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2FC3" w14:textId="27122DE1" w:rsidR="00E41567" w:rsidRDefault="00A54B85" w:rsidP="00184FC6">
      <w:pPr>
        <w:pStyle w:val="Heading2"/>
        <w:rPr>
          <w:rtl/>
        </w:rPr>
      </w:pPr>
      <w:bookmarkStart w:id="0" w:name="_Hlk98671540"/>
      <w:r w:rsidRPr="00A54B85">
        <w:rPr>
          <w:rFonts w:cs="Times New Roman"/>
          <w:rtl/>
          <w:lang w:bidi="ar-SA"/>
        </w:rPr>
        <w:t xml:space="preserve"> </w:t>
      </w:r>
      <w:bookmarkStart w:id="1" w:name="_Toc119092578"/>
      <w:r w:rsidR="00E41567">
        <w:rPr>
          <w:rFonts w:hint="cs"/>
          <w:rtl/>
        </w:rPr>
        <w:t>ספר הריפוי</w:t>
      </w:r>
      <w:r w:rsidR="00F241C1">
        <w:rPr>
          <w:rStyle w:val="FootnoteReference"/>
          <w:rtl/>
        </w:rPr>
        <w:footnoteReference w:id="2"/>
      </w:r>
      <w:r w:rsidR="00E41567">
        <w:rPr>
          <w:rFonts w:hint="cs"/>
          <w:rtl/>
        </w:rPr>
        <w:t xml:space="preserve"> מאת אבן סינא</w:t>
      </w:r>
      <w:r w:rsidR="00184FC6">
        <w:rPr>
          <w:rStyle w:val="FootnoteReference"/>
          <w:rtl/>
        </w:rPr>
        <w:footnoteReference w:id="3"/>
      </w:r>
      <w:bookmarkEnd w:id="1"/>
    </w:p>
    <w:p w14:paraId="0E6E3F55" w14:textId="77777777" w:rsidR="00E41567" w:rsidRDefault="00E41567" w:rsidP="006F39D0">
      <w:pPr>
        <w:rPr>
          <w:rtl/>
        </w:rPr>
      </w:pPr>
    </w:p>
    <w:p w14:paraId="7389418C" w14:textId="77777777" w:rsidR="00E41567" w:rsidRDefault="00E41567" w:rsidP="006F39D0">
      <w:pPr>
        <w:rPr>
          <w:rtl/>
        </w:rPr>
      </w:pPr>
    </w:p>
    <w:p w14:paraId="7A6ED05F" w14:textId="36804FFC" w:rsidR="00D35BCF" w:rsidRPr="002D0315" w:rsidRDefault="003F0370" w:rsidP="002D0315">
      <w:pPr>
        <w:spacing w:line="360" w:lineRule="auto"/>
        <w:jc w:val="center"/>
        <w:rPr>
          <w:sz w:val="32"/>
          <w:szCs w:val="32"/>
          <w:rtl/>
        </w:rPr>
      </w:pPr>
      <w:r w:rsidRPr="002D0315">
        <w:rPr>
          <w:sz w:val="32"/>
          <w:szCs w:val="32"/>
          <w:rtl/>
        </w:rPr>
        <w:t>בשם האל הרחמן והרחום</w:t>
      </w:r>
    </w:p>
    <w:p w14:paraId="2C4F05D3" w14:textId="216B1592" w:rsidR="003F0370" w:rsidRPr="002D0315" w:rsidRDefault="003F0370" w:rsidP="002D0315">
      <w:pPr>
        <w:spacing w:line="360" w:lineRule="auto"/>
        <w:jc w:val="center"/>
        <w:rPr>
          <w:sz w:val="32"/>
          <w:szCs w:val="32"/>
          <w:rtl/>
        </w:rPr>
      </w:pPr>
      <w:r w:rsidRPr="002D0315">
        <w:rPr>
          <w:sz w:val="32"/>
          <w:szCs w:val="32"/>
          <w:rtl/>
        </w:rPr>
        <w:t>השבח לאל, אדון שני העולמ</w:t>
      </w:r>
      <w:r w:rsidR="00463CAC">
        <w:rPr>
          <w:rFonts w:hint="cs"/>
          <w:sz w:val="32"/>
          <w:szCs w:val="32"/>
          <w:rtl/>
        </w:rPr>
        <w:t>ים</w:t>
      </w:r>
      <w:r w:rsidR="00772B98">
        <w:rPr>
          <w:rStyle w:val="FootnoteReference"/>
          <w:sz w:val="32"/>
          <w:szCs w:val="32"/>
          <w:rtl/>
        </w:rPr>
        <w:footnoteReference w:id="4"/>
      </w:r>
      <w:r w:rsidRPr="002D0315">
        <w:rPr>
          <w:sz w:val="32"/>
          <w:szCs w:val="32"/>
          <w:rtl/>
        </w:rPr>
        <w:t>, וברכה למוחמד ובני משפחתו.</w:t>
      </w:r>
    </w:p>
    <w:p w14:paraId="673C979C" w14:textId="77777777" w:rsidR="007002AF" w:rsidRDefault="007002AF" w:rsidP="002B579F">
      <w:pPr>
        <w:rPr>
          <w:rtl/>
        </w:rPr>
      </w:pPr>
      <w:r>
        <w:rPr>
          <w:rtl/>
        </w:rPr>
        <w:br w:type="page"/>
      </w:r>
    </w:p>
    <w:p w14:paraId="5B2576F0" w14:textId="043B0507" w:rsidR="002B579F" w:rsidRDefault="0024053D" w:rsidP="00CD227B">
      <w:pPr>
        <w:pStyle w:val="Heading1"/>
        <w:rPr>
          <w:rtl/>
        </w:rPr>
      </w:pPr>
      <w:bookmarkStart w:id="2" w:name="_Toc119092579"/>
      <w:r w:rsidRPr="0024053D">
        <w:rPr>
          <w:rtl/>
        </w:rPr>
        <w:lastRenderedPageBreak/>
        <w:t>הַשֶּׁמַע</w:t>
      </w:r>
      <w:r w:rsidR="002B579F">
        <w:rPr>
          <w:rFonts w:hint="cs"/>
          <w:rtl/>
        </w:rPr>
        <w:t xml:space="preserve"> הטבעי </w:t>
      </w:r>
      <w:r w:rsidR="00AA01E5">
        <w:rPr>
          <w:rFonts w:hint="cs"/>
          <w:rtl/>
        </w:rPr>
        <w:t>-</w:t>
      </w:r>
      <w:r w:rsidR="002B579F">
        <w:rPr>
          <w:rFonts w:hint="cs"/>
          <w:rtl/>
        </w:rPr>
        <w:t xml:space="preserve"> </w:t>
      </w:r>
      <w:r w:rsidR="00AA01E5">
        <w:rPr>
          <w:rFonts w:hint="cs"/>
          <w:rtl/>
        </w:rPr>
        <w:t>ספר</w:t>
      </w:r>
      <w:r w:rsidR="002B579F">
        <w:rPr>
          <w:rFonts w:hint="cs"/>
          <w:rtl/>
        </w:rPr>
        <w:t xml:space="preserve"> ראשון</w:t>
      </w:r>
      <w:bookmarkEnd w:id="2"/>
      <w:r>
        <w:rPr>
          <w:rFonts w:hint="cs"/>
          <w:rtl/>
        </w:rPr>
        <w:t xml:space="preserve"> </w:t>
      </w:r>
    </w:p>
    <w:p w14:paraId="2C070107" w14:textId="1E16E1A7" w:rsidR="00FC140D" w:rsidRDefault="00FC140D">
      <w:pPr>
        <w:rPr>
          <w:rtl/>
        </w:rPr>
      </w:pPr>
    </w:p>
    <w:p w14:paraId="78D6F74F" w14:textId="77777777" w:rsidR="00FC140D" w:rsidRDefault="00FC140D" w:rsidP="002B579F">
      <w:pPr>
        <w:rPr>
          <w:rtl/>
        </w:rPr>
      </w:pPr>
    </w:p>
    <w:p w14:paraId="7CAE5C85" w14:textId="77777777" w:rsidR="00255430" w:rsidRDefault="00255430" w:rsidP="00255430">
      <w:pPr>
        <w:rPr>
          <w:rtl/>
        </w:rPr>
      </w:pPr>
    </w:p>
    <w:sdt>
      <w:sdtPr>
        <w:rPr>
          <w:rFonts w:ascii="FrankRuehl" w:eastAsiaTheme="minorHAnsi" w:hAnsi="FrankRuehl" w:cs="FrankRuehl"/>
          <w:b/>
          <w:bCs/>
          <w:color w:val="auto"/>
          <w:sz w:val="28"/>
          <w:szCs w:val="28"/>
          <w:cs w:val="0"/>
          <w:lang w:val="he-IL"/>
        </w:rPr>
        <w:id w:val="-245492434"/>
        <w:docPartObj>
          <w:docPartGallery w:val="Table of Contents"/>
          <w:docPartUnique/>
        </w:docPartObj>
      </w:sdtPr>
      <w:sdtEndPr/>
      <w:sdtContent>
        <w:p w14:paraId="657ACFEF" w14:textId="7B938EAE" w:rsidR="006B6855" w:rsidRDefault="006B6855">
          <w:pPr>
            <w:pStyle w:val="TOCHeading"/>
            <w:rPr>
              <w:rFonts w:ascii="FrankRuehl" w:hAnsi="FrankRuehl" w:cs="FrankRuehl"/>
              <w:b/>
              <w:bCs/>
              <w:lang w:val="he-IL"/>
            </w:rPr>
          </w:pPr>
          <w:r w:rsidRPr="006B6855">
            <w:rPr>
              <w:rFonts w:ascii="FrankRuehl" w:hAnsi="FrankRuehl" w:cs="FrankRuehl"/>
              <w:b/>
              <w:bCs/>
              <w:lang w:val="he-IL"/>
            </w:rPr>
            <w:t>תוכן עניינים</w:t>
          </w:r>
        </w:p>
        <w:p w14:paraId="66D59F25" w14:textId="77777777" w:rsidR="006B6855" w:rsidRPr="006B6855" w:rsidRDefault="006B6855" w:rsidP="006B6855">
          <w:pPr>
            <w:rPr>
              <w:lang w:val="he-IL"/>
            </w:rPr>
          </w:pPr>
        </w:p>
        <w:p w14:paraId="06C221FC" w14:textId="74039091" w:rsidR="00325FC1" w:rsidRDefault="006B6855">
          <w:pPr>
            <w:pStyle w:val="TOC2"/>
            <w:tabs>
              <w:tab w:val="right" w:leader="dot" w:pos="7134"/>
            </w:tabs>
            <w:rPr>
              <w:rFonts w:asciiTheme="minorHAnsi" w:eastAsiaTheme="minorEastAsia" w:hAnsiTheme="minorHAnsi" w:cstheme="minorBidi"/>
              <w:b w:val="0"/>
              <w:bCs w:val="0"/>
              <w:noProof/>
              <w:sz w:val="22"/>
              <w:szCs w:val="22"/>
              <w:rtl/>
            </w:rPr>
          </w:pPr>
          <w:r>
            <w:fldChar w:fldCharType="begin"/>
          </w:r>
          <w:r>
            <w:instrText xml:space="preserve"> TOC \o "1-5" \h \z \u </w:instrText>
          </w:r>
          <w:r>
            <w:fldChar w:fldCharType="separate"/>
          </w:r>
          <w:hyperlink w:anchor="_Toc119092578" w:history="1">
            <w:r w:rsidR="00325FC1" w:rsidRPr="00A257F7">
              <w:rPr>
                <w:rStyle w:val="Hyperlink"/>
                <w:noProof/>
                <w:rtl/>
              </w:rPr>
              <w:t>ספר הריפוי מאת אבן סינא</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Toc119092578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09E6449" w14:textId="1E6B6CD8"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579" w:history="1">
            <w:r w:rsidR="00325FC1" w:rsidRPr="00A257F7">
              <w:rPr>
                <w:rStyle w:val="Hyperlink"/>
                <w:noProof/>
                <w:rtl/>
              </w:rPr>
              <w:t>הַשֶּׁמַע הטבעי - ספר ראשון</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Toc119092579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77A3703" w14:textId="120F0F0D"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580" w:history="1">
            <w:r w:rsidR="00325FC1" w:rsidRPr="00A257F7">
              <w:rPr>
                <w:rStyle w:val="Hyperlink"/>
                <w:noProof/>
                <w:rtl/>
              </w:rPr>
              <w:t>הקדמה</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69D368B" w14:textId="4EE8F38D"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1" w:history="1">
            <w:r w:rsidR="00325FC1" w:rsidRPr="00A257F7">
              <w:rPr>
                <w:rStyle w:val="Hyperlink"/>
                <w:noProof/>
                <w:rtl/>
              </w:rPr>
              <w:t>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8426523" w14:textId="7CF85F8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2" w:history="1">
            <w:r w:rsidR="00325FC1" w:rsidRPr="00A257F7">
              <w:rPr>
                <w:rStyle w:val="Hyperlink"/>
                <w:noProof/>
                <w:rtl/>
              </w:rPr>
              <w:t>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62EC61B" w14:textId="7EACC67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3" w:history="1">
            <w:r w:rsidR="00325FC1" w:rsidRPr="00A257F7">
              <w:rPr>
                <w:rStyle w:val="Hyperlink"/>
                <w:noProof/>
                <w:rtl/>
              </w:rPr>
              <w:t>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B72E435" w14:textId="23947992"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584" w:history="1">
            <w:r w:rsidR="00325FC1" w:rsidRPr="00A257F7">
              <w:rPr>
                <w:rStyle w:val="Hyperlink"/>
                <w:noProof/>
                <w:rtl/>
              </w:rPr>
              <w:t>חלק ראשון</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1A99C65" w14:textId="344D4AEE"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585" w:history="1">
            <w:r w:rsidR="00325FC1" w:rsidRPr="00A257F7">
              <w:rPr>
                <w:rStyle w:val="Hyperlink"/>
                <w:noProof/>
                <w:rtl/>
              </w:rPr>
              <w:t>פרק א</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2E1B20D" w14:textId="52270C31"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586" w:history="1">
            <w:r w:rsidR="00325FC1" w:rsidRPr="00A257F7">
              <w:rPr>
                <w:rStyle w:val="Hyperlink"/>
                <w:noProof/>
                <w:rtl/>
                <w:lang w:val="he"/>
              </w:rPr>
              <w:t>ביאור הדרכים להגיע לידיעת הדברים הטבעיים מהתחלותיהם הראשונות</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7784ACD" w14:textId="3DDDF54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7" w:history="1">
            <w:r w:rsidR="00325FC1" w:rsidRPr="00A257F7">
              <w:rPr>
                <w:rStyle w:val="Hyperlink"/>
                <w:noProof/>
                <w:rtl/>
              </w:rPr>
              <w:t>1.1.1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CDA8F82" w14:textId="207CEB72"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8" w:history="1">
            <w:r w:rsidR="00325FC1" w:rsidRPr="00A257F7">
              <w:rPr>
                <w:rStyle w:val="Hyperlink"/>
                <w:noProof/>
                <w:rtl/>
              </w:rPr>
              <w:t>1.1.2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7C063F0" w14:textId="0570B2D0"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89" w:history="1">
            <w:r w:rsidR="00325FC1" w:rsidRPr="00A257F7">
              <w:rPr>
                <w:rStyle w:val="Hyperlink"/>
                <w:noProof/>
                <w:rtl/>
              </w:rPr>
              <w:t>1.1.3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Toc119092589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AC6D5BD" w14:textId="4AA9FC19"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0" w:history="1">
            <w:r w:rsidR="00325FC1" w:rsidRPr="00A257F7">
              <w:rPr>
                <w:rStyle w:val="Hyperlink"/>
                <w:noProof/>
                <w:rtl/>
              </w:rPr>
              <w:t>1.1.4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9028E8C" w14:textId="2237B715"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1" w:history="1">
            <w:r w:rsidR="00325FC1" w:rsidRPr="00A257F7">
              <w:rPr>
                <w:rStyle w:val="Hyperlink"/>
                <w:noProof/>
                <w:rtl/>
              </w:rPr>
              <w:t>1.1.5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223775C" w14:textId="35CBCC0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2" w:history="1">
            <w:r w:rsidR="00325FC1" w:rsidRPr="00A257F7">
              <w:rPr>
                <w:rStyle w:val="Hyperlink"/>
                <w:noProof/>
                <w:rtl/>
              </w:rPr>
              <w:t>1.1.6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5A6F0D8" w14:textId="553BCB42"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3" w:history="1">
            <w:r w:rsidR="00325FC1" w:rsidRPr="00A257F7">
              <w:rPr>
                <w:rStyle w:val="Hyperlink"/>
                <w:noProof/>
                <w:rtl/>
              </w:rPr>
              <w:t>1.1.7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0726205" w14:textId="0D01D8D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4" w:history="1">
            <w:r w:rsidR="00325FC1" w:rsidRPr="00A257F7">
              <w:rPr>
                <w:rStyle w:val="Hyperlink"/>
                <w:noProof/>
                <w:rtl/>
              </w:rPr>
              <w:t>1.1.8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F26FB3C" w14:textId="0767626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5" w:history="1">
            <w:r w:rsidR="00325FC1" w:rsidRPr="00A257F7">
              <w:rPr>
                <w:rStyle w:val="Hyperlink"/>
                <w:noProof/>
                <w:rtl/>
              </w:rPr>
              <w:t>1.1.9</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5810716" w14:textId="3953DFA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6" w:history="1">
            <w:r w:rsidR="00325FC1" w:rsidRPr="00A257F7">
              <w:rPr>
                <w:rStyle w:val="Hyperlink"/>
                <w:noProof/>
                <w:rtl/>
              </w:rPr>
              <w:t>1.1.10</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1F9B793" w14:textId="5288750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7" w:history="1">
            <w:r w:rsidR="00325FC1" w:rsidRPr="00A257F7">
              <w:rPr>
                <w:rStyle w:val="Hyperlink"/>
                <w:noProof/>
                <w:rtl/>
              </w:rPr>
              <w:t>1.1.11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4046169" w14:textId="78E8AE90"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8" w:history="1">
            <w:r w:rsidR="00325FC1" w:rsidRPr="00A257F7">
              <w:rPr>
                <w:rStyle w:val="Hyperlink"/>
                <w:noProof/>
                <w:rtl/>
              </w:rPr>
              <w:t>1.1.12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719DF45" w14:textId="63A337C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599" w:history="1">
            <w:r w:rsidR="00325FC1" w:rsidRPr="00A257F7">
              <w:rPr>
                <w:rStyle w:val="Hyperlink"/>
                <w:noProof/>
                <w:rtl/>
              </w:rPr>
              <w:t>1.1.13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Toc119092599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6974A15" w14:textId="22F3076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0" w:history="1">
            <w:r w:rsidR="00325FC1" w:rsidRPr="00A257F7">
              <w:rPr>
                <w:rStyle w:val="Hyperlink"/>
                <w:noProof/>
                <w:rtl/>
              </w:rPr>
              <w:t>1.1.14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501F6AC" w14:textId="79FFEB3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1" w:history="1">
            <w:r w:rsidR="00325FC1" w:rsidRPr="00A257F7">
              <w:rPr>
                <w:rStyle w:val="Hyperlink"/>
                <w:noProof/>
                <w:rtl/>
              </w:rPr>
              <w:t>1.1.15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76105AB" w14:textId="2E820B6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2" w:history="1">
            <w:r w:rsidR="00325FC1" w:rsidRPr="00A257F7">
              <w:rPr>
                <w:rStyle w:val="Hyperlink"/>
                <w:noProof/>
                <w:rtl/>
              </w:rPr>
              <w:t>1.1.16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0233B26" w14:textId="16C66631"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603" w:history="1">
            <w:r w:rsidR="00325FC1" w:rsidRPr="00A257F7">
              <w:rPr>
                <w:rStyle w:val="Hyperlink"/>
                <w:noProof/>
                <w:rtl/>
              </w:rPr>
              <w:t>פרק ב</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2A10C54" w14:textId="1B3EDE82"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04" w:history="1">
            <w:r w:rsidR="00325FC1" w:rsidRPr="00A257F7">
              <w:rPr>
                <w:rStyle w:val="Hyperlink"/>
                <w:noProof/>
                <w:rtl/>
              </w:rPr>
              <w:t>מניין ההתחלות של הדברים הטבעיים, בקביעה ובהנחה.</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762BF2B" w14:textId="7F560A8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5" w:history="1">
            <w:r w:rsidR="00325FC1" w:rsidRPr="00A257F7">
              <w:rPr>
                <w:rStyle w:val="Hyperlink"/>
                <w:noProof/>
                <w:rtl/>
              </w:rPr>
              <w:t>1.2.1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24CA77E" w14:textId="628382D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6" w:history="1">
            <w:r w:rsidR="00325FC1" w:rsidRPr="00A257F7">
              <w:rPr>
                <w:rStyle w:val="Hyperlink"/>
                <w:noProof/>
                <w:rtl/>
              </w:rPr>
              <w:t>1.2.2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1C26291" w14:textId="21A941F9"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7" w:history="1">
            <w:r w:rsidR="00325FC1" w:rsidRPr="00A257F7">
              <w:rPr>
                <w:rStyle w:val="Hyperlink"/>
                <w:noProof/>
                <w:rtl/>
              </w:rPr>
              <w:t>1.2.3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94C2DB0" w14:textId="48E2A03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8" w:history="1">
            <w:r w:rsidR="00325FC1" w:rsidRPr="00A257F7">
              <w:rPr>
                <w:rStyle w:val="Hyperlink"/>
                <w:noProof/>
                <w:rtl/>
              </w:rPr>
              <w:t>1.2.4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A81B10C" w14:textId="133594E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09" w:history="1">
            <w:r w:rsidR="00325FC1" w:rsidRPr="00A257F7">
              <w:rPr>
                <w:rStyle w:val="Hyperlink"/>
                <w:noProof/>
                <w:rtl/>
              </w:rPr>
              <w:t>1.2.5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Toc119092609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C71F9B8" w14:textId="29015EF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0" w:history="1">
            <w:r w:rsidR="00325FC1" w:rsidRPr="00A257F7">
              <w:rPr>
                <w:rStyle w:val="Hyperlink"/>
                <w:noProof/>
                <w:rtl/>
              </w:rPr>
              <w:t>1.2.6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B85D1F2" w14:textId="6B51E9C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1" w:history="1">
            <w:r w:rsidR="00325FC1" w:rsidRPr="00A257F7">
              <w:rPr>
                <w:rStyle w:val="Hyperlink"/>
                <w:noProof/>
                <w:rtl/>
              </w:rPr>
              <w:t>1.2.7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7D42367" w14:textId="02DCAF8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2" w:history="1">
            <w:r w:rsidR="00325FC1" w:rsidRPr="00A257F7">
              <w:rPr>
                <w:rStyle w:val="Hyperlink"/>
                <w:noProof/>
                <w:rtl/>
              </w:rPr>
              <w:t>1.2.8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05F153E" w14:textId="0B87026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3" w:history="1">
            <w:r w:rsidR="00325FC1" w:rsidRPr="00A257F7">
              <w:rPr>
                <w:rStyle w:val="Hyperlink"/>
                <w:noProof/>
                <w:rtl/>
              </w:rPr>
              <w:t>1.2.9</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ABE9170" w14:textId="034724C5"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4" w:history="1">
            <w:r w:rsidR="00325FC1" w:rsidRPr="00A257F7">
              <w:rPr>
                <w:rStyle w:val="Hyperlink"/>
                <w:noProof/>
                <w:rtl/>
              </w:rPr>
              <w:t>1.2.10</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BDE4C14" w14:textId="20171EC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5" w:history="1">
            <w:r w:rsidR="00325FC1" w:rsidRPr="00A257F7">
              <w:rPr>
                <w:rStyle w:val="Hyperlink"/>
                <w:noProof/>
                <w:rtl/>
              </w:rPr>
              <w:t>1.2.11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A19940C" w14:textId="55F3591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6" w:history="1">
            <w:r w:rsidR="00325FC1" w:rsidRPr="00A257F7">
              <w:rPr>
                <w:rStyle w:val="Hyperlink"/>
                <w:noProof/>
                <w:rtl/>
              </w:rPr>
              <w:t>1.2.12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2518912" w14:textId="70F1C19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7" w:history="1">
            <w:r w:rsidR="00325FC1" w:rsidRPr="00A257F7">
              <w:rPr>
                <w:rStyle w:val="Hyperlink"/>
                <w:noProof/>
                <w:rtl/>
              </w:rPr>
              <w:t>1.2.13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D0442FE" w14:textId="28550F7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8" w:history="1">
            <w:r w:rsidR="00325FC1" w:rsidRPr="00A257F7">
              <w:rPr>
                <w:rStyle w:val="Hyperlink"/>
                <w:noProof/>
                <w:rtl/>
              </w:rPr>
              <w:t>1.2.14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78AE0BE" w14:textId="031F98E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19" w:history="1">
            <w:r w:rsidR="00325FC1" w:rsidRPr="00A257F7">
              <w:rPr>
                <w:rStyle w:val="Hyperlink"/>
                <w:noProof/>
                <w:rtl/>
              </w:rPr>
              <w:t>1.2.15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Toc119092619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5DCA406" w14:textId="40F0A16F"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0" w:history="1">
            <w:r w:rsidR="00325FC1" w:rsidRPr="00A257F7">
              <w:rPr>
                <w:rStyle w:val="Hyperlink"/>
                <w:noProof/>
                <w:rtl/>
              </w:rPr>
              <w:t>1.2.16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C8D7390" w14:textId="70E45BE5"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1" w:history="1">
            <w:r w:rsidR="00325FC1" w:rsidRPr="00A257F7">
              <w:rPr>
                <w:rStyle w:val="Hyperlink"/>
                <w:noProof/>
                <w:rtl/>
              </w:rPr>
              <w:t>1.2.17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9973F0B" w14:textId="4F7E673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2" w:history="1">
            <w:r w:rsidR="00325FC1" w:rsidRPr="00A257F7">
              <w:rPr>
                <w:rStyle w:val="Hyperlink"/>
                <w:noProof/>
                <w:rtl/>
              </w:rPr>
              <w:t>1.2.18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A5A59C4" w14:textId="7576FBBF"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3" w:history="1">
            <w:r w:rsidR="00325FC1" w:rsidRPr="00A257F7">
              <w:rPr>
                <w:rStyle w:val="Hyperlink"/>
                <w:noProof/>
                <w:rtl/>
              </w:rPr>
              <w:t>1.2.19</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732AD0F" w14:textId="3CF314B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4" w:history="1">
            <w:r w:rsidR="00325FC1" w:rsidRPr="00A257F7">
              <w:rPr>
                <w:rStyle w:val="Hyperlink"/>
                <w:noProof/>
                <w:rtl/>
              </w:rPr>
              <w:t>1.2.20</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E261833" w14:textId="229A587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5" w:history="1">
            <w:r w:rsidR="00325FC1" w:rsidRPr="00A257F7">
              <w:rPr>
                <w:rStyle w:val="Hyperlink"/>
                <w:noProof/>
                <w:rtl/>
              </w:rPr>
              <w:t>1.2.21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67B5131" w14:textId="33C5C27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6" w:history="1">
            <w:r w:rsidR="00325FC1" w:rsidRPr="00A257F7">
              <w:rPr>
                <w:rStyle w:val="Hyperlink"/>
                <w:noProof/>
                <w:rtl/>
              </w:rPr>
              <w:t>1.2.22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3E6979A" w14:textId="4110E9D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27" w:history="1">
            <w:r w:rsidR="00325FC1" w:rsidRPr="00A257F7">
              <w:rPr>
                <w:rStyle w:val="Hyperlink"/>
                <w:noProof/>
                <w:rtl/>
              </w:rPr>
              <w:t>1.2.23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0529768" w14:textId="706C3910"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628" w:history="1">
            <w:r w:rsidR="00325FC1" w:rsidRPr="00A257F7">
              <w:rPr>
                <w:rStyle w:val="Hyperlink"/>
                <w:noProof/>
                <w:rtl/>
              </w:rPr>
              <w:t>פרק ג</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B874DEB" w14:textId="34F6F8B1"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29" w:history="1">
            <w:r w:rsidR="00325FC1" w:rsidRPr="00A257F7">
              <w:rPr>
                <w:rStyle w:val="Hyperlink"/>
                <w:noProof/>
                <w:rtl/>
              </w:rPr>
              <w:t>באיזה אופן התחלות אלה הן משותפות.</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Toc119092629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0C501BE" w14:textId="20EE0D9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0" w:history="1">
            <w:r w:rsidR="00325FC1" w:rsidRPr="00A257F7">
              <w:rPr>
                <w:rStyle w:val="Hyperlink"/>
                <w:noProof/>
                <w:rtl/>
              </w:rPr>
              <w:t>1.3.1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0E0B9E7" w14:textId="24602F4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1" w:history="1">
            <w:r w:rsidR="00325FC1" w:rsidRPr="00A257F7">
              <w:rPr>
                <w:rStyle w:val="Hyperlink"/>
                <w:noProof/>
                <w:rtl/>
              </w:rPr>
              <w:t>1.3.2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848B1A1" w14:textId="6080F945"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2" w:history="1">
            <w:r w:rsidR="00325FC1" w:rsidRPr="00A257F7">
              <w:rPr>
                <w:rStyle w:val="Hyperlink"/>
                <w:noProof/>
                <w:rtl/>
              </w:rPr>
              <w:t>1.3.3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7D337BE" w14:textId="7D9EB2C4"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3" w:history="1">
            <w:r w:rsidR="00325FC1" w:rsidRPr="00A257F7">
              <w:rPr>
                <w:rStyle w:val="Hyperlink"/>
                <w:noProof/>
                <w:rtl/>
              </w:rPr>
              <w:t>1.3.4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D0E4E16" w14:textId="547EB805"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4" w:history="1">
            <w:r w:rsidR="00325FC1" w:rsidRPr="00A257F7">
              <w:rPr>
                <w:rStyle w:val="Hyperlink"/>
                <w:noProof/>
                <w:rtl/>
              </w:rPr>
              <w:t>1.3.5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8D68893" w14:textId="1B5F27E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5" w:history="1">
            <w:r w:rsidR="00325FC1" w:rsidRPr="00A257F7">
              <w:rPr>
                <w:rStyle w:val="Hyperlink"/>
                <w:noProof/>
                <w:rtl/>
              </w:rPr>
              <w:t>1.3.6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9421611" w14:textId="116CAA7D"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6" w:history="1">
            <w:r w:rsidR="00325FC1" w:rsidRPr="00A257F7">
              <w:rPr>
                <w:rStyle w:val="Hyperlink"/>
                <w:noProof/>
                <w:rtl/>
              </w:rPr>
              <w:t>1.3.7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7555986" w14:textId="395E782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7" w:history="1">
            <w:r w:rsidR="00325FC1" w:rsidRPr="00A257F7">
              <w:rPr>
                <w:rStyle w:val="Hyperlink"/>
                <w:noProof/>
                <w:rtl/>
              </w:rPr>
              <w:t>1.3.8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058513B" w14:textId="5B2ADFD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8" w:history="1">
            <w:r w:rsidR="00325FC1" w:rsidRPr="00A257F7">
              <w:rPr>
                <w:rStyle w:val="Hyperlink"/>
                <w:noProof/>
                <w:rtl/>
              </w:rPr>
              <w:t>1.3.9</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7311F52" w14:textId="2332C5F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39" w:history="1">
            <w:r w:rsidR="00325FC1" w:rsidRPr="00A257F7">
              <w:rPr>
                <w:rStyle w:val="Hyperlink"/>
                <w:noProof/>
                <w:rtl/>
              </w:rPr>
              <w:t>1.3.10</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Toc119092639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28B734A" w14:textId="7928144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0" w:history="1">
            <w:r w:rsidR="00325FC1" w:rsidRPr="00A257F7">
              <w:rPr>
                <w:rStyle w:val="Hyperlink"/>
                <w:noProof/>
                <w:rtl/>
              </w:rPr>
              <w:t>1.3.11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AD2CA4F" w14:textId="3C0827E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1" w:history="1">
            <w:r w:rsidR="00325FC1" w:rsidRPr="00A257F7">
              <w:rPr>
                <w:rStyle w:val="Hyperlink"/>
                <w:noProof/>
                <w:rtl/>
              </w:rPr>
              <w:t>1.3.12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3A7E5CF" w14:textId="46ABF9C0"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42" w:history="1">
            <w:r w:rsidR="00325FC1" w:rsidRPr="00A257F7">
              <w:rPr>
                <w:rStyle w:val="Hyperlink"/>
                <w:noProof/>
                <w:rtl/>
              </w:rPr>
              <w:t>פרק ד</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B27F702" w14:textId="6F38700C"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643" w:history="1">
            <w:r w:rsidR="00325FC1" w:rsidRPr="00A257F7">
              <w:rPr>
                <w:rStyle w:val="Hyperlink"/>
                <w:noProof/>
                <w:rtl/>
              </w:rPr>
              <w:t>עיון בדברי פרמנידס ומליסוס בעניין התחלות המציאות</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73C0C80" w14:textId="72EC10CD"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4" w:history="1">
            <w:r w:rsidR="00325FC1" w:rsidRPr="00A257F7">
              <w:rPr>
                <w:rStyle w:val="Hyperlink"/>
                <w:noProof/>
                <w:rtl/>
              </w:rPr>
              <w:t>1.4.1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5B85F3E" w14:textId="36BF038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5" w:history="1">
            <w:r w:rsidR="00325FC1" w:rsidRPr="00A257F7">
              <w:rPr>
                <w:rStyle w:val="Hyperlink"/>
                <w:noProof/>
                <w:rtl/>
              </w:rPr>
              <w:t>1.4.2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D2AB812" w14:textId="5888AC3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6" w:history="1">
            <w:r w:rsidR="00325FC1" w:rsidRPr="00A257F7">
              <w:rPr>
                <w:rStyle w:val="Hyperlink"/>
                <w:noProof/>
                <w:rtl/>
              </w:rPr>
              <w:t>1.4.3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AE46F9F" w14:textId="1ACC35C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7" w:history="1">
            <w:r w:rsidR="00325FC1" w:rsidRPr="00A257F7">
              <w:rPr>
                <w:rStyle w:val="Hyperlink"/>
                <w:noProof/>
                <w:rtl/>
              </w:rPr>
              <w:t>1.4.4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89ADB96" w14:textId="2232BCA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8" w:history="1">
            <w:r w:rsidR="00325FC1" w:rsidRPr="00A257F7">
              <w:rPr>
                <w:rStyle w:val="Hyperlink"/>
                <w:noProof/>
                <w:rtl/>
              </w:rPr>
              <w:t>1.4.5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7E6E580" w14:textId="23E2B20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49" w:history="1">
            <w:r w:rsidR="00325FC1" w:rsidRPr="00A257F7">
              <w:rPr>
                <w:rStyle w:val="Hyperlink"/>
                <w:noProof/>
                <w:rtl/>
              </w:rPr>
              <w:t>1.4.6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Toc119092649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FFF61CC" w14:textId="5E22BC63"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50" w:history="1">
            <w:r w:rsidR="00325FC1" w:rsidRPr="00A257F7">
              <w:rPr>
                <w:rStyle w:val="Hyperlink"/>
                <w:noProof/>
                <w:rtl/>
              </w:rPr>
              <w:t>פרק חמישי</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357CA84" w14:textId="09ACB6F9"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651" w:history="1">
            <w:r w:rsidR="00325FC1" w:rsidRPr="00A257F7">
              <w:rPr>
                <w:rStyle w:val="Hyperlink"/>
                <w:noProof/>
                <w:rtl/>
              </w:rPr>
              <w:t>בהגדרת הטבע</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A010A16" w14:textId="45E9D434"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2" w:history="1">
            <w:r w:rsidR="00325FC1" w:rsidRPr="00A257F7">
              <w:rPr>
                <w:rStyle w:val="Hyperlink"/>
                <w:noProof/>
                <w:rtl/>
              </w:rPr>
              <w:t>1.5.1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4ECC98E" w14:textId="01112004"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3" w:history="1">
            <w:r w:rsidR="00325FC1" w:rsidRPr="00A257F7">
              <w:rPr>
                <w:rStyle w:val="Hyperlink"/>
                <w:noProof/>
                <w:rtl/>
              </w:rPr>
              <w:t>1.5.2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AFD2514" w14:textId="19D666C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4" w:history="1">
            <w:r w:rsidR="00325FC1" w:rsidRPr="00A257F7">
              <w:rPr>
                <w:rStyle w:val="Hyperlink"/>
                <w:noProof/>
                <w:spacing w:val="4"/>
                <w:rtl/>
              </w:rPr>
              <w:t>1.5.3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C843799" w14:textId="3ED7C6A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5" w:history="1">
            <w:r w:rsidR="00325FC1" w:rsidRPr="00A257F7">
              <w:rPr>
                <w:rStyle w:val="Hyperlink"/>
                <w:noProof/>
                <w:rtl/>
              </w:rPr>
              <w:t>1.5.4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755BF6D" w14:textId="7E24ADD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6" w:history="1">
            <w:r w:rsidR="00325FC1" w:rsidRPr="00A257F7">
              <w:rPr>
                <w:rStyle w:val="Hyperlink"/>
                <w:noProof/>
                <w:rtl/>
              </w:rPr>
              <w:t>1.5.5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F9D8013" w14:textId="26A6385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7" w:history="1">
            <w:r w:rsidR="00325FC1" w:rsidRPr="00A257F7">
              <w:rPr>
                <w:rStyle w:val="Hyperlink"/>
                <w:noProof/>
                <w:rtl/>
              </w:rPr>
              <w:t>1.5.6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847640B" w14:textId="3A471F6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8" w:history="1">
            <w:r w:rsidR="00325FC1" w:rsidRPr="00A257F7">
              <w:rPr>
                <w:rStyle w:val="Hyperlink"/>
                <w:noProof/>
                <w:rtl/>
              </w:rPr>
              <w:t>1.5.7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5D5DFAC" w14:textId="5457CD98"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59" w:history="1">
            <w:r w:rsidR="00325FC1" w:rsidRPr="00A257F7">
              <w:rPr>
                <w:rStyle w:val="Hyperlink"/>
                <w:noProof/>
                <w:rtl/>
              </w:rPr>
              <w:t>1.5.8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Toc119092659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8F2B5FB" w14:textId="2C79AA9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0" w:history="1">
            <w:r w:rsidR="00325FC1" w:rsidRPr="00A257F7">
              <w:rPr>
                <w:rStyle w:val="Hyperlink"/>
                <w:noProof/>
                <w:rtl/>
              </w:rPr>
              <w:t>1.5.9</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23C389F" w14:textId="6E236A45"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661" w:history="1">
            <w:r w:rsidR="00325FC1" w:rsidRPr="00A257F7">
              <w:rPr>
                <w:rStyle w:val="Hyperlink"/>
                <w:noProof/>
                <w:rtl/>
              </w:rPr>
              <w:t>פרק ו</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B550ED1" w14:textId="6851D211"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62" w:history="1">
            <w:r w:rsidR="00325FC1" w:rsidRPr="00A257F7">
              <w:rPr>
                <w:rStyle w:val="Hyperlink"/>
                <w:noProof/>
                <w:rtl/>
              </w:rPr>
              <w:t>ביחס של הטבע אל החומר, הצורה והתנועה</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92646B6" w14:textId="004A80C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3" w:history="1">
            <w:r w:rsidR="00325FC1" w:rsidRPr="00A257F7">
              <w:rPr>
                <w:rStyle w:val="Hyperlink"/>
                <w:noProof/>
                <w:rtl/>
                <w:lang w:val="he"/>
              </w:rPr>
              <w:t>1.6.1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C73856B" w14:textId="1F2BE6A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4" w:history="1">
            <w:r w:rsidR="00325FC1" w:rsidRPr="00A257F7">
              <w:rPr>
                <w:rStyle w:val="Hyperlink"/>
                <w:noProof/>
                <w:rtl/>
              </w:rPr>
              <w:t>1.6.2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6D2106B" w14:textId="29A8367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5" w:history="1">
            <w:r w:rsidR="00325FC1" w:rsidRPr="00A257F7">
              <w:rPr>
                <w:rStyle w:val="Hyperlink"/>
                <w:noProof/>
                <w:rtl/>
              </w:rPr>
              <w:t>1.6.3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3CCBBB5" w14:textId="25F20A8F"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6" w:history="1">
            <w:r w:rsidR="00325FC1" w:rsidRPr="00A257F7">
              <w:rPr>
                <w:rStyle w:val="Hyperlink"/>
                <w:noProof/>
                <w:rtl/>
              </w:rPr>
              <w:t>1.6.4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049B245" w14:textId="68F56BE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7" w:history="1">
            <w:r w:rsidR="00325FC1" w:rsidRPr="00A257F7">
              <w:rPr>
                <w:rStyle w:val="Hyperlink"/>
                <w:noProof/>
                <w:rtl/>
              </w:rPr>
              <w:t>1.6.5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648DEA8" w14:textId="2D28F74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8" w:history="1">
            <w:r w:rsidR="00325FC1" w:rsidRPr="00A257F7">
              <w:rPr>
                <w:rStyle w:val="Hyperlink"/>
                <w:noProof/>
                <w:rtl/>
              </w:rPr>
              <w:t>1.6.6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492817D" w14:textId="2F3C730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69" w:history="1">
            <w:r w:rsidR="00325FC1" w:rsidRPr="00A257F7">
              <w:rPr>
                <w:rStyle w:val="Hyperlink"/>
                <w:noProof/>
                <w:rtl/>
              </w:rPr>
              <w:t>1.6.7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Toc119092669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37E638F" w14:textId="76EE2049" w:rsidR="00325FC1" w:rsidRDefault="00DC014F">
          <w:pPr>
            <w:pStyle w:val="TOC1"/>
            <w:tabs>
              <w:tab w:val="right" w:leader="dot" w:pos="7134"/>
            </w:tabs>
            <w:rPr>
              <w:rFonts w:asciiTheme="minorHAnsi" w:eastAsiaTheme="minorEastAsia" w:hAnsiTheme="minorHAnsi" w:cstheme="minorBidi"/>
              <w:b w:val="0"/>
              <w:bCs w:val="0"/>
              <w:noProof/>
              <w:sz w:val="22"/>
              <w:szCs w:val="22"/>
              <w:rtl/>
            </w:rPr>
          </w:pPr>
          <w:hyperlink w:anchor="_Toc119092670" w:history="1">
            <w:r w:rsidR="00325FC1" w:rsidRPr="00A257F7">
              <w:rPr>
                <w:rStyle w:val="Hyperlink"/>
                <w:noProof/>
                <w:rtl/>
                <w:lang w:val="he"/>
              </w:rPr>
              <w:t>פרק ז</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2BE6C45" w14:textId="3F15A557"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71" w:history="1">
            <w:r w:rsidR="00325FC1" w:rsidRPr="00A257F7">
              <w:rPr>
                <w:rStyle w:val="Hyperlink"/>
                <w:noProof/>
                <w:rtl/>
              </w:rPr>
              <w:t>בשמות הנגזרים מהטבע וביאורם</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E4C6EB4" w14:textId="74C27B1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2" w:history="1">
            <w:r w:rsidR="00325FC1" w:rsidRPr="00A257F7">
              <w:rPr>
                <w:rStyle w:val="Hyperlink"/>
                <w:noProof/>
                <w:rtl/>
                <w:lang w:val="he"/>
              </w:rPr>
              <w:t>1.7.1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53FCEDA" w14:textId="5DCF7D6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3" w:history="1">
            <w:r w:rsidR="00325FC1" w:rsidRPr="00A257F7">
              <w:rPr>
                <w:rStyle w:val="Hyperlink"/>
                <w:noProof/>
                <w:rtl/>
                <w:lang w:val="he"/>
              </w:rPr>
              <w:t>1.7.2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BEF448D" w14:textId="54C155B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4" w:history="1">
            <w:r w:rsidR="00325FC1" w:rsidRPr="00A257F7">
              <w:rPr>
                <w:rStyle w:val="Hyperlink"/>
                <w:noProof/>
                <w:rtl/>
                <w:lang w:val="he"/>
              </w:rPr>
              <w:t>1.7.3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525E0BE" w14:textId="1881ADA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5" w:history="1">
            <w:r w:rsidR="00325FC1" w:rsidRPr="00A257F7">
              <w:rPr>
                <w:rStyle w:val="Hyperlink"/>
                <w:noProof/>
                <w:rtl/>
                <w:lang w:val="he"/>
              </w:rPr>
              <w:t>1.7.4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92B94E4" w14:textId="54469E3B"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76" w:history="1">
            <w:r w:rsidR="00325FC1" w:rsidRPr="00A257F7">
              <w:rPr>
                <w:rStyle w:val="Hyperlink"/>
                <w:noProof/>
                <w:rtl/>
              </w:rPr>
              <w:t>פרק ח</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7FBCDB0" w14:textId="248D8DA9"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677" w:history="1">
            <w:r w:rsidR="00325FC1" w:rsidRPr="00A257F7">
              <w:rPr>
                <w:rStyle w:val="Hyperlink"/>
                <w:noProof/>
                <w:rtl/>
                <w:lang w:val="he"/>
              </w:rPr>
              <w:t>על אופן החקירה של חכמת הטבע והמשותף לה עם חכמות אחרות, אם יש לה משותף</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20EB120" w14:textId="53EE0912"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8" w:history="1">
            <w:r w:rsidR="00325FC1" w:rsidRPr="00A257F7">
              <w:rPr>
                <w:rStyle w:val="Hyperlink"/>
                <w:noProof/>
                <w:rtl/>
                <w:lang w:val="he"/>
              </w:rPr>
              <w:t>1.8.1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8AE10D0" w14:textId="51F69989"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79" w:history="1">
            <w:r w:rsidR="00325FC1" w:rsidRPr="00A257F7">
              <w:rPr>
                <w:rStyle w:val="Hyperlink"/>
                <w:noProof/>
                <w:rtl/>
                <w:lang w:val="he"/>
              </w:rPr>
              <w:t>1.8.2</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Toc119092679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8C7BC87" w14:textId="4A222056"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0" w:history="1">
            <w:r w:rsidR="00325FC1" w:rsidRPr="00A257F7">
              <w:rPr>
                <w:rStyle w:val="Hyperlink"/>
                <w:noProof/>
                <w:rtl/>
                <w:lang w:val="he"/>
              </w:rPr>
              <w:t>1.8.3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1984D06" w14:textId="072B727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1" w:history="1">
            <w:r w:rsidR="00325FC1" w:rsidRPr="00A257F7">
              <w:rPr>
                <w:rStyle w:val="Hyperlink"/>
                <w:noProof/>
                <w:rtl/>
                <w:lang w:val="he"/>
              </w:rPr>
              <w:t>1.8.4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ACFD20B" w14:textId="0ED8A4B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2" w:history="1">
            <w:r w:rsidR="00325FC1" w:rsidRPr="00A257F7">
              <w:rPr>
                <w:rStyle w:val="Hyperlink"/>
                <w:noProof/>
                <w:rtl/>
              </w:rPr>
              <w:t>1.8.5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1B9DB5F" w14:textId="10A23504"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3" w:history="1">
            <w:r w:rsidR="00325FC1" w:rsidRPr="00A257F7">
              <w:rPr>
                <w:rStyle w:val="Hyperlink"/>
                <w:noProof/>
                <w:rtl/>
              </w:rPr>
              <w:t>1.8.6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2218A3B" w14:textId="064110EE"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4" w:history="1">
            <w:r w:rsidR="00325FC1" w:rsidRPr="00A257F7">
              <w:rPr>
                <w:rStyle w:val="Hyperlink"/>
                <w:noProof/>
                <w:rtl/>
              </w:rPr>
              <w:t>1.8.7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BC0AE2E" w14:textId="2514301E"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85" w:history="1">
            <w:r w:rsidR="00325FC1" w:rsidRPr="00A257F7">
              <w:rPr>
                <w:rStyle w:val="Hyperlink"/>
                <w:noProof/>
                <w:rtl/>
              </w:rPr>
              <w:t>פרק ט</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9E7161F" w14:textId="62540E45"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686" w:history="1">
            <w:r w:rsidR="00325FC1" w:rsidRPr="00A257F7">
              <w:rPr>
                <w:rStyle w:val="Hyperlink"/>
                <w:noProof/>
                <w:rtl/>
                <w:lang w:val="he"/>
              </w:rPr>
              <w:t>על הגדרת הסיבות שיש בהן את העניין הרב ביותר לחכם הטבע בחקירתו</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1485D09" w14:textId="78C95012"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7" w:history="1">
            <w:r w:rsidR="00325FC1" w:rsidRPr="00A257F7">
              <w:rPr>
                <w:rStyle w:val="Hyperlink"/>
                <w:noProof/>
                <w:rtl/>
                <w:lang w:val="he"/>
              </w:rPr>
              <w:t>1.9.1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025D777" w14:textId="620E0FE7"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8" w:history="1">
            <w:r w:rsidR="00325FC1" w:rsidRPr="00A257F7">
              <w:rPr>
                <w:rStyle w:val="Hyperlink"/>
                <w:noProof/>
                <w:rtl/>
              </w:rPr>
              <w:t>1.9.3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6C7EF15" w14:textId="5ED032B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89" w:history="1">
            <w:r w:rsidR="00325FC1" w:rsidRPr="00A257F7">
              <w:rPr>
                <w:rStyle w:val="Hyperlink"/>
                <w:noProof/>
                <w:rtl/>
              </w:rPr>
              <w:t>1.9.4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Toc119092689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F2BE665" w14:textId="4757020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0" w:history="1">
            <w:r w:rsidR="00325FC1" w:rsidRPr="00A257F7">
              <w:rPr>
                <w:rStyle w:val="Hyperlink"/>
                <w:noProof/>
                <w:rtl/>
              </w:rPr>
              <w:t>1.9.5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Toc119092690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0232B4F2" w14:textId="5E45A3C8" w:rsidR="00325FC1" w:rsidRDefault="00DC014F">
          <w:pPr>
            <w:pStyle w:val="TOC2"/>
            <w:tabs>
              <w:tab w:val="right" w:leader="dot" w:pos="7134"/>
            </w:tabs>
            <w:rPr>
              <w:rFonts w:asciiTheme="minorHAnsi" w:eastAsiaTheme="minorEastAsia" w:hAnsiTheme="minorHAnsi" w:cstheme="minorBidi"/>
              <w:b w:val="0"/>
              <w:bCs w:val="0"/>
              <w:noProof/>
              <w:sz w:val="22"/>
              <w:szCs w:val="22"/>
              <w:rtl/>
            </w:rPr>
          </w:pPr>
          <w:hyperlink w:anchor="_Toc119092691" w:history="1">
            <w:r w:rsidR="00325FC1" w:rsidRPr="00A257F7">
              <w:rPr>
                <w:rStyle w:val="Hyperlink"/>
                <w:noProof/>
                <w:rtl/>
              </w:rPr>
              <w:t>פרק י</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Toc119092691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6E544BF4" w14:textId="00297688" w:rsidR="00325FC1" w:rsidRDefault="00DC014F">
          <w:pPr>
            <w:pStyle w:val="TOC3"/>
            <w:tabs>
              <w:tab w:val="right" w:leader="dot" w:pos="7134"/>
            </w:tabs>
            <w:rPr>
              <w:rFonts w:asciiTheme="minorHAnsi" w:eastAsiaTheme="minorEastAsia" w:hAnsiTheme="minorHAnsi" w:cstheme="minorBidi"/>
              <w:b w:val="0"/>
              <w:bCs w:val="0"/>
              <w:noProof/>
              <w:sz w:val="22"/>
              <w:szCs w:val="22"/>
              <w:rtl/>
            </w:rPr>
          </w:pPr>
          <w:hyperlink w:anchor="_Toc119092692" w:history="1">
            <w:r w:rsidR="00325FC1" w:rsidRPr="00A257F7">
              <w:rPr>
                <w:rStyle w:val="Hyperlink"/>
                <w:noProof/>
                <w:rtl/>
                <w:lang w:val="he"/>
              </w:rPr>
              <w:t>פרק בידיעה של כל אחת מארבעת הסיבות</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Toc119092692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2F2B7A5" w14:textId="39206543"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3" w:history="1">
            <w:r w:rsidR="00325FC1" w:rsidRPr="00A257F7">
              <w:rPr>
                <w:rStyle w:val="Hyperlink"/>
                <w:noProof/>
                <w:rtl/>
                <w:lang w:val="he"/>
              </w:rPr>
              <w:t>1.10.1</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Toc119092693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47C03FE" w14:textId="29FDCCC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4" w:history="1">
            <w:r w:rsidR="00325FC1" w:rsidRPr="00A257F7">
              <w:rPr>
                <w:rStyle w:val="Hyperlink"/>
                <w:noProof/>
                <w:rtl/>
                <w:lang w:val="he"/>
              </w:rPr>
              <w:t>1.10.3</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Toc119092694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44B1F2F3" w14:textId="143C6401"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5" w:history="1">
            <w:r w:rsidR="00325FC1" w:rsidRPr="00A257F7">
              <w:rPr>
                <w:rStyle w:val="Hyperlink"/>
                <w:noProof/>
                <w:rtl/>
              </w:rPr>
              <w:t>1.10.4</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Toc119092695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79C23FA5" w14:textId="1D8DBD8A"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6" w:history="1">
            <w:r w:rsidR="00325FC1" w:rsidRPr="00A257F7">
              <w:rPr>
                <w:rStyle w:val="Hyperlink"/>
                <w:noProof/>
                <w:rtl/>
              </w:rPr>
              <w:t>1.10.5</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Toc119092696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2C10A84F" w14:textId="751DD0DB"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7" w:history="1">
            <w:r w:rsidR="00325FC1" w:rsidRPr="00A257F7">
              <w:rPr>
                <w:rStyle w:val="Hyperlink"/>
                <w:noProof/>
                <w:rtl/>
              </w:rPr>
              <w:t>1.10.6</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Toc119092697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1615B2D9" w14:textId="2398FA6C"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8" w:history="1">
            <w:r w:rsidR="00325FC1" w:rsidRPr="00A257F7">
              <w:rPr>
                <w:rStyle w:val="Hyperlink"/>
                <w:noProof/>
                <w:rtl/>
              </w:rPr>
              <w:t>1.10.7</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Toc119092698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597AE1A2" w14:textId="41FE2AC9" w:rsidR="00325FC1" w:rsidRDefault="00DC014F">
          <w:pPr>
            <w:pStyle w:val="TOC4"/>
            <w:tabs>
              <w:tab w:val="right" w:leader="dot" w:pos="7134"/>
            </w:tabs>
            <w:rPr>
              <w:rFonts w:asciiTheme="minorHAnsi" w:eastAsiaTheme="minorEastAsia" w:hAnsiTheme="minorHAnsi" w:cstheme="minorBidi"/>
              <w:b w:val="0"/>
              <w:bCs w:val="0"/>
              <w:noProof/>
              <w:sz w:val="22"/>
              <w:szCs w:val="22"/>
              <w:rtl/>
            </w:rPr>
          </w:pPr>
          <w:hyperlink w:anchor="_Toc119092699" w:history="1">
            <w:r w:rsidR="00325FC1" w:rsidRPr="00A257F7">
              <w:rPr>
                <w:rStyle w:val="Hyperlink"/>
                <w:noProof/>
                <w:rtl/>
              </w:rPr>
              <w:t>1.10.8</w:t>
            </w:r>
            <w:r w:rsidR="00325FC1">
              <w:rPr>
                <w:noProof/>
                <w:webHidden/>
                <w:rtl/>
              </w:rPr>
              <w:tab/>
            </w:r>
            <w:r w:rsidR="00325FC1">
              <w:rPr>
                <w:noProof/>
                <w:webHidden/>
                <w:rtl/>
              </w:rPr>
              <w:fldChar w:fldCharType="begin"/>
            </w:r>
            <w:r w:rsidR="00325FC1">
              <w:rPr>
                <w:noProof/>
                <w:webHidden/>
                <w:rtl/>
              </w:rPr>
              <w:instrText xml:space="preserve"> </w:instrText>
            </w:r>
            <w:r w:rsidR="00325FC1">
              <w:rPr>
                <w:noProof/>
                <w:webHidden/>
              </w:rPr>
              <w:instrText>PAGEREF</w:instrText>
            </w:r>
            <w:r w:rsidR="00325FC1">
              <w:rPr>
                <w:noProof/>
                <w:webHidden/>
                <w:rtl/>
              </w:rPr>
              <w:instrText xml:space="preserve"> _</w:instrText>
            </w:r>
            <w:r w:rsidR="00325FC1">
              <w:rPr>
                <w:noProof/>
                <w:webHidden/>
              </w:rPr>
              <w:instrText>Toc119092699 \h</w:instrText>
            </w:r>
            <w:r w:rsidR="00325FC1">
              <w:rPr>
                <w:noProof/>
                <w:webHidden/>
                <w:rtl/>
              </w:rPr>
              <w:instrText xml:space="preserve"> </w:instrText>
            </w:r>
            <w:r w:rsidR="00325FC1">
              <w:rPr>
                <w:noProof/>
                <w:webHidden/>
                <w:rtl/>
              </w:rPr>
            </w:r>
            <w:r w:rsidR="00325FC1">
              <w:rPr>
                <w:noProof/>
                <w:webHidden/>
                <w:rtl/>
              </w:rPr>
              <w:fldChar w:fldCharType="separate"/>
            </w:r>
            <w:r w:rsidR="00325FC1">
              <w:rPr>
                <w:noProof/>
                <w:webHidden/>
                <w:rtl/>
              </w:rPr>
              <w:t>1</w:t>
            </w:r>
            <w:r w:rsidR="00325FC1">
              <w:rPr>
                <w:noProof/>
                <w:webHidden/>
                <w:rtl/>
              </w:rPr>
              <w:fldChar w:fldCharType="end"/>
            </w:r>
          </w:hyperlink>
        </w:p>
        <w:p w14:paraId="3387F724" w14:textId="5A2EE389" w:rsidR="006B6855" w:rsidRDefault="006B6855">
          <w:r>
            <w:fldChar w:fldCharType="end"/>
          </w:r>
        </w:p>
      </w:sdtContent>
    </w:sdt>
    <w:p w14:paraId="2CF79AC3" w14:textId="2B4D345D" w:rsidR="006B6855" w:rsidRDefault="006B6855">
      <w:pPr>
        <w:rPr>
          <w:rtl/>
        </w:rPr>
      </w:pPr>
      <w:r>
        <w:rPr>
          <w:rtl/>
        </w:rPr>
        <w:br w:type="page"/>
      </w:r>
    </w:p>
    <w:p w14:paraId="4BDE98CB" w14:textId="36F88D10" w:rsidR="006B6855" w:rsidRPr="006B6855" w:rsidRDefault="006B6855" w:rsidP="00255430">
      <w:pPr>
        <w:rPr>
          <w:b w:val="0"/>
          <w:bCs w:val="0"/>
          <w:sz w:val="32"/>
          <w:szCs w:val="32"/>
          <w:rtl/>
        </w:rPr>
      </w:pPr>
      <w:r w:rsidRPr="006B6855">
        <w:rPr>
          <w:rFonts w:hint="cs"/>
          <w:b w:val="0"/>
          <w:bCs w:val="0"/>
          <w:sz w:val="32"/>
          <w:szCs w:val="32"/>
          <w:rtl/>
        </w:rPr>
        <w:t>אינדקס נושאים</w:t>
      </w:r>
    </w:p>
    <w:p w14:paraId="6D6E489C" w14:textId="77777777" w:rsidR="00A2120D" w:rsidRDefault="006B6855" w:rsidP="00255430">
      <w:pPr>
        <w:rPr>
          <w:noProof/>
          <w:rtl/>
        </w:rPr>
        <w:sectPr w:rsidR="00A2120D" w:rsidSect="00A2120D">
          <w:headerReference w:type="default" r:id="rId11"/>
          <w:footerReference w:type="default" r:id="rId12"/>
          <w:pgSz w:w="11906" w:h="16838" w:code="9"/>
          <w:pgMar w:top="1440" w:right="2381" w:bottom="1440" w:left="2381" w:header="709" w:footer="709" w:gutter="0"/>
          <w:cols w:space="708"/>
          <w:bidi/>
          <w:rtlGutter/>
          <w:docGrid w:linePitch="360"/>
        </w:sectPr>
      </w:pPr>
      <w:r>
        <w:rPr>
          <w:rtl/>
        </w:rPr>
        <w:fldChar w:fldCharType="begin"/>
      </w:r>
      <w:r>
        <w:rPr>
          <w:rtl/>
        </w:rPr>
        <w:instrText xml:space="preserve"> </w:instrText>
      </w:r>
      <w:r>
        <w:instrText>INDEX</w:instrText>
      </w:r>
      <w:r>
        <w:rPr>
          <w:rtl/>
        </w:rPr>
        <w:instrText xml:space="preserve"> \</w:instrText>
      </w:r>
      <w:r>
        <w:instrText>e "</w:instrText>
      </w:r>
      <w:r>
        <w:rPr>
          <w:rtl/>
        </w:rPr>
        <w:tab/>
      </w:r>
      <w:r>
        <w:instrText>" \c "1" \z "1037</w:instrText>
      </w:r>
      <w:r>
        <w:rPr>
          <w:rtl/>
        </w:rPr>
        <w:instrText xml:space="preserve">" </w:instrText>
      </w:r>
      <w:r>
        <w:rPr>
          <w:rtl/>
        </w:rPr>
        <w:fldChar w:fldCharType="separate"/>
      </w:r>
    </w:p>
    <w:p w14:paraId="3AE48654" w14:textId="77777777" w:rsidR="00A2120D" w:rsidRDefault="00A2120D">
      <w:pPr>
        <w:pStyle w:val="Index1"/>
        <w:tabs>
          <w:tab w:val="right" w:leader="dot" w:pos="7134"/>
        </w:tabs>
        <w:rPr>
          <w:rtl/>
        </w:rPr>
      </w:pPr>
      <w:r>
        <w:t>impetus</w:t>
      </w:r>
      <w:r>
        <w:rPr>
          <w:rtl/>
        </w:rPr>
        <w:tab/>
        <w:t>261</w:t>
      </w:r>
    </w:p>
    <w:p w14:paraId="6C020F84" w14:textId="77777777" w:rsidR="00A2120D" w:rsidRDefault="00A2120D">
      <w:pPr>
        <w:pStyle w:val="Index1"/>
        <w:tabs>
          <w:tab w:val="right" w:leader="dot" w:pos="7134"/>
        </w:tabs>
        <w:rPr>
          <w:rtl/>
        </w:rPr>
      </w:pPr>
      <w:r>
        <w:rPr>
          <w:rtl/>
        </w:rPr>
        <w:t>אחדות נעלמה בין תואר הגוף ובין הצורה המהותית</w:t>
      </w:r>
      <w:r>
        <w:rPr>
          <w:rtl/>
        </w:rPr>
        <w:tab/>
        <w:t>207</w:t>
      </w:r>
    </w:p>
    <w:p w14:paraId="261A3457" w14:textId="77777777" w:rsidR="00A2120D" w:rsidRDefault="00A2120D">
      <w:pPr>
        <w:pStyle w:val="Index1"/>
        <w:tabs>
          <w:tab w:val="right" w:leader="dot" w:pos="7134"/>
        </w:tabs>
        <w:rPr>
          <w:rtl/>
        </w:rPr>
      </w:pPr>
      <w:r>
        <w:rPr>
          <w:rtl/>
        </w:rPr>
        <w:t>'איבדע' - בריאה לא זמנית</w:t>
      </w:r>
      <w:r>
        <w:rPr>
          <w:rtl/>
        </w:rPr>
        <w:tab/>
        <w:t>160, 164</w:t>
      </w:r>
    </w:p>
    <w:p w14:paraId="5656AAF9" w14:textId="77777777" w:rsidR="00A2120D" w:rsidRDefault="00A2120D">
      <w:pPr>
        <w:pStyle w:val="Index1"/>
        <w:tabs>
          <w:tab w:val="right" w:leader="dot" w:pos="7134"/>
        </w:tabs>
        <w:rPr>
          <w:rtl/>
        </w:rPr>
      </w:pPr>
      <w:r>
        <w:rPr>
          <w:rtl/>
        </w:rPr>
        <w:t>אינרציה</w:t>
      </w:r>
      <w:r>
        <w:rPr>
          <w:rtl/>
        </w:rPr>
        <w:tab/>
        <w:t>107</w:t>
      </w:r>
    </w:p>
    <w:p w14:paraId="55E9E33B" w14:textId="77777777" w:rsidR="00A2120D" w:rsidRDefault="00A2120D">
      <w:pPr>
        <w:pStyle w:val="Index1"/>
        <w:tabs>
          <w:tab w:val="right" w:leader="dot" w:pos="7134"/>
        </w:tabs>
        <w:rPr>
          <w:rtl/>
        </w:rPr>
      </w:pPr>
      <w:r>
        <w:rPr>
          <w:rtl/>
        </w:rPr>
        <w:t>אלפראבי - מקרה התלת ממדיות של הגופים החומריים</w:t>
      </w:r>
      <w:r>
        <w:rPr>
          <w:rtl/>
        </w:rPr>
        <w:tab/>
        <w:t>345</w:t>
      </w:r>
    </w:p>
    <w:p w14:paraId="08BF20EF" w14:textId="77777777" w:rsidR="00A2120D" w:rsidRDefault="00A2120D">
      <w:pPr>
        <w:pStyle w:val="Index1"/>
        <w:tabs>
          <w:tab w:val="right" w:leader="dot" w:pos="7134"/>
        </w:tabs>
        <w:rPr>
          <w:rtl/>
        </w:rPr>
      </w:pPr>
      <w:r>
        <w:rPr>
          <w:rtl/>
        </w:rPr>
        <w:t>אפלטון - המציאות היא חי אחד</w:t>
      </w:r>
      <w:r>
        <w:rPr>
          <w:rtl/>
        </w:rPr>
        <w:tab/>
        <w:t>158</w:t>
      </w:r>
    </w:p>
    <w:p w14:paraId="275F23C7" w14:textId="77777777" w:rsidR="00A2120D" w:rsidRDefault="00A2120D">
      <w:pPr>
        <w:pStyle w:val="Index1"/>
        <w:tabs>
          <w:tab w:val="right" w:leader="dot" w:pos="7134"/>
        </w:tabs>
        <w:rPr>
          <w:rtl/>
        </w:rPr>
      </w:pPr>
      <w:r>
        <w:rPr>
          <w:rtl/>
        </w:rPr>
        <w:t>ארבעת היסודות - אינם חומר</w:t>
      </w:r>
      <w:r>
        <w:rPr>
          <w:rtl/>
        </w:rPr>
        <w:tab/>
        <w:t>368</w:t>
      </w:r>
    </w:p>
    <w:p w14:paraId="07EC508E" w14:textId="77777777" w:rsidR="00A2120D" w:rsidRDefault="00A2120D">
      <w:pPr>
        <w:pStyle w:val="Index1"/>
        <w:tabs>
          <w:tab w:val="right" w:leader="dot" w:pos="7134"/>
        </w:tabs>
        <w:rPr>
          <w:rtl/>
        </w:rPr>
      </w:pPr>
      <w:r w:rsidRPr="00D472C7">
        <w:rPr>
          <w:b/>
          <w:bCs/>
          <w:rtl/>
        </w:rPr>
        <w:t>ארבעת היסודות</w:t>
      </w:r>
      <w:r>
        <w:rPr>
          <w:rtl/>
        </w:rPr>
        <w:t xml:space="preserve"> - המונחים הערביים המשמשים להם</w:t>
      </w:r>
      <w:r>
        <w:rPr>
          <w:rtl/>
        </w:rPr>
        <w:tab/>
        <w:t>168</w:t>
      </w:r>
    </w:p>
    <w:p w14:paraId="0FDB0119" w14:textId="77777777" w:rsidR="00A2120D" w:rsidRDefault="00A2120D">
      <w:pPr>
        <w:pStyle w:val="Index1"/>
        <w:tabs>
          <w:tab w:val="right" w:leader="dot" w:pos="7134"/>
        </w:tabs>
        <w:rPr>
          <w:rtl/>
        </w:rPr>
      </w:pPr>
      <w:r>
        <w:rPr>
          <w:rtl/>
        </w:rPr>
        <w:t>ארבעת היסודות - הקשר בינם ובין דומם צומח חי</w:t>
      </w:r>
      <w:r>
        <w:rPr>
          <w:rtl/>
        </w:rPr>
        <w:tab/>
        <w:t>239</w:t>
      </w:r>
    </w:p>
    <w:p w14:paraId="5FC5E7AF" w14:textId="77777777" w:rsidR="00A2120D" w:rsidRDefault="00A2120D">
      <w:pPr>
        <w:pStyle w:val="Index1"/>
        <w:tabs>
          <w:tab w:val="right" w:leader="dot" w:pos="7134"/>
        </w:tabs>
        <w:rPr>
          <w:rtl/>
        </w:rPr>
      </w:pPr>
      <w:r>
        <w:rPr>
          <w:rtl/>
        </w:rPr>
        <w:t>ארבעת היסודות - לא סותרים את המדע החדש</w:t>
      </w:r>
      <w:r>
        <w:rPr>
          <w:rtl/>
        </w:rPr>
        <w:tab/>
        <w:t>167</w:t>
      </w:r>
    </w:p>
    <w:p w14:paraId="465608FA" w14:textId="77777777" w:rsidR="00A2120D" w:rsidRDefault="00A2120D">
      <w:pPr>
        <w:pStyle w:val="Index1"/>
        <w:tabs>
          <w:tab w:val="right" w:leader="dot" w:pos="7134"/>
        </w:tabs>
        <w:rPr>
          <w:rtl/>
        </w:rPr>
      </w:pPr>
      <w:r>
        <w:rPr>
          <w:rtl/>
        </w:rPr>
        <w:t>ארבעת היסודות משתנים מזה לזה</w:t>
      </w:r>
      <w:r>
        <w:rPr>
          <w:rtl/>
        </w:rPr>
        <w:tab/>
        <w:t>167</w:t>
      </w:r>
    </w:p>
    <w:p w14:paraId="6DA347F1" w14:textId="77777777" w:rsidR="00A2120D" w:rsidRDefault="00A2120D">
      <w:pPr>
        <w:pStyle w:val="Index1"/>
        <w:tabs>
          <w:tab w:val="right" w:leader="dot" w:pos="7134"/>
        </w:tabs>
        <w:rPr>
          <w:rtl/>
        </w:rPr>
      </w:pPr>
      <w:r>
        <w:rPr>
          <w:rtl/>
        </w:rPr>
        <w:t>ארבעת הסיבות</w:t>
      </w:r>
      <w:r>
        <w:rPr>
          <w:rtl/>
        </w:rPr>
        <w:tab/>
        <w:t>92, 113</w:t>
      </w:r>
    </w:p>
    <w:p w14:paraId="2C0BE2AF" w14:textId="77777777" w:rsidR="00A2120D" w:rsidRDefault="00A2120D">
      <w:pPr>
        <w:pStyle w:val="Index1"/>
        <w:tabs>
          <w:tab w:val="right" w:leader="dot" w:pos="7134"/>
        </w:tabs>
        <w:rPr>
          <w:rtl/>
        </w:rPr>
      </w:pPr>
      <w:r>
        <w:rPr>
          <w:rtl/>
        </w:rPr>
        <w:t>אריסטו</w:t>
      </w:r>
    </w:p>
    <w:p w14:paraId="5F043069" w14:textId="77777777" w:rsidR="00A2120D" w:rsidRDefault="00A2120D">
      <w:pPr>
        <w:pStyle w:val="Index2"/>
        <w:tabs>
          <w:tab w:val="right" w:leader="dot" w:pos="7134"/>
        </w:tabs>
        <w:rPr>
          <w:noProof/>
          <w:rtl/>
        </w:rPr>
      </w:pPr>
      <w:r>
        <w:rPr>
          <w:noProof/>
          <w:rtl/>
        </w:rPr>
        <w:t>אין סתירה למדע ממה שכתב אריסטו שהכוכבים הם מהיסוד החמישי ושהשמש מקיפה את הארץ</w:t>
      </w:r>
      <w:r>
        <w:rPr>
          <w:noProof/>
          <w:rtl/>
        </w:rPr>
        <w:tab/>
        <w:t>174</w:t>
      </w:r>
    </w:p>
    <w:p w14:paraId="3EC20802" w14:textId="77777777" w:rsidR="00A2120D" w:rsidRDefault="00A2120D">
      <w:pPr>
        <w:pStyle w:val="Index2"/>
        <w:tabs>
          <w:tab w:val="right" w:leader="dot" w:pos="7134"/>
        </w:tabs>
        <w:rPr>
          <w:noProof/>
          <w:rtl/>
        </w:rPr>
      </w:pPr>
      <w:r>
        <w:rPr>
          <w:noProof/>
          <w:rtl/>
        </w:rPr>
        <w:t>ארבעת היסודות משתנים מזה לזה</w:t>
      </w:r>
      <w:r>
        <w:rPr>
          <w:noProof/>
          <w:rtl/>
        </w:rPr>
        <w:tab/>
        <w:t>167</w:t>
      </w:r>
    </w:p>
    <w:p w14:paraId="34BA02BA" w14:textId="77777777" w:rsidR="00A2120D" w:rsidRDefault="00A2120D">
      <w:pPr>
        <w:pStyle w:val="Index2"/>
        <w:tabs>
          <w:tab w:val="right" w:leader="dot" w:pos="7134"/>
        </w:tabs>
        <w:rPr>
          <w:noProof/>
          <w:rtl/>
        </w:rPr>
      </w:pPr>
      <w:r>
        <w:rPr>
          <w:noProof/>
          <w:rtl/>
        </w:rPr>
        <w:t>המינים לשיטתו שונים מהמינים לפי הזואולוגיה המודרנית</w:t>
      </w:r>
      <w:r>
        <w:rPr>
          <w:noProof/>
          <w:rtl/>
        </w:rPr>
        <w:tab/>
        <w:t>27</w:t>
      </w:r>
    </w:p>
    <w:p w14:paraId="5F0776C8" w14:textId="77777777" w:rsidR="00A2120D" w:rsidRDefault="00A2120D">
      <w:pPr>
        <w:pStyle w:val="Index2"/>
        <w:tabs>
          <w:tab w:val="right" w:leader="dot" w:pos="7134"/>
        </w:tabs>
        <w:rPr>
          <w:noProof/>
          <w:rtl/>
        </w:rPr>
      </w:pPr>
      <w:r>
        <w:rPr>
          <w:noProof/>
          <w:rtl/>
        </w:rPr>
        <w:t>הנמצא במובן האמיתי הוא האינדיבידואל והמין הכולל הוא לא מחוץ לשכל</w:t>
      </w:r>
      <w:r>
        <w:rPr>
          <w:noProof/>
          <w:rtl/>
        </w:rPr>
        <w:tab/>
        <w:t>102</w:t>
      </w:r>
    </w:p>
    <w:p w14:paraId="3C64AEFF" w14:textId="77777777" w:rsidR="00A2120D" w:rsidRDefault="00A2120D">
      <w:pPr>
        <w:pStyle w:val="Index2"/>
        <w:tabs>
          <w:tab w:val="right" w:leader="dot" w:pos="7134"/>
        </w:tabs>
        <w:rPr>
          <w:noProof/>
          <w:rtl/>
        </w:rPr>
      </w:pPr>
      <w:r>
        <w:rPr>
          <w:noProof/>
          <w:rtl/>
        </w:rPr>
        <w:t>מטאפיזיקה יוטא א הכמות היא התחלת המציאות</w:t>
      </w:r>
      <w:r>
        <w:rPr>
          <w:noProof/>
          <w:rtl/>
        </w:rPr>
        <w:tab/>
        <w:t>129</w:t>
      </w:r>
    </w:p>
    <w:p w14:paraId="7D9A4C64" w14:textId="77777777" w:rsidR="00A2120D" w:rsidRDefault="00A2120D">
      <w:pPr>
        <w:pStyle w:val="Index2"/>
        <w:tabs>
          <w:tab w:val="right" w:leader="dot" w:pos="7134"/>
        </w:tabs>
        <w:rPr>
          <w:noProof/>
          <w:rtl/>
        </w:rPr>
      </w:pPr>
      <w:r>
        <w:rPr>
          <w:noProof/>
          <w:rtl/>
        </w:rPr>
        <w:t>מטאפיזיקה למבדא ז</w:t>
      </w:r>
      <w:r>
        <w:rPr>
          <w:noProof/>
          <w:rtl/>
        </w:rPr>
        <w:tab/>
        <w:t>142</w:t>
      </w:r>
    </w:p>
    <w:p w14:paraId="23719DC7" w14:textId="77777777" w:rsidR="00A2120D" w:rsidRDefault="00A2120D">
      <w:pPr>
        <w:pStyle w:val="Index2"/>
        <w:tabs>
          <w:tab w:val="right" w:leader="dot" w:pos="7134"/>
        </w:tabs>
        <w:rPr>
          <w:noProof/>
          <w:rtl/>
        </w:rPr>
      </w:pPr>
      <w:r>
        <w:rPr>
          <w:noProof/>
          <w:rtl/>
        </w:rPr>
        <w:t>מקורות על קיום עצם לא חומרי</w:t>
      </w:r>
      <w:r>
        <w:rPr>
          <w:noProof/>
          <w:rtl/>
        </w:rPr>
        <w:tab/>
        <w:t>35, 102</w:t>
      </w:r>
    </w:p>
    <w:p w14:paraId="58BEA219" w14:textId="77777777" w:rsidR="00A2120D" w:rsidRDefault="00A2120D">
      <w:pPr>
        <w:pStyle w:val="Index2"/>
        <w:tabs>
          <w:tab w:val="right" w:leader="dot" w:pos="7134"/>
        </w:tabs>
        <w:rPr>
          <w:noProof/>
          <w:rtl/>
        </w:rPr>
      </w:pPr>
      <w:r>
        <w:rPr>
          <w:noProof/>
          <w:rtl/>
        </w:rPr>
        <w:t>על השמיים א' א'  (תרגום פרק א וביאורו)</w:t>
      </w:r>
      <w:r>
        <w:rPr>
          <w:noProof/>
          <w:rtl/>
        </w:rPr>
        <w:tab/>
        <w:t>57</w:t>
      </w:r>
    </w:p>
    <w:p w14:paraId="245D8BE0" w14:textId="77777777" w:rsidR="00A2120D" w:rsidRDefault="00A2120D">
      <w:pPr>
        <w:pStyle w:val="Index2"/>
        <w:tabs>
          <w:tab w:val="right" w:leader="dot" w:pos="7134"/>
        </w:tabs>
        <w:rPr>
          <w:noProof/>
          <w:rtl/>
        </w:rPr>
      </w:pPr>
      <w:r>
        <w:rPr>
          <w:noProof/>
          <w:rtl/>
        </w:rPr>
        <w:t>פיזיקה א' פרק ט'</w:t>
      </w:r>
      <w:r>
        <w:rPr>
          <w:noProof/>
          <w:rtl/>
        </w:rPr>
        <w:tab/>
        <w:t>147</w:t>
      </w:r>
    </w:p>
    <w:p w14:paraId="33CBCE57" w14:textId="77777777" w:rsidR="00A2120D" w:rsidRDefault="00A2120D">
      <w:pPr>
        <w:pStyle w:val="Index2"/>
        <w:tabs>
          <w:tab w:val="right" w:leader="dot" w:pos="7134"/>
        </w:tabs>
        <w:rPr>
          <w:noProof/>
          <w:rtl/>
        </w:rPr>
      </w:pPr>
      <w:r>
        <w:rPr>
          <w:noProof/>
          <w:rtl/>
        </w:rPr>
        <w:t>פיזיקה ג ד-ו "הכל" או "השלם"</w:t>
      </w:r>
      <w:r>
        <w:rPr>
          <w:noProof/>
          <w:rtl/>
        </w:rPr>
        <w:tab/>
        <w:t>59</w:t>
      </w:r>
    </w:p>
    <w:p w14:paraId="2CB7C1C3" w14:textId="77777777" w:rsidR="00A2120D" w:rsidRDefault="00A2120D">
      <w:pPr>
        <w:pStyle w:val="Index2"/>
        <w:tabs>
          <w:tab w:val="right" w:leader="dot" w:pos="7134"/>
        </w:tabs>
        <w:rPr>
          <w:noProof/>
          <w:rtl/>
        </w:rPr>
      </w:pPr>
      <w:r>
        <w:rPr>
          <w:noProof/>
          <w:rtl/>
        </w:rPr>
        <w:t>פיזיקה ג' ו'</w:t>
      </w:r>
      <w:r>
        <w:rPr>
          <w:noProof/>
          <w:rtl/>
        </w:rPr>
        <w:tab/>
        <w:t>60</w:t>
      </w:r>
    </w:p>
    <w:p w14:paraId="20912DBC" w14:textId="77777777" w:rsidR="00A2120D" w:rsidRDefault="00A2120D">
      <w:pPr>
        <w:pStyle w:val="Index2"/>
        <w:tabs>
          <w:tab w:val="right" w:leader="dot" w:pos="7134"/>
        </w:tabs>
        <w:rPr>
          <w:noProof/>
          <w:rtl/>
        </w:rPr>
      </w:pPr>
      <w:r>
        <w:rPr>
          <w:noProof/>
          <w:rtl/>
        </w:rPr>
        <w:t>פיזיקה ד' ב' לפי אפלטון החומר הוא חלל</w:t>
      </w:r>
      <w:r>
        <w:rPr>
          <w:noProof/>
          <w:rtl/>
        </w:rPr>
        <w:tab/>
        <w:t>129</w:t>
      </w:r>
    </w:p>
    <w:p w14:paraId="7C943B3E" w14:textId="77777777" w:rsidR="00A2120D" w:rsidRDefault="00A2120D">
      <w:pPr>
        <w:pStyle w:val="Index2"/>
        <w:tabs>
          <w:tab w:val="right" w:leader="dot" w:pos="7134"/>
        </w:tabs>
        <w:rPr>
          <w:noProof/>
          <w:rtl/>
        </w:rPr>
      </w:pPr>
      <w:r>
        <w:rPr>
          <w:noProof/>
          <w:rtl/>
        </w:rPr>
        <w:t>פיזיקה ח, מציאותה של סיבה ראשונה לכל הטבע</w:t>
      </w:r>
      <w:r>
        <w:rPr>
          <w:noProof/>
          <w:rtl/>
        </w:rPr>
        <w:tab/>
        <w:t>107</w:t>
      </w:r>
    </w:p>
    <w:p w14:paraId="5DB1B155" w14:textId="77777777" w:rsidR="00A2120D" w:rsidRDefault="00A2120D">
      <w:pPr>
        <w:pStyle w:val="Index2"/>
        <w:tabs>
          <w:tab w:val="right" w:leader="dot" w:pos="7134"/>
        </w:tabs>
        <w:rPr>
          <w:noProof/>
          <w:rtl/>
        </w:rPr>
      </w:pPr>
      <w:r>
        <w:rPr>
          <w:noProof/>
          <w:rtl/>
        </w:rPr>
        <w:t>שם האלוהים</w:t>
      </w:r>
      <w:r>
        <w:rPr>
          <w:noProof/>
          <w:rtl/>
        </w:rPr>
        <w:tab/>
        <w:t>58</w:t>
      </w:r>
    </w:p>
    <w:p w14:paraId="04ECF4CE" w14:textId="77777777" w:rsidR="00A2120D" w:rsidRDefault="00A2120D">
      <w:pPr>
        <w:pStyle w:val="Index1"/>
        <w:tabs>
          <w:tab w:val="right" w:leader="dot" w:pos="7134"/>
        </w:tabs>
        <w:rPr>
          <w:rtl/>
        </w:rPr>
      </w:pPr>
      <w:r>
        <w:rPr>
          <w:rtl/>
        </w:rPr>
        <w:t>בוהו</w:t>
      </w:r>
      <w:r>
        <w:rPr>
          <w:rtl/>
        </w:rPr>
        <w:tab/>
        <w:t>57, 70, 96</w:t>
      </w:r>
    </w:p>
    <w:p w14:paraId="11783E08" w14:textId="77777777" w:rsidR="00A2120D" w:rsidRDefault="00A2120D">
      <w:pPr>
        <w:pStyle w:val="Index1"/>
        <w:tabs>
          <w:tab w:val="right" w:leader="dot" w:pos="7134"/>
        </w:tabs>
        <w:rPr>
          <w:rtl/>
        </w:rPr>
      </w:pPr>
      <w:r>
        <w:rPr>
          <w:rtl/>
        </w:rPr>
        <w:t>ביאור כללי מתחילת הפרק. המבט הארצי, המבט השמיימי והכולל הראשוני</w:t>
      </w:r>
      <w:r>
        <w:rPr>
          <w:rtl/>
        </w:rPr>
        <w:tab/>
        <w:t>34</w:t>
      </w:r>
    </w:p>
    <w:p w14:paraId="4CF07F6A" w14:textId="77777777" w:rsidR="00A2120D" w:rsidRDefault="00A2120D">
      <w:pPr>
        <w:pStyle w:val="Index1"/>
        <w:tabs>
          <w:tab w:val="right" w:leader="dot" w:pos="7134"/>
        </w:tabs>
        <w:rPr>
          <w:rtl/>
        </w:rPr>
      </w:pPr>
      <w:r>
        <w:rPr>
          <w:rtl/>
        </w:rPr>
        <w:t>'בין אדם לחברו' ו'בין אדם למקום' הם אחד - מסכת שבת ל"א א'</w:t>
      </w:r>
      <w:r>
        <w:rPr>
          <w:rtl/>
        </w:rPr>
        <w:tab/>
        <w:t>219</w:t>
      </w:r>
    </w:p>
    <w:p w14:paraId="4154DC6D" w14:textId="77777777" w:rsidR="00A2120D" w:rsidRDefault="00A2120D">
      <w:pPr>
        <w:pStyle w:val="Index1"/>
        <w:tabs>
          <w:tab w:val="right" w:leader="dot" w:pos="7134"/>
        </w:tabs>
        <w:rPr>
          <w:rtl/>
        </w:rPr>
      </w:pPr>
      <w:r>
        <w:rPr>
          <w:rtl/>
        </w:rPr>
        <w:t>בכח ובפועל</w:t>
      </w:r>
      <w:r>
        <w:rPr>
          <w:rtl/>
        </w:rPr>
        <w:tab/>
        <w:t>133</w:t>
      </w:r>
    </w:p>
    <w:p w14:paraId="6F99100C" w14:textId="77777777" w:rsidR="00A2120D" w:rsidRDefault="00A2120D">
      <w:pPr>
        <w:pStyle w:val="Index1"/>
        <w:tabs>
          <w:tab w:val="right" w:leader="dot" w:pos="7134"/>
        </w:tabs>
        <w:rPr>
          <w:rtl/>
        </w:rPr>
      </w:pPr>
      <w:r>
        <w:rPr>
          <w:rtl/>
        </w:rPr>
        <w:t>בכח ובפועל יסודם בתנועה המופשטת</w:t>
      </w:r>
      <w:r>
        <w:rPr>
          <w:rtl/>
        </w:rPr>
        <w:tab/>
        <w:t>309</w:t>
      </w:r>
    </w:p>
    <w:p w14:paraId="5E097D04" w14:textId="77777777" w:rsidR="00A2120D" w:rsidRDefault="00A2120D">
      <w:pPr>
        <w:pStyle w:val="Index1"/>
        <w:tabs>
          <w:tab w:val="right" w:leader="dot" w:pos="7134"/>
        </w:tabs>
        <w:rPr>
          <w:rtl/>
        </w:rPr>
      </w:pPr>
      <w:r>
        <w:rPr>
          <w:rtl/>
        </w:rPr>
        <w:t xml:space="preserve">ד'את </w:t>
      </w:r>
      <w:r w:rsidRPr="00D472C7">
        <w:rPr>
          <w:rFonts w:ascii="Arial" w:hAnsi="Arial" w:cs="Arial"/>
          <w:rtl/>
          <w:lang w:bidi="ar-SA"/>
        </w:rPr>
        <w:t>ذات</w:t>
      </w:r>
      <w:r>
        <w:rPr>
          <w:rtl/>
        </w:rPr>
        <w:t xml:space="preserve"> - תרגומה המדוייק עצמות</w:t>
      </w:r>
      <w:r>
        <w:rPr>
          <w:rtl/>
        </w:rPr>
        <w:tab/>
        <w:t>306</w:t>
      </w:r>
    </w:p>
    <w:p w14:paraId="2D0DE895" w14:textId="77777777" w:rsidR="00A2120D" w:rsidRDefault="00A2120D">
      <w:pPr>
        <w:pStyle w:val="Index1"/>
        <w:tabs>
          <w:tab w:val="right" w:leader="dot" w:pos="7134"/>
        </w:tabs>
        <w:rPr>
          <w:rtl/>
        </w:rPr>
      </w:pPr>
      <w:r>
        <w:rPr>
          <w:rtl/>
        </w:rPr>
        <w:t>האחד ברא אחד</w:t>
      </w:r>
      <w:r>
        <w:rPr>
          <w:rtl/>
        </w:rPr>
        <w:tab/>
        <w:t>70, 76, 96, 122</w:t>
      </w:r>
    </w:p>
    <w:p w14:paraId="09A065B6" w14:textId="77777777" w:rsidR="00A2120D" w:rsidRDefault="00A2120D">
      <w:pPr>
        <w:pStyle w:val="Index1"/>
        <w:tabs>
          <w:tab w:val="right" w:leader="dot" w:pos="7134"/>
        </w:tabs>
        <w:rPr>
          <w:rtl/>
        </w:rPr>
      </w:pPr>
      <w:r>
        <w:rPr>
          <w:rtl/>
        </w:rPr>
        <w:t>האצלה, שפע</w:t>
      </w:r>
      <w:r>
        <w:rPr>
          <w:rtl/>
        </w:rPr>
        <w:tab/>
        <w:t>155</w:t>
      </w:r>
    </w:p>
    <w:p w14:paraId="696AB8D4" w14:textId="77777777" w:rsidR="00A2120D" w:rsidRDefault="00A2120D">
      <w:pPr>
        <w:pStyle w:val="Index1"/>
        <w:tabs>
          <w:tab w:val="right" w:leader="dot" w:pos="7134"/>
        </w:tabs>
        <w:rPr>
          <w:rtl/>
        </w:rPr>
      </w:pPr>
      <w:r>
        <w:rPr>
          <w:rtl/>
        </w:rPr>
        <w:t>האר"י</w:t>
      </w:r>
      <w:r>
        <w:rPr>
          <w:rtl/>
        </w:rPr>
        <w:tab/>
        <w:t>44, 59, 60, 72, 74, 118, 216</w:t>
      </w:r>
    </w:p>
    <w:p w14:paraId="3E418252" w14:textId="77777777" w:rsidR="00A2120D" w:rsidRDefault="00A2120D">
      <w:pPr>
        <w:pStyle w:val="Index1"/>
        <w:tabs>
          <w:tab w:val="right" w:leader="dot" w:pos="7134"/>
        </w:tabs>
        <w:rPr>
          <w:rtl/>
        </w:rPr>
      </w:pPr>
      <w:r w:rsidRPr="00D472C7">
        <w:rPr>
          <w:b/>
          <w:bCs/>
          <w:rtl/>
        </w:rPr>
        <w:t>הבוהו</w:t>
      </w:r>
      <w:r>
        <w:rPr>
          <w:rtl/>
        </w:rPr>
        <w:tab/>
        <w:t>67</w:t>
      </w:r>
    </w:p>
    <w:p w14:paraId="72314D71" w14:textId="77777777" w:rsidR="00A2120D" w:rsidRDefault="00A2120D">
      <w:pPr>
        <w:pStyle w:val="Index1"/>
        <w:tabs>
          <w:tab w:val="right" w:leader="dot" w:pos="7134"/>
        </w:tabs>
        <w:rPr>
          <w:rtl/>
        </w:rPr>
      </w:pPr>
      <w:r>
        <w:rPr>
          <w:rtl/>
        </w:rPr>
        <w:t>ההיולי</w:t>
      </w:r>
      <w:r>
        <w:rPr>
          <w:rtl/>
        </w:rPr>
        <w:tab/>
        <w:t>158, 196</w:t>
      </w:r>
    </w:p>
    <w:p w14:paraId="6874D718" w14:textId="77777777" w:rsidR="00A2120D" w:rsidRDefault="00A2120D">
      <w:pPr>
        <w:pStyle w:val="Index1"/>
        <w:tabs>
          <w:tab w:val="right" w:leader="dot" w:pos="7134"/>
        </w:tabs>
        <w:rPr>
          <w:rtl/>
        </w:rPr>
      </w:pPr>
      <w:r>
        <w:rPr>
          <w:rtl/>
        </w:rPr>
        <w:t>ההעדר</w:t>
      </w:r>
      <w:r>
        <w:rPr>
          <w:rtl/>
        </w:rPr>
        <w:tab/>
        <w:t>115, 196</w:t>
      </w:r>
    </w:p>
    <w:p w14:paraId="656C950C" w14:textId="77777777" w:rsidR="00A2120D" w:rsidRDefault="00A2120D">
      <w:pPr>
        <w:pStyle w:val="Index1"/>
        <w:tabs>
          <w:tab w:val="right" w:leader="dot" w:pos="7134"/>
        </w:tabs>
        <w:rPr>
          <w:rtl/>
        </w:rPr>
      </w:pPr>
      <w:r>
        <w:rPr>
          <w:rtl/>
        </w:rPr>
        <w:t>ההעדר המיוחד</w:t>
      </w:r>
      <w:r>
        <w:rPr>
          <w:rtl/>
        </w:rPr>
        <w:tab/>
        <w:t>126</w:t>
      </w:r>
    </w:p>
    <w:p w14:paraId="119EEBB1" w14:textId="77777777" w:rsidR="00A2120D" w:rsidRDefault="00A2120D">
      <w:pPr>
        <w:pStyle w:val="Index1"/>
        <w:tabs>
          <w:tab w:val="right" w:leader="dot" w:pos="7134"/>
        </w:tabs>
        <w:rPr>
          <w:rtl/>
        </w:rPr>
      </w:pPr>
      <w:r>
        <w:rPr>
          <w:rtl/>
        </w:rPr>
        <w:t>ההעדר והצורות</w:t>
      </w:r>
      <w:r>
        <w:rPr>
          <w:rtl/>
        </w:rPr>
        <w:tab/>
        <w:t>133</w:t>
      </w:r>
    </w:p>
    <w:p w14:paraId="18C4A238" w14:textId="77777777" w:rsidR="00A2120D" w:rsidRDefault="00A2120D">
      <w:pPr>
        <w:pStyle w:val="Index1"/>
        <w:tabs>
          <w:tab w:val="right" w:leader="dot" w:pos="7134"/>
        </w:tabs>
        <w:rPr>
          <w:rtl/>
        </w:rPr>
      </w:pPr>
      <w:r>
        <w:rPr>
          <w:rtl/>
        </w:rPr>
        <w:t>ההתחלות נצחיות וכלליות - מקור מאריסטו לזה</w:t>
      </w:r>
      <w:r>
        <w:rPr>
          <w:rtl/>
        </w:rPr>
        <w:tab/>
        <w:t>205</w:t>
      </w:r>
    </w:p>
    <w:p w14:paraId="4A900BAB" w14:textId="77777777" w:rsidR="00A2120D" w:rsidRDefault="00A2120D">
      <w:pPr>
        <w:pStyle w:val="Index1"/>
        <w:tabs>
          <w:tab w:val="right" w:leader="dot" w:pos="7134"/>
        </w:tabs>
        <w:rPr>
          <w:rtl/>
        </w:rPr>
      </w:pPr>
      <w:r>
        <w:rPr>
          <w:rtl/>
        </w:rPr>
        <w:t>החומר החמישי</w:t>
      </w:r>
      <w:r>
        <w:rPr>
          <w:rtl/>
        </w:rPr>
        <w:tab/>
        <w:t>163</w:t>
      </w:r>
    </w:p>
    <w:p w14:paraId="131C8A59" w14:textId="77777777" w:rsidR="00A2120D" w:rsidRDefault="00A2120D">
      <w:pPr>
        <w:pStyle w:val="Index1"/>
        <w:tabs>
          <w:tab w:val="right" w:leader="dot" w:pos="7134"/>
        </w:tabs>
        <w:rPr>
          <w:rtl/>
        </w:rPr>
      </w:pPr>
      <w:r>
        <w:rPr>
          <w:rtl/>
        </w:rPr>
        <w:t>החומר הראשון</w:t>
      </w:r>
      <w:r>
        <w:rPr>
          <w:rtl/>
        </w:rPr>
        <w:tab/>
        <w:t>44, 49, 62, 67, 70, 75, 80, 86, 87, 96, 106, 110, 112, 122, 125, 150</w:t>
      </w:r>
    </w:p>
    <w:p w14:paraId="48F42909" w14:textId="77777777" w:rsidR="00A2120D" w:rsidRDefault="00A2120D">
      <w:pPr>
        <w:pStyle w:val="Index1"/>
        <w:tabs>
          <w:tab w:val="right" w:leader="dot" w:pos="7134"/>
        </w:tabs>
        <w:rPr>
          <w:rtl/>
        </w:rPr>
      </w:pPr>
      <w:r>
        <w:rPr>
          <w:rtl/>
        </w:rPr>
        <w:t>החומר הראשון - אינו קיים בפני עצמו</w:t>
      </w:r>
      <w:r>
        <w:rPr>
          <w:rtl/>
        </w:rPr>
        <w:tab/>
        <w:t>393</w:t>
      </w:r>
    </w:p>
    <w:p w14:paraId="59D71AA8" w14:textId="77777777" w:rsidR="00A2120D" w:rsidRDefault="00A2120D">
      <w:pPr>
        <w:pStyle w:val="Index1"/>
        <w:tabs>
          <w:tab w:val="right" w:leader="dot" w:pos="7134"/>
        </w:tabs>
        <w:rPr>
          <w:rtl/>
        </w:rPr>
      </w:pPr>
      <w:r>
        <w:rPr>
          <w:rtl/>
        </w:rPr>
        <w:t>החומר הראשון - גם חומר מורכב רואים בעדו את החומר הראשון</w:t>
      </w:r>
      <w:r>
        <w:rPr>
          <w:rtl/>
        </w:rPr>
        <w:tab/>
        <w:t>206</w:t>
      </w:r>
    </w:p>
    <w:p w14:paraId="2C267773" w14:textId="77777777" w:rsidR="00A2120D" w:rsidRDefault="00A2120D">
      <w:pPr>
        <w:pStyle w:val="Index1"/>
        <w:tabs>
          <w:tab w:val="right" w:leader="dot" w:pos="7134"/>
        </w:tabs>
        <w:rPr>
          <w:rtl/>
        </w:rPr>
      </w:pPr>
      <w:r>
        <w:rPr>
          <w:rtl/>
        </w:rPr>
        <w:t>החומר הראשון - השגתו היא השגת הבורא</w:t>
      </w:r>
      <w:r>
        <w:rPr>
          <w:rtl/>
        </w:rPr>
        <w:tab/>
        <w:t>296</w:t>
      </w:r>
    </w:p>
    <w:p w14:paraId="5AC13724" w14:textId="77777777" w:rsidR="00A2120D" w:rsidRDefault="00A2120D">
      <w:pPr>
        <w:pStyle w:val="Index1"/>
        <w:tabs>
          <w:tab w:val="right" w:leader="dot" w:pos="7134"/>
        </w:tabs>
        <w:rPr>
          <w:rtl/>
        </w:rPr>
      </w:pPr>
      <w:r>
        <w:rPr>
          <w:rtl/>
        </w:rPr>
        <w:t>החומר הראשון - מקורות מאריסטו</w:t>
      </w:r>
      <w:r>
        <w:rPr>
          <w:rtl/>
        </w:rPr>
        <w:tab/>
        <w:t>150</w:t>
      </w:r>
    </w:p>
    <w:p w14:paraId="416D3B0B" w14:textId="77777777" w:rsidR="00A2120D" w:rsidRDefault="00A2120D">
      <w:pPr>
        <w:pStyle w:val="Index1"/>
        <w:tabs>
          <w:tab w:val="right" w:leader="dot" w:pos="7134"/>
        </w:tabs>
        <w:rPr>
          <w:rtl/>
        </w:rPr>
      </w:pPr>
      <w:r>
        <w:rPr>
          <w:rtl/>
        </w:rPr>
        <w:t>החומר הראשון כמקור המציאות</w:t>
      </w:r>
      <w:r>
        <w:rPr>
          <w:rtl/>
        </w:rPr>
        <w:tab/>
        <w:t>96, 122</w:t>
      </w:r>
    </w:p>
    <w:p w14:paraId="167EDC1B" w14:textId="77777777" w:rsidR="00A2120D" w:rsidRDefault="00A2120D">
      <w:pPr>
        <w:pStyle w:val="Index1"/>
        <w:tabs>
          <w:tab w:val="right" w:leader="dot" w:pos="7134"/>
        </w:tabs>
        <w:rPr>
          <w:rtl/>
        </w:rPr>
      </w:pPr>
      <w:r>
        <w:rPr>
          <w:rtl/>
        </w:rPr>
        <w:t>החומר הראשון של הגופים הארציים והיסוד החמישי השמיימי</w:t>
      </w:r>
      <w:r>
        <w:rPr>
          <w:rtl/>
        </w:rPr>
        <w:tab/>
        <w:t>161, 170</w:t>
      </w:r>
    </w:p>
    <w:p w14:paraId="1BCEB9BF" w14:textId="77777777" w:rsidR="00A2120D" w:rsidRDefault="00A2120D">
      <w:pPr>
        <w:pStyle w:val="Index1"/>
        <w:tabs>
          <w:tab w:val="right" w:leader="dot" w:pos="7134"/>
        </w:tabs>
        <w:rPr>
          <w:rtl/>
        </w:rPr>
      </w:pPr>
      <w:r>
        <w:rPr>
          <w:rtl/>
        </w:rPr>
        <w:t>החוש תופש צורות בלבד</w:t>
      </w:r>
      <w:r>
        <w:rPr>
          <w:rtl/>
        </w:rPr>
        <w:tab/>
        <w:t>42</w:t>
      </w:r>
    </w:p>
    <w:p w14:paraId="64B8A83B" w14:textId="77777777" w:rsidR="00A2120D" w:rsidRDefault="00A2120D">
      <w:pPr>
        <w:pStyle w:val="Index1"/>
        <w:tabs>
          <w:tab w:val="right" w:leader="dot" w:pos="7134"/>
        </w:tabs>
        <w:rPr>
          <w:rtl/>
        </w:rPr>
      </w:pPr>
      <w:r>
        <w:rPr>
          <w:rtl/>
        </w:rPr>
        <w:t>החיים שבחומר</w:t>
      </w:r>
      <w:r>
        <w:rPr>
          <w:rtl/>
        </w:rPr>
        <w:tab/>
        <w:t>156</w:t>
      </w:r>
    </w:p>
    <w:p w14:paraId="1B1AC317" w14:textId="77777777" w:rsidR="00A2120D" w:rsidRDefault="00A2120D">
      <w:pPr>
        <w:pStyle w:val="Index1"/>
        <w:tabs>
          <w:tab w:val="right" w:leader="dot" w:pos="7134"/>
        </w:tabs>
        <w:rPr>
          <w:rtl/>
        </w:rPr>
      </w:pPr>
      <w:r>
        <w:rPr>
          <w:rtl/>
        </w:rPr>
        <w:t>היולי</w:t>
      </w:r>
      <w:r>
        <w:rPr>
          <w:rtl/>
        </w:rPr>
        <w:tab/>
        <w:t>60, 65, 70, 205</w:t>
      </w:r>
    </w:p>
    <w:p w14:paraId="6CBB1328" w14:textId="77777777" w:rsidR="00A2120D" w:rsidRDefault="00A2120D">
      <w:pPr>
        <w:pStyle w:val="Index1"/>
        <w:tabs>
          <w:tab w:val="right" w:leader="dot" w:pos="7134"/>
        </w:tabs>
        <w:rPr>
          <w:rtl/>
        </w:rPr>
      </w:pPr>
      <w:r>
        <w:rPr>
          <w:rtl/>
        </w:rPr>
        <w:t>היולי - הגדרת המונח</w:t>
      </w:r>
      <w:r>
        <w:rPr>
          <w:rtl/>
        </w:rPr>
        <w:tab/>
        <w:t>65, 81</w:t>
      </w:r>
    </w:p>
    <w:p w14:paraId="5FDAE283" w14:textId="77777777" w:rsidR="00A2120D" w:rsidRDefault="00A2120D">
      <w:pPr>
        <w:pStyle w:val="Index1"/>
        <w:tabs>
          <w:tab w:val="right" w:leader="dot" w:pos="7134"/>
        </w:tabs>
        <w:rPr>
          <w:rtl/>
        </w:rPr>
      </w:pPr>
      <w:r>
        <w:rPr>
          <w:rtl/>
        </w:rPr>
        <w:t>היולי - הגדרתו בספר ההגדרות של אבן סינא</w:t>
      </w:r>
      <w:r>
        <w:rPr>
          <w:rtl/>
        </w:rPr>
        <w:tab/>
        <w:t>65</w:t>
      </w:r>
    </w:p>
    <w:p w14:paraId="6B309487" w14:textId="77777777" w:rsidR="00A2120D" w:rsidRDefault="00A2120D">
      <w:pPr>
        <w:pStyle w:val="Index1"/>
        <w:tabs>
          <w:tab w:val="right" w:leader="dot" w:pos="7134"/>
        </w:tabs>
        <w:rPr>
          <w:rtl/>
        </w:rPr>
      </w:pPr>
      <w:r>
        <w:rPr>
          <w:rtl/>
        </w:rPr>
        <w:t>היולי - למה בהכרח יש חומר היולי</w:t>
      </w:r>
      <w:r>
        <w:rPr>
          <w:rtl/>
        </w:rPr>
        <w:tab/>
        <w:t>370</w:t>
      </w:r>
    </w:p>
    <w:p w14:paraId="41BEF02F" w14:textId="77777777" w:rsidR="00A2120D" w:rsidRDefault="00A2120D">
      <w:pPr>
        <w:pStyle w:val="Index1"/>
        <w:tabs>
          <w:tab w:val="right" w:leader="dot" w:pos="7134"/>
        </w:tabs>
        <w:rPr>
          <w:rtl/>
        </w:rPr>
      </w:pPr>
      <w:r>
        <w:rPr>
          <w:rtl/>
        </w:rPr>
        <w:t>היסודות - קביעת מקומם</w:t>
      </w:r>
      <w:r>
        <w:rPr>
          <w:rtl/>
        </w:rPr>
        <w:tab/>
        <w:t>329</w:t>
      </w:r>
    </w:p>
    <w:p w14:paraId="55111FB4" w14:textId="77777777" w:rsidR="00A2120D" w:rsidRDefault="00A2120D">
      <w:pPr>
        <w:pStyle w:val="Index1"/>
        <w:tabs>
          <w:tab w:val="right" w:leader="dot" w:pos="7134"/>
        </w:tabs>
        <w:rPr>
          <w:rtl/>
        </w:rPr>
      </w:pPr>
      <w:r>
        <w:rPr>
          <w:rtl/>
        </w:rPr>
        <w:t>היפך</w:t>
      </w:r>
      <w:r>
        <w:rPr>
          <w:rtl/>
        </w:rPr>
        <w:tab/>
        <w:t>130</w:t>
      </w:r>
    </w:p>
    <w:p w14:paraId="0CFA140F" w14:textId="77777777" w:rsidR="00A2120D" w:rsidRDefault="00A2120D">
      <w:pPr>
        <w:pStyle w:val="Index1"/>
        <w:tabs>
          <w:tab w:val="right" w:leader="dot" w:pos="7134"/>
        </w:tabs>
        <w:rPr>
          <w:rtl/>
        </w:rPr>
      </w:pPr>
      <w:r>
        <w:rPr>
          <w:rtl/>
        </w:rPr>
        <w:t>הכח המדבר</w:t>
      </w:r>
      <w:r>
        <w:rPr>
          <w:rtl/>
        </w:rPr>
        <w:tab/>
        <w:t>31</w:t>
      </w:r>
    </w:p>
    <w:p w14:paraId="70E04ADA" w14:textId="77777777" w:rsidR="00A2120D" w:rsidRDefault="00A2120D">
      <w:pPr>
        <w:pStyle w:val="Index1"/>
        <w:tabs>
          <w:tab w:val="right" w:leader="dot" w:pos="7134"/>
        </w:tabs>
        <w:rPr>
          <w:rtl/>
        </w:rPr>
      </w:pPr>
      <w:r>
        <w:rPr>
          <w:rtl/>
        </w:rPr>
        <w:t>הכמות</w:t>
      </w:r>
      <w:r>
        <w:rPr>
          <w:rtl/>
        </w:rPr>
        <w:tab/>
        <w:t>62, 130, 172</w:t>
      </w:r>
    </w:p>
    <w:p w14:paraId="67A4915E" w14:textId="77777777" w:rsidR="00A2120D" w:rsidRDefault="00A2120D">
      <w:pPr>
        <w:pStyle w:val="Index1"/>
        <w:tabs>
          <w:tab w:val="right" w:leader="dot" w:pos="7134"/>
        </w:tabs>
        <w:rPr>
          <w:rtl/>
        </w:rPr>
      </w:pPr>
      <w:r>
        <w:rPr>
          <w:rtl/>
        </w:rPr>
        <w:t>הכרחי המציאות</w:t>
      </w:r>
      <w:r>
        <w:rPr>
          <w:rtl/>
        </w:rPr>
        <w:tab/>
        <w:t>22</w:t>
      </w:r>
    </w:p>
    <w:p w14:paraId="2F69ACE0" w14:textId="77777777" w:rsidR="00A2120D" w:rsidRDefault="00A2120D">
      <w:pPr>
        <w:pStyle w:val="Index1"/>
        <w:tabs>
          <w:tab w:val="right" w:leader="dot" w:pos="7134"/>
        </w:tabs>
        <w:rPr>
          <w:rtl/>
        </w:rPr>
      </w:pPr>
      <w:r w:rsidRPr="00D472C7">
        <w:rPr>
          <w:b/>
          <w:bCs/>
          <w:rtl/>
        </w:rPr>
        <w:t>המונחים הערביים המשמשים לארבעת היסודות</w:t>
      </w:r>
      <w:r>
        <w:rPr>
          <w:rtl/>
        </w:rPr>
        <w:tab/>
        <w:t>168</w:t>
      </w:r>
    </w:p>
    <w:p w14:paraId="0419CC2B" w14:textId="77777777" w:rsidR="00A2120D" w:rsidRDefault="00A2120D">
      <w:pPr>
        <w:pStyle w:val="Index1"/>
        <w:tabs>
          <w:tab w:val="right" w:leader="dot" w:pos="7134"/>
        </w:tabs>
        <w:rPr>
          <w:rtl/>
        </w:rPr>
      </w:pPr>
      <w:r>
        <w:rPr>
          <w:rtl/>
        </w:rPr>
        <w:t>המושכלות - מה היא "השגת המושכלות"</w:t>
      </w:r>
      <w:r>
        <w:rPr>
          <w:rtl/>
        </w:rPr>
        <w:tab/>
        <w:t>376</w:t>
      </w:r>
    </w:p>
    <w:p w14:paraId="6CBA4956" w14:textId="77777777" w:rsidR="00A2120D" w:rsidRDefault="00A2120D">
      <w:pPr>
        <w:pStyle w:val="Index1"/>
        <w:tabs>
          <w:tab w:val="right" w:leader="dot" w:pos="7134"/>
        </w:tabs>
        <w:rPr>
          <w:rtl/>
        </w:rPr>
      </w:pPr>
      <w:r w:rsidRPr="00D472C7">
        <w:rPr>
          <w:rtl/>
          <w:lang w:val="he"/>
        </w:rPr>
        <w:t>המספרים - מציאותם</w:t>
      </w:r>
      <w:r>
        <w:rPr>
          <w:rtl/>
        </w:rPr>
        <w:tab/>
        <w:t>351</w:t>
      </w:r>
    </w:p>
    <w:p w14:paraId="419C5F87" w14:textId="77777777" w:rsidR="00A2120D" w:rsidRDefault="00A2120D">
      <w:pPr>
        <w:pStyle w:val="Index1"/>
        <w:tabs>
          <w:tab w:val="right" w:leader="dot" w:pos="7134"/>
        </w:tabs>
        <w:rPr>
          <w:rtl/>
        </w:rPr>
      </w:pPr>
      <w:r>
        <w:rPr>
          <w:rtl/>
        </w:rPr>
        <w:t>המצע</w:t>
      </w:r>
      <w:r>
        <w:rPr>
          <w:rtl/>
        </w:rPr>
        <w:tab/>
        <w:t>106, 142, 147, 163</w:t>
      </w:r>
    </w:p>
    <w:p w14:paraId="27099E7A" w14:textId="77777777" w:rsidR="00A2120D" w:rsidRDefault="00A2120D">
      <w:pPr>
        <w:pStyle w:val="Index1"/>
        <w:tabs>
          <w:tab w:val="right" w:leader="dot" w:pos="7134"/>
        </w:tabs>
        <w:rPr>
          <w:rtl/>
        </w:rPr>
      </w:pPr>
      <w:r>
        <w:rPr>
          <w:rtl/>
        </w:rPr>
        <w:t>המקרה - גילוי הרצון האלוהי</w:t>
      </w:r>
      <w:r>
        <w:rPr>
          <w:rtl/>
        </w:rPr>
        <w:tab/>
        <w:t>156</w:t>
      </w:r>
    </w:p>
    <w:p w14:paraId="37117F65" w14:textId="77777777" w:rsidR="00A2120D" w:rsidRDefault="00A2120D">
      <w:pPr>
        <w:pStyle w:val="Index1"/>
        <w:tabs>
          <w:tab w:val="right" w:leader="dot" w:pos="7134"/>
        </w:tabs>
        <w:rPr>
          <w:rtl/>
        </w:rPr>
      </w:pPr>
      <w:r w:rsidRPr="00D472C7">
        <w:rPr>
          <w:b/>
          <w:bCs/>
          <w:rtl/>
        </w:rPr>
        <w:t>המקרה - סוד אופן מציאותו</w:t>
      </w:r>
      <w:r>
        <w:rPr>
          <w:rtl/>
        </w:rPr>
        <w:tab/>
        <w:t>207</w:t>
      </w:r>
    </w:p>
    <w:p w14:paraId="35510DB3" w14:textId="77777777" w:rsidR="00A2120D" w:rsidRDefault="00A2120D">
      <w:pPr>
        <w:pStyle w:val="Index1"/>
        <w:tabs>
          <w:tab w:val="right" w:leader="dot" w:pos="7134"/>
        </w:tabs>
        <w:rPr>
          <w:rtl/>
        </w:rPr>
      </w:pPr>
      <w:r>
        <w:rPr>
          <w:rtl/>
        </w:rPr>
        <w:t>הנמשל של חכמת הקבלה</w:t>
      </w:r>
      <w:r>
        <w:rPr>
          <w:rtl/>
        </w:rPr>
        <w:tab/>
        <w:t>163, 175</w:t>
      </w:r>
    </w:p>
    <w:p w14:paraId="018754DD" w14:textId="77777777" w:rsidR="00A2120D" w:rsidRDefault="00A2120D">
      <w:pPr>
        <w:pStyle w:val="Index1"/>
        <w:tabs>
          <w:tab w:val="right" w:leader="dot" w:pos="7134"/>
        </w:tabs>
        <w:rPr>
          <w:rtl/>
        </w:rPr>
      </w:pPr>
      <w:r>
        <w:rPr>
          <w:rtl/>
        </w:rPr>
        <w:t>העדר</w:t>
      </w:r>
      <w:r>
        <w:rPr>
          <w:rtl/>
        </w:rPr>
        <w:tab/>
        <w:t>132</w:t>
      </w:r>
    </w:p>
    <w:p w14:paraId="3FCF44AD" w14:textId="77777777" w:rsidR="00A2120D" w:rsidRDefault="00A2120D">
      <w:pPr>
        <w:pStyle w:val="Index1"/>
        <w:tabs>
          <w:tab w:val="right" w:leader="dot" w:pos="7134"/>
        </w:tabs>
        <w:rPr>
          <w:rtl/>
        </w:rPr>
      </w:pPr>
      <w:r>
        <w:rPr>
          <w:rtl/>
        </w:rPr>
        <w:t>העדר כללי</w:t>
      </w:r>
      <w:r>
        <w:rPr>
          <w:rtl/>
        </w:rPr>
        <w:tab/>
        <w:t>126</w:t>
      </w:r>
    </w:p>
    <w:p w14:paraId="0D8A8901" w14:textId="77777777" w:rsidR="00A2120D" w:rsidRDefault="00A2120D">
      <w:pPr>
        <w:pStyle w:val="Index1"/>
        <w:tabs>
          <w:tab w:val="right" w:leader="dot" w:pos="7134"/>
        </w:tabs>
        <w:rPr>
          <w:rtl/>
        </w:rPr>
      </w:pPr>
      <w:r>
        <w:rPr>
          <w:rtl/>
        </w:rPr>
        <w:t>הצורות המופשטות - אין מחלוקת בין אפלטון ואריסטו לגבי מציאותן</w:t>
      </w:r>
      <w:r>
        <w:rPr>
          <w:rtl/>
        </w:rPr>
        <w:tab/>
        <w:t>340</w:t>
      </w:r>
    </w:p>
    <w:p w14:paraId="16B69660" w14:textId="77777777" w:rsidR="00A2120D" w:rsidRDefault="00A2120D">
      <w:pPr>
        <w:pStyle w:val="Index1"/>
        <w:tabs>
          <w:tab w:val="right" w:leader="dot" w:pos="7134"/>
        </w:tabs>
        <w:rPr>
          <w:rtl/>
        </w:rPr>
      </w:pPr>
      <w:r>
        <w:rPr>
          <w:rtl/>
        </w:rPr>
        <w:t>הצורות המופשטות - מקומן ומקורן</w:t>
      </w:r>
      <w:r>
        <w:rPr>
          <w:rtl/>
        </w:rPr>
        <w:tab/>
        <w:t>319</w:t>
      </w:r>
    </w:p>
    <w:p w14:paraId="75B39E63" w14:textId="77777777" w:rsidR="00A2120D" w:rsidRDefault="00A2120D">
      <w:pPr>
        <w:pStyle w:val="Index1"/>
        <w:tabs>
          <w:tab w:val="right" w:leader="dot" w:pos="7134"/>
        </w:tabs>
        <w:rPr>
          <w:rtl/>
        </w:rPr>
      </w:pPr>
      <w:r>
        <w:rPr>
          <w:rtl/>
        </w:rPr>
        <w:t>הקטגוריות</w:t>
      </w:r>
      <w:r>
        <w:rPr>
          <w:rtl/>
        </w:rPr>
        <w:tab/>
        <w:t>62</w:t>
      </w:r>
    </w:p>
    <w:p w14:paraId="06D0410B" w14:textId="77777777" w:rsidR="00A2120D" w:rsidRDefault="00A2120D">
      <w:pPr>
        <w:pStyle w:val="Index1"/>
        <w:tabs>
          <w:tab w:val="right" w:leader="dot" w:pos="7134"/>
        </w:tabs>
        <w:rPr>
          <w:rtl/>
        </w:rPr>
      </w:pPr>
      <w:r>
        <w:rPr>
          <w:rtl/>
        </w:rPr>
        <w:t>הקשר בין צורה מהותית לתואר</w:t>
      </w:r>
      <w:r>
        <w:rPr>
          <w:rtl/>
        </w:rPr>
        <w:tab/>
        <w:t>134</w:t>
      </w:r>
    </w:p>
    <w:p w14:paraId="7E5BE6E2" w14:textId="77777777" w:rsidR="00A2120D" w:rsidRDefault="00A2120D">
      <w:pPr>
        <w:pStyle w:val="Index1"/>
        <w:tabs>
          <w:tab w:val="right" w:leader="dot" w:pos="7134"/>
        </w:tabs>
        <w:rPr>
          <w:rtl/>
        </w:rPr>
      </w:pPr>
      <w:r>
        <w:rPr>
          <w:rtl/>
        </w:rPr>
        <w:t>הרמב"ם בהלכות יסודי התורה ב' ב'</w:t>
      </w:r>
    </w:p>
    <w:p w14:paraId="26B56C88" w14:textId="77777777" w:rsidR="00A2120D" w:rsidRDefault="00A2120D">
      <w:pPr>
        <w:pStyle w:val="Index2"/>
        <w:tabs>
          <w:tab w:val="right" w:leader="dot" w:pos="7134"/>
        </w:tabs>
        <w:rPr>
          <w:noProof/>
          <w:rtl/>
        </w:rPr>
      </w:pPr>
      <w:r>
        <w:rPr>
          <w:noProof/>
          <w:rtl/>
        </w:rPr>
        <w:t>"וְהֵיאַךְ הִיא הַדֶּרֶךְ</w:t>
      </w:r>
      <w:r>
        <w:rPr>
          <w:noProof/>
          <w:rtl/>
        </w:rPr>
        <w:tab/>
        <w:t>54, 91, 109, 125, 136</w:t>
      </w:r>
    </w:p>
    <w:p w14:paraId="19115DC6" w14:textId="77777777" w:rsidR="00A2120D" w:rsidRDefault="00A2120D">
      <w:pPr>
        <w:pStyle w:val="Index1"/>
        <w:tabs>
          <w:tab w:val="right" w:leader="dot" w:pos="7134"/>
        </w:tabs>
        <w:rPr>
          <w:rtl/>
        </w:rPr>
      </w:pPr>
      <w:r>
        <w:rPr>
          <w:rtl/>
        </w:rPr>
        <w:t>הרמב"ן על בראשית א' א'</w:t>
      </w:r>
      <w:r>
        <w:rPr>
          <w:rtl/>
        </w:rPr>
        <w:tab/>
        <w:t>60, 70, 121, 133, 158, 170</w:t>
      </w:r>
    </w:p>
    <w:p w14:paraId="4A472987" w14:textId="77777777" w:rsidR="00A2120D" w:rsidRDefault="00A2120D">
      <w:pPr>
        <w:pStyle w:val="Index1"/>
        <w:tabs>
          <w:tab w:val="right" w:leader="dot" w:pos="7134"/>
        </w:tabs>
        <w:rPr>
          <w:rtl/>
        </w:rPr>
      </w:pPr>
      <w:r>
        <w:rPr>
          <w:rtl/>
        </w:rPr>
        <w:t>השכל הפועל - הוא נותן הצורה</w:t>
      </w:r>
      <w:r>
        <w:rPr>
          <w:rtl/>
        </w:rPr>
        <w:tab/>
        <w:t>386</w:t>
      </w:r>
    </w:p>
    <w:p w14:paraId="27110D84" w14:textId="77777777" w:rsidR="00A2120D" w:rsidRDefault="00A2120D">
      <w:pPr>
        <w:pStyle w:val="Index1"/>
        <w:tabs>
          <w:tab w:val="right" w:leader="dot" w:pos="7134"/>
        </w:tabs>
        <w:rPr>
          <w:rtl/>
        </w:rPr>
      </w:pPr>
      <w:r>
        <w:rPr>
          <w:rtl/>
        </w:rPr>
        <w:t>השכלים הנפרדים הם הספירות של חכמת הקבלה - מקורות לזה</w:t>
      </w:r>
      <w:r>
        <w:rPr>
          <w:rtl/>
        </w:rPr>
        <w:tab/>
        <w:t>175</w:t>
      </w:r>
    </w:p>
    <w:p w14:paraId="544042E4" w14:textId="77777777" w:rsidR="00A2120D" w:rsidRDefault="00A2120D">
      <w:pPr>
        <w:pStyle w:val="Index1"/>
        <w:tabs>
          <w:tab w:val="right" w:leader="dot" w:pos="7134"/>
        </w:tabs>
        <w:rPr>
          <w:rtl/>
        </w:rPr>
      </w:pPr>
      <w:r>
        <w:rPr>
          <w:rtl/>
        </w:rPr>
        <w:t>התוהו</w:t>
      </w:r>
      <w:r>
        <w:rPr>
          <w:rtl/>
        </w:rPr>
        <w:tab/>
        <w:t>70</w:t>
      </w:r>
    </w:p>
    <w:p w14:paraId="4052F8AC" w14:textId="77777777" w:rsidR="00A2120D" w:rsidRDefault="00A2120D">
      <w:pPr>
        <w:pStyle w:val="Index1"/>
        <w:tabs>
          <w:tab w:val="right" w:leader="dot" w:pos="7134"/>
        </w:tabs>
        <w:rPr>
          <w:rtl/>
        </w:rPr>
      </w:pPr>
      <w:r>
        <w:rPr>
          <w:rtl/>
        </w:rPr>
        <w:t>התחלה  - הגדרת המונח</w:t>
      </w:r>
      <w:r>
        <w:rPr>
          <w:rtl/>
        </w:rPr>
        <w:tab/>
        <w:t>105</w:t>
      </w:r>
    </w:p>
    <w:p w14:paraId="4A1AC224" w14:textId="77777777" w:rsidR="00A2120D" w:rsidRDefault="00A2120D">
      <w:pPr>
        <w:pStyle w:val="Index1"/>
        <w:tabs>
          <w:tab w:val="right" w:leader="dot" w:pos="7134"/>
        </w:tabs>
        <w:rPr>
          <w:rtl/>
        </w:rPr>
      </w:pPr>
      <w:r w:rsidRPr="00D472C7">
        <w:rPr>
          <w:b/>
          <w:bCs/>
          <w:rtl/>
        </w:rPr>
        <w:t>'התחלה', 'סיבת מציאות' ו'סיבת מהות'</w:t>
      </w:r>
      <w:r>
        <w:rPr>
          <w:rtl/>
        </w:rPr>
        <w:tab/>
        <w:t>20</w:t>
      </w:r>
    </w:p>
    <w:p w14:paraId="7F96A8E1" w14:textId="77777777" w:rsidR="00A2120D" w:rsidRDefault="00A2120D">
      <w:pPr>
        <w:pStyle w:val="Index1"/>
        <w:tabs>
          <w:tab w:val="right" w:leader="dot" w:pos="7134"/>
        </w:tabs>
        <w:rPr>
          <w:rtl/>
        </w:rPr>
      </w:pPr>
      <w:r w:rsidRPr="00D472C7">
        <w:rPr>
          <w:b/>
          <w:bCs/>
          <w:rtl/>
        </w:rPr>
        <w:t>התחלות וסיבות</w:t>
      </w:r>
      <w:r>
        <w:rPr>
          <w:rtl/>
        </w:rPr>
        <w:tab/>
        <w:t>20, 22, 52, 114, 128</w:t>
      </w:r>
    </w:p>
    <w:p w14:paraId="51D9BCB8" w14:textId="77777777" w:rsidR="00A2120D" w:rsidRDefault="00A2120D">
      <w:pPr>
        <w:pStyle w:val="Index1"/>
        <w:tabs>
          <w:tab w:val="right" w:leader="dot" w:pos="7134"/>
        </w:tabs>
        <w:rPr>
          <w:rtl/>
        </w:rPr>
      </w:pPr>
      <w:r>
        <w:rPr>
          <w:rtl/>
        </w:rPr>
        <w:t>זכר ונקבה</w:t>
      </w:r>
      <w:r>
        <w:rPr>
          <w:rtl/>
        </w:rPr>
        <w:tab/>
        <w:t>78</w:t>
      </w:r>
    </w:p>
    <w:p w14:paraId="2929B7C9" w14:textId="77777777" w:rsidR="00A2120D" w:rsidRDefault="00A2120D">
      <w:pPr>
        <w:pStyle w:val="Index1"/>
        <w:tabs>
          <w:tab w:val="right" w:leader="dot" w:pos="7134"/>
        </w:tabs>
        <w:rPr>
          <w:rtl/>
        </w:rPr>
      </w:pPr>
      <w:r w:rsidRPr="00D472C7">
        <w:rPr>
          <w:b/>
          <w:bCs/>
          <w:rtl/>
        </w:rPr>
        <w:t>חומר - האופן שבו הוא נמצא. דברי אפלטון בטימיאוס</w:t>
      </w:r>
      <w:r>
        <w:rPr>
          <w:rtl/>
        </w:rPr>
        <w:tab/>
        <w:t>292</w:t>
      </w:r>
    </w:p>
    <w:p w14:paraId="407C64CC" w14:textId="77777777" w:rsidR="00A2120D" w:rsidRDefault="00A2120D">
      <w:pPr>
        <w:pStyle w:val="Index1"/>
        <w:tabs>
          <w:tab w:val="right" w:leader="dot" w:pos="7134"/>
        </w:tabs>
        <w:rPr>
          <w:rtl/>
        </w:rPr>
      </w:pPr>
      <w:r w:rsidRPr="00D472C7">
        <w:rPr>
          <w:b/>
          <w:bCs/>
          <w:rtl/>
        </w:rPr>
        <w:t>חומר - הטעם שהחומר לובש ופושט צורה</w:t>
      </w:r>
      <w:r>
        <w:rPr>
          <w:rtl/>
        </w:rPr>
        <w:tab/>
        <w:t>380</w:t>
      </w:r>
    </w:p>
    <w:p w14:paraId="7F33CA96" w14:textId="77777777" w:rsidR="00A2120D" w:rsidRDefault="00A2120D">
      <w:pPr>
        <w:pStyle w:val="Index1"/>
        <w:tabs>
          <w:tab w:val="right" w:leader="dot" w:pos="7134"/>
        </w:tabs>
        <w:rPr>
          <w:rtl/>
        </w:rPr>
      </w:pPr>
      <w:r>
        <w:rPr>
          <w:rtl/>
        </w:rPr>
        <w:t>טבע - הגדרתו העמוקה מבחינה מטאפיזית</w:t>
      </w:r>
      <w:r>
        <w:rPr>
          <w:rtl/>
        </w:rPr>
        <w:tab/>
        <w:t>243</w:t>
      </w:r>
    </w:p>
    <w:p w14:paraId="00EFCC97" w14:textId="77777777" w:rsidR="00A2120D" w:rsidRDefault="00A2120D">
      <w:pPr>
        <w:pStyle w:val="Index1"/>
        <w:tabs>
          <w:tab w:val="right" w:leader="dot" w:pos="7134"/>
        </w:tabs>
        <w:rPr>
          <w:rtl/>
        </w:rPr>
      </w:pPr>
      <w:r>
        <w:rPr>
          <w:rtl/>
        </w:rPr>
        <w:t>טבע - הוא התנועה, שהיא המוזיקה</w:t>
      </w:r>
      <w:r>
        <w:rPr>
          <w:rtl/>
        </w:rPr>
        <w:tab/>
        <w:t>322</w:t>
      </w:r>
    </w:p>
    <w:p w14:paraId="0A886625" w14:textId="77777777" w:rsidR="00A2120D" w:rsidRDefault="00A2120D">
      <w:pPr>
        <w:pStyle w:val="Index1"/>
        <w:tabs>
          <w:tab w:val="right" w:leader="dot" w:pos="7134"/>
        </w:tabs>
        <w:rPr>
          <w:rtl/>
        </w:rPr>
      </w:pPr>
      <w:r>
        <w:rPr>
          <w:rtl/>
        </w:rPr>
        <w:t>טבע - התחלת תנועה</w:t>
      </w:r>
      <w:r>
        <w:rPr>
          <w:rtl/>
        </w:rPr>
        <w:tab/>
        <w:t>258</w:t>
      </w:r>
    </w:p>
    <w:p w14:paraId="2DC35024" w14:textId="77777777" w:rsidR="00A2120D" w:rsidRDefault="00A2120D">
      <w:pPr>
        <w:pStyle w:val="Index1"/>
        <w:tabs>
          <w:tab w:val="right" w:leader="dot" w:pos="7134"/>
        </w:tabs>
        <w:rPr>
          <w:rtl/>
        </w:rPr>
      </w:pPr>
      <w:r w:rsidRPr="00D472C7">
        <w:rPr>
          <w:b/>
          <w:bCs/>
          <w:rtl/>
        </w:rPr>
        <w:t>'טבע' - סוד עניינו באופן כללי והסיבה לעיסוק בהגדרתו</w:t>
      </w:r>
      <w:r>
        <w:rPr>
          <w:rtl/>
        </w:rPr>
        <w:tab/>
        <w:t>318</w:t>
      </w:r>
    </w:p>
    <w:p w14:paraId="38E64AFC" w14:textId="77777777" w:rsidR="00A2120D" w:rsidRDefault="00A2120D">
      <w:pPr>
        <w:pStyle w:val="Index1"/>
        <w:tabs>
          <w:tab w:val="right" w:leader="dot" w:pos="7134"/>
        </w:tabs>
        <w:rPr>
          <w:rtl/>
        </w:rPr>
      </w:pPr>
      <w:r>
        <w:rPr>
          <w:rtl/>
        </w:rPr>
        <w:t>טימיאוס - המציאות היא חי אחד</w:t>
      </w:r>
      <w:r>
        <w:rPr>
          <w:rtl/>
        </w:rPr>
        <w:tab/>
        <w:t>158</w:t>
      </w:r>
    </w:p>
    <w:p w14:paraId="75D775D4" w14:textId="77777777" w:rsidR="00A2120D" w:rsidRDefault="00A2120D">
      <w:pPr>
        <w:pStyle w:val="Index1"/>
        <w:tabs>
          <w:tab w:val="right" w:leader="dot" w:pos="7134"/>
        </w:tabs>
        <w:rPr>
          <w:rtl/>
        </w:rPr>
      </w:pPr>
      <w:r>
        <w:rPr>
          <w:rtl/>
        </w:rPr>
        <w:t>טימיאוס - על צורת התלת ממדיות שהיא הצד המתימטי של המציאות</w:t>
      </w:r>
      <w:r>
        <w:rPr>
          <w:rtl/>
        </w:rPr>
        <w:tab/>
        <w:t>129</w:t>
      </w:r>
    </w:p>
    <w:p w14:paraId="65D04B16" w14:textId="77777777" w:rsidR="00A2120D" w:rsidRDefault="00A2120D">
      <w:pPr>
        <w:pStyle w:val="Index1"/>
        <w:tabs>
          <w:tab w:val="right" w:leader="dot" w:pos="7134"/>
        </w:tabs>
        <w:rPr>
          <w:rtl/>
        </w:rPr>
      </w:pPr>
      <w:r>
        <w:rPr>
          <w:rtl/>
        </w:rPr>
        <w:t>טימיאוס עמ' 52 על השגת החומר</w:t>
      </w:r>
      <w:r>
        <w:rPr>
          <w:rtl/>
        </w:rPr>
        <w:tab/>
        <w:t>43</w:t>
      </w:r>
    </w:p>
    <w:p w14:paraId="02DD7B9D" w14:textId="77777777" w:rsidR="00A2120D" w:rsidRDefault="00A2120D">
      <w:pPr>
        <w:pStyle w:val="Index1"/>
        <w:tabs>
          <w:tab w:val="right" w:leader="dot" w:pos="7134"/>
        </w:tabs>
        <w:rPr>
          <w:rtl/>
        </w:rPr>
      </w:pPr>
      <w:r>
        <w:rPr>
          <w:rtl/>
        </w:rPr>
        <w:t>כח הדמיון</w:t>
      </w:r>
      <w:r>
        <w:rPr>
          <w:rtl/>
        </w:rPr>
        <w:tab/>
        <w:t>138</w:t>
      </w:r>
    </w:p>
    <w:p w14:paraId="05DBE9BD" w14:textId="77777777" w:rsidR="00A2120D" w:rsidRDefault="00A2120D">
      <w:pPr>
        <w:pStyle w:val="Index1"/>
        <w:tabs>
          <w:tab w:val="right" w:leader="dot" w:pos="7134"/>
        </w:tabs>
        <w:rPr>
          <w:rtl/>
        </w:rPr>
      </w:pPr>
      <w:r>
        <w:rPr>
          <w:rtl/>
        </w:rPr>
        <w:t>כל חלקי הנפש הם אחד (שמונה פרקים)</w:t>
      </w:r>
      <w:r>
        <w:rPr>
          <w:rtl/>
        </w:rPr>
        <w:tab/>
        <w:t>40</w:t>
      </w:r>
    </w:p>
    <w:p w14:paraId="60A2B7E0" w14:textId="77777777" w:rsidR="00A2120D" w:rsidRDefault="00A2120D">
      <w:pPr>
        <w:pStyle w:val="Index1"/>
        <w:tabs>
          <w:tab w:val="right" w:leader="dot" w:pos="7134"/>
        </w:tabs>
        <w:rPr>
          <w:rtl/>
        </w:rPr>
      </w:pPr>
      <w:r>
        <w:rPr>
          <w:rtl/>
        </w:rPr>
        <w:t>מאמר</w:t>
      </w:r>
    </w:p>
    <w:p w14:paraId="5D74F065" w14:textId="77777777" w:rsidR="00A2120D" w:rsidRDefault="00A2120D">
      <w:pPr>
        <w:pStyle w:val="Index2"/>
        <w:tabs>
          <w:tab w:val="right" w:leader="dot" w:pos="7134"/>
        </w:tabs>
        <w:rPr>
          <w:noProof/>
          <w:rtl/>
        </w:rPr>
      </w:pPr>
      <w:r>
        <w:rPr>
          <w:noProof/>
          <w:rtl/>
        </w:rPr>
        <w:t>במחלוקת בין אבן סינא ובין אבן רושד לגבי טבעו של החומר הראשון</w:t>
      </w:r>
      <w:r>
        <w:rPr>
          <w:noProof/>
          <w:rtl/>
        </w:rPr>
        <w:tab/>
        <w:t>165</w:t>
      </w:r>
    </w:p>
    <w:p w14:paraId="6A37300D" w14:textId="77777777" w:rsidR="00A2120D" w:rsidRDefault="00A2120D">
      <w:pPr>
        <w:pStyle w:val="Index2"/>
        <w:tabs>
          <w:tab w:val="right" w:leader="dot" w:pos="7134"/>
        </w:tabs>
        <w:rPr>
          <w:noProof/>
          <w:rtl/>
        </w:rPr>
      </w:pPr>
      <w:r>
        <w:rPr>
          <w:noProof/>
          <w:rtl/>
        </w:rPr>
        <w:t>האם המין הכולל נמצא באותו מובן של מציאות האינדיבידואל</w:t>
      </w:r>
      <w:r>
        <w:rPr>
          <w:noProof/>
          <w:rtl/>
        </w:rPr>
        <w:tab/>
        <w:t>102</w:t>
      </w:r>
    </w:p>
    <w:p w14:paraId="623B48FF" w14:textId="77777777" w:rsidR="00A2120D" w:rsidRDefault="00A2120D">
      <w:pPr>
        <w:pStyle w:val="Index2"/>
        <w:tabs>
          <w:tab w:val="right" w:leader="dot" w:pos="7134"/>
        </w:tabs>
        <w:rPr>
          <w:noProof/>
          <w:rtl/>
        </w:rPr>
      </w:pPr>
      <w:r>
        <w:rPr>
          <w:noProof/>
          <w:rtl/>
        </w:rPr>
        <w:t>ההגדרה העמוקה המטאפיזית של 'טבע'</w:t>
      </w:r>
      <w:r>
        <w:rPr>
          <w:noProof/>
          <w:rtl/>
        </w:rPr>
        <w:tab/>
        <w:t>243</w:t>
      </w:r>
    </w:p>
    <w:p w14:paraId="176C5C85" w14:textId="77777777" w:rsidR="00A2120D" w:rsidRDefault="00A2120D">
      <w:pPr>
        <w:pStyle w:val="Index2"/>
        <w:tabs>
          <w:tab w:val="right" w:leader="dot" w:pos="7134"/>
        </w:tabs>
        <w:rPr>
          <w:noProof/>
          <w:rtl/>
        </w:rPr>
      </w:pPr>
      <w:r>
        <w:rPr>
          <w:noProof/>
          <w:rtl/>
        </w:rPr>
        <w:t>החומר הראשון של הגופים הארציים והיסוד החמישי הוא החומר הראשון השמיימי</w:t>
      </w:r>
      <w:r>
        <w:rPr>
          <w:noProof/>
          <w:rtl/>
        </w:rPr>
        <w:tab/>
        <w:t>161, 170</w:t>
      </w:r>
    </w:p>
    <w:p w14:paraId="332613CA" w14:textId="77777777" w:rsidR="00A2120D" w:rsidRDefault="00A2120D">
      <w:pPr>
        <w:pStyle w:val="Index2"/>
        <w:tabs>
          <w:tab w:val="right" w:leader="dot" w:pos="7134"/>
        </w:tabs>
        <w:rPr>
          <w:noProof/>
          <w:rtl/>
        </w:rPr>
      </w:pPr>
      <w:r>
        <w:rPr>
          <w:noProof/>
          <w:rtl/>
        </w:rPr>
        <w:t>התחלה, סיבת מציאות, סיבת מהות</w:t>
      </w:r>
      <w:r>
        <w:rPr>
          <w:noProof/>
          <w:rtl/>
        </w:rPr>
        <w:tab/>
        <w:t>20</w:t>
      </w:r>
    </w:p>
    <w:p w14:paraId="56D1EC12" w14:textId="77777777" w:rsidR="00A2120D" w:rsidRDefault="00A2120D">
      <w:pPr>
        <w:pStyle w:val="Index2"/>
        <w:tabs>
          <w:tab w:val="right" w:leader="dot" w:pos="7134"/>
        </w:tabs>
        <w:rPr>
          <w:noProof/>
          <w:rtl/>
        </w:rPr>
      </w:pPr>
      <w:r>
        <w:rPr>
          <w:noProof/>
          <w:rtl/>
        </w:rPr>
        <w:t>התנועה הסיבובית של הגלגל היא הידמות לבורא</w:t>
      </w:r>
      <w:r>
        <w:rPr>
          <w:noProof/>
          <w:rtl/>
        </w:rPr>
        <w:tab/>
        <w:t>177</w:t>
      </w:r>
    </w:p>
    <w:p w14:paraId="4E5A5783" w14:textId="77777777" w:rsidR="00A2120D" w:rsidRDefault="00A2120D">
      <w:pPr>
        <w:pStyle w:val="Index2"/>
        <w:tabs>
          <w:tab w:val="right" w:leader="dot" w:pos="7134"/>
        </w:tabs>
        <w:rPr>
          <w:noProof/>
          <w:rtl/>
        </w:rPr>
      </w:pPr>
      <w:r>
        <w:rPr>
          <w:noProof/>
          <w:rtl/>
        </w:rPr>
        <w:t>מהות</w:t>
      </w:r>
      <w:r>
        <w:rPr>
          <w:noProof/>
          <w:rtl/>
        </w:rPr>
        <w:tab/>
        <w:t>18</w:t>
      </w:r>
    </w:p>
    <w:p w14:paraId="7ADC28C8" w14:textId="77777777" w:rsidR="00A2120D" w:rsidRDefault="00A2120D">
      <w:pPr>
        <w:pStyle w:val="Index2"/>
        <w:tabs>
          <w:tab w:val="right" w:leader="dot" w:pos="7134"/>
        </w:tabs>
        <w:rPr>
          <w:noProof/>
          <w:rtl/>
        </w:rPr>
      </w:pPr>
      <w:r>
        <w:rPr>
          <w:noProof/>
          <w:rtl/>
        </w:rPr>
        <w:t>סיבה ראשונה לכל הטבע, אינרציה</w:t>
      </w:r>
      <w:r>
        <w:rPr>
          <w:noProof/>
          <w:rtl/>
        </w:rPr>
        <w:tab/>
        <w:t>107</w:t>
      </w:r>
    </w:p>
    <w:p w14:paraId="6B158BF2" w14:textId="77777777" w:rsidR="00A2120D" w:rsidRDefault="00A2120D">
      <w:pPr>
        <w:pStyle w:val="Index2"/>
        <w:tabs>
          <w:tab w:val="right" w:leader="dot" w:pos="7134"/>
        </w:tabs>
        <w:rPr>
          <w:noProof/>
          <w:rtl/>
        </w:rPr>
      </w:pPr>
      <w:r w:rsidRPr="00D472C7">
        <w:rPr>
          <w:noProof/>
          <w:rtl/>
        </w:rPr>
        <w:t>עוד הסתכלות על מעשה מרכבה</w:t>
      </w:r>
      <w:r>
        <w:rPr>
          <w:noProof/>
          <w:rtl/>
        </w:rPr>
        <w:tab/>
        <w:t>72</w:t>
      </w:r>
    </w:p>
    <w:p w14:paraId="34A6B688" w14:textId="77777777" w:rsidR="00A2120D" w:rsidRDefault="00A2120D">
      <w:pPr>
        <w:pStyle w:val="Index2"/>
        <w:tabs>
          <w:tab w:val="right" w:leader="dot" w:pos="7134"/>
        </w:tabs>
        <w:rPr>
          <w:noProof/>
          <w:rtl/>
        </w:rPr>
      </w:pPr>
      <w:r>
        <w:rPr>
          <w:noProof/>
          <w:rtl/>
        </w:rPr>
        <w:t>צד השפעת המציאות הנקבי - הגלגלים.</w:t>
      </w:r>
      <w:r>
        <w:rPr>
          <w:noProof/>
          <w:rtl/>
        </w:rPr>
        <w:tab/>
        <w:t>152</w:t>
      </w:r>
    </w:p>
    <w:p w14:paraId="7AB53D5E" w14:textId="77777777" w:rsidR="00A2120D" w:rsidRDefault="00A2120D">
      <w:pPr>
        <w:pStyle w:val="Index2"/>
        <w:tabs>
          <w:tab w:val="right" w:leader="dot" w:pos="7134"/>
        </w:tabs>
        <w:rPr>
          <w:noProof/>
          <w:rtl/>
        </w:rPr>
      </w:pPr>
      <w:r>
        <w:rPr>
          <w:noProof/>
          <w:rtl/>
        </w:rPr>
        <w:t>צורת התלת ממדיות, הבוהו.</w:t>
      </w:r>
      <w:r>
        <w:rPr>
          <w:noProof/>
          <w:rtl/>
        </w:rPr>
        <w:tab/>
        <w:t>67</w:t>
      </w:r>
    </w:p>
    <w:p w14:paraId="160047AC" w14:textId="77777777" w:rsidR="00A2120D" w:rsidRDefault="00A2120D">
      <w:pPr>
        <w:pStyle w:val="Index2"/>
        <w:tabs>
          <w:tab w:val="right" w:leader="dot" w:pos="7134"/>
        </w:tabs>
        <w:rPr>
          <w:noProof/>
          <w:rtl/>
        </w:rPr>
      </w:pPr>
      <w:r>
        <w:rPr>
          <w:noProof/>
          <w:rtl/>
        </w:rPr>
        <w:t>קדמות העולם וחידוש העולם</w:t>
      </w:r>
      <w:r>
        <w:rPr>
          <w:noProof/>
          <w:rtl/>
        </w:rPr>
        <w:tab/>
        <w:t>140</w:t>
      </w:r>
    </w:p>
    <w:p w14:paraId="23CA432A" w14:textId="77777777" w:rsidR="00A2120D" w:rsidRDefault="00A2120D">
      <w:pPr>
        <w:pStyle w:val="Index2"/>
        <w:tabs>
          <w:tab w:val="right" w:leader="dot" w:pos="7134"/>
        </w:tabs>
        <w:rPr>
          <w:noProof/>
          <w:rtl/>
        </w:rPr>
      </w:pPr>
      <w:r>
        <w:rPr>
          <w:noProof/>
          <w:rtl/>
        </w:rPr>
        <w:t>שיעור קומה, הקשר בין תואר הגוף לצורה</w:t>
      </w:r>
      <w:r>
        <w:rPr>
          <w:noProof/>
          <w:rtl/>
        </w:rPr>
        <w:tab/>
        <w:t>135</w:t>
      </w:r>
    </w:p>
    <w:p w14:paraId="217F6625" w14:textId="77777777" w:rsidR="00A2120D" w:rsidRDefault="00A2120D">
      <w:pPr>
        <w:pStyle w:val="Index1"/>
        <w:tabs>
          <w:tab w:val="right" w:leader="dot" w:pos="7134"/>
        </w:tabs>
        <w:rPr>
          <w:rtl/>
        </w:rPr>
      </w:pPr>
      <w:r>
        <w:rPr>
          <w:rtl/>
        </w:rPr>
        <w:t>מהות</w:t>
      </w:r>
      <w:r>
        <w:rPr>
          <w:rtl/>
        </w:rPr>
        <w:tab/>
        <w:t>18</w:t>
      </w:r>
    </w:p>
    <w:p w14:paraId="2F7E62A6" w14:textId="77777777" w:rsidR="00A2120D" w:rsidRDefault="00A2120D">
      <w:pPr>
        <w:pStyle w:val="Index1"/>
        <w:tabs>
          <w:tab w:val="right" w:leader="dot" w:pos="7134"/>
        </w:tabs>
        <w:rPr>
          <w:rtl/>
        </w:rPr>
      </w:pPr>
      <w:r>
        <w:rPr>
          <w:rtl/>
        </w:rPr>
        <w:t>מורה נבוכים א' א'</w:t>
      </w:r>
      <w:r>
        <w:rPr>
          <w:rtl/>
        </w:rPr>
        <w:tab/>
        <w:t>11, 33, 135, 136</w:t>
      </w:r>
    </w:p>
    <w:p w14:paraId="1E9B3F8A" w14:textId="77777777" w:rsidR="00A2120D" w:rsidRDefault="00A2120D">
      <w:pPr>
        <w:pStyle w:val="Index1"/>
        <w:tabs>
          <w:tab w:val="right" w:leader="dot" w:pos="7134"/>
        </w:tabs>
        <w:rPr>
          <w:rtl/>
        </w:rPr>
      </w:pPr>
      <w:r>
        <w:rPr>
          <w:rtl/>
        </w:rPr>
        <w:t>מורה נבוכים א' י"ז</w:t>
      </w:r>
      <w:r>
        <w:rPr>
          <w:rtl/>
        </w:rPr>
        <w:tab/>
        <w:t>115, 154</w:t>
      </w:r>
    </w:p>
    <w:p w14:paraId="44E164AE" w14:textId="77777777" w:rsidR="00A2120D" w:rsidRDefault="00A2120D">
      <w:pPr>
        <w:pStyle w:val="Index1"/>
        <w:tabs>
          <w:tab w:val="right" w:leader="dot" w:pos="7134"/>
        </w:tabs>
        <w:rPr>
          <w:rtl/>
        </w:rPr>
      </w:pPr>
      <w:r>
        <w:rPr>
          <w:rtl/>
        </w:rPr>
        <w:t>מורה נבוכים א' י"ז - ההעדר המיוחד</w:t>
      </w:r>
      <w:r>
        <w:rPr>
          <w:rtl/>
        </w:rPr>
        <w:tab/>
        <w:t>189, 199</w:t>
      </w:r>
    </w:p>
    <w:p w14:paraId="15E02EFF" w14:textId="77777777" w:rsidR="00A2120D" w:rsidRDefault="00A2120D">
      <w:pPr>
        <w:pStyle w:val="Index1"/>
        <w:tabs>
          <w:tab w:val="right" w:leader="dot" w:pos="7134"/>
        </w:tabs>
        <w:rPr>
          <w:rtl/>
        </w:rPr>
      </w:pPr>
      <w:r>
        <w:rPr>
          <w:rtl/>
        </w:rPr>
        <w:t>מורה נבוכים א' מ"ו</w:t>
      </w:r>
      <w:r>
        <w:rPr>
          <w:rtl/>
        </w:rPr>
        <w:tab/>
        <w:t>136</w:t>
      </w:r>
    </w:p>
    <w:p w14:paraId="5477A090" w14:textId="77777777" w:rsidR="00A2120D" w:rsidRDefault="00A2120D">
      <w:pPr>
        <w:pStyle w:val="Index1"/>
        <w:tabs>
          <w:tab w:val="right" w:leader="dot" w:pos="7134"/>
        </w:tabs>
        <w:rPr>
          <w:rtl/>
        </w:rPr>
      </w:pPr>
      <w:r>
        <w:rPr>
          <w:rtl/>
        </w:rPr>
        <w:t>מורה נבוכים א' נ"ג</w:t>
      </w:r>
      <w:r>
        <w:rPr>
          <w:rtl/>
        </w:rPr>
        <w:tab/>
        <w:t>39</w:t>
      </w:r>
    </w:p>
    <w:p w14:paraId="0C57896F" w14:textId="77777777" w:rsidR="00A2120D" w:rsidRDefault="00A2120D">
      <w:pPr>
        <w:pStyle w:val="Index1"/>
        <w:tabs>
          <w:tab w:val="right" w:leader="dot" w:pos="7134"/>
        </w:tabs>
        <w:rPr>
          <w:rtl/>
        </w:rPr>
      </w:pPr>
      <w:r>
        <w:rPr>
          <w:rtl/>
        </w:rPr>
        <w:t>מורה נבוכים א' נ"ז</w:t>
      </w:r>
      <w:r>
        <w:rPr>
          <w:rtl/>
        </w:rPr>
        <w:tab/>
        <w:t>20, 54, 99</w:t>
      </w:r>
    </w:p>
    <w:p w14:paraId="154027FE" w14:textId="77777777" w:rsidR="00A2120D" w:rsidRDefault="00A2120D">
      <w:pPr>
        <w:pStyle w:val="Index1"/>
        <w:tabs>
          <w:tab w:val="right" w:leader="dot" w:pos="7134"/>
        </w:tabs>
        <w:rPr>
          <w:rtl/>
        </w:rPr>
      </w:pPr>
      <w:r>
        <w:rPr>
          <w:rtl/>
        </w:rPr>
        <w:t>מורה נבוכים א' נ"ז - המציאות היא מקרה למהות</w:t>
      </w:r>
      <w:r>
        <w:rPr>
          <w:rtl/>
        </w:rPr>
        <w:tab/>
        <w:t>220</w:t>
      </w:r>
    </w:p>
    <w:p w14:paraId="594AE562" w14:textId="77777777" w:rsidR="00A2120D" w:rsidRDefault="00A2120D">
      <w:pPr>
        <w:pStyle w:val="Index1"/>
        <w:tabs>
          <w:tab w:val="right" w:leader="dot" w:pos="7134"/>
        </w:tabs>
        <w:rPr>
          <w:rtl/>
        </w:rPr>
      </w:pPr>
      <w:r>
        <w:rPr>
          <w:rtl/>
        </w:rPr>
        <w:t>מורה נבוכים א' נ"ז - המציאות היא מקרה לנמצא</w:t>
      </w:r>
      <w:r>
        <w:rPr>
          <w:rtl/>
        </w:rPr>
        <w:tab/>
        <w:t>183</w:t>
      </w:r>
    </w:p>
    <w:p w14:paraId="294EBD97" w14:textId="77777777" w:rsidR="00A2120D" w:rsidRDefault="00A2120D">
      <w:pPr>
        <w:pStyle w:val="Index1"/>
        <w:tabs>
          <w:tab w:val="right" w:leader="dot" w:pos="7134"/>
        </w:tabs>
        <w:rPr>
          <w:rtl/>
        </w:rPr>
      </w:pPr>
      <w:r>
        <w:rPr>
          <w:rtl/>
        </w:rPr>
        <w:t>מורה נבוכים א' ס"ט</w:t>
      </w:r>
      <w:r>
        <w:rPr>
          <w:rtl/>
        </w:rPr>
        <w:tab/>
        <w:t>97, 112</w:t>
      </w:r>
    </w:p>
    <w:p w14:paraId="4CCC0D4A" w14:textId="77777777" w:rsidR="00A2120D" w:rsidRDefault="00A2120D">
      <w:pPr>
        <w:pStyle w:val="Index1"/>
        <w:tabs>
          <w:tab w:val="right" w:leader="dot" w:pos="7134"/>
        </w:tabs>
        <w:rPr>
          <w:rtl/>
        </w:rPr>
      </w:pPr>
      <w:r>
        <w:rPr>
          <w:rtl/>
        </w:rPr>
        <w:t>מורה נבוכים א' ס"ט - באיזה אופן הבורא סיבה למציאות</w:t>
      </w:r>
      <w:r>
        <w:rPr>
          <w:rtl/>
        </w:rPr>
        <w:tab/>
        <w:t>388</w:t>
      </w:r>
    </w:p>
    <w:p w14:paraId="4B26BC01" w14:textId="77777777" w:rsidR="00A2120D" w:rsidRDefault="00A2120D">
      <w:pPr>
        <w:pStyle w:val="Index1"/>
        <w:tabs>
          <w:tab w:val="right" w:leader="dot" w:pos="7134"/>
        </w:tabs>
        <w:rPr>
          <w:rtl/>
        </w:rPr>
      </w:pPr>
      <w:r>
        <w:rPr>
          <w:rtl/>
        </w:rPr>
        <w:t>מורה נבוכים א' ע"ב</w:t>
      </w:r>
      <w:r>
        <w:rPr>
          <w:rtl/>
        </w:rPr>
        <w:tab/>
        <w:t>77, 138</w:t>
      </w:r>
    </w:p>
    <w:p w14:paraId="28075053" w14:textId="77777777" w:rsidR="00A2120D" w:rsidRDefault="00A2120D">
      <w:pPr>
        <w:pStyle w:val="Index2"/>
        <w:tabs>
          <w:tab w:val="right" w:leader="dot" w:pos="7134"/>
        </w:tabs>
        <w:rPr>
          <w:noProof/>
          <w:rtl/>
        </w:rPr>
      </w:pPr>
      <w:r>
        <w:rPr>
          <w:noProof/>
          <w:rtl/>
        </w:rPr>
        <w:t>ישתבח מי שנצְחָנו שלמותו</w:t>
      </w:r>
      <w:r>
        <w:rPr>
          <w:noProof/>
          <w:rtl/>
        </w:rPr>
        <w:tab/>
        <w:t>141</w:t>
      </w:r>
    </w:p>
    <w:p w14:paraId="3BA15173" w14:textId="77777777" w:rsidR="00A2120D" w:rsidRDefault="00A2120D">
      <w:pPr>
        <w:pStyle w:val="Index1"/>
        <w:tabs>
          <w:tab w:val="right" w:leader="dot" w:pos="7134"/>
        </w:tabs>
        <w:rPr>
          <w:rtl/>
        </w:rPr>
      </w:pPr>
      <w:r>
        <w:rPr>
          <w:rtl/>
        </w:rPr>
        <w:t>מורה נבוכים א' ע"ב - אחדות הבורא ואחדות המציאות</w:t>
      </w:r>
      <w:r>
        <w:rPr>
          <w:rtl/>
        </w:rPr>
        <w:tab/>
        <w:t>218</w:t>
      </w:r>
    </w:p>
    <w:p w14:paraId="36BE85B0" w14:textId="77777777" w:rsidR="00A2120D" w:rsidRDefault="00A2120D">
      <w:pPr>
        <w:pStyle w:val="Index1"/>
        <w:tabs>
          <w:tab w:val="right" w:leader="dot" w:pos="7134"/>
        </w:tabs>
        <w:rPr>
          <w:rtl/>
        </w:rPr>
      </w:pPr>
      <w:r>
        <w:rPr>
          <w:rtl/>
        </w:rPr>
        <w:t>מורה נבוכים א' ע"ב - גילוי האל כדמות אדם שהוא עולם קטן</w:t>
      </w:r>
      <w:r>
        <w:rPr>
          <w:rtl/>
        </w:rPr>
        <w:tab/>
        <w:t>231</w:t>
      </w:r>
    </w:p>
    <w:p w14:paraId="461B93C5" w14:textId="77777777" w:rsidR="00A2120D" w:rsidRDefault="00A2120D">
      <w:pPr>
        <w:pStyle w:val="Index1"/>
        <w:tabs>
          <w:tab w:val="right" w:leader="dot" w:pos="7134"/>
        </w:tabs>
        <w:rPr>
          <w:rtl/>
        </w:rPr>
      </w:pPr>
      <w:r>
        <w:rPr>
          <w:rtl/>
        </w:rPr>
        <w:t>מורה נבוכים א' ע"ב - האחד ברא אחד</w:t>
      </w:r>
      <w:r>
        <w:rPr>
          <w:rtl/>
        </w:rPr>
        <w:tab/>
        <w:t>173, 296</w:t>
      </w:r>
    </w:p>
    <w:p w14:paraId="2B00B673" w14:textId="77777777" w:rsidR="00A2120D" w:rsidRDefault="00A2120D">
      <w:pPr>
        <w:pStyle w:val="Index1"/>
        <w:tabs>
          <w:tab w:val="right" w:leader="dot" w:pos="7134"/>
        </w:tabs>
        <w:rPr>
          <w:rtl/>
        </w:rPr>
      </w:pPr>
      <w:r>
        <w:rPr>
          <w:rtl/>
        </w:rPr>
        <w:t>מורה נבוכים א' ע"ב - האחדות, היחידה, ה"כל"</w:t>
      </w:r>
      <w:r>
        <w:rPr>
          <w:rtl/>
        </w:rPr>
        <w:tab/>
        <w:t>353</w:t>
      </w:r>
    </w:p>
    <w:p w14:paraId="55641100" w14:textId="77777777" w:rsidR="00A2120D" w:rsidRDefault="00A2120D">
      <w:pPr>
        <w:pStyle w:val="Index1"/>
        <w:tabs>
          <w:tab w:val="right" w:leader="dot" w:pos="7134"/>
        </w:tabs>
        <w:rPr>
          <w:rtl/>
        </w:rPr>
      </w:pPr>
      <w:r>
        <w:rPr>
          <w:rtl/>
        </w:rPr>
        <w:t>מורה נבוכים א' ע"ב - הגדרה בהכרח כפולה</w:t>
      </w:r>
      <w:r>
        <w:rPr>
          <w:rtl/>
        </w:rPr>
        <w:tab/>
        <w:t>24</w:t>
      </w:r>
    </w:p>
    <w:p w14:paraId="7AED01D1" w14:textId="77777777" w:rsidR="00A2120D" w:rsidRDefault="00A2120D">
      <w:pPr>
        <w:pStyle w:val="Index1"/>
        <w:tabs>
          <w:tab w:val="right" w:leader="dot" w:pos="7134"/>
        </w:tabs>
        <w:rPr>
          <w:rtl/>
        </w:rPr>
      </w:pPr>
      <w:r>
        <w:rPr>
          <w:rtl/>
        </w:rPr>
        <w:t>מורה נבוכים א' ע"ב - הגדרה מהו טבע</w:t>
      </w:r>
      <w:r>
        <w:rPr>
          <w:rtl/>
        </w:rPr>
        <w:tab/>
        <w:t>243</w:t>
      </w:r>
    </w:p>
    <w:p w14:paraId="716BA071" w14:textId="77777777" w:rsidR="00A2120D" w:rsidRDefault="00A2120D">
      <w:pPr>
        <w:pStyle w:val="Index1"/>
        <w:tabs>
          <w:tab w:val="right" w:leader="dot" w:pos="7134"/>
        </w:tabs>
        <w:rPr>
          <w:rtl/>
        </w:rPr>
      </w:pPr>
      <w:r>
        <w:rPr>
          <w:rtl/>
        </w:rPr>
        <w:t>מורה נבוכים א' ע"ב - ההעדר המיוחד</w:t>
      </w:r>
      <w:r>
        <w:rPr>
          <w:rtl/>
        </w:rPr>
        <w:tab/>
        <w:t>199</w:t>
      </w:r>
    </w:p>
    <w:p w14:paraId="48F6F015" w14:textId="77777777" w:rsidR="00A2120D" w:rsidRDefault="00A2120D">
      <w:pPr>
        <w:pStyle w:val="Index1"/>
        <w:tabs>
          <w:tab w:val="right" w:leader="dot" w:pos="7134"/>
        </w:tabs>
        <w:rPr>
          <w:rtl/>
        </w:rPr>
      </w:pPr>
      <w:r>
        <w:rPr>
          <w:rtl/>
        </w:rPr>
        <w:t>מורה נבוכים א' ע"ב - החומר הראשון השמיימי</w:t>
      </w:r>
      <w:r>
        <w:rPr>
          <w:rtl/>
        </w:rPr>
        <w:tab/>
        <w:t>161</w:t>
      </w:r>
    </w:p>
    <w:p w14:paraId="44653829" w14:textId="77777777" w:rsidR="00A2120D" w:rsidRDefault="00A2120D">
      <w:pPr>
        <w:pStyle w:val="Index1"/>
        <w:tabs>
          <w:tab w:val="right" w:leader="dot" w:pos="7134"/>
        </w:tabs>
        <w:rPr>
          <w:rtl/>
        </w:rPr>
      </w:pPr>
      <w:r>
        <w:rPr>
          <w:rtl/>
        </w:rPr>
        <w:t>מורה נבוכים א' ע"ב - הכח המדבר</w:t>
      </w:r>
      <w:r>
        <w:rPr>
          <w:rtl/>
        </w:rPr>
        <w:tab/>
        <w:t>31</w:t>
      </w:r>
    </w:p>
    <w:p w14:paraId="7A285143" w14:textId="77777777" w:rsidR="00A2120D" w:rsidRDefault="00A2120D">
      <w:pPr>
        <w:pStyle w:val="Index1"/>
        <w:tabs>
          <w:tab w:val="right" w:leader="dot" w:pos="7134"/>
        </w:tabs>
        <w:rPr>
          <w:rtl/>
        </w:rPr>
      </w:pPr>
      <w:r>
        <w:rPr>
          <w:rtl/>
        </w:rPr>
        <w:t>מורה נבוכים א' ע"ב - המציאות גוף אחד והנמצאים איברים</w:t>
      </w:r>
      <w:r>
        <w:rPr>
          <w:rtl/>
        </w:rPr>
        <w:tab/>
        <w:t>25</w:t>
      </w:r>
    </w:p>
    <w:p w14:paraId="77C26568" w14:textId="77777777" w:rsidR="00A2120D" w:rsidRDefault="00A2120D">
      <w:pPr>
        <w:pStyle w:val="Index1"/>
        <w:tabs>
          <w:tab w:val="right" w:leader="dot" w:pos="7134"/>
        </w:tabs>
        <w:rPr>
          <w:rtl/>
        </w:rPr>
      </w:pPr>
      <w:r>
        <w:rPr>
          <w:rtl/>
        </w:rPr>
        <w:t>מורה נבוכים א' ע"ב - המציאות היא חי אחד</w:t>
      </w:r>
      <w:r>
        <w:rPr>
          <w:rtl/>
        </w:rPr>
        <w:tab/>
        <w:t>158</w:t>
      </w:r>
    </w:p>
    <w:p w14:paraId="77B94089" w14:textId="77777777" w:rsidR="00A2120D" w:rsidRDefault="00A2120D">
      <w:pPr>
        <w:pStyle w:val="Index1"/>
        <w:tabs>
          <w:tab w:val="right" w:leader="dot" w:pos="7134"/>
        </w:tabs>
        <w:rPr>
          <w:rtl/>
        </w:rPr>
      </w:pPr>
      <w:r>
        <w:rPr>
          <w:rtl/>
        </w:rPr>
        <w:t>מורה נבוכים א' ע"ב האחד ברא אחד</w:t>
      </w:r>
      <w:r>
        <w:rPr>
          <w:rtl/>
        </w:rPr>
        <w:tab/>
        <w:t>122</w:t>
      </w:r>
    </w:p>
    <w:p w14:paraId="18EDCE6B" w14:textId="77777777" w:rsidR="00A2120D" w:rsidRDefault="00A2120D">
      <w:pPr>
        <w:pStyle w:val="Index1"/>
        <w:tabs>
          <w:tab w:val="right" w:leader="dot" w:pos="7134"/>
        </w:tabs>
        <w:rPr>
          <w:rtl/>
        </w:rPr>
      </w:pPr>
      <w:r w:rsidRPr="00D472C7">
        <w:rPr>
          <w:b/>
          <w:bCs/>
          <w:rtl/>
        </w:rPr>
        <w:t xml:space="preserve">מורה נבוכים א' ע"ב. </w:t>
      </w:r>
      <w:r>
        <w:rPr>
          <w:rtl/>
        </w:rPr>
        <w:t>צד השפעת המציאות הנקבי - הגלגלים</w:t>
      </w:r>
      <w:r>
        <w:rPr>
          <w:rtl/>
        </w:rPr>
        <w:tab/>
        <w:t>152</w:t>
      </w:r>
    </w:p>
    <w:p w14:paraId="7614A214" w14:textId="77777777" w:rsidR="00A2120D" w:rsidRDefault="00A2120D">
      <w:pPr>
        <w:pStyle w:val="Index1"/>
        <w:tabs>
          <w:tab w:val="right" w:leader="dot" w:pos="7134"/>
        </w:tabs>
        <w:rPr>
          <w:rtl/>
        </w:rPr>
      </w:pPr>
      <w:r>
        <w:rPr>
          <w:rtl/>
        </w:rPr>
        <w:t>מורה נבוכים א' ע"ג - שכל ודמיון</w:t>
      </w:r>
      <w:r>
        <w:rPr>
          <w:rtl/>
        </w:rPr>
        <w:tab/>
        <w:t>360</w:t>
      </w:r>
    </w:p>
    <w:p w14:paraId="109AD6D9" w14:textId="77777777" w:rsidR="00A2120D" w:rsidRDefault="00A2120D">
      <w:pPr>
        <w:pStyle w:val="Index1"/>
        <w:tabs>
          <w:tab w:val="right" w:leader="dot" w:pos="7134"/>
        </w:tabs>
        <w:rPr>
          <w:rtl/>
        </w:rPr>
      </w:pPr>
      <w:r>
        <w:rPr>
          <w:rtl/>
        </w:rPr>
        <w:t>מורה נבוכים א' ע"ג הקדמה עשירית</w:t>
      </w:r>
      <w:r>
        <w:rPr>
          <w:rtl/>
        </w:rPr>
        <w:tab/>
        <w:t>40</w:t>
      </w:r>
    </w:p>
    <w:p w14:paraId="1F3106CB" w14:textId="77777777" w:rsidR="00A2120D" w:rsidRDefault="00A2120D">
      <w:pPr>
        <w:pStyle w:val="Index1"/>
        <w:tabs>
          <w:tab w:val="right" w:leader="dot" w:pos="7134"/>
        </w:tabs>
        <w:rPr>
          <w:rtl/>
        </w:rPr>
      </w:pPr>
      <w:r>
        <w:rPr>
          <w:rtl/>
        </w:rPr>
        <w:t>מורה נבוכים ב' א' - העיון השלישי, ביאור עמוק בהוכחה</w:t>
      </w:r>
      <w:r>
        <w:rPr>
          <w:rtl/>
        </w:rPr>
        <w:tab/>
        <w:t>226</w:t>
      </w:r>
    </w:p>
    <w:p w14:paraId="36DE69EC" w14:textId="77777777" w:rsidR="00A2120D" w:rsidRDefault="00A2120D">
      <w:pPr>
        <w:pStyle w:val="Index1"/>
        <w:tabs>
          <w:tab w:val="right" w:leader="dot" w:pos="7134"/>
        </w:tabs>
        <w:rPr>
          <w:rtl/>
        </w:rPr>
      </w:pPr>
      <w:r>
        <w:rPr>
          <w:rtl/>
        </w:rPr>
        <w:t>מורה נבוכים ב' א' בעיון השלישי</w:t>
      </w:r>
      <w:r>
        <w:rPr>
          <w:rtl/>
        </w:rPr>
        <w:tab/>
        <w:t>51, 217</w:t>
      </w:r>
    </w:p>
    <w:p w14:paraId="0D9243DA" w14:textId="77777777" w:rsidR="00A2120D" w:rsidRDefault="00A2120D">
      <w:pPr>
        <w:pStyle w:val="Index1"/>
        <w:tabs>
          <w:tab w:val="right" w:leader="dot" w:pos="7134"/>
        </w:tabs>
        <w:rPr>
          <w:rtl/>
        </w:rPr>
      </w:pPr>
      <w:r>
        <w:rPr>
          <w:rtl/>
        </w:rPr>
        <w:t>מורה נבוכים ב' א' בעיון השלישי - הבורא אינו 'נמצא' מבחינת המציאות הטבעית</w:t>
      </w:r>
      <w:r>
        <w:rPr>
          <w:rtl/>
        </w:rPr>
        <w:tab/>
        <w:t>335</w:t>
      </w:r>
    </w:p>
    <w:p w14:paraId="3F41AFC1" w14:textId="77777777" w:rsidR="00A2120D" w:rsidRDefault="00A2120D">
      <w:pPr>
        <w:pStyle w:val="Index1"/>
        <w:tabs>
          <w:tab w:val="right" w:leader="dot" w:pos="7134"/>
        </w:tabs>
        <w:rPr>
          <w:rtl/>
        </w:rPr>
      </w:pPr>
      <w:r>
        <w:rPr>
          <w:rtl/>
        </w:rPr>
        <w:t>מורה נבוכים ב' ד'</w:t>
      </w:r>
      <w:r>
        <w:rPr>
          <w:rtl/>
        </w:rPr>
        <w:tab/>
        <w:t>77, 93, 154</w:t>
      </w:r>
    </w:p>
    <w:p w14:paraId="5600435F" w14:textId="77777777" w:rsidR="00A2120D" w:rsidRDefault="00A2120D">
      <w:pPr>
        <w:pStyle w:val="Index1"/>
        <w:tabs>
          <w:tab w:val="right" w:leader="dot" w:pos="7134"/>
        </w:tabs>
        <w:rPr>
          <w:rtl/>
        </w:rPr>
      </w:pPr>
      <w:r>
        <w:rPr>
          <w:rtl/>
        </w:rPr>
        <w:t>מורה נבוכים ב' ד' - הוכחה שתנועת הגלגל אינה טבעית</w:t>
      </w:r>
      <w:r>
        <w:rPr>
          <w:rtl/>
        </w:rPr>
        <w:tab/>
        <w:t>249</w:t>
      </w:r>
    </w:p>
    <w:p w14:paraId="63257F8E" w14:textId="77777777" w:rsidR="00A2120D" w:rsidRDefault="00A2120D">
      <w:pPr>
        <w:pStyle w:val="Index1"/>
        <w:tabs>
          <w:tab w:val="right" w:leader="dot" w:pos="7134"/>
        </w:tabs>
        <w:rPr>
          <w:rtl/>
        </w:rPr>
      </w:pPr>
      <w:r>
        <w:rPr>
          <w:rtl/>
        </w:rPr>
        <w:t>מורה נבוכים ב' ד' - התנועה הסיבובית</w:t>
      </w:r>
      <w:r>
        <w:rPr>
          <w:rtl/>
        </w:rPr>
        <w:tab/>
        <w:t>177</w:t>
      </w:r>
    </w:p>
    <w:p w14:paraId="309B67F1" w14:textId="77777777" w:rsidR="00A2120D" w:rsidRDefault="00A2120D">
      <w:pPr>
        <w:pStyle w:val="Index1"/>
        <w:tabs>
          <w:tab w:val="right" w:leader="dot" w:pos="7134"/>
        </w:tabs>
        <w:rPr>
          <w:rtl/>
        </w:rPr>
      </w:pPr>
      <w:r>
        <w:rPr>
          <w:rtl/>
        </w:rPr>
        <w:t>מורה נבוכים ב' י"ב</w:t>
      </w:r>
      <w:r>
        <w:rPr>
          <w:rtl/>
        </w:rPr>
        <w:tab/>
        <w:t>77, 94, 108, 138</w:t>
      </w:r>
    </w:p>
    <w:p w14:paraId="54EF5DF8" w14:textId="77777777" w:rsidR="00A2120D" w:rsidRDefault="00A2120D">
      <w:pPr>
        <w:pStyle w:val="Index1"/>
        <w:tabs>
          <w:tab w:val="right" w:leader="dot" w:pos="7134"/>
        </w:tabs>
        <w:rPr>
          <w:rtl/>
        </w:rPr>
      </w:pPr>
      <w:r>
        <w:rPr>
          <w:rtl/>
        </w:rPr>
        <w:t>מורה נבוכים ב' י"ג - האמת בדעת אפלטון שהחומר אינו קדמון</w:t>
      </w:r>
      <w:r>
        <w:rPr>
          <w:rtl/>
        </w:rPr>
        <w:tab/>
        <w:t>325</w:t>
      </w:r>
    </w:p>
    <w:p w14:paraId="7DF4CFA0" w14:textId="77777777" w:rsidR="00A2120D" w:rsidRDefault="00A2120D">
      <w:pPr>
        <w:pStyle w:val="Index1"/>
        <w:tabs>
          <w:tab w:val="right" w:leader="dot" w:pos="7134"/>
        </w:tabs>
        <w:rPr>
          <w:rtl/>
        </w:rPr>
      </w:pPr>
      <w:r>
        <w:rPr>
          <w:rtl/>
        </w:rPr>
        <w:t>מורה נבוכים ב' י"ד - המעגל אין לו היפך ולכן הוא נצחי</w:t>
      </w:r>
      <w:r>
        <w:rPr>
          <w:rtl/>
        </w:rPr>
        <w:tab/>
        <w:t>177</w:t>
      </w:r>
    </w:p>
    <w:p w14:paraId="33CE39D7" w14:textId="77777777" w:rsidR="00A2120D" w:rsidRDefault="00A2120D">
      <w:pPr>
        <w:pStyle w:val="Index1"/>
        <w:tabs>
          <w:tab w:val="right" w:leader="dot" w:pos="7134"/>
        </w:tabs>
        <w:rPr>
          <w:rtl/>
        </w:rPr>
      </w:pPr>
      <w:r>
        <w:rPr>
          <w:rtl/>
        </w:rPr>
        <w:t>מורה נבוכים ב' י"ז (וגם ב' כ"ז) - הבריאה הראשונה היא מעל כל שיקול שכלי</w:t>
      </w:r>
      <w:r>
        <w:rPr>
          <w:rtl/>
        </w:rPr>
        <w:tab/>
        <w:t>309</w:t>
      </w:r>
    </w:p>
    <w:p w14:paraId="098DCBBE" w14:textId="77777777" w:rsidR="00A2120D" w:rsidRDefault="00A2120D">
      <w:pPr>
        <w:pStyle w:val="Index1"/>
        <w:tabs>
          <w:tab w:val="right" w:leader="dot" w:pos="7134"/>
        </w:tabs>
        <w:rPr>
          <w:rtl/>
        </w:rPr>
      </w:pPr>
      <w:r>
        <w:rPr>
          <w:rtl/>
        </w:rPr>
        <w:t>מורה נבוכים ב' כ"ב - צורת התנועה מורה על החומר</w:t>
      </w:r>
      <w:r>
        <w:rPr>
          <w:rtl/>
        </w:rPr>
        <w:tab/>
        <w:t>302</w:t>
      </w:r>
    </w:p>
    <w:p w14:paraId="1FCDFB50" w14:textId="77777777" w:rsidR="00A2120D" w:rsidRDefault="00A2120D">
      <w:pPr>
        <w:pStyle w:val="Index1"/>
        <w:tabs>
          <w:tab w:val="right" w:leader="dot" w:pos="7134"/>
        </w:tabs>
        <w:rPr>
          <w:rtl/>
        </w:rPr>
      </w:pPr>
      <w:r>
        <w:rPr>
          <w:rtl/>
        </w:rPr>
        <w:t>מורה נבוכים ב' כ"ו - החומר הראשון של הגופים הארציים והיסוד החמישי הוא החומר הראשון השמיימי</w:t>
      </w:r>
      <w:r>
        <w:rPr>
          <w:rtl/>
        </w:rPr>
        <w:tab/>
        <w:t>161</w:t>
      </w:r>
    </w:p>
    <w:p w14:paraId="3C2EE3E2" w14:textId="77777777" w:rsidR="00A2120D" w:rsidRDefault="00A2120D">
      <w:pPr>
        <w:pStyle w:val="Index1"/>
        <w:tabs>
          <w:tab w:val="right" w:leader="dot" w:pos="7134"/>
        </w:tabs>
        <w:rPr>
          <w:rtl/>
        </w:rPr>
      </w:pPr>
      <w:r>
        <w:rPr>
          <w:rtl/>
        </w:rPr>
        <w:t>מורה נבוכים ב' כ"ו - שני חומרים ראשוניים</w:t>
      </w:r>
      <w:r>
        <w:rPr>
          <w:rtl/>
        </w:rPr>
        <w:tab/>
        <w:t>162</w:t>
      </w:r>
    </w:p>
    <w:p w14:paraId="6DE93B4D" w14:textId="77777777" w:rsidR="00A2120D" w:rsidRDefault="00A2120D">
      <w:pPr>
        <w:pStyle w:val="Index1"/>
        <w:tabs>
          <w:tab w:val="right" w:leader="dot" w:pos="7134"/>
        </w:tabs>
        <w:rPr>
          <w:rtl/>
        </w:rPr>
      </w:pPr>
      <w:r>
        <w:rPr>
          <w:rtl/>
        </w:rPr>
        <w:t>מורה נבוכים ב' מ"ב</w:t>
      </w:r>
      <w:r>
        <w:rPr>
          <w:rtl/>
        </w:rPr>
        <w:tab/>
        <w:t>103</w:t>
      </w:r>
    </w:p>
    <w:p w14:paraId="2794EFE3" w14:textId="77777777" w:rsidR="00A2120D" w:rsidRDefault="00A2120D">
      <w:pPr>
        <w:pStyle w:val="Index1"/>
        <w:tabs>
          <w:tab w:val="right" w:leader="dot" w:pos="7134"/>
        </w:tabs>
        <w:rPr>
          <w:rtl/>
        </w:rPr>
      </w:pPr>
      <w:r>
        <w:rPr>
          <w:rtl/>
        </w:rPr>
        <w:t>מורה נבוכים ב' מ"ח</w:t>
      </w:r>
      <w:r>
        <w:rPr>
          <w:rtl/>
        </w:rPr>
        <w:tab/>
        <w:t>108, 123</w:t>
      </w:r>
    </w:p>
    <w:p w14:paraId="17C39522" w14:textId="77777777" w:rsidR="00A2120D" w:rsidRDefault="00A2120D">
      <w:pPr>
        <w:pStyle w:val="Index1"/>
        <w:tabs>
          <w:tab w:val="right" w:leader="dot" w:pos="7134"/>
        </w:tabs>
        <w:rPr>
          <w:rtl/>
        </w:rPr>
      </w:pPr>
      <w:r>
        <w:rPr>
          <w:rtl/>
        </w:rPr>
        <w:t>מורה נבוכים ב' ע"ב - שפע זכרי (שכלים) ושפע נקבי (גלגלים)</w:t>
      </w:r>
      <w:r>
        <w:rPr>
          <w:rtl/>
        </w:rPr>
        <w:tab/>
        <w:t>156</w:t>
      </w:r>
    </w:p>
    <w:p w14:paraId="453CFFA2" w14:textId="77777777" w:rsidR="00A2120D" w:rsidRDefault="00A2120D">
      <w:pPr>
        <w:pStyle w:val="Index1"/>
        <w:tabs>
          <w:tab w:val="right" w:leader="dot" w:pos="7134"/>
        </w:tabs>
        <w:rPr>
          <w:rtl/>
        </w:rPr>
      </w:pPr>
      <w:r>
        <w:rPr>
          <w:rtl/>
        </w:rPr>
        <w:t>מורה נבוכים ב' פרק י"ט</w:t>
      </w:r>
      <w:r>
        <w:rPr>
          <w:rtl/>
        </w:rPr>
        <w:tab/>
        <w:t>114</w:t>
      </w:r>
    </w:p>
    <w:p w14:paraId="5027D23A" w14:textId="77777777" w:rsidR="00A2120D" w:rsidRDefault="00A2120D">
      <w:pPr>
        <w:pStyle w:val="Index1"/>
        <w:tabs>
          <w:tab w:val="right" w:leader="dot" w:pos="7134"/>
        </w:tabs>
        <w:rPr>
          <w:rtl/>
        </w:rPr>
      </w:pPr>
      <w:r>
        <w:rPr>
          <w:rtl/>
        </w:rPr>
        <w:t>מורה נבוכים ג' ח'</w:t>
      </w:r>
      <w:r>
        <w:rPr>
          <w:rtl/>
        </w:rPr>
        <w:tab/>
        <w:t>139</w:t>
      </w:r>
    </w:p>
    <w:p w14:paraId="22B8D5E3" w14:textId="77777777" w:rsidR="00A2120D" w:rsidRDefault="00A2120D">
      <w:pPr>
        <w:pStyle w:val="Index1"/>
        <w:tabs>
          <w:tab w:val="right" w:leader="dot" w:pos="7134"/>
        </w:tabs>
        <w:rPr>
          <w:rtl/>
        </w:rPr>
      </w:pPr>
      <w:r>
        <w:rPr>
          <w:rtl/>
        </w:rPr>
        <w:t>מורה נבוכים ג ח - ההעדר המיוחד</w:t>
      </w:r>
      <w:r>
        <w:rPr>
          <w:rtl/>
        </w:rPr>
        <w:tab/>
        <w:t>199</w:t>
      </w:r>
    </w:p>
    <w:p w14:paraId="27F21EA3" w14:textId="77777777" w:rsidR="00A2120D" w:rsidRDefault="00A2120D">
      <w:pPr>
        <w:pStyle w:val="Index1"/>
        <w:tabs>
          <w:tab w:val="right" w:leader="dot" w:pos="7134"/>
        </w:tabs>
        <w:rPr>
          <w:rtl/>
        </w:rPr>
      </w:pPr>
      <w:r>
        <w:rPr>
          <w:rtl/>
        </w:rPr>
        <w:t>מורה נבוכים ג' י'</w:t>
      </w:r>
      <w:r>
        <w:rPr>
          <w:rtl/>
        </w:rPr>
        <w:tab/>
        <w:t>126</w:t>
      </w:r>
    </w:p>
    <w:p w14:paraId="0E8E1D66" w14:textId="77777777" w:rsidR="00A2120D" w:rsidRDefault="00A2120D">
      <w:pPr>
        <w:pStyle w:val="Index1"/>
        <w:tabs>
          <w:tab w:val="right" w:leader="dot" w:pos="7134"/>
        </w:tabs>
        <w:rPr>
          <w:rtl/>
        </w:rPr>
      </w:pPr>
      <w:r>
        <w:rPr>
          <w:rtl/>
        </w:rPr>
        <w:t>מורה נבוכים ג' י' - צד הטוב שיש במוות</w:t>
      </w:r>
      <w:r>
        <w:rPr>
          <w:rtl/>
        </w:rPr>
        <w:tab/>
        <w:t>342</w:t>
      </w:r>
    </w:p>
    <w:p w14:paraId="7D0A7EC9" w14:textId="77777777" w:rsidR="00A2120D" w:rsidRDefault="00A2120D">
      <w:pPr>
        <w:pStyle w:val="Index1"/>
        <w:tabs>
          <w:tab w:val="right" w:leader="dot" w:pos="7134"/>
        </w:tabs>
        <w:rPr>
          <w:rtl/>
        </w:rPr>
      </w:pPr>
      <w:r>
        <w:rPr>
          <w:rtl/>
        </w:rPr>
        <w:t>מורה נבוכים ג' י"ח - המין אינו חוץ לשכל</w:t>
      </w:r>
      <w:r>
        <w:rPr>
          <w:rtl/>
        </w:rPr>
        <w:tab/>
        <w:t>36, 102</w:t>
      </w:r>
    </w:p>
    <w:p w14:paraId="16AECFB8" w14:textId="77777777" w:rsidR="00A2120D" w:rsidRDefault="00A2120D">
      <w:pPr>
        <w:pStyle w:val="Index1"/>
        <w:tabs>
          <w:tab w:val="right" w:leader="dot" w:pos="7134"/>
        </w:tabs>
        <w:rPr>
          <w:rtl/>
        </w:rPr>
      </w:pPr>
      <w:r>
        <w:rPr>
          <w:rtl/>
        </w:rPr>
        <w:t>מורה נבוכים ג' י"ח - הסוג והמין לא קיימים מחוץ לשכל</w:t>
      </w:r>
      <w:r>
        <w:rPr>
          <w:rtl/>
        </w:rPr>
        <w:tab/>
        <w:t>324</w:t>
      </w:r>
    </w:p>
    <w:p w14:paraId="4B63927F" w14:textId="77777777" w:rsidR="00A2120D" w:rsidRDefault="00A2120D">
      <w:pPr>
        <w:pStyle w:val="Index1"/>
        <w:tabs>
          <w:tab w:val="right" w:leader="dot" w:pos="7134"/>
        </w:tabs>
        <w:rPr>
          <w:rtl/>
        </w:rPr>
      </w:pPr>
      <w:r>
        <w:rPr>
          <w:rtl/>
        </w:rPr>
        <w:t>מורה נבוכים על החומר הראשון</w:t>
      </w:r>
      <w:r>
        <w:rPr>
          <w:rtl/>
        </w:rPr>
        <w:tab/>
        <w:t>98</w:t>
      </w:r>
    </w:p>
    <w:p w14:paraId="45F7E502" w14:textId="77777777" w:rsidR="00A2120D" w:rsidRDefault="00A2120D">
      <w:pPr>
        <w:pStyle w:val="Index1"/>
        <w:tabs>
          <w:tab w:val="right" w:leader="dot" w:pos="7134"/>
        </w:tabs>
        <w:rPr>
          <w:rtl/>
        </w:rPr>
      </w:pPr>
      <w:r>
        <w:rPr>
          <w:rtl/>
        </w:rPr>
        <w:t>מזג - הוא האופן של 'צורה' בגופים המורכבים</w:t>
      </w:r>
      <w:r>
        <w:rPr>
          <w:rtl/>
        </w:rPr>
        <w:tab/>
        <w:t>310</w:t>
      </w:r>
    </w:p>
    <w:p w14:paraId="52195385" w14:textId="77777777" w:rsidR="00A2120D" w:rsidRDefault="00A2120D">
      <w:pPr>
        <w:pStyle w:val="Index1"/>
        <w:tabs>
          <w:tab w:val="right" w:leader="dot" w:pos="7134"/>
        </w:tabs>
        <w:rPr>
          <w:rtl/>
        </w:rPr>
      </w:pPr>
      <w:r>
        <w:rPr>
          <w:rtl/>
        </w:rPr>
        <w:t>מזג - צורת ה'ראובניות' שמיוחדת לראובן</w:t>
      </w:r>
      <w:r>
        <w:rPr>
          <w:rtl/>
        </w:rPr>
        <w:tab/>
        <w:t>310</w:t>
      </w:r>
    </w:p>
    <w:p w14:paraId="30A5EE55" w14:textId="77777777" w:rsidR="00A2120D" w:rsidRDefault="00A2120D">
      <w:pPr>
        <w:pStyle w:val="Index1"/>
        <w:tabs>
          <w:tab w:val="right" w:leader="dot" w:pos="7134"/>
        </w:tabs>
        <w:rPr>
          <w:rtl/>
        </w:rPr>
      </w:pPr>
      <w:r>
        <w:rPr>
          <w:rtl/>
        </w:rPr>
        <w:t>מזג - שינויי המזג והצורה</w:t>
      </w:r>
      <w:r>
        <w:rPr>
          <w:rtl/>
        </w:rPr>
        <w:tab/>
        <w:t>314</w:t>
      </w:r>
    </w:p>
    <w:p w14:paraId="68B504A0" w14:textId="77777777" w:rsidR="00A2120D" w:rsidRDefault="00A2120D">
      <w:pPr>
        <w:pStyle w:val="Index1"/>
        <w:tabs>
          <w:tab w:val="right" w:leader="dot" w:pos="7134"/>
        </w:tabs>
        <w:rPr>
          <w:rtl/>
        </w:rPr>
      </w:pPr>
      <w:r w:rsidRPr="00D472C7">
        <w:rPr>
          <w:b/>
          <w:bCs/>
          <w:rtl/>
        </w:rPr>
        <w:t>מזג - תרכובת של היסודות</w:t>
      </w:r>
      <w:r>
        <w:rPr>
          <w:rtl/>
        </w:rPr>
        <w:tab/>
        <w:t>168</w:t>
      </w:r>
    </w:p>
    <w:p w14:paraId="037F4E7D" w14:textId="77777777" w:rsidR="00A2120D" w:rsidRDefault="00A2120D">
      <w:pPr>
        <w:pStyle w:val="Index1"/>
        <w:tabs>
          <w:tab w:val="right" w:leader="dot" w:pos="7134"/>
        </w:tabs>
        <w:rPr>
          <w:rtl/>
        </w:rPr>
      </w:pPr>
      <w:r>
        <w:rPr>
          <w:rtl/>
        </w:rPr>
        <w:t>מטאפיזיקה - למה נקראת חכמת האלוהות</w:t>
      </w:r>
      <w:r>
        <w:rPr>
          <w:rtl/>
        </w:rPr>
        <w:tab/>
        <w:t>246</w:t>
      </w:r>
    </w:p>
    <w:p w14:paraId="45F2B527" w14:textId="77777777" w:rsidR="00A2120D" w:rsidRDefault="00A2120D">
      <w:pPr>
        <w:pStyle w:val="Index1"/>
        <w:tabs>
          <w:tab w:val="right" w:leader="dot" w:pos="7134"/>
        </w:tabs>
        <w:rPr>
          <w:rtl/>
        </w:rPr>
      </w:pPr>
      <w:r>
        <w:rPr>
          <w:rtl/>
        </w:rPr>
        <w:t>מטריאליזם - אינו שיטה פילוסופית</w:t>
      </w:r>
      <w:r>
        <w:rPr>
          <w:rtl/>
        </w:rPr>
        <w:tab/>
        <w:t>368</w:t>
      </w:r>
    </w:p>
    <w:p w14:paraId="0B1C654C" w14:textId="77777777" w:rsidR="00A2120D" w:rsidRDefault="00A2120D">
      <w:pPr>
        <w:pStyle w:val="Index1"/>
        <w:tabs>
          <w:tab w:val="right" w:leader="dot" w:pos="7134"/>
        </w:tabs>
        <w:rPr>
          <w:rtl/>
        </w:rPr>
      </w:pPr>
      <w:r>
        <w:rPr>
          <w:rtl/>
        </w:rPr>
        <w:t>מילות ההגיון י"א - חום וקור אינם הפכים כמו ראייה ועיוורון</w:t>
      </w:r>
      <w:r>
        <w:rPr>
          <w:rtl/>
        </w:rPr>
        <w:tab/>
        <w:t>127</w:t>
      </w:r>
    </w:p>
    <w:p w14:paraId="5B66DD10" w14:textId="77777777" w:rsidR="00A2120D" w:rsidRDefault="00A2120D">
      <w:pPr>
        <w:pStyle w:val="Index1"/>
        <w:tabs>
          <w:tab w:val="right" w:leader="dot" w:pos="7134"/>
        </w:tabs>
        <w:rPr>
          <w:rtl/>
        </w:rPr>
      </w:pPr>
      <w:r>
        <w:rPr>
          <w:rtl/>
        </w:rPr>
        <w:t>מינים אצל אריסטו לעומת מינים בביולוגיה המודרנית</w:t>
      </w:r>
      <w:r>
        <w:rPr>
          <w:rtl/>
        </w:rPr>
        <w:tab/>
        <w:t>27</w:t>
      </w:r>
    </w:p>
    <w:p w14:paraId="143BA175" w14:textId="77777777" w:rsidR="00A2120D" w:rsidRDefault="00A2120D">
      <w:pPr>
        <w:pStyle w:val="Index1"/>
        <w:tabs>
          <w:tab w:val="right" w:leader="dot" w:pos="7134"/>
        </w:tabs>
        <w:rPr>
          <w:rtl/>
        </w:rPr>
      </w:pPr>
      <w:r>
        <w:rPr>
          <w:rtl/>
        </w:rPr>
        <w:t>מעמד שכלי</w:t>
      </w:r>
      <w:r>
        <w:rPr>
          <w:rtl/>
        </w:rPr>
        <w:tab/>
        <w:t>97, 137</w:t>
      </w:r>
    </w:p>
    <w:p w14:paraId="4EADB588" w14:textId="77777777" w:rsidR="00A2120D" w:rsidRDefault="00A2120D">
      <w:pPr>
        <w:pStyle w:val="Index1"/>
        <w:tabs>
          <w:tab w:val="right" w:leader="dot" w:pos="7134"/>
        </w:tabs>
        <w:rPr>
          <w:rtl/>
        </w:rPr>
      </w:pPr>
      <w:r>
        <w:rPr>
          <w:rtl/>
        </w:rPr>
        <w:t>מעשה מרכבה</w:t>
      </w:r>
      <w:r>
        <w:rPr>
          <w:rtl/>
        </w:rPr>
        <w:tab/>
        <w:t>70, 72, 75, 86, 97, 140, 300</w:t>
      </w:r>
    </w:p>
    <w:p w14:paraId="791A0CCD" w14:textId="77777777" w:rsidR="00A2120D" w:rsidRDefault="00A2120D">
      <w:pPr>
        <w:pStyle w:val="Index1"/>
        <w:tabs>
          <w:tab w:val="right" w:leader="dot" w:pos="7134"/>
        </w:tabs>
        <w:rPr>
          <w:rtl/>
        </w:rPr>
      </w:pPr>
      <w:r>
        <w:rPr>
          <w:rtl/>
        </w:rPr>
        <w:t>'מציאות' - יש חילוק בין מציאות בהגדרת מדע הטבע ובין מציאות בהגדרת המטאפיזיקה</w:t>
      </w:r>
      <w:r>
        <w:rPr>
          <w:rtl/>
        </w:rPr>
        <w:tab/>
        <w:t>340</w:t>
      </w:r>
    </w:p>
    <w:p w14:paraId="776A11F9" w14:textId="77777777" w:rsidR="00A2120D" w:rsidRDefault="00A2120D">
      <w:pPr>
        <w:pStyle w:val="Index1"/>
        <w:tabs>
          <w:tab w:val="right" w:leader="dot" w:pos="7134"/>
        </w:tabs>
        <w:rPr>
          <w:rtl/>
        </w:rPr>
      </w:pPr>
      <w:r>
        <w:rPr>
          <w:rtl/>
        </w:rPr>
        <w:t>מקום - מקורו במופשט</w:t>
      </w:r>
      <w:r>
        <w:rPr>
          <w:rtl/>
        </w:rPr>
        <w:tab/>
        <w:t>329</w:t>
      </w:r>
    </w:p>
    <w:p w14:paraId="3B408740" w14:textId="77777777" w:rsidR="00A2120D" w:rsidRDefault="00A2120D">
      <w:pPr>
        <w:pStyle w:val="Index1"/>
        <w:tabs>
          <w:tab w:val="right" w:leader="dot" w:pos="7134"/>
        </w:tabs>
        <w:rPr>
          <w:rtl/>
        </w:rPr>
      </w:pPr>
      <w:r>
        <w:rPr>
          <w:rtl/>
        </w:rPr>
        <w:t>מקרה - איך הוא קשור לצורה</w:t>
      </w:r>
      <w:r>
        <w:rPr>
          <w:rtl/>
        </w:rPr>
        <w:tab/>
        <w:t>396</w:t>
      </w:r>
    </w:p>
    <w:p w14:paraId="35917D97" w14:textId="77777777" w:rsidR="00A2120D" w:rsidRDefault="00A2120D">
      <w:pPr>
        <w:pStyle w:val="Index1"/>
        <w:tabs>
          <w:tab w:val="right" w:leader="dot" w:pos="7134"/>
        </w:tabs>
        <w:rPr>
          <w:rtl/>
        </w:rPr>
      </w:pPr>
      <w:r>
        <w:rPr>
          <w:rtl/>
        </w:rPr>
        <w:t>נותן הצורה - ההשפעה מהגלגל החומרי דרך החומר וההשפעה דרך השכלים הנפרדים</w:t>
      </w:r>
      <w:r>
        <w:rPr>
          <w:rtl/>
        </w:rPr>
        <w:tab/>
        <w:t>386</w:t>
      </w:r>
    </w:p>
    <w:p w14:paraId="298BCD71" w14:textId="77777777" w:rsidR="00A2120D" w:rsidRDefault="00A2120D">
      <w:pPr>
        <w:pStyle w:val="Index1"/>
        <w:tabs>
          <w:tab w:val="right" w:leader="dot" w:pos="7134"/>
        </w:tabs>
        <w:rPr>
          <w:rtl/>
        </w:rPr>
      </w:pPr>
      <w:r>
        <w:rPr>
          <w:rtl/>
        </w:rPr>
        <w:t>נרבוני - על החומר החמישי</w:t>
      </w:r>
      <w:r>
        <w:rPr>
          <w:rtl/>
        </w:rPr>
        <w:tab/>
        <w:t>164</w:t>
      </w:r>
    </w:p>
    <w:p w14:paraId="73553BBE" w14:textId="77777777" w:rsidR="00A2120D" w:rsidRDefault="00A2120D">
      <w:pPr>
        <w:pStyle w:val="Index1"/>
        <w:tabs>
          <w:tab w:val="right" w:leader="dot" w:pos="7134"/>
        </w:tabs>
        <w:rPr>
          <w:rtl/>
        </w:rPr>
      </w:pPr>
      <w:r>
        <w:rPr>
          <w:rtl/>
        </w:rPr>
        <w:t>סדר ההוויה - המדרגות מהאחד הראשון עד הגופים המוחשיים</w:t>
      </w:r>
      <w:r>
        <w:rPr>
          <w:rtl/>
        </w:rPr>
        <w:tab/>
        <w:t>318</w:t>
      </w:r>
    </w:p>
    <w:p w14:paraId="27E1E41B" w14:textId="77777777" w:rsidR="00A2120D" w:rsidRDefault="00A2120D">
      <w:pPr>
        <w:pStyle w:val="Index1"/>
        <w:tabs>
          <w:tab w:val="right" w:leader="dot" w:pos="7134"/>
        </w:tabs>
        <w:rPr>
          <w:rtl/>
        </w:rPr>
      </w:pPr>
      <w:r>
        <w:rPr>
          <w:rtl/>
        </w:rPr>
        <w:t>סוג ומין - הסוג כמו חומר למין</w:t>
      </w:r>
      <w:r>
        <w:rPr>
          <w:rtl/>
        </w:rPr>
        <w:tab/>
        <w:t>295</w:t>
      </w:r>
    </w:p>
    <w:p w14:paraId="1FF8B1DB" w14:textId="77777777" w:rsidR="00A2120D" w:rsidRDefault="00A2120D">
      <w:pPr>
        <w:pStyle w:val="Index1"/>
        <w:tabs>
          <w:tab w:val="right" w:leader="dot" w:pos="7134"/>
        </w:tabs>
        <w:rPr>
          <w:rtl/>
        </w:rPr>
      </w:pPr>
      <w:r>
        <w:rPr>
          <w:rtl/>
        </w:rPr>
        <w:t>סוד מעשה מרכבה - השתלשלות הצורות</w:t>
      </w:r>
      <w:r>
        <w:rPr>
          <w:rtl/>
        </w:rPr>
        <w:tab/>
        <w:t>299</w:t>
      </w:r>
    </w:p>
    <w:p w14:paraId="22CBF46E" w14:textId="77777777" w:rsidR="00A2120D" w:rsidRDefault="00A2120D">
      <w:pPr>
        <w:pStyle w:val="Index1"/>
        <w:tabs>
          <w:tab w:val="right" w:leader="dot" w:pos="7134"/>
        </w:tabs>
        <w:rPr>
          <w:rtl/>
        </w:rPr>
      </w:pPr>
      <w:r>
        <w:rPr>
          <w:rtl/>
        </w:rPr>
        <w:t>סוּפיוּת</w:t>
      </w:r>
      <w:r>
        <w:rPr>
          <w:rtl/>
        </w:rPr>
        <w:tab/>
        <w:t>152</w:t>
      </w:r>
    </w:p>
    <w:p w14:paraId="056CD996" w14:textId="77777777" w:rsidR="00A2120D" w:rsidRDefault="00A2120D">
      <w:pPr>
        <w:pStyle w:val="Index1"/>
        <w:tabs>
          <w:tab w:val="right" w:leader="dot" w:pos="7134"/>
        </w:tabs>
        <w:rPr>
          <w:rtl/>
        </w:rPr>
      </w:pPr>
      <w:r>
        <w:rPr>
          <w:rtl/>
        </w:rPr>
        <w:t>סיבה ומסובב - חזרה על מעשה הבריאה</w:t>
      </w:r>
      <w:r>
        <w:rPr>
          <w:rtl/>
        </w:rPr>
        <w:tab/>
        <w:t>144</w:t>
      </w:r>
    </w:p>
    <w:p w14:paraId="3BE3F6C1" w14:textId="77777777" w:rsidR="00A2120D" w:rsidRDefault="00A2120D">
      <w:pPr>
        <w:pStyle w:val="Index1"/>
        <w:tabs>
          <w:tab w:val="right" w:leader="dot" w:pos="7134"/>
        </w:tabs>
        <w:rPr>
          <w:rtl/>
        </w:rPr>
      </w:pPr>
      <w:r>
        <w:rPr>
          <w:rtl/>
        </w:rPr>
        <w:t>ספירת כתר וספירת חכמה</w:t>
      </w:r>
      <w:r>
        <w:rPr>
          <w:rtl/>
        </w:rPr>
        <w:tab/>
        <w:t>68, 70, 79, 96, 113, 122, 136, 141, 216</w:t>
      </w:r>
    </w:p>
    <w:p w14:paraId="337E2AD9" w14:textId="77777777" w:rsidR="00A2120D" w:rsidRDefault="00A2120D">
      <w:pPr>
        <w:pStyle w:val="Index1"/>
        <w:tabs>
          <w:tab w:val="right" w:leader="dot" w:pos="7134"/>
        </w:tabs>
        <w:rPr>
          <w:rtl/>
        </w:rPr>
      </w:pPr>
      <w:r>
        <w:rPr>
          <w:rtl/>
        </w:rPr>
        <w:t>ספירת מלכות</w:t>
      </w:r>
      <w:r>
        <w:rPr>
          <w:rtl/>
        </w:rPr>
        <w:tab/>
        <w:t>58, 76, 94</w:t>
      </w:r>
    </w:p>
    <w:p w14:paraId="0A3E8D6B" w14:textId="77777777" w:rsidR="00A2120D" w:rsidRDefault="00A2120D">
      <w:pPr>
        <w:pStyle w:val="Index1"/>
        <w:tabs>
          <w:tab w:val="right" w:leader="dot" w:pos="7134"/>
        </w:tabs>
        <w:rPr>
          <w:rtl/>
        </w:rPr>
      </w:pPr>
      <w:r>
        <w:rPr>
          <w:rtl/>
        </w:rPr>
        <w:t>ספר אמונה ובטחון מאת החזון איש</w:t>
      </w:r>
      <w:r>
        <w:rPr>
          <w:rtl/>
        </w:rPr>
        <w:tab/>
        <w:t>134</w:t>
      </w:r>
    </w:p>
    <w:p w14:paraId="1CC3F965" w14:textId="77777777" w:rsidR="00A2120D" w:rsidRDefault="00A2120D">
      <w:pPr>
        <w:pStyle w:val="Index1"/>
        <w:tabs>
          <w:tab w:val="right" w:leader="dot" w:pos="7134"/>
        </w:tabs>
        <w:rPr>
          <w:rtl/>
        </w:rPr>
      </w:pPr>
      <w:r>
        <w:rPr>
          <w:rtl/>
        </w:rPr>
        <w:t>עקרה (השיר של רחל)</w:t>
      </w:r>
      <w:r>
        <w:rPr>
          <w:rtl/>
        </w:rPr>
        <w:tab/>
        <w:t>74, 85, 123, 133</w:t>
      </w:r>
    </w:p>
    <w:p w14:paraId="25436206" w14:textId="77777777" w:rsidR="00A2120D" w:rsidRDefault="00A2120D">
      <w:pPr>
        <w:pStyle w:val="Index1"/>
        <w:tabs>
          <w:tab w:val="right" w:leader="dot" w:pos="7134"/>
        </w:tabs>
        <w:rPr>
          <w:rtl/>
        </w:rPr>
      </w:pPr>
      <w:r>
        <w:rPr>
          <w:rtl/>
        </w:rPr>
        <w:t>פיזיקה ב' א' ומטאפיזיקה ד' ד', בהגדרת 'טבע', מועתקים במלואם</w:t>
      </w:r>
      <w:r>
        <w:rPr>
          <w:rtl/>
        </w:rPr>
        <w:tab/>
        <w:t>239</w:t>
      </w:r>
    </w:p>
    <w:p w14:paraId="25143ADA" w14:textId="77777777" w:rsidR="00A2120D" w:rsidRDefault="00A2120D">
      <w:pPr>
        <w:pStyle w:val="Index1"/>
        <w:tabs>
          <w:tab w:val="right" w:leader="dot" w:pos="7134"/>
        </w:tabs>
        <w:rPr>
          <w:rtl/>
        </w:rPr>
      </w:pPr>
      <w:r>
        <w:rPr>
          <w:rtl/>
        </w:rPr>
        <w:t>פיזיקה ב' ד' הסיבה החמישית "מעצמו"</w:t>
      </w:r>
      <w:r>
        <w:rPr>
          <w:rtl/>
        </w:rPr>
        <w:tab/>
        <w:t>113</w:t>
      </w:r>
    </w:p>
    <w:p w14:paraId="1422794A" w14:textId="77777777" w:rsidR="00A2120D" w:rsidRDefault="00A2120D">
      <w:pPr>
        <w:pStyle w:val="Index1"/>
        <w:tabs>
          <w:tab w:val="right" w:leader="dot" w:pos="7134"/>
        </w:tabs>
        <w:rPr>
          <w:rtl/>
        </w:rPr>
      </w:pPr>
      <w:r w:rsidRPr="00D472C7">
        <w:rPr>
          <w:b/>
          <w:bCs/>
          <w:rtl/>
        </w:rPr>
        <w:t>צד השפעת המציאות הנקבי - הגלגלים</w:t>
      </w:r>
      <w:r>
        <w:rPr>
          <w:rtl/>
        </w:rPr>
        <w:tab/>
        <w:t>152</w:t>
      </w:r>
    </w:p>
    <w:p w14:paraId="0993D94A" w14:textId="77777777" w:rsidR="00A2120D" w:rsidRDefault="00A2120D">
      <w:pPr>
        <w:pStyle w:val="Index1"/>
        <w:tabs>
          <w:tab w:val="right" w:leader="dot" w:pos="7134"/>
        </w:tabs>
        <w:rPr>
          <w:rtl/>
        </w:rPr>
      </w:pPr>
      <w:r>
        <w:rPr>
          <w:rtl/>
        </w:rPr>
        <w:t>צורה - ההבדל בין צורה לטבע</w:t>
      </w:r>
      <w:r>
        <w:rPr>
          <w:rtl/>
        </w:rPr>
        <w:tab/>
        <w:t>297</w:t>
      </w:r>
    </w:p>
    <w:p w14:paraId="0803915A" w14:textId="77777777" w:rsidR="00A2120D" w:rsidRDefault="00A2120D">
      <w:pPr>
        <w:pStyle w:val="Index1"/>
        <w:tabs>
          <w:tab w:val="right" w:leader="dot" w:pos="7134"/>
        </w:tabs>
        <w:rPr>
          <w:rtl/>
        </w:rPr>
      </w:pPr>
      <w:r>
        <w:rPr>
          <w:rtl/>
        </w:rPr>
        <w:t>צורה - מבחינת היותה מרכיב סביל של השינוי</w:t>
      </w:r>
      <w:r>
        <w:rPr>
          <w:rtl/>
        </w:rPr>
        <w:tab/>
        <w:t>209</w:t>
      </w:r>
    </w:p>
    <w:p w14:paraId="0BEBD648" w14:textId="77777777" w:rsidR="00A2120D" w:rsidRDefault="00A2120D">
      <w:pPr>
        <w:pStyle w:val="Index1"/>
        <w:tabs>
          <w:tab w:val="right" w:leader="dot" w:pos="7134"/>
        </w:tabs>
        <w:rPr>
          <w:rtl/>
        </w:rPr>
      </w:pPr>
      <w:r>
        <w:rPr>
          <w:rtl/>
        </w:rPr>
        <w:t>צורה - צורות כמו סוס נוצרות מהכנת החומר</w:t>
      </w:r>
      <w:r>
        <w:rPr>
          <w:rtl/>
        </w:rPr>
        <w:tab/>
        <w:t>377</w:t>
      </w:r>
    </w:p>
    <w:p w14:paraId="71883E8D" w14:textId="77777777" w:rsidR="00A2120D" w:rsidRDefault="00A2120D">
      <w:pPr>
        <w:pStyle w:val="Index1"/>
        <w:tabs>
          <w:tab w:val="right" w:leader="dot" w:pos="7134"/>
        </w:tabs>
        <w:rPr>
          <w:rtl/>
        </w:rPr>
      </w:pPr>
      <w:r>
        <w:rPr>
          <w:rtl/>
        </w:rPr>
        <w:t>צורות - הצורות נפרדות מהחומר משום שהצדק מחייב אותן לזה</w:t>
      </w:r>
      <w:r>
        <w:rPr>
          <w:rtl/>
        </w:rPr>
        <w:tab/>
        <w:t>381</w:t>
      </w:r>
    </w:p>
    <w:p w14:paraId="12D4A27C" w14:textId="77777777" w:rsidR="00A2120D" w:rsidRDefault="00A2120D">
      <w:pPr>
        <w:pStyle w:val="Index1"/>
        <w:tabs>
          <w:tab w:val="right" w:leader="dot" w:pos="7134"/>
        </w:tabs>
        <w:rPr>
          <w:rtl/>
        </w:rPr>
      </w:pPr>
      <w:r>
        <w:rPr>
          <w:rtl/>
        </w:rPr>
        <w:t>צורת התלת ממדיות</w:t>
      </w:r>
      <w:r>
        <w:rPr>
          <w:rtl/>
        </w:rPr>
        <w:tab/>
        <w:t>57, 59, 62, 67, 125, 163, 167, 182, 225</w:t>
      </w:r>
    </w:p>
    <w:p w14:paraId="026A1AE2" w14:textId="77777777" w:rsidR="00A2120D" w:rsidRDefault="00A2120D">
      <w:pPr>
        <w:pStyle w:val="Index1"/>
        <w:tabs>
          <w:tab w:val="right" w:leader="dot" w:pos="7134"/>
        </w:tabs>
        <w:rPr>
          <w:rtl/>
        </w:rPr>
      </w:pPr>
      <w:r>
        <w:rPr>
          <w:rtl/>
        </w:rPr>
        <w:t>צורת התלת ממדיות - הגדרה וביאור יסודי בעניין</w:t>
      </w:r>
      <w:r>
        <w:rPr>
          <w:rtl/>
        </w:rPr>
        <w:tab/>
        <w:t>95</w:t>
      </w:r>
    </w:p>
    <w:p w14:paraId="3B960D8B" w14:textId="77777777" w:rsidR="00A2120D" w:rsidRDefault="00A2120D">
      <w:pPr>
        <w:pStyle w:val="Index1"/>
        <w:tabs>
          <w:tab w:val="right" w:leader="dot" w:pos="7134"/>
        </w:tabs>
        <w:rPr>
          <w:rtl/>
        </w:rPr>
      </w:pPr>
      <w:r>
        <w:rPr>
          <w:rtl/>
        </w:rPr>
        <w:t>צורת התלת ממדיות - הסבר האמונה הרמה</w:t>
      </w:r>
      <w:r>
        <w:rPr>
          <w:rtl/>
        </w:rPr>
        <w:tab/>
        <w:t>99</w:t>
      </w:r>
    </w:p>
    <w:p w14:paraId="0692653E" w14:textId="77777777" w:rsidR="00A2120D" w:rsidRDefault="00A2120D">
      <w:pPr>
        <w:pStyle w:val="Index1"/>
        <w:tabs>
          <w:tab w:val="right" w:leader="dot" w:pos="7134"/>
        </w:tabs>
        <w:rPr>
          <w:rtl/>
        </w:rPr>
      </w:pPr>
      <w:r>
        <w:rPr>
          <w:rtl/>
        </w:rPr>
        <w:t>צלם אלוהים</w:t>
      </w:r>
      <w:r>
        <w:rPr>
          <w:rtl/>
        </w:rPr>
        <w:tab/>
        <w:t>136</w:t>
      </w:r>
    </w:p>
    <w:p w14:paraId="3942BA8A" w14:textId="77777777" w:rsidR="00A2120D" w:rsidRDefault="00A2120D">
      <w:pPr>
        <w:pStyle w:val="Index1"/>
        <w:tabs>
          <w:tab w:val="right" w:leader="dot" w:pos="7134"/>
        </w:tabs>
        <w:rPr>
          <w:rtl/>
        </w:rPr>
      </w:pPr>
      <w:r>
        <w:rPr>
          <w:rtl/>
        </w:rPr>
        <w:t>קדמות העולם וחידוש העולם</w:t>
      </w:r>
      <w:r>
        <w:rPr>
          <w:rtl/>
        </w:rPr>
        <w:tab/>
        <w:t>140</w:t>
      </w:r>
    </w:p>
    <w:p w14:paraId="4FFB10C1" w14:textId="77777777" w:rsidR="00A2120D" w:rsidRDefault="00A2120D">
      <w:pPr>
        <w:pStyle w:val="Index1"/>
        <w:tabs>
          <w:tab w:val="right" w:leader="dot" w:pos="7134"/>
        </w:tabs>
        <w:rPr>
          <w:rtl/>
        </w:rPr>
      </w:pPr>
      <w:r>
        <w:rPr>
          <w:rtl/>
        </w:rPr>
        <w:t>קטגוריית ה'עצם' - היא נביעת המוגבל מהמופשט</w:t>
      </w:r>
      <w:r>
        <w:rPr>
          <w:rtl/>
        </w:rPr>
        <w:tab/>
        <w:t>299</w:t>
      </w:r>
    </w:p>
    <w:p w14:paraId="6DBEA709" w14:textId="77777777" w:rsidR="00A2120D" w:rsidRDefault="00A2120D">
      <w:pPr>
        <w:pStyle w:val="Index1"/>
        <w:tabs>
          <w:tab w:val="right" w:leader="dot" w:pos="7134"/>
        </w:tabs>
        <w:rPr>
          <w:rtl/>
        </w:rPr>
      </w:pPr>
      <w:r>
        <w:rPr>
          <w:rtl/>
        </w:rPr>
        <w:t>רוחב - הצורה מאפשרת רוחב של מקרים</w:t>
      </w:r>
      <w:r>
        <w:rPr>
          <w:rtl/>
        </w:rPr>
        <w:tab/>
        <w:t>396</w:t>
      </w:r>
    </w:p>
    <w:p w14:paraId="461AE5D3" w14:textId="77777777" w:rsidR="00A2120D" w:rsidRDefault="00A2120D">
      <w:pPr>
        <w:pStyle w:val="Index1"/>
        <w:tabs>
          <w:tab w:val="right" w:leader="dot" w:pos="7134"/>
        </w:tabs>
        <w:rPr>
          <w:rtl/>
        </w:rPr>
      </w:pPr>
      <w:r>
        <w:rPr>
          <w:rtl/>
        </w:rPr>
        <w:t>רוחב האפשרויות - סוד שיעור קומה</w:t>
      </w:r>
      <w:r>
        <w:rPr>
          <w:rtl/>
        </w:rPr>
        <w:tab/>
        <w:t>134</w:t>
      </w:r>
    </w:p>
    <w:p w14:paraId="10EFBCAD" w14:textId="77777777" w:rsidR="00A2120D" w:rsidRDefault="00A2120D">
      <w:pPr>
        <w:pStyle w:val="Index1"/>
        <w:tabs>
          <w:tab w:val="right" w:leader="dot" w:pos="7134"/>
        </w:tabs>
        <w:rPr>
          <w:rtl/>
        </w:rPr>
      </w:pPr>
      <w:r>
        <w:rPr>
          <w:rtl/>
        </w:rPr>
        <w:t>רצף</w:t>
      </w:r>
      <w:r>
        <w:rPr>
          <w:rtl/>
        </w:rPr>
        <w:tab/>
        <w:t>58</w:t>
      </w:r>
    </w:p>
    <w:p w14:paraId="5825F756" w14:textId="77777777" w:rsidR="00A2120D" w:rsidRDefault="00A2120D">
      <w:pPr>
        <w:pStyle w:val="Index1"/>
        <w:tabs>
          <w:tab w:val="right" w:leader="dot" w:pos="7134"/>
        </w:tabs>
        <w:rPr>
          <w:rtl/>
        </w:rPr>
      </w:pPr>
      <w:r>
        <w:rPr>
          <w:rtl/>
        </w:rPr>
        <w:t>שיעור קומה</w:t>
      </w:r>
      <w:r>
        <w:rPr>
          <w:rtl/>
        </w:rPr>
        <w:tab/>
        <w:t>135</w:t>
      </w:r>
    </w:p>
    <w:p w14:paraId="438E8AD0" w14:textId="77777777" w:rsidR="00A2120D" w:rsidRDefault="00A2120D">
      <w:pPr>
        <w:pStyle w:val="Index1"/>
        <w:tabs>
          <w:tab w:val="right" w:leader="dot" w:pos="7134"/>
        </w:tabs>
        <w:rPr>
          <w:rtl/>
        </w:rPr>
      </w:pPr>
      <w:r>
        <w:rPr>
          <w:rtl/>
        </w:rPr>
        <w:t>שכל עיוני ושכל גשמי</w:t>
      </w:r>
      <w:r>
        <w:rPr>
          <w:rtl/>
        </w:rPr>
        <w:tab/>
        <w:t>296</w:t>
      </w:r>
    </w:p>
    <w:p w14:paraId="4E702EF8" w14:textId="77777777" w:rsidR="00A2120D" w:rsidRDefault="00A2120D">
      <w:pPr>
        <w:pStyle w:val="Index1"/>
        <w:tabs>
          <w:tab w:val="right" w:leader="dot" w:pos="7134"/>
        </w:tabs>
        <w:rPr>
          <w:rtl/>
        </w:rPr>
      </w:pPr>
      <w:r>
        <w:rPr>
          <w:rtl/>
        </w:rPr>
        <w:t>שלושה אופנים של תפישת הצורה</w:t>
      </w:r>
      <w:r>
        <w:rPr>
          <w:rtl/>
        </w:rPr>
        <w:tab/>
        <w:t>38</w:t>
      </w:r>
    </w:p>
    <w:p w14:paraId="40C6BF07" w14:textId="77777777" w:rsidR="00A2120D" w:rsidRDefault="00A2120D">
      <w:pPr>
        <w:pStyle w:val="Index1"/>
        <w:tabs>
          <w:tab w:val="right" w:leader="dot" w:pos="7134"/>
        </w:tabs>
        <w:rPr>
          <w:rtl/>
        </w:rPr>
      </w:pPr>
      <w:r>
        <w:rPr>
          <w:rtl/>
        </w:rPr>
        <w:t>תואר</w:t>
      </w:r>
      <w:r>
        <w:rPr>
          <w:rtl/>
        </w:rPr>
        <w:tab/>
        <w:t>133</w:t>
      </w:r>
    </w:p>
    <w:p w14:paraId="239B4EB4" w14:textId="77777777" w:rsidR="00A2120D" w:rsidRDefault="00A2120D">
      <w:pPr>
        <w:pStyle w:val="Index1"/>
        <w:tabs>
          <w:tab w:val="right" w:leader="dot" w:pos="7134"/>
        </w:tabs>
        <w:rPr>
          <w:rtl/>
        </w:rPr>
      </w:pPr>
      <w:r>
        <w:rPr>
          <w:rtl/>
        </w:rPr>
        <w:t>תנועה</w:t>
      </w:r>
      <w:r>
        <w:rPr>
          <w:rtl/>
        </w:rPr>
        <w:tab/>
        <w:t>17</w:t>
      </w:r>
    </w:p>
    <w:p w14:paraId="18271D18" w14:textId="77777777" w:rsidR="00A2120D" w:rsidRDefault="00A2120D">
      <w:pPr>
        <w:pStyle w:val="Index1"/>
        <w:tabs>
          <w:tab w:val="right" w:leader="dot" w:pos="7134"/>
        </w:tabs>
        <w:rPr>
          <w:rtl/>
        </w:rPr>
      </w:pPr>
      <w:r>
        <w:rPr>
          <w:rtl/>
        </w:rPr>
        <w:t>תנועה - היא עצם ההווייה ביאור פילוסופי</w:t>
      </w:r>
      <w:r>
        <w:rPr>
          <w:rtl/>
        </w:rPr>
        <w:tab/>
        <w:t>309</w:t>
      </w:r>
    </w:p>
    <w:p w14:paraId="2F93E30F" w14:textId="77777777" w:rsidR="00A2120D" w:rsidRDefault="00A2120D">
      <w:pPr>
        <w:pStyle w:val="Index1"/>
        <w:tabs>
          <w:tab w:val="right" w:leader="dot" w:pos="7134"/>
        </w:tabs>
        <w:rPr>
          <w:rtl/>
        </w:rPr>
      </w:pPr>
      <w:r>
        <w:rPr>
          <w:rtl/>
        </w:rPr>
        <w:t>תנועה - יסוד ההווייה</w:t>
      </w:r>
      <w:r>
        <w:rPr>
          <w:rtl/>
        </w:rPr>
        <w:tab/>
        <w:t>309</w:t>
      </w:r>
    </w:p>
    <w:p w14:paraId="577A78E9" w14:textId="77777777" w:rsidR="00A2120D" w:rsidRDefault="00A2120D">
      <w:pPr>
        <w:pStyle w:val="Index1"/>
        <w:tabs>
          <w:tab w:val="right" w:leader="dot" w:pos="7134"/>
        </w:tabs>
        <w:rPr>
          <w:rtl/>
        </w:rPr>
      </w:pPr>
      <w:r>
        <w:rPr>
          <w:rtl/>
        </w:rPr>
        <w:t>תנועת ההתהוות וההפסד</w:t>
      </w:r>
      <w:r>
        <w:rPr>
          <w:rtl/>
        </w:rPr>
        <w:tab/>
        <w:t>196</w:t>
      </w:r>
    </w:p>
    <w:p w14:paraId="4F2F8781" w14:textId="77777777" w:rsidR="00A2120D" w:rsidRDefault="00A2120D" w:rsidP="00255430">
      <w:pPr>
        <w:rPr>
          <w:noProof/>
          <w:rtl/>
        </w:rPr>
        <w:sectPr w:rsidR="00A2120D" w:rsidSect="00A2120D">
          <w:type w:val="continuous"/>
          <w:pgSz w:w="11906" w:h="16838" w:code="9"/>
          <w:pgMar w:top="1440" w:right="2381" w:bottom="1440" w:left="2381" w:header="709" w:footer="709" w:gutter="0"/>
          <w:cols w:space="720"/>
          <w:bidi/>
          <w:rtlGutter/>
          <w:docGrid w:linePitch="360"/>
        </w:sectPr>
      </w:pPr>
    </w:p>
    <w:p w14:paraId="349DADC7" w14:textId="63FBD537" w:rsidR="006B6855" w:rsidRDefault="006B6855" w:rsidP="00255430">
      <w:pPr>
        <w:rPr>
          <w:rtl/>
        </w:rPr>
      </w:pPr>
      <w:r>
        <w:rPr>
          <w:rtl/>
        </w:rPr>
        <w:fldChar w:fldCharType="end"/>
      </w:r>
    </w:p>
    <w:p w14:paraId="0677F547" w14:textId="31F8E609" w:rsidR="00AC631A" w:rsidRPr="00A21CB2" w:rsidRDefault="004842DC" w:rsidP="00255430">
      <w:pPr>
        <w:rPr>
          <w:rtl/>
        </w:rPr>
      </w:pPr>
      <w:r>
        <w:rPr>
          <w:rtl/>
        </w:rPr>
        <w:br w:type="page"/>
      </w:r>
    </w:p>
    <w:p w14:paraId="285478A5" w14:textId="00587151" w:rsidR="00E41567" w:rsidRPr="00E20FA3" w:rsidRDefault="00F33706" w:rsidP="00556628">
      <w:pPr>
        <w:pStyle w:val="Heading1"/>
        <w:rPr>
          <w:rtl/>
        </w:rPr>
      </w:pPr>
      <w:bookmarkStart w:id="3" w:name="_Toc119092580"/>
      <w:r w:rsidRPr="00E20FA3">
        <w:rPr>
          <w:rFonts w:hint="cs"/>
          <w:rtl/>
        </w:rPr>
        <w:t>הקדמה</w:t>
      </w:r>
      <w:bookmarkEnd w:id="3"/>
    </w:p>
    <w:p w14:paraId="42938A44" w14:textId="77777777" w:rsidR="00E20FA3" w:rsidRDefault="00E20FA3" w:rsidP="006F39D0">
      <w:pPr>
        <w:rPr>
          <w:rtl/>
        </w:rPr>
      </w:pPr>
    </w:p>
    <w:p w14:paraId="295BD745" w14:textId="0C833B37" w:rsidR="00F563FC" w:rsidRPr="00D74ACF" w:rsidRDefault="00E20FA3" w:rsidP="00A81A25">
      <w:pPr>
        <w:pStyle w:val="Heading4"/>
        <w:rPr>
          <w:rtl/>
        </w:rPr>
      </w:pPr>
      <w:bookmarkStart w:id="4" w:name="_Toc119092581"/>
      <w:r w:rsidRPr="00D74ACF">
        <w:rPr>
          <w:rFonts w:hint="cs"/>
          <w:rtl/>
        </w:rPr>
        <w:t>1</w:t>
      </w:r>
      <w:bookmarkEnd w:id="4"/>
    </w:p>
    <w:p w14:paraId="48D8D0F5" w14:textId="0279E765" w:rsidR="00F563FC" w:rsidRDefault="00F563FC" w:rsidP="006F39D0">
      <w:pPr>
        <w:rPr>
          <w:rtl/>
        </w:rPr>
      </w:pPr>
      <w:r w:rsidRPr="006F39D0">
        <w:rPr>
          <w:rFonts w:hint="cs"/>
          <w:rtl/>
        </w:rPr>
        <w:t xml:space="preserve">מאחר שבעזר האל השלמנו בספרנו זה מה שהיה נצרך על דרך ההקדמה, </w:t>
      </w:r>
      <w:r w:rsidR="00FE31D6" w:rsidRPr="006F39D0">
        <w:rPr>
          <w:rFonts w:hint="cs"/>
          <w:rtl/>
        </w:rPr>
        <w:t xml:space="preserve">כלומר </w:t>
      </w:r>
      <w:r w:rsidR="006F39D0" w:rsidRPr="006F39D0">
        <w:rPr>
          <w:rFonts w:hint="cs"/>
          <w:rtl/>
        </w:rPr>
        <w:t>ב</w:t>
      </w:r>
      <w:r w:rsidR="00FE31D6" w:rsidRPr="006F39D0">
        <w:rPr>
          <w:rFonts w:hint="cs"/>
          <w:rtl/>
        </w:rPr>
        <w:t xml:space="preserve">חלק מלאכת </w:t>
      </w:r>
      <w:proofErr w:type="spellStart"/>
      <w:r w:rsidR="00FE31D6" w:rsidRPr="006F39D0">
        <w:rPr>
          <w:rFonts w:hint="cs"/>
          <w:rtl/>
        </w:rPr>
        <w:t>ההגיון</w:t>
      </w:r>
      <w:proofErr w:type="spellEnd"/>
      <w:r w:rsidR="00E20FA3" w:rsidRPr="006F39D0">
        <w:rPr>
          <w:rStyle w:val="FootnoteReference"/>
          <w:rtl/>
        </w:rPr>
        <w:footnoteReference w:id="5"/>
      </w:r>
      <w:r w:rsidR="00FE31D6" w:rsidRPr="006F39D0">
        <w:rPr>
          <w:rFonts w:hint="cs"/>
          <w:rtl/>
        </w:rPr>
        <w:t xml:space="preserve">, </w:t>
      </w:r>
      <w:r w:rsidR="00D74ACF">
        <w:rPr>
          <w:rFonts w:hint="cs"/>
          <w:rtl/>
        </w:rPr>
        <w:t xml:space="preserve">עלינו להתחיל </w:t>
      </w:r>
      <w:bookmarkStart w:id="5" w:name="_Hlk69641832"/>
      <w:r w:rsidR="00D74ACF">
        <w:rPr>
          <w:rFonts w:hint="cs"/>
          <w:rtl/>
        </w:rPr>
        <w:t>בחקירת</w:t>
      </w:r>
      <w:bookmarkEnd w:id="5"/>
      <w:r w:rsidR="00D74ACF">
        <w:rPr>
          <w:rFonts w:hint="cs"/>
          <w:rtl/>
        </w:rPr>
        <w:t xml:space="preserve"> הטבע</w:t>
      </w:r>
      <w:r w:rsidR="00806232">
        <w:rPr>
          <w:rStyle w:val="FootnoteReference"/>
          <w:rtl/>
        </w:rPr>
        <w:footnoteReference w:id="6"/>
      </w:r>
      <w:r w:rsidR="00E66042">
        <w:rPr>
          <w:rFonts w:hint="cs"/>
          <w:rtl/>
        </w:rPr>
        <w:t xml:space="preserve"> באופן בו דעתנו </w:t>
      </w:r>
      <w:r w:rsidR="000003B2">
        <w:rPr>
          <w:rFonts w:hint="cs"/>
          <w:rtl/>
        </w:rPr>
        <w:t xml:space="preserve">התיישבה </w:t>
      </w:r>
      <w:r w:rsidR="00E66042">
        <w:rPr>
          <w:rFonts w:hint="cs"/>
          <w:rtl/>
        </w:rPr>
        <w:t>ושאליו הוביל אותנו ה</w:t>
      </w:r>
      <w:r w:rsidR="000003B2">
        <w:rPr>
          <w:rFonts w:hint="cs"/>
          <w:rtl/>
        </w:rPr>
        <w:t>עיון</w:t>
      </w:r>
      <w:r w:rsidR="00E66042">
        <w:rPr>
          <w:rFonts w:hint="cs"/>
          <w:rtl/>
        </w:rPr>
        <w:t xml:space="preserve">. </w:t>
      </w:r>
    </w:p>
    <w:p w14:paraId="452C298A" w14:textId="27134E2B" w:rsidR="009E3683" w:rsidRDefault="000003B2" w:rsidP="002F02DE">
      <w:pPr>
        <w:rPr>
          <w:rtl/>
        </w:rPr>
      </w:pPr>
      <w:r>
        <w:rPr>
          <w:rFonts w:hint="cs"/>
          <w:rtl/>
        </w:rPr>
        <w:t xml:space="preserve">עלינו </w:t>
      </w:r>
      <w:r w:rsidR="00F26DF5">
        <w:rPr>
          <w:rFonts w:hint="cs"/>
          <w:rtl/>
        </w:rPr>
        <w:t>ללכת בזה בדרכי</w:t>
      </w:r>
      <w:r w:rsidR="00BF38C1">
        <w:rPr>
          <w:rFonts w:hint="cs"/>
          <w:rtl/>
        </w:rPr>
        <w:t>הם של</w:t>
      </w:r>
      <w:r w:rsidR="00F26DF5">
        <w:rPr>
          <w:rFonts w:hint="cs"/>
          <w:rtl/>
        </w:rPr>
        <w:t xml:space="preserve"> </w:t>
      </w:r>
      <w:r w:rsidR="00BF38C1">
        <w:rPr>
          <w:rFonts w:hint="cs"/>
          <w:rtl/>
        </w:rPr>
        <w:t>"</w:t>
      </w:r>
      <w:r w:rsidR="00F26DF5">
        <w:rPr>
          <w:rFonts w:hint="cs"/>
          <w:rtl/>
        </w:rPr>
        <w:t>המהלכים</w:t>
      </w:r>
      <w:r w:rsidR="00BF38C1">
        <w:rPr>
          <w:rFonts w:hint="cs"/>
          <w:rtl/>
        </w:rPr>
        <w:t>"</w:t>
      </w:r>
      <w:r w:rsidR="00161D58">
        <w:rPr>
          <w:rStyle w:val="FootnoteReference"/>
          <w:rtl/>
        </w:rPr>
        <w:footnoteReference w:id="7"/>
      </w:r>
      <w:r w:rsidR="00BF38C1">
        <w:rPr>
          <w:rFonts w:hint="cs"/>
          <w:rtl/>
        </w:rPr>
        <w:t xml:space="preserve"> </w:t>
      </w:r>
      <w:r w:rsidR="00314BAB">
        <w:rPr>
          <w:rFonts w:hint="cs"/>
          <w:rtl/>
        </w:rPr>
        <w:t xml:space="preserve">ולחזק את מה שמרוחק ביותר ממה שקרוב ונראה בהסתכלות ראשונה, כלומר מה שאדם נוטה לדחות יותר מאשר רק לא </w:t>
      </w:r>
      <w:r w:rsidR="00666B46">
        <w:rPr>
          <w:rFonts w:hint="cs"/>
          <w:rtl/>
        </w:rPr>
        <w:t>לקבל</w:t>
      </w:r>
      <w:r w:rsidR="00314BAB">
        <w:rPr>
          <w:rStyle w:val="FootnoteReference"/>
          <w:rtl/>
        </w:rPr>
        <w:footnoteReference w:id="8"/>
      </w:r>
      <w:r w:rsidR="00314BAB">
        <w:rPr>
          <w:rFonts w:hint="cs"/>
          <w:rtl/>
        </w:rPr>
        <w:t xml:space="preserve">. </w:t>
      </w:r>
    </w:p>
    <w:p w14:paraId="7707DBCA" w14:textId="0B21A531" w:rsidR="00030426" w:rsidRDefault="00030426" w:rsidP="002F02DE">
      <w:pPr>
        <w:pStyle w:val="Heading4"/>
        <w:rPr>
          <w:rtl/>
        </w:rPr>
      </w:pPr>
      <w:bookmarkStart w:id="9" w:name="_Toc119092582"/>
      <w:r>
        <w:rPr>
          <w:rFonts w:hint="cs"/>
          <w:rtl/>
        </w:rPr>
        <w:t>2</w:t>
      </w:r>
      <w:bookmarkEnd w:id="9"/>
    </w:p>
    <w:p w14:paraId="1AE4E9A2" w14:textId="6760D5F9" w:rsidR="00F97E0A" w:rsidRDefault="000025C6" w:rsidP="002F02DE">
      <w:pPr>
        <w:rPr>
          <w:rtl/>
        </w:rPr>
      </w:pPr>
      <w:r>
        <w:rPr>
          <w:rFonts w:hint="cs"/>
          <w:rtl/>
        </w:rPr>
        <w:t>נ</w:t>
      </w:r>
      <w:r w:rsidR="00030426">
        <w:rPr>
          <w:rFonts w:hint="cs"/>
          <w:rtl/>
        </w:rPr>
        <w:t xml:space="preserve">קבל כל מה שהאמת </w:t>
      </w:r>
      <w:r w:rsidR="004C2E23">
        <w:rPr>
          <w:rFonts w:hint="cs"/>
          <w:rtl/>
        </w:rPr>
        <w:t>ב</w:t>
      </w:r>
      <w:r w:rsidR="00030426">
        <w:rPr>
          <w:rFonts w:hint="cs"/>
          <w:rtl/>
        </w:rPr>
        <w:t xml:space="preserve">עצמה מורה, </w:t>
      </w:r>
      <w:r w:rsidR="004C2E23">
        <w:rPr>
          <w:rFonts w:hint="cs"/>
          <w:rtl/>
        </w:rPr>
        <w:t>ו</w:t>
      </w:r>
      <w:r>
        <w:rPr>
          <w:rFonts w:hint="cs"/>
          <w:rtl/>
        </w:rPr>
        <w:t>נ</w:t>
      </w:r>
      <w:r w:rsidR="004C2E23">
        <w:rPr>
          <w:rFonts w:hint="cs"/>
          <w:rtl/>
        </w:rPr>
        <w:t xml:space="preserve">ביא מופת נגד החולק </w:t>
      </w:r>
      <w:r>
        <w:rPr>
          <w:rFonts w:hint="cs"/>
          <w:rtl/>
        </w:rPr>
        <w:t xml:space="preserve">על ידי </w:t>
      </w:r>
      <w:r w:rsidR="004C2E23">
        <w:rPr>
          <w:rFonts w:hint="cs"/>
          <w:rtl/>
        </w:rPr>
        <w:t xml:space="preserve">מה שמתגלה מן האמת </w:t>
      </w:r>
      <w:r w:rsidR="00711482">
        <w:rPr>
          <w:rFonts w:hint="cs"/>
          <w:rtl/>
        </w:rPr>
        <w:t>ועומד בעצמו</w:t>
      </w:r>
      <w:r w:rsidR="004C2E23">
        <w:rPr>
          <w:rFonts w:hint="cs"/>
          <w:rtl/>
        </w:rPr>
        <w:t xml:space="preserve">. </w:t>
      </w:r>
      <w:r w:rsidR="00711482">
        <w:rPr>
          <w:rFonts w:hint="cs"/>
          <w:rtl/>
        </w:rPr>
        <w:t xml:space="preserve">כדי </w:t>
      </w:r>
      <w:r w:rsidR="00147A53">
        <w:rPr>
          <w:rFonts w:hint="cs"/>
          <w:rtl/>
        </w:rPr>
        <w:t xml:space="preserve">שזמננו לא יכלה </w:t>
      </w:r>
      <w:r>
        <w:rPr>
          <w:rFonts w:hint="cs"/>
          <w:rtl/>
        </w:rPr>
        <w:t>וישתעבד על ידי הפרכת כל</w:t>
      </w:r>
      <w:r w:rsidR="00711482">
        <w:rPr>
          <w:rFonts w:hint="cs"/>
          <w:rtl/>
        </w:rPr>
        <w:t xml:space="preserve"> מה שיאמר איש מן האנשים </w:t>
      </w:r>
      <w:r w:rsidR="002D29A0">
        <w:rPr>
          <w:rFonts w:hint="cs"/>
          <w:rtl/>
        </w:rPr>
        <w:t xml:space="preserve">- </w:t>
      </w:r>
      <w:r w:rsidR="00845478">
        <w:rPr>
          <w:rFonts w:hint="cs"/>
          <w:rtl/>
        </w:rPr>
        <w:t xml:space="preserve">כיוון שפעמים רבות אנו רואים </w:t>
      </w:r>
      <w:r w:rsidR="00A96752">
        <w:rPr>
          <w:rFonts w:hint="cs"/>
          <w:rtl/>
        </w:rPr>
        <w:t>שכש</w:t>
      </w:r>
      <w:r w:rsidR="00845478">
        <w:rPr>
          <w:rFonts w:hint="cs"/>
          <w:rtl/>
        </w:rPr>
        <w:t>המעיינים</w:t>
      </w:r>
      <w:r w:rsidR="00A96752">
        <w:rPr>
          <w:rFonts w:hint="cs"/>
          <w:rtl/>
        </w:rPr>
        <w:t xml:space="preserve"> עוסקים </w:t>
      </w:r>
      <w:r w:rsidR="000F7B3A">
        <w:rPr>
          <w:rFonts w:hint="cs"/>
          <w:rtl/>
        </w:rPr>
        <w:t>בסתירת</w:t>
      </w:r>
      <w:r w:rsidR="00A96752">
        <w:rPr>
          <w:rFonts w:hint="cs"/>
          <w:rtl/>
        </w:rPr>
        <w:t xml:space="preserve"> מאמרים שאין בהם חשיבות</w:t>
      </w:r>
      <w:r w:rsidR="00845478">
        <w:rPr>
          <w:rFonts w:hint="cs"/>
          <w:rtl/>
        </w:rPr>
        <w:t>, או שמאריכים בנימוקים ב</w:t>
      </w:r>
      <w:r w:rsidR="000F7B3A">
        <w:rPr>
          <w:rFonts w:hint="cs"/>
          <w:rtl/>
        </w:rPr>
        <w:t>שאלות</w:t>
      </w:r>
      <w:r w:rsidR="00845478">
        <w:rPr>
          <w:rFonts w:hint="cs"/>
          <w:rtl/>
        </w:rPr>
        <w:t xml:space="preserve"> שמ</w:t>
      </w:r>
      <w:r w:rsidR="000F7B3A">
        <w:rPr>
          <w:rFonts w:hint="cs"/>
          <w:rtl/>
        </w:rPr>
        <w:t>בוארות בעצמן,</w:t>
      </w:r>
      <w:r w:rsidR="00845478">
        <w:rPr>
          <w:rFonts w:hint="cs"/>
          <w:rtl/>
        </w:rPr>
        <w:t xml:space="preserve"> </w:t>
      </w:r>
      <w:r w:rsidR="000F7B3A">
        <w:rPr>
          <w:rFonts w:hint="cs"/>
          <w:rtl/>
        </w:rPr>
        <w:t xml:space="preserve">אז הם </w:t>
      </w:r>
      <w:r w:rsidR="00845478">
        <w:rPr>
          <w:rFonts w:hint="cs"/>
          <w:rtl/>
        </w:rPr>
        <w:t>טורחים כל טרחה</w:t>
      </w:r>
      <w:r w:rsidR="000200BC">
        <w:rPr>
          <w:rFonts w:hint="cs"/>
          <w:rtl/>
        </w:rPr>
        <w:t xml:space="preserve">, מאריכים בכל </w:t>
      </w:r>
      <w:r w:rsidR="009E593B">
        <w:rPr>
          <w:rFonts w:hint="cs"/>
          <w:rtl/>
        </w:rPr>
        <w:t>פרט</w:t>
      </w:r>
      <w:r w:rsidR="000200BC">
        <w:rPr>
          <w:rFonts w:hint="cs"/>
          <w:rtl/>
        </w:rPr>
        <w:t xml:space="preserve">, ומקבצים כל </w:t>
      </w:r>
      <w:r w:rsidR="00646D7C">
        <w:rPr>
          <w:rFonts w:hint="cs"/>
          <w:rtl/>
        </w:rPr>
        <w:t>טענה</w:t>
      </w:r>
      <w:r w:rsidR="000200BC">
        <w:rPr>
          <w:rFonts w:hint="cs"/>
          <w:rtl/>
        </w:rPr>
        <w:t>,</w:t>
      </w:r>
      <w:r w:rsidR="00646D7C">
        <w:rPr>
          <w:rFonts w:hint="cs"/>
          <w:rtl/>
        </w:rPr>
        <w:t xml:space="preserve"> בעוד שכשהם </w:t>
      </w:r>
      <w:r w:rsidR="009E593B">
        <w:rPr>
          <w:rFonts w:hint="cs"/>
          <w:rtl/>
        </w:rPr>
        <w:t>מתקשים תמיד בבעיה או מגיעים לעניין מסופק, הם נוטים להתעלם</w:t>
      </w:r>
      <w:r w:rsidR="00E81F37">
        <w:rPr>
          <w:rStyle w:val="FootnoteReference"/>
          <w:rtl/>
        </w:rPr>
        <w:footnoteReference w:id="9"/>
      </w:r>
      <w:r w:rsidR="00E81F37">
        <w:rPr>
          <w:rFonts w:hint="cs"/>
          <w:rtl/>
        </w:rPr>
        <w:t xml:space="preserve"> - </w:t>
      </w:r>
      <w:r w:rsidR="00BB3842">
        <w:rPr>
          <w:rFonts w:hint="cs"/>
          <w:rtl/>
        </w:rPr>
        <w:t xml:space="preserve">אנו מקווים ללכת בדרך שונה </w:t>
      </w:r>
      <w:r w:rsidR="00A606AD">
        <w:rPr>
          <w:rFonts w:hint="cs"/>
          <w:rtl/>
        </w:rPr>
        <w:t>ובכיוון מנוגד</w:t>
      </w:r>
      <w:r w:rsidR="00790F18">
        <w:rPr>
          <w:rStyle w:val="FootnoteReference"/>
          <w:rtl/>
        </w:rPr>
        <w:footnoteReference w:id="10"/>
      </w:r>
      <w:r w:rsidR="00BB3842">
        <w:rPr>
          <w:rFonts w:hint="cs"/>
          <w:rtl/>
        </w:rPr>
        <w:t xml:space="preserve">. </w:t>
      </w:r>
    </w:p>
    <w:p w14:paraId="71B62E6D" w14:textId="77777777" w:rsidR="00F97E0A" w:rsidRDefault="00F97E0A" w:rsidP="002F02DE">
      <w:pPr>
        <w:pStyle w:val="Heading4"/>
        <w:rPr>
          <w:rtl/>
        </w:rPr>
      </w:pPr>
      <w:bookmarkStart w:id="10" w:name="_Toc119092583"/>
      <w:r>
        <w:rPr>
          <w:rFonts w:hint="cs"/>
          <w:rtl/>
        </w:rPr>
        <w:t>3</w:t>
      </w:r>
      <w:bookmarkEnd w:id="10"/>
    </w:p>
    <w:p w14:paraId="0CE84F7A" w14:textId="07A5DA4A" w:rsidR="00030426" w:rsidRDefault="00F97E0A" w:rsidP="00030426">
      <w:pPr>
        <w:rPr>
          <w:rtl/>
        </w:rPr>
      </w:pPr>
      <w:r>
        <w:rPr>
          <w:rFonts w:hint="cs"/>
          <w:rtl/>
        </w:rPr>
        <w:t xml:space="preserve">נתאמץ ככל האפשר להראות את האמת שבדברי </w:t>
      </w:r>
      <w:proofErr w:type="spellStart"/>
      <w:r>
        <w:rPr>
          <w:rFonts w:hint="cs"/>
          <w:rtl/>
        </w:rPr>
        <w:t>קדמ</w:t>
      </w:r>
      <w:r w:rsidR="00D46165">
        <w:rPr>
          <w:rFonts w:hint="cs"/>
          <w:rtl/>
        </w:rPr>
        <w:t>ונ</w:t>
      </w:r>
      <w:r>
        <w:rPr>
          <w:rFonts w:hint="cs"/>
          <w:rtl/>
        </w:rPr>
        <w:t>ינו</w:t>
      </w:r>
      <w:proofErr w:type="spellEnd"/>
      <w:r>
        <w:rPr>
          <w:rFonts w:hint="cs"/>
          <w:rtl/>
        </w:rPr>
        <w:t>, וליישב את מה שנראה</w:t>
      </w:r>
      <w:r w:rsidR="00D46165">
        <w:rPr>
          <w:rFonts w:hint="cs"/>
          <w:rtl/>
        </w:rPr>
        <w:t xml:space="preserve"> לפי דעתנו</w:t>
      </w:r>
      <w:r>
        <w:rPr>
          <w:rFonts w:hint="cs"/>
          <w:rtl/>
        </w:rPr>
        <w:t xml:space="preserve"> </w:t>
      </w:r>
      <w:r w:rsidR="00755048">
        <w:rPr>
          <w:rFonts w:hint="cs"/>
          <w:rtl/>
        </w:rPr>
        <w:t xml:space="preserve">שנשמט מהם. זה מה שמנע מאיתנו לכתוב הערות או פירושים על דבריהם, כיוון שלא יכולנו להישמר מלעמוד על עניינים </w:t>
      </w:r>
      <w:r w:rsidR="00FC2013">
        <w:rPr>
          <w:rFonts w:hint="cs"/>
          <w:rtl/>
        </w:rPr>
        <w:t>שנשמטו מהם לפי דעתנו, ו</w:t>
      </w:r>
      <w:r w:rsidR="00D46165">
        <w:rPr>
          <w:rFonts w:hint="cs"/>
          <w:rtl/>
        </w:rPr>
        <w:t>בזה היינו מתחייבים</w:t>
      </w:r>
      <w:r w:rsidR="00FC2013">
        <w:rPr>
          <w:rFonts w:hint="cs"/>
          <w:rtl/>
        </w:rPr>
        <w:t xml:space="preserve"> לטרוח למצוא יישוב לדבריהם, להמציא נימוק או להצהיר אותו לזכותם,</w:t>
      </w:r>
      <w:r w:rsidR="00AE741F">
        <w:rPr>
          <w:rFonts w:hint="cs"/>
          <w:rtl/>
        </w:rPr>
        <w:t xml:space="preserve"> או פשוט לעמת אותם עם סתירה. האל חסך מאיתנו צרה זו, ולמעשה הפיל אותה על אותם שמתאמצים בכל כוחם לבוא לזה ומפרשים את ספריהם</w:t>
      </w:r>
      <w:r w:rsidR="00DC7CF2">
        <w:rPr>
          <w:rStyle w:val="FootnoteReference"/>
          <w:rtl/>
        </w:rPr>
        <w:footnoteReference w:id="11"/>
      </w:r>
      <w:r w:rsidR="00AE741F">
        <w:rPr>
          <w:rFonts w:hint="cs"/>
          <w:rtl/>
        </w:rPr>
        <w:t>.</w:t>
      </w:r>
    </w:p>
    <w:p w14:paraId="68286F2C" w14:textId="723DC8CB" w:rsidR="009956E2" w:rsidRDefault="00C65489" w:rsidP="00081555">
      <w:pPr>
        <w:rPr>
          <w:rtl/>
        </w:rPr>
      </w:pPr>
      <w:r>
        <w:rPr>
          <w:rFonts w:hint="cs"/>
          <w:rtl/>
        </w:rPr>
        <w:t xml:space="preserve">מי שברצונו לדעת את דבריהם ימצא שפירושיהם ידריכו אותו בדרך ישרה וירוו את </w:t>
      </w:r>
      <w:proofErr w:type="spellStart"/>
      <w:r>
        <w:rPr>
          <w:rFonts w:hint="cs"/>
          <w:rtl/>
        </w:rPr>
        <w:t>צמאונו</w:t>
      </w:r>
      <w:proofErr w:type="spellEnd"/>
      <w:r>
        <w:rPr>
          <w:rFonts w:hint="cs"/>
          <w:rtl/>
        </w:rPr>
        <w:t xml:space="preserve">, </w:t>
      </w:r>
      <w:r w:rsidR="00D17A1B">
        <w:rPr>
          <w:rFonts w:hint="cs"/>
          <w:rtl/>
        </w:rPr>
        <w:t>אמנם מי שמבקש לרכוש חכמה ודעת ימצא אותם מפוזרים על פני ספרים אלה</w:t>
      </w:r>
      <w:r w:rsidR="006C216A">
        <w:rPr>
          <w:rStyle w:val="FootnoteReference"/>
          <w:rtl/>
        </w:rPr>
        <w:footnoteReference w:id="12"/>
      </w:r>
      <w:r w:rsidR="00D17A1B">
        <w:rPr>
          <w:rFonts w:hint="cs"/>
          <w:rtl/>
        </w:rPr>
        <w:t xml:space="preserve">. </w:t>
      </w:r>
    </w:p>
    <w:p w14:paraId="231FF336" w14:textId="77777777" w:rsidR="00253E19" w:rsidRDefault="009956E2" w:rsidP="00081555">
      <w:pPr>
        <w:rPr>
          <w:rtl/>
        </w:rPr>
      </w:pPr>
      <w:r>
        <w:rPr>
          <w:rFonts w:hint="cs"/>
          <w:rtl/>
        </w:rPr>
        <w:t>חלק מ</w:t>
      </w:r>
      <w:r w:rsidR="00376F4F">
        <w:rPr>
          <w:rFonts w:hint="cs"/>
          <w:rtl/>
        </w:rPr>
        <w:t>הפרי שנשאה</w:t>
      </w:r>
      <w:r>
        <w:rPr>
          <w:rFonts w:hint="cs"/>
          <w:rtl/>
        </w:rPr>
        <w:t xml:space="preserve"> חקירתנו, </w:t>
      </w:r>
      <w:r w:rsidR="00376F4F">
        <w:rPr>
          <w:rFonts w:hint="cs"/>
          <w:rtl/>
        </w:rPr>
        <w:t>למרות קוצר הזמן שעסקנו בה, ניתן בחלקי ספר זה שכתבנו, וקראנו לכללם "הריפוי".</w:t>
      </w:r>
    </w:p>
    <w:p w14:paraId="108344F3" w14:textId="2D83C749" w:rsidR="00AB2501" w:rsidRDefault="00253E19" w:rsidP="00AB2501">
      <w:r>
        <w:rPr>
          <w:rFonts w:hint="cs"/>
          <w:rtl/>
        </w:rPr>
        <w:t>באל משעננו וכוחנו, ובו אנו נותנים מבטחנו</w:t>
      </w:r>
      <w:r w:rsidRPr="00556628">
        <w:rPr>
          <w:rFonts w:hint="cs"/>
          <w:rtl/>
        </w:rPr>
        <w:t>. מכאן</w:t>
      </w:r>
      <w:r>
        <w:rPr>
          <w:rFonts w:hint="cs"/>
          <w:rtl/>
        </w:rPr>
        <w:t xml:space="preserve"> נתחיל במאמרנו.</w:t>
      </w:r>
      <w:r w:rsidR="00CC3C5B">
        <w:rPr>
          <w:rtl/>
        </w:rPr>
        <w:br w:type="page"/>
      </w:r>
    </w:p>
    <w:p w14:paraId="68A6E7DF" w14:textId="695D31D3" w:rsidR="00455815" w:rsidRPr="00556628" w:rsidRDefault="00AB2501" w:rsidP="00556628">
      <w:pPr>
        <w:pStyle w:val="Heading1"/>
        <w:rPr>
          <w:rtl/>
        </w:rPr>
      </w:pPr>
      <w:bookmarkStart w:id="11" w:name="_Toc119092584"/>
      <w:r w:rsidRPr="00556628">
        <w:rPr>
          <w:rFonts w:hint="cs"/>
          <w:rtl/>
        </w:rPr>
        <w:t xml:space="preserve">חלק </w:t>
      </w:r>
      <w:r w:rsidR="00455815" w:rsidRPr="00556628">
        <w:rPr>
          <w:rFonts w:hint="cs"/>
          <w:rtl/>
        </w:rPr>
        <w:t>ראשון</w:t>
      </w:r>
      <w:bookmarkEnd w:id="11"/>
      <w:r w:rsidR="00455815" w:rsidRPr="00556628">
        <w:rPr>
          <w:rFonts w:hint="cs"/>
          <w:rtl/>
        </w:rPr>
        <w:t xml:space="preserve"> </w:t>
      </w:r>
    </w:p>
    <w:p w14:paraId="272BC595" w14:textId="77777777" w:rsidR="00455815" w:rsidRPr="00455815" w:rsidRDefault="00455815" w:rsidP="00455815">
      <w:pPr>
        <w:rPr>
          <w:rtl/>
        </w:rPr>
      </w:pPr>
    </w:p>
    <w:p w14:paraId="474CFD78" w14:textId="067243FD" w:rsidR="009956E2" w:rsidRPr="001967BF" w:rsidRDefault="00455815" w:rsidP="00455815">
      <w:pPr>
        <w:jc w:val="center"/>
        <w:rPr>
          <w:sz w:val="44"/>
          <w:szCs w:val="44"/>
          <w:rtl/>
        </w:rPr>
      </w:pPr>
      <w:r w:rsidRPr="001967BF">
        <w:rPr>
          <w:rFonts w:hint="cs"/>
          <w:sz w:val="44"/>
          <w:szCs w:val="44"/>
          <w:rtl/>
        </w:rPr>
        <w:t>על הסיבות וההתחלות של הדברים הטבעיים</w:t>
      </w:r>
    </w:p>
    <w:p w14:paraId="5732BD1D" w14:textId="508DD30E" w:rsidR="00AB2501" w:rsidRDefault="00AB2501" w:rsidP="00AB2501">
      <w:pPr>
        <w:rPr>
          <w:rtl/>
        </w:rPr>
      </w:pPr>
    </w:p>
    <w:p w14:paraId="6BE6B1E6" w14:textId="0C43C164" w:rsidR="00AB2501" w:rsidRDefault="00AB2501" w:rsidP="00AB2501">
      <w:pPr>
        <w:rPr>
          <w:rtl/>
        </w:rPr>
      </w:pPr>
    </w:p>
    <w:p w14:paraId="1E5EBE1F" w14:textId="33B065DB" w:rsidR="00AB2501" w:rsidRDefault="00AB2501" w:rsidP="00AB2501">
      <w:pPr>
        <w:rPr>
          <w:rtl/>
        </w:rPr>
      </w:pPr>
    </w:p>
    <w:p w14:paraId="11405E0D" w14:textId="7D477A60" w:rsidR="00AB2501" w:rsidRDefault="00AB2501" w:rsidP="00455815">
      <w:pPr>
        <w:pStyle w:val="Heading2"/>
        <w:rPr>
          <w:rtl/>
        </w:rPr>
      </w:pPr>
      <w:bookmarkStart w:id="12" w:name="_Toc119092585"/>
      <w:r>
        <w:rPr>
          <w:rFonts w:hint="cs"/>
          <w:rtl/>
        </w:rPr>
        <w:t>פרק א</w:t>
      </w:r>
      <w:bookmarkEnd w:id="12"/>
    </w:p>
    <w:p w14:paraId="3C424418" w14:textId="185A00B5" w:rsidR="00455815" w:rsidRPr="00455815" w:rsidRDefault="00455815" w:rsidP="00E0799E">
      <w:pPr>
        <w:pStyle w:val="Heading3"/>
        <w:rPr>
          <w:rtl/>
          <w:lang w:val="he"/>
        </w:rPr>
      </w:pPr>
      <w:bookmarkStart w:id="13" w:name="_Toc119092586"/>
      <w:r>
        <w:rPr>
          <w:rFonts w:hint="cs"/>
          <w:rtl/>
          <w:lang w:val="he"/>
        </w:rPr>
        <w:t>ביאור ה</w:t>
      </w:r>
      <w:r w:rsidR="00E0799E">
        <w:rPr>
          <w:rFonts w:hint="cs"/>
          <w:rtl/>
          <w:lang w:val="he"/>
        </w:rPr>
        <w:t>דרכים להגיע לידיעת הדברים הטבעיים מהתחלותיהם הראשונות</w:t>
      </w:r>
      <w:bookmarkEnd w:id="13"/>
    </w:p>
    <w:p w14:paraId="5032B42E" w14:textId="05FBBCBE" w:rsidR="00E935BF" w:rsidRDefault="00C65489" w:rsidP="00081555">
      <w:pPr>
        <w:rPr>
          <w:rtl/>
        </w:rPr>
      </w:pPr>
      <w:r>
        <w:rPr>
          <w:rFonts w:hint="cs"/>
          <w:rtl/>
        </w:rPr>
        <w:t xml:space="preserve"> </w:t>
      </w:r>
    </w:p>
    <w:p w14:paraId="25847A13" w14:textId="71DA8A0B" w:rsidR="00E0799E" w:rsidRPr="00CF735F" w:rsidRDefault="00A4117E" w:rsidP="003266A1">
      <w:pPr>
        <w:pStyle w:val="Heading4"/>
        <w:rPr>
          <w:rtl/>
        </w:rPr>
      </w:pPr>
      <w:bookmarkStart w:id="14" w:name="_Toc119092587"/>
      <w:r>
        <w:rPr>
          <w:rStyle w:val="FootnoteReference"/>
          <w:rtl/>
        </w:rPr>
        <w:footnoteReference w:id="13"/>
      </w:r>
      <w:r w:rsidR="00F8752D">
        <w:rPr>
          <w:rFonts w:hint="cs"/>
          <w:rtl/>
        </w:rPr>
        <w:t>1.1.</w:t>
      </w:r>
      <w:r w:rsidR="00E0799E" w:rsidRPr="00CF735F">
        <w:rPr>
          <w:rFonts w:hint="cs"/>
          <w:rtl/>
        </w:rPr>
        <w:t>1</w:t>
      </w:r>
      <w:bookmarkEnd w:id="14"/>
    </w:p>
    <w:p w14:paraId="26AA2A5C" w14:textId="736D2016" w:rsidR="00E0799E" w:rsidRDefault="00E0799E" w:rsidP="00081555">
      <w:pPr>
        <w:rPr>
          <w:rtl/>
        </w:rPr>
      </w:pPr>
      <w:r>
        <w:rPr>
          <w:rFonts w:hint="cs"/>
          <w:rtl/>
        </w:rPr>
        <w:t xml:space="preserve">מהחלק של "הריפוי" שבו ביארנו על דרך קצרה את מלאכת ההוכחה, </w:t>
      </w:r>
      <w:r w:rsidR="008271E6">
        <w:rPr>
          <w:rFonts w:hint="cs"/>
          <w:rtl/>
        </w:rPr>
        <w:t xml:space="preserve">כבר למדת שמקצת מן המדעים הם כלליים ומקצתם </w:t>
      </w:r>
      <w:r w:rsidR="00586CB6">
        <w:rPr>
          <w:rFonts w:hint="cs"/>
          <w:rtl/>
        </w:rPr>
        <w:t>פרטי</w:t>
      </w:r>
      <w:r w:rsidR="008271E6">
        <w:rPr>
          <w:rFonts w:hint="cs"/>
          <w:rtl/>
        </w:rPr>
        <w:t>ים</w:t>
      </w:r>
      <w:r w:rsidR="002E02A6">
        <w:rPr>
          <w:rFonts w:hint="cs"/>
          <w:rtl/>
        </w:rPr>
        <w:t>,</w:t>
      </w:r>
      <w:r w:rsidR="008271E6">
        <w:rPr>
          <w:rFonts w:hint="cs"/>
          <w:rtl/>
        </w:rPr>
        <w:t xml:space="preserve"> ושמקצתם יש להם </w:t>
      </w:r>
      <w:r w:rsidR="002E02A6">
        <w:rPr>
          <w:rFonts w:hint="cs"/>
          <w:rtl/>
        </w:rPr>
        <w:t>יחס</w:t>
      </w:r>
      <w:r w:rsidR="008271E6">
        <w:rPr>
          <w:rFonts w:hint="cs"/>
          <w:rtl/>
        </w:rPr>
        <w:t xml:space="preserve"> לאחרים. </w:t>
      </w:r>
      <w:r w:rsidR="002E02A6">
        <w:rPr>
          <w:rFonts w:hint="cs"/>
          <w:rtl/>
        </w:rPr>
        <w:t>ובכן כעת עליך ל</w:t>
      </w:r>
      <w:r w:rsidR="003C62DE">
        <w:rPr>
          <w:rFonts w:hint="cs"/>
          <w:rtl/>
        </w:rPr>
        <w:t>למוד שהמדע בו אנו עוסקים כאן הוא מדע הטבע, שהוא מדע פרטי ביחס למה שבא אחריו</w:t>
      </w:r>
      <w:r w:rsidR="003C62DE">
        <w:rPr>
          <w:rStyle w:val="FootnoteReference"/>
          <w:rtl/>
        </w:rPr>
        <w:footnoteReference w:id="14"/>
      </w:r>
      <w:r w:rsidR="003C62DE">
        <w:rPr>
          <w:rFonts w:hint="cs"/>
          <w:rtl/>
        </w:rPr>
        <w:t xml:space="preserve">. </w:t>
      </w:r>
      <w:r w:rsidR="002E02A6">
        <w:rPr>
          <w:rFonts w:hint="cs"/>
          <w:rtl/>
        </w:rPr>
        <w:t xml:space="preserve"> </w:t>
      </w:r>
    </w:p>
    <w:p w14:paraId="73AF8E98" w14:textId="6ABB8AE6" w:rsidR="0008782B" w:rsidRDefault="00B1593E" w:rsidP="00081555">
      <w:pPr>
        <w:rPr>
          <w:rtl/>
        </w:rPr>
      </w:pPr>
      <w:r>
        <w:rPr>
          <w:rFonts w:hint="cs"/>
          <w:rtl/>
        </w:rPr>
        <w:t xml:space="preserve">מאחר שלמדת שכל </w:t>
      </w:r>
      <w:r w:rsidR="004B7AF6">
        <w:rPr>
          <w:rFonts w:hint="cs"/>
          <w:rtl/>
        </w:rPr>
        <w:t>חכמה</w:t>
      </w:r>
      <w:r>
        <w:rPr>
          <w:rFonts w:hint="cs"/>
          <w:rtl/>
        </w:rPr>
        <w:t xml:space="preserve"> יש ל</w:t>
      </w:r>
      <w:r w:rsidR="004B7AF6">
        <w:rPr>
          <w:rFonts w:hint="cs"/>
          <w:rtl/>
        </w:rPr>
        <w:t>ה</w:t>
      </w:r>
      <w:r>
        <w:rPr>
          <w:rFonts w:hint="cs"/>
          <w:rtl/>
        </w:rPr>
        <w:t xml:space="preserve"> עניין אותו ה</w:t>
      </w:r>
      <w:r w:rsidR="004B7AF6">
        <w:rPr>
          <w:rFonts w:hint="cs"/>
          <w:rtl/>
        </w:rPr>
        <w:t>י</w:t>
      </w:r>
      <w:r>
        <w:rPr>
          <w:rFonts w:hint="cs"/>
          <w:rtl/>
        </w:rPr>
        <w:t>א חוקר</w:t>
      </w:r>
      <w:r w:rsidR="004B7AF6">
        <w:rPr>
          <w:rFonts w:hint="cs"/>
          <w:rtl/>
        </w:rPr>
        <w:t>ת</w:t>
      </w:r>
      <w:r>
        <w:rPr>
          <w:rFonts w:hint="cs"/>
          <w:rtl/>
        </w:rPr>
        <w:t xml:space="preserve">, </w:t>
      </w:r>
      <w:r w:rsidR="00314FF3">
        <w:rPr>
          <w:rFonts w:hint="cs"/>
          <w:rtl/>
        </w:rPr>
        <w:t>העניין</w:t>
      </w:r>
      <w:r w:rsidR="007C0386">
        <w:rPr>
          <w:rFonts w:hint="cs"/>
          <w:rtl/>
        </w:rPr>
        <w:t xml:space="preserve"> של </w:t>
      </w:r>
      <w:r w:rsidR="004B7AF6">
        <w:rPr>
          <w:rFonts w:hint="cs"/>
          <w:rtl/>
        </w:rPr>
        <w:t>חכמת</w:t>
      </w:r>
      <w:r w:rsidR="007C0386">
        <w:rPr>
          <w:rFonts w:hint="cs"/>
          <w:rtl/>
        </w:rPr>
        <w:t xml:space="preserve"> הטבע ה</w:t>
      </w:r>
      <w:r w:rsidR="00314FF3">
        <w:rPr>
          <w:rFonts w:hint="cs"/>
          <w:rtl/>
        </w:rPr>
        <w:t>ו</w:t>
      </w:r>
      <w:r w:rsidR="007C0386">
        <w:rPr>
          <w:rFonts w:hint="cs"/>
          <w:rtl/>
        </w:rPr>
        <w:t xml:space="preserve">א הגוף המוחשי במידה שהוא </w:t>
      </w:r>
      <w:r w:rsidR="0008782B">
        <w:rPr>
          <w:rFonts w:hint="cs"/>
          <w:rtl/>
        </w:rPr>
        <w:t>נתון לשינוי</w:t>
      </w:r>
      <w:r w:rsidR="0086709A">
        <w:rPr>
          <w:rStyle w:val="FootnoteReference"/>
          <w:rtl/>
        </w:rPr>
        <w:footnoteReference w:id="15"/>
      </w:r>
      <w:r w:rsidR="007C0386">
        <w:rPr>
          <w:rFonts w:hint="cs"/>
          <w:rtl/>
        </w:rPr>
        <w:t>.</w:t>
      </w:r>
    </w:p>
    <w:p w14:paraId="78AF3C46" w14:textId="4A28DD9A" w:rsidR="0013014C" w:rsidRDefault="0008782B" w:rsidP="00081555">
      <w:pPr>
        <w:rPr>
          <w:rtl/>
        </w:rPr>
      </w:pPr>
      <w:r>
        <w:rPr>
          <w:rFonts w:hint="cs"/>
          <w:rtl/>
        </w:rPr>
        <w:t>מה שאנו חוקרים</w:t>
      </w:r>
      <w:r w:rsidR="00710CB0">
        <w:rPr>
          <w:rFonts w:hint="cs"/>
          <w:rtl/>
        </w:rPr>
        <w:t xml:space="preserve"> בגוף המוחשי הוא המקרים ההכרחיים לו ככאלה, דהיינו המקרים שנקראים 'מהותיים'</w:t>
      </w:r>
      <w:r w:rsidR="004D2635">
        <w:rPr>
          <w:rStyle w:val="FootnoteReference"/>
          <w:rtl/>
        </w:rPr>
        <w:footnoteReference w:id="16"/>
      </w:r>
      <w:r w:rsidR="00710CB0">
        <w:rPr>
          <w:rFonts w:hint="cs"/>
          <w:rtl/>
        </w:rPr>
        <w:t xml:space="preserve">, </w:t>
      </w:r>
      <w:r w:rsidR="00EF1843">
        <w:rPr>
          <w:rFonts w:hint="cs"/>
          <w:rtl/>
        </w:rPr>
        <w:t xml:space="preserve">וכן המאפיינים המתלווים לגוף במידה שהוא כזה, כגון צורות, מקרים, או </w:t>
      </w:r>
      <w:r w:rsidR="0045410A">
        <w:rPr>
          <w:rFonts w:hint="cs"/>
          <w:rtl/>
        </w:rPr>
        <w:t>הנולדים</w:t>
      </w:r>
      <w:r w:rsidR="00EF1843">
        <w:rPr>
          <w:rFonts w:hint="cs"/>
          <w:rtl/>
        </w:rPr>
        <w:t xml:space="preserve"> משני אלה, כמו ש</w:t>
      </w:r>
      <w:r w:rsidR="0045410A">
        <w:rPr>
          <w:rFonts w:hint="cs"/>
          <w:rtl/>
        </w:rPr>
        <w:t>כבר מבואר לך</w:t>
      </w:r>
      <w:r w:rsidR="00C309B6">
        <w:rPr>
          <w:rStyle w:val="FootnoteReference"/>
          <w:rtl/>
        </w:rPr>
        <w:footnoteReference w:id="17"/>
      </w:r>
      <w:r w:rsidR="0045410A">
        <w:rPr>
          <w:rFonts w:hint="cs"/>
          <w:rtl/>
        </w:rPr>
        <w:t xml:space="preserve">. </w:t>
      </w:r>
    </w:p>
    <w:p w14:paraId="49C15496" w14:textId="77777777" w:rsidR="00836801" w:rsidRDefault="00C33753" w:rsidP="00081555">
      <w:pPr>
        <w:rPr>
          <w:rtl/>
        </w:rPr>
      </w:pPr>
      <w:r>
        <w:rPr>
          <w:rFonts w:hint="cs"/>
          <w:rtl/>
        </w:rPr>
        <w:t xml:space="preserve">ובכן, </w:t>
      </w:r>
      <w:r w:rsidRPr="00771860">
        <w:rPr>
          <w:rFonts w:hint="cs"/>
          <w:rtl/>
        </w:rPr>
        <w:t xml:space="preserve">דברים טבעיים הם </w:t>
      </w:r>
      <w:r>
        <w:rPr>
          <w:rFonts w:hint="cs"/>
          <w:rtl/>
        </w:rPr>
        <w:t>אותם גופים הנבחנים מצד זה</w:t>
      </w:r>
      <w:r>
        <w:rPr>
          <w:rStyle w:val="FootnoteReference"/>
          <w:rtl/>
        </w:rPr>
        <w:footnoteReference w:id="18"/>
      </w:r>
      <w:r>
        <w:rPr>
          <w:rFonts w:hint="cs"/>
          <w:rtl/>
        </w:rPr>
        <w:t>, וכל מה שמקרי להם במידה שהם כאלה</w:t>
      </w:r>
      <w:r>
        <w:rPr>
          <w:rStyle w:val="FootnoteReference"/>
          <w:rtl/>
        </w:rPr>
        <w:footnoteReference w:id="19"/>
      </w:r>
      <w:r>
        <w:rPr>
          <w:rFonts w:hint="cs"/>
          <w:rtl/>
        </w:rPr>
        <w:t>.</w:t>
      </w:r>
    </w:p>
    <w:p w14:paraId="67155AE1" w14:textId="4D1D143A" w:rsidR="00642111" w:rsidRDefault="00836801" w:rsidP="00642111">
      <w:pPr>
        <w:rPr>
          <w:rtl/>
        </w:rPr>
      </w:pPr>
      <w:r>
        <w:rPr>
          <w:rFonts w:hint="cs"/>
          <w:rtl/>
        </w:rPr>
        <w:t>כולם נקראים 'טבעיים' ביחס לכח הנקרא 'טבע', שאותו נגדיר בהמשך</w:t>
      </w:r>
      <w:r>
        <w:rPr>
          <w:rStyle w:val="FootnoteReference"/>
          <w:rtl/>
        </w:rPr>
        <w:footnoteReference w:id="20"/>
      </w:r>
      <w:r>
        <w:rPr>
          <w:rFonts w:hint="cs"/>
          <w:rtl/>
        </w:rPr>
        <w:t>.</w:t>
      </w:r>
      <w:r w:rsidR="00642111">
        <w:rPr>
          <w:rFonts w:hint="cs"/>
          <w:rtl/>
        </w:rPr>
        <w:t xml:space="preserve"> </w:t>
      </w:r>
      <w:r w:rsidR="009B0B98">
        <w:rPr>
          <w:rFonts w:hint="cs"/>
          <w:rtl/>
        </w:rPr>
        <w:t xml:space="preserve">מקצתם הם נושאים לטבע, ומקצתם הם </w:t>
      </w:r>
      <w:r w:rsidR="00170859" w:rsidRPr="00170859">
        <w:rPr>
          <w:rtl/>
        </w:rPr>
        <w:t>מְסוּבָּבִים</w:t>
      </w:r>
      <w:r w:rsidR="00170859">
        <w:rPr>
          <w:rStyle w:val="FootnoteReference"/>
          <w:rtl/>
        </w:rPr>
        <w:footnoteReference w:id="21"/>
      </w:r>
      <w:r w:rsidR="005C4AA4">
        <w:rPr>
          <w:rFonts w:hint="cs"/>
          <w:rtl/>
        </w:rPr>
        <w:t>,</w:t>
      </w:r>
      <w:r w:rsidR="009B0B98">
        <w:rPr>
          <w:rFonts w:hint="cs"/>
          <w:rtl/>
        </w:rPr>
        <w:t xml:space="preserve"> תנועות והרכבות</w:t>
      </w:r>
      <w:r w:rsidR="00642111">
        <w:rPr>
          <w:rStyle w:val="FootnoteReference"/>
          <w:rtl/>
        </w:rPr>
        <w:footnoteReference w:id="22"/>
      </w:r>
      <w:r w:rsidR="009B0B98">
        <w:rPr>
          <w:rFonts w:hint="cs"/>
          <w:rtl/>
        </w:rPr>
        <w:t xml:space="preserve">, שנולדים ממנו. </w:t>
      </w:r>
    </w:p>
    <w:p w14:paraId="60201CF0" w14:textId="690FCC82" w:rsidR="00CC0147" w:rsidRDefault="00170859" w:rsidP="00ED4F89">
      <w:pPr>
        <w:rPr>
          <w:rtl/>
        </w:rPr>
      </w:pPr>
      <w:r>
        <w:rPr>
          <w:rFonts w:hint="cs"/>
          <w:rtl/>
        </w:rPr>
        <w:t>אם, כמו שהתבאר</w:t>
      </w:r>
      <w:r w:rsidR="00EA2648">
        <w:rPr>
          <w:rFonts w:hint="cs"/>
          <w:rtl/>
        </w:rPr>
        <w:t xml:space="preserve"> במלאכת המופת, דברים טבעיים יש להם התחלות, סיבות </w:t>
      </w:r>
      <w:r w:rsidR="00A3461B">
        <w:rPr>
          <w:rFonts w:hint="cs"/>
          <w:rtl/>
        </w:rPr>
        <w:t>למציאותם</w:t>
      </w:r>
      <w:r w:rsidR="00EA2648">
        <w:rPr>
          <w:rFonts w:hint="cs"/>
          <w:rtl/>
        </w:rPr>
        <w:t xml:space="preserve"> וסיבות </w:t>
      </w:r>
      <w:r w:rsidR="00A3461B">
        <w:rPr>
          <w:rFonts w:hint="cs"/>
          <w:rtl/>
        </w:rPr>
        <w:t>למהותם</w:t>
      </w:r>
      <w:r w:rsidR="00E51877">
        <w:rPr>
          <w:rStyle w:val="FootnoteReference"/>
          <w:rtl/>
        </w:rPr>
        <w:footnoteReference w:id="23"/>
      </w:r>
      <w:r>
        <w:rPr>
          <w:rFonts w:hint="cs"/>
          <w:rtl/>
        </w:rPr>
        <w:t>,</w:t>
      </w:r>
      <w:r w:rsidR="003A7857">
        <w:rPr>
          <w:rFonts w:hint="cs"/>
          <w:rtl/>
        </w:rPr>
        <w:t xml:space="preserve"> בלעדיהם אי אפשר היה לעסוק בחכמת הטבע, אז הדרך היחידה להשיג </w:t>
      </w:r>
      <w:r w:rsidR="005C4AA4">
        <w:rPr>
          <w:rFonts w:hint="cs"/>
          <w:rtl/>
        </w:rPr>
        <w:t>ידיעה</w:t>
      </w:r>
      <w:r w:rsidR="003A7857">
        <w:rPr>
          <w:rFonts w:hint="cs"/>
          <w:rtl/>
        </w:rPr>
        <w:t xml:space="preserve"> אמיתית </w:t>
      </w:r>
      <w:r w:rsidR="00642111">
        <w:rPr>
          <w:rFonts w:hint="cs"/>
          <w:rtl/>
        </w:rPr>
        <w:t xml:space="preserve">של הדברים האלה שיש להם התחלות, היא ראשית לדעת את התחלותיהם, ומהתחלותיהם לדעת אותם, כיוון שזו הדרך להורות וללמוד שנותנת לנו השגה בידיעה האמיתית של דברים שיש להם התחלות. </w:t>
      </w:r>
    </w:p>
    <w:p w14:paraId="3170F86D" w14:textId="20EAB56D" w:rsidR="00CC0147" w:rsidRDefault="00F8752D" w:rsidP="003266A1">
      <w:pPr>
        <w:pStyle w:val="Heading4"/>
        <w:rPr>
          <w:rtl/>
        </w:rPr>
      </w:pPr>
      <w:bookmarkStart w:id="22" w:name="_Toc119092588"/>
      <w:r>
        <w:rPr>
          <w:rFonts w:hint="cs"/>
          <w:rtl/>
        </w:rPr>
        <w:t>1.1.</w:t>
      </w:r>
      <w:r w:rsidR="00CC0147">
        <w:rPr>
          <w:rFonts w:hint="cs"/>
          <w:rtl/>
        </w:rPr>
        <w:t>2</w:t>
      </w:r>
      <w:bookmarkEnd w:id="22"/>
    </w:p>
    <w:p w14:paraId="3E3F1FB2" w14:textId="77777777" w:rsidR="00916D70" w:rsidRDefault="00CC0147" w:rsidP="00916A3E">
      <w:pPr>
        <w:rPr>
          <w:rtl/>
        </w:rPr>
      </w:pPr>
      <w:r>
        <w:rPr>
          <w:rFonts w:hint="cs"/>
          <w:rtl/>
        </w:rPr>
        <w:t xml:space="preserve">כמו כן, אם דברים טבעיים הם בעלי התחלות </w:t>
      </w:r>
      <w:proofErr w:type="spellStart"/>
      <w:r>
        <w:rPr>
          <w:rFonts w:hint="cs"/>
          <w:rtl/>
        </w:rPr>
        <w:t>מסויימות</w:t>
      </w:r>
      <w:proofErr w:type="spellEnd"/>
      <w:r>
        <w:rPr>
          <w:rFonts w:hint="cs"/>
          <w:rtl/>
        </w:rPr>
        <w:t xml:space="preserve">, אז או שכל אחד ואחד מהם יש לו התחלות אלה, או שלא כולם </w:t>
      </w:r>
      <w:r w:rsidR="001F3387">
        <w:rPr>
          <w:rFonts w:hint="cs"/>
          <w:rtl/>
        </w:rPr>
        <w:t>נוטלים חלק ב</w:t>
      </w:r>
      <w:r>
        <w:rPr>
          <w:rFonts w:hint="cs"/>
          <w:rtl/>
        </w:rPr>
        <w:t>התחלות האלה.</w:t>
      </w:r>
      <w:r w:rsidR="00916A3E">
        <w:rPr>
          <w:rFonts w:hint="cs"/>
          <w:rtl/>
        </w:rPr>
        <w:t xml:space="preserve"> במקרה השני, לא יהיה זה רחוק מן הדעת שחכמת הטבע קובעת את קיומן של ההתחלות האלה, ובו בזמן מגלה את מהותן. </w:t>
      </w:r>
    </w:p>
    <w:p w14:paraId="4DDE7A59" w14:textId="239C2048" w:rsidR="00BD17D5" w:rsidRDefault="00916D70" w:rsidP="00850C07">
      <w:pPr>
        <w:rPr>
          <w:rtl/>
        </w:rPr>
      </w:pPr>
      <w:r>
        <w:rPr>
          <w:rFonts w:hint="cs"/>
          <w:rtl/>
        </w:rPr>
        <w:t>אם</w:t>
      </w:r>
      <w:r w:rsidR="000846C4">
        <w:rPr>
          <w:rFonts w:hint="cs"/>
          <w:rtl/>
        </w:rPr>
        <w:t xml:space="preserve"> יש התחלות </w:t>
      </w:r>
      <w:proofErr w:type="spellStart"/>
      <w:r w:rsidR="000846C4">
        <w:rPr>
          <w:rFonts w:hint="cs"/>
          <w:rtl/>
        </w:rPr>
        <w:t>מסויימות</w:t>
      </w:r>
      <w:proofErr w:type="spellEnd"/>
      <w:r w:rsidR="000846C4">
        <w:rPr>
          <w:rFonts w:hint="cs"/>
          <w:rtl/>
        </w:rPr>
        <w:t xml:space="preserve"> שמשותפות לכל הדברים הטבעיים</w:t>
      </w:r>
      <w:r w:rsidR="00A90BA1">
        <w:rPr>
          <w:rFonts w:hint="cs"/>
          <w:rtl/>
        </w:rPr>
        <w:t xml:space="preserve">, כלומר אלה שבלי ספק הם התחלות לנושאים ולמצבים המשותפים, </w:t>
      </w:r>
      <w:r w:rsidR="00845BE7">
        <w:rPr>
          <w:rFonts w:hint="cs"/>
          <w:rtl/>
        </w:rPr>
        <w:t xml:space="preserve">אז ההוכחה של התחלות אלה, אם הן צריכות הוכחה, לא תהיה שייכת </w:t>
      </w:r>
      <w:proofErr w:type="spellStart"/>
      <w:r w:rsidR="00845BE7">
        <w:rPr>
          <w:rFonts w:hint="cs"/>
          <w:rtl/>
        </w:rPr>
        <w:t>לחכמת</w:t>
      </w:r>
      <w:proofErr w:type="spellEnd"/>
      <w:r w:rsidR="00845BE7">
        <w:rPr>
          <w:rFonts w:hint="cs"/>
          <w:rtl/>
        </w:rPr>
        <w:t xml:space="preserve"> הטבע, כמו שהתבאר בחלק העוסק במלאכת המופת, אלא תהיה שייכת לחכמה אחרת, וחכם הטבע צריך לקבל את קיומן </w:t>
      </w:r>
      <w:r w:rsidR="005E73D8">
        <w:rPr>
          <w:rFonts w:hint="cs"/>
          <w:rtl/>
        </w:rPr>
        <w:t>כהנחות ראשונות ואת מהותן כאמת גמורה</w:t>
      </w:r>
      <w:r w:rsidR="005E73D8">
        <w:rPr>
          <w:rStyle w:val="FootnoteReference"/>
          <w:rtl/>
        </w:rPr>
        <w:footnoteReference w:id="24"/>
      </w:r>
      <w:r w:rsidR="005E73D8">
        <w:rPr>
          <w:rFonts w:hint="cs"/>
          <w:rtl/>
        </w:rPr>
        <w:t>.</w:t>
      </w:r>
    </w:p>
    <w:p w14:paraId="4FACE380" w14:textId="6287A038" w:rsidR="007460E8" w:rsidRDefault="00F8752D" w:rsidP="007460E8">
      <w:pPr>
        <w:pStyle w:val="Heading4"/>
        <w:rPr>
          <w:rtl/>
        </w:rPr>
      </w:pPr>
      <w:bookmarkStart w:id="23" w:name="_Toc119092589"/>
      <w:r>
        <w:rPr>
          <w:rFonts w:hint="cs"/>
          <w:rtl/>
        </w:rPr>
        <w:t>1.1.</w:t>
      </w:r>
      <w:r w:rsidR="0011705B" w:rsidRPr="00CF735F">
        <w:rPr>
          <w:rFonts w:hint="cs"/>
          <w:rtl/>
        </w:rPr>
        <w:t>3</w:t>
      </w:r>
      <w:bookmarkEnd w:id="23"/>
    </w:p>
    <w:p w14:paraId="7E5A49AD" w14:textId="7C226C97" w:rsidR="000433F3" w:rsidRDefault="0011705B" w:rsidP="000846C4">
      <w:pPr>
        <w:rPr>
          <w:rtl/>
        </w:rPr>
      </w:pPr>
      <w:r>
        <w:rPr>
          <w:rFonts w:hint="cs"/>
          <w:rtl/>
        </w:rPr>
        <w:t>י</w:t>
      </w:r>
      <w:r w:rsidR="005449CD">
        <w:rPr>
          <w:rFonts w:hint="cs"/>
          <w:rtl/>
        </w:rPr>
        <w:t>ותר מכך</w:t>
      </w:r>
      <w:r>
        <w:rPr>
          <w:rFonts w:hint="cs"/>
          <w:rtl/>
        </w:rPr>
        <w:t>,</w:t>
      </w:r>
      <w:r w:rsidR="007C0417">
        <w:rPr>
          <w:rFonts w:hint="cs"/>
          <w:rtl/>
        </w:rPr>
        <w:t xml:space="preserve"> </w:t>
      </w:r>
      <w:r w:rsidR="00301B3E">
        <w:rPr>
          <w:rFonts w:hint="cs"/>
          <w:rtl/>
        </w:rPr>
        <w:t xml:space="preserve">אם דברים טבעיים יש להם </w:t>
      </w:r>
      <w:r w:rsidR="00EE7FE7">
        <w:rPr>
          <w:rFonts w:hint="cs"/>
          <w:rtl/>
        </w:rPr>
        <w:t xml:space="preserve">קצת </w:t>
      </w:r>
      <w:r w:rsidR="00301B3E">
        <w:rPr>
          <w:rFonts w:hint="cs"/>
          <w:rtl/>
        </w:rPr>
        <w:t xml:space="preserve">התחלות המשותפות לכולם, וכמו כן גם התחלות יותר </w:t>
      </w:r>
      <w:proofErr w:type="spellStart"/>
      <w:r w:rsidR="00301B3E">
        <w:rPr>
          <w:rFonts w:hint="cs"/>
          <w:rtl/>
        </w:rPr>
        <w:t>מסויימות</w:t>
      </w:r>
      <w:proofErr w:type="spellEnd"/>
      <w:r w:rsidR="00301B3E">
        <w:rPr>
          <w:rFonts w:hint="cs"/>
          <w:rtl/>
        </w:rPr>
        <w:t xml:space="preserve"> מאלה, </w:t>
      </w:r>
      <w:r w:rsidR="00EE7FE7">
        <w:rPr>
          <w:rFonts w:hint="cs"/>
          <w:rtl/>
        </w:rPr>
        <w:t xml:space="preserve">למשל התחלות ששייכות לאחד מסוגיהם כגון ההתחלה של צמיחה, וקצת התחלות עוד יותר </w:t>
      </w:r>
      <w:proofErr w:type="spellStart"/>
      <w:r w:rsidR="00EE7FE7">
        <w:rPr>
          <w:rFonts w:hint="cs"/>
          <w:rtl/>
        </w:rPr>
        <w:t>מסויימות</w:t>
      </w:r>
      <w:proofErr w:type="spellEnd"/>
      <w:r w:rsidR="00EE7FE7">
        <w:rPr>
          <w:rFonts w:hint="cs"/>
          <w:rtl/>
        </w:rPr>
        <w:t xml:space="preserve">, למשל התחלות ששייכות </w:t>
      </w:r>
      <w:r w:rsidR="00381D74">
        <w:rPr>
          <w:rFonts w:hint="cs"/>
          <w:rtl/>
        </w:rPr>
        <w:t>לאחד ממיניהם כמו ההתחל</w:t>
      </w:r>
      <w:r w:rsidR="000E7C18">
        <w:rPr>
          <w:rFonts w:hint="cs"/>
          <w:rtl/>
        </w:rPr>
        <w:t>ות</w:t>
      </w:r>
      <w:r w:rsidR="00381D74">
        <w:rPr>
          <w:rFonts w:hint="cs"/>
          <w:rtl/>
        </w:rPr>
        <w:t xml:space="preserve"> של היות </w:t>
      </w:r>
      <w:r w:rsidR="00CF1CCB">
        <w:rPr>
          <w:rFonts w:hint="cs"/>
          <w:rtl/>
        </w:rPr>
        <w:t>'</w:t>
      </w:r>
      <w:r w:rsidR="00381D74">
        <w:rPr>
          <w:rFonts w:hint="cs"/>
          <w:rtl/>
        </w:rPr>
        <w:t>אדם</w:t>
      </w:r>
      <w:r w:rsidR="00CF1CCB">
        <w:rPr>
          <w:rFonts w:hint="cs"/>
          <w:rtl/>
        </w:rPr>
        <w:t>'</w:t>
      </w:r>
      <w:r w:rsidR="00381D74">
        <w:rPr>
          <w:rStyle w:val="FootnoteReference"/>
          <w:rtl/>
        </w:rPr>
        <w:footnoteReference w:id="25"/>
      </w:r>
      <w:r w:rsidR="00381D74">
        <w:rPr>
          <w:rFonts w:hint="cs"/>
          <w:rtl/>
        </w:rPr>
        <w:t xml:space="preserve">, </w:t>
      </w:r>
      <w:r w:rsidR="005449CD">
        <w:rPr>
          <w:rFonts w:hint="cs"/>
          <w:rtl/>
        </w:rPr>
        <w:t>ואם</w:t>
      </w:r>
      <w:r w:rsidR="00884C68">
        <w:rPr>
          <w:rFonts w:hint="cs"/>
          <w:rtl/>
        </w:rPr>
        <w:t>,</w:t>
      </w:r>
      <w:r w:rsidR="005449CD">
        <w:rPr>
          <w:rFonts w:hint="cs"/>
          <w:rtl/>
        </w:rPr>
        <w:t xml:space="preserve"> בנוסף</w:t>
      </w:r>
      <w:r w:rsidR="00884C68">
        <w:rPr>
          <w:rFonts w:hint="cs"/>
          <w:rtl/>
        </w:rPr>
        <w:t>,</w:t>
      </w:r>
      <w:r w:rsidR="005449CD">
        <w:rPr>
          <w:rFonts w:hint="cs"/>
          <w:rtl/>
        </w:rPr>
        <w:t xml:space="preserve"> יש להם מקרים </w:t>
      </w:r>
      <w:r w:rsidR="00CF4250">
        <w:rPr>
          <w:rFonts w:hint="cs"/>
          <w:rtl/>
        </w:rPr>
        <w:t>מהותיים המשותפים לכולם ואחרים שמשותפים לסוג וכן אחרים שמשותפים למין, אז הכיוון הנכון של הוראה ולימוד</w:t>
      </w:r>
      <w:r w:rsidR="00884C68">
        <w:rPr>
          <w:rFonts w:hint="cs"/>
          <w:rtl/>
        </w:rPr>
        <w:t xml:space="preserve"> </w:t>
      </w:r>
      <w:r w:rsidR="00CF1CCB">
        <w:rPr>
          <w:rFonts w:hint="cs"/>
          <w:rtl/>
        </w:rPr>
        <w:t>ראוי שיתחיל</w:t>
      </w:r>
      <w:r w:rsidR="00CF4250">
        <w:rPr>
          <w:rFonts w:hint="cs"/>
          <w:rtl/>
        </w:rPr>
        <w:t xml:space="preserve"> </w:t>
      </w:r>
      <w:r w:rsidR="00C861FA">
        <w:rPr>
          <w:rFonts w:hint="cs"/>
          <w:rtl/>
        </w:rPr>
        <w:t xml:space="preserve">במה שיותר </w:t>
      </w:r>
      <w:r w:rsidR="00CF4250">
        <w:rPr>
          <w:rFonts w:hint="cs"/>
          <w:rtl/>
        </w:rPr>
        <w:t>כללי</w:t>
      </w:r>
      <w:r w:rsidR="00F82D9A">
        <w:rPr>
          <w:rFonts w:hint="cs"/>
          <w:rtl/>
        </w:rPr>
        <w:t xml:space="preserve"> ואז </w:t>
      </w:r>
      <w:r w:rsidR="00CF1CCB">
        <w:rPr>
          <w:rFonts w:hint="cs"/>
          <w:rtl/>
        </w:rPr>
        <w:t>י</w:t>
      </w:r>
      <w:r w:rsidR="00F82D9A">
        <w:rPr>
          <w:rFonts w:hint="cs"/>
          <w:rtl/>
        </w:rPr>
        <w:t>תקדם למה שיותר פרטי.</w:t>
      </w:r>
    </w:p>
    <w:p w14:paraId="54B5AC23" w14:textId="77777777" w:rsidR="00633F3C" w:rsidRDefault="000433F3" w:rsidP="000846C4">
      <w:pPr>
        <w:rPr>
          <w:rtl/>
        </w:rPr>
      </w:pPr>
      <w:r>
        <w:rPr>
          <w:rFonts w:hint="cs"/>
          <w:rtl/>
        </w:rPr>
        <w:t>זהו משום ש</w:t>
      </w:r>
      <w:r w:rsidR="006D717A">
        <w:rPr>
          <w:rFonts w:hint="cs"/>
          <w:rtl/>
        </w:rPr>
        <w:t xml:space="preserve">כידוע לך </w:t>
      </w:r>
      <w:r>
        <w:rPr>
          <w:rFonts w:hint="cs"/>
          <w:rtl/>
        </w:rPr>
        <w:t>הסוג הוא חלק מההגדרה של המין</w:t>
      </w:r>
      <w:r w:rsidR="006D717A">
        <w:rPr>
          <w:rStyle w:val="FootnoteReference"/>
          <w:rtl/>
        </w:rPr>
        <w:footnoteReference w:id="26"/>
      </w:r>
      <w:r>
        <w:rPr>
          <w:rFonts w:hint="cs"/>
          <w:rtl/>
        </w:rPr>
        <w:t>,</w:t>
      </w:r>
      <w:r w:rsidR="00B14732">
        <w:rPr>
          <w:rFonts w:hint="cs"/>
          <w:rtl/>
        </w:rPr>
        <w:t xml:space="preserve"> </w:t>
      </w:r>
      <w:r w:rsidR="00BC7233">
        <w:rPr>
          <w:rFonts w:hint="cs"/>
          <w:rtl/>
        </w:rPr>
        <w:t>ו</w:t>
      </w:r>
      <w:r w:rsidR="004A2C38">
        <w:rPr>
          <w:rFonts w:hint="cs"/>
          <w:rtl/>
        </w:rPr>
        <w:t>לכן</w:t>
      </w:r>
      <w:r w:rsidR="00BC7233">
        <w:rPr>
          <w:rFonts w:hint="cs"/>
          <w:rtl/>
        </w:rPr>
        <w:t xml:space="preserve"> ידיעת הסוג צריכה להיות קודמת לידיעת המין</w:t>
      </w:r>
      <w:r w:rsidR="00736C9E">
        <w:rPr>
          <w:rFonts w:hint="cs"/>
          <w:rtl/>
        </w:rPr>
        <w:t xml:space="preserve">, כי ידיעת חלק מההגדרה קודמת לידיעת ההגדרה, </w:t>
      </w:r>
      <w:r w:rsidR="00E043BE">
        <w:rPr>
          <w:rFonts w:hint="cs"/>
          <w:rtl/>
        </w:rPr>
        <w:t>והשגת החלק קודמת להשגת ההגדרה, מאחר שכוונתנו ב'הגדרה' היא מה ש</w:t>
      </w:r>
      <w:r w:rsidR="00633F3C">
        <w:rPr>
          <w:rFonts w:hint="cs"/>
          <w:rtl/>
        </w:rPr>
        <w:t>מציין</w:t>
      </w:r>
      <w:r w:rsidR="00E043BE">
        <w:rPr>
          <w:rFonts w:hint="cs"/>
          <w:rtl/>
        </w:rPr>
        <w:t xml:space="preserve"> את המהות של מה שמוגדר</w:t>
      </w:r>
      <w:r w:rsidR="00E469D5">
        <w:rPr>
          <w:rStyle w:val="FootnoteReference"/>
          <w:rtl/>
        </w:rPr>
        <w:footnoteReference w:id="27"/>
      </w:r>
      <w:r w:rsidR="00E043BE">
        <w:rPr>
          <w:rFonts w:hint="cs"/>
          <w:rtl/>
        </w:rPr>
        <w:t>.</w:t>
      </w:r>
    </w:p>
    <w:p w14:paraId="2EC5A557" w14:textId="0D36F42C" w:rsidR="00CB7669" w:rsidRDefault="00633F3C" w:rsidP="000846C4">
      <w:pPr>
        <w:rPr>
          <w:rtl/>
        </w:rPr>
      </w:pPr>
      <w:r>
        <w:rPr>
          <w:rFonts w:hint="cs"/>
          <w:rtl/>
        </w:rPr>
        <w:t>עולה מכך שההתחלות של הדברים הכלליים צריכות להיות מושגות בתחילה</w:t>
      </w:r>
      <w:r w:rsidR="005529B6">
        <w:rPr>
          <w:rFonts w:hint="cs"/>
          <w:rtl/>
        </w:rPr>
        <w:t xml:space="preserve"> כדי שהדברים הכלליים יהיו מושגים בתחילה, והדברים הכלליים צריכים להיות מושגים בתחילה כדי להשיג את הדברים </w:t>
      </w:r>
      <w:r w:rsidR="009C463A">
        <w:rPr>
          <w:rFonts w:hint="cs"/>
          <w:rtl/>
        </w:rPr>
        <w:t>המסוימים</w:t>
      </w:r>
      <w:r w:rsidR="005529B6">
        <w:rPr>
          <w:rStyle w:val="FootnoteReference"/>
          <w:rtl/>
        </w:rPr>
        <w:footnoteReference w:id="28"/>
      </w:r>
      <w:r w:rsidR="005529B6">
        <w:rPr>
          <w:rFonts w:hint="cs"/>
          <w:rtl/>
        </w:rPr>
        <w:t>.</w:t>
      </w:r>
      <w:r>
        <w:rPr>
          <w:rFonts w:hint="cs"/>
          <w:rtl/>
        </w:rPr>
        <w:t xml:space="preserve"> </w:t>
      </w:r>
    </w:p>
    <w:p w14:paraId="7F864838" w14:textId="3426EFFF" w:rsidR="00CB7669" w:rsidRDefault="00F8752D" w:rsidP="003266A1">
      <w:pPr>
        <w:pStyle w:val="Heading4"/>
        <w:rPr>
          <w:rtl/>
        </w:rPr>
      </w:pPr>
      <w:bookmarkStart w:id="24" w:name="_Toc119092590"/>
      <w:r>
        <w:rPr>
          <w:rFonts w:hint="cs"/>
          <w:rtl/>
        </w:rPr>
        <w:t>1.1.</w:t>
      </w:r>
      <w:r w:rsidR="00CB7669" w:rsidRPr="00BD17D5">
        <w:rPr>
          <w:rStyle w:val="Heading4Char"/>
          <w:rFonts w:hint="cs"/>
          <w:rtl/>
        </w:rPr>
        <w:t>4</w:t>
      </w:r>
      <w:bookmarkEnd w:id="24"/>
    </w:p>
    <w:p w14:paraId="774DF7A3" w14:textId="383593A8" w:rsidR="00DE6EE4" w:rsidRDefault="00DE6EE4" w:rsidP="000846C4">
      <w:pPr>
        <w:rPr>
          <w:rtl/>
        </w:rPr>
      </w:pPr>
      <w:r>
        <w:rPr>
          <w:rFonts w:hint="cs"/>
          <w:rtl/>
        </w:rPr>
        <w:t>עלינו, אפוא, להתחיל</w:t>
      </w:r>
      <w:r w:rsidR="00D574D2">
        <w:rPr>
          <w:rFonts w:hint="cs"/>
          <w:rtl/>
        </w:rPr>
        <w:t xml:space="preserve"> בהסברת ההתחלות השייכות לדברים הכלליים, מאחר שדברים כלליים </w:t>
      </w:r>
      <w:r w:rsidR="006E0580">
        <w:rPr>
          <w:rFonts w:hint="cs"/>
          <w:rtl/>
        </w:rPr>
        <w:t>נודע</w:t>
      </w:r>
      <w:r w:rsidR="0068540F">
        <w:rPr>
          <w:rFonts w:hint="cs"/>
          <w:rtl/>
        </w:rPr>
        <w:t xml:space="preserve">ים יותר לשכלנו אע"פ שאינם </w:t>
      </w:r>
      <w:r w:rsidR="00DD5E46">
        <w:rPr>
          <w:rFonts w:hint="cs"/>
          <w:rtl/>
        </w:rPr>
        <w:t>נוד</w:t>
      </w:r>
      <w:r w:rsidR="00AF2FAD">
        <w:rPr>
          <w:rFonts w:hint="cs"/>
          <w:rtl/>
        </w:rPr>
        <w:t>ע</w:t>
      </w:r>
      <w:r w:rsidR="0068540F">
        <w:rPr>
          <w:rFonts w:hint="cs"/>
          <w:rtl/>
        </w:rPr>
        <w:t xml:space="preserve">ים יותר על פי הטבע. במילים אחרות, דברים כלליים </w:t>
      </w:r>
      <w:r w:rsidR="008B11C9">
        <w:rPr>
          <w:rFonts w:hint="cs"/>
          <w:rtl/>
        </w:rPr>
        <w:t xml:space="preserve">מצד </w:t>
      </w:r>
      <w:r w:rsidR="0068540F">
        <w:rPr>
          <w:rFonts w:hint="cs"/>
          <w:rtl/>
        </w:rPr>
        <w:t>עצמם</w:t>
      </w:r>
      <w:r w:rsidR="008B11C9">
        <w:rPr>
          <w:rFonts w:hint="cs"/>
          <w:rtl/>
        </w:rPr>
        <w:t xml:space="preserve"> אינם</w:t>
      </w:r>
      <w:r w:rsidR="0068540F">
        <w:rPr>
          <w:rFonts w:hint="cs"/>
          <w:rtl/>
        </w:rPr>
        <w:t xml:space="preserve"> הדברים</w:t>
      </w:r>
      <w:r w:rsidR="008B11C9">
        <w:rPr>
          <w:rFonts w:hint="cs"/>
          <w:rtl/>
        </w:rPr>
        <w:t xml:space="preserve"> </w:t>
      </w:r>
      <w:r w:rsidR="00584481" w:rsidRPr="00584481">
        <w:rPr>
          <w:rtl/>
        </w:rPr>
        <w:t>שֶׁמְּכֻוֶּונֶת</w:t>
      </w:r>
      <w:r w:rsidR="001D5A7F">
        <w:rPr>
          <w:rFonts w:hint="cs"/>
          <w:rtl/>
        </w:rPr>
        <w:t xml:space="preserve"> בהם</w:t>
      </w:r>
      <w:r w:rsidR="008B11C9">
        <w:rPr>
          <w:rFonts w:hint="cs"/>
          <w:rtl/>
        </w:rPr>
        <w:t xml:space="preserve"> </w:t>
      </w:r>
      <w:r w:rsidR="001D5A7F">
        <w:rPr>
          <w:rFonts w:hint="cs"/>
          <w:rtl/>
        </w:rPr>
        <w:t>השלמת</w:t>
      </w:r>
      <w:r w:rsidR="008B11C9">
        <w:rPr>
          <w:rFonts w:hint="cs"/>
          <w:rtl/>
        </w:rPr>
        <w:t xml:space="preserve"> </w:t>
      </w:r>
      <w:r w:rsidR="00825C37">
        <w:rPr>
          <w:rFonts w:hint="cs"/>
          <w:rtl/>
        </w:rPr>
        <w:t>קיום</w:t>
      </w:r>
      <w:r w:rsidR="008B11C9">
        <w:rPr>
          <w:rFonts w:hint="cs"/>
          <w:rtl/>
        </w:rPr>
        <w:t xml:space="preserve"> </w:t>
      </w:r>
      <w:proofErr w:type="spellStart"/>
      <w:r w:rsidR="008B11C9">
        <w:rPr>
          <w:rFonts w:hint="cs"/>
          <w:rtl/>
        </w:rPr>
        <w:t>הטבעים</w:t>
      </w:r>
      <w:proofErr w:type="spellEnd"/>
      <w:r w:rsidR="00825C37">
        <w:rPr>
          <w:rFonts w:hint="cs"/>
          <w:rtl/>
        </w:rPr>
        <w:t xml:space="preserve">, כי מה </w:t>
      </w:r>
      <w:r w:rsidR="00584481" w:rsidRPr="00584481">
        <w:rPr>
          <w:rtl/>
        </w:rPr>
        <w:t>שֶׁ</w:t>
      </w:r>
      <w:bookmarkStart w:id="25" w:name="_Hlk70792338"/>
      <w:r w:rsidR="00584481" w:rsidRPr="00584481">
        <w:rPr>
          <w:rtl/>
        </w:rPr>
        <w:t>מְּכֻוָּון</w:t>
      </w:r>
      <w:bookmarkEnd w:id="25"/>
      <w:r w:rsidR="00825C37">
        <w:rPr>
          <w:rFonts w:hint="cs"/>
          <w:rtl/>
        </w:rPr>
        <w:t xml:space="preserve"> בטבע הוא לא הקיום של 'חי' באופן כללי או של 'גוף' באופן כללי, </w:t>
      </w:r>
      <w:r w:rsidR="00A2653D">
        <w:rPr>
          <w:rFonts w:hint="cs"/>
          <w:rtl/>
        </w:rPr>
        <w:t xml:space="preserve">אלא </w:t>
      </w:r>
      <w:proofErr w:type="spellStart"/>
      <w:r w:rsidR="00A2653D">
        <w:rPr>
          <w:rFonts w:hint="cs"/>
          <w:rtl/>
        </w:rPr>
        <w:t>הטבעים</w:t>
      </w:r>
      <w:proofErr w:type="spellEnd"/>
      <w:r w:rsidR="00A2653D">
        <w:rPr>
          <w:rFonts w:hint="cs"/>
          <w:rtl/>
        </w:rPr>
        <w:t xml:space="preserve"> של ה</w:t>
      </w:r>
      <w:r w:rsidR="00CF7D97">
        <w:rPr>
          <w:rFonts w:hint="cs"/>
          <w:rtl/>
        </w:rPr>
        <w:t>דבר</w:t>
      </w:r>
      <w:r w:rsidR="00A2653D">
        <w:rPr>
          <w:rFonts w:hint="cs"/>
          <w:rtl/>
        </w:rPr>
        <w:t xml:space="preserve">ים </w:t>
      </w:r>
      <w:r w:rsidR="008960B1">
        <w:rPr>
          <w:rFonts w:hint="cs"/>
          <w:rtl/>
        </w:rPr>
        <w:t>המסוימים</w:t>
      </w:r>
      <w:r w:rsidR="00A2653D">
        <w:rPr>
          <w:rFonts w:hint="cs"/>
          <w:rtl/>
        </w:rPr>
        <w:t xml:space="preserve"> שקיימים, וכשהטבע </w:t>
      </w:r>
      <w:r w:rsidR="008960B1">
        <w:rPr>
          <w:rFonts w:hint="cs"/>
          <w:rtl/>
        </w:rPr>
        <w:t>המסוים</w:t>
      </w:r>
      <w:r w:rsidR="004D25C3">
        <w:rPr>
          <w:rStyle w:val="FootnoteReference"/>
          <w:rtl/>
        </w:rPr>
        <w:footnoteReference w:id="29"/>
      </w:r>
      <w:r w:rsidR="00A2653D">
        <w:rPr>
          <w:rFonts w:hint="cs"/>
          <w:rtl/>
        </w:rPr>
        <w:t xml:space="preserve"> קיים </w:t>
      </w:r>
      <w:r w:rsidR="00182750">
        <w:rPr>
          <w:rFonts w:hint="cs"/>
          <w:rtl/>
        </w:rPr>
        <w:t>ב</w:t>
      </w:r>
      <w:r w:rsidR="004D25C3">
        <w:rPr>
          <w:rFonts w:hint="cs"/>
          <w:rtl/>
        </w:rPr>
        <w:t>יחידים ה</w:t>
      </w:r>
      <w:r w:rsidR="00182750">
        <w:rPr>
          <w:rFonts w:hint="cs"/>
          <w:rtl/>
        </w:rPr>
        <w:t>מוחש</w:t>
      </w:r>
      <w:r w:rsidR="00602827">
        <w:rPr>
          <w:rFonts w:hint="cs"/>
          <w:rtl/>
        </w:rPr>
        <w:t>י</w:t>
      </w:r>
      <w:r w:rsidR="004D25C3">
        <w:rPr>
          <w:rFonts w:hint="cs"/>
          <w:rtl/>
        </w:rPr>
        <w:t>ם</w:t>
      </w:r>
      <w:r w:rsidR="00A2653D">
        <w:rPr>
          <w:rFonts w:hint="cs"/>
          <w:rtl/>
        </w:rPr>
        <w:t xml:space="preserve">, אז קיים </w:t>
      </w:r>
      <w:r w:rsidR="008960B1">
        <w:rPr>
          <w:rFonts w:hint="cs"/>
          <w:rtl/>
        </w:rPr>
        <w:t>יחיד</w:t>
      </w:r>
      <w:r w:rsidR="00A2653D">
        <w:rPr>
          <w:rFonts w:hint="cs"/>
          <w:rtl/>
        </w:rPr>
        <w:t xml:space="preserve"> </w:t>
      </w:r>
      <w:r w:rsidR="00B63B6A">
        <w:rPr>
          <w:rFonts w:hint="cs"/>
          <w:rtl/>
        </w:rPr>
        <w:t>פרטי</w:t>
      </w:r>
      <w:r w:rsidR="009D1D06">
        <w:rPr>
          <w:rStyle w:val="FootnoteReference"/>
          <w:rtl/>
        </w:rPr>
        <w:footnoteReference w:id="30"/>
      </w:r>
      <w:r w:rsidR="00A2653D">
        <w:rPr>
          <w:rFonts w:hint="cs"/>
          <w:rtl/>
        </w:rPr>
        <w:t>.</w:t>
      </w:r>
    </w:p>
    <w:p w14:paraId="4BCD43D4" w14:textId="7340A680" w:rsidR="00602827" w:rsidRDefault="008960B1" w:rsidP="000846C4">
      <w:pPr>
        <w:rPr>
          <w:rtl/>
        </w:rPr>
      </w:pPr>
      <w:r>
        <w:rPr>
          <w:rFonts w:hint="cs"/>
          <w:rtl/>
        </w:rPr>
        <w:t>כך</w:t>
      </w:r>
      <w:r w:rsidR="00D53127">
        <w:rPr>
          <w:rFonts w:hint="cs"/>
          <w:rtl/>
        </w:rPr>
        <w:t>,</w:t>
      </w:r>
      <w:r>
        <w:rPr>
          <w:rFonts w:hint="cs"/>
          <w:rtl/>
        </w:rPr>
        <w:t xml:space="preserve"> אם כן</w:t>
      </w:r>
      <w:r w:rsidR="00D53127">
        <w:rPr>
          <w:rFonts w:hint="cs"/>
          <w:rtl/>
        </w:rPr>
        <w:t>,</w:t>
      </w:r>
      <w:r>
        <w:rPr>
          <w:rFonts w:hint="cs"/>
          <w:rtl/>
        </w:rPr>
        <w:t xml:space="preserve"> מה שמכוון בו </w:t>
      </w:r>
      <w:r w:rsidR="00D53127">
        <w:rPr>
          <w:rFonts w:hint="cs"/>
          <w:rtl/>
        </w:rPr>
        <w:t xml:space="preserve">הוא </w:t>
      </w:r>
      <w:proofErr w:type="spellStart"/>
      <w:r w:rsidR="00D53127">
        <w:rPr>
          <w:rFonts w:hint="cs"/>
          <w:rtl/>
        </w:rPr>
        <w:t>שהטבעים</w:t>
      </w:r>
      <w:proofErr w:type="spellEnd"/>
      <w:r w:rsidR="00D53127">
        <w:rPr>
          <w:rFonts w:hint="cs"/>
          <w:rtl/>
        </w:rPr>
        <w:t xml:space="preserve"> של הדברים המסוימים</w:t>
      </w:r>
      <w:r w:rsidR="009D03C4">
        <w:rPr>
          <w:rFonts w:hint="cs"/>
          <w:rtl/>
        </w:rPr>
        <w:t xml:space="preserve"> </w:t>
      </w:r>
      <w:r w:rsidR="00CF34B3">
        <w:rPr>
          <w:rFonts w:hint="cs"/>
          <w:rtl/>
        </w:rPr>
        <w:t xml:space="preserve">יתקיימו כיחידים </w:t>
      </w:r>
      <w:r w:rsidR="00B63B6A">
        <w:rPr>
          <w:rFonts w:hint="cs"/>
          <w:rtl/>
        </w:rPr>
        <w:t>פרטי</w:t>
      </w:r>
      <w:r w:rsidR="00CF34B3">
        <w:rPr>
          <w:rFonts w:hint="cs"/>
          <w:rtl/>
        </w:rPr>
        <w:t>ים</w:t>
      </w:r>
      <w:r w:rsidR="00182750">
        <w:rPr>
          <w:rFonts w:hint="cs"/>
          <w:rtl/>
        </w:rPr>
        <w:t xml:space="preserve"> ב</w:t>
      </w:r>
      <w:r w:rsidR="00602827">
        <w:rPr>
          <w:rFonts w:hint="cs"/>
          <w:rtl/>
        </w:rPr>
        <w:t xml:space="preserve">אופן </w:t>
      </w:r>
      <w:r w:rsidR="00182750">
        <w:rPr>
          <w:rFonts w:hint="cs"/>
          <w:rtl/>
        </w:rPr>
        <w:t>מוחש</w:t>
      </w:r>
      <w:r w:rsidR="00602827">
        <w:rPr>
          <w:rFonts w:hint="cs"/>
          <w:rtl/>
        </w:rPr>
        <w:t>י</w:t>
      </w:r>
      <w:r w:rsidR="00182750">
        <w:rPr>
          <w:rFonts w:hint="cs"/>
          <w:rtl/>
        </w:rPr>
        <w:t>.</w:t>
      </w:r>
    </w:p>
    <w:p w14:paraId="158F54B5" w14:textId="0FBF8738" w:rsidR="008960B1" w:rsidRDefault="00D51D50" w:rsidP="000846C4">
      <w:pPr>
        <w:rPr>
          <w:rtl/>
        </w:rPr>
      </w:pPr>
      <w:r>
        <w:rPr>
          <w:rFonts w:hint="cs"/>
          <w:rtl/>
        </w:rPr>
        <w:t>ובכן</w:t>
      </w:r>
      <w:r w:rsidR="009A7D20">
        <w:rPr>
          <w:rFonts w:hint="cs"/>
          <w:rtl/>
        </w:rPr>
        <w:t xml:space="preserve">, </w:t>
      </w:r>
      <w:r w:rsidR="00602827">
        <w:rPr>
          <w:rFonts w:hint="cs"/>
          <w:rtl/>
        </w:rPr>
        <w:t>היחידים המוחשיים הם מה שמכוון רק אם יש להם טבע מסוים הראוי לאותו יחיד</w:t>
      </w:r>
      <w:r w:rsidR="00A019BB">
        <w:rPr>
          <w:rStyle w:val="FootnoteReference"/>
          <w:rtl/>
        </w:rPr>
        <w:footnoteReference w:id="31"/>
      </w:r>
      <w:r w:rsidR="00602827">
        <w:rPr>
          <w:rFonts w:hint="cs"/>
          <w:rtl/>
        </w:rPr>
        <w:t xml:space="preserve">. </w:t>
      </w:r>
      <w:r w:rsidR="0083044E">
        <w:rPr>
          <w:rFonts w:hint="cs"/>
          <w:rtl/>
        </w:rPr>
        <w:t xml:space="preserve">אם היחיד המוחשי בעצמו הוא מה שמכוון על ידי הטבע, אז בהפסדו ייגרע </w:t>
      </w:r>
      <w:r w:rsidR="00634A52">
        <w:rPr>
          <w:rFonts w:hint="cs"/>
          <w:rtl/>
        </w:rPr>
        <w:t>סדר ההוויה.</w:t>
      </w:r>
    </w:p>
    <w:p w14:paraId="4C586DC0" w14:textId="22D0765E" w:rsidR="009A7D20" w:rsidRDefault="004F2BC5" w:rsidP="000846C4">
      <w:pPr>
        <w:rPr>
          <w:rtl/>
        </w:rPr>
      </w:pPr>
      <w:r>
        <w:rPr>
          <w:rFonts w:hint="cs"/>
          <w:rtl/>
        </w:rPr>
        <w:t>כמו כן</w:t>
      </w:r>
      <w:r w:rsidR="00AC64A8">
        <w:rPr>
          <w:rFonts w:hint="cs"/>
          <w:rtl/>
        </w:rPr>
        <w:t>,</w:t>
      </w:r>
      <w:r>
        <w:rPr>
          <w:rFonts w:hint="cs"/>
          <w:rtl/>
        </w:rPr>
        <w:t xml:space="preserve"> </w:t>
      </w:r>
      <w:r w:rsidR="00AC64A8">
        <w:rPr>
          <w:rFonts w:hint="cs"/>
          <w:rtl/>
        </w:rPr>
        <w:t>אם הטבע המשותף הכ</w:t>
      </w:r>
      <w:r w:rsidR="00077976">
        <w:rPr>
          <w:rFonts w:hint="cs"/>
          <w:rtl/>
        </w:rPr>
        <w:t>ו</w:t>
      </w:r>
      <w:r w:rsidR="00AC64A8">
        <w:rPr>
          <w:rFonts w:hint="cs"/>
          <w:rtl/>
        </w:rPr>
        <w:t>לל היה ה</w:t>
      </w:r>
      <w:r w:rsidR="00AC64A8" w:rsidRPr="00AC64A8">
        <w:rPr>
          <w:rtl/>
        </w:rPr>
        <w:t>מְּכֻוָּון</w:t>
      </w:r>
      <w:r w:rsidR="00AC64A8">
        <w:rPr>
          <w:rFonts w:hint="cs"/>
          <w:rtl/>
        </w:rPr>
        <w:t>, אז הקיום</w:t>
      </w:r>
      <w:r w:rsidR="00C97849">
        <w:rPr>
          <w:rFonts w:hint="cs"/>
          <w:rtl/>
        </w:rPr>
        <w:t xml:space="preserve"> והסדר</w:t>
      </w:r>
      <w:r w:rsidR="00AC64A8">
        <w:rPr>
          <w:rFonts w:hint="cs"/>
          <w:rtl/>
        </w:rPr>
        <w:t xml:space="preserve"> הי</w:t>
      </w:r>
      <w:r w:rsidR="00C97849">
        <w:rPr>
          <w:rFonts w:hint="cs"/>
          <w:rtl/>
        </w:rPr>
        <w:t>ו</w:t>
      </w:r>
      <w:r w:rsidR="00AC64A8">
        <w:rPr>
          <w:rFonts w:hint="cs"/>
          <w:rtl/>
        </w:rPr>
        <w:t xml:space="preserve"> נשל</w:t>
      </w:r>
      <w:r w:rsidR="00C97849">
        <w:rPr>
          <w:rFonts w:hint="cs"/>
          <w:rtl/>
        </w:rPr>
        <w:t>מי</w:t>
      </w:r>
      <w:r w:rsidR="00AC64A8">
        <w:rPr>
          <w:rFonts w:hint="cs"/>
          <w:rtl/>
        </w:rPr>
        <w:t xml:space="preserve">ם </w:t>
      </w:r>
      <w:r w:rsidR="00927946">
        <w:rPr>
          <w:rFonts w:hint="cs"/>
          <w:rtl/>
        </w:rPr>
        <w:t>על ידי מציאותו, גם אם זו</w:t>
      </w:r>
      <w:r w:rsidR="009A7D20">
        <w:rPr>
          <w:rFonts w:hint="cs"/>
          <w:rtl/>
        </w:rPr>
        <w:t>,</w:t>
      </w:r>
      <w:r w:rsidR="00927946">
        <w:rPr>
          <w:rFonts w:hint="cs"/>
          <w:rtl/>
        </w:rPr>
        <w:t xml:space="preserve"> למשל</w:t>
      </w:r>
      <w:r w:rsidR="009A7D20">
        <w:rPr>
          <w:rFonts w:hint="cs"/>
          <w:rtl/>
        </w:rPr>
        <w:t>,</w:t>
      </w:r>
      <w:r w:rsidR="00927946">
        <w:rPr>
          <w:rFonts w:hint="cs"/>
          <w:rtl/>
        </w:rPr>
        <w:t xml:space="preserve"> מציאות של גוף </w:t>
      </w:r>
      <w:r w:rsidR="00C97849">
        <w:rPr>
          <w:rFonts w:hint="cs"/>
          <w:rtl/>
        </w:rPr>
        <w:t xml:space="preserve">כלשהו </w:t>
      </w:r>
      <w:r w:rsidR="00927946">
        <w:rPr>
          <w:rFonts w:hint="cs"/>
          <w:rtl/>
        </w:rPr>
        <w:t>או בעל חיים כלשה</w:t>
      </w:r>
      <w:r w:rsidR="00C97849">
        <w:rPr>
          <w:rFonts w:hint="cs"/>
          <w:rtl/>
        </w:rPr>
        <w:t>ו</w:t>
      </w:r>
      <w:r w:rsidR="00927946">
        <w:rPr>
          <w:rFonts w:hint="cs"/>
          <w:rtl/>
        </w:rPr>
        <w:t>, איזה שיהיו</w:t>
      </w:r>
      <w:r w:rsidR="001555FF">
        <w:rPr>
          <w:rStyle w:val="FootnoteReference"/>
          <w:rtl/>
        </w:rPr>
        <w:footnoteReference w:id="32"/>
      </w:r>
      <w:r w:rsidR="00927946">
        <w:rPr>
          <w:rFonts w:hint="cs"/>
          <w:rtl/>
        </w:rPr>
        <w:t>.</w:t>
      </w:r>
    </w:p>
    <w:p w14:paraId="74B2A58E" w14:textId="09C25266" w:rsidR="00BD17D5" w:rsidRDefault="009A7D20" w:rsidP="007460E8">
      <w:pPr>
        <w:rPr>
          <w:rtl/>
        </w:rPr>
      </w:pPr>
      <w:r>
        <w:rPr>
          <w:rFonts w:hint="cs"/>
          <w:rtl/>
        </w:rPr>
        <w:t>כך שזה כמעט מבואר מעצמו שמה שמכוון הוא הטבע של המינים</w:t>
      </w:r>
      <w:r w:rsidR="00B21327">
        <w:rPr>
          <w:rFonts w:hint="cs"/>
          <w:rtl/>
        </w:rPr>
        <w:t xml:space="preserve">, בכוונה </w:t>
      </w:r>
      <w:r w:rsidR="00C97849">
        <w:rPr>
          <w:rFonts w:hint="cs"/>
          <w:rtl/>
        </w:rPr>
        <w:t>שזה יהיה סיבה לקיומם של מקצת יחידים, גם אם לא מקצת יחידים מסוימים</w:t>
      </w:r>
      <w:r w:rsidR="004F1139">
        <w:rPr>
          <w:rStyle w:val="FootnoteReference"/>
          <w:rtl/>
        </w:rPr>
        <w:footnoteReference w:id="33"/>
      </w:r>
      <w:r w:rsidR="00C97849">
        <w:rPr>
          <w:rFonts w:hint="cs"/>
          <w:rtl/>
        </w:rPr>
        <w:t xml:space="preserve">. </w:t>
      </w:r>
      <w:r w:rsidR="0087171D">
        <w:rPr>
          <w:rFonts w:hint="cs"/>
          <w:rtl/>
        </w:rPr>
        <w:t>במילים אחרות מה שמכוון הוא ההשלמה והתכלית הכללית. זהו מה ש</w:t>
      </w:r>
      <w:r w:rsidR="006E0580">
        <w:rPr>
          <w:rFonts w:hint="cs"/>
          <w:rtl/>
        </w:rPr>
        <w:t>נוד</w:t>
      </w:r>
      <w:r w:rsidR="0087171D">
        <w:rPr>
          <w:rFonts w:hint="cs"/>
          <w:rtl/>
        </w:rPr>
        <w:t>ע יותר מצד הטבע, אע"פ שאינו קודם בטבע</w:t>
      </w:r>
      <w:r w:rsidR="00FE081F">
        <w:rPr>
          <w:rFonts w:hint="cs"/>
          <w:rtl/>
        </w:rPr>
        <w:t>,</w:t>
      </w:r>
      <w:r w:rsidR="0087171D">
        <w:rPr>
          <w:rFonts w:hint="cs"/>
          <w:rtl/>
        </w:rPr>
        <w:t xml:space="preserve"> אם ב'קודם' אנו מתכוונים למה </w:t>
      </w:r>
      <w:r w:rsidR="004F1139">
        <w:rPr>
          <w:rFonts w:hint="cs"/>
          <w:rtl/>
        </w:rPr>
        <w:t>שנאמר</w:t>
      </w:r>
      <w:r w:rsidR="0087171D">
        <w:rPr>
          <w:rFonts w:hint="cs"/>
          <w:rtl/>
        </w:rPr>
        <w:t xml:space="preserve"> בקטגוריות</w:t>
      </w:r>
      <w:r w:rsidR="00CD3595">
        <w:rPr>
          <w:rStyle w:val="FootnoteReference"/>
          <w:rtl/>
        </w:rPr>
        <w:footnoteReference w:id="34"/>
      </w:r>
      <w:r w:rsidR="0087171D">
        <w:rPr>
          <w:rFonts w:hint="cs"/>
          <w:rtl/>
        </w:rPr>
        <w:t xml:space="preserve"> ואיננו מתכוונים לתכלית</w:t>
      </w:r>
      <w:r w:rsidR="004F1139">
        <w:rPr>
          <w:rFonts w:hint="cs"/>
          <w:rtl/>
        </w:rPr>
        <w:t>.</w:t>
      </w:r>
      <w:r w:rsidR="00C97849">
        <w:rPr>
          <w:rFonts w:hint="cs"/>
          <w:rtl/>
        </w:rPr>
        <w:t xml:space="preserve"> </w:t>
      </w:r>
      <w:r w:rsidR="00927946">
        <w:rPr>
          <w:rFonts w:hint="cs"/>
          <w:rtl/>
        </w:rPr>
        <w:t xml:space="preserve"> </w:t>
      </w:r>
      <w:r w:rsidR="00AC64A8">
        <w:rPr>
          <w:rFonts w:hint="cs"/>
          <w:rtl/>
        </w:rPr>
        <w:t xml:space="preserve">   </w:t>
      </w:r>
    </w:p>
    <w:p w14:paraId="3D9FFE63" w14:textId="02ACE8DC" w:rsidR="002E0819" w:rsidRDefault="00F8752D" w:rsidP="003266A1">
      <w:pPr>
        <w:pStyle w:val="Heading4"/>
        <w:rPr>
          <w:rtl/>
        </w:rPr>
      </w:pPr>
      <w:bookmarkStart w:id="26" w:name="_Toc119092591"/>
      <w:r>
        <w:rPr>
          <w:rFonts w:hint="cs"/>
          <w:rtl/>
        </w:rPr>
        <w:t>1.1.</w:t>
      </w:r>
      <w:r w:rsidR="002E0819" w:rsidRPr="00BD17D5">
        <w:rPr>
          <w:rStyle w:val="Heading4Char"/>
          <w:rFonts w:hint="cs"/>
          <w:rtl/>
        </w:rPr>
        <w:t>5</w:t>
      </w:r>
      <w:bookmarkEnd w:id="26"/>
    </w:p>
    <w:p w14:paraId="129CEF3C" w14:textId="4366771C" w:rsidR="00BD17D5" w:rsidRDefault="00D51D50" w:rsidP="008B5C3B">
      <w:pPr>
        <w:rPr>
          <w:rtl/>
        </w:rPr>
      </w:pPr>
      <w:r>
        <w:rPr>
          <w:rFonts w:hint="cs"/>
          <w:rtl/>
        </w:rPr>
        <w:t>ובכן</w:t>
      </w:r>
      <w:r w:rsidR="005A7486">
        <w:rPr>
          <w:rFonts w:hint="cs"/>
          <w:rtl/>
        </w:rPr>
        <w:t xml:space="preserve">, כל האנשים שווים בידיעת </w:t>
      </w:r>
      <w:proofErr w:type="spellStart"/>
      <w:r w:rsidR="005A7486">
        <w:rPr>
          <w:rFonts w:hint="cs"/>
          <w:rtl/>
        </w:rPr>
        <w:t>הטבעים</w:t>
      </w:r>
      <w:proofErr w:type="spellEnd"/>
      <w:r w:rsidR="005A7486">
        <w:rPr>
          <w:rFonts w:hint="cs"/>
          <w:rtl/>
        </w:rPr>
        <w:t xml:space="preserve"> המשותפים הכ</w:t>
      </w:r>
      <w:r w:rsidR="009D14BC">
        <w:rPr>
          <w:rFonts w:hint="cs"/>
          <w:rtl/>
        </w:rPr>
        <w:t>ללי</w:t>
      </w:r>
      <w:r w:rsidR="00077976">
        <w:rPr>
          <w:rFonts w:hint="cs"/>
          <w:rtl/>
        </w:rPr>
        <w:t>י</w:t>
      </w:r>
      <w:r w:rsidR="005A7486">
        <w:rPr>
          <w:rFonts w:hint="cs"/>
          <w:rtl/>
        </w:rPr>
        <w:t>ם</w:t>
      </w:r>
      <w:r w:rsidR="009D14BC">
        <w:rPr>
          <w:rStyle w:val="FootnoteReference"/>
          <w:rtl/>
        </w:rPr>
        <w:footnoteReference w:id="35"/>
      </w:r>
      <w:r>
        <w:rPr>
          <w:rFonts w:hint="cs"/>
          <w:rtl/>
        </w:rPr>
        <w:t>, כ</w:t>
      </w:r>
      <w:r w:rsidR="00AA6E78">
        <w:rPr>
          <w:rFonts w:hint="cs"/>
          <w:rtl/>
        </w:rPr>
        <w:t>ש</w:t>
      </w:r>
      <w:r>
        <w:rPr>
          <w:rFonts w:hint="cs"/>
          <w:rtl/>
        </w:rPr>
        <w:t>הם נבדלים רק ב</w:t>
      </w:r>
      <w:r w:rsidR="00AA6E78">
        <w:rPr>
          <w:rFonts w:hint="cs"/>
          <w:rtl/>
        </w:rPr>
        <w:t>כך</w:t>
      </w:r>
      <w:r>
        <w:rPr>
          <w:rFonts w:hint="cs"/>
          <w:rtl/>
        </w:rPr>
        <w:t xml:space="preserve"> שמקצת האנשים יודעים ומשיגים א</w:t>
      </w:r>
      <w:r w:rsidR="00AA6E78">
        <w:rPr>
          <w:rFonts w:hint="cs"/>
          <w:rtl/>
        </w:rPr>
        <w:t>ת</w:t>
      </w:r>
      <w:r>
        <w:rPr>
          <w:rFonts w:hint="cs"/>
          <w:rtl/>
        </w:rPr>
        <w:t xml:space="preserve"> הדברים </w:t>
      </w:r>
      <w:r w:rsidR="00AA6E78">
        <w:rPr>
          <w:rFonts w:hint="cs"/>
          <w:rtl/>
        </w:rPr>
        <w:t>המסוימי</w:t>
      </w:r>
      <w:r w:rsidR="009D14BC">
        <w:rPr>
          <w:rFonts w:hint="cs"/>
          <w:rtl/>
        </w:rPr>
        <w:t>ם</w:t>
      </w:r>
      <w:r w:rsidR="009D14BC">
        <w:rPr>
          <w:rStyle w:val="FootnoteReference"/>
          <w:rtl/>
        </w:rPr>
        <w:footnoteReference w:id="36"/>
      </w:r>
      <w:r w:rsidR="00AA6E78">
        <w:rPr>
          <w:rFonts w:hint="cs"/>
          <w:rtl/>
        </w:rPr>
        <w:t xml:space="preserve"> ומגיעים להבחנות, </w:t>
      </w:r>
      <w:r w:rsidR="00C74EBB">
        <w:rPr>
          <w:rFonts w:hint="cs"/>
          <w:rtl/>
        </w:rPr>
        <w:t xml:space="preserve">כאשר </w:t>
      </w:r>
      <w:r w:rsidR="00AA6E78">
        <w:rPr>
          <w:rFonts w:hint="cs"/>
          <w:rtl/>
        </w:rPr>
        <w:t>אחרים נשארים רק עם הדברים הכלל</w:t>
      </w:r>
      <w:r w:rsidR="009D14BC">
        <w:rPr>
          <w:rFonts w:hint="cs"/>
          <w:rtl/>
        </w:rPr>
        <w:t>י</w:t>
      </w:r>
      <w:r w:rsidR="00AA6E78">
        <w:rPr>
          <w:rFonts w:hint="cs"/>
          <w:rtl/>
        </w:rPr>
        <w:t xml:space="preserve">ים. כך למשל </w:t>
      </w:r>
      <w:r w:rsidR="00C74EBB">
        <w:rPr>
          <w:rFonts w:hint="cs"/>
          <w:rtl/>
        </w:rPr>
        <w:t>יש שיודעים רק את ה'חי'</w:t>
      </w:r>
      <w:r w:rsidR="009D14BC">
        <w:rPr>
          <w:rStyle w:val="FootnoteReference"/>
          <w:rtl/>
        </w:rPr>
        <w:footnoteReference w:id="37"/>
      </w:r>
      <w:r w:rsidR="00C74EBB">
        <w:rPr>
          <w:rFonts w:hint="cs"/>
          <w:rtl/>
        </w:rPr>
        <w:t>, כאשר אחרים יודעים את ה</w:t>
      </w:r>
      <w:r w:rsidR="00341336">
        <w:rPr>
          <w:rFonts w:hint="cs"/>
          <w:rtl/>
        </w:rPr>
        <w:t xml:space="preserve">'אנושיות' </w:t>
      </w:r>
      <w:proofErr w:type="spellStart"/>
      <w:r w:rsidR="00341336">
        <w:rPr>
          <w:rFonts w:hint="cs"/>
          <w:rtl/>
        </w:rPr>
        <w:t>ו'הסוסיות</w:t>
      </w:r>
      <w:proofErr w:type="spellEnd"/>
      <w:r w:rsidR="00341336">
        <w:rPr>
          <w:rFonts w:hint="cs"/>
          <w:rtl/>
        </w:rPr>
        <w:t>'</w:t>
      </w:r>
      <w:r w:rsidR="00963E7F">
        <w:rPr>
          <w:rStyle w:val="FootnoteReference"/>
          <w:rtl/>
        </w:rPr>
        <w:footnoteReference w:id="38"/>
      </w:r>
      <w:r w:rsidR="00341336">
        <w:rPr>
          <w:rFonts w:hint="cs"/>
          <w:rtl/>
        </w:rPr>
        <w:t xml:space="preserve">. כאשר הידיעה משיגה את </w:t>
      </w:r>
      <w:proofErr w:type="spellStart"/>
      <w:r w:rsidR="00341336">
        <w:rPr>
          <w:rFonts w:hint="cs"/>
          <w:rtl/>
        </w:rPr>
        <w:t>הטבעים</w:t>
      </w:r>
      <w:proofErr w:type="spellEnd"/>
      <w:r w:rsidR="00341336">
        <w:rPr>
          <w:rFonts w:hint="cs"/>
          <w:rtl/>
        </w:rPr>
        <w:t xml:space="preserve"> המסוימים </w:t>
      </w:r>
      <w:r w:rsidR="00235948">
        <w:rPr>
          <w:rFonts w:hint="cs"/>
          <w:rtl/>
        </w:rPr>
        <w:t>ומה שמקרי להם</w:t>
      </w:r>
      <w:r w:rsidR="00B465AA">
        <w:rPr>
          <w:rStyle w:val="FootnoteReference"/>
          <w:rtl/>
        </w:rPr>
        <w:footnoteReference w:id="39"/>
      </w:r>
      <w:r w:rsidR="00235948">
        <w:rPr>
          <w:rFonts w:hint="cs"/>
          <w:rtl/>
        </w:rPr>
        <w:t xml:space="preserve">, החקירה מסתיימת ולא נמשכת בהשגת ידיעה חולפת של יחידים </w:t>
      </w:r>
      <w:r w:rsidR="00473EE1">
        <w:rPr>
          <w:rFonts w:hint="cs"/>
          <w:rtl/>
        </w:rPr>
        <w:t>שאינה עניין לשכל</w:t>
      </w:r>
      <w:r w:rsidR="00D74ED6">
        <w:rPr>
          <w:rStyle w:val="FootnoteReference"/>
          <w:rtl/>
        </w:rPr>
        <w:footnoteReference w:id="40"/>
      </w:r>
      <w:r w:rsidR="00235948">
        <w:rPr>
          <w:rFonts w:hint="cs"/>
          <w:rtl/>
        </w:rPr>
        <w:t>.</w:t>
      </w:r>
    </w:p>
    <w:p w14:paraId="7B80973C" w14:textId="747807E6" w:rsidR="00473EE1" w:rsidRDefault="00F8752D" w:rsidP="003266A1">
      <w:pPr>
        <w:pStyle w:val="Heading4"/>
        <w:rPr>
          <w:rtl/>
        </w:rPr>
      </w:pPr>
      <w:bookmarkStart w:id="27" w:name="_Toc119092592"/>
      <w:r>
        <w:rPr>
          <w:rFonts w:hint="cs"/>
          <w:rtl/>
        </w:rPr>
        <w:t>1.1.</w:t>
      </w:r>
      <w:r w:rsidR="00473EE1">
        <w:rPr>
          <w:rFonts w:hint="cs"/>
          <w:rtl/>
        </w:rPr>
        <w:t>6</w:t>
      </w:r>
      <w:bookmarkEnd w:id="27"/>
    </w:p>
    <w:p w14:paraId="540F7C2A" w14:textId="492E903B" w:rsidR="00E57839" w:rsidRDefault="00473EE1" w:rsidP="000846C4">
      <w:pPr>
        <w:rPr>
          <w:rtl/>
        </w:rPr>
      </w:pPr>
      <w:r>
        <w:rPr>
          <w:rFonts w:hint="cs"/>
          <w:rtl/>
        </w:rPr>
        <w:t xml:space="preserve">ברור, אם כן, שכשאנו </w:t>
      </w:r>
      <w:r w:rsidR="0058345A">
        <w:rPr>
          <w:rFonts w:hint="cs"/>
          <w:rtl/>
        </w:rPr>
        <w:t>עורכים את</w:t>
      </w:r>
      <w:r>
        <w:rPr>
          <w:rFonts w:hint="cs"/>
          <w:rtl/>
        </w:rPr>
        <w:t xml:space="preserve"> </w:t>
      </w:r>
      <w:r w:rsidR="0058345A">
        <w:rPr>
          <w:rFonts w:hint="cs"/>
          <w:rtl/>
        </w:rPr>
        <w:t>ה</w:t>
      </w:r>
      <w:r w:rsidR="0086557E">
        <w:rPr>
          <w:rFonts w:hint="cs"/>
          <w:rtl/>
        </w:rPr>
        <w:t xml:space="preserve">דברים </w:t>
      </w:r>
      <w:r w:rsidR="0058345A">
        <w:rPr>
          <w:rFonts w:hint="cs"/>
          <w:rtl/>
        </w:rPr>
        <w:t>ה</w:t>
      </w:r>
      <w:r w:rsidR="0086557E">
        <w:rPr>
          <w:rFonts w:hint="cs"/>
          <w:rtl/>
        </w:rPr>
        <w:t>כללים</w:t>
      </w:r>
      <w:r w:rsidR="00D74ED6">
        <w:rPr>
          <w:rStyle w:val="FootnoteReference"/>
          <w:rtl/>
        </w:rPr>
        <w:footnoteReference w:id="41"/>
      </w:r>
      <w:r w:rsidR="0086557E">
        <w:rPr>
          <w:rFonts w:hint="cs"/>
          <w:rtl/>
        </w:rPr>
        <w:t xml:space="preserve"> ו</w:t>
      </w:r>
      <w:r w:rsidR="00E57839">
        <w:rPr>
          <w:rFonts w:hint="cs"/>
          <w:rtl/>
        </w:rPr>
        <w:t xml:space="preserve">את הדברים </w:t>
      </w:r>
      <w:r w:rsidR="0058345A">
        <w:rPr>
          <w:rFonts w:hint="cs"/>
          <w:rtl/>
        </w:rPr>
        <w:t>ה</w:t>
      </w:r>
      <w:r w:rsidR="0086557E">
        <w:rPr>
          <w:rFonts w:hint="cs"/>
          <w:rtl/>
        </w:rPr>
        <w:t>מסוימים</w:t>
      </w:r>
      <w:r w:rsidR="00D74ED6">
        <w:rPr>
          <w:rStyle w:val="FootnoteReference"/>
          <w:rtl/>
        </w:rPr>
        <w:footnoteReference w:id="42"/>
      </w:r>
      <w:r w:rsidR="0086557E">
        <w:rPr>
          <w:rFonts w:hint="cs"/>
          <w:rtl/>
        </w:rPr>
        <w:t xml:space="preserve">, ומשווים </w:t>
      </w:r>
      <w:r w:rsidR="0039469D">
        <w:rPr>
          <w:rFonts w:hint="cs"/>
          <w:rtl/>
        </w:rPr>
        <w:t>ביניהם</w:t>
      </w:r>
      <w:r w:rsidR="0086557E">
        <w:rPr>
          <w:rFonts w:hint="cs"/>
          <w:rtl/>
        </w:rPr>
        <w:t xml:space="preserve"> </w:t>
      </w:r>
      <w:r w:rsidR="002341FC">
        <w:rPr>
          <w:rFonts w:hint="cs"/>
          <w:rtl/>
        </w:rPr>
        <w:t xml:space="preserve">מצד </w:t>
      </w:r>
      <w:r w:rsidR="0086557E">
        <w:rPr>
          <w:rFonts w:hint="cs"/>
          <w:rtl/>
        </w:rPr>
        <w:t xml:space="preserve">מה </w:t>
      </w:r>
      <w:r w:rsidR="00DD5E46">
        <w:rPr>
          <w:rFonts w:hint="cs"/>
          <w:rtl/>
        </w:rPr>
        <w:t>שנודע</w:t>
      </w:r>
      <w:r w:rsidR="0086557E">
        <w:rPr>
          <w:rFonts w:hint="cs"/>
          <w:rtl/>
        </w:rPr>
        <w:t xml:space="preserve"> יותר </w:t>
      </w:r>
      <w:r w:rsidR="00E57839">
        <w:rPr>
          <w:rFonts w:hint="cs"/>
          <w:rtl/>
        </w:rPr>
        <w:t>ל</w:t>
      </w:r>
      <w:r w:rsidR="0086557E">
        <w:rPr>
          <w:rFonts w:hint="cs"/>
          <w:rtl/>
        </w:rPr>
        <w:t>שכל</w:t>
      </w:r>
      <w:r w:rsidR="0058345A">
        <w:rPr>
          <w:rFonts w:hint="cs"/>
          <w:rtl/>
        </w:rPr>
        <w:t>,</w:t>
      </w:r>
      <w:r w:rsidR="0086557E">
        <w:rPr>
          <w:rFonts w:hint="cs"/>
          <w:rtl/>
        </w:rPr>
        <w:t xml:space="preserve"> אנו מוצאים ש</w:t>
      </w:r>
      <w:r w:rsidR="00D74ED6">
        <w:rPr>
          <w:rFonts w:hint="cs"/>
          <w:rtl/>
        </w:rPr>
        <w:t>ה</w:t>
      </w:r>
      <w:r w:rsidR="0086557E">
        <w:rPr>
          <w:rFonts w:hint="cs"/>
          <w:rtl/>
        </w:rPr>
        <w:t xml:space="preserve">דברים </w:t>
      </w:r>
      <w:r w:rsidR="00D74ED6">
        <w:rPr>
          <w:rFonts w:hint="cs"/>
          <w:rtl/>
        </w:rPr>
        <w:t>הכלליים</w:t>
      </w:r>
      <w:r w:rsidR="0086557E">
        <w:rPr>
          <w:rFonts w:hint="cs"/>
          <w:rtl/>
        </w:rPr>
        <w:t xml:space="preserve"> </w:t>
      </w:r>
      <w:r w:rsidR="00DD5E46">
        <w:rPr>
          <w:rFonts w:hint="cs"/>
          <w:rtl/>
        </w:rPr>
        <w:t>נודע</w:t>
      </w:r>
      <w:r w:rsidR="0086557E">
        <w:rPr>
          <w:rFonts w:hint="cs"/>
          <w:rtl/>
        </w:rPr>
        <w:t xml:space="preserve">ים יותר </w:t>
      </w:r>
      <w:r w:rsidR="00E57839">
        <w:rPr>
          <w:rFonts w:hint="cs"/>
          <w:rtl/>
        </w:rPr>
        <w:t>ל</w:t>
      </w:r>
      <w:r w:rsidR="0086557E">
        <w:rPr>
          <w:rFonts w:hint="cs"/>
          <w:rtl/>
        </w:rPr>
        <w:t>שכל</w:t>
      </w:r>
      <w:r w:rsidR="0086557E">
        <w:rPr>
          <w:rStyle w:val="FootnoteReference"/>
          <w:rtl/>
        </w:rPr>
        <w:footnoteReference w:id="43"/>
      </w:r>
      <w:r w:rsidR="0086557E">
        <w:rPr>
          <w:rFonts w:hint="cs"/>
          <w:rtl/>
        </w:rPr>
        <w:t xml:space="preserve">. </w:t>
      </w:r>
    </w:p>
    <w:p w14:paraId="00F9D70B" w14:textId="1A5FF630" w:rsidR="00B77DD1" w:rsidRDefault="00E57839" w:rsidP="003B72EC">
      <w:pPr>
        <w:rPr>
          <w:rtl/>
        </w:rPr>
      </w:pPr>
      <w:r>
        <w:rPr>
          <w:rFonts w:hint="cs"/>
          <w:rtl/>
        </w:rPr>
        <w:t xml:space="preserve">כאשר, מצד שני, אנו משווים </w:t>
      </w:r>
      <w:r w:rsidR="00D65A26">
        <w:rPr>
          <w:rFonts w:hint="cs"/>
          <w:rtl/>
        </w:rPr>
        <w:t>ביניהם</w:t>
      </w:r>
      <w:r w:rsidR="00BD6817">
        <w:rPr>
          <w:rFonts w:hint="cs"/>
          <w:rtl/>
        </w:rPr>
        <w:t xml:space="preserve"> </w:t>
      </w:r>
      <w:r w:rsidR="002341FC">
        <w:rPr>
          <w:rFonts w:hint="cs"/>
          <w:rtl/>
        </w:rPr>
        <w:t xml:space="preserve">מצד </w:t>
      </w:r>
      <w:r w:rsidR="00BD6817">
        <w:rPr>
          <w:rFonts w:hint="cs"/>
          <w:rtl/>
        </w:rPr>
        <w:t>סדר ההוויה</w:t>
      </w:r>
      <w:r w:rsidR="003B72EC">
        <w:rPr>
          <w:rFonts w:hint="cs"/>
          <w:rtl/>
        </w:rPr>
        <w:t xml:space="preserve"> ומה שמכוון בכלל</w:t>
      </w:r>
      <w:r w:rsidR="00B77DD1">
        <w:rPr>
          <w:rFonts w:hint="cs"/>
          <w:rtl/>
        </w:rPr>
        <w:t>יות</w:t>
      </w:r>
      <w:r w:rsidR="003B72EC">
        <w:rPr>
          <w:rFonts w:hint="cs"/>
          <w:rtl/>
        </w:rPr>
        <w:t xml:space="preserve"> הטבע, </w:t>
      </w:r>
      <w:r w:rsidR="006619F4">
        <w:rPr>
          <w:rFonts w:hint="cs"/>
          <w:rtl/>
        </w:rPr>
        <w:t>אנו מוצאים ש</w:t>
      </w:r>
      <w:r w:rsidR="0039469D">
        <w:rPr>
          <w:rFonts w:hint="cs"/>
          <w:rtl/>
        </w:rPr>
        <w:t>ה</w:t>
      </w:r>
      <w:r w:rsidR="006619F4">
        <w:rPr>
          <w:rFonts w:hint="cs"/>
          <w:rtl/>
        </w:rPr>
        <w:t xml:space="preserve">דברים </w:t>
      </w:r>
      <w:r w:rsidR="0039469D">
        <w:rPr>
          <w:rFonts w:hint="cs"/>
          <w:rtl/>
        </w:rPr>
        <w:t>ה</w:t>
      </w:r>
      <w:r w:rsidR="006619F4">
        <w:rPr>
          <w:rFonts w:hint="cs"/>
          <w:rtl/>
        </w:rPr>
        <w:t xml:space="preserve">מסוימים </w:t>
      </w:r>
      <w:r w:rsidR="00DD5E46">
        <w:rPr>
          <w:rFonts w:hint="cs"/>
          <w:rtl/>
        </w:rPr>
        <w:t>נוד</w:t>
      </w:r>
      <w:r w:rsidR="006619F4">
        <w:rPr>
          <w:rFonts w:hint="cs"/>
          <w:rtl/>
        </w:rPr>
        <w:t xml:space="preserve">עים יותר </w:t>
      </w:r>
      <w:r w:rsidR="0039469D">
        <w:rPr>
          <w:rFonts w:hint="cs"/>
          <w:rtl/>
        </w:rPr>
        <w:t>מצד</w:t>
      </w:r>
      <w:r w:rsidR="006619F4">
        <w:rPr>
          <w:rFonts w:hint="cs"/>
          <w:rtl/>
        </w:rPr>
        <w:t xml:space="preserve"> הטבע.</w:t>
      </w:r>
    </w:p>
    <w:p w14:paraId="06AB7A72" w14:textId="3287E1B6" w:rsidR="006F1A3D" w:rsidRDefault="00B77DD1" w:rsidP="003B72EC">
      <w:pPr>
        <w:rPr>
          <w:rtl/>
        </w:rPr>
      </w:pPr>
      <w:r>
        <w:rPr>
          <w:rFonts w:hint="cs"/>
          <w:rtl/>
        </w:rPr>
        <w:t xml:space="preserve">כשאנו </w:t>
      </w:r>
      <w:r w:rsidR="006007B5">
        <w:rPr>
          <w:rFonts w:hint="cs"/>
          <w:rtl/>
        </w:rPr>
        <w:t>עורכים</w:t>
      </w:r>
      <w:r>
        <w:rPr>
          <w:rFonts w:hint="cs"/>
          <w:rtl/>
        </w:rPr>
        <w:t xml:space="preserve"> את ה</w:t>
      </w:r>
      <w:r w:rsidR="0039469D">
        <w:rPr>
          <w:rFonts w:hint="cs"/>
          <w:rtl/>
        </w:rPr>
        <w:t>יחידי</w:t>
      </w:r>
      <w:r>
        <w:rPr>
          <w:rFonts w:hint="cs"/>
          <w:rtl/>
        </w:rPr>
        <w:t xml:space="preserve">ם המוחשיים עם הדברים </w:t>
      </w:r>
      <w:r w:rsidR="009C463A">
        <w:rPr>
          <w:rFonts w:hint="cs"/>
          <w:rtl/>
        </w:rPr>
        <w:t>המסוימים</w:t>
      </w:r>
      <w:r w:rsidR="00D65A26">
        <w:rPr>
          <w:rStyle w:val="FootnoteReference"/>
          <w:rtl/>
        </w:rPr>
        <w:footnoteReference w:id="44"/>
      </w:r>
      <w:r w:rsidR="003B72EC">
        <w:rPr>
          <w:rFonts w:hint="cs"/>
          <w:rtl/>
        </w:rPr>
        <w:t xml:space="preserve"> </w:t>
      </w:r>
      <w:r w:rsidR="006007B5">
        <w:rPr>
          <w:rFonts w:hint="cs"/>
          <w:rtl/>
        </w:rPr>
        <w:t>ומשווים את שניהם לשכל, אנו מוצאים ש</w:t>
      </w:r>
      <w:r w:rsidR="00AA5AF3">
        <w:rPr>
          <w:rFonts w:hint="cs"/>
          <w:rtl/>
        </w:rPr>
        <w:t xml:space="preserve">היחידים המוחשיים יש להם בחינה של קדימה או </w:t>
      </w:r>
      <w:r w:rsidR="009F6E5B">
        <w:rPr>
          <w:rFonts w:hint="cs"/>
          <w:rtl/>
        </w:rPr>
        <w:t>איחור בשכל</w:t>
      </w:r>
      <w:r w:rsidR="009F6E5B">
        <w:rPr>
          <w:rStyle w:val="FootnoteReference"/>
          <w:rtl/>
        </w:rPr>
        <w:footnoteReference w:id="45"/>
      </w:r>
      <w:r w:rsidR="009F6E5B">
        <w:rPr>
          <w:rFonts w:hint="cs"/>
          <w:rtl/>
        </w:rPr>
        <w:t xml:space="preserve"> רק אם אנו כוללים את </w:t>
      </w:r>
      <w:r w:rsidR="00690B29">
        <w:rPr>
          <w:rFonts w:hint="cs"/>
          <w:rtl/>
        </w:rPr>
        <w:t>החוש הפנימי</w:t>
      </w:r>
      <w:r w:rsidR="009F6E5B">
        <w:rPr>
          <w:rStyle w:val="FootnoteReference"/>
          <w:rtl/>
        </w:rPr>
        <w:footnoteReference w:id="46"/>
      </w:r>
      <w:r w:rsidR="009F6E5B">
        <w:rPr>
          <w:rFonts w:hint="cs"/>
          <w:rtl/>
        </w:rPr>
        <w:t xml:space="preserve">. </w:t>
      </w:r>
      <w:r w:rsidR="00AF2FAD">
        <w:rPr>
          <w:rFonts w:hint="cs"/>
          <w:rtl/>
        </w:rPr>
        <w:t>במקרה זה, א</w:t>
      </w:r>
      <w:r w:rsidR="00792039">
        <w:rPr>
          <w:rFonts w:hint="cs"/>
          <w:rtl/>
        </w:rPr>
        <w:t>פוא</w:t>
      </w:r>
      <w:r w:rsidR="00AF2FAD">
        <w:rPr>
          <w:rFonts w:hint="cs"/>
          <w:rtl/>
        </w:rPr>
        <w:t>, היחידים</w:t>
      </w:r>
      <w:r w:rsidR="00792039">
        <w:rPr>
          <w:rStyle w:val="FootnoteReference"/>
          <w:rtl/>
        </w:rPr>
        <w:footnoteReference w:id="47"/>
      </w:r>
      <w:r w:rsidR="00AF2FAD">
        <w:rPr>
          <w:rFonts w:hint="cs"/>
          <w:rtl/>
        </w:rPr>
        <w:t xml:space="preserve"> </w:t>
      </w:r>
      <w:r w:rsidR="00DD5E46">
        <w:rPr>
          <w:rFonts w:hint="cs"/>
          <w:rtl/>
        </w:rPr>
        <w:t>נוד</w:t>
      </w:r>
      <w:r w:rsidR="00AF2FAD">
        <w:rPr>
          <w:rFonts w:hint="cs"/>
          <w:rtl/>
        </w:rPr>
        <w:t xml:space="preserve">עים </w:t>
      </w:r>
      <w:r w:rsidR="00792039">
        <w:rPr>
          <w:rFonts w:hint="cs"/>
          <w:rtl/>
        </w:rPr>
        <w:t>לנו</w:t>
      </w:r>
      <w:r w:rsidR="00F92AC6">
        <w:rPr>
          <w:rFonts w:hint="cs"/>
          <w:rtl/>
        </w:rPr>
        <w:t xml:space="preserve"> יותר</w:t>
      </w:r>
      <w:r w:rsidR="00792039">
        <w:rPr>
          <w:rFonts w:hint="cs"/>
          <w:rtl/>
        </w:rPr>
        <w:t xml:space="preserve"> מאשר הכוללים</w:t>
      </w:r>
      <w:r w:rsidR="007449B7">
        <w:rPr>
          <w:rStyle w:val="FootnoteReference"/>
          <w:rtl/>
        </w:rPr>
        <w:footnoteReference w:id="48"/>
      </w:r>
      <w:r w:rsidR="00792039">
        <w:rPr>
          <w:rFonts w:hint="cs"/>
          <w:rtl/>
        </w:rPr>
        <w:t>,</w:t>
      </w:r>
      <w:r w:rsidR="00BD6817">
        <w:rPr>
          <w:rFonts w:hint="cs"/>
          <w:rtl/>
        </w:rPr>
        <w:t xml:space="preserve"> </w:t>
      </w:r>
      <w:r w:rsidR="007449B7">
        <w:rPr>
          <w:rFonts w:hint="cs"/>
          <w:rtl/>
        </w:rPr>
        <w:t>כי היחידים רושמם מוטבע בחוש הפנימי</w:t>
      </w:r>
      <w:r w:rsidR="00BC247B">
        <w:rPr>
          <w:rFonts w:hint="cs"/>
          <w:rtl/>
        </w:rPr>
        <w:t xml:space="preserve"> ובעקבות זאת </w:t>
      </w:r>
      <w:r w:rsidR="00AD29A2">
        <w:rPr>
          <w:rFonts w:hint="cs"/>
          <w:rtl/>
        </w:rPr>
        <w:t>השכל לומד משם</w:t>
      </w:r>
      <w:r w:rsidR="00667A76">
        <w:rPr>
          <w:rFonts w:hint="cs"/>
          <w:rtl/>
        </w:rPr>
        <w:t xml:space="preserve"> אילו דברים משותפים באופן כללי ואילו לא</w:t>
      </w:r>
      <w:r w:rsidR="00667A76">
        <w:rPr>
          <w:rStyle w:val="FootnoteReference"/>
          <w:rtl/>
        </w:rPr>
        <w:footnoteReference w:id="49"/>
      </w:r>
      <w:r w:rsidR="008D4941">
        <w:rPr>
          <w:rFonts w:hint="cs"/>
          <w:rtl/>
        </w:rPr>
        <w:t xml:space="preserve">, וכך מפשיט את </w:t>
      </w:r>
      <w:proofErr w:type="spellStart"/>
      <w:r w:rsidR="008D4941">
        <w:rPr>
          <w:rFonts w:hint="cs"/>
          <w:rtl/>
        </w:rPr>
        <w:t>הטבעים</w:t>
      </w:r>
      <w:proofErr w:type="spellEnd"/>
      <w:r w:rsidR="008D4941">
        <w:rPr>
          <w:rFonts w:hint="cs"/>
          <w:rtl/>
        </w:rPr>
        <w:t xml:space="preserve"> של דברים שמשותפים במין</w:t>
      </w:r>
      <w:r w:rsidR="008D4941">
        <w:rPr>
          <w:rStyle w:val="FootnoteReference"/>
          <w:rtl/>
        </w:rPr>
        <w:footnoteReference w:id="50"/>
      </w:r>
      <w:r w:rsidR="008D4941">
        <w:rPr>
          <w:rFonts w:hint="cs"/>
          <w:rtl/>
        </w:rPr>
        <w:t>.</w:t>
      </w:r>
      <w:r w:rsidR="0086557E">
        <w:rPr>
          <w:rFonts w:hint="cs"/>
          <w:rtl/>
        </w:rPr>
        <w:t xml:space="preserve"> </w:t>
      </w:r>
    </w:p>
    <w:p w14:paraId="2C3B9334" w14:textId="6E743F3D" w:rsidR="001A7563" w:rsidRDefault="006F1A3D" w:rsidP="003B72EC">
      <w:pPr>
        <w:rPr>
          <w:rtl/>
        </w:rPr>
      </w:pPr>
      <w:r>
        <w:rPr>
          <w:rFonts w:hint="cs"/>
          <w:rtl/>
        </w:rPr>
        <w:t>כשאנו משווים את שניהם</w:t>
      </w:r>
      <w:r>
        <w:rPr>
          <w:rStyle w:val="FootnoteReference"/>
          <w:rtl/>
        </w:rPr>
        <w:footnoteReference w:id="51"/>
      </w:r>
      <w:r>
        <w:rPr>
          <w:rFonts w:hint="cs"/>
          <w:rtl/>
        </w:rPr>
        <w:t xml:space="preserve"> לטבע, אנו מוצאים </w:t>
      </w:r>
      <w:r w:rsidR="005A36CB">
        <w:rPr>
          <w:rFonts w:hint="cs"/>
          <w:rtl/>
        </w:rPr>
        <w:t>שהדבר שמשותף למין</w:t>
      </w:r>
      <w:r w:rsidR="005A36CB">
        <w:rPr>
          <w:rStyle w:val="FootnoteReference"/>
          <w:rtl/>
        </w:rPr>
        <w:footnoteReference w:id="52"/>
      </w:r>
      <w:r>
        <w:rPr>
          <w:rFonts w:hint="cs"/>
          <w:rtl/>
        </w:rPr>
        <w:t xml:space="preserve"> </w:t>
      </w:r>
      <w:r w:rsidR="00DD5E46">
        <w:rPr>
          <w:rFonts w:hint="cs"/>
          <w:rtl/>
        </w:rPr>
        <w:t>נודע</w:t>
      </w:r>
      <w:r w:rsidR="005A36CB">
        <w:rPr>
          <w:rFonts w:hint="cs"/>
          <w:rtl/>
        </w:rPr>
        <w:t xml:space="preserve"> יותר, אף על פי שהמ</w:t>
      </w:r>
      <w:r w:rsidR="001A7563">
        <w:rPr>
          <w:rFonts w:hint="cs"/>
          <w:rtl/>
        </w:rPr>
        <w:t>ציאות בפועל</w:t>
      </w:r>
      <w:r w:rsidR="00E34900">
        <w:rPr>
          <w:rFonts w:hint="cs"/>
          <w:rtl/>
        </w:rPr>
        <w:t xml:space="preserve"> </w:t>
      </w:r>
      <w:r w:rsidR="001A7563">
        <w:rPr>
          <w:rFonts w:hint="cs"/>
          <w:rtl/>
        </w:rPr>
        <w:t xml:space="preserve">שלו </w:t>
      </w:r>
      <w:r w:rsidR="005A36CB">
        <w:rPr>
          <w:rFonts w:hint="cs"/>
          <w:rtl/>
        </w:rPr>
        <w:t>מתחילה ביחידים הפרטיים</w:t>
      </w:r>
      <w:r w:rsidR="005A36CB">
        <w:rPr>
          <w:rStyle w:val="FootnoteReference"/>
          <w:rtl/>
        </w:rPr>
        <w:footnoteReference w:id="53"/>
      </w:r>
      <w:r w:rsidR="005A36CB">
        <w:rPr>
          <w:rFonts w:hint="cs"/>
          <w:rtl/>
        </w:rPr>
        <w:t xml:space="preserve">. </w:t>
      </w:r>
    </w:p>
    <w:p w14:paraId="248387D3" w14:textId="4BB50C7C" w:rsidR="00BD17D5" w:rsidRDefault="001A7563" w:rsidP="00AF63E4">
      <w:pPr>
        <w:rPr>
          <w:rtl/>
        </w:rPr>
      </w:pPr>
      <w:r>
        <w:rPr>
          <w:rFonts w:hint="cs"/>
          <w:rtl/>
        </w:rPr>
        <w:t xml:space="preserve">כך כוונת הטבע לגבי מציאותו של גוף היא בדיוק מה </w:t>
      </w:r>
      <w:r w:rsidR="002D1154">
        <w:rPr>
          <w:rFonts w:hint="cs"/>
          <w:rtl/>
        </w:rPr>
        <w:t xml:space="preserve">שנודע ממציאותו של אדם ומה שבכללות </w:t>
      </w:r>
      <w:r w:rsidR="000D4346">
        <w:rPr>
          <w:rFonts w:hint="cs"/>
          <w:rtl/>
        </w:rPr>
        <w:t xml:space="preserve">הוא </w:t>
      </w:r>
      <w:r w:rsidR="002D1154">
        <w:rPr>
          <w:rFonts w:hint="cs"/>
          <w:rtl/>
        </w:rPr>
        <w:t>כמוהו</w:t>
      </w:r>
      <w:r w:rsidR="002D1154">
        <w:rPr>
          <w:rStyle w:val="FootnoteReference"/>
          <w:rtl/>
        </w:rPr>
        <w:footnoteReference w:id="54"/>
      </w:r>
      <w:r w:rsidR="002D1154">
        <w:rPr>
          <w:rFonts w:hint="cs"/>
          <w:rtl/>
        </w:rPr>
        <w:t xml:space="preserve">. </w:t>
      </w:r>
      <w:r w:rsidR="000D4346">
        <w:rPr>
          <w:rFonts w:hint="cs"/>
          <w:rtl/>
        </w:rPr>
        <w:t>כמו כן, כוונתו לגבי הקיום של היחיד הפרטי המתהווה והנפסד היא שטבע המין יתקיים</w:t>
      </w:r>
      <w:r w:rsidR="00213D6C">
        <w:rPr>
          <w:rFonts w:hint="cs"/>
          <w:rtl/>
        </w:rPr>
        <w:t xml:space="preserve">; וכאשר אפשר להגיע לתכלית זו על ידי קיומו של יחיד אחד </w:t>
      </w:r>
      <w:r w:rsidR="00340D64">
        <w:rPr>
          <w:rFonts w:hint="cs"/>
          <w:rtl/>
        </w:rPr>
        <w:t>שהחומר</w:t>
      </w:r>
      <w:r w:rsidR="00213D6C">
        <w:rPr>
          <w:rFonts w:hint="cs"/>
          <w:rtl/>
        </w:rPr>
        <w:t xml:space="preserve"> שלו אינו מת</w:t>
      </w:r>
      <w:r w:rsidR="00340D64">
        <w:rPr>
          <w:rFonts w:hint="cs"/>
          <w:rtl/>
        </w:rPr>
        <w:t>ה</w:t>
      </w:r>
      <w:r w:rsidR="00213D6C">
        <w:rPr>
          <w:rFonts w:hint="cs"/>
          <w:rtl/>
        </w:rPr>
        <w:t xml:space="preserve">ווה ונפסד, </w:t>
      </w:r>
      <w:r w:rsidR="00340D64">
        <w:rPr>
          <w:rFonts w:hint="cs"/>
          <w:rtl/>
        </w:rPr>
        <w:t>כמו למשל השמש, הירח וכיוצא בהם, אז אין צורך ליחיד נוסף להשתייך למין</w:t>
      </w:r>
      <w:r w:rsidR="00340D64">
        <w:rPr>
          <w:rStyle w:val="FootnoteReference"/>
          <w:rtl/>
        </w:rPr>
        <w:footnoteReference w:id="55"/>
      </w:r>
      <w:r w:rsidR="00340D64">
        <w:rPr>
          <w:rFonts w:hint="cs"/>
          <w:rtl/>
        </w:rPr>
        <w:t>.</w:t>
      </w:r>
    </w:p>
    <w:p w14:paraId="4FADAB1A" w14:textId="1D5FC8E0" w:rsidR="00300CA3" w:rsidRDefault="00F8752D" w:rsidP="003266A1">
      <w:pPr>
        <w:pStyle w:val="Heading4"/>
        <w:rPr>
          <w:rtl/>
        </w:rPr>
      </w:pPr>
      <w:bookmarkStart w:id="43" w:name="_Toc119092593"/>
      <w:r>
        <w:rPr>
          <w:rFonts w:hint="cs"/>
          <w:rtl/>
        </w:rPr>
        <w:t>1.1.</w:t>
      </w:r>
      <w:r w:rsidR="00300CA3">
        <w:rPr>
          <w:rFonts w:hint="cs"/>
          <w:rtl/>
        </w:rPr>
        <w:t>7</w:t>
      </w:r>
      <w:bookmarkEnd w:id="43"/>
    </w:p>
    <w:p w14:paraId="24C798EB" w14:textId="495F0E0F" w:rsidR="00300CA3" w:rsidRDefault="00CE24B6" w:rsidP="00C41D04">
      <w:pPr>
        <w:rPr>
          <w:rtl/>
        </w:rPr>
      </w:pPr>
      <w:r>
        <w:rPr>
          <w:rFonts w:hint="cs"/>
          <w:rtl/>
        </w:rPr>
        <w:t xml:space="preserve">למרות שבהשגת </w:t>
      </w:r>
      <w:r w:rsidR="0012389B">
        <w:rPr>
          <w:rFonts w:hint="cs"/>
          <w:rtl/>
        </w:rPr>
        <w:t>ה</w:t>
      </w:r>
      <w:r>
        <w:rPr>
          <w:rFonts w:hint="cs"/>
          <w:rtl/>
        </w:rPr>
        <w:t>יחידים</w:t>
      </w:r>
      <w:r w:rsidR="008A420D">
        <w:rPr>
          <w:rStyle w:val="FootnoteReference"/>
          <w:rtl/>
        </w:rPr>
        <w:footnoteReference w:id="56"/>
      </w:r>
      <w:r>
        <w:rPr>
          <w:rFonts w:hint="cs"/>
          <w:rtl/>
        </w:rPr>
        <w:t xml:space="preserve"> החוש והדמיון </w:t>
      </w:r>
      <w:r w:rsidR="00B03C1F">
        <w:rPr>
          <w:rFonts w:hint="cs"/>
          <w:rtl/>
        </w:rPr>
        <w:t xml:space="preserve">מתחילים את החלק החשוב של השכלת הצורה, </w:t>
      </w:r>
      <w:r w:rsidR="008A420D">
        <w:rPr>
          <w:rFonts w:hint="cs"/>
          <w:rtl/>
        </w:rPr>
        <w:t xml:space="preserve">זה יותר כמו </w:t>
      </w:r>
      <w:r w:rsidR="00B331E3">
        <w:rPr>
          <w:rFonts w:hint="cs"/>
          <w:rtl/>
        </w:rPr>
        <w:t>תפישה</w:t>
      </w:r>
      <w:r w:rsidR="008A420D">
        <w:rPr>
          <w:rFonts w:hint="cs"/>
          <w:rtl/>
        </w:rPr>
        <w:t xml:space="preserve"> כללי</w:t>
      </w:r>
      <w:r w:rsidR="00B331E3">
        <w:rPr>
          <w:rFonts w:hint="cs"/>
          <w:rtl/>
        </w:rPr>
        <w:t>ת</w:t>
      </w:r>
      <w:r w:rsidR="008A420D">
        <w:rPr>
          <w:rFonts w:hint="cs"/>
          <w:rtl/>
        </w:rPr>
        <w:t xml:space="preserve"> עד שהם מגיעים להשגת היחיד </w:t>
      </w:r>
      <w:bookmarkStart w:id="44" w:name="_Hlk72224884"/>
      <w:r w:rsidR="008A420D">
        <w:rPr>
          <w:rFonts w:hint="cs"/>
          <w:rtl/>
        </w:rPr>
        <w:t>באופן מוחלט מכל צד</w:t>
      </w:r>
      <w:bookmarkEnd w:id="44"/>
      <w:r w:rsidR="00DB1D2B">
        <w:rPr>
          <w:rStyle w:val="FootnoteReference"/>
          <w:rtl/>
        </w:rPr>
        <w:footnoteReference w:id="57"/>
      </w:r>
      <w:r w:rsidR="008A420D">
        <w:rPr>
          <w:rFonts w:hint="cs"/>
          <w:rtl/>
        </w:rPr>
        <w:t xml:space="preserve">. </w:t>
      </w:r>
    </w:p>
    <w:p w14:paraId="793F2F24" w14:textId="77777777" w:rsidR="007E428D" w:rsidRDefault="006973F5" w:rsidP="00C41D04">
      <w:pPr>
        <w:rPr>
          <w:rtl/>
        </w:rPr>
      </w:pPr>
      <w:r>
        <w:rPr>
          <w:rFonts w:hint="cs"/>
          <w:rtl/>
        </w:rPr>
        <w:t xml:space="preserve">למשל </w:t>
      </w:r>
      <w:r w:rsidR="00B331E3">
        <w:rPr>
          <w:rFonts w:hint="cs"/>
          <w:rtl/>
        </w:rPr>
        <w:t xml:space="preserve">'גוף' הוא תפישה כללית במה שהוא שייך לו, כגוף, ואת זה יש להשיג באופן מפורט ואז הגוף </w:t>
      </w:r>
      <w:r w:rsidR="00F63DE7">
        <w:rPr>
          <w:rFonts w:hint="cs"/>
          <w:rtl/>
        </w:rPr>
        <w:t>ייתפש</w:t>
      </w:r>
      <w:r w:rsidR="00B331E3">
        <w:rPr>
          <w:rFonts w:hint="cs"/>
          <w:rtl/>
        </w:rPr>
        <w:t xml:space="preserve"> </w:t>
      </w:r>
      <w:r w:rsidR="00F63DE7">
        <w:rPr>
          <w:rFonts w:hint="cs"/>
          <w:rtl/>
        </w:rPr>
        <w:t>כ</w:t>
      </w:r>
      <w:r w:rsidR="00B331E3">
        <w:rPr>
          <w:rFonts w:hint="cs"/>
          <w:rtl/>
        </w:rPr>
        <w:t xml:space="preserve">גוף זה או </w:t>
      </w:r>
      <w:r w:rsidR="00D734B0">
        <w:rPr>
          <w:rFonts w:hint="cs"/>
          <w:rtl/>
        </w:rPr>
        <w:t xml:space="preserve">גוף </w:t>
      </w:r>
      <w:r w:rsidR="00B331E3">
        <w:rPr>
          <w:rFonts w:hint="cs"/>
          <w:rtl/>
        </w:rPr>
        <w:t>זה</w:t>
      </w:r>
      <w:r w:rsidR="00076EA7">
        <w:rPr>
          <w:rStyle w:val="FootnoteReference"/>
          <w:rtl/>
        </w:rPr>
        <w:footnoteReference w:id="58"/>
      </w:r>
      <w:r w:rsidR="00B331E3">
        <w:rPr>
          <w:rFonts w:hint="cs"/>
          <w:rtl/>
        </w:rPr>
        <w:t>.</w:t>
      </w:r>
      <w:r w:rsidR="0012389B">
        <w:rPr>
          <w:rFonts w:hint="cs"/>
          <w:rtl/>
        </w:rPr>
        <w:t xml:space="preserve"> באותו אופן</w:t>
      </w:r>
      <w:r w:rsidR="006351C2">
        <w:rPr>
          <w:rFonts w:hint="cs"/>
          <w:rtl/>
        </w:rPr>
        <w:t>,</w:t>
      </w:r>
      <w:r w:rsidR="0012389B">
        <w:rPr>
          <w:rFonts w:hint="cs"/>
          <w:rtl/>
        </w:rPr>
        <w:t xml:space="preserve"> </w:t>
      </w:r>
      <w:r w:rsidR="006351C2">
        <w:rPr>
          <w:rFonts w:hint="cs"/>
          <w:rtl/>
        </w:rPr>
        <w:t>'חי' הוא תפישה כללית, אבל יותר פרטית מ'גוף'</w:t>
      </w:r>
      <w:r w:rsidR="006351C2">
        <w:rPr>
          <w:rStyle w:val="FootnoteReference"/>
          <w:rtl/>
        </w:rPr>
        <w:footnoteReference w:id="59"/>
      </w:r>
      <w:r w:rsidR="00072BAF">
        <w:rPr>
          <w:rFonts w:hint="cs"/>
          <w:rtl/>
        </w:rPr>
        <w:t xml:space="preserve"> ושייכת לו </w:t>
      </w:r>
      <w:r w:rsidR="00AF0473">
        <w:rPr>
          <w:rFonts w:hint="cs"/>
          <w:rtl/>
        </w:rPr>
        <w:t xml:space="preserve">מצד שהוא </w:t>
      </w:r>
      <w:r w:rsidR="00072BAF">
        <w:rPr>
          <w:rFonts w:hint="cs"/>
          <w:rtl/>
        </w:rPr>
        <w:t>בעל חיים</w:t>
      </w:r>
      <w:r w:rsidR="00AF0473">
        <w:rPr>
          <w:rFonts w:hint="cs"/>
          <w:rtl/>
        </w:rPr>
        <w:t>, ואת זה יש להשיג באופן מפורט ואז החיים נ</w:t>
      </w:r>
      <w:r w:rsidR="00F85DC5">
        <w:rPr>
          <w:rFonts w:hint="cs"/>
          <w:rtl/>
        </w:rPr>
        <w:t>תפ</w:t>
      </w:r>
      <w:r w:rsidR="00AF0473">
        <w:rPr>
          <w:rFonts w:hint="cs"/>
          <w:rtl/>
        </w:rPr>
        <w:t xml:space="preserve">שים </w:t>
      </w:r>
      <w:r w:rsidR="00F85DC5">
        <w:rPr>
          <w:rFonts w:hint="cs"/>
          <w:rtl/>
        </w:rPr>
        <w:t>כ</w:t>
      </w:r>
      <w:r w:rsidR="00F63DE7">
        <w:rPr>
          <w:rFonts w:hint="cs"/>
          <w:rtl/>
        </w:rPr>
        <w:t xml:space="preserve">בעל </w:t>
      </w:r>
      <w:r w:rsidR="00AF0473">
        <w:rPr>
          <w:rFonts w:hint="cs"/>
          <w:rtl/>
        </w:rPr>
        <w:t xml:space="preserve">חיים </w:t>
      </w:r>
      <w:r w:rsidR="00F63DE7">
        <w:rPr>
          <w:rFonts w:hint="cs"/>
          <w:rtl/>
        </w:rPr>
        <w:t>ז</w:t>
      </w:r>
      <w:r w:rsidR="00AF0473">
        <w:rPr>
          <w:rFonts w:hint="cs"/>
          <w:rtl/>
        </w:rPr>
        <w:t xml:space="preserve">ה או </w:t>
      </w:r>
      <w:r w:rsidR="00F63DE7">
        <w:rPr>
          <w:rFonts w:hint="cs"/>
          <w:rtl/>
        </w:rPr>
        <w:t>בעל חיים ז</w:t>
      </w:r>
      <w:r w:rsidR="00AF0473">
        <w:rPr>
          <w:rFonts w:hint="cs"/>
          <w:rtl/>
        </w:rPr>
        <w:t>ה</w:t>
      </w:r>
      <w:r w:rsidR="00A70E56">
        <w:rPr>
          <w:rStyle w:val="FootnoteReference"/>
          <w:rtl/>
        </w:rPr>
        <w:footnoteReference w:id="60"/>
      </w:r>
      <w:r w:rsidR="00072BAF">
        <w:rPr>
          <w:rFonts w:hint="cs"/>
          <w:rtl/>
        </w:rPr>
        <w:t xml:space="preserve">. </w:t>
      </w:r>
      <w:r w:rsidR="00F63DE7">
        <w:rPr>
          <w:rFonts w:hint="cs"/>
          <w:rtl/>
        </w:rPr>
        <w:t xml:space="preserve">'אדם' גם הוא תפישה כללית, שהוא יותר פרטי מ'בעל חיים', ושייך להגדרת 'בעל חיים' כ'אדם', ואת זה יש להשיג באופן מפורט </w:t>
      </w:r>
      <w:r w:rsidR="00F85DC5">
        <w:rPr>
          <w:rFonts w:hint="cs"/>
          <w:rtl/>
        </w:rPr>
        <w:t xml:space="preserve">ואז </w:t>
      </w:r>
      <w:bookmarkStart w:id="45" w:name="_Hlk72232364"/>
      <w:r w:rsidR="00F85DC5">
        <w:rPr>
          <w:rFonts w:hint="cs"/>
          <w:rtl/>
        </w:rPr>
        <w:t>הוא ייתפש כאדם זה או אדם זה</w:t>
      </w:r>
      <w:bookmarkEnd w:id="45"/>
      <w:r w:rsidR="00F85DC5">
        <w:rPr>
          <w:rStyle w:val="FootnoteReference"/>
          <w:rtl/>
        </w:rPr>
        <w:footnoteReference w:id="61"/>
      </w:r>
      <w:r w:rsidR="00F85DC5">
        <w:rPr>
          <w:rFonts w:hint="cs"/>
          <w:rtl/>
        </w:rPr>
        <w:t xml:space="preserve">. </w:t>
      </w:r>
    </w:p>
    <w:p w14:paraId="51B08C54" w14:textId="7CAB0303" w:rsidR="007E6288" w:rsidRDefault="007E428D" w:rsidP="00E72BCC">
      <w:pPr>
        <w:rPr>
          <w:rtl/>
        </w:rPr>
      </w:pPr>
      <w:r>
        <w:rPr>
          <w:rFonts w:hint="cs"/>
          <w:rtl/>
        </w:rPr>
        <w:t xml:space="preserve">כעת, אם אנו מייחסים את המהלכים האלה לכח התפישה, </w:t>
      </w:r>
      <w:r w:rsidR="00E72BCC">
        <w:rPr>
          <w:rFonts w:hint="cs"/>
          <w:rtl/>
        </w:rPr>
        <w:t>ומבחינים שיש שני סוגי מהלכים</w:t>
      </w:r>
      <w:r w:rsidR="004D6195">
        <w:rPr>
          <w:rStyle w:val="FootnoteReference"/>
          <w:rtl/>
        </w:rPr>
        <w:footnoteReference w:id="62"/>
      </w:r>
      <w:r w:rsidR="00E72BCC">
        <w:rPr>
          <w:rFonts w:hint="cs"/>
          <w:rtl/>
        </w:rPr>
        <w:t>, אנו מוצאים שמה שהוא קרוב יותר ודומה יותר ל</w:t>
      </w:r>
      <w:r w:rsidR="004D6195">
        <w:rPr>
          <w:rFonts w:hint="cs"/>
          <w:rtl/>
        </w:rPr>
        <w:t xml:space="preserve">כולל הראשוני </w:t>
      </w:r>
      <w:r w:rsidR="00DD5E46">
        <w:rPr>
          <w:rFonts w:hint="cs"/>
          <w:rtl/>
        </w:rPr>
        <w:t>נודע</w:t>
      </w:r>
      <w:r w:rsidR="004D6195">
        <w:rPr>
          <w:rFonts w:hint="cs"/>
          <w:rtl/>
        </w:rPr>
        <w:t xml:space="preserve"> יותר</w:t>
      </w:r>
      <w:r w:rsidR="004D6195">
        <w:rPr>
          <w:rStyle w:val="FootnoteReference"/>
          <w:rtl/>
        </w:rPr>
        <w:footnoteReference w:id="63"/>
      </w:r>
      <w:r w:rsidR="004D6195">
        <w:rPr>
          <w:rFonts w:hint="cs"/>
          <w:rtl/>
        </w:rPr>
        <w:t>.</w:t>
      </w:r>
    </w:p>
    <w:p w14:paraId="54561AC6" w14:textId="4F26FA2D" w:rsidR="00E72BCC" w:rsidRPr="00030426" w:rsidRDefault="007E6288" w:rsidP="00E72BCC">
      <w:r>
        <w:rPr>
          <w:rFonts w:hint="cs"/>
          <w:rtl/>
        </w:rPr>
        <w:t xml:space="preserve">באמת, אין זה אפשרי להשיג בחוש או בדמיון שזה </w:t>
      </w:r>
      <w:r w:rsidR="00A02142">
        <w:rPr>
          <w:rFonts w:hint="cs"/>
          <w:rtl/>
        </w:rPr>
        <w:t>'</w:t>
      </w:r>
      <w:r>
        <w:rPr>
          <w:rFonts w:hint="cs"/>
          <w:rtl/>
        </w:rPr>
        <w:t xml:space="preserve">אדם </w:t>
      </w:r>
      <w:r w:rsidRPr="00A02142">
        <w:rPr>
          <w:rFonts w:hint="cs"/>
          <w:rtl/>
        </w:rPr>
        <w:t>זה</w:t>
      </w:r>
      <w:r w:rsidR="00A02142">
        <w:rPr>
          <w:rFonts w:hint="cs"/>
          <w:rtl/>
        </w:rPr>
        <w:t>'</w:t>
      </w:r>
      <w:r>
        <w:rPr>
          <w:rFonts w:hint="cs"/>
          <w:rtl/>
        </w:rPr>
        <w:t xml:space="preserve">, </w:t>
      </w:r>
      <w:r w:rsidR="00A02142">
        <w:rPr>
          <w:rFonts w:hint="cs"/>
          <w:rtl/>
        </w:rPr>
        <w:t>אלא אם כן משיגים שזהו 'חי זה' ו'עצם זה'. כמו כן אי אפשר להשיג שזה 'חי זה', אלא אם כן משיגים שזהו 'עצם זה'</w:t>
      </w:r>
      <w:r w:rsidR="005A0525">
        <w:rPr>
          <w:rFonts w:hint="cs"/>
          <w:rtl/>
        </w:rPr>
        <w:t xml:space="preserve">; ואילו אם משיגים אותו מרחוק </w:t>
      </w:r>
      <w:r w:rsidR="00E32836">
        <w:rPr>
          <w:rFonts w:hint="cs"/>
          <w:rtl/>
        </w:rPr>
        <w:t xml:space="preserve">אפשר שיושג כ'גוף זה' בלי שיושג שהוא 'אדם זה'. </w:t>
      </w:r>
      <w:r w:rsidR="00A02142">
        <w:rPr>
          <w:rFonts w:hint="cs"/>
          <w:rtl/>
        </w:rPr>
        <w:t xml:space="preserve">  </w:t>
      </w:r>
      <w:r w:rsidR="004D6195">
        <w:rPr>
          <w:rFonts w:hint="cs"/>
          <w:rtl/>
        </w:rPr>
        <w:t xml:space="preserve"> </w:t>
      </w:r>
      <w:r w:rsidR="00E72BCC">
        <w:rPr>
          <w:rFonts w:hint="cs"/>
          <w:rtl/>
        </w:rPr>
        <w:t xml:space="preserve">   </w:t>
      </w:r>
    </w:p>
    <w:p w14:paraId="2D706465" w14:textId="409583EC" w:rsidR="00981159" w:rsidRDefault="00E32836" w:rsidP="00AF63E4">
      <w:pPr>
        <w:rPr>
          <w:rtl/>
        </w:rPr>
      </w:pPr>
      <w:r>
        <w:rPr>
          <w:rFonts w:hint="cs"/>
          <w:rtl/>
        </w:rPr>
        <w:t>לכן הדבר ברור ש</w:t>
      </w:r>
      <w:r w:rsidR="00AA70D1">
        <w:rPr>
          <w:rFonts w:hint="cs"/>
          <w:rtl/>
        </w:rPr>
        <w:t>התרשמו</w:t>
      </w:r>
      <w:r>
        <w:rPr>
          <w:rFonts w:hint="cs"/>
          <w:rtl/>
        </w:rPr>
        <w:t>ת החוש מבחינה זו דומה לתפישת השכל ושמה שהוא כללי ידוע יותר בעצמו גם לחוש</w:t>
      </w:r>
      <w:r w:rsidR="006B3985">
        <w:rPr>
          <w:rStyle w:val="FootnoteReference"/>
          <w:rtl/>
        </w:rPr>
        <w:footnoteReference w:id="64"/>
      </w:r>
      <w:r>
        <w:rPr>
          <w:rFonts w:hint="cs"/>
          <w:rtl/>
        </w:rPr>
        <w:t xml:space="preserve">. </w:t>
      </w:r>
    </w:p>
    <w:p w14:paraId="59927C87" w14:textId="699E4ADF" w:rsidR="00981159" w:rsidRDefault="00F8752D" w:rsidP="003266A1">
      <w:pPr>
        <w:pStyle w:val="Heading4"/>
        <w:rPr>
          <w:rtl/>
        </w:rPr>
      </w:pPr>
      <w:bookmarkStart w:id="48" w:name="_Toc119092594"/>
      <w:r>
        <w:rPr>
          <w:rFonts w:hint="cs"/>
          <w:rtl/>
        </w:rPr>
        <w:t>1.1.</w:t>
      </w:r>
      <w:r w:rsidR="00111ECC">
        <w:rPr>
          <w:rFonts w:hint="cs"/>
          <w:rtl/>
        </w:rPr>
        <w:t>8</w:t>
      </w:r>
      <w:bookmarkEnd w:id="48"/>
    </w:p>
    <w:p w14:paraId="0BD1D7B5" w14:textId="089E72BD" w:rsidR="001827E5" w:rsidRDefault="000F208E" w:rsidP="00AF63E4">
      <w:pPr>
        <w:rPr>
          <w:rtl/>
        </w:rPr>
      </w:pPr>
      <w:r>
        <w:rPr>
          <w:rFonts w:hint="cs"/>
          <w:rtl/>
        </w:rPr>
        <w:t>מבחינת ה</w:t>
      </w:r>
      <w:r w:rsidR="001827E5">
        <w:rPr>
          <w:rFonts w:hint="cs"/>
          <w:rtl/>
        </w:rPr>
        <w:t>התפתחות</w:t>
      </w:r>
      <w:r w:rsidR="00D611C3">
        <w:rPr>
          <w:rFonts w:hint="cs"/>
          <w:rtl/>
        </w:rPr>
        <w:t xml:space="preserve">, החוש מביא אל </w:t>
      </w:r>
      <w:r w:rsidR="004D7D6E">
        <w:rPr>
          <w:rFonts w:hint="cs"/>
          <w:rtl/>
        </w:rPr>
        <w:t>כח</w:t>
      </w:r>
      <w:r w:rsidR="00D611C3">
        <w:rPr>
          <w:rFonts w:hint="cs"/>
          <w:rtl/>
        </w:rPr>
        <w:t xml:space="preserve"> הדמיון רק יחיד אחד מתוך המין, שאינו </w:t>
      </w:r>
      <w:r>
        <w:rPr>
          <w:rFonts w:hint="cs"/>
          <w:rtl/>
        </w:rPr>
        <w:t>מו</w:t>
      </w:r>
      <w:r w:rsidR="00954188">
        <w:rPr>
          <w:rFonts w:hint="cs"/>
          <w:rtl/>
        </w:rPr>
        <w:t>גדר</w:t>
      </w:r>
      <w:r>
        <w:rPr>
          <w:rFonts w:hint="cs"/>
          <w:rtl/>
        </w:rPr>
        <w:t xml:space="preserve"> באופן מיוחד</w:t>
      </w:r>
      <w:r w:rsidR="00954188">
        <w:rPr>
          <w:rStyle w:val="FootnoteReference"/>
          <w:rtl/>
        </w:rPr>
        <w:footnoteReference w:id="65"/>
      </w:r>
      <w:r>
        <w:rPr>
          <w:rFonts w:hint="cs"/>
          <w:rtl/>
        </w:rPr>
        <w:t xml:space="preserve">. </w:t>
      </w:r>
      <w:r w:rsidR="003D1E4B">
        <w:rPr>
          <w:rFonts w:hint="cs"/>
          <w:rtl/>
        </w:rPr>
        <w:t>כך מבין הצורות החושיות שמוטבעות בכח הדמיון</w:t>
      </w:r>
      <w:r w:rsidR="00C13990">
        <w:rPr>
          <w:rFonts w:hint="cs"/>
          <w:rtl/>
        </w:rPr>
        <w:t xml:space="preserve">, </w:t>
      </w:r>
      <w:r w:rsidR="004D7D6E">
        <w:rPr>
          <w:rFonts w:hint="cs"/>
          <w:rtl/>
        </w:rPr>
        <w:t xml:space="preserve">הצורה </w:t>
      </w:r>
      <w:r w:rsidR="00C13990">
        <w:rPr>
          <w:rFonts w:hint="cs"/>
          <w:rtl/>
        </w:rPr>
        <w:t>הראשונה המוטבעת בכח הדמיון של הילד היא צורה של איש או אישה יחידים, ללא שהוא יכול להבחין איש שהוא אביו מאיש שאינו אביו, ואשה שהיא אימו מאשה שאינה אימו</w:t>
      </w:r>
      <w:r w:rsidR="007223F1">
        <w:rPr>
          <w:rStyle w:val="FootnoteReference"/>
          <w:rtl/>
        </w:rPr>
        <w:footnoteReference w:id="66"/>
      </w:r>
      <w:r w:rsidR="00C13990">
        <w:rPr>
          <w:rFonts w:hint="cs"/>
          <w:rtl/>
        </w:rPr>
        <w:t xml:space="preserve">. </w:t>
      </w:r>
      <w:r w:rsidR="001827E5">
        <w:rPr>
          <w:rFonts w:hint="cs"/>
          <w:rtl/>
        </w:rPr>
        <w:t xml:space="preserve">לבסוף, הוא יכול להבחין אדם שהוא אביו מאדם שאינו אביו, ואשה שהיא אימו מאשה שאינה אימו, וכך </w:t>
      </w:r>
      <w:r w:rsidR="0049570A">
        <w:rPr>
          <w:rFonts w:hint="cs"/>
          <w:rtl/>
        </w:rPr>
        <w:t>בהדרגה</w:t>
      </w:r>
      <w:r w:rsidR="001827E5">
        <w:rPr>
          <w:rFonts w:hint="cs"/>
          <w:rtl/>
        </w:rPr>
        <w:t xml:space="preserve"> היחידים המוחשיים נעשים אצלו מובחנים זה מזה. </w:t>
      </w:r>
    </w:p>
    <w:p w14:paraId="794C7459" w14:textId="3E2FC009" w:rsidR="001827E5" w:rsidRDefault="00F8752D" w:rsidP="003266A1">
      <w:pPr>
        <w:pStyle w:val="Heading4"/>
        <w:rPr>
          <w:rtl/>
        </w:rPr>
      </w:pPr>
      <w:bookmarkStart w:id="49" w:name="_Toc119092595"/>
      <w:r>
        <w:rPr>
          <w:rFonts w:hint="cs"/>
          <w:rtl/>
        </w:rPr>
        <w:t>1.1.</w:t>
      </w:r>
      <w:r w:rsidR="001827E5">
        <w:rPr>
          <w:rFonts w:hint="cs"/>
          <w:rtl/>
        </w:rPr>
        <w:t>9</w:t>
      </w:r>
      <w:bookmarkEnd w:id="49"/>
    </w:p>
    <w:p w14:paraId="3E3B78B5" w14:textId="661BA024" w:rsidR="00F547BD" w:rsidRDefault="00DC78DA" w:rsidP="00CD3F59">
      <w:pPr>
        <w:rPr>
          <w:rtl/>
        </w:rPr>
      </w:pPr>
      <w:r>
        <w:rPr>
          <w:rFonts w:hint="cs"/>
          <w:rtl/>
        </w:rPr>
        <w:t xml:space="preserve">ובכן, </w:t>
      </w:r>
      <w:r w:rsidR="00360CF1">
        <w:rPr>
          <w:rFonts w:hint="cs"/>
          <w:rtl/>
        </w:rPr>
        <w:t>הרושם החושי הזה</w:t>
      </w:r>
      <w:r w:rsidR="00174523">
        <w:rPr>
          <w:rFonts w:hint="cs"/>
          <w:rtl/>
        </w:rPr>
        <w:t>,</w:t>
      </w:r>
      <w:r w:rsidR="00360CF1">
        <w:rPr>
          <w:rFonts w:hint="cs"/>
          <w:rtl/>
        </w:rPr>
        <w:t xml:space="preserve"> ש</w:t>
      </w:r>
      <w:r w:rsidR="0051525A">
        <w:rPr>
          <w:rFonts w:hint="cs"/>
          <w:rtl/>
        </w:rPr>
        <w:t>בו</w:t>
      </w:r>
      <w:r w:rsidR="00360CF1">
        <w:rPr>
          <w:rFonts w:hint="cs"/>
          <w:rtl/>
        </w:rPr>
        <w:t xml:space="preserve"> </w:t>
      </w:r>
      <w:r w:rsidR="00174523">
        <w:rPr>
          <w:rFonts w:hint="cs"/>
          <w:rtl/>
        </w:rPr>
        <w:t xml:space="preserve">מוטבעת </w:t>
      </w:r>
      <w:r w:rsidR="00B5345A">
        <w:rPr>
          <w:rFonts w:hint="cs"/>
          <w:rtl/>
        </w:rPr>
        <w:t xml:space="preserve">בתפישה החושית </w:t>
      </w:r>
      <w:r w:rsidR="00174523">
        <w:rPr>
          <w:rFonts w:hint="cs"/>
          <w:rtl/>
        </w:rPr>
        <w:t>דמות כללית בלתי מוגדרת של אדם יחיד מוחשי כלשהו</w:t>
      </w:r>
      <w:r w:rsidR="00A816A0">
        <w:rPr>
          <w:rStyle w:val="FootnoteReference"/>
          <w:rtl/>
        </w:rPr>
        <w:footnoteReference w:id="67"/>
      </w:r>
      <w:r w:rsidR="00174523">
        <w:rPr>
          <w:rFonts w:hint="cs"/>
          <w:rtl/>
        </w:rPr>
        <w:t xml:space="preserve">, </w:t>
      </w:r>
      <w:r w:rsidR="00A816A0">
        <w:rPr>
          <w:rFonts w:hint="cs"/>
          <w:rtl/>
        </w:rPr>
        <w:t>הוא הרושם של מה שאנו מכנים 'סתמי'.</w:t>
      </w:r>
      <w:r>
        <w:rPr>
          <w:rFonts w:hint="cs"/>
          <w:rtl/>
        </w:rPr>
        <w:t xml:space="preserve"> </w:t>
      </w:r>
      <w:proofErr w:type="spellStart"/>
      <w:r>
        <w:rPr>
          <w:rFonts w:hint="cs"/>
          <w:rtl/>
        </w:rPr>
        <w:t>כש'יחיד</w:t>
      </w:r>
      <w:proofErr w:type="spellEnd"/>
      <w:r>
        <w:rPr>
          <w:rFonts w:hint="cs"/>
          <w:rtl/>
        </w:rPr>
        <w:t xml:space="preserve"> סתמי' נאמר על</w:t>
      </w:r>
      <w:r w:rsidR="00B5345A">
        <w:rPr>
          <w:rFonts w:hint="cs"/>
          <w:rtl/>
        </w:rPr>
        <w:t>:</w:t>
      </w:r>
      <w:r>
        <w:rPr>
          <w:rFonts w:hint="cs"/>
          <w:rtl/>
        </w:rPr>
        <w:t xml:space="preserve"> (1) הרושם הלא מוגדר הזה, (2) </w:t>
      </w:r>
      <w:r w:rsidR="00B5345A">
        <w:rPr>
          <w:rFonts w:hint="cs"/>
          <w:rtl/>
        </w:rPr>
        <w:t xml:space="preserve">על </w:t>
      </w:r>
      <w:r>
        <w:rPr>
          <w:rFonts w:hint="cs"/>
          <w:rtl/>
        </w:rPr>
        <w:t>יחיד שרושמו הוטבע על החוש ממרחק בהנחה שהרושם הוא של גוף בלי לתפוש אם הוא של בעל חיים או של אדם</w:t>
      </w:r>
      <w:r w:rsidR="009605C3">
        <w:rPr>
          <w:rStyle w:val="FootnoteReference"/>
          <w:rtl/>
        </w:rPr>
        <w:footnoteReference w:id="68"/>
      </w:r>
      <w:r w:rsidR="009605C3">
        <w:rPr>
          <w:rFonts w:hint="cs"/>
          <w:rtl/>
        </w:rPr>
        <w:t>.</w:t>
      </w:r>
      <w:r w:rsidR="003D1E4B">
        <w:rPr>
          <w:rFonts w:hint="cs"/>
          <w:rtl/>
        </w:rPr>
        <w:t xml:space="preserve"> </w:t>
      </w:r>
      <w:r w:rsidR="00B5345A">
        <w:rPr>
          <w:rFonts w:hint="cs"/>
          <w:rtl/>
        </w:rPr>
        <w:t xml:space="preserve">המונח 'יחיד סתמי' נאמר על שתי המשמעויות כשם משתתף. </w:t>
      </w:r>
      <w:r w:rsidR="00F547BD">
        <w:rPr>
          <w:rFonts w:hint="cs"/>
          <w:rtl/>
        </w:rPr>
        <w:t>הסיבה היא שמה שמובן במונח 'יחיד סתמי' במקרה הראשון הוא אחד מהיחידים של המין שאליו הוא שייך, בלי להגדיר אי</w:t>
      </w:r>
      <w:r w:rsidR="00CD3F59">
        <w:rPr>
          <w:rFonts w:hint="cs"/>
          <w:rtl/>
        </w:rPr>
        <w:t>כות בו,</w:t>
      </w:r>
      <w:r w:rsidR="00F547BD">
        <w:rPr>
          <w:rFonts w:hint="cs"/>
          <w:rtl/>
        </w:rPr>
        <w:t xml:space="preserve"> או איזה יחיד</w:t>
      </w:r>
      <w:r w:rsidR="00CD3F59">
        <w:rPr>
          <w:rFonts w:hint="cs"/>
          <w:rtl/>
        </w:rPr>
        <w:t xml:space="preserve"> מסוים הוא</w:t>
      </w:r>
      <w:r w:rsidR="00315C19">
        <w:rPr>
          <w:rFonts w:hint="cs"/>
          <w:rtl/>
        </w:rPr>
        <w:t>, וכן לגבי ה</w:t>
      </w:r>
      <w:r w:rsidR="00CD3F59">
        <w:rPr>
          <w:rFonts w:hint="cs"/>
          <w:rtl/>
        </w:rPr>
        <w:t>ה</w:t>
      </w:r>
      <w:r w:rsidR="00315C19">
        <w:rPr>
          <w:rFonts w:hint="cs"/>
          <w:rtl/>
        </w:rPr>
        <w:t>גדר</w:t>
      </w:r>
      <w:r w:rsidR="00CD3F59">
        <w:rPr>
          <w:rFonts w:hint="cs"/>
          <w:rtl/>
        </w:rPr>
        <w:t xml:space="preserve">ה אם הוא </w:t>
      </w:r>
      <w:r w:rsidR="00315C19">
        <w:rPr>
          <w:rFonts w:hint="cs"/>
          <w:rtl/>
        </w:rPr>
        <w:t>איש או אישה.</w:t>
      </w:r>
      <w:r w:rsidR="00CD3F59">
        <w:rPr>
          <w:rFonts w:hint="cs"/>
          <w:rtl/>
        </w:rPr>
        <w:t xml:space="preserve"> זהו כמו </w:t>
      </w:r>
      <w:r w:rsidR="00F21098">
        <w:rPr>
          <w:rFonts w:hint="cs"/>
          <w:rtl/>
        </w:rPr>
        <w:t xml:space="preserve">אם </w:t>
      </w:r>
      <w:r w:rsidR="00CD3F59">
        <w:rPr>
          <w:rFonts w:hint="cs"/>
          <w:rtl/>
        </w:rPr>
        <w:t>המובן של 'יחיד'</w:t>
      </w:r>
      <w:r w:rsidR="00F21098">
        <w:rPr>
          <w:rFonts w:hint="cs"/>
          <w:rtl/>
        </w:rPr>
        <w:t>,</w:t>
      </w:r>
      <w:r w:rsidR="00CD3F59">
        <w:rPr>
          <w:rFonts w:hint="cs"/>
          <w:rtl/>
        </w:rPr>
        <w:t xml:space="preserve"> כשאינו מחולק לרבים שחולקים איתו את הגדרתו</w:t>
      </w:r>
      <w:r w:rsidR="00B35E0A">
        <w:rPr>
          <w:rStyle w:val="FootnoteReference"/>
          <w:rtl/>
        </w:rPr>
        <w:footnoteReference w:id="69"/>
      </w:r>
      <w:r w:rsidR="00F21098">
        <w:rPr>
          <w:rFonts w:hint="cs"/>
          <w:rtl/>
        </w:rPr>
        <w:t xml:space="preserve">, היה מחובר עם ההגדרה של הטבע </w:t>
      </w:r>
      <w:r w:rsidR="00A1474E">
        <w:rPr>
          <w:rFonts w:hint="cs"/>
          <w:rtl/>
        </w:rPr>
        <w:t xml:space="preserve">של המין או הסוג. משניהם ביחד נגזרת הגדרה אחת שנקראת 'יחיד סתמי בלתי מוגדר'; כמו </w:t>
      </w:r>
      <w:r w:rsidR="00B11A88">
        <w:rPr>
          <w:rFonts w:hint="cs"/>
          <w:rtl/>
        </w:rPr>
        <w:t xml:space="preserve">שיצוין באמירה: "בעל חיים שכלי בן תמותה אחד", שאינו נאמר על רבים כשהוא מוגדר בדרך כזו, כיוון שהגדרה של יחידות נלווית </w:t>
      </w:r>
      <w:r w:rsidR="00574810">
        <w:rPr>
          <w:rFonts w:hint="cs"/>
          <w:rtl/>
        </w:rPr>
        <w:t xml:space="preserve">להגדרה של טבע </w:t>
      </w:r>
      <w:r w:rsidR="009C463A">
        <w:rPr>
          <w:rFonts w:hint="cs"/>
          <w:rtl/>
        </w:rPr>
        <w:t>מסוים</w:t>
      </w:r>
      <w:r w:rsidR="00574810">
        <w:rPr>
          <w:rStyle w:val="FootnoteReference"/>
          <w:rtl/>
        </w:rPr>
        <w:footnoteReference w:id="70"/>
      </w:r>
      <w:r w:rsidR="00A1474E">
        <w:rPr>
          <w:rFonts w:hint="cs"/>
          <w:rtl/>
        </w:rPr>
        <w:t xml:space="preserve">. </w:t>
      </w:r>
      <w:r w:rsidR="00F954D6">
        <w:rPr>
          <w:rFonts w:hint="cs"/>
          <w:rtl/>
        </w:rPr>
        <w:t xml:space="preserve">בקיצור, זה יחיד בלתי מוגדר. </w:t>
      </w:r>
    </w:p>
    <w:p w14:paraId="524F902C" w14:textId="77777777" w:rsidR="00AA4DC4" w:rsidRDefault="00F954D6" w:rsidP="00CD3F59">
      <w:pPr>
        <w:rPr>
          <w:rtl/>
        </w:rPr>
      </w:pPr>
      <w:r>
        <w:rPr>
          <w:rFonts w:hint="cs"/>
          <w:rtl/>
        </w:rPr>
        <w:t>במקרה השני, בכל אופן, זהו יחיד גשמי זה</w:t>
      </w:r>
      <w:r w:rsidR="006467B7">
        <w:rPr>
          <w:rFonts w:hint="cs"/>
          <w:rtl/>
        </w:rPr>
        <w:t>. הוא אינו יכול להיות אחר ממה שהוא</w:t>
      </w:r>
      <w:r w:rsidR="00BC7E67">
        <w:rPr>
          <w:rFonts w:hint="cs"/>
          <w:rtl/>
        </w:rPr>
        <w:t>; רק בגלל חוסר בהירות ה</w:t>
      </w:r>
      <w:r w:rsidR="00910E53">
        <w:rPr>
          <w:rFonts w:hint="cs"/>
          <w:rtl/>
        </w:rPr>
        <w:t>ראיה</w:t>
      </w:r>
      <w:r w:rsidR="00BC7E67">
        <w:rPr>
          <w:rFonts w:hint="cs"/>
          <w:rtl/>
        </w:rPr>
        <w:t xml:space="preserve"> ההגדרות 'חי' ו'לא-חי'</w:t>
      </w:r>
      <w:r w:rsidR="00910E53">
        <w:rPr>
          <w:rFonts w:hint="cs"/>
          <w:rtl/>
        </w:rPr>
        <w:t xml:space="preserve"> </w:t>
      </w:r>
      <w:r w:rsidR="00BC7E67">
        <w:rPr>
          <w:rFonts w:hint="cs"/>
          <w:rtl/>
        </w:rPr>
        <w:t>יכולות</w:t>
      </w:r>
      <w:r w:rsidR="00910E53">
        <w:rPr>
          <w:rFonts w:hint="cs"/>
          <w:rtl/>
        </w:rPr>
        <w:t xml:space="preserve"> שתיהן</w:t>
      </w:r>
      <w:r w:rsidR="00BC7E67">
        <w:rPr>
          <w:rFonts w:hint="cs"/>
          <w:rtl/>
        </w:rPr>
        <w:t xml:space="preserve"> להיות מיוחסות אליו</w:t>
      </w:r>
      <w:r w:rsidR="00910E53">
        <w:rPr>
          <w:rFonts w:hint="cs"/>
          <w:rtl/>
        </w:rPr>
        <w:t xml:space="preserve"> במחשבה</w:t>
      </w:r>
      <w:r w:rsidR="00BC7E67">
        <w:rPr>
          <w:rFonts w:hint="cs"/>
          <w:rtl/>
        </w:rPr>
        <w:t>,</w:t>
      </w:r>
      <w:r w:rsidR="00910E53">
        <w:rPr>
          <w:rFonts w:hint="cs"/>
          <w:rtl/>
        </w:rPr>
        <w:t xml:space="preserve"> לא בגלל ש</w:t>
      </w:r>
      <w:r w:rsidR="00EE5610">
        <w:rPr>
          <w:rFonts w:hint="cs"/>
          <w:rtl/>
        </w:rPr>
        <w:t>הדבר ב</w:t>
      </w:r>
      <w:r w:rsidR="00910E53">
        <w:rPr>
          <w:rFonts w:hint="cs"/>
          <w:rtl/>
        </w:rPr>
        <w:t>עצמו יכול להיות כזה</w:t>
      </w:r>
      <w:r w:rsidR="00EE5610">
        <w:rPr>
          <w:rFonts w:hint="cs"/>
          <w:rtl/>
        </w:rPr>
        <w:t xml:space="preserve"> - כלומר כזה ששתי ההגדרות </w:t>
      </w:r>
      <w:r w:rsidR="00064B17">
        <w:rPr>
          <w:rFonts w:hint="cs"/>
          <w:rtl/>
        </w:rPr>
        <w:t>יכולות להיות מיוחסות שתיהן ביחד ל</w:t>
      </w:r>
      <w:r w:rsidR="00B606E5">
        <w:rPr>
          <w:rFonts w:hint="cs"/>
          <w:rtl/>
        </w:rPr>
        <w:t xml:space="preserve">אותו </w:t>
      </w:r>
      <w:r w:rsidR="00064B17">
        <w:rPr>
          <w:rFonts w:hint="cs"/>
          <w:rtl/>
        </w:rPr>
        <w:t>גוף.</w:t>
      </w:r>
    </w:p>
    <w:p w14:paraId="5EBAE7B0" w14:textId="76DEA147" w:rsidR="00AA4DC4" w:rsidRDefault="00F8752D" w:rsidP="003266A1">
      <w:pPr>
        <w:pStyle w:val="Heading4"/>
        <w:rPr>
          <w:rtl/>
        </w:rPr>
      </w:pPr>
      <w:bookmarkStart w:id="50" w:name="_Toc119092596"/>
      <w:r>
        <w:rPr>
          <w:rFonts w:hint="cs"/>
          <w:rtl/>
        </w:rPr>
        <w:t>1.1.</w:t>
      </w:r>
      <w:r w:rsidR="00AA4DC4">
        <w:rPr>
          <w:rFonts w:hint="cs"/>
          <w:rtl/>
        </w:rPr>
        <w:t>10</w:t>
      </w:r>
      <w:bookmarkEnd w:id="50"/>
    </w:p>
    <w:p w14:paraId="375C7A16" w14:textId="77777777" w:rsidR="00C27B93" w:rsidRDefault="009D439C" w:rsidP="00CD3F59">
      <w:pPr>
        <w:rPr>
          <w:rtl/>
        </w:rPr>
      </w:pPr>
      <w:r>
        <w:rPr>
          <w:rFonts w:hint="cs"/>
          <w:rtl/>
        </w:rPr>
        <w:t>כך</w:t>
      </w:r>
      <w:r w:rsidR="003D16CE">
        <w:rPr>
          <w:rFonts w:hint="cs"/>
          <w:rtl/>
        </w:rPr>
        <w:t xml:space="preserve"> אפשר לחשוב על </w:t>
      </w:r>
      <w:r>
        <w:rPr>
          <w:rFonts w:hint="cs"/>
          <w:rtl/>
        </w:rPr>
        <w:t xml:space="preserve">ה'יחיד הסתמי' במקרה הראשון </w:t>
      </w:r>
      <w:r w:rsidR="003D16CE">
        <w:rPr>
          <w:rFonts w:hint="cs"/>
          <w:rtl/>
        </w:rPr>
        <w:t xml:space="preserve">שהוא כל </w:t>
      </w:r>
      <w:r w:rsidR="00EB70B0">
        <w:rPr>
          <w:rFonts w:hint="cs"/>
          <w:rtl/>
        </w:rPr>
        <w:t>יחיד קיים</w:t>
      </w:r>
      <w:r w:rsidR="003D16CE">
        <w:rPr>
          <w:rFonts w:hint="cs"/>
          <w:rtl/>
        </w:rPr>
        <w:t xml:space="preserve"> מהסו</w:t>
      </w:r>
      <w:r w:rsidR="00EB70B0">
        <w:rPr>
          <w:rFonts w:hint="cs"/>
          <w:rtl/>
        </w:rPr>
        <w:t xml:space="preserve">ג או המין. במקרה השני, בכל אופן, אי אפשר לחשוב עליו כעל </w:t>
      </w:r>
      <w:r w:rsidR="00BC07BB">
        <w:rPr>
          <w:rFonts w:hint="cs"/>
          <w:rtl/>
        </w:rPr>
        <w:t>כל</w:t>
      </w:r>
      <w:r w:rsidR="00EB70B0">
        <w:rPr>
          <w:rFonts w:hint="cs"/>
          <w:rtl/>
        </w:rPr>
        <w:t xml:space="preserve"> יחיד שיהיה מהמין הזה, </w:t>
      </w:r>
      <w:r w:rsidR="000066D3">
        <w:rPr>
          <w:rFonts w:hint="cs"/>
          <w:rtl/>
        </w:rPr>
        <w:t xml:space="preserve">אלא </w:t>
      </w:r>
      <w:r w:rsidR="0079302B">
        <w:rPr>
          <w:rFonts w:hint="cs"/>
          <w:rtl/>
        </w:rPr>
        <w:t xml:space="preserve">הוא </w:t>
      </w:r>
      <w:r w:rsidR="000066D3">
        <w:rPr>
          <w:rFonts w:hint="cs"/>
          <w:rtl/>
        </w:rPr>
        <w:t>יכול להיות רק יחיד מוגדר זה</w:t>
      </w:r>
      <w:r w:rsidR="000066D3">
        <w:rPr>
          <w:rStyle w:val="FootnoteReference"/>
          <w:rtl/>
        </w:rPr>
        <w:footnoteReference w:id="71"/>
      </w:r>
      <w:r w:rsidR="000066D3">
        <w:rPr>
          <w:rFonts w:hint="cs"/>
          <w:rtl/>
        </w:rPr>
        <w:t>.</w:t>
      </w:r>
      <w:r w:rsidR="00F12545">
        <w:rPr>
          <w:rFonts w:hint="cs"/>
          <w:rtl/>
        </w:rPr>
        <w:t xml:space="preserve"> </w:t>
      </w:r>
    </w:p>
    <w:p w14:paraId="0600F622" w14:textId="0EFD9F82" w:rsidR="000802D9" w:rsidRDefault="00F12545" w:rsidP="00AF63E4">
      <w:pPr>
        <w:rPr>
          <w:rtl/>
        </w:rPr>
      </w:pPr>
      <w:r>
        <w:rPr>
          <w:rFonts w:hint="cs"/>
          <w:rtl/>
        </w:rPr>
        <w:t xml:space="preserve">יהיה </w:t>
      </w:r>
      <w:r w:rsidR="00FD3A28">
        <w:rPr>
          <w:rFonts w:hint="cs"/>
          <w:rtl/>
        </w:rPr>
        <w:t xml:space="preserve">אותו יחיד </w:t>
      </w:r>
      <w:r>
        <w:rPr>
          <w:rFonts w:hint="cs"/>
          <w:rtl/>
        </w:rPr>
        <w:t>מה שהינו</w:t>
      </w:r>
      <w:r w:rsidR="00FD3A28">
        <w:rPr>
          <w:rStyle w:val="FootnoteReference"/>
          <w:rtl/>
        </w:rPr>
        <w:footnoteReference w:id="72"/>
      </w:r>
      <w:r>
        <w:rPr>
          <w:rFonts w:hint="cs"/>
          <w:rtl/>
        </w:rPr>
        <w:t xml:space="preserve">, </w:t>
      </w:r>
      <w:r w:rsidR="00FD3A28">
        <w:rPr>
          <w:rFonts w:hint="cs"/>
          <w:rtl/>
        </w:rPr>
        <w:t>התפישה עדיין אפשר שתהיה מסופקת</w:t>
      </w:r>
      <w:r w:rsidR="00FD3A28">
        <w:rPr>
          <w:rStyle w:val="FootnoteReference"/>
          <w:rtl/>
        </w:rPr>
        <w:footnoteReference w:id="73"/>
      </w:r>
      <w:r w:rsidR="00B80B16">
        <w:rPr>
          <w:rFonts w:hint="cs"/>
          <w:rtl/>
        </w:rPr>
        <w:t xml:space="preserve">, מה שמאפשר שביחס לתפישה היחיד יהיה מוגדר, למשל, </w:t>
      </w:r>
      <w:r w:rsidR="00C27B93">
        <w:rPr>
          <w:rFonts w:hint="cs"/>
          <w:rtl/>
        </w:rPr>
        <w:t xml:space="preserve">גם </w:t>
      </w:r>
      <w:r w:rsidR="00B80B16">
        <w:rPr>
          <w:rFonts w:hint="cs"/>
          <w:rtl/>
        </w:rPr>
        <w:t xml:space="preserve">על ידי שיהיה מוגדר כ'חי' </w:t>
      </w:r>
      <w:r w:rsidR="00E30A47">
        <w:rPr>
          <w:rFonts w:hint="cs"/>
          <w:rtl/>
        </w:rPr>
        <w:t xml:space="preserve">ונשלל מ'לא-חי', </w:t>
      </w:r>
      <w:r w:rsidR="00C27B93">
        <w:rPr>
          <w:rFonts w:hint="cs"/>
          <w:rtl/>
        </w:rPr>
        <w:t>וגם</w:t>
      </w:r>
      <w:r w:rsidR="00105851">
        <w:rPr>
          <w:rFonts w:hint="cs"/>
          <w:rtl/>
        </w:rPr>
        <w:t xml:space="preserve"> על ידי שיהיה מוגדר כ'לא-חי' ונשלל מ'חי'</w:t>
      </w:r>
      <w:r w:rsidR="004A3E7D">
        <w:rPr>
          <w:rStyle w:val="FootnoteReference"/>
          <w:rtl/>
        </w:rPr>
        <w:footnoteReference w:id="74"/>
      </w:r>
      <w:r w:rsidR="00105851">
        <w:rPr>
          <w:rFonts w:hint="cs"/>
          <w:rtl/>
        </w:rPr>
        <w:t>, גם אחרי שידוע שבעצמו אינו יכול להיות שני הדברים אלא הוא באופן מוחלט או זה או האחר מבין שניהם.</w:t>
      </w:r>
    </w:p>
    <w:p w14:paraId="7A5D500E" w14:textId="433E04A8" w:rsidR="000802D9" w:rsidRDefault="00F8752D" w:rsidP="003266A1">
      <w:pPr>
        <w:pStyle w:val="Heading4"/>
        <w:rPr>
          <w:rtl/>
        </w:rPr>
      </w:pPr>
      <w:bookmarkStart w:id="51" w:name="_Toc119092597"/>
      <w:r>
        <w:rPr>
          <w:rFonts w:hint="cs"/>
          <w:rtl/>
        </w:rPr>
        <w:t>1.1.</w:t>
      </w:r>
      <w:r w:rsidR="000802D9">
        <w:rPr>
          <w:rFonts w:hint="cs"/>
          <w:rtl/>
        </w:rPr>
        <w:t>11</w:t>
      </w:r>
      <w:bookmarkEnd w:id="51"/>
    </w:p>
    <w:p w14:paraId="20D0A8CE" w14:textId="2F5EA36F" w:rsidR="00F36845" w:rsidRDefault="00CA528E" w:rsidP="00AF63E4">
      <w:r>
        <w:rPr>
          <w:rFonts w:hint="cs"/>
          <w:rtl/>
        </w:rPr>
        <w:t xml:space="preserve">זאת ועוד, </w:t>
      </w:r>
      <w:r w:rsidR="00C82C47">
        <w:rPr>
          <w:rFonts w:hint="cs"/>
          <w:rtl/>
        </w:rPr>
        <w:t>יש כאן גם התאמה</w:t>
      </w:r>
      <w:r w:rsidR="006924FF">
        <w:rPr>
          <w:rStyle w:val="FootnoteReference"/>
          <w:rtl/>
        </w:rPr>
        <w:footnoteReference w:id="75"/>
      </w:r>
      <w:r w:rsidR="005A2142">
        <w:rPr>
          <w:rFonts w:hint="cs"/>
          <w:rtl/>
        </w:rPr>
        <w:t xml:space="preserve"> בין סיבות </w:t>
      </w:r>
      <w:r w:rsidR="00435E8E" w:rsidRPr="00435E8E">
        <w:rPr>
          <w:rtl/>
        </w:rPr>
        <w:t>לְ</w:t>
      </w:r>
      <w:bookmarkStart w:id="52" w:name="_Hlk73721718"/>
      <w:r w:rsidR="00435E8E" w:rsidRPr="00435E8E">
        <w:rPr>
          <w:rtl/>
        </w:rPr>
        <w:t>מ</w:t>
      </w:r>
      <w:bookmarkStart w:id="53" w:name="_Hlk73721703"/>
      <w:r w:rsidR="00435E8E" w:rsidRPr="00435E8E">
        <w:rPr>
          <w:rtl/>
        </w:rPr>
        <w:t>ְ</w:t>
      </w:r>
      <w:bookmarkEnd w:id="52"/>
      <w:r w:rsidR="00435E8E" w:rsidRPr="00435E8E">
        <w:rPr>
          <w:rtl/>
        </w:rPr>
        <w:t>סֻובָּבִים</w:t>
      </w:r>
      <w:bookmarkEnd w:id="53"/>
      <w:r w:rsidR="005A2142">
        <w:rPr>
          <w:rStyle w:val="FootnoteReference"/>
          <w:rtl/>
        </w:rPr>
        <w:footnoteReference w:id="76"/>
      </w:r>
      <w:r w:rsidR="00FE7DAE">
        <w:rPr>
          <w:rFonts w:hint="cs"/>
          <w:rtl/>
        </w:rPr>
        <w:t xml:space="preserve"> והתאמה בין חלקים פשוטים לדבר</w:t>
      </w:r>
      <w:r w:rsidR="00954840">
        <w:rPr>
          <w:rFonts w:hint="cs"/>
          <w:rtl/>
        </w:rPr>
        <w:t>ים</w:t>
      </w:r>
      <w:r w:rsidR="00FE7DAE">
        <w:rPr>
          <w:rFonts w:hint="cs"/>
          <w:rtl/>
        </w:rPr>
        <w:t xml:space="preserve"> מורכב</w:t>
      </w:r>
      <w:r w:rsidR="00954840">
        <w:rPr>
          <w:rFonts w:hint="cs"/>
          <w:rtl/>
        </w:rPr>
        <w:t>ים</w:t>
      </w:r>
      <w:r w:rsidR="000D6727">
        <w:rPr>
          <w:rStyle w:val="FootnoteReference"/>
          <w:rtl/>
        </w:rPr>
        <w:footnoteReference w:id="77"/>
      </w:r>
      <w:r w:rsidR="00FE7DAE">
        <w:rPr>
          <w:rFonts w:hint="cs"/>
          <w:rtl/>
        </w:rPr>
        <w:t>. כך שכשהסיבות נכנסות ל</w:t>
      </w:r>
      <w:r w:rsidR="00954840">
        <w:rPr>
          <w:rFonts w:hint="cs"/>
          <w:rtl/>
        </w:rPr>
        <w:t>הוויית ה</w:t>
      </w:r>
      <w:r w:rsidR="00954840" w:rsidRPr="00954840">
        <w:rPr>
          <w:rtl/>
        </w:rPr>
        <w:t>מְסֻובָּבִים</w:t>
      </w:r>
      <w:r w:rsidR="00FE7DAE">
        <w:rPr>
          <w:rFonts w:hint="cs"/>
          <w:rtl/>
        </w:rPr>
        <w:t>, כחלק מ</w:t>
      </w:r>
      <w:r w:rsidR="00954840">
        <w:rPr>
          <w:rFonts w:hint="cs"/>
          <w:rtl/>
        </w:rPr>
        <w:t>הם</w:t>
      </w:r>
      <w:r w:rsidR="00FE7DAE">
        <w:rPr>
          <w:rFonts w:hint="cs"/>
          <w:rtl/>
        </w:rPr>
        <w:t>,</w:t>
      </w:r>
      <w:r w:rsidR="00954840">
        <w:rPr>
          <w:rFonts w:hint="cs"/>
          <w:rtl/>
        </w:rPr>
        <w:t xml:space="preserve"> כמו למשל </w:t>
      </w:r>
      <w:r w:rsidR="00AA62B6">
        <w:rPr>
          <w:rFonts w:hint="cs"/>
          <w:rtl/>
        </w:rPr>
        <w:t>העץ וצורת המיטה ביחס לעצם 'מיטה'</w:t>
      </w:r>
      <w:r w:rsidR="00AA62B6">
        <w:rPr>
          <w:rStyle w:val="FootnoteReference"/>
          <w:rtl/>
        </w:rPr>
        <w:footnoteReference w:id="78"/>
      </w:r>
      <w:r w:rsidR="00AA62B6">
        <w:rPr>
          <w:rFonts w:hint="cs"/>
          <w:rtl/>
        </w:rPr>
        <w:t xml:space="preserve">, </w:t>
      </w:r>
      <w:r w:rsidR="0009461A">
        <w:rPr>
          <w:rFonts w:hint="cs"/>
          <w:rtl/>
        </w:rPr>
        <w:t xml:space="preserve">אז </w:t>
      </w:r>
      <w:r w:rsidR="00FE7DAE">
        <w:rPr>
          <w:rFonts w:hint="cs"/>
          <w:rtl/>
        </w:rPr>
        <w:t xml:space="preserve"> </w:t>
      </w:r>
      <w:r w:rsidR="0009461A">
        <w:rPr>
          <w:rFonts w:hint="cs"/>
          <w:rtl/>
        </w:rPr>
        <w:t>היחס שלהן למסובבים הוא של חלקים פשוטים לדבר מורכב</w:t>
      </w:r>
      <w:r w:rsidR="0009461A">
        <w:rPr>
          <w:rStyle w:val="FootnoteReference"/>
          <w:rtl/>
        </w:rPr>
        <w:footnoteReference w:id="79"/>
      </w:r>
      <w:r w:rsidR="0009461A">
        <w:rPr>
          <w:rFonts w:hint="cs"/>
          <w:rtl/>
        </w:rPr>
        <w:t xml:space="preserve">. </w:t>
      </w:r>
      <w:r w:rsidR="00D704E9">
        <w:rPr>
          <w:rFonts w:hint="cs"/>
          <w:rtl/>
        </w:rPr>
        <w:t xml:space="preserve">באשר לסיבות כשהן נפרדות מהמסובבים, כמו לדוגמה הנגר שעושה את המיטה, </w:t>
      </w:r>
      <w:r w:rsidR="00EC342B">
        <w:rPr>
          <w:rFonts w:hint="cs"/>
          <w:rtl/>
        </w:rPr>
        <w:t>זהו נושא נפרד</w:t>
      </w:r>
      <w:r w:rsidR="00EC342B">
        <w:rPr>
          <w:rStyle w:val="FootnoteReference"/>
          <w:rtl/>
        </w:rPr>
        <w:footnoteReference w:id="80"/>
      </w:r>
      <w:r w:rsidR="00EC342B">
        <w:rPr>
          <w:rFonts w:hint="cs"/>
          <w:rtl/>
        </w:rPr>
        <w:t>.</w:t>
      </w:r>
    </w:p>
    <w:p w14:paraId="72D9733C" w14:textId="5F488EDB" w:rsidR="00CF745A" w:rsidRDefault="00871352" w:rsidP="003266A1">
      <w:pPr>
        <w:pStyle w:val="Heading4"/>
        <w:rPr>
          <w:rtl/>
        </w:rPr>
      </w:pPr>
      <w:bookmarkStart w:id="54" w:name="_Toc119092598"/>
      <w:r>
        <w:rPr>
          <w:rFonts w:hint="cs"/>
          <w:rtl/>
        </w:rPr>
        <w:t>1.1.12</w:t>
      </w:r>
      <w:bookmarkEnd w:id="54"/>
    </w:p>
    <w:p w14:paraId="6A676C8D" w14:textId="600C1290" w:rsidR="00D3227C" w:rsidRDefault="00CF745A" w:rsidP="00D704E9">
      <w:pPr>
        <w:rPr>
          <w:rtl/>
        </w:rPr>
      </w:pPr>
      <w:r>
        <w:rPr>
          <w:rFonts w:hint="cs"/>
          <w:rtl/>
        </w:rPr>
        <w:t>כעת, שתי ההתאמות</w:t>
      </w:r>
      <w:r>
        <w:rPr>
          <w:rStyle w:val="FootnoteReference"/>
          <w:rtl/>
        </w:rPr>
        <w:footnoteReference w:id="81"/>
      </w:r>
      <w:r>
        <w:rPr>
          <w:rFonts w:hint="cs"/>
          <w:rtl/>
        </w:rPr>
        <w:t xml:space="preserve"> יש להן יחס ל</w:t>
      </w:r>
      <w:r w:rsidR="00AA70D1">
        <w:rPr>
          <w:rFonts w:hint="cs"/>
          <w:rtl/>
        </w:rPr>
        <w:t>התרשמו</w:t>
      </w:r>
      <w:r>
        <w:rPr>
          <w:rFonts w:hint="cs"/>
          <w:rtl/>
        </w:rPr>
        <w:t xml:space="preserve">ת החוש, </w:t>
      </w:r>
      <w:r w:rsidR="00EE291D">
        <w:rPr>
          <w:rFonts w:hint="cs"/>
          <w:rtl/>
        </w:rPr>
        <w:t xml:space="preserve">לשכל, ולטבע. </w:t>
      </w:r>
    </w:p>
    <w:p w14:paraId="56485B8E" w14:textId="12FB02FB" w:rsidR="009C1670" w:rsidRDefault="00527C9F" w:rsidP="00AF63E4">
      <w:pPr>
        <w:rPr>
          <w:rtl/>
        </w:rPr>
      </w:pPr>
      <w:r>
        <w:rPr>
          <w:rFonts w:hint="cs"/>
          <w:rtl/>
        </w:rPr>
        <w:t xml:space="preserve">באשר ליחס בין החוש ובין הסיבות והמסובבים כשהסיבות נפרדות, אז אם הסיבות והמסובבים מוחשיים, אין לאחד מהם קדימה על השני או איחור לו כרושם חושי. אם הם לא מוחשיים, אז אף אחד מהם אין לו יחס לחוש. </w:t>
      </w:r>
      <w:r w:rsidR="000A72DD">
        <w:rPr>
          <w:rFonts w:hint="cs"/>
          <w:rtl/>
        </w:rPr>
        <w:t>כן הוא גם לגבי כח הדמיון</w:t>
      </w:r>
      <w:r w:rsidR="000A72DD">
        <w:rPr>
          <w:rStyle w:val="FootnoteReference"/>
          <w:rtl/>
        </w:rPr>
        <w:footnoteReference w:id="82"/>
      </w:r>
      <w:r w:rsidR="000A72DD">
        <w:rPr>
          <w:rFonts w:hint="cs"/>
          <w:rtl/>
        </w:rPr>
        <w:t xml:space="preserve">. </w:t>
      </w:r>
    </w:p>
    <w:p w14:paraId="082BC1E0" w14:textId="2D78349C" w:rsidR="009C1670" w:rsidRDefault="00F8752D" w:rsidP="003266A1">
      <w:pPr>
        <w:pStyle w:val="Heading4"/>
        <w:rPr>
          <w:rtl/>
        </w:rPr>
      </w:pPr>
      <w:bookmarkStart w:id="55" w:name="_Toc119092599"/>
      <w:r>
        <w:rPr>
          <w:rFonts w:hint="cs"/>
          <w:rtl/>
        </w:rPr>
        <w:t>1.1.</w:t>
      </w:r>
      <w:r w:rsidR="009C1670">
        <w:rPr>
          <w:rFonts w:hint="cs"/>
          <w:rtl/>
        </w:rPr>
        <w:t>13</w:t>
      </w:r>
      <w:bookmarkEnd w:id="55"/>
    </w:p>
    <w:p w14:paraId="7EC5A918" w14:textId="53254C5F" w:rsidR="00F9397D" w:rsidRDefault="009C1670" w:rsidP="00CD1931">
      <w:pPr>
        <w:rPr>
          <w:rtl/>
        </w:rPr>
      </w:pPr>
      <w:r>
        <w:rPr>
          <w:rFonts w:hint="cs"/>
          <w:rtl/>
        </w:rPr>
        <w:t>לעומת זאת השכל, על כל פנים, הסיבה יכולה להגיע אליו לפני המסובב, ואז השכל נע מה</w:t>
      </w:r>
      <w:r w:rsidR="00211AF2">
        <w:rPr>
          <w:rFonts w:hint="cs"/>
          <w:rtl/>
        </w:rPr>
        <w:t>ס</w:t>
      </w:r>
      <w:r>
        <w:rPr>
          <w:rFonts w:hint="cs"/>
          <w:rtl/>
        </w:rPr>
        <w:t>יבה</w:t>
      </w:r>
      <w:r w:rsidR="00211AF2">
        <w:rPr>
          <w:rFonts w:hint="cs"/>
          <w:rtl/>
        </w:rPr>
        <w:t xml:space="preserve"> אל ה</w:t>
      </w:r>
      <w:r>
        <w:rPr>
          <w:rFonts w:hint="cs"/>
          <w:rtl/>
        </w:rPr>
        <w:t>מסובב</w:t>
      </w:r>
      <w:r w:rsidR="00B71A4B">
        <w:rPr>
          <w:rStyle w:val="FootnoteReference"/>
          <w:rtl/>
        </w:rPr>
        <w:footnoteReference w:id="83"/>
      </w:r>
      <w:r>
        <w:rPr>
          <w:rFonts w:hint="cs"/>
          <w:rtl/>
        </w:rPr>
        <w:t>.</w:t>
      </w:r>
      <w:r w:rsidR="00CD1931">
        <w:rPr>
          <w:rFonts w:hint="cs"/>
          <w:rtl/>
        </w:rPr>
        <w:t xml:space="preserve"> </w:t>
      </w:r>
      <w:r w:rsidR="00211AF2">
        <w:rPr>
          <w:rFonts w:hint="cs"/>
          <w:rtl/>
        </w:rPr>
        <w:t xml:space="preserve">למשל כשאדם רואה את הירח ביחד עם כוכב לכת </w:t>
      </w:r>
      <w:r w:rsidR="007919C3">
        <w:rPr>
          <w:rFonts w:hint="cs"/>
          <w:rtl/>
        </w:rPr>
        <w:t xml:space="preserve">במעלה הקרובה לצמתי הירח, כאשר השמש היא בקצה הנגדי של קשת השמיים, השכל </w:t>
      </w:r>
      <w:r w:rsidR="00463DC7">
        <w:rPr>
          <w:rFonts w:hint="cs"/>
          <w:rtl/>
        </w:rPr>
        <w:t>יודע</w:t>
      </w:r>
      <w:r w:rsidR="007919C3">
        <w:rPr>
          <w:rFonts w:hint="cs"/>
          <w:rtl/>
        </w:rPr>
        <w:t xml:space="preserve"> שיש ליקוי. או כשאדם יודע שחומר בגופו </w:t>
      </w:r>
      <w:r w:rsidR="00F9397D">
        <w:rPr>
          <w:rFonts w:hint="cs"/>
          <w:rtl/>
        </w:rPr>
        <w:t>נמק, הוא יודע ש</w:t>
      </w:r>
      <w:r w:rsidR="00463DC7">
        <w:rPr>
          <w:rFonts w:hint="cs"/>
          <w:rtl/>
        </w:rPr>
        <w:t>יש</w:t>
      </w:r>
      <w:r w:rsidR="00CD1931">
        <w:rPr>
          <w:rFonts w:hint="cs"/>
          <w:rtl/>
        </w:rPr>
        <w:t xml:space="preserve"> בו </w:t>
      </w:r>
      <w:r w:rsidR="00F9397D">
        <w:rPr>
          <w:rFonts w:hint="cs"/>
          <w:rtl/>
        </w:rPr>
        <w:t xml:space="preserve">חולי. </w:t>
      </w:r>
    </w:p>
    <w:p w14:paraId="38C1220E" w14:textId="4145F473" w:rsidR="00B71A4B" w:rsidRDefault="007531B3" w:rsidP="00AF63E4">
      <w:pPr>
        <w:rPr>
          <w:rtl/>
        </w:rPr>
      </w:pPr>
      <w:r>
        <w:rPr>
          <w:rFonts w:hint="cs"/>
          <w:rtl/>
        </w:rPr>
        <w:t>לעיתים קרובות</w:t>
      </w:r>
      <w:r w:rsidR="00F9397D">
        <w:rPr>
          <w:rFonts w:hint="cs"/>
          <w:rtl/>
        </w:rPr>
        <w:t xml:space="preserve"> ה</w:t>
      </w:r>
      <w:r w:rsidR="00463DC7">
        <w:rPr>
          <w:rFonts w:hint="cs"/>
          <w:rtl/>
        </w:rPr>
        <w:t>מסובב מגיע לשכל לפני הסיבה - לעיתים מכח גזירת החכמה</w:t>
      </w:r>
      <w:r w:rsidR="00B848D5">
        <w:rPr>
          <w:rStyle w:val="FootnoteReference"/>
          <w:rtl/>
        </w:rPr>
        <w:footnoteReference w:id="84"/>
      </w:r>
      <w:r w:rsidR="00463DC7">
        <w:rPr>
          <w:rFonts w:hint="cs"/>
          <w:rtl/>
        </w:rPr>
        <w:t xml:space="preserve"> ולעיתים מכח התרשמות החוש</w:t>
      </w:r>
      <w:r w:rsidR="000309B6">
        <w:rPr>
          <w:rStyle w:val="FootnoteReference"/>
          <w:rtl/>
        </w:rPr>
        <w:footnoteReference w:id="85"/>
      </w:r>
      <w:r w:rsidR="000309B6">
        <w:rPr>
          <w:rFonts w:hint="cs"/>
          <w:rtl/>
        </w:rPr>
        <w:t xml:space="preserve"> - בשני המקרים השכל נע מהמסובב לסיבה</w:t>
      </w:r>
      <w:r w:rsidR="00463DC7">
        <w:rPr>
          <w:rFonts w:hint="cs"/>
          <w:rtl/>
        </w:rPr>
        <w:t>.</w:t>
      </w:r>
      <w:r w:rsidR="003C28E8">
        <w:rPr>
          <w:rFonts w:hint="cs"/>
          <w:rtl/>
        </w:rPr>
        <w:t xml:space="preserve"> גם לעיתים קרובות השכל משיג בתחילה מסובב, ואז נע ממנו אל הסיבה, ואז נע מהסיבה למסובב אחר. </w:t>
      </w:r>
      <w:r w:rsidR="00C167B6">
        <w:rPr>
          <w:rFonts w:hint="cs"/>
          <w:rtl/>
        </w:rPr>
        <w:t>כבר ביארנו היטב עניינים אלה בחיבורנו על הראיות</w:t>
      </w:r>
      <w:r w:rsidR="00C167B6">
        <w:rPr>
          <w:rStyle w:val="FootnoteReference"/>
          <w:rtl/>
        </w:rPr>
        <w:footnoteReference w:id="86"/>
      </w:r>
      <w:r w:rsidR="00C167B6">
        <w:rPr>
          <w:rFonts w:hint="cs"/>
          <w:rtl/>
        </w:rPr>
        <w:t xml:space="preserve">. </w:t>
      </w:r>
      <w:r w:rsidR="003C28E8">
        <w:rPr>
          <w:rFonts w:hint="cs"/>
          <w:rtl/>
        </w:rPr>
        <w:t xml:space="preserve"> </w:t>
      </w:r>
    </w:p>
    <w:p w14:paraId="4DBF58F8" w14:textId="7BD1CB81" w:rsidR="009E0E04" w:rsidRDefault="00F8752D" w:rsidP="003266A1">
      <w:pPr>
        <w:pStyle w:val="Heading4"/>
        <w:rPr>
          <w:rtl/>
        </w:rPr>
      </w:pPr>
      <w:bookmarkStart w:id="56" w:name="_Toc119092600"/>
      <w:r>
        <w:rPr>
          <w:rFonts w:hint="cs"/>
          <w:rtl/>
        </w:rPr>
        <w:t>1.1.</w:t>
      </w:r>
      <w:r w:rsidR="009E0E04">
        <w:rPr>
          <w:rFonts w:hint="cs"/>
          <w:rtl/>
        </w:rPr>
        <w:t>14</w:t>
      </w:r>
      <w:bookmarkEnd w:id="56"/>
    </w:p>
    <w:p w14:paraId="21E0B5BC" w14:textId="5452CF1C" w:rsidR="009E0E04" w:rsidRDefault="00B71A4B" w:rsidP="00D704E9">
      <w:pPr>
        <w:rPr>
          <w:rtl/>
        </w:rPr>
      </w:pPr>
      <w:r>
        <w:rPr>
          <w:rFonts w:hint="cs"/>
          <w:rtl/>
        </w:rPr>
        <w:t>באשר לה</w:t>
      </w:r>
      <w:r w:rsidR="00BA2238">
        <w:rPr>
          <w:rFonts w:hint="cs"/>
          <w:rtl/>
        </w:rPr>
        <w:t>שוואה</w:t>
      </w:r>
      <w:r>
        <w:rPr>
          <w:rFonts w:hint="cs"/>
          <w:rtl/>
        </w:rPr>
        <w:t xml:space="preserve"> </w:t>
      </w:r>
      <w:r w:rsidR="005D65D6">
        <w:rPr>
          <w:rFonts w:hint="cs"/>
          <w:rtl/>
        </w:rPr>
        <w:t>של סיבות נפרדות אלה</w:t>
      </w:r>
      <w:r w:rsidR="004D0638">
        <w:rPr>
          <w:rStyle w:val="FootnoteReference"/>
          <w:rtl/>
        </w:rPr>
        <w:footnoteReference w:id="87"/>
      </w:r>
      <w:r w:rsidR="005D65D6">
        <w:rPr>
          <w:rFonts w:hint="cs"/>
          <w:rtl/>
        </w:rPr>
        <w:t xml:space="preserve"> </w:t>
      </w:r>
      <w:r w:rsidR="00BA2238">
        <w:rPr>
          <w:rFonts w:hint="cs"/>
          <w:rtl/>
        </w:rPr>
        <w:t>עם</w:t>
      </w:r>
      <w:r w:rsidR="00D46BD6">
        <w:rPr>
          <w:rFonts w:hint="cs"/>
          <w:rtl/>
        </w:rPr>
        <w:t xml:space="preserve"> המסובבים בהתחשב </w:t>
      </w:r>
      <w:r w:rsidR="00783487">
        <w:rPr>
          <w:rFonts w:hint="cs"/>
          <w:rtl/>
        </w:rPr>
        <w:t>ב</w:t>
      </w:r>
      <w:r w:rsidR="003A2548">
        <w:rPr>
          <w:rFonts w:hint="cs"/>
          <w:rtl/>
        </w:rPr>
        <w:t>גזירת</w:t>
      </w:r>
      <w:r w:rsidR="00194E80">
        <w:rPr>
          <w:rStyle w:val="FootnoteReference"/>
          <w:rtl/>
        </w:rPr>
        <w:footnoteReference w:id="88"/>
      </w:r>
      <w:r w:rsidR="003A2548">
        <w:rPr>
          <w:rFonts w:hint="cs"/>
          <w:rtl/>
        </w:rPr>
        <w:t xml:space="preserve"> </w:t>
      </w:r>
      <w:r w:rsidR="00194E80">
        <w:rPr>
          <w:rFonts w:hint="cs"/>
          <w:rtl/>
        </w:rPr>
        <w:t>ה</w:t>
      </w:r>
      <w:r w:rsidR="00D46BD6">
        <w:rPr>
          <w:rFonts w:hint="cs"/>
          <w:rtl/>
        </w:rPr>
        <w:t xml:space="preserve">טבע, </w:t>
      </w:r>
      <w:r w:rsidR="00FA0928">
        <w:rPr>
          <w:rFonts w:hint="cs"/>
          <w:rtl/>
        </w:rPr>
        <w:t xml:space="preserve">הסיבות התכליתיות </w:t>
      </w:r>
      <w:r w:rsidR="00DD5E46">
        <w:rPr>
          <w:rFonts w:hint="cs"/>
          <w:rtl/>
        </w:rPr>
        <w:t>נודע</w:t>
      </w:r>
      <w:r w:rsidR="00FA0928">
        <w:rPr>
          <w:rFonts w:hint="cs"/>
          <w:rtl/>
        </w:rPr>
        <w:t>ות יותר מצד הטבע</w:t>
      </w:r>
      <w:r w:rsidR="00783487">
        <w:rPr>
          <w:rStyle w:val="FootnoteReference"/>
          <w:rtl/>
        </w:rPr>
        <w:footnoteReference w:id="89"/>
      </w:r>
      <w:r w:rsidR="00FA0928">
        <w:rPr>
          <w:rFonts w:hint="cs"/>
          <w:rtl/>
        </w:rPr>
        <w:t xml:space="preserve">. </w:t>
      </w:r>
      <w:r w:rsidR="00BA2238">
        <w:rPr>
          <w:rFonts w:hint="cs"/>
          <w:rtl/>
        </w:rPr>
        <w:t>כמו כן הסיבות הפועלות נודעות יותר מצד הטבע מאשר המסובבים, אלה הסיבות שפועלות לפעו</w:t>
      </w:r>
      <w:r w:rsidR="005939C1">
        <w:rPr>
          <w:rFonts w:hint="cs"/>
          <w:rtl/>
        </w:rPr>
        <w:t>ל</w:t>
      </w:r>
      <w:r w:rsidR="00BA2238">
        <w:rPr>
          <w:rFonts w:hint="cs"/>
          <w:rtl/>
        </w:rPr>
        <w:t xml:space="preserve"> </w:t>
      </w:r>
      <w:r w:rsidR="005939C1">
        <w:rPr>
          <w:rFonts w:hint="cs"/>
          <w:rtl/>
        </w:rPr>
        <w:t xml:space="preserve">את המסובב ולא רק </w:t>
      </w:r>
      <w:r w:rsidR="00896B15">
        <w:rPr>
          <w:rFonts w:hint="cs"/>
          <w:rtl/>
        </w:rPr>
        <w:t>להתקיים בעצמן</w:t>
      </w:r>
      <w:r w:rsidR="005939C1">
        <w:rPr>
          <w:rFonts w:hint="cs"/>
          <w:rtl/>
        </w:rPr>
        <w:t xml:space="preserve">. </w:t>
      </w:r>
    </w:p>
    <w:p w14:paraId="12CA39D9" w14:textId="7CF3C98F" w:rsidR="00E76B9B" w:rsidRDefault="00C20805" w:rsidP="00AF63E4">
      <w:pPr>
        <w:rPr>
          <w:rtl/>
        </w:rPr>
      </w:pPr>
      <w:r>
        <w:rPr>
          <w:rFonts w:hint="cs"/>
          <w:rtl/>
        </w:rPr>
        <w:t>מה</w:t>
      </w:r>
      <w:r w:rsidR="00AC018B">
        <w:rPr>
          <w:rFonts w:hint="cs"/>
          <w:rtl/>
        </w:rPr>
        <w:t xml:space="preserve"> </w:t>
      </w:r>
      <w:r w:rsidR="008D1EB7">
        <w:rPr>
          <w:rFonts w:hint="cs"/>
          <w:rtl/>
        </w:rPr>
        <w:t>שקיומ</w:t>
      </w:r>
      <w:r>
        <w:rPr>
          <w:rFonts w:hint="cs"/>
          <w:rtl/>
        </w:rPr>
        <w:t>ו</w:t>
      </w:r>
      <w:r w:rsidR="008D1EB7">
        <w:rPr>
          <w:rFonts w:hint="cs"/>
          <w:rtl/>
        </w:rPr>
        <w:t xml:space="preserve"> בטבע </w:t>
      </w:r>
      <w:r w:rsidR="00B80103">
        <w:rPr>
          <w:rFonts w:hint="cs"/>
          <w:rtl/>
        </w:rPr>
        <w:t>אינו לשם עצמו,</w:t>
      </w:r>
      <w:r w:rsidR="00C47C4B">
        <w:rPr>
          <w:rFonts w:hint="cs"/>
          <w:rtl/>
        </w:rPr>
        <w:t xml:space="preserve"> </w:t>
      </w:r>
      <w:r>
        <w:rPr>
          <w:rFonts w:hint="cs"/>
          <w:rtl/>
        </w:rPr>
        <w:t xml:space="preserve">אלא כדי לפעול דברים שנובעים ממנו, </w:t>
      </w:r>
      <w:r w:rsidR="003E4E76">
        <w:rPr>
          <w:rFonts w:hint="cs"/>
          <w:rtl/>
        </w:rPr>
        <w:t>באופן שפעולתו אינה לשם עצמו בלבד,</w:t>
      </w:r>
      <w:r w:rsidR="004878CB">
        <w:rPr>
          <w:rFonts w:hint="cs"/>
          <w:rtl/>
        </w:rPr>
        <w:t xml:space="preserve"> </w:t>
      </w:r>
      <w:r w:rsidR="00296784">
        <w:rPr>
          <w:rFonts w:hint="cs"/>
          <w:rtl/>
        </w:rPr>
        <w:t>אלא לשם הדברים הנפעלים ממנו</w:t>
      </w:r>
      <w:r w:rsidR="00C47C4B">
        <w:rPr>
          <w:rStyle w:val="FootnoteReference"/>
          <w:rtl/>
        </w:rPr>
        <w:footnoteReference w:id="90"/>
      </w:r>
      <w:r w:rsidR="00AF03B2">
        <w:rPr>
          <w:rFonts w:hint="cs"/>
          <w:rtl/>
        </w:rPr>
        <w:t xml:space="preserve">, </w:t>
      </w:r>
      <w:r w:rsidR="00AF03B2" w:rsidRPr="00AF03B2">
        <w:rPr>
          <w:rtl/>
        </w:rPr>
        <w:t>לו היו קיימים דברים כאלה</w:t>
      </w:r>
      <w:r w:rsidR="00AF03B2">
        <w:rPr>
          <w:rStyle w:val="FootnoteReference"/>
          <w:rtl/>
        </w:rPr>
        <w:footnoteReference w:id="91"/>
      </w:r>
      <w:r w:rsidR="00296784">
        <w:rPr>
          <w:rFonts w:hint="cs"/>
          <w:rtl/>
        </w:rPr>
        <w:t>, הוא לא היה נודע יותר מהמסובב ממנו, אלא המסובב ממנו היה נודע יותר ממנו</w:t>
      </w:r>
      <w:r w:rsidR="00656EE0">
        <w:rPr>
          <w:rStyle w:val="FootnoteReference"/>
          <w:rtl/>
        </w:rPr>
        <w:footnoteReference w:id="92"/>
      </w:r>
      <w:r w:rsidR="00296784">
        <w:rPr>
          <w:rFonts w:hint="cs"/>
          <w:rtl/>
        </w:rPr>
        <w:t xml:space="preserve">. </w:t>
      </w:r>
      <w:r>
        <w:rPr>
          <w:rFonts w:hint="cs"/>
          <w:rtl/>
        </w:rPr>
        <w:t xml:space="preserve"> </w:t>
      </w:r>
    </w:p>
    <w:p w14:paraId="446FA458" w14:textId="38172977" w:rsidR="00E76B9B" w:rsidRDefault="00F8752D" w:rsidP="003266A1">
      <w:pPr>
        <w:pStyle w:val="Heading4"/>
        <w:rPr>
          <w:rtl/>
        </w:rPr>
      </w:pPr>
      <w:bookmarkStart w:id="61" w:name="_Toc119092601"/>
      <w:r>
        <w:rPr>
          <w:rFonts w:hint="cs"/>
          <w:rtl/>
        </w:rPr>
        <w:t>1.1.</w:t>
      </w:r>
      <w:r w:rsidR="00E76B9B">
        <w:rPr>
          <w:rFonts w:hint="cs"/>
          <w:rtl/>
        </w:rPr>
        <w:t>15</w:t>
      </w:r>
      <w:bookmarkEnd w:id="61"/>
    </w:p>
    <w:p w14:paraId="5B830FDD" w14:textId="77777777" w:rsidR="00E14219" w:rsidRDefault="00AF03B2" w:rsidP="00D704E9">
      <w:pPr>
        <w:rPr>
          <w:rtl/>
        </w:rPr>
      </w:pPr>
      <w:r>
        <w:rPr>
          <w:rFonts w:hint="cs"/>
          <w:rtl/>
        </w:rPr>
        <w:t>באשר ליחס בין החלקים של המורכב</w:t>
      </w:r>
      <w:r w:rsidR="00283B5B">
        <w:rPr>
          <w:rStyle w:val="FootnoteReference"/>
          <w:rtl/>
        </w:rPr>
        <w:footnoteReference w:id="93"/>
      </w:r>
      <w:r>
        <w:rPr>
          <w:rFonts w:hint="cs"/>
          <w:rtl/>
        </w:rPr>
        <w:t xml:space="preserve"> ובין מה שמורכב מהם, המורכב</w:t>
      </w:r>
      <w:r w:rsidR="00A177CB">
        <w:rPr>
          <w:rFonts w:hint="cs"/>
          <w:rtl/>
        </w:rPr>
        <w:t xml:space="preserve"> נודע יותר לחוש</w:t>
      </w:r>
      <w:r w:rsidR="00283B5B">
        <w:rPr>
          <w:rFonts w:hint="cs"/>
          <w:rtl/>
        </w:rPr>
        <w:t xml:space="preserve">, כיוון שהחוש תופש </w:t>
      </w:r>
      <w:r w:rsidR="009458A3">
        <w:rPr>
          <w:rFonts w:hint="cs"/>
          <w:rtl/>
        </w:rPr>
        <w:t xml:space="preserve">ומשיג </w:t>
      </w:r>
      <w:r w:rsidR="00283B5B">
        <w:rPr>
          <w:rFonts w:hint="cs"/>
          <w:rtl/>
        </w:rPr>
        <w:t>את השלם ואחר כך את החלקים.</w:t>
      </w:r>
      <w:r w:rsidR="009458A3">
        <w:rPr>
          <w:rFonts w:hint="cs"/>
          <w:rtl/>
        </w:rPr>
        <w:t xml:space="preserve"> כשהוא תופש את השלם הוא תופש אותו באופן הכללי ביותר, כלומר שזהו גוף או בעל חיים, ואחר כך הוא תופש את חלקיו. בשכל, על כל פנים, </w:t>
      </w:r>
      <w:r w:rsidR="00F67A09">
        <w:rPr>
          <w:rFonts w:hint="cs"/>
          <w:rtl/>
        </w:rPr>
        <w:t>הפשוט קודם למורכב, כיוון שהוא יודע את הטבע של המורכב רק אחרי שהוא יודע את מרכיביו</w:t>
      </w:r>
      <w:r w:rsidR="00E14219">
        <w:rPr>
          <w:rFonts w:hint="cs"/>
          <w:rtl/>
        </w:rPr>
        <w:t xml:space="preserve"> הפשוטים</w:t>
      </w:r>
      <w:r w:rsidR="00F67A09">
        <w:rPr>
          <w:rStyle w:val="FootnoteReference"/>
          <w:rtl/>
        </w:rPr>
        <w:footnoteReference w:id="94"/>
      </w:r>
      <w:r w:rsidR="00F67A09">
        <w:rPr>
          <w:rFonts w:hint="cs"/>
          <w:rtl/>
        </w:rPr>
        <w:t xml:space="preserve">. </w:t>
      </w:r>
    </w:p>
    <w:p w14:paraId="3E842C7B" w14:textId="79BD0DB2" w:rsidR="00F954D6" w:rsidRDefault="00E14219" w:rsidP="00F90253">
      <w:pPr>
        <w:rPr>
          <w:rtl/>
        </w:rPr>
      </w:pPr>
      <w:r>
        <w:rPr>
          <w:rFonts w:hint="cs"/>
          <w:rtl/>
        </w:rPr>
        <w:t xml:space="preserve">אם השכל אינו יודע את החלקים הפשוטים של המורכב, </w:t>
      </w:r>
      <w:r w:rsidR="00F90253">
        <w:rPr>
          <w:rFonts w:hint="cs"/>
          <w:rtl/>
        </w:rPr>
        <w:t xml:space="preserve">אז האמת היא שהוא יודע אותו רק לפי אחד ממקריו או סוגיו בלי להשיג את הדבר עצמו; כמו למשל </w:t>
      </w:r>
      <w:r w:rsidR="008E3B1A">
        <w:rPr>
          <w:rFonts w:hint="cs"/>
          <w:rtl/>
        </w:rPr>
        <w:t>אם היה יודע אותו כגוף עגול או כגוף כבד וכיוצא באלה אבל לא יודע את עצם מהותו</w:t>
      </w:r>
      <w:r w:rsidR="008E3B1A">
        <w:rPr>
          <w:rStyle w:val="FootnoteReference"/>
          <w:rtl/>
        </w:rPr>
        <w:footnoteReference w:id="95"/>
      </w:r>
      <w:r w:rsidR="008E3B1A">
        <w:rPr>
          <w:rFonts w:hint="cs"/>
          <w:rtl/>
        </w:rPr>
        <w:t xml:space="preserve">.  </w:t>
      </w:r>
    </w:p>
    <w:p w14:paraId="51D25941" w14:textId="68725487" w:rsidR="000608E2" w:rsidRDefault="009515BF" w:rsidP="00AF63E4">
      <w:pPr>
        <w:rPr>
          <w:rtl/>
        </w:rPr>
      </w:pPr>
      <w:r>
        <w:rPr>
          <w:rFonts w:hint="cs"/>
          <w:rtl/>
        </w:rPr>
        <w:t>באשר למה שעל פי הטבע, המורכב הוא מה שמכוון ברוב הדברים</w:t>
      </w:r>
      <w:r w:rsidR="000751BC">
        <w:rPr>
          <w:rFonts w:hint="cs"/>
          <w:rtl/>
        </w:rPr>
        <w:t>, ו</w:t>
      </w:r>
      <w:r>
        <w:rPr>
          <w:rFonts w:hint="cs"/>
          <w:rtl/>
        </w:rPr>
        <w:t>החלקים באופן שמהם המורכב נעשה עצם</w:t>
      </w:r>
      <w:r w:rsidR="00933FC4">
        <w:rPr>
          <w:rStyle w:val="FootnoteReference"/>
          <w:rtl/>
        </w:rPr>
        <w:footnoteReference w:id="96"/>
      </w:r>
      <w:r>
        <w:rPr>
          <w:rFonts w:hint="cs"/>
          <w:rtl/>
        </w:rPr>
        <w:t>.</w:t>
      </w:r>
    </w:p>
    <w:p w14:paraId="40DB8A4F" w14:textId="4EF2FB69" w:rsidR="000608E2" w:rsidRDefault="00F8752D" w:rsidP="003266A1">
      <w:pPr>
        <w:pStyle w:val="Heading4"/>
        <w:rPr>
          <w:rtl/>
        </w:rPr>
      </w:pPr>
      <w:bookmarkStart w:id="62" w:name="_Toc119092602"/>
      <w:r>
        <w:rPr>
          <w:rFonts w:hint="cs"/>
          <w:rtl/>
        </w:rPr>
        <w:t>1.1.</w:t>
      </w:r>
      <w:r w:rsidR="000608E2">
        <w:rPr>
          <w:rFonts w:hint="cs"/>
          <w:rtl/>
        </w:rPr>
        <w:t>16</w:t>
      </w:r>
      <w:bookmarkEnd w:id="62"/>
    </w:p>
    <w:p w14:paraId="7F6E0FCF" w14:textId="0DE9289A" w:rsidR="004D57A5" w:rsidRDefault="00E45188" w:rsidP="00F90253">
      <w:pPr>
        <w:rPr>
          <w:rtl/>
        </w:rPr>
      </w:pPr>
      <w:r>
        <w:rPr>
          <w:rFonts w:hint="cs"/>
          <w:rtl/>
        </w:rPr>
        <w:t xml:space="preserve">ובכן, מבין הדברים הכלליים </w:t>
      </w:r>
      <w:r w:rsidR="00774FD5">
        <w:rPr>
          <w:rFonts w:hint="cs"/>
          <w:rtl/>
        </w:rPr>
        <w:t>והמסוימים</w:t>
      </w:r>
      <w:r w:rsidR="001F73A1">
        <w:rPr>
          <w:rStyle w:val="FootnoteReference"/>
          <w:rtl/>
        </w:rPr>
        <w:footnoteReference w:id="97"/>
      </w:r>
      <w:r>
        <w:rPr>
          <w:rFonts w:hint="cs"/>
          <w:rtl/>
        </w:rPr>
        <w:t>, והדברים הפשוטים והמורכבים</w:t>
      </w:r>
      <w:r w:rsidR="001F73A1">
        <w:rPr>
          <w:rStyle w:val="FootnoteReference"/>
          <w:rtl/>
        </w:rPr>
        <w:footnoteReference w:id="98"/>
      </w:r>
      <w:r>
        <w:rPr>
          <w:rFonts w:hint="cs"/>
          <w:rtl/>
        </w:rPr>
        <w:t>, הכללי</w:t>
      </w:r>
      <w:r w:rsidR="001F73A1">
        <w:rPr>
          <w:rStyle w:val="FootnoteReference"/>
          <w:rtl/>
        </w:rPr>
        <w:footnoteReference w:id="99"/>
      </w:r>
      <w:r>
        <w:rPr>
          <w:rFonts w:hint="cs"/>
          <w:rtl/>
        </w:rPr>
        <w:t xml:space="preserve"> והפשוט</w:t>
      </w:r>
      <w:r w:rsidR="001F73A1">
        <w:rPr>
          <w:rStyle w:val="FootnoteReference"/>
          <w:rtl/>
        </w:rPr>
        <w:footnoteReference w:id="100"/>
      </w:r>
      <w:r>
        <w:rPr>
          <w:rFonts w:hint="cs"/>
          <w:rtl/>
        </w:rPr>
        <w:t xml:space="preserve"> נודעים</w:t>
      </w:r>
      <w:r w:rsidR="001F73A1">
        <w:rPr>
          <w:rFonts w:hint="cs"/>
          <w:rtl/>
        </w:rPr>
        <w:t xml:space="preserve"> </w:t>
      </w:r>
      <w:r>
        <w:rPr>
          <w:rFonts w:hint="cs"/>
          <w:rtl/>
        </w:rPr>
        <w:t xml:space="preserve">יותר לשכל, בעוד </w:t>
      </w:r>
      <w:r w:rsidR="00774FD5">
        <w:rPr>
          <w:rFonts w:hint="cs"/>
          <w:rtl/>
        </w:rPr>
        <w:t>שהמסוים</w:t>
      </w:r>
      <w:r>
        <w:rPr>
          <w:rFonts w:hint="cs"/>
          <w:rtl/>
        </w:rPr>
        <w:t xml:space="preserve"> והמורכב נודעים יותר מצד הטבע</w:t>
      </w:r>
      <w:r>
        <w:rPr>
          <w:rStyle w:val="FootnoteReference"/>
          <w:rtl/>
        </w:rPr>
        <w:footnoteReference w:id="101"/>
      </w:r>
      <w:r>
        <w:rPr>
          <w:rFonts w:hint="cs"/>
          <w:rtl/>
        </w:rPr>
        <w:t xml:space="preserve">. </w:t>
      </w:r>
    </w:p>
    <w:p w14:paraId="035880C3" w14:textId="6AAAA9C6" w:rsidR="00ED4F89" w:rsidRDefault="00BA58A6" w:rsidP="00DC560D">
      <w:pPr>
        <w:rPr>
          <w:rtl/>
        </w:rPr>
      </w:pPr>
      <w:r>
        <w:rPr>
          <w:rFonts w:hint="cs"/>
          <w:rtl/>
        </w:rPr>
        <w:t xml:space="preserve">כעת, </w:t>
      </w:r>
      <w:r w:rsidR="008E4E67">
        <w:rPr>
          <w:rFonts w:hint="cs"/>
          <w:rtl/>
        </w:rPr>
        <w:t>כמו ש</w:t>
      </w:r>
      <w:r w:rsidR="00774FD5">
        <w:rPr>
          <w:rFonts w:hint="cs"/>
          <w:rtl/>
        </w:rPr>
        <w:t>ה</w:t>
      </w:r>
      <w:r w:rsidR="008E4E67">
        <w:rPr>
          <w:rFonts w:hint="cs"/>
          <w:rtl/>
        </w:rPr>
        <w:t xml:space="preserve">טבע מתחיל בדרך </w:t>
      </w:r>
      <w:r w:rsidR="00774FD5">
        <w:rPr>
          <w:rFonts w:hint="cs"/>
          <w:rtl/>
        </w:rPr>
        <w:t>ה</w:t>
      </w:r>
      <w:r w:rsidR="008E4E67">
        <w:rPr>
          <w:rFonts w:hint="cs"/>
          <w:rtl/>
        </w:rPr>
        <w:t xml:space="preserve">גילוי </w:t>
      </w:r>
      <w:r w:rsidR="00774FD5">
        <w:rPr>
          <w:rFonts w:hint="cs"/>
          <w:rtl/>
        </w:rPr>
        <w:t>מ</w:t>
      </w:r>
      <w:r w:rsidR="008E4E67">
        <w:rPr>
          <w:rFonts w:hint="cs"/>
          <w:rtl/>
        </w:rPr>
        <w:t xml:space="preserve">הכללי והפשוט, </w:t>
      </w:r>
      <w:r w:rsidR="00774FD5">
        <w:rPr>
          <w:rFonts w:hint="cs"/>
          <w:rtl/>
        </w:rPr>
        <w:t xml:space="preserve">ומהם הוא מגלה את הדברים שהם בעצמם </w:t>
      </w:r>
      <w:r w:rsidR="009C463A">
        <w:rPr>
          <w:rFonts w:hint="cs"/>
          <w:rtl/>
        </w:rPr>
        <w:t>מסוימים</w:t>
      </w:r>
      <w:r w:rsidR="00774FD5">
        <w:rPr>
          <w:rFonts w:hint="cs"/>
          <w:rtl/>
        </w:rPr>
        <w:t xml:space="preserve"> לפי המינים ובעצמם מורכבים, כמו כן</w:t>
      </w:r>
      <w:r w:rsidR="00835B34">
        <w:rPr>
          <w:rFonts w:hint="cs"/>
          <w:rtl/>
        </w:rPr>
        <w:t xml:space="preserve"> הלימוד מתחיל מהכללי והפשוט ומהם מגיע לידיעת דברים </w:t>
      </w:r>
      <w:r w:rsidR="009C463A">
        <w:rPr>
          <w:rFonts w:hint="cs"/>
          <w:rtl/>
        </w:rPr>
        <w:t>מסוימים</w:t>
      </w:r>
      <w:r w:rsidR="00835B34">
        <w:rPr>
          <w:rFonts w:hint="cs"/>
          <w:rtl/>
        </w:rPr>
        <w:t xml:space="preserve"> ודברים מורכבים. הכוונה העיקרית בשניהם, אפוא, להגיע להשגת דברים </w:t>
      </w:r>
      <w:r w:rsidR="009C463A">
        <w:rPr>
          <w:rFonts w:hint="cs"/>
          <w:rtl/>
        </w:rPr>
        <w:t>מסוימים</w:t>
      </w:r>
      <w:r w:rsidR="00835B34">
        <w:rPr>
          <w:rFonts w:hint="cs"/>
          <w:rtl/>
        </w:rPr>
        <w:t xml:space="preserve"> ומורכבים. </w:t>
      </w:r>
    </w:p>
    <w:p w14:paraId="5A4D13D7" w14:textId="46B6A32A" w:rsidR="00BA58A6" w:rsidRDefault="00835B34" w:rsidP="00DC560D">
      <w:pPr>
        <w:rPr>
          <w:rtl/>
        </w:rPr>
      </w:pPr>
      <w:r>
        <w:rPr>
          <w:rFonts w:hint="cs"/>
          <w:rtl/>
        </w:rPr>
        <w:t xml:space="preserve">  </w:t>
      </w:r>
      <w:r w:rsidR="00DC560D">
        <w:rPr>
          <w:rtl/>
        </w:rPr>
        <w:br w:type="page"/>
      </w:r>
    </w:p>
    <w:p w14:paraId="2AC85E02" w14:textId="05C86B9F" w:rsidR="00DC560D" w:rsidRDefault="00DC560D" w:rsidP="00DC560D">
      <w:pPr>
        <w:pStyle w:val="Heading1"/>
        <w:rPr>
          <w:rtl/>
        </w:rPr>
      </w:pPr>
      <w:bookmarkStart w:id="63" w:name="_Toc119092603"/>
      <w:bookmarkStart w:id="64" w:name="_Hlk98180113"/>
      <w:r>
        <w:rPr>
          <w:rtl/>
        </w:rPr>
        <w:t xml:space="preserve">פרק </w:t>
      </w:r>
      <w:r>
        <w:rPr>
          <w:rFonts w:hint="cs"/>
          <w:rtl/>
        </w:rPr>
        <w:t>ב</w:t>
      </w:r>
      <w:bookmarkEnd w:id="63"/>
    </w:p>
    <w:p w14:paraId="79CD4D49" w14:textId="79971F42" w:rsidR="007B540D" w:rsidRDefault="002D51FB" w:rsidP="007B540D">
      <w:pPr>
        <w:pStyle w:val="Heading2"/>
        <w:rPr>
          <w:rtl/>
        </w:rPr>
      </w:pPr>
      <w:bookmarkStart w:id="65" w:name="_Toc119092604"/>
      <w:r>
        <w:rPr>
          <w:rFonts w:hint="cs"/>
          <w:rtl/>
        </w:rPr>
        <w:t xml:space="preserve">מניין </w:t>
      </w:r>
      <w:r w:rsidR="0066409C">
        <w:rPr>
          <w:rFonts w:hint="cs"/>
          <w:rtl/>
        </w:rPr>
        <w:t>ההתחלות</w:t>
      </w:r>
      <w:r w:rsidR="0066409C">
        <w:rPr>
          <w:rStyle w:val="FootnoteReference"/>
          <w:rtl/>
        </w:rPr>
        <w:footnoteReference w:id="102"/>
      </w:r>
      <w:r w:rsidR="00C7512B">
        <w:rPr>
          <w:rFonts w:hint="cs"/>
          <w:rtl/>
        </w:rPr>
        <w:t xml:space="preserve"> של הדברים הטבעיים, בקביעה ו</w:t>
      </w:r>
      <w:r w:rsidR="00287B19">
        <w:rPr>
          <w:rFonts w:hint="cs"/>
          <w:rtl/>
        </w:rPr>
        <w:t>ב</w:t>
      </w:r>
      <w:r w:rsidR="00C7512B">
        <w:rPr>
          <w:rFonts w:hint="cs"/>
          <w:rtl/>
        </w:rPr>
        <w:t>הנחה</w:t>
      </w:r>
      <w:r w:rsidR="00287B19">
        <w:rPr>
          <w:rStyle w:val="FootnoteReference"/>
          <w:rtl/>
        </w:rPr>
        <w:footnoteReference w:id="103"/>
      </w:r>
      <w:r w:rsidR="00C7512B">
        <w:rPr>
          <w:rFonts w:hint="cs"/>
          <w:rtl/>
        </w:rPr>
        <w:t>.</w:t>
      </w:r>
      <w:bookmarkEnd w:id="64"/>
      <w:bookmarkEnd w:id="65"/>
    </w:p>
    <w:p w14:paraId="622CC0E9" w14:textId="77777777" w:rsidR="007B540D" w:rsidRDefault="007B540D" w:rsidP="007B540D">
      <w:pPr>
        <w:rPr>
          <w:rtl/>
        </w:rPr>
      </w:pPr>
    </w:p>
    <w:p w14:paraId="65DAB9CE" w14:textId="5358A6CA" w:rsidR="007B540D" w:rsidRDefault="00F8752D" w:rsidP="003266A1">
      <w:pPr>
        <w:pStyle w:val="Heading4"/>
        <w:rPr>
          <w:rtl/>
        </w:rPr>
      </w:pPr>
      <w:bookmarkStart w:id="66" w:name="_Toc119092605"/>
      <w:r>
        <w:rPr>
          <w:rFonts w:hint="cs"/>
          <w:rtl/>
        </w:rPr>
        <w:t>1.2.</w:t>
      </w:r>
      <w:r w:rsidR="007B540D">
        <w:rPr>
          <w:rFonts w:hint="cs"/>
          <w:rtl/>
        </w:rPr>
        <w:t>1</w:t>
      </w:r>
      <w:bookmarkEnd w:id="66"/>
    </w:p>
    <w:p w14:paraId="03B8F911" w14:textId="52E64B12" w:rsidR="00287B19" w:rsidRDefault="007B540D" w:rsidP="00AF63E4">
      <w:pPr>
        <w:rPr>
          <w:rtl/>
        </w:rPr>
      </w:pPr>
      <w:r>
        <w:rPr>
          <w:rFonts w:hint="cs"/>
          <w:rtl/>
        </w:rPr>
        <w:t>דברים טבעיים יש להם התחלות ידועות ש</w:t>
      </w:r>
      <w:r w:rsidR="00482C7A">
        <w:rPr>
          <w:rFonts w:hint="cs"/>
          <w:rtl/>
        </w:rPr>
        <w:t xml:space="preserve">אותן </w:t>
      </w:r>
      <w:r>
        <w:rPr>
          <w:rFonts w:hint="cs"/>
          <w:rtl/>
        </w:rPr>
        <w:t xml:space="preserve">נמנה, </w:t>
      </w:r>
      <w:r w:rsidR="00482C7A">
        <w:rPr>
          <w:rFonts w:hint="cs"/>
          <w:rtl/>
        </w:rPr>
        <w:t>נבאר מה שיש לבאר בהם, ונאמר את מהותם</w:t>
      </w:r>
      <w:r w:rsidR="004D2635">
        <w:rPr>
          <w:rStyle w:val="FootnoteReference"/>
          <w:rtl/>
        </w:rPr>
        <w:footnoteReference w:id="104"/>
      </w:r>
      <w:r w:rsidR="00482C7A">
        <w:rPr>
          <w:rFonts w:hint="cs"/>
          <w:rtl/>
        </w:rPr>
        <w:t xml:space="preserve">. </w:t>
      </w:r>
      <w:r w:rsidR="00C7512B">
        <w:rPr>
          <w:rFonts w:hint="cs"/>
          <w:rtl/>
        </w:rPr>
        <w:t xml:space="preserve"> </w:t>
      </w:r>
    </w:p>
    <w:p w14:paraId="76119CBA" w14:textId="691A916C" w:rsidR="00287B19" w:rsidRDefault="00F8752D" w:rsidP="003266A1">
      <w:pPr>
        <w:pStyle w:val="Heading4"/>
        <w:rPr>
          <w:rtl/>
        </w:rPr>
      </w:pPr>
      <w:bookmarkStart w:id="67" w:name="_Toc119092606"/>
      <w:r>
        <w:rPr>
          <w:rFonts w:hint="cs"/>
          <w:rtl/>
        </w:rPr>
        <w:t>1.2.</w:t>
      </w:r>
      <w:r w:rsidR="00287B19">
        <w:rPr>
          <w:rFonts w:hint="cs"/>
          <w:rtl/>
        </w:rPr>
        <w:t>2</w:t>
      </w:r>
      <w:bookmarkEnd w:id="67"/>
    </w:p>
    <w:p w14:paraId="5228BC7F" w14:textId="4626B280" w:rsidR="00287B19" w:rsidRDefault="00287B19" w:rsidP="007B540D">
      <w:r>
        <w:rPr>
          <w:rFonts w:hint="cs"/>
          <w:rtl/>
        </w:rPr>
        <w:t xml:space="preserve">אנו אומרים, אם כן, שהגוף הטבעי הוא עצם שבו </w:t>
      </w:r>
      <w:r w:rsidR="00A0336D">
        <w:rPr>
          <w:rFonts w:hint="cs"/>
          <w:rtl/>
        </w:rPr>
        <w:t>מתאפשר</w:t>
      </w:r>
      <w:r>
        <w:rPr>
          <w:rFonts w:hint="cs"/>
          <w:rtl/>
        </w:rPr>
        <w:t xml:space="preserve"> ממד אחד, וממד </w:t>
      </w:r>
      <w:r w:rsidR="00A0336D">
        <w:rPr>
          <w:rFonts w:hint="cs"/>
          <w:rtl/>
        </w:rPr>
        <w:t>נוסף</w:t>
      </w:r>
      <w:r>
        <w:rPr>
          <w:rFonts w:hint="cs"/>
          <w:rtl/>
        </w:rPr>
        <w:t xml:space="preserve"> שחוצה אותו בניצב</w:t>
      </w:r>
      <w:r>
        <w:rPr>
          <w:rStyle w:val="FootnoteReference"/>
          <w:rtl/>
        </w:rPr>
        <w:footnoteReference w:id="105"/>
      </w:r>
      <w:r>
        <w:rPr>
          <w:rFonts w:hint="cs"/>
          <w:rtl/>
        </w:rPr>
        <w:t>, וממד שלישי שחוצה את שניהם בניצב</w:t>
      </w:r>
      <w:r w:rsidR="009E54EC">
        <w:rPr>
          <w:rFonts w:hint="cs"/>
          <w:rtl/>
        </w:rPr>
        <w:t>; כשזה מתקיים בו - זו הצורה שבה הוא נעשה גוף</w:t>
      </w:r>
      <w:r w:rsidR="00652435">
        <w:rPr>
          <w:rStyle w:val="FootnoteReference"/>
          <w:rtl/>
        </w:rPr>
        <w:footnoteReference w:id="106"/>
      </w:r>
      <w:r w:rsidR="009E54EC">
        <w:rPr>
          <w:rFonts w:hint="cs"/>
          <w:rtl/>
        </w:rPr>
        <w:t xml:space="preserve">. </w:t>
      </w:r>
    </w:p>
    <w:p w14:paraId="559AC00D" w14:textId="64E2732A" w:rsidR="0087362C" w:rsidRDefault="0087362C" w:rsidP="007B540D">
      <w:pPr>
        <w:rPr>
          <w:rtl/>
        </w:rPr>
      </w:pPr>
      <w:r>
        <w:rPr>
          <w:rFonts w:hint="cs"/>
          <w:rtl/>
        </w:rPr>
        <w:t>מה שהגוף הוא גוף אינו במה שיש לו את המידות של תלת הממדיות</w:t>
      </w:r>
      <w:r>
        <w:rPr>
          <w:rStyle w:val="FootnoteReference"/>
          <w:rtl/>
        </w:rPr>
        <w:footnoteReference w:id="107"/>
      </w:r>
      <w:r>
        <w:rPr>
          <w:rFonts w:hint="cs"/>
          <w:rtl/>
        </w:rPr>
        <w:t xml:space="preserve">, שהרי גוף יכול להיות קיים ולהישאר כגוף גם אם המידות שלו למעשה משתנות. </w:t>
      </w:r>
      <w:r w:rsidR="00043C7F">
        <w:rPr>
          <w:rFonts w:hint="cs"/>
          <w:rtl/>
        </w:rPr>
        <w:t>כך למשל חתיכת שעווה או טיפת מים יכולות להיות כך שמתקיימות בהן למעשה המידות של אורך רוחב ועומק, המוגדרות על ידי הקצוות שלהם</w:t>
      </w:r>
      <w:r w:rsidR="00F21063">
        <w:rPr>
          <w:rFonts w:hint="cs"/>
          <w:rtl/>
        </w:rPr>
        <w:t>;</w:t>
      </w:r>
      <w:r w:rsidR="00043C7F">
        <w:rPr>
          <w:rFonts w:hint="cs"/>
          <w:rtl/>
        </w:rPr>
        <w:t xml:space="preserve"> </w:t>
      </w:r>
      <w:r w:rsidR="00F21063">
        <w:rPr>
          <w:rFonts w:hint="cs"/>
          <w:rtl/>
        </w:rPr>
        <w:t xml:space="preserve">אבל אז, </w:t>
      </w:r>
      <w:r w:rsidR="00043C7F">
        <w:rPr>
          <w:rFonts w:hint="cs"/>
          <w:rtl/>
        </w:rPr>
        <w:t>אם צורתן משתנה, כל אחת מהמידות המוגדרות האלה בטלה, ומתהוות מידות אורך אחרות של הממדים</w:t>
      </w:r>
      <w:r w:rsidR="00F21063">
        <w:rPr>
          <w:rFonts w:hint="cs"/>
          <w:rtl/>
        </w:rPr>
        <w:t xml:space="preserve"> או ההתפשטות.</w:t>
      </w:r>
      <w:r>
        <w:rPr>
          <w:rFonts w:hint="cs"/>
          <w:rtl/>
        </w:rPr>
        <w:t xml:space="preserve"> </w:t>
      </w:r>
      <w:r w:rsidR="00F21063">
        <w:rPr>
          <w:rFonts w:hint="cs"/>
          <w:rtl/>
        </w:rPr>
        <w:t>ועדיין הגוף ממשיך להתקיים כגוף, ללא הפסד או שינוי, והצורה שנאמרה עליו כ</w:t>
      </w:r>
      <w:r w:rsidR="008D7E60">
        <w:rPr>
          <w:rFonts w:hint="cs"/>
          <w:rtl/>
        </w:rPr>
        <w:t>הכרחי</w:t>
      </w:r>
      <w:r w:rsidR="00F21063">
        <w:rPr>
          <w:rFonts w:hint="cs"/>
          <w:rtl/>
        </w:rPr>
        <w:t>ת, כלומר שאפשריים בו שלושת הממדים, נשארת ללא שינוי</w:t>
      </w:r>
      <w:r w:rsidR="00F21063">
        <w:rPr>
          <w:rStyle w:val="FootnoteReference"/>
          <w:rtl/>
        </w:rPr>
        <w:footnoteReference w:id="108"/>
      </w:r>
      <w:r w:rsidR="00F21063">
        <w:rPr>
          <w:rFonts w:hint="cs"/>
          <w:rtl/>
        </w:rPr>
        <w:t xml:space="preserve">. </w:t>
      </w:r>
    </w:p>
    <w:p w14:paraId="4F44B892" w14:textId="21E7392B" w:rsidR="00642460" w:rsidRDefault="007E431D" w:rsidP="00AF63E4">
      <w:pPr>
        <w:rPr>
          <w:rtl/>
        </w:rPr>
      </w:pPr>
      <w:r>
        <w:rPr>
          <w:rFonts w:hint="cs"/>
          <w:rtl/>
        </w:rPr>
        <w:t>דבר זה נדון במקום אחר</w:t>
      </w:r>
      <w:r>
        <w:rPr>
          <w:rStyle w:val="FootnoteReference"/>
          <w:rtl/>
        </w:rPr>
        <w:footnoteReference w:id="109"/>
      </w:r>
      <w:r>
        <w:rPr>
          <w:rFonts w:hint="cs"/>
          <w:rtl/>
        </w:rPr>
        <w:t xml:space="preserve">, </w:t>
      </w:r>
      <w:bookmarkStart w:id="73" w:name="_Hlk77752534"/>
      <w:r w:rsidR="003734E4">
        <w:rPr>
          <w:rFonts w:hint="cs"/>
          <w:rtl/>
        </w:rPr>
        <w:t>בו למדת שאורכים מוגדרים אלה הם הכמות של ה</w:t>
      </w:r>
      <w:r w:rsidR="00642460">
        <w:rPr>
          <w:rFonts w:hint="cs"/>
          <w:rtl/>
        </w:rPr>
        <w:t>צדדים</w:t>
      </w:r>
      <w:bookmarkEnd w:id="73"/>
      <w:r w:rsidR="003734E4">
        <w:rPr>
          <w:rStyle w:val="FootnoteReference"/>
          <w:rtl/>
        </w:rPr>
        <w:footnoteReference w:id="110"/>
      </w:r>
      <w:r w:rsidR="003734E4">
        <w:rPr>
          <w:rFonts w:hint="cs"/>
          <w:rtl/>
        </w:rPr>
        <w:t>, שהם מאפיינים שלו</w:t>
      </w:r>
      <w:r w:rsidR="003734E4">
        <w:rPr>
          <w:rStyle w:val="FootnoteReference"/>
          <w:rtl/>
        </w:rPr>
        <w:footnoteReference w:id="111"/>
      </w:r>
      <w:r w:rsidR="003734E4">
        <w:rPr>
          <w:rFonts w:hint="cs"/>
          <w:rtl/>
        </w:rPr>
        <w:t xml:space="preserve">, ומשתנים כשהצורה והעצם אינם משתנים - למרות שכמות זו יכולה להשתנות במקרים </w:t>
      </w:r>
      <w:r w:rsidR="009C463A">
        <w:rPr>
          <w:rFonts w:hint="cs"/>
          <w:rtl/>
        </w:rPr>
        <w:t>מסוימים</w:t>
      </w:r>
      <w:r w:rsidR="003734E4">
        <w:rPr>
          <w:rFonts w:hint="cs"/>
          <w:rtl/>
        </w:rPr>
        <w:t xml:space="preserve"> או צורות בגוף, כמו מים שכשהם מתחממים הנפח שלהם גדל</w:t>
      </w:r>
      <w:r w:rsidR="003734E4">
        <w:rPr>
          <w:rStyle w:val="FootnoteReference"/>
          <w:rtl/>
        </w:rPr>
        <w:footnoteReference w:id="112"/>
      </w:r>
      <w:r w:rsidR="003734E4">
        <w:rPr>
          <w:rFonts w:hint="cs"/>
          <w:rtl/>
        </w:rPr>
        <w:t xml:space="preserve">. </w:t>
      </w:r>
    </w:p>
    <w:p w14:paraId="5FB8CD76" w14:textId="3384A9E0" w:rsidR="00642460" w:rsidRDefault="00F8752D" w:rsidP="003266A1">
      <w:pPr>
        <w:pStyle w:val="Heading4"/>
        <w:rPr>
          <w:rtl/>
        </w:rPr>
      </w:pPr>
      <w:bookmarkStart w:id="74" w:name="_Toc119092607"/>
      <w:r>
        <w:rPr>
          <w:rFonts w:hint="cs"/>
          <w:rtl/>
        </w:rPr>
        <w:t>1.2.</w:t>
      </w:r>
      <w:r w:rsidR="00642460">
        <w:rPr>
          <w:rFonts w:hint="cs"/>
          <w:rtl/>
        </w:rPr>
        <w:t>3</w:t>
      </w:r>
      <w:bookmarkEnd w:id="74"/>
    </w:p>
    <w:p w14:paraId="708E9CC5" w14:textId="394B6DB5" w:rsidR="00780EA7" w:rsidRDefault="00642460" w:rsidP="007B540D">
      <w:pPr>
        <w:rPr>
          <w:rtl/>
        </w:rPr>
      </w:pPr>
      <w:r>
        <w:rPr>
          <w:rFonts w:hint="cs"/>
          <w:rtl/>
        </w:rPr>
        <w:t>גוף טבעי זה יש לו התחלות</w:t>
      </w:r>
      <w:r w:rsidR="00BA1B96">
        <w:rPr>
          <w:rStyle w:val="FootnoteReference"/>
          <w:rtl/>
        </w:rPr>
        <w:footnoteReference w:id="113"/>
      </w:r>
      <w:r>
        <w:rPr>
          <w:rFonts w:hint="cs"/>
          <w:rtl/>
        </w:rPr>
        <w:t xml:space="preserve"> </w:t>
      </w:r>
      <w:proofErr w:type="spellStart"/>
      <w:r>
        <w:rPr>
          <w:rFonts w:hint="cs"/>
          <w:rtl/>
        </w:rPr>
        <w:t>מסויימות</w:t>
      </w:r>
      <w:proofErr w:type="spellEnd"/>
      <w:r>
        <w:rPr>
          <w:rFonts w:hint="cs"/>
          <w:rtl/>
        </w:rPr>
        <w:t xml:space="preserve"> כגוף טבעי, באותה מידה שיש לו התחלות נוספות כמתהווה ונפסד, או באופן כללי </w:t>
      </w:r>
      <w:r w:rsidR="00780EA7">
        <w:rPr>
          <w:rFonts w:hint="cs"/>
          <w:rtl/>
        </w:rPr>
        <w:t>כ</w:t>
      </w:r>
      <w:r>
        <w:rPr>
          <w:rFonts w:hint="cs"/>
          <w:rtl/>
        </w:rPr>
        <w:t>בר-שינוי.</w:t>
      </w:r>
    </w:p>
    <w:p w14:paraId="51206CAE" w14:textId="77777777" w:rsidR="00A3000B" w:rsidRDefault="0015412F" w:rsidP="007B540D">
      <w:pPr>
        <w:rPr>
          <w:rtl/>
        </w:rPr>
      </w:pPr>
      <w:r>
        <w:rPr>
          <w:rFonts w:hint="cs"/>
          <w:rtl/>
        </w:rPr>
        <w:t xml:space="preserve">ההתחלות שבהן הוא נעשה גופני, </w:t>
      </w:r>
      <w:r w:rsidR="00BA1B96">
        <w:rPr>
          <w:rFonts w:hint="cs"/>
          <w:rtl/>
        </w:rPr>
        <w:t xml:space="preserve">כוללות </w:t>
      </w:r>
      <w:r w:rsidR="008C6A80">
        <w:rPr>
          <w:rFonts w:hint="cs"/>
          <w:rtl/>
        </w:rPr>
        <w:t>כל חלק של הווייתו כנמצא בפועל בגוף הטבעי עצמו, ואלה הן הראויות ביותר להיקרא 'התחלות' לפי פילוסוף הטבע</w:t>
      </w:r>
      <w:r w:rsidR="008C6A80">
        <w:rPr>
          <w:rStyle w:val="FootnoteReference"/>
          <w:rtl/>
        </w:rPr>
        <w:footnoteReference w:id="114"/>
      </w:r>
      <w:r w:rsidR="008C6A80">
        <w:rPr>
          <w:rFonts w:hint="cs"/>
          <w:rtl/>
        </w:rPr>
        <w:t xml:space="preserve">. </w:t>
      </w:r>
      <w:r w:rsidR="00642460">
        <w:rPr>
          <w:rFonts w:hint="cs"/>
          <w:rtl/>
        </w:rPr>
        <w:t xml:space="preserve">  </w:t>
      </w:r>
    </w:p>
    <w:p w14:paraId="727423CE" w14:textId="5F8DF3C2" w:rsidR="00321359" w:rsidRDefault="00A3000B" w:rsidP="00AF63E4">
      <w:pPr>
        <w:rPr>
          <w:rtl/>
        </w:rPr>
      </w:pPr>
      <w:r>
        <w:rPr>
          <w:rFonts w:hint="cs"/>
          <w:rtl/>
        </w:rPr>
        <w:t>הן שתיים, אחת מהן היא כמו העץ של המיטה, כאשר השנייה היא כמו הצורה או התבנית של המיטה</w:t>
      </w:r>
      <w:r>
        <w:rPr>
          <w:rStyle w:val="FootnoteReference"/>
          <w:rtl/>
        </w:rPr>
        <w:footnoteReference w:id="115"/>
      </w:r>
      <w:r>
        <w:rPr>
          <w:rFonts w:hint="cs"/>
          <w:rtl/>
        </w:rPr>
        <w:t>. מה שהוא כמו העץ של המיטה נקרא</w:t>
      </w:r>
      <w:r w:rsidR="00805B9B">
        <w:rPr>
          <w:rFonts w:hint="cs"/>
          <w:rtl/>
        </w:rPr>
        <w:t xml:space="preserve"> היולי</w:t>
      </w:r>
      <w:r w:rsidR="00B67702">
        <w:rPr>
          <w:rStyle w:val="FootnoteReference"/>
          <w:rtl/>
        </w:rPr>
        <w:footnoteReference w:id="116"/>
      </w:r>
      <w:r>
        <w:rPr>
          <w:rFonts w:hint="cs"/>
          <w:rtl/>
        </w:rPr>
        <w:t>, נושא</w:t>
      </w:r>
      <w:r w:rsidR="00523CB9">
        <w:rPr>
          <w:rStyle w:val="FootnoteReference"/>
          <w:rtl/>
        </w:rPr>
        <w:footnoteReference w:id="117"/>
      </w:r>
      <w:r>
        <w:rPr>
          <w:rFonts w:hint="cs"/>
          <w:rtl/>
        </w:rPr>
        <w:t>, חומר, מרכיב ו</w:t>
      </w:r>
      <w:r w:rsidR="00805B9B">
        <w:rPr>
          <w:rFonts w:hint="cs"/>
          <w:rtl/>
        </w:rPr>
        <w:t>בסיס</w:t>
      </w:r>
      <w:r w:rsidR="00805B9B">
        <w:rPr>
          <w:rStyle w:val="FootnoteReference"/>
          <w:rtl/>
        </w:rPr>
        <w:footnoteReference w:id="118"/>
      </w:r>
      <w:r>
        <w:rPr>
          <w:rFonts w:hint="cs"/>
          <w:rtl/>
        </w:rPr>
        <w:t xml:space="preserve"> לפי בחינות שונות; בעוד שמה שהוא כמו הצורה של המיטה נקרא צורה.</w:t>
      </w:r>
    </w:p>
    <w:p w14:paraId="6793175E" w14:textId="6B7ED2E7" w:rsidR="00321359" w:rsidRDefault="00F8752D" w:rsidP="003266A1">
      <w:pPr>
        <w:pStyle w:val="Heading4"/>
        <w:rPr>
          <w:rtl/>
        </w:rPr>
      </w:pPr>
      <w:bookmarkStart w:id="77" w:name="_Toc119092608"/>
      <w:r>
        <w:rPr>
          <w:rFonts w:hint="cs"/>
          <w:rtl/>
        </w:rPr>
        <w:t>1.2.</w:t>
      </w:r>
      <w:r w:rsidR="00321359">
        <w:rPr>
          <w:rFonts w:hint="cs"/>
          <w:rtl/>
        </w:rPr>
        <w:t>4</w:t>
      </w:r>
      <w:bookmarkEnd w:id="77"/>
    </w:p>
    <w:p w14:paraId="4018B753" w14:textId="3A95A1DB" w:rsidR="00642460" w:rsidRDefault="00321359" w:rsidP="007B540D">
      <w:pPr>
        <w:rPr>
          <w:rtl/>
        </w:rPr>
      </w:pPr>
      <w:r>
        <w:rPr>
          <w:rFonts w:hint="cs"/>
          <w:rtl/>
        </w:rPr>
        <w:t>מאחר שצורת התלת</w:t>
      </w:r>
      <w:r w:rsidR="004773BD">
        <w:rPr>
          <w:rStyle w:val="FootnoteReference"/>
          <w:rtl/>
        </w:rPr>
        <w:footnoteReference w:id="119"/>
      </w:r>
      <w:r>
        <w:rPr>
          <w:rFonts w:hint="cs"/>
          <w:rtl/>
        </w:rPr>
        <w:t xml:space="preserve"> ממדיות היא או קודמת לכל </w:t>
      </w:r>
      <w:r w:rsidR="00C50DDB">
        <w:rPr>
          <w:rFonts w:hint="cs"/>
          <w:rtl/>
        </w:rPr>
        <w:t>שאר הצורות</w:t>
      </w:r>
      <w:r>
        <w:rPr>
          <w:rFonts w:hint="cs"/>
          <w:rtl/>
        </w:rPr>
        <w:t xml:space="preserve"> ש</w:t>
      </w:r>
      <w:r w:rsidR="003F3D1A">
        <w:rPr>
          <w:rFonts w:hint="cs"/>
          <w:rtl/>
        </w:rPr>
        <w:t>הן טבעיות</w:t>
      </w:r>
      <w:r w:rsidR="00131233">
        <w:rPr>
          <w:rStyle w:val="FootnoteReference"/>
          <w:rtl/>
        </w:rPr>
        <w:footnoteReference w:id="120"/>
      </w:r>
      <w:r w:rsidR="00131233">
        <w:rPr>
          <w:rFonts w:hint="cs"/>
          <w:rtl/>
        </w:rPr>
        <w:t xml:space="preserve"> וסוגיהם ומיניהם</w:t>
      </w:r>
      <w:r w:rsidR="00D26D41">
        <w:rPr>
          <w:rFonts w:hint="cs"/>
          <w:rtl/>
        </w:rPr>
        <w:t xml:space="preserve"> -</w:t>
      </w:r>
      <w:r w:rsidR="00131233">
        <w:rPr>
          <w:rFonts w:hint="cs"/>
          <w:rtl/>
        </w:rPr>
        <w:t xml:space="preserve"> או שהיא</w:t>
      </w:r>
      <w:r w:rsidR="00DB5C45">
        <w:rPr>
          <w:rFonts w:hint="cs"/>
          <w:rtl/>
        </w:rPr>
        <w:t xml:space="preserve"> עניין </w:t>
      </w:r>
      <w:r w:rsidR="00131233">
        <w:rPr>
          <w:rFonts w:hint="cs"/>
          <w:rtl/>
        </w:rPr>
        <w:t>בלתי נפרד מהם</w:t>
      </w:r>
      <w:r w:rsidR="00DB5C45">
        <w:rPr>
          <w:rStyle w:val="FootnoteReference"/>
          <w:rtl/>
        </w:rPr>
        <w:footnoteReference w:id="121"/>
      </w:r>
      <w:r w:rsidR="00D26D41">
        <w:rPr>
          <w:rFonts w:hint="cs"/>
          <w:rtl/>
        </w:rPr>
        <w:t xml:space="preserve"> -</w:t>
      </w:r>
      <w:r w:rsidR="00131233">
        <w:rPr>
          <w:rFonts w:hint="cs"/>
          <w:rtl/>
        </w:rPr>
        <w:t xml:space="preserve"> מה ששייך לגוף כמו שהעץ שייך למיטה </w:t>
      </w:r>
      <w:r w:rsidR="00D87B6D">
        <w:rPr>
          <w:rFonts w:hint="cs"/>
          <w:rtl/>
        </w:rPr>
        <w:t xml:space="preserve">שייך גם לכל </w:t>
      </w:r>
      <w:r w:rsidR="00C50DDB">
        <w:rPr>
          <w:rFonts w:hint="cs"/>
          <w:rtl/>
        </w:rPr>
        <w:t>שאר ה</w:t>
      </w:r>
      <w:r w:rsidR="008A3A57">
        <w:rPr>
          <w:rFonts w:hint="cs"/>
          <w:rtl/>
        </w:rPr>
        <w:t>דברים שיש להם את הצורות בדרך זו</w:t>
      </w:r>
      <w:r w:rsidR="008A3A57">
        <w:rPr>
          <w:rStyle w:val="FootnoteReference"/>
          <w:rtl/>
        </w:rPr>
        <w:footnoteReference w:id="122"/>
      </w:r>
      <w:r w:rsidR="008A3A57">
        <w:rPr>
          <w:rFonts w:hint="cs"/>
          <w:rtl/>
        </w:rPr>
        <w:t xml:space="preserve">, כיוון שכולם קיימים למעשה </w:t>
      </w:r>
      <w:r w:rsidR="00B652B7">
        <w:rPr>
          <w:rFonts w:hint="cs"/>
          <w:rtl/>
        </w:rPr>
        <w:t xml:space="preserve">ביחד </w:t>
      </w:r>
      <w:r w:rsidR="00A647F6">
        <w:rPr>
          <w:rFonts w:hint="cs"/>
          <w:rtl/>
        </w:rPr>
        <w:t>בתלת ממדיות</w:t>
      </w:r>
      <w:r w:rsidR="008A3A57">
        <w:rPr>
          <w:rStyle w:val="FootnoteReference"/>
          <w:rtl/>
        </w:rPr>
        <w:footnoteReference w:id="123"/>
      </w:r>
      <w:r w:rsidR="00B652B7">
        <w:rPr>
          <w:rFonts w:hint="cs"/>
          <w:rtl/>
        </w:rPr>
        <w:t>,</w:t>
      </w:r>
      <w:r w:rsidR="008A3A57">
        <w:rPr>
          <w:rFonts w:hint="cs"/>
          <w:rtl/>
        </w:rPr>
        <w:t xml:space="preserve"> </w:t>
      </w:r>
      <w:r w:rsidR="00B652B7">
        <w:rPr>
          <w:rFonts w:hint="cs"/>
          <w:rtl/>
        </w:rPr>
        <w:t>וכך</w:t>
      </w:r>
      <w:r w:rsidR="008A7641">
        <w:t xml:space="preserve"> </w:t>
      </w:r>
      <w:r w:rsidR="008A7641">
        <w:rPr>
          <w:rFonts w:hint="cs"/>
          <w:rtl/>
        </w:rPr>
        <w:t>זה, כלומר החומרי, הוא עצם</w:t>
      </w:r>
      <w:r w:rsidR="00B652B7">
        <w:rPr>
          <w:rStyle w:val="FootnoteReference"/>
          <w:rtl/>
        </w:rPr>
        <w:footnoteReference w:id="124"/>
      </w:r>
      <w:r w:rsidR="00B652B7">
        <w:rPr>
          <w:rFonts w:hint="cs"/>
          <w:rtl/>
        </w:rPr>
        <w:t>.</w:t>
      </w:r>
    </w:p>
    <w:p w14:paraId="3AFB8438" w14:textId="77777777" w:rsidR="009039D0" w:rsidRDefault="00416DF1" w:rsidP="000B0BB5">
      <w:pPr>
        <w:rPr>
          <w:rtl/>
        </w:rPr>
      </w:pPr>
      <w:bookmarkStart w:id="80" w:name="_Hlk81658362"/>
      <w:r>
        <w:rPr>
          <w:rFonts w:hint="cs"/>
          <w:rtl/>
        </w:rPr>
        <w:t>כשהחומרי נדון כשלעצמו, בלי התייחסות ל</w:t>
      </w:r>
      <w:r w:rsidR="00A421D4">
        <w:rPr>
          <w:rFonts w:hint="cs"/>
          <w:rtl/>
        </w:rPr>
        <w:t>דבר</w:t>
      </w:r>
      <w:r>
        <w:rPr>
          <w:rFonts w:hint="cs"/>
          <w:rtl/>
        </w:rPr>
        <w:t>, הוא נמצא חסר בעצמו צורות אלה</w:t>
      </w:r>
      <w:r w:rsidR="00DF046A">
        <w:rPr>
          <w:rStyle w:val="FootnoteReference"/>
          <w:rtl/>
        </w:rPr>
        <w:footnoteReference w:id="125"/>
      </w:r>
      <w:r>
        <w:rPr>
          <w:rFonts w:hint="cs"/>
          <w:rtl/>
        </w:rPr>
        <w:t xml:space="preserve">. </w:t>
      </w:r>
    </w:p>
    <w:p w14:paraId="3FA1B05C" w14:textId="5CD38E00" w:rsidR="00A421D4" w:rsidRDefault="009A23AB" w:rsidP="000B0BB5">
      <w:pPr>
        <w:rPr>
          <w:rtl/>
        </w:rPr>
      </w:pPr>
      <w:r>
        <w:rPr>
          <w:rFonts w:hint="cs"/>
          <w:rtl/>
        </w:rPr>
        <w:t xml:space="preserve">עדיין הוא מוכן לקבל צורות אלה </w:t>
      </w:r>
      <w:r w:rsidR="000B0BB5">
        <w:rPr>
          <w:rFonts w:hint="cs"/>
          <w:rtl/>
        </w:rPr>
        <w:t>או להתחבר איתן באחת משתי דרכים</w:t>
      </w:r>
      <w:r w:rsidR="00A421D4">
        <w:rPr>
          <w:rFonts w:hint="cs"/>
          <w:rtl/>
        </w:rPr>
        <w:t>:</w:t>
      </w:r>
    </w:p>
    <w:p w14:paraId="1BF943B9" w14:textId="01DD658E" w:rsidR="00AD6479" w:rsidRDefault="00A421D4" w:rsidP="000B0BB5">
      <w:pPr>
        <w:rPr>
          <w:rtl/>
        </w:rPr>
      </w:pPr>
      <w:r>
        <w:rPr>
          <w:rFonts w:hint="cs"/>
          <w:rtl/>
        </w:rPr>
        <w:t>מצד אחד, אפשר שזה משום ה</w:t>
      </w:r>
      <w:r w:rsidR="00B20737">
        <w:rPr>
          <w:rFonts w:hint="cs"/>
          <w:rtl/>
        </w:rPr>
        <w:t>הכנה שבחומרי מצד טבעו</w:t>
      </w:r>
      <w:r>
        <w:rPr>
          <w:rFonts w:hint="cs"/>
          <w:rtl/>
        </w:rPr>
        <w:t xml:space="preserve"> הכללי </w:t>
      </w:r>
      <w:r w:rsidR="00B20737">
        <w:rPr>
          <w:rFonts w:hint="cs"/>
          <w:rtl/>
        </w:rPr>
        <w:t xml:space="preserve">המוחלט. </w:t>
      </w:r>
      <w:r>
        <w:rPr>
          <w:rFonts w:hint="cs"/>
          <w:rtl/>
        </w:rPr>
        <w:t xml:space="preserve">כאילו היה זה סוג שיש בו שני מינים, האחד ראשוני והשני </w:t>
      </w:r>
      <w:r w:rsidR="00DA1022">
        <w:rPr>
          <w:rFonts w:hint="cs"/>
          <w:rtl/>
        </w:rPr>
        <w:t>מתייחס</w:t>
      </w:r>
      <w:r w:rsidR="00DA1022">
        <w:rPr>
          <w:rStyle w:val="FootnoteReference"/>
          <w:rtl/>
        </w:rPr>
        <w:footnoteReference w:id="126"/>
      </w:r>
      <w:r>
        <w:rPr>
          <w:rFonts w:hint="cs"/>
          <w:rtl/>
        </w:rPr>
        <w:t xml:space="preserve">, כל אחד מהם </w:t>
      </w:r>
      <w:r w:rsidR="005C7929">
        <w:rPr>
          <w:rFonts w:hint="cs"/>
          <w:rtl/>
        </w:rPr>
        <w:t>בוחר</w:t>
      </w:r>
      <w:r w:rsidR="005C7929">
        <w:rPr>
          <w:rStyle w:val="FootnoteReference"/>
          <w:rtl/>
        </w:rPr>
        <w:footnoteReference w:id="127"/>
      </w:r>
      <w:r w:rsidR="005C7929">
        <w:rPr>
          <w:rFonts w:hint="cs"/>
          <w:rtl/>
        </w:rPr>
        <w:t xml:space="preserve"> ב</w:t>
      </w:r>
      <w:r>
        <w:rPr>
          <w:rFonts w:hint="cs"/>
          <w:rtl/>
        </w:rPr>
        <w:t xml:space="preserve">קבלת צורות </w:t>
      </w:r>
      <w:proofErr w:type="spellStart"/>
      <w:r>
        <w:rPr>
          <w:rFonts w:hint="cs"/>
          <w:rtl/>
        </w:rPr>
        <w:t>מסויימות</w:t>
      </w:r>
      <w:proofErr w:type="spellEnd"/>
      <w:r>
        <w:rPr>
          <w:rFonts w:hint="cs"/>
          <w:rtl/>
        </w:rPr>
        <w:t xml:space="preserve"> </w:t>
      </w:r>
      <w:r w:rsidR="00AD6479">
        <w:rPr>
          <w:rFonts w:hint="cs"/>
          <w:rtl/>
        </w:rPr>
        <w:t>ולא אחרות</w:t>
      </w:r>
      <w:r>
        <w:rPr>
          <w:rFonts w:hint="cs"/>
          <w:rtl/>
        </w:rPr>
        <w:t xml:space="preserve">, אחרי צורת התלת ממדיות. </w:t>
      </w:r>
    </w:p>
    <w:p w14:paraId="1EBBF363" w14:textId="7D2CB70A" w:rsidR="00383369" w:rsidRDefault="00AD6479" w:rsidP="00AF63E4">
      <w:pPr>
        <w:rPr>
          <w:rtl/>
        </w:rPr>
      </w:pPr>
      <w:r>
        <w:rPr>
          <w:rFonts w:hint="cs"/>
          <w:rtl/>
        </w:rPr>
        <w:t xml:space="preserve">מצד שני, מההכנה של הטבע, החומרי בעצמו אפשר שהוא </w:t>
      </w:r>
      <w:r w:rsidR="00B17BAA">
        <w:rPr>
          <w:rFonts w:hint="cs"/>
          <w:rtl/>
        </w:rPr>
        <w:t>דבר משותף לכל הצורות; וכך</w:t>
      </w:r>
      <w:r w:rsidR="00972FED">
        <w:rPr>
          <w:rFonts w:hint="cs"/>
          <w:rtl/>
        </w:rPr>
        <w:t>,</w:t>
      </w:r>
      <w:r w:rsidR="00B17BAA">
        <w:rPr>
          <w:rFonts w:hint="cs"/>
          <w:rtl/>
        </w:rPr>
        <w:t xml:space="preserve"> מחמת הכלליות שלו, הוא מוכן לקבל את כל הצורות האלה, </w:t>
      </w:r>
      <w:bookmarkStart w:id="84" w:name="_Hlk81659362"/>
      <w:r w:rsidR="00B17BAA">
        <w:rPr>
          <w:rFonts w:hint="cs"/>
          <w:rtl/>
        </w:rPr>
        <w:t>מקצתן בכלליות ובסדר השתלשלות, ואחרות רק בסדר השתלשלות</w:t>
      </w:r>
      <w:bookmarkEnd w:id="84"/>
      <w:r w:rsidR="00B17BAA">
        <w:rPr>
          <w:rFonts w:hint="cs"/>
          <w:rtl/>
        </w:rPr>
        <w:t xml:space="preserve">. במקרה זה, תהיה התאמה </w:t>
      </w:r>
      <w:proofErr w:type="spellStart"/>
      <w:r w:rsidR="00B17BAA">
        <w:rPr>
          <w:rFonts w:hint="cs"/>
          <w:rtl/>
        </w:rPr>
        <w:t>מסויימת</w:t>
      </w:r>
      <w:proofErr w:type="spellEnd"/>
      <w:r w:rsidR="00B17BAA">
        <w:rPr>
          <w:rFonts w:hint="cs"/>
          <w:rtl/>
        </w:rPr>
        <w:t xml:space="preserve"> עם הצורות בטבעו - כלומר החומר מוכן להן, כשההכנה הזו היא כמו רושם בו, והיא כמו צל או </w:t>
      </w:r>
      <w:r w:rsidR="0070607D">
        <w:rPr>
          <w:rFonts w:hint="cs"/>
          <w:rtl/>
        </w:rPr>
        <w:t>בבואת</w:t>
      </w:r>
      <w:r w:rsidR="00BE7732">
        <w:rPr>
          <w:rFonts w:hint="cs"/>
          <w:rtl/>
        </w:rPr>
        <w:t>-דמיון</w:t>
      </w:r>
      <w:r w:rsidR="00BE7732">
        <w:rPr>
          <w:rStyle w:val="FootnoteReference"/>
          <w:rtl/>
        </w:rPr>
        <w:footnoteReference w:id="128"/>
      </w:r>
      <w:r w:rsidR="00BE7732">
        <w:rPr>
          <w:rFonts w:hint="cs"/>
          <w:rtl/>
        </w:rPr>
        <w:t xml:space="preserve"> של הצורה, כש</w:t>
      </w:r>
      <w:r w:rsidR="0070607D">
        <w:rPr>
          <w:rFonts w:hint="cs"/>
          <w:rtl/>
        </w:rPr>
        <w:t>בפועל</w:t>
      </w:r>
      <w:r w:rsidR="00BE7732">
        <w:rPr>
          <w:rFonts w:hint="cs"/>
          <w:rtl/>
        </w:rPr>
        <w:t xml:space="preserve"> הצורה היא</w:t>
      </w:r>
      <w:r w:rsidR="00B20737">
        <w:t xml:space="preserve"> </w:t>
      </w:r>
      <w:r w:rsidR="00B20737">
        <w:rPr>
          <w:rFonts w:hint="cs"/>
          <w:rtl/>
        </w:rPr>
        <w:t>המביאה את העצם לשלמות</w:t>
      </w:r>
      <w:r w:rsidR="00BE7732">
        <w:rPr>
          <w:rFonts w:hint="cs"/>
          <w:rtl/>
        </w:rPr>
        <w:t>.</w:t>
      </w:r>
      <w:bookmarkStart w:id="85" w:name="_Ref96865203"/>
      <w:bookmarkEnd w:id="80"/>
      <w:r w:rsidR="00B439A4">
        <w:rPr>
          <w:rStyle w:val="FootnoteReference"/>
          <w:rtl/>
        </w:rPr>
        <w:footnoteReference w:id="129"/>
      </w:r>
      <w:bookmarkEnd w:id="85"/>
    </w:p>
    <w:p w14:paraId="3256B508" w14:textId="627D95B5" w:rsidR="00383369" w:rsidRDefault="00F8752D" w:rsidP="003266A1">
      <w:pPr>
        <w:pStyle w:val="Heading4"/>
        <w:rPr>
          <w:rtl/>
        </w:rPr>
      </w:pPr>
      <w:bookmarkStart w:id="87" w:name="_Toc119092609"/>
      <w:r>
        <w:rPr>
          <w:rFonts w:hint="cs"/>
          <w:rtl/>
        </w:rPr>
        <w:t>1.2.</w:t>
      </w:r>
      <w:r w:rsidR="00383369">
        <w:rPr>
          <w:rFonts w:hint="cs"/>
          <w:rtl/>
        </w:rPr>
        <w:t>5</w:t>
      </w:r>
      <w:bookmarkEnd w:id="87"/>
    </w:p>
    <w:p w14:paraId="58532243" w14:textId="6E697E3B" w:rsidR="00141518" w:rsidRDefault="006C5BEF" w:rsidP="00213419">
      <w:pPr>
        <w:rPr>
          <w:rtl/>
        </w:rPr>
      </w:pPr>
      <w:r>
        <w:rPr>
          <w:rFonts w:hint="cs"/>
          <w:rtl/>
        </w:rPr>
        <w:t>הבה נני</w:t>
      </w:r>
      <w:r w:rsidR="001365B4">
        <w:rPr>
          <w:rFonts w:hint="cs"/>
          <w:rtl/>
        </w:rPr>
        <w:t>ח, אפוא,</w:t>
      </w:r>
      <w:r w:rsidR="00930CC7">
        <w:rPr>
          <w:rFonts w:hint="cs"/>
          <w:rtl/>
        </w:rPr>
        <w:t xml:space="preserve"> הנחת יסוד של חכמת הטבע, שגוף, כגוף, יש לו התחלה שהיא </w:t>
      </w:r>
      <w:r w:rsidR="0047724A">
        <w:rPr>
          <w:rFonts w:hint="cs"/>
          <w:rtl/>
        </w:rPr>
        <w:t>היול</w:t>
      </w:r>
      <w:r w:rsidR="00930CC7">
        <w:rPr>
          <w:rFonts w:hint="cs"/>
          <w:rtl/>
        </w:rPr>
        <w:t>ית</w:t>
      </w:r>
      <w:r w:rsidR="0047724A">
        <w:rPr>
          <w:rStyle w:val="FootnoteReference"/>
          <w:rtl/>
        </w:rPr>
        <w:footnoteReference w:id="130"/>
      </w:r>
      <w:r w:rsidR="00930CC7">
        <w:rPr>
          <w:rFonts w:hint="cs"/>
          <w:rtl/>
        </w:rPr>
        <w:t xml:space="preserve"> והתחלה שהיא צורה</w:t>
      </w:r>
      <w:r w:rsidR="00C351A9">
        <w:rPr>
          <w:rStyle w:val="FootnoteReference"/>
          <w:rtl/>
        </w:rPr>
        <w:footnoteReference w:id="131"/>
      </w:r>
      <w:r w:rsidR="004A57C3">
        <w:rPr>
          <w:rFonts w:hint="cs"/>
          <w:rtl/>
        </w:rPr>
        <w:t xml:space="preserve">; בין אם </w:t>
      </w:r>
      <w:r w:rsidR="00213419">
        <w:rPr>
          <w:rFonts w:hint="cs"/>
          <w:rtl/>
        </w:rPr>
        <w:t>הכוונה לצורת התלת ממדיות המוחלטת</w:t>
      </w:r>
      <w:r w:rsidR="0047724A">
        <w:rPr>
          <w:rStyle w:val="FootnoteReference"/>
          <w:rtl/>
        </w:rPr>
        <w:footnoteReference w:id="132"/>
      </w:r>
      <w:r w:rsidR="00213419">
        <w:rPr>
          <w:rFonts w:hint="cs"/>
          <w:rtl/>
        </w:rPr>
        <w:t xml:space="preserve">, או לצורת מין מבין צורות הגופים, או צורה מקרית </w:t>
      </w:r>
      <w:r w:rsidR="002D6C6A">
        <w:rPr>
          <w:rFonts w:hint="cs"/>
          <w:rtl/>
        </w:rPr>
        <w:t xml:space="preserve">- </w:t>
      </w:r>
      <w:r w:rsidR="00213419">
        <w:rPr>
          <w:rFonts w:hint="cs"/>
          <w:rtl/>
        </w:rPr>
        <w:t>ככל שאתה מתייחס לגוף במידה שהוא לבן, חזק, או בריא</w:t>
      </w:r>
      <w:r w:rsidR="002D6C6A">
        <w:rPr>
          <w:rStyle w:val="FootnoteReference"/>
          <w:rtl/>
        </w:rPr>
        <w:footnoteReference w:id="133"/>
      </w:r>
      <w:r w:rsidR="002D6C6A">
        <w:rPr>
          <w:rFonts w:hint="cs"/>
          <w:rtl/>
        </w:rPr>
        <w:t>.</w:t>
      </w:r>
      <w:r w:rsidR="00AD6479">
        <w:rPr>
          <w:rFonts w:hint="cs"/>
          <w:rtl/>
        </w:rPr>
        <w:t xml:space="preserve"> </w:t>
      </w:r>
    </w:p>
    <w:p w14:paraId="6457D55E" w14:textId="6268EFF4" w:rsidR="009A23AB" w:rsidRDefault="00F70869" w:rsidP="00213419">
      <w:r w:rsidRPr="00F70869">
        <w:rPr>
          <w:rtl/>
        </w:rPr>
        <w:t xml:space="preserve">הבה נניח </w:t>
      </w:r>
      <w:r w:rsidR="001365B4">
        <w:rPr>
          <w:rFonts w:hint="cs"/>
          <w:rtl/>
        </w:rPr>
        <w:t>גם זאת כ</w:t>
      </w:r>
      <w:r w:rsidRPr="00F70869">
        <w:rPr>
          <w:rtl/>
        </w:rPr>
        <w:t>הנחת יסוד של חכמת הטבע</w:t>
      </w:r>
      <w:r w:rsidR="006C5BEF">
        <w:rPr>
          <w:rFonts w:hint="cs"/>
          <w:rtl/>
        </w:rPr>
        <w:t xml:space="preserve">, שמה שהוא </w:t>
      </w:r>
      <w:r w:rsidR="001365B4">
        <w:rPr>
          <w:rFonts w:hint="cs"/>
          <w:rtl/>
        </w:rPr>
        <w:t>היולי</w:t>
      </w:r>
      <w:bookmarkStart w:id="88" w:name="_Hlk83029394"/>
      <w:r w:rsidR="006C5BEF">
        <w:rPr>
          <w:rFonts w:hint="cs"/>
          <w:rtl/>
        </w:rPr>
        <w:t xml:space="preserve"> </w:t>
      </w:r>
      <w:bookmarkEnd w:id="88"/>
      <w:r w:rsidR="006C5BEF">
        <w:rPr>
          <w:rFonts w:hint="cs"/>
          <w:rtl/>
        </w:rPr>
        <w:t xml:space="preserve">לעולם אינו נפרד מצורה להיות </w:t>
      </w:r>
      <w:r w:rsidR="001365B4">
        <w:rPr>
          <w:rFonts w:hint="cs"/>
          <w:rtl/>
        </w:rPr>
        <w:t>קיים בעצמו באופן מוחלט</w:t>
      </w:r>
      <w:r w:rsidR="00014392">
        <w:rPr>
          <w:rStyle w:val="FootnoteReference"/>
          <w:rtl/>
        </w:rPr>
        <w:footnoteReference w:id="134"/>
      </w:r>
      <w:r w:rsidR="006C5BEF">
        <w:rPr>
          <w:rFonts w:hint="cs"/>
          <w:rtl/>
        </w:rPr>
        <w:t xml:space="preserve">. </w:t>
      </w:r>
    </w:p>
    <w:p w14:paraId="3686A9FA" w14:textId="469CD5B8" w:rsidR="007A506C" w:rsidRDefault="00D42A2D" w:rsidP="007A506C">
      <w:pPr>
        <w:rPr>
          <w:rtl/>
        </w:rPr>
      </w:pPr>
      <w:r>
        <w:rPr>
          <w:rFonts w:hint="cs"/>
          <w:rtl/>
        </w:rPr>
        <w:t>במילים אחרות, ה</w:t>
      </w:r>
      <w:r w:rsidR="0019022A">
        <w:rPr>
          <w:rFonts w:hint="cs"/>
          <w:rtl/>
        </w:rPr>
        <w:t>היולי</w:t>
      </w:r>
      <w:r>
        <w:rPr>
          <w:rFonts w:hint="cs"/>
          <w:rtl/>
        </w:rPr>
        <w:t xml:space="preserve"> לא נמצא בפועל אלא אם כן </w:t>
      </w:r>
      <w:r w:rsidR="00803D5E">
        <w:rPr>
          <w:rFonts w:hint="cs"/>
          <w:rtl/>
        </w:rPr>
        <w:t>תהיה בו</w:t>
      </w:r>
      <w:r w:rsidR="00E30AC5">
        <w:rPr>
          <w:rStyle w:val="FootnoteReference"/>
          <w:rtl/>
        </w:rPr>
        <w:footnoteReference w:id="135"/>
      </w:r>
      <w:r w:rsidR="00803D5E">
        <w:rPr>
          <w:rFonts w:hint="cs"/>
          <w:rtl/>
        </w:rPr>
        <w:t xml:space="preserve"> צורה </w:t>
      </w:r>
      <w:r>
        <w:rPr>
          <w:rFonts w:hint="cs"/>
          <w:rtl/>
        </w:rPr>
        <w:t>וכך הוא נמצא בפועל על ידי הצורה</w:t>
      </w:r>
      <w:r w:rsidR="003F09C6">
        <w:rPr>
          <w:rStyle w:val="FootnoteReference"/>
          <w:rtl/>
        </w:rPr>
        <w:footnoteReference w:id="136"/>
      </w:r>
      <w:r>
        <w:rPr>
          <w:rFonts w:hint="cs"/>
          <w:rtl/>
        </w:rPr>
        <w:t xml:space="preserve">. </w:t>
      </w:r>
    </w:p>
    <w:p w14:paraId="1979B960" w14:textId="77777777" w:rsidR="00637830" w:rsidRDefault="007A506C" w:rsidP="007A506C">
      <w:pPr>
        <w:rPr>
          <w:rtl/>
        </w:rPr>
      </w:pPr>
      <w:r>
        <w:rPr>
          <w:rFonts w:hint="cs"/>
          <w:rtl/>
        </w:rPr>
        <w:t>אם לא היה זה שהצורה נפרדת מהחומר רק עם ביאת צורה אחרת שמתלבשת בחומר ומחליפה אותה, אז ה</w:t>
      </w:r>
      <w:r w:rsidR="00637830">
        <w:rPr>
          <w:rFonts w:hint="cs"/>
          <w:rtl/>
        </w:rPr>
        <w:t>היולי</w:t>
      </w:r>
      <w:r>
        <w:rPr>
          <w:rFonts w:hint="cs"/>
          <w:rtl/>
        </w:rPr>
        <w:t xml:space="preserve"> היה בפועל חדל מלהימצא. </w:t>
      </w:r>
    </w:p>
    <w:p w14:paraId="2BD3AAC3" w14:textId="545D2CA8" w:rsidR="00E97EF6" w:rsidRDefault="00637830" w:rsidP="00AF63E4">
      <w:pPr>
        <w:rPr>
          <w:rtl/>
        </w:rPr>
      </w:pPr>
      <w:r>
        <w:rPr>
          <w:rFonts w:hint="cs"/>
          <w:rtl/>
        </w:rPr>
        <w:t>וזהו ההיולי</w:t>
      </w:r>
      <w:r w:rsidR="00AE41DF">
        <w:rPr>
          <w:rStyle w:val="FootnoteReference"/>
          <w:rtl/>
        </w:rPr>
        <w:footnoteReference w:id="137"/>
      </w:r>
      <w:r w:rsidR="00AE41DF">
        <w:rPr>
          <w:rFonts w:hint="cs"/>
          <w:rtl/>
        </w:rPr>
        <w:t>.</w:t>
      </w:r>
      <w:r w:rsidR="007A506C">
        <w:rPr>
          <w:rFonts w:hint="cs"/>
          <w:rtl/>
        </w:rPr>
        <w:t xml:space="preserve"> </w:t>
      </w:r>
    </w:p>
    <w:p w14:paraId="249EF971" w14:textId="1C4F5A73" w:rsidR="00E97EF6" w:rsidRDefault="00F8752D" w:rsidP="003266A1">
      <w:pPr>
        <w:pStyle w:val="Heading4"/>
        <w:rPr>
          <w:rtl/>
        </w:rPr>
      </w:pPr>
      <w:bookmarkStart w:id="89" w:name="_Toc119092610"/>
      <w:r>
        <w:rPr>
          <w:rFonts w:hint="cs"/>
          <w:rtl/>
        </w:rPr>
        <w:t>1.2.</w:t>
      </w:r>
      <w:r w:rsidR="00E97EF6">
        <w:rPr>
          <w:rFonts w:hint="cs"/>
          <w:rtl/>
        </w:rPr>
        <w:t>6</w:t>
      </w:r>
      <w:bookmarkEnd w:id="89"/>
    </w:p>
    <w:p w14:paraId="06860B01" w14:textId="77777777" w:rsidR="00FF2B2F" w:rsidRDefault="004B519C" w:rsidP="007A506C">
      <w:pPr>
        <w:rPr>
          <w:rtl/>
        </w:rPr>
      </w:pPr>
      <w:r>
        <w:rPr>
          <w:rFonts w:hint="cs"/>
          <w:rtl/>
        </w:rPr>
        <w:t>כעת, מבחינת היות ההיולי בכח לקבל צור</w:t>
      </w:r>
      <w:r w:rsidR="00013506">
        <w:rPr>
          <w:rFonts w:hint="cs"/>
          <w:rtl/>
        </w:rPr>
        <w:t>ות</w:t>
      </w:r>
      <w:r>
        <w:rPr>
          <w:rFonts w:hint="cs"/>
          <w:rtl/>
        </w:rPr>
        <w:t xml:space="preserve"> או צור</w:t>
      </w:r>
      <w:r w:rsidR="00013506">
        <w:rPr>
          <w:rFonts w:hint="cs"/>
          <w:rtl/>
        </w:rPr>
        <w:t>ה</w:t>
      </w:r>
      <w:r>
        <w:rPr>
          <w:rStyle w:val="FootnoteReference"/>
          <w:rtl/>
        </w:rPr>
        <w:footnoteReference w:id="138"/>
      </w:r>
      <w:r>
        <w:rPr>
          <w:rFonts w:hint="cs"/>
          <w:rtl/>
        </w:rPr>
        <w:t xml:space="preserve"> </w:t>
      </w:r>
      <w:r w:rsidR="00013506">
        <w:rPr>
          <w:rFonts w:hint="cs"/>
          <w:rtl/>
        </w:rPr>
        <w:t>הוא נקרא ההיולי שלהן.</w:t>
      </w:r>
    </w:p>
    <w:p w14:paraId="79AC32E9" w14:textId="2D33E5E7" w:rsidR="004E182D" w:rsidRDefault="00FF2B2F" w:rsidP="007A506C">
      <w:pPr>
        <w:rPr>
          <w:rtl/>
        </w:rPr>
      </w:pPr>
      <w:r>
        <w:rPr>
          <w:rFonts w:hint="cs"/>
          <w:rtl/>
        </w:rPr>
        <w:t>מהבחינה שהוא בפועל נושא צורה כלשהי, הוא נקרא הנושא</w:t>
      </w:r>
      <w:r w:rsidR="002E5228">
        <w:rPr>
          <w:rStyle w:val="FootnoteReference"/>
          <w:rtl/>
        </w:rPr>
        <w:footnoteReference w:id="139"/>
      </w:r>
      <w:r>
        <w:rPr>
          <w:rFonts w:hint="cs"/>
          <w:rtl/>
        </w:rPr>
        <w:t xml:space="preserve"> שלהן. </w:t>
      </w:r>
    </w:p>
    <w:p w14:paraId="566A11B2" w14:textId="04595C6C" w:rsidR="00E97EF6" w:rsidRDefault="004E182D" w:rsidP="007A506C">
      <w:pPr>
        <w:rPr>
          <w:rtl/>
        </w:rPr>
      </w:pPr>
      <w:r>
        <w:rPr>
          <w:rFonts w:hint="cs"/>
          <w:rtl/>
        </w:rPr>
        <w:t>המובן של 'נושא' כאן אינו זהה למובן של 'נושא' שביארנו בלוגיקה</w:t>
      </w:r>
      <w:r>
        <w:rPr>
          <w:rStyle w:val="FootnoteReference"/>
          <w:rtl/>
        </w:rPr>
        <w:footnoteReference w:id="140"/>
      </w:r>
      <w:r>
        <w:rPr>
          <w:rFonts w:hint="cs"/>
          <w:rtl/>
        </w:rPr>
        <w:t xml:space="preserve"> כחלק מהתיאור של עצם, כיוון ש</w:t>
      </w:r>
      <w:r w:rsidR="00270BEA">
        <w:rPr>
          <w:rFonts w:hint="cs"/>
          <w:rtl/>
        </w:rPr>
        <w:t>היולי</w:t>
      </w:r>
      <w:r>
        <w:rPr>
          <w:rFonts w:hint="cs"/>
          <w:rtl/>
        </w:rPr>
        <w:t xml:space="preserve"> הוא לעולם אינו 'נושא' במובן זה</w:t>
      </w:r>
      <w:r w:rsidR="00270BEA">
        <w:rPr>
          <w:rStyle w:val="FootnoteReference"/>
          <w:rtl/>
        </w:rPr>
        <w:footnoteReference w:id="141"/>
      </w:r>
      <w:r>
        <w:rPr>
          <w:rFonts w:hint="cs"/>
          <w:rtl/>
        </w:rPr>
        <w:t xml:space="preserve">. </w:t>
      </w:r>
      <w:r w:rsidR="00013506">
        <w:rPr>
          <w:rFonts w:hint="cs"/>
          <w:rtl/>
        </w:rPr>
        <w:t xml:space="preserve"> </w:t>
      </w:r>
    </w:p>
    <w:p w14:paraId="733B4F88" w14:textId="3B07A310" w:rsidR="00182C8C" w:rsidRDefault="00182C8C" w:rsidP="007A506C">
      <w:pPr>
        <w:rPr>
          <w:rtl/>
        </w:rPr>
      </w:pPr>
      <w:r>
        <w:rPr>
          <w:rFonts w:hint="cs"/>
          <w:rtl/>
        </w:rPr>
        <w:t xml:space="preserve">מהבחינה שהוא משותף לכל הצורות, הוא נקרא חומר </w:t>
      </w:r>
      <w:r w:rsidR="000F5BE1">
        <w:rPr>
          <w:rFonts w:hint="cs"/>
          <w:rtl/>
        </w:rPr>
        <w:t>או גולם</w:t>
      </w:r>
      <w:r w:rsidR="000F5BE1">
        <w:rPr>
          <w:rStyle w:val="FootnoteReference"/>
          <w:rtl/>
        </w:rPr>
        <w:footnoteReference w:id="142"/>
      </w:r>
      <w:r w:rsidR="000F5BE1">
        <w:rPr>
          <w:rFonts w:hint="cs"/>
          <w:rtl/>
        </w:rPr>
        <w:t>.</w:t>
      </w:r>
    </w:p>
    <w:p w14:paraId="2F4791AD" w14:textId="77777777" w:rsidR="000576D0" w:rsidRDefault="00861928" w:rsidP="007A506C">
      <w:pPr>
        <w:rPr>
          <w:rtl/>
        </w:rPr>
      </w:pPr>
      <w:r>
        <w:rPr>
          <w:rFonts w:hint="cs"/>
          <w:rtl/>
        </w:rPr>
        <w:t>הוא נקרא יסוד</w:t>
      </w:r>
      <w:r w:rsidR="00FA7D07">
        <w:rPr>
          <w:rStyle w:val="FootnoteReference"/>
          <w:rtl/>
        </w:rPr>
        <w:footnoteReference w:id="143"/>
      </w:r>
      <w:r w:rsidR="005B7EA6">
        <w:rPr>
          <w:rFonts w:hint="cs"/>
          <w:rtl/>
        </w:rPr>
        <w:t xml:space="preserve"> בגלל שבתהליך ניתוח</w:t>
      </w:r>
      <w:r w:rsidR="00E7520C">
        <w:rPr>
          <w:rStyle w:val="FootnoteReference"/>
          <w:rtl/>
        </w:rPr>
        <w:footnoteReference w:id="144"/>
      </w:r>
      <w:r w:rsidR="005B7EA6">
        <w:rPr>
          <w:rFonts w:hint="cs"/>
          <w:rtl/>
        </w:rPr>
        <w:t xml:space="preserve"> הוא </w:t>
      </w:r>
      <w:r w:rsidR="0092148C">
        <w:rPr>
          <w:rFonts w:hint="cs"/>
          <w:rtl/>
        </w:rPr>
        <w:t>נ</w:t>
      </w:r>
      <w:r w:rsidR="00E900E4">
        <w:rPr>
          <w:rFonts w:hint="cs"/>
          <w:rtl/>
        </w:rPr>
        <w:t>בחן</w:t>
      </w:r>
      <w:r w:rsidR="0092148C">
        <w:rPr>
          <w:rFonts w:hint="cs"/>
          <w:rtl/>
        </w:rPr>
        <w:t xml:space="preserve"> בין היסודות המרכיבים</w:t>
      </w:r>
      <w:r w:rsidR="00E900E4">
        <w:rPr>
          <w:rFonts w:hint="cs"/>
          <w:rtl/>
        </w:rPr>
        <w:t>, ו</w:t>
      </w:r>
      <w:r w:rsidR="00B3510C">
        <w:rPr>
          <w:rFonts w:hint="cs"/>
          <w:rtl/>
        </w:rPr>
        <w:t>במקרה זה</w:t>
      </w:r>
      <w:r w:rsidR="00E900E4">
        <w:rPr>
          <w:rFonts w:hint="cs"/>
          <w:rtl/>
        </w:rPr>
        <w:t xml:space="preserve"> ההיולי הוא המרכיב הפשוט של כל המורכב</w:t>
      </w:r>
      <w:r w:rsidR="00E900E4">
        <w:rPr>
          <w:rStyle w:val="FootnoteReference"/>
          <w:rtl/>
        </w:rPr>
        <w:footnoteReference w:id="145"/>
      </w:r>
      <w:r w:rsidR="00E900E4">
        <w:rPr>
          <w:rFonts w:hint="cs"/>
          <w:rtl/>
        </w:rPr>
        <w:t xml:space="preserve"> המקבל צורה.</w:t>
      </w:r>
      <w:r w:rsidR="00B3510C">
        <w:rPr>
          <w:rFonts w:hint="cs"/>
          <w:rtl/>
        </w:rPr>
        <w:t xml:space="preserve"> ו</w:t>
      </w:r>
      <w:r w:rsidR="004A1D9D">
        <w:rPr>
          <w:rFonts w:hint="cs"/>
          <w:rtl/>
        </w:rPr>
        <w:t>זו אמת בכל דבר ממין זה</w:t>
      </w:r>
      <w:r w:rsidR="00C342BA">
        <w:rPr>
          <w:rStyle w:val="FootnoteReference"/>
          <w:rtl/>
        </w:rPr>
        <w:footnoteReference w:id="146"/>
      </w:r>
      <w:r w:rsidR="004A1D9D">
        <w:rPr>
          <w:rFonts w:hint="cs"/>
          <w:rtl/>
        </w:rPr>
        <w:t xml:space="preserve">. </w:t>
      </w:r>
    </w:p>
    <w:p w14:paraId="04D9ABEC" w14:textId="150C929E" w:rsidR="00DD13B0" w:rsidRDefault="000576D0" w:rsidP="007A506C">
      <w:pPr>
        <w:rPr>
          <w:rtl/>
        </w:rPr>
      </w:pPr>
      <w:r>
        <w:rPr>
          <w:rFonts w:hint="cs"/>
          <w:rtl/>
        </w:rPr>
        <w:t>זהו כמו שכאשר המורכב</w:t>
      </w:r>
      <w:r w:rsidR="00DD13B0">
        <w:rPr>
          <w:rFonts w:hint="cs"/>
          <w:rtl/>
        </w:rPr>
        <w:t>,</w:t>
      </w:r>
      <w:r>
        <w:rPr>
          <w:rFonts w:hint="cs"/>
          <w:rtl/>
        </w:rPr>
        <w:t xml:space="preserve"> במובן </w:t>
      </w:r>
      <w:proofErr w:type="spellStart"/>
      <w:r w:rsidR="00BE5E10">
        <w:rPr>
          <w:rFonts w:hint="cs"/>
          <w:rtl/>
        </w:rPr>
        <w:t>ה</w:t>
      </w:r>
      <w:r>
        <w:rPr>
          <w:rFonts w:hint="cs"/>
          <w:rtl/>
        </w:rPr>
        <w:t>מדוייק</w:t>
      </w:r>
      <w:proofErr w:type="spellEnd"/>
      <w:r w:rsidR="00DD13B0">
        <w:rPr>
          <w:rFonts w:hint="cs"/>
          <w:rtl/>
        </w:rPr>
        <w:t>,</w:t>
      </w:r>
      <w:r>
        <w:rPr>
          <w:rFonts w:hint="cs"/>
          <w:rtl/>
        </w:rPr>
        <w:t xml:space="preserve"> מתחיל </w:t>
      </w:r>
      <w:r w:rsidR="00B80F08">
        <w:rPr>
          <w:rFonts w:hint="cs"/>
          <w:rtl/>
        </w:rPr>
        <w:t>ממנו</w:t>
      </w:r>
      <w:r>
        <w:rPr>
          <w:rStyle w:val="FootnoteReference"/>
          <w:rtl/>
        </w:rPr>
        <w:footnoteReference w:id="147"/>
      </w:r>
      <w:r>
        <w:rPr>
          <w:rFonts w:hint="cs"/>
          <w:rtl/>
        </w:rPr>
        <w:t>, הוא</w:t>
      </w:r>
      <w:r w:rsidR="00DD13B0">
        <w:rPr>
          <w:rStyle w:val="FootnoteReference"/>
          <w:rtl/>
        </w:rPr>
        <w:footnoteReference w:id="148"/>
      </w:r>
      <w:r>
        <w:rPr>
          <w:rFonts w:hint="cs"/>
          <w:rtl/>
        </w:rPr>
        <w:t xml:space="preserve"> נקרא רכיב; בעוד שכש</w:t>
      </w:r>
      <w:r w:rsidR="00DD13B0">
        <w:rPr>
          <w:rFonts w:hint="cs"/>
          <w:rtl/>
        </w:rPr>
        <w:t>הוא מתחיל עם המורכב ומסתיים בחומר</w:t>
      </w:r>
      <w:r w:rsidR="00BE5E10">
        <w:rPr>
          <w:rStyle w:val="FootnoteReference"/>
          <w:rtl/>
        </w:rPr>
        <w:footnoteReference w:id="149"/>
      </w:r>
      <w:r w:rsidR="00DD13B0">
        <w:rPr>
          <w:rFonts w:hint="cs"/>
          <w:rtl/>
        </w:rPr>
        <w:t>, הוא נקרא יסוד, כיוון שיסוד הוא החלק הפשוט ביותר של המורכב</w:t>
      </w:r>
      <w:r w:rsidR="00DD13B0">
        <w:rPr>
          <w:rStyle w:val="FootnoteReference"/>
          <w:rtl/>
        </w:rPr>
        <w:footnoteReference w:id="150"/>
      </w:r>
      <w:r w:rsidR="00DD13B0">
        <w:rPr>
          <w:rFonts w:hint="cs"/>
          <w:rtl/>
        </w:rPr>
        <w:t xml:space="preserve">. </w:t>
      </w:r>
    </w:p>
    <w:p w14:paraId="30FCCEC1" w14:textId="22AD52BE" w:rsidR="002A5D01" w:rsidRDefault="00DD13B0" w:rsidP="00AF63E4">
      <w:pPr>
        <w:rPr>
          <w:rtl/>
        </w:rPr>
      </w:pPr>
      <w:r>
        <w:rPr>
          <w:rFonts w:hint="cs"/>
          <w:rtl/>
        </w:rPr>
        <w:t>אלה, אם כן, ההתחלות ה</w:t>
      </w:r>
      <w:r w:rsidR="00B31089">
        <w:rPr>
          <w:rFonts w:hint="cs"/>
          <w:rtl/>
        </w:rPr>
        <w:t>עצמיו</w:t>
      </w:r>
      <w:r>
        <w:rPr>
          <w:rFonts w:hint="cs"/>
          <w:rtl/>
        </w:rPr>
        <w:t>ת</w:t>
      </w:r>
      <w:r w:rsidR="00B31089">
        <w:rPr>
          <w:rStyle w:val="FootnoteReference"/>
          <w:rtl/>
        </w:rPr>
        <w:footnoteReference w:id="151"/>
      </w:r>
      <w:r>
        <w:rPr>
          <w:rFonts w:hint="cs"/>
          <w:rtl/>
        </w:rPr>
        <w:t xml:space="preserve"> שמ</w:t>
      </w:r>
      <w:r w:rsidR="00B31089">
        <w:rPr>
          <w:rFonts w:hint="cs"/>
          <w:rtl/>
        </w:rPr>
        <w:t>קיימות</w:t>
      </w:r>
      <w:r w:rsidR="00B31089">
        <w:rPr>
          <w:rStyle w:val="FootnoteReference"/>
          <w:rtl/>
        </w:rPr>
        <w:footnoteReference w:id="152"/>
      </w:r>
      <w:r>
        <w:rPr>
          <w:rFonts w:hint="cs"/>
          <w:rtl/>
        </w:rPr>
        <w:t xml:space="preserve"> את הגוף</w:t>
      </w:r>
      <w:r w:rsidR="009C1C5F">
        <w:rPr>
          <w:rStyle w:val="FootnoteReference"/>
          <w:rtl/>
        </w:rPr>
        <w:footnoteReference w:id="153"/>
      </w:r>
      <w:r>
        <w:rPr>
          <w:rFonts w:hint="cs"/>
          <w:rtl/>
        </w:rPr>
        <w:t xml:space="preserve">. </w:t>
      </w:r>
    </w:p>
    <w:p w14:paraId="6972F49A" w14:textId="1423007A" w:rsidR="002A5D01" w:rsidRDefault="00F8752D" w:rsidP="003266A1">
      <w:pPr>
        <w:pStyle w:val="Heading4"/>
        <w:rPr>
          <w:rtl/>
        </w:rPr>
      </w:pPr>
      <w:bookmarkStart w:id="98" w:name="_Toc119092611"/>
      <w:r>
        <w:rPr>
          <w:rFonts w:hint="cs"/>
          <w:rtl/>
        </w:rPr>
        <w:t>1.2.</w:t>
      </w:r>
      <w:r w:rsidR="002A5D01">
        <w:rPr>
          <w:rFonts w:hint="cs"/>
          <w:rtl/>
        </w:rPr>
        <w:t>7</w:t>
      </w:r>
      <w:bookmarkEnd w:id="98"/>
    </w:p>
    <w:p w14:paraId="471213C8" w14:textId="4FF8DD48" w:rsidR="009E06C2" w:rsidRDefault="003163AB" w:rsidP="00AF63E4">
      <w:pPr>
        <w:rPr>
          <w:rtl/>
        </w:rPr>
      </w:pPr>
      <w:r>
        <w:rPr>
          <w:rFonts w:hint="cs"/>
          <w:rtl/>
        </w:rPr>
        <w:t xml:space="preserve">לגוף יש גם התחלות נוספות: </w:t>
      </w:r>
      <w:r w:rsidR="00582676" w:rsidRPr="00582676">
        <w:rPr>
          <w:rtl/>
        </w:rPr>
        <w:t>הַפּוֹעֵל</w:t>
      </w:r>
      <w:r>
        <w:rPr>
          <w:rFonts w:hint="cs"/>
          <w:rtl/>
        </w:rPr>
        <w:t xml:space="preserve"> והתכלית</w:t>
      </w:r>
      <w:r w:rsidR="00BF5810">
        <w:rPr>
          <w:rStyle w:val="FootnoteReference"/>
          <w:rtl/>
        </w:rPr>
        <w:footnoteReference w:id="154"/>
      </w:r>
      <w:r>
        <w:rPr>
          <w:rFonts w:hint="cs"/>
          <w:rtl/>
        </w:rPr>
        <w:t xml:space="preserve">. </w:t>
      </w:r>
      <w:r w:rsidR="00BF5810" w:rsidRPr="00BF5810">
        <w:rPr>
          <w:rtl/>
        </w:rPr>
        <w:t>הַפּוֹעֵל</w:t>
      </w:r>
      <w:r w:rsidR="00BF5810">
        <w:rPr>
          <w:rFonts w:hint="cs"/>
          <w:rtl/>
        </w:rPr>
        <w:t xml:space="preserve"> </w:t>
      </w:r>
      <w:r w:rsidR="00541929">
        <w:rPr>
          <w:rFonts w:hint="cs"/>
          <w:rtl/>
        </w:rPr>
        <w:t>הוא המטביע את הצורה השייכת לגופים בחומר שלהם, וכך עושה את החומר לעצם</w:t>
      </w:r>
      <w:r w:rsidR="00541929">
        <w:rPr>
          <w:rStyle w:val="FootnoteReference"/>
          <w:rtl/>
        </w:rPr>
        <w:footnoteReference w:id="155"/>
      </w:r>
      <w:r w:rsidR="00541929">
        <w:rPr>
          <w:rFonts w:hint="cs"/>
          <w:rtl/>
        </w:rPr>
        <w:t xml:space="preserve"> על ידי הצורה</w:t>
      </w:r>
      <w:r w:rsidR="006272EF">
        <w:rPr>
          <w:rStyle w:val="FootnoteReference"/>
          <w:rtl/>
        </w:rPr>
        <w:footnoteReference w:id="156"/>
      </w:r>
      <w:r w:rsidR="007D066E">
        <w:rPr>
          <w:rFonts w:hint="cs"/>
          <w:rtl/>
        </w:rPr>
        <w:t xml:space="preserve">; ומהחומר והצורה פועל את המורכב להיות עצם, כשהמורכב </w:t>
      </w:r>
      <w:r w:rsidR="003E68F8" w:rsidRPr="003E68F8">
        <w:rPr>
          <w:rtl/>
        </w:rPr>
        <w:t>פּוֹעֵל</w:t>
      </w:r>
      <w:r w:rsidR="003E68F8">
        <w:rPr>
          <w:rFonts w:hint="cs"/>
          <w:rtl/>
        </w:rPr>
        <w:t xml:space="preserve"> </w:t>
      </w:r>
      <w:r w:rsidR="007D066E">
        <w:rPr>
          <w:rFonts w:hint="cs"/>
          <w:rtl/>
        </w:rPr>
        <w:t xml:space="preserve">מחמת הצורה שבו, ונפעל מחמת החומר שלו. התכלית </w:t>
      </w:r>
      <w:r w:rsidR="00EB3DF3">
        <w:rPr>
          <w:rFonts w:hint="cs"/>
          <w:rtl/>
        </w:rPr>
        <w:t>היא מה ש</w:t>
      </w:r>
      <w:r w:rsidR="003E68F8">
        <w:rPr>
          <w:rFonts w:hint="cs"/>
          <w:rtl/>
        </w:rPr>
        <w:t>בעבורו</w:t>
      </w:r>
      <w:r w:rsidR="00EB3DF3">
        <w:rPr>
          <w:rFonts w:hint="cs"/>
          <w:rtl/>
        </w:rPr>
        <w:t xml:space="preserve"> הצורות האלה מוטבעות בחומר שלהן</w:t>
      </w:r>
      <w:r w:rsidR="003E68F8">
        <w:rPr>
          <w:rStyle w:val="FootnoteReference"/>
          <w:rtl/>
        </w:rPr>
        <w:footnoteReference w:id="157"/>
      </w:r>
      <w:r w:rsidR="00EB3DF3">
        <w:rPr>
          <w:rFonts w:hint="cs"/>
          <w:rtl/>
        </w:rPr>
        <w:t xml:space="preserve">. </w:t>
      </w:r>
      <w:r w:rsidR="007D066E">
        <w:rPr>
          <w:rFonts w:hint="cs"/>
          <w:rtl/>
        </w:rPr>
        <w:t xml:space="preserve">  </w:t>
      </w:r>
    </w:p>
    <w:p w14:paraId="2F663995" w14:textId="5131F1DB" w:rsidR="003163AB" w:rsidRDefault="00F8752D" w:rsidP="003266A1">
      <w:pPr>
        <w:pStyle w:val="Heading4"/>
        <w:rPr>
          <w:rtl/>
        </w:rPr>
      </w:pPr>
      <w:bookmarkStart w:id="100" w:name="_1.2.8"/>
      <w:bookmarkStart w:id="101" w:name="_Toc119092612"/>
      <w:bookmarkEnd w:id="100"/>
      <w:r>
        <w:rPr>
          <w:rFonts w:hint="cs"/>
          <w:rtl/>
        </w:rPr>
        <w:t>1.2.</w:t>
      </w:r>
      <w:r w:rsidR="009E06C2">
        <w:rPr>
          <w:rFonts w:hint="cs"/>
          <w:rtl/>
        </w:rPr>
        <w:t>8</w:t>
      </w:r>
      <w:bookmarkEnd w:id="101"/>
    </w:p>
    <w:p w14:paraId="263DA40D" w14:textId="77777777" w:rsidR="00BF61F4" w:rsidRDefault="009E06C2" w:rsidP="007A506C">
      <w:pPr>
        <w:rPr>
          <w:rtl/>
        </w:rPr>
      </w:pPr>
      <w:r>
        <w:rPr>
          <w:rFonts w:hint="cs"/>
          <w:rtl/>
        </w:rPr>
        <w:t xml:space="preserve">כעת, מאחר שאנו עוסקים </w:t>
      </w:r>
      <w:r w:rsidR="00A00EE1">
        <w:rPr>
          <w:rFonts w:hint="cs"/>
          <w:rtl/>
        </w:rPr>
        <w:t xml:space="preserve">כאן </w:t>
      </w:r>
      <w:r>
        <w:rPr>
          <w:rFonts w:hint="cs"/>
          <w:rtl/>
        </w:rPr>
        <w:t>בהתחלות המשותפות</w:t>
      </w:r>
      <w:r w:rsidR="00A00EE1">
        <w:rPr>
          <w:rStyle w:val="FootnoteReference"/>
          <w:rtl/>
        </w:rPr>
        <w:footnoteReference w:id="158"/>
      </w:r>
      <w:r>
        <w:rPr>
          <w:rFonts w:hint="cs"/>
          <w:rtl/>
        </w:rPr>
        <w:t xml:space="preserve">, </w:t>
      </w:r>
      <w:bookmarkStart w:id="105" w:name="_Hlk95315845"/>
      <w:r w:rsidR="00A00EE1" w:rsidRPr="00A00EE1">
        <w:rPr>
          <w:rtl/>
        </w:rPr>
        <w:t>הַ</w:t>
      </w:r>
      <w:bookmarkStart w:id="106" w:name="_Hlk95315979"/>
      <w:r w:rsidR="00A00EE1" w:rsidRPr="00A00EE1">
        <w:rPr>
          <w:rtl/>
        </w:rPr>
        <w:t>פּוֹעֵל</w:t>
      </w:r>
      <w:bookmarkEnd w:id="105"/>
      <w:bookmarkEnd w:id="106"/>
      <w:r w:rsidR="00A00EE1">
        <w:rPr>
          <w:rFonts w:hint="cs"/>
          <w:rtl/>
        </w:rPr>
        <w:t xml:space="preserve"> והתכלית שמדובר בהם כאן הם משותפים. </w:t>
      </w:r>
    </w:p>
    <w:p w14:paraId="495F9EDC" w14:textId="77777777" w:rsidR="008C4266" w:rsidRDefault="00A00EE1" w:rsidP="007A506C">
      <w:pPr>
        <w:rPr>
          <w:rtl/>
        </w:rPr>
      </w:pPr>
      <w:r>
        <w:rPr>
          <w:rFonts w:hint="cs"/>
          <w:rtl/>
        </w:rPr>
        <w:t>כעת, מה שמשותף יכול להיות מובן בשתי דרכים</w:t>
      </w:r>
      <w:r w:rsidR="00C40D49">
        <w:rPr>
          <w:rFonts w:hint="cs"/>
          <w:rtl/>
        </w:rPr>
        <w:t xml:space="preserve">: </w:t>
      </w:r>
    </w:p>
    <w:p w14:paraId="16CD39FE" w14:textId="5444587D" w:rsidR="002A5D01" w:rsidRDefault="00C40D49" w:rsidP="007A506C">
      <w:pPr>
        <w:rPr>
          <w:rtl/>
        </w:rPr>
      </w:pPr>
      <w:r>
        <w:rPr>
          <w:rFonts w:hint="cs"/>
          <w:rtl/>
        </w:rPr>
        <w:t xml:space="preserve">האחת היא הדרך שבה </w:t>
      </w:r>
      <w:bookmarkStart w:id="107" w:name="_Hlk95317200"/>
      <w:r w:rsidR="00AB60B9" w:rsidRPr="00AB60B9">
        <w:rPr>
          <w:rtl/>
        </w:rPr>
        <w:t>הַ</w:t>
      </w:r>
      <w:bookmarkStart w:id="108" w:name="_Hlk95315873"/>
      <w:r w:rsidR="00AB60B9" w:rsidRPr="00AB60B9">
        <w:rPr>
          <w:rtl/>
        </w:rPr>
        <w:t>פּוֹעֵל</w:t>
      </w:r>
      <w:bookmarkEnd w:id="107"/>
      <w:bookmarkEnd w:id="108"/>
      <w:r>
        <w:rPr>
          <w:rFonts w:hint="cs"/>
          <w:rtl/>
        </w:rPr>
        <w:t xml:space="preserve"> </w:t>
      </w:r>
      <w:r w:rsidR="008D5A2A">
        <w:rPr>
          <w:rFonts w:hint="cs"/>
          <w:rtl/>
        </w:rPr>
        <w:t>משותף כ</w:t>
      </w:r>
      <w:r w:rsidR="00AB60B9" w:rsidRPr="00AB60B9">
        <w:rPr>
          <w:rtl/>
        </w:rPr>
        <w:t>פּוֹעֵל</w:t>
      </w:r>
      <w:r w:rsidR="00D558F1">
        <w:rPr>
          <w:rFonts w:hint="cs"/>
          <w:rtl/>
        </w:rPr>
        <w:t xml:space="preserve"> את ה</w:t>
      </w:r>
      <w:r w:rsidR="00AB60B9" w:rsidRPr="00AB60B9">
        <w:rPr>
          <w:rtl/>
        </w:rPr>
        <w:t>פּוֹעַל</w:t>
      </w:r>
      <w:r w:rsidR="00090FDC">
        <w:rPr>
          <w:rStyle w:val="FootnoteReference"/>
          <w:rtl/>
        </w:rPr>
        <w:footnoteReference w:id="159"/>
      </w:r>
      <w:r w:rsidR="00D558F1">
        <w:rPr>
          <w:rFonts w:hint="cs"/>
          <w:rtl/>
        </w:rPr>
        <w:t xml:space="preserve"> הראשון שממנו נמשכים כל שאר ה</w:t>
      </w:r>
      <w:r w:rsidR="00AB60B9" w:rsidRPr="00AB60B9">
        <w:rPr>
          <w:rtl/>
        </w:rPr>
        <w:t>פּוֹעַל</w:t>
      </w:r>
      <w:r w:rsidR="00D558F1">
        <w:rPr>
          <w:rFonts w:hint="cs"/>
          <w:rtl/>
        </w:rPr>
        <w:t xml:space="preserve">ים, </w:t>
      </w:r>
      <w:r w:rsidR="002D158E">
        <w:rPr>
          <w:rFonts w:hint="cs"/>
          <w:rtl/>
        </w:rPr>
        <w:t>דהיינו</w:t>
      </w:r>
      <w:r w:rsidR="00D558F1">
        <w:rPr>
          <w:rFonts w:hint="cs"/>
          <w:rtl/>
        </w:rPr>
        <w:t xml:space="preserve"> ה</w:t>
      </w:r>
      <w:r w:rsidR="00AB60B9" w:rsidRPr="00AB60B9">
        <w:rPr>
          <w:rtl/>
        </w:rPr>
        <w:t>פּוֹ</w:t>
      </w:r>
      <w:bookmarkStart w:id="109" w:name="_Hlk95393038"/>
      <w:r w:rsidR="00AB60B9" w:rsidRPr="00AB60B9">
        <w:rPr>
          <w:rtl/>
        </w:rPr>
        <w:t>עַ</w:t>
      </w:r>
      <w:bookmarkEnd w:id="109"/>
      <w:r w:rsidR="00AB60B9" w:rsidRPr="00AB60B9">
        <w:rPr>
          <w:rtl/>
        </w:rPr>
        <w:t>ל</w:t>
      </w:r>
      <w:r w:rsidR="00D558F1">
        <w:rPr>
          <w:rFonts w:hint="cs"/>
          <w:rtl/>
        </w:rPr>
        <w:t xml:space="preserve"> ש</w:t>
      </w:r>
      <w:r w:rsidR="008C4266">
        <w:rPr>
          <w:rFonts w:hint="cs"/>
          <w:rtl/>
        </w:rPr>
        <w:t>ל הטבעת</w:t>
      </w:r>
      <w:r w:rsidR="00AB60B9">
        <w:rPr>
          <w:rFonts w:hint="cs"/>
          <w:rtl/>
        </w:rPr>
        <w:t xml:space="preserve"> צורת התלת ממדיות</w:t>
      </w:r>
      <w:r w:rsidR="00D64553">
        <w:rPr>
          <w:rStyle w:val="FootnoteReference"/>
          <w:rtl/>
        </w:rPr>
        <w:footnoteReference w:id="160"/>
      </w:r>
      <w:r w:rsidR="008C4266">
        <w:rPr>
          <w:rFonts w:hint="cs"/>
          <w:rtl/>
        </w:rPr>
        <w:t xml:space="preserve"> בחומר הראשון</w:t>
      </w:r>
      <w:r w:rsidR="00AB60B9">
        <w:rPr>
          <w:rFonts w:hint="cs"/>
          <w:rtl/>
        </w:rPr>
        <w:t xml:space="preserve">. </w:t>
      </w:r>
      <w:r w:rsidR="00D558F1">
        <w:rPr>
          <w:rFonts w:hint="cs"/>
          <w:rtl/>
        </w:rPr>
        <w:t xml:space="preserve"> </w:t>
      </w:r>
    </w:p>
    <w:p w14:paraId="4550F268" w14:textId="39A7795E" w:rsidR="00995C42" w:rsidRDefault="00995C42" w:rsidP="007A506C">
      <w:pPr>
        <w:rPr>
          <w:rtl/>
        </w:rPr>
      </w:pPr>
      <w:r>
        <w:rPr>
          <w:rFonts w:hint="cs"/>
          <w:rtl/>
        </w:rPr>
        <w:t>אם יש דבר כזה</w:t>
      </w:r>
      <w:r w:rsidR="00A1491A">
        <w:rPr>
          <w:rStyle w:val="FootnoteReference"/>
          <w:rtl/>
        </w:rPr>
        <w:footnoteReference w:id="161"/>
      </w:r>
      <w:r>
        <w:rPr>
          <w:rFonts w:hint="cs"/>
          <w:rtl/>
        </w:rPr>
        <w:t>, כמו שתלמד במקומו</w:t>
      </w:r>
      <w:r w:rsidR="00CE2212">
        <w:rPr>
          <w:rStyle w:val="FootnoteReference"/>
          <w:rtl/>
        </w:rPr>
        <w:footnoteReference w:id="162"/>
      </w:r>
      <w:r>
        <w:rPr>
          <w:rFonts w:hint="cs"/>
          <w:rtl/>
        </w:rPr>
        <w:t xml:space="preserve">, </w:t>
      </w:r>
      <w:r w:rsidR="008E192D">
        <w:rPr>
          <w:rFonts w:hint="cs"/>
          <w:rtl/>
        </w:rPr>
        <w:t>הוא יהיה הבסיס הראשוני שבעקבותיו מה שבא אחריו מגיע לשלמות</w:t>
      </w:r>
      <w:r w:rsidR="00833EE5">
        <w:rPr>
          <w:rStyle w:val="FootnoteReference"/>
          <w:rtl/>
        </w:rPr>
        <w:footnoteReference w:id="163"/>
      </w:r>
      <w:r w:rsidR="00BE3CF1">
        <w:rPr>
          <w:rFonts w:hint="cs"/>
          <w:rtl/>
        </w:rPr>
        <w:t>.</w:t>
      </w:r>
      <w:r w:rsidR="008E192D">
        <w:rPr>
          <w:rFonts w:hint="cs"/>
          <w:rtl/>
        </w:rPr>
        <w:t xml:space="preserve"> </w:t>
      </w:r>
    </w:p>
    <w:p w14:paraId="6F11C21B" w14:textId="77777777" w:rsidR="002D158E" w:rsidRDefault="007C3D5D" w:rsidP="007A506C">
      <w:pPr>
        <w:rPr>
          <w:rtl/>
        </w:rPr>
      </w:pPr>
      <w:r>
        <w:rPr>
          <w:rFonts w:hint="cs"/>
          <w:rtl/>
        </w:rPr>
        <w:t>התכלית תהיה משותפת במובן זה, אם יש תכלית כזו, כמו שתלמד במקומו</w:t>
      </w:r>
      <w:r>
        <w:rPr>
          <w:rStyle w:val="FootnoteReference"/>
          <w:rtl/>
        </w:rPr>
        <w:footnoteReference w:id="164"/>
      </w:r>
      <w:r>
        <w:rPr>
          <w:rFonts w:hint="cs"/>
          <w:rtl/>
        </w:rPr>
        <w:t xml:space="preserve">, </w:t>
      </w:r>
      <w:r w:rsidR="00890D83">
        <w:rPr>
          <w:rFonts w:hint="cs"/>
          <w:rtl/>
        </w:rPr>
        <w:t xml:space="preserve">שהיא התכלית אליה פונים כל הדברים הטבעיים. </w:t>
      </w:r>
    </w:p>
    <w:p w14:paraId="68E7EB0E" w14:textId="5D039FAE" w:rsidR="007C3D5D" w:rsidRDefault="00890D83" w:rsidP="007A506C">
      <w:pPr>
        <w:rPr>
          <w:rtl/>
        </w:rPr>
      </w:pPr>
      <w:r>
        <w:rPr>
          <w:rFonts w:hint="cs"/>
          <w:rtl/>
        </w:rPr>
        <w:t xml:space="preserve">זו דרך אחת. </w:t>
      </w:r>
    </w:p>
    <w:p w14:paraId="3C0E7D29" w14:textId="2272ED59" w:rsidR="002715EC" w:rsidRDefault="00890D83" w:rsidP="00AF63E4">
      <w:pPr>
        <w:rPr>
          <w:rtl/>
        </w:rPr>
      </w:pPr>
      <w:r>
        <w:rPr>
          <w:rFonts w:hint="cs"/>
          <w:rtl/>
        </w:rPr>
        <w:t>הדרך האחרת שבה דבר הוא משותף היא בדרך של כלליות</w:t>
      </w:r>
      <w:r w:rsidR="00C21A32">
        <w:rPr>
          <w:rFonts w:hint="cs"/>
          <w:rtl/>
        </w:rPr>
        <w:t xml:space="preserve">, כשהכולל </w:t>
      </w:r>
      <w:r w:rsidR="00710494">
        <w:rPr>
          <w:rFonts w:hint="cs"/>
          <w:rtl/>
        </w:rPr>
        <w:t>'</w:t>
      </w:r>
      <w:r w:rsidR="00C21A32">
        <w:rPr>
          <w:rFonts w:hint="cs"/>
          <w:rtl/>
        </w:rPr>
        <w:t>פו</w:t>
      </w:r>
      <w:r w:rsidR="001162F0" w:rsidRPr="001162F0">
        <w:rPr>
          <w:rtl/>
        </w:rPr>
        <w:t>עֵ</w:t>
      </w:r>
      <w:r w:rsidR="00C21A32">
        <w:rPr>
          <w:rFonts w:hint="cs"/>
          <w:rtl/>
        </w:rPr>
        <w:t>ל</w:t>
      </w:r>
      <w:r w:rsidR="00710494">
        <w:rPr>
          <w:rFonts w:hint="cs"/>
          <w:rtl/>
        </w:rPr>
        <w:t>'</w:t>
      </w:r>
      <w:r w:rsidR="00C21A32">
        <w:rPr>
          <w:rFonts w:hint="cs"/>
          <w:rtl/>
        </w:rPr>
        <w:t xml:space="preserve"> נאמר על כל אחד מהפועלים הפרטיים של הדברים הפרטיים</w:t>
      </w:r>
      <w:r w:rsidR="00C90AA1">
        <w:rPr>
          <w:rStyle w:val="FootnoteReference"/>
          <w:rtl/>
        </w:rPr>
        <w:footnoteReference w:id="165"/>
      </w:r>
      <w:r w:rsidR="00C21A32">
        <w:rPr>
          <w:rFonts w:hint="cs"/>
          <w:rtl/>
        </w:rPr>
        <w:t xml:space="preserve">. והכולל </w:t>
      </w:r>
      <w:r w:rsidR="00206245">
        <w:rPr>
          <w:rFonts w:hint="cs"/>
          <w:rtl/>
        </w:rPr>
        <w:t>'</w:t>
      </w:r>
      <w:r w:rsidR="00C21A32">
        <w:rPr>
          <w:rFonts w:hint="cs"/>
          <w:rtl/>
        </w:rPr>
        <w:t>תכלית</w:t>
      </w:r>
      <w:r w:rsidR="00206245">
        <w:rPr>
          <w:rFonts w:hint="cs"/>
          <w:rtl/>
        </w:rPr>
        <w:t>'</w:t>
      </w:r>
      <w:r w:rsidR="00C21A32">
        <w:rPr>
          <w:rFonts w:hint="cs"/>
          <w:rtl/>
        </w:rPr>
        <w:t xml:space="preserve"> נאמר על כל אחד מהתכליות הפרטיות של הדברים הפרטיים.</w:t>
      </w:r>
    </w:p>
    <w:p w14:paraId="61609DEE" w14:textId="714F2913" w:rsidR="002715EC" w:rsidRDefault="00F8752D" w:rsidP="003266A1">
      <w:pPr>
        <w:pStyle w:val="Heading4"/>
        <w:rPr>
          <w:rtl/>
        </w:rPr>
      </w:pPr>
      <w:bookmarkStart w:id="115" w:name="_Toc119092613"/>
      <w:r>
        <w:rPr>
          <w:rFonts w:hint="cs"/>
          <w:rtl/>
        </w:rPr>
        <w:t>1.2.</w:t>
      </w:r>
      <w:r w:rsidR="002715EC">
        <w:rPr>
          <w:rFonts w:hint="cs"/>
          <w:rtl/>
        </w:rPr>
        <w:t>9</w:t>
      </w:r>
      <w:bookmarkEnd w:id="115"/>
    </w:p>
    <w:p w14:paraId="72BF94D1" w14:textId="368AF2A9" w:rsidR="00B80030" w:rsidRDefault="00622E81" w:rsidP="007A506C">
      <w:pPr>
        <w:rPr>
          <w:rtl/>
        </w:rPr>
      </w:pPr>
      <w:r>
        <w:rPr>
          <w:rFonts w:hint="cs"/>
          <w:rtl/>
        </w:rPr>
        <w:t>ההבדל בין השתיים</w:t>
      </w:r>
      <w:r w:rsidR="0066407A">
        <w:rPr>
          <w:rStyle w:val="FootnoteReference"/>
          <w:rtl/>
        </w:rPr>
        <w:footnoteReference w:id="166"/>
      </w:r>
      <w:r>
        <w:rPr>
          <w:rFonts w:hint="cs"/>
          <w:rtl/>
        </w:rPr>
        <w:t xml:space="preserve"> הוא שבמובן הראשון </w:t>
      </w:r>
      <w:r w:rsidR="006B518E">
        <w:rPr>
          <w:rFonts w:hint="cs"/>
          <w:rtl/>
        </w:rPr>
        <w:t>'</w:t>
      </w:r>
      <w:r>
        <w:rPr>
          <w:rFonts w:hint="cs"/>
          <w:rtl/>
        </w:rPr>
        <w:t>משותף</w:t>
      </w:r>
      <w:r w:rsidR="006B518E">
        <w:rPr>
          <w:rFonts w:hint="cs"/>
          <w:rtl/>
        </w:rPr>
        <w:t xml:space="preserve">' מציין </w:t>
      </w:r>
      <w:r w:rsidR="00B80030">
        <w:rPr>
          <w:rFonts w:hint="cs"/>
          <w:rtl/>
        </w:rPr>
        <w:t>יש שקיים בעצמותו</w:t>
      </w:r>
      <w:r w:rsidR="00B80030">
        <w:rPr>
          <w:rStyle w:val="FootnoteReference"/>
          <w:rtl/>
        </w:rPr>
        <w:footnoteReference w:id="167"/>
      </w:r>
      <w:r w:rsidR="00B80030">
        <w:rPr>
          <w:rFonts w:hint="cs"/>
          <w:rtl/>
        </w:rPr>
        <w:t xml:space="preserve"> והוא אחד מבחינת המספר</w:t>
      </w:r>
      <w:r w:rsidR="00B80030">
        <w:rPr>
          <w:rStyle w:val="FootnoteReference"/>
          <w:rtl/>
        </w:rPr>
        <w:footnoteReference w:id="168"/>
      </w:r>
      <w:r w:rsidR="00B80030">
        <w:rPr>
          <w:rFonts w:hint="cs"/>
          <w:rtl/>
        </w:rPr>
        <w:t>, כזה שהשכל משיג שאינו יכול להיאמר על רבים.</w:t>
      </w:r>
    </w:p>
    <w:p w14:paraId="2A0C9FF9" w14:textId="2BF3FD9F" w:rsidR="0026502C" w:rsidRDefault="00B80030" w:rsidP="00AF63E4">
      <w:pPr>
        <w:rPr>
          <w:rtl/>
        </w:rPr>
      </w:pPr>
      <w:r>
        <w:rPr>
          <w:rFonts w:hint="cs"/>
          <w:rtl/>
        </w:rPr>
        <w:t xml:space="preserve">ואילו במובן השני, 'משותף' לא מציין יש </w:t>
      </w:r>
      <w:r w:rsidR="0066407A">
        <w:rPr>
          <w:rFonts w:hint="cs"/>
          <w:rtl/>
        </w:rPr>
        <w:t>אחד שקיים במציאות, אלא יש שכלי שיכול להיאמר על רבים שהם משותפים בשכל בכך שהם פועלים או תכליות, וכך דבר משותף זה נאמר על רבים</w:t>
      </w:r>
      <w:r w:rsidR="0066407A">
        <w:rPr>
          <w:rStyle w:val="FootnoteReference"/>
          <w:rtl/>
        </w:rPr>
        <w:footnoteReference w:id="169"/>
      </w:r>
      <w:r w:rsidR="0066407A">
        <w:rPr>
          <w:rFonts w:hint="cs"/>
          <w:rtl/>
        </w:rPr>
        <w:t xml:space="preserve">. </w:t>
      </w:r>
    </w:p>
    <w:p w14:paraId="3A4E812B" w14:textId="36B943A7" w:rsidR="002715EC" w:rsidRDefault="00F8752D" w:rsidP="003266A1">
      <w:pPr>
        <w:pStyle w:val="Heading4"/>
        <w:rPr>
          <w:rtl/>
        </w:rPr>
      </w:pPr>
      <w:bookmarkStart w:id="119" w:name="_Toc119092614"/>
      <w:r>
        <w:rPr>
          <w:rFonts w:hint="cs"/>
          <w:rtl/>
        </w:rPr>
        <w:t>1.2.</w:t>
      </w:r>
      <w:r w:rsidR="0026502C">
        <w:rPr>
          <w:rFonts w:hint="cs"/>
          <w:rtl/>
        </w:rPr>
        <w:t>10</w:t>
      </w:r>
      <w:bookmarkEnd w:id="119"/>
    </w:p>
    <w:p w14:paraId="4A17681C" w14:textId="77777777" w:rsidR="00E06039" w:rsidRDefault="00077E6B" w:rsidP="007A506C">
      <w:pPr>
        <w:rPr>
          <w:rtl/>
        </w:rPr>
      </w:pPr>
      <w:r>
        <w:rPr>
          <w:rFonts w:hint="cs"/>
          <w:rtl/>
        </w:rPr>
        <w:t>ההתחלה הפועלת</w:t>
      </w:r>
      <w:r>
        <w:rPr>
          <w:rStyle w:val="FootnoteReference"/>
          <w:rtl/>
        </w:rPr>
        <w:footnoteReference w:id="170"/>
      </w:r>
      <w:r>
        <w:rPr>
          <w:rFonts w:hint="cs"/>
          <w:rtl/>
        </w:rPr>
        <w:t xml:space="preserve"> המשותפת לכל לפי המובן הראשון</w:t>
      </w:r>
      <w:r w:rsidR="007716E6">
        <w:rPr>
          <w:rFonts w:hint="cs"/>
          <w:rtl/>
        </w:rPr>
        <w:t>, אם דברים טבעיים יש להם התחלה פועלת במובן זה</w:t>
      </w:r>
      <w:r w:rsidR="007716E6">
        <w:rPr>
          <w:rStyle w:val="FootnoteReference"/>
          <w:rtl/>
        </w:rPr>
        <w:footnoteReference w:id="171"/>
      </w:r>
      <w:r w:rsidR="007716E6">
        <w:rPr>
          <w:rFonts w:hint="cs"/>
          <w:rtl/>
        </w:rPr>
        <w:t xml:space="preserve">, </w:t>
      </w:r>
      <w:r w:rsidR="00DD13D9">
        <w:rPr>
          <w:rFonts w:hint="cs"/>
          <w:rtl/>
        </w:rPr>
        <w:t xml:space="preserve">אינה חלק מהסדר הטבעי, </w:t>
      </w:r>
      <w:r w:rsidR="00427A57">
        <w:rPr>
          <w:rFonts w:hint="cs"/>
          <w:rtl/>
        </w:rPr>
        <w:t xml:space="preserve">כיוון שכל דבר שהוא חלק מהסדר הטבעי בא אחרי ההתחלה הזו, </w:t>
      </w:r>
      <w:r w:rsidR="008A370C">
        <w:rPr>
          <w:rFonts w:hint="cs"/>
          <w:rtl/>
        </w:rPr>
        <w:t>והיא מתייחסת לכולם כהתחלה שלהם בגלל שהם חלק מהסדר הטבעי</w:t>
      </w:r>
      <w:r w:rsidR="008A370C">
        <w:rPr>
          <w:rStyle w:val="FootnoteReference"/>
          <w:rtl/>
        </w:rPr>
        <w:footnoteReference w:id="172"/>
      </w:r>
      <w:r w:rsidR="008A370C">
        <w:rPr>
          <w:rFonts w:hint="cs"/>
          <w:rtl/>
        </w:rPr>
        <w:t xml:space="preserve">. </w:t>
      </w:r>
    </w:p>
    <w:p w14:paraId="0A749C5A" w14:textId="073DC9F1" w:rsidR="00E753D6" w:rsidRDefault="00E06039" w:rsidP="007A506C">
      <w:pPr>
        <w:rPr>
          <w:rtl/>
        </w:rPr>
      </w:pPr>
      <w:r>
        <w:rPr>
          <w:rFonts w:hint="cs"/>
          <w:rtl/>
        </w:rPr>
        <w:t xml:space="preserve">ובכן, אם ההתחלה הזו הייתה חלק מהסדר הטבעי, אז או שהייתה התחלה של עצמה, מה שהוא </w:t>
      </w:r>
      <w:r w:rsidR="0065034E">
        <w:rPr>
          <w:rFonts w:hint="cs"/>
          <w:rtl/>
        </w:rPr>
        <w:t>לא מן האפשר</w:t>
      </w:r>
      <w:r w:rsidR="0073063D">
        <w:rPr>
          <w:rStyle w:val="FootnoteReference"/>
          <w:rtl/>
        </w:rPr>
        <w:footnoteReference w:id="173"/>
      </w:r>
      <w:r w:rsidR="0073063D">
        <w:rPr>
          <w:rFonts w:hint="cs"/>
          <w:rtl/>
        </w:rPr>
        <w:t>,</w:t>
      </w:r>
      <w:r w:rsidR="00E329E5">
        <w:rPr>
          <w:rFonts w:hint="cs"/>
          <w:rtl/>
        </w:rPr>
        <w:t xml:space="preserve"> או שמשהו אחר היה ההתחלה הפועלת</w:t>
      </w:r>
      <w:r w:rsidR="002043B2">
        <w:rPr>
          <w:rFonts w:hint="cs"/>
          <w:rtl/>
        </w:rPr>
        <w:t xml:space="preserve"> הראשונה, וזו סתירה</w:t>
      </w:r>
      <w:r w:rsidR="002043B2">
        <w:rPr>
          <w:rStyle w:val="FootnoteReference"/>
          <w:rtl/>
        </w:rPr>
        <w:footnoteReference w:id="174"/>
      </w:r>
      <w:r w:rsidR="002043B2">
        <w:rPr>
          <w:rFonts w:hint="cs"/>
          <w:rtl/>
        </w:rPr>
        <w:t xml:space="preserve">. </w:t>
      </w:r>
    </w:p>
    <w:p w14:paraId="362913EC" w14:textId="289D49A4" w:rsidR="002715EC" w:rsidRDefault="00016268" w:rsidP="007A506C">
      <w:pPr>
        <w:rPr>
          <w:rtl/>
        </w:rPr>
      </w:pPr>
      <w:r>
        <w:rPr>
          <w:rFonts w:hint="cs"/>
          <w:rtl/>
        </w:rPr>
        <w:t>נובע</w:t>
      </w:r>
      <w:r w:rsidR="00E753D6">
        <w:rPr>
          <w:rFonts w:hint="cs"/>
          <w:rtl/>
        </w:rPr>
        <w:t xml:space="preserve"> מזה ש</w:t>
      </w:r>
      <w:r>
        <w:rPr>
          <w:rFonts w:hint="cs"/>
          <w:rtl/>
        </w:rPr>
        <w:t xml:space="preserve">אין זה מעניינו של </w:t>
      </w:r>
      <w:r w:rsidR="00E753D6">
        <w:rPr>
          <w:rFonts w:hint="cs"/>
          <w:rtl/>
        </w:rPr>
        <w:t>פילוסוף הטבע</w:t>
      </w:r>
      <w:r>
        <w:rPr>
          <w:rFonts w:hint="cs"/>
          <w:rtl/>
        </w:rPr>
        <w:t xml:space="preserve"> לעסוק</w:t>
      </w:r>
      <w:r w:rsidR="00E753D6">
        <w:rPr>
          <w:rFonts w:hint="cs"/>
          <w:rtl/>
        </w:rPr>
        <w:t xml:space="preserve"> בהתחלה פועלת כזו, כיוון שאין לה </w:t>
      </w:r>
      <w:r>
        <w:rPr>
          <w:rFonts w:hint="cs"/>
          <w:rtl/>
        </w:rPr>
        <w:t>נגיעה</w:t>
      </w:r>
      <w:r w:rsidR="00E753D6">
        <w:rPr>
          <w:rFonts w:hint="cs"/>
          <w:rtl/>
        </w:rPr>
        <w:t xml:space="preserve"> </w:t>
      </w:r>
      <w:proofErr w:type="spellStart"/>
      <w:r w:rsidR="00E753D6">
        <w:rPr>
          <w:rFonts w:hint="cs"/>
          <w:rtl/>
        </w:rPr>
        <w:t>ל</w:t>
      </w:r>
      <w:r w:rsidR="00936924">
        <w:rPr>
          <w:rFonts w:hint="cs"/>
          <w:rtl/>
        </w:rPr>
        <w:t>חכמת</w:t>
      </w:r>
      <w:proofErr w:type="spellEnd"/>
      <w:r w:rsidR="00E753D6">
        <w:rPr>
          <w:rFonts w:hint="cs"/>
          <w:rtl/>
        </w:rPr>
        <w:t xml:space="preserve"> הטבע</w:t>
      </w:r>
      <w:r w:rsidR="00E753D6">
        <w:rPr>
          <w:rStyle w:val="FootnoteReference"/>
          <w:rtl/>
        </w:rPr>
        <w:footnoteReference w:id="175"/>
      </w:r>
      <w:r w:rsidR="00E753D6">
        <w:rPr>
          <w:rFonts w:hint="cs"/>
          <w:rtl/>
        </w:rPr>
        <w:t>.</w:t>
      </w:r>
    </w:p>
    <w:p w14:paraId="71FA8F5C" w14:textId="19BACDAE" w:rsidR="00D323D5" w:rsidRDefault="00A62E2B" w:rsidP="00AF63E4">
      <w:r>
        <w:rPr>
          <w:rFonts w:hint="cs"/>
          <w:rtl/>
        </w:rPr>
        <w:t>גם, אם יש דבר כזה</w:t>
      </w:r>
      <w:r w:rsidR="00C83D06">
        <w:rPr>
          <w:rStyle w:val="FootnoteReference"/>
          <w:rtl/>
        </w:rPr>
        <w:footnoteReference w:id="176"/>
      </w:r>
      <w:r>
        <w:rPr>
          <w:rFonts w:hint="cs"/>
          <w:rtl/>
        </w:rPr>
        <w:t xml:space="preserve">, אפשר שהוא התחלה </w:t>
      </w:r>
      <w:r w:rsidR="00C83D06">
        <w:rPr>
          <w:rFonts w:hint="cs"/>
          <w:rtl/>
        </w:rPr>
        <w:t>של דברים שהם חלק מהסדר הטבעי ב</w:t>
      </w:r>
      <w:r w:rsidR="00985478">
        <w:rPr>
          <w:rFonts w:hint="cs"/>
          <w:rtl/>
        </w:rPr>
        <w:t xml:space="preserve">אותה </w:t>
      </w:r>
      <w:r w:rsidR="00C83D06">
        <w:rPr>
          <w:rFonts w:hint="cs"/>
          <w:rtl/>
        </w:rPr>
        <w:t>מידה</w:t>
      </w:r>
      <w:r w:rsidR="00985478">
        <w:rPr>
          <w:rFonts w:hint="cs"/>
          <w:rtl/>
        </w:rPr>
        <w:t xml:space="preserve"> </w:t>
      </w:r>
      <w:r w:rsidR="00C83D06">
        <w:rPr>
          <w:rFonts w:hint="cs"/>
          <w:rtl/>
        </w:rPr>
        <w:t xml:space="preserve"> שהוא </w:t>
      </w:r>
      <w:bookmarkStart w:id="124" w:name="_Hlk96092694"/>
      <w:r w:rsidR="00C83D06">
        <w:rPr>
          <w:rFonts w:hint="cs"/>
          <w:rtl/>
        </w:rPr>
        <w:t>התחלה של דברים שאינם חלק מהסדר הטבעי</w:t>
      </w:r>
      <w:bookmarkEnd w:id="124"/>
      <w:r w:rsidR="00985478">
        <w:rPr>
          <w:rFonts w:hint="cs"/>
          <w:rtl/>
        </w:rPr>
        <w:t xml:space="preserve">; במקרה כזה הוא יהיה סיבה כללית יותר מאשר הסיבה שמסובבים ממנה באופן </w:t>
      </w:r>
      <w:r w:rsidR="009C463A">
        <w:rPr>
          <w:rFonts w:hint="cs"/>
          <w:rtl/>
        </w:rPr>
        <w:t>מסוים</w:t>
      </w:r>
      <w:r w:rsidR="00985478">
        <w:rPr>
          <w:rFonts w:hint="cs"/>
          <w:rtl/>
        </w:rPr>
        <w:t xml:space="preserve"> </w:t>
      </w:r>
      <w:r w:rsidR="004E28ED">
        <w:rPr>
          <w:rFonts w:hint="cs"/>
          <w:rtl/>
        </w:rPr>
        <w:t>ה</w:t>
      </w:r>
      <w:r w:rsidR="00985478">
        <w:rPr>
          <w:rFonts w:hint="cs"/>
          <w:rtl/>
        </w:rPr>
        <w:t xml:space="preserve">דברים </w:t>
      </w:r>
      <w:r w:rsidR="004E28ED">
        <w:rPr>
          <w:rFonts w:hint="cs"/>
          <w:rtl/>
        </w:rPr>
        <w:t>ה</w:t>
      </w:r>
      <w:r w:rsidR="00985478">
        <w:rPr>
          <w:rFonts w:hint="cs"/>
          <w:rtl/>
        </w:rPr>
        <w:t xml:space="preserve">פרטיים </w:t>
      </w:r>
      <w:bookmarkStart w:id="125" w:name="_Hlk96091256"/>
      <w:r w:rsidR="00985478">
        <w:rPr>
          <w:rFonts w:hint="cs"/>
          <w:rtl/>
        </w:rPr>
        <w:t>ו</w:t>
      </w:r>
      <w:bookmarkStart w:id="126" w:name="_Hlk96092630"/>
      <w:r w:rsidR="00985478">
        <w:rPr>
          <w:rFonts w:hint="cs"/>
          <w:rtl/>
        </w:rPr>
        <w:t>הדברים שבאופן מ</w:t>
      </w:r>
      <w:r w:rsidR="004E28ED">
        <w:rPr>
          <w:rFonts w:hint="cs"/>
          <w:rtl/>
        </w:rPr>
        <w:t>יוחד</w:t>
      </w:r>
      <w:r w:rsidR="00985478">
        <w:rPr>
          <w:rFonts w:hint="cs"/>
          <w:rtl/>
        </w:rPr>
        <w:t xml:space="preserve"> יש להם יחס לדברים הפרטיים</w:t>
      </w:r>
      <w:bookmarkEnd w:id="125"/>
      <w:bookmarkEnd w:id="126"/>
      <w:r w:rsidR="009545AD">
        <w:rPr>
          <w:rStyle w:val="FootnoteReference"/>
          <w:rtl/>
        </w:rPr>
        <w:footnoteReference w:id="177"/>
      </w:r>
      <w:r w:rsidR="00BD3129">
        <w:rPr>
          <w:rFonts w:hint="cs"/>
          <w:rtl/>
        </w:rPr>
        <w:t>.</w:t>
      </w:r>
      <w:r w:rsidR="00985478">
        <w:rPr>
          <w:rFonts w:hint="cs"/>
          <w:rtl/>
        </w:rPr>
        <w:t xml:space="preserve">   </w:t>
      </w:r>
    </w:p>
    <w:p w14:paraId="17EC18E9" w14:textId="1CB21AF9" w:rsidR="00D323D5" w:rsidRDefault="00F8752D" w:rsidP="003266A1">
      <w:pPr>
        <w:pStyle w:val="Heading4"/>
        <w:rPr>
          <w:rtl/>
        </w:rPr>
      </w:pPr>
      <w:bookmarkStart w:id="127" w:name="_Toc119092615"/>
      <w:r>
        <w:rPr>
          <w:rFonts w:hint="cs"/>
          <w:rtl/>
        </w:rPr>
        <w:t>1.2.</w:t>
      </w:r>
      <w:r w:rsidR="00D323D5">
        <w:rPr>
          <w:rFonts w:hint="cs"/>
          <w:rtl/>
        </w:rPr>
        <w:t>11</w:t>
      </w:r>
      <w:bookmarkEnd w:id="127"/>
    </w:p>
    <w:p w14:paraId="32AF7355" w14:textId="34733BAC" w:rsidR="0052676E" w:rsidRDefault="007D0038" w:rsidP="007A506C">
      <w:pPr>
        <w:rPr>
          <w:rtl/>
        </w:rPr>
      </w:pPr>
      <w:r>
        <w:rPr>
          <w:rFonts w:hint="cs"/>
          <w:rtl/>
        </w:rPr>
        <w:t xml:space="preserve">כן, יתכן שאפשר, ביחס לכלל הדברים הטבעיים, שמה שהוא </w:t>
      </w:r>
      <w:r w:rsidR="007559C7">
        <w:rPr>
          <w:rFonts w:hint="cs"/>
          <w:rtl/>
        </w:rPr>
        <w:t>התחלה</w:t>
      </w:r>
      <w:r>
        <w:rPr>
          <w:rFonts w:hint="cs"/>
          <w:rtl/>
        </w:rPr>
        <w:t xml:space="preserve"> פועלת</w:t>
      </w:r>
      <w:r w:rsidR="007559C7">
        <w:rPr>
          <w:rFonts w:hint="cs"/>
          <w:rtl/>
        </w:rPr>
        <w:t xml:space="preserve"> של כל מה ש</w:t>
      </w:r>
      <w:r w:rsidR="00244414">
        <w:rPr>
          <w:rFonts w:hint="cs"/>
          <w:rtl/>
        </w:rPr>
        <w:t>כלול</w:t>
      </w:r>
      <w:r w:rsidR="007559C7">
        <w:rPr>
          <w:rFonts w:hint="cs"/>
          <w:rtl/>
        </w:rPr>
        <w:t xml:space="preserve"> </w:t>
      </w:r>
      <w:r w:rsidR="00244414">
        <w:rPr>
          <w:rFonts w:hint="cs"/>
          <w:rtl/>
        </w:rPr>
        <w:t>ב</w:t>
      </w:r>
      <w:r w:rsidR="007559C7">
        <w:rPr>
          <w:rFonts w:hint="cs"/>
          <w:rtl/>
        </w:rPr>
        <w:t>טבע</w:t>
      </w:r>
      <w:r w:rsidR="00504F96">
        <w:rPr>
          <w:rFonts w:hint="cs"/>
          <w:rtl/>
        </w:rPr>
        <w:t xml:space="preserve"> שמחוץ לו</w:t>
      </w:r>
      <w:r w:rsidR="001237FB">
        <w:rPr>
          <w:rStyle w:val="FootnoteReference"/>
          <w:rtl/>
        </w:rPr>
        <w:footnoteReference w:id="178"/>
      </w:r>
      <w:r w:rsidR="00504F96">
        <w:rPr>
          <w:rFonts w:hint="cs"/>
          <w:rtl/>
        </w:rPr>
        <w:t xml:space="preserve">, </w:t>
      </w:r>
      <w:r w:rsidR="00244414">
        <w:rPr>
          <w:rFonts w:hint="cs"/>
          <w:rtl/>
        </w:rPr>
        <w:t>אינו כך באופן מוחלט, אלא הוא ההתחלה הפועלת המשותפת במובן השני</w:t>
      </w:r>
      <w:r w:rsidR="000B73EC">
        <w:rPr>
          <w:rStyle w:val="FootnoteReference"/>
          <w:rtl/>
        </w:rPr>
        <w:footnoteReference w:id="179"/>
      </w:r>
      <w:r w:rsidR="00244414">
        <w:rPr>
          <w:rFonts w:hint="cs"/>
          <w:rtl/>
        </w:rPr>
        <w:t xml:space="preserve">, </w:t>
      </w:r>
      <w:r w:rsidR="007C1A3C">
        <w:rPr>
          <w:rFonts w:hint="cs"/>
          <w:rtl/>
        </w:rPr>
        <w:t xml:space="preserve">ובמקרה זה לא יהיה זה כלל שלא במקום אם הפילוסוף של הטבע יחקור </w:t>
      </w:r>
      <w:r w:rsidR="001F6351">
        <w:rPr>
          <w:rFonts w:hint="cs"/>
          <w:rtl/>
        </w:rPr>
        <w:t>זאת</w:t>
      </w:r>
      <w:r w:rsidR="007C1A3C">
        <w:rPr>
          <w:rFonts w:hint="cs"/>
          <w:rtl/>
        </w:rPr>
        <w:t xml:space="preserve">. </w:t>
      </w:r>
    </w:p>
    <w:p w14:paraId="0F8D18DA" w14:textId="0B4311E7" w:rsidR="00F85796" w:rsidRDefault="0052676E" w:rsidP="007A506C">
      <w:pPr>
        <w:rPr>
          <w:rtl/>
        </w:rPr>
      </w:pPr>
      <w:r>
        <w:rPr>
          <w:rFonts w:hint="cs"/>
          <w:rtl/>
        </w:rPr>
        <w:t xml:space="preserve">דרך החקירה הזו תהיה </w:t>
      </w:r>
      <w:r w:rsidR="00420D9B">
        <w:rPr>
          <w:rFonts w:hint="cs"/>
          <w:rtl/>
        </w:rPr>
        <w:t>ל</w:t>
      </w:r>
      <w:r w:rsidR="001F6351">
        <w:rPr>
          <w:rFonts w:hint="cs"/>
          <w:rtl/>
        </w:rPr>
        <w:t>למוד את המקרים</w:t>
      </w:r>
      <w:r w:rsidR="00B129B4">
        <w:rPr>
          <w:rStyle w:val="FootnoteReference"/>
          <w:rtl/>
        </w:rPr>
        <w:footnoteReference w:id="180"/>
      </w:r>
      <w:r w:rsidR="007E1DAC">
        <w:rPr>
          <w:rFonts w:hint="cs"/>
          <w:rtl/>
        </w:rPr>
        <w:t xml:space="preserve"> של כל מה שהוא </w:t>
      </w:r>
      <w:r w:rsidR="00AD6325">
        <w:rPr>
          <w:rFonts w:hint="cs"/>
          <w:rtl/>
        </w:rPr>
        <w:t>התחל</w:t>
      </w:r>
      <w:r w:rsidR="007E1DAC">
        <w:rPr>
          <w:rFonts w:hint="cs"/>
          <w:rtl/>
        </w:rPr>
        <w:t>ה</w:t>
      </w:r>
      <w:r w:rsidR="00AD6325">
        <w:rPr>
          <w:rStyle w:val="FootnoteReference"/>
          <w:rtl/>
        </w:rPr>
        <w:footnoteReference w:id="181"/>
      </w:r>
      <w:r w:rsidR="007E1DAC">
        <w:rPr>
          <w:rFonts w:hint="cs"/>
          <w:rtl/>
        </w:rPr>
        <w:t xml:space="preserve"> פועלת של דבר טבעי כלשהו, </w:t>
      </w:r>
      <w:r w:rsidR="00B129B4">
        <w:rPr>
          <w:rFonts w:hint="cs"/>
          <w:rtl/>
        </w:rPr>
        <w:t xml:space="preserve">דהיינו </w:t>
      </w:r>
      <w:r w:rsidR="007E1DAC">
        <w:rPr>
          <w:rFonts w:hint="cs"/>
          <w:rtl/>
        </w:rPr>
        <w:t xml:space="preserve">האופן של כוחו, היחס שלו עם המסובב </w:t>
      </w:r>
      <w:r w:rsidR="00B129B4">
        <w:rPr>
          <w:rFonts w:hint="cs"/>
          <w:rtl/>
        </w:rPr>
        <w:t>ב</w:t>
      </w:r>
      <w:r w:rsidR="007E1DAC">
        <w:rPr>
          <w:rFonts w:hint="cs"/>
          <w:rtl/>
        </w:rPr>
        <w:t>קרבה, ריחוק, כשהוא בנגיעה ישירה או לא בנגיעה ישירה, וכיוצא באלה</w:t>
      </w:r>
      <w:r w:rsidR="007E1DAC">
        <w:rPr>
          <w:rStyle w:val="FootnoteReference"/>
          <w:rtl/>
        </w:rPr>
        <w:footnoteReference w:id="182"/>
      </w:r>
      <w:r w:rsidR="00F85796">
        <w:rPr>
          <w:rFonts w:hint="cs"/>
          <w:rtl/>
        </w:rPr>
        <w:t>;</w:t>
      </w:r>
      <w:r w:rsidR="007E1DAC">
        <w:rPr>
          <w:rFonts w:hint="cs"/>
          <w:rtl/>
        </w:rPr>
        <w:t xml:space="preserve"> </w:t>
      </w:r>
      <w:r w:rsidR="005D665C">
        <w:rPr>
          <w:rFonts w:hint="cs"/>
          <w:rtl/>
        </w:rPr>
        <w:t>ולהוכיח זאת</w:t>
      </w:r>
      <w:r w:rsidR="005D665C">
        <w:rPr>
          <w:rStyle w:val="FootnoteReference"/>
          <w:rtl/>
        </w:rPr>
        <w:footnoteReference w:id="183"/>
      </w:r>
      <w:r w:rsidR="005D665C">
        <w:rPr>
          <w:rFonts w:hint="cs"/>
          <w:rtl/>
        </w:rPr>
        <w:t>.</w:t>
      </w:r>
      <w:r w:rsidR="007C1A3C">
        <w:rPr>
          <w:rFonts w:hint="cs"/>
          <w:rtl/>
        </w:rPr>
        <w:t xml:space="preserve"> </w:t>
      </w:r>
      <w:r w:rsidR="007D0038">
        <w:rPr>
          <w:rFonts w:hint="cs"/>
          <w:rtl/>
        </w:rPr>
        <w:t xml:space="preserve"> </w:t>
      </w:r>
    </w:p>
    <w:p w14:paraId="0E619D01" w14:textId="57D87E82" w:rsidR="00D46EF7" w:rsidRDefault="00B129B4" w:rsidP="009F6550">
      <w:pPr>
        <w:rPr>
          <w:rtl/>
        </w:rPr>
      </w:pPr>
      <w:r>
        <w:rPr>
          <w:rFonts w:hint="cs"/>
          <w:rtl/>
        </w:rPr>
        <w:t>ואם עשה</w:t>
      </w:r>
      <w:r w:rsidR="00F85796">
        <w:rPr>
          <w:rFonts w:hint="cs"/>
          <w:rtl/>
        </w:rPr>
        <w:t xml:space="preserve"> כן, </w:t>
      </w:r>
      <w:r w:rsidR="00AF2735">
        <w:rPr>
          <w:rFonts w:hint="cs"/>
          <w:rtl/>
        </w:rPr>
        <w:t>הרי ש</w:t>
      </w:r>
      <w:r w:rsidR="00F85796">
        <w:rPr>
          <w:rFonts w:hint="cs"/>
          <w:rtl/>
        </w:rPr>
        <w:t>למד את הטבע של המונח הכללי '</w:t>
      </w:r>
      <w:bookmarkStart w:id="128" w:name="_Hlk96428861"/>
      <w:r w:rsidR="00F85796">
        <w:rPr>
          <w:rFonts w:hint="cs"/>
          <w:rtl/>
        </w:rPr>
        <w:t>פו</w:t>
      </w:r>
      <w:r w:rsidR="00F85796" w:rsidRPr="00F85796">
        <w:rPr>
          <w:rtl/>
        </w:rPr>
        <w:t>עֵ</w:t>
      </w:r>
      <w:r w:rsidR="00F85796">
        <w:rPr>
          <w:rFonts w:hint="cs"/>
          <w:rtl/>
        </w:rPr>
        <w:t>ל</w:t>
      </w:r>
      <w:bookmarkEnd w:id="128"/>
      <w:r w:rsidR="00F85796">
        <w:rPr>
          <w:rFonts w:hint="cs"/>
          <w:rtl/>
        </w:rPr>
        <w:t>'</w:t>
      </w:r>
      <w:r w:rsidR="009B1335">
        <w:rPr>
          <w:rStyle w:val="FootnoteReference"/>
          <w:rtl/>
        </w:rPr>
        <w:footnoteReference w:id="184"/>
      </w:r>
      <w:r w:rsidR="00F85796">
        <w:rPr>
          <w:rFonts w:hint="cs"/>
          <w:rtl/>
        </w:rPr>
        <w:t xml:space="preserve">, </w:t>
      </w:r>
      <w:r w:rsidR="00CC16A1">
        <w:rPr>
          <w:rFonts w:hint="cs"/>
          <w:rtl/>
        </w:rPr>
        <w:t>שמשותף לדברים הטבעיים במובן השני</w:t>
      </w:r>
      <w:r w:rsidR="00CC16A1">
        <w:rPr>
          <w:rStyle w:val="FootnoteReference"/>
          <w:rtl/>
        </w:rPr>
        <w:footnoteReference w:id="185"/>
      </w:r>
      <w:r w:rsidR="009F6550">
        <w:rPr>
          <w:rFonts w:hint="cs"/>
          <w:rtl/>
        </w:rPr>
        <w:t>, מאחר שי</w:t>
      </w:r>
      <w:r w:rsidR="00301D8B">
        <w:rPr>
          <w:rFonts w:hint="cs"/>
          <w:rtl/>
        </w:rPr>
        <w:t>י</w:t>
      </w:r>
      <w:r w:rsidR="009F6550">
        <w:rPr>
          <w:rFonts w:hint="cs"/>
          <w:rtl/>
        </w:rPr>
        <w:t>דע את העניין המיוחד של כל מה שהוא 'פו</w:t>
      </w:r>
      <w:r w:rsidR="009B1335" w:rsidRPr="009B1335">
        <w:rPr>
          <w:rtl/>
        </w:rPr>
        <w:t>עֵ</w:t>
      </w:r>
      <w:r w:rsidR="009F6550">
        <w:rPr>
          <w:rFonts w:hint="cs"/>
          <w:rtl/>
        </w:rPr>
        <w:t>ל' בתוך הטבע</w:t>
      </w:r>
      <w:r w:rsidR="00287E5F">
        <w:rPr>
          <w:rStyle w:val="FootnoteReference"/>
          <w:rtl/>
        </w:rPr>
        <w:footnoteReference w:id="186"/>
      </w:r>
      <w:r w:rsidR="009F6550">
        <w:rPr>
          <w:rFonts w:hint="cs"/>
          <w:rtl/>
        </w:rPr>
        <w:t xml:space="preserve">. </w:t>
      </w:r>
    </w:p>
    <w:p w14:paraId="277A1333" w14:textId="172C59E5" w:rsidR="00301D8B" w:rsidRDefault="00301D8B" w:rsidP="009F6550">
      <w:pPr>
        <w:rPr>
          <w:rtl/>
        </w:rPr>
      </w:pPr>
      <w:r>
        <w:rPr>
          <w:rFonts w:hint="cs"/>
          <w:rtl/>
        </w:rPr>
        <w:t>כמו כן בדרך דומה הוא ילמד את המקרה של ההתחלה התכליתית</w:t>
      </w:r>
      <w:r>
        <w:rPr>
          <w:rStyle w:val="FootnoteReference"/>
          <w:rtl/>
        </w:rPr>
        <w:footnoteReference w:id="187"/>
      </w:r>
      <w:r w:rsidR="00194533">
        <w:rPr>
          <w:rFonts w:hint="cs"/>
          <w:rtl/>
        </w:rPr>
        <w:t>.</w:t>
      </w:r>
    </w:p>
    <w:p w14:paraId="30C41A73" w14:textId="68D92332" w:rsidR="0059453F" w:rsidRDefault="00194533" w:rsidP="00AF63E4">
      <w:pPr>
        <w:rPr>
          <w:rtl/>
        </w:rPr>
      </w:pPr>
      <w:r>
        <w:rPr>
          <w:rFonts w:hint="cs"/>
          <w:rtl/>
        </w:rPr>
        <w:t>מה שההתחלות הן ארבע אלה</w:t>
      </w:r>
      <w:r>
        <w:rPr>
          <w:rStyle w:val="FootnoteReference"/>
          <w:rtl/>
        </w:rPr>
        <w:footnoteReference w:id="188"/>
      </w:r>
      <w:r>
        <w:rPr>
          <w:rFonts w:hint="cs"/>
          <w:rtl/>
        </w:rPr>
        <w:t xml:space="preserve">, ונדון בהם בפירוט בהמשך, הוא עניין שהוא הנחה ראשונית בפילוסופיה של הטבע, והתבאר במופת בפילוסופיה הראשונה. </w:t>
      </w:r>
    </w:p>
    <w:p w14:paraId="627A5428" w14:textId="695FEFEC" w:rsidR="0059453F" w:rsidRDefault="00F8752D" w:rsidP="003266A1">
      <w:pPr>
        <w:pStyle w:val="Heading4"/>
        <w:rPr>
          <w:rtl/>
        </w:rPr>
      </w:pPr>
      <w:bookmarkStart w:id="130" w:name="_Toc119092616"/>
      <w:r>
        <w:rPr>
          <w:rFonts w:hint="cs"/>
          <w:rtl/>
        </w:rPr>
        <w:t>1.2.</w:t>
      </w:r>
      <w:r w:rsidR="0059453F">
        <w:rPr>
          <w:rFonts w:hint="cs"/>
          <w:rtl/>
        </w:rPr>
        <w:t>12</w:t>
      </w:r>
      <w:bookmarkEnd w:id="130"/>
    </w:p>
    <w:p w14:paraId="7036C9C9" w14:textId="11012512" w:rsidR="00576D03" w:rsidRDefault="00075DB8" w:rsidP="009F6550">
      <w:pPr>
        <w:rPr>
          <w:rtl/>
        </w:rPr>
      </w:pPr>
      <w:r>
        <w:rPr>
          <w:rFonts w:hint="cs"/>
          <w:rtl/>
        </w:rPr>
        <w:t>לגוף יש התחלה נוספת</w:t>
      </w:r>
      <w:r w:rsidR="00052300">
        <w:rPr>
          <w:rStyle w:val="FootnoteReference"/>
          <w:rtl/>
        </w:rPr>
        <w:footnoteReference w:id="189"/>
      </w:r>
      <w:r>
        <w:rPr>
          <w:rFonts w:hint="cs"/>
          <w:rtl/>
        </w:rPr>
        <w:t xml:space="preserve">, במידה שהוא ניתן לשינוי או </w:t>
      </w:r>
      <w:r w:rsidR="00526535">
        <w:rPr>
          <w:rFonts w:hint="cs"/>
          <w:rtl/>
        </w:rPr>
        <w:t>ל</w:t>
      </w:r>
      <w:r>
        <w:rPr>
          <w:rFonts w:hint="cs"/>
          <w:rtl/>
        </w:rPr>
        <w:t>השלמה</w:t>
      </w:r>
      <w:r w:rsidR="00427C63">
        <w:rPr>
          <w:rStyle w:val="FootnoteReference"/>
          <w:rtl/>
        </w:rPr>
        <w:footnoteReference w:id="190"/>
      </w:r>
      <w:r>
        <w:rPr>
          <w:rFonts w:hint="cs"/>
          <w:rtl/>
        </w:rPr>
        <w:t xml:space="preserve"> </w:t>
      </w:r>
      <w:r w:rsidR="002C229A">
        <w:rPr>
          <w:rFonts w:hint="cs"/>
          <w:rtl/>
        </w:rPr>
        <w:t xml:space="preserve">או מתהווה או ניתן להתהוות, </w:t>
      </w:r>
      <w:r w:rsidR="00576D03">
        <w:rPr>
          <w:rFonts w:hint="cs"/>
          <w:rtl/>
        </w:rPr>
        <w:t>כשלהיות ניתן לשינוי הוא שונה מלהיות ניתן להשלמה, ושניהם שונים מ</w:t>
      </w:r>
      <w:r w:rsidR="000F3DA3">
        <w:rPr>
          <w:rFonts w:hint="cs"/>
          <w:rtl/>
        </w:rPr>
        <w:t xml:space="preserve">המובן של </w:t>
      </w:r>
      <w:r w:rsidR="00576D03">
        <w:rPr>
          <w:rFonts w:hint="cs"/>
          <w:rtl/>
        </w:rPr>
        <w:t xml:space="preserve">מה שהוא מתהווה </w:t>
      </w:r>
      <w:r w:rsidR="000F3DA3">
        <w:rPr>
          <w:rFonts w:hint="cs"/>
          <w:rtl/>
        </w:rPr>
        <w:t xml:space="preserve">או </w:t>
      </w:r>
      <w:r w:rsidR="00576D03">
        <w:rPr>
          <w:rFonts w:hint="cs"/>
          <w:rtl/>
        </w:rPr>
        <w:t>ניתן להתהוות</w:t>
      </w:r>
      <w:r w:rsidR="00CD32FB">
        <w:rPr>
          <w:rStyle w:val="FootnoteReference"/>
          <w:rtl/>
        </w:rPr>
        <w:footnoteReference w:id="191"/>
      </w:r>
      <w:r w:rsidR="00576D03">
        <w:rPr>
          <w:rFonts w:hint="cs"/>
          <w:rtl/>
        </w:rPr>
        <w:t xml:space="preserve">. </w:t>
      </w:r>
    </w:p>
    <w:p w14:paraId="45916AD4" w14:textId="4B378281" w:rsidR="0059453F" w:rsidRDefault="00576D03" w:rsidP="009F6550">
      <w:pPr>
        <w:rPr>
          <w:rtl/>
        </w:rPr>
      </w:pPr>
      <w:r>
        <w:rPr>
          <w:rFonts w:hint="cs"/>
          <w:rtl/>
        </w:rPr>
        <w:t xml:space="preserve">כעת, </w:t>
      </w:r>
      <w:r w:rsidR="00CA277A">
        <w:rPr>
          <w:rFonts w:hint="cs"/>
          <w:rtl/>
        </w:rPr>
        <w:t>ה</w:t>
      </w:r>
      <w:r>
        <w:rPr>
          <w:rFonts w:hint="cs"/>
          <w:rtl/>
        </w:rPr>
        <w:t xml:space="preserve">מובן </w:t>
      </w:r>
      <w:r w:rsidR="00CA277A">
        <w:rPr>
          <w:rFonts w:hint="cs"/>
          <w:rtl/>
        </w:rPr>
        <w:t xml:space="preserve">של </w:t>
      </w:r>
      <w:r>
        <w:rPr>
          <w:rFonts w:hint="cs"/>
          <w:rtl/>
        </w:rPr>
        <w:t xml:space="preserve">'ניתן לשינוי' הוא שיש לו מאפיין </w:t>
      </w:r>
      <w:r w:rsidR="009C463A">
        <w:rPr>
          <w:rFonts w:hint="cs"/>
          <w:rtl/>
        </w:rPr>
        <w:t>מסוים</w:t>
      </w:r>
      <w:r>
        <w:rPr>
          <w:rFonts w:hint="cs"/>
          <w:rtl/>
        </w:rPr>
        <w:t xml:space="preserve"> שחדל מלהתקיים, ונעשה מאפיין אחר. </w:t>
      </w:r>
      <w:r w:rsidR="00CA277A">
        <w:rPr>
          <w:rFonts w:hint="cs"/>
          <w:rtl/>
        </w:rPr>
        <w:t xml:space="preserve">במקרה זה, ובכן, יש שלושה גורמים: </w:t>
      </w:r>
      <w:r w:rsidR="000F3DA3">
        <w:rPr>
          <w:rFonts w:hint="cs"/>
          <w:rtl/>
        </w:rPr>
        <w:t xml:space="preserve">(1) </w:t>
      </w:r>
      <w:r w:rsidR="00CA277A">
        <w:rPr>
          <w:rFonts w:hint="cs"/>
          <w:rtl/>
        </w:rPr>
        <w:t>משהו שנשאר, כלומר מה שהוא מצע לשינוי</w:t>
      </w:r>
      <w:r w:rsidR="00CA277A">
        <w:rPr>
          <w:rStyle w:val="FootnoteReference"/>
          <w:rtl/>
        </w:rPr>
        <w:footnoteReference w:id="192"/>
      </w:r>
      <w:r w:rsidR="000F3DA3">
        <w:rPr>
          <w:rFonts w:hint="cs"/>
          <w:rtl/>
        </w:rPr>
        <w:t>;</w:t>
      </w:r>
      <w:r w:rsidR="00075DB8">
        <w:rPr>
          <w:rFonts w:hint="cs"/>
          <w:rtl/>
        </w:rPr>
        <w:t xml:space="preserve"> </w:t>
      </w:r>
      <w:r w:rsidR="000F3DA3">
        <w:rPr>
          <w:rFonts w:hint="cs"/>
          <w:rtl/>
        </w:rPr>
        <w:t>(2) מצב שהיה קיים ואחר כך חדל מלהיות קיים</w:t>
      </w:r>
      <w:r w:rsidR="000F3DA3">
        <w:rPr>
          <w:rStyle w:val="FootnoteReference"/>
          <w:rtl/>
        </w:rPr>
        <w:footnoteReference w:id="193"/>
      </w:r>
      <w:r w:rsidR="000F3DA3">
        <w:rPr>
          <w:rFonts w:hint="cs"/>
          <w:rtl/>
        </w:rPr>
        <w:t>; (3) מצב לא קיים שבא לידי קיום</w:t>
      </w:r>
      <w:r w:rsidR="000F3DA3">
        <w:rPr>
          <w:rStyle w:val="FootnoteReference"/>
          <w:rtl/>
        </w:rPr>
        <w:footnoteReference w:id="194"/>
      </w:r>
      <w:r w:rsidR="000F3DA3">
        <w:rPr>
          <w:rFonts w:hint="cs"/>
          <w:rtl/>
        </w:rPr>
        <w:t xml:space="preserve">. </w:t>
      </w:r>
    </w:p>
    <w:p w14:paraId="7EA02C13" w14:textId="3B82F217" w:rsidR="00F619D2" w:rsidRDefault="00651180" w:rsidP="009F6550">
      <w:r>
        <w:rPr>
          <w:rFonts w:hint="cs"/>
          <w:rtl/>
        </w:rPr>
        <w:t xml:space="preserve">ברור, אם כן, שבמידה שגוף עובר שינוי, צריך שיהיה </w:t>
      </w:r>
      <w:r w:rsidR="00F619D2">
        <w:rPr>
          <w:rFonts w:hint="cs"/>
          <w:rtl/>
        </w:rPr>
        <w:t xml:space="preserve">(1) </w:t>
      </w:r>
      <w:r>
        <w:rPr>
          <w:rFonts w:hint="cs"/>
          <w:rtl/>
        </w:rPr>
        <w:t>משהו שיכול לקבל את מה שהיה לפני השינוי ומה שנעשה אחריו</w:t>
      </w:r>
      <w:r>
        <w:rPr>
          <w:rStyle w:val="FootnoteReference"/>
          <w:rtl/>
        </w:rPr>
        <w:footnoteReference w:id="195"/>
      </w:r>
      <w:r w:rsidR="00F619D2">
        <w:rPr>
          <w:rFonts w:hint="cs"/>
          <w:rtl/>
        </w:rPr>
        <w:t>; (2)</w:t>
      </w:r>
      <w:r>
        <w:rPr>
          <w:rFonts w:hint="cs"/>
          <w:rtl/>
        </w:rPr>
        <w:t xml:space="preserve"> </w:t>
      </w:r>
      <w:r w:rsidR="00F619D2">
        <w:rPr>
          <w:rFonts w:hint="cs"/>
          <w:rtl/>
        </w:rPr>
        <w:t xml:space="preserve">צורה שקיימת בהווה; (3) השלילה שלה, </w:t>
      </w:r>
      <w:r w:rsidR="00E719D1">
        <w:rPr>
          <w:rFonts w:hint="cs"/>
          <w:rtl/>
        </w:rPr>
        <w:t xml:space="preserve">שהייתה בזמן </w:t>
      </w:r>
      <w:proofErr w:type="spellStart"/>
      <w:r w:rsidR="00E719D1">
        <w:rPr>
          <w:rFonts w:hint="cs"/>
          <w:rtl/>
        </w:rPr>
        <w:t>שהיתה</w:t>
      </w:r>
      <w:proofErr w:type="spellEnd"/>
      <w:r w:rsidR="00E719D1">
        <w:rPr>
          <w:rFonts w:hint="cs"/>
          <w:rtl/>
        </w:rPr>
        <w:t xml:space="preserve"> קיימת</w:t>
      </w:r>
      <w:r w:rsidR="00F619D2">
        <w:rPr>
          <w:rFonts w:hint="cs"/>
          <w:rtl/>
        </w:rPr>
        <w:t xml:space="preserve"> </w:t>
      </w:r>
      <w:r w:rsidR="00E45784">
        <w:rPr>
          <w:rFonts w:hint="cs"/>
          <w:rtl/>
        </w:rPr>
        <w:t>הצורה הקודמת שנפרדה</w:t>
      </w:r>
      <w:r w:rsidR="00F619D2">
        <w:rPr>
          <w:rFonts w:hint="cs"/>
          <w:rtl/>
        </w:rPr>
        <w:t>.</w:t>
      </w:r>
    </w:p>
    <w:p w14:paraId="44528835" w14:textId="3BD303C3" w:rsidR="00CD32FB" w:rsidRDefault="00F619D2" w:rsidP="00AF63E4">
      <w:pPr>
        <w:rPr>
          <w:rtl/>
        </w:rPr>
      </w:pPr>
      <w:r>
        <w:rPr>
          <w:rFonts w:hint="cs"/>
          <w:rtl/>
        </w:rPr>
        <w:t>דוגמה לזה יהיו המעיל</w:t>
      </w:r>
      <w:r>
        <w:rPr>
          <w:rStyle w:val="FootnoteReference"/>
          <w:rFonts w:hint="cs"/>
          <w:rtl/>
        </w:rPr>
        <w:t xml:space="preserve"> </w:t>
      </w:r>
      <w:r>
        <w:rPr>
          <w:rFonts w:hint="cs"/>
          <w:rtl/>
        </w:rPr>
        <w:t>שנעשה שחור</w:t>
      </w:r>
      <w:r>
        <w:rPr>
          <w:rStyle w:val="FootnoteReference"/>
          <w:rtl/>
        </w:rPr>
        <w:footnoteReference w:id="196"/>
      </w:r>
      <w:r>
        <w:rPr>
          <w:rFonts w:hint="cs"/>
          <w:rtl/>
        </w:rPr>
        <w:t>, הלובן, והשחרות</w:t>
      </w:r>
      <w:r w:rsidR="00E719D1">
        <w:rPr>
          <w:rFonts w:hint="cs"/>
          <w:rtl/>
        </w:rPr>
        <w:t xml:space="preserve">, </w:t>
      </w:r>
      <w:proofErr w:type="spellStart"/>
      <w:r w:rsidR="00E719D1">
        <w:rPr>
          <w:rFonts w:hint="cs"/>
          <w:rtl/>
        </w:rPr>
        <w:t>והיתה</w:t>
      </w:r>
      <w:proofErr w:type="spellEnd"/>
      <w:r w:rsidR="00E719D1">
        <w:rPr>
          <w:rFonts w:hint="cs"/>
          <w:rtl/>
        </w:rPr>
        <w:t xml:space="preserve"> שלילה של השחרות כשהלובן היה קיים</w:t>
      </w:r>
      <w:r w:rsidR="00E719D1">
        <w:rPr>
          <w:rStyle w:val="FootnoteReference"/>
          <w:rtl/>
        </w:rPr>
        <w:footnoteReference w:id="197"/>
      </w:r>
      <w:r w:rsidR="00E719D1">
        <w:rPr>
          <w:rFonts w:hint="cs"/>
          <w:rtl/>
        </w:rPr>
        <w:t xml:space="preserve">. </w:t>
      </w:r>
    </w:p>
    <w:p w14:paraId="12DDF26E" w14:textId="52654DAC" w:rsidR="00CD32FB" w:rsidRDefault="00F8752D" w:rsidP="003266A1">
      <w:pPr>
        <w:pStyle w:val="Heading4"/>
        <w:rPr>
          <w:rtl/>
        </w:rPr>
      </w:pPr>
      <w:bookmarkStart w:id="132" w:name="_Toc119092617"/>
      <w:r>
        <w:rPr>
          <w:rFonts w:hint="cs"/>
          <w:rtl/>
        </w:rPr>
        <w:t>1.2.</w:t>
      </w:r>
      <w:r w:rsidR="00CD32FB">
        <w:rPr>
          <w:rFonts w:hint="cs"/>
          <w:rtl/>
        </w:rPr>
        <w:t>13</w:t>
      </w:r>
      <w:bookmarkEnd w:id="132"/>
    </w:p>
    <w:p w14:paraId="0CB73A33" w14:textId="77777777" w:rsidR="002E59CC" w:rsidRDefault="00CD32FB" w:rsidP="009F6550">
      <w:pPr>
        <w:rPr>
          <w:rtl/>
        </w:rPr>
      </w:pPr>
      <w:r>
        <w:rPr>
          <w:rFonts w:hint="cs"/>
          <w:rtl/>
        </w:rPr>
        <w:t xml:space="preserve">המובן של גוף </w:t>
      </w:r>
      <w:r w:rsidR="00526535">
        <w:rPr>
          <w:rFonts w:hint="cs"/>
          <w:rtl/>
        </w:rPr>
        <w:t>'</w:t>
      </w:r>
      <w:r>
        <w:rPr>
          <w:rFonts w:hint="cs"/>
          <w:rtl/>
        </w:rPr>
        <w:t>ניתן להשלמה</w:t>
      </w:r>
      <w:r w:rsidR="00526535">
        <w:rPr>
          <w:rFonts w:hint="cs"/>
          <w:rtl/>
        </w:rPr>
        <w:t>'</w:t>
      </w:r>
      <w:r>
        <w:rPr>
          <w:rFonts w:hint="cs"/>
          <w:rtl/>
        </w:rPr>
        <w:t xml:space="preserve"> הוא</w:t>
      </w:r>
      <w:r w:rsidR="00526535">
        <w:rPr>
          <w:rFonts w:hint="cs"/>
          <w:rtl/>
        </w:rPr>
        <w:t xml:space="preserve"> שהוא מקבל דבר שלא היה קיים מקודם, בלי שבעצמו י</w:t>
      </w:r>
      <w:r w:rsidR="00F64732">
        <w:rPr>
          <w:rFonts w:hint="cs"/>
          <w:rtl/>
        </w:rPr>
        <w:t>חסר ממנו</w:t>
      </w:r>
      <w:r w:rsidR="00526535">
        <w:rPr>
          <w:rFonts w:hint="cs"/>
          <w:rtl/>
        </w:rPr>
        <w:t xml:space="preserve"> מאומה.</w:t>
      </w:r>
      <w:r w:rsidR="00F64732">
        <w:rPr>
          <w:rFonts w:hint="cs"/>
          <w:rtl/>
        </w:rPr>
        <w:t xml:space="preserve"> </w:t>
      </w:r>
    </w:p>
    <w:p w14:paraId="5F8B01C8" w14:textId="63220BA7" w:rsidR="00D03B67" w:rsidRDefault="002E59CC" w:rsidP="009F6550">
      <w:pPr>
        <w:rPr>
          <w:rtl/>
        </w:rPr>
      </w:pPr>
      <w:r>
        <w:rPr>
          <w:rFonts w:hint="cs"/>
          <w:rtl/>
        </w:rPr>
        <w:t>לדוגמה עצם שהיה במנוחה ואחר כך הניעו אותו</w:t>
      </w:r>
      <w:r w:rsidR="0076373C">
        <w:rPr>
          <w:rFonts w:hint="cs"/>
          <w:rtl/>
        </w:rPr>
        <w:t xml:space="preserve">, במשך מנוחתו היה רק </w:t>
      </w:r>
      <w:r w:rsidR="00D61E89" w:rsidRPr="00D61E89">
        <w:rPr>
          <w:rtl/>
        </w:rPr>
        <w:t>הֶעְדֵּר</w:t>
      </w:r>
      <w:r w:rsidR="0076373C">
        <w:rPr>
          <w:rFonts w:hint="cs"/>
          <w:rtl/>
        </w:rPr>
        <w:t xml:space="preserve"> של התנועה השייכת אליו כאפשרות או 'בכח'</w:t>
      </w:r>
      <w:r w:rsidR="00B7155A">
        <w:rPr>
          <w:rStyle w:val="FootnoteReference"/>
          <w:rtl/>
        </w:rPr>
        <w:footnoteReference w:id="198"/>
      </w:r>
      <w:r w:rsidR="0076373C">
        <w:rPr>
          <w:rFonts w:hint="cs"/>
          <w:rtl/>
        </w:rPr>
        <w:t>, וכאשר הונע לא אבד ממנו מאומה מלבד ההעדר</w:t>
      </w:r>
      <w:r w:rsidR="00E435E8">
        <w:rPr>
          <w:rStyle w:val="FootnoteReference"/>
          <w:rtl/>
        </w:rPr>
        <w:footnoteReference w:id="199"/>
      </w:r>
      <w:r w:rsidR="0076373C">
        <w:rPr>
          <w:rFonts w:hint="cs"/>
          <w:rtl/>
        </w:rPr>
        <w:t xml:space="preserve">. </w:t>
      </w:r>
    </w:p>
    <w:p w14:paraId="01177247" w14:textId="7A46EA04" w:rsidR="00B617EB" w:rsidRDefault="00D03B67" w:rsidP="009F6550">
      <w:pPr>
        <w:rPr>
          <w:rtl/>
        </w:rPr>
      </w:pPr>
      <w:r>
        <w:rPr>
          <w:rFonts w:hint="cs"/>
          <w:rtl/>
        </w:rPr>
        <w:t xml:space="preserve">דוגמה נוספת היא </w:t>
      </w:r>
      <w:r w:rsidR="00B617EB">
        <w:rPr>
          <w:rFonts w:hint="cs"/>
          <w:rtl/>
        </w:rPr>
        <w:t xml:space="preserve">לוח </w:t>
      </w:r>
      <w:proofErr w:type="spellStart"/>
      <w:r w:rsidR="00B617EB">
        <w:rPr>
          <w:rFonts w:hint="cs"/>
          <w:rtl/>
        </w:rPr>
        <w:t>הצפחה</w:t>
      </w:r>
      <w:proofErr w:type="spellEnd"/>
      <w:r w:rsidR="00B617EB">
        <w:rPr>
          <w:rFonts w:hint="cs"/>
          <w:rtl/>
        </w:rPr>
        <w:t xml:space="preserve"> הריק כאשר מישהו כתב עליו</w:t>
      </w:r>
      <w:r w:rsidR="00B617EB">
        <w:rPr>
          <w:rStyle w:val="FootnoteReference"/>
          <w:rtl/>
        </w:rPr>
        <w:footnoteReference w:id="200"/>
      </w:r>
      <w:r w:rsidR="00B617EB">
        <w:rPr>
          <w:rFonts w:hint="cs"/>
          <w:rtl/>
        </w:rPr>
        <w:t xml:space="preserve">. </w:t>
      </w:r>
    </w:p>
    <w:p w14:paraId="1B6409C1" w14:textId="3BC028C7" w:rsidR="00950798" w:rsidRDefault="00031E93" w:rsidP="00AF63E4">
      <w:pPr>
        <w:rPr>
          <w:rtl/>
        </w:rPr>
      </w:pPr>
      <w:r>
        <w:rPr>
          <w:rFonts w:hint="cs"/>
          <w:rtl/>
        </w:rPr>
        <w:t>מה שנעשית בו</w:t>
      </w:r>
      <w:r w:rsidR="00435B78">
        <w:rPr>
          <w:rFonts w:hint="cs"/>
          <w:rtl/>
        </w:rPr>
        <w:t xml:space="preserve"> השלמה</w:t>
      </w:r>
      <w:r w:rsidR="00B67E2E">
        <w:rPr>
          <w:rStyle w:val="FootnoteReference"/>
          <w:rtl/>
        </w:rPr>
        <w:footnoteReference w:id="201"/>
      </w:r>
      <w:r>
        <w:rPr>
          <w:rFonts w:hint="cs"/>
          <w:rtl/>
        </w:rPr>
        <w:t xml:space="preserve"> צריך שיהיו בו שלושה גורמים: (1) ישות מוגדרת שהייתה לא שלמה ואז הושלמה</w:t>
      </w:r>
      <w:r w:rsidR="00725065">
        <w:rPr>
          <w:rStyle w:val="FootnoteReference"/>
          <w:rtl/>
        </w:rPr>
        <w:footnoteReference w:id="202"/>
      </w:r>
      <w:r>
        <w:rPr>
          <w:rFonts w:hint="cs"/>
          <w:rtl/>
        </w:rPr>
        <w:t>; (2) משהו שבהווה נמצא בו</w:t>
      </w:r>
      <w:r w:rsidR="00725065">
        <w:rPr>
          <w:rStyle w:val="FootnoteReference"/>
          <w:rtl/>
        </w:rPr>
        <w:footnoteReference w:id="203"/>
      </w:r>
      <w:r w:rsidR="00725065">
        <w:rPr>
          <w:rFonts w:hint="cs"/>
          <w:rtl/>
        </w:rPr>
        <w:t>;</w:t>
      </w:r>
      <w:r>
        <w:rPr>
          <w:rFonts w:hint="cs"/>
          <w:rtl/>
        </w:rPr>
        <w:t xml:space="preserve"> </w:t>
      </w:r>
      <w:r w:rsidR="00725065">
        <w:rPr>
          <w:rFonts w:hint="cs"/>
          <w:rtl/>
        </w:rPr>
        <w:t xml:space="preserve">ו </w:t>
      </w:r>
      <w:r>
        <w:rPr>
          <w:rFonts w:hint="cs"/>
          <w:rtl/>
        </w:rPr>
        <w:t>(3) העדר שקדם למה</w:t>
      </w:r>
      <w:r w:rsidR="00725065">
        <w:rPr>
          <w:rFonts w:hint="cs"/>
          <w:rtl/>
        </w:rPr>
        <w:t xml:space="preserve"> </w:t>
      </w:r>
      <w:r>
        <w:rPr>
          <w:rFonts w:hint="cs"/>
          <w:rtl/>
        </w:rPr>
        <w:t>שבהווה נמצא בו</w:t>
      </w:r>
      <w:r w:rsidR="00725065">
        <w:rPr>
          <w:rStyle w:val="FootnoteReference"/>
          <w:rtl/>
        </w:rPr>
        <w:footnoteReference w:id="204"/>
      </w:r>
      <w:r>
        <w:rPr>
          <w:rFonts w:hint="cs"/>
          <w:rtl/>
        </w:rPr>
        <w:t xml:space="preserve">.  </w:t>
      </w:r>
    </w:p>
    <w:p w14:paraId="5FEFE27E" w14:textId="215F5B41" w:rsidR="00950798" w:rsidRDefault="00F8752D" w:rsidP="003266A1">
      <w:pPr>
        <w:pStyle w:val="Heading4"/>
        <w:rPr>
          <w:rtl/>
        </w:rPr>
      </w:pPr>
      <w:bookmarkStart w:id="133" w:name="_Toc119092618"/>
      <w:r>
        <w:rPr>
          <w:rFonts w:hint="cs"/>
          <w:rtl/>
        </w:rPr>
        <w:t>1.2.</w:t>
      </w:r>
      <w:r w:rsidR="00950798">
        <w:rPr>
          <w:rFonts w:hint="cs"/>
          <w:rtl/>
        </w:rPr>
        <w:t>14</w:t>
      </w:r>
      <w:bookmarkEnd w:id="133"/>
    </w:p>
    <w:p w14:paraId="3797A471" w14:textId="43F0D66D" w:rsidR="00F557F7" w:rsidRDefault="00D61E89" w:rsidP="009F6550">
      <w:pPr>
        <w:rPr>
          <w:rtl/>
        </w:rPr>
      </w:pPr>
      <w:r w:rsidRPr="00D61E89">
        <w:rPr>
          <w:rtl/>
        </w:rPr>
        <w:t>הֶעְדֵּר</w:t>
      </w:r>
      <w:r w:rsidR="00950798">
        <w:rPr>
          <w:rFonts w:hint="cs"/>
          <w:rtl/>
        </w:rPr>
        <w:t xml:space="preserve">, למעשה, הוא תנאי </w:t>
      </w:r>
      <w:r w:rsidR="00487FC6">
        <w:rPr>
          <w:rFonts w:hint="cs"/>
          <w:rtl/>
        </w:rPr>
        <w:t>קודם</w:t>
      </w:r>
      <w:r w:rsidR="00950798">
        <w:rPr>
          <w:rFonts w:hint="cs"/>
          <w:rtl/>
        </w:rPr>
        <w:t xml:space="preserve"> לכך שדבר יהיה נתון לשינוי או השלמה</w:t>
      </w:r>
      <w:r w:rsidR="00287AFC">
        <w:rPr>
          <w:rFonts w:hint="cs"/>
          <w:rtl/>
        </w:rPr>
        <w:t xml:space="preserve">, מאחר שבמקום שאין שום העדר </w:t>
      </w:r>
      <w:r w:rsidR="0023337C">
        <w:rPr>
          <w:rFonts w:hint="cs"/>
          <w:rtl/>
        </w:rPr>
        <w:t>אי</w:t>
      </w:r>
      <w:r w:rsidR="00287AFC">
        <w:rPr>
          <w:rFonts w:hint="cs"/>
          <w:rtl/>
        </w:rPr>
        <w:t xml:space="preserve"> אפשר שיהיו שינוי או השלמה</w:t>
      </w:r>
      <w:r w:rsidR="00C747AE">
        <w:rPr>
          <w:rStyle w:val="FootnoteReference"/>
          <w:rtl/>
        </w:rPr>
        <w:footnoteReference w:id="205"/>
      </w:r>
      <w:r w:rsidR="00287AFC">
        <w:rPr>
          <w:rFonts w:hint="cs"/>
          <w:rtl/>
        </w:rPr>
        <w:t>, אלא השלמות והצורה הנוכחיים יהיו נצחיים.</w:t>
      </w:r>
      <w:r w:rsidR="0023337C">
        <w:rPr>
          <w:rFonts w:hint="cs"/>
          <w:rtl/>
        </w:rPr>
        <w:t xml:space="preserve"> לכן מה שהשתנה ומה שהושלם דורש שהעדר </w:t>
      </w:r>
      <w:r w:rsidR="009C463A">
        <w:rPr>
          <w:rFonts w:hint="cs"/>
          <w:rtl/>
        </w:rPr>
        <w:t>מסוים</w:t>
      </w:r>
      <w:r w:rsidR="0023337C">
        <w:rPr>
          <w:rFonts w:hint="cs"/>
          <w:rtl/>
        </w:rPr>
        <w:t xml:space="preserve"> יקדם</w:t>
      </w:r>
      <w:r w:rsidR="00E8276A">
        <w:rPr>
          <w:rFonts w:hint="cs"/>
          <w:rtl/>
        </w:rPr>
        <w:t xml:space="preserve"> לו</w:t>
      </w:r>
      <w:r w:rsidR="00653A88">
        <w:rPr>
          <w:rFonts w:hint="cs"/>
          <w:rtl/>
        </w:rPr>
        <w:t>,</w:t>
      </w:r>
      <w:r w:rsidR="00E8276A">
        <w:rPr>
          <w:rFonts w:hint="cs"/>
          <w:rtl/>
        </w:rPr>
        <w:t xml:space="preserve"> </w:t>
      </w:r>
      <w:r w:rsidR="003B15D3">
        <w:rPr>
          <w:rFonts w:hint="cs"/>
          <w:rtl/>
        </w:rPr>
        <w:t>עד מידה שיהיה באמת משהו בר שינוי או בר השלמה, כיוון שההעדר באשר הוא העדר אינו מכריח ששינוי או השלמה יקרו</w:t>
      </w:r>
      <w:r w:rsidR="001A5A8A">
        <w:rPr>
          <w:rStyle w:val="FootnoteReference"/>
          <w:rtl/>
        </w:rPr>
        <w:footnoteReference w:id="206"/>
      </w:r>
      <w:r w:rsidR="003B15D3">
        <w:rPr>
          <w:rFonts w:hint="cs"/>
          <w:rtl/>
        </w:rPr>
        <w:t>.</w:t>
      </w:r>
    </w:p>
    <w:p w14:paraId="0A89FC1C" w14:textId="3AB66BFD" w:rsidR="00F65BB9" w:rsidRDefault="00F557F7" w:rsidP="009F6550">
      <w:pPr>
        <w:rPr>
          <w:rtl/>
        </w:rPr>
      </w:pPr>
      <w:r>
        <w:rPr>
          <w:rFonts w:hint="cs"/>
          <w:rtl/>
        </w:rPr>
        <w:t>כך, שלילת ההעדר מחייבת את שלילת האפשרות לשינוי או השלמה, במידה ש</w:t>
      </w:r>
      <w:r w:rsidR="00206C47">
        <w:rPr>
          <w:rFonts w:hint="cs"/>
          <w:rtl/>
        </w:rPr>
        <w:t>הם שינוי או השלמה</w:t>
      </w:r>
      <w:r w:rsidR="00206C47">
        <w:rPr>
          <w:rStyle w:val="FootnoteReference"/>
          <w:rtl/>
        </w:rPr>
        <w:footnoteReference w:id="207"/>
      </w:r>
      <w:r w:rsidR="00206C47">
        <w:rPr>
          <w:rFonts w:hint="cs"/>
          <w:rtl/>
        </w:rPr>
        <w:t xml:space="preserve">, </w:t>
      </w:r>
      <w:r w:rsidR="00EA1F57">
        <w:rPr>
          <w:rFonts w:hint="cs"/>
          <w:rtl/>
        </w:rPr>
        <w:t>בעוד ששלילת האפשרות לשינוי וההשלמה אינה מחייבת את שלילת ההעדר</w:t>
      </w:r>
      <w:r w:rsidR="00EA1F57">
        <w:rPr>
          <w:rStyle w:val="FootnoteReference"/>
          <w:rtl/>
        </w:rPr>
        <w:footnoteReference w:id="208"/>
      </w:r>
      <w:r>
        <w:rPr>
          <w:rFonts w:hint="cs"/>
          <w:rtl/>
        </w:rPr>
        <w:t>.</w:t>
      </w:r>
      <w:r w:rsidR="00475261">
        <w:rPr>
          <w:rFonts w:hint="cs"/>
          <w:rtl/>
        </w:rPr>
        <w:t xml:space="preserve"> כך ההעדר מבחינה זו הוא קודם, וכך הוא התחלה, אם התחלה היא משהו שבכל מקרה </w:t>
      </w:r>
      <w:r w:rsidR="008D7E60">
        <w:rPr>
          <w:rFonts w:hint="cs"/>
          <w:rtl/>
        </w:rPr>
        <w:t>הכרחי</w:t>
      </w:r>
      <w:r w:rsidR="00475261">
        <w:rPr>
          <w:rFonts w:hint="cs"/>
          <w:rtl/>
        </w:rPr>
        <w:t xml:space="preserve"> </w:t>
      </w:r>
      <w:r w:rsidR="008D7E60">
        <w:rPr>
          <w:rFonts w:hint="cs"/>
          <w:rtl/>
        </w:rPr>
        <w:t>שיהיה</w:t>
      </w:r>
      <w:r w:rsidR="004230BB">
        <w:rPr>
          <w:rFonts w:hint="cs"/>
          <w:rtl/>
        </w:rPr>
        <w:t xml:space="preserve"> </w:t>
      </w:r>
      <w:r w:rsidR="00475261">
        <w:rPr>
          <w:rFonts w:hint="cs"/>
          <w:rtl/>
        </w:rPr>
        <w:t>קיים</w:t>
      </w:r>
      <w:r w:rsidR="00D84444">
        <w:rPr>
          <w:rStyle w:val="FootnoteReference"/>
          <w:rtl/>
        </w:rPr>
        <w:footnoteReference w:id="209"/>
      </w:r>
      <w:r w:rsidR="00475261">
        <w:rPr>
          <w:rFonts w:hint="cs"/>
          <w:rtl/>
        </w:rPr>
        <w:t xml:space="preserve">, </w:t>
      </w:r>
      <w:r w:rsidR="004230BB">
        <w:rPr>
          <w:rFonts w:hint="cs"/>
          <w:rtl/>
        </w:rPr>
        <w:t>בכל אופן היא צריכה להיות קיימת כדי שמשהו אחר יהיה קיים, אבל לא להיפך</w:t>
      </w:r>
      <w:r w:rsidR="004230BB">
        <w:rPr>
          <w:rStyle w:val="FootnoteReference"/>
          <w:rtl/>
        </w:rPr>
        <w:footnoteReference w:id="210"/>
      </w:r>
      <w:r w:rsidR="004230BB">
        <w:rPr>
          <w:rFonts w:hint="cs"/>
          <w:rtl/>
        </w:rPr>
        <w:t xml:space="preserve">.  </w:t>
      </w:r>
    </w:p>
    <w:p w14:paraId="6D6E2BD3" w14:textId="538CB8B3" w:rsidR="00475261" w:rsidRDefault="00F65BB9" w:rsidP="009F6550">
      <w:pPr>
        <w:rPr>
          <w:rtl/>
        </w:rPr>
      </w:pPr>
      <w:r>
        <w:rPr>
          <w:rFonts w:hint="cs"/>
          <w:rtl/>
        </w:rPr>
        <w:t xml:space="preserve">אם זה אינו מספיק להיות התחלה, והתחלה היא לא משהו שעל כל פנים </w:t>
      </w:r>
      <w:r w:rsidR="008D7E60">
        <w:rPr>
          <w:rFonts w:hint="cs"/>
          <w:rtl/>
        </w:rPr>
        <w:t>הכרחי</w:t>
      </w:r>
      <w:r>
        <w:rPr>
          <w:rFonts w:hint="cs"/>
          <w:rtl/>
        </w:rPr>
        <w:t xml:space="preserve"> </w:t>
      </w:r>
      <w:r w:rsidR="008D7E60">
        <w:rPr>
          <w:rFonts w:hint="cs"/>
          <w:rtl/>
        </w:rPr>
        <w:t>שתת</w:t>
      </w:r>
      <w:r>
        <w:rPr>
          <w:rFonts w:hint="cs"/>
          <w:rtl/>
        </w:rPr>
        <w:t xml:space="preserve">קיים </w:t>
      </w:r>
      <w:r w:rsidR="00FC2FD1">
        <w:rPr>
          <w:rFonts w:hint="cs"/>
          <w:rtl/>
        </w:rPr>
        <w:t>(</w:t>
      </w:r>
      <w:r>
        <w:rPr>
          <w:rFonts w:hint="cs"/>
          <w:rtl/>
        </w:rPr>
        <w:t xml:space="preserve">בכל אופן </w:t>
      </w:r>
      <w:r w:rsidR="00F90130">
        <w:rPr>
          <w:rFonts w:hint="cs"/>
          <w:rtl/>
        </w:rPr>
        <w:t>הכרחי</w:t>
      </w:r>
      <w:r>
        <w:rPr>
          <w:rFonts w:hint="cs"/>
          <w:rtl/>
        </w:rPr>
        <w:t xml:space="preserve"> ש</w:t>
      </w:r>
      <w:r w:rsidR="00F90130">
        <w:rPr>
          <w:rFonts w:hint="cs"/>
          <w:rtl/>
        </w:rPr>
        <w:t>ת</w:t>
      </w:r>
      <w:r>
        <w:rPr>
          <w:rFonts w:hint="cs"/>
          <w:rtl/>
        </w:rPr>
        <w:t>תקיים</w:t>
      </w:r>
      <w:r w:rsidR="00F90130">
        <w:rPr>
          <w:rStyle w:val="FootnoteReference"/>
          <w:rtl/>
        </w:rPr>
        <w:footnoteReference w:id="211"/>
      </w:r>
      <w:r w:rsidR="00F90130">
        <w:rPr>
          <w:rFonts w:hint="cs"/>
          <w:rtl/>
        </w:rPr>
        <w:t xml:space="preserve"> על כל פנים באותו זמן עם העצם שהיא ההתחלה שלו, </w:t>
      </w:r>
      <w:r w:rsidR="00423F63">
        <w:rPr>
          <w:rFonts w:hint="cs"/>
          <w:rtl/>
        </w:rPr>
        <w:t>בלי להיות קודמת או מאוחרת</w:t>
      </w:r>
      <w:r w:rsidR="00FC2FD1">
        <w:rPr>
          <w:rFonts w:hint="cs"/>
          <w:rtl/>
        </w:rPr>
        <w:t>), אז העדר אינו התחלה</w:t>
      </w:r>
      <w:r w:rsidR="00423F63">
        <w:rPr>
          <w:rFonts w:hint="cs"/>
          <w:rtl/>
        </w:rPr>
        <w:t xml:space="preserve">. </w:t>
      </w:r>
    </w:p>
    <w:p w14:paraId="0E32413B" w14:textId="30D6B7FA" w:rsidR="00FC2FD1" w:rsidRDefault="00FC2FD1" w:rsidP="009F6550">
      <w:pPr>
        <w:rPr>
          <w:rtl/>
        </w:rPr>
      </w:pPr>
      <w:r>
        <w:rPr>
          <w:rFonts w:hint="cs"/>
          <w:rtl/>
        </w:rPr>
        <w:t xml:space="preserve">לא נשיג מאומה בהתפלפלויות על מונחים, </w:t>
      </w:r>
      <w:r w:rsidR="0089557A">
        <w:rPr>
          <w:rFonts w:hint="cs"/>
          <w:rtl/>
        </w:rPr>
        <w:t>נשתמש בניסוח</w:t>
      </w:r>
      <w:r w:rsidR="00A0519F">
        <w:rPr>
          <w:rStyle w:val="FootnoteReference"/>
          <w:rtl/>
        </w:rPr>
        <w:footnoteReference w:id="212"/>
      </w:r>
      <w:r w:rsidR="0089557A">
        <w:rPr>
          <w:rFonts w:hint="cs"/>
          <w:rtl/>
        </w:rPr>
        <w:t>: 'מה שמכל מקום הוא מחויב...אבל לא להיפך'</w:t>
      </w:r>
      <w:r w:rsidR="0089557A">
        <w:rPr>
          <w:rStyle w:val="FootnoteReference"/>
          <w:rtl/>
        </w:rPr>
        <w:footnoteReference w:id="213"/>
      </w:r>
      <w:r w:rsidR="0089557A">
        <w:rPr>
          <w:rFonts w:hint="cs"/>
          <w:rtl/>
        </w:rPr>
        <w:t xml:space="preserve">. </w:t>
      </w:r>
    </w:p>
    <w:p w14:paraId="385CC777" w14:textId="6A865017" w:rsidR="00A34072" w:rsidRDefault="00A34072" w:rsidP="009F6550">
      <w:pPr>
        <w:rPr>
          <w:rtl/>
        </w:rPr>
      </w:pPr>
      <w:r>
        <w:rPr>
          <w:rFonts w:hint="cs"/>
          <w:rtl/>
        </w:rPr>
        <w:t>כך אנו מוצאים שהגוף יוכל להיות מצע לשינוי והשלמה, צריך שיהיה (1) מה שהוא מקבל שינוי והשלמה; (2) העדר; (3) וצורה</w:t>
      </w:r>
      <w:r>
        <w:rPr>
          <w:rStyle w:val="FootnoteReference"/>
          <w:rtl/>
        </w:rPr>
        <w:footnoteReference w:id="214"/>
      </w:r>
      <w:r>
        <w:rPr>
          <w:rFonts w:hint="cs"/>
          <w:rtl/>
        </w:rPr>
        <w:t xml:space="preserve">.   </w:t>
      </w:r>
    </w:p>
    <w:p w14:paraId="2AFAF10B" w14:textId="4BAFEE02" w:rsidR="0035516F" w:rsidRDefault="0081096B" w:rsidP="00AF63E4">
      <w:pPr>
        <w:rPr>
          <w:rtl/>
        </w:rPr>
      </w:pPr>
      <w:r>
        <w:rPr>
          <w:rFonts w:hint="cs"/>
          <w:rtl/>
        </w:rPr>
        <w:t>זה ברור לנו מההתבוננות הקלה ביותר.</w:t>
      </w:r>
    </w:p>
    <w:p w14:paraId="3DBB67A9" w14:textId="66609B08" w:rsidR="0081096B" w:rsidRDefault="00F8752D" w:rsidP="003266A1">
      <w:pPr>
        <w:pStyle w:val="Heading4"/>
        <w:rPr>
          <w:rtl/>
        </w:rPr>
      </w:pPr>
      <w:bookmarkStart w:id="139" w:name="_Toc119092619"/>
      <w:r>
        <w:rPr>
          <w:rFonts w:hint="cs"/>
          <w:rtl/>
        </w:rPr>
        <w:t>1.2.</w:t>
      </w:r>
      <w:r w:rsidR="0035516F">
        <w:rPr>
          <w:rFonts w:hint="cs"/>
          <w:rtl/>
        </w:rPr>
        <w:t>15</w:t>
      </w:r>
      <w:bookmarkEnd w:id="139"/>
      <w:r w:rsidR="0081096B">
        <w:rPr>
          <w:rFonts w:hint="cs"/>
          <w:rtl/>
        </w:rPr>
        <w:t xml:space="preserve"> </w:t>
      </w:r>
    </w:p>
    <w:p w14:paraId="31480AE6" w14:textId="65AA5423" w:rsidR="00741B6F" w:rsidRPr="00741B6F" w:rsidRDefault="00741B6F" w:rsidP="00741B6F">
      <w:pPr>
        <w:pStyle w:val="FootnoteText"/>
        <w:rPr>
          <w:b/>
          <w:bCs/>
          <w:sz w:val="28"/>
          <w:szCs w:val="28"/>
          <w:rtl/>
        </w:rPr>
      </w:pPr>
      <w:r w:rsidRPr="00741B6F">
        <w:rPr>
          <w:b/>
          <w:bCs/>
          <w:sz w:val="28"/>
          <w:szCs w:val="28"/>
          <w:rtl/>
        </w:rPr>
        <w:t xml:space="preserve">המובן של היות הגוף </w:t>
      </w:r>
      <w:r w:rsidR="0070699B">
        <w:rPr>
          <w:rFonts w:hint="cs"/>
          <w:b/>
          <w:bCs/>
          <w:sz w:val="28"/>
          <w:szCs w:val="28"/>
          <w:rtl/>
        </w:rPr>
        <w:t>'מתהווה'</w:t>
      </w:r>
      <w:r w:rsidRPr="00741B6F">
        <w:rPr>
          <w:b/>
          <w:bCs/>
          <w:sz w:val="28"/>
          <w:szCs w:val="28"/>
          <w:rtl/>
        </w:rPr>
        <w:t xml:space="preserve"> מחייב אותנו להניח משהו ש</w:t>
      </w:r>
      <w:r w:rsidR="0070699B">
        <w:rPr>
          <w:rFonts w:hint="cs"/>
          <w:b/>
          <w:bCs/>
          <w:sz w:val="28"/>
          <w:szCs w:val="28"/>
          <w:rtl/>
        </w:rPr>
        <w:t>התהווה</w:t>
      </w:r>
      <w:r w:rsidRPr="00741B6F">
        <w:rPr>
          <w:b/>
          <w:bCs/>
          <w:sz w:val="28"/>
          <w:szCs w:val="28"/>
          <w:rtl/>
        </w:rPr>
        <w:t xml:space="preserve"> ובאותה מידה גם להניח העדר שקדם לו. </w:t>
      </w:r>
    </w:p>
    <w:p w14:paraId="33D6F08C" w14:textId="05672D6E" w:rsidR="00741B6F" w:rsidRPr="00741B6F" w:rsidRDefault="00741B6F" w:rsidP="00741B6F">
      <w:pPr>
        <w:pStyle w:val="FootnoteText"/>
        <w:rPr>
          <w:b/>
          <w:bCs/>
          <w:sz w:val="28"/>
          <w:szCs w:val="28"/>
          <w:rtl/>
        </w:rPr>
      </w:pPr>
      <w:r w:rsidRPr="00741B6F">
        <w:rPr>
          <w:b/>
          <w:bCs/>
          <w:sz w:val="28"/>
          <w:szCs w:val="28"/>
          <w:rtl/>
        </w:rPr>
        <w:t>לגבי השאלה האם ההתהוות של מה שמתהווה מחייבת עצם קודם ש</w:t>
      </w:r>
      <w:r w:rsidR="0070699B">
        <w:rPr>
          <w:rFonts w:hint="cs"/>
          <w:b/>
          <w:bCs/>
          <w:sz w:val="28"/>
          <w:szCs w:val="28"/>
          <w:rtl/>
        </w:rPr>
        <w:t xml:space="preserve">בתחילה </w:t>
      </w:r>
      <w:r w:rsidRPr="00741B6F">
        <w:rPr>
          <w:b/>
          <w:bCs/>
          <w:sz w:val="28"/>
          <w:szCs w:val="28"/>
          <w:rtl/>
        </w:rPr>
        <w:t>היה שייך להעדר של הצורה המתהווה ואחר כך חדל מלהיות שייך אליו, כשההעדר של הצורה חדל, זה אינו דבר שברור לנו בהתבוננות ראשונה. למעשה, ב</w:t>
      </w:r>
      <w:r w:rsidR="00EC6C94">
        <w:rPr>
          <w:rFonts w:hint="cs"/>
          <w:b/>
          <w:bCs/>
          <w:sz w:val="28"/>
          <w:szCs w:val="28"/>
          <w:rtl/>
        </w:rPr>
        <w:t>חכמת</w:t>
      </w:r>
      <w:r w:rsidRPr="00741B6F">
        <w:rPr>
          <w:b/>
          <w:bCs/>
          <w:sz w:val="28"/>
          <w:szCs w:val="28"/>
          <w:rtl/>
        </w:rPr>
        <w:t xml:space="preserve"> הטבע אנו צריכים להניח זאת בפשטות ולספק את עצמנו בהוכחה אינדוקטיבית, אבל נוכיח זאת בפילוסופיה הראשונה. </w:t>
      </w:r>
    </w:p>
    <w:p w14:paraId="4207EFC1" w14:textId="06538EC0" w:rsidR="00171B4A" w:rsidRDefault="00741B6F" w:rsidP="00AF63E4">
      <w:pPr>
        <w:pStyle w:val="FootnoteText"/>
        <w:rPr>
          <w:b/>
          <w:bCs/>
          <w:sz w:val="28"/>
          <w:szCs w:val="28"/>
        </w:rPr>
      </w:pPr>
      <w:r w:rsidRPr="00741B6F">
        <w:rPr>
          <w:b/>
          <w:bCs/>
          <w:sz w:val="28"/>
          <w:szCs w:val="28"/>
          <w:rtl/>
        </w:rPr>
        <w:t>דיאלקטיקה</w:t>
      </w:r>
      <w:r w:rsidR="00B8537E">
        <w:rPr>
          <w:rStyle w:val="FootnoteReference"/>
          <w:b/>
          <w:bCs/>
          <w:sz w:val="28"/>
          <w:szCs w:val="28"/>
          <w:rtl/>
        </w:rPr>
        <w:footnoteReference w:id="215"/>
      </w:r>
      <w:r w:rsidRPr="00741B6F">
        <w:rPr>
          <w:b/>
          <w:bCs/>
          <w:sz w:val="28"/>
          <w:szCs w:val="28"/>
          <w:rtl/>
        </w:rPr>
        <w:t xml:space="preserve"> לפעמים נותנת לנו מקצת ידיעה שימושית להשקיט את נפש הלומד, אבל אין להחליף </w:t>
      </w:r>
      <w:r w:rsidR="00AF23C5">
        <w:rPr>
          <w:rFonts w:hint="cs"/>
          <w:b/>
          <w:bCs/>
          <w:sz w:val="28"/>
          <w:szCs w:val="28"/>
          <w:rtl/>
        </w:rPr>
        <w:t xml:space="preserve">את הידוע במופת עם הדיאלקטיקה. </w:t>
      </w:r>
    </w:p>
    <w:p w14:paraId="31917715" w14:textId="5F6873A4" w:rsidR="00171B4A" w:rsidRPr="00171B4A" w:rsidRDefault="00F8752D" w:rsidP="003266A1">
      <w:pPr>
        <w:pStyle w:val="Heading4"/>
        <w:rPr>
          <w:rtl/>
        </w:rPr>
      </w:pPr>
      <w:bookmarkStart w:id="140" w:name="_Toc119092620"/>
      <w:r>
        <w:rPr>
          <w:rFonts w:hint="cs"/>
          <w:rtl/>
        </w:rPr>
        <w:t>1.2.</w:t>
      </w:r>
      <w:r w:rsidR="00171B4A" w:rsidRPr="00171B4A">
        <w:rPr>
          <w:rFonts w:hint="cs"/>
          <w:rtl/>
        </w:rPr>
        <w:t>16</w:t>
      </w:r>
      <w:bookmarkEnd w:id="140"/>
    </w:p>
    <w:p w14:paraId="4A4D6585" w14:textId="1885C1D9" w:rsidR="0089557A" w:rsidRDefault="002D6D07" w:rsidP="009F6550">
      <w:pPr>
        <w:rPr>
          <w:rtl/>
        </w:rPr>
      </w:pPr>
      <w:r>
        <w:rPr>
          <w:rFonts w:hint="cs"/>
          <w:rtl/>
        </w:rPr>
        <w:t xml:space="preserve">לגוף יש </w:t>
      </w:r>
      <w:r w:rsidR="006D5DB6">
        <w:rPr>
          <w:rFonts w:hint="cs"/>
          <w:rtl/>
        </w:rPr>
        <w:t xml:space="preserve">התחלות, מבין ההתחלות, </w:t>
      </w:r>
      <w:r>
        <w:rPr>
          <w:rFonts w:hint="cs"/>
          <w:rtl/>
        </w:rPr>
        <w:t xml:space="preserve">שאינן ניתנות להפרדה ממנו, ושבהן הוא מתעצם; אלו הן שבאופן </w:t>
      </w:r>
      <w:r w:rsidR="009C463A">
        <w:rPr>
          <w:rFonts w:hint="cs"/>
          <w:rtl/>
        </w:rPr>
        <w:t>מסוים</w:t>
      </w:r>
      <w:r>
        <w:rPr>
          <w:rFonts w:hint="cs"/>
          <w:rtl/>
        </w:rPr>
        <w:t xml:space="preserve"> אנו קוראים להן התחלות. </w:t>
      </w:r>
    </w:p>
    <w:p w14:paraId="2EA17502" w14:textId="35EBE816" w:rsidR="002D6D07" w:rsidRPr="00741B6F" w:rsidRDefault="002D6D07" w:rsidP="009F6550">
      <w:pPr>
        <w:rPr>
          <w:rtl/>
        </w:rPr>
      </w:pPr>
      <w:r>
        <w:rPr>
          <w:rFonts w:hint="cs"/>
          <w:rtl/>
        </w:rPr>
        <w:t>במידה שהגוף הוא גוף באופן מוחלט</w:t>
      </w:r>
      <w:r w:rsidR="00EC1BC9">
        <w:rPr>
          <w:rStyle w:val="FootnoteReference"/>
          <w:rtl/>
        </w:rPr>
        <w:footnoteReference w:id="216"/>
      </w:r>
      <w:r>
        <w:rPr>
          <w:rFonts w:hint="cs"/>
          <w:rtl/>
        </w:rPr>
        <w:t>, אלו הם</w:t>
      </w:r>
      <w:r w:rsidR="006D5DB6">
        <w:rPr>
          <w:rFonts w:hint="cs"/>
          <w:rtl/>
        </w:rPr>
        <w:t xml:space="preserve"> ההיולי וצורת התלת ממדיות</w:t>
      </w:r>
      <w:r w:rsidR="006D3B6E">
        <w:rPr>
          <w:rStyle w:val="FootnoteReference"/>
          <w:rtl/>
        </w:rPr>
        <w:footnoteReference w:id="217"/>
      </w:r>
      <w:r w:rsidR="006D5DB6">
        <w:rPr>
          <w:rFonts w:hint="cs"/>
          <w:rtl/>
        </w:rPr>
        <w:t xml:space="preserve"> </w:t>
      </w:r>
      <w:r w:rsidR="00EC1BC9">
        <w:rPr>
          <w:rFonts w:hint="cs"/>
          <w:rtl/>
        </w:rPr>
        <w:t>שהוזכרו מקודם, שבהכרח כרוכות בהם</w:t>
      </w:r>
      <w:r w:rsidR="006D3B6E">
        <w:rPr>
          <w:rFonts w:hint="cs"/>
          <w:rtl/>
        </w:rPr>
        <w:t xml:space="preserve"> הכמויות המקריות</w:t>
      </w:r>
      <w:r w:rsidR="00C15A08">
        <w:rPr>
          <w:rStyle w:val="FootnoteReference"/>
          <w:rtl/>
        </w:rPr>
        <w:footnoteReference w:id="218"/>
      </w:r>
      <w:r w:rsidR="006D3B6E">
        <w:rPr>
          <w:rFonts w:hint="cs"/>
          <w:rtl/>
        </w:rPr>
        <w:t>, או הצורה המסוימת שמשלימה אותו</w:t>
      </w:r>
      <w:r w:rsidR="005F3206">
        <w:rPr>
          <w:rStyle w:val="FootnoteReference"/>
          <w:rtl/>
        </w:rPr>
        <w:footnoteReference w:id="219"/>
      </w:r>
      <w:r w:rsidR="006D3B6E">
        <w:rPr>
          <w:rFonts w:hint="cs"/>
          <w:rtl/>
        </w:rPr>
        <w:t xml:space="preserve">. </w:t>
      </w:r>
      <w:r>
        <w:rPr>
          <w:rFonts w:hint="cs"/>
          <w:rtl/>
        </w:rPr>
        <w:t xml:space="preserve"> </w:t>
      </w:r>
    </w:p>
    <w:p w14:paraId="4DAF8109" w14:textId="530A3840" w:rsidR="009C27EA" w:rsidRDefault="00E14461" w:rsidP="009F6550">
      <w:pPr>
        <w:rPr>
          <w:rtl/>
        </w:rPr>
      </w:pPr>
      <w:r>
        <w:rPr>
          <w:rFonts w:hint="cs"/>
          <w:rtl/>
        </w:rPr>
        <w:t xml:space="preserve">במידה שהגוף </w:t>
      </w:r>
      <w:r w:rsidR="00BC017B">
        <w:rPr>
          <w:rFonts w:hint="cs"/>
          <w:rtl/>
        </w:rPr>
        <w:t>נתון לשינוי</w:t>
      </w:r>
      <w:r>
        <w:rPr>
          <w:rFonts w:hint="cs"/>
          <w:rtl/>
        </w:rPr>
        <w:t xml:space="preserve">, </w:t>
      </w:r>
      <w:r w:rsidR="00BC017B">
        <w:rPr>
          <w:rFonts w:hint="cs"/>
          <w:rtl/>
        </w:rPr>
        <w:t>השלמה</w:t>
      </w:r>
      <w:r>
        <w:rPr>
          <w:rFonts w:hint="cs"/>
          <w:rtl/>
        </w:rPr>
        <w:t xml:space="preserve"> או </w:t>
      </w:r>
      <w:r w:rsidR="00BC017B">
        <w:rPr>
          <w:rFonts w:hint="cs"/>
          <w:rtl/>
        </w:rPr>
        <w:t>ה</w:t>
      </w:r>
      <w:r>
        <w:rPr>
          <w:rFonts w:hint="cs"/>
          <w:rtl/>
        </w:rPr>
        <w:t>תהוו</w:t>
      </w:r>
      <w:r w:rsidR="00BC017B">
        <w:rPr>
          <w:rFonts w:hint="cs"/>
          <w:rtl/>
        </w:rPr>
        <w:t>ת</w:t>
      </w:r>
      <w:r>
        <w:rPr>
          <w:rFonts w:hint="cs"/>
          <w:rtl/>
        </w:rPr>
        <w:t>, הוא</w:t>
      </w:r>
      <w:r w:rsidR="00BC017B">
        <w:rPr>
          <w:rFonts w:hint="cs"/>
          <w:rtl/>
        </w:rPr>
        <w:t xml:space="preserve"> גם</w:t>
      </w:r>
      <w:r>
        <w:rPr>
          <w:rFonts w:hint="cs"/>
          <w:rtl/>
        </w:rPr>
        <w:t xml:space="preserve"> מתייחס להעדר שכרוך ב</w:t>
      </w:r>
      <w:r w:rsidR="00FB138F">
        <w:rPr>
          <w:rFonts w:hint="cs"/>
          <w:rtl/>
        </w:rPr>
        <w:t>היולי</w:t>
      </w:r>
      <w:r w:rsidR="00E23CF4">
        <w:rPr>
          <w:rStyle w:val="FootnoteReference"/>
          <w:rtl/>
        </w:rPr>
        <w:footnoteReference w:id="220"/>
      </w:r>
      <w:r>
        <w:rPr>
          <w:rFonts w:hint="cs"/>
          <w:rtl/>
        </w:rPr>
        <w:t xml:space="preserve"> שלו</w:t>
      </w:r>
      <w:r w:rsidR="0056373F">
        <w:rPr>
          <w:rStyle w:val="FootnoteReference"/>
          <w:rtl/>
        </w:rPr>
        <w:footnoteReference w:id="221"/>
      </w:r>
      <w:r>
        <w:rPr>
          <w:rFonts w:hint="cs"/>
          <w:rtl/>
        </w:rPr>
        <w:t>, שהוא התחלה במובן שנזכר לעיל.</w:t>
      </w:r>
    </w:p>
    <w:p w14:paraId="42C102EC" w14:textId="35A52B71" w:rsidR="00F619D2" w:rsidRPr="00741B6F" w:rsidRDefault="009C27EA" w:rsidP="0050441C">
      <w:pPr>
        <w:rPr>
          <w:rtl/>
        </w:rPr>
      </w:pPr>
      <w:r>
        <w:rPr>
          <w:rFonts w:hint="cs"/>
          <w:rtl/>
        </w:rPr>
        <w:t xml:space="preserve">כעת, אם נתבונן מה </w:t>
      </w:r>
      <w:r w:rsidR="0050441C">
        <w:rPr>
          <w:rFonts w:hint="cs"/>
          <w:rtl/>
        </w:rPr>
        <w:t>ה</w:t>
      </w:r>
      <w:r>
        <w:rPr>
          <w:rFonts w:hint="cs"/>
          <w:rtl/>
        </w:rPr>
        <w:t>משותף ל</w:t>
      </w:r>
      <w:r w:rsidR="0050441C">
        <w:rPr>
          <w:rFonts w:hint="cs"/>
          <w:rtl/>
        </w:rPr>
        <w:t xml:space="preserve">מה שהוא בר שינוי, השלמה והתהוות, </w:t>
      </w:r>
      <w:r w:rsidR="000B09F7">
        <w:rPr>
          <w:rFonts w:hint="cs"/>
          <w:rtl/>
        </w:rPr>
        <w:t>ההתחלות הן</w:t>
      </w:r>
      <w:r w:rsidR="00112146">
        <w:rPr>
          <w:rFonts w:hint="cs"/>
          <w:rtl/>
        </w:rPr>
        <w:t>:</w:t>
      </w:r>
      <w:r w:rsidR="000B09F7">
        <w:rPr>
          <w:rFonts w:hint="cs"/>
          <w:rtl/>
        </w:rPr>
        <w:t xml:space="preserve"> </w:t>
      </w:r>
      <w:r w:rsidR="009747C1">
        <w:rPr>
          <w:rFonts w:hint="cs"/>
          <w:rtl/>
        </w:rPr>
        <w:t>היולי</w:t>
      </w:r>
      <w:r w:rsidR="000B09F7">
        <w:rPr>
          <w:rFonts w:hint="cs"/>
          <w:rtl/>
        </w:rPr>
        <w:t xml:space="preserve">, </w:t>
      </w:r>
      <w:r w:rsidR="000F265B">
        <w:rPr>
          <w:rFonts w:hint="cs"/>
          <w:rtl/>
        </w:rPr>
        <w:t>תואר</w:t>
      </w:r>
      <w:r w:rsidR="000F265B">
        <w:rPr>
          <w:rStyle w:val="FootnoteReference"/>
          <w:rtl/>
        </w:rPr>
        <w:footnoteReference w:id="222"/>
      </w:r>
      <w:r w:rsidR="000F265B">
        <w:rPr>
          <w:rFonts w:hint="cs"/>
          <w:rtl/>
        </w:rPr>
        <w:t xml:space="preserve">, והעדר. </w:t>
      </w:r>
    </w:p>
    <w:p w14:paraId="2485F2CD" w14:textId="30744814" w:rsidR="006A5F1F" w:rsidRDefault="004F1650" w:rsidP="007A506C">
      <w:pPr>
        <w:rPr>
          <w:rtl/>
        </w:rPr>
      </w:pPr>
      <w:r>
        <w:rPr>
          <w:rFonts w:hint="cs"/>
          <w:rtl/>
        </w:rPr>
        <w:t xml:space="preserve">כעת, </w:t>
      </w:r>
      <w:r w:rsidR="00643A5B">
        <w:rPr>
          <w:rFonts w:hint="cs"/>
          <w:rtl/>
        </w:rPr>
        <w:t>אם נתבונן ב</w:t>
      </w:r>
      <w:r w:rsidR="00490CFD">
        <w:rPr>
          <w:rFonts w:hint="cs"/>
          <w:rtl/>
        </w:rPr>
        <w:t xml:space="preserve">אופן </w:t>
      </w:r>
      <w:r w:rsidR="009C463A">
        <w:rPr>
          <w:rFonts w:hint="cs"/>
          <w:rtl/>
        </w:rPr>
        <w:t>מסוים</w:t>
      </w:r>
      <w:r w:rsidR="00643A5B">
        <w:rPr>
          <w:rFonts w:hint="cs"/>
          <w:rtl/>
        </w:rPr>
        <w:t xml:space="preserve"> במה שהוא בר שינוי, </w:t>
      </w:r>
      <w:r w:rsidR="00F17BBE">
        <w:rPr>
          <w:rFonts w:hint="cs"/>
          <w:rtl/>
        </w:rPr>
        <w:t xml:space="preserve">אז ההתחלות הן ההיולי </w:t>
      </w:r>
      <w:proofErr w:type="spellStart"/>
      <w:r w:rsidR="00F17BBE">
        <w:rPr>
          <w:rFonts w:hint="cs"/>
          <w:rtl/>
        </w:rPr>
        <w:t>וה</w:t>
      </w:r>
      <w:r w:rsidR="006A5F1F">
        <w:rPr>
          <w:rFonts w:hint="cs"/>
          <w:rtl/>
        </w:rPr>
        <w:t>'</w:t>
      </w:r>
      <w:r w:rsidR="00A91E1A">
        <w:rPr>
          <w:rFonts w:hint="cs"/>
          <w:rtl/>
        </w:rPr>
        <w:t>היפך</w:t>
      </w:r>
      <w:proofErr w:type="spellEnd"/>
      <w:r w:rsidR="006A5F1F">
        <w:rPr>
          <w:rFonts w:hint="cs"/>
          <w:rtl/>
        </w:rPr>
        <w:t>'</w:t>
      </w:r>
      <w:r w:rsidR="00A91E1A">
        <w:rPr>
          <w:rStyle w:val="FootnoteReference"/>
          <w:rtl/>
        </w:rPr>
        <w:footnoteReference w:id="223"/>
      </w:r>
      <w:r w:rsidR="006A5F1F">
        <w:rPr>
          <w:rFonts w:hint="cs"/>
          <w:rtl/>
        </w:rPr>
        <w:t xml:space="preserve">, כי הדברים שמשתנים מהאמצעי או אל האמצעי, </w:t>
      </w:r>
      <w:r w:rsidR="002E0CF6">
        <w:rPr>
          <w:rFonts w:hint="cs"/>
          <w:rtl/>
        </w:rPr>
        <w:t xml:space="preserve">עושים כך רק במידה שיש בו בחינה של </w:t>
      </w:r>
      <w:r w:rsidR="00CA11B3">
        <w:rPr>
          <w:rFonts w:hint="cs"/>
          <w:rtl/>
        </w:rPr>
        <w:t>הפכיות</w:t>
      </w:r>
      <w:r w:rsidR="002E0CF6">
        <w:rPr>
          <w:rStyle w:val="FootnoteReference"/>
          <w:rtl/>
        </w:rPr>
        <w:footnoteReference w:id="224"/>
      </w:r>
      <w:r w:rsidR="002E0CF6">
        <w:rPr>
          <w:rFonts w:hint="cs"/>
          <w:rtl/>
        </w:rPr>
        <w:t>.</w:t>
      </w:r>
    </w:p>
    <w:p w14:paraId="41F85B56" w14:textId="5E75E985" w:rsidR="006F65E7" w:rsidRDefault="001A6FCB" w:rsidP="00AF63E4">
      <w:r>
        <w:rPr>
          <w:rFonts w:hint="cs"/>
          <w:rtl/>
        </w:rPr>
        <w:t>ה</w:t>
      </w:r>
      <w:r w:rsidR="0030134C">
        <w:rPr>
          <w:rFonts w:hint="cs"/>
          <w:rtl/>
        </w:rPr>
        <w:t>חילוק</w:t>
      </w:r>
      <w:r>
        <w:rPr>
          <w:rFonts w:hint="cs"/>
          <w:rtl/>
        </w:rPr>
        <w:t xml:space="preserve"> בין הפכיות, תואר, והעדר, </w:t>
      </w:r>
      <w:r w:rsidR="0030134C">
        <w:rPr>
          <w:rFonts w:hint="cs"/>
          <w:rtl/>
        </w:rPr>
        <w:t>נגלה</w:t>
      </w:r>
      <w:r>
        <w:rPr>
          <w:rFonts w:hint="cs"/>
          <w:rtl/>
        </w:rPr>
        <w:t xml:space="preserve"> ממה שלמדת</w:t>
      </w:r>
      <w:r w:rsidR="0030134C">
        <w:rPr>
          <w:rFonts w:hint="cs"/>
          <w:rtl/>
        </w:rPr>
        <w:t>, ותוכל להשיגו ממה שהוריתי לך</w:t>
      </w:r>
      <w:r w:rsidR="0030134C">
        <w:rPr>
          <w:rStyle w:val="FootnoteReference"/>
          <w:rtl/>
        </w:rPr>
        <w:footnoteReference w:id="225"/>
      </w:r>
      <w:r w:rsidR="0030134C">
        <w:rPr>
          <w:rFonts w:hint="cs"/>
          <w:rtl/>
        </w:rPr>
        <w:t xml:space="preserve">.   </w:t>
      </w:r>
    </w:p>
    <w:p w14:paraId="4FD46840" w14:textId="5CAF51CB" w:rsidR="006F65E7" w:rsidRDefault="00F8752D" w:rsidP="003266A1">
      <w:pPr>
        <w:pStyle w:val="Heading4"/>
        <w:rPr>
          <w:rtl/>
        </w:rPr>
      </w:pPr>
      <w:bookmarkStart w:id="145" w:name="_Toc119092621"/>
      <w:r>
        <w:rPr>
          <w:rFonts w:hint="cs"/>
          <w:rtl/>
        </w:rPr>
        <w:t>1.2.</w:t>
      </w:r>
      <w:r w:rsidR="006F65E7">
        <w:rPr>
          <w:rFonts w:hint="cs"/>
          <w:rtl/>
        </w:rPr>
        <w:t>17</w:t>
      </w:r>
      <w:bookmarkEnd w:id="145"/>
    </w:p>
    <w:p w14:paraId="2F0775FB" w14:textId="65FEC02B" w:rsidR="00861928" w:rsidRDefault="00420557" w:rsidP="007A506C">
      <w:r>
        <w:rPr>
          <w:rFonts w:hint="cs"/>
          <w:rtl/>
        </w:rPr>
        <w:t>כעת,</w:t>
      </w:r>
      <w:r w:rsidR="00720BCD">
        <w:rPr>
          <w:rFonts w:hint="cs"/>
          <w:rtl/>
        </w:rPr>
        <w:t xml:space="preserve"> </w:t>
      </w:r>
      <w:r w:rsidR="00A0366D">
        <w:rPr>
          <w:rFonts w:hint="cs"/>
          <w:rtl/>
        </w:rPr>
        <w:t>העצם</w:t>
      </w:r>
      <w:r w:rsidR="00805B55">
        <w:rPr>
          <w:rStyle w:val="FootnoteReference"/>
          <w:rtl/>
        </w:rPr>
        <w:footnoteReference w:id="226"/>
      </w:r>
      <w:r w:rsidR="00A0366D">
        <w:rPr>
          <w:rFonts w:hint="cs"/>
          <w:rtl/>
        </w:rPr>
        <w:t>, באשר הוא עצם, מורכב</w:t>
      </w:r>
      <w:r w:rsidR="00A0366D">
        <w:rPr>
          <w:rStyle w:val="FootnoteReference"/>
          <w:rtl/>
        </w:rPr>
        <w:footnoteReference w:id="227"/>
      </w:r>
      <w:r w:rsidR="00A0366D">
        <w:rPr>
          <w:rFonts w:hint="cs"/>
          <w:rtl/>
        </w:rPr>
        <w:t xml:space="preserve"> מצורה</w:t>
      </w:r>
      <w:r w:rsidR="005E2A44">
        <w:rPr>
          <w:rStyle w:val="FootnoteReference"/>
          <w:rtl/>
        </w:rPr>
        <w:footnoteReference w:id="228"/>
      </w:r>
      <w:r w:rsidR="007E4FC9">
        <w:rPr>
          <w:rFonts w:hint="cs"/>
          <w:rtl/>
        </w:rPr>
        <w:t xml:space="preserve">; </w:t>
      </w:r>
      <w:r w:rsidR="001D23D5">
        <w:rPr>
          <w:rFonts w:hint="cs"/>
          <w:rtl/>
        </w:rPr>
        <w:t>בעוד ש</w:t>
      </w:r>
      <w:r w:rsidR="00FA0E19">
        <w:rPr>
          <w:rFonts w:hint="cs"/>
          <w:rtl/>
        </w:rPr>
        <w:t>המשתנה והמושלם</w:t>
      </w:r>
      <w:r w:rsidR="00FA0E19">
        <w:rPr>
          <w:rStyle w:val="FootnoteReference"/>
          <w:rtl/>
        </w:rPr>
        <w:footnoteReference w:id="229"/>
      </w:r>
      <w:r w:rsidR="00FA0E19">
        <w:rPr>
          <w:rFonts w:hint="cs"/>
          <w:rtl/>
        </w:rPr>
        <w:t xml:space="preserve"> </w:t>
      </w:r>
      <w:r w:rsidR="001D23D5">
        <w:rPr>
          <w:rFonts w:hint="cs"/>
          <w:rtl/>
        </w:rPr>
        <w:t>הרכבתו היא מקרית</w:t>
      </w:r>
      <w:r w:rsidR="001D23D5">
        <w:rPr>
          <w:rStyle w:val="FootnoteReference"/>
          <w:rtl/>
        </w:rPr>
        <w:footnoteReference w:id="230"/>
      </w:r>
      <w:r w:rsidR="00784CC8">
        <w:rPr>
          <w:rFonts w:hint="cs"/>
          <w:rtl/>
        </w:rPr>
        <w:t>, וכבר ביארנו לך את החילוק בין צורה למקרה.</w:t>
      </w:r>
      <w:r w:rsidR="00B84BE2">
        <w:rPr>
          <w:rFonts w:hint="cs"/>
          <w:rtl/>
        </w:rPr>
        <w:t xml:space="preserve"> מבחינה זו, בכל אופן, </w:t>
      </w:r>
      <w:r w:rsidR="004F71CE">
        <w:rPr>
          <w:rFonts w:hint="cs"/>
          <w:rtl/>
        </w:rPr>
        <w:t>מקובל</w:t>
      </w:r>
      <w:r w:rsidR="00B84BE2">
        <w:rPr>
          <w:rFonts w:hint="cs"/>
          <w:rtl/>
        </w:rPr>
        <w:t xml:space="preserve"> לקרוא לכל הרכבה </w:t>
      </w:r>
      <w:r w:rsidR="0007743F">
        <w:rPr>
          <w:rFonts w:hint="cs"/>
          <w:rtl/>
        </w:rPr>
        <w:t>'</w:t>
      </w:r>
      <w:r w:rsidR="00B84BE2">
        <w:rPr>
          <w:rFonts w:hint="cs"/>
          <w:rtl/>
        </w:rPr>
        <w:t>צורה</w:t>
      </w:r>
      <w:r w:rsidR="0007743F">
        <w:rPr>
          <w:rFonts w:hint="cs"/>
          <w:rtl/>
        </w:rPr>
        <w:t xml:space="preserve">'; ובכן אף אנו נעשה כך, </w:t>
      </w:r>
      <w:proofErr w:type="spellStart"/>
      <w:r w:rsidR="0007743F">
        <w:rPr>
          <w:rFonts w:hint="cs"/>
          <w:rtl/>
        </w:rPr>
        <w:t>כשב'צורה</w:t>
      </w:r>
      <w:proofErr w:type="spellEnd"/>
      <w:r w:rsidR="0007743F">
        <w:rPr>
          <w:rFonts w:hint="cs"/>
          <w:rtl/>
        </w:rPr>
        <w:t>' כוונתנו לכל דבר</w:t>
      </w:r>
      <w:r w:rsidR="00343D35">
        <w:rPr>
          <w:rFonts w:hint="cs"/>
          <w:rtl/>
        </w:rPr>
        <w:t xml:space="preserve"> ש</w:t>
      </w:r>
      <w:r w:rsidR="00781978">
        <w:rPr>
          <w:rFonts w:hint="cs"/>
          <w:rtl/>
        </w:rPr>
        <w:t>התחדש ב</w:t>
      </w:r>
      <w:r w:rsidR="00343D35">
        <w:rPr>
          <w:rFonts w:hint="cs"/>
          <w:rtl/>
        </w:rPr>
        <w:t xml:space="preserve">מקבל, כך שהמקבל נעשה בעל מאפיין </w:t>
      </w:r>
      <w:r w:rsidR="009C463A">
        <w:rPr>
          <w:rFonts w:hint="cs"/>
          <w:rtl/>
        </w:rPr>
        <w:t>מסוים</w:t>
      </w:r>
      <w:r w:rsidR="00343D35">
        <w:rPr>
          <w:rFonts w:hint="cs"/>
          <w:rtl/>
        </w:rPr>
        <w:t>.</w:t>
      </w:r>
    </w:p>
    <w:p w14:paraId="057E3E87" w14:textId="77777777" w:rsidR="002560C7" w:rsidRDefault="00717F61" w:rsidP="007A506C">
      <w:pPr>
        <w:rPr>
          <w:rtl/>
        </w:rPr>
      </w:pPr>
      <w:r>
        <w:rPr>
          <w:rFonts w:hint="cs"/>
          <w:rtl/>
        </w:rPr>
        <w:t>ו</w:t>
      </w:r>
      <w:r w:rsidR="00A21542">
        <w:rPr>
          <w:rFonts w:hint="cs"/>
          <w:rtl/>
        </w:rPr>
        <w:t xml:space="preserve">ההיולי חלוק </w:t>
      </w:r>
      <w:r>
        <w:rPr>
          <w:rFonts w:hint="cs"/>
          <w:rtl/>
        </w:rPr>
        <w:t xml:space="preserve">מכל אחד </w:t>
      </w:r>
      <w:r w:rsidR="00A21542">
        <w:rPr>
          <w:rFonts w:hint="cs"/>
          <w:rtl/>
        </w:rPr>
        <w:t xml:space="preserve">מהם, כלומר הצורה וההעדר, </w:t>
      </w:r>
      <w:r>
        <w:rPr>
          <w:rFonts w:hint="cs"/>
          <w:rtl/>
        </w:rPr>
        <w:t>בכך שיש לו את הקיום שלו ביחד עם כל אחד מהם</w:t>
      </w:r>
      <w:r>
        <w:rPr>
          <w:rStyle w:val="FootnoteReference"/>
          <w:rtl/>
        </w:rPr>
        <w:footnoteReference w:id="231"/>
      </w:r>
      <w:r>
        <w:rPr>
          <w:rFonts w:hint="cs"/>
          <w:rtl/>
        </w:rPr>
        <w:t>.</w:t>
      </w:r>
    </w:p>
    <w:p w14:paraId="58C6C54C" w14:textId="3B294FF3" w:rsidR="00C506C0" w:rsidRDefault="002560C7" w:rsidP="007A506C">
      <w:pPr>
        <w:rPr>
          <w:rtl/>
        </w:rPr>
      </w:pPr>
      <w:r>
        <w:rPr>
          <w:rFonts w:hint="cs"/>
          <w:rtl/>
        </w:rPr>
        <w:t xml:space="preserve">צורה חלוקה מהעדר בכך שהצורה בעצמה היא מהות </w:t>
      </w:r>
      <w:proofErr w:type="spellStart"/>
      <w:r>
        <w:rPr>
          <w:rFonts w:hint="cs"/>
          <w:rtl/>
        </w:rPr>
        <w:t>מסויימת</w:t>
      </w:r>
      <w:proofErr w:type="spellEnd"/>
      <w:r>
        <w:rPr>
          <w:rFonts w:hint="cs"/>
          <w:rtl/>
        </w:rPr>
        <w:t>, שמוסיפה ל</w:t>
      </w:r>
      <w:r w:rsidR="005526F3">
        <w:rPr>
          <w:rFonts w:hint="cs"/>
          <w:rtl/>
        </w:rPr>
        <w:t>מציאות</w:t>
      </w:r>
      <w:r>
        <w:rPr>
          <w:rFonts w:hint="cs"/>
          <w:rtl/>
        </w:rPr>
        <w:t xml:space="preserve"> של ההיולי</w:t>
      </w:r>
      <w:r w:rsidR="005526F3">
        <w:rPr>
          <w:rFonts w:hint="cs"/>
          <w:rtl/>
        </w:rPr>
        <w:t xml:space="preserve">, בעוד שהעדר לא מוסיף למציאות של ההיולי, אלא הוא מצב נלווה </w:t>
      </w:r>
      <w:r w:rsidR="009C463A">
        <w:rPr>
          <w:rFonts w:hint="cs"/>
          <w:rtl/>
        </w:rPr>
        <w:t>מסוים</w:t>
      </w:r>
      <w:r w:rsidR="005526F3">
        <w:rPr>
          <w:rFonts w:hint="cs"/>
          <w:rtl/>
        </w:rPr>
        <w:t xml:space="preserve"> שמתייחס</w:t>
      </w:r>
      <w:r w:rsidR="00FD381F">
        <w:rPr>
          <w:rStyle w:val="FootnoteReference"/>
          <w:rtl/>
        </w:rPr>
        <w:footnoteReference w:id="232"/>
      </w:r>
      <w:r w:rsidR="005526F3">
        <w:rPr>
          <w:rFonts w:hint="cs"/>
          <w:rtl/>
        </w:rPr>
        <w:t xml:space="preserve"> לצורה זו כשהיא אינה נמצאת אלא האפשרות לקבל אותה קיימת</w:t>
      </w:r>
      <w:r w:rsidR="00964829">
        <w:rPr>
          <w:rStyle w:val="FootnoteReference"/>
          <w:rtl/>
        </w:rPr>
        <w:footnoteReference w:id="233"/>
      </w:r>
      <w:r>
        <w:rPr>
          <w:rFonts w:hint="cs"/>
          <w:rtl/>
        </w:rPr>
        <w:t>.</w:t>
      </w:r>
    </w:p>
    <w:p w14:paraId="7BF0CCFD" w14:textId="2CB7AF44" w:rsidR="001419AC" w:rsidRDefault="00D47D99" w:rsidP="007A506C">
      <w:pPr>
        <w:rPr>
          <w:rtl/>
        </w:rPr>
      </w:pPr>
      <w:r>
        <w:rPr>
          <w:rFonts w:hint="cs"/>
          <w:rtl/>
        </w:rPr>
        <w:t>העדר זה, מכל מקום, אינו העדר מוחלט</w:t>
      </w:r>
      <w:r>
        <w:rPr>
          <w:rStyle w:val="FootnoteReference"/>
          <w:rtl/>
        </w:rPr>
        <w:footnoteReference w:id="234"/>
      </w:r>
      <w:r>
        <w:rPr>
          <w:rFonts w:hint="cs"/>
          <w:rtl/>
        </w:rPr>
        <w:t xml:space="preserve">, אלא כזה שיש לו אופן </w:t>
      </w:r>
      <w:r w:rsidR="009C463A">
        <w:rPr>
          <w:rFonts w:hint="cs"/>
          <w:rtl/>
        </w:rPr>
        <w:t>מסוים</w:t>
      </w:r>
      <w:r>
        <w:rPr>
          <w:rFonts w:hint="cs"/>
          <w:rtl/>
        </w:rPr>
        <w:t xml:space="preserve"> של מציאות</w:t>
      </w:r>
      <w:r w:rsidR="003E5182">
        <w:rPr>
          <w:rStyle w:val="FootnoteReference"/>
          <w:rtl/>
        </w:rPr>
        <w:footnoteReference w:id="235"/>
      </w:r>
      <w:r>
        <w:rPr>
          <w:rFonts w:hint="cs"/>
          <w:rtl/>
        </w:rPr>
        <w:t xml:space="preserve">, </w:t>
      </w:r>
      <w:bookmarkStart w:id="147" w:name="_Hlk97457715"/>
      <w:r>
        <w:rPr>
          <w:rFonts w:hint="cs"/>
          <w:rtl/>
        </w:rPr>
        <w:t xml:space="preserve">כיוון שהוא העדר של משהו, שמונחים בו תואר </w:t>
      </w:r>
      <w:r w:rsidR="00487FC6">
        <w:rPr>
          <w:rFonts w:hint="cs"/>
          <w:rtl/>
        </w:rPr>
        <w:t>קודם</w:t>
      </w:r>
      <w:r>
        <w:rPr>
          <w:rFonts w:hint="cs"/>
          <w:rtl/>
        </w:rPr>
        <w:t xml:space="preserve"> והכנה </w:t>
      </w:r>
      <w:r w:rsidR="00487FC6">
        <w:rPr>
          <w:rFonts w:hint="cs"/>
          <w:rtl/>
        </w:rPr>
        <w:t>קוד</w:t>
      </w:r>
      <w:r>
        <w:rPr>
          <w:rFonts w:hint="cs"/>
          <w:rtl/>
        </w:rPr>
        <w:t>מת</w:t>
      </w:r>
      <w:bookmarkEnd w:id="147"/>
      <w:r>
        <w:rPr>
          <w:rFonts w:hint="cs"/>
          <w:rtl/>
        </w:rPr>
        <w:t xml:space="preserve"> </w:t>
      </w:r>
      <w:r w:rsidR="003975A6">
        <w:rPr>
          <w:rFonts w:hint="cs"/>
          <w:rtl/>
        </w:rPr>
        <w:t xml:space="preserve">להיות </w:t>
      </w:r>
      <w:r>
        <w:rPr>
          <w:rFonts w:hint="cs"/>
          <w:rtl/>
        </w:rPr>
        <w:t>בחומר מוגדר</w:t>
      </w:r>
      <w:r w:rsidR="00074FAF">
        <w:rPr>
          <w:rStyle w:val="FootnoteReference"/>
          <w:rtl/>
        </w:rPr>
        <w:footnoteReference w:id="236"/>
      </w:r>
      <w:r>
        <w:rPr>
          <w:rFonts w:hint="cs"/>
          <w:rtl/>
        </w:rPr>
        <w:t xml:space="preserve">. </w:t>
      </w:r>
    </w:p>
    <w:p w14:paraId="65B7C7E4" w14:textId="165662F2" w:rsidR="00F073DF" w:rsidRDefault="001419AC" w:rsidP="00AF63E4">
      <w:pPr>
        <w:rPr>
          <w:rtl/>
        </w:rPr>
      </w:pPr>
      <w:r>
        <w:rPr>
          <w:rFonts w:hint="cs"/>
          <w:rtl/>
        </w:rPr>
        <w:t>כך למשל אדם לא מתהווה מכל מה שהוא לא-אנושי, אלא רק מלא-אנושי מצד היותו מוכן לקבל את צורת האנושיות</w:t>
      </w:r>
      <w:r>
        <w:rPr>
          <w:rStyle w:val="FootnoteReference"/>
          <w:rtl/>
        </w:rPr>
        <w:footnoteReference w:id="237"/>
      </w:r>
      <w:r>
        <w:rPr>
          <w:rFonts w:hint="cs"/>
          <w:rtl/>
        </w:rPr>
        <w:t>.</w:t>
      </w:r>
      <w:r w:rsidR="00C15F70">
        <w:rPr>
          <w:rFonts w:hint="cs"/>
          <w:rtl/>
        </w:rPr>
        <w:t xml:space="preserve"> כך התהוות היא על ידי הצורה, לא ההעדר, בעוד שההפסד הוא על ידי ההעדר, לא הצורה.</w:t>
      </w:r>
    </w:p>
    <w:p w14:paraId="658F34B6" w14:textId="41E623BA" w:rsidR="00F073DF" w:rsidRPr="00F073DF" w:rsidRDefault="00F073DF" w:rsidP="003266A1">
      <w:pPr>
        <w:pStyle w:val="Heading4"/>
        <w:rPr>
          <w:rtl/>
        </w:rPr>
      </w:pPr>
      <w:bookmarkStart w:id="150" w:name="_Toc119092622"/>
      <w:r>
        <w:rPr>
          <w:rFonts w:hint="cs"/>
          <w:rtl/>
        </w:rPr>
        <w:t>1.2.18</w:t>
      </w:r>
      <w:bookmarkEnd w:id="150"/>
    </w:p>
    <w:p w14:paraId="7548D0DF" w14:textId="4C1E41EB" w:rsidR="003E4857" w:rsidRDefault="00F073DF" w:rsidP="009B7603">
      <w:pPr>
        <w:rPr>
          <w:rtl/>
        </w:rPr>
      </w:pPr>
      <w:r>
        <w:rPr>
          <w:rFonts w:hint="cs"/>
          <w:rtl/>
        </w:rPr>
        <w:t>לעיתים קרובות נאמר שדבר הוא מההיולי</w:t>
      </w:r>
      <w:r w:rsidR="008307C5">
        <w:rPr>
          <w:rStyle w:val="FootnoteReference"/>
          <w:rtl/>
        </w:rPr>
        <w:footnoteReference w:id="238"/>
      </w:r>
      <w:r>
        <w:rPr>
          <w:rFonts w:hint="cs"/>
          <w:rtl/>
        </w:rPr>
        <w:t xml:space="preserve"> ומההעדר, </w:t>
      </w:r>
      <w:r w:rsidR="00DE0458">
        <w:rPr>
          <w:rFonts w:hint="cs"/>
          <w:rtl/>
        </w:rPr>
        <w:t>ו</w:t>
      </w:r>
      <w:r>
        <w:rPr>
          <w:rFonts w:hint="cs"/>
          <w:rtl/>
        </w:rPr>
        <w:t>לא נאמר שהוא מהצורה.</w:t>
      </w:r>
      <w:r w:rsidR="009B7603">
        <w:rPr>
          <w:rFonts w:hint="cs"/>
          <w:rtl/>
        </w:rPr>
        <w:t xml:space="preserve"> </w:t>
      </w:r>
      <w:r w:rsidR="00BD2B9C">
        <w:rPr>
          <w:rFonts w:hint="cs"/>
          <w:rtl/>
        </w:rPr>
        <w:t xml:space="preserve">כך </w:t>
      </w:r>
      <w:r w:rsidR="009B7603">
        <w:rPr>
          <w:rFonts w:hint="cs"/>
          <w:rtl/>
        </w:rPr>
        <w:t>נאמר שהמיטה היא מה</w:t>
      </w:r>
      <w:r w:rsidR="00DE0458">
        <w:rPr>
          <w:rFonts w:hint="cs"/>
          <w:rtl/>
        </w:rPr>
        <w:t>היולי</w:t>
      </w:r>
      <w:r w:rsidR="00BD2B9C">
        <w:rPr>
          <w:rStyle w:val="FootnoteReference"/>
          <w:rtl/>
        </w:rPr>
        <w:footnoteReference w:id="239"/>
      </w:r>
      <w:r w:rsidR="009B7603">
        <w:rPr>
          <w:rFonts w:hint="cs"/>
          <w:rtl/>
        </w:rPr>
        <w:t>, כלומר מ</w:t>
      </w:r>
      <w:r w:rsidR="007A329C">
        <w:rPr>
          <w:rFonts w:hint="cs"/>
          <w:rtl/>
        </w:rPr>
        <w:t>העץ</w:t>
      </w:r>
      <w:r w:rsidR="00BD2B9C">
        <w:rPr>
          <w:rStyle w:val="FootnoteReference"/>
          <w:rtl/>
        </w:rPr>
        <w:footnoteReference w:id="240"/>
      </w:r>
      <w:r w:rsidR="009B7603">
        <w:rPr>
          <w:rFonts w:hint="cs"/>
          <w:rtl/>
        </w:rPr>
        <w:t xml:space="preserve">, </w:t>
      </w:r>
      <w:proofErr w:type="spellStart"/>
      <w:r w:rsidR="00DE0458">
        <w:rPr>
          <w:rFonts w:hint="cs"/>
          <w:rtl/>
        </w:rPr>
        <w:t>ו</w:t>
      </w:r>
      <w:r w:rsidR="00BD2B9C">
        <w:rPr>
          <w:rFonts w:hint="cs"/>
          <w:rtl/>
        </w:rPr>
        <w:t>מהלא</w:t>
      </w:r>
      <w:proofErr w:type="spellEnd"/>
      <w:r w:rsidR="00BD2B9C">
        <w:rPr>
          <w:rFonts w:hint="cs"/>
          <w:rtl/>
        </w:rPr>
        <w:t>-מיטה</w:t>
      </w:r>
      <w:r w:rsidR="00861AED">
        <w:rPr>
          <w:rStyle w:val="FootnoteReference"/>
          <w:rtl/>
        </w:rPr>
        <w:footnoteReference w:id="241"/>
      </w:r>
      <w:r w:rsidR="00BD2B9C">
        <w:rPr>
          <w:rFonts w:hint="cs"/>
          <w:rtl/>
        </w:rPr>
        <w:t xml:space="preserve">. </w:t>
      </w:r>
    </w:p>
    <w:p w14:paraId="587605C8" w14:textId="77777777" w:rsidR="00CB70E5" w:rsidRDefault="003E4857" w:rsidP="009B7603">
      <w:pPr>
        <w:rPr>
          <w:rtl/>
        </w:rPr>
      </w:pPr>
      <w:r>
        <w:rPr>
          <w:rFonts w:hint="cs"/>
          <w:rtl/>
        </w:rPr>
        <w:t>כעת, במקרים רבים נכון לומר שהדבר התהווה מההיולי, אבל במקרים רבים אחרים לא</w:t>
      </w:r>
      <w:r w:rsidR="00CB70E5">
        <w:rPr>
          <w:rFonts w:hint="cs"/>
          <w:rtl/>
        </w:rPr>
        <w:t xml:space="preserve">, בעוד שתמיד נכון לומר שהתהווה מההעדר. </w:t>
      </w:r>
    </w:p>
    <w:p w14:paraId="040E10FA" w14:textId="00EABD9C" w:rsidR="002743F7" w:rsidRDefault="00CB70E5" w:rsidP="009B7603">
      <w:pPr>
        <w:rPr>
          <w:rtl/>
        </w:rPr>
      </w:pPr>
      <w:r>
        <w:rPr>
          <w:rFonts w:hint="cs"/>
          <w:rtl/>
        </w:rPr>
        <w:t>למשל איננו אומרים שסופר התהווה מאדם, אלא שאדם נעשה סופר, בעוד שאנו אומרים שאדם התהווה מזרע, ומיטה התהוותה מ</w:t>
      </w:r>
      <w:r w:rsidR="007A329C">
        <w:rPr>
          <w:rFonts w:hint="cs"/>
          <w:rtl/>
        </w:rPr>
        <w:t>העץ</w:t>
      </w:r>
      <w:r>
        <w:rPr>
          <w:rFonts w:hint="cs"/>
          <w:rtl/>
        </w:rPr>
        <w:t xml:space="preserve">. </w:t>
      </w:r>
      <w:r w:rsidR="00750E1D">
        <w:rPr>
          <w:rFonts w:hint="cs"/>
          <w:rtl/>
        </w:rPr>
        <w:t xml:space="preserve">הסיבה לזה היא, במקרה של הזרע, שהצורה של הזרע </w:t>
      </w:r>
      <w:proofErr w:type="spellStart"/>
      <w:r w:rsidR="00750E1D">
        <w:rPr>
          <w:rFonts w:hint="cs"/>
          <w:rtl/>
        </w:rPr>
        <w:t>נפסדה</w:t>
      </w:r>
      <w:proofErr w:type="spellEnd"/>
      <w:r w:rsidR="00750E1D">
        <w:rPr>
          <w:rFonts w:hint="cs"/>
          <w:rtl/>
        </w:rPr>
        <w:t>. במקרה זה 'מזרע' מקביל ל'אחרי הזרע', כמו שהאמירה 'התהווה מההעדר' פירושה הוא כמו האדם התהווה מלא-אדם, כלומר אחרי הלא-אדם</w:t>
      </w:r>
      <w:r w:rsidR="00E436A9">
        <w:rPr>
          <w:rStyle w:val="FootnoteReference"/>
          <w:rtl/>
        </w:rPr>
        <w:footnoteReference w:id="242"/>
      </w:r>
      <w:r w:rsidR="00750E1D">
        <w:rPr>
          <w:rFonts w:hint="cs"/>
          <w:rtl/>
        </w:rPr>
        <w:t>.</w:t>
      </w:r>
    </w:p>
    <w:p w14:paraId="40B706C7" w14:textId="25510739" w:rsidR="006C494F" w:rsidRDefault="002743F7" w:rsidP="00AF63E4">
      <w:pPr>
        <w:rPr>
          <w:rtl/>
        </w:rPr>
      </w:pPr>
      <w:r>
        <w:rPr>
          <w:rFonts w:hint="cs"/>
          <w:rtl/>
        </w:rPr>
        <w:t>באשר ל</w:t>
      </w:r>
      <w:r w:rsidR="007A329C">
        <w:rPr>
          <w:rFonts w:hint="cs"/>
          <w:rtl/>
        </w:rPr>
        <w:t>עץ</w:t>
      </w:r>
      <w:r>
        <w:rPr>
          <w:rFonts w:hint="cs"/>
          <w:rtl/>
        </w:rPr>
        <w:t>, גם כן כשנאמר על המיטה שהיא מ</w:t>
      </w:r>
      <w:r w:rsidR="007A329C">
        <w:rPr>
          <w:rFonts w:hint="cs"/>
          <w:rtl/>
        </w:rPr>
        <w:t>העץ</w:t>
      </w:r>
      <w:r w:rsidR="00153E47">
        <w:rPr>
          <w:rFonts w:hint="cs"/>
          <w:rtl/>
        </w:rPr>
        <w:t xml:space="preserve">, זהו משום שהעץ משולל צורה </w:t>
      </w:r>
      <w:proofErr w:type="spellStart"/>
      <w:r w:rsidR="00153E47">
        <w:rPr>
          <w:rFonts w:hint="cs"/>
          <w:rtl/>
        </w:rPr>
        <w:t>מסויימת</w:t>
      </w:r>
      <w:proofErr w:type="spellEnd"/>
      <w:r w:rsidR="00153E47">
        <w:rPr>
          <w:rFonts w:hint="cs"/>
          <w:rtl/>
        </w:rPr>
        <w:t xml:space="preserve"> (אע"פ שאינו משולל מצורת עץ), מאחר שאם העץ לא משתנה בהתאם לתואר וצורה כלשהם, </w:t>
      </w:r>
      <w:r w:rsidR="00950AC1">
        <w:rPr>
          <w:rFonts w:hint="cs"/>
          <w:rtl/>
        </w:rPr>
        <w:t xml:space="preserve">על ידי גילוף ומלאכת נגרות, לא תתהווה המיטה ממנו ולא יקבל צורת מיטה. כך, במובן </w:t>
      </w:r>
      <w:r w:rsidR="009C463A">
        <w:rPr>
          <w:rFonts w:hint="cs"/>
          <w:rtl/>
        </w:rPr>
        <w:t>מסוים</w:t>
      </w:r>
      <w:r w:rsidR="00950AC1">
        <w:rPr>
          <w:rFonts w:hint="cs"/>
          <w:rtl/>
        </w:rPr>
        <w:t xml:space="preserve">, העץ דומה לזרע, כיוון ששניהם משתנים מהמצב הנוכחי שלהם, וכך אנו משתמש </w:t>
      </w:r>
      <w:proofErr w:type="spellStart"/>
      <w:r w:rsidR="00950AC1">
        <w:rPr>
          <w:rFonts w:hint="cs"/>
          <w:rtl/>
        </w:rPr>
        <w:t>ב</w:t>
      </w:r>
      <w:r w:rsidR="00255A6A">
        <w:rPr>
          <w:rFonts w:hint="cs"/>
          <w:rtl/>
        </w:rPr>
        <w:t>'</w:t>
      </w:r>
      <w:bookmarkStart w:id="151" w:name="_Hlk97564096"/>
      <w:r w:rsidR="00255A6A" w:rsidRPr="00255A6A">
        <w:rPr>
          <w:rtl/>
        </w:rPr>
        <w:t>מ</w:t>
      </w:r>
      <w:proofErr w:type="spellEnd"/>
      <w:r w:rsidR="00255A6A" w:rsidRPr="00255A6A">
        <w:rPr>
          <w:rtl/>
        </w:rPr>
        <w:t>ְ</w:t>
      </w:r>
      <w:bookmarkEnd w:id="151"/>
      <w:r w:rsidR="00950AC1">
        <w:rPr>
          <w:rFonts w:hint="cs"/>
          <w:rtl/>
        </w:rPr>
        <w:t>...</w:t>
      </w:r>
      <w:r w:rsidR="00255A6A">
        <w:rPr>
          <w:rFonts w:hint="cs"/>
          <w:rtl/>
        </w:rPr>
        <w:t>'</w:t>
      </w:r>
      <w:r w:rsidR="00950AC1">
        <w:rPr>
          <w:rFonts w:hint="cs"/>
          <w:rtl/>
        </w:rPr>
        <w:t xml:space="preserve"> גם במקרה של העץ</w:t>
      </w:r>
      <w:r w:rsidR="00950AC1">
        <w:rPr>
          <w:rStyle w:val="FootnoteReference"/>
          <w:rtl/>
        </w:rPr>
        <w:footnoteReference w:id="243"/>
      </w:r>
      <w:r w:rsidR="00950AC1">
        <w:rPr>
          <w:rFonts w:hint="cs"/>
          <w:rtl/>
        </w:rPr>
        <w:t>.</w:t>
      </w:r>
    </w:p>
    <w:p w14:paraId="0A1CCEF8" w14:textId="77777777" w:rsidR="006C494F" w:rsidRDefault="006C494F" w:rsidP="003266A1">
      <w:pPr>
        <w:pStyle w:val="Heading4"/>
        <w:rPr>
          <w:rtl/>
        </w:rPr>
      </w:pPr>
      <w:bookmarkStart w:id="153" w:name="_Toc119092623"/>
      <w:r>
        <w:rPr>
          <w:rFonts w:hint="cs"/>
          <w:rtl/>
        </w:rPr>
        <w:t>1.2.19</w:t>
      </w:r>
      <w:bookmarkEnd w:id="153"/>
    </w:p>
    <w:p w14:paraId="2EE38B04" w14:textId="77777777" w:rsidR="00AA7C9E" w:rsidRDefault="006C494F" w:rsidP="009B7603">
      <w:pPr>
        <w:rPr>
          <w:rtl/>
        </w:rPr>
      </w:pPr>
      <w:r>
        <w:rPr>
          <w:rFonts w:hint="cs"/>
          <w:rtl/>
        </w:rPr>
        <w:t>לגבי</w:t>
      </w:r>
      <w:r w:rsidR="00950AC1">
        <w:rPr>
          <w:rFonts w:hint="cs"/>
          <w:rtl/>
        </w:rPr>
        <w:t xml:space="preserve"> </w:t>
      </w:r>
      <w:r w:rsidR="00F9443A">
        <w:rPr>
          <w:rFonts w:hint="cs"/>
          <w:rtl/>
        </w:rPr>
        <w:t>שני סוגים אלה מהנושאים</w:t>
      </w:r>
      <w:r w:rsidR="00F9443A">
        <w:rPr>
          <w:rStyle w:val="FootnoteReference"/>
          <w:rtl/>
        </w:rPr>
        <w:footnoteReference w:id="244"/>
      </w:r>
      <w:r w:rsidR="00F9443A">
        <w:rPr>
          <w:rFonts w:hint="cs"/>
          <w:rtl/>
        </w:rPr>
        <w:t xml:space="preserve"> וההיוליים</w:t>
      </w:r>
      <w:r w:rsidR="00F9443A">
        <w:rPr>
          <w:rStyle w:val="FootnoteReference"/>
          <w:rtl/>
        </w:rPr>
        <w:footnoteReference w:id="245"/>
      </w:r>
      <w:r w:rsidR="00F9443A">
        <w:rPr>
          <w:rFonts w:hint="cs"/>
          <w:rtl/>
        </w:rPr>
        <w:t>, אנו יכו</w:t>
      </w:r>
      <w:r w:rsidR="00F9443A" w:rsidRPr="00795B15">
        <w:rPr>
          <w:rFonts w:hint="cs"/>
          <w:rtl/>
        </w:rPr>
        <w:t>לים לומר '</w:t>
      </w:r>
      <w:r w:rsidR="004914F1">
        <w:rPr>
          <w:rFonts w:hint="cs"/>
          <w:rtl/>
        </w:rPr>
        <w:t>מתהווה</w:t>
      </w:r>
      <w:r w:rsidR="004914F1">
        <w:rPr>
          <w:rStyle w:val="FootnoteReference"/>
          <w:rtl/>
        </w:rPr>
        <w:footnoteReference w:id="246"/>
      </w:r>
      <w:r w:rsidR="004914F1">
        <w:rPr>
          <w:rFonts w:hint="cs"/>
          <w:rtl/>
        </w:rPr>
        <w:t>'</w:t>
      </w:r>
      <w:r w:rsidR="002743F7" w:rsidRPr="00795B15">
        <w:rPr>
          <w:rFonts w:hint="cs"/>
          <w:rtl/>
        </w:rPr>
        <w:t xml:space="preserve"> </w:t>
      </w:r>
      <w:r w:rsidR="00F9443A" w:rsidRPr="00795B15">
        <w:rPr>
          <w:rFonts w:hint="cs"/>
          <w:rtl/>
        </w:rPr>
        <w:t>ב</w:t>
      </w:r>
      <w:r w:rsidR="00F9443A">
        <w:rPr>
          <w:rFonts w:hint="cs"/>
          <w:rtl/>
        </w:rPr>
        <w:t xml:space="preserve">מובן של </w:t>
      </w:r>
      <w:r w:rsidR="004914F1">
        <w:rPr>
          <w:rFonts w:hint="cs"/>
          <w:rtl/>
        </w:rPr>
        <w:t>'</w:t>
      </w:r>
      <w:r w:rsidR="00F9443A">
        <w:rPr>
          <w:rFonts w:hint="cs"/>
          <w:rtl/>
        </w:rPr>
        <w:t>מאוחר</w:t>
      </w:r>
      <w:r w:rsidR="004914F1">
        <w:rPr>
          <w:rFonts w:hint="cs"/>
          <w:rtl/>
        </w:rPr>
        <w:t>'</w:t>
      </w:r>
      <w:r w:rsidR="00AA7C9E">
        <w:rPr>
          <w:rFonts w:hint="cs"/>
          <w:rtl/>
        </w:rPr>
        <w:t>;</w:t>
      </w:r>
      <w:r w:rsidR="00F9443A">
        <w:rPr>
          <w:rFonts w:hint="cs"/>
          <w:rtl/>
        </w:rPr>
        <w:t xml:space="preserve"> </w:t>
      </w:r>
      <w:r w:rsidR="00795B15">
        <w:rPr>
          <w:rFonts w:hint="cs"/>
          <w:rtl/>
        </w:rPr>
        <w:t xml:space="preserve">אבל יש </w:t>
      </w:r>
      <w:r w:rsidR="00FC3220">
        <w:rPr>
          <w:rFonts w:hint="cs"/>
          <w:rtl/>
        </w:rPr>
        <w:t>סוג אחר של נושאים שבהם אנו אומרים</w:t>
      </w:r>
      <w:r w:rsidR="004914F1">
        <w:rPr>
          <w:rFonts w:hint="cs"/>
          <w:rtl/>
        </w:rPr>
        <w:t xml:space="preserve"> את המילה 'מתהווה' ואת המילה</w:t>
      </w:r>
      <w:r w:rsidR="00FC3220">
        <w:rPr>
          <w:rFonts w:hint="cs"/>
          <w:rtl/>
        </w:rPr>
        <w:t xml:space="preserve"> '</w:t>
      </w:r>
      <w:r w:rsidR="00FC3220" w:rsidRPr="00FC3220">
        <w:rPr>
          <w:rtl/>
        </w:rPr>
        <w:t>מְ</w:t>
      </w:r>
      <w:r w:rsidR="00FC3220">
        <w:rPr>
          <w:rFonts w:hint="cs"/>
          <w:rtl/>
        </w:rPr>
        <w:t>...</w:t>
      </w:r>
      <w:r w:rsidR="004914F1">
        <w:rPr>
          <w:rStyle w:val="FootnoteReference"/>
          <w:rtl/>
        </w:rPr>
        <w:footnoteReference w:id="247"/>
      </w:r>
      <w:r w:rsidR="00FC3220">
        <w:rPr>
          <w:rFonts w:hint="cs"/>
          <w:rtl/>
        </w:rPr>
        <w:t>' במובן אחר.</w:t>
      </w:r>
    </w:p>
    <w:p w14:paraId="44BD148E" w14:textId="612D5828" w:rsidR="0093413D" w:rsidRDefault="00AA7C9E" w:rsidP="009B7603">
      <w:pPr>
        <w:rPr>
          <w:rtl/>
        </w:rPr>
      </w:pPr>
      <w:r>
        <w:rPr>
          <w:rFonts w:hint="cs"/>
          <w:rtl/>
        </w:rPr>
        <w:t>למשל</w:t>
      </w:r>
      <w:r w:rsidR="00DB5FAC">
        <w:rPr>
          <w:rFonts w:hint="cs"/>
          <w:rtl/>
        </w:rPr>
        <w:t>, כש</w:t>
      </w:r>
      <w:r w:rsidR="001F3D7E">
        <w:rPr>
          <w:rFonts w:hint="cs"/>
          <w:rtl/>
        </w:rPr>
        <w:t>צורה</w:t>
      </w:r>
      <w:r w:rsidR="00DB5FAC">
        <w:rPr>
          <w:rFonts w:hint="cs"/>
          <w:rtl/>
        </w:rPr>
        <w:t xml:space="preserve"> מהצורות </w:t>
      </w:r>
      <w:r w:rsidR="00A55B01">
        <w:rPr>
          <w:rFonts w:hint="cs"/>
          <w:rtl/>
        </w:rPr>
        <w:t>יש לה נושא</w:t>
      </w:r>
      <w:r w:rsidR="001F3D7E">
        <w:rPr>
          <w:rFonts w:hint="cs"/>
          <w:rtl/>
        </w:rPr>
        <w:t>ים</w:t>
      </w:r>
      <w:r w:rsidR="009A080F">
        <w:rPr>
          <w:rStyle w:val="FootnoteReference"/>
          <w:rtl/>
        </w:rPr>
        <w:footnoteReference w:id="248"/>
      </w:r>
      <w:r w:rsidR="00A55B01">
        <w:rPr>
          <w:rFonts w:hint="cs"/>
          <w:rtl/>
        </w:rPr>
        <w:t xml:space="preserve"> </w:t>
      </w:r>
      <w:r w:rsidR="001F3D7E">
        <w:rPr>
          <w:rFonts w:hint="cs"/>
          <w:rtl/>
        </w:rPr>
        <w:t xml:space="preserve">אבל הם </w:t>
      </w:r>
      <w:r w:rsidR="00A55B01">
        <w:rPr>
          <w:rFonts w:hint="cs"/>
          <w:rtl/>
        </w:rPr>
        <w:t>נ</w:t>
      </w:r>
      <w:r w:rsidR="001F3D7E">
        <w:rPr>
          <w:rFonts w:hint="cs"/>
          <w:rtl/>
        </w:rPr>
        <w:t>ושאים אותה</w:t>
      </w:r>
      <w:r w:rsidR="00A55B01">
        <w:rPr>
          <w:rFonts w:hint="cs"/>
          <w:rtl/>
        </w:rPr>
        <w:t xml:space="preserve"> רק באמצעות מזג</w:t>
      </w:r>
      <w:r w:rsidR="00A55B01">
        <w:rPr>
          <w:rStyle w:val="FootnoteReference"/>
          <w:rtl/>
        </w:rPr>
        <w:footnoteReference w:id="249"/>
      </w:r>
      <w:r w:rsidR="00A55B01">
        <w:rPr>
          <w:rFonts w:hint="cs"/>
          <w:rtl/>
        </w:rPr>
        <w:t xml:space="preserve"> או הרכבה, </w:t>
      </w:r>
      <w:r w:rsidR="007A0B0C">
        <w:rPr>
          <w:rFonts w:hint="cs"/>
          <w:rtl/>
        </w:rPr>
        <w:t>אז מה שנוצר</w:t>
      </w:r>
      <w:r w:rsidR="00326936">
        <w:rPr>
          <w:rFonts w:hint="cs"/>
          <w:rtl/>
        </w:rPr>
        <w:t>,</w:t>
      </w:r>
      <w:r w:rsidR="007A0B0C">
        <w:rPr>
          <w:rFonts w:hint="cs"/>
          <w:rtl/>
        </w:rPr>
        <w:t xml:space="preserve"> נאמר שנוצר </w:t>
      </w:r>
      <w:r w:rsidR="00C24106" w:rsidRPr="00C24106">
        <w:rPr>
          <w:rtl/>
        </w:rPr>
        <w:t>מְ</w:t>
      </w:r>
      <w:r w:rsidR="007A0B0C">
        <w:rPr>
          <w:rFonts w:hint="cs"/>
          <w:rtl/>
        </w:rPr>
        <w:t>הם. כך ש</w:t>
      </w:r>
      <w:r w:rsidR="002A799F">
        <w:rPr>
          <w:rFonts w:hint="cs"/>
          <w:rtl/>
        </w:rPr>
        <w:t>'</w:t>
      </w:r>
      <w:r w:rsidR="007A0B0C">
        <w:rPr>
          <w:rFonts w:hint="cs"/>
          <w:rtl/>
        </w:rPr>
        <w:t>מתהווה</w:t>
      </w:r>
      <w:r w:rsidR="002A799F">
        <w:rPr>
          <w:rFonts w:hint="cs"/>
          <w:rtl/>
        </w:rPr>
        <w:t>'</w:t>
      </w:r>
      <w:r w:rsidR="007A0B0C">
        <w:rPr>
          <w:rFonts w:hint="cs"/>
          <w:rtl/>
        </w:rPr>
        <w:t xml:space="preserve"> </w:t>
      </w:r>
      <w:proofErr w:type="spellStart"/>
      <w:r w:rsidR="007A0B0C">
        <w:rPr>
          <w:rFonts w:hint="cs"/>
          <w:rtl/>
        </w:rPr>
        <w:t>ו'</w:t>
      </w:r>
      <w:r w:rsidR="007A0B0C" w:rsidRPr="007A0B0C">
        <w:rPr>
          <w:rtl/>
        </w:rPr>
        <w:t>מ</w:t>
      </w:r>
      <w:proofErr w:type="spellEnd"/>
      <w:r w:rsidR="007A0B0C" w:rsidRPr="007A0B0C">
        <w:rPr>
          <w:rtl/>
        </w:rPr>
        <w:t>ְ</w:t>
      </w:r>
      <w:r w:rsidR="007A0B0C">
        <w:rPr>
          <w:rFonts w:hint="cs"/>
          <w:rtl/>
        </w:rPr>
        <w:t>...' פירושם שמה שנוצר</w:t>
      </w:r>
      <w:r w:rsidR="002A799F">
        <w:rPr>
          <w:rFonts w:hint="cs"/>
          <w:rtl/>
        </w:rPr>
        <w:t xml:space="preserve"> מורכב מנושאים אלה, כמו שאנו אומרים שדיו נוצר </w:t>
      </w:r>
      <w:proofErr w:type="spellStart"/>
      <w:r w:rsidR="00CB501B" w:rsidRPr="00CB501B">
        <w:rPr>
          <w:rtl/>
        </w:rPr>
        <w:t>מְ</w:t>
      </w:r>
      <w:r w:rsidR="00CB501B">
        <w:rPr>
          <w:rFonts w:hint="cs"/>
          <w:rtl/>
        </w:rPr>
        <w:t>קנקנתום</w:t>
      </w:r>
      <w:proofErr w:type="spellEnd"/>
      <w:r w:rsidR="002A799F">
        <w:rPr>
          <w:rFonts w:hint="cs"/>
          <w:rtl/>
        </w:rPr>
        <w:t xml:space="preserve"> ו</w:t>
      </w:r>
      <w:r w:rsidR="00351496">
        <w:rPr>
          <w:rFonts w:hint="cs"/>
          <w:rtl/>
        </w:rPr>
        <w:t>עפצים</w:t>
      </w:r>
      <w:r w:rsidR="00F333DD">
        <w:rPr>
          <w:rStyle w:val="FootnoteReference"/>
          <w:rtl/>
        </w:rPr>
        <w:footnoteReference w:id="250"/>
      </w:r>
      <w:r w:rsidR="00CB501B">
        <w:rPr>
          <w:rFonts w:hint="cs"/>
          <w:rtl/>
        </w:rPr>
        <w:t xml:space="preserve">. </w:t>
      </w:r>
    </w:p>
    <w:p w14:paraId="07737631" w14:textId="77777777" w:rsidR="00E46348" w:rsidRDefault="0093413D" w:rsidP="009B7603">
      <w:pPr>
        <w:rPr>
          <w:rtl/>
        </w:rPr>
      </w:pPr>
      <w:r>
        <w:rPr>
          <w:rFonts w:hint="cs"/>
          <w:rtl/>
        </w:rPr>
        <w:t xml:space="preserve">גם </w:t>
      </w:r>
      <w:r w:rsidR="00DA79E5">
        <w:rPr>
          <w:rFonts w:hint="cs"/>
          <w:rtl/>
        </w:rPr>
        <w:t>נדמה</w:t>
      </w:r>
      <w:r w:rsidR="006C48A0">
        <w:rPr>
          <w:rFonts w:hint="cs"/>
          <w:rtl/>
        </w:rPr>
        <w:t xml:space="preserve"> ש</w:t>
      </w:r>
      <w:r w:rsidR="00FA7A5B">
        <w:rPr>
          <w:rFonts w:hint="cs"/>
          <w:rtl/>
        </w:rPr>
        <w:t>הסוג הראשון</w:t>
      </w:r>
      <w:r w:rsidR="00BF1950">
        <w:rPr>
          <w:rStyle w:val="FootnoteReference"/>
          <w:rtl/>
        </w:rPr>
        <w:footnoteReference w:id="251"/>
      </w:r>
      <w:r w:rsidR="00B0174D">
        <w:rPr>
          <w:rFonts w:hint="cs"/>
          <w:rtl/>
        </w:rPr>
        <w:t>,</w:t>
      </w:r>
      <w:r w:rsidR="00FA7A5B">
        <w:rPr>
          <w:rFonts w:hint="cs"/>
          <w:rtl/>
        </w:rPr>
        <w:t xml:space="preserve"> שנאמרת </w:t>
      </w:r>
      <w:r w:rsidR="00B0174D">
        <w:rPr>
          <w:rFonts w:hint="cs"/>
          <w:rtl/>
        </w:rPr>
        <w:t xml:space="preserve">לפיו </w:t>
      </w:r>
      <w:r w:rsidR="00FA7A5B">
        <w:rPr>
          <w:rFonts w:hint="cs"/>
          <w:rtl/>
        </w:rPr>
        <w:t>המילה</w:t>
      </w:r>
      <w:r>
        <w:rPr>
          <w:rFonts w:hint="cs"/>
          <w:rtl/>
        </w:rPr>
        <w:t xml:space="preserve"> </w:t>
      </w:r>
      <w:r w:rsidR="00FA7A5B">
        <w:rPr>
          <w:rFonts w:hint="cs"/>
          <w:rtl/>
        </w:rPr>
        <w:t xml:space="preserve">'מתהווה' </w:t>
      </w:r>
      <w:r w:rsidR="00B0174D">
        <w:rPr>
          <w:rFonts w:hint="cs"/>
          <w:rtl/>
        </w:rPr>
        <w:t>במובן של</w:t>
      </w:r>
      <w:r>
        <w:rPr>
          <w:rFonts w:hint="cs"/>
          <w:rtl/>
        </w:rPr>
        <w:t xml:space="preserve"> משהו </w:t>
      </w:r>
      <w:r w:rsidR="00B0174D">
        <w:rPr>
          <w:rFonts w:hint="cs"/>
          <w:rtl/>
        </w:rPr>
        <w:t>ש</w:t>
      </w:r>
      <w:r>
        <w:rPr>
          <w:rFonts w:hint="cs"/>
          <w:rtl/>
        </w:rPr>
        <w:t>מורכב</w:t>
      </w:r>
      <w:r w:rsidR="00B0174D">
        <w:rPr>
          <w:rFonts w:hint="cs"/>
          <w:rtl/>
        </w:rPr>
        <w:t xml:space="preserve"> מ</w:t>
      </w:r>
      <w:r w:rsidR="006C48A0">
        <w:rPr>
          <w:rFonts w:hint="cs"/>
          <w:rtl/>
        </w:rPr>
        <w:t>דברים רחוקים</w:t>
      </w:r>
      <w:r w:rsidR="00B0174D">
        <w:rPr>
          <w:rFonts w:hint="cs"/>
          <w:rtl/>
        </w:rPr>
        <w:t>,</w:t>
      </w:r>
      <w:r>
        <w:rPr>
          <w:rFonts w:hint="cs"/>
          <w:rtl/>
        </w:rPr>
        <w:t xml:space="preserve"> </w:t>
      </w:r>
      <w:r w:rsidR="00B0174D">
        <w:rPr>
          <w:rFonts w:hint="cs"/>
          <w:rtl/>
        </w:rPr>
        <w:t>ומשמעות זו</w:t>
      </w:r>
      <w:r w:rsidR="008446B5">
        <w:rPr>
          <w:rStyle w:val="FootnoteReference"/>
          <w:rtl/>
        </w:rPr>
        <w:footnoteReference w:id="252"/>
      </w:r>
      <w:r w:rsidR="008446B5">
        <w:rPr>
          <w:rFonts w:hint="cs"/>
          <w:rtl/>
        </w:rPr>
        <w:t>,</w:t>
      </w:r>
      <w:r w:rsidR="00B0174D">
        <w:rPr>
          <w:rFonts w:hint="cs"/>
          <w:rtl/>
        </w:rPr>
        <w:t xml:space="preserve"> ה</w:t>
      </w:r>
      <w:r w:rsidR="005E6055">
        <w:rPr>
          <w:rFonts w:hint="cs"/>
          <w:rtl/>
        </w:rPr>
        <w:t>כוונה בזה</w:t>
      </w:r>
      <w:r w:rsidR="00B0174D">
        <w:rPr>
          <w:rFonts w:hint="cs"/>
          <w:rtl/>
        </w:rPr>
        <w:t xml:space="preserve"> שהזרע והעץ </w:t>
      </w:r>
      <w:r w:rsidR="005E6055">
        <w:rPr>
          <w:rFonts w:hint="cs"/>
          <w:rtl/>
        </w:rPr>
        <w:t xml:space="preserve">היו </w:t>
      </w:r>
      <w:r w:rsidR="000A2322">
        <w:rPr>
          <w:rFonts w:hint="cs"/>
          <w:rtl/>
        </w:rPr>
        <w:t xml:space="preserve">מה שהיו, וההתהוות מהם הייתה </w:t>
      </w:r>
      <w:r w:rsidR="00DA79E5">
        <w:rPr>
          <w:rFonts w:hint="cs"/>
          <w:rtl/>
        </w:rPr>
        <w:t>כשהם</w:t>
      </w:r>
      <w:r w:rsidR="000A2322">
        <w:rPr>
          <w:rFonts w:hint="cs"/>
          <w:rtl/>
        </w:rPr>
        <w:t xml:space="preserve"> במצב זה</w:t>
      </w:r>
      <w:r w:rsidR="00DA79E5">
        <w:rPr>
          <w:rFonts w:hint="cs"/>
          <w:rtl/>
        </w:rPr>
        <w:t>, כשמה שהתהווה מהם, שנאמר בו שהוא 'מ...', נעשה עצם</w:t>
      </w:r>
      <w:r w:rsidR="00DA79E5">
        <w:rPr>
          <w:rStyle w:val="FootnoteReference"/>
          <w:rtl/>
        </w:rPr>
        <w:footnoteReference w:id="253"/>
      </w:r>
      <w:r w:rsidR="000A2322">
        <w:rPr>
          <w:rFonts w:hint="cs"/>
          <w:rtl/>
        </w:rPr>
        <w:t xml:space="preserve">.   </w:t>
      </w:r>
    </w:p>
    <w:p w14:paraId="46B4F3EA" w14:textId="77777777" w:rsidR="000C2976" w:rsidRDefault="00B17059" w:rsidP="000C2976">
      <w:pPr>
        <w:rPr>
          <w:rtl/>
        </w:rPr>
      </w:pPr>
      <w:r>
        <w:rPr>
          <w:rFonts w:hint="cs"/>
          <w:rtl/>
        </w:rPr>
        <w:t xml:space="preserve">כעת, לא נאמר על מה שהוא כמו הזרע או </w:t>
      </w:r>
      <w:proofErr w:type="spellStart"/>
      <w:r>
        <w:rPr>
          <w:rFonts w:hint="cs"/>
          <w:rtl/>
        </w:rPr>
        <w:t>הקנקנתום</w:t>
      </w:r>
      <w:proofErr w:type="spellEnd"/>
      <w:r>
        <w:rPr>
          <w:rFonts w:hint="cs"/>
          <w:rtl/>
        </w:rPr>
        <w:t xml:space="preserve"> שהוא הדבר שהתהווה, דהיינו שנאמר שהזרע נעשה אדם או </w:t>
      </w:r>
      <w:proofErr w:type="spellStart"/>
      <w:r>
        <w:rPr>
          <w:rFonts w:hint="cs"/>
          <w:rtl/>
        </w:rPr>
        <w:t>שהקנקנתום</w:t>
      </w:r>
      <w:proofErr w:type="spellEnd"/>
      <w:r>
        <w:rPr>
          <w:rFonts w:hint="cs"/>
          <w:rtl/>
        </w:rPr>
        <w:t xml:space="preserve"> נעשה דיו, </w:t>
      </w:r>
      <w:r w:rsidR="00F42E9E">
        <w:rPr>
          <w:rFonts w:hint="cs"/>
          <w:rtl/>
        </w:rPr>
        <w:t>כמו ש</w:t>
      </w:r>
      <w:r w:rsidR="000963C3">
        <w:rPr>
          <w:rFonts w:hint="cs"/>
          <w:rtl/>
        </w:rPr>
        <w:t>נאמר</w:t>
      </w:r>
      <w:r w:rsidR="00F42E9E">
        <w:rPr>
          <w:rFonts w:hint="cs"/>
          <w:rtl/>
        </w:rPr>
        <w:t xml:space="preserve"> שהאדם נעשה סופר </w:t>
      </w:r>
      <w:r w:rsidR="00AA0C81">
        <w:rPr>
          <w:rFonts w:hint="cs"/>
          <w:rtl/>
        </w:rPr>
        <w:t>(</w:t>
      </w:r>
      <w:r w:rsidR="000963C3">
        <w:rPr>
          <w:rFonts w:hint="cs"/>
          <w:rtl/>
        </w:rPr>
        <w:t xml:space="preserve">מלבד </w:t>
      </w:r>
      <w:proofErr w:type="spellStart"/>
      <w:r w:rsidR="00FB5B4E">
        <w:rPr>
          <w:rFonts w:hint="cs"/>
          <w:rtl/>
        </w:rPr>
        <w:t>בקצת</w:t>
      </w:r>
      <w:proofErr w:type="spellEnd"/>
      <w:r w:rsidR="00FB5B4E">
        <w:rPr>
          <w:rFonts w:hint="cs"/>
          <w:rtl/>
        </w:rPr>
        <w:t xml:space="preserve"> מובנים </w:t>
      </w:r>
      <w:r w:rsidR="00DB1AAB">
        <w:rPr>
          <w:rFonts w:hint="cs"/>
          <w:rtl/>
        </w:rPr>
        <w:t xml:space="preserve">שהם סוג של </w:t>
      </w:r>
      <w:bookmarkStart w:id="157" w:name="_Hlk97786954"/>
      <w:r w:rsidR="00DB1AAB">
        <w:rPr>
          <w:rFonts w:hint="cs"/>
          <w:rtl/>
        </w:rPr>
        <w:t>מטאפורה</w:t>
      </w:r>
      <w:bookmarkEnd w:id="157"/>
      <w:r w:rsidR="00FB5B4E">
        <w:rPr>
          <w:rFonts w:hint="cs"/>
          <w:rtl/>
        </w:rPr>
        <w:t xml:space="preserve"> לפיהם הזרע או </w:t>
      </w:r>
      <w:proofErr w:type="spellStart"/>
      <w:r w:rsidR="00FB5B4E">
        <w:rPr>
          <w:rFonts w:hint="cs"/>
          <w:rtl/>
        </w:rPr>
        <w:t>הקנקנתום</w:t>
      </w:r>
      <w:proofErr w:type="spellEnd"/>
      <w:r w:rsidR="00FB5B4E">
        <w:rPr>
          <w:rFonts w:hint="cs"/>
          <w:rtl/>
        </w:rPr>
        <w:t xml:space="preserve"> התהוו, כלומר השתנו</w:t>
      </w:r>
      <w:r w:rsidR="00AA0C81">
        <w:rPr>
          <w:rFonts w:hint="cs"/>
          <w:rtl/>
        </w:rPr>
        <w:t>)</w:t>
      </w:r>
      <w:r w:rsidR="00FB5B4E">
        <w:rPr>
          <w:rFonts w:hint="cs"/>
          <w:rtl/>
        </w:rPr>
        <w:t xml:space="preserve">, כאשר שתי הדרכים נאמרות לגבי </w:t>
      </w:r>
      <w:r w:rsidR="00AA0C81">
        <w:rPr>
          <w:rFonts w:hint="cs"/>
          <w:rtl/>
        </w:rPr>
        <w:t xml:space="preserve">מה שהוא כמו </w:t>
      </w:r>
      <w:r w:rsidR="00FB5B4E">
        <w:rPr>
          <w:rFonts w:hint="cs"/>
          <w:rtl/>
        </w:rPr>
        <w:t xml:space="preserve">העץ. </w:t>
      </w:r>
    </w:p>
    <w:p w14:paraId="5A708A01" w14:textId="6F42A3B9" w:rsidR="00A9056E" w:rsidRDefault="00AA0C81" w:rsidP="00AF63E4">
      <w:pPr>
        <w:rPr>
          <w:rtl/>
        </w:rPr>
      </w:pPr>
      <w:r>
        <w:rPr>
          <w:rFonts w:hint="cs"/>
          <w:rtl/>
        </w:rPr>
        <w:t xml:space="preserve">כך שבמקרה של העץ נאמר שהמיטה התהוותה מהעץ, ושהעץ נעשה להיות מיטה, בגלל שהעץ, כעץ, לא חדל מלהתקיים בדרך שהזרע חדל, וכך העץ הוא כמו האדם </w:t>
      </w:r>
      <w:r w:rsidR="000C2976">
        <w:rPr>
          <w:rFonts w:hint="cs"/>
          <w:rtl/>
        </w:rPr>
        <w:t>במידה שהוא מקבל להיות 'משהו שכותב'</w:t>
      </w:r>
      <w:r>
        <w:rPr>
          <w:rFonts w:hint="cs"/>
          <w:rtl/>
        </w:rPr>
        <w:t>.</w:t>
      </w:r>
      <w:r w:rsidR="000C2976">
        <w:rPr>
          <w:rFonts w:hint="cs"/>
          <w:rtl/>
        </w:rPr>
        <w:t xml:space="preserve"> עדיין אם לא נשללת צורה </w:t>
      </w:r>
      <w:proofErr w:type="spellStart"/>
      <w:r w:rsidR="000C2976">
        <w:rPr>
          <w:rFonts w:hint="cs"/>
          <w:rtl/>
        </w:rPr>
        <w:t>מסויימת</w:t>
      </w:r>
      <w:proofErr w:type="spellEnd"/>
      <w:r w:rsidR="000C2976">
        <w:rPr>
          <w:rFonts w:hint="cs"/>
          <w:rtl/>
        </w:rPr>
        <w:t xml:space="preserve"> הוא אינו יכול לקבל צורת מיטה, וכך הוא כמו הזרע במידה שהזרע משתנה להיות משהו שהוא אדם</w:t>
      </w:r>
      <w:r w:rsidR="000C2976">
        <w:rPr>
          <w:rStyle w:val="FootnoteReference"/>
          <w:rtl/>
        </w:rPr>
        <w:footnoteReference w:id="254"/>
      </w:r>
      <w:r w:rsidR="000C2976">
        <w:rPr>
          <w:rFonts w:hint="cs"/>
          <w:rtl/>
        </w:rPr>
        <w:t>.</w:t>
      </w:r>
    </w:p>
    <w:p w14:paraId="518170E7" w14:textId="77777777" w:rsidR="00A9056E" w:rsidRDefault="00A9056E" w:rsidP="003266A1">
      <w:pPr>
        <w:pStyle w:val="Heading4"/>
        <w:rPr>
          <w:rtl/>
        </w:rPr>
      </w:pPr>
      <w:bookmarkStart w:id="158" w:name="_Toc119092624"/>
      <w:r>
        <w:rPr>
          <w:rFonts w:hint="cs"/>
          <w:rtl/>
        </w:rPr>
        <w:t>1.2.20</w:t>
      </w:r>
      <w:bookmarkEnd w:id="158"/>
    </w:p>
    <w:p w14:paraId="3F8CA262" w14:textId="2BF4F49E" w:rsidR="00DC560D" w:rsidRDefault="00A9056E" w:rsidP="006A6C3A">
      <w:pPr>
        <w:rPr>
          <w:rtl/>
        </w:rPr>
      </w:pPr>
      <w:r>
        <w:rPr>
          <w:rFonts w:hint="cs"/>
          <w:rtl/>
        </w:rPr>
        <w:t xml:space="preserve">כעת, </w:t>
      </w:r>
      <w:r w:rsidR="00DA723E">
        <w:rPr>
          <w:rFonts w:hint="cs"/>
          <w:rtl/>
        </w:rPr>
        <w:t>במקרים שאין</w:t>
      </w:r>
      <w:r w:rsidR="006A6C3A">
        <w:rPr>
          <w:rFonts w:hint="cs"/>
          <w:rtl/>
        </w:rPr>
        <w:t xml:space="preserve"> לומר בהם 'מ...', הם נעשים כאלה כשמוסיפים להם את השלילה. כמו למשל שנאמר </w:t>
      </w:r>
      <w:r w:rsidR="00336E57">
        <w:rPr>
          <w:rFonts w:hint="cs"/>
          <w:rtl/>
        </w:rPr>
        <w:t>סופר התהווה מאדם שאינו</w:t>
      </w:r>
      <w:r w:rsidR="00336E57">
        <w:rPr>
          <w:rFonts w:hint="cs"/>
        </w:rPr>
        <w:t xml:space="preserve"> </w:t>
      </w:r>
      <w:r w:rsidR="00336E57">
        <w:rPr>
          <w:rFonts w:hint="cs"/>
          <w:rtl/>
        </w:rPr>
        <w:t>סופר</w:t>
      </w:r>
      <w:r w:rsidR="00336E57">
        <w:rPr>
          <w:rStyle w:val="FootnoteReference"/>
          <w:rtl/>
        </w:rPr>
        <w:footnoteReference w:id="255"/>
      </w:r>
      <w:r w:rsidR="00336E57">
        <w:rPr>
          <w:rFonts w:hint="cs"/>
          <w:rtl/>
        </w:rPr>
        <w:t xml:space="preserve">. </w:t>
      </w:r>
    </w:p>
    <w:p w14:paraId="0EC1DAF8" w14:textId="77777777" w:rsidR="00F71931" w:rsidRDefault="00150205" w:rsidP="006A6C3A">
      <w:pPr>
        <w:rPr>
          <w:rtl/>
        </w:rPr>
      </w:pPr>
      <w:r>
        <w:rPr>
          <w:rFonts w:hint="cs"/>
          <w:rtl/>
        </w:rPr>
        <w:t xml:space="preserve">על כל פנים, לעולם לא ניתן לומר זאת על השלילה עצמה, </w:t>
      </w:r>
      <w:r w:rsidR="002B73D5">
        <w:rPr>
          <w:rFonts w:hint="cs"/>
          <w:rtl/>
        </w:rPr>
        <w:t>אלא אם כן</w:t>
      </w:r>
      <w:r>
        <w:rPr>
          <w:rFonts w:hint="cs"/>
          <w:rtl/>
        </w:rPr>
        <w:t xml:space="preserve"> זה</w:t>
      </w:r>
      <w:r w:rsidR="002B73D5">
        <w:rPr>
          <w:rFonts w:hint="cs"/>
          <w:rtl/>
        </w:rPr>
        <w:t xml:space="preserve"> נאמר</w:t>
      </w:r>
      <w:r>
        <w:rPr>
          <w:rFonts w:hint="cs"/>
          <w:rtl/>
        </w:rPr>
        <w:t xml:space="preserve"> ביחד עם 'מ...', כי איננו אומרים שהלא-סופר נעשה סופר,</w:t>
      </w:r>
      <w:bookmarkStart w:id="159" w:name="_Hlk97821415"/>
      <w:r>
        <w:rPr>
          <w:rFonts w:hint="cs"/>
          <w:rtl/>
        </w:rPr>
        <w:t xml:space="preserve"> כי אז הלא-סופר היה סופר</w:t>
      </w:r>
      <w:bookmarkEnd w:id="159"/>
      <w:r w:rsidR="002B73D5">
        <w:rPr>
          <w:rStyle w:val="FootnoteReference"/>
          <w:rtl/>
        </w:rPr>
        <w:footnoteReference w:id="256"/>
      </w:r>
      <w:r>
        <w:rPr>
          <w:rFonts w:hint="cs"/>
          <w:rtl/>
        </w:rPr>
        <w:t>.</w:t>
      </w:r>
    </w:p>
    <w:p w14:paraId="282A8B13" w14:textId="77777777" w:rsidR="0051043A" w:rsidRDefault="00F71931" w:rsidP="006A6C3A">
      <w:pPr>
        <w:rPr>
          <w:rtl/>
        </w:rPr>
      </w:pPr>
      <w:r>
        <w:rPr>
          <w:rFonts w:hint="cs"/>
          <w:rtl/>
        </w:rPr>
        <w:t>בלי ספק, אם לא מתכוונים ב'לא-סופר' אל הלא-סופר עצמו, אלא בפשטות אל הנושא שמאופיין כלא</w:t>
      </w:r>
      <w:r w:rsidR="00257B3D">
        <w:rPr>
          <w:rFonts w:hint="cs"/>
          <w:rtl/>
        </w:rPr>
        <w:t>-</w:t>
      </w:r>
      <w:r>
        <w:rPr>
          <w:rFonts w:hint="cs"/>
          <w:rtl/>
        </w:rPr>
        <w:t>סופר, אז אנו יכולים לומר זאת</w:t>
      </w:r>
      <w:r>
        <w:rPr>
          <w:rStyle w:val="FootnoteReference"/>
          <w:rtl/>
        </w:rPr>
        <w:footnoteReference w:id="257"/>
      </w:r>
      <w:r>
        <w:rPr>
          <w:rFonts w:hint="cs"/>
          <w:rtl/>
        </w:rPr>
        <w:t xml:space="preserve">, </w:t>
      </w:r>
      <w:r w:rsidR="00257B3D">
        <w:rPr>
          <w:rFonts w:hint="cs"/>
          <w:rtl/>
        </w:rPr>
        <w:t>וגם בוודאי תמיד יהיה נכון לומר 'מ...' במקרה כזה</w:t>
      </w:r>
      <w:r w:rsidR="00257B3D">
        <w:rPr>
          <w:rStyle w:val="FootnoteReference"/>
          <w:rtl/>
        </w:rPr>
        <w:footnoteReference w:id="258"/>
      </w:r>
      <w:r w:rsidR="00257B3D">
        <w:rPr>
          <w:rFonts w:hint="cs"/>
          <w:rtl/>
        </w:rPr>
        <w:t>.</w:t>
      </w:r>
    </w:p>
    <w:p w14:paraId="1C1D2451" w14:textId="233D7AC3" w:rsidR="00C53D35" w:rsidRDefault="0051043A" w:rsidP="00AF63E4">
      <w:pPr>
        <w:rPr>
          <w:rtl/>
        </w:rPr>
      </w:pPr>
      <w:r>
        <w:rPr>
          <w:rFonts w:hint="cs"/>
          <w:rtl/>
        </w:rPr>
        <w:t>עדיין איני עומד על זה ועל מקרים דומים לו, מאחר ששפות שונות אפשר שישתנו זו מזו במה שאפשר או נמנע לומר בהן</w:t>
      </w:r>
      <w:r>
        <w:rPr>
          <w:rStyle w:val="FootnoteReference"/>
          <w:rtl/>
        </w:rPr>
        <w:footnoteReference w:id="259"/>
      </w:r>
      <w:r>
        <w:rPr>
          <w:rFonts w:hint="cs"/>
          <w:rtl/>
        </w:rPr>
        <w:t xml:space="preserve">. </w:t>
      </w:r>
      <w:r w:rsidR="00C53D35">
        <w:rPr>
          <w:rFonts w:hint="cs"/>
          <w:rtl/>
        </w:rPr>
        <w:t xml:space="preserve">אני רק אומר שכשאנו מתכוונים </w:t>
      </w:r>
      <w:proofErr w:type="spellStart"/>
      <w:r w:rsidR="00C53D35">
        <w:rPr>
          <w:rFonts w:hint="cs"/>
          <w:rtl/>
        </w:rPr>
        <w:t>ב'מ</w:t>
      </w:r>
      <w:proofErr w:type="spellEnd"/>
      <w:r w:rsidR="00C53D35">
        <w:rPr>
          <w:rFonts w:hint="cs"/>
          <w:rtl/>
        </w:rPr>
        <w:t xml:space="preserve">...' את שני המובנים הנזכרים לעיל, הם מותרים באופן שהתרנו ואינם מותרים באופן שלא התרנו. </w:t>
      </w:r>
    </w:p>
    <w:p w14:paraId="6F5914D5" w14:textId="4C79281D" w:rsidR="00150205" w:rsidRPr="00741B6F" w:rsidRDefault="00C53D35" w:rsidP="003266A1">
      <w:pPr>
        <w:pStyle w:val="Heading4"/>
        <w:rPr>
          <w:rtl/>
        </w:rPr>
      </w:pPr>
      <w:bookmarkStart w:id="160" w:name="_Toc119092625"/>
      <w:r>
        <w:rPr>
          <w:rFonts w:hint="cs"/>
          <w:rtl/>
        </w:rPr>
        <w:t>1.2.21</w:t>
      </w:r>
      <w:bookmarkEnd w:id="160"/>
      <w:r w:rsidR="00257B3D">
        <w:rPr>
          <w:rFonts w:hint="cs"/>
          <w:rtl/>
        </w:rPr>
        <w:t xml:space="preserve">  </w:t>
      </w:r>
      <w:r w:rsidR="00150205">
        <w:rPr>
          <w:rFonts w:hint="cs"/>
          <w:rtl/>
        </w:rPr>
        <w:t xml:space="preserve">  </w:t>
      </w:r>
    </w:p>
    <w:p w14:paraId="6FCE4B2F" w14:textId="633FF5DE" w:rsidR="000608E2" w:rsidRDefault="00C53D35" w:rsidP="007B540D">
      <w:pPr>
        <w:rPr>
          <w:rtl/>
        </w:rPr>
      </w:pPr>
      <w:r>
        <w:rPr>
          <w:rFonts w:hint="cs"/>
          <w:rtl/>
        </w:rPr>
        <w:t>במקום המקביל למקום זה</w:t>
      </w:r>
      <w:r w:rsidR="00C25FF1">
        <w:rPr>
          <w:rStyle w:val="FootnoteReference"/>
          <w:rtl/>
        </w:rPr>
        <w:footnoteReference w:id="260"/>
      </w:r>
      <w:r>
        <w:rPr>
          <w:rFonts w:hint="cs"/>
          <w:rtl/>
        </w:rPr>
        <w:t>, לפעמים מוזכרת התשוקה</w:t>
      </w:r>
      <w:r w:rsidR="00825CA1">
        <w:rPr>
          <w:rStyle w:val="FootnoteReference"/>
          <w:rtl/>
        </w:rPr>
        <w:footnoteReference w:id="261"/>
      </w:r>
      <w:r>
        <w:rPr>
          <w:rFonts w:hint="cs"/>
          <w:rtl/>
        </w:rPr>
        <w:t xml:space="preserve"> של ה</w:t>
      </w:r>
      <w:r w:rsidR="00583D48">
        <w:rPr>
          <w:rFonts w:hint="cs"/>
          <w:rtl/>
        </w:rPr>
        <w:t>היולי</w:t>
      </w:r>
      <w:r>
        <w:rPr>
          <w:rFonts w:hint="cs"/>
          <w:rtl/>
        </w:rPr>
        <w:t xml:space="preserve"> אל הצורה </w:t>
      </w:r>
      <w:r w:rsidR="00925A6E">
        <w:rPr>
          <w:rFonts w:hint="cs"/>
          <w:rtl/>
        </w:rPr>
        <w:t>ב</w:t>
      </w:r>
      <w:r w:rsidR="001F7EC0">
        <w:rPr>
          <w:rFonts w:hint="cs"/>
          <w:rtl/>
        </w:rPr>
        <w:t>משל</w:t>
      </w:r>
      <w:r>
        <w:rPr>
          <w:rFonts w:hint="cs"/>
          <w:rtl/>
        </w:rPr>
        <w:t xml:space="preserve"> </w:t>
      </w:r>
      <w:r w:rsidR="001F7EC0">
        <w:rPr>
          <w:rFonts w:hint="cs"/>
          <w:rtl/>
        </w:rPr>
        <w:t>ה</w:t>
      </w:r>
      <w:r>
        <w:rPr>
          <w:rFonts w:hint="cs"/>
          <w:rtl/>
        </w:rPr>
        <w:t xml:space="preserve">נקבה, </w:t>
      </w:r>
      <w:r w:rsidR="001F7EC0">
        <w:rPr>
          <w:rFonts w:hint="cs"/>
          <w:rtl/>
        </w:rPr>
        <w:t>כאשר הצורה נמשלת לזכר, אבל זה דבר שאינני מבין אותו מהסיבות הבאות.</w:t>
      </w:r>
    </w:p>
    <w:p w14:paraId="218A8EBC" w14:textId="30AFC9EA" w:rsidR="00382232" w:rsidRDefault="007049BA" w:rsidP="007B540D">
      <w:pPr>
        <w:rPr>
          <w:rtl/>
        </w:rPr>
      </w:pPr>
      <w:r>
        <w:rPr>
          <w:rFonts w:hint="cs"/>
          <w:rtl/>
        </w:rPr>
        <w:t>אם</w:t>
      </w:r>
      <w:r w:rsidR="00C17DDF">
        <w:rPr>
          <w:rFonts w:hint="cs"/>
          <w:rtl/>
        </w:rPr>
        <w:t xml:space="preserve"> מדובר על</w:t>
      </w:r>
      <w:r>
        <w:rPr>
          <w:rFonts w:hint="cs"/>
          <w:rtl/>
        </w:rPr>
        <w:t xml:space="preserve"> ה</w:t>
      </w:r>
      <w:r w:rsidR="00925A6E">
        <w:rPr>
          <w:rFonts w:hint="cs"/>
          <w:rtl/>
        </w:rPr>
        <w:t>תשוקה הכרוכה בלהיות בעל נפש, אין מחלוקת שזה אינו ב</w:t>
      </w:r>
      <w:r w:rsidR="00583D48">
        <w:rPr>
          <w:rFonts w:hint="cs"/>
          <w:rtl/>
        </w:rPr>
        <w:t>היולי</w:t>
      </w:r>
      <w:r w:rsidR="00EA6B39">
        <w:rPr>
          <w:rStyle w:val="FootnoteReference"/>
          <w:rtl/>
        </w:rPr>
        <w:footnoteReference w:id="262"/>
      </w:r>
      <w:r w:rsidR="00925A6E">
        <w:rPr>
          <w:rFonts w:hint="cs"/>
          <w:rtl/>
        </w:rPr>
        <w:t xml:space="preserve">. </w:t>
      </w:r>
    </w:p>
    <w:p w14:paraId="1FC31EF6" w14:textId="66D5C2B5" w:rsidR="00572A11" w:rsidRDefault="007049BA" w:rsidP="00AF63E4">
      <w:pPr>
        <w:rPr>
          <w:rtl/>
        </w:rPr>
      </w:pPr>
      <w:r>
        <w:rPr>
          <w:rFonts w:hint="cs"/>
          <w:rtl/>
        </w:rPr>
        <w:t xml:space="preserve">אם </w:t>
      </w:r>
      <w:r w:rsidR="00C17DDF">
        <w:rPr>
          <w:rFonts w:hint="cs"/>
          <w:rtl/>
        </w:rPr>
        <w:t xml:space="preserve">מדובר על </w:t>
      </w:r>
      <w:r>
        <w:rPr>
          <w:rFonts w:hint="cs"/>
          <w:rtl/>
        </w:rPr>
        <w:t>ה</w:t>
      </w:r>
      <w:r w:rsidR="00382232">
        <w:rPr>
          <w:rFonts w:hint="cs"/>
          <w:rtl/>
        </w:rPr>
        <w:t>תשוקה הטבעית המכריחה, שה</w:t>
      </w:r>
      <w:r w:rsidR="00F834D4">
        <w:rPr>
          <w:rFonts w:hint="cs"/>
          <w:rtl/>
        </w:rPr>
        <w:t>דחף</w:t>
      </w:r>
      <w:r w:rsidR="00F834D4">
        <w:rPr>
          <w:rStyle w:val="FootnoteReference"/>
          <w:rtl/>
        </w:rPr>
        <w:footnoteReference w:id="263"/>
      </w:r>
      <w:r w:rsidR="00382232">
        <w:rPr>
          <w:rFonts w:hint="cs"/>
          <w:rtl/>
        </w:rPr>
        <w:t xml:space="preserve"> שלה ה</w:t>
      </w:r>
      <w:r w:rsidR="00F834D4">
        <w:rPr>
          <w:rFonts w:hint="cs"/>
          <w:rtl/>
        </w:rPr>
        <w:t>ו</w:t>
      </w:r>
      <w:r w:rsidR="00382232">
        <w:rPr>
          <w:rFonts w:hint="cs"/>
          <w:rtl/>
        </w:rPr>
        <w:t xml:space="preserve">א </w:t>
      </w:r>
      <w:r w:rsidR="00E75A03">
        <w:rPr>
          <w:rFonts w:hint="cs"/>
          <w:rtl/>
        </w:rPr>
        <w:t>בדרך סחיפה</w:t>
      </w:r>
      <w:r w:rsidR="000C35E7">
        <w:rPr>
          <w:rStyle w:val="FootnoteReference"/>
          <w:rtl/>
        </w:rPr>
        <w:footnoteReference w:id="264"/>
      </w:r>
      <w:r w:rsidR="00382232">
        <w:rPr>
          <w:rFonts w:hint="cs"/>
          <w:rtl/>
        </w:rPr>
        <w:t xml:space="preserve">, </w:t>
      </w:r>
      <w:r w:rsidR="00583D48">
        <w:rPr>
          <w:rFonts w:hint="cs"/>
          <w:rtl/>
        </w:rPr>
        <w:t>כמו למשל, תשוקת האבן לנוע כלפי מטה כדי לה</w:t>
      </w:r>
      <w:r w:rsidR="00AF7C8B">
        <w:rPr>
          <w:rFonts w:hint="cs"/>
          <w:rtl/>
        </w:rPr>
        <w:t>שלים</w:t>
      </w:r>
      <w:r w:rsidR="00E75A03">
        <w:rPr>
          <w:rStyle w:val="FootnoteReference"/>
          <w:rtl/>
        </w:rPr>
        <w:footnoteReference w:id="265"/>
      </w:r>
      <w:r w:rsidR="00583D48">
        <w:rPr>
          <w:rFonts w:hint="cs"/>
          <w:rtl/>
        </w:rPr>
        <w:t xml:space="preserve"> אחרי שנעקרה ממקומה הטבעי.</w:t>
      </w:r>
    </w:p>
    <w:p w14:paraId="38907B00" w14:textId="75DC7046" w:rsidR="00572A11" w:rsidRDefault="00572A11" w:rsidP="003266A1">
      <w:pPr>
        <w:pStyle w:val="Heading4"/>
        <w:rPr>
          <w:rtl/>
        </w:rPr>
      </w:pPr>
      <w:bookmarkStart w:id="162" w:name="_Toc119092626"/>
      <w:r>
        <w:rPr>
          <w:rFonts w:hint="cs"/>
          <w:rtl/>
        </w:rPr>
        <w:t>1.2.22</w:t>
      </w:r>
      <w:bookmarkEnd w:id="162"/>
    </w:p>
    <w:p w14:paraId="3A253074" w14:textId="65695CD3" w:rsidR="00942504" w:rsidRDefault="00572A11" w:rsidP="007B540D">
      <w:pPr>
        <w:rPr>
          <w:rtl/>
        </w:rPr>
      </w:pPr>
      <w:r>
        <w:rPr>
          <w:rFonts w:hint="cs"/>
          <w:rtl/>
        </w:rPr>
        <w:t xml:space="preserve">שוב, </w:t>
      </w:r>
      <w:r w:rsidR="0038263E">
        <w:rPr>
          <w:rFonts w:hint="cs"/>
          <w:rtl/>
        </w:rPr>
        <w:t xml:space="preserve">אם כן, </w:t>
      </w:r>
      <w:r w:rsidR="00F55515">
        <w:rPr>
          <w:rFonts w:hint="cs"/>
          <w:rtl/>
        </w:rPr>
        <w:t xml:space="preserve">היה יכול להיות אפשר להיולי להשתוקק לצורות, </w:t>
      </w:r>
      <w:r w:rsidR="001B1D1C">
        <w:rPr>
          <w:rFonts w:hint="cs"/>
          <w:rtl/>
        </w:rPr>
        <w:t>אם היה נקי</w:t>
      </w:r>
      <w:r w:rsidR="00804682">
        <w:rPr>
          <w:rStyle w:val="FootnoteReference"/>
          <w:rtl/>
        </w:rPr>
        <w:footnoteReference w:id="266"/>
      </w:r>
      <w:r w:rsidR="001B1D1C">
        <w:rPr>
          <w:rFonts w:hint="cs"/>
          <w:rtl/>
        </w:rPr>
        <w:t xml:space="preserve"> מכל הצורות, או אם היה נלאה מצורה </w:t>
      </w:r>
      <w:proofErr w:type="spellStart"/>
      <w:r w:rsidR="001B1D1C">
        <w:rPr>
          <w:rFonts w:hint="cs"/>
          <w:rtl/>
        </w:rPr>
        <w:t>מסויימת</w:t>
      </w:r>
      <w:proofErr w:type="spellEnd"/>
      <w:r w:rsidR="001B1D1C">
        <w:rPr>
          <w:rFonts w:hint="cs"/>
          <w:rtl/>
        </w:rPr>
        <w:t xml:space="preserve">, או היה מאבד את שביעות רצונו מהצורות </w:t>
      </w:r>
      <w:r w:rsidR="00A46975">
        <w:rPr>
          <w:rFonts w:hint="cs"/>
          <w:rtl/>
        </w:rPr>
        <w:t xml:space="preserve">הנוכחיות </w:t>
      </w:r>
      <w:r w:rsidR="001B1D1C">
        <w:rPr>
          <w:rFonts w:hint="cs"/>
          <w:rtl/>
        </w:rPr>
        <w:t xml:space="preserve">הקיימות שמשלימות אותו כמינים, או אם היה יכול להניע את עצמו אל </w:t>
      </w:r>
      <w:r w:rsidR="00A46975">
        <w:rPr>
          <w:rFonts w:hint="cs"/>
          <w:rtl/>
        </w:rPr>
        <w:t>ק</w:t>
      </w:r>
      <w:r w:rsidR="008B6B8F">
        <w:rPr>
          <w:rFonts w:hint="cs"/>
          <w:rtl/>
        </w:rPr>
        <w:t>ניין</w:t>
      </w:r>
      <w:r w:rsidR="008B6B8F">
        <w:rPr>
          <w:rStyle w:val="FootnoteReference"/>
          <w:rtl/>
        </w:rPr>
        <w:footnoteReference w:id="267"/>
      </w:r>
      <w:r w:rsidR="001B1D1C">
        <w:rPr>
          <w:rFonts w:hint="cs"/>
          <w:rtl/>
        </w:rPr>
        <w:t xml:space="preserve"> הצורה, </w:t>
      </w:r>
      <w:r w:rsidR="00FE11D4">
        <w:rPr>
          <w:rFonts w:hint="cs"/>
          <w:rtl/>
        </w:rPr>
        <w:t xml:space="preserve">בדרך בה האבן </w:t>
      </w:r>
      <w:r w:rsidR="008B6B8F">
        <w:rPr>
          <w:rFonts w:hint="cs"/>
          <w:rtl/>
        </w:rPr>
        <w:t>קונה</w:t>
      </w:r>
      <w:r w:rsidR="00FE11D4">
        <w:rPr>
          <w:rFonts w:hint="cs"/>
          <w:rtl/>
        </w:rPr>
        <w:t xml:space="preserve"> את מקומה,</w:t>
      </w:r>
      <w:r w:rsidR="00942504">
        <w:rPr>
          <w:rFonts w:hint="cs"/>
          <w:rtl/>
        </w:rPr>
        <w:t xml:space="preserve"> לו היה לה כח מניע.</w:t>
      </w:r>
    </w:p>
    <w:p w14:paraId="26197AEF" w14:textId="467E8B17" w:rsidR="004F207D" w:rsidRDefault="00942504" w:rsidP="007B540D">
      <w:pPr>
        <w:rPr>
          <w:rtl/>
        </w:rPr>
      </w:pPr>
      <w:r>
        <w:rPr>
          <w:rFonts w:hint="cs"/>
          <w:rtl/>
        </w:rPr>
        <w:t>כעת, אין זה שההיולי נקי מכל הצורות</w:t>
      </w:r>
      <w:r w:rsidR="006E6D93">
        <w:rPr>
          <w:rStyle w:val="FootnoteReference"/>
          <w:rtl/>
        </w:rPr>
        <w:footnoteReference w:id="268"/>
      </w:r>
      <w:r>
        <w:rPr>
          <w:rFonts w:hint="cs"/>
          <w:rtl/>
        </w:rPr>
        <w:t xml:space="preserve">. גם, ההיולי אינו מסוג הדברים שנלאים מצורה </w:t>
      </w:r>
      <w:proofErr w:type="spellStart"/>
      <w:r w:rsidR="00BD4E04">
        <w:rPr>
          <w:rFonts w:hint="cs"/>
          <w:rtl/>
        </w:rPr>
        <w:t>מסויימת</w:t>
      </w:r>
      <w:proofErr w:type="spellEnd"/>
      <w:r w:rsidR="00BD4E04">
        <w:rPr>
          <w:rFonts w:hint="cs"/>
          <w:rtl/>
        </w:rPr>
        <w:t xml:space="preserve"> עד שיע</w:t>
      </w:r>
      <w:r w:rsidR="00900E7A">
        <w:rPr>
          <w:rFonts w:hint="cs"/>
          <w:rtl/>
        </w:rPr>
        <w:t>מ</w:t>
      </w:r>
      <w:r w:rsidR="00BD4E04">
        <w:rPr>
          <w:rFonts w:hint="cs"/>
          <w:rtl/>
        </w:rPr>
        <w:t>לו</w:t>
      </w:r>
      <w:r w:rsidR="00900E7A">
        <w:rPr>
          <w:rStyle w:val="FootnoteReference"/>
          <w:rtl/>
        </w:rPr>
        <w:footnoteReference w:id="269"/>
      </w:r>
      <w:r w:rsidR="00BD4E04">
        <w:rPr>
          <w:rFonts w:hint="cs"/>
          <w:rtl/>
        </w:rPr>
        <w:t xml:space="preserve"> ל</w:t>
      </w:r>
      <w:r w:rsidR="00900E7A">
        <w:rPr>
          <w:rFonts w:hint="cs"/>
          <w:rtl/>
        </w:rPr>
        <w:t>בטל ולדחות</w:t>
      </w:r>
      <w:r w:rsidR="00BD4E04">
        <w:rPr>
          <w:rFonts w:hint="cs"/>
          <w:rtl/>
        </w:rPr>
        <w:t xml:space="preserve"> אותה</w:t>
      </w:r>
      <w:r w:rsidR="00094CD6">
        <w:rPr>
          <w:rFonts w:hint="cs"/>
          <w:rtl/>
        </w:rPr>
        <w:t xml:space="preserve">. זהו משום שאם </w:t>
      </w:r>
      <w:r w:rsidR="00324F92" w:rsidRPr="00324F92">
        <w:rPr>
          <w:rtl/>
        </w:rPr>
        <w:t>הַלֵּאוּת</w:t>
      </w:r>
      <w:r w:rsidR="00094CD6">
        <w:rPr>
          <w:rFonts w:hint="cs"/>
          <w:rtl/>
        </w:rPr>
        <w:t xml:space="preserve"> היא התוצאה ההכרחית של עצם נוכחות הצורה, אז הצורה היא בהכרח לא </w:t>
      </w:r>
      <w:r w:rsidR="003C63E6">
        <w:rPr>
          <w:rFonts w:hint="cs"/>
          <w:rtl/>
        </w:rPr>
        <w:t>נחשקת</w:t>
      </w:r>
      <w:r w:rsidR="003C63E6">
        <w:rPr>
          <w:rStyle w:val="FootnoteReference"/>
          <w:rtl/>
        </w:rPr>
        <w:footnoteReference w:id="270"/>
      </w:r>
      <w:r w:rsidR="00094CD6">
        <w:rPr>
          <w:rFonts w:hint="cs"/>
          <w:rtl/>
        </w:rPr>
        <w:t>, ואם הלאות היא מחמת אורך הזמן, התשוקה לא תהיה בעצמותו של ההיולי אלא משהו שקרה באופן מקרי אחרי תקופת זמן</w:t>
      </w:r>
      <w:r w:rsidR="00257742">
        <w:rPr>
          <w:rStyle w:val="FootnoteReference"/>
          <w:rtl/>
        </w:rPr>
        <w:footnoteReference w:id="271"/>
      </w:r>
      <w:r w:rsidR="00094CD6">
        <w:rPr>
          <w:rFonts w:hint="cs"/>
          <w:rtl/>
        </w:rPr>
        <w:t>, ובמקרה כזה יש סיבה שמכריחה את זה.</w:t>
      </w:r>
    </w:p>
    <w:p w14:paraId="1A2A6757" w14:textId="1B556357" w:rsidR="0025326F" w:rsidRDefault="004F207D" w:rsidP="007B540D">
      <w:pPr>
        <w:rPr>
          <w:rtl/>
        </w:rPr>
      </w:pPr>
      <w:r>
        <w:rPr>
          <w:rFonts w:hint="cs"/>
          <w:rtl/>
        </w:rPr>
        <w:t xml:space="preserve">במידה שווה אי אפשר שההיולי נעשה לא מרוצה מהנוכחות של הצורה, והעדיף לרצות לאסוף הפכים אל תוך עצמו, מה שהוא </w:t>
      </w:r>
      <w:r w:rsidR="002C4DE8">
        <w:rPr>
          <w:rFonts w:hint="cs"/>
          <w:rtl/>
        </w:rPr>
        <w:t>אי אפשר</w:t>
      </w:r>
      <w:r w:rsidR="00162D78">
        <w:rPr>
          <w:rStyle w:val="FootnoteReference"/>
          <w:rtl/>
        </w:rPr>
        <w:footnoteReference w:id="272"/>
      </w:r>
      <w:r>
        <w:rPr>
          <w:rFonts w:hint="cs"/>
          <w:rtl/>
        </w:rPr>
        <w:t>.</w:t>
      </w:r>
    </w:p>
    <w:p w14:paraId="29AA7348" w14:textId="77777777" w:rsidR="00D01406" w:rsidRDefault="002C4DE8" w:rsidP="007B540D">
      <w:pPr>
        <w:rPr>
          <w:rtl/>
        </w:rPr>
      </w:pPr>
      <w:r>
        <w:rPr>
          <w:rFonts w:hint="cs"/>
          <w:rtl/>
        </w:rPr>
        <w:t>אי האפשרות</w:t>
      </w:r>
      <w:r w:rsidR="0025326F">
        <w:rPr>
          <w:rFonts w:hint="cs"/>
          <w:rtl/>
        </w:rPr>
        <w:t xml:space="preserve"> האמיתית</w:t>
      </w:r>
      <w:r>
        <w:rPr>
          <w:rFonts w:hint="cs"/>
          <w:rtl/>
        </w:rPr>
        <w:t>, על כל פנים, נראה שהיא ההנחה שה</w:t>
      </w:r>
      <w:r w:rsidR="00D748BB">
        <w:rPr>
          <w:rFonts w:hint="cs"/>
          <w:rtl/>
        </w:rPr>
        <w:t>היולי</w:t>
      </w:r>
      <w:r>
        <w:rPr>
          <w:rFonts w:hint="cs"/>
          <w:rtl/>
        </w:rPr>
        <w:t xml:space="preserve"> משתוקק באופן שבו הנפש משתוקקת. </w:t>
      </w:r>
    </w:p>
    <w:p w14:paraId="5EC95C1C" w14:textId="77777777" w:rsidR="00D73268" w:rsidRDefault="00324F92" w:rsidP="00312414">
      <w:pPr>
        <w:rPr>
          <w:rtl/>
        </w:rPr>
      </w:pPr>
      <w:r>
        <w:rPr>
          <w:rFonts w:hint="cs"/>
          <w:rtl/>
        </w:rPr>
        <w:t>התשוקה</w:t>
      </w:r>
      <w:r w:rsidR="00D748BB">
        <w:rPr>
          <w:rFonts w:hint="cs"/>
          <w:rtl/>
        </w:rPr>
        <w:t xml:space="preserve"> הטבעית</w:t>
      </w:r>
      <w:r>
        <w:rPr>
          <w:rFonts w:hint="cs"/>
          <w:rtl/>
        </w:rPr>
        <w:t xml:space="preserve"> המכריחה</w:t>
      </w:r>
      <w:r w:rsidR="00D748BB">
        <w:rPr>
          <w:rStyle w:val="FootnoteReference"/>
          <w:rtl/>
        </w:rPr>
        <w:footnoteReference w:id="273"/>
      </w:r>
      <w:r w:rsidR="00D748BB">
        <w:rPr>
          <w:rFonts w:hint="cs"/>
          <w:rtl/>
        </w:rPr>
        <w:t>, לעומת זאת,</w:t>
      </w:r>
      <w:r w:rsidR="00631ECA">
        <w:rPr>
          <w:rFonts w:hint="cs"/>
          <w:rtl/>
        </w:rPr>
        <w:t xml:space="preserve"> היא רק לקצה אחד של השלמת הטבע</w:t>
      </w:r>
      <w:r w:rsidR="00D01406">
        <w:rPr>
          <w:rStyle w:val="FootnoteReference"/>
          <w:rtl/>
        </w:rPr>
        <w:footnoteReference w:id="274"/>
      </w:r>
      <w:r w:rsidR="00631ECA">
        <w:rPr>
          <w:rFonts w:hint="cs"/>
          <w:rtl/>
        </w:rPr>
        <w:t>.</w:t>
      </w:r>
      <w:r w:rsidR="00D01406">
        <w:rPr>
          <w:rFonts w:hint="cs"/>
          <w:rtl/>
        </w:rPr>
        <w:t xml:space="preserve"> כעת, קצוות טבעיים הם לא נמנעים, ואף על פי כן, איך ההיולי יכול להיות </w:t>
      </w:r>
      <w:r w:rsidR="00365062" w:rsidRPr="00365062">
        <w:rPr>
          <w:rtl/>
        </w:rPr>
        <w:t>מוּנָע</w:t>
      </w:r>
      <w:r w:rsidR="00365062">
        <w:rPr>
          <w:rFonts w:hint="cs"/>
          <w:rtl/>
        </w:rPr>
        <w:t xml:space="preserve"> </w:t>
      </w:r>
      <w:r w:rsidR="00D01406">
        <w:rPr>
          <w:rFonts w:hint="cs"/>
          <w:rtl/>
        </w:rPr>
        <w:t xml:space="preserve">אל הצורה </w:t>
      </w:r>
      <w:r w:rsidR="004C6D0D">
        <w:rPr>
          <w:rFonts w:hint="cs"/>
          <w:rtl/>
        </w:rPr>
        <w:t>כשנטייתו אל הצורה מתעוררת רק מסיבה כלשהי שמבטלת את הצורה הקיימת</w:t>
      </w:r>
      <w:r w:rsidR="00D70FD6">
        <w:rPr>
          <w:rStyle w:val="FootnoteReference"/>
          <w:rtl/>
        </w:rPr>
        <w:footnoteReference w:id="275"/>
      </w:r>
      <w:r w:rsidR="004C6D0D">
        <w:rPr>
          <w:rFonts w:hint="cs"/>
          <w:rtl/>
        </w:rPr>
        <w:t>, ולא מחמת תנועתו שלו</w:t>
      </w:r>
      <w:r w:rsidR="00312414">
        <w:rPr>
          <w:rFonts w:hint="cs"/>
          <w:rtl/>
        </w:rPr>
        <w:t>?</w:t>
      </w:r>
      <w:r w:rsidR="00365062">
        <w:rPr>
          <w:rFonts w:hint="cs"/>
          <w:rtl/>
        </w:rPr>
        <w:t xml:space="preserve"> </w:t>
      </w:r>
    </w:p>
    <w:p w14:paraId="21A9B12C" w14:textId="650EB243" w:rsidR="00D837A9" w:rsidRDefault="00365062" w:rsidP="00AF63E4">
      <w:pPr>
        <w:rPr>
          <w:rtl/>
        </w:rPr>
      </w:pPr>
      <w:r>
        <w:rPr>
          <w:rFonts w:hint="cs"/>
          <w:rtl/>
        </w:rPr>
        <w:t xml:space="preserve">האם </w:t>
      </w:r>
      <w:r w:rsidR="00312414">
        <w:rPr>
          <w:rFonts w:hint="cs"/>
          <w:rtl/>
        </w:rPr>
        <w:t>ה</w:t>
      </w:r>
      <w:r w:rsidR="00E74D36">
        <w:rPr>
          <w:rFonts w:hint="cs"/>
          <w:rtl/>
        </w:rPr>
        <w:t>"</w:t>
      </w:r>
      <w:r w:rsidR="00312414">
        <w:rPr>
          <w:rFonts w:hint="cs"/>
          <w:rtl/>
        </w:rPr>
        <w:t>הולכים</w:t>
      </w:r>
      <w:r w:rsidR="00E74D36">
        <w:rPr>
          <w:rFonts w:hint="cs"/>
          <w:rtl/>
        </w:rPr>
        <w:t>"</w:t>
      </w:r>
      <w:r w:rsidR="00006E9C">
        <w:rPr>
          <w:rStyle w:val="FootnoteReference"/>
          <w:rtl/>
        </w:rPr>
        <w:footnoteReference w:id="276"/>
      </w:r>
      <w:r w:rsidR="00312414">
        <w:rPr>
          <w:rFonts w:hint="cs"/>
          <w:rtl/>
        </w:rPr>
        <w:t xml:space="preserve"> לא עשו את התשוקה הזו לתשוקה אל הצורות שגורמת להיולי להתעצם</w:t>
      </w:r>
      <w:r w:rsidR="00006E9C">
        <w:rPr>
          <w:rStyle w:val="FootnoteReference"/>
          <w:rtl/>
        </w:rPr>
        <w:footnoteReference w:id="277"/>
      </w:r>
      <w:r w:rsidR="00312414">
        <w:rPr>
          <w:rFonts w:hint="cs"/>
          <w:rtl/>
        </w:rPr>
        <w:t>, שהן השלמויות הראשונות</w:t>
      </w:r>
      <w:r w:rsidR="00696471">
        <w:rPr>
          <w:rStyle w:val="FootnoteReference"/>
          <w:rtl/>
        </w:rPr>
        <w:footnoteReference w:id="278"/>
      </w:r>
      <w:r w:rsidR="00312414">
        <w:rPr>
          <w:rFonts w:hint="cs"/>
          <w:rtl/>
        </w:rPr>
        <w:t xml:space="preserve">, אלא עשו זאת תשוקה לשלמויות שהן מאפיינים משניים? היה זה קשה דיו להבין </w:t>
      </w:r>
      <w:r w:rsidR="00D73268">
        <w:rPr>
          <w:rFonts w:hint="cs"/>
          <w:rtl/>
        </w:rPr>
        <w:t>את התשוקה הזו, אבל איך אפשר בכלל להבין כשעשו את התשוקה הזו לתשוקה אל הצורות שגורמות להיולי להתעצם</w:t>
      </w:r>
      <w:r w:rsidR="0090658C">
        <w:rPr>
          <w:rStyle w:val="FootnoteReference"/>
          <w:rtl/>
        </w:rPr>
        <w:footnoteReference w:id="279"/>
      </w:r>
      <w:r w:rsidR="00D73268">
        <w:rPr>
          <w:rFonts w:hint="cs"/>
          <w:rtl/>
        </w:rPr>
        <w:t>?</w:t>
      </w:r>
    </w:p>
    <w:p w14:paraId="70969171" w14:textId="77777777" w:rsidR="00D837A9" w:rsidRDefault="00D837A9" w:rsidP="003266A1">
      <w:pPr>
        <w:pStyle w:val="Heading4"/>
        <w:rPr>
          <w:rtl/>
        </w:rPr>
      </w:pPr>
      <w:bookmarkStart w:id="166" w:name="_Toc119092627"/>
      <w:r>
        <w:rPr>
          <w:rFonts w:hint="cs"/>
          <w:rtl/>
        </w:rPr>
        <w:t>1.2.23</w:t>
      </w:r>
      <w:bookmarkEnd w:id="166"/>
    </w:p>
    <w:p w14:paraId="07465802" w14:textId="05C4CAB1" w:rsidR="00F205AC" w:rsidRDefault="00D837A9" w:rsidP="00312414">
      <w:pPr>
        <w:rPr>
          <w:rtl/>
        </w:rPr>
      </w:pPr>
      <w:r>
        <w:rPr>
          <w:rFonts w:hint="cs"/>
          <w:rtl/>
        </w:rPr>
        <w:t>מסיבות אלה קשה לי להבין את הדיבור הזה, שהוא דומה לדיבור של הס</w:t>
      </w:r>
      <w:r w:rsidR="005844F7" w:rsidRPr="005844F7">
        <w:rPr>
          <w:rtl/>
        </w:rPr>
        <w:t>וּ</w:t>
      </w:r>
      <w:r>
        <w:rPr>
          <w:rFonts w:hint="cs"/>
          <w:rtl/>
        </w:rPr>
        <w:t>פי</w:t>
      </w:r>
      <w:r w:rsidR="005844F7" w:rsidRPr="005844F7">
        <w:rPr>
          <w:rtl/>
        </w:rPr>
        <w:t>וּ</w:t>
      </w:r>
      <w:r>
        <w:rPr>
          <w:rFonts w:hint="cs"/>
          <w:rtl/>
        </w:rPr>
        <w:t>ת</w:t>
      </w:r>
      <w:r w:rsidR="00045F19">
        <w:rPr>
          <w:rtl/>
        </w:rPr>
        <w:fldChar w:fldCharType="begin"/>
      </w:r>
      <w:r w:rsidR="00045F19">
        <w:instrText xml:space="preserve"> XE "</w:instrText>
      </w:r>
      <w:r w:rsidR="00045F19" w:rsidRPr="00233FE9">
        <w:rPr>
          <w:rFonts w:hint="cs"/>
          <w:rtl/>
        </w:rPr>
        <w:instrText>ס</w:instrText>
      </w:r>
      <w:r w:rsidR="00045F19" w:rsidRPr="00233FE9">
        <w:rPr>
          <w:rtl/>
        </w:rPr>
        <w:instrText>וּ</w:instrText>
      </w:r>
      <w:r w:rsidR="00045F19" w:rsidRPr="00233FE9">
        <w:rPr>
          <w:rFonts w:hint="cs"/>
          <w:rtl/>
        </w:rPr>
        <w:instrText>פי</w:instrText>
      </w:r>
      <w:r w:rsidR="00045F19" w:rsidRPr="00233FE9">
        <w:rPr>
          <w:rtl/>
        </w:rPr>
        <w:instrText>וּ</w:instrText>
      </w:r>
      <w:r w:rsidR="00045F19" w:rsidRPr="00233FE9">
        <w:rPr>
          <w:rFonts w:hint="cs"/>
          <w:rtl/>
        </w:rPr>
        <w:instrText>ת</w:instrText>
      </w:r>
      <w:r w:rsidR="00045F19">
        <w:instrText xml:space="preserve">" </w:instrText>
      </w:r>
      <w:r w:rsidR="00045F19">
        <w:rPr>
          <w:rtl/>
        </w:rPr>
        <w:fldChar w:fldCharType="end"/>
      </w:r>
      <w:r>
        <w:rPr>
          <w:rStyle w:val="FootnoteReference"/>
          <w:rtl/>
        </w:rPr>
        <w:footnoteReference w:id="280"/>
      </w:r>
      <w:r w:rsidR="00C82BCE">
        <w:rPr>
          <w:rFonts w:hint="cs"/>
          <w:rtl/>
        </w:rPr>
        <w:t xml:space="preserve">, יותר מאשר לדיבור של הפילוסופים. </w:t>
      </w:r>
      <w:r w:rsidR="00F205AC">
        <w:rPr>
          <w:rFonts w:hint="cs"/>
          <w:rtl/>
        </w:rPr>
        <w:t xml:space="preserve">אולי אדם אחר יבין עניין זה לאמיתו, כך שיש לפנות אליו בעניין זה. </w:t>
      </w:r>
    </w:p>
    <w:p w14:paraId="6D0FDA28" w14:textId="1431117E" w:rsidR="00684AF1" w:rsidRDefault="00F205AC" w:rsidP="00684AF1">
      <w:pPr>
        <w:rPr>
          <w:rtl/>
        </w:rPr>
      </w:pPr>
      <w:r>
        <w:rPr>
          <w:rFonts w:hint="cs"/>
          <w:rtl/>
        </w:rPr>
        <w:t>אם ההיולי יהיה מוחלף</w:t>
      </w:r>
      <w:r w:rsidR="00555EF5">
        <w:rPr>
          <w:rFonts w:hint="cs"/>
          <w:rtl/>
        </w:rPr>
        <w:t xml:space="preserve"> לגמרי</w:t>
      </w:r>
      <w:r>
        <w:rPr>
          <w:rFonts w:hint="cs"/>
          <w:rtl/>
        </w:rPr>
        <w:t xml:space="preserve"> </w:t>
      </w:r>
      <w:r w:rsidR="00555EF5">
        <w:rPr>
          <w:rFonts w:hint="cs"/>
          <w:rtl/>
        </w:rPr>
        <w:t>בהיולי אחר שהוא מושלם על ידי צורה טבעית, אז זה, מהצורה הטבעית ששייכת לו, תהיה לו נטייה כלפי השלמויות של הצורה הזו, כמו למשל תנועת העפר כלפי מטה ותנועת האש כלפי מעלה, ואז יהיה לדיבור זה מובן כלשהו, גם אם ייחס את התשוקה הזו לצורה הפועלת</w:t>
      </w:r>
      <w:r w:rsidR="00EA7C68">
        <w:rPr>
          <w:rStyle w:val="FootnoteReference"/>
          <w:rtl/>
        </w:rPr>
        <w:footnoteReference w:id="281"/>
      </w:r>
      <w:r w:rsidR="00555EF5">
        <w:rPr>
          <w:rFonts w:hint="cs"/>
          <w:rtl/>
        </w:rPr>
        <w:t>. במובן המוחלט של ההיולי, על כל פנים, איני יכול להבין זאת</w:t>
      </w:r>
      <w:r w:rsidR="00A81B0C">
        <w:rPr>
          <w:rStyle w:val="FootnoteReference"/>
          <w:rtl/>
        </w:rPr>
        <w:footnoteReference w:id="282"/>
      </w:r>
      <w:r w:rsidR="00555EF5">
        <w:rPr>
          <w:rFonts w:hint="cs"/>
          <w:rtl/>
        </w:rPr>
        <w:t>.</w:t>
      </w:r>
    </w:p>
    <w:p w14:paraId="3978C40C" w14:textId="561F1661" w:rsidR="00684AF1" w:rsidRDefault="00684AF1" w:rsidP="00684AF1">
      <w:pPr>
        <w:pStyle w:val="Heading1"/>
        <w:rPr>
          <w:rtl/>
        </w:rPr>
      </w:pPr>
      <w:bookmarkStart w:id="170" w:name="_Toc119092628"/>
      <w:r>
        <w:rPr>
          <w:rtl/>
        </w:rPr>
        <w:t xml:space="preserve">פרק </w:t>
      </w:r>
      <w:r>
        <w:rPr>
          <w:rFonts w:hint="cs"/>
          <w:rtl/>
        </w:rPr>
        <w:t>ג</w:t>
      </w:r>
      <w:bookmarkEnd w:id="170"/>
    </w:p>
    <w:p w14:paraId="26A4CB43" w14:textId="4A2EA453" w:rsidR="00684AF1" w:rsidRDefault="00684AF1" w:rsidP="00684AF1">
      <w:pPr>
        <w:pStyle w:val="Heading2"/>
        <w:rPr>
          <w:rtl/>
        </w:rPr>
      </w:pPr>
      <w:bookmarkStart w:id="171" w:name="_Toc119092629"/>
      <w:r>
        <w:rPr>
          <w:rFonts w:hint="cs"/>
          <w:rtl/>
        </w:rPr>
        <w:t xml:space="preserve">באיזה אופן התחלות אלה הן </w:t>
      </w:r>
      <w:r w:rsidR="009E1DE4">
        <w:rPr>
          <w:rFonts w:hint="cs"/>
          <w:rtl/>
        </w:rPr>
        <w:t>משותפות</w:t>
      </w:r>
      <w:r w:rsidR="009E1DE4">
        <w:rPr>
          <w:rStyle w:val="FootnoteReference"/>
          <w:rtl/>
        </w:rPr>
        <w:footnoteReference w:id="283"/>
      </w:r>
      <w:r>
        <w:rPr>
          <w:rFonts w:hint="cs"/>
          <w:rtl/>
        </w:rPr>
        <w:t>.</w:t>
      </w:r>
      <w:bookmarkEnd w:id="171"/>
    </w:p>
    <w:p w14:paraId="2BF6926D" w14:textId="77777777" w:rsidR="00684AF1" w:rsidRDefault="00684AF1" w:rsidP="003266A1">
      <w:pPr>
        <w:pStyle w:val="Heading4"/>
        <w:rPr>
          <w:rtl/>
        </w:rPr>
      </w:pPr>
      <w:bookmarkStart w:id="172" w:name="_Toc119092630"/>
      <w:r>
        <w:rPr>
          <w:rFonts w:hint="cs"/>
          <w:rtl/>
        </w:rPr>
        <w:t>1.3.1</w:t>
      </w:r>
      <w:bookmarkEnd w:id="172"/>
    </w:p>
    <w:p w14:paraId="74D5BA0C" w14:textId="2E011670" w:rsidR="00684AF1" w:rsidRDefault="00684AF1" w:rsidP="00684AF1">
      <w:pPr>
        <w:rPr>
          <w:rtl/>
        </w:rPr>
      </w:pPr>
      <w:r>
        <w:rPr>
          <w:rFonts w:hint="cs"/>
          <w:rtl/>
        </w:rPr>
        <w:t>מאחר שחקירתנו היא על ההתחלות ה</w:t>
      </w:r>
      <w:r w:rsidR="009E1DE4">
        <w:rPr>
          <w:rFonts w:hint="cs"/>
          <w:rtl/>
        </w:rPr>
        <w:t>משותפ</w:t>
      </w:r>
      <w:r>
        <w:rPr>
          <w:rFonts w:hint="cs"/>
          <w:rtl/>
        </w:rPr>
        <w:t xml:space="preserve">ות בלבד, </w:t>
      </w:r>
      <w:r w:rsidR="00F654CB">
        <w:rPr>
          <w:rFonts w:hint="cs"/>
          <w:rtl/>
        </w:rPr>
        <w:t xml:space="preserve">מוטל </w:t>
      </w:r>
      <w:r w:rsidR="00EB257E">
        <w:rPr>
          <w:rFonts w:hint="cs"/>
          <w:rtl/>
        </w:rPr>
        <w:t xml:space="preserve">עלינו לחקור </w:t>
      </w:r>
      <w:r w:rsidR="00F654CB">
        <w:rPr>
          <w:rFonts w:hint="cs"/>
          <w:rtl/>
        </w:rPr>
        <w:t>בשלושת ההתחלות המשותפות האלה</w:t>
      </w:r>
      <w:r w:rsidR="00F654CB">
        <w:rPr>
          <w:rStyle w:val="FootnoteReference"/>
          <w:rtl/>
        </w:rPr>
        <w:footnoteReference w:id="284"/>
      </w:r>
      <w:r w:rsidR="00F654CB">
        <w:rPr>
          <w:rFonts w:hint="cs"/>
          <w:rtl/>
        </w:rPr>
        <w:t>, על איזו דרך</w:t>
      </w:r>
      <w:r w:rsidR="00EB257E">
        <w:rPr>
          <w:rFonts w:hint="cs"/>
          <w:rtl/>
        </w:rPr>
        <w:t xml:space="preserve"> משתי הדרכים הנזכרות לעיל</w:t>
      </w:r>
      <w:r w:rsidR="00536703">
        <w:rPr>
          <w:rStyle w:val="FootnoteReference"/>
          <w:rtl/>
        </w:rPr>
        <w:footnoteReference w:id="285"/>
      </w:r>
      <w:r w:rsidR="00F654CB">
        <w:rPr>
          <w:rFonts w:hint="cs"/>
          <w:rtl/>
        </w:rPr>
        <w:t xml:space="preserve"> </w:t>
      </w:r>
      <w:r w:rsidR="00EB257E">
        <w:rPr>
          <w:rFonts w:hint="cs"/>
          <w:rtl/>
        </w:rPr>
        <w:t>הן משותפות.</w:t>
      </w:r>
    </w:p>
    <w:p w14:paraId="48CE0C7F" w14:textId="4EBA6E96" w:rsidR="00D7522E" w:rsidRDefault="00090C5E" w:rsidP="003266A1">
      <w:pPr>
        <w:pStyle w:val="Heading4"/>
        <w:rPr>
          <w:rtl/>
        </w:rPr>
      </w:pPr>
      <w:bookmarkStart w:id="173" w:name="_Toc119092631"/>
      <w:r>
        <w:rPr>
          <w:rFonts w:hint="cs"/>
          <w:rtl/>
        </w:rPr>
        <w:t>1.3.2</w:t>
      </w:r>
      <w:bookmarkEnd w:id="173"/>
    </w:p>
    <w:p w14:paraId="61315F9C" w14:textId="0C0DC68E" w:rsidR="00090C5E" w:rsidRDefault="00090C5E" w:rsidP="00312414">
      <w:pPr>
        <w:rPr>
          <w:rtl/>
        </w:rPr>
      </w:pPr>
      <w:r>
        <w:rPr>
          <w:rFonts w:hint="cs"/>
          <w:rtl/>
        </w:rPr>
        <w:t xml:space="preserve">יתברר לנו בהמשך שקצת מהגופים </w:t>
      </w:r>
      <w:r w:rsidR="00BC3154">
        <w:rPr>
          <w:rFonts w:hint="cs"/>
          <w:rtl/>
        </w:rPr>
        <w:t>עלולים</w:t>
      </w:r>
      <w:r w:rsidR="0004694E">
        <w:rPr>
          <w:rStyle w:val="FootnoteReference"/>
          <w:rtl/>
        </w:rPr>
        <w:footnoteReference w:id="286"/>
      </w:r>
      <w:r>
        <w:rPr>
          <w:rFonts w:hint="cs"/>
          <w:rtl/>
        </w:rPr>
        <w:t xml:space="preserve"> </w:t>
      </w:r>
      <w:r w:rsidR="00BC3154">
        <w:rPr>
          <w:rFonts w:hint="cs"/>
          <w:rtl/>
        </w:rPr>
        <w:t>ל</w:t>
      </w:r>
      <w:r>
        <w:rPr>
          <w:rFonts w:hint="cs"/>
          <w:rtl/>
        </w:rPr>
        <w:t>התהוות והפסד</w:t>
      </w:r>
      <w:r w:rsidR="0004694E">
        <w:rPr>
          <w:rStyle w:val="FootnoteReference"/>
          <w:rtl/>
        </w:rPr>
        <w:footnoteReference w:id="287"/>
      </w:r>
      <w:r>
        <w:rPr>
          <w:rFonts w:hint="cs"/>
          <w:rtl/>
        </w:rPr>
        <w:t>, כלומר אלה ש</w:t>
      </w:r>
      <w:r w:rsidR="0088154D">
        <w:rPr>
          <w:rFonts w:hint="cs"/>
          <w:rtl/>
        </w:rPr>
        <w:t>ההיולי</w:t>
      </w:r>
      <w:r>
        <w:rPr>
          <w:rFonts w:hint="cs"/>
          <w:rtl/>
        </w:rPr>
        <w:t xml:space="preserve"> שלהם מקבל צורה אחת ומאבד אחרת</w:t>
      </w:r>
      <w:r w:rsidR="0088154D">
        <w:rPr>
          <w:rStyle w:val="FootnoteReference"/>
          <w:rtl/>
        </w:rPr>
        <w:footnoteReference w:id="288"/>
      </w:r>
      <w:r>
        <w:rPr>
          <w:rFonts w:hint="cs"/>
          <w:rtl/>
        </w:rPr>
        <w:t xml:space="preserve">, </w:t>
      </w:r>
      <w:r w:rsidR="0004694E">
        <w:rPr>
          <w:rFonts w:hint="cs"/>
          <w:rtl/>
        </w:rPr>
        <w:t xml:space="preserve">בעוד שאחרים אינם עלולים להתהוות והפסד </w:t>
      </w:r>
      <w:r w:rsidR="001C2647">
        <w:rPr>
          <w:rFonts w:hint="cs"/>
          <w:rtl/>
        </w:rPr>
        <w:t>אלא קיימים מכח בריאה נצחית</w:t>
      </w:r>
      <w:r w:rsidR="00B57810">
        <w:rPr>
          <w:rStyle w:val="FootnoteReference"/>
          <w:rtl/>
        </w:rPr>
        <w:footnoteReference w:id="289"/>
      </w:r>
      <w:r w:rsidR="001C2647">
        <w:rPr>
          <w:rFonts w:hint="cs"/>
          <w:rtl/>
        </w:rPr>
        <w:t>.</w:t>
      </w:r>
    </w:p>
    <w:p w14:paraId="0786F6ED" w14:textId="3AE53499" w:rsidR="00DA659B" w:rsidRDefault="00DA659B" w:rsidP="00312414">
      <w:pPr>
        <w:rPr>
          <w:rtl/>
        </w:rPr>
      </w:pPr>
      <w:r>
        <w:rPr>
          <w:rFonts w:hint="cs"/>
          <w:rtl/>
        </w:rPr>
        <w:t xml:space="preserve">אם כך הוא, אז אין היולי משותף לפי הדרך הראשונה מבין שתי הדרכים, מאחר שאין </w:t>
      </w:r>
      <w:r w:rsidR="00A5145A">
        <w:rPr>
          <w:rFonts w:hint="cs"/>
          <w:rtl/>
        </w:rPr>
        <w:t>היולי</w:t>
      </w:r>
      <w:r>
        <w:rPr>
          <w:rFonts w:hint="cs"/>
          <w:rtl/>
        </w:rPr>
        <w:t xml:space="preserve"> אחד שהוא פעמים עלול לצורה שעוברת התהוות והפסד</w:t>
      </w:r>
      <w:r w:rsidR="00E441D1">
        <w:rPr>
          <w:rStyle w:val="FootnoteReference"/>
          <w:rtl/>
        </w:rPr>
        <w:footnoteReference w:id="290"/>
      </w:r>
      <w:r>
        <w:rPr>
          <w:rFonts w:hint="cs"/>
          <w:rtl/>
        </w:rPr>
        <w:t>, ופעמים אחרות עלול לצורה ש</w:t>
      </w:r>
      <w:r w:rsidR="00A5145A">
        <w:rPr>
          <w:rFonts w:hint="cs"/>
          <w:rtl/>
        </w:rPr>
        <w:t xml:space="preserve">בטבעה אינה נפסדת </w:t>
      </w:r>
      <w:r>
        <w:rPr>
          <w:rFonts w:hint="cs"/>
          <w:rtl/>
        </w:rPr>
        <w:t xml:space="preserve">ואין לה התהוות </w:t>
      </w:r>
      <w:r w:rsidR="00A5145A">
        <w:rPr>
          <w:rFonts w:hint="cs"/>
          <w:rtl/>
        </w:rPr>
        <w:t>היול</w:t>
      </w:r>
      <w:r>
        <w:rPr>
          <w:rFonts w:hint="cs"/>
          <w:rtl/>
        </w:rPr>
        <w:t>ית</w:t>
      </w:r>
      <w:r w:rsidR="00E441D1">
        <w:rPr>
          <w:rStyle w:val="FootnoteReference"/>
          <w:rtl/>
        </w:rPr>
        <w:footnoteReference w:id="291"/>
      </w:r>
      <w:r w:rsidR="00863407">
        <w:rPr>
          <w:rFonts w:hint="cs"/>
          <w:rtl/>
        </w:rPr>
        <w:t>,</w:t>
      </w:r>
      <w:r w:rsidR="00A5145A">
        <w:rPr>
          <w:rFonts w:hint="cs"/>
          <w:rtl/>
        </w:rPr>
        <w:t xml:space="preserve"> וזה אי אפשר</w:t>
      </w:r>
      <w:r w:rsidR="00A26E89">
        <w:rPr>
          <w:rStyle w:val="FootnoteReference"/>
          <w:rtl/>
        </w:rPr>
        <w:footnoteReference w:id="292"/>
      </w:r>
      <w:r w:rsidR="00620F41">
        <w:rPr>
          <w:rFonts w:hint="cs"/>
          <w:rtl/>
        </w:rPr>
        <w:t>.</w:t>
      </w:r>
      <w:r>
        <w:rPr>
          <w:rFonts w:hint="cs"/>
          <w:rtl/>
        </w:rPr>
        <w:t xml:space="preserve"> </w:t>
      </w:r>
    </w:p>
    <w:p w14:paraId="3B6E263C" w14:textId="68365F96" w:rsidR="00154219" w:rsidRDefault="002F5BBD" w:rsidP="000635D8">
      <w:pPr>
        <w:rPr>
          <w:rtl/>
        </w:rPr>
      </w:pPr>
      <w:r>
        <w:rPr>
          <w:rFonts w:hint="cs"/>
          <w:rtl/>
        </w:rPr>
        <w:t>אבל</w:t>
      </w:r>
      <w:r w:rsidR="007D3296">
        <w:rPr>
          <w:rFonts w:hint="cs"/>
          <w:rtl/>
        </w:rPr>
        <w:t xml:space="preserve"> </w:t>
      </w:r>
      <w:r>
        <w:rPr>
          <w:rFonts w:hint="cs"/>
          <w:rtl/>
        </w:rPr>
        <w:t xml:space="preserve">אולי </w:t>
      </w:r>
      <w:r w:rsidR="00573AB5">
        <w:rPr>
          <w:rFonts w:hint="cs"/>
          <w:rtl/>
        </w:rPr>
        <w:t xml:space="preserve">אפשר </w:t>
      </w:r>
      <w:r>
        <w:rPr>
          <w:rFonts w:hint="cs"/>
          <w:rtl/>
        </w:rPr>
        <w:t xml:space="preserve">שיתקיים היולי משותף </w:t>
      </w:r>
      <w:r w:rsidR="000635D8">
        <w:rPr>
          <w:rFonts w:hint="cs"/>
          <w:rtl/>
        </w:rPr>
        <w:t xml:space="preserve">כמו הגופים המתהווים והנפסדים, שמתהווים קצתם מקצתם, ונפסדים קצתם אל קצתם, </w:t>
      </w:r>
      <w:r w:rsidR="00FD55C0">
        <w:rPr>
          <w:rFonts w:hint="cs"/>
          <w:rtl/>
        </w:rPr>
        <w:t xml:space="preserve">כמו שנראה מהמקרה של </w:t>
      </w:r>
      <w:r w:rsidR="00A81688">
        <w:rPr>
          <w:rFonts w:hint="cs"/>
          <w:rtl/>
        </w:rPr>
        <w:t>ה</w:t>
      </w:r>
      <w:r w:rsidR="00FD55C0">
        <w:rPr>
          <w:rFonts w:hint="cs"/>
          <w:rtl/>
        </w:rPr>
        <w:t>ארבע</w:t>
      </w:r>
      <w:r w:rsidR="00A81688">
        <w:rPr>
          <w:rFonts w:hint="cs"/>
          <w:rtl/>
        </w:rPr>
        <w:t>ה הנקראים בצדק יסודות</w:t>
      </w:r>
      <w:r w:rsidR="009876CB">
        <w:rPr>
          <w:rStyle w:val="FootnoteReference"/>
          <w:rtl/>
        </w:rPr>
        <w:footnoteReference w:id="293"/>
      </w:r>
      <w:r w:rsidR="009876CB">
        <w:rPr>
          <w:rFonts w:hint="cs"/>
          <w:rtl/>
        </w:rPr>
        <w:t>.</w:t>
      </w:r>
    </w:p>
    <w:p w14:paraId="32C9F753" w14:textId="663781BD" w:rsidR="00F24ED6" w:rsidRDefault="00BF6BE5" w:rsidP="00780AA3">
      <w:pPr>
        <w:rPr>
          <w:rtl/>
        </w:rPr>
      </w:pPr>
      <w:r>
        <w:rPr>
          <w:rFonts w:hint="cs"/>
          <w:rtl/>
        </w:rPr>
        <w:t>האלוהים</w:t>
      </w:r>
      <w:r w:rsidR="00780AA3">
        <w:rPr>
          <w:rFonts w:hint="cs"/>
          <w:rtl/>
        </w:rPr>
        <w:t>,</w:t>
      </w:r>
      <w:r w:rsidR="00F24ED6">
        <w:rPr>
          <w:rFonts w:hint="cs"/>
          <w:rtl/>
        </w:rPr>
        <w:t xml:space="preserve"> </w:t>
      </w:r>
      <w:r>
        <w:rPr>
          <w:rFonts w:hint="cs"/>
          <w:rtl/>
        </w:rPr>
        <w:t>בכל אופן</w:t>
      </w:r>
      <w:r w:rsidR="00F24ED6">
        <w:rPr>
          <w:rFonts w:hint="cs"/>
          <w:rtl/>
        </w:rPr>
        <w:t xml:space="preserve"> </w:t>
      </w:r>
      <w:r>
        <w:rPr>
          <w:rFonts w:hint="cs"/>
          <w:rtl/>
        </w:rPr>
        <w:t>נעשה את טבע הנושא של הצורה שאינה נפסדת</w:t>
      </w:r>
      <w:r>
        <w:rPr>
          <w:rStyle w:val="FootnoteReference"/>
          <w:rtl/>
        </w:rPr>
        <w:footnoteReference w:id="294"/>
      </w:r>
      <w:r>
        <w:rPr>
          <w:rFonts w:hint="cs"/>
          <w:rtl/>
        </w:rPr>
        <w:t xml:space="preserve"> ו</w:t>
      </w:r>
      <w:r w:rsidR="00E1277A">
        <w:rPr>
          <w:rFonts w:hint="cs"/>
          <w:rtl/>
        </w:rPr>
        <w:t xml:space="preserve">את </w:t>
      </w:r>
      <w:r>
        <w:rPr>
          <w:rFonts w:hint="cs"/>
          <w:rtl/>
        </w:rPr>
        <w:t>הנושא של טבע הצורה הנפסדת לטבע אחד</w:t>
      </w:r>
      <w:r w:rsidR="00E1277A">
        <w:rPr>
          <w:rFonts w:hint="cs"/>
          <w:rtl/>
        </w:rPr>
        <w:t>,</w:t>
      </w:r>
      <w:r>
        <w:rPr>
          <w:rFonts w:hint="cs"/>
          <w:rtl/>
        </w:rPr>
        <w:t xml:space="preserve"> שבפני עצמו </w:t>
      </w:r>
      <w:r w:rsidR="00AA0ACF">
        <w:rPr>
          <w:rFonts w:hint="cs"/>
          <w:rtl/>
        </w:rPr>
        <w:t xml:space="preserve">הוא </w:t>
      </w:r>
      <w:r w:rsidR="00E1277A">
        <w:rPr>
          <w:rFonts w:hint="cs"/>
          <w:rtl/>
        </w:rPr>
        <w:t>עומד</w:t>
      </w:r>
      <w:r w:rsidR="008F778F">
        <w:rPr>
          <w:rFonts w:hint="cs"/>
          <w:rtl/>
        </w:rPr>
        <w:t xml:space="preserve"> ל</w:t>
      </w:r>
      <w:r>
        <w:rPr>
          <w:rFonts w:hint="cs"/>
          <w:rtl/>
        </w:rPr>
        <w:t>קבל את כל הצורות</w:t>
      </w:r>
      <w:r w:rsidR="002C45E4">
        <w:rPr>
          <w:rStyle w:val="FootnoteReference"/>
          <w:rtl/>
        </w:rPr>
        <w:footnoteReference w:id="295"/>
      </w:r>
      <w:r w:rsidR="001D0280">
        <w:rPr>
          <w:rFonts w:hint="cs"/>
          <w:rtl/>
        </w:rPr>
        <w:t>.</w:t>
      </w:r>
      <w:r>
        <w:rPr>
          <w:rFonts w:hint="cs"/>
          <w:rtl/>
        </w:rPr>
        <w:t xml:space="preserve"> </w:t>
      </w:r>
      <w:r w:rsidR="00FE007D">
        <w:rPr>
          <w:rFonts w:hint="cs"/>
          <w:rtl/>
        </w:rPr>
        <w:t>על כל פנים</w:t>
      </w:r>
      <w:r w:rsidR="00E1277A">
        <w:rPr>
          <w:rStyle w:val="FootnoteReference"/>
          <w:rtl/>
        </w:rPr>
        <w:footnoteReference w:id="296"/>
      </w:r>
      <w:r w:rsidR="008F778F">
        <w:rPr>
          <w:rFonts w:hint="cs"/>
          <w:rtl/>
        </w:rPr>
        <w:t xml:space="preserve"> מה שמ</w:t>
      </w:r>
      <w:r w:rsidR="00FE007D">
        <w:rPr>
          <w:rFonts w:hint="cs"/>
          <w:rtl/>
        </w:rPr>
        <w:t>תגלה</w:t>
      </w:r>
      <w:r w:rsidR="00FE66AE">
        <w:rPr>
          <w:rStyle w:val="FootnoteReference"/>
          <w:rtl/>
        </w:rPr>
        <w:footnoteReference w:id="297"/>
      </w:r>
      <w:r w:rsidR="008F778F">
        <w:rPr>
          <w:rFonts w:hint="cs"/>
          <w:rtl/>
        </w:rPr>
        <w:t xml:space="preserve"> כאינו נפסד ב</w:t>
      </w:r>
      <w:r w:rsidR="00FE007D">
        <w:rPr>
          <w:rFonts w:hint="cs"/>
          <w:rtl/>
        </w:rPr>
        <w:t>הידמותו</w:t>
      </w:r>
      <w:r w:rsidR="0024047F">
        <w:rPr>
          <w:rStyle w:val="FootnoteReference"/>
          <w:rtl/>
        </w:rPr>
        <w:footnoteReference w:id="298"/>
      </w:r>
      <w:r w:rsidR="008F778F">
        <w:rPr>
          <w:rFonts w:hint="cs"/>
          <w:rtl/>
        </w:rPr>
        <w:t xml:space="preserve"> לצורה שאין לה היפך</w:t>
      </w:r>
      <w:r w:rsidR="00FE007D">
        <w:rPr>
          <w:rStyle w:val="FootnoteReference"/>
          <w:rtl/>
        </w:rPr>
        <w:footnoteReference w:id="299"/>
      </w:r>
      <w:r w:rsidR="002014FC">
        <w:rPr>
          <w:rFonts w:hint="cs"/>
          <w:rtl/>
        </w:rPr>
        <w:t>;</w:t>
      </w:r>
      <w:r w:rsidR="008F778F">
        <w:rPr>
          <w:rFonts w:hint="cs"/>
          <w:rtl/>
        </w:rPr>
        <w:t xml:space="preserve"> והסיבה </w:t>
      </w:r>
      <w:r w:rsidR="00780AA3">
        <w:rPr>
          <w:rFonts w:hint="cs"/>
          <w:rtl/>
        </w:rPr>
        <w:t>שה</w:t>
      </w:r>
      <w:r w:rsidR="002014FC">
        <w:rPr>
          <w:rFonts w:hint="cs"/>
          <w:rtl/>
        </w:rPr>
        <w:t>ו</w:t>
      </w:r>
      <w:r w:rsidR="00780AA3">
        <w:rPr>
          <w:rFonts w:hint="cs"/>
          <w:rtl/>
        </w:rPr>
        <w:t xml:space="preserve">א לא </w:t>
      </w:r>
      <w:r w:rsidR="002014FC">
        <w:rPr>
          <w:rFonts w:hint="cs"/>
          <w:rtl/>
        </w:rPr>
        <w:t>מ</w:t>
      </w:r>
      <w:r w:rsidR="00780AA3">
        <w:rPr>
          <w:rFonts w:hint="cs"/>
          <w:rtl/>
        </w:rPr>
        <w:t xml:space="preserve">תהווה ולא </w:t>
      </w:r>
      <w:r w:rsidR="002014FC">
        <w:rPr>
          <w:rFonts w:hint="cs"/>
          <w:rtl/>
        </w:rPr>
        <w:t>נ</w:t>
      </w:r>
      <w:r w:rsidR="00780AA3">
        <w:rPr>
          <w:rFonts w:hint="cs"/>
          <w:rtl/>
        </w:rPr>
        <w:t xml:space="preserve">פסד </w:t>
      </w:r>
      <w:r w:rsidR="002014FC">
        <w:rPr>
          <w:rFonts w:hint="cs"/>
          <w:rtl/>
        </w:rPr>
        <w:t xml:space="preserve">היא </w:t>
      </w:r>
      <w:r w:rsidR="00780AA3">
        <w:rPr>
          <w:rFonts w:hint="cs"/>
          <w:rtl/>
        </w:rPr>
        <w:t>מצד הצורה של</w:t>
      </w:r>
      <w:r w:rsidR="002014FC">
        <w:rPr>
          <w:rFonts w:hint="cs"/>
          <w:rtl/>
        </w:rPr>
        <w:t>ו</w:t>
      </w:r>
      <w:r w:rsidR="00780AA3">
        <w:rPr>
          <w:rFonts w:hint="cs"/>
          <w:rtl/>
        </w:rPr>
        <w:t xml:space="preserve"> ש</w:t>
      </w:r>
      <w:r w:rsidR="002014FC">
        <w:rPr>
          <w:rFonts w:hint="cs"/>
          <w:rtl/>
        </w:rPr>
        <w:t xml:space="preserve">מחמת טבעה </w:t>
      </w:r>
      <w:r w:rsidR="003466F7">
        <w:rPr>
          <w:rFonts w:hint="cs"/>
          <w:rtl/>
        </w:rPr>
        <w:t>מונעת את התנגדות</w:t>
      </w:r>
      <w:r w:rsidR="00780AA3">
        <w:rPr>
          <w:rFonts w:hint="cs"/>
          <w:rtl/>
        </w:rPr>
        <w:t xml:space="preserve"> </w:t>
      </w:r>
      <w:r w:rsidR="003466F7">
        <w:rPr>
          <w:rFonts w:hint="cs"/>
          <w:rtl/>
        </w:rPr>
        <w:t>ה</w:t>
      </w:r>
      <w:r w:rsidR="00780AA3">
        <w:rPr>
          <w:rFonts w:hint="cs"/>
          <w:rtl/>
        </w:rPr>
        <w:t>חומר</w:t>
      </w:r>
      <w:r w:rsidR="00741CA8">
        <w:rPr>
          <w:rStyle w:val="FootnoteReference"/>
          <w:rtl/>
        </w:rPr>
        <w:footnoteReference w:id="300"/>
      </w:r>
      <w:r w:rsidR="00780AA3">
        <w:rPr>
          <w:rFonts w:hint="cs"/>
          <w:rtl/>
        </w:rPr>
        <w:t xml:space="preserve"> שלה, </w:t>
      </w:r>
      <w:r w:rsidR="001D0280">
        <w:rPr>
          <w:rFonts w:hint="cs"/>
          <w:rtl/>
        </w:rPr>
        <w:t>לא מהצד ש</w:t>
      </w:r>
      <w:r w:rsidR="003466F7">
        <w:rPr>
          <w:rFonts w:hint="cs"/>
          <w:rtl/>
        </w:rPr>
        <w:t xml:space="preserve">יש בחומר מטבעו שלו הענות </w:t>
      </w:r>
      <w:r w:rsidR="009E65A6">
        <w:rPr>
          <w:rFonts w:hint="cs"/>
          <w:rtl/>
        </w:rPr>
        <w:t xml:space="preserve">סבילות </w:t>
      </w:r>
      <w:r w:rsidR="003466F7">
        <w:rPr>
          <w:rFonts w:hint="cs"/>
          <w:rtl/>
        </w:rPr>
        <w:t>גמישות והתאמה</w:t>
      </w:r>
      <w:r w:rsidR="003466F7">
        <w:rPr>
          <w:rStyle w:val="FootnoteReference"/>
          <w:rtl/>
        </w:rPr>
        <w:footnoteReference w:id="301"/>
      </w:r>
      <w:r w:rsidR="003466F7">
        <w:rPr>
          <w:rFonts w:hint="cs"/>
          <w:rtl/>
        </w:rPr>
        <w:t xml:space="preserve"> לקבל צורה</w:t>
      </w:r>
      <w:r w:rsidR="00FE007D">
        <w:rPr>
          <w:rStyle w:val="FootnoteReference"/>
          <w:rtl/>
        </w:rPr>
        <w:footnoteReference w:id="302"/>
      </w:r>
      <w:r w:rsidR="001D0280">
        <w:rPr>
          <w:rFonts w:hint="cs"/>
          <w:rtl/>
        </w:rPr>
        <w:t xml:space="preserve">. </w:t>
      </w:r>
    </w:p>
    <w:bookmarkEnd w:id="0"/>
    <w:p w14:paraId="4B271DC9" w14:textId="6BB77D27" w:rsidR="008B6795" w:rsidRDefault="004B449A" w:rsidP="00780AA3">
      <w:r>
        <w:rPr>
          <w:rFonts w:hint="cs"/>
          <w:rtl/>
        </w:rPr>
        <w:t>ואם זה כך</w:t>
      </w:r>
      <w:r w:rsidR="00741CA8">
        <w:rPr>
          <w:rFonts w:hint="cs"/>
          <w:rtl/>
        </w:rPr>
        <w:t xml:space="preserve"> </w:t>
      </w:r>
      <w:r w:rsidR="008372F9">
        <w:rPr>
          <w:rFonts w:hint="cs"/>
          <w:rtl/>
        </w:rPr>
        <w:t>(</w:t>
      </w:r>
      <w:r w:rsidR="00741CA8">
        <w:rPr>
          <w:rFonts w:hint="cs"/>
          <w:rtl/>
        </w:rPr>
        <w:t>מה שר</w:t>
      </w:r>
      <w:r w:rsidR="006E5521">
        <w:rPr>
          <w:rFonts w:hint="cs"/>
          <w:rtl/>
        </w:rPr>
        <w:t>חוק מהסברה</w:t>
      </w:r>
      <w:r w:rsidR="00741CA8">
        <w:rPr>
          <w:rFonts w:hint="cs"/>
          <w:rtl/>
        </w:rPr>
        <w:t xml:space="preserve"> לאור מה שיתבאר לקמן</w:t>
      </w:r>
      <w:r w:rsidR="008372F9">
        <w:rPr>
          <w:rStyle w:val="FootnoteReference"/>
          <w:rtl/>
        </w:rPr>
        <w:footnoteReference w:id="303"/>
      </w:r>
      <w:r w:rsidR="008372F9">
        <w:rPr>
          <w:rFonts w:hint="cs"/>
          <w:rtl/>
        </w:rPr>
        <w:t>)</w:t>
      </w:r>
      <w:r w:rsidR="00741CA8">
        <w:rPr>
          <w:rFonts w:hint="cs"/>
          <w:rtl/>
        </w:rPr>
        <w:t>, היולי משותף יהיה קיים באופן זה</w:t>
      </w:r>
      <w:r w:rsidR="00C83729">
        <w:rPr>
          <w:rFonts w:hint="cs"/>
          <w:rtl/>
        </w:rPr>
        <w:t>,</w:t>
      </w:r>
      <w:r w:rsidR="00741CA8">
        <w:rPr>
          <w:rFonts w:hint="cs"/>
          <w:rtl/>
        </w:rPr>
        <w:t xml:space="preserve"> </w:t>
      </w:r>
      <w:r w:rsidR="00C83729">
        <w:rPr>
          <w:rFonts w:hint="cs"/>
          <w:rtl/>
        </w:rPr>
        <w:t xml:space="preserve">וההיולי המשותף באופן זה, בין אם הוא משותף לכל </w:t>
      </w:r>
      <w:proofErr w:type="spellStart"/>
      <w:r w:rsidR="00C83729">
        <w:rPr>
          <w:rFonts w:hint="cs"/>
          <w:rtl/>
        </w:rPr>
        <w:t>הטבעים</w:t>
      </w:r>
      <w:proofErr w:type="spellEnd"/>
      <w:r w:rsidR="00E85E8A">
        <w:rPr>
          <w:rStyle w:val="FootnoteReference"/>
          <w:rtl/>
        </w:rPr>
        <w:footnoteReference w:id="304"/>
      </w:r>
      <w:r w:rsidR="00C83729">
        <w:rPr>
          <w:rFonts w:hint="cs"/>
          <w:rtl/>
        </w:rPr>
        <w:t xml:space="preserve"> או </w:t>
      </w:r>
      <w:r w:rsidR="00E85E8A">
        <w:rPr>
          <w:rFonts w:hint="cs"/>
          <w:rtl/>
        </w:rPr>
        <w:t xml:space="preserve">רק לנפסדים </w:t>
      </w:r>
      <w:proofErr w:type="spellStart"/>
      <w:r w:rsidR="00E85E8A">
        <w:rPr>
          <w:rFonts w:hint="cs"/>
          <w:rtl/>
        </w:rPr>
        <w:t>מביניה</w:t>
      </w:r>
      <w:r w:rsidR="00A40B18">
        <w:rPr>
          <w:rFonts w:hint="cs"/>
          <w:rtl/>
        </w:rPr>
        <w:t>ם</w:t>
      </w:r>
      <w:proofErr w:type="spellEnd"/>
      <w:r w:rsidR="00E85E8A">
        <w:rPr>
          <w:rStyle w:val="FootnoteReference"/>
          <w:rtl/>
        </w:rPr>
        <w:footnoteReference w:id="305"/>
      </w:r>
      <w:r w:rsidR="00E85E8A">
        <w:rPr>
          <w:rFonts w:hint="cs"/>
          <w:rtl/>
        </w:rPr>
        <w:t xml:space="preserve">, </w:t>
      </w:r>
      <w:r w:rsidR="00A40B18">
        <w:rPr>
          <w:rFonts w:hint="cs"/>
          <w:rtl/>
        </w:rPr>
        <w:t>יהיה דבר ש</w:t>
      </w:r>
      <w:r w:rsidR="00E851B3">
        <w:rPr>
          <w:rFonts w:hint="cs"/>
          <w:rtl/>
        </w:rPr>
        <w:t>נברא</w:t>
      </w:r>
      <w:r w:rsidR="00A40B18">
        <w:rPr>
          <w:rFonts w:hint="cs"/>
          <w:rtl/>
        </w:rPr>
        <w:t xml:space="preserve"> בבריאה </w:t>
      </w:r>
      <w:r w:rsidR="0073578B">
        <w:rPr>
          <w:rFonts w:hint="cs"/>
          <w:rtl/>
        </w:rPr>
        <w:t>ה</w:t>
      </w:r>
      <w:r w:rsidR="00A40B18">
        <w:rPr>
          <w:rFonts w:hint="cs"/>
          <w:rtl/>
        </w:rPr>
        <w:t>לא</w:t>
      </w:r>
      <w:r w:rsidR="002C44D6">
        <w:rPr>
          <w:rFonts w:hint="cs"/>
          <w:rtl/>
        </w:rPr>
        <w:t xml:space="preserve"> </w:t>
      </w:r>
      <w:r w:rsidR="00A40B18">
        <w:rPr>
          <w:rFonts w:hint="cs"/>
          <w:rtl/>
        </w:rPr>
        <w:t>זמנית</w:t>
      </w:r>
      <w:r w:rsidR="00A40B18">
        <w:rPr>
          <w:rStyle w:val="FootnoteReference"/>
          <w:rtl/>
        </w:rPr>
        <w:footnoteReference w:id="306"/>
      </w:r>
      <w:r w:rsidR="0073578B">
        <w:rPr>
          <w:rFonts w:hint="cs"/>
          <w:rtl/>
        </w:rPr>
        <w:t>, לא התהווה ממשהו ולא נפסד למשהו</w:t>
      </w:r>
      <w:r w:rsidR="002C44D6">
        <w:rPr>
          <w:rFonts w:hint="cs"/>
          <w:rtl/>
        </w:rPr>
        <w:t>;</w:t>
      </w:r>
      <w:r w:rsidR="0073578B">
        <w:rPr>
          <w:rFonts w:hint="cs"/>
          <w:rtl/>
        </w:rPr>
        <w:t xml:space="preserve"> </w:t>
      </w:r>
      <w:r w:rsidR="00FF3B88">
        <w:rPr>
          <w:rFonts w:hint="cs"/>
          <w:rtl/>
        </w:rPr>
        <w:t xml:space="preserve">ואילו היה </w:t>
      </w:r>
      <w:r w:rsidR="0073578B">
        <w:rPr>
          <w:rFonts w:hint="cs"/>
          <w:rtl/>
        </w:rPr>
        <w:t xml:space="preserve"> </w:t>
      </w:r>
      <w:r w:rsidR="00FF3B88">
        <w:rPr>
          <w:rFonts w:hint="cs"/>
          <w:rtl/>
        </w:rPr>
        <w:t>נצ</w:t>
      </w:r>
      <w:r w:rsidR="0073578B">
        <w:rPr>
          <w:rFonts w:hint="cs"/>
          <w:rtl/>
        </w:rPr>
        <w:t xml:space="preserve">רך </w:t>
      </w:r>
      <w:r w:rsidR="00FF3B88">
        <w:rPr>
          <w:rFonts w:hint="cs"/>
          <w:rtl/>
        </w:rPr>
        <w:t>ל</w:t>
      </w:r>
      <w:r w:rsidR="0073578B">
        <w:rPr>
          <w:rFonts w:hint="cs"/>
          <w:rtl/>
        </w:rPr>
        <w:t>היולי אחר</w:t>
      </w:r>
      <w:r w:rsidR="00FF3B88">
        <w:rPr>
          <w:rStyle w:val="FootnoteReference"/>
          <w:rtl/>
        </w:rPr>
        <w:footnoteReference w:id="307"/>
      </w:r>
      <w:r w:rsidR="0073578B">
        <w:rPr>
          <w:rFonts w:hint="cs"/>
          <w:rtl/>
        </w:rPr>
        <w:t>, במקרה כזה אותו היולי אחר יהיה הראשון והמשותף.</w:t>
      </w:r>
    </w:p>
    <w:p w14:paraId="4AAF903F" w14:textId="1896488C" w:rsidR="0088154D" w:rsidRDefault="008B6795" w:rsidP="003266A1">
      <w:pPr>
        <w:pStyle w:val="Heading4"/>
        <w:rPr>
          <w:rtl/>
        </w:rPr>
      </w:pPr>
      <w:bookmarkStart w:id="180" w:name="_Toc119092632"/>
      <w:r>
        <w:rPr>
          <w:rFonts w:hint="cs"/>
          <w:rtl/>
        </w:rPr>
        <w:t>1.3.3</w:t>
      </w:r>
      <w:bookmarkEnd w:id="180"/>
    </w:p>
    <w:p w14:paraId="241A2EE1" w14:textId="77777777" w:rsidR="00057ACA" w:rsidRDefault="00BC04EC" w:rsidP="008B6795">
      <w:pPr>
        <w:pStyle w:val="FootnoteText"/>
        <w:rPr>
          <w:b/>
          <w:bCs/>
          <w:sz w:val="28"/>
          <w:szCs w:val="28"/>
          <w:rtl/>
        </w:rPr>
      </w:pPr>
      <w:r w:rsidRPr="00BC04EC">
        <w:rPr>
          <w:rFonts w:hint="cs"/>
          <w:b/>
          <w:bCs/>
          <w:sz w:val="28"/>
          <w:szCs w:val="28"/>
          <w:rtl/>
        </w:rPr>
        <w:t>בשאלה האם ל</w:t>
      </w:r>
      <w:r w:rsidR="00DB4846" w:rsidRPr="00BC04EC">
        <w:rPr>
          <w:rFonts w:hint="cs"/>
          <w:b/>
          <w:bCs/>
          <w:sz w:val="28"/>
          <w:szCs w:val="28"/>
          <w:rtl/>
        </w:rPr>
        <w:t>דברים הטבעיים</w:t>
      </w:r>
      <w:r w:rsidRPr="00BC04EC">
        <w:rPr>
          <w:rFonts w:hint="cs"/>
          <w:b/>
          <w:bCs/>
          <w:sz w:val="28"/>
          <w:szCs w:val="28"/>
          <w:rtl/>
        </w:rPr>
        <w:t xml:space="preserve"> יש התחלה צורנית משותפת</w:t>
      </w:r>
      <w:r>
        <w:rPr>
          <w:rFonts w:hint="cs"/>
          <w:b/>
          <w:bCs/>
          <w:sz w:val="28"/>
          <w:szCs w:val="28"/>
          <w:rtl/>
        </w:rPr>
        <w:t xml:space="preserve"> בדרך הראשונה משתי הדרכים</w:t>
      </w:r>
      <w:r w:rsidR="00B36A56">
        <w:rPr>
          <w:rStyle w:val="FootnoteReference"/>
          <w:b/>
          <w:bCs/>
          <w:sz w:val="28"/>
          <w:szCs w:val="28"/>
          <w:rtl/>
        </w:rPr>
        <w:footnoteReference w:id="308"/>
      </w:r>
      <w:r>
        <w:rPr>
          <w:rFonts w:hint="cs"/>
          <w:b/>
          <w:bCs/>
          <w:sz w:val="28"/>
          <w:szCs w:val="28"/>
          <w:rtl/>
        </w:rPr>
        <w:t xml:space="preserve">, </w:t>
      </w:r>
      <w:r w:rsidR="00D97FAB">
        <w:rPr>
          <w:rFonts w:hint="cs"/>
          <w:b/>
          <w:bCs/>
          <w:sz w:val="28"/>
          <w:szCs w:val="28"/>
          <w:rtl/>
        </w:rPr>
        <w:t>לא ת</w:t>
      </w:r>
      <w:r w:rsidR="00464828">
        <w:rPr>
          <w:rFonts w:hint="cs"/>
          <w:b/>
          <w:bCs/>
          <w:sz w:val="28"/>
          <w:szCs w:val="28"/>
          <w:rtl/>
        </w:rPr>
        <w:t>היה</w:t>
      </w:r>
      <w:r w:rsidR="00D97FAB">
        <w:rPr>
          <w:rFonts w:hint="cs"/>
          <w:b/>
          <w:bCs/>
          <w:sz w:val="28"/>
          <w:szCs w:val="28"/>
          <w:rtl/>
        </w:rPr>
        <w:t xml:space="preserve"> להם מבין הצורות שאנו יכולים להעלות במחשבתנו אלא</w:t>
      </w:r>
      <w:r w:rsidR="00464828">
        <w:rPr>
          <w:rFonts w:hint="cs"/>
          <w:b/>
          <w:bCs/>
          <w:sz w:val="28"/>
          <w:szCs w:val="28"/>
          <w:rtl/>
        </w:rPr>
        <w:t xml:space="preserve"> </w:t>
      </w:r>
      <w:r w:rsidR="003329F5">
        <w:rPr>
          <w:rFonts w:hint="cs"/>
          <w:b/>
          <w:bCs/>
          <w:sz w:val="28"/>
          <w:szCs w:val="28"/>
          <w:rtl/>
        </w:rPr>
        <w:t>צורת התלת ממדיות</w:t>
      </w:r>
      <w:r w:rsidR="0033648F">
        <w:rPr>
          <w:rStyle w:val="FootnoteReference"/>
          <w:b/>
          <w:bCs/>
          <w:sz w:val="28"/>
          <w:szCs w:val="28"/>
          <w:rtl/>
        </w:rPr>
        <w:footnoteReference w:id="309"/>
      </w:r>
      <w:r w:rsidR="003329F5">
        <w:rPr>
          <w:rFonts w:hint="cs"/>
          <w:b/>
          <w:bCs/>
          <w:sz w:val="28"/>
          <w:szCs w:val="28"/>
          <w:rtl/>
        </w:rPr>
        <w:t>.</w:t>
      </w:r>
    </w:p>
    <w:p w14:paraId="33B4BF4B" w14:textId="29CFC682" w:rsidR="00360C2D" w:rsidRDefault="00057ACA" w:rsidP="00F07510">
      <w:pPr>
        <w:pStyle w:val="FootnoteText"/>
        <w:rPr>
          <w:b/>
          <w:bCs/>
          <w:sz w:val="28"/>
          <w:szCs w:val="28"/>
          <w:rtl/>
        </w:rPr>
      </w:pPr>
      <w:r>
        <w:rPr>
          <w:rFonts w:hint="cs"/>
          <w:b/>
          <w:bCs/>
          <w:sz w:val="28"/>
          <w:szCs w:val="28"/>
          <w:rtl/>
        </w:rPr>
        <w:t xml:space="preserve">ואם היית פונה אל הגוף שיש בו התהוות והפסד הוא יהיה מאוחר </w:t>
      </w:r>
      <w:r w:rsidR="00CD1A76">
        <w:rPr>
          <w:rFonts w:hint="cs"/>
          <w:b/>
          <w:bCs/>
          <w:sz w:val="28"/>
          <w:szCs w:val="28"/>
          <w:rtl/>
        </w:rPr>
        <w:t>לצורת התלת ממדיות</w:t>
      </w:r>
      <w:r w:rsidR="00AC6324">
        <w:rPr>
          <w:rFonts w:hint="cs"/>
          <w:b/>
          <w:bCs/>
          <w:sz w:val="28"/>
          <w:szCs w:val="28"/>
          <w:rtl/>
        </w:rPr>
        <w:t>;</w:t>
      </w:r>
      <w:r w:rsidR="00961818">
        <w:rPr>
          <w:rFonts w:hint="cs"/>
          <w:b/>
          <w:bCs/>
          <w:sz w:val="28"/>
          <w:szCs w:val="28"/>
          <w:rtl/>
        </w:rPr>
        <w:t xml:space="preserve"> </w:t>
      </w:r>
      <w:r w:rsidR="000F2A4D">
        <w:rPr>
          <w:rFonts w:hint="cs"/>
          <w:b/>
          <w:bCs/>
          <w:sz w:val="28"/>
          <w:szCs w:val="28"/>
          <w:rtl/>
        </w:rPr>
        <w:t>למשל</w:t>
      </w:r>
      <w:r w:rsidR="00AF5A0E">
        <w:rPr>
          <w:rFonts w:hint="cs"/>
          <w:b/>
          <w:bCs/>
          <w:sz w:val="28"/>
          <w:szCs w:val="28"/>
          <w:rtl/>
        </w:rPr>
        <w:t>,</w:t>
      </w:r>
      <w:r w:rsidR="000F2A4D">
        <w:rPr>
          <w:rFonts w:hint="cs"/>
          <w:b/>
          <w:bCs/>
          <w:sz w:val="28"/>
          <w:szCs w:val="28"/>
          <w:rtl/>
        </w:rPr>
        <w:t xml:space="preserve"> </w:t>
      </w:r>
      <w:r w:rsidR="00402731">
        <w:rPr>
          <w:rFonts w:hint="cs"/>
          <w:b/>
          <w:bCs/>
          <w:sz w:val="28"/>
          <w:szCs w:val="28"/>
          <w:rtl/>
        </w:rPr>
        <w:t>צורת התלת ממדיות ש</w:t>
      </w:r>
      <w:r w:rsidR="00230F1F">
        <w:rPr>
          <w:rFonts w:hint="cs"/>
          <w:b/>
          <w:bCs/>
          <w:sz w:val="28"/>
          <w:szCs w:val="28"/>
          <w:rtl/>
        </w:rPr>
        <w:t xml:space="preserve">היא </w:t>
      </w:r>
      <w:r w:rsidR="00402731">
        <w:rPr>
          <w:rFonts w:hint="cs"/>
          <w:b/>
          <w:bCs/>
          <w:sz w:val="28"/>
          <w:szCs w:val="28"/>
          <w:rtl/>
        </w:rPr>
        <w:t>במים</w:t>
      </w:r>
      <w:r w:rsidR="00F07510">
        <w:rPr>
          <w:rFonts w:hint="cs"/>
          <w:b/>
          <w:bCs/>
          <w:sz w:val="28"/>
          <w:szCs w:val="28"/>
          <w:rtl/>
        </w:rPr>
        <w:t xml:space="preserve"> לא </w:t>
      </w:r>
      <w:r w:rsidR="003215CE">
        <w:rPr>
          <w:rFonts w:hint="cs"/>
          <w:b/>
          <w:bCs/>
          <w:sz w:val="28"/>
          <w:szCs w:val="28"/>
          <w:rtl/>
        </w:rPr>
        <w:t>תי</w:t>
      </w:r>
      <w:r w:rsidR="00F07510">
        <w:rPr>
          <w:rFonts w:hint="cs"/>
          <w:b/>
          <w:bCs/>
          <w:sz w:val="28"/>
          <w:szCs w:val="28"/>
          <w:rtl/>
        </w:rPr>
        <w:t xml:space="preserve">תכן </w:t>
      </w:r>
      <w:r w:rsidR="00110924">
        <w:rPr>
          <w:rFonts w:hint="cs"/>
          <w:b/>
          <w:bCs/>
          <w:sz w:val="28"/>
          <w:szCs w:val="28"/>
          <w:rtl/>
        </w:rPr>
        <w:t xml:space="preserve">שתהיה </w:t>
      </w:r>
      <w:r w:rsidR="003215CE">
        <w:rPr>
          <w:rFonts w:hint="cs"/>
          <w:b/>
          <w:bCs/>
          <w:sz w:val="28"/>
          <w:szCs w:val="28"/>
          <w:rtl/>
        </w:rPr>
        <w:t>ב</w:t>
      </w:r>
      <w:r w:rsidR="00F07510">
        <w:rPr>
          <w:rFonts w:hint="cs"/>
          <w:b/>
          <w:bCs/>
          <w:sz w:val="28"/>
          <w:szCs w:val="28"/>
          <w:rtl/>
        </w:rPr>
        <w:t>אוויר</w:t>
      </w:r>
      <w:r w:rsidR="003D2196">
        <w:rPr>
          <w:rFonts w:hint="cs"/>
          <w:b/>
          <w:bCs/>
          <w:sz w:val="28"/>
          <w:szCs w:val="28"/>
          <w:rtl/>
        </w:rPr>
        <w:t xml:space="preserve">, </w:t>
      </w:r>
      <w:r w:rsidR="00DB4289">
        <w:rPr>
          <w:rFonts w:hint="cs"/>
          <w:b/>
          <w:bCs/>
          <w:sz w:val="28"/>
          <w:szCs w:val="28"/>
          <w:rtl/>
        </w:rPr>
        <w:t>כי היא בע</w:t>
      </w:r>
      <w:r w:rsidR="0080571C">
        <w:rPr>
          <w:rFonts w:hint="cs"/>
          <w:b/>
          <w:bCs/>
          <w:sz w:val="28"/>
          <w:szCs w:val="28"/>
          <w:rtl/>
        </w:rPr>
        <w:t>צמה</w:t>
      </w:r>
      <w:r w:rsidR="0080571C">
        <w:rPr>
          <w:rStyle w:val="FootnoteReference"/>
          <w:b/>
          <w:bCs/>
          <w:sz w:val="28"/>
          <w:szCs w:val="28"/>
          <w:rtl/>
        </w:rPr>
        <w:footnoteReference w:id="310"/>
      </w:r>
      <w:r w:rsidR="00DB4289">
        <w:rPr>
          <w:rFonts w:hint="cs"/>
          <w:b/>
          <w:bCs/>
          <w:sz w:val="28"/>
          <w:szCs w:val="28"/>
          <w:rtl/>
        </w:rPr>
        <w:t xml:space="preserve"> במים</w:t>
      </w:r>
      <w:r w:rsidR="00581376">
        <w:rPr>
          <w:rStyle w:val="FootnoteReference"/>
          <w:b/>
          <w:bCs/>
          <w:sz w:val="28"/>
          <w:szCs w:val="28"/>
          <w:rtl/>
        </w:rPr>
        <w:footnoteReference w:id="311"/>
      </w:r>
      <w:r w:rsidR="00E23E54">
        <w:rPr>
          <w:rFonts w:hint="cs"/>
          <w:b/>
          <w:bCs/>
          <w:sz w:val="28"/>
          <w:szCs w:val="28"/>
          <w:rtl/>
        </w:rPr>
        <w:t>.</w:t>
      </w:r>
    </w:p>
    <w:p w14:paraId="3F5B3ADC" w14:textId="495CBD20" w:rsidR="00FC1E47" w:rsidRDefault="00B0224E" w:rsidP="001705B6">
      <w:pPr>
        <w:pStyle w:val="FootnoteText"/>
        <w:rPr>
          <w:b/>
          <w:bCs/>
          <w:sz w:val="28"/>
          <w:szCs w:val="28"/>
          <w:rtl/>
        </w:rPr>
      </w:pPr>
      <w:r>
        <w:rPr>
          <w:rFonts w:hint="cs"/>
          <w:b/>
          <w:bCs/>
          <w:sz w:val="28"/>
          <w:szCs w:val="28"/>
          <w:rtl/>
        </w:rPr>
        <w:t>ו</w:t>
      </w:r>
      <w:r w:rsidR="00301BCD">
        <w:rPr>
          <w:rFonts w:hint="cs"/>
          <w:b/>
          <w:bCs/>
          <w:sz w:val="28"/>
          <w:szCs w:val="28"/>
          <w:rtl/>
        </w:rPr>
        <w:t>תהיה</w:t>
      </w:r>
      <w:r w:rsidR="00957975">
        <w:rPr>
          <w:rFonts w:hint="cs"/>
          <w:b/>
          <w:bCs/>
          <w:sz w:val="28"/>
          <w:szCs w:val="28"/>
          <w:rtl/>
        </w:rPr>
        <w:t xml:space="preserve"> </w:t>
      </w:r>
      <w:r w:rsidR="00301BCD">
        <w:rPr>
          <w:rFonts w:hint="cs"/>
          <w:b/>
          <w:bCs/>
          <w:sz w:val="28"/>
          <w:szCs w:val="28"/>
          <w:rtl/>
        </w:rPr>
        <w:t>ל</w:t>
      </w:r>
      <w:r w:rsidR="00957975">
        <w:rPr>
          <w:rFonts w:hint="cs"/>
          <w:b/>
          <w:bCs/>
          <w:sz w:val="28"/>
          <w:szCs w:val="28"/>
          <w:rtl/>
        </w:rPr>
        <w:t xml:space="preserve">גופים </w:t>
      </w:r>
      <w:r w:rsidR="007546D7">
        <w:rPr>
          <w:rFonts w:hint="cs"/>
          <w:b/>
          <w:bCs/>
          <w:sz w:val="28"/>
          <w:szCs w:val="28"/>
          <w:rtl/>
        </w:rPr>
        <w:t>התחל</w:t>
      </w:r>
      <w:r w:rsidR="000B0F92">
        <w:rPr>
          <w:rFonts w:hint="cs"/>
          <w:b/>
          <w:bCs/>
          <w:sz w:val="28"/>
          <w:szCs w:val="28"/>
          <w:rtl/>
        </w:rPr>
        <w:t>ה</w:t>
      </w:r>
      <w:r w:rsidR="007546D7">
        <w:rPr>
          <w:rFonts w:hint="cs"/>
          <w:b/>
          <w:bCs/>
          <w:sz w:val="28"/>
          <w:szCs w:val="28"/>
          <w:rtl/>
        </w:rPr>
        <w:t xml:space="preserve"> צור</w:t>
      </w:r>
      <w:r w:rsidR="008F058A">
        <w:rPr>
          <w:rFonts w:hint="cs"/>
          <w:b/>
          <w:bCs/>
          <w:sz w:val="28"/>
          <w:szCs w:val="28"/>
          <w:rtl/>
        </w:rPr>
        <w:t xml:space="preserve">נית </w:t>
      </w:r>
      <w:r w:rsidR="00107914">
        <w:rPr>
          <w:rFonts w:hint="cs"/>
          <w:b/>
          <w:bCs/>
          <w:sz w:val="28"/>
          <w:szCs w:val="28"/>
          <w:rtl/>
        </w:rPr>
        <w:t>ב</w:t>
      </w:r>
      <w:r w:rsidR="005B7A7A">
        <w:rPr>
          <w:rFonts w:hint="cs"/>
          <w:b/>
          <w:bCs/>
          <w:sz w:val="28"/>
          <w:szCs w:val="28"/>
          <w:rtl/>
        </w:rPr>
        <w:t>אופן</w:t>
      </w:r>
      <w:r w:rsidR="00D51AE2">
        <w:rPr>
          <w:rFonts w:hint="cs"/>
          <w:b/>
          <w:bCs/>
          <w:sz w:val="28"/>
          <w:szCs w:val="28"/>
          <w:rtl/>
        </w:rPr>
        <w:t xml:space="preserve"> </w:t>
      </w:r>
      <w:r w:rsidR="008614D8">
        <w:rPr>
          <w:rFonts w:hint="cs"/>
          <w:b/>
          <w:bCs/>
          <w:sz w:val="28"/>
          <w:szCs w:val="28"/>
          <w:rtl/>
        </w:rPr>
        <w:t>ה</w:t>
      </w:r>
      <w:r w:rsidR="00CE095F">
        <w:rPr>
          <w:rFonts w:hint="cs"/>
          <w:b/>
          <w:bCs/>
          <w:sz w:val="28"/>
          <w:szCs w:val="28"/>
          <w:rtl/>
        </w:rPr>
        <w:t>כללי</w:t>
      </w:r>
      <w:r w:rsidR="00B44B8D">
        <w:rPr>
          <w:rFonts w:hint="cs"/>
          <w:b/>
          <w:bCs/>
          <w:sz w:val="28"/>
          <w:szCs w:val="28"/>
          <w:rtl/>
        </w:rPr>
        <w:t xml:space="preserve"> </w:t>
      </w:r>
      <w:r w:rsidR="008614D8">
        <w:rPr>
          <w:rFonts w:hint="cs"/>
          <w:b/>
          <w:bCs/>
          <w:sz w:val="28"/>
          <w:szCs w:val="28"/>
          <w:rtl/>
        </w:rPr>
        <w:t>ה</w:t>
      </w:r>
      <w:r w:rsidR="004E06A5">
        <w:rPr>
          <w:rFonts w:hint="cs"/>
          <w:b/>
          <w:bCs/>
          <w:sz w:val="28"/>
          <w:szCs w:val="28"/>
          <w:rtl/>
        </w:rPr>
        <w:t>זה</w:t>
      </w:r>
      <w:r w:rsidR="000B0F92">
        <w:rPr>
          <w:rFonts w:hint="cs"/>
          <w:b/>
          <w:bCs/>
          <w:sz w:val="28"/>
          <w:szCs w:val="28"/>
          <w:rtl/>
        </w:rPr>
        <w:t>,</w:t>
      </w:r>
      <w:r w:rsidR="004E06A5">
        <w:rPr>
          <w:rFonts w:hint="cs"/>
          <w:b/>
          <w:bCs/>
          <w:sz w:val="28"/>
          <w:szCs w:val="28"/>
          <w:rtl/>
        </w:rPr>
        <w:t xml:space="preserve"> </w:t>
      </w:r>
      <w:r w:rsidR="00B31C5D">
        <w:rPr>
          <w:rFonts w:hint="cs"/>
          <w:b/>
          <w:bCs/>
          <w:sz w:val="28"/>
          <w:szCs w:val="28"/>
          <w:rtl/>
        </w:rPr>
        <w:t>משות</w:t>
      </w:r>
      <w:r w:rsidR="000B0F92">
        <w:rPr>
          <w:rFonts w:hint="cs"/>
          <w:b/>
          <w:bCs/>
          <w:sz w:val="28"/>
          <w:szCs w:val="28"/>
          <w:rtl/>
        </w:rPr>
        <w:t>פת</w:t>
      </w:r>
      <w:r w:rsidR="00B31C5D">
        <w:rPr>
          <w:rFonts w:hint="cs"/>
          <w:b/>
          <w:bCs/>
          <w:sz w:val="28"/>
          <w:szCs w:val="28"/>
          <w:rtl/>
        </w:rPr>
        <w:t xml:space="preserve"> להם</w:t>
      </w:r>
      <w:r w:rsidR="00BA2E3C">
        <w:rPr>
          <w:rFonts w:hint="cs"/>
          <w:b/>
          <w:bCs/>
          <w:sz w:val="28"/>
          <w:szCs w:val="28"/>
          <w:rtl/>
        </w:rPr>
        <w:t xml:space="preserve"> במספר</w:t>
      </w:r>
      <w:r w:rsidR="0074556C">
        <w:rPr>
          <w:rStyle w:val="FootnoteReference"/>
          <w:b/>
          <w:bCs/>
          <w:sz w:val="28"/>
          <w:szCs w:val="28"/>
          <w:rtl/>
        </w:rPr>
        <w:footnoteReference w:id="312"/>
      </w:r>
      <w:r w:rsidR="00BA2E3C">
        <w:rPr>
          <w:rFonts w:hint="cs"/>
          <w:b/>
          <w:bCs/>
          <w:sz w:val="28"/>
          <w:szCs w:val="28"/>
          <w:rtl/>
        </w:rPr>
        <w:t>,</w:t>
      </w:r>
      <w:r w:rsidR="00C90383">
        <w:rPr>
          <w:rFonts w:hint="cs"/>
          <w:b/>
          <w:bCs/>
          <w:sz w:val="28"/>
          <w:szCs w:val="28"/>
          <w:rtl/>
        </w:rPr>
        <w:t xml:space="preserve"> </w:t>
      </w:r>
      <w:r w:rsidR="00DA0C01">
        <w:rPr>
          <w:rFonts w:hint="cs"/>
          <w:b/>
          <w:bCs/>
          <w:sz w:val="28"/>
          <w:szCs w:val="28"/>
          <w:rtl/>
        </w:rPr>
        <w:t xml:space="preserve">ונמצא אותם </w:t>
      </w:r>
      <w:r w:rsidR="00521F24">
        <w:rPr>
          <w:rFonts w:hint="cs"/>
          <w:b/>
          <w:bCs/>
          <w:sz w:val="28"/>
          <w:szCs w:val="28"/>
          <w:rtl/>
        </w:rPr>
        <w:t>אחרי ההתחלה הצורנית שיש לכל</w:t>
      </w:r>
      <w:r w:rsidR="00464554">
        <w:rPr>
          <w:b/>
          <w:bCs/>
          <w:sz w:val="28"/>
          <w:szCs w:val="28"/>
        </w:rPr>
        <w:t xml:space="preserve"> </w:t>
      </w:r>
      <w:r w:rsidR="00464554">
        <w:rPr>
          <w:rFonts w:hint="cs"/>
          <w:b/>
          <w:bCs/>
          <w:sz w:val="28"/>
          <w:szCs w:val="28"/>
          <w:rtl/>
        </w:rPr>
        <w:t>אחד ואחד מהם</w:t>
      </w:r>
      <w:r w:rsidR="002A5A9F">
        <w:rPr>
          <w:rStyle w:val="FootnoteReference"/>
          <w:b/>
          <w:bCs/>
          <w:sz w:val="28"/>
          <w:szCs w:val="28"/>
          <w:rtl/>
        </w:rPr>
        <w:footnoteReference w:id="313"/>
      </w:r>
      <w:r w:rsidR="009811CC">
        <w:rPr>
          <w:rFonts w:hint="cs"/>
          <w:b/>
          <w:bCs/>
          <w:sz w:val="28"/>
          <w:szCs w:val="28"/>
          <w:rtl/>
        </w:rPr>
        <w:t>. ואם הדבר לא היה כך</w:t>
      </w:r>
      <w:r w:rsidR="002C19B6">
        <w:rPr>
          <w:rFonts w:hint="cs"/>
          <w:b/>
          <w:bCs/>
          <w:sz w:val="28"/>
          <w:szCs w:val="28"/>
          <w:rtl/>
        </w:rPr>
        <w:t xml:space="preserve">, </w:t>
      </w:r>
      <w:r w:rsidR="00C24ACA">
        <w:rPr>
          <w:rFonts w:hint="cs"/>
          <w:b/>
          <w:bCs/>
          <w:sz w:val="28"/>
          <w:szCs w:val="28"/>
          <w:rtl/>
        </w:rPr>
        <w:t xml:space="preserve">אז </w:t>
      </w:r>
      <w:r w:rsidR="00A101FB">
        <w:rPr>
          <w:rFonts w:hint="cs"/>
          <w:b/>
          <w:bCs/>
          <w:sz w:val="28"/>
          <w:szCs w:val="28"/>
          <w:rtl/>
        </w:rPr>
        <w:t>הפסד המים היה הפסד ה</w:t>
      </w:r>
      <w:r w:rsidR="00CA45CB">
        <w:rPr>
          <w:rFonts w:hint="cs"/>
          <w:b/>
          <w:bCs/>
          <w:sz w:val="28"/>
          <w:szCs w:val="28"/>
          <w:rtl/>
        </w:rPr>
        <w:t>גוף</w:t>
      </w:r>
      <w:r w:rsidR="00B8581E">
        <w:rPr>
          <w:rFonts w:hint="cs"/>
          <w:b/>
          <w:bCs/>
          <w:sz w:val="28"/>
          <w:szCs w:val="28"/>
          <w:rtl/>
        </w:rPr>
        <w:t xml:space="preserve"> </w:t>
      </w:r>
      <w:r w:rsidR="00DC1413">
        <w:rPr>
          <w:rFonts w:hint="cs"/>
          <w:b/>
          <w:bCs/>
          <w:sz w:val="28"/>
          <w:szCs w:val="28"/>
          <w:rtl/>
        </w:rPr>
        <w:t xml:space="preserve">אשר היה להיולי </w:t>
      </w:r>
      <w:r w:rsidR="00C30170">
        <w:rPr>
          <w:rFonts w:hint="cs"/>
          <w:b/>
          <w:bCs/>
          <w:sz w:val="28"/>
          <w:szCs w:val="28"/>
          <w:rtl/>
        </w:rPr>
        <w:t xml:space="preserve">בהפסד המים, </w:t>
      </w:r>
      <w:r w:rsidR="00C834F2">
        <w:rPr>
          <w:rFonts w:hint="cs"/>
          <w:b/>
          <w:bCs/>
          <w:sz w:val="28"/>
          <w:szCs w:val="28"/>
          <w:rtl/>
        </w:rPr>
        <w:t xml:space="preserve">ויתחדש </w:t>
      </w:r>
      <w:r w:rsidR="00BD7EE3">
        <w:rPr>
          <w:rFonts w:hint="cs"/>
          <w:b/>
          <w:bCs/>
          <w:sz w:val="28"/>
          <w:szCs w:val="28"/>
          <w:rtl/>
        </w:rPr>
        <w:t>גוף אחר סותר למספר</w:t>
      </w:r>
      <w:r w:rsidR="00B605C9">
        <w:rPr>
          <w:rFonts w:hint="cs"/>
          <w:b/>
          <w:bCs/>
          <w:sz w:val="28"/>
          <w:szCs w:val="28"/>
          <w:rtl/>
        </w:rPr>
        <w:t xml:space="preserve"> </w:t>
      </w:r>
      <w:r w:rsidR="00FE21C7">
        <w:rPr>
          <w:rFonts w:hint="cs"/>
          <w:b/>
          <w:bCs/>
          <w:sz w:val="28"/>
          <w:szCs w:val="28"/>
          <w:rtl/>
        </w:rPr>
        <w:t>שהוסכם ב</w:t>
      </w:r>
      <w:r w:rsidR="00F36ABD">
        <w:rPr>
          <w:rFonts w:hint="cs"/>
          <w:b/>
          <w:bCs/>
          <w:sz w:val="28"/>
          <w:szCs w:val="28"/>
          <w:rtl/>
        </w:rPr>
        <w:t>מין</w:t>
      </w:r>
      <w:r w:rsidR="00A63FD6">
        <w:rPr>
          <w:rStyle w:val="FootnoteReference"/>
          <w:b/>
          <w:bCs/>
          <w:sz w:val="28"/>
          <w:szCs w:val="28"/>
          <w:rtl/>
        </w:rPr>
        <w:footnoteReference w:id="314"/>
      </w:r>
      <w:r w:rsidR="00BA6B2A">
        <w:rPr>
          <w:rFonts w:hint="cs"/>
          <w:b/>
          <w:bCs/>
          <w:sz w:val="28"/>
          <w:szCs w:val="28"/>
          <w:rtl/>
        </w:rPr>
        <w:t>,</w:t>
      </w:r>
      <w:r w:rsidR="001705B6">
        <w:rPr>
          <w:rFonts w:hint="cs"/>
          <w:b/>
          <w:bCs/>
          <w:sz w:val="28"/>
          <w:szCs w:val="28"/>
          <w:rtl/>
        </w:rPr>
        <w:t xml:space="preserve"> </w:t>
      </w:r>
      <w:r w:rsidR="001C25E2">
        <w:rPr>
          <w:rFonts w:hint="cs"/>
          <w:b/>
          <w:bCs/>
          <w:sz w:val="28"/>
          <w:szCs w:val="28"/>
          <w:rtl/>
        </w:rPr>
        <w:t>ולא יהי</w:t>
      </w:r>
      <w:r w:rsidR="00AD0685">
        <w:rPr>
          <w:rFonts w:hint="cs"/>
          <w:b/>
          <w:bCs/>
          <w:sz w:val="28"/>
          <w:szCs w:val="28"/>
          <w:rtl/>
        </w:rPr>
        <w:t>ו</w:t>
      </w:r>
      <w:r w:rsidR="001C25E2">
        <w:rPr>
          <w:rFonts w:hint="cs"/>
          <w:b/>
          <w:bCs/>
          <w:sz w:val="28"/>
          <w:szCs w:val="28"/>
          <w:rtl/>
        </w:rPr>
        <w:t xml:space="preserve"> הגו</w:t>
      </w:r>
      <w:r w:rsidR="00AD0685">
        <w:rPr>
          <w:rFonts w:hint="cs"/>
          <w:b/>
          <w:bCs/>
          <w:sz w:val="28"/>
          <w:szCs w:val="28"/>
          <w:rtl/>
        </w:rPr>
        <w:t>פים</w:t>
      </w:r>
      <w:r w:rsidR="00281B70">
        <w:rPr>
          <w:rFonts w:hint="cs"/>
          <w:b/>
          <w:bCs/>
          <w:sz w:val="28"/>
          <w:szCs w:val="28"/>
          <w:rtl/>
        </w:rPr>
        <w:t xml:space="preserve"> </w:t>
      </w:r>
      <w:r w:rsidR="00166555">
        <w:rPr>
          <w:rFonts w:hint="cs"/>
          <w:b/>
          <w:bCs/>
          <w:sz w:val="28"/>
          <w:szCs w:val="28"/>
          <w:rtl/>
        </w:rPr>
        <w:t>על משל</w:t>
      </w:r>
      <w:r w:rsidR="00281B70">
        <w:rPr>
          <w:rFonts w:hint="cs"/>
          <w:b/>
          <w:bCs/>
          <w:sz w:val="28"/>
          <w:szCs w:val="28"/>
          <w:rtl/>
        </w:rPr>
        <w:t xml:space="preserve"> </w:t>
      </w:r>
      <w:r w:rsidR="00BA2BB1">
        <w:rPr>
          <w:rFonts w:hint="cs"/>
          <w:b/>
          <w:bCs/>
          <w:sz w:val="28"/>
          <w:szCs w:val="28"/>
          <w:rtl/>
        </w:rPr>
        <w:t xml:space="preserve">ההתחלה הצורנית הזו המשותפת, </w:t>
      </w:r>
      <w:r w:rsidR="002E4A39">
        <w:rPr>
          <w:rFonts w:hint="cs"/>
          <w:b/>
          <w:bCs/>
          <w:sz w:val="28"/>
          <w:szCs w:val="28"/>
          <w:rtl/>
        </w:rPr>
        <w:t>ו</w:t>
      </w:r>
      <w:r w:rsidR="00D009FA">
        <w:rPr>
          <w:rFonts w:hint="cs"/>
          <w:b/>
          <w:bCs/>
          <w:sz w:val="28"/>
          <w:szCs w:val="28"/>
          <w:rtl/>
        </w:rPr>
        <w:t>י</w:t>
      </w:r>
      <w:r w:rsidR="002E4A39">
        <w:rPr>
          <w:rFonts w:hint="cs"/>
          <w:b/>
          <w:bCs/>
          <w:sz w:val="28"/>
          <w:szCs w:val="28"/>
          <w:rtl/>
        </w:rPr>
        <w:t>תבאר</w:t>
      </w:r>
      <w:r w:rsidR="009D026A">
        <w:rPr>
          <w:rFonts w:hint="cs"/>
          <w:b/>
          <w:bCs/>
          <w:sz w:val="28"/>
          <w:szCs w:val="28"/>
          <w:rtl/>
        </w:rPr>
        <w:t xml:space="preserve"> לך במקום </w:t>
      </w:r>
      <w:r w:rsidR="009D75FD">
        <w:rPr>
          <w:rFonts w:hint="cs"/>
          <w:b/>
          <w:bCs/>
          <w:sz w:val="28"/>
          <w:szCs w:val="28"/>
          <w:rtl/>
        </w:rPr>
        <w:t>אחר</w:t>
      </w:r>
      <w:r w:rsidR="002E4A39">
        <w:rPr>
          <w:rFonts w:hint="cs"/>
          <w:b/>
          <w:bCs/>
          <w:sz w:val="28"/>
          <w:szCs w:val="28"/>
          <w:rtl/>
        </w:rPr>
        <w:t xml:space="preserve"> </w:t>
      </w:r>
      <w:r w:rsidR="00BE5658">
        <w:rPr>
          <w:rFonts w:hint="cs"/>
          <w:b/>
          <w:bCs/>
          <w:sz w:val="28"/>
          <w:szCs w:val="28"/>
          <w:rtl/>
        </w:rPr>
        <w:t xml:space="preserve">אמת </w:t>
      </w:r>
      <w:r w:rsidR="00882A9B">
        <w:rPr>
          <w:rFonts w:hint="cs"/>
          <w:b/>
          <w:bCs/>
          <w:sz w:val="28"/>
          <w:szCs w:val="28"/>
          <w:rtl/>
        </w:rPr>
        <w:t>אמרינו בנושא</w:t>
      </w:r>
      <w:r w:rsidR="00FC1E47">
        <w:rPr>
          <w:rFonts w:hint="cs"/>
          <w:b/>
          <w:bCs/>
          <w:sz w:val="28"/>
          <w:szCs w:val="28"/>
          <w:rtl/>
        </w:rPr>
        <w:t>.</w:t>
      </w:r>
    </w:p>
    <w:p w14:paraId="4B5D6108" w14:textId="31D17466" w:rsidR="005D06ED" w:rsidRDefault="00FC1E47" w:rsidP="00AF63E4">
      <w:pPr>
        <w:pStyle w:val="FootnoteText"/>
        <w:rPr>
          <w:b/>
          <w:bCs/>
          <w:sz w:val="28"/>
          <w:szCs w:val="28"/>
          <w:rtl/>
        </w:rPr>
      </w:pPr>
      <w:r>
        <w:rPr>
          <w:rFonts w:hint="cs"/>
          <w:b/>
          <w:bCs/>
          <w:sz w:val="28"/>
          <w:szCs w:val="28"/>
          <w:rtl/>
        </w:rPr>
        <w:t xml:space="preserve">ולא </w:t>
      </w:r>
      <w:r w:rsidR="007D1D43">
        <w:rPr>
          <w:rFonts w:hint="cs"/>
          <w:b/>
          <w:bCs/>
          <w:sz w:val="28"/>
          <w:szCs w:val="28"/>
          <w:rtl/>
        </w:rPr>
        <w:t>תהיה</w:t>
      </w:r>
      <w:r>
        <w:rPr>
          <w:rFonts w:hint="cs"/>
          <w:b/>
          <w:bCs/>
          <w:sz w:val="28"/>
          <w:szCs w:val="28"/>
          <w:rtl/>
        </w:rPr>
        <w:t xml:space="preserve"> </w:t>
      </w:r>
      <w:r w:rsidR="007D1D43">
        <w:rPr>
          <w:rFonts w:hint="cs"/>
          <w:b/>
          <w:bCs/>
          <w:sz w:val="28"/>
          <w:szCs w:val="28"/>
          <w:rtl/>
        </w:rPr>
        <w:t>ל</w:t>
      </w:r>
      <w:r>
        <w:rPr>
          <w:rFonts w:hint="cs"/>
          <w:b/>
          <w:bCs/>
          <w:sz w:val="28"/>
          <w:szCs w:val="28"/>
          <w:rtl/>
        </w:rPr>
        <w:t xml:space="preserve">גופים </w:t>
      </w:r>
      <w:r w:rsidR="00DF18DC">
        <w:rPr>
          <w:rFonts w:hint="cs"/>
          <w:b/>
          <w:bCs/>
          <w:sz w:val="28"/>
          <w:szCs w:val="28"/>
          <w:rtl/>
        </w:rPr>
        <w:t>התחלה צורנית באופן זה</w:t>
      </w:r>
      <w:r w:rsidR="00B23F31">
        <w:rPr>
          <w:rFonts w:hint="cs"/>
          <w:b/>
          <w:bCs/>
          <w:sz w:val="28"/>
          <w:szCs w:val="28"/>
          <w:rtl/>
        </w:rPr>
        <w:t xml:space="preserve"> כצורה </w:t>
      </w:r>
      <w:r w:rsidR="0064074B">
        <w:rPr>
          <w:rFonts w:hint="cs"/>
          <w:b/>
          <w:bCs/>
          <w:sz w:val="28"/>
          <w:szCs w:val="28"/>
          <w:rtl/>
        </w:rPr>
        <w:t xml:space="preserve">שאינה </w:t>
      </w:r>
      <w:r w:rsidR="00B23F31">
        <w:rPr>
          <w:rFonts w:hint="cs"/>
          <w:b/>
          <w:bCs/>
          <w:sz w:val="28"/>
          <w:szCs w:val="28"/>
          <w:rtl/>
        </w:rPr>
        <w:t>נפרדת</w:t>
      </w:r>
      <w:r w:rsidR="00580C1A">
        <w:rPr>
          <w:rFonts w:hint="cs"/>
          <w:b/>
          <w:bCs/>
          <w:sz w:val="28"/>
          <w:szCs w:val="28"/>
          <w:rtl/>
        </w:rPr>
        <w:t xml:space="preserve">, או </w:t>
      </w:r>
      <w:proofErr w:type="spellStart"/>
      <w:r w:rsidR="00FD4C2C">
        <w:rPr>
          <w:rFonts w:hint="cs"/>
          <w:b/>
          <w:bCs/>
          <w:sz w:val="28"/>
          <w:szCs w:val="28"/>
          <w:rtl/>
        </w:rPr>
        <w:t>למקצת</w:t>
      </w:r>
      <w:proofErr w:type="spellEnd"/>
      <w:r w:rsidR="00FD4C2C">
        <w:rPr>
          <w:rFonts w:hint="cs"/>
          <w:b/>
          <w:bCs/>
          <w:sz w:val="28"/>
          <w:szCs w:val="28"/>
          <w:rtl/>
        </w:rPr>
        <w:t xml:space="preserve"> </w:t>
      </w:r>
      <w:r w:rsidR="00580C1A">
        <w:rPr>
          <w:rFonts w:hint="cs"/>
          <w:b/>
          <w:bCs/>
          <w:sz w:val="28"/>
          <w:szCs w:val="28"/>
          <w:rtl/>
        </w:rPr>
        <w:t>מהגופים,</w:t>
      </w:r>
      <w:r w:rsidR="00DB4846" w:rsidRPr="00BC04EC">
        <w:rPr>
          <w:rFonts w:hint="cs"/>
          <w:b/>
          <w:bCs/>
          <w:sz w:val="28"/>
          <w:szCs w:val="28"/>
          <w:rtl/>
        </w:rPr>
        <w:t xml:space="preserve"> </w:t>
      </w:r>
      <w:r w:rsidR="009949B9">
        <w:rPr>
          <w:rFonts w:hint="cs"/>
          <w:b/>
          <w:bCs/>
          <w:sz w:val="28"/>
          <w:szCs w:val="28"/>
          <w:rtl/>
        </w:rPr>
        <w:t xml:space="preserve">או </w:t>
      </w:r>
      <w:r w:rsidR="00B0347C">
        <w:rPr>
          <w:rFonts w:hint="cs"/>
          <w:b/>
          <w:bCs/>
          <w:sz w:val="28"/>
          <w:szCs w:val="28"/>
          <w:rtl/>
        </w:rPr>
        <w:t>ל</w:t>
      </w:r>
      <w:r w:rsidR="009949B9">
        <w:rPr>
          <w:rFonts w:hint="cs"/>
          <w:b/>
          <w:bCs/>
          <w:sz w:val="28"/>
          <w:szCs w:val="28"/>
          <w:rtl/>
        </w:rPr>
        <w:t>גוף אחד</w:t>
      </w:r>
      <w:r w:rsidR="009949B9" w:rsidRPr="00D31D2D">
        <w:rPr>
          <w:b/>
          <w:bCs/>
          <w:sz w:val="28"/>
          <w:szCs w:val="28"/>
          <w:rtl/>
        </w:rPr>
        <w:t xml:space="preserve">, </w:t>
      </w:r>
      <w:r w:rsidR="00EF3DDA" w:rsidRPr="00D31D2D">
        <w:rPr>
          <w:b/>
          <w:bCs/>
          <w:sz w:val="28"/>
          <w:szCs w:val="28"/>
          <w:rtl/>
        </w:rPr>
        <w:t>ותה</w:t>
      </w:r>
      <w:r w:rsidR="00D31D2D" w:rsidRPr="00D31D2D">
        <w:rPr>
          <w:b/>
          <w:bCs/>
          <w:sz w:val="28"/>
          <w:szCs w:val="28"/>
          <w:rtl/>
        </w:rPr>
        <w:t>י</w:t>
      </w:r>
      <w:r w:rsidR="00EF3DDA" w:rsidRPr="00D31D2D">
        <w:rPr>
          <w:b/>
          <w:bCs/>
          <w:sz w:val="28"/>
          <w:szCs w:val="28"/>
          <w:rtl/>
        </w:rPr>
        <w:t>ה בוודאי</w:t>
      </w:r>
      <w:r w:rsidR="00555E03" w:rsidRPr="00D31D2D">
        <w:rPr>
          <w:b/>
          <w:bCs/>
          <w:sz w:val="28"/>
          <w:szCs w:val="28"/>
          <w:rtl/>
        </w:rPr>
        <w:t xml:space="preserve"> הת</w:t>
      </w:r>
      <w:r w:rsidR="00555E03">
        <w:rPr>
          <w:rFonts w:hint="cs"/>
          <w:b/>
          <w:bCs/>
          <w:sz w:val="28"/>
          <w:szCs w:val="28"/>
          <w:rtl/>
        </w:rPr>
        <w:t>חלה צורנית זו</w:t>
      </w:r>
      <w:r w:rsidR="009B18FC">
        <w:rPr>
          <w:rFonts w:hint="cs"/>
          <w:b/>
          <w:bCs/>
          <w:sz w:val="28"/>
          <w:szCs w:val="28"/>
          <w:rtl/>
        </w:rPr>
        <w:t xml:space="preserve"> </w:t>
      </w:r>
      <w:r w:rsidR="00682CB3">
        <w:rPr>
          <w:rFonts w:hint="cs"/>
          <w:b/>
          <w:bCs/>
          <w:sz w:val="28"/>
          <w:szCs w:val="28"/>
          <w:rtl/>
        </w:rPr>
        <w:t>מתמדת</w:t>
      </w:r>
      <w:r w:rsidR="0006390D">
        <w:rPr>
          <w:rFonts w:hint="cs"/>
          <w:b/>
          <w:bCs/>
          <w:sz w:val="28"/>
          <w:szCs w:val="28"/>
          <w:rtl/>
        </w:rPr>
        <w:t xml:space="preserve"> ביחד</w:t>
      </w:r>
      <w:r w:rsidR="00021FE7">
        <w:rPr>
          <w:rFonts w:hint="cs"/>
          <w:b/>
          <w:bCs/>
          <w:sz w:val="28"/>
          <w:szCs w:val="28"/>
          <w:rtl/>
        </w:rPr>
        <w:t xml:space="preserve"> </w:t>
      </w:r>
      <w:r w:rsidR="0006390D">
        <w:rPr>
          <w:rFonts w:hint="cs"/>
          <w:b/>
          <w:bCs/>
          <w:sz w:val="28"/>
          <w:szCs w:val="28"/>
          <w:rtl/>
        </w:rPr>
        <w:t>עם ההיולי</w:t>
      </w:r>
      <w:r w:rsidR="00021FE7">
        <w:rPr>
          <w:rFonts w:hint="cs"/>
          <w:b/>
          <w:bCs/>
          <w:sz w:val="28"/>
          <w:szCs w:val="28"/>
          <w:rtl/>
        </w:rPr>
        <w:t xml:space="preserve"> ולא תהיה ממה שמתהווה ונפסד</w:t>
      </w:r>
      <w:r w:rsidR="00555E03">
        <w:rPr>
          <w:rFonts w:hint="cs"/>
          <w:b/>
          <w:bCs/>
          <w:sz w:val="28"/>
          <w:szCs w:val="28"/>
          <w:rtl/>
        </w:rPr>
        <w:t xml:space="preserve"> </w:t>
      </w:r>
      <w:r w:rsidR="00021FE7">
        <w:rPr>
          <w:rFonts w:hint="cs"/>
          <w:b/>
          <w:bCs/>
          <w:sz w:val="28"/>
          <w:szCs w:val="28"/>
          <w:rtl/>
        </w:rPr>
        <w:t>אלא</w:t>
      </w:r>
      <w:r w:rsidR="00920E94">
        <w:rPr>
          <w:b/>
          <w:bCs/>
          <w:sz w:val="28"/>
          <w:szCs w:val="28"/>
        </w:rPr>
        <w:t xml:space="preserve"> </w:t>
      </w:r>
      <w:r w:rsidR="00280163">
        <w:rPr>
          <w:rFonts w:hint="cs"/>
          <w:b/>
          <w:bCs/>
          <w:sz w:val="28"/>
          <w:szCs w:val="28"/>
          <w:rtl/>
        </w:rPr>
        <w:t xml:space="preserve">תתייחס גם </w:t>
      </w:r>
      <w:r w:rsidR="00BB6165">
        <w:rPr>
          <w:rFonts w:hint="cs"/>
          <w:b/>
          <w:bCs/>
          <w:sz w:val="28"/>
          <w:szCs w:val="28"/>
          <w:rtl/>
        </w:rPr>
        <w:t xml:space="preserve">היא </w:t>
      </w:r>
      <w:r w:rsidR="00280163">
        <w:rPr>
          <w:rFonts w:hint="cs"/>
          <w:b/>
          <w:bCs/>
          <w:sz w:val="28"/>
          <w:szCs w:val="28"/>
          <w:rtl/>
        </w:rPr>
        <w:t>לבריאה הל</w:t>
      </w:r>
      <w:r w:rsidR="000E5985">
        <w:rPr>
          <w:rFonts w:hint="cs"/>
          <w:b/>
          <w:bCs/>
          <w:sz w:val="28"/>
          <w:szCs w:val="28"/>
          <w:rtl/>
        </w:rPr>
        <w:t>א</w:t>
      </w:r>
      <w:r w:rsidR="00280163">
        <w:rPr>
          <w:rFonts w:hint="cs"/>
          <w:b/>
          <w:bCs/>
          <w:sz w:val="28"/>
          <w:szCs w:val="28"/>
          <w:rtl/>
        </w:rPr>
        <w:t xml:space="preserve"> זמנית (</w:t>
      </w:r>
      <w:proofErr w:type="spellStart"/>
      <w:r w:rsidR="00280163">
        <w:rPr>
          <w:rFonts w:hint="cs"/>
          <w:b/>
          <w:bCs/>
          <w:sz w:val="28"/>
          <w:szCs w:val="28"/>
          <w:rtl/>
        </w:rPr>
        <w:t>איבדע</w:t>
      </w:r>
      <w:proofErr w:type="spellEnd"/>
      <w:r w:rsidR="00D05EDE">
        <w:rPr>
          <w:rStyle w:val="FootnoteReference"/>
          <w:b/>
          <w:bCs/>
          <w:sz w:val="28"/>
          <w:szCs w:val="28"/>
          <w:rtl/>
        </w:rPr>
        <w:footnoteReference w:id="315"/>
      </w:r>
      <w:r w:rsidR="00280163">
        <w:rPr>
          <w:rFonts w:hint="cs"/>
          <w:b/>
          <w:bCs/>
          <w:sz w:val="28"/>
          <w:szCs w:val="28"/>
          <w:rtl/>
        </w:rPr>
        <w:t>)</w:t>
      </w:r>
      <w:r w:rsidR="006C310C">
        <w:rPr>
          <w:rFonts w:hint="cs"/>
          <w:b/>
          <w:bCs/>
          <w:sz w:val="28"/>
          <w:szCs w:val="28"/>
          <w:rtl/>
        </w:rPr>
        <w:t>.</w:t>
      </w:r>
    </w:p>
    <w:p w14:paraId="5869EB77" w14:textId="45D40662" w:rsidR="008B6795" w:rsidRDefault="005D06ED" w:rsidP="003266A1">
      <w:pPr>
        <w:pStyle w:val="Heading4"/>
        <w:rPr>
          <w:b w:val="0"/>
          <w:bCs w:val="0"/>
          <w:rtl/>
        </w:rPr>
      </w:pPr>
      <w:bookmarkStart w:id="182" w:name="_Toc119092633"/>
      <w:r>
        <w:rPr>
          <w:rFonts w:hint="cs"/>
          <w:b w:val="0"/>
          <w:bCs w:val="0"/>
          <w:rtl/>
        </w:rPr>
        <w:t>1.3.4</w:t>
      </w:r>
      <w:bookmarkEnd w:id="182"/>
      <w:r w:rsidR="00021FE7">
        <w:rPr>
          <w:rFonts w:hint="cs"/>
          <w:rtl/>
        </w:rPr>
        <w:t xml:space="preserve"> </w:t>
      </w:r>
    </w:p>
    <w:p w14:paraId="1D1E24D8" w14:textId="73328B33" w:rsidR="0074556C" w:rsidRDefault="00E247F1" w:rsidP="00AF63E4">
      <w:pPr>
        <w:pStyle w:val="FootnoteText"/>
        <w:rPr>
          <w:b/>
          <w:bCs/>
          <w:sz w:val="28"/>
          <w:szCs w:val="28"/>
          <w:rtl/>
        </w:rPr>
      </w:pPr>
      <w:r>
        <w:rPr>
          <w:rFonts w:hint="cs"/>
          <w:b/>
          <w:bCs/>
          <w:sz w:val="28"/>
          <w:szCs w:val="28"/>
          <w:rtl/>
        </w:rPr>
        <w:t>באשר להעדר</w:t>
      </w:r>
      <w:r w:rsidR="006D3947">
        <w:rPr>
          <w:rStyle w:val="FootnoteReference"/>
          <w:b/>
          <w:bCs/>
          <w:sz w:val="28"/>
          <w:szCs w:val="28"/>
          <w:rtl/>
        </w:rPr>
        <w:footnoteReference w:id="316"/>
      </w:r>
      <w:r w:rsidR="00E43DD9">
        <w:rPr>
          <w:rFonts w:hint="cs"/>
          <w:b/>
          <w:bCs/>
          <w:sz w:val="28"/>
          <w:szCs w:val="28"/>
          <w:rtl/>
        </w:rPr>
        <w:t xml:space="preserve">, </w:t>
      </w:r>
      <w:r w:rsidR="00C70805">
        <w:rPr>
          <w:rFonts w:hint="cs"/>
          <w:b/>
          <w:bCs/>
          <w:sz w:val="28"/>
          <w:szCs w:val="28"/>
          <w:rtl/>
        </w:rPr>
        <w:t xml:space="preserve">ברור </w:t>
      </w:r>
      <w:r w:rsidR="00F17A96">
        <w:rPr>
          <w:rFonts w:hint="cs"/>
          <w:b/>
          <w:bCs/>
          <w:sz w:val="28"/>
          <w:szCs w:val="28"/>
          <w:rtl/>
        </w:rPr>
        <w:t xml:space="preserve">היטב </w:t>
      </w:r>
      <w:r w:rsidR="00B85960">
        <w:rPr>
          <w:rFonts w:hint="cs"/>
          <w:b/>
          <w:bCs/>
          <w:sz w:val="28"/>
          <w:szCs w:val="28"/>
          <w:rtl/>
        </w:rPr>
        <w:t xml:space="preserve">מעניינו </w:t>
      </w:r>
      <w:r w:rsidR="00C70805">
        <w:rPr>
          <w:rFonts w:hint="cs"/>
          <w:b/>
          <w:bCs/>
          <w:sz w:val="28"/>
          <w:szCs w:val="28"/>
          <w:rtl/>
        </w:rPr>
        <w:t>שלא יתכן</w:t>
      </w:r>
      <w:r w:rsidR="00B56B9E">
        <w:rPr>
          <w:rFonts w:hint="cs"/>
          <w:b/>
          <w:bCs/>
          <w:sz w:val="28"/>
          <w:szCs w:val="28"/>
          <w:rtl/>
        </w:rPr>
        <w:t xml:space="preserve"> שיהיה</w:t>
      </w:r>
      <w:r w:rsidR="00805FCB">
        <w:rPr>
          <w:rFonts w:hint="cs"/>
          <w:b/>
          <w:bCs/>
          <w:sz w:val="28"/>
          <w:szCs w:val="28"/>
          <w:rtl/>
        </w:rPr>
        <w:t xml:space="preserve"> העדר </w:t>
      </w:r>
      <w:r w:rsidR="00323377">
        <w:rPr>
          <w:rFonts w:hint="cs"/>
          <w:b/>
          <w:bCs/>
          <w:sz w:val="28"/>
          <w:szCs w:val="28"/>
          <w:rtl/>
        </w:rPr>
        <w:t>משותף</w:t>
      </w:r>
      <w:r w:rsidR="00805FCB">
        <w:rPr>
          <w:rFonts w:hint="cs"/>
          <w:b/>
          <w:bCs/>
          <w:sz w:val="28"/>
          <w:szCs w:val="28"/>
          <w:rtl/>
        </w:rPr>
        <w:t xml:space="preserve"> ב</w:t>
      </w:r>
      <w:r w:rsidR="00594B6D">
        <w:rPr>
          <w:rFonts w:hint="cs"/>
          <w:b/>
          <w:bCs/>
          <w:sz w:val="28"/>
          <w:szCs w:val="28"/>
          <w:rtl/>
        </w:rPr>
        <w:t xml:space="preserve">דרך </w:t>
      </w:r>
      <w:r w:rsidR="00805FCB">
        <w:rPr>
          <w:rFonts w:hint="cs"/>
          <w:b/>
          <w:bCs/>
          <w:sz w:val="28"/>
          <w:szCs w:val="28"/>
          <w:rtl/>
        </w:rPr>
        <w:t>הראשו</w:t>
      </w:r>
      <w:r w:rsidR="00594B6D">
        <w:rPr>
          <w:rFonts w:hint="cs"/>
          <w:b/>
          <w:bCs/>
          <w:sz w:val="28"/>
          <w:szCs w:val="28"/>
          <w:rtl/>
        </w:rPr>
        <w:t>נה</w:t>
      </w:r>
      <w:r w:rsidR="00323377">
        <w:rPr>
          <w:rStyle w:val="FootnoteReference"/>
          <w:b/>
          <w:bCs/>
          <w:sz w:val="28"/>
          <w:szCs w:val="28"/>
          <w:rtl/>
        </w:rPr>
        <w:footnoteReference w:id="317"/>
      </w:r>
      <w:r w:rsidR="00805FCB">
        <w:rPr>
          <w:rFonts w:hint="cs"/>
          <w:b/>
          <w:bCs/>
          <w:sz w:val="28"/>
          <w:szCs w:val="28"/>
          <w:rtl/>
        </w:rPr>
        <w:t>.</w:t>
      </w:r>
      <w:r w:rsidR="0016542E">
        <w:rPr>
          <w:rFonts w:hint="cs"/>
          <w:b/>
          <w:bCs/>
          <w:sz w:val="28"/>
          <w:szCs w:val="28"/>
          <w:rtl/>
        </w:rPr>
        <w:t xml:space="preserve"> משום שההעדר הוא העדר של משהו, </w:t>
      </w:r>
      <w:r w:rsidR="00A10844">
        <w:rPr>
          <w:rFonts w:hint="cs"/>
          <w:b/>
          <w:bCs/>
          <w:sz w:val="28"/>
          <w:szCs w:val="28"/>
          <w:rtl/>
        </w:rPr>
        <w:t xml:space="preserve">שמצד עצמו הוא מתהווה, </w:t>
      </w:r>
      <w:r w:rsidR="009F3D6C">
        <w:rPr>
          <w:rFonts w:hint="cs"/>
          <w:b/>
          <w:bCs/>
          <w:sz w:val="28"/>
          <w:szCs w:val="28"/>
          <w:rtl/>
        </w:rPr>
        <w:t xml:space="preserve">ולא רחוק שיתהווה, </w:t>
      </w:r>
      <w:r w:rsidR="00A94C4E">
        <w:rPr>
          <w:rFonts w:hint="cs"/>
          <w:b/>
          <w:bCs/>
          <w:sz w:val="28"/>
          <w:szCs w:val="28"/>
          <w:rtl/>
        </w:rPr>
        <w:t>וב</w:t>
      </w:r>
      <w:r w:rsidR="00C9237F">
        <w:rPr>
          <w:rFonts w:hint="cs"/>
          <w:b/>
          <w:bCs/>
          <w:sz w:val="28"/>
          <w:szCs w:val="28"/>
          <w:rtl/>
        </w:rPr>
        <w:t>אותה עת</w:t>
      </w:r>
      <w:r w:rsidR="00A94C4E">
        <w:rPr>
          <w:rFonts w:hint="cs"/>
          <w:b/>
          <w:bCs/>
          <w:sz w:val="28"/>
          <w:szCs w:val="28"/>
          <w:rtl/>
        </w:rPr>
        <w:t xml:space="preserve"> ההעדר לא יישאר</w:t>
      </w:r>
      <w:r w:rsidR="00266C46">
        <w:rPr>
          <w:rFonts w:hint="cs"/>
          <w:b/>
          <w:bCs/>
          <w:sz w:val="28"/>
          <w:szCs w:val="28"/>
          <w:rtl/>
        </w:rPr>
        <w:t xml:space="preserve">, ובאותה העת </w:t>
      </w:r>
      <w:r w:rsidR="0058588F">
        <w:rPr>
          <w:rFonts w:hint="cs"/>
          <w:b/>
          <w:bCs/>
          <w:sz w:val="28"/>
          <w:szCs w:val="28"/>
          <w:rtl/>
        </w:rPr>
        <w:t>לא יהיה משותף</w:t>
      </w:r>
      <w:r w:rsidR="0015559C">
        <w:rPr>
          <w:rStyle w:val="FootnoteReference"/>
          <w:b/>
          <w:bCs/>
          <w:sz w:val="28"/>
          <w:szCs w:val="28"/>
          <w:rtl/>
        </w:rPr>
        <w:footnoteReference w:id="318"/>
      </w:r>
      <w:r w:rsidR="00A94C4E">
        <w:rPr>
          <w:rFonts w:hint="cs"/>
          <w:b/>
          <w:bCs/>
          <w:sz w:val="28"/>
          <w:szCs w:val="28"/>
          <w:rtl/>
        </w:rPr>
        <w:t xml:space="preserve">. </w:t>
      </w:r>
    </w:p>
    <w:p w14:paraId="2637CCE8" w14:textId="07626077" w:rsidR="004F529E" w:rsidRDefault="0007234D" w:rsidP="003266A1">
      <w:pPr>
        <w:pStyle w:val="Heading4"/>
        <w:rPr>
          <w:b w:val="0"/>
          <w:bCs w:val="0"/>
          <w:rtl/>
        </w:rPr>
      </w:pPr>
      <w:bookmarkStart w:id="183" w:name="_Toc119092634"/>
      <w:r>
        <w:rPr>
          <w:rFonts w:hint="cs"/>
          <w:b w:val="0"/>
          <w:bCs w:val="0"/>
          <w:rtl/>
        </w:rPr>
        <w:t>1.3.5</w:t>
      </w:r>
      <w:bookmarkEnd w:id="183"/>
    </w:p>
    <w:p w14:paraId="68A2778E" w14:textId="11F2F022" w:rsidR="0048195A" w:rsidRDefault="00DA46D5" w:rsidP="00AF63E4">
      <w:pPr>
        <w:pStyle w:val="FootnoteText"/>
        <w:rPr>
          <w:b/>
          <w:bCs/>
          <w:sz w:val="28"/>
          <w:szCs w:val="28"/>
        </w:rPr>
      </w:pPr>
      <w:r>
        <w:rPr>
          <w:rFonts w:hint="cs"/>
          <w:b/>
          <w:bCs/>
          <w:sz w:val="28"/>
          <w:szCs w:val="28"/>
          <w:rtl/>
        </w:rPr>
        <w:t>לגבי מה שמשותף בדרך השנייה</w:t>
      </w:r>
      <w:r w:rsidR="00DC5E0C">
        <w:rPr>
          <w:rStyle w:val="FootnoteReference"/>
          <w:b/>
          <w:bCs/>
          <w:sz w:val="28"/>
          <w:szCs w:val="28"/>
          <w:rtl/>
        </w:rPr>
        <w:footnoteReference w:id="319"/>
      </w:r>
      <w:r>
        <w:rPr>
          <w:rFonts w:hint="cs"/>
          <w:b/>
          <w:bCs/>
          <w:sz w:val="28"/>
          <w:szCs w:val="28"/>
          <w:rtl/>
        </w:rPr>
        <w:t>,</w:t>
      </w:r>
      <w:r w:rsidR="00CF22E0">
        <w:rPr>
          <w:rFonts w:hint="cs"/>
          <w:b/>
          <w:bCs/>
          <w:sz w:val="28"/>
          <w:szCs w:val="28"/>
          <w:rtl/>
        </w:rPr>
        <w:t xml:space="preserve"> שלושת </w:t>
      </w:r>
      <w:r w:rsidR="00483769">
        <w:rPr>
          <w:rFonts w:hint="cs"/>
          <w:b/>
          <w:bCs/>
          <w:sz w:val="28"/>
          <w:szCs w:val="28"/>
          <w:rtl/>
        </w:rPr>
        <w:t>המובנים שיש ל'התחלה'</w:t>
      </w:r>
      <w:r w:rsidR="00F3209B">
        <w:rPr>
          <w:rStyle w:val="FootnoteReference"/>
          <w:b/>
          <w:bCs/>
          <w:sz w:val="28"/>
          <w:szCs w:val="28"/>
          <w:rtl/>
        </w:rPr>
        <w:footnoteReference w:id="320"/>
      </w:r>
      <w:r w:rsidR="00483769">
        <w:rPr>
          <w:rFonts w:hint="cs"/>
          <w:b/>
          <w:bCs/>
          <w:sz w:val="28"/>
          <w:szCs w:val="28"/>
          <w:rtl/>
        </w:rPr>
        <w:t xml:space="preserve">, </w:t>
      </w:r>
      <w:r w:rsidR="006C310E">
        <w:rPr>
          <w:rFonts w:hint="cs"/>
          <w:b/>
          <w:bCs/>
          <w:sz w:val="28"/>
          <w:szCs w:val="28"/>
          <w:rtl/>
        </w:rPr>
        <w:t>יימצאו</w:t>
      </w:r>
      <w:r w:rsidR="00F3209B">
        <w:rPr>
          <w:rFonts w:hint="cs"/>
          <w:b/>
          <w:bCs/>
          <w:sz w:val="28"/>
          <w:szCs w:val="28"/>
          <w:rtl/>
        </w:rPr>
        <w:t xml:space="preserve"> משותפים</w:t>
      </w:r>
      <w:r w:rsidR="00DB5317">
        <w:rPr>
          <w:rFonts w:hint="cs"/>
          <w:b/>
          <w:bCs/>
          <w:sz w:val="28"/>
          <w:szCs w:val="28"/>
          <w:rtl/>
        </w:rPr>
        <w:t xml:space="preserve"> ל</w:t>
      </w:r>
      <w:r w:rsidR="00060D74">
        <w:rPr>
          <w:rFonts w:hint="cs"/>
          <w:b/>
          <w:bCs/>
          <w:sz w:val="28"/>
          <w:szCs w:val="28"/>
          <w:rtl/>
        </w:rPr>
        <w:t>נמצאים ולמשתנים</w:t>
      </w:r>
      <w:r w:rsidR="00ED6501">
        <w:rPr>
          <w:rStyle w:val="FootnoteReference"/>
          <w:b/>
          <w:bCs/>
          <w:sz w:val="28"/>
          <w:szCs w:val="28"/>
          <w:rtl/>
        </w:rPr>
        <w:footnoteReference w:id="321"/>
      </w:r>
      <w:r w:rsidR="00425172">
        <w:rPr>
          <w:rFonts w:hint="cs"/>
          <w:b/>
          <w:bCs/>
          <w:sz w:val="28"/>
          <w:szCs w:val="28"/>
          <w:rtl/>
        </w:rPr>
        <w:t xml:space="preserve">, </w:t>
      </w:r>
      <w:r w:rsidR="00635C73">
        <w:rPr>
          <w:rFonts w:hint="cs"/>
          <w:b/>
          <w:bCs/>
          <w:sz w:val="28"/>
          <w:szCs w:val="28"/>
          <w:rtl/>
        </w:rPr>
        <w:t>כיוון ש</w:t>
      </w:r>
      <w:r w:rsidR="00004B31">
        <w:rPr>
          <w:rFonts w:hint="cs"/>
          <w:b/>
          <w:bCs/>
          <w:sz w:val="28"/>
          <w:szCs w:val="28"/>
          <w:rtl/>
        </w:rPr>
        <w:t>הם</w:t>
      </w:r>
      <w:r w:rsidR="00635C73">
        <w:rPr>
          <w:rFonts w:hint="cs"/>
          <w:b/>
          <w:bCs/>
          <w:sz w:val="28"/>
          <w:szCs w:val="28"/>
          <w:rtl/>
        </w:rPr>
        <w:t xml:space="preserve"> משותפים </w:t>
      </w:r>
      <w:r w:rsidR="00CF008B">
        <w:rPr>
          <w:rFonts w:hint="cs"/>
          <w:b/>
          <w:bCs/>
          <w:sz w:val="28"/>
          <w:szCs w:val="28"/>
          <w:rtl/>
        </w:rPr>
        <w:t>לכ</w:t>
      </w:r>
      <w:r w:rsidR="00432341">
        <w:rPr>
          <w:rFonts w:hint="cs"/>
          <w:b/>
          <w:bCs/>
          <w:sz w:val="28"/>
          <w:szCs w:val="28"/>
          <w:rtl/>
        </w:rPr>
        <w:t>ו</w:t>
      </w:r>
      <w:r w:rsidR="00CF008B">
        <w:rPr>
          <w:rFonts w:hint="cs"/>
          <w:b/>
          <w:bCs/>
          <w:sz w:val="28"/>
          <w:szCs w:val="28"/>
          <w:rtl/>
        </w:rPr>
        <w:t>ל</w:t>
      </w:r>
      <w:r w:rsidR="00432341">
        <w:rPr>
          <w:rFonts w:hint="cs"/>
          <w:b/>
          <w:bCs/>
          <w:sz w:val="28"/>
          <w:szCs w:val="28"/>
          <w:rtl/>
        </w:rPr>
        <w:t>ם</w:t>
      </w:r>
      <w:r w:rsidR="001045E9">
        <w:rPr>
          <w:rFonts w:hint="cs"/>
          <w:b/>
          <w:bCs/>
          <w:sz w:val="28"/>
          <w:szCs w:val="28"/>
          <w:rtl/>
        </w:rPr>
        <w:t>,</w:t>
      </w:r>
      <w:r w:rsidR="001F1335">
        <w:rPr>
          <w:rFonts w:hint="cs"/>
          <w:b/>
          <w:bCs/>
          <w:sz w:val="28"/>
          <w:szCs w:val="28"/>
          <w:rtl/>
        </w:rPr>
        <w:t xml:space="preserve"> </w:t>
      </w:r>
      <w:r w:rsidR="0047049C">
        <w:rPr>
          <w:rFonts w:hint="cs"/>
          <w:b/>
          <w:bCs/>
          <w:sz w:val="28"/>
          <w:szCs w:val="28"/>
          <w:rtl/>
        </w:rPr>
        <w:t>במה שבכ</w:t>
      </w:r>
      <w:r w:rsidR="00EA07FD">
        <w:rPr>
          <w:rFonts w:hint="cs"/>
          <w:b/>
          <w:bCs/>
          <w:sz w:val="28"/>
          <w:szCs w:val="28"/>
          <w:rtl/>
        </w:rPr>
        <w:t>ו</w:t>
      </w:r>
      <w:r w:rsidR="0047049C">
        <w:rPr>
          <w:rFonts w:hint="cs"/>
          <w:b/>
          <w:bCs/>
          <w:sz w:val="28"/>
          <w:szCs w:val="28"/>
          <w:rtl/>
        </w:rPr>
        <w:t>ל</w:t>
      </w:r>
      <w:r w:rsidR="00EA07FD">
        <w:rPr>
          <w:rFonts w:hint="cs"/>
          <w:b/>
          <w:bCs/>
          <w:sz w:val="28"/>
          <w:szCs w:val="28"/>
          <w:rtl/>
        </w:rPr>
        <w:t>ם</w:t>
      </w:r>
      <w:r w:rsidR="00233BAB">
        <w:rPr>
          <w:rStyle w:val="FootnoteReference"/>
          <w:b/>
          <w:bCs/>
          <w:sz w:val="28"/>
          <w:szCs w:val="28"/>
          <w:rtl/>
        </w:rPr>
        <w:footnoteReference w:id="322"/>
      </w:r>
      <w:r w:rsidR="0047049C">
        <w:rPr>
          <w:rFonts w:hint="cs"/>
          <w:b/>
          <w:bCs/>
          <w:sz w:val="28"/>
          <w:szCs w:val="28"/>
          <w:rtl/>
        </w:rPr>
        <w:t xml:space="preserve"> </w:t>
      </w:r>
      <w:r w:rsidR="001F1335">
        <w:rPr>
          <w:rFonts w:hint="cs"/>
          <w:b/>
          <w:bCs/>
          <w:sz w:val="28"/>
          <w:szCs w:val="28"/>
          <w:rtl/>
        </w:rPr>
        <w:t xml:space="preserve">יש </w:t>
      </w:r>
      <w:r w:rsidR="00CF008B">
        <w:rPr>
          <w:rFonts w:hint="cs"/>
          <w:b/>
          <w:bCs/>
          <w:sz w:val="28"/>
          <w:szCs w:val="28"/>
          <w:rtl/>
        </w:rPr>
        <w:t>היולי צורה והעדר.</w:t>
      </w:r>
    </w:p>
    <w:p w14:paraId="5FC65F30" w14:textId="77777777" w:rsidR="007A7B16" w:rsidRDefault="007A7B16" w:rsidP="003266A1">
      <w:pPr>
        <w:pStyle w:val="Heading4"/>
        <w:rPr>
          <w:b w:val="0"/>
          <w:bCs w:val="0"/>
          <w:rtl/>
        </w:rPr>
      </w:pPr>
      <w:bookmarkStart w:id="184" w:name="_Toc119092635"/>
      <w:r>
        <w:rPr>
          <w:rFonts w:hint="cs"/>
          <w:b w:val="0"/>
          <w:bCs w:val="0"/>
          <w:rtl/>
        </w:rPr>
        <w:t>1.3.6</w:t>
      </w:r>
      <w:bookmarkEnd w:id="184"/>
    </w:p>
    <w:p w14:paraId="58ED5AB2" w14:textId="71082F36" w:rsidR="000C465D" w:rsidRDefault="00E03AF2" w:rsidP="00BA6B2A">
      <w:pPr>
        <w:pStyle w:val="FootnoteText"/>
        <w:rPr>
          <w:b/>
          <w:bCs/>
          <w:sz w:val="28"/>
          <w:szCs w:val="28"/>
          <w:rtl/>
        </w:rPr>
      </w:pPr>
      <w:r>
        <w:rPr>
          <w:rFonts w:hint="cs"/>
          <w:b/>
          <w:bCs/>
          <w:sz w:val="28"/>
          <w:szCs w:val="28"/>
          <w:rtl/>
        </w:rPr>
        <w:t>והמשותף הזה</w:t>
      </w:r>
      <w:r w:rsidR="003034AF">
        <w:rPr>
          <w:rFonts w:hint="cs"/>
          <w:b/>
          <w:bCs/>
          <w:sz w:val="28"/>
          <w:szCs w:val="28"/>
          <w:rtl/>
        </w:rPr>
        <w:t xml:space="preserve"> </w:t>
      </w:r>
      <w:r w:rsidR="00751F81">
        <w:rPr>
          <w:rFonts w:hint="cs"/>
          <w:b/>
          <w:bCs/>
          <w:sz w:val="28"/>
          <w:szCs w:val="28"/>
          <w:rtl/>
        </w:rPr>
        <w:t>שייאמר על</w:t>
      </w:r>
      <w:r>
        <w:rPr>
          <w:rFonts w:hint="cs"/>
          <w:b/>
          <w:bCs/>
          <w:sz w:val="28"/>
          <w:szCs w:val="28"/>
          <w:rtl/>
        </w:rPr>
        <w:t>יו</w:t>
      </w:r>
      <w:r w:rsidR="00751F81">
        <w:rPr>
          <w:rFonts w:hint="cs"/>
          <w:b/>
          <w:bCs/>
          <w:sz w:val="28"/>
          <w:szCs w:val="28"/>
          <w:rtl/>
        </w:rPr>
        <w:t xml:space="preserve"> 'לא מתהוו</w:t>
      </w:r>
      <w:r w:rsidR="00C141D8">
        <w:rPr>
          <w:rFonts w:hint="cs"/>
          <w:b/>
          <w:bCs/>
          <w:sz w:val="28"/>
          <w:szCs w:val="28"/>
          <w:rtl/>
        </w:rPr>
        <w:t>ה</w:t>
      </w:r>
      <w:r w:rsidR="00751F81">
        <w:rPr>
          <w:rFonts w:hint="cs"/>
          <w:b/>
          <w:bCs/>
          <w:sz w:val="28"/>
          <w:szCs w:val="28"/>
          <w:rtl/>
        </w:rPr>
        <w:t xml:space="preserve"> ולא נפסד'</w:t>
      </w:r>
      <w:r w:rsidR="00282060">
        <w:rPr>
          <w:rFonts w:hint="cs"/>
          <w:b/>
          <w:bCs/>
          <w:sz w:val="28"/>
          <w:szCs w:val="28"/>
          <w:rtl/>
        </w:rPr>
        <w:t xml:space="preserve"> </w:t>
      </w:r>
      <w:r w:rsidR="00282060" w:rsidRPr="41372542">
        <w:rPr>
          <w:b/>
          <w:bCs/>
          <w:sz w:val="28"/>
          <w:szCs w:val="28"/>
          <w:rtl/>
        </w:rPr>
        <w:t>ייאמר</w:t>
      </w:r>
      <w:r w:rsidR="00282060">
        <w:rPr>
          <w:rFonts w:hint="cs"/>
          <w:b/>
          <w:bCs/>
          <w:sz w:val="28"/>
          <w:szCs w:val="28"/>
          <w:rtl/>
        </w:rPr>
        <w:t xml:space="preserve"> זאת</w:t>
      </w:r>
      <w:r w:rsidR="00751F81">
        <w:rPr>
          <w:rFonts w:hint="cs"/>
          <w:b/>
          <w:bCs/>
          <w:sz w:val="28"/>
          <w:szCs w:val="28"/>
          <w:rtl/>
        </w:rPr>
        <w:t xml:space="preserve"> </w:t>
      </w:r>
      <w:r w:rsidR="00487AEB">
        <w:rPr>
          <w:rFonts w:hint="cs"/>
          <w:b/>
          <w:bCs/>
          <w:sz w:val="28"/>
          <w:szCs w:val="28"/>
          <w:rtl/>
        </w:rPr>
        <w:t xml:space="preserve">בדרך שבה ייאמר </w:t>
      </w:r>
      <w:r w:rsidR="004E0FA3">
        <w:rPr>
          <w:rFonts w:hint="cs"/>
          <w:b/>
          <w:bCs/>
          <w:sz w:val="28"/>
          <w:szCs w:val="28"/>
          <w:rtl/>
        </w:rPr>
        <w:t>על הכוללים</w:t>
      </w:r>
      <w:r w:rsidR="001379D4">
        <w:rPr>
          <w:rStyle w:val="FootnoteReference"/>
          <w:b/>
          <w:bCs/>
          <w:sz w:val="28"/>
          <w:szCs w:val="28"/>
          <w:rtl/>
        </w:rPr>
        <w:footnoteReference w:id="323"/>
      </w:r>
      <w:r w:rsidR="00932884">
        <w:rPr>
          <w:rFonts w:hint="cs"/>
          <w:b/>
          <w:bCs/>
          <w:sz w:val="28"/>
          <w:szCs w:val="28"/>
          <w:rtl/>
        </w:rPr>
        <w:t xml:space="preserve"> ש</w:t>
      </w:r>
      <w:r w:rsidR="006F7183">
        <w:rPr>
          <w:rFonts w:hint="cs"/>
          <w:b/>
          <w:bCs/>
          <w:sz w:val="28"/>
          <w:szCs w:val="28"/>
          <w:rtl/>
        </w:rPr>
        <w:t xml:space="preserve">הם לא יתהוו ולא </w:t>
      </w:r>
      <w:proofErr w:type="spellStart"/>
      <w:r w:rsidR="006F7183">
        <w:rPr>
          <w:rFonts w:hint="cs"/>
          <w:b/>
          <w:bCs/>
          <w:sz w:val="28"/>
          <w:szCs w:val="28"/>
          <w:rtl/>
        </w:rPr>
        <w:t>ייפסדו</w:t>
      </w:r>
      <w:proofErr w:type="spellEnd"/>
      <w:r w:rsidR="00460CAD">
        <w:rPr>
          <w:rFonts w:hint="cs"/>
          <w:b/>
          <w:bCs/>
          <w:sz w:val="28"/>
          <w:szCs w:val="28"/>
          <w:rtl/>
        </w:rPr>
        <w:t>;</w:t>
      </w:r>
      <w:r w:rsidR="001B2C32">
        <w:rPr>
          <w:rFonts w:hint="cs"/>
          <w:b/>
          <w:bCs/>
          <w:sz w:val="28"/>
          <w:szCs w:val="28"/>
          <w:rtl/>
        </w:rPr>
        <w:t xml:space="preserve"> וייאמר על הכוללים</w:t>
      </w:r>
      <w:r w:rsidR="006F7183">
        <w:rPr>
          <w:rFonts w:hint="cs"/>
          <w:b/>
          <w:bCs/>
          <w:sz w:val="28"/>
          <w:szCs w:val="28"/>
          <w:rtl/>
        </w:rPr>
        <w:t xml:space="preserve"> </w:t>
      </w:r>
      <w:r w:rsidR="00C65757">
        <w:rPr>
          <w:rFonts w:hint="cs"/>
          <w:b/>
          <w:bCs/>
          <w:sz w:val="28"/>
          <w:szCs w:val="28"/>
          <w:rtl/>
        </w:rPr>
        <w:t>ש</w:t>
      </w:r>
      <w:r w:rsidR="006F7183">
        <w:rPr>
          <w:rFonts w:hint="cs"/>
          <w:b/>
          <w:bCs/>
          <w:sz w:val="28"/>
          <w:szCs w:val="28"/>
          <w:rtl/>
        </w:rPr>
        <w:t>לא</w:t>
      </w:r>
      <w:r w:rsidR="00C65757">
        <w:rPr>
          <w:rFonts w:hint="cs"/>
          <w:b/>
          <w:bCs/>
          <w:sz w:val="28"/>
          <w:szCs w:val="28"/>
          <w:rtl/>
        </w:rPr>
        <w:t xml:space="preserve"> יתהוו ולא </w:t>
      </w:r>
      <w:proofErr w:type="spellStart"/>
      <w:r w:rsidR="00C65757">
        <w:rPr>
          <w:rFonts w:hint="cs"/>
          <w:b/>
          <w:bCs/>
          <w:sz w:val="28"/>
          <w:szCs w:val="28"/>
          <w:rtl/>
        </w:rPr>
        <w:t>ייפסדו</w:t>
      </w:r>
      <w:proofErr w:type="spellEnd"/>
      <w:r w:rsidR="00C65757">
        <w:rPr>
          <w:rFonts w:hint="cs"/>
          <w:b/>
          <w:bCs/>
          <w:sz w:val="28"/>
          <w:szCs w:val="28"/>
          <w:rtl/>
        </w:rPr>
        <w:t xml:space="preserve"> </w:t>
      </w:r>
      <w:r w:rsidR="00282060">
        <w:rPr>
          <w:rFonts w:hint="cs"/>
          <w:b/>
          <w:bCs/>
          <w:sz w:val="28"/>
          <w:szCs w:val="28"/>
          <w:rtl/>
        </w:rPr>
        <w:t xml:space="preserve">בשתי </w:t>
      </w:r>
      <w:r w:rsidR="00CC1A8E">
        <w:rPr>
          <w:rFonts w:hint="cs"/>
          <w:b/>
          <w:bCs/>
          <w:sz w:val="28"/>
          <w:szCs w:val="28"/>
          <w:rtl/>
        </w:rPr>
        <w:t>בחינות</w:t>
      </w:r>
      <w:r w:rsidR="000C465D">
        <w:rPr>
          <w:rFonts w:hint="cs"/>
          <w:b/>
          <w:bCs/>
          <w:sz w:val="28"/>
          <w:szCs w:val="28"/>
          <w:rtl/>
        </w:rPr>
        <w:t>:</w:t>
      </w:r>
      <w:r w:rsidR="00282060">
        <w:rPr>
          <w:rFonts w:hint="cs"/>
          <w:b/>
          <w:bCs/>
          <w:sz w:val="28"/>
          <w:szCs w:val="28"/>
          <w:rtl/>
        </w:rPr>
        <w:t xml:space="preserve"> </w:t>
      </w:r>
    </w:p>
    <w:p w14:paraId="4E99CC15" w14:textId="05AE2E5F" w:rsidR="007376A6" w:rsidRDefault="00CC1A8E" w:rsidP="00BA6B2A">
      <w:pPr>
        <w:pStyle w:val="FootnoteText"/>
        <w:rPr>
          <w:b/>
          <w:bCs/>
          <w:sz w:val="28"/>
          <w:szCs w:val="28"/>
        </w:rPr>
      </w:pPr>
      <w:r>
        <w:rPr>
          <w:rFonts w:hint="cs"/>
          <w:b/>
          <w:bCs/>
          <w:sz w:val="28"/>
          <w:szCs w:val="28"/>
          <w:rtl/>
        </w:rPr>
        <w:t>בחינה</w:t>
      </w:r>
      <w:r w:rsidR="00450BF0">
        <w:rPr>
          <w:rFonts w:hint="cs"/>
          <w:b/>
          <w:bCs/>
          <w:sz w:val="28"/>
          <w:szCs w:val="28"/>
          <w:rtl/>
        </w:rPr>
        <w:t xml:space="preserve"> אחת היא</w:t>
      </w:r>
      <w:r w:rsidR="00747B6F">
        <w:rPr>
          <w:rFonts w:hint="cs"/>
          <w:b/>
          <w:bCs/>
          <w:sz w:val="28"/>
          <w:szCs w:val="28"/>
          <w:rtl/>
        </w:rPr>
        <w:t xml:space="preserve"> </w:t>
      </w:r>
      <w:r w:rsidR="001379D4">
        <w:rPr>
          <w:rFonts w:hint="cs"/>
          <w:b/>
          <w:bCs/>
          <w:sz w:val="28"/>
          <w:szCs w:val="28"/>
          <w:rtl/>
        </w:rPr>
        <w:t>ש</w:t>
      </w:r>
      <w:r w:rsidR="00D651BB">
        <w:rPr>
          <w:rFonts w:hint="cs"/>
          <w:b/>
          <w:bCs/>
          <w:sz w:val="28"/>
          <w:szCs w:val="28"/>
          <w:rtl/>
        </w:rPr>
        <w:t>מה ש</w:t>
      </w:r>
      <w:r w:rsidR="001379D4">
        <w:rPr>
          <w:rFonts w:hint="cs"/>
          <w:b/>
          <w:bCs/>
          <w:sz w:val="28"/>
          <w:szCs w:val="28"/>
          <w:rtl/>
        </w:rPr>
        <w:t>הכולל</w:t>
      </w:r>
      <w:r w:rsidR="00302C51">
        <w:rPr>
          <w:rFonts w:hint="cs"/>
          <w:b/>
          <w:bCs/>
          <w:sz w:val="28"/>
          <w:szCs w:val="28"/>
          <w:rtl/>
        </w:rPr>
        <w:t xml:space="preserve"> </w:t>
      </w:r>
      <w:r w:rsidR="00C670E4">
        <w:rPr>
          <w:rFonts w:hint="cs"/>
          <w:b/>
          <w:bCs/>
          <w:sz w:val="28"/>
          <w:szCs w:val="28"/>
          <w:rtl/>
        </w:rPr>
        <w:t xml:space="preserve">לא מתהווה ולא נפסד, </w:t>
      </w:r>
      <w:r w:rsidR="00DC0C87">
        <w:rPr>
          <w:rFonts w:hint="cs"/>
          <w:b/>
          <w:bCs/>
          <w:sz w:val="28"/>
          <w:szCs w:val="28"/>
          <w:rtl/>
        </w:rPr>
        <w:t>הכוונה היא ש</w:t>
      </w:r>
      <w:r w:rsidR="005E4B0A">
        <w:rPr>
          <w:rFonts w:hint="cs"/>
          <w:b/>
          <w:bCs/>
          <w:sz w:val="28"/>
          <w:szCs w:val="28"/>
          <w:rtl/>
        </w:rPr>
        <w:t>אין</w:t>
      </w:r>
      <w:r w:rsidR="00877C60">
        <w:rPr>
          <w:rFonts w:hint="cs"/>
          <w:b/>
          <w:bCs/>
          <w:sz w:val="28"/>
          <w:szCs w:val="28"/>
          <w:rtl/>
        </w:rPr>
        <w:t xml:space="preserve"> </w:t>
      </w:r>
      <w:r w:rsidR="005E4B0A">
        <w:rPr>
          <w:rFonts w:hint="cs"/>
          <w:b/>
          <w:bCs/>
          <w:sz w:val="28"/>
          <w:szCs w:val="28"/>
          <w:rtl/>
        </w:rPr>
        <w:t>רגע</w:t>
      </w:r>
      <w:r w:rsidR="00EE4253">
        <w:rPr>
          <w:rFonts w:hint="cs"/>
          <w:b/>
          <w:bCs/>
          <w:sz w:val="28"/>
          <w:szCs w:val="28"/>
          <w:rtl/>
        </w:rPr>
        <w:t xml:space="preserve"> בעולם</w:t>
      </w:r>
      <w:r w:rsidR="00877C60">
        <w:rPr>
          <w:rFonts w:hint="cs"/>
          <w:b/>
          <w:bCs/>
          <w:sz w:val="28"/>
          <w:szCs w:val="28"/>
          <w:rtl/>
        </w:rPr>
        <w:t xml:space="preserve"> שהוא הרגע הראשון שבו </w:t>
      </w:r>
      <w:r w:rsidR="00D26D40">
        <w:rPr>
          <w:rFonts w:hint="cs"/>
          <w:b/>
          <w:bCs/>
          <w:sz w:val="28"/>
          <w:szCs w:val="28"/>
          <w:rtl/>
        </w:rPr>
        <w:t xml:space="preserve">נמצא </w:t>
      </w:r>
      <w:r w:rsidR="00877C60">
        <w:rPr>
          <w:rFonts w:hint="cs"/>
          <w:b/>
          <w:bCs/>
          <w:sz w:val="28"/>
          <w:szCs w:val="28"/>
          <w:rtl/>
        </w:rPr>
        <w:t xml:space="preserve">פרט ראשון </w:t>
      </w:r>
      <w:r w:rsidR="00D24251">
        <w:rPr>
          <w:rFonts w:hint="cs"/>
          <w:b/>
          <w:bCs/>
          <w:sz w:val="28"/>
          <w:szCs w:val="28"/>
          <w:rtl/>
        </w:rPr>
        <w:t>כלשהו</w:t>
      </w:r>
      <w:r w:rsidR="00503F8B">
        <w:rPr>
          <w:rFonts w:hint="cs"/>
          <w:b/>
          <w:bCs/>
          <w:sz w:val="28"/>
          <w:szCs w:val="28"/>
          <w:rtl/>
        </w:rPr>
        <w:t>,</w:t>
      </w:r>
      <w:r w:rsidR="00D24251">
        <w:rPr>
          <w:rFonts w:hint="cs"/>
          <w:b/>
          <w:bCs/>
          <w:sz w:val="28"/>
          <w:szCs w:val="28"/>
          <w:rtl/>
        </w:rPr>
        <w:t xml:space="preserve"> או מספר של פרטים ראשונים כלשהם</w:t>
      </w:r>
      <w:r w:rsidR="001250C5">
        <w:rPr>
          <w:rFonts w:hint="cs"/>
          <w:b/>
          <w:bCs/>
          <w:sz w:val="28"/>
          <w:szCs w:val="28"/>
          <w:rtl/>
        </w:rPr>
        <w:t>,</w:t>
      </w:r>
      <w:r w:rsidR="00D24251">
        <w:rPr>
          <w:rFonts w:hint="cs"/>
          <w:b/>
          <w:bCs/>
          <w:sz w:val="28"/>
          <w:szCs w:val="28"/>
          <w:rtl/>
        </w:rPr>
        <w:t xml:space="preserve"> </w:t>
      </w:r>
      <w:r w:rsidR="001A612A">
        <w:rPr>
          <w:rFonts w:hint="cs"/>
          <w:b/>
          <w:bCs/>
          <w:sz w:val="28"/>
          <w:szCs w:val="28"/>
          <w:rtl/>
        </w:rPr>
        <w:t>שעלי</w:t>
      </w:r>
      <w:r w:rsidR="00503F8B">
        <w:rPr>
          <w:rFonts w:hint="cs"/>
          <w:b/>
          <w:bCs/>
          <w:sz w:val="28"/>
          <w:szCs w:val="28"/>
          <w:rtl/>
        </w:rPr>
        <w:t>הם</w:t>
      </w:r>
      <w:r w:rsidR="001A612A">
        <w:rPr>
          <w:rFonts w:hint="cs"/>
          <w:b/>
          <w:bCs/>
          <w:sz w:val="28"/>
          <w:szCs w:val="28"/>
          <w:rtl/>
        </w:rPr>
        <w:t xml:space="preserve"> הכולל נאמר</w:t>
      </w:r>
      <w:r w:rsidR="001250C5">
        <w:rPr>
          <w:rFonts w:hint="cs"/>
          <w:b/>
          <w:bCs/>
          <w:sz w:val="28"/>
          <w:szCs w:val="28"/>
          <w:rtl/>
        </w:rPr>
        <w:t>,</w:t>
      </w:r>
      <w:r w:rsidR="001A612A">
        <w:rPr>
          <w:rFonts w:hint="cs"/>
          <w:b/>
          <w:bCs/>
          <w:sz w:val="28"/>
          <w:szCs w:val="28"/>
          <w:rtl/>
        </w:rPr>
        <w:t xml:space="preserve"> </w:t>
      </w:r>
      <w:r w:rsidR="00045755">
        <w:rPr>
          <w:rFonts w:hint="cs"/>
          <w:b/>
          <w:bCs/>
          <w:sz w:val="28"/>
          <w:szCs w:val="28"/>
          <w:rtl/>
        </w:rPr>
        <w:t xml:space="preserve">ולפניו </w:t>
      </w:r>
      <w:r w:rsidR="00040B94">
        <w:rPr>
          <w:rFonts w:hint="cs"/>
          <w:b/>
          <w:bCs/>
          <w:sz w:val="28"/>
          <w:szCs w:val="28"/>
          <w:rtl/>
        </w:rPr>
        <w:t xml:space="preserve">היה רגע שבו </w:t>
      </w:r>
      <w:r w:rsidR="005D7C7D">
        <w:rPr>
          <w:rFonts w:hint="cs"/>
          <w:b/>
          <w:bCs/>
          <w:sz w:val="28"/>
          <w:szCs w:val="28"/>
          <w:rtl/>
        </w:rPr>
        <w:t>לא הי</w:t>
      </w:r>
      <w:r w:rsidR="00503F8B">
        <w:rPr>
          <w:rFonts w:hint="cs"/>
          <w:b/>
          <w:bCs/>
          <w:sz w:val="28"/>
          <w:szCs w:val="28"/>
          <w:rtl/>
        </w:rPr>
        <w:t>ו</w:t>
      </w:r>
      <w:r w:rsidR="005D7C7D">
        <w:rPr>
          <w:rFonts w:hint="cs"/>
          <w:b/>
          <w:bCs/>
          <w:sz w:val="28"/>
          <w:szCs w:val="28"/>
          <w:rtl/>
        </w:rPr>
        <w:t xml:space="preserve"> הפרט</w:t>
      </w:r>
      <w:r w:rsidR="00503F8B">
        <w:rPr>
          <w:rFonts w:hint="cs"/>
          <w:b/>
          <w:bCs/>
          <w:sz w:val="28"/>
          <w:szCs w:val="28"/>
          <w:rtl/>
        </w:rPr>
        <w:t>ים האלה קיימים.</w:t>
      </w:r>
    </w:p>
    <w:p w14:paraId="6C6F2D8D" w14:textId="008F27F8" w:rsidR="00302429" w:rsidRDefault="007376A6" w:rsidP="00BA6B2A">
      <w:pPr>
        <w:pStyle w:val="FootnoteText"/>
        <w:rPr>
          <w:b/>
          <w:bCs/>
          <w:sz w:val="28"/>
          <w:szCs w:val="28"/>
          <w:rtl/>
        </w:rPr>
      </w:pPr>
      <w:r>
        <w:rPr>
          <w:rFonts w:hint="cs"/>
          <w:b/>
          <w:bCs/>
          <w:sz w:val="28"/>
          <w:szCs w:val="28"/>
          <w:rtl/>
        </w:rPr>
        <w:t xml:space="preserve">העניין יהיה </w:t>
      </w:r>
      <w:r w:rsidR="00121C76">
        <w:rPr>
          <w:rFonts w:hint="cs"/>
          <w:b/>
          <w:bCs/>
          <w:sz w:val="28"/>
          <w:szCs w:val="28"/>
          <w:rtl/>
        </w:rPr>
        <w:t>הפוך באופן מקביל לגבי הפסד</w:t>
      </w:r>
      <w:r w:rsidR="00EA3709">
        <w:rPr>
          <w:rStyle w:val="FootnoteReference"/>
          <w:b/>
          <w:bCs/>
          <w:sz w:val="28"/>
          <w:szCs w:val="28"/>
          <w:rtl/>
        </w:rPr>
        <w:footnoteReference w:id="324"/>
      </w:r>
      <w:r w:rsidR="00121C76">
        <w:rPr>
          <w:rFonts w:hint="cs"/>
          <w:b/>
          <w:bCs/>
          <w:sz w:val="28"/>
          <w:szCs w:val="28"/>
          <w:rtl/>
        </w:rPr>
        <w:t xml:space="preserve">. </w:t>
      </w:r>
    </w:p>
    <w:p w14:paraId="1AC69E51" w14:textId="5CFB9E42" w:rsidR="00D27AB9" w:rsidRDefault="00CD71E6" w:rsidP="00BA6B2A">
      <w:pPr>
        <w:pStyle w:val="FootnoteText"/>
        <w:rPr>
          <w:b/>
          <w:bCs/>
          <w:sz w:val="28"/>
          <w:szCs w:val="28"/>
          <w:rtl/>
        </w:rPr>
      </w:pPr>
      <w:r>
        <w:rPr>
          <w:rFonts w:hint="cs"/>
          <w:b/>
          <w:bCs/>
          <w:sz w:val="28"/>
          <w:szCs w:val="28"/>
          <w:rtl/>
        </w:rPr>
        <w:t>ב</w:t>
      </w:r>
      <w:r w:rsidR="00180082">
        <w:rPr>
          <w:rFonts w:hint="cs"/>
          <w:b/>
          <w:bCs/>
          <w:sz w:val="28"/>
          <w:szCs w:val="28"/>
          <w:rtl/>
        </w:rPr>
        <w:t>בחינה</w:t>
      </w:r>
      <w:r>
        <w:rPr>
          <w:rFonts w:hint="cs"/>
          <w:b/>
          <w:bCs/>
          <w:sz w:val="28"/>
          <w:szCs w:val="28"/>
          <w:rtl/>
        </w:rPr>
        <w:t xml:space="preserve"> זו</w:t>
      </w:r>
      <w:r w:rsidR="00D35E4C">
        <w:rPr>
          <w:rFonts w:hint="cs"/>
          <w:b/>
          <w:bCs/>
          <w:sz w:val="28"/>
          <w:szCs w:val="28"/>
          <w:rtl/>
        </w:rPr>
        <w:t xml:space="preserve"> </w:t>
      </w:r>
      <w:r w:rsidR="00EE6BE0">
        <w:rPr>
          <w:rFonts w:hint="cs"/>
          <w:b/>
          <w:bCs/>
          <w:sz w:val="28"/>
          <w:szCs w:val="28"/>
          <w:rtl/>
        </w:rPr>
        <w:t>יש מה</w:t>
      </w:r>
      <w:r w:rsidR="000B40E1">
        <w:rPr>
          <w:rFonts w:hint="cs"/>
          <w:b/>
          <w:bCs/>
          <w:sz w:val="28"/>
          <w:szCs w:val="28"/>
          <w:rtl/>
        </w:rPr>
        <w:t>אנשים</w:t>
      </w:r>
      <w:r w:rsidR="003A19DB">
        <w:rPr>
          <w:rFonts w:hint="cs"/>
          <w:b/>
          <w:bCs/>
          <w:sz w:val="28"/>
          <w:szCs w:val="28"/>
          <w:rtl/>
        </w:rPr>
        <w:t xml:space="preserve"> </w:t>
      </w:r>
      <w:r w:rsidR="000B40E1">
        <w:rPr>
          <w:rFonts w:hint="cs"/>
          <w:b/>
          <w:bCs/>
          <w:sz w:val="28"/>
          <w:szCs w:val="28"/>
          <w:rtl/>
        </w:rPr>
        <w:t xml:space="preserve">שאומרים </w:t>
      </w:r>
      <w:r w:rsidR="004224E4">
        <w:rPr>
          <w:rFonts w:hint="cs"/>
          <w:b/>
          <w:bCs/>
          <w:sz w:val="28"/>
          <w:szCs w:val="28"/>
          <w:rtl/>
        </w:rPr>
        <w:t>על התחל</w:t>
      </w:r>
      <w:r w:rsidR="00E55AFD">
        <w:rPr>
          <w:rFonts w:hint="cs"/>
          <w:b/>
          <w:bCs/>
          <w:sz w:val="28"/>
          <w:szCs w:val="28"/>
          <w:rtl/>
        </w:rPr>
        <w:t>ות</w:t>
      </w:r>
      <w:r w:rsidR="004224E4">
        <w:rPr>
          <w:rFonts w:hint="cs"/>
          <w:b/>
          <w:bCs/>
          <w:sz w:val="28"/>
          <w:szCs w:val="28"/>
          <w:rtl/>
        </w:rPr>
        <w:t xml:space="preserve"> </w:t>
      </w:r>
      <w:r w:rsidR="00496DA6">
        <w:rPr>
          <w:rFonts w:hint="cs"/>
          <w:b/>
          <w:bCs/>
          <w:sz w:val="28"/>
          <w:szCs w:val="28"/>
          <w:rtl/>
        </w:rPr>
        <w:t>משותפ</w:t>
      </w:r>
      <w:r w:rsidR="00E55AFD">
        <w:rPr>
          <w:rFonts w:hint="cs"/>
          <w:b/>
          <w:bCs/>
          <w:sz w:val="28"/>
          <w:szCs w:val="28"/>
          <w:rtl/>
        </w:rPr>
        <w:t>ו</w:t>
      </w:r>
      <w:r w:rsidR="00496DA6">
        <w:rPr>
          <w:rFonts w:hint="cs"/>
          <w:b/>
          <w:bCs/>
          <w:sz w:val="28"/>
          <w:szCs w:val="28"/>
          <w:rtl/>
        </w:rPr>
        <w:t xml:space="preserve">ת </w:t>
      </w:r>
      <w:r w:rsidR="00E55AFD">
        <w:rPr>
          <w:rFonts w:hint="cs"/>
          <w:b/>
          <w:bCs/>
          <w:sz w:val="28"/>
          <w:szCs w:val="28"/>
          <w:rtl/>
        </w:rPr>
        <w:t>אלה</w:t>
      </w:r>
      <w:r w:rsidR="00496DA6">
        <w:rPr>
          <w:rFonts w:hint="cs"/>
          <w:b/>
          <w:bCs/>
          <w:sz w:val="28"/>
          <w:szCs w:val="28"/>
          <w:rtl/>
        </w:rPr>
        <w:t xml:space="preserve"> שלא </w:t>
      </w:r>
      <w:r w:rsidR="00D14654">
        <w:rPr>
          <w:rFonts w:hint="cs"/>
          <w:b/>
          <w:bCs/>
          <w:sz w:val="28"/>
          <w:szCs w:val="28"/>
          <w:rtl/>
        </w:rPr>
        <w:t>י</w:t>
      </w:r>
      <w:r w:rsidR="00496DA6">
        <w:rPr>
          <w:rFonts w:hint="cs"/>
          <w:b/>
          <w:bCs/>
          <w:sz w:val="28"/>
          <w:szCs w:val="28"/>
          <w:rtl/>
        </w:rPr>
        <w:t>תהוו ו</w:t>
      </w:r>
      <w:r w:rsidR="000B1C1E">
        <w:rPr>
          <w:rFonts w:hint="cs"/>
          <w:b/>
          <w:bCs/>
          <w:sz w:val="28"/>
          <w:szCs w:val="28"/>
          <w:rtl/>
        </w:rPr>
        <w:t>ל</w:t>
      </w:r>
      <w:r w:rsidR="00496DA6">
        <w:rPr>
          <w:rFonts w:hint="cs"/>
          <w:b/>
          <w:bCs/>
          <w:sz w:val="28"/>
          <w:szCs w:val="28"/>
          <w:rtl/>
        </w:rPr>
        <w:t xml:space="preserve">א </w:t>
      </w:r>
      <w:proofErr w:type="spellStart"/>
      <w:r w:rsidR="00496DA6">
        <w:rPr>
          <w:rFonts w:hint="cs"/>
          <w:b/>
          <w:bCs/>
          <w:sz w:val="28"/>
          <w:szCs w:val="28"/>
          <w:rtl/>
        </w:rPr>
        <w:t>יפסד</w:t>
      </w:r>
      <w:r w:rsidR="00D14654">
        <w:rPr>
          <w:rFonts w:hint="cs"/>
          <w:b/>
          <w:bCs/>
          <w:sz w:val="28"/>
          <w:szCs w:val="28"/>
          <w:rtl/>
        </w:rPr>
        <w:t>ו</w:t>
      </w:r>
      <w:proofErr w:type="spellEnd"/>
      <w:r w:rsidR="00496DA6">
        <w:rPr>
          <w:rFonts w:hint="cs"/>
          <w:b/>
          <w:bCs/>
          <w:sz w:val="28"/>
          <w:szCs w:val="28"/>
          <w:rtl/>
        </w:rPr>
        <w:t xml:space="preserve">, </w:t>
      </w:r>
      <w:r w:rsidR="000B1C1E">
        <w:rPr>
          <w:rFonts w:hint="cs"/>
          <w:b/>
          <w:bCs/>
          <w:sz w:val="28"/>
          <w:szCs w:val="28"/>
          <w:rtl/>
        </w:rPr>
        <w:t xml:space="preserve">והם </w:t>
      </w:r>
      <w:r w:rsidR="00ED69DC">
        <w:rPr>
          <w:rFonts w:hint="cs"/>
          <w:b/>
          <w:bCs/>
          <w:sz w:val="28"/>
          <w:szCs w:val="28"/>
          <w:rtl/>
        </w:rPr>
        <w:t xml:space="preserve">האנשים </w:t>
      </w:r>
      <w:r w:rsidR="00FC0304">
        <w:rPr>
          <w:rFonts w:hint="cs"/>
          <w:b/>
          <w:bCs/>
          <w:sz w:val="28"/>
          <w:szCs w:val="28"/>
          <w:rtl/>
        </w:rPr>
        <w:t>שמחייבים ש</w:t>
      </w:r>
      <w:r w:rsidR="00DA11E1">
        <w:rPr>
          <w:rFonts w:hint="cs"/>
          <w:b/>
          <w:bCs/>
          <w:sz w:val="28"/>
          <w:szCs w:val="28"/>
          <w:rtl/>
        </w:rPr>
        <w:t>ב</w:t>
      </w:r>
      <w:r w:rsidR="00FC0304">
        <w:rPr>
          <w:rFonts w:hint="cs"/>
          <w:b/>
          <w:bCs/>
          <w:sz w:val="28"/>
          <w:szCs w:val="28"/>
          <w:rtl/>
        </w:rPr>
        <w:t>עולם תמיד</w:t>
      </w:r>
      <w:r w:rsidR="00DA11E1">
        <w:rPr>
          <w:rFonts w:hint="cs"/>
          <w:b/>
          <w:bCs/>
          <w:sz w:val="28"/>
          <w:szCs w:val="28"/>
          <w:rtl/>
        </w:rPr>
        <w:t xml:space="preserve"> יהיו התהוות</w:t>
      </w:r>
      <w:r w:rsidR="008A654D">
        <w:rPr>
          <w:rFonts w:hint="cs"/>
          <w:b/>
          <w:bCs/>
          <w:sz w:val="28"/>
          <w:szCs w:val="28"/>
          <w:rtl/>
        </w:rPr>
        <w:t>,</w:t>
      </w:r>
      <w:r w:rsidR="00DA11E1">
        <w:rPr>
          <w:rFonts w:hint="cs"/>
          <w:b/>
          <w:bCs/>
          <w:sz w:val="28"/>
          <w:szCs w:val="28"/>
          <w:rtl/>
        </w:rPr>
        <w:t xml:space="preserve"> הפסד ותנועה, </w:t>
      </w:r>
      <w:r w:rsidR="004F2CA7">
        <w:rPr>
          <w:rFonts w:hint="cs"/>
          <w:b/>
          <w:bCs/>
          <w:sz w:val="28"/>
          <w:szCs w:val="28"/>
          <w:rtl/>
        </w:rPr>
        <w:t>כל עוד העולם קיים</w:t>
      </w:r>
      <w:r w:rsidR="00CD12B1">
        <w:rPr>
          <w:rStyle w:val="FootnoteReference"/>
          <w:b/>
          <w:bCs/>
          <w:sz w:val="28"/>
          <w:szCs w:val="28"/>
          <w:rtl/>
        </w:rPr>
        <w:footnoteReference w:id="325"/>
      </w:r>
      <w:r w:rsidR="004F2CA7">
        <w:rPr>
          <w:rFonts w:hint="cs"/>
          <w:b/>
          <w:bCs/>
          <w:sz w:val="28"/>
          <w:szCs w:val="28"/>
          <w:rtl/>
        </w:rPr>
        <w:t xml:space="preserve">. </w:t>
      </w:r>
      <w:r w:rsidR="00FC0304">
        <w:rPr>
          <w:rFonts w:hint="cs"/>
          <w:b/>
          <w:bCs/>
          <w:sz w:val="28"/>
          <w:szCs w:val="28"/>
          <w:rtl/>
        </w:rPr>
        <w:t xml:space="preserve"> </w:t>
      </w:r>
    </w:p>
    <w:p w14:paraId="0CACE51F" w14:textId="1D1B6E3A" w:rsidR="00882DBA" w:rsidRDefault="00180082" w:rsidP="00BA6B2A">
      <w:pPr>
        <w:pStyle w:val="FootnoteText"/>
        <w:rPr>
          <w:b/>
          <w:bCs/>
          <w:sz w:val="28"/>
          <w:szCs w:val="28"/>
          <w:rtl/>
        </w:rPr>
      </w:pPr>
      <w:r>
        <w:rPr>
          <w:rFonts w:hint="cs"/>
          <w:b/>
          <w:bCs/>
          <w:sz w:val="28"/>
          <w:szCs w:val="28"/>
          <w:rtl/>
        </w:rPr>
        <w:t xml:space="preserve">הבחינה </w:t>
      </w:r>
      <w:r w:rsidR="00D27AB9">
        <w:rPr>
          <w:rFonts w:hint="cs"/>
          <w:b/>
          <w:bCs/>
          <w:sz w:val="28"/>
          <w:szCs w:val="28"/>
          <w:rtl/>
        </w:rPr>
        <w:t xml:space="preserve">השנייה היא </w:t>
      </w:r>
      <w:r w:rsidR="00A07560">
        <w:rPr>
          <w:rFonts w:hint="cs"/>
          <w:b/>
          <w:bCs/>
          <w:sz w:val="28"/>
          <w:szCs w:val="28"/>
          <w:rtl/>
        </w:rPr>
        <w:t>ל</w:t>
      </w:r>
      <w:r w:rsidR="006D6037">
        <w:rPr>
          <w:rFonts w:hint="cs"/>
          <w:b/>
          <w:bCs/>
          <w:sz w:val="28"/>
          <w:szCs w:val="28"/>
          <w:rtl/>
        </w:rPr>
        <w:t>התבונן</w:t>
      </w:r>
      <w:r w:rsidR="00A07560">
        <w:rPr>
          <w:rFonts w:hint="cs"/>
          <w:b/>
          <w:bCs/>
          <w:sz w:val="28"/>
          <w:szCs w:val="28"/>
          <w:rtl/>
        </w:rPr>
        <w:t xml:space="preserve"> </w:t>
      </w:r>
      <w:r w:rsidR="006D6037">
        <w:rPr>
          <w:rFonts w:hint="cs"/>
          <w:b/>
          <w:bCs/>
          <w:sz w:val="28"/>
          <w:szCs w:val="28"/>
          <w:rtl/>
        </w:rPr>
        <w:t>ב</w:t>
      </w:r>
      <w:r w:rsidR="00A07560">
        <w:rPr>
          <w:rFonts w:hint="cs"/>
          <w:b/>
          <w:bCs/>
          <w:sz w:val="28"/>
          <w:szCs w:val="28"/>
          <w:rtl/>
        </w:rPr>
        <w:t>מהותם</w:t>
      </w:r>
      <w:r w:rsidR="001D1A2E">
        <w:rPr>
          <w:rFonts w:hint="cs"/>
          <w:b/>
          <w:bCs/>
          <w:sz w:val="28"/>
          <w:szCs w:val="28"/>
          <w:rtl/>
        </w:rPr>
        <w:t>, כמו למשל המהות של הא</w:t>
      </w:r>
      <w:r w:rsidR="002A064D">
        <w:rPr>
          <w:rFonts w:hint="cs"/>
          <w:b/>
          <w:bCs/>
          <w:sz w:val="28"/>
          <w:szCs w:val="28"/>
          <w:rtl/>
        </w:rPr>
        <w:t>נשים</w:t>
      </w:r>
      <w:r w:rsidR="001D1A2E">
        <w:rPr>
          <w:rFonts w:hint="cs"/>
          <w:b/>
          <w:bCs/>
          <w:sz w:val="28"/>
          <w:szCs w:val="28"/>
          <w:rtl/>
        </w:rPr>
        <w:t xml:space="preserve">, </w:t>
      </w:r>
      <w:r w:rsidR="00AA2081">
        <w:rPr>
          <w:rFonts w:hint="cs"/>
          <w:b/>
          <w:bCs/>
          <w:sz w:val="28"/>
          <w:szCs w:val="28"/>
          <w:rtl/>
        </w:rPr>
        <w:t>וי</w:t>
      </w:r>
      <w:r w:rsidR="006D6037">
        <w:rPr>
          <w:rFonts w:hint="cs"/>
          <w:b/>
          <w:bCs/>
          <w:sz w:val="28"/>
          <w:szCs w:val="28"/>
          <w:rtl/>
        </w:rPr>
        <w:t>תבונן</w:t>
      </w:r>
      <w:r w:rsidR="00AA2081">
        <w:rPr>
          <w:rFonts w:hint="cs"/>
          <w:b/>
          <w:bCs/>
          <w:sz w:val="28"/>
          <w:szCs w:val="28"/>
          <w:rtl/>
        </w:rPr>
        <w:t xml:space="preserve"> האם </w:t>
      </w:r>
      <w:r w:rsidR="00C26CCF">
        <w:rPr>
          <w:rFonts w:hint="cs"/>
          <w:b/>
          <w:bCs/>
          <w:sz w:val="28"/>
          <w:szCs w:val="28"/>
          <w:rtl/>
        </w:rPr>
        <w:t>הם</w:t>
      </w:r>
      <w:r w:rsidR="009F7F83">
        <w:rPr>
          <w:rFonts w:hint="cs"/>
          <w:b/>
          <w:bCs/>
          <w:sz w:val="28"/>
          <w:szCs w:val="28"/>
          <w:rtl/>
        </w:rPr>
        <w:t>,</w:t>
      </w:r>
      <w:r w:rsidR="00C26CCF">
        <w:rPr>
          <w:rFonts w:hint="cs"/>
          <w:b/>
          <w:bCs/>
          <w:sz w:val="28"/>
          <w:szCs w:val="28"/>
          <w:rtl/>
        </w:rPr>
        <w:t xml:space="preserve"> מצד היותם אנשים</w:t>
      </w:r>
      <w:r w:rsidR="009F7F83">
        <w:rPr>
          <w:rFonts w:hint="cs"/>
          <w:b/>
          <w:bCs/>
          <w:sz w:val="28"/>
          <w:szCs w:val="28"/>
          <w:rtl/>
        </w:rPr>
        <w:t>,</w:t>
      </w:r>
      <w:r w:rsidR="00C26CCF">
        <w:rPr>
          <w:rFonts w:hint="cs"/>
          <w:b/>
          <w:bCs/>
          <w:sz w:val="28"/>
          <w:szCs w:val="28"/>
          <w:rtl/>
        </w:rPr>
        <w:t xml:space="preserve"> </w:t>
      </w:r>
      <w:r w:rsidR="009F7F83">
        <w:rPr>
          <w:rFonts w:hint="cs"/>
          <w:b/>
          <w:bCs/>
          <w:sz w:val="28"/>
          <w:szCs w:val="28"/>
          <w:rtl/>
        </w:rPr>
        <w:t xml:space="preserve">יתהוו </w:t>
      </w:r>
      <w:proofErr w:type="spellStart"/>
      <w:r w:rsidR="009F7F83">
        <w:rPr>
          <w:rFonts w:hint="cs"/>
          <w:b/>
          <w:bCs/>
          <w:sz w:val="28"/>
          <w:szCs w:val="28"/>
          <w:rtl/>
        </w:rPr>
        <w:t>ו</w:t>
      </w:r>
      <w:r w:rsidR="00025D34">
        <w:rPr>
          <w:rFonts w:hint="cs"/>
          <w:b/>
          <w:bCs/>
          <w:sz w:val="28"/>
          <w:szCs w:val="28"/>
          <w:rtl/>
        </w:rPr>
        <w:t>י</w:t>
      </w:r>
      <w:r w:rsidR="009F7F83">
        <w:rPr>
          <w:rFonts w:hint="cs"/>
          <w:b/>
          <w:bCs/>
          <w:sz w:val="28"/>
          <w:szCs w:val="28"/>
          <w:rtl/>
        </w:rPr>
        <w:t>יפסדו</w:t>
      </w:r>
      <w:proofErr w:type="spellEnd"/>
      <w:r w:rsidR="009F7F83">
        <w:rPr>
          <w:rFonts w:hint="cs"/>
          <w:b/>
          <w:bCs/>
          <w:sz w:val="28"/>
          <w:szCs w:val="28"/>
          <w:rtl/>
        </w:rPr>
        <w:t>.</w:t>
      </w:r>
      <w:r w:rsidR="000B40E1">
        <w:rPr>
          <w:rFonts w:hint="cs"/>
          <w:b/>
          <w:bCs/>
          <w:sz w:val="28"/>
          <w:szCs w:val="28"/>
          <w:rtl/>
        </w:rPr>
        <w:t xml:space="preserve"> </w:t>
      </w:r>
      <w:r w:rsidR="002558C7">
        <w:rPr>
          <w:rFonts w:hint="cs"/>
          <w:b/>
          <w:bCs/>
          <w:sz w:val="28"/>
          <w:szCs w:val="28"/>
          <w:rtl/>
        </w:rPr>
        <w:t>ונמצא</w:t>
      </w:r>
      <w:r w:rsidR="0011502A">
        <w:rPr>
          <w:rFonts w:hint="cs"/>
          <w:b/>
          <w:bCs/>
          <w:sz w:val="28"/>
          <w:szCs w:val="28"/>
          <w:rtl/>
        </w:rPr>
        <w:t xml:space="preserve"> שה</w:t>
      </w:r>
      <w:r w:rsidR="00A75B9E">
        <w:rPr>
          <w:rFonts w:hint="cs"/>
          <w:b/>
          <w:bCs/>
          <w:sz w:val="28"/>
          <w:szCs w:val="28"/>
          <w:rtl/>
        </w:rPr>
        <w:t>כוונה ב</w:t>
      </w:r>
      <w:r w:rsidR="00B66752">
        <w:rPr>
          <w:rFonts w:hint="cs"/>
          <w:b/>
          <w:bCs/>
          <w:sz w:val="28"/>
          <w:szCs w:val="28"/>
          <w:rtl/>
        </w:rPr>
        <w:t>'</w:t>
      </w:r>
      <w:r w:rsidR="0011502A">
        <w:rPr>
          <w:rFonts w:hint="cs"/>
          <w:b/>
          <w:bCs/>
          <w:sz w:val="28"/>
          <w:szCs w:val="28"/>
          <w:rtl/>
        </w:rPr>
        <w:t>מתהווה</w:t>
      </w:r>
      <w:r w:rsidR="00B66752">
        <w:rPr>
          <w:rFonts w:hint="cs"/>
          <w:b/>
          <w:bCs/>
          <w:sz w:val="28"/>
          <w:szCs w:val="28"/>
          <w:rtl/>
        </w:rPr>
        <w:t>'</w:t>
      </w:r>
      <w:r w:rsidR="0011502A">
        <w:rPr>
          <w:rFonts w:hint="cs"/>
          <w:b/>
          <w:bCs/>
          <w:sz w:val="28"/>
          <w:szCs w:val="28"/>
          <w:rtl/>
        </w:rPr>
        <w:t xml:space="preserve"> וה</w:t>
      </w:r>
      <w:r w:rsidR="00B66752">
        <w:rPr>
          <w:rFonts w:hint="cs"/>
          <w:b/>
          <w:bCs/>
          <w:sz w:val="28"/>
          <w:szCs w:val="28"/>
          <w:rtl/>
        </w:rPr>
        <w:t>כוונה</w:t>
      </w:r>
      <w:r w:rsidR="0011502A">
        <w:rPr>
          <w:rFonts w:hint="cs"/>
          <w:b/>
          <w:bCs/>
          <w:sz w:val="28"/>
          <w:szCs w:val="28"/>
          <w:rtl/>
        </w:rPr>
        <w:t xml:space="preserve"> </w:t>
      </w:r>
      <w:r w:rsidR="00B66752">
        <w:rPr>
          <w:rFonts w:hint="cs"/>
          <w:b/>
          <w:bCs/>
          <w:sz w:val="28"/>
          <w:szCs w:val="28"/>
          <w:rtl/>
        </w:rPr>
        <w:t>ב'</w:t>
      </w:r>
      <w:r w:rsidR="0011502A">
        <w:rPr>
          <w:rFonts w:hint="cs"/>
          <w:b/>
          <w:bCs/>
          <w:sz w:val="28"/>
          <w:szCs w:val="28"/>
          <w:rtl/>
        </w:rPr>
        <w:t>נפסד</w:t>
      </w:r>
      <w:r w:rsidR="00B66752">
        <w:rPr>
          <w:rFonts w:hint="cs"/>
          <w:b/>
          <w:bCs/>
          <w:sz w:val="28"/>
          <w:szCs w:val="28"/>
          <w:rtl/>
        </w:rPr>
        <w:t>'</w:t>
      </w:r>
      <w:r w:rsidR="0011502A">
        <w:rPr>
          <w:rFonts w:hint="cs"/>
          <w:b/>
          <w:bCs/>
          <w:sz w:val="28"/>
          <w:szCs w:val="28"/>
          <w:rtl/>
        </w:rPr>
        <w:t xml:space="preserve">, </w:t>
      </w:r>
      <w:r w:rsidR="007D3512">
        <w:rPr>
          <w:rFonts w:hint="cs"/>
          <w:b/>
          <w:bCs/>
          <w:sz w:val="28"/>
          <w:szCs w:val="28"/>
          <w:rtl/>
        </w:rPr>
        <w:t>אין הכוונה לאנשי</w:t>
      </w:r>
      <w:r w:rsidR="005D7AB9">
        <w:rPr>
          <w:rFonts w:hint="cs"/>
          <w:b/>
          <w:bCs/>
          <w:sz w:val="28"/>
          <w:szCs w:val="28"/>
          <w:rtl/>
        </w:rPr>
        <w:t xml:space="preserve">ם מצד היותם אנשים, </w:t>
      </w:r>
      <w:r w:rsidR="0035086E">
        <w:rPr>
          <w:rFonts w:hint="cs"/>
          <w:b/>
          <w:bCs/>
          <w:sz w:val="28"/>
          <w:szCs w:val="28"/>
          <w:rtl/>
        </w:rPr>
        <w:t xml:space="preserve">ונשלל </w:t>
      </w:r>
      <w:r w:rsidR="00994827">
        <w:rPr>
          <w:rFonts w:hint="cs"/>
          <w:b/>
          <w:bCs/>
          <w:sz w:val="28"/>
          <w:szCs w:val="28"/>
          <w:rtl/>
        </w:rPr>
        <w:t>מ</w:t>
      </w:r>
      <w:r w:rsidR="0035086E">
        <w:rPr>
          <w:rFonts w:hint="cs"/>
          <w:b/>
          <w:bCs/>
          <w:sz w:val="28"/>
          <w:szCs w:val="28"/>
          <w:rtl/>
        </w:rPr>
        <w:t xml:space="preserve">המהות של האנשים </w:t>
      </w:r>
      <w:r w:rsidR="0027469E">
        <w:rPr>
          <w:rFonts w:hint="cs"/>
          <w:b/>
          <w:bCs/>
          <w:sz w:val="28"/>
          <w:szCs w:val="28"/>
          <w:rtl/>
        </w:rPr>
        <w:t>מצד שהם אנשים</w:t>
      </w:r>
      <w:r w:rsidR="30355DE1" w:rsidRPr="30355DE1">
        <w:rPr>
          <w:b/>
          <w:bCs/>
          <w:sz w:val="28"/>
          <w:szCs w:val="28"/>
          <w:rtl/>
        </w:rPr>
        <w:t>,</w:t>
      </w:r>
      <w:r w:rsidR="00313530">
        <w:rPr>
          <w:rFonts w:hint="cs"/>
          <w:b/>
          <w:bCs/>
          <w:sz w:val="28"/>
          <w:szCs w:val="28"/>
          <w:rtl/>
        </w:rPr>
        <w:t xml:space="preserve"> </w:t>
      </w:r>
      <w:r w:rsidR="005D36D3">
        <w:rPr>
          <w:rFonts w:hint="cs"/>
          <w:b/>
          <w:bCs/>
          <w:sz w:val="28"/>
          <w:szCs w:val="28"/>
          <w:rtl/>
        </w:rPr>
        <w:t xml:space="preserve">כי מה </w:t>
      </w:r>
      <w:proofErr w:type="spellStart"/>
      <w:r w:rsidR="005D36D3">
        <w:rPr>
          <w:rFonts w:hint="cs"/>
          <w:b/>
          <w:bCs/>
          <w:sz w:val="28"/>
          <w:szCs w:val="28"/>
          <w:rtl/>
        </w:rPr>
        <w:t>ש</w:t>
      </w:r>
      <w:r w:rsidR="00C45EA9">
        <w:rPr>
          <w:rFonts w:hint="cs"/>
          <w:b/>
          <w:bCs/>
          <w:sz w:val="28"/>
          <w:szCs w:val="28"/>
          <w:rtl/>
        </w:rPr>
        <w:t>מחוייב</w:t>
      </w:r>
      <w:proofErr w:type="spellEnd"/>
      <w:r w:rsidR="005D36D3">
        <w:rPr>
          <w:rFonts w:hint="cs"/>
          <w:b/>
          <w:bCs/>
          <w:sz w:val="28"/>
          <w:szCs w:val="28"/>
          <w:rtl/>
        </w:rPr>
        <w:t xml:space="preserve"> אינו</w:t>
      </w:r>
      <w:r w:rsidR="00C45EA9">
        <w:rPr>
          <w:rFonts w:hint="cs"/>
          <w:b/>
          <w:bCs/>
          <w:sz w:val="28"/>
          <w:szCs w:val="28"/>
          <w:rtl/>
        </w:rPr>
        <w:t xml:space="preserve"> תמיד בתוך המהות. </w:t>
      </w:r>
    </w:p>
    <w:p w14:paraId="07697DA0" w14:textId="7E02EF84" w:rsidR="007B173B" w:rsidRDefault="007E2C81" w:rsidP="00AF63E4">
      <w:pPr>
        <w:pStyle w:val="FootnoteText"/>
        <w:rPr>
          <w:b/>
          <w:bCs/>
          <w:sz w:val="28"/>
          <w:szCs w:val="28"/>
          <w:rtl/>
        </w:rPr>
      </w:pPr>
      <w:r>
        <w:rPr>
          <w:rFonts w:hint="cs"/>
          <w:b/>
          <w:bCs/>
          <w:sz w:val="28"/>
          <w:szCs w:val="28"/>
          <w:rtl/>
        </w:rPr>
        <w:t xml:space="preserve">וכך </w:t>
      </w:r>
      <w:r w:rsidR="001319E6">
        <w:rPr>
          <w:rFonts w:hint="cs"/>
          <w:b/>
          <w:bCs/>
          <w:sz w:val="28"/>
          <w:szCs w:val="28"/>
          <w:rtl/>
        </w:rPr>
        <w:t>נ</w:t>
      </w:r>
      <w:r w:rsidR="004F6CC5">
        <w:rPr>
          <w:rFonts w:hint="cs"/>
          <w:b/>
          <w:bCs/>
          <w:sz w:val="28"/>
          <w:szCs w:val="28"/>
          <w:rtl/>
        </w:rPr>
        <w:t>אמר על ההתחל</w:t>
      </w:r>
      <w:r w:rsidR="00D14654">
        <w:rPr>
          <w:rFonts w:hint="cs"/>
          <w:b/>
          <w:bCs/>
          <w:sz w:val="28"/>
          <w:szCs w:val="28"/>
          <w:rtl/>
        </w:rPr>
        <w:t>ות</w:t>
      </w:r>
      <w:r w:rsidR="004F6CC5">
        <w:rPr>
          <w:rFonts w:hint="cs"/>
          <w:b/>
          <w:bCs/>
          <w:sz w:val="28"/>
          <w:szCs w:val="28"/>
          <w:rtl/>
        </w:rPr>
        <w:t xml:space="preserve"> המשותפ</w:t>
      </w:r>
      <w:r w:rsidR="00EC2432">
        <w:rPr>
          <w:rFonts w:hint="cs"/>
          <w:b/>
          <w:bCs/>
          <w:sz w:val="28"/>
          <w:szCs w:val="28"/>
          <w:rtl/>
        </w:rPr>
        <w:t>ו</w:t>
      </w:r>
      <w:r w:rsidR="004F6CC5">
        <w:rPr>
          <w:rFonts w:hint="cs"/>
          <w:b/>
          <w:bCs/>
          <w:sz w:val="28"/>
          <w:szCs w:val="28"/>
          <w:rtl/>
        </w:rPr>
        <w:t>ת ה</w:t>
      </w:r>
      <w:r w:rsidR="00EC2432">
        <w:rPr>
          <w:rFonts w:hint="cs"/>
          <w:b/>
          <w:bCs/>
          <w:sz w:val="28"/>
          <w:szCs w:val="28"/>
          <w:rtl/>
        </w:rPr>
        <w:t>אלה</w:t>
      </w:r>
      <w:r w:rsidR="004F6CC5">
        <w:rPr>
          <w:rFonts w:hint="cs"/>
          <w:b/>
          <w:bCs/>
          <w:sz w:val="28"/>
          <w:szCs w:val="28"/>
          <w:rtl/>
        </w:rPr>
        <w:t>, בדרך השנייה</w:t>
      </w:r>
      <w:r w:rsidR="00020F79">
        <w:rPr>
          <w:rFonts w:hint="cs"/>
          <w:b/>
          <w:bCs/>
          <w:sz w:val="28"/>
          <w:szCs w:val="28"/>
          <w:rtl/>
        </w:rPr>
        <w:t xml:space="preserve"> </w:t>
      </w:r>
      <w:r w:rsidR="000B39A0">
        <w:rPr>
          <w:rFonts w:hint="cs"/>
          <w:b/>
          <w:bCs/>
          <w:sz w:val="28"/>
          <w:szCs w:val="28"/>
          <w:rtl/>
        </w:rPr>
        <w:t>מהדרכים שנ</w:t>
      </w:r>
      <w:r w:rsidR="004658ED">
        <w:rPr>
          <w:rFonts w:hint="cs"/>
          <w:b/>
          <w:bCs/>
          <w:sz w:val="28"/>
          <w:szCs w:val="28"/>
          <w:rtl/>
        </w:rPr>
        <w:t>זכ</w:t>
      </w:r>
      <w:r w:rsidR="000B39A0">
        <w:rPr>
          <w:rFonts w:hint="cs"/>
          <w:b/>
          <w:bCs/>
          <w:sz w:val="28"/>
          <w:szCs w:val="28"/>
          <w:rtl/>
        </w:rPr>
        <w:t>רו לעיל</w:t>
      </w:r>
      <w:r w:rsidR="00275021">
        <w:rPr>
          <w:rStyle w:val="FootnoteReference"/>
          <w:b/>
          <w:bCs/>
          <w:sz w:val="28"/>
          <w:szCs w:val="28"/>
          <w:rtl/>
        </w:rPr>
        <w:footnoteReference w:id="326"/>
      </w:r>
      <w:r w:rsidR="004658ED">
        <w:rPr>
          <w:rFonts w:hint="cs"/>
          <w:b/>
          <w:bCs/>
          <w:sz w:val="28"/>
          <w:szCs w:val="28"/>
          <w:rtl/>
        </w:rPr>
        <w:t>. ו</w:t>
      </w:r>
      <w:r w:rsidR="00DA7CBF">
        <w:rPr>
          <w:rFonts w:hint="cs"/>
          <w:b/>
          <w:bCs/>
          <w:sz w:val="28"/>
          <w:szCs w:val="28"/>
          <w:rtl/>
        </w:rPr>
        <w:t>התבוננותנו</w:t>
      </w:r>
      <w:r w:rsidR="00C214E7">
        <w:rPr>
          <w:rFonts w:hint="cs"/>
          <w:b/>
          <w:bCs/>
          <w:sz w:val="28"/>
          <w:szCs w:val="28"/>
          <w:rtl/>
        </w:rPr>
        <w:t xml:space="preserve"> זו</w:t>
      </w:r>
      <w:r w:rsidR="00DA7CBF">
        <w:rPr>
          <w:rFonts w:hint="cs"/>
          <w:b/>
          <w:bCs/>
          <w:sz w:val="28"/>
          <w:szCs w:val="28"/>
          <w:rtl/>
        </w:rPr>
        <w:t xml:space="preserve"> </w:t>
      </w:r>
      <w:r w:rsidR="00C214E7">
        <w:rPr>
          <w:rFonts w:hint="cs"/>
          <w:b/>
          <w:bCs/>
          <w:sz w:val="28"/>
          <w:szCs w:val="28"/>
          <w:rtl/>
        </w:rPr>
        <w:t>בהתחלות</w:t>
      </w:r>
      <w:r w:rsidR="00986ED9">
        <w:rPr>
          <w:rFonts w:hint="cs"/>
          <w:b/>
          <w:bCs/>
          <w:sz w:val="28"/>
          <w:szCs w:val="28"/>
          <w:rtl/>
        </w:rPr>
        <w:t xml:space="preserve"> היא </w:t>
      </w:r>
      <w:r w:rsidR="00B07CEE">
        <w:rPr>
          <w:rFonts w:hint="cs"/>
          <w:b/>
          <w:bCs/>
          <w:sz w:val="28"/>
          <w:szCs w:val="28"/>
          <w:rtl/>
        </w:rPr>
        <w:t>ב</w:t>
      </w:r>
      <w:r w:rsidR="00986ED9">
        <w:rPr>
          <w:rFonts w:hint="cs"/>
          <w:b/>
          <w:bCs/>
          <w:sz w:val="28"/>
          <w:szCs w:val="28"/>
          <w:rtl/>
        </w:rPr>
        <w:t xml:space="preserve">דרך זו, ואיננו </w:t>
      </w:r>
      <w:r w:rsidR="00890294">
        <w:rPr>
          <w:rFonts w:hint="cs"/>
          <w:b/>
          <w:bCs/>
          <w:sz w:val="28"/>
          <w:szCs w:val="28"/>
          <w:rtl/>
        </w:rPr>
        <w:t>אומר</w:t>
      </w:r>
      <w:r w:rsidR="00986ED9">
        <w:rPr>
          <w:rFonts w:hint="cs"/>
          <w:b/>
          <w:bCs/>
          <w:sz w:val="28"/>
          <w:szCs w:val="28"/>
          <w:rtl/>
        </w:rPr>
        <w:t>ים</w:t>
      </w:r>
      <w:r w:rsidR="00B07CEE">
        <w:rPr>
          <w:rFonts w:hint="cs"/>
          <w:b/>
          <w:bCs/>
          <w:sz w:val="28"/>
          <w:szCs w:val="28"/>
          <w:rtl/>
        </w:rPr>
        <w:t xml:space="preserve"> </w:t>
      </w:r>
      <w:r w:rsidR="00890294">
        <w:rPr>
          <w:rFonts w:hint="cs"/>
          <w:b/>
          <w:bCs/>
          <w:sz w:val="28"/>
          <w:szCs w:val="28"/>
          <w:rtl/>
        </w:rPr>
        <w:t>זאת</w:t>
      </w:r>
      <w:r w:rsidR="001319E6">
        <w:rPr>
          <w:rFonts w:hint="cs"/>
          <w:b/>
          <w:bCs/>
          <w:sz w:val="28"/>
          <w:szCs w:val="28"/>
          <w:rtl/>
        </w:rPr>
        <w:t xml:space="preserve"> </w:t>
      </w:r>
      <w:r w:rsidR="00BE0DC2">
        <w:rPr>
          <w:rFonts w:hint="cs"/>
          <w:b/>
          <w:bCs/>
          <w:sz w:val="28"/>
          <w:szCs w:val="28"/>
          <w:rtl/>
        </w:rPr>
        <w:t>לפי הדרך הראשונה.</w:t>
      </w:r>
    </w:p>
    <w:p w14:paraId="5D3B7AE5" w14:textId="345BF039" w:rsidR="007B173B" w:rsidRPr="00090AAC" w:rsidRDefault="007B173B" w:rsidP="003266A1">
      <w:pPr>
        <w:pStyle w:val="Heading4"/>
        <w:rPr>
          <w:rtl/>
        </w:rPr>
      </w:pPr>
      <w:bookmarkStart w:id="185" w:name="_Toc119092636"/>
      <w:r w:rsidRPr="00090AAC">
        <w:rPr>
          <w:rFonts w:hint="cs"/>
          <w:rtl/>
        </w:rPr>
        <w:t>1.3.7</w:t>
      </w:r>
      <w:bookmarkEnd w:id="185"/>
    </w:p>
    <w:p w14:paraId="51E127B1" w14:textId="4AE64C45" w:rsidR="00457C75" w:rsidRDefault="007B173B" w:rsidP="00BA6B2A">
      <w:pPr>
        <w:pStyle w:val="FootnoteText"/>
        <w:rPr>
          <w:b/>
          <w:bCs/>
          <w:sz w:val="28"/>
          <w:szCs w:val="28"/>
          <w:rtl/>
        </w:rPr>
      </w:pPr>
      <w:r>
        <w:rPr>
          <w:rFonts w:hint="cs"/>
          <w:b/>
          <w:bCs/>
          <w:sz w:val="28"/>
          <w:szCs w:val="28"/>
          <w:rtl/>
        </w:rPr>
        <w:t xml:space="preserve">ואם </w:t>
      </w:r>
      <w:r w:rsidR="00DA2282">
        <w:rPr>
          <w:rFonts w:hint="cs"/>
          <w:b/>
          <w:bCs/>
          <w:sz w:val="28"/>
          <w:szCs w:val="28"/>
          <w:rtl/>
        </w:rPr>
        <w:t>תהיה כוונתנו</w:t>
      </w:r>
      <w:r>
        <w:rPr>
          <w:rFonts w:hint="cs"/>
          <w:b/>
          <w:bCs/>
          <w:sz w:val="28"/>
          <w:szCs w:val="28"/>
          <w:rtl/>
        </w:rPr>
        <w:t xml:space="preserve"> ל</w:t>
      </w:r>
      <w:r w:rsidR="004426CE">
        <w:rPr>
          <w:rFonts w:hint="cs"/>
          <w:b/>
          <w:bCs/>
          <w:sz w:val="28"/>
          <w:szCs w:val="28"/>
          <w:rtl/>
        </w:rPr>
        <w:t>נמצאים</w:t>
      </w:r>
      <w:r w:rsidR="00A375ED">
        <w:rPr>
          <w:rFonts w:hint="cs"/>
          <w:b/>
          <w:bCs/>
          <w:sz w:val="28"/>
          <w:szCs w:val="28"/>
          <w:rtl/>
        </w:rPr>
        <w:t xml:space="preserve"> </w:t>
      </w:r>
      <w:r w:rsidR="009C463A">
        <w:rPr>
          <w:rFonts w:hint="cs"/>
          <w:b/>
          <w:bCs/>
          <w:sz w:val="28"/>
          <w:szCs w:val="28"/>
          <w:rtl/>
        </w:rPr>
        <w:t>המסוימים</w:t>
      </w:r>
      <w:r w:rsidR="0087465C">
        <w:rPr>
          <w:rStyle w:val="FootnoteReference"/>
          <w:b/>
          <w:bCs/>
          <w:sz w:val="28"/>
          <w:szCs w:val="28"/>
          <w:rtl/>
        </w:rPr>
        <w:footnoteReference w:id="327"/>
      </w:r>
      <w:r w:rsidR="00E25565">
        <w:rPr>
          <w:rFonts w:hint="cs"/>
          <w:b/>
          <w:bCs/>
          <w:sz w:val="28"/>
          <w:szCs w:val="28"/>
          <w:rtl/>
        </w:rPr>
        <w:t xml:space="preserve"> -</w:t>
      </w:r>
      <w:r w:rsidR="00BD5133">
        <w:rPr>
          <w:rFonts w:hint="cs"/>
          <w:b/>
          <w:bCs/>
          <w:sz w:val="28"/>
          <w:szCs w:val="28"/>
          <w:rtl/>
        </w:rPr>
        <w:t xml:space="preserve"> </w:t>
      </w:r>
      <w:r w:rsidR="00221F4B">
        <w:rPr>
          <w:rFonts w:hint="cs"/>
          <w:b/>
          <w:bCs/>
          <w:sz w:val="28"/>
          <w:szCs w:val="28"/>
          <w:rtl/>
        </w:rPr>
        <w:t>כאן</w:t>
      </w:r>
      <w:r w:rsidR="00DD5E13">
        <w:rPr>
          <w:rFonts w:hint="cs"/>
          <w:b/>
          <w:bCs/>
          <w:sz w:val="28"/>
          <w:szCs w:val="28"/>
          <w:rtl/>
        </w:rPr>
        <w:t xml:space="preserve"> ההיוליים</w:t>
      </w:r>
      <w:r w:rsidR="00B2338C">
        <w:rPr>
          <w:rStyle w:val="FootnoteReference"/>
          <w:b/>
          <w:bCs/>
          <w:sz w:val="28"/>
          <w:szCs w:val="28"/>
          <w:rtl/>
        </w:rPr>
        <w:footnoteReference w:id="328"/>
      </w:r>
      <w:r w:rsidR="00DD5E13">
        <w:rPr>
          <w:rFonts w:hint="cs"/>
          <w:b/>
          <w:bCs/>
          <w:sz w:val="28"/>
          <w:szCs w:val="28"/>
          <w:rtl/>
        </w:rPr>
        <w:t xml:space="preserve"> יהיו </w:t>
      </w:r>
      <w:r w:rsidR="00E941F5">
        <w:rPr>
          <w:rFonts w:hint="cs"/>
          <w:b/>
          <w:bCs/>
          <w:sz w:val="28"/>
          <w:szCs w:val="28"/>
          <w:rtl/>
        </w:rPr>
        <w:t>מתהווים ונפסדים</w:t>
      </w:r>
      <w:r w:rsidR="00783837">
        <w:rPr>
          <w:rFonts w:hint="cs"/>
          <w:b/>
          <w:bCs/>
          <w:sz w:val="28"/>
          <w:szCs w:val="28"/>
          <w:rtl/>
        </w:rPr>
        <w:t>,</w:t>
      </w:r>
      <w:r w:rsidR="00E941F5">
        <w:rPr>
          <w:rFonts w:hint="cs"/>
          <w:b/>
          <w:bCs/>
          <w:sz w:val="28"/>
          <w:szCs w:val="28"/>
          <w:rtl/>
        </w:rPr>
        <w:t xml:space="preserve"> </w:t>
      </w:r>
      <w:r w:rsidR="00767B1D">
        <w:rPr>
          <w:rFonts w:hint="cs"/>
          <w:b/>
          <w:bCs/>
          <w:sz w:val="28"/>
          <w:szCs w:val="28"/>
          <w:rtl/>
        </w:rPr>
        <w:t>כמו ה</w:t>
      </w:r>
      <w:r w:rsidR="00803066">
        <w:rPr>
          <w:rFonts w:hint="cs"/>
          <w:b/>
          <w:bCs/>
          <w:sz w:val="28"/>
          <w:szCs w:val="28"/>
          <w:rtl/>
        </w:rPr>
        <w:t>עץ</w:t>
      </w:r>
      <w:r w:rsidR="00767B1D">
        <w:rPr>
          <w:rFonts w:hint="cs"/>
          <w:b/>
          <w:bCs/>
          <w:sz w:val="28"/>
          <w:szCs w:val="28"/>
          <w:rtl/>
        </w:rPr>
        <w:t xml:space="preserve"> של המיטה </w:t>
      </w:r>
      <w:r w:rsidR="00783837">
        <w:rPr>
          <w:rFonts w:hint="cs"/>
          <w:b/>
          <w:bCs/>
          <w:sz w:val="28"/>
          <w:szCs w:val="28"/>
          <w:rtl/>
        </w:rPr>
        <w:t>והעפצים של הדיו. וההיולי הראשון,</w:t>
      </w:r>
      <w:r w:rsidR="005F57E6">
        <w:rPr>
          <w:rFonts w:hint="cs"/>
          <w:b/>
          <w:bCs/>
          <w:sz w:val="28"/>
          <w:szCs w:val="28"/>
          <w:rtl/>
        </w:rPr>
        <w:t xml:space="preserve"> אליו היישרנו</w:t>
      </w:r>
      <w:r w:rsidR="00B37097">
        <w:rPr>
          <w:rStyle w:val="FootnoteReference"/>
          <w:b/>
          <w:bCs/>
          <w:sz w:val="28"/>
          <w:szCs w:val="28"/>
          <w:rtl/>
        </w:rPr>
        <w:footnoteReference w:id="329"/>
      </w:r>
      <w:r w:rsidR="009641B8">
        <w:rPr>
          <w:rFonts w:hint="cs"/>
          <w:b/>
          <w:bCs/>
          <w:sz w:val="28"/>
          <w:szCs w:val="28"/>
          <w:rtl/>
        </w:rPr>
        <w:t xml:space="preserve">, </w:t>
      </w:r>
      <w:r w:rsidR="00B02221">
        <w:rPr>
          <w:rFonts w:hint="cs"/>
          <w:b/>
          <w:bCs/>
          <w:sz w:val="28"/>
          <w:szCs w:val="28"/>
          <w:rtl/>
        </w:rPr>
        <w:t xml:space="preserve">לא יתהווה ולא </w:t>
      </w:r>
      <w:proofErr w:type="spellStart"/>
      <w:r w:rsidR="00B02221">
        <w:rPr>
          <w:rFonts w:hint="cs"/>
          <w:b/>
          <w:bCs/>
          <w:sz w:val="28"/>
          <w:szCs w:val="28"/>
          <w:rtl/>
        </w:rPr>
        <w:t>יפסד</w:t>
      </w:r>
      <w:proofErr w:type="spellEnd"/>
      <w:r w:rsidR="00944E8F">
        <w:rPr>
          <w:rFonts w:hint="cs"/>
          <w:b/>
          <w:bCs/>
          <w:sz w:val="28"/>
          <w:szCs w:val="28"/>
          <w:rtl/>
        </w:rPr>
        <w:t xml:space="preserve">, אלא הוא </w:t>
      </w:r>
      <w:r w:rsidR="004A3AE2">
        <w:rPr>
          <w:rFonts w:hint="cs"/>
          <w:b/>
          <w:bCs/>
          <w:sz w:val="28"/>
          <w:szCs w:val="28"/>
          <w:rtl/>
        </w:rPr>
        <w:t>נברא בבריאה הלא זמנית</w:t>
      </w:r>
      <w:r w:rsidR="00404B21">
        <w:rPr>
          <w:rStyle w:val="FootnoteReference"/>
          <w:b/>
          <w:bCs/>
          <w:sz w:val="28"/>
          <w:szCs w:val="28"/>
          <w:rtl/>
        </w:rPr>
        <w:footnoteReference w:id="330"/>
      </w:r>
      <w:r w:rsidR="004A3AE2">
        <w:rPr>
          <w:rFonts w:hint="cs"/>
          <w:b/>
          <w:bCs/>
          <w:sz w:val="28"/>
          <w:szCs w:val="28"/>
          <w:rtl/>
        </w:rPr>
        <w:t>.</w:t>
      </w:r>
    </w:p>
    <w:p w14:paraId="772BBD15" w14:textId="77777777" w:rsidR="003D0E0D" w:rsidRDefault="00F67214" w:rsidP="00BA6B2A">
      <w:pPr>
        <w:pStyle w:val="FootnoteText"/>
        <w:rPr>
          <w:b/>
          <w:bCs/>
          <w:sz w:val="28"/>
          <w:szCs w:val="28"/>
          <w:rtl/>
        </w:rPr>
      </w:pPr>
      <w:r>
        <w:rPr>
          <w:rFonts w:hint="cs"/>
          <w:b/>
          <w:bCs/>
          <w:sz w:val="28"/>
          <w:szCs w:val="28"/>
          <w:rtl/>
        </w:rPr>
        <w:t xml:space="preserve">באשר לצורות, </w:t>
      </w:r>
      <w:r w:rsidR="001054AD">
        <w:rPr>
          <w:rFonts w:hint="cs"/>
          <w:b/>
          <w:bCs/>
          <w:sz w:val="28"/>
          <w:szCs w:val="28"/>
          <w:rtl/>
        </w:rPr>
        <w:t xml:space="preserve">מקצתן יתהוו </w:t>
      </w:r>
      <w:proofErr w:type="spellStart"/>
      <w:r w:rsidR="001054AD">
        <w:rPr>
          <w:rFonts w:hint="cs"/>
          <w:b/>
          <w:bCs/>
          <w:sz w:val="28"/>
          <w:szCs w:val="28"/>
          <w:rtl/>
        </w:rPr>
        <w:t>ויפסדו</w:t>
      </w:r>
      <w:proofErr w:type="spellEnd"/>
      <w:r w:rsidR="001054AD">
        <w:rPr>
          <w:rFonts w:hint="cs"/>
          <w:b/>
          <w:bCs/>
          <w:sz w:val="28"/>
          <w:szCs w:val="28"/>
          <w:rtl/>
        </w:rPr>
        <w:t xml:space="preserve">, </w:t>
      </w:r>
      <w:r w:rsidR="00D87CDD">
        <w:rPr>
          <w:rFonts w:hint="cs"/>
          <w:b/>
          <w:bCs/>
          <w:sz w:val="28"/>
          <w:szCs w:val="28"/>
          <w:rtl/>
        </w:rPr>
        <w:t xml:space="preserve">הן אלה שתחת ההתהוות וההפסד, </w:t>
      </w:r>
      <w:r w:rsidR="00747EC7">
        <w:rPr>
          <w:rFonts w:hint="cs"/>
          <w:b/>
          <w:bCs/>
          <w:sz w:val="28"/>
          <w:szCs w:val="28"/>
          <w:rtl/>
        </w:rPr>
        <w:t xml:space="preserve">ומקצתן </w:t>
      </w:r>
      <w:r w:rsidR="0048341B">
        <w:rPr>
          <w:rFonts w:hint="cs"/>
          <w:b/>
          <w:bCs/>
          <w:sz w:val="28"/>
          <w:szCs w:val="28"/>
          <w:rtl/>
        </w:rPr>
        <w:t>לא יתהוו ו</w:t>
      </w:r>
      <w:r w:rsidR="00AF55E1">
        <w:rPr>
          <w:rFonts w:hint="cs"/>
          <w:b/>
          <w:bCs/>
          <w:sz w:val="28"/>
          <w:szCs w:val="28"/>
          <w:rtl/>
        </w:rPr>
        <w:t xml:space="preserve">לא </w:t>
      </w:r>
      <w:proofErr w:type="spellStart"/>
      <w:r w:rsidR="0048341B">
        <w:rPr>
          <w:rFonts w:hint="cs"/>
          <w:b/>
          <w:bCs/>
          <w:sz w:val="28"/>
          <w:szCs w:val="28"/>
          <w:rtl/>
        </w:rPr>
        <w:t>יפסדו</w:t>
      </w:r>
      <w:proofErr w:type="spellEnd"/>
      <w:r w:rsidR="0048341B">
        <w:rPr>
          <w:rFonts w:hint="cs"/>
          <w:b/>
          <w:bCs/>
          <w:sz w:val="28"/>
          <w:szCs w:val="28"/>
          <w:rtl/>
        </w:rPr>
        <w:t xml:space="preserve">, </w:t>
      </w:r>
      <w:r w:rsidR="00CD63C6">
        <w:rPr>
          <w:rFonts w:hint="cs"/>
          <w:b/>
          <w:bCs/>
          <w:sz w:val="28"/>
          <w:szCs w:val="28"/>
          <w:rtl/>
        </w:rPr>
        <w:t xml:space="preserve">והן אלה </w:t>
      </w:r>
      <w:r w:rsidR="00600B54">
        <w:rPr>
          <w:rFonts w:hint="cs"/>
          <w:b/>
          <w:bCs/>
          <w:sz w:val="28"/>
          <w:szCs w:val="28"/>
          <w:rtl/>
        </w:rPr>
        <w:t>ש</w:t>
      </w:r>
      <w:r w:rsidR="002A759F">
        <w:rPr>
          <w:rFonts w:hint="cs"/>
          <w:b/>
          <w:bCs/>
          <w:sz w:val="28"/>
          <w:szCs w:val="28"/>
          <w:rtl/>
        </w:rPr>
        <w:t>נבראו בבריאה הלא זמנית</w:t>
      </w:r>
      <w:r w:rsidR="0068336B">
        <w:rPr>
          <w:rStyle w:val="FootnoteReference"/>
          <w:b/>
          <w:bCs/>
          <w:sz w:val="28"/>
          <w:szCs w:val="28"/>
          <w:rtl/>
        </w:rPr>
        <w:footnoteReference w:id="331"/>
      </w:r>
      <w:r w:rsidR="00600B54">
        <w:rPr>
          <w:rFonts w:hint="cs"/>
          <w:b/>
          <w:bCs/>
          <w:sz w:val="28"/>
          <w:szCs w:val="28"/>
          <w:rtl/>
        </w:rPr>
        <w:t>.</w:t>
      </w:r>
    </w:p>
    <w:p w14:paraId="798E88DD" w14:textId="550BBC2D" w:rsidR="00DB717D" w:rsidRDefault="00A23453" w:rsidP="00AF63E4">
      <w:pPr>
        <w:pStyle w:val="FootnoteText"/>
        <w:rPr>
          <w:b/>
          <w:bCs/>
          <w:sz w:val="28"/>
          <w:szCs w:val="28"/>
          <w:rtl/>
        </w:rPr>
      </w:pPr>
      <w:r>
        <w:rPr>
          <w:rFonts w:hint="cs"/>
          <w:b/>
          <w:bCs/>
          <w:sz w:val="28"/>
          <w:szCs w:val="28"/>
          <w:rtl/>
        </w:rPr>
        <w:t>וכאשר ייאמר</w:t>
      </w:r>
      <w:r w:rsidR="00ED4BBB">
        <w:rPr>
          <w:rFonts w:hint="cs"/>
          <w:b/>
          <w:bCs/>
          <w:sz w:val="28"/>
          <w:szCs w:val="28"/>
          <w:rtl/>
        </w:rPr>
        <w:t xml:space="preserve"> </w:t>
      </w:r>
      <w:r w:rsidR="00087DD5">
        <w:rPr>
          <w:rFonts w:hint="cs"/>
          <w:b/>
          <w:bCs/>
          <w:sz w:val="28"/>
          <w:szCs w:val="28"/>
          <w:rtl/>
        </w:rPr>
        <w:t>על הצורות שהן לא מתהוות ולא נפסדות</w:t>
      </w:r>
      <w:r w:rsidR="003A129D">
        <w:rPr>
          <w:rFonts w:hint="cs"/>
          <w:b/>
          <w:bCs/>
          <w:sz w:val="28"/>
          <w:szCs w:val="28"/>
          <w:rtl/>
        </w:rPr>
        <w:t>,</w:t>
      </w:r>
      <w:r>
        <w:rPr>
          <w:rFonts w:hint="cs"/>
          <w:b/>
          <w:bCs/>
          <w:sz w:val="28"/>
          <w:szCs w:val="28"/>
          <w:rtl/>
        </w:rPr>
        <w:t xml:space="preserve"> זה במובן אחר</w:t>
      </w:r>
      <w:r w:rsidR="00014428">
        <w:rPr>
          <w:rFonts w:hint="cs"/>
          <w:b/>
          <w:bCs/>
          <w:sz w:val="28"/>
          <w:szCs w:val="28"/>
          <w:rtl/>
        </w:rPr>
        <w:t xml:space="preserve">, כי אפשר </w:t>
      </w:r>
      <w:r w:rsidR="00DD2883">
        <w:rPr>
          <w:rFonts w:hint="cs"/>
          <w:b/>
          <w:bCs/>
          <w:sz w:val="28"/>
          <w:szCs w:val="28"/>
          <w:rtl/>
        </w:rPr>
        <w:t xml:space="preserve">שייאמר </w:t>
      </w:r>
      <w:r w:rsidR="00014428">
        <w:rPr>
          <w:rFonts w:hint="cs"/>
          <w:b/>
          <w:bCs/>
          <w:sz w:val="28"/>
          <w:szCs w:val="28"/>
          <w:rtl/>
        </w:rPr>
        <w:t xml:space="preserve">על הצורות </w:t>
      </w:r>
      <w:r w:rsidR="0068619C">
        <w:rPr>
          <w:rFonts w:hint="cs"/>
          <w:b/>
          <w:bCs/>
          <w:sz w:val="28"/>
          <w:szCs w:val="28"/>
          <w:rtl/>
        </w:rPr>
        <w:t>ש</w:t>
      </w:r>
      <w:r w:rsidR="00455D3E">
        <w:rPr>
          <w:rFonts w:hint="cs"/>
          <w:b/>
          <w:bCs/>
          <w:sz w:val="28"/>
          <w:szCs w:val="28"/>
          <w:rtl/>
        </w:rPr>
        <w:t>תחת</w:t>
      </w:r>
      <w:r w:rsidR="0068619C">
        <w:rPr>
          <w:rFonts w:hint="cs"/>
          <w:b/>
          <w:bCs/>
          <w:sz w:val="28"/>
          <w:szCs w:val="28"/>
          <w:rtl/>
        </w:rPr>
        <w:t xml:space="preserve"> ההתהוות וההפסד </w:t>
      </w:r>
      <w:r w:rsidR="00B56AC3">
        <w:rPr>
          <w:rFonts w:hint="cs"/>
          <w:b/>
          <w:bCs/>
          <w:sz w:val="28"/>
          <w:szCs w:val="28"/>
          <w:rtl/>
        </w:rPr>
        <w:t xml:space="preserve">שהן לא מתהוות ונפסדות </w:t>
      </w:r>
      <w:r w:rsidR="00D77760">
        <w:rPr>
          <w:rFonts w:hint="cs"/>
          <w:b/>
          <w:bCs/>
          <w:sz w:val="28"/>
          <w:szCs w:val="28"/>
          <w:rtl/>
        </w:rPr>
        <w:t xml:space="preserve">במובן </w:t>
      </w:r>
      <w:r w:rsidR="001E40FE">
        <w:rPr>
          <w:rFonts w:hint="cs"/>
          <w:b/>
          <w:bCs/>
          <w:sz w:val="28"/>
          <w:szCs w:val="28"/>
          <w:rtl/>
        </w:rPr>
        <w:t>שא</w:t>
      </w:r>
      <w:r w:rsidR="00270028">
        <w:rPr>
          <w:rFonts w:hint="cs"/>
          <w:b/>
          <w:bCs/>
          <w:sz w:val="28"/>
          <w:szCs w:val="28"/>
          <w:rtl/>
        </w:rPr>
        <w:t>י</w:t>
      </w:r>
      <w:r w:rsidR="001E40FE">
        <w:rPr>
          <w:rFonts w:hint="cs"/>
          <w:b/>
          <w:bCs/>
          <w:sz w:val="28"/>
          <w:szCs w:val="28"/>
          <w:rtl/>
        </w:rPr>
        <w:t>נן מורכבות מ</w:t>
      </w:r>
      <w:r w:rsidR="004D773E">
        <w:rPr>
          <w:rFonts w:hint="cs"/>
          <w:b/>
          <w:bCs/>
          <w:sz w:val="28"/>
          <w:szCs w:val="28"/>
          <w:rtl/>
        </w:rPr>
        <w:t>היולי</w:t>
      </w:r>
      <w:r w:rsidR="001E40FE">
        <w:rPr>
          <w:rFonts w:hint="cs"/>
          <w:b/>
          <w:bCs/>
          <w:sz w:val="28"/>
          <w:szCs w:val="28"/>
          <w:rtl/>
        </w:rPr>
        <w:t xml:space="preserve"> וצורה </w:t>
      </w:r>
      <w:r w:rsidR="0047215A">
        <w:rPr>
          <w:rFonts w:hint="cs"/>
          <w:b/>
          <w:bCs/>
          <w:sz w:val="28"/>
          <w:szCs w:val="28"/>
          <w:rtl/>
        </w:rPr>
        <w:t>עד</w:t>
      </w:r>
      <w:r w:rsidR="001E40FE">
        <w:rPr>
          <w:rFonts w:hint="cs"/>
          <w:b/>
          <w:bCs/>
          <w:sz w:val="28"/>
          <w:szCs w:val="28"/>
          <w:rtl/>
        </w:rPr>
        <w:t xml:space="preserve"> ש</w:t>
      </w:r>
      <w:r w:rsidR="00846D90">
        <w:rPr>
          <w:rFonts w:hint="cs"/>
          <w:b/>
          <w:bCs/>
          <w:sz w:val="28"/>
          <w:szCs w:val="28"/>
          <w:rtl/>
        </w:rPr>
        <w:t xml:space="preserve">יתהוו </w:t>
      </w:r>
      <w:proofErr w:type="spellStart"/>
      <w:r w:rsidR="00846D90">
        <w:rPr>
          <w:rFonts w:hint="cs"/>
          <w:b/>
          <w:bCs/>
          <w:sz w:val="28"/>
          <w:szCs w:val="28"/>
          <w:rtl/>
        </w:rPr>
        <w:t>ויפסדו</w:t>
      </w:r>
      <w:proofErr w:type="spellEnd"/>
      <w:r w:rsidR="00240431">
        <w:rPr>
          <w:rFonts w:hint="cs"/>
          <w:b/>
          <w:bCs/>
          <w:sz w:val="28"/>
          <w:szCs w:val="28"/>
          <w:rtl/>
        </w:rPr>
        <w:t xml:space="preserve">, </w:t>
      </w:r>
      <w:r w:rsidR="001968C0">
        <w:rPr>
          <w:rFonts w:hint="cs"/>
          <w:b/>
          <w:bCs/>
          <w:sz w:val="28"/>
          <w:szCs w:val="28"/>
          <w:rtl/>
        </w:rPr>
        <w:t xml:space="preserve">אלא הרצון לומר </w:t>
      </w:r>
      <w:r w:rsidR="007C7A4B">
        <w:rPr>
          <w:rFonts w:hint="cs"/>
          <w:b/>
          <w:bCs/>
          <w:sz w:val="28"/>
          <w:szCs w:val="28"/>
          <w:rtl/>
        </w:rPr>
        <w:t xml:space="preserve">ב'התהוות' </w:t>
      </w:r>
      <w:r w:rsidR="00BD5171" w:rsidRPr="306CA0CC">
        <w:rPr>
          <w:b/>
          <w:bCs/>
          <w:sz w:val="28"/>
          <w:szCs w:val="28"/>
          <w:rtl/>
        </w:rPr>
        <w:t>ש</w:t>
      </w:r>
      <w:r w:rsidR="0003015E" w:rsidRPr="306CA0CC">
        <w:rPr>
          <w:b/>
          <w:bCs/>
          <w:sz w:val="28"/>
          <w:szCs w:val="28"/>
          <w:rtl/>
        </w:rPr>
        <w:t>הנושא</w:t>
      </w:r>
      <w:r w:rsidR="0003015E">
        <w:rPr>
          <w:rFonts w:hint="cs"/>
          <w:b/>
          <w:bCs/>
          <w:sz w:val="28"/>
          <w:szCs w:val="28"/>
          <w:rtl/>
        </w:rPr>
        <w:t xml:space="preserve"> מקבל את הצורה, </w:t>
      </w:r>
      <w:r w:rsidR="00832800">
        <w:rPr>
          <w:rFonts w:hint="cs"/>
          <w:b/>
          <w:bCs/>
          <w:sz w:val="28"/>
          <w:szCs w:val="28"/>
          <w:rtl/>
        </w:rPr>
        <w:t>ותהיה ההתהוות</w:t>
      </w:r>
      <w:r w:rsidR="00EF38F0">
        <w:rPr>
          <w:rFonts w:hint="cs"/>
          <w:b/>
          <w:bCs/>
          <w:sz w:val="28"/>
          <w:szCs w:val="28"/>
          <w:rtl/>
        </w:rPr>
        <w:t xml:space="preserve"> ה</w:t>
      </w:r>
      <w:r w:rsidR="00BE0C27">
        <w:rPr>
          <w:rFonts w:hint="cs"/>
          <w:b/>
          <w:bCs/>
          <w:sz w:val="28"/>
          <w:szCs w:val="28"/>
          <w:rtl/>
        </w:rPr>
        <w:t>התאחדות</w:t>
      </w:r>
      <w:r w:rsidR="00EF38F0">
        <w:rPr>
          <w:rFonts w:hint="cs"/>
          <w:b/>
          <w:bCs/>
          <w:sz w:val="28"/>
          <w:szCs w:val="28"/>
          <w:rtl/>
        </w:rPr>
        <w:t xml:space="preserve"> שלהם</w:t>
      </w:r>
      <w:r w:rsidR="00BE0C27">
        <w:rPr>
          <w:rFonts w:hint="cs"/>
          <w:b/>
          <w:bCs/>
          <w:sz w:val="28"/>
          <w:szCs w:val="28"/>
          <w:rtl/>
        </w:rPr>
        <w:t>, ובהפסד שלא יקבל</w:t>
      </w:r>
      <w:r w:rsidR="007C1293">
        <w:rPr>
          <w:rStyle w:val="FootnoteReference"/>
          <w:b/>
          <w:bCs/>
          <w:sz w:val="28"/>
          <w:szCs w:val="28"/>
          <w:rtl/>
        </w:rPr>
        <w:footnoteReference w:id="332"/>
      </w:r>
      <w:r w:rsidR="00087DD5">
        <w:rPr>
          <w:rFonts w:hint="cs"/>
          <w:b/>
          <w:bCs/>
          <w:sz w:val="28"/>
          <w:szCs w:val="28"/>
          <w:rtl/>
        </w:rPr>
        <w:t>.</w:t>
      </w:r>
    </w:p>
    <w:p w14:paraId="07A6677C" w14:textId="77777777" w:rsidR="00DB717D" w:rsidRPr="008E6B62" w:rsidRDefault="00DB717D" w:rsidP="003266A1">
      <w:pPr>
        <w:pStyle w:val="Heading4"/>
        <w:rPr>
          <w:rtl/>
        </w:rPr>
      </w:pPr>
      <w:bookmarkStart w:id="186" w:name="_Toc119092637"/>
      <w:r w:rsidRPr="008E6B62">
        <w:rPr>
          <w:rFonts w:hint="cs"/>
          <w:rtl/>
        </w:rPr>
        <w:t>1.3.8</w:t>
      </w:r>
      <w:bookmarkEnd w:id="186"/>
    </w:p>
    <w:p w14:paraId="743EB3FD" w14:textId="3FBC462A" w:rsidR="004F0ADE" w:rsidRDefault="008E6B62" w:rsidP="00BA6B2A">
      <w:pPr>
        <w:pStyle w:val="FootnoteText"/>
        <w:rPr>
          <w:b/>
          <w:bCs/>
          <w:sz w:val="28"/>
          <w:szCs w:val="28"/>
          <w:rtl/>
        </w:rPr>
      </w:pPr>
      <w:r>
        <w:rPr>
          <w:rFonts w:hint="cs"/>
          <w:b/>
          <w:bCs/>
          <w:sz w:val="28"/>
          <w:szCs w:val="28"/>
          <w:rtl/>
        </w:rPr>
        <w:t>ובאשר להעד</w:t>
      </w:r>
      <w:r w:rsidR="00B07FB3">
        <w:rPr>
          <w:rFonts w:hint="cs"/>
          <w:b/>
          <w:bCs/>
          <w:sz w:val="28"/>
          <w:szCs w:val="28"/>
          <w:rtl/>
        </w:rPr>
        <w:t xml:space="preserve">ר, </w:t>
      </w:r>
      <w:r w:rsidR="000B4CE6">
        <w:rPr>
          <w:rFonts w:hint="cs"/>
          <w:b/>
          <w:bCs/>
          <w:sz w:val="28"/>
          <w:szCs w:val="28"/>
          <w:rtl/>
        </w:rPr>
        <w:t>ההתהוות שלו</w:t>
      </w:r>
      <w:r w:rsidR="00693CE3">
        <w:rPr>
          <w:rFonts w:hint="cs"/>
          <w:b/>
          <w:bCs/>
          <w:sz w:val="28"/>
          <w:szCs w:val="28"/>
          <w:rtl/>
        </w:rPr>
        <w:t xml:space="preserve">, אם יש לו התהוות, היא </w:t>
      </w:r>
      <w:r w:rsidR="00F0063D">
        <w:rPr>
          <w:rFonts w:hint="cs"/>
          <w:b/>
          <w:bCs/>
          <w:sz w:val="28"/>
          <w:szCs w:val="28"/>
          <w:rtl/>
        </w:rPr>
        <w:t xml:space="preserve">שהוא </w:t>
      </w:r>
      <w:r w:rsidR="00F0063D" w:rsidRPr="1D18EE2B">
        <w:rPr>
          <w:b/>
          <w:bCs/>
          <w:sz w:val="28"/>
          <w:szCs w:val="28"/>
          <w:rtl/>
        </w:rPr>
        <w:t>הווה</w:t>
      </w:r>
      <w:r w:rsidR="00F0063D">
        <w:rPr>
          <w:rFonts w:hint="cs"/>
          <w:b/>
          <w:bCs/>
          <w:sz w:val="28"/>
          <w:szCs w:val="28"/>
          <w:rtl/>
        </w:rPr>
        <w:t xml:space="preserve"> אחרי שלא </w:t>
      </w:r>
      <w:r w:rsidR="00F0063D" w:rsidRPr="1D18EE2B">
        <w:rPr>
          <w:b/>
          <w:bCs/>
          <w:sz w:val="28"/>
          <w:szCs w:val="28"/>
          <w:rtl/>
        </w:rPr>
        <w:t>היה</w:t>
      </w:r>
      <w:r w:rsidR="005E2182" w:rsidRPr="1D18EE2B">
        <w:rPr>
          <w:b/>
          <w:bCs/>
          <w:sz w:val="28"/>
          <w:szCs w:val="28"/>
          <w:rtl/>
        </w:rPr>
        <w:t>.</w:t>
      </w:r>
      <w:r w:rsidR="005E2182">
        <w:rPr>
          <w:rFonts w:hint="cs"/>
          <w:b/>
          <w:bCs/>
          <w:sz w:val="28"/>
          <w:szCs w:val="28"/>
          <w:rtl/>
        </w:rPr>
        <w:t xml:space="preserve"> </w:t>
      </w:r>
      <w:r w:rsidR="00E9013B">
        <w:rPr>
          <w:rFonts w:hint="cs"/>
          <w:b/>
          <w:bCs/>
          <w:sz w:val="28"/>
          <w:szCs w:val="28"/>
          <w:rtl/>
        </w:rPr>
        <w:t>והיות</w:t>
      </w:r>
      <w:r w:rsidR="00C3284B">
        <w:rPr>
          <w:rFonts w:hint="cs"/>
          <w:b/>
          <w:bCs/>
          <w:sz w:val="28"/>
          <w:szCs w:val="28"/>
          <w:rtl/>
        </w:rPr>
        <w:t>ו</w:t>
      </w:r>
      <w:r w:rsidR="00E9013B">
        <w:rPr>
          <w:rFonts w:hint="cs"/>
          <w:b/>
          <w:bCs/>
          <w:sz w:val="28"/>
          <w:szCs w:val="28"/>
          <w:rtl/>
        </w:rPr>
        <w:t xml:space="preserve"> </w:t>
      </w:r>
      <w:r w:rsidR="00C3284B">
        <w:rPr>
          <w:rFonts w:hint="cs"/>
          <w:b/>
          <w:bCs/>
          <w:sz w:val="28"/>
          <w:szCs w:val="28"/>
          <w:rtl/>
        </w:rPr>
        <w:t>ו</w:t>
      </w:r>
      <w:r w:rsidR="00E9013B">
        <w:rPr>
          <w:rFonts w:hint="cs"/>
          <w:b/>
          <w:bCs/>
          <w:sz w:val="28"/>
          <w:szCs w:val="28"/>
          <w:rtl/>
        </w:rPr>
        <w:t>מציאות</w:t>
      </w:r>
      <w:r w:rsidR="00CF56D0">
        <w:rPr>
          <w:rFonts w:hint="cs"/>
          <w:b/>
          <w:bCs/>
          <w:sz w:val="28"/>
          <w:szCs w:val="28"/>
          <w:rtl/>
        </w:rPr>
        <w:t>ו</w:t>
      </w:r>
      <w:r w:rsidR="00E9013B">
        <w:rPr>
          <w:rFonts w:hint="cs"/>
          <w:b/>
          <w:bCs/>
          <w:sz w:val="28"/>
          <w:szCs w:val="28"/>
          <w:rtl/>
        </w:rPr>
        <w:t xml:space="preserve"> לא</w:t>
      </w:r>
      <w:r w:rsidR="001E7D54">
        <w:rPr>
          <w:rFonts w:hint="cs"/>
          <w:b/>
          <w:bCs/>
          <w:sz w:val="28"/>
          <w:szCs w:val="28"/>
          <w:rtl/>
        </w:rPr>
        <w:t xml:space="preserve"> </w:t>
      </w:r>
      <w:r w:rsidR="00730C5C">
        <w:rPr>
          <w:rFonts w:hint="cs"/>
          <w:b/>
          <w:bCs/>
          <w:sz w:val="28"/>
          <w:szCs w:val="28"/>
          <w:rtl/>
        </w:rPr>
        <w:t xml:space="preserve">נמצאים </w:t>
      </w:r>
      <w:r w:rsidR="00AD265B">
        <w:rPr>
          <w:rFonts w:hint="cs"/>
          <w:b/>
          <w:bCs/>
          <w:sz w:val="28"/>
          <w:szCs w:val="28"/>
          <w:rtl/>
        </w:rPr>
        <w:t xml:space="preserve">כמציאות </w:t>
      </w:r>
      <w:r w:rsidR="00AD265B" w:rsidRPr="130F4577">
        <w:rPr>
          <w:b/>
          <w:bCs/>
          <w:sz w:val="28"/>
          <w:szCs w:val="28"/>
          <w:rtl/>
        </w:rPr>
        <w:t>ש</w:t>
      </w:r>
      <w:r w:rsidR="00E35EFE">
        <w:rPr>
          <w:rFonts w:hint="cs"/>
          <w:b/>
          <w:bCs/>
          <w:sz w:val="28"/>
          <w:szCs w:val="28"/>
          <w:rtl/>
        </w:rPr>
        <w:t xml:space="preserve">יש לה מהות </w:t>
      </w:r>
      <w:r w:rsidR="00342D1A">
        <w:rPr>
          <w:rFonts w:hint="cs"/>
          <w:b/>
          <w:bCs/>
          <w:sz w:val="28"/>
          <w:szCs w:val="28"/>
          <w:rtl/>
        </w:rPr>
        <w:t>נ</w:t>
      </w:r>
      <w:r w:rsidR="005A60EB">
        <w:rPr>
          <w:rFonts w:hint="cs"/>
          <w:b/>
          <w:bCs/>
          <w:sz w:val="28"/>
          <w:szCs w:val="28"/>
          <w:rtl/>
        </w:rPr>
        <w:t>גלי</w:t>
      </w:r>
      <w:r w:rsidR="00342D1A">
        <w:rPr>
          <w:rFonts w:hint="cs"/>
          <w:b/>
          <w:bCs/>
          <w:sz w:val="28"/>
          <w:szCs w:val="28"/>
          <w:rtl/>
        </w:rPr>
        <w:t xml:space="preserve">ת </w:t>
      </w:r>
      <w:r w:rsidR="00C417C1">
        <w:rPr>
          <w:rFonts w:hint="cs"/>
          <w:b/>
          <w:bCs/>
          <w:sz w:val="28"/>
          <w:szCs w:val="28"/>
          <w:rtl/>
        </w:rPr>
        <w:t>בפני</w:t>
      </w:r>
      <w:r w:rsidR="00076A52">
        <w:rPr>
          <w:rFonts w:hint="cs"/>
          <w:b/>
          <w:bCs/>
          <w:sz w:val="28"/>
          <w:szCs w:val="28"/>
          <w:rtl/>
        </w:rPr>
        <w:t xml:space="preserve"> עצמ</w:t>
      </w:r>
      <w:r w:rsidR="000C373B">
        <w:rPr>
          <w:rFonts w:hint="cs"/>
          <w:b/>
          <w:bCs/>
          <w:sz w:val="28"/>
          <w:szCs w:val="28"/>
          <w:rtl/>
        </w:rPr>
        <w:t>ה</w:t>
      </w:r>
      <w:r w:rsidR="00296D30">
        <w:rPr>
          <w:rStyle w:val="FootnoteReference"/>
          <w:b/>
          <w:bCs/>
          <w:sz w:val="28"/>
          <w:szCs w:val="28"/>
          <w:rtl/>
        </w:rPr>
        <w:footnoteReference w:id="333"/>
      </w:r>
      <w:r w:rsidR="00317910">
        <w:rPr>
          <w:rFonts w:hint="cs"/>
          <w:b/>
          <w:bCs/>
          <w:sz w:val="28"/>
          <w:szCs w:val="28"/>
          <w:rtl/>
        </w:rPr>
        <w:t xml:space="preserve">, </w:t>
      </w:r>
      <w:r w:rsidR="000C373B">
        <w:rPr>
          <w:rFonts w:hint="cs"/>
          <w:b/>
          <w:bCs/>
          <w:sz w:val="28"/>
          <w:szCs w:val="28"/>
          <w:rtl/>
        </w:rPr>
        <w:t>אלא יימצא ב</w:t>
      </w:r>
      <w:r w:rsidR="000B788B">
        <w:rPr>
          <w:rFonts w:hint="cs"/>
          <w:b/>
          <w:bCs/>
          <w:sz w:val="28"/>
          <w:szCs w:val="28"/>
          <w:rtl/>
        </w:rPr>
        <w:t>מקרה</w:t>
      </w:r>
      <w:r w:rsidR="002C43FF">
        <w:rPr>
          <w:rFonts w:hint="cs"/>
          <w:b/>
          <w:bCs/>
          <w:sz w:val="28"/>
          <w:szCs w:val="28"/>
          <w:rtl/>
        </w:rPr>
        <w:t xml:space="preserve">, </w:t>
      </w:r>
      <w:r w:rsidR="00AE0833">
        <w:rPr>
          <w:rFonts w:hint="cs"/>
          <w:b/>
          <w:bCs/>
          <w:sz w:val="28"/>
          <w:szCs w:val="28"/>
          <w:rtl/>
        </w:rPr>
        <w:t>כי ה</w:t>
      </w:r>
      <w:r w:rsidR="00044A79">
        <w:rPr>
          <w:rFonts w:hint="cs"/>
          <w:b/>
          <w:bCs/>
          <w:sz w:val="28"/>
          <w:szCs w:val="28"/>
          <w:rtl/>
        </w:rPr>
        <w:t xml:space="preserve">עדר דבר </w:t>
      </w:r>
      <w:r w:rsidR="009C463A">
        <w:rPr>
          <w:rFonts w:hint="cs"/>
          <w:b/>
          <w:bCs/>
          <w:sz w:val="28"/>
          <w:szCs w:val="28"/>
          <w:rtl/>
        </w:rPr>
        <w:t>מסוים</w:t>
      </w:r>
      <w:r w:rsidR="00044A79">
        <w:rPr>
          <w:rFonts w:hint="cs"/>
          <w:b/>
          <w:bCs/>
          <w:sz w:val="28"/>
          <w:szCs w:val="28"/>
          <w:rtl/>
        </w:rPr>
        <w:t xml:space="preserve"> </w:t>
      </w:r>
      <w:r w:rsidR="00414D79">
        <w:rPr>
          <w:rFonts w:hint="cs"/>
          <w:b/>
          <w:bCs/>
          <w:sz w:val="28"/>
          <w:szCs w:val="28"/>
          <w:rtl/>
        </w:rPr>
        <w:t xml:space="preserve">בדבר </w:t>
      </w:r>
      <w:r w:rsidR="009C463A">
        <w:rPr>
          <w:rFonts w:hint="cs"/>
          <w:b/>
          <w:bCs/>
          <w:sz w:val="28"/>
          <w:szCs w:val="28"/>
          <w:rtl/>
        </w:rPr>
        <w:t>מסוים</w:t>
      </w:r>
      <w:r w:rsidR="00212EC1">
        <w:rPr>
          <w:rStyle w:val="FootnoteReference"/>
          <w:b/>
          <w:bCs/>
          <w:sz w:val="28"/>
          <w:szCs w:val="28"/>
          <w:rtl/>
        </w:rPr>
        <w:footnoteReference w:id="334"/>
      </w:r>
      <w:r w:rsidR="00414D79">
        <w:rPr>
          <w:rFonts w:hint="cs"/>
          <w:b/>
          <w:bCs/>
          <w:sz w:val="28"/>
          <w:szCs w:val="28"/>
          <w:rtl/>
        </w:rPr>
        <w:t xml:space="preserve"> </w:t>
      </w:r>
      <w:r w:rsidR="00831E11">
        <w:rPr>
          <w:rFonts w:hint="cs"/>
          <w:b/>
          <w:bCs/>
          <w:sz w:val="28"/>
          <w:szCs w:val="28"/>
          <w:rtl/>
        </w:rPr>
        <w:t xml:space="preserve">הוא </w:t>
      </w:r>
      <w:r w:rsidR="009A4693">
        <w:rPr>
          <w:rFonts w:hint="cs"/>
          <w:b/>
          <w:bCs/>
          <w:sz w:val="28"/>
          <w:szCs w:val="28"/>
          <w:rtl/>
        </w:rPr>
        <w:t xml:space="preserve">זה </w:t>
      </w:r>
      <w:r w:rsidR="00831E11">
        <w:rPr>
          <w:rFonts w:hint="cs"/>
          <w:b/>
          <w:bCs/>
          <w:sz w:val="28"/>
          <w:szCs w:val="28"/>
          <w:rtl/>
        </w:rPr>
        <w:t xml:space="preserve">שבו </w:t>
      </w:r>
      <w:r w:rsidR="00B155E1">
        <w:rPr>
          <w:rFonts w:hint="cs"/>
          <w:b/>
          <w:bCs/>
          <w:sz w:val="28"/>
          <w:szCs w:val="28"/>
          <w:rtl/>
        </w:rPr>
        <w:t>ה'בכח',</w:t>
      </w:r>
      <w:r w:rsidR="00C24715">
        <w:rPr>
          <w:rFonts w:hint="cs"/>
          <w:b/>
          <w:bCs/>
          <w:sz w:val="28"/>
          <w:szCs w:val="28"/>
          <w:rtl/>
        </w:rPr>
        <w:t xml:space="preserve"> </w:t>
      </w:r>
      <w:r w:rsidR="00B32406">
        <w:rPr>
          <w:rFonts w:hint="cs"/>
          <w:b/>
          <w:bCs/>
          <w:sz w:val="28"/>
          <w:szCs w:val="28"/>
          <w:rtl/>
        </w:rPr>
        <w:t>ו</w:t>
      </w:r>
      <w:r w:rsidR="003A26B5">
        <w:rPr>
          <w:rFonts w:hint="cs"/>
          <w:b/>
          <w:bCs/>
          <w:sz w:val="28"/>
          <w:szCs w:val="28"/>
          <w:rtl/>
        </w:rPr>
        <w:t xml:space="preserve">גם </w:t>
      </w:r>
      <w:r w:rsidR="00B32FC7">
        <w:rPr>
          <w:rFonts w:hint="cs"/>
          <w:b/>
          <w:bCs/>
          <w:sz w:val="28"/>
          <w:szCs w:val="28"/>
          <w:rtl/>
        </w:rPr>
        <w:t>קיומו</w:t>
      </w:r>
      <w:r w:rsidR="00CE6A0C">
        <w:rPr>
          <w:rFonts w:hint="cs"/>
          <w:b/>
          <w:bCs/>
          <w:sz w:val="28"/>
          <w:szCs w:val="28"/>
          <w:rtl/>
        </w:rPr>
        <w:t xml:space="preserve"> </w:t>
      </w:r>
      <w:r w:rsidR="00CE6A0C" w:rsidRPr="78ABAA0E">
        <w:rPr>
          <w:b/>
          <w:bCs/>
          <w:sz w:val="28"/>
          <w:szCs w:val="28"/>
          <w:rtl/>
        </w:rPr>
        <w:t>באופן</w:t>
      </w:r>
      <w:r w:rsidR="00B200F3">
        <w:rPr>
          <w:rFonts w:hint="cs"/>
          <w:b/>
          <w:bCs/>
          <w:sz w:val="28"/>
          <w:szCs w:val="28"/>
          <w:rtl/>
        </w:rPr>
        <w:t xml:space="preserve"> </w:t>
      </w:r>
      <w:r w:rsidR="004904B2">
        <w:rPr>
          <w:rFonts w:hint="cs"/>
          <w:b/>
          <w:bCs/>
          <w:sz w:val="28"/>
          <w:szCs w:val="28"/>
          <w:rtl/>
        </w:rPr>
        <w:t xml:space="preserve">של </w:t>
      </w:r>
      <w:r w:rsidR="00CE6A0C" w:rsidRPr="78ABAA0E">
        <w:rPr>
          <w:b/>
          <w:bCs/>
          <w:sz w:val="28"/>
          <w:szCs w:val="28"/>
          <w:rtl/>
        </w:rPr>
        <w:t>קיום</w:t>
      </w:r>
      <w:r w:rsidR="004904B2" w:rsidRPr="44EF03E4">
        <w:rPr>
          <w:b/>
          <w:bCs/>
          <w:sz w:val="28"/>
          <w:szCs w:val="28"/>
          <w:rtl/>
        </w:rPr>
        <w:t xml:space="preserve"> </w:t>
      </w:r>
      <w:r w:rsidR="006A74D0">
        <w:rPr>
          <w:rFonts w:hint="cs"/>
          <w:b/>
          <w:bCs/>
          <w:sz w:val="28"/>
          <w:szCs w:val="28"/>
          <w:rtl/>
        </w:rPr>
        <w:t>במקרה</w:t>
      </w:r>
      <w:r w:rsidR="00A8018D">
        <w:rPr>
          <w:rFonts w:hint="cs"/>
          <w:b/>
          <w:bCs/>
          <w:sz w:val="28"/>
          <w:szCs w:val="28"/>
          <w:rtl/>
        </w:rPr>
        <w:t xml:space="preserve"> </w:t>
      </w:r>
      <w:r w:rsidR="00F4392A">
        <w:rPr>
          <w:rFonts w:hint="cs"/>
          <w:b/>
          <w:bCs/>
          <w:sz w:val="28"/>
          <w:szCs w:val="28"/>
          <w:rtl/>
        </w:rPr>
        <w:t>ו</w:t>
      </w:r>
      <w:r w:rsidR="002C5BFA">
        <w:rPr>
          <w:rFonts w:hint="cs"/>
          <w:b/>
          <w:bCs/>
          <w:sz w:val="28"/>
          <w:szCs w:val="28"/>
          <w:rtl/>
        </w:rPr>
        <w:t>הפסדו</w:t>
      </w:r>
      <w:r w:rsidR="00F4392A">
        <w:rPr>
          <w:rFonts w:hint="cs"/>
          <w:b/>
          <w:bCs/>
          <w:sz w:val="28"/>
          <w:szCs w:val="28"/>
          <w:rtl/>
        </w:rPr>
        <w:t xml:space="preserve"> </w:t>
      </w:r>
      <w:r w:rsidR="008F7E4F">
        <w:rPr>
          <w:rFonts w:hint="cs"/>
          <w:b/>
          <w:bCs/>
          <w:sz w:val="28"/>
          <w:szCs w:val="28"/>
          <w:rtl/>
        </w:rPr>
        <w:t>במקרה</w:t>
      </w:r>
      <w:r w:rsidR="003A26B5">
        <w:rPr>
          <w:rStyle w:val="FootnoteReference"/>
          <w:b/>
          <w:bCs/>
          <w:sz w:val="28"/>
          <w:szCs w:val="28"/>
          <w:rtl/>
        </w:rPr>
        <w:footnoteReference w:id="335"/>
      </w:r>
      <w:r w:rsidR="00562120">
        <w:rPr>
          <w:rFonts w:hint="cs"/>
          <w:b/>
          <w:bCs/>
          <w:sz w:val="28"/>
          <w:szCs w:val="28"/>
          <w:rtl/>
        </w:rPr>
        <w:t>.</w:t>
      </w:r>
    </w:p>
    <w:p w14:paraId="033D0DA3" w14:textId="030FA815" w:rsidR="00A60D1F" w:rsidRDefault="006F6DD3" w:rsidP="00BA6B2A">
      <w:pPr>
        <w:pStyle w:val="FootnoteText"/>
        <w:rPr>
          <w:b/>
          <w:bCs/>
          <w:sz w:val="28"/>
          <w:szCs w:val="28"/>
          <w:rtl/>
        </w:rPr>
      </w:pPr>
      <w:r>
        <w:rPr>
          <w:rFonts w:hint="cs"/>
          <w:b/>
          <w:bCs/>
          <w:sz w:val="28"/>
          <w:szCs w:val="28"/>
          <w:rtl/>
        </w:rPr>
        <w:t>ו</w:t>
      </w:r>
      <w:r w:rsidR="00C37E8F">
        <w:rPr>
          <w:rFonts w:hint="cs"/>
          <w:b/>
          <w:bCs/>
          <w:sz w:val="28"/>
          <w:szCs w:val="28"/>
          <w:rtl/>
        </w:rPr>
        <w:t>התהוות</w:t>
      </w:r>
      <w:r>
        <w:rPr>
          <w:rFonts w:hint="cs"/>
          <w:b/>
          <w:bCs/>
          <w:sz w:val="28"/>
          <w:szCs w:val="28"/>
          <w:rtl/>
        </w:rPr>
        <w:t>ו ה</w:t>
      </w:r>
      <w:r w:rsidR="00C37E8F">
        <w:rPr>
          <w:rFonts w:hint="cs"/>
          <w:b/>
          <w:bCs/>
          <w:sz w:val="28"/>
          <w:szCs w:val="28"/>
          <w:rtl/>
        </w:rPr>
        <w:t>י</w:t>
      </w:r>
      <w:r>
        <w:rPr>
          <w:rFonts w:hint="cs"/>
          <w:b/>
          <w:bCs/>
          <w:sz w:val="28"/>
          <w:szCs w:val="28"/>
          <w:rtl/>
        </w:rPr>
        <w:t xml:space="preserve">א </w:t>
      </w:r>
      <w:r w:rsidR="005A14C9">
        <w:rPr>
          <w:rFonts w:hint="cs"/>
          <w:b/>
          <w:bCs/>
          <w:sz w:val="28"/>
          <w:szCs w:val="28"/>
          <w:rtl/>
        </w:rPr>
        <w:t xml:space="preserve">בהפסד הצורה </w:t>
      </w:r>
      <w:r w:rsidR="001808BC">
        <w:rPr>
          <w:rFonts w:hint="cs"/>
          <w:b/>
          <w:bCs/>
          <w:sz w:val="28"/>
          <w:szCs w:val="28"/>
          <w:rtl/>
        </w:rPr>
        <w:t>מהחומר</w:t>
      </w:r>
      <w:r w:rsidR="001808BC">
        <w:rPr>
          <w:rStyle w:val="FootnoteReference"/>
          <w:b/>
          <w:bCs/>
          <w:sz w:val="28"/>
          <w:szCs w:val="28"/>
          <w:rtl/>
        </w:rPr>
        <w:footnoteReference w:id="336"/>
      </w:r>
      <w:r w:rsidR="00EE4D0C">
        <w:rPr>
          <w:rFonts w:hint="cs"/>
          <w:b/>
          <w:bCs/>
          <w:sz w:val="28"/>
          <w:szCs w:val="28"/>
          <w:rtl/>
        </w:rPr>
        <w:t xml:space="preserve"> וי</w:t>
      </w:r>
      <w:r w:rsidR="00CA7539">
        <w:rPr>
          <w:rFonts w:hint="cs"/>
          <w:b/>
          <w:bCs/>
          <w:sz w:val="28"/>
          <w:szCs w:val="28"/>
          <w:rtl/>
        </w:rPr>
        <w:t>ימצא</w:t>
      </w:r>
      <w:r w:rsidR="00EE4D0C">
        <w:rPr>
          <w:rFonts w:hint="cs"/>
          <w:b/>
          <w:bCs/>
          <w:sz w:val="28"/>
          <w:szCs w:val="28"/>
          <w:rtl/>
        </w:rPr>
        <w:t xml:space="preserve"> ההעדר </w:t>
      </w:r>
      <w:r w:rsidR="00C71DDB">
        <w:rPr>
          <w:rFonts w:hint="cs"/>
          <w:b/>
          <w:bCs/>
          <w:sz w:val="28"/>
          <w:szCs w:val="28"/>
          <w:rtl/>
        </w:rPr>
        <w:t>על דרך זו.</w:t>
      </w:r>
      <w:r w:rsidR="003919E8">
        <w:rPr>
          <w:rFonts w:hint="cs"/>
          <w:b/>
          <w:bCs/>
          <w:sz w:val="28"/>
          <w:szCs w:val="28"/>
          <w:rtl/>
        </w:rPr>
        <w:t xml:space="preserve"> והפסד</w:t>
      </w:r>
      <w:r w:rsidR="001C7215">
        <w:rPr>
          <w:rFonts w:hint="cs"/>
          <w:b/>
          <w:bCs/>
          <w:sz w:val="28"/>
          <w:szCs w:val="28"/>
          <w:rtl/>
        </w:rPr>
        <w:t>ו</w:t>
      </w:r>
      <w:r w:rsidR="00D440D1">
        <w:rPr>
          <w:rStyle w:val="FootnoteReference"/>
          <w:b/>
          <w:bCs/>
          <w:sz w:val="28"/>
          <w:szCs w:val="28"/>
          <w:rtl/>
        </w:rPr>
        <w:footnoteReference w:id="337"/>
      </w:r>
      <w:r w:rsidR="003919E8">
        <w:rPr>
          <w:rFonts w:hint="cs"/>
          <w:b/>
          <w:bCs/>
          <w:sz w:val="28"/>
          <w:szCs w:val="28"/>
          <w:rtl/>
        </w:rPr>
        <w:t xml:space="preserve"> </w:t>
      </w:r>
      <w:r w:rsidR="00D440D1">
        <w:rPr>
          <w:rFonts w:hint="cs"/>
          <w:b/>
          <w:bCs/>
          <w:sz w:val="28"/>
          <w:szCs w:val="28"/>
          <w:rtl/>
        </w:rPr>
        <w:t xml:space="preserve">הוא </w:t>
      </w:r>
      <w:r w:rsidR="003919E8">
        <w:rPr>
          <w:rFonts w:hint="cs"/>
          <w:b/>
          <w:bCs/>
          <w:sz w:val="28"/>
          <w:szCs w:val="28"/>
          <w:rtl/>
        </w:rPr>
        <w:t>ה</w:t>
      </w:r>
      <w:r w:rsidR="00EF1A33">
        <w:rPr>
          <w:rFonts w:hint="cs"/>
          <w:b/>
          <w:bCs/>
          <w:sz w:val="28"/>
          <w:szCs w:val="28"/>
          <w:rtl/>
        </w:rPr>
        <w:t>ו</w:t>
      </w:r>
      <w:r w:rsidR="003919E8">
        <w:rPr>
          <w:rFonts w:hint="cs"/>
          <w:b/>
          <w:bCs/>
          <w:sz w:val="28"/>
          <w:szCs w:val="28"/>
          <w:rtl/>
        </w:rPr>
        <w:t>ויית הצורה</w:t>
      </w:r>
      <w:r w:rsidR="00440069">
        <w:rPr>
          <w:rFonts w:hint="cs"/>
          <w:b/>
          <w:bCs/>
          <w:sz w:val="28"/>
          <w:szCs w:val="28"/>
          <w:rtl/>
        </w:rPr>
        <w:t xml:space="preserve"> </w:t>
      </w:r>
      <w:r w:rsidR="00EF1A33">
        <w:rPr>
          <w:rFonts w:hint="cs"/>
          <w:b/>
          <w:bCs/>
          <w:sz w:val="28"/>
          <w:szCs w:val="28"/>
          <w:rtl/>
        </w:rPr>
        <w:t>ולא י</w:t>
      </w:r>
      <w:r w:rsidR="00267B84">
        <w:rPr>
          <w:rFonts w:hint="cs"/>
          <w:b/>
          <w:bCs/>
          <w:sz w:val="28"/>
          <w:szCs w:val="28"/>
          <w:rtl/>
        </w:rPr>
        <w:t>ימצא</w:t>
      </w:r>
      <w:r w:rsidR="00EF1A33">
        <w:rPr>
          <w:rFonts w:hint="cs"/>
          <w:b/>
          <w:bCs/>
          <w:sz w:val="28"/>
          <w:szCs w:val="28"/>
          <w:rtl/>
        </w:rPr>
        <w:t xml:space="preserve"> אז </w:t>
      </w:r>
      <w:r w:rsidR="00730A3A">
        <w:rPr>
          <w:rFonts w:hint="cs"/>
          <w:b/>
          <w:bCs/>
          <w:sz w:val="28"/>
          <w:szCs w:val="28"/>
          <w:rtl/>
        </w:rPr>
        <w:t xml:space="preserve">ההעדר </w:t>
      </w:r>
      <w:r w:rsidR="00B90941">
        <w:rPr>
          <w:rFonts w:hint="cs"/>
          <w:b/>
          <w:bCs/>
          <w:sz w:val="28"/>
          <w:szCs w:val="28"/>
          <w:rtl/>
        </w:rPr>
        <w:t>שהוא</w:t>
      </w:r>
      <w:r w:rsidR="002E2543">
        <w:rPr>
          <w:rFonts w:hint="cs"/>
          <w:b/>
          <w:bCs/>
          <w:sz w:val="28"/>
          <w:szCs w:val="28"/>
          <w:rtl/>
        </w:rPr>
        <w:t xml:space="preserve"> על </w:t>
      </w:r>
      <w:r w:rsidR="00B34D0C">
        <w:rPr>
          <w:rFonts w:hint="cs"/>
          <w:b/>
          <w:bCs/>
          <w:sz w:val="28"/>
          <w:szCs w:val="28"/>
          <w:rtl/>
        </w:rPr>
        <w:t>דרך מציאות זו</w:t>
      </w:r>
      <w:r w:rsidR="009802BB">
        <w:rPr>
          <w:rStyle w:val="FootnoteReference"/>
          <w:b/>
          <w:bCs/>
          <w:sz w:val="28"/>
          <w:szCs w:val="28"/>
          <w:rtl/>
        </w:rPr>
        <w:footnoteReference w:id="338"/>
      </w:r>
      <w:r w:rsidR="00104C4D">
        <w:rPr>
          <w:rFonts w:hint="cs"/>
          <w:b/>
          <w:bCs/>
          <w:sz w:val="28"/>
          <w:szCs w:val="28"/>
          <w:rtl/>
        </w:rPr>
        <w:t>.</w:t>
      </w:r>
    </w:p>
    <w:p w14:paraId="74E50AD2" w14:textId="0B4A7A41" w:rsidR="00D62591" w:rsidRDefault="00D62591" w:rsidP="00BA6B2A">
      <w:pPr>
        <w:pStyle w:val="FootnoteText"/>
        <w:rPr>
          <w:b/>
          <w:bCs/>
          <w:sz w:val="28"/>
          <w:szCs w:val="28"/>
          <w:rtl/>
        </w:rPr>
      </w:pPr>
      <w:r>
        <w:rPr>
          <w:rFonts w:hint="cs"/>
          <w:b/>
          <w:bCs/>
          <w:sz w:val="28"/>
          <w:szCs w:val="28"/>
          <w:rtl/>
        </w:rPr>
        <w:t xml:space="preserve">וההעדר הזה </w:t>
      </w:r>
      <w:r w:rsidR="006315A1">
        <w:rPr>
          <w:rFonts w:hint="cs"/>
          <w:b/>
          <w:bCs/>
          <w:sz w:val="28"/>
          <w:szCs w:val="28"/>
          <w:rtl/>
        </w:rPr>
        <w:t>נ</w:t>
      </w:r>
      <w:r w:rsidR="00712970">
        <w:rPr>
          <w:rFonts w:hint="cs"/>
          <w:b/>
          <w:bCs/>
          <w:sz w:val="28"/>
          <w:szCs w:val="28"/>
          <w:rtl/>
        </w:rPr>
        <w:t xml:space="preserve">עדר במקרה, </w:t>
      </w:r>
      <w:r w:rsidR="006315A1">
        <w:rPr>
          <w:rFonts w:hint="cs"/>
          <w:b/>
          <w:bCs/>
          <w:sz w:val="28"/>
          <w:szCs w:val="28"/>
          <w:rtl/>
        </w:rPr>
        <w:t xml:space="preserve">כמו שיש לו מציאות במקרה. </w:t>
      </w:r>
      <w:r w:rsidR="00D41E95">
        <w:rPr>
          <w:rFonts w:hint="cs"/>
          <w:b/>
          <w:bCs/>
          <w:sz w:val="28"/>
          <w:szCs w:val="28"/>
          <w:rtl/>
        </w:rPr>
        <w:t>והעדרו היא הצורה</w:t>
      </w:r>
      <w:r w:rsidR="0040250B">
        <w:rPr>
          <w:rFonts w:hint="cs"/>
          <w:b/>
          <w:bCs/>
          <w:sz w:val="28"/>
          <w:szCs w:val="28"/>
          <w:rtl/>
        </w:rPr>
        <w:t xml:space="preserve">, לכן </w:t>
      </w:r>
      <w:r w:rsidR="00947910">
        <w:rPr>
          <w:rFonts w:hint="cs"/>
          <w:b/>
          <w:bCs/>
          <w:sz w:val="28"/>
          <w:szCs w:val="28"/>
          <w:rtl/>
        </w:rPr>
        <w:t xml:space="preserve">אין </w:t>
      </w:r>
      <w:r w:rsidR="00A410E6">
        <w:rPr>
          <w:rFonts w:hint="cs"/>
          <w:b/>
          <w:bCs/>
          <w:sz w:val="28"/>
          <w:szCs w:val="28"/>
          <w:rtl/>
        </w:rPr>
        <w:t>עצמות</w:t>
      </w:r>
      <w:r w:rsidR="00E71A00">
        <w:rPr>
          <w:rStyle w:val="FootnoteReference"/>
          <w:b/>
          <w:bCs/>
          <w:sz w:val="28"/>
          <w:szCs w:val="28"/>
          <w:rtl/>
        </w:rPr>
        <w:footnoteReference w:id="339"/>
      </w:r>
      <w:r w:rsidR="00947910">
        <w:rPr>
          <w:rFonts w:hint="cs"/>
          <w:b/>
          <w:bCs/>
          <w:sz w:val="28"/>
          <w:szCs w:val="28"/>
          <w:rtl/>
        </w:rPr>
        <w:t xml:space="preserve"> הצורה ומציאותה</w:t>
      </w:r>
      <w:r w:rsidR="008346BD">
        <w:rPr>
          <w:rFonts w:hint="cs"/>
          <w:b/>
          <w:bCs/>
          <w:sz w:val="28"/>
          <w:szCs w:val="28"/>
          <w:rtl/>
        </w:rPr>
        <w:t xml:space="preserve"> </w:t>
      </w:r>
      <w:r w:rsidR="00AC534C">
        <w:rPr>
          <w:rFonts w:hint="cs"/>
          <w:b/>
          <w:bCs/>
          <w:sz w:val="28"/>
          <w:szCs w:val="28"/>
          <w:rtl/>
        </w:rPr>
        <w:t>נ</w:t>
      </w:r>
      <w:r w:rsidR="00377200">
        <w:rPr>
          <w:rFonts w:hint="cs"/>
          <w:b/>
          <w:bCs/>
          <w:sz w:val="28"/>
          <w:szCs w:val="28"/>
          <w:rtl/>
        </w:rPr>
        <w:t>גזר</w:t>
      </w:r>
      <w:r w:rsidR="00AC534C">
        <w:rPr>
          <w:rFonts w:hint="cs"/>
          <w:b/>
          <w:bCs/>
          <w:sz w:val="28"/>
          <w:szCs w:val="28"/>
          <w:rtl/>
        </w:rPr>
        <w:t>ים</w:t>
      </w:r>
      <w:r w:rsidR="00B53268">
        <w:rPr>
          <w:rFonts w:hint="cs"/>
          <w:b/>
          <w:bCs/>
          <w:sz w:val="28"/>
          <w:szCs w:val="28"/>
          <w:rtl/>
        </w:rPr>
        <w:t xml:space="preserve"> בהיקש</w:t>
      </w:r>
      <w:r w:rsidR="00AC534C">
        <w:rPr>
          <w:rFonts w:hint="cs"/>
          <w:b/>
          <w:bCs/>
          <w:sz w:val="28"/>
          <w:szCs w:val="28"/>
          <w:rtl/>
        </w:rPr>
        <w:t xml:space="preserve"> </w:t>
      </w:r>
      <w:r w:rsidR="003D21E0">
        <w:rPr>
          <w:rFonts w:hint="cs"/>
          <w:b/>
          <w:bCs/>
          <w:sz w:val="28"/>
          <w:szCs w:val="28"/>
          <w:rtl/>
        </w:rPr>
        <w:t>ממנו</w:t>
      </w:r>
      <w:r w:rsidR="00FC0CF8">
        <w:rPr>
          <w:rStyle w:val="FootnoteReference"/>
          <w:b/>
          <w:bCs/>
          <w:sz w:val="28"/>
          <w:szCs w:val="28"/>
          <w:rtl/>
        </w:rPr>
        <w:footnoteReference w:id="340"/>
      </w:r>
      <w:r w:rsidR="008612E8">
        <w:rPr>
          <w:rFonts w:hint="cs"/>
          <w:b/>
          <w:bCs/>
          <w:sz w:val="28"/>
          <w:szCs w:val="28"/>
          <w:rtl/>
        </w:rPr>
        <w:t xml:space="preserve">, אלא </w:t>
      </w:r>
      <w:r w:rsidR="003117C8">
        <w:rPr>
          <w:rFonts w:hint="cs"/>
          <w:b/>
          <w:bCs/>
          <w:sz w:val="28"/>
          <w:szCs w:val="28"/>
          <w:rtl/>
        </w:rPr>
        <w:t xml:space="preserve">הוא </w:t>
      </w:r>
      <w:r w:rsidR="004C6BD1">
        <w:rPr>
          <w:rFonts w:hint="cs"/>
          <w:b/>
          <w:bCs/>
          <w:sz w:val="28"/>
          <w:szCs w:val="28"/>
          <w:rtl/>
        </w:rPr>
        <w:t>מ</w:t>
      </w:r>
      <w:r w:rsidR="003117C8">
        <w:rPr>
          <w:rFonts w:hint="cs"/>
          <w:b/>
          <w:bCs/>
          <w:sz w:val="28"/>
          <w:szCs w:val="28"/>
          <w:rtl/>
        </w:rPr>
        <w:t xml:space="preserve">ופיע </w:t>
      </w:r>
      <w:r w:rsidR="00BB71EB">
        <w:rPr>
          <w:rFonts w:hint="cs"/>
          <w:b/>
          <w:bCs/>
          <w:sz w:val="28"/>
          <w:szCs w:val="28"/>
          <w:rtl/>
        </w:rPr>
        <w:t>בבחינת</w:t>
      </w:r>
      <w:r w:rsidR="00400032">
        <w:rPr>
          <w:rFonts w:hint="cs"/>
          <w:b/>
          <w:bCs/>
          <w:sz w:val="28"/>
          <w:szCs w:val="28"/>
          <w:rtl/>
        </w:rPr>
        <w:t xml:space="preserve"> </w:t>
      </w:r>
      <w:r w:rsidR="00BB71EB">
        <w:rPr>
          <w:rFonts w:hint="cs"/>
          <w:b/>
          <w:bCs/>
          <w:sz w:val="28"/>
          <w:szCs w:val="28"/>
          <w:rtl/>
        </w:rPr>
        <w:t xml:space="preserve">מה, </w:t>
      </w:r>
      <w:r w:rsidR="0064350C">
        <w:rPr>
          <w:rFonts w:hint="cs"/>
          <w:b/>
          <w:bCs/>
          <w:sz w:val="28"/>
          <w:szCs w:val="28"/>
          <w:rtl/>
        </w:rPr>
        <w:t>ו</w:t>
      </w:r>
      <w:r w:rsidR="000B6D86">
        <w:rPr>
          <w:rFonts w:hint="cs"/>
          <w:b/>
          <w:bCs/>
          <w:sz w:val="28"/>
          <w:szCs w:val="28"/>
          <w:rtl/>
        </w:rPr>
        <w:t>עצמות</w:t>
      </w:r>
      <w:r w:rsidR="0064350C">
        <w:rPr>
          <w:rFonts w:hint="cs"/>
          <w:b/>
          <w:bCs/>
          <w:sz w:val="28"/>
          <w:szCs w:val="28"/>
          <w:rtl/>
        </w:rPr>
        <w:t xml:space="preserve"> ההעדר הזה ו</w:t>
      </w:r>
      <w:r w:rsidR="00263EFB">
        <w:rPr>
          <w:rFonts w:hint="cs"/>
          <w:b/>
          <w:bCs/>
          <w:sz w:val="28"/>
          <w:szCs w:val="28"/>
          <w:rtl/>
        </w:rPr>
        <w:t>מציאו</w:t>
      </w:r>
      <w:r w:rsidR="0064350C">
        <w:rPr>
          <w:rFonts w:hint="cs"/>
          <w:b/>
          <w:bCs/>
          <w:sz w:val="28"/>
          <w:szCs w:val="28"/>
          <w:rtl/>
        </w:rPr>
        <w:t>תו</w:t>
      </w:r>
      <w:r w:rsidR="00BA7D8C">
        <w:rPr>
          <w:rFonts w:hint="cs"/>
          <w:b/>
          <w:bCs/>
          <w:sz w:val="28"/>
          <w:szCs w:val="28"/>
          <w:rtl/>
        </w:rPr>
        <w:t xml:space="preserve"> </w:t>
      </w:r>
      <w:r w:rsidR="00747B0D">
        <w:rPr>
          <w:rFonts w:hint="cs"/>
          <w:b/>
          <w:bCs/>
          <w:sz w:val="28"/>
          <w:szCs w:val="28"/>
          <w:rtl/>
        </w:rPr>
        <w:t>נפרדים</w:t>
      </w:r>
      <w:r w:rsidR="001D7055">
        <w:rPr>
          <w:rFonts w:hint="cs"/>
          <w:b/>
          <w:bCs/>
          <w:sz w:val="28"/>
          <w:szCs w:val="28"/>
          <w:rtl/>
        </w:rPr>
        <w:t xml:space="preserve"> מהגזירה </w:t>
      </w:r>
      <w:r w:rsidR="00A05FE0">
        <w:rPr>
          <w:rFonts w:hint="cs"/>
          <w:b/>
          <w:bCs/>
          <w:sz w:val="28"/>
          <w:szCs w:val="28"/>
          <w:rtl/>
        </w:rPr>
        <w:t>של ה</w:t>
      </w:r>
      <w:r w:rsidR="00747B0D">
        <w:rPr>
          <w:rFonts w:hint="cs"/>
          <w:b/>
          <w:bCs/>
          <w:sz w:val="28"/>
          <w:szCs w:val="28"/>
          <w:rtl/>
        </w:rPr>
        <w:t>צורה הז</w:t>
      </w:r>
      <w:r w:rsidR="00817D5B">
        <w:rPr>
          <w:rFonts w:hint="cs"/>
          <w:b/>
          <w:bCs/>
          <w:sz w:val="28"/>
          <w:szCs w:val="28"/>
          <w:rtl/>
        </w:rPr>
        <w:t>ו</w:t>
      </w:r>
      <w:r w:rsidR="00817D5B">
        <w:rPr>
          <w:rStyle w:val="FootnoteReference"/>
          <w:b/>
          <w:bCs/>
          <w:sz w:val="28"/>
          <w:szCs w:val="28"/>
          <w:rtl/>
        </w:rPr>
        <w:footnoteReference w:id="341"/>
      </w:r>
      <w:r w:rsidR="008346BD">
        <w:rPr>
          <w:rFonts w:hint="cs"/>
          <w:b/>
          <w:bCs/>
          <w:sz w:val="28"/>
          <w:szCs w:val="28"/>
          <w:rtl/>
        </w:rPr>
        <w:t xml:space="preserve">. </w:t>
      </w:r>
      <w:r w:rsidR="00947910">
        <w:rPr>
          <w:rFonts w:hint="cs"/>
          <w:b/>
          <w:bCs/>
          <w:sz w:val="28"/>
          <w:szCs w:val="28"/>
          <w:rtl/>
        </w:rPr>
        <w:t xml:space="preserve"> </w:t>
      </w:r>
    </w:p>
    <w:p w14:paraId="1B996687" w14:textId="3E3BDF3E" w:rsidR="00AF6EAD" w:rsidRDefault="00AF6EAD" w:rsidP="6363A217">
      <w:pPr>
        <w:pStyle w:val="FootnoteText"/>
        <w:rPr>
          <w:b/>
          <w:bCs/>
          <w:sz w:val="28"/>
          <w:szCs w:val="28"/>
          <w:rtl/>
        </w:rPr>
      </w:pPr>
      <w:r>
        <w:rPr>
          <w:rFonts w:hint="cs"/>
          <w:b/>
          <w:bCs/>
          <w:sz w:val="28"/>
          <w:szCs w:val="28"/>
          <w:rtl/>
        </w:rPr>
        <w:t>ויהיה העדר</w:t>
      </w:r>
      <w:r w:rsidR="005A103B">
        <w:rPr>
          <w:rFonts w:hint="cs"/>
          <w:b/>
          <w:bCs/>
          <w:sz w:val="28"/>
          <w:szCs w:val="28"/>
          <w:rtl/>
        </w:rPr>
        <w:t>ו</w:t>
      </w:r>
      <w:r>
        <w:rPr>
          <w:rFonts w:hint="cs"/>
          <w:b/>
          <w:bCs/>
          <w:sz w:val="28"/>
          <w:szCs w:val="28"/>
          <w:rtl/>
        </w:rPr>
        <w:t xml:space="preserve"> של </w:t>
      </w:r>
      <w:r w:rsidR="005A103B">
        <w:rPr>
          <w:rFonts w:hint="cs"/>
          <w:b/>
          <w:bCs/>
          <w:sz w:val="28"/>
          <w:szCs w:val="28"/>
          <w:rtl/>
        </w:rPr>
        <w:t>ה</w:t>
      </w:r>
      <w:r>
        <w:rPr>
          <w:rFonts w:hint="cs"/>
          <w:b/>
          <w:bCs/>
          <w:sz w:val="28"/>
          <w:szCs w:val="28"/>
          <w:rtl/>
        </w:rPr>
        <w:t>העדר</w:t>
      </w:r>
      <w:r w:rsidR="005A103B">
        <w:rPr>
          <w:rFonts w:hint="cs"/>
          <w:b/>
          <w:bCs/>
          <w:sz w:val="28"/>
          <w:szCs w:val="28"/>
          <w:rtl/>
        </w:rPr>
        <w:t xml:space="preserve"> </w:t>
      </w:r>
      <w:r w:rsidR="00862841">
        <w:rPr>
          <w:rFonts w:hint="cs"/>
          <w:b/>
          <w:bCs/>
          <w:sz w:val="28"/>
          <w:szCs w:val="28"/>
          <w:rtl/>
        </w:rPr>
        <w:t xml:space="preserve">בבחינת </w:t>
      </w:r>
      <w:r w:rsidR="7CCDB724" w:rsidRPr="7CCDB724">
        <w:rPr>
          <w:b/>
          <w:bCs/>
          <w:sz w:val="28"/>
          <w:szCs w:val="28"/>
          <w:rtl/>
        </w:rPr>
        <w:t>הופעת</w:t>
      </w:r>
      <w:r w:rsidR="00862841">
        <w:rPr>
          <w:rFonts w:hint="cs"/>
          <w:b/>
          <w:bCs/>
          <w:sz w:val="28"/>
          <w:szCs w:val="28"/>
          <w:rtl/>
        </w:rPr>
        <w:t xml:space="preserve"> הצורה</w:t>
      </w:r>
      <w:r w:rsidR="39F5B9CB" w:rsidRPr="39F5B9CB">
        <w:rPr>
          <w:b/>
          <w:bCs/>
          <w:sz w:val="28"/>
          <w:szCs w:val="28"/>
          <w:rtl/>
        </w:rPr>
        <w:t>,</w:t>
      </w:r>
      <w:r w:rsidR="00862841">
        <w:rPr>
          <w:rFonts w:hint="cs"/>
          <w:b/>
          <w:bCs/>
          <w:sz w:val="28"/>
          <w:szCs w:val="28"/>
          <w:rtl/>
        </w:rPr>
        <w:t xml:space="preserve"> </w:t>
      </w:r>
      <w:r w:rsidR="7CCDB724" w:rsidRPr="7CCDB724">
        <w:rPr>
          <w:b/>
          <w:bCs/>
          <w:sz w:val="28"/>
          <w:szCs w:val="28"/>
          <w:rtl/>
        </w:rPr>
        <w:t>מבחינות</w:t>
      </w:r>
      <w:r w:rsidR="00BC5B15">
        <w:rPr>
          <w:rFonts w:hint="cs"/>
          <w:b/>
          <w:bCs/>
          <w:sz w:val="28"/>
          <w:szCs w:val="28"/>
          <w:rtl/>
        </w:rPr>
        <w:t xml:space="preserve"> </w:t>
      </w:r>
      <w:r w:rsidR="3BB3E799" w:rsidRPr="3BB3E799">
        <w:rPr>
          <w:b/>
          <w:bCs/>
          <w:sz w:val="28"/>
          <w:szCs w:val="28"/>
          <w:rtl/>
        </w:rPr>
        <w:t>נוספות</w:t>
      </w:r>
      <w:r w:rsidR="00260074">
        <w:rPr>
          <w:rFonts w:hint="cs"/>
          <w:b/>
          <w:bCs/>
          <w:sz w:val="28"/>
          <w:szCs w:val="28"/>
          <w:rtl/>
        </w:rPr>
        <w:t xml:space="preserve"> </w:t>
      </w:r>
      <w:r w:rsidR="002B2E20">
        <w:rPr>
          <w:rFonts w:hint="cs"/>
          <w:b/>
          <w:bCs/>
          <w:sz w:val="28"/>
          <w:szCs w:val="28"/>
          <w:rtl/>
        </w:rPr>
        <w:t xml:space="preserve">שהן </w:t>
      </w:r>
      <w:r w:rsidR="009F0070">
        <w:rPr>
          <w:rFonts w:hint="cs"/>
          <w:b/>
          <w:bCs/>
          <w:sz w:val="28"/>
          <w:szCs w:val="28"/>
          <w:rtl/>
        </w:rPr>
        <w:t xml:space="preserve">יכולות להיות </w:t>
      </w:r>
      <w:r w:rsidR="77FA4601" w:rsidRPr="77FA4601">
        <w:rPr>
          <w:b/>
          <w:bCs/>
          <w:sz w:val="28"/>
          <w:szCs w:val="28"/>
          <w:rtl/>
        </w:rPr>
        <w:t>ללא סוף</w:t>
      </w:r>
      <w:r w:rsidR="009F0070">
        <w:rPr>
          <w:rFonts w:hint="cs"/>
          <w:b/>
          <w:bCs/>
          <w:sz w:val="28"/>
          <w:szCs w:val="28"/>
          <w:rtl/>
        </w:rPr>
        <w:t>.</w:t>
      </w:r>
    </w:p>
    <w:p w14:paraId="6C6FC336" w14:textId="317469FB" w:rsidR="00D9134E" w:rsidRDefault="5D944EA5" w:rsidP="00AF63E4">
      <w:pPr>
        <w:pStyle w:val="FootnoteText"/>
        <w:rPr>
          <w:b/>
          <w:bCs/>
          <w:sz w:val="28"/>
          <w:szCs w:val="28"/>
          <w:rtl/>
        </w:rPr>
      </w:pPr>
      <w:proofErr w:type="spellStart"/>
      <w:r w:rsidRPr="5D944EA5">
        <w:rPr>
          <w:b/>
          <w:bCs/>
          <w:sz w:val="28"/>
          <w:szCs w:val="28"/>
          <w:rtl/>
        </w:rPr>
        <w:t>וה</w:t>
      </w:r>
      <w:r w:rsidR="00FF2A04">
        <w:rPr>
          <w:rFonts w:hint="cs"/>
          <w:b/>
          <w:bCs/>
          <w:sz w:val="28"/>
          <w:szCs w:val="28"/>
          <w:rtl/>
        </w:rPr>
        <w:t>ב</w:t>
      </w:r>
      <w:r w:rsidRPr="5D944EA5">
        <w:rPr>
          <w:b/>
          <w:bCs/>
          <w:sz w:val="28"/>
          <w:szCs w:val="28"/>
          <w:rtl/>
        </w:rPr>
        <w:t>כח</w:t>
      </w:r>
      <w:proofErr w:type="spellEnd"/>
      <w:r w:rsidRPr="5D944EA5">
        <w:rPr>
          <w:b/>
          <w:bCs/>
          <w:sz w:val="28"/>
          <w:szCs w:val="28"/>
        </w:rPr>
        <w:t xml:space="preserve"> </w:t>
      </w:r>
      <w:r w:rsidR="00CC7A97">
        <w:rPr>
          <w:rFonts w:hint="cs"/>
          <w:b/>
          <w:bCs/>
          <w:sz w:val="28"/>
          <w:szCs w:val="28"/>
          <w:rtl/>
        </w:rPr>
        <w:t>ל</w:t>
      </w:r>
      <w:r w:rsidR="22A6C2E8" w:rsidRPr="22A6C2E8">
        <w:rPr>
          <w:b/>
          <w:bCs/>
          <w:sz w:val="28"/>
          <w:szCs w:val="28"/>
          <w:rtl/>
        </w:rPr>
        <w:t>העדר</w:t>
      </w:r>
      <w:r w:rsidR="00CC7A97">
        <w:rPr>
          <w:rFonts w:hint="cs"/>
          <w:b/>
          <w:bCs/>
          <w:sz w:val="28"/>
          <w:szCs w:val="28"/>
          <w:rtl/>
        </w:rPr>
        <w:t xml:space="preserve"> הוא באותו אופן</w:t>
      </w:r>
      <w:r w:rsidR="003A4316">
        <w:rPr>
          <w:rFonts w:hint="cs"/>
          <w:b/>
          <w:bCs/>
          <w:sz w:val="28"/>
          <w:szCs w:val="28"/>
          <w:rtl/>
        </w:rPr>
        <w:t>,</w:t>
      </w:r>
      <w:r w:rsidR="00CC7A97">
        <w:rPr>
          <w:rFonts w:hint="cs"/>
          <w:b/>
          <w:bCs/>
          <w:sz w:val="28"/>
          <w:szCs w:val="28"/>
          <w:rtl/>
        </w:rPr>
        <w:t xml:space="preserve"> כיוון ש</w:t>
      </w:r>
      <w:r w:rsidR="0073338A">
        <w:rPr>
          <w:rFonts w:hint="cs"/>
          <w:b/>
          <w:bCs/>
          <w:sz w:val="28"/>
          <w:szCs w:val="28"/>
          <w:rtl/>
        </w:rPr>
        <w:t xml:space="preserve">'בכח' </w:t>
      </w:r>
      <w:r w:rsidR="006D5CD3">
        <w:rPr>
          <w:rFonts w:hint="cs"/>
          <w:b/>
          <w:bCs/>
          <w:sz w:val="28"/>
          <w:szCs w:val="28"/>
          <w:rtl/>
        </w:rPr>
        <w:t xml:space="preserve">אמיתי </w:t>
      </w:r>
      <w:r w:rsidR="005352E4">
        <w:rPr>
          <w:rFonts w:hint="cs"/>
          <w:b/>
          <w:bCs/>
          <w:sz w:val="28"/>
          <w:szCs w:val="28"/>
          <w:rtl/>
        </w:rPr>
        <w:t xml:space="preserve">הוא בהתאמה עם </w:t>
      </w:r>
      <w:r w:rsidR="00A770F0">
        <w:rPr>
          <w:rFonts w:hint="cs"/>
          <w:b/>
          <w:bCs/>
          <w:sz w:val="28"/>
          <w:szCs w:val="28"/>
          <w:rtl/>
        </w:rPr>
        <w:t>ה'בפועל'</w:t>
      </w:r>
      <w:r w:rsidR="006D5CD3">
        <w:rPr>
          <w:rFonts w:hint="cs"/>
          <w:b/>
          <w:bCs/>
          <w:sz w:val="28"/>
          <w:szCs w:val="28"/>
          <w:rtl/>
        </w:rPr>
        <w:t xml:space="preserve"> </w:t>
      </w:r>
      <w:r w:rsidR="00935DF7">
        <w:rPr>
          <w:rFonts w:hint="cs"/>
          <w:b/>
          <w:bCs/>
          <w:sz w:val="28"/>
          <w:szCs w:val="28"/>
          <w:rtl/>
        </w:rPr>
        <w:t>וה</w:t>
      </w:r>
      <w:r w:rsidR="006D5CD3">
        <w:rPr>
          <w:rFonts w:hint="cs"/>
          <w:b/>
          <w:bCs/>
          <w:sz w:val="28"/>
          <w:szCs w:val="28"/>
          <w:rtl/>
        </w:rPr>
        <w:t xml:space="preserve">השלמה, </w:t>
      </w:r>
      <w:r w:rsidR="004973A6">
        <w:rPr>
          <w:rFonts w:hint="cs"/>
          <w:b/>
          <w:bCs/>
          <w:sz w:val="28"/>
          <w:szCs w:val="28"/>
          <w:rtl/>
        </w:rPr>
        <w:t>ואין השלמה בהעדר ול</w:t>
      </w:r>
      <w:r w:rsidR="00BE20D3">
        <w:rPr>
          <w:rFonts w:hint="cs"/>
          <w:b/>
          <w:bCs/>
          <w:sz w:val="28"/>
          <w:szCs w:val="28"/>
          <w:rtl/>
        </w:rPr>
        <w:t>א</w:t>
      </w:r>
      <w:r w:rsidR="004973A6">
        <w:rPr>
          <w:rFonts w:hint="cs"/>
          <w:b/>
          <w:bCs/>
          <w:sz w:val="28"/>
          <w:szCs w:val="28"/>
          <w:rtl/>
        </w:rPr>
        <w:t xml:space="preserve"> 'בפועל'</w:t>
      </w:r>
      <w:r w:rsidR="00BE20D3">
        <w:rPr>
          <w:rFonts w:hint="cs"/>
          <w:b/>
          <w:bCs/>
          <w:sz w:val="28"/>
          <w:szCs w:val="28"/>
          <w:rtl/>
        </w:rPr>
        <w:t xml:space="preserve"> אמיתי</w:t>
      </w:r>
      <w:r w:rsidR="009F3692">
        <w:rPr>
          <w:rStyle w:val="FootnoteReference"/>
          <w:b/>
          <w:bCs/>
          <w:sz w:val="28"/>
          <w:szCs w:val="28"/>
          <w:rtl/>
        </w:rPr>
        <w:footnoteReference w:id="342"/>
      </w:r>
      <w:r w:rsidR="004973A6">
        <w:rPr>
          <w:rFonts w:hint="cs"/>
          <w:b/>
          <w:bCs/>
          <w:sz w:val="28"/>
          <w:szCs w:val="28"/>
          <w:rtl/>
        </w:rPr>
        <w:t>.</w:t>
      </w:r>
    </w:p>
    <w:p w14:paraId="4BA201BB" w14:textId="77777777" w:rsidR="00D9134E" w:rsidRPr="00D9134E" w:rsidRDefault="00D9134E" w:rsidP="003266A1">
      <w:pPr>
        <w:pStyle w:val="Heading4"/>
        <w:rPr>
          <w:rtl/>
        </w:rPr>
      </w:pPr>
      <w:bookmarkStart w:id="187" w:name="_Toc119092638"/>
      <w:r w:rsidRPr="00D9134E">
        <w:rPr>
          <w:rFonts w:hint="cs"/>
          <w:rtl/>
        </w:rPr>
        <w:t>1.3.9</w:t>
      </w:r>
      <w:bookmarkEnd w:id="187"/>
    </w:p>
    <w:p w14:paraId="171036B0" w14:textId="2AF27525" w:rsidR="009B4B15" w:rsidRDefault="00D9134E" w:rsidP="00BA6B2A">
      <w:pPr>
        <w:pStyle w:val="FootnoteText"/>
        <w:rPr>
          <w:b/>
          <w:bCs/>
          <w:sz w:val="28"/>
          <w:szCs w:val="28"/>
          <w:rtl/>
        </w:rPr>
      </w:pPr>
      <w:r>
        <w:rPr>
          <w:rFonts w:hint="cs"/>
          <w:b/>
          <w:bCs/>
          <w:sz w:val="28"/>
          <w:szCs w:val="28"/>
          <w:rtl/>
        </w:rPr>
        <w:t>ו</w:t>
      </w:r>
      <w:r w:rsidR="00615B81">
        <w:rPr>
          <w:rFonts w:hint="cs"/>
          <w:b/>
          <w:bCs/>
          <w:sz w:val="28"/>
          <w:szCs w:val="28"/>
          <w:rtl/>
        </w:rPr>
        <w:t xml:space="preserve">צריך </w:t>
      </w:r>
      <w:r w:rsidR="00615B81" w:rsidRPr="42FCF96A">
        <w:rPr>
          <w:b/>
          <w:bCs/>
          <w:sz w:val="28"/>
          <w:szCs w:val="28"/>
          <w:rtl/>
        </w:rPr>
        <w:t>שגם תדע</w:t>
      </w:r>
      <w:r w:rsidR="00615B81">
        <w:rPr>
          <w:rFonts w:hint="cs"/>
          <w:b/>
          <w:bCs/>
          <w:sz w:val="28"/>
          <w:szCs w:val="28"/>
          <w:rtl/>
        </w:rPr>
        <w:t xml:space="preserve"> </w:t>
      </w:r>
      <w:r w:rsidR="00A36653">
        <w:rPr>
          <w:rFonts w:hint="cs"/>
          <w:b/>
          <w:bCs/>
          <w:sz w:val="28"/>
          <w:szCs w:val="28"/>
          <w:rtl/>
        </w:rPr>
        <w:t>על שלוש ההתחלות</w:t>
      </w:r>
      <w:r w:rsidR="006317F5">
        <w:rPr>
          <w:rFonts w:hint="cs"/>
          <w:b/>
          <w:bCs/>
          <w:sz w:val="28"/>
          <w:szCs w:val="28"/>
          <w:rtl/>
        </w:rPr>
        <w:t xml:space="preserve"> המשותפות האלה</w:t>
      </w:r>
      <w:r w:rsidR="00A92D98">
        <w:rPr>
          <w:rStyle w:val="FootnoteReference"/>
          <w:b/>
          <w:bCs/>
          <w:sz w:val="28"/>
          <w:szCs w:val="28"/>
          <w:rtl/>
        </w:rPr>
        <w:footnoteReference w:id="343"/>
      </w:r>
      <w:r w:rsidR="002660E9">
        <w:rPr>
          <w:rFonts w:hint="cs"/>
          <w:b/>
          <w:bCs/>
          <w:sz w:val="28"/>
          <w:szCs w:val="28"/>
          <w:rtl/>
        </w:rPr>
        <w:t xml:space="preserve">, על איזו דרך </w:t>
      </w:r>
      <w:r w:rsidR="00067ADE">
        <w:rPr>
          <w:rFonts w:hint="cs"/>
          <w:b/>
          <w:bCs/>
          <w:sz w:val="28"/>
          <w:szCs w:val="28"/>
          <w:rtl/>
        </w:rPr>
        <w:t>תהיינה</w:t>
      </w:r>
      <w:r w:rsidR="00A92D98">
        <w:rPr>
          <w:rFonts w:hint="cs"/>
          <w:b/>
          <w:bCs/>
          <w:sz w:val="28"/>
          <w:szCs w:val="28"/>
          <w:rtl/>
        </w:rPr>
        <w:t xml:space="preserve"> משותפות, </w:t>
      </w:r>
      <w:r w:rsidR="002D4E55">
        <w:rPr>
          <w:rFonts w:hint="cs"/>
          <w:b/>
          <w:bCs/>
          <w:sz w:val="28"/>
          <w:szCs w:val="28"/>
          <w:rtl/>
        </w:rPr>
        <w:t xml:space="preserve">לפי </w:t>
      </w:r>
      <w:r w:rsidR="002D4E55" w:rsidRPr="1FCA9785">
        <w:rPr>
          <w:b/>
          <w:bCs/>
          <w:sz w:val="28"/>
          <w:szCs w:val="28"/>
          <w:rtl/>
        </w:rPr>
        <w:t>גזירתן</w:t>
      </w:r>
      <w:r w:rsidR="00DD7DCA">
        <w:rPr>
          <w:rStyle w:val="FootnoteReference"/>
          <w:b/>
          <w:bCs/>
          <w:sz w:val="28"/>
          <w:szCs w:val="28"/>
          <w:rtl/>
        </w:rPr>
        <w:footnoteReference w:id="344"/>
      </w:r>
      <w:r w:rsidR="00752F22" w:rsidRPr="1FCA9785">
        <w:rPr>
          <w:b/>
          <w:bCs/>
          <w:sz w:val="28"/>
          <w:szCs w:val="28"/>
          <w:rtl/>
        </w:rPr>
        <w:t xml:space="preserve"> את</w:t>
      </w:r>
      <w:r w:rsidR="00752F22">
        <w:rPr>
          <w:rFonts w:hint="cs"/>
          <w:b/>
          <w:bCs/>
          <w:sz w:val="28"/>
          <w:szCs w:val="28"/>
          <w:rtl/>
        </w:rPr>
        <w:t xml:space="preserve"> </w:t>
      </w:r>
      <w:r w:rsidR="0042668A">
        <w:rPr>
          <w:rFonts w:hint="cs"/>
          <w:b/>
          <w:bCs/>
          <w:sz w:val="28"/>
          <w:szCs w:val="28"/>
          <w:rtl/>
        </w:rPr>
        <w:t xml:space="preserve">מה שתחת </w:t>
      </w:r>
      <w:r w:rsidR="004F1E27">
        <w:rPr>
          <w:rFonts w:hint="cs"/>
          <w:b/>
          <w:bCs/>
          <w:sz w:val="28"/>
          <w:szCs w:val="28"/>
          <w:rtl/>
        </w:rPr>
        <w:t>כל אחת</w:t>
      </w:r>
      <w:r w:rsidR="004F1E27" w:rsidRPr="29A6C97A">
        <w:rPr>
          <w:b/>
          <w:bCs/>
          <w:sz w:val="28"/>
          <w:szCs w:val="28"/>
          <w:rtl/>
        </w:rPr>
        <w:t xml:space="preserve"> מהן</w:t>
      </w:r>
      <w:r w:rsidR="00240F5F">
        <w:rPr>
          <w:rFonts w:hint="cs"/>
          <w:b/>
          <w:bCs/>
          <w:sz w:val="28"/>
          <w:szCs w:val="28"/>
          <w:rtl/>
        </w:rPr>
        <w:t>,</w:t>
      </w:r>
      <w:r w:rsidR="004F1E27">
        <w:rPr>
          <w:rFonts w:hint="cs"/>
          <w:b/>
          <w:bCs/>
          <w:sz w:val="28"/>
          <w:szCs w:val="28"/>
          <w:rtl/>
        </w:rPr>
        <w:t xml:space="preserve"> ממה</w:t>
      </w:r>
      <w:r w:rsidR="0001685C">
        <w:rPr>
          <w:rFonts w:hint="cs"/>
          <w:b/>
          <w:bCs/>
          <w:sz w:val="28"/>
          <w:szCs w:val="28"/>
          <w:rtl/>
        </w:rPr>
        <w:t xml:space="preserve"> שב</w:t>
      </w:r>
      <w:r w:rsidR="009B49B7">
        <w:rPr>
          <w:rFonts w:hint="cs"/>
          <w:b/>
          <w:bCs/>
          <w:sz w:val="28"/>
          <w:szCs w:val="28"/>
          <w:rtl/>
        </w:rPr>
        <w:t>ו</w:t>
      </w:r>
      <w:r w:rsidR="0001685C">
        <w:rPr>
          <w:rFonts w:hint="cs"/>
          <w:b/>
          <w:bCs/>
          <w:sz w:val="28"/>
          <w:szCs w:val="28"/>
          <w:rtl/>
        </w:rPr>
        <w:t xml:space="preserve"> </w:t>
      </w:r>
      <w:r w:rsidR="00966E29">
        <w:rPr>
          <w:rFonts w:hint="cs"/>
          <w:b/>
          <w:bCs/>
          <w:sz w:val="28"/>
          <w:szCs w:val="28"/>
          <w:rtl/>
        </w:rPr>
        <w:t xml:space="preserve">יהיה </w:t>
      </w:r>
      <w:r w:rsidR="00AD7C66">
        <w:rPr>
          <w:rFonts w:hint="cs"/>
          <w:b/>
          <w:bCs/>
          <w:sz w:val="28"/>
          <w:szCs w:val="28"/>
          <w:rtl/>
        </w:rPr>
        <w:t>השיתוף</w:t>
      </w:r>
      <w:r w:rsidR="00966E29">
        <w:rPr>
          <w:rFonts w:hint="cs"/>
          <w:b/>
          <w:bCs/>
          <w:sz w:val="28"/>
          <w:szCs w:val="28"/>
          <w:rtl/>
        </w:rPr>
        <w:t>.</w:t>
      </w:r>
    </w:p>
    <w:p w14:paraId="7C0737F5" w14:textId="18ADB48D" w:rsidR="00AF6EAD" w:rsidRDefault="009B4B15" w:rsidP="00BA6B2A">
      <w:pPr>
        <w:pStyle w:val="FootnoteText"/>
        <w:rPr>
          <w:b/>
          <w:bCs/>
          <w:sz w:val="28"/>
          <w:szCs w:val="28"/>
        </w:rPr>
      </w:pPr>
      <w:r w:rsidRPr="5974A93B">
        <w:rPr>
          <w:b/>
          <w:bCs/>
          <w:sz w:val="28"/>
          <w:szCs w:val="28"/>
          <w:rtl/>
        </w:rPr>
        <w:t xml:space="preserve">ואם </w:t>
      </w:r>
      <w:r w:rsidR="7DE437C6" w:rsidRPr="7DE437C6">
        <w:rPr>
          <w:b/>
          <w:bCs/>
          <w:sz w:val="28"/>
          <w:szCs w:val="28"/>
          <w:rtl/>
        </w:rPr>
        <w:t>יחזק</w:t>
      </w:r>
      <w:r w:rsidRPr="5974A93B">
        <w:rPr>
          <w:b/>
          <w:bCs/>
          <w:sz w:val="28"/>
          <w:szCs w:val="28"/>
          <w:rtl/>
        </w:rPr>
        <w:t xml:space="preserve"> עלינו </w:t>
      </w:r>
      <w:r w:rsidR="00EA2E49" w:rsidRPr="5974A93B">
        <w:rPr>
          <w:b/>
          <w:bCs/>
          <w:sz w:val="28"/>
          <w:szCs w:val="28"/>
          <w:rtl/>
        </w:rPr>
        <w:t xml:space="preserve">מה שיאמרו </w:t>
      </w:r>
      <w:r w:rsidR="00377BEA" w:rsidRPr="5974A93B">
        <w:rPr>
          <w:b/>
          <w:bCs/>
          <w:sz w:val="28"/>
          <w:szCs w:val="28"/>
          <w:rtl/>
        </w:rPr>
        <w:t>לנו שהשם</w:t>
      </w:r>
      <w:r w:rsidR="00044E9F">
        <w:rPr>
          <w:rStyle w:val="FootnoteReference"/>
          <w:b/>
          <w:bCs/>
          <w:sz w:val="28"/>
          <w:szCs w:val="28"/>
          <w:rtl/>
        </w:rPr>
        <w:footnoteReference w:id="345"/>
      </w:r>
      <w:r w:rsidR="00377BEA" w:rsidRPr="5974A93B">
        <w:rPr>
          <w:b/>
          <w:bCs/>
          <w:sz w:val="28"/>
          <w:szCs w:val="28"/>
          <w:rtl/>
        </w:rPr>
        <w:t xml:space="preserve"> של כל אחת מהן משתתף, </w:t>
      </w:r>
      <w:r w:rsidR="005046F5" w:rsidRPr="5974A93B">
        <w:rPr>
          <w:b/>
          <w:bCs/>
          <w:sz w:val="28"/>
          <w:szCs w:val="28"/>
          <w:rtl/>
        </w:rPr>
        <w:t>אם היה כך</w:t>
      </w:r>
      <w:r w:rsidR="000741A9" w:rsidRPr="5974A93B">
        <w:rPr>
          <w:b/>
          <w:bCs/>
          <w:sz w:val="28"/>
          <w:szCs w:val="28"/>
          <w:rtl/>
        </w:rPr>
        <w:t>, הייתה החקירה ה</w:t>
      </w:r>
      <w:r w:rsidR="00086794" w:rsidRPr="5974A93B">
        <w:rPr>
          <w:b/>
          <w:bCs/>
          <w:sz w:val="28"/>
          <w:szCs w:val="28"/>
          <w:rtl/>
        </w:rPr>
        <w:t>כללי</w:t>
      </w:r>
      <w:r w:rsidR="000741A9" w:rsidRPr="5974A93B">
        <w:rPr>
          <w:b/>
          <w:bCs/>
          <w:sz w:val="28"/>
          <w:szCs w:val="28"/>
          <w:rtl/>
        </w:rPr>
        <w:t>ת</w:t>
      </w:r>
      <w:r w:rsidR="00A36653" w:rsidRPr="5974A93B">
        <w:rPr>
          <w:b/>
          <w:bCs/>
          <w:sz w:val="28"/>
          <w:szCs w:val="28"/>
          <w:rtl/>
        </w:rPr>
        <w:t xml:space="preserve"> </w:t>
      </w:r>
      <w:r w:rsidR="003065EA" w:rsidRPr="5974A93B">
        <w:rPr>
          <w:b/>
          <w:bCs/>
          <w:sz w:val="28"/>
          <w:szCs w:val="28"/>
          <w:rtl/>
        </w:rPr>
        <w:t xml:space="preserve">מוגבלת </w:t>
      </w:r>
      <w:r w:rsidR="00812F7E" w:rsidRPr="5974A93B">
        <w:rPr>
          <w:b/>
          <w:bCs/>
          <w:sz w:val="28"/>
          <w:szCs w:val="28"/>
          <w:rtl/>
        </w:rPr>
        <w:t>להימצאות ההתחלות</w:t>
      </w:r>
      <w:r w:rsidR="00A50D37" w:rsidRPr="5974A93B">
        <w:rPr>
          <w:b/>
          <w:bCs/>
          <w:sz w:val="28"/>
          <w:szCs w:val="28"/>
          <w:rtl/>
        </w:rPr>
        <w:t xml:space="preserve"> </w:t>
      </w:r>
      <w:r w:rsidR="37E782A9" w:rsidRPr="37E782A9">
        <w:rPr>
          <w:b/>
          <w:bCs/>
          <w:sz w:val="28"/>
          <w:szCs w:val="28"/>
          <w:rtl/>
        </w:rPr>
        <w:t>שהן שלושה</w:t>
      </w:r>
      <w:r w:rsidR="00CE7834" w:rsidRPr="5974A93B">
        <w:rPr>
          <w:b/>
          <w:bCs/>
          <w:sz w:val="28"/>
          <w:szCs w:val="28"/>
          <w:rtl/>
        </w:rPr>
        <w:t xml:space="preserve"> שמות</w:t>
      </w:r>
      <w:r w:rsidR="59BC1AB0" w:rsidRPr="59BC1AB0">
        <w:rPr>
          <w:b/>
          <w:bCs/>
          <w:sz w:val="28"/>
          <w:szCs w:val="28"/>
          <w:rtl/>
        </w:rPr>
        <w:t>,</w:t>
      </w:r>
      <w:r w:rsidR="006C4DD2" w:rsidRPr="5974A93B">
        <w:rPr>
          <w:b/>
          <w:bCs/>
          <w:sz w:val="28"/>
          <w:szCs w:val="28"/>
          <w:rtl/>
        </w:rPr>
        <w:t xml:space="preserve"> </w:t>
      </w:r>
      <w:r w:rsidR="005F1E22" w:rsidRPr="5974A93B">
        <w:rPr>
          <w:b/>
          <w:bCs/>
          <w:sz w:val="28"/>
          <w:szCs w:val="28"/>
          <w:rtl/>
        </w:rPr>
        <w:t>יחדרו</w:t>
      </w:r>
      <w:r w:rsidR="00A23D66">
        <w:rPr>
          <w:rStyle w:val="FootnoteReference"/>
          <w:b/>
          <w:bCs/>
          <w:sz w:val="28"/>
          <w:szCs w:val="28"/>
          <w:rtl/>
        </w:rPr>
        <w:footnoteReference w:id="346"/>
      </w:r>
      <w:r w:rsidR="005F1E22" w:rsidRPr="5974A93B">
        <w:rPr>
          <w:b/>
          <w:bCs/>
          <w:sz w:val="28"/>
          <w:szCs w:val="28"/>
          <w:rtl/>
        </w:rPr>
        <w:t xml:space="preserve"> </w:t>
      </w:r>
      <w:r w:rsidR="00A8231E" w:rsidRPr="5974A93B">
        <w:rPr>
          <w:b/>
          <w:bCs/>
          <w:sz w:val="28"/>
          <w:szCs w:val="28"/>
          <w:rtl/>
        </w:rPr>
        <w:t>ל</w:t>
      </w:r>
      <w:r w:rsidR="005F1E22" w:rsidRPr="5974A93B">
        <w:rPr>
          <w:b/>
          <w:bCs/>
          <w:sz w:val="28"/>
          <w:szCs w:val="28"/>
          <w:rtl/>
        </w:rPr>
        <w:t xml:space="preserve">כל שם </w:t>
      </w:r>
      <w:r w:rsidR="7ACBBE46" w:rsidRPr="7ACBBE46">
        <w:rPr>
          <w:b/>
          <w:bCs/>
          <w:sz w:val="28"/>
          <w:szCs w:val="28"/>
          <w:rtl/>
        </w:rPr>
        <w:t>מהם</w:t>
      </w:r>
      <w:r w:rsidR="005F1E22" w:rsidRPr="5974A93B">
        <w:rPr>
          <w:b/>
          <w:bCs/>
          <w:sz w:val="28"/>
          <w:szCs w:val="28"/>
          <w:rtl/>
        </w:rPr>
        <w:t xml:space="preserve"> </w:t>
      </w:r>
      <w:r w:rsidR="00F2758B" w:rsidRPr="5974A93B">
        <w:rPr>
          <w:b/>
          <w:bCs/>
          <w:sz w:val="28"/>
          <w:szCs w:val="28"/>
          <w:rtl/>
        </w:rPr>
        <w:t>קבוצה מההתחלות</w:t>
      </w:r>
      <w:r w:rsidR="009A1B62" w:rsidRPr="5974A93B">
        <w:rPr>
          <w:b/>
          <w:bCs/>
          <w:sz w:val="28"/>
          <w:szCs w:val="28"/>
          <w:rtl/>
        </w:rPr>
        <w:t xml:space="preserve"> </w:t>
      </w:r>
      <w:r w:rsidR="497C2B2A" w:rsidRPr="497C2B2A">
        <w:rPr>
          <w:b/>
          <w:bCs/>
          <w:sz w:val="28"/>
          <w:szCs w:val="28"/>
          <w:rtl/>
        </w:rPr>
        <w:t>ויכילו שלושת</w:t>
      </w:r>
      <w:r w:rsidR="009A1B62" w:rsidRPr="5974A93B">
        <w:rPr>
          <w:b/>
          <w:bCs/>
          <w:sz w:val="28"/>
          <w:szCs w:val="28"/>
          <w:rtl/>
        </w:rPr>
        <w:t xml:space="preserve"> </w:t>
      </w:r>
      <w:r w:rsidR="008A01BD" w:rsidRPr="5974A93B">
        <w:rPr>
          <w:b/>
          <w:bCs/>
          <w:sz w:val="28"/>
          <w:szCs w:val="28"/>
          <w:rtl/>
        </w:rPr>
        <w:t xml:space="preserve">השמות </w:t>
      </w:r>
      <w:r w:rsidR="3436A200" w:rsidRPr="3436A200">
        <w:rPr>
          <w:b/>
          <w:bCs/>
          <w:sz w:val="28"/>
          <w:szCs w:val="28"/>
          <w:rtl/>
        </w:rPr>
        <w:t>את</w:t>
      </w:r>
      <w:r w:rsidR="008A01BD" w:rsidRPr="5974A93B">
        <w:rPr>
          <w:b/>
          <w:bCs/>
          <w:sz w:val="28"/>
          <w:szCs w:val="28"/>
          <w:rtl/>
        </w:rPr>
        <w:t xml:space="preserve"> הכל</w:t>
      </w:r>
      <w:r w:rsidR="00C31F25" w:rsidRPr="5974A93B">
        <w:rPr>
          <w:b/>
          <w:bCs/>
          <w:sz w:val="28"/>
          <w:szCs w:val="28"/>
        </w:rPr>
        <w:t>.</w:t>
      </w:r>
    </w:p>
    <w:p w14:paraId="0C58262D" w14:textId="472D648A" w:rsidR="3CBA56B6" w:rsidRDefault="00C331C3" w:rsidP="3CBA56B6">
      <w:pPr>
        <w:pStyle w:val="FootnoteText"/>
        <w:rPr>
          <w:b/>
          <w:bCs/>
          <w:sz w:val="28"/>
          <w:szCs w:val="28"/>
          <w:rtl/>
        </w:rPr>
      </w:pPr>
      <w:r>
        <w:rPr>
          <w:rFonts w:hint="cs"/>
          <w:b/>
          <w:bCs/>
          <w:sz w:val="28"/>
          <w:szCs w:val="28"/>
          <w:rtl/>
        </w:rPr>
        <w:t xml:space="preserve">ואם </w:t>
      </w:r>
      <w:r w:rsidR="00DA6C02">
        <w:rPr>
          <w:rFonts w:hint="cs"/>
          <w:b/>
          <w:bCs/>
          <w:sz w:val="28"/>
          <w:szCs w:val="28"/>
          <w:rtl/>
        </w:rPr>
        <w:t>ז</w:t>
      </w:r>
      <w:r>
        <w:rPr>
          <w:rFonts w:hint="cs"/>
          <w:b/>
          <w:bCs/>
          <w:sz w:val="28"/>
          <w:szCs w:val="28"/>
          <w:rtl/>
        </w:rPr>
        <w:t>ה</w:t>
      </w:r>
      <w:r w:rsidR="00CD02CE">
        <w:rPr>
          <w:rFonts w:hint="cs"/>
          <w:b/>
          <w:bCs/>
          <w:sz w:val="28"/>
          <w:szCs w:val="28"/>
          <w:rtl/>
        </w:rPr>
        <w:t xml:space="preserve"> </w:t>
      </w:r>
      <w:r w:rsidR="00F16B04">
        <w:rPr>
          <w:rFonts w:hint="cs"/>
          <w:b/>
          <w:bCs/>
          <w:sz w:val="28"/>
          <w:szCs w:val="28"/>
          <w:rtl/>
        </w:rPr>
        <w:t xml:space="preserve">יהיה </w:t>
      </w:r>
      <w:r w:rsidR="0018722E">
        <w:rPr>
          <w:rFonts w:hint="cs"/>
          <w:b/>
          <w:bCs/>
          <w:sz w:val="28"/>
          <w:szCs w:val="28"/>
          <w:rtl/>
        </w:rPr>
        <w:t>מ</w:t>
      </w:r>
      <w:r w:rsidR="00CD02CE">
        <w:rPr>
          <w:rFonts w:hint="cs"/>
          <w:b/>
          <w:bCs/>
          <w:sz w:val="28"/>
          <w:szCs w:val="28"/>
          <w:rtl/>
        </w:rPr>
        <w:t>ספיק</w:t>
      </w:r>
      <w:r w:rsidR="10A74FBF" w:rsidRPr="10A74FBF">
        <w:rPr>
          <w:b/>
          <w:bCs/>
          <w:sz w:val="28"/>
          <w:szCs w:val="28"/>
          <w:rtl/>
        </w:rPr>
        <w:t xml:space="preserve"> (</w:t>
      </w:r>
      <w:r w:rsidR="007A1122">
        <w:rPr>
          <w:rFonts w:hint="cs"/>
          <w:b/>
          <w:bCs/>
          <w:sz w:val="28"/>
          <w:szCs w:val="28"/>
          <w:rtl/>
        </w:rPr>
        <w:t xml:space="preserve">החשוב </w:t>
      </w:r>
      <w:r w:rsidR="00CA4EED">
        <w:rPr>
          <w:rFonts w:hint="cs"/>
          <w:b/>
          <w:bCs/>
          <w:sz w:val="28"/>
          <w:szCs w:val="28"/>
          <w:rtl/>
        </w:rPr>
        <w:t xml:space="preserve">שנסכים </w:t>
      </w:r>
      <w:r w:rsidR="009A12A5">
        <w:rPr>
          <w:rFonts w:hint="cs"/>
          <w:b/>
          <w:bCs/>
          <w:sz w:val="28"/>
          <w:szCs w:val="28"/>
          <w:rtl/>
        </w:rPr>
        <w:t xml:space="preserve">מה שבינינו על השמות </w:t>
      </w:r>
      <w:r w:rsidR="000B6BD7">
        <w:rPr>
          <w:rFonts w:hint="cs"/>
          <w:b/>
          <w:bCs/>
          <w:sz w:val="28"/>
          <w:szCs w:val="28"/>
          <w:rtl/>
        </w:rPr>
        <w:t>ו</w:t>
      </w:r>
      <w:r w:rsidR="004136AF">
        <w:rPr>
          <w:rFonts w:hint="cs"/>
          <w:b/>
          <w:bCs/>
          <w:sz w:val="28"/>
          <w:szCs w:val="28"/>
          <w:rtl/>
        </w:rPr>
        <w:t>נת</w:t>
      </w:r>
      <w:r w:rsidR="00296750">
        <w:rPr>
          <w:rFonts w:hint="cs"/>
          <w:b/>
          <w:bCs/>
          <w:sz w:val="28"/>
          <w:szCs w:val="28"/>
          <w:rtl/>
        </w:rPr>
        <w:t>אחד</w:t>
      </w:r>
      <w:r w:rsidR="004136AF">
        <w:rPr>
          <w:rFonts w:hint="cs"/>
          <w:b/>
          <w:bCs/>
          <w:sz w:val="28"/>
          <w:szCs w:val="28"/>
          <w:rtl/>
        </w:rPr>
        <w:t xml:space="preserve"> על</w:t>
      </w:r>
      <w:r w:rsidR="003D6D90">
        <w:rPr>
          <w:rFonts w:hint="cs"/>
          <w:b/>
          <w:bCs/>
          <w:sz w:val="28"/>
          <w:szCs w:val="28"/>
          <w:rtl/>
        </w:rPr>
        <w:t xml:space="preserve"> ז</w:t>
      </w:r>
      <w:r w:rsidR="004136AF">
        <w:rPr>
          <w:rFonts w:hint="cs"/>
          <w:b/>
          <w:bCs/>
          <w:sz w:val="28"/>
          <w:szCs w:val="28"/>
          <w:rtl/>
        </w:rPr>
        <w:t>ה</w:t>
      </w:r>
      <w:r w:rsidR="00F03CD1">
        <w:rPr>
          <w:rFonts w:hint="cs"/>
          <w:b/>
          <w:bCs/>
          <w:sz w:val="28"/>
          <w:szCs w:val="28"/>
          <w:rtl/>
        </w:rPr>
        <w:t xml:space="preserve">, </w:t>
      </w:r>
      <w:r w:rsidR="00FA50E5">
        <w:rPr>
          <w:rFonts w:hint="cs"/>
          <w:b/>
          <w:bCs/>
          <w:sz w:val="28"/>
          <w:szCs w:val="28"/>
          <w:rtl/>
        </w:rPr>
        <w:t xml:space="preserve">ואם אנו עשינו זאת </w:t>
      </w:r>
      <w:r w:rsidR="003E6AD5">
        <w:rPr>
          <w:rFonts w:hint="cs"/>
          <w:b/>
          <w:bCs/>
          <w:sz w:val="28"/>
          <w:szCs w:val="28"/>
          <w:rtl/>
        </w:rPr>
        <w:t xml:space="preserve">או לא עשינו </w:t>
      </w:r>
      <w:r w:rsidR="00AA5BCC">
        <w:rPr>
          <w:rFonts w:hint="cs"/>
          <w:b/>
          <w:bCs/>
          <w:sz w:val="28"/>
          <w:szCs w:val="28"/>
          <w:rtl/>
        </w:rPr>
        <w:t>אלא קיבלנו את מה שעשו</w:t>
      </w:r>
      <w:r w:rsidR="45C818BB" w:rsidRPr="45C818BB">
        <w:rPr>
          <w:b/>
          <w:bCs/>
          <w:sz w:val="28"/>
          <w:szCs w:val="28"/>
          <w:rtl/>
        </w:rPr>
        <w:t>),</w:t>
      </w:r>
      <w:r w:rsidR="0769C319" w:rsidRPr="0769C319">
        <w:rPr>
          <w:b/>
          <w:bCs/>
          <w:sz w:val="28"/>
          <w:szCs w:val="28"/>
          <w:rtl/>
        </w:rPr>
        <w:t xml:space="preserve"> </w:t>
      </w:r>
      <w:r w:rsidR="30A42CB6" w:rsidRPr="30A42CB6">
        <w:rPr>
          <w:b/>
          <w:bCs/>
          <w:sz w:val="28"/>
          <w:szCs w:val="28"/>
          <w:rtl/>
        </w:rPr>
        <w:t>לא יהיו בידינו</w:t>
      </w:r>
      <w:r w:rsidR="30A42CB6" w:rsidRPr="30A42CB6">
        <w:rPr>
          <w:b/>
          <w:bCs/>
          <w:sz w:val="28"/>
          <w:szCs w:val="28"/>
        </w:rPr>
        <w:t xml:space="preserve"> </w:t>
      </w:r>
      <w:r w:rsidR="4AEFE601" w:rsidRPr="4AEFE601">
        <w:rPr>
          <w:b/>
          <w:bCs/>
          <w:sz w:val="28"/>
          <w:szCs w:val="28"/>
          <w:rtl/>
        </w:rPr>
        <w:t>אלא השמות השלושה,</w:t>
      </w:r>
      <w:r w:rsidR="4AEFE601" w:rsidRPr="4AEFE601">
        <w:rPr>
          <w:b/>
          <w:bCs/>
          <w:sz w:val="28"/>
          <w:szCs w:val="28"/>
        </w:rPr>
        <w:t xml:space="preserve"> </w:t>
      </w:r>
      <w:r w:rsidR="0B1D15D7" w:rsidRPr="0B1D15D7">
        <w:rPr>
          <w:b/>
          <w:bCs/>
          <w:sz w:val="28"/>
          <w:szCs w:val="28"/>
          <w:rtl/>
        </w:rPr>
        <w:t>ולא</w:t>
      </w:r>
      <w:r w:rsidR="7784660E" w:rsidRPr="7784660E">
        <w:rPr>
          <w:b/>
          <w:bCs/>
          <w:sz w:val="28"/>
          <w:szCs w:val="28"/>
          <w:rtl/>
        </w:rPr>
        <w:t xml:space="preserve"> יהיה קיים לנו</w:t>
      </w:r>
      <w:r w:rsidR="7784660E" w:rsidRPr="7784660E">
        <w:rPr>
          <w:b/>
          <w:bCs/>
          <w:sz w:val="28"/>
          <w:szCs w:val="28"/>
        </w:rPr>
        <w:t xml:space="preserve"> </w:t>
      </w:r>
      <w:r w:rsidR="0B1D15D7" w:rsidRPr="0B1D15D7">
        <w:rPr>
          <w:b/>
          <w:bCs/>
          <w:sz w:val="28"/>
          <w:szCs w:val="28"/>
          <w:rtl/>
        </w:rPr>
        <w:t xml:space="preserve">במובן של </w:t>
      </w:r>
      <w:r w:rsidR="00E3331F">
        <w:rPr>
          <w:rFonts w:hint="cs"/>
          <w:b/>
          <w:bCs/>
          <w:sz w:val="28"/>
          <w:szCs w:val="28"/>
          <w:rtl/>
        </w:rPr>
        <w:t>'</w:t>
      </w:r>
      <w:r w:rsidR="07F67E16" w:rsidRPr="07F67E16">
        <w:rPr>
          <w:b/>
          <w:bCs/>
          <w:sz w:val="28"/>
          <w:szCs w:val="28"/>
          <w:rtl/>
        </w:rPr>
        <w:t>התחלה</w:t>
      </w:r>
      <w:r w:rsidR="00E3331F">
        <w:rPr>
          <w:rFonts w:hint="cs"/>
          <w:b/>
          <w:bCs/>
          <w:sz w:val="28"/>
          <w:szCs w:val="28"/>
          <w:rtl/>
        </w:rPr>
        <w:t>'</w:t>
      </w:r>
      <w:r w:rsidR="07F67E16" w:rsidRPr="07F67E16">
        <w:rPr>
          <w:b/>
          <w:bCs/>
          <w:sz w:val="28"/>
          <w:szCs w:val="28"/>
          <w:rtl/>
        </w:rPr>
        <w:t xml:space="preserve"> </w:t>
      </w:r>
      <w:r w:rsidR="2BA71810" w:rsidRPr="2BA71810">
        <w:rPr>
          <w:b/>
          <w:bCs/>
          <w:sz w:val="28"/>
          <w:szCs w:val="28"/>
          <w:rtl/>
        </w:rPr>
        <w:t>שום דבר,</w:t>
      </w:r>
      <w:r w:rsidR="0B1D15D7" w:rsidRPr="0B1D15D7">
        <w:rPr>
          <w:b/>
          <w:bCs/>
          <w:sz w:val="28"/>
          <w:szCs w:val="28"/>
          <w:rtl/>
        </w:rPr>
        <w:t xml:space="preserve"> </w:t>
      </w:r>
      <w:r w:rsidR="76D42EAC" w:rsidRPr="76D42EAC">
        <w:rPr>
          <w:b/>
          <w:bCs/>
          <w:sz w:val="28"/>
          <w:szCs w:val="28"/>
          <w:rtl/>
        </w:rPr>
        <w:t>ואומלל מי שעשה זאת לעצמו.</w:t>
      </w:r>
      <w:r w:rsidR="76D42EAC" w:rsidRPr="76D42EAC">
        <w:rPr>
          <w:b/>
          <w:bCs/>
          <w:sz w:val="28"/>
          <w:szCs w:val="28"/>
        </w:rPr>
        <w:t xml:space="preserve"> </w:t>
      </w:r>
    </w:p>
    <w:p w14:paraId="367E1F39" w14:textId="3CD25790" w:rsidR="4EE08D82" w:rsidRDefault="7EBEF4F7" w:rsidP="00AF63E4">
      <w:pPr>
        <w:pStyle w:val="FootnoteText"/>
      </w:pPr>
      <w:r w:rsidRPr="7EBEF4F7">
        <w:rPr>
          <w:b/>
          <w:bCs/>
          <w:sz w:val="28"/>
          <w:szCs w:val="28"/>
          <w:rtl/>
        </w:rPr>
        <w:t xml:space="preserve">וגם לא נוכל לומר </w:t>
      </w:r>
      <w:r w:rsidR="48B41CF6" w:rsidRPr="48B41CF6">
        <w:rPr>
          <w:b/>
          <w:bCs/>
          <w:sz w:val="28"/>
          <w:szCs w:val="28"/>
          <w:rtl/>
        </w:rPr>
        <w:t>שכל</w:t>
      </w:r>
      <w:r w:rsidR="44BB783F" w:rsidRPr="44BB783F">
        <w:rPr>
          <w:b/>
          <w:bCs/>
          <w:sz w:val="28"/>
          <w:szCs w:val="28"/>
          <w:rtl/>
        </w:rPr>
        <w:t xml:space="preserve"> </w:t>
      </w:r>
      <w:r w:rsidR="26AA3540" w:rsidRPr="26AA3540">
        <w:rPr>
          <w:b/>
          <w:bCs/>
          <w:sz w:val="28"/>
          <w:szCs w:val="28"/>
          <w:rtl/>
        </w:rPr>
        <w:t>אחת</w:t>
      </w:r>
      <w:r w:rsidR="44BB783F" w:rsidRPr="44BB783F">
        <w:rPr>
          <w:b/>
          <w:bCs/>
          <w:sz w:val="28"/>
          <w:szCs w:val="28"/>
          <w:rtl/>
        </w:rPr>
        <w:t xml:space="preserve"> </w:t>
      </w:r>
      <w:r w:rsidR="48B41CF6" w:rsidRPr="48B41CF6">
        <w:rPr>
          <w:b/>
          <w:bCs/>
          <w:sz w:val="28"/>
          <w:szCs w:val="28"/>
          <w:rtl/>
        </w:rPr>
        <w:t xml:space="preserve">מהן </w:t>
      </w:r>
      <w:r w:rsidR="379A2957" w:rsidRPr="379A2957">
        <w:rPr>
          <w:b/>
          <w:bCs/>
          <w:sz w:val="28"/>
          <w:szCs w:val="28"/>
          <w:rtl/>
        </w:rPr>
        <w:t xml:space="preserve">תהיה הכוונה בה </w:t>
      </w:r>
      <w:r w:rsidR="1FEE4218" w:rsidRPr="1FEE4218">
        <w:rPr>
          <w:b/>
          <w:bCs/>
          <w:sz w:val="28"/>
          <w:szCs w:val="28"/>
          <w:rtl/>
        </w:rPr>
        <w:t xml:space="preserve">למה שכלול </w:t>
      </w:r>
      <w:r w:rsidR="3AEE40E2" w:rsidRPr="3AEE40E2">
        <w:rPr>
          <w:b/>
          <w:bCs/>
          <w:sz w:val="28"/>
          <w:szCs w:val="28"/>
          <w:rtl/>
        </w:rPr>
        <w:t xml:space="preserve">בה </w:t>
      </w:r>
      <w:r w:rsidR="4A73B933" w:rsidRPr="4A73B933">
        <w:rPr>
          <w:b/>
          <w:bCs/>
          <w:sz w:val="28"/>
          <w:szCs w:val="28"/>
          <w:rtl/>
        </w:rPr>
        <w:t xml:space="preserve">במובן שהוא אחד </w:t>
      </w:r>
      <w:r w:rsidR="272BED97" w:rsidRPr="272BED97">
        <w:rPr>
          <w:b/>
          <w:bCs/>
          <w:sz w:val="28"/>
          <w:szCs w:val="28"/>
          <w:rtl/>
        </w:rPr>
        <w:t xml:space="preserve">באופן </w:t>
      </w:r>
      <w:r w:rsidR="58A32160" w:rsidRPr="58A32160">
        <w:rPr>
          <w:b/>
          <w:bCs/>
          <w:sz w:val="28"/>
          <w:szCs w:val="28"/>
          <w:rtl/>
        </w:rPr>
        <w:t>צרוף</w:t>
      </w:r>
      <w:r w:rsidR="4A73B933" w:rsidRPr="4A73B933">
        <w:rPr>
          <w:b/>
          <w:bCs/>
          <w:sz w:val="28"/>
          <w:szCs w:val="28"/>
          <w:rtl/>
        </w:rPr>
        <w:t xml:space="preserve">, </w:t>
      </w:r>
      <w:r w:rsidR="5F4D413E" w:rsidRPr="5F4D413E">
        <w:rPr>
          <w:b/>
          <w:bCs/>
          <w:sz w:val="28"/>
          <w:szCs w:val="28"/>
          <w:rtl/>
        </w:rPr>
        <w:t>ואיך</w:t>
      </w:r>
      <w:r w:rsidR="3476E002" w:rsidRPr="3476E002">
        <w:rPr>
          <w:b/>
          <w:bCs/>
          <w:sz w:val="28"/>
          <w:szCs w:val="28"/>
          <w:rtl/>
        </w:rPr>
        <w:t xml:space="preserve"> </w:t>
      </w:r>
      <w:r w:rsidR="6E6F703F" w:rsidRPr="6E6F703F">
        <w:rPr>
          <w:b/>
          <w:bCs/>
          <w:sz w:val="28"/>
          <w:szCs w:val="28"/>
          <w:rtl/>
        </w:rPr>
        <w:t xml:space="preserve">יוחלט </w:t>
      </w:r>
      <w:r w:rsidR="2621558F" w:rsidRPr="2621558F">
        <w:rPr>
          <w:b/>
          <w:bCs/>
          <w:sz w:val="28"/>
          <w:szCs w:val="28"/>
          <w:rtl/>
        </w:rPr>
        <w:t>כשתחת</w:t>
      </w:r>
      <w:r w:rsidR="6E6F703F" w:rsidRPr="6E6F703F">
        <w:rPr>
          <w:b/>
          <w:bCs/>
          <w:sz w:val="28"/>
          <w:szCs w:val="28"/>
          <w:rtl/>
        </w:rPr>
        <w:t xml:space="preserve"> כל אחד </w:t>
      </w:r>
      <w:r w:rsidR="168D6F86" w:rsidRPr="168D6F86">
        <w:rPr>
          <w:b/>
          <w:bCs/>
          <w:sz w:val="28"/>
          <w:szCs w:val="28"/>
          <w:rtl/>
        </w:rPr>
        <w:t xml:space="preserve">מהן </w:t>
      </w:r>
      <w:r w:rsidR="036676C6" w:rsidRPr="036676C6">
        <w:rPr>
          <w:b/>
          <w:bCs/>
          <w:sz w:val="28"/>
          <w:szCs w:val="28"/>
          <w:rtl/>
        </w:rPr>
        <w:t>מינים שונים מקטגוריות שונות,</w:t>
      </w:r>
      <w:r w:rsidR="10BD4733" w:rsidRPr="10BD4733">
        <w:rPr>
          <w:b/>
          <w:bCs/>
          <w:sz w:val="28"/>
          <w:szCs w:val="28"/>
          <w:rtl/>
        </w:rPr>
        <w:t xml:space="preserve"> יתחלפו </w:t>
      </w:r>
      <w:r w:rsidR="6CF8A542" w:rsidRPr="6CF8A542">
        <w:rPr>
          <w:b/>
          <w:bCs/>
          <w:sz w:val="28"/>
          <w:szCs w:val="28"/>
          <w:rtl/>
        </w:rPr>
        <w:t xml:space="preserve">לפי מובן ההתחלות </w:t>
      </w:r>
      <w:r w:rsidR="09ED1A3F" w:rsidRPr="09ED1A3F">
        <w:rPr>
          <w:b/>
          <w:bCs/>
          <w:sz w:val="28"/>
          <w:szCs w:val="28"/>
          <w:rtl/>
        </w:rPr>
        <w:t>בקדימה ואיחור</w:t>
      </w:r>
      <w:r w:rsidR="52262642" w:rsidRPr="52262642">
        <w:rPr>
          <w:b/>
          <w:bCs/>
          <w:sz w:val="28"/>
          <w:szCs w:val="28"/>
          <w:rtl/>
        </w:rPr>
        <w:t>.</w:t>
      </w:r>
      <w:r w:rsidR="6A2EFDDD" w:rsidRPr="6A2EFDDD">
        <w:rPr>
          <w:b/>
          <w:bCs/>
          <w:sz w:val="28"/>
          <w:szCs w:val="28"/>
          <w:rtl/>
        </w:rPr>
        <w:t xml:space="preserve"> </w:t>
      </w:r>
      <w:r w:rsidR="1ABE73F4" w:rsidRPr="1ABE73F4">
        <w:rPr>
          <w:b/>
          <w:bCs/>
          <w:sz w:val="28"/>
          <w:szCs w:val="28"/>
          <w:rtl/>
        </w:rPr>
        <w:t xml:space="preserve">אלא, בהכרח, המובן שלהם יהיה מובן של </w:t>
      </w:r>
      <w:r w:rsidR="2B308BFB" w:rsidRPr="2B308BFB">
        <w:rPr>
          <w:b/>
          <w:bCs/>
          <w:sz w:val="28"/>
          <w:szCs w:val="28"/>
          <w:rtl/>
        </w:rPr>
        <w:t xml:space="preserve">שמות משתתפים, </w:t>
      </w:r>
      <w:r w:rsidR="18157BD5" w:rsidRPr="18157BD5">
        <w:rPr>
          <w:b/>
          <w:bCs/>
          <w:sz w:val="28"/>
          <w:szCs w:val="28"/>
          <w:rtl/>
        </w:rPr>
        <w:t>כגון</w:t>
      </w:r>
      <w:r w:rsidR="6E8F3574" w:rsidRPr="6E8F3574">
        <w:rPr>
          <w:b/>
          <w:bCs/>
          <w:sz w:val="28"/>
          <w:szCs w:val="28"/>
          <w:rtl/>
        </w:rPr>
        <w:t xml:space="preserve"> מציאות, </w:t>
      </w:r>
      <w:r w:rsidR="56FBAC49" w:rsidRPr="56FBAC49">
        <w:rPr>
          <w:b/>
          <w:bCs/>
          <w:sz w:val="28"/>
          <w:szCs w:val="28"/>
          <w:rtl/>
        </w:rPr>
        <w:t>התחלה</w:t>
      </w:r>
      <w:r w:rsidR="3D0F1806" w:rsidRPr="3D0F1806">
        <w:rPr>
          <w:b/>
          <w:bCs/>
          <w:sz w:val="28"/>
          <w:szCs w:val="28"/>
          <w:rtl/>
        </w:rPr>
        <w:t xml:space="preserve"> </w:t>
      </w:r>
      <w:r w:rsidR="524BB78B" w:rsidRPr="524BB78B">
        <w:rPr>
          <w:b/>
          <w:bCs/>
          <w:sz w:val="28"/>
          <w:szCs w:val="28"/>
          <w:rtl/>
        </w:rPr>
        <w:t>ואחדות</w:t>
      </w:r>
      <w:r w:rsidR="0DFC0DA6" w:rsidRPr="0DFC0DA6">
        <w:rPr>
          <w:b/>
          <w:bCs/>
          <w:sz w:val="28"/>
          <w:szCs w:val="28"/>
          <w:rtl/>
        </w:rPr>
        <w:t xml:space="preserve">. </w:t>
      </w:r>
      <w:r w:rsidR="1D1BABF6" w:rsidRPr="1D1BABF6">
        <w:rPr>
          <w:b/>
          <w:bCs/>
          <w:sz w:val="28"/>
          <w:szCs w:val="28"/>
          <w:rtl/>
        </w:rPr>
        <w:t>וכבר ביארנו</w:t>
      </w:r>
      <w:r w:rsidR="00B41A6C">
        <w:rPr>
          <w:rStyle w:val="FootnoteReference"/>
          <w:b/>
          <w:bCs/>
          <w:sz w:val="28"/>
          <w:szCs w:val="28"/>
          <w:rtl/>
        </w:rPr>
        <w:footnoteReference w:id="347"/>
      </w:r>
      <w:r w:rsidR="1D1BABF6" w:rsidRPr="1D1BABF6">
        <w:rPr>
          <w:b/>
          <w:bCs/>
          <w:sz w:val="28"/>
          <w:szCs w:val="28"/>
          <w:rtl/>
        </w:rPr>
        <w:t xml:space="preserve"> את החילוק בין </w:t>
      </w:r>
      <w:r w:rsidR="4C58E7B4" w:rsidRPr="4C58E7B4">
        <w:rPr>
          <w:b/>
          <w:bCs/>
          <w:sz w:val="28"/>
          <w:szCs w:val="28"/>
          <w:rtl/>
        </w:rPr>
        <w:t xml:space="preserve">שמות משתתפים, </w:t>
      </w:r>
      <w:r w:rsidR="56FBAC49" w:rsidRPr="56FBAC49">
        <w:rPr>
          <w:b/>
          <w:bCs/>
          <w:sz w:val="28"/>
          <w:szCs w:val="28"/>
          <w:rtl/>
        </w:rPr>
        <w:t>מוסכמים</w:t>
      </w:r>
      <w:r w:rsidR="1EBF9BB3" w:rsidRPr="1EBF9BB3">
        <w:rPr>
          <w:b/>
          <w:bCs/>
          <w:sz w:val="28"/>
          <w:szCs w:val="28"/>
          <w:rtl/>
        </w:rPr>
        <w:t>, ואחדים במשמעות</w:t>
      </w:r>
      <w:r w:rsidR="002374B9">
        <w:rPr>
          <w:rStyle w:val="FootnoteReference"/>
          <w:b/>
          <w:bCs/>
          <w:sz w:val="28"/>
          <w:szCs w:val="28"/>
          <w:rtl/>
        </w:rPr>
        <w:footnoteReference w:id="348"/>
      </w:r>
      <w:r w:rsidR="1EBF9BB3" w:rsidRPr="1EBF9BB3">
        <w:rPr>
          <w:b/>
          <w:bCs/>
          <w:sz w:val="28"/>
          <w:szCs w:val="28"/>
        </w:rPr>
        <w:t>.</w:t>
      </w:r>
      <w:r w:rsidR="0063756D">
        <w:rPr>
          <w:rStyle w:val="FootnoteReference"/>
          <w:b/>
          <w:bCs/>
          <w:sz w:val="28"/>
          <w:szCs w:val="28"/>
        </w:rPr>
        <w:footnoteReference w:id="349"/>
      </w:r>
      <w:r w:rsidR="1EBF9BB3" w:rsidRPr="1EBF9BB3">
        <w:rPr>
          <w:b/>
          <w:bCs/>
          <w:sz w:val="28"/>
          <w:szCs w:val="28"/>
        </w:rPr>
        <w:t xml:space="preserve"> </w:t>
      </w:r>
    </w:p>
    <w:p w14:paraId="4D2AA921" w14:textId="7160FB8B" w:rsidR="0078081F" w:rsidRDefault="00E341B2" w:rsidP="003266A1">
      <w:pPr>
        <w:pStyle w:val="Heading4"/>
        <w:rPr>
          <w:rtl/>
        </w:rPr>
      </w:pPr>
      <w:bookmarkStart w:id="188" w:name="_Toc119092639"/>
      <w:r>
        <w:rPr>
          <w:rFonts w:hint="cs"/>
          <w:rtl/>
        </w:rPr>
        <w:t>1.3.10</w:t>
      </w:r>
      <w:bookmarkEnd w:id="188"/>
    </w:p>
    <w:p w14:paraId="150E4BE0" w14:textId="0EA4C501" w:rsidR="008118EE" w:rsidRDefault="00564B28" w:rsidP="00680AE4">
      <w:pPr>
        <w:pStyle w:val="FootnoteText"/>
        <w:rPr>
          <w:b/>
          <w:bCs/>
          <w:sz w:val="28"/>
          <w:szCs w:val="28"/>
          <w:rtl/>
        </w:rPr>
      </w:pPr>
      <w:r w:rsidRPr="000D733C">
        <w:rPr>
          <w:rFonts w:hint="cs"/>
          <w:b/>
          <w:bCs/>
          <w:sz w:val="28"/>
          <w:szCs w:val="28"/>
          <w:rtl/>
        </w:rPr>
        <w:t>כ</w:t>
      </w:r>
      <w:r w:rsidR="00903E9B">
        <w:rPr>
          <w:rFonts w:hint="cs"/>
          <w:b/>
          <w:bCs/>
          <w:sz w:val="28"/>
          <w:szCs w:val="28"/>
          <w:rtl/>
        </w:rPr>
        <w:t>ל</w:t>
      </w:r>
      <w:r w:rsidRPr="000D733C">
        <w:rPr>
          <w:rFonts w:hint="cs"/>
          <w:b/>
          <w:bCs/>
          <w:sz w:val="28"/>
          <w:szCs w:val="28"/>
          <w:rtl/>
        </w:rPr>
        <w:t xml:space="preserve"> מה </w:t>
      </w:r>
      <w:r w:rsidRPr="7E1982B9">
        <w:rPr>
          <w:b/>
          <w:bCs/>
          <w:sz w:val="28"/>
          <w:szCs w:val="28"/>
          <w:rtl/>
        </w:rPr>
        <w:t>שייאמר</w:t>
      </w:r>
      <w:r w:rsidRPr="000D733C">
        <w:rPr>
          <w:rFonts w:hint="cs"/>
          <w:b/>
          <w:bCs/>
          <w:sz w:val="28"/>
          <w:szCs w:val="28"/>
          <w:rtl/>
        </w:rPr>
        <w:t xml:space="preserve"> עליו </w:t>
      </w:r>
      <w:r w:rsidR="00903E9B">
        <w:rPr>
          <w:rFonts w:hint="cs"/>
          <w:b/>
          <w:bCs/>
          <w:sz w:val="28"/>
          <w:szCs w:val="28"/>
          <w:rtl/>
        </w:rPr>
        <w:t>'</w:t>
      </w:r>
      <w:r w:rsidRPr="000D733C">
        <w:rPr>
          <w:rFonts w:hint="cs"/>
          <w:b/>
          <w:bCs/>
          <w:sz w:val="28"/>
          <w:szCs w:val="28"/>
          <w:rtl/>
        </w:rPr>
        <w:t>היולי</w:t>
      </w:r>
      <w:r w:rsidR="00903E9B">
        <w:rPr>
          <w:rFonts w:hint="cs"/>
          <w:b/>
          <w:bCs/>
          <w:sz w:val="28"/>
          <w:szCs w:val="28"/>
          <w:rtl/>
        </w:rPr>
        <w:t>'</w:t>
      </w:r>
      <w:r w:rsidRPr="000D733C">
        <w:rPr>
          <w:rFonts w:hint="cs"/>
          <w:b/>
          <w:bCs/>
          <w:sz w:val="28"/>
          <w:szCs w:val="28"/>
          <w:rtl/>
        </w:rPr>
        <w:t xml:space="preserve">, </w:t>
      </w:r>
      <w:r w:rsidR="00F3056A">
        <w:rPr>
          <w:rFonts w:hint="cs"/>
          <w:b/>
          <w:bCs/>
          <w:sz w:val="28"/>
          <w:szCs w:val="28"/>
          <w:rtl/>
        </w:rPr>
        <w:t xml:space="preserve">טבעו יהיה משותף </w:t>
      </w:r>
      <w:r w:rsidR="00C90558">
        <w:rPr>
          <w:rFonts w:hint="cs"/>
          <w:b/>
          <w:bCs/>
          <w:sz w:val="28"/>
          <w:szCs w:val="28"/>
          <w:rtl/>
        </w:rPr>
        <w:t>בכך ש</w:t>
      </w:r>
      <w:r w:rsidR="00F07140">
        <w:rPr>
          <w:rFonts w:hint="cs"/>
          <w:b/>
          <w:bCs/>
          <w:sz w:val="28"/>
          <w:szCs w:val="28"/>
          <w:rtl/>
        </w:rPr>
        <w:t xml:space="preserve">יהיה בו עניין </w:t>
      </w:r>
      <w:r w:rsidR="00BB1FB5">
        <w:rPr>
          <w:rFonts w:hint="cs"/>
          <w:b/>
          <w:bCs/>
          <w:sz w:val="28"/>
          <w:szCs w:val="28"/>
          <w:rtl/>
        </w:rPr>
        <w:t>בפני עצמו</w:t>
      </w:r>
      <w:r w:rsidR="00BC300B">
        <w:rPr>
          <w:rFonts w:hint="cs"/>
          <w:b/>
          <w:bCs/>
          <w:sz w:val="28"/>
          <w:szCs w:val="28"/>
          <w:rtl/>
        </w:rPr>
        <w:t xml:space="preserve"> </w:t>
      </w:r>
      <w:r w:rsidR="007E6011">
        <w:rPr>
          <w:rFonts w:hint="cs"/>
          <w:b/>
          <w:bCs/>
          <w:sz w:val="28"/>
          <w:szCs w:val="28"/>
          <w:rtl/>
        </w:rPr>
        <w:t>ש</w:t>
      </w:r>
      <w:r w:rsidR="00BB1FB5">
        <w:rPr>
          <w:rFonts w:hint="cs"/>
          <w:b/>
          <w:bCs/>
          <w:sz w:val="28"/>
          <w:szCs w:val="28"/>
          <w:rtl/>
        </w:rPr>
        <w:t>י</w:t>
      </w:r>
      <w:r w:rsidR="001D3E53">
        <w:rPr>
          <w:rFonts w:hint="cs"/>
          <w:b/>
          <w:bCs/>
          <w:sz w:val="28"/>
          <w:szCs w:val="28"/>
          <w:rtl/>
        </w:rPr>
        <w:t>תהווה בו עניין אחר</w:t>
      </w:r>
      <w:r w:rsidR="00CF54EA">
        <w:rPr>
          <w:rFonts w:hint="cs"/>
          <w:b/>
          <w:bCs/>
          <w:sz w:val="28"/>
          <w:szCs w:val="28"/>
          <w:rtl/>
        </w:rPr>
        <w:t xml:space="preserve"> </w:t>
      </w:r>
      <w:r w:rsidR="009C463A">
        <w:rPr>
          <w:rFonts w:hint="cs"/>
          <w:b/>
          <w:bCs/>
          <w:sz w:val="28"/>
          <w:szCs w:val="28"/>
          <w:rtl/>
        </w:rPr>
        <w:t>מסוים</w:t>
      </w:r>
      <w:r w:rsidR="00A4471F">
        <w:rPr>
          <w:rFonts w:hint="cs"/>
          <w:b/>
          <w:bCs/>
          <w:sz w:val="28"/>
          <w:szCs w:val="28"/>
          <w:rtl/>
        </w:rPr>
        <w:t xml:space="preserve"> </w:t>
      </w:r>
      <w:r w:rsidR="005C4758">
        <w:rPr>
          <w:rFonts w:hint="cs"/>
          <w:b/>
          <w:bCs/>
          <w:sz w:val="28"/>
          <w:szCs w:val="28"/>
          <w:rtl/>
        </w:rPr>
        <w:t xml:space="preserve">אחרי שלא היה, </w:t>
      </w:r>
      <w:r w:rsidR="002974A6">
        <w:rPr>
          <w:rFonts w:hint="cs"/>
          <w:b/>
          <w:bCs/>
          <w:sz w:val="28"/>
          <w:szCs w:val="28"/>
          <w:rtl/>
        </w:rPr>
        <w:t>והוא</w:t>
      </w:r>
      <w:r w:rsidR="00C42BC5">
        <w:rPr>
          <w:rStyle w:val="FootnoteReference"/>
          <w:b/>
          <w:bCs/>
          <w:sz w:val="28"/>
          <w:szCs w:val="28"/>
          <w:rtl/>
        </w:rPr>
        <w:footnoteReference w:id="350"/>
      </w:r>
      <w:r w:rsidR="002974A6">
        <w:rPr>
          <w:rFonts w:hint="cs"/>
          <w:b/>
          <w:bCs/>
          <w:sz w:val="28"/>
          <w:szCs w:val="28"/>
          <w:rtl/>
        </w:rPr>
        <w:t xml:space="preserve"> </w:t>
      </w:r>
      <w:r w:rsidR="001B0989">
        <w:rPr>
          <w:rFonts w:hint="cs"/>
          <w:b/>
          <w:bCs/>
          <w:sz w:val="28"/>
          <w:szCs w:val="28"/>
          <w:rtl/>
        </w:rPr>
        <w:t>זה שי</w:t>
      </w:r>
      <w:r w:rsidR="008C0D27">
        <w:rPr>
          <w:rFonts w:hint="cs"/>
          <w:b/>
          <w:bCs/>
          <w:sz w:val="28"/>
          <w:szCs w:val="28"/>
          <w:rtl/>
        </w:rPr>
        <w:t>תהוו</w:t>
      </w:r>
      <w:r w:rsidR="001B0989">
        <w:rPr>
          <w:rFonts w:hint="cs"/>
          <w:b/>
          <w:bCs/>
          <w:sz w:val="28"/>
          <w:szCs w:val="28"/>
          <w:rtl/>
        </w:rPr>
        <w:t>ה ממנו הדבר</w:t>
      </w:r>
      <w:r w:rsidR="00705024">
        <w:rPr>
          <w:rFonts w:hint="cs"/>
          <w:b/>
          <w:bCs/>
          <w:sz w:val="28"/>
          <w:szCs w:val="28"/>
          <w:rtl/>
        </w:rPr>
        <w:t>, והוא בו לא במקרה</w:t>
      </w:r>
      <w:r w:rsidR="00955329">
        <w:rPr>
          <w:rStyle w:val="FootnoteReference"/>
          <w:b/>
          <w:bCs/>
          <w:sz w:val="28"/>
          <w:szCs w:val="28"/>
          <w:rtl/>
        </w:rPr>
        <w:footnoteReference w:id="351"/>
      </w:r>
      <w:r w:rsidR="00705024">
        <w:rPr>
          <w:rFonts w:hint="cs"/>
          <w:b/>
          <w:bCs/>
          <w:sz w:val="28"/>
          <w:szCs w:val="28"/>
          <w:rtl/>
        </w:rPr>
        <w:t>.</w:t>
      </w:r>
      <w:r w:rsidR="00705024" w:rsidRPr="3BA1E950">
        <w:rPr>
          <w:b/>
          <w:bCs/>
          <w:sz w:val="28"/>
          <w:szCs w:val="28"/>
        </w:rPr>
        <w:t xml:space="preserve"> </w:t>
      </w:r>
      <w:r w:rsidR="003606F3" w:rsidRPr="3F3E95A8">
        <w:rPr>
          <w:b/>
          <w:bCs/>
          <w:sz w:val="28"/>
          <w:szCs w:val="28"/>
          <w:rtl/>
        </w:rPr>
        <w:t>אפשר שיהיה פשוט</w:t>
      </w:r>
      <w:r w:rsidR="00B84043">
        <w:rPr>
          <w:rStyle w:val="FootnoteReference"/>
          <w:b/>
          <w:bCs/>
          <w:sz w:val="28"/>
          <w:szCs w:val="28"/>
          <w:rtl/>
        </w:rPr>
        <w:footnoteReference w:id="352"/>
      </w:r>
      <w:r w:rsidR="003606F3" w:rsidRPr="3F3E95A8">
        <w:rPr>
          <w:b/>
          <w:bCs/>
          <w:sz w:val="28"/>
          <w:szCs w:val="28"/>
          <w:rtl/>
        </w:rPr>
        <w:t xml:space="preserve">, </w:t>
      </w:r>
      <w:r w:rsidR="005F2421" w:rsidRPr="3F3E95A8">
        <w:rPr>
          <w:b/>
          <w:bCs/>
          <w:sz w:val="28"/>
          <w:szCs w:val="28"/>
          <w:rtl/>
        </w:rPr>
        <w:t>ואפשר שיהיה מורכב אחרי ה</w:t>
      </w:r>
      <w:r w:rsidR="00606611" w:rsidRPr="3F3E95A8">
        <w:rPr>
          <w:b/>
          <w:bCs/>
          <w:sz w:val="28"/>
          <w:szCs w:val="28"/>
          <w:rtl/>
        </w:rPr>
        <w:t>פשטות</w:t>
      </w:r>
      <w:r w:rsidR="00EE745D">
        <w:rPr>
          <w:rStyle w:val="FootnoteReference"/>
          <w:b/>
          <w:bCs/>
          <w:sz w:val="28"/>
          <w:szCs w:val="28"/>
          <w:rtl/>
        </w:rPr>
        <w:footnoteReference w:id="353"/>
      </w:r>
      <w:r w:rsidR="00D61473" w:rsidRPr="3F3E95A8">
        <w:rPr>
          <w:b/>
          <w:bCs/>
          <w:sz w:val="28"/>
          <w:szCs w:val="28"/>
          <w:rtl/>
        </w:rPr>
        <w:t>, כמו עץ המיטה</w:t>
      </w:r>
      <w:r w:rsidR="00D61473" w:rsidRPr="3F3E95A8">
        <w:rPr>
          <w:b/>
          <w:bCs/>
          <w:sz w:val="28"/>
          <w:szCs w:val="28"/>
        </w:rPr>
        <w:t>.</w:t>
      </w:r>
      <w:r w:rsidR="000C1AAF">
        <w:rPr>
          <w:rStyle w:val="FootnoteReference"/>
          <w:b/>
          <w:bCs/>
          <w:sz w:val="28"/>
          <w:szCs w:val="28"/>
        </w:rPr>
        <w:footnoteReference w:id="354"/>
      </w:r>
      <w:r w:rsidR="0023749E">
        <w:rPr>
          <w:rFonts w:hint="cs"/>
          <w:b/>
          <w:bCs/>
          <w:sz w:val="28"/>
          <w:szCs w:val="28"/>
          <w:rtl/>
        </w:rPr>
        <w:t xml:space="preserve"> </w:t>
      </w:r>
      <w:r w:rsidR="00444F1A">
        <w:rPr>
          <w:rFonts w:hint="cs"/>
          <w:b/>
          <w:bCs/>
          <w:sz w:val="28"/>
          <w:szCs w:val="28"/>
          <w:rtl/>
        </w:rPr>
        <w:t>ואפשר ש</w:t>
      </w:r>
      <w:r w:rsidR="00EF2A86">
        <w:rPr>
          <w:rFonts w:hint="cs"/>
          <w:b/>
          <w:bCs/>
          <w:sz w:val="28"/>
          <w:szCs w:val="28"/>
          <w:rtl/>
        </w:rPr>
        <w:t xml:space="preserve">תהיה </w:t>
      </w:r>
      <w:r w:rsidR="00007E00">
        <w:rPr>
          <w:rFonts w:hint="cs"/>
          <w:b/>
          <w:bCs/>
          <w:sz w:val="28"/>
          <w:szCs w:val="28"/>
          <w:rtl/>
        </w:rPr>
        <w:t>לו צורה עצמית, או שתהיה מקרית</w:t>
      </w:r>
      <w:r w:rsidR="0023749E">
        <w:rPr>
          <w:rStyle w:val="FootnoteReference"/>
          <w:b/>
          <w:bCs/>
          <w:sz w:val="28"/>
          <w:szCs w:val="28"/>
          <w:rtl/>
        </w:rPr>
        <w:footnoteReference w:id="355"/>
      </w:r>
      <w:r w:rsidR="00007E00">
        <w:rPr>
          <w:rFonts w:hint="cs"/>
          <w:b/>
          <w:bCs/>
          <w:sz w:val="28"/>
          <w:szCs w:val="28"/>
          <w:rtl/>
        </w:rPr>
        <w:t>.</w:t>
      </w:r>
    </w:p>
    <w:p w14:paraId="6DB41C3C" w14:textId="1103FE21" w:rsidR="0007234D" w:rsidRDefault="0D9AA506" w:rsidP="00F02C13">
      <w:pPr>
        <w:pStyle w:val="FootnoteText"/>
        <w:rPr>
          <w:b/>
          <w:bCs/>
          <w:sz w:val="28"/>
          <w:szCs w:val="28"/>
          <w:rtl/>
        </w:rPr>
      </w:pPr>
      <w:r w:rsidRPr="0D9AA506">
        <w:rPr>
          <w:b/>
          <w:bCs/>
          <w:sz w:val="28"/>
          <w:szCs w:val="28"/>
          <w:rtl/>
        </w:rPr>
        <w:t>וכל מה שייאמר ע</w:t>
      </w:r>
      <w:r w:rsidR="00F02C13">
        <w:rPr>
          <w:rFonts w:hint="cs"/>
          <w:b/>
          <w:bCs/>
          <w:sz w:val="28"/>
          <w:szCs w:val="28"/>
          <w:rtl/>
        </w:rPr>
        <w:t xml:space="preserve">ליו </w:t>
      </w:r>
      <w:r w:rsidR="005B382F">
        <w:rPr>
          <w:rFonts w:hint="cs"/>
          <w:b/>
          <w:bCs/>
          <w:sz w:val="28"/>
          <w:szCs w:val="28"/>
          <w:rtl/>
        </w:rPr>
        <w:t>'</w:t>
      </w:r>
      <w:r w:rsidR="00F02C13">
        <w:rPr>
          <w:rFonts w:hint="cs"/>
          <w:b/>
          <w:bCs/>
          <w:sz w:val="28"/>
          <w:szCs w:val="28"/>
          <w:rtl/>
        </w:rPr>
        <w:t>צור</w:t>
      </w:r>
      <w:r w:rsidR="00C411B8">
        <w:rPr>
          <w:rFonts w:hint="cs"/>
          <w:b/>
          <w:bCs/>
          <w:sz w:val="28"/>
          <w:szCs w:val="28"/>
          <w:rtl/>
        </w:rPr>
        <w:t>ה</w:t>
      </w:r>
      <w:r w:rsidR="005B382F">
        <w:rPr>
          <w:rFonts w:hint="cs"/>
          <w:b/>
          <w:bCs/>
          <w:sz w:val="28"/>
          <w:szCs w:val="28"/>
          <w:rtl/>
        </w:rPr>
        <w:t>'</w:t>
      </w:r>
      <w:r w:rsidR="00797CBE">
        <w:rPr>
          <w:rFonts w:hint="cs"/>
          <w:b/>
          <w:bCs/>
          <w:sz w:val="28"/>
          <w:szCs w:val="28"/>
          <w:rtl/>
        </w:rPr>
        <w:t xml:space="preserve"> הוא </w:t>
      </w:r>
      <w:r w:rsidR="00752D74">
        <w:rPr>
          <w:rFonts w:hint="cs"/>
          <w:b/>
          <w:bCs/>
          <w:sz w:val="28"/>
          <w:szCs w:val="28"/>
          <w:rtl/>
        </w:rPr>
        <w:t>סדר</w:t>
      </w:r>
      <w:r w:rsidR="00E625C4">
        <w:rPr>
          <w:rStyle w:val="FootnoteReference"/>
          <w:b/>
          <w:bCs/>
          <w:sz w:val="28"/>
          <w:szCs w:val="28"/>
          <w:rtl/>
        </w:rPr>
        <w:footnoteReference w:id="356"/>
      </w:r>
      <w:r w:rsidR="00752D74">
        <w:rPr>
          <w:rFonts w:hint="cs"/>
          <w:b/>
          <w:bCs/>
          <w:sz w:val="28"/>
          <w:szCs w:val="28"/>
          <w:rtl/>
        </w:rPr>
        <w:t xml:space="preserve"> ש</w:t>
      </w:r>
      <w:r w:rsidR="004203B9">
        <w:rPr>
          <w:rFonts w:hint="cs"/>
          <w:b/>
          <w:bCs/>
          <w:sz w:val="28"/>
          <w:szCs w:val="28"/>
          <w:rtl/>
        </w:rPr>
        <w:t>נעשה</w:t>
      </w:r>
      <w:r w:rsidR="00B33C33">
        <w:rPr>
          <w:rStyle w:val="FootnoteReference"/>
          <w:b/>
          <w:bCs/>
          <w:sz w:val="28"/>
          <w:szCs w:val="28"/>
          <w:rtl/>
        </w:rPr>
        <w:footnoteReference w:id="357"/>
      </w:r>
      <w:r w:rsidR="00F35F49">
        <w:rPr>
          <w:rFonts w:hint="cs"/>
          <w:b/>
          <w:bCs/>
          <w:sz w:val="28"/>
          <w:szCs w:val="28"/>
          <w:rtl/>
        </w:rPr>
        <w:t xml:space="preserve"> </w:t>
      </w:r>
      <w:r w:rsidR="004203B9">
        <w:rPr>
          <w:rFonts w:hint="cs"/>
          <w:b/>
          <w:bCs/>
          <w:sz w:val="28"/>
          <w:szCs w:val="28"/>
          <w:rtl/>
        </w:rPr>
        <w:t>ב</w:t>
      </w:r>
      <w:r w:rsidR="00A34C55">
        <w:rPr>
          <w:rFonts w:hint="cs"/>
          <w:b/>
          <w:bCs/>
          <w:sz w:val="28"/>
          <w:szCs w:val="28"/>
          <w:rtl/>
        </w:rPr>
        <w:t>עניין הנזכר</w:t>
      </w:r>
      <w:r w:rsidR="008C052D">
        <w:rPr>
          <w:rStyle w:val="FootnoteReference"/>
          <w:b/>
          <w:bCs/>
          <w:sz w:val="28"/>
          <w:szCs w:val="28"/>
          <w:rtl/>
        </w:rPr>
        <w:footnoteReference w:id="358"/>
      </w:r>
      <w:r w:rsidR="002A7B2F">
        <w:rPr>
          <w:rFonts w:hint="cs"/>
          <w:b/>
          <w:bCs/>
          <w:sz w:val="28"/>
          <w:szCs w:val="28"/>
          <w:rtl/>
        </w:rPr>
        <w:t xml:space="preserve"> או הדומה לו</w:t>
      </w:r>
      <w:r w:rsidR="00A90F54">
        <w:rPr>
          <w:rStyle w:val="FootnoteReference"/>
          <w:b/>
          <w:bCs/>
          <w:sz w:val="28"/>
          <w:szCs w:val="28"/>
          <w:rtl/>
        </w:rPr>
        <w:footnoteReference w:id="359"/>
      </w:r>
      <w:r w:rsidR="00D14190">
        <w:rPr>
          <w:rFonts w:hint="cs"/>
          <w:b/>
          <w:bCs/>
          <w:sz w:val="28"/>
          <w:szCs w:val="28"/>
          <w:rtl/>
        </w:rPr>
        <w:t>,</w:t>
      </w:r>
      <w:r w:rsidR="00936A78">
        <w:rPr>
          <w:rFonts w:hint="cs"/>
          <w:b/>
          <w:bCs/>
          <w:sz w:val="28"/>
          <w:szCs w:val="28"/>
          <w:rtl/>
        </w:rPr>
        <w:t xml:space="preserve"> </w:t>
      </w:r>
      <w:r w:rsidR="00066491">
        <w:rPr>
          <w:rFonts w:hint="cs"/>
          <w:b/>
          <w:bCs/>
          <w:sz w:val="28"/>
          <w:szCs w:val="28"/>
          <w:rtl/>
        </w:rPr>
        <w:t>שיהיה מהם עניין</w:t>
      </w:r>
      <w:r w:rsidR="00B97B58">
        <w:rPr>
          <w:rStyle w:val="FootnoteReference"/>
          <w:b/>
          <w:bCs/>
          <w:sz w:val="28"/>
          <w:szCs w:val="28"/>
          <w:rtl/>
        </w:rPr>
        <w:footnoteReference w:id="360"/>
      </w:r>
      <w:r w:rsidR="00066491">
        <w:rPr>
          <w:rFonts w:hint="cs"/>
          <w:b/>
          <w:bCs/>
          <w:sz w:val="28"/>
          <w:szCs w:val="28"/>
          <w:rtl/>
        </w:rPr>
        <w:t xml:space="preserve"> </w:t>
      </w:r>
      <w:r w:rsidR="00C25B4A">
        <w:rPr>
          <w:rFonts w:hint="cs"/>
          <w:b/>
          <w:bCs/>
          <w:sz w:val="28"/>
          <w:szCs w:val="28"/>
          <w:rtl/>
        </w:rPr>
        <w:t>מהעניינים בדרך</w:t>
      </w:r>
      <w:r w:rsidR="00C35CA5">
        <w:rPr>
          <w:rFonts w:hint="cs"/>
          <w:b/>
          <w:bCs/>
          <w:sz w:val="28"/>
          <w:szCs w:val="28"/>
          <w:rtl/>
        </w:rPr>
        <w:t xml:space="preserve"> זו</w:t>
      </w:r>
      <w:r w:rsidR="00C25B4A">
        <w:rPr>
          <w:rFonts w:hint="cs"/>
          <w:b/>
          <w:bCs/>
          <w:sz w:val="28"/>
          <w:szCs w:val="28"/>
          <w:rtl/>
        </w:rPr>
        <w:t xml:space="preserve"> </w:t>
      </w:r>
      <w:r w:rsidR="00C35CA5">
        <w:rPr>
          <w:rFonts w:hint="cs"/>
          <w:b/>
          <w:bCs/>
          <w:sz w:val="28"/>
          <w:szCs w:val="28"/>
          <w:rtl/>
        </w:rPr>
        <w:t>מההרכבה</w:t>
      </w:r>
      <w:r w:rsidR="00163B2A">
        <w:rPr>
          <w:rStyle w:val="FootnoteReference"/>
          <w:b/>
          <w:bCs/>
          <w:sz w:val="28"/>
          <w:szCs w:val="28"/>
          <w:rtl/>
        </w:rPr>
        <w:footnoteReference w:id="361"/>
      </w:r>
      <w:r w:rsidR="00B97B58">
        <w:rPr>
          <w:rFonts w:hint="cs"/>
          <w:b/>
          <w:bCs/>
          <w:sz w:val="28"/>
          <w:szCs w:val="28"/>
          <w:rtl/>
        </w:rPr>
        <w:t>.</w:t>
      </w:r>
      <w:r w:rsidR="00AB7780">
        <w:rPr>
          <w:rFonts w:hint="cs"/>
          <w:b/>
          <w:bCs/>
          <w:sz w:val="28"/>
          <w:szCs w:val="28"/>
          <w:rtl/>
        </w:rPr>
        <w:t xml:space="preserve"> </w:t>
      </w:r>
    </w:p>
    <w:p w14:paraId="2FDA7917" w14:textId="77777777" w:rsidR="0012286C" w:rsidRDefault="00911EE9" w:rsidP="00F02C13">
      <w:pPr>
        <w:pStyle w:val="FootnoteText"/>
        <w:rPr>
          <w:b/>
          <w:bCs/>
          <w:sz w:val="28"/>
          <w:szCs w:val="28"/>
          <w:rtl/>
        </w:rPr>
      </w:pPr>
      <w:r w:rsidRPr="009812D9">
        <w:rPr>
          <w:rFonts w:hint="cs"/>
          <w:b/>
          <w:bCs/>
          <w:sz w:val="28"/>
          <w:szCs w:val="28"/>
          <w:rtl/>
        </w:rPr>
        <w:t xml:space="preserve">וכל מה שייאמר עליו </w:t>
      </w:r>
      <w:r w:rsidR="00F74559" w:rsidRPr="009812D9">
        <w:rPr>
          <w:rFonts w:hint="cs"/>
          <w:b/>
          <w:bCs/>
          <w:sz w:val="28"/>
          <w:szCs w:val="28"/>
          <w:rtl/>
        </w:rPr>
        <w:t>'</w:t>
      </w:r>
      <w:r w:rsidRPr="009812D9">
        <w:rPr>
          <w:rFonts w:hint="cs"/>
          <w:b/>
          <w:bCs/>
          <w:sz w:val="28"/>
          <w:szCs w:val="28"/>
          <w:rtl/>
        </w:rPr>
        <w:t>העדר</w:t>
      </w:r>
      <w:r w:rsidR="00F74559" w:rsidRPr="009812D9">
        <w:rPr>
          <w:rFonts w:hint="cs"/>
          <w:b/>
          <w:bCs/>
          <w:sz w:val="28"/>
          <w:szCs w:val="28"/>
          <w:rtl/>
        </w:rPr>
        <w:t xml:space="preserve">' </w:t>
      </w:r>
      <w:r w:rsidR="001E1A1B" w:rsidRPr="009812D9">
        <w:rPr>
          <w:rFonts w:hint="cs"/>
          <w:b/>
          <w:bCs/>
          <w:sz w:val="28"/>
          <w:szCs w:val="28"/>
          <w:rtl/>
        </w:rPr>
        <w:t xml:space="preserve">לא יימצא </w:t>
      </w:r>
      <w:r w:rsidR="00D56F8B" w:rsidRPr="009812D9">
        <w:rPr>
          <w:rFonts w:hint="cs"/>
          <w:b/>
          <w:bCs/>
          <w:sz w:val="28"/>
          <w:szCs w:val="28"/>
          <w:rtl/>
        </w:rPr>
        <w:t>בדומה</w:t>
      </w:r>
      <w:r w:rsidR="001E1A1B" w:rsidRPr="009812D9">
        <w:rPr>
          <w:rFonts w:hint="cs"/>
          <w:b/>
          <w:bCs/>
          <w:sz w:val="28"/>
          <w:szCs w:val="28"/>
          <w:rtl/>
        </w:rPr>
        <w:t xml:space="preserve"> </w:t>
      </w:r>
      <w:r w:rsidR="00D56F8B" w:rsidRPr="009812D9">
        <w:rPr>
          <w:rFonts w:hint="cs"/>
          <w:b/>
          <w:bCs/>
          <w:sz w:val="28"/>
          <w:szCs w:val="28"/>
          <w:rtl/>
        </w:rPr>
        <w:t>ל</w:t>
      </w:r>
      <w:r w:rsidR="001E1A1B" w:rsidRPr="009812D9">
        <w:rPr>
          <w:rFonts w:hint="cs"/>
          <w:b/>
          <w:bCs/>
          <w:sz w:val="28"/>
          <w:szCs w:val="28"/>
          <w:rtl/>
        </w:rPr>
        <w:t>דבר ה</w:t>
      </w:r>
      <w:r w:rsidR="00377623" w:rsidRPr="009812D9">
        <w:rPr>
          <w:rFonts w:hint="cs"/>
          <w:b/>
          <w:bCs/>
          <w:sz w:val="28"/>
          <w:szCs w:val="28"/>
          <w:rtl/>
        </w:rPr>
        <w:t>ז</w:t>
      </w:r>
      <w:r w:rsidR="001E1A1B" w:rsidRPr="009812D9">
        <w:rPr>
          <w:rFonts w:hint="cs"/>
          <w:b/>
          <w:bCs/>
          <w:sz w:val="28"/>
          <w:szCs w:val="28"/>
          <w:rtl/>
        </w:rPr>
        <w:t>ה</w:t>
      </w:r>
      <w:r w:rsidR="00DD1438" w:rsidRPr="009812D9">
        <w:rPr>
          <w:rFonts w:hint="cs"/>
          <w:b/>
          <w:bCs/>
          <w:sz w:val="28"/>
          <w:szCs w:val="28"/>
          <w:rtl/>
        </w:rPr>
        <w:t xml:space="preserve"> ש</w:t>
      </w:r>
      <w:r w:rsidR="00E23A3F" w:rsidRPr="009812D9">
        <w:rPr>
          <w:rFonts w:hint="cs"/>
          <w:b/>
          <w:bCs/>
          <w:sz w:val="28"/>
          <w:szCs w:val="28"/>
          <w:rtl/>
        </w:rPr>
        <w:t>כינינו אותו</w:t>
      </w:r>
      <w:r w:rsidR="00DD1438" w:rsidRPr="009812D9">
        <w:rPr>
          <w:rFonts w:hint="cs"/>
          <w:b/>
          <w:bCs/>
          <w:sz w:val="28"/>
          <w:szCs w:val="28"/>
          <w:rtl/>
        </w:rPr>
        <w:t xml:space="preserve"> </w:t>
      </w:r>
      <w:r w:rsidR="00E23A3F" w:rsidRPr="009812D9">
        <w:rPr>
          <w:rFonts w:hint="cs"/>
          <w:b/>
          <w:bCs/>
          <w:sz w:val="28"/>
          <w:szCs w:val="28"/>
          <w:rtl/>
        </w:rPr>
        <w:t>'</w:t>
      </w:r>
      <w:r w:rsidR="00DD1438" w:rsidRPr="009812D9">
        <w:rPr>
          <w:rFonts w:hint="cs"/>
          <w:b/>
          <w:bCs/>
          <w:sz w:val="28"/>
          <w:szCs w:val="28"/>
          <w:rtl/>
        </w:rPr>
        <w:t>צורה</w:t>
      </w:r>
      <w:r w:rsidR="00E23A3F" w:rsidRPr="009812D9">
        <w:rPr>
          <w:rFonts w:hint="cs"/>
          <w:b/>
          <w:bCs/>
          <w:sz w:val="28"/>
          <w:szCs w:val="28"/>
          <w:rtl/>
        </w:rPr>
        <w:t>'</w:t>
      </w:r>
      <w:r w:rsidR="00DD1438" w:rsidRPr="009812D9">
        <w:rPr>
          <w:rFonts w:hint="cs"/>
          <w:b/>
          <w:bCs/>
          <w:sz w:val="28"/>
          <w:szCs w:val="28"/>
          <w:rtl/>
        </w:rPr>
        <w:t>,</w:t>
      </w:r>
      <w:r w:rsidR="0067786E" w:rsidRPr="009812D9">
        <w:rPr>
          <w:rFonts w:hint="cs"/>
          <w:b/>
          <w:bCs/>
          <w:sz w:val="28"/>
          <w:szCs w:val="28"/>
          <w:rtl/>
        </w:rPr>
        <w:t xml:space="preserve"> </w:t>
      </w:r>
      <w:r w:rsidR="008647C2" w:rsidRPr="009812D9">
        <w:rPr>
          <w:rFonts w:hint="cs"/>
          <w:b/>
          <w:bCs/>
          <w:sz w:val="28"/>
          <w:szCs w:val="28"/>
          <w:rtl/>
        </w:rPr>
        <w:t xml:space="preserve">באשר </w:t>
      </w:r>
      <w:r w:rsidR="006E238C" w:rsidRPr="009812D9">
        <w:rPr>
          <w:rFonts w:hint="cs"/>
          <w:b/>
          <w:bCs/>
          <w:sz w:val="28"/>
          <w:szCs w:val="28"/>
          <w:rtl/>
        </w:rPr>
        <w:t>ה</w:t>
      </w:r>
      <w:r w:rsidR="008647C2" w:rsidRPr="009812D9">
        <w:rPr>
          <w:rFonts w:hint="cs"/>
          <w:b/>
          <w:bCs/>
          <w:sz w:val="28"/>
          <w:szCs w:val="28"/>
          <w:rtl/>
        </w:rPr>
        <w:t>י</w:t>
      </w:r>
      <w:r w:rsidR="006E238C" w:rsidRPr="009812D9">
        <w:rPr>
          <w:rFonts w:hint="cs"/>
          <w:b/>
          <w:bCs/>
          <w:sz w:val="28"/>
          <w:szCs w:val="28"/>
          <w:rtl/>
        </w:rPr>
        <w:t>א קיימת מצד עצמה</w:t>
      </w:r>
      <w:r w:rsidR="00BB222A">
        <w:rPr>
          <w:rStyle w:val="FootnoteReference"/>
          <w:b/>
          <w:bCs/>
          <w:sz w:val="28"/>
          <w:szCs w:val="28"/>
          <w:rtl/>
        </w:rPr>
        <w:footnoteReference w:id="362"/>
      </w:r>
      <w:r w:rsidR="006E238C" w:rsidRPr="009812D9">
        <w:rPr>
          <w:rFonts w:hint="cs"/>
          <w:b/>
          <w:bCs/>
          <w:sz w:val="28"/>
          <w:szCs w:val="28"/>
          <w:rtl/>
        </w:rPr>
        <w:t>.</w:t>
      </w:r>
    </w:p>
    <w:p w14:paraId="0781576E" w14:textId="77777777" w:rsidR="0012286C" w:rsidRPr="00884D7A" w:rsidRDefault="0012286C" w:rsidP="003266A1">
      <w:pPr>
        <w:pStyle w:val="Heading4"/>
        <w:rPr>
          <w:rtl/>
        </w:rPr>
      </w:pPr>
      <w:bookmarkStart w:id="189" w:name="_Toc119092640"/>
      <w:r w:rsidRPr="00884D7A">
        <w:rPr>
          <w:rFonts w:hint="cs"/>
          <w:rtl/>
        </w:rPr>
        <w:t>1.3.11</w:t>
      </w:r>
      <w:bookmarkEnd w:id="189"/>
    </w:p>
    <w:p w14:paraId="65ABD140" w14:textId="70CD13F5" w:rsidR="00911EE9" w:rsidRDefault="00ED5152" w:rsidP="00F02C13">
      <w:pPr>
        <w:pStyle w:val="FootnoteText"/>
        <w:rPr>
          <w:b/>
          <w:bCs/>
          <w:sz w:val="28"/>
          <w:szCs w:val="28"/>
          <w:rtl/>
        </w:rPr>
      </w:pPr>
      <w:r>
        <w:rPr>
          <w:rFonts w:hint="cs"/>
          <w:b/>
          <w:bCs/>
          <w:sz w:val="28"/>
          <w:szCs w:val="28"/>
          <w:rtl/>
        </w:rPr>
        <w:t>וכל מה שהס</w:t>
      </w:r>
      <w:r w:rsidR="00567900">
        <w:rPr>
          <w:rFonts w:hint="cs"/>
          <w:b/>
          <w:bCs/>
          <w:sz w:val="28"/>
          <w:szCs w:val="28"/>
          <w:rtl/>
        </w:rPr>
        <w:t>תכלנו כאן</w:t>
      </w:r>
      <w:r w:rsidR="009E671A">
        <w:rPr>
          <w:rFonts w:hint="cs"/>
          <w:b/>
          <w:bCs/>
          <w:sz w:val="28"/>
          <w:szCs w:val="28"/>
          <w:rtl/>
        </w:rPr>
        <w:t xml:space="preserve"> ב'צורה'</w:t>
      </w:r>
      <w:r w:rsidR="003F1C6F">
        <w:rPr>
          <w:rFonts w:hint="cs"/>
          <w:b/>
          <w:bCs/>
          <w:sz w:val="28"/>
          <w:szCs w:val="28"/>
          <w:rtl/>
        </w:rPr>
        <w:t xml:space="preserve"> </w:t>
      </w:r>
      <w:r w:rsidR="00EF399B">
        <w:rPr>
          <w:rFonts w:hint="cs"/>
          <w:b/>
          <w:bCs/>
          <w:sz w:val="28"/>
          <w:szCs w:val="28"/>
          <w:rtl/>
        </w:rPr>
        <w:t>ו</w:t>
      </w:r>
      <w:r w:rsidR="00216F50">
        <w:rPr>
          <w:rFonts w:hint="cs"/>
          <w:b/>
          <w:bCs/>
          <w:sz w:val="28"/>
          <w:szCs w:val="28"/>
          <w:rtl/>
        </w:rPr>
        <w:t xml:space="preserve">מבחינת היותה התחלה, </w:t>
      </w:r>
      <w:r w:rsidR="009E3360">
        <w:rPr>
          <w:rFonts w:hint="cs"/>
          <w:b/>
          <w:bCs/>
          <w:sz w:val="28"/>
          <w:szCs w:val="28"/>
          <w:rtl/>
        </w:rPr>
        <w:t>מוגבל</w:t>
      </w:r>
      <w:r w:rsidR="00CA03E3">
        <w:rPr>
          <w:rStyle w:val="FootnoteReference"/>
          <w:b/>
          <w:bCs/>
          <w:sz w:val="28"/>
          <w:szCs w:val="28"/>
          <w:rtl/>
        </w:rPr>
        <w:footnoteReference w:id="363"/>
      </w:r>
      <w:r w:rsidR="009E3360">
        <w:rPr>
          <w:rFonts w:hint="cs"/>
          <w:b/>
          <w:bCs/>
          <w:sz w:val="28"/>
          <w:szCs w:val="28"/>
          <w:rtl/>
        </w:rPr>
        <w:t xml:space="preserve"> רק להיותה התחלה</w:t>
      </w:r>
      <w:r w:rsidR="006467A7">
        <w:rPr>
          <w:rFonts w:hint="cs"/>
          <w:b/>
          <w:bCs/>
          <w:sz w:val="28"/>
          <w:szCs w:val="28"/>
          <w:rtl/>
        </w:rPr>
        <w:t xml:space="preserve"> </w:t>
      </w:r>
      <w:r w:rsidR="00CC4688">
        <w:rPr>
          <w:rFonts w:hint="cs"/>
          <w:b/>
          <w:bCs/>
          <w:sz w:val="28"/>
          <w:szCs w:val="28"/>
          <w:rtl/>
        </w:rPr>
        <w:t xml:space="preserve">במה </w:t>
      </w:r>
      <w:r w:rsidR="00693159">
        <w:rPr>
          <w:rFonts w:hint="cs"/>
          <w:b/>
          <w:bCs/>
          <w:sz w:val="28"/>
          <w:szCs w:val="28"/>
          <w:rtl/>
        </w:rPr>
        <w:t xml:space="preserve">שהיא </w:t>
      </w:r>
      <w:r w:rsidR="003C50BC">
        <w:rPr>
          <w:rFonts w:hint="cs"/>
          <w:b/>
          <w:bCs/>
          <w:sz w:val="28"/>
          <w:szCs w:val="28"/>
          <w:rtl/>
        </w:rPr>
        <w:t>אחד מחלקי הה</w:t>
      </w:r>
      <w:r w:rsidR="00CA0554">
        <w:rPr>
          <w:rFonts w:hint="cs"/>
          <w:b/>
          <w:bCs/>
          <w:sz w:val="28"/>
          <w:szCs w:val="28"/>
          <w:rtl/>
        </w:rPr>
        <w:t>תהוות</w:t>
      </w:r>
      <w:r w:rsidR="003C50BC">
        <w:rPr>
          <w:rFonts w:hint="cs"/>
          <w:b/>
          <w:bCs/>
          <w:sz w:val="28"/>
          <w:szCs w:val="28"/>
          <w:rtl/>
        </w:rPr>
        <w:t xml:space="preserve">, </w:t>
      </w:r>
      <w:r w:rsidR="0071531A">
        <w:rPr>
          <w:rFonts w:hint="cs"/>
          <w:b/>
          <w:bCs/>
          <w:sz w:val="28"/>
          <w:szCs w:val="28"/>
          <w:rtl/>
        </w:rPr>
        <w:t xml:space="preserve">לא </w:t>
      </w:r>
      <w:r w:rsidR="00CA0554">
        <w:rPr>
          <w:rFonts w:hint="cs"/>
          <w:b/>
          <w:bCs/>
          <w:sz w:val="28"/>
          <w:szCs w:val="28"/>
          <w:rtl/>
        </w:rPr>
        <w:t>מצד שהיא</w:t>
      </w:r>
      <w:r w:rsidR="00664274">
        <w:rPr>
          <w:rFonts w:hint="cs"/>
          <w:b/>
          <w:bCs/>
          <w:sz w:val="28"/>
          <w:szCs w:val="28"/>
          <w:rtl/>
        </w:rPr>
        <w:t xml:space="preserve"> פעיל</w:t>
      </w:r>
      <w:r w:rsidR="00FD0397">
        <w:rPr>
          <w:rFonts w:hint="cs"/>
          <w:b/>
          <w:bCs/>
          <w:sz w:val="28"/>
          <w:szCs w:val="28"/>
          <w:rtl/>
        </w:rPr>
        <w:t>ה</w:t>
      </w:r>
      <w:r w:rsidR="004737CF">
        <w:rPr>
          <w:rFonts w:hint="cs"/>
          <w:b/>
          <w:bCs/>
          <w:sz w:val="28"/>
          <w:szCs w:val="28"/>
          <w:rtl/>
        </w:rPr>
        <w:t>.</w:t>
      </w:r>
      <w:r w:rsidR="00FD0397">
        <w:rPr>
          <w:rFonts w:hint="cs"/>
          <w:b/>
          <w:bCs/>
          <w:sz w:val="28"/>
          <w:szCs w:val="28"/>
          <w:rtl/>
        </w:rPr>
        <w:t xml:space="preserve"> </w:t>
      </w:r>
      <w:r w:rsidR="00FD0397" w:rsidRPr="00FD0397">
        <w:rPr>
          <w:b/>
          <w:bCs/>
          <w:sz w:val="28"/>
          <w:szCs w:val="28"/>
          <w:rtl/>
        </w:rPr>
        <w:t>ואפשר שתהיה הצורה פעילה</w:t>
      </w:r>
      <w:r w:rsidR="00C30416">
        <w:rPr>
          <w:rStyle w:val="FootnoteReference"/>
          <w:b/>
          <w:bCs/>
          <w:sz w:val="28"/>
          <w:szCs w:val="28"/>
          <w:rtl/>
        </w:rPr>
        <w:footnoteReference w:id="364"/>
      </w:r>
      <w:r w:rsidR="00BF765D">
        <w:rPr>
          <w:rFonts w:hint="cs"/>
          <w:b/>
          <w:bCs/>
          <w:sz w:val="28"/>
          <w:szCs w:val="28"/>
          <w:rtl/>
        </w:rPr>
        <w:t>.</w:t>
      </w:r>
    </w:p>
    <w:p w14:paraId="7CF4C209" w14:textId="61DAE222" w:rsidR="006E3BB0" w:rsidRDefault="002D338F" w:rsidP="00AF63E4">
      <w:pPr>
        <w:pStyle w:val="FootnoteText"/>
        <w:rPr>
          <w:b/>
          <w:bCs/>
          <w:sz w:val="28"/>
          <w:szCs w:val="28"/>
        </w:rPr>
      </w:pPr>
      <w:r>
        <w:rPr>
          <w:rFonts w:hint="cs"/>
          <w:b/>
          <w:bCs/>
          <w:sz w:val="28"/>
          <w:szCs w:val="28"/>
          <w:rtl/>
        </w:rPr>
        <w:t>ו</w:t>
      </w:r>
      <w:r w:rsidR="001978C5">
        <w:rPr>
          <w:rFonts w:hint="cs"/>
          <w:b/>
          <w:bCs/>
          <w:sz w:val="28"/>
          <w:szCs w:val="28"/>
          <w:rtl/>
        </w:rPr>
        <w:t xml:space="preserve">כבר הראינו שהפילוסוף הטבעי </w:t>
      </w:r>
      <w:r w:rsidR="00AB710C">
        <w:rPr>
          <w:rFonts w:hint="cs"/>
          <w:b/>
          <w:bCs/>
          <w:sz w:val="28"/>
          <w:szCs w:val="28"/>
          <w:rtl/>
        </w:rPr>
        <w:t xml:space="preserve">לא יעסוק בהתחלה הפועלת </w:t>
      </w:r>
      <w:r w:rsidR="0084106A">
        <w:rPr>
          <w:rFonts w:hint="cs"/>
          <w:b/>
          <w:bCs/>
          <w:sz w:val="28"/>
          <w:szCs w:val="28"/>
          <w:rtl/>
        </w:rPr>
        <w:t>והתכליתית</w:t>
      </w:r>
      <w:r w:rsidR="00B809CD">
        <w:rPr>
          <w:rFonts w:hint="cs"/>
          <w:b/>
          <w:bCs/>
          <w:sz w:val="28"/>
          <w:szCs w:val="28"/>
          <w:rtl/>
        </w:rPr>
        <w:t>,</w:t>
      </w:r>
      <w:r w:rsidR="0084106A">
        <w:rPr>
          <w:rFonts w:hint="cs"/>
          <w:b/>
          <w:bCs/>
          <w:sz w:val="28"/>
          <w:szCs w:val="28"/>
          <w:rtl/>
        </w:rPr>
        <w:t xml:space="preserve"> </w:t>
      </w:r>
      <w:r w:rsidR="00FC6D5F">
        <w:rPr>
          <w:rFonts w:hint="cs"/>
          <w:b/>
          <w:bCs/>
          <w:sz w:val="28"/>
          <w:szCs w:val="28"/>
          <w:rtl/>
        </w:rPr>
        <w:t xml:space="preserve">המשותפת בדרך </w:t>
      </w:r>
      <w:r w:rsidR="007B0F89">
        <w:rPr>
          <w:rFonts w:hint="cs"/>
          <w:b/>
          <w:bCs/>
          <w:sz w:val="28"/>
          <w:szCs w:val="28"/>
          <w:rtl/>
        </w:rPr>
        <w:t>הראשונה</w:t>
      </w:r>
      <w:r w:rsidR="00B809CD">
        <w:rPr>
          <w:rStyle w:val="FootnoteReference"/>
          <w:b/>
          <w:bCs/>
          <w:sz w:val="28"/>
          <w:szCs w:val="28"/>
          <w:rtl/>
        </w:rPr>
        <w:footnoteReference w:id="365"/>
      </w:r>
      <w:r w:rsidR="007B0F89">
        <w:rPr>
          <w:rFonts w:hint="cs"/>
          <w:b/>
          <w:bCs/>
          <w:sz w:val="28"/>
          <w:szCs w:val="28"/>
          <w:rtl/>
        </w:rPr>
        <w:t xml:space="preserve"> </w:t>
      </w:r>
      <w:r w:rsidR="0096409D">
        <w:rPr>
          <w:rFonts w:hint="cs"/>
          <w:b/>
          <w:bCs/>
          <w:sz w:val="28"/>
          <w:szCs w:val="28"/>
          <w:rtl/>
        </w:rPr>
        <w:t>לדברים הטבעיים כולם</w:t>
      </w:r>
      <w:r w:rsidR="00B809CD">
        <w:rPr>
          <w:rFonts w:hint="cs"/>
          <w:b/>
          <w:bCs/>
          <w:sz w:val="28"/>
          <w:szCs w:val="28"/>
          <w:rtl/>
        </w:rPr>
        <w:t xml:space="preserve">. </w:t>
      </w:r>
      <w:r w:rsidR="00565813">
        <w:rPr>
          <w:rFonts w:hint="cs"/>
          <w:b/>
          <w:bCs/>
          <w:sz w:val="28"/>
          <w:szCs w:val="28"/>
          <w:rtl/>
        </w:rPr>
        <w:t xml:space="preserve">ועלינו לעסוק </w:t>
      </w:r>
      <w:r w:rsidR="00DA72E7">
        <w:rPr>
          <w:rFonts w:hint="cs"/>
          <w:b/>
          <w:bCs/>
          <w:sz w:val="28"/>
          <w:szCs w:val="28"/>
          <w:rtl/>
        </w:rPr>
        <w:t xml:space="preserve">בהתחלה הפועלת המשותפת </w:t>
      </w:r>
      <w:r w:rsidR="00632627">
        <w:rPr>
          <w:rFonts w:hint="cs"/>
          <w:b/>
          <w:bCs/>
          <w:sz w:val="28"/>
          <w:szCs w:val="28"/>
          <w:rtl/>
        </w:rPr>
        <w:t>לדברים הטבעיים שהם</w:t>
      </w:r>
      <w:r w:rsidR="00E04BE8">
        <w:rPr>
          <w:rFonts w:hint="cs"/>
          <w:b/>
          <w:bCs/>
          <w:sz w:val="28"/>
          <w:szCs w:val="28"/>
          <w:rtl/>
        </w:rPr>
        <w:t xml:space="preserve"> מאוח</w:t>
      </w:r>
      <w:r w:rsidR="004D2E64">
        <w:rPr>
          <w:rFonts w:hint="cs"/>
          <w:b/>
          <w:bCs/>
          <w:sz w:val="28"/>
          <w:szCs w:val="28"/>
          <w:rtl/>
        </w:rPr>
        <w:t>ר</w:t>
      </w:r>
      <w:r w:rsidR="00E04BE8">
        <w:rPr>
          <w:rFonts w:hint="cs"/>
          <w:b/>
          <w:bCs/>
          <w:sz w:val="28"/>
          <w:szCs w:val="28"/>
          <w:rtl/>
        </w:rPr>
        <w:t>ים לה</w:t>
      </w:r>
      <w:r w:rsidR="00A72647">
        <w:rPr>
          <w:rStyle w:val="FootnoteReference"/>
          <w:b/>
          <w:bCs/>
          <w:sz w:val="28"/>
          <w:szCs w:val="28"/>
          <w:rtl/>
        </w:rPr>
        <w:footnoteReference w:id="366"/>
      </w:r>
      <w:r w:rsidR="00E04BE8">
        <w:rPr>
          <w:rFonts w:hint="cs"/>
          <w:b/>
          <w:bCs/>
          <w:sz w:val="28"/>
          <w:szCs w:val="28"/>
          <w:rtl/>
        </w:rPr>
        <w:t>.</w:t>
      </w:r>
    </w:p>
    <w:p w14:paraId="3F112C58" w14:textId="77777777" w:rsidR="00AD7A8B" w:rsidRPr="00D36D92" w:rsidRDefault="00AD7A8B" w:rsidP="003266A1">
      <w:pPr>
        <w:pStyle w:val="Heading4"/>
        <w:rPr>
          <w:rtl/>
        </w:rPr>
      </w:pPr>
      <w:bookmarkStart w:id="190" w:name="_Toc119092641"/>
      <w:r w:rsidRPr="00D36D92">
        <w:rPr>
          <w:rFonts w:hint="cs"/>
          <w:rtl/>
        </w:rPr>
        <w:t>1.3.12</w:t>
      </w:r>
      <w:bookmarkEnd w:id="190"/>
    </w:p>
    <w:p w14:paraId="1B760328" w14:textId="56EBD575" w:rsidR="005C4ED5" w:rsidRDefault="00D36D92" w:rsidP="00F02C13">
      <w:pPr>
        <w:pStyle w:val="FootnoteText"/>
        <w:rPr>
          <w:b/>
          <w:bCs/>
          <w:sz w:val="28"/>
          <w:szCs w:val="28"/>
        </w:rPr>
      </w:pPr>
      <w:r>
        <w:rPr>
          <w:rFonts w:hint="cs"/>
          <w:b/>
          <w:bCs/>
          <w:sz w:val="28"/>
          <w:szCs w:val="28"/>
          <w:rtl/>
        </w:rPr>
        <w:t>סי</w:t>
      </w:r>
      <w:r w:rsidR="00373456">
        <w:rPr>
          <w:rFonts w:hint="cs"/>
          <w:b/>
          <w:bCs/>
          <w:sz w:val="28"/>
          <w:szCs w:val="28"/>
          <w:rtl/>
        </w:rPr>
        <w:t>ימנו את</w:t>
      </w:r>
      <w:r w:rsidR="00114707">
        <w:rPr>
          <w:rFonts w:hint="cs"/>
          <w:b/>
          <w:bCs/>
          <w:sz w:val="28"/>
          <w:szCs w:val="28"/>
          <w:rtl/>
        </w:rPr>
        <w:t xml:space="preserve"> </w:t>
      </w:r>
      <w:r w:rsidR="00373456">
        <w:rPr>
          <w:rFonts w:hint="cs"/>
          <w:b/>
          <w:bCs/>
          <w:sz w:val="28"/>
          <w:szCs w:val="28"/>
          <w:rtl/>
        </w:rPr>
        <w:t>דברי</w:t>
      </w:r>
      <w:r w:rsidR="00114707">
        <w:rPr>
          <w:rFonts w:hint="cs"/>
          <w:b/>
          <w:bCs/>
          <w:sz w:val="28"/>
          <w:szCs w:val="28"/>
          <w:rtl/>
        </w:rPr>
        <w:t>נו ב</w:t>
      </w:r>
      <w:r w:rsidR="00492D1D">
        <w:rPr>
          <w:rFonts w:hint="cs"/>
          <w:b/>
          <w:bCs/>
          <w:sz w:val="28"/>
          <w:szCs w:val="28"/>
          <w:rtl/>
        </w:rPr>
        <w:t>התחלות</w:t>
      </w:r>
      <w:r w:rsidR="002A5FBC">
        <w:rPr>
          <w:rFonts w:hint="cs"/>
          <w:b/>
          <w:bCs/>
          <w:sz w:val="28"/>
          <w:szCs w:val="28"/>
          <w:rtl/>
        </w:rPr>
        <w:t xml:space="preserve">, </w:t>
      </w:r>
      <w:r w:rsidR="00FA7711">
        <w:rPr>
          <w:rFonts w:hint="cs"/>
          <w:b/>
          <w:bCs/>
          <w:sz w:val="28"/>
          <w:szCs w:val="28"/>
          <w:rtl/>
        </w:rPr>
        <w:t xml:space="preserve">שהן הראויות </w:t>
      </w:r>
      <w:r w:rsidR="001C7548">
        <w:rPr>
          <w:rFonts w:hint="cs"/>
          <w:b/>
          <w:bCs/>
          <w:sz w:val="28"/>
          <w:szCs w:val="28"/>
          <w:rtl/>
        </w:rPr>
        <w:t xml:space="preserve">ביותר </w:t>
      </w:r>
      <w:r w:rsidR="00FA7711">
        <w:rPr>
          <w:rFonts w:hint="cs"/>
          <w:b/>
          <w:bCs/>
          <w:sz w:val="28"/>
          <w:szCs w:val="28"/>
          <w:rtl/>
        </w:rPr>
        <w:t>ל</w:t>
      </w:r>
      <w:r w:rsidR="002F720B">
        <w:rPr>
          <w:rFonts w:hint="cs"/>
          <w:b/>
          <w:bCs/>
          <w:sz w:val="28"/>
          <w:szCs w:val="28"/>
          <w:rtl/>
        </w:rPr>
        <w:t>היקרא</w:t>
      </w:r>
      <w:r w:rsidR="00FA7711">
        <w:rPr>
          <w:rFonts w:hint="cs"/>
          <w:b/>
          <w:bCs/>
          <w:sz w:val="28"/>
          <w:szCs w:val="28"/>
          <w:rtl/>
        </w:rPr>
        <w:t xml:space="preserve"> </w:t>
      </w:r>
      <w:r w:rsidR="00C54D16">
        <w:rPr>
          <w:rFonts w:hint="cs"/>
          <w:b/>
          <w:bCs/>
          <w:sz w:val="28"/>
          <w:szCs w:val="28"/>
          <w:rtl/>
        </w:rPr>
        <w:t>'</w:t>
      </w:r>
      <w:r w:rsidR="00FA7711">
        <w:rPr>
          <w:rFonts w:hint="cs"/>
          <w:b/>
          <w:bCs/>
          <w:sz w:val="28"/>
          <w:szCs w:val="28"/>
          <w:rtl/>
        </w:rPr>
        <w:t>התחלות</w:t>
      </w:r>
      <w:r w:rsidR="00C54D16">
        <w:rPr>
          <w:rFonts w:hint="cs"/>
          <w:b/>
          <w:bCs/>
          <w:sz w:val="28"/>
          <w:szCs w:val="28"/>
          <w:rtl/>
        </w:rPr>
        <w:t>'</w:t>
      </w:r>
      <w:r w:rsidR="00FA7711">
        <w:rPr>
          <w:rFonts w:hint="cs"/>
          <w:b/>
          <w:bCs/>
          <w:sz w:val="28"/>
          <w:szCs w:val="28"/>
          <w:rtl/>
        </w:rPr>
        <w:t>,</w:t>
      </w:r>
      <w:r w:rsidR="003C3B24">
        <w:rPr>
          <w:rFonts w:hint="cs"/>
          <w:b/>
          <w:bCs/>
          <w:sz w:val="28"/>
          <w:szCs w:val="28"/>
          <w:rtl/>
        </w:rPr>
        <w:t xml:space="preserve"> מכל מה שהוא </w:t>
      </w:r>
      <w:r w:rsidR="00805138">
        <w:rPr>
          <w:rFonts w:hint="cs"/>
          <w:b/>
          <w:bCs/>
          <w:sz w:val="28"/>
          <w:szCs w:val="28"/>
          <w:rtl/>
        </w:rPr>
        <w:t>מכונן ל</w:t>
      </w:r>
      <w:r w:rsidR="007F5E25">
        <w:rPr>
          <w:rFonts w:hint="cs"/>
          <w:b/>
          <w:bCs/>
          <w:sz w:val="28"/>
          <w:szCs w:val="28"/>
          <w:rtl/>
        </w:rPr>
        <w:t>מה שמתהווה</w:t>
      </w:r>
      <w:r w:rsidR="00A22631">
        <w:rPr>
          <w:rStyle w:val="FootnoteReference"/>
          <w:b/>
          <w:bCs/>
          <w:sz w:val="28"/>
          <w:szCs w:val="28"/>
          <w:rtl/>
        </w:rPr>
        <w:footnoteReference w:id="367"/>
      </w:r>
      <w:r w:rsidR="00805138">
        <w:rPr>
          <w:rFonts w:hint="cs"/>
          <w:b/>
          <w:bCs/>
          <w:sz w:val="28"/>
          <w:szCs w:val="28"/>
          <w:rtl/>
        </w:rPr>
        <w:t xml:space="preserve">, </w:t>
      </w:r>
      <w:r w:rsidR="00E33A59">
        <w:rPr>
          <w:rFonts w:hint="cs"/>
          <w:b/>
          <w:bCs/>
          <w:sz w:val="28"/>
          <w:szCs w:val="28"/>
          <w:rtl/>
        </w:rPr>
        <w:t>או לג</w:t>
      </w:r>
      <w:r w:rsidR="00AD071E">
        <w:rPr>
          <w:rFonts w:hint="cs"/>
          <w:b/>
          <w:bCs/>
          <w:sz w:val="28"/>
          <w:szCs w:val="28"/>
          <w:rtl/>
        </w:rPr>
        <w:t>שם</w:t>
      </w:r>
      <w:r w:rsidR="00E33A59">
        <w:rPr>
          <w:rFonts w:hint="cs"/>
          <w:b/>
          <w:bCs/>
          <w:sz w:val="28"/>
          <w:szCs w:val="28"/>
          <w:rtl/>
        </w:rPr>
        <w:t xml:space="preserve"> הטבעי,</w:t>
      </w:r>
      <w:r w:rsidR="009E1BA1">
        <w:rPr>
          <w:rFonts w:hint="cs"/>
          <w:b/>
          <w:bCs/>
          <w:sz w:val="28"/>
          <w:szCs w:val="28"/>
          <w:rtl/>
        </w:rPr>
        <w:t xml:space="preserve"> </w:t>
      </w:r>
      <w:r w:rsidR="008B2C27">
        <w:rPr>
          <w:rFonts w:hint="cs"/>
          <w:b/>
          <w:bCs/>
          <w:sz w:val="28"/>
          <w:szCs w:val="28"/>
          <w:rtl/>
        </w:rPr>
        <w:t xml:space="preserve">ומוטל עלינו לעסוק </w:t>
      </w:r>
      <w:r w:rsidR="00176D66">
        <w:rPr>
          <w:rFonts w:hint="cs"/>
          <w:b/>
          <w:bCs/>
          <w:sz w:val="28"/>
          <w:szCs w:val="28"/>
          <w:rtl/>
        </w:rPr>
        <w:t xml:space="preserve">בהתחלות שהן </w:t>
      </w:r>
      <w:r w:rsidR="00A24A01">
        <w:rPr>
          <w:rFonts w:hint="cs"/>
          <w:b/>
          <w:bCs/>
          <w:sz w:val="28"/>
          <w:szCs w:val="28"/>
          <w:rtl/>
        </w:rPr>
        <w:t>ה</w:t>
      </w:r>
      <w:r w:rsidR="00176D66">
        <w:rPr>
          <w:rFonts w:hint="cs"/>
          <w:b/>
          <w:bCs/>
          <w:sz w:val="28"/>
          <w:szCs w:val="28"/>
          <w:rtl/>
        </w:rPr>
        <w:t xml:space="preserve">ראשונות </w:t>
      </w:r>
      <w:r w:rsidR="004E6770">
        <w:rPr>
          <w:rFonts w:hint="cs"/>
          <w:b/>
          <w:bCs/>
          <w:sz w:val="28"/>
          <w:szCs w:val="28"/>
          <w:rtl/>
        </w:rPr>
        <w:t>להיקרא סיבות</w:t>
      </w:r>
      <w:r w:rsidR="001B5F47">
        <w:rPr>
          <w:rStyle w:val="FootnoteReference"/>
          <w:b/>
          <w:bCs/>
          <w:sz w:val="28"/>
          <w:szCs w:val="28"/>
          <w:rtl/>
        </w:rPr>
        <w:footnoteReference w:id="368"/>
      </w:r>
      <w:r w:rsidR="007C1D4F">
        <w:rPr>
          <w:rFonts w:hint="cs"/>
          <w:b/>
          <w:bCs/>
          <w:sz w:val="28"/>
          <w:szCs w:val="28"/>
          <w:rtl/>
        </w:rPr>
        <w:t xml:space="preserve">, ונלמד מהן את </w:t>
      </w:r>
      <w:r w:rsidR="00A572D4">
        <w:rPr>
          <w:rFonts w:hint="cs"/>
          <w:b/>
          <w:bCs/>
          <w:sz w:val="28"/>
          <w:szCs w:val="28"/>
          <w:rtl/>
        </w:rPr>
        <w:t xml:space="preserve">ההתחלה הפועלת המשותפת </w:t>
      </w:r>
      <w:r w:rsidR="00F12969">
        <w:rPr>
          <w:rFonts w:hint="cs"/>
          <w:b/>
          <w:bCs/>
          <w:sz w:val="28"/>
          <w:szCs w:val="28"/>
          <w:rtl/>
        </w:rPr>
        <w:t>לדברים הטבעיים, והיא הטבע</w:t>
      </w:r>
      <w:r w:rsidR="004429DA">
        <w:rPr>
          <w:rStyle w:val="FootnoteReference"/>
          <w:b/>
          <w:bCs/>
          <w:sz w:val="28"/>
          <w:szCs w:val="28"/>
          <w:rtl/>
        </w:rPr>
        <w:footnoteReference w:id="369"/>
      </w:r>
      <w:r w:rsidR="00F12969">
        <w:rPr>
          <w:rFonts w:hint="cs"/>
          <w:b/>
          <w:bCs/>
          <w:sz w:val="28"/>
          <w:szCs w:val="28"/>
          <w:rtl/>
        </w:rPr>
        <w:t xml:space="preserve">. </w:t>
      </w:r>
    </w:p>
    <w:p w14:paraId="28AE7D6D" w14:textId="5F30D026" w:rsidR="004C1A41" w:rsidRDefault="004C1A41" w:rsidP="00F02C13">
      <w:pPr>
        <w:pStyle w:val="FootnoteText"/>
        <w:rPr>
          <w:b/>
          <w:bCs/>
          <w:sz w:val="28"/>
          <w:szCs w:val="28"/>
          <w:rtl/>
        </w:rPr>
      </w:pPr>
      <w:r>
        <w:rPr>
          <w:b/>
          <w:bCs/>
          <w:sz w:val="28"/>
          <w:szCs w:val="28"/>
          <w:rtl/>
        </w:rPr>
        <w:br w:type="page"/>
      </w:r>
    </w:p>
    <w:p w14:paraId="6EAE3844" w14:textId="63493BEF" w:rsidR="004C1A41" w:rsidRPr="006B2394" w:rsidRDefault="00CE2B10" w:rsidP="0015467E">
      <w:pPr>
        <w:pStyle w:val="Heading2"/>
        <w:rPr>
          <w:rtl/>
        </w:rPr>
      </w:pPr>
      <w:bookmarkStart w:id="191" w:name="_Toc119092642"/>
      <w:r w:rsidRPr="006B2394">
        <w:rPr>
          <w:rFonts w:hint="cs"/>
          <w:rtl/>
        </w:rPr>
        <w:t>פרק ד</w:t>
      </w:r>
      <w:bookmarkEnd w:id="191"/>
    </w:p>
    <w:p w14:paraId="26900777" w14:textId="557FFD89" w:rsidR="005C4ED5" w:rsidRPr="006B2394" w:rsidRDefault="00B87EFC" w:rsidP="006B2394">
      <w:pPr>
        <w:pStyle w:val="Heading3"/>
        <w:rPr>
          <w:rtl/>
        </w:rPr>
      </w:pPr>
      <w:bookmarkStart w:id="192" w:name="_Toc119092643"/>
      <w:r w:rsidRPr="006B2394">
        <w:rPr>
          <w:rFonts w:hint="cs"/>
          <w:rtl/>
        </w:rPr>
        <w:t xml:space="preserve">עיון בדברי </w:t>
      </w:r>
      <w:proofErr w:type="spellStart"/>
      <w:r w:rsidR="00C762EE" w:rsidRPr="006B2394">
        <w:rPr>
          <w:rFonts w:hint="cs"/>
          <w:rtl/>
        </w:rPr>
        <w:t>פרמנידס</w:t>
      </w:r>
      <w:proofErr w:type="spellEnd"/>
      <w:r w:rsidR="00C762EE" w:rsidRPr="006B2394">
        <w:rPr>
          <w:rFonts w:hint="cs"/>
          <w:rtl/>
        </w:rPr>
        <w:t xml:space="preserve"> </w:t>
      </w:r>
      <w:proofErr w:type="spellStart"/>
      <w:r w:rsidR="00C762EE" w:rsidRPr="006B2394">
        <w:rPr>
          <w:rFonts w:hint="cs"/>
          <w:rtl/>
        </w:rPr>
        <w:t>ומליסוס</w:t>
      </w:r>
      <w:proofErr w:type="spellEnd"/>
      <w:r w:rsidR="00C762EE" w:rsidRPr="006B2394">
        <w:rPr>
          <w:rFonts w:hint="cs"/>
          <w:rtl/>
        </w:rPr>
        <w:t xml:space="preserve"> בעניין התחלות המציאות</w:t>
      </w:r>
      <w:r w:rsidR="002901DE">
        <w:rPr>
          <w:rStyle w:val="FootnoteReference"/>
          <w:rtl/>
        </w:rPr>
        <w:footnoteReference w:id="370"/>
      </w:r>
      <w:bookmarkEnd w:id="192"/>
    </w:p>
    <w:p w14:paraId="63255B62" w14:textId="77777777" w:rsidR="00EF294E" w:rsidRDefault="00EF294E" w:rsidP="00F02C13">
      <w:pPr>
        <w:pStyle w:val="FootnoteText"/>
        <w:rPr>
          <w:b/>
          <w:bCs/>
          <w:sz w:val="28"/>
          <w:szCs w:val="28"/>
          <w:rtl/>
        </w:rPr>
      </w:pPr>
    </w:p>
    <w:p w14:paraId="0292A66B" w14:textId="695EB67C" w:rsidR="00981338" w:rsidRPr="00E35463" w:rsidRDefault="006B2394" w:rsidP="003266A1">
      <w:pPr>
        <w:pStyle w:val="Heading4"/>
        <w:rPr>
          <w:rtl/>
        </w:rPr>
      </w:pPr>
      <w:bookmarkStart w:id="193" w:name="_Toc119092644"/>
      <w:r w:rsidRPr="00E35463">
        <w:rPr>
          <w:rFonts w:hint="cs"/>
          <w:rtl/>
        </w:rPr>
        <w:t>1.4.1</w:t>
      </w:r>
      <w:r w:rsidR="00B76F16">
        <w:rPr>
          <w:rStyle w:val="FootnoteReference"/>
          <w:rtl/>
        </w:rPr>
        <w:footnoteReference w:id="371"/>
      </w:r>
      <w:bookmarkEnd w:id="193"/>
    </w:p>
    <w:p w14:paraId="0613B374" w14:textId="77777777" w:rsidR="00462AB4" w:rsidRDefault="002D63FF" w:rsidP="00D63738">
      <w:pPr>
        <w:pStyle w:val="FootnoteText"/>
        <w:rPr>
          <w:b/>
          <w:bCs/>
          <w:sz w:val="28"/>
          <w:szCs w:val="28"/>
          <w:rtl/>
        </w:rPr>
      </w:pPr>
      <w:r>
        <w:rPr>
          <w:rFonts w:hint="cs"/>
          <w:b/>
          <w:bCs/>
          <w:sz w:val="28"/>
          <w:szCs w:val="28"/>
          <w:rtl/>
        </w:rPr>
        <w:t>מאחר</w:t>
      </w:r>
      <w:r w:rsidR="00AA2852">
        <w:rPr>
          <w:rFonts w:hint="cs"/>
          <w:b/>
          <w:bCs/>
          <w:sz w:val="28"/>
          <w:szCs w:val="28"/>
          <w:rtl/>
        </w:rPr>
        <w:t xml:space="preserve"> </w:t>
      </w:r>
      <w:r>
        <w:rPr>
          <w:rFonts w:hint="cs"/>
          <w:b/>
          <w:bCs/>
          <w:sz w:val="28"/>
          <w:szCs w:val="28"/>
          <w:rtl/>
        </w:rPr>
        <w:t>ש</w:t>
      </w:r>
      <w:r w:rsidR="008C37B5">
        <w:rPr>
          <w:rFonts w:hint="cs"/>
          <w:b/>
          <w:bCs/>
          <w:sz w:val="28"/>
          <w:szCs w:val="28"/>
          <w:rtl/>
        </w:rPr>
        <w:t>ה</w:t>
      </w:r>
      <w:r w:rsidR="00B54277">
        <w:rPr>
          <w:rFonts w:hint="cs"/>
          <w:b/>
          <w:bCs/>
          <w:sz w:val="28"/>
          <w:szCs w:val="28"/>
          <w:rtl/>
        </w:rPr>
        <w:t>שלמנו את דברינו עד</w:t>
      </w:r>
      <w:r>
        <w:rPr>
          <w:rFonts w:hint="cs"/>
          <w:b/>
          <w:bCs/>
          <w:sz w:val="28"/>
          <w:szCs w:val="28"/>
          <w:rtl/>
        </w:rPr>
        <w:t xml:space="preserve"> מקום זה, </w:t>
      </w:r>
      <w:r w:rsidR="003E79CA">
        <w:rPr>
          <w:rFonts w:hint="cs"/>
          <w:b/>
          <w:bCs/>
          <w:sz w:val="28"/>
          <w:szCs w:val="28"/>
          <w:rtl/>
        </w:rPr>
        <w:t>ו</w:t>
      </w:r>
      <w:r w:rsidR="0048679D">
        <w:rPr>
          <w:rFonts w:hint="cs"/>
          <w:b/>
          <w:bCs/>
          <w:sz w:val="28"/>
          <w:szCs w:val="28"/>
          <w:rtl/>
        </w:rPr>
        <w:t>ביקשונו</w:t>
      </w:r>
      <w:r w:rsidR="003E79CA">
        <w:rPr>
          <w:rFonts w:hint="cs"/>
          <w:b/>
          <w:bCs/>
          <w:sz w:val="28"/>
          <w:szCs w:val="28"/>
          <w:rtl/>
        </w:rPr>
        <w:t xml:space="preserve"> מקצת מחברינו</w:t>
      </w:r>
      <w:r w:rsidR="00DA4DE4">
        <w:rPr>
          <w:rFonts w:hint="cs"/>
          <w:b/>
          <w:bCs/>
          <w:sz w:val="28"/>
          <w:szCs w:val="28"/>
          <w:rtl/>
        </w:rPr>
        <w:t xml:space="preserve"> לדבר על </w:t>
      </w:r>
      <w:r w:rsidR="00FD796E">
        <w:rPr>
          <w:rFonts w:hint="cs"/>
          <w:b/>
          <w:bCs/>
          <w:sz w:val="28"/>
          <w:szCs w:val="28"/>
          <w:rtl/>
        </w:rPr>
        <w:t xml:space="preserve">אודות </w:t>
      </w:r>
      <w:r w:rsidR="002155E5">
        <w:rPr>
          <w:rFonts w:hint="cs"/>
          <w:b/>
          <w:bCs/>
          <w:sz w:val="28"/>
          <w:szCs w:val="28"/>
          <w:rtl/>
        </w:rPr>
        <w:t xml:space="preserve">הכתות הנפסדות </w:t>
      </w:r>
      <w:r w:rsidR="00DF28E5">
        <w:rPr>
          <w:rFonts w:hint="cs"/>
          <w:b/>
          <w:bCs/>
          <w:sz w:val="28"/>
          <w:szCs w:val="28"/>
          <w:rtl/>
        </w:rPr>
        <w:t xml:space="preserve">מהקדמונים, </w:t>
      </w:r>
      <w:r w:rsidR="0087464B">
        <w:rPr>
          <w:rFonts w:hint="cs"/>
          <w:b/>
          <w:bCs/>
          <w:sz w:val="28"/>
          <w:szCs w:val="28"/>
          <w:rtl/>
        </w:rPr>
        <w:t xml:space="preserve">לגבי ההתחלות </w:t>
      </w:r>
      <w:r w:rsidR="007F1EEC">
        <w:rPr>
          <w:rFonts w:hint="cs"/>
          <w:b/>
          <w:bCs/>
          <w:sz w:val="28"/>
          <w:szCs w:val="28"/>
          <w:rtl/>
        </w:rPr>
        <w:t>של הדברים הטבעיים,</w:t>
      </w:r>
      <w:r w:rsidR="00257823">
        <w:rPr>
          <w:rFonts w:hint="cs"/>
          <w:b/>
          <w:bCs/>
          <w:sz w:val="28"/>
          <w:szCs w:val="28"/>
          <w:rtl/>
        </w:rPr>
        <w:t xml:space="preserve"> </w:t>
      </w:r>
      <w:r w:rsidR="002B2637">
        <w:rPr>
          <w:rFonts w:hint="cs"/>
          <w:b/>
          <w:bCs/>
          <w:sz w:val="28"/>
          <w:szCs w:val="28"/>
          <w:rtl/>
        </w:rPr>
        <w:t>ונהוג</w:t>
      </w:r>
      <w:r w:rsidR="008B3999">
        <w:rPr>
          <w:rStyle w:val="FootnoteReference"/>
          <w:b/>
          <w:bCs/>
          <w:sz w:val="28"/>
          <w:szCs w:val="28"/>
          <w:rtl/>
        </w:rPr>
        <w:footnoteReference w:id="372"/>
      </w:r>
      <w:r w:rsidR="002B2637">
        <w:rPr>
          <w:rFonts w:hint="cs"/>
          <w:b/>
          <w:bCs/>
          <w:sz w:val="28"/>
          <w:szCs w:val="28"/>
          <w:rtl/>
        </w:rPr>
        <w:t xml:space="preserve"> </w:t>
      </w:r>
      <w:r w:rsidR="00EB0B2A">
        <w:rPr>
          <w:rFonts w:hint="cs"/>
          <w:b/>
          <w:bCs/>
          <w:sz w:val="28"/>
          <w:szCs w:val="28"/>
          <w:rtl/>
        </w:rPr>
        <w:t>להזכיר</w:t>
      </w:r>
      <w:r w:rsidR="00AB6064">
        <w:rPr>
          <w:rFonts w:hint="cs"/>
          <w:b/>
          <w:bCs/>
          <w:sz w:val="28"/>
          <w:szCs w:val="28"/>
          <w:rtl/>
        </w:rPr>
        <w:t>ם</w:t>
      </w:r>
      <w:r w:rsidR="008B3999">
        <w:rPr>
          <w:rFonts w:hint="cs"/>
          <w:b/>
          <w:bCs/>
          <w:sz w:val="28"/>
          <w:szCs w:val="28"/>
          <w:rtl/>
        </w:rPr>
        <w:t xml:space="preserve"> בתחילת הלימוד הטבעי</w:t>
      </w:r>
      <w:r w:rsidR="00E936BE">
        <w:rPr>
          <w:rFonts w:hint="cs"/>
          <w:b/>
          <w:bCs/>
          <w:sz w:val="28"/>
          <w:szCs w:val="28"/>
          <w:rtl/>
        </w:rPr>
        <w:t xml:space="preserve">, לפני הדיבור </w:t>
      </w:r>
      <w:r w:rsidR="00DA58C3">
        <w:rPr>
          <w:rFonts w:hint="cs"/>
          <w:b/>
          <w:bCs/>
          <w:sz w:val="28"/>
          <w:szCs w:val="28"/>
          <w:rtl/>
        </w:rPr>
        <w:t xml:space="preserve">בטבע. </w:t>
      </w:r>
    </w:p>
    <w:p w14:paraId="4B3E3F54" w14:textId="39201761" w:rsidR="00726622" w:rsidRDefault="00821971" w:rsidP="00D63738">
      <w:pPr>
        <w:pStyle w:val="FootnoteText"/>
        <w:rPr>
          <w:b/>
          <w:bCs/>
          <w:sz w:val="28"/>
          <w:szCs w:val="28"/>
        </w:rPr>
      </w:pPr>
      <w:r>
        <w:rPr>
          <w:rFonts w:hint="cs"/>
          <w:b/>
          <w:bCs/>
          <w:sz w:val="28"/>
          <w:szCs w:val="28"/>
          <w:rtl/>
        </w:rPr>
        <w:t xml:space="preserve">וכתות אלה </w:t>
      </w:r>
      <w:r w:rsidR="006F77C3">
        <w:rPr>
          <w:rFonts w:hint="cs"/>
          <w:b/>
          <w:bCs/>
          <w:sz w:val="28"/>
          <w:szCs w:val="28"/>
          <w:rtl/>
        </w:rPr>
        <w:t xml:space="preserve">הן </w:t>
      </w:r>
      <w:r w:rsidR="00C860D4">
        <w:rPr>
          <w:rFonts w:hint="cs"/>
          <w:b/>
          <w:bCs/>
          <w:sz w:val="28"/>
          <w:szCs w:val="28"/>
          <w:rtl/>
        </w:rPr>
        <w:t>ל</w:t>
      </w:r>
      <w:r w:rsidR="003417FC">
        <w:rPr>
          <w:rFonts w:hint="cs"/>
          <w:b/>
          <w:bCs/>
          <w:sz w:val="28"/>
          <w:szCs w:val="28"/>
          <w:rtl/>
        </w:rPr>
        <w:t>משל</w:t>
      </w:r>
      <w:r w:rsidR="00C860D4">
        <w:rPr>
          <w:rFonts w:hint="cs"/>
          <w:b/>
          <w:bCs/>
          <w:sz w:val="28"/>
          <w:szCs w:val="28"/>
          <w:rtl/>
        </w:rPr>
        <w:t xml:space="preserve"> הכת </w:t>
      </w:r>
      <w:r w:rsidR="009803AB">
        <w:rPr>
          <w:rFonts w:hint="cs"/>
          <w:b/>
          <w:bCs/>
          <w:sz w:val="28"/>
          <w:szCs w:val="28"/>
          <w:rtl/>
        </w:rPr>
        <w:t>ש</w:t>
      </w:r>
      <w:r w:rsidR="005658A0">
        <w:rPr>
          <w:rFonts w:hint="cs"/>
          <w:b/>
          <w:bCs/>
          <w:sz w:val="28"/>
          <w:szCs w:val="28"/>
          <w:rtl/>
        </w:rPr>
        <w:t>נקראת על שם</w:t>
      </w:r>
      <w:r w:rsidR="00872944">
        <w:rPr>
          <w:rFonts w:hint="cs"/>
          <w:b/>
          <w:bCs/>
          <w:sz w:val="28"/>
          <w:szCs w:val="28"/>
          <w:rtl/>
        </w:rPr>
        <w:t xml:space="preserve"> </w:t>
      </w:r>
      <w:proofErr w:type="spellStart"/>
      <w:r w:rsidR="00872944">
        <w:rPr>
          <w:rFonts w:hint="cs"/>
          <w:b/>
          <w:bCs/>
          <w:sz w:val="28"/>
          <w:szCs w:val="28"/>
          <w:rtl/>
        </w:rPr>
        <w:t>מליסוס</w:t>
      </w:r>
      <w:proofErr w:type="spellEnd"/>
      <w:r w:rsidR="00872944">
        <w:rPr>
          <w:rFonts w:hint="cs"/>
          <w:b/>
          <w:bCs/>
          <w:sz w:val="28"/>
          <w:szCs w:val="28"/>
          <w:rtl/>
        </w:rPr>
        <w:t xml:space="preserve"> </w:t>
      </w:r>
      <w:proofErr w:type="spellStart"/>
      <w:r w:rsidR="00872944">
        <w:rPr>
          <w:rFonts w:hint="cs"/>
          <w:b/>
          <w:bCs/>
          <w:sz w:val="28"/>
          <w:szCs w:val="28"/>
          <w:rtl/>
        </w:rPr>
        <w:t>ופרמנידס</w:t>
      </w:r>
      <w:proofErr w:type="spellEnd"/>
      <w:r w:rsidR="00744095">
        <w:rPr>
          <w:rFonts w:hint="cs"/>
          <w:b/>
          <w:bCs/>
          <w:sz w:val="28"/>
          <w:szCs w:val="28"/>
          <w:rtl/>
        </w:rPr>
        <w:t>,</w:t>
      </w:r>
      <w:r w:rsidR="00793878">
        <w:rPr>
          <w:rFonts w:hint="cs"/>
          <w:b/>
          <w:bCs/>
          <w:sz w:val="28"/>
          <w:szCs w:val="28"/>
          <w:rtl/>
        </w:rPr>
        <w:t xml:space="preserve"> </w:t>
      </w:r>
      <w:r w:rsidR="00591991">
        <w:rPr>
          <w:rFonts w:hint="cs"/>
          <w:b/>
          <w:bCs/>
          <w:sz w:val="28"/>
          <w:szCs w:val="28"/>
          <w:rtl/>
        </w:rPr>
        <w:t xml:space="preserve">שהנמצא אחד </w:t>
      </w:r>
      <w:r w:rsidR="000A463B">
        <w:rPr>
          <w:rFonts w:hint="cs"/>
          <w:b/>
          <w:bCs/>
          <w:sz w:val="28"/>
          <w:szCs w:val="28"/>
          <w:rtl/>
        </w:rPr>
        <w:t xml:space="preserve">לא מתנועע, </w:t>
      </w:r>
      <w:r w:rsidR="00CB6952">
        <w:rPr>
          <w:rFonts w:hint="cs"/>
          <w:b/>
          <w:bCs/>
          <w:sz w:val="28"/>
          <w:szCs w:val="28"/>
          <w:rtl/>
        </w:rPr>
        <w:t>עליו</w:t>
      </w:r>
      <w:r w:rsidR="00AA41E0">
        <w:rPr>
          <w:rFonts w:hint="cs"/>
          <w:b/>
          <w:bCs/>
          <w:sz w:val="28"/>
          <w:szCs w:val="28"/>
          <w:rtl/>
        </w:rPr>
        <w:t xml:space="preserve"> יאמר </w:t>
      </w:r>
      <w:proofErr w:type="spellStart"/>
      <w:r w:rsidR="00AA41E0">
        <w:rPr>
          <w:rFonts w:hint="cs"/>
          <w:b/>
          <w:bCs/>
          <w:sz w:val="28"/>
          <w:szCs w:val="28"/>
          <w:rtl/>
        </w:rPr>
        <w:t>מליסוס</w:t>
      </w:r>
      <w:proofErr w:type="spellEnd"/>
      <w:r w:rsidR="00AA41E0">
        <w:rPr>
          <w:rFonts w:hint="cs"/>
          <w:b/>
          <w:bCs/>
          <w:sz w:val="28"/>
          <w:szCs w:val="28"/>
          <w:rtl/>
        </w:rPr>
        <w:t xml:space="preserve"> </w:t>
      </w:r>
      <w:r w:rsidR="00836E19">
        <w:rPr>
          <w:rFonts w:hint="cs"/>
          <w:b/>
          <w:bCs/>
          <w:sz w:val="28"/>
          <w:szCs w:val="28"/>
          <w:rtl/>
        </w:rPr>
        <w:t xml:space="preserve">שהוא אין סופי, </w:t>
      </w:r>
      <w:proofErr w:type="spellStart"/>
      <w:r w:rsidR="00981BC4">
        <w:rPr>
          <w:rFonts w:hint="cs"/>
          <w:b/>
          <w:bCs/>
          <w:sz w:val="28"/>
          <w:szCs w:val="28"/>
          <w:rtl/>
        </w:rPr>
        <w:t>ופרמנידס</w:t>
      </w:r>
      <w:proofErr w:type="spellEnd"/>
      <w:r w:rsidR="00981BC4">
        <w:rPr>
          <w:rFonts w:hint="cs"/>
          <w:b/>
          <w:bCs/>
          <w:sz w:val="28"/>
          <w:szCs w:val="28"/>
          <w:rtl/>
        </w:rPr>
        <w:t xml:space="preserve"> יאמר </w:t>
      </w:r>
      <w:r w:rsidR="0008643C">
        <w:rPr>
          <w:rFonts w:hint="cs"/>
          <w:b/>
          <w:bCs/>
          <w:sz w:val="28"/>
          <w:szCs w:val="28"/>
          <w:rtl/>
        </w:rPr>
        <w:t>שהוא סופי</w:t>
      </w:r>
      <w:r w:rsidR="00665BAC">
        <w:rPr>
          <w:rStyle w:val="FootnoteReference"/>
          <w:b/>
          <w:bCs/>
          <w:sz w:val="28"/>
          <w:szCs w:val="28"/>
          <w:rtl/>
        </w:rPr>
        <w:footnoteReference w:id="373"/>
      </w:r>
      <w:r w:rsidR="0008643C">
        <w:rPr>
          <w:rFonts w:hint="cs"/>
          <w:b/>
          <w:bCs/>
          <w:sz w:val="28"/>
          <w:szCs w:val="28"/>
          <w:rtl/>
        </w:rPr>
        <w:t>.</w:t>
      </w:r>
    </w:p>
    <w:p w14:paraId="759881D1" w14:textId="3A47C98A" w:rsidR="00707F48" w:rsidRDefault="003417FC" w:rsidP="00D63738">
      <w:pPr>
        <w:pStyle w:val="FootnoteText"/>
        <w:rPr>
          <w:b/>
          <w:bCs/>
          <w:sz w:val="28"/>
          <w:szCs w:val="28"/>
          <w:rtl/>
        </w:rPr>
      </w:pPr>
      <w:r>
        <w:rPr>
          <w:rFonts w:hint="cs"/>
          <w:b/>
          <w:bCs/>
          <w:sz w:val="28"/>
          <w:szCs w:val="28"/>
          <w:rtl/>
        </w:rPr>
        <w:t xml:space="preserve">ולמשל </w:t>
      </w:r>
      <w:r w:rsidR="00E828BB">
        <w:rPr>
          <w:rFonts w:hint="cs"/>
          <w:b/>
          <w:bCs/>
          <w:sz w:val="28"/>
          <w:szCs w:val="28"/>
          <w:rtl/>
        </w:rPr>
        <w:t>הכת ש</w:t>
      </w:r>
      <w:r w:rsidR="00391961">
        <w:rPr>
          <w:rFonts w:hint="cs"/>
          <w:b/>
          <w:bCs/>
          <w:sz w:val="28"/>
          <w:szCs w:val="28"/>
          <w:rtl/>
        </w:rPr>
        <w:t xml:space="preserve">ל מי שאמר </w:t>
      </w:r>
      <w:r w:rsidR="00D24F73">
        <w:rPr>
          <w:rFonts w:hint="cs"/>
          <w:b/>
          <w:bCs/>
          <w:sz w:val="28"/>
          <w:szCs w:val="28"/>
          <w:rtl/>
        </w:rPr>
        <w:t xml:space="preserve">שהוא אחד ואין סופי </w:t>
      </w:r>
      <w:r w:rsidR="00462AB4">
        <w:rPr>
          <w:rFonts w:hint="cs"/>
          <w:b/>
          <w:bCs/>
          <w:sz w:val="28"/>
          <w:szCs w:val="28"/>
          <w:rtl/>
        </w:rPr>
        <w:t>ומ</w:t>
      </w:r>
      <w:r w:rsidR="006F74D8">
        <w:rPr>
          <w:rFonts w:hint="cs"/>
          <w:b/>
          <w:bCs/>
          <w:sz w:val="28"/>
          <w:szCs w:val="28"/>
          <w:rtl/>
        </w:rPr>
        <w:t xml:space="preserve">קבל </w:t>
      </w:r>
      <w:r w:rsidR="00462AB4">
        <w:rPr>
          <w:rFonts w:hint="cs"/>
          <w:b/>
          <w:bCs/>
          <w:sz w:val="28"/>
          <w:szCs w:val="28"/>
          <w:rtl/>
        </w:rPr>
        <w:t>תנוע</w:t>
      </w:r>
      <w:r w:rsidR="006F74D8">
        <w:rPr>
          <w:rFonts w:hint="cs"/>
          <w:b/>
          <w:bCs/>
          <w:sz w:val="28"/>
          <w:szCs w:val="28"/>
          <w:rtl/>
        </w:rPr>
        <w:t>ה</w:t>
      </w:r>
      <w:r w:rsidR="00FC0A49">
        <w:rPr>
          <w:rStyle w:val="FootnoteReference"/>
          <w:b/>
          <w:bCs/>
          <w:sz w:val="28"/>
          <w:szCs w:val="28"/>
          <w:rtl/>
        </w:rPr>
        <w:footnoteReference w:id="374"/>
      </w:r>
      <w:r w:rsidR="00677D7D">
        <w:rPr>
          <w:rFonts w:hint="cs"/>
          <w:b/>
          <w:bCs/>
          <w:sz w:val="28"/>
          <w:szCs w:val="28"/>
          <w:rtl/>
        </w:rPr>
        <w:t xml:space="preserve">, </w:t>
      </w:r>
      <w:r w:rsidR="00CC7F71">
        <w:rPr>
          <w:rFonts w:hint="cs"/>
          <w:b/>
          <w:bCs/>
          <w:sz w:val="28"/>
          <w:szCs w:val="28"/>
          <w:rtl/>
        </w:rPr>
        <w:t xml:space="preserve">אם מים, </w:t>
      </w:r>
      <w:r w:rsidR="00E30159">
        <w:rPr>
          <w:rFonts w:hint="cs"/>
          <w:b/>
          <w:bCs/>
          <w:sz w:val="28"/>
          <w:szCs w:val="28"/>
          <w:rtl/>
        </w:rPr>
        <w:t xml:space="preserve">או </w:t>
      </w:r>
      <w:r w:rsidR="00CC7F71">
        <w:rPr>
          <w:rFonts w:hint="cs"/>
          <w:b/>
          <w:bCs/>
          <w:sz w:val="28"/>
          <w:szCs w:val="28"/>
          <w:rtl/>
        </w:rPr>
        <w:t>רוח,</w:t>
      </w:r>
      <w:r w:rsidR="00E30159">
        <w:rPr>
          <w:rFonts w:hint="cs"/>
          <w:b/>
          <w:bCs/>
          <w:sz w:val="28"/>
          <w:szCs w:val="28"/>
          <w:rtl/>
        </w:rPr>
        <w:t xml:space="preserve"> או משהו אחר</w:t>
      </w:r>
      <w:r w:rsidR="000E0CFB">
        <w:rPr>
          <w:rStyle w:val="FootnoteReference"/>
          <w:b/>
          <w:bCs/>
          <w:sz w:val="28"/>
          <w:szCs w:val="28"/>
          <w:rtl/>
        </w:rPr>
        <w:footnoteReference w:id="375"/>
      </w:r>
      <w:r w:rsidR="00E30159">
        <w:rPr>
          <w:rFonts w:hint="cs"/>
          <w:b/>
          <w:bCs/>
          <w:sz w:val="28"/>
          <w:szCs w:val="28"/>
          <w:rtl/>
        </w:rPr>
        <w:t xml:space="preserve">. </w:t>
      </w:r>
    </w:p>
    <w:p w14:paraId="4725C57D" w14:textId="5C60D4EA" w:rsidR="00CD0AE9" w:rsidRDefault="00707F48" w:rsidP="00D63738">
      <w:pPr>
        <w:pStyle w:val="FootnoteText"/>
        <w:rPr>
          <w:b/>
          <w:bCs/>
          <w:sz w:val="28"/>
          <w:szCs w:val="28"/>
          <w:rtl/>
        </w:rPr>
      </w:pPr>
      <w:r>
        <w:rPr>
          <w:rFonts w:hint="cs"/>
          <w:b/>
          <w:bCs/>
          <w:sz w:val="28"/>
          <w:szCs w:val="28"/>
          <w:rtl/>
        </w:rPr>
        <w:t xml:space="preserve">והכת של מי שעושה </w:t>
      </w:r>
      <w:r w:rsidR="00367EF4">
        <w:rPr>
          <w:rFonts w:hint="cs"/>
          <w:b/>
          <w:bCs/>
          <w:sz w:val="28"/>
          <w:szCs w:val="28"/>
          <w:rtl/>
        </w:rPr>
        <w:t>את</w:t>
      </w:r>
      <w:r w:rsidR="000F182A">
        <w:rPr>
          <w:rFonts w:hint="cs"/>
          <w:b/>
          <w:bCs/>
          <w:sz w:val="28"/>
          <w:szCs w:val="28"/>
          <w:rtl/>
        </w:rPr>
        <w:t xml:space="preserve"> ההתחלות אין סופיות</w:t>
      </w:r>
      <w:r w:rsidR="00622394">
        <w:rPr>
          <w:rFonts w:hint="cs"/>
          <w:b/>
          <w:bCs/>
          <w:sz w:val="28"/>
          <w:szCs w:val="28"/>
          <w:rtl/>
        </w:rPr>
        <w:t xml:space="preserve"> במספר</w:t>
      </w:r>
      <w:r w:rsidR="00D53715">
        <w:rPr>
          <w:rStyle w:val="FootnoteReference"/>
          <w:b/>
          <w:bCs/>
          <w:sz w:val="28"/>
          <w:szCs w:val="28"/>
          <w:rtl/>
        </w:rPr>
        <w:footnoteReference w:id="376"/>
      </w:r>
      <w:r w:rsidR="000F182A">
        <w:rPr>
          <w:rFonts w:hint="cs"/>
          <w:b/>
          <w:bCs/>
          <w:sz w:val="28"/>
          <w:szCs w:val="28"/>
          <w:rtl/>
        </w:rPr>
        <w:t>,</w:t>
      </w:r>
      <w:r w:rsidR="008B0199">
        <w:rPr>
          <w:rFonts w:hint="cs"/>
          <w:b/>
          <w:bCs/>
          <w:sz w:val="28"/>
          <w:szCs w:val="28"/>
          <w:rtl/>
        </w:rPr>
        <w:t xml:space="preserve"> </w:t>
      </w:r>
      <w:r w:rsidR="004C0446">
        <w:rPr>
          <w:rFonts w:hint="cs"/>
          <w:b/>
          <w:bCs/>
          <w:sz w:val="28"/>
          <w:szCs w:val="28"/>
          <w:rtl/>
        </w:rPr>
        <w:t>א</w:t>
      </w:r>
      <w:r w:rsidR="001041A9">
        <w:rPr>
          <w:rFonts w:hint="cs"/>
          <w:b/>
          <w:bCs/>
          <w:sz w:val="28"/>
          <w:szCs w:val="28"/>
          <w:rtl/>
        </w:rPr>
        <w:t>ו</w:t>
      </w:r>
      <w:r w:rsidR="004C0446">
        <w:rPr>
          <w:rFonts w:hint="cs"/>
          <w:b/>
          <w:bCs/>
          <w:sz w:val="28"/>
          <w:szCs w:val="28"/>
          <w:rtl/>
        </w:rPr>
        <w:t xml:space="preserve"> חלקים שאינם מתחלקים</w:t>
      </w:r>
      <w:r w:rsidR="00A56A54">
        <w:rPr>
          <w:rStyle w:val="FootnoteReference"/>
          <w:b/>
          <w:bCs/>
          <w:sz w:val="28"/>
          <w:szCs w:val="28"/>
          <w:rtl/>
        </w:rPr>
        <w:footnoteReference w:id="377"/>
      </w:r>
      <w:r w:rsidR="00715B34">
        <w:rPr>
          <w:rFonts w:hint="cs"/>
          <w:b/>
          <w:bCs/>
          <w:sz w:val="28"/>
          <w:szCs w:val="28"/>
          <w:rtl/>
        </w:rPr>
        <w:t xml:space="preserve">, </w:t>
      </w:r>
      <w:r w:rsidR="00D24377">
        <w:rPr>
          <w:rFonts w:hint="cs"/>
          <w:b/>
          <w:bCs/>
          <w:sz w:val="28"/>
          <w:szCs w:val="28"/>
          <w:rtl/>
        </w:rPr>
        <w:t>מ</w:t>
      </w:r>
      <w:r w:rsidR="00866224">
        <w:rPr>
          <w:rFonts w:hint="cs"/>
          <w:b/>
          <w:bCs/>
          <w:sz w:val="28"/>
          <w:szCs w:val="28"/>
          <w:rtl/>
        </w:rPr>
        <w:t>פ</w:t>
      </w:r>
      <w:r w:rsidR="00C6769B">
        <w:rPr>
          <w:rFonts w:hint="cs"/>
          <w:b/>
          <w:bCs/>
          <w:sz w:val="28"/>
          <w:szCs w:val="28"/>
          <w:rtl/>
        </w:rPr>
        <w:t>ו</w:t>
      </w:r>
      <w:r w:rsidR="00866224">
        <w:rPr>
          <w:rFonts w:hint="cs"/>
          <w:b/>
          <w:bCs/>
          <w:sz w:val="28"/>
          <w:szCs w:val="28"/>
          <w:rtl/>
        </w:rPr>
        <w:t>זרים</w:t>
      </w:r>
      <w:r w:rsidR="00866224">
        <w:rPr>
          <w:rStyle w:val="FootnoteReference"/>
          <w:b/>
          <w:bCs/>
          <w:sz w:val="28"/>
          <w:szCs w:val="28"/>
          <w:rtl/>
        </w:rPr>
        <w:footnoteReference w:id="378"/>
      </w:r>
      <w:r w:rsidR="00715B34">
        <w:rPr>
          <w:rFonts w:hint="cs"/>
          <w:b/>
          <w:bCs/>
          <w:sz w:val="28"/>
          <w:szCs w:val="28"/>
          <w:rtl/>
        </w:rPr>
        <w:t xml:space="preserve"> בחלל הריק, </w:t>
      </w:r>
      <w:r w:rsidR="00212BBA">
        <w:rPr>
          <w:rFonts w:hint="cs"/>
          <w:b/>
          <w:bCs/>
          <w:sz w:val="28"/>
          <w:szCs w:val="28"/>
          <w:rtl/>
        </w:rPr>
        <w:t>א</w:t>
      </w:r>
      <w:r w:rsidR="001041A9">
        <w:rPr>
          <w:rFonts w:hint="cs"/>
          <w:b/>
          <w:bCs/>
          <w:sz w:val="28"/>
          <w:szCs w:val="28"/>
          <w:rtl/>
        </w:rPr>
        <w:t>ו</w:t>
      </w:r>
      <w:r w:rsidR="00212BBA">
        <w:rPr>
          <w:rFonts w:hint="cs"/>
          <w:b/>
          <w:bCs/>
          <w:sz w:val="28"/>
          <w:szCs w:val="28"/>
          <w:rtl/>
        </w:rPr>
        <w:t xml:space="preserve"> </w:t>
      </w:r>
      <w:r w:rsidR="006B494F">
        <w:rPr>
          <w:rFonts w:hint="cs"/>
          <w:b/>
          <w:bCs/>
          <w:sz w:val="28"/>
          <w:szCs w:val="28"/>
          <w:rtl/>
        </w:rPr>
        <w:t>ג</w:t>
      </w:r>
      <w:r w:rsidR="00CE5986">
        <w:rPr>
          <w:rFonts w:hint="cs"/>
          <w:b/>
          <w:bCs/>
          <w:sz w:val="28"/>
          <w:szCs w:val="28"/>
          <w:rtl/>
        </w:rPr>
        <w:t>ופ</w:t>
      </w:r>
      <w:r w:rsidR="006B494F">
        <w:rPr>
          <w:rFonts w:hint="cs"/>
          <w:b/>
          <w:bCs/>
          <w:sz w:val="28"/>
          <w:szCs w:val="28"/>
          <w:rtl/>
        </w:rPr>
        <w:t xml:space="preserve">ים </w:t>
      </w:r>
      <w:r w:rsidR="00447CDA">
        <w:rPr>
          <w:rFonts w:hint="cs"/>
          <w:b/>
          <w:bCs/>
          <w:sz w:val="28"/>
          <w:szCs w:val="28"/>
          <w:rtl/>
        </w:rPr>
        <w:t>זעירים</w:t>
      </w:r>
      <w:r w:rsidR="00C005AA">
        <w:rPr>
          <w:rStyle w:val="FootnoteReference"/>
          <w:b/>
          <w:bCs/>
          <w:sz w:val="28"/>
          <w:szCs w:val="28"/>
          <w:rtl/>
        </w:rPr>
        <w:footnoteReference w:id="379"/>
      </w:r>
      <w:r w:rsidR="00BE281D">
        <w:rPr>
          <w:rFonts w:hint="cs"/>
          <w:b/>
          <w:bCs/>
          <w:sz w:val="28"/>
          <w:szCs w:val="28"/>
          <w:rtl/>
        </w:rPr>
        <w:t xml:space="preserve"> דומים ל</w:t>
      </w:r>
      <w:r w:rsidR="00DF09C6">
        <w:rPr>
          <w:rFonts w:hint="cs"/>
          <w:b/>
          <w:bCs/>
          <w:sz w:val="28"/>
          <w:szCs w:val="28"/>
          <w:rtl/>
        </w:rPr>
        <w:t>אל</w:t>
      </w:r>
      <w:r w:rsidR="00BE281D">
        <w:rPr>
          <w:rFonts w:hint="cs"/>
          <w:b/>
          <w:bCs/>
          <w:sz w:val="28"/>
          <w:szCs w:val="28"/>
          <w:rtl/>
        </w:rPr>
        <w:t>ה שיהי</w:t>
      </w:r>
      <w:r w:rsidR="001A3207">
        <w:rPr>
          <w:rFonts w:hint="cs"/>
          <w:b/>
          <w:bCs/>
          <w:sz w:val="28"/>
          <w:szCs w:val="28"/>
          <w:rtl/>
        </w:rPr>
        <w:t xml:space="preserve">ו </w:t>
      </w:r>
      <w:r w:rsidR="00BE281D">
        <w:rPr>
          <w:rFonts w:hint="cs"/>
          <w:b/>
          <w:bCs/>
          <w:sz w:val="28"/>
          <w:szCs w:val="28"/>
          <w:rtl/>
        </w:rPr>
        <w:t xml:space="preserve">מהם המים, </w:t>
      </w:r>
      <w:r w:rsidR="001A3207">
        <w:rPr>
          <w:rFonts w:hint="cs"/>
          <w:b/>
          <w:bCs/>
          <w:sz w:val="28"/>
          <w:szCs w:val="28"/>
          <w:rtl/>
        </w:rPr>
        <w:t>האוויר,</w:t>
      </w:r>
      <w:r w:rsidR="00EE3116">
        <w:rPr>
          <w:rFonts w:hint="cs"/>
          <w:b/>
          <w:bCs/>
          <w:sz w:val="28"/>
          <w:szCs w:val="28"/>
          <w:rtl/>
        </w:rPr>
        <w:t xml:space="preserve"> </w:t>
      </w:r>
      <w:r w:rsidR="00745353">
        <w:rPr>
          <w:rFonts w:hint="cs"/>
          <w:b/>
          <w:bCs/>
          <w:sz w:val="28"/>
          <w:szCs w:val="28"/>
          <w:rtl/>
        </w:rPr>
        <w:t>ו</w:t>
      </w:r>
      <w:r w:rsidR="00EB56EB">
        <w:rPr>
          <w:rFonts w:hint="cs"/>
          <w:b/>
          <w:bCs/>
          <w:sz w:val="28"/>
          <w:szCs w:val="28"/>
          <w:rtl/>
        </w:rPr>
        <w:t xml:space="preserve">אחרים, </w:t>
      </w:r>
      <w:r w:rsidR="00C6090C">
        <w:rPr>
          <w:rFonts w:hint="cs"/>
          <w:b/>
          <w:bCs/>
          <w:sz w:val="28"/>
          <w:szCs w:val="28"/>
          <w:rtl/>
        </w:rPr>
        <w:t xml:space="preserve">מעורבים כולם </w:t>
      </w:r>
      <w:r w:rsidR="00C6090C" w:rsidRPr="71CDDEE8">
        <w:rPr>
          <w:b/>
          <w:bCs/>
          <w:sz w:val="28"/>
          <w:szCs w:val="28"/>
          <w:rtl/>
        </w:rPr>
        <w:t xml:space="preserve">ליצור את </w:t>
      </w:r>
      <w:r w:rsidR="00604A81" w:rsidRPr="71CDDEE8">
        <w:rPr>
          <w:b/>
          <w:bCs/>
          <w:sz w:val="28"/>
          <w:szCs w:val="28"/>
          <w:rtl/>
        </w:rPr>
        <w:t>ה</w:t>
      </w:r>
      <w:r w:rsidR="00C6090C" w:rsidRPr="71CDDEE8">
        <w:rPr>
          <w:b/>
          <w:bCs/>
          <w:sz w:val="28"/>
          <w:szCs w:val="28"/>
          <w:rtl/>
        </w:rPr>
        <w:t>כל</w:t>
      </w:r>
      <w:r w:rsidR="00604A81">
        <w:rPr>
          <w:rStyle w:val="FootnoteReference"/>
          <w:b/>
          <w:bCs/>
          <w:sz w:val="28"/>
          <w:szCs w:val="28"/>
          <w:rtl/>
        </w:rPr>
        <w:footnoteReference w:id="380"/>
      </w:r>
      <w:r w:rsidR="00604A81">
        <w:rPr>
          <w:rFonts w:hint="cs"/>
          <w:b/>
          <w:bCs/>
          <w:sz w:val="28"/>
          <w:szCs w:val="28"/>
          <w:rtl/>
        </w:rPr>
        <w:t>.</w:t>
      </w:r>
      <w:r w:rsidR="00CC7F71">
        <w:rPr>
          <w:rFonts w:hint="cs"/>
          <w:b/>
          <w:bCs/>
          <w:sz w:val="28"/>
          <w:szCs w:val="28"/>
          <w:rtl/>
        </w:rPr>
        <w:t xml:space="preserve"> </w:t>
      </w:r>
    </w:p>
    <w:p w14:paraId="65BA521F" w14:textId="2F6A9EE1" w:rsidR="00D80CC3" w:rsidRDefault="00CD0AE9" w:rsidP="00AF63E4">
      <w:pPr>
        <w:pStyle w:val="FootnoteText"/>
        <w:rPr>
          <w:b/>
          <w:bCs/>
          <w:sz w:val="28"/>
          <w:szCs w:val="28"/>
        </w:rPr>
      </w:pPr>
      <w:r>
        <w:rPr>
          <w:rFonts w:hint="cs"/>
          <w:b/>
          <w:bCs/>
          <w:sz w:val="28"/>
          <w:szCs w:val="28"/>
          <w:rtl/>
        </w:rPr>
        <w:t>ושאר הכתות המוזכרות בספרי המהלכים</w:t>
      </w:r>
      <w:r w:rsidR="00947CDE">
        <w:rPr>
          <w:rStyle w:val="FootnoteReference"/>
          <w:b/>
          <w:bCs/>
          <w:sz w:val="28"/>
          <w:szCs w:val="28"/>
          <w:rtl/>
        </w:rPr>
        <w:footnoteReference w:id="381"/>
      </w:r>
      <w:r>
        <w:rPr>
          <w:rFonts w:hint="cs"/>
          <w:b/>
          <w:bCs/>
          <w:sz w:val="28"/>
          <w:szCs w:val="28"/>
          <w:rtl/>
        </w:rPr>
        <w:t>.</w:t>
      </w:r>
      <w:r w:rsidR="00CA01B9">
        <w:rPr>
          <w:rFonts w:hint="cs"/>
          <w:b/>
          <w:bCs/>
          <w:sz w:val="28"/>
          <w:szCs w:val="28"/>
          <w:rtl/>
        </w:rPr>
        <w:t xml:space="preserve"> </w:t>
      </w:r>
      <w:r w:rsidR="00943AFC">
        <w:rPr>
          <w:rFonts w:hint="cs"/>
          <w:b/>
          <w:bCs/>
          <w:sz w:val="28"/>
          <w:szCs w:val="28"/>
          <w:rtl/>
        </w:rPr>
        <w:t xml:space="preserve">ונדבר </w:t>
      </w:r>
      <w:r w:rsidR="008E44BC">
        <w:rPr>
          <w:rFonts w:hint="cs"/>
          <w:b/>
          <w:bCs/>
          <w:sz w:val="28"/>
          <w:szCs w:val="28"/>
          <w:rtl/>
        </w:rPr>
        <w:t xml:space="preserve">בדרך בה נפריך את שיטותיהם. </w:t>
      </w:r>
    </w:p>
    <w:p w14:paraId="252B7B58" w14:textId="171B1A11" w:rsidR="00D80CC3" w:rsidRPr="00572BDA" w:rsidRDefault="00950B02" w:rsidP="003266A1">
      <w:pPr>
        <w:pStyle w:val="Heading4"/>
        <w:rPr>
          <w:rtl/>
        </w:rPr>
      </w:pPr>
      <w:bookmarkStart w:id="194" w:name="_Toc119092645"/>
      <w:r w:rsidRPr="00572BDA">
        <w:rPr>
          <w:rFonts w:hint="cs"/>
          <w:rtl/>
        </w:rPr>
        <w:t>1.4.</w:t>
      </w:r>
      <w:r w:rsidR="00545E26">
        <w:rPr>
          <w:rFonts w:hint="cs"/>
          <w:rtl/>
        </w:rPr>
        <w:t>2</w:t>
      </w:r>
      <w:bookmarkEnd w:id="194"/>
    </w:p>
    <w:p w14:paraId="3162A3CB" w14:textId="77777777" w:rsidR="00435AE0" w:rsidRDefault="00001895" w:rsidP="00D63738">
      <w:pPr>
        <w:pStyle w:val="FootnoteText"/>
        <w:rPr>
          <w:b/>
          <w:bCs/>
          <w:sz w:val="28"/>
          <w:szCs w:val="28"/>
          <w:rtl/>
        </w:rPr>
      </w:pPr>
      <w:r>
        <w:rPr>
          <w:rFonts w:hint="cs"/>
          <w:b/>
          <w:bCs/>
          <w:sz w:val="28"/>
          <w:szCs w:val="28"/>
          <w:rtl/>
        </w:rPr>
        <w:t>וא</w:t>
      </w:r>
      <w:r w:rsidR="005B0F54">
        <w:rPr>
          <w:rFonts w:hint="cs"/>
          <w:b/>
          <w:bCs/>
          <w:sz w:val="28"/>
          <w:szCs w:val="28"/>
          <w:rtl/>
        </w:rPr>
        <w:t>ו</w:t>
      </w:r>
      <w:r>
        <w:rPr>
          <w:rFonts w:hint="cs"/>
          <w:b/>
          <w:bCs/>
          <w:sz w:val="28"/>
          <w:szCs w:val="28"/>
          <w:rtl/>
        </w:rPr>
        <w:t xml:space="preserve">מר על </w:t>
      </w:r>
      <w:r w:rsidR="00CD7D84">
        <w:rPr>
          <w:rFonts w:hint="cs"/>
          <w:b/>
          <w:bCs/>
          <w:sz w:val="28"/>
          <w:szCs w:val="28"/>
          <w:rtl/>
        </w:rPr>
        <w:t xml:space="preserve">דעת </w:t>
      </w:r>
      <w:proofErr w:type="spellStart"/>
      <w:r w:rsidR="00CD7D84">
        <w:rPr>
          <w:rFonts w:hint="cs"/>
          <w:b/>
          <w:bCs/>
          <w:sz w:val="28"/>
          <w:szCs w:val="28"/>
          <w:rtl/>
        </w:rPr>
        <w:t>מליסוס</w:t>
      </w:r>
      <w:proofErr w:type="spellEnd"/>
      <w:r w:rsidR="00CD7D84">
        <w:rPr>
          <w:rFonts w:hint="cs"/>
          <w:b/>
          <w:bCs/>
          <w:sz w:val="28"/>
          <w:szCs w:val="28"/>
          <w:rtl/>
        </w:rPr>
        <w:t xml:space="preserve"> </w:t>
      </w:r>
      <w:proofErr w:type="spellStart"/>
      <w:r w:rsidR="00CD7D84">
        <w:rPr>
          <w:rFonts w:hint="cs"/>
          <w:b/>
          <w:bCs/>
          <w:sz w:val="28"/>
          <w:szCs w:val="28"/>
          <w:rtl/>
        </w:rPr>
        <w:t>ופרמנידס</w:t>
      </w:r>
      <w:proofErr w:type="spellEnd"/>
      <w:r w:rsidR="00791299">
        <w:rPr>
          <w:rFonts w:hint="cs"/>
          <w:b/>
          <w:bCs/>
          <w:sz w:val="28"/>
          <w:szCs w:val="28"/>
          <w:rtl/>
        </w:rPr>
        <w:t xml:space="preserve"> - אינני מבין אותה</w:t>
      </w:r>
      <w:r w:rsidR="008F4DD9">
        <w:rPr>
          <w:rFonts w:hint="cs"/>
          <w:b/>
          <w:bCs/>
          <w:sz w:val="28"/>
          <w:szCs w:val="28"/>
          <w:rtl/>
        </w:rPr>
        <w:t>.</w:t>
      </w:r>
      <w:r w:rsidR="00C04D62">
        <w:rPr>
          <w:rFonts w:hint="cs"/>
          <w:b/>
          <w:bCs/>
          <w:sz w:val="28"/>
          <w:szCs w:val="28"/>
          <w:rtl/>
        </w:rPr>
        <w:t xml:space="preserve"> </w:t>
      </w:r>
      <w:r w:rsidR="00D12603">
        <w:rPr>
          <w:rFonts w:hint="cs"/>
          <w:b/>
          <w:bCs/>
          <w:sz w:val="28"/>
          <w:szCs w:val="28"/>
          <w:rtl/>
        </w:rPr>
        <w:t>אינ</w:t>
      </w:r>
      <w:r w:rsidR="008F4DD9">
        <w:rPr>
          <w:rFonts w:hint="cs"/>
          <w:b/>
          <w:bCs/>
          <w:sz w:val="28"/>
          <w:szCs w:val="28"/>
          <w:rtl/>
        </w:rPr>
        <w:t>נ</w:t>
      </w:r>
      <w:r w:rsidR="00D12603">
        <w:rPr>
          <w:rFonts w:hint="cs"/>
          <w:b/>
          <w:bCs/>
          <w:sz w:val="28"/>
          <w:szCs w:val="28"/>
          <w:rtl/>
        </w:rPr>
        <w:t>י יכול</w:t>
      </w:r>
      <w:r w:rsidR="008F4DD9">
        <w:rPr>
          <w:rFonts w:hint="cs"/>
          <w:b/>
          <w:bCs/>
          <w:sz w:val="28"/>
          <w:szCs w:val="28"/>
          <w:rtl/>
        </w:rPr>
        <w:t xml:space="preserve"> </w:t>
      </w:r>
      <w:r w:rsidR="00012550">
        <w:rPr>
          <w:rFonts w:hint="cs"/>
          <w:b/>
          <w:bCs/>
          <w:sz w:val="28"/>
          <w:szCs w:val="28"/>
          <w:rtl/>
        </w:rPr>
        <w:t>ל</w:t>
      </w:r>
      <w:r w:rsidR="00BA0F7C">
        <w:rPr>
          <w:rFonts w:hint="cs"/>
          <w:b/>
          <w:bCs/>
          <w:sz w:val="28"/>
          <w:szCs w:val="28"/>
          <w:rtl/>
        </w:rPr>
        <w:t>ומר</w:t>
      </w:r>
      <w:r w:rsidR="00012550">
        <w:rPr>
          <w:rFonts w:hint="cs"/>
          <w:b/>
          <w:bCs/>
          <w:sz w:val="28"/>
          <w:szCs w:val="28"/>
          <w:rtl/>
        </w:rPr>
        <w:t xml:space="preserve"> מה הם </w:t>
      </w:r>
      <w:r w:rsidR="009A12D7">
        <w:rPr>
          <w:rFonts w:hint="cs"/>
          <w:b/>
          <w:bCs/>
          <w:sz w:val="28"/>
          <w:szCs w:val="28"/>
          <w:rtl/>
        </w:rPr>
        <w:t>אמר</w:t>
      </w:r>
      <w:r w:rsidR="00012550">
        <w:rPr>
          <w:rFonts w:hint="cs"/>
          <w:b/>
          <w:bCs/>
          <w:sz w:val="28"/>
          <w:szCs w:val="28"/>
          <w:rtl/>
        </w:rPr>
        <w:t xml:space="preserve">ו </w:t>
      </w:r>
      <w:r w:rsidR="00556B27">
        <w:rPr>
          <w:rFonts w:hint="cs"/>
          <w:b/>
          <w:bCs/>
          <w:sz w:val="28"/>
          <w:szCs w:val="28"/>
          <w:rtl/>
        </w:rPr>
        <w:t>בה,</w:t>
      </w:r>
      <w:r w:rsidR="009A12D7">
        <w:rPr>
          <w:rFonts w:hint="cs"/>
          <w:b/>
          <w:bCs/>
          <w:sz w:val="28"/>
          <w:szCs w:val="28"/>
          <w:rtl/>
        </w:rPr>
        <w:t xml:space="preserve"> </w:t>
      </w:r>
      <w:r w:rsidR="005D59D8">
        <w:rPr>
          <w:rFonts w:hint="cs"/>
          <w:b/>
          <w:bCs/>
          <w:sz w:val="28"/>
          <w:szCs w:val="28"/>
          <w:rtl/>
        </w:rPr>
        <w:t xml:space="preserve">ואינני </w:t>
      </w:r>
      <w:r w:rsidR="00E11076">
        <w:rPr>
          <w:rFonts w:hint="cs"/>
          <w:b/>
          <w:bCs/>
          <w:sz w:val="28"/>
          <w:szCs w:val="28"/>
          <w:rtl/>
        </w:rPr>
        <w:t>מאמין שהם הגיעו ל</w:t>
      </w:r>
      <w:r w:rsidR="006F451E">
        <w:rPr>
          <w:rFonts w:hint="cs"/>
          <w:b/>
          <w:bCs/>
          <w:sz w:val="28"/>
          <w:szCs w:val="28"/>
          <w:rtl/>
        </w:rPr>
        <w:t>מיד</w:t>
      </w:r>
      <w:r w:rsidR="00E11076">
        <w:rPr>
          <w:rFonts w:hint="cs"/>
          <w:b/>
          <w:bCs/>
          <w:sz w:val="28"/>
          <w:szCs w:val="28"/>
          <w:rtl/>
        </w:rPr>
        <w:t>ה הז</w:t>
      </w:r>
      <w:r w:rsidR="006A0204">
        <w:rPr>
          <w:rFonts w:hint="cs"/>
          <w:b/>
          <w:bCs/>
          <w:sz w:val="28"/>
          <w:szCs w:val="28"/>
          <w:rtl/>
        </w:rPr>
        <w:t>ו</w:t>
      </w:r>
      <w:r w:rsidR="00E11076">
        <w:rPr>
          <w:rFonts w:hint="cs"/>
          <w:b/>
          <w:bCs/>
          <w:sz w:val="28"/>
          <w:szCs w:val="28"/>
          <w:rtl/>
        </w:rPr>
        <w:t xml:space="preserve"> של </w:t>
      </w:r>
      <w:r w:rsidR="006A0204">
        <w:rPr>
          <w:rFonts w:hint="cs"/>
          <w:b/>
          <w:bCs/>
          <w:sz w:val="28"/>
          <w:szCs w:val="28"/>
          <w:rtl/>
        </w:rPr>
        <w:t>שט</w:t>
      </w:r>
      <w:r w:rsidR="00E11076">
        <w:rPr>
          <w:rFonts w:hint="cs"/>
          <w:b/>
          <w:bCs/>
          <w:sz w:val="28"/>
          <w:szCs w:val="28"/>
          <w:rtl/>
        </w:rPr>
        <w:t xml:space="preserve">ות </w:t>
      </w:r>
      <w:proofErr w:type="spellStart"/>
      <w:r w:rsidR="00E11076">
        <w:rPr>
          <w:rFonts w:hint="cs"/>
          <w:b/>
          <w:bCs/>
          <w:sz w:val="28"/>
          <w:szCs w:val="28"/>
          <w:rtl/>
        </w:rPr>
        <w:t>וטפשות</w:t>
      </w:r>
      <w:proofErr w:type="spellEnd"/>
      <w:r w:rsidR="00E11076">
        <w:rPr>
          <w:rFonts w:hint="cs"/>
          <w:b/>
          <w:bCs/>
          <w:sz w:val="28"/>
          <w:szCs w:val="28"/>
          <w:rtl/>
        </w:rPr>
        <w:t xml:space="preserve">, </w:t>
      </w:r>
      <w:r w:rsidR="006F451E">
        <w:rPr>
          <w:rFonts w:hint="cs"/>
          <w:b/>
          <w:bCs/>
          <w:sz w:val="28"/>
          <w:szCs w:val="28"/>
          <w:rtl/>
        </w:rPr>
        <w:t>ש</w:t>
      </w:r>
      <w:r w:rsidR="00A93900">
        <w:rPr>
          <w:rFonts w:hint="cs"/>
          <w:b/>
          <w:bCs/>
          <w:sz w:val="28"/>
          <w:szCs w:val="28"/>
          <w:rtl/>
        </w:rPr>
        <w:t xml:space="preserve">לכאורה </w:t>
      </w:r>
      <w:r w:rsidR="009A7D2E">
        <w:rPr>
          <w:rFonts w:hint="cs"/>
          <w:b/>
          <w:bCs/>
          <w:sz w:val="28"/>
          <w:szCs w:val="28"/>
          <w:rtl/>
        </w:rPr>
        <w:t>מעיד</w:t>
      </w:r>
      <w:r w:rsidR="00A93900">
        <w:rPr>
          <w:rFonts w:hint="cs"/>
          <w:b/>
          <w:bCs/>
          <w:sz w:val="28"/>
          <w:szCs w:val="28"/>
          <w:rtl/>
        </w:rPr>
        <w:t>ים</w:t>
      </w:r>
      <w:r w:rsidR="009A7D2E">
        <w:rPr>
          <w:rFonts w:hint="cs"/>
          <w:b/>
          <w:bCs/>
          <w:sz w:val="28"/>
          <w:szCs w:val="28"/>
          <w:rtl/>
        </w:rPr>
        <w:t xml:space="preserve"> עליה</w:t>
      </w:r>
      <w:r w:rsidR="00AA6140">
        <w:rPr>
          <w:rFonts w:hint="cs"/>
          <w:b/>
          <w:bCs/>
          <w:sz w:val="28"/>
          <w:szCs w:val="28"/>
          <w:rtl/>
        </w:rPr>
        <w:t xml:space="preserve"> </w:t>
      </w:r>
      <w:r w:rsidR="009A7D2E">
        <w:rPr>
          <w:rFonts w:hint="cs"/>
          <w:b/>
          <w:bCs/>
          <w:sz w:val="28"/>
          <w:szCs w:val="28"/>
          <w:rtl/>
        </w:rPr>
        <w:t>דבריהם.</w:t>
      </w:r>
      <w:r w:rsidR="00047FB3">
        <w:rPr>
          <w:rFonts w:hint="cs"/>
          <w:b/>
          <w:bCs/>
          <w:sz w:val="28"/>
          <w:szCs w:val="28"/>
          <w:rtl/>
        </w:rPr>
        <w:t xml:space="preserve"> </w:t>
      </w:r>
      <w:r w:rsidR="00B322FB">
        <w:rPr>
          <w:rFonts w:hint="cs"/>
          <w:b/>
          <w:bCs/>
          <w:sz w:val="28"/>
          <w:szCs w:val="28"/>
          <w:rtl/>
        </w:rPr>
        <w:t xml:space="preserve">ולהם </w:t>
      </w:r>
      <w:r w:rsidR="00485337">
        <w:rPr>
          <w:rFonts w:hint="cs"/>
          <w:b/>
          <w:bCs/>
          <w:sz w:val="28"/>
          <w:szCs w:val="28"/>
          <w:rtl/>
        </w:rPr>
        <w:t xml:space="preserve">דיבורים גם </w:t>
      </w:r>
      <w:r w:rsidR="00F33200">
        <w:rPr>
          <w:rFonts w:hint="cs"/>
          <w:b/>
          <w:bCs/>
          <w:sz w:val="28"/>
          <w:szCs w:val="28"/>
          <w:rtl/>
        </w:rPr>
        <w:t xml:space="preserve">על הדברים הטבעיים </w:t>
      </w:r>
      <w:r w:rsidR="00580DDD">
        <w:rPr>
          <w:rFonts w:hint="cs"/>
          <w:b/>
          <w:bCs/>
          <w:sz w:val="28"/>
          <w:szCs w:val="28"/>
          <w:rtl/>
        </w:rPr>
        <w:t xml:space="preserve">ועל </w:t>
      </w:r>
      <w:r w:rsidR="00D32C0B">
        <w:rPr>
          <w:rFonts w:hint="cs"/>
          <w:b/>
          <w:bCs/>
          <w:sz w:val="28"/>
          <w:szCs w:val="28"/>
          <w:rtl/>
        </w:rPr>
        <w:t>התחלות</w:t>
      </w:r>
      <w:r w:rsidR="00142295">
        <w:rPr>
          <w:rFonts w:hint="cs"/>
          <w:b/>
          <w:bCs/>
          <w:sz w:val="28"/>
          <w:szCs w:val="28"/>
          <w:rtl/>
        </w:rPr>
        <w:t xml:space="preserve"> רבות</w:t>
      </w:r>
      <w:r w:rsidR="00D32C0B">
        <w:rPr>
          <w:rFonts w:hint="cs"/>
          <w:b/>
          <w:bCs/>
          <w:sz w:val="28"/>
          <w:szCs w:val="28"/>
          <w:rtl/>
        </w:rPr>
        <w:t xml:space="preserve"> שלהם, </w:t>
      </w:r>
      <w:r w:rsidR="00647F76">
        <w:rPr>
          <w:rFonts w:hint="cs"/>
          <w:b/>
          <w:bCs/>
          <w:sz w:val="28"/>
          <w:szCs w:val="28"/>
          <w:rtl/>
        </w:rPr>
        <w:t xml:space="preserve">למשל </w:t>
      </w:r>
      <w:r w:rsidR="00F278E2">
        <w:rPr>
          <w:rFonts w:hint="cs"/>
          <w:b/>
          <w:bCs/>
          <w:sz w:val="28"/>
          <w:szCs w:val="28"/>
          <w:rtl/>
        </w:rPr>
        <w:t xml:space="preserve">דברי </w:t>
      </w:r>
      <w:proofErr w:type="spellStart"/>
      <w:r w:rsidR="0018006B">
        <w:rPr>
          <w:rFonts w:hint="cs"/>
          <w:b/>
          <w:bCs/>
          <w:sz w:val="28"/>
          <w:szCs w:val="28"/>
          <w:rtl/>
        </w:rPr>
        <w:t>פרמנידס</w:t>
      </w:r>
      <w:proofErr w:type="spellEnd"/>
      <w:r w:rsidR="0018006B">
        <w:rPr>
          <w:rFonts w:hint="cs"/>
          <w:b/>
          <w:bCs/>
          <w:sz w:val="28"/>
          <w:szCs w:val="28"/>
          <w:rtl/>
        </w:rPr>
        <w:t xml:space="preserve"> </w:t>
      </w:r>
      <w:r w:rsidR="00F278E2">
        <w:rPr>
          <w:rFonts w:hint="cs"/>
          <w:b/>
          <w:bCs/>
          <w:sz w:val="28"/>
          <w:szCs w:val="28"/>
          <w:rtl/>
        </w:rPr>
        <w:t>באדמה ובאש</w:t>
      </w:r>
      <w:r w:rsidR="00257251">
        <w:rPr>
          <w:rStyle w:val="FootnoteReference"/>
          <w:b/>
          <w:bCs/>
          <w:sz w:val="28"/>
          <w:szCs w:val="28"/>
          <w:rtl/>
        </w:rPr>
        <w:footnoteReference w:id="382"/>
      </w:r>
      <w:r w:rsidR="00F278E2">
        <w:rPr>
          <w:rFonts w:hint="cs"/>
          <w:b/>
          <w:bCs/>
          <w:sz w:val="28"/>
          <w:szCs w:val="28"/>
          <w:rtl/>
        </w:rPr>
        <w:t>,</w:t>
      </w:r>
      <w:r w:rsidR="009842FD">
        <w:rPr>
          <w:rFonts w:hint="cs"/>
          <w:b/>
          <w:bCs/>
          <w:sz w:val="28"/>
          <w:szCs w:val="28"/>
          <w:rtl/>
        </w:rPr>
        <w:t xml:space="preserve"> ועל הרכב</w:t>
      </w:r>
      <w:r w:rsidR="00A0214F">
        <w:rPr>
          <w:rFonts w:hint="cs"/>
          <w:b/>
          <w:bCs/>
          <w:sz w:val="28"/>
          <w:szCs w:val="28"/>
          <w:rtl/>
        </w:rPr>
        <w:t>ת</w:t>
      </w:r>
      <w:r w:rsidR="009842FD">
        <w:rPr>
          <w:rFonts w:hint="cs"/>
          <w:b/>
          <w:bCs/>
          <w:sz w:val="28"/>
          <w:szCs w:val="28"/>
          <w:rtl/>
        </w:rPr>
        <w:t xml:space="preserve"> ה</w:t>
      </w:r>
      <w:r w:rsidR="00A0214F">
        <w:rPr>
          <w:rFonts w:hint="cs"/>
          <w:b/>
          <w:bCs/>
          <w:sz w:val="28"/>
          <w:szCs w:val="28"/>
          <w:rtl/>
        </w:rPr>
        <w:t xml:space="preserve">נמצאות מהם. </w:t>
      </w:r>
    </w:p>
    <w:p w14:paraId="79DE7134" w14:textId="77777777" w:rsidR="00B132F7" w:rsidRDefault="00EC455E" w:rsidP="009054F3">
      <w:pPr>
        <w:pStyle w:val="FootnoteText"/>
        <w:rPr>
          <w:b/>
          <w:bCs/>
          <w:sz w:val="28"/>
          <w:szCs w:val="28"/>
          <w:rtl/>
        </w:rPr>
      </w:pPr>
      <w:r>
        <w:rPr>
          <w:rFonts w:hint="cs"/>
          <w:b/>
          <w:bCs/>
          <w:sz w:val="28"/>
          <w:szCs w:val="28"/>
          <w:rtl/>
        </w:rPr>
        <w:t xml:space="preserve">וקרוב לוודאי </w:t>
      </w:r>
      <w:r w:rsidR="00166BB4">
        <w:rPr>
          <w:rFonts w:hint="cs"/>
          <w:b/>
          <w:bCs/>
          <w:sz w:val="28"/>
          <w:szCs w:val="28"/>
          <w:rtl/>
        </w:rPr>
        <w:t xml:space="preserve">שכוונתם </w:t>
      </w:r>
      <w:r w:rsidR="00D62939">
        <w:rPr>
          <w:rFonts w:hint="cs"/>
          <w:b/>
          <w:bCs/>
          <w:sz w:val="28"/>
          <w:szCs w:val="28"/>
          <w:rtl/>
        </w:rPr>
        <w:t xml:space="preserve">לגבי </w:t>
      </w:r>
      <w:r w:rsidR="00094722">
        <w:rPr>
          <w:rFonts w:hint="cs"/>
          <w:b/>
          <w:bCs/>
          <w:sz w:val="28"/>
          <w:szCs w:val="28"/>
          <w:rtl/>
        </w:rPr>
        <w:t>'</w:t>
      </w:r>
      <w:r w:rsidR="00D62939">
        <w:rPr>
          <w:rFonts w:hint="cs"/>
          <w:b/>
          <w:bCs/>
          <w:sz w:val="28"/>
          <w:szCs w:val="28"/>
          <w:rtl/>
        </w:rPr>
        <w:t>מה שקיים</w:t>
      </w:r>
      <w:r w:rsidR="00094722">
        <w:rPr>
          <w:rFonts w:hint="cs"/>
          <w:b/>
          <w:bCs/>
          <w:sz w:val="28"/>
          <w:szCs w:val="28"/>
          <w:rtl/>
        </w:rPr>
        <w:t>'</w:t>
      </w:r>
      <w:r w:rsidR="00D62939">
        <w:rPr>
          <w:rFonts w:hint="cs"/>
          <w:b/>
          <w:bCs/>
          <w:sz w:val="28"/>
          <w:szCs w:val="28"/>
          <w:rtl/>
        </w:rPr>
        <w:t xml:space="preserve"> היא לקיום ההכרחי</w:t>
      </w:r>
      <w:r w:rsidR="00435AE0">
        <w:rPr>
          <w:rStyle w:val="FootnoteReference"/>
          <w:b/>
          <w:bCs/>
          <w:sz w:val="28"/>
          <w:szCs w:val="28"/>
          <w:rtl/>
        </w:rPr>
        <w:footnoteReference w:id="383"/>
      </w:r>
      <w:r w:rsidR="00D62939">
        <w:rPr>
          <w:rFonts w:hint="cs"/>
          <w:b/>
          <w:bCs/>
          <w:sz w:val="28"/>
          <w:szCs w:val="28"/>
          <w:rtl/>
        </w:rPr>
        <w:t xml:space="preserve">, </w:t>
      </w:r>
      <w:r w:rsidR="00350A84">
        <w:rPr>
          <w:rFonts w:hint="cs"/>
          <w:b/>
          <w:bCs/>
          <w:sz w:val="28"/>
          <w:szCs w:val="28"/>
          <w:rtl/>
        </w:rPr>
        <w:t>הקיום שהוא קיים</w:t>
      </w:r>
      <w:r w:rsidR="0076554F">
        <w:rPr>
          <w:rFonts w:hint="cs"/>
          <w:b/>
          <w:bCs/>
          <w:sz w:val="28"/>
          <w:szCs w:val="28"/>
          <w:rtl/>
        </w:rPr>
        <w:t xml:space="preserve"> באמת</w:t>
      </w:r>
      <w:r w:rsidR="00350A84">
        <w:rPr>
          <w:rFonts w:hint="cs"/>
          <w:b/>
          <w:bCs/>
          <w:sz w:val="28"/>
          <w:szCs w:val="28"/>
          <w:rtl/>
        </w:rPr>
        <w:t xml:space="preserve">, </w:t>
      </w:r>
      <w:r w:rsidR="0005160C">
        <w:rPr>
          <w:rFonts w:hint="cs"/>
          <w:b/>
          <w:bCs/>
          <w:sz w:val="28"/>
          <w:szCs w:val="28"/>
          <w:rtl/>
        </w:rPr>
        <w:t>כמו שתלמד בעניין זה</w:t>
      </w:r>
      <w:r w:rsidR="000211BD">
        <w:rPr>
          <w:rStyle w:val="FootnoteReference"/>
          <w:b/>
          <w:bCs/>
          <w:sz w:val="28"/>
          <w:szCs w:val="28"/>
          <w:rtl/>
        </w:rPr>
        <w:footnoteReference w:id="384"/>
      </w:r>
      <w:r w:rsidR="0005160C">
        <w:rPr>
          <w:rFonts w:hint="cs"/>
          <w:b/>
          <w:bCs/>
          <w:sz w:val="28"/>
          <w:szCs w:val="28"/>
          <w:rtl/>
        </w:rPr>
        <w:t>, והוא אין סופי</w:t>
      </w:r>
      <w:r w:rsidR="00142333">
        <w:rPr>
          <w:rFonts w:hint="cs"/>
          <w:b/>
          <w:bCs/>
          <w:sz w:val="28"/>
          <w:szCs w:val="28"/>
          <w:rtl/>
        </w:rPr>
        <w:t xml:space="preserve"> ולא מתנועע</w:t>
      </w:r>
      <w:r w:rsidR="0005160C">
        <w:rPr>
          <w:rFonts w:hint="cs"/>
          <w:b/>
          <w:bCs/>
          <w:sz w:val="28"/>
          <w:szCs w:val="28"/>
          <w:rtl/>
        </w:rPr>
        <w:t>,</w:t>
      </w:r>
      <w:r w:rsidR="00077F93">
        <w:rPr>
          <w:rFonts w:hint="cs"/>
          <w:b/>
          <w:bCs/>
          <w:sz w:val="28"/>
          <w:szCs w:val="28"/>
          <w:rtl/>
        </w:rPr>
        <w:t xml:space="preserve"> </w:t>
      </w:r>
      <w:r w:rsidR="005B0F54">
        <w:rPr>
          <w:rFonts w:hint="cs"/>
          <w:b/>
          <w:bCs/>
          <w:sz w:val="28"/>
          <w:szCs w:val="28"/>
          <w:rtl/>
        </w:rPr>
        <w:t>ואין סוף לכוחו</w:t>
      </w:r>
      <w:r w:rsidR="00EE5B62">
        <w:rPr>
          <w:rFonts w:hint="cs"/>
          <w:b/>
          <w:bCs/>
          <w:sz w:val="28"/>
          <w:szCs w:val="28"/>
          <w:rtl/>
        </w:rPr>
        <w:t xml:space="preserve">; או שהוא סופי במובן שהוא התכלית </w:t>
      </w:r>
      <w:r w:rsidR="006441D9">
        <w:rPr>
          <w:rFonts w:hint="cs"/>
          <w:b/>
          <w:bCs/>
          <w:sz w:val="28"/>
          <w:szCs w:val="28"/>
          <w:rtl/>
        </w:rPr>
        <w:t>שאליה</w:t>
      </w:r>
      <w:r w:rsidR="002F153C">
        <w:rPr>
          <w:rFonts w:hint="cs"/>
          <w:b/>
          <w:bCs/>
          <w:sz w:val="28"/>
          <w:szCs w:val="28"/>
          <w:rtl/>
        </w:rPr>
        <w:t xml:space="preserve"> </w:t>
      </w:r>
      <w:r w:rsidR="00AD7522" w:rsidRPr="00AD7522">
        <w:rPr>
          <w:b/>
          <w:bCs/>
          <w:sz w:val="28"/>
          <w:szCs w:val="28"/>
          <w:rtl/>
        </w:rPr>
        <w:t>כַּלֵּה</w:t>
      </w:r>
      <w:r w:rsidR="009054F3">
        <w:rPr>
          <w:rFonts w:hint="cs"/>
          <w:b/>
          <w:bCs/>
          <w:sz w:val="28"/>
          <w:szCs w:val="28"/>
          <w:rtl/>
        </w:rPr>
        <w:t xml:space="preserve"> </w:t>
      </w:r>
      <w:r w:rsidR="002F153C">
        <w:rPr>
          <w:rFonts w:hint="cs"/>
          <w:b/>
          <w:bCs/>
          <w:sz w:val="28"/>
          <w:szCs w:val="28"/>
          <w:rtl/>
        </w:rPr>
        <w:t>כל</w:t>
      </w:r>
      <w:r w:rsidR="009054F3">
        <w:rPr>
          <w:rFonts w:hint="cs"/>
          <w:b/>
          <w:bCs/>
          <w:sz w:val="28"/>
          <w:szCs w:val="28"/>
          <w:rtl/>
        </w:rPr>
        <w:t xml:space="preserve"> דבר</w:t>
      </w:r>
      <w:r w:rsidR="000D7246">
        <w:rPr>
          <w:rStyle w:val="FootnoteReference"/>
          <w:b/>
          <w:bCs/>
          <w:sz w:val="28"/>
          <w:szCs w:val="28"/>
          <w:rtl/>
        </w:rPr>
        <w:footnoteReference w:id="385"/>
      </w:r>
      <w:r w:rsidR="009054F3">
        <w:rPr>
          <w:rFonts w:hint="cs"/>
          <w:b/>
          <w:bCs/>
          <w:sz w:val="28"/>
          <w:szCs w:val="28"/>
          <w:rtl/>
        </w:rPr>
        <w:t>.</w:t>
      </w:r>
    </w:p>
    <w:p w14:paraId="1BE80E89" w14:textId="77777777" w:rsidR="00D62F5C" w:rsidRDefault="00204B13" w:rsidP="009054F3">
      <w:pPr>
        <w:pStyle w:val="FootnoteText"/>
        <w:rPr>
          <w:b/>
          <w:bCs/>
          <w:sz w:val="28"/>
          <w:szCs w:val="28"/>
        </w:rPr>
      </w:pPr>
      <w:r>
        <w:rPr>
          <w:rFonts w:hint="cs"/>
          <w:b/>
          <w:bCs/>
          <w:sz w:val="28"/>
          <w:szCs w:val="28"/>
          <w:rtl/>
        </w:rPr>
        <w:t>ו</w:t>
      </w:r>
      <w:r w:rsidR="00FD36C5">
        <w:rPr>
          <w:rFonts w:hint="cs"/>
          <w:b/>
          <w:bCs/>
          <w:sz w:val="28"/>
          <w:szCs w:val="28"/>
          <w:rtl/>
        </w:rPr>
        <w:t>מה</w:t>
      </w:r>
      <w:r>
        <w:rPr>
          <w:rFonts w:hint="cs"/>
          <w:b/>
          <w:bCs/>
          <w:sz w:val="28"/>
          <w:szCs w:val="28"/>
          <w:rtl/>
        </w:rPr>
        <w:t xml:space="preserve"> ש</w:t>
      </w:r>
      <w:r w:rsidR="00582BA1" w:rsidRPr="00582BA1">
        <w:rPr>
          <w:b/>
          <w:bCs/>
          <w:sz w:val="28"/>
          <w:szCs w:val="28"/>
          <w:rtl/>
        </w:rPr>
        <w:t>כָּ</w:t>
      </w:r>
      <w:r>
        <w:rPr>
          <w:rFonts w:hint="cs"/>
          <w:b/>
          <w:bCs/>
          <w:sz w:val="28"/>
          <w:szCs w:val="28"/>
          <w:rtl/>
        </w:rPr>
        <w:t>לים אל</w:t>
      </w:r>
      <w:r w:rsidR="006A544B">
        <w:rPr>
          <w:rFonts w:hint="cs"/>
          <w:b/>
          <w:bCs/>
          <w:sz w:val="28"/>
          <w:szCs w:val="28"/>
          <w:rtl/>
        </w:rPr>
        <w:t>י</w:t>
      </w:r>
      <w:r w:rsidR="00FD36C5">
        <w:rPr>
          <w:rFonts w:hint="cs"/>
          <w:b/>
          <w:bCs/>
          <w:sz w:val="28"/>
          <w:szCs w:val="28"/>
          <w:rtl/>
        </w:rPr>
        <w:t>ו</w:t>
      </w:r>
      <w:r>
        <w:rPr>
          <w:rFonts w:hint="cs"/>
          <w:b/>
          <w:bCs/>
          <w:sz w:val="28"/>
          <w:szCs w:val="28"/>
          <w:rtl/>
        </w:rPr>
        <w:t xml:space="preserve"> </w:t>
      </w:r>
      <w:r w:rsidR="000C6847">
        <w:rPr>
          <w:rFonts w:hint="cs"/>
          <w:b/>
          <w:bCs/>
          <w:sz w:val="28"/>
          <w:szCs w:val="28"/>
          <w:rtl/>
        </w:rPr>
        <w:t>דומה ש</w:t>
      </w:r>
      <w:r w:rsidR="00402918">
        <w:rPr>
          <w:rFonts w:hint="cs"/>
          <w:b/>
          <w:bCs/>
          <w:sz w:val="28"/>
          <w:szCs w:val="28"/>
          <w:rtl/>
        </w:rPr>
        <w:t>ה</w:t>
      </w:r>
      <w:r w:rsidR="007B5615">
        <w:rPr>
          <w:rFonts w:hint="cs"/>
          <w:b/>
          <w:bCs/>
          <w:sz w:val="28"/>
          <w:szCs w:val="28"/>
          <w:rtl/>
        </w:rPr>
        <w:t xml:space="preserve">וא מוגבל </w:t>
      </w:r>
      <w:r w:rsidR="00565B34">
        <w:rPr>
          <w:rFonts w:hint="cs"/>
          <w:b/>
          <w:bCs/>
          <w:sz w:val="28"/>
          <w:szCs w:val="28"/>
          <w:rtl/>
        </w:rPr>
        <w:t>מצד</w:t>
      </w:r>
      <w:r w:rsidR="00F645B5">
        <w:rPr>
          <w:rFonts w:hint="cs"/>
          <w:b/>
          <w:bCs/>
          <w:sz w:val="28"/>
          <w:szCs w:val="28"/>
          <w:rtl/>
        </w:rPr>
        <w:t xml:space="preserve"> ש</w:t>
      </w:r>
      <w:r w:rsidR="00074A48">
        <w:rPr>
          <w:rFonts w:hint="cs"/>
          <w:b/>
          <w:bCs/>
          <w:sz w:val="28"/>
          <w:szCs w:val="28"/>
          <w:rtl/>
        </w:rPr>
        <w:t xml:space="preserve">הם </w:t>
      </w:r>
      <w:r w:rsidR="00CD4916" w:rsidRPr="00CD4916">
        <w:rPr>
          <w:b/>
          <w:bCs/>
          <w:sz w:val="28"/>
          <w:szCs w:val="28"/>
          <w:rtl/>
        </w:rPr>
        <w:t>כָּ</w:t>
      </w:r>
      <w:r w:rsidR="00074A48">
        <w:rPr>
          <w:rFonts w:hint="cs"/>
          <w:b/>
          <w:bCs/>
          <w:sz w:val="28"/>
          <w:szCs w:val="28"/>
          <w:rtl/>
        </w:rPr>
        <w:t>לים אלי</w:t>
      </w:r>
      <w:r w:rsidR="00565B34">
        <w:rPr>
          <w:rFonts w:hint="cs"/>
          <w:b/>
          <w:bCs/>
          <w:sz w:val="28"/>
          <w:szCs w:val="28"/>
          <w:rtl/>
        </w:rPr>
        <w:t>ו</w:t>
      </w:r>
      <w:r w:rsidR="00074A48">
        <w:rPr>
          <w:rFonts w:hint="cs"/>
          <w:b/>
          <w:bCs/>
          <w:sz w:val="28"/>
          <w:szCs w:val="28"/>
          <w:rtl/>
        </w:rPr>
        <w:t>,</w:t>
      </w:r>
      <w:r w:rsidR="00672751">
        <w:rPr>
          <w:rFonts w:hint="cs"/>
          <w:b/>
          <w:bCs/>
          <w:sz w:val="28"/>
          <w:szCs w:val="28"/>
          <w:rtl/>
        </w:rPr>
        <w:t xml:space="preserve"> או </w:t>
      </w:r>
      <w:r w:rsidR="00DA273C">
        <w:rPr>
          <w:rFonts w:hint="cs"/>
          <w:b/>
          <w:bCs/>
          <w:sz w:val="28"/>
          <w:szCs w:val="28"/>
          <w:rtl/>
        </w:rPr>
        <w:t>שווה לזה</w:t>
      </w:r>
      <w:r w:rsidR="00B0096E">
        <w:rPr>
          <w:rFonts w:hint="cs"/>
          <w:b/>
          <w:bCs/>
          <w:sz w:val="28"/>
          <w:szCs w:val="28"/>
          <w:rtl/>
        </w:rPr>
        <w:t xml:space="preserve"> </w:t>
      </w:r>
      <w:r w:rsidR="00AC05DF">
        <w:rPr>
          <w:rFonts w:hint="cs"/>
          <w:b/>
          <w:bCs/>
          <w:sz w:val="28"/>
          <w:szCs w:val="28"/>
          <w:rtl/>
        </w:rPr>
        <w:t xml:space="preserve">שתהיה המטרה שלהם </w:t>
      </w:r>
      <w:r w:rsidR="005B5F00">
        <w:rPr>
          <w:rFonts w:hint="cs"/>
          <w:b/>
          <w:bCs/>
          <w:sz w:val="28"/>
          <w:szCs w:val="28"/>
          <w:rtl/>
        </w:rPr>
        <w:t xml:space="preserve">משהו אחר והוא </w:t>
      </w:r>
      <w:r w:rsidR="0007159C">
        <w:rPr>
          <w:rFonts w:hint="cs"/>
          <w:b/>
          <w:bCs/>
          <w:sz w:val="28"/>
          <w:szCs w:val="28"/>
          <w:rtl/>
        </w:rPr>
        <w:t>ש</w:t>
      </w:r>
      <w:r w:rsidR="005B5F00">
        <w:rPr>
          <w:rFonts w:hint="cs"/>
          <w:b/>
          <w:bCs/>
          <w:sz w:val="28"/>
          <w:szCs w:val="28"/>
          <w:rtl/>
        </w:rPr>
        <w:t>טבע המציאות</w:t>
      </w:r>
      <w:r w:rsidR="00233992">
        <w:rPr>
          <w:rFonts w:hint="cs"/>
          <w:b/>
          <w:bCs/>
          <w:sz w:val="28"/>
          <w:szCs w:val="28"/>
          <w:rtl/>
        </w:rPr>
        <w:t xml:space="preserve"> מוב</w:t>
      </w:r>
      <w:r w:rsidR="00CA478F">
        <w:rPr>
          <w:rFonts w:hint="cs"/>
          <w:b/>
          <w:bCs/>
          <w:sz w:val="28"/>
          <w:szCs w:val="28"/>
          <w:rtl/>
        </w:rPr>
        <w:t>נו</w:t>
      </w:r>
      <w:r w:rsidR="00233992">
        <w:rPr>
          <w:rFonts w:hint="cs"/>
          <w:b/>
          <w:bCs/>
          <w:sz w:val="28"/>
          <w:szCs w:val="28"/>
          <w:rtl/>
        </w:rPr>
        <w:t xml:space="preserve"> </w:t>
      </w:r>
      <w:r w:rsidR="00954BB1">
        <w:rPr>
          <w:rFonts w:hint="cs"/>
          <w:b/>
          <w:bCs/>
          <w:sz w:val="28"/>
          <w:szCs w:val="28"/>
          <w:rtl/>
        </w:rPr>
        <w:t>'</w:t>
      </w:r>
      <w:r w:rsidR="00233992">
        <w:rPr>
          <w:rFonts w:hint="cs"/>
          <w:b/>
          <w:bCs/>
          <w:sz w:val="28"/>
          <w:szCs w:val="28"/>
          <w:rtl/>
        </w:rPr>
        <w:t>אחד</w:t>
      </w:r>
      <w:r w:rsidR="00954BB1">
        <w:rPr>
          <w:rFonts w:hint="cs"/>
          <w:b/>
          <w:bCs/>
          <w:sz w:val="28"/>
          <w:szCs w:val="28"/>
          <w:rtl/>
        </w:rPr>
        <w:t>' -</w:t>
      </w:r>
      <w:r w:rsidR="00233992">
        <w:rPr>
          <w:rFonts w:hint="cs"/>
          <w:b/>
          <w:bCs/>
          <w:sz w:val="28"/>
          <w:szCs w:val="28"/>
          <w:rtl/>
        </w:rPr>
        <w:t xml:space="preserve"> ב</w:t>
      </w:r>
      <w:r w:rsidR="00AF7826">
        <w:rPr>
          <w:rFonts w:hint="cs"/>
          <w:b/>
          <w:bCs/>
          <w:sz w:val="28"/>
          <w:szCs w:val="28"/>
          <w:rtl/>
        </w:rPr>
        <w:t>הגדרה ו</w:t>
      </w:r>
      <w:r w:rsidR="00954BB1">
        <w:rPr>
          <w:rFonts w:hint="cs"/>
          <w:b/>
          <w:bCs/>
          <w:sz w:val="28"/>
          <w:szCs w:val="28"/>
          <w:rtl/>
        </w:rPr>
        <w:t>ב</w:t>
      </w:r>
      <w:r w:rsidR="00AF7826">
        <w:rPr>
          <w:rFonts w:hint="cs"/>
          <w:b/>
          <w:bCs/>
          <w:sz w:val="28"/>
          <w:szCs w:val="28"/>
          <w:rtl/>
        </w:rPr>
        <w:t>תיאור</w:t>
      </w:r>
      <w:r w:rsidR="00D21DA7">
        <w:rPr>
          <w:rStyle w:val="FootnoteReference"/>
          <w:b/>
          <w:bCs/>
          <w:sz w:val="28"/>
          <w:szCs w:val="28"/>
          <w:rtl/>
        </w:rPr>
        <w:footnoteReference w:id="386"/>
      </w:r>
      <w:r w:rsidR="00E82040">
        <w:rPr>
          <w:rFonts w:hint="cs"/>
          <w:b/>
          <w:bCs/>
          <w:sz w:val="28"/>
          <w:szCs w:val="28"/>
          <w:rtl/>
        </w:rPr>
        <w:t xml:space="preserve">. </w:t>
      </w:r>
    </w:p>
    <w:p w14:paraId="4A0FBAB1" w14:textId="41FEE425" w:rsidR="0033497C" w:rsidRDefault="00FB4BAD" w:rsidP="009054F3">
      <w:pPr>
        <w:pStyle w:val="FootnoteText"/>
        <w:rPr>
          <w:b/>
          <w:bCs/>
          <w:sz w:val="28"/>
          <w:szCs w:val="28"/>
          <w:rtl/>
        </w:rPr>
      </w:pPr>
      <w:r>
        <w:rPr>
          <w:rFonts w:hint="cs"/>
          <w:b/>
          <w:bCs/>
          <w:sz w:val="28"/>
          <w:szCs w:val="28"/>
          <w:rtl/>
        </w:rPr>
        <w:t xml:space="preserve">ושאר המהויות </w:t>
      </w:r>
      <w:r w:rsidR="00E67388">
        <w:rPr>
          <w:rFonts w:hint="cs"/>
          <w:b/>
          <w:bCs/>
          <w:sz w:val="28"/>
          <w:szCs w:val="28"/>
          <w:rtl/>
        </w:rPr>
        <w:t xml:space="preserve">שונות </w:t>
      </w:r>
      <w:r w:rsidR="00C14788">
        <w:rPr>
          <w:rFonts w:hint="cs"/>
          <w:b/>
          <w:bCs/>
          <w:sz w:val="28"/>
          <w:szCs w:val="28"/>
          <w:rtl/>
        </w:rPr>
        <w:t>מעצם</w:t>
      </w:r>
      <w:r w:rsidR="00D1244D">
        <w:rPr>
          <w:rStyle w:val="FootnoteReference"/>
          <w:b/>
          <w:bCs/>
          <w:sz w:val="28"/>
          <w:szCs w:val="28"/>
          <w:rtl/>
        </w:rPr>
        <w:footnoteReference w:id="387"/>
      </w:r>
      <w:r w:rsidR="00C14788">
        <w:rPr>
          <w:rFonts w:hint="cs"/>
          <w:b/>
          <w:bCs/>
          <w:sz w:val="28"/>
          <w:szCs w:val="28"/>
          <w:rtl/>
        </w:rPr>
        <w:t xml:space="preserve"> טבע המציאות, </w:t>
      </w:r>
      <w:r w:rsidR="00FF799B">
        <w:rPr>
          <w:rFonts w:hint="cs"/>
          <w:b/>
          <w:bCs/>
          <w:sz w:val="28"/>
          <w:szCs w:val="28"/>
          <w:rtl/>
        </w:rPr>
        <w:t xml:space="preserve">כי </w:t>
      </w:r>
      <w:r w:rsidR="00974E77">
        <w:rPr>
          <w:rFonts w:hint="cs"/>
          <w:b/>
          <w:bCs/>
          <w:sz w:val="28"/>
          <w:szCs w:val="28"/>
          <w:rtl/>
        </w:rPr>
        <w:t xml:space="preserve">הן </w:t>
      </w:r>
      <w:r w:rsidR="00FF799B">
        <w:rPr>
          <w:rFonts w:hint="cs"/>
          <w:b/>
          <w:bCs/>
          <w:sz w:val="28"/>
          <w:szCs w:val="28"/>
          <w:rtl/>
        </w:rPr>
        <w:t xml:space="preserve">דברים </w:t>
      </w:r>
      <w:r w:rsidR="00974E77">
        <w:rPr>
          <w:rFonts w:hint="cs"/>
          <w:b/>
          <w:bCs/>
          <w:sz w:val="28"/>
          <w:szCs w:val="28"/>
          <w:rtl/>
        </w:rPr>
        <w:t>ש</w:t>
      </w:r>
      <w:r w:rsidR="009B6699">
        <w:rPr>
          <w:rFonts w:hint="cs"/>
          <w:b/>
          <w:bCs/>
          <w:sz w:val="28"/>
          <w:szCs w:val="28"/>
          <w:rtl/>
        </w:rPr>
        <w:t>המציאות</w:t>
      </w:r>
      <w:r w:rsidR="00DF71D8">
        <w:rPr>
          <w:rFonts w:hint="cs"/>
          <w:b/>
          <w:bCs/>
          <w:sz w:val="28"/>
          <w:szCs w:val="28"/>
          <w:rtl/>
        </w:rPr>
        <w:t xml:space="preserve"> </w:t>
      </w:r>
      <w:r w:rsidR="00974E77">
        <w:rPr>
          <w:rFonts w:hint="cs"/>
          <w:b/>
          <w:bCs/>
          <w:sz w:val="28"/>
          <w:szCs w:val="28"/>
          <w:rtl/>
        </w:rPr>
        <w:t xml:space="preserve">מקרה להם, </w:t>
      </w:r>
      <w:r w:rsidR="00DF71D8">
        <w:rPr>
          <w:rFonts w:hint="cs"/>
          <w:b/>
          <w:bCs/>
          <w:sz w:val="28"/>
          <w:szCs w:val="28"/>
          <w:rtl/>
        </w:rPr>
        <w:t>ו</w:t>
      </w:r>
      <w:r w:rsidR="00AF48C3">
        <w:rPr>
          <w:rFonts w:hint="cs"/>
          <w:b/>
          <w:bCs/>
          <w:sz w:val="28"/>
          <w:szCs w:val="28"/>
          <w:rtl/>
        </w:rPr>
        <w:t>הם צריכים אותה</w:t>
      </w:r>
      <w:r w:rsidR="00304BEF">
        <w:rPr>
          <w:rStyle w:val="FootnoteReference"/>
          <w:b/>
          <w:bCs/>
          <w:sz w:val="28"/>
          <w:szCs w:val="28"/>
          <w:rtl/>
        </w:rPr>
        <w:footnoteReference w:id="388"/>
      </w:r>
      <w:r w:rsidR="00D76558">
        <w:rPr>
          <w:rFonts w:hint="cs"/>
          <w:b/>
          <w:bCs/>
          <w:sz w:val="28"/>
          <w:szCs w:val="28"/>
          <w:rtl/>
        </w:rPr>
        <w:t>,</w:t>
      </w:r>
      <w:r w:rsidR="00DF71D8">
        <w:rPr>
          <w:rFonts w:hint="cs"/>
          <w:b/>
          <w:bCs/>
          <w:sz w:val="28"/>
          <w:szCs w:val="28"/>
          <w:rtl/>
        </w:rPr>
        <w:t xml:space="preserve"> כ</w:t>
      </w:r>
      <w:r w:rsidR="00792A9C">
        <w:rPr>
          <w:rFonts w:hint="cs"/>
          <w:b/>
          <w:bCs/>
          <w:sz w:val="28"/>
          <w:szCs w:val="28"/>
          <w:rtl/>
        </w:rPr>
        <w:t>גון</w:t>
      </w:r>
      <w:r w:rsidR="00D76558">
        <w:rPr>
          <w:rFonts w:hint="cs"/>
          <w:b/>
          <w:bCs/>
          <w:sz w:val="28"/>
          <w:szCs w:val="28"/>
          <w:rtl/>
        </w:rPr>
        <w:t xml:space="preserve"> ה</w:t>
      </w:r>
      <w:r w:rsidR="00DF71D8">
        <w:rPr>
          <w:rFonts w:hint="cs"/>
          <w:b/>
          <w:bCs/>
          <w:sz w:val="28"/>
          <w:szCs w:val="28"/>
          <w:rtl/>
        </w:rPr>
        <w:t>אנ</w:t>
      </w:r>
      <w:r w:rsidR="000203DA">
        <w:rPr>
          <w:rFonts w:hint="cs"/>
          <w:b/>
          <w:bCs/>
          <w:sz w:val="28"/>
          <w:szCs w:val="28"/>
          <w:rtl/>
        </w:rPr>
        <w:t>וש</w:t>
      </w:r>
      <w:r w:rsidR="00094367">
        <w:rPr>
          <w:rFonts w:hint="cs"/>
          <w:b/>
          <w:bCs/>
          <w:sz w:val="28"/>
          <w:szCs w:val="28"/>
          <w:rtl/>
        </w:rPr>
        <w:t>י</w:t>
      </w:r>
      <w:r w:rsidR="000203DA">
        <w:rPr>
          <w:rFonts w:hint="cs"/>
          <w:b/>
          <w:bCs/>
          <w:sz w:val="28"/>
          <w:szCs w:val="28"/>
          <w:rtl/>
        </w:rPr>
        <w:t>ות.</w:t>
      </w:r>
      <w:r w:rsidR="00E138F8">
        <w:rPr>
          <w:rFonts w:hint="cs"/>
          <w:b/>
          <w:bCs/>
          <w:sz w:val="28"/>
          <w:szCs w:val="28"/>
          <w:rtl/>
        </w:rPr>
        <w:t xml:space="preserve"> האנושיות</w:t>
      </w:r>
      <w:r w:rsidR="00B40888">
        <w:rPr>
          <w:b/>
          <w:bCs/>
          <w:sz w:val="28"/>
          <w:szCs w:val="28"/>
        </w:rPr>
        <w:t xml:space="preserve"> </w:t>
      </w:r>
      <w:r w:rsidR="00B40888">
        <w:rPr>
          <w:rFonts w:hint="cs"/>
          <w:b/>
          <w:bCs/>
          <w:sz w:val="28"/>
          <w:szCs w:val="28"/>
          <w:rtl/>
        </w:rPr>
        <w:t xml:space="preserve">היא מהות </w:t>
      </w:r>
      <w:r w:rsidR="008D4BEA">
        <w:rPr>
          <w:rFonts w:hint="cs"/>
          <w:b/>
          <w:bCs/>
          <w:sz w:val="28"/>
          <w:szCs w:val="28"/>
          <w:rtl/>
        </w:rPr>
        <w:t xml:space="preserve">ואינה עצם המציאות ואין המציאות חלק ממנה. </w:t>
      </w:r>
      <w:r w:rsidR="0057348D">
        <w:rPr>
          <w:rFonts w:hint="cs"/>
          <w:b/>
          <w:bCs/>
          <w:sz w:val="28"/>
          <w:szCs w:val="28"/>
          <w:rtl/>
        </w:rPr>
        <w:t xml:space="preserve">אלא המציאות </w:t>
      </w:r>
      <w:r w:rsidR="003533CA">
        <w:rPr>
          <w:rFonts w:hint="cs"/>
          <w:b/>
          <w:bCs/>
          <w:sz w:val="28"/>
          <w:szCs w:val="28"/>
          <w:rtl/>
        </w:rPr>
        <w:t xml:space="preserve">היא </w:t>
      </w:r>
      <w:r w:rsidR="0057348D">
        <w:rPr>
          <w:rFonts w:hint="cs"/>
          <w:b/>
          <w:bCs/>
          <w:sz w:val="28"/>
          <w:szCs w:val="28"/>
          <w:rtl/>
        </w:rPr>
        <w:t xml:space="preserve">מחוץ </w:t>
      </w:r>
      <w:r w:rsidR="00720C9F">
        <w:rPr>
          <w:rFonts w:hint="cs"/>
          <w:b/>
          <w:bCs/>
          <w:sz w:val="28"/>
          <w:szCs w:val="28"/>
          <w:rtl/>
        </w:rPr>
        <w:t>ל</w:t>
      </w:r>
      <w:r w:rsidR="002346FD">
        <w:rPr>
          <w:rFonts w:hint="cs"/>
          <w:b/>
          <w:bCs/>
          <w:sz w:val="28"/>
          <w:szCs w:val="28"/>
          <w:rtl/>
        </w:rPr>
        <w:t>גבולותיה</w:t>
      </w:r>
      <w:r w:rsidR="00E03D3B">
        <w:rPr>
          <w:rStyle w:val="FootnoteReference"/>
          <w:b/>
          <w:bCs/>
          <w:sz w:val="28"/>
          <w:szCs w:val="28"/>
          <w:rtl/>
        </w:rPr>
        <w:footnoteReference w:id="389"/>
      </w:r>
      <w:r w:rsidR="000F40CA">
        <w:rPr>
          <w:rFonts w:hint="cs"/>
          <w:b/>
          <w:bCs/>
          <w:sz w:val="28"/>
          <w:szCs w:val="28"/>
          <w:rtl/>
        </w:rPr>
        <w:t xml:space="preserve"> כמו שהראינו במקומות אחרים</w:t>
      </w:r>
      <w:r w:rsidR="00294710">
        <w:rPr>
          <w:rStyle w:val="FootnoteReference"/>
          <w:b/>
          <w:bCs/>
          <w:sz w:val="28"/>
          <w:szCs w:val="28"/>
          <w:rtl/>
        </w:rPr>
        <w:footnoteReference w:id="390"/>
      </w:r>
      <w:r w:rsidR="00393251">
        <w:rPr>
          <w:rFonts w:hint="cs"/>
          <w:b/>
          <w:bCs/>
          <w:sz w:val="28"/>
          <w:szCs w:val="28"/>
          <w:rtl/>
        </w:rPr>
        <w:t>, וקרתה לה</w:t>
      </w:r>
      <w:r w:rsidR="00AF48C3">
        <w:rPr>
          <w:rFonts w:hint="cs"/>
          <w:b/>
          <w:bCs/>
          <w:sz w:val="28"/>
          <w:szCs w:val="28"/>
          <w:rtl/>
        </w:rPr>
        <w:t xml:space="preserve">. </w:t>
      </w:r>
    </w:p>
    <w:p w14:paraId="2292EFC6" w14:textId="11579399" w:rsidR="00DC7EB0" w:rsidRDefault="0033497C" w:rsidP="00AF63E4">
      <w:pPr>
        <w:pStyle w:val="FootnoteText"/>
        <w:rPr>
          <w:b/>
          <w:bCs/>
          <w:sz w:val="28"/>
          <w:szCs w:val="28"/>
          <w:rtl/>
        </w:rPr>
      </w:pPr>
      <w:r>
        <w:rPr>
          <w:rFonts w:hint="cs"/>
          <w:b/>
          <w:bCs/>
          <w:sz w:val="28"/>
          <w:szCs w:val="28"/>
          <w:rtl/>
        </w:rPr>
        <w:t>ו</w:t>
      </w:r>
      <w:r w:rsidR="00983575">
        <w:rPr>
          <w:rFonts w:hint="cs"/>
          <w:b/>
          <w:bCs/>
          <w:sz w:val="28"/>
          <w:szCs w:val="28"/>
          <w:rtl/>
        </w:rPr>
        <w:t xml:space="preserve">אין מחלוקת בין </w:t>
      </w:r>
      <w:r w:rsidR="00A45A01">
        <w:rPr>
          <w:rFonts w:hint="cs"/>
          <w:b/>
          <w:bCs/>
          <w:sz w:val="28"/>
          <w:szCs w:val="28"/>
          <w:rtl/>
        </w:rPr>
        <w:t>מי שאמר</w:t>
      </w:r>
      <w:r w:rsidR="00B01764">
        <w:rPr>
          <w:rFonts w:hint="cs"/>
          <w:b/>
          <w:bCs/>
          <w:sz w:val="28"/>
          <w:szCs w:val="28"/>
          <w:rtl/>
        </w:rPr>
        <w:t xml:space="preserve"> </w:t>
      </w:r>
      <w:r w:rsidR="00FF50A8">
        <w:rPr>
          <w:rFonts w:hint="cs"/>
          <w:b/>
          <w:bCs/>
          <w:sz w:val="28"/>
          <w:szCs w:val="28"/>
          <w:rtl/>
        </w:rPr>
        <w:t xml:space="preserve">שהמציאות </w:t>
      </w:r>
      <w:r w:rsidR="004B5907">
        <w:rPr>
          <w:rFonts w:hint="cs"/>
          <w:b/>
          <w:bCs/>
          <w:sz w:val="28"/>
          <w:szCs w:val="28"/>
          <w:rtl/>
        </w:rPr>
        <w:t>סופית</w:t>
      </w:r>
      <w:r w:rsidR="00CD57EF">
        <w:rPr>
          <w:rFonts w:hint="cs"/>
          <w:b/>
          <w:bCs/>
          <w:sz w:val="28"/>
          <w:szCs w:val="28"/>
          <w:rtl/>
        </w:rPr>
        <w:t xml:space="preserve"> במובן שהיא </w:t>
      </w:r>
      <w:r w:rsidR="006D52D8">
        <w:rPr>
          <w:rFonts w:hint="cs"/>
          <w:b/>
          <w:bCs/>
          <w:sz w:val="28"/>
          <w:szCs w:val="28"/>
          <w:rtl/>
        </w:rPr>
        <w:t xml:space="preserve">מוגבלת </w:t>
      </w:r>
      <w:r w:rsidR="00992843">
        <w:rPr>
          <w:rFonts w:hint="cs"/>
          <w:b/>
          <w:bCs/>
          <w:sz w:val="28"/>
          <w:szCs w:val="28"/>
          <w:rtl/>
        </w:rPr>
        <w:t>מצד עצמה</w:t>
      </w:r>
      <w:r w:rsidR="008C2519">
        <w:rPr>
          <w:rFonts w:hint="cs"/>
          <w:b/>
          <w:bCs/>
          <w:sz w:val="28"/>
          <w:szCs w:val="28"/>
          <w:rtl/>
        </w:rPr>
        <w:t xml:space="preserve">, לא </w:t>
      </w:r>
      <w:r w:rsidR="00A46082">
        <w:rPr>
          <w:rFonts w:hint="cs"/>
          <w:b/>
          <w:bCs/>
          <w:sz w:val="28"/>
          <w:szCs w:val="28"/>
          <w:rtl/>
        </w:rPr>
        <w:t xml:space="preserve">שהטבע </w:t>
      </w:r>
      <w:r w:rsidR="66C7D103" w:rsidRPr="66C7D103">
        <w:rPr>
          <w:b/>
          <w:bCs/>
          <w:sz w:val="28"/>
          <w:szCs w:val="28"/>
          <w:rtl/>
        </w:rPr>
        <w:t>על דרך ריבוי</w:t>
      </w:r>
      <w:r w:rsidR="00A46082">
        <w:rPr>
          <w:rFonts w:hint="cs"/>
          <w:b/>
          <w:bCs/>
          <w:sz w:val="28"/>
          <w:szCs w:val="28"/>
          <w:rtl/>
        </w:rPr>
        <w:t xml:space="preserve">, </w:t>
      </w:r>
      <w:r w:rsidR="33804773" w:rsidRPr="33804773">
        <w:rPr>
          <w:b/>
          <w:bCs/>
          <w:sz w:val="28"/>
          <w:szCs w:val="28"/>
          <w:rtl/>
        </w:rPr>
        <w:t>ובין מי</w:t>
      </w:r>
      <w:r w:rsidR="00334C55">
        <w:rPr>
          <w:rFonts w:hint="cs"/>
          <w:b/>
          <w:bCs/>
          <w:sz w:val="28"/>
          <w:szCs w:val="28"/>
          <w:rtl/>
        </w:rPr>
        <w:t xml:space="preserve"> </w:t>
      </w:r>
      <w:r w:rsidR="00BE75AB">
        <w:rPr>
          <w:rFonts w:hint="cs"/>
          <w:b/>
          <w:bCs/>
          <w:sz w:val="28"/>
          <w:szCs w:val="28"/>
          <w:rtl/>
        </w:rPr>
        <w:t xml:space="preserve">שאמר שהיא אין סופית </w:t>
      </w:r>
      <w:r w:rsidR="00D2177E">
        <w:rPr>
          <w:rFonts w:hint="cs"/>
          <w:b/>
          <w:bCs/>
          <w:sz w:val="28"/>
          <w:szCs w:val="28"/>
          <w:rtl/>
        </w:rPr>
        <w:t xml:space="preserve">במובן שהיא תקרה </w:t>
      </w:r>
      <w:r w:rsidR="0051651F">
        <w:rPr>
          <w:rFonts w:hint="cs"/>
          <w:b/>
          <w:bCs/>
          <w:sz w:val="28"/>
          <w:szCs w:val="28"/>
          <w:rtl/>
        </w:rPr>
        <w:t>לדברים שאין גבול למספרם</w:t>
      </w:r>
      <w:r w:rsidR="00DC7EB0">
        <w:rPr>
          <w:rFonts w:hint="cs"/>
          <w:b/>
          <w:bCs/>
          <w:sz w:val="28"/>
          <w:szCs w:val="28"/>
          <w:rtl/>
        </w:rPr>
        <w:t>.</w:t>
      </w:r>
    </w:p>
    <w:p w14:paraId="3D8F3CFB" w14:textId="77777777" w:rsidR="00DD0543" w:rsidRPr="00DD0543" w:rsidRDefault="00DD0543" w:rsidP="003266A1">
      <w:pPr>
        <w:pStyle w:val="Heading4"/>
        <w:rPr>
          <w:rtl/>
        </w:rPr>
      </w:pPr>
      <w:bookmarkStart w:id="195" w:name="_Toc119092646"/>
      <w:r w:rsidRPr="00DD0543">
        <w:rPr>
          <w:rFonts w:hint="cs"/>
          <w:rtl/>
        </w:rPr>
        <w:t>1.4.3</w:t>
      </w:r>
      <w:bookmarkEnd w:id="195"/>
    </w:p>
    <w:p w14:paraId="56FA8EB2" w14:textId="1CABDCC8" w:rsidR="00AD4713" w:rsidRDefault="00DD0543" w:rsidP="009054F3">
      <w:pPr>
        <w:pStyle w:val="FootnoteText"/>
        <w:rPr>
          <w:b/>
          <w:bCs/>
          <w:sz w:val="28"/>
          <w:szCs w:val="28"/>
          <w:rtl/>
        </w:rPr>
      </w:pPr>
      <w:r>
        <w:rPr>
          <w:rFonts w:hint="cs"/>
          <w:b/>
          <w:bCs/>
          <w:sz w:val="28"/>
          <w:szCs w:val="28"/>
          <w:rtl/>
        </w:rPr>
        <w:t xml:space="preserve">ולא </w:t>
      </w:r>
      <w:r w:rsidR="00647EA2">
        <w:rPr>
          <w:rFonts w:hint="cs"/>
          <w:b/>
          <w:bCs/>
          <w:sz w:val="28"/>
          <w:szCs w:val="28"/>
          <w:rtl/>
        </w:rPr>
        <w:t xml:space="preserve">נעלם ממך מה </w:t>
      </w:r>
      <w:r w:rsidR="006D1A39">
        <w:rPr>
          <w:rFonts w:hint="cs"/>
          <w:b/>
          <w:bCs/>
          <w:sz w:val="28"/>
          <w:szCs w:val="28"/>
          <w:rtl/>
        </w:rPr>
        <w:t>ש</w:t>
      </w:r>
      <w:r w:rsidR="0074066E">
        <w:rPr>
          <w:rFonts w:hint="cs"/>
          <w:b/>
          <w:bCs/>
          <w:sz w:val="28"/>
          <w:szCs w:val="28"/>
          <w:rtl/>
        </w:rPr>
        <w:t>למד</w:t>
      </w:r>
      <w:r w:rsidR="00A638E0">
        <w:rPr>
          <w:rFonts w:hint="cs"/>
          <w:b/>
          <w:bCs/>
          <w:sz w:val="28"/>
          <w:szCs w:val="28"/>
          <w:rtl/>
        </w:rPr>
        <w:t>ת</w:t>
      </w:r>
      <w:r w:rsidR="0074066E">
        <w:rPr>
          <w:rFonts w:hint="cs"/>
          <w:b/>
          <w:bCs/>
          <w:sz w:val="28"/>
          <w:szCs w:val="28"/>
          <w:rtl/>
        </w:rPr>
        <w:t xml:space="preserve"> במקום אחר</w:t>
      </w:r>
      <w:r w:rsidR="00A638E0">
        <w:rPr>
          <w:rFonts w:hint="cs"/>
          <w:b/>
          <w:bCs/>
          <w:sz w:val="28"/>
          <w:szCs w:val="28"/>
          <w:rtl/>
        </w:rPr>
        <w:t xml:space="preserve">, שהאנשים </w:t>
      </w:r>
      <w:r w:rsidR="00D578DC">
        <w:rPr>
          <w:rFonts w:hint="cs"/>
          <w:b/>
          <w:bCs/>
          <w:sz w:val="28"/>
          <w:szCs w:val="28"/>
          <w:rtl/>
        </w:rPr>
        <w:t xml:space="preserve">במה שהם אנשים </w:t>
      </w:r>
      <w:r w:rsidR="00DD56EB">
        <w:rPr>
          <w:rFonts w:hint="cs"/>
          <w:b/>
          <w:bCs/>
          <w:sz w:val="28"/>
          <w:szCs w:val="28"/>
          <w:rtl/>
        </w:rPr>
        <w:t>אין הם המציאות</w:t>
      </w:r>
      <w:r w:rsidR="00721595">
        <w:rPr>
          <w:rFonts w:hint="cs"/>
          <w:b/>
          <w:bCs/>
          <w:sz w:val="28"/>
          <w:szCs w:val="28"/>
          <w:rtl/>
        </w:rPr>
        <w:t xml:space="preserve"> במה שהיא מציאות, </w:t>
      </w:r>
      <w:r w:rsidR="009227B7">
        <w:rPr>
          <w:rFonts w:hint="cs"/>
          <w:b/>
          <w:bCs/>
          <w:sz w:val="28"/>
          <w:szCs w:val="28"/>
          <w:rtl/>
        </w:rPr>
        <w:t xml:space="preserve">אלא </w:t>
      </w:r>
      <w:r w:rsidR="7AF03025" w:rsidRPr="7AF03025">
        <w:rPr>
          <w:b/>
          <w:bCs/>
          <w:sz w:val="28"/>
          <w:szCs w:val="28"/>
          <w:rtl/>
        </w:rPr>
        <w:t>ההגדרה</w:t>
      </w:r>
      <w:r w:rsidR="00BD1A5A">
        <w:rPr>
          <w:rFonts w:hint="cs"/>
          <w:b/>
          <w:bCs/>
          <w:sz w:val="28"/>
          <w:szCs w:val="28"/>
          <w:rtl/>
        </w:rPr>
        <w:t xml:space="preserve"> שלהם מחוץ לה, </w:t>
      </w:r>
      <w:r w:rsidR="00D62380">
        <w:rPr>
          <w:rFonts w:hint="cs"/>
          <w:b/>
          <w:bCs/>
          <w:sz w:val="28"/>
          <w:szCs w:val="28"/>
          <w:rtl/>
        </w:rPr>
        <w:t xml:space="preserve">וכך </w:t>
      </w:r>
      <w:r w:rsidR="001B7EF5">
        <w:rPr>
          <w:rFonts w:hint="cs"/>
          <w:b/>
          <w:bCs/>
          <w:sz w:val="28"/>
          <w:szCs w:val="28"/>
          <w:rtl/>
        </w:rPr>
        <w:t xml:space="preserve">כל דבר מהדברים שנכנסים </w:t>
      </w:r>
      <w:r w:rsidR="00DF05E8">
        <w:rPr>
          <w:rFonts w:hint="cs"/>
          <w:b/>
          <w:bCs/>
          <w:sz w:val="28"/>
          <w:szCs w:val="28"/>
          <w:rtl/>
        </w:rPr>
        <w:t>תחת הקטגוריות</w:t>
      </w:r>
      <w:r w:rsidR="00C575E7">
        <w:rPr>
          <w:rStyle w:val="FootnoteReference"/>
          <w:b/>
          <w:bCs/>
          <w:sz w:val="28"/>
          <w:szCs w:val="28"/>
          <w:rtl/>
        </w:rPr>
        <w:footnoteReference w:id="391"/>
      </w:r>
      <w:r w:rsidR="00DF05E8">
        <w:rPr>
          <w:rFonts w:hint="cs"/>
          <w:b/>
          <w:bCs/>
          <w:sz w:val="28"/>
          <w:szCs w:val="28"/>
          <w:rtl/>
        </w:rPr>
        <w:t xml:space="preserve">, </w:t>
      </w:r>
      <w:r w:rsidR="00311B78">
        <w:rPr>
          <w:rFonts w:hint="cs"/>
          <w:b/>
          <w:bCs/>
          <w:sz w:val="28"/>
          <w:szCs w:val="28"/>
          <w:rtl/>
        </w:rPr>
        <w:t xml:space="preserve">אלא כל דבר </w:t>
      </w:r>
      <w:r w:rsidR="00BF7579">
        <w:rPr>
          <w:rFonts w:hint="cs"/>
          <w:b/>
          <w:bCs/>
          <w:sz w:val="28"/>
          <w:szCs w:val="28"/>
          <w:rtl/>
        </w:rPr>
        <w:t>מהם נושא את המציאות ונצרך למציאות</w:t>
      </w:r>
      <w:r w:rsidR="00B75A72">
        <w:rPr>
          <w:rStyle w:val="FootnoteReference"/>
          <w:b/>
          <w:bCs/>
          <w:sz w:val="28"/>
          <w:szCs w:val="28"/>
          <w:rtl/>
        </w:rPr>
        <w:footnoteReference w:id="392"/>
      </w:r>
      <w:r w:rsidR="00BF7579">
        <w:rPr>
          <w:rFonts w:hint="cs"/>
          <w:b/>
          <w:bCs/>
          <w:sz w:val="28"/>
          <w:szCs w:val="28"/>
          <w:rtl/>
        </w:rPr>
        <w:t xml:space="preserve">. </w:t>
      </w:r>
    </w:p>
    <w:p w14:paraId="5AAA8696" w14:textId="25138312" w:rsidR="00204B13" w:rsidRDefault="00201425" w:rsidP="76829903">
      <w:pPr>
        <w:pStyle w:val="FootnoteText"/>
        <w:rPr>
          <w:b/>
          <w:bCs/>
          <w:sz w:val="28"/>
          <w:szCs w:val="28"/>
          <w:rtl/>
        </w:rPr>
      </w:pPr>
      <w:r>
        <w:rPr>
          <w:rFonts w:hint="cs"/>
          <w:b/>
          <w:bCs/>
          <w:sz w:val="28"/>
          <w:szCs w:val="28"/>
          <w:rtl/>
        </w:rPr>
        <w:t xml:space="preserve">ואם אין זו דעתם, </w:t>
      </w:r>
      <w:r w:rsidR="008C5A3B">
        <w:rPr>
          <w:rFonts w:hint="cs"/>
          <w:b/>
          <w:bCs/>
          <w:sz w:val="28"/>
          <w:szCs w:val="28"/>
          <w:rtl/>
        </w:rPr>
        <w:t xml:space="preserve">ויכפרו, </w:t>
      </w:r>
      <w:r w:rsidR="007E12F0">
        <w:rPr>
          <w:rFonts w:hint="cs"/>
          <w:b/>
          <w:bCs/>
          <w:sz w:val="28"/>
          <w:szCs w:val="28"/>
          <w:rtl/>
        </w:rPr>
        <w:t>אינני יכול לסתור אותם</w:t>
      </w:r>
      <w:r w:rsidR="002609E9">
        <w:rPr>
          <w:rFonts w:hint="cs"/>
          <w:b/>
          <w:bCs/>
          <w:sz w:val="28"/>
          <w:szCs w:val="28"/>
          <w:rtl/>
        </w:rPr>
        <w:t>.</w:t>
      </w:r>
      <w:r w:rsidR="007E12F0">
        <w:rPr>
          <w:rFonts w:hint="cs"/>
          <w:b/>
          <w:bCs/>
          <w:sz w:val="28"/>
          <w:szCs w:val="28"/>
          <w:rtl/>
        </w:rPr>
        <w:t xml:space="preserve"> </w:t>
      </w:r>
      <w:r w:rsidR="00D44DC5">
        <w:rPr>
          <w:rFonts w:hint="cs"/>
          <w:b/>
          <w:bCs/>
          <w:sz w:val="28"/>
          <w:szCs w:val="28"/>
          <w:rtl/>
        </w:rPr>
        <w:t>ו</w:t>
      </w:r>
      <w:r w:rsidR="00890E63">
        <w:rPr>
          <w:rFonts w:hint="cs"/>
          <w:b/>
          <w:bCs/>
          <w:sz w:val="28"/>
          <w:szCs w:val="28"/>
          <w:rtl/>
        </w:rPr>
        <w:t>זה</w:t>
      </w:r>
      <w:r w:rsidR="00DF15BA">
        <w:rPr>
          <w:rFonts w:hint="cs"/>
          <w:b/>
          <w:bCs/>
          <w:sz w:val="28"/>
          <w:szCs w:val="28"/>
          <w:rtl/>
        </w:rPr>
        <w:t xml:space="preserve"> מכיוון </w:t>
      </w:r>
      <w:r w:rsidR="001A069A">
        <w:rPr>
          <w:rFonts w:hint="cs"/>
          <w:b/>
          <w:bCs/>
          <w:sz w:val="28"/>
          <w:szCs w:val="28"/>
          <w:rtl/>
        </w:rPr>
        <w:t>שהטיעון ש</w:t>
      </w:r>
      <w:r w:rsidR="00191882">
        <w:rPr>
          <w:rFonts w:hint="cs"/>
          <w:b/>
          <w:bCs/>
          <w:sz w:val="28"/>
          <w:szCs w:val="28"/>
          <w:rtl/>
        </w:rPr>
        <w:t xml:space="preserve">תופרך בו </w:t>
      </w:r>
      <w:r w:rsidR="008A2935">
        <w:rPr>
          <w:rFonts w:hint="cs"/>
          <w:b/>
          <w:bCs/>
          <w:sz w:val="28"/>
          <w:szCs w:val="28"/>
          <w:rtl/>
        </w:rPr>
        <w:t xml:space="preserve">אמונתם </w:t>
      </w:r>
      <w:r w:rsidR="00450A1D">
        <w:rPr>
          <w:rFonts w:hint="cs"/>
          <w:b/>
          <w:bCs/>
          <w:sz w:val="28"/>
          <w:szCs w:val="28"/>
          <w:rtl/>
        </w:rPr>
        <w:t>מחובר בהכרח מהקדמות</w:t>
      </w:r>
      <w:r w:rsidR="00EC4CDD">
        <w:rPr>
          <w:rFonts w:hint="cs"/>
          <w:b/>
          <w:bCs/>
          <w:sz w:val="28"/>
          <w:szCs w:val="28"/>
          <w:rtl/>
        </w:rPr>
        <w:t>; הקדמות אלה בהכרח</w:t>
      </w:r>
      <w:r w:rsidR="307D2C17" w:rsidRPr="307D2C17">
        <w:rPr>
          <w:b/>
          <w:bCs/>
          <w:sz w:val="28"/>
          <w:szCs w:val="28"/>
          <w:rtl/>
        </w:rPr>
        <w:t>:</w:t>
      </w:r>
      <w:r w:rsidR="00EC4CDD">
        <w:rPr>
          <w:rFonts w:hint="cs"/>
          <w:b/>
          <w:bCs/>
          <w:sz w:val="28"/>
          <w:szCs w:val="28"/>
          <w:rtl/>
        </w:rPr>
        <w:t xml:space="preserve"> </w:t>
      </w:r>
      <w:r w:rsidR="00C15A07">
        <w:rPr>
          <w:rFonts w:hint="cs"/>
          <w:b/>
          <w:bCs/>
          <w:sz w:val="28"/>
          <w:szCs w:val="28"/>
          <w:rtl/>
        </w:rPr>
        <w:t xml:space="preserve">או </w:t>
      </w:r>
      <w:r w:rsidR="001B4EB4">
        <w:rPr>
          <w:rFonts w:hint="cs"/>
          <w:b/>
          <w:bCs/>
          <w:sz w:val="28"/>
          <w:szCs w:val="28"/>
          <w:rtl/>
        </w:rPr>
        <w:t>שבעצמן הן ברורות יותר מה</w:t>
      </w:r>
      <w:r w:rsidR="00E25E8E">
        <w:rPr>
          <w:rFonts w:hint="cs"/>
          <w:b/>
          <w:bCs/>
          <w:sz w:val="28"/>
          <w:szCs w:val="28"/>
          <w:rtl/>
        </w:rPr>
        <w:t>מסקנה</w:t>
      </w:r>
      <w:r w:rsidR="00A018F5">
        <w:rPr>
          <w:rFonts w:hint="cs"/>
          <w:b/>
          <w:bCs/>
          <w:sz w:val="28"/>
          <w:szCs w:val="28"/>
          <w:rtl/>
        </w:rPr>
        <w:t xml:space="preserve"> ולא י</w:t>
      </w:r>
      <w:r w:rsidR="00CA52B2">
        <w:rPr>
          <w:rFonts w:hint="cs"/>
          <w:b/>
          <w:bCs/>
          <w:sz w:val="28"/>
          <w:szCs w:val="28"/>
          <w:rtl/>
        </w:rPr>
        <w:t>ימצא</w:t>
      </w:r>
      <w:r w:rsidR="00A018F5">
        <w:rPr>
          <w:rFonts w:hint="cs"/>
          <w:b/>
          <w:bCs/>
          <w:sz w:val="28"/>
          <w:szCs w:val="28"/>
          <w:rtl/>
        </w:rPr>
        <w:t xml:space="preserve"> דבר שיתברר יותר מכח המסקנה, </w:t>
      </w:r>
      <w:r w:rsidR="00F7634B">
        <w:rPr>
          <w:rFonts w:hint="cs"/>
          <w:b/>
          <w:bCs/>
          <w:sz w:val="28"/>
          <w:szCs w:val="28"/>
          <w:rtl/>
        </w:rPr>
        <w:t>או ש</w:t>
      </w:r>
      <w:r w:rsidR="00D27F5C">
        <w:rPr>
          <w:rFonts w:hint="cs"/>
          <w:b/>
          <w:bCs/>
          <w:sz w:val="28"/>
          <w:szCs w:val="28"/>
          <w:rtl/>
        </w:rPr>
        <w:t xml:space="preserve">גם אצל המתנגד הן </w:t>
      </w:r>
      <w:r w:rsidR="00F13348">
        <w:rPr>
          <w:rFonts w:hint="cs"/>
          <w:b/>
          <w:bCs/>
          <w:sz w:val="28"/>
          <w:szCs w:val="28"/>
          <w:rtl/>
        </w:rPr>
        <w:t>מוסכמות</w:t>
      </w:r>
      <w:r w:rsidR="76829903" w:rsidRPr="76829903">
        <w:rPr>
          <w:b/>
          <w:bCs/>
          <w:sz w:val="28"/>
          <w:szCs w:val="28"/>
          <w:rtl/>
        </w:rPr>
        <w:t>.</w:t>
      </w:r>
      <w:r w:rsidR="76829903" w:rsidRPr="76829903">
        <w:rPr>
          <w:b/>
          <w:bCs/>
          <w:sz w:val="28"/>
          <w:szCs w:val="28"/>
        </w:rPr>
        <w:t xml:space="preserve"> </w:t>
      </w:r>
    </w:p>
    <w:p w14:paraId="5C777B92" w14:textId="3065FDDE" w:rsidR="00204B13" w:rsidRDefault="007516AF" w:rsidP="009054F3">
      <w:pPr>
        <w:pStyle w:val="FootnoteText"/>
        <w:rPr>
          <w:b/>
          <w:bCs/>
          <w:sz w:val="28"/>
          <w:szCs w:val="28"/>
          <w:rtl/>
        </w:rPr>
      </w:pPr>
      <w:r>
        <w:rPr>
          <w:rFonts w:hint="cs"/>
          <w:b/>
          <w:bCs/>
          <w:sz w:val="28"/>
          <w:szCs w:val="28"/>
          <w:rtl/>
        </w:rPr>
        <w:t xml:space="preserve">ולא אוכל </w:t>
      </w:r>
      <w:r w:rsidR="00B921CF">
        <w:rPr>
          <w:rFonts w:hint="cs"/>
          <w:b/>
          <w:bCs/>
          <w:sz w:val="28"/>
          <w:szCs w:val="28"/>
          <w:rtl/>
        </w:rPr>
        <w:t>ל</w:t>
      </w:r>
      <w:r w:rsidR="00D376A6">
        <w:rPr>
          <w:rFonts w:hint="cs"/>
          <w:b/>
          <w:bCs/>
          <w:sz w:val="28"/>
          <w:szCs w:val="28"/>
          <w:rtl/>
        </w:rPr>
        <w:t>דעת</w:t>
      </w:r>
      <w:r w:rsidR="00B921CF">
        <w:rPr>
          <w:rFonts w:hint="cs"/>
          <w:b/>
          <w:bCs/>
          <w:sz w:val="28"/>
          <w:szCs w:val="28"/>
          <w:rtl/>
        </w:rPr>
        <w:t xml:space="preserve"> </w:t>
      </w:r>
      <w:r w:rsidR="76829903" w:rsidRPr="76829903">
        <w:rPr>
          <w:b/>
          <w:bCs/>
          <w:sz w:val="28"/>
          <w:szCs w:val="28"/>
          <w:rtl/>
        </w:rPr>
        <w:t>איזו</w:t>
      </w:r>
      <w:r w:rsidR="00B921CF">
        <w:rPr>
          <w:rFonts w:hint="cs"/>
          <w:b/>
          <w:bCs/>
          <w:sz w:val="28"/>
          <w:szCs w:val="28"/>
          <w:rtl/>
        </w:rPr>
        <w:t xml:space="preserve"> מהקדמות אלה </w:t>
      </w:r>
      <w:r w:rsidR="00F13348">
        <w:rPr>
          <w:rFonts w:hint="cs"/>
          <w:b/>
          <w:bCs/>
          <w:sz w:val="28"/>
          <w:szCs w:val="28"/>
          <w:rtl/>
        </w:rPr>
        <w:t>מוסכמות אצל שני אלה</w:t>
      </w:r>
      <w:r w:rsidR="001B53AA">
        <w:rPr>
          <w:rFonts w:hint="cs"/>
          <w:b/>
          <w:bCs/>
          <w:sz w:val="28"/>
          <w:szCs w:val="28"/>
          <w:rtl/>
        </w:rPr>
        <w:t xml:space="preserve">, </w:t>
      </w:r>
      <w:r w:rsidR="00B078F9">
        <w:rPr>
          <w:rFonts w:hint="cs"/>
          <w:b/>
          <w:bCs/>
          <w:sz w:val="28"/>
          <w:szCs w:val="28"/>
          <w:rtl/>
        </w:rPr>
        <w:t xml:space="preserve">ואם הם יכולים </w:t>
      </w:r>
      <w:r w:rsidR="005111B6">
        <w:rPr>
          <w:rFonts w:hint="cs"/>
          <w:b/>
          <w:bCs/>
          <w:sz w:val="28"/>
          <w:szCs w:val="28"/>
          <w:rtl/>
        </w:rPr>
        <w:t xml:space="preserve">לחשוב </w:t>
      </w:r>
      <w:r w:rsidR="00A010C3">
        <w:rPr>
          <w:rFonts w:hint="cs"/>
          <w:b/>
          <w:bCs/>
          <w:sz w:val="28"/>
          <w:szCs w:val="28"/>
          <w:rtl/>
        </w:rPr>
        <w:t>דברים לא אפשריים</w:t>
      </w:r>
      <w:r w:rsidR="008B0530">
        <w:rPr>
          <w:rFonts w:hint="cs"/>
          <w:b/>
          <w:bCs/>
          <w:sz w:val="28"/>
          <w:szCs w:val="28"/>
          <w:rtl/>
        </w:rPr>
        <w:t xml:space="preserve">, הם יגרמו לי להאמין </w:t>
      </w:r>
      <w:r w:rsidR="00056828">
        <w:rPr>
          <w:rFonts w:hint="cs"/>
          <w:b/>
          <w:bCs/>
          <w:sz w:val="28"/>
          <w:szCs w:val="28"/>
          <w:rtl/>
        </w:rPr>
        <w:t xml:space="preserve">שיכחישו </w:t>
      </w:r>
      <w:r w:rsidR="00747019">
        <w:rPr>
          <w:rFonts w:hint="cs"/>
          <w:b/>
          <w:bCs/>
          <w:sz w:val="28"/>
          <w:szCs w:val="28"/>
          <w:rtl/>
        </w:rPr>
        <w:t xml:space="preserve">ללא בושה </w:t>
      </w:r>
      <w:r w:rsidR="002F06A8">
        <w:rPr>
          <w:rFonts w:hint="cs"/>
          <w:b/>
          <w:bCs/>
          <w:sz w:val="28"/>
          <w:szCs w:val="28"/>
          <w:rtl/>
        </w:rPr>
        <w:t>כל הקדמה</w:t>
      </w:r>
      <w:r w:rsidR="00A010C3">
        <w:rPr>
          <w:rFonts w:hint="cs"/>
          <w:b/>
          <w:bCs/>
          <w:sz w:val="28"/>
          <w:szCs w:val="28"/>
          <w:rtl/>
        </w:rPr>
        <w:t xml:space="preserve"> </w:t>
      </w:r>
      <w:r w:rsidR="001306D1">
        <w:rPr>
          <w:rFonts w:hint="cs"/>
          <w:b/>
          <w:bCs/>
          <w:sz w:val="28"/>
          <w:szCs w:val="28"/>
          <w:rtl/>
        </w:rPr>
        <w:t xml:space="preserve">מההקדמות </w:t>
      </w:r>
      <w:r w:rsidR="00BA2B83">
        <w:rPr>
          <w:rFonts w:hint="cs"/>
          <w:b/>
          <w:bCs/>
          <w:sz w:val="28"/>
          <w:szCs w:val="28"/>
          <w:rtl/>
        </w:rPr>
        <w:t>שתשמש ל</w:t>
      </w:r>
      <w:r w:rsidR="008012EB">
        <w:rPr>
          <w:rFonts w:hint="cs"/>
          <w:b/>
          <w:bCs/>
          <w:sz w:val="28"/>
          <w:szCs w:val="28"/>
          <w:rtl/>
        </w:rPr>
        <w:t>הוכחה</w:t>
      </w:r>
      <w:r w:rsidR="00BA2B83">
        <w:rPr>
          <w:rFonts w:hint="cs"/>
          <w:b/>
          <w:bCs/>
          <w:sz w:val="28"/>
          <w:szCs w:val="28"/>
          <w:rtl/>
        </w:rPr>
        <w:t xml:space="preserve"> נגדם</w:t>
      </w:r>
      <w:r w:rsidR="00F7634B">
        <w:rPr>
          <w:rFonts w:hint="cs"/>
          <w:b/>
          <w:bCs/>
          <w:sz w:val="28"/>
          <w:szCs w:val="28"/>
          <w:rtl/>
        </w:rPr>
        <w:t>.</w:t>
      </w:r>
    </w:p>
    <w:p w14:paraId="0B731450" w14:textId="30CF9DCA" w:rsidR="00653A7C" w:rsidRPr="005A567F" w:rsidRDefault="00653A7C" w:rsidP="003266A1">
      <w:pPr>
        <w:pStyle w:val="Heading4"/>
        <w:rPr>
          <w:rtl/>
        </w:rPr>
      </w:pPr>
      <w:bookmarkStart w:id="196" w:name="_Toc119092647"/>
      <w:r w:rsidRPr="005A567F">
        <w:rPr>
          <w:rFonts w:hint="cs"/>
          <w:rtl/>
        </w:rPr>
        <w:t>1.4.4</w:t>
      </w:r>
      <w:bookmarkEnd w:id="196"/>
    </w:p>
    <w:p w14:paraId="0477CD5B" w14:textId="77777777" w:rsidR="00BB1A0B" w:rsidRDefault="005A567F" w:rsidP="009054F3">
      <w:pPr>
        <w:pStyle w:val="FootnoteText"/>
        <w:rPr>
          <w:b/>
          <w:bCs/>
          <w:sz w:val="28"/>
          <w:szCs w:val="28"/>
          <w:rtl/>
        </w:rPr>
      </w:pPr>
      <w:r>
        <w:rPr>
          <w:rFonts w:hint="cs"/>
          <w:b/>
          <w:bCs/>
          <w:sz w:val="28"/>
          <w:szCs w:val="28"/>
          <w:rtl/>
        </w:rPr>
        <w:t>על זה אמצא</w:t>
      </w:r>
      <w:r w:rsidR="00B12641">
        <w:rPr>
          <w:rFonts w:hint="cs"/>
          <w:b/>
          <w:bCs/>
          <w:sz w:val="28"/>
          <w:szCs w:val="28"/>
          <w:rtl/>
        </w:rPr>
        <w:t xml:space="preserve"> הרבה</w:t>
      </w:r>
      <w:r w:rsidR="00963879">
        <w:rPr>
          <w:rFonts w:hint="cs"/>
          <w:b/>
          <w:bCs/>
          <w:sz w:val="28"/>
          <w:szCs w:val="28"/>
          <w:rtl/>
        </w:rPr>
        <w:t xml:space="preserve"> מההקדמות </w:t>
      </w:r>
      <w:r w:rsidR="0087204E">
        <w:rPr>
          <w:rFonts w:hint="cs"/>
          <w:b/>
          <w:bCs/>
          <w:sz w:val="28"/>
          <w:szCs w:val="28"/>
          <w:rtl/>
        </w:rPr>
        <w:t>ש</w:t>
      </w:r>
      <w:r w:rsidR="001A6AC3">
        <w:rPr>
          <w:rFonts w:hint="cs"/>
          <w:b/>
          <w:bCs/>
          <w:sz w:val="28"/>
          <w:szCs w:val="28"/>
          <w:rtl/>
        </w:rPr>
        <w:t>מכוחן</w:t>
      </w:r>
      <w:r w:rsidR="007D7FC6">
        <w:rPr>
          <w:rFonts w:hint="cs"/>
          <w:b/>
          <w:bCs/>
          <w:sz w:val="28"/>
          <w:szCs w:val="28"/>
          <w:rtl/>
        </w:rPr>
        <w:t xml:space="preserve"> </w:t>
      </w:r>
      <w:r w:rsidR="0087204E">
        <w:rPr>
          <w:rFonts w:hint="cs"/>
          <w:b/>
          <w:bCs/>
          <w:sz w:val="28"/>
          <w:szCs w:val="28"/>
          <w:rtl/>
        </w:rPr>
        <w:t>מופרך</w:t>
      </w:r>
      <w:r w:rsidR="000209A1">
        <w:rPr>
          <w:rFonts w:hint="cs"/>
          <w:b/>
          <w:bCs/>
          <w:sz w:val="28"/>
          <w:szCs w:val="28"/>
          <w:rtl/>
        </w:rPr>
        <w:t xml:space="preserve"> </w:t>
      </w:r>
      <w:r w:rsidR="00F86A63">
        <w:rPr>
          <w:rFonts w:hint="cs"/>
          <w:b/>
          <w:bCs/>
          <w:sz w:val="28"/>
          <w:szCs w:val="28"/>
          <w:rtl/>
        </w:rPr>
        <w:t>דבר מה באופן שנסתר</w:t>
      </w:r>
      <w:r w:rsidR="00745D89">
        <w:rPr>
          <w:rFonts w:hint="cs"/>
          <w:b/>
          <w:bCs/>
          <w:sz w:val="28"/>
          <w:szCs w:val="28"/>
          <w:rtl/>
        </w:rPr>
        <w:t xml:space="preserve">ת </w:t>
      </w:r>
      <w:proofErr w:type="spellStart"/>
      <w:r w:rsidR="00745D89">
        <w:rPr>
          <w:rFonts w:hint="cs"/>
          <w:b/>
          <w:bCs/>
          <w:sz w:val="28"/>
          <w:szCs w:val="28"/>
          <w:rtl/>
        </w:rPr>
        <w:t>פרכתו</w:t>
      </w:r>
      <w:proofErr w:type="spellEnd"/>
      <w:r w:rsidR="00745D89">
        <w:rPr>
          <w:rFonts w:hint="cs"/>
          <w:b/>
          <w:bCs/>
          <w:sz w:val="28"/>
          <w:szCs w:val="28"/>
          <w:rtl/>
        </w:rPr>
        <w:t xml:space="preserve"> מכח המסקנה </w:t>
      </w:r>
      <w:r w:rsidR="00076824">
        <w:rPr>
          <w:rFonts w:hint="cs"/>
          <w:b/>
          <w:bCs/>
          <w:sz w:val="28"/>
          <w:szCs w:val="28"/>
          <w:rtl/>
        </w:rPr>
        <w:t xml:space="preserve">שנובעת </w:t>
      </w:r>
      <w:r w:rsidR="00745D89">
        <w:rPr>
          <w:rFonts w:hint="cs"/>
          <w:b/>
          <w:bCs/>
          <w:sz w:val="28"/>
          <w:szCs w:val="28"/>
          <w:rtl/>
        </w:rPr>
        <w:t>מאותן הקדמות</w:t>
      </w:r>
      <w:r w:rsidR="00E7543A">
        <w:rPr>
          <w:rStyle w:val="FootnoteReference"/>
          <w:b/>
          <w:bCs/>
          <w:sz w:val="28"/>
          <w:szCs w:val="28"/>
          <w:rtl/>
        </w:rPr>
        <w:footnoteReference w:id="393"/>
      </w:r>
      <w:r w:rsidR="00745D89">
        <w:rPr>
          <w:rFonts w:hint="cs"/>
          <w:b/>
          <w:bCs/>
          <w:sz w:val="28"/>
          <w:szCs w:val="28"/>
          <w:rtl/>
        </w:rPr>
        <w:t xml:space="preserve">. </w:t>
      </w:r>
      <w:r w:rsidR="0067351E">
        <w:rPr>
          <w:rFonts w:hint="cs"/>
          <w:b/>
          <w:bCs/>
          <w:sz w:val="28"/>
          <w:szCs w:val="28"/>
          <w:rtl/>
        </w:rPr>
        <w:t xml:space="preserve">למשל </w:t>
      </w:r>
      <w:r w:rsidR="00DD57E5">
        <w:rPr>
          <w:rFonts w:hint="cs"/>
          <w:b/>
          <w:bCs/>
          <w:sz w:val="28"/>
          <w:szCs w:val="28"/>
          <w:rtl/>
        </w:rPr>
        <w:t xml:space="preserve">מה שייאמר על </w:t>
      </w:r>
      <w:r w:rsidR="00286187">
        <w:rPr>
          <w:rFonts w:hint="cs"/>
          <w:b/>
          <w:bCs/>
          <w:sz w:val="28"/>
          <w:szCs w:val="28"/>
          <w:rtl/>
        </w:rPr>
        <w:t xml:space="preserve">הוויית הנמצאים </w:t>
      </w:r>
      <w:r w:rsidR="001F345D">
        <w:rPr>
          <w:rFonts w:hint="cs"/>
          <w:b/>
          <w:bCs/>
          <w:sz w:val="28"/>
          <w:szCs w:val="28"/>
          <w:rtl/>
        </w:rPr>
        <w:t>שהיא רק ה</w:t>
      </w:r>
      <w:r w:rsidR="005E5422">
        <w:rPr>
          <w:rFonts w:hint="cs"/>
          <w:b/>
          <w:bCs/>
          <w:sz w:val="28"/>
          <w:szCs w:val="28"/>
          <w:rtl/>
        </w:rPr>
        <w:t>'</w:t>
      </w:r>
      <w:r w:rsidR="001F345D">
        <w:rPr>
          <w:rFonts w:hint="cs"/>
          <w:b/>
          <w:bCs/>
          <w:sz w:val="28"/>
          <w:szCs w:val="28"/>
          <w:rtl/>
        </w:rPr>
        <w:t>עצם</w:t>
      </w:r>
      <w:r w:rsidR="005E5422">
        <w:rPr>
          <w:rFonts w:hint="cs"/>
          <w:b/>
          <w:bCs/>
          <w:sz w:val="28"/>
          <w:szCs w:val="28"/>
          <w:rtl/>
        </w:rPr>
        <w:t>'</w:t>
      </w:r>
      <w:r w:rsidR="001F345D">
        <w:rPr>
          <w:rStyle w:val="FootnoteReference"/>
          <w:b/>
          <w:bCs/>
          <w:sz w:val="28"/>
          <w:szCs w:val="28"/>
          <w:rtl/>
        </w:rPr>
        <w:footnoteReference w:id="394"/>
      </w:r>
      <w:r w:rsidR="005E5422">
        <w:rPr>
          <w:rFonts w:hint="cs"/>
          <w:b/>
          <w:bCs/>
          <w:sz w:val="28"/>
          <w:szCs w:val="28"/>
          <w:rtl/>
        </w:rPr>
        <w:t xml:space="preserve"> </w:t>
      </w:r>
      <w:r w:rsidR="00E33B4B">
        <w:rPr>
          <w:rFonts w:hint="cs"/>
          <w:b/>
          <w:bCs/>
          <w:sz w:val="28"/>
          <w:szCs w:val="28"/>
          <w:rtl/>
        </w:rPr>
        <w:t>ו</w:t>
      </w:r>
      <w:r w:rsidR="00712A1F">
        <w:rPr>
          <w:rFonts w:hint="cs"/>
          <w:b/>
          <w:bCs/>
          <w:sz w:val="28"/>
          <w:szCs w:val="28"/>
          <w:rtl/>
        </w:rPr>
        <w:t xml:space="preserve">אינו סופי ואינו אין סופי, </w:t>
      </w:r>
      <w:r w:rsidR="00F71ED0">
        <w:rPr>
          <w:rFonts w:hint="cs"/>
          <w:b/>
          <w:bCs/>
          <w:sz w:val="28"/>
          <w:szCs w:val="28"/>
          <w:rtl/>
        </w:rPr>
        <w:t xml:space="preserve">כי </w:t>
      </w:r>
      <w:r w:rsidR="00B068B7">
        <w:rPr>
          <w:rFonts w:hint="cs"/>
          <w:b/>
          <w:bCs/>
          <w:sz w:val="28"/>
          <w:szCs w:val="28"/>
          <w:rtl/>
        </w:rPr>
        <w:t>שני המקרים האלה</w:t>
      </w:r>
      <w:r w:rsidR="006B3E5E">
        <w:rPr>
          <w:rStyle w:val="FootnoteReference"/>
          <w:b/>
          <w:bCs/>
          <w:sz w:val="28"/>
          <w:szCs w:val="28"/>
          <w:rtl/>
        </w:rPr>
        <w:footnoteReference w:id="395"/>
      </w:r>
      <w:r w:rsidR="00B068B7">
        <w:rPr>
          <w:rFonts w:hint="cs"/>
          <w:b/>
          <w:bCs/>
          <w:sz w:val="28"/>
          <w:szCs w:val="28"/>
          <w:rtl/>
        </w:rPr>
        <w:t xml:space="preserve"> </w:t>
      </w:r>
      <w:r w:rsidR="000A5A47">
        <w:rPr>
          <w:rFonts w:hint="cs"/>
          <w:b/>
          <w:bCs/>
          <w:sz w:val="28"/>
          <w:szCs w:val="28"/>
          <w:rtl/>
        </w:rPr>
        <w:t xml:space="preserve">הם לכמות, </w:t>
      </w:r>
      <w:r w:rsidR="00E3260E">
        <w:rPr>
          <w:rFonts w:hint="cs"/>
          <w:b/>
          <w:bCs/>
          <w:sz w:val="28"/>
          <w:szCs w:val="28"/>
          <w:rtl/>
        </w:rPr>
        <w:t xml:space="preserve">והכמות היא מקרה לעצם, </w:t>
      </w:r>
      <w:r w:rsidR="003310F6">
        <w:rPr>
          <w:rFonts w:hint="cs"/>
          <w:b/>
          <w:bCs/>
          <w:sz w:val="28"/>
          <w:szCs w:val="28"/>
          <w:rtl/>
        </w:rPr>
        <w:t xml:space="preserve">ויהיו </w:t>
      </w:r>
      <w:r w:rsidR="00274010">
        <w:rPr>
          <w:rFonts w:hint="cs"/>
          <w:b/>
          <w:bCs/>
          <w:sz w:val="28"/>
          <w:szCs w:val="28"/>
          <w:rtl/>
        </w:rPr>
        <w:t xml:space="preserve">באותו זמן העצם </w:t>
      </w:r>
      <w:r w:rsidR="00700DA2">
        <w:rPr>
          <w:rFonts w:hint="cs"/>
          <w:b/>
          <w:bCs/>
          <w:sz w:val="28"/>
          <w:szCs w:val="28"/>
          <w:rtl/>
        </w:rPr>
        <w:t xml:space="preserve">קיים </w:t>
      </w:r>
      <w:r w:rsidR="00274010">
        <w:rPr>
          <w:rFonts w:hint="cs"/>
          <w:b/>
          <w:bCs/>
          <w:sz w:val="28"/>
          <w:szCs w:val="28"/>
          <w:rtl/>
        </w:rPr>
        <w:t>וה</w:t>
      </w:r>
      <w:r w:rsidR="00700DA2">
        <w:rPr>
          <w:rFonts w:hint="cs"/>
          <w:b/>
          <w:bCs/>
          <w:sz w:val="28"/>
          <w:szCs w:val="28"/>
          <w:rtl/>
        </w:rPr>
        <w:t>כמות קיימת</w:t>
      </w:r>
      <w:r w:rsidR="00274010">
        <w:rPr>
          <w:rFonts w:hint="cs"/>
          <w:b/>
          <w:bCs/>
          <w:sz w:val="28"/>
          <w:szCs w:val="28"/>
          <w:rtl/>
        </w:rPr>
        <w:t xml:space="preserve">, </w:t>
      </w:r>
      <w:r w:rsidR="00094DAC">
        <w:rPr>
          <w:rFonts w:hint="cs"/>
          <w:b/>
          <w:bCs/>
          <w:sz w:val="28"/>
          <w:szCs w:val="28"/>
          <w:rtl/>
        </w:rPr>
        <w:t xml:space="preserve">ותהיה המציאות מעל השניים </w:t>
      </w:r>
      <w:r w:rsidR="002D486A">
        <w:rPr>
          <w:rFonts w:hint="cs"/>
          <w:b/>
          <w:bCs/>
          <w:sz w:val="28"/>
          <w:szCs w:val="28"/>
          <w:rtl/>
        </w:rPr>
        <w:t xml:space="preserve">שהם </w:t>
      </w:r>
      <w:r w:rsidR="008A2B48">
        <w:rPr>
          <w:rFonts w:hint="cs"/>
          <w:b/>
          <w:bCs/>
          <w:sz w:val="28"/>
          <w:szCs w:val="28"/>
          <w:rtl/>
        </w:rPr>
        <w:t>הכמות ו</w:t>
      </w:r>
      <w:r w:rsidR="00094DAC">
        <w:rPr>
          <w:rFonts w:hint="cs"/>
          <w:b/>
          <w:bCs/>
          <w:sz w:val="28"/>
          <w:szCs w:val="28"/>
          <w:rtl/>
        </w:rPr>
        <w:t>העצם</w:t>
      </w:r>
      <w:r w:rsidR="00B00E95">
        <w:rPr>
          <w:rFonts w:hint="cs"/>
          <w:b/>
          <w:bCs/>
          <w:sz w:val="28"/>
          <w:szCs w:val="28"/>
          <w:rtl/>
        </w:rPr>
        <w:t>.</w:t>
      </w:r>
    </w:p>
    <w:p w14:paraId="1A6AC53B" w14:textId="115759CB" w:rsidR="00653A7C" w:rsidRDefault="00EA4888" w:rsidP="0052586D">
      <w:pPr>
        <w:pStyle w:val="FootnoteText"/>
        <w:rPr>
          <w:b/>
          <w:bCs/>
          <w:sz w:val="28"/>
          <w:szCs w:val="28"/>
          <w:rtl/>
        </w:rPr>
      </w:pPr>
      <w:r>
        <w:rPr>
          <w:rFonts w:hint="cs"/>
          <w:b/>
          <w:bCs/>
          <w:sz w:val="28"/>
          <w:szCs w:val="28"/>
          <w:rtl/>
        </w:rPr>
        <w:t>ואת</w:t>
      </w:r>
      <w:r w:rsidR="001F04D3">
        <w:rPr>
          <w:rFonts w:hint="cs"/>
          <w:b/>
          <w:bCs/>
          <w:sz w:val="28"/>
          <w:szCs w:val="28"/>
          <w:rtl/>
        </w:rPr>
        <w:t>ה אם תתבונן ב</w:t>
      </w:r>
      <w:r w:rsidR="003E2290">
        <w:rPr>
          <w:rFonts w:hint="cs"/>
          <w:b/>
          <w:bCs/>
          <w:sz w:val="28"/>
          <w:szCs w:val="28"/>
          <w:rtl/>
        </w:rPr>
        <w:t>מציאות הסופית והאין סופית</w:t>
      </w:r>
      <w:r w:rsidR="0077488D">
        <w:rPr>
          <w:rFonts w:hint="cs"/>
          <w:b/>
          <w:bCs/>
          <w:sz w:val="28"/>
          <w:szCs w:val="28"/>
          <w:rtl/>
        </w:rPr>
        <w:t xml:space="preserve">, יספיק לפי עיונך </w:t>
      </w:r>
      <w:r w:rsidR="000452C0">
        <w:rPr>
          <w:rFonts w:hint="cs"/>
          <w:b/>
          <w:bCs/>
          <w:sz w:val="28"/>
          <w:szCs w:val="28"/>
          <w:rtl/>
        </w:rPr>
        <w:t>ש</w:t>
      </w:r>
      <w:r w:rsidR="00D42157">
        <w:rPr>
          <w:rFonts w:hint="cs"/>
          <w:b/>
          <w:bCs/>
          <w:sz w:val="28"/>
          <w:szCs w:val="28"/>
          <w:rtl/>
        </w:rPr>
        <w:t xml:space="preserve">המציאות </w:t>
      </w:r>
      <w:r w:rsidR="000452C0">
        <w:rPr>
          <w:rFonts w:hint="cs"/>
          <w:b/>
          <w:bCs/>
          <w:sz w:val="28"/>
          <w:szCs w:val="28"/>
          <w:rtl/>
        </w:rPr>
        <w:t xml:space="preserve">קיימת </w:t>
      </w:r>
      <w:proofErr w:type="spellStart"/>
      <w:r w:rsidR="00927DEF">
        <w:rPr>
          <w:rFonts w:hint="cs"/>
          <w:b/>
          <w:bCs/>
          <w:sz w:val="28"/>
          <w:szCs w:val="28"/>
          <w:rtl/>
        </w:rPr>
        <w:t>כ</w:t>
      </w:r>
      <w:r w:rsidR="00ED6E66">
        <w:rPr>
          <w:rFonts w:hint="cs"/>
          <w:b/>
          <w:bCs/>
          <w:sz w:val="28"/>
          <w:szCs w:val="28"/>
          <w:rtl/>
        </w:rPr>
        <w:t>מדובק</w:t>
      </w:r>
      <w:proofErr w:type="spellEnd"/>
      <w:r w:rsidR="00EC1E29">
        <w:rPr>
          <w:rStyle w:val="FootnoteReference"/>
          <w:b/>
          <w:bCs/>
          <w:sz w:val="28"/>
          <w:szCs w:val="28"/>
          <w:rtl/>
        </w:rPr>
        <w:footnoteReference w:id="396"/>
      </w:r>
      <w:r w:rsidR="00927DEF">
        <w:rPr>
          <w:rFonts w:hint="cs"/>
          <w:b/>
          <w:bCs/>
          <w:sz w:val="28"/>
          <w:szCs w:val="28"/>
          <w:rtl/>
        </w:rPr>
        <w:t>, והיא הכמות הנ</w:t>
      </w:r>
      <w:r w:rsidR="00547E09">
        <w:rPr>
          <w:rFonts w:hint="cs"/>
          <w:b/>
          <w:bCs/>
          <w:sz w:val="28"/>
          <w:szCs w:val="28"/>
          <w:rtl/>
        </w:rPr>
        <w:t>רא</w:t>
      </w:r>
      <w:r w:rsidR="00927DEF">
        <w:rPr>
          <w:rFonts w:hint="cs"/>
          <w:b/>
          <w:bCs/>
          <w:sz w:val="28"/>
          <w:szCs w:val="28"/>
          <w:rtl/>
        </w:rPr>
        <w:t>ית.</w:t>
      </w:r>
    </w:p>
    <w:p w14:paraId="5DCCC30D" w14:textId="128A83B2" w:rsidR="00F4780D" w:rsidRDefault="00751968" w:rsidP="0052586D">
      <w:pPr>
        <w:pStyle w:val="FootnoteText"/>
        <w:rPr>
          <w:b/>
          <w:bCs/>
          <w:sz w:val="28"/>
          <w:szCs w:val="28"/>
          <w:rtl/>
        </w:rPr>
      </w:pPr>
      <w:r>
        <w:rPr>
          <w:rFonts w:hint="cs"/>
          <w:b/>
          <w:bCs/>
          <w:sz w:val="28"/>
          <w:szCs w:val="28"/>
          <w:rtl/>
        </w:rPr>
        <w:t xml:space="preserve">ויש </w:t>
      </w:r>
      <w:r w:rsidR="00983735">
        <w:rPr>
          <w:rFonts w:hint="cs"/>
          <w:b/>
          <w:bCs/>
          <w:sz w:val="28"/>
          <w:szCs w:val="28"/>
          <w:rtl/>
        </w:rPr>
        <w:t>ב</w:t>
      </w:r>
      <w:r>
        <w:rPr>
          <w:rFonts w:hint="cs"/>
          <w:b/>
          <w:bCs/>
          <w:sz w:val="28"/>
          <w:szCs w:val="28"/>
          <w:rtl/>
        </w:rPr>
        <w:t xml:space="preserve">נו צורך חזק </w:t>
      </w:r>
      <w:r w:rsidR="00562707">
        <w:rPr>
          <w:rFonts w:hint="cs"/>
          <w:b/>
          <w:bCs/>
          <w:sz w:val="28"/>
          <w:szCs w:val="28"/>
          <w:rtl/>
        </w:rPr>
        <w:t xml:space="preserve">לומר על הכמות הנראית </w:t>
      </w:r>
      <w:r w:rsidR="000941C6">
        <w:rPr>
          <w:rFonts w:hint="cs"/>
          <w:b/>
          <w:bCs/>
          <w:sz w:val="28"/>
          <w:szCs w:val="28"/>
          <w:rtl/>
        </w:rPr>
        <w:t xml:space="preserve">שהיא </w:t>
      </w:r>
      <w:r w:rsidR="0073131E">
        <w:rPr>
          <w:rFonts w:hint="cs"/>
          <w:b/>
          <w:bCs/>
          <w:sz w:val="28"/>
          <w:szCs w:val="28"/>
          <w:rtl/>
        </w:rPr>
        <w:t>קיימ</w:t>
      </w:r>
      <w:r w:rsidR="000941C6">
        <w:rPr>
          <w:rFonts w:hint="cs"/>
          <w:b/>
          <w:bCs/>
          <w:sz w:val="28"/>
          <w:szCs w:val="28"/>
          <w:rtl/>
        </w:rPr>
        <w:t xml:space="preserve">ת </w:t>
      </w:r>
      <w:r w:rsidR="00ED5DAE">
        <w:rPr>
          <w:rFonts w:hint="cs"/>
          <w:b/>
          <w:bCs/>
          <w:sz w:val="28"/>
          <w:szCs w:val="28"/>
          <w:rtl/>
        </w:rPr>
        <w:t>ב</w:t>
      </w:r>
      <w:r w:rsidR="000941C6">
        <w:rPr>
          <w:rFonts w:hint="cs"/>
          <w:b/>
          <w:bCs/>
          <w:sz w:val="28"/>
          <w:szCs w:val="28"/>
          <w:rtl/>
        </w:rPr>
        <w:t>חומר</w:t>
      </w:r>
      <w:r w:rsidR="001E3611">
        <w:rPr>
          <w:rStyle w:val="FootnoteReference"/>
          <w:b/>
          <w:bCs/>
          <w:sz w:val="28"/>
          <w:szCs w:val="28"/>
          <w:rtl/>
        </w:rPr>
        <w:footnoteReference w:id="397"/>
      </w:r>
      <w:r w:rsidR="000941C6">
        <w:rPr>
          <w:rFonts w:hint="cs"/>
          <w:b/>
          <w:bCs/>
          <w:sz w:val="28"/>
          <w:szCs w:val="28"/>
          <w:rtl/>
        </w:rPr>
        <w:t xml:space="preserve"> </w:t>
      </w:r>
      <w:r w:rsidR="00582B91">
        <w:rPr>
          <w:rFonts w:hint="cs"/>
          <w:b/>
          <w:bCs/>
          <w:sz w:val="28"/>
          <w:szCs w:val="28"/>
          <w:rtl/>
        </w:rPr>
        <w:t>ו</w:t>
      </w:r>
      <w:r w:rsidR="00ED5DAE">
        <w:rPr>
          <w:rFonts w:hint="cs"/>
          <w:b/>
          <w:bCs/>
          <w:sz w:val="28"/>
          <w:szCs w:val="28"/>
          <w:rtl/>
        </w:rPr>
        <w:t>נ</w:t>
      </w:r>
      <w:r w:rsidR="00582B91">
        <w:rPr>
          <w:rFonts w:hint="cs"/>
          <w:b/>
          <w:bCs/>
          <w:sz w:val="28"/>
          <w:szCs w:val="28"/>
          <w:rtl/>
        </w:rPr>
        <w:t>ושא</w:t>
      </w:r>
      <w:r w:rsidR="00202A63">
        <w:rPr>
          <w:rFonts w:hint="cs"/>
          <w:b/>
          <w:bCs/>
          <w:sz w:val="28"/>
          <w:szCs w:val="28"/>
          <w:rtl/>
        </w:rPr>
        <w:t xml:space="preserve">, </w:t>
      </w:r>
      <w:r w:rsidR="00FB4EB3">
        <w:rPr>
          <w:rFonts w:hint="cs"/>
          <w:b/>
          <w:bCs/>
          <w:sz w:val="28"/>
          <w:szCs w:val="28"/>
          <w:rtl/>
        </w:rPr>
        <w:t>ולא נמצאת אלא בנושא</w:t>
      </w:r>
      <w:r w:rsidR="00792DFC">
        <w:rPr>
          <w:rFonts w:hint="cs"/>
          <w:b/>
          <w:bCs/>
          <w:sz w:val="28"/>
          <w:szCs w:val="28"/>
          <w:rtl/>
        </w:rPr>
        <w:t xml:space="preserve">, </w:t>
      </w:r>
      <w:r w:rsidR="00F52A4E">
        <w:rPr>
          <w:rFonts w:hint="cs"/>
          <w:b/>
          <w:bCs/>
          <w:sz w:val="28"/>
          <w:szCs w:val="28"/>
          <w:rtl/>
        </w:rPr>
        <w:t>ו</w:t>
      </w:r>
      <w:r w:rsidR="00792DFC">
        <w:rPr>
          <w:rFonts w:hint="cs"/>
          <w:b/>
          <w:bCs/>
          <w:sz w:val="28"/>
          <w:szCs w:val="28"/>
          <w:rtl/>
        </w:rPr>
        <w:t>היא</w:t>
      </w:r>
      <w:r w:rsidR="00856074">
        <w:rPr>
          <w:rFonts w:hint="cs"/>
          <w:b/>
          <w:bCs/>
          <w:sz w:val="28"/>
          <w:szCs w:val="28"/>
          <w:rtl/>
        </w:rPr>
        <w:t xml:space="preserve"> </w:t>
      </w:r>
      <w:r w:rsidR="00792DFC">
        <w:rPr>
          <w:rFonts w:hint="cs"/>
          <w:b/>
          <w:bCs/>
          <w:sz w:val="28"/>
          <w:szCs w:val="28"/>
          <w:rtl/>
        </w:rPr>
        <w:t xml:space="preserve">לא </w:t>
      </w:r>
      <w:r w:rsidR="00A11DA5">
        <w:rPr>
          <w:rFonts w:hint="cs"/>
          <w:b/>
          <w:bCs/>
          <w:sz w:val="28"/>
          <w:szCs w:val="28"/>
          <w:rtl/>
        </w:rPr>
        <w:t>מובנ</w:t>
      </w:r>
      <w:r w:rsidR="00792DFC">
        <w:rPr>
          <w:rFonts w:hint="cs"/>
          <w:b/>
          <w:bCs/>
          <w:sz w:val="28"/>
          <w:szCs w:val="28"/>
          <w:rtl/>
        </w:rPr>
        <w:t>ת בעצמה</w:t>
      </w:r>
      <w:r w:rsidR="009B0E65">
        <w:rPr>
          <w:rFonts w:hint="cs"/>
          <w:b/>
          <w:bCs/>
          <w:sz w:val="28"/>
          <w:szCs w:val="28"/>
          <w:rtl/>
        </w:rPr>
        <w:t>, אלא</w:t>
      </w:r>
      <w:r w:rsidR="00792DFC">
        <w:rPr>
          <w:rFonts w:hint="cs"/>
          <w:b/>
          <w:bCs/>
          <w:sz w:val="28"/>
          <w:szCs w:val="28"/>
          <w:rtl/>
        </w:rPr>
        <w:t xml:space="preserve"> </w:t>
      </w:r>
      <w:r w:rsidR="00FF054F">
        <w:rPr>
          <w:rFonts w:hint="cs"/>
          <w:b/>
          <w:bCs/>
          <w:sz w:val="28"/>
          <w:szCs w:val="28"/>
          <w:rtl/>
        </w:rPr>
        <w:t>צריך בהבנתה</w:t>
      </w:r>
      <w:r w:rsidR="00B100E8">
        <w:rPr>
          <w:rFonts w:hint="cs"/>
          <w:b/>
          <w:bCs/>
          <w:sz w:val="28"/>
          <w:szCs w:val="28"/>
          <w:rtl/>
        </w:rPr>
        <w:t xml:space="preserve"> </w:t>
      </w:r>
      <w:r w:rsidR="006B5B91">
        <w:rPr>
          <w:rFonts w:hint="cs"/>
          <w:b/>
          <w:bCs/>
          <w:sz w:val="28"/>
          <w:szCs w:val="28"/>
          <w:rtl/>
        </w:rPr>
        <w:t xml:space="preserve">מאמץ </w:t>
      </w:r>
      <w:r w:rsidR="004B76B5">
        <w:rPr>
          <w:rFonts w:hint="cs"/>
          <w:b/>
          <w:bCs/>
          <w:sz w:val="28"/>
          <w:szCs w:val="28"/>
          <w:rtl/>
        </w:rPr>
        <w:t>עיוני</w:t>
      </w:r>
      <w:r w:rsidR="00071176">
        <w:rPr>
          <w:rStyle w:val="FootnoteReference"/>
          <w:b/>
          <w:bCs/>
          <w:sz w:val="28"/>
          <w:szCs w:val="28"/>
          <w:rtl/>
        </w:rPr>
        <w:footnoteReference w:id="398"/>
      </w:r>
      <w:r w:rsidR="00B458D3">
        <w:rPr>
          <w:rFonts w:hint="cs"/>
          <w:b/>
          <w:bCs/>
          <w:sz w:val="28"/>
          <w:szCs w:val="28"/>
          <w:rtl/>
        </w:rPr>
        <w:t xml:space="preserve">; </w:t>
      </w:r>
      <w:r w:rsidR="002C695D">
        <w:rPr>
          <w:rFonts w:hint="cs"/>
          <w:b/>
          <w:bCs/>
          <w:sz w:val="28"/>
          <w:szCs w:val="28"/>
          <w:rtl/>
        </w:rPr>
        <w:t xml:space="preserve">ואיך </w:t>
      </w:r>
      <w:r w:rsidR="00353BB8">
        <w:rPr>
          <w:rFonts w:hint="cs"/>
          <w:b/>
          <w:bCs/>
          <w:sz w:val="28"/>
          <w:szCs w:val="28"/>
          <w:rtl/>
        </w:rPr>
        <w:t>ייל</w:t>
      </w:r>
      <w:r w:rsidR="002C695D">
        <w:rPr>
          <w:rFonts w:hint="cs"/>
          <w:b/>
          <w:bCs/>
          <w:sz w:val="28"/>
          <w:szCs w:val="28"/>
          <w:rtl/>
        </w:rPr>
        <w:t>קח זה</w:t>
      </w:r>
      <w:r w:rsidR="00353BB8">
        <w:rPr>
          <w:rFonts w:hint="cs"/>
          <w:b/>
          <w:bCs/>
          <w:sz w:val="28"/>
          <w:szCs w:val="28"/>
          <w:rtl/>
        </w:rPr>
        <w:t xml:space="preserve"> </w:t>
      </w:r>
      <w:r w:rsidR="00DF7671">
        <w:rPr>
          <w:rFonts w:hint="cs"/>
          <w:b/>
          <w:bCs/>
          <w:sz w:val="28"/>
          <w:szCs w:val="28"/>
          <w:rtl/>
        </w:rPr>
        <w:t>כ</w:t>
      </w:r>
      <w:r w:rsidR="00803FAE">
        <w:rPr>
          <w:rFonts w:hint="cs"/>
          <w:b/>
          <w:bCs/>
          <w:sz w:val="28"/>
          <w:szCs w:val="28"/>
          <w:rtl/>
        </w:rPr>
        <w:t>הקדמה</w:t>
      </w:r>
      <w:r w:rsidR="00DF7671">
        <w:rPr>
          <w:rFonts w:hint="cs"/>
          <w:b/>
          <w:bCs/>
          <w:sz w:val="28"/>
          <w:szCs w:val="28"/>
          <w:rtl/>
        </w:rPr>
        <w:t xml:space="preserve"> למסקנה</w:t>
      </w:r>
      <w:r w:rsidR="009B0E65">
        <w:rPr>
          <w:rFonts w:hint="cs"/>
          <w:b/>
          <w:bCs/>
          <w:sz w:val="28"/>
          <w:szCs w:val="28"/>
          <w:rtl/>
        </w:rPr>
        <w:t xml:space="preserve"> </w:t>
      </w:r>
      <w:r w:rsidR="00F85FAA">
        <w:rPr>
          <w:rFonts w:hint="cs"/>
          <w:b/>
          <w:bCs/>
          <w:sz w:val="28"/>
          <w:szCs w:val="28"/>
          <w:rtl/>
        </w:rPr>
        <w:t xml:space="preserve">שתהיה מובנת </w:t>
      </w:r>
      <w:r w:rsidR="003A6ACA">
        <w:rPr>
          <w:rFonts w:hint="cs"/>
          <w:b/>
          <w:bCs/>
          <w:sz w:val="28"/>
          <w:szCs w:val="28"/>
          <w:rtl/>
        </w:rPr>
        <w:t>ב</w:t>
      </w:r>
      <w:r w:rsidR="00F85FAA">
        <w:rPr>
          <w:rFonts w:hint="cs"/>
          <w:b/>
          <w:bCs/>
          <w:sz w:val="28"/>
          <w:szCs w:val="28"/>
          <w:rtl/>
        </w:rPr>
        <w:t>עצמה</w:t>
      </w:r>
      <w:r w:rsidR="003A6ACA">
        <w:rPr>
          <w:rFonts w:hint="cs"/>
          <w:b/>
          <w:bCs/>
          <w:sz w:val="28"/>
          <w:szCs w:val="28"/>
          <w:rtl/>
        </w:rPr>
        <w:t xml:space="preserve">. </w:t>
      </w:r>
    </w:p>
    <w:p w14:paraId="79AA9340" w14:textId="74AD5126" w:rsidR="00A56FF9" w:rsidRDefault="00F4780D" w:rsidP="00AF63E4">
      <w:pPr>
        <w:pStyle w:val="FootnoteText"/>
        <w:rPr>
          <w:b/>
          <w:bCs/>
          <w:sz w:val="28"/>
          <w:szCs w:val="28"/>
          <w:rtl/>
        </w:rPr>
      </w:pPr>
      <w:r>
        <w:rPr>
          <w:rFonts w:hint="cs"/>
          <w:b/>
          <w:bCs/>
          <w:sz w:val="28"/>
          <w:szCs w:val="28"/>
          <w:rtl/>
        </w:rPr>
        <w:t xml:space="preserve">וכך </w:t>
      </w:r>
      <w:r w:rsidR="00065D1B">
        <w:rPr>
          <w:rFonts w:hint="cs"/>
          <w:b/>
          <w:bCs/>
          <w:sz w:val="28"/>
          <w:szCs w:val="28"/>
          <w:rtl/>
        </w:rPr>
        <w:t xml:space="preserve">לגבי טענתם </w:t>
      </w:r>
      <w:r w:rsidR="006A2D6B">
        <w:rPr>
          <w:rFonts w:hint="cs"/>
          <w:b/>
          <w:bCs/>
          <w:sz w:val="28"/>
          <w:szCs w:val="28"/>
          <w:rtl/>
        </w:rPr>
        <w:t>שמה שמוג</w:t>
      </w:r>
      <w:r w:rsidR="00B10097">
        <w:rPr>
          <w:rFonts w:hint="cs"/>
          <w:b/>
          <w:bCs/>
          <w:sz w:val="28"/>
          <w:szCs w:val="28"/>
          <w:rtl/>
        </w:rPr>
        <w:t>בל</w:t>
      </w:r>
      <w:r w:rsidR="006A2D6B">
        <w:rPr>
          <w:rFonts w:hint="cs"/>
          <w:b/>
          <w:bCs/>
          <w:sz w:val="28"/>
          <w:szCs w:val="28"/>
          <w:rtl/>
        </w:rPr>
        <w:t xml:space="preserve"> </w:t>
      </w:r>
      <w:r w:rsidR="00C06797">
        <w:rPr>
          <w:rFonts w:hint="cs"/>
          <w:b/>
          <w:bCs/>
          <w:sz w:val="28"/>
          <w:szCs w:val="28"/>
          <w:rtl/>
        </w:rPr>
        <w:t>מתחלק לחלק</w:t>
      </w:r>
      <w:r w:rsidR="00B10097">
        <w:rPr>
          <w:rFonts w:hint="cs"/>
          <w:b/>
          <w:bCs/>
          <w:sz w:val="28"/>
          <w:szCs w:val="28"/>
          <w:rtl/>
        </w:rPr>
        <w:t>י</w:t>
      </w:r>
      <w:r w:rsidR="00C06797">
        <w:rPr>
          <w:rFonts w:hint="cs"/>
          <w:b/>
          <w:bCs/>
          <w:sz w:val="28"/>
          <w:szCs w:val="28"/>
          <w:rtl/>
        </w:rPr>
        <w:t>ם מוג</w:t>
      </w:r>
      <w:r w:rsidR="00EB61EB">
        <w:rPr>
          <w:rFonts w:hint="cs"/>
          <w:b/>
          <w:bCs/>
          <w:sz w:val="28"/>
          <w:szCs w:val="28"/>
          <w:rtl/>
        </w:rPr>
        <w:t>בל</w:t>
      </w:r>
      <w:r w:rsidR="00C06797">
        <w:rPr>
          <w:rFonts w:hint="cs"/>
          <w:b/>
          <w:bCs/>
          <w:sz w:val="28"/>
          <w:szCs w:val="28"/>
          <w:rtl/>
        </w:rPr>
        <w:t>ים</w:t>
      </w:r>
      <w:r w:rsidR="00715E17">
        <w:rPr>
          <w:rStyle w:val="FootnoteReference"/>
          <w:b/>
          <w:bCs/>
          <w:sz w:val="28"/>
          <w:szCs w:val="28"/>
          <w:rtl/>
        </w:rPr>
        <w:footnoteReference w:id="399"/>
      </w:r>
      <w:r w:rsidR="00071176">
        <w:rPr>
          <w:rFonts w:hint="cs"/>
          <w:b/>
          <w:bCs/>
          <w:sz w:val="28"/>
          <w:szCs w:val="28"/>
          <w:rtl/>
        </w:rPr>
        <w:t>, ועוד טענות אחרות</w:t>
      </w:r>
      <w:r w:rsidR="00F81E7E">
        <w:rPr>
          <w:rStyle w:val="FootnoteReference"/>
          <w:b/>
          <w:bCs/>
          <w:sz w:val="28"/>
          <w:szCs w:val="28"/>
          <w:rtl/>
        </w:rPr>
        <w:footnoteReference w:id="400"/>
      </w:r>
      <w:r w:rsidR="00071176">
        <w:rPr>
          <w:rFonts w:hint="cs"/>
          <w:b/>
          <w:bCs/>
          <w:sz w:val="28"/>
          <w:szCs w:val="28"/>
          <w:rtl/>
        </w:rPr>
        <w:t>.</w:t>
      </w:r>
    </w:p>
    <w:p w14:paraId="0619099C" w14:textId="42839B26" w:rsidR="000434D7" w:rsidRPr="003F5D4C" w:rsidRDefault="00A56FF9" w:rsidP="003266A1">
      <w:pPr>
        <w:pStyle w:val="Heading4"/>
        <w:rPr>
          <w:rtl/>
        </w:rPr>
      </w:pPr>
      <w:bookmarkStart w:id="197" w:name="_Toc119092648"/>
      <w:r w:rsidRPr="003F5D4C">
        <w:rPr>
          <w:rFonts w:hint="cs"/>
          <w:rtl/>
        </w:rPr>
        <w:t>1.4.5</w:t>
      </w:r>
      <w:bookmarkEnd w:id="197"/>
    </w:p>
    <w:p w14:paraId="4B89A41B" w14:textId="77777777" w:rsidR="0086349C" w:rsidRDefault="00323D92" w:rsidP="0052586D">
      <w:pPr>
        <w:pStyle w:val="FootnoteText"/>
        <w:rPr>
          <w:b/>
          <w:bCs/>
          <w:sz w:val="28"/>
          <w:szCs w:val="28"/>
          <w:rtl/>
        </w:rPr>
      </w:pPr>
      <w:r>
        <w:rPr>
          <w:rFonts w:hint="cs"/>
          <w:b/>
          <w:bCs/>
          <w:sz w:val="28"/>
          <w:szCs w:val="28"/>
          <w:rtl/>
        </w:rPr>
        <w:t>באשר ל</w:t>
      </w:r>
      <w:r w:rsidR="00AB64F7">
        <w:rPr>
          <w:rFonts w:hint="cs"/>
          <w:b/>
          <w:bCs/>
          <w:sz w:val="28"/>
          <w:szCs w:val="28"/>
          <w:rtl/>
        </w:rPr>
        <w:t>אנשים</w:t>
      </w:r>
      <w:r>
        <w:rPr>
          <w:rFonts w:hint="cs"/>
          <w:b/>
          <w:bCs/>
          <w:sz w:val="28"/>
          <w:szCs w:val="28"/>
          <w:rtl/>
        </w:rPr>
        <w:t xml:space="preserve"> האחרים</w:t>
      </w:r>
      <w:r w:rsidR="00AB64F7">
        <w:rPr>
          <w:rStyle w:val="FootnoteReference"/>
          <w:b/>
          <w:bCs/>
          <w:sz w:val="28"/>
          <w:szCs w:val="28"/>
          <w:rtl/>
        </w:rPr>
        <w:footnoteReference w:id="401"/>
      </w:r>
      <w:r>
        <w:rPr>
          <w:rFonts w:hint="cs"/>
          <w:b/>
          <w:bCs/>
          <w:sz w:val="28"/>
          <w:szCs w:val="28"/>
          <w:rtl/>
        </w:rPr>
        <w:t xml:space="preserve">, </w:t>
      </w:r>
      <w:r w:rsidR="00411152">
        <w:rPr>
          <w:rFonts w:hint="cs"/>
          <w:b/>
          <w:bCs/>
          <w:sz w:val="28"/>
          <w:szCs w:val="28"/>
          <w:rtl/>
        </w:rPr>
        <w:t xml:space="preserve">נאמר רק </w:t>
      </w:r>
      <w:r w:rsidR="00AB64F7">
        <w:rPr>
          <w:rFonts w:hint="cs"/>
          <w:b/>
          <w:bCs/>
          <w:sz w:val="28"/>
          <w:szCs w:val="28"/>
          <w:rtl/>
        </w:rPr>
        <w:t>ב</w:t>
      </w:r>
      <w:r w:rsidR="00976BDA">
        <w:rPr>
          <w:rFonts w:hint="cs"/>
          <w:b/>
          <w:bCs/>
          <w:sz w:val="28"/>
          <w:szCs w:val="28"/>
          <w:rtl/>
        </w:rPr>
        <w:t>רמז ק</w:t>
      </w:r>
      <w:r w:rsidR="00232AFF">
        <w:rPr>
          <w:rFonts w:hint="cs"/>
          <w:b/>
          <w:bCs/>
          <w:sz w:val="28"/>
          <w:szCs w:val="28"/>
          <w:rtl/>
        </w:rPr>
        <w:t>ל</w:t>
      </w:r>
      <w:r w:rsidR="00976BDA">
        <w:rPr>
          <w:rFonts w:hint="cs"/>
          <w:b/>
          <w:bCs/>
          <w:sz w:val="28"/>
          <w:szCs w:val="28"/>
          <w:rtl/>
        </w:rPr>
        <w:t xml:space="preserve"> </w:t>
      </w:r>
      <w:r w:rsidR="0005705F">
        <w:rPr>
          <w:rFonts w:hint="cs"/>
          <w:b/>
          <w:bCs/>
          <w:sz w:val="28"/>
          <w:szCs w:val="28"/>
          <w:rtl/>
        </w:rPr>
        <w:t>ב</w:t>
      </w:r>
      <w:r w:rsidR="005B7420">
        <w:rPr>
          <w:rFonts w:hint="cs"/>
          <w:b/>
          <w:bCs/>
          <w:sz w:val="28"/>
          <w:szCs w:val="28"/>
          <w:rtl/>
        </w:rPr>
        <w:t>דע</w:t>
      </w:r>
      <w:r w:rsidR="00702455">
        <w:rPr>
          <w:rFonts w:hint="cs"/>
          <w:b/>
          <w:bCs/>
          <w:sz w:val="28"/>
          <w:szCs w:val="28"/>
          <w:rtl/>
        </w:rPr>
        <w:t>ות</w:t>
      </w:r>
      <w:r w:rsidR="002179EC">
        <w:rPr>
          <w:rFonts w:hint="cs"/>
          <w:b/>
          <w:bCs/>
          <w:sz w:val="28"/>
          <w:szCs w:val="28"/>
          <w:rtl/>
        </w:rPr>
        <w:t xml:space="preserve"> כתו</w:t>
      </w:r>
      <w:r w:rsidR="008C780F">
        <w:rPr>
          <w:rFonts w:hint="cs"/>
          <w:b/>
          <w:bCs/>
          <w:sz w:val="28"/>
          <w:szCs w:val="28"/>
          <w:rtl/>
        </w:rPr>
        <w:t>ת</w:t>
      </w:r>
      <w:r w:rsidR="00702455">
        <w:rPr>
          <w:rFonts w:hint="cs"/>
          <w:b/>
          <w:bCs/>
          <w:sz w:val="28"/>
          <w:szCs w:val="28"/>
          <w:rtl/>
        </w:rPr>
        <w:t>יהם הנפסדות</w:t>
      </w:r>
      <w:r w:rsidR="00591B61">
        <w:rPr>
          <w:rFonts w:hint="cs"/>
          <w:b/>
          <w:bCs/>
          <w:sz w:val="28"/>
          <w:szCs w:val="28"/>
          <w:rtl/>
        </w:rPr>
        <w:t xml:space="preserve">, </w:t>
      </w:r>
      <w:r w:rsidR="001E3589">
        <w:rPr>
          <w:rFonts w:hint="cs"/>
          <w:b/>
          <w:bCs/>
          <w:sz w:val="28"/>
          <w:szCs w:val="28"/>
          <w:rtl/>
        </w:rPr>
        <w:t>בזה</w:t>
      </w:r>
      <w:r w:rsidR="00591B61">
        <w:rPr>
          <w:rFonts w:hint="cs"/>
          <w:b/>
          <w:bCs/>
          <w:sz w:val="28"/>
          <w:szCs w:val="28"/>
          <w:rtl/>
        </w:rPr>
        <w:t xml:space="preserve"> יש לנו בהמשך </w:t>
      </w:r>
      <w:r w:rsidR="005D49DA">
        <w:rPr>
          <w:rFonts w:hint="cs"/>
          <w:b/>
          <w:bCs/>
          <w:sz w:val="28"/>
          <w:szCs w:val="28"/>
          <w:rtl/>
        </w:rPr>
        <w:t xml:space="preserve">לכתוב </w:t>
      </w:r>
      <w:r w:rsidR="004434B4">
        <w:rPr>
          <w:rFonts w:hint="cs"/>
          <w:b/>
          <w:bCs/>
          <w:sz w:val="28"/>
          <w:szCs w:val="28"/>
          <w:rtl/>
        </w:rPr>
        <w:t>דברים</w:t>
      </w:r>
      <w:r w:rsidR="005D49DA">
        <w:rPr>
          <w:rFonts w:hint="cs"/>
          <w:b/>
          <w:bCs/>
          <w:sz w:val="28"/>
          <w:szCs w:val="28"/>
          <w:rtl/>
        </w:rPr>
        <w:t xml:space="preserve"> </w:t>
      </w:r>
      <w:r w:rsidR="002B23E6">
        <w:rPr>
          <w:rFonts w:hint="cs"/>
          <w:b/>
          <w:bCs/>
          <w:sz w:val="28"/>
          <w:szCs w:val="28"/>
          <w:rtl/>
        </w:rPr>
        <w:t xml:space="preserve">שיסתרו בבירור </w:t>
      </w:r>
      <w:r w:rsidR="00AE5B42">
        <w:rPr>
          <w:rFonts w:hint="cs"/>
          <w:b/>
          <w:bCs/>
          <w:sz w:val="28"/>
          <w:szCs w:val="28"/>
          <w:rtl/>
        </w:rPr>
        <w:t xml:space="preserve">את </w:t>
      </w:r>
      <w:r w:rsidR="0062538E">
        <w:rPr>
          <w:rFonts w:hint="cs"/>
          <w:b/>
          <w:bCs/>
          <w:sz w:val="28"/>
          <w:szCs w:val="28"/>
          <w:rtl/>
        </w:rPr>
        <w:t>מה ש</w:t>
      </w:r>
      <w:r w:rsidR="000F4A98">
        <w:rPr>
          <w:rFonts w:hint="cs"/>
          <w:b/>
          <w:bCs/>
          <w:sz w:val="28"/>
          <w:szCs w:val="28"/>
          <w:rtl/>
        </w:rPr>
        <w:t>טע</w:t>
      </w:r>
      <w:r w:rsidR="0062538E">
        <w:rPr>
          <w:rFonts w:hint="cs"/>
          <w:b/>
          <w:bCs/>
          <w:sz w:val="28"/>
          <w:szCs w:val="28"/>
          <w:rtl/>
        </w:rPr>
        <w:t xml:space="preserve">ו בו, </w:t>
      </w:r>
      <w:r w:rsidR="003904E3">
        <w:rPr>
          <w:rFonts w:hint="cs"/>
          <w:b/>
          <w:bCs/>
          <w:sz w:val="28"/>
          <w:szCs w:val="28"/>
          <w:rtl/>
        </w:rPr>
        <w:t xml:space="preserve">ונעמיד את הנכון. </w:t>
      </w:r>
    </w:p>
    <w:p w14:paraId="11BCED8A" w14:textId="77777777" w:rsidR="00E12262" w:rsidRDefault="0086349C" w:rsidP="0052586D">
      <w:pPr>
        <w:pStyle w:val="FootnoteText"/>
        <w:rPr>
          <w:b/>
          <w:bCs/>
          <w:sz w:val="28"/>
          <w:szCs w:val="28"/>
          <w:rtl/>
        </w:rPr>
      </w:pPr>
      <w:r>
        <w:rPr>
          <w:rFonts w:hint="cs"/>
          <w:b/>
          <w:bCs/>
          <w:sz w:val="28"/>
          <w:szCs w:val="28"/>
          <w:rtl/>
        </w:rPr>
        <w:t>ונאמר כעת</w:t>
      </w:r>
      <w:r w:rsidR="009443EA">
        <w:rPr>
          <w:rFonts w:hint="cs"/>
          <w:b/>
          <w:bCs/>
          <w:sz w:val="28"/>
          <w:szCs w:val="28"/>
          <w:rtl/>
        </w:rPr>
        <w:t xml:space="preserve">, על מה שאמרו מקצתם </w:t>
      </w:r>
      <w:r w:rsidR="002A78AD">
        <w:rPr>
          <w:rFonts w:hint="cs"/>
          <w:b/>
          <w:bCs/>
          <w:sz w:val="28"/>
          <w:szCs w:val="28"/>
          <w:rtl/>
        </w:rPr>
        <w:t>על ההתחלה</w:t>
      </w:r>
      <w:r w:rsidR="004434B4">
        <w:rPr>
          <w:rFonts w:hint="cs"/>
          <w:b/>
          <w:bCs/>
          <w:sz w:val="28"/>
          <w:szCs w:val="28"/>
          <w:rtl/>
        </w:rPr>
        <w:t xml:space="preserve"> </w:t>
      </w:r>
      <w:r w:rsidR="00814124">
        <w:rPr>
          <w:rFonts w:hint="cs"/>
          <w:b/>
          <w:bCs/>
          <w:sz w:val="28"/>
          <w:szCs w:val="28"/>
          <w:rtl/>
        </w:rPr>
        <w:t>האחת</w:t>
      </w:r>
      <w:r w:rsidR="0032154F">
        <w:rPr>
          <w:rFonts w:hint="cs"/>
          <w:b/>
          <w:bCs/>
          <w:sz w:val="28"/>
          <w:szCs w:val="28"/>
          <w:rtl/>
        </w:rPr>
        <w:t>,</w:t>
      </w:r>
      <w:r w:rsidR="00814124">
        <w:rPr>
          <w:rFonts w:hint="cs"/>
          <w:b/>
          <w:bCs/>
          <w:sz w:val="28"/>
          <w:szCs w:val="28"/>
          <w:rtl/>
        </w:rPr>
        <w:t xml:space="preserve"> שת</w:t>
      </w:r>
      <w:r w:rsidR="00600909">
        <w:rPr>
          <w:rFonts w:hint="cs"/>
          <w:b/>
          <w:bCs/>
          <w:sz w:val="28"/>
          <w:szCs w:val="28"/>
          <w:rtl/>
        </w:rPr>
        <w:t>בוא</w:t>
      </w:r>
      <w:r w:rsidR="00814124">
        <w:rPr>
          <w:rFonts w:hint="cs"/>
          <w:b/>
          <w:bCs/>
          <w:sz w:val="28"/>
          <w:szCs w:val="28"/>
          <w:rtl/>
        </w:rPr>
        <w:t xml:space="preserve"> </w:t>
      </w:r>
      <w:r w:rsidR="00F60CE7">
        <w:rPr>
          <w:rFonts w:hint="cs"/>
          <w:b/>
          <w:bCs/>
          <w:sz w:val="28"/>
          <w:szCs w:val="28"/>
          <w:rtl/>
        </w:rPr>
        <w:t xml:space="preserve">אליהם </w:t>
      </w:r>
      <w:r w:rsidR="003F168E">
        <w:rPr>
          <w:rFonts w:hint="cs"/>
          <w:b/>
          <w:bCs/>
          <w:sz w:val="28"/>
          <w:szCs w:val="28"/>
          <w:rtl/>
        </w:rPr>
        <w:t xml:space="preserve">הסתירה </w:t>
      </w:r>
      <w:r w:rsidR="001B3EE2">
        <w:rPr>
          <w:rFonts w:hint="cs"/>
          <w:b/>
          <w:bCs/>
          <w:sz w:val="28"/>
          <w:szCs w:val="28"/>
          <w:rtl/>
        </w:rPr>
        <w:t>משני צדדים</w:t>
      </w:r>
      <w:r w:rsidR="003F168E">
        <w:rPr>
          <w:rFonts w:hint="cs"/>
          <w:b/>
          <w:bCs/>
          <w:sz w:val="28"/>
          <w:szCs w:val="28"/>
          <w:rtl/>
        </w:rPr>
        <w:t xml:space="preserve">. </w:t>
      </w:r>
      <w:r w:rsidR="00B57604">
        <w:rPr>
          <w:rFonts w:hint="cs"/>
          <w:b/>
          <w:bCs/>
          <w:sz w:val="28"/>
          <w:szCs w:val="28"/>
          <w:rtl/>
        </w:rPr>
        <w:t>ה</w:t>
      </w:r>
      <w:r w:rsidR="001B3EE2">
        <w:rPr>
          <w:rFonts w:hint="cs"/>
          <w:b/>
          <w:bCs/>
          <w:sz w:val="28"/>
          <w:szCs w:val="28"/>
          <w:rtl/>
        </w:rPr>
        <w:t>צד האחד הוא</w:t>
      </w:r>
      <w:r w:rsidR="005E35BA">
        <w:rPr>
          <w:rFonts w:hint="cs"/>
          <w:b/>
          <w:bCs/>
          <w:sz w:val="28"/>
          <w:szCs w:val="28"/>
          <w:rtl/>
        </w:rPr>
        <w:t xml:space="preserve"> </w:t>
      </w:r>
      <w:r w:rsidR="005F4075">
        <w:rPr>
          <w:rFonts w:hint="cs"/>
          <w:b/>
          <w:bCs/>
          <w:sz w:val="28"/>
          <w:szCs w:val="28"/>
          <w:rtl/>
        </w:rPr>
        <w:t xml:space="preserve">שהם אמרו על ההתחלה </w:t>
      </w:r>
      <w:r w:rsidR="00106EDD">
        <w:rPr>
          <w:rFonts w:hint="cs"/>
          <w:b/>
          <w:bCs/>
          <w:sz w:val="28"/>
          <w:szCs w:val="28"/>
          <w:rtl/>
        </w:rPr>
        <w:t xml:space="preserve">שהיא </w:t>
      </w:r>
      <w:r w:rsidR="005F4075">
        <w:rPr>
          <w:rFonts w:hint="cs"/>
          <w:b/>
          <w:bCs/>
          <w:sz w:val="28"/>
          <w:szCs w:val="28"/>
          <w:rtl/>
        </w:rPr>
        <w:t>אחת</w:t>
      </w:r>
      <w:r w:rsidR="00106EDD">
        <w:rPr>
          <w:rFonts w:hint="cs"/>
          <w:b/>
          <w:bCs/>
          <w:sz w:val="28"/>
          <w:szCs w:val="28"/>
          <w:rtl/>
        </w:rPr>
        <w:t xml:space="preserve">, </w:t>
      </w:r>
      <w:r w:rsidR="00F952DC">
        <w:rPr>
          <w:rFonts w:hint="cs"/>
          <w:b/>
          <w:bCs/>
          <w:sz w:val="28"/>
          <w:szCs w:val="28"/>
          <w:rtl/>
        </w:rPr>
        <w:t>וה</w:t>
      </w:r>
      <w:r w:rsidR="00A8286E">
        <w:rPr>
          <w:rFonts w:hint="cs"/>
          <w:b/>
          <w:bCs/>
          <w:sz w:val="28"/>
          <w:szCs w:val="28"/>
          <w:rtl/>
        </w:rPr>
        <w:t>צד השני הוא</w:t>
      </w:r>
      <w:r w:rsidR="00F952DC">
        <w:rPr>
          <w:rFonts w:hint="cs"/>
          <w:b/>
          <w:bCs/>
          <w:sz w:val="28"/>
          <w:szCs w:val="28"/>
          <w:rtl/>
        </w:rPr>
        <w:t xml:space="preserve"> </w:t>
      </w:r>
      <w:r w:rsidR="00424B87">
        <w:rPr>
          <w:rFonts w:hint="cs"/>
          <w:b/>
          <w:bCs/>
          <w:sz w:val="28"/>
          <w:szCs w:val="28"/>
          <w:rtl/>
        </w:rPr>
        <w:t xml:space="preserve">שהם אמרו על ההתחלה הזו שהיא מים או </w:t>
      </w:r>
      <w:r w:rsidR="00143122">
        <w:rPr>
          <w:rFonts w:hint="cs"/>
          <w:b/>
          <w:bCs/>
          <w:sz w:val="28"/>
          <w:szCs w:val="28"/>
          <w:rtl/>
        </w:rPr>
        <w:t>רוח</w:t>
      </w:r>
      <w:r w:rsidR="00424B87">
        <w:rPr>
          <w:rFonts w:hint="cs"/>
          <w:b/>
          <w:bCs/>
          <w:sz w:val="28"/>
          <w:szCs w:val="28"/>
          <w:rtl/>
        </w:rPr>
        <w:t>.</w:t>
      </w:r>
      <w:r w:rsidR="00604A8E">
        <w:rPr>
          <w:rFonts w:hint="cs"/>
          <w:b/>
          <w:bCs/>
          <w:sz w:val="28"/>
          <w:szCs w:val="28"/>
          <w:rtl/>
        </w:rPr>
        <w:t xml:space="preserve"> ועל מ</w:t>
      </w:r>
      <w:r w:rsidR="008F24B1">
        <w:rPr>
          <w:rFonts w:hint="cs"/>
          <w:b/>
          <w:bCs/>
          <w:sz w:val="28"/>
          <w:szCs w:val="28"/>
          <w:rtl/>
        </w:rPr>
        <w:t xml:space="preserve">ה שנסתרים דבריהם </w:t>
      </w:r>
      <w:r w:rsidR="00447DCF">
        <w:rPr>
          <w:rFonts w:hint="cs"/>
          <w:b/>
          <w:bCs/>
          <w:sz w:val="28"/>
          <w:szCs w:val="28"/>
          <w:rtl/>
        </w:rPr>
        <w:t>מ</w:t>
      </w:r>
      <w:r w:rsidR="00E63CED">
        <w:rPr>
          <w:rFonts w:hint="cs"/>
          <w:b/>
          <w:bCs/>
          <w:sz w:val="28"/>
          <w:szCs w:val="28"/>
          <w:rtl/>
        </w:rPr>
        <w:t>ה</w:t>
      </w:r>
      <w:r w:rsidR="00447DCF">
        <w:rPr>
          <w:rFonts w:hint="cs"/>
          <w:b/>
          <w:bCs/>
          <w:sz w:val="28"/>
          <w:szCs w:val="28"/>
          <w:rtl/>
        </w:rPr>
        <w:t>צד</w:t>
      </w:r>
      <w:r w:rsidR="000438FD">
        <w:rPr>
          <w:rFonts w:hint="cs"/>
          <w:b/>
          <w:bCs/>
          <w:sz w:val="28"/>
          <w:szCs w:val="28"/>
          <w:rtl/>
        </w:rPr>
        <w:t xml:space="preserve"> ש</w:t>
      </w:r>
      <w:r w:rsidR="00D5364B">
        <w:rPr>
          <w:rFonts w:hint="cs"/>
          <w:b/>
          <w:bCs/>
          <w:sz w:val="28"/>
          <w:szCs w:val="28"/>
          <w:rtl/>
        </w:rPr>
        <w:t xml:space="preserve">אמרו שההתחלה היא </w:t>
      </w:r>
      <w:r w:rsidR="00554097">
        <w:rPr>
          <w:rFonts w:hint="cs"/>
          <w:b/>
          <w:bCs/>
          <w:sz w:val="28"/>
          <w:szCs w:val="28"/>
          <w:rtl/>
        </w:rPr>
        <w:t xml:space="preserve">מים או </w:t>
      </w:r>
      <w:r w:rsidR="00143122">
        <w:rPr>
          <w:rFonts w:hint="cs"/>
          <w:b/>
          <w:bCs/>
          <w:sz w:val="28"/>
          <w:szCs w:val="28"/>
          <w:rtl/>
        </w:rPr>
        <w:t>רו</w:t>
      </w:r>
      <w:r w:rsidR="00334440">
        <w:rPr>
          <w:rFonts w:hint="cs"/>
          <w:b/>
          <w:bCs/>
          <w:sz w:val="28"/>
          <w:szCs w:val="28"/>
          <w:rtl/>
        </w:rPr>
        <w:t xml:space="preserve">ח </w:t>
      </w:r>
      <w:r w:rsidR="00FD3AFA">
        <w:rPr>
          <w:rFonts w:hint="cs"/>
          <w:b/>
          <w:bCs/>
          <w:sz w:val="28"/>
          <w:szCs w:val="28"/>
          <w:rtl/>
        </w:rPr>
        <w:t xml:space="preserve">ראוי יותר </w:t>
      </w:r>
      <w:r w:rsidR="00A9092C">
        <w:rPr>
          <w:rFonts w:hint="cs"/>
          <w:b/>
          <w:bCs/>
          <w:sz w:val="28"/>
          <w:szCs w:val="28"/>
          <w:rtl/>
        </w:rPr>
        <w:t xml:space="preserve">שנדבר בעניין זה </w:t>
      </w:r>
      <w:r w:rsidR="00F02305">
        <w:rPr>
          <w:rFonts w:hint="cs"/>
          <w:b/>
          <w:bCs/>
          <w:sz w:val="28"/>
          <w:szCs w:val="28"/>
          <w:rtl/>
        </w:rPr>
        <w:t xml:space="preserve">במקום שנדבר בו </w:t>
      </w:r>
      <w:r w:rsidR="00BE2FA6">
        <w:rPr>
          <w:rFonts w:hint="cs"/>
          <w:b/>
          <w:bCs/>
          <w:sz w:val="28"/>
          <w:szCs w:val="28"/>
          <w:rtl/>
        </w:rPr>
        <w:t xml:space="preserve">על ההתחלות של </w:t>
      </w:r>
      <w:r w:rsidR="00F77E5F">
        <w:rPr>
          <w:rFonts w:hint="cs"/>
          <w:b/>
          <w:bCs/>
          <w:sz w:val="28"/>
          <w:szCs w:val="28"/>
          <w:rtl/>
        </w:rPr>
        <w:t>ה</w:t>
      </w:r>
      <w:r w:rsidR="003268AD">
        <w:rPr>
          <w:rFonts w:hint="cs"/>
          <w:b/>
          <w:bCs/>
          <w:sz w:val="28"/>
          <w:szCs w:val="28"/>
          <w:rtl/>
        </w:rPr>
        <w:t>מתהווים והנפסדים</w:t>
      </w:r>
      <w:r w:rsidR="00702F54">
        <w:rPr>
          <w:rStyle w:val="FootnoteReference"/>
          <w:b/>
          <w:bCs/>
          <w:sz w:val="28"/>
          <w:szCs w:val="28"/>
          <w:rtl/>
        </w:rPr>
        <w:footnoteReference w:id="402"/>
      </w:r>
      <w:r w:rsidR="002D16E0">
        <w:rPr>
          <w:rFonts w:hint="cs"/>
          <w:b/>
          <w:bCs/>
          <w:sz w:val="28"/>
          <w:szCs w:val="28"/>
          <w:rtl/>
        </w:rPr>
        <w:t xml:space="preserve">, </w:t>
      </w:r>
      <w:r w:rsidR="00ED4AF2">
        <w:rPr>
          <w:rFonts w:hint="cs"/>
          <w:b/>
          <w:bCs/>
          <w:sz w:val="28"/>
          <w:szCs w:val="28"/>
          <w:rtl/>
        </w:rPr>
        <w:t xml:space="preserve">לא על ההתחלות </w:t>
      </w:r>
      <w:r w:rsidR="00A979A4">
        <w:rPr>
          <w:rFonts w:hint="cs"/>
          <w:b/>
          <w:bCs/>
          <w:sz w:val="28"/>
          <w:szCs w:val="28"/>
          <w:rtl/>
        </w:rPr>
        <w:t xml:space="preserve">הכלליות, </w:t>
      </w:r>
      <w:r w:rsidR="00995512">
        <w:rPr>
          <w:rFonts w:hint="cs"/>
          <w:b/>
          <w:bCs/>
          <w:sz w:val="28"/>
          <w:szCs w:val="28"/>
          <w:rtl/>
        </w:rPr>
        <w:t xml:space="preserve">כי </w:t>
      </w:r>
      <w:r w:rsidR="009C6233">
        <w:rPr>
          <w:rFonts w:hint="cs"/>
          <w:b/>
          <w:bCs/>
          <w:sz w:val="28"/>
          <w:szCs w:val="28"/>
          <w:rtl/>
        </w:rPr>
        <w:t xml:space="preserve">גם </w:t>
      </w:r>
      <w:r w:rsidR="00B76747">
        <w:rPr>
          <w:rFonts w:hint="cs"/>
          <w:b/>
          <w:bCs/>
          <w:sz w:val="28"/>
          <w:szCs w:val="28"/>
          <w:rtl/>
        </w:rPr>
        <w:t xml:space="preserve">הם </w:t>
      </w:r>
      <w:r w:rsidR="00962194">
        <w:rPr>
          <w:rFonts w:hint="cs"/>
          <w:b/>
          <w:bCs/>
          <w:sz w:val="28"/>
          <w:szCs w:val="28"/>
          <w:rtl/>
        </w:rPr>
        <w:t>הגדירו</w:t>
      </w:r>
      <w:r w:rsidR="004B5F74">
        <w:rPr>
          <w:rFonts w:hint="cs"/>
          <w:b/>
          <w:bCs/>
          <w:sz w:val="28"/>
          <w:szCs w:val="28"/>
          <w:rtl/>
        </w:rPr>
        <w:t xml:space="preserve"> </w:t>
      </w:r>
      <w:r w:rsidR="007F1056">
        <w:rPr>
          <w:rFonts w:hint="cs"/>
          <w:b/>
          <w:bCs/>
          <w:sz w:val="28"/>
          <w:szCs w:val="28"/>
          <w:rtl/>
        </w:rPr>
        <w:t>התחלה זו</w:t>
      </w:r>
      <w:r w:rsidR="00962194">
        <w:rPr>
          <w:rFonts w:hint="cs"/>
          <w:b/>
          <w:bCs/>
          <w:sz w:val="28"/>
          <w:szCs w:val="28"/>
          <w:rtl/>
        </w:rPr>
        <w:t xml:space="preserve"> כהתחלה </w:t>
      </w:r>
      <w:r w:rsidR="003B586D">
        <w:rPr>
          <w:rFonts w:hint="cs"/>
          <w:b/>
          <w:bCs/>
          <w:sz w:val="28"/>
          <w:szCs w:val="28"/>
          <w:rtl/>
        </w:rPr>
        <w:t>של המתהווים והנפסדים</w:t>
      </w:r>
      <w:r w:rsidR="001A3A3E">
        <w:rPr>
          <w:rFonts w:hint="cs"/>
          <w:b/>
          <w:bCs/>
          <w:sz w:val="28"/>
          <w:szCs w:val="28"/>
          <w:rtl/>
        </w:rPr>
        <w:t>.</w:t>
      </w:r>
    </w:p>
    <w:p w14:paraId="6E8D886A" w14:textId="31193BFD" w:rsidR="00261A70" w:rsidRDefault="00E470EE" w:rsidP="0052586D">
      <w:pPr>
        <w:pStyle w:val="FootnoteText"/>
        <w:rPr>
          <w:b/>
          <w:bCs/>
          <w:sz w:val="28"/>
          <w:szCs w:val="28"/>
          <w:rtl/>
        </w:rPr>
      </w:pPr>
      <w:r>
        <w:rPr>
          <w:rFonts w:hint="cs"/>
          <w:b/>
          <w:bCs/>
          <w:sz w:val="28"/>
          <w:szCs w:val="28"/>
          <w:rtl/>
        </w:rPr>
        <w:t xml:space="preserve">ולגבי </w:t>
      </w:r>
      <w:r w:rsidR="00B04039">
        <w:rPr>
          <w:rFonts w:hint="cs"/>
          <w:b/>
          <w:bCs/>
          <w:sz w:val="28"/>
          <w:szCs w:val="28"/>
          <w:rtl/>
        </w:rPr>
        <w:t>ה</w:t>
      </w:r>
      <w:r w:rsidR="005D615B">
        <w:rPr>
          <w:rFonts w:hint="cs"/>
          <w:b/>
          <w:bCs/>
          <w:sz w:val="28"/>
          <w:szCs w:val="28"/>
          <w:rtl/>
        </w:rPr>
        <w:t>הבנה</w:t>
      </w:r>
      <w:r w:rsidR="00B04039">
        <w:rPr>
          <w:rFonts w:hint="cs"/>
          <w:b/>
          <w:bCs/>
          <w:sz w:val="28"/>
          <w:szCs w:val="28"/>
          <w:rtl/>
        </w:rPr>
        <w:t xml:space="preserve"> של </w:t>
      </w:r>
      <w:r w:rsidR="00D27AF0">
        <w:rPr>
          <w:rFonts w:hint="cs"/>
          <w:b/>
          <w:bCs/>
          <w:sz w:val="28"/>
          <w:szCs w:val="28"/>
          <w:rtl/>
        </w:rPr>
        <w:t>הדברים</w:t>
      </w:r>
      <w:r w:rsidR="007F12D8">
        <w:rPr>
          <w:rFonts w:hint="cs"/>
          <w:b/>
          <w:bCs/>
          <w:sz w:val="28"/>
          <w:szCs w:val="28"/>
          <w:rtl/>
        </w:rPr>
        <w:t xml:space="preserve"> ש</w:t>
      </w:r>
      <w:r w:rsidR="005D615B">
        <w:rPr>
          <w:rFonts w:hint="cs"/>
          <w:b/>
          <w:bCs/>
          <w:sz w:val="28"/>
          <w:szCs w:val="28"/>
          <w:rtl/>
        </w:rPr>
        <w:t>נפסד</w:t>
      </w:r>
      <w:r w:rsidR="00D27AF0">
        <w:rPr>
          <w:rFonts w:hint="cs"/>
          <w:b/>
          <w:bCs/>
          <w:sz w:val="28"/>
          <w:szCs w:val="28"/>
          <w:rtl/>
        </w:rPr>
        <w:t>ים</w:t>
      </w:r>
      <w:r w:rsidR="005D615B">
        <w:rPr>
          <w:rFonts w:hint="cs"/>
          <w:b/>
          <w:bCs/>
          <w:sz w:val="28"/>
          <w:szCs w:val="28"/>
          <w:rtl/>
        </w:rPr>
        <w:t xml:space="preserve"> </w:t>
      </w:r>
      <w:r w:rsidR="000F16FC">
        <w:rPr>
          <w:rFonts w:hint="cs"/>
          <w:b/>
          <w:bCs/>
          <w:sz w:val="28"/>
          <w:szCs w:val="28"/>
          <w:rtl/>
        </w:rPr>
        <w:t xml:space="preserve">- </w:t>
      </w:r>
      <w:r w:rsidR="00FC7919">
        <w:rPr>
          <w:rFonts w:hint="cs"/>
          <w:b/>
          <w:bCs/>
          <w:sz w:val="28"/>
          <w:szCs w:val="28"/>
          <w:rtl/>
        </w:rPr>
        <w:t>אמרו שההתחלה היא אחת</w:t>
      </w:r>
      <w:r w:rsidR="000F16FC">
        <w:rPr>
          <w:rFonts w:hint="cs"/>
          <w:b/>
          <w:bCs/>
          <w:sz w:val="28"/>
          <w:szCs w:val="28"/>
          <w:rtl/>
        </w:rPr>
        <w:t>;</w:t>
      </w:r>
      <w:r w:rsidR="00FC7919">
        <w:rPr>
          <w:rFonts w:hint="cs"/>
          <w:b/>
          <w:bCs/>
          <w:sz w:val="28"/>
          <w:szCs w:val="28"/>
          <w:rtl/>
        </w:rPr>
        <w:t xml:space="preserve"> </w:t>
      </w:r>
      <w:r w:rsidR="001E5824">
        <w:rPr>
          <w:rFonts w:hint="cs"/>
          <w:b/>
          <w:bCs/>
          <w:sz w:val="28"/>
          <w:szCs w:val="28"/>
          <w:rtl/>
        </w:rPr>
        <w:t>ו</w:t>
      </w:r>
      <w:r w:rsidR="007F12D8">
        <w:rPr>
          <w:rFonts w:hint="cs"/>
          <w:b/>
          <w:bCs/>
          <w:sz w:val="28"/>
          <w:szCs w:val="28"/>
          <w:rtl/>
        </w:rPr>
        <w:t>זה</w:t>
      </w:r>
      <w:r w:rsidR="008206EE">
        <w:rPr>
          <w:rFonts w:hint="cs"/>
          <w:b/>
          <w:bCs/>
          <w:sz w:val="28"/>
          <w:szCs w:val="28"/>
          <w:rtl/>
        </w:rPr>
        <w:t xml:space="preserve"> </w:t>
      </w:r>
      <w:r w:rsidR="001E5824">
        <w:rPr>
          <w:rFonts w:hint="cs"/>
          <w:b/>
          <w:bCs/>
          <w:sz w:val="28"/>
          <w:szCs w:val="28"/>
          <w:rtl/>
        </w:rPr>
        <w:t xml:space="preserve">לפי דרכם </w:t>
      </w:r>
      <w:r w:rsidR="009C1214">
        <w:rPr>
          <w:rFonts w:hint="cs"/>
          <w:b/>
          <w:bCs/>
          <w:sz w:val="28"/>
          <w:szCs w:val="28"/>
          <w:rtl/>
        </w:rPr>
        <w:t xml:space="preserve">יעשה את הדברים כולם </w:t>
      </w:r>
      <w:r w:rsidR="00640A2F">
        <w:rPr>
          <w:rFonts w:hint="cs"/>
          <w:b/>
          <w:bCs/>
          <w:sz w:val="28"/>
          <w:szCs w:val="28"/>
          <w:rtl/>
        </w:rPr>
        <w:t>עצם</w:t>
      </w:r>
      <w:r w:rsidR="00832FCA">
        <w:rPr>
          <w:rFonts w:hint="cs"/>
          <w:b/>
          <w:bCs/>
          <w:sz w:val="28"/>
          <w:szCs w:val="28"/>
          <w:rtl/>
        </w:rPr>
        <w:t xml:space="preserve"> אחד</w:t>
      </w:r>
      <w:r w:rsidR="00EA2D08">
        <w:rPr>
          <w:rFonts w:hint="cs"/>
          <w:b/>
          <w:bCs/>
          <w:sz w:val="28"/>
          <w:szCs w:val="28"/>
          <w:rtl/>
        </w:rPr>
        <w:t xml:space="preserve"> </w:t>
      </w:r>
      <w:r w:rsidR="006B1936">
        <w:rPr>
          <w:rFonts w:hint="cs"/>
          <w:b/>
          <w:bCs/>
          <w:sz w:val="28"/>
          <w:szCs w:val="28"/>
          <w:rtl/>
        </w:rPr>
        <w:t>ו</w:t>
      </w:r>
      <w:r w:rsidR="0014364F">
        <w:rPr>
          <w:rFonts w:hint="cs"/>
          <w:b/>
          <w:bCs/>
          <w:sz w:val="28"/>
          <w:szCs w:val="28"/>
          <w:rtl/>
        </w:rPr>
        <w:t>התחלפותם</w:t>
      </w:r>
      <w:r w:rsidR="00640A2F">
        <w:rPr>
          <w:rFonts w:hint="cs"/>
          <w:b/>
          <w:bCs/>
          <w:sz w:val="28"/>
          <w:szCs w:val="28"/>
          <w:rtl/>
        </w:rPr>
        <w:t xml:space="preserve"> </w:t>
      </w:r>
      <w:r w:rsidR="00D95ED1">
        <w:rPr>
          <w:rFonts w:hint="cs"/>
          <w:b/>
          <w:bCs/>
          <w:sz w:val="28"/>
          <w:szCs w:val="28"/>
          <w:rtl/>
        </w:rPr>
        <w:t xml:space="preserve">היא </w:t>
      </w:r>
      <w:r w:rsidR="00640A2F">
        <w:rPr>
          <w:rFonts w:hint="cs"/>
          <w:b/>
          <w:bCs/>
          <w:sz w:val="28"/>
          <w:szCs w:val="28"/>
          <w:rtl/>
        </w:rPr>
        <w:t>לפי המקר</w:t>
      </w:r>
      <w:r w:rsidR="00D27AF0">
        <w:rPr>
          <w:rFonts w:hint="cs"/>
          <w:b/>
          <w:bCs/>
          <w:sz w:val="28"/>
          <w:szCs w:val="28"/>
          <w:rtl/>
        </w:rPr>
        <w:t>ים</w:t>
      </w:r>
      <w:r w:rsidR="00DB3B40">
        <w:rPr>
          <w:rStyle w:val="FootnoteReference"/>
          <w:b/>
          <w:bCs/>
          <w:sz w:val="28"/>
          <w:szCs w:val="28"/>
          <w:rtl/>
        </w:rPr>
        <w:footnoteReference w:id="403"/>
      </w:r>
      <w:r w:rsidR="00D27AF0">
        <w:rPr>
          <w:rFonts w:hint="cs"/>
          <w:b/>
          <w:bCs/>
          <w:sz w:val="28"/>
          <w:szCs w:val="28"/>
          <w:rtl/>
        </w:rPr>
        <w:t>.</w:t>
      </w:r>
      <w:r w:rsidR="00EF7FB2">
        <w:rPr>
          <w:rFonts w:hint="cs"/>
          <w:b/>
          <w:bCs/>
          <w:sz w:val="28"/>
          <w:szCs w:val="28"/>
          <w:rtl/>
        </w:rPr>
        <w:t xml:space="preserve"> ויבטלו </w:t>
      </w:r>
      <w:r w:rsidR="002D42FD">
        <w:rPr>
          <w:rFonts w:hint="cs"/>
          <w:b/>
          <w:bCs/>
          <w:sz w:val="28"/>
          <w:szCs w:val="28"/>
          <w:rtl/>
        </w:rPr>
        <w:t>את התחלפות הג</w:t>
      </w:r>
      <w:r w:rsidR="00BD3B51">
        <w:rPr>
          <w:rFonts w:hint="cs"/>
          <w:b/>
          <w:bCs/>
          <w:sz w:val="28"/>
          <w:szCs w:val="28"/>
          <w:rtl/>
        </w:rPr>
        <w:t>שמים</w:t>
      </w:r>
      <w:r w:rsidR="003F329D">
        <w:rPr>
          <w:rStyle w:val="FootnoteReference"/>
          <w:b/>
          <w:bCs/>
          <w:sz w:val="28"/>
          <w:szCs w:val="28"/>
          <w:rtl/>
        </w:rPr>
        <w:footnoteReference w:id="404"/>
      </w:r>
      <w:r w:rsidR="002D42FD">
        <w:rPr>
          <w:rFonts w:hint="cs"/>
          <w:b/>
          <w:bCs/>
          <w:sz w:val="28"/>
          <w:szCs w:val="28"/>
          <w:rtl/>
        </w:rPr>
        <w:t xml:space="preserve"> </w:t>
      </w:r>
      <w:r w:rsidR="009815F9">
        <w:rPr>
          <w:rFonts w:hint="cs"/>
          <w:b/>
          <w:bCs/>
          <w:sz w:val="28"/>
          <w:szCs w:val="28"/>
          <w:rtl/>
        </w:rPr>
        <w:t>ב</w:t>
      </w:r>
      <w:r w:rsidR="0008253E">
        <w:rPr>
          <w:rFonts w:hint="cs"/>
          <w:b/>
          <w:bCs/>
          <w:sz w:val="28"/>
          <w:szCs w:val="28"/>
          <w:rtl/>
        </w:rPr>
        <w:t>סוג</w:t>
      </w:r>
      <w:r w:rsidR="009815F9">
        <w:rPr>
          <w:rFonts w:hint="cs"/>
          <w:b/>
          <w:bCs/>
          <w:sz w:val="28"/>
          <w:szCs w:val="28"/>
          <w:rtl/>
        </w:rPr>
        <w:t xml:space="preserve">ים </w:t>
      </w:r>
      <w:r w:rsidR="00832FCA">
        <w:rPr>
          <w:rFonts w:hint="cs"/>
          <w:b/>
          <w:bCs/>
          <w:sz w:val="28"/>
          <w:szCs w:val="28"/>
          <w:rtl/>
        </w:rPr>
        <w:t>ו</w:t>
      </w:r>
      <w:r w:rsidR="0008253E">
        <w:rPr>
          <w:rFonts w:hint="cs"/>
          <w:b/>
          <w:bCs/>
          <w:sz w:val="28"/>
          <w:szCs w:val="28"/>
          <w:rtl/>
        </w:rPr>
        <w:t>מינ</w:t>
      </w:r>
      <w:r w:rsidR="00832FCA">
        <w:rPr>
          <w:rFonts w:hint="cs"/>
          <w:b/>
          <w:bCs/>
          <w:sz w:val="28"/>
          <w:szCs w:val="28"/>
          <w:rtl/>
        </w:rPr>
        <w:t xml:space="preserve">ים </w:t>
      </w:r>
      <w:r w:rsidR="009815F9">
        <w:rPr>
          <w:rFonts w:hint="cs"/>
          <w:b/>
          <w:bCs/>
          <w:sz w:val="28"/>
          <w:szCs w:val="28"/>
          <w:rtl/>
        </w:rPr>
        <w:t>שונים</w:t>
      </w:r>
      <w:r w:rsidR="00026FEF">
        <w:rPr>
          <w:rFonts w:hint="cs"/>
          <w:b/>
          <w:bCs/>
          <w:sz w:val="28"/>
          <w:szCs w:val="28"/>
          <w:rtl/>
        </w:rPr>
        <w:t xml:space="preserve">, וברור לנו </w:t>
      </w:r>
      <w:r w:rsidR="00A60216">
        <w:rPr>
          <w:rFonts w:hint="cs"/>
          <w:b/>
          <w:bCs/>
          <w:sz w:val="28"/>
          <w:szCs w:val="28"/>
          <w:rtl/>
        </w:rPr>
        <w:t>שהגשמים מתחלקים ל</w:t>
      </w:r>
      <w:r w:rsidR="0008253E">
        <w:rPr>
          <w:rFonts w:hint="cs"/>
          <w:b/>
          <w:bCs/>
          <w:sz w:val="28"/>
          <w:szCs w:val="28"/>
          <w:rtl/>
        </w:rPr>
        <w:t>סוג</w:t>
      </w:r>
      <w:r w:rsidR="00A60216">
        <w:rPr>
          <w:rFonts w:hint="cs"/>
          <w:b/>
          <w:bCs/>
          <w:sz w:val="28"/>
          <w:szCs w:val="28"/>
          <w:rtl/>
        </w:rPr>
        <w:t>ים ו</w:t>
      </w:r>
      <w:r w:rsidR="0008253E">
        <w:rPr>
          <w:rFonts w:hint="cs"/>
          <w:b/>
          <w:bCs/>
          <w:sz w:val="28"/>
          <w:szCs w:val="28"/>
          <w:rtl/>
        </w:rPr>
        <w:t>מינ</w:t>
      </w:r>
      <w:r w:rsidR="00A60216">
        <w:rPr>
          <w:rFonts w:hint="cs"/>
          <w:b/>
          <w:bCs/>
          <w:sz w:val="28"/>
          <w:szCs w:val="28"/>
          <w:rtl/>
        </w:rPr>
        <w:t>ים שונים.</w:t>
      </w:r>
    </w:p>
    <w:p w14:paraId="55AD3BAD" w14:textId="6B52CACE" w:rsidR="008F3861" w:rsidRDefault="00261A70" w:rsidP="00F128FE">
      <w:pPr>
        <w:pStyle w:val="FootnoteText"/>
        <w:rPr>
          <w:b/>
          <w:bCs/>
          <w:sz w:val="28"/>
          <w:szCs w:val="28"/>
          <w:rtl/>
        </w:rPr>
      </w:pPr>
      <w:r>
        <w:rPr>
          <w:rFonts w:hint="cs"/>
          <w:b/>
          <w:bCs/>
          <w:sz w:val="28"/>
          <w:szCs w:val="28"/>
          <w:rtl/>
        </w:rPr>
        <w:t>ו</w:t>
      </w:r>
      <w:r w:rsidR="001A6730">
        <w:rPr>
          <w:rFonts w:hint="cs"/>
          <w:b/>
          <w:bCs/>
          <w:sz w:val="28"/>
          <w:szCs w:val="28"/>
          <w:rtl/>
        </w:rPr>
        <w:t>לגבי</w:t>
      </w:r>
      <w:r>
        <w:rPr>
          <w:rFonts w:hint="cs"/>
          <w:b/>
          <w:bCs/>
          <w:sz w:val="28"/>
          <w:szCs w:val="28"/>
          <w:rtl/>
        </w:rPr>
        <w:t xml:space="preserve"> </w:t>
      </w:r>
      <w:r w:rsidR="00563D48">
        <w:rPr>
          <w:rFonts w:hint="cs"/>
          <w:b/>
          <w:bCs/>
          <w:sz w:val="28"/>
          <w:szCs w:val="28"/>
          <w:rtl/>
        </w:rPr>
        <w:t>ה</w:t>
      </w:r>
      <w:r>
        <w:rPr>
          <w:rFonts w:hint="cs"/>
          <w:b/>
          <w:bCs/>
          <w:sz w:val="28"/>
          <w:szCs w:val="28"/>
          <w:rtl/>
        </w:rPr>
        <w:t>אומרים</w:t>
      </w:r>
      <w:r w:rsidR="009E1B7E">
        <w:rPr>
          <w:rFonts w:hint="cs"/>
          <w:b/>
          <w:bCs/>
          <w:sz w:val="28"/>
          <w:szCs w:val="28"/>
          <w:rtl/>
        </w:rPr>
        <w:t xml:space="preserve"> </w:t>
      </w:r>
      <w:r w:rsidR="0084140C">
        <w:rPr>
          <w:rFonts w:hint="cs"/>
          <w:b/>
          <w:bCs/>
          <w:sz w:val="28"/>
          <w:szCs w:val="28"/>
          <w:rtl/>
        </w:rPr>
        <w:t xml:space="preserve">שההתחלות </w:t>
      </w:r>
      <w:r w:rsidR="005772BA">
        <w:rPr>
          <w:rFonts w:hint="cs"/>
          <w:b/>
          <w:bCs/>
          <w:sz w:val="28"/>
          <w:szCs w:val="28"/>
          <w:rtl/>
        </w:rPr>
        <w:t>ש</w:t>
      </w:r>
      <w:r w:rsidR="008423F0">
        <w:rPr>
          <w:rFonts w:hint="cs"/>
          <w:b/>
          <w:bCs/>
          <w:sz w:val="28"/>
          <w:szCs w:val="28"/>
          <w:rtl/>
        </w:rPr>
        <w:t>מהן מורכבים</w:t>
      </w:r>
      <w:r w:rsidR="00975B83">
        <w:rPr>
          <w:rFonts w:hint="cs"/>
          <w:b/>
          <w:bCs/>
          <w:sz w:val="28"/>
          <w:szCs w:val="28"/>
          <w:rtl/>
        </w:rPr>
        <w:t xml:space="preserve"> </w:t>
      </w:r>
      <w:r w:rsidR="00943FBF">
        <w:rPr>
          <w:rFonts w:hint="cs"/>
          <w:b/>
          <w:bCs/>
          <w:sz w:val="28"/>
          <w:szCs w:val="28"/>
          <w:rtl/>
        </w:rPr>
        <w:t>ה</w:t>
      </w:r>
      <w:r w:rsidR="005F5B98">
        <w:rPr>
          <w:rFonts w:hint="cs"/>
          <w:b/>
          <w:bCs/>
          <w:sz w:val="28"/>
          <w:szCs w:val="28"/>
          <w:rtl/>
        </w:rPr>
        <w:t>דבר</w:t>
      </w:r>
      <w:r w:rsidR="00943FBF">
        <w:rPr>
          <w:rFonts w:hint="cs"/>
          <w:b/>
          <w:bCs/>
          <w:sz w:val="28"/>
          <w:szCs w:val="28"/>
          <w:rtl/>
        </w:rPr>
        <w:t>ים</w:t>
      </w:r>
      <w:r w:rsidR="005F5B98">
        <w:rPr>
          <w:rFonts w:hint="cs"/>
          <w:b/>
          <w:bCs/>
          <w:sz w:val="28"/>
          <w:szCs w:val="28"/>
          <w:rtl/>
        </w:rPr>
        <w:t xml:space="preserve"> הטבעיים</w:t>
      </w:r>
      <w:r w:rsidR="005F5B98">
        <w:rPr>
          <w:rStyle w:val="FootnoteReference"/>
          <w:b/>
          <w:bCs/>
          <w:sz w:val="28"/>
          <w:szCs w:val="28"/>
          <w:rtl/>
        </w:rPr>
        <w:footnoteReference w:id="405"/>
      </w:r>
      <w:r w:rsidR="0069543A">
        <w:rPr>
          <w:rFonts w:hint="cs"/>
          <w:b/>
          <w:bCs/>
          <w:sz w:val="28"/>
          <w:szCs w:val="28"/>
          <w:rtl/>
        </w:rPr>
        <w:t xml:space="preserve"> הן אין סופיות</w:t>
      </w:r>
      <w:r w:rsidR="00F128FE">
        <w:rPr>
          <w:rStyle w:val="FootnoteReference"/>
          <w:b/>
          <w:bCs/>
          <w:sz w:val="28"/>
          <w:szCs w:val="28"/>
          <w:rtl/>
        </w:rPr>
        <w:footnoteReference w:id="406"/>
      </w:r>
      <w:r w:rsidR="0069543A">
        <w:rPr>
          <w:rFonts w:hint="cs"/>
          <w:b/>
          <w:bCs/>
          <w:sz w:val="28"/>
          <w:szCs w:val="28"/>
          <w:rtl/>
        </w:rPr>
        <w:t xml:space="preserve">, </w:t>
      </w:r>
      <w:r w:rsidR="00683684">
        <w:rPr>
          <w:rFonts w:hint="cs"/>
          <w:b/>
          <w:bCs/>
          <w:sz w:val="28"/>
          <w:szCs w:val="28"/>
          <w:rtl/>
        </w:rPr>
        <w:t xml:space="preserve">הם </w:t>
      </w:r>
      <w:r w:rsidR="004947F1">
        <w:rPr>
          <w:rFonts w:hint="cs"/>
          <w:b/>
          <w:bCs/>
          <w:sz w:val="28"/>
          <w:szCs w:val="28"/>
          <w:rtl/>
        </w:rPr>
        <w:t>איבד</w:t>
      </w:r>
      <w:r w:rsidR="00765F54">
        <w:rPr>
          <w:rFonts w:hint="cs"/>
          <w:b/>
          <w:bCs/>
          <w:sz w:val="28"/>
          <w:szCs w:val="28"/>
          <w:rtl/>
        </w:rPr>
        <w:t>ו את יכולת ההבחנה</w:t>
      </w:r>
      <w:r w:rsidR="00956CD6">
        <w:rPr>
          <w:rFonts w:hint="cs"/>
          <w:b/>
          <w:bCs/>
          <w:sz w:val="28"/>
          <w:szCs w:val="28"/>
          <w:rtl/>
        </w:rPr>
        <w:t xml:space="preserve"> ואין להם חכמה ב</w:t>
      </w:r>
      <w:r w:rsidR="005F5B98">
        <w:rPr>
          <w:rFonts w:hint="cs"/>
          <w:b/>
          <w:bCs/>
          <w:sz w:val="28"/>
          <w:szCs w:val="28"/>
          <w:rtl/>
        </w:rPr>
        <w:t xml:space="preserve">טבע, </w:t>
      </w:r>
      <w:r w:rsidR="005569E3">
        <w:rPr>
          <w:rFonts w:hint="cs"/>
          <w:b/>
          <w:bCs/>
          <w:sz w:val="28"/>
          <w:szCs w:val="28"/>
          <w:rtl/>
        </w:rPr>
        <w:t>כי ההתחלות שלהם אין סופיות</w:t>
      </w:r>
      <w:r w:rsidR="003E5E52">
        <w:rPr>
          <w:rStyle w:val="FootnoteReference"/>
          <w:b/>
          <w:bCs/>
          <w:sz w:val="28"/>
          <w:szCs w:val="28"/>
          <w:rtl/>
        </w:rPr>
        <w:footnoteReference w:id="407"/>
      </w:r>
      <w:r w:rsidR="005B33D7">
        <w:rPr>
          <w:rFonts w:hint="cs"/>
          <w:b/>
          <w:bCs/>
          <w:sz w:val="28"/>
          <w:szCs w:val="28"/>
          <w:rtl/>
        </w:rPr>
        <w:t>, ואי א</w:t>
      </w:r>
      <w:r w:rsidR="004640AC">
        <w:rPr>
          <w:rFonts w:hint="cs"/>
          <w:b/>
          <w:bCs/>
          <w:sz w:val="28"/>
          <w:szCs w:val="28"/>
          <w:rtl/>
        </w:rPr>
        <w:t>פ</w:t>
      </w:r>
      <w:r w:rsidR="005B33D7">
        <w:rPr>
          <w:rFonts w:hint="cs"/>
          <w:b/>
          <w:bCs/>
          <w:sz w:val="28"/>
          <w:szCs w:val="28"/>
          <w:rtl/>
        </w:rPr>
        <w:t>שר שי</w:t>
      </w:r>
      <w:r w:rsidR="000773A8">
        <w:rPr>
          <w:rFonts w:hint="cs"/>
          <w:b/>
          <w:bCs/>
          <w:sz w:val="28"/>
          <w:szCs w:val="28"/>
          <w:rtl/>
        </w:rPr>
        <w:t>קיף</w:t>
      </w:r>
      <w:r w:rsidR="005B33D7">
        <w:rPr>
          <w:rFonts w:hint="cs"/>
          <w:b/>
          <w:bCs/>
          <w:sz w:val="28"/>
          <w:szCs w:val="28"/>
          <w:rtl/>
        </w:rPr>
        <w:t xml:space="preserve"> אותן השכל</w:t>
      </w:r>
      <w:r w:rsidR="000773A8">
        <w:rPr>
          <w:rStyle w:val="FootnoteReference"/>
          <w:b/>
          <w:bCs/>
          <w:sz w:val="28"/>
          <w:szCs w:val="28"/>
          <w:rtl/>
        </w:rPr>
        <w:footnoteReference w:id="408"/>
      </w:r>
      <w:r w:rsidR="005B33D7">
        <w:rPr>
          <w:rFonts w:hint="cs"/>
          <w:b/>
          <w:bCs/>
          <w:sz w:val="28"/>
          <w:szCs w:val="28"/>
          <w:rtl/>
        </w:rPr>
        <w:t xml:space="preserve">, </w:t>
      </w:r>
      <w:r w:rsidR="000773A8">
        <w:rPr>
          <w:rFonts w:hint="cs"/>
          <w:b/>
          <w:bCs/>
          <w:sz w:val="28"/>
          <w:szCs w:val="28"/>
          <w:rtl/>
        </w:rPr>
        <w:t>ואי אפשר</w:t>
      </w:r>
      <w:r w:rsidR="00554BF8">
        <w:rPr>
          <w:rFonts w:hint="cs"/>
          <w:b/>
          <w:bCs/>
          <w:sz w:val="28"/>
          <w:szCs w:val="28"/>
          <w:rtl/>
        </w:rPr>
        <w:t xml:space="preserve"> שיקיף את מה שמורכב מה</w:t>
      </w:r>
      <w:r w:rsidR="0051263D">
        <w:rPr>
          <w:rFonts w:hint="cs"/>
          <w:b/>
          <w:bCs/>
          <w:sz w:val="28"/>
          <w:szCs w:val="28"/>
          <w:rtl/>
        </w:rPr>
        <w:t>ן</w:t>
      </w:r>
      <w:r w:rsidR="00554BF8">
        <w:rPr>
          <w:rFonts w:hint="cs"/>
          <w:b/>
          <w:bCs/>
          <w:sz w:val="28"/>
          <w:szCs w:val="28"/>
          <w:rtl/>
        </w:rPr>
        <w:t xml:space="preserve">. </w:t>
      </w:r>
      <w:r w:rsidR="008005D3">
        <w:rPr>
          <w:rFonts w:hint="cs"/>
          <w:b/>
          <w:bCs/>
          <w:sz w:val="28"/>
          <w:szCs w:val="28"/>
          <w:rtl/>
        </w:rPr>
        <w:t>ומכיוון שאין דרך ל</w:t>
      </w:r>
      <w:r w:rsidR="00B6573E">
        <w:rPr>
          <w:rFonts w:hint="cs"/>
          <w:b/>
          <w:bCs/>
          <w:sz w:val="28"/>
          <w:szCs w:val="28"/>
          <w:rtl/>
        </w:rPr>
        <w:t>דעת</w:t>
      </w:r>
      <w:r w:rsidR="0017785D">
        <w:rPr>
          <w:rStyle w:val="FootnoteReference"/>
          <w:b/>
          <w:bCs/>
          <w:sz w:val="28"/>
          <w:szCs w:val="28"/>
          <w:rtl/>
        </w:rPr>
        <w:footnoteReference w:id="409"/>
      </w:r>
      <w:r w:rsidR="004A2E34">
        <w:rPr>
          <w:rFonts w:hint="cs"/>
          <w:b/>
          <w:bCs/>
          <w:sz w:val="28"/>
          <w:szCs w:val="28"/>
          <w:rtl/>
        </w:rPr>
        <w:t xml:space="preserve"> את הדברים הטבעיים </w:t>
      </w:r>
      <w:r w:rsidR="00DE6699">
        <w:rPr>
          <w:rFonts w:hint="cs"/>
          <w:b/>
          <w:bCs/>
          <w:sz w:val="28"/>
          <w:szCs w:val="28"/>
          <w:rtl/>
        </w:rPr>
        <w:t>איך ידעו בנוסף שהתחלותי</w:t>
      </w:r>
      <w:r w:rsidR="007D6AB9">
        <w:rPr>
          <w:rFonts w:hint="cs"/>
          <w:b/>
          <w:bCs/>
          <w:sz w:val="28"/>
          <w:szCs w:val="28"/>
          <w:rtl/>
        </w:rPr>
        <w:t xml:space="preserve">הם הן אין סופיות. </w:t>
      </w:r>
      <w:r w:rsidR="00B6573E">
        <w:rPr>
          <w:rFonts w:hint="cs"/>
          <w:b/>
          <w:bCs/>
          <w:sz w:val="28"/>
          <w:szCs w:val="28"/>
          <w:rtl/>
        </w:rPr>
        <w:t xml:space="preserve"> </w:t>
      </w:r>
    </w:p>
    <w:p w14:paraId="4EEF3F97" w14:textId="773DD1F7" w:rsidR="005C7FD5" w:rsidRDefault="00471F3E" w:rsidP="00AF63E4">
      <w:pPr>
        <w:pStyle w:val="FootnoteText"/>
        <w:rPr>
          <w:b/>
          <w:bCs/>
          <w:sz w:val="28"/>
          <w:szCs w:val="28"/>
          <w:rtl/>
        </w:rPr>
      </w:pPr>
      <w:r>
        <w:rPr>
          <w:rFonts w:hint="cs"/>
          <w:b/>
          <w:bCs/>
          <w:sz w:val="28"/>
          <w:szCs w:val="28"/>
          <w:rtl/>
        </w:rPr>
        <w:t xml:space="preserve">לגבי </w:t>
      </w:r>
      <w:proofErr w:type="spellStart"/>
      <w:r w:rsidR="008A5808">
        <w:rPr>
          <w:rFonts w:hint="cs"/>
          <w:b/>
          <w:bCs/>
          <w:sz w:val="28"/>
          <w:szCs w:val="28"/>
          <w:rtl/>
        </w:rPr>
        <w:t>פירכת</w:t>
      </w:r>
      <w:proofErr w:type="spellEnd"/>
      <w:r>
        <w:rPr>
          <w:rFonts w:hint="cs"/>
          <w:b/>
          <w:bCs/>
          <w:sz w:val="28"/>
          <w:szCs w:val="28"/>
          <w:rtl/>
        </w:rPr>
        <w:t xml:space="preserve"> דבריהם </w:t>
      </w:r>
      <w:r w:rsidR="00F22DDF">
        <w:rPr>
          <w:rFonts w:hint="cs"/>
          <w:b/>
          <w:bCs/>
          <w:sz w:val="28"/>
          <w:szCs w:val="28"/>
          <w:rtl/>
        </w:rPr>
        <w:t xml:space="preserve">מצד טענתם המסוימת </w:t>
      </w:r>
      <w:r w:rsidR="00ED2DE7">
        <w:rPr>
          <w:rFonts w:hint="cs"/>
          <w:b/>
          <w:bCs/>
          <w:sz w:val="28"/>
          <w:szCs w:val="28"/>
          <w:rtl/>
        </w:rPr>
        <w:t xml:space="preserve">שהדברים </w:t>
      </w:r>
      <w:r w:rsidR="00221EC4">
        <w:rPr>
          <w:rFonts w:hint="cs"/>
          <w:b/>
          <w:bCs/>
          <w:sz w:val="28"/>
          <w:szCs w:val="28"/>
          <w:rtl/>
        </w:rPr>
        <w:t>ה</w:t>
      </w:r>
      <w:r w:rsidR="00ED2DE7">
        <w:rPr>
          <w:rFonts w:hint="cs"/>
          <w:b/>
          <w:bCs/>
          <w:sz w:val="28"/>
          <w:szCs w:val="28"/>
          <w:rtl/>
        </w:rPr>
        <w:t>אין סופיים</w:t>
      </w:r>
      <w:r w:rsidR="00C22A7E">
        <w:rPr>
          <w:rFonts w:hint="cs"/>
          <w:b/>
          <w:bCs/>
          <w:sz w:val="28"/>
          <w:szCs w:val="28"/>
          <w:rtl/>
        </w:rPr>
        <w:t xml:space="preserve"> האלה</w:t>
      </w:r>
      <w:r w:rsidR="00ED2DE7">
        <w:rPr>
          <w:rFonts w:hint="cs"/>
          <w:b/>
          <w:bCs/>
          <w:sz w:val="28"/>
          <w:szCs w:val="28"/>
          <w:rtl/>
        </w:rPr>
        <w:t xml:space="preserve"> </w:t>
      </w:r>
      <w:r w:rsidR="00C009B2">
        <w:rPr>
          <w:rFonts w:hint="cs"/>
          <w:b/>
          <w:bCs/>
          <w:sz w:val="28"/>
          <w:szCs w:val="28"/>
          <w:rtl/>
        </w:rPr>
        <w:t>זה</w:t>
      </w:r>
      <w:r w:rsidR="00221EC4">
        <w:rPr>
          <w:rFonts w:hint="cs"/>
          <w:b/>
          <w:bCs/>
          <w:sz w:val="28"/>
          <w:szCs w:val="28"/>
          <w:rtl/>
        </w:rPr>
        <w:t xml:space="preserve"> החלקיק שאינו מתחלק </w:t>
      </w:r>
      <w:r w:rsidR="00A35FCE">
        <w:rPr>
          <w:rFonts w:hint="cs"/>
          <w:b/>
          <w:bCs/>
          <w:sz w:val="28"/>
          <w:szCs w:val="28"/>
          <w:rtl/>
        </w:rPr>
        <w:t>המפ</w:t>
      </w:r>
      <w:r w:rsidR="005F46D1">
        <w:rPr>
          <w:rFonts w:hint="cs"/>
          <w:b/>
          <w:bCs/>
          <w:sz w:val="28"/>
          <w:szCs w:val="28"/>
          <w:rtl/>
        </w:rPr>
        <w:t>ו</w:t>
      </w:r>
      <w:r w:rsidR="00A35FCE">
        <w:rPr>
          <w:rFonts w:hint="cs"/>
          <w:b/>
          <w:bCs/>
          <w:sz w:val="28"/>
          <w:szCs w:val="28"/>
          <w:rtl/>
        </w:rPr>
        <w:t xml:space="preserve">זר </w:t>
      </w:r>
      <w:r w:rsidR="00937193">
        <w:rPr>
          <w:rFonts w:hint="cs"/>
          <w:b/>
          <w:bCs/>
          <w:sz w:val="28"/>
          <w:szCs w:val="28"/>
          <w:rtl/>
        </w:rPr>
        <w:t xml:space="preserve">בריק </w:t>
      </w:r>
      <w:r w:rsidR="0049583D">
        <w:rPr>
          <w:rFonts w:hint="cs"/>
          <w:b/>
          <w:bCs/>
          <w:sz w:val="28"/>
          <w:szCs w:val="28"/>
          <w:rtl/>
        </w:rPr>
        <w:t>או מוט</w:t>
      </w:r>
      <w:r w:rsidR="00BC30A0">
        <w:rPr>
          <w:rFonts w:hint="cs"/>
          <w:b/>
          <w:bCs/>
          <w:sz w:val="28"/>
          <w:szCs w:val="28"/>
          <w:rtl/>
        </w:rPr>
        <w:t>מ</w:t>
      </w:r>
      <w:r w:rsidR="0049583D">
        <w:rPr>
          <w:rFonts w:hint="cs"/>
          <w:b/>
          <w:bCs/>
          <w:sz w:val="28"/>
          <w:szCs w:val="28"/>
          <w:rtl/>
        </w:rPr>
        <w:t>ע בתערובת</w:t>
      </w:r>
      <w:r w:rsidR="005E3D18">
        <w:rPr>
          <w:rStyle w:val="FootnoteReference"/>
          <w:b/>
          <w:bCs/>
          <w:sz w:val="28"/>
          <w:szCs w:val="28"/>
          <w:rtl/>
        </w:rPr>
        <w:footnoteReference w:id="410"/>
      </w:r>
      <w:r w:rsidR="00413656">
        <w:rPr>
          <w:rFonts w:hint="cs"/>
          <w:b/>
          <w:bCs/>
          <w:sz w:val="28"/>
          <w:szCs w:val="28"/>
          <w:rtl/>
        </w:rPr>
        <w:t>,</w:t>
      </w:r>
      <w:r w:rsidR="003E53C8">
        <w:rPr>
          <w:rFonts w:hint="cs"/>
          <w:b/>
          <w:bCs/>
          <w:sz w:val="28"/>
          <w:szCs w:val="28"/>
          <w:rtl/>
        </w:rPr>
        <w:t xml:space="preserve"> מתאים יותר שנעסוק בזה</w:t>
      </w:r>
      <w:r w:rsidR="005C5328">
        <w:rPr>
          <w:rFonts w:hint="cs"/>
          <w:b/>
          <w:bCs/>
          <w:sz w:val="28"/>
          <w:szCs w:val="28"/>
          <w:rtl/>
        </w:rPr>
        <w:t xml:space="preserve"> גם כן</w:t>
      </w:r>
      <w:r w:rsidR="003E53C8">
        <w:rPr>
          <w:rFonts w:hint="cs"/>
          <w:b/>
          <w:bCs/>
          <w:sz w:val="28"/>
          <w:szCs w:val="28"/>
          <w:rtl/>
        </w:rPr>
        <w:t xml:space="preserve"> </w:t>
      </w:r>
      <w:r w:rsidR="00E96E64">
        <w:rPr>
          <w:rFonts w:hint="cs"/>
          <w:b/>
          <w:bCs/>
          <w:sz w:val="28"/>
          <w:szCs w:val="28"/>
          <w:rtl/>
        </w:rPr>
        <w:t xml:space="preserve">במקום שבו נעיין </w:t>
      </w:r>
      <w:r w:rsidR="003018E6">
        <w:rPr>
          <w:rFonts w:hint="cs"/>
          <w:b/>
          <w:bCs/>
          <w:sz w:val="28"/>
          <w:szCs w:val="28"/>
          <w:rtl/>
        </w:rPr>
        <w:t>בהתחל</w:t>
      </w:r>
      <w:r w:rsidR="0098016E">
        <w:rPr>
          <w:rFonts w:hint="cs"/>
          <w:b/>
          <w:bCs/>
          <w:sz w:val="28"/>
          <w:szCs w:val="28"/>
          <w:rtl/>
        </w:rPr>
        <w:t>ו</w:t>
      </w:r>
      <w:r w:rsidR="003018E6">
        <w:rPr>
          <w:rFonts w:hint="cs"/>
          <w:b/>
          <w:bCs/>
          <w:sz w:val="28"/>
          <w:szCs w:val="28"/>
          <w:rtl/>
        </w:rPr>
        <w:t>ת המתהווים והנפסדים</w:t>
      </w:r>
      <w:r w:rsidR="00CA6AC7">
        <w:rPr>
          <w:rStyle w:val="FootnoteReference"/>
          <w:b/>
          <w:bCs/>
          <w:sz w:val="28"/>
          <w:szCs w:val="28"/>
          <w:rtl/>
        </w:rPr>
        <w:footnoteReference w:id="411"/>
      </w:r>
      <w:r w:rsidR="005C7FD5">
        <w:rPr>
          <w:rFonts w:hint="cs"/>
          <w:b/>
          <w:bCs/>
          <w:sz w:val="28"/>
          <w:szCs w:val="28"/>
          <w:rtl/>
        </w:rPr>
        <w:t>.</w:t>
      </w:r>
    </w:p>
    <w:p w14:paraId="55F5992F" w14:textId="25F0A2BB" w:rsidR="005C7FD5" w:rsidRDefault="00F76B32" w:rsidP="003266A1">
      <w:pPr>
        <w:pStyle w:val="Heading4"/>
        <w:rPr>
          <w:rtl/>
        </w:rPr>
      </w:pPr>
      <w:bookmarkStart w:id="199" w:name="_Toc119092649"/>
      <w:r w:rsidRPr="001F6C41">
        <w:rPr>
          <w:rFonts w:hint="cs"/>
          <w:rtl/>
        </w:rPr>
        <w:t>1.4.6</w:t>
      </w:r>
      <w:bookmarkEnd w:id="199"/>
    </w:p>
    <w:p w14:paraId="4EE31246" w14:textId="77777777" w:rsidR="00A64EDC" w:rsidRDefault="001F6C41" w:rsidP="001F6C41">
      <w:pPr>
        <w:pStyle w:val="FootnoteText"/>
        <w:rPr>
          <w:b/>
          <w:bCs/>
          <w:sz w:val="28"/>
          <w:szCs w:val="28"/>
          <w:rtl/>
        </w:rPr>
      </w:pPr>
      <w:r w:rsidRPr="00E84818">
        <w:rPr>
          <w:rFonts w:hint="cs"/>
          <w:b/>
          <w:bCs/>
          <w:sz w:val="28"/>
          <w:szCs w:val="28"/>
          <w:rtl/>
        </w:rPr>
        <w:t>כיוון</w:t>
      </w:r>
      <w:r w:rsidR="00E84818" w:rsidRPr="00E84818">
        <w:rPr>
          <w:rFonts w:hint="cs"/>
          <w:b/>
          <w:bCs/>
          <w:sz w:val="28"/>
          <w:szCs w:val="28"/>
          <w:rtl/>
        </w:rPr>
        <w:t xml:space="preserve"> </w:t>
      </w:r>
      <w:r w:rsidRPr="00E84818">
        <w:rPr>
          <w:rFonts w:hint="cs"/>
          <w:b/>
          <w:bCs/>
          <w:sz w:val="28"/>
          <w:szCs w:val="28"/>
          <w:rtl/>
        </w:rPr>
        <w:t>שהגענו</w:t>
      </w:r>
      <w:r w:rsidR="00544225">
        <w:rPr>
          <w:rFonts w:hint="cs"/>
          <w:b/>
          <w:bCs/>
          <w:sz w:val="28"/>
          <w:szCs w:val="28"/>
          <w:rtl/>
        </w:rPr>
        <w:t xml:space="preserve"> עד כאן, </w:t>
      </w:r>
      <w:r w:rsidR="00F36288">
        <w:rPr>
          <w:rFonts w:hint="cs"/>
          <w:b/>
          <w:bCs/>
          <w:sz w:val="28"/>
          <w:szCs w:val="28"/>
          <w:rtl/>
        </w:rPr>
        <w:t>נחתום את הפרק הזה</w:t>
      </w:r>
      <w:r w:rsidR="00CB2881">
        <w:rPr>
          <w:rFonts w:hint="cs"/>
          <w:b/>
          <w:bCs/>
          <w:sz w:val="28"/>
          <w:szCs w:val="28"/>
          <w:rtl/>
        </w:rPr>
        <w:t xml:space="preserve">. והפרק הזה </w:t>
      </w:r>
      <w:r w:rsidR="00B45CAE">
        <w:rPr>
          <w:rFonts w:hint="cs"/>
          <w:b/>
          <w:bCs/>
          <w:sz w:val="28"/>
          <w:szCs w:val="28"/>
          <w:rtl/>
        </w:rPr>
        <w:t xml:space="preserve">נכנס </w:t>
      </w:r>
      <w:r w:rsidR="00334F1C">
        <w:rPr>
          <w:rFonts w:hint="cs"/>
          <w:b/>
          <w:bCs/>
          <w:sz w:val="28"/>
          <w:szCs w:val="28"/>
          <w:rtl/>
        </w:rPr>
        <w:t>לספרנו במקרה ומ</w:t>
      </w:r>
      <w:r w:rsidR="00A8431D">
        <w:rPr>
          <w:rFonts w:hint="cs"/>
          <w:b/>
          <w:bCs/>
          <w:sz w:val="28"/>
          <w:szCs w:val="28"/>
          <w:rtl/>
        </w:rPr>
        <w:t xml:space="preserve">י שירצה </w:t>
      </w:r>
      <w:r w:rsidR="00E67E7D">
        <w:rPr>
          <w:rFonts w:hint="cs"/>
          <w:b/>
          <w:bCs/>
          <w:sz w:val="28"/>
          <w:szCs w:val="28"/>
          <w:rtl/>
        </w:rPr>
        <w:t>ל</w:t>
      </w:r>
      <w:r w:rsidR="006F43BE">
        <w:rPr>
          <w:rFonts w:hint="cs"/>
          <w:b/>
          <w:bCs/>
          <w:sz w:val="28"/>
          <w:szCs w:val="28"/>
          <w:rtl/>
        </w:rPr>
        <w:t xml:space="preserve">אשש אותו יאשש, </w:t>
      </w:r>
      <w:r w:rsidR="00E67E7D">
        <w:rPr>
          <w:rFonts w:hint="cs"/>
          <w:b/>
          <w:bCs/>
          <w:sz w:val="28"/>
          <w:szCs w:val="28"/>
          <w:rtl/>
        </w:rPr>
        <w:t>ומי שלא ירצה לא י</w:t>
      </w:r>
      <w:r w:rsidR="006F43BE">
        <w:rPr>
          <w:rFonts w:hint="cs"/>
          <w:b/>
          <w:bCs/>
          <w:sz w:val="28"/>
          <w:szCs w:val="28"/>
          <w:rtl/>
        </w:rPr>
        <w:t>אשש</w:t>
      </w:r>
      <w:r w:rsidR="00E67E7D">
        <w:rPr>
          <w:rFonts w:hint="cs"/>
          <w:b/>
          <w:bCs/>
          <w:sz w:val="28"/>
          <w:szCs w:val="28"/>
          <w:rtl/>
        </w:rPr>
        <w:t>.</w:t>
      </w:r>
    </w:p>
    <w:p w14:paraId="477EE53D" w14:textId="77777777" w:rsidR="00A64EDC" w:rsidRDefault="00A64EDC" w:rsidP="001F6C41">
      <w:pPr>
        <w:pStyle w:val="FootnoteText"/>
        <w:rPr>
          <w:b/>
          <w:bCs/>
          <w:sz w:val="28"/>
          <w:szCs w:val="28"/>
          <w:rtl/>
        </w:rPr>
      </w:pPr>
      <w:r>
        <w:rPr>
          <w:b/>
          <w:bCs/>
          <w:sz w:val="28"/>
          <w:szCs w:val="28"/>
          <w:rtl/>
        </w:rPr>
        <w:br w:type="page"/>
      </w:r>
    </w:p>
    <w:p w14:paraId="4AC25A77" w14:textId="77777777" w:rsidR="00201E76" w:rsidRPr="00CF50DE" w:rsidRDefault="005300D8" w:rsidP="00CF50DE">
      <w:pPr>
        <w:pStyle w:val="Heading2"/>
        <w:rPr>
          <w:rtl/>
        </w:rPr>
      </w:pPr>
      <w:bookmarkStart w:id="200" w:name="_Toc119092650"/>
      <w:r w:rsidRPr="00CF50DE">
        <w:rPr>
          <w:rFonts w:hint="cs"/>
          <w:rtl/>
        </w:rPr>
        <w:t>פרק חמישי</w:t>
      </w:r>
      <w:bookmarkEnd w:id="200"/>
    </w:p>
    <w:p w14:paraId="3FB0D357" w14:textId="04479F99" w:rsidR="001F6C41" w:rsidRPr="005300D8" w:rsidRDefault="005300D8" w:rsidP="00201E76">
      <w:pPr>
        <w:pStyle w:val="Heading3"/>
        <w:rPr>
          <w:rtl/>
        </w:rPr>
      </w:pPr>
      <w:bookmarkStart w:id="201" w:name="_Toc119092651"/>
      <w:r w:rsidRPr="005300D8">
        <w:rPr>
          <w:rFonts w:hint="cs"/>
          <w:rtl/>
        </w:rPr>
        <w:t>בהגדרת הטבע</w:t>
      </w:r>
      <w:bookmarkEnd w:id="201"/>
    </w:p>
    <w:p w14:paraId="5B73A9FB" w14:textId="77777777" w:rsidR="009877D4" w:rsidRDefault="009877D4" w:rsidP="0052586D">
      <w:pPr>
        <w:pStyle w:val="FootnoteText"/>
        <w:rPr>
          <w:b/>
          <w:bCs/>
          <w:sz w:val="28"/>
          <w:szCs w:val="28"/>
          <w:rtl/>
        </w:rPr>
      </w:pPr>
    </w:p>
    <w:p w14:paraId="568582C5" w14:textId="3CF7D468" w:rsidR="000518D6" w:rsidRPr="000518D6" w:rsidRDefault="000518D6" w:rsidP="003266A1">
      <w:pPr>
        <w:pStyle w:val="Heading4"/>
      </w:pPr>
      <w:bookmarkStart w:id="202" w:name="_Toc119092652"/>
      <w:r w:rsidRPr="000518D6">
        <w:rPr>
          <w:rFonts w:hint="cs"/>
          <w:rtl/>
        </w:rPr>
        <w:t>1.5.1</w:t>
      </w:r>
      <w:bookmarkEnd w:id="202"/>
    </w:p>
    <w:p w14:paraId="01220D94" w14:textId="77777777" w:rsidR="00792C63" w:rsidRDefault="0029697F" w:rsidP="00F02C13">
      <w:pPr>
        <w:pStyle w:val="FootnoteText"/>
        <w:rPr>
          <w:b/>
          <w:bCs/>
          <w:sz w:val="28"/>
          <w:szCs w:val="28"/>
          <w:rtl/>
        </w:rPr>
      </w:pPr>
      <w:r>
        <w:rPr>
          <w:rFonts w:hint="cs"/>
          <w:b/>
          <w:bCs/>
          <w:sz w:val="28"/>
          <w:szCs w:val="28"/>
          <w:rtl/>
        </w:rPr>
        <w:t>נאמר</w:t>
      </w:r>
      <w:r w:rsidR="00385BC5">
        <w:rPr>
          <w:rFonts w:hint="cs"/>
          <w:b/>
          <w:bCs/>
          <w:sz w:val="28"/>
          <w:szCs w:val="28"/>
          <w:rtl/>
        </w:rPr>
        <w:t>:</w:t>
      </w:r>
      <w:r w:rsidR="0032231C">
        <w:rPr>
          <w:rFonts w:hint="cs"/>
          <w:b/>
          <w:bCs/>
          <w:sz w:val="28"/>
          <w:szCs w:val="28"/>
          <w:rtl/>
        </w:rPr>
        <w:t xml:space="preserve"> </w:t>
      </w:r>
      <w:r w:rsidR="005B5224">
        <w:rPr>
          <w:rFonts w:hint="cs"/>
          <w:b/>
          <w:bCs/>
          <w:sz w:val="28"/>
          <w:szCs w:val="28"/>
          <w:rtl/>
        </w:rPr>
        <w:t>אפשר ש</w:t>
      </w:r>
      <w:r w:rsidR="007602DC">
        <w:rPr>
          <w:rFonts w:hint="cs"/>
          <w:b/>
          <w:bCs/>
          <w:sz w:val="28"/>
          <w:szCs w:val="28"/>
          <w:rtl/>
        </w:rPr>
        <w:t>י</w:t>
      </w:r>
      <w:r w:rsidR="00723E16">
        <w:rPr>
          <w:rFonts w:hint="cs"/>
          <w:b/>
          <w:bCs/>
          <w:sz w:val="28"/>
          <w:szCs w:val="28"/>
          <w:rtl/>
        </w:rPr>
        <w:t>קבלו</w:t>
      </w:r>
      <w:r w:rsidR="005B5224">
        <w:rPr>
          <w:rFonts w:hint="cs"/>
          <w:b/>
          <w:bCs/>
          <w:sz w:val="28"/>
          <w:szCs w:val="28"/>
          <w:rtl/>
        </w:rPr>
        <w:t xml:space="preserve"> </w:t>
      </w:r>
      <w:r w:rsidR="00723E16">
        <w:rPr>
          <w:rFonts w:hint="cs"/>
          <w:b/>
          <w:bCs/>
          <w:sz w:val="28"/>
          <w:szCs w:val="28"/>
          <w:rtl/>
        </w:rPr>
        <w:t>ה</w:t>
      </w:r>
      <w:r w:rsidR="005B5224">
        <w:rPr>
          <w:rFonts w:hint="cs"/>
          <w:b/>
          <w:bCs/>
          <w:sz w:val="28"/>
          <w:szCs w:val="28"/>
          <w:rtl/>
        </w:rPr>
        <w:t>ג</w:t>
      </w:r>
      <w:r w:rsidR="00B44B7E">
        <w:rPr>
          <w:rFonts w:hint="cs"/>
          <w:b/>
          <w:bCs/>
          <w:sz w:val="28"/>
          <w:szCs w:val="28"/>
          <w:rtl/>
        </w:rPr>
        <w:t>שמ</w:t>
      </w:r>
      <w:r w:rsidR="005B5224">
        <w:rPr>
          <w:rFonts w:hint="cs"/>
          <w:b/>
          <w:bCs/>
          <w:sz w:val="28"/>
          <w:szCs w:val="28"/>
          <w:rtl/>
        </w:rPr>
        <w:t>ים</w:t>
      </w:r>
      <w:r w:rsidR="00B44B7E">
        <w:rPr>
          <w:rStyle w:val="FootnoteReference"/>
          <w:b/>
          <w:bCs/>
          <w:sz w:val="28"/>
          <w:szCs w:val="28"/>
          <w:rtl/>
        </w:rPr>
        <w:footnoteReference w:id="412"/>
      </w:r>
      <w:r w:rsidR="005B5224">
        <w:rPr>
          <w:rFonts w:hint="cs"/>
          <w:b/>
          <w:bCs/>
          <w:sz w:val="28"/>
          <w:szCs w:val="28"/>
          <w:rtl/>
        </w:rPr>
        <w:t xml:space="preserve"> שלפנינו </w:t>
      </w:r>
      <w:r w:rsidR="00D4436B">
        <w:rPr>
          <w:rFonts w:hint="cs"/>
          <w:b/>
          <w:bCs/>
          <w:sz w:val="28"/>
          <w:szCs w:val="28"/>
          <w:rtl/>
        </w:rPr>
        <w:t>פעולות ו</w:t>
      </w:r>
      <w:r w:rsidR="005B5224">
        <w:rPr>
          <w:rFonts w:hint="cs"/>
          <w:b/>
          <w:bCs/>
          <w:sz w:val="28"/>
          <w:szCs w:val="28"/>
          <w:rtl/>
        </w:rPr>
        <w:t>תנועות</w:t>
      </w:r>
      <w:r w:rsidR="00AC739A">
        <w:rPr>
          <w:rFonts w:hint="cs"/>
          <w:b/>
          <w:bCs/>
          <w:sz w:val="28"/>
          <w:szCs w:val="28"/>
          <w:rtl/>
        </w:rPr>
        <w:t xml:space="preserve">. ונמצא </w:t>
      </w:r>
      <w:r w:rsidR="00666398">
        <w:rPr>
          <w:rFonts w:hint="cs"/>
          <w:b/>
          <w:bCs/>
          <w:sz w:val="28"/>
          <w:szCs w:val="28"/>
          <w:rtl/>
        </w:rPr>
        <w:t xml:space="preserve">את </w:t>
      </w:r>
      <w:r w:rsidR="005E0D5D">
        <w:rPr>
          <w:rFonts w:hint="cs"/>
          <w:b/>
          <w:bCs/>
          <w:sz w:val="28"/>
          <w:szCs w:val="28"/>
          <w:rtl/>
        </w:rPr>
        <w:t xml:space="preserve">מקצתן </w:t>
      </w:r>
      <w:r w:rsidR="00924EED">
        <w:rPr>
          <w:rFonts w:hint="cs"/>
          <w:b/>
          <w:bCs/>
          <w:sz w:val="28"/>
          <w:szCs w:val="28"/>
          <w:rtl/>
        </w:rPr>
        <w:t>מתרחשות</w:t>
      </w:r>
      <w:r w:rsidR="00FB07F2">
        <w:rPr>
          <w:rFonts w:hint="cs"/>
          <w:b/>
          <w:bCs/>
          <w:sz w:val="28"/>
          <w:szCs w:val="28"/>
          <w:rtl/>
        </w:rPr>
        <w:t xml:space="preserve"> מסיבות חיצוניות להם </w:t>
      </w:r>
      <w:r w:rsidR="004D1A91">
        <w:rPr>
          <w:rFonts w:hint="cs"/>
          <w:b/>
          <w:bCs/>
          <w:sz w:val="28"/>
          <w:szCs w:val="28"/>
          <w:rtl/>
        </w:rPr>
        <w:t>המחייבות</w:t>
      </w:r>
      <w:r w:rsidR="00EF191C">
        <w:rPr>
          <w:rFonts w:hint="cs"/>
          <w:b/>
          <w:bCs/>
          <w:sz w:val="28"/>
          <w:szCs w:val="28"/>
          <w:rtl/>
        </w:rPr>
        <w:t xml:space="preserve"> אותן פעולות ותנועות</w:t>
      </w:r>
      <w:r w:rsidR="00EE6D03">
        <w:rPr>
          <w:rFonts w:hint="cs"/>
          <w:b/>
          <w:bCs/>
          <w:sz w:val="28"/>
          <w:szCs w:val="28"/>
          <w:rtl/>
        </w:rPr>
        <w:t xml:space="preserve">, </w:t>
      </w:r>
      <w:r w:rsidR="00E0214F">
        <w:rPr>
          <w:rFonts w:hint="cs"/>
          <w:b/>
          <w:bCs/>
          <w:sz w:val="28"/>
          <w:szCs w:val="28"/>
          <w:rtl/>
        </w:rPr>
        <w:t xml:space="preserve">כמו חימום המים </w:t>
      </w:r>
      <w:r w:rsidR="00C31C82">
        <w:rPr>
          <w:rFonts w:hint="cs"/>
          <w:b/>
          <w:bCs/>
          <w:sz w:val="28"/>
          <w:szCs w:val="28"/>
          <w:rtl/>
        </w:rPr>
        <w:t xml:space="preserve">והרמת האבן. </w:t>
      </w:r>
      <w:r w:rsidR="004D4383">
        <w:rPr>
          <w:rFonts w:hint="cs"/>
          <w:b/>
          <w:bCs/>
          <w:sz w:val="28"/>
          <w:szCs w:val="28"/>
          <w:rtl/>
        </w:rPr>
        <w:t xml:space="preserve">ונמצא </w:t>
      </w:r>
      <w:r w:rsidR="00DE4010">
        <w:rPr>
          <w:rFonts w:hint="cs"/>
          <w:b/>
          <w:bCs/>
          <w:sz w:val="28"/>
          <w:szCs w:val="28"/>
          <w:rtl/>
        </w:rPr>
        <w:t xml:space="preserve">את </w:t>
      </w:r>
      <w:r w:rsidR="004D4383">
        <w:rPr>
          <w:rFonts w:hint="cs"/>
          <w:b/>
          <w:bCs/>
          <w:sz w:val="28"/>
          <w:szCs w:val="28"/>
          <w:rtl/>
        </w:rPr>
        <w:t>מקצת</w:t>
      </w:r>
      <w:r w:rsidR="00C73958">
        <w:rPr>
          <w:rFonts w:hint="cs"/>
          <w:b/>
          <w:bCs/>
          <w:sz w:val="28"/>
          <w:szCs w:val="28"/>
          <w:rtl/>
        </w:rPr>
        <w:t>ן</w:t>
      </w:r>
      <w:r w:rsidR="004D4383">
        <w:rPr>
          <w:rFonts w:hint="cs"/>
          <w:b/>
          <w:bCs/>
          <w:sz w:val="28"/>
          <w:szCs w:val="28"/>
          <w:rtl/>
        </w:rPr>
        <w:t xml:space="preserve"> </w:t>
      </w:r>
      <w:r w:rsidR="00C054D9">
        <w:rPr>
          <w:rFonts w:hint="cs"/>
          <w:b/>
          <w:bCs/>
          <w:sz w:val="28"/>
          <w:szCs w:val="28"/>
          <w:rtl/>
        </w:rPr>
        <w:t>כש</w:t>
      </w:r>
      <w:r w:rsidR="00B264EE">
        <w:rPr>
          <w:rFonts w:hint="cs"/>
          <w:b/>
          <w:bCs/>
          <w:sz w:val="28"/>
          <w:szCs w:val="28"/>
          <w:rtl/>
        </w:rPr>
        <w:t xml:space="preserve">התרחשות </w:t>
      </w:r>
      <w:r w:rsidR="003454E4">
        <w:rPr>
          <w:rFonts w:hint="cs"/>
          <w:b/>
          <w:bCs/>
          <w:sz w:val="28"/>
          <w:szCs w:val="28"/>
          <w:rtl/>
        </w:rPr>
        <w:t xml:space="preserve">הפעולות </w:t>
      </w:r>
      <w:r w:rsidR="00C47FB2">
        <w:rPr>
          <w:rFonts w:hint="cs"/>
          <w:b/>
          <w:bCs/>
          <w:sz w:val="28"/>
          <w:szCs w:val="28"/>
          <w:rtl/>
        </w:rPr>
        <w:t xml:space="preserve">והתנועות </w:t>
      </w:r>
      <w:r w:rsidR="00C054D9">
        <w:rPr>
          <w:rFonts w:hint="cs"/>
          <w:b/>
          <w:bCs/>
          <w:sz w:val="28"/>
          <w:szCs w:val="28"/>
          <w:rtl/>
        </w:rPr>
        <w:t>מתרחש</w:t>
      </w:r>
      <w:r w:rsidR="00B264EE">
        <w:rPr>
          <w:rFonts w:hint="cs"/>
          <w:b/>
          <w:bCs/>
          <w:sz w:val="28"/>
          <w:szCs w:val="28"/>
          <w:rtl/>
        </w:rPr>
        <w:t>ת</w:t>
      </w:r>
      <w:r w:rsidR="00C47FB2">
        <w:rPr>
          <w:rFonts w:hint="cs"/>
          <w:b/>
          <w:bCs/>
          <w:sz w:val="28"/>
          <w:szCs w:val="28"/>
          <w:rtl/>
        </w:rPr>
        <w:t xml:space="preserve"> מע</w:t>
      </w:r>
      <w:r w:rsidR="00C06F4E">
        <w:rPr>
          <w:rFonts w:hint="cs"/>
          <w:b/>
          <w:bCs/>
          <w:sz w:val="28"/>
          <w:szCs w:val="28"/>
          <w:rtl/>
        </w:rPr>
        <w:t>צ</w:t>
      </w:r>
      <w:r w:rsidR="00C47FB2">
        <w:rPr>
          <w:rFonts w:hint="cs"/>
          <w:b/>
          <w:bCs/>
          <w:sz w:val="28"/>
          <w:szCs w:val="28"/>
          <w:rtl/>
        </w:rPr>
        <w:t>מ</w:t>
      </w:r>
      <w:r w:rsidR="00554A46">
        <w:rPr>
          <w:rFonts w:hint="cs"/>
          <w:b/>
          <w:bCs/>
          <w:sz w:val="28"/>
          <w:szCs w:val="28"/>
          <w:rtl/>
        </w:rPr>
        <w:t>ה</w:t>
      </w:r>
      <w:r w:rsidR="007F167E">
        <w:rPr>
          <w:rFonts w:hint="cs"/>
          <w:b/>
          <w:bCs/>
          <w:sz w:val="28"/>
          <w:szCs w:val="28"/>
          <w:rtl/>
        </w:rPr>
        <w:t xml:space="preserve"> ללא </w:t>
      </w:r>
      <w:r w:rsidR="003A6626">
        <w:rPr>
          <w:rFonts w:hint="cs"/>
          <w:b/>
          <w:bCs/>
          <w:sz w:val="28"/>
          <w:szCs w:val="28"/>
          <w:rtl/>
        </w:rPr>
        <w:t xml:space="preserve">שהתרחשותן </w:t>
      </w:r>
      <w:r w:rsidR="008D1974">
        <w:rPr>
          <w:rFonts w:hint="cs"/>
          <w:b/>
          <w:bCs/>
          <w:sz w:val="28"/>
          <w:szCs w:val="28"/>
          <w:rtl/>
        </w:rPr>
        <w:t xml:space="preserve">מבוססת על סיבות זרות, </w:t>
      </w:r>
      <w:r w:rsidR="00185160">
        <w:rPr>
          <w:rFonts w:hint="cs"/>
          <w:b/>
          <w:bCs/>
          <w:sz w:val="28"/>
          <w:szCs w:val="28"/>
          <w:rtl/>
        </w:rPr>
        <w:t>כמו המים</w:t>
      </w:r>
      <w:r w:rsidR="003A6626">
        <w:rPr>
          <w:rFonts w:hint="cs"/>
          <w:b/>
          <w:bCs/>
          <w:sz w:val="28"/>
          <w:szCs w:val="28"/>
          <w:rtl/>
        </w:rPr>
        <w:t xml:space="preserve"> </w:t>
      </w:r>
      <w:r w:rsidR="00570BAD">
        <w:rPr>
          <w:rFonts w:hint="cs"/>
          <w:b/>
          <w:bCs/>
          <w:sz w:val="28"/>
          <w:szCs w:val="28"/>
          <w:rtl/>
        </w:rPr>
        <w:t xml:space="preserve">שאחרי </w:t>
      </w:r>
      <w:r w:rsidR="00E9158C">
        <w:rPr>
          <w:rFonts w:hint="cs"/>
          <w:b/>
          <w:bCs/>
          <w:sz w:val="28"/>
          <w:szCs w:val="28"/>
          <w:rtl/>
        </w:rPr>
        <w:t>שחיממנו אותם</w:t>
      </w:r>
      <w:r w:rsidR="006B2AE9">
        <w:rPr>
          <w:rFonts w:hint="cs"/>
          <w:b/>
          <w:bCs/>
          <w:sz w:val="28"/>
          <w:szCs w:val="28"/>
          <w:rtl/>
        </w:rPr>
        <w:t xml:space="preserve"> </w:t>
      </w:r>
      <w:r w:rsidR="005B74F2">
        <w:rPr>
          <w:rFonts w:hint="cs"/>
          <w:b/>
          <w:bCs/>
          <w:sz w:val="28"/>
          <w:szCs w:val="28"/>
          <w:rtl/>
        </w:rPr>
        <w:t>ו</w:t>
      </w:r>
      <w:r w:rsidR="00265B9D">
        <w:rPr>
          <w:rFonts w:hint="cs"/>
          <w:b/>
          <w:bCs/>
          <w:sz w:val="28"/>
          <w:szCs w:val="28"/>
          <w:rtl/>
        </w:rPr>
        <w:t xml:space="preserve">הנחנו להם </w:t>
      </w:r>
      <w:r w:rsidR="00792C63">
        <w:rPr>
          <w:rFonts w:hint="cs"/>
          <w:b/>
          <w:bCs/>
          <w:sz w:val="28"/>
          <w:szCs w:val="28"/>
          <w:rtl/>
        </w:rPr>
        <w:t xml:space="preserve">אז </w:t>
      </w:r>
      <w:r w:rsidR="00553678">
        <w:rPr>
          <w:rFonts w:hint="cs"/>
          <w:b/>
          <w:bCs/>
          <w:sz w:val="28"/>
          <w:szCs w:val="28"/>
          <w:rtl/>
        </w:rPr>
        <w:t xml:space="preserve">הולכים ומתקררים </w:t>
      </w:r>
      <w:r w:rsidR="00306535">
        <w:rPr>
          <w:rFonts w:hint="cs"/>
          <w:b/>
          <w:bCs/>
          <w:sz w:val="28"/>
          <w:szCs w:val="28"/>
          <w:rtl/>
        </w:rPr>
        <w:t xml:space="preserve">בטבעם, </w:t>
      </w:r>
      <w:r w:rsidR="002916F0">
        <w:rPr>
          <w:rFonts w:hint="cs"/>
          <w:b/>
          <w:bCs/>
          <w:sz w:val="28"/>
          <w:szCs w:val="28"/>
          <w:rtl/>
        </w:rPr>
        <w:t xml:space="preserve">והאבן </w:t>
      </w:r>
      <w:r w:rsidR="0078357B">
        <w:rPr>
          <w:rFonts w:hint="cs"/>
          <w:b/>
          <w:bCs/>
          <w:sz w:val="28"/>
          <w:szCs w:val="28"/>
          <w:rtl/>
        </w:rPr>
        <w:t xml:space="preserve">אחרי </w:t>
      </w:r>
      <w:r w:rsidR="00E9158C">
        <w:rPr>
          <w:rFonts w:hint="cs"/>
          <w:b/>
          <w:bCs/>
          <w:sz w:val="28"/>
          <w:szCs w:val="28"/>
          <w:rtl/>
        </w:rPr>
        <w:t>שהרמנו אותה</w:t>
      </w:r>
      <w:r w:rsidR="0078357B">
        <w:rPr>
          <w:rFonts w:hint="cs"/>
          <w:b/>
          <w:bCs/>
          <w:sz w:val="28"/>
          <w:szCs w:val="28"/>
          <w:rtl/>
        </w:rPr>
        <w:t xml:space="preserve"> </w:t>
      </w:r>
      <w:r w:rsidR="005B74F2">
        <w:rPr>
          <w:rFonts w:hint="cs"/>
          <w:b/>
          <w:bCs/>
          <w:sz w:val="28"/>
          <w:szCs w:val="28"/>
          <w:rtl/>
        </w:rPr>
        <w:t xml:space="preserve">והנחנו לה </w:t>
      </w:r>
      <w:r w:rsidR="006B2AE9">
        <w:rPr>
          <w:rFonts w:hint="cs"/>
          <w:b/>
          <w:bCs/>
          <w:sz w:val="28"/>
          <w:szCs w:val="28"/>
          <w:rtl/>
        </w:rPr>
        <w:t xml:space="preserve">אז </w:t>
      </w:r>
      <w:r w:rsidR="00D84CC8">
        <w:rPr>
          <w:rFonts w:hint="cs"/>
          <w:b/>
          <w:bCs/>
          <w:sz w:val="28"/>
          <w:szCs w:val="28"/>
          <w:rtl/>
        </w:rPr>
        <w:t>הולכת</w:t>
      </w:r>
      <w:r w:rsidR="00D70329">
        <w:rPr>
          <w:rFonts w:hint="cs"/>
          <w:b/>
          <w:bCs/>
          <w:sz w:val="28"/>
          <w:szCs w:val="28"/>
          <w:rtl/>
        </w:rPr>
        <w:t xml:space="preserve"> ו</w:t>
      </w:r>
      <w:r w:rsidR="0013782C">
        <w:rPr>
          <w:rFonts w:hint="cs"/>
          <w:b/>
          <w:bCs/>
          <w:sz w:val="28"/>
          <w:szCs w:val="28"/>
          <w:rtl/>
        </w:rPr>
        <w:t xml:space="preserve">יורדת בטבעה. </w:t>
      </w:r>
    </w:p>
    <w:p w14:paraId="760270B3" w14:textId="77777777" w:rsidR="009749E9" w:rsidRDefault="00C07182" w:rsidP="00F02C13">
      <w:pPr>
        <w:pStyle w:val="FootnoteText"/>
        <w:rPr>
          <w:b/>
          <w:bCs/>
          <w:sz w:val="28"/>
          <w:szCs w:val="28"/>
          <w:rtl/>
        </w:rPr>
      </w:pPr>
      <w:r>
        <w:rPr>
          <w:rFonts w:hint="cs"/>
          <w:b/>
          <w:bCs/>
          <w:sz w:val="28"/>
          <w:szCs w:val="28"/>
          <w:rtl/>
        </w:rPr>
        <w:t>ו</w:t>
      </w:r>
      <w:r w:rsidR="002C031C">
        <w:rPr>
          <w:rFonts w:hint="cs"/>
          <w:b/>
          <w:bCs/>
          <w:sz w:val="28"/>
          <w:szCs w:val="28"/>
          <w:rtl/>
        </w:rPr>
        <w:t xml:space="preserve">אפשר </w:t>
      </w:r>
      <w:r w:rsidR="003822FC">
        <w:rPr>
          <w:rFonts w:hint="cs"/>
          <w:b/>
          <w:bCs/>
          <w:sz w:val="28"/>
          <w:szCs w:val="28"/>
          <w:rtl/>
        </w:rPr>
        <w:t>ש</w:t>
      </w:r>
      <w:r w:rsidR="00470881">
        <w:rPr>
          <w:rFonts w:hint="cs"/>
          <w:b/>
          <w:bCs/>
          <w:sz w:val="28"/>
          <w:szCs w:val="28"/>
          <w:rtl/>
        </w:rPr>
        <w:t xml:space="preserve">תהיה דעה </w:t>
      </w:r>
      <w:r w:rsidR="00391C59">
        <w:rPr>
          <w:rFonts w:hint="cs"/>
          <w:b/>
          <w:bCs/>
          <w:sz w:val="28"/>
          <w:szCs w:val="28"/>
          <w:rtl/>
        </w:rPr>
        <w:t>בזרעים</w:t>
      </w:r>
      <w:r w:rsidR="00F944B5">
        <w:rPr>
          <w:rFonts w:hint="cs"/>
          <w:b/>
          <w:bCs/>
          <w:sz w:val="28"/>
          <w:szCs w:val="28"/>
          <w:rtl/>
        </w:rPr>
        <w:t xml:space="preserve"> בגדילתם </w:t>
      </w:r>
      <w:r w:rsidR="00E03E6C">
        <w:rPr>
          <w:rFonts w:hint="cs"/>
          <w:b/>
          <w:bCs/>
          <w:sz w:val="28"/>
          <w:szCs w:val="28"/>
          <w:rtl/>
        </w:rPr>
        <w:t xml:space="preserve">לצמח, </w:t>
      </w:r>
      <w:r w:rsidR="006C7382">
        <w:rPr>
          <w:rFonts w:hint="cs"/>
          <w:b/>
          <w:bCs/>
          <w:sz w:val="28"/>
          <w:szCs w:val="28"/>
          <w:rtl/>
        </w:rPr>
        <w:t xml:space="preserve">ובזרע </w:t>
      </w:r>
      <w:r w:rsidR="00FF71C5">
        <w:rPr>
          <w:rFonts w:hint="cs"/>
          <w:b/>
          <w:bCs/>
          <w:sz w:val="28"/>
          <w:szCs w:val="28"/>
          <w:rtl/>
        </w:rPr>
        <w:t xml:space="preserve">שיהיה בעלי חיים, </w:t>
      </w:r>
      <w:r w:rsidR="00BB2EE4">
        <w:rPr>
          <w:rFonts w:hint="cs"/>
          <w:b/>
          <w:bCs/>
          <w:sz w:val="28"/>
          <w:szCs w:val="28"/>
          <w:rtl/>
        </w:rPr>
        <w:t>קרובה לדעה זו</w:t>
      </w:r>
      <w:r w:rsidR="009749E9">
        <w:rPr>
          <w:rFonts w:hint="cs"/>
          <w:b/>
          <w:bCs/>
          <w:sz w:val="28"/>
          <w:szCs w:val="28"/>
          <w:rtl/>
        </w:rPr>
        <w:t>.</w:t>
      </w:r>
      <w:r w:rsidR="00BB2EE4">
        <w:rPr>
          <w:rFonts w:hint="cs"/>
          <w:b/>
          <w:bCs/>
          <w:sz w:val="28"/>
          <w:szCs w:val="28"/>
          <w:rtl/>
        </w:rPr>
        <w:t xml:space="preserve"> </w:t>
      </w:r>
    </w:p>
    <w:p w14:paraId="235EDE62" w14:textId="7A03A0DB" w:rsidR="005753FE" w:rsidRDefault="00275FBF" w:rsidP="00F02C13">
      <w:pPr>
        <w:pStyle w:val="FootnoteText"/>
        <w:rPr>
          <w:b/>
          <w:bCs/>
          <w:sz w:val="28"/>
          <w:szCs w:val="28"/>
          <w:rtl/>
        </w:rPr>
      </w:pPr>
      <w:r>
        <w:rPr>
          <w:rFonts w:hint="cs"/>
          <w:b/>
          <w:bCs/>
          <w:sz w:val="28"/>
          <w:szCs w:val="28"/>
          <w:rtl/>
        </w:rPr>
        <w:t>ונמצא גם</w:t>
      </w:r>
      <w:r w:rsidR="00B828D5">
        <w:rPr>
          <w:rFonts w:hint="cs"/>
          <w:b/>
          <w:bCs/>
          <w:sz w:val="28"/>
          <w:szCs w:val="28"/>
          <w:rtl/>
        </w:rPr>
        <w:t xml:space="preserve"> את בעלי החיים </w:t>
      </w:r>
      <w:r w:rsidR="003010E0">
        <w:rPr>
          <w:rFonts w:hint="cs"/>
          <w:b/>
          <w:bCs/>
          <w:sz w:val="28"/>
          <w:szCs w:val="28"/>
          <w:rtl/>
        </w:rPr>
        <w:t xml:space="preserve">מתנהגים </w:t>
      </w:r>
      <w:r w:rsidR="00233A38">
        <w:rPr>
          <w:rFonts w:hint="cs"/>
          <w:b/>
          <w:bCs/>
          <w:sz w:val="28"/>
          <w:szCs w:val="28"/>
          <w:rtl/>
        </w:rPr>
        <w:t xml:space="preserve">במיני תנועותיהם </w:t>
      </w:r>
      <w:r w:rsidR="00853ABE">
        <w:rPr>
          <w:rFonts w:hint="cs"/>
          <w:b/>
          <w:bCs/>
          <w:sz w:val="28"/>
          <w:szCs w:val="28"/>
          <w:rtl/>
        </w:rPr>
        <w:t>כ</w:t>
      </w:r>
      <w:r w:rsidR="0065422E">
        <w:rPr>
          <w:rFonts w:hint="cs"/>
          <w:b/>
          <w:bCs/>
          <w:sz w:val="28"/>
          <w:szCs w:val="28"/>
          <w:rtl/>
        </w:rPr>
        <w:t xml:space="preserve">רצונם, </w:t>
      </w:r>
      <w:r w:rsidR="00CE6B70">
        <w:rPr>
          <w:rFonts w:hint="cs"/>
          <w:b/>
          <w:bCs/>
          <w:sz w:val="28"/>
          <w:szCs w:val="28"/>
          <w:rtl/>
        </w:rPr>
        <w:t>ו</w:t>
      </w:r>
      <w:r w:rsidR="00736897">
        <w:rPr>
          <w:rFonts w:hint="cs"/>
          <w:b/>
          <w:bCs/>
          <w:sz w:val="28"/>
          <w:szCs w:val="28"/>
          <w:rtl/>
        </w:rPr>
        <w:t>איננו רואים</w:t>
      </w:r>
      <w:r w:rsidR="00CE6B70">
        <w:rPr>
          <w:rFonts w:hint="cs"/>
          <w:b/>
          <w:bCs/>
          <w:sz w:val="28"/>
          <w:szCs w:val="28"/>
          <w:rtl/>
        </w:rPr>
        <w:t xml:space="preserve"> </w:t>
      </w:r>
      <w:r w:rsidR="00A82D1A">
        <w:rPr>
          <w:rFonts w:hint="cs"/>
          <w:b/>
          <w:bCs/>
          <w:sz w:val="28"/>
          <w:szCs w:val="28"/>
          <w:rtl/>
        </w:rPr>
        <w:t xml:space="preserve">שיש להם הכרח </w:t>
      </w:r>
      <w:r w:rsidR="002C303D">
        <w:rPr>
          <w:rFonts w:hint="cs"/>
          <w:b/>
          <w:bCs/>
          <w:sz w:val="28"/>
          <w:szCs w:val="28"/>
          <w:rtl/>
        </w:rPr>
        <w:t>מבחוץ</w:t>
      </w:r>
      <w:r w:rsidR="00A82D1A">
        <w:rPr>
          <w:rFonts w:hint="cs"/>
          <w:b/>
          <w:bCs/>
          <w:sz w:val="28"/>
          <w:szCs w:val="28"/>
          <w:rtl/>
        </w:rPr>
        <w:t xml:space="preserve">, </w:t>
      </w:r>
      <w:r w:rsidR="00304484">
        <w:rPr>
          <w:rFonts w:hint="cs"/>
          <w:b/>
          <w:bCs/>
          <w:sz w:val="28"/>
          <w:szCs w:val="28"/>
          <w:rtl/>
        </w:rPr>
        <w:t>שינהיג אותם</w:t>
      </w:r>
      <w:r w:rsidR="009A5F47">
        <w:rPr>
          <w:rFonts w:hint="cs"/>
          <w:b/>
          <w:bCs/>
          <w:sz w:val="28"/>
          <w:szCs w:val="28"/>
          <w:rtl/>
        </w:rPr>
        <w:t xml:space="preserve"> להתנהגויות האלה</w:t>
      </w:r>
      <w:r w:rsidR="00605ED3">
        <w:rPr>
          <w:rStyle w:val="FootnoteReference"/>
          <w:b/>
          <w:bCs/>
          <w:sz w:val="28"/>
          <w:szCs w:val="28"/>
          <w:rtl/>
        </w:rPr>
        <w:footnoteReference w:id="413"/>
      </w:r>
      <w:r w:rsidR="00A30B99">
        <w:rPr>
          <w:rFonts w:hint="cs"/>
          <w:b/>
          <w:bCs/>
          <w:sz w:val="28"/>
          <w:szCs w:val="28"/>
          <w:rtl/>
        </w:rPr>
        <w:t xml:space="preserve">. </w:t>
      </w:r>
      <w:r w:rsidR="00DB0D80">
        <w:rPr>
          <w:rFonts w:hint="cs"/>
          <w:b/>
          <w:bCs/>
          <w:sz w:val="28"/>
          <w:szCs w:val="28"/>
          <w:rtl/>
        </w:rPr>
        <w:t>וי</w:t>
      </w:r>
      <w:r w:rsidR="00F62D02">
        <w:rPr>
          <w:rFonts w:hint="cs"/>
          <w:b/>
          <w:bCs/>
          <w:sz w:val="28"/>
          <w:szCs w:val="28"/>
          <w:rtl/>
        </w:rPr>
        <w:t>וטבע</w:t>
      </w:r>
      <w:r w:rsidR="00DB0D80">
        <w:rPr>
          <w:rFonts w:hint="cs"/>
          <w:b/>
          <w:bCs/>
          <w:sz w:val="28"/>
          <w:szCs w:val="28"/>
          <w:rtl/>
        </w:rPr>
        <w:t xml:space="preserve"> בנפשותינו </w:t>
      </w:r>
      <w:r w:rsidR="00DF3FFB">
        <w:rPr>
          <w:rFonts w:hint="cs"/>
          <w:b/>
          <w:bCs/>
          <w:sz w:val="28"/>
          <w:szCs w:val="28"/>
          <w:rtl/>
        </w:rPr>
        <w:t>הרושם</w:t>
      </w:r>
      <w:r w:rsidR="00CC67F8">
        <w:rPr>
          <w:rFonts w:hint="cs"/>
          <w:b/>
          <w:bCs/>
          <w:sz w:val="28"/>
          <w:szCs w:val="28"/>
          <w:rtl/>
        </w:rPr>
        <w:t xml:space="preserve"> ש</w:t>
      </w:r>
      <w:r w:rsidR="003D11A8">
        <w:rPr>
          <w:rFonts w:hint="cs"/>
          <w:b/>
          <w:bCs/>
          <w:sz w:val="28"/>
          <w:szCs w:val="28"/>
          <w:rtl/>
        </w:rPr>
        <w:t xml:space="preserve">התנועות, ובאופן כללי </w:t>
      </w:r>
      <w:r w:rsidR="00014A9F">
        <w:rPr>
          <w:rFonts w:hint="cs"/>
          <w:b/>
          <w:bCs/>
          <w:sz w:val="28"/>
          <w:szCs w:val="28"/>
          <w:rtl/>
        </w:rPr>
        <w:t xml:space="preserve">הפעולות </w:t>
      </w:r>
      <w:proofErr w:type="spellStart"/>
      <w:r w:rsidR="00014A9F">
        <w:rPr>
          <w:rFonts w:hint="cs"/>
          <w:b/>
          <w:bCs/>
          <w:sz w:val="28"/>
          <w:szCs w:val="28"/>
          <w:rtl/>
        </w:rPr>
        <w:t>וה</w:t>
      </w:r>
      <w:r w:rsidR="003B26DF">
        <w:rPr>
          <w:rFonts w:hint="cs"/>
          <w:b/>
          <w:bCs/>
          <w:sz w:val="28"/>
          <w:szCs w:val="28"/>
          <w:rtl/>
        </w:rPr>
        <w:t>הי</w:t>
      </w:r>
      <w:r w:rsidR="00014A9F">
        <w:rPr>
          <w:rFonts w:hint="cs"/>
          <w:b/>
          <w:bCs/>
          <w:sz w:val="28"/>
          <w:szCs w:val="28"/>
          <w:rtl/>
        </w:rPr>
        <w:t>פעלו</w:t>
      </w:r>
      <w:r w:rsidR="003B26DF">
        <w:rPr>
          <w:rFonts w:hint="cs"/>
          <w:b/>
          <w:bCs/>
          <w:sz w:val="28"/>
          <w:szCs w:val="28"/>
          <w:rtl/>
        </w:rPr>
        <w:t>יו</w:t>
      </w:r>
      <w:r w:rsidR="00014A9F">
        <w:rPr>
          <w:rFonts w:hint="cs"/>
          <w:b/>
          <w:bCs/>
          <w:sz w:val="28"/>
          <w:szCs w:val="28"/>
          <w:rtl/>
        </w:rPr>
        <w:t>ת</w:t>
      </w:r>
      <w:proofErr w:type="spellEnd"/>
      <w:r w:rsidR="00014A9F">
        <w:rPr>
          <w:rFonts w:hint="cs"/>
          <w:b/>
          <w:bCs/>
          <w:sz w:val="28"/>
          <w:szCs w:val="28"/>
          <w:rtl/>
        </w:rPr>
        <w:t xml:space="preserve">, </w:t>
      </w:r>
      <w:r w:rsidR="007A74CE">
        <w:rPr>
          <w:rFonts w:hint="cs"/>
          <w:b/>
          <w:bCs/>
          <w:sz w:val="28"/>
          <w:szCs w:val="28"/>
          <w:rtl/>
        </w:rPr>
        <w:t xml:space="preserve">המתרחשות </w:t>
      </w:r>
      <w:r w:rsidR="008A3D2E">
        <w:rPr>
          <w:rFonts w:hint="cs"/>
          <w:b/>
          <w:bCs/>
          <w:sz w:val="28"/>
          <w:szCs w:val="28"/>
          <w:rtl/>
        </w:rPr>
        <w:t>בגשמים</w:t>
      </w:r>
      <w:r w:rsidR="00617BEB">
        <w:rPr>
          <w:rFonts w:hint="cs"/>
          <w:b/>
          <w:bCs/>
          <w:sz w:val="28"/>
          <w:szCs w:val="28"/>
          <w:rtl/>
        </w:rPr>
        <w:t>,</w:t>
      </w:r>
      <w:r w:rsidR="00F32A02">
        <w:rPr>
          <w:rFonts w:hint="cs"/>
          <w:b/>
          <w:bCs/>
          <w:sz w:val="28"/>
          <w:szCs w:val="28"/>
          <w:rtl/>
        </w:rPr>
        <w:t xml:space="preserve"> </w:t>
      </w:r>
      <w:r w:rsidR="00D91F78">
        <w:rPr>
          <w:rFonts w:hint="cs"/>
          <w:b/>
          <w:bCs/>
          <w:sz w:val="28"/>
          <w:szCs w:val="28"/>
          <w:rtl/>
        </w:rPr>
        <w:t xml:space="preserve">אפשר שיהיו </w:t>
      </w:r>
      <w:r w:rsidR="00E35B6E">
        <w:rPr>
          <w:rFonts w:hint="cs"/>
          <w:b/>
          <w:bCs/>
          <w:sz w:val="28"/>
          <w:szCs w:val="28"/>
          <w:rtl/>
        </w:rPr>
        <w:t>מ</w:t>
      </w:r>
      <w:r w:rsidR="00D91F78">
        <w:rPr>
          <w:rFonts w:hint="cs"/>
          <w:b/>
          <w:bCs/>
          <w:sz w:val="28"/>
          <w:szCs w:val="28"/>
          <w:rtl/>
        </w:rPr>
        <w:t xml:space="preserve">סיבה חיצונית זרה, </w:t>
      </w:r>
      <w:r w:rsidR="00280351">
        <w:rPr>
          <w:rFonts w:hint="cs"/>
          <w:b/>
          <w:bCs/>
          <w:sz w:val="28"/>
          <w:szCs w:val="28"/>
          <w:rtl/>
        </w:rPr>
        <w:t>ואפשר שיהיו ממהות</w:t>
      </w:r>
      <w:r w:rsidR="005078DF">
        <w:rPr>
          <w:rFonts w:hint="cs"/>
          <w:b/>
          <w:bCs/>
          <w:sz w:val="28"/>
          <w:szCs w:val="28"/>
          <w:rtl/>
        </w:rPr>
        <w:t>ם</w:t>
      </w:r>
      <w:r w:rsidR="00280351">
        <w:rPr>
          <w:rFonts w:hint="cs"/>
          <w:b/>
          <w:bCs/>
          <w:sz w:val="28"/>
          <w:szCs w:val="28"/>
          <w:rtl/>
        </w:rPr>
        <w:t xml:space="preserve"> </w:t>
      </w:r>
      <w:r w:rsidR="00371551">
        <w:rPr>
          <w:rFonts w:hint="cs"/>
          <w:b/>
          <w:bCs/>
          <w:sz w:val="28"/>
          <w:szCs w:val="28"/>
          <w:rtl/>
        </w:rPr>
        <w:t>ולא</w:t>
      </w:r>
      <w:r w:rsidR="00280351">
        <w:rPr>
          <w:rFonts w:hint="cs"/>
          <w:b/>
          <w:bCs/>
          <w:sz w:val="28"/>
          <w:szCs w:val="28"/>
          <w:rtl/>
        </w:rPr>
        <w:t xml:space="preserve"> מהחוץ. </w:t>
      </w:r>
    </w:p>
    <w:p w14:paraId="18FF347C" w14:textId="77777777" w:rsidR="005753FE" w:rsidRPr="00202239" w:rsidRDefault="005753FE" w:rsidP="003266A1">
      <w:pPr>
        <w:pStyle w:val="Heading4"/>
        <w:rPr>
          <w:rtl/>
        </w:rPr>
      </w:pPr>
      <w:bookmarkStart w:id="205" w:name="_Toc119092653"/>
      <w:r w:rsidRPr="00202239">
        <w:rPr>
          <w:rFonts w:hint="cs"/>
          <w:rtl/>
        </w:rPr>
        <w:t>1.5.2</w:t>
      </w:r>
      <w:bookmarkEnd w:id="205"/>
    </w:p>
    <w:p w14:paraId="2AF5AD40" w14:textId="117AD0C8" w:rsidR="007A4B61" w:rsidRPr="007A4B61" w:rsidRDefault="007A4B61" w:rsidP="007A4B61">
      <w:pPr>
        <w:pStyle w:val="FootnoteText"/>
        <w:rPr>
          <w:b/>
          <w:bCs/>
          <w:sz w:val="28"/>
          <w:szCs w:val="28"/>
          <w:rtl/>
        </w:rPr>
      </w:pPr>
      <w:r w:rsidRPr="007A4B61">
        <w:rPr>
          <w:rFonts w:hint="cs"/>
          <w:b/>
          <w:bCs/>
          <w:sz w:val="28"/>
          <w:szCs w:val="28"/>
          <w:rtl/>
        </w:rPr>
        <w:t>בראשונה סברנו שמן האפשר שתהיה מקצתן</w:t>
      </w:r>
      <w:r w:rsidRPr="007A4B61">
        <w:rPr>
          <w:b/>
          <w:bCs/>
          <w:spacing w:val="4"/>
          <w:sz w:val="28"/>
          <w:szCs w:val="28"/>
          <w:vertAlign w:val="superscript"/>
          <w:rtl/>
        </w:rPr>
        <w:footnoteReference w:id="414"/>
      </w:r>
      <w:r w:rsidRPr="007A4B61">
        <w:rPr>
          <w:rFonts w:hint="cs"/>
          <w:b/>
          <w:bCs/>
          <w:sz w:val="28"/>
          <w:szCs w:val="28"/>
          <w:rtl/>
        </w:rPr>
        <w:t xml:space="preserve"> בדרך מחויבת אחת שממנה אינם סוטים, ותהיה מקצתן בדרכים מרובות שמשנות פניהן, ולפי אפשרות זו יהיו כל אחד מהפנים מתגלים ברצון ומתגלים שלא ברצון (אלא כמו שמתגלים העקבות של אבן שנפלה או הבערה מאש דולקת). זה הרושם שנטבע בנפשנו.</w:t>
      </w:r>
    </w:p>
    <w:p w14:paraId="2E044200" w14:textId="77777777" w:rsidR="007A4B61" w:rsidRPr="007A4B61" w:rsidRDefault="007A4B61" w:rsidP="007A4B61">
      <w:pPr>
        <w:rPr>
          <w:rtl/>
        </w:rPr>
      </w:pPr>
      <w:r w:rsidRPr="007A4B61">
        <w:rPr>
          <w:rFonts w:hint="cs"/>
          <w:rtl/>
        </w:rPr>
        <w:t>אחר כך, התגלה לנו שהגשמים האלה שאיננו מוצאים להם תנועות מהחוץ, לפי האמת ינועו ויפעלו מכח מניע חיצוני שאיננו תופשים ולא מגיעים אליו, אלא אפשר שהוא מופשט ולא מוחשי, או אפשר שהוא מוחשי במהותו ולא מוחשי בהשפעתו, רוצה לומר היחס שבינו ובין הנפעלים על ידו אינו מוחשי, מה שמוכיח על הכרחיותו להם</w:t>
      </w:r>
      <w:r w:rsidRPr="007A4B61">
        <w:rPr>
          <w:spacing w:val="4"/>
          <w:vertAlign w:val="superscript"/>
          <w:rtl/>
        </w:rPr>
        <w:footnoteReference w:id="415"/>
      </w:r>
      <w:r w:rsidRPr="007A4B61">
        <w:rPr>
          <w:rFonts w:hint="cs"/>
          <w:rtl/>
        </w:rPr>
        <w:t xml:space="preserve">. כמו מי שלא ראה בחוש מגנט מושך ברזל, או לא ידע באופן שכלי שהוא מושך את הברזל, ומשום כך הוא כמי שנמנע ממנו בעיון השכלי לראות שהברזל </w:t>
      </w:r>
      <w:r w:rsidRPr="007A4B61">
        <w:rPr>
          <w:rtl/>
        </w:rPr>
        <w:t>מוּנָע</w:t>
      </w:r>
      <w:r w:rsidRPr="007A4B61">
        <w:rPr>
          <w:rFonts w:hint="cs"/>
          <w:rtl/>
        </w:rPr>
        <w:t xml:space="preserve"> אליו</w:t>
      </w:r>
      <w:r w:rsidRPr="007A4B61">
        <w:rPr>
          <w:spacing w:val="4"/>
          <w:vertAlign w:val="superscript"/>
          <w:rtl/>
        </w:rPr>
        <w:footnoteReference w:id="416"/>
      </w:r>
      <w:r w:rsidRPr="007A4B61">
        <w:rPr>
          <w:rFonts w:hint="cs"/>
          <w:rtl/>
        </w:rPr>
        <w:t>, לא יימנע מלחשוב שהוא</w:t>
      </w:r>
      <w:r w:rsidRPr="007A4B61">
        <w:rPr>
          <w:spacing w:val="4"/>
          <w:vertAlign w:val="superscript"/>
          <w:rtl/>
        </w:rPr>
        <w:footnoteReference w:id="417"/>
      </w:r>
      <w:r w:rsidRPr="007A4B61">
        <w:rPr>
          <w:rFonts w:hint="cs"/>
          <w:rtl/>
        </w:rPr>
        <w:t xml:space="preserve"> נע אליו</w:t>
      </w:r>
      <w:r w:rsidRPr="007A4B61">
        <w:rPr>
          <w:spacing w:val="4"/>
          <w:vertAlign w:val="superscript"/>
          <w:rtl/>
        </w:rPr>
        <w:footnoteReference w:id="418"/>
      </w:r>
      <w:r w:rsidRPr="007A4B61">
        <w:rPr>
          <w:rFonts w:hint="cs"/>
          <w:rtl/>
        </w:rPr>
        <w:t xml:space="preserve"> ממהותו העצמית. מובן מאליו שהמניע אין בו יכולת להניע גשם במה שהוא גשם, אלא הוא מניע בכח שבו</w:t>
      </w:r>
      <w:r w:rsidRPr="007A4B61">
        <w:rPr>
          <w:spacing w:val="4"/>
          <w:vertAlign w:val="superscript"/>
          <w:rtl/>
        </w:rPr>
        <w:footnoteReference w:id="419"/>
      </w:r>
      <w:r w:rsidRPr="007A4B61">
        <w:rPr>
          <w:rFonts w:hint="cs"/>
          <w:rtl/>
        </w:rPr>
        <w:t>.</w:t>
      </w:r>
    </w:p>
    <w:p w14:paraId="7464B3FE" w14:textId="77777777" w:rsidR="007A4B61" w:rsidRPr="007A4B61" w:rsidRDefault="007A4B61" w:rsidP="007A4B61">
      <w:pPr>
        <w:rPr>
          <w:rtl/>
        </w:rPr>
      </w:pPr>
    </w:p>
    <w:p w14:paraId="565A07BD" w14:textId="77777777" w:rsidR="007A4B61" w:rsidRPr="007A4B61" w:rsidRDefault="007A4B61" w:rsidP="007A4B61">
      <w:pPr>
        <w:spacing w:before="720" w:line="360" w:lineRule="auto"/>
        <w:outlineLvl w:val="3"/>
        <w:rPr>
          <w:spacing w:val="4"/>
          <w:rtl/>
        </w:rPr>
      </w:pPr>
      <w:bookmarkStart w:id="206" w:name="_Toc119092654"/>
      <w:r w:rsidRPr="007A4B61">
        <w:rPr>
          <w:rFonts w:hint="cs"/>
          <w:spacing w:val="4"/>
          <w:rtl/>
        </w:rPr>
        <w:t>1.5.3</w:t>
      </w:r>
      <w:bookmarkEnd w:id="206"/>
      <w:r w:rsidRPr="007A4B61">
        <w:rPr>
          <w:rFonts w:hint="cs"/>
          <w:spacing w:val="4"/>
          <w:rtl/>
        </w:rPr>
        <w:t xml:space="preserve"> </w:t>
      </w:r>
    </w:p>
    <w:p w14:paraId="56E7D039" w14:textId="77777777" w:rsidR="007A4B61" w:rsidRPr="007A4B61" w:rsidRDefault="007A4B61" w:rsidP="007A4B61">
      <w:pPr>
        <w:rPr>
          <w:rtl/>
        </w:rPr>
      </w:pPr>
      <w:r w:rsidRPr="007A4B61">
        <w:rPr>
          <w:rFonts w:hint="cs"/>
          <w:rtl/>
        </w:rPr>
        <w:t>קבענו כקביעה, שיסכים אליה [הפילוסוף] הטבעי, ויוכיח אותה במופת</w:t>
      </w:r>
      <w:r w:rsidRPr="007A4B61">
        <w:rPr>
          <w:spacing w:val="4"/>
          <w:vertAlign w:val="superscript"/>
          <w:rtl/>
        </w:rPr>
        <w:footnoteReference w:id="420"/>
      </w:r>
      <w:r w:rsidRPr="007A4B61">
        <w:rPr>
          <w:rFonts w:hint="cs"/>
          <w:rtl/>
        </w:rPr>
        <w:t xml:space="preserve"> [הפילוסוף] האלוהי</w:t>
      </w:r>
      <w:r w:rsidRPr="007A4B61">
        <w:rPr>
          <w:spacing w:val="4"/>
          <w:vertAlign w:val="superscript"/>
          <w:rtl/>
        </w:rPr>
        <w:footnoteReference w:id="421"/>
      </w:r>
      <w:r w:rsidRPr="007A4B61">
        <w:rPr>
          <w:rFonts w:hint="cs"/>
          <w:rtl/>
        </w:rPr>
        <w:t>, שהגשמים הנעים תנועות אלה אמנם ינועו מחמת כח שבהם, הוא התחלות תנועתם ופעולתם</w:t>
      </w:r>
      <w:r w:rsidRPr="007A4B61">
        <w:rPr>
          <w:spacing w:val="4"/>
          <w:vertAlign w:val="superscript"/>
          <w:rtl/>
        </w:rPr>
        <w:footnoteReference w:id="422"/>
      </w:r>
      <w:r w:rsidRPr="007A4B61">
        <w:rPr>
          <w:rFonts w:hint="cs"/>
          <w:rtl/>
        </w:rPr>
        <w:t>. מהן כח תנועה</w:t>
      </w:r>
      <w:r w:rsidRPr="007A4B61">
        <w:rPr>
          <w:spacing w:val="4"/>
          <w:vertAlign w:val="superscript"/>
          <w:rtl/>
        </w:rPr>
        <w:footnoteReference w:id="423"/>
      </w:r>
      <w:r w:rsidRPr="007A4B61">
        <w:rPr>
          <w:rFonts w:hint="cs"/>
          <w:rtl/>
        </w:rPr>
        <w:t xml:space="preserve"> ושינוי שינבעו ממנו הפעולות שהן על דרך אחת וללא רצון</w:t>
      </w:r>
      <w:r w:rsidRPr="007A4B61">
        <w:rPr>
          <w:spacing w:val="4"/>
          <w:vertAlign w:val="superscript"/>
          <w:rtl/>
        </w:rPr>
        <w:footnoteReference w:id="424"/>
      </w:r>
      <w:r w:rsidRPr="007A4B61">
        <w:rPr>
          <w:rFonts w:hint="cs"/>
          <w:rtl/>
        </w:rPr>
        <w:t xml:space="preserve">; </w:t>
      </w:r>
      <w:proofErr w:type="spellStart"/>
      <w:r w:rsidRPr="007A4B61">
        <w:rPr>
          <w:rFonts w:hint="cs"/>
          <w:rtl/>
        </w:rPr>
        <w:t>וכח</w:t>
      </w:r>
      <w:proofErr w:type="spellEnd"/>
      <w:r w:rsidRPr="007A4B61">
        <w:rPr>
          <w:rFonts w:hint="cs"/>
          <w:rtl/>
        </w:rPr>
        <w:t xml:space="preserve"> כזה שהוא עם רצון; </w:t>
      </w:r>
      <w:proofErr w:type="spellStart"/>
      <w:r w:rsidRPr="007A4B61">
        <w:rPr>
          <w:rFonts w:hint="cs"/>
          <w:rtl/>
        </w:rPr>
        <w:t>וכח</w:t>
      </w:r>
      <w:proofErr w:type="spellEnd"/>
      <w:r w:rsidRPr="007A4B61">
        <w:rPr>
          <w:rFonts w:hint="cs"/>
          <w:rtl/>
        </w:rPr>
        <w:t xml:space="preserve"> שיש בו ריבוי אופנים של תנועה ופעולה ללא רצון; </w:t>
      </w:r>
      <w:proofErr w:type="spellStart"/>
      <w:r w:rsidRPr="007A4B61">
        <w:rPr>
          <w:rFonts w:hint="cs"/>
          <w:rtl/>
        </w:rPr>
        <w:t>וכח</w:t>
      </w:r>
      <w:proofErr w:type="spellEnd"/>
      <w:r w:rsidRPr="007A4B61">
        <w:rPr>
          <w:rFonts w:hint="cs"/>
          <w:rtl/>
        </w:rPr>
        <w:t xml:space="preserve"> שיש בו ריבוי אופנים של פעולה ותנועה עם רצון. וחלוקות כאלה מצד המנוחה. </w:t>
      </w:r>
    </w:p>
    <w:p w14:paraId="162C107F" w14:textId="77777777" w:rsidR="007A4B61" w:rsidRPr="007A4B61" w:rsidRDefault="007A4B61" w:rsidP="007A4B61">
      <w:pPr>
        <w:rPr>
          <w:rtl/>
        </w:rPr>
      </w:pPr>
      <w:r w:rsidRPr="007A4B61">
        <w:rPr>
          <w:rFonts w:hint="cs"/>
          <w:rtl/>
        </w:rPr>
        <w:t xml:space="preserve">החלוקה הראשונה היא כמו </w:t>
      </w:r>
      <w:r w:rsidRPr="007A4B61">
        <w:rPr>
          <w:rtl/>
        </w:rPr>
        <w:t>השייך לאבן</w:t>
      </w:r>
      <w:r w:rsidRPr="007A4B61">
        <w:rPr>
          <w:rFonts w:hint="cs"/>
          <w:rtl/>
        </w:rPr>
        <w:t xml:space="preserve"> שנופלת ונחה במרכז</w:t>
      </w:r>
      <w:r w:rsidRPr="007A4B61">
        <w:rPr>
          <w:spacing w:val="4"/>
          <w:vertAlign w:val="superscript"/>
          <w:rtl/>
        </w:rPr>
        <w:footnoteReference w:id="425"/>
      </w:r>
      <w:r w:rsidRPr="007A4B61">
        <w:rPr>
          <w:rFonts w:hint="cs"/>
          <w:rtl/>
        </w:rPr>
        <w:t xml:space="preserve">, ונקראת 'טבע'. </w:t>
      </w:r>
    </w:p>
    <w:p w14:paraId="3381A04B" w14:textId="77777777" w:rsidR="007A4B61" w:rsidRPr="007A4B61" w:rsidRDefault="007A4B61" w:rsidP="007A4B61">
      <w:pPr>
        <w:rPr>
          <w:rtl/>
        </w:rPr>
      </w:pPr>
      <w:r w:rsidRPr="007A4B61">
        <w:rPr>
          <w:rtl/>
        </w:rPr>
        <w:t>השנייה</w:t>
      </w:r>
      <w:r w:rsidRPr="007A4B61">
        <w:rPr>
          <w:rFonts w:hint="cs"/>
          <w:rtl/>
        </w:rPr>
        <w:t xml:space="preserve"> היא כמו </w:t>
      </w:r>
      <w:r w:rsidRPr="007A4B61">
        <w:rPr>
          <w:rtl/>
        </w:rPr>
        <w:t>השייך לשמש</w:t>
      </w:r>
      <w:r w:rsidRPr="007A4B61">
        <w:rPr>
          <w:rFonts w:hint="cs"/>
          <w:rtl/>
        </w:rPr>
        <w:t xml:space="preserve"> בסיבובה, למסקנת הפילוסופים</w:t>
      </w:r>
      <w:r w:rsidRPr="007A4B61">
        <w:rPr>
          <w:spacing w:val="4"/>
          <w:vertAlign w:val="superscript"/>
          <w:rtl/>
        </w:rPr>
        <w:footnoteReference w:id="426"/>
      </w:r>
      <w:r w:rsidRPr="007A4B61">
        <w:rPr>
          <w:rFonts w:hint="cs"/>
          <w:rtl/>
        </w:rPr>
        <w:t xml:space="preserve">, ונקראת 'הנפש השמיימית'. </w:t>
      </w:r>
    </w:p>
    <w:p w14:paraId="0EEF3404" w14:textId="77777777" w:rsidR="007A4B61" w:rsidRPr="007A4B61" w:rsidRDefault="007A4B61" w:rsidP="007A4B61">
      <w:pPr>
        <w:rPr>
          <w:rtl/>
        </w:rPr>
      </w:pPr>
      <w:r w:rsidRPr="007A4B61">
        <w:rPr>
          <w:rtl/>
        </w:rPr>
        <w:t>השלישית</w:t>
      </w:r>
      <w:r w:rsidRPr="007A4B61">
        <w:rPr>
          <w:rFonts w:hint="cs"/>
          <w:rtl/>
        </w:rPr>
        <w:t xml:space="preserve"> היא כמו השייך לצמחים, בהתהוותם, גדילתם, ועמידתם מלגדול. כי הם נעים בתנועות לא רצוניות לצדדים שונים, בצורות של הצמחת ענפים והסתעפות שורשים, לרוחב ולאורך ונקראת 'נפש הצומח'. </w:t>
      </w:r>
    </w:p>
    <w:p w14:paraId="09AB3DF8" w14:textId="77777777" w:rsidR="007A4B61" w:rsidRPr="007A4B61" w:rsidRDefault="007A4B61" w:rsidP="007A4B61">
      <w:pPr>
        <w:rPr>
          <w:rtl/>
        </w:rPr>
      </w:pPr>
      <w:r w:rsidRPr="007A4B61">
        <w:rPr>
          <w:rFonts w:hint="cs"/>
          <w:rtl/>
        </w:rPr>
        <w:t>הרביעית היא כמו השייך לבעלי החיים, ונקראת 'נפש החי'.</w:t>
      </w:r>
    </w:p>
    <w:p w14:paraId="097515A2" w14:textId="77777777" w:rsidR="007A4B61" w:rsidRPr="007A4B61" w:rsidRDefault="007A4B61" w:rsidP="007A4B61">
      <w:pPr>
        <w:rPr>
          <w:rtl/>
        </w:rPr>
      </w:pPr>
      <w:r w:rsidRPr="007A4B61">
        <w:rPr>
          <w:rFonts w:hint="cs"/>
          <w:rtl/>
        </w:rPr>
        <w:t>ואפשר שייאמר השם 'טבע' על כל כח שינבעו ממנו פעולות בלי רצון, ותיקרא נפש הצומח 'טבע'</w:t>
      </w:r>
      <w:r w:rsidRPr="007A4B61">
        <w:rPr>
          <w:spacing w:val="4"/>
          <w:vertAlign w:val="superscript"/>
          <w:rtl/>
        </w:rPr>
        <w:footnoteReference w:id="427"/>
      </w:r>
      <w:r w:rsidRPr="007A4B61">
        <w:rPr>
          <w:rFonts w:hint="cs"/>
          <w:rtl/>
        </w:rPr>
        <w:t>.</w:t>
      </w:r>
    </w:p>
    <w:p w14:paraId="6BCBA6B7" w14:textId="77777777" w:rsidR="007A4B61" w:rsidRPr="007A4B61" w:rsidRDefault="007A4B61" w:rsidP="007A4B61">
      <w:pPr>
        <w:rPr>
          <w:rtl/>
        </w:rPr>
      </w:pPr>
      <w:r w:rsidRPr="007A4B61">
        <w:rPr>
          <w:rFonts w:hint="cs"/>
          <w:rtl/>
        </w:rPr>
        <w:t xml:space="preserve">ואפשר שייאמר 'טבע' לכל מה שינבע ממנו פעולה בלי רצון ובחירה, כך שיהיה העכביש אורג בטבעו; וכך למי שדומה לו מבעלי החיים. </w:t>
      </w:r>
    </w:p>
    <w:p w14:paraId="4BD9655B" w14:textId="24EBE33C" w:rsidR="007A4B61" w:rsidRPr="007A4B61" w:rsidRDefault="007A4B61" w:rsidP="00AF63E4">
      <w:r w:rsidRPr="007A4B61">
        <w:rPr>
          <w:rFonts w:hint="cs"/>
          <w:rtl/>
        </w:rPr>
        <w:t>על כל פנים ה'טבע' שבו הגשמים הטבעיים הם טבעיים ושאותו נרצה לחקור כאן, הוא הטבע במובן הראשון.</w:t>
      </w:r>
    </w:p>
    <w:p w14:paraId="6E1242E0" w14:textId="77777777" w:rsidR="007A4B61" w:rsidRPr="007A4B61" w:rsidRDefault="007A4B61" w:rsidP="003266A1">
      <w:pPr>
        <w:pStyle w:val="Heading4"/>
        <w:rPr>
          <w:rtl/>
        </w:rPr>
      </w:pPr>
      <w:bookmarkStart w:id="207" w:name="_Toc119092655"/>
      <w:r w:rsidRPr="007A4B61">
        <w:rPr>
          <w:rFonts w:hint="cs"/>
          <w:rtl/>
        </w:rPr>
        <w:t>1.</w:t>
      </w:r>
      <w:r w:rsidRPr="00B64D29">
        <w:rPr>
          <w:rFonts w:hint="cs"/>
          <w:rtl/>
        </w:rPr>
        <w:t>5</w:t>
      </w:r>
      <w:r w:rsidRPr="007A4B61">
        <w:rPr>
          <w:rFonts w:hint="cs"/>
          <w:rtl/>
        </w:rPr>
        <w:t>.4</w:t>
      </w:r>
      <w:bookmarkEnd w:id="207"/>
    </w:p>
    <w:p w14:paraId="203667B0" w14:textId="78C1CD5A" w:rsidR="005D2492" w:rsidRDefault="007A4B61" w:rsidP="007A4B61">
      <w:pPr>
        <w:rPr>
          <w:rtl/>
        </w:rPr>
      </w:pPr>
      <w:r w:rsidRPr="007A4B61">
        <w:rPr>
          <w:rFonts w:hint="cs"/>
          <w:rtl/>
        </w:rPr>
        <w:t>אני מתפלא על האמירה הלועגת למי שמחפש הוכחה לאמת</w:t>
      </w:r>
      <w:r w:rsidRPr="007A4B61">
        <w:rPr>
          <w:spacing w:val="4"/>
          <w:vertAlign w:val="superscript"/>
          <w:rtl/>
        </w:rPr>
        <w:footnoteReference w:id="428"/>
      </w:r>
      <w:r w:rsidRPr="007A4B61">
        <w:rPr>
          <w:rFonts w:hint="cs"/>
          <w:rtl/>
        </w:rPr>
        <w:t xml:space="preserve">, </w:t>
      </w:r>
      <w:r w:rsidR="002D2CFA">
        <w:rPr>
          <w:rFonts w:hint="cs"/>
          <w:rtl/>
        </w:rPr>
        <w:t xml:space="preserve">יש לפרש את </w:t>
      </w:r>
      <w:r w:rsidR="00F2216D">
        <w:rPr>
          <w:rFonts w:hint="cs"/>
          <w:rtl/>
        </w:rPr>
        <w:t>הכוונה</w:t>
      </w:r>
      <w:r w:rsidR="000C587C">
        <w:rPr>
          <w:rFonts w:hint="cs"/>
          <w:rtl/>
        </w:rPr>
        <w:t xml:space="preserve"> בזה</w:t>
      </w:r>
      <w:r w:rsidRPr="007A4B61">
        <w:rPr>
          <w:rFonts w:hint="cs"/>
          <w:rtl/>
        </w:rPr>
        <w:t xml:space="preserve"> </w:t>
      </w:r>
      <w:r w:rsidRPr="3C8CDB14">
        <w:rPr>
          <w:rtl/>
        </w:rPr>
        <w:t>שהחיפוש</w:t>
      </w:r>
      <w:r w:rsidRPr="007A4B61">
        <w:rPr>
          <w:rFonts w:hint="cs"/>
          <w:rtl/>
        </w:rPr>
        <w:t xml:space="preserve"> אחר הוכחה כשהוא חוקר את העולם הטבעי יש ללעוג לו משום שהוא מנסה להוכיח את ההתחלות של ה</w:t>
      </w:r>
      <w:r w:rsidR="0016162C">
        <w:rPr>
          <w:rFonts w:hint="cs"/>
          <w:rtl/>
        </w:rPr>
        <w:t>חכמה</w:t>
      </w:r>
      <w:r w:rsidRPr="007A4B61">
        <w:rPr>
          <w:rFonts w:hint="cs"/>
          <w:rtl/>
        </w:rPr>
        <w:t xml:space="preserve"> מתוך אות</w:t>
      </w:r>
      <w:r w:rsidR="0016162C">
        <w:rPr>
          <w:rFonts w:hint="cs"/>
          <w:rtl/>
        </w:rPr>
        <w:t>ה</w:t>
      </w:r>
      <w:r w:rsidRPr="007A4B61">
        <w:rPr>
          <w:rFonts w:hint="cs"/>
          <w:rtl/>
        </w:rPr>
        <w:t xml:space="preserve"> </w:t>
      </w:r>
      <w:r w:rsidR="0016162C">
        <w:rPr>
          <w:rFonts w:hint="cs"/>
          <w:rtl/>
        </w:rPr>
        <w:t>חכמה</w:t>
      </w:r>
      <w:r w:rsidRPr="007A4B61">
        <w:rPr>
          <w:rFonts w:hint="cs"/>
          <w:rtl/>
        </w:rPr>
        <w:t xml:space="preserve"> עצמ</w:t>
      </w:r>
      <w:r w:rsidR="006A0359">
        <w:rPr>
          <w:rFonts w:hint="cs"/>
          <w:rtl/>
        </w:rPr>
        <w:t>ה</w:t>
      </w:r>
      <w:r w:rsidRPr="007A4B61">
        <w:rPr>
          <w:rFonts w:hint="cs"/>
          <w:rtl/>
        </w:rPr>
        <w:t>.</w:t>
      </w:r>
    </w:p>
    <w:p w14:paraId="27F74A1F" w14:textId="3A473251" w:rsidR="00B60972" w:rsidRDefault="0052373B" w:rsidP="00C11850">
      <w:pPr>
        <w:rPr>
          <w:rtl/>
        </w:rPr>
      </w:pPr>
      <w:r>
        <w:rPr>
          <w:rFonts w:hint="cs"/>
          <w:rtl/>
        </w:rPr>
        <w:t xml:space="preserve">ואם אין הכוונה לזה </w:t>
      </w:r>
      <w:r w:rsidR="009E3287">
        <w:rPr>
          <w:rFonts w:hint="cs"/>
          <w:rtl/>
        </w:rPr>
        <w:t>או</w:t>
      </w:r>
      <w:r w:rsidR="004B5193">
        <w:rPr>
          <w:rFonts w:hint="cs"/>
          <w:rtl/>
        </w:rPr>
        <w:t xml:space="preserve"> </w:t>
      </w:r>
      <w:r w:rsidR="00F87423">
        <w:rPr>
          <w:rFonts w:hint="cs"/>
          <w:rtl/>
        </w:rPr>
        <w:t>ל</w:t>
      </w:r>
      <w:r w:rsidR="004B5193">
        <w:rPr>
          <w:rFonts w:hint="cs"/>
          <w:rtl/>
        </w:rPr>
        <w:t xml:space="preserve">פירוש </w:t>
      </w:r>
      <w:r w:rsidR="00B540F4">
        <w:rPr>
          <w:rFonts w:hint="cs"/>
          <w:rtl/>
        </w:rPr>
        <w:t xml:space="preserve">ראוי </w:t>
      </w:r>
      <w:r w:rsidR="004B5193">
        <w:rPr>
          <w:rFonts w:hint="cs"/>
          <w:rtl/>
        </w:rPr>
        <w:t>אחר</w:t>
      </w:r>
      <w:r w:rsidR="00505B54">
        <w:rPr>
          <w:rFonts w:hint="cs"/>
          <w:rtl/>
        </w:rPr>
        <w:t xml:space="preserve"> לזה</w:t>
      </w:r>
      <w:r w:rsidR="004B5193">
        <w:rPr>
          <w:rFonts w:hint="cs"/>
          <w:rtl/>
        </w:rPr>
        <w:t xml:space="preserve">, </w:t>
      </w:r>
      <w:r w:rsidR="00E83A9E">
        <w:rPr>
          <w:rFonts w:hint="cs"/>
          <w:rtl/>
        </w:rPr>
        <w:t>אלא</w:t>
      </w:r>
      <w:r w:rsidR="00B37F6A">
        <w:rPr>
          <w:rFonts w:hint="cs"/>
          <w:rtl/>
        </w:rPr>
        <w:t xml:space="preserve"> </w:t>
      </w:r>
      <w:r w:rsidR="00E83A9E">
        <w:rPr>
          <w:rFonts w:hint="cs"/>
          <w:rtl/>
        </w:rPr>
        <w:t>י</w:t>
      </w:r>
      <w:r w:rsidR="008E0C1E">
        <w:rPr>
          <w:rFonts w:hint="cs"/>
          <w:rtl/>
        </w:rPr>
        <w:t>תכוון</w:t>
      </w:r>
      <w:r w:rsidR="00E83A9E">
        <w:rPr>
          <w:rFonts w:hint="cs"/>
          <w:rtl/>
        </w:rPr>
        <w:t xml:space="preserve"> </w:t>
      </w:r>
      <w:r w:rsidR="00D3769D">
        <w:rPr>
          <w:rFonts w:hint="cs"/>
          <w:rtl/>
        </w:rPr>
        <w:t>ש</w:t>
      </w:r>
      <w:r w:rsidR="00F0236B">
        <w:rPr>
          <w:rFonts w:hint="cs"/>
          <w:rtl/>
        </w:rPr>
        <w:t xml:space="preserve">מציאות </w:t>
      </w:r>
      <w:proofErr w:type="spellStart"/>
      <w:r w:rsidR="001321FE">
        <w:rPr>
          <w:rFonts w:hint="cs"/>
          <w:rtl/>
        </w:rPr>
        <w:t>הכח</w:t>
      </w:r>
      <w:proofErr w:type="spellEnd"/>
      <w:r w:rsidR="001321FE">
        <w:rPr>
          <w:rFonts w:hint="cs"/>
          <w:rtl/>
        </w:rPr>
        <w:t xml:space="preserve"> הזה</w:t>
      </w:r>
      <w:r w:rsidR="00F22E32">
        <w:rPr>
          <w:rFonts w:hint="cs"/>
          <w:rtl/>
        </w:rPr>
        <w:t xml:space="preserve"> מובנת מעצמה, </w:t>
      </w:r>
      <w:r w:rsidR="00FE1D3F">
        <w:rPr>
          <w:rFonts w:hint="cs"/>
          <w:rtl/>
        </w:rPr>
        <w:t xml:space="preserve">בזה </w:t>
      </w:r>
      <w:r w:rsidR="000F2B63">
        <w:rPr>
          <w:rFonts w:hint="cs"/>
          <w:rtl/>
        </w:rPr>
        <w:t>לא</w:t>
      </w:r>
      <w:r w:rsidR="00FE1D3F">
        <w:rPr>
          <w:rFonts w:hint="cs"/>
          <w:rtl/>
        </w:rPr>
        <w:t xml:space="preserve"> אשגיח ולא אומר </w:t>
      </w:r>
      <w:r w:rsidR="003A6C99">
        <w:rPr>
          <w:rFonts w:hint="cs"/>
          <w:rtl/>
        </w:rPr>
        <w:t xml:space="preserve">כך. </w:t>
      </w:r>
      <w:r w:rsidR="00F27095">
        <w:rPr>
          <w:rFonts w:hint="cs"/>
          <w:rtl/>
        </w:rPr>
        <w:t xml:space="preserve">ואיך ייתכן, </w:t>
      </w:r>
      <w:r w:rsidR="00D214BD">
        <w:rPr>
          <w:rFonts w:hint="cs"/>
          <w:rtl/>
        </w:rPr>
        <w:t xml:space="preserve">כשאנו צריכים </w:t>
      </w:r>
      <w:r w:rsidR="00013646">
        <w:rPr>
          <w:rFonts w:hint="cs"/>
          <w:rtl/>
        </w:rPr>
        <w:t>לעמו</w:t>
      </w:r>
      <w:r w:rsidR="00804B66">
        <w:rPr>
          <w:rFonts w:hint="cs"/>
          <w:rtl/>
        </w:rPr>
        <w:t xml:space="preserve">ל </w:t>
      </w:r>
      <w:r w:rsidR="00D57B48">
        <w:rPr>
          <w:rFonts w:hint="cs"/>
          <w:rtl/>
        </w:rPr>
        <w:t xml:space="preserve">קשה </w:t>
      </w:r>
      <w:r w:rsidR="007D41FF">
        <w:rPr>
          <w:rFonts w:hint="cs"/>
          <w:rtl/>
        </w:rPr>
        <w:t xml:space="preserve">להוכיח </w:t>
      </w:r>
      <w:r w:rsidR="00530B74">
        <w:rPr>
          <w:rFonts w:hint="cs"/>
          <w:rtl/>
        </w:rPr>
        <w:t>שלכל מתנועע יש מניע</w:t>
      </w:r>
      <w:r w:rsidR="00FB5D76">
        <w:rPr>
          <w:rStyle w:val="FootnoteReference"/>
          <w:rtl/>
        </w:rPr>
        <w:footnoteReference w:id="429"/>
      </w:r>
      <w:r w:rsidR="00530B74">
        <w:rPr>
          <w:rFonts w:hint="cs"/>
          <w:rtl/>
        </w:rPr>
        <w:t>.</w:t>
      </w:r>
      <w:r w:rsidR="0051761F">
        <w:rPr>
          <w:rFonts w:hint="cs"/>
          <w:rtl/>
        </w:rPr>
        <w:t xml:space="preserve"> ואיך נלעג</w:t>
      </w:r>
      <w:r w:rsidR="006105B0">
        <w:rPr>
          <w:rFonts w:hint="cs"/>
          <w:rtl/>
        </w:rPr>
        <w:t xml:space="preserve"> למי ש</w:t>
      </w:r>
      <w:r w:rsidR="004846B1">
        <w:rPr>
          <w:rFonts w:hint="cs"/>
          <w:rtl/>
        </w:rPr>
        <w:t xml:space="preserve">רואה תנועה ומחפש ראיה להוכיח </w:t>
      </w:r>
      <w:r w:rsidR="00284540">
        <w:rPr>
          <w:rFonts w:hint="cs"/>
          <w:rtl/>
        </w:rPr>
        <w:t>שיש לה מניע</w:t>
      </w:r>
      <w:r w:rsidR="001B7346">
        <w:rPr>
          <w:rFonts w:hint="cs"/>
          <w:rtl/>
        </w:rPr>
        <w:t>,</w:t>
      </w:r>
      <w:r w:rsidR="00284540">
        <w:rPr>
          <w:rFonts w:hint="cs"/>
          <w:rtl/>
        </w:rPr>
        <w:t xml:space="preserve"> </w:t>
      </w:r>
      <w:r w:rsidR="00E42DCC">
        <w:rPr>
          <w:rFonts w:hint="cs"/>
          <w:rtl/>
        </w:rPr>
        <w:t xml:space="preserve">ובפרט </w:t>
      </w:r>
      <w:r w:rsidR="001B7346">
        <w:rPr>
          <w:rFonts w:hint="cs"/>
          <w:rtl/>
        </w:rPr>
        <w:t xml:space="preserve">למי </w:t>
      </w:r>
      <w:r w:rsidR="0004292F">
        <w:rPr>
          <w:rFonts w:hint="cs"/>
          <w:rtl/>
        </w:rPr>
        <w:t>שי</w:t>
      </w:r>
      <w:r w:rsidR="00C70D64">
        <w:rPr>
          <w:rFonts w:hint="cs"/>
          <w:rtl/>
        </w:rPr>
        <w:t>היה שלם ב</w:t>
      </w:r>
      <w:r w:rsidR="00C26830">
        <w:rPr>
          <w:rFonts w:hint="cs"/>
          <w:rtl/>
        </w:rPr>
        <w:t xml:space="preserve">הוכחת </w:t>
      </w:r>
      <w:r w:rsidR="00C11850">
        <w:rPr>
          <w:rFonts w:hint="cs"/>
          <w:rtl/>
        </w:rPr>
        <w:t>ה</w:t>
      </w:r>
      <w:r w:rsidR="00C70D64">
        <w:rPr>
          <w:rFonts w:hint="cs"/>
          <w:rtl/>
        </w:rPr>
        <w:t>מניע ויעשה אותו חיצ</w:t>
      </w:r>
      <w:r w:rsidR="00C26830">
        <w:rPr>
          <w:rFonts w:hint="cs"/>
          <w:rtl/>
        </w:rPr>
        <w:t>ו</w:t>
      </w:r>
      <w:r w:rsidR="00C70D64">
        <w:rPr>
          <w:rFonts w:hint="cs"/>
          <w:rtl/>
        </w:rPr>
        <w:t>ני.</w:t>
      </w:r>
    </w:p>
    <w:p w14:paraId="079B3600" w14:textId="47EA8201" w:rsidR="007A4B61" w:rsidRDefault="00A53D58" w:rsidP="00C11850">
      <w:pPr>
        <w:rPr>
          <w:rtl/>
        </w:rPr>
      </w:pPr>
      <w:r>
        <w:rPr>
          <w:rFonts w:hint="cs"/>
          <w:rtl/>
        </w:rPr>
        <w:t>על כל פנים</w:t>
      </w:r>
      <w:r w:rsidR="00EC09E4">
        <w:rPr>
          <w:rFonts w:hint="cs"/>
          <w:rtl/>
        </w:rPr>
        <w:t xml:space="preserve"> לפי האמת </w:t>
      </w:r>
      <w:r w:rsidR="00BC3370">
        <w:rPr>
          <w:rFonts w:hint="cs"/>
          <w:rtl/>
        </w:rPr>
        <w:t>מי ש</w:t>
      </w:r>
      <w:r w:rsidR="001D48B8">
        <w:rPr>
          <w:rFonts w:hint="cs"/>
          <w:rtl/>
        </w:rPr>
        <w:t>אומר</w:t>
      </w:r>
      <w:r w:rsidR="000E50E6">
        <w:rPr>
          <w:rFonts w:hint="cs"/>
          <w:rtl/>
        </w:rPr>
        <w:t xml:space="preserve"> </w:t>
      </w:r>
      <w:r w:rsidR="00124307">
        <w:rPr>
          <w:rFonts w:hint="cs"/>
          <w:rtl/>
        </w:rPr>
        <w:t xml:space="preserve">שיש </w:t>
      </w:r>
      <w:r w:rsidR="00BC3370">
        <w:rPr>
          <w:rFonts w:hint="cs"/>
          <w:rtl/>
        </w:rPr>
        <w:t xml:space="preserve">מציאות טבעית </w:t>
      </w:r>
      <w:r w:rsidR="00181535">
        <w:rPr>
          <w:rFonts w:hint="cs"/>
          <w:rtl/>
        </w:rPr>
        <w:t>זו</w:t>
      </w:r>
      <w:r w:rsidR="00124307">
        <w:rPr>
          <w:rFonts w:hint="cs"/>
          <w:rtl/>
        </w:rPr>
        <w:t xml:space="preserve"> </w:t>
      </w:r>
      <w:r w:rsidR="001D48B8">
        <w:rPr>
          <w:rFonts w:hint="cs"/>
          <w:rtl/>
        </w:rPr>
        <w:t>התחלה</w:t>
      </w:r>
      <w:r w:rsidR="000D7C9D">
        <w:rPr>
          <w:rFonts w:hint="cs"/>
          <w:rtl/>
        </w:rPr>
        <w:t xml:space="preserve"> </w:t>
      </w:r>
      <w:proofErr w:type="spellStart"/>
      <w:r w:rsidR="000D7C9D">
        <w:rPr>
          <w:rFonts w:hint="cs"/>
          <w:rtl/>
        </w:rPr>
        <w:t>ל</w:t>
      </w:r>
      <w:r w:rsidR="009D16B5">
        <w:rPr>
          <w:rFonts w:hint="cs"/>
          <w:rtl/>
        </w:rPr>
        <w:t>חכמת</w:t>
      </w:r>
      <w:proofErr w:type="spellEnd"/>
      <w:r w:rsidR="000D7C9D">
        <w:rPr>
          <w:rFonts w:hint="cs"/>
          <w:rtl/>
        </w:rPr>
        <w:t xml:space="preserve"> הטבע, </w:t>
      </w:r>
      <w:r w:rsidR="00536DDD">
        <w:rPr>
          <w:rFonts w:hint="cs"/>
          <w:rtl/>
        </w:rPr>
        <w:t xml:space="preserve">ואין </w:t>
      </w:r>
      <w:r w:rsidR="00F82F69">
        <w:rPr>
          <w:rFonts w:hint="cs"/>
          <w:rtl/>
        </w:rPr>
        <w:t xml:space="preserve">מי שיכחיש את הטבע, </w:t>
      </w:r>
      <w:r w:rsidR="003C061B">
        <w:rPr>
          <w:rFonts w:hint="cs"/>
          <w:rtl/>
        </w:rPr>
        <w:t>א</w:t>
      </w:r>
      <w:r w:rsidR="00361F82">
        <w:rPr>
          <w:rFonts w:hint="cs"/>
          <w:rtl/>
        </w:rPr>
        <w:t>בל</w:t>
      </w:r>
      <w:r w:rsidR="003C061B">
        <w:rPr>
          <w:rFonts w:hint="cs"/>
          <w:rtl/>
        </w:rPr>
        <w:t xml:space="preserve"> ל</w:t>
      </w:r>
      <w:r w:rsidR="007D21A9">
        <w:rPr>
          <w:rFonts w:hint="cs"/>
          <w:rtl/>
        </w:rPr>
        <w:t>הוכיח אותו במופת</w:t>
      </w:r>
      <w:r w:rsidR="003D1790">
        <w:rPr>
          <w:rFonts w:hint="cs"/>
          <w:rtl/>
        </w:rPr>
        <w:t xml:space="preserve"> זה שייך לאנשי</w:t>
      </w:r>
      <w:r w:rsidR="00D51D7A">
        <w:rPr>
          <w:rFonts w:hint="cs"/>
          <w:rtl/>
        </w:rPr>
        <w:t xml:space="preserve"> הפילוסופיה הראשונה</w:t>
      </w:r>
      <w:r w:rsidR="008761B6">
        <w:rPr>
          <w:rFonts w:hint="cs"/>
          <w:rtl/>
        </w:rPr>
        <w:t xml:space="preserve">, ועל הפילוסופים של הטבע </w:t>
      </w:r>
      <w:r w:rsidR="00520064">
        <w:rPr>
          <w:rFonts w:hint="cs"/>
          <w:rtl/>
        </w:rPr>
        <w:t>לחקור</w:t>
      </w:r>
      <w:r w:rsidR="00B57A91">
        <w:rPr>
          <w:rFonts w:hint="cs"/>
          <w:rtl/>
        </w:rPr>
        <w:t xml:space="preserve"> את המהויות שלו</w:t>
      </w:r>
      <w:r w:rsidR="004F6737">
        <w:rPr>
          <w:rStyle w:val="FootnoteReference"/>
          <w:rtl/>
        </w:rPr>
        <w:footnoteReference w:id="430"/>
      </w:r>
      <w:r w:rsidR="002463FC">
        <w:rPr>
          <w:rFonts w:hint="cs"/>
          <w:rtl/>
        </w:rPr>
        <w:t xml:space="preserve"> </w:t>
      </w:r>
      <w:r w:rsidR="000418A2">
        <w:rPr>
          <w:rStyle w:val="FootnoteReference"/>
          <w:rtl/>
        </w:rPr>
        <w:footnoteReference w:id="431"/>
      </w:r>
      <w:r w:rsidR="00B57A91">
        <w:rPr>
          <w:rFonts w:hint="cs"/>
          <w:rtl/>
        </w:rPr>
        <w:t xml:space="preserve">. </w:t>
      </w:r>
    </w:p>
    <w:p w14:paraId="7838BB11" w14:textId="1F140C79" w:rsidR="00043FAD" w:rsidRDefault="00043FAD" w:rsidP="003266A1">
      <w:pPr>
        <w:pStyle w:val="Heading4"/>
        <w:rPr>
          <w:rtl/>
        </w:rPr>
      </w:pPr>
      <w:bookmarkStart w:id="208" w:name="_1.5.5"/>
      <w:bookmarkStart w:id="209" w:name="_Toc119092656"/>
      <w:bookmarkEnd w:id="208"/>
      <w:r>
        <w:rPr>
          <w:rFonts w:hint="cs"/>
          <w:rtl/>
        </w:rPr>
        <w:t>1.5.5</w:t>
      </w:r>
      <w:bookmarkEnd w:id="209"/>
    </w:p>
    <w:p w14:paraId="00BA01BD" w14:textId="029AFDD2" w:rsidR="00CC05FC" w:rsidRDefault="005B4DDF" w:rsidP="00F02C13">
      <w:pPr>
        <w:pStyle w:val="FootnoteText"/>
        <w:rPr>
          <w:b/>
          <w:bCs/>
          <w:sz w:val="28"/>
          <w:szCs w:val="28"/>
          <w:rtl/>
        </w:rPr>
      </w:pPr>
      <w:proofErr w:type="spellStart"/>
      <w:r>
        <w:rPr>
          <w:rFonts w:hint="cs"/>
          <w:b/>
          <w:bCs/>
          <w:sz w:val="28"/>
          <w:szCs w:val="28"/>
          <w:rtl/>
        </w:rPr>
        <w:t>כש</w:t>
      </w:r>
      <w:r w:rsidR="00503E51">
        <w:rPr>
          <w:rFonts w:hint="cs"/>
          <w:b/>
          <w:bCs/>
          <w:sz w:val="28"/>
          <w:szCs w:val="28"/>
          <w:rtl/>
        </w:rPr>
        <w:t>'</w:t>
      </w:r>
      <w:r w:rsidR="00573209" w:rsidRPr="00573209">
        <w:rPr>
          <w:rFonts w:hint="cs"/>
          <w:b/>
          <w:bCs/>
          <w:sz w:val="28"/>
          <w:szCs w:val="28"/>
          <w:rtl/>
        </w:rPr>
        <w:t>טבע</w:t>
      </w:r>
      <w:proofErr w:type="spellEnd"/>
      <w:r w:rsidR="00503E51">
        <w:rPr>
          <w:rFonts w:hint="cs"/>
          <w:b/>
          <w:bCs/>
          <w:sz w:val="28"/>
          <w:szCs w:val="28"/>
          <w:rtl/>
        </w:rPr>
        <w:t>'</w:t>
      </w:r>
      <w:r w:rsidR="00573209" w:rsidRPr="00573209">
        <w:rPr>
          <w:rFonts w:hint="cs"/>
          <w:b/>
          <w:bCs/>
          <w:sz w:val="28"/>
          <w:szCs w:val="28"/>
          <w:rtl/>
        </w:rPr>
        <w:t xml:space="preserve"> הוגדר</w:t>
      </w:r>
      <w:r w:rsidR="00573209">
        <w:rPr>
          <w:rFonts w:hint="cs"/>
          <w:b/>
          <w:bCs/>
          <w:sz w:val="28"/>
          <w:szCs w:val="28"/>
          <w:rtl/>
        </w:rPr>
        <w:t xml:space="preserve"> </w:t>
      </w:r>
      <w:r w:rsidR="00494627">
        <w:rPr>
          <w:rFonts w:hint="cs"/>
          <w:b/>
          <w:bCs/>
          <w:sz w:val="28"/>
          <w:szCs w:val="28"/>
          <w:rtl/>
        </w:rPr>
        <w:t xml:space="preserve">כהתחלה הראשונה של תנועה </w:t>
      </w:r>
      <w:r w:rsidR="00241C38">
        <w:rPr>
          <w:rFonts w:hint="cs"/>
          <w:b/>
          <w:bCs/>
          <w:sz w:val="28"/>
          <w:szCs w:val="28"/>
          <w:rtl/>
        </w:rPr>
        <w:t>שתהיה בו</w:t>
      </w:r>
      <w:r w:rsidR="007C3DD6">
        <w:rPr>
          <w:rStyle w:val="FootnoteReference"/>
          <w:b/>
          <w:bCs/>
          <w:sz w:val="28"/>
          <w:szCs w:val="28"/>
          <w:rtl/>
        </w:rPr>
        <w:footnoteReference w:id="432"/>
      </w:r>
      <w:r w:rsidR="006A7CE3">
        <w:rPr>
          <w:rFonts w:hint="cs"/>
          <w:b/>
          <w:bCs/>
          <w:sz w:val="28"/>
          <w:szCs w:val="28"/>
          <w:rtl/>
        </w:rPr>
        <w:t>,</w:t>
      </w:r>
      <w:r w:rsidR="00241C38">
        <w:rPr>
          <w:rFonts w:hint="cs"/>
          <w:b/>
          <w:bCs/>
          <w:sz w:val="28"/>
          <w:szCs w:val="28"/>
          <w:rtl/>
        </w:rPr>
        <w:t xml:space="preserve"> </w:t>
      </w:r>
      <w:r w:rsidR="0033789B">
        <w:rPr>
          <w:rFonts w:hint="cs"/>
          <w:b/>
          <w:bCs/>
          <w:sz w:val="28"/>
          <w:szCs w:val="28"/>
          <w:rtl/>
        </w:rPr>
        <w:t>ו</w:t>
      </w:r>
      <w:r w:rsidR="006A7CE3">
        <w:rPr>
          <w:rFonts w:hint="cs"/>
          <w:b/>
          <w:bCs/>
          <w:sz w:val="28"/>
          <w:szCs w:val="28"/>
          <w:rtl/>
        </w:rPr>
        <w:t>מנוחה</w:t>
      </w:r>
      <w:r w:rsidR="00FD20F3">
        <w:rPr>
          <w:rStyle w:val="FootnoteReference"/>
          <w:b/>
          <w:bCs/>
          <w:sz w:val="28"/>
          <w:szCs w:val="28"/>
          <w:rtl/>
        </w:rPr>
        <w:footnoteReference w:id="433"/>
      </w:r>
      <w:r w:rsidR="006A7CE3">
        <w:rPr>
          <w:rFonts w:hint="cs"/>
          <w:b/>
          <w:bCs/>
          <w:sz w:val="28"/>
          <w:szCs w:val="28"/>
          <w:rtl/>
        </w:rPr>
        <w:t xml:space="preserve">, במהות </w:t>
      </w:r>
      <w:r w:rsidR="008A2D4B">
        <w:rPr>
          <w:rFonts w:hint="cs"/>
          <w:b/>
          <w:bCs/>
          <w:sz w:val="28"/>
          <w:szCs w:val="28"/>
          <w:rtl/>
        </w:rPr>
        <w:t>ו</w:t>
      </w:r>
      <w:r w:rsidR="006A7CE3">
        <w:rPr>
          <w:rFonts w:hint="cs"/>
          <w:b/>
          <w:bCs/>
          <w:sz w:val="28"/>
          <w:szCs w:val="28"/>
          <w:rtl/>
        </w:rPr>
        <w:t>לא במקרה,</w:t>
      </w:r>
      <w:r w:rsidR="00490498">
        <w:rPr>
          <w:rFonts w:hint="cs"/>
          <w:b/>
          <w:bCs/>
          <w:sz w:val="28"/>
          <w:szCs w:val="28"/>
          <w:rtl/>
        </w:rPr>
        <w:t xml:space="preserve"> </w:t>
      </w:r>
      <w:r w:rsidR="008A2D4B">
        <w:rPr>
          <w:rFonts w:hint="cs"/>
          <w:b/>
          <w:bCs/>
          <w:sz w:val="28"/>
          <w:szCs w:val="28"/>
          <w:rtl/>
        </w:rPr>
        <w:t>אין זה</w:t>
      </w:r>
      <w:r w:rsidR="00591145">
        <w:rPr>
          <w:rFonts w:hint="cs"/>
          <w:b/>
          <w:bCs/>
          <w:sz w:val="28"/>
          <w:szCs w:val="28"/>
          <w:rtl/>
        </w:rPr>
        <w:t xml:space="preserve"> </w:t>
      </w:r>
      <w:r w:rsidR="008D7E60">
        <w:rPr>
          <w:rFonts w:hint="cs"/>
          <w:b/>
          <w:bCs/>
          <w:sz w:val="28"/>
          <w:szCs w:val="28"/>
          <w:rtl/>
        </w:rPr>
        <w:t>הכרחי</w:t>
      </w:r>
      <w:r w:rsidR="00BF0DB7">
        <w:rPr>
          <w:rFonts w:hint="cs"/>
          <w:b/>
          <w:bCs/>
          <w:sz w:val="28"/>
          <w:szCs w:val="28"/>
          <w:rtl/>
        </w:rPr>
        <w:t xml:space="preserve"> </w:t>
      </w:r>
      <w:r w:rsidR="00750ADB">
        <w:rPr>
          <w:rFonts w:hint="cs"/>
          <w:b/>
          <w:bCs/>
          <w:sz w:val="28"/>
          <w:szCs w:val="28"/>
          <w:rtl/>
        </w:rPr>
        <w:t>ש</w:t>
      </w:r>
      <w:r>
        <w:rPr>
          <w:rFonts w:hint="cs"/>
          <w:b/>
          <w:bCs/>
          <w:sz w:val="28"/>
          <w:szCs w:val="28"/>
          <w:rtl/>
        </w:rPr>
        <w:t>כל דבר</w:t>
      </w:r>
      <w:r w:rsidR="009D2A0E">
        <w:rPr>
          <w:rFonts w:hint="cs"/>
          <w:b/>
          <w:bCs/>
          <w:sz w:val="28"/>
          <w:szCs w:val="28"/>
          <w:rtl/>
        </w:rPr>
        <w:t xml:space="preserve"> תהיה</w:t>
      </w:r>
      <w:r w:rsidR="001C3389">
        <w:rPr>
          <w:rFonts w:hint="cs"/>
          <w:b/>
          <w:bCs/>
          <w:sz w:val="28"/>
          <w:szCs w:val="28"/>
          <w:rtl/>
        </w:rPr>
        <w:t xml:space="preserve"> בו</w:t>
      </w:r>
      <w:r w:rsidR="009D2A0E">
        <w:rPr>
          <w:rFonts w:hint="cs"/>
          <w:b/>
          <w:bCs/>
          <w:sz w:val="28"/>
          <w:szCs w:val="28"/>
          <w:rtl/>
        </w:rPr>
        <w:t xml:space="preserve"> התחלה של תנועה ומנוחה</w:t>
      </w:r>
      <w:r w:rsidR="00864B20">
        <w:rPr>
          <w:rFonts w:hint="cs"/>
          <w:b/>
          <w:bCs/>
          <w:sz w:val="28"/>
          <w:szCs w:val="28"/>
          <w:rtl/>
        </w:rPr>
        <w:t xml:space="preserve"> ביחד, </w:t>
      </w:r>
      <w:r w:rsidR="00554DC6">
        <w:rPr>
          <w:rFonts w:hint="cs"/>
          <w:b/>
          <w:bCs/>
          <w:sz w:val="28"/>
          <w:szCs w:val="28"/>
          <w:rtl/>
        </w:rPr>
        <w:t xml:space="preserve">אלא </w:t>
      </w:r>
      <w:r w:rsidR="001B2239">
        <w:rPr>
          <w:rFonts w:hint="cs"/>
          <w:b/>
          <w:bCs/>
          <w:sz w:val="28"/>
          <w:szCs w:val="28"/>
          <w:rtl/>
        </w:rPr>
        <w:t xml:space="preserve">תהיה </w:t>
      </w:r>
      <w:r w:rsidR="00B7789B">
        <w:rPr>
          <w:rFonts w:hint="cs"/>
          <w:b/>
          <w:bCs/>
          <w:sz w:val="28"/>
          <w:szCs w:val="28"/>
          <w:rtl/>
        </w:rPr>
        <w:t xml:space="preserve">התחלה </w:t>
      </w:r>
      <w:r w:rsidR="001B2239">
        <w:rPr>
          <w:rFonts w:hint="cs"/>
          <w:b/>
          <w:bCs/>
          <w:sz w:val="28"/>
          <w:szCs w:val="28"/>
          <w:rtl/>
        </w:rPr>
        <w:t xml:space="preserve">לכל </w:t>
      </w:r>
      <w:r w:rsidR="00902616">
        <w:rPr>
          <w:rFonts w:hint="cs"/>
          <w:b/>
          <w:bCs/>
          <w:sz w:val="28"/>
          <w:szCs w:val="28"/>
          <w:rtl/>
        </w:rPr>
        <w:t>מה</w:t>
      </w:r>
      <w:r w:rsidR="00CC606D">
        <w:rPr>
          <w:rFonts w:hint="cs"/>
          <w:b/>
          <w:bCs/>
          <w:sz w:val="28"/>
          <w:szCs w:val="28"/>
          <w:rtl/>
        </w:rPr>
        <w:t xml:space="preserve"> ש</w:t>
      </w:r>
      <w:r w:rsidR="00B06721">
        <w:rPr>
          <w:rFonts w:hint="cs"/>
          <w:b/>
          <w:bCs/>
          <w:sz w:val="28"/>
          <w:szCs w:val="28"/>
          <w:rtl/>
        </w:rPr>
        <w:t>ב</w:t>
      </w:r>
      <w:r w:rsidR="00CC606D">
        <w:rPr>
          <w:rFonts w:hint="cs"/>
          <w:b/>
          <w:bCs/>
          <w:sz w:val="28"/>
          <w:szCs w:val="28"/>
          <w:rtl/>
        </w:rPr>
        <w:t xml:space="preserve">מהותו </w:t>
      </w:r>
      <w:r w:rsidR="00B06721">
        <w:rPr>
          <w:rFonts w:hint="cs"/>
          <w:b/>
          <w:bCs/>
          <w:sz w:val="28"/>
          <w:szCs w:val="28"/>
          <w:rtl/>
        </w:rPr>
        <w:t>י</w:t>
      </w:r>
      <w:r w:rsidR="00CC606D">
        <w:rPr>
          <w:rFonts w:hint="cs"/>
          <w:b/>
          <w:bCs/>
          <w:sz w:val="28"/>
          <w:szCs w:val="28"/>
          <w:rtl/>
        </w:rPr>
        <w:t>היה</w:t>
      </w:r>
      <w:r w:rsidR="00902616">
        <w:rPr>
          <w:rFonts w:hint="cs"/>
          <w:b/>
          <w:bCs/>
          <w:sz w:val="28"/>
          <w:szCs w:val="28"/>
          <w:rtl/>
        </w:rPr>
        <w:t xml:space="preserve"> דבר </w:t>
      </w:r>
      <w:r w:rsidR="00440C7A">
        <w:rPr>
          <w:rFonts w:hint="cs"/>
          <w:b/>
          <w:bCs/>
          <w:sz w:val="28"/>
          <w:szCs w:val="28"/>
          <w:rtl/>
        </w:rPr>
        <w:t>מה</w:t>
      </w:r>
      <w:r w:rsidR="00221C92">
        <w:rPr>
          <w:rFonts w:hint="cs"/>
          <w:b/>
          <w:bCs/>
          <w:sz w:val="28"/>
          <w:szCs w:val="28"/>
          <w:rtl/>
        </w:rPr>
        <w:t>מ</w:t>
      </w:r>
      <w:r w:rsidR="00440C7A">
        <w:rPr>
          <w:rFonts w:hint="cs"/>
          <w:b/>
          <w:bCs/>
          <w:sz w:val="28"/>
          <w:szCs w:val="28"/>
          <w:rtl/>
        </w:rPr>
        <w:t xml:space="preserve">תנועעים </w:t>
      </w:r>
      <w:r w:rsidR="00221C92">
        <w:rPr>
          <w:rFonts w:hint="cs"/>
          <w:b/>
          <w:bCs/>
          <w:sz w:val="28"/>
          <w:szCs w:val="28"/>
          <w:rtl/>
        </w:rPr>
        <w:t xml:space="preserve">אם הוא </w:t>
      </w:r>
      <w:r w:rsidR="00440C7A">
        <w:rPr>
          <w:rFonts w:hint="cs"/>
          <w:b/>
          <w:bCs/>
          <w:sz w:val="28"/>
          <w:szCs w:val="28"/>
          <w:rtl/>
        </w:rPr>
        <w:t>מתנועע ו</w:t>
      </w:r>
      <w:r w:rsidR="00DC0628">
        <w:rPr>
          <w:rFonts w:hint="cs"/>
          <w:b/>
          <w:bCs/>
          <w:sz w:val="28"/>
          <w:szCs w:val="28"/>
          <w:rtl/>
        </w:rPr>
        <w:t xml:space="preserve">מהנחים </w:t>
      </w:r>
      <w:r w:rsidR="00C206CB">
        <w:rPr>
          <w:rFonts w:hint="cs"/>
          <w:b/>
          <w:bCs/>
          <w:sz w:val="28"/>
          <w:szCs w:val="28"/>
          <w:rtl/>
        </w:rPr>
        <w:t xml:space="preserve">אם הוא </w:t>
      </w:r>
      <w:r w:rsidR="00DC0628">
        <w:rPr>
          <w:rFonts w:hint="cs"/>
          <w:b/>
          <w:bCs/>
          <w:sz w:val="28"/>
          <w:szCs w:val="28"/>
          <w:rtl/>
        </w:rPr>
        <w:t>נח</w:t>
      </w:r>
      <w:r w:rsidR="00771E4C">
        <w:rPr>
          <w:rStyle w:val="FootnoteReference"/>
          <w:b/>
          <w:bCs/>
          <w:sz w:val="28"/>
          <w:szCs w:val="28"/>
          <w:rtl/>
        </w:rPr>
        <w:footnoteReference w:id="434"/>
      </w:r>
      <w:r w:rsidR="00DC0628">
        <w:rPr>
          <w:rFonts w:hint="cs"/>
          <w:b/>
          <w:bCs/>
          <w:sz w:val="28"/>
          <w:szCs w:val="28"/>
          <w:rtl/>
        </w:rPr>
        <w:t>.</w:t>
      </w:r>
    </w:p>
    <w:p w14:paraId="5681B6C8" w14:textId="4E35FBF0" w:rsidR="00C40C71" w:rsidRDefault="00BC5E9E" w:rsidP="00F02C13">
      <w:pPr>
        <w:pStyle w:val="FootnoteText"/>
        <w:rPr>
          <w:b/>
          <w:bCs/>
          <w:sz w:val="28"/>
          <w:szCs w:val="28"/>
          <w:rtl/>
        </w:rPr>
      </w:pPr>
      <w:r>
        <w:rPr>
          <w:rFonts w:hint="cs"/>
          <w:b/>
          <w:bCs/>
          <w:sz w:val="28"/>
          <w:szCs w:val="28"/>
          <w:rtl/>
        </w:rPr>
        <w:t>לאחר מכן</w:t>
      </w:r>
      <w:r w:rsidR="00612BE9">
        <w:rPr>
          <w:rFonts w:hint="cs"/>
          <w:b/>
          <w:bCs/>
          <w:sz w:val="28"/>
          <w:szCs w:val="28"/>
          <w:rtl/>
        </w:rPr>
        <w:t xml:space="preserve"> הופיע </w:t>
      </w:r>
      <w:r w:rsidR="00FC006C">
        <w:rPr>
          <w:rFonts w:hint="cs"/>
          <w:b/>
          <w:bCs/>
          <w:sz w:val="28"/>
          <w:szCs w:val="28"/>
          <w:rtl/>
        </w:rPr>
        <w:t xml:space="preserve">מי </w:t>
      </w:r>
      <w:r w:rsidR="00EE3FED">
        <w:rPr>
          <w:rFonts w:hint="cs"/>
          <w:b/>
          <w:bCs/>
          <w:sz w:val="28"/>
          <w:szCs w:val="28"/>
          <w:rtl/>
        </w:rPr>
        <w:t>מהבאים</w:t>
      </w:r>
      <w:r w:rsidR="00CC05FC">
        <w:rPr>
          <w:rFonts w:hint="cs"/>
          <w:b/>
          <w:bCs/>
          <w:sz w:val="28"/>
          <w:szCs w:val="28"/>
          <w:rtl/>
        </w:rPr>
        <w:t xml:space="preserve"> מאוחר יותר,</w:t>
      </w:r>
      <w:r w:rsidR="00344B3A">
        <w:rPr>
          <w:rFonts w:hint="cs"/>
          <w:b/>
          <w:bCs/>
          <w:sz w:val="28"/>
          <w:szCs w:val="28"/>
          <w:rtl/>
        </w:rPr>
        <w:t xml:space="preserve"> </w:t>
      </w:r>
      <w:r w:rsidR="008318CB">
        <w:rPr>
          <w:rFonts w:hint="cs"/>
          <w:b/>
          <w:bCs/>
          <w:sz w:val="28"/>
          <w:szCs w:val="28"/>
          <w:rtl/>
        </w:rPr>
        <w:t xml:space="preserve">וחקר </w:t>
      </w:r>
      <w:r w:rsidR="00230564">
        <w:rPr>
          <w:rFonts w:hint="cs"/>
          <w:b/>
          <w:bCs/>
          <w:sz w:val="28"/>
          <w:szCs w:val="28"/>
          <w:rtl/>
        </w:rPr>
        <w:t>הגדרה</w:t>
      </w:r>
      <w:r w:rsidR="008318CB">
        <w:rPr>
          <w:rFonts w:hint="cs"/>
          <w:b/>
          <w:bCs/>
          <w:sz w:val="28"/>
          <w:szCs w:val="28"/>
          <w:rtl/>
        </w:rPr>
        <w:t xml:space="preserve"> זו</w:t>
      </w:r>
      <w:r w:rsidR="00230564">
        <w:rPr>
          <w:rStyle w:val="FootnoteReference"/>
          <w:b/>
          <w:bCs/>
          <w:sz w:val="28"/>
          <w:szCs w:val="28"/>
          <w:rtl/>
        </w:rPr>
        <w:footnoteReference w:id="435"/>
      </w:r>
      <w:r w:rsidR="008318CB">
        <w:rPr>
          <w:rFonts w:hint="cs"/>
          <w:b/>
          <w:bCs/>
          <w:sz w:val="28"/>
          <w:szCs w:val="28"/>
          <w:rtl/>
        </w:rPr>
        <w:t xml:space="preserve">, </w:t>
      </w:r>
      <w:r w:rsidR="00007547">
        <w:rPr>
          <w:rFonts w:hint="cs"/>
          <w:b/>
          <w:bCs/>
          <w:sz w:val="28"/>
          <w:szCs w:val="28"/>
          <w:rtl/>
        </w:rPr>
        <w:t>ודעת</w:t>
      </w:r>
      <w:r w:rsidR="00665814">
        <w:rPr>
          <w:rFonts w:hint="cs"/>
          <w:b/>
          <w:bCs/>
          <w:sz w:val="28"/>
          <w:szCs w:val="28"/>
          <w:rtl/>
        </w:rPr>
        <w:t>ו</w:t>
      </w:r>
      <w:r w:rsidR="00007547">
        <w:rPr>
          <w:rFonts w:hint="cs"/>
          <w:b/>
          <w:bCs/>
          <w:sz w:val="28"/>
          <w:szCs w:val="28"/>
          <w:rtl/>
        </w:rPr>
        <w:t xml:space="preserve"> להוסיף עליה תוספת, </w:t>
      </w:r>
      <w:r w:rsidR="00D65785">
        <w:rPr>
          <w:rFonts w:hint="cs"/>
          <w:b/>
          <w:bCs/>
          <w:sz w:val="28"/>
          <w:szCs w:val="28"/>
          <w:rtl/>
        </w:rPr>
        <w:t>ואמר</w:t>
      </w:r>
      <w:r w:rsidR="002C73EB">
        <w:rPr>
          <w:rFonts w:hint="cs"/>
          <w:b/>
          <w:bCs/>
          <w:sz w:val="28"/>
          <w:szCs w:val="28"/>
          <w:rtl/>
        </w:rPr>
        <w:t xml:space="preserve"> </w:t>
      </w:r>
      <w:r w:rsidR="0068648F">
        <w:rPr>
          <w:rFonts w:hint="cs"/>
          <w:b/>
          <w:bCs/>
          <w:sz w:val="28"/>
          <w:szCs w:val="28"/>
          <w:rtl/>
        </w:rPr>
        <w:t>ש</w:t>
      </w:r>
      <w:r w:rsidR="00066E67">
        <w:rPr>
          <w:rFonts w:hint="cs"/>
          <w:b/>
          <w:bCs/>
          <w:sz w:val="28"/>
          <w:szCs w:val="28"/>
          <w:rtl/>
        </w:rPr>
        <w:t>היא</w:t>
      </w:r>
      <w:r w:rsidR="0068648F">
        <w:rPr>
          <w:rFonts w:hint="cs"/>
          <w:b/>
          <w:bCs/>
          <w:sz w:val="28"/>
          <w:szCs w:val="28"/>
          <w:rtl/>
        </w:rPr>
        <w:t xml:space="preserve"> </w:t>
      </w:r>
      <w:r w:rsidR="000070D6">
        <w:rPr>
          <w:rFonts w:hint="cs"/>
          <w:b/>
          <w:bCs/>
          <w:sz w:val="28"/>
          <w:szCs w:val="28"/>
          <w:rtl/>
        </w:rPr>
        <w:t>רק</w:t>
      </w:r>
      <w:r w:rsidR="0068648F">
        <w:rPr>
          <w:rFonts w:hint="cs"/>
          <w:b/>
          <w:bCs/>
          <w:sz w:val="28"/>
          <w:szCs w:val="28"/>
          <w:rtl/>
        </w:rPr>
        <w:t xml:space="preserve"> </w:t>
      </w:r>
      <w:r w:rsidR="00066E67">
        <w:rPr>
          <w:rFonts w:hint="cs"/>
          <w:b/>
          <w:bCs/>
          <w:sz w:val="28"/>
          <w:szCs w:val="28"/>
          <w:rtl/>
        </w:rPr>
        <w:t>ת</w:t>
      </w:r>
      <w:r w:rsidR="002A7880">
        <w:rPr>
          <w:rFonts w:hint="cs"/>
          <w:b/>
          <w:bCs/>
          <w:sz w:val="28"/>
          <w:szCs w:val="28"/>
          <w:rtl/>
        </w:rPr>
        <w:t>עיד</w:t>
      </w:r>
      <w:r w:rsidR="00CC3D29">
        <w:rPr>
          <w:rFonts w:hint="cs"/>
          <w:b/>
          <w:bCs/>
          <w:sz w:val="28"/>
          <w:szCs w:val="28"/>
          <w:rtl/>
        </w:rPr>
        <w:t xml:space="preserve"> על פעולת הטבע </w:t>
      </w:r>
      <w:r w:rsidR="002F36D4">
        <w:rPr>
          <w:rFonts w:hint="cs"/>
          <w:b/>
          <w:bCs/>
          <w:sz w:val="28"/>
          <w:szCs w:val="28"/>
          <w:rtl/>
        </w:rPr>
        <w:t xml:space="preserve">- </w:t>
      </w:r>
      <w:r w:rsidR="00E50262">
        <w:rPr>
          <w:rFonts w:hint="cs"/>
          <w:b/>
          <w:bCs/>
          <w:sz w:val="28"/>
          <w:szCs w:val="28"/>
          <w:rtl/>
        </w:rPr>
        <w:t>לא על עצמי</w:t>
      </w:r>
      <w:r w:rsidR="00997A58">
        <w:rPr>
          <w:rFonts w:hint="cs"/>
          <w:b/>
          <w:bCs/>
          <w:sz w:val="28"/>
          <w:szCs w:val="28"/>
          <w:rtl/>
        </w:rPr>
        <w:t>ו</w:t>
      </w:r>
      <w:r w:rsidR="00E50262">
        <w:rPr>
          <w:rFonts w:hint="cs"/>
          <w:b/>
          <w:bCs/>
          <w:sz w:val="28"/>
          <w:szCs w:val="28"/>
          <w:rtl/>
        </w:rPr>
        <w:t xml:space="preserve">. </w:t>
      </w:r>
      <w:r w:rsidR="003A7A20">
        <w:rPr>
          <w:rFonts w:hint="cs"/>
          <w:b/>
          <w:bCs/>
          <w:sz w:val="28"/>
          <w:szCs w:val="28"/>
          <w:rtl/>
        </w:rPr>
        <w:t>אלא</w:t>
      </w:r>
      <w:r w:rsidR="00B57237">
        <w:rPr>
          <w:rFonts w:hint="cs"/>
          <w:b/>
          <w:bCs/>
          <w:sz w:val="28"/>
          <w:szCs w:val="28"/>
          <w:rtl/>
        </w:rPr>
        <w:t xml:space="preserve"> </w:t>
      </w:r>
      <w:r w:rsidR="00066E67">
        <w:rPr>
          <w:rFonts w:hint="cs"/>
          <w:b/>
          <w:bCs/>
          <w:sz w:val="28"/>
          <w:szCs w:val="28"/>
          <w:rtl/>
        </w:rPr>
        <w:t>ת</w:t>
      </w:r>
      <w:r w:rsidR="00077CBD">
        <w:rPr>
          <w:rFonts w:hint="cs"/>
          <w:b/>
          <w:bCs/>
          <w:sz w:val="28"/>
          <w:szCs w:val="28"/>
          <w:rtl/>
        </w:rPr>
        <w:t xml:space="preserve">עיד רק </w:t>
      </w:r>
      <w:r w:rsidR="00333016">
        <w:rPr>
          <w:rFonts w:hint="cs"/>
          <w:b/>
          <w:bCs/>
          <w:sz w:val="28"/>
          <w:szCs w:val="28"/>
          <w:rtl/>
        </w:rPr>
        <w:t xml:space="preserve">על יחסיו </w:t>
      </w:r>
      <w:r w:rsidR="00582FF3">
        <w:rPr>
          <w:rFonts w:hint="cs"/>
          <w:b/>
          <w:bCs/>
          <w:sz w:val="28"/>
          <w:szCs w:val="28"/>
          <w:rtl/>
        </w:rPr>
        <w:t>אל מה שנובע ממנו</w:t>
      </w:r>
      <w:r w:rsidR="00EB3F6A">
        <w:rPr>
          <w:rFonts w:hint="cs"/>
          <w:b/>
          <w:bCs/>
          <w:sz w:val="28"/>
          <w:szCs w:val="28"/>
          <w:rtl/>
        </w:rPr>
        <w:t>, ו</w:t>
      </w:r>
      <w:r w:rsidR="00066E67">
        <w:rPr>
          <w:rFonts w:hint="cs"/>
          <w:b/>
          <w:bCs/>
          <w:sz w:val="28"/>
          <w:szCs w:val="28"/>
          <w:rtl/>
        </w:rPr>
        <w:t>בהכרח</w:t>
      </w:r>
      <w:r w:rsidR="00EB3F6A">
        <w:rPr>
          <w:rFonts w:hint="cs"/>
          <w:b/>
          <w:bCs/>
          <w:sz w:val="28"/>
          <w:szCs w:val="28"/>
          <w:rtl/>
        </w:rPr>
        <w:t xml:space="preserve"> להוסיף על ה</w:t>
      </w:r>
      <w:r w:rsidR="00056BA7">
        <w:rPr>
          <w:rFonts w:hint="cs"/>
          <w:b/>
          <w:bCs/>
          <w:sz w:val="28"/>
          <w:szCs w:val="28"/>
          <w:rtl/>
        </w:rPr>
        <w:t>ה</w:t>
      </w:r>
      <w:r w:rsidR="00EB3F6A">
        <w:rPr>
          <w:rFonts w:hint="cs"/>
          <w:b/>
          <w:bCs/>
          <w:sz w:val="28"/>
          <w:szCs w:val="28"/>
          <w:rtl/>
        </w:rPr>
        <w:t>גדר</w:t>
      </w:r>
      <w:r w:rsidR="00056BA7">
        <w:rPr>
          <w:rFonts w:hint="cs"/>
          <w:b/>
          <w:bCs/>
          <w:sz w:val="28"/>
          <w:szCs w:val="28"/>
          <w:rtl/>
        </w:rPr>
        <w:t>ה</w:t>
      </w:r>
      <w:r w:rsidR="0073058B">
        <w:rPr>
          <w:rFonts w:hint="cs"/>
          <w:b/>
          <w:bCs/>
          <w:sz w:val="28"/>
          <w:szCs w:val="28"/>
          <w:rtl/>
        </w:rPr>
        <w:t>, ואמר</w:t>
      </w:r>
      <w:r w:rsidR="00056BA7">
        <w:rPr>
          <w:rFonts w:hint="cs"/>
          <w:b/>
          <w:bCs/>
          <w:sz w:val="28"/>
          <w:szCs w:val="28"/>
          <w:rtl/>
        </w:rPr>
        <w:t>:</w:t>
      </w:r>
      <w:r w:rsidR="0073058B">
        <w:rPr>
          <w:rFonts w:hint="cs"/>
          <w:b/>
          <w:bCs/>
          <w:sz w:val="28"/>
          <w:szCs w:val="28"/>
          <w:rtl/>
        </w:rPr>
        <w:t xml:space="preserve"> </w:t>
      </w:r>
      <w:r w:rsidR="00E53ACC">
        <w:rPr>
          <w:rFonts w:hint="cs"/>
          <w:b/>
          <w:bCs/>
          <w:sz w:val="28"/>
          <w:szCs w:val="28"/>
          <w:rtl/>
        </w:rPr>
        <w:t>'</w:t>
      </w:r>
      <w:r w:rsidR="0073058B">
        <w:rPr>
          <w:rFonts w:hint="cs"/>
          <w:b/>
          <w:bCs/>
          <w:sz w:val="28"/>
          <w:szCs w:val="28"/>
          <w:rtl/>
        </w:rPr>
        <w:t xml:space="preserve">הטבע </w:t>
      </w:r>
      <w:r w:rsidR="00A228E3">
        <w:rPr>
          <w:rFonts w:hint="cs"/>
          <w:b/>
          <w:bCs/>
          <w:sz w:val="28"/>
          <w:szCs w:val="28"/>
          <w:rtl/>
        </w:rPr>
        <w:t xml:space="preserve">הוא כח </w:t>
      </w:r>
      <w:r w:rsidR="002B31A3">
        <w:rPr>
          <w:rFonts w:hint="cs"/>
          <w:b/>
          <w:bCs/>
          <w:sz w:val="28"/>
          <w:szCs w:val="28"/>
          <w:rtl/>
        </w:rPr>
        <w:t>ש</w:t>
      </w:r>
      <w:r w:rsidR="000245E4">
        <w:rPr>
          <w:rFonts w:hint="cs"/>
          <w:b/>
          <w:bCs/>
          <w:sz w:val="28"/>
          <w:szCs w:val="28"/>
          <w:rtl/>
        </w:rPr>
        <w:t>מחלחל</w:t>
      </w:r>
      <w:r w:rsidR="00B75425">
        <w:rPr>
          <w:rStyle w:val="FootnoteReference"/>
          <w:b/>
          <w:bCs/>
          <w:sz w:val="28"/>
          <w:szCs w:val="28"/>
          <w:rtl/>
        </w:rPr>
        <w:footnoteReference w:id="436"/>
      </w:r>
      <w:r w:rsidR="00DA00BE">
        <w:rPr>
          <w:rFonts w:hint="cs"/>
          <w:b/>
          <w:bCs/>
          <w:sz w:val="28"/>
          <w:szCs w:val="28"/>
          <w:rtl/>
        </w:rPr>
        <w:t xml:space="preserve"> </w:t>
      </w:r>
      <w:r w:rsidR="00AB49A1">
        <w:rPr>
          <w:rFonts w:hint="cs"/>
          <w:b/>
          <w:bCs/>
          <w:sz w:val="28"/>
          <w:szCs w:val="28"/>
          <w:rtl/>
        </w:rPr>
        <w:t>ב</w:t>
      </w:r>
      <w:r w:rsidR="000245E4">
        <w:rPr>
          <w:rFonts w:hint="cs"/>
          <w:b/>
          <w:bCs/>
          <w:sz w:val="28"/>
          <w:szCs w:val="28"/>
          <w:rtl/>
        </w:rPr>
        <w:t>גופ</w:t>
      </w:r>
      <w:r w:rsidR="00DA00BE">
        <w:rPr>
          <w:rFonts w:hint="cs"/>
          <w:b/>
          <w:bCs/>
          <w:sz w:val="28"/>
          <w:szCs w:val="28"/>
          <w:rtl/>
        </w:rPr>
        <w:t xml:space="preserve">ים </w:t>
      </w:r>
      <w:r w:rsidR="00327A4A">
        <w:rPr>
          <w:rFonts w:hint="cs"/>
          <w:b/>
          <w:bCs/>
          <w:sz w:val="28"/>
          <w:szCs w:val="28"/>
          <w:rtl/>
        </w:rPr>
        <w:t>ו</w:t>
      </w:r>
      <w:r w:rsidR="00E369A5">
        <w:rPr>
          <w:rFonts w:hint="cs"/>
          <w:b/>
          <w:bCs/>
          <w:sz w:val="28"/>
          <w:szCs w:val="28"/>
          <w:rtl/>
        </w:rPr>
        <w:t>משפיע</w:t>
      </w:r>
      <w:r w:rsidR="00B71D1B">
        <w:rPr>
          <w:rFonts w:hint="cs"/>
          <w:b/>
          <w:bCs/>
          <w:sz w:val="28"/>
          <w:szCs w:val="28"/>
          <w:rtl/>
        </w:rPr>
        <w:t xml:space="preserve"> את הצורות ו</w:t>
      </w:r>
      <w:r w:rsidR="007215D3">
        <w:rPr>
          <w:rFonts w:hint="cs"/>
          <w:b/>
          <w:bCs/>
          <w:sz w:val="28"/>
          <w:szCs w:val="28"/>
          <w:rtl/>
        </w:rPr>
        <w:t>המזג</w:t>
      </w:r>
      <w:r w:rsidR="00263C16">
        <w:rPr>
          <w:rStyle w:val="FootnoteReference"/>
          <w:b/>
          <w:bCs/>
          <w:sz w:val="28"/>
          <w:szCs w:val="28"/>
          <w:rtl/>
        </w:rPr>
        <w:footnoteReference w:id="437"/>
      </w:r>
      <w:r w:rsidR="00E53ACC">
        <w:rPr>
          <w:rFonts w:hint="cs"/>
          <w:b/>
          <w:bCs/>
          <w:sz w:val="28"/>
          <w:szCs w:val="28"/>
          <w:rtl/>
        </w:rPr>
        <w:t>, שהוא התחלה</w:t>
      </w:r>
      <w:r w:rsidR="00B17797">
        <w:rPr>
          <w:rFonts w:hint="cs"/>
          <w:b/>
          <w:bCs/>
          <w:sz w:val="28"/>
          <w:szCs w:val="28"/>
          <w:rtl/>
        </w:rPr>
        <w:t xml:space="preserve"> ל...</w:t>
      </w:r>
      <w:r w:rsidR="00E53ACC">
        <w:rPr>
          <w:rFonts w:hint="cs"/>
          <w:b/>
          <w:bCs/>
          <w:sz w:val="28"/>
          <w:szCs w:val="28"/>
          <w:rtl/>
        </w:rPr>
        <w:t xml:space="preserve"> וכ</w:t>
      </w:r>
      <w:r w:rsidR="001F2365">
        <w:rPr>
          <w:rFonts w:hint="cs"/>
          <w:b/>
          <w:bCs/>
          <w:sz w:val="28"/>
          <w:szCs w:val="28"/>
          <w:rtl/>
        </w:rPr>
        <w:t>ו'</w:t>
      </w:r>
      <w:r w:rsidR="00B0675E">
        <w:rPr>
          <w:rStyle w:val="FootnoteReference"/>
          <w:b/>
          <w:bCs/>
          <w:sz w:val="28"/>
          <w:szCs w:val="28"/>
          <w:rtl/>
        </w:rPr>
        <w:footnoteReference w:id="438"/>
      </w:r>
      <w:r w:rsidR="00C40C71">
        <w:rPr>
          <w:rFonts w:hint="cs"/>
          <w:b/>
          <w:bCs/>
          <w:sz w:val="28"/>
          <w:szCs w:val="28"/>
          <w:rtl/>
        </w:rPr>
        <w:t>.</w:t>
      </w:r>
    </w:p>
    <w:p w14:paraId="1AC2EEAB" w14:textId="3789D839" w:rsidR="00BD6A10" w:rsidRDefault="00C40C71" w:rsidP="00AF63E4">
      <w:pPr>
        <w:pStyle w:val="FootnoteText"/>
        <w:rPr>
          <w:b/>
          <w:bCs/>
          <w:sz w:val="28"/>
          <w:szCs w:val="28"/>
          <w:rtl/>
        </w:rPr>
      </w:pPr>
      <w:r>
        <w:rPr>
          <w:rFonts w:hint="cs"/>
          <w:b/>
          <w:bCs/>
          <w:sz w:val="28"/>
          <w:szCs w:val="28"/>
          <w:rtl/>
        </w:rPr>
        <w:t xml:space="preserve">ונתחיל </w:t>
      </w:r>
      <w:r w:rsidR="003B7C9E">
        <w:rPr>
          <w:rFonts w:hint="cs"/>
          <w:b/>
          <w:bCs/>
          <w:sz w:val="28"/>
          <w:szCs w:val="28"/>
          <w:rtl/>
        </w:rPr>
        <w:t xml:space="preserve">בהבנת </w:t>
      </w:r>
      <w:r w:rsidR="000B07B6">
        <w:rPr>
          <w:rFonts w:hint="cs"/>
          <w:b/>
          <w:bCs/>
          <w:sz w:val="28"/>
          <w:szCs w:val="28"/>
          <w:rtl/>
        </w:rPr>
        <w:t>הדעה ה</w:t>
      </w:r>
      <w:r w:rsidR="00990C64">
        <w:rPr>
          <w:rFonts w:hint="cs"/>
          <w:b/>
          <w:bCs/>
          <w:sz w:val="28"/>
          <w:szCs w:val="28"/>
          <w:rtl/>
        </w:rPr>
        <w:t>נ</w:t>
      </w:r>
      <w:r w:rsidR="000B07B6">
        <w:rPr>
          <w:rFonts w:hint="cs"/>
          <w:b/>
          <w:bCs/>
          <w:sz w:val="28"/>
          <w:szCs w:val="28"/>
          <w:rtl/>
        </w:rPr>
        <w:t>לקח</w:t>
      </w:r>
      <w:r w:rsidR="00990C64">
        <w:rPr>
          <w:rFonts w:hint="cs"/>
          <w:b/>
          <w:bCs/>
          <w:sz w:val="28"/>
          <w:szCs w:val="28"/>
          <w:rtl/>
        </w:rPr>
        <w:t>ת</w:t>
      </w:r>
      <w:r w:rsidR="000B07B6">
        <w:rPr>
          <w:rFonts w:hint="cs"/>
          <w:b/>
          <w:bCs/>
          <w:sz w:val="28"/>
          <w:szCs w:val="28"/>
          <w:rtl/>
        </w:rPr>
        <w:t xml:space="preserve"> מהמורה הראשון</w:t>
      </w:r>
      <w:r w:rsidR="0052247C">
        <w:rPr>
          <w:rStyle w:val="FootnoteReference"/>
          <w:b/>
          <w:bCs/>
          <w:sz w:val="28"/>
          <w:szCs w:val="28"/>
          <w:rtl/>
        </w:rPr>
        <w:footnoteReference w:id="439"/>
      </w:r>
      <w:r w:rsidR="00D70D49">
        <w:rPr>
          <w:rFonts w:hint="cs"/>
          <w:b/>
          <w:bCs/>
          <w:sz w:val="28"/>
          <w:szCs w:val="28"/>
          <w:rtl/>
        </w:rPr>
        <w:t xml:space="preserve">, </w:t>
      </w:r>
      <w:r w:rsidR="00611C45">
        <w:rPr>
          <w:rFonts w:hint="cs"/>
          <w:b/>
          <w:bCs/>
          <w:sz w:val="28"/>
          <w:szCs w:val="28"/>
          <w:rtl/>
        </w:rPr>
        <w:t xml:space="preserve">ואחר כך נעסוק </w:t>
      </w:r>
      <w:r w:rsidR="00B639B0">
        <w:rPr>
          <w:rFonts w:hint="cs"/>
          <w:b/>
          <w:bCs/>
          <w:sz w:val="28"/>
          <w:szCs w:val="28"/>
          <w:rtl/>
        </w:rPr>
        <w:t xml:space="preserve">בשאלה האם התוספת הזו </w:t>
      </w:r>
      <w:r w:rsidR="004E2D89">
        <w:rPr>
          <w:rFonts w:hint="cs"/>
          <w:b/>
          <w:bCs/>
          <w:sz w:val="28"/>
          <w:szCs w:val="28"/>
          <w:rtl/>
        </w:rPr>
        <w:t>ראויה</w:t>
      </w:r>
      <w:r w:rsidR="001206AE">
        <w:rPr>
          <w:rFonts w:hint="cs"/>
          <w:b/>
          <w:bCs/>
          <w:sz w:val="28"/>
          <w:szCs w:val="28"/>
          <w:rtl/>
        </w:rPr>
        <w:t xml:space="preserve"> למאמץ, </w:t>
      </w:r>
      <w:r w:rsidR="002C7118">
        <w:rPr>
          <w:rFonts w:hint="cs"/>
          <w:b/>
          <w:bCs/>
          <w:sz w:val="28"/>
          <w:szCs w:val="28"/>
          <w:rtl/>
        </w:rPr>
        <w:t>ו</w:t>
      </w:r>
      <w:r w:rsidR="00741E72">
        <w:rPr>
          <w:rFonts w:hint="cs"/>
          <w:b/>
          <w:bCs/>
          <w:sz w:val="28"/>
          <w:szCs w:val="28"/>
          <w:rtl/>
        </w:rPr>
        <w:t xml:space="preserve">נבהיר </w:t>
      </w:r>
      <w:r w:rsidR="00F311F4">
        <w:rPr>
          <w:rFonts w:hint="cs"/>
          <w:b/>
          <w:bCs/>
          <w:sz w:val="28"/>
          <w:szCs w:val="28"/>
          <w:rtl/>
        </w:rPr>
        <w:t xml:space="preserve">שהיא </w:t>
      </w:r>
      <w:r w:rsidR="000E5649">
        <w:rPr>
          <w:rFonts w:hint="cs"/>
          <w:b/>
          <w:bCs/>
          <w:sz w:val="28"/>
          <w:szCs w:val="28"/>
          <w:rtl/>
        </w:rPr>
        <w:t>תגובה נפסדת</w:t>
      </w:r>
      <w:r w:rsidR="00456BE8">
        <w:rPr>
          <w:rFonts w:hint="cs"/>
          <w:b/>
          <w:bCs/>
          <w:sz w:val="28"/>
          <w:szCs w:val="28"/>
          <w:rtl/>
        </w:rPr>
        <w:t>, אי</w:t>
      </w:r>
      <w:r w:rsidR="00663A76">
        <w:rPr>
          <w:rFonts w:hint="cs"/>
          <w:b/>
          <w:bCs/>
          <w:sz w:val="28"/>
          <w:szCs w:val="28"/>
          <w:rtl/>
        </w:rPr>
        <w:t>ן</w:t>
      </w:r>
      <w:r w:rsidR="00456BE8">
        <w:rPr>
          <w:rFonts w:hint="cs"/>
          <w:b/>
          <w:bCs/>
          <w:sz w:val="28"/>
          <w:szCs w:val="28"/>
          <w:rtl/>
        </w:rPr>
        <w:t xml:space="preserve"> </w:t>
      </w:r>
      <w:r w:rsidR="00663A76">
        <w:rPr>
          <w:rFonts w:hint="cs"/>
          <w:b/>
          <w:bCs/>
          <w:sz w:val="28"/>
          <w:szCs w:val="28"/>
          <w:rtl/>
        </w:rPr>
        <w:t>צורך בה</w:t>
      </w:r>
      <w:r w:rsidR="0043323C">
        <w:rPr>
          <w:rFonts w:hint="cs"/>
          <w:b/>
          <w:bCs/>
          <w:sz w:val="28"/>
          <w:szCs w:val="28"/>
          <w:rtl/>
        </w:rPr>
        <w:t xml:space="preserve"> ובתיקון שהיא באה לתקן.</w:t>
      </w:r>
    </w:p>
    <w:p w14:paraId="7A6835E7" w14:textId="77777777" w:rsidR="00BD6A10" w:rsidRPr="00BD6A10" w:rsidRDefault="00BD6A10" w:rsidP="003266A1">
      <w:pPr>
        <w:pStyle w:val="Heading4"/>
        <w:rPr>
          <w:rtl/>
        </w:rPr>
      </w:pPr>
      <w:bookmarkStart w:id="217" w:name="_Toc119092657"/>
      <w:r w:rsidRPr="00BD6A10">
        <w:rPr>
          <w:rFonts w:hint="cs"/>
          <w:rtl/>
        </w:rPr>
        <w:t>1.5.6</w:t>
      </w:r>
      <w:bookmarkEnd w:id="217"/>
    </w:p>
    <w:p w14:paraId="7DF6D02F" w14:textId="2B694461" w:rsidR="00A64D88" w:rsidRDefault="006231CF" w:rsidP="006231CF">
      <w:pPr>
        <w:pStyle w:val="FootnoteText"/>
        <w:rPr>
          <w:b/>
          <w:bCs/>
          <w:sz w:val="28"/>
          <w:szCs w:val="28"/>
          <w:rtl/>
        </w:rPr>
      </w:pPr>
      <w:r>
        <w:rPr>
          <w:rFonts w:hint="cs"/>
          <w:b/>
          <w:bCs/>
          <w:sz w:val="28"/>
          <w:szCs w:val="28"/>
          <w:rtl/>
        </w:rPr>
        <w:t>ונאמר</w:t>
      </w:r>
      <w:r w:rsidR="00FD523A">
        <w:rPr>
          <w:rFonts w:hint="cs"/>
          <w:b/>
          <w:bCs/>
          <w:sz w:val="28"/>
          <w:szCs w:val="28"/>
          <w:rtl/>
        </w:rPr>
        <w:t>:</w:t>
      </w:r>
      <w:r>
        <w:rPr>
          <w:rFonts w:hint="cs"/>
          <w:b/>
          <w:bCs/>
          <w:sz w:val="28"/>
          <w:szCs w:val="28"/>
          <w:rtl/>
        </w:rPr>
        <w:t xml:space="preserve"> </w:t>
      </w:r>
      <w:r w:rsidR="00E40DFD">
        <w:rPr>
          <w:rFonts w:hint="cs"/>
          <w:b/>
          <w:bCs/>
          <w:sz w:val="28"/>
          <w:szCs w:val="28"/>
          <w:rtl/>
        </w:rPr>
        <w:t>המובן של</w:t>
      </w:r>
      <w:r w:rsidR="00E50DA8">
        <w:rPr>
          <w:rFonts w:hint="cs"/>
          <w:b/>
          <w:bCs/>
          <w:sz w:val="28"/>
          <w:szCs w:val="28"/>
          <w:rtl/>
        </w:rPr>
        <w:t xml:space="preserve"> 'התחלת תנועה</w:t>
      </w:r>
      <w:r w:rsidR="009B1821">
        <w:rPr>
          <w:b/>
          <w:bCs/>
          <w:sz w:val="28"/>
          <w:szCs w:val="28"/>
          <w:rtl/>
        </w:rPr>
        <w:fldChar w:fldCharType="begin"/>
      </w:r>
      <w:r w:rsidR="009B1821">
        <w:instrText xml:space="preserve"> XE "</w:instrText>
      </w:r>
      <w:r w:rsidR="009B1821" w:rsidRPr="00047BC9">
        <w:rPr>
          <w:rFonts w:hint="cs"/>
          <w:sz w:val="28"/>
          <w:szCs w:val="28"/>
          <w:rtl/>
        </w:rPr>
        <w:instrText>טבע - התחלת תנועה</w:instrText>
      </w:r>
      <w:r w:rsidR="009B1821">
        <w:instrText xml:space="preserve">" </w:instrText>
      </w:r>
      <w:r w:rsidR="009B1821">
        <w:rPr>
          <w:b/>
          <w:bCs/>
          <w:sz w:val="28"/>
          <w:szCs w:val="28"/>
          <w:rtl/>
        </w:rPr>
        <w:fldChar w:fldCharType="end"/>
      </w:r>
      <w:r w:rsidR="00E50DA8">
        <w:rPr>
          <w:rFonts w:hint="cs"/>
          <w:b/>
          <w:bCs/>
          <w:sz w:val="28"/>
          <w:szCs w:val="28"/>
          <w:rtl/>
        </w:rPr>
        <w:t>'</w:t>
      </w:r>
      <w:r w:rsidR="005E562A">
        <w:rPr>
          <w:rFonts w:hint="cs"/>
          <w:b/>
          <w:bCs/>
          <w:sz w:val="28"/>
          <w:szCs w:val="28"/>
          <w:rtl/>
        </w:rPr>
        <w:t xml:space="preserve">, הוא איזו סיבה פועלת </w:t>
      </w:r>
      <w:r w:rsidR="00502134">
        <w:rPr>
          <w:rFonts w:hint="cs"/>
          <w:b/>
          <w:bCs/>
          <w:sz w:val="28"/>
          <w:szCs w:val="28"/>
          <w:rtl/>
        </w:rPr>
        <w:t>ש</w:t>
      </w:r>
      <w:r w:rsidR="00C332EF">
        <w:rPr>
          <w:rFonts w:hint="cs"/>
          <w:b/>
          <w:bCs/>
          <w:sz w:val="28"/>
          <w:szCs w:val="28"/>
          <w:rtl/>
        </w:rPr>
        <w:t>נובעת</w:t>
      </w:r>
      <w:r w:rsidR="00FC796C">
        <w:rPr>
          <w:rFonts w:hint="cs"/>
          <w:b/>
          <w:bCs/>
          <w:sz w:val="28"/>
          <w:szCs w:val="28"/>
          <w:rtl/>
        </w:rPr>
        <w:t xml:space="preserve"> ממנה </w:t>
      </w:r>
      <w:r w:rsidR="00D71A7B">
        <w:rPr>
          <w:rFonts w:hint="cs"/>
          <w:b/>
          <w:bCs/>
          <w:sz w:val="28"/>
          <w:szCs w:val="28"/>
          <w:rtl/>
        </w:rPr>
        <w:t>התנועעות</w:t>
      </w:r>
      <w:r w:rsidR="001E4A80">
        <w:rPr>
          <w:rFonts w:hint="cs"/>
          <w:b/>
          <w:bCs/>
          <w:sz w:val="28"/>
          <w:szCs w:val="28"/>
          <w:rtl/>
        </w:rPr>
        <w:t xml:space="preserve"> ב</w:t>
      </w:r>
      <w:r w:rsidR="00502134">
        <w:rPr>
          <w:rFonts w:hint="cs"/>
          <w:b/>
          <w:bCs/>
          <w:sz w:val="28"/>
          <w:szCs w:val="28"/>
          <w:rtl/>
        </w:rPr>
        <w:t xml:space="preserve">משהו </w:t>
      </w:r>
      <w:r w:rsidR="00295443">
        <w:rPr>
          <w:rFonts w:hint="cs"/>
          <w:b/>
          <w:bCs/>
          <w:sz w:val="28"/>
          <w:szCs w:val="28"/>
          <w:rtl/>
        </w:rPr>
        <w:t>שונה</w:t>
      </w:r>
      <w:r w:rsidR="00502134">
        <w:rPr>
          <w:rFonts w:hint="cs"/>
          <w:b/>
          <w:bCs/>
          <w:sz w:val="28"/>
          <w:szCs w:val="28"/>
          <w:rtl/>
        </w:rPr>
        <w:t xml:space="preserve"> ממנה, </w:t>
      </w:r>
      <w:r w:rsidR="00743808">
        <w:rPr>
          <w:rFonts w:hint="cs"/>
          <w:b/>
          <w:bCs/>
          <w:sz w:val="28"/>
          <w:szCs w:val="28"/>
          <w:rtl/>
        </w:rPr>
        <w:t xml:space="preserve">והוא הגשם </w:t>
      </w:r>
      <w:bookmarkStart w:id="218" w:name="_Hlk101803644"/>
      <w:r w:rsidR="003562A8">
        <w:rPr>
          <w:rFonts w:hint="cs"/>
          <w:b/>
          <w:bCs/>
          <w:sz w:val="28"/>
          <w:szCs w:val="28"/>
          <w:rtl/>
        </w:rPr>
        <w:t>ה</w:t>
      </w:r>
      <w:r w:rsidR="003562A8" w:rsidRPr="003562A8">
        <w:rPr>
          <w:b/>
          <w:bCs/>
          <w:sz w:val="28"/>
          <w:szCs w:val="28"/>
          <w:rtl/>
        </w:rPr>
        <w:t>מּוּנָע</w:t>
      </w:r>
      <w:bookmarkEnd w:id="218"/>
      <w:r w:rsidR="00743808">
        <w:rPr>
          <w:rFonts w:hint="cs"/>
          <w:b/>
          <w:bCs/>
          <w:sz w:val="28"/>
          <w:szCs w:val="28"/>
          <w:rtl/>
        </w:rPr>
        <w:t>.</w:t>
      </w:r>
      <w:r w:rsidR="00600734">
        <w:rPr>
          <w:rFonts w:hint="cs"/>
          <w:b/>
          <w:bCs/>
          <w:sz w:val="28"/>
          <w:szCs w:val="28"/>
          <w:rtl/>
        </w:rPr>
        <w:t xml:space="preserve"> </w:t>
      </w:r>
      <w:r w:rsidR="00B0504E">
        <w:rPr>
          <w:rFonts w:hint="cs"/>
          <w:b/>
          <w:bCs/>
          <w:sz w:val="28"/>
          <w:szCs w:val="28"/>
          <w:rtl/>
        </w:rPr>
        <w:t>והמובן של 'ראשו</w:t>
      </w:r>
      <w:r w:rsidR="000645BA">
        <w:rPr>
          <w:rFonts w:hint="cs"/>
          <w:b/>
          <w:bCs/>
          <w:sz w:val="28"/>
          <w:szCs w:val="28"/>
          <w:rtl/>
        </w:rPr>
        <w:t>ני</w:t>
      </w:r>
      <w:r w:rsidR="00B0504E">
        <w:rPr>
          <w:rFonts w:hint="cs"/>
          <w:b/>
          <w:bCs/>
          <w:sz w:val="28"/>
          <w:szCs w:val="28"/>
          <w:rtl/>
        </w:rPr>
        <w:t xml:space="preserve">' </w:t>
      </w:r>
      <w:r w:rsidR="00B67D67">
        <w:rPr>
          <w:rFonts w:hint="cs"/>
          <w:b/>
          <w:bCs/>
          <w:sz w:val="28"/>
          <w:szCs w:val="28"/>
          <w:rtl/>
        </w:rPr>
        <w:t>הוא איזו קרבה</w:t>
      </w:r>
      <w:r w:rsidR="00975924">
        <w:rPr>
          <w:rFonts w:hint="cs"/>
          <w:b/>
          <w:bCs/>
          <w:sz w:val="28"/>
          <w:szCs w:val="28"/>
          <w:rtl/>
        </w:rPr>
        <w:t>,</w:t>
      </w:r>
      <w:r w:rsidR="00B67D67">
        <w:rPr>
          <w:rFonts w:hint="cs"/>
          <w:b/>
          <w:bCs/>
          <w:sz w:val="28"/>
          <w:szCs w:val="28"/>
          <w:rtl/>
        </w:rPr>
        <w:t xml:space="preserve"> </w:t>
      </w:r>
      <w:r w:rsidR="00C9173B">
        <w:rPr>
          <w:rFonts w:hint="cs"/>
          <w:b/>
          <w:bCs/>
          <w:sz w:val="28"/>
          <w:szCs w:val="28"/>
          <w:rtl/>
        </w:rPr>
        <w:t>שאין</w:t>
      </w:r>
      <w:r w:rsidR="006E399E">
        <w:rPr>
          <w:rFonts w:hint="cs"/>
          <w:b/>
          <w:bCs/>
          <w:sz w:val="28"/>
          <w:szCs w:val="28"/>
          <w:rtl/>
        </w:rPr>
        <w:t xml:space="preserve"> אמצעי </w:t>
      </w:r>
      <w:r w:rsidR="00724414">
        <w:rPr>
          <w:rFonts w:hint="cs"/>
          <w:b/>
          <w:bCs/>
          <w:sz w:val="28"/>
          <w:szCs w:val="28"/>
          <w:rtl/>
        </w:rPr>
        <w:t xml:space="preserve">בינה ובין </w:t>
      </w:r>
      <w:r w:rsidR="00724414" w:rsidRPr="00724414">
        <w:rPr>
          <w:b/>
          <w:bCs/>
          <w:sz w:val="28"/>
          <w:szCs w:val="28"/>
          <w:rtl/>
        </w:rPr>
        <w:t>המּוּנָע</w:t>
      </w:r>
      <w:r w:rsidR="00917D63">
        <w:rPr>
          <w:rStyle w:val="FootnoteReference"/>
          <w:b/>
          <w:bCs/>
          <w:sz w:val="28"/>
          <w:szCs w:val="28"/>
          <w:rtl/>
        </w:rPr>
        <w:footnoteReference w:id="440"/>
      </w:r>
      <w:r w:rsidR="00724414">
        <w:rPr>
          <w:rFonts w:hint="cs"/>
          <w:b/>
          <w:bCs/>
          <w:sz w:val="28"/>
          <w:szCs w:val="28"/>
          <w:rtl/>
        </w:rPr>
        <w:t xml:space="preserve">. </w:t>
      </w:r>
    </w:p>
    <w:p w14:paraId="01F1F255" w14:textId="77777777" w:rsidR="00A856CE" w:rsidRDefault="00A64D88" w:rsidP="006231CF">
      <w:pPr>
        <w:pStyle w:val="FootnoteText"/>
        <w:rPr>
          <w:b/>
          <w:bCs/>
          <w:sz w:val="28"/>
          <w:szCs w:val="28"/>
        </w:rPr>
      </w:pPr>
      <w:r>
        <w:rPr>
          <w:rFonts w:hint="cs"/>
          <w:b/>
          <w:bCs/>
          <w:sz w:val="28"/>
          <w:szCs w:val="28"/>
          <w:rtl/>
        </w:rPr>
        <w:t xml:space="preserve">כך שאפשר שהנפש </w:t>
      </w:r>
      <w:r w:rsidR="008533DF">
        <w:rPr>
          <w:rFonts w:hint="cs"/>
          <w:b/>
          <w:bCs/>
          <w:sz w:val="28"/>
          <w:szCs w:val="28"/>
          <w:rtl/>
        </w:rPr>
        <w:t xml:space="preserve">תהיה </w:t>
      </w:r>
      <w:r w:rsidR="00CF22BA">
        <w:rPr>
          <w:rFonts w:hint="cs"/>
          <w:b/>
          <w:bCs/>
          <w:sz w:val="28"/>
          <w:szCs w:val="28"/>
          <w:rtl/>
        </w:rPr>
        <w:t xml:space="preserve">התחלה </w:t>
      </w:r>
      <w:proofErr w:type="spellStart"/>
      <w:r w:rsidR="00CF22BA">
        <w:rPr>
          <w:rFonts w:hint="cs"/>
          <w:b/>
          <w:bCs/>
          <w:sz w:val="28"/>
          <w:szCs w:val="28"/>
          <w:rtl/>
        </w:rPr>
        <w:t>למקצת</w:t>
      </w:r>
      <w:proofErr w:type="spellEnd"/>
      <w:r w:rsidR="00CF22BA">
        <w:rPr>
          <w:rFonts w:hint="cs"/>
          <w:b/>
          <w:bCs/>
          <w:sz w:val="28"/>
          <w:szCs w:val="28"/>
          <w:rtl/>
        </w:rPr>
        <w:t xml:space="preserve"> מתנועות </w:t>
      </w:r>
      <w:r w:rsidR="00727D86">
        <w:rPr>
          <w:rFonts w:hint="cs"/>
          <w:b/>
          <w:bCs/>
          <w:sz w:val="28"/>
          <w:szCs w:val="28"/>
          <w:rtl/>
        </w:rPr>
        <w:t xml:space="preserve">הגופים </w:t>
      </w:r>
      <w:r w:rsidR="005440C0">
        <w:rPr>
          <w:rFonts w:hint="cs"/>
          <w:b/>
          <w:bCs/>
          <w:sz w:val="28"/>
          <w:szCs w:val="28"/>
          <w:rtl/>
        </w:rPr>
        <w:t>שהיא בהם</w:t>
      </w:r>
      <w:r w:rsidR="00475132">
        <w:rPr>
          <w:rFonts w:hint="cs"/>
          <w:b/>
          <w:bCs/>
          <w:sz w:val="28"/>
          <w:szCs w:val="28"/>
          <w:rtl/>
        </w:rPr>
        <w:t xml:space="preserve">, אבל על ידי אמצעי. </w:t>
      </w:r>
    </w:p>
    <w:p w14:paraId="018DEF60" w14:textId="7FF7AE3A" w:rsidR="002F638A" w:rsidRDefault="00D71DFE" w:rsidP="006231CF">
      <w:pPr>
        <w:pStyle w:val="FootnoteText"/>
        <w:rPr>
          <w:b/>
          <w:bCs/>
          <w:sz w:val="28"/>
          <w:szCs w:val="28"/>
          <w:rtl/>
        </w:rPr>
      </w:pPr>
      <w:r>
        <w:rPr>
          <w:rFonts w:hint="cs"/>
          <w:b/>
          <w:bCs/>
          <w:sz w:val="28"/>
          <w:szCs w:val="28"/>
          <w:rtl/>
        </w:rPr>
        <w:t>יש</w:t>
      </w:r>
      <w:r w:rsidR="007E6CA2">
        <w:rPr>
          <w:rFonts w:hint="cs"/>
          <w:b/>
          <w:bCs/>
          <w:sz w:val="28"/>
          <w:szCs w:val="28"/>
          <w:rtl/>
        </w:rPr>
        <w:t xml:space="preserve"> אנשים</w:t>
      </w:r>
      <w:r w:rsidR="000412D6">
        <w:rPr>
          <w:rStyle w:val="FootnoteReference"/>
          <w:b/>
          <w:bCs/>
          <w:sz w:val="28"/>
          <w:szCs w:val="28"/>
          <w:rtl/>
        </w:rPr>
        <w:footnoteReference w:id="441"/>
      </w:r>
      <w:r w:rsidR="007E6CA2">
        <w:rPr>
          <w:rFonts w:hint="cs"/>
          <w:b/>
          <w:bCs/>
          <w:sz w:val="28"/>
          <w:szCs w:val="28"/>
          <w:rtl/>
        </w:rPr>
        <w:t xml:space="preserve"> </w:t>
      </w:r>
      <w:r>
        <w:rPr>
          <w:rFonts w:hint="cs"/>
          <w:b/>
          <w:bCs/>
          <w:sz w:val="28"/>
          <w:szCs w:val="28"/>
          <w:rtl/>
        </w:rPr>
        <w:t xml:space="preserve">שדעתם </w:t>
      </w:r>
      <w:r w:rsidR="008A57F2">
        <w:rPr>
          <w:rFonts w:hint="cs"/>
          <w:b/>
          <w:bCs/>
          <w:sz w:val="28"/>
          <w:szCs w:val="28"/>
          <w:rtl/>
        </w:rPr>
        <w:t xml:space="preserve">שהנפש תפעל תנועה </w:t>
      </w:r>
      <w:r w:rsidR="0052198D">
        <w:rPr>
          <w:rFonts w:hint="cs"/>
          <w:b/>
          <w:bCs/>
          <w:sz w:val="28"/>
          <w:szCs w:val="28"/>
          <w:rtl/>
        </w:rPr>
        <w:t xml:space="preserve">באמצעות </w:t>
      </w:r>
      <w:r w:rsidR="002E07B1">
        <w:rPr>
          <w:rFonts w:hint="cs"/>
          <w:b/>
          <w:bCs/>
          <w:sz w:val="28"/>
          <w:szCs w:val="28"/>
          <w:rtl/>
        </w:rPr>
        <w:t xml:space="preserve">התיווך של הטבע, </w:t>
      </w:r>
      <w:r w:rsidR="00DB077A">
        <w:rPr>
          <w:rFonts w:hint="cs"/>
          <w:b/>
          <w:bCs/>
          <w:sz w:val="28"/>
          <w:szCs w:val="28"/>
          <w:rtl/>
        </w:rPr>
        <w:t>ואינ</w:t>
      </w:r>
      <w:r w:rsidR="0067227C">
        <w:rPr>
          <w:rFonts w:hint="cs"/>
          <w:b/>
          <w:bCs/>
          <w:sz w:val="28"/>
          <w:szCs w:val="28"/>
          <w:rtl/>
        </w:rPr>
        <w:t>י</w:t>
      </w:r>
      <w:r w:rsidR="00DB077A">
        <w:rPr>
          <w:rFonts w:hint="cs"/>
          <w:b/>
          <w:bCs/>
          <w:sz w:val="28"/>
          <w:szCs w:val="28"/>
          <w:rtl/>
        </w:rPr>
        <w:t xml:space="preserve"> רוא</w:t>
      </w:r>
      <w:r w:rsidR="0067227C">
        <w:rPr>
          <w:rFonts w:hint="cs"/>
          <w:b/>
          <w:bCs/>
          <w:sz w:val="28"/>
          <w:szCs w:val="28"/>
          <w:rtl/>
        </w:rPr>
        <w:t>ה</w:t>
      </w:r>
      <w:r w:rsidR="00DB077A">
        <w:rPr>
          <w:rFonts w:hint="cs"/>
          <w:b/>
          <w:bCs/>
          <w:sz w:val="28"/>
          <w:szCs w:val="28"/>
          <w:rtl/>
        </w:rPr>
        <w:t xml:space="preserve"> </w:t>
      </w:r>
      <w:r w:rsidR="00BA2B15">
        <w:rPr>
          <w:rFonts w:hint="cs"/>
          <w:b/>
          <w:bCs/>
          <w:sz w:val="28"/>
          <w:szCs w:val="28"/>
          <w:rtl/>
        </w:rPr>
        <w:t xml:space="preserve">שהטבע </w:t>
      </w:r>
      <w:r w:rsidR="000169AA">
        <w:rPr>
          <w:rFonts w:hint="cs"/>
          <w:b/>
          <w:bCs/>
          <w:sz w:val="28"/>
          <w:szCs w:val="28"/>
          <w:rtl/>
        </w:rPr>
        <w:t>יציית לנפש ו</w:t>
      </w:r>
      <w:r w:rsidR="00300787">
        <w:rPr>
          <w:rFonts w:hint="cs"/>
          <w:b/>
          <w:bCs/>
          <w:sz w:val="28"/>
          <w:szCs w:val="28"/>
          <w:rtl/>
        </w:rPr>
        <w:t xml:space="preserve">ישתנה </w:t>
      </w:r>
      <w:r w:rsidR="004244ED">
        <w:rPr>
          <w:rFonts w:hint="cs"/>
          <w:b/>
          <w:bCs/>
          <w:sz w:val="28"/>
          <w:szCs w:val="28"/>
          <w:rtl/>
        </w:rPr>
        <w:t xml:space="preserve">להיות המניע של האיברים </w:t>
      </w:r>
      <w:r w:rsidR="000A46FB">
        <w:rPr>
          <w:rFonts w:hint="cs"/>
          <w:b/>
          <w:bCs/>
          <w:sz w:val="28"/>
          <w:szCs w:val="28"/>
          <w:rtl/>
        </w:rPr>
        <w:t xml:space="preserve">במקום מה </w:t>
      </w:r>
      <w:r w:rsidR="007A419C">
        <w:rPr>
          <w:rFonts w:hint="cs"/>
          <w:b/>
          <w:bCs/>
          <w:sz w:val="28"/>
          <w:szCs w:val="28"/>
          <w:rtl/>
        </w:rPr>
        <w:t xml:space="preserve">שמתחייב </w:t>
      </w:r>
      <w:r w:rsidR="007B1C3F">
        <w:rPr>
          <w:rFonts w:hint="cs"/>
          <w:b/>
          <w:bCs/>
          <w:sz w:val="28"/>
          <w:szCs w:val="28"/>
          <w:rtl/>
        </w:rPr>
        <w:t>ממהותו</w:t>
      </w:r>
      <w:r w:rsidR="00CA06E3">
        <w:rPr>
          <w:rFonts w:hint="cs"/>
          <w:b/>
          <w:bCs/>
          <w:sz w:val="28"/>
          <w:szCs w:val="28"/>
          <w:rtl/>
        </w:rPr>
        <w:t xml:space="preserve">. </w:t>
      </w:r>
      <w:r w:rsidR="00AE4846">
        <w:rPr>
          <w:rFonts w:hint="cs"/>
          <w:b/>
          <w:bCs/>
          <w:sz w:val="28"/>
          <w:szCs w:val="28"/>
          <w:rtl/>
        </w:rPr>
        <w:t>ואם היה</w:t>
      </w:r>
      <w:r w:rsidR="00E93BA9">
        <w:rPr>
          <w:rFonts w:hint="cs"/>
          <w:b/>
          <w:bCs/>
          <w:sz w:val="28"/>
          <w:szCs w:val="28"/>
          <w:rtl/>
        </w:rPr>
        <w:t xml:space="preserve"> הטבע</w:t>
      </w:r>
      <w:r w:rsidR="00AE4846">
        <w:rPr>
          <w:rFonts w:hint="cs"/>
          <w:b/>
          <w:bCs/>
          <w:sz w:val="28"/>
          <w:szCs w:val="28"/>
          <w:rtl/>
        </w:rPr>
        <w:t xml:space="preserve"> משתנה</w:t>
      </w:r>
      <w:r w:rsidR="00E93BA9">
        <w:rPr>
          <w:rFonts w:hint="cs"/>
          <w:b/>
          <w:bCs/>
          <w:sz w:val="28"/>
          <w:szCs w:val="28"/>
          <w:rtl/>
        </w:rPr>
        <w:t xml:space="preserve"> כך, </w:t>
      </w:r>
      <w:r w:rsidR="00392281">
        <w:rPr>
          <w:rFonts w:hint="cs"/>
          <w:b/>
          <w:bCs/>
          <w:sz w:val="28"/>
          <w:szCs w:val="28"/>
          <w:rtl/>
        </w:rPr>
        <w:t>לא הי</w:t>
      </w:r>
      <w:r w:rsidR="00D47A42">
        <w:rPr>
          <w:rFonts w:hint="cs"/>
          <w:b/>
          <w:bCs/>
          <w:sz w:val="28"/>
          <w:szCs w:val="28"/>
          <w:rtl/>
        </w:rPr>
        <w:t>י</w:t>
      </w:r>
      <w:r w:rsidR="00B5352B">
        <w:rPr>
          <w:rFonts w:hint="cs"/>
          <w:b/>
          <w:bCs/>
          <w:sz w:val="28"/>
          <w:szCs w:val="28"/>
          <w:rtl/>
        </w:rPr>
        <w:t>ת</w:t>
      </w:r>
      <w:r w:rsidR="00392281">
        <w:rPr>
          <w:rFonts w:hint="cs"/>
          <w:b/>
          <w:bCs/>
          <w:sz w:val="28"/>
          <w:szCs w:val="28"/>
          <w:rtl/>
        </w:rPr>
        <w:t xml:space="preserve">ה </w:t>
      </w:r>
      <w:r w:rsidR="0039562C" w:rsidRPr="0039562C">
        <w:rPr>
          <w:b/>
          <w:bCs/>
          <w:sz w:val="28"/>
          <w:szCs w:val="28"/>
          <w:rtl/>
        </w:rPr>
        <w:t>לֵאוּת</w:t>
      </w:r>
      <w:r w:rsidR="00392281">
        <w:rPr>
          <w:rFonts w:hint="cs"/>
          <w:b/>
          <w:bCs/>
          <w:sz w:val="28"/>
          <w:szCs w:val="28"/>
          <w:rtl/>
        </w:rPr>
        <w:t xml:space="preserve"> </w:t>
      </w:r>
      <w:r w:rsidR="00433D00">
        <w:rPr>
          <w:rFonts w:hint="cs"/>
          <w:b/>
          <w:bCs/>
          <w:sz w:val="28"/>
          <w:szCs w:val="28"/>
          <w:rtl/>
        </w:rPr>
        <w:t xml:space="preserve">לנפש </w:t>
      </w:r>
      <w:r w:rsidR="00350509">
        <w:rPr>
          <w:rFonts w:hint="cs"/>
          <w:b/>
          <w:bCs/>
          <w:sz w:val="28"/>
          <w:szCs w:val="28"/>
          <w:rtl/>
        </w:rPr>
        <w:t xml:space="preserve">בדברים שאינם </w:t>
      </w:r>
      <w:r w:rsidR="00497B76">
        <w:rPr>
          <w:rFonts w:hint="cs"/>
          <w:b/>
          <w:bCs/>
          <w:sz w:val="28"/>
          <w:szCs w:val="28"/>
          <w:rtl/>
        </w:rPr>
        <w:t>לפיה</w:t>
      </w:r>
      <w:r w:rsidR="00AD73F8">
        <w:rPr>
          <w:rFonts w:hint="cs"/>
          <w:b/>
          <w:bCs/>
          <w:sz w:val="28"/>
          <w:szCs w:val="28"/>
          <w:rtl/>
        </w:rPr>
        <w:t xml:space="preserve">, </w:t>
      </w:r>
      <w:r w:rsidR="00B144B0">
        <w:rPr>
          <w:rFonts w:hint="cs"/>
          <w:b/>
          <w:bCs/>
          <w:sz w:val="28"/>
          <w:szCs w:val="28"/>
          <w:rtl/>
        </w:rPr>
        <w:t xml:space="preserve">ולא </w:t>
      </w:r>
      <w:r w:rsidR="007B283D">
        <w:rPr>
          <w:rFonts w:hint="cs"/>
          <w:b/>
          <w:bCs/>
          <w:sz w:val="28"/>
          <w:szCs w:val="28"/>
          <w:rtl/>
        </w:rPr>
        <w:t xml:space="preserve">הייתה תחרות </w:t>
      </w:r>
      <w:r w:rsidR="00D22748">
        <w:rPr>
          <w:rFonts w:hint="cs"/>
          <w:b/>
          <w:bCs/>
          <w:sz w:val="28"/>
          <w:szCs w:val="28"/>
          <w:rtl/>
        </w:rPr>
        <w:t xml:space="preserve">בין מה שלפי הנפש ובין מה שלפי הטבע. </w:t>
      </w:r>
    </w:p>
    <w:p w14:paraId="1C99C705" w14:textId="41267401" w:rsidR="00EF294E" w:rsidRDefault="002F638A" w:rsidP="002E42C0">
      <w:pPr>
        <w:pStyle w:val="FootnoteText"/>
        <w:rPr>
          <w:b/>
          <w:bCs/>
          <w:sz w:val="28"/>
          <w:szCs w:val="28"/>
          <w:rtl/>
        </w:rPr>
      </w:pPr>
      <w:r w:rsidRPr="0350C9B4">
        <w:rPr>
          <w:b/>
          <w:bCs/>
          <w:sz w:val="28"/>
          <w:szCs w:val="28"/>
          <w:rtl/>
        </w:rPr>
        <w:t xml:space="preserve">ואם הכוונה בזה </w:t>
      </w:r>
      <w:r w:rsidR="00592E69" w:rsidRPr="0350C9B4">
        <w:rPr>
          <w:b/>
          <w:bCs/>
          <w:sz w:val="28"/>
          <w:szCs w:val="28"/>
          <w:rtl/>
        </w:rPr>
        <w:t>ש</w:t>
      </w:r>
      <w:r w:rsidR="00837111" w:rsidRPr="0350C9B4">
        <w:rPr>
          <w:b/>
          <w:bCs/>
          <w:sz w:val="28"/>
          <w:szCs w:val="28"/>
          <w:rtl/>
        </w:rPr>
        <w:t>ה</w:t>
      </w:r>
      <w:r w:rsidR="00592E69" w:rsidRPr="0350C9B4">
        <w:rPr>
          <w:b/>
          <w:bCs/>
          <w:sz w:val="28"/>
          <w:szCs w:val="28"/>
          <w:rtl/>
        </w:rPr>
        <w:t>נפש</w:t>
      </w:r>
      <w:r w:rsidR="00837111" w:rsidRPr="0350C9B4">
        <w:rPr>
          <w:b/>
          <w:bCs/>
          <w:sz w:val="28"/>
          <w:szCs w:val="28"/>
          <w:rtl/>
        </w:rPr>
        <w:t xml:space="preserve"> יתחדש בה 'דחף'</w:t>
      </w:r>
      <w:r w:rsidR="00540A32">
        <w:rPr>
          <w:rStyle w:val="FootnoteReference"/>
          <w:b/>
          <w:bCs/>
          <w:sz w:val="28"/>
          <w:szCs w:val="28"/>
          <w:rtl/>
        </w:rPr>
        <w:footnoteReference w:id="442"/>
      </w:r>
      <w:r w:rsidR="00837111" w:rsidRPr="0350C9B4">
        <w:rPr>
          <w:b/>
          <w:bCs/>
          <w:sz w:val="28"/>
          <w:szCs w:val="28"/>
          <w:rtl/>
        </w:rPr>
        <w:t xml:space="preserve">, </w:t>
      </w:r>
      <w:proofErr w:type="spellStart"/>
      <w:r w:rsidR="003040A1" w:rsidRPr="0350C9B4">
        <w:rPr>
          <w:b/>
          <w:bCs/>
          <w:sz w:val="28"/>
          <w:szCs w:val="28"/>
          <w:rtl/>
        </w:rPr>
        <w:t>וב'דחף</w:t>
      </w:r>
      <w:proofErr w:type="spellEnd"/>
      <w:r w:rsidR="003040A1" w:rsidRPr="0350C9B4">
        <w:rPr>
          <w:b/>
          <w:bCs/>
          <w:sz w:val="28"/>
          <w:szCs w:val="28"/>
          <w:rtl/>
        </w:rPr>
        <w:t xml:space="preserve">' תניע, </w:t>
      </w:r>
      <w:r w:rsidR="00645A65" w:rsidRPr="0350C9B4">
        <w:rPr>
          <w:b/>
          <w:bCs/>
          <w:sz w:val="28"/>
          <w:szCs w:val="28"/>
          <w:rtl/>
        </w:rPr>
        <w:t xml:space="preserve">ובכן הטבע גם </w:t>
      </w:r>
      <w:r w:rsidR="006129EF" w:rsidRPr="0350C9B4">
        <w:rPr>
          <w:b/>
          <w:bCs/>
          <w:sz w:val="28"/>
          <w:szCs w:val="28"/>
          <w:rtl/>
        </w:rPr>
        <w:t>הוא יעשה כך</w:t>
      </w:r>
      <w:r w:rsidR="002E42C0" w:rsidRPr="0350C9B4">
        <w:rPr>
          <w:b/>
          <w:bCs/>
          <w:sz w:val="28"/>
          <w:szCs w:val="28"/>
          <w:rtl/>
        </w:rPr>
        <w:t>, כמו ש</w:t>
      </w:r>
      <w:r w:rsidR="000356F4" w:rsidRPr="0350C9B4">
        <w:rPr>
          <w:b/>
          <w:bCs/>
          <w:sz w:val="28"/>
          <w:szCs w:val="28"/>
          <w:rtl/>
        </w:rPr>
        <w:t>נבהיר</w:t>
      </w:r>
      <w:r w:rsidR="002E42C0" w:rsidRPr="0350C9B4">
        <w:rPr>
          <w:b/>
          <w:bCs/>
          <w:sz w:val="28"/>
          <w:szCs w:val="28"/>
          <w:rtl/>
        </w:rPr>
        <w:t xml:space="preserve"> לך</w:t>
      </w:r>
      <w:r w:rsidR="00E32779">
        <w:rPr>
          <w:rStyle w:val="FootnoteReference"/>
          <w:b/>
          <w:bCs/>
          <w:sz w:val="28"/>
          <w:szCs w:val="28"/>
          <w:rtl/>
        </w:rPr>
        <w:footnoteReference w:id="443"/>
      </w:r>
      <w:r w:rsidR="002E42C0" w:rsidRPr="0350C9B4">
        <w:rPr>
          <w:b/>
          <w:bCs/>
          <w:sz w:val="28"/>
          <w:szCs w:val="28"/>
        </w:rPr>
        <w:t>.</w:t>
      </w:r>
    </w:p>
    <w:p w14:paraId="241A5628" w14:textId="77777777" w:rsidR="00D47C93" w:rsidRDefault="0350C9B4" w:rsidP="00A66216">
      <w:pPr>
        <w:pStyle w:val="FootnoteText"/>
        <w:rPr>
          <w:b/>
          <w:bCs/>
          <w:sz w:val="28"/>
          <w:szCs w:val="28"/>
          <w:rtl/>
        </w:rPr>
      </w:pPr>
      <w:proofErr w:type="spellStart"/>
      <w:r w:rsidRPr="0350C9B4">
        <w:rPr>
          <w:b/>
          <w:bCs/>
          <w:sz w:val="28"/>
          <w:szCs w:val="28"/>
          <w:rtl/>
        </w:rPr>
        <w:t>וה'דחף</w:t>
      </w:r>
      <w:proofErr w:type="spellEnd"/>
      <w:r w:rsidRPr="0350C9B4">
        <w:rPr>
          <w:b/>
          <w:bCs/>
          <w:sz w:val="28"/>
          <w:szCs w:val="28"/>
          <w:rtl/>
        </w:rPr>
        <w:t xml:space="preserve">' הוא כמו שאינו </w:t>
      </w:r>
      <w:r w:rsidR="0030295E">
        <w:rPr>
          <w:rFonts w:hint="cs"/>
          <w:b/>
          <w:bCs/>
          <w:sz w:val="28"/>
          <w:szCs w:val="28"/>
          <w:rtl/>
        </w:rPr>
        <w:t xml:space="preserve">הוא </w:t>
      </w:r>
      <w:r w:rsidRPr="0350C9B4">
        <w:rPr>
          <w:b/>
          <w:bCs/>
          <w:sz w:val="28"/>
          <w:szCs w:val="28"/>
          <w:rtl/>
        </w:rPr>
        <w:t>המניע, אלא דבר בו הוא המניע</w:t>
      </w:r>
      <w:r w:rsidR="00975745">
        <w:rPr>
          <w:rFonts w:hint="cs"/>
          <w:b/>
          <w:bCs/>
          <w:sz w:val="28"/>
          <w:szCs w:val="28"/>
          <w:rtl/>
        </w:rPr>
        <w:t xml:space="preserve"> את ה</w:t>
      </w:r>
      <w:r w:rsidR="00D867A0" w:rsidRPr="00D867A0">
        <w:rPr>
          <w:b/>
          <w:bCs/>
          <w:sz w:val="28"/>
          <w:szCs w:val="28"/>
          <w:rtl/>
        </w:rPr>
        <w:t>מוּנָע</w:t>
      </w:r>
      <w:r w:rsidRPr="0350C9B4">
        <w:rPr>
          <w:b/>
          <w:bCs/>
          <w:sz w:val="28"/>
          <w:szCs w:val="28"/>
          <w:rtl/>
        </w:rPr>
        <w:t>, והוא הנפש שהיא המתווך בהנעה</w:t>
      </w:r>
      <w:r w:rsidR="002F574B">
        <w:rPr>
          <w:rStyle w:val="FootnoteReference"/>
          <w:b/>
          <w:bCs/>
          <w:sz w:val="28"/>
          <w:szCs w:val="28"/>
          <w:rtl/>
        </w:rPr>
        <w:footnoteReference w:id="444"/>
      </w:r>
      <w:r w:rsidR="00EA68EC">
        <w:rPr>
          <w:rFonts w:hint="cs"/>
          <w:b/>
          <w:bCs/>
          <w:sz w:val="28"/>
          <w:szCs w:val="28"/>
          <w:rtl/>
        </w:rPr>
        <w:t>.</w:t>
      </w:r>
      <w:r w:rsidRPr="0350C9B4">
        <w:rPr>
          <w:b/>
          <w:bCs/>
          <w:sz w:val="28"/>
          <w:szCs w:val="28"/>
          <w:rtl/>
        </w:rPr>
        <w:t xml:space="preserve"> </w:t>
      </w:r>
    </w:p>
    <w:p w14:paraId="3990A7A1" w14:textId="62F93757" w:rsidR="00F437A8" w:rsidRDefault="0350C9B4" w:rsidP="00A66216">
      <w:pPr>
        <w:pStyle w:val="FootnoteText"/>
        <w:rPr>
          <w:b/>
          <w:bCs/>
          <w:sz w:val="28"/>
          <w:szCs w:val="28"/>
          <w:rtl/>
        </w:rPr>
      </w:pPr>
      <w:r w:rsidRPr="0350C9B4">
        <w:rPr>
          <w:b/>
          <w:bCs/>
          <w:sz w:val="28"/>
          <w:szCs w:val="28"/>
          <w:rtl/>
        </w:rPr>
        <w:t xml:space="preserve">וזה לא </w:t>
      </w:r>
      <w:r w:rsidR="00AE6B30">
        <w:rPr>
          <w:rFonts w:hint="cs"/>
          <w:b/>
          <w:bCs/>
          <w:sz w:val="28"/>
          <w:szCs w:val="28"/>
          <w:rtl/>
        </w:rPr>
        <w:t xml:space="preserve">בהנעות </w:t>
      </w:r>
      <w:r w:rsidRPr="0350C9B4">
        <w:rPr>
          <w:b/>
          <w:bCs/>
          <w:sz w:val="28"/>
          <w:szCs w:val="28"/>
          <w:rtl/>
        </w:rPr>
        <w:t>המקומי</w:t>
      </w:r>
      <w:r w:rsidR="00AE6B30">
        <w:rPr>
          <w:rFonts w:hint="cs"/>
          <w:b/>
          <w:bCs/>
          <w:sz w:val="28"/>
          <w:szCs w:val="28"/>
          <w:rtl/>
        </w:rPr>
        <w:t>ות</w:t>
      </w:r>
      <w:r w:rsidRPr="0350C9B4">
        <w:rPr>
          <w:b/>
          <w:bCs/>
          <w:sz w:val="28"/>
          <w:szCs w:val="28"/>
          <w:rtl/>
        </w:rPr>
        <w:t>, אלא בהנעה של ההתהוות והצמיח</w:t>
      </w:r>
      <w:r w:rsidR="00F437A8">
        <w:rPr>
          <w:rFonts w:hint="cs"/>
          <w:b/>
          <w:bCs/>
          <w:sz w:val="28"/>
          <w:szCs w:val="28"/>
          <w:rtl/>
        </w:rPr>
        <w:t>ה</w:t>
      </w:r>
      <w:r w:rsidR="0028581F">
        <w:rPr>
          <w:rStyle w:val="FootnoteReference"/>
          <w:b/>
          <w:bCs/>
          <w:sz w:val="28"/>
          <w:szCs w:val="28"/>
          <w:rtl/>
        </w:rPr>
        <w:footnoteReference w:id="445"/>
      </w:r>
      <w:r w:rsidR="0071475F">
        <w:rPr>
          <w:rFonts w:hint="cs"/>
          <w:b/>
          <w:bCs/>
          <w:sz w:val="28"/>
          <w:szCs w:val="28"/>
          <w:rtl/>
        </w:rPr>
        <w:t>.</w:t>
      </w:r>
    </w:p>
    <w:p w14:paraId="0A1C4EF5" w14:textId="7DF4A329" w:rsidR="00AD4B72" w:rsidRDefault="003B1203" w:rsidP="00A66216">
      <w:pPr>
        <w:pStyle w:val="FootnoteText"/>
        <w:rPr>
          <w:b/>
          <w:bCs/>
          <w:sz w:val="28"/>
          <w:szCs w:val="28"/>
        </w:rPr>
      </w:pPr>
      <w:r>
        <w:rPr>
          <w:rFonts w:hint="cs"/>
          <w:b/>
          <w:bCs/>
          <w:sz w:val="28"/>
          <w:szCs w:val="28"/>
          <w:rtl/>
        </w:rPr>
        <w:t xml:space="preserve">ואם יהיה הרצון </w:t>
      </w:r>
      <w:r w:rsidR="00B421A1">
        <w:rPr>
          <w:rFonts w:hint="cs"/>
          <w:b/>
          <w:bCs/>
          <w:sz w:val="28"/>
          <w:szCs w:val="28"/>
          <w:rtl/>
        </w:rPr>
        <w:t xml:space="preserve">שתהיה ההגדרה הזו כללית </w:t>
      </w:r>
      <w:r w:rsidR="0084641E">
        <w:rPr>
          <w:rFonts w:hint="cs"/>
          <w:b/>
          <w:bCs/>
          <w:sz w:val="28"/>
          <w:szCs w:val="28"/>
          <w:rtl/>
        </w:rPr>
        <w:t xml:space="preserve">לכל הנעה, </w:t>
      </w:r>
      <w:r w:rsidR="00907F74">
        <w:rPr>
          <w:rFonts w:hint="cs"/>
          <w:b/>
          <w:bCs/>
          <w:sz w:val="28"/>
          <w:szCs w:val="28"/>
          <w:rtl/>
        </w:rPr>
        <w:t xml:space="preserve">צריך להוסיף לה את המילה </w:t>
      </w:r>
      <w:r w:rsidR="008C1384">
        <w:rPr>
          <w:rFonts w:hint="cs"/>
          <w:b/>
          <w:bCs/>
          <w:sz w:val="28"/>
          <w:szCs w:val="28"/>
          <w:rtl/>
        </w:rPr>
        <w:t>"</w:t>
      </w:r>
      <w:r w:rsidR="002C4289">
        <w:rPr>
          <w:rFonts w:hint="cs"/>
          <w:b/>
          <w:bCs/>
          <w:sz w:val="28"/>
          <w:szCs w:val="28"/>
          <w:rtl/>
        </w:rPr>
        <w:t>ראשו</w:t>
      </w:r>
      <w:r w:rsidR="002C0A56">
        <w:rPr>
          <w:rFonts w:hint="cs"/>
          <w:b/>
          <w:bCs/>
          <w:sz w:val="28"/>
          <w:szCs w:val="28"/>
          <w:rtl/>
        </w:rPr>
        <w:t>ני</w:t>
      </w:r>
      <w:r w:rsidR="008C1384">
        <w:rPr>
          <w:rFonts w:hint="cs"/>
          <w:b/>
          <w:bCs/>
          <w:sz w:val="28"/>
          <w:szCs w:val="28"/>
          <w:rtl/>
        </w:rPr>
        <w:t>"</w:t>
      </w:r>
      <w:r w:rsidR="00BC4433">
        <w:rPr>
          <w:rStyle w:val="FootnoteReference"/>
          <w:b/>
          <w:bCs/>
          <w:sz w:val="28"/>
          <w:szCs w:val="28"/>
          <w:rtl/>
        </w:rPr>
        <w:footnoteReference w:id="446"/>
      </w:r>
      <w:r w:rsidR="00BC4433">
        <w:rPr>
          <w:rFonts w:hint="cs"/>
          <w:b/>
          <w:bCs/>
          <w:sz w:val="28"/>
          <w:szCs w:val="28"/>
          <w:rtl/>
        </w:rPr>
        <w:t>;</w:t>
      </w:r>
      <w:r w:rsidR="0052572D">
        <w:rPr>
          <w:rFonts w:hint="cs"/>
          <w:b/>
          <w:bCs/>
          <w:sz w:val="28"/>
          <w:szCs w:val="28"/>
          <w:rtl/>
        </w:rPr>
        <w:t xml:space="preserve"> </w:t>
      </w:r>
      <w:r w:rsidR="007D17EE">
        <w:rPr>
          <w:rFonts w:hint="cs"/>
          <w:b/>
          <w:bCs/>
          <w:sz w:val="28"/>
          <w:szCs w:val="28"/>
          <w:rtl/>
        </w:rPr>
        <w:t>ש</w:t>
      </w:r>
      <w:r w:rsidR="0052572D">
        <w:rPr>
          <w:rFonts w:hint="cs"/>
          <w:b/>
          <w:bCs/>
          <w:sz w:val="28"/>
          <w:szCs w:val="28"/>
          <w:rtl/>
        </w:rPr>
        <w:t xml:space="preserve">הנפש כשתהיה במניע </w:t>
      </w:r>
      <w:r w:rsidR="00271C28">
        <w:rPr>
          <w:rFonts w:hint="cs"/>
          <w:b/>
          <w:bCs/>
          <w:sz w:val="28"/>
          <w:szCs w:val="28"/>
          <w:rtl/>
        </w:rPr>
        <w:t>ותניע את מה שהיא בו</w:t>
      </w:r>
      <w:r w:rsidR="002144EA">
        <w:rPr>
          <w:rFonts w:hint="cs"/>
          <w:b/>
          <w:bCs/>
          <w:sz w:val="28"/>
          <w:szCs w:val="28"/>
          <w:rtl/>
        </w:rPr>
        <w:t>,</w:t>
      </w:r>
      <w:r w:rsidR="00271C28">
        <w:rPr>
          <w:rFonts w:hint="cs"/>
          <w:b/>
          <w:bCs/>
          <w:sz w:val="28"/>
          <w:szCs w:val="28"/>
          <w:rtl/>
        </w:rPr>
        <w:t xml:space="preserve"> </w:t>
      </w:r>
      <w:proofErr w:type="spellStart"/>
      <w:r w:rsidR="00EF7626">
        <w:rPr>
          <w:rFonts w:hint="cs"/>
          <w:b/>
          <w:bCs/>
          <w:sz w:val="28"/>
          <w:szCs w:val="28"/>
          <w:rtl/>
        </w:rPr>
        <w:t>ב</w:t>
      </w:r>
      <w:r w:rsidR="00AD5728">
        <w:rPr>
          <w:rFonts w:hint="cs"/>
          <w:b/>
          <w:bCs/>
          <w:sz w:val="28"/>
          <w:szCs w:val="28"/>
          <w:rtl/>
        </w:rPr>
        <w:t>הנע</w:t>
      </w:r>
      <w:r w:rsidR="00F85AED">
        <w:rPr>
          <w:rFonts w:hint="cs"/>
          <w:b/>
          <w:bCs/>
          <w:sz w:val="28"/>
          <w:szCs w:val="28"/>
          <w:rtl/>
        </w:rPr>
        <w:t>ו</w:t>
      </w:r>
      <w:r w:rsidR="00AD5728">
        <w:rPr>
          <w:rFonts w:hint="cs"/>
          <w:b/>
          <w:bCs/>
          <w:sz w:val="28"/>
          <w:szCs w:val="28"/>
          <w:rtl/>
        </w:rPr>
        <w:t>ת</w:t>
      </w:r>
      <w:r w:rsidR="002504C8">
        <w:rPr>
          <w:rFonts w:hint="cs"/>
          <w:b/>
          <w:bCs/>
          <w:sz w:val="28"/>
          <w:szCs w:val="28"/>
          <w:rtl/>
        </w:rPr>
        <w:t>יה</w:t>
      </w:r>
      <w:proofErr w:type="spellEnd"/>
      <w:r w:rsidR="00AD5728">
        <w:rPr>
          <w:rFonts w:hint="cs"/>
          <w:b/>
          <w:bCs/>
          <w:sz w:val="28"/>
          <w:szCs w:val="28"/>
          <w:rtl/>
        </w:rPr>
        <w:t xml:space="preserve"> </w:t>
      </w:r>
      <w:r w:rsidR="00F85AED">
        <w:rPr>
          <w:rFonts w:hint="cs"/>
          <w:b/>
          <w:bCs/>
          <w:sz w:val="28"/>
          <w:szCs w:val="28"/>
          <w:rtl/>
        </w:rPr>
        <w:t>של</w:t>
      </w:r>
      <w:r w:rsidR="00AD5728">
        <w:rPr>
          <w:rFonts w:hint="cs"/>
          <w:b/>
          <w:bCs/>
          <w:sz w:val="28"/>
          <w:szCs w:val="28"/>
          <w:rtl/>
        </w:rPr>
        <w:t xml:space="preserve"> </w:t>
      </w:r>
      <w:r w:rsidR="00567062">
        <w:rPr>
          <w:rFonts w:hint="cs"/>
          <w:b/>
          <w:bCs/>
          <w:sz w:val="28"/>
          <w:szCs w:val="28"/>
          <w:rtl/>
        </w:rPr>
        <w:t>גדילה ושינוי</w:t>
      </w:r>
      <w:r w:rsidR="00F85AED">
        <w:rPr>
          <w:rFonts w:hint="cs"/>
          <w:b/>
          <w:bCs/>
          <w:sz w:val="28"/>
          <w:szCs w:val="28"/>
          <w:rtl/>
        </w:rPr>
        <w:t>,</w:t>
      </w:r>
      <w:r w:rsidR="00567062">
        <w:rPr>
          <w:rFonts w:hint="cs"/>
          <w:b/>
          <w:bCs/>
          <w:sz w:val="28"/>
          <w:szCs w:val="28"/>
          <w:rtl/>
        </w:rPr>
        <w:t xml:space="preserve"> </w:t>
      </w:r>
      <w:r w:rsidR="00135DD0">
        <w:rPr>
          <w:rFonts w:hint="cs"/>
          <w:b/>
          <w:bCs/>
          <w:sz w:val="28"/>
          <w:szCs w:val="28"/>
          <w:rtl/>
        </w:rPr>
        <w:t>על כל פנים אינה ראשונית</w:t>
      </w:r>
      <w:r w:rsidR="0075073F">
        <w:rPr>
          <w:rStyle w:val="FootnoteReference"/>
          <w:b/>
          <w:bCs/>
          <w:sz w:val="28"/>
          <w:szCs w:val="28"/>
          <w:rtl/>
        </w:rPr>
        <w:footnoteReference w:id="447"/>
      </w:r>
      <w:r w:rsidR="00135DD0">
        <w:rPr>
          <w:rFonts w:hint="cs"/>
          <w:b/>
          <w:bCs/>
          <w:sz w:val="28"/>
          <w:szCs w:val="28"/>
          <w:rtl/>
        </w:rPr>
        <w:t xml:space="preserve">, </w:t>
      </w:r>
      <w:r w:rsidR="00CA43AE">
        <w:rPr>
          <w:rFonts w:hint="cs"/>
          <w:b/>
          <w:bCs/>
          <w:sz w:val="28"/>
          <w:szCs w:val="28"/>
          <w:rtl/>
        </w:rPr>
        <w:t xml:space="preserve">אלא </w:t>
      </w:r>
      <w:r w:rsidR="0018192A">
        <w:rPr>
          <w:rFonts w:hint="cs"/>
          <w:b/>
          <w:bCs/>
          <w:sz w:val="28"/>
          <w:szCs w:val="28"/>
          <w:rtl/>
        </w:rPr>
        <w:t>היא משתמשת בטבע וב</w:t>
      </w:r>
      <w:r w:rsidR="002F3728">
        <w:rPr>
          <w:rFonts w:hint="cs"/>
          <w:b/>
          <w:bCs/>
          <w:sz w:val="28"/>
          <w:szCs w:val="28"/>
          <w:rtl/>
        </w:rPr>
        <w:t>איכויות, כמו שנבאר</w:t>
      </w:r>
      <w:r w:rsidR="000A2043">
        <w:rPr>
          <w:rFonts w:hint="cs"/>
          <w:b/>
          <w:bCs/>
          <w:sz w:val="28"/>
          <w:szCs w:val="28"/>
          <w:rtl/>
        </w:rPr>
        <w:t xml:space="preserve"> לך</w:t>
      </w:r>
      <w:r w:rsidR="002F3728">
        <w:rPr>
          <w:rFonts w:hint="cs"/>
          <w:b/>
          <w:bCs/>
          <w:sz w:val="28"/>
          <w:szCs w:val="28"/>
          <w:rtl/>
        </w:rPr>
        <w:t xml:space="preserve"> בהמשך</w:t>
      </w:r>
      <w:r w:rsidR="000A2043">
        <w:rPr>
          <w:rFonts w:hint="cs"/>
          <w:b/>
          <w:bCs/>
          <w:sz w:val="28"/>
          <w:szCs w:val="28"/>
          <w:rtl/>
        </w:rPr>
        <w:t>.</w:t>
      </w:r>
    </w:p>
    <w:p w14:paraId="2237E8AD" w14:textId="186EA641" w:rsidR="00A74D69" w:rsidRDefault="006A6C80" w:rsidP="00A66216">
      <w:pPr>
        <w:pStyle w:val="FootnoteText"/>
        <w:rPr>
          <w:b/>
          <w:bCs/>
          <w:sz w:val="28"/>
          <w:szCs w:val="28"/>
          <w:rtl/>
        </w:rPr>
      </w:pPr>
      <w:r>
        <w:rPr>
          <w:rFonts w:hint="cs"/>
          <w:b/>
          <w:bCs/>
          <w:sz w:val="28"/>
          <w:szCs w:val="28"/>
          <w:rtl/>
        </w:rPr>
        <w:t>והאמירה</w:t>
      </w:r>
      <w:r w:rsidR="008C1384">
        <w:rPr>
          <w:rFonts w:hint="cs"/>
          <w:b/>
          <w:bCs/>
          <w:sz w:val="28"/>
          <w:szCs w:val="28"/>
          <w:rtl/>
        </w:rPr>
        <w:t xml:space="preserve"> "</w:t>
      </w:r>
      <w:r w:rsidR="006700C9">
        <w:rPr>
          <w:rFonts w:hint="cs"/>
          <w:b/>
          <w:bCs/>
          <w:sz w:val="28"/>
          <w:szCs w:val="28"/>
          <w:rtl/>
        </w:rPr>
        <w:t xml:space="preserve">הנמצאת בדבר", </w:t>
      </w:r>
      <w:r w:rsidR="00876F1C">
        <w:rPr>
          <w:rFonts w:hint="cs"/>
          <w:b/>
          <w:bCs/>
          <w:sz w:val="28"/>
          <w:szCs w:val="28"/>
          <w:rtl/>
        </w:rPr>
        <w:t xml:space="preserve">היא כדי לחלק </w:t>
      </w:r>
      <w:r w:rsidR="00D57E6B">
        <w:rPr>
          <w:rFonts w:hint="cs"/>
          <w:b/>
          <w:bCs/>
          <w:sz w:val="28"/>
          <w:szCs w:val="28"/>
          <w:rtl/>
        </w:rPr>
        <w:t>בין הטבע</w:t>
      </w:r>
      <w:r w:rsidR="0077326C">
        <w:rPr>
          <w:rFonts w:hint="cs"/>
          <w:b/>
          <w:bCs/>
          <w:sz w:val="28"/>
          <w:szCs w:val="28"/>
          <w:rtl/>
        </w:rPr>
        <w:t xml:space="preserve">י, המלאכותי </w:t>
      </w:r>
      <w:r w:rsidR="00B30C02">
        <w:rPr>
          <w:rFonts w:hint="cs"/>
          <w:b/>
          <w:bCs/>
          <w:sz w:val="28"/>
          <w:szCs w:val="28"/>
          <w:rtl/>
        </w:rPr>
        <w:t>וכוחות הפועלים ב</w:t>
      </w:r>
      <w:r w:rsidR="00625C48">
        <w:rPr>
          <w:rFonts w:hint="cs"/>
          <w:b/>
          <w:bCs/>
          <w:sz w:val="28"/>
          <w:szCs w:val="28"/>
          <w:rtl/>
        </w:rPr>
        <w:t xml:space="preserve">דרך </w:t>
      </w:r>
      <w:r w:rsidR="00D460B1">
        <w:rPr>
          <w:rFonts w:hint="cs"/>
          <w:b/>
          <w:bCs/>
          <w:sz w:val="28"/>
          <w:szCs w:val="28"/>
          <w:rtl/>
        </w:rPr>
        <w:t>אילוץ</w:t>
      </w:r>
      <w:r w:rsidR="00D460B1">
        <w:rPr>
          <w:rStyle w:val="FootnoteReference"/>
          <w:b/>
          <w:bCs/>
          <w:sz w:val="28"/>
          <w:szCs w:val="28"/>
          <w:rtl/>
        </w:rPr>
        <w:footnoteReference w:id="448"/>
      </w:r>
      <w:r w:rsidR="00B30C02">
        <w:rPr>
          <w:rFonts w:hint="cs"/>
          <w:b/>
          <w:bCs/>
          <w:sz w:val="28"/>
          <w:szCs w:val="28"/>
          <w:rtl/>
        </w:rPr>
        <w:t>.</w:t>
      </w:r>
    </w:p>
    <w:p w14:paraId="74EC6F47" w14:textId="71DC0192" w:rsidR="00712E2D" w:rsidRDefault="00995EE4" w:rsidP="008F61AA">
      <w:pPr>
        <w:pStyle w:val="FootnoteText"/>
        <w:rPr>
          <w:b/>
          <w:bCs/>
          <w:sz w:val="28"/>
          <w:szCs w:val="28"/>
          <w:rtl/>
        </w:rPr>
      </w:pPr>
      <w:r>
        <w:rPr>
          <w:rFonts w:hint="cs"/>
          <w:b/>
          <w:bCs/>
          <w:sz w:val="28"/>
          <w:szCs w:val="28"/>
          <w:rtl/>
        </w:rPr>
        <w:t>ובמה ש</w:t>
      </w:r>
      <w:r w:rsidR="00032058">
        <w:rPr>
          <w:rFonts w:hint="cs"/>
          <w:b/>
          <w:bCs/>
          <w:sz w:val="28"/>
          <w:szCs w:val="28"/>
          <w:rtl/>
        </w:rPr>
        <w:t>אמר</w:t>
      </w:r>
      <w:r>
        <w:rPr>
          <w:rFonts w:hint="cs"/>
          <w:b/>
          <w:bCs/>
          <w:sz w:val="28"/>
          <w:szCs w:val="28"/>
          <w:rtl/>
        </w:rPr>
        <w:t xml:space="preserve"> </w:t>
      </w:r>
      <w:r w:rsidR="00E227C3">
        <w:rPr>
          <w:rFonts w:hint="cs"/>
          <w:b/>
          <w:bCs/>
          <w:sz w:val="28"/>
          <w:szCs w:val="28"/>
          <w:rtl/>
        </w:rPr>
        <w:t>"כשלעצמו</w:t>
      </w:r>
      <w:r w:rsidR="00102C74">
        <w:rPr>
          <w:rStyle w:val="FootnoteReference"/>
          <w:b/>
          <w:bCs/>
          <w:sz w:val="28"/>
          <w:szCs w:val="28"/>
          <w:rtl/>
        </w:rPr>
        <w:footnoteReference w:id="449"/>
      </w:r>
      <w:r w:rsidR="00E227C3">
        <w:rPr>
          <w:rFonts w:hint="cs"/>
          <w:b/>
          <w:bCs/>
          <w:sz w:val="28"/>
          <w:szCs w:val="28"/>
          <w:rtl/>
        </w:rPr>
        <w:t>"</w:t>
      </w:r>
      <w:r w:rsidR="000522AD">
        <w:rPr>
          <w:rFonts w:hint="cs"/>
          <w:b/>
          <w:bCs/>
          <w:sz w:val="28"/>
          <w:szCs w:val="28"/>
          <w:rtl/>
        </w:rPr>
        <w:t xml:space="preserve">, </w:t>
      </w:r>
      <w:r w:rsidR="008D328D">
        <w:rPr>
          <w:rFonts w:hint="cs"/>
          <w:b/>
          <w:bCs/>
          <w:sz w:val="28"/>
          <w:szCs w:val="28"/>
          <w:rtl/>
        </w:rPr>
        <w:t>ז</w:t>
      </w:r>
      <w:r w:rsidR="005B4F94">
        <w:rPr>
          <w:rFonts w:hint="cs"/>
          <w:b/>
          <w:bCs/>
          <w:sz w:val="28"/>
          <w:szCs w:val="28"/>
          <w:rtl/>
        </w:rPr>
        <w:t xml:space="preserve">ה </w:t>
      </w:r>
      <w:r w:rsidR="008D328D">
        <w:rPr>
          <w:rFonts w:hint="cs"/>
          <w:b/>
          <w:bCs/>
          <w:sz w:val="28"/>
          <w:szCs w:val="28"/>
          <w:rtl/>
        </w:rPr>
        <w:t>נ</w:t>
      </w:r>
      <w:r w:rsidR="00906C2D">
        <w:rPr>
          <w:rFonts w:hint="cs"/>
          <w:b/>
          <w:bCs/>
          <w:sz w:val="28"/>
          <w:szCs w:val="28"/>
          <w:rtl/>
        </w:rPr>
        <w:t>ושא עליו</w:t>
      </w:r>
      <w:r w:rsidR="00D43258">
        <w:rPr>
          <w:rStyle w:val="FootnoteReference"/>
          <w:b/>
          <w:bCs/>
          <w:sz w:val="28"/>
          <w:szCs w:val="28"/>
          <w:rtl/>
        </w:rPr>
        <w:footnoteReference w:id="450"/>
      </w:r>
      <w:r w:rsidR="008D328D">
        <w:rPr>
          <w:rFonts w:hint="cs"/>
          <w:b/>
          <w:bCs/>
          <w:sz w:val="28"/>
          <w:szCs w:val="28"/>
          <w:rtl/>
        </w:rPr>
        <w:t xml:space="preserve"> </w:t>
      </w:r>
      <w:r w:rsidR="00D80B23">
        <w:rPr>
          <w:rFonts w:hint="cs"/>
          <w:b/>
          <w:bCs/>
          <w:sz w:val="28"/>
          <w:szCs w:val="28"/>
          <w:rtl/>
        </w:rPr>
        <w:t>שתי דרכים</w:t>
      </w:r>
      <w:r w:rsidR="009856A7">
        <w:rPr>
          <w:rFonts w:hint="cs"/>
          <w:b/>
          <w:bCs/>
          <w:sz w:val="28"/>
          <w:szCs w:val="28"/>
          <w:rtl/>
        </w:rPr>
        <w:t>,</w:t>
      </w:r>
      <w:r w:rsidR="00D80B23">
        <w:rPr>
          <w:rFonts w:hint="cs"/>
          <w:b/>
          <w:bCs/>
          <w:sz w:val="28"/>
          <w:szCs w:val="28"/>
          <w:rtl/>
        </w:rPr>
        <w:t xml:space="preserve"> </w:t>
      </w:r>
      <w:r w:rsidR="00B621D2">
        <w:rPr>
          <w:rFonts w:hint="cs"/>
          <w:b/>
          <w:bCs/>
          <w:sz w:val="28"/>
          <w:szCs w:val="28"/>
          <w:rtl/>
        </w:rPr>
        <w:t>אחת</w:t>
      </w:r>
      <w:r w:rsidR="00F3681D">
        <w:rPr>
          <w:rFonts w:hint="cs"/>
          <w:b/>
          <w:bCs/>
          <w:sz w:val="28"/>
          <w:szCs w:val="28"/>
          <w:rtl/>
        </w:rPr>
        <w:t xml:space="preserve"> מהן</w:t>
      </w:r>
      <w:r w:rsidR="00B621D2">
        <w:rPr>
          <w:rFonts w:hint="cs"/>
          <w:b/>
          <w:bCs/>
          <w:sz w:val="28"/>
          <w:szCs w:val="28"/>
          <w:rtl/>
        </w:rPr>
        <w:t xml:space="preserve"> ביחס למניע </w:t>
      </w:r>
      <w:r w:rsidR="00EE71DE">
        <w:rPr>
          <w:rFonts w:hint="cs"/>
          <w:b/>
          <w:bCs/>
          <w:sz w:val="28"/>
          <w:szCs w:val="28"/>
          <w:rtl/>
        </w:rPr>
        <w:t>וה</w:t>
      </w:r>
      <w:r w:rsidR="00E050AE">
        <w:rPr>
          <w:rFonts w:hint="cs"/>
          <w:b/>
          <w:bCs/>
          <w:sz w:val="28"/>
          <w:szCs w:val="28"/>
          <w:rtl/>
        </w:rPr>
        <w:t>א</w:t>
      </w:r>
      <w:r w:rsidR="00202E4F">
        <w:rPr>
          <w:rFonts w:hint="cs"/>
          <w:b/>
          <w:bCs/>
          <w:sz w:val="28"/>
          <w:szCs w:val="28"/>
          <w:rtl/>
        </w:rPr>
        <w:t>חרת</w:t>
      </w:r>
      <w:r w:rsidR="00EE71DE">
        <w:rPr>
          <w:rFonts w:hint="cs"/>
          <w:b/>
          <w:bCs/>
          <w:sz w:val="28"/>
          <w:szCs w:val="28"/>
          <w:rtl/>
        </w:rPr>
        <w:t xml:space="preserve"> ביחס ל</w:t>
      </w:r>
      <w:bookmarkStart w:id="220" w:name="_Hlk102460568"/>
      <w:r w:rsidR="003B5BD4" w:rsidRPr="003B5BD4">
        <w:rPr>
          <w:b/>
          <w:bCs/>
          <w:sz w:val="28"/>
          <w:szCs w:val="28"/>
          <w:rtl/>
        </w:rPr>
        <w:t>מוּנָע</w:t>
      </w:r>
      <w:bookmarkEnd w:id="220"/>
      <w:r w:rsidR="00EE71DE">
        <w:rPr>
          <w:rFonts w:hint="cs"/>
          <w:b/>
          <w:bCs/>
          <w:sz w:val="28"/>
          <w:szCs w:val="28"/>
          <w:rtl/>
        </w:rPr>
        <w:t>.</w:t>
      </w:r>
      <w:r w:rsidR="008F61AA">
        <w:rPr>
          <w:rFonts w:hint="cs"/>
          <w:b/>
          <w:bCs/>
          <w:sz w:val="28"/>
          <w:szCs w:val="28"/>
          <w:rtl/>
        </w:rPr>
        <w:t xml:space="preserve"> </w:t>
      </w:r>
      <w:r w:rsidR="008843F4">
        <w:rPr>
          <w:rFonts w:hint="cs"/>
          <w:b/>
          <w:bCs/>
          <w:sz w:val="28"/>
          <w:szCs w:val="28"/>
          <w:rtl/>
        </w:rPr>
        <w:t>הדרך</w:t>
      </w:r>
      <w:r w:rsidR="005B4F94">
        <w:rPr>
          <w:rFonts w:hint="cs"/>
          <w:b/>
          <w:bCs/>
          <w:sz w:val="28"/>
          <w:szCs w:val="28"/>
          <w:rtl/>
        </w:rPr>
        <w:t xml:space="preserve"> ש</w:t>
      </w:r>
      <w:r w:rsidR="00672ED9">
        <w:rPr>
          <w:rFonts w:hint="cs"/>
          <w:b/>
          <w:bCs/>
          <w:sz w:val="28"/>
          <w:szCs w:val="28"/>
          <w:rtl/>
        </w:rPr>
        <w:t>זה נושא עליו</w:t>
      </w:r>
      <w:r w:rsidR="00B269DE">
        <w:rPr>
          <w:rFonts w:hint="cs"/>
          <w:b/>
          <w:bCs/>
          <w:sz w:val="28"/>
          <w:szCs w:val="28"/>
          <w:rtl/>
        </w:rPr>
        <w:t xml:space="preserve"> </w:t>
      </w:r>
      <w:r w:rsidR="00924F4D">
        <w:rPr>
          <w:rFonts w:hint="cs"/>
          <w:b/>
          <w:bCs/>
          <w:sz w:val="28"/>
          <w:szCs w:val="28"/>
          <w:rtl/>
        </w:rPr>
        <w:t xml:space="preserve">בתחילה </w:t>
      </w:r>
      <w:r w:rsidR="00A14A27">
        <w:rPr>
          <w:rFonts w:hint="cs"/>
          <w:b/>
          <w:bCs/>
          <w:sz w:val="28"/>
          <w:szCs w:val="28"/>
          <w:rtl/>
        </w:rPr>
        <w:t xml:space="preserve">היא </w:t>
      </w:r>
      <w:r w:rsidR="00CF4D42">
        <w:rPr>
          <w:rFonts w:hint="cs"/>
          <w:b/>
          <w:bCs/>
          <w:sz w:val="28"/>
          <w:szCs w:val="28"/>
          <w:rtl/>
        </w:rPr>
        <w:t>שהטבע</w:t>
      </w:r>
      <w:r w:rsidR="00A14A27">
        <w:rPr>
          <w:rFonts w:hint="cs"/>
          <w:b/>
          <w:bCs/>
          <w:sz w:val="28"/>
          <w:szCs w:val="28"/>
          <w:rtl/>
        </w:rPr>
        <w:t xml:space="preserve"> </w:t>
      </w:r>
      <w:r w:rsidR="00F70CF0">
        <w:rPr>
          <w:rFonts w:hint="cs"/>
          <w:b/>
          <w:bCs/>
          <w:sz w:val="28"/>
          <w:szCs w:val="28"/>
          <w:rtl/>
        </w:rPr>
        <w:t xml:space="preserve">יניע </w:t>
      </w:r>
      <w:r w:rsidR="0015349E">
        <w:rPr>
          <w:rFonts w:hint="cs"/>
          <w:b/>
          <w:bCs/>
          <w:sz w:val="28"/>
          <w:szCs w:val="28"/>
          <w:rtl/>
        </w:rPr>
        <w:t>'</w:t>
      </w:r>
      <w:r w:rsidR="00D03E4E">
        <w:rPr>
          <w:rFonts w:hint="cs"/>
          <w:b/>
          <w:bCs/>
          <w:sz w:val="28"/>
          <w:szCs w:val="28"/>
          <w:rtl/>
        </w:rPr>
        <w:t>כשלעצמו</w:t>
      </w:r>
      <w:r w:rsidR="00A02963">
        <w:rPr>
          <w:rStyle w:val="FootnoteReference"/>
          <w:b/>
          <w:bCs/>
          <w:sz w:val="28"/>
          <w:szCs w:val="28"/>
          <w:rtl/>
        </w:rPr>
        <w:footnoteReference w:id="451"/>
      </w:r>
      <w:r w:rsidR="0015349E">
        <w:rPr>
          <w:rFonts w:hint="cs"/>
          <w:b/>
          <w:bCs/>
          <w:sz w:val="28"/>
          <w:szCs w:val="28"/>
          <w:rtl/>
        </w:rPr>
        <w:t>'</w:t>
      </w:r>
      <w:r w:rsidR="00DC1B64">
        <w:rPr>
          <w:rFonts w:hint="cs"/>
          <w:b/>
          <w:bCs/>
          <w:sz w:val="28"/>
          <w:szCs w:val="28"/>
          <w:rtl/>
        </w:rPr>
        <w:t xml:space="preserve"> </w:t>
      </w:r>
      <w:r w:rsidR="00B35873">
        <w:rPr>
          <w:rFonts w:hint="cs"/>
          <w:b/>
          <w:bCs/>
          <w:sz w:val="28"/>
          <w:szCs w:val="28"/>
          <w:rtl/>
        </w:rPr>
        <w:t>כש</w:t>
      </w:r>
      <w:r w:rsidR="00F6564E">
        <w:rPr>
          <w:rFonts w:hint="cs"/>
          <w:b/>
          <w:bCs/>
          <w:sz w:val="28"/>
          <w:szCs w:val="28"/>
          <w:rtl/>
        </w:rPr>
        <w:t xml:space="preserve">יהיה </w:t>
      </w:r>
      <w:r w:rsidR="00B077E1">
        <w:rPr>
          <w:rFonts w:hint="cs"/>
          <w:b/>
          <w:bCs/>
          <w:sz w:val="28"/>
          <w:szCs w:val="28"/>
          <w:rtl/>
        </w:rPr>
        <w:t xml:space="preserve">במצב מניע </w:t>
      </w:r>
      <w:r w:rsidR="00DD1FB2">
        <w:rPr>
          <w:rFonts w:hint="cs"/>
          <w:b/>
          <w:bCs/>
          <w:sz w:val="28"/>
          <w:szCs w:val="28"/>
          <w:rtl/>
        </w:rPr>
        <w:t xml:space="preserve">שאינו </w:t>
      </w:r>
      <w:r w:rsidR="008137BC">
        <w:rPr>
          <w:rFonts w:hint="cs"/>
          <w:b/>
          <w:bCs/>
          <w:sz w:val="28"/>
          <w:szCs w:val="28"/>
          <w:rtl/>
        </w:rPr>
        <w:t xml:space="preserve">מחמת </w:t>
      </w:r>
      <w:r w:rsidR="006C7BC3">
        <w:rPr>
          <w:rFonts w:hint="cs"/>
          <w:b/>
          <w:bCs/>
          <w:sz w:val="28"/>
          <w:szCs w:val="28"/>
          <w:rtl/>
        </w:rPr>
        <w:t>שהופעל עליו אילוץ.</w:t>
      </w:r>
      <w:r w:rsidR="009E6A97">
        <w:rPr>
          <w:rFonts w:hint="cs"/>
          <w:b/>
          <w:bCs/>
          <w:sz w:val="28"/>
          <w:szCs w:val="28"/>
          <w:rtl/>
        </w:rPr>
        <w:t xml:space="preserve"> ולא יתכן </w:t>
      </w:r>
      <w:r w:rsidR="002C79EE">
        <w:rPr>
          <w:rFonts w:hint="cs"/>
          <w:b/>
          <w:bCs/>
          <w:sz w:val="28"/>
          <w:szCs w:val="28"/>
          <w:rtl/>
        </w:rPr>
        <w:t xml:space="preserve">שלא יניע </w:t>
      </w:r>
      <w:proofErr w:type="spellStart"/>
      <w:r w:rsidR="00DE47C3">
        <w:rPr>
          <w:rFonts w:hint="cs"/>
          <w:b/>
          <w:bCs/>
          <w:sz w:val="28"/>
          <w:szCs w:val="28"/>
          <w:rtl/>
        </w:rPr>
        <w:t>כשלא</w:t>
      </w:r>
      <w:proofErr w:type="spellEnd"/>
      <w:r w:rsidR="00DE47C3">
        <w:rPr>
          <w:rFonts w:hint="cs"/>
          <w:b/>
          <w:bCs/>
          <w:sz w:val="28"/>
          <w:szCs w:val="28"/>
          <w:rtl/>
        </w:rPr>
        <w:t xml:space="preserve"> יהיה </w:t>
      </w:r>
      <w:r w:rsidR="00DE3685" w:rsidRPr="00DE3685">
        <w:rPr>
          <w:b/>
          <w:bCs/>
          <w:sz w:val="28"/>
          <w:szCs w:val="28"/>
          <w:rtl/>
        </w:rPr>
        <w:t>מוֹנֵעַ</w:t>
      </w:r>
      <w:r w:rsidR="005D3F10">
        <w:rPr>
          <w:rFonts w:hint="cs"/>
          <w:b/>
          <w:bCs/>
          <w:sz w:val="28"/>
          <w:szCs w:val="28"/>
          <w:rtl/>
        </w:rPr>
        <w:t xml:space="preserve"> לתנועה</w:t>
      </w:r>
      <w:r w:rsidR="00052504">
        <w:rPr>
          <w:rFonts w:hint="cs"/>
          <w:b/>
          <w:bCs/>
          <w:sz w:val="28"/>
          <w:szCs w:val="28"/>
          <w:rtl/>
        </w:rPr>
        <w:t>, שלא כמו התנועה המאולצת</w:t>
      </w:r>
      <w:r w:rsidR="00672ED9">
        <w:rPr>
          <w:rStyle w:val="FootnoteReference"/>
          <w:b/>
          <w:bCs/>
          <w:sz w:val="28"/>
          <w:szCs w:val="28"/>
          <w:rtl/>
        </w:rPr>
        <w:footnoteReference w:id="452"/>
      </w:r>
      <w:r w:rsidR="00052504">
        <w:rPr>
          <w:rFonts w:hint="cs"/>
          <w:b/>
          <w:bCs/>
          <w:sz w:val="28"/>
          <w:szCs w:val="28"/>
          <w:rtl/>
        </w:rPr>
        <w:t xml:space="preserve">. </w:t>
      </w:r>
      <w:r w:rsidR="00394DA3">
        <w:rPr>
          <w:rFonts w:hint="cs"/>
          <w:b/>
          <w:bCs/>
          <w:sz w:val="28"/>
          <w:szCs w:val="28"/>
          <w:rtl/>
        </w:rPr>
        <w:t>ו</w:t>
      </w:r>
      <w:r w:rsidR="000F0196">
        <w:rPr>
          <w:rFonts w:hint="cs"/>
          <w:b/>
          <w:bCs/>
          <w:sz w:val="28"/>
          <w:szCs w:val="28"/>
          <w:rtl/>
        </w:rPr>
        <w:t>זה נושא עליו</w:t>
      </w:r>
      <w:r w:rsidR="00AC043A">
        <w:rPr>
          <w:rFonts w:hint="cs"/>
          <w:b/>
          <w:bCs/>
          <w:sz w:val="28"/>
          <w:szCs w:val="28"/>
          <w:rtl/>
        </w:rPr>
        <w:t xml:space="preserve"> </w:t>
      </w:r>
      <w:r w:rsidR="00394DA3">
        <w:rPr>
          <w:rFonts w:hint="cs"/>
          <w:b/>
          <w:bCs/>
          <w:sz w:val="28"/>
          <w:szCs w:val="28"/>
          <w:rtl/>
        </w:rPr>
        <w:t xml:space="preserve">דרך שנייה </w:t>
      </w:r>
      <w:r w:rsidR="00E15AA3">
        <w:rPr>
          <w:rFonts w:hint="cs"/>
          <w:b/>
          <w:bCs/>
          <w:sz w:val="28"/>
          <w:szCs w:val="28"/>
          <w:rtl/>
        </w:rPr>
        <w:t xml:space="preserve">והיא </w:t>
      </w:r>
      <w:r w:rsidR="00503FC1">
        <w:rPr>
          <w:rFonts w:hint="cs"/>
          <w:b/>
          <w:bCs/>
          <w:sz w:val="28"/>
          <w:szCs w:val="28"/>
          <w:rtl/>
        </w:rPr>
        <w:t>שהטבע יניע את מה ש</w:t>
      </w:r>
      <w:r w:rsidR="00503FC1" w:rsidRPr="00503FC1">
        <w:rPr>
          <w:b/>
          <w:bCs/>
          <w:sz w:val="28"/>
          <w:szCs w:val="28"/>
          <w:rtl/>
        </w:rPr>
        <w:t>מוּנָע</w:t>
      </w:r>
      <w:r w:rsidR="00503FC1">
        <w:rPr>
          <w:rFonts w:hint="cs"/>
          <w:b/>
          <w:bCs/>
          <w:sz w:val="28"/>
          <w:szCs w:val="28"/>
          <w:rtl/>
        </w:rPr>
        <w:t xml:space="preserve"> </w:t>
      </w:r>
      <w:r w:rsidR="00F07F7E">
        <w:rPr>
          <w:rFonts w:hint="cs"/>
          <w:b/>
          <w:bCs/>
          <w:sz w:val="28"/>
          <w:szCs w:val="28"/>
          <w:rtl/>
        </w:rPr>
        <w:t>בעצמו</w:t>
      </w:r>
      <w:r w:rsidR="00A23D18">
        <w:rPr>
          <w:rFonts w:hint="cs"/>
          <w:b/>
          <w:bCs/>
          <w:sz w:val="28"/>
          <w:szCs w:val="28"/>
          <w:rtl/>
        </w:rPr>
        <w:t xml:space="preserve"> </w:t>
      </w:r>
      <w:r w:rsidR="00F95EB5">
        <w:rPr>
          <w:rFonts w:hint="cs"/>
          <w:b/>
          <w:bCs/>
          <w:sz w:val="28"/>
          <w:szCs w:val="28"/>
          <w:rtl/>
        </w:rPr>
        <w:t xml:space="preserve">- </w:t>
      </w:r>
      <w:r w:rsidR="00CE629A">
        <w:rPr>
          <w:rFonts w:hint="cs"/>
          <w:b/>
          <w:bCs/>
          <w:sz w:val="28"/>
          <w:szCs w:val="28"/>
          <w:rtl/>
        </w:rPr>
        <w:t>לא מבחוץ</w:t>
      </w:r>
      <w:r w:rsidR="00C8351F">
        <w:rPr>
          <w:rStyle w:val="FootnoteReference"/>
          <w:b/>
          <w:bCs/>
          <w:sz w:val="28"/>
          <w:szCs w:val="28"/>
          <w:rtl/>
        </w:rPr>
        <w:footnoteReference w:id="453"/>
      </w:r>
      <w:r w:rsidR="00CE629A">
        <w:rPr>
          <w:rFonts w:hint="cs"/>
          <w:b/>
          <w:bCs/>
          <w:sz w:val="28"/>
          <w:szCs w:val="28"/>
          <w:rtl/>
        </w:rPr>
        <w:t>.</w:t>
      </w:r>
    </w:p>
    <w:p w14:paraId="3D56E2A3" w14:textId="77777777" w:rsidR="00FA4DCC" w:rsidRDefault="00712E2D" w:rsidP="00A66216">
      <w:pPr>
        <w:pStyle w:val="FootnoteText"/>
        <w:rPr>
          <w:b/>
          <w:bCs/>
          <w:sz w:val="28"/>
          <w:szCs w:val="28"/>
          <w:rtl/>
        </w:rPr>
      </w:pPr>
      <w:r>
        <w:rPr>
          <w:rFonts w:hint="cs"/>
          <w:b/>
          <w:bCs/>
          <w:sz w:val="28"/>
          <w:szCs w:val="28"/>
          <w:rtl/>
        </w:rPr>
        <w:t xml:space="preserve">והאמירה: "לא במקרה", </w:t>
      </w:r>
      <w:r w:rsidR="0042541C">
        <w:rPr>
          <w:rFonts w:hint="cs"/>
          <w:b/>
          <w:bCs/>
          <w:sz w:val="28"/>
          <w:szCs w:val="28"/>
          <w:rtl/>
        </w:rPr>
        <w:t>גם היא נושאת עליה שתי דרכים</w:t>
      </w:r>
      <w:r w:rsidR="009856A7">
        <w:rPr>
          <w:rFonts w:hint="cs"/>
          <w:b/>
          <w:bCs/>
          <w:sz w:val="28"/>
          <w:szCs w:val="28"/>
          <w:rtl/>
        </w:rPr>
        <w:t>,</w:t>
      </w:r>
      <w:r w:rsidR="0042541C">
        <w:rPr>
          <w:rFonts w:hint="cs"/>
          <w:b/>
          <w:bCs/>
          <w:sz w:val="28"/>
          <w:szCs w:val="28"/>
          <w:rtl/>
        </w:rPr>
        <w:t xml:space="preserve"> אחת </w:t>
      </w:r>
      <w:r w:rsidR="00F3681D">
        <w:rPr>
          <w:rFonts w:hint="cs"/>
          <w:b/>
          <w:bCs/>
          <w:sz w:val="28"/>
          <w:szCs w:val="28"/>
          <w:rtl/>
        </w:rPr>
        <w:t xml:space="preserve">מהן </w:t>
      </w:r>
      <w:r w:rsidR="0042541C">
        <w:rPr>
          <w:rFonts w:hint="cs"/>
          <w:b/>
          <w:bCs/>
          <w:sz w:val="28"/>
          <w:szCs w:val="28"/>
          <w:rtl/>
        </w:rPr>
        <w:t xml:space="preserve">ביחס לטבע, </w:t>
      </w:r>
      <w:r w:rsidR="00202E4F">
        <w:rPr>
          <w:rFonts w:hint="cs"/>
          <w:b/>
          <w:bCs/>
          <w:sz w:val="28"/>
          <w:szCs w:val="28"/>
          <w:rtl/>
        </w:rPr>
        <w:t>והאחרת</w:t>
      </w:r>
      <w:r w:rsidR="00251288">
        <w:rPr>
          <w:rFonts w:hint="cs"/>
          <w:b/>
          <w:bCs/>
          <w:sz w:val="28"/>
          <w:szCs w:val="28"/>
          <w:rtl/>
        </w:rPr>
        <w:t xml:space="preserve"> ביחס </w:t>
      </w:r>
      <w:r w:rsidR="00A44179" w:rsidRPr="00A44179">
        <w:rPr>
          <w:b/>
          <w:bCs/>
          <w:sz w:val="28"/>
          <w:szCs w:val="28"/>
          <w:rtl/>
        </w:rPr>
        <w:t>למוּנָע</w:t>
      </w:r>
      <w:r w:rsidR="00251288">
        <w:rPr>
          <w:rFonts w:hint="cs"/>
          <w:b/>
          <w:bCs/>
          <w:sz w:val="28"/>
          <w:szCs w:val="28"/>
          <w:rtl/>
        </w:rPr>
        <w:t xml:space="preserve">. </w:t>
      </w:r>
      <w:r w:rsidR="001F1A72">
        <w:rPr>
          <w:rFonts w:hint="cs"/>
          <w:b/>
          <w:bCs/>
          <w:sz w:val="28"/>
          <w:szCs w:val="28"/>
          <w:rtl/>
        </w:rPr>
        <w:t xml:space="preserve">הדרך </w:t>
      </w:r>
      <w:r w:rsidR="00D81E32">
        <w:rPr>
          <w:rFonts w:hint="cs"/>
          <w:b/>
          <w:bCs/>
          <w:sz w:val="28"/>
          <w:szCs w:val="28"/>
          <w:rtl/>
        </w:rPr>
        <w:t>שה</w:t>
      </w:r>
      <w:r w:rsidR="00FA7541">
        <w:rPr>
          <w:rFonts w:hint="cs"/>
          <w:b/>
          <w:bCs/>
          <w:sz w:val="28"/>
          <w:szCs w:val="28"/>
          <w:rtl/>
        </w:rPr>
        <w:t>יא</w:t>
      </w:r>
      <w:r w:rsidR="00D81E32">
        <w:rPr>
          <w:rFonts w:hint="cs"/>
          <w:b/>
          <w:bCs/>
          <w:sz w:val="28"/>
          <w:szCs w:val="28"/>
          <w:rtl/>
        </w:rPr>
        <w:t xml:space="preserve"> נושא</w:t>
      </w:r>
      <w:r w:rsidR="00FA7541">
        <w:rPr>
          <w:rFonts w:hint="cs"/>
          <w:b/>
          <w:bCs/>
          <w:sz w:val="28"/>
          <w:szCs w:val="28"/>
          <w:rtl/>
        </w:rPr>
        <w:t>ת</w:t>
      </w:r>
      <w:r w:rsidR="00D81E32">
        <w:rPr>
          <w:rFonts w:hint="cs"/>
          <w:b/>
          <w:bCs/>
          <w:sz w:val="28"/>
          <w:szCs w:val="28"/>
          <w:rtl/>
        </w:rPr>
        <w:t xml:space="preserve"> עלי</w:t>
      </w:r>
      <w:r w:rsidR="00FA7541">
        <w:rPr>
          <w:rFonts w:hint="cs"/>
          <w:b/>
          <w:bCs/>
          <w:sz w:val="28"/>
          <w:szCs w:val="28"/>
          <w:rtl/>
        </w:rPr>
        <w:t>ה</w:t>
      </w:r>
      <w:r w:rsidR="00D81E32">
        <w:rPr>
          <w:rFonts w:hint="cs"/>
          <w:b/>
          <w:bCs/>
          <w:sz w:val="28"/>
          <w:szCs w:val="28"/>
          <w:rtl/>
        </w:rPr>
        <w:t xml:space="preserve"> ביחס לטבע </w:t>
      </w:r>
      <w:r w:rsidR="00720D52">
        <w:rPr>
          <w:rFonts w:hint="cs"/>
          <w:b/>
          <w:bCs/>
          <w:sz w:val="28"/>
          <w:szCs w:val="28"/>
          <w:rtl/>
        </w:rPr>
        <w:t>היא שהטבע הוא התחלה ל</w:t>
      </w:r>
      <w:r w:rsidR="006F271D">
        <w:rPr>
          <w:rFonts w:hint="cs"/>
          <w:b/>
          <w:bCs/>
          <w:sz w:val="28"/>
          <w:szCs w:val="28"/>
          <w:rtl/>
        </w:rPr>
        <w:t xml:space="preserve">מה </w:t>
      </w:r>
      <w:r w:rsidR="00302C12">
        <w:rPr>
          <w:rFonts w:hint="cs"/>
          <w:b/>
          <w:bCs/>
          <w:sz w:val="28"/>
          <w:szCs w:val="28"/>
          <w:rtl/>
        </w:rPr>
        <w:t xml:space="preserve">שהוא מניע באמת </w:t>
      </w:r>
      <w:r w:rsidR="0072291E">
        <w:rPr>
          <w:rFonts w:hint="cs"/>
          <w:b/>
          <w:bCs/>
          <w:sz w:val="28"/>
          <w:szCs w:val="28"/>
          <w:rtl/>
        </w:rPr>
        <w:t xml:space="preserve">- לא במקרה. </w:t>
      </w:r>
      <w:r w:rsidR="008079AE">
        <w:rPr>
          <w:rFonts w:hint="cs"/>
          <w:b/>
          <w:bCs/>
          <w:sz w:val="28"/>
          <w:szCs w:val="28"/>
          <w:rtl/>
        </w:rPr>
        <w:t>וה</w:t>
      </w:r>
      <w:r w:rsidR="00F53C21">
        <w:rPr>
          <w:rFonts w:hint="cs"/>
          <w:b/>
          <w:bCs/>
          <w:sz w:val="28"/>
          <w:szCs w:val="28"/>
          <w:rtl/>
        </w:rPr>
        <w:t>תנו</w:t>
      </w:r>
      <w:r w:rsidR="008079AE">
        <w:rPr>
          <w:rFonts w:hint="cs"/>
          <w:b/>
          <w:bCs/>
          <w:sz w:val="28"/>
          <w:szCs w:val="28"/>
          <w:rtl/>
        </w:rPr>
        <w:t xml:space="preserve">עה במקרה </w:t>
      </w:r>
      <w:r w:rsidR="00103CFB">
        <w:rPr>
          <w:rFonts w:hint="cs"/>
          <w:b/>
          <w:bCs/>
          <w:sz w:val="28"/>
          <w:szCs w:val="28"/>
          <w:rtl/>
        </w:rPr>
        <w:t>היא כמו</w:t>
      </w:r>
      <w:r w:rsidR="00F53C21">
        <w:rPr>
          <w:rFonts w:hint="cs"/>
          <w:b/>
          <w:bCs/>
          <w:sz w:val="28"/>
          <w:szCs w:val="28"/>
          <w:rtl/>
        </w:rPr>
        <w:t xml:space="preserve"> התנועה ש</w:t>
      </w:r>
      <w:r w:rsidR="0095726A">
        <w:rPr>
          <w:rFonts w:hint="cs"/>
          <w:b/>
          <w:bCs/>
          <w:sz w:val="28"/>
          <w:szCs w:val="28"/>
          <w:rtl/>
        </w:rPr>
        <w:t>ל ה</w:t>
      </w:r>
      <w:r w:rsidR="003D4ABC">
        <w:rPr>
          <w:rFonts w:hint="cs"/>
          <w:b/>
          <w:bCs/>
          <w:sz w:val="28"/>
          <w:szCs w:val="28"/>
          <w:rtl/>
        </w:rPr>
        <w:t>עומד</w:t>
      </w:r>
      <w:r w:rsidR="0095726A">
        <w:rPr>
          <w:rFonts w:hint="cs"/>
          <w:b/>
          <w:bCs/>
          <w:sz w:val="28"/>
          <w:szCs w:val="28"/>
          <w:rtl/>
        </w:rPr>
        <w:t xml:space="preserve"> בספינה </w:t>
      </w:r>
      <w:r w:rsidR="006D49AA">
        <w:rPr>
          <w:rFonts w:hint="cs"/>
          <w:b/>
          <w:bCs/>
          <w:sz w:val="28"/>
          <w:szCs w:val="28"/>
          <w:rtl/>
        </w:rPr>
        <w:t>שהס</w:t>
      </w:r>
      <w:r w:rsidR="00C44FA2">
        <w:rPr>
          <w:rFonts w:hint="cs"/>
          <w:b/>
          <w:bCs/>
          <w:sz w:val="28"/>
          <w:szCs w:val="28"/>
          <w:rtl/>
        </w:rPr>
        <w:t>פ</w:t>
      </w:r>
      <w:r w:rsidR="006D49AA">
        <w:rPr>
          <w:rFonts w:hint="cs"/>
          <w:b/>
          <w:bCs/>
          <w:sz w:val="28"/>
          <w:szCs w:val="28"/>
          <w:rtl/>
        </w:rPr>
        <w:t>ינה מניעה אותו</w:t>
      </w:r>
      <w:r w:rsidR="00FC3D7E">
        <w:rPr>
          <w:rStyle w:val="FootnoteReference"/>
          <w:b/>
          <w:bCs/>
          <w:sz w:val="28"/>
          <w:szCs w:val="28"/>
          <w:rtl/>
        </w:rPr>
        <w:footnoteReference w:id="454"/>
      </w:r>
      <w:r w:rsidR="006D49AA">
        <w:rPr>
          <w:rFonts w:hint="cs"/>
          <w:b/>
          <w:bCs/>
          <w:sz w:val="28"/>
          <w:szCs w:val="28"/>
          <w:rtl/>
        </w:rPr>
        <w:t xml:space="preserve">. </w:t>
      </w:r>
    </w:p>
    <w:p w14:paraId="42F7F766" w14:textId="34F2BF0B" w:rsidR="00EC09F8" w:rsidRDefault="0023695C" w:rsidP="00AF63E4">
      <w:pPr>
        <w:pStyle w:val="FootnoteText"/>
        <w:rPr>
          <w:b/>
          <w:bCs/>
          <w:sz w:val="28"/>
          <w:szCs w:val="28"/>
          <w:rtl/>
        </w:rPr>
      </w:pPr>
      <w:r>
        <w:rPr>
          <w:rFonts w:hint="cs"/>
          <w:b/>
          <w:bCs/>
          <w:sz w:val="28"/>
          <w:szCs w:val="28"/>
          <w:rtl/>
        </w:rPr>
        <w:t>והדרך האחרת</w:t>
      </w:r>
      <w:r w:rsidR="008A35E2">
        <w:rPr>
          <w:rFonts w:hint="cs"/>
          <w:b/>
          <w:bCs/>
          <w:sz w:val="28"/>
          <w:szCs w:val="28"/>
          <w:rtl/>
        </w:rPr>
        <w:t xml:space="preserve"> היא כשהטבע מניע </w:t>
      </w:r>
      <w:r w:rsidR="00E812B5" w:rsidRPr="00E812B5">
        <w:rPr>
          <w:b/>
          <w:bCs/>
          <w:sz w:val="28"/>
          <w:szCs w:val="28"/>
          <w:rtl/>
        </w:rPr>
        <w:t>פֶּסֶל</w:t>
      </w:r>
      <w:r w:rsidR="008A35E2">
        <w:rPr>
          <w:rFonts w:hint="cs"/>
          <w:b/>
          <w:bCs/>
          <w:sz w:val="28"/>
          <w:szCs w:val="28"/>
          <w:rtl/>
        </w:rPr>
        <w:t>,</w:t>
      </w:r>
      <w:r w:rsidR="000626C5">
        <w:rPr>
          <w:rFonts w:hint="cs"/>
          <w:b/>
          <w:bCs/>
          <w:sz w:val="28"/>
          <w:szCs w:val="28"/>
          <w:rtl/>
        </w:rPr>
        <w:t xml:space="preserve"> שהוא </w:t>
      </w:r>
      <w:r w:rsidR="00A66996" w:rsidRPr="00A66996">
        <w:rPr>
          <w:b/>
          <w:bCs/>
          <w:sz w:val="28"/>
          <w:szCs w:val="28"/>
          <w:rtl/>
        </w:rPr>
        <w:t>מוּנָע</w:t>
      </w:r>
      <w:r w:rsidR="000626C5">
        <w:rPr>
          <w:rFonts w:hint="cs"/>
          <w:b/>
          <w:bCs/>
          <w:sz w:val="28"/>
          <w:szCs w:val="28"/>
          <w:rtl/>
        </w:rPr>
        <w:t xml:space="preserve"> במקרה</w:t>
      </w:r>
      <w:r w:rsidR="006F0E28">
        <w:rPr>
          <w:rStyle w:val="FootnoteReference"/>
          <w:b/>
          <w:bCs/>
          <w:sz w:val="28"/>
          <w:szCs w:val="28"/>
          <w:rtl/>
        </w:rPr>
        <w:footnoteReference w:id="455"/>
      </w:r>
      <w:r w:rsidR="00831AA8">
        <w:rPr>
          <w:rFonts w:hint="cs"/>
          <w:b/>
          <w:bCs/>
          <w:sz w:val="28"/>
          <w:szCs w:val="28"/>
          <w:rtl/>
        </w:rPr>
        <w:t xml:space="preserve"> </w:t>
      </w:r>
      <w:r w:rsidR="00554779">
        <w:rPr>
          <w:rFonts w:hint="cs"/>
          <w:b/>
          <w:bCs/>
          <w:sz w:val="28"/>
          <w:szCs w:val="28"/>
          <w:rtl/>
        </w:rPr>
        <w:t xml:space="preserve">כי </w:t>
      </w:r>
      <w:proofErr w:type="spellStart"/>
      <w:r w:rsidR="00554779">
        <w:rPr>
          <w:rFonts w:hint="cs"/>
          <w:b/>
          <w:bCs/>
          <w:sz w:val="28"/>
          <w:szCs w:val="28"/>
          <w:rtl/>
        </w:rPr>
        <w:t>הנעתו</w:t>
      </w:r>
      <w:proofErr w:type="spellEnd"/>
      <w:r w:rsidR="00554779">
        <w:rPr>
          <w:rFonts w:hint="cs"/>
          <w:b/>
          <w:bCs/>
          <w:sz w:val="28"/>
          <w:szCs w:val="28"/>
          <w:rtl/>
        </w:rPr>
        <w:t xml:space="preserve"> ב</w:t>
      </w:r>
      <w:r w:rsidR="008B36E8">
        <w:rPr>
          <w:rFonts w:hint="cs"/>
          <w:b/>
          <w:bCs/>
          <w:sz w:val="28"/>
          <w:szCs w:val="28"/>
          <w:rtl/>
        </w:rPr>
        <w:t xml:space="preserve">עצמה היא </w:t>
      </w:r>
      <w:r w:rsidR="00DD0BCB">
        <w:rPr>
          <w:rFonts w:hint="cs"/>
          <w:b/>
          <w:bCs/>
          <w:sz w:val="28"/>
          <w:szCs w:val="28"/>
          <w:rtl/>
        </w:rPr>
        <w:t xml:space="preserve">בנחושת ולא בפסל, </w:t>
      </w:r>
      <w:r w:rsidR="00655FD2">
        <w:rPr>
          <w:rFonts w:hint="cs"/>
          <w:b/>
          <w:bCs/>
          <w:sz w:val="28"/>
          <w:szCs w:val="28"/>
          <w:rtl/>
        </w:rPr>
        <w:t>ו</w:t>
      </w:r>
      <w:r w:rsidR="006F0323">
        <w:rPr>
          <w:rFonts w:hint="cs"/>
          <w:b/>
          <w:bCs/>
          <w:sz w:val="28"/>
          <w:szCs w:val="28"/>
          <w:rtl/>
        </w:rPr>
        <w:t>אין</w:t>
      </w:r>
      <w:r w:rsidR="006B05E5">
        <w:rPr>
          <w:rFonts w:hint="cs"/>
          <w:b/>
          <w:bCs/>
          <w:sz w:val="28"/>
          <w:szCs w:val="28"/>
          <w:rtl/>
        </w:rPr>
        <w:t xml:space="preserve"> ה</w:t>
      </w:r>
      <w:r w:rsidR="00F16E92">
        <w:rPr>
          <w:rFonts w:hint="cs"/>
          <w:b/>
          <w:bCs/>
          <w:sz w:val="28"/>
          <w:szCs w:val="28"/>
          <w:rtl/>
        </w:rPr>
        <w:t>פסל מצד שהוא פסל</w:t>
      </w:r>
      <w:r w:rsidR="006B05E5">
        <w:rPr>
          <w:rFonts w:hint="cs"/>
          <w:b/>
          <w:bCs/>
          <w:sz w:val="28"/>
          <w:szCs w:val="28"/>
          <w:rtl/>
        </w:rPr>
        <w:t xml:space="preserve"> </w:t>
      </w:r>
      <w:r w:rsidR="00F81212" w:rsidRPr="00F81212">
        <w:rPr>
          <w:b/>
          <w:bCs/>
          <w:sz w:val="28"/>
          <w:szCs w:val="28"/>
          <w:rtl/>
        </w:rPr>
        <w:t>מוּנָע</w:t>
      </w:r>
      <w:r w:rsidR="006B05E5">
        <w:rPr>
          <w:rFonts w:hint="cs"/>
          <w:b/>
          <w:bCs/>
          <w:sz w:val="28"/>
          <w:szCs w:val="28"/>
          <w:rtl/>
        </w:rPr>
        <w:t xml:space="preserve"> על ידי הטבע </w:t>
      </w:r>
      <w:r w:rsidR="00075511">
        <w:rPr>
          <w:rFonts w:hint="cs"/>
          <w:b/>
          <w:bCs/>
          <w:sz w:val="28"/>
          <w:szCs w:val="28"/>
          <w:rtl/>
        </w:rPr>
        <w:t>כמו האבן</w:t>
      </w:r>
      <w:r w:rsidR="00741274">
        <w:rPr>
          <w:rStyle w:val="FootnoteReference"/>
          <w:b/>
          <w:bCs/>
          <w:sz w:val="28"/>
          <w:szCs w:val="28"/>
          <w:rtl/>
        </w:rPr>
        <w:footnoteReference w:id="456"/>
      </w:r>
      <w:r w:rsidR="00075511">
        <w:rPr>
          <w:rFonts w:hint="cs"/>
          <w:b/>
          <w:bCs/>
          <w:sz w:val="28"/>
          <w:szCs w:val="28"/>
          <w:rtl/>
        </w:rPr>
        <w:t xml:space="preserve">. </w:t>
      </w:r>
      <w:r w:rsidR="00DC38E0">
        <w:rPr>
          <w:rFonts w:hint="cs"/>
          <w:b/>
          <w:bCs/>
          <w:sz w:val="28"/>
          <w:szCs w:val="28"/>
          <w:rtl/>
        </w:rPr>
        <w:t>ו</w:t>
      </w:r>
      <w:r w:rsidR="00163874">
        <w:rPr>
          <w:rFonts w:hint="cs"/>
          <w:b/>
          <w:bCs/>
          <w:sz w:val="28"/>
          <w:szCs w:val="28"/>
          <w:rtl/>
        </w:rPr>
        <w:t xml:space="preserve">משום כך </w:t>
      </w:r>
      <w:r w:rsidR="00DC38E0">
        <w:rPr>
          <w:rFonts w:hint="cs"/>
          <w:b/>
          <w:bCs/>
          <w:sz w:val="28"/>
          <w:szCs w:val="28"/>
          <w:rtl/>
        </w:rPr>
        <w:t>לא</w:t>
      </w:r>
      <w:r w:rsidR="0028048C">
        <w:rPr>
          <w:rFonts w:hint="cs"/>
          <w:b/>
          <w:bCs/>
          <w:sz w:val="28"/>
          <w:szCs w:val="28"/>
          <w:rtl/>
        </w:rPr>
        <w:t xml:space="preserve"> </w:t>
      </w:r>
      <w:r w:rsidR="003924A7">
        <w:rPr>
          <w:rFonts w:hint="cs"/>
          <w:b/>
          <w:bCs/>
          <w:sz w:val="28"/>
          <w:szCs w:val="28"/>
          <w:rtl/>
        </w:rPr>
        <w:t>י</w:t>
      </w:r>
      <w:r w:rsidR="0028048C">
        <w:rPr>
          <w:rFonts w:hint="cs"/>
          <w:b/>
          <w:bCs/>
          <w:sz w:val="28"/>
          <w:szCs w:val="28"/>
          <w:rtl/>
        </w:rPr>
        <w:t>היה</w:t>
      </w:r>
      <w:r w:rsidR="003D66B3">
        <w:rPr>
          <w:rFonts w:hint="cs"/>
          <w:b/>
          <w:bCs/>
          <w:sz w:val="28"/>
          <w:szCs w:val="28"/>
          <w:rtl/>
        </w:rPr>
        <w:t xml:space="preserve"> </w:t>
      </w:r>
      <w:r w:rsidR="0028048C">
        <w:rPr>
          <w:rFonts w:hint="cs"/>
          <w:b/>
          <w:bCs/>
          <w:sz w:val="28"/>
          <w:szCs w:val="28"/>
          <w:rtl/>
        </w:rPr>
        <w:t>הריפוי טבעי</w:t>
      </w:r>
      <w:r w:rsidR="00F33C81">
        <w:rPr>
          <w:rFonts w:hint="cs"/>
          <w:b/>
          <w:bCs/>
          <w:sz w:val="28"/>
          <w:szCs w:val="28"/>
          <w:rtl/>
        </w:rPr>
        <w:t xml:space="preserve"> </w:t>
      </w:r>
      <w:r w:rsidR="005D61BB">
        <w:rPr>
          <w:rFonts w:hint="cs"/>
          <w:b/>
          <w:bCs/>
          <w:sz w:val="28"/>
          <w:szCs w:val="28"/>
          <w:rtl/>
        </w:rPr>
        <w:t xml:space="preserve">אם </w:t>
      </w:r>
      <w:r w:rsidR="00E916AF">
        <w:rPr>
          <w:rFonts w:hint="cs"/>
          <w:b/>
          <w:bCs/>
          <w:sz w:val="28"/>
          <w:szCs w:val="28"/>
          <w:rtl/>
        </w:rPr>
        <w:t>הרופא מטפל בעצמו</w:t>
      </w:r>
      <w:r w:rsidR="00AD2BCE">
        <w:rPr>
          <w:rStyle w:val="FootnoteReference"/>
          <w:b/>
          <w:bCs/>
          <w:sz w:val="28"/>
          <w:szCs w:val="28"/>
          <w:rtl/>
        </w:rPr>
        <w:footnoteReference w:id="457"/>
      </w:r>
      <w:r w:rsidR="005C5CF3">
        <w:rPr>
          <w:rFonts w:hint="cs"/>
          <w:b/>
          <w:bCs/>
          <w:sz w:val="28"/>
          <w:szCs w:val="28"/>
          <w:rtl/>
        </w:rPr>
        <w:t>,</w:t>
      </w:r>
      <w:r w:rsidR="00B9788E">
        <w:rPr>
          <w:rFonts w:hint="cs"/>
          <w:b/>
          <w:bCs/>
          <w:sz w:val="28"/>
          <w:szCs w:val="28"/>
          <w:rtl/>
        </w:rPr>
        <w:t xml:space="preserve"> </w:t>
      </w:r>
      <w:proofErr w:type="spellStart"/>
      <w:r w:rsidR="001D61AE">
        <w:rPr>
          <w:rFonts w:hint="cs"/>
          <w:b/>
          <w:bCs/>
          <w:sz w:val="28"/>
          <w:szCs w:val="28"/>
          <w:rtl/>
        </w:rPr>
        <w:t>ו</w:t>
      </w:r>
      <w:r w:rsidR="00E87BDB">
        <w:rPr>
          <w:rFonts w:hint="cs"/>
          <w:b/>
          <w:bCs/>
          <w:sz w:val="28"/>
          <w:szCs w:val="28"/>
          <w:rtl/>
        </w:rPr>
        <w:t>ה</w:t>
      </w:r>
      <w:r w:rsidR="00134260">
        <w:rPr>
          <w:rFonts w:hint="cs"/>
          <w:b/>
          <w:bCs/>
          <w:sz w:val="28"/>
          <w:szCs w:val="28"/>
          <w:rtl/>
        </w:rPr>
        <w:t>כח</w:t>
      </w:r>
      <w:proofErr w:type="spellEnd"/>
      <w:r w:rsidR="00134260">
        <w:rPr>
          <w:rFonts w:hint="cs"/>
          <w:b/>
          <w:bCs/>
          <w:sz w:val="28"/>
          <w:szCs w:val="28"/>
          <w:rtl/>
        </w:rPr>
        <w:t xml:space="preserve"> ה</w:t>
      </w:r>
      <w:r w:rsidR="00E87BDB">
        <w:rPr>
          <w:rFonts w:hint="cs"/>
          <w:b/>
          <w:bCs/>
          <w:sz w:val="28"/>
          <w:szCs w:val="28"/>
          <w:rtl/>
        </w:rPr>
        <w:t>מניע</w:t>
      </w:r>
      <w:r w:rsidR="00C97DB7">
        <w:rPr>
          <w:rFonts w:hint="cs"/>
          <w:b/>
          <w:bCs/>
          <w:sz w:val="28"/>
          <w:szCs w:val="28"/>
          <w:rtl/>
        </w:rPr>
        <w:t xml:space="preserve"> של הריפוי אינו בו</w:t>
      </w:r>
      <w:r w:rsidR="00D6673B">
        <w:rPr>
          <w:rFonts w:hint="cs"/>
          <w:b/>
          <w:bCs/>
          <w:sz w:val="28"/>
          <w:szCs w:val="28"/>
          <w:rtl/>
        </w:rPr>
        <w:t>.</w:t>
      </w:r>
      <w:r w:rsidR="004877B9">
        <w:rPr>
          <w:rFonts w:hint="cs"/>
          <w:b/>
          <w:bCs/>
          <w:sz w:val="28"/>
          <w:szCs w:val="28"/>
          <w:rtl/>
        </w:rPr>
        <w:t xml:space="preserve"> </w:t>
      </w:r>
      <w:r w:rsidR="00837A40">
        <w:rPr>
          <w:rFonts w:hint="cs"/>
          <w:b/>
          <w:bCs/>
          <w:sz w:val="28"/>
          <w:szCs w:val="28"/>
          <w:rtl/>
        </w:rPr>
        <w:t>כי</w:t>
      </w:r>
      <w:r w:rsidR="004877B9">
        <w:rPr>
          <w:rFonts w:hint="cs"/>
          <w:b/>
          <w:bCs/>
          <w:sz w:val="28"/>
          <w:szCs w:val="28"/>
          <w:rtl/>
        </w:rPr>
        <w:t xml:space="preserve"> הוא בו </w:t>
      </w:r>
      <w:r w:rsidR="00837A40">
        <w:rPr>
          <w:rFonts w:hint="cs"/>
          <w:b/>
          <w:bCs/>
          <w:sz w:val="28"/>
          <w:szCs w:val="28"/>
          <w:rtl/>
        </w:rPr>
        <w:t>לא מצד שהוא חולה</w:t>
      </w:r>
      <w:r w:rsidR="0032105A">
        <w:rPr>
          <w:rFonts w:hint="cs"/>
          <w:b/>
          <w:bCs/>
          <w:sz w:val="28"/>
          <w:szCs w:val="28"/>
          <w:rtl/>
        </w:rPr>
        <w:t>, אלא מצד שהוא רופא</w:t>
      </w:r>
      <w:r w:rsidR="00D93FC5">
        <w:rPr>
          <w:rFonts w:hint="cs"/>
          <w:b/>
          <w:bCs/>
          <w:sz w:val="28"/>
          <w:szCs w:val="28"/>
          <w:rtl/>
        </w:rPr>
        <w:t>,</w:t>
      </w:r>
      <w:r w:rsidR="0032105A">
        <w:rPr>
          <w:rFonts w:hint="cs"/>
          <w:b/>
          <w:bCs/>
          <w:sz w:val="28"/>
          <w:szCs w:val="28"/>
          <w:rtl/>
        </w:rPr>
        <w:t xml:space="preserve"> </w:t>
      </w:r>
      <w:r w:rsidR="0098702D">
        <w:rPr>
          <w:rFonts w:hint="cs"/>
          <w:b/>
          <w:bCs/>
          <w:sz w:val="28"/>
          <w:szCs w:val="28"/>
          <w:rtl/>
        </w:rPr>
        <w:t>ו</w:t>
      </w:r>
      <w:r w:rsidR="0043212E">
        <w:rPr>
          <w:rFonts w:hint="cs"/>
          <w:b/>
          <w:bCs/>
          <w:sz w:val="28"/>
          <w:szCs w:val="28"/>
          <w:rtl/>
        </w:rPr>
        <w:t xml:space="preserve">הרופא </w:t>
      </w:r>
      <w:r w:rsidR="007A7779">
        <w:rPr>
          <w:rFonts w:hint="cs"/>
          <w:b/>
          <w:bCs/>
          <w:sz w:val="28"/>
          <w:szCs w:val="28"/>
          <w:rtl/>
        </w:rPr>
        <w:t xml:space="preserve">אם </w:t>
      </w:r>
      <w:r w:rsidR="0043212E">
        <w:rPr>
          <w:rFonts w:hint="cs"/>
          <w:b/>
          <w:bCs/>
          <w:sz w:val="28"/>
          <w:szCs w:val="28"/>
          <w:rtl/>
        </w:rPr>
        <w:t>ט</w:t>
      </w:r>
      <w:r w:rsidR="00EB7822">
        <w:rPr>
          <w:rFonts w:hint="cs"/>
          <w:b/>
          <w:bCs/>
          <w:sz w:val="28"/>
          <w:szCs w:val="28"/>
          <w:rtl/>
        </w:rPr>
        <w:t>י</w:t>
      </w:r>
      <w:r w:rsidR="0043212E">
        <w:rPr>
          <w:rFonts w:hint="cs"/>
          <w:b/>
          <w:bCs/>
          <w:sz w:val="28"/>
          <w:szCs w:val="28"/>
          <w:rtl/>
        </w:rPr>
        <w:t>פל בעצמו ו</w:t>
      </w:r>
      <w:r w:rsidR="00EB7822">
        <w:rPr>
          <w:rFonts w:hint="cs"/>
          <w:b/>
          <w:bCs/>
          <w:sz w:val="28"/>
          <w:szCs w:val="28"/>
          <w:rtl/>
        </w:rPr>
        <w:t>ה</w:t>
      </w:r>
      <w:r w:rsidR="0043212E">
        <w:rPr>
          <w:rFonts w:hint="cs"/>
          <w:b/>
          <w:bCs/>
          <w:sz w:val="28"/>
          <w:szCs w:val="28"/>
          <w:rtl/>
        </w:rPr>
        <w:t xml:space="preserve">בריא </w:t>
      </w:r>
      <w:r w:rsidR="002324B2">
        <w:rPr>
          <w:rFonts w:hint="cs"/>
          <w:b/>
          <w:bCs/>
          <w:sz w:val="28"/>
          <w:szCs w:val="28"/>
          <w:rtl/>
        </w:rPr>
        <w:t xml:space="preserve">לא </w:t>
      </w:r>
      <w:r w:rsidR="00F07E55">
        <w:rPr>
          <w:rFonts w:hint="cs"/>
          <w:b/>
          <w:bCs/>
          <w:sz w:val="28"/>
          <w:szCs w:val="28"/>
          <w:rtl/>
        </w:rPr>
        <w:t>ת</w:t>
      </w:r>
      <w:r w:rsidR="002324B2">
        <w:rPr>
          <w:rFonts w:hint="cs"/>
          <w:b/>
          <w:bCs/>
          <w:sz w:val="28"/>
          <w:szCs w:val="28"/>
          <w:rtl/>
        </w:rPr>
        <w:t>היה ה</w:t>
      </w:r>
      <w:r w:rsidR="00F07E55">
        <w:rPr>
          <w:rFonts w:hint="cs"/>
          <w:b/>
          <w:bCs/>
          <w:sz w:val="28"/>
          <w:szCs w:val="28"/>
          <w:rtl/>
        </w:rPr>
        <w:t>הבראה</w:t>
      </w:r>
      <w:r w:rsidR="002324B2">
        <w:rPr>
          <w:rFonts w:hint="cs"/>
          <w:b/>
          <w:bCs/>
          <w:sz w:val="28"/>
          <w:szCs w:val="28"/>
          <w:rtl/>
        </w:rPr>
        <w:t xml:space="preserve"> </w:t>
      </w:r>
      <w:r w:rsidR="00977454">
        <w:rPr>
          <w:rFonts w:hint="cs"/>
          <w:b/>
          <w:bCs/>
          <w:sz w:val="28"/>
          <w:szCs w:val="28"/>
          <w:rtl/>
        </w:rPr>
        <w:t>מ</w:t>
      </w:r>
      <w:r w:rsidR="006B0C2D">
        <w:rPr>
          <w:rFonts w:hint="cs"/>
          <w:b/>
          <w:bCs/>
          <w:sz w:val="28"/>
          <w:szCs w:val="28"/>
          <w:rtl/>
        </w:rPr>
        <w:t>חמ</w:t>
      </w:r>
      <w:r w:rsidR="00977454">
        <w:rPr>
          <w:rFonts w:hint="cs"/>
          <w:b/>
          <w:bCs/>
          <w:sz w:val="28"/>
          <w:szCs w:val="28"/>
          <w:rtl/>
        </w:rPr>
        <w:t xml:space="preserve">ת הרופא </w:t>
      </w:r>
      <w:r w:rsidR="00140759">
        <w:rPr>
          <w:rFonts w:hint="cs"/>
          <w:b/>
          <w:bCs/>
          <w:sz w:val="28"/>
          <w:szCs w:val="28"/>
          <w:rtl/>
        </w:rPr>
        <w:t>אלא מ</w:t>
      </w:r>
      <w:r w:rsidR="006B0C2D">
        <w:rPr>
          <w:rFonts w:hint="cs"/>
          <w:b/>
          <w:bCs/>
          <w:sz w:val="28"/>
          <w:szCs w:val="28"/>
          <w:rtl/>
        </w:rPr>
        <w:t xml:space="preserve">חמת </w:t>
      </w:r>
      <w:r w:rsidR="00890B2F">
        <w:rPr>
          <w:rFonts w:hint="cs"/>
          <w:b/>
          <w:bCs/>
          <w:sz w:val="28"/>
          <w:szCs w:val="28"/>
          <w:rtl/>
        </w:rPr>
        <w:t>שטופל</w:t>
      </w:r>
      <w:r w:rsidR="0056119B">
        <w:rPr>
          <w:rFonts w:hint="cs"/>
          <w:b/>
          <w:bCs/>
          <w:sz w:val="28"/>
          <w:szCs w:val="28"/>
          <w:rtl/>
        </w:rPr>
        <w:t xml:space="preserve">, וזה </w:t>
      </w:r>
      <w:r w:rsidR="00496D6E">
        <w:rPr>
          <w:rFonts w:hint="cs"/>
          <w:b/>
          <w:bCs/>
          <w:sz w:val="28"/>
          <w:szCs w:val="28"/>
          <w:rtl/>
        </w:rPr>
        <w:t>מצד שהוא</w:t>
      </w:r>
      <w:r w:rsidR="00733CCD">
        <w:rPr>
          <w:rFonts w:hint="cs"/>
          <w:b/>
          <w:bCs/>
          <w:sz w:val="28"/>
          <w:szCs w:val="28"/>
          <w:rtl/>
        </w:rPr>
        <w:t xml:space="preserve"> </w:t>
      </w:r>
      <w:r w:rsidR="00CC3A18">
        <w:rPr>
          <w:rFonts w:hint="cs"/>
          <w:b/>
          <w:bCs/>
          <w:sz w:val="28"/>
          <w:szCs w:val="28"/>
          <w:rtl/>
        </w:rPr>
        <w:t xml:space="preserve">גוף </w:t>
      </w:r>
      <w:r w:rsidR="00733CCD">
        <w:rPr>
          <w:rFonts w:hint="cs"/>
          <w:b/>
          <w:bCs/>
          <w:sz w:val="28"/>
          <w:szCs w:val="28"/>
          <w:rtl/>
        </w:rPr>
        <w:t xml:space="preserve">מטפל </w:t>
      </w:r>
      <w:r w:rsidR="00A925DE">
        <w:rPr>
          <w:rFonts w:hint="cs"/>
          <w:b/>
          <w:bCs/>
          <w:sz w:val="28"/>
          <w:szCs w:val="28"/>
          <w:rtl/>
        </w:rPr>
        <w:t xml:space="preserve">ומצד </w:t>
      </w:r>
      <w:r w:rsidR="004536AB">
        <w:rPr>
          <w:rFonts w:hint="cs"/>
          <w:b/>
          <w:bCs/>
          <w:sz w:val="28"/>
          <w:szCs w:val="28"/>
          <w:rtl/>
        </w:rPr>
        <w:t>ש</w:t>
      </w:r>
      <w:r w:rsidR="00A925DE">
        <w:rPr>
          <w:rFonts w:hint="cs"/>
          <w:b/>
          <w:bCs/>
          <w:sz w:val="28"/>
          <w:szCs w:val="28"/>
          <w:rtl/>
        </w:rPr>
        <w:t xml:space="preserve">הוא </w:t>
      </w:r>
      <w:r w:rsidR="00680638">
        <w:rPr>
          <w:rFonts w:hint="cs"/>
          <w:b/>
          <w:bCs/>
          <w:sz w:val="28"/>
          <w:szCs w:val="28"/>
          <w:rtl/>
        </w:rPr>
        <w:t xml:space="preserve">גוף </w:t>
      </w:r>
      <w:r w:rsidR="00A925DE">
        <w:rPr>
          <w:rFonts w:hint="cs"/>
          <w:b/>
          <w:bCs/>
          <w:sz w:val="28"/>
          <w:szCs w:val="28"/>
          <w:rtl/>
        </w:rPr>
        <w:t>מטופל</w:t>
      </w:r>
      <w:r w:rsidR="00AB37D4">
        <w:rPr>
          <w:rFonts w:hint="cs"/>
          <w:b/>
          <w:bCs/>
          <w:sz w:val="28"/>
          <w:szCs w:val="28"/>
          <w:rtl/>
        </w:rPr>
        <w:t>, ו</w:t>
      </w:r>
      <w:r w:rsidR="001F0806">
        <w:rPr>
          <w:rFonts w:hint="cs"/>
          <w:b/>
          <w:bCs/>
          <w:sz w:val="28"/>
          <w:szCs w:val="28"/>
          <w:rtl/>
        </w:rPr>
        <w:t>מצד שהוא מ</w:t>
      </w:r>
      <w:r w:rsidR="00190B6A">
        <w:rPr>
          <w:rFonts w:hint="cs"/>
          <w:b/>
          <w:bCs/>
          <w:sz w:val="28"/>
          <w:szCs w:val="28"/>
          <w:rtl/>
        </w:rPr>
        <w:t>טפ</w:t>
      </w:r>
      <w:r w:rsidR="00AD520F">
        <w:rPr>
          <w:rFonts w:hint="cs"/>
          <w:b/>
          <w:bCs/>
          <w:sz w:val="28"/>
          <w:szCs w:val="28"/>
          <w:rtl/>
        </w:rPr>
        <w:t>ל</w:t>
      </w:r>
      <w:r w:rsidR="001F0806">
        <w:rPr>
          <w:rFonts w:hint="cs"/>
          <w:b/>
          <w:bCs/>
          <w:sz w:val="28"/>
          <w:szCs w:val="28"/>
          <w:rtl/>
        </w:rPr>
        <w:t xml:space="preserve"> </w:t>
      </w:r>
      <w:r w:rsidR="00560652">
        <w:rPr>
          <w:rFonts w:hint="cs"/>
          <w:b/>
          <w:bCs/>
          <w:sz w:val="28"/>
          <w:szCs w:val="28"/>
          <w:rtl/>
        </w:rPr>
        <w:t>הוא עושה את הריפוי</w:t>
      </w:r>
      <w:r w:rsidR="00140759">
        <w:rPr>
          <w:rFonts w:hint="cs"/>
          <w:b/>
          <w:bCs/>
          <w:sz w:val="28"/>
          <w:szCs w:val="28"/>
          <w:rtl/>
        </w:rPr>
        <w:t xml:space="preserve"> </w:t>
      </w:r>
      <w:r w:rsidR="003C726F">
        <w:rPr>
          <w:rFonts w:hint="cs"/>
          <w:b/>
          <w:bCs/>
          <w:sz w:val="28"/>
          <w:szCs w:val="28"/>
          <w:rtl/>
        </w:rPr>
        <w:t>בידע שבו</w:t>
      </w:r>
      <w:r w:rsidR="0075130B">
        <w:rPr>
          <w:rFonts w:hint="cs"/>
          <w:b/>
          <w:bCs/>
          <w:sz w:val="28"/>
          <w:szCs w:val="28"/>
          <w:rtl/>
        </w:rPr>
        <w:t>, ומצד שהוא מ</w:t>
      </w:r>
      <w:r w:rsidR="002A7A78">
        <w:rPr>
          <w:rFonts w:hint="cs"/>
          <w:b/>
          <w:bCs/>
          <w:sz w:val="28"/>
          <w:szCs w:val="28"/>
          <w:rtl/>
        </w:rPr>
        <w:t>טופל</w:t>
      </w:r>
      <w:r w:rsidR="0075130B">
        <w:rPr>
          <w:rFonts w:hint="cs"/>
          <w:b/>
          <w:bCs/>
          <w:sz w:val="28"/>
          <w:szCs w:val="28"/>
          <w:rtl/>
        </w:rPr>
        <w:t xml:space="preserve"> </w:t>
      </w:r>
      <w:r w:rsidR="00911EBE">
        <w:rPr>
          <w:rFonts w:hint="cs"/>
          <w:b/>
          <w:bCs/>
          <w:sz w:val="28"/>
          <w:szCs w:val="28"/>
          <w:rtl/>
        </w:rPr>
        <w:t>מקבל את ה</w:t>
      </w:r>
      <w:r w:rsidR="003C1CA5">
        <w:rPr>
          <w:rFonts w:hint="cs"/>
          <w:b/>
          <w:bCs/>
          <w:sz w:val="28"/>
          <w:szCs w:val="28"/>
          <w:rtl/>
        </w:rPr>
        <w:t>טיפול</w:t>
      </w:r>
      <w:r w:rsidR="00911EBE">
        <w:rPr>
          <w:rFonts w:hint="cs"/>
          <w:b/>
          <w:bCs/>
          <w:sz w:val="28"/>
          <w:szCs w:val="28"/>
          <w:rtl/>
        </w:rPr>
        <w:t xml:space="preserve"> חולה</w:t>
      </w:r>
      <w:r w:rsidR="0035752C">
        <w:rPr>
          <w:rStyle w:val="FootnoteReference"/>
          <w:b/>
          <w:bCs/>
          <w:sz w:val="28"/>
          <w:szCs w:val="28"/>
          <w:rtl/>
        </w:rPr>
        <w:footnoteReference w:id="458"/>
      </w:r>
      <w:r w:rsidR="00C97DB7">
        <w:rPr>
          <w:rFonts w:hint="cs"/>
          <w:b/>
          <w:bCs/>
          <w:sz w:val="28"/>
          <w:szCs w:val="28"/>
          <w:rtl/>
        </w:rPr>
        <w:t xml:space="preserve">. </w:t>
      </w:r>
    </w:p>
    <w:p w14:paraId="29CE207F" w14:textId="04508D65" w:rsidR="000A6D37" w:rsidRDefault="000A6D37" w:rsidP="003266A1">
      <w:pPr>
        <w:pStyle w:val="Heading4"/>
        <w:rPr>
          <w:rtl/>
        </w:rPr>
      </w:pPr>
      <w:bookmarkStart w:id="222" w:name="_1.5.7"/>
      <w:bookmarkStart w:id="223" w:name="_Toc119092658"/>
      <w:bookmarkEnd w:id="222"/>
      <w:r w:rsidRPr="000A6D37">
        <w:rPr>
          <w:rFonts w:hint="cs"/>
          <w:rtl/>
        </w:rPr>
        <w:t>1.5.7</w:t>
      </w:r>
      <w:bookmarkEnd w:id="223"/>
    </w:p>
    <w:p w14:paraId="47D6C953" w14:textId="77777777" w:rsidR="00D14774" w:rsidRDefault="006608CA" w:rsidP="002736DB">
      <w:pPr>
        <w:pStyle w:val="FootnoteText"/>
        <w:rPr>
          <w:b/>
          <w:bCs/>
          <w:sz w:val="28"/>
          <w:szCs w:val="28"/>
          <w:rtl/>
        </w:rPr>
      </w:pPr>
      <w:r>
        <w:rPr>
          <w:rFonts w:hint="cs"/>
          <w:b/>
          <w:bCs/>
          <w:sz w:val="28"/>
          <w:szCs w:val="28"/>
          <w:rtl/>
        </w:rPr>
        <w:t>ו</w:t>
      </w:r>
      <w:r w:rsidR="002652AA" w:rsidRPr="00302F4D">
        <w:rPr>
          <w:rFonts w:hint="cs"/>
          <w:b/>
          <w:bCs/>
          <w:sz w:val="28"/>
          <w:szCs w:val="28"/>
          <w:rtl/>
        </w:rPr>
        <w:t>לגבי התוספת ש</w:t>
      </w:r>
      <w:r w:rsidR="00380623">
        <w:rPr>
          <w:rFonts w:hint="cs"/>
          <w:b/>
          <w:bCs/>
          <w:sz w:val="28"/>
          <w:szCs w:val="28"/>
          <w:rtl/>
        </w:rPr>
        <w:t xml:space="preserve">חשבו </w:t>
      </w:r>
      <w:r w:rsidR="000552A9">
        <w:rPr>
          <w:rFonts w:hint="cs"/>
          <w:b/>
          <w:bCs/>
          <w:sz w:val="28"/>
          <w:szCs w:val="28"/>
          <w:rtl/>
        </w:rPr>
        <w:t xml:space="preserve">להוסיף </w:t>
      </w:r>
      <w:r w:rsidR="00380623">
        <w:rPr>
          <w:rFonts w:hint="cs"/>
          <w:b/>
          <w:bCs/>
          <w:sz w:val="28"/>
          <w:szCs w:val="28"/>
          <w:rtl/>
        </w:rPr>
        <w:t xml:space="preserve">מקצת </w:t>
      </w:r>
      <w:r w:rsidR="000552A9">
        <w:rPr>
          <w:rFonts w:hint="cs"/>
          <w:b/>
          <w:bCs/>
          <w:sz w:val="28"/>
          <w:szCs w:val="28"/>
          <w:rtl/>
        </w:rPr>
        <w:t>מ</w:t>
      </w:r>
      <w:r w:rsidR="00F37FDE">
        <w:rPr>
          <w:rFonts w:hint="cs"/>
          <w:b/>
          <w:bCs/>
          <w:sz w:val="28"/>
          <w:szCs w:val="28"/>
          <w:rtl/>
        </w:rPr>
        <w:t>ה</w:t>
      </w:r>
      <w:r w:rsidR="00B8177A">
        <w:rPr>
          <w:rFonts w:hint="cs"/>
          <w:b/>
          <w:bCs/>
          <w:sz w:val="28"/>
          <w:szCs w:val="28"/>
          <w:rtl/>
        </w:rPr>
        <w:t>בא</w:t>
      </w:r>
      <w:r w:rsidR="00F37FDE">
        <w:rPr>
          <w:rFonts w:hint="cs"/>
          <w:b/>
          <w:bCs/>
          <w:sz w:val="28"/>
          <w:szCs w:val="28"/>
          <w:rtl/>
        </w:rPr>
        <w:t>ים אחרי ה</w:t>
      </w:r>
      <w:r w:rsidR="00955D02">
        <w:rPr>
          <w:rFonts w:hint="cs"/>
          <w:b/>
          <w:bCs/>
          <w:sz w:val="28"/>
          <w:szCs w:val="28"/>
          <w:rtl/>
        </w:rPr>
        <w:t>ראשו</w:t>
      </w:r>
      <w:r w:rsidR="00F37FDE">
        <w:rPr>
          <w:rFonts w:hint="cs"/>
          <w:b/>
          <w:bCs/>
          <w:sz w:val="28"/>
          <w:szCs w:val="28"/>
          <w:rtl/>
        </w:rPr>
        <w:t>נים</w:t>
      </w:r>
      <w:r w:rsidR="00051077">
        <w:rPr>
          <w:rStyle w:val="FootnoteReference"/>
          <w:b/>
          <w:bCs/>
          <w:sz w:val="28"/>
          <w:szCs w:val="28"/>
          <w:rtl/>
        </w:rPr>
        <w:footnoteReference w:id="459"/>
      </w:r>
      <w:r w:rsidR="008D35B3">
        <w:rPr>
          <w:rFonts w:hint="cs"/>
          <w:b/>
          <w:bCs/>
          <w:sz w:val="28"/>
          <w:szCs w:val="28"/>
          <w:rtl/>
        </w:rPr>
        <w:t xml:space="preserve">, </w:t>
      </w:r>
      <w:r w:rsidR="001B2AC5">
        <w:rPr>
          <w:rFonts w:hint="cs"/>
          <w:b/>
          <w:bCs/>
          <w:sz w:val="28"/>
          <w:szCs w:val="28"/>
          <w:rtl/>
        </w:rPr>
        <w:t xml:space="preserve">זה מעשה בטל, </w:t>
      </w:r>
      <w:r w:rsidR="007C7FE1">
        <w:rPr>
          <w:rFonts w:hint="cs"/>
          <w:b/>
          <w:bCs/>
          <w:sz w:val="28"/>
          <w:szCs w:val="28"/>
          <w:rtl/>
        </w:rPr>
        <w:t xml:space="preserve">כי </w:t>
      </w:r>
      <w:proofErr w:type="spellStart"/>
      <w:r w:rsidR="00DE6E09">
        <w:rPr>
          <w:rFonts w:hint="cs"/>
          <w:b/>
          <w:bCs/>
          <w:sz w:val="28"/>
          <w:szCs w:val="28"/>
          <w:rtl/>
        </w:rPr>
        <w:t>הכח</w:t>
      </w:r>
      <w:proofErr w:type="spellEnd"/>
      <w:r w:rsidR="00DE6E09">
        <w:rPr>
          <w:rFonts w:hint="cs"/>
          <w:b/>
          <w:bCs/>
          <w:sz w:val="28"/>
          <w:szCs w:val="28"/>
          <w:rtl/>
        </w:rPr>
        <w:t xml:space="preserve"> שעש</w:t>
      </w:r>
      <w:r w:rsidR="00224A18">
        <w:rPr>
          <w:rFonts w:hint="cs"/>
          <w:b/>
          <w:bCs/>
          <w:sz w:val="28"/>
          <w:szCs w:val="28"/>
          <w:rtl/>
        </w:rPr>
        <w:t>ו</w:t>
      </w:r>
      <w:r w:rsidR="00DE6E09">
        <w:rPr>
          <w:rFonts w:hint="cs"/>
          <w:b/>
          <w:bCs/>
          <w:sz w:val="28"/>
          <w:szCs w:val="28"/>
          <w:rtl/>
        </w:rPr>
        <w:t xml:space="preserve">הו </w:t>
      </w:r>
      <w:r w:rsidR="00A34E67">
        <w:rPr>
          <w:rFonts w:hint="cs"/>
          <w:b/>
          <w:bCs/>
          <w:sz w:val="28"/>
          <w:szCs w:val="28"/>
          <w:rtl/>
        </w:rPr>
        <w:t>כ</w:t>
      </w:r>
      <w:r w:rsidR="005C745E">
        <w:rPr>
          <w:rFonts w:hint="cs"/>
          <w:b/>
          <w:bCs/>
          <w:sz w:val="28"/>
          <w:szCs w:val="28"/>
          <w:rtl/>
        </w:rPr>
        <w:t xml:space="preserve">מו </w:t>
      </w:r>
      <w:r w:rsidR="00EE5380">
        <w:rPr>
          <w:rFonts w:hint="cs"/>
          <w:b/>
          <w:bCs/>
          <w:sz w:val="28"/>
          <w:szCs w:val="28"/>
          <w:rtl/>
        </w:rPr>
        <w:t>'</w:t>
      </w:r>
      <w:r w:rsidR="00A34E67">
        <w:rPr>
          <w:rFonts w:hint="cs"/>
          <w:b/>
          <w:bCs/>
          <w:sz w:val="28"/>
          <w:szCs w:val="28"/>
          <w:rtl/>
        </w:rPr>
        <w:t>סוג</w:t>
      </w:r>
      <w:r w:rsidR="00EE5380">
        <w:rPr>
          <w:rFonts w:hint="cs"/>
          <w:b/>
          <w:bCs/>
          <w:sz w:val="28"/>
          <w:szCs w:val="28"/>
          <w:rtl/>
        </w:rPr>
        <w:t>'</w:t>
      </w:r>
      <w:r w:rsidR="00A34E67">
        <w:rPr>
          <w:rFonts w:hint="cs"/>
          <w:b/>
          <w:bCs/>
          <w:sz w:val="28"/>
          <w:szCs w:val="28"/>
          <w:rtl/>
        </w:rPr>
        <w:t xml:space="preserve"> </w:t>
      </w:r>
      <w:r w:rsidR="00231721">
        <w:rPr>
          <w:rFonts w:hint="cs"/>
          <w:b/>
          <w:bCs/>
          <w:sz w:val="28"/>
          <w:szCs w:val="28"/>
          <w:rtl/>
        </w:rPr>
        <w:t xml:space="preserve">בהסתכלות על הטבע </w:t>
      </w:r>
      <w:r w:rsidR="00DB05E2">
        <w:rPr>
          <w:rFonts w:hint="cs"/>
          <w:b/>
          <w:bCs/>
          <w:sz w:val="28"/>
          <w:szCs w:val="28"/>
          <w:rtl/>
        </w:rPr>
        <w:t xml:space="preserve">הוא </w:t>
      </w:r>
      <w:proofErr w:type="spellStart"/>
      <w:r w:rsidR="00DB05E2">
        <w:rPr>
          <w:rFonts w:hint="cs"/>
          <w:b/>
          <w:bCs/>
          <w:sz w:val="28"/>
          <w:szCs w:val="28"/>
          <w:rtl/>
        </w:rPr>
        <w:t>הכח</w:t>
      </w:r>
      <w:proofErr w:type="spellEnd"/>
      <w:r w:rsidR="00DB05E2">
        <w:rPr>
          <w:rFonts w:hint="cs"/>
          <w:b/>
          <w:bCs/>
          <w:sz w:val="28"/>
          <w:szCs w:val="28"/>
          <w:rtl/>
        </w:rPr>
        <w:t xml:space="preserve"> ה</w:t>
      </w:r>
      <w:r w:rsidR="00573AC4" w:rsidRPr="00573AC4">
        <w:rPr>
          <w:b/>
          <w:bCs/>
          <w:sz w:val="28"/>
          <w:szCs w:val="28"/>
          <w:rtl/>
        </w:rPr>
        <w:t>פּוֹעֵל</w:t>
      </w:r>
      <w:r w:rsidR="00DB05E2">
        <w:rPr>
          <w:rFonts w:hint="cs"/>
          <w:b/>
          <w:bCs/>
          <w:sz w:val="28"/>
          <w:szCs w:val="28"/>
          <w:rtl/>
        </w:rPr>
        <w:t xml:space="preserve">, </w:t>
      </w:r>
      <w:r w:rsidR="003D486C">
        <w:rPr>
          <w:rFonts w:hint="cs"/>
          <w:b/>
          <w:bCs/>
          <w:sz w:val="28"/>
          <w:szCs w:val="28"/>
          <w:rtl/>
        </w:rPr>
        <w:t>ואם הוג</w:t>
      </w:r>
      <w:r w:rsidR="005019B9">
        <w:rPr>
          <w:rFonts w:hint="cs"/>
          <w:b/>
          <w:bCs/>
          <w:sz w:val="28"/>
          <w:szCs w:val="28"/>
          <w:rtl/>
        </w:rPr>
        <w:t>דר</w:t>
      </w:r>
      <w:r w:rsidR="003D486C">
        <w:rPr>
          <w:rFonts w:hint="cs"/>
          <w:b/>
          <w:bCs/>
          <w:sz w:val="28"/>
          <w:szCs w:val="28"/>
          <w:rtl/>
        </w:rPr>
        <w:t xml:space="preserve"> </w:t>
      </w:r>
      <w:proofErr w:type="spellStart"/>
      <w:r w:rsidR="003D486C">
        <w:rPr>
          <w:rFonts w:hint="cs"/>
          <w:b/>
          <w:bCs/>
          <w:sz w:val="28"/>
          <w:szCs w:val="28"/>
          <w:rtl/>
        </w:rPr>
        <w:t>הוג</w:t>
      </w:r>
      <w:r w:rsidR="005019B9">
        <w:rPr>
          <w:rFonts w:hint="cs"/>
          <w:b/>
          <w:bCs/>
          <w:sz w:val="28"/>
          <w:szCs w:val="28"/>
          <w:rtl/>
        </w:rPr>
        <w:t>דר</w:t>
      </w:r>
      <w:proofErr w:type="spellEnd"/>
      <w:r w:rsidR="003D486C">
        <w:rPr>
          <w:rFonts w:hint="cs"/>
          <w:b/>
          <w:bCs/>
          <w:sz w:val="28"/>
          <w:szCs w:val="28"/>
          <w:rtl/>
        </w:rPr>
        <w:t xml:space="preserve"> </w:t>
      </w:r>
      <w:r w:rsidR="00C9006D">
        <w:rPr>
          <w:rFonts w:hint="cs"/>
          <w:b/>
          <w:bCs/>
          <w:sz w:val="28"/>
          <w:szCs w:val="28"/>
          <w:rtl/>
        </w:rPr>
        <w:t>כ</w:t>
      </w:r>
      <w:r w:rsidR="00C9303D">
        <w:rPr>
          <w:rFonts w:hint="cs"/>
          <w:b/>
          <w:bCs/>
          <w:sz w:val="28"/>
          <w:szCs w:val="28"/>
          <w:rtl/>
        </w:rPr>
        <w:t>התחל</w:t>
      </w:r>
      <w:r w:rsidR="003E4C23">
        <w:rPr>
          <w:rFonts w:hint="cs"/>
          <w:b/>
          <w:bCs/>
          <w:sz w:val="28"/>
          <w:szCs w:val="28"/>
          <w:rtl/>
        </w:rPr>
        <w:t>ת</w:t>
      </w:r>
      <w:r w:rsidR="00C9303D">
        <w:rPr>
          <w:rFonts w:hint="cs"/>
          <w:b/>
          <w:bCs/>
          <w:sz w:val="28"/>
          <w:szCs w:val="28"/>
          <w:rtl/>
        </w:rPr>
        <w:t xml:space="preserve"> ה</w:t>
      </w:r>
      <w:r w:rsidR="003E4C23">
        <w:rPr>
          <w:rFonts w:hint="cs"/>
          <w:b/>
          <w:bCs/>
          <w:sz w:val="28"/>
          <w:szCs w:val="28"/>
          <w:rtl/>
        </w:rPr>
        <w:t>תנו</w:t>
      </w:r>
      <w:r w:rsidR="00C9303D">
        <w:rPr>
          <w:rFonts w:hint="cs"/>
          <w:b/>
          <w:bCs/>
          <w:sz w:val="28"/>
          <w:szCs w:val="28"/>
          <w:rtl/>
        </w:rPr>
        <w:t xml:space="preserve">עה </w:t>
      </w:r>
      <w:r w:rsidR="00EC5868" w:rsidRPr="00EC5868">
        <w:rPr>
          <w:b/>
          <w:bCs/>
          <w:sz w:val="28"/>
          <w:szCs w:val="28"/>
          <w:rtl/>
        </w:rPr>
        <w:t>מְאַחֵר</w:t>
      </w:r>
      <w:r w:rsidR="00EC5868">
        <w:rPr>
          <w:rFonts w:hint="cs"/>
          <w:b/>
          <w:bCs/>
          <w:sz w:val="28"/>
          <w:szCs w:val="28"/>
          <w:rtl/>
        </w:rPr>
        <w:t xml:space="preserve"> </w:t>
      </w:r>
      <w:r w:rsidR="00E74CB2" w:rsidRPr="00E74CB2">
        <w:rPr>
          <w:b/>
          <w:bCs/>
          <w:sz w:val="28"/>
          <w:szCs w:val="28"/>
          <w:rtl/>
        </w:rPr>
        <w:t>בְּאַחֵר</w:t>
      </w:r>
      <w:r w:rsidR="00E74CB2">
        <w:rPr>
          <w:rFonts w:hint="cs"/>
          <w:b/>
          <w:bCs/>
          <w:sz w:val="28"/>
          <w:szCs w:val="28"/>
          <w:rtl/>
        </w:rPr>
        <w:t xml:space="preserve"> </w:t>
      </w:r>
      <w:r w:rsidR="00834146" w:rsidRPr="00834146">
        <w:rPr>
          <w:b/>
          <w:bCs/>
          <w:sz w:val="28"/>
          <w:szCs w:val="28"/>
          <w:rtl/>
        </w:rPr>
        <w:t>כְּאַחֵר</w:t>
      </w:r>
      <w:r w:rsidR="00687DDC">
        <w:rPr>
          <w:rStyle w:val="FootnoteReference"/>
          <w:b/>
          <w:bCs/>
          <w:sz w:val="28"/>
          <w:szCs w:val="28"/>
          <w:rtl/>
        </w:rPr>
        <w:footnoteReference w:id="460"/>
      </w:r>
      <w:r w:rsidR="00800E61">
        <w:rPr>
          <w:rFonts w:hint="cs"/>
          <w:b/>
          <w:bCs/>
          <w:sz w:val="28"/>
          <w:szCs w:val="28"/>
          <w:rtl/>
        </w:rPr>
        <w:t>.</w:t>
      </w:r>
      <w:r w:rsidR="001E4689">
        <w:rPr>
          <w:rFonts w:hint="cs"/>
          <w:b/>
          <w:bCs/>
          <w:sz w:val="28"/>
          <w:szCs w:val="28"/>
          <w:rtl/>
        </w:rPr>
        <w:t xml:space="preserve"> </w:t>
      </w:r>
    </w:p>
    <w:p w14:paraId="463A074C" w14:textId="026DC2CC" w:rsidR="002544E1" w:rsidRDefault="00A8314E" w:rsidP="002736DB">
      <w:pPr>
        <w:pStyle w:val="FootnoteText"/>
        <w:rPr>
          <w:b/>
          <w:bCs/>
          <w:sz w:val="28"/>
          <w:szCs w:val="28"/>
          <w:rtl/>
        </w:rPr>
      </w:pPr>
      <w:r>
        <w:rPr>
          <w:rFonts w:hint="cs"/>
          <w:b/>
          <w:bCs/>
          <w:sz w:val="28"/>
          <w:szCs w:val="28"/>
          <w:rtl/>
        </w:rPr>
        <w:t>ואין ה</w:t>
      </w:r>
      <w:r w:rsidR="005321D9">
        <w:rPr>
          <w:rFonts w:hint="cs"/>
          <w:b/>
          <w:bCs/>
          <w:sz w:val="28"/>
          <w:szCs w:val="28"/>
          <w:rtl/>
        </w:rPr>
        <w:t>כוונה</w:t>
      </w:r>
      <w:r w:rsidR="009C1D8F">
        <w:rPr>
          <w:rFonts w:hint="cs"/>
          <w:b/>
          <w:bCs/>
          <w:sz w:val="28"/>
          <w:szCs w:val="28"/>
          <w:rtl/>
        </w:rPr>
        <w:t xml:space="preserve"> </w:t>
      </w:r>
      <w:r w:rsidR="00325E3D">
        <w:rPr>
          <w:rFonts w:hint="cs"/>
          <w:b/>
          <w:bCs/>
          <w:sz w:val="28"/>
          <w:szCs w:val="28"/>
          <w:rtl/>
        </w:rPr>
        <w:t>ב</w:t>
      </w:r>
      <w:r w:rsidR="00751E79">
        <w:rPr>
          <w:rFonts w:hint="cs"/>
          <w:b/>
          <w:bCs/>
          <w:sz w:val="28"/>
          <w:szCs w:val="28"/>
          <w:rtl/>
        </w:rPr>
        <w:t>'</w:t>
      </w:r>
      <w:r w:rsidR="00325E3D">
        <w:rPr>
          <w:rFonts w:hint="cs"/>
          <w:b/>
          <w:bCs/>
          <w:sz w:val="28"/>
          <w:szCs w:val="28"/>
          <w:rtl/>
        </w:rPr>
        <w:t>כח</w:t>
      </w:r>
      <w:r w:rsidR="00751E79">
        <w:rPr>
          <w:rFonts w:hint="cs"/>
          <w:b/>
          <w:bCs/>
          <w:sz w:val="28"/>
          <w:szCs w:val="28"/>
          <w:rtl/>
        </w:rPr>
        <w:t>'</w:t>
      </w:r>
      <w:r w:rsidR="00BD0A0B">
        <w:rPr>
          <w:rFonts w:hint="cs"/>
          <w:b/>
          <w:bCs/>
          <w:sz w:val="28"/>
          <w:szCs w:val="28"/>
          <w:rtl/>
        </w:rPr>
        <w:t xml:space="preserve"> אלא </w:t>
      </w:r>
      <w:r w:rsidR="00112177">
        <w:rPr>
          <w:rFonts w:hint="cs"/>
          <w:b/>
          <w:bCs/>
          <w:sz w:val="28"/>
          <w:szCs w:val="28"/>
          <w:rtl/>
        </w:rPr>
        <w:t xml:space="preserve">התחלת </w:t>
      </w:r>
      <w:r w:rsidR="003957B2">
        <w:rPr>
          <w:rFonts w:hint="cs"/>
          <w:b/>
          <w:bCs/>
          <w:sz w:val="28"/>
          <w:szCs w:val="28"/>
          <w:rtl/>
        </w:rPr>
        <w:t>הנעה</w:t>
      </w:r>
      <w:r w:rsidR="00112177">
        <w:rPr>
          <w:rFonts w:hint="cs"/>
          <w:b/>
          <w:bCs/>
          <w:sz w:val="28"/>
          <w:szCs w:val="28"/>
          <w:rtl/>
        </w:rPr>
        <w:t xml:space="preserve"> ש</w:t>
      </w:r>
      <w:r w:rsidR="003957B2">
        <w:rPr>
          <w:rFonts w:hint="cs"/>
          <w:b/>
          <w:bCs/>
          <w:sz w:val="28"/>
          <w:szCs w:val="28"/>
          <w:rtl/>
        </w:rPr>
        <w:t>ת</w:t>
      </w:r>
      <w:r w:rsidR="00112177">
        <w:rPr>
          <w:rFonts w:hint="cs"/>
          <w:b/>
          <w:bCs/>
          <w:sz w:val="28"/>
          <w:szCs w:val="28"/>
          <w:rtl/>
        </w:rPr>
        <w:t xml:space="preserve">היה </w:t>
      </w:r>
      <w:r w:rsidR="00503863">
        <w:rPr>
          <w:rFonts w:hint="cs"/>
          <w:b/>
          <w:bCs/>
          <w:sz w:val="28"/>
          <w:szCs w:val="28"/>
          <w:rtl/>
        </w:rPr>
        <w:t>מה</w:t>
      </w:r>
      <w:r w:rsidR="00112177">
        <w:rPr>
          <w:rFonts w:hint="cs"/>
          <w:b/>
          <w:bCs/>
          <w:sz w:val="28"/>
          <w:szCs w:val="28"/>
          <w:rtl/>
        </w:rPr>
        <w:t>דבר</w:t>
      </w:r>
      <w:r w:rsidR="002544E1">
        <w:rPr>
          <w:rFonts w:hint="cs"/>
          <w:b/>
          <w:bCs/>
          <w:sz w:val="28"/>
          <w:szCs w:val="28"/>
          <w:rtl/>
        </w:rPr>
        <w:t>.</w:t>
      </w:r>
      <w:r w:rsidR="00503863">
        <w:rPr>
          <w:rFonts w:hint="cs"/>
          <w:b/>
          <w:bCs/>
          <w:sz w:val="28"/>
          <w:szCs w:val="28"/>
          <w:rtl/>
        </w:rPr>
        <w:t xml:space="preserve"> </w:t>
      </w:r>
    </w:p>
    <w:p w14:paraId="6280E64E" w14:textId="089FD5A8" w:rsidR="002544E1" w:rsidRDefault="00503863" w:rsidP="004C3F79">
      <w:pPr>
        <w:pStyle w:val="FootnoteText"/>
        <w:rPr>
          <w:b/>
          <w:bCs/>
          <w:sz w:val="28"/>
          <w:szCs w:val="28"/>
          <w:rtl/>
        </w:rPr>
      </w:pPr>
      <w:r>
        <w:rPr>
          <w:rFonts w:hint="cs"/>
          <w:b/>
          <w:bCs/>
          <w:sz w:val="28"/>
          <w:szCs w:val="28"/>
          <w:rtl/>
        </w:rPr>
        <w:t xml:space="preserve">ואין הכוונה </w:t>
      </w:r>
      <w:r w:rsidR="004B70C3">
        <w:rPr>
          <w:rFonts w:hint="cs"/>
          <w:b/>
          <w:bCs/>
          <w:sz w:val="28"/>
          <w:szCs w:val="28"/>
          <w:rtl/>
        </w:rPr>
        <w:t xml:space="preserve">של </w:t>
      </w:r>
      <w:r w:rsidR="00D746B9">
        <w:rPr>
          <w:rFonts w:hint="cs"/>
          <w:b/>
          <w:bCs/>
          <w:sz w:val="28"/>
          <w:szCs w:val="28"/>
          <w:rtl/>
        </w:rPr>
        <w:t>"ה</w:t>
      </w:r>
      <w:r w:rsidR="00CA1AC9">
        <w:rPr>
          <w:rFonts w:hint="cs"/>
          <w:b/>
          <w:bCs/>
          <w:sz w:val="28"/>
          <w:szCs w:val="28"/>
          <w:rtl/>
        </w:rPr>
        <w:t>מחלחל</w:t>
      </w:r>
      <w:r w:rsidR="00D746B9">
        <w:rPr>
          <w:rFonts w:hint="cs"/>
          <w:b/>
          <w:bCs/>
          <w:sz w:val="28"/>
          <w:szCs w:val="28"/>
          <w:rtl/>
        </w:rPr>
        <w:t xml:space="preserve"> בדבר</w:t>
      </w:r>
      <w:r w:rsidR="00D51897">
        <w:rPr>
          <w:rStyle w:val="FootnoteReference"/>
          <w:b/>
          <w:bCs/>
          <w:sz w:val="28"/>
          <w:szCs w:val="28"/>
          <w:rtl/>
        </w:rPr>
        <w:footnoteReference w:id="461"/>
      </w:r>
      <w:r w:rsidR="00D746B9">
        <w:rPr>
          <w:rFonts w:hint="cs"/>
          <w:b/>
          <w:bCs/>
          <w:sz w:val="28"/>
          <w:szCs w:val="28"/>
          <w:rtl/>
        </w:rPr>
        <w:t>"</w:t>
      </w:r>
      <w:r w:rsidR="007D63BD">
        <w:rPr>
          <w:rFonts w:hint="cs"/>
          <w:b/>
          <w:bCs/>
          <w:sz w:val="28"/>
          <w:szCs w:val="28"/>
          <w:rtl/>
        </w:rPr>
        <w:t xml:space="preserve"> אלא </w:t>
      </w:r>
      <w:r w:rsidR="000F26CA">
        <w:rPr>
          <w:rFonts w:hint="cs"/>
          <w:b/>
          <w:bCs/>
          <w:sz w:val="28"/>
          <w:szCs w:val="28"/>
          <w:rtl/>
        </w:rPr>
        <w:t>ההימצאות בדבר</w:t>
      </w:r>
      <w:r w:rsidR="00B628A5">
        <w:rPr>
          <w:rStyle w:val="FootnoteReference"/>
          <w:b/>
          <w:bCs/>
          <w:sz w:val="28"/>
          <w:szCs w:val="28"/>
          <w:rtl/>
        </w:rPr>
        <w:footnoteReference w:id="462"/>
      </w:r>
      <w:r w:rsidR="002544E1">
        <w:rPr>
          <w:rFonts w:hint="cs"/>
          <w:b/>
          <w:bCs/>
          <w:sz w:val="28"/>
          <w:szCs w:val="28"/>
          <w:rtl/>
        </w:rPr>
        <w:t>.</w:t>
      </w:r>
      <w:r w:rsidR="000F26CA">
        <w:rPr>
          <w:rFonts w:hint="cs"/>
          <w:b/>
          <w:bCs/>
          <w:sz w:val="28"/>
          <w:szCs w:val="28"/>
          <w:rtl/>
        </w:rPr>
        <w:t xml:space="preserve"> </w:t>
      </w:r>
    </w:p>
    <w:p w14:paraId="278F6EE1" w14:textId="1A332A57" w:rsidR="00D06819" w:rsidRDefault="008632B0" w:rsidP="004C3F79">
      <w:pPr>
        <w:pStyle w:val="FootnoteText"/>
        <w:rPr>
          <w:b/>
          <w:bCs/>
          <w:sz w:val="28"/>
          <w:szCs w:val="28"/>
          <w:rtl/>
        </w:rPr>
      </w:pPr>
      <w:r>
        <w:rPr>
          <w:rFonts w:hint="cs"/>
          <w:b/>
          <w:bCs/>
          <w:sz w:val="28"/>
          <w:szCs w:val="28"/>
          <w:rtl/>
        </w:rPr>
        <w:t>ו</w:t>
      </w:r>
      <w:r w:rsidR="000F26CA">
        <w:rPr>
          <w:rFonts w:hint="cs"/>
          <w:b/>
          <w:bCs/>
          <w:sz w:val="28"/>
          <w:szCs w:val="28"/>
          <w:rtl/>
        </w:rPr>
        <w:t xml:space="preserve">אין </w:t>
      </w:r>
      <w:r w:rsidR="002207D7">
        <w:rPr>
          <w:rFonts w:hint="cs"/>
          <w:b/>
          <w:bCs/>
          <w:sz w:val="28"/>
          <w:szCs w:val="28"/>
          <w:rtl/>
        </w:rPr>
        <w:t>הכוונה</w:t>
      </w:r>
      <w:r w:rsidR="000F26CA">
        <w:rPr>
          <w:rFonts w:hint="cs"/>
          <w:b/>
          <w:bCs/>
          <w:sz w:val="28"/>
          <w:szCs w:val="28"/>
          <w:rtl/>
        </w:rPr>
        <w:t xml:space="preserve"> </w:t>
      </w:r>
      <w:r w:rsidR="006542C9">
        <w:rPr>
          <w:rFonts w:hint="cs"/>
          <w:b/>
          <w:bCs/>
          <w:sz w:val="28"/>
          <w:szCs w:val="28"/>
          <w:rtl/>
        </w:rPr>
        <w:t>ב</w:t>
      </w:r>
      <w:r w:rsidR="00321674">
        <w:rPr>
          <w:rFonts w:hint="cs"/>
          <w:b/>
          <w:bCs/>
          <w:sz w:val="28"/>
          <w:szCs w:val="28"/>
          <w:rtl/>
        </w:rPr>
        <w:t>"</w:t>
      </w:r>
      <w:r w:rsidR="0043375C">
        <w:rPr>
          <w:rFonts w:hint="cs"/>
          <w:b/>
          <w:bCs/>
          <w:sz w:val="28"/>
          <w:szCs w:val="28"/>
          <w:rtl/>
        </w:rPr>
        <w:t xml:space="preserve">[לספק את] </w:t>
      </w:r>
      <w:r w:rsidR="00DD3811">
        <w:rPr>
          <w:rFonts w:hint="cs"/>
          <w:b/>
          <w:bCs/>
          <w:sz w:val="28"/>
          <w:szCs w:val="28"/>
          <w:rtl/>
        </w:rPr>
        <w:t>ה</w:t>
      </w:r>
      <w:r w:rsidR="0097187D">
        <w:rPr>
          <w:rFonts w:hint="cs"/>
          <w:b/>
          <w:bCs/>
          <w:sz w:val="28"/>
          <w:szCs w:val="28"/>
          <w:rtl/>
        </w:rPr>
        <w:t>מזג</w:t>
      </w:r>
      <w:r w:rsidR="00321674">
        <w:rPr>
          <w:rFonts w:hint="cs"/>
          <w:b/>
          <w:bCs/>
          <w:sz w:val="28"/>
          <w:szCs w:val="28"/>
          <w:rtl/>
        </w:rPr>
        <w:t xml:space="preserve"> ו</w:t>
      </w:r>
      <w:r w:rsidR="00DD3811">
        <w:rPr>
          <w:rFonts w:hint="cs"/>
          <w:b/>
          <w:bCs/>
          <w:sz w:val="28"/>
          <w:szCs w:val="28"/>
          <w:rtl/>
        </w:rPr>
        <w:t>ה</w:t>
      </w:r>
      <w:r w:rsidR="002207D7">
        <w:rPr>
          <w:rFonts w:hint="cs"/>
          <w:b/>
          <w:bCs/>
          <w:sz w:val="28"/>
          <w:szCs w:val="28"/>
          <w:rtl/>
        </w:rPr>
        <w:t>צורות</w:t>
      </w:r>
      <w:r w:rsidR="006D41E5">
        <w:rPr>
          <w:rStyle w:val="FootnoteReference"/>
          <w:b/>
          <w:bCs/>
          <w:sz w:val="28"/>
          <w:szCs w:val="28"/>
          <w:rtl/>
        </w:rPr>
        <w:footnoteReference w:id="463"/>
      </w:r>
      <w:r w:rsidR="00321674">
        <w:rPr>
          <w:rFonts w:hint="cs"/>
          <w:b/>
          <w:bCs/>
          <w:sz w:val="28"/>
          <w:szCs w:val="28"/>
          <w:rtl/>
        </w:rPr>
        <w:t>"</w:t>
      </w:r>
      <w:r w:rsidR="006542C9">
        <w:rPr>
          <w:rFonts w:hint="cs"/>
          <w:b/>
          <w:bCs/>
          <w:sz w:val="28"/>
          <w:szCs w:val="28"/>
          <w:rtl/>
        </w:rPr>
        <w:t xml:space="preserve"> </w:t>
      </w:r>
      <w:r w:rsidR="00951180">
        <w:rPr>
          <w:rFonts w:hint="cs"/>
          <w:b/>
          <w:bCs/>
          <w:sz w:val="28"/>
          <w:szCs w:val="28"/>
          <w:rtl/>
        </w:rPr>
        <w:t xml:space="preserve">אלא </w:t>
      </w:r>
      <w:r w:rsidR="004C5A73">
        <w:rPr>
          <w:rFonts w:hint="cs"/>
          <w:b/>
          <w:bCs/>
          <w:sz w:val="28"/>
          <w:szCs w:val="28"/>
          <w:rtl/>
        </w:rPr>
        <w:t>מה ש</w:t>
      </w:r>
      <w:r w:rsidR="003B1984">
        <w:rPr>
          <w:rFonts w:hint="cs"/>
          <w:b/>
          <w:bCs/>
          <w:sz w:val="28"/>
          <w:szCs w:val="28"/>
          <w:rtl/>
        </w:rPr>
        <w:t>נכנס</w:t>
      </w:r>
      <w:r w:rsidR="004C5A73">
        <w:rPr>
          <w:rFonts w:hint="cs"/>
          <w:b/>
          <w:bCs/>
          <w:sz w:val="28"/>
          <w:szCs w:val="28"/>
          <w:rtl/>
        </w:rPr>
        <w:t xml:space="preserve"> במובן של </w:t>
      </w:r>
      <w:r w:rsidR="00D06819">
        <w:rPr>
          <w:rFonts w:hint="cs"/>
          <w:b/>
          <w:bCs/>
          <w:sz w:val="28"/>
          <w:szCs w:val="28"/>
          <w:rtl/>
        </w:rPr>
        <w:t>'</w:t>
      </w:r>
      <w:r w:rsidR="00F25C73">
        <w:rPr>
          <w:rFonts w:hint="cs"/>
          <w:b/>
          <w:bCs/>
          <w:sz w:val="28"/>
          <w:szCs w:val="28"/>
          <w:rtl/>
        </w:rPr>
        <w:t>הנעה</w:t>
      </w:r>
      <w:r w:rsidR="00D06819">
        <w:rPr>
          <w:rFonts w:hint="cs"/>
          <w:b/>
          <w:bCs/>
          <w:sz w:val="28"/>
          <w:szCs w:val="28"/>
          <w:rtl/>
        </w:rPr>
        <w:t>'</w:t>
      </w:r>
      <w:r w:rsidR="00AB0AC7">
        <w:rPr>
          <w:rFonts w:hint="cs"/>
          <w:b/>
          <w:bCs/>
          <w:sz w:val="28"/>
          <w:szCs w:val="28"/>
          <w:rtl/>
        </w:rPr>
        <w:t>,</w:t>
      </w:r>
    </w:p>
    <w:p w14:paraId="10F7D836" w14:textId="053C5EE4" w:rsidR="004C3F79" w:rsidRDefault="00A81D6B" w:rsidP="004C3F79">
      <w:pPr>
        <w:pStyle w:val="FootnoteText"/>
        <w:rPr>
          <w:b/>
          <w:bCs/>
          <w:sz w:val="28"/>
          <w:szCs w:val="28"/>
          <w:rtl/>
        </w:rPr>
      </w:pPr>
      <w:r>
        <w:rPr>
          <w:rFonts w:hint="cs"/>
          <w:b/>
          <w:bCs/>
          <w:sz w:val="28"/>
          <w:szCs w:val="28"/>
          <w:rtl/>
        </w:rPr>
        <w:t>ואין ה</w:t>
      </w:r>
      <w:r w:rsidR="00D06819">
        <w:rPr>
          <w:rFonts w:hint="cs"/>
          <w:b/>
          <w:bCs/>
          <w:sz w:val="28"/>
          <w:szCs w:val="28"/>
          <w:rtl/>
        </w:rPr>
        <w:t>כוונה ב"</w:t>
      </w:r>
      <w:r w:rsidR="007A60F6">
        <w:rPr>
          <w:rFonts w:hint="cs"/>
          <w:b/>
          <w:bCs/>
          <w:sz w:val="28"/>
          <w:szCs w:val="28"/>
          <w:rtl/>
        </w:rPr>
        <w:t xml:space="preserve">לשמר את </w:t>
      </w:r>
      <w:r w:rsidR="00AB0AC7">
        <w:rPr>
          <w:rFonts w:hint="cs"/>
          <w:b/>
          <w:bCs/>
          <w:sz w:val="28"/>
          <w:szCs w:val="28"/>
          <w:rtl/>
        </w:rPr>
        <w:t xml:space="preserve">המזג </w:t>
      </w:r>
      <w:r w:rsidR="006764EB">
        <w:rPr>
          <w:rFonts w:hint="cs"/>
          <w:b/>
          <w:bCs/>
          <w:sz w:val="28"/>
          <w:szCs w:val="28"/>
          <w:rtl/>
        </w:rPr>
        <w:t>ו</w:t>
      </w:r>
      <w:r w:rsidR="006C52A4">
        <w:rPr>
          <w:rFonts w:hint="cs"/>
          <w:b/>
          <w:bCs/>
          <w:sz w:val="28"/>
          <w:szCs w:val="28"/>
          <w:rtl/>
        </w:rPr>
        <w:t>ה</w:t>
      </w:r>
      <w:r w:rsidR="00E70AE6">
        <w:rPr>
          <w:rFonts w:hint="cs"/>
          <w:b/>
          <w:bCs/>
          <w:sz w:val="28"/>
          <w:szCs w:val="28"/>
          <w:rtl/>
        </w:rPr>
        <w:t>צורות</w:t>
      </w:r>
      <w:r w:rsidR="00CF25C1">
        <w:rPr>
          <w:rStyle w:val="FootnoteReference"/>
          <w:b/>
          <w:bCs/>
          <w:sz w:val="28"/>
          <w:szCs w:val="28"/>
          <w:rtl/>
        </w:rPr>
        <w:footnoteReference w:id="464"/>
      </w:r>
      <w:r w:rsidR="00D06819">
        <w:rPr>
          <w:rFonts w:hint="cs"/>
          <w:b/>
          <w:bCs/>
          <w:sz w:val="28"/>
          <w:szCs w:val="28"/>
          <w:rtl/>
        </w:rPr>
        <w:t>"</w:t>
      </w:r>
      <w:r w:rsidR="006C52A4">
        <w:rPr>
          <w:rFonts w:hint="cs"/>
          <w:b/>
          <w:bCs/>
          <w:sz w:val="28"/>
          <w:szCs w:val="28"/>
          <w:rtl/>
        </w:rPr>
        <w:t xml:space="preserve"> </w:t>
      </w:r>
      <w:r w:rsidR="00671780">
        <w:rPr>
          <w:rFonts w:hint="cs"/>
          <w:b/>
          <w:bCs/>
          <w:sz w:val="28"/>
          <w:szCs w:val="28"/>
          <w:rtl/>
        </w:rPr>
        <w:t xml:space="preserve">אלא </w:t>
      </w:r>
      <w:r w:rsidR="00D06819">
        <w:rPr>
          <w:rFonts w:hint="cs"/>
          <w:b/>
          <w:bCs/>
          <w:sz w:val="28"/>
          <w:szCs w:val="28"/>
          <w:rtl/>
        </w:rPr>
        <w:t>מה ש</w:t>
      </w:r>
      <w:r w:rsidR="003B1984">
        <w:rPr>
          <w:rFonts w:hint="cs"/>
          <w:b/>
          <w:bCs/>
          <w:sz w:val="28"/>
          <w:szCs w:val="28"/>
          <w:rtl/>
        </w:rPr>
        <w:t>נכנס</w:t>
      </w:r>
      <w:r w:rsidR="00D06819">
        <w:rPr>
          <w:rFonts w:hint="cs"/>
          <w:b/>
          <w:bCs/>
          <w:sz w:val="28"/>
          <w:szCs w:val="28"/>
          <w:rtl/>
        </w:rPr>
        <w:t xml:space="preserve"> במובן של '</w:t>
      </w:r>
      <w:r w:rsidR="006C0B43">
        <w:rPr>
          <w:rFonts w:hint="cs"/>
          <w:b/>
          <w:bCs/>
          <w:sz w:val="28"/>
          <w:szCs w:val="28"/>
          <w:rtl/>
        </w:rPr>
        <w:t>מנוחה</w:t>
      </w:r>
      <w:r w:rsidR="00D06819">
        <w:rPr>
          <w:rFonts w:hint="cs"/>
          <w:b/>
          <w:bCs/>
          <w:sz w:val="28"/>
          <w:szCs w:val="28"/>
          <w:rtl/>
        </w:rPr>
        <w:t>'</w:t>
      </w:r>
      <w:r w:rsidR="006C0B43">
        <w:rPr>
          <w:rFonts w:hint="cs"/>
          <w:b/>
          <w:bCs/>
          <w:sz w:val="28"/>
          <w:szCs w:val="28"/>
          <w:rtl/>
        </w:rPr>
        <w:t>.</w:t>
      </w:r>
    </w:p>
    <w:p w14:paraId="0DA45B97" w14:textId="77777777" w:rsidR="009C325F" w:rsidRDefault="009C0032" w:rsidP="004C3F79">
      <w:pPr>
        <w:pStyle w:val="FootnoteText"/>
        <w:rPr>
          <w:b/>
          <w:bCs/>
          <w:sz w:val="28"/>
          <w:szCs w:val="28"/>
          <w:rtl/>
        </w:rPr>
      </w:pPr>
      <w:r>
        <w:rPr>
          <w:rFonts w:hint="cs"/>
          <w:b/>
          <w:bCs/>
          <w:sz w:val="28"/>
          <w:szCs w:val="28"/>
          <w:rtl/>
        </w:rPr>
        <w:t>ואם היה</w:t>
      </w:r>
      <w:r w:rsidR="008F1FD6">
        <w:rPr>
          <w:rFonts w:hint="cs"/>
          <w:b/>
          <w:bCs/>
          <w:sz w:val="28"/>
          <w:szCs w:val="28"/>
          <w:rtl/>
        </w:rPr>
        <w:t xml:space="preserve"> </w:t>
      </w:r>
      <w:r w:rsidR="00056CD2">
        <w:rPr>
          <w:rFonts w:hint="cs"/>
          <w:b/>
          <w:bCs/>
          <w:sz w:val="28"/>
          <w:szCs w:val="28"/>
          <w:rtl/>
        </w:rPr>
        <w:t>ה</w:t>
      </w:r>
      <w:r>
        <w:rPr>
          <w:rFonts w:hint="cs"/>
          <w:b/>
          <w:bCs/>
          <w:sz w:val="28"/>
          <w:szCs w:val="28"/>
          <w:rtl/>
        </w:rPr>
        <w:t xml:space="preserve">אדם </w:t>
      </w:r>
      <w:r w:rsidR="00056CD2">
        <w:rPr>
          <w:rFonts w:hint="cs"/>
          <w:b/>
          <w:bCs/>
          <w:sz w:val="28"/>
          <w:szCs w:val="28"/>
          <w:rtl/>
        </w:rPr>
        <w:t>ה</w:t>
      </w:r>
      <w:r>
        <w:rPr>
          <w:rFonts w:hint="cs"/>
          <w:b/>
          <w:bCs/>
          <w:sz w:val="28"/>
          <w:szCs w:val="28"/>
          <w:rtl/>
        </w:rPr>
        <w:t>זה אומר</w:t>
      </w:r>
      <w:r w:rsidR="00AA02E0">
        <w:rPr>
          <w:rFonts w:hint="cs"/>
          <w:b/>
          <w:bCs/>
          <w:sz w:val="28"/>
          <w:szCs w:val="28"/>
          <w:rtl/>
        </w:rPr>
        <w:t xml:space="preserve"> </w:t>
      </w:r>
      <w:r w:rsidR="002F2A7D">
        <w:rPr>
          <w:rFonts w:hint="cs"/>
          <w:b/>
          <w:bCs/>
          <w:sz w:val="28"/>
          <w:szCs w:val="28"/>
          <w:rtl/>
        </w:rPr>
        <w:t>שהטבע הוא התחל</w:t>
      </w:r>
      <w:r w:rsidR="00514E0D">
        <w:rPr>
          <w:rFonts w:hint="cs"/>
          <w:b/>
          <w:bCs/>
          <w:sz w:val="28"/>
          <w:szCs w:val="28"/>
          <w:rtl/>
        </w:rPr>
        <w:t>ה שנמצאת בגשמים</w:t>
      </w:r>
      <w:r w:rsidR="00056CD2">
        <w:rPr>
          <w:rFonts w:hint="cs"/>
          <w:b/>
          <w:bCs/>
          <w:sz w:val="28"/>
          <w:szCs w:val="28"/>
          <w:rtl/>
        </w:rPr>
        <w:t xml:space="preserve"> </w:t>
      </w:r>
      <w:r w:rsidR="00BC3CF3">
        <w:rPr>
          <w:rFonts w:hint="cs"/>
          <w:b/>
          <w:bCs/>
          <w:sz w:val="28"/>
          <w:szCs w:val="28"/>
          <w:rtl/>
        </w:rPr>
        <w:t xml:space="preserve">להניעם </w:t>
      </w:r>
      <w:r w:rsidR="00AA1436">
        <w:rPr>
          <w:rFonts w:hint="cs"/>
          <w:b/>
          <w:bCs/>
          <w:sz w:val="28"/>
          <w:szCs w:val="28"/>
          <w:rtl/>
        </w:rPr>
        <w:t xml:space="preserve">אל שלמותם </w:t>
      </w:r>
      <w:r w:rsidR="00D059EC">
        <w:rPr>
          <w:rFonts w:hint="cs"/>
          <w:b/>
          <w:bCs/>
          <w:sz w:val="28"/>
          <w:szCs w:val="28"/>
          <w:rtl/>
        </w:rPr>
        <w:t>ו</w:t>
      </w:r>
      <w:r w:rsidR="00875C3F">
        <w:rPr>
          <w:rFonts w:hint="cs"/>
          <w:b/>
          <w:bCs/>
          <w:sz w:val="28"/>
          <w:szCs w:val="28"/>
          <w:rtl/>
        </w:rPr>
        <w:t>להניחם</w:t>
      </w:r>
      <w:r w:rsidR="00D059EC">
        <w:rPr>
          <w:rFonts w:hint="cs"/>
          <w:b/>
          <w:bCs/>
          <w:sz w:val="28"/>
          <w:szCs w:val="28"/>
          <w:rtl/>
        </w:rPr>
        <w:t xml:space="preserve"> עליה, </w:t>
      </w:r>
      <w:r w:rsidR="000F449B">
        <w:rPr>
          <w:rFonts w:hint="cs"/>
          <w:b/>
          <w:bCs/>
          <w:sz w:val="28"/>
          <w:szCs w:val="28"/>
          <w:rtl/>
        </w:rPr>
        <w:t xml:space="preserve">הוא התחלה ראשונה לתנועה </w:t>
      </w:r>
      <w:r w:rsidR="007A36E8">
        <w:rPr>
          <w:rFonts w:hint="cs"/>
          <w:b/>
          <w:bCs/>
          <w:sz w:val="28"/>
          <w:szCs w:val="28"/>
          <w:rtl/>
        </w:rPr>
        <w:t xml:space="preserve">ולמנוחה </w:t>
      </w:r>
      <w:r w:rsidR="00490D27">
        <w:rPr>
          <w:rFonts w:hint="cs"/>
          <w:b/>
          <w:bCs/>
          <w:sz w:val="28"/>
          <w:szCs w:val="28"/>
          <w:rtl/>
        </w:rPr>
        <w:t>שהיא ב</w:t>
      </w:r>
      <w:r w:rsidR="00843A02">
        <w:rPr>
          <w:rFonts w:hint="cs"/>
          <w:b/>
          <w:bCs/>
          <w:sz w:val="28"/>
          <w:szCs w:val="28"/>
          <w:rtl/>
        </w:rPr>
        <w:t>הם</w:t>
      </w:r>
      <w:r w:rsidR="00296370">
        <w:rPr>
          <w:rFonts w:hint="cs"/>
          <w:b/>
          <w:bCs/>
          <w:sz w:val="28"/>
          <w:szCs w:val="28"/>
          <w:rtl/>
        </w:rPr>
        <w:t xml:space="preserve"> במהות ו</w:t>
      </w:r>
      <w:r w:rsidR="00A514CE">
        <w:rPr>
          <w:rFonts w:hint="cs"/>
          <w:b/>
          <w:bCs/>
          <w:sz w:val="28"/>
          <w:szCs w:val="28"/>
          <w:rtl/>
        </w:rPr>
        <w:t>לא</w:t>
      </w:r>
      <w:r w:rsidR="00296370">
        <w:rPr>
          <w:rFonts w:hint="cs"/>
          <w:b/>
          <w:bCs/>
          <w:sz w:val="28"/>
          <w:szCs w:val="28"/>
          <w:rtl/>
        </w:rPr>
        <w:t xml:space="preserve"> במקרה</w:t>
      </w:r>
      <w:r w:rsidR="00976230">
        <w:rPr>
          <w:rFonts w:hint="cs"/>
          <w:b/>
          <w:bCs/>
          <w:sz w:val="28"/>
          <w:szCs w:val="28"/>
          <w:rtl/>
        </w:rPr>
        <w:t xml:space="preserve">, לא יהיה זה אלא חזרה </w:t>
      </w:r>
      <w:r w:rsidR="00710126">
        <w:rPr>
          <w:rFonts w:hint="cs"/>
          <w:b/>
          <w:bCs/>
          <w:sz w:val="28"/>
          <w:szCs w:val="28"/>
          <w:rtl/>
        </w:rPr>
        <w:t xml:space="preserve">על דברים רבים </w:t>
      </w:r>
      <w:r w:rsidR="00B370B7">
        <w:rPr>
          <w:rFonts w:hint="cs"/>
          <w:b/>
          <w:bCs/>
          <w:sz w:val="28"/>
          <w:szCs w:val="28"/>
          <w:rtl/>
        </w:rPr>
        <w:t xml:space="preserve">ללא תועלת </w:t>
      </w:r>
      <w:r w:rsidR="00902421">
        <w:rPr>
          <w:rFonts w:hint="cs"/>
          <w:b/>
          <w:bCs/>
          <w:sz w:val="28"/>
          <w:szCs w:val="28"/>
          <w:rtl/>
        </w:rPr>
        <w:t>בהם</w:t>
      </w:r>
      <w:r w:rsidR="00B17745">
        <w:rPr>
          <w:rFonts w:hint="cs"/>
          <w:b/>
          <w:bCs/>
          <w:sz w:val="28"/>
          <w:szCs w:val="28"/>
          <w:rtl/>
        </w:rPr>
        <w:t xml:space="preserve">. וכן </w:t>
      </w:r>
      <w:r w:rsidR="007A56A6">
        <w:rPr>
          <w:rFonts w:hint="cs"/>
          <w:b/>
          <w:bCs/>
          <w:sz w:val="28"/>
          <w:szCs w:val="28"/>
          <w:rtl/>
        </w:rPr>
        <w:t xml:space="preserve">אם הוא </w:t>
      </w:r>
      <w:r w:rsidR="003B7911">
        <w:rPr>
          <w:rFonts w:hint="cs"/>
          <w:b/>
          <w:bCs/>
          <w:sz w:val="28"/>
          <w:szCs w:val="28"/>
          <w:rtl/>
        </w:rPr>
        <w:t>י</w:t>
      </w:r>
      <w:r w:rsidR="005739A6">
        <w:rPr>
          <w:rFonts w:hint="cs"/>
          <w:b/>
          <w:bCs/>
          <w:sz w:val="28"/>
          <w:szCs w:val="28"/>
          <w:rtl/>
        </w:rPr>
        <w:t xml:space="preserve">חליף את המשפט הזה </w:t>
      </w:r>
      <w:r w:rsidR="00F50767">
        <w:rPr>
          <w:rFonts w:hint="cs"/>
          <w:b/>
          <w:bCs/>
          <w:sz w:val="28"/>
          <w:szCs w:val="28"/>
          <w:rtl/>
        </w:rPr>
        <w:t>ב</w:t>
      </w:r>
      <w:r w:rsidR="00880C07">
        <w:rPr>
          <w:rFonts w:hint="cs"/>
          <w:b/>
          <w:bCs/>
          <w:sz w:val="28"/>
          <w:szCs w:val="28"/>
          <w:rtl/>
        </w:rPr>
        <w:t>אמיר</w:t>
      </w:r>
      <w:r w:rsidR="003E15E3">
        <w:rPr>
          <w:rFonts w:hint="cs"/>
          <w:b/>
          <w:bCs/>
          <w:sz w:val="28"/>
          <w:szCs w:val="28"/>
          <w:rtl/>
        </w:rPr>
        <w:t>ת ב</w:t>
      </w:r>
      <w:r w:rsidR="009512DE">
        <w:rPr>
          <w:rFonts w:hint="cs"/>
          <w:b/>
          <w:bCs/>
          <w:sz w:val="28"/>
          <w:szCs w:val="28"/>
          <w:rtl/>
        </w:rPr>
        <w:t>יטוי</w:t>
      </w:r>
      <w:r w:rsidR="00087A8D">
        <w:rPr>
          <w:rFonts w:hint="cs"/>
          <w:b/>
          <w:bCs/>
          <w:sz w:val="28"/>
          <w:szCs w:val="28"/>
          <w:rtl/>
        </w:rPr>
        <w:t xml:space="preserve"> אח</w:t>
      </w:r>
      <w:r w:rsidR="009512DE">
        <w:rPr>
          <w:rFonts w:hint="cs"/>
          <w:b/>
          <w:bCs/>
          <w:sz w:val="28"/>
          <w:szCs w:val="28"/>
          <w:rtl/>
        </w:rPr>
        <w:t>ד</w:t>
      </w:r>
      <w:r w:rsidR="00F50767">
        <w:rPr>
          <w:rFonts w:hint="cs"/>
          <w:b/>
          <w:bCs/>
          <w:sz w:val="28"/>
          <w:szCs w:val="28"/>
          <w:rtl/>
        </w:rPr>
        <w:t xml:space="preserve"> </w:t>
      </w:r>
      <w:r w:rsidR="00734D12">
        <w:rPr>
          <w:rFonts w:hint="cs"/>
          <w:b/>
          <w:bCs/>
          <w:sz w:val="28"/>
          <w:szCs w:val="28"/>
          <w:rtl/>
        </w:rPr>
        <w:t>הוא יהיה</w:t>
      </w:r>
      <w:r w:rsidR="003B7911">
        <w:rPr>
          <w:rFonts w:hint="cs"/>
          <w:b/>
          <w:bCs/>
          <w:sz w:val="28"/>
          <w:szCs w:val="28"/>
          <w:rtl/>
        </w:rPr>
        <w:t xml:space="preserve"> חוזר </w:t>
      </w:r>
      <w:r w:rsidR="00961FAE">
        <w:rPr>
          <w:rFonts w:hint="cs"/>
          <w:b/>
          <w:bCs/>
          <w:sz w:val="28"/>
          <w:szCs w:val="28"/>
          <w:rtl/>
        </w:rPr>
        <w:t xml:space="preserve">על דברים רבים ללא חכמה. </w:t>
      </w:r>
    </w:p>
    <w:p w14:paraId="040EE37E" w14:textId="0061AD19" w:rsidR="00B175CD" w:rsidRDefault="005252BA" w:rsidP="00AF63E4">
      <w:pPr>
        <w:pStyle w:val="FootnoteText"/>
        <w:rPr>
          <w:b/>
          <w:bCs/>
          <w:sz w:val="28"/>
          <w:szCs w:val="28"/>
          <w:rtl/>
        </w:rPr>
      </w:pPr>
      <w:r>
        <w:rPr>
          <w:rFonts w:hint="cs"/>
          <w:b/>
          <w:bCs/>
          <w:sz w:val="28"/>
          <w:szCs w:val="28"/>
          <w:rtl/>
        </w:rPr>
        <w:t>ו</w:t>
      </w:r>
      <w:r w:rsidR="00A43F98">
        <w:rPr>
          <w:rFonts w:hint="cs"/>
          <w:b/>
          <w:bCs/>
          <w:sz w:val="28"/>
          <w:szCs w:val="28"/>
          <w:rtl/>
        </w:rPr>
        <w:t>עם ז</w:t>
      </w:r>
      <w:r w:rsidR="00E42525">
        <w:rPr>
          <w:rFonts w:hint="cs"/>
          <w:b/>
          <w:bCs/>
          <w:sz w:val="28"/>
          <w:szCs w:val="28"/>
          <w:rtl/>
        </w:rPr>
        <w:t>את</w:t>
      </w:r>
      <w:r>
        <w:rPr>
          <w:rFonts w:hint="cs"/>
          <w:b/>
          <w:bCs/>
          <w:sz w:val="28"/>
          <w:szCs w:val="28"/>
          <w:rtl/>
        </w:rPr>
        <w:t xml:space="preserve">, </w:t>
      </w:r>
      <w:r w:rsidR="00EA3F8B">
        <w:rPr>
          <w:rFonts w:hint="cs"/>
          <w:b/>
          <w:bCs/>
          <w:sz w:val="28"/>
          <w:szCs w:val="28"/>
          <w:rtl/>
        </w:rPr>
        <w:t>מה</w:t>
      </w:r>
      <w:r w:rsidR="00607395">
        <w:rPr>
          <w:rFonts w:hint="cs"/>
          <w:b/>
          <w:bCs/>
          <w:sz w:val="28"/>
          <w:szCs w:val="28"/>
          <w:rtl/>
        </w:rPr>
        <w:t xml:space="preserve"> ש</w:t>
      </w:r>
      <w:r w:rsidR="00F5422B">
        <w:rPr>
          <w:rFonts w:hint="cs"/>
          <w:b/>
          <w:bCs/>
          <w:sz w:val="28"/>
          <w:szCs w:val="28"/>
          <w:rtl/>
        </w:rPr>
        <w:t>בא</w:t>
      </w:r>
      <w:r w:rsidR="0077209A">
        <w:rPr>
          <w:rFonts w:hint="cs"/>
          <w:b/>
          <w:bCs/>
          <w:sz w:val="28"/>
          <w:szCs w:val="28"/>
          <w:rtl/>
        </w:rPr>
        <w:t xml:space="preserve"> </w:t>
      </w:r>
      <w:r w:rsidR="00607395">
        <w:rPr>
          <w:rFonts w:hint="cs"/>
          <w:b/>
          <w:bCs/>
          <w:sz w:val="28"/>
          <w:szCs w:val="28"/>
          <w:rtl/>
        </w:rPr>
        <w:t xml:space="preserve">לתקן </w:t>
      </w:r>
      <w:r w:rsidR="008C6ABC">
        <w:rPr>
          <w:rFonts w:hint="cs"/>
          <w:b/>
          <w:bCs/>
          <w:sz w:val="28"/>
          <w:szCs w:val="28"/>
          <w:rtl/>
        </w:rPr>
        <w:t xml:space="preserve">באמירתו </w:t>
      </w:r>
      <w:r w:rsidR="008719AA">
        <w:rPr>
          <w:rFonts w:hint="cs"/>
          <w:b/>
          <w:bCs/>
          <w:sz w:val="28"/>
          <w:szCs w:val="28"/>
          <w:rtl/>
        </w:rPr>
        <w:t xml:space="preserve">פגם </w:t>
      </w:r>
      <w:r w:rsidR="003C5D60">
        <w:rPr>
          <w:rFonts w:hint="cs"/>
          <w:b/>
          <w:bCs/>
          <w:sz w:val="28"/>
          <w:szCs w:val="28"/>
          <w:rtl/>
        </w:rPr>
        <w:t xml:space="preserve">לכאורה </w:t>
      </w:r>
      <w:r w:rsidR="008719AA">
        <w:rPr>
          <w:rFonts w:hint="cs"/>
          <w:b/>
          <w:bCs/>
          <w:sz w:val="28"/>
          <w:szCs w:val="28"/>
          <w:rtl/>
        </w:rPr>
        <w:t>בהסתכלות</w:t>
      </w:r>
      <w:r w:rsidR="00260621">
        <w:rPr>
          <w:rStyle w:val="FootnoteReference"/>
          <w:b/>
          <w:bCs/>
          <w:sz w:val="28"/>
          <w:szCs w:val="28"/>
          <w:rtl/>
        </w:rPr>
        <w:footnoteReference w:id="465"/>
      </w:r>
      <w:r w:rsidR="008E3D51">
        <w:rPr>
          <w:rFonts w:hint="cs"/>
          <w:b/>
          <w:bCs/>
          <w:sz w:val="28"/>
          <w:szCs w:val="28"/>
          <w:rtl/>
        </w:rPr>
        <w:t>,</w:t>
      </w:r>
      <w:r w:rsidR="00EE027E">
        <w:rPr>
          <w:rFonts w:hint="cs"/>
          <w:b/>
          <w:bCs/>
          <w:sz w:val="28"/>
          <w:szCs w:val="28"/>
          <w:rtl/>
        </w:rPr>
        <w:t xml:space="preserve"> </w:t>
      </w:r>
      <w:r w:rsidR="00007EFD">
        <w:rPr>
          <w:rFonts w:hint="cs"/>
          <w:b/>
          <w:bCs/>
          <w:sz w:val="28"/>
          <w:szCs w:val="28"/>
          <w:rtl/>
        </w:rPr>
        <w:t>כ</w:t>
      </w:r>
      <w:r w:rsidR="002344C0">
        <w:rPr>
          <w:rFonts w:hint="cs"/>
          <w:b/>
          <w:bCs/>
          <w:sz w:val="28"/>
          <w:szCs w:val="28"/>
          <w:rtl/>
        </w:rPr>
        <w:t>ש</w:t>
      </w:r>
      <w:r w:rsidR="00FE6779">
        <w:rPr>
          <w:rFonts w:hint="cs"/>
          <w:b/>
          <w:bCs/>
          <w:sz w:val="28"/>
          <w:szCs w:val="28"/>
          <w:rtl/>
        </w:rPr>
        <w:t xml:space="preserve">חשב </w:t>
      </w:r>
      <w:r w:rsidR="00007EFD">
        <w:rPr>
          <w:rFonts w:hint="cs"/>
          <w:b/>
          <w:bCs/>
          <w:sz w:val="28"/>
          <w:szCs w:val="28"/>
          <w:rtl/>
        </w:rPr>
        <w:t>ש</w:t>
      </w:r>
      <w:r w:rsidR="00825E51">
        <w:rPr>
          <w:rFonts w:hint="cs"/>
          <w:b/>
          <w:bCs/>
          <w:sz w:val="28"/>
          <w:szCs w:val="28"/>
          <w:rtl/>
        </w:rPr>
        <w:t>אם</w:t>
      </w:r>
      <w:r w:rsidR="00474B75">
        <w:rPr>
          <w:rFonts w:hint="cs"/>
          <w:b/>
          <w:bCs/>
          <w:sz w:val="28"/>
          <w:szCs w:val="28"/>
          <w:rtl/>
        </w:rPr>
        <w:t xml:space="preserve"> [אריסטו]</w:t>
      </w:r>
      <w:r w:rsidR="00DC79AB">
        <w:rPr>
          <w:rFonts w:hint="cs"/>
          <w:b/>
          <w:bCs/>
          <w:sz w:val="28"/>
          <w:szCs w:val="28"/>
          <w:rtl/>
        </w:rPr>
        <w:t xml:space="preserve"> אמר 'כח', </w:t>
      </w:r>
      <w:r w:rsidR="0049483B">
        <w:rPr>
          <w:rFonts w:hint="cs"/>
          <w:b/>
          <w:bCs/>
          <w:sz w:val="28"/>
          <w:szCs w:val="28"/>
          <w:rtl/>
        </w:rPr>
        <w:t xml:space="preserve">הוא </w:t>
      </w:r>
      <w:r w:rsidR="0053503A">
        <w:rPr>
          <w:rFonts w:hint="cs"/>
          <w:b/>
          <w:bCs/>
          <w:sz w:val="28"/>
          <w:szCs w:val="28"/>
          <w:rtl/>
        </w:rPr>
        <w:t>ציין</w:t>
      </w:r>
      <w:r w:rsidR="0049483B">
        <w:rPr>
          <w:rFonts w:hint="cs"/>
          <w:b/>
          <w:bCs/>
          <w:sz w:val="28"/>
          <w:szCs w:val="28"/>
          <w:rtl/>
        </w:rPr>
        <w:t xml:space="preserve"> </w:t>
      </w:r>
      <w:r w:rsidR="00C17D1A">
        <w:rPr>
          <w:rFonts w:hint="cs"/>
          <w:b/>
          <w:bCs/>
          <w:sz w:val="28"/>
          <w:szCs w:val="28"/>
          <w:rtl/>
        </w:rPr>
        <w:t>מהות</w:t>
      </w:r>
      <w:r w:rsidR="0049124F">
        <w:rPr>
          <w:rFonts w:hint="cs"/>
          <w:b/>
          <w:bCs/>
          <w:sz w:val="28"/>
          <w:szCs w:val="28"/>
          <w:rtl/>
        </w:rPr>
        <w:t xml:space="preserve"> שאינה </w:t>
      </w:r>
      <w:r w:rsidR="006873F7">
        <w:rPr>
          <w:rFonts w:hint="cs"/>
          <w:b/>
          <w:bCs/>
          <w:sz w:val="28"/>
          <w:szCs w:val="28"/>
          <w:rtl/>
        </w:rPr>
        <w:t>נוספת</w:t>
      </w:r>
      <w:r w:rsidR="0049124F">
        <w:rPr>
          <w:rFonts w:hint="cs"/>
          <w:b/>
          <w:bCs/>
          <w:sz w:val="28"/>
          <w:szCs w:val="28"/>
          <w:rtl/>
        </w:rPr>
        <w:t xml:space="preserve"> </w:t>
      </w:r>
      <w:r w:rsidR="00E42189" w:rsidRPr="00E42189">
        <w:rPr>
          <w:b/>
          <w:bCs/>
          <w:sz w:val="28"/>
          <w:szCs w:val="28"/>
          <w:rtl/>
        </w:rPr>
        <w:t>לְדָבָר</w:t>
      </w:r>
      <w:r w:rsidR="003C5D60">
        <w:rPr>
          <w:rFonts w:hint="cs"/>
          <w:b/>
          <w:bCs/>
          <w:sz w:val="28"/>
          <w:szCs w:val="28"/>
          <w:rtl/>
        </w:rPr>
        <w:t xml:space="preserve">, </w:t>
      </w:r>
      <w:r w:rsidR="00FB7E0D">
        <w:rPr>
          <w:rFonts w:hint="cs"/>
          <w:b/>
          <w:bCs/>
          <w:sz w:val="28"/>
          <w:szCs w:val="28"/>
          <w:rtl/>
        </w:rPr>
        <w:t xml:space="preserve">הוא לא תיקן. </w:t>
      </w:r>
      <w:r w:rsidR="009116D3">
        <w:rPr>
          <w:rFonts w:hint="cs"/>
          <w:b/>
          <w:bCs/>
          <w:sz w:val="28"/>
          <w:szCs w:val="28"/>
          <w:rtl/>
        </w:rPr>
        <w:t xml:space="preserve">כי המובן של </w:t>
      </w:r>
      <w:r w:rsidR="003A7A77">
        <w:rPr>
          <w:rFonts w:hint="cs"/>
          <w:b/>
          <w:bCs/>
          <w:sz w:val="28"/>
          <w:szCs w:val="28"/>
          <w:rtl/>
        </w:rPr>
        <w:t>'</w:t>
      </w:r>
      <w:r w:rsidR="009116D3">
        <w:rPr>
          <w:rFonts w:hint="cs"/>
          <w:b/>
          <w:bCs/>
          <w:sz w:val="28"/>
          <w:szCs w:val="28"/>
          <w:rtl/>
        </w:rPr>
        <w:t>כח</w:t>
      </w:r>
      <w:r w:rsidR="003A7A77">
        <w:rPr>
          <w:rFonts w:hint="cs"/>
          <w:b/>
          <w:bCs/>
          <w:sz w:val="28"/>
          <w:szCs w:val="28"/>
          <w:rtl/>
        </w:rPr>
        <w:t>'</w:t>
      </w:r>
      <w:r w:rsidR="009116D3">
        <w:rPr>
          <w:rFonts w:hint="cs"/>
          <w:b/>
          <w:bCs/>
          <w:sz w:val="28"/>
          <w:szCs w:val="28"/>
          <w:rtl/>
        </w:rPr>
        <w:t xml:space="preserve"> </w:t>
      </w:r>
      <w:r w:rsidR="00EA51CD">
        <w:rPr>
          <w:rFonts w:hint="cs"/>
          <w:b/>
          <w:bCs/>
          <w:sz w:val="28"/>
          <w:szCs w:val="28"/>
          <w:rtl/>
        </w:rPr>
        <w:t xml:space="preserve">הוא התחלת תנועה ומנוחה, </w:t>
      </w:r>
      <w:r w:rsidR="003A7A77">
        <w:rPr>
          <w:rFonts w:hint="cs"/>
          <w:b/>
          <w:bCs/>
          <w:sz w:val="28"/>
          <w:szCs w:val="28"/>
          <w:rtl/>
        </w:rPr>
        <w:t xml:space="preserve">לא </w:t>
      </w:r>
      <w:r w:rsidR="009C2F05">
        <w:rPr>
          <w:rFonts w:hint="cs"/>
          <w:b/>
          <w:bCs/>
          <w:sz w:val="28"/>
          <w:szCs w:val="28"/>
          <w:rtl/>
        </w:rPr>
        <w:t>דבר</w:t>
      </w:r>
      <w:r w:rsidR="003A7A77">
        <w:rPr>
          <w:rFonts w:hint="cs"/>
          <w:b/>
          <w:bCs/>
          <w:sz w:val="28"/>
          <w:szCs w:val="28"/>
          <w:rtl/>
        </w:rPr>
        <w:t xml:space="preserve"> אחר. </w:t>
      </w:r>
      <w:proofErr w:type="spellStart"/>
      <w:r w:rsidR="00DE5045">
        <w:rPr>
          <w:rFonts w:hint="cs"/>
          <w:b/>
          <w:bCs/>
          <w:sz w:val="28"/>
          <w:szCs w:val="28"/>
          <w:rtl/>
        </w:rPr>
        <w:t>והכח</w:t>
      </w:r>
      <w:proofErr w:type="spellEnd"/>
      <w:r w:rsidR="00DE5045">
        <w:rPr>
          <w:rFonts w:hint="cs"/>
          <w:b/>
          <w:bCs/>
          <w:sz w:val="28"/>
          <w:szCs w:val="28"/>
          <w:rtl/>
        </w:rPr>
        <w:t xml:space="preserve"> אין ל</w:t>
      </w:r>
      <w:r w:rsidR="00A7409B">
        <w:rPr>
          <w:rFonts w:hint="cs"/>
          <w:b/>
          <w:bCs/>
          <w:sz w:val="28"/>
          <w:szCs w:val="28"/>
          <w:rtl/>
        </w:rPr>
        <w:t>ראות אותו</w:t>
      </w:r>
      <w:r w:rsidR="00DE5045">
        <w:rPr>
          <w:rFonts w:hint="cs"/>
          <w:b/>
          <w:bCs/>
          <w:sz w:val="28"/>
          <w:szCs w:val="28"/>
          <w:rtl/>
        </w:rPr>
        <w:t xml:space="preserve"> </w:t>
      </w:r>
      <w:r w:rsidR="00E631A8">
        <w:rPr>
          <w:rFonts w:hint="cs"/>
          <w:b/>
          <w:bCs/>
          <w:sz w:val="28"/>
          <w:szCs w:val="28"/>
          <w:rtl/>
        </w:rPr>
        <w:t xml:space="preserve">אלא </w:t>
      </w:r>
      <w:r w:rsidR="000E7E91">
        <w:rPr>
          <w:rFonts w:hint="cs"/>
          <w:b/>
          <w:bCs/>
          <w:sz w:val="28"/>
          <w:szCs w:val="28"/>
          <w:rtl/>
        </w:rPr>
        <w:t xml:space="preserve">מצד </w:t>
      </w:r>
      <w:r w:rsidR="006F6E05">
        <w:rPr>
          <w:rFonts w:hint="cs"/>
          <w:b/>
          <w:bCs/>
          <w:sz w:val="28"/>
          <w:szCs w:val="28"/>
          <w:rtl/>
        </w:rPr>
        <w:t xml:space="preserve">שהוא מתייחס </w:t>
      </w:r>
      <w:r w:rsidR="00D13CD5">
        <w:rPr>
          <w:rFonts w:hint="cs"/>
          <w:b/>
          <w:bCs/>
          <w:sz w:val="28"/>
          <w:szCs w:val="28"/>
          <w:rtl/>
        </w:rPr>
        <w:t>לדבר נוסף</w:t>
      </w:r>
      <w:r w:rsidR="00FA0D47">
        <w:rPr>
          <w:rStyle w:val="FootnoteReference"/>
          <w:b/>
          <w:bCs/>
          <w:sz w:val="28"/>
          <w:szCs w:val="28"/>
          <w:rtl/>
        </w:rPr>
        <w:footnoteReference w:id="466"/>
      </w:r>
      <w:r w:rsidR="00282E1F">
        <w:rPr>
          <w:rFonts w:hint="cs"/>
          <w:b/>
          <w:bCs/>
          <w:sz w:val="28"/>
          <w:szCs w:val="28"/>
          <w:rtl/>
        </w:rPr>
        <w:t xml:space="preserve">. </w:t>
      </w:r>
      <w:r w:rsidR="00994D3C">
        <w:rPr>
          <w:rFonts w:hint="cs"/>
          <w:b/>
          <w:bCs/>
          <w:sz w:val="28"/>
          <w:szCs w:val="28"/>
          <w:rtl/>
        </w:rPr>
        <w:t xml:space="preserve">ולא </w:t>
      </w:r>
      <w:r w:rsidR="00DD44AE">
        <w:rPr>
          <w:rFonts w:hint="cs"/>
          <w:b/>
          <w:bCs/>
          <w:sz w:val="28"/>
          <w:szCs w:val="28"/>
          <w:rtl/>
        </w:rPr>
        <w:t>ת</w:t>
      </w:r>
      <w:r w:rsidR="006F68C5">
        <w:rPr>
          <w:rFonts w:hint="cs"/>
          <w:b/>
          <w:bCs/>
          <w:sz w:val="28"/>
          <w:szCs w:val="28"/>
          <w:rtl/>
        </w:rPr>
        <w:t>ת</w:t>
      </w:r>
      <w:r w:rsidR="00376CA0">
        <w:rPr>
          <w:rFonts w:hint="cs"/>
          <w:b/>
          <w:bCs/>
          <w:sz w:val="28"/>
          <w:szCs w:val="28"/>
          <w:rtl/>
        </w:rPr>
        <w:t>ה</w:t>
      </w:r>
      <w:r w:rsidR="006F68C5">
        <w:rPr>
          <w:rFonts w:hint="cs"/>
          <w:b/>
          <w:bCs/>
          <w:sz w:val="28"/>
          <w:szCs w:val="28"/>
          <w:rtl/>
        </w:rPr>
        <w:t>וו</w:t>
      </w:r>
      <w:r w:rsidR="00376CA0">
        <w:rPr>
          <w:rFonts w:hint="cs"/>
          <w:b/>
          <w:bCs/>
          <w:sz w:val="28"/>
          <w:szCs w:val="28"/>
          <w:rtl/>
        </w:rPr>
        <w:t>ה</w:t>
      </w:r>
      <w:r w:rsidR="0010603D">
        <w:rPr>
          <w:rFonts w:hint="cs"/>
          <w:b/>
          <w:bCs/>
          <w:sz w:val="28"/>
          <w:szCs w:val="28"/>
          <w:rtl/>
        </w:rPr>
        <w:t xml:space="preserve"> דע</w:t>
      </w:r>
      <w:r w:rsidR="00DD44AE">
        <w:rPr>
          <w:rFonts w:hint="cs"/>
          <w:b/>
          <w:bCs/>
          <w:sz w:val="28"/>
          <w:szCs w:val="28"/>
          <w:rtl/>
        </w:rPr>
        <w:t>ה</w:t>
      </w:r>
      <w:r w:rsidR="0010603D">
        <w:rPr>
          <w:rFonts w:hint="cs"/>
          <w:b/>
          <w:bCs/>
          <w:sz w:val="28"/>
          <w:szCs w:val="28"/>
          <w:rtl/>
        </w:rPr>
        <w:t xml:space="preserve"> </w:t>
      </w:r>
      <w:r w:rsidR="00376CA0">
        <w:rPr>
          <w:rFonts w:hint="cs"/>
          <w:b/>
          <w:bCs/>
          <w:sz w:val="28"/>
          <w:szCs w:val="28"/>
          <w:rtl/>
        </w:rPr>
        <w:t>אמיתית</w:t>
      </w:r>
      <w:r w:rsidR="00F60262">
        <w:rPr>
          <w:rFonts w:hint="cs"/>
          <w:b/>
          <w:bCs/>
          <w:sz w:val="28"/>
          <w:szCs w:val="28"/>
          <w:rtl/>
        </w:rPr>
        <w:t xml:space="preserve"> </w:t>
      </w:r>
      <w:r w:rsidR="00D037F0">
        <w:rPr>
          <w:rFonts w:hint="cs"/>
          <w:b/>
          <w:bCs/>
          <w:sz w:val="28"/>
          <w:szCs w:val="28"/>
          <w:rtl/>
        </w:rPr>
        <w:t>מ</w:t>
      </w:r>
      <w:r w:rsidR="006F3193">
        <w:rPr>
          <w:rFonts w:hint="cs"/>
          <w:b/>
          <w:bCs/>
          <w:sz w:val="28"/>
          <w:szCs w:val="28"/>
          <w:rtl/>
        </w:rPr>
        <w:t xml:space="preserve">מה </w:t>
      </w:r>
      <w:r w:rsidR="00F60262">
        <w:rPr>
          <w:rFonts w:hint="cs"/>
          <w:b/>
          <w:bCs/>
          <w:sz w:val="28"/>
          <w:szCs w:val="28"/>
          <w:rtl/>
        </w:rPr>
        <w:t xml:space="preserve">שיברח </w:t>
      </w:r>
      <w:r w:rsidR="00286DDD">
        <w:rPr>
          <w:rFonts w:hint="cs"/>
          <w:b/>
          <w:bCs/>
          <w:sz w:val="28"/>
          <w:szCs w:val="28"/>
          <w:rtl/>
        </w:rPr>
        <w:t>מה</w:t>
      </w:r>
      <w:r w:rsidR="00752D61">
        <w:rPr>
          <w:rFonts w:hint="cs"/>
          <w:b/>
          <w:bCs/>
          <w:sz w:val="28"/>
          <w:szCs w:val="28"/>
          <w:rtl/>
        </w:rPr>
        <w:t>הבנה</w:t>
      </w:r>
      <w:r w:rsidR="00286DDD">
        <w:rPr>
          <w:rFonts w:hint="cs"/>
          <w:b/>
          <w:bCs/>
          <w:sz w:val="28"/>
          <w:szCs w:val="28"/>
          <w:rtl/>
        </w:rPr>
        <w:t xml:space="preserve"> הז</w:t>
      </w:r>
      <w:r w:rsidR="00752D61">
        <w:rPr>
          <w:rFonts w:hint="cs"/>
          <w:b/>
          <w:bCs/>
          <w:sz w:val="28"/>
          <w:szCs w:val="28"/>
          <w:rtl/>
        </w:rPr>
        <w:t>ו ב</w:t>
      </w:r>
      <w:r w:rsidR="009C6AFF">
        <w:rPr>
          <w:rFonts w:hint="cs"/>
          <w:b/>
          <w:bCs/>
          <w:sz w:val="28"/>
          <w:szCs w:val="28"/>
          <w:rtl/>
        </w:rPr>
        <w:t>'</w:t>
      </w:r>
      <w:r w:rsidR="00752D61">
        <w:rPr>
          <w:rFonts w:hint="cs"/>
          <w:b/>
          <w:bCs/>
          <w:sz w:val="28"/>
          <w:szCs w:val="28"/>
          <w:rtl/>
        </w:rPr>
        <w:t>כח</w:t>
      </w:r>
      <w:r w:rsidR="009C6AFF">
        <w:rPr>
          <w:rFonts w:hint="cs"/>
          <w:b/>
          <w:bCs/>
          <w:sz w:val="28"/>
          <w:szCs w:val="28"/>
          <w:rtl/>
        </w:rPr>
        <w:t>'</w:t>
      </w:r>
      <w:r w:rsidR="00286DDD">
        <w:rPr>
          <w:rFonts w:hint="cs"/>
          <w:b/>
          <w:bCs/>
          <w:sz w:val="28"/>
          <w:szCs w:val="28"/>
          <w:rtl/>
        </w:rPr>
        <w:t xml:space="preserve">, </w:t>
      </w:r>
      <w:r w:rsidR="002D03CB">
        <w:rPr>
          <w:rFonts w:hint="cs"/>
          <w:b/>
          <w:bCs/>
          <w:sz w:val="28"/>
          <w:szCs w:val="28"/>
          <w:rtl/>
        </w:rPr>
        <w:t>ו</w:t>
      </w:r>
      <w:r w:rsidR="00A20BBF">
        <w:rPr>
          <w:rFonts w:hint="cs"/>
          <w:b/>
          <w:bCs/>
          <w:sz w:val="28"/>
          <w:szCs w:val="28"/>
          <w:rtl/>
        </w:rPr>
        <w:t>מה ש</w:t>
      </w:r>
      <w:r w:rsidR="002D03CB">
        <w:rPr>
          <w:rFonts w:hint="cs"/>
          <w:b/>
          <w:bCs/>
          <w:sz w:val="28"/>
          <w:szCs w:val="28"/>
          <w:rtl/>
        </w:rPr>
        <w:t>עשה האדם הזה</w:t>
      </w:r>
      <w:r w:rsidR="00A20BBF">
        <w:rPr>
          <w:rFonts w:hint="cs"/>
          <w:b/>
          <w:bCs/>
          <w:sz w:val="28"/>
          <w:szCs w:val="28"/>
          <w:rtl/>
        </w:rPr>
        <w:t xml:space="preserve"> הוא הפסד בטל.</w:t>
      </w:r>
    </w:p>
    <w:p w14:paraId="596184A5" w14:textId="77777777" w:rsidR="00EA7B28" w:rsidRPr="00912333" w:rsidRDefault="00EA7B28" w:rsidP="003266A1">
      <w:pPr>
        <w:pStyle w:val="Heading4"/>
        <w:rPr>
          <w:rtl/>
        </w:rPr>
      </w:pPr>
      <w:bookmarkStart w:id="233" w:name="_Toc119092659"/>
      <w:r w:rsidRPr="00912333">
        <w:rPr>
          <w:rFonts w:hint="cs"/>
          <w:rtl/>
        </w:rPr>
        <w:t>1.5.8</w:t>
      </w:r>
      <w:bookmarkEnd w:id="233"/>
    </w:p>
    <w:p w14:paraId="647D64D6" w14:textId="7F289AF7" w:rsidR="003F78DE" w:rsidRDefault="00A00148" w:rsidP="004C3F79">
      <w:pPr>
        <w:pStyle w:val="FootnoteText"/>
        <w:rPr>
          <w:b/>
          <w:bCs/>
          <w:sz w:val="28"/>
          <w:szCs w:val="28"/>
          <w:rtl/>
        </w:rPr>
      </w:pPr>
      <w:r>
        <w:rPr>
          <w:rFonts w:hint="cs"/>
          <w:b/>
          <w:bCs/>
          <w:sz w:val="28"/>
          <w:szCs w:val="28"/>
          <w:rtl/>
        </w:rPr>
        <w:t>לסיום הפרק</w:t>
      </w:r>
      <w:r w:rsidR="00C109A8">
        <w:rPr>
          <w:rFonts w:hint="cs"/>
          <w:b/>
          <w:bCs/>
          <w:sz w:val="28"/>
          <w:szCs w:val="28"/>
          <w:rtl/>
        </w:rPr>
        <w:t>:</w:t>
      </w:r>
      <w:r>
        <w:rPr>
          <w:rFonts w:hint="cs"/>
          <w:b/>
          <w:bCs/>
          <w:sz w:val="28"/>
          <w:szCs w:val="28"/>
          <w:rtl/>
        </w:rPr>
        <w:t xml:space="preserve"> </w:t>
      </w:r>
      <w:r w:rsidR="00912333">
        <w:rPr>
          <w:rFonts w:hint="cs"/>
          <w:b/>
          <w:bCs/>
          <w:sz w:val="28"/>
          <w:szCs w:val="28"/>
          <w:rtl/>
        </w:rPr>
        <w:t>הכוונה באמיר</w:t>
      </w:r>
      <w:r w:rsidR="006377D4">
        <w:rPr>
          <w:rFonts w:hint="cs"/>
          <w:b/>
          <w:bCs/>
          <w:sz w:val="28"/>
          <w:szCs w:val="28"/>
          <w:rtl/>
        </w:rPr>
        <w:t xml:space="preserve">ת ההגדרה הראשונה </w:t>
      </w:r>
      <w:r w:rsidR="00DE39BC">
        <w:rPr>
          <w:rFonts w:hint="cs"/>
          <w:b/>
          <w:bCs/>
          <w:sz w:val="28"/>
          <w:szCs w:val="28"/>
          <w:rtl/>
        </w:rPr>
        <w:t>שהיא התחל</w:t>
      </w:r>
      <w:r w:rsidR="00C96BD4">
        <w:rPr>
          <w:rFonts w:hint="cs"/>
          <w:b/>
          <w:bCs/>
          <w:sz w:val="28"/>
          <w:szCs w:val="28"/>
          <w:rtl/>
        </w:rPr>
        <w:t>ה של תנועה ומנוחה</w:t>
      </w:r>
      <w:r w:rsidR="002F1ADE">
        <w:rPr>
          <w:rFonts w:hint="cs"/>
          <w:b/>
          <w:bCs/>
          <w:sz w:val="28"/>
          <w:szCs w:val="28"/>
          <w:rtl/>
        </w:rPr>
        <w:t>,</w:t>
      </w:r>
      <w:r w:rsidR="00C96BD4">
        <w:rPr>
          <w:rFonts w:hint="cs"/>
          <w:b/>
          <w:bCs/>
          <w:sz w:val="28"/>
          <w:szCs w:val="28"/>
          <w:rtl/>
        </w:rPr>
        <w:t xml:space="preserve"> </w:t>
      </w:r>
      <w:r w:rsidR="002F1ADE">
        <w:rPr>
          <w:rFonts w:hint="cs"/>
          <w:b/>
          <w:bCs/>
          <w:sz w:val="28"/>
          <w:szCs w:val="28"/>
          <w:rtl/>
        </w:rPr>
        <w:t xml:space="preserve">אין </w:t>
      </w:r>
      <w:r w:rsidR="002323B0">
        <w:rPr>
          <w:rFonts w:hint="cs"/>
          <w:b/>
          <w:bCs/>
          <w:sz w:val="28"/>
          <w:szCs w:val="28"/>
          <w:rtl/>
        </w:rPr>
        <w:t>כ</w:t>
      </w:r>
      <w:r w:rsidR="002F1ADE">
        <w:rPr>
          <w:rFonts w:hint="cs"/>
          <w:b/>
          <w:bCs/>
          <w:sz w:val="28"/>
          <w:szCs w:val="28"/>
          <w:rtl/>
        </w:rPr>
        <w:t>וונ</w:t>
      </w:r>
      <w:r w:rsidR="002323B0">
        <w:rPr>
          <w:rFonts w:hint="cs"/>
          <w:b/>
          <w:bCs/>
          <w:sz w:val="28"/>
          <w:szCs w:val="28"/>
          <w:rtl/>
        </w:rPr>
        <w:t>תו [של אריסטו]</w:t>
      </w:r>
      <w:r w:rsidR="002F1ADE">
        <w:rPr>
          <w:rFonts w:hint="cs"/>
          <w:b/>
          <w:bCs/>
          <w:sz w:val="28"/>
          <w:szCs w:val="28"/>
          <w:rtl/>
        </w:rPr>
        <w:t xml:space="preserve"> </w:t>
      </w:r>
      <w:r w:rsidR="00D97968">
        <w:rPr>
          <w:rFonts w:hint="cs"/>
          <w:b/>
          <w:bCs/>
          <w:sz w:val="28"/>
          <w:szCs w:val="28"/>
          <w:rtl/>
        </w:rPr>
        <w:t xml:space="preserve">בזה </w:t>
      </w:r>
      <w:r w:rsidR="00FA2E53">
        <w:rPr>
          <w:rFonts w:hint="cs"/>
          <w:b/>
          <w:bCs/>
          <w:sz w:val="28"/>
          <w:szCs w:val="28"/>
          <w:rtl/>
        </w:rPr>
        <w:t>ל</w:t>
      </w:r>
      <w:r w:rsidR="00E968C0">
        <w:rPr>
          <w:rFonts w:hint="cs"/>
          <w:b/>
          <w:bCs/>
          <w:sz w:val="28"/>
          <w:szCs w:val="28"/>
          <w:rtl/>
        </w:rPr>
        <w:t xml:space="preserve">התחלה </w:t>
      </w:r>
      <w:r w:rsidR="006B4F96">
        <w:rPr>
          <w:rFonts w:hint="cs"/>
          <w:b/>
          <w:bCs/>
          <w:sz w:val="28"/>
          <w:szCs w:val="28"/>
          <w:rtl/>
        </w:rPr>
        <w:t xml:space="preserve">שהיא </w:t>
      </w:r>
      <w:r w:rsidR="00E968C0">
        <w:rPr>
          <w:rFonts w:hint="cs"/>
          <w:b/>
          <w:bCs/>
          <w:sz w:val="28"/>
          <w:szCs w:val="28"/>
          <w:rtl/>
        </w:rPr>
        <w:t xml:space="preserve">של </w:t>
      </w:r>
      <w:r w:rsidR="00FA1B7A">
        <w:rPr>
          <w:rFonts w:hint="cs"/>
          <w:b/>
          <w:bCs/>
          <w:sz w:val="28"/>
          <w:szCs w:val="28"/>
          <w:rtl/>
        </w:rPr>
        <w:t xml:space="preserve">התנועה </w:t>
      </w:r>
      <w:r w:rsidR="008602D3">
        <w:rPr>
          <w:rFonts w:hint="cs"/>
          <w:b/>
          <w:bCs/>
          <w:sz w:val="28"/>
          <w:szCs w:val="28"/>
          <w:rtl/>
        </w:rPr>
        <w:t>המקומית</w:t>
      </w:r>
      <w:r w:rsidR="00FA2E53">
        <w:rPr>
          <w:rFonts w:hint="cs"/>
          <w:b/>
          <w:bCs/>
          <w:sz w:val="28"/>
          <w:szCs w:val="28"/>
          <w:rtl/>
        </w:rPr>
        <w:t xml:space="preserve"> </w:t>
      </w:r>
      <w:r w:rsidR="00D26B0D">
        <w:rPr>
          <w:rFonts w:hint="cs"/>
          <w:b/>
          <w:bCs/>
          <w:sz w:val="28"/>
          <w:szCs w:val="28"/>
          <w:rtl/>
        </w:rPr>
        <w:t>ל</w:t>
      </w:r>
      <w:r w:rsidR="00271A09">
        <w:rPr>
          <w:rFonts w:hint="cs"/>
          <w:b/>
          <w:bCs/>
          <w:sz w:val="28"/>
          <w:szCs w:val="28"/>
          <w:rtl/>
        </w:rPr>
        <w:t xml:space="preserve">הוציא </w:t>
      </w:r>
      <w:r w:rsidR="00D321FE">
        <w:rPr>
          <w:rFonts w:hint="cs"/>
          <w:b/>
          <w:bCs/>
          <w:sz w:val="28"/>
          <w:szCs w:val="28"/>
          <w:rtl/>
        </w:rPr>
        <w:t xml:space="preserve">התחלה </w:t>
      </w:r>
      <w:r w:rsidR="00F47CED">
        <w:rPr>
          <w:rFonts w:hint="cs"/>
          <w:b/>
          <w:bCs/>
          <w:sz w:val="28"/>
          <w:szCs w:val="28"/>
          <w:rtl/>
        </w:rPr>
        <w:t xml:space="preserve">שהיא </w:t>
      </w:r>
      <w:r w:rsidR="00D321FE">
        <w:rPr>
          <w:rFonts w:hint="cs"/>
          <w:b/>
          <w:bCs/>
          <w:sz w:val="28"/>
          <w:szCs w:val="28"/>
          <w:rtl/>
        </w:rPr>
        <w:t xml:space="preserve">של </w:t>
      </w:r>
      <w:r w:rsidR="00BE54EF">
        <w:rPr>
          <w:rFonts w:hint="cs"/>
          <w:b/>
          <w:bCs/>
          <w:sz w:val="28"/>
          <w:szCs w:val="28"/>
          <w:rtl/>
        </w:rPr>
        <w:t>התנועה</w:t>
      </w:r>
      <w:r w:rsidR="00FA2E53">
        <w:rPr>
          <w:rFonts w:hint="cs"/>
          <w:b/>
          <w:bCs/>
          <w:sz w:val="28"/>
          <w:szCs w:val="28"/>
          <w:rtl/>
        </w:rPr>
        <w:t xml:space="preserve"> האיכות</w:t>
      </w:r>
      <w:r w:rsidR="00512E84">
        <w:rPr>
          <w:rFonts w:hint="cs"/>
          <w:b/>
          <w:bCs/>
          <w:sz w:val="28"/>
          <w:szCs w:val="28"/>
          <w:rtl/>
        </w:rPr>
        <w:t>ית</w:t>
      </w:r>
      <w:r w:rsidR="00512E84">
        <w:rPr>
          <w:rStyle w:val="FootnoteReference"/>
          <w:b/>
          <w:bCs/>
          <w:sz w:val="28"/>
          <w:szCs w:val="28"/>
          <w:rtl/>
        </w:rPr>
        <w:footnoteReference w:id="467"/>
      </w:r>
      <w:r w:rsidR="00FA2E53">
        <w:rPr>
          <w:rFonts w:hint="cs"/>
          <w:b/>
          <w:bCs/>
          <w:sz w:val="28"/>
          <w:szCs w:val="28"/>
          <w:rtl/>
        </w:rPr>
        <w:t xml:space="preserve">, </w:t>
      </w:r>
      <w:r w:rsidR="00DC4F06">
        <w:rPr>
          <w:rFonts w:hint="cs"/>
          <w:b/>
          <w:bCs/>
          <w:sz w:val="28"/>
          <w:szCs w:val="28"/>
          <w:rtl/>
        </w:rPr>
        <w:t xml:space="preserve">אלא </w:t>
      </w:r>
      <w:r w:rsidR="00D67BC7">
        <w:rPr>
          <w:rFonts w:hint="cs"/>
          <w:b/>
          <w:bCs/>
          <w:sz w:val="28"/>
          <w:szCs w:val="28"/>
          <w:rtl/>
        </w:rPr>
        <w:t>תהיה</w:t>
      </w:r>
      <w:r w:rsidR="003A439A">
        <w:rPr>
          <w:rFonts w:hint="cs"/>
          <w:b/>
          <w:bCs/>
          <w:sz w:val="28"/>
          <w:szCs w:val="28"/>
          <w:rtl/>
        </w:rPr>
        <w:t xml:space="preserve"> [כוונתו של אריסטו]</w:t>
      </w:r>
      <w:r w:rsidR="00D67BC7">
        <w:rPr>
          <w:rFonts w:hint="cs"/>
          <w:b/>
          <w:bCs/>
          <w:sz w:val="28"/>
          <w:szCs w:val="28"/>
          <w:rtl/>
        </w:rPr>
        <w:t xml:space="preserve"> </w:t>
      </w:r>
      <w:r w:rsidR="002E2733">
        <w:rPr>
          <w:rFonts w:hint="cs"/>
          <w:b/>
          <w:bCs/>
          <w:sz w:val="28"/>
          <w:szCs w:val="28"/>
          <w:rtl/>
        </w:rPr>
        <w:t xml:space="preserve">התחלה של תנועה שהיא במהות, </w:t>
      </w:r>
      <w:r w:rsidR="009628FB">
        <w:rPr>
          <w:rFonts w:hint="cs"/>
          <w:b/>
          <w:bCs/>
          <w:sz w:val="28"/>
          <w:szCs w:val="28"/>
          <w:rtl/>
        </w:rPr>
        <w:t>וה</w:t>
      </w:r>
      <w:r w:rsidR="00DE144A">
        <w:rPr>
          <w:rFonts w:hint="cs"/>
          <w:b/>
          <w:bCs/>
          <w:sz w:val="28"/>
          <w:szCs w:val="28"/>
          <w:rtl/>
        </w:rPr>
        <w:t>י</w:t>
      </w:r>
      <w:r w:rsidR="009628FB">
        <w:rPr>
          <w:rFonts w:hint="cs"/>
          <w:b/>
          <w:bCs/>
          <w:sz w:val="28"/>
          <w:szCs w:val="28"/>
          <w:rtl/>
        </w:rPr>
        <w:t>א טבע</w:t>
      </w:r>
      <w:r w:rsidR="00BA3937">
        <w:rPr>
          <w:rFonts w:hint="cs"/>
          <w:b/>
          <w:bCs/>
          <w:sz w:val="28"/>
          <w:szCs w:val="28"/>
          <w:rtl/>
        </w:rPr>
        <w:t>,</w:t>
      </w:r>
      <w:r w:rsidR="009628FB">
        <w:rPr>
          <w:rFonts w:hint="cs"/>
          <w:b/>
          <w:bCs/>
          <w:sz w:val="28"/>
          <w:szCs w:val="28"/>
          <w:rtl/>
        </w:rPr>
        <w:t xml:space="preserve"> </w:t>
      </w:r>
      <w:r w:rsidR="00BC7D11">
        <w:rPr>
          <w:rFonts w:hint="cs"/>
          <w:b/>
          <w:bCs/>
          <w:sz w:val="28"/>
          <w:szCs w:val="28"/>
          <w:rtl/>
        </w:rPr>
        <w:t>כהתחל</w:t>
      </w:r>
      <w:r w:rsidR="00DE144A">
        <w:rPr>
          <w:rFonts w:hint="cs"/>
          <w:b/>
          <w:bCs/>
          <w:sz w:val="28"/>
          <w:szCs w:val="28"/>
          <w:rtl/>
        </w:rPr>
        <w:t>ת תנועה</w:t>
      </w:r>
      <w:r w:rsidR="00F803EF">
        <w:rPr>
          <w:rFonts w:hint="cs"/>
          <w:b/>
          <w:bCs/>
          <w:sz w:val="28"/>
          <w:szCs w:val="28"/>
          <w:rtl/>
        </w:rPr>
        <w:t xml:space="preserve"> שהיא ב</w:t>
      </w:r>
      <w:r w:rsidR="00A84359">
        <w:rPr>
          <w:rFonts w:hint="cs"/>
          <w:b/>
          <w:bCs/>
          <w:sz w:val="28"/>
          <w:szCs w:val="28"/>
          <w:rtl/>
        </w:rPr>
        <w:t>כמות ושהיא באיכות ושהיא במקום</w:t>
      </w:r>
      <w:r w:rsidR="00843C7E">
        <w:rPr>
          <w:rFonts w:hint="cs"/>
          <w:b/>
          <w:bCs/>
          <w:sz w:val="28"/>
          <w:szCs w:val="28"/>
          <w:rtl/>
        </w:rPr>
        <w:t>, ובדברים</w:t>
      </w:r>
      <w:r w:rsidR="00384C1D">
        <w:rPr>
          <w:rFonts w:hint="cs"/>
          <w:b/>
          <w:bCs/>
          <w:sz w:val="28"/>
          <w:szCs w:val="28"/>
          <w:rtl/>
        </w:rPr>
        <w:t xml:space="preserve"> נוספים</w:t>
      </w:r>
      <w:r w:rsidR="00843C7E">
        <w:rPr>
          <w:rFonts w:hint="cs"/>
          <w:b/>
          <w:bCs/>
          <w:sz w:val="28"/>
          <w:szCs w:val="28"/>
          <w:rtl/>
        </w:rPr>
        <w:t xml:space="preserve"> </w:t>
      </w:r>
      <w:r w:rsidR="00EE7723">
        <w:rPr>
          <w:rFonts w:hint="cs"/>
          <w:b/>
          <w:bCs/>
          <w:sz w:val="28"/>
          <w:szCs w:val="28"/>
          <w:rtl/>
        </w:rPr>
        <w:t>אם הייתה בהם תנועה</w:t>
      </w:r>
      <w:r w:rsidR="00CC064B">
        <w:rPr>
          <w:rFonts w:hint="cs"/>
          <w:b/>
          <w:bCs/>
          <w:sz w:val="28"/>
          <w:szCs w:val="28"/>
          <w:rtl/>
        </w:rPr>
        <w:t>.</w:t>
      </w:r>
      <w:r w:rsidR="00563AE8">
        <w:rPr>
          <w:rFonts w:hint="cs"/>
          <w:b/>
          <w:bCs/>
          <w:sz w:val="28"/>
          <w:szCs w:val="28"/>
          <w:rtl/>
        </w:rPr>
        <w:t xml:space="preserve"> ויתבאר לך </w:t>
      </w:r>
      <w:r w:rsidR="00360FC0">
        <w:rPr>
          <w:rFonts w:hint="cs"/>
          <w:b/>
          <w:bCs/>
          <w:sz w:val="28"/>
          <w:szCs w:val="28"/>
          <w:rtl/>
        </w:rPr>
        <w:t>לקמן</w:t>
      </w:r>
      <w:r w:rsidR="007A77BC">
        <w:rPr>
          <w:rFonts w:hint="cs"/>
          <w:b/>
          <w:bCs/>
          <w:sz w:val="28"/>
          <w:szCs w:val="28"/>
          <w:rtl/>
        </w:rPr>
        <w:t xml:space="preserve"> </w:t>
      </w:r>
      <w:r w:rsidR="00D376A8">
        <w:rPr>
          <w:rFonts w:hint="cs"/>
          <w:b/>
          <w:bCs/>
          <w:sz w:val="28"/>
          <w:szCs w:val="28"/>
          <w:rtl/>
        </w:rPr>
        <w:t>סוגי התנועות</w:t>
      </w:r>
      <w:r w:rsidR="00F84224">
        <w:rPr>
          <w:rStyle w:val="FootnoteReference"/>
          <w:b/>
          <w:bCs/>
          <w:sz w:val="28"/>
          <w:szCs w:val="28"/>
          <w:rtl/>
        </w:rPr>
        <w:footnoteReference w:id="468"/>
      </w:r>
      <w:r w:rsidR="00D376A8">
        <w:rPr>
          <w:rFonts w:hint="cs"/>
          <w:b/>
          <w:bCs/>
          <w:sz w:val="28"/>
          <w:szCs w:val="28"/>
          <w:rtl/>
        </w:rPr>
        <w:t xml:space="preserve">. </w:t>
      </w:r>
    </w:p>
    <w:p w14:paraId="747398F0" w14:textId="6AA4BDC3" w:rsidR="00D671A2" w:rsidRDefault="005E4CC3" w:rsidP="004C3F79">
      <w:pPr>
        <w:pStyle w:val="FootnoteText"/>
        <w:rPr>
          <w:b/>
          <w:bCs/>
          <w:sz w:val="28"/>
          <w:szCs w:val="28"/>
          <w:rtl/>
        </w:rPr>
      </w:pPr>
      <w:r>
        <w:rPr>
          <w:rFonts w:hint="cs"/>
          <w:b/>
          <w:bCs/>
          <w:sz w:val="28"/>
          <w:szCs w:val="28"/>
          <w:rtl/>
        </w:rPr>
        <w:t>ו</w:t>
      </w:r>
      <w:r w:rsidR="00AD31D6">
        <w:rPr>
          <w:rFonts w:hint="cs"/>
          <w:b/>
          <w:bCs/>
          <w:sz w:val="28"/>
          <w:szCs w:val="28"/>
          <w:rtl/>
        </w:rPr>
        <w:t>בעניין</w:t>
      </w:r>
      <w:r w:rsidR="00774EFE">
        <w:rPr>
          <w:rFonts w:hint="cs"/>
          <w:b/>
          <w:bCs/>
          <w:sz w:val="28"/>
          <w:szCs w:val="28"/>
          <w:rtl/>
        </w:rPr>
        <w:t xml:space="preserve"> </w:t>
      </w:r>
      <w:r w:rsidR="00572C7D">
        <w:rPr>
          <w:rFonts w:hint="cs"/>
          <w:b/>
          <w:bCs/>
          <w:sz w:val="28"/>
          <w:szCs w:val="28"/>
          <w:rtl/>
        </w:rPr>
        <w:t xml:space="preserve">מציאות </w:t>
      </w:r>
      <w:r w:rsidR="00C43955">
        <w:rPr>
          <w:rFonts w:hint="cs"/>
          <w:b/>
          <w:bCs/>
          <w:sz w:val="28"/>
          <w:szCs w:val="28"/>
          <w:rtl/>
        </w:rPr>
        <w:t>התחלת תנועה</w:t>
      </w:r>
      <w:r w:rsidR="000163E5">
        <w:rPr>
          <w:rFonts w:hint="cs"/>
          <w:b/>
          <w:bCs/>
          <w:sz w:val="28"/>
          <w:szCs w:val="28"/>
          <w:rtl/>
        </w:rPr>
        <w:t xml:space="preserve"> בכמות, </w:t>
      </w:r>
      <w:r w:rsidR="00EF5619">
        <w:rPr>
          <w:rFonts w:hint="cs"/>
          <w:b/>
          <w:bCs/>
          <w:sz w:val="28"/>
          <w:szCs w:val="28"/>
          <w:rtl/>
        </w:rPr>
        <w:t xml:space="preserve">היא </w:t>
      </w:r>
      <w:r w:rsidR="00010282">
        <w:rPr>
          <w:rFonts w:hint="cs"/>
          <w:b/>
          <w:bCs/>
          <w:sz w:val="28"/>
          <w:szCs w:val="28"/>
          <w:rtl/>
        </w:rPr>
        <w:t xml:space="preserve">מצב של הטבע </w:t>
      </w:r>
      <w:r w:rsidR="006B0504">
        <w:rPr>
          <w:rFonts w:hint="cs"/>
          <w:b/>
          <w:bCs/>
          <w:sz w:val="28"/>
          <w:szCs w:val="28"/>
          <w:rtl/>
        </w:rPr>
        <w:t>ה</w:t>
      </w:r>
      <w:r w:rsidR="00B3647F">
        <w:rPr>
          <w:rFonts w:hint="cs"/>
          <w:b/>
          <w:bCs/>
          <w:sz w:val="28"/>
          <w:szCs w:val="28"/>
          <w:rtl/>
        </w:rPr>
        <w:t>גורם</w:t>
      </w:r>
      <w:r w:rsidR="009C4823">
        <w:rPr>
          <w:rFonts w:hint="cs"/>
          <w:b/>
          <w:bCs/>
          <w:sz w:val="28"/>
          <w:szCs w:val="28"/>
          <w:rtl/>
        </w:rPr>
        <w:t xml:space="preserve"> </w:t>
      </w:r>
      <w:r w:rsidR="003D1191">
        <w:rPr>
          <w:rFonts w:hint="cs"/>
          <w:b/>
          <w:bCs/>
          <w:sz w:val="28"/>
          <w:szCs w:val="28"/>
          <w:rtl/>
        </w:rPr>
        <w:t>ל</w:t>
      </w:r>
      <w:r w:rsidR="001E38DB">
        <w:rPr>
          <w:rFonts w:hint="cs"/>
          <w:b/>
          <w:bCs/>
          <w:sz w:val="28"/>
          <w:szCs w:val="28"/>
          <w:rtl/>
        </w:rPr>
        <w:t>גדילה</w:t>
      </w:r>
      <w:r w:rsidR="00BF468C">
        <w:rPr>
          <w:rFonts w:hint="cs"/>
          <w:b/>
          <w:bCs/>
          <w:sz w:val="28"/>
          <w:szCs w:val="28"/>
          <w:rtl/>
        </w:rPr>
        <w:t xml:space="preserve"> </w:t>
      </w:r>
      <w:r w:rsidR="003162A0">
        <w:rPr>
          <w:rFonts w:hint="cs"/>
          <w:b/>
          <w:bCs/>
          <w:sz w:val="28"/>
          <w:szCs w:val="28"/>
          <w:rtl/>
        </w:rPr>
        <w:t>באופן של</w:t>
      </w:r>
      <w:r w:rsidR="00CC4588">
        <w:rPr>
          <w:rFonts w:hint="cs"/>
          <w:b/>
          <w:bCs/>
          <w:sz w:val="28"/>
          <w:szCs w:val="28"/>
          <w:rtl/>
        </w:rPr>
        <w:t xml:space="preserve"> </w:t>
      </w:r>
      <w:proofErr w:type="spellStart"/>
      <w:r w:rsidR="00120328" w:rsidRPr="00120328">
        <w:rPr>
          <w:b/>
          <w:bCs/>
          <w:sz w:val="28"/>
          <w:szCs w:val="28"/>
          <w:rtl/>
        </w:rPr>
        <w:t>הִיקָּלְשׁוּת</w:t>
      </w:r>
      <w:proofErr w:type="spellEnd"/>
      <w:r w:rsidR="00656C5B">
        <w:rPr>
          <w:rStyle w:val="FootnoteReference"/>
          <w:b/>
          <w:bCs/>
          <w:sz w:val="28"/>
          <w:szCs w:val="28"/>
          <w:rtl/>
        </w:rPr>
        <w:footnoteReference w:id="469"/>
      </w:r>
      <w:r w:rsidR="00656C5B">
        <w:rPr>
          <w:rFonts w:hint="cs"/>
          <w:b/>
          <w:bCs/>
          <w:sz w:val="28"/>
          <w:szCs w:val="28"/>
          <w:rtl/>
        </w:rPr>
        <w:t xml:space="preserve"> והוספת נפח,</w:t>
      </w:r>
      <w:r w:rsidR="00A2181C">
        <w:rPr>
          <w:rFonts w:hint="cs"/>
          <w:b/>
          <w:bCs/>
          <w:sz w:val="28"/>
          <w:szCs w:val="28"/>
          <w:rtl/>
        </w:rPr>
        <w:t xml:space="preserve"> או של</w:t>
      </w:r>
      <w:r w:rsidR="00423BF4">
        <w:rPr>
          <w:rFonts w:hint="cs"/>
          <w:b/>
          <w:bCs/>
          <w:sz w:val="28"/>
          <w:szCs w:val="28"/>
          <w:rtl/>
        </w:rPr>
        <w:t xml:space="preserve"> הידחסות </w:t>
      </w:r>
      <w:r w:rsidR="00883D03">
        <w:rPr>
          <w:rFonts w:hint="cs"/>
          <w:b/>
          <w:bCs/>
          <w:sz w:val="28"/>
          <w:szCs w:val="28"/>
          <w:rtl/>
        </w:rPr>
        <w:t>והקטנת הנפח</w:t>
      </w:r>
      <w:r w:rsidR="00CC4170">
        <w:rPr>
          <w:rFonts w:hint="cs"/>
          <w:b/>
          <w:bCs/>
          <w:sz w:val="28"/>
          <w:szCs w:val="28"/>
          <w:rtl/>
        </w:rPr>
        <w:t xml:space="preserve">, וזו התנועה </w:t>
      </w:r>
      <w:r w:rsidR="006668B4">
        <w:rPr>
          <w:rFonts w:hint="cs"/>
          <w:b/>
          <w:bCs/>
          <w:sz w:val="28"/>
          <w:szCs w:val="28"/>
          <w:rtl/>
        </w:rPr>
        <w:t>בכמו</w:t>
      </w:r>
      <w:r w:rsidR="00CC4170">
        <w:rPr>
          <w:rFonts w:hint="cs"/>
          <w:b/>
          <w:bCs/>
          <w:sz w:val="28"/>
          <w:szCs w:val="28"/>
          <w:rtl/>
        </w:rPr>
        <w:t>ת</w:t>
      </w:r>
      <w:r w:rsidR="00883D03">
        <w:rPr>
          <w:rFonts w:hint="cs"/>
          <w:b/>
          <w:bCs/>
          <w:sz w:val="28"/>
          <w:szCs w:val="28"/>
          <w:rtl/>
        </w:rPr>
        <w:t>.</w:t>
      </w:r>
      <w:r w:rsidR="00932C47">
        <w:rPr>
          <w:rFonts w:hint="cs"/>
          <w:b/>
          <w:bCs/>
          <w:sz w:val="28"/>
          <w:szCs w:val="28"/>
          <w:rtl/>
        </w:rPr>
        <w:t xml:space="preserve"> ואם תרצה </w:t>
      </w:r>
      <w:r w:rsidR="00915B1F">
        <w:rPr>
          <w:rFonts w:hint="cs"/>
          <w:b/>
          <w:bCs/>
          <w:sz w:val="28"/>
          <w:szCs w:val="28"/>
          <w:rtl/>
        </w:rPr>
        <w:t xml:space="preserve">לעשות את הגדילה </w:t>
      </w:r>
      <w:r w:rsidR="00301D81">
        <w:rPr>
          <w:rFonts w:hint="cs"/>
          <w:b/>
          <w:bCs/>
          <w:sz w:val="28"/>
          <w:szCs w:val="28"/>
          <w:rtl/>
        </w:rPr>
        <w:t>טבע</w:t>
      </w:r>
      <w:r w:rsidR="00113216">
        <w:rPr>
          <w:rFonts w:hint="cs"/>
          <w:b/>
          <w:bCs/>
          <w:sz w:val="28"/>
          <w:szCs w:val="28"/>
          <w:rtl/>
        </w:rPr>
        <w:t>ית</w:t>
      </w:r>
      <w:r w:rsidR="00915B1F">
        <w:rPr>
          <w:rFonts w:hint="cs"/>
          <w:b/>
          <w:bCs/>
          <w:sz w:val="28"/>
          <w:szCs w:val="28"/>
          <w:rtl/>
        </w:rPr>
        <w:t>,</w:t>
      </w:r>
      <w:r w:rsidR="00376DE7">
        <w:rPr>
          <w:rFonts w:hint="cs"/>
          <w:b/>
          <w:bCs/>
          <w:sz w:val="28"/>
          <w:szCs w:val="28"/>
          <w:rtl/>
        </w:rPr>
        <w:t xml:space="preserve"> ולהחיל את השם</w:t>
      </w:r>
      <w:r w:rsidR="00334D6A">
        <w:rPr>
          <w:rFonts w:hint="cs"/>
          <w:b/>
          <w:bCs/>
          <w:sz w:val="28"/>
          <w:szCs w:val="28"/>
          <w:rtl/>
        </w:rPr>
        <w:t xml:space="preserve"> טבע על זה,</w:t>
      </w:r>
      <w:r w:rsidR="000F672C">
        <w:rPr>
          <w:rFonts w:hint="cs"/>
          <w:b/>
          <w:bCs/>
          <w:sz w:val="28"/>
          <w:szCs w:val="28"/>
          <w:rtl/>
        </w:rPr>
        <w:t xml:space="preserve"> </w:t>
      </w:r>
      <w:r w:rsidR="00B918D2">
        <w:rPr>
          <w:rFonts w:hint="cs"/>
          <w:b/>
          <w:bCs/>
          <w:sz w:val="28"/>
          <w:szCs w:val="28"/>
          <w:rtl/>
        </w:rPr>
        <w:t>ולקחת</w:t>
      </w:r>
      <w:r w:rsidR="000F672C">
        <w:rPr>
          <w:rFonts w:hint="cs"/>
          <w:b/>
          <w:bCs/>
          <w:sz w:val="28"/>
          <w:szCs w:val="28"/>
          <w:rtl/>
        </w:rPr>
        <w:t xml:space="preserve"> את </w:t>
      </w:r>
      <w:r w:rsidR="005014D6">
        <w:rPr>
          <w:rFonts w:hint="cs"/>
          <w:b/>
          <w:bCs/>
          <w:sz w:val="28"/>
          <w:szCs w:val="28"/>
          <w:rtl/>
        </w:rPr>
        <w:t>ה'טבע' לפי אחת הכוונות שהזכרנו</w:t>
      </w:r>
      <w:r w:rsidR="0021315D">
        <w:rPr>
          <w:rFonts w:hint="cs"/>
          <w:b/>
          <w:bCs/>
          <w:sz w:val="28"/>
          <w:szCs w:val="28"/>
          <w:rtl/>
        </w:rPr>
        <w:t xml:space="preserve"> </w:t>
      </w:r>
      <w:r w:rsidR="00DA1AED">
        <w:rPr>
          <w:rFonts w:hint="cs"/>
          <w:b/>
          <w:bCs/>
          <w:sz w:val="28"/>
          <w:szCs w:val="28"/>
          <w:rtl/>
        </w:rPr>
        <w:t xml:space="preserve">- </w:t>
      </w:r>
      <w:r w:rsidR="0021315D">
        <w:rPr>
          <w:rFonts w:hint="cs"/>
          <w:b/>
          <w:bCs/>
          <w:sz w:val="28"/>
          <w:szCs w:val="28"/>
          <w:rtl/>
        </w:rPr>
        <w:t>תעשה.</w:t>
      </w:r>
    </w:p>
    <w:p w14:paraId="523A8534" w14:textId="456D98D0" w:rsidR="002751D1" w:rsidRDefault="00BD4E9B" w:rsidP="004C3F79">
      <w:pPr>
        <w:pStyle w:val="FootnoteText"/>
        <w:rPr>
          <w:b/>
          <w:bCs/>
          <w:sz w:val="28"/>
          <w:szCs w:val="28"/>
          <w:rtl/>
        </w:rPr>
      </w:pPr>
      <w:r>
        <w:rPr>
          <w:rFonts w:hint="cs"/>
          <w:b/>
          <w:bCs/>
          <w:sz w:val="28"/>
          <w:szCs w:val="28"/>
          <w:rtl/>
        </w:rPr>
        <w:t>ו</w:t>
      </w:r>
      <w:r w:rsidR="001734B9">
        <w:rPr>
          <w:rFonts w:hint="cs"/>
          <w:b/>
          <w:bCs/>
          <w:sz w:val="28"/>
          <w:szCs w:val="28"/>
          <w:rtl/>
        </w:rPr>
        <w:t>בעניין</w:t>
      </w:r>
      <w:r w:rsidR="00572C7D">
        <w:rPr>
          <w:rFonts w:hint="cs"/>
          <w:b/>
          <w:bCs/>
          <w:sz w:val="28"/>
          <w:szCs w:val="28"/>
          <w:rtl/>
        </w:rPr>
        <w:t xml:space="preserve"> מציאות</w:t>
      </w:r>
      <w:r w:rsidR="00423303">
        <w:rPr>
          <w:rFonts w:hint="cs"/>
          <w:b/>
          <w:bCs/>
          <w:sz w:val="28"/>
          <w:szCs w:val="28"/>
          <w:rtl/>
        </w:rPr>
        <w:t xml:space="preserve"> התחלת תנועה </w:t>
      </w:r>
      <w:r w:rsidR="00561BEA">
        <w:rPr>
          <w:rFonts w:hint="cs"/>
          <w:b/>
          <w:bCs/>
          <w:sz w:val="28"/>
          <w:szCs w:val="28"/>
          <w:rtl/>
        </w:rPr>
        <w:t>באיכות</w:t>
      </w:r>
      <w:r w:rsidR="00310569">
        <w:rPr>
          <w:rFonts w:hint="cs"/>
          <w:b/>
          <w:bCs/>
          <w:sz w:val="28"/>
          <w:szCs w:val="28"/>
          <w:rtl/>
        </w:rPr>
        <w:t xml:space="preserve">, למשל </w:t>
      </w:r>
      <w:r w:rsidR="007A6B08">
        <w:rPr>
          <w:rFonts w:hint="cs"/>
          <w:b/>
          <w:bCs/>
          <w:sz w:val="28"/>
          <w:szCs w:val="28"/>
          <w:rtl/>
        </w:rPr>
        <w:t>המצב</w:t>
      </w:r>
      <w:r w:rsidR="00EE21E4">
        <w:rPr>
          <w:rFonts w:hint="cs"/>
          <w:b/>
          <w:bCs/>
          <w:sz w:val="28"/>
          <w:szCs w:val="28"/>
          <w:rtl/>
        </w:rPr>
        <w:t xml:space="preserve"> של</w:t>
      </w:r>
      <w:r w:rsidR="00602FBB">
        <w:rPr>
          <w:rFonts w:hint="cs"/>
          <w:b/>
          <w:bCs/>
          <w:sz w:val="28"/>
          <w:szCs w:val="28"/>
          <w:rtl/>
        </w:rPr>
        <w:t xml:space="preserve"> </w:t>
      </w:r>
      <w:r w:rsidR="003C45A3">
        <w:rPr>
          <w:rFonts w:hint="cs"/>
          <w:b/>
          <w:bCs/>
          <w:sz w:val="28"/>
          <w:szCs w:val="28"/>
          <w:rtl/>
        </w:rPr>
        <w:t xml:space="preserve">טבע </w:t>
      </w:r>
      <w:r w:rsidR="00602FBB">
        <w:rPr>
          <w:rFonts w:hint="cs"/>
          <w:b/>
          <w:bCs/>
          <w:sz w:val="28"/>
          <w:szCs w:val="28"/>
          <w:rtl/>
        </w:rPr>
        <w:t>ה</w:t>
      </w:r>
      <w:r w:rsidR="007A6B08">
        <w:rPr>
          <w:rFonts w:hint="cs"/>
          <w:b/>
          <w:bCs/>
          <w:sz w:val="28"/>
          <w:szCs w:val="28"/>
          <w:rtl/>
        </w:rPr>
        <w:t xml:space="preserve">מים </w:t>
      </w:r>
      <w:r w:rsidR="00FC7744">
        <w:rPr>
          <w:rFonts w:hint="cs"/>
          <w:b/>
          <w:bCs/>
          <w:sz w:val="28"/>
          <w:szCs w:val="28"/>
          <w:rtl/>
        </w:rPr>
        <w:t>אם</w:t>
      </w:r>
      <w:r w:rsidR="002804FF">
        <w:rPr>
          <w:rFonts w:hint="cs"/>
          <w:b/>
          <w:bCs/>
          <w:sz w:val="28"/>
          <w:szCs w:val="28"/>
          <w:rtl/>
        </w:rPr>
        <w:t xml:space="preserve"> </w:t>
      </w:r>
      <w:r w:rsidR="00714454">
        <w:rPr>
          <w:rFonts w:hint="cs"/>
          <w:b/>
          <w:bCs/>
          <w:sz w:val="28"/>
          <w:szCs w:val="28"/>
          <w:rtl/>
        </w:rPr>
        <w:t>י</w:t>
      </w:r>
      <w:r w:rsidR="001C753A">
        <w:rPr>
          <w:rFonts w:hint="cs"/>
          <w:b/>
          <w:bCs/>
          <w:sz w:val="28"/>
          <w:szCs w:val="28"/>
          <w:rtl/>
        </w:rPr>
        <w:t>קרה</w:t>
      </w:r>
      <w:r w:rsidR="002804FF">
        <w:rPr>
          <w:rFonts w:hint="cs"/>
          <w:b/>
          <w:bCs/>
          <w:sz w:val="28"/>
          <w:szCs w:val="28"/>
          <w:rtl/>
        </w:rPr>
        <w:t xml:space="preserve"> </w:t>
      </w:r>
      <w:r w:rsidR="00714454">
        <w:rPr>
          <w:rFonts w:hint="cs"/>
          <w:b/>
          <w:bCs/>
          <w:sz w:val="28"/>
          <w:szCs w:val="28"/>
          <w:rtl/>
        </w:rPr>
        <w:t>ל</w:t>
      </w:r>
      <w:r w:rsidR="002804FF">
        <w:rPr>
          <w:rFonts w:hint="cs"/>
          <w:b/>
          <w:bCs/>
          <w:sz w:val="28"/>
          <w:szCs w:val="28"/>
          <w:rtl/>
        </w:rPr>
        <w:t>מים</w:t>
      </w:r>
      <w:r w:rsidR="00113DDC">
        <w:rPr>
          <w:rFonts w:hint="cs"/>
          <w:b/>
          <w:bCs/>
          <w:sz w:val="28"/>
          <w:szCs w:val="28"/>
          <w:rtl/>
        </w:rPr>
        <w:t xml:space="preserve"> </w:t>
      </w:r>
      <w:r w:rsidR="00714454">
        <w:rPr>
          <w:rFonts w:hint="cs"/>
          <w:b/>
          <w:bCs/>
          <w:sz w:val="28"/>
          <w:szCs w:val="28"/>
          <w:rtl/>
        </w:rPr>
        <w:t>ש</w:t>
      </w:r>
      <w:r w:rsidR="00113DDC">
        <w:rPr>
          <w:rFonts w:hint="cs"/>
          <w:b/>
          <w:bCs/>
          <w:sz w:val="28"/>
          <w:szCs w:val="28"/>
          <w:rtl/>
        </w:rPr>
        <w:t>יקבלו</w:t>
      </w:r>
      <w:r w:rsidR="008B64D8">
        <w:rPr>
          <w:rFonts w:hint="cs"/>
          <w:b/>
          <w:bCs/>
          <w:sz w:val="28"/>
          <w:szCs w:val="28"/>
          <w:rtl/>
        </w:rPr>
        <w:t xml:space="preserve"> איכות זרה, </w:t>
      </w:r>
      <w:r w:rsidR="00306D32">
        <w:rPr>
          <w:rFonts w:hint="cs"/>
          <w:b/>
          <w:bCs/>
          <w:sz w:val="28"/>
          <w:szCs w:val="28"/>
          <w:rtl/>
        </w:rPr>
        <w:t xml:space="preserve">שאינה מתחייבת מטבעם, </w:t>
      </w:r>
      <w:r w:rsidR="00A11707">
        <w:rPr>
          <w:rFonts w:hint="cs"/>
          <w:b/>
          <w:bCs/>
          <w:sz w:val="28"/>
          <w:szCs w:val="28"/>
          <w:rtl/>
        </w:rPr>
        <w:t>שהוא טבע שמחי</w:t>
      </w:r>
      <w:r w:rsidR="00422312">
        <w:rPr>
          <w:rFonts w:hint="cs"/>
          <w:b/>
          <w:bCs/>
          <w:sz w:val="28"/>
          <w:szCs w:val="28"/>
          <w:rtl/>
        </w:rPr>
        <w:t>י</w:t>
      </w:r>
      <w:r w:rsidR="00A11707">
        <w:rPr>
          <w:rFonts w:hint="cs"/>
          <w:b/>
          <w:bCs/>
          <w:sz w:val="28"/>
          <w:szCs w:val="28"/>
          <w:rtl/>
        </w:rPr>
        <w:t>ב קרירות,</w:t>
      </w:r>
      <w:r w:rsidR="00540758">
        <w:rPr>
          <w:rFonts w:hint="cs"/>
          <w:b/>
          <w:bCs/>
          <w:sz w:val="28"/>
          <w:szCs w:val="28"/>
          <w:rtl/>
        </w:rPr>
        <w:t xml:space="preserve"> ו</w:t>
      </w:r>
      <w:r w:rsidR="001A7180">
        <w:rPr>
          <w:rFonts w:hint="cs"/>
          <w:b/>
          <w:bCs/>
          <w:sz w:val="28"/>
          <w:szCs w:val="28"/>
          <w:rtl/>
        </w:rPr>
        <w:t>כשה</w:t>
      </w:r>
      <w:r w:rsidR="005E6BCE" w:rsidRPr="005E6BCE">
        <w:rPr>
          <w:b/>
          <w:bCs/>
          <w:sz w:val="28"/>
          <w:szCs w:val="28"/>
          <w:rtl/>
        </w:rPr>
        <w:t>מוֹנֵעַ</w:t>
      </w:r>
      <w:r w:rsidR="001A7180">
        <w:rPr>
          <w:rFonts w:hint="cs"/>
          <w:b/>
          <w:bCs/>
          <w:sz w:val="28"/>
          <w:szCs w:val="28"/>
          <w:rtl/>
        </w:rPr>
        <w:t xml:space="preserve"> </w:t>
      </w:r>
      <w:r w:rsidR="00250EB3">
        <w:rPr>
          <w:rFonts w:hint="cs"/>
          <w:b/>
          <w:bCs/>
          <w:sz w:val="28"/>
          <w:szCs w:val="28"/>
          <w:rtl/>
        </w:rPr>
        <w:t xml:space="preserve">בטל, </w:t>
      </w:r>
      <w:r w:rsidR="00AB682E">
        <w:rPr>
          <w:rFonts w:hint="cs"/>
          <w:b/>
          <w:bCs/>
          <w:sz w:val="28"/>
          <w:szCs w:val="28"/>
          <w:rtl/>
        </w:rPr>
        <w:t>שב</w:t>
      </w:r>
      <w:r w:rsidR="007A45BF">
        <w:rPr>
          <w:rFonts w:hint="cs"/>
          <w:b/>
          <w:bCs/>
          <w:sz w:val="28"/>
          <w:szCs w:val="28"/>
          <w:rtl/>
        </w:rPr>
        <w:t xml:space="preserve"> טבע</w:t>
      </w:r>
      <w:r w:rsidR="003E32EC">
        <w:rPr>
          <w:rFonts w:hint="cs"/>
          <w:b/>
          <w:bCs/>
          <w:sz w:val="28"/>
          <w:szCs w:val="28"/>
          <w:rtl/>
        </w:rPr>
        <w:t xml:space="preserve">ם </w:t>
      </w:r>
      <w:r w:rsidR="001F1A25">
        <w:rPr>
          <w:rFonts w:hint="cs"/>
          <w:b/>
          <w:bCs/>
          <w:sz w:val="28"/>
          <w:szCs w:val="28"/>
          <w:rtl/>
        </w:rPr>
        <w:t xml:space="preserve">ומשנה אותם </w:t>
      </w:r>
      <w:r w:rsidR="003E32EC">
        <w:rPr>
          <w:rFonts w:hint="cs"/>
          <w:b/>
          <w:bCs/>
          <w:sz w:val="28"/>
          <w:szCs w:val="28"/>
          <w:rtl/>
        </w:rPr>
        <w:t xml:space="preserve">אל האיכות </w:t>
      </w:r>
      <w:r w:rsidR="00130B8A">
        <w:rPr>
          <w:rFonts w:hint="cs"/>
          <w:b/>
          <w:bCs/>
          <w:sz w:val="28"/>
          <w:szCs w:val="28"/>
          <w:rtl/>
        </w:rPr>
        <w:t xml:space="preserve">שלהם, </w:t>
      </w:r>
      <w:r w:rsidR="00C57751">
        <w:rPr>
          <w:rFonts w:hint="cs"/>
          <w:b/>
          <w:bCs/>
          <w:sz w:val="28"/>
          <w:szCs w:val="28"/>
          <w:rtl/>
        </w:rPr>
        <w:t>ומשמר אותה</w:t>
      </w:r>
      <w:r w:rsidR="001D7142">
        <w:rPr>
          <w:rStyle w:val="FootnoteReference"/>
          <w:b/>
          <w:bCs/>
          <w:sz w:val="28"/>
          <w:szCs w:val="28"/>
          <w:rtl/>
        </w:rPr>
        <w:footnoteReference w:id="470"/>
      </w:r>
      <w:r w:rsidR="00EA0980">
        <w:rPr>
          <w:rFonts w:hint="cs"/>
          <w:b/>
          <w:bCs/>
          <w:sz w:val="28"/>
          <w:szCs w:val="28"/>
          <w:rtl/>
        </w:rPr>
        <w:t>. ו</w:t>
      </w:r>
      <w:r w:rsidR="00772F8A">
        <w:rPr>
          <w:rFonts w:hint="cs"/>
          <w:b/>
          <w:bCs/>
          <w:sz w:val="28"/>
          <w:szCs w:val="28"/>
          <w:rtl/>
        </w:rPr>
        <w:t xml:space="preserve">כמו </w:t>
      </w:r>
      <w:r w:rsidR="00EA0980">
        <w:rPr>
          <w:rFonts w:hint="cs"/>
          <w:b/>
          <w:bCs/>
          <w:sz w:val="28"/>
          <w:szCs w:val="28"/>
          <w:rtl/>
        </w:rPr>
        <w:t xml:space="preserve">כך תמיד </w:t>
      </w:r>
      <w:r w:rsidR="000A1227">
        <w:rPr>
          <w:rFonts w:hint="cs"/>
          <w:b/>
          <w:bCs/>
          <w:sz w:val="28"/>
          <w:szCs w:val="28"/>
          <w:rtl/>
        </w:rPr>
        <w:t xml:space="preserve">אם </w:t>
      </w:r>
      <w:r w:rsidR="003D73C8">
        <w:rPr>
          <w:rFonts w:hint="cs"/>
          <w:b/>
          <w:bCs/>
          <w:sz w:val="28"/>
          <w:szCs w:val="28"/>
          <w:rtl/>
        </w:rPr>
        <w:t>המזג</w:t>
      </w:r>
      <w:r w:rsidR="000227AD">
        <w:rPr>
          <w:rFonts w:hint="cs"/>
          <w:b/>
          <w:bCs/>
          <w:sz w:val="28"/>
          <w:szCs w:val="28"/>
          <w:rtl/>
        </w:rPr>
        <w:t xml:space="preserve"> </w:t>
      </w:r>
      <w:r w:rsidR="002A252C">
        <w:rPr>
          <w:rFonts w:hint="cs"/>
          <w:b/>
          <w:bCs/>
          <w:sz w:val="28"/>
          <w:szCs w:val="28"/>
          <w:rtl/>
        </w:rPr>
        <w:t xml:space="preserve">השתבש </w:t>
      </w:r>
      <w:r w:rsidR="00576392">
        <w:rPr>
          <w:rFonts w:hint="cs"/>
          <w:b/>
          <w:bCs/>
          <w:sz w:val="28"/>
          <w:szCs w:val="28"/>
          <w:rtl/>
        </w:rPr>
        <w:t xml:space="preserve">כח טבעו מחזיר אותו אל </w:t>
      </w:r>
      <w:r w:rsidR="00DE6C96">
        <w:rPr>
          <w:rFonts w:hint="cs"/>
          <w:b/>
          <w:bCs/>
          <w:sz w:val="28"/>
          <w:szCs w:val="28"/>
          <w:rtl/>
        </w:rPr>
        <w:t>ה</w:t>
      </w:r>
      <w:r w:rsidR="00576392">
        <w:rPr>
          <w:rFonts w:hint="cs"/>
          <w:b/>
          <w:bCs/>
          <w:sz w:val="28"/>
          <w:szCs w:val="28"/>
          <w:rtl/>
        </w:rPr>
        <w:t xml:space="preserve">מזג </w:t>
      </w:r>
      <w:r w:rsidR="00A04221">
        <w:rPr>
          <w:rFonts w:hint="cs"/>
          <w:b/>
          <w:bCs/>
          <w:sz w:val="28"/>
          <w:szCs w:val="28"/>
          <w:rtl/>
        </w:rPr>
        <w:t xml:space="preserve">הנכון </w:t>
      </w:r>
      <w:r w:rsidR="00E61B5F">
        <w:rPr>
          <w:rFonts w:hint="cs"/>
          <w:b/>
          <w:bCs/>
          <w:sz w:val="28"/>
          <w:szCs w:val="28"/>
          <w:rtl/>
        </w:rPr>
        <w:t>שלו</w:t>
      </w:r>
      <w:r w:rsidR="00576392">
        <w:rPr>
          <w:rFonts w:hint="cs"/>
          <w:b/>
          <w:bCs/>
          <w:sz w:val="28"/>
          <w:szCs w:val="28"/>
          <w:rtl/>
        </w:rPr>
        <w:t>.</w:t>
      </w:r>
    </w:p>
    <w:p w14:paraId="514D0E30" w14:textId="3100B7AD" w:rsidR="00CE38C5" w:rsidRDefault="00CE38C5" w:rsidP="004C3F79">
      <w:pPr>
        <w:pStyle w:val="FootnoteText"/>
        <w:rPr>
          <w:b/>
          <w:bCs/>
          <w:sz w:val="28"/>
          <w:szCs w:val="28"/>
          <w:rtl/>
        </w:rPr>
      </w:pPr>
      <w:r>
        <w:rPr>
          <w:rFonts w:hint="cs"/>
          <w:b/>
          <w:bCs/>
          <w:sz w:val="28"/>
          <w:szCs w:val="28"/>
          <w:rtl/>
        </w:rPr>
        <w:t>ו</w:t>
      </w:r>
      <w:r w:rsidR="000D2B72">
        <w:rPr>
          <w:rFonts w:hint="cs"/>
          <w:b/>
          <w:bCs/>
          <w:sz w:val="28"/>
          <w:szCs w:val="28"/>
          <w:rtl/>
        </w:rPr>
        <w:t xml:space="preserve">בעניין </w:t>
      </w:r>
      <w:r w:rsidR="00547D0F">
        <w:rPr>
          <w:rFonts w:hint="cs"/>
          <w:b/>
          <w:bCs/>
          <w:sz w:val="28"/>
          <w:szCs w:val="28"/>
          <w:rtl/>
        </w:rPr>
        <w:t xml:space="preserve">מציאות </w:t>
      </w:r>
      <w:r w:rsidR="000D2B72">
        <w:rPr>
          <w:rFonts w:hint="cs"/>
          <w:b/>
          <w:bCs/>
          <w:sz w:val="28"/>
          <w:szCs w:val="28"/>
          <w:rtl/>
        </w:rPr>
        <w:t xml:space="preserve">התחלת תנועה במקום, </w:t>
      </w:r>
      <w:r w:rsidR="006C25B9">
        <w:rPr>
          <w:rFonts w:hint="cs"/>
          <w:b/>
          <w:bCs/>
          <w:sz w:val="28"/>
          <w:szCs w:val="28"/>
          <w:rtl/>
        </w:rPr>
        <w:t>הדבר ברור</w:t>
      </w:r>
      <w:r w:rsidR="00481579">
        <w:rPr>
          <w:rFonts w:hint="cs"/>
          <w:b/>
          <w:bCs/>
          <w:sz w:val="28"/>
          <w:szCs w:val="28"/>
          <w:rtl/>
        </w:rPr>
        <w:t xml:space="preserve">, והוא מצב טבעי </w:t>
      </w:r>
      <w:r w:rsidR="00881A17">
        <w:rPr>
          <w:rFonts w:hint="cs"/>
          <w:b/>
          <w:bCs/>
          <w:sz w:val="28"/>
          <w:szCs w:val="28"/>
          <w:rtl/>
        </w:rPr>
        <w:t xml:space="preserve">של האבן </w:t>
      </w:r>
      <w:r w:rsidR="0008545B">
        <w:rPr>
          <w:rFonts w:hint="cs"/>
          <w:b/>
          <w:bCs/>
          <w:sz w:val="28"/>
          <w:szCs w:val="28"/>
          <w:rtl/>
        </w:rPr>
        <w:t>בתנועתה</w:t>
      </w:r>
      <w:r w:rsidR="00BF4769">
        <w:rPr>
          <w:rFonts w:hint="cs"/>
          <w:b/>
          <w:bCs/>
          <w:sz w:val="28"/>
          <w:szCs w:val="28"/>
          <w:rtl/>
        </w:rPr>
        <w:t xml:space="preserve"> למטה</w:t>
      </w:r>
      <w:r w:rsidR="0008545B">
        <w:rPr>
          <w:rFonts w:hint="cs"/>
          <w:b/>
          <w:bCs/>
          <w:sz w:val="28"/>
          <w:szCs w:val="28"/>
          <w:rtl/>
        </w:rPr>
        <w:t xml:space="preserve"> ומצב טבעי של האש </w:t>
      </w:r>
      <w:r w:rsidR="009244FA">
        <w:rPr>
          <w:rFonts w:hint="cs"/>
          <w:b/>
          <w:bCs/>
          <w:sz w:val="28"/>
          <w:szCs w:val="28"/>
          <w:rtl/>
        </w:rPr>
        <w:t>בתנועתה למעלה.</w:t>
      </w:r>
    </w:p>
    <w:p w14:paraId="27E6E7D0" w14:textId="77777777" w:rsidR="00E72AF1" w:rsidRDefault="00CE38C5" w:rsidP="004C3F79">
      <w:pPr>
        <w:pStyle w:val="FootnoteText"/>
        <w:rPr>
          <w:b/>
          <w:bCs/>
          <w:sz w:val="28"/>
          <w:szCs w:val="28"/>
          <w:rtl/>
        </w:rPr>
      </w:pPr>
      <w:r>
        <w:rPr>
          <w:rFonts w:hint="cs"/>
          <w:b/>
          <w:bCs/>
          <w:sz w:val="28"/>
          <w:szCs w:val="28"/>
          <w:rtl/>
        </w:rPr>
        <w:t xml:space="preserve">ובעניין </w:t>
      </w:r>
      <w:r w:rsidR="00144129">
        <w:rPr>
          <w:rFonts w:hint="cs"/>
          <w:b/>
          <w:bCs/>
          <w:sz w:val="28"/>
          <w:szCs w:val="28"/>
          <w:rtl/>
        </w:rPr>
        <w:t xml:space="preserve">מציאות </w:t>
      </w:r>
      <w:r>
        <w:rPr>
          <w:rFonts w:hint="cs"/>
          <w:b/>
          <w:bCs/>
          <w:sz w:val="28"/>
          <w:szCs w:val="28"/>
          <w:rtl/>
        </w:rPr>
        <w:t>התחלת תנועה</w:t>
      </w:r>
      <w:r w:rsidR="009F0688">
        <w:rPr>
          <w:rFonts w:hint="cs"/>
          <w:b/>
          <w:bCs/>
          <w:sz w:val="28"/>
          <w:szCs w:val="28"/>
          <w:rtl/>
        </w:rPr>
        <w:t xml:space="preserve"> בעצם</w:t>
      </w:r>
      <w:r w:rsidR="00144129">
        <w:rPr>
          <w:rFonts w:hint="cs"/>
          <w:b/>
          <w:bCs/>
          <w:sz w:val="28"/>
          <w:szCs w:val="28"/>
          <w:rtl/>
        </w:rPr>
        <w:t xml:space="preserve">, </w:t>
      </w:r>
      <w:r w:rsidR="00E35654">
        <w:rPr>
          <w:rFonts w:hint="cs"/>
          <w:b/>
          <w:bCs/>
          <w:sz w:val="28"/>
          <w:szCs w:val="28"/>
          <w:rtl/>
        </w:rPr>
        <w:t xml:space="preserve">למשל </w:t>
      </w:r>
      <w:r w:rsidR="00F4120C">
        <w:rPr>
          <w:rFonts w:hint="cs"/>
          <w:b/>
          <w:bCs/>
          <w:sz w:val="28"/>
          <w:szCs w:val="28"/>
          <w:rtl/>
        </w:rPr>
        <w:t xml:space="preserve">המצב </w:t>
      </w:r>
      <w:r w:rsidR="00D70EE4">
        <w:rPr>
          <w:rFonts w:hint="cs"/>
          <w:b/>
          <w:bCs/>
          <w:sz w:val="28"/>
          <w:szCs w:val="28"/>
          <w:rtl/>
        </w:rPr>
        <w:t xml:space="preserve">של הטבע </w:t>
      </w:r>
      <w:r w:rsidR="006A28C1">
        <w:rPr>
          <w:rFonts w:hint="cs"/>
          <w:b/>
          <w:bCs/>
          <w:sz w:val="28"/>
          <w:szCs w:val="28"/>
          <w:rtl/>
        </w:rPr>
        <w:t>שמניע את הצורה</w:t>
      </w:r>
      <w:r w:rsidR="009027F8">
        <w:rPr>
          <w:rFonts w:hint="cs"/>
          <w:b/>
          <w:bCs/>
          <w:sz w:val="28"/>
          <w:szCs w:val="28"/>
          <w:rtl/>
        </w:rPr>
        <w:t xml:space="preserve">, </w:t>
      </w:r>
      <w:r w:rsidR="00BC2541">
        <w:rPr>
          <w:rFonts w:hint="cs"/>
          <w:b/>
          <w:bCs/>
          <w:sz w:val="28"/>
          <w:szCs w:val="28"/>
          <w:rtl/>
        </w:rPr>
        <w:t>לפי ההכנה</w:t>
      </w:r>
      <w:r w:rsidR="0019223D">
        <w:rPr>
          <w:rFonts w:hint="cs"/>
          <w:b/>
          <w:bCs/>
          <w:sz w:val="28"/>
          <w:szCs w:val="28"/>
          <w:rtl/>
        </w:rPr>
        <w:t xml:space="preserve"> </w:t>
      </w:r>
      <w:r w:rsidR="00292160">
        <w:rPr>
          <w:rFonts w:hint="cs"/>
          <w:b/>
          <w:bCs/>
          <w:sz w:val="28"/>
          <w:szCs w:val="28"/>
          <w:rtl/>
        </w:rPr>
        <w:t xml:space="preserve">של </w:t>
      </w:r>
      <w:r w:rsidR="005F2481">
        <w:rPr>
          <w:rFonts w:hint="cs"/>
          <w:b/>
          <w:bCs/>
          <w:sz w:val="28"/>
          <w:szCs w:val="28"/>
          <w:rtl/>
        </w:rPr>
        <w:t xml:space="preserve">שינויים בכמות ובאיכות, </w:t>
      </w:r>
      <w:r w:rsidR="0009030F">
        <w:rPr>
          <w:rFonts w:hint="cs"/>
          <w:b/>
          <w:bCs/>
          <w:sz w:val="28"/>
          <w:szCs w:val="28"/>
          <w:rtl/>
        </w:rPr>
        <w:t>כמו שתלמד</w:t>
      </w:r>
      <w:r w:rsidR="0009030F">
        <w:rPr>
          <w:rStyle w:val="FootnoteReference"/>
          <w:b/>
          <w:bCs/>
          <w:sz w:val="28"/>
          <w:szCs w:val="28"/>
          <w:rtl/>
        </w:rPr>
        <w:footnoteReference w:id="471"/>
      </w:r>
      <w:r w:rsidR="0009030F">
        <w:rPr>
          <w:rFonts w:hint="cs"/>
          <w:b/>
          <w:bCs/>
          <w:sz w:val="28"/>
          <w:szCs w:val="28"/>
          <w:rtl/>
        </w:rPr>
        <w:t>.</w:t>
      </w:r>
    </w:p>
    <w:p w14:paraId="4DF58F29" w14:textId="01EB1D81" w:rsidR="003053C4" w:rsidRDefault="008D2AE5" w:rsidP="00AF63E4">
      <w:pPr>
        <w:pStyle w:val="FootnoteText"/>
        <w:rPr>
          <w:b/>
          <w:bCs/>
          <w:sz w:val="28"/>
          <w:szCs w:val="28"/>
          <w:rtl/>
        </w:rPr>
      </w:pPr>
      <w:r>
        <w:rPr>
          <w:rFonts w:hint="cs"/>
          <w:b/>
          <w:bCs/>
          <w:sz w:val="28"/>
          <w:szCs w:val="28"/>
          <w:rtl/>
        </w:rPr>
        <w:t xml:space="preserve">לגבי </w:t>
      </w:r>
      <w:r w:rsidR="004067BB">
        <w:rPr>
          <w:rFonts w:hint="cs"/>
          <w:b/>
          <w:bCs/>
          <w:sz w:val="28"/>
          <w:szCs w:val="28"/>
          <w:rtl/>
        </w:rPr>
        <w:t>הגע</w:t>
      </w:r>
      <w:r w:rsidR="003632AC">
        <w:rPr>
          <w:rFonts w:hint="cs"/>
          <w:b/>
          <w:bCs/>
          <w:sz w:val="28"/>
          <w:szCs w:val="28"/>
          <w:rtl/>
        </w:rPr>
        <w:t>ת הצורות</w:t>
      </w:r>
      <w:r w:rsidR="006C45C1">
        <w:rPr>
          <w:rStyle w:val="FootnoteReference"/>
          <w:b/>
          <w:bCs/>
          <w:sz w:val="28"/>
          <w:szCs w:val="28"/>
          <w:rtl/>
        </w:rPr>
        <w:footnoteReference w:id="472"/>
      </w:r>
      <w:r w:rsidR="003632AC">
        <w:rPr>
          <w:rFonts w:hint="cs"/>
          <w:b/>
          <w:bCs/>
          <w:sz w:val="28"/>
          <w:szCs w:val="28"/>
          <w:rtl/>
        </w:rPr>
        <w:t xml:space="preserve"> </w:t>
      </w:r>
      <w:r w:rsidR="00120588">
        <w:rPr>
          <w:rFonts w:hint="cs"/>
          <w:b/>
          <w:bCs/>
          <w:sz w:val="28"/>
          <w:szCs w:val="28"/>
          <w:rtl/>
        </w:rPr>
        <w:t xml:space="preserve">אפשר שלא הטבע </w:t>
      </w:r>
      <w:r w:rsidR="002B0B5E">
        <w:rPr>
          <w:rFonts w:hint="cs"/>
          <w:b/>
          <w:bCs/>
          <w:sz w:val="28"/>
          <w:szCs w:val="28"/>
          <w:rtl/>
        </w:rPr>
        <w:t>הוא מקור מציאותן</w:t>
      </w:r>
      <w:r w:rsidR="00731343">
        <w:rPr>
          <w:rStyle w:val="FootnoteReference"/>
          <w:b/>
          <w:bCs/>
          <w:sz w:val="28"/>
          <w:szCs w:val="28"/>
          <w:rtl/>
        </w:rPr>
        <w:footnoteReference w:id="473"/>
      </w:r>
      <w:r w:rsidR="00120588">
        <w:rPr>
          <w:rFonts w:hint="cs"/>
          <w:b/>
          <w:bCs/>
          <w:sz w:val="28"/>
          <w:szCs w:val="28"/>
          <w:rtl/>
        </w:rPr>
        <w:t xml:space="preserve">, </w:t>
      </w:r>
      <w:r w:rsidR="00443CEE">
        <w:rPr>
          <w:rFonts w:hint="cs"/>
          <w:b/>
          <w:bCs/>
          <w:sz w:val="28"/>
          <w:szCs w:val="28"/>
          <w:rtl/>
        </w:rPr>
        <w:t xml:space="preserve">אלא </w:t>
      </w:r>
      <w:r w:rsidR="00CB7507">
        <w:rPr>
          <w:rFonts w:hint="cs"/>
          <w:b/>
          <w:bCs/>
          <w:sz w:val="28"/>
          <w:szCs w:val="28"/>
          <w:rtl/>
        </w:rPr>
        <w:t>ממנו</w:t>
      </w:r>
      <w:r w:rsidR="00DB678A">
        <w:rPr>
          <w:rFonts w:hint="cs"/>
          <w:b/>
          <w:bCs/>
          <w:sz w:val="28"/>
          <w:szCs w:val="28"/>
          <w:rtl/>
        </w:rPr>
        <w:t xml:space="preserve"> תהיה</w:t>
      </w:r>
      <w:r w:rsidR="00CB7507">
        <w:rPr>
          <w:rFonts w:hint="cs"/>
          <w:b/>
          <w:bCs/>
          <w:sz w:val="28"/>
          <w:szCs w:val="28"/>
          <w:rtl/>
        </w:rPr>
        <w:t xml:space="preserve"> ה</w:t>
      </w:r>
      <w:r w:rsidR="00CC0424">
        <w:rPr>
          <w:rFonts w:hint="cs"/>
          <w:b/>
          <w:bCs/>
          <w:sz w:val="28"/>
          <w:szCs w:val="28"/>
          <w:rtl/>
        </w:rPr>
        <w:t>כנה</w:t>
      </w:r>
      <w:r w:rsidR="00DB678A">
        <w:rPr>
          <w:rFonts w:hint="cs"/>
          <w:b/>
          <w:bCs/>
          <w:sz w:val="28"/>
          <w:szCs w:val="28"/>
          <w:rtl/>
        </w:rPr>
        <w:t xml:space="preserve"> להן</w:t>
      </w:r>
      <w:r w:rsidR="00443CEE">
        <w:rPr>
          <w:rFonts w:hint="cs"/>
          <w:b/>
          <w:bCs/>
          <w:sz w:val="28"/>
          <w:szCs w:val="28"/>
          <w:rtl/>
        </w:rPr>
        <w:t xml:space="preserve">, </w:t>
      </w:r>
      <w:r w:rsidR="008629F9">
        <w:rPr>
          <w:rFonts w:hint="cs"/>
          <w:b/>
          <w:bCs/>
          <w:sz w:val="28"/>
          <w:szCs w:val="28"/>
          <w:rtl/>
        </w:rPr>
        <w:t>ו</w:t>
      </w:r>
      <w:r w:rsidR="00200DA3">
        <w:rPr>
          <w:rFonts w:hint="cs"/>
          <w:b/>
          <w:bCs/>
          <w:sz w:val="28"/>
          <w:szCs w:val="28"/>
          <w:rtl/>
        </w:rPr>
        <w:t>מציאותן מגיעה ממקור אחר</w:t>
      </w:r>
      <w:r w:rsidR="00123F14">
        <w:rPr>
          <w:rStyle w:val="FootnoteReference"/>
          <w:b/>
          <w:bCs/>
          <w:sz w:val="28"/>
          <w:szCs w:val="28"/>
          <w:rtl/>
        </w:rPr>
        <w:footnoteReference w:id="474"/>
      </w:r>
      <w:r w:rsidR="00200DA3">
        <w:rPr>
          <w:rFonts w:hint="cs"/>
          <w:b/>
          <w:bCs/>
          <w:sz w:val="28"/>
          <w:szCs w:val="28"/>
          <w:rtl/>
        </w:rPr>
        <w:t xml:space="preserve">. </w:t>
      </w:r>
      <w:r w:rsidR="00BB198D">
        <w:rPr>
          <w:rFonts w:hint="cs"/>
          <w:b/>
          <w:bCs/>
          <w:sz w:val="28"/>
          <w:szCs w:val="28"/>
          <w:rtl/>
        </w:rPr>
        <w:t>וראוי ללמוד</w:t>
      </w:r>
      <w:r w:rsidR="003D4BA0">
        <w:rPr>
          <w:rFonts w:hint="cs"/>
          <w:b/>
          <w:bCs/>
          <w:sz w:val="28"/>
          <w:szCs w:val="28"/>
          <w:rtl/>
        </w:rPr>
        <w:t xml:space="preserve"> </w:t>
      </w:r>
      <w:r w:rsidR="00BB198D">
        <w:rPr>
          <w:rFonts w:hint="cs"/>
          <w:b/>
          <w:bCs/>
          <w:sz w:val="28"/>
          <w:szCs w:val="28"/>
          <w:rtl/>
        </w:rPr>
        <w:t>זאת</w:t>
      </w:r>
      <w:r w:rsidR="003D4BA0">
        <w:rPr>
          <w:rFonts w:hint="cs"/>
          <w:b/>
          <w:bCs/>
          <w:sz w:val="28"/>
          <w:szCs w:val="28"/>
          <w:rtl/>
        </w:rPr>
        <w:t xml:space="preserve"> במקצוע אחר</w:t>
      </w:r>
      <w:r w:rsidR="001E2CCA">
        <w:rPr>
          <w:rStyle w:val="FootnoteReference"/>
          <w:b/>
          <w:bCs/>
          <w:sz w:val="28"/>
          <w:szCs w:val="28"/>
          <w:rtl/>
        </w:rPr>
        <w:footnoteReference w:id="475"/>
      </w:r>
      <w:r w:rsidR="001E2CCA">
        <w:rPr>
          <w:rFonts w:hint="cs"/>
          <w:b/>
          <w:bCs/>
          <w:sz w:val="28"/>
          <w:szCs w:val="28"/>
          <w:rtl/>
        </w:rPr>
        <w:t>.</w:t>
      </w:r>
    </w:p>
    <w:p w14:paraId="4CB6A660" w14:textId="77777777" w:rsidR="005B4F3B" w:rsidRPr="005B4F3B" w:rsidRDefault="005B4F3B" w:rsidP="003266A1">
      <w:pPr>
        <w:pStyle w:val="Heading4"/>
        <w:rPr>
          <w:rtl/>
        </w:rPr>
      </w:pPr>
      <w:bookmarkStart w:id="234" w:name="_Toc119092660"/>
      <w:r w:rsidRPr="005B4F3B">
        <w:rPr>
          <w:rFonts w:hint="cs"/>
          <w:rtl/>
        </w:rPr>
        <w:t>1.5.9</w:t>
      </w:r>
      <w:bookmarkEnd w:id="234"/>
    </w:p>
    <w:p w14:paraId="59A81583" w14:textId="18C422C1" w:rsidR="00BD4E9B" w:rsidRDefault="005B4F3B" w:rsidP="004C3F79">
      <w:pPr>
        <w:pStyle w:val="FootnoteText"/>
        <w:rPr>
          <w:b/>
          <w:bCs/>
          <w:sz w:val="28"/>
          <w:szCs w:val="28"/>
          <w:rtl/>
        </w:rPr>
      </w:pPr>
      <w:r>
        <w:rPr>
          <w:rFonts w:hint="cs"/>
          <w:b/>
          <w:bCs/>
          <w:sz w:val="28"/>
          <w:szCs w:val="28"/>
          <w:rtl/>
        </w:rPr>
        <w:t>זוהי</w:t>
      </w:r>
      <w:r w:rsidR="00A47B6F">
        <w:rPr>
          <w:rFonts w:hint="cs"/>
          <w:b/>
          <w:bCs/>
          <w:sz w:val="28"/>
          <w:szCs w:val="28"/>
          <w:rtl/>
        </w:rPr>
        <w:t xml:space="preserve"> הגדרת ה</w:t>
      </w:r>
      <w:r w:rsidR="005C33C2">
        <w:rPr>
          <w:rFonts w:hint="cs"/>
          <w:b/>
          <w:bCs/>
          <w:sz w:val="28"/>
          <w:szCs w:val="28"/>
          <w:rtl/>
        </w:rPr>
        <w:t>'</w:t>
      </w:r>
      <w:r w:rsidR="00A47B6F">
        <w:rPr>
          <w:rFonts w:hint="cs"/>
          <w:b/>
          <w:bCs/>
          <w:sz w:val="28"/>
          <w:szCs w:val="28"/>
          <w:rtl/>
        </w:rPr>
        <w:t>טבע</w:t>
      </w:r>
      <w:r w:rsidR="005C33C2">
        <w:rPr>
          <w:rFonts w:hint="cs"/>
          <w:b/>
          <w:bCs/>
          <w:sz w:val="28"/>
          <w:szCs w:val="28"/>
          <w:rtl/>
        </w:rPr>
        <w:t>'</w:t>
      </w:r>
      <w:r w:rsidR="00A47B6F">
        <w:rPr>
          <w:rFonts w:hint="cs"/>
          <w:b/>
          <w:bCs/>
          <w:sz w:val="28"/>
          <w:szCs w:val="28"/>
          <w:rtl/>
        </w:rPr>
        <w:t xml:space="preserve">, </w:t>
      </w:r>
      <w:r w:rsidR="00FA36DD">
        <w:rPr>
          <w:rFonts w:hint="cs"/>
          <w:b/>
          <w:bCs/>
          <w:sz w:val="28"/>
          <w:szCs w:val="28"/>
          <w:rtl/>
        </w:rPr>
        <w:t xml:space="preserve">שהיא כמו הגדרת סוג, </w:t>
      </w:r>
      <w:r w:rsidR="007F53C2">
        <w:rPr>
          <w:rFonts w:hint="cs"/>
          <w:b/>
          <w:bCs/>
          <w:sz w:val="28"/>
          <w:szCs w:val="28"/>
          <w:rtl/>
        </w:rPr>
        <w:t>ו</w:t>
      </w:r>
      <w:r w:rsidR="00592DFB">
        <w:rPr>
          <w:rFonts w:hint="cs"/>
          <w:b/>
          <w:bCs/>
          <w:sz w:val="28"/>
          <w:szCs w:val="28"/>
          <w:rtl/>
        </w:rPr>
        <w:t xml:space="preserve">היא </w:t>
      </w:r>
      <w:proofErr w:type="spellStart"/>
      <w:r w:rsidR="00592DFB">
        <w:rPr>
          <w:rFonts w:hint="cs"/>
          <w:b/>
          <w:bCs/>
          <w:sz w:val="28"/>
          <w:szCs w:val="28"/>
          <w:rtl/>
        </w:rPr>
        <w:t>תתן</w:t>
      </w:r>
      <w:proofErr w:type="spellEnd"/>
      <w:r w:rsidR="007F53C2">
        <w:rPr>
          <w:rFonts w:hint="cs"/>
          <w:b/>
          <w:bCs/>
          <w:sz w:val="28"/>
          <w:szCs w:val="28"/>
          <w:rtl/>
        </w:rPr>
        <w:t xml:space="preserve"> </w:t>
      </w:r>
      <w:r w:rsidR="00066C9B">
        <w:rPr>
          <w:rFonts w:hint="cs"/>
          <w:b/>
          <w:bCs/>
          <w:sz w:val="28"/>
          <w:szCs w:val="28"/>
          <w:rtl/>
        </w:rPr>
        <w:t xml:space="preserve">לכל אחד </w:t>
      </w:r>
      <w:proofErr w:type="spellStart"/>
      <w:r w:rsidR="00066C9B">
        <w:rPr>
          <w:rFonts w:hint="cs"/>
          <w:b/>
          <w:bCs/>
          <w:sz w:val="28"/>
          <w:szCs w:val="28"/>
          <w:rtl/>
        </w:rPr>
        <w:t>מהטבעים</w:t>
      </w:r>
      <w:proofErr w:type="spellEnd"/>
      <w:r w:rsidR="00066C9B">
        <w:rPr>
          <w:rFonts w:hint="cs"/>
          <w:b/>
          <w:bCs/>
          <w:sz w:val="28"/>
          <w:szCs w:val="28"/>
          <w:rtl/>
        </w:rPr>
        <w:t xml:space="preserve"> שתחתיה את המובן שלו.</w:t>
      </w:r>
      <w:r w:rsidR="00BB198D">
        <w:rPr>
          <w:rFonts w:hint="cs"/>
          <w:b/>
          <w:bCs/>
          <w:sz w:val="28"/>
          <w:szCs w:val="28"/>
          <w:rtl/>
        </w:rPr>
        <w:t xml:space="preserve"> </w:t>
      </w:r>
    </w:p>
    <w:p w14:paraId="3FC529F5" w14:textId="77777777" w:rsidR="005B4D88" w:rsidRDefault="005B4D88" w:rsidP="004C3F79">
      <w:pPr>
        <w:pStyle w:val="FootnoteText"/>
        <w:rPr>
          <w:b/>
          <w:bCs/>
          <w:sz w:val="28"/>
          <w:szCs w:val="28"/>
        </w:rPr>
      </w:pPr>
      <w:r>
        <w:rPr>
          <w:b/>
          <w:bCs/>
          <w:sz w:val="28"/>
          <w:szCs w:val="28"/>
        </w:rPr>
        <w:br w:type="page"/>
      </w:r>
    </w:p>
    <w:p w14:paraId="0E75839F" w14:textId="40791973" w:rsidR="00F2222B" w:rsidRDefault="00B62E08" w:rsidP="00190B18">
      <w:pPr>
        <w:pStyle w:val="Heading1"/>
        <w:rPr>
          <w:b w:val="0"/>
          <w:bCs w:val="0"/>
          <w:rtl/>
        </w:rPr>
      </w:pPr>
      <w:bookmarkStart w:id="235" w:name="_Toc119092661"/>
      <w:r>
        <w:rPr>
          <w:rFonts w:hint="cs"/>
          <w:b w:val="0"/>
          <w:bCs w:val="0"/>
          <w:rtl/>
        </w:rPr>
        <w:t>פרק ו</w:t>
      </w:r>
      <w:bookmarkEnd w:id="235"/>
    </w:p>
    <w:p w14:paraId="68A0B14A" w14:textId="25C9A709" w:rsidR="008A0BA6" w:rsidRDefault="008A0BA6" w:rsidP="00190B18">
      <w:pPr>
        <w:pStyle w:val="Heading2"/>
        <w:rPr>
          <w:b w:val="0"/>
          <w:bCs w:val="0"/>
          <w:rtl/>
        </w:rPr>
      </w:pPr>
      <w:bookmarkStart w:id="236" w:name="_Toc119092662"/>
      <w:r>
        <w:rPr>
          <w:rFonts w:hint="cs"/>
          <w:b w:val="0"/>
          <w:bCs w:val="0"/>
          <w:rtl/>
        </w:rPr>
        <w:t>ביחס של הטבע אל החומר, הצורה והתנועה</w:t>
      </w:r>
      <w:bookmarkEnd w:id="236"/>
    </w:p>
    <w:p w14:paraId="50AD540A" w14:textId="77777777" w:rsidR="009D6A44" w:rsidRDefault="009D6A44" w:rsidP="003266A1">
      <w:pPr>
        <w:pStyle w:val="Heading4"/>
        <w:rPr>
          <w:rtl/>
          <w:lang w:val="he"/>
        </w:rPr>
      </w:pPr>
    </w:p>
    <w:p w14:paraId="444E3AF2" w14:textId="00F4F6D1" w:rsidR="00190B18" w:rsidRDefault="005E5D4D" w:rsidP="003266A1">
      <w:pPr>
        <w:pStyle w:val="Heading4"/>
        <w:rPr>
          <w:rtl/>
          <w:lang w:val="he"/>
        </w:rPr>
      </w:pPr>
      <w:bookmarkStart w:id="237" w:name="_Toc119092663"/>
      <w:r>
        <w:rPr>
          <w:rFonts w:hint="cs"/>
          <w:rtl/>
          <w:lang w:val="he"/>
        </w:rPr>
        <w:t>1.6.1</w:t>
      </w:r>
      <w:bookmarkEnd w:id="237"/>
    </w:p>
    <w:p w14:paraId="14B24452" w14:textId="77777777" w:rsidR="006D3E2F" w:rsidRDefault="00E82257" w:rsidP="005E5D4D">
      <w:pPr>
        <w:pStyle w:val="FootnoteText"/>
        <w:rPr>
          <w:b/>
          <w:bCs/>
          <w:sz w:val="28"/>
          <w:szCs w:val="28"/>
          <w:rtl/>
          <w:lang w:val="he"/>
        </w:rPr>
      </w:pPr>
      <w:r w:rsidRPr="008A02CE">
        <w:rPr>
          <w:rFonts w:hint="cs"/>
          <w:b/>
          <w:bCs/>
          <w:sz w:val="28"/>
          <w:szCs w:val="28"/>
          <w:rtl/>
          <w:lang w:val="he"/>
        </w:rPr>
        <w:t xml:space="preserve">לכל גשם יש </w:t>
      </w:r>
      <w:r w:rsidR="00B92CEE">
        <w:rPr>
          <w:rFonts w:hint="cs"/>
          <w:b/>
          <w:bCs/>
          <w:sz w:val="28"/>
          <w:szCs w:val="28"/>
          <w:rtl/>
          <w:lang w:val="he"/>
        </w:rPr>
        <w:t xml:space="preserve">טבע, </w:t>
      </w:r>
      <w:r w:rsidR="00B57FA6">
        <w:rPr>
          <w:rFonts w:hint="cs"/>
          <w:b/>
          <w:bCs/>
          <w:sz w:val="28"/>
          <w:szCs w:val="28"/>
          <w:rtl/>
          <w:lang w:val="he"/>
        </w:rPr>
        <w:t>וחומר</w:t>
      </w:r>
      <w:r w:rsidR="00665B29">
        <w:rPr>
          <w:rStyle w:val="FootnoteReference"/>
          <w:b/>
          <w:bCs/>
          <w:sz w:val="28"/>
          <w:szCs w:val="28"/>
          <w:rtl/>
          <w:lang w:val="he"/>
        </w:rPr>
        <w:footnoteReference w:id="476"/>
      </w:r>
      <w:r w:rsidR="00B57FA6">
        <w:rPr>
          <w:rFonts w:hint="cs"/>
          <w:b/>
          <w:bCs/>
          <w:sz w:val="28"/>
          <w:szCs w:val="28"/>
          <w:rtl/>
          <w:lang w:val="he"/>
        </w:rPr>
        <w:t xml:space="preserve"> וצורה ומקרים. </w:t>
      </w:r>
    </w:p>
    <w:p w14:paraId="5B603DD7" w14:textId="0076FBA0" w:rsidR="005E5D4D" w:rsidRDefault="00550E63" w:rsidP="005E5D4D">
      <w:pPr>
        <w:pStyle w:val="FootnoteText"/>
        <w:rPr>
          <w:b/>
          <w:bCs/>
          <w:sz w:val="28"/>
          <w:szCs w:val="28"/>
          <w:rtl/>
        </w:rPr>
      </w:pPr>
      <w:r>
        <w:rPr>
          <w:rFonts w:hint="cs"/>
          <w:b/>
          <w:bCs/>
          <w:sz w:val="28"/>
          <w:szCs w:val="28"/>
          <w:rtl/>
          <w:lang w:val="he"/>
        </w:rPr>
        <w:t xml:space="preserve">והטבע שלו הוא </w:t>
      </w:r>
      <w:proofErr w:type="spellStart"/>
      <w:r w:rsidR="007009D4">
        <w:rPr>
          <w:rFonts w:hint="cs"/>
          <w:b/>
          <w:bCs/>
          <w:sz w:val="28"/>
          <w:szCs w:val="28"/>
          <w:rtl/>
          <w:lang w:val="he"/>
        </w:rPr>
        <w:t>הכח</w:t>
      </w:r>
      <w:proofErr w:type="spellEnd"/>
      <w:r w:rsidR="007009D4">
        <w:rPr>
          <w:rFonts w:hint="cs"/>
          <w:b/>
          <w:bCs/>
          <w:sz w:val="28"/>
          <w:szCs w:val="28"/>
          <w:rtl/>
          <w:lang w:val="he"/>
        </w:rPr>
        <w:t xml:space="preserve"> ש</w:t>
      </w:r>
      <w:r w:rsidR="00623BFB">
        <w:rPr>
          <w:rFonts w:hint="cs"/>
          <w:b/>
          <w:bCs/>
          <w:sz w:val="28"/>
          <w:szCs w:val="28"/>
          <w:rtl/>
        </w:rPr>
        <w:t>ממנו נובעים</w:t>
      </w:r>
      <w:r w:rsidR="00BA4ED4">
        <w:rPr>
          <w:rStyle w:val="FootnoteReference"/>
          <w:b/>
          <w:bCs/>
          <w:sz w:val="28"/>
          <w:szCs w:val="28"/>
          <w:rtl/>
        </w:rPr>
        <w:footnoteReference w:id="477"/>
      </w:r>
      <w:r w:rsidR="009B31DB">
        <w:rPr>
          <w:rFonts w:hint="cs"/>
          <w:b/>
          <w:bCs/>
          <w:sz w:val="28"/>
          <w:szCs w:val="28"/>
          <w:rtl/>
        </w:rPr>
        <w:t xml:space="preserve"> </w:t>
      </w:r>
      <w:r w:rsidR="00AF35A8">
        <w:rPr>
          <w:rFonts w:hint="cs"/>
          <w:b/>
          <w:bCs/>
          <w:sz w:val="28"/>
          <w:szCs w:val="28"/>
          <w:rtl/>
        </w:rPr>
        <w:t>בו ה</w:t>
      </w:r>
      <w:r w:rsidR="001B44F2">
        <w:rPr>
          <w:rFonts w:hint="cs"/>
          <w:b/>
          <w:bCs/>
          <w:sz w:val="28"/>
          <w:szCs w:val="28"/>
          <w:rtl/>
        </w:rPr>
        <w:t>תנוע</w:t>
      </w:r>
      <w:r w:rsidR="00523E98">
        <w:rPr>
          <w:rFonts w:hint="cs"/>
          <w:b/>
          <w:bCs/>
          <w:sz w:val="28"/>
          <w:szCs w:val="28"/>
          <w:rtl/>
        </w:rPr>
        <w:t>ה</w:t>
      </w:r>
      <w:r w:rsidR="00614B8C">
        <w:rPr>
          <w:rFonts w:hint="cs"/>
          <w:b/>
          <w:bCs/>
          <w:sz w:val="28"/>
          <w:szCs w:val="28"/>
          <w:rtl/>
        </w:rPr>
        <w:t xml:space="preserve"> או השינוי</w:t>
      </w:r>
      <w:r w:rsidR="0049799C">
        <w:rPr>
          <w:rFonts w:hint="cs"/>
          <w:b/>
          <w:bCs/>
          <w:sz w:val="28"/>
          <w:szCs w:val="28"/>
          <w:rtl/>
        </w:rPr>
        <w:t>, ש</w:t>
      </w:r>
      <w:r w:rsidR="00515E99">
        <w:rPr>
          <w:rFonts w:hint="cs"/>
          <w:b/>
          <w:bCs/>
          <w:sz w:val="28"/>
          <w:szCs w:val="28"/>
          <w:rtl/>
        </w:rPr>
        <w:t>הוא</w:t>
      </w:r>
      <w:r w:rsidR="00190289">
        <w:rPr>
          <w:rStyle w:val="FootnoteReference"/>
          <w:b/>
          <w:bCs/>
          <w:sz w:val="28"/>
          <w:szCs w:val="28"/>
          <w:rtl/>
        </w:rPr>
        <w:footnoteReference w:id="478"/>
      </w:r>
      <w:r w:rsidR="0049799C">
        <w:rPr>
          <w:rFonts w:hint="cs"/>
          <w:b/>
          <w:bCs/>
          <w:sz w:val="28"/>
          <w:szCs w:val="28"/>
          <w:rtl/>
        </w:rPr>
        <w:t xml:space="preserve"> </w:t>
      </w:r>
      <w:r w:rsidR="00D70093">
        <w:rPr>
          <w:rFonts w:hint="cs"/>
          <w:b/>
          <w:bCs/>
          <w:sz w:val="28"/>
          <w:szCs w:val="28"/>
          <w:rtl/>
        </w:rPr>
        <w:t xml:space="preserve">מצד </w:t>
      </w:r>
      <w:r w:rsidR="006D3D6E">
        <w:rPr>
          <w:rFonts w:hint="cs"/>
          <w:b/>
          <w:bCs/>
          <w:sz w:val="28"/>
          <w:szCs w:val="28"/>
          <w:rtl/>
        </w:rPr>
        <w:t>עצמ</w:t>
      </w:r>
      <w:r w:rsidR="0049799C">
        <w:rPr>
          <w:rFonts w:hint="cs"/>
          <w:b/>
          <w:bCs/>
          <w:sz w:val="28"/>
          <w:szCs w:val="28"/>
          <w:rtl/>
        </w:rPr>
        <w:t>ו</w:t>
      </w:r>
      <w:r w:rsidR="00496376">
        <w:rPr>
          <w:rStyle w:val="FootnoteReference"/>
          <w:b/>
          <w:bCs/>
          <w:sz w:val="28"/>
          <w:szCs w:val="28"/>
          <w:rtl/>
        </w:rPr>
        <w:footnoteReference w:id="479"/>
      </w:r>
      <w:r w:rsidR="00F83C24">
        <w:rPr>
          <w:rFonts w:hint="cs"/>
          <w:b/>
          <w:bCs/>
          <w:sz w:val="28"/>
          <w:szCs w:val="28"/>
          <w:rtl/>
        </w:rPr>
        <w:t>,</w:t>
      </w:r>
      <w:r w:rsidR="00237E47">
        <w:rPr>
          <w:rFonts w:hint="cs"/>
          <w:b/>
          <w:bCs/>
          <w:sz w:val="28"/>
          <w:szCs w:val="28"/>
          <w:rtl/>
        </w:rPr>
        <w:t xml:space="preserve"> וכך המנוחה וה</w:t>
      </w:r>
      <w:r w:rsidR="00795FDB">
        <w:rPr>
          <w:rFonts w:hint="cs"/>
          <w:b/>
          <w:bCs/>
          <w:sz w:val="28"/>
          <w:szCs w:val="28"/>
          <w:rtl/>
        </w:rPr>
        <w:t>עמידה</w:t>
      </w:r>
      <w:r w:rsidR="00E5242D">
        <w:rPr>
          <w:rStyle w:val="FootnoteReference"/>
          <w:b/>
          <w:bCs/>
          <w:sz w:val="28"/>
          <w:szCs w:val="28"/>
          <w:rtl/>
        </w:rPr>
        <w:footnoteReference w:id="480"/>
      </w:r>
      <w:r w:rsidR="00237E47">
        <w:rPr>
          <w:rFonts w:hint="cs"/>
          <w:b/>
          <w:bCs/>
          <w:sz w:val="28"/>
          <w:szCs w:val="28"/>
          <w:rtl/>
        </w:rPr>
        <w:t xml:space="preserve">. </w:t>
      </w:r>
    </w:p>
    <w:p w14:paraId="4B8C6D6C" w14:textId="042AD27B" w:rsidR="006D3E2F" w:rsidRDefault="00227C8D" w:rsidP="005E5D4D">
      <w:pPr>
        <w:pStyle w:val="FootnoteText"/>
        <w:rPr>
          <w:b/>
          <w:bCs/>
          <w:sz w:val="28"/>
          <w:szCs w:val="28"/>
          <w:rtl/>
        </w:rPr>
      </w:pPr>
      <w:r>
        <w:rPr>
          <w:rFonts w:hint="cs"/>
          <w:b/>
          <w:bCs/>
          <w:sz w:val="28"/>
          <w:szCs w:val="28"/>
          <w:rtl/>
        </w:rPr>
        <w:t xml:space="preserve">וצורתו </w:t>
      </w:r>
      <w:r w:rsidR="0032301C">
        <w:rPr>
          <w:rFonts w:hint="cs"/>
          <w:b/>
          <w:bCs/>
          <w:sz w:val="28"/>
          <w:szCs w:val="28"/>
          <w:rtl/>
        </w:rPr>
        <w:t xml:space="preserve">היא מהותו </w:t>
      </w:r>
      <w:r w:rsidR="006E2F44">
        <w:rPr>
          <w:rFonts w:hint="cs"/>
          <w:b/>
          <w:bCs/>
          <w:sz w:val="28"/>
          <w:szCs w:val="28"/>
          <w:rtl/>
        </w:rPr>
        <w:t xml:space="preserve">שבה הוא </w:t>
      </w:r>
      <w:r w:rsidR="000B6A92">
        <w:rPr>
          <w:rFonts w:hint="cs"/>
          <w:b/>
          <w:bCs/>
          <w:sz w:val="28"/>
          <w:szCs w:val="28"/>
          <w:rtl/>
        </w:rPr>
        <w:t>מה שהוא</w:t>
      </w:r>
      <w:r w:rsidR="003178AE">
        <w:rPr>
          <w:rFonts w:hint="cs"/>
          <w:b/>
          <w:bCs/>
          <w:sz w:val="28"/>
          <w:szCs w:val="28"/>
          <w:rtl/>
        </w:rPr>
        <w:t>.</w:t>
      </w:r>
    </w:p>
    <w:p w14:paraId="222BD431" w14:textId="3A43D3EA" w:rsidR="003178AE" w:rsidRDefault="003178AE" w:rsidP="005E5D4D">
      <w:pPr>
        <w:pStyle w:val="FootnoteText"/>
        <w:rPr>
          <w:b/>
          <w:bCs/>
          <w:sz w:val="28"/>
          <w:szCs w:val="28"/>
          <w:rtl/>
        </w:rPr>
      </w:pPr>
      <w:r>
        <w:rPr>
          <w:rFonts w:hint="cs"/>
          <w:b/>
          <w:bCs/>
          <w:sz w:val="28"/>
          <w:szCs w:val="28"/>
          <w:rtl/>
        </w:rPr>
        <w:t>וחומרו הוא</w:t>
      </w:r>
      <w:r w:rsidR="00484161">
        <w:rPr>
          <w:rFonts w:hint="cs"/>
          <w:b/>
          <w:bCs/>
          <w:sz w:val="28"/>
          <w:szCs w:val="28"/>
          <w:rtl/>
        </w:rPr>
        <w:t xml:space="preserve"> </w:t>
      </w:r>
      <w:r w:rsidR="00A51B90">
        <w:rPr>
          <w:rFonts w:hint="cs"/>
          <w:b/>
          <w:bCs/>
          <w:sz w:val="28"/>
          <w:szCs w:val="28"/>
          <w:rtl/>
        </w:rPr>
        <w:t>המובן</w:t>
      </w:r>
      <w:r w:rsidR="00DC58CE">
        <w:rPr>
          <w:b/>
          <w:bCs/>
          <w:sz w:val="28"/>
          <w:szCs w:val="28"/>
          <w:rtl/>
        </w:rPr>
        <w:fldChar w:fldCharType="begin"/>
      </w:r>
      <w:r w:rsidR="00DC58CE">
        <w:instrText xml:space="preserve"> XE "</w:instrText>
      </w:r>
      <w:r w:rsidR="00DC58CE" w:rsidRPr="00836403">
        <w:rPr>
          <w:rFonts w:hint="cs"/>
          <w:b/>
          <w:bCs/>
          <w:sz w:val="28"/>
          <w:szCs w:val="28"/>
          <w:rtl/>
        </w:rPr>
        <w:instrText>חומר - האופן שבו הוא נמצא. דברי אפלטון בטימיאוס</w:instrText>
      </w:r>
      <w:r w:rsidR="00DC58CE">
        <w:instrText xml:space="preserve">" </w:instrText>
      </w:r>
      <w:r w:rsidR="00DC58CE">
        <w:rPr>
          <w:b/>
          <w:bCs/>
          <w:sz w:val="28"/>
          <w:szCs w:val="28"/>
          <w:rtl/>
        </w:rPr>
        <w:fldChar w:fldCharType="end"/>
      </w:r>
      <w:r w:rsidR="00A51B90">
        <w:rPr>
          <w:rFonts w:hint="cs"/>
          <w:b/>
          <w:bCs/>
          <w:sz w:val="28"/>
          <w:szCs w:val="28"/>
          <w:rtl/>
        </w:rPr>
        <w:t xml:space="preserve"> של לשאת את ה</w:t>
      </w:r>
      <w:r w:rsidR="008E578B">
        <w:rPr>
          <w:rFonts w:hint="cs"/>
          <w:b/>
          <w:bCs/>
          <w:sz w:val="28"/>
          <w:szCs w:val="28"/>
          <w:rtl/>
        </w:rPr>
        <w:t>מהות</w:t>
      </w:r>
      <w:r w:rsidR="00391994">
        <w:rPr>
          <w:rStyle w:val="FootnoteReference"/>
          <w:b/>
          <w:bCs/>
          <w:sz w:val="28"/>
          <w:szCs w:val="28"/>
          <w:rtl/>
        </w:rPr>
        <w:footnoteReference w:id="481"/>
      </w:r>
      <w:r w:rsidR="00A51B90">
        <w:rPr>
          <w:rFonts w:hint="cs"/>
          <w:b/>
          <w:bCs/>
          <w:sz w:val="28"/>
          <w:szCs w:val="28"/>
          <w:rtl/>
        </w:rPr>
        <w:t>.</w:t>
      </w:r>
    </w:p>
    <w:p w14:paraId="4FAFC75A" w14:textId="1653637F" w:rsidR="009303C0" w:rsidRDefault="00903820" w:rsidP="00AF63E4">
      <w:pPr>
        <w:pStyle w:val="FootnoteText"/>
        <w:rPr>
          <w:b/>
          <w:bCs/>
          <w:sz w:val="28"/>
          <w:szCs w:val="28"/>
          <w:rtl/>
        </w:rPr>
      </w:pPr>
      <w:r>
        <w:rPr>
          <w:rFonts w:hint="cs"/>
          <w:b/>
          <w:bCs/>
          <w:sz w:val="28"/>
          <w:szCs w:val="28"/>
          <w:rtl/>
        </w:rPr>
        <w:t xml:space="preserve">והמקרים </w:t>
      </w:r>
      <w:r w:rsidR="00B8640E">
        <w:rPr>
          <w:rFonts w:hint="cs"/>
          <w:b/>
          <w:bCs/>
          <w:sz w:val="28"/>
          <w:szCs w:val="28"/>
          <w:rtl/>
        </w:rPr>
        <w:t xml:space="preserve">הם הדברים </w:t>
      </w:r>
      <w:r w:rsidR="0045641C">
        <w:rPr>
          <w:rFonts w:hint="cs"/>
          <w:b/>
          <w:bCs/>
          <w:sz w:val="28"/>
          <w:szCs w:val="28"/>
          <w:rtl/>
        </w:rPr>
        <w:t>שכ</w:t>
      </w:r>
      <w:r w:rsidR="0090605B">
        <w:rPr>
          <w:rFonts w:hint="cs"/>
          <w:b/>
          <w:bCs/>
          <w:sz w:val="28"/>
          <w:szCs w:val="28"/>
          <w:rtl/>
        </w:rPr>
        <w:t xml:space="preserve">שמציירת את החומר שלה </w:t>
      </w:r>
      <w:r w:rsidR="00AD3435">
        <w:rPr>
          <w:rFonts w:hint="cs"/>
          <w:b/>
          <w:bCs/>
          <w:sz w:val="28"/>
          <w:szCs w:val="28"/>
          <w:rtl/>
        </w:rPr>
        <w:t>בצורתה</w:t>
      </w:r>
      <w:r w:rsidR="00F51648">
        <w:rPr>
          <w:rFonts w:hint="cs"/>
          <w:b/>
          <w:bCs/>
          <w:sz w:val="28"/>
          <w:szCs w:val="28"/>
          <w:rtl/>
        </w:rPr>
        <w:t>,</w:t>
      </w:r>
      <w:r w:rsidR="00AD3435">
        <w:rPr>
          <w:rFonts w:hint="cs"/>
          <w:b/>
          <w:bCs/>
          <w:sz w:val="28"/>
          <w:szCs w:val="28"/>
          <w:rtl/>
        </w:rPr>
        <w:t xml:space="preserve"> </w:t>
      </w:r>
      <w:r w:rsidR="00D42C65">
        <w:rPr>
          <w:rFonts w:hint="cs"/>
          <w:b/>
          <w:bCs/>
          <w:sz w:val="28"/>
          <w:szCs w:val="28"/>
          <w:rtl/>
        </w:rPr>
        <w:t xml:space="preserve">והיו </w:t>
      </w:r>
      <w:r w:rsidR="00E538A0">
        <w:rPr>
          <w:rFonts w:hint="cs"/>
          <w:b/>
          <w:bCs/>
          <w:sz w:val="28"/>
          <w:szCs w:val="28"/>
          <w:rtl/>
        </w:rPr>
        <w:t xml:space="preserve">אופניה </w:t>
      </w:r>
      <w:r w:rsidR="008D7E60">
        <w:rPr>
          <w:rFonts w:hint="cs"/>
          <w:b/>
          <w:bCs/>
          <w:sz w:val="28"/>
          <w:szCs w:val="28"/>
          <w:rtl/>
        </w:rPr>
        <w:t>הכרחי</w:t>
      </w:r>
      <w:r w:rsidR="00E538A0">
        <w:rPr>
          <w:rFonts w:hint="cs"/>
          <w:b/>
          <w:bCs/>
          <w:sz w:val="28"/>
          <w:szCs w:val="28"/>
          <w:rtl/>
        </w:rPr>
        <w:t xml:space="preserve">ים, </w:t>
      </w:r>
      <w:r w:rsidR="00F539D5">
        <w:rPr>
          <w:rFonts w:hint="cs"/>
          <w:b/>
          <w:bCs/>
          <w:sz w:val="28"/>
          <w:szCs w:val="28"/>
          <w:rtl/>
        </w:rPr>
        <w:t>או מקרים חיצוניים לה</w:t>
      </w:r>
      <w:r w:rsidR="00CE3679">
        <w:rPr>
          <w:rStyle w:val="FootnoteReference"/>
          <w:b/>
          <w:bCs/>
          <w:sz w:val="28"/>
          <w:szCs w:val="28"/>
          <w:rtl/>
        </w:rPr>
        <w:footnoteReference w:id="482"/>
      </w:r>
      <w:r w:rsidR="00D40393">
        <w:rPr>
          <w:rFonts w:hint="cs"/>
          <w:b/>
          <w:bCs/>
          <w:sz w:val="28"/>
          <w:szCs w:val="28"/>
          <w:rtl/>
        </w:rPr>
        <w:t>.</w:t>
      </w:r>
      <w:r w:rsidR="00F539D5">
        <w:rPr>
          <w:rFonts w:hint="cs"/>
          <w:b/>
          <w:bCs/>
          <w:sz w:val="28"/>
          <w:szCs w:val="28"/>
          <w:rtl/>
        </w:rPr>
        <w:t xml:space="preserve"> </w:t>
      </w:r>
    </w:p>
    <w:p w14:paraId="266C6B49" w14:textId="77777777" w:rsidR="0082098E" w:rsidRPr="00BD71DE" w:rsidRDefault="009303C0" w:rsidP="003266A1">
      <w:pPr>
        <w:pStyle w:val="Heading4"/>
        <w:rPr>
          <w:rtl/>
        </w:rPr>
      </w:pPr>
      <w:bookmarkStart w:id="241" w:name="_Toc119092664"/>
      <w:r w:rsidRPr="00BD71DE">
        <w:rPr>
          <w:rFonts w:hint="cs"/>
          <w:rtl/>
        </w:rPr>
        <w:t>1.</w:t>
      </w:r>
      <w:r w:rsidR="0082098E" w:rsidRPr="00BD71DE">
        <w:rPr>
          <w:rFonts w:hint="cs"/>
          <w:rtl/>
        </w:rPr>
        <w:t>6.2</w:t>
      </w:r>
      <w:bookmarkEnd w:id="241"/>
    </w:p>
    <w:p w14:paraId="1BD8487F" w14:textId="77777777" w:rsidR="002A02A8" w:rsidRDefault="007F36C8" w:rsidP="005E5D4D">
      <w:pPr>
        <w:pStyle w:val="FootnoteText"/>
        <w:rPr>
          <w:b/>
          <w:bCs/>
          <w:sz w:val="28"/>
          <w:szCs w:val="28"/>
          <w:rtl/>
        </w:rPr>
      </w:pPr>
      <w:r>
        <w:rPr>
          <w:rFonts w:hint="cs"/>
          <w:b/>
          <w:bCs/>
          <w:sz w:val="28"/>
          <w:szCs w:val="28"/>
          <w:rtl/>
        </w:rPr>
        <w:t xml:space="preserve">אפשר </w:t>
      </w:r>
      <w:r w:rsidR="00653B82">
        <w:rPr>
          <w:rFonts w:hint="cs"/>
          <w:b/>
          <w:bCs/>
          <w:sz w:val="28"/>
          <w:szCs w:val="28"/>
          <w:rtl/>
        </w:rPr>
        <w:t>ש</w:t>
      </w:r>
      <w:r w:rsidR="006E5BDE">
        <w:rPr>
          <w:rFonts w:hint="cs"/>
          <w:b/>
          <w:bCs/>
          <w:sz w:val="28"/>
          <w:szCs w:val="28"/>
          <w:rtl/>
        </w:rPr>
        <w:t>י</w:t>
      </w:r>
      <w:r w:rsidR="00653B82">
        <w:rPr>
          <w:rFonts w:hint="cs"/>
          <w:b/>
          <w:bCs/>
          <w:sz w:val="28"/>
          <w:szCs w:val="28"/>
          <w:rtl/>
        </w:rPr>
        <w:t>היה טבע</w:t>
      </w:r>
      <w:r w:rsidR="006E5BDE">
        <w:rPr>
          <w:rFonts w:hint="cs"/>
          <w:b/>
          <w:bCs/>
          <w:sz w:val="28"/>
          <w:szCs w:val="28"/>
          <w:rtl/>
        </w:rPr>
        <w:t>ו של</w:t>
      </w:r>
      <w:r w:rsidR="00653B82">
        <w:rPr>
          <w:rFonts w:hint="cs"/>
          <w:b/>
          <w:bCs/>
          <w:sz w:val="28"/>
          <w:szCs w:val="28"/>
          <w:rtl/>
        </w:rPr>
        <w:t xml:space="preserve"> הדבר </w:t>
      </w:r>
      <w:r w:rsidR="00376859">
        <w:rPr>
          <w:rFonts w:hint="cs"/>
          <w:b/>
          <w:bCs/>
          <w:sz w:val="28"/>
          <w:szCs w:val="28"/>
          <w:rtl/>
        </w:rPr>
        <w:t xml:space="preserve">צורתו </w:t>
      </w:r>
      <w:r w:rsidR="00BB06FA" w:rsidRPr="00BB06FA">
        <w:rPr>
          <w:b/>
          <w:bCs/>
          <w:sz w:val="28"/>
          <w:szCs w:val="28"/>
          <w:rtl/>
        </w:rPr>
        <w:t>בְּעֵינָהּ</w:t>
      </w:r>
      <w:r w:rsidR="00EB71BB">
        <w:rPr>
          <w:rStyle w:val="FootnoteReference"/>
          <w:b/>
          <w:bCs/>
          <w:sz w:val="28"/>
          <w:szCs w:val="28"/>
          <w:rtl/>
        </w:rPr>
        <w:footnoteReference w:id="483"/>
      </w:r>
      <w:r w:rsidR="00376859">
        <w:rPr>
          <w:rFonts w:hint="cs"/>
          <w:b/>
          <w:bCs/>
          <w:sz w:val="28"/>
          <w:szCs w:val="28"/>
          <w:rtl/>
        </w:rPr>
        <w:t xml:space="preserve">, </w:t>
      </w:r>
      <w:r w:rsidR="00477E8A">
        <w:rPr>
          <w:rFonts w:hint="cs"/>
          <w:b/>
          <w:bCs/>
          <w:sz w:val="28"/>
          <w:szCs w:val="28"/>
          <w:rtl/>
        </w:rPr>
        <w:t xml:space="preserve">ואפשר </w:t>
      </w:r>
      <w:r w:rsidR="009678D8">
        <w:rPr>
          <w:rFonts w:hint="cs"/>
          <w:b/>
          <w:bCs/>
          <w:sz w:val="28"/>
          <w:szCs w:val="28"/>
          <w:rtl/>
        </w:rPr>
        <w:t xml:space="preserve">שלא </w:t>
      </w:r>
      <w:r w:rsidR="00ED34D2">
        <w:rPr>
          <w:rFonts w:hint="cs"/>
          <w:b/>
          <w:bCs/>
          <w:sz w:val="28"/>
          <w:szCs w:val="28"/>
          <w:rtl/>
        </w:rPr>
        <w:t>י</w:t>
      </w:r>
      <w:r w:rsidR="009678D8">
        <w:rPr>
          <w:rFonts w:hint="cs"/>
          <w:b/>
          <w:bCs/>
          <w:sz w:val="28"/>
          <w:szCs w:val="28"/>
          <w:rtl/>
        </w:rPr>
        <w:t xml:space="preserve">היה. </w:t>
      </w:r>
      <w:r w:rsidR="00560C05">
        <w:rPr>
          <w:rFonts w:hint="cs"/>
          <w:b/>
          <w:bCs/>
          <w:sz w:val="28"/>
          <w:szCs w:val="28"/>
          <w:rtl/>
        </w:rPr>
        <w:t>לגבי</w:t>
      </w:r>
      <w:r w:rsidR="004C11C3">
        <w:rPr>
          <w:rFonts w:hint="cs"/>
          <w:b/>
          <w:bCs/>
          <w:sz w:val="28"/>
          <w:szCs w:val="28"/>
          <w:rtl/>
        </w:rPr>
        <w:t xml:space="preserve"> ה</w:t>
      </w:r>
      <w:r w:rsidR="00F64317">
        <w:rPr>
          <w:rFonts w:hint="cs"/>
          <w:b/>
          <w:bCs/>
          <w:sz w:val="28"/>
          <w:szCs w:val="28"/>
          <w:rtl/>
        </w:rPr>
        <w:t>פשוטים</w:t>
      </w:r>
      <w:r w:rsidR="00CB5954">
        <w:rPr>
          <w:rStyle w:val="FootnoteReference"/>
          <w:b/>
          <w:bCs/>
          <w:sz w:val="28"/>
          <w:szCs w:val="28"/>
          <w:rtl/>
        </w:rPr>
        <w:footnoteReference w:id="484"/>
      </w:r>
      <w:r w:rsidR="00F64317">
        <w:rPr>
          <w:rFonts w:hint="cs"/>
          <w:b/>
          <w:bCs/>
          <w:sz w:val="28"/>
          <w:szCs w:val="28"/>
          <w:rtl/>
        </w:rPr>
        <w:t xml:space="preserve">, </w:t>
      </w:r>
      <w:r w:rsidR="0014595D">
        <w:rPr>
          <w:rFonts w:hint="cs"/>
          <w:b/>
          <w:bCs/>
          <w:sz w:val="28"/>
          <w:szCs w:val="28"/>
          <w:rtl/>
        </w:rPr>
        <w:t xml:space="preserve">הטבע </w:t>
      </w:r>
      <w:r w:rsidR="003F3EB2">
        <w:rPr>
          <w:rFonts w:hint="cs"/>
          <w:b/>
          <w:bCs/>
          <w:sz w:val="28"/>
          <w:szCs w:val="28"/>
          <w:rtl/>
        </w:rPr>
        <w:t xml:space="preserve">הוא הצורה בעינה, </w:t>
      </w:r>
      <w:r w:rsidR="004C11C3">
        <w:rPr>
          <w:rFonts w:hint="cs"/>
          <w:b/>
          <w:bCs/>
          <w:sz w:val="28"/>
          <w:szCs w:val="28"/>
          <w:rtl/>
        </w:rPr>
        <w:t>ו</w:t>
      </w:r>
      <w:r w:rsidR="00BD5104">
        <w:rPr>
          <w:rFonts w:hint="cs"/>
          <w:b/>
          <w:bCs/>
          <w:sz w:val="28"/>
          <w:szCs w:val="28"/>
          <w:rtl/>
        </w:rPr>
        <w:t>טבע המים הוא</w:t>
      </w:r>
      <w:r w:rsidR="00634BA8">
        <w:rPr>
          <w:rFonts w:hint="cs"/>
          <w:b/>
          <w:bCs/>
          <w:sz w:val="28"/>
          <w:szCs w:val="28"/>
          <w:rtl/>
        </w:rPr>
        <w:t xml:space="preserve"> </w:t>
      </w:r>
      <w:r w:rsidR="00BD5104">
        <w:rPr>
          <w:rFonts w:hint="cs"/>
          <w:b/>
          <w:bCs/>
          <w:sz w:val="28"/>
          <w:szCs w:val="28"/>
          <w:rtl/>
        </w:rPr>
        <w:t>בעינה</w:t>
      </w:r>
      <w:r w:rsidR="00634BA8">
        <w:rPr>
          <w:rFonts w:hint="cs"/>
          <w:b/>
          <w:bCs/>
          <w:sz w:val="28"/>
          <w:szCs w:val="28"/>
          <w:rtl/>
        </w:rPr>
        <w:t xml:space="preserve"> המהות </w:t>
      </w:r>
      <w:r w:rsidR="002D5D9D">
        <w:rPr>
          <w:rFonts w:hint="cs"/>
          <w:b/>
          <w:bCs/>
          <w:sz w:val="28"/>
          <w:szCs w:val="28"/>
          <w:rtl/>
        </w:rPr>
        <w:t>ש</w:t>
      </w:r>
      <w:r w:rsidR="00DB62B6">
        <w:rPr>
          <w:rFonts w:hint="cs"/>
          <w:b/>
          <w:bCs/>
          <w:sz w:val="28"/>
          <w:szCs w:val="28"/>
          <w:rtl/>
        </w:rPr>
        <w:t>בה</w:t>
      </w:r>
      <w:r w:rsidR="00BD5104">
        <w:rPr>
          <w:rFonts w:hint="cs"/>
          <w:b/>
          <w:bCs/>
          <w:sz w:val="28"/>
          <w:szCs w:val="28"/>
          <w:rtl/>
        </w:rPr>
        <w:t xml:space="preserve"> </w:t>
      </w:r>
      <w:r w:rsidR="00CC0BD2">
        <w:rPr>
          <w:rFonts w:hint="cs"/>
          <w:b/>
          <w:bCs/>
          <w:sz w:val="28"/>
          <w:szCs w:val="28"/>
          <w:rtl/>
        </w:rPr>
        <w:t>המים ה</w:t>
      </w:r>
      <w:r w:rsidR="00DB62B6">
        <w:rPr>
          <w:rFonts w:hint="cs"/>
          <w:b/>
          <w:bCs/>
          <w:sz w:val="28"/>
          <w:szCs w:val="28"/>
          <w:rtl/>
        </w:rPr>
        <w:t>ם</w:t>
      </w:r>
      <w:r w:rsidR="00E004B1">
        <w:rPr>
          <w:rFonts w:hint="cs"/>
          <w:b/>
          <w:bCs/>
          <w:sz w:val="28"/>
          <w:szCs w:val="28"/>
          <w:rtl/>
        </w:rPr>
        <w:t xml:space="preserve"> מה שהם</w:t>
      </w:r>
      <w:r w:rsidR="00DB62B6">
        <w:rPr>
          <w:rFonts w:hint="cs"/>
          <w:b/>
          <w:bCs/>
          <w:sz w:val="28"/>
          <w:szCs w:val="28"/>
          <w:rtl/>
        </w:rPr>
        <w:t>.</w:t>
      </w:r>
    </w:p>
    <w:p w14:paraId="4B2DC902" w14:textId="48841DB9" w:rsidR="00C26AA3" w:rsidRDefault="002A02A8" w:rsidP="005E5D4D">
      <w:pPr>
        <w:pStyle w:val="FootnoteText"/>
        <w:rPr>
          <w:b/>
          <w:bCs/>
          <w:sz w:val="28"/>
          <w:szCs w:val="28"/>
        </w:rPr>
      </w:pPr>
      <w:r>
        <w:rPr>
          <w:rFonts w:hint="cs"/>
          <w:b/>
          <w:bCs/>
          <w:sz w:val="28"/>
          <w:szCs w:val="28"/>
          <w:rtl/>
        </w:rPr>
        <w:t>בכל אופן</w:t>
      </w:r>
      <w:r w:rsidR="0099644D">
        <w:rPr>
          <w:rFonts w:hint="cs"/>
          <w:b/>
          <w:bCs/>
          <w:sz w:val="28"/>
          <w:szCs w:val="28"/>
          <w:rtl/>
        </w:rPr>
        <w:t>,</w:t>
      </w:r>
      <w:r>
        <w:rPr>
          <w:rFonts w:hint="cs"/>
          <w:b/>
          <w:bCs/>
          <w:sz w:val="28"/>
          <w:szCs w:val="28"/>
          <w:rtl/>
        </w:rPr>
        <w:t xml:space="preserve"> </w:t>
      </w:r>
      <w:r w:rsidR="00952AFB">
        <w:rPr>
          <w:rFonts w:hint="cs"/>
          <w:b/>
          <w:bCs/>
          <w:sz w:val="28"/>
          <w:szCs w:val="28"/>
          <w:rtl/>
        </w:rPr>
        <w:t>אבל</w:t>
      </w:r>
      <w:r w:rsidR="0099644D">
        <w:rPr>
          <w:rFonts w:hint="cs"/>
          <w:b/>
          <w:bCs/>
          <w:sz w:val="28"/>
          <w:szCs w:val="28"/>
          <w:rtl/>
        </w:rPr>
        <w:t>,</w:t>
      </w:r>
      <w:r w:rsidR="00952AFB">
        <w:rPr>
          <w:rFonts w:hint="cs"/>
          <w:b/>
          <w:bCs/>
          <w:sz w:val="28"/>
          <w:szCs w:val="28"/>
          <w:rtl/>
        </w:rPr>
        <w:t xml:space="preserve"> </w:t>
      </w:r>
      <w:r>
        <w:rPr>
          <w:rFonts w:hint="cs"/>
          <w:b/>
          <w:bCs/>
          <w:sz w:val="28"/>
          <w:szCs w:val="28"/>
          <w:rtl/>
        </w:rPr>
        <w:t>יהיה</w:t>
      </w:r>
      <w:r w:rsidR="00952AFB">
        <w:rPr>
          <w:rFonts w:hint="cs"/>
          <w:b/>
          <w:bCs/>
          <w:sz w:val="28"/>
          <w:szCs w:val="28"/>
          <w:rtl/>
        </w:rPr>
        <w:t xml:space="preserve"> הטבע </w:t>
      </w:r>
      <w:r w:rsidR="00324344">
        <w:rPr>
          <w:rFonts w:hint="cs"/>
          <w:b/>
          <w:bCs/>
          <w:sz w:val="28"/>
          <w:szCs w:val="28"/>
          <w:rtl/>
        </w:rPr>
        <w:t>בבחינ</w:t>
      </w:r>
      <w:r w:rsidR="00C21EDA">
        <w:rPr>
          <w:rFonts w:hint="cs"/>
          <w:b/>
          <w:bCs/>
          <w:sz w:val="28"/>
          <w:szCs w:val="28"/>
          <w:rtl/>
        </w:rPr>
        <w:t>ה והצורה בבחינה</w:t>
      </w:r>
      <w:r w:rsidR="00983AD0">
        <w:rPr>
          <w:rStyle w:val="FootnoteReference"/>
          <w:b/>
          <w:bCs/>
          <w:sz w:val="28"/>
          <w:szCs w:val="28"/>
          <w:rtl/>
        </w:rPr>
        <w:footnoteReference w:id="485"/>
      </w:r>
      <w:r w:rsidR="00C21EDA">
        <w:rPr>
          <w:rFonts w:hint="cs"/>
          <w:b/>
          <w:bCs/>
          <w:sz w:val="28"/>
          <w:szCs w:val="28"/>
          <w:rtl/>
        </w:rPr>
        <w:t>.</w:t>
      </w:r>
      <w:r w:rsidR="00B13107">
        <w:rPr>
          <w:rFonts w:hint="cs"/>
          <w:b/>
          <w:bCs/>
          <w:sz w:val="28"/>
          <w:szCs w:val="28"/>
          <w:rtl/>
        </w:rPr>
        <w:t xml:space="preserve"> </w:t>
      </w:r>
      <w:r w:rsidR="00AF7453">
        <w:rPr>
          <w:rFonts w:hint="cs"/>
          <w:b/>
          <w:bCs/>
          <w:sz w:val="28"/>
          <w:szCs w:val="28"/>
          <w:rtl/>
        </w:rPr>
        <w:t>ו</w:t>
      </w:r>
      <w:r w:rsidR="00F6576B">
        <w:rPr>
          <w:rFonts w:hint="cs"/>
          <w:b/>
          <w:bCs/>
          <w:sz w:val="28"/>
          <w:szCs w:val="28"/>
          <w:rtl/>
        </w:rPr>
        <w:t>ב</w:t>
      </w:r>
      <w:r w:rsidR="000C41CF">
        <w:rPr>
          <w:rFonts w:hint="cs"/>
          <w:b/>
          <w:bCs/>
          <w:sz w:val="28"/>
          <w:szCs w:val="28"/>
          <w:rtl/>
        </w:rPr>
        <w:t>אשר</w:t>
      </w:r>
      <w:r w:rsidR="00AF7453">
        <w:rPr>
          <w:rFonts w:hint="cs"/>
          <w:b/>
          <w:bCs/>
          <w:sz w:val="28"/>
          <w:szCs w:val="28"/>
          <w:rtl/>
        </w:rPr>
        <w:t xml:space="preserve"> לתנועות</w:t>
      </w:r>
      <w:r w:rsidR="000C41CF">
        <w:rPr>
          <w:rFonts w:hint="cs"/>
          <w:b/>
          <w:bCs/>
          <w:sz w:val="28"/>
          <w:szCs w:val="28"/>
          <w:rtl/>
        </w:rPr>
        <w:t>,</w:t>
      </w:r>
      <w:r w:rsidR="00AF7453">
        <w:rPr>
          <w:rFonts w:hint="cs"/>
          <w:b/>
          <w:bCs/>
          <w:sz w:val="28"/>
          <w:szCs w:val="28"/>
          <w:rtl/>
        </w:rPr>
        <w:t xml:space="preserve"> </w:t>
      </w:r>
      <w:r w:rsidR="00926EDE">
        <w:rPr>
          <w:rFonts w:hint="cs"/>
          <w:b/>
          <w:bCs/>
          <w:sz w:val="28"/>
          <w:szCs w:val="28"/>
          <w:rtl/>
        </w:rPr>
        <w:t>מה ש</w:t>
      </w:r>
      <w:r w:rsidR="0089624B">
        <w:rPr>
          <w:rFonts w:hint="cs"/>
          <w:b/>
          <w:bCs/>
          <w:sz w:val="28"/>
          <w:szCs w:val="28"/>
          <w:rtl/>
        </w:rPr>
        <w:t>ביחס לתנועות</w:t>
      </w:r>
      <w:r w:rsidR="008D17FB">
        <w:rPr>
          <w:rStyle w:val="FootnoteReference"/>
          <w:b/>
          <w:bCs/>
          <w:sz w:val="28"/>
          <w:szCs w:val="28"/>
          <w:rtl/>
        </w:rPr>
        <w:footnoteReference w:id="486"/>
      </w:r>
      <w:r w:rsidR="0089624B">
        <w:rPr>
          <w:rFonts w:hint="cs"/>
          <w:b/>
          <w:bCs/>
          <w:sz w:val="28"/>
          <w:szCs w:val="28"/>
          <w:rtl/>
        </w:rPr>
        <w:t xml:space="preserve"> </w:t>
      </w:r>
      <w:r w:rsidR="00266632">
        <w:rPr>
          <w:rFonts w:hint="cs"/>
          <w:b/>
          <w:bCs/>
          <w:sz w:val="28"/>
          <w:szCs w:val="28"/>
          <w:rtl/>
        </w:rPr>
        <w:t>ו</w:t>
      </w:r>
      <w:r w:rsidR="00E41B2A">
        <w:rPr>
          <w:rFonts w:hint="cs"/>
          <w:b/>
          <w:bCs/>
          <w:sz w:val="28"/>
          <w:szCs w:val="28"/>
          <w:rtl/>
        </w:rPr>
        <w:t>ל</w:t>
      </w:r>
      <w:r w:rsidR="00266632">
        <w:rPr>
          <w:rFonts w:hint="cs"/>
          <w:b/>
          <w:bCs/>
          <w:sz w:val="28"/>
          <w:szCs w:val="28"/>
          <w:rtl/>
        </w:rPr>
        <w:t>פעולות הנובעות</w:t>
      </w:r>
      <w:r w:rsidR="002A14AE">
        <w:rPr>
          <w:rStyle w:val="FootnoteReference"/>
          <w:b/>
          <w:bCs/>
          <w:sz w:val="28"/>
          <w:szCs w:val="28"/>
          <w:rtl/>
        </w:rPr>
        <w:footnoteReference w:id="487"/>
      </w:r>
      <w:r w:rsidR="0099644D">
        <w:rPr>
          <w:rFonts w:hint="cs"/>
          <w:b/>
          <w:bCs/>
          <w:sz w:val="28"/>
          <w:szCs w:val="28"/>
          <w:rtl/>
        </w:rPr>
        <w:t xml:space="preserve"> </w:t>
      </w:r>
      <w:r w:rsidR="00715BC2">
        <w:rPr>
          <w:rFonts w:hint="cs"/>
          <w:b/>
          <w:bCs/>
          <w:sz w:val="28"/>
          <w:szCs w:val="28"/>
          <w:rtl/>
        </w:rPr>
        <w:t>[מהגוף]</w:t>
      </w:r>
      <w:r w:rsidR="0099644D">
        <w:rPr>
          <w:rFonts w:hint="cs"/>
          <w:b/>
          <w:bCs/>
          <w:sz w:val="28"/>
          <w:szCs w:val="28"/>
          <w:rtl/>
        </w:rPr>
        <w:t xml:space="preserve"> נקרא 'טבע', </w:t>
      </w:r>
      <w:r w:rsidR="00464805">
        <w:rPr>
          <w:rFonts w:hint="cs"/>
          <w:b/>
          <w:bCs/>
          <w:sz w:val="28"/>
          <w:szCs w:val="28"/>
          <w:rtl/>
        </w:rPr>
        <w:t>ו</w:t>
      </w:r>
      <w:r w:rsidR="00432509">
        <w:rPr>
          <w:rFonts w:hint="cs"/>
          <w:b/>
          <w:bCs/>
          <w:sz w:val="28"/>
          <w:szCs w:val="28"/>
          <w:rtl/>
        </w:rPr>
        <w:t>מה ש</w:t>
      </w:r>
      <w:r w:rsidR="00464805">
        <w:rPr>
          <w:rFonts w:hint="cs"/>
          <w:b/>
          <w:bCs/>
          <w:sz w:val="28"/>
          <w:szCs w:val="28"/>
          <w:rtl/>
        </w:rPr>
        <w:t>ביחס ל</w:t>
      </w:r>
      <w:r w:rsidR="00596490">
        <w:rPr>
          <w:rFonts w:hint="cs"/>
          <w:b/>
          <w:bCs/>
          <w:sz w:val="28"/>
          <w:szCs w:val="28"/>
          <w:rtl/>
        </w:rPr>
        <w:t xml:space="preserve">העמדת </w:t>
      </w:r>
      <w:r w:rsidR="00394446">
        <w:rPr>
          <w:rFonts w:hint="cs"/>
          <w:b/>
          <w:bCs/>
          <w:sz w:val="28"/>
          <w:szCs w:val="28"/>
          <w:rtl/>
        </w:rPr>
        <w:t>ה</w:t>
      </w:r>
      <w:r w:rsidR="00D45E82">
        <w:rPr>
          <w:rFonts w:hint="cs"/>
          <w:b/>
          <w:bCs/>
          <w:sz w:val="28"/>
          <w:szCs w:val="28"/>
          <w:rtl/>
        </w:rPr>
        <w:t>מין</w:t>
      </w:r>
      <w:r w:rsidR="00854B82">
        <w:rPr>
          <w:rStyle w:val="FootnoteReference"/>
          <w:b/>
          <w:bCs/>
          <w:sz w:val="28"/>
          <w:szCs w:val="28"/>
          <w:rtl/>
        </w:rPr>
        <w:footnoteReference w:id="488"/>
      </w:r>
      <w:r w:rsidR="00D45E82">
        <w:rPr>
          <w:rFonts w:hint="cs"/>
          <w:b/>
          <w:bCs/>
          <w:sz w:val="28"/>
          <w:szCs w:val="28"/>
          <w:rtl/>
        </w:rPr>
        <w:t xml:space="preserve"> </w:t>
      </w:r>
      <w:r w:rsidR="00802290">
        <w:rPr>
          <w:rFonts w:hint="cs"/>
          <w:b/>
          <w:bCs/>
          <w:sz w:val="28"/>
          <w:szCs w:val="28"/>
          <w:rtl/>
        </w:rPr>
        <w:t xml:space="preserve">של </w:t>
      </w:r>
      <w:r w:rsidR="00106657">
        <w:rPr>
          <w:rFonts w:hint="cs"/>
          <w:b/>
          <w:bCs/>
          <w:sz w:val="28"/>
          <w:szCs w:val="28"/>
          <w:rtl/>
        </w:rPr>
        <w:t>'</w:t>
      </w:r>
      <w:r w:rsidR="00802290">
        <w:rPr>
          <w:rFonts w:hint="cs"/>
          <w:b/>
          <w:bCs/>
          <w:sz w:val="28"/>
          <w:szCs w:val="28"/>
          <w:rtl/>
        </w:rPr>
        <w:t>מים</w:t>
      </w:r>
      <w:r w:rsidR="00106657">
        <w:rPr>
          <w:rFonts w:hint="cs"/>
          <w:b/>
          <w:bCs/>
          <w:sz w:val="28"/>
          <w:szCs w:val="28"/>
          <w:rtl/>
        </w:rPr>
        <w:t>'</w:t>
      </w:r>
      <w:r w:rsidR="005060A3">
        <w:rPr>
          <w:rFonts w:hint="cs"/>
          <w:b/>
          <w:bCs/>
          <w:sz w:val="28"/>
          <w:szCs w:val="28"/>
          <w:rtl/>
        </w:rPr>
        <w:t xml:space="preserve"> </w:t>
      </w:r>
      <w:r w:rsidR="0048338A">
        <w:rPr>
          <w:rFonts w:hint="cs"/>
          <w:b/>
          <w:bCs/>
          <w:sz w:val="28"/>
          <w:szCs w:val="28"/>
          <w:rtl/>
        </w:rPr>
        <w:t>בלי להתחשב ב</w:t>
      </w:r>
      <w:r w:rsidR="00B94ABC">
        <w:rPr>
          <w:rFonts w:hint="cs"/>
          <w:b/>
          <w:bCs/>
          <w:sz w:val="28"/>
          <w:szCs w:val="28"/>
          <w:rtl/>
        </w:rPr>
        <w:t xml:space="preserve">מה שנובע מהם </w:t>
      </w:r>
      <w:r w:rsidR="00045CF2">
        <w:rPr>
          <w:rFonts w:hint="cs"/>
          <w:b/>
          <w:bCs/>
          <w:sz w:val="28"/>
          <w:szCs w:val="28"/>
          <w:rtl/>
        </w:rPr>
        <w:t>מ</w:t>
      </w:r>
      <w:r w:rsidR="00B3624A">
        <w:rPr>
          <w:rFonts w:hint="cs"/>
          <w:b/>
          <w:bCs/>
          <w:sz w:val="28"/>
          <w:szCs w:val="28"/>
          <w:rtl/>
        </w:rPr>
        <w:t>ה</w:t>
      </w:r>
      <w:r w:rsidR="00AB3C30">
        <w:rPr>
          <w:rFonts w:hint="cs"/>
          <w:b/>
          <w:bCs/>
          <w:sz w:val="28"/>
          <w:szCs w:val="28"/>
          <w:rtl/>
        </w:rPr>
        <w:t>השפעות</w:t>
      </w:r>
      <w:r w:rsidR="0071686F">
        <w:rPr>
          <w:rStyle w:val="FootnoteReference"/>
          <w:b/>
          <w:bCs/>
          <w:sz w:val="28"/>
          <w:szCs w:val="28"/>
          <w:rtl/>
        </w:rPr>
        <w:footnoteReference w:id="489"/>
      </w:r>
      <w:r w:rsidR="00045CF2">
        <w:rPr>
          <w:rFonts w:hint="cs"/>
          <w:b/>
          <w:bCs/>
          <w:sz w:val="28"/>
          <w:szCs w:val="28"/>
          <w:rtl/>
        </w:rPr>
        <w:t xml:space="preserve"> והתנועות </w:t>
      </w:r>
      <w:r w:rsidR="006E7C4E">
        <w:rPr>
          <w:rFonts w:hint="cs"/>
          <w:b/>
          <w:bCs/>
          <w:sz w:val="28"/>
          <w:szCs w:val="28"/>
          <w:rtl/>
        </w:rPr>
        <w:t xml:space="preserve">נקרא </w:t>
      </w:r>
      <w:r w:rsidR="007711F2">
        <w:rPr>
          <w:rFonts w:hint="cs"/>
          <w:b/>
          <w:bCs/>
          <w:sz w:val="28"/>
          <w:szCs w:val="28"/>
          <w:rtl/>
        </w:rPr>
        <w:t>'צורה'</w:t>
      </w:r>
      <w:r w:rsidR="00962EAD">
        <w:rPr>
          <w:rStyle w:val="FootnoteReference"/>
          <w:b/>
          <w:bCs/>
          <w:sz w:val="28"/>
          <w:szCs w:val="28"/>
          <w:rtl/>
        </w:rPr>
        <w:footnoteReference w:id="490"/>
      </w:r>
      <w:r w:rsidR="007711F2">
        <w:rPr>
          <w:rFonts w:hint="cs"/>
          <w:b/>
          <w:bCs/>
          <w:sz w:val="28"/>
          <w:szCs w:val="28"/>
          <w:rtl/>
        </w:rPr>
        <w:t>.</w:t>
      </w:r>
      <w:r w:rsidR="007D334A">
        <w:rPr>
          <w:rFonts w:hint="cs"/>
          <w:b/>
          <w:bCs/>
          <w:sz w:val="28"/>
          <w:szCs w:val="28"/>
          <w:rtl/>
        </w:rPr>
        <w:t xml:space="preserve"> וצורת המים</w:t>
      </w:r>
      <w:r w:rsidR="00143756">
        <w:rPr>
          <w:rFonts w:hint="cs"/>
          <w:b/>
          <w:bCs/>
          <w:sz w:val="28"/>
          <w:szCs w:val="28"/>
          <w:rtl/>
        </w:rPr>
        <w:t xml:space="preserve"> משולה</w:t>
      </w:r>
      <w:r w:rsidR="00BC0389">
        <w:rPr>
          <w:rFonts w:hint="cs"/>
          <w:b/>
          <w:bCs/>
          <w:sz w:val="28"/>
          <w:szCs w:val="28"/>
          <w:rtl/>
        </w:rPr>
        <w:t xml:space="preserve"> </w:t>
      </w:r>
      <w:r w:rsidR="00143756">
        <w:rPr>
          <w:rFonts w:hint="cs"/>
          <w:b/>
          <w:bCs/>
          <w:sz w:val="28"/>
          <w:szCs w:val="28"/>
          <w:rtl/>
        </w:rPr>
        <w:t>ל</w:t>
      </w:r>
      <w:r w:rsidR="00404CAE">
        <w:rPr>
          <w:rFonts w:hint="cs"/>
          <w:b/>
          <w:bCs/>
          <w:sz w:val="28"/>
          <w:szCs w:val="28"/>
          <w:rtl/>
        </w:rPr>
        <w:t>כח שמ</w:t>
      </w:r>
      <w:r w:rsidR="00AF4377">
        <w:rPr>
          <w:rFonts w:hint="cs"/>
          <w:b/>
          <w:bCs/>
          <w:sz w:val="28"/>
          <w:szCs w:val="28"/>
          <w:rtl/>
        </w:rPr>
        <w:t xml:space="preserve">עמיד </w:t>
      </w:r>
      <w:r w:rsidR="00256081">
        <w:rPr>
          <w:rFonts w:hint="cs"/>
          <w:b/>
          <w:bCs/>
          <w:sz w:val="28"/>
          <w:szCs w:val="28"/>
          <w:rtl/>
        </w:rPr>
        <w:t>את ההיולי על מין המים</w:t>
      </w:r>
      <w:r w:rsidR="00143756">
        <w:rPr>
          <w:rStyle w:val="FootnoteReference"/>
          <w:b/>
          <w:bCs/>
          <w:sz w:val="28"/>
          <w:szCs w:val="28"/>
          <w:rtl/>
        </w:rPr>
        <w:footnoteReference w:id="491"/>
      </w:r>
      <w:r w:rsidR="00256081">
        <w:rPr>
          <w:rFonts w:hint="cs"/>
          <w:b/>
          <w:bCs/>
          <w:sz w:val="28"/>
          <w:szCs w:val="28"/>
          <w:rtl/>
        </w:rPr>
        <w:t xml:space="preserve">, </w:t>
      </w:r>
      <w:r w:rsidR="00AD7C7C">
        <w:rPr>
          <w:rFonts w:hint="cs"/>
          <w:b/>
          <w:bCs/>
          <w:sz w:val="28"/>
          <w:szCs w:val="28"/>
          <w:rtl/>
        </w:rPr>
        <w:t xml:space="preserve">וזה אינו מוחשי, </w:t>
      </w:r>
      <w:r w:rsidR="007F7C44">
        <w:rPr>
          <w:rFonts w:hint="cs"/>
          <w:b/>
          <w:bCs/>
          <w:sz w:val="28"/>
          <w:szCs w:val="28"/>
          <w:rtl/>
        </w:rPr>
        <w:t>ומזה נובעות ה</w:t>
      </w:r>
      <w:r w:rsidR="00445167">
        <w:rPr>
          <w:rFonts w:hint="cs"/>
          <w:b/>
          <w:bCs/>
          <w:sz w:val="28"/>
          <w:szCs w:val="28"/>
          <w:rtl/>
        </w:rPr>
        <w:t>ה</w:t>
      </w:r>
      <w:r w:rsidR="007F7C44">
        <w:rPr>
          <w:rFonts w:hint="cs"/>
          <w:b/>
          <w:bCs/>
          <w:sz w:val="28"/>
          <w:szCs w:val="28"/>
          <w:rtl/>
        </w:rPr>
        <w:t>שפעות המוחשיות</w:t>
      </w:r>
      <w:r w:rsidR="00197F00">
        <w:rPr>
          <w:rStyle w:val="FootnoteReference"/>
          <w:b/>
          <w:bCs/>
          <w:sz w:val="28"/>
          <w:szCs w:val="28"/>
          <w:rtl/>
        </w:rPr>
        <w:footnoteReference w:id="492"/>
      </w:r>
      <w:r w:rsidR="00CF49F8">
        <w:rPr>
          <w:rFonts w:hint="cs"/>
          <w:b/>
          <w:bCs/>
          <w:sz w:val="28"/>
          <w:szCs w:val="28"/>
          <w:rtl/>
        </w:rPr>
        <w:t>, מ</w:t>
      </w:r>
      <w:r w:rsidR="00C95A01">
        <w:rPr>
          <w:rFonts w:hint="cs"/>
          <w:b/>
          <w:bCs/>
          <w:sz w:val="28"/>
          <w:szCs w:val="28"/>
          <w:rtl/>
        </w:rPr>
        <w:t xml:space="preserve">הן </w:t>
      </w:r>
      <w:r w:rsidR="00CF49F8">
        <w:rPr>
          <w:rFonts w:hint="cs"/>
          <w:b/>
          <w:bCs/>
          <w:sz w:val="28"/>
          <w:szCs w:val="28"/>
          <w:rtl/>
        </w:rPr>
        <w:t xml:space="preserve">הקור המוחשי, והמשקל </w:t>
      </w:r>
      <w:r w:rsidR="004D4D9E">
        <w:rPr>
          <w:rFonts w:hint="cs"/>
          <w:b/>
          <w:bCs/>
          <w:sz w:val="28"/>
          <w:szCs w:val="28"/>
          <w:rtl/>
        </w:rPr>
        <w:t>שהוא ה</w:t>
      </w:r>
      <w:r w:rsidR="009260D6">
        <w:rPr>
          <w:rFonts w:hint="cs"/>
          <w:b/>
          <w:bCs/>
          <w:sz w:val="28"/>
          <w:szCs w:val="28"/>
          <w:rtl/>
        </w:rPr>
        <w:t>'</w:t>
      </w:r>
      <w:r w:rsidR="004D4D9E">
        <w:rPr>
          <w:rFonts w:hint="cs"/>
          <w:b/>
          <w:bCs/>
          <w:sz w:val="28"/>
          <w:szCs w:val="28"/>
          <w:rtl/>
        </w:rPr>
        <w:t>דחף</w:t>
      </w:r>
      <w:r w:rsidR="009260D6">
        <w:rPr>
          <w:rFonts w:hint="cs"/>
          <w:b/>
          <w:bCs/>
          <w:sz w:val="28"/>
          <w:szCs w:val="28"/>
          <w:rtl/>
        </w:rPr>
        <w:t>'</w:t>
      </w:r>
      <w:r w:rsidR="009260D6">
        <w:rPr>
          <w:rStyle w:val="FootnoteReference"/>
          <w:b/>
          <w:bCs/>
          <w:sz w:val="28"/>
          <w:szCs w:val="28"/>
          <w:rtl/>
        </w:rPr>
        <w:footnoteReference w:id="493"/>
      </w:r>
      <w:bookmarkStart w:id="243" w:name="_Hlk103893042"/>
      <w:r w:rsidR="004D4D9E">
        <w:rPr>
          <w:rFonts w:hint="cs"/>
          <w:b/>
          <w:bCs/>
          <w:sz w:val="28"/>
          <w:szCs w:val="28"/>
          <w:rtl/>
        </w:rPr>
        <w:t xml:space="preserve"> </w:t>
      </w:r>
      <w:r w:rsidR="009260D6" w:rsidRPr="009260D6">
        <w:rPr>
          <w:b/>
          <w:bCs/>
          <w:sz w:val="28"/>
          <w:szCs w:val="28"/>
          <w:rtl/>
        </w:rPr>
        <w:t>בְּפוֹעַל</w:t>
      </w:r>
      <w:bookmarkEnd w:id="243"/>
      <w:r w:rsidR="00C95A01">
        <w:rPr>
          <w:rFonts w:hint="cs"/>
          <w:b/>
          <w:bCs/>
          <w:sz w:val="28"/>
          <w:szCs w:val="28"/>
          <w:rtl/>
        </w:rPr>
        <w:t xml:space="preserve">, </w:t>
      </w:r>
      <w:r w:rsidR="008F360A">
        <w:rPr>
          <w:rFonts w:hint="cs"/>
          <w:b/>
          <w:bCs/>
          <w:sz w:val="28"/>
          <w:szCs w:val="28"/>
          <w:rtl/>
        </w:rPr>
        <w:t xml:space="preserve">שלא יהיה לגשם </w:t>
      </w:r>
      <w:r w:rsidR="007B446E">
        <w:rPr>
          <w:rFonts w:hint="cs"/>
          <w:b/>
          <w:bCs/>
          <w:sz w:val="28"/>
          <w:szCs w:val="28"/>
          <w:rtl/>
        </w:rPr>
        <w:t>כשהוא במקומו הטבעי</w:t>
      </w:r>
      <w:r w:rsidR="005A3DBD">
        <w:rPr>
          <w:rStyle w:val="FootnoteReference"/>
          <w:b/>
          <w:bCs/>
          <w:sz w:val="28"/>
          <w:szCs w:val="28"/>
          <w:rtl/>
        </w:rPr>
        <w:footnoteReference w:id="494"/>
      </w:r>
      <w:r w:rsidR="007B446E">
        <w:rPr>
          <w:rFonts w:hint="cs"/>
          <w:b/>
          <w:bCs/>
          <w:sz w:val="28"/>
          <w:szCs w:val="28"/>
          <w:rtl/>
        </w:rPr>
        <w:t>.</w:t>
      </w:r>
      <w:r w:rsidR="002F7DBE">
        <w:rPr>
          <w:rFonts w:hint="cs"/>
          <w:b/>
          <w:bCs/>
          <w:sz w:val="28"/>
          <w:szCs w:val="28"/>
          <w:rtl/>
        </w:rPr>
        <w:t xml:space="preserve"> ו</w:t>
      </w:r>
      <w:r w:rsidR="00D95C09">
        <w:rPr>
          <w:rFonts w:hint="cs"/>
          <w:b/>
          <w:bCs/>
          <w:sz w:val="28"/>
          <w:szCs w:val="28"/>
          <w:rtl/>
        </w:rPr>
        <w:t>ת</w:t>
      </w:r>
      <w:r w:rsidR="002F7DBE">
        <w:rPr>
          <w:rFonts w:hint="cs"/>
          <w:b/>
          <w:bCs/>
          <w:sz w:val="28"/>
          <w:szCs w:val="28"/>
          <w:rtl/>
        </w:rPr>
        <w:t>היה</w:t>
      </w:r>
      <w:r w:rsidR="001B7F5F" w:rsidRPr="001B7F5F">
        <w:rPr>
          <w:b/>
          <w:bCs/>
          <w:sz w:val="28"/>
          <w:szCs w:val="28"/>
          <w:rtl/>
        </w:rPr>
        <w:t xml:space="preserve"> </w:t>
      </w:r>
      <w:r w:rsidR="000C4B63">
        <w:rPr>
          <w:rFonts w:hint="cs"/>
          <w:b/>
          <w:bCs/>
          <w:sz w:val="28"/>
          <w:szCs w:val="28"/>
          <w:rtl/>
        </w:rPr>
        <w:t>פעולתו</w:t>
      </w:r>
      <w:r w:rsidR="008C1D21">
        <w:rPr>
          <w:rFonts w:hint="cs"/>
          <w:b/>
          <w:bCs/>
          <w:sz w:val="28"/>
          <w:szCs w:val="28"/>
          <w:rtl/>
        </w:rPr>
        <w:t xml:space="preserve"> [של הטבע]</w:t>
      </w:r>
      <w:r w:rsidR="000C4B63">
        <w:rPr>
          <w:rFonts w:hint="cs"/>
          <w:b/>
          <w:bCs/>
          <w:sz w:val="28"/>
          <w:szCs w:val="28"/>
          <w:rtl/>
        </w:rPr>
        <w:t xml:space="preserve"> </w:t>
      </w:r>
      <w:r w:rsidR="002B0100">
        <w:rPr>
          <w:rFonts w:hint="cs"/>
          <w:b/>
          <w:bCs/>
          <w:sz w:val="28"/>
          <w:szCs w:val="28"/>
          <w:rtl/>
        </w:rPr>
        <w:t xml:space="preserve">משולה </w:t>
      </w:r>
      <w:r w:rsidR="00D57030">
        <w:rPr>
          <w:rFonts w:hint="cs"/>
          <w:b/>
          <w:bCs/>
          <w:sz w:val="28"/>
          <w:szCs w:val="28"/>
          <w:rtl/>
        </w:rPr>
        <w:t xml:space="preserve">כמו </w:t>
      </w:r>
      <w:r w:rsidR="002B0100">
        <w:rPr>
          <w:rFonts w:hint="cs"/>
          <w:b/>
          <w:bCs/>
          <w:sz w:val="28"/>
          <w:szCs w:val="28"/>
          <w:rtl/>
        </w:rPr>
        <w:t>הייתה בתוך</w:t>
      </w:r>
      <w:r w:rsidR="000C4B63">
        <w:rPr>
          <w:rFonts w:hint="cs"/>
          <w:b/>
          <w:bCs/>
          <w:sz w:val="28"/>
          <w:szCs w:val="28"/>
          <w:rtl/>
        </w:rPr>
        <w:t xml:space="preserve"> עצם המים</w:t>
      </w:r>
      <w:r w:rsidR="006A7BA9">
        <w:rPr>
          <w:rStyle w:val="FootnoteReference"/>
          <w:b/>
          <w:bCs/>
          <w:sz w:val="28"/>
          <w:szCs w:val="28"/>
          <w:rtl/>
        </w:rPr>
        <w:footnoteReference w:id="495"/>
      </w:r>
      <w:r w:rsidR="000C4B63">
        <w:rPr>
          <w:rFonts w:hint="cs"/>
          <w:b/>
          <w:bCs/>
          <w:sz w:val="28"/>
          <w:szCs w:val="28"/>
          <w:rtl/>
        </w:rPr>
        <w:t xml:space="preserve">, </w:t>
      </w:r>
      <w:r w:rsidR="00807362">
        <w:rPr>
          <w:rFonts w:hint="cs"/>
          <w:b/>
          <w:bCs/>
          <w:sz w:val="28"/>
          <w:szCs w:val="28"/>
          <w:rtl/>
        </w:rPr>
        <w:t>לגבי</w:t>
      </w:r>
      <w:r w:rsidR="00E01FAE">
        <w:rPr>
          <w:rFonts w:hint="cs"/>
          <w:b/>
          <w:bCs/>
          <w:sz w:val="28"/>
          <w:szCs w:val="28"/>
          <w:rtl/>
        </w:rPr>
        <w:t xml:space="preserve"> מה שביחס </w:t>
      </w:r>
      <w:r w:rsidR="00231FB0">
        <w:rPr>
          <w:rFonts w:hint="cs"/>
          <w:b/>
          <w:bCs/>
          <w:sz w:val="28"/>
          <w:szCs w:val="28"/>
          <w:rtl/>
        </w:rPr>
        <w:t>ל</w:t>
      </w:r>
      <w:r w:rsidR="00A2197D">
        <w:rPr>
          <w:rFonts w:hint="cs"/>
          <w:b/>
          <w:bCs/>
          <w:sz w:val="28"/>
          <w:szCs w:val="28"/>
          <w:rtl/>
        </w:rPr>
        <w:t>מושפעים</w:t>
      </w:r>
      <w:r w:rsidR="00CA21B9">
        <w:rPr>
          <w:rFonts w:hint="cs"/>
          <w:b/>
          <w:bCs/>
          <w:sz w:val="28"/>
          <w:szCs w:val="28"/>
          <w:rtl/>
        </w:rPr>
        <w:t xml:space="preserve"> </w:t>
      </w:r>
      <w:r w:rsidR="00E9594C">
        <w:rPr>
          <w:rFonts w:hint="cs"/>
          <w:b/>
          <w:bCs/>
          <w:sz w:val="28"/>
          <w:szCs w:val="28"/>
          <w:rtl/>
        </w:rPr>
        <w:t xml:space="preserve">ממנו </w:t>
      </w:r>
      <w:r w:rsidR="007B1117">
        <w:rPr>
          <w:rFonts w:hint="cs"/>
          <w:b/>
          <w:bCs/>
          <w:sz w:val="28"/>
          <w:szCs w:val="28"/>
          <w:rtl/>
        </w:rPr>
        <w:t>ו</w:t>
      </w:r>
      <w:r w:rsidR="00E9594C">
        <w:rPr>
          <w:rFonts w:hint="cs"/>
          <w:b/>
          <w:bCs/>
          <w:sz w:val="28"/>
          <w:szCs w:val="28"/>
          <w:rtl/>
        </w:rPr>
        <w:t xml:space="preserve">הוא </w:t>
      </w:r>
      <w:r w:rsidR="00CA21B9">
        <w:rPr>
          <w:rFonts w:hint="cs"/>
          <w:b/>
          <w:bCs/>
          <w:sz w:val="28"/>
          <w:szCs w:val="28"/>
          <w:rtl/>
        </w:rPr>
        <w:t>הקור</w:t>
      </w:r>
      <w:r w:rsidR="00734F09">
        <w:rPr>
          <w:rFonts w:hint="cs"/>
          <w:b/>
          <w:bCs/>
          <w:sz w:val="28"/>
          <w:szCs w:val="28"/>
          <w:rtl/>
        </w:rPr>
        <w:t>,</w:t>
      </w:r>
      <w:r w:rsidR="00484C73">
        <w:rPr>
          <w:rFonts w:hint="cs"/>
          <w:b/>
          <w:bCs/>
          <w:sz w:val="28"/>
          <w:szCs w:val="28"/>
          <w:rtl/>
        </w:rPr>
        <w:t xml:space="preserve"> ו</w:t>
      </w:r>
      <w:r w:rsidR="00734F09">
        <w:rPr>
          <w:rFonts w:hint="cs"/>
          <w:b/>
          <w:bCs/>
          <w:sz w:val="28"/>
          <w:szCs w:val="28"/>
          <w:rtl/>
        </w:rPr>
        <w:t>לגבי</w:t>
      </w:r>
      <w:r w:rsidR="00484C73">
        <w:rPr>
          <w:rFonts w:hint="cs"/>
          <w:b/>
          <w:bCs/>
          <w:sz w:val="28"/>
          <w:szCs w:val="28"/>
          <w:rtl/>
        </w:rPr>
        <w:t xml:space="preserve"> מה שביחס ל</w:t>
      </w:r>
      <w:r w:rsidR="00D904F5">
        <w:rPr>
          <w:rFonts w:hint="cs"/>
          <w:b/>
          <w:bCs/>
          <w:sz w:val="28"/>
          <w:szCs w:val="28"/>
          <w:rtl/>
        </w:rPr>
        <w:t>השפעתו</w:t>
      </w:r>
      <w:r w:rsidR="004F2023">
        <w:rPr>
          <w:rFonts w:hint="cs"/>
          <w:b/>
          <w:bCs/>
          <w:sz w:val="28"/>
          <w:szCs w:val="28"/>
          <w:rtl/>
        </w:rPr>
        <w:t xml:space="preserve"> </w:t>
      </w:r>
      <w:r w:rsidR="00706A16">
        <w:rPr>
          <w:rFonts w:hint="cs"/>
          <w:b/>
          <w:bCs/>
          <w:sz w:val="28"/>
          <w:szCs w:val="28"/>
          <w:rtl/>
        </w:rPr>
        <w:t>שהיא</w:t>
      </w:r>
      <w:r w:rsidR="004F2023">
        <w:rPr>
          <w:rFonts w:hint="cs"/>
          <w:b/>
          <w:bCs/>
          <w:sz w:val="28"/>
          <w:szCs w:val="28"/>
          <w:rtl/>
        </w:rPr>
        <w:t xml:space="preserve"> </w:t>
      </w:r>
      <w:r w:rsidR="00513873">
        <w:rPr>
          <w:rFonts w:hint="cs"/>
          <w:b/>
          <w:bCs/>
          <w:sz w:val="28"/>
          <w:szCs w:val="28"/>
          <w:rtl/>
        </w:rPr>
        <w:t>ה</w:t>
      </w:r>
      <w:r w:rsidR="004F2023">
        <w:rPr>
          <w:rFonts w:hint="cs"/>
          <w:b/>
          <w:bCs/>
          <w:sz w:val="28"/>
          <w:szCs w:val="28"/>
          <w:rtl/>
        </w:rPr>
        <w:t xml:space="preserve">תואר </w:t>
      </w:r>
      <w:r w:rsidR="003612D4">
        <w:rPr>
          <w:rFonts w:hint="cs"/>
          <w:b/>
          <w:bCs/>
          <w:sz w:val="28"/>
          <w:szCs w:val="28"/>
          <w:rtl/>
        </w:rPr>
        <w:t>ו</w:t>
      </w:r>
      <w:r w:rsidR="00FB1A93">
        <w:rPr>
          <w:rFonts w:hint="cs"/>
          <w:b/>
          <w:bCs/>
          <w:sz w:val="28"/>
          <w:szCs w:val="28"/>
          <w:rtl/>
        </w:rPr>
        <w:t xml:space="preserve">הוא </w:t>
      </w:r>
      <w:r w:rsidR="004F2023">
        <w:rPr>
          <w:rFonts w:hint="cs"/>
          <w:b/>
          <w:bCs/>
          <w:sz w:val="28"/>
          <w:szCs w:val="28"/>
          <w:rtl/>
        </w:rPr>
        <w:t>הרטיבות</w:t>
      </w:r>
      <w:r w:rsidR="00E46953">
        <w:rPr>
          <w:rStyle w:val="FootnoteReference"/>
          <w:b/>
          <w:bCs/>
          <w:sz w:val="28"/>
          <w:szCs w:val="28"/>
          <w:rtl/>
        </w:rPr>
        <w:footnoteReference w:id="496"/>
      </w:r>
      <w:r w:rsidR="00E4548D">
        <w:rPr>
          <w:rFonts w:hint="cs"/>
          <w:b/>
          <w:bCs/>
          <w:sz w:val="28"/>
          <w:szCs w:val="28"/>
          <w:rtl/>
        </w:rPr>
        <w:t xml:space="preserve">, וביחס </w:t>
      </w:r>
      <w:r w:rsidR="00C67F3C">
        <w:rPr>
          <w:rFonts w:hint="cs"/>
          <w:b/>
          <w:bCs/>
          <w:sz w:val="28"/>
          <w:szCs w:val="28"/>
          <w:rtl/>
        </w:rPr>
        <w:t>אל המקום</w:t>
      </w:r>
      <w:r w:rsidR="00F14385">
        <w:rPr>
          <w:rFonts w:hint="cs"/>
          <w:b/>
          <w:bCs/>
          <w:sz w:val="28"/>
          <w:szCs w:val="28"/>
          <w:rtl/>
        </w:rPr>
        <w:t xml:space="preserve"> הקרוב </w:t>
      </w:r>
      <w:r w:rsidR="00F44E02">
        <w:rPr>
          <w:rFonts w:hint="cs"/>
          <w:b/>
          <w:bCs/>
          <w:sz w:val="28"/>
          <w:szCs w:val="28"/>
          <w:rtl/>
        </w:rPr>
        <w:t>וההנעה</w:t>
      </w:r>
      <w:r w:rsidR="008C1D21">
        <w:rPr>
          <w:rFonts w:hint="cs"/>
          <w:b/>
          <w:bCs/>
          <w:sz w:val="28"/>
          <w:szCs w:val="28"/>
          <w:rtl/>
        </w:rPr>
        <w:t>,</w:t>
      </w:r>
      <w:r w:rsidR="00F44E02">
        <w:rPr>
          <w:rFonts w:hint="cs"/>
          <w:b/>
          <w:bCs/>
          <w:sz w:val="28"/>
          <w:szCs w:val="28"/>
          <w:rtl/>
        </w:rPr>
        <w:t xml:space="preserve"> וביחס אל המקום </w:t>
      </w:r>
      <w:r w:rsidR="003E1011">
        <w:rPr>
          <w:rFonts w:hint="cs"/>
          <w:b/>
          <w:bCs/>
          <w:sz w:val="28"/>
          <w:szCs w:val="28"/>
          <w:rtl/>
        </w:rPr>
        <w:t xml:space="preserve">הראוי ואל המנוחה. </w:t>
      </w:r>
      <w:r w:rsidR="00C67F3C">
        <w:rPr>
          <w:rFonts w:hint="cs"/>
          <w:b/>
          <w:bCs/>
          <w:sz w:val="28"/>
          <w:szCs w:val="28"/>
          <w:rtl/>
        </w:rPr>
        <w:t xml:space="preserve"> </w:t>
      </w:r>
    </w:p>
    <w:p w14:paraId="36B93127" w14:textId="238B98AC" w:rsidR="0027549C" w:rsidRDefault="00C26AA3" w:rsidP="00AF63E4">
      <w:pPr>
        <w:pStyle w:val="FootnoteText"/>
        <w:rPr>
          <w:b/>
          <w:bCs/>
          <w:sz w:val="28"/>
          <w:szCs w:val="28"/>
          <w:rtl/>
        </w:rPr>
      </w:pPr>
      <w:r>
        <w:rPr>
          <w:rFonts w:hint="cs"/>
          <w:b/>
          <w:bCs/>
          <w:sz w:val="28"/>
          <w:szCs w:val="28"/>
          <w:rtl/>
        </w:rPr>
        <w:t xml:space="preserve">והקור והרטיבות האלה </w:t>
      </w:r>
      <w:r w:rsidR="009E4111">
        <w:rPr>
          <w:rFonts w:hint="cs"/>
          <w:b/>
          <w:bCs/>
          <w:sz w:val="28"/>
          <w:szCs w:val="28"/>
          <w:rtl/>
        </w:rPr>
        <w:t>הם מקרים הכרחיים ל</w:t>
      </w:r>
      <w:r w:rsidR="006A4C51">
        <w:rPr>
          <w:rFonts w:hint="cs"/>
          <w:b/>
          <w:bCs/>
          <w:sz w:val="28"/>
          <w:szCs w:val="28"/>
          <w:rtl/>
        </w:rPr>
        <w:t>טבע הזה</w:t>
      </w:r>
      <w:r w:rsidR="00565D86">
        <w:rPr>
          <w:rFonts w:hint="cs"/>
          <w:b/>
          <w:bCs/>
          <w:sz w:val="28"/>
          <w:szCs w:val="28"/>
          <w:rtl/>
        </w:rPr>
        <w:t xml:space="preserve">, אם </w:t>
      </w:r>
      <w:r w:rsidR="00BF305D">
        <w:rPr>
          <w:rFonts w:hint="cs"/>
          <w:b/>
          <w:bCs/>
          <w:sz w:val="28"/>
          <w:szCs w:val="28"/>
          <w:rtl/>
        </w:rPr>
        <w:t>אין שם</w:t>
      </w:r>
      <w:r w:rsidR="00565D86">
        <w:rPr>
          <w:rFonts w:hint="cs"/>
          <w:b/>
          <w:bCs/>
          <w:sz w:val="28"/>
          <w:szCs w:val="28"/>
          <w:rtl/>
        </w:rPr>
        <w:t xml:space="preserve"> </w:t>
      </w:r>
      <w:r w:rsidR="002E0165" w:rsidRPr="002E0165">
        <w:rPr>
          <w:b/>
          <w:bCs/>
          <w:sz w:val="28"/>
          <w:szCs w:val="28"/>
          <w:rtl/>
        </w:rPr>
        <w:t>מוֹנֵעַ</w:t>
      </w:r>
      <w:r w:rsidR="006A4C51">
        <w:rPr>
          <w:rFonts w:hint="cs"/>
          <w:b/>
          <w:bCs/>
          <w:sz w:val="28"/>
          <w:szCs w:val="28"/>
          <w:rtl/>
        </w:rPr>
        <w:t>.</w:t>
      </w:r>
      <w:r w:rsidR="00922317">
        <w:rPr>
          <w:rFonts w:hint="cs"/>
          <w:b/>
          <w:bCs/>
          <w:sz w:val="28"/>
          <w:szCs w:val="28"/>
          <w:rtl/>
        </w:rPr>
        <w:t xml:space="preserve"> </w:t>
      </w:r>
      <w:r w:rsidR="00BF305D">
        <w:rPr>
          <w:rFonts w:hint="cs"/>
          <w:b/>
          <w:bCs/>
          <w:sz w:val="28"/>
          <w:szCs w:val="28"/>
          <w:rtl/>
        </w:rPr>
        <w:t>ו</w:t>
      </w:r>
      <w:r w:rsidR="00922317">
        <w:rPr>
          <w:rFonts w:hint="cs"/>
          <w:b/>
          <w:bCs/>
          <w:sz w:val="28"/>
          <w:szCs w:val="28"/>
          <w:rtl/>
        </w:rPr>
        <w:t xml:space="preserve">לא כל המקרים </w:t>
      </w:r>
      <w:r w:rsidR="00FD56E2">
        <w:rPr>
          <w:rFonts w:hint="cs"/>
          <w:b/>
          <w:bCs/>
          <w:sz w:val="28"/>
          <w:szCs w:val="28"/>
          <w:rtl/>
        </w:rPr>
        <w:t xml:space="preserve">הם מטבע הצורה </w:t>
      </w:r>
      <w:r w:rsidR="0072758A">
        <w:rPr>
          <w:rFonts w:hint="cs"/>
          <w:b/>
          <w:bCs/>
          <w:sz w:val="28"/>
          <w:szCs w:val="28"/>
          <w:rtl/>
        </w:rPr>
        <w:t>ש</w:t>
      </w:r>
      <w:r w:rsidR="00823F39">
        <w:rPr>
          <w:rFonts w:hint="cs"/>
          <w:b/>
          <w:bCs/>
          <w:sz w:val="28"/>
          <w:szCs w:val="28"/>
          <w:rtl/>
        </w:rPr>
        <w:t>ב</w:t>
      </w:r>
      <w:r w:rsidR="0072758A">
        <w:rPr>
          <w:rFonts w:hint="cs"/>
          <w:b/>
          <w:bCs/>
          <w:sz w:val="28"/>
          <w:szCs w:val="28"/>
          <w:rtl/>
        </w:rPr>
        <w:t>גשם</w:t>
      </w:r>
      <w:r w:rsidR="003778A4">
        <w:rPr>
          <w:rFonts w:hint="cs"/>
          <w:b/>
          <w:bCs/>
          <w:sz w:val="28"/>
          <w:szCs w:val="28"/>
          <w:rtl/>
        </w:rPr>
        <w:t>,</w:t>
      </w:r>
      <w:r w:rsidR="0072758A">
        <w:rPr>
          <w:rFonts w:hint="cs"/>
          <w:b/>
          <w:bCs/>
          <w:sz w:val="28"/>
          <w:szCs w:val="28"/>
          <w:rtl/>
        </w:rPr>
        <w:t xml:space="preserve"> </w:t>
      </w:r>
      <w:r w:rsidR="002C35B5">
        <w:rPr>
          <w:rFonts w:hint="cs"/>
          <w:b/>
          <w:bCs/>
          <w:sz w:val="28"/>
          <w:szCs w:val="28"/>
          <w:rtl/>
        </w:rPr>
        <w:t>אלא אפשר ש</w:t>
      </w:r>
      <w:r w:rsidR="00487FDD">
        <w:rPr>
          <w:rFonts w:hint="cs"/>
          <w:b/>
          <w:bCs/>
          <w:sz w:val="28"/>
          <w:szCs w:val="28"/>
          <w:rtl/>
        </w:rPr>
        <w:t xml:space="preserve">הצורה היא משהו שמכין את החומר </w:t>
      </w:r>
      <w:r w:rsidR="00092C41">
        <w:rPr>
          <w:rFonts w:hint="cs"/>
          <w:b/>
          <w:bCs/>
          <w:sz w:val="28"/>
          <w:szCs w:val="28"/>
          <w:rtl/>
        </w:rPr>
        <w:t>שיתפעל</w:t>
      </w:r>
      <w:r w:rsidR="00443478">
        <w:rPr>
          <w:rFonts w:hint="cs"/>
          <w:b/>
          <w:bCs/>
          <w:sz w:val="28"/>
          <w:szCs w:val="28"/>
          <w:rtl/>
        </w:rPr>
        <w:t xml:space="preserve"> מסיבה </w:t>
      </w:r>
      <w:r w:rsidR="002D0524">
        <w:rPr>
          <w:rFonts w:hint="cs"/>
          <w:b/>
          <w:bCs/>
          <w:sz w:val="28"/>
          <w:szCs w:val="28"/>
          <w:rtl/>
        </w:rPr>
        <w:t>חיצוני</w:t>
      </w:r>
      <w:r w:rsidR="00FB6EC1">
        <w:rPr>
          <w:rFonts w:hint="cs"/>
          <w:b/>
          <w:bCs/>
          <w:sz w:val="28"/>
          <w:szCs w:val="28"/>
          <w:rtl/>
        </w:rPr>
        <w:t>ת</w:t>
      </w:r>
      <w:r w:rsidR="002D0524">
        <w:rPr>
          <w:rFonts w:hint="cs"/>
          <w:b/>
          <w:bCs/>
          <w:sz w:val="28"/>
          <w:szCs w:val="28"/>
          <w:rtl/>
        </w:rPr>
        <w:t xml:space="preserve"> </w:t>
      </w:r>
      <w:r w:rsidR="00B43759">
        <w:rPr>
          <w:rFonts w:hint="cs"/>
          <w:b/>
          <w:bCs/>
          <w:sz w:val="28"/>
          <w:szCs w:val="28"/>
          <w:rtl/>
        </w:rPr>
        <w:t>שתקרה</w:t>
      </w:r>
      <w:r w:rsidR="002D0524">
        <w:rPr>
          <w:rFonts w:hint="cs"/>
          <w:b/>
          <w:bCs/>
          <w:sz w:val="28"/>
          <w:szCs w:val="28"/>
          <w:rtl/>
        </w:rPr>
        <w:t>,</w:t>
      </w:r>
      <w:r w:rsidR="00DB3BE9">
        <w:rPr>
          <w:rFonts w:hint="cs"/>
          <w:b/>
          <w:bCs/>
          <w:sz w:val="28"/>
          <w:szCs w:val="28"/>
          <w:rtl/>
        </w:rPr>
        <w:t xml:space="preserve"> כמו </w:t>
      </w:r>
      <w:r w:rsidR="00726EB0">
        <w:rPr>
          <w:rFonts w:hint="cs"/>
          <w:b/>
          <w:bCs/>
          <w:sz w:val="28"/>
          <w:szCs w:val="28"/>
          <w:rtl/>
        </w:rPr>
        <w:t xml:space="preserve">שהוא מוכן </w:t>
      </w:r>
      <w:r w:rsidR="006C0503">
        <w:rPr>
          <w:rFonts w:hint="cs"/>
          <w:b/>
          <w:bCs/>
          <w:sz w:val="28"/>
          <w:szCs w:val="28"/>
          <w:rtl/>
        </w:rPr>
        <w:t>לקבל את המקרים המלאכותיים</w:t>
      </w:r>
      <w:r w:rsidR="00593BB6">
        <w:rPr>
          <w:rFonts w:hint="cs"/>
          <w:b/>
          <w:bCs/>
          <w:sz w:val="28"/>
          <w:szCs w:val="28"/>
          <w:rtl/>
        </w:rPr>
        <w:t xml:space="preserve"> והרבה מהמקרים הטבעיים</w:t>
      </w:r>
      <w:r w:rsidR="0027549C">
        <w:rPr>
          <w:rStyle w:val="FootnoteReference"/>
          <w:b/>
          <w:bCs/>
          <w:sz w:val="28"/>
          <w:szCs w:val="28"/>
          <w:rtl/>
        </w:rPr>
        <w:footnoteReference w:id="497"/>
      </w:r>
      <w:r w:rsidR="00593BB6">
        <w:rPr>
          <w:rFonts w:hint="cs"/>
          <w:b/>
          <w:bCs/>
          <w:sz w:val="28"/>
          <w:szCs w:val="28"/>
          <w:rtl/>
        </w:rPr>
        <w:t>.</w:t>
      </w:r>
    </w:p>
    <w:p w14:paraId="73164F7E" w14:textId="34F35D9E" w:rsidR="00787A3B" w:rsidRPr="003F57B1" w:rsidRDefault="00787A3B" w:rsidP="003266A1">
      <w:pPr>
        <w:pStyle w:val="Heading4"/>
        <w:rPr>
          <w:rtl/>
        </w:rPr>
      </w:pPr>
      <w:bookmarkStart w:id="244" w:name="_Toc119092665"/>
      <w:r w:rsidRPr="003F57B1">
        <w:rPr>
          <w:rFonts w:hint="cs"/>
          <w:rtl/>
        </w:rPr>
        <w:t>1.6.3</w:t>
      </w:r>
      <w:bookmarkEnd w:id="244"/>
    </w:p>
    <w:p w14:paraId="2EE33A06" w14:textId="4A749BB0" w:rsidR="009C0032" w:rsidRDefault="003F57B1" w:rsidP="004C3F79">
      <w:pPr>
        <w:pStyle w:val="FootnoteText"/>
        <w:rPr>
          <w:b/>
          <w:bCs/>
          <w:sz w:val="28"/>
          <w:szCs w:val="28"/>
          <w:rtl/>
        </w:rPr>
      </w:pPr>
      <w:r>
        <w:rPr>
          <w:rFonts w:hint="cs"/>
          <w:b/>
          <w:bCs/>
          <w:sz w:val="28"/>
          <w:szCs w:val="28"/>
          <w:rtl/>
        </w:rPr>
        <w:t>ובאשר לגשמ</w:t>
      </w:r>
      <w:r w:rsidR="00F80682">
        <w:rPr>
          <w:rFonts w:hint="cs"/>
          <w:b/>
          <w:bCs/>
          <w:sz w:val="28"/>
          <w:szCs w:val="28"/>
          <w:rtl/>
        </w:rPr>
        <w:t>ים המורכבים</w:t>
      </w:r>
      <w:r w:rsidR="00536480">
        <w:rPr>
          <w:rFonts w:hint="cs"/>
          <w:b/>
          <w:bCs/>
          <w:sz w:val="28"/>
          <w:szCs w:val="28"/>
          <w:rtl/>
        </w:rPr>
        <w:t>,</w:t>
      </w:r>
      <w:r w:rsidR="00F80682">
        <w:rPr>
          <w:rFonts w:hint="cs"/>
          <w:b/>
          <w:bCs/>
          <w:sz w:val="28"/>
          <w:szCs w:val="28"/>
          <w:rtl/>
        </w:rPr>
        <w:t xml:space="preserve"> הטבע </w:t>
      </w:r>
      <w:r w:rsidR="00EF00E6">
        <w:rPr>
          <w:rFonts w:hint="cs"/>
          <w:b/>
          <w:bCs/>
          <w:sz w:val="28"/>
          <w:szCs w:val="28"/>
          <w:rtl/>
        </w:rPr>
        <w:t xml:space="preserve">שלהם </w:t>
      </w:r>
      <w:r w:rsidR="00516530">
        <w:rPr>
          <w:rFonts w:hint="cs"/>
          <w:b/>
          <w:bCs/>
          <w:sz w:val="28"/>
          <w:szCs w:val="28"/>
          <w:rtl/>
        </w:rPr>
        <w:t>ה</w:t>
      </w:r>
      <w:r w:rsidR="00EF00E6">
        <w:rPr>
          <w:rFonts w:hint="cs"/>
          <w:b/>
          <w:bCs/>
          <w:sz w:val="28"/>
          <w:szCs w:val="28"/>
          <w:rtl/>
        </w:rPr>
        <w:t>וא</w:t>
      </w:r>
      <w:r w:rsidR="00516530">
        <w:rPr>
          <w:rFonts w:hint="cs"/>
          <w:b/>
          <w:bCs/>
          <w:sz w:val="28"/>
          <w:szCs w:val="28"/>
          <w:rtl/>
        </w:rPr>
        <w:t xml:space="preserve"> </w:t>
      </w:r>
      <w:r w:rsidR="00F80682">
        <w:rPr>
          <w:rFonts w:hint="cs"/>
          <w:b/>
          <w:bCs/>
          <w:sz w:val="28"/>
          <w:szCs w:val="28"/>
          <w:rtl/>
        </w:rPr>
        <w:t>כ</w:t>
      </w:r>
      <w:r w:rsidR="000F3ABC">
        <w:rPr>
          <w:rFonts w:hint="cs"/>
          <w:b/>
          <w:bCs/>
          <w:sz w:val="28"/>
          <w:szCs w:val="28"/>
          <w:rtl/>
        </w:rPr>
        <w:t xml:space="preserve">מו </w:t>
      </w:r>
      <w:r w:rsidR="00F80682">
        <w:rPr>
          <w:rFonts w:hint="cs"/>
          <w:b/>
          <w:bCs/>
          <w:sz w:val="28"/>
          <w:szCs w:val="28"/>
          <w:rtl/>
        </w:rPr>
        <w:t xml:space="preserve">דבר </w:t>
      </w:r>
      <w:r w:rsidR="00AC2B2E">
        <w:rPr>
          <w:rFonts w:hint="cs"/>
          <w:b/>
          <w:bCs/>
          <w:sz w:val="28"/>
          <w:szCs w:val="28"/>
          <w:rtl/>
        </w:rPr>
        <w:t>שהוא מה</w:t>
      </w:r>
      <w:r w:rsidR="00F80682">
        <w:rPr>
          <w:rFonts w:hint="cs"/>
          <w:b/>
          <w:bCs/>
          <w:sz w:val="28"/>
          <w:szCs w:val="28"/>
          <w:rtl/>
        </w:rPr>
        <w:t>צורה ו</w:t>
      </w:r>
      <w:r w:rsidR="00555D2D">
        <w:rPr>
          <w:rFonts w:hint="cs"/>
          <w:b/>
          <w:bCs/>
          <w:sz w:val="28"/>
          <w:szCs w:val="28"/>
          <w:rtl/>
        </w:rPr>
        <w:t>אינו מעצ</w:t>
      </w:r>
      <w:r w:rsidR="00904FF7">
        <w:rPr>
          <w:rFonts w:hint="cs"/>
          <w:b/>
          <w:bCs/>
          <w:sz w:val="28"/>
          <w:szCs w:val="28"/>
          <w:rtl/>
        </w:rPr>
        <w:t xml:space="preserve">ם </w:t>
      </w:r>
      <w:r w:rsidR="005919D8">
        <w:rPr>
          <w:rFonts w:hint="cs"/>
          <w:b/>
          <w:bCs/>
          <w:sz w:val="28"/>
          <w:szCs w:val="28"/>
          <w:rtl/>
        </w:rPr>
        <w:t>ה</w:t>
      </w:r>
      <w:r w:rsidR="00F80682">
        <w:rPr>
          <w:rFonts w:hint="cs"/>
          <w:b/>
          <w:bCs/>
          <w:sz w:val="28"/>
          <w:szCs w:val="28"/>
          <w:rtl/>
        </w:rPr>
        <w:t>צורה</w:t>
      </w:r>
      <w:r w:rsidR="00525366">
        <w:rPr>
          <w:rFonts w:hint="cs"/>
          <w:b/>
          <w:bCs/>
          <w:sz w:val="28"/>
          <w:szCs w:val="28"/>
          <w:rtl/>
        </w:rPr>
        <w:t xml:space="preserve">, כי הגשמים המורכבים לא </w:t>
      </w:r>
      <w:r w:rsidR="00FE6EF3">
        <w:rPr>
          <w:rFonts w:hint="cs"/>
          <w:b/>
          <w:bCs/>
          <w:sz w:val="28"/>
          <w:szCs w:val="28"/>
          <w:rtl/>
        </w:rPr>
        <w:t>יהיו מה שהם על ידי</w:t>
      </w:r>
      <w:r w:rsidR="00516530">
        <w:rPr>
          <w:rFonts w:hint="cs"/>
          <w:b/>
          <w:bCs/>
          <w:sz w:val="28"/>
          <w:szCs w:val="28"/>
          <w:rtl/>
        </w:rPr>
        <w:t xml:space="preserve"> </w:t>
      </w:r>
      <w:proofErr w:type="spellStart"/>
      <w:r w:rsidR="001E3ECA">
        <w:rPr>
          <w:rFonts w:hint="cs"/>
          <w:b/>
          <w:bCs/>
          <w:sz w:val="28"/>
          <w:szCs w:val="28"/>
          <w:rtl/>
        </w:rPr>
        <w:t>ה</w:t>
      </w:r>
      <w:r w:rsidR="003B0EDA">
        <w:rPr>
          <w:rFonts w:hint="cs"/>
          <w:b/>
          <w:bCs/>
          <w:sz w:val="28"/>
          <w:szCs w:val="28"/>
          <w:rtl/>
        </w:rPr>
        <w:t>כח</w:t>
      </w:r>
      <w:proofErr w:type="spellEnd"/>
      <w:r w:rsidR="003B0EDA">
        <w:rPr>
          <w:rFonts w:hint="cs"/>
          <w:b/>
          <w:bCs/>
          <w:sz w:val="28"/>
          <w:szCs w:val="28"/>
          <w:rtl/>
        </w:rPr>
        <w:t xml:space="preserve"> </w:t>
      </w:r>
      <w:r w:rsidR="001E3ECA">
        <w:rPr>
          <w:rFonts w:hint="cs"/>
          <w:b/>
          <w:bCs/>
          <w:sz w:val="28"/>
          <w:szCs w:val="28"/>
          <w:rtl/>
        </w:rPr>
        <w:t>שהוא בעצמם</w:t>
      </w:r>
      <w:r w:rsidR="0087738F">
        <w:rPr>
          <w:rStyle w:val="FootnoteReference"/>
          <w:b/>
          <w:bCs/>
          <w:sz w:val="28"/>
          <w:szCs w:val="28"/>
          <w:rtl/>
        </w:rPr>
        <w:footnoteReference w:id="498"/>
      </w:r>
      <w:r w:rsidR="001E3ECA">
        <w:rPr>
          <w:rFonts w:hint="cs"/>
          <w:b/>
          <w:bCs/>
          <w:sz w:val="28"/>
          <w:szCs w:val="28"/>
          <w:rtl/>
        </w:rPr>
        <w:t xml:space="preserve"> ו</w:t>
      </w:r>
      <w:r w:rsidR="003B0EDA">
        <w:rPr>
          <w:rFonts w:hint="cs"/>
          <w:b/>
          <w:bCs/>
          <w:sz w:val="28"/>
          <w:szCs w:val="28"/>
          <w:rtl/>
        </w:rPr>
        <w:t>מניע</w:t>
      </w:r>
      <w:r w:rsidR="00CF0CCA">
        <w:rPr>
          <w:rFonts w:hint="cs"/>
          <w:b/>
          <w:bCs/>
          <w:sz w:val="28"/>
          <w:szCs w:val="28"/>
          <w:rtl/>
        </w:rPr>
        <w:t xml:space="preserve"> אותם </w:t>
      </w:r>
      <w:r w:rsidR="00516530">
        <w:rPr>
          <w:rFonts w:hint="cs"/>
          <w:b/>
          <w:bCs/>
          <w:sz w:val="28"/>
          <w:szCs w:val="28"/>
          <w:rtl/>
        </w:rPr>
        <w:t>לצד אחד</w:t>
      </w:r>
      <w:r w:rsidR="00555D2D">
        <w:rPr>
          <w:rStyle w:val="FootnoteReference"/>
          <w:b/>
          <w:bCs/>
          <w:sz w:val="28"/>
          <w:szCs w:val="28"/>
          <w:rtl/>
        </w:rPr>
        <w:footnoteReference w:id="499"/>
      </w:r>
      <w:r w:rsidR="005C3AB7">
        <w:rPr>
          <w:rFonts w:hint="cs"/>
          <w:b/>
          <w:bCs/>
          <w:sz w:val="28"/>
          <w:szCs w:val="28"/>
          <w:rtl/>
        </w:rPr>
        <w:t>;</w:t>
      </w:r>
      <w:r w:rsidR="003B0EDA">
        <w:rPr>
          <w:rFonts w:hint="cs"/>
          <w:b/>
          <w:bCs/>
          <w:sz w:val="28"/>
          <w:szCs w:val="28"/>
          <w:rtl/>
        </w:rPr>
        <w:t xml:space="preserve"> ואם </w:t>
      </w:r>
      <w:r w:rsidR="0010351F">
        <w:rPr>
          <w:rFonts w:hint="cs"/>
          <w:b/>
          <w:bCs/>
          <w:sz w:val="28"/>
          <w:szCs w:val="28"/>
          <w:rtl/>
        </w:rPr>
        <w:t xml:space="preserve">בלתי נמנע שיהיו מה שהם בכח זה, </w:t>
      </w:r>
      <w:r w:rsidR="00915C4F">
        <w:rPr>
          <w:rFonts w:hint="cs"/>
          <w:b/>
          <w:bCs/>
          <w:sz w:val="28"/>
          <w:szCs w:val="28"/>
          <w:rtl/>
        </w:rPr>
        <w:t xml:space="preserve">יהיה כח זה חלק מצורתם, </w:t>
      </w:r>
      <w:r w:rsidR="00CF0CCA">
        <w:rPr>
          <w:rFonts w:hint="cs"/>
          <w:b/>
          <w:bCs/>
          <w:sz w:val="28"/>
          <w:szCs w:val="28"/>
          <w:rtl/>
        </w:rPr>
        <w:t xml:space="preserve">ותהיה צורתם </w:t>
      </w:r>
      <w:r w:rsidR="001B1C88">
        <w:rPr>
          <w:rFonts w:hint="cs"/>
          <w:b/>
          <w:bCs/>
          <w:sz w:val="28"/>
          <w:szCs w:val="28"/>
          <w:rtl/>
        </w:rPr>
        <w:t xml:space="preserve">כלולה ממספר מובנים, </w:t>
      </w:r>
      <w:r w:rsidR="007B1F83">
        <w:rPr>
          <w:rFonts w:hint="cs"/>
          <w:b/>
          <w:bCs/>
          <w:sz w:val="28"/>
          <w:szCs w:val="28"/>
          <w:rtl/>
        </w:rPr>
        <w:t>ותהיה אחת</w:t>
      </w:r>
      <w:r w:rsidR="001B1C88">
        <w:rPr>
          <w:rFonts w:hint="cs"/>
          <w:b/>
          <w:bCs/>
          <w:sz w:val="28"/>
          <w:szCs w:val="28"/>
          <w:rtl/>
        </w:rPr>
        <w:t xml:space="preserve">. כמו </w:t>
      </w:r>
      <w:r w:rsidR="00740535">
        <w:rPr>
          <w:rFonts w:hint="cs"/>
          <w:b/>
          <w:bCs/>
          <w:sz w:val="28"/>
          <w:szCs w:val="28"/>
          <w:rtl/>
        </w:rPr>
        <w:t>בני האדם</w:t>
      </w:r>
      <w:r w:rsidR="001B1C88">
        <w:rPr>
          <w:rFonts w:hint="cs"/>
          <w:b/>
          <w:bCs/>
          <w:sz w:val="28"/>
          <w:szCs w:val="28"/>
          <w:rtl/>
        </w:rPr>
        <w:t xml:space="preserve"> </w:t>
      </w:r>
      <w:r w:rsidR="00F527B8">
        <w:rPr>
          <w:rFonts w:hint="cs"/>
          <w:b/>
          <w:bCs/>
          <w:sz w:val="28"/>
          <w:szCs w:val="28"/>
          <w:rtl/>
        </w:rPr>
        <w:t xml:space="preserve">שהם כוללים את כח הטבע </w:t>
      </w:r>
      <w:proofErr w:type="spellStart"/>
      <w:r w:rsidR="00F527B8">
        <w:rPr>
          <w:rFonts w:hint="cs"/>
          <w:b/>
          <w:bCs/>
          <w:sz w:val="28"/>
          <w:szCs w:val="28"/>
          <w:rtl/>
        </w:rPr>
        <w:t>וכח</w:t>
      </w:r>
      <w:proofErr w:type="spellEnd"/>
      <w:r w:rsidR="00F527B8">
        <w:rPr>
          <w:rFonts w:hint="cs"/>
          <w:b/>
          <w:bCs/>
          <w:sz w:val="28"/>
          <w:szCs w:val="28"/>
          <w:rtl/>
        </w:rPr>
        <w:t xml:space="preserve"> הנפש הצמחית והחיונית והשכלית. </w:t>
      </w:r>
      <w:r w:rsidR="00FC0677">
        <w:rPr>
          <w:rFonts w:hint="cs"/>
          <w:b/>
          <w:bCs/>
          <w:sz w:val="28"/>
          <w:szCs w:val="28"/>
          <w:rtl/>
        </w:rPr>
        <w:t xml:space="preserve">וכל המינים האלה נכללים </w:t>
      </w:r>
      <w:r w:rsidR="0005351D">
        <w:rPr>
          <w:rFonts w:hint="cs"/>
          <w:b/>
          <w:bCs/>
          <w:sz w:val="28"/>
          <w:szCs w:val="28"/>
          <w:rtl/>
        </w:rPr>
        <w:t>בכלל הנותן את המהות האנושית. ולגבי</w:t>
      </w:r>
      <w:r w:rsidR="00812C29">
        <w:rPr>
          <w:rFonts w:hint="cs"/>
          <w:b/>
          <w:bCs/>
          <w:sz w:val="28"/>
          <w:szCs w:val="28"/>
          <w:rtl/>
        </w:rPr>
        <w:t xml:space="preserve"> אופן הדרך של </w:t>
      </w:r>
      <w:proofErr w:type="spellStart"/>
      <w:r w:rsidR="00812C29">
        <w:rPr>
          <w:rFonts w:hint="cs"/>
          <w:b/>
          <w:bCs/>
          <w:sz w:val="28"/>
          <w:szCs w:val="28"/>
          <w:rtl/>
        </w:rPr>
        <w:t>ההתכללות</w:t>
      </w:r>
      <w:proofErr w:type="spellEnd"/>
      <w:r w:rsidR="00812C29">
        <w:rPr>
          <w:rFonts w:hint="cs"/>
          <w:b/>
          <w:bCs/>
          <w:sz w:val="28"/>
          <w:szCs w:val="28"/>
          <w:rtl/>
        </w:rPr>
        <w:t xml:space="preserve"> הזו, ראוי ש</w:t>
      </w:r>
      <w:r w:rsidR="00CD4400">
        <w:rPr>
          <w:rFonts w:hint="cs"/>
          <w:b/>
          <w:bCs/>
          <w:sz w:val="28"/>
          <w:szCs w:val="28"/>
          <w:rtl/>
        </w:rPr>
        <w:t>י</w:t>
      </w:r>
      <w:r w:rsidR="00812C29">
        <w:rPr>
          <w:rFonts w:hint="cs"/>
          <w:b/>
          <w:bCs/>
          <w:sz w:val="28"/>
          <w:szCs w:val="28"/>
          <w:rtl/>
        </w:rPr>
        <w:t>תבאר בפילוסופיה הראשונה</w:t>
      </w:r>
      <w:r w:rsidR="00812C29">
        <w:rPr>
          <w:rStyle w:val="FootnoteReference"/>
          <w:b/>
          <w:bCs/>
          <w:sz w:val="28"/>
          <w:szCs w:val="28"/>
          <w:rtl/>
        </w:rPr>
        <w:footnoteReference w:id="500"/>
      </w:r>
      <w:r w:rsidR="00812C29">
        <w:rPr>
          <w:rFonts w:hint="cs"/>
          <w:b/>
          <w:bCs/>
          <w:sz w:val="28"/>
          <w:szCs w:val="28"/>
          <w:rtl/>
        </w:rPr>
        <w:t>.</w:t>
      </w:r>
    </w:p>
    <w:p w14:paraId="4DF38E75" w14:textId="19C34DB1" w:rsidR="0052191B" w:rsidRDefault="00E94B0C" w:rsidP="004C3F79">
      <w:pPr>
        <w:pStyle w:val="FootnoteText"/>
        <w:rPr>
          <w:b/>
          <w:bCs/>
          <w:sz w:val="28"/>
          <w:szCs w:val="28"/>
          <w:rtl/>
        </w:rPr>
      </w:pPr>
      <w:r>
        <w:rPr>
          <w:rFonts w:hint="cs"/>
          <w:b/>
          <w:bCs/>
          <w:sz w:val="28"/>
          <w:szCs w:val="28"/>
          <w:rtl/>
        </w:rPr>
        <w:t>באמת</w:t>
      </w:r>
      <w:r w:rsidR="0052191B">
        <w:rPr>
          <w:rFonts w:hint="cs"/>
          <w:b/>
          <w:bCs/>
          <w:sz w:val="28"/>
          <w:szCs w:val="28"/>
          <w:rtl/>
        </w:rPr>
        <w:t xml:space="preserve">, על כל פנים, </w:t>
      </w:r>
      <w:r w:rsidR="00C56BF0">
        <w:rPr>
          <w:rFonts w:hint="cs"/>
          <w:b/>
          <w:bCs/>
          <w:sz w:val="28"/>
          <w:szCs w:val="28"/>
          <w:rtl/>
        </w:rPr>
        <w:t xml:space="preserve">אם </w:t>
      </w:r>
      <w:r>
        <w:rPr>
          <w:rFonts w:hint="cs"/>
          <w:b/>
          <w:bCs/>
          <w:sz w:val="28"/>
          <w:szCs w:val="28"/>
          <w:rtl/>
        </w:rPr>
        <w:t xml:space="preserve">המובן של טבע אינו זה שהגדרנו אותו, אלא כל </w:t>
      </w:r>
      <w:r w:rsidR="00C56BF0">
        <w:rPr>
          <w:rFonts w:hint="cs"/>
          <w:b/>
          <w:bCs/>
          <w:sz w:val="28"/>
          <w:szCs w:val="28"/>
          <w:rtl/>
        </w:rPr>
        <w:t xml:space="preserve">מה שנובעות ממנו פעולות של הדבר, </w:t>
      </w:r>
      <w:r w:rsidR="000B4BF5">
        <w:rPr>
          <w:rFonts w:hint="cs"/>
          <w:b/>
          <w:bCs/>
          <w:sz w:val="28"/>
          <w:szCs w:val="28"/>
          <w:rtl/>
        </w:rPr>
        <w:t>ב</w:t>
      </w:r>
      <w:r w:rsidR="008A76F8">
        <w:rPr>
          <w:rFonts w:hint="cs"/>
          <w:b/>
          <w:bCs/>
          <w:sz w:val="28"/>
          <w:szCs w:val="28"/>
          <w:rtl/>
        </w:rPr>
        <w:t>כל</w:t>
      </w:r>
      <w:r w:rsidR="001A6F48">
        <w:rPr>
          <w:rFonts w:hint="cs"/>
          <w:b/>
          <w:bCs/>
          <w:sz w:val="28"/>
          <w:szCs w:val="28"/>
          <w:rtl/>
        </w:rPr>
        <w:t xml:space="preserve"> אופן</w:t>
      </w:r>
      <w:r w:rsidR="000B4BF5">
        <w:rPr>
          <w:rFonts w:hint="cs"/>
          <w:b/>
          <w:bCs/>
          <w:sz w:val="28"/>
          <w:szCs w:val="28"/>
          <w:rtl/>
        </w:rPr>
        <w:t>,</w:t>
      </w:r>
      <w:r w:rsidR="001A6F48">
        <w:rPr>
          <w:rFonts w:hint="cs"/>
          <w:b/>
          <w:bCs/>
          <w:sz w:val="28"/>
          <w:szCs w:val="28"/>
          <w:rtl/>
        </w:rPr>
        <w:t xml:space="preserve"> יהיה לפי התנאי שהוזכר בטבע או לא</w:t>
      </w:r>
      <w:r w:rsidR="000B4BF5">
        <w:rPr>
          <w:rFonts w:hint="cs"/>
          <w:b/>
          <w:bCs/>
          <w:sz w:val="28"/>
          <w:szCs w:val="28"/>
          <w:rtl/>
        </w:rPr>
        <w:t xml:space="preserve"> יהיה</w:t>
      </w:r>
      <w:r w:rsidR="001A6F48">
        <w:rPr>
          <w:rFonts w:hint="cs"/>
          <w:b/>
          <w:bCs/>
          <w:sz w:val="28"/>
          <w:szCs w:val="28"/>
          <w:rtl/>
        </w:rPr>
        <w:t xml:space="preserve">, </w:t>
      </w:r>
      <w:r w:rsidR="000B4BF5">
        <w:rPr>
          <w:rFonts w:hint="cs"/>
          <w:b/>
          <w:bCs/>
          <w:sz w:val="28"/>
          <w:szCs w:val="28"/>
          <w:rtl/>
        </w:rPr>
        <w:t>אפשר שיהיה הטבע</w:t>
      </w:r>
      <w:r w:rsidR="00670A69">
        <w:rPr>
          <w:rFonts w:hint="cs"/>
          <w:b/>
          <w:bCs/>
          <w:sz w:val="28"/>
          <w:szCs w:val="28"/>
          <w:rtl/>
        </w:rPr>
        <w:t xml:space="preserve"> כל</w:t>
      </w:r>
      <w:r w:rsidR="000B4BF5">
        <w:rPr>
          <w:rFonts w:hint="cs"/>
          <w:b/>
          <w:bCs/>
          <w:sz w:val="28"/>
          <w:szCs w:val="28"/>
          <w:rtl/>
        </w:rPr>
        <w:t xml:space="preserve"> צורתו של הדבר. </w:t>
      </w:r>
      <w:r w:rsidR="00C56BF0">
        <w:rPr>
          <w:rFonts w:hint="cs"/>
          <w:b/>
          <w:bCs/>
          <w:sz w:val="28"/>
          <w:szCs w:val="28"/>
          <w:rtl/>
        </w:rPr>
        <w:t xml:space="preserve"> </w:t>
      </w:r>
    </w:p>
    <w:p w14:paraId="3FE2021B" w14:textId="00FD994E" w:rsidR="00C058DE" w:rsidRDefault="00915A45" w:rsidP="00AF63E4">
      <w:pPr>
        <w:pStyle w:val="FootnoteText"/>
        <w:rPr>
          <w:b/>
          <w:bCs/>
          <w:sz w:val="28"/>
          <w:szCs w:val="28"/>
          <w:rtl/>
        </w:rPr>
      </w:pPr>
      <w:r>
        <w:rPr>
          <w:rFonts w:hint="cs"/>
          <w:b/>
          <w:bCs/>
          <w:sz w:val="28"/>
          <w:szCs w:val="28"/>
          <w:rtl/>
        </w:rPr>
        <w:t>ועל כל פנים תכליתנו כאן היא ל</w:t>
      </w:r>
      <w:r w:rsidR="007C3582">
        <w:rPr>
          <w:rFonts w:hint="cs"/>
          <w:b/>
          <w:bCs/>
          <w:sz w:val="28"/>
          <w:szCs w:val="28"/>
          <w:rtl/>
        </w:rPr>
        <w:t>ברר</w:t>
      </w:r>
      <w:r>
        <w:rPr>
          <w:rFonts w:hint="cs"/>
          <w:b/>
          <w:bCs/>
          <w:sz w:val="28"/>
          <w:szCs w:val="28"/>
          <w:rtl/>
        </w:rPr>
        <w:t xml:space="preserve"> את המילה 'טבע' שהיא מה שהגדרנו</w:t>
      </w:r>
      <w:r w:rsidR="00FB3EE7">
        <w:rPr>
          <w:rStyle w:val="FootnoteReference"/>
          <w:b/>
          <w:bCs/>
          <w:sz w:val="28"/>
          <w:szCs w:val="28"/>
          <w:rtl/>
        </w:rPr>
        <w:footnoteReference w:id="501"/>
      </w:r>
      <w:r>
        <w:rPr>
          <w:rFonts w:hint="cs"/>
          <w:b/>
          <w:bCs/>
          <w:sz w:val="28"/>
          <w:szCs w:val="28"/>
          <w:rtl/>
        </w:rPr>
        <w:t xml:space="preserve">. </w:t>
      </w:r>
      <w:r w:rsidR="00DC38E0">
        <w:rPr>
          <w:rFonts w:hint="cs"/>
          <w:b/>
          <w:bCs/>
          <w:sz w:val="28"/>
          <w:szCs w:val="28"/>
          <w:rtl/>
        </w:rPr>
        <w:t xml:space="preserve"> </w:t>
      </w:r>
      <w:r w:rsidR="00F16E92">
        <w:rPr>
          <w:rFonts w:hint="cs"/>
          <w:b/>
          <w:bCs/>
          <w:sz w:val="28"/>
          <w:szCs w:val="28"/>
          <w:rtl/>
        </w:rPr>
        <w:t xml:space="preserve"> </w:t>
      </w:r>
      <w:r w:rsidR="008A35E2">
        <w:rPr>
          <w:rFonts w:hint="cs"/>
          <w:b/>
          <w:bCs/>
          <w:sz w:val="28"/>
          <w:szCs w:val="28"/>
          <w:rtl/>
        </w:rPr>
        <w:t xml:space="preserve"> </w:t>
      </w:r>
    </w:p>
    <w:p w14:paraId="767BF420" w14:textId="4C5BD4E7" w:rsidR="005F5439" w:rsidRPr="005F5439" w:rsidRDefault="005F5439" w:rsidP="003266A1">
      <w:pPr>
        <w:pStyle w:val="Heading4"/>
        <w:rPr>
          <w:rtl/>
        </w:rPr>
      </w:pPr>
      <w:bookmarkStart w:id="245" w:name="_Toc119092666"/>
      <w:r w:rsidRPr="005F5439">
        <w:rPr>
          <w:rFonts w:hint="cs"/>
          <w:rtl/>
        </w:rPr>
        <w:t>1.6.4</w:t>
      </w:r>
      <w:bookmarkEnd w:id="245"/>
    </w:p>
    <w:p w14:paraId="7C2A138B" w14:textId="7BE3319B" w:rsidR="00504C43" w:rsidRDefault="002A4C62" w:rsidP="00A66216">
      <w:pPr>
        <w:pStyle w:val="FootnoteText"/>
        <w:rPr>
          <w:b/>
          <w:bCs/>
          <w:sz w:val="28"/>
          <w:szCs w:val="28"/>
          <w:rtl/>
        </w:rPr>
      </w:pPr>
      <w:r>
        <w:rPr>
          <w:rFonts w:hint="cs"/>
          <w:b/>
          <w:bCs/>
          <w:sz w:val="28"/>
          <w:szCs w:val="28"/>
          <w:rtl/>
        </w:rPr>
        <w:t>ו</w:t>
      </w:r>
      <w:r w:rsidR="004A6196">
        <w:rPr>
          <w:rFonts w:hint="cs"/>
          <w:b/>
          <w:bCs/>
          <w:sz w:val="28"/>
          <w:szCs w:val="28"/>
          <w:rtl/>
        </w:rPr>
        <w:t>יש</w:t>
      </w:r>
      <w:r w:rsidR="00621171">
        <w:rPr>
          <w:rFonts w:hint="cs"/>
          <w:b/>
          <w:bCs/>
          <w:sz w:val="28"/>
          <w:szCs w:val="28"/>
          <w:rtl/>
        </w:rPr>
        <w:t xml:space="preserve"> מ</w:t>
      </w:r>
      <w:r w:rsidR="005F5439">
        <w:rPr>
          <w:rFonts w:hint="cs"/>
          <w:b/>
          <w:bCs/>
          <w:sz w:val="28"/>
          <w:szCs w:val="28"/>
          <w:rtl/>
        </w:rPr>
        <w:t>המקרים האלה</w:t>
      </w:r>
      <w:r w:rsidR="003349B3">
        <w:rPr>
          <w:rFonts w:hint="cs"/>
          <w:b/>
          <w:bCs/>
          <w:sz w:val="28"/>
          <w:szCs w:val="28"/>
          <w:rtl/>
        </w:rPr>
        <w:t xml:space="preserve"> </w:t>
      </w:r>
      <w:r w:rsidR="004A6196">
        <w:rPr>
          <w:rFonts w:hint="cs"/>
          <w:b/>
          <w:bCs/>
          <w:sz w:val="28"/>
          <w:szCs w:val="28"/>
          <w:rtl/>
        </w:rPr>
        <w:t>ש</w:t>
      </w:r>
      <w:r w:rsidR="003349B3">
        <w:rPr>
          <w:rFonts w:hint="cs"/>
          <w:b/>
          <w:bCs/>
          <w:sz w:val="28"/>
          <w:szCs w:val="28"/>
          <w:rtl/>
        </w:rPr>
        <w:t>יקרו מ</w:t>
      </w:r>
      <w:r w:rsidR="00AD018D">
        <w:rPr>
          <w:rFonts w:hint="cs"/>
          <w:b/>
          <w:bCs/>
          <w:sz w:val="28"/>
          <w:szCs w:val="28"/>
          <w:rtl/>
        </w:rPr>
        <w:t>ה</w:t>
      </w:r>
      <w:r w:rsidR="003349B3">
        <w:rPr>
          <w:rFonts w:hint="cs"/>
          <w:b/>
          <w:bCs/>
          <w:sz w:val="28"/>
          <w:szCs w:val="28"/>
          <w:rtl/>
        </w:rPr>
        <w:t>חוץ</w:t>
      </w:r>
      <w:r w:rsidR="00AD018D">
        <w:rPr>
          <w:rStyle w:val="FootnoteReference"/>
          <w:b/>
          <w:bCs/>
          <w:sz w:val="28"/>
          <w:szCs w:val="28"/>
          <w:rtl/>
        </w:rPr>
        <w:footnoteReference w:id="502"/>
      </w:r>
      <w:r w:rsidR="003349B3">
        <w:rPr>
          <w:rFonts w:hint="cs"/>
          <w:b/>
          <w:bCs/>
          <w:sz w:val="28"/>
          <w:szCs w:val="28"/>
          <w:rtl/>
        </w:rPr>
        <w:t xml:space="preserve">, </w:t>
      </w:r>
      <w:r w:rsidR="00A554BC">
        <w:rPr>
          <w:rFonts w:hint="cs"/>
          <w:b/>
          <w:bCs/>
          <w:sz w:val="28"/>
          <w:szCs w:val="28"/>
          <w:rtl/>
        </w:rPr>
        <w:t>ו</w:t>
      </w:r>
      <w:r w:rsidR="004A6196">
        <w:rPr>
          <w:rFonts w:hint="cs"/>
          <w:b/>
          <w:bCs/>
          <w:sz w:val="28"/>
          <w:szCs w:val="28"/>
          <w:rtl/>
        </w:rPr>
        <w:t xml:space="preserve">יש מהם </w:t>
      </w:r>
      <w:r w:rsidR="00AF184E">
        <w:rPr>
          <w:rFonts w:hint="cs"/>
          <w:b/>
          <w:bCs/>
          <w:sz w:val="28"/>
          <w:szCs w:val="28"/>
          <w:rtl/>
        </w:rPr>
        <w:t>ש</w:t>
      </w:r>
      <w:r w:rsidR="00A554BC">
        <w:rPr>
          <w:rFonts w:hint="cs"/>
          <w:b/>
          <w:bCs/>
          <w:sz w:val="28"/>
          <w:szCs w:val="28"/>
          <w:rtl/>
        </w:rPr>
        <w:t xml:space="preserve">יקרו </w:t>
      </w:r>
      <w:r w:rsidR="00C74664">
        <w:rPr>
          <w:rFonts w:hint="cs"/>
          <w:b/>
          <w:bCs/>
          <w:sz w:val="28"/>
          <w:szCs w:val="28"/>
          <w:rtl/>
        </w:rPr>
        <w:t>מעצם הדבר</w:t>
      </w:r>
      <w:r w:rsidR="008B1A1C">
        <w:rPr>
          <w:rStyle w:val="FootnoteReference"/>
          <w:b/>
          <w:bCs/>
          <w:sz w:val="28"/>
          <w:szCs w:val="28"/>
          <w:rtl/>
        </w:rPr>
        <w:footnoteReference w:id="503"/>
      </w:r>
      <w:r w:rsidR="004F67A2">
        <w:rPr>
          <w:rFonts w:hint="cs"/>
          <w:b/>
          <w:bCs/>
          <w:sz w:val="28"/>
          <w:szCs w:val="28"/>
          <w:rtl/>
        </w:rPr>
        <w:t>.</w:t>
      </w:r>
      <w:r w:rsidR="001F42DC">
        <w:rPr>
          <w:rFonts w:hint="cs"/>
          <w:b/>
          <w:bCs/>
          <w:sz w:val="28"/>
          <w:szCs w:val="28"/>
          <w:rtl/>
        </w:rPr>
        <w:t xml:space="preserve"> ומקצתם </w:t>
      </w:r>
      <w:r w:rsidR="00ED3A18">
        <w:rPr>
          <w:rFonts w:hint="cs"/>
          <w:b/>
          <w:bCs/>
          <w:sz w:val="28"/>
          <w:szCs w:val="28"/>
          <w:rtl/>
        </w:rPr>
        <w:t xml:space="preserve">יהיו </w:t>
      </w:r>
      <w:r w:rsidR="004A160B">
        <w:rPr>
          <w:rFonts w:hint="cs"/>
          <w:b/>
          <w:bCs/>
          <w:sz w:val="28"/>
          <w:szCs w:val="28"/>
          <w:rtl/>
        </w:rPr>
        <w:t>לפי</w:t>
      </w:r>
      <w:r w:rsidR="00ED3A18">
        <w:rPr>
          <w:rFonts w:hint="cs"/>
          <w:b/>
          <w:bCs/>
          <w:sz w:val="28"/>
          <w:szCs w:val="28"/>
          <w:rtl/>
        </w:rPr>
        <w:t xml:space="preserve"> החומר</w:t>
      </w:r>
      <w:r w:rsidR="00B66A4E">
        <w:rPr>
          <w:rFonts w:hint="cs"/>
          <w:b/>
          <w:bCs/>
          <w:sz w:val="28"/>
          <w:szCs w:val="28"/>
          <w:rtl/>
        </w:rPr>
        <w:t xml:space="preserve"> כמו השחרות של הכושי, </w:t>
      </w:r>
      <w:r w:rsidR="006770DA">
        <w:rPr>
          <w:rFonts w:hint="cs"/>
          <w:b/>
          <w:bCs/>
          <w:sz w:val="28"/>
          <w:szCs w:val="28"/>
          <w:rtl/>
        </w:rPr>
        <w:t>וה</w:t>
      </w:r>
      <w:r w:rsidR="00A64A65">
        <w:rPr>
          <w:rFonts w:hint="cs"/>
          <w:b/>
          <w:bCs/>
          <w:sz w:val="28"/>
          <w:szCs w:val="28"/>
          <w:rtl/>
        </w:rPr>
        <w:t>השפעה של הפצע</w:t>
      </w:r>
      <w:r w:rsidR="00D762B5">
        <w:rPr>
          <w:rStyle w:val="FootnoteReference"/>
          <w:b/>
          <w:bCs/>
          <w:sz w:val="28"/>
          <w:szCs w:val="28"/>
          <w:rtl/>
        </w:rPr>
        <w:footnoteReference w:id="504"/>
      </w:r>
      <w:r w:rsidR="00FF4422">
        <w:rPr>
          <w:rFonts w:hint="cs"/>
          <w:b/>
          <w:bCs/>
          <w:sz w:val="28"/>
          <w:szCs w:val="28"/>
          <w:rtl/>
        </w:rPr>
        <w:t xml:space="preserve"> ו</w:t>
      </w:r>
      <w:r w:rsidR="00433A99">
        <w:rPr>
          <w:rFonts w:hint="cs"/>
          <w:b/>
          <w:bCs/>
          <w:sz w:val="28"/>
          <w:szCs w:val="28"/>
          <w:rtl/>
        </w:rPr>
        <w:t>מבנה</w:t>
      </w:r>
      <w:r w:rsidR="00FF4422">
        <w:rPr>
          <w:rFonts w:hint="cs"/>
          <w:b/>
          <w:bCs/>
          <w:sz w:val="28"/>
          <w:szCs w:val="28"/>
          <w:rtl/>
        </w:rPr>
        <w:t xml:space="preserve"> </w:t>
      </w:r>
      <w:r w:rsidR="005E45C2">
        <w:rPr>
          <w:rFonts w:hint="cs"/>
          <w:b/>
          <w:bCs/>
          <w:sz w:val="28"/>
          <w:szCs w:val="28"/>
          <w:rtl/>
        </w:rPr>
        <w:t>תנועת העמידה</w:t>
      </w:r>
      <w:r w:rsidR="00433A99">
        <w:rPr>
          <w:rStyle w:val="FootnoteReference"/>
          <w:b/>
          <w:bCs/>
          <w:sz w:val="28"/>
          <w:szCs w:val="28"/>
          <w:rtl/>
        </w:rPr>
        <w:footnoteReference w:id="505"/>
      </w:r>
      <w:r w:rsidR="00EC1693">
        <w:rPr>
          <w:rFonts w:hint="cs"/>
          <w:b/>
          <w:bCs/>
          <w:sz w:val="28"/>
          <w:szCs w:val="28"/>
          <w:rtl/>
        </w:rPr>
        <w:t xml:space="preserve">, ומקצתם </w:t>
      </w:r>
      <w:r w:rsidR="00B175CF">
        <w:rPr>
          <w:rFonts w:hint="cs"/>
          <w:b/>
          <w:bCs/>
          <w:sz w:val="28"/>
          <w:szCs w:val="28"/>
          <w:rtl/>
        </w:rPr>
        <w:t xml:space="preserve">יהיו לפי הצורה </w:t>
      </w:r>
      <w:r w:rsidR="0067750D">
        <w:rPr>
          <w:rFonts w:hint="cs"/>
          <w:b/>
          <w:bCs/>
          <w:sz w:val="28"/>
          <w:szCs w:val="28"/>
          <w:rtl/>
        </w:rPr>
        <w:t xml:space="preserve">כמו </w:t>
      </w:r>
      <w:r w:rsidR="00063795">
        <w:rPr>
          <w:rFonts w:hint="cs"/>
          <w:b/>
          <w:bCs/>
          <w:sz w:val="28"/>
          <w:szCs w:val="28"/>
          <w:rtl/>
        </w:rPr>
        <w:t xml:space="preserve">חריפות השכל, </w:t>
      </w:r>
      <w:r w:rsidR="00BC48B7">
        <w:rPr>
          <w:rFonts w:hint="cs"/>
          <w:b/>
          <w:bCs/>
          <w:sz w:val="28"/>
          <w:szCs w:val="28"/>
          <w:rtl/>
        </w:rPr>
        <w:t xml:space="preserve">השמחה, </w:t>
      </w:r>
      <w:r w:rsidR="00A139F0">
        <w:rPr>
          <w:rFonts w:hint="cs"/>
          <w:b/>
          <w:bCs/>
          <w:sz w:val="28"/>
          <w:szCs w:val="28"/>
          <w:rtl/>
        </w:rPr>
        <w:t>ודברים אחרים ב</w:t>
      </w:r>
      <w:r w:rsidR="0027342F">
        <w:rPr>
          <w:rFonts w:hint="cs"/>
          <w:b/>
          <w:bCs/>
          <w:sz w:val="28"/>
          <w:szCs w:val="28"/>
          <w:rtl/>
        </w:rPr>
        <w:t>בני אדם</w:t>
      </w:r>
      <w:r w:rsidR="005D3C43">
        <w:rPr>
          <w:rFonts w:hint="cs"/>
          <w:b/>
          <w:bCs/>
          <w:sz w:val="28"/>
          <w:szCs w:val="28"/>
          <w:rtl/>
        </w:rPr>
        <w:t xml:space="preserve">, </w:t>
      </w:r>
      <w:proofErr w:type="spellStart"/>
      <w:r w:rsidR="005D3C43">
        <w:rPr>
          <w:rFonts w:hint="cs"/>
          <w:b/>
          <w:bCs/>
          <w:sz w:val="28"/>
          <w:szCs w:val="28"/>
          <w:rtl/>
        </w:rPr>
        <w:t>וכח</w:t>
      </w:r>
      <w:proofErr w:type="spellEnd"/>
      <w:r w:rsidR="005D3C43">
        <w:rPr>
          <w:rFonts w:hint="cs"/>
          <w:b/>
          <w:bCs/>
          <w:sz w:val="28"/>
          <w:szCs w:val="28"/>
          <w:rtl/>
        </w:rPr>
        <w:t xml:space="preserve"> הצחוק, </w:t>
      </w:r>
      <w:r w:rsidR="001D4E84">
        <w:rPr>
          <w:rFonts w:hint="cs"/>
          <w:b/>
          <w:bCs/>
          <w:sz w:val="28"/>
          <w:szCs w:val="28"/>
          <w:rtl/>
        </w:rPr>
        <w:t xml:space="preserve">ואם </w:t>
      </w:r>
      <w:r w:rsidR="00DA4A38">
        <w:rPr>
          <w:rFonts w:hint="cs"/>
          <w:b/>
          <w:bCs/>
          <w:sz w:val="28"/>
          <w:szCs w:val="28"/>
          <w:rtl/>
        </w:rPr>
        <w:t xml:space="preserve">זה </w:t>
      </w:r>
      <w:r w:rsidR="00B03091">
        <w:rPr>
          <w:rFonts w:hint="cs"/>
          <w:b/>
          <w:bCs/>
          <w:sz w:val="28"/>
          <w:szCs w:val="28"/>
          <w:rtl/>
        </w:rPr>
        <w:t>לא יהיה בלי מציאות</w:t>
      </w:r>
      <w:r w:rsidR="0062109C">
        <w:rPr>
          <w:rFonts w:hint="cs"/>
          <w:b/>
          <w:bCs/>
          <w:sz w:val="28"/>
          <w:szCs w:val="28"/>
          <w:rtl/>
        </w:rPr>
        <w:t>ו</w:t>
      </w:r>
      <w:r w:rsidR="004F67A2">
        <w:rPr>
          <w:rFonts w:hint="cs"/>
          <w:b/>
          <w:bCs/>
          <w:sz w:val="28"/>
          <w:szCs w:val="28"/>
          <w:rtl/>
        </w:rPr>
        <w:t xml:space="preserve"> [של האדם]</w:t>
      </w:r>
      <w:r w:rsidR="00B03091">
        <w:rPr>
          <w:rFonts w:hint="cs"/>
          <w:b/>
          <w:bCs/>
          <w:sz w:val="28"/>
          <w:szCs w:val="28"/>
          <w:rtl/>
        </w:rPr>
        <w:t xml:space="preserve"> שהיא מציאות חומר</w:t>
      </w:r>
      <w:r w:rsidR="003001A5">
        <w:rPr>
          <w:rFonts w:hint="cs"/>
          <w:b/>
          <w:bCs/>
          <w:sz w:val="28"/>
          <w:szCs w:val="28"/>
          <w:rtl/>
        </w:rPr>
        <w:t xml:space="preserve">ית, </w:t>
      </w:r>
      <w:r w:rsidR="00D84E58">
        <w:rPr>
          <w:rFonts w:hint="cs"/>
          <w:b/>
          <w:bCs/>
          <w:sz w:val="28"/>
          <w:szCs w:val="28"/>
          <w:rtl/>
        </w:rPr>
        <w:t xml:space="preserve">באמת נביעתה מהצורה, </w:t>
      </w:r>
      <w:r w:rsidR="00E12586">
        <w:rPr>
          <w:rFonts w:hint="cs"/>
          <w:b/>
          <w:bCs/>
          <w:sz w:val="28"/>
          <w:szCs w:val="28"/>
          <w:rtl/>
        </w:rPr>
        <w:t>והתחלתה ממנה</w:t>
      </w:r>
      <w:r w:rsidR="008D426E">
        <w:rPr>
          <w:rStyle w:val="FootnoteReference"/>
          <w:b/>
          <w:bCs/>
          <w:sz w:val="28"/>
          <w:szCs w:val="28"/>
          <w:rtl/>
        </w:rPr>
        <w:footnoteReference w:id="506"/>
      </w:r>
      <w:r w:rsidR="00FF4422">
        <w:rPr>
          <w:rFonts w:hint="cs"/>
          <w:b/>
          <w:bCs/>
          <w:sz w:val="28"/>
          <w:szCs w:val="28"/>
          <w:rtl/>
        </w:rPr>
        <w:t>.</w:t>
      </w:r>
    </w:p>
    <w:p w14:paraId="370CA9BF" w14:textId="41C6F774" w:rsidR="00A70948" w:rsidRDefault="00C43A5A" w:rsidP="00A66216">
      <w:pPr>
        <w:pStyle w:val="FootnoteText"/>
        <w:rPr>
          <w:b/>
          <w:bCs/>
          <w:sz w:val="28"/>
          <w:szCs w:val="28"/>
          <w:rtl/>
        </w:rPr>
      </w:pPr>
      <w:r>
        <w:rPr>
          <w:rFonts w:hint="cs"/>
          <w:b/>
          <w:bCs/>
          <w:sz w:val="28"/>
          <w:szCs w:val="28"/>
          <w:rtl/>
        </w:rPr>
        <w:t xml:space="preserve">ותגלה </w:t>
      </w:r>
      <w:r w:rsidR="00567AE3">
        <w:rPr>
          <w:rFonts w:hint="cs"/>
          <w:b/>
          <w:bCs/>
          <w:sz w:val="28"/>
          <w:szCs w:val="28"/>
          <w:rtl/>
        </w:rPr>
        <w:t xml:space="preserve">מקרים </w:t>
      </w:r>
      <w:r w:rsidR="006805B3">
        <w:rPr>
          <w:rFonts w:hint="cs"/>
          <w:b/>
          <w:bCs/>
          <w:sz w:val="28"/>
          <w:szCs w:val="28"/>
          <w:rtl/>
        </w:rPr>
        <w:t xml:space="preserve">שמתחייבים מהצורה, </w:t>
      </w:r>
      <w:r w:rsidR="003B6266">
        <w:rPr>
          <w:rFonts w:hint="cs"/>
          <w:b/>
          <w:bCs/>
          <w:sz w:val="28"/>
          <w:szCs w:val="28"/>
          <w:rtl/>
        </w:rPr>
        <w:t>נו</w:t>
      </w:r>
      <w:r w:rsidR="00FA3ACB">
        <w:rPr>
          <w:rFonts w:hint="cs"/>
          <w:b/>
          <w:bCs/>
          <w:sz w:val="28"/>
          <w:szCs w:val="28"/>
          <w:rtl/>
        </w:rPr>
        <w:t>לד</w:t>
      </w:r>
      <w:r w:rsidR="003B6266">
        <w:rPr>
          <w:rFonts w:hint="cs"/>
          <w:b/>
          <w:bCs/>
          <w:sz w:val="28"/>
          <w:szCs w:val="28"/>
          <w:rtl/>
        </w:rPr>
        <w:t>ים ממנה</w:t>
      </w:r>
      <w:r w:rsidR="00FA3ACB">
        <w:rPr>
          <w:rFonts w:hint="cs"/>
          <w:b/>
          <w:bCs/>
          <w:sz w:val="28"/>
          <w:szCs w:val="28"/>
          <w:rtl/>
        </w:rPr>
        <w:t xml:space="preserve"> </w:t>
      </w:r>
      <w:r w:rsidR="00BD4788">
        <w:rPr>
          <w:rFonts w:hint="cs"/>
          <w:b/>
          <w:bCs/>
          <w:sz w:val="28"/>
          <w:szCs w:val="28"/>
          <w:rtl/>
        </w:rPr>
        <w:t xml:space="preserve">או קורים לה </w:t>
      </w:r>
      <w:r w:rsidR="009E6008">
        <w:rPr>
          <w:rFonts w:hint="cs"/>
          <w:b/>
          <w:bCs/>
          <w:sz w:val="28"/>
          <w:szCs w:val="28"/>
          <w:rtl/>
        </w:rPr>
        <w:t xml:space="preserve">באופן אחר, </w:t>
      </w:r>
      <w:r w:rsidR="00C9191D">
        <w:rPr>
          <w:rFonts w:hint="cs"/>
          <w:b/>
          <w:bCs/>
          <w:sz w:val="28"/>
          <w:szCs w:val="28"/>
          <w:rtl/>
        </w:rPr>
        <w:t xml:space="preserve">שאינם צריכים את השתתפות החומר, </w:t>
      </w:r>
      <w:r w:rsidR="004355A5">
        <w:rPr>
          <w:rFonts w:hint="cs"/>
          <w:b/>
          <w:bCs/>
          <w:sz w:val="28"/>
          <w:szCs w:val="28"/>
          <w:rtl/>
        </w:rPr>
        <w:t>ו</w:t>
      </w:r>
      <w:r w:rsidR="0087402F">
        <w:rPr>
          <w:rFonts w:hint="cs"/>
          <w:b/>
          <w:bCs/>
          <w:sz w:val="28"/>
          <w:szCs w:val="28"/>
          <w:rtl/>
        </w:rPr>
        <w:t xml:space="preserve">את </w:t>
      </w:r>
      <w:r w:rsidR="004355A5">
        <w:rPr>
          <w:rFonts w:hint="cs"/>
          <w:b/>
          <w:bCs/>
          <w:sz w:val="28"/>
          <w:szCs w:val="28"/>
          <w:rtl/>
        </w:rPr>
        <w:t xml:space="preserve">זה תאמת לך </w:t>
      </w:r>
      <w:r w:rsidR="0069301A">
        <w:rPr>
          <w:rFonts w:hint="cs"/>
          <w:b/>
          <w:bCs/>
          <w:sz w:val="28"/>
          <w:szCs w:val="28"/>
          <w:rtl/>
        </w:rPr>
        <w:t>חכמת הנפש</w:t>
      </w:r>
      <w:r w:rsidR="00477AA6">
        <w:rPr>
          <w:rStyle w:val="FootnoteReference"/>
          <w:b/>
          <w:bCs/>
          <w:sz w:val="28"/>
          <w:szCs w:val="28"/>
          <w:rtl/>
        </w:rPr>
        <w:footnoteReference w:id="507"/>
      </w:r>
      <w:r w:rsidR="005D4EC9">
        <w:rPr>
          <w:rFonts w:hint="cs"/>
          <w:b/>
          <w:bCs/>
          <w:sz w:val="28"/>
          <w:szCs w:val="28"/>
          <w:rtl/>
        </w:rPr>
        <w:t>.</w:t>
      </w:r>
    </w:p>
    <w:p w14:paraId="43ED5395" w14:textId="0AD0DC02" w:rsidR="005D4EC9" w:rsidRDefault="00CA2CB0" w:rsidP="00A66216">
      <w:pPr>
        <w:pStyle w:val="FootnoteText"/>
        <w:rPr>
          <w:b/>
          <w:bCs/>
          <w:sz w:val="28"/>
          <w:szCs w:val="28"/>
          <w:rtl/>
        </w:rPr>
      </w:pPr>
      <w:r>
        <w:rPr>
          <w:rFonts w:hint="cs"/>
          <w:b/>
          <w:bCs/>
          <w:sz w:val="28"/>
          <w:szCs w:val="28"/>
          <w:rtl/>
        </w:rPr>
        <w:t xml:space="preserve">ויש מקרים </w:t>
      </w:r>
      <w:r w:rsidR="004E7F2B">
        <w:rPr>
          <w:rFonts w:hint="cs"/>
          <w:b/>
          <w:bCs/>
          <w:sz w:val="28"/>
          <w:szCs w:val="28"/>
          <w:rtl/>
        </w:rPr>
        <w:t xml:space="preserve">משותפים </w:t>
      </w:r>
      <w:r w:rsidR="009C7F60">
        <w:rPr>
          <w:rFonts w:hint="cs"/>
          <w:b/>
          <w:bCs/>
          <w:sz w:val="28"/>
          <w:szCs w:val="28"/>
          <w:rtl/>
        </w:rPr>
        <w:t xml:space="preserve">שמתחילים </w:t>
      </w:r>
      <w:r w:rsidR="004A06C5">
        <w:rPr>
          <w:rFonts w:hint="cs"/>
          <w:b/>
          <w:bCs/>
          <w:sz w:val="28"/>
          <w:szCs w:val="28"/>
          <w:rtl/>
        </w:rPr>
        <w:t>משני הצדדים</w:t>
      </w:r>
      <w:r w:rsidR="004A06C5">
        <w:rPr>
          <w:rStyle w:val="FootnoteReference"/>
          <w:b/>
          <w:bCs/>
          <w:sz w:val="28"/>
          <w:szCs w:val="28"/>
          <w:rtl/>
        </w:rPr>
        <w:footnoteReference w:id="508"/>
      </w:r>
      <w:r w:rsidR="004A06C5">
        <w:rPr>
          <w:rFonts w:hint="cs"/>
          <w:b/>
          <w:bCs/>
          <w:sz w:val="28"/>
          <w:szCs w:val="28"/>
          <w:rtl/>
        </w:rPr>
        <w:t xml:space="preserve"> ביחד,</w:t>
      </w:r>
      <w:r w:rsidR="004454D5">
        <w:rPr>
          <w:rFonts w:hint="cs"/>
          <w:b/>
          <w:bCs/>
          <w:sz w:val="28"/>
          <w:szCs w:val="28"/>
          <w:rtl/>
        </w:rPr>
        <w:t xml:space="preserve"> </w:t>
      </w:r>
      <w:r w:rsidR="008D27AD">
        <w:rPr>
          <w:rFonts w:hint="cs"/>
          <w:b/>
          <w:bCs/>
          <w:sz w:val="28"/>
          <w:szCs w:val="28"/>
          <w:rtl/>
        </w:rPr>
        <w:t xml:space="preserve">וכמו התנומה והיקיצה, </w:t>
      </w:r>
      <w:r w:rsidR="00D22534">
        <w:rPr>
          <w:rFonts w:hint="cs"/>
          <w:b/>
          <w:bCs/>
          <w:sz w:val="28"/>
          <w:szCs w:val="28"/>
          <w:rtl/>
        </w:rPr>
        <w:t>ו</w:t>
      </w:r>
      <w:r w:rsidR="00902AD2">
        <w:rPr>
          <w:rFonts w:hint="cs"/>
          <w:b/>
          <w:bCs/>
          <w:sz w:val="28"/>
          <w:szCs w:val="28"/>
          <w:rtl/>
        </w:rPr>
        <w:t>אפשר ש</w:t>
      </w:r>
      <w:r w:rsidR="00D22534">
        <w:rPr>
          <w:rFonts w:hint="cs"/>
          <w:b/>
          <w:bCs/>
          <w:sz w:val="28"/>
          <w:szCs w:val="28"/>
          <w:rtl/>
        </w:rPr>
        <w:t>מקצתם</w:t>
      </w:r>
      <w:r w:rsidR="00902AD2">
        <w:rPr>
          <w:rFonts w:hint="cs"/>
          <w:b/>
          <w:bCs/>
          <w:sz w:val="28"/>
          <w:szCs w:val="28"/>
          <w:rtl/>
        </w:rPr>
        <w:t xml:space="preserve"> קרובים יותר </w:t>
      </w:r>
      <w:r w:rsidR="00073926">
        <w:rPr>
          <w:rFonts w:hint="cs"/>
          <w:b/>
          <w:bCs/>
          <w:sz w:val="28"/>
          <w:szCs w:val="28"/>
          <w:rtl/>
        </w:rPr>
        <w:t>ל</w:t>
      </w:r>
      <w:r w:rsidR="00902AD2">
        <w:rPr>
          <w:rFonts w:hint="cs"/>
          <w:b/>
          <w:bCs/>
          <w:sz w:val="28"/>
          <w:szCs w:val="28"/>
          <w:rtl/>
        </w:rPr>
        <w:t>צורה</w:t>
      </w:r>
      <w:r w:rsidR="00E83982">
        <w:rPr>
          <w:rFonts w:hint="cs"/>
          <w:b/>
          <w:bCs/>
          <w:sz w:val="28"/>
          <w:szCs w:val="28"/>
          <w:rtl/>
        </w:rPr>
        <w:t xml:space="preserve"> וכמו היקיצה, </w:t>
      </w:r>
      <w:r w:rsidR="00F04D45">
        <w:rPr>
          <w:rFonts w:hint="cs"/>
          <w:b/>
          <w:bCs/>
          <w:sz w:val="28"/>
          <w:szCs w:val="28"/>
          <w:rtl/>
        </w:rPr>
        <w:t xml:space="preserve">ומקצתם קרובים יותר </w:t>
      </w:r>
      <w:r w:rsidR="00073926">
        <w:rPr>
          <w:rFonts w:hint="cs"/>
          <w:b/>
          <w:bCs/>
          <w:sz w:val="28"/>
          <w:szCs w:val="28"/>
          <w:rtl/>
        </w:rPr>
        <w:t>ל</w:t>
      </w:r>
      <w:r w:rsidR="00F04D45">
        <w:rPr>
          <w:rFonts w:hint="cs"/>
          <w:b/>
          <w:bCs/>
          <w:sz w:val="28"/>
          <w:szCs w:val="28"/>
          <w:rtl/>
        </w:rPr>
        <w:t>חומר וכמו התנומה.</w:t>
      </w:r>
    </w:p>
    <w:p w14:paraId="7A0381F9" w14:textId="0AB193F9" w:rsidR="005F5439" w:rsidRDefault="00860AD4" w:rsidP="00AF63E4">
      <w:pPr>
        <w:pStyle w:val="FootnoteText"/>
        <w:rPr>
          <w:b/>
          <w:bCs/>
          <w:sz w:val="28"/>
          <w:szCs w:val="28"/>
          <w:rtl/>
        </w:rPr>
      </w:pPr>
      <w:r>
        <w:rPr>
          <w:rFonts w:hint="cs"/>
          <w:b/>
          <w:bCs/>
          <w:sz w:val="28"/>
          <w:szCs w:val="28"/>
          <w:rtl/>
        </w:rPr>
        <w:t>ו</w:t>
      </w:r>
      <w:r w:rsidR="00C40D37">
        <w:rPr>
          <w:rFonts w:hint="cs"/>
          <w:b/>
          <w:bCs/>
          <w:sz w:val="28"/>
          <w:szCs w:val="28"/>
          <w:rtl/>
        </w:rPr>
        <w:t>המקרים</w:t>
      </w:r>
      <w:r>
        <w:rPr>
          <w:rFonts w:hint="cs"/>
          <w:b/>
          <w:bCs/>
          <w:sz w:val="28"/>
          <w:szCs w:val="28"/>
          <w:rtl/>
        </w:rPr>
        <w:t xml:space="preserve"> ש</w:t>
      </w:r>
      <w:r w:rsidR="00A4062F">
        <w:rPr>
          <w:rFonts w:hint="cs"/>
          <w:b/>
          <w:bCs/>
          <w:sz w:val="28"/>
          <w:szCs w:val="28"/>
          <w:rtl/>
        </w:rPr>
        <w:t>בעקבות</w:t>
      </w:r>
      <w:r w:rsidR="001931BC">
        <w:rPr>
          <w:rFonts w:hint="cs"/>
          <w:b/>
          <w:bCs/>
          <w:sz w:val="28"/>
          <w:szCs w:val="28"/>
          <w:rtl/>
        </w:rPr>
        <w:t xml:space="preserve"> צד</w:t>
      </w:r>
      <w:r w:rsidR="00A4062F">
        <w:rPr>
          <w:rFonts w:hint="cs"/>
          <w:b/>
          <w:bCs/>
          <w:sz w:val="28"/>
          <w:szCs w:val="28"/>
          <w:rtl/>
        </w:rPr>
        <w:t xml:space="preserve"> ה</w:t>
      </w:r>
      <w:r w:rsidR="00ED74E2">
        <w:rPr>
          <w:rFonts w:hint="cs"/>
          <w:b/>
          <w:bCs/>
          <w:sz w:val="28"/>
          <w:szCs w:val="28"/>
          <w:rtl/>
        </w:rPr>
        <w:t xml:space="preserve">חומר, </w:t>
      </w:r>
      <w:r w:rsidR="00A53261">
        <w:rPr>
          <w:rFonts w:hint="cs"/>
          <w:b/>
          <w:bCs/>
          <w:sz w:val="28"/>
          <w:szCs w:val="28"/>
          <w:rtl/>
        </w:rPr>
        <w:t xml:space="preserve">יישארו אחרי הצורה, </w:t>
      </w:r>
      <w:r w:rsidR="00386AE5">
        <w:rPr>
          <w:rFonts w:hint="cs"/>
          <w:b/>
          <w:bCs/>
          <w:sz w:val="28"/>
          <w:szCs w:val="28"/>
          <w:rtl/>
        </w:rPr>
        <w:t>כמו הצלקות של הפצע,</w:t>
      </w:r>
      <w:r w:rsidR="00065173">
        <w:rPr>
          <w:rFonts w:hint="cs"/>
          <w:b/>
          <w:bCs/>
          <w:sz w:val="28"/>
          <w:szCs w:val="28"/>
          <w:rtl/>
        </w:rPr>
        <w:t xml:space="preserve"> והצבע השחור של האתיופי אחרי מותו. </w:t>
      </w:r>
      <w:r w:rsidR="00386AE5">
        <w:rPr>
          <w:rFonts w:hint="cs"/>
          <w:b/>
          <w:bCs/>
          <w:sz w:val="28"/>
          <w:szCs w:val="28"/>
          <w:rtl/>
        </w:rPr>
        <w:t xml:space="preserve"> </w:t>
      </w:r>
      <w:r w:rsidR="00C40D37">
        <w:rPr>
          <w:rFonts w:hint="cs"/>
          <w:b/>
          <w:bCs/>
          <w:sz w:val="28"/>
          <w:szCs w:val="28"/>
          <w:rtl/>
        </w:rPr>
        <w:t xml:space="preserve"> </w:t>
      </w:r>
      <w:r w:rsidR="00FF4422">
        <w:rPr>
          <w:rFonts w:hint="cs"/>
          <w:b/>
          <w:bCs/>
          <w:sz w:val="28"/>
          <w:szCs w:val="28"/>
          <w:rtl/>
        </w:rPr>
        <w:t xml:space="preserve"> </w:t>
      </w:r>
      <w:r w:rsidR="00A64A65">
        <w:rPr>
          <w:rFonts w:hint="cs"/>
          <w:b/>
          <w:bCs/>
          <w:sz w:val="28"/>
          <w:szCs w:val="28"/>
          <w:rtl/>
        </w:rPr>
        <w:t xml:space="preserve"> </w:t>
      </w:r>
    </w:p>
    <w:p w14:paraId="4A87E541" w14:textId="04A381D2" w:rsidR="00023409" w:rsidRPr="00916A53" w:rsidRDefault="00F326CC" w:rsidP="003266A1">
      <w:pPr>
        <w:pStyle w:val="Heading4"/>
        <w:rPr>
          <w:rtl/>
        </w:rPr>
      </w:pPr>
      <w:bookmarkStart w:id="246" w:name="_Toc119092667"/>
      <w:r w:rsidRPr="00916A53">
        <w:rPr>
          <w:rFonts w:hint="cs"/>
          <w:rtl/>
        </w:rPr>
        <w:t>1.6.5</w:t>
      </w:r>
      <w:bookmarkEnd w:id="246"/>
    </w:p>
    <w:p w14:paraId="6FC16BAB" w14:textId="77777777" w:rsidR="000E56A7" w:rsidRDefault="00916A53" w:rsidP="00A66216">
      <w:pPr>
        <w:pStyle w:val="FootnoteText"/>
        <w:rPr>
          <w:b/>
          <w:bCs/>
          <w:sz w:val="28"/>
          <w:szCs w:val="28"/>
        </w:rPr>
      </w:pPr>
      <w:r>
        <w:rPr>
          <w:rFonts w:hint="cs"/>
          <w:b/>
          <w:bCs/>
          <w:sz w:val="28"/>
          <w:szCs w:val="28"/>
          <w:rtl/>
        </w:rPr>
        <w:t>והטבע האמית</w:t>
      </w:r>
      <w:r w:rsidR="0034587A">
        <w:rPr>
          <w:rFonts w:hint="cs"/>
          <w:b/>
          <w:bCs/>
          <w:sz w:val="28"/>
          <w:szCs w:val="28"/>
          <w:rtl/>
        </w:rPr>
        <w:t xml:space="preserve">י </w:t>
      </w:r>
      <w:r w:rsidR="00484E27">
        <w:rPr>
          <w:rFonts w:hint="cs"/>
          <w:b/>
          <w:bCs/>
          <w:sz w:val="28"/>
          <w:szCs w:val="28"/>
          <w:rtl/>
        </w:rPr>
        <w:t>הוא זה ש</w:t>
      </w:r>
      <w:r w:rsidR="00D70F1F">
        <w:rPr>
          <w:rFonts w:hint="cs"/>
          <w:b/>
          <w:bCs/>
          <w:sz w:val="28"/>
          <w:szCs w:val="28"/>
          <w:rtl/>
        </w:rPr>
        <w:t>הצבע</w:t>
      </w:r>
      <w:r w:rsidR="00484E27">
        <w:rPr>
          <w:rFonts w:hint="cs"/>
          <w:b/>
          <w:bCs/>
          <w:sz w:val="28"/>
          <w:szCs w:val="28"/>
          <w:rtl/>
        </w:rPr>
        <w:t xml:space="preserve">נו </w:t>
      </w:r>
      <w:r w:rsidR="00D70F1F">
        <w:rPr>
          <w:rFonts w:hint="cs"/>
          <w:b/>
          <w:bCs/>
          <w:sz w:val="28"/>
          <w:szCs w:val="28"/>
          <w:rtl/>
        </w:rPr>
        <w:t xml:space="preserve">עליו, </w:t>
      </w:r>
      <w:r w:rsidR="00DA10B6">
        <w:rPr>
          <w:rFonts w:hint="cs"/>
          <w:b/>
          <w:bCs/>
          <w:sz w:val="28"/>
          <w:szCs w:val="28"/>
          <w:rtl/>
        </w:rPr>
        <w:t>והחילוק בינו ובין הצורה הוא מה ש</w:t>
      </w:r>
      <w:r w:rsidR="0062577F">
        <w:rPr>
          <w:rFonts w:hint="cs"/>
          <w:b/>
          <w:bCs/>
          <w:sz w:val="28"/>
          <w:szCs w:val="28"/>
          <w:rtl/>
        </w:rPr>
        <w:t>ציי</w:t>
      </w:r>
      <w:r w:rsidR="00D73129">
        <w:rPr>
          <w:rFonts w:hint="cs"/>
          <w:b/>
          <w:bCs/>
          <w:sz w:val="28"/>
          <w:szCs w:val="28"/>
          <w:rtl/>
        </w:rPr>
        <w:t>נו</w:t>
      </w:r>
      <w:r w:rsidR="00D81159">
        <w:rPr>
          <w:rStyle w:val="FootnoteReference"/>
          <w:b/>
          <w:bCs/>
          <w:sz w:val="28"/>
          <w:szCs w:val="28"/>
          <w:rtl/>
        </w:rPr>
        <w:footnoteReference w:id="509"/>
      </w:r>
      <w:r w:rsidR="00D73129">
        <w:rPr>
          <w:rFonts w:hint="cs"/>
          <w:b/>
          <w:bCs/>
          <w:sz w:val="28"/>
          <w:szCs w:val="28"/>
          <w:rtl/>
        </w:rPr>
        <w:t xml:space="preserve">, </w:t>
      </w:r>
      <w:r w:rsidR="00E22519">
        <w:rPr>
          <w:rFonts w:hint="cs"/>
          <w:b/>
          <w:bCs/>
          <w:sz w:val="28"/>
          <w:szCs w:val="28"/>
          <w:rtl/>
        </w:rPr>
        <w:t xml:space="preserve">והחילוק </w:t>
      </w:r>
      <w:r w:rsidR="00102FF5">
        <w:rPr>
          <w:rFonts w:hint="cs"/>
          <w:b/>
          <w:bCs/>
          <w:sz w:val="28"/>
          <w:szCs w:val="28"/>
          <w:rtl/>
        </w:rPr>
        <w:t>בין התנועה ובינו</w:t>
      </w:r>
      <w:r w:rsidR="006A7DCC">
        <w:rPr>
          <w:rFonts w:hint="cs"/>
          <w:b/>
          <w:bCs/>
          <w:sz w:val="28"/>
          <w:szCs w:val="28"/>
          <w:rtl/>
        </w:rPr>
        <w:t xml:space="preserve"> ברור מאוד</w:t>
      </w:r>
      <w:r w:rsidR="00AB6435">
        <w:rPr>
          <w:rStyle w:val="FootnoteReference"/>
          <w:b/>
          <w:bCs/>
          <w:sz w:val="28"/>
          <w:szCs w:val="28"/>
          <w:rtl/>
        </w:rPr>
        <w:footnoteReference w:id="510"/>
      </w:r>
      <w:r w:rsidR="00642F07">
        <w:rPr>
          <w:rFonts w:hint="cs"/>
          <w:b/>
          <w:bCs/>
          <w:sz w:val="28"/>
          <w:szCs w:val="28"/>
          <w:rtl/>
        </w:rPr>
        <w:t xml:space="preserve">. </w:t>
      </w:r>
    </w:p>
    <w:p w14:paraId="13FC3982" w14:textId="463D846C" w:rsidR="00412526" w:rsidRDefault="00642F07" w:rsidP="00A66216">
      <w:pPr>
        <w:pStyle w:val="FootnoteText"/>
        <w:rPr>
          <w:b/>
          <w:bCs/>
          <w:sz w:val="28"/>
          <w:szCs w:val="28"/>
          <w:rtl/>
        </w:rPr>
      </w:pPr>
      <w:r>
        <w:rPr>
          <w:rFonts w:hint="cs"/>
          <w:b/>
          <w:bCs/>
          <w:sz w:val="28"/>
          <w:szCs w:val="28"/>
          <w:rtl/>
        </w:rPr>
        <w:t xml:space="preserve">על כל פנים </w:t>
      </w:r>
      <w:r w:rsidR="005713AB">
        <w:rPr>
          <w:rFonts w:hint="cs"/>
          <w:b/>
          <w:bCs/>
          <w:sz w:val="28"/>
          <w:szCs w:val="28"/>
          <w:rtl/>
        </w:rPr>
        <w:t xml:space="preserve">השם 'טבע' </w:t>
      </w:r>
      <w:r w:rsidR="00282DB2">
        <w:rPr>
          <w:rFonts w:hint="cs"/>
          <w:b/>
          <w:bCs/>
          <w:sz w:val="28"/>
          <w:szCs w:val="28"/>
          <w:rtl/>
        </w:rPr>
        <w:t>משמש במובנים רבים</w:t>
      </w:r>
      <w:r w:rsidR="00B81628">
        <w:rPr>
          <w:rFonts w:hint="cs"/>
          <w:b/>
          <w:bCs/>
          <w:sz w:val="28"/>
          <w:szCs w:val="28"/>
          <w:rtl/>
        </w:rPr>
        <w:t xml:space="preserve">, </w:t>
      </w:r>
      <w:r w:rsidR="001D14EA">
        <w:rPr>
          <w:rFonts w:hint="cs"/>
          <w:b/>
          <w:bCs/>
          <w:sz w:val="28"/>
          <w:szCs w:val="28"/>
          <w:rtl/>
        </w:rPr>
        <w:t xml:space="preserve">האמיתיים הם </w:t>
      </w:r>
      <w:r w:rsidR="00A51DD2">
        <w:rPr>
          <w:rFonts w:hint="cs"/>
          <w:b/>
          <w:bCs/>
          <w:sz w:val="28"/>
          <w:szCs w:val="28"/>
          <w:rtl/>
        </w:rPr>
        <w:t>שלושת המובנים ש</w:t>
      </w:r>
      <w:r w:rsidR="007F0276">
        <w:rPr>
          <w:rFonts w:hint="cs"/>
          <w:b/>
          <w:bCs/>
          <w:sz w:val="28"/>
          <w:szCs w:val="28"/>
          <w:rtl/>
        </w:rPr>
        <w:t>נזכיר</w:t>
      </w:r>
      <w:r w:rsidR="00412526">
        <w:rPr>
          <w:rFonts w:hint="cs"/>
          <w:b/>
          <w:bCs/>
          <w:sz w:val="28"/>
          <w:szCs w:val="28"/>
          <w:rtl/>
        </w:rPr>
        <w:t>:</w:t>
      </w:r>
    </w:p>
    <w:p w14:paraId="24518090" w14:textId="253AD016" w:rsidR="00F326CC" w:rsidRDefault="00353094" w:rsidP="00C74DEF">
      <w:pPr>
        <w:pStyle w:val="FootnoteText"/>
        <w:rPr>
          <w:b/>
          <w:bCs/>
          <w:sz w:val="28"/>
          <w:szCs w:val="28"/>
          <w:rtl/>
        </w:rPr>
      </w:pPr>
      <w:bookmarkStart w:id="247" w:name="_Hlk104886911"/>
      <w:r w:rsidRPr="00353094">
        <w:rPr>
          <w:b/>
          <w:bCs/>
          <w:sz w:val="28"/>
          <w:szCs w:val="28"/>
          <w:rtl/>
        </w:rPr>
        <w:t>נֶאֱמָר</w:t>
      </w:r>
      <w:bookmarkEnd w:id="247"/>
      <w:r w:rsidR="00336F44">
        <w:rPr>
          <w:rFonts w:hint="cs"/>
          <w:b/>
          <w:bCs/>
          <w:sz w:val="28"/>
          <w:szCs w:val="28"/>
          <w:rtl/>
        </w:rPr>
        <w:t xml:space="preserve"> </w:t>
      </w:r>
      <w:r w:rsidR="00BB61C6">
        <w:rPr>
          <w:rFonts w:hint="cs"/>
          <w:b/>
          <w:bCs/>
          <w:sz w:val="28"/>
          <w:szCs w:val="28"/>
          <w:rtl/>
        </w:rPr>
        <w:t>'</w:t>
      </w:r>
      <w:r w:rsidR="00C74DEF">
        <w:rPr>
          <w:rFonts w:hint="cs"/>
          <w:b/>
          <w:bCs/>
          <w:sz w:val="28"/>
          <w:szCs w:val="28"/>
          <w:rtl/>
        </w:rPr>
        <w:t>טבע</w:t>
      </w:r>
      <w:r w:rsidR="00BB61C6">
        <w:rPr>
          <w:rFonts w:hint="cs"/>
          <w:b/>
          <w:bCs/>
          <w:sz w:val="28"/>
          <w:szCs w:val="28"/>
          <w:rtl/>
        </w:rPr>
        <w:t>'</w:t>
      </w:r>
      <w:r w:rsidR="00C74DEF">
        <w:rPr>
          <w:rFonts w:hint="cs"/>
          <w:b/>
          <w:bCs/>
          <w:sz w:val="28"/>
          <w:szCs w:val="28"/>
          <w:rtl/>
        </w:rPr>
        <w:t xml:space="preserve"> </w:t>
      </w:r>
      <w:r w:rsidR="0028695A">
        <w:rPr>
          <w:rFonts w:hint="cs"/>
          <w:b/>
          <w:bCs/>
          <w:sz w:val="28"/>
          <w:szCs w:val="28"/>
          <w:rtl/>
        </w:rPr>
        <w:t>על ה</w:t>
      </w:r>
      <w:r w:rsidR="00C74DEF">
        <w:rPr>
          <w:rFonts w:hint="cs"/>
          <w:b/>
          <w:bCs/>
          <w:sz w:val="28"/>
          <w:szCs w:val="28"/>
          <w:rtl/>
        </w:rPr>
        <w:t>התחלה שהזכרנו</w:t>
      </w:r>
      <w:r w:rsidR="002F09E8">
        <w:rPr>
          <w:rStyle w:val="FootnoteReference"/>
          <w:b/>
          <w:bCs/>
          <w:sz w:val="28"/>
          <w:szCs w:val="28"/>
          <w:rtl/>
        </w:rPr>
        <w:footnoteReference w:id="511"/>
      </w:r>
      <w:r w:rsidR="0049706B">
        <w:rPr>
          <w:rFonts w:hint="cs"/>
          <w:b/>
          <w:bCs/>
          <w:sz w:val="28"/>
          <w:szCs w:val="28"/>
          <w:rtl/>
        </w:rPr>
        <w:t>;</w:t>
      </w:r>
      <w:r w:rsidR="003636B3">
        <w:rPr>
          <w:rFonts w:hint="cs"/>
          <w:b/>
          <w:bCs/>
          <w:sz w:val="28"/>
          <w:szCs w:val="28"/>
          <w:rtl/>
        </w:rPr>
        <w:t xml:space="preserve"> ונאמר 'טבע' </w:t>
      </w:r>
      <w:r w:rsidR="00F61CB8">
        <w:rPr>
          <w:rFonts w:hint="cs"/>
          <w:b/>
          <w:bCs/>
          <w:sz w:val="28"/>
          <w:szCs w:val="28"/>
          <w:rtl/>
        </w:rPr>
        <w:t>ל</w:t>
      </w:r>
      <w:bookmarkStart w:id="248" w:name="_Hlk104886763"/>
      <w:r w:rsidR="00F61CB8">
        <w:rPr>
          <w:rFonts w:hint="cs"/>
          <w:b/>
          <w:bCs/>
          <w:sz w:val="28"/>
          <w:szCs w:val="28"/>
          <w:rtl/>
        </w:rPr>
        <w:t>מה ש</w:t>
      </w:r>
      <w:r w:rsidR="00BD2B54">
        <w:rPr>
          <w:rFonts w:hint="cs"/>
          <w:b/>
          <w:bCs/>
          <w:sz w:val="28"/>
          <w:szCs w:val="28"/>
          <w:rtl/>
        </w:rPr>
        <w:t>מ</w:t>
      </w:r>
      <w:r w:rsidR="00B871FB">
        <w:rPr>
          <w:rFonts w:hint="cs"/>
          <w:b/>
          <w:bCs/>
          <w:sz w:val="28"/>
          <w:szCs w:val="28"/>
          <w:rtl/>
        </w:rPr>
        <w:t>תקיים</w:t>
      </w:r>
      <w:r w:rsidR="00BD2B54">
        <w:rPr>
          <w:rFonts w:hint="cs"/>
          <w:b/>
          <w:bCs/>
          <w:sz w:val="28"/>
          <w:szCs w:val="28"/>
          <w:rtl/>
        </w:rPr>
        <w:t xml:space="preserve"> </w:t>
      </w:r>
      <w:r w:rsidR="00877ECB">
        <w:rPr>
          <w:rFonts w:hint="cs"/>
          <w:b/>
          <w:bCs/>
          <w:sz w:val="28"/>
          <w:szCs w:val="28"/>
          <w:rtl/>
        </w:rPr>
        <w:t>ב</w:t>
      </w:r>
      <w:r w:rsidR="00BD2B54">
        <w:rPr>
          <w:rFonts w:hint="cs"/>
          <w:b/>
          <w:bCs/>
          <w:sz w:val="28"/>
          <w:szCs w:val="28"/>
          <w:rtl/>
        </w:rPr>
        <w:t>ו ה</w:t>
      </w:r>
      <w:r w:rsidR="00B871FB">
        <w:rPr>
          <w:rFonts w:hint="cs"/>
          <w:b/>
          <w:bCs/>
          <w:sz w:val="28"/>
          <w:szCs w:val="28"/>
          <w:rtl/>
        </w:rPr>
        <w:t>'</w:t>
      </w:r>
      <w:r w:rsidR="00BD2B54">
        <w:rPr>
          <w:rFonts w:hint="cs"/>
          <w:b/>
          <w:bCs/>
          <w:sz w:val="28"/>
          <w:szCs w:val="28"/>
          <w:rtl/>
        </w:rPr>
        <w:t>עצם</w:t>
      </w:r>
      <w:r w:rsidR="00B871FB">
        <w:rPr>
          <w:rFonts w:hint="cs"/>
          <w:b/>
          <w:bCs/>
          <w:sz w:val="28"/>
          <w:szCs w:val="28"/>
          <w:rtl/>
        </w:rPr>
        <w:t>'</w:t>
      </w:r>
      <w:r w:rsidR="00BD2B54">
        <w:rPr>
          <w:rFonts w:hint="cs"/>
          <w:b/>
          <w:bCs/>
          <w:sz w:val="28"/>
          <w:szCs w:val="28"/>
          <w:rtl/>
        </w:rPr>
        <w:t xml:space="preserve"> של כל דבר</w:t>
      </w:r>
      <w:bookmarkEnd w:id="248"/>
      <w:r w:rsidR="00DA2E0C">
        <w:rPr>
          <w:rStyle w:val="FootnoteReference"/>
          <w:b/>
          <w:bCs/>
          <w:sz w:val="28"/>
          <w:szCs w:val="28"/>
          <w:rtl/>
        </w:rPr>
        <w:footnoteReference w:id="512"/>
      </w:r>
      <w:r w:rsidR="009904E0">
        <w:rPr>
          <w:rFonts w:hint="cs"/>
          <w:b/>
          <w:bCs/>
          <w:sz w:val="28"/>
          <w:szCs w:val="28"/>
          <w:rtl/>
        </w:rPr>
        <w:t>;</w:t>
      </w:r>
      <w:r w:rsidR="00336D82">
        <w:rPr>
          <w:rFonts w:hint="cs"/>
          <w:b/>
          <w:bCs/>
          <w:sz w:val="28"/>
          <w:szCs w:val="28"/>
          <w:rtl/>
        </w:rPr>
        <w:t xml:space="preserve"> ונאמר </w:t>
      </w:r>
      <w:r w:rsidR="0008400E">
        <w:rPr>
          <w:rFonts w:hint="cs"/>
          <w:b/>
          <w:bCs/>
          <w:sz w:val="28"/>
          <w:szCs w:val="28"/>
          <w:rtl/>
        </w:rPr>
        <w:t>'</w:t>
      </w:r>
      <w:r w:rsidR="00336D82">
        <w:rPr>
          <w:rFonts w:hint="cs"/>
          <w:b/>
          <w:bCs/>
          <w:sz w:val="28"/>
          <w:szCs w:val="28"/>
          <w:rtl/>
        </w:rPr>
        <w:t>טבע</w:t>
      </w:r>
      <w:r w:rsidR="0008400E">
        <w:rPr>
          <w:rFonts w:hint="cs"/>
          <w:b/>
          <w:bCs/>
          <w:sz w:val="28"/>
          <w:szCs w:val="28"/>
          <w:rtl/>
        </w:rPr>
        <w:t>'</w:t>
      </w:r>
      <w:r w:rsidR="00336D82">
        <w:rPr>
          <w:rFonts w:hint="cs"/>
          <w:b/>
          <w:bCs/>
          <w:sz w:val="28"/>
          <w:szCs w:val="28"/>
          <w:rtl/>
        </w:rPr>
        <w:t xml:space="preserve"> </w:t>
      </w:r>
      <w:r w:rsidR="0093576F">
        <w:rPr>
          <w:rFonts w:hint="cs"/>
          <w:b/>
          <w:bCs/>
          <w:sz w:val="28"/>
          <w:szCs w:val="28"/>
          <w:rtl/>
        </w:rPr>
        <w:t>ל</w:t>
      </w:r>
      <w:r w:rsidR="003E0599">
        <w:rPr>
          <w:rFonts w:hint="cs"/>
          <w:b/>
          <w:bCs/>
          <w:sz w:val="28"/>
          <w:szCs w:val="28"/>
          <w:rtl/>
        </w:rPr>
        <w:t>עצמותו</w:t>
      </w:r>
      <w:r w:rsidR="0093576F">
        <w:rPr>
          <w:rFonts w:hint="cs"/>
          <w:b/>
          <w:bCs/>
          <w:sz w:val="28"/>
          <w:szCs w:val="28"/>
          <w:rtl/>
        </w:rPr>
        <w:t xml:space="preserve"> של כל דבר</w:t>
      </w:r>
      <w:r w:rsidR="000C1CC9">
        <w:rPr>
          <w:rStyle w:val="FootnoteReference"/>
          <w:b/>
          <w:bCs/>
          <w:sz w:val="28"/>
          <w:szCs w:val="28"/>
          <w:rtl/>
        </w:rPr>
        <w:footnoteReference w:id="513"/>
      </w:r>
      <w:r w:rsidR="0093576F">
        <w:rPr>
          <w:rFonts w:hint="cs"/>
          <w:b/>
          <w:bCs/>
          <w:sz w:val="28"/>
          <w:szCs w:val="28"/>
          <w:rtl/>
        </w:rPr>
        <w:t>.</w:t>
      </w:r>
    </w:p>
    <w:p w14:paraId="3B8C97A1" w14:textId="627FC979" w:rsidR="004D5EFF" w:rsidRDefault="00070A4D" w:rsidP="00C74DEF">
      <w:pPr>
        <w:pStyle w:val="FootnoteText"/>
        <w:rPr>
          <w:b/>
          <w:bCs/>
          <w:sz w:val="28"/>
          <w:szCs w:val="28"/>
          <w:rtl/>
        </w:rPr>
      </w:pPr>
      <w:r>
        <w:rPr>
          <w:rFonts w:hint="cs"/>
          <w:b/>
          <w:bCs/>
          <w:sz w:val="28"/>
          <w:szCs w:val="28"/>
          <w:rtl/>
        </w:rPr>
        <w:t xml:space="preserve">ואם </w:t>
      </w:r>
      <w:r w:rsidR="00B06616">
        <w:rPr>
          <w:rFonts w:hint="cs"/>
          <w:b/>
          <w:bCs/>
          <w:sz w:val="28"/>
          <w:szCs w:val="28"/>
          <w:rtl/>
        </w:rPr>
        <w:t>הכוונה</w:t>
      </w:r>
      <w:r>
        <w:rPr>
          <w:rFonts w:hint="cs"/>
          <w:b/>
          <w:bCs/>
          <w:sz w:val="28"/>
          <w:szCs w:val="28"/>
          <w:rtl/>
        </w:rPr>
        <w:t xml:space="preserve"> ב'טבע' ל"</w:t>
      </w:r>
      <w:r w:rsidR="00BB48A0" w:rsidRPr="00BB48A0">
        <w:rPr>
          <w:b/>
          <w:bCs/>
          <w:sz w:val="28"/>
          <w:szCs w:val="28"/>
          <w:rtl/>
        </w:rPr>
        <w:t>מה שמתקיים בו ה'עצם' של כל דבר</w:t>
      </w:r>
      <w:r w:rsidR="000667D8">
        <w:rPr>
          <w:rFonts w:hint="cs"/>
          <w:b/>
          <w:bCs/>
          <w:sz w:val="28"/>
          <w:szCs w:val="28"/>
          <w:rtl/>
        </w:rPr>
        <w:t>"</w:t>
      </w:r>
      <w:r>
        <w:rPr>
          <w:rFonts w:hint="cs"/>
          <w:b/>
          <w:bCs/>
          <w:sz w:val="28"/>
          <w:szCs w:val="28"/>
          <w:rtl/>
        </w:rPr>
        <w:t xml:space="preserve">, </w:t>
      </w:r>
      <w:r w:rsidR="00FD2310">
        <w:rPr>
          <w:rFonts w:hint="cs"/>
          <w:b/>
          <w:bCs/>
          <w:sz w:val="28"/>
          <w:szCs w:val="28"/>
          <w:rtl/>
        </w:rPr>
        <w:t xml:space="preserve">באמת </w:t>
      </w:r>
      <w:r w:rsidR="00E43B6A">
        <w:rPr>
          <w:rFonts w:hint="cs"/>
          <w:b/>
          <w:bCs/>
          <w:sz w:val="28"/>
          <w:szCs w:val="28"/>
          <w:rtl/>
        </w:rPr>
        <w:t>יחלקו ב</w:t>
      </w:r>
      <w:r w:rsidR="00B06616">
        <w:rPr>
          <w:rFonts w:hint="cs"/>
          <w:b/>
          <w:bCs/>
          <w:sz w:val="28"/>
          <w:szCs w:val="28"/>
          <w:rtl/>
        </w:rPr>
        <w:t>זה</w:t>
      </w:r>
      <w:r w:rsidR="00120BDF">
        <w:rPr>
          <w:rFonts w:hint="cs"/>
          <w:b/>
          <w:bCs/>
          <w:sz w:val="28"/>
          <w:szCs w:val="28"/>
          <w:rtl/>
        </w:rPr>
        <w:t xml:space="preserve"> לפי </w:t>
      </w:r>
      <w:r w:rsidR="00B06616">
        <w:rPr>
          <w:rFonts w:hint="cs"/>
          <w:b/>
          <w:bCs/>
          <w:sz w:val="28"/>
          <w:szCs w:val="28"/>
          <w:rtl/>
        </w:rPr>
        <w:t xml:space="preserve">חילוקי </w:t>
      </w:r>
      <w:r w:rsidR="00C020C7">
        <w:rPr>
          <w:rFonts w:hint="cs"/>
          <w:b/>
          <w:bCs/>
          <w:sz w:val="28"/>
          <w:szCs w:val="28"/>
          <w:rtl/>
        </w:rPr>
        <w:t>ה</w:t>
      </w:r>
      <w:r w:rsidR="004E26DB">
        <w:rPr>
          <w:rFonts w:hint="cs"/>
          <w:b/>
          <w:bCs/>
          <w:sz w:val="28"/>
          <w:szCs w:val="28"/>
          <w:rtl/>
        </w:rPr>
        <w:t>שיטות</w:t>
      </w:r>
      <w:r w:rsidR="00C020C7">
        <w:rPr>
          <w:rFonts w:hint="cs"/>
          <w:b/>
          <w:bCs/>
          <w:sz w:val="28"/>
          <w:szCs w:val="28"/>
          <w:rtl/>
        </w:rPr>
        <w:t xml:space="preserve"> והדעות</w:t>
      </w:r>
      <w:r w:rsidR="003C1D63">
        <w:rPr>
          <w:rFonts w:hint="cs"/>
          <w:b/>
          <w:bCs/>
          <w:sz w:val="28"/>
          <w:szCs w:val="28"/>
          <w:rtl/>
        </w:rPr>
        <w:t>:</w:t>
      </w:r>
      <w:r w:rsidR="0071689D">
        <w:rPr>
          <w:rFonts w:hint="cs"/>
          <w:b/>
          <w:bCs/>
          <w:sz w:val="28"/>
          <w:szCs w:val="28"/>
          <w:rtl/>
        </w:rPr>
        <w:t xml:space="preserve"> </w:t>
      </w:r>
    </w:p>
    <w:p w14:paraId="7A4CD2A4" w14:textId="77777777" w:rsidR="00952B73" w:rsidRDefault="00ED2755" w:rsidP="00C74DEF">
      <w:pPr>
        <w:pStyle w:val="FootnoteText"/>
        <w:rPr>
          <w:b/>
          <w:bCs/>
          <w:sz w:val="28"/>
          <w:szCs w:val="28"/>
          <w:rtl/>
        </w:rPr>
      </w:pPr>
      <w:r>
        <w:rPr>
          <w:rFonts w:hint="cs"/>
          <w:b/>
          <w:bCs/>
          <w:sz w:val="28"/>
          <w:szCs w:val="28"/>
          <w:rtl/>
        </w:rPr>
        <w:t>בעל</w:t>
      </w:r>
      <w:r w:rsidR="00CB6E03">
        <w:rPr>
          <w:rFonts w:hint="cs"/>
          <w:b/>
          <w:bCs/>
          <w:sz w:val="28"/>
          <w:szCs w:val="28"/>
          <w:rtl/>
        </w:rPr>
        <w:t xml:space="preserve"> הדעה</w:t>
      </w:r>
      <w:r w:rsidR="0071689D">
        <w:rPr>
          <w:rFonts w:hint="cs"/>
          <w:b/>
          <w:bCs/>
          <w:sz w:val="28"/>
          <w:szCs w:val="28"/>
          <w:rtl/>
        </w:rPr>
        <w:t xml:space="preserve"> </w:t>
      </w:r>
      <w:r w:rsidR="00D5427C">
        <w:rPr>
          <w:rFonts w:hint="cs"/>
          <w:b/>
          <w:bCs/>
          <w:sz w:val="28"/>
          <w:szCs w:val="28"/>
          <w:rtl/>
        </w:rPr>
        <w:t>שעושה את החלק</w:t>
      </w:r>
      <w:r w:rsidR="00752CF1">
        <w:rPr>
          <w:rStyle w:val="FootnoteReference"/>
          <w:b/>
          <w:bCs/>
          <w:sz w:val="28"/>
          <w:szCs w:val="28"/>
          <w:rtl/>
        </w:rPr>
        <w:footnoteReference w:id="514"/>
      </w:r>
      <w:r w:rsidR="00D5427C">
        <w:rPr>
          <w:rFonts w:hint="cs"/>
          <w:b/>
          <w:bCs/>
          <w:sz w:val="28"/>
          <w:szCs w:val="28"/>
          <w:rtl/>
        </w:rPr>
        <w:t xml:space="preserve"> אמיתי יותר מכל עצם</w:t>
      </w:r>
      <w:r w:rsidR="0035330B">
        <w:rPr>
          <w:rFonts w:hint="cs"/>
          <w:b/>
          <w:bCs/>
          <w:sz w:val="28"/>
          <w:szCs w:val="28"/>
          <w:rtl/>
        </w:rPr>
        <w:t xml:space="preserve"> ב</w:t>
      </w:r>
      <w:r w:rsidR="00B26E44">
        <w:rPr>
          <w:rFonts w:hint="cs"/>
          <w:b/>
          <w:bCs/>
          <w:sz w:val="28"/>
          <w:szCs w:val="28"/>
          <w:rtl/>
        </w:rPr>
        <w:t xml:space="preserve">מה שהוא </w:t>
      </w:r>
      <w:r w:rsidR="00EE05A1">
        <w:rPr>
          <w:rFonts w:hint="cs"/>
          <w:b/>
          <w:bCs/>
          <w:sz w:val="28"/>
          <w:szCs w:val="28"/>
          <w:rtl/>
        </w:rPr>
        <w:t>מקיי</w:t>
      </w:r>
      <w:r w:rsidR="00D67016">
        <w:rPr>
          <w:rFonts w:hint="cs"/>
          <w:b/>
          <w:bCs/>
          <w:sz w:val="28"/>
          <w:szCs w:val="28"/>
          <w:rtl/>
        </w:rPr>
        <w:t>מו</w:t>
      </w:r>
      <w:r w:rsidR="00EE05A1">
        <w:rPr>
          <w:rFonts w:hint="cs"/>
          <w:b/>
          <w:bCs/>
          <w:sz w:val="28"/>
          <w:szCs w:val="28"/>
          <w:rtl/>
        </w:rPr>
        <w:t xml:space="preserve">, </w:t>
      </w:r>
      <w:r w:rsidR="009814F9">
        <w:rPr>
          <w:rFonts w:hint="cs"/>
          <w:b/>
          <w:bCs/>
          <w:sz w:val="28"/>
          <w:szCs w:val="28"/>
          <w:rtl/>
        </w:rPr>
        <w:t>הוא יסוד</w:t>
      </w:r>
      <w:r w:rsidR="001236CD">
        <w:rPr>
          <w:rFonts w:hint="cs"/>
          <w:b/>
          <w:bCs/>
          <w:sz w:val="28"/>
          <w:szCs w:val="28"/>
          <w:rtl/>
        </w:rPr>
        <w:t>ו</w:t>
      </w:r>
      <w:r w:rsidR="00495449">
        <w:rPr>
          <w:rStyle w:val="FootnoteReference"/>
          <w:b/>
          <w:bCs/>
          <w:sz w:val="28"/>
          <w:szCs w:val="28"/>
          <w:rtl/>
        </w:rPr>
        <w:footnoteReference w:id="515"/>
      </w:r>
      <w:r w:rsidR="009814F9">
        <w:rPr>
          <w:rFonts w:hint="cs"/>
          <w:b/>
          <w:bCs/>
          <w:sz w:val="28"/>
          <w:szCs w:val="28"/>
          <w:rtl/>
        </w:rPr>
        <w:t xml:space="preserve"> וה</w:t>
      </w:r>
      <w:r w:rsidR="001236CD">
        <w:rPr>
          <w:rFonts w:hint="cs"/>
          <w:b/>
          <w:bCs/>
          <w:sz w:val="28"/>
          <w:szCs w:val="28"/>
          <w:rtl/>
        </w:rPr>
        <w:t>ה</w:t>
      </w:r>
      <w:r w:rsidR="009814F9">
        <w:rPr>
          <w:rFonts w:hint="cs"/>
          <w:b/>
          <w:bCs/>
          <w:sz w:val="28"/>
          <w:szCs w:val="28"/>
          <w:rtl/>
        </w:rPr>
        <w:t>יולי</w:t>
      </w:r>
      <w:r w:rsidR="001236CD">
        <w:rPr>
          <w:rFonts w:hint="cs"/>
          <w:b/>
          <w:bCs/>
          <w:sz w:val="28"/>
          <w:szCs w:val="28"/>
          <w:rtl/>
        </w:rPr>
        <w:t xml:space="preserve"> שלו</w:t>
      </w:r>
      <w:r w:rsidR="009814F9">
        <w:rPr>
          <w:rFonts w:hint="cs"/>
          <w:b/>
          <w:bCs/>
          <w:sz w:val="28"/>
          <w:szCs w:val="28"/>
          <w:rtl/>
        </w:rPr>
        <w:t xml:space="preserve">, </w:t>
      </w:r>
      <w:r w:rsidR="00651B94">
        <w:rPr>
          <w:rFonts w:hint="cs"/>
          <w:b/>
          <w:bCs/>
          <w:sz w:val="28"/>
          <w:szCs w:val="28"/>
          <w:rtl/>
        </w:rPr>
        <w:t>א</w:t>
      </w:r>
      <w:r w:rsidR="007E017E">
        <w:rPr>
          <w:rFonts w:hint="cs"/>
          <w:b/>
          <w:bCs/>
          <w:sz w:val="28"/>
          <w:szCs w:val="28"/>
          <w:rtl/>
        </w:rPr>
        <w:t>ו</w:t>
      </w:r>
      <w:r w:rsidR="00651B94">
        <w:rPr>
          <w:rFonts w:hint="cs"/>
          <w:b/>
          <w:bCs/>
          <w:sz w:val="28"/>
          <w:szCs w:val="28"/>
          <w:rtl/>
        </w:rPr>
        <w:t xml:space="preserve">מר </w:t>
      </w:r>
      <w:r w:rsidR="007D36FE">
        <w:rPr>
          <w:rFonts w:hint="cs"/>
          <w:b/>
          <w:bCs/>
          <w:sz w:val="28"/>
          <w:szCs w:val="28"/>
          <w:rtl/>
        </w:rPr>
        <w:t>שטבע</w:t>
      </w:r>
      <w:r w:rsidR="00072ADE">
        <w:rPr>
          <w:rFonts w:hint="cs"/>
          <w:b/>
          <w:bCs/>
          <w:sz w:val="28"/>
          <w:szCs w:val="28"/>
          <w:rtl/>
        </w:rPr>
        <w:t>ו</w:t>
      </w:r>
      <w:r w:rsidR="007D36FE">
        <w:rPr>
          <w:rFonts w:hint="cs"/>
          <w:b/>
          <w:bCs/>
          <w:sz w:val="28"/>
          <w:szCs w:val="28"/>
          <w:rtl/>
        </w:rPr>
        <w:t xml:space="preserve"> של כל דבר הוא </w:t>
      </w:r>
      <w:r w:rsidR="00072ADE">
        <w:rPr>
          <w:rFonts w:hint="cs"/>
          <w:b/>
          <w:bCs/>
          <w:sz w:val="28"/>
          <w:szCs w:val="28"/>
          <w:rtl/>
        </w:rPr>
        <w:t>ה</w:t>
      </w:r>
      <w:r w:rsidR="007D36FE">
        <w:rPr>
          <w:rFonts w:hint="cs"/>
          <w:b/>
          <w:bCs/>
          <w:sz w:val="28"/>
          <w:szCs w:val="28"/>
          <w:rtl/>
        </w:rPr>
        <w:t>יסוד שלו.</w:t>
      </w:r>
    </w:p>
    <w:p w14:paraId="2B34BB61" w14:textId="01E94BBF" w:rsidR="007C2ACF" w:rsidRDefault="007C2ACF" w:rsidP="00C74DEF">
      <w:pPr>
        <w:pStyle w:val="FootnoteText"/>
        <w:rPr>
          <w:b/>
          <w:bCs/>
          <w:sz w:val="28"/>
          <w:szCs w:val="28"/>
          <w:rtl/>
        </w:rPr>
      </w:pPr>
      <w:r>
        <w:rPr>
          <w:rFonts w:hint="cs"/>
          <w:b/>
          <w:bCs/>
          <w:sz w:val="28"/>
          <w:szCs w:val="28"/>
          <w:rtl/>
        </w:rPr>
        <w:t xml:space="preserve">ובעל הדעה </w:t>
      </w:r>
      <w:r w:rsidR="00A85D32">
        <w:rPr>
          <w:rFonts w:hint="cs"/>
          <w:b/>
          <w:bCs/>
          <w:sz w:val="28"/>
          <w:szCs w:val="28"/>
          <w:rtl/>
        </w:rPr>
        <w:t xml:space="preserve">שעושה את </w:t>
      </w:r>
      <w:r w:rsidR="00927E8C">
        <w:rPr>
          <w:rFonts w:hint="cs"/>
          <w:b/>
          <w:bCs/>
          <w:sz w:val="28"/>
          <w:szCs w:val="28"/>
          <w:rtl/>
        </w:rPr>
        <w:t xml:space="preserve">הצורה </w:t>
      </w:r>
      <w:r w:rsidR="00F7126C">
        <w:rPr>
          <w:rFonts w:hint="cs"/>
          <w:b/>
          <w:bCs/>
          <w:sz w:val="28"/>
          <w:szCs w:val="28"/>
          <w:rtl/>
        </w:rPr>
        <w:t>ראויה</w:t>
      </w:r>
      <w:r w:rsidR="006D5331">
        <w:rPr>
          <w:rFonts w:hint="cs"/>
          <w:b/>
          <w:bCs/>
          <w:sz w:val="28"/>
          <w:szCs w:val="28"/>
          <w:rtl/>
        </w:rPr>
        <w:t xml:space="preserve"> יותר</w:t>
      </w:r>
      <w:r w:rsidR="00EA1A45">
        <w:rPr>
          <w:rStyle w:val="FootnoteReference"/>
          <w:b/>
          <w:bCs/>
          <w:sz w:val="28"/>
          <w:szCs w:val="28"/>
          <w:rtl/>
        </w:rPr>
        <w:footnoteReference w:id="516"/>
      </w:r>
      <w:r w:rsidR="00F7126C">
        <w:rPr>
          <w:rFonts w:hint="cs"/>
          <w:b/>
          <w:bCs/>
          <w:sz w:val="28"/>
          <w:szCs w:val="28"/>
          <w:rtl/>
        </w:rPr>
        <w:t xml:space="preserve"> </w:t>
      </w:r>
      <w:r w:rsidR="006D5331">
        <w:rPr>
          <w:rFonts w:hint="cs"/>
          <w:b/>
          <w:bCs/>
          <w:sz w:val="28"/>
          <w:szCs w:val="28"/>
          <w:rtl/>
        </w:rPr>
        <w:t>ב</w:t>
      </w:r>
      <w:r w:rsidR="00F7126C">
        <w:rPr>
          <w:rFonts w:hint="cs"/>
          <w:b/>
          <w:bCs/>
          <w:sz w:val="28"/>
          <w:szCs w:val="28"/>
          <w:rtl/>
        </w:rPr>
        <w:t>זה</w:t>
      </w:r>
      <w:r w:rsidR="00EB5287">
        <w:rPr>
          <w:rFonts w:hint="cs"/>
          <w:b/>
          <w:bCs/>
          <w:sz w:val="28"/>
          <w:szCs w:val="28"/>
          <w:rtl/>
        </w:rPr>
        <w:t xml:space="preserve">, עושה אותה </w:t>
      </w:r>
      <w:r w:rsidR="002C469C">
        <w:rPr>
          <w:rFonts w:hint="cs"/>
          <w:b/>
          <w:bCs/>
          <w:sz w:val="28"/>
          <w:szCs w:val="28"/>
          <w:rtl/>
        </w:rPr>
        <w:t>'</w:t>
      </w:r>
      <w:r w:rsidR="00EB5287">
        <w:rPr>
          <w:rFonts w:hint="cs"/>
          <w:b/>
          <w:bCs/>
          <w:sz w:val="28"/>
          <w:szCs w:val="28"/>
          <w:rtl/>
        </w:rPr>
        <w:t>טבע</w:t>
      </w:r>
      <w:r w:rsidR="002C469C">
        <w:rPr>
          <w:rFonts w:hint="cs"/>
          <w:b/>
          <w:bCs/>
          <w:sz w:val="28"/>
          <w:szCs w:val="28"/>
          <w:rtl/>
        </w:rPr>
        <w:t>'</w:t>
      </w:r>
      <w:r w:rsidR="00EB5287">
        <w:rPr>
          <w:rFonts w:hint="cs"/>
          <w:b/>
          <w:bCs/>
          <w:sz w:val="28"/>
          <w:szCs w:val="28"/>
          <w:rtl/>
        </w:rPr>
        <w:t xml:space="preserve"> הדבר. </w:t>
      </w:r>
    </w:p>
    <w:p w14:paraId="6EDC5925" w14:textId="77777777" w:rsidR="0073388E" w:rsidRDefault="007A7EBB" w:rsidP="00C74DEF">
      <w:pPr>
        <w:pStyle w:val="FootnoteText"/>
        <w:rPr>
          <w:b/>
          <w:bCs/>
          <w:sz w:val="28"/>
          <w:szCs w:val="28"/>
          <w:rtl/>
        </w:rPr>
      </w:pPr>
      <w:r>
        <w:rPr>
          <w:rFonts w:hint="cs"/>
          <w:b/>
          <w:bCs/>
          <w:sz w:val="28"/>
          <w:szCs w:val="28"/>
          <w:rtl/>
        </w:rPr>
        <w:t>וא</w:t>
      </w:r>
      <w:r w:rsidR="002F6CF8">
        <w:rPr>
          <w:rFonts w:hint="cs"/>
          <w:b/>
          <w:bCs/>
          <w:sz w:val="28"/>
          <w:szCs w:val="28"/>
          <w:rtl/>
        </w:rPr>
        <w:t>פשר</w:t>
      </w:r>
      <w:r>
        <w:rPr>
          <w:rFonts w:hint="cs"/>
          <w:b/>
          <w:bCs/>
          <w:sz w:val="28"/>
          <w:szCs w:val="28"/>
          <w:rtl/>
        </w:rPr>
        <w:t xml:space="preserve"> </w:t>
      </w:r>
      <w:r w:rsidR="002F6CF8">
        <w:rPr>
          <w:rFonts w:hint="cs"/>
          <w:b/>
          <w:bCs/>
          <w:sz w:val="28"/>
          <w:szCs w:val="28"/>
          <w:rtl/>
        </w:rPr>
        <w:t>ש</w:t>
      </w:r>
      <w:r>
        <w:rPr>
          <w:rFonts w:hint="cs"/>
          <w:b/>
          <w:bCs/>
          <w:sz w:val="28"/>
          <w:szCs w:val="28"/>
          <w:rtl/>
        </w:rPr>
        <w:t>יהי</w:t>
      </w:r>
      <w:r w:rsidR="0068745F">
        <w:rPr>
          <w:rFonts w:hint="cs"/>
          <w:b/>
          <w:bCs/>
          <w:sz w:val="28"/>
          <w:szCs w:val="28"/>
          <w:rtl/>
        </w:rPr>
        <w:t>ו אנשים</w:t>
      </w:r>
      <w:r>
        <w:rPr>
          <w:rFonts w:hint="cs"/>
          <w:b/>
          <w:bCs/>
          <w:sz w:val="28"/>
          <w:szCs w:val="28"/>
          <w:rtl/>
        </w:rPr>
        <w:t xml:space="preserve"> </w:t>
      </w:r>
      <w:r w:rsidR="00673C3B">
        <w:rPr>
          <w:rFonts w:hint="cs"/>
          <w:b/>
          <w:bCs/>
          <w:sz w:val="28"/>
          <w:szCs w:val="28"/>
          <w:rtl/>
        </w:rPr>
        <w:t>מ</w:t>
      </w:r>
      <w:r w:rsidR="007C44D9">
        <w:rPr>
          <w:rFonts w:hint="cs"/>
          <w:b/>
          <w:bCs/>
          <w:sz w:val="28"/>
          <w:szCs w:val="28"/>
          <w:rtl/>
        </w:rPr>
        <w:t>בין</w:t>
      </w:r>
      <w:r w:rsidR="009961BF">
        <w:rPr>
          <w:rFonts w:hint="cs"/>
          <w:b/>
          <w:bCs/>
          <w:sz w:val="28"/>
          <w:szCs w:val="28"/>
          <w:rtl/>
        </w:rPr>
        <w:t xml:space="preserve"> החוקרים</w:t>
      </w:r>
      <w:r w:rsidR="0068745F">
        <w:rPr>
          <w:rFonts w:hint="cs"/>
          <w:b/>
          <w:bCs/>
          <w:sz w:val="28"/>
          <w:szCs w:val="28"/>
          <w:rtl/>
        </w:rPr>
        <w:t xml:space="preserve"> </w:t>
      </w:r>
      <w:r w:rsidR="00692C67">
        <w:rPr>
          <w:rFonts w:hint="cs"/>
          <w:b/>
          <w:bCs/>
          <w:sz w:val="28"/>
          <w:szCs w:val="28"/>
          <w:rtl/>
        </w:rPr>
        <w:t xml:space="preserve">שדעתם שהתנועה </w:t>
      </w:r>
      <w:r w:rsidR="00B071DF">
        <w:rPr>
          <w:rFonts w:hint="cs"/>
          <w:b/>
          <w:bCs/>
          <w:sz w:val="28"/>
          <w:szCs w:val="28"/>
          <w:rtl/>
        </w:rPr>
        <w:t xml:space="preserve">היא ההתחלה הראשונה </w:t>
      </w:r>
      <w:r w:rsidR="00981EFE">
        <w:rPr>
          <w:rFonts w:hint="cs"/>
          <w:b/>
          <w:bCs/>
          <w:sz w:val="28"/>
          <w:szCs w:val="28"/>
          <w:rtl/>
        </w:rPr>
        <w:t>שנותנת לעצם את קיומו</w:t>
      </w:r>
      <w:r w:rsidR="00582088">
        <w:rPr>
          <w:rFonts w:hint="cs"/>
          <w:b/>
          <w:bCs/>
          <w:sz w:val="28"/>
          <w:szCs w:val="28"/>
          <w:rtl/>
        </w:rPr>
        <w:t xml:space="preserve">, ועשוה </w:t>
      </w:r>
      <w:r w:rsidR="0066164F">
        <w:rPr>
          <w:rFonts w:hint="cs"/>
          <w:b/>
          <w:bCs/>
          <w:sz w:val="28"/>
          <w:szCs w:val="28"/>
          <w:rtl/>
        </w:rPr>
        <w:t>טבע כל דבר</w:t>
      </w:r>
      <w:r w:rsidR="00AA5A50">
        <w:rPr>
          <w:rStyle w:val="FootnoteReference"/>
          <w:b/>
          <w:bCs/>
          <w:sz w:val="28"/>
          <w:szCs w:val="28"/>
          <w:rtl/>
        </w:rPr>
        <w:footnoteReference w:id="517"/>
      </w:r>
      <w:r w:rsidR="00E22578">
        <w:rPr>
          <w:rFonts w:hint="cs"/>
          <w:b/>
          <w:bCs/>
          <w:sz w:val="28"/>
          <w:szCs w:val="28"/>
          <w:rtl/>
        </w:rPr>
        <w:t>.</w:t>
      </w:r>
    </w:p>
    <w:p w14:paraId="73CCDC95" w14:textId="34AB3C75" w:rsidR="009A198B" w:rsidRDefault="00F7223C" w:rsidP="00AF63E4">
      <w:pPr>
        <w:pStyle w:val="FootnoteText"/>
        <w:rPr>
          <w:b/>
          <w:bCs/>
          <w:sz w:val="28"/>
          <w:szCs w:val="28"/>
          <w:rtl/>
        </w:rPr>
      </w:pPr>
      <w:r>
        <w:rPr>
          <w:rFonts w:hint="cs"/>
          <w:b/>
          <w:bCs/>
          <w:sz w:val="28"/>
          <w:szCs w:val="28"/>
          <w:rtl/>
        </w:rPr>
        <w:t xml:space="preserve">ומי שעושה את </w:t>
      </w:r>
      <w:r w:rsidR="003B4A09">
        <w:rPr>
          <w:rFonts w:hint="cs"/>
          <w:b/>
          <w:bCs/>
          <w:sz w:val="28"/>
          <w:szCs w:val="28"/>
          <w:rtl/>
        </w:rPr>
        <w:t xml:space="preserve">טבעו של כל דבר צורתו, </w:t>
      </w:r>
      <w:r w:rsidR="00C3487B">
        <w:rPr>
          <w:rFonts w:hint="cs"/>
          <w:b/>
          <w:bCs/>
          <w:sz w:val="28"/>
          <w:szCs w:val="28"/>
          <w:rtl/>
        </w:rPr>
        <w:t xml:space="preserve">עושה אותה בפשוטים </w:t>
      </w:r>
      <w:r w:rsidR="00991DF4">
        <w:rPr>
          <w:rFonts w:hint="cs"/>
          <w:b/>
          <w:bCs/>
          <w:sz w:val="28"/>
          <w:szCs w:val="28"/>
          <w:rtl/>
        </w:rPr>
        <w:t>המהות הפשוטה</w:t>
      </w:r>
      <w:r w:rsidR="00D04823">
        <w:rPr>
          <w:rFonts w:hint="cs"/>
          <w:b/>
          <w:bCs/>
          <w:sz w:val="28"/>
          <w:szCs w:val="28"/>
          <w:rtl/>
        </w:rPr>
        <w:t xml:space="preserve">, ובמורכבים המזג. </w:t>
      </w:r>
      <w:r w:rsidR="009F5FE6">
        <w:rPr>
          <w:rFonts w:hint="cs"/>
          <w:b/>
          <w:bCs/>
          <w:sz w:val="28"/>
          <w:szCs w:val="28"/>
          <w:rtl/>
        </w:rPr>
        <w:t xml:space="preserve">ותלמד </w:t>
      </w:r>
      <w:r w:rsidR="00A93BB6">
        <w:rPr>
          <w:rFonts w:hint="cs"/>
          <w:b/>
          <w:bCs/>
          <w:sz w:val="28"/>
          <w:szCs w:val="28"/>
          <w:rtl/>
        </w:rPr>
        <w:t xml:space="preserve">בהמשך על המזג </w:t>
      </w:r>
      <w:r w:rsidR="000F04F8">
        <w:rPr>
          <w:rFonts w:hint="cs"/>
          <w:b/>
          <w:bCs/>
          <w:sz w:val="28"/>
          <w:szCs w:val="28"/>
          <w:rtl/>
        </w:rPr>
        <w:t>מה ה</w:t>
      </w:r>
      <w:r w:rsidR="00220926">
        <w:rPr>
          <w:rFonts w:hint="cs"/>
          <w:b/>
          <w:bCs/>
          <w:sz w:val="28"/>
          <w:szCs w:val="28"/>
          <w:rtl/>
        </w:rPr>
        <w:t>וא</w:t>
      </w:r>
      <w:r w:rsidR="000C1B78">
        <w:rPr>
          <w:rStyle w:val="FootnoteReference"/>
          <w:b/>
          <w:bCs/>
          <w:sz w:val="28"/>
          <w:szCs w:val="28"/>
          <w:rtl/>
        </w:rPr>
        <w:footnoteReference w:id="518"/>
      </w:r>
      <w:r w:rsidR="000F04F8">
        <w:rPr>
          <w:rFonts w:hint="cs"/>
          <w:b/>
          <w:bCs/>
          <w:sz w:val="28"/>
          <w:szCs w:val="28"/>
          <w:rtl/>
        </w:rPr>
        <w:t>, ו</w:t>
      </w:r>
      <w:r w:rsidR="003F5A74">
        <w:rPr>
          <w:rFonts w:hint="cs"/>
          <w:b/>
          <w:bCs/>
          <w:sz w:val="28"/>
          <w:szCs w:val="28"/>
          <w:rtl/>
        </w:rPr>
        <w:t xml:space="preserve">כעת </w:t>
      </w:r>
      <w:r w:rsidR="000F04F8">
        <w:rPr>
          <w:rFonts w:hint="cs"/>
          <w:b/>
          <w:bCs/>
          <w:sz w:val="28"/>
          <w:szCs w:val="28"/>
          <w:rtl/>
        </w:rPr>
        <w:t>נ</w:t>
      </w:r>
      <w:r w:rsidR="00214C02">
        <w:rPr>
          <w:rFonts w:hint="cs"/>
          <w:b/>
          <w:bCs/>
          <w:sz w:val="28"/>
          <w:szCs w:val="28"/>
          <w:rtl/>
        </w:rPr>
        <w:t>דריך</w:t>
      </w:r>
      <w:r w:rsidR="000F04F8">
        <w:rPr>
          <w:rFonts w:hint="cs"/>
          <w:b/>
          <w:bCs/>
          <w:sz w:val="28"/>
          <w:szCs w:val="28"/>
          <w:rtl/>
        </w:rPr>
        <w:t xml:space="preserve"> אותך</w:t>
      </w:r>
      <w:r w:rsidR="003F5A74">
        <w:rPr>
          <w:rFonts w:hint="cs"/>
          <w:b/>
          <w:bCs/>
          <w:sz w:val="28"/>
          <w:szCs w:val="28"/>
          <w:rtl/>
        </w:rPr>
        <w:t xml:space="preserve"> עלי</w:t>
      </w:r>
      <w:r w:rsidR="00B7342E">
        <w:rPr>
          <w:rFonts w:hint="cs"/>
          <w:b/>
          <w:bCs/>
          <w:sz w:val="28"/>
          <w:szCs w:val="28"/>
          <w:rtl/>
        </w:rPr>
        <w:t>ו</w:t>
      </w:r>
      <w:r w:rsidR="003F5A74">
        <w:rPr>
          <w:rFonts w:hint="cs"/>
          <w:b/>
          <w:bCs/>
          <w:sz w:val="28"/>
          <w:szCs w:val="28"/>
          <w:rtl/>
        </w:rPr>
        <w:t xml:space="preserve"> בדרך פשוטה ונאמר</w:t>
      </w:r>
      <w:r w:rsidR="00803A6D">
        <w:rPr>
          <w:rFonts w:hint="cs"/>
          <w:b/>
          <w:bCs/>
          <w:sz w:val="28"/>
          <w:szCs w:val="28"/>
          <w:rtl/>
        </w:rPr>
        <w:t xml:space="preserve"> שהמזג ה</w:t>
      </w:r>
      <w:r w:rsidR="00A57BD4">
        <w:rPr>
          <w:rFonts w:hint="cs"/>
          <w:b/>
          <w:bCs/>
          <w:sz w:val="28"/>
          <w:szCs w:val="28"/>
          <w:rtl/>
        </w:rPr>
        <w:t>וא איכות ש</w:t>
      </w:r>
      <w:r w:rsidR="0004227C">
        <w:rPr>
          <w:rFonts w:hint="cs"/>
          <w:b/>
          <w:bCs/>
          <w:sz w:val="28"/>
          <w:szCs w:val="28"/>
          <w:rtl/>
        </w:rPr>
        <w:t xml:space="preserve">קורה </w:t>
      </w:r>
      <w:r w:rsidR="000B1A6E">
        <w:rPr>
          <w:rFonts w:hint="cs"/>
          <w:b/>
          <w:bCs/>
          <w:sz w:val="28"/>
          <w:szCs w:val="28"/>
          <w:rtl/>
        </w:rPr>
        <w:t>מפעולות</w:t>
      </w:r>
      <w:r w:rsidR="00AC7FE1">
        <w:rPr>
          <w:rFonts w:hint="cs"/>
          <w:b/>
          <w:bCs/>
          <w:sz w:val="28"/>
          <w:szCs w:val="28"/>
          <w:rtl/>
        </w:rPr>
        <w:t xml:space="preserve"> הדדיות</w:t>
      </w:r>
      <w:r w:rsidR="000B1A6E">
        <w:rPr>
          <w:rFonts w:hint="cs"/>
          <w:b/>
          <w:bCs/>
          <w:sz w:val="28"/>
          <w:szCs w:val="28"/>
          <w:rtl/>
        </w:rPr>
        <w:t xml:space="preserve"> </w:t>
      </w:r>
      <w:r w:rsidR="00C60216">
        <w:rPr>
          <w:rFonts w:hint="cs"/>
          <w:b/>
          <w:bCs/>
          <w:sz w:val="28"/>
          <w:szCs w:val="28"/>
          <w:rtl/>
        </w:rPr>
        <w:t xml:space="preserve">של איכויות מנוגדות </w:t>
      </w:r>
      <w:r w:rsidR="00AC7FE1">
        <w:rPr>
          <w:rFonts w:hint="cs"/>
          <w:b/>
          <w:bCs/>
          <w:sz w:val="28"/>
          <w:szCs w:val="28"/>
          <w:rtl/>
        </w:rPr>
        <w:t>בג</w:t>
      </w:r>
      <w:r w:rsidR="00D03D9F">
        <w:rPr>
          <w:rFonts w:hint="cs"/>
          <w:b/>
          <w:bCs/>
          <w:sz w:val="28"/>
          <w:szCs w:val="28"/>
          <w:rtl/>
        </w:rPr>
        <w:t>שמי</w:t>
      </w:r>
      <w:r w:rsidR="00AC7FE1">
        <w:rPr>
          <w:rFonts w:hint="cs"/>
          <w:b/>
          <w:bCs/>
          <w:sz w:val="28"/>
          <w:szCs w:val="28"/>
          <w:rtl/>
        </w:rPr>
        <w:t xml:space="preserve">ם </w:t>
      </w:r>
      <w:r w:rsidR="000447E9">
        <w:rPr>
          <w:rFonts w:hint="cs"/>
          <w:b/>
          <w:bCs/>
          <w:sz w:val="28"/>
          <w:szCs w:val="28"/>
          <w:rtl/>
        </w:rPr>
        <w:t>שנוגעים זה בזה</w:t>
      </w:r>
      <w:r w:rsidR="00A27D11">
        <w:rPr>
          <w:rStyle w:val="FootnoteReference"/>
          <w:b/>
          <w:bCs/>
          <w:sz w:val="28"/>
          <w:szCs w:val="28"/>
          <w:rtl/>
        </w:rPr>
        <w:footnoteReference w:id="519"/>
      </w:r>
      <w:r w:rsidR="000447E9">
        <w:rPr>
          <w:rFonts w:hint="cs"/>
          <w:b/>
          <w:bCs/>
          <w:sz w:val="28"/>
          <w:szCs w:val="28"/>
          <w:rtl/>
        </w:rPr>
        <w:t>.</w:t>
      </w:r>
    </w:p>
    <w:p w14:paraId="5084789B" w14:textId="77777777" w:rsidR="00160665" w:rsidRPr="00310BE4" w:rsidRDefault="009A198B" w:rsidP="003266A1">
      <w:pPr>
        <w:pStyle w:val="Heading4"/>
        <w:rPr>
          <w:rtl/>
        </w:rPr>
      </w:pPr>
      <w:bookmarkStart w:id="253" w:name="_Toc119092668"/>
      <w:r w:rsidRPr="00310BE4">
        <w:rPr>
          <w:rFonts w:hint="cs"/>
          <w:rtl/>
        </w:rPr>
        <w:t>1.6.6</w:t>
      </w:r>
      <w:bookmarkEnd w:id="253"/>
    </w:p>
    <w:p w14:paraId="10BE87DB" w14:textId="7AFDB639" w:rsidR="000867E6" w:rsidRDefault="00160665" w:rsidP="000A56DC">
      <w:pPr>
        <w:pStyle w:val="FootnoteText"/>
        <w:rPr>
          <w:b/>
          <w:bCs/>
          <w:sz w:val="28"/>
          <w:szCs w:val="28"/>
          <w:rtl/>
        </w:rPr>
      </w:pPr>
      <w:r>
        <w:rPr>
          <w:rFonts w:hint="cs"/>
          <w:b/>
          <w:bCs/>
          <w:sz w:val="28"/>
          <w:szCs w:val="28"/>
          <w:rtl/>
        </w:rPr>
        <w:t>ה</w:t>
      </w:r>
      <w:r w:rsidR="00310BE4">
        <w:rPr>
          <w:rFonts w:hint="cs"/>
          <w:b/>
          <w:bCs/>
          <w:sz w:val="28"/>
          <w:szCs w:val="28"/>
          <w:rtl/>
        </w:rPr>
        <w:t>קדמונים</w:t>
      </w:r>
      <w:r w:rsidR="000447E9">
        <w:rPr>
          <w:rFonts w:hint="cs"/>
          <w:b/>
          <w:bCs/>
          <w:sz w:val="28"/>
          <w:szCs w:val="28"/>
          <w:rtl/>
        </w:rPr>
        <w:t xml:space="preserve"> </w:t>
      </w:r>
      <w:r w:rsidR="001C7A8F">
        <w:rPr>
          <w:rFonts w:hint="cs"/>
          <w:b/>
          <w:bCs/>
          <w:sz w:val="28"/>
          <w:szCs w:val="28"/>
          <w:rtl/>
        </w:rPr>
        <w:t xml:space="preserve">שבין </w:t>
      </w:r>
      <w:r w:rsidR="00D32120">
        <w:rPr>
          <w:rFonts w:hint="cs"/>
          <w:b/>
          <w:bCs/>
          <w:sz w:val="28"/>
          <w:szCs w:val="28"/>
          <w:rtl/>
        </w:rPr>
        <w:t>הראשונים</w:t>
      </w:r>
      <w:r w:rsidR="00D32120">
        <w:rPr>
          <w:rStyle w:val="FootnoteReference"/>
          <w:b/>
          <w:bCs/>
          <w:sz w:val="28"/>
          <w:szCs w:val="28"/>
          <w:rtl/>
        </w:rPr>
        <w:footnoteReference w:id="520"/>
      </w:r>
      <w:r w:rsidR="00250324">
        <w:rPr>
          <w:rFonts w:hint="cs"/>
          <w:b/>
          <w:bCs/>
          <w:sz w:val="28"/>
          <w:szCs w:val="28"/>
          <w:rtl/>
        </w:rPr>
        <w:t xml:space="preserve"> </w:t>
      </w:r>
      <w:r w:rsidR="00C3472A">
        <w:rPr>
          <w:rFonts w:hint="cs"/>
          <w:b/>
          <w:bCs/>
          <w:sz w:val="28"/>
          <w:szCs w:val="28"/>
          <w:rtl/>
        </w:rPr>
        <w:t xml:space="preserve">היו </w:t>
      </w:r>
      <w:r w:rsidR="006F4784">
        <w:rPr>
          <w:rFonts w:hint="cs"/>
          <w:b/>
          <w:bCs/>
          <w:sz w:val="28"/>
          <w:szCs w:val="28"/>
          <w:rtl/>
        </w:rPr>
        <w:t xml:space="preserve">נלהבים מאוד </w:t>
      </w:r>
      <w:r w:rsidR="00FA38BE">
        <w:rPr>
          <w:rFonts w:hint="cs"/>
          <w:b/>
          <w:bCs/>
          <w:sz w:val="28"/>
          <w:szCs w:val="28"/>
          <w:rtl/>
        </w:rPr>
        <w:t>בהערכת החומר</w:t>
      </w:r>
      <w:r w:rsidR="00C515D0">
        <w:rPr>
          <w:rStyle w:val="FootnoteReference"/>
          <w:b/>
          <w:bCs/>
          <w:sz w:val="28"/>
          <w:szCs w:val="28"/>
          <w:rtl/>
        </w:rPr>
        <w:footnoteReference w:id="521"/>
      </w:r>
      <w:r w:rsidR="00FA38BE">
        <w:rPr>
          <w:rFonts w:hint="cs"/>
          <w:b/>
          <w:bCs/>
          <w:sz w:val="28"/>
          <w:szCs w:val="28"/>
          <w:rtl/>
        </w:rPr>
        <w:t xml:space="preserve"> </w:t>
      </w:r>
      <w:r w:rsidR="00206ED6">
        <w:rPr>
          <w:rFonts w:hint="cs"/>
          <w:b/>
          <w:bCs/>
          <w:sz w:val="28"/>
          <w:szCs w:val="28"/>
          <w:rtl/>
        </w:rPr>
        <w:t xml:space="preserve">ובדיבור עליו ובעשותו </w:t>
      </w:r>
      <w:r w:rsidR="00E33F61">
        <w:rPr>
          <w:rFonts w:hint="cs"/>
          <w:b/>
          <w:bCs/>
          <w:sz w:val="28"/>
          <w:szCs w:val="28"/>
          <w:rtl/>
        </w:rPr>
        <w:t xml:space="preserve">'טבע'. </w:t>
      </w:r>
      <w:r w:rsidR="0059321F">
        <w:rPr>
          <w:rFonts w:hint="cs"/>
          <w:b/>
          <w:bCs/>
          <w:sz w:val="28"/>
          <w:szCs w:val="28"/>
          <w:rtl/>
        </w:rPr>
        <w:t xml:space="preserve">ומהם </w:t>
      </w:r>
      <w:proofErr w:type="spellStart"/>
      <w:r w:rsidR="00F30A41">
        <w:rPr>
          <w:rFonts w:hint="cs"/>
          <w:b/>
          <w:bCs/>
          <w:sz w:val="28"/>
          <w:szCs w:val="28"/>
          <w:rtl/>
        </w:rPr>
        <w:t>אנטיפון</w:t>
      </w:r>
      <w:proofErr w:type="spellEnd"/>
      <w:r w:rsidR="00F30A41">
        <w:rPr>
          <w:rStyle w:val="FootnoteReference"/>
          <w:b/>
          <w:bCs/>
          <w:sz w:val="28"/>
          <w:szCs w:val="28"/>
          <w:rtl/>
        </w:rPr>
        <w:footnoteReference w:id="522"/>
      </w:r>
      <w:r w:rsidR="0059321F">
        <w:rPr>
          <w:rFonts w:hint="cs"/>
          <w:b/>
          <w:bCs/>
          <w:sz w:val="28"/>
          <w:szCs w:val="28"/>
          <w:rtl/>
        </w:rPr>
        <w:t xml:space="preserve"> שהזכיר</w:t>
      </w:r>
      <w:r w:rsidR="00BF42A8">
        <w:rPr>
          <w:rFonts w:hint="cs"/>
          <w:b/>
          <w:bCs/>
          <w:sz w:val="28"/>
          <w:szCs w:val="28"/>
          <w:rtl/>
        </w:rPr>
        <w:t>ו</w:t>
      </w:r>
      <w:r w:rsidR="0059321F">
        <w:rPr>
          <w:rFonts w:hint="cs"/>
          <w:b/>
          <w:bCs/>
          <w:sz w:val="28"/>
          <w:szCs w:val="28"/>
          <w:rtl/>
        </w:rPr>
        <w:t xml:space="preserve"> המורה הראשון</w:t>
      </w:r>
      <w:r w:rsidR="00A232C7">
        <w:rPr>
          <w:rStyle w:val="FootnoteReference"/>
          <w:b/>
          <w:bCs/>
          <w:sz w:val="28"/>
          <w:szCs w:val="28"/>
          <w:rtl/>
        </w:rPr>
        <w:footnoteReference w:id="523"/>
      </w:r>
      <w:r w:rsidR="00622568">
        <w:rPr>
          <w:rFonts w:hint="cs"/>
          <w:b/>
          <w:bCs/>
          <w:sz w:val="28"/>
          <w:szCs w:val="28"/>
          <w:rtl/>
        </w:rPr>
        <w:t xml:space="preserve"> ואמר עליו </w:t>
      </w:r>
      <w:r w:rsidR="00867D9D">
        <w:rPr>
          <w:rFonts w:hint="cs"/>
          <w:b/>
          <w:bCs/>
          <w:sz w:val="28"/>
          <w:szCs w:val="28"/>
          <w:rtl/>
        </w:rPr>
        <w:t xml:space="preserve">שהוא </w:t>
      </w:r>
      <w:r w:rsidR="0014796C">
        <w:rPr>
          <w:rFonts w:hint="cs"/>
          <w:b/>
          <w:bCs/>
          <w:sz w:val="28"/>
          <w:szCs w:val="28"/>
          <w:rtl/>
        </w:rPr>
        <w:t xml:space="preserve">טען שהחומר </w:t>
      </w:r>
      <w:r w:rsidR="003A1FE8">
        <w:rPr>
          <w:rFonts w:hint="cs"/>
          <w:b/>
          <w:bCs/>
          <w:sz w:val="28"/>
          <w:szCs w:val="28"/>
          <w:rtl/>
        </w:rPr>
        <w:t xml:space="preserve">הוא הטבע והוא המקיים את העצמים. </w:t>
      </w:r>
      <w:r w:rsidR="006C56A4">
        <w:rPr>
          <w:rFonts w:hint="cs"/>
          <w:b/>
          <w:bCs/>
          <w:sz w:val="28"/>
          <w:szCs w:val="28"/>
          <w:rtl/>
        </w:rPr>
        <w:t>ו</w:t>
      </w:r>
      <w:r w:rsidR="00C515D0">
        <w:rPr>
          <w:rFonts w:hint="cs"/>
          <w:b/>
          <w:bCs/>
          <w:sz w:val="28"/>
          <w:szCs w:val="28"/>
          <w:rtl/>
        </w:rPr>
        <w:t>טען</w:t>
      </w:r>
      <w:r w:rsidR="00C80192">
        <w:rPr>
          <w:rFonts w:hint="cs"/>
          <w:b/>
          <w:bCs/>
          <w:sz w:val="28"/>
          <w:szCs w:val="28"/>
          <w:rtl/>
        </w:rPr>
        <w:t xml:space="preserve"> [</w:t>
      </w:r>
      <w:proofErr w:type="spellStart"/>
      <w:r w:rsidR="00C80192">
        <w:rPr>
          <w:rFonts w:hint="cs"/>
          <w:b/>
          <w:bCs/>
          <w:sz w:val="28"/>
          <w:szCs w:val="28"/>
          <w:rtl/>
        </w:rPr>
        <w:t>אנטיפון</w:t>
      </w:r>
      <w:proofErr w:type="spellEnd"/>
      <w:r w:rsidR="00C80192">
        <w:rPr>
          <w:rFonts w:hint="cs"/>
          <w:b/>
          <w:bCs/>
          <w:sz w:val="28"/>
          <w:szCs w:val="28"/>
          <w:rtl/>
        </w:rPr>
        <w:t>]</w:t>
      </w:r>
      <w:r w:rsidR="006C56A4">
        <w:rPr>
          <w:rFonts w:hint="cs"/>
          <w:b/>
          <w:bCs/>
          <w:sz w:val="28"/>
          <w:szCs w:val="28"/>
          <w:rtl/>
        </w:rPr>
        <w:t xml:space="preserve"> ש</w:t>
      </w:r>
      <w:r w:rsidR="00227879" w:rsidRPr="00227879">
        <w:rPr>
          <w:b/>
          <w:bCs/>
          <w:sz w:val="28"/>
          <w:szCs w:val="28"/>
          <w:rtl/>
        </w:rPr>
        <w:t>לוּ</w:t>
      </w:r>
      <w:r w:rsidR="0024105D">
        <w:rPr>
          <w:rFonts w:hint="cs"/>
          <w:b/>
          <w:bCs/>
          <w:sz w:val="28"/>
          <w:szCs w:val="28"/>
          <w:rtl/>
        </w:rPr>
        <w:t xml:space="preserve"> </w:t>
      </w:r>
      <w:proofErr w:type="spellStart"/>
      <w:r w:rsidR="0024105D">
        <w:rPr>
          <w:rFonts w:hint="cs"/>
          <w:b/>
          <w:bCs/>
          <w:sz w:val="28"/>
          <w:szCs w:val="28"/>
          <w:rtl/>
        </w:rPr>
        <w:t>היתה</w:t>
      </w:r>
      <w:proofErr w:type="spellEnd"/>
      <w:r w:rsidR="006C56A4">
        <w:rPr>
          <w:rFonts w:hint="cs"/>
          <w:b/>
          <w:bCs/>
          <w:sz w:val="28"/>
          <w:szCs w:val="28"/>
          <w:rtl/>
        </w:rPr>
        <w:t xml:space="preserve"> הצורה</w:t>
      </w:r>
      <w:r w:rsidR="000A56DC">
        <w:rPr>
          <w:rFonts w:hint="cs"/>
          <w:b/>
          <w:bCs/>
          <w:sz w:val="28"/>
          <w:szCs w:val="28"/>
          <w:rtl/>
        </w:rPr>
        <w:t xml:space="preserve"> היא </w:t>
      </w:r>
      <w:r w:rsidR="00AA3C77">
        <w:rPr>
          <w:rFonts w:hint="cs"/>
          <w:b/>
          <w:bCs/>
          <w:sz w:val="28"/>
          <w:szCs w:val="28"/>
          <w:rtl/>
        </w:rPr>
        <w:t>ה</w:t>
      </w:r>
      <w:r w:rsidR="000A56DC">
        <w:rPr>
          <w:rFonts w:hint="cs"/>
          <w:b/>
          <w:bCs/>
          <w:sz w:val="28"/>
          <w:szCs w:val="28"/>
          <w:rtl/>
        </w:rPr>
        <w:t>טבע</w:t>
      </w:r>
      <w:r w:rsidR="00227879">
        <w:rPr>
          <w:rFonts w:hint="cs"/>
          <w:b/>
          <w:bCs/>
          <w:sz w:val="28"/>
          <w:szCs w:val="28"/>
          <w:rtl/>
        </w:rPr>
        <w:t xml:space="preserve"> </w:t>
      </w:r>
      <w:r w:rsidR="00AA3C77">
        <w:rPr>
          <w:rFonts w:hint="cs"/>
          <w:b/>
          <w:bCs/>
          <w:sz w:val="28"/>
          <w:szCs w:val="28"/>
          <w:rtl/>
        </w:rPr>
        <w:t>שב</w:t>
      </w:r>
      <w:r w:rsidR="000A56DC">
        <w:rPr>
          <w:rFonts w:hint="cs"/>
          <w:b/>
          <w:bCs/>
          <w:sz w:val="28"/>
          <w:szCs w:val="28"/>
          <w:rtl/>
        </w:rPr>
        <w:t>דברים</w:t>
      </w:r>
      <w:r w:rsidR="00AA3C77">
        <w:rPr>
          <w:rFonts w:hint="cs"/>
          <w:b/>
          <w:bCs/>
          <w:sz w:val="28"/>
          <w:szCs w:val="28"/>
          <w:rtl/>
        </w:rPr>
        <w:t xml:space="preserve"> </w:t>
      </w:r>
      <w:r w:rsidR="004B7783">
        <w:rPr>
          <w:rFonts w:hint="cs"/>
          <w:b/>
          <w:bCs/>
          <w:sz w:val="28"/>
          <w:szCs w:val="28"/>
          <w:rtl/>
        </w:rPr>
        <w:t xml:space="preserve">אז </w:t>
      </w:r>
      <w:r w:rsidR="00D44464">
        <w:rPr>
          <w:rFonts w:hint="cs"/>
          <w:b/>
          <w:bCs/>
          <w:sz w:val="28"/>
          <w:szCs w:val="28"/>
          <w:rtl/>
        </w:rPr>
        <w:t xml:space="preserve">אם </w:t>
      </w:r>
      <w:r w:rsidR="00A46F40">
        <w:rPr>
          <w:rFonts w:hint="cs"/>
          <w:b/>
          <w:bCs/>
          <w:sz w:val="28"/>
          <w:szCs w:val="28"/>
          <w:rtl/>
        </w:rPr>
        <w:t>הייתה המיטה</w:t>
      </w:r>
      <w:r w:rsidR="005B7EA4">
        <w:rPr>
          <w:rFonts w:hint="cs"/>
          <w:b/>
          <w:bCs/>
          <w:sz w:val="28"/>
          <w:szCs w:val="28"/>
          <w:rtl/>
        </w:rPr>
        <w:t xml:space="preserve"> נרקבת </w:t>
      </w:r>
      <w:r w:rsidR="00B21FB7">
        <w:rPr>
          <w:rFonts w:hint="cs"/>
          <w:b/>
          <w:bCs/>
          <w:sz w:val="28"/>
          <w:szCs w:val="28"/>
          <w:rtl/>
        </w:rPr>
        <w:t>עד ש</w:t>
      </w:r>
      <w:r w:rsidR="00790FCD">
        <w:rPr>
          <w:rFonts w:hint="cs"/>
          <w:b/>
          <w:bCs/>
          <w:sz w:val="28"/>
          <w:szCs w:val="28"/>
          <w:rtl/>
        </w:rPr>
        <w:t xml:space="preserve">מצמיחה ענפים, </w:t>
      </w:r>
      <w:r w:rsidR="007A3FF9">
        <w:rPr>
          <w:rFonts w:hint="cs"/>
          <w:b/>
          <w:bCs/>
          <w:sz w:val="28"/>
          <w:szCs w:val="28"/>
          <w:rtl/>
        </w:rPr>
        <w:t xml:space="preserve">הייתה מצמיחה </w:t>
      </w:r>
      <w:r w:rsidR="00F96CC2">
        <w:rPr>
          <w:rFonts w:hint="cs"/>
          <w:b/>
          <w:bCs/>
          <w:sz w:val="28"/>
          <w:szCs w:val="28"/>
          <w:rtl/>
        </w:rPr>
        <w:t xml:space="preserve">מיטות. </w:t>
      </w:r>
      <w:r w:rsidR="00126AE5">
        <w:rPr>
          <w:rFonts w:hint="cs"/>
          <w:b/>
          <w:bCs/>
          <w:sz w:val="28"/>
          <w:szCs w:val="28"/>
          <w:rtl/>
        </w:rPr>
        <w:t xml:space="preserve">ואין זה כך, אלא </w:t>
      </w:r>
      <w:r w:rsidR="00430AC0">
        <w:rPr>
          <w:rFonts w:hint="cs"/>
          <w:b/>
          <w:bCs/>
          <w:sz w:val="28"/>
          <w:szCs w:val="28"/>
          <w:rtl/>
        </w:rPr>
        <w:t xml:space="preserve">תחזור לטבע של עץ, ותצמיח עץ. </w:t>
      </w:r>
      <w:r w:rsidR="005A3456">
        <w:rPr>
          <w:rFonts w:hint="cs"/>
          <w:b/>
          <w:bCs/>
          <w:sz w:val="28"/>
          <w:szCs w:val="28"/>
          <w:rtl/>
        </w:rPr>
        <w:t xml:space="preserve">דעתו של אדם זה הייתה </w:t>
      </w:r>
      <w:r w:rsidR="00734C44">
        <w:rPr>
          <w:rFonts w:hint="cs"/>
          <w:b/>
          <w:bCs/>
          <w:sz w:val="28"/>
          <w:szCs w:val="28"/>
          <w:rtl/>
        </w:rPr>
        <w:t xml:space="preserve">שהטבע הוא החומר, </w:t>
      </w:r>
      <w:r w:rsidR="000B570D">
        <w:rPr>
          <w:rFonts w:hint="cs"/>
          <w:b/>
          <w:bCs/>
          <w:sz w:val="28"/>
          <w:szCs w:val="28"/>
          <w:rtl/>
        </w:rPr>
        <w:t xml:space="preserve">ולא כל חומר, </w:t>
      </w:r>
      <w:r w:rsidR="00EB5BFA">
        <w:rPr>
          <w:rFonts w:hint="cs"/>
          <w:b/>
          <w:bCs/>
          <w:sz w:val="28"/>
          <w:szCs w:val="28"/>
          <w:rtl/>
        </w:rPr>
        <w:t xml:space="preserve">אלא זה </w:t>
      </w:r>
      <w:r w:rsidR="00F93126">
        <w:rPr>
          <w:rFonts w:hint="cs"/>
          <w:b/>
          <w:bCs/>
          <w:sz w:val="28"/>
          <w:szCs w:val="28"/>
          <w:rtl/>
        </w:rPr>
        <w:t>שנשמר</w:t>
      </w:r>
      <w:r w:rsidR="00156113">
        <w:rPr>
          <w:rFonts w:hint="cs"/>
          <w:b/>
          <w:bCs/>
          <w:sz w:val="28"/>
          <w:szCs w:val="28"/>
          <w:rtl/>
        </w:rPr>
        <w:t>ת</w:t>
      </w:r>
      <w:r w:rsidR="00F93126">
        <w:rPr>
          <w:rFonts w:hint="cs"/>
          <w:b/>
          <w:bCs/>
          <w:sz w:val="28"/>
          <w:szCs w:val="28"/>
          <w:rtl/>
        </w:rPr>
        <w:t xml:space="preserve"> </w:t>
      </w:r>
      <w:r w:rsidR="005660BF">
        <w:rPr>
          <w:rFonts w:hint="cs"/>
          <w:b/>
          <w:bCs/>
          <w:sz w:val="28"/>
          <w:szCs w:val="28"/>
          <w:rtl/>
        </w:rPr>
        <w:t>עצמ</w:t>
      </w:r>
      <w:r w:rsidR="00156113">
        <w:rPr>
          <w:rFonts w:hint="cs"/>
          <w:b/>
          <w:bCs/>
          <w:sz w:val="28"/>
          <w:szCs w:val="28"/>
          <w:rtl/>
        </w:rPr>
        <w:t>ות</w:t>
      </w:r>
      <w:r w:rsidR="00DD498A">
        <w:rPr>
          <w:rFonts w:hint="cs"/>
          <w:b/>
          <w:bCs/>
          <w:sz w:val="28"/>
          <w:szCs w:val="28"/>
          <w:rtl/>
        </w:rPr>
        <w:t>ו</w:t>
      </w:r>
      <w:r w:rsidR="00F93126">
        <w:rPr>
          <w:rFonts w:hint="cs"/>
          <w:b/>
          <w:bCs/>
          <w:sz w:val="28"/>
          <w:szCs w:val="28"/>
          <w:rtl/>
        </w:rPr>
        <w:t xml:space="preserve"> </w:t>
      </w:r>
      <w:r w:rsidR="007D46E2">
        <w:rPr>
          <w:rFonts w:hint="cs"/>
          <w:b/>
          <w:bCs/>
          <w:sz w:val="28"/>
          <w:szCs w:val="28"/>
          <w:rtl/>
        </w:rPr>
        <w:t>ב</w:t>
      </w:r>
      <w:r w:rsidR="00F93126">
        <w:rPr>
          <w:rFonts w:hint="cs"/>
          <w:b/>
          <w:bCs/>
          <w:sz w:val="28"/>
          <w:szCs w:val="28"/>
          <w:rtl/>
        </w:rPr>
        <w:t>כל שינוי</w:t>
      </w:r>
      <w:r w:rsidR="00F30A61">
        <w:rPr>
          <w:rStyle w:val="FootnoteReference"/>
          <w:b/>
          <w:bCs/>
          <w:sz w:val="28"/>
          <w:szCs w:val="28"/>
          <w:rtl/>
        </w:rPr>
        <w:footnoteReference w:id="524"/>
      </w:r>
      <w:r w:rsidR="00F93126">
        <w:rPr>
          <w:rFonts w:hint="cs"/>
          <w:b/>
          <w:bCs/>
          <w:sz w:val="28"/>
          <w:szCs w:val="28"/>
          <w:rtl/>
        </w:rPr>
        <w:t>,</w:t>
      </w:r>
      <w:r w:rsidR="005F77BC">
        <w:rPr>
          <w:rFonts w:hint="cs"/>
          <w:b/>
          <w:bCs/>
          <w:sz w:val="28"/>
          <w:szCs w:val="28"/>
          <w:rtl/>
        </w:rPr>
        <w:t xml:space="preserve"> ולא חילק בין הצורה המלאכ</w:t>
      </w:r>
      <w:r w:rsidR="00C32A79">
        <w:rPr>
          <w:rFonts w:hint="cs"/>
          <w:b/>
          <w:bCs/>
          <w:sz w:val="28"/>
          <w:szCs w:val="28"/>
          <w:rtl/>
        </w:rPr>
        <w:t>ו</w:t>
      </w:r>
      <w:r w:rsidR="005F77BC">
        <w:rPr>
          <w:rFonts w:hint="cs"/>
          <w:b/>
          <w:bCs/>
          <w:sz w:val="28"/>
          <w:szCs w:val="28"/>
          <w:rtl/>
        </w:rPr>
        <w:t>תית לטבעית</w:t>
      </w:r>
      <w:r w:rsidR="00D94031">
        <w:rPr>
          <w:rStyle w:val="FootnoteReference"/>
          <w:b/>
          <w:bCs/>
          <w:sz w:val="28"/>
          <w:szCs w:val="28"/>
          <w:rtl/>
        </w:rPr>
        <w:footnoteReference w:id="525"/>
      </w:r>
      <w:r w:rsidR="005F77BC">
        <w:rPr>
          <w:rFonts w:hint="cs"/>
          <w:b/>
          <w:bCs/>
          <w:sz w:val="28"/>
          <w:szCs w:val="28"/>
          <w:rtl/>
        </w:rPr>
        <w:t>,</w:t>
      </w:r>
      <w:r w:rsidR="004B3B5B">
        <w:rPr>
          <w:rFonts w:hint="cs"/>
          <w:b/>
          <w:bCs/>
          <w:sz w:val="28"/>
          <w:szCs w:val="28"/>
          <w:rtl/>
        </w:rPr>
        <w:t xml:space="preserve"> ובאמת לא חיל</w:t>
      </w:r>
      <w:r w:rsidR="000F3BEE">
        <w:rPr>
          <w:rFonts w:hint="cs"/>
          <w:b/>
          <w:bCs/>
          <w:sz w:val="28"/>
          <w:szCs w:val="28"/>
          <w:rtl/>
        </w:rPr>
        <w:t xml:space="preserve">ק בין </w:t>
      </w:r>
      <w:r w:rsidR="003D0508">
        <w:rPr>
          <w:rFonts w:hint="cs"/>
          <w:b/>
          <w:bCs/>
          <w:sz w:val="28"/>
          <w:szCs w:val="28"/>
          <w:rtl/>
        </w:rPr>
        <w:t>ה</w:t>
      </w:r>
      <w:r w:rsidR="000F3BEE">
        <w:rPr>
          <w:rFonts w:hint="cs"/>
          <w:b/>
          <w:bCs/>
          <w:sz w:val="28"/>
          <w:szCs w:val="28"/>
          <w:rtl/>
        </w:rPr>
        <w:t>מקרה ובין הצורה</w:t>
      </w:r>
      <w:r w:rsidR="001D7F07">
        <w:rPr>
          <w:rStyle w:val="FootnoteReference"/>
          <w:b/>
          <w:bCs/>
          <w:sz w:val="28"/>
          <w:szCs w:val="28"/>
          <w:rtl/>
        </w:rPr>
        <w:footnoteReference w:id="526"/>
      </w:r>
      <w:r w:rsidR="000F3BEE">
        <w:rPr>
          <w:rFonts w:hint="cs"/>
          <w:b/>
          <w:bCs/>
          <w:sz w:val="28"/>
          <w:szCs w:val="28"/>
          <w:rtl/>
        </w:rPr>
        <w:t xml:space="preserve">, </w:t>
      </w:r>
      <w:r w:rsidR="003D0508">
        <w:rPr>
          <w:rFonts w:hint="cs"/>
          <w:b/>
          <w:bCs/>
          <w:sz w:val="28"/>
          <w:szCs w:val="28"/>
          <w:rtl/>
        </w:rPr>
        <w:t>ולא ידע</w:t>
      </w:r>
      <w:r w:rsidR="00BD79B5">
        <w:rPr>
          <w:rFonts w:hint="cs"/>
          <w:b/>
          <w:bCs/>
          <w:sz w:val="28"/>
          <w:szCs w:val="28"/>
          <w:rtl/>
        </w:rPr>
        <w:t xml:space="preserve"> שהמקיים את ה</w:t>
      </w:r>
      <w:r w:rsidR="00F2489A">
        <w:rPr>
          <w:rFonts w:hint="cs"/>
          <w:b/>
          <w:bCs/>
          <w:sz w:val="28"/>
          <w:szCs w:val="28"/>
          <w:rtl/>
        </w:rPr>
        <w:t>דבר</w:t>
      </w:r>
      <w:r w:rsidR="00BD79B5">
        <w:rPr>
          <w:rFonts w:hint="cs"/>
          <w:b/>
          <w:bCs/>
          <w:sz w:val="28"/>
          <w:szCs w:val="28"/>
          <w:rtl/>
        </w:rPr>
        <w:t xml:space="preserve"> </w:t>
      </w:r>
      <w:r w:rsidR="00776F86">
        <w:rPr>
          <w:rFonts w:hint="cs"/>
          <w:b/>
          <w:bCs/>
          <w:sz w:val="28"/>
          <w:szCs w:val="28"/>
          <w:rtl/>
        </w:rPr>
        <w:t>בה</w:t>
      </w:r>
      <w:r w:rsidR="003B0235">
        <w:rPr>
          <w:rFonts w:hint="cs"/>
          <w:b/>
          <w:bCs/>
          <w:sz w:val="28"/>
          <w:szCs w:val="28"/>
          <w:rtl/>
        </w:rPr>
        <w:t>כ</w:t>
      </w:r>
      <w:r w:rsidR="00776F86">
        <w:rPr>
          <w:rFonts w:hint="cs"/>
          <w:b/>
          <w:bCs/>
          <w:sz w:val="28"/>
          <w:szCs w:val="28"/>
          <w:rtl/>
        </w:rPr>
        <w:t>רח</w:t>
      </w:r>
      <w:r w:rsidR="00424804">
        <w:rPr>
          <w:rFonts w:hint="cs"/>
          <w:b/>
          <w:bCs/>
          <w:sz w:val="28"/>
          <w:szCs w:val="28"/>
          <w:rtl/>
        </w:rPr>
        <w:t xml:space="preserve"> </w:t>
      </w:r>
      <w:r w:rsidR="00CB6D52">
        <w:rPr>
          <w:rFonts w:hint="cs"/>
          <w:b/>
          <w:bCs/>
          <w:sz w:val="28"/>
          <w:szCs w:val="28"/>
          <w:rtl/>
        </w:rPr>
        <w:t xml:space="preserve">יתקיים </w:t>
      </w:r>
      <w:r w:rsidR="003973AE">
        <w:rPr>
          <w:rFonts w:hint="cs"/>
          <w:b/>
          <w:bCs/>
          <w:sz w:val="28"/>
          <w:szCs w:val="28"/>
          <w:rtl/>
        </w:rPr>
        <w:t>בו</w:t>
      </w:r>
      <w:r w:rsidR="000B2DCB">
        <w:rPr>
          <w:rFonts w:hint="cs"/>
          <w:b/>
          <w:bCs/>
          <w:sz w:val="28"/>
          <w:szCs w:val="28"/>
          <w:rtl/>
        </w:rPr>
        <w:t xml:space="preserve"> רק</w:t>
      </w:r>
      <w:r w:rsidR="00511121">
        <w:rPr>
          <w:rFonts w:hint="cs"/>
          <w:b/>
          <w:bCs/>
          <w:sz w:val="28"/>
          <w:szCs w:val="28"/>
          <w:rtl/>
        </w:rPr>
        <w:t xml:space="preserve"> </w:t>
      </w:r>
      <w:r w:rsidR="009435CF">
        <w:rPr>
          <w:rFonts w:hint="cs"/>
          <w:b/>
          <w:bCs/>
          <w:sz w:val="28"/>
          <w:szCs w:val="28"/>
          <w:rtl/>
        </w:rPr>
        <w:t>ב</w:t>
      </w:r>
      <w:r w:rsidR="00511121">
        <w:rPr>
          <w:rFonts w:hint="cs"/>
          <w:b/>
          <w:bCs/>
          <w:sz w:val="28"/>
          <w:szCs w:val="28"/>
          <w:rtl/>
        </w:rPr>
        <w:t>יחד עם</w:t>
      </w:r>
      <w:r w:rsidR="00BC7D0B">
        <w:rPr>
          <w:rFonts w:hint="cs"/>
          <w:b/>
          <w:bCs/>
          <w:sz w:val="28"/>
          <w:szCs w:val="28"/>
          <w:rtl/>
        </w:rPr>
        <w:t xml:space="preserve"> מ</w:t>
      </w:r>
      <w:r w:rsidR="00552672">
        <w:rPr>
          <w:rFonts w:hint="cs"/>
          <w:b/>
          <w:bCs/>
          <w:sz w:val="28"/>
          <w:szCs w:val="28"/>
          <w:rtl/>
        </w:rPr>
        <w:t xml:space="preserve">ציאות הדבר, </w:t>
      </w:r>
      <w:r w:rsidR="00917ABE">
        <w:rPr>
          <w:rFonts w:hint="cs"/>
          <w:b/>
          <w:bCs/>
          <w:sz w:val="28"/>
          <w:szCs w:val="28"/>
          <w:rtl/>
        </w:rPr>
        <w:t xml:space="preserve">ולא שיתקיים </w:t>
      </w:r>
      <w:r w:rsidR="00F34F19">
        <w:rPr>
          <w:rFonts w:hint="cs"/>
          <w:b/>
          <w:bCs/>
          <w:sz w:val="28"/>
          <w:szCs w:val="28"/>
          <w:rtl/>
        </w:rPr>
        <w:t xml:space="preserve">בו </w:t>
      </w:r>
      <w:r w:rsidR="00DB113A">
        <w:rPr>
          <w:rFonts w:hint="cs"/>
          <w:b/>
          <w:bCs/>
          <w:sz w:val="28"/>
          <w:szCs w:val="28"/>
          <w:rtl/>
        </w:rPr>
        <w:t>ביחד עם העד</w:t>
      </w:r>
      <w:r w:rsidR="005D495F">
        <w:rPr>
          <w:rFonts w:hint="cs"/>
          <w:b/>
          <w:bCs/>
          <w:sz w:val="28"/>
          <w:szCs w:val="28"/>
          <w:rtl/>
        </w:rPr>
        <w:t>ר</w:t>
      </w:r>
      <w:r w:rsidR="00DB113A">
        <w:rPr>
          <w:rFonts w:hint="cs"/>
          <w:b/>
          <w:bCs/>
          <w:sz w:val="28"/>
          <w:szCs w:val="28"/>
          <w:rtl/>
        </w:rPr>
        <w:t xml:space="preserve"> הדבר</w:t>
      </w:r>
      <w:r w:rsidR="00517E8A">
        <w:rPr>
          <w:rFonts w:hint="cs"/>
          <w:b/>
          <w:bCs/>
          <w:sz w:val="28"/>
          <w:szCs w:val="28"/>
          <w:rtl/>
        </w:rPr>
        <w:t>, וי</w:t>
      </w:r>
      <w:r w:rsidR="000F006D">
        <w:rPr>
          <w:rFonts w:hint="cs"/>
          <w:b/>
          <w:bCs/>
          <w:sz w:val="28"/>
          <w:szCs w:val="28"/>
          <w:rtl/>
        </w:rPr>
        <w:t>תמיד להתקיים</w:t>
      </w:r>
      <w:r w:rsidR="00517E8A">
        <w:rPr>
          <w:rFonts w:hint="cs"/>
          <w:b/>
          <w:bCs/>
          <w:sz w:val="28"/>
          <w:szCs w:val="28"/>
          <w:rtl/>
        </w:rPr>
        <w:t xml:space="preserve"> </w:t>
      </w:r>
      <w:r w:rsidR="00B17D93">
        <w:rPr>
          <w:rFonts w:hint="cs"/>
          <w:b/>
          <w:bCs/>
          <w:sz w:val="28"/>
          <w:szCs w:val="28"/>
          <w:rtl/>
        </w:rPr>
        <w:t>עם העדר הדבר</w:t>
      </w:r>
      <w:r w:rsidR="0031160B">
        <w:rPr>
          <w:rStyle w:val="FootnoteReference"/>
          <w:b/>
          <w:bCs/>
          <w:sz w:val="28"/>
          <w:szCs w:val="28"/>
          <w:rtl/>
        </w:rPr>
        <w:footnoteReference w:id="527"/>
      </w:r>
      <w:r w:rsidR="00DB113A">
        <w:rPr>
          <w:rFonts w:hint="cs"/>
          <w:b/>
          <w:bCs/>
          <w:sz w:val="28"/>
          <w:szCs w:val="28"/>
          <w:rtl/>
        </w:rPr>
        <w:t>.</w:t>
      </w:r>
      <w:r w:rsidR="0044642D">
        <w:rPr>
          <w:rFonts w:hint="cs"/>
          <w:b/>
          <w:bCs/>
          <w:sz w:val="28"/>
          <w:szCs w:val="28"/>
          <w:rtl/>
        </w:rPr>
        <w:t xml:space="preserve"> </w:t>
      </w:r>
      <w:r w:rsidR="009C19CD">
        <w:rPr>
          <w:rFonts w:hint="cs"/>
          <w:b/>
          <w:bCs/>
          <w:sz w:val="28"/>
          <w:szCs w:val="28"/>
          <w:rtl/>
        </w:rPr>
        <w:t xml:space="preserve">ומה שנצרך </w:t>
      </w:r>
      <w:r w:rsidR="00D50443">
        <w:rPr>
          <w:rFonts w:hint="cs"/>
          <w:b/>
          <w:bCs/>
          <w:sz w:val="28"/>
          <w:szCs w:val="28"/>
          <w:rtl/>
        </w:rPr>
        <w:t xml:space="preserve">כדי שיימצא </w:t>
      </w:r>
      <w:r w:rsidR="009C19CD">
        <w:rPr>
          <w:rFonts w:hint="cs"/>
          <w:b/>
          <w:bCs/>
          <w:sz w:val="28"/>
          <w:szCs w:val="28"/>
          <w:rtl/>
        </w:rPr>
        <w:t xml:space="preserve">הדבר </w:t>
      </w:r>
      <w:r w:rsidR="007511B0">
        <w:rPr>
          <w:rFonts w:hint="cs"/>
          <w:b/>
          <w:bCs/>
          <w:sz w:val="28"/>
          <w:szCs w:val="28"/>
          <w:rtl/>
        </w:rPr>
        <w:t xml:space="preserve">תמיד </w:t>
      </w:r>
      <w:r w:rsidR="00B60B09">
        <w:rPr>
          <w:rFonts w:hint="cs"/>
          <w:b/>
          <w:bCs/>
          <w:sz w:val="28"/>
          <w:szCs w:val="28"/>
          <w:rtl/>
        </w:rPr>
        <w:t>למרות</w:t>
      </w:r>
      <w:r w:rsidR="007511B0">
        <w:rPr>
          <w:rFonts w:hint="cs"/>
          <w:b/>
          <w:bCs/>
          <w:sz w:val="28"/>
          <w:szCs w:val="28"/>
          <w:rtl/>
        </w:rPr>
        <w:t xml:space="preserve"> השתנות המצבים, </w:t>
      </w:r>
      <w:r w:rsidR="00B33BE2">
        <w:rPr>
          <w:rFonts w:hint="cs"/>
          <w:b/>
          <w:bCs/>
          <w:sz w:val="28"/>
          <w:szCs w:val="28"/>
          <w:rtl/>
        </w:rPr>
        <w:t>ו</w:t>
      </w:r>
      <w:r w:rsidR="009C19F0">
        <w:rPr>
          <w:rFonts w:hint="cs"/>
          <w:b/>
          <w:bCs/>
          <w:sz w:val="28"/>
          <w:szCs w:val="28"/>
          <w:rtl/>
        </w:rPr>
        <w:t>מציאותו</w:t>
      </w:r>
      <w:r w:rsidR="0094168C">
        <w:rPr>
          <w:rStyle w:val="FootnoteReference"/>
          <w:b/>
          <w:bCs/>
          <w:sz w:val="28"/>
          <w:szCs w:val="28"/>
          <w:rtl/>
        </w:rPr>
        <w:footnoteReference w:id="528"/>
      </w:r>
      <w:r w:rsidR="009C19F0">
        <w:rPr>
          <w:rFonts w:hint="cs"/>
          <w:b/>
          <w:bCs/>
          <w:sz w:val="28"/>
          <w:szCs w:val="28"/>
          <w:rtl/>
        </w:rPr>
        <w:t xml:space="preserve"> </w:t>
      </w:r>
      <w:r w:rsidR="00FE7A35">
        <w:rPr>
          <w:rFonts w:hint="cs"/>
          <w:b/>
          <w:bCs/>
          <w:sz w:val="28"/>
          <w:szCs w:val="28"/>
          <w:rtl/>
        </w:rPr>
        <w:t>אי</w:t>
      </w:r>
      <w:r w:rsidR="001E77DF">
        <w:rPr>
          <w:rFonts w:hint="cs"/>
          <w:b/>
          <w:bCs/>
          <w:sz w:val="28"/>
          <w:szCs w:val="28"/>
          <w:rtl/>
        </w:rPr>
        <w:t>ן</w:t>
      </w:r>
      <w:r w:rsidR="00FE7A35">
        <w:rPr>
          <w:rFonts w:hint="cs"/>
          <w:b/>
          <w:bCs/>
          <w:sz w:val="28"/>
          <w:szCs w:val="28"/>
          <w:rtl/>
        </w:rPr>
        <w:t xml:space="preserve"> </w:t>
      </w:r>
      <w:r w:rsidR="009B6276">
        <w:rPr>
          <w:rFonts w:hint="cs"/>
          <w:b/>
          <w:bCs/>
          <w:sz w:val="28"/>
          <w:szCs w:val="28"/>
          <w:rtl/>
        </w:rPr>
        <w:t xml:space="preserve">די </w:t>
      </w:r>
      <w:r w:rsidR="00603A22">
        <w:rPr>
          <w:rFonts w:hint="cs"/>
          <w:b/>
          <w:bCs/>
          <w:sz w:val="28"/>
          <w:szCs w:val="28"/>
          <w:rtl/>
        </w:rPr>
        <w:t xml:space="preserve">בה </w:t>
      </w:r>
      <w:r w:rsidR="00466398">
        <w:rPr>
          <w:rFonts w:hint="cs"/>
          <w:b/>
          <w:bCs/>
          <w:sz w:val="28"/>
          <w:szCs w:val="28"/>
          <w:rtl/>
        </w:rPr>
        <w:t>כדי</w:t>
      </w:r>
      <w:r w:rsidR="009B6276">
        <w:rPr>
          <w:rFonts w:hint="cs"/>
          <w:b/>
          <w:bCs/>
          <w:sz w:val="28"/>
          <w:szCs w:val="28"/>
          <w:rtl/>
        </w:rPr>
        <w:t xml:space="preserve"> שיהיה </w:t>
      </w:r>
      <w:r w:rsidR="00240321">
        <w:rPr>
          <w:rFonts w:hint="cs"/>
          <w:b/>
          <w:bCs/>
          <w:sz w:val="28"/>
          <w:szCs w:val="28"/>
          <w:rtl/>
        </w:rPr>
        <w:t>הדבר בפועל</w:t>
      </w:r>
      <w:r w:rsidR="00A42E1E">
        <w:rPr>
          <w:rFonts w:hint="cs"/>
          <w:b/>
          <w:bCs/>
          <w:sz w:val="28"/>
          <w:szCs w:val="28"/>
          <w:rtl/>
        </w:rPr>
        <w:t xml:space="preserve">, כמו </w:t>
      </w:r>
      <w:r w:rsidR="00100F94">
        <w:rPr>
          <w:rFonts w:hint="cs"/>
          <w:b/>
          <w:bCs/>
          <w:sz w:val="28"/>
          <w:szCs w:val="28"/>
          <w:rtl/>
        </w:rPr>
        <w:t xml:space="preserve">זה שהוא </w:t>
      </w:r>
      <w:r w:rsidR="00A70E0C">
        <w:rPr>
          <w:rFonts w:hint="cs"/>
          <w:b/>
          <w:bCs/>
          <w:sz w:val="28"/>
          <w:szCs w:val="28"/>
          <w:rtl/>
        </w:rPr>
        <w:t xml:space="preserve">ההיולי שאינו </w:t>
      </w:r>
      <w:r w:rsidR="00A924F6" w:rsidRPr="00A924F6">
        <w:rPr>
          <w:b/>
          <w:bCs/>
          <w:sz w:val="28"/>
          <w:szCs w:val="28"/>
          <w:rtl/>
        </w:rPr>
        <w:t>מְסַפֵּק</w:t>
      </w:r>
      <w:r w:rsidR="00A924F6">
        <w:rPr>
          <w:rFonts w:hint="cs"/>
          <w:b/>
          <w:bCs/>
          <w:sz w:val="28"/>
          <w:szCs w:val="28"/>
          <w:rtl/>
        </w:rPr>
        <w:t xml:space="preserve"> </w:t>
      </w:r>
      <w:r w:rsidR="00D666AB">
        <w:rPr>
          <w:rFonts w:hint="cs"/>
          <w:b/>
          <w:bCs/>
          <w:sz w:val="28"/>
          <w:szCs w:val="28"/>
          <w:rtl/>
        </w:rPr>
        <w:t xml:space="preserve">את מציאות הדבר בפועל, </w:t>
      </w:r>
      <w:r w:rsidR="00FE6BE3">
        <w:rPr>
          <w:rFonts w:hint="cs"/>
          <w:b/>
          <w:bCs/>
          <w:sz w:val="28"/>
          <w:szCs w:val="28"/>
          <w:rtl/>
        </w:rPr>
        <w:t>אלא</w:t>
      </w:r>
      <w:r w:rsidR="00324E87">
        <w:rPr>
          <w:rFonts w:hint="cs"/>
          <w:b/>
          <w:bCs/>
          <w:sz w:val="28"/>
          <w:szCs w:val="28"/>
          <w:rtl/>
        </w:rPr>
        <w:t xml:space="preserve"> </w:t>
      </w:r>
      <w:r w:rsidR="00281637">
        <w:rPr>
          <w:rFonts w:hint="cs"/>
          <w:b/>
          <w:bCs/>
          <w:sz w:val="28"/>
          <w:szCs w:val="28"/>
          <w:rtl/>
        </w:rPr>
        <w:t>אדרבה</w:t>
      </w:r>
      <w:r w:rsidR="00324E87">
        <w:rPr>
          <w:rFonts w:hint="cs"/>
          <w:b/>
          <w:bCs/>
          <w:sz w:val="28"/>
          <w:szCs w:val="28"/>
          <w:rtl/>
        </w:rPr>
        <w:t xml:space="preserve">, </w:t>
      </w:r>
      <w:r w:rsidR="00281637" w:rsidRPr="00281637">
        <w:rPr>
          <w:b/>
          <w:bCs/>
          <w:sz w:val="28"/>
          <w:szCs w:val="28"/>
          <w:rtl/>
        </w:rPr>
        <w:t>מְסַפֵּק</w:t>
      </w:r>
      <w:r w:rsidR="00281637">
        <w:rPr>
          <w:rFonts w:hint="cs"/>
          <w:b/>
          <w:bCs/>
          <w:sz w:val="28"/>
          <w:szCs w:val="28"/>
          <w:rtl/>
        </w:rPr>
        <w:t xml:space="preserve"> </w:t>
      </w:r>
      <w:r w:rsidR="00324E87">
        <w:rPr>
          <w:rFonts w:hint="cs"/>
          <w:b/>
          <w:bCs/>
          <w:sz w:val="28"/>
          <w:szCs w:val="28"/>
          <w:rtl/>
        </w:rPr>
        <w:t xml:space="preserve">את </w:t>
      </w:r>
      <w:r w:rsidR="002000FB">
        <w:rPr>
          <w:rFonts w:hint="cs"/>
          <w:b/>
          <w:bCs/>
          <w:sz w:val="28"/>
          <w:szCs w:val="28"/>
          <w:rtl/>
        </w:rPr>
        <w:t>ה'ב</w:t>
      </w:r>
      <w:r w:rsidR="00324E87">
        <w:rPr>
          <w:rFonts w:hint="cs"/>
          <w:b/>
          <w:bCs/>
          <w:sz w:val="28"/>
          <w:szCs w:val="28"/>
          <w:rtl/>
        </w:rPr>
        <w:t>כח</w:t>
      </w:r>
      <w:r w:rsidR="002000FB">
        <w:rPr>
          <w:rFonts w:hint="cs"/>
          <w:b/>
          <w:bCs/>
          <w:sz w:val="28"/>
          <w:szCs w:val="28"/>
          <w:rtl/>
        </w:rPr>
        <w:t>'</w:t>
      </w:r>
      <w:r w:rsidR="00324E87">
        <w:rPr>
          <w:rFonts w:hint="cs"/>
          <w:b/>
          <w:bCs/>
          <w:sz w:val="28"/>
          <w:szCs w:val="28"/>
          <w:rtl/>
        </w:rPr>
        <w:t xml:space="preserve"> </w:t>
      </w:r>
      <w:r w:rsidR="002000FB">
        <w:rPr>
          <w:rFonts w:hint="cs"/>
          <w:b/>
          <w:bCs/>
          <w:sz w:val="28"/>
          <w:szCs w:val="28"/>
          <w:rtl/>
        </w:rPr>
        <w:t xml:space="preserve">של </w:t>
      </w:r>
      <w:r w:rsidR="00324E87">
        <w:rPr>
          <w:rFonts w:hint="cs"/>
          <w:b/>
          <w:bCs/>
          <w:sz w:val="28"/>
          <w:szCs w:val="28"/>
          <w:rtl/>
        </w:rPr>
        <w:t>מציאותו,</w:t>
      </w:r>
      <w:r w:rsidR="008A34A2">
        <w:rPr>
          <w:rFonts w:hint="cs"/>
          <w:b/>
          <w:bCs/>
          <w:sz w:val="28"/>
          <w:szCs w:val="28"/>
          <w:rtl/>
        </w:rPr>
        <w:t xml:space="preserve"> אלא הצורה היא </w:t>
      </w:r>
      <w:r w:rsidR="00C771B1">
        <w:rPr>
          <w:rFonts w:hint="cs"/>
          <w:b/>
          <w:bCs/>
          <w:sz w:val="28"/>
          <w:szCs w:val="28"/>
          <w:rtl/>
        </w:rPr>
        <w:t>זו שמ</w:t>
      </w:r>
      <w:r w:rsidR="00AC467C">
        <w:rPr>
          <w:rFonts w:hint="cs"/>
          <w:b/>
          <w:bCs/>
          <w:sz w:val="28"/>
          <w:szCs w:val="28"/>
          <w:rtl/>
        </w:rPr>
        <w:t>וציאה</w:t>
      </w:r>
      <w:r w:rsidR="00C771B1">
        <w:rPr>
          <w:rFonts w:hint="cs"/>
          <w:b/>
          <w:bCs/>
          <w:sz w:val="28"/>
          <w:szCs w:val="28"/>
          <w:rtl/>
        </w:rPr>
        <w:t xml:space="preserve"> אותו אל הפועל.</w:t>
      </w:r>
      <w:r w:rsidR="00F24C1A">
        <w:rPr>
          <w:rFonts w:hint="cs"/>
          <w:b/>
          <w:bCs/>
          <w:sz w:val="28"/>
          <w:szCs w:val="28"/>
          <w:rtl/>
        </w:rPr>
        <w:t xml:space="preserve"> האם אינך רואה </w:t>
      </w:r>
      <w:r w:rsidR="00881EAB">
        <w:rPr>
          <w:rFonts w:hint="cs"/>
          <w:b/>
          <w:bCs/>
          <w:sz w:val="28"/>
          <w:szCs w:val="28"/>
          <w:rtl/>
        </w:rPr>
        <w:t xml:space="preserve">שהעץ והלבנים </w:t>
      </w:r>
      <w:r w:rsidR="00E113CB">
        <w:rPr>
          <w:rFonts w:hint="cs"/>
          <w:b/>
          <w:bCs/>
          <w:sz w:val="28"/>
          <w:szCs w:val="28"/>
          <w:rtl/>
        </w:rPr>
        <w:t>אם הם מציאות ש</w:t>
      </w:r>
      <w:r w:rsidR="00E67140">
        <w:rPr>
          <w:rFonts w:hint="cs"/>
          <w:b/>
          <w:bCs/>
          <w:sz w:val="28"/>
          <w:szCs w:val="28"/>
          <w:rtl/>
        </w:rPr>
        <w:t>יש</w:t>
      </w:r>
      <w:r w:rsidR="00E113CB">
        <w:rPr>
          <w:rFonts w:hint="cs"/>
          <w:b/>
          <w:bCs/>
          <w:sz w:val="28"/>
          <w:szCs w:val="28"/>
          <w:rtl/>
        </w:rPr>
        <w:t xml:space="preserve"> </w:t>
      </w:r>
      <w:r w:rsidR="00E67140">
        <w:rPr>
          <w:rFonts w:hint="cs"/>
          <w:b/>
          <w:bCs/>
          <w:sz w:val="28"/>
          <w:szCs w:val="28"/>
          <w:rtl/>
        </w:rPr>
        <w:t>ל</w:t>
      </w:r>
      <w:r w:rsidR="00E113CB">
        <w:rPr>
          <w:rFonts w:hint="cs"/>
          <w:b/>
          <w:bCs/>
          <w:sz w:val="28"/>
          <w:szCs w:val="28"/>
          <w:rtl/>
        </w:rPr>
        <w:t xml:space="preserve">בית </w:t>
      </w:r>
      <w:r w:rsidR="00BC106C">
        <w:rPr>
          <w:rFonts w:hint="cs"/>
          <w:b/>
          <w:bCs/>
          <w:sz w:val="28"/>
          <w:szCs w:val="28"/>
          <w:rtl/>
        </w:rPr>
        <w:t>היא</w:t>
      </w:r>
      <w:r w:rsidR="00E113CB">
        <w:rPr>
          <w:rFonts w:hint="cs"/>
          <w:b/>
          <w:bCs/>
          <w:sz w:val="28"/>
          <w:szCs w:val="28"/>
          <w:rtl/>
        </w:rPr>
        <w:t xml:space="preserve"> מציאות בכח, </w:t>
      </w:r>
      <w:r w:rsidR="00E10FD3">
        <w:rPr>
          <w:rFonts w:hint="cs"/>
          <w:b/>
          <w:bCs/>
          <w:sz w:val="28"/>
          <w:szCs w:val="28"/>
          <w:rtl/>
        </w:rPr>
        <w:t>ו</w:t>
      </w:r>
      <w:r w:rsidR="00FA3909">
        <w:rPr>
          <w:rFonts w:hint="cs"/>
          <w:b/>
          <w:bCs/>
          <w:sz w:val="28"/>
          <w:szCs w:val="28"/>
          <w:rtl/>
        </w:rPr>
        <w:t>על כל פנים</w:t>
      </w:r>
      <w:r w:rsidR="0090290B">
        <w:rPr>
          <w:rFonts w:hint="cs"/>
          <w:b/>
          <w:bCs/>
          <w:sz w:val="28"/>
          <w:szCs w:val="28"/>
          <w:rtl/>
        </w:rPr>
        <w:t xml:space="preserve"> המציאות בפועל מסופקת על ידי הצורה, </w:t>
      </w:r>
      <w:r w:rsidR="00C822EA">
        <w:rPr>
          <w:rFonts w:hint="cs"/>
          <w:b/>
          <w:bCs/>
          <w:sz w:val="28"/>
          <w:szCs w:val="28"/>
          <w:rtl/>
        </w:rPr>
        <w:t xml:space="preserve">עד </w:t>
      </w:r>
      <w:r w:rsidR="004374F9" w:rsidRPr="004374F9">
        <w:rPr>
          <w:b/>
          <w:bCs/>
          <w:sz w:val="28"/>
          <w:szCs w:val="28"/>
          <w:rtl/>
        </w:rPr>
        <w:t>של</w:t>
      </w:r>
      <w:bookmarkStart w:id="254" w:name="_Hlk105429982"/>
      <w:r w:rsidR="004374F9" w:rsidRPr="004374F9">
        <w:rPr>
          <w:b/>
          <w:bCs/>
          <w:sz w:val="28"/>
          <w:szCs w:val="28"/>
          <w:rtl/>
        </w:rPr>
        <w:t>וּ</w:t>
      </w:r>
      <w:bookmarkEnd w:id="254"/>
      <w:r w:rsidR="004374F9">
        <w:rPr>
          <w:rFonts w:hint="cs"/>
          <w:b/>
          <w:bCs/>
          <w:sz w:val="28"/>
          <w:szCs w:val="28"/>
          <w:rtl/>
        </w:rPr>
        <w:t xml:space="preserve"> </w:t>
      </w:r>
      <w:r w:rsidR="0058783E">
        <w:rPr>
          <w:rFonts w:hint="cs"/>
          <w:b/>
          <w:bCs/>
          <w:sz w:val="28"/>
          <w:szCs w:val="28"/>
          <w:rtl/>
        </w:rPr>
        <w:t>היה אפשר שתתקיים צור</w:t>
      </w:r>
      <w:r w:rsidR="00BC106C">
        <w:rPr>
          <w:rFonts w:hint="cs"/>
          <w:b/>
          <w:bCs/>
          <w:sz w:val="28"/>
          <w:szCs w:val="28"/>
          <w:rtl/>
        </w:rPr>
        <w:t>תו</w:t>
      </w:r>
      <w:r w:rsidR="0058783E">
        <w:rPr>
          <w:rFonts w:hint="cs"/>
          <w:b/>
          <w:bCs/>
          <w:sz w:val="28"/>
          <w:szCs w:val="28"/>
          <w:rtl/>
        </w:rPr>
        <w:t xml:space="preserve"> </w:t>
      </w:r>
      <w:r w:rsidR="00BC106C">
        <w:rPr>
          <w:rFonts w:hint="cs"/>
          <w:b/>
          <w:bCs/>
          <w:sz w:val="28"/>
          <w:szCs w:val="28"/>
          <w:rtl/>
        </w:rPr>
        <w:t xml:space="preserve">לא בחומר </w:t>
      </w:r>
      <w:r w:rsidR="0092244A">
        <w:rPr>
          <w:rFonts w:hint="cs"/>
          <w:b/>
          <w:bCs/>
          <w:sz w:val="28"/>
          <w:szCs w:val="28"/>
          <w:rtl/>
        </w:rPr>
        <w:t>לא היה צורך בחומר</w:t>
      </w:r>
      <w:r w:rsidR="003F14A8">
        <w:rPr>
          <w:rStyle w:val="FootnoteReference"/>
          <w:b/>
          <w:bCs/>
          <w:sz w:val="28"/>
          <w:szCs w:val="28"/>
          <w:rtl/>
        </w:rPr>
        <w:footnoteReference w:id="529"/>
      </w:r>
      <w:r w:rsidR="003F14A8">
        <w:rPr>
          <w:rFonts w:hint="cs"/>
          <w:b/>
          <w:bCs/>
          <w:sz w:val="28"/>
          <w:szCs w:val="28"/>
          <w:rtl/>
        </w:rPr>
        <w:t xml:space="preserve">. </w:t>
      </w:r>
      <w:r w:rsidR="00C15A40">
        <w:rPr>
          <w:rFonts w:hint="cs"/>
          <w:b/>
          <w:bCs/>
          <w:sz w:val="28"/>
          <w:szCs w:val="28"/>
          <w:rtl/>
        </w:rPr>
        <w:t>ואדם זה</w:t>
      </w:r>
      <w:r w:rsidR="00837531">
        <w:rPr>
          <w:rFonts w:hint="cs"/>
          <w:b/>
          <w:bCs/>
          <w:sz w:val="28"/>
          <w:szCs w:val="28"/>
          <w:rtl/>
        </w:rPr>
        <w:t xml:space="preserve"> </w:t>
      </w:r>
      <w:r w:rsidR="00DD47F6">
        <w:rPr>
          <w:rFonts w:hint="cs"/>
          <w:b/>
          <w:bCs/>
          <w:sz w:val="28"/>
          <w:szCs w:val="28"/>
          <w:rtl/>
        </w:rPr>
        <w:t>נשמט ממנו גם</w:t>
      </w:r>
      <w:r w:rsidR="00D34CFC">
        <w:rPr>
          <w:rFonts w:hint="cs"/>
          <w:b/>
          <w:bCs/>
          <w:sz w:val="28"/>
          <w:szCs w:val="28"/>
          <w:rtl/>
        </w:rPr>
        <w:t xml:space="preserve"> </w:t>
      </w:r>
      <w:r w:rsidR="00DD47F6">
        <w:rPr>
          <w:rFonts w:hint="cs"/>
          <w:b/>
          <w:bCs/>
          <w:sz w:val="28"/>
          <w:szCs w:val="28"/>
          <w:rtl/>
        </w:rPr>
        <w:t>ש</w:t>
      </w:r>
      <w:r w:rsidR="00881BED">
        <w:rPr>
          <w:rFonts w:hint="cs"/>
          <w:b/>
          <w:bCs/>
          <w:sz w:val="28"/>
          <w:szCs w:val="28"/>
          <w:rtl/>
        </w:rPr>
        <w:t>העצי</w:t>
      </w:r>
      <w:r w:rsidR="00422B1F" w:rsidRPr="00422B1F">
        <w:rPr>
          <w:b/>
          <w:bCs/>
          <w:sz w:val="28"/>
          <w:szCs w:val="28"/>
          <w:rtl/>
        </w:rPr>
        <w:t>וּ</w:t>
      </w:r>
      <w:r w:rsidR="00881BED">
        <w:rPr>
          <w:rFonts w:hint="cs"/>
          <w:b/>
          <w:bCs/>
          <w:sz w:val="28"/>
          <w:szCs w:val="28"/>
          <w:rtl/>
        </w:rPr>
        <w:t>ת</w:t>
      </w:r>
      <w:r w:rsidR="00BB043E">
        <w:rPr>
          <w:rStyle w:val="FootnoteReference"/>
          <w:b/>
          <w:bCs/>
          <w:sz w:val="28"/>
          <w:szCs w:val="28"/>
          <w:rtl/>
        </w:rPr>
        <w:footnoteReference w:id="530"/>
      </w:r>
      <w:r w:rsidR="00064C40">
        <w:rPr>
          <w:rFonts w:hint="cs"/>
          <w:b/>
          <w:bCs/>
          <w:sz w:val="28"/>
          <w:szCs w:val="28"/>
          <w:rtl/>
        </w:rPr>
        <w:t xml:space="preserve"> היא צורה, </w:t>
      </w:r>
      <w:r w:rsidR="00AE1D98">
        <w:rPr>
          <w:rFonts w:hint="cs"/>
          <w:b/>
          <w:bCs/>
          <w:sz w:val="28"/>
          <w:szCs w:val="28"/>
          <w:rtl/>
        </w:rPr>
        <w:t xml:space="preserve">והיא </w:t>
      </w:r>
      <w:r w:rsidR="00D3760F">
        <w:rPr>
          <w:rFonts w:hint="cs"/>
          <w:b/>
          <w:bCs/>
          <w:sz w:val="28"/>
          <w:szCs w:val="28"/>
          <w:rtl/>
        </w:rPr>
        <w:t>ב</w:t>
      </w:r>
      <w:r w:rsidR="006F202D">
        <w:rPr>
          <w:rFonts w:hint="cs"/>
          <w:b/>
          <w:bCs/>
          <w:sz w:val="28"/>
          <w:szCs w:val="28"/>
          <w:rtl/>
        </w:rPr>
        <w:t>ה</w:t>
      </w:r>
      <w:r w:rsidR="00D3760F">
        <w:rPr>
          <w:rFonts w:hint="cs"/>
          <w:b/>
          <w:bCs/>
          <w:sz w:val="28"/>
          <w:szCs w:val="28"/>
          <w:rtl/>
        </w:rPr>
        <w:t>כרח נשמר</w:t>
      </w:r>
      <w:r w:rsidR="00E16BE1">
        <w:rPr>
          <w:rFonts w:hint="cs"/>
          <w:b/>
          <w:bCs/>
          <w:sz w:val="28"/>
          <w:szCs w:val="28"/>
          <w:rtl/>
        </w:rPr>
        <w:t xml:space="preserve">ת </w:t>
      </w:r>
      <w:r w:rsidR="00B9315C">
        <w:rPr>
          <w:rFonts w:hint="cs"/>
          <w:b/>
          <w:bCs/>
          <w:sz w:val="28"/>
          <w:szCs w:val="28"/>
          <w:rtl/>
        </w:rPr>
        <w:t>עם הגדילה</w:t>
      </w:r>
      <w:r w:rsidR="00B9315C">
        <w:rPr>
          <w:rStyle w:val="FootnoteReference"/>
          <w:b/>
          <w:bCs/>
          <w:sz w:val="28"/>
          <w:szCs w:val="28"/>
          <w:rtl/>
        </w:rPr>
        <w:footnoteReference w:id="531"/>
      </w:r>
      <w:r w:rsidR="00EC669A">
        <w:rPr>
          <w:rFonts w:hint="cs"/>
          <w:b/>
          <w:bCs/>
          <w:sz w:val="28"/>
          <w:szCs w:val="28"/>
          <w:rtl/>
        </w:rPr>
        <w:t>.</w:t>
      </w:r>
      <w:r w:rsidR="006C5162">
        <w:rPr>
          <w:rFonts w:hint="cs"/>
          <w:b/>
          <w:bCs/>
          <w:sz w:val="28"/>
          <w:szCs w:val="28"/>
          <w:rtl/>
        </w:rPr>
        <w:t xml:space="preserve"> </w:t>
      </w:r>
      <w:r w:rsidR="005B21D2">
        <w:rPr>
          <w:rFonts w:hint="cs"/>
          <w:b/>
          <w:bCs/>
          <w:sz w:val="28"/>
          <w:szCs w:val="28"/>
          <w:rtl/>
        </w:rPr>
        <w:t>ו</w:t>
      </w:r>
      <w:r w:rsidR="006C20E0">
        <w:rPr>
          <w:rFonts w:hint="cs"/>
          <w:b/>
          <w:bCs/>
          <w:sz w:val="28"/>
          <w:szCs w:val="28"/>
          <w:rtl/>
        </w:rPr>
        <w:t xml:space="preserve">מה שחשוב </w:t>
      </w:r>
      <w:r w:rsidR="00B557EF">
        <w:rPr>
          <w:rFonts w:hint="cs"/>
          <w:b/>
          <w:bCs/>
          <w:sz w:val="28"/>
          <w:szCs w:val="28"/>
          <w:rtl/>
        </w:rPr>
        <w:t xml:space="preserve">שיהיה בדעתנו </w:t>
      </w:r>
      <w:r w:rsidR="00B4790B">
        <w:rPr>
          <w:rFonts w:hint="cs"/>
          <w:b/>
          <w:bCs/>
          <w:sz w:val="28"/>
          <w:szCs w:val="28"/>
          <w:rtl/>
        </w:rPr>
        <w:t>לגבי מה</w:t>
      </w:r>
      <w:r w:rsidR="00BD148A">
        <w:rPr>
          <w:rFonts w:hint="cs"/>
          <w:b/>
          <w:bCs/>
          <w:sz w:val="28"/>
          <w:szCs w:val="28"/>
          <w:rtl/>
        </w:rPr>
        <w:t xml:space="preserve"> שלפיו </w:t>
      </w:r>
      <w:r w:rsidR="00B4790B">
        <w:rPr>
          <w:rFonts w:hint="cs"/>
          <w:b/>
          <w:bCs/>
          <w:sz w:val="28"/>
          <w:szCs w:val="28"/>
          <w:rtl/>
        </w:rPr>
        <w:t xml:space="preserve">דבר </w:t>
      </w:r>
      <w:r w:rsidR="00E83F2A">
        <w:rPr>
          <w:rFonts w:hint="cs"/>
          <w:b/>
          <w:bCs/>
          <w:sz w:val="28"/>
          <w:szCs w:val="28"/>
          <w:rtl/>
        </w:rPr>
        <w:t>הוא</w:t>
      </w:r>
      <w:r w:rsidR="00B4790B">
        <w:rPr>
          <w:rFonts w:hint="cs"/>
          <w:b/>
          <w:bCs/>
          <w:sz w:val="28"/>
          <w:szCs w:val="28"/>
          <w:rtl/>
        </w:rPr>
        <w:t xml:space="preserve"> טבעי, </w:t>
      </w:r>
      <w:r w:rsidR="00E83F2A">
        <w:rPr>
          <w:rFonts w:hint="cs"/>
          <w:b/>
          <w:bCs/>
          <w:sz w:val="28"/>
          <w:szCs w:val="28"/>
          <w:rtl/>
        </w:rPr>
        <w:t xml:space="preserve">הוא </w:t>
      </w:r>
      <w:r w:rsidR="00BE07B6">
        <w:rPr>
          <w:rFonts w:hint="cs"/>
          <w:b/>
          <w:bCs/>
          <w:sz w:val="28"/>
          <w:szCs w:val="28"/>
          <w:rtl/>
        </w:rPr>
        <w:t>מה ש</w:t>
      </w:r>
      <w:r w:rsidR="003D7B4A">
        <w:rPr>
          <w:rFonts w:hint="cs"/>
          <w:b/>
          <w:bCs/>
          <w:sz w:val="28"/>
          <w:szCs w:val="28"/>
          <w:rtl/>
        </w:rPr>
        <w:t>משפיע</w:t>
      </w:r>
      <w:r w:rsidR="00BE07B6">
        <w:rPr>
          <w:rFonts w:hint="cs"/>
          <w:b/>
          <w:bCs/>
          <w:sz w:val="28"/>
          <w:szCs w:val="28"/>
          <w:rtl/>
        </w:rPr>
        <w:t xml:space="preserve"> </w:t>
      </w:r>
      <w:r w:rsidR="00412295">
        <w:rPr>
          <w:rFonts w:hint="cs"/>
          <w:b/>
          <w:bCs/>
          <w:sz w:val="28"/>
          <w:szCs w:val="28"/>
          <w:rtl/>
        </w:rPr>
        <w:t>ל</w:t>
      </w:r>
      <w:r w:rsidR="00BE07B6">
        <w:rPr>
          <w:rFonts w:hint="cs"/>
          <w:b/>
          <w:bCs/>
          <w:sz w:val="28"/>
          <w:szCs w:val="28"/>
          <w:rtl/>
        </w:rPr>
        <w:t>דבר</w:t>
      </w:r>
      <w:r w:rsidR="009222E6">
        <w:rPr>
          <w:rFonts w:hint="cs"/>
          <w:b/>
          <w:bCs/>
          <w:sz w:val="28"/>
          <w:szCs w:val="28"/>
          <w:rtl/>
        </w:rPr>
        <w:t xml:space="preserve"> </w:t>
      </w:r>
      <w:r w:rsidR="00412295">
        <w:rPr>
          <w:rFonts w:hint="cs"/>
          <w:b/>
          <w:bCs/>
          <w:sz w:val="28"/>
          <w:szCs w:val="28"/>
          <w:rtl/>
        </w:rPr>
        <w:t>את</w:t>
      </w:r>
      <w:r w:rsidR="00BE07B6">
        <w:rPr>
          <w:rFonts w:hint="cs"/>
          <w:b/>
          <w:bCs/>
          <w:sz w:val="28"/>
          <w:szCs w:val="28"/>
          <w:rtl/>
        </w:rPr>
        <w:t xml:space="preserve"> עצמותו</w:t>
      </w:r>
      <w:r w:rsidR="009222E6">
        <w:rPr>
          <w:rFonts w:hint="cs"/>
          <w:b/>
          <w:bCs/>
          <w:sz w:val="28"/>
          <w:szCs w:val="28"/>
          <w:rtl/>
        </w:rPr>
        <w:t>;</w:t>
      </w:r>
      <w:r w:rsidR="00BE07B6">
        <w:rPr>
          <w:rFonts w:hint="cs"/>
          <w:b/>
          <w:bCs/>
          <w:sz w:val="28"/>
          <w:szCs w:val="28"/>
          <w:rtl/>
        </w:rPr>
        <w:t xml:space="preserve"> </w:t>
      </w:r>
      <w:r w:rsidR="00E15237">
        <w:rPr>
          <w:rFonts w:hint="cs"/>
          <w:b/>
          <w:bCs/>
          <w:sz w:val="28"/>
          <w:szCs w:val="28"/>
          <w:rtl/>
        </w:rPr>
        <w:t>והצורה היא ראש</w:t>
      </w:r>
      <w:r w:rsidR="009222E6">
        <w:rPr>
          <w:rFonts w:hint="cs"/>
          <w:b/>
          <w:bCs/>
          <w:sz w:val="28"/>
          <w:szCs w:val="28"/>
          <w:rtl/>
        </w:rPr>
        <w:t>ו</w:t>
      </w:r>
      <w:r w:rsidR="00E15237">
        <w:rPr>
          <w:rFonts w:hint="cs"/>
          <w:b/>
          <w:bCs/>
          <w:sz w:val="28"/>
          <w:szCs w:val="28"/>
          <w:rtl/>
        </w:rPr>
        <w:t xml:space="preserve">נה בעניין זה. </w:t>
      </w:r>
    </w:p>
    <w:p w14:paraId="465606E5" w14:textId="77777777" w:rsidR="000867E6" w:rsidRDefault="000867E6" w:rsidP="000A56DC">
      <w:pPr>
        <w:pStyle w:val="FootnoteText"/>
        <w:rPr>
          <w:b/>
          <w:bCs/>
          <w:sz w:val="28"/>
          <w:szCs w:val="28"/>
          <w:rtl/>
        </w:rPr>
      </w:pPr>
    </w:p>
    <w:p w14:paraId="1FD49A3C" w14:textId="77777777" w:rsidR="008A593C" w:rsidRPr="004204CB" w:rsidRDefault="000867E6" w:rsidP="003266A1">
      <w:pPr>
        <w:pStyle w:val="Heading4"/>
        <w:rPr>
          <w:rtl/>
        </w:rPr>
      </w:pPr>
      <w:bookmarkStart w:id="255" w:name="_Toc119092669"/>
      <w:r w:rsidRPr="004204CB">
        <w:rPr>
          <w:rFonts w:hint="cs"/>
          <w:rtl/>
        </w:rPr>
        <w:t>1.6.7</w:t>
      </w:r>
      <w:bookmarkEnd w:id="255"/>
    </w:p>
    <w:p w14:paraId="2C1D3FDD" w14:textId="4B064449" w:rsidR="0008400E" w:rsidRDefault="008A593C" w:rsidP="000A56DC">
      <w:pPr>
        <w:pStyle w:val="FootnoteText"/>
        <w:rPr>
          <w:b/>
          <w:bCs/>
          <w:sz w:val="28"/>
          <w:szCs w:val="28"/>
          <w:rtl/>
        </w:rPr>
      </w:pPr>
      <w:r>
        <w:rPr>
          <w:rFonts w:hint="cs"/>
          <w:b/>
          <w:bCs/>
          <w:sz w:val="28"/>
          <w:szCs w:val="28"/>
          <w:rtl/>
        </w:rPr>
        <w:t>ולגבי מה שהג</w:t>
      </w:r>
      <w:r w:rsidR="002C472B">
        <w:rPr>
          <w:rFonts w:hint="cs"/>
          <w:b/>
          <w:bCs/>
          <w:sz w:val="28"/>
          <w:szCs w:val="28"/>
          <w:rtl/>
        </w:rPr>
        <w:t>שמ</w:t>
      </w:r>
      <w:r>
        <w:rPr>
          <w:rFonts w:hint="cs"/>
          <w:b/>
          <w:bCs/>
          <w:sz w:val="28"/>
          <w:szCs w:val="28"/>
          <w:rtl/>
        </w:rPr>
        <w:t>ים הפשוטים</w:t>
      </w:r>
      <w:r w:rsidR="00E15237">
        <w:rPr>
          <w:rFonts w:hint="cs"/>
          <w:b/>
          <w:bCs/>
          <w:sz w:val="28"/>
          <w:szCs w:val="28"/>
          <w:rtl/>
        </w:rPr>
        <w:t xml:space="preserve"> </w:t>
      </w:r>
      <w:r w:rsidR="000E1564">
        <w:rPr>
          <w:rFonts w:hint="cs"/>
          <w:b/>
          <w:bCs/>
          <w:sz w:val="28"/>
          <w:szCs w:val="28"/>
          <w:rtl/>
        </w:rPr>
        <w:t>הם</w:t>
      </w:r>
      <w:r w:rsidR="005E095B">
        <w:rPr>
          <w:rFonts w:hint="cs"/>
          <w:b/>
          <w:bCs/>
          <w:sz w:val="28"/>
          <w:szCs w:val="28"/>
          <w:rtl/>
        </w:rPr>
        <w:t xml:space="preserve"> בפועל</w:t>
      </w:r>
      <w:r w:rsidR="000E1564">
        <w:rPr>
          <w:rFonts w:hint="cs"/>
          <w:b/>
          <w:bCs/>
          <w:sz w:val="28"/>
          <w:szCs w:val="28"/>
          <w:rtl/>
        </w:rPr>
        <w:t xml:space="preserve"> </w:t>
      </w:r>
      <w:r w:rsidR="006F2B53">
        <w:rPr>
          <w:rFonts w:hint="cs"/>
          <w:b/>
          <w:bCs/>
          <w:sz w:val="28"/>
          <w:szCs w:val="28"/>
          <w:rtl/>
        </w:rPr>
        <w:t>'</w:t>
      </w:r>
      <w:r w:rsidR="0027175D">
        <w:rPr>
          <w:rFonts w:hint="cs"/>
          <w:b/>
          <w:bCs/>
          <w:sz w:val="28"/>
          <w:szCs w:val="28"/>
          <w:rtl/>
        </w:rPr>
        <w:t>מה שהם</w:t>
      </w:r>
      <w:r w:rsidR="006F2B53">
        <w:rPr>
          <w:rFonts w:hint="cs"/>
          <w:b/>
          <w:bCs/>
          <w:sz w:val="28"/>
          <w:szCs w:val="28"/>
          <w:rtl/>
        </w:rPr>
        <w:t>'</w:t>
      </w:r>
      <w:r w:rsidR="00686512">
        <w:rPr>
          <w:rFonts w:hint="cs"/>
          <w:b/>
          <w:bCs/>
          <w:sz w:val="28"/>
          <w:szCs w:val="28"/>
          <w:rtl/>
        </w:rPr>
        <w:t xml:space="preserve"> </w:t>
      </w:r>
      <w:r w:rsidR="00FF3739">
        <w:rPr>
          <w:rFonts w:hint="cs"/>
          <w:b/>
          <w:bCs/>
          <w:sz w:val="28"/>
          <w:szCs w:val="28"/>
          <w:rtl/>
        </w:rPr>
        <w:t>בצורה שלהם</w:t>
      </w:r>
      <w:r w:rsidR="00967D0E">
        <w:rPr>
          <w:rFonts w:hint="cs"/>
          <w:b/>
          <w:bCs/>
          <w:sz w:val="28"/>
          <w:szCs w:val="28"/>
          <w:rtl/>
        </w:rPr>
        <w:t>,</w:t>
      </w:r>
      <w:r w:rsidR="00FF3739">
        <w:rPr>
          <w:rFonts w:hint="cs"/>
          <w:b/>
          <w:bCs/>
          <w:sz w:val="28"/>
          <w:szCs w:val="28"/>
          <w:rtl/>
        </w:rPr>
        <w:t xml:space="preserve"> ואינם </w:t>
      </w:r>
      <w:r w:rsidR="006F2B53">
        <w:rPr>
          <w:rFonts w:hint="cs"/>
          <w:b/>
          <w:bCs/>
          <w:sz w:val="28"/>
          <w:szCs w:val="28"/>
          <w:rtl/>
        </w:rPr>
        <w:t>'</w:t>
      </w:r>
      <w:r w:rsidR="00FF3739">
        <w:rPr>
          <w:rFonts w:hint="cs"/>
          <w:b/>
          <w:bCs/>
          <w:sz w:val="28"/>
          <w:szCs w:val="28"/>
          <w:rtl/>
        </w:rPr>
        <w:t>מה שהם</w:t>
      </w:r>
      <w:r w:rsidR="006F2B53">
        <w:rPr>
          <w:rFonts w:hint="cs"/>
          <w:b/>
          <w:bCs/>
          <w:sz w:val="28"/>
          <w:szCs w:val="28"/>
          <w:rtl/>
        </w:rPr>
        <w:t>'</w:t>
      </w:r>
      <w:r w:rsidR="00FF3739">
        <w:rPr>
          <w:rFonts w:hint="cs"/>
          <w:b/>
          <w:bCs/>
          <w:sz w:val="28"/>
          <w:szCs w:val="28"/>
          <w:rtl/>
        </w:rPr>
        <w:t xml:space="preserve"> </w:t>
      </w:r>
      <w:r w:rsidR="006E2A44">
        <w:rPr>
          <w:rFonts w:hint="cs"/>
          <w:b/>
          <w:bCs/>
          <w:sz w:val="28"/>
          <w:szCs w:val="28"/>
          <w:rtl/>
        </w:rPr>
        <w:t>בחומר</w:t>
      </w:r>
      <w:r w:rsidR="007A03AB">
        <w:rPr>
          <w:rFonts w:hint="cs"/>
          <w:b/>
          <w:bCs/>
          <w:sz w:val="28"/>
          <w:szCs w:val="28"/>
          <w:rtl/>
        </w:rPr>
        <w:t>ים</w:t>
      </w:r>
      <w:r w:rsidR="006E2A44">
        <w:rPr>
          <w:rFonts w:hint="cs"/>
          <w:b/>
          <w:bCs/>
          <w:sz w:val="28"/>
          <w:szCs w:val="28"/>
          <w:rtl/>
        </w:rPr>
        <w:t xml:space="preserve"> שלהם</w:t>
      </w:r>
      <w:r w:rsidR="002A4AAD">
        <w:rPr>
          <w:rFonts w:hint="cs"/>
          <w:b/>
          <w:bCs/>
          <w:sz w:val="28"/>
          <w:szCs w:val="28"/>
          <w:rtl/>
        </w:rPr>
        <w:t xml:space="preserve">, </w:t>
      </w:r>
      <w:r w:rsidR="00FF57CA">
        <w:rPr>
          <w:rFonts w:hint="cs"/>
          <w:b/>
          <w:bCs/>
          <w:sz w:val="28"/>
          <w:szCs w:val="28"/>
          <w:rtl/>
        </w:rPr>
        <w:t xml:space="preserve">שאם </w:t>
      </w:r>
      <w:r w:rsidR="000C21B6">
        <w:rPr>
          <w:rFonts w:hint="cs"/>
          <w:b/>
          <w:bCs/>
          <w:sz w:val="28"/>
          <w:szCs w:val="28"/>
          <w:rtl/>
        </w:rPr>
        <w:t>לא כן</w:t>
      </w:r>
      <w:r w:rsidR="00FF57CA">
        <w:rPr>
          <w:rFonts w:hint="cs"/>
          <w:b/>
          <w:bCs/>
          <w:sz w:val="28"/>
          <w:szCs w:val="28"/>
          <w:rtl/>
        </w:rPr>
        <w:t xml:space="preserve"> למה הם מתחלפים</w:t>
      </w:r>
      <w:r w:rsidR="00A961E6">
        <w:rPr>
          <w:rStyle w:val="FootnoteReference"/>
          <w:b/>
          <w:bCs/>
          <w:sz w:val="28"/>
          <w:szCs w:val="28"/>
          <w:rtl/>
        </w:rPr>
        <w:footnoteReference w:id="532"/>
      </w:r>
      <w:r w:rsidR="00B708FF">
        <w:rPr>
          <w:rFonts w:hint="cs"/>
          <w:b/>
          <w:bCs/>
          <w:sz w:val="28"/>
          <w:szCs w:val="28"/>
          <w:rtl/>
        </w:rPr>
        <w:t xml:space="preserve">, ברור </w:t>
      </w:r>
      <w:r w:rsidR="009329AF">
        <w:rPr>
          <w:rFonts w:hint="cs"/>
          <w:b/>
          <w:bCs/>
          <w:sz w:val="28"/>
          <w:szCs w:val="28"/>
          <w:rtl/>
        </w:rPr>
        <w:t xml:space="preserve">מזה </w:t>
      </w:r>
      <w:r w:rsidR="00B708FF">
        <w:rPr>
          <w:rFonts w:hint="cs"/>
          <w:b/>
          <w:bCs/>
          <w:sz w:val="28"/>
          <w:szCs w:val="28"/>
          <w:rtl/>
        </w:rPr>
        <w:t xml:space="preserve">שהטבע אינו </w:t>
      </w:r>
      <w:r w:rsidR="00715AAF">
        <w:rPr>
          <w:rFonts w:hint="cs"/>
          <w:b/>
          <w:bCs/>
          <w:sz w:val="28"/>
          <w:szCs w:val="28"/>
          <w:rtl/>
        </w:rPr>
        <w:t>החומר, והוא הצורה</w:t>
      </w:r>
      <w:r w:rsidR="0027175D">
        <w:rPr>
          <w:rFonts w:hint="cs"/>
          <w:b/>
          <w:bCs/>
          <w:sz w:val="28"/>
          <w:szCs w:val="28"/>
          <w:rtl/>
        </w:rPr>
        <w:t xml:space="preserve"> </w:t>
      </w:r>
      <w:r w:rsidR="00D00F36">
        <w:rPr>
          <w:rFonts w:hint="cs"/>
          <w:b/>
          <w:bCs/>
          <w:sz w:val="28"/>
          <w:szCs w:val="28"/>
          <w:rtl/>
        </w:rPr>
        <w:t>שבפשוטים</w:t>
      </w:r>
      <w:r w:rsidR="00174FE3">
        <w:rPr>
          <w:rFonts w:hint="cs"/>
          <w:b/>
          <w:bCs/>
          <w:sz w:val="28"/>
          <w:szCs w:val="28"/>
          <w:rtl/>
        </w:rPr>
        <w:t xml:space="preserve">, והוא בפני עצמו </w:t>
      </w:r>
      <w:r w:rsidR="000820CD">
        <w:rPr>
          <w:rFonts w:hint="cs"/>
          <w:b/>
          <w:bCs/>
          <w:sz w:val="28"/>
          <w:szCs w:val="28"/>
          <w:rtl/>
        </w:rPr>
        <w:t>צורה מ</w:t>
      </w:r>
      <w:r w:rsidR="00414C95">
        <w:rPr>
          <w:rFonts w:hint="cs"/>
          <w:b/>
          <w:bCs/>
          <w:sz w:val="28"/>
          <w:szCs w:val="28"/>
          <w:rtl/>
        </w:rPr>
        <w:t xml:space="preserve">ן </w:t>
      </w:r>
      <w:r w:rsidR="000820CD">
        <w:rPr>
          <w:rFonts w:hint="cs"/>
          <w:b/>
          <w:bCs/>
          <w:sz w:val="28"/>
          <w:szCs w:val="28"/>
          <w:rtl/>
        </w:rPr>
        <w:t xml:space="preserve">הצורות, </w:t>
      </w:r>
      <w:r w:rsidR="0040725B">
        <w:rPr>
          <w:rFonts w:hint="cs"/>
          <w:b/>
          <w:bCs/>
          <w:sz w:val="28"/>
          <w:szCs w:val="28"/>
          <w:rtl/>
        </w:rPr>
        <w:t>ולא חומר מ</w:t>
      </w:r>
      <w:r w:rsidR="00414C95">
        <w:rPr>
          <w:rFonts w:hint="cs"/>
          <w:b/>
          <w:bCs/>
          <w:sz w:val="28"/>
          <w:szCs w:val="28"/>
          <w:rtl/>
        </w:rPr>
        <w:t xml:space="preserve">ן </w:t>
      </w:r>
      <w:r w:rsidR="0040725B">
        <w:rPr>
          <w:rFonts w:hint="cs"/>
          <w:b/>
          <w:bCs/>
          <w:sz w:val="28"/>
          <w:szCs w:val="28"/>
          <w:rtl/>
        </w:rPr>
        <w:t>החומרים</w:t>
      </w:r>
      <w:r w:rsidR="00173F2E">
        <w:rPr>
          <w:rFonts w:hint="cs"/>
          <w:b/>
          <w:bCs/>
          <w:sz w:val="28"/>
          <w:szCs w:val="28"/>
          <w:rtl/>
        </w:rPr>
        <w:t>.</w:t>
      </w:r>
      <w:r w:rsidR="00414C95">
        <w:rPr>
          <w:rFonts w:hint="cs"/>
          <w:b/>
          <w:bCs/>
          <w:sz w:val="28"/>
          <w:szCs w:val="28"/>
          <w:rtl/>
        </w:rPr>
        <w:t xml:space="preserve"> </w:t>
      </w:r>
    </w:p>
    <w:p w14:paraId="0305506E" w14:textId="239A4112" w:rsidR="00604282" w:rsidRDefault="00747037" w:rsidP="000A56DC">
      <w:pPr>
        <w:pStyle w:val="FootnoteText"/>
        <w:rPr>
          <w:b/>
          <w:bCs/>
          <w:sz w:val="28"/>
          <w:szCs w:val="28"/>
          <w:rtl/>
        </w:rPr>
      </w:pPr>
      <w:r>
        <w:rPr>
          <w:rFonts w:hint="cs"/>
          <w:b/>
          <w:bCs/>
          <w:sz w:val="28"/>
          <w:szCs w:val="28"/>
          <w:rtl/>
        </w:rPr>
        <w:t>וב</w:t>
      </w:r>
      <w:r w:rsidR="00C930D8">
        <w:rPr>
          <w:rFonts w:hint="cs"/>
          <w:b/>
          <w:bCs/>
          <w:sz w:val="28"/>
          <w:szCs w:val="28"/>
          <w:rtl/>
        </w:rPr>
        <w:t>אשר ל</w:t>
      </w:r>
      <w:r w:rsidR="005F1CAD">
        <w:rPr>
          <w:rFonts w:hint="cs"/>
          <w:b/>
          <w:bCs/>
          <w:sz w:val="28"/>
          <w:szCs w:val="28"/>
          <w:rtl/>
        </w:rPr>
        <w:t xml:space="preserve">מורכבים, </w:t>
      </w:r>
      <w:r w:rsidR="00117BD6">
        <w:rPr>
          <w:rFonts w:hint="cs"/>
          <w:b/>
          <w:bCs/>
          <w:sz w:val="28"/>
          <w:szCs w:val="28"/>
          <w:rtl/>
        </w:rPr>
        <w:t>אי</w:t>
      </w:r>
      <w:r w:rsidR="003762F9">
        <w:rPr>
          <w:rFonts w:hint="cs"/>
          <w:b/>
          <w:bCs/>
          <w:sz w:val="28"/>
          <w:szCs w:val="28"/>
          <w:rtl/>
        </w:rPr>
        <w:t>ן</w:t>
      </w:r>
      <w:r w:rsidR="006B3750">
        <w:rPr>
          <w:rFonts w:hint="cs"/>
          <w:b/>
          <w:bCs/>
          <w:sz w:val="28"/>
          <w:szCs w:val="28"/>
          <w:rtl/>
        </w:rPr>
        <w:t xml:space="preserve"> חשש </w:t>
      </w:r>
      <w:r w:rsidR="008300C8">
        <w:rPr>
          <w:rFonts w:hint="cs"/>
          <w:b/>
          <w:bCs/>
          <w:sz w:val="28"/>
          <w:szCs w:val="28"/>
          <w:rtl/>
        </w:rPr>
        <w:t xml:space="preserve">שתטעה </w:t>
      </w:r>
      <w:r w:rsidR="006B3750">
        <w:rPr>
          <w:rFonts w:hint="cs"/>
          <w:b/>
          <w:bCs/>
          <w:sz w:val="28"/>
          <w:szCs w:val="28"/>
          <w:rtl/>
        </w:rPr>
        <w:t xml:space="preserve">שהטבע המוגדר </w:t>
      </w:r>
      <w:r w:rsidR="004D5D51">
        <w:rPr>
          <w:rFonts w:hint="cs"/>
          <w:b/>
          <w:bCs/>
          <w:sz w:val="28"/>
          <w:szCs w:val="28"/>
          <w:rtl/>
        </w:rPr>
        <w:t>והגדרתו</w:t>
      </w:r>
      <w:r w:rsidR="00246C64">
        <w:rPr>
          <w:rFonts w:hint="cs"/>
          <w:b/>
          <w:bCs/>
          <w:sz w:val="28"/>
          <w:szCs w:val="28"/>
          <w:rtl/>
        </w:rPr>
        <w:t xml:space="preserve"> לא </w:t>
      </w:r>
      <w:r w:rsidR="00414B0C">
        <w:rPr>
          <w:rFonts w:hint="cs"/>
          <w:b/>
          <w:bCs/>
          <w:sz w:val="28"/>
          <w:szCs w:val="28"/>
          <w:rtl/>
        </w:rPr>
        <w:t>יתנו את מהו</w:t>
      </w:r>
      <w:r w:rsidR="00853A4B">
        <w:rPr>
          <w:rFonts w:hint="cs"/>
          <w:b/>
          <w:bCs/>
          <w:sz w:val="28"/>
          <w:szCs w:val="28"/>
          <w:rtl/>
        </w:rPr>
        <w:t>יו</w:t>
      </w:r>
      <w:r w:rsidR="00414B0C">
        <w:rPr>
          <w:rFonts w:hint="cs"/>
          <w:b/>
          <w:bCs/>
          <w:sz w:val="28"/>
          <w:szCs w:val="28"/>
          <w:rtl/>
        </w:rPr>
        <w:t>ת</w:t>
      </w:r>
      <w:r w:rsidR="00853A4B">
        <w:rPr>
          <w:rFonts w:hint="cs"/>
          <w:b/>
          <w:bCs/>
          <w:sz w:val="28"/>
          <w:szCs w:val="28"/>
          <w:rtl/>
        </w:rPr>
        <w:t>י</w:t>
      </w:r>
      <w:r w:rsidR="003B45D4">
        <w:rPr>
          <w:rFonts w:hint="cs"/>
          <w:b/>
          <w:bCs/>
          <w:sz w:val="28"/>
          <w:szCs w:val="28"/>
          <w:rtl/>
        </w:rPr>
        <w:t>הם</w:t>
      </w:r>
      <w:r w:rsidR="002722B4">
        <w:rPr>
          <w:rFonts w:hint="cs"/>
          <w:b/>
          <w:bCs/>
          <w:sz w:val="28"/>
          <w:szCs w:val="28"/>
          <w:rtl/>
        </w:rPr>
        <w:t xml:space="preserve"> [של הגופים המורכבים]</w:t>
      </w:r>
      <w:r w:rsidR="00414B0C">
        <w:rPr>
          <w:rFonts w:hint="cs"/>
          <w:b/>
          <w:bCs/>
          <w:sz w:val="28"/>
          <w:szCs w:val="28"/>
          <w:rtl/>
        </w:rPr>
        <w:t xml:space="preserve">, </w:t>
      </w:r>
      <w:r w:rsidR="00862561">
        <w:rPr>
          <w:rFonts w:hint="cs"/>
          <w:b/>
          <w:bCs/>
          <w:sz w:val="28"/>
          <w:szCs w:val="28"/>
          <w:rtl/>
        </w:rPr>
        <w:t xml:space="preserve">אבל יש </w:t>
      </w:r>
      <w:r w:rsidR="00284399">
        <w:rPr>
          <w:rFonts w:hint="cs"/>
          <w:b/>
          <w:bCs/>
          <w:sz w:val="28"/>
          <w:szCs w:val="28"/>
          <w:rtl/>
        </w:rPr>
        <w:t xml:space="preserve">עם </w:t>
      </w:r>
      <w:r w:rsidR="00862561">
        <w:rPr>
          <w:rFonts w:hint="cs"/>
          <w:b/>
          <w:bCs/>
          <w:sz w:val="28"/>
          <w:szCs w:val="28"/>
          <w:rtl/>
        </w:rPr>
        <w:t xml:space="preserve">זה </w:t>
      </w:r>
      <w:r w:rsidR="00662A5A">
        <w:rPr>
          <w:rFonts w:hint="cs"/>
          <w:b/>
          <w:bCs/>
          <w:sz w:val="28"/>
          <w:szCs w:val="28"/>
          <w:rtl/>
        </w:rPr>
        <w:t>דברים נוספים.</w:t>
      </w:r>
      <w:r w:rsidR="00817D99">
        <w:rPr>
          <w:rFonts w:hint="cs"/>
          <w:b/>
          <w:bCs/>
          <w:sz w:val="28"/>
          <w:szCs w:val="28"/>
          <w:rtl/>
        </w:rPr>
        <w:t xml:space="preserve"> </w:t>
      </w:r>
      <w:r w:rsidR="00352153">
        <w:rPr>
          <w:rFonts w:hint="cs"/>
          <w:b/>
          <w:bCs/>
          <w:sz w:val="28"/>
          <w:szCs w:val="28"/>
          <w:rtl/>
        </w:rPr>
        <w:t xml:space="preserve">בכל אופן </w:t>
      </w:r>
      <w:r w:rsidR="004005EE">
        <w:rPr>
          <w:rFonts w:hint="cs"/>
          <w:b/>
          <w:bCs/>
          <w:sz w:val="28"/>
          <w:szCs w:val="28"/>
          <w:rtl/>
        </w:rPr>
        <w:t>צורותי</w:t>
      </w:r>
      <w:r w:rsidR="003B45D4">
        <w:rPr>
          <w:rFonts w:hint="cs"/>
          <w:b/>
          <w:bCs/>
          <w:sz w:val="28"/>
          <w:szCs w:val="28"/>
          <w:rtl/>
        </w:rPr>
        <w:t>הם</w:t>
      </w:r>
      <w:r w:rsidR="004005EE">
        <w:rPr>
          <w:rFonts w:hint="cs"/>
          <w:b/>
          <w:bCs/>
          <w:sz w:val="28"/>
          <w:szCs w:val="28"/>
          <w:rtl/>
        </w:rPr>
        <w:t xml:space="preserve"> </w:t>
      </w:r>
      <w:r w:rsidR="003B45D4">
        <w:rPr>
          <w:rFonts w:hint="cs"/>
          <w:b/>
          <w:bCs/>
          <w:sz w:val="28"/>
          <w:szCs w:val="28"/>
          <w:rtl/>
        </w:rPr>
        <w:t xml:space="preserve">השלמות נקראות 'טבע', </w:t>
      </w:r>
      <w:r w:rsidR="00E60AC7">
        <w:rPr>
          <w:rFonts w:hint="cs"/>
          <w:b/>
          <w:bCs/>
          <w:sz w:val="28"/>
          <w:szCs w:val="28"/>
          <w:rtl/>
        </w:rPr>
        <w:t>על דרך השמות הנרדפים</w:t>
      </w:r>
      <w:r w:rsidR="006D44D0">
        <w:rPr>
          <w:rFonts w:hint="cs"/>
          <w:b/>
          <w:bCs/>
          <w:sz w:val="28"/>
          <w:szCs w:val="28"/>
          <w:rtl/>
        </w:rPr>
        <w:t xml:space="preserve">, </w:t>
      </w:r>
      <w:r w:rsidR="00F12D01">
        <w:rPr>
          <w:rFonts w:hint="cs"/>
          <w:b/>
          <w:bCs/>
          <w:sz w:val="28"/>
          <w:szCs w:val="28"/>
          <w:rtl/>
        </w:rPr>
        <w:t xml:space="preserve">ויהיה 'טבע' נאמר </w:t>
      </w:r>
      <w:r w:rsidR="009D310A">
        <w:rPr>
          <w:rFonts w:hint="cs"/>
          <w:b/>
          <w:bCs/>
          <w:sz w:val="28"/>
          <w:szCs w:val="28"/>
          <w:rtl/>
        </w:rPr>
        <w:t>גם על זה וגם על הראשון</w:t>
      </w:r>
      <w:r w:rsidR="00604282">
        <w:rPr>
          <w:rFonts w:hint="cs"/>
          <w:b/>
          <w:bCs/>
          <w:sz w:val="28"/>
          <w:szCs w:val="28"/>
          <w:rtl/>
        </w:rPr>
        <w:t xml:space="preserve"> בשיתוף</w:t>
      </w:r>
      <w:r w:rsidR="002F42AE">
        <w:rPr>
          <w:rStyle w:val="FootnoteReference"/>
          <w:b/>
          <w:bCs/>
          <w:sz w:val="28"/>
          <w:szCs w:val="28"/>
          <w:rtl/>
        </w:rPr>
        <w:footnoteReference w:id="533"/>
      </w:r>
      <w:r w:rsidR="00604282">
        <w:rPr>
          <w:rFonts w:hint="cs"/>
          <w:b/>
          <w:bCs/>
          <w:sz w:val="28"/>
          <w:szCs w:val="28"/>
          <w:rtl/>
        </w:rPr>
        <w:t xml:space="preserve">. </w:t>
      </w:r>
    </w:p>
    <w:p w14:paraId="58A12EEC" w14:textId="63DD9BEB" w:rsidR="00AB36A7" w:rsidRDefault="00B661E5" w:rsidP="000A56DC">
      <w:pPr>
        <w:pStyle w:val="FootnoteText"/>
        <w:rPr>
          <w:b/>
          <w:bCs/>
          <w:sz w:val="28"/>
          <w:szCs w:val="28"/>
          <w:rtl/>
        </w:rPr>
      </w:pPr>
      <w:r>
        <w:rPr>
          <w:rFonts w:hint="cs"/>
          <w:b/>
          <w:bCs/>
          <w:sz w:val="28"/>
          <w:szCs w:val="28"/>
          <w:rtl/>
        </w:rPr>
        <w:t xml:space="preserve">ובאשר לתנועה, </w:t>
      </w:r>
      <w:r w:rsidR="00036DE6">
        <w:rPr>
          <w:rFonts w:hint="cs"/>
          <w:b/>
          <w:bCs/>
          <w:sz w:val="28"/>
          <w:szCs w:val="28"/>
          <w:rtl/>
        </w:rPr>
        <w:t>יש להסירה מלהיות</w:t>
      </w:r>
      <w:r w:rsidR="003E1DB3">
        <w:rPr>
          <w:rFonts w:hint="cs"/>
          <w:b/>
          <w:bCs/>
          <w:sz w:val="28"/>
          <w:szCs w:val="28"/>
          <w:rtl/>
        </w:rPr>
        <w:t xml:space="preserve"> </w:t>
      </w:r>
      <w:r w:rsidR="00C137C1">
        <w:rPr>
          <w:rFonts w:hint="cs"/>
          <w:b/>
          <w:bCs/>
          <w:sz w:val="28"/>
          <w:szCs w:val="28"/>
          <w:rtl/>
        </w:rPr>
        <w:t>ה</w:t>
      </w:r>
      <w:r w:rsidR="003E1DB3">
        <w:rPr>
          <w:rFonts w:hint="cs"/>
          <w:b/>
          <w:bCs/>
          <w:sz w:val="28"/>
          <w:szCs w:val="28"/>
          <w:rtl/>
        </w:rPr>
        <w:t>טבע של הדברים</w:t>
      </w:r>
      <w:r w:rsidR="001E7C7E">
        <w:rPr>
          <w:rFonts w:hint="cs"/>
          <w:b/>
          <w:bCs/>
          <w:sz w:val="28"/>
          <w:szCs w:val="28"/>
          <w:rtl/>
        </w:rPr>
        <w:t xml:space="preserve">, </w:t>
      </w:r>
      <w:r w:rsidR="00A6770E">
        <w:rPr>
          <w:rFonts w:hint="cs"/>
          <w:b/>
          <w:bCs/>
          <w:sz w:val="28"/>
          <w:szCs w:val="28"/>
          <w:rtl/>
        </w:rPr>
        <w:t>כי, כמו שיתבאר</w:t>
      </w:r>
      <w:r w:rsidR="004476A0">
        <w:rPr>
          <w:rStyle w:val="FootnoteReference"/>
          <w:b/>
          <w:bCs/>
          <w:sz w:val="28"/>
          <w:szCs w:val="28"/>
          <w:rtl/>
        </w:rPr>
        <w:footnoteReference w:id="534"/>
      </w:r>
      <w:r w:rsidR="00A6770E">
        <w:rPr>
          <w:rFonts w:hint="cs"/>
          <w:b/>
          <w:bCs/>
          <w:sz w:val="28"/>
          <w:szCs w:val="28"/>
          <w:rtl/>
        </w:rPr>
        <w:t>,</w:t>
      </w:r>
      <w:r w:rsidR="00F12D01">
        <w:rPr>
          <w:rFonts w:hint="cs"/>
          <w:b/>
          <w:bCs/>
          <w:sz w:val="28"/>
          <w:szCs w:val="28"/>
          <w:rtl/>
        </w:rPr>
        <w:t xml:space="preserve"> </w:t>
      </w:r>
      <w:r w:rsidR="00E80925">
        <w:rPr>
          <w:rFonts w:hint="cs"/>
          <w:b/>
          <w:bCs/>
          <w:sz w:val="28"/>
          <w:szCs w:val="28"/>
          <w:rtl/>
        </w:rPr>
        <w:t xml:space="preserve">היא </w:t>
      </w:r>
      <w:r w:rsidR="004101C5">
        <w:rPr>
          <w:rFonts w:hint="cs"/>
          <w:b/>
          <w:bCs/>
          <w:sz w:val="28"/>
          <w:szCs w:val="28"/>
          <w:rtl/>
        </w:rPr>
        <w:t>קורה במצב של חסרון,</w:t>
      </w:r>
      <w:r w:rsidR="00E80925">
        <w:rPr>
          <w:rFonts w:hint="cs"/>
          <w:b/>
          <w:bCs/>
          <w:sz w:val="28"/>
          <w:szCs w:val="28"/>
          <w:rtl/>
        </w:rPr>
        <w:t xml:space="preserve"> </w:t>
      </w:r>
      <w:r w:rsidR="004475F3">
        <w:rPr>
          <w:rFonts w:hint="cs"/>
          <w:b/>
          <w:bCs/>
          <w:sz w:val="28"/>
          <w:szCs w:val="28"/>
          <w:rtl/>
        </w:rPr>
        <w:t xml:space="preserve">והיא זרה לעצם. </w:t>
      </w:r>
      <w:r w:rsidR="00AB36A7">
        <w:rPr>
          <w:b/>
          <w:bCs/>
          <w:sz w:val="28"/>
          <w:szCs w:val="28"/>
          <w:rtl/>
        </w:rPr>
        <w:br w:type="page"/>
      </w:r>
    </w:p>
    <w:p w14:paraId="54997608" w14:textId="15EE449F" w:rsidR="002C49E2" w:rsidRPr="002C49E2" w:rsidRDefault="002C49E2" w:rsidP="00C773A0">
      <w:pPr>
        <w:pStyle w:val="Heading1"/>
        <w:rPr>
          <w:rtl/>
          <w:lang w:val="he"/>
        </w:rPr>
      </w:pPr>
      <w:bookmarkStart w:id="256" w:name="_Toc119092670"/>
      <w:r w:rsidRPr="002C49E2">
        <w:rPr>
          <w:rFonts w:hint="cs"/>
          <w:rtl/>
          <w:lang w:val="he"/>
        </w:rPr>
        <w:t xml:space="preserve">פרק </w:t>
      </w:r>
      <w:r>
        <w:rPr>
          <w:rFonts w:hint="cs"/>
          <w:rtl/>
          <w:lang w:val="he"/>
        </w:rPr>
        <w:t>ז</w:t>
      </w:r>
      <w:bookmarkEnd w:id="256"/>
    </w:p>
    <w:p w14:paraId="47B369A7" w14:textId="2A96375F" w:rsidR="00747037" w:rsidRDefault="002C49E2" w:rsidP="00C773A0">
      <w:pPr>
        <w:pStyle w:val="Heading2"/>
        <w:rPr>
          <w:rtl/>
        </w:rPr>
      </w:pPr>
      <w:bookmarkStart w:id="257" w:name="_Toc119092671"/>
      <w:r w:rsidRPr="002C49E2">
        <w:rPr>
          <w:rFonts w:hint="cs"/>
          <w:rtl/>
        </w:rPr>
        <w:t>ב</w:t>
      </w:r>
      <w:r w:rsidR="00084702">
        <w:rPr>
          <w:rFonts w:hint="cs"/>
          <w:rtl/>
        </w:rPr>
        <w:t>שמות</w:t>
      </w:r>
      <w:r w:rsidR="00FF6101">
        <w:rPr>
          <w:rStyle w:val="FootnoteReference"/>
          <w:rtl/>
        </w:rPr>
        <w:footnoteReference w:id="535"/>
      </w:r>
      <w:r w:rsidR="00084702">
        <w:rPr>
          <w:rFonts w:hint="cs"/>
          <w:rtl/>
        </w:rPr>
        <w:t xml:space="preserve"> </w:t>
      </w:r>
      <w:r w:rsidR="00EE6836">
        <w:rPr>
          <w:rFonts w:hint="cs"/>
          <w:rtl/>
        </w:rPr>
        <w:t>ה</w:t>
      </w:r>
      <w:r w:rsidR="00787761">
        <w:rPr>
          <w:rFonts w:hint="cs"/>
          <w:rtl/>
        </w:rPr>
        <w:t>נגזרים מהטבע וביאורם</w:t>
      </w:r>
      <w:bookmarkEnd w:id="257"/>
    </w:p>
    <w:p w14:paraId="6E7F6142" w14:textId="77777777" w:rsidR="004430FB" w:rsidRDefault="004430FB" w:rsidP="00EE6836">
      <w:pPr>
        <w:jc w:val="center"/>
        <w:outlineLvl w:val="2"/>
        <w:rPr>
          <w:sz w:val="36"/>
          <w:szCs w:val="36"/>
          <w:rtl/>
          <w:lang w:val="he"/>
        </w:rPr>
      </w:pPr>
    </w:p>
    <w:p w14:paraId="011F5304" w14:textId="1592D13E" w:rsidR="004430FB" w:rsidRDefault="004430FB" w:rsidP="003266A1">
      <w:pPr>
        <w:pStyle w:val="Heading4"/>
        <w:rPr>
          <w:rtl/>
          <w:lang w:val="he"/>
        </w:rPr>
      </w:pPr>
      <w:bookmarkStart w:id="258" w:name="_Toc119092672"/>
      <w:r w:rsidRPr="00C773A0">
        <w:rPr>
          <w:rFonts w:hint="cs"/>
          <w:rtl/>
          <w:lang w:val="he"/>
        </w:rPr>
        <w:t>1.7.1</w:t>
      </w:r>
      <w:bookmarkEnd w:id="258"/>
    </w:p>
    <w:p w14:paraId="53D865A5" w14:textId="6A47F0F7" w:rsidR="004A626E" w:rsidRDefault="0050450E" w:rsidP="00590812">
      <w:pPr>
        <w:rPr>
          <w:rtl/>
          <w:lang w:val="he"/>
        </w:rPr>
      </w:pPr>
      <w:bookmarkStart w:id="259" w:name="_Hlk106572395"/>
      <w:r>
        <w:rPr>
          <w:rFonts w:hint="cs"/>
          <w:rtl/>
          <w:lang w:val="he"/>
        </w:rPr>
        <w:t>הנה</w:t>
      </w:r>
      <w:r w:rsidR="00590812">
        <w:rPr>
          <w:rFonts w:hint="cs"/>
          <w:rtl/>
          <w:lang w:val="he"/>
        </w:rPr>
        <w:t xml:space="preserve"> </w:t>
      </w:r>
      <w:r w:rsidR="008F7349" w:rsidRPr="008F7349">
        <w:rPr>
          <w:rtl/>
          <w:lang w:val="he"/>
        </w:rPr>
        <w:t>שֵׁמוֹת</w:t>
      </w:r>
      <w:r w:rsidR="008F7349">
        <w:rPr>
          <w:rFonts w:hint="cs"/>
          <w:rtl/>
          <w:lang w:val="he"/>
        </w:rPr>
        <w:t xml:space="preserve"> </w:t>
      </w:r>
      <w:r w:rsidR="00D57CD0">
        <w:rPr>
          <w:rFonts w:hint="cs"/>
          <w:rtl/>
          <w:lang w:val="he"/>
        </w:rPr>
        <w:t>ש</w:t>
      </w:r>
      <w:r w:rsidR="00434BC3" w:rsidRPr="00434BC3">
        <w:rPr>
          <w:rtl/>
          <w:lang w:val="he"/>
        </w:rPr>
        <w:t>נַעֲשָׂה</w:t>
      </w:r>
      <w:r w:rsidR="00D57CD0">
        <w:rPr>
          <w:rFonts w:hint="cs"/>
          <w:rtl/>
          <w:lang w:val="he"/>
        </w:rPr>
        <w:t xml:space="preserve"> בהם</w:t>
      </w:r>
      <w:r w:rsidR="00317C99">
        <w:rPr>
          <w:rFonts w:hint="cs"/>
          <w:rtl/>
          <w:lang w:val="he"/>
        </w:rPr>
        <w:t xml:space="preserve"> שימוש</w:t>
      </w:r>
      <w:r w:rsidR="00317C99">
        <w:rPr>
          <w:rStyle w:val="FootnoteReference"/>
          <w:rtl/>
          <w:lang w:val="he"/>
        </w:rPr>
        <w:footnoteReference w:id="536"/>
      </w:r>
      <w:r w:rsidR="008B66A8">
        <w:rPr>
          <w:rFonts w:hint="cs"/>
          <w:rtl/>
          <w:lang w:val="he"/>
        </w:rPr>
        <w:t xml:space="preserve">, </w:t>
      </w:r>
      <w:r w:rsidR="00F866EA" w:rsidRPr="00F866EA">
        <w:rPr>
          <w:rtl/>
          <w:lang w:val="he"/>
        </w:rPr>
        <w:t>וְנֶאֱמָר</w:t>
      </w:r>
      <w:r w:rsidR="008B66A8">
        <w:rPr>
          <w:rFonts w:hint="cs"/>
          <w:rtl/>
          <w:lang w:val="he"/>
        </w:rPr>
        <w:t>:</w:t>
      </w:r>
      <w:r w:rsidR="00590812">
        <w:rPr>
          <w:rFonts w:hint="cs"/>
          <w:rtl/>
          <w:lang w:val="he"/>
        </w:rPr>
        <w:t xml:space="preserve"> </w:t>
      </w:r>
      <w:r w:rsidR="000859D5">
        <w:rPr>
          <w:rFonts w:hint="cs"/>
          <w:rtl/>
          <w:lang w:val="he"/>
        </w:rPr>
        <w:t xml:space="preserve">'טבע', </w:t>
      </w:r>
      <w:r w:rsidR="007F250F">
        <w:rPr>
          <w:rFonts w:hint="cs"/>
          <w:rtl/>
          <w:lang w:val="he"/>
        </w:rPr>
        <w:t xml:space="preserve">ו'טבעי', </w:t>
      </w:r>
      <w:proofErr w:type="spellStart"/>
      <w:r w:rsidR="007F250F">
        <w:rPr>
          <w:rFonts w:hint="cs"/>
          <w:rtl/>
          <w:lang w:val="he"/>
        </w:rPr>
        <w:t>ו</w:t>
      </w:r>
      <w:r w:rsidR="001D71B8">
        <w:rPr>
          <w:rFonts w:hint="cs"/>
          <w:rtl/>
          <w:lang w:val="he"/>
        </w:rPr>
        <w:t>'</w:t>
      </w:r>
      <w:r w:rsidR="006B17DF" w:rsidRPr="006B17DF">
        <w:rPr>
          <w:rtl/>
          <w:lang w:val="he"/>
        </w:rPr>
        <w:t>בַּעַל</w:t>
      </w:r>
      <w:proofErr w:type="spellEnd"/>
      <w:r w:rsidR="001D71B8">
        <w:rPr>
          <w:rFonts w:hint="cs"/>
          <w:rtl/>
          <w:lang w:val="he"/>
        </w:rPr>
        <w:t xml:space="preserve"> טבע', </w:t>
      </w:r>
      <w:r w:rsidR="00320253">
        <w:rPr>
          <w:rFonts w:hint="cs"/>
          <w:rtl/>
          <w:lang w:val="he"/>
        </w:rPr>
        <w:t xml:space="preserve">ו'מה שהוא </w:t>
      </w:r>
      <w:r w:rsidR="001E400E">
        <w:rPr>
          <w:rFonts w:hint="cs"/>
          <w:rtl/>
          <w:lang w:val="he"/>
        </w:rPr>
        <w:t>ב</w:t>
      </w:r>
      <w:r w:rsidR="00320253">
        <w:rPr>
          <w:rFonts w:hint="cs"/>
          <w:rtl/>
          <w:lang w:val="he"/>
        </w:rPr>
        <w:t xml:space="preserve">טבע', </w:t>
      </w:r>
      <w:r w:rsidR="0033535C">
        <w:rPr>
          <w:rFonts w:hint="cs"/>
          <w:rtl/>
          <w:lang w:val="he"/>
        </w:rPr>
        <w:t>ו'מה ש</w:t>
      </w:r>
      <w:r w:rsidR="00EA22F0">
        <w:rPr>
          <w:rFonts w:hint="cs"/>
          <w:rtl/>
          <w:lang w:val="he"/>
        </w:rPr>
        <w:t>ב</w:t>
      </w:r>
      <w:r w:rsidR="00846CBD">
        <w:rPr>
          <w:rFonts w:hint="cs"/>
          <w:rtl/>
          <w:lang w:val="he"/>
        </w:rPr>
        <w:t>טבע'</w:t>
      </w:r>
      <w:r w:rsidR="00EA22F0">
        <w:rPr>
          <w:rStyle w:val="FootnoteReference"/>
          <w:rtl/>
          <w:lang w:val="he"/>
        </w:rPr>
        <w:footnoteReference w:id="537"/>
      </w:r>
      <w:r w:rsidR="00846CBD">
        <w:rPr>
          <w:rFonts w:hint="cs"/>
          <w:rtl/>
          <w:lang w:val="he"/>
        </w:rPr>
        <w:t xml:space="preserve">, </w:t>
      </w:r>
      <w:r w:rsidR="00095611">
        <w:rPr>
          <w:rFonts w:hint="cs"/>
          <w:rtl/>
          <w:lang w:val="he"/>
        </w:rPr>
        <w:t>ו'מה ש</w:t>
      </w:r>
      <w:r w:rsidR="00C44E00">
        <w:rPr>
          <w:rFonts w:hint="cs"/>
          <w:rtl/>
          <w:lang w:val="he"/>
        </w:rPr>
        <w:t>הולך</w:t>
      </w:r>
      <w:r w:rsidR="00801A9A">
        <w:rPr>
          <w:rFonts w:hint="cs"/>
          <w:rtl/>
          <w:lang w:val="he"/>
        </w:rPr>
        <w:t xml:space="preserve"> </w:t>
      </w:r>
      <w:r w:rsidR="00AF3CE8">
        <w:rPr>
          <w:rFonts w:hint="cs"/>
          <w:rtl/>
          <w:lang w:val="he"/>
        </w:rPr>
        <w:t>ב</w:t>
      </w:r>
      <w:r w:rsidR="00095611">
        <w:rPr>
          <w:rFonts w:hint="cs"/>
          <w:rtl/>
          <w:lang w:val="he"/>
        </w:rPr>
        <w:t>דרך הטבע</w:t>
      </w:r>
      <w:r w:rsidR="00AF3CE8">
        <w:rPr>
          <w:rFonts w:hint="cs"/>
          <w:rtl/>
          <w:lang w:val="he"/>
        </w:rPr>
        <w:t>ית</w:t>
      </w:r>
      <w:r w:rsidR="00095611">
        <w:rPr>
          <w:rFonts w:hint="cs"/>
          <w:rtl/>
          <w:lang w:val="he"/>
        </w:rPr>
        <w:t>'.</w:t>
      </w:r>
    </w:p>
    <w:bookmarkEnd w:id="259"/>
    <w:p w14:paraId="253E1E61" w14:textId="3F2C4447" w:rsidR="009E6EDC" w:rsidRDefault="004A626E" w:rsidP="00590812">
      <w:pPr>
        <w:rPr>
          <w:rtl/>
          <w:lang w:val="he"/>
        </w:rPr>
      </w:pPr>
      <w:r>
        <w:rPr>
          <w:rFonts w:hint="cs"/>
          <w:rtl/>
          <w:lang w:val="he"/>
        </w:rPr>
        <w:t xml:space="preserve">'טבע' </w:t>
      </w:r>
      <w:r w:rsidR="00750C53">
        <w:rPr>
          <w:rFonts w:hint="cs"/>
          <w:rtl/>
          <w:lang w:val="he"/>
        </w:rPr>
        <w:t>כבר</w:t>
      </w:r>
      <w:r w:rsidR="002A1A92">
        <w:rPr>
          <w:rFonts w:hint="cs"/>
          <w:rtl/>
          <w:lang w:val="he"/>
        </w:rPr>
        <w:t xml:space="preserve"> </w:t>
      </w:r>
      <w:r w:rsidR="00F14ED5">
        <w:rPr>
          <w:rFonts w:hint="cs"/>
          <w:rtl/>
          <w:lang w:val="he"/>
        </w:rPr>
        <w:t>למדת</w:t>
      </w:r>
      <w:r w:rsidR="00382C5D">
        <w:rPr>
          <w:rFonts w:hint="cs"/>
          <w:rtl/>
          <w:lang w:val="he"/>
        </w:rPr>
        <w:t xml:space="preserve"> מה הוא</w:t>
      </w:r>
      <w:r w:rsidR="005841E1">
        <w:rPr>
          <w:rStyle w:val="FootnoteReference"/>
          <w:rtl/>
          <w:lang w:val="he"/>
        </w:rPr>
        <w:footnoteReference w:id="538"/>
      </w:r>
      <w:r w:rsidR="00375CCE">
        <w:rPr>
          <w:rFonts w:hint="cs"/>
          <w:rtl/>
          <w:lang w:val="he"/>
        </w:rPr>
        <w:t>;</w:t>
      </w:r>
      <w:r>
        <w:rPr>
          <w:rFonts w:hint="cs"/>
          <w:rtl/>
          <w:lang w:val="he"/>
        </w:rPr>
        <w:t xml:space="preserve"> </w:t>
      </w:r>
    </w:p>
    <w:p w14:paraId="377BEDB6" w14:textId="57E71F39" w:rsidR="00E62127" w:rsidRDefault="00375CCE" w:rsidP="0059763A">
      <w:pPr>
        <w:rPr>
          <w:rtl/>
          <w:lang w:val="he"/>
        </w:rPr>
      </w:pPr>
      <w:r>
        <w:rPr>
          <w:rFonts w:hint="cs"/>
          <w:rtl/>
          <w:lang w:val="he"/>
        </w:rPr>
        <w:t>ו</w:t>
      </w:r>
      <w:r w:rsidR="009E6EDC">
        <w:rPr>
          <w:rFonts w:hint="cs"/>
          <w:rtl/>
          <w:lang w:val="he"/>
        </w:rPr>
        <w:t>אמנם</w:t>
      </w:r>
      <w:r w:rsidR="00F17883">
        <w:rPr>
          <w:rFonts w:hint="cs"/>
          <w:rtl/>
          <w:lang w:val="he"/>
        </w:rPr>
        <w:t xml:space="preserve"> </w:t>
      </w:r>
      <w:r w:rsidR="00E82576">
        <w:rPr>
          <w:rFonts w:hint="cs"/>
          <w:rtl/>
          <w:lang w:val="he"/>
        </w:rPr>
        <w:t>'</w:t>
      </w:r>
      <w:r w:rsidR="00F17883">
        <w:rPr>
          <w:rFonts w:hint="cs"/>
          <w:rtl/>
          <w:lang w:val="he"/>
        </w:rPr>
        <w:t>טבעי</w:t>
      </w:r>
      <w:r w:rsidR="00E82576">
        <w:rPr>
          <w:rFonts w:hint="cs"/>
          <w:rtl/>
          <w:lang w:val="he"/>
        </w:rPr>
        <w:t>'</w:t>
      </w:r>
      <w:r w:rsidR="00F17883">
        <w:rPr>
          <w:rFonts w:hint="cs"/>
          <w:rtl/>
          <w:lang w:val="he"/>
        </w:rPr>
        <w:t xml:space="preserve"> </w:t>
      </w:r>
      <w:r w:rsidR="00E82576">
        <w:rPr>
          <w:rFonts w:hint="cs"/>
          <w:rtl/>
          <w:lang w:val="he"/>
        </w:rPr>
        <w:t>הוא כל מה שמתייחס לטבע</w:t>
      </w:r>
      <w:r w:rsidR="00F01385">
        <w:rPr>
          <w:rFonts w:hint="cs"/>
          <w:rtl/>
          <w:lang w:val="he"/>
        </w:rPr>
        <w:t xml:space="preserve">, והמתייחס לטבע </w:t>
      </w:r>
      <w:r w:rsidR="00A325F7">
        <w:rPr>
          <w:rFonts w:hint="cs"/>
          <w:rtl/>
          <w:lang w:val="he"/>
        </w:rPr>
        <w:t xml:space="preserve">הוא </w:t>
      </w:r>
      <w:r w:rsidR="000F5305">
        <w:rPr>
          <w:rFonts w:hint="cs"/>
          <w:rtl/>
          <w:lang w:val="he"/>
        </w:rPr>
        <w:t xml:space="preserve">בין </w:t>
      </w:r>
      <w:r w:rsidR="0026085B">
        <w:rPr>
          <w:rFonts w:hint="cs"/>
          <w:rtl/>
          <w:lang w:val="he"/>
        </w:rPr>
        <w:t>מה ש</w:t>
      </w:r>
      <w:r w:rsidR="00AE3D87">
        <w:rPr>
          <w:rFonts w:hint="cs"/>
          <w:rtl/>
          <w:lang w:val="he"/>
        </w:rPr>
        <w:t>'</w:t>
      </w:r>
      <w:r w:rsidR="0026085B">
        <w:rPr>
          <w:rFonts w:hint="cs"/>
          <w:rtl/>
          <w:lang w:val="he"/>
        </w:rPr>
        <w:t>הטבע בו</w:t>
      </w:r>
      <w:r w:rsidR="00E90FF8">
        <w:rPr>
          <w:rFonts w:hint="cs"/>
          <w:rtl/>
          <w:lang w:val="he"/>
        </w:rPr>
        <w:t>'</w:t>
      </w:r>
      <w:r w:rsidR="0026085B">
        <w:rPr>
          <w:rFonts w:hint="cs"/>
          <w:rtl/>
          <w:lang w:val="he"/>
        </w:rPr>
        <w:t xml:space="preserve"> </w:t>
      </w:r>
      <w:r w:rsidR="00763E5A">
        <w:rPr>
          <w:rFonts w:hint="cs"/>
          <w:rtl/>
          <w:lang w:val="he"/>
        </w:rPr>
        <w:t>ו</w:t>
      </w:r>
      <w:r w:rsidR="000F5305">
        <w:rPr>
          <w:rFonts w:hint="cs"/>
          <w:rtl/>
          <w:lang w:val="he"/>
        </w:rPr>
        <w:t>בין</w:t>
      </w:r>
      <w:r w:rsidR="00763E5A">
        <w:rPr>
          <w:rFonts w:hint="cs"/>
          <w:rtl/>
          <w:lang w:val="he"/>
        </w:rPr>
        <w:t xml:space="preserve"> מה שהוא </w:t>
      </w:r>
      <w:r w:rsidR="004A27B6">
        <w:rPr>
          <w:rFonts w:hint="cs"/>
          <w:rtl/>
          <w:lang w:val="he"/>
        </w:rPr>
        <w:t>'</w:t>
      </w:r>
      <w:r w:rsidR="0017473C">
        <w:rPr>
          <w:rFonts w:hint="cs"/>
          <w:rtl/>
          <w:lang w:val="he"/>
        </w:rPr>
        <w:t xml:space="preserve">על </w:t>
      </w:r>
      <w:r w:rsidR="00763E5A">
        <w:rPr>
          <w:rFonts w:hint="cs"/>
          <w:rtl/>
          <w:lang w:val="he"/>
        </w:rPr>
        <w:t>הטבע</w:t>
      </w:r>
      <w:r w:rsidR="00E90FF8">
        <w:rPr>
          <w:rFonts w:hint="cs"/>
          <w:rtl/>
          <w:lang w:val="he"/>
        </w:rPr>
        <w:t>'</w:t>
      </w:r>
      <w:r w:rsidR="0017473C">
        <w:rPr>
          <w:rStyle w:val="FootnoteReference"/>
          <w:rtl/>
          <w:lang w:val="he"/>
        </w:rPr>
        <w:footnoteReference w:id="539"/>
      </w:r>
      <w:r w:rsidR="005F2F42">
        <w:rPr>
          <w:rFonts w:hint="cs"/>
          <w:rtl/>
          <w:lang w:val="he"/>
        </w:rPr>
        <w:t xml:space="preserve"> -</w:t>
      </w:r>
      <w:r w:rsidR="006C11E6">
        <w:rPr>
          <w:rFonts w:hint="cs"/>
          <w:rtl/>
          <w:lang w:val="he"/>
        </w:rPr>
        <w:t xml:space="preserve"> </w:t>
      </w:r>
      <w:r w:rsidR="003B2546">
        <w:rPr>
          <w:rFonts w:hint="cs"/>
          <w:rtl/>
          <w:lang w:val="he"/>
        </w:rPr>
        <w:t>ז</w:t>
      </w:r>
      <w:r w:rsidR="006C11E6">
        <w:rPr>
          <w:rFonts w:hint="cs"/>
          <w:rtl/>
          <w:lang w:val="he"/>
        </w:rPr>
        <w:t>ה ש</w:t>
      </w:r>
      <w:r w:rsidR="00C43988">
        <w:rPr>
          <w:rFonts w:hint="cs"/>
          <w:rtl/>
          <w:lang w:val="he"/>
        </w:rPr>
        <w:t>'</w:t>
      </w:r>
      <w:r w:rsidR="006C11E6">
        <w:rPr>
          <w:rFonts w:hint="cs"/>
          <w:rtl/>
          <w:lang w:val="he"/>
        </w:rPr>
        <w:t>הטבע בו</w:t>
      </w:r>
      <w:r w:rsidR="00E90FF8">
        <w:rPr>
          <w:rFonts w:hint="cs"/>
          <w:rtl/>
          <w:lang w:val="he"/>
        </w:rPr>
        <w:t>'</w:t>
      </w:r>
      <w:r w:rsidR="006C11E6">
        <w:rPr>
          <w:rFonts w:hint="cs"/>
          <w:rtl/>
          <w:lang w:val="he"/>
        </w:rPr>
        <w:t xml:space="preserve"> </w:t>
      </w:r>
      <w:r w:rsidR="004A76DD">
        <w:rPr>
          <w:rFonts w:hint="cs"/>
          <w:rtl/>
          <w:lang w:val="he"/>
        </w:rPr>
        <w:t>הוא מה שמושכל</w:t>
      </w:r>
      <w:r w:rsidR="005D04B2">
        <w:rPr>
          <w:rFonts w:hint="cs"/>
          <w:rtl/>
          <w:lang w:val="he"/>
        </w:rPr>
        <w:t xml:space="preserve"> </w:t>
      </w:r>
      <w:r w:rsidR="00F21FA0">
        <w:rPr>
          <w:rFonts w:hint="cs"/>
          <w:rtl/>
          <w:lang w:val="he"/>
        </w:rPr>
        <w:t>ב</w:t>
      </w:r>
      <w:r w:rsidR="00CD66CD">
        <w:rPr>
          <w:rFonts w:hint="cs"/>
          <w:rtl/>
          <w:lang w:val="he"/>
        </w:rPr>
        <w:t xml:space="preserve">טבע, </w:t>
      </w:r>
      <w:r w:rsidR="005C263A">
        <w:rPr>
          <w:rFonts w:hint="cs"/>
          <w:rtl/>
          <w:lang w:val="he"/>
        </w:rPr>
        <w:t xml:space="preserve">או זה </w:t>
      </w:r>
      <w:r w:rsidR="00856528">
        <w:rPr>
          <w:rFonts w:hint="cs"/>
          <w:rtl/>
          <w:lang w:val="he"/>
        </w:rPr>
        <w:t>שהטבע הוא כמו חלק מצורתו</w:t>
      </w:r>
      <w:r w:rsidR="00130A8D">
        <w:rPr>
          <w:rStyle w:val="FootnoteReference"/>
          <w:rtl/>
          <w:lang w:val="he"/>
        </w:rPr>
        <w:footnoteReference w:id="540"/>
      </w:r>
      <w:r w:rsidR="002B2813">
        <w:rPr>
          <w:rFonts w:hint="cs"/>
          <w:rtl/>
          <w:lang w:val="he"/>
        </w:rPr>
        <w:t>,</w:t>
      </w:r>
      <w:r w:rsidR="001C0E62">
        <w:rPr>
          <w:rFonts w:hint="cs"/>
          <w:rtl/>
          <w:lang w:val="he"/>
        </w:rPr>
        <w:t xml:space="preserve"> </w:t>
      </w:r>
      <w:r w:rsidR="003215BD">
        <w:rPr>
          <w:rFonts w:hint="cs"/>
          <w:rtl/>
          <w:lang w:val="he"/>
        </w:rPr>
        <w:t>ו</w:t>
      </w:r>
      <w:r>
        <w:rPr>
          <w:rFonts w:hint="cs"/>
          <w:rtl/>
          <w:lang w:val="he"/>
        </w:rPr>
        <w:t>אמנם</w:t>
      </w:r>
      <w:r w:rsidR="003215BD">
        <w:rPr>
          <w:rFonts w:hint="cs"/>
          <w:rtl/>
          <w:lang w:val="he"/>
        </w:rPr>
        <w:t xml:space="preserve"> </w:t>
      </w:r>
      <w:r w:rsidR="003735F3">
        <w:rPr>
          <w:rFonts w:hint="cs"/>
          <w:rtl/>
          <w:lang w:val="he"/>
        </w:rPr>
        <w:t>מה ש</w:t>
      </w:r>
      <w:r w:rsidR="00C43988">
        <w:rPr>
          <w:rFonts w:hint="cs"/>
          <w:rtl/>
          <w:lang w:val="he"/>
        </w:rPr>
        <w:t>'</w:t>
      </w:r>
      <w:r w:rsidR="003735F3">
        <w:rPr>
          <w:rFonts w:hint="cs"/>
          <w:rtl/>
          <w:lang w:val="he"/>
        </w:rPr>
        <w:t>על הטבע</w:t>
      </w:r>
      <w:r w:rsidR="00AE3D87">
        <w:rPr>
          <w:rFonts w:hint="cs"/>
          <w:rtl/>
          <w:lang w:val="he"/>
        </w:rPr>
        <w:t>'</w:t>
      </w:r>
      <w:r w:rsidR="00D464F6">
        <w:rPr>
          <w:rFonts w:hint="cs"/>
          <w:rtl/>
          <w:lang w:val="he"/>
        </w:rPr>
        <w:t>,</w:t>
      </w:r>
      <w:r w:rsidR="00824621">
        <w:rPr>
          <w:rFonts w:hint="cs"/>
          <w:rtl/>
          <w:lang w:val="he"/>
        </w:rPr>
        <w:t xml:space="preserve"> </w:t>
      </w:r>
      <w:r w:rsidR="005B0126">
        <w:rPr>
          <w:rFonts w:hint="cs"/>
          <w:rtl/>
          <w:lang w:val="he"/>
        </w:rPr>
        <w:t>[</w:t>
      </w:r>
      <w:r w:rsidR="00824621">
        <w:rPr>
          <w:rFonts w:hint="cs"/>
          <w:rtl/>
          <w:lang w:val="he"/>
        </w:rPr>
        <w:t>אלו</w:t>
      </w:r>
      <w:r w:rsidR="005B0126">
        <w:rPr>
          <w:rFonts w:hint="cs"/>
          <w:rtl/>
          <w:lang w:val="he"/>
        </w:rPr>
        <w:t>]</w:t>
      </w:r>
      <w:r w:rsidR="003735F3">
        <w:rPr>
          <w:rFonts w:hint="cs"/>
          <w:rtl/>
          <w:lang w:val="he"/>
        </w:rPr>
        <w:t xml:space="preserve"> </w:t>
      </w:r>
      <w:r w:rsidR="000B5EFF">
        <w:rPr>
          <w:rFonts w:hint="cs"/>
          <w:rtl/>
          <w:lang w:val="he"/>
        </w:rPr>
        <w:t xml:space="preserve">ההשפעות והתנועה </w:t>
      </w:r>
      <w:r w:rsidR="00ED45C2">
        <w:rPr>
          <w:rFonts w:hint="cs"/>
          <w:rtl/>
          <w:lang w:val="he"/>
        </w:rPr>
        <w:t xml:space="preserve">ומה </w:t>
      </w:r>
      <w:r w:rsidR="00D464F6">
        <w:rPr>
          <w:rFonts w:hint="cs"/>
          <w:rtl/>
          <w:lang w:val="he"/>
        </w:rPr>
        <w:t>שמסוג</w:t>
      </w:r>
      <w:r w:rsidR="005E0CA1">
        <w:rPr>
          <w:rFonts w:hint="cs"/>
          <w:rtl/>
          <w:lang w:val="he"/>
        </w:rPr>
        <w:t xml:space="preserve"> </w:t>
      </w:r>
      <w:r w:rsidR="005143AA">
        <w:rPr>
          <w:rFonts w:hint="cs"/>
          <w:rtl/>
          <w:lang w:val="he"/>
        </w:rPr>
        <w:t>א</w:t>
      </w:r>
      <w:r w:rsidR="005E0CA1">
        <w:rPr>
          <w:rFonts w:hint="cs"/>
          <w:rtl/>
          <w:lang w:val="he"/>
        </w:rPr>
        <w:t>לה</w:t>
      </w:r>
      <w:r w:rsidR="006B47BE">
        <w:rPr>
          <w:rFonts w:hint="cs"/>
          <w:rtl/>
          <w:lang w:val="he"/>
        </w:rPr>
        <w:t xml:space="preserve"> מהזמן והמקום</w:t>
      </w:r>
      <w:r w:rsidR="00872122">
        <w:rPr>
          <w:rFonts w:hint="cs"/>
          <w:rtl/>
          <w:lang w:val="he"/>
        </w:rPr>
        <w:t xml:space="preserve"> ואחרים</w:t>
      </w:r>
      <w:r w:rsidR="004C6284">
        <w:rPr>
          <w:rFonts w:hint="cs"/>
          <w:rtl/>
          <w:lang w:val="he"/>
        </w:rPr>
        <w:t>;</w:t>
      </w:r>
      <w:r w:rsidR="005143AA">
        <w:rPr>
          <w:rFonts w:hint="cs"/>
          <w:rtl/>
          <w:lang w:val="he"/>
        </w:rPr>
        <w:t xml:space="preserve"> </w:t>
      </w:r>
    </w:p>
    <w:p w14:paraId="07D2D24D" w14:textId="0DE0D32B" w:rsidR="00C773A0" w:rsidRDefault="006F7E44" w:rsidP="00590812">
      <w:pPr>
        <w:rPr>
          <w:rtl/>
          <w:lang w:val="he"/>
        </w:rPr>
      </w:pPr>
      <w:r>
        <w:rPr>
          <w:rFonts w:hint="cs"/>
          <w:rtl/>
          <w:lang w:val="he"/>
        </w:rPr>
        <w:t>ו</w:t>
      </w:r>
      <w:r w:rsidR="004C6284">
        <w:rPr>
          <w:rFonts w:hint="cs"/>
          <w:rtl/>
          <w:lang w:val="he"/>
        </w:rPr>
        <w:t>אמנם</w:t>
      </w:r>
      <w:r w:rsidR="00681913">
        <w:rPr>
          <w:rFonts w:hint="cs"/>
          <w:rtl/>
          <w:lang w:val="he"/>
        </w:rPr>
        <w:t xml:space="preserve"> </w:t>
      </w:r>
      <w:r>
        <w:rPr>
          <w:rFonts w:hint="cs"/>
          <w:rtl/>
          <w:lang w:val="he"/>
        </w:rPr>
        <w:t xml:space="preserve">מה שהוא </w:t>
      </w:r>
      <w:r w:rsidR="00516B87">
        <w:rPr>
          <w:rFonts w:hint="cs"/>
          <w:rtl/>
          <w:lang w:val="he"/>
        </w:rPr>
        <w:t>'</w:t>
      </w:r>
      <w:r w:rsidRPr="006F7E44">
        <w:rPr>
          <w:rtl/>
          <w:lang w:val="he"/>
        </w:rPr>
        <w:t>בַּעַל טבע</w:t>
      </w:r>
      <w:r w:rsidR="00491FA9">
        <w:rPr>
          <w:rStyle w:val="FootnoteReference"/>
          <w:rtl/>
          <w:lang w:val="he"/>
        </w:rPr>
        <w:footnoteReference w:id="541"/>
      </w:r>
      <w:r w:rsidR="00516B87">
        <w:rPr>
          <w:rFonts w:hint="cs"/>
          <w:rtl/>
          <w:lang w:val="he"/>
        </w:rPr>
        <w:t>'</w:t>
      </w:r>
      <w:r w:rsidR="00766C1B">
        <w:rPr>
          <w:rFonts w:hint="cs"/>
          <w:lang w:val="he"/>
        </w:rPr>
        <w:t xml:space="preserve"> </w:t>
      </w:r>
      <w:r w:rsidR="00684283">
        <w:rPr>
          <w:rFonts w:hint="cs"/>
          <w:rtl/>
          <w:lang w:val="he"/>
        </w:rPr>
        <w:t xml:space="preserve">הוא </w:t>
      </w:r>
      <w:r w:rsidR="000B69AF">
        <w:rPr>
          <w:rFonts w:hint="cs"/>
          <w:rtl/>
          <w:lang w:val="he"/>
        </w:rPr>
        <w:t>ז</w:t>
      </w:r>
      <w:r w:rsidR="00684283">
        <w:rPr>
          <w:rFonts w:hint="cs"/>
          <w:rtl/>
          <w:lang w:val="he"/>
        </w:rPr>
        <w:t>ה ש</w:t>
      </w:r>
      <w:r w:rsidR="00E046D5">
        <w:rPr>
          <w:rFonts w:hint="cs"/>
          <w:rtl/>
          <w:lang w:val="he"/>
        </w:rPr>
        <w:t xml:space="preserve">יש </w:t>
      </w:r>
      <w:r w:rsidR="00684283">
        <w:rPr>
          <w:rFonts w:hint="cs"/>
          <w:rtl/>
          <w:lang w:val="he"/>
        </w:rPr>
        <w:t xml:space="preserve">בעצמו </w:t>
      </w:r>
      <w:r w:rsidR="00BF3958" w:rsidRPr="00BF3958">
        <w:rPr>
          <w:rtl/>
          <w:lang w:val="he"/>
        </w:rPr>
        <w:t>מָשָׁל</w:t>
      </w:r>
      <w:r w:rsidR="001065B5">
        <w:rPr>
          <w:rFonts w:hint="cs"/>
          <w:rtl/>
          <w:lang w:val="he"/>
        </w:rPr>
        <w:t xml:space="preserve"> </w:t>
      </w:r>
      <w:r w:rsidR="008D1C87">
        <w:rPr>
          <w:rFonts w:hint="cs"/>
          <w:rtl/>
          <w:lang w:val="he"/>
        </w:rPr>
        <w:t>התחלה</w:t>
      </w:r>
      <w:r w:rsidR="00C3383F">
        <w:rPr>
          <w:rFonts w:hint="cs"/>
          <w:rtl/>
          <w:lang w:val="he"/>
        </w:rPr>
        <w:t xml:space="preserve"> זו</w:t>
      </w:r>
      <w:r w:rsidR="008D1C87">
        <w:rPr>
          <w:rFonts w:hint="cs"/>
          <w:rtl/>
          <w:lang w:val="he"/>
        </w:rPr>
        <w:t xml:space="preserve"> </w:t>
      </w:r>
      <w:r w:rsidR="00362814">
        <w:rPr>
          <w:rFonts w:hint="cs"/>
          <w:rtl/>
          <w:lang w:val="he"/>
        </w:rPr>
        <w:t xml:space="preserve">והוא הגשם </w:t>
      </w:r>
      <w:r w:rsidR="003320C7">
        <w:rPr>
          <w:rFonts w:hint="cs"/>
          <w:rtl/>
          <w:lang w:val="he"/>
        </w:rPr>
        <w:t>שהתנועה היא דפוסו</w:t>
      </w:r>
      <w:r w:rsidR="003320C7">
        <w:rPr>
          <w:rStyle w:val="FootnoteReference"/>
          <w:rtl/>
          <w:lang w:val="he"/>
        </w:rPr>
        <w:footnoteReference w:id="542"/>
      </w:r>
      <w:r w:rsidR="004C6284">
        <w:rPr>
          <w:rFonts w:hint="cs"/>
          <w:rtl/>
          <w:lang w:val="he"/>
        </w:rPr>
        <w:t>;</w:t>
      </w:r>
    </w:p>
    <w:p w14:paraId="1A2C9022" w14:textId="71BEEB7D" w:rsidR="00B36116" w:rsidRDefault="00D715EC" w:rsidP="00590812">
      <w:pPr>
        <w:rPr>
          <w:rtl/>
          <w:lang w:val="he"/>
        </w:rPr>
      </w:pPr>
      <w:r>
        <w:rPr>
          <w:rFonts w:hint="cs"/>
          <w:rtl/>
          <w:lang w:val="he"/>
        </w:rPr>
        <w:t>ו</w:t>
      </w:r>
      <w:r w:rsidR="004C6284">
        <w:rPr>
          <w:rFonts w:hint="cs"/>
          <w:rtl/>
          <w:lang w:val="he"/>
        </w:rPr>
        <w:t>אמנם</w:t>
      </w:r>
      <w:r>
        <w:rPr>
          <w:rFonts w:hint="cs"/>
          <w:rtl/>
          <w:lang w:val="he"/>
        </w:rPr>
        <w:t xml:space="preserve"> 'מה שהוא בטבע' </w:t>
      </w:r>
      <w:r w:rsidR="0062620F">
        <w:rPr>
          <w:rFonts w:hint="cs"/>
          <w:rtl/>
          <w:lang w:val="he"/>
        </w:rPr>
        <w:t xml:space="preserve">הוא כל מה </w:t>
      </w:r>
      <w:bookmarkStart w:id="263" w:name="_Hlk106478191"/>
      <w:r w:rsidR="0062620F">
        <w:rPr>
          <w:rFonts w:hint="cs"/>
          <w:rtl/>
          <w:lang w:val="he"/>
        </w:rPr>
        <w:t xml:space="preserve">שמציאותו בפועל </w:t>
      </w:r>
      <w:r w:rsidR="00971434">
        <w:rPr>
          <w:rFonts w:hint="cs"/>
          <w:rtl/>
          <w:lang w:val="he"/>
        </w:rPr>
        <w:t xml:space="preserve">היא מהטבע, </w:t>
      </w:r>
      <w:r w:rsidR="004F0110">
        <w:rPr>
          <w:rFonts w:hint="cs"/>
          <w:rtl/>
          <w:lang w:val="he"/>
        </w:rPr>
        <w:t xml:space="preserve">או קיומו בפועל </w:t>
      </w:r>
      <w:r w:rsidR="00D40180">
        <w:rPr>
          <w:rFonts w:hint="cs"/>
          <w:rtl/>
          <w:lang w:val="he"/>
        </w:rPr>
        <w:t>הוא על הטב</w:t>
      </w:r>
      <w:r w:rsidR="00722548">
        <w:rPr>
          <w:rFonts w:hint="cs"/>
          <w:rtl/>
          <w:lang w:val="he"/>
        </w:rPr>
        <w:t>ע</w:t>
      </w:r>
      <w:bookmarkEnd w:id="263"/>
      <w:r w:rsidR="00722548">
        <w:rPr>
          <w:rFonts w:hint="cs"/>
          <w:rtl/>
          <w:lang w:val="he"/>
        </w:rPr>
        <w:t xml:space="preserve"> -</w:t>
      </w:r>
      <w:r w:rsidR="007D38EC">
        <w:rPr>
          <w:rFonts w:hint="cs"/>
          <w:rtl/>
          <w:lang w:val="he"/>
        </w:rPr>
        <w:t xml:space="preserve"> במציאות הראשונה </w:t>
      </w:r>
      <w:r w:rsidR="0014231D">
        <w:rPr>
          <w:rFonts w:hint="cs"/>
          <w:rtl/>
          <w:lang w:val="he"/>
        </w:rPr>
        <w:t>כ</w:t>
      </w:r>
      <w:r w:rsidR="002D6488">
        <w:rPr>
          <w:rFonts w:hint="cs"/>
          <w:rtl/>
          <w:lang w:val="he"/>
        </w:rPr>
        <w:t>איש</w:t>
      </w:r>
      <w:r w:rsidR="0014231D">
        <w:rPr>
          <w:rFonts w:hint="cs"/>
          <w:rtl/>
          <w:lang w:val="he"/>
        </w:rPr>
        <w:t xml:space="preserve">ים הטבעיים, </w:t>
      </w:r>
      <w:r w:rsidR="00F16F4D">
        <w:rPr>
          <w:rFonts w:hint="cs"/>
          <w:rtl/>
          <w:lang w:val="he"/>
        </w:rPr>
        <w:t xml:space="preserve">או במציאות </w:t>
      </w:r>
      <w:r w:rsidR="00173572">
        <w:rPr>
          <w:rFonts w:hint="cs"/>
          <w:rtl/>
          <w:lang w:val="he"/>
        </w:rPr>
        <w:t>השניי</w:t>
      </w:r>
      <w:r w:rsidR="00173572">
        <w:rPr>
          <w:rFonts w:hint="eastAsia"/>
          <w:rtl/>
          <w:lang w:val="he"/>
        </w:rPr>
        <w:t>ה</w:t>
      </w:r>
      <w:r w:rsidR="00F16F4D">
        <w:rPr>
          <w:rFonts w:hint="cs"/>
          <w:rtl/>
          <w:lang w:val="he"/>
        </w:rPr>
        <w:t xml:space="preserve"> </w:t>
      </w:r>
      <w:r w:rsidR="0064425A">
        <w:rPr>
          <w:rFonts w:hint="cs"/>
          <w:rtl/>
          <w:lang w:val="he"/>
        </w:rPr>
        <w:t>כמיני הטבע</w:t>
      </w:r>
      <w:r w:rsidR="00B57D80">
        <w:rPr>
          <w:rStyle w:val="FootnoteReference"/>
          <w:rtl/>
          <w:lang w:val="he"/>
        </w:rPr>
        <w:footnoteReference w:id="543"/>
      </w:r>
      <w:r w:rsidR="0064425A">
        <w:rPr>
          <w:rFonts w:hint="cs"/>
          <w:rtl/>
          <w:lang w:val="he"/>
        </w:rPr>
        <w:t>.</w:t>
      </w:r>
    </w:p>
    <w:p w14:paraId="0262C4FE" w14:textId="75092BAE" w:rsidR="007E772B" w:rsidRDefault="007E772B" w:rsidP="00590812">
      <w:pPr>
        <w:rPr>
          <w:rtl/>
          <w:lang w:val="he"/>
        </w:rPr>
      </w:pPr>
      <w:bookmarkStart w:id="265" w:name="_Hlk106537463"/>
      <w:r>
        <w:rPr>
          <w:rFonts w:hint="cs"/>
          <w:rtl/>
          <w:lang w:val="he"/>
        </w:rPr>
        <w:t xml:space="preserve">ואמנם </w:t>
      </w:r>
      <w:r w:rsidR="006C7C51">
        <w:rPr>
          <w:rFonts w:hint="cs"/>
          <w:rtl/>
          <w:lang w:val="he"/>
        </w:rPr>
        <w:t xml:space="preserve">'מה שבטבע' </w:t>
      </w:r>
      <w:r w:rsidR="00B91EE6">
        <w:rPr>
          <w:rFonts w:hint="cs"/>
          <w:rtl/>
          <w:lang w:val="he"/>
        </w:rPr>
        <w:t xml:space="preserve">הוא </w:t>
      </w:r>
      <w:r w:rsidR="004C4413">
        <w:rPr>
          <w:rFonts w:hint="cs"/>
          <w:rtl/>
          <w:lang w:val="he"/>
        </w:rPr>
        <w:t xml:space="preserve">כל מה </w:t>
      </w:r>
      <w:r w:rsidR="000D4B74">
        <w:rPr>
          <w:rFonts w:hint="cs"/>
          <w:rtl/>
          <w:lang w:val="he"/>
        </w:rPr>
        <w:t>ש</w:t>
      </w:r>
      <w:r w:rsidR="008D7E60">
        <w:rPr>
          <w:rFonts w:hint="cs"/>
          <w:rtl/>
          <w:lang w:val="he"/>
        </w:rPr>
        <w:t>הכרחי</w:t>
      </w:r>
      <w:r w:rsidR="008C31C1">
        <w:rPr>
          <w:rFonts w:hint="cs"/>
          <w:rtl/>
          <w:lang w:val="he"/>
        </w:rPr>
        <w:t xml:space="preserve"> מהטבע</w:t>
      </w:r>
      <w:r w:rsidR="00C85DCE">
        <w:rPr>
          <w:rFonts w:hint="cs"/>
          <w:rtl/>
          <w:lang w:val="he"/>
        </w:rPr>
        <w:t xml:space="preserve"> באופן שהוא</w:t>
      </w:r>
      <w:r w:rsidR="00C60F3C">
        <w:rPr>
          <w:rFonts w:hint="cs"/>
          <w:rtl/>
          <w:lang w:val="he"/>
        </w:rPr>
        <w:t xml:space="preserve"> </w:t>
      </w:r>
      <w:r w:rsidR="002800BC">
        <w:rPr>
          <w:rFonts w:hint="cs"/>
          <w:rtl/>
          <w:lang w:val="he"/>
        </w:rPr>
        <w:t xml:space="preserve">קיים </w:t>
      </w:r>
      <w:r w:rsidR="0007762E">
        <w:rPr>
          <w:rFonts w:hint="cs"/>
          <w:rtl/>
          <w:lang w:val="he"/>
        </w:rPr>
        <w:t xml:space="preserve">על </w:t>
      </w:r>
      <w:r w:rsidR="002800BC">
        <w:rPr>
          <w:rFonts w:hint="cs"/>
          <w:rtl/>
          <w:lang w:val="he"/>
        </w:rPr>
        <w:t xml:space="preserve">דמיון </w:t>
      </w:r>
      <w:r w:rsidR="00AF1E5F" w:rsidRPr="00AF1E5F">
        <w:rPr>
          <w:rtl/>
          <w:lang w:val="he"/>
        </w:rPr>
        <w:t>לַכַּוָּונָה</w:t>
      </w:r>
      <w:r w:rsidR="002800BC">
        <w:rPr>
          <w:rFonts w:hint="cs"/>
          <w:rtl/>
          <w:lang w:val="he"/>
        </w:rPr>
        <w:t xml:space="preserve"> </w:t>
      </w:r>
      <w:r w:rsidR="00892CB8">
        <w:rPr>
          <w:rFonts w:hint="cs"/>
          <w:rtl/>
          <w:lang w:val="he"/>
        </w:rPr>
        <w:t xml:space="preserve">כאישים </w:t>
      </w:r>
      <w:r w:rsidR="00780CB4">
        <w:rPr>
          <w:rFonts w:hint="cs"/>
          <w:rtl/>
          <w:lang w:val="he"/>
        </w:rPr>
        <w:t xml:space="preserve">והמינים העצמיים, </w:t>
      </w:r>
      <w:r w:rsidR="001672F0">
        <w:rPr>
          <w:rFonts w:hint="cs"/>
          <w:rtl/>
          <w:lang w:val="he"/>
        </w:rPr>
        <w:t>או</w:t>
      </w:r>
      <w:r w:rsidR="0049575A">
        <w:rPr>
          <w:rFonts w:hint="cs"/>
          <w:rtl/>
          <w:lang w:val="he"/>
        </w:rPr>
        <w:t xml:space="preserve"> </w:t>
      </w:r>
      <w:r w:rsidR="008D7E60">
        <w:rPr>
          <w:rFonts w:hint="cs"/>
          <w:rtl/>
          <w:lang w:val="he"/>
        </w:rPr>
        <w:t>הכרחי</w:t>
      </w:r>
      <w:r w:rsidR="005F1399">
        <w:rPr>
          <w:rFonts w:hint="cs"/>
          <w:rtl/>
          <w:lang w:val="he"/>
        </w:rPr>
        <w:t xml:space="preserve"> </w:t>
      </w:r>
      <w:r w:rsidR="007E37D7">
        <w:rPr>
          <w:rFonts w:hint="cs"/>
          <w:rtl/>
          <w:lang w:val="he"/>
        </w:rPr>
        <w:t>ממנו כמו המקרים ההכרחיים והמתחדשים</w:t>
      </w:r>
      <w:bookmarkEnd w:id="265"/>
      <w:r w:rsidR="000C39E0">
        <w:rPr>
          <w:rStyle w:val="FootnoteReference"/>
          <w:rtl/>
          <w:lang w:val="he"/>
        </w:rPr>
        <w:footnoteReference w:id="544"/>
      </w:r>
      <w:r w:rsidR="007E37D7">
        <w:rPr>
          <w:rFonts w:hint="cs"/>
          <w:rtl/>
          <w:lang w:val="he"/>
        </w:rPr>
        <w:t>.</w:t>
      </w:r>
    </w:p>
    <w:p w14:paraId="10EC87A2" w14:textId="7F0F9D86" w:rsidR="00D25EC0" w:rsidRDefault="005D12B2" w:rsidP="00AF63E4">
      <w:pPr>
        <w:rPr>
          <w:rtl/>
          <w:lang w:val="he"/>
        </w:rPr>
      </w:pPr>
      <w:r>
        <w:rPr>
          <w:rFonts w:hint="cs"/>
          <w:rtl/>
          <w:lang w:val="he"/>
        </w:rPr>
        <w:t>ואמנם</w:t>
      </w:r>
      <w:r w:rsidR="005C79D3">
        <w:rPr>
          <w:rFonts w:hint="cs"/>
          <w:rtl/>
          <w:lang w:val="he"/>
        </w:rPr>
        <w:t xml:space="preserve"> </w:t>
      </w:r>
      <w:r w:rsidR="005C79D3" w:rsidRPr="005C79D3">
        <w:rPr>
          <w:rtl/>
          <w:lang w:val="he"/>
        </w:rPr>
        <w:t>'מה שהולך בדרך הטבעית'</w:t>
      </w:r>
      <w:r w:rsidR="0010222B">
        <w:rPr>
          <w:rFonts w:hint="cs"/>
          <w:rtl/>
          <w:lang w:val="he"/>
        </w:rPr>
        <w:t xml:space="preserve"> הוא למשל התנועות </w:t>
      </w:r>
      <w:r w:rsidR="00C81669">
        <w:rPr>
          <w:rFonts w:hint="cs"/>
          <w:rtl/>
          <w:lang w:val="he"/>
        </w:rPr>
        <w:t xml:space="preserve">והמנוחות </w:t>
      </w:r>
      <w:r w:rsidR="00182B23">
        <w:rPr>
          <w:rFonts w:hint="cs"/>
          <w:rtl/>
          <w:lang w:val="he"/>
        </w:rPr>
        <w:t>שמכריח אותן הטבע</w:t>
      </w:r>
      <w:r w:rsidR="00865B87">
        <w:rPr>
          <w:rFonts w:hint="cs"/>
          <w:rtl/>
          <w:lang w:val="he"/>
        </w:rPr>
        <w:t xml:space="preserve"> </w:t>
      </w:r>
      <w:r w:rsidR="00ED35F1">
        <w:rPr>
          <w:rFonts w:hint="cs"/>
          <w:rtl/>
          <w:lang w:val="he"/>
        </w:rPr>
        <w:t>לבד</w:t>
      </w:r>
      <w:r w:rsidR="00865B87">
        <w:rPr>
          <w:rFonts w:hint="cs"/>
          <w:rtl/>
          <w:lang w:val="he"/>
        </w:rPr>
        <w:t>ו</w:t>
      </w:r>
      <w:r w:rsidR="004D6F90">
        <w:rPr>
          <w:rFonts w:hint="cs"/>
          <w:rtl/>
          <w:lang w:val="he"/>
        </w:rPr>
        <w:t xml:space="preserve"> </w:t>
      </w:r>
      <w:r w:rsidR="00F11212">
        <w:rPr>
          <w:rFonts w:hint="cs"/>
          <w:rtl/>
          <w:lang w:val="he"/>
        </w:rPr>
        <w:t xml:space="preserve">לפי </w:t>
      </w:r>
      <w:r w:rsidR="00ED35F1">
        <w:rPr>
          <w:rFonts w:hint="cs"/>
          <w:rtl/>
          <w:lang w:val="he"/>
        </w:rPr>
        <w:t>עצמותו</w:t>
      </w:r>
      <w:r w:rsidR="00182B23">
        <w:rPr>
          <w:rFonts w:hint="cs"/>
          <w:rtl/>
          <w:lang w:val="he"/>
        </w:rPr>
        <w:t xml:space="preserve">, </w:t>
      </w:r>
      <w:r w:rsidR="00974D75">
        <w:rPr>
          <w:rFonts w:hint="cs"/>
          <w:rtl/>
          <w:lang w:val="he"/>
        </w:rPr>
        <w:t>ולא מחוץ</w:t>
      </w:r>
      <w:r w:rsidR="00FE0A3A">
        <w:rPr>
          <w:rFonts w:hint="cs"/>
          <w:rtl/>
          <w:lang w:val="he"/>
        </w:rPr>
        <w:t xml:space="preserve"> ל</w:t>
      </w:r>
      <w:r w:rsidR="00DD7A9E">
        <w:rPr>
          <w:rFonts w:hint="cs"/>
          <w:rtl/>
          <w:lang w:val="he"/>
        </w:rPr>
        <w:t>מתאים</w:t>
      </w:r>
      <w:r w:rsidR="00FE0A3A">
        <w:rPr>
          <w:rFonts w:hint="cs"/>
          <w:rtl/>
          <w:lang w:val="he"/>
        </w:rPr>
        <w:t xml:space="preserve"> לו</w:t>
      </w:r>
      <w:r w:rsidR="00212315">
        <w:rPr>
          <w:rStyle w:val="FootnoteReference"/>
          <w:rtl/>
          <w:lang w:val="he"/>
        </w:rPr>
        <w:footnoteReference w:id="545"/>
      </w:r>
      <w:r w:rsidR="00FE0A3A">
        <w:rPr>
          <w:rFonts w:hint="cs"/>
          <w:rtl/>
          <w:lang w:val="he"/>
        </w:rPr>
        <w:t>.</w:t>
      </w:r>
      <w:r w:rsidR="00D84221">
        <w:rPr>
          <w:rFonts w:hint="cs"/>
          <w:rtl/>
          <w:lang w:val="he"/>
        </w:rPr>
        <w:t xml:space="preserve"> </w:t>
      </w:r>
      <w:r w:rsidR="0043155B">
        <w:rPr>
          <w:rFonts w:hint="cs"/>
          <w:rtl/>
          <w:lang w:val="he"/>
        </w:rPr>
        <w:t>ו"מחוץ למתאים לו"</w:t>
      </w:r>
      <w:r w:rsidR="008E7D93">
        <w:rPr>
          <w:rFonts w:hint="cs"/>
          <w:rtl/>
          <w:lang w:val="he"/>
        </w:rPr>
        <w:t xml:space="preserve"> אפשר שהוא </w:t>
      </w:r>
      <w:r w:rsidR="00C91D8A">
        <w:rPr>
          <w:rFonts w:hint="cs"/>
          <w:rtl/>
          <w:lang w:val="he"/>
        </w:rPr>
        <w:t>בסיב</w:t>
      </w:r>
      <w:r w:rsidR="004B18A7">
        <w:rPr>
          <w:rFonts w:hint="cs"/>
          <w:rtl/>
          <w:lang w:val="he"/>
        </w:rPr>
        <w:t xml:space="preserve">ה זרה, ואפשר </w:t>
      </w:r>
      <w:r w:rsidR="0016288D">
        <w:rPr>
          <w:rFonts w:hint="cs"/>
          <w:rtl/>
          <w:lang w:val="he"/>
        </w:rPr>
        <w:t xml:space="preserve">שהוא </w:t>
      </w:r>
      <w:r w:rsidR="00634674">
        <w:rPr>
          <w:rFonts w:hint="cs"/>
          <w:rtl/>
          <w:lang w:val="he"/>
        </w:rPr>
        <w:t>ב</w:t>
      </w:r>
      <w:r w:rsidR="0016288D">
        <w:rPr>
          <w:rFonts w:hint="cs"/>
          <w:rtl/>
          <w:lang w:val="he"/>
        </w:rPr>
        <w:t>עצמו</w:t>
      </w:r>
      <w:r w:rsidR="00634674">
        <w:rPr>
          <w:rFonts w:hint="cs"/>
          <w:rtl/>
          <w:lang w:val="he"/>
        </w:rPr>
        <w:t xml:space="preserve"> </w:t>
      </w:r>
      <w:r w:rsidR="0003152A">
        <w:rPr>
          <w:rFonts w:hint="cs"/>
          <w:rtl/>
          <w:lang w:val="he"/>
        </w:rPr>
        <w:t xml:space="preserve">בסיבת קבלת </w:t>
      </w:r>
      <w:r w:rsidR="00651D5D">
        <w:rPr>
          <w:rFonts w:hint="cs"/>
          <w:rtl/>
          <w:lang w:val="he"/>
        </w:rPr>
        <w:t>פעול</w:t>
      </w:r>
      <w:r w:rsidR="001E1EE5">
        <w:rPr>
          <w:rFonts w:hint="cs"/>
          <w:rtl/>
          <w:lang w:val="he"/>
        </w:rPr>
        <w:t>תו</w:t>
      </w:r>
      <w:r w:rsidR="00651D5D">
        <w:rPr>
          <w:rFonts w:hint="cs"/>
          <w:rtl/>
          <w:lang w:val="he"/>
        </w:rPr>
        <w:t xml:space="preserve"> </w:t>
      </w:r>
      <w:r w:rsidR="001E1EE5">
        <w:rPr>
          <w:rFonts w:hint="cs"/>
          <w:rtl/>
          <w:lang w:val="he"/>
        </w:rPr>
        <w:t>ו</w:t>
      </w:r>
      <w:r w:rsidR="00651D5D">
        <w:rPr>
          <w:rFonts w:hint="cs"/>
          <w:rtl/>
          <w:lang w:val="he"/>
        </w:rPr>
        <w:t>היא החומר</w:t>
      </w:r>
      <w:r w:rsidR="003964F6">
        <w:rPr>
          <w:rStyle w:val="FootnoteReference"/>
          <w:rtl/>
          <w:lang w:val="he"/>
        </w:rPr>
        <w:footnoteReference w:id="546"/>
      </w:r>
      <w:r w:rsidR="003E0DB0">
        <w:rPr>
          <w:rFonts w:hint="cs"/>
          <w:rtl/>
          <w:lang w:val="he"/>
        </w:rPr>
        <w:t xml:space="preserve">, </w:t>
      </w:r>
      <w:r w:rsidR="00C5492D">
        <w:rPr>
          <w:rFonts w:hint="cs"/>
          <w:rtl/>
          <w:lang w:val="he"/>
        </w:rPr>
        <w:t>וכך הראש ה</w:t>
      </w:r>
      <w:r w:rsidR="00475D2C">
        <w:rPr>
          <w:rFonts w:hint="cs"/>
          <w:rtl/>
          <w:lang w:val="he"/>
        </w:rPr>
        <w:t>גדול יותר מדרך הטבע</w:t>
      </w:r>
      <w:r w:rsidR="00596937">
        <w:rPr>
          <w:rFonts w:hint="cs"/>
          <w:rtl/>
          <w:lang w:val="he"/>
        </w:rPr>
        <w:t xml:space="preserve"> </w:t>
      </w:r>
      <w:r w:rsidR="00475D2C">
        <w:rPr>
          <w:rFonts w:hint="cs"/>
          <w:rtl/>
          <w:lang w:val="he"/>
        </w:rPr>
        <w:t xml:space="preserve">או </w:t>
      </w:r>
      <w:r w:rsidR="00557566">
        <w:rPr>
          <w:rFonts w:hint="cs"/>
          <w:rtl/>
          <w:lang w:val="he"/>
        </w:rPr>
        <w:t>ה</w:t>
      </w:r>
      <w:r w:rsidR="00475D2C">
        <w:rPr>
          <w:rFonts w:hint="cs"/>
          <w:rtl/>
          <w:lang w:val="he"/>
        </w:rPr>
        <w:t xml:space="preserve">אצבע </w:t>
      </w:r>
      <w:r w:rsidR="00557566">
        <w:rPr>
          <w:rFonts w:hint="cs"/>
          <w:rtl/>
          <w:lang w:val="he"/>
        </w:rPr>
        <w:t>ה</w:t>
      </w:r>
      <w:r w:rsidR="00475D2C">
        <w:rPr>
          <w:rFonts w:hint="cs"/>
          <w:rtl/>
          <w:lang w:val="he"/>
        </w:rPr>
        <w:t>נוספת</w:t>
      </w:r>
      <w:r w:rsidR="00F846BE">
        <w:rPr>
          <w:rFonts w:hint="cs"/>
          <w:rtl/>
          <w:lang w:val="he"/>
        </w:rPr>
        <w:t xml:space="preserve"> אינם הולכים בדרך הטבע</w:t>
      </w:r>
      <w:r w:rsidR="005F1E08">
        <w:rPr>
          <w:rFonts w:hint="cs"/>
          <w:rtl/>
          <w:lang w:val="he"/>
        </w:rPr>
        <w:t>ית</w:t>
      </w:r>
      <w:r w:rsidR="003C2B2C">
        <w:rPr>
          <w:rFonts w:hint="cs"/>
          <w:rtl/>
          <w:lang w:val="he"/>
        </w:rPr>
        <w:t xml:space="preserve">, ובכל אופן </w:t>
      </w:r>
      <w:r w:rsidR="00750E76">
        <w:rPr>
          <w:rFonts w:hint="cs"/>
          <w:rtl/>
          <w:lang w:val="he"/>
        </w:rPr>
        <w:t xml:space="preserve">הם </w:t>
      </w:r>
      <w:r w:rsidR="00D268E2">
        <w:rPr>
          <w:rFonts w:hint="cs"/>
          <w:rtl/>
          <w:lang w:val="he"/>
        </w:rPr>
        <w:t xml:space="preserve">טבעיים והם </w:t>
      </w:r>
      <w:r w:rsidR="00750E76">
        <w:rPr>
          <w:rFonts w:hint="cs"/>
          <w:rtl/>
          <w:lang w:val="he"/>
        </w:rPr>
        <w:t>בטבע</w:t>
      </w:r>
      <w:r w:rsidR="006E435B">
        <w:rPr>
          <w:rStyle w:val="FootnoteReference"/>
          <w:rtl/>
          <w:lang w:val="he"/>
        </w:rPr>
        <w:footnoteReference w:id="547"/>
      </w:r>
      <w:r w:rsidR="00750E76">
        <w:rPr>
          <w:rFonts w:hint="cs"/>
          <w:rtl/>
          <w:lang w:val="he"/>
        </w:rPr>
        <w:t xml:space="preserve"> </w:t>
      </w:r>
      <w:r w:rsidR="00431647">
        <w:rPr>
          <w:rFonts w:hint="cs"/>
          <w:rtl/>
          <w:lang w:val="he"/>
        </w:rPr>
        <w:t>כי סיבתם טבעית</w:t>
      </w:r>
      <w:r w:rsidR="00B73585">
        <w:rPr>
          <w:rFonts w:hint="cs"/>
          <w:rtl/>
          <w:lang w:val="he"/>
        </w:rPr>
        <w:t xml:space="preserve">, </w:t>
      </w:r>
      <w:r w:rsidR="00E8604F">
        <w:rPr>
          <w:rFonts w:hint="cs"/>
          <w:rtl/>
          <w:lang w:val="he"/>
        </w:rPr>
        <w:t xml:space="preserve">ובכל אופן לא </w:t>
      </w:r>
      <w:r w:rsidR="0060245D">
        <w:rPr>
          <w:rFonts w:hint="cs"/>
          <w:rtl/>
          <w:lang w:val="he"/>
        </w:rPr>
        <w:t>בעצמה</w:t>
      </w:r>
      <w:r w:rsidR="00E8604F">
        <w:rPr>
          <w:rFonts w:hint="cs"/>
          <w:rtl/>
          <w:lang w:val="he"/>
        </w:rPr>
        <w:t xml:space="preserve">, </w:t>
      </w:r>
      <w:r w:rsidR="0060245D">
        <w:rPr>
          <w:rFonts w:hint="cs"/>
          <w:rtl/>
          <w:lang w:val="he"/>
        </w:rPr>
        <w:t xml:space="preserve">אלא במקרה, והוא </w:t>
      </w:r>
      <w:r w:rsidR="006510DC">
        <w:rPr>
          <w:rFonts w:hint="cs"/>
          <w:rtl/>
          <w:lang w:val="he"/>
        </w:rPr>
        <w:t xml:space="preserve">היות החומר </w:t>
      </w:r>
      <w:r w:rsidR="00552C02">
        <w:rPr>
          <w:rFonts w:hint="cs"/>
          <w:rtl/>
          <w:lang w:val="he"/>
        </w:rPr>
        <w:t xml:space="preserve">במצב </w:t>
      </w:r>
      <w:r w:rsidR="00E75215">
        <w:rPr>
          <w:rFonts w:hint="cs"/>
          <w:rtl/>
          <w:lang w:val="he"/>
        </w:rPr>
        <w:t>שאיכויותיו או כמויותיו יקבלו זאת</w:t>
      </w:r>
      <w:r w:rsidR="00B34E4E">
        <w:rPr>
          <w:rStyle w:val="FootnoteReference"/>
          <w:rtl/>
          <w:lang w:val="he"/>
        </w:rPr>
        <w:footnoteReference w:id="548"/>
      </w:r>
      <w:r w:rsidR="00475D2C">
        <w:rPr>
          <w:rFonts w:hint="cs"/>
          <w:rtl/>
          <w:lang w:val="he"/>
        </w:rPr>
        <w:t>.</w:t>
      </w:r>
    </w:p>
    <w:p w14:paraId="18BA2588" w14:textId="50D9E4ED" w:rsidR="00D25EC0" w:rsidRPr="00A35F71" w:rsidRDefault="00D25EC0" w:rsidP="003266A1">
      <w:pPr>
        <w:pStyle w:val="Heading4"/>
        <w:rPr>
          <w:rtl/>
          <w:lang w:val="he"/>
        </w:rPr>
      </w:pPr>
      <w:bookmarkStart w:id="267" w:name="_Toc119092673"/>
      <w:r w:rsidRPr="00A35F71">
        <w:rPr>
          <w:rFonts w:hint="cs"/>
          <w:rtl/>
          <w:lang w:val="he"/>
        </w:rPr>
        <w:t>1.7.2</w:t>
      </w:r>
      <w:bookmarkEnd w:id="267"/>
    </w:p>
    <w:p w14:paraId="327F2A3D" w14:textId="00523063" w:rsidR="00406FD1" w:rsidRDefault="00C25FEF" w:rsidP="00F6470F">
      <w:pPr>
        <w:rPr>
          <w:rtl/>
          <w:lang w:val="he"/>
        </w:rPr>
      </w:pPr>
      <w:r>
        <w:rPr>
          <w:rFonts w:hint="cs"/>
          <w:rtl/>
          <w:lang w:val="he"/>
        </w:rPr>
        <w:t>'</w:t>
      </w:r>
      <w:r w:rsidR="00A35F71">
        <w:rPr>
          <w:rFonts w:hint="cs"/>
          <w:rtl/>
          <w:lang w:val="he"/>
        </w:rPr>
        <w:t>טבע</w:t>
      </w:r>
      <w:r>
        <w:rPr>
          <w:rFonts w:hint="cs"/>
          <w:rtl/>
          <w:lang w:val="he"/>
        </w:rPr>
        <w:t xml:space="preserve">' </w:t>
      </w:r>
      <w:bookmarkStart w:id="268" w:name="_Hlk106647248"/>
      <w:r w:rsidR="00E6096B" w:rsidRPr="00E6096B">
        <w:rPr>
          <w:rtl/>
          <w:lang w:val="he"/>
        </w:rPr>
        <w:t>נֶאֱמָר</w:t>
      </w:r>
      <w:bookmarkEnd w:id="268"/>
      <w:r w:rsidR="00E6096B">
        <w:rPr>
          <w:rFonts w:hint="cs"/>
          <w:rtl/>
          <w:lang w:val="he"/>
        </w:rPr>
        <w:t xml:space="preserve"> </w:t>
      </w:r>
      <w:r>
        <w:rPr>
          <w:rFonts w:hint="cs"/>
          <w:rtl/>
          <w:lang w:val="he"/>
        </w:rPr>
        <w:t xml:space="preserve">על דרך </w:t>
      </w:r>
      <w:r w:rsidR="00CA491E">
        <w:rPr>
          <w:rFonts w:hint="cs"/>
          <w:rtl/>
          <w:lang w:val="he"/>
        </w:rPr>
        <w:t>פרטית, ו</w:t>
      </w:r>
      <w:r w:rsidR="00A740DA" w:rsidRPr="00A740DA">
        <w:rPr>
          <w:rtl/>
          <w:lang w:val="he"/>
        </w:rPr>
        <w:t>נ</w:t>
      </w:r>
      <w:r w:rsidR="005B4E7E">
        <w:rPr>
          <w:rFonts w:hint="cs"/>
          <w:rtl/>
          <w:lang w:val="he"/>
        </w:rPr>
        <w:t>אמ</w:t>
      </w:r>
      <w:r w:rsidR="00A740DA" w:rsidRPr="00A740DA">
        <w:rPr>
          <w:rtl/>
          <w:lang w:val="he"/>
        </w:rPr>
        <w:t>ר</w:t>
      </w:r>
      <w:r w:rsidR="00A740DA">
        <w:rPr>
          <w:rFonts w:hint="cs"/>
          <w:rtl/>
          <w:lang w:val="he"/>
        </w:rPr>
        <w:t xml:space="preserve"> </w:t>
      </w:r>
      <w:r w:rsidR="00CA491E">
        <w:rPr>
          <w:rFonts w:hint="cs"/>
          <w:rtl/>
          <w:lang w:val="he"/>
        </w:rPr>
        <w:t xml:space="preserve">על דרך כללית. </w:t>
      </w:r>
      <w:r w:rsidR="004D5B52">
        <w:rPr>
          <w:rFonts w:hint="cs"/>
          <w:rtl/>
          <w:lang w:val="he"/>
        </w:rPr>
        <w:t xml:space="preserve">זה </w:t>
      </w:r>
      <w:r w:rsidR="00AE2D15">
        <w:rPr>
          <w:rFonts w:hint="cs"/>
          <w:rtl/>
          <w:lang w:val="he"/>
        </w:rPr>
        <w:t>ש</w:t>
      </w:r>
      <w:r w:rsidR="00A03DF7">
        <w:rPr>
          <w:rFonts w:hint="cs"/>
          <w:rtl/>
          <w:lang w:val="he"/>
        </w:rPr>
        <w:t xml:space="preserve">נאמר על דרך פרטית </w:t>
      </w:r>
      <w:r w:rsidR="00F716E1">
        <w:rPr>
          <w:rFonts w:hint="cs"/>
          <w:rtl/>
          <w:lang w:val="he"/>
        </w:rPr>
        <w:t>הוא הטבע ה</w:t>
      </w:r>
      <w:r w:rsidR="004910F3">
        <w:rPr>
          <w:rFonts w:hint="cs"/>
          <w:rtl/>
          <w:lang w:val="he"/>
        </w:rPr>
        <w:t xml:space="preserve">מיוחד </w:t>
      </w:r>
      <w:r w:rsidR="001D6532">
        <w:rPr>
          <w:rFonts w:hint="cs"/>
          <w:rtl/>
          <w:lang w:val="he"/>
        </w:rPr>
        <w:t>ב</w:t>
      </w:r>
      <w:r w:rsidR="004910F3">
        <w:rPr>
          <w:rFonts w:hint="cs"/>
          <w:rtl/>
          <w:lang w:val="he"/>
        </w:rPr>
        <w:t xml:space="preserve">איש </w:t>
      </w:r>
      <w:r w:rsidR="001D6532">
        <w:rPr>
          <w:rFonts w:hint="cs"/>
          <w:rtl/>
          <w:lang w:val="he"/>
        </w:rPr>
        <w:t>ו</w:t>
      </w:r>
      <w:r w:rsidR="004910F3">
        <w:rPr>
          <w:rFonts w:hint="cs"/>
          <w:rtl/>
          <w:lang w:val="he"/>
        </w:rPr>
        <w:t>איש</w:t>
      </w:r>
      <w:r w:rsidR="00F43E34">
        <w:rPr>
          <w:rFonts w:hint="cs"/>
          <w:rtl/>
          <w:lang w:val="he"/>
        </w:rPr>
        <w:t>.</w:t>
      </w:r>
      <w:r w:rsidR="004910F3">
        <w:rPr>
          <w:rFonts w:hint="cs"/>
          <w:rtl/>
          <w:lang w:val="he"/>
        </w:rPr>
        <w:t xml:space="preserve"> </w:t>
      </w:r>
      <w:r w:rsidR="00AE2D15">
        <w:rPr>
          <w:rFonts w:hint="cs"/>
          <w:rtl/>
          <w:lang w:val="he"/>
        </w:rPr>
        <w:t>והטבע שנאמר</w:t>
      </w:r>
      <w:r w:rsidR="005B4E7E">
        <w:rPr>
          <w:rFonts w:hint="cs"/>
          <w:rtl/>
          <w:lang w:val="he"/>
        </w:rPr>
        <w:t xml:space="preserve"> </w:t>
      </w:r>
      <w:r w:rsidR="007C36CA">
        <w:rPr>
          <w:rFonts w:hint="cs"/>
          <w:rtl/>
          <w:lang w:val="he"/>
        </w:rPr>
        <w:t xml:space="preserve">על דרך כללית </w:t>
      </w:r>
      <w:r w:rsidR="00814A57">
        <w:rPr>
          <w:rFonts w:hint="cs"/>
          <w:rtl/>
          <w:lang w:val="he"/>
        </w:rPr>
        <w:t xml:space="preserve">אפשר שיהיה </w:t>
      </w:r>
      <w:r w:rsidR="00B44652">
        <w:rPr>
          <w:rFonts w:hint="cs"/>
          <w:rtl/>
          <w:lang w:val="he"/>
        </w:rPr>
        <w:t xml:space="preserve">כללי </w:t>
      </w:r>
      <w:r w:rsidR="00E72047">
        <w:rPr>
          <w:rFonts w:hint="cs"/>
          <w:rtl/>
          <w:lang w:val="he"/>
        </w:rPr>
        <w:t>מ</w:t>
      </w:r>
      <w:r w:rsidR="00482553">
        <w:rPr>
          <w:rFonts w:hint="cs"/>
          <w:rtl/>
          <w:lang w:val="he"/>
        </w:rPr>
        <w:t>צד</w:t>
      </w:r>
      <w:r w:rsidR="00B44652">
        <w:rPr>
          <w:rFonts w:hint="cs"/>
          <w:rtl/>
          <w:lang w:val="he"/>
        </w:rPr>
        <w:t xml:space="preserve"> </w:t>
      </w:r>
      <w:r w:rsidR="00E72047">
        <w:rPr>
          <w:rFonts w:hint="cs"/>
          <w:rtl/>
          <w:lang w:val="he"/>
        </w:rPr>
        <w:t>ה</w:t>
      </w:r>
      <w:r w:rsidR="0068563C">
        <w:rPr>
          <w:rFonts w:hint="cs"/>
          <w:rtl/>
          <w:lang w:val="he"/>
        </w:rPr>
        <w:t>מין</w:t>
      </w:r>
      <w:r w:rsidR="00B44652">
        <w:rPr>
          <w:rFonts w:hint="cs"/>
          <w:rtl/>
          <w:lang w:val="he"/>
        </w:rPr>
        <w:t xml:space="preserve">, </w:t>
      </w:r>
      <w:r w:rsidR="00ED2777">
        <w:rPr>
          <w:rFonts w:hint="cs"/>
          <w:rtl/>
          <w:lang w:val="he"/>
        </w:rPr>
        <w:t>ואפשר שיהיה כללי באופן מוחלט</w:t>
      </w:r>
      <w:r w:rsidR="001A2016">
        <w:rPr>
          <w:rStyle w:val="FootnoteReference"/>
          <w:rtl/>
          <w:lang w:val="he"/>
        </w:rPr>
        <w:footnoteReference w:id="549"/>
      </w:r>
      <w:r w:rsidR="002B4F6D">
        <w:rPr>
          <w:rFonts w:hint="cs"/>
          <w:rtl/>
          <w:lang w:val="he"/>
        </w:rPr>
        <w:t>,</w:t>
      </w:r>
      <w:r w:rsidR="00ED2777">
        <w:rPr>
          <w:rFonts w:hint="cs"/>
          <w:rtl/>
          <w:lang w:val="he"/>
        </w:rPr>
        <w:t xml:space="preserve"> </w:t>
      </w:r>
      <w:r w:rsidR="00482553">
        <w:rPr>
          <w:rFonts w:hint="cs"/>
          <w:rtl/>
          <w:lang w:val="he"/>
        </w:rPr>
        <w:t>ו</w:t>
      </w:r>
      <w:r w:rsidR="00866DE4">
        <w:rPr>
          <w:rFonts w:hint="cs"/>
          <w:rtl/>
          <w:lang w:val="he"/>
        </w:rPr>
        <w:t>שניה</w:t>
      </w:r>
      <w:r w:rsidR="00482553">
        <w:rPr>
          <w:rFonts w:hint="cs"/>
          <w:rtl/>
          <w:lang w:val="he"/>
        </w:rPr>
        <w:t>ם</w:t>
      </w:r>
      <w:r w:rsidR="0068563C">
        <w:rPr>
          <w:rStyle w:val="FootnoteReference"/>
          <w:rtl/>
          <w:lang w:val="he"/>
        </w:rPr>
        <w:footnoteReference w:id="550"/>
      </w:r>
      <w:r w:rsidR="00482553">
        <w:rPr>
          <w:rFonts w:hint="cs"/>
          <w:rtl/>
          <w:lang w:val="he"/>
        </w:rPr>
        <w:t xml:space="preserve"> אין להם מציאות</w:t>
      </w:r>
      <w:r w:rsidR="00997908">
        <w:rPr>
          <w:rFonts w:hint="cs"/>
          <w:rtl/>
          <w:lang w:val="he"/>
        </w:rPr>
        <w:t xml:space="preserve"> </w:t>
      </w:r>
      <w:r w:rsidR="003C190B">
        <w:rPr>
          <w:rFonts w:hint="cs"/>
          <w:rtl/>
          <w:lang w:val="he"/>
        </w:rPr>
        <w:t>ב</w:t>
      </w:r>
      <w:r w:rsidR="00AF6404">
        <w:rPr>
          <w:rFonts w:hint="cs"/>
          <w:rtl/>
          <w:lang w:val="he"/>
        </w:rPr>
        <w:t>יש</w:t>
      </w:r>
      <w:r w:rsidR="003C190B">
        <w:rPr>
          <w:rFonts w:hint="cs"/>
          <w:rtl/>
          <w:lang w:val="he"/>
        </w:rPr>
        <w:t>ים הקיימים בעין</w:t>
      </w:r>
      <w:r w:rsidR="00EB4C8A">
        <w:rPr>
          <w:rStyle w:val="FootnoteReference"/>
          <w:rtl/>
          <w:lang w:val="he"/>
        </w:rPr>
        <w:footnoteReference w:id="551"/>
      </w:r>
      <w:r w:rsidR="0057431B">
        <w:rPr>
          <w:rFonts w:hint="cs"/>
          <w:rtl/>
          <w:lang w:val="he"/>
        </w:rPr>
        <w:t xml:space="preserve"> אלא רק </w:t>
      </w:r>
      <w:r w:rsidR="00541DC6">
        <w:rPr>
          <w:rFonts w:hint="cs"/>
          <w:rtl/>
          <w:lang w:val="he"/>
        </w:rPr>
        <w:t>ב</w:t>
      </w:r>
      <w:r w:rsidR="00121A08">
        <w:rPr>
          <w:rFonts w:hint="cs"/>
          <w:rtl/>
          <w:lang w:val="he"/>
        </w:rPr>
        <w:t>השגה</w:t>
      </w:r>
      <w:r w:rsidR="00541DC6">
        <w:rPr>
          <w:rStyle w:val="FootnoteReference"/>
          <w:rtl/>
          <w:lang w:val="he"/>
        </w:rPr>
        <w:footnoteReference w:id="552"/>
      </w:r>
      <w:r w:rsidR="00FB66D3">
        <w:rPr>
          <w:rFonts w:hint="cs"/>
          <w:rtl/>
          <w:lang w:val="he"/>
        </w:rPr>
        <w:t xml:space="preserve">, </w:t>
      </w:r>
      <w:r w:rsidR="00173540">
        <w:rPr>
          <w:rFonts w:hint="cs"/>
          <w:rtl/>
          <w:lang w:val="he"/>
        </w:rPr>
        <w:t xml:space="preserve">ולמעשה </w:t>
      </w:r>
      <w:r w:rsidR="007F7117">
        <w:rPr>
          <w:rFonts w:hint="cs"/>
          <w:rtl/>
          <w:lang w:val="he"/>
        </w:rPr>
        <w:t>אין מציאות אלא בפרטיים</w:t>
      </w:r>
      <w:r w:rsidR="00534F2E">
        <w:rPr>
          <w:rStyle w:val="FootnoteReference"/>
          <w:rtl/>
          <w:lang w:val="he"/>
        </w:rPr>
        <w:footnoteReference w:id="553"/>
      </w:r>
      <w:r w:rsidR="007F7117">
        <w:rPr>
          <w:rFonts w:hint="cs"/>
          <w:rtl/>
          <w:lang w:val="he"/>
        </w:rPr>
        <w:t>.</w:t>
      </w:r>
    </w:p>
    <w:p w14:paraId="777AE17A" w14:textId="7CD3E326" w:rsidR="00CB3580" w:rsidRDefault="00A964A3" w:rsidP="00AF63E4">
      <w:pPr>
        <w:rPr>
          <w:rtl/>
          <w:lang w:val="he"/>
        </w:rPr>
      </w:pPr>
      <w:r>
        <w:rPr>
          <w:rFonts w:hint="cs"/>
          <w:rtl/>
          <w:lang w:val="he"/>
        </w:rPr>
        <w:t xml:space="preserve">אמנם </w:t>
      </w:r>
      <w:r w:rsidR="00406FD1">
        <w:rPr>
          <w:rFonts w:hint="cs"/>
          <w:rtl/>
          <w:lang w:val="he"/>
        </w:rPr>
        <w:t xml:space="preserve">האחד </w:t>
      </w:r>
      <w:r w:rsidR="00092F32">
        <w:rPr>
          <w:rFonts w:hint="cs"/>
          <w:rtl/>
          <w:lang w:val="he"/>
        </w:rPr>
        <w:t>[</w:t>
      </w:r>
      <w:r w:rsidR="00406FD1">
        <w:rPr>
          <w:rFonts w:hint="cs"/>
          <w:rtl/>
          <w:lang w:val="he"/>
        </w:rPr>
        <w:t>משנ</w:t>
      </w:r>
      <w:r w:rsidR="00A57E5C">
        <w:rPr>
          <w:rFonts w:hint="cs"/>
          <w:rtl/>
          <w:lang w:val="he"/>
        </w:rPr>
        <w:t>י</w:t>
      </w:r>
      <w:r w:rsidR="00092F32">
        <w:rPr>
          <w:rFonts w:hint="cs"/>
          <w:rtl/>
          <w:lang w:val="he"/>
        </w:rPr>
        <w:t xml:space="preserve"> הכלליים]</w:t>
      </w:r>
      <w:r w:rsidR="0011157C">
        <w:rPr>
          <w:rFonts w:hint="cs"/>
          <w:rtl/>
          <w:lang w:val="he"/>
        </w:rPr>
        <w:t xml:space="preserve"> </w:t>
      </w:r>
      <w:r w:rsidR="00A326E4">
        <w:rPr>
          <w:rFonts w:hint="cs"/>
          <w:rtl/>
          <w:lang w:val="he"/>
        </w:rPr>
        <w:t>הוא מה ש</w:t>
      </w:r>
      <w:r w:rsidR="0011157C">
        <w:rPr>
          <w:rFonts w:hint="cs"/>
          <w:rtl/>
          <w:lang w:val="he"/>
        </w:rPr>
        <w:t xml:space="preserve">מושכל </w:t>
      </w:r>
      <w:r w:rsidR="00C92BB0">
        <w:rPr>
          <w:rFonts w:hint="cs"/>
          <w:rtl/>
          <w:lang w:val="he"/>
        </w:rPr>
        <w:t>כ</w:t>
      </w:r>
      <w:r w:rsidR="0011157C">
        <w:rPr>
          <w:rFonts w:hint="cs"/>
          <w:rtl/>
          <w:lang w:val="he"/>
        </w:rPr>
        <w:t>התחלה ה</w:t>
      </w:r>
      <w:r w:rsidR="00FF6BD8">
        <w:rPr>
          <w:rFonts w:hint="cs"/>
          <w:rtl/>
          <w:lang w:val="he"/>
        </w:rPr>
        <w:t>נצרכ</w:t>
      </w:r>
      <w:r w:rsidR="0011157C">
        <w:rPr>
          <w:rFonts w:hint="cs"/>
          <w:rtl/>
          <w:lang w:val="he"/>
        </w:rPr>
        <w:t>ת</w:t>
      </w:r>
      <w:r w:rsidR="003D5D9D">
        <w:rPr>
          <w:rFonts w:hint="cs"/>
          <w:rtl/>
          <w:lang w:val="he"/>
        </w:rPr>
        <w:t xml:space="preserve"> </w:t>
      </w:r>
      <w:r w:rsidR="008A5864">
        <w:rPr>
          <w:rFonts w:hint="cs"/>
          <w:rtl/>
          <w:lang w:val="he"/>
        </w:rPr>
        <w:t>ל</w:t>
      </w:r>
      <w:r w:rsidR="005927DC">
        <w:rPr>
          <w:rFonts w:hint="cs"/>
          <w:rtl/>
          <w:lang w:val="he"/>
        </w:rPr>
        <w:t xml:space="preserve">סדר </w:t>
      </w:r>
      <w:r w:rsidR="00B14650">
        <w:rPr>
          <w:rFonts w:hint="cs"/>
          <w:rtl/>
          <w:lang w:val="he"/>
        </w:rPr>
        <w:t>מחויב</w:t>
      </w:r>
      <w:r w:rsidR="005927DC">
        <w:rPr>
          <w:rFonts w:hint="cs"/>
          <w:rtl/>
          <w:lang w:val="he"/>
        </w:rPr>
        <w:t xml:space="preserve"> </w:t>
      </w:r>
      <w:r w:rsidR="00C919D5">
        <w:rPr>
          <w:rFonts w:hint="cs"/>
          <w:rtl/>
          <w:lang w:val="he"/>
        </w:rPr>
        <w:t>ל</w:t>
      </w:r>
      <w:r w:rsidR="00137DDE">
        <w:rPr>
          <w:rFonts w:hint="cs"/>
          <w:rtl/>
          <w:lang w:val="he"/>
        </w:rPr>
        <w:t xml:space="preserve">העמיד </w:t>
      </w:r>
      <w:r w:rsidR="00661B2A">
        <w:rPr>
          <w:rFonts w:hint="cs"/>
          <w:rtl/>
          <w:lang w:val="he"/>
        </w:rPr>
        <w:t xml:space="preserve">מין </w:t>
      </w:r>
      <w:proofErr w:type="spellStart"/>
      <w:r w:rsidR="00661B2A">
        <w:rPr>
          <w:rFonts w:hint="cs"/>
          <w:rtl/>
          <w:lang w:val="he"/>
        </w:rPr>
        <w:t>מין</w:t>
      </w:r>
      <w:proofErr w:type="spellEnd"/>
      <w:r w:rsidR="00661B2A">
        <w:rPr>
          <w:rFonts w:hint="cs"/>
          <w:rtl/>
          <w:lang w:val="he"/>
        </w:rPr>
        <w:t xml:space="preserve">, והשני מה שמושכל כהתחלה </w:t>
      </w:r>
      <w:r w:rsidR="00EB5257">
        <w:rPr>
          <w:rFonts w:hint="cs"/>
          <w:rtl/>
          <w:lang w:val="he"/>
        </w:rPr>
        <w:t xml:space="preserve">הנצרכת לסדר מחויב </w:t>
      </w:r>
      <w:r w:rsidR="00D737E0">
        <w:rPr>
          <w:rFonts w:hint="cs"/>
          <w:rtl/>
          <w:lang w:val="he"/>
        </w:rPr>
        <w:t>ל</w:t>
      </w:r>
      <w:r w:rsidR="00847B19">
        <w:rPr>
          <w:rFonts w:hint="cs"/>
          <w:rtl/>
          <w:lang w:val="he"/>
        </w:rPr>
        <w:t>העמיד</w:t>
      </w:r>
      <w:r w:rsidR="00D737E0">
        <w:rPr>
          <w:rFonts w:hint="cs"/>
          <w:rtl/>
          <w:lang w:val="he"/>
        </w:rPr>
        <w:t xml:space="preserve"> </w:t>
      </w:r>
      <w:r w:rsidR="00847B19">
        <w:rPr>
          <w:rFonts w:hint="cs"/>
          <w:rtl/>
          <w:lang w:val="he"/>
        </w:rPr>
        <w:t>את</w:t>
      </w:r>
      <w:r w:rsidR="00D737E0">
        <w:rPr>
          <w:rFonts w:hint="cs"/>
          <w:rtl/>
          <w:lang w:val="he"/>
        </w:rPr>
        <w:t xml:space="preserve"> כל </w:t>
      </w:r>
      <w:r w:rsidR="00357C2E">
        <w:rPr>
          <w:rFonts w:hint="cs"/>
          <w:rtl/>
          <w:lang w:val="he"/>
        </w:rPr>
        <w:t>הבריאה</w:t>
      </w:r>
      <w:r w:rsidR="002F0C31">
        <w:rPr>
          <w:rStyle w:val="FootnoteReference"/>
          <w:rtl/>
          <w:lang w:val="he"/>
        </w:rPr>
        <w:footnoteReference w:id="554"/>
      </w:r>
      <w:r w:rsidR="00357C2E">
        <w:rPr>
          <w:rFonts w:hint="cs"/>
          <w:rtl/>
          <w:lang w:val="he"/>
        </w:rPr>
        <w:t xml:space="preserve">. </w:t>
      </w:r>
      <w:r w:rsidR="00FF6BD8">
        <w:rPr>
          <w:rFonts w:hint="cs"/>
          <w:rtl/>
          <w:lang w:val="he"/>
        </w:rPr>
        <w:t xml:space="preserve"> </w:t>
      </w:r>
      <w:r w:rsidR="0011157C">
        <w:rPr>
          <w:rFonts w:hint="cs"/>
          <w:rtl/>
          <w:lang w:val="he"/>
        </w:rPr>
        <w:t xml:space="preserve"> </w:t>
      </w:r>
      <w:r w:rsidR="00092F32">
        <w:rPr>
          <w:rFonts w:hint="cs"/>
          <w:rtl/>
          <w:lang w:val="he"/>
        </w:rPr>
        <w:t xml:space="preserve">  </w:t>
      </w:r>
    </w:p>
    <w:p w14:paraId="7DC35A15" w14:textId="1F5B86E7" w:rsidR="00CB3580" w:rsidRDefault="00011598" w:rsidP="003266A1">
      <w:pPr>
        <w:pStyle w:val="Heading4"/>
        <w:rPr>
          <w:rtl/>
          <w:lang w:val="he"/>
        </w:rPr>
      </w:pPr>
      <w:bookmarkStart w:id="269" w:name="_1.7.3"/>
      <w:bookmarkStart w:id="270" w:name="_Toc119092674"/>
      <w:bookmarkEnd w:id="269"/>
      <w:r>
        <w:rPr>
          <w:rFonts w:hint="cs"/>
          <w:rtl/>
          <w:lang w:val="he"/>
        </w:rPr>
        <w:t>1.7.3</w:t>
      </w:r>
      <w:bookmarkEnd w:id="270"/>
    </w:p>
    <w:p w14:paraId="0DE99797" w14:textId="6C0EEA8F" w:rsidR="00101A9B" w:rsidRDefault="0049510E" w:rsidP="00F6470F">
      <w:pPr>
        <w:rPr>
          <w:rtl/>
          <w:lang w:val="he"/>
        </w:rPr>
      </w:pPr>
      <w:r>
        <w:rPr>
          <w:rFonts w:hint="cs"/>
          <w:rtl/>
          <w:lang w:val="he"/>
        </w:rPr>
        <w:t xml:space="preserve">ומקצתם </w:t>
      </w:r>
      <w:r w:rsidR="000367BD">
        <w:rPr>
          <w:rFonts w:hint="cs"/>
          <w:rtl/>
          <w:lang w:val="he"/>
        </w:rPr>
        <w:t>דימו</w:t>
      </w:r>
      <w:r w:rsidR="009E3F2B">
        <w:rPr>
          <w:rFonts w:hint="cs"/>
          <w:rtl/>
          <w:lang w:val="he"/>
        </w:rPr>
        <w:t xml:space="preserve"> </w:t>
      </w:r>
      <w:r w:rsidR="000367BD">
        <w:rPr>
          <w:rFonts w:hint="cs"/>
          <w:rtl/>
          <w:lang w:val="he"/>
        </w:rPr>
        <w:t>ש</w:t>
      </w:r>
      <w:r w:rsidR="009E3F2B">
        <w:rPr>
          <w:rFonts w:hint="cs"/>
          <w:rtl/>
          <w:lang w:val="he"/>
        </w:rPr>
        <w:t>כל אחד מהם</w:t>
      </w:r>
      <w:r w:rsidR="00B13658">
        <w:rPr>
          <w:rStyle w:val="FootnoteReference"/>
          <w:rtl/>
          <w:lang w:val="he"/>
        </w:rPr>
        <w:footnoteReference w:id="555"/>
      </w:r>
      <w:r w:rsidR="009E3F2B">
        <w:rPr>
          <w:rFonts w:hint="cs"/>
          <w:rtl/>
          <w:lang w:val="he"/>
        </w:rPr>
        <w:t xml:space="preserve"> </w:t>
      </w:r>
      <w:r w:rsidR="0052641D">
        <w:rPr>
          <w:rFonts w:hint="cs"/>
          <w:rtl/>
          <w:lang w:val="he"/>
        </w:rPr>
        <w:t>ה</w:t>
      </w:r>
      <w:r w:rsidR="007B72D3">
        <w:rPr>
          <w:rFonts w:hint="cs"/>
          <w:rtl/>
          <w:lang w:val="he"/>
        </w:rPr>
        <w:t>וא כח קיי</w:t>
      </w:r>
      <w:r w:rsidR="0052641D">
        <w:rPr>
          <w:rFonts w:hint="cs"/>
          <w:rtl/>
          <w:lang w:val="he"/>
        </w:rPr>
        <w:t>ם, אמנם</w:t>
      </w:r>
      <w:r w:rsidR="00486874">
        <w:rPr>
          <w:rFonts w:hint="cs"/>
          <w:rtl/>
          <w:lang w:val="he"/>
        </w:rPr>
        <w:t xml:space="preserve"> הראשון</w:t>
      </w:r>
      <w:r w:rsidR="00200AB0">
        <w:rPr>
          <w:rStyle w:val="FootnoteReference"/>
          <w:rtl/>
          <w:lang w:val="he"/>
        </w:rPr>
        <w:footnoteReference w:id="556"/>
      </w:r>
      <w:r w:rsidR="00486874">
        <w:rPr>
          <w:rFonts w:hint="cs"/>
          <w:rtl/>
          <w:lang w:val="he"/>
        </w:rPr>
        <w:t xml:space="preserve"> </w:t>
      </w:r>
      <w:r w:rsidR="0079148E">
        <w:rPr>
          <w:rFonts w:hint="cs"/>
          <w:rtl/>
          <w:lang w:val="he"/>
        </w:rPr>
        <w:t>מחלחל</w:t>
      </w:r>
      <w:r w:rsidR="0079148E">
        <w:rPr>
          <w:rStyle w:val="FootnoteReference"/>
          <w:rtl/>
          <w:lang w:val="he"/>
        </w:rPr>
        <w:footnoteReference w:id="557"/>
      </w:r>
      <w:r w:rsidR="00222E01">
        <w:rPr>
          <w:rFonts w:hint="cs"/>
          <w:rtl/>
          <w:lang w:val="he"/>
        </w:rPr>
        <w:t xml:space="preserve"> באישים הפרטיים של המין, </w:t>
      </w:r>
      <w:r w:rsidR="00146267">
        <w:rPr>
          <w:rFonts w:hint="cs"/>
          <w:rtl/>
          <w:lang w:val="he"/>
        </w:rPr>
        <w:t xml:space="preserve">והאחר </w:t>
      </w:r>
      <w:r w:rsidR="00D85DF5">
        <w:rPr>
          <w:rFonts w:hint="cs"/>
          <w:rtl/>
          <w:lang w:val="he"/>
        </w:rPr>
        <w:t>מחלחל בכל</w:t>
      </w:r>
      <w:r w:rsidR="00572CCB">
        <w:rPr>
          <w:rStyle w:val="FootnoteReference"/>
          <w:rtl/>
          <w:lang w:val="he"/>
        </w:rPr>
        <w:footnoteReference w:id="558"/>
      </w:r>
      <w:r w:rsidR="00D85DF5">
        <w:rPr>
          <w:rFonts w:hint="cs"/>
          <w:rtl/>
          <w:lang w:val="he"/>
        </w:rPr>
        <w:t>. ו</w:t>
      </w:r>
      <w:r w:rsidR="00123E1A">
        <w:rPr>
          <w:rFonts w:hint="cs"/>
          <w:rtl/>
          <w:lang w:val="he"/>
        </w:rPr>
        <w:t xml:space="preserve">מקצתם </w:t>
      </w:r>
      <w:r w:rsidR="00D85DF5">
        <w:rPr>
          <w:rFonts w:hint="cs"/>
          <w:rtl/>
          <w:lang w:val="he"/>
        </w:rPr>
        <w:t xml:space="preserve">דימו </w:t>
      </w:r>
      <w:r w:rsidR="00F43C2F">
        <w:rPr>
          <w:rFonts w:hint="cs"/>
          <w:rtl/>
          <w:lang w:val="he"/>
        </w:rPr>
        <w:t xml:space="preserve">שכל אחד מהם </w:t>
      </w:r>
      <w:r w:rsidR="0079388D">
        <w:rPr>
          <w:rFonts w:hint="cs"/>
          <w:rtl/>
          <w:lang w:val="he"/>
        </w:rPr>
        <w:t>הוא ב</w:t>
      </w:r>
      <w:r w:rsidR="00262974">
        <w:rPr>
          <w:rFonts w:hint="cs"/>
          <w:rtl/>
          <w:lang w:val="he"/>
        </w:rPr>
        <w:t>עצמ</w:t>
      </w:r>
      <w:r w:rsidR="0036028F">
        <w:rPr>
          <w:rFonts w:hint="cs"/>
          <w:rtl/>
          <w:lang w:val="he"/>
        </w:rPr>
        <w:t xml:space="preserve">ותו </w:t>
      </w:r>
      <w:r w:rsidR="00262974">
        <w:rPr>
          <w:rFonts w:hint="cs"/>
          <w:rtl/>
          <w:lang w:val="he"/>
        </w:rPr>
        <w:t xml:space="preserve">ונאצל </w:t>
      </w:r>
      <w:r w:rsidR="00C60C5F">
        <w:rPr>
          <w:rFonts w:hint="cs"/>
          <w:rtl/>
          <w:lang w:val="he"/>
        </w:rPr>
        <w:t>ב</w:t>
      </w:r>
      <w:r w:rsidR="00C535CF">
        <w:rPr>
          <w:rFonts w:hint="cs"/>
          <w:rtl/>
          <w:lang w:val="he"/>
        </w:rPr>
        <w:t xml:space="preserve">התחלה </w:t>
      </w:r>
      <w:r w:rsidR="00C60C5F">
        <w:rPr>
          <w:rFonts w:hint="cs"/>
          <w:rtl/>
          <w:lang w:val="he"/>
        </w:rPr>
        <w:t>הראשונה</w:t>
      </w:r>
      <w:r w:rsidR="00B72237">
        <w:rPr>
          <w:rFonts w:hint="cs"/>
          <w:rtl/>
          <w:lang w:val="he"/>
        </w:rPr>
        <w:t xml:space="preserve"> כשהוא אחד, </w:t>
      </w:r>
      <w:r w:rsidR="00AB1FFB">
        <w:rPr>
          <w:rFonts w:hint="cs"/>
          <w:rtl/>
          <w:lang w:val="he"/>
        </w:rPr>
        <w:t>ומת</w:t>
      </w:r>
      <w:r w:rsidR="00FC0217">
        <w:rPr>
          <w:rFonts w:hint="cs"/>
          <w:rtl/>
          <w:lang w:val="he"/>
        </w:rPr>
        <w:t xml:space="preserve">חלק </w:t>
      </w:r>
      <w:r w:rsidR="00E9429B">
        <w:rPr>
          <w:rFonts w:hint="cs"/>
          <w:rtl/>
          <w:lang w:val="he"/>
        </w:rPr>
        <w:t xml:space="preserve">בהתחלקות של </w:t>
      </w:r>
      <w:r w:rsidR="009C7F69">
        <w:rPr>
          <w:rFonts w:hint="cs"/>
          <w:rtl/>
          <w:lang w:val="he"/>
        </w:rPr>
        <w:t>העולם</w:t>
      </w:r>
      <w:r w:rsidR="00276145">
        <w:rPr>
          <w:rFonts w:hint="cs"/>
          <w:rtl/>
          <w:lang w:val="he"/>
        </w:rPr>
        <w:t xml:space="preserve"> ו</w:t>
      </w:r>
      <w:r w:rsidR="008C4A9A">
        <w:rPr>
          <w:rFonts w:hint="cs"/>
          <w:rtl/>
          <w:lang w:val="he"/>
        </w:rPr>
        <w:t>מתחלף</w:t>
      </w:r>
      <w:r w:rsidR="00533DA4">
        <w:rPr>
          <w:rStyle w:val="FootnoteReference"/>
          <w:rtl/>
          <w:lang w:val="he"/>
        </w:rPr>
        <w:footnoteReference w:id="559"/>
      </w:r>
      <w:r w:rsidR="00256082">
        <w:rPr>
          <w:rFonts w:hint="cs"/>
          <w:rtl/>
          <w:lang w:val="he"/>
        </w:rPr>
        <w:t xml:space="preserve"> </w:t>
      </w:r>
      <w:r w:rsidR="00A36EE3">
        <w:rPr>
          <w:rFonts w:hint="cs"/>
          <w:rtl/>
          <w:lang w:val="he"/>
        </w:rPr>
        <w:t>ב</w:t>
      </w:r>
      <w:r w:rsidR="00256082">
        <w:rPr>
          <w:rFonts w:hint="cs"/>
          <w:rtl/>
          <w:lang w:val="he"/>
        </w:rPr>
        <w:t>מקבלים</w:t>
      </w:r>
      <w:r w:rsidR="00101A9B">
        <w:rPr>
          <w:rStyle w:val="FootnoteReference"/>
          <w:rtl/>
          <w:lang w:val="he"/>
        </w:rPr>
        <w:footnoteReference w:id="560"/>
      </w:r>
      <w:r w:rsidR="00256082">
        <w:rPr>
          <w:rFonts w:hint="cs"/>
          <w:rtl/>
          <w:lang w:val="he"/>
        </w:rPr>
        <w:t>.</w:t>
      </w:r>
    </w:p>
    <w:p w14:paraId="66E8B5D0" w14:textId="77777777" w:rsidR="005C764D" w:rsidRDefault="00101A9B" w:rsidP="00F6470F">
      <w:pPr>
        <w:rPr>
          <w:rtl/>
          <w:lang w:val="he"/>
        </w:rPr>
      </w:pPr>
      <w:r>
        <w:rPr>
          <w:rFonts w:hint="cs"/>
          <w:rtl/>
          <w:lang w:val="he"/>
        </w:rPr>
        <w:t>ואין בכל זה דבר</w:t>
      </w:r>
      <w:r w:rsidR="004223A7">
        <w:rPr>
          <w:rFonts w:hint="cs"/>
          <w:rtl/>
          <w:lang w:val="he"/>
        </w:rPr>
        <w:t xml:space="preserve"> </w:t>
      </w:r>
      <w:r w:rsidR="004F5A8C">
        <w:rPr>
          <w:rFonts w:hint="cs"/>
          <w:rtl/>
          <w:lang w:val="he"/>
        </w:rPr>
        <w:t>שיש</w:t>
      </w:r>
      <w:r w:rsidR="004223A7">
        <w:rPr>
          <w:rFonts w:hint="cs"/>
          <w:rtl/>
          <w:lang w:val="he"/>
        </w:rPr>
        <w:t xml:space="preserve"> הכרח</w:t>
      </w:r>
      <w:r w:rsidR="004F5A8C">
        <w:rPr>
          <w:rFonts w:hint="cs"/>
          <w:rtl/>
          <w:lang w:val="he"/>
        </w:rPr>
        <w:t xml:space="preserve"> להקשיב לו</w:t>
      </w:r>
      <w:r w:rsidR="00812118">
        <w:rPr>
          <w:rFonts w:hint="cs"/>
          <w:rtl/>
          <w:lang w:val="he"/>
        </w:rPr>
        <w:t xml:space="preserve">, </w:t>
      </w:r>
      <w:r w:rsidR="0049445E">
        <w:rPr>
          <w:rFonts w:hint="cs"/>
          <w:rtl/>
          <w:lang w:val="he"/>
        </w:rPr>
        <w:t>ש</w:t>
      </w:r>
      <w:r w:rsidR="007E6C8E">
        <w:rPr>
          <w:rFonts w:hint="cs"/>
          <w:rtl/>
          <w:lang w:val="he"/>
        </w:rPr>
        <w:t xml:space="preserve">אין </w:t>
      </w:r>
      <w:r w:rsidR="00735A64">
        <w:rPr>
          <w:rFonts w:hint="cs"/>
          <w:rtl/>
          <w:lang w:val="he"/>
        </w:rPr>
        <w:t>מצ</w:t>
      </w:r>
      <w:r w:rsidR="00B04D07">
        <w:rPr>
          <w:rFonts w:hint="cs"/>
          <w:rtl/>
          <w:lang w:val="he"/>
        </w:rPr>
        <w:t>י</w:t>
      </w:r>
      <w:r w:rsidR="00735A64">
        <w:rPr>
          <w:rFonts w:hint="cs"/>
          <w:rtl/>
          <w:lang w:val="he"/>
        </w:rPr>
        <w:t>א</w:t>
      </w:r>
      <w:r w:rsidR="00B04D07">
        <w:rPr>
          <w:rFonts w:hint="cs"/>
          <w:rtl/>
          <w:lang w:val="he"/>
        </w:rPr>
        <w:t>ות</w:t>
      </w:r>
      <w:r w:rsidR="00735A64">
        <w:rPr>
          <w:rFonts w:hint="cs"/>
          <w:rtl/>
          <w:lang w:val="he"/>
        </w:rPr>
        <w:t xml:space="preserve"> אלא </w:t>
      </w:r>
      <w:r w:rsidR="00B04D07">
        <w:rPr>
          <w:rFonts w:hint="cs"/>
          <w:rtl/>
          <w:lang w:val="he"/>
        </w:rPr>
        <w:t>ל</w:t>
      </w:r>
      <w:r w:rsidR="00735A64">
        <w:rPr>
          <w:rFonts w:hint="cs"/>
          <w:rtl/>
          <w:lang w:val="he"/>
        </w:rPr>
        <w:t>כ</w:t>
      </w:r>
      <w:r w:rsidR="000A79B4">
        <w:rPr>
          <w:rFonts w:hint="cs"/>
          <w:rtl/>
          <w:lang w:val="he"/>
        </w:rPr>
        <w:t>ח</w:t>
      </w:r>
      <w:r w:rsidR="00735A64">
        <w:rPr>
          <w:rFonts w:hint="cs"/>
          <w:rtl/>
          <w:lang w:val="he"/>
        </w:rPr>
        <w:t xml:space="preserve"> ה</w:t>
      </w:r>
      <w:r w:rsidR="009051D2">
        <w:rPr>
          <w:rFonts w:hint="cs"/>
          <w:rtl/>
          <w:lang w:val="he"/>
        </w:rPr>
        <w:t>מ</w:t>
      </w:r>
      <w:r w:rsidR="0048054F">
        <w:rPr>
          <w:rFonts w:hint="cs"/>
          <w:rtl/>
          <w:lang w:val="he"/>
        </w:rPr>
        <w:t>תחלף</w:t>
      </w:r>
      <w:r w:rsidR="00735A64">
        <w:rPr>
          <w:rFonts w:hint="cs"/>
          <w:rtl/>
          <w:lang w:val="he"/>
        </w:rPr>
        <w:t xml:space="preserve"> </w:t>
      </w:r>
      <w:r w:rsidR="00B04D07">
        <w:rPr>
          <w:rFonts w:hint="cs"/>
          <w:rtl/>
          <w:lang w:val="he"/>
        </w:rPr>
        <w:t xml:space="preserve">שבמקבלים </w:t>
      </w:r>
      <w:r w:rsidR="00E76D98">
        <w:rPr>
          <w:rFonts w:hint="cs"/>
          <w:rtl/>
          <w:lang w:val="he"/>
        </w:rPr>
        <w:t>ו</w:t>
      </w:r>
      <w:r w:rsidR="00661E5C">
        <w:rPr>
          <w:rFonts w:hint="cs"/>
          <w:rtl/>
          <w:lang w:val="he"/>
        </w:rPr>
        <w:t xml:space="preserve">אין </w:t>
      </w:r>
      <w:r w:rsidR="003249E4">
        <w:rPr>
          <w:rFonts w:hint="cs"/>
          <w:rtl/>
          <w:lang w:val="he"/>
        </w:rPr>
        <w:t>בשום פנים</w:t>
      </w:r>
      <w:r w:rsidR="00232BC0">
        <w:rPr>
          <w:rFonts w:hint="cs"/>
          <w:rtl/>
          <w:lang w:val="he"/>
        </w:rPr>
        <w:t xml:space="preserve"> </w:t>
      </w:r>
      <w:r w:rsidR="009051D2">
        <w:rPr>
          <w:rFonts w:hint="cs"/>
          <w:rtl/>
          <w:lang w:val="he"/>
        </w:rPr>
        <w:t xml:space="preserve">אחדות </w:t>
      </w:r>
      <w:r w:rsidR="00637A79">
        <w:rPr>
          <w:rFonts w:hint="cs"/>
          <w:rtl/>
          <w:lang w:val="he"/>
        </w:rPr>
        <w:t>ש</w:t>
      </w:r>
      <w:r w:rsidR="00E80BC9">
        <w:rPr>
          <w:rFonts w:hint="cs"/>
          <w:rtl/>
          <w:lang w:val="he"/>
        </w:rPr>
        <w:t>התחלק</w:t>
      </w:r>
      <w:r w:rsidR="00637A79">
        <w:rPr>
          <w:rFonts w:hint="cs"/>
          <w:rtl/>
          <w:lang w:val="he"/>
        </w:rPr>
        <w:t>ה</w:t>
      </w:r>
      <w:r w:rsidR="009051D2">
        <w:rPr>
          <w:rFonts w:hint="cs"/>
          <w:rtl/>
          <w:lang w:val="he"/>
        </w:rPr>
        <w:t>.</w:t>
      </w:r>
      <w:r w:rsidR="005C0D3B">
        <w:rPr>
          <w:rFonts w:hint="cs"/>
          <w:rtl/>
          <w:lang w:val="he"/>
        </w:rPr>
        <w:t xml:space="preserve"> אכן יש להם</w:t>
      </w:r>
      <w:r w:rsidR="00EB247F">
        <w:rPr>
          <w:rStyle w:val="FootnoteReference"/>
          <w:rtl/>
          <w:lang w:val="he"/>
        </w:rPr>
        <w:footnoteReference w:id="561"/>
      </w:r>
      <w:r w:rsidR="005C0D3B">
        <w:rPr>
          <w:rFonts w:hint="cs"/>
          <w:rtl/>
          <w:lang w:val="he"/>
        </w:rPr>
        <w:t xml:space="preserve"> יחס </w:t>
      </w:r>
      <w:r w:rsidR="00FA7474">
        <w:rPr>
          <w:rFonts w:hint="cs"/>
          <w:rtl/>
          <w:lang w:val="he"/>
        </w:rPr>
        <w:t xml:space="preserve">אל דבר אחד, </w:t>
      </w:r>
      <w:r w:rsidR="0099675C">
        <w:rPr>
          <w:rFonts w:hint="cs"/>
          <w:rtl/>
          <w:lang w:val="he"/>
        </w:rPr>
        <w:t xml:space="preserve">אמנם </w:t>
      </w:r>
      <w:r w:rsidR="00B5423B">
        <w:rPr>
          <w:rFonts w:hint="cs"/>
          <w:rtl/>
          <w:lang w:val="he"/>
        </w:rPr>
        <w:t>היחס אל ה</w:t>
      </w:r>
      <w:r w:rsidR="00924EAF">
        <w:rPr>
          <w:rFonts w:hint="cs"/>
          <w:rtl/>
          <w:lang w:val="he"/>
        </w:rPr>
        <w:t>ד</w:t>
      </w:r>
      <w:r w:rsidR="00B5423B">
        <w:rPr>
          <w:rFonts w:hint="cs"/>
          <w:rtl/>
          <w:lang w:val="he"/>
        </w:rPr>
        <w:t>בר האחד</w:t>
      </w:r>
      <w:r w:rsidR="00015022">
        <w:rPr>
          <w:rFonts w:hint="cs"/>
          <w:rtl/>
          <w:lang w:val="he"/>
        </w:rPr>
        <w:t>,</w:t>
      </w:r>
      <w:r w:rsidR="00924EAF">
        <w:rPr>
          <w:rFonts w:hint="cs"/>
          <w:rtl/>
          <w:lang w:val="he"/>
        </w:rPr>
        <w:t xml:space="preserve"> שהוא ההתחלה</w:t>
      </w:r>
      <w:r w:rsidR="00015022">
        <w:rPr>
          <w:rFonts w:hint="cs"/>
          <w:rtl/>
          <w:lang w:val="he"/>
        </w:rPr>
        <w:t>,</w:t>
      </w:r>
      <w:r w:rsidR="00924EAF">
        <w:rPr>
          <w:rFonts w:hint="cs"/>
          <w:rtl/>
          <w:lang w:val="he"/>
        </w:rPr>
        <w:t xml:space="preserve"> </w:t>
      </w:r>
      <w:r w:rsidR="003B050D">
        <w:rPr>
          <w:rFonts w:hint="cs"/>
          <w:rtl/>
          <w:lang w:val="he"/>
        </w:rPr>
        <w:t>לא מ</w:t>
      </w:r>
      <w:r w:rsidR="00A2498E">
        <w:rPr>
          <w:rFonts w:hint="cs"/>
          <w:rtl/>
          <w:lang w:val="he"/>
        </w:rPr>
        <w:t>סלק</w:t>
      </w:r>
      <w:r w:rsidR="003B050D">
        <w:rPr>
          <w:rFonts w:hint="cs"/>
          <w:rtl/>
          <w:lang w:val="he"/>
        </w:rPr>
        <w:t xml:space="preserve"> </w:t>
      </w:r>
      <w:r w:rsidR="004E3005">
        <w:rPr>
          <w:rFonts w:hint="cs"/>
          <w:rtl/>
          <w:lang w:val="he"/>
        </w:rPr>
        <w:t xml:space="preserve">מהדברים </w:t>
      </w:r>
      <w:r w:rsidR="00FC752C">
        <w:rPr>
          <w:rFonts w:hint="cs"/>
          <w:rtl/>
          <w:lang w:val="he"/>
        </w:rPr>
        <w:t>את ההתחלפות</w:t>
      </w:r>
      <w:r w:rsidR="00A046C9">
        <w:rPr>
          <w:rFonts w:hint="cs"/>
          <w:rtl/>
          <w:lang w:val="he"/>
        </w:rPr>
        <w:t xml:space="preserve"> </w:t>
      </w:r>
      <w:r w:rsidR="004E3005">
        <w:rPr>
          <w:rFonts w:hint="cs"/>
          <w:rtl/>
          <w:lang w:val="he"/>
        </w:rPr>
        <w:t>שבעצמ</w:t>
      </w:r>
      <w:r w:rsidR="00B17358">
        <w:rPr>
          <w:rFonts w:hint="cs"/>
          <w:rtl/>
          <w:lang w:val="he"/>
        </w:rPr>
        <w:t>ות</w:t>
      </w:r>
      <w:r w:rsidR="004E3005">
        <w:rPr>
          <w:rFonts w:hint="cs"/>
          <w:rtl/>
          <w:lang w:val="he"/>
        </w:rPr>
        <w:t>ם</w:t>
      </w:r>
      <w:r w:rsidR="00A770B0">
        <w:rPr>
          <w:rFonts w:hint="cs"/>
          <w:rtl/>
          <w:lang w:val="he"/>
        </w:rPr>
        <w:t xml:space="preserve">, </w:t>
      </w:r>
      <w:r w:rsidR="00CE6F8F">
        <w:rPr>
          <w:rFonts w:hint="cs"/>
          <w:rtl/>
          <w:lang w:val="he"/>
        </w:rPr>
        <w:t>ו</w:t>
      </w:r>
      <w:r w:rsidR="00364179">
        <w:rPr>
          <w:rFonts w:hint="cs"/>
          <w:rtl/>
          <w:lang w:val="he"/>
        </w:rPr>
        <w:t xml:space="preserve">מושאי </w:t>
      </w:r>
      <w:r w:rsidR="00B17358">
        <w:rPr>
          <w:rFonts w:hint="cs"/>
          <w:rtl/>
          <w:lang w:val="he"/>
        </w:rPr>
        <w:t>ה</w:t>
      </w:r>
      <w:r w:rsidR="00364179">
        <w:rPr>
          <w:rFonts w:hint="cs"/>
          <w:rtl/>
          <w:lang w:val="he"/>
        </w:rPr>
        <w:t>יחס</w:t>
      </w:r>
      <w:r w:rsidR="00041682">
        <w:rPr>
          <w:rStyle w:val="FootnoteReference"/>
          <w:rtl/>
          <w:lang w:val="he"/>
        </w:rPr>
        <w:footnoteReference w:id="562"/>
      </w:r>
      <w:r w:rsidR="007830D8">
        <w:rPr>
          <w:rFonts w:hint="cs"/>
          <w:rtl/>
          <w:lang w:val="he"/>
        </w:rPr>
        <w:t xml:space="preserve"> </w:t>
      </w:r>
      <w:r w:rsidR="00932A31">
        <w:rPr>
          <w:rFonts w:hint="cs"/>
          <w:rtl/>
          <w:lang w:val="he"/>
        </w:rPr>
        <w:t xml:space="preserve">לא קיימים </w:t>
      </w:r>
      <w:r w:rsidR="00F74518">
        <w:rPr>
          <w:rFonts w:hint="cs"/>
          <w:rtl/>
          <w:lang w:val="he"/>
        </w:rPr>
        <w:t xml:space="preserve">מופשטים </w:t>
      </w:r>
      <w:r w:rsidR="00924730">
        <w:rPr>
          <w:rFonts w:hint="cs"/>
          <w:rtl/>
          <w:lang w:val="he"/>
        </w:rPr>
        <w:t>בפני עצמם</w:t>
      </w:r>
      <w:r w:rsidR="006B23D2">
        <w:rPr>
          <w:rFonts w:hint="cs"/>
          <w:rtl/>
          <w:lang w:val="he"/>
        </w:rPr>
        <w:t>.</w:t>
      </w:r>
      <w:r w:rsidR="009E382B">
        <w:rPr>
          <w:rFonts w:hint="cs"/>
          <w:rtl/>
          <w:lang w:val="he"/>
        </w:rPr>
        <w:t xml:space="preserve"> אלא אין מציאות לטבע </w:t>
      </w:r>
      <w:r w:rsidR="0089355B">
        <w:rPr>
          <w:rFonts w:hint="cs"/>
          <w:rtl/>
          <w:lang w:val="he"/>
        </w:rPr>
        <w:t>במובן זה</w:t>
      </w:r>
      <w:r w:rsidR="00C01C39">
        <w:rPr>
          <w:rStyle w:val="FootnoteReference"/>
          <w:rtl/>
          <w:lang w:val="he"/>
        </w:rPr>
        <w:footnoteReference w:id="563"/>
      </w:r>
      <w:r w:rsidR="00A649EE">
        <w:rPr>
          <w:rFonts w:hint="cs"/>
          <w:rtl/>
          <w:lang w:val="he"/>
        </w:rPr>
        <w:t xml:space="preserve">, </w:t>
      </w:r>
      <w:r w:rsidR="000F7D7C">
        <w:rPr>
          <w:rFonts w:hint="cs"/>
          <w:rtl/>
          <w:lang w:val="he"/>
        </w:rPr>
        <w:t>ו</w:t>
      </w:r>
      <w:r w:rsidR="00A649EE">
        <w:rPr>
          <w:rFonts w:hint="cs"/>
          <w:rtl/>
          <w:lang w:val="he"/>
        </w:rPr>
        <w:t xml:space="preserve">לא </w:t>
      </w:r>
      <w:r w:rsidR="005541C6">
        <w:rPr>
          <w:rFonts w:hint="cs"/>
          <w:rtl/>
          <w:lang w:val="he"/>
        </w:rPr>
        <w:t>ל</w:t>
      </w:r>
      <w:r w:rsidR="00A649EE">
        <w:rPr>
          <w:rFonts w:hint="cs"/>
          <w:rtl/>
          <w:lang w:val="he"/>
        </w:rPr>
        <w:t xml:space="preserve">התחלה </w:t>
      </w:r>
      <w:r w:rsidR="00507A8B">
        <w:rPr>
          <w:rFonts w:hint="cs"/>
          <w:rtl/>
          <w:lang w:val="he"/>
        </w:rPr>
        <w:t>ה</w:t>
      </w:r>
      <w:r w:rsidR="00A649EE">
        <w:rPr>
          <w:rFonts w:hint="cs"/>
          <w:rtl/>
          <w:lang w:val="he"/>
        </w:rPr>
        <w:t>ראשונה</w:t>
      </w:r>
      <w:r w:rsidR="00AB656A">
        <w:rPr>
          <w:rFonts w:hint="cs"/>
          <w:rtl/>
          <w:lang w:val="he"/>
        </w:rPr>
        <w:t xml:space="preserve"> בעצמה</w:t>
      </w:r>
      <w:r w:rsidR="00986F61">
        <w:rPr>
          <w:rFonts w:hint="cs"/>
          <w:rtl/>
          <w:lang w:val="he"/>
        </w:rPr>
        <w:t>,</w:t>
      </w:r>
      <w:r w:rsidR="00A649EE">
        <w:rPr>
          <w:rFonts w:hint="cs"/>
          <w:rtl/>
          <w:lang w:val="he"/>
        </w:rPr>
        <w:t xml:space="preserve"> </w:t>
      </w:r>
      <w:r w:rsidR="00446FA3">
        <w:rPr>
          <w:rFonts w:hint="cs"/>
          <w:rtl/>
          <w:lang w:val="he"/>
        </w:rPr>
        <w:t xml:space="preserve">כי לא יתכן </w:t>
      </w:r>
      <w:r w:rsidR="00006F2F">
        <w:rPr>
          <w:rFonts w:hint="cs"/>
          <w:rtl/>
          <w:lang w:val="he"/>
        </w:rPr>
        <w:t xml:space="preserve">שיהיה </w:t>
      </w:r>
      <w:r w:rsidR="003B5DBF">
        <w:rPr>
          <w:rFonts w:hint="cs"/>
          <w:rtl/>
          <w:lang w:val="he"/>
        </w:rPr>
        <w:t xml:space="preserve">קיים </w:t>
      </w:r>
      <w:r w:rsidR="00BE359C">
        <w:rPr>
          <w:rFonts w:hint="cs"/>
          <w:rtl/>
          <w:lang w:val="he"/>
        </w:rPr>
        <w:t xml:space="preserve">אותו </w:t>
      </w:r>
      <w:r w:rsidR="006D7195">
        <w:rPr>
          <w:rFonts w:hint="cs"/>
          <w:rtl/>
          <w:lang w:val="he"/>
        </w:rPr>
        <w:t>ה</w:t>
      </w:r>
      <w:r w:rsidR="00006F2F">
        <w:rPr>
          <w:rFonts w:hint="cs"/>
          <w:rtl/>
          <w:lang w:val="he"/>
        </w:rPr>
        <w:t>דבר</w:t>
      </w:r>
      <w:r w:rsidR="005164CA">
        <w:rPr>
          <w:rFonts w:hint="cs"/>
          <w:rtl/>
          <w:lang w:val="he"/>
        </w:rPr>
        <w:t xml:space="preserve"> בעצמו</w:t>
      </w:r>
      <w:r w:rsidR="00006F2F">
        <w:rPr>
          <w:rFonts w:hint="cs"/>
          <w:rtl/>
          <w:lang w:val="he"/>
        </w:rPr>
        <w:t xml:space="preserve"> ש</w:t>
      </w:r>
      <w:r w:rsidR="001D045C">
        <w:rPr>
          <w:rFonts w:hint="cs"/>
          <w:rtl/>
          <w:lang w:val="he"/>
        </w:rPr>
        <w:t>ונה מ</w:t>
      </w:r>
      <w:r w:rsidR="00B31CF1">
        <w:rPr>
          <w:rFonts w:hint="cs"/>
          <w:rtl/>
          <w:lang w:val="he"/>
        </w:rPr>
        <w:t>עצמו</w:t>
      </w:r>
      <w:r w:rsidR="003A0809">
        <w:rPr>
          <w:rFonts w:hint="cs"/>
          <w:rtl/>
          <w:lang w:val="he"/>
        </w:rPr>
        <w:t>, כמו שתלמד בהמשך</w:t>
      </w:r>
      <w:r w:rsidR="000D1DAF">
        <w:rPr>
          <w:rStyle w:val="FootnoteReference"/>
          <w:rtl/>
          <w:lang w:val="he"/>
        </w:rPr>
        <w:footnoteReference w:id="564"/>
      </w:r>
      <w:r w:rsidR="000779CB">
        <w:rPr>
          <w:rFonts w:hint="cs"/>
          <w:rtl/>
          <w:lang w:val="he"/>
        </w:rPr>
        <w:t xml:space="preserve">. ולא </w:t>
      </w:r>
      <w:r w:rsidR="001A45AB">
        <w:rPr>
          <w:rFonts w:hint="cs"/>
          <w:rtl/>
          <w:lang w:val="he"/>
        </w:rPr>
        <w:t xml:space="preserve">בדרך </w:t>
      </w:r>
      <w:r w:rsidR="00770045">
        <w:rPr>
          <w:rFonts w:hint="cs"/>
          <w:rtl/>
          <w:lang w:val="he"/>
        </w:rPr>
        <w:t xml:space="preserve">של </w:t>
      </w:r>
      <w:r w:rsidR="007B2965">
        <w:rPr>
          <w:rFonts w:hint="cs"/>
          <w:rtl/>
          <w:lang w:val="he"/>
        </w:rPr>
        <w:t xml:space="preserve">פעילות כלפי </w:t>
      </w:r>
      <w:r w:rsidR="00770045">
        <w:rPr>
          <w:rFonts w:hint="cs"/>
          <w:rtl/>
          <w:lang w:val="he"/>
        </w:rPr>
        <w:t xml:space="preserve"> </w:t>
      </w:r>
      <w:r w:rsidR="00863B21">
        <w:rPr>
          <w:rFonts w:hint="cs"/>
          <w:rtl/>
          <w:lang w:val="he"/>
        </w:rPr>
        <w:t>ה</w:t>
      </w:r>
      <w:r w:rsidR="007B2965">
        <w:rPr>
          <w:rFonts w:hint="cs"/>
          <w:rtl/>
          <w:lang w:val="he"/>
        </w:rPr>
        <w:t xml:space="preserve">דברים, </w:t>
      </w:r>
      <w:r w:rsidR="00863B21">
        <w:rPr>
          <w:rFonts w:hint="cs"/>
          <w:rtl/>
          <w:lang w:val="he"/>
        </w:rPr>
        <w:t xml:space="preserve">כמו האצלת שפע </w:t>
      </w:r>
      <w:r w:rsidR="00087FC7">
        <w:rPr>
          <w:rFonts w:hint="cs"/>
          <w:rtl/>
          <w:lang w:val="he"/>
        </w:rPr>
        <w:t>שעדיין לא הגיע</w:t>
      </w:r>
      <w:r w:rsidR="00723C16">
        <w:rPr>
          <w:rStyle w:val="FootnoteReference"/>
          <w:rtl/>
          <w:lang w:val="he"/>
        </w:rPr>
        <w:footnoteReference w:id="565"/>
      </w:r>
      <w:r w:rsidR="00963478">
        <w:rPr>
          <w:rFonts w:hint="cs"/>
          <w:rtl/>
          <w:lang w:val="he"/>
        </w:rPr>
        <w:t>.</w:t>
      </w:r>
      <w:r w:rsidR="00DE0373">
        <w:rPr>
          <w:rFonts w:hint="cs"/>
          <w:rtl/>
          <w:lang w:val="he"/>
        </w:rPr>
        <w:t xml:space="preserve"> ואין מציאות </w:t>
      </w:r>
      <w:r w:rsidR="00327B82">
        <w:rPr>
          <w:rFonts w:hint="cs"/>
          <w:rtl/>
          <w:lang w:val="he"/>
        </w:rPr>
        <w:t xml:space="preserve">בדברים </w:t>
      </w:r>
      <w:r w:rsidR="00C90BDA">
        <w:rPr>
          <w:rFonts w:hint="cs"/>
          <w:rtl/>
          <w:lang w:val="he"/>
        </w:rPr>
        <w:t>שהם אחדים בלי התחלפות</w:t>
      </w:r>
      <w:r w:rsidR="00E8733D">
        <w:rPr>
          <w:rFonts w:hint="cs"/>
          <w:rtl/>
          <w:lang w:val="he"/>
        </w:rPr>
        <w:t xml:space="preserve">, אלא טבע כל דבר </w:t>
      </w:r>
      <w:r w:rsidR="00C82486">
        <w:rPr>
          <w:rFonts w:hint="cs"/>
          <w:rtl/>
          <w:lang w:val="he"/>
        </w:rPr>
        <w:t>שונה</w:t>
      </w:r>
      <w:r w:rsidR="00F56AC6">
        <w:rPr>
          <w:rFonts w:hint="cs"/>
          <w:rtl/>
          <w:lang w:val="he"/>
        </w:rPr>
        <w:t xml:space="preserve"> או במינו או במספר</w:t>
      </w:r>
      <w:r w:rsidR="00E121A6">
        <w:rPr>
          <w:rStyle w:val="FootnoteReference"/>
          <w:rtl/>
          <w:lang w:val="he"/>
        </w:rPr>
        <w:footnoteReference w:id="566"/>
      </w:r>
      <w:r w:rsidR="00F56AC6">
        <w:rPr>
          <w:rFonts w:hint="cs"/>
          <w:rtl/>
          <w:lang w:val="he"/>
        </w:rPr>
        <w:t>.</w:t>
      </w:r>
      <w:r w:rsidR="00CA6E9D">
        <w:rPr>
          <w:rFonts w:hint="cs"/>
          <w:rtl/>
          <w:lang w:val="he"/>
        </w:rPr>
        <w:t xml:space="preserve"> ו</w:t>
      </w:r>
      <w:r w:rsidR="00C24D3C">
        <w:rPr>
          <w:rFonts w:hint="cs"/>
          <w:rtl/>
          <w:lang w:val="he"/>
        </w:rPr>
        <w:t xml:space="preserve">גם </w:t>
      </w:r>
      <w:r w:rsidR="00CA6E9D">
        <w:rPr>
          <w:rFonts w:hint="cs"/>
          <w:rtl/>
          <w:lang w:val="he"/>
        </w:rPr>
        <w:t xml:space="preserve">מה שהמשילו </w:t>
      </w:r>
      <w:r w:rsidR="007B3604">
        <w:rPr>
          <w:rFonts w:hint="cs"/>
          <w:rtl/>
          <w:lang w:val="he"/>
        </w:rPr>
        <w:t>מ</w:t>
      </w:r>
      <w:r w:rsidR="00314C98">
        <w:rPr>
          <w:rFonts w:hint="cs"/>
          <w:rtl/>
          <w:lang w:val="he"/>
        </w:rPr>
        <w:t>הארת</w:t>
      </w:r>
      <w:r w:rsidR="007B3604">
        <w:rPr>
          <w:rFonts w:hint="cs"/>
          <w:rtl/>
          <w:lang w:val="he"/>
        </w:rPr>
        <w:t xml:space="preserve"> השמש אינו דומה, </w:t>
      </w:r>
      <w:r w:rsidR="002841DF">
        <w:rPr>
          <w:rFonts w:hint="cs"/>
          <w:rtl/>
          <w:lang w:val="he"/>
        </w:rPr>
        <w:t xml:space="preserve">כי לא </w:t>
      </w:r>
      <w:r w:rsidR="00354DFF">
        <w:rPr>
          <w:rFonts w:hint="cs"/>
          <w:rtl/>
          <w:lang w:val="he"/>
        </w:rPr>
        <w:t xml:space="preserve">ייפרד ממנה דבר קיים </w:t>
      </w:r>
      <w:r w:rsidR="0064794A">
        <w:rPr>
          <w:rFonts w:hint="cs"/>
          <w:rtl/>
          <w:lang w:val="he"/>
        </w:rPr>
        <w:t xml:space="preserve">לבדו, </w:t>
      </w:r>
      <w:r w:rsidR="00390059">
        <w:rPr>
          <w:rFonts w:hint="cs"/>
          <w:rtl/>
          <w:lang w:val="he"/>
        </w:rPr>
        <w:t>לא גשם ולא מקרה</w:t>
      </w:r>
      <w:r w:rsidR="00232564">
        <w:rPr>
          <w:rFonts w:hint="cs"/>
          <w:rtl/>
          <w:lang w:val="he"/>
        </w:rPr>
        <w:t>;</w:t>
      </w:r>
      <w:r w:rsidR="00AF29C1">
        <w:rPr>
          <w:rFonts w:hint="cs"/>
          <w:rtl/>
          <w:lang w:val="he"/>
        </w:rPr>
        <w:t xml:space="preserve"> </w:t>
      </w:r>
      <w:r w:rsidR="000B3278">
        <w:rPr>
          <w:rFonts w:hint="cs"/>
          <w:rtl/>
          <w:lang w:val="he"/>
        </w:rPr>
        <w:t xml:space="preserve">אלא </w:t>
      </w:r>
      <w:r w:rsidR="00DC6E09">
        <w:rPr>
          <w:rFonts w:hint="cs"/>
          <w:rtl/>
          <w:lang w:val="he"/>
        </w:rPr>
        <w:t xml:space="preserve">להיפך, קרניה </w:t>
      </w:r>
      <w:r w:rsidR="00232564">
        <w:rPr>
          <w:rFonts w:hint="cs"/>
          <w:rtl/>
          <w:lang w:val="he"/>
        </w:rPr>
        <w:t xml:space="preserve">מתחדשות </w:t>
      </w:r>
      <w:r w:rsidR="00F3711C">
        <w:rPr>
          <w:rFonts w:hint="cs"/>
          <w:rtl/>
          <w:lang w:val="he"/>
        </w:rPr>
        <w:t>במקבלים</w:t>
      </w:r>
      <w:r w:rsidR="00314C98">
        <w:rPr>
          <w:rFonts w:hint="cs"/>
          <w:rtl/>
          <w:lang w:val="he"/>
        </w:rPr>
        <w:t xml:space="preserve"> </w:t>
      </w:r>
      <w:r w:rsidR="003F118C">
        <w:rPr>
          <w:rFonts w:hint="cs"/>
          <w:rtl/>
          <w:lang w:val="he"/>
        </w:rPr>
        <w:t>ו</w:t>
      </w:r>
      <w:r w:rsidR="00232564">
        <w:rPr>
          <w:rFonts w:hint="cs"/>
          <w:rtl/>
          <w:lang w:val="he"/>
        </w:rPr>
        <w:t>מתחדשות</w:t>
      </w:r>
      <w:r w:rsidR="003F118C">
        <w:rPr>
          <w:rFonts w:hint="cs"/>
          <w:rtl/>
          <w:lang w:val="he"/>
        </w:rPr>
        <w:t xml:space="preserve"> בכל מקבל </w:t>
      </w:r>
      <w:r w:rsidR="0037177A">
        <w:rPr>
          <w:rFonts w:hint="cs"/>
          <w:rtl/>
          <w:lang w:val="he"/>
        </w:rPr>
        <w:t>אחר</w:t>
      </w:r>
      <w:r w:rsidR="00E07D0D">
        <w:rPr>
          <w:rFonts w:hint="cs"/>
          <w:rtl/>
          <w:lang w:val="he"/>
        </w:rPr>
        <w:t>-</w:t>
      </w:r>
      <w:r w:rsidR="0037177A">
        <w:rPr>
          <w:rFonts w:hint="cs"/>
          <w:rtl/>
          <w:lang w:val="he"/>
        </w:rPr>
        <w:t>במספר</w:t>
      </w:r>
      <w:r w:rsidR="00D1486C">
        <w:rPr>
          <w:rStyle w:val="FootnoteReference"/>
          <w:rtl/>
          <w:lang w:val="he"/>
        </w:rPr>
        <w:footnoteReference w:id="567"/>
      </w:r>
      <w:r w:rsidR="0097378A">
        <w:rPr>
          <w:rFonts w:hint="cs"/>
          <w:rtl/>
          <w:lang w:val="he"/>
        </w:rPr>
        <w:t>,</w:t>
      </w:r>
      <w:r w:rsidR="0037177A">
        <w:rPr>
          <w:rFonts w:hint="cs"/>
          <w:rtl/>
          <w:lang w:val="he"/>
        </w:rPr>
        <w:t xml:space="preserve"> ואין לקרניים אלה </w:t>
      </w:r>
      <w:r w:rsidR="00837454">
        <w:rPr>
          <w:rFonts w:hint="cs"/>
          <w:rtl/>
          <w:lang w:val="he"/>
        </w:rPr>
        <w:t xml:space="preserve">מציאות </w:t>
      </w:r>
      <w:r w:rsidR="003670B1">
        <w:rPr>
          <w:rFonts w:hint="cs"/>
          <w:rtl/>
          <w:lang w:val="he"/>
        </w:rPr>
        <w:t>אלא</w:t>
      </w:r>
      <w:r w:rsidR="00837454">
        <w:rPr>
          <w:rFonts w:hint="cs"/>
          <w:rtl/>
          <w:lang w:val="he"/>
        </w:rPr>
        <w:t xml:space="preserve"> במקבל</w:t>
      </w:r>
      <w:r w:rsidR="008A6526">
        <w:rPr>
          <w:rFonts w:hint="cs"/>
          <w:rtl/>
          <w:lang w:val="he"/>
        </w:rPr>
        <w:t>. ואין זה</w:t>
      </w:r>
      <w:r w:rsidR="00CE1916">
        <w:rPr>
          <w:rFonts w:hint="cs"/>
          <w:rtl/>
          <w:lang w:val="he"/>
        </w:rPr>
        <w:t xml:space="preserve"> </w:t>
      </w:r>
      <w:r w:rsidR="00ED587F">
        <w:rPr>
          <w:rFonts w:hint="cs"/>
          <w:rtl/>
          <w:lang w:val="he"/>
        </w:rPr>
        <w:t>ש</w:t>
      </w:r>
      <w:r w:rsidR="00FF584D">
        <w:rPr>
          <w:rFonts w:hint="cs"/>
          <w:rtl/>
          <w:lang w:val="he"/>
        </w:rPr>
        <w:t>מ</w:t>
      </w:r>
      <w:r w:rsidR="00C86760" w:rsidRPr="00C86760">
        <w:rPr>
          <w:rtl/>
          <w:lang w:val="he"/>
        </w:rPr>
        <w:t>כלל</w:t>
      </w:r>
      <w:bookmarkStart w:id="271" w:name="_Hlk107485067"/>
      <w:r w:rsidR="00C86760" w:rsidRPr="00C86760">
        <w:rPr>
          <w:rtl/>
          <w:lang w:val="he"/>
        </w:rPr>
        <w:t>וּ</w:t>
      </w:r>
      <w:bookmarkEnd w:id="271"/>
      <w:r w:rsidR="00C86760" w:rsidRPr="00C86760">
        <w:rPr>
          <w:rtl/>
          <w:lang w:val="he"/>
        </w:rPr>
        <w:t>ת</w:t>
      </w:r>
      <w:r w:rsidR="00FF584D">
        <w:rPr>
          <w:rFonts w:hint="cs"/>
          <w:rtl/>
          <w:lang w:val="he"/>
        </w:rPr>
        <w:t xml:space="preserve"> קרני אור עצם השמש </w:t>
      </w:r>
      <w:r w:rsidR="0068134F">
        <w:rPr>
          <w:rFonts w:hint="cs"/>
          <w:rtl/>
          <w:lang w:val="he"/>
        </w:rPr>
        <w:t>יו</w:t>
      </w:r>
      <w:r w:rsidR="00FB263C">
        <w:rPr>
          <w:rFonts w:hint="cs"/>
          <w:rtl/>
          <w:lang w:val="he"/>
        </w:rPr>
        <w:t>רד</w:t>
      </w:r>
      <w:r w:rsidR="0068134F">
        <w:rPr>
          <w:rFonts w:hint="cs"/>
          <w:rtl/>
          <w:lang w:val="he"/>
        </w:rPr>
        <w:t>ות ממנה</w:t>
      </w:r>
      <w:r w:rsidR="000D63EE">
        <w:rPr>
          <w:rFonts w:hint="cs"/>
          <w:rtl/>
          <w:lang w:val="he"/>
        </w:rPr>
        <w:t xml:space="preserve"> [קרני אור]</w:t>
      </w:r>
      <w:r w:rsidR="0068134F">
        <w:rPr>
          <w:rFonts w:hint="cs"/>
          <w:rtl/>
          <w:lang w:val="he"/>
        </w:rPr>
        <w:t xml:space="preserve"> </w:t>
      </w:r>
      <w:r w:rsidR="00C20663">
        <w:rPr>
          <w:rFonts w:hint="cs"/>
          <w:rtl/>
          <w:lang w:val="he"/>
        </w:rPr>
        <w:t>אל החומרים</w:t>
      </w:r>
      <w:r w:rsidR="00276690">
        <w:rPr>
          <w:rStyle w:val="FootnoteReference"/>
          <w:rtl/>
          <w:lang w:val="he"/>
        </w:rPr>
        <w:footnoteReference w:id="568"/>
      </w:r>
      <w:r w:rsidR="00C20663">
        <w:rPr>
          <w:rFonts w:hint="cs"/>
          <w:rtl/>
          <w:lang w:val="he"/>
        </w:rPr>
        <w:t xml:space="preserve"> </w:t>
      </w:r>
      <w:r w:rsidR="001C4410">
        <w:rPr>
          <w:rFonts w:hint="cs"/>
          <w:rtl/>
          <w:lang w:val="he"/>
        </w:rPr>
        <w:t>ומכסות אותם</w:t>
      </w:r>
      <w:r w:rsidR="00065590">
        <w:rPr>
          <w:rStyle w:val="FootnoteReference"/>
          <w:rtl/>
          <w:lang w:val="he"/>
        </w:rPr>
        <w:footnoteReference w:id="569"/>
      </w:r>
      <w:r w:rsidR="00D06AC8">
        <w:rPr>
          <w:rFonts w:hint="cs"/>
          <w:rtl/>
          <w:lang w:val="he"/>
        </w:rPr>
        <w:t>.</w:t>
      </w:r>
    </w:p>
    <w:p w14:paraId="232AE3F0" w14:textId="1DA5EC2E" w:rsidR="007217EA" w:rsidRDefault="00652137" w:rsidP="00F6470F">
      <w:pPr>
        <w:rPr>
          <w:rtl/>
          <w:lang w:val="he"/>
        </w:rPr>
      </w:pPr>
      <w:r>
        <w:rPr>
          <w:rFonts w:hint="cs"/>
          <w:rtl/>
          <w:lang w:val="he"/>
        </w:rPr>
        <w:t>אכן</w:t>
      </w:r>
      <w:r w:rsidR="00087CB8">
        <w:rPr>
          <w:rFonts w:hint="cs"/>
          <w:rtl/>
          <w:lang w:val="he"/>
        </w:rPr>
        <w:t>,</w:t>
      </w:r>
      <w:r>
        <w:rPr>
          <w:rFonts w:hint="cs"/>
          <w:rtl/>
          <w:lang w:val="he"/>
        </w:rPr>
        <w:t xml:space="preserve"> </w:t>
      </w:r>
      <w:r w:rsidR="00AC7616">
        <w:rPr>
          <w:rFonts w:hint="cs"/>
          <w:rtl/>
          <w:lang w:val="he"/>
        </w:rPr>
        <w:t>ל</w:t>
      </w:r>
      <w:r w:rsidR="00AC7616" w:rsidRPr="00AC7616">
        <w:rPr>
          <w:rtl/>
          <w:lang w:val="he"/>
        </w:rPr>
        <w:t>וּ</w:t>
      </w:r>
      <w:r>
        <w:rPr>
          <w:rFonts w:hint="cs"/>
          <w:rtl/>
          <w:lang w:val="he"/>
        </w:rPr>
        <w:t xml:space="preserve"> לא היו המקבלים מתחל</w:t>
      </w:r>
      <w:r w:rsidR="00087CB8">
        <w:rPr>
          <w:rFonts w:hint="cs"/>
          <w:rtl/>
          <w:lang w:val="he"/>
        </w:rPr>
        <w:t>פ</w:t>
      </w:r>
      <w:r>
        <w:rPr>
          <w:rFonts w:hint="cs"/>
          <w:rtl/>
          <w:lang w:val="he"/>
        </w:rPr>
        <w:t>ים</w:t>
      </w:r>
      <w:r w:rsidR="002E5A6E">
        <w:rPr>
          <w:rFonts w:hint="cs"/>
          <w:rtl/>
          <w:lang w:val="he"/>
        </w:rPr>
        <w:t xml:space="preserve"> והיו אחד</w:t>
      </w:r>
      <w:r w:rsidR="009F6642">
        <w:rPr>
          <w:rFonts w:hint="cs"/>
          <w:rtl/>
          <w:lang w:val="he"/>
        </w:rPr>
        <w:t>,</w:t>
      </w:r>
      <w:r w:rsidR="00612F30">
        <w:rPr>
          <w:rFonts w:hint="cs"/>
          <w:rtl/>
          <w:lang w:val="he"/>
        </w:rPr>
        <w:t xml:space="preserve"> </w:t>
      </w:r>
      <w:r w:rsidR="00D541A5">
        <w:rPr>
          <w:rFonts w:hint="cs"/>
          <w:rtl/>
          <w:lang w:val="he"/>
        </w:rPr>
        <w:t>היית</w:t>
      </w:r>
      <w:r w:rsidR="00D541A5">
        <w:rPr>
          <w:rFonts w:hint="eastAsia"/>
          <w:rtl/>
          <w:lang w:val="he"/>
        </w:rPr>
        <w:t>ה</w:t>
      </w:r>
      <w:r w:rsidR="00612F30">
        <w:rPr>
          <w:rFonts w:hint="cs"/>
          <w:rtl/>
          <w:lang w:val="he"/>
        </w:rPr>
        <w:t xml:space="preserve"> </w:t>
      </w:r>
      <w:r w:rsidR="00973EE7">
        <w:rPr>
          <w:rFonts w:hint="cs"/>
          <w:rtl/>
          <w:lang w:val="he"/>
        </w:rPr>
        <w:t xml:space="preserve">אז מכח זה </w:t>
      </w:r>
      <w:r w:rsidR="00612F30">
        <w:rPr>
          <w:rFonts w:hint="cs"/>
          <w:rtl/>
          <w:lang w:val="he"/>
        </w:rPr>
        <w:t>ההשפע</w:t>
      </w:r>
      <w:r w:rsidR="00D541A5">
        <w:rPr>
          <w:rFonts w:hint="cs"/>
          <w:rtl/>
          <w:lang w:val="he"/>
        </w:rPr>
        <w:t>ה</w:t>
      </w:r>
      <w:r w:rsidR="00612F30">
        <w:rPr>
          <w:rFonts w:hint="cs"/>
          <w:rtl/>
          <w:lang w:val="he"/>
        </w:rPr>
        <w:t xml:space="preserve"> אח</w:t>
      </w:r>
      <w:r w:rsidR="00D541A5">
        <w:rPr>
          <w:rFonts w:hint="cs"/>
          <w:rtl/>
          <w:lang w:val="he"/>
        </w:rPr>
        <w:t>ת</w:t>
      </w:r>
      <w:r w:rsidR="006D5E30">
        <w:rPr>
          <w:rFonts w:hint="cs"/>
          <w:rtl/>
          <w:lang w:val="he"/>
        </w:rPr>
        <w:t xml:space="preserve"> </w:t>
      </w:r>
      <w:r w:rsidR="00B00FB5">
        <w:rPr>
          <w:rFonts w:hint="cs"/>
          <w:rtl/>
          <w:lang w:val="he"/>
        </w:rPr>
        <w:t>לפי אותו זמן</w:t>
      </w:r>
      <w:r w:rsidR="003E5F1E">
        <w:rPr>
          <w:rStyle w:val="FootnoteReference"/>
          <w:rtl/>
          <w:lang w:val="he"/>
        </w:rPr>
        <w:footnoteReference w:id="570"/>
      </w:r>
      <w:r w:rsidR="00D604ED">
        <w:rPr>
          <w:rFonts w:hint="cs"/>
          <w:rtl/>
          <w:lang w:val="he"/>
        </w:rPr>
        <w:t>.</w:t>
      </w:r>
      <w:r w:rsidR="00581293">
        <w:rPr>
          <w:rFonts w:hint="cs"/>
          <w:rtl/>
          <w:lang w:val="he"/>
        </w:rPr>
        <w:t xml:space="preserve"> ויבואר לך אמיתת דבר זה</w:t>
      </w:r>
      <w:r w:rsidR="000E45D0">
        <w:rPr>
          <w:rFonts w:hint="cs"/>
          <w:rtl/>
          <w:lang w:val="he"/>
        </w:rPr>
        <w:t xml:space="preserve"> כולו</w:t>
      </w:r>
      <w:r w:rsidR="00541CF1">
        <w:rPr>
          <w:rFonts w:hint="cs"/>
          <w:rtl/>
          <w:lang w:val="he"/>
        </w:rPr>
        <w:t xml:space="preserve"> ב</w:t>
      </w:r>
      <w:r w:rsidR="001E08D5">
        <w:rPr>
          <w:rFonts w:hint="cs"/>
          <w:rtl/>
          <w:lang w:val="he"/>
        </w:rPr>
        <w:t>חכמת אחרת</w:t>
      </w:r>
      <w:r w:rsidR="00541CF1">
        <w:rPr>
          <w:rStyle w:val="FootnoteReference"/>
          <w:rtl/>
          <w:lang w:val="he"/>
        </w:rPr>
        <w:footnoteReference w:id="571"/>
      </w:r>
      <w:r w:rsidR="00541CF1">
        <w:rPr>
          <w:rFonts w:hint="cs"/>
          <w:rtl/>
          <w:lang w:val="he"/>
        </w:rPr>
        <w:t>.</w:t>
      </w:r>
    </w:p>
    <w:p w14:paraId="7E173B30" w14:textId="2C0D2B88" w:rsidR="003A29B8" w:rsidRDefault="007734BD" w:rsidP="00F6470F">
      <w:pPr>
        <w:rPr>
          <w:rtl/>
          <w:lang w:val="he"/>
        </w:rPr>
      </w:pPr>
      <w:r>
        <w:rPr>
          <w:rFonts w:hint="cs"/>
          <w:rtl/>
          <w:lang w:val="he"/>
        </w:rPr>
        <w:t xml:space="preserve">על כל פנים </w:t>
      </w:r>
      <w:r w:rsidR="001B4E8E">
        <w:rPr>
          <w:rFonts w:hint="cs"/>
          <w:rtl/>
          <w:lang w:val="he"/>
        </w:rPr>
        <w:t xml:space="preserve">אם היה </w:t>
      </w:r>
      <w:r w:rsidR="00DA507C">
        <w:rPr>
          <w:rFonts w:hint="cs"/>
          <w:rtl/>
          <w:lang w:val="he"/>
        </w:rPr>
        <w:t xml:space="preserve">נמצא </w:t>
      </w:r>
      <w:r w:rsidR="001B4E8E">
        <w:rPr>
          <w:rFonts w:hint="cs"/>
          <w:rtl/>
          <w:lang w:val="he"/>
        </w:rPr>
        <w:t xml:space="preserve">טבע כללי </w:t>
      </w:r>
      <w:r w:rsidR="008D0351">
        <w:rPr>
          <w:rFonts w:hint="cs"/>
          <w:rtl/>
          <w:lang w:val="he"/>
        </w:rPr>
        <w:t>מסוג זה,</w:t>
      </w:r>
      <w:r w:rsidR="00DA507C">
        <w:rPr>
          <w:rFonts w:hint="cs"/>
          <w:rtl/>
          <w:lang w:val="he"/>
        </w:rPr>
        <w:t xml:space="preserve"> </w:t>
      </w:r>
      <w:r w:rsidR="00690AAF">
        <w:rPr>
          <w:rFonts w:hint="cs"/>
          <w:rtl/>
          <w:lang w:val="he"/>
        </w:rPr>
        <w:t xml:space="preserve">הוא </w:t>
      </w:r>
      <w:r w:rsidR="00DA507C">
        <w:rPr>
          <w:rFonts w:hint="cs"/>
          <w:rtl/>
          <w:lang w:val="he"/>
        </w:rPr>
        <w:t xml:space="preserve">לא היה נמצא על </w:t>
      </w:r>
      <w:r w:rsidR="00690AAF">
        <w:rPr>
          <w:rFonts w:hint="cs"/>
          <w:rtl/>
          <w:lang w:val="he"/>
        </w:rPr>
        <w:t>מה שהוא טבע</w:t>
      </w:r>
      <w:r w:rsidR="00641AF0">
        <w:rPr>
          <w:rStyle w:val="FootnoteReference"/>
          <w:rtl/>
          <w:lang w:val="he"/>
        </w:rPr>
        <w:footnoteReference w:id="572"/>
      </w:r>
      <w:r w:rsidR="00690AAF">
        <w:rPr>
          <w:rFonts w:hint="cs"/>
          <w:rtl/>
          <w:lang w:val="he"/>
        </w:rPr>
        <w:t xml:space="preserve">, </w:t>
      </w:r>
      <w:r w:rsidR="00EC12D9">
        <w:rPr>
          <w:rFonts w:hint="cs"/>
          <w:rtl/>
          <w:lang w:val="he"/>
        </w:rPr>
        <w:t xml:space="preserve">אלא על מה שהוא </w:t>
      </w:r>
      <w:r w:rsidR="00F40911">
        <w:rPr>
          <w:rFonts w:hint="cs"/>
          <w:rtl/>
          <w:lang w:val="he"/>
        </w:rPr>
        <w:t xml:space="preserve">דבר </w:t>
      </w:r>
      <w:r w:rsidR="00F75D8F">
        <w:rPr>
          <w:rFonts w:hint="cs"/>
          <w:rtl/>
          <w:lang w:val="he"/>
        </w:rPr>
        <w:t xml:space="preserve">מושכל </w:t>
      </w:r>
      <w:r w:rsidR="001B773C">
        <w:rPr>
          <w:rFonts w:hint="cs"/>
          <w:rtl/>
          <w:lang w:val="he"/>
        </w:rPr>
        <w:t xml:space="preserve">עם </w:t>
      </w:r>
      <w:r w:rsidR="00D64A91">
        <w:rPr>
          <w:rFonts w:hint="cs"/>
          <w:rtl/>
          <w:lang w:val="he"/>
        </w:rPr>
        <w:t>ה</w:t>
      </w:r>
      <w:r w:rsidR="00646C9E">
        <w:rPr>
          <w:rFonts w:hint="cs"/>
          <w:rtl/>
          <w:lang w:val="he"/>
        </w:rPr>
        <w:t>מקור</w:t>
      </w:r>
      <w:r w:rsidR="003E2F1F">
        <w:rPr>
          <w:rStyle w:val="FootnoteReference"/>
          <w:rtl/>
          <w:lang w:val="he"/>
        </w:rPr>
        <w:footnoteReference w:id="573"/>
      </w:r>
      <w:r w:rsidR="0074603C">
        <w:rPr>
          <w:rFonts w:hint="cs"/>
          <w:rtl/>
          <w:lang w:val="he"/>
        </w:rPr>
        <w:t xml:space="preserve"> וההתחלות</w:t>
      </w:r>
      <w:r w:rsidR="000A2078">
        <w:rPr>
          <w:rFonts w:hint="cs"/>
          <w:rtl/>
          <w:lang w:val="he"/>
        </w:rPr>
        <w:t xml:space="preserve"> </w:t>
      </w:r>
      <w:r w:rsidR="008A1F6C">
        <w:rPr>
          <w:rFonts w:hint="cs"/>
          <w:rtl/>
          <w:lang w:val="he"/>
        </w:rPr>
        <w:t>ש</w:t>
      </w:r>
      <w:r w:rsidR="000A2078">
        <w:rPr>
          <w:rFonts w:hint="cs"/>
          <w:rtl/>
          <w:lang w:val="he"/>
        </w:rPr>
        <w:t>נאצל</w:t>
      </w:r>
      <w:r w:rsidR="00AF5447">
        <w:rPr>
          <w:rStyle w:val="FootnoteReference"/>
          <w:rtl/>
          <w:lang w:val="he"/>
        </w:rPr>
        <w:footnoteReference w:id="574"/>
      </w:r>
      <w:r w:rsidR="000A2078">
        <w:rPr>
          <w:rFonts w:hint="cs"/>
          <w:rtl/>
          <w:lang w:val="he"/>
        </w:rPr>
        <w:t xml:space="preserve"> מ</w:t>
      </w:r>
      <w:r w:rsidR="00CB2C6A">
        <w:rPr>
          <w:rFonts w:hint="cs"/>
          <w:rtl/>
          <w:lang w:val="he"/>
        </w:rPr>
        <w:t>הן</w:t>
      </w:r>
      <w:r w:rsidR="00CE476C">
        <w:rPr>
          <w:rFonts w:hint="cs"/>
          <w:rtl/>
          <w:lang w:val="he"/>
        </w:rPr>
        <w:t xml:space="preserve"> סדר הכל</w:t>
      </w:r>
      <w:r w:rsidR="000911B7">
        <w:rPr>
          <w:rStyle w:val="FootnoteReference"/>
          <w:rtl/>
          <w:lang w:val="he"/>
        </w:rPr>
        <w:footnoteReference w:id="575"/>
      </w:r>
      <w:r w:rsidR="00A0187E">
        <w:rPr>
          <w:rFonts w:hint="cs"/>
          <w:rtl/>
          <w:lang w:val="he"/>
        </w:rPr>
        <w:t>; או על מה שהוא</w:t>
      </w:r>
      <w:r w:rsidR="00AA6FC3">
        <w:rPr>
          <w:rFonts w:hint="cs"/>
          <w:lang w:val="he"/>
        </w:rPr>
        <w:t xml:space="preserve"> </w:t>
      </w:r>
      <w:r w:rsidR="00AA6FC3">
        <w:rPr>
          <w:rFonts w:hint="cs"/>
          <w:rtl/>
          <w:lang w:val="he"/>
        </w:rPr>
        <w:t>טבע</w:t>
      </w:r>
      <w:r w:rsidR="00F35447">
        <w:rPr>
          <w:rFonts w:hint="cs"/>
          <w:rtl/>
          <w:lang w:val="he"/>
        </w:rPr>
        <w:t xml:space="preserve"> הגרם</w:t>
      </w:r>
      <w:r w:rsidR="001215E5">
        <w:rPr>
          <w:rStyle w:val="FootnoteReference"/>
          <w:rtl/>
          <w:lang w:val="he"/>
        </w:rPr>
        <w:footnoteReference w:id="576"/>
      </w:r>
      <w:r w:rsidR="00F35447">
        <w:rPr>
          <w:rFonts w:hint="cs"/>
          <w:rtl/>
          <w:lang w:val="he"/>
        </w:rPr>
        <w:t xml:space="preserve"> הראשון מהגרמים </w:t>
      </w:r>
      <w:r w:rsidR="00CE32F0">
        <w:rPr>
          <w:rFonts w:hint="cs"/>
          <w:rtl/>
          <w:lang w:val="he"/>
        </w:rPr>
        <w:t>השמיימיים</w:t>
      </w:r>
      <w:r w:rsidR="00925790">
        <w:rPr>
          <w:rStyle w:val="FootnoteReference"/>
          <w:rtl/>
          <w:lang w:val="he"/>
        </w:rPr>
        <w:footnoteReference w:id="577"/>
      </w:r>
      <w:r w:rsidR="00DD6A3B">
        <w:rPr>
          <w:rFonts w:hint="cs"/>
          <w:rtl/>
          <w:lang w:val="he"/>
        </w:rPr>
        <w:t xml:space="preserve"> ש</w:t>
      </w:r>
      <w:r w:rsidR="009B45EF">
        <w:rPr>
          <w:rFonts w:hint="cs"/>
          <w:rtl/>
          <w:lang w:val="he"/>
        </w:rPr>
        <w:t xml:space="preserve">בתיווכם </w:t>
      </w:r>
      <w:r w:rsidR="00222344">
        <w:rPr>
          <w:rFonts w:hint="cs"/>
          <w:rtl/>
          <w:lang w:val="he"/>
        </w:rPr>
        <w:t xml:space="preserve">נשמר </w:t>
      </w:r>
      <w:r w:rsidR="004F0485">
        <w:rPr>
          <w:rFonts w:hint="cs"/>
          <w:rtl/>
          <w:lang w:val="he"/>
        </w:rPr>
        <w:t>סדר ה</w:t>
      </w:r>
      <w:r w:rsidR="00AC13DE">
        <w:rPr>
          <w:rFonts w:hint="cs"/>
          <w:rtl/>
          <w:lang w:val="he"/>
        </w:rPr>
        <w:t>הנהגה</w:t>
      </w:r>
      <w:r w:rsidR="00CA40AB">
        <w:rPr>
          <w:rFonts w:hint="cs"/>
          <w:rtl/>
          <w:lang w:val="he"/>
        </w:rPr>
        <w:t>.</w:t>
      </w:r>
    </w:p>
    <w:p w14:paraId="188FF299" w14:textId="77777777" w:rsidR="00D03A3F" w:rsidRDefault="007324A1" w:rsidP="00F6470F">
      <w:pPr>
        <w:rPr>
          <w:rtl/>
          <w:lang w:val="he"/>
        </w:rPr>
      </w:pPr>
      <w:r>
        <w:rPr>
          <w:rFonts w:hint="cs"/>
          <w:rtl/>
          <w:lang w:val="he"/>
        </w:rPr>
        <w:t xml:space="preserve">בהחלט לא </w:t>
      </w:r>
      <w:r w:rsidR="003A29B8">
        <w:rPr>
          <w:rFonts w:hint="cs"/>
          <w:rtl/>
          <w:lang w:val="he"/>
        </w:rPr>
        <w:t>קיים</w:t>
      </w:r>
      <w:r>
        <w:rPr>
          <w:rFonts w:hint="cs"/>
          <w:rtl/>
          <w:lang w:val="he"/>
        </w:rPr>
        <w:t xml:space="preserve"> טבע </w:t>
      </w:r>
      <w:r w:rsidR="00DE0059">
        <w:rPr>
          <w:rFonts w:hint="cs"/>
          <w:rtl/>
          <w:lang w:val="he"/>
        </w:rPr>
        <w:t xml:space="preserve">אחד </w:t>
      </w:r>
      <w:r w:rsidR="00830E7A">
        <w:rPr>
          <w:rFonts w:hint="cs"/>
          <w:rtl/>
          <w:lang w:val="he"/>
        </w:rPr>
        <w:t xml:space="preserve">במהותו </w:t>
      </w:r>
      <w:r w:rsidR="006F40F0">
        <w:rPr>
          <w:rFonts w:hint="cs"/>
          <w:rtl/>
          <w:lang w:val="he"/>
        </w:rPr>
        <w:t>שמחלחל</w:t>
      </w:r>
      <w:r w:rsidR="00B22AC5">
        <w:rPr>
          <w:rStyle w:val="FootnoteReference"/>
          <w:rtl/>
          <w:lang w:val="he"/>
        </w:rPr>
        <w:footnoteReference w:id="578"/>
      </w:r>
      <w:r w:rsidR="006F40F0">
        <w:rPr>
          <w:rFonts w:hint="cs"/>
          <w:rtl/>
          <w:lang w:val="he"/>
        </w:rPr>
        <w:t xml:space="preserve"> בגשמים האחרים. </w:t>
      </w:r>
    </w:p>
    <w:p w14:paraId="49711E46" w14:textId="7EE50E5C" w:rsidR="00F45B0A" w:rsidRDefault="007F4C50" w:rsidP="00AF63E4">
      <w:pPr>
        <w:rPr>
          <w:rtl/>
          <w:lang w:val="he"/>
        </w:rPr>
      </w:pPr>
      <w:r>
        <w:rPr>
          <w:rFonts w:hint="cs"/>
          <w:rtl/>
          <w:lang w:val="he"/>
        </w:rPr>
        <w:t xml:space="preserve">כך </w:t>
      </w:r>
      <w:r w:rsidR="008D7E60">
        <w:rPr>
          <w:rFonts w:hint="cs"/>
          <w:rtl/>
          <w:lang w:val="he"/>
        </w:rPr>
        <w:t>הכרחי</w:t>
      </w:r>
      <w:r>
        <w:rPr>
          <w:rFonts w:hint="cs"/>
          <w:rtl/>
          <w:lang w:val="he"/>
        </w:rPr>
        <w:t xml:space="preserve"> שתבין את הטבע הכללי </w:t>
      </w:r>
      <w:r w:rsidR="00F45B0A">
        <w:rPr>
          <w:rFonts w:hint="cs"/>
          <w:rtl/>
          <w:lang w:val="he"/>
        </w:rPr>
        <w:t xml:space="preserve">והפרטי. </w:t>
      </w:r>
    </w:p>
    <w:p w14:paraId="29AB4F2F" w14:textId="77777777" w:rsidR="00F45B0A" w:rsidRDefault="00F45B0A" w:rsidP="003266A1">
      <w:pPr>
        <w:pStyle w:val="Heading4"/>
        <w:rPr>
          <w:rtl/>
          <w:lang w:val="he"/>
        </w:rPr>
      </w:pPr>
      <w:bookmarkStart w:id="273" w:name="_Toc119092675"/>
      <w:r>
        <w:rPr>
          <w:rFonts w:hint="cs"/>
          <w:rtl/>
          <w:lang w:val="he"/>
        </w:rPr>
        <w:t>1.7.4</w:t>
      </w:r>
      <w:bookmarkEnd w:id="273"/>
    </w:p>
    <w:p w14:paraId="0872A76D" w14:textId="3C72DC74" w:rsidR="000773BE" w:rsidRDefault="00015731" w:rsidP="00F6470F">
      <w:pPr>
        <w:rPr>
          <w:rtl/>
          <w:lang w:val="he"/>
        </w:rPr>
      </w:pPr>
      <w:r>
        <w:rPr>
          <w:rFonts w:hint="cs"/>
          <w:rtl/>
          <w:lang w:val="he"/>
        </w:rPr>
        <w:t xml:space="preserve">הלאה, </w:t>
      </w:r>
      <w:r w:rsidR="00CB36D3">
        <w:rPr>
          <w:rFonts w:hint="cs"/>
          <w:rtl/>
          <w:lang w:val="he"/>
        </w:rPr>
        <w:t xml:space="preserve">אתה יודע </w:t>
      </w:r>
      <w:r w:rsidR="00EF1E59">
        <w:rPr>
          <w:rFonts w:hint="cs"/>
          <w:rtl/>
          <w:lang w:val="he"/>
        </w:rPr>
        <w:t xml:space="preserve">שהרבה ממה </w:t>
      </w:r>
      <w:r w:rsidR="00266547">
        <w:rPr>
          <w:rFonts w:hint="cs"/>
          <w:rtl/>
          <w:lang w:val="he"/>
        </w:rPr>
        <w:t>שהוא מחוץ ל</w:t>
      </w:r>
      <w:r w:rsidR="0037320B">
        <w:rPr>
          <w:rFonts w:hint="cs"/>
          <w:rtl/>
          <w:lang w:val="he"/>
        </w:rPr>
        <w:t>מהלך</w:t>
      </w:r>
      <w:r w:rsidR="00E40A51">
        <w:rPr>
          <w:rFonts w:hint="cs"/>
          <w:rtl/>
          <w:lang w:val="he"/>
        </w:rPr>
        <w:t xml:space="preserve"> הטבע </w:t>
      </w:r>
      <w:r w:rsidR="007A25EF">
        <w:rPr>
          <w:rFonts w:hint="cs"/>
          <w:rtl/>
          <w:lang w:val="he"/>
        </w:rPr>
        <w:t>הפרטי</w:t>
      </w:r>
      <w:r w:rsidR="005B0EAC">
        <w:rPr>
          <w:rFonts w:hint="cs"/>
          <w:rtl/>
          <w:lang w:val="he"/>
        </w:rPr>
        <w:t xml:space="preserve"> </w:t>
      </w:r>
      <w:r w:rsidR="00381640">
        <w:rPr>
          <w:rFonts w:hint="cs"/>
          <w:rtl/>
          <w:lang w:val="he"/>
        </w:rPr>
        <w:t>אינו מחוץ למהלך הטבע הכללי</w:t>
      </w:r>
      <w:r w:rsidR="00344257">
        <w:rPr>
          <w:rFonts w:hint="cs"/>
          <w:rtl/>
          <w:lang w:val="he"/>
        </w:rPr>
        <w:t xml:space="preserve">, </w:t>
      </w:r>
      <w:r w:rsidR="0094638E">
        <w:rPr>
          <w:rFonts w:hint="cs"/>
          <w:rtl/>
          <w:lang w:val="he"/>
        </w:rPr>
        <w:t xml:space="preserve">ואם </w:t>
      </w:r>
      <w:r w:rsidR="009F4347">
        <w:rPr>
          <w:rFonts w:hint="cs"/>
          <w:rtl/>
          <w:lang w:val="he"/>
        </w:rPr>
        <w:t>המוו</w:t>
      </w:r>
      <w:r w:rsidR="009F4347">
        <w:rPr>
          <w:rFonts w:hint="eastAsia"/>
          <w:rtl/>
          <w:lang w:val="he"/>
        </w:rPr>
        <w:t>ת</w:t>
      </w:r>
      <w:r w:rsidR="00BF3AA8">
        <w:rPr>
          <w:rFonts w:hint="cs"/>
          <w:rtl/>
          <w:lang w:val="he"/>
        </w:rPr>
        <w:t xml:space="preserve"> </w:t>
      </w:r>
      <w:r w:rsidR="00FE0493">
        <w:rPr>
          <w:rFonts w:hint="cs"/>
          <w:rtl/>
          <w:lang w:val="he"/>
        </w:rPr>
        <w:t xml:space="preserve">לא </w:t>
      </w:r>
      <w:r w:rsidR="00BF3AA8">
        <w:rPr>
          <w:rFonts w:hint="cs"/>
          <w:rtl/>
          <w:lang w:val="he"/>
        </w:rPr>
        <w:t xml:space="preserve">היה </w:t>
      </w:r>
      <w:r w:rsidR="00C31260">
        <w:rPr>
          <w:rFonts w:hint="cs"/>
          <w:rtl/>
          <w:lang w:val="he"/>
        </w:rPr>
        <w:t>בכוונת ה</w:t>
      </w:r>
      <w:r w:rsidR="000E05EE">
        <w:rPr>
          <w:rFonts w:hint="cs"/>
          <w:rtl/>
          <w:lang w:val="he"/>
        </w:rPr>
        <w:t>טבע הפרטי</w:t>
      </w:r>
      <w:r w:rsidR="00B246FB">
        <w:rPr>
          <w:rFonts w:hint="cs"/>
          <w:rtl/>
          <w:lang w:val="he"/>
        </w:rPr>
        <w:t xml:space="preserve"> שהוא בזייד</w:t>
      </w:r>
      <w:r w:rsidR="00FE52FF">
        <w:rPr>
          <w:rStyle w:val="FootnoteReference"/>
          <w:rtl/>
          <w:lang w:val="he"/>
        </w:rPr>
        <w:footnoteReference w:id="579"/>
      </w:r>
      <w:r w:rsidR="00B246FB">
        <w:rPr>
          <w:rFonts w:hint="cs"/>
          <w:rtl/>
          <w:lang w:val="he"/>
        </w:rPr>
        <w:t xml:space="preserve">, </w:t>
      </w:r>
      <w:r w:rsidR="00BF238E">
        <w:rPr>
          <w:rFonts w:hint="cs"/>
          <w:rtl/>
          <w:lang w:val="he"/>
        </w:rPr>
        <w:t xml:space="preserve">הוא </w:t>
      </w:r>
      <w:r w:rsidR="009F3270">
        <w:rPr>
          <w:rFonts w:hint="cs"/>
          <w:rtl/>
          <w:lang w:val="he"/>
        </w:rPr>
        <w:t>מכוון ב</w:t>
      </w:r>
      <w:r w:rsidR="003C554F">
        <w:rPr>
          <w:rFonts w:hint="cs"/>
          <w:rtl/>
          <w:lang w:val="he"/>
        </w:rPr>
        <w:t>טבע הכללי</w:t>
      </w:r>
      <w:r w:rsidR="006A3D46">
        <w:rPr>
          <w:rFonts w:hint="cs"/>
          <w:rtl/>
          <w:lang w:val="he"/>
        </w:rPr>
        <w:t>, במספר דרכים</w:t>
      </w:r>
      <w:r w:rsidR="000773BE">
        <w:rPr>
          <w:rFonts w:hint="cs"/>
          <w:rtl/>
          <w:lang w:val="he"/>
        </w:rPr>
        <w:t>:</w:t>
      </w:r>
    </w:p>
    <w:p w14:paraId="5B48C51A" w14:textId="1FF8158B" w:rsidR="002C2257" w:rsidRDefault="002042BC" w:rsidP="00F6470F">
      <w:pPr>
        <w:rPr>
          <w:rtl/>
          <w:lang w:val="he"/>
        </w:rPr>
      </w:pPr>
      <w:r>
        <w:rPr>
          <w:rFonts w:hint="cs"/>
          <w:rtl/>
          <w:lang w:val="he"/>
        </w:rPr>
        <w:t xml:space="preserve">אחת מהן </w:t>
      </w:r>
      <w:r w:rsidR="00272BE8">
        <w:rPr>
          <w:rFonts w:hint="cs"/>
          <w:rtl/>
          <w:lang w:val="he"/>
        </w:rPr>
        <w:t xml:space="preserve">היא לשחרר את הנפש </w:t>
      </w:r>
      <w:r w:rsidR="006D7FDC">
        <w:rPr>
          <w:rFonts w:hint="cs"/>
          <w:rtl/>
          <w:lang w:val="he"/>
        </w:rPr>
        <w:t xml:space="preserve">מהגוף, </w:t>
      </w:r>
      <w:r w:rsidR="00823DF6">
        <w:rPr>
          <w:rFonts w:hint="cs"/>
          <w:rtl/>
          <w:lang w:val="he"/>
        </w:rPr>
        <w:t>לאושר</w:t>
      </w:r>
      <w:r w:rsidR="00EE7B6C">
        <w:rPr>
          <w:rFonts w:hint="cs"/>
          <w:rtl/>
          <w:lang w:val="he"/>
        </w:rPr>
        <w:t>ה</w:t>
      </w:r>
      <w:r w:rsidR="00823DF6">
        <w:rPr>
          <w:rFonts w:hint="cs"/>
          <w:rtl/>
          <w:lang w:val="he"/>
        </w:rPr>
        <w:t xml:space="preserve"> בין המאושרים</w:t>
      </w:r>
      <w:r w:rsidR="007B33EF">
        <w:rPr>
          <w:rFonts w:hint="cs"/>
          <w:rtl/>
          <w:lang w:val="he"/>
        </w:rPr>
        <w:t>, וה</w:t>
      </w:r>
      <w:r w:rsidR="00325DB8">
        <w:rPr>
          <w:rFonts w:hint="cs"/>
          <w:rtl/>
          <w:lang w:val="he"/>
        </w:rPr>
        <w:t>י</w:t>
      </w:r>
      <w:r w:rsidR="007B33EF">
        <w:rPr>
          <w:rFonts w:hint="cs"/>
          <w:rtl/>
          <w:lang w:val="he"/>
        </w:rPr>
        <w:t>א ה</w:t>
      </w:r>
      <w:r w:rsidR="002C7A42">
        <w:rPr>
          <w:rFonts w:hint="cs"/>
          <w:rtl/>
          <w:lang w:val="he"/>
        </w:rPr>
        <w:t>כוונה</w:t>
      </w:r>
      <w:r w:rsidR="00B23AEA">
        <w:rPr>
          <w:rStyle w:val="FootnoteReference"/>
          <w:rFonts w:hint="cs"/>
          <w:rtl/>
          <w:lang w:val="he"/>
        </w:rPr>
        <w:t xml:space="preserve"> </w:t>
      </w:r>
      <w:r w:rsidR="00C61C12">
        <w:rPr>
          <w:rFonts w:hint="cs"/>
          <w:rtl/>
          <w:lang w:val="he"/>
        </w:rPr>
        <w:t>[בנפש]</w:t>
      </w:r>
      <w:r w:rsidR="002C7A42">
        <w:rPr>
          <w:rFonts w:hint="cs"/>
          <w:rtl/>
          <w:lang w:val="he"/>
        </w:rPr>
        <w:t xml:space="preserve"> ול</w:t>
      </w:r>
      <w:r w:rsidR="006B33FD">
        <w:rPr>
          <w:rFonts w:hint="cs"/>
          <w:rtl/>
          <w:lang w:val="he"/>
        </w:rPr>
        <w:t>ז</w:t>
      </w:r>
      <w:r w:rsidR="002C7A42">
        <w:rPr>
          <w:rFonts w:hint="cs"/>
          <w:rtl/>
          <w:lang w:val="he"/>
        </w:rPr>
        <w:t>ה נברא הגוף</w:t>
      </w:r>
      <w:r w:rsidR="002420E3">
        <w:rPr>
          <w:rStyle w:val="FootnoteReference"/>
          <w:rtl/>
          <w:lang w:val="he"/>
        </w:rPr>
        <w:footnoteReference w:id="580"/>
      </w:r>
      <w:r w:rsidR="00254A08">
        <w:rPr>
          <w:rFonts w:hint="cs"/>
          <w:rtl/>
          <w:lang w:val="he"/>
        </w:rPr>
        <w:t xml:space="preserve">, </w:t>
      </w:r>
      <w:r w:rsidR="00D14C69">
        <w:rPr>
          <w:rFonts w:hint="cs"/>
          <w:rtl/>
          <w:lang w:val="he"/>
        </w:rPr>
        <w:t>ו</w:t>
      </w:r>
      <w:r w:rsidR="00254A08">
        <w:rPr>
          <w:rFonts w:hint="cs"/>
          <w:rtl/>
          <w:lang w:val="he"/>
        </w:rPr>
        <w:t>אם</w:t>
      </w:r>
      <w:r w:rsidR="00D14C69">
        <w:rPr>
          <w:rFonts w:hint="cs"/>
          <w:rtl/>
          <w:lang w:val="he"/>
        </w:rPr>
        <w:t xml:space="preserve"> </w:t>
      </w:r>
      <w:r w:rsidR="000C135A">
        <w:rPr>
          <w:rFonts w:hint="cs"/>
          <w:rtl/>
          <w:lang w:val="he"/>
        </w:rPr>
        <w:t>לא קיי</w:t>
      </w:r>
      <w:r w:rsidR="00AE5D18">
        <w:rPr>
          <w:rFonts w:hint="cs"/>
          <w:rtl/>
          <w:lang w:val="he"/>
        </w:rPr>
        <w:t>מ</w:t>
      </w:r>
      <w:r w:rsidR="000C135A">
        <w:rPr>
          <w:rFonts w:hint="cs"/>
          <w:rtl/>
          <w:lang w:val="he"/>
        </w:rPr>
        <w:t>ה זאת</w:t>
      </w:r>
      <w:r w:rsidR="00C61C12">
        <w:rPr>
          <w:rFonts w:hint="cs"/>
          <w:rtl/>
          <w:lang w:val="he"/>
        </w:rPr>
        <w:t xml:space="preserve"> [הנפש]</w:t>
      </w:r>
      <w:r w:rsidR="003C0886">
        <w:rPr>
          <w:rFonts w:hint="cs"/>
          <w:rtl/>
          <w:lang w:val="he"/>
        </w:rPr>
        <w:t xml:space="preserve"> אין זה מסיבת הטבע </w:t>
      </w:r>
      <w:r w:rsidR="008712FE">
        <w:rPr>
          <w:rFonts w:hint="cs"/>
          <w:rtl/>
          <w:lang w:val="he"/>
        </w:rPr>
        <w:t>אלא מ</w:t>
      </w:r>
      <w:r w:rsidR="00D17008">
        <w:rPr>
          <w:rFonts w:hint="cs"/>
          <w:rtl/>
          <w:lang w:val="he"/>
        </w:rPr>
        <w:t>רוע ה</w:t>
      </w:r>
      <w:r w:rsidR="008712FE">
        <w:rPr>
          <w:rFonts w:hint="cs"/>
          <w:rtl/>
          <w:lang w:val="he"/>
        </w:rPr>
        <w:t>בחירה.</w:t>
      </w:r>
    </w:p>
    <w:p w14:paraId="13927C62" w14:textId="77777777" w:rsidR="0051680D" w:rsidRDefault="00313801" w:rsidP="00F6470F">
      <w:pPr>
        <w:rPr>
          <w:rtl/>
          <w:lang w:val="he"/>
        </w:rPr>
      </w:pPr>
      <w:r>
        <w:rPr>
          <w:rFonts w:hint="cs"/>
          <w:rtl/>
          <w:lang w:val="he"/>
        </w:rPr>
        <w:t xml:space="preserve">[דרך שנייה:] </w:t>
      </w:r>
      <w:r w:rsidR="006D6910">
        <w:rPr>
          <w:rFonts w:hint="cs"/>
          <w:rtl/>
          <w:lang w:val="he"/>
        </w:rPr>
        <w:t>שהאנש</w:t>
      </w:r>
      <w:r w:rsidR="001860B5">
        <w:rPr>
          <w:rFonts w:hint="cs"/>
          <w:rtl/>
          <w:lang w:val="he"/>
        </w:rPr>
        <w:t xml:space="preserve">ים האחרים </w:t>
      </w:r>
      <w:r w:rsidR="000F5527">
        <w:rPr>
          <w:rFonts w:hint="cs"/>
          <w:rtl/>
          <w:lang w:val="he"/>
        </w:rPr>
        <w:t xml:space="preserve">מצבם </w:t>
      </w:r>
      <w:r w:rsidR="008E34BA">
        <w:rPr>
          <w:rFonts w:hint="cs"/>
          <w:rtl/>
          <w:lang w:val="he"/>
        </w:rPr>
        <w:t xml:space="preserve">להיות </w:t>
      </w:r>
      <w:r w:rsidR="00A2450C">
        <w:rPr>
          <w:rFonts w:hint="cs"/>
          <w:rtl/>
          <w:lang w:val="he"/>
        </w:rPr>
        <w:t>ראויים</w:t>
      </w:r>
      <w:r w:rsidR="004F7BD9">
        <w:rPr>
          <w:rFonts w:hint="cs"/>
          <w:rtl/>
          <w:lang w:val="he"/>
        </w:rPr>
        <w:t xml:space="preserve"> </w:t>
      </w:r>
      <w:r w:rsidR="00442890">
        <w:rPr>
          <w:rFonts w:hint="cs"/>
          <w:rtl/>
          <w:lang w:val="he"/>
        </w:rPr>
        <w:t>להימצא</w:t>
      </w:r>
      <w:r w:rsidR="00A10A4E">
        <w:rPr>
          <w:rStyle w:val="FootnoteReference"/>
          <w:rtl/>
          <w:lang w:val="he"/>
        </w:rPr>
        <w:footnoteReference w:id="581"/>
      </w:r>
      <w:r w:rsidR="00442890">
        <w:rPr>
          <w:rFonts w:hint="cs"/>
          <w:rtl/>
          <w:lang w:val="he"/>
        </w:rPr>
        <w:t xml:space="preserve"> </w:t>
      </w:r>
      <w:r w:rsidR="00BA5B46">
        <w:rPr>
          <w:rFonts w:hint="cs"/>
          <w:rtl/>
          <w:lang w:val="he"/>
        </w:rPr>
        <w:t>שווה ל</w:t>
      </w:r>
      <w:r w:rsidR="008E34BA">
        <w:rPr>
          <w:rFonts w:hint="cs"/>
          <w:rtl/>
          <w:lang w:val="he"/>
        </w:rPr>
        <w:t>מצבו של</w:t>
      </w:r>
      <w:r w:rsidR="00442890">
        <w:rPr>
          <w:rFonts w:hint="cs"/>
          <w:rtl/>
          <w:lang w:val="he"/>
        </w:rPr>
        <w:t xml:space="preserve"> איש זה</w:t>
      </w:r>
      <w:r w:rsidR="008E2FD8">
        <w:rPr>
          <w:rFonts w:hint="cs"/>
          <w:rtl/>
          <w:lang w:val="he"/>
        </w:rPr>
        <w:t xml:space="preserve"> להימצא</w:t>
      </w:r>
      <w:r w:rsidR="00442890">
        <w:rPr>
          <w:rFonts w:hint="cs"/>
          <w:rtl/>
          <w:lang w:val="he"/>
        </w:rPr>
        <w:t xml:space="preserve">, </w:t>
      </w:r>
      <w:r w:rsidR="00F37261">
        <w:rPr>
          <w:rFonts w:hint="cs"/>
          <w:rtl/>
          <w:lang w:val="he"/>
        </w:rPr>
        <w:t xml:space="preserve">ואם אלה </w:t>
      </w:r>
      <w:r w:rsidR="00AB7385">
        <w:rPr>
          <w:rFonts w:hint="cs"/>
          <w:rtl/>
          <w:lang w:val="he"/>
        </w:rPr>
        <w:t>לא ימותו</w:t>
      </w:r>
      <w:r w:rsidR="00167142">
        <w:rPr>
          <w:rFonts w:hint="cs"/>
          <w:rtl/>
          <w:lang w:val="he"/>
        </w:rPr>
        <w:t xml:space="preserve"> </w:t>
      </w:r>
      <w:r w:rsidR="006E59FA">
        <w:rPr>
          <w:rFonts w:hint="cs"/>
          <w:rtl/>
          <w:lang w:val="he"/>
        </w:rPr>
        <w:t xml:space="preserve">לא יהיה לאחרים מקום </w:t>
      </w:r>
      <w:r w:rsidR="00427B9F">
        <w:rPr>
          <w:rFonts w:hint="cs"/>
          <w:rtl/>
          <w:lang w:val="he"/>
        </w:rPr>
        <w:t>ולא מזון.</w:t>
      </w:r>
      <w:r w:rsidR="008F520F">
        <w:rPr>
          <w:rFonts w:hint="cs"/>
          <w:rtl/>
          <w:lang w:val="he"/>
        </w:rPr>
        <w:t xml:space="preserve"> </w:t>
      </w:r>
      <w:proofErr w:type="spellStart"/>
      <w:r w:rsidR="00350669">
        <w:rPr>
          <w:rFonts w:hint="cs"/>
          <w:rtl/>
          <w:lang w:val="he"/>
        </w:rPr>
        <w:t>ו</w:t>
      </w:r>
      <w:r w:rsidR="00F52DFF">
        <w:rPr>
          <w:rFonts w:hint="cs"/>
          <w:rtl/>
          <w:lang w:val="he"/>
        </w:rPr>
        <w:t>בכח</w:t>
      </w:r>
      <w:proofErr w:type="spellEnd"/>
      <w:r w:rsidR="00F52DFF">
        <w:rPr>
          <w:rFonts w:hint="cs"/>
          <w:rtl/>
          <w:lang w:val="he"/>
        </w:rPr>
        <w:t xml:space="preserve"> </w:t>
      </w:r>
      <w:r w:rsidR="00AB3A08">
        <w:rPr>
          <w:rFonts w:hint="cs"/>
          <w:rtl/>
          <w:lang w:val="he"/>
        </w:rPr>
        <w:t>ה</w:t>
      </w:r>
      <w:r w:rsidR="00475EC3">
        <w:rPr>
          <w:rFonts w:hint="cs"/>
          <w:rtl/>
          <w:lang w:val="he"/>
        </w:rPr>
        <w:t>חומר</w:t>
      </w:r>
      <w:r w:rsidR="00CE210F">
        <w:rPr>
          <w:rStyle w:val="FootnoteReference"/>
          <w:rtl/>
          <w:lang w:val="he"/>
        </w:rPr>
        <w:footnoteReference w:id="582"/>
      </w:r>
      <w:r w:rsidR="00B811B2">
        <w:rPr>
          <w:rFonts w:hint="cs"/>
          <w:rtl/>
          <w:lang w:val="he"/>
        </w:rPr>
        <w:t xml:space="preserve"> שהוא חלקם של האחרים</w:t>
      </w:r>
      <w:r w:rsidR="00196C60">
        <w:rPr>
          <w:rFonts w:hint="cs"/>
          <w:rtl/>
          <w:lang w:val="he"/>
        </w:rPr>
        <w:t>,</w:t>
      </w:r>
      <w:r w:rsidR="008A2066">
        <w:rPr>
          <w:rFonts w:hint="cs"/>
          <w:rtl/>
          <w:lang w:val="he"/>
        </w:rPr>
        <w:t xml:space="preserve"> והם </w:t>
      </w:r>
      <w:r w:rsidR="006F1567">
        <w:rPr>
          <w:rFonts w:hint="cs"/>
          <w:rtl/>
          <w:lang w:val="he"/>
        </w:rPr>
        <w:t xml:space="preserve">ראויים למציאות </w:t>
      </w:r>
      <w:r w:rsidR="00932EC6">
        <w:rPr>
          <w:rFonts w:hint="cs"/>
          <w:rtl/>
          <w:lang w:val="he"/>
        </w:rPr>
        <w:t>כ</w:t>
      </w:r>
      <w:r w:rsidR="00C04E87">
        <w:rPr>
          <w:rFonts w:hint="cs"/>
          <w:rtl/>
          <w:lang w:val="he"/>
        </w:rPr>
        <w:t xml:space="preserve">מו </w:t>
      </w:r>
      <w:r w:rsidR="006F1567">
        <w:rPr>
          <w:rFonts w:hint="cs"/>
          <w:rtl/>
          <w:lang w:val="he"/>
        </w:rPr>
        <w:t xml:space="preserve">זו, </w:t>
      </w:r>
      <w:r w:rsidR="002D413B">
        <w:rPr>
          <w:rFonts w:hint="cs"/>
          <w:rtl/>
          <w:lang w:val="he"/>
        </w:rPr>
        <w:t xml:space="preserve">ואינם </w:t>
      </w:r>
      <w:r w:rsidR="008C2DE0">
        <w:rPr>
          <w:rFonts w:hint="cs"/>
          <w:rtl/>
          <w:lang w:val="he"/>
        </w:rPr>
        <w:t>ראויים להעדר תמידי</w:t>
      </w:r>
      <w:r w:rsidR="00E545EF">
        <w:rPr>
          <w:rFonts w:hint="cs"/>
          <w:rtl/>
          <w:lang w:val="he"/>
        </w:rPr>
        <w:t xml:space="preserve"> [יותר]</w:t>
      </w:r>
      <w:r w:rsidR="008C2DE0">
        <w:rPr>
          <w:rFonts w:hint="cs"/>
          <w:rtl/>
          <w:lang w:val="he"/>
        </w:rPr>
        <w:t xml:space="preserve"> </w:t>
      </w:r>
      <w:r w:rsidR="007B74F2">
        <w:rPr>
          <w:rFonts w:hint="cs"/>
          <w:rtl/>
          <w:lang w:val="he"/>
        </w:rPr>
        <w:t xml:space="preserve">ממה שאלה </w:t>
      </w:r>
      <w:r w:rsidR="00E545EF">
        <w:rPr>
          <w:rFonts w:hint="cs"/>
          <w:rtl/>
          <w:lang w:val="he"/>
        </w:rPr>
        <w:t>[ראויים]</w:t>
      </w:r>
      <w:r w:rsidR="00427B9F">
        <w:rPr>
          <w:rFonts w:hint="cs"/>
          <w:rtl/>
          <w:lang w:val="he"/>
        </w:rPr>
        <w:t xml:space="preserve"> </w:t>
      </w:r>
      <w:r w:rsidR="00E545EF">
        <w:rPr>
          <w:rFonts w:hint="cs"/>
          <w:rtl/>
          <w:lang w:val="he"/>
        </w:rPr>
        <w:t>לקיום תמידי.</w:t>
      </w:r>
    </w:p>
    <w:p w14:paraId="1E142DCA" w14:textId="77777777" w:rsidR="00D94283" w:rsidRDefault="001A5F34" w:rsidP="00F6470F">
      <w:pPr>
        <w:rPr>
          <w:rtl/>
          <w:lang w:val="he"/>
        </w:rPr>
      </w:pPr>
      <w:r>
        <w:rPr>
          <w:rFonts w:hint="cs"/>
          <w:rtl/>
          <w:lang w:val="he"/>
        </w:rPr>
        <w:t>ז</w:t>
      </w:r>
      <w:r w:rsidR="00A73B75">
        <w:rPr>
          <w:rFonts w:hint="cs"/>
          <w:rtl/>
          <w:lang w:val="he"/>
        </w:rPr>
        <w:t>ה</w:t>
      </w:r>
      <w:r w:rsidR="00D35EA0">
        <w:rPr>
          <w:rFonts w:hint="cs"/>
          <w:rtl/>
          <w:lang w:val="he"/>
        </w:rPr>
        <w:t>,</w:t>
      </w:r>
      <w:r w:rsidR="00A73B75">
        <w:rPr>
          <w:rFonts w:hint="cs"/>
          <w:rtl/>
          <w:lang w:val="he"/>
        </w:rPr>
        <w:t xml:space="preserve"> ו</w:t>
      </w:r>
      <w:r w:rsidR="00D35EA0">
        <w:rPr>
          <w:rFonts w:hint="cs"/>
          <w:rtl/>
          <w:lang w:val="he"/>
        </w:rPr>
        <w:t>גם עוד דברים,</w:t>
      </w:r>
      <w:r w:rsidR="00A967FC">
        <w:rPr>
          <w:rFonts w:hint="cs"/>
          <w:rtl/>
          <w:lang w:val="he"/>
        </w:rPr>
        <w:t xml:space="preserve"> ה</w:t>
      </w:r>
      <w:r w:rsidR="00D35EA0">
        <w:rPr>
          <w:rFonts w:hint="cs"/>
          <w:rtl/>
          <w:lang w:val="he"/>
        </w:rPr>
        <w:t>ם</w:t>
      </w:r>
      <w:r w:rsidR="00A967FC">
        <w:rPr>
          <w:rFonts w:hint="cs"/>
          <w:rtl/>
          <w:lang w:val="he"/>
        </w:rPr>
        <w:t xml:space="preserve"> ה</w:t>
      </w:r>
      <w:r w:rsidR="0070486F">
        <w:rPr>
          <w:rFonts w:hint="cs"/>
          <w:rtl/>
          <w:lang w:val="he"/>
        </w:rPr>
        <w:t>מכוון בטבע הכללי</w:t>
      </w:r>
      <w:r w:rsidR="0070486F">
        <w:rPr>
          <w:rStyle w:val="FootnoteReference"/>
          <w:rtl/>
          <w:lang w:val="he"/>
        </w:rPr>
        <w:footnoteReference w:id="583"/>
      </w:r>
      <w:r w:rsidR="0070486F">
        <w:rPr>
          <w:rFonts w:hint="cs"/>
          <w:rtl/>
          <w:lang w:val="he"/>
        </w:rPr>
        <w:t xml:space="preserve">. </w:t>
      </w:r>
    </w:p>
    <w:p w14:paraId="38C16D39" w14:textId="77777777" w:rsidR="007003DD" w:rsidRDefault="00D94283" w:rsidP="00F6470F">
      <w:pPr>
        <w:rPr>
          <w:rtl/>
          <w:lang w:val="he"/>
        </w:rPr>
      </w:pPr>
      <w:r>
        <w:rPr>
          <w:rFonts w:hint="cs"/>
          <w:rtl/>
          <w:lang w:val="he"/>
        </w:rPr>
        <w:t xml:space="preserve">וכן </w:t>
      </w:r>
      <w:r w:rsidR="00F148D7">
        <w:rPr>
          <w:rFonts w:hint="cs"/>
          <w:rtl/>
          <w:lang w:val="he"/>
        </w:rPr>
        <w:t xml:space="preserve">האצבע הנוספת היא </w:t>
      </w:r>
      <w:r w:rsidR="007B2371">
        <w:rPr>
          <w:rFonts w:hint="cs"/>
          <w:rtl/>
          <w:lang w:val="he"/>
        </w:rPr>
        <w:t>ב</w:t>
      </w:r>
      <w:r w:rsidR="00B512AB">
        <w:rPr>
          <w:rFonts w:hint="cs"/>
          <w:rtl/>
          <w:lang w:val="he"/>
        </w:rPr>
        <w:t xml:space="preserve">כוונת </w:t>
      </w:r>
      <w:r w:rsidR="007B2371">
        <w:rPr>
          <w:rFonts w:hint="cs"/>
          <w:rtl/>
          <w:lang w:val="he"/>
        </w:rPr>
        <w:t>ה</w:t>
      </w:r>
      <w:r w:rsidR="00B512AB">
        <w:rPr>
          <w:rFonts w:hint="cs"/>
          <w:rtl/>
          <w:lang w:val="he"/>
        </w:rPr>
        <w:t xml:space="preserve">טבע הכללי </w:t>
      </w:r>
      <w:r w:rsidR="004303CF">
        <w:rPr>
          <w:rFonts w:hint="cs"/>
          <w:rtl/>
          <w:lang w:val="he"/>
        </w:rPr>
        <w:t>ש</w:t>
      </w:r>
      <w:r w:rsidR="0051568E">
        <w:rPr>
          <w:rFonts w:hint="cs"/>
          <w:rtl/>
          <w:lang w:val="he"/>
        </w:rPr>
        <w:t xml:space="preserve">דורש </w:t>
      </w:r>
      <w:r w:rsidR="00A0508D">
        <w:rPr>
          <w:rFonts w:hint="cs"/>
          <w:rtl/>
          <w:lang w:val="he"/>
        </w:rPr>
        <w:t xml:space="preserve">שילבש כל חומר מה שהוא מוכן לו </w:t>
      </w:r>
      <w:r w:rsidR="003B2135">
        <w:rPr>
          <w:rFonts w:hint="cs"/>
          <w:rtl/>
          <w:lang w:val="he"/>
        </w:rPr>
        <w:t xml:space="preserve">מהצורות </w:t>
      </w:r>
      <w:r w:rsidR="00CA1034">
        <w:rPr>
          <w:rFonts w:hint="cs"/>
          <w:rtl/>
          <w:lang w:val="he"/>
        </w:rPr>
        <w:t>ו</w:t>
      </w:r>
      <w:r w:rsidR="00F02D31">
        <w:rPr>
          <w:rFonts w:hint="cs"/>
          <w:rtl/>
          <w:lang w:val="he"/>
        </w:rPr>
        <w:t xml:space="preserve">לא יימנע, </w:t>
      </w:r>
      <w:r w:rsidR="00927840">
        <w:rPr>
          <w:rFonts w:hint="cs"/>
          <w:rtl/>
          <w:lang w:val="he"/>
        </w:rPr>
        <w:t>ואם מקצת</w:t>
      </w:r>
      <w:r w:rsidR="002F553C">
        <w:rPr>
          <w:rFonts w:hint="cs"/>
          <w:rtl/>
          <w:lang w:val="he"/>
        </w:rPr>
        <w:t xml:space="preserve"> </w:t>
      </w:r>
      <w:r w:rsidR="00927840">
        <w:rPr>
          <w:rFonts w:hint="cs"/>
          <w:rtl/>
          <w:lang w:val="he"/>
        </w:rPr>
        <w:t xml:space="preserve">חומר </w:t>
      </w:r>
      <w:r w:rsidR="002F553C">
        <w:rPr>
          <w:rFonts w:hint="cs"/>
          <w:rtl/>
          <w:lang w:val="he"/>
        </w:rPr>
        <w:t xml:space="preserve">ראוי </w:t>
      </w:r>
      <w:r w:rsidR="00AE60CF">
        <w:rPr>
          <w:rFonts w:hint="cs"/>
          <w:rtl/>
          <w:lang w:val="he"/>
        </w:rPr>
        <w:t xml:space="preserve">לצורת </w:t>
      </w:r>
      <w:proofErr w:type="spellStart"/>
      <w:r w:rsidR="00057AFD">
        <w:rPr>
          <w:rFonts w:hint="cs"/>
          <w:rtl/>
          <w:lang w:val="he"/>
        </w:rPr>
        <w:t>ה</w:t>
      </w:r>
      <w:r w:rsidR="00AE60CF">
        <w:rPr>
          <w:rFonts w:hint="cs"/>
          <w:rtl/>
          <w:lang w:val="he"/>
        </w:rPr>
        <w:t>אצבע</w:t>
      </w:r>
      <w:r w:rsidR="00057AFD">
        <w:rPr>
          <w:rFonts w:hint="cs"/>
          <w:rtl/>
          <w:lang w:val="he"/>
        </w:rPr>
        <w:t>י</w:t>
      </w:r>
      <w:r w:rsidR="0051785F" w:rsidRPr="0051785F">
        <w:rPr>
          <w:rtl/>
          <w:lang w:val="he"/>
        </w:rPr>
        <w:t>וּ</w:t>
      </w:r>
      <w:r w:rsidR="00057AFD">
        <w:rPr>
          <w:rFonts w:hint="cs"/>
          <w:rtl/>
          <w:lang w:val="he"/>
        </w:rPr>
        <w:t>ת</w:t>
      </w:r>
      <w:proofErr w:type="spellEnd"/>
      <w:r w:rsidR="009D7986">
        <w:rPr>
          <w:rFonts w:hint="cs"/>
          <w:rtl/>
          <w:lang w:val="he"/>
        </w:rPr>
        <w:t xml:space="preserve"> לא י</w:t>
      </w:r>
      <w:r w:rsidR="004379C8">
        <w:rPr>
          <w:rFonts w:hint="cs"/>
          <w:rtl/>
          <w:lang w:val="he"/>
        </w:rPr>
        <w:t>ימנע ולא יחדל</w:t>
      </w:r>
      <w:r w:rsidR="002246E1">
        <w:rPr>
          <w:rStyle w:val="FootnoteReference"/>
          <w:rtl/>
          <w:lang w:val="he"/>
        </w:rPr>
        <w:footnoteReference w:id="584"/>
      </w:r>
      <w:r w:rsidR="004379C8">
        <w:rPr>
          <w:rFonts w:hint="cs"/>
          <w:rtl/>
          <w:lang w:val="he"/>
        </w:rPr>
        <w:t xml:space="preserve">. </w:t>
      </w:r>
      <w:r w:rsidR="007003DD">
        <w:rPr>
          <w:rtl/>
          <w:lang w:val="he"/>
        </w:rPr>
        <w:br w:type="page"/>
      </w:r>
    </w:p>
    <w:p w14:paraId="6DBFFEFE" w14:textId="77777777" w:rsidR="00C56F87" w:rsidRDefault="00C56F87" w:rsidP="00C56F87">
      <w:pPr>
        <w:pStyle w:val="Heading2"/>
        <w:rPr>
          <w:rtl/>
        </w:rPr>
      </w:pPr>
      <w:bookmarkStart w:id="274" w:name="_Toc119092676"/>
      <w:r>
        <w:rPr>
          <w:rFonts w:hint="cs"/>
          <w:rtl/>
        </w:rPr>
        <w:t>פרק ח</w:t>
      </w:r>
      <w:bookmarkEnd w:id="274"/>
    </w:p>
    <w:p w14:paraId="4C9DA232" w14:textId="78B9C810" w:rsidR="009D77E9" w:rsidRDefault="00944872" w:rsidP="00DB071C">
      <w:pPr>
        <w:pStyle w:val="Heading3"/>
        <w:rPr>
          <w:rtl/>
          <w:lang w:val="he"/>
        </w:rPr>
      </w:pPr>
      <w:bookmarkStart w:id="275" w:name="_Toc119092677"/>
      <w:r>
        <w:rPr>
          <w:rFonts w:hint="cs"/>
          <w:rtl/>
          <w:lang w:val="he"/>
        </w:rPr>
        <w:t xml:space="preserve">על </w:t>
      </w:r>
      <w:r w:rsidR="009D6C00">
        <w:rPr>
          <w:rFonts w:hint="cs"/>
          <w:rtl/>
          <w:lang w:val="he"/>
        </w:rPr>
        <w:t>אופן החקירה של</w:t>
      </w:r>
      <w:r>
        <w:rPr>
          <w:rFonts w:hint="cs"/>
          <w:rtl/>
          <w:lang w:val="he"/>
        </w:rPr>
        <w:t xml:space="preserve"> </w:t>
      </w:r>
      <w:r w:rsidR="001E08D5">
        <w:rPr>
          <w:rFonts w:hint="cs"/>
          <w:rtl/>
          <w:lang w:val="he"/>
        </w:rPr>
        <w:t>חכמת</w:t>
      </w:r>
      <w:r>
        <w:rPr>
          <w:rFonts w:hint="cs"/>
          <w:rtl/>
          <w:lang w:val="he"/>
        </w:rPr>
        <w:t xml:space="preserve"> הטבע</w:t>
      </w:r>
      <w:r w:rsidR="009D6C00">
        <w:rPr>
          <w:rFonts w:hint="cs"/>
          <w:rtl/>
          <w:lang w:val="he"/>
        </w:rPr>
        <w:t xml:space="preserve"> </w:t>
      </w:r>
      <w:r w:rsidR="006531AE">
        <w:rPr>
          <w:rFonts w:hint="cs"/>
          <w:rtl/>
          <w:lang w:val="he"/>
        </w:rPr>
        <w:t>והמשותף ל</w:t>
      </w:r>
      <w:r w:rsidR="001E08D5">
        <w:rPr>
          <w:rFonts w:hint="cs"/>
          <w:rtl/>
          <w:lang w:val="he"/>
        </w:rPr>
        <w:t>ה</w:t>
      </w:r>
      <w:r w:rsidR="006531AE">
        <w:rPr>
          <w:rFonts w:hint="cs"/>
          <w:rtl/>
          <w:lang w:val="he"/>
        </w:rPr>
        <w:t xml:space="preserve"> עם </w:t>
      </w:r>
      <w:r w:rsidR="001E08D5">
        <w:rPr>
          <w:rFonts w:hint="cs"/>
          <w:rtl/>
          <w:lang w:val="he"/>
        </w:rPr>
        <w:t>חכמות</w:t>
      </w:r>
      <w:r w:rsidR="006531AE">
        <w:rPr>
          <w:rFonts w:hint="cs"/>
          <w:rtl/>
          <w:lang w:val="he"/>
        </w:rPr>
        <w:t xml:space="preserve"> אחר</w:t>
      </w:r>
      <w:r w:rsidR="0032680A">
        <w:rPr>
          <w:rFonts w:hint="cs"/>
          <w:rtl/>
          <w:lang w:val="he"/>
        </w:rPr>
        <w:t>ות</w:t>
      </w:r>
      <w:r w:rsidR="006531AE">
        <w:rPr>
          <w:rFonts w:hint="cs"/>
          <w:rtl/>
          <w:lang w:val="he"/>
        </w:rPr>
        <w:t xml:space="preserve">, אם יש </w:t>
      </w:r>
      <w:r w:rsidR="0032680A">
        <w:rPr>
          <w:rFonts w:hint="cs"/>
          <w:rtl/>
          <w:lang w:val="he"/>
        </w:rPr>
        <w:t>לה</w:t>
      </w:r>
      <w:r w:rsidR="005E3134">
        <w:rPr>
          <w:rFonts w:hint="cs"/>
          <w:rtl/>
          <w:lang w:val="he"/>
        </w:rPr>
        <w:t xml:space="preserve"> </w:t>
      </w:r>
      <w:r w:rsidR="006531AE">
        <w:rPr>
          <w:rFonts w:hint="cs"/>
          <w:rtl/>
          <w:lang w:val="he"/>
        </w:rPr>
        <w:t>משותף</w:t>
      </w:r>
      <w:bookmarkEnd w:id="275"/>
      <w:r>
        <w:rPr>
          <w:rFonts w:hint="cs"/>
          <w:rtl/>
          <w:lang w:val="he"/>
        </w:rPr>
        <w:t xml:space="preserve"> </w:t>
      </w:r>
    </w:p>
    <w:p w14:paraId="792A657D" w14:textId="77777777" w:rsidR="00DB071C" w:rsidRDefault="00DB071C" w:rsidP="00DB071C">
      <w:pPr>
        <w:rPr>
          <w:rtl/>
          <w:lang w:val="he"/>
        </w:rPr>
      </w:pPr>
    </w:p>
    <w:p w14:paraId="75A95062" w14:textId="440065A0" w:rsidR="00DB071C" w:rsidRDefault="00DB071C" w:rsidP="003266A1">
      <w:pPr>
        <w:pStyle w:val="Heading4"/>
        <w:rPr>
          <w:rtl/>
          <w:lang w:val="he"/>
        </w:rPr>
      </w:pPr>
      <w:bookmarkStart w:id="276" w:name="_Toc119092678"/>
      <w:r>
        <w:rPr>
          <w:rFonts w:hint="cs"/>
          <w:rtl/>
          <w:lang w:val="he"/>
        </w:rPr>
        <w:t>1.8.1</w:t>
      </w:r>
      <w:bookmarkEnd w:id="276"/>
    </w:p>
    <w:p w14:paraId="7A939494" w14:textId="5B042F11" w:rsidR="00DB071C" w:rsidRPr="00DB071C" w:rsidRDefault="00F01089" w:rsidP="0071161E">
      <w:pPr>
        <w:rPr>
          <w:rtl/>
          <w:lang w:val="he"/>
        </w:rPr>
      </w:pPr>
      <w:r>
        <w:rPr>
          <w:rFonts w:hint="cs"/>
          <w:rtl/>
          <w:lang w:val="he"/>
        </w:rPr>
        <w:t>מאחר ש</w:t>
      </w:r>
      <w:r w:rsidR="008F6ACC">
        <w:rPr>
          <w:rFonts w:hint="cs"/>
          <w:rtl/>
          <w:lang w:val="he"/>
        </w:rPr>
        <w:t xml:space="preserve">ידעת </w:t>
      </w:r>
      <w:r w:rsidR="00BA2393">
        <w:rPr>
          <w:rFonts w:hint="cs"/>
          <w:rtl/>
          <w:lang w:val="he"/>
        </w:rPr>
        <w:t>את הטבע וידעת את הדברים הטבעיים</w:t>
      </w:r>
      <w:r w:rsidR="000512B8">
        <w:rPr>
          <w:rFonts w:hint="cs"/>
          <w:rtl/>
          <w:lang w:val="he"/>
        </w:rPr>
        <w:t xml:space="preserve">, </w:t>
      </w:r>
      <w:r w:rsidR="00B149AB">
        <w:rPr>
          <w:rFonts w:hint="cs"/>
          <w:rtl/>
          <w:lang w:val="he"/>
        </w:rPr>
        <w:t xml:space="preserve">כבר </w:t>
      </w:r>
      <w:r w:rsidR="000512B8">
        <w:rPr>
          <w:rFonts w:hint="cs"/>
          <w:rtl/>
          <w:lang w:val="he"/>
        </w:rPr>
        <w:t>התברר לך</w:t>
      </w:r>
      <w:r w:rsidR="009335A1">
        <w:rPr>
          <w:rFonts w:hint="cs"/>
          <w:rtl/>
          <w:lang w:val="he"/>
        </w:rPr>
        <w:t xml:space="preserve"> היטב</w:t>
      </w:r>
      <w:r w:rsidR="00E22E2D">
        <w:rPr>
          <w:rFonts w:hint="cs"/>
          <w:rtl/>
          <w:lang w:val="he"/>
        </w:rPr>
        <w:t xml:space="preserve"> </w:t>
      </w:r>
      <w:r w:rsidR="000C5240">
        <w:rPr>
          <w:rFonts w:hint="cs"/>
          <w:rtl/>
          <w:lang w:val="he"/>
        </w:rPr>
        <w:t>אילו דברים חוקר</w:t>
      </w:r>
      <w:r w:rsidR="006A0359">
        <w:rPr>
          <w:rFonts w:hint="cs"/>
          <w:rtl/>
          <w:lang w:val="he"/>
        </w:rPr>
        <w:t>ת</w:t>
      </w:r>
      <w:r w:rsidR="00E22E2D">
        <w:rPr>
          <w:rFonts w:hint="cs"/>
          <w:rtl/>
          <w:lang w:val="he"/>
        </w:rPr>
        <w:t xml:space="preserve"> </w:t>
      </w:r>
      <w:r w:rsidR="006A0359">
        <w:rPr>
          <w:rFonts w:hint="cs"/>
          <w:rtl/>
          <w:lang w:val="he"/>
        </w:rPr>
        <w:t>חכמת</w:t>
      </w:r>
      <w:r w:rsidR="00E22E2D">
        <w:rPr>
          <w:rFonts w:hint="cs"/>
          <w:rtl/>
          <w:lang w:val="he"/>
        </w:rPr>
        <w:t xml:space="preserve"> הטבע</w:t>
      </w:r>
      <w:r w:rsidR="004345AA">
        <w:rPr>
          <w:rFonts w:hint="cs"/>
          <w:rtl/>
          <w:lang w:val="he"/>
        </w:rPr>
        <w:t>.</w:t>
      </w:r>
      <w:r w:rsidR="000C5240">
        <w:rPr>
          <w:rFonts w:hint="cs"/>
          <w:rtl/>
          <w:lang w:val="he"/>
        </w:rPr>
        <w:t xml:space="preserve"> </w:t>
      </w:r>
    </w:p>
    <w:p w14:paraId="6A81EF92" w14:textId="133F1FE6" w:rsidR="000821C9" w:rsidRDefault="005609D0" w:rsidP="00424FFA">
      <w:pPr>
        <w:rPr>
          <w:rtl/>
          <w:lang w:val="he"/>
        </w:rPr>
      </w:pPr>
      <w:r>
        <w:rPr>
          <w:rFonts w:hint="cs"/>
          <w:rtl/>
          <w:lang w:val="he"/>
        </w:rPr>
        <w:t>ו</w:t>
      </w:r>
      <w:r w:rsidR="004E56EF">
        <w:rPr>
          <w:rFonts w:hint="cs"/>
          <w:rtl/>
          <w:lang w:val="he"/>
        </w:rPr>
        <w:t>מכיוון</w:t>
      </w:r>
      <w:r w:rsidR="00394691">
        <w:rPr>
          <w:rFonts w:hint="cs"/>
          <w:rtl/>
          <w:lang w:val="he"/>
        </w:rPr>
        <w:t xml:space="preserve"> </w:t>
      </w:r>
      <w:r w:rsidR="004E56EF">
        <w:rPr>
          <w:rFonts w:hint="cs"/>
          <w:rtl/>
          <w:lang w:val="he"/>
        </w:rPr>
        <w:t>ש</w:t>
      </w:r>
      <w:r w:rsidR="00202D34" w:rsidRPr="00202D34">
        <w:rPr>
          <w:rtl/>
          <w:lang w:val="he"/>
        </w:rPr>
        <w:t>הַ</w:t>
      </w:r>
      <w:r w:rsidR="00CE1ABC">
        <w:rPr>
          <w:rFonts w:hint="cs"/>
          <w:rtl/>
          <w:lang w:val="he"/>
        </w:rPr>
        <w:t>גודל</w:t>
      </w:r>
      <w:r w:rsidR="00BF3112">
        <w:rPr>
          <w:rFonts w:hint="cs"/>
          <w:rtl/>
          <w:lang w:val="he"/>
        </w:rPr>
        <w:t xml:space="preserve"> המו</w:t>
      </w:r>
      <w:r w:rsidR="00BD6D1C">
        <w:rPr>
          <w:rFonts w:hint="cs"/>
          <w:rtl/>
          <w:lang w:val="he"/>
        </w:rPr>
        <w:t>ג</w:t>
      </w:r>
      <w:r w:rsidR="00CE1ABC">
        <w:rPr>
          <w:rFonts w:hint="cs"/>
          <w:rtl/>
          <w:lang w:val="he"/>
        </w:rPr>
        <w:t>דר</w:t>
      </w:r>
      <w:r w:rsidR="00EA6E0B">
        <w:rPr>
          <w:rFonts w:hint="cs"/>
          <w:rtl/>
          <w:lang w:val="he"/>
        </w:rPr>
        <w:t xml:space="preserve"> </w:t>
      </w:r>
      <w:r w:rsidR="008F74C3">
        <w:rPr>
          <w:rFonts w:hint="cs"/>
          <w:rtl/>
          <w:lang w:val="he"/>
        </w:rPr>
        <w:t>ה</w:t>
      </w:r>
      <w:r w:rsidR="00CE1ABC">
        <w:rPr>
          <w:rFonts w:hint="cs"/>
          <w:rtl/>
          <w:lang w:val="he"/>
        </w:rPr>
        <w:t>ו</w:t>
      </w:r>
      <w:r w:rsidR="008F74C3">
        <w:rPr>
          <w:rFonts w:hint="cs"/>
          <w:rtl/>
          <w:lang w:val="he"/>
        </w:rPr>
        <w:t xml:space="preserve">א </w:t>
      </w:r>
      <w:r w:rsidR="008E60CE">
        <w:rPr>
          <w:rFonts w:hint="cs"/>
          <w:rtl/>
          <w:lang w:val="he"/>
        </w:rPr>
        <w:t>ממה ש</w:t>
      </w:r>
      <w:r w:rsidR="00183959">
        <w:rPr>
          <w:rFonts w:hint="cs"/>
          <w:rtl/>
          <w:lang w:val="he"/>
        </w:rPr>
        <w:t>נצרך</w:t>
      </w:r>
      <w:r w:rsidR="008E60CE">
        <w:rPr>
          <w:rFonts w:hint="cs"/>
          <w:rtl/>
          <w:lang w:val="he"/>
        </w:rPr>
        <w:t xml:space="preserve"> לגשם </w:t>
      </w:r>
      <w:r w:rsidR="00C14C59">
        <w:rPr>
          <w:rFonts w:hint="cs"/>
          <w:rtl/>
          <w:lang w:val="he"/>
        </w:rPr>
        <w:t>ה</w:t>
      </w:r>
      <w:r w:rsidR="008E60CE">
        <w:rPr>
          <w:rFonts w:hint="cs"/>
          <w:rtl/>
          <w:lang w:val="he"/>
        </w:rPr>
        <w:t>טבעי</w:t>
      </w:r>
      <w:r w:rsidR="00C14C59">
        <w:rPr>
          <w:rFonts w:hint="cs"/>
          <w:rtl/>
          <w:lang w:val="he"/>
        </w:rPr>
        <w:t xml:space="preserve"> </w:t>
      </w:r>
      <w:r w:rsidR="00F902DB">
        <w:rPr>
          <w:rFonts w:hint="cs"/>
          <w:rtl/>
          <w:lang w:val="he"/>
        </w:rPr>
        <w:t>והמקרים העצמיים</w:t>
      </w:r>
      <w:r w:rsidR="00BD0A1D">
        <w:rPr>
          <w:rStyle w:val="FootnoteReference"/>
          <w:rtl/>
          <w:lang w:val="he"/>
        </w:rPr>
        <w:footnoteReference w:id="585"/>
      </w:r>
      <w:r w:rsidR="00645AB9">
        <w:rPr>
          <w:rFonts w:hint="cs"/>
          <w:rtl/>
          <w:lang w:val="he"/>
        </w:rPr>
        <w:t>,</w:t>
      </w:r>
      <w:r w:rsidR="00F902DB">
        <w:rPr>
          <w:rFonts w:hint="cs"/>
          <w:rtl/>
          <w:lang w:val="he"/>
        </w:rPr>
        <w:t xml:space="preserve"> </w:t>
      </w:r>
      <w:r w:rsidR="00A34421">
        <w:rPr>
          <w:rFonts w:hint="cs"/>
          <w:rtl/>
          <w:lang w:val="he"/>
        </w:rPr>
        <w:t xml:space="preserve">([ב"מקרים עצמיים"] </w:t>
      </w:r>
      <w:r w:rsidR="00414DDF">
        <w:rPr>
          <w:rFonts w:hint="cs"/>
          <w:rtl/>
          <w:lang w:val="he"/>
        </w:rPr>
        <w:t>כ</w:t>
      </w:r>
      <w:r w:rsidR="00645AB9">
        <w:rPr>
          <w:rFonts w:hint="cs"/>
          <w:rtl/>
          <w:lang w:val="he"/>
        </w:rPr>
        <w:t>וונתי</w:t>
      </w:r>
      <w:r w:rsidR="00414DDF">
        <w:rPr>
          <w:rFonts w:hint="cs"/>
          <w:rtl/>
          <w:lang w:val="he"/>
        </w:rPr>
        <w:t xml:space="preserve"> </w:t>
      </w:r>
      <w:r w:rsidR="00FD5CFF">
        <w:rPr>
          <w:rFonts w:hint="cs"/>
          <w:rtl/>
          <w:lang w:val="he"/>
        </w:rPr>
        <w:t xml:space="preserve">הגובה והרוחב והעומק </w:t>
      </w:r>
      <w:r w:rsidR="00180938">
        <w:rPr>
          <w:rFonts w:hint="cs"/>
          <w:rtl/>
          <w:lang w:val="he"/>
        </w:rPr>
        <w:t>ש</w:t>
      </w:r>
      <w:r w:rsidR="000932B9">
        <w:rPr>
          <w:rFonts w:hint="cs"/>
          <w:rtl/>
          <w:lang w:val="he"/>
        </w:rPr>
        <w:t xml:space="preserve">אפשר </w:t>
      </w:r>
      <w:r w:rsidR="00565291">
        <w:rPr>
          <w:rFonts w:hint="cs"/>
          <w:rtl/>
          <w:lang w:val="he"/>
        </w:rPr>
        <w:t>להצביע עליהם</w:t>
      </w:r>
      <w:r w:rsidR="00391E9C">
        <w:rPr>
          <w:rStyle w:val="FootnoteReference"/>
          <w:rtl/>
          <w:lang w:val="he"/>
        </w:rPr>
        <w:footnoteReference w:id="586"/>
      </w:r>
      <w:r w:rsidR="00CC07E9">
        <w:rPr>
          <w:rFonts w:hint="cs"/>
          <w:rtl/>
          <w:lang w:val="he"/>
        </w:rPr>
        <w:t>)</w:t>
      </w:r>
      <w:r w:rsidR="00324F13">
        <w:rPr>
          <w:rFonts w:hint="cs"/>
          <w:rtl/>
          <w:lang w:val="he"/>
        </w:rPr>
        <w:t xml:space="preserve">, </w:t>
      </w:r>
      <w:r w:rsidR="002167AF">
        <w:rPr>
          <w:rFonts w:hint="cs"/>
          <w:rtl/>
          <w:lang w:val="he"/>
        </w:rPr>
        <w:t xml:space="preserve">והתבנית </w:t>
      </w:r>
      <w:r w:rsidR="0030559C">
        <w:rPr>
          <w:rFonts w:hint="cs"/>
          <w:rtl/>
          <w:lang w:val="he"/>
        </w:rPr>
        <w:t xml:space="preserve">היא ממה שהכרחי </w:t>
      </w:r>
      <w:r w:rsidR="005660A4" w:rsidRPr="005660A4">
        <w:rPr>
          <w:rtl/>
          <w:lang w:val="he"/>
        </w:rPr>
        <w:t>לַ</w:t>
      </w:r>
      <w:r w:rsidR="000B681D">
        <w:rPr>
          <w:rFonts w:hint="cs"/>
          <w:rtl/>
          <w:lang w:val="he"/>
        </w:rPr>
        <w:t>גודל</w:t>
      </w:r>
      <w:r w:rsidR="00CC0DC7">
        <w:rPr>
          <w:rStyle w:val="FootnoteReference"/>
          <w:rtl/>
          <w:lang w:val="he"/>
        </w:rPr>
        <w:footnoteReference w:id="587"/>
      </w:r>
      <w:r w:rsidR="00650094">
        <w:rPr>
          <w:rFonts w:hint="cs"/>
          <w:rtl/>
          <w:lang w:val="he"/>
        </w:rPr>
        <w:t xml:space="preserve">, </w:t>
      </w:r>
      <w:r w:rsidR="00CD75FD">
        <w:rPr>
          <w:rFonts w:hint="cs"/>
          <w:rtl/>
          <w:lang w:val="he"/>
        </w:rPr>
        <w:t>התבנית</w:t>
      </w:r>
      <w:r w:rsidR="009946C5">
        <w:rPr>
          <w:rFonts w:hint="cs"/>
          <w:rtl/>
          <w:lang w:val="he"/>
        </w:rPr>
        <w:t xml:space="preserve"> גם היא מהמקרים של הגשם הטבעי. </w:t>
      </w:r>
    </w:p>
    <w:p w14:paraId="22CD9748" w14:textId="0350C79B" w:rsidR="00086333" w:rsidRDefault="005609D0" w:rsidP="00F6470F">
      <w:pPr>
        <w:rPr>
          <w:rtl/>
          <w:lang w:val="he"/>
        </w:rPr>
      </w:pPr>
      <w:r>
        <w:rPr>
          <w:rFonts w:hint="cs"/>
          <w:rtl/>
          <w:lang w:val="he"/>
        </w:rPr>
        <w:t>ו</w:t>
      </w:r>
      <w:r w:rsidR="00B05771">
        <w:rPr>
          <w:rFonts w:hint="cs"/>
          <w:rtl/>
          <w:lang w:val="he"/>
        </w:rPr>
        <w:t xml:space="preserve">מכיוון </w:t>
      </w:r>
      <w:r w:rsidR="001C4486">
        <w:rPr>
          <w:rFonts w:hint="cs"/>
          <w:rtl/>
          <w:lang w:val="he"/>
        </w:rPr>
        <w:t xml:space="preserve">שמושאו של </w:t>
      </w:r>
      <w:r w:rsidR="00D23F5C">
        <w:rPr>
          <w:rFonts w:hint="cs"/>
          <w:rtl/>
          <w:lang w:val="he"/>
        </w:rPr>
        <w:t xml:space="preserve">חכם </w:t>
      </w:r>
      <w:r w:rsidR="00613686">
        <w:rPr>
          <w:rFonts w:hint="cs"/>
          <w:rtl/>
          <w:lang w:val="he"/>
        </w:rPr>
        <w:t>הגיאומטרי</w:t>
      </w:r>
      <w:r w:rsidR="00D23F5C">
        <w:rPr>
          <w:rFonts w:hint="cs"/>
          <w:rtl/>
          <w:lang w:val="he"/>
        </w:rPr>
        <w:t>ה</w:t>
      </w:r>
      <w:r w:rsidR="00166B79">
        <w:rPr>
          <w:rFonts w:hint="cs"/>
          <w:rtl/>
          <w:lang w:val="he"/>
        </w:rPr>
        <w:t xml:space="preserve"> </w:t>
      </w:r>
      <w:r w:rsidR="009D52E3">
        <w:rPr>
          <w:rFonts w:hint="cs"/>
          <w:rtl/>
          <w:lang w:val="he"/>
        </w:rPr>
        <w:t>הוא ה</w:t>
      </w:r>
      <w:r w:rsidR="001C3FF7">
        <w:rPr>
          <w:rFonts w:hint="cs"/>
          <w:rtl/>
          <w:lang w:val="he"/>
        </w:rPr>
        <w:t>גודל</w:t>
      </w:r>
      <w:r w:rsidR="009D52E3">
        <w:rPr>
          <w:rFonts w:hint="cs"/>
          <w:rtl/>
          <w:lang w:val="he"/>
        </w:rPr>
        <w:t xml:space="preserve">, </w:t>
      </w:r>
      <w:r w:rsidR="001D3D16">
        <w:rPr>
          <w:rFonts w:hint="cs"/>
          <w:rtl/>
          <w:lang w:val="he"/>
        </w:rPr>
        <w:t>מושאו הוא מקרה מה</w:t>
      </w:r>
      <w:r w:rsidR="004E519A">
        <w:rPr>
          <w:rFonts w:hint="cs"/>
          <w:rtl/>
          <w:lang w:val="he"/>
        </w:rPr>
        <w:t>מ</w:t>
      </w:r>
      <w:r w:rsidR="001D3D16">
        <w:rPr>
          <w:rFonts w:hint="cs"/>
          <w:rtl/>
          <w:lang w:val="he"/>
        </w:rPr>
        <w:t>קרים</w:t>
      </w:r>
      <w:r w:rsidR="004E519A">
        <w:rPr>
          <w:rFonts w:hint="cs"/>
          <w:rtl/>
          <w:lang w:val="he"/>
        </w:rPr>
        <w:t xml:space="preserve"> הטבעיים</w:t>
      </w:r>
      <w:r w:rsidR="004466FE">
        <w:rPr>
          <w:rFonts w:hint="cs"/>
          <w:rtl/>
          <w:lang w:val="he"/>
        </w:rPr>
        <w:t>.</w:t>
      </w:r>
      <w:r w:rsidR="004E519A">
        <w:rPr>
          <w:rFonts w:hint="cs"/>
          <w:rtl/>
          <w:lang w:val="he"/>
        </w:rPr>
        <w:t xml:space="preserve"> </w:t>
      </w:r>
      <w:r w:rsidR="00F24C8F">
        <w:rPr>
          <w:rFonts w:hint="cs"/>
          <w:rtl/>
          <w:lang w:val="he"/>
        </w:rPr>
        <w:t>ו</w:t>
      </w:r>
      <w:r w:rsidR="00D46F4A">
        <w:rPr>
          <w:rFonts w:hint="cs"/>
          <w:rtl/>
          <w:lang w:val="he"/>
        </w:rPr>
        <w:t>המ</w:t>
      </w:r>
      <w:r w:rsidR="003C3047">
        <w:rPr>
          <w:rFonts w:hint="cs"/>
          <w:rtl/>
          <w:lang w:val="he"/>
        </w:rPr>
        <w:t>קרים ש</w:t>
      </w:r>
      <w:r w:rsidR="00AB62CA">
        <w:rPr>
          <w:rFonts w:hint="cs"/>
          <w:rtl/>
          <w:lang w:val="he"/>
        </w:rPr>
        <w:t xml:space="preserve">הוא </w:t>
      </w:r>
      <w:r w:rsidR="003C3047">
        <w:rPr>
          <w:rFonts w:hint="cs"/>
          <w:rtl/>
          <w:lang w:val="he"/>
        </w:rPr>
        <w:t>חו</w:t>
      </w:r>
      <w:r w:rsidR="00AB62CA">
        <w:rPr>
          <w:rFonts w:hint="cs"/>
          <w:rtl/>
          <w:lang w:val="he"/>
        </w:rPr>
        <w:t>ק</w:t>
      </w:r>
      <w:r w:rsidR="003C3047">
        <w:rPr>
          <w:rFonts w:hint="cs"/>
          <w:rtl/>
          <w:lang w:val="he"/>
        </w:rPr>
        <w:t xml:space="preserve">ר </w:t>
      </w:r>
      <w:r w:rsidR="00675C0E">
        <w:rPr>
          <w:rFonts w:hint="cs"/>
          <w:rtl/>
          <w:lang w:val="he"/>
        </w:rPr>
        <w:t xml:space="preserve">עליהם </w:t>
      </w:r>
      <w:r w:rsidR="005D15A5">
        <w:rPr>
          <w:rFonts w:hint="cs"/>
          <w:rtl/>
          <w:lang w:val="he"/>
        </w:rPr>
        <w:t xml:space="preserve">הם מהמקרים </w:t>
      </w:r>
      <w:r w:rsidR="00413615">
        <w:rPr>
          <w:rFonts w:hint="cs"/>
          <w:rtl/>
          <w:lang w:val="he"/>
        </w:rPr>
        <w:t>של מקרה זה</w:t>
      </w:r>
      <w:r w:rsidR="0022056E">
        <w:rPr>
          <w:rStyle w:val="FootnoteReference"/>
          <w:rtl/>
          <w:lang w:val="he"/>
        </w:rPr>
        <w:footnoteReference w:id="588"/>
      </w:r>
      <w:r w:rsidR="00413615">
        <w:rPr>
          <w:rFonts w:hint="cs"/>
          <w:rtl/>
          <w:lang w:val="he"/>
        </w:rPr>
        <w:t xml:space="preserve">. </w:t>
      </w:r>
    </w:p>
    <w:p w14:paraId="57E0169F" w14:textId="71722314" w:rsidR="00570EC6" w:rsidRDefault="00086333" w:rsidP="00F6470F">
      <w:pPr>
        <w:rPr>
          <w:rtl/>
          <w:lang w:val="he"/>
        </w:rPr>
      </w:pPr>
      <w:r>
        <w:rPr>
          <w:rFonts w:hint="cs"/>
          <w:rtl/>
          <w:lang w:val="he"/>
        </w:rPr>
        <w:t>בדרך זו</w:t>
      </w:r>
      <w:r w:rsidR="00420917">
        <w:rPr>
          <w:rFonts w:hint="cs"/>
          <w:rtl/>
          <w:lang w:val="he"/>
        </w:rPr>
        <w:t xml:space="preserve"> הגיאומטריה</w:t>
      </w:r>
      <w:r w:rsidR="00125190">
        <w:rPr>
          <w:rFonts w:hint="cs"/>
          <w:rtl/>
          <w:lang w:val="he"/>
        </w:rPr>
        <w:t xml:space="preserve"> </w:t>
      </w:r>
      <w:r w:rsidR="00A46322">
        <w:rPr>
          <w:rFonts w:hint="cs"/>
          <w:rtl/>
          <w:lang w:val="he"/>
        </w:rPr>
        <w:t>שייכת</w:t>
      </w:r>
      <w:r w:rsidR="00125190">
        <w:rPr>
          <w:rFonts w:hint="cs"/>
          <w:rtl/>
          <w:lang w:val="he"/>
        </w:rPr>
        <w:t xml:space="preserve">, בדרך מה, </w:t>
      </w:r>
      <w:r w:rsidR="00A46322">
        <w:rPr>
          <w:rFonts w:hint="cs"/>
          <w:rtl/>
          <w:lang w:val="he"/>
        </w:rPr>
        <w:t>ל</w:t>
      </w:r>
      <w:r w:rsidR="00B07CB4">
        <w:rPr>
          <w:rFonts w:hint="cs"/>
          <w:rtl/>
          <w:lang w:val="he"/>
        </w:rPr>
        <w:t>חכמה</w:t>
      </w:r>
      <w:r w:rsidR="00F43F02">
        <w:rPr>
          <w:rFonts w:hint="cs"/>
          <w:rtl/>
          <w:lang w:val="he"/>
        </w:rPr>
        <w:t xml:space="preserve"> הטבעי</w:t>
      </w:r>
      <w:r w:rsidR="00B07CB4">
        <w:rPr>
          <w:rFonts w:hint="cs"/>
          <w:rtl/>
          <w:lang w:val="he"/>
        </w:rPr>
        <w:t>ת</w:t>
      </w:r>
      <w:r w:rsidR="00F43F02">
        <w:rPr>
          <w:rFonts w:hint="cs"/>
          <w:rtl/>
          <w:lang w:val="he"/>
        </w:rPr>
        <w:t>.</w:t>
      </w:r>
      <w:r w:rsidR="00BD6BF2">
        <w:rPr>
          <w:rFonts w:hint="cs"/>
          <w:rtl/>
          <w:lang w:val="he"/>
        </w:rPr>
        <w:t xml:space="preserve"> על כל פנים</w:t>
      </w:r>
      <w:r w:rsidR="00A876FF">
        <w:rPr>
          <w:rFonts w:hint="cs"/>
          <w:rtl/>
          <w:lang w:val="he"/>
        </w:rPr>
        <w:t xml:space="preserve"> </w:t>
      </w:r>
      <w:r w:rsidR="00E45DAC">
        <w:rPr>
          <w:rFonts w:hint="cs"/>
          <w:rtl/>
          <w:lang w:val="he"/>
        </w:rPr>
        <w:t xml:space="preserve">הגיאומטריה הצרופה </w:t>
      </w:r>
      <w:r w:rsidR="00B71F1D">
        <w:rPr>
          <w:rFonts w:hint="cs"/>
          <w:rtl/>
          <w:lang w:val="he"/>
        </w:rPr>
        <w:t xml:space="preserve">אינה משתתפת </w:t>
      </w:r>
      <w:r w:rsidR="0048686E">
        <w:rPr>
          <w:rFonts w:hint="cs"/>
          <w:rtl/>
          <w:lang w:val="he"/>
        </w:rPr>
        <w:t xml:space="preserve">עם הטבעי </w:t>
      </w:r>
      <w:r w:rsidR="0030574C">
        <w:rPr>
          <w:rFonts w:hint="cs"/>
          <w:rtl/>
          <w:lang w:val="he"/>
        </w:rPr>
        <w:t>בשאלות</w:t>
      </w:r>
      <w:r w:rsidR="008E18D1">
        <w:rPr>
          <w:rStyle w:val="FootnoteReference"/>
          <w:rtl/>
          <w:lang w:val="he"/>
        </w:rPr>
        <w:footnoteReference w:id="589"/>
      </w:r>
      <w:r w:rsidR="0030574C">
        <w:rPr>
          <w:rFonts w:hint="cs"/>
          <w:rtl/>
          <w:lang w:val="he"/>
        </w:rPr>
        <w:t>.</w:t>
      </w:r>
    </w:p>
    <w:p w14:paraId="2FBF7111" w14:textId="30FE7827" w:rsidR="00873623" w:rsidRDefault="00570EC6" w:rsidP="000C1144">
      <w:pPr>
        <w:rPr>
          <w:rtl/>
          <w:lang w:val="he"/>
        </w:rPr>
      </w:pPr>
      <w:r>
        <w:rPr>
          <w:rFonts w:hint="cs"/>
          <w:rtl/>
          <w:lang w:val="he"/>
        </w:rPr>
        <w:t xml:space="preserve">אמנם </w:t>
      </w:r>
      <w:r w:rsidR="004B7FCD">
        <w:rPr>
          <w:rFonts w:hint="cs"/>
          <w:rtl/>
          <w:lang w:val="he"/>
        </w:rPr>
        <w:t xml:space="preserve">חכמת החשבון </w:t>
      </w:r>
      <w:r w:rsidR="00C876B8">
        <w:rPr>
          <w:rFonts w:hint="cs"/>
          <w:rtl/>
          <w:lang w:val="he"/>
        </w:rPr>
        <w:t>היא הרחוקה יותר מהשתתפות</w:t>
      </w:r>
      <w:r w:rsidR="00DE5196">
        <w:rPr>
          <w:rFonts w:hint="cs"/>
          <w:rtl/>
          <w:lang w:val="he"/>
        </w:rPr>
        <w:t xml:space="preserve"> </w:t>
      </w:r>
      <w:r w:rsidR="00287B06">
        <w:rPr>
          <w:rFonts w:hint="cs"/>
          <w:rtl/>
          <w:lang w:val="he"/>
        </w:rPr>
        <w:t>ו</w:t>
      </w:r>
      <w:r w:rsidR="00761AB5">
        <w:rPr>
          <w:rFonts w:hint="cs"/>
          <w:rtl/>
          <w:lang w:val="he"/>
        </w:rPr>
        <w:t>פשוטה</w:t>
      </w:r>
      <w:r w:rsidR="00CF2187">
        <w:rPr>
          <w:rFonts w:hint="cs"/>
          <w:rtl/>
          <w:lang w:val="he"/>
        </w:rPr>
        <w:t xml:space="preserve"> ביותר</w:t>
      </w:r>
      <w:r w:rsidR="00C26AD9">
        <w:rPr>
          <w:rStyle w:val="FootnoteReference"/>
          <w:rtl/>
          <w:lang w:val="he"/>
        </w:rPr>
        <w:footnoteReference w:id="590"/>
      </w:r>
      <w:r w:rsidR="00287B06">
        <w:rPr>
          <w:rFonts w:hint="cs"/>
          <w:rtl/>
          <w:lang w:val="he"/>
        </w:rPr>
        <w:t xml:space="preserve">. </w:t>
      </w:r>
      <w:r w:rsidR="00E129D8">
        <w:rPr>
          <w:rFonts w:hint="cs"/>
          <w:rtl/>
          <w:lang w:val="he"/>
        </w:rPr>
        <w:t xml:space="preserve">אבל </w:t>
      </w:r>
      <w:r w:rsidR="00DF029E">
        <w:rPr>
          <w:rFonts w:hint="cs"/>
          <w:rtl/>
          <w:lang w:val="he"/>
        </w:rPr>
        <w:t>ה</w:t>
      </w:r>
      <w:r w:rsidR="00B07CB4">
        <w:rPr>
          <w:rFonts w:hint="cs"/>
          <w:rtl/>
          <w:lang w:val="he"/>
        </w:rPr>
        <w:t>חכמות</w:t>
      </w:r>
      <w:r w:rsidR="00DF029E">
        <w:rPr>
          <w:rFonts w:hint="cs"/>
          <w:rtl/>
          <w:lang w:val="he"/>
        </w:rPr>
        <w:t xml:space="preserve"> האחר</w:t>
      </w:r>
      <w:r w:rsidR="00B07CB4">
        <w:rPr>
          <w:rFonts w:hint="cs"/>
          <w:rtl/>
          <w:lang w:val="he"/>
        </w:rPr>
        <w:t>ות</w:t>
      </w:r>
      <w:r w:rsidR="00DF029E">
        <w:rPr>
          <w:rFonts w:hint="cs"/>
          <w:rtl/>
          <w:lang w:val="he"/>
        </w:rPr>
        <w:t xml:space="preserve"> </w:t>
      </w:r>
      <w:r w:rsidR="00E21503">
        <w:rPr>
          <w:rFonts w:hint="cs"/>
          <w:rtl/>
          <w:lang w:val="he"/>
        </w:rPr>
        <w:t>שתחתיה</w:t>
      </w:r>
      <w:r w:rsidR="0087580F">
        <w:rPr>
          <w:rFonts w:hint="cs"/>
          <w:rtl/>
          <w:lang w:val="he"/>
        </w:rPr>
        <w:t xml:space="preserve">, </w:t>
      </w:r>
      <w:proofErr w:type="spellStart"/>
      <w:r w:rsidR="0087580F">
        <w:rPr>
          <w:rFonts w:hint="cs"/>
          <w:rtl/>
          <w:lang w:val="he"/>
        </w:rPr>
        <w:t>כ</w:t>
      </w:r>
      <w:r w:rsidR="00B07CB4">
        <w:rPr>
          <w:rFonts w:hint="cs"/>
          <w:rtl/>
          <w:lang w:val="he"/>
        </w:rPr>
        <w:t>חכמת</w:t>
      </w:r>
      <w:proofErr w:type="spellEnd"/>
      <w:r w:rsidR="0087580F">
        <w:rPr>
          <w:rFonts w:hint="cs"/>
          <w:rtl/>
          <w:lang w:val="he"/>
        </w:rPr>
        <w:t xml:space="preserve"> המשקלים</w:t>
      </w:r>
      <w:r w:rsidR="00EB3C91">
        <w:rPr>
          <w:rStyle w:val="FootnoteReference"/>
          <w:rtl/>
          <w:lang w:val="he"/>
        </w:rPr>
        <w:footnoteReference w:id="591"/>
      </w:r>
      <w:r w:rsidR="00C56F83">
        <w:rPr>
          <w:rFonts w:hint="cs"/>
          <w:rtl/>
          <w:lang w:val="he"/>
        </w:rPr>
        <w:t>, ו</w:t>
      </w:r>
      <w:r w:rsidR="00B07CB4">
        <w:rPr>
          <w:rFonts w:hint="cs"/>
          <w:rtl/>
          <w:lang w:val="he"/>
        </w:rPr>
        <w:t>חכמת</w:t>
      </w:r>
      <w:r w:rsidR="00CA0410">
        <w:rPr>
          <w:rFonts w:hint="cs"/>
          <w:rtl/>
          <w:lang w:val="he"/>
        </w:rPr>
        <w:t xml:space="preserve"> המוזיקה</w:t>
      </w:r>
      <w:r w:rsidR="00C56F83">
        <w:rPr>
          <w:rFonts w:hint="cs"/>
          <w:rtl/>
          <w:lang w:val="he"/>
        </w:rPr>
        <w:t>, ו</w:t>
      </w:r>
      <w:r w:rsidR="00B07CB4">
        <w:rPr>
          <w:rFonts w:hint="cs"/>
          <w:rtl/>
          <w:lang w:val="he"/>
        </w:rPr>
        <w:t>חכמת</w:t>
      </w:r>
      <w:r w:rsidR="00C56F83">
        <w:rPr>
          <w:rFonts w:hint="cs"/>
          <w:rtl/>
          <w:lang w:val="he"/>
        </w:rPr>
        <w:t xml:space="preserve"> </w:t>
      </w:r>
      <w:r w:rsidR="00110158">
        <w:rPr>
          <w:rFonts w:hint="cs"/>
          <w:rtl/>
          <w:lang w:val="he"/>
        </w:rPr>
        <w:t>ה</w:t>
      </w:r>
      <w:r w:rsidR="002731C9">
        <w:rPr>
          <w:rFonts w:hint="cs"/>
          <w:rtl/>
          <w:lang w:val="he"/>
        </w:rPr>
        <w:t>כדור</w:t>
      </w:r>
      <w:r w:rsidR="00110158">
        <w:rPr>
          <w:rFonts w:hint="cs"/>
          <w:rtl/>
          <w:lang w:val="he"/>
        </w:rPr>
        <w:t>ים המתנועעים</w:t>
      </w:r>
      <w:r w:rsidR="005F69A5">
        <w:rPr>
          <w:rStyle w:val="FootnoteReference"/>
          <w:rtl/>
          <w:lang w:val="he"/>
        </w:rPr>
        <w:footnoteReference w:id="592"/>
      </w:r>
      <w:r w:rsidR="00ED5288">
        <w:rPr>
          <w:rFonts w:hint="cs"/>
          <w:rtl/>
          <w:lang w:val="he"/>
        </w:rPr>
        <w:t xml:space="preserve">, </w:t>
      </w:r>
      <w:r w:rsidR="00894E1B">
        <w:rPr>
          <w:rFonts w:hint="cs"/>
          <w:rtl/>
          <w:lang w:val="he"/>
        </w:rPr>
        <w:t>ו</w:t>
      </w:r>
      <w:r w:rsidR="00B07CB4">
        <w:rPr>
          <w:rFonts w:hint="cs"/>
          <w:rtl/>
          <w:lang w:val="he"/>
        </w:rPr>
        <w:t>חכמת</w:t>
      </w:r>
      <w:r w:rsidR="00894E1B">
        <w:rPr>
          <w:rFonts w:hint="cs"/>
          <w:rtl/>
          <w:lang w:val="he"/>
        </w:rPr>
        <w:t xml:space="preserve"> האופטיקה, </w:t>
      </w:r>
      <w:r w:rsidR="004D04CE">
        <w:rPr>
          <w:rFonts w:hint="cs"/>
          <w:rtl/>
          <w:lang w:val="he"/>
        </w:rPr>
        <w:t>ו</w:t>
      </w:r>
      <w:r w:rsidR="00B07CB4">
        <w:rPr>
          <w:rFonts w:hint="cs"/>
          <w:rtl/>
          <w:lang w:val="he"/>
        </w:rPr>
        <w:t>חכמת</w:t>
      </w:r>
      <w:r w:rsidR="004D04CE">
        <w:rPr>
          <w:rFonts w:hint="cs"/>
          <w:rtl/>
          <w:lang w:val="he"/>
        </w:rPr>
        <w:t xml:space="preserve"> האסטרונומיה</w:t>
      </w:r>
      <w:r w:rsidR="000C1144">
        <w:rPr>
          <w:rFonts w:hint="cs"/>
          <w:rtl/>
          <w:lang w:val="he"/>
        </w:rPr>
        <w:t xml:space="preserve">, </w:t>
      </w:r>
      <w:r w:rsidR="00B07CB4">
        <w:rPr>
          <w:rFonts w:hint="cs"/>
          <w:rtl/>
          <w:lang w:val="he"/>
        </w:rPr>
        <w:t>חכמות</w:t>
      </w:r>
      <w:r w:rsidR="000B0F4E">
        <w:rPr>
          <w:rFonts w:hint="cs"/>
          <w:rtl/>
          <w:lang w:val="he"/>
        </w:rPr>
        <w:t xml:space="preserve"> אלה </w:t>
      </w:r>
      <w:r w:rsidR="009C713B">
        <w:rPr>
          <w:rFonts w:hint="cs"/>
          <w:rtl/>
          <w:lang w:val="he"/>
        </w:rPr>
        <w:t>קרוב</w:t>
      </w:r>
      <w:r w:rsidR="00B07CB4">
        <w:rPr>
          <w:rFonts w:hint="cs"/>
          <w:rtl/>
          <w:lang w:val="he"/>
        </w:rPr>
        <w:t>ות</w:t>
      </w:r>
      <w:r w:rsidR="009C713B">
        <w:rPr>
          <w:rFonts w:hint="cs"/>
          <w:rtl/>
          <w:lang w:val="he"/>
        </w:rPr>
        <w:t xml:space="preserve"> יותר </w:t>
      </w:r>
      <w:r w:rsidR="00654C83">
        <w:rPr>
          <w:rFonts w:hint="cs"/>
          <w:rtl/>
          <w:lang w:val="he"/>
        </w:rPr>
        <w:t>ביחס</w:t>
      </w:r>
      <w:r w:rsidR="00B07CB4">
        <w:rPr>
          <w:rFonts w:hint="cs"/>
          <w:rtl/>
          <w:lang w:val="he"/>
        </w:rPr>
        <w:t>ן</w:t>
      </w:r>
      <w:r w:rsidR="00654C83">
        <w:rPr>
          <w:rFonts w:hint="cs"/>
          <w:rtl/>
          <w:lang w:val="he"/>
        </w:rPr>
        <w:t xml:space="preserve"> אל </w:t>
      </w:r>
      <w:r w:rsidR="007C6572">
        <w:rPr>
          <w:rFonts w:hint="cs"/>
          <w:rtl/>
          <w:lang w:val="he"/>
        </w:rPr>
        <w:t xml:space="preserve">חכמת הטבע. </w:t>
      </w:r>
      <w:r w:rsidR="00B07CB4">
        <w:rPr>
          <w:rFonts w:hint="cs"/>
          <w:rtl/>
          <w:lang w:val="he"/>
        </w:rPr>
        <w:t>חכמת</w:t>
      </w:r>
      <w:r w:rsidR="00B85B8D">
        <w:rPr>
          <w:rFonts w:hint="cs"/>
          <w:rtl/>
          <w:lang w:val="he"/>
        </w:rPr>
        <w:t xml:space="preserve"> ה</w:t>
      </w:r>
      <w:r w:rsidR="00ED4CD3">
        <w:rPr>
          <w:rFonts w:hint="cs"/>
          <w:rtl/>
          <w:lang w:val="he"/>
        </w:rPr>
        <w:t>כדור</w:t>
      </w:r>
      <w:r w:rsidR="00B85B8D">
        <w:rPr>
          <w:rFonts w:hint="cs"/>
          <w:rtl/>
          <w:lang w:val="he"/>
        </w:rPr>
        <w:t xml:space="preserve">ים המתנועעים </w:t>
      </w:r>
      <w:r w:rsidR="001062BE">
        <w:rPr>
          <w:rFonts w:hint="cs"/>
          <w:rtl/>
          <w:lang w:val="he"/>
        </w:rPr>
        <w:t>ה</w:t>
      </w:r>
      <w:r w:rsidR="00B07CB4">
        <w:rPr>
          <w:rFonts w:hint="cs"/>
          <w:rtl/>
          <w:lang w:val="he"/>
        </w:rPr>
        <w:t>י</w:t>
      </w:r>
      <w:r w:rsidR="001062BE">
        <w:rPr>
          <w:rFonts w:hint="cs"/>
          <w:rtl/>
          <w:lang w:val="he"/>
        </w:rPr>
        <w:t>א הפשוט</w:t>
      </w:r>
      <w:r w:rsidR="00B07CB4">
        <w:rPr>
          <w:rFonts w:hint="cs"/>
          <w:rtl/>
          <w:lang w:val="he"/>
        </w:rPr>
        <w:t>ה</w:t>
      </w:r>
      <w:r w:rsidR="001062BE">
        <w:rPr>
          <w:rFonts w:hint="cs"/>
          <w:rtl/>
          <w:lang w:val="he"/>
        </w:rPr>
        <w:t xml:space="preserve"> ביותר, </w:t>
      </w:r>
      <w:r w:rsidR="004B641F">
        <w:rPr>
          <w:rFonts w:hint="cs"/>
          <w:rtl/>
          <w:lang w:val="he"/>
        </w:rPr>
        <w:t>והמושא של</w:t>
      </w:r>
      <w:r w:rsidR="003D7E0B">
        <w:rPr>
          <w:rFonts w:hint="cs"/>
          <w:rtl/>
          <w:lang w:val="he"/>
        </w:rPr>
        <w:t>ה</w:t>
      </w:r>
      <w:r w:rsidR="004B641F">
        <w:rPr>
          <w:rFonts w:hint="cs"/>
          <w:rtl/>
          <w:lang w:val="he"/>
        </w:rPr>
        <w:t xml:space="preserve"> </w:t>
      </w:r>
      <w:r w:rsidR="006C3209">
        <w:rPr>
          <w:rFonts w:hint="cs"/>
          <w:rtl/>
          <w:lang w:val="he"/>
        </w:rPr>
        <w:t>הוא ה</w:t>
      </w:r>
      <w:r w:rsidR="00ED4CD3">
        <w:rPr>
          <w:rFonts w:hint="cs"/>
          <w:rtl/>
          <w:lang w:val="he"/>
        </w:rPr>
        <w:t>כדור</w:t>
      </w:r>
      <w:r w:rsidR="006C3209">
        <w:rPr>
          <w:rFonts w:hint="cs"/>
          <w:rtl/>
          <w:lang w:val="he"/>
        </w:rPr>
        <w:t xml:space="preserve"> המתנועע</w:t>
      </w:r>
      <w:r w:rsidR="004D04CE">
        <w:rPr>
          <w:rFonts w:hint="cs"/>
          <w:rtl/>
          <w:lang w:val="he"/>
        </w:rPr>
        <w:t>.</w:t>
      </w:r>
      <w:r w:rsidR="00880B80">
        <w:rPr>
          <w:rFonts w:hint="cs"/>
          <w:rtl/>
          <w:lang w:val="he"/>
        </w:rPr>
        <w:t xml:space="preserve"> התנועה </w:t>
      </w:r>
      <w:r w:rsidR="00F412C4">
        <w:rPr>
          <w:rFonts w:hint="cs"/>
          <w:rtl/>
          <w:lang w:val="he"/>
        </w:rPr>
        <w:t>מתיי</w:t>
      </w:r>
      <w:r w:rsidR="00DA024E">
        <w:rPr>
          <w:rFonts w:hint="cs"/>
          <w:rtl/>
          <w:lang w:val="he"/>
        </w:rPr>
        <w:t>ח</w:t>
      </w:r>
      <w:r w:rsidR="00F412C4">
        <w:rPr>
          <w:rFonts w:hint="cs"/>
          <w:rtl/>
          <w:lang w:val="he"/>
        </w:rPr>
        <w:t>סת</w:t>
      </w:r>
      <w:r w:rsidR="009F01B4">
        <w:rPr>
          <w:rFonts w:hint="cs"/>
          <w:rtl/>
          <w:lang w:val="he"/>
        </w:rPr>
        <w:t xml:space="preserve"> </w:t>
      </w:r>
      <w:r w:rsidR="00256816">
        <w:rPr>
          <w:rFonts w:hint="cs"/>
          <w:rtl/>
          <w:lang w:val="he"/>
        </w:rPr>
        <w:t>ביותר</w:t>
      </w:r>
      <w:r w:rsidR="009F01B4">
        <w:rPr>
          <w:rFonts w:hint="cs"/>
          <w:rtl/>
          <w:lang w:val="he"/>
        </w:rPr>
        <w:t xml:space="preserve"> למידות</w:t>
      </w:r>
      <w:r w:rsidR="00BB7DB1">
        <w:rPr>
          <w:rFonts w:hint="cs"/>
          <w:rtl/>
          <w:lang w:val="he"/>
        </w:rPr>
        <w:t xml:space="preserve"> האורך</w:t>
      </w:r>
      <w:r w:rsidR="00250BB9">
        <w:rPr>
          <w:rFonts w:hint="cs"/>
          <w:rtl/>
          <w:lang w:val="he"/>
        </w:rPr>
        <w:t xml:space="preserve"> שה</w:t>
      </w:r>
      <w:r w:rsidR="00B67108">
        <w:rPr>
          <w:rFonts w:hint="cs"/>
          <w:rtl/>
          <w:lang w:val="he"/>
        </w:rPr>
        <w:t>ן המסלול שלה</w:t>
      </w:r>
      <w:r w:rsidR="00250BB9">
        <w:rPr>
          <w:rFonts w:hint="cs"/>
          <w:rtl/>
          <w:lang w:val="he"/>
        </w:rPr>
        <w:t xml:space="preserve">, </w:t>
      </w:r>
      <w:r w:rsidR="00751E11">
        <w:rPr>
          <w:rFonts w:hint="cs"/>
          <w:rtl/>
          <w:lang w:val="he"/>
        </w:rPr>
        <w:t>ואף על פי</w:t>
      </w:r>
      <w:r w:rsidR="00B67108">
        <w:rPr>
          <w:rFonts w:hint="cs"/>
          <w:rtl/>
          <w:lang w:val="he"/>
        </w:rPr>
        <w:t xml:space="preserve"> שהמסלול </w:t>
      </w:r>
      <w:r w:rsidR="000E01A1">
        <w:rPr>
          <w:rFonts w:hint="cs"/>
          <w:rtl/>
          <w:lang w:val="he"/>
        </w:rPr>
        <w:t xml:space="preserve">אינו מעצמותה אלא מסיבת </w:t>
      </w:r>
      <w:r w:rsidR="00030E74">
        <w:rPr>
          <w:rFonts w:hint="cs"/>
          <w:rtl/>
          <w:lang w:val="he"/>
        </w:rPr>
        <w:t xml:space="preserve">מרחק </w:t>
      </w:r>
      <w:r w:rsidR="00AA1782">
        <w:rPr>
          <w:rFonts w:hint="cs"/>
          <w:rtl/>
          <w:lang w:val="he"/>
        </w:rPr>
        <w:t xml:space="preserve">או </w:t>
      </w:r>
      <w:r w:rsidR="00030E74">
        <w:rPr>
          <w:rFonts w:hint="cs"/>
          <w:rtl/>
          <w:lang w:val="he"/>
        </w:rPr>
        <w:t>זמן</w:t>
      </w:r>
      <w:r w:rsidR="00EF1364">
        <w:rPr>
          <w:rFonts w:hint="cs"/>
          <w:rtl/>
          <w:lang w:val="he"/>
        </w:rPr>
        <w:t>,</w:t>
      </w:r>
      <w:r w:rsidR="00AF0E67">
        <w:rPr>
          <w:rFonts w:hint="cs"/>
          <w:rtl/>
          <w:lang w:val="he"/>
        </w:rPr>
        <w:t xml:space="preserve"> כמו שנבאר לקמן</w:t>
      </w:r>
      <w:r w:rsidR="00E91A19">
        <w:rPr>
          <w:rFonts w:hint="cs"/>
          <w:rtl/>
          <w:lang w:val="he"/>
        </w:rPr>
        <w:t>;</w:t>
      </w:r>
      <w:r w:rsidR="00B47BC3">
        <w:rPr>
          <w:rFonts w:hint="cs"/>
          <w:rtl/>
          <w:lang w:val="he"/>
        </w:rPr>
        <w:t xml:space="preserve"> לעומת זאת </w:t>
      </w:r>
      <w:r w:rsidR="00346792">
        <w:rPr>
          <w:rFonts w:hint="cs"/>
          <w:rtl/>
          <w:lang w:val="he"/>
        </w:rPr>
        <w:t xml:space="preserve">ההוכחות </w:t>
      </w:r>
      <w:r w:rsidR="004075B2">
        <w:rPr>
          <w:rFonts w:hint="cs"/>
          <w:rtl/>
          <w:lang w:val="he"/>
        </w:rPr>
        <w:t>ב</w:t>
      </w:r>
      <w:r w:rsidR="00DF28CD">
        <w:rPr>
          <w:rFonts w:hint="cs"/>
          <w:rtl/>
          <w:lang w:val="he"/>
        </w:rPr>
        <w:t>חכמת</w:t>
      </w:r>
      <w:r w:rsidR="004075B2">
        <w:rPr>
          <w:rFonts w:hint="cs"/>
          <w:rtl/>
          <w:lang w:val="he"/>
        </w:rPr>
        <w:t xml:space="preserve"> הכדורים המתנועעים </w:t>
      </w:r>
      <w:r w:rsidR="00E91A19">
        <w:rPr>
          <w:rFonts w:hint="cs"/>
          <w:rtl/>
          <w:lang w:val="he"/>
        </w:rPr>
        <w:t>אין בהן שימוש</w:t>
      </w:r>
      <w:r w:rsidR="00D76547">
        <w:rPr>
          <w:rFonts w:hint="cs"/>
          <w:rtl/>
          <w:lang w:val="he"/>
        </w:rPr>
        <w:t xml:space="preserve"> </w:t>
      </w:r>
      <w:r w:rsidR="00FD32BE">
        <w:rPr>
          <w:rFonts w:hint="cs"/>
          <w:rtl/>
          <w:lang w:val="he"/>
        </w:rPr>
        <w:t xml:space="preserve">כלל </w:t>
      </w:r>
      <w:r w:rsidR="00D76547">
        <w:rPr>
          <w:rFonts w:hint="cs"/>
          <w:rtl/>
          <w:lang w:val="he"/>
        </w:rPr>
        <w:t>בהקדמות הטבעיות.</w:t>
      </w:r>
    </w:p>
    <w:p w14:paraId="1E856F86" w14:textId="38CB4855" w:rsidR="00D25EC0" w:rsidRDefault="00873623" w:rsidP="00AC7AA7">
      <w:pPr>
        <w:rPr>
          <w:rtl/>
          <w:lang w:val="he"/>
        </w:rPr>
      </w:pPr>
      <w:r>
        <w:rPr>
          <w:rFonts w:hint="cs"/>
          <w:rtl/>
          <w:lang w:val="he"/>
        </w:rPr>
        <w:t xml:space="preserve">ואמנם </w:t>
      </w:r>
      <w:r w:rsidR="00DF28CD">
        <w:rPr>
          <w:rFonts w:hint="cs"/>
          <w:rtl/>
          <w:lang w:val="he"/>
        </w:rPr>
        <w:t>חכמת</w:t>
      </w:r>
      <w:r w:rsidR="0087386D">
        <w:rPr>
          <w:rFonts w:hint="cs"/>
          <w:rtl/>
          <w:lang w:val="he"/>
        </w:rPr>
        <w:t xml:space="preserve"> </w:t>
      </w:r>
      <w:r w:rsidR="00610848">
        <w:rPr>
          <w:rFonts w:hint="cs"/>
          <w:rtl/>
          <w:lang w:val="he"/>
        </w:rPr>
        <w:t>המוזיקה מושא</w:t>
      </w:r>
      <w:r w:rsidR="00DF28CD">
        <w:rPr>
          <w:rFonts w:hint="cs"/>
          <w:rtl/>
          <w:lang w:val="he"/>
        </w:rPr>
        <w:t>ה</w:t>
      </w:r>
      <w:r w:rsidR="00610848">
        <w:rPr>
          <w:rFonts w:hint="cs"/>
          <w:rtl/>
          <w:lang w:val="he"/>
        </w:rPr>
        <w:t xml:space="preserve"> </w:t>
      </w:r>
      <w:r w:rsidR="00E77DB7">
        <w:rPr>
          <w:rFonts w:hint="cs"/>
          <w:rtl/>
          <w:lang w:val="he"/>
        </w:rPr>
        <w:t xml:space="preserve">המנגינה </w:t>
      </w:r>
      <w:r w:rsidR="008C1F2E">
        <w:rPr>
          <w:rFonts w:hint="cs"/>
          <w:rtl/>
          <w:lang w:val="he"/>
        </w:rPr>
        <w:t xml:space="preserve">והקצב, </w:t>
      </w:r>
      <w:r w:rsidR="002D59D2">
        <w:rPr>
          <w:rFonts w:hint="cs"/>
          <w:rtl/>
          <w:lang w:val="he"/>
        </w:rPr>
        <w:t>ויש ל</w:t>
      </w:r>
      <w:r w:rsidR="00DF28CD">
        <w:rPr>
          <w:rFonts w:hint="cs"/>
          <w:rtl/>
          <w:lang w:val="he"/>
        </w:rPr>
        <w:t>ה</w:t>
      </w:r>
      <w:r w:rsidR="002D59D2">
        <w:rPr>
          <w:rFonts w:hint="cs"/>
          <w:rtl/>
          <w:lang w:val="he"/>
        </w:rPr>
        <w:t xml:space="preserve"> התחל</w:t>
      </w:r>
      <w:r w:rsidR="000F5365">
        <w:rPr>
          <w:rFonts w:hint="cs"/>
          <w:rtl/>
          <w:lang w:val="he"/>
        </w:rPr>
        <w:t xml:space="preserve">ות </w:t>
      </w:r>
      <w:r w:rsidR="00AC7AA7">
        <w:rPr>
          <w:rFonts w:hint="cs"/>
          <w:rtl/>
          <w:lang w:val="he"/>
        </w:rPr>
        <w:t>ב</w:t>
      </w:r>
      <w:r w:rsidR="00DF28CD">
        <w:rPr>
          <w:rFonts w:hint="cs"/>
          <w:rtl/>
          <w:lang w:val="he"/>
        </w:rPr>
        <w:t>חכמה</w:t>
      </w:r>
      <w:r w:rsidR="00AC7AA7">
        <w:rPr>
          <w:rFonts w:hint="cs"/>
          <w:rtl/>
          <w:lang w:val="he"/>
        </w:rPr>
        <w:t xml:space="preserve"> הטבעי</w:t>
      </w:r>
      <w:r w:rsidR="00DF28CD">
        <w:rPr>
          <w:rFonts w:hint="cs"/>
          <w:rtl/>
          <w:lang w:val="he"/>
        </w:rPr>
        <w:t>ת</w:t>
      </w:r>
      <w:r w:rsidR="00AC7AA7">
        <w:rPr>
          <w:rFonts w:hint="cs"/>
          <w:rtl/>
          <w:lang w:val="he"/>
        </w:rPr>
        <w:t xml:space="preserve"> </w:t>
      </w:r>
      <w:r w:rsidR="004A4023">
        <w:rPr>
          <w:rFonts w:hint="cs"/>
          <w:rtl/>
          <w:lang w:val="he"/>
        </w:rPr>
        <w:t>והתחלות בחכמת החשבון</w:t>
      </w:r>
      <w:r w:rsidR="00CF6DD1">
        <w:rPr>
          <w:rFonts w:hint="cs"/>
          <w:rtl/>
          <w:lang w:val="he"/>
        </w:rPr>
        <w:t>,</w:t>
      </w:r>
      <w:r w:rsidR="006A3D46">
        <w:rPr>
          <w:rFonts w:hint="cs"/>
          <w:rtl/>
          <w:lang w:val="he"/>
        </w:rPr>
        <w:t xml:space="preserve"> </w:t>
      </w:r>
      <w:r w:rsidR="001A7F7A">
        <w:rPr>
          <w:rFonts w:hint="cs"/>
          <w:rtl/>
          <w:lang w:val="he"/>
        </w:rPr>
        <w:t xml:space="preserve">וכן חכמת </w:t>
      </w:r>
      <w:r w:rsidR="00AF6DEC">
        <w:rPr>
          <w:rFonts w:hint="cs"/>
          <w:rtl/>
          <w:lang w:val="he"/>
        </w:rPr>
        <w:t>המשקלים</w:t>
      </w:r>
      <w:r w:rsidR="00881134">
        <w:rPr>
          <w:rStyle w:val="FootnoteReference"/>
          <w:rtl/>
          <w:lang w:val="he"/>
        </w:rPr>
        <w:footnoteReference w:id="593"/>
      </w:r>
      <w:r w:rsidR="00FB20F1">
        <w:rPr>
          <w:rFonts w:hint="cs"/>
          <w:rtl/>
          <w:lang w:val="he"/>
        </w:rPr>
        <w:t>.</w:t>
      </w:r>
      <w:r w:rsidR="00AF6DEC">
        <w:rPr>
          <w:rFonts w:hint="cs"/>
          <w:rtl/>
          <w:lang w:val="he"/>
        </w:rPr>
        <w:t xml:space="preserve"> וחכמת האופטיקה</w:t>
      </w:r>
      <w:r w:rsidR="00BB6794">
        <w:rPr>
          <w:rFonts w:hint="cs"/>
          <w:rtl/>
          <w:lang w:val="he"/>
        </w:rPr>
        <w:t xml:space="preserve"> גם</w:t>
      </w:r>
      <w:r w:rsidR="00AA63FC">
        <w:rPr>
          <w:rFonts w:hint="cs"/>
          <w:rtl/>
          <w:lang w:val="he"/>
        </w:rPr>
        <w:t xml:space="preserve"> היא</w:t>
      </w:r>
      <w:r w:rsidR="00BB6794">
        <w:rPr>
          <w:rFonts w:hint="cs"/>
          <w:rtl/>
          <w:lang w:val="he"/>
        </w:rPr>
        <w:t xml:space="preserve"> מושאה </w:t>
      </w:r>
      <w:r w:rsidR="00AD0DA4">
        <w:rPr>
          <w:rFonts w:hint="cs"/>
          <w:rtl/>
          <w:lang w:val="he"/>
        </w:rPr>
        <w:t xml:space="preserve">המידות המתייחסות </w:t>
      </w:r>
      <w:r w:rsidR="001978BA">
        <w:rPr>
          <w:rFonts w:hint="cs"/>
          <w:rtl/>
          <w:lang w:val="he"/>
        </w:rPr>
        <w:t>אל ה</w:t>
      </w:r>
      <w:r w:rsidR="00C0664A">
        <w:rPr>
          <w:rFonts w:hint="cs"/>
          <w:rtl/>
          <w:lang w:val="he"/>
        </w:rPr>
        <w:t>נקודה</w:t>
      </w:r>
      <w:r w:rsidR="003E182A">
        <w:rPr>
          <w:rFonts w:hint="cs"/>
          <w:rtl/>
          <w:lang w:val="he"/>
        </w:rPr>
        <w:t xml:space="preserve"> שממנ</w:t>
      </w:r>
      <w:r w:rsidR="00C0664A">
        <w:rPr>
          <w:rFonts w:hint="cs"/>
          <w:rtl/>
          <w:lang w:val="he"/>
        </w:rPr>
        <w:t>ה</w:t>
      </w:r>
      <w:r w:rsidR="003E182A">
        <w:rPr>
          <w:rFonts w:hint="cs"/>
          <w:rtl/>
          <w:lang w:val="he"/>
        </w:rPr>
        <w:t xml:space="preserve"> הראייה</w:t>
      </w:r>
      <w:r w:rsidR="001978BA">
        <w:rPr>
          <w:rFonts w:hint="cs"/>
          <w:rtl/>
          <w:lang w:val="he"/>
        </w:rPr>
        <w:t xml:space="preserve">, </w:t>
      </w:r>
      <w:r w:rsidR="00C32313">
        <w:rPr>
          <w:rFonts w:hint="cs"/>
          <w:rtl/>
          <w:lang w:val="he"/>
        </w:rPr>
        <w:t xml:space="preserve">ולה התחלות </w:t>
      </w:r>
      <w:proofErr w:type="spellStart"/>
      <w:r w:rsidR="003945AF">
        <w:rPr>
          <w:rFonts w:hint="cs"/>
          <w:rtl/>
          <w:lang w:val="he"/>
        </w:rPr>
        <w:t>מחכמת</w:t>
      </w:r>
      <w:proofErr w:type="spellEnd"/>
      <w:r w:rsidR="003945AF">
        <w:rPr>
          <w:rFonts w:hint="cs"/>
          <w:rtl/>
          <w:lang w:val="he"/>
        </w:rPr>
        <w:t xml:space="preserve"> הטבע ומן הגיאומטריה.</w:t>
      </w:r>
    </w:p>
    <w:p w14:paraId="588DB36F" w14:textId="53388169" w:rsidR="006F0B8D" w:rsidRDefault="00130161" w:rsidP="00AF63E4">
      <w:pPr>
        <w:rPr>
          <w:rtl/>
          <w:lang w:val="he"/>
        </w:rPr>
      </w:pPr>
      <w:r>
        <w:rPr>
          <w:rFonts w:hint="cs"/>
          <w:rtl/>
          <w:lang w:val="he"/>
        </w:rPr>
        <w:t xml:space="preserve">וחכמות אלה </w:t>
      </w:r>
      <w:r w:rsidR="00556B7A">
        <w:rPr>
          <w:rFonts w:hint="cs"/>
          <w:rtl/>
          <w:lang w:val="he"/>
        </w:rPr>
        <w:t xml:space="preserve">כולן </w:t>
      </w:r>
      <w:r w:rsidR="00712DB3">
        <w:rPr>
          <w:rFonts w:hint="cs"/>
          <w:rtl/>
          <w:lang w:val="he"/>
        </w:rPr>
        <w:t xml:space="preserve">לא </w:t>
      </w:r>
      <w:r w:rsidR="00D07341">
        <w:rPr>
          <w:rFonts w:hint="cs"/>
          <w:rtl/>
          <w:lang w:val="he"/>
        </w:rPr>
        <w:t>משתתפות</w:t>
      </w:r>
      <w:r w:rsidR="005775AE">
        <w:rPr>
          <w:rFonts w:hint="cs"/>
          <w:rtl/>
          <w:lang w:val="he"/>
        </w:rPr>
        <w:t xml:space="preserve"> </w:t>
      </w:r>
      <w:r w:rsidR="00556B7A">
        <w:rPr>
          <w:rFonts w:hint="cs"/>
          <w:rtl/>
          <w:lang w:val="he"/>
        </w:rPr>
        <w:t xml:space="preserve">בשאלות </w:t>
      </w:r>
      <w:r w:rsidR="00176A9B">
        <w:rPr>
          <w:rFonts w:hint="cs"/>
          <w:rtl/>
          <w:lang w:val="he"/>
        </w:rPr>
        <w:t xml:space="preserve">חכמת הטבע כלל, </w:t>
      </w:r>
      <w:r w:rsidR="00D07341">
        <w:rPr>
          <w:rFonts w:hint="cs"/>
          <w:rtl/>
          <w:lang w:val="he"/>
        </w:rPr>
        <w:t xml:space="preserve">וכולן </w:t>
      </w:r>
      <w:r w:rsidR="00480529">
        <w:rPr>
          <w:rFonts w:hint="cs"/>
          <w:rtl/>
          <w:lang w:val="he"/>
        </w:rPr>
        <w:t>מ</w:t>
      </w:r>
      <w:r w:rsidR="006768BD">
        <w:rPr>
          <w:rFonts w:hint="cs"/>
          <w:rtl/>
          <w:lang w:val="he"/>
        </w:rPr>
        <w:t>סתכל</w:t>
      </w:r>
      <w:r w:rsidR="00480529">
        <w:rPr>
          <w:rFonts w:hint="cs"/>
          <w:rtl/>
          <w:lang w:val="he"/>
        </w:rPr>
        <w:t xml:space="preserve">ות </w:t>
      </w:r>
      <w:r w:rsidR="0065037D">
        <w:rPr>
          <w:rFonts w:hint="cs"/>
          <w:rtl/>
          <w:lang w:val="he"/>
        </w:rPr>
        <w:t xml:space="preserve">בדברים שלהן </w:t>
      </w:r>
      <w:r w:rsidR="00CE131F">
        <w:rPr>
          <w:rFonts w:hint="cs"/>
          <w:rtl/>
          <w:lang w:val="he"/>
        </w:rPr>
        <w:t xml:space="preserve">מצד שהם ישים כמותיים, </w:t>
      </w:r>
      <w:r w:rsidR="00C90CA3">
        <w:rPr>
          <w:rFonts w:hint="cs"/>
          <w:rtl/>
          <w:lang w:val="he"/>
        </w:rPr>
        <w:t xml:space="preserve">ומצד </w:t>
      </w:r>
      <w:r w:rsidR="00D25986">
        <w:rPr>
          <w:rFonts w:hint="cs"/>
          <w:rtl/>
          <w:lang w:val="he"/>
        </w:rPr>
        <w:t>שיש להם מקרים כמותיים</w:t>
      </w:r>
      <w:r w:rsidR="004B3E43">
        <w:rPr>
          <w:rFonts w:hint="cs"/>
          <w:rtl/>
          <w:lang w:val="he"/>
        </w:rPr>
        <w:t>,</w:t>
      </w:r>
      <w:r w:rsidR="00D25986">
        <w:rPr>
          <w:rFonts w:hint="cs"/>
          <w:rtl/>
          <w:lang w:val="he"/>
        </w:rPr>
        <w:t xml:space="preserve"> </w:t>
      </w:r>
      <w:r w:rsidR="00800ADE">
        <w:rPr>
          <w:rFonts w:hint="cs"/>
          <w:rtl/>
          <w:lang w:val="he"/>
        </w:rPr>
        <w:t>ש</w:t>
      </w:r>
      <w:r w:rsidR="00600AE3">
        <w:rPr>
          <w:rFonts w:hint="cs"/>
          <w:rtl/>
          <w:lang w:val="he"/>
        </w:rPr>
        <w:t>אינ</w:t>
      </w:r>
      <w:r w:rsidR="00800ADE">
        <w:rPr>
          <w:rFonts w:hint="cs"/>
          <w:rtl/>
          <w:lang w:val="he"/>
        </w:rPr>
        <w:t>ם</w:t>
      </w:r>
      <w:r w:rsidR="00600AE3">
        <w:rPr>
          <w:rFonts w:hint="cs"/>
          <w:rtl/>
          <w:lang w:val="he"/>
        </w:rPr>
        <w:t xml:space="preserve"> מחי</w:t>
      </w:r>
      <w:r w:rsidR="004B3E43">
        <w:rPr>
          <w:rFonts w:hint="cs"/>
          <w:rtl/>
          <w:lang w:val="he"/>
        </w:rPr>
        <w:t>יב</w:t>
      </w:r>
      <w:r w:rsidR="00800ADE">
        <w:rPr>
          <w:rFonts w:hint="cs"/>
          <w:rtl/>
          <w:lang w:val="he"/>
        </w:rPr>
        <w:t>ים</w:t>
      </w:r>
      <w:r w:rsidR="00600AE3">
        <w:rPr>
          <w:rFonts w:hint="cs"/>
          <w:rtl/>
          <w:lang w:val="he"/>
        </w:rPr>
        <w:t xml:space="preserve"> </w:t>
      </w:r>
      <w:r w:rsidR="00C44CFA">
        <w:rPr>
          <w:rFonts w:hint="cs"/>
          <w:rtl/>
          <w:lang w:val="he"/>
        </w:rPr>
        <w:t>להבין את ה</w:t>
      </w:r>
      <w:r w:rsidR="007B059F">
        <w:rPr>
          <w:rFonts w:hint="cs"/>
          <w:rtl/>
          <w:lang w:val="he"/>
        </w:rPr>
        <w:t>תופעות</w:t>
      </w:r>
      <w:r w:rsidR="00C44CFA">
        <w:rPr>
          <w:rFonts w:hint="cs"/>
          <w:rtl/>
          <w:lang w:val="he"/>
        </w:rPr>
        <w:t xml:space="preserve"> </w:t>
      </w:r>
      <w:r w:rsidR="00444152">
        <w:rPr>
          <w:rFonts w:hint="cs"/>
          <w:rtl/>
          <w:lang w:val="he"/>
        </w:rPr>
        <w:t>הכמותי</w:t>
      </w:r>
      <w:r w:rsidR="007B059F">
        <w:rPr>
          <w:rFonts w:hint="cs"/>
          <w:rtl/>
          <w:lang w:val="he"/>
        </w:rPr>
        <w:t>ות</w:t>
      </w:r>
      <w:r w:rsidR="00444152">
        <w:rPr>
          <w:rFonts w:hint="cs"/>
          <w:rtl/>
          <w:lang w:val="he"/>
        </w:rPr>
        <w:t xml:space="preserve"> </w:t>
      </w:r>
      <w:r w:rsidR="00C44CFA">
        <w:rPr>
          <w:rFonts w:hint="cs"/>
          <w:rtl/>
          <w:lang w:val="he"/>
        </w:rPr>
        <w:t>שלה</w:t>
      </w:r>
      <w:r w:rsidR="009F208C">
        <w:rPr>
          <w:rFonts w:hint="cs"/>
          <w:rtl/>
          <w:lang w:val="he"/>
        </w:rPr>
        <w:t xml:space="preserve">ם </w:t>
      </w:r>
      <w:r w:rsidR="006640BE">
        <w:rPr>
          <w:rFonts w:hint="cs"/>
          <w:rtl/>
          <w:lang w:val="he"/>
        </w:rPr>
        <w:t xml:space="preserve">כגשם טבעי </w:t>
      </w:r>
      <w:r w:rsidR="00107D5C">
        <w:rPr>
          <w:rFonts w:hint="cs"/>
          <w:rtl/>
          <w:lang w:val="he"/>
        </w:rPr>
        <w:t xml:space="preserve">שיש בו התחלת תנועה ומנוחה </w:t>
      </w:r>
      <w:r w:rsidR="00747436">
        <w:rPr>
          <w:rFonts w:hint="cs"/>
          <w:rtl/>
          <w:lang w:val="he"/>
        </w:rPr>
        <w:t>ואין לה</w:t>
      </w:r>
      <w:r w:rsidR="00F30918">
        <w:rPr>
          <w:rFonts w:hint="cs"/>
          <w:rtl/>
          <w:lang w:val="he"/>
        </w:rPr>
        <w:t>ן</w:t>
      </w:r>
      <w:r w:rsidR="00747436">
        <w:rPr>
          <w:rFonts w:hint="cs"/>
          <w:rtl/>
          <w:lang w:val="he"/>
        </w:rPr>
        <w:t xml:space="preserve"> צורך בזה. </w:t>
      </w:r>
    </w:p>
    <w:p w14:paraId="34A91176" w14:textId="69FABB76" w:rsidR="00CC1F9D" w:rsidRDefault="00E40AB1" w:rsidP="003266A1">
      <w:pPr>
        <w:pStyle w:val="Heading4"/>
        <w:rPr>
          <w:rtl/>
          <w:lang w:val="he"/>
        </w:rPr>
      </w:pPr>
      <w:bookmarkStart w:id="278" w:name="_Toc119092679"/>
      <w:r>
        <w:rPr>
          <w:rFonts w:hint="cs"/>
          <w:rtl/>
          <w:lang w:val="he"/>
        </w:rPr>
        <w:t>1.8.2</w:t>
      </w:r>
      <w:bookmarkEnd w:id="278"/>
    </w:p>
    <w:p w14:paraId="5727FAE7" w14:textId="45F6E156" w:rsidR="007E41A0" w:rsidRDefault="009B5EA4" w:rsidP="00043885">
      <w:pPr>
        <w:rPr>
          <w:rtl/>
          <w:lang w:val="he"/>
        </w:rPr>
      </w:pPr>
      <w:r>
        <w:rPr>
          <w:rFonts w:hint="cs"/>
          <w:rtl/>
          <w:lang w:val="he"/>
        </w:rPr>
        <w:t xml:space="preserve">ואמנם </w:t>
      </w:r>
      <w:r w:rsidR="00326372">
        <w:rPr>
          <w:rFonts w:hint="cs"/>
          <w:rtl/>
          <w:lang w:val="he"/>
        </w:rPr>
        <w:t>המושא של האסטרו</w:t>
      </w:r>
      <w:r w:rsidR="00326372" w:rsidRPr="002D3CAA">
        <w:rPr>
          <w:rFonts w:hint="cs"/>
          <w:rtl/>
          <w:lang w:val="he"/>
        </w:rPr>
        <w:t>נו</w:t>
      </w:r>
      <w:r w:rsidR="00326372">
        <w:rPr>
          <w:rFonts w:hint="cs"/>
          <w:rtl/>
          <w:lang w:val="he"/>
        </w:rPr>
        <w:t>מיה</w:t>
      </w:r>
      <w:r w:rsidR="00A05711">
        <w:rPr>
          <w:rFonts w:hint="cs"/>
          <w:rtl/>
          <w:lang w:val="he"/>
        </w:rPr>
        <w:t xml:space="preserve"> </w:t>
      </w:r>
      <w:r w:rsidR="00543374">
        <w:rPr>
          <w:rFonts w:hint="cs"/>
          <w:rtl/>
          <w:lang w:val="he"/>
        </w:rPr>
        <w:t xml:space="preserve">הוא החלק הנכבד </w:t>
      </w:r>
      <w:r w:rsidR="00A35A47">
        <w:rPr>
          <w:rFonts w:hint="cs"/>
          <w:rtl/>
          <w:lang w:val="he"/>
        </w:rPr>
        <w:t xml:space="preserve">ממושא החכמה הטבעית, </w:t>
      </w:r>
      <w:r w:rsidR="00E56534">
        <w:rPr>
          <w:rFonts w:hint="cs"/>
          <w:rtl/>
          <w:lang w:val="he"/>
        </w:rPr>
        <w:t>והתחלות</w:t>
      </w:r>
      <w:r w:rsidR="008B1C8B">
        <w:rPr>
          <w:rFonts w:hint="cs"/>
          <w:rtl/>
          <w:lang w:val="he"/>
        </w:rPr>
        <w:t xml:space="preserve">יו טבעיות וגיאומטריות. </w:t>
      </w:r>
      <w:r w:rsidR="000A6454">
        <w:rPr>
          <w:rFonts w:hint="cs"/>
          <w:rtl/>
          <w:lang w:val="he"/>
        </w:rPr>
        <w:t>אמנם הטבעיות הן</w:t>
      </w:r>
      <w:r w:rsidR="00BF65FA">
        <w:rPr>
          <w:rFonts w:hint="cs"/>
          <w:rtl/>
          <w:lang w:val="he"/>
        </w:rPr>
        <w:t xml:space="preserve"> </w:t>
      </w:r>
      <w:r w:rsidR="00093E25">
        <w:rPr>
          <w:rFonts w:hint="cs"/>
          <w:rtl/>
          <w:lang w:val="he"/>
        </w:rPr>
        <w:t xml:space="preserve">למשל תנועות גרמי השמיים, </w:t>
      </w:r>
      <w:r w:rsidR="009A2175">
        <w:rPr>
          <w:rFonts w:hint="cs"/>
          <w:rtl/>
          <w:lang w:val="he"/>
        </w:rPr>
        <w:t xml:space="preserve">שבהכרח הן תחת הנהגה אחת, </w:t>
      </w:r>
      <w:r w:rsidR="00983926">
        <w:rPr>
          <w:rFonts w:hint="cs"/>
          <w:rtl/>
          <w:lang w:val="he"/>
        </w:rPr>
        <w:t>ודברים כ</w:t>
      </w:r>
      <w:r w:rsidR="00D245D2">
        <w:rPr>
          <w:rFonts w:hint="cs"/>
          <w:rtl/>
          <w:lang w:val="he"/>
        </w:rPr>
        <w:t>עין</w:t>
      </w:r>
      <w:r w:rsidR="00983926">
        <w:rPr>
          <w:rFonts w:hint="cs"/>
          <w:rtl/>
          <w:lang w:val="he"/>
        </w:rPr>
        <w:t xml:space="preserve"> זה </w:t>
      </w:r>
      <w:r w:rsidR="00274E4F">
        <w:rPr>
          <w:rFonts w:hint="cs"/>
          <w:rtl/>
          <w:lang w:val="he"/>
        </w:rPr>
        <w:t xml:space="preserve">שהספר </w:t>
      </w:r>
      <w:proofErr w:type="spellStart"/>
      <w:r w:rsidR="00274E4F">
        <w:rPr>
          <w:rFonts w:hint="cs"/>
          <w:rtl/>
          <w:lang w:val="he"/>
        </w:rPr>
        <w:t>אלמג</w:t>
      </w:r>
      <w:r w:rsidR="00F228D4">
        <w:rPr>
          <w:rFonts w:hint="cs"/>
          <w:rtl/>
          <w:lang w:val="he"/>
        </w:rPr>
        <w:t>'</w:t>
      </w:r>
      <w:r w:rsidR="00274E4F">
        <w:rPr>
          <w:rFonts w:hint="cs"/>
          <w:rtl/>
          <w:lang w:val="he"/>
        </w:rPr>
        <w:t>סט</w:t>
      </w:r>
      <w:r w:rsidR="00927DB4">
        <w:rPr>
          <w:rFonts w:hint="cs"/>
          <w:rtl/>
          <w:lang w:val="he"/>
        </w:rPr>
        <w:t>י</w:t>
      </w:r>
      <w:proofErr w:type="spellEnd"/>
      <w:r w:rsidR="00F228D4">
        <w:rPr>
          <w:rStyle w:val="FootnoteReference"/>
          <w:rtl/>
          <w:lang w:val="he"/>
        </w:rPr>
        <w:footnoteReference w:id="594"/>
      </w:r>
      <w:r w:rsidR="00274E4F">
        <w:rPr>
          <w:rFonts w:hint="cs"/>
          <w:rtl/>
          <w:lang w:val="he"/>
        </w:rPr>
        <w:t xml:space="preserve"> עוסק בהם הרבה</w:t>
      </w:r>
      <w:r w:rsidR="00864B79">
        <w:rPr>
          <w:rFonts w:hint="cs"/>
          <w:rtl/>
          <w:lang w:val="he"/>
        </w:rPr>
        <w:t xml:space="preserve"> בהתחלתו</w:t>
      </w:r>
      <w:r w:rsidR="00274E4F">
        <w:rPr>
          <w:rFonts w:hint="cs"/>
          <w:rtl/>
          <w:lang w:val="he"/>
        </w:rPr>
        <w:t>.</w:t>
      </w:r>
      <w:r w:rsidR="00043885">
        <w:rPr>
          <w:rFonts w:hint="cs"/>
          <w:rtl/>
          <w:lang w:val="he"/>
        </w:rPr>
        <w:t xml:space="preserve"> </w:t>
      </w:r>
      <w:r w:rsidR="00E20825">
        <w:rPr>
          <w:rFonts w:hint="cs"/>
          <w:rtl/>
          <w:lang w:val="he"/>
        </w:rPr>
        <w:t>ואמנם</w:t>
      </w:r>
      <w:r w:rsidR="009971FF">
        <w:rPr>
          <w:rStyle w:val="FootnoteReference"/>
          <w:rtl/>
          <w:lang w:val="he"/>
        </w:rPr>
        <w:footnoteReference w:id="595"/>
      </w:r>
      <w:r w:rsidR="00E20825">
        <w:rPr>
          <w:rFonts w:hint="cs"/>
          <w:rtl/>
          <w:lang w:val="he"/>
        </w:rPr>
        <w:t xml:space="preserve"> הגיאומטרי</w:t>
      </w:r>
      <w:r w:rsidR="002F5888">
        <w:rPr>
          <w:rFonts w:hint="cs"/>
          <w:rtl/>
          <w:lang w:val="he"/>
        </w:rPr>
        <w:t>ות</w:t>
      </w:r>
      <w:r w:rsidR="00D171DC">
        <w:rPr>
          <w:rFonts w:hint="cs"/>
          <w:rtl/>
          <w:lang w:val="he"/>
        </w:rPr>
        <w:t xml:space="preserve"> </w:t>
      </w:r>
      <w:r w:rsidR="00786A69">
        <w:rPr>
          <w:rFonts w:hint="cs"/>
          <w:rtl/>
          <w:lang w:val="he"/>
        </w:rPr>
        <w:t xml:space="preserve">הן דבר </w:t>
      </w:r>
      <w:r w:rsidR="00983863">
        <w:rPr>
          <w:rFonts w:hint="cs"/>
          <w:rtl/>
          <w:lang w:val="he"/>
        </w:rPr>
        <w:t>ידוע</w:t>
      </w:r>
      <w:r w:rsidR="007E41A0">
        <w:rPr>
          <w:rFonts w:hint="cs"/>
          <w:rtl/>
          <w:lang w:val="he"/>
        </w:rPr>
        <w:t>.</w:t>
      </w:r>
    </w:p>
    <w:p w14:paraId="5940740A" w14:textId="37C9E4AA" w:rsidR="00E40AB1" w:rsidRDefault="00ED54A0" w:rsidP="00043885">
      <w:pPr>
        <w:rPr>
          <w:rtl/>
          <w:lang w:val="he"/>
        </w:rPr>
      </w:pPr>
      <w:r>
        <w:rPr>
          <w:rFonts w:hint="cs"/>
          <w:rtl/>
          <w:lang w:val="he"/>
        </w:rPr>
        <w:t>ו[האסטרונומיה] שונה משאר חכמות אלה</w:t>
      </w:r>
      <w:r w:rsidR="000A696E">
        <w:rPr>
          <w:rFonts w:hint="cs"/>
          <w:rtl/>
          <w:lang w:val="he"/>
        </w:rPr>
        <w:t xml:space="preserve"> במה שהיא משתתפת עם החכמה הטבעית </w:t>
      </w:r>
      <w:r w:rsidR="009F6DB4">
        <w:rPr>
          <w:rFonts w:hint="cs"/>
          <w:rtl/>
          <w:lang w:val="he"/>
        </w:rPr>
        <w:t>גם בשאלות,</w:t>
      </w:r>
      <w:r w:rsidR="000E115D">
        <w:rPr>
          <w:rFonts w:hint="cs"/>
          <w:rtl/>
          <w:lang w:val="he"/>
        </w:rPr>
        <w:t xml:space="preserve"> והמושא של השאלות </w:t>
      </w:r>
      <w:r w:rsidR="00AA6249">
        <w:rPr>
          <w:rFonts w:hint="cs"/>
          <w:rtl/>
          <w:lang w:val="he"/>
        </w:rPr>
        <w:t xml:space="preserve">שלה </w:t>
      </w:r>
      <w:r w:rsidR="00732C58">
        <w:rPr>
          <w:rFonts w:hint="cs"/>
          <w:rtl/>
          <w:lang w:val="he"/>
        </w:rPr>
        <w:t xml:space="preserve">הוא דבר </w:t>
      </w:r>
      <w:r w:rsidR="00AA6249">
        <w:rPr>
          <w:rFonts w:hint="cs"/>
          <w:rtl/>
          <w:lang w:val="he"/>
        </w:rPr>
        <w:t>ממושאי</w:t>
      </w:r>
      <w:r w:rsidR="00DC7D89">
        <w:rPr>
          <w:rFonts w:hint="cs"/>
          <w:rtl/>
          <w:lang w:val="he"/>
        </w:rPr>
        <w:t xml:space="preserve"> השאלות </w:t>
      </w:r>
      <w:r w:rsidR="00CF47D8">
        <w:rPr>
          <w:rFonts w:hint="cs"/>
          <w:rtl/>
          <w:lang w:val="he"/>
        </w:rPr>
        <w:t>של חכמת הטבע</w:t>
      </w:r>
      <w:r w:rsidR="00702386">
        <w:rPr>
          <w:rFonts w:hint="cs"/>
          <w:rtl/>
          <w:lang w:val="he"/>
        </w:rPr>
        <w:t>.</w:t>
      </w:r>
      <w:r w:rsidR="001678F6">
        <w:rPr>
          <w:rFonts w:hint="cs"/>
          <w:rtl/>
          <w:lang w:val="he"/>
        </w:rPr>
        <w:t xml:space="preserve"> ו</w:t>
      </w:r>
      <w:r w:rsidR="00035193">
        <w:rPr>
          <w:rFonts w:hint="cs"/>
          <w:rtl/>
          <w:lang w:val="he"/>
        </w:rPr>
        <w:t>ה</w:t>
      </w:r>
      <w:r w:rsidR="00C07358">
        <w:rPr>
          <w:rFonts w:hint="cs"/>
          <w:rtl/>
          <w:lang w:val="he"/>
        </w:rPr>
        <w:t>מאופיין</w:t>
      </w:r>
      <w:r w:rsidR="00596691">
        <w:rPr>
          <w:rStyle w:val="FootnoteReference"/>
          <w:rtl/>
          <w:lang w:val="he"/>
        </w:rPr>
        <w:footnoteReference w:id="596"/>
      </w:r>
      <w:r w:rsidR="00281258">
        <w:rPr>
          <w:rFonts w:hint="cs"/>
          <w:rtl/>
          <w:lang w:val="he"/>
        </w:rPr>
        <w:t xml:space="preserve"> בה</w:t>
      </w:r>
      <w:r w:rsidR="00D86E2F">
        <w:rPr>
          <w:rFonts w:hint="cs"/>
          <w:rtl/>
          <w:lang w:val="he"/>
        </w:rPr>
        <w:t xml:space="preserve"> [באסטרונומיה]</w:t>
      </w:r>
      <w:r w:rsidR="00281258">
        <w:rPr>
          <w:rFonts w:hint="cs"/>
          <w:rtl/>
          <w:lang w:val="he"/>
        </w:rPr>
        <w:t xml:space="preserve"> </w:t>
      </w:r>
      <w:r w:rsidR="00035193">
        <w:rPr>
          <w:rFonts w:hint="cs"/>
          <w:rtl/>
          <w:lang w:val="he"/>
        </w:rPr>
        <w:t xml:space="preserve">הוא </w:t>
      </w:r>
      <w:r w:rsidR="00281258">
        <w:rPr>
          <w:rFonts w:hint="cs"/>
          <w:rtl/>
          <w:lang w:val="he"/>
        </w:rPr>
        <w:t xml:space="preserve">גם </w:t>
      </w:r>
      <w:r w:rsidR="00C07358">
        <w:rPr>
          <w:rFonts w:hint="cs"/>
          <w:rtl/>
          <w:lang w:val="he"/>
        </w:rPr>
        <w:t xml:space="preserve">מקרה מהמקרים </w:t>
      </w:r>
      <w:r w:rsidR="00E43237">
        <w:rPr>
          <w:rFonts w:hint="cs"/>
          <w:rtl/>
          <w:lang w:val="he"/>
        </w:rPr>
        <w:t xml:space="preserve">של הגשם הטבעי, </w:t>
      </w:r>
      <w:r w:rsidR="0022046C">
        <w:rPr>
          <w:rFonts w:hint="cs"/>
          <w:rtl/>
          <w:lang w:val="he"/>
        </w:rPr>
        <w:t>ו</w:t>
      </w:r>
      <w:r w:rsidR="007F54BB">
        <w:rPr>
          <w:rFonts w:hint="cs"/>
          <w:rtl/>
          <w:lang w:val="he"/>
        </w:rPr>
        <w:t xml:space="preserve">הוא </w:t>
      </w:r>
      <w:r w:rsidR="0022046C">
        <w:rPr>
          <w:rFonts w:hint="cs"/>
          <w:rtl/>
          <w:lang w:val="he"/>
        </w:rPr>
        <w:t>מאופיין ב</w:t>
      </w:r>
      <w:r w:rsidR="00383022">
        <w:rPr>
          <w:rFonts w:hint="cs"/>
          <w:rtl/>
          <w:lang w:val="he"/>
        </w:rPr>
        <w:t xml:space="preserve">שאלות של </w:t>
      </w:r>
      <w:r w:rsidR="00C526F1">
        <w:rPr>
          <w:rFonts w:hint="cs"/>
          <w:rtl/>
          <w:lang w:val="he"/>
        </w:rPr>
        <w:t>חכמת הטבע.</w:t>
      </w:r>
      <w:r w:rsidR="008266CD">
        <w:rPr>
          <w:rFonts w:hint="cs"/>
          <w:rtl/>
          <w:lang w:val="he"/>
        </w:rPr>
        <w:t xml:space="preserve"> למשל </w:t>
      </w:r>
      <w:r w:rsidR="00A64787">
        <w:rPr>
          <w:rFonts w:hint="cs"/>
          <w:rtl/>
          <w:lang w:val="he"/>
        </w:rPr>
        <w:t xml:space="preserve">היות הארץ כדורית והשמיים כדוריים </w:t>
      </w:r>
      <w:r w:rsidR="00285BB5">
        <w:rPr>
          <w:rFonts w:hint="cs"/>
          <w:rtl/>
          <w:lang w:val="he"/>
        </w:rPr>
        <w:t>ומה שדומה לזה.</w:t>
      </w:r>
    </w:p>
    <w:p w14:paraId="131E72D1" w14:textId="793C107D" w:rsidR="00951EA8" w:rsidRDefault="00A305F4" w:rsidP="00043885">
      <w:pPr>
        <w:rPr>
          <w:lang w:val="he"/>
        </w:rPr>
      </w:pPr>
      <w:r>
        <w:rPr>
          <w:rFonts w:hint="cs"/>
          <w:rtl/>
          <w:lang w:val="he"/>
        </w:rPr>
        <w:t xml:space="preserve">כך </w:t>
      </w:r>
      <w:r w:rsidR="002B267F">
        <w:rPr>
          <w:rFonts w:hint="cs"/>
          <w:rtl/>
          <w:lang w:val="he"/>
        </w:rPr>
        <w:t xml:space="preserve">שחכמה זו </w:t>
      </w:r>
      <w:r w:rsidR="0001794A">
        <w:rPr>
          <w:rFonts w:hint="cs"/>
          <w:rtl/>
          <w:lang w:val="he"/>
        </w:rPr>
        <w:t>היא עירוב מ</w:t>
      </w:r>
      <w:r w:rsidR="00FE3A64">
        <w:rPr>
          <w:rFonts w:hint="cs"/>
          <w:rtl/>
          <w:lang w:val="he"/>
        </w:rPr>
        <w:t>הטבעי ו</w:t>
      </w:r>
      <w:r w:rsidR="0001794A">
        <w:rPr>
          <w:rFonts w:hint="cs"/>
          <w:rtl/>
          <w:lang w:val="he"/>
        </w:rPr>
        <w:t>מ</w:t>
      </w:r>
      <w:r w:rsidR="00FE3A64">
        <w:rPr>
          <w:rFonts w:hint="cs"/>
          <w:rtl/>
          <w:lang w:val="he"/>
        </w:rPr>
        <w:t>ה</w:t>
      </w:r>
      <w:r w:rsidR="00837434">
        <w:rPr>
          <w:rFonts w:hint="cs"/>
          <w:rtl/>
          <w:lang w:val="he"/>
        </w:rPr>
        <w:t>מתמטי</w:t>
      </w:r>
      <w:r w:rsidR="00323911">
        <w:rPr>
          <w:rFonts w:hint="cs"/>
          <w:rtl/>
          <w:lang w:val="he"/>
        </w:rPr>
        <w:t xml:space="preserve">, </w:t>
      </w:r>
      <w:r w:rsidR="00C115DC">
        <w:rPr>
          <w:rFonts w:hint="cs"/>
          <w:rtl/>
          <w:lang w:val="he"/>
        </w:rPr>
        <w:t>והמתמטי</w:t>
      </w:r>
      <w:r w:rsidR="00EF1670">
        <w:rPr>
          <w:rFonts w:hint="cs"/>
          <w:rtl/>
          <w:lang w:val="he"/>
        </w:rPr>
        <w:t xml:space="preserve"> </w:t>
      </w:r>
      <w:r w:rsidR="0053363B">
        <w:rPr>
          <w:rFonts w:hint="cs"/>
          <w:rtl/>
          <w:lang w:val="he"/>
        </w:rPr>
        <w:t xml:space="preserve">הטהור הוא </w:t>
      </w:r>
      <w:r w:rsidR="000D11D7">
        <w:rPr>
          <w:rFonts w:hint="cs"/>
          <w:rtl/>
          <w:lang w:val="he"/>
        </w:rPr>
        <w:t xml:space="preserve">מופשט </w:t>
      </w:r>
      <w:r w:rsidR="00D9700B">
        <w:rPr>
          <w:rFonts w:hint="cs"/>
          <w:rtl/>
          <w:lang w:val="he"/>
        </w:rPr>
        <w:t xml:space="preserve">ואינו בחומר כלל, </w:t>
      </w:r>
      <w:r w:rsidR="00620A74">
        <w:rPr>
          <w:rFonts w:hint="cs"/>
          <w:rtl/>
          <w:lang w:val="he"/>
        </w:rPr>
        <w:t>וזה [</w:t>
      </w:r>
      <w:r w:rsidR="00DA0D45">
        <w:rPr>
          <w:rFonts w:hint="cs"/>
          <w:rtl/>
          <w:lang w:val="he"/>
        </w:rPr>
        <w:t>הטבעי</w:t>
      </w:r>
      <w:r w:rsidR="00620A74">
        <w:rPr>
          <w:rFonts w:hint="cs"/>
          <w:rtl/>
          <w:lang w:val="he"/>
        </w:rPr>
        <w:t>]</w:t>
      </w:r>
      <w:r w:rsidR="00DA0D45">
        <w:rPr>
          <w:rFonts w:hint="cs"/>
          <w:rtl/>
          <w:lang w:val="he"/>
        </w:rPr>
        <w:t xml:space="preserve"> הוא </w:t>
      </w:r>
      <w:r w:rsidR="00007470">
        <w:rPr>
          <w:rFonts w:hint="cs"/>
          <w:rtl/>
          <w:lang w:val="he"/>
        </w:rPr>
        <w:t>התממשות</w:t>
      </w:r>
      <w:r w:rsidR="00DA0D45">
        <w:rPr>
          <w:rFonts w:hint="cs"/>
          <w:rtl/>
          <w:lang w:val="he"/>
        </w:rPr>
        <w:t xml:space="preserve"> </w:t>
      </w:r>
      <w:r w:rsidR="00007470">
        <w:rPr>
          <w:rFonts w:hint="cs"/>
          <w:rtl/>
          <w:lang w:val="he"/>
        </w:rPr>
        <w:t>ה</w:t>
      </w:r>
      <w:r w:rsidR="00276D13">
        <w:rPr>
          <w:rFonts w:hint="cs"/>
          <w:rtl/>
          <w:lang w:val="he"/>
        </w:rPr>
        <w:t xml:space="preserve">מופשט הזה בחומר </w:t>
      </w:r>
      <w:r w:rsidR="009C463A">
        <w:rPr>
          <w:rFonts w:hint="cs"/>
          <w:rtl/>
          <w:lang w:val="he"/>
        </w:rPr>
        <w:t>מסוים</w:t>
      </w:r>
      <w:r w:rsidR="00276D13">
        <w:rPr>
          <w:rFonts w:hint="cs"/>
          <w:rtl/>
          <w:lang w:val="he"/>
        </w:rPr>
        <w:t>.</w:t>
      </w:r>
    </w:p>
    <w:p w14:paraId="664E230D" w14:textId="77777777" w:rsidR="00AC705E" w:rsidRDefault="007738DC" w:rsidP="00043885">
      <w:pPr>
        <w:rPr>
          <w:rtl/>
          <w:lang w:val="he"/>
        </w:rPr>
      </w:pPr>
      <w:r>
        <w:rPr>
          <w:rFonts w:hint="cs"/>
          <w:rtl/>
          <w:lang w:val="he"/>
        </w:rPr>
        <w:t xml:space="preserve">על כל פנים </w:t>
      </w:r>
      <w:r w:rsidR="00223755">
        <w:rPr>
          <w:rFonts w:hint="cs"/>
          <w:rtl/>
          <w:lang w:val="he"/>
        </w:rPr>
        <w:t xml:space="preserve">הקדמות המופתים </w:t>
      </w:r>
      <w:r w:rsidR="001F2509">
        <w:rPr>
          <w:rFonts w:hint="cs"/>
          <w:rtl/>
          <w:lang w:val="he"/>
        </w:rPr>
        <w:t xml:space="preserve">על השאלות המשותפות האלה </w:t>
      </w:r>
      <w:r w:rsidR="003A29FB">
        <w:rPr>
          <w:rFonts w:hint="cs"/>
          <w:rtl/>
          <w:lang w:val="he"/>
        </w:rPr>
        <w:t>שונ</w:t>
      </w:r>
      <w:r w:rsidR="002134DE">
        <w:rPr>
          <w:rFonts w:hint="cs"/>
          <w:rtl/>
          <w:lang w:val="he"/>
        </w:rPr>
        <w:t xml:space="preserve">ות </w:t>
      </w:r>
      <w:r w:rsidR="00CE7F13">
        <w:rPr>
          <w:rFonts w:hint="cs"/>
          <w:rtl/>
          <w:lang w:val="he"/>
        </w:rPr>
        <w:t xml:space="preserve">אצל </w:t>
      </w:r>
      <w:r w:rsidR="009A729B">
        <w:rPr>
          <w:rFonts w:hint="cs"/>
          <w:rtl/>
          <w:lang w:val="he"/>
        </w:rPr>
        <w:t>ה</w:t>
      </w:r>
      <w:r w:rsidR="002134DE">
        <w:rPr>
          <w:rFonts w:hint="cs"/>
          <w:rtl/>
          <w:lang w:val="he"/>
        </w:rPr>
        <w:t>אסטרונום ו</w:t>
      </w:r>
      <w:r w:rsidR="009A729B">
        <w:rPr>
          <w:rFonts w:hint="cs"/>
          <w:rtl/>
          <w:lang w:val="he"/>
        </w:rPr>
        <w:t>אצ</w:t>
      </w:r>
      <w:r w:rsidR="006215C7">
        <w:rPr>
          <w:rFonts w:hint="cs"/>
          <w:rtl/>
          <w:lang w:val="he"/>
        </w:rPr>
        <w:t>ל</w:t>
      </w:r>
      <w:r w:rsidR="009A729B">
        <w:rPr>
          <w:rFonts w:hint="cs"/>
          <w:rtl/>
          <w:lang w:val="he"/>
        </w:rPr>
        <w:t xml:space="preserve"> </w:t>
      </w:r>
      <w:r w:rsidR="002134DE">
        <w:rPr>
          <w:rFonts w:hint="cs"/>
          <w:rtl/>
          <w:lang w:val="he"/>
        </w:rPr>
        <w:t>חכם הטבע.</w:t>
      </w:r>
      <w:r w:rsidR="0039731E">
        <w:rPr>
          <w:rFonts w:hint="cs"/>
          <w:rtl/>
          <w:lang w:val="he"/>
        </w:rPr>
        <w:t xml:space="preserve"> </w:t>
      </w:r>
    </w:p>
    <w:p w14:paraId="160D8F4F" w14:textId="43C4B0DF" w:rsidR="00683293" w:rsidRDefault="00651FBD" w:rsidP="00043885">
      <w:pPr>
        <w:rPr>
          <w:rtl/>
          <w:lang w:val="he"/>
        </w:rPr>
      </w:pPr>
      <w:r>
        <w:rPr>
          <w:rFonts w:hint="cs"/>
          <w:rtl/>
          <w:lang w:val="he"/>
        </w:rPr>
        <w:t>ואמנם ה</w:t>
      </w:r>
      <w:r w:rsidR="00EE0E28">
        <w:rPr>
          <w:rFonts w:hint="cs"/>
          <w:rtl/>
          <w:lang w:val="he"/>
        </w:rPr>
        <w:t>ה</w:t>
      </w:r>
      <w:r w:rsidR="00C829F6">
        <w:rPr>
          <w:rFonts w:hint="cs"/>
          <w:rtl/>
          <w:lang w:val="he"/>
        </w:rPr>
        <w:t xml:space="preserve">קדמות </w:t>
      </w:r>
      <w:r w:rsidR="00EE0E28">
        <w:rPr>
          <w:rFonts w:hint="cs"/>
          <w:rtl/>
          <w:lang w:val="he"/>
        </w:rPr>
        <w:t>ה</w:t>
      </w:r>
      <w:r w:rsidR="00C829F6">
        <w:rPr>
          <w:rFonts w:hint="cs"/>
          <w:rtl/>
          <w:lang w:val="he"/>
        </w:rPr>
        <w:t>מתמטיות</w:t>
      </w:r>
      <w:r w:rsidR="004B6043">
        <w:rPr>
          <w:rFonts w:hint="cs"/>
          <w:rtl/>
          <w:lang w:val="he"/>
        </w:rPr>
        <w:t xml:space="preserve"> [של האסטרונומיה]</w:t>
      </w:r>
      <w:r w:rsidR="00EE0E28">
        <w:rPr>
          <w:rFonts w:hint="cs"/>
          <w:rtl/>
          <w:lang w:val="he"/>
        </w:rPr>
        <w:t xml:space="preserve"> </w:t>
      </w:r>
      <w:r w:rsidR="007F6A65">
        <w:rPr>
          <w:rFonts w:hint="cs"/>
          <w:rtl/>
          <w:lang w:val="he"/>
        </w:rPr>
        <w:t xml:space="preserve">יש בהן </w:t>
      </w:r>
      <w:r w:rsidR="00692FFD">
        <w:rPr>
          <w:rFonts w:hint="cs"/>
          <w:rtl/>
          <w:lang w:val="he"/>
        </w:rPr>
        <w:t>מהעיון באופטיקה ובגיאומטריה</w:t>
      </w:r>
      <w:r w:rsidR="00F24932">
        <w:rPr>
          <w:rFonts w:hint="cs"/>
          <w:rtl/>
          <w:lang w:val="he"/>
        </w:rPr>
        <w:t>,</w:t>
      </w:r>
      <w:r w:rsidR="009F189E">
        <w:rPr>
          <w:rFonts w:hint="cs"/>
          <w:rtl/>
          <w:lang w:val="he"/>
        </w:rPr>
        <w:t xml:space="preserve"> ו</w:t>
      </w:r>
      <w:r>
        <w:rPr>
          <w:rFonts w:hint="cs"/>
          <w:rtl/>
          <w:lang w:val="he"/>
        </w:rPr>
        <w:t>אמנם ה</w:t>
      </w:r>
      <w:r w:rsidR="00B00EEA">
        <w:rPr>
          <w:rFonts w:hint="cs"/>
          <w:rtl/>
          <w:lang w:val="he"/>
        </w:rPr>
        <w:t>הקדמות הטבעיות [של האסטרונומיה]</w:t>
      </w:r>
      <w:r w:rsidR="004E212D">
        <w:rPr>
          <w:rFonts w:hint="cs"/>
          <w:rtl/>
          <w:lang w:val="he"/>
        </w:rPr>
        <w:t xml:space="preserve"> הן</w:t>
      </w:r>
      <w:r w:rsidR="004A0719">
        <w:rPr>
          <w:rFonts w:hint="cs"/>
          <w:rtl/>
          <w:lang w:val="he"/>
        </w:rPr>
        <w:t xml:space="preserve"> נלקחות </w:t>
      </w:r>
      <w:r w:rsidR="00785D23">
        <w:rPr>
          <w:rFonts w:hint="cs"/>
          <w:rtl/>
          <w:lang w:val="he"/>
        </w:rPr>
        <w:t>מ</w:t>
      </w:r>
      <w:r w:rsidR="00716D23">
        <w:rPr>
          <w:rFonts w:hint="cs"/>
          <w:rtl/>
          <w:lang w:val="he"/>
        </w:rPr>
        <w:t xml:space="preserve">מה שהוא </w:t>
      </w:r>
      <w:r w:rsidR="00785D23">
        <w:rPr>
          <w:rFonts w:hint="cs"/>
          <w:rtl/>
          <w:lang w:val="he"/>
        </w:rPr>
        <w:t>הצד הטבעי</w:t>
      </w:r>
      <w:r w:rsidR="00EA34F1">
        <w:rPr>
          <w:rFonts w:hint="cs"/>
          <w:rtl/>
          <w:lang w:val="he"/>
        </w:rPr>
        <w:t xml:space="preserve"> של הגשם הטבעי</w:t>
      </w:r>
      <w:r w:rsidR="00F24932">
        <w:rPr>
          <w:rFonts w:hint="cs"/>
          <w:rtl/>
          <w:lang w:val="he"/>
        </w:rPr>
        <w:t>,</w:t>
      </w:r>
      <w:r w:rsidR="00726755">
        <w:rPr>
          <w:rFonts w:hint="cs"/>
          <w:rtl/>
          <w:lang w:val="he"/>
        </w:rPr>
        <w:t xml:space="preserve"> </w:t>
      </w:r>
      <w:r w:rsidR="00C707C9">
        <w:rPr>
          <w:rFonts w:hint="cs"/>
          <w:rtl/>
          <w:lang w:val="he"/>
        </w:rPr>
        <w:t>ואפשר ש</w:t>
      </w:r>
      <w:r w:rsidR="00186851" w:rsidRPr="00186851">
        <w:rPr>
          <w:rtl/>
          <w:lang w:val="he"/>
        </w:rPr>
        <w:t>יְעָרֵב</w:t>
      </w:r>
      <w:r w:rsidR="00C707C9">
        <w:rPr>
          <w:rFonts w:hint="cs"/>
          <w:rtl/>
          <w:lang w:val="he"/>
        </w:rPr>
        <w:t xml:space="preserve"> </w:t>
      </w:r>
      <w:r w:rsidR="00AF7D56">
        <w:rPr>
          <w:rFonts w:hint="cs"/>
          <w:rtl/>
          <w:lang w:val="he"/>
        </w:rPr>
        <w:t xml:space="preserve">חכם </w:t>
      </w:r>
      <w:r w:rsidR="00C707C9">
        <w:rPr>
          <w:rFonts w:hint="cs"/>
          <w:rtl/>
          <w:lang w:val="he"/>
        </w:rPr>
        <w:t xml:space="preserve">הטבע </w:t>
      </w:r>
      <w:r w:rsidR="00412520">
        <w:rPr>
          <w:rFonts w:hint="cs"/>
          <w:rtl/>
          <w:lang w:val="he"/>
        </w:rPr>
        <w:t xml:space="preserve">ויכניס </w:t>
      </w:r>
      <w:r w:rsidR="0097000D">
        <w:rPr>
          <w:rFonts w:hint="cs"/>
          <w:rtl/>
          <w:lang w:val="he"/>
        </w:rPr>
        <w:t xml:space="preserve">את ההקדמות המתמטיות </w:t>
      </w:r>
      <w:r w:rsidR="00A71559" w:rsidRPr="00A71559">
        <w:rPr>
          <w:rtl/>
          <w:lang w:val="he"/>
        </w:rPr>
        <w:t>לַ</w:t>
      </w:r>
      <w:r w:rsidR="009B38F3">
        <w:rPr>
          <w:rFonts w:hint="cs"/>
          <w:rtl/>
          <w:lang w:val="he"/>
        </w:rPr>
        <w:t>מופת ו</w:t>
      </w:r>
      <w:r w:rsidR="00186851" w:rsidRPr="00186851">
        <w:rPr>
          <w:rtl/>
          <w:lang w:val="he"/>
        </w:rPr>
        <w:t>יְעָרֵב</w:t>
      </w:r>
      <w:r w:rsidR="00A6728E">
        <w:rPr>
          <w:rFonts w:hint="cs"/>
          <w:rtl/>
          <w:lang w:val="he"/>
        </w:rPr>
        <w:t xml:space="preserve"> </w:t>
      </w:r>
      <w:r w:rsidR="00323866">
        <w:rPr>
          <w:rFonts w:hint="cs"/>
          <w:rtl/>
          <w:lang w:val="he"/>
        </w:rPr>
        <w:t xml:space="preserve">חכם </w:t>
      </w:r>
      <w:r w:rsidR="00A6728E">
        <w:rPr>
          <w:rFonts w:hint="cs"/>
          <w:rtl/>
          <w:lang w:val="he"/>
        </w:rPr>
        <w:t>המתמטי</w:t>
      </w:r>
      <w:r w:rsidR="00323866">
        <w:rPr>
          <w:rFonts w:hint="cs"/>
          <w:rtl/>
          <w:lang w:val="he"/>
        </w:rPr>
        <w:t>קה</w:t>
      </w:r>
      <w:r w:rsidR="00A6728E">
        <w:rPr>
          <w:rFonts w:hint="cs"/>
          <w:rtl/>
          <w:lang w:val="he"/>
        </w:rPr>
        <w:t xml:space="preserve"> ויכניס את ההקדמות </w:t>
      </w:r>
      <w:r w:rsidR="006B5411">
        <w:rPr>
          <w:rFonts w:hint="cs"/>
          <w:rtl/>
          <w:lang w:val="he"/>
        </w:rPr>
        <w:t>הטבעי</w:t>
      </w:r>
      <w:r w:rsidR="00760C53">
        <w:rPr>
          <w:rFonts w:hint="cs"/>
          <w:rtl/>
          <w:lang w:val="he"/>
        </w:rPr>
        <w:t xml:space="preserve">ות </w:t>
      </w:r>
      <w:r w:rsidR="00A71559" w:rsidRPr="00A71559">
        <w:rPr>
          <w:rtl/>
          <w:lang w:val="he"/>
        </w:rPr>
        <w:t>לַ</w:t>
      </w:r>
      <w:r w:rsidR="00760C53">
        <w:rPr>
          <w:rFonts w:hint="cs"/>
          <w:rtl/>
          <w:lang w:val="he"/>
        </w:rPr>
        <w:t>מופת.</w:t>
      </w:r>
      <w:r w:rsidR="00142EB2">
        <w:rPr>
          <w:rFonts w:hint="cs"/>
          <w:rtl/>
          <w:lang w:val="he"/>
        </w:rPr>
        <w:t xml:space="preserve"> ואם שמעת את </w:t>
      </w:r>
      <w:r w:rsidR="00F872C1">
        <w:rPr>
          <w:rFonts w:hint="cs"/>
          <w:rtl/>
          <w:lang w:val="he"/>
        </w:rPr>
        <w:t xml:space="preserve">חכם הטבע אומר: </w:t>
      </w:r>
      <w:r w:rsidR="00EA07D8">
        <w:rPr>
          <w:rFonts w:hint="cs"/>
          <w:rtl/>
          <w:lang w:val="he"/>
        </w:rPr>
        <w:t>"</w:t>
      </w:r>
      <w:r w:rsidR="00F872C1">
        <w:rPr>
          <w:rFonts w:hint="cs"/>
          <w:rtl/>
          <w:lang w:val="he"/>
        </w:rPr>
        <w:t xml:space="preserve">לו לא הייתה הארץ כדורית </w:t>
      </w:r>
      <w:r w:rsidR="009D40CC">
        <w:rPr>
          <w:rFonts w:hint="cs"/>
          <w:rtl/>
          <w:lang w:val="he"/>
        </w:rPr>
        <w:t>לא הי</w:t>
      </w:r>
      <w:r w:rsidR="0078521E">
        <w:rPr>
          <w:rFonts w:hint="cs"/>
          <w:rtl/>
          <w:lang w:val="he"/>
        </w:rPr>
        <w:t>ה החלק</w:t>
      </w:r>
      <w:r w:rsidR="009D40CC">
        <w:rPr>
          <w:rFonts w:hint="cs"/>
          <w:rtl/>
          <w:lang w:val="he"/>
        </w:rPr>
        <w:t xml:space="preserve"> </w:t>
      </w:r>
      <w:r w:rsidR="000B1A63">
        <w:rPr>
          <w:rFonts w:hint="cs"/>
          <w:rtl/>
          <w:lang w:val="he"/>
        </w:rPr>
        <w:t xml:space="preserve">של </w:t>
      </w:r>
      <w:r w:rsidR="004E6450">
        <w:rPr>
          <w:rFonts w:hint="cs"/>
          <w:rtl/>
          <w:lang w:val="he"/>
        </w:rPr>
        <w:t>ליקוי הירח בצורת</w:t>
      </w:r>
      <w:r w:rsidR="00D11B2E">
        <w:rPr>
          <w:rFonts w:hint="cs"/>
          <w:rtl/>
          <w:lang w:val="he"/>
        </w:rPr>
        <w:t xml:space="preserve"> חצי</w:t>
      </w:r>
      <w:r w:rsidR="004E6450">
        <w:rPr>
          <w:rFonts w:hint="cs"/>
          <w:rtl/>
          <w:lang w:val="he"/>
        </w:rPr>
        <w:t xml:space="preserve"> סהר</w:t>
      </w:r>
      <w:r w:rsidR="001807CC">
        <w:rPr>
          <w:rStyle w:val="FootnoteReference"/>
          <w:rtl/>
          <w:lang w:val="he"/>
        </w:rPr>
        <w:footnoteReference w:id="597"/>
      </w:r>
      <w:r w:rsidR="008E3349">
        <w:rPr>
          <w:rFonts w:hint="cs"/>
          <w:rtl/>
          <w:lang w:val="he"/>
        </w:rPr>
        <w:t>"</w:t>
      </w:r>
      <w:r w:rsidR="001807CC">
        <w:rPr>
          <w:rFonts w:hint="cs"/>
          <w:rtl/>
          <w:lang w:val="he"/>
        </w:rPr>
        <w:t xml:space="preserve"> </w:t>
      </w:r>
      <w:r w:rsidR="00DF66EF">
        <w:rPr>
          <w:rFonts w:hint="cs"/>
          <w:rtl/>
          <w:lang w:val="he"/>
        </w:rPr>
        <w:t xml:space="preserve">דע שהוא </w:t>
      </w:r>
      <w:r w:rsidR="00BC2A23" w:rsidRPr="00BC2A23">
        <w:rPr>
          <w:rtl/>
          <w:lang w:val="he"/>
        </w:rPr>
        <w:t>מְעָרֵב</w:t>
      </w:r>
      <w:r w:rsidR="00117016">
        <w:rPr>
          <w:rFonts w:hint="cs"/>
          <w:rtl/>
          <w:lang w:val="he"/>
        </w:rPr>
        <w:t xml:space="preserve">. </w:t>
      </w:r>
      <w:r w:rsidR="00A51B2C">
        <w:rPr>
          <w:rFonts w:hint="cs"/>
          <w:rtl/>
          <w:lang w:val="he"/>
        </w:rPr>
        <w:t>ואם שמעת את המתמטיקאי אומר</w:t>
      </w:r>
      <w:r w:rsidR="009F7135">
        <w:rPr>
          <w:rFonts w:hint="cs"/>
          <w:rtl/>
          <w:lang w:val="he"/>
        </w:rPr>
        <w:t>: "</w:t>
      </w:r>
      <w:r w:rsidR="0016559F">
        <w:rPr>
          <w:rFonts w:hint="cs"/>
          <w:rtl/>
          <w:lang w:val="he"/>
        </w:rPr>
        <w:t xml:space="preserve">הגרם השמיימי הנעלה ביותר </w:t>
      </w:r>
      <w:r w:rsidR="00F00B17">
        <w:rPr>
          <w:rFonts w:hint="cs"/>
          <w:rtl/>
          <w:lang w:val="he"/>
        </w:rPr>
        <w:t>לו</w:t>
      </w:r>
      <w:r w:rsidR="0016559F">
        <w:rPr>
          <w:rFonts w:hint="cs"/>
          <w:rtl/>
          <w:lang w:val="he"/>
        </w:rPr>
        <w:t xml:space="preserve"> התבנית הנעל</w:t>
      </w:r>
      <w:r w:rsidR="00B77B1C">
        <w:rPr>
          <w:rFonts w:hint="cs"/>
          <w:rtl/>
          <w:lang w:val="he"/>
        </w:rPr>
        <w:t>ה</w:t>
      </w:r>
      <w:r w:rsidR="0016559F">
        <w:rPr>
          <w:rFonts w:hint="cs"/>
          <w:rtl/>
          <w:lang w:val="he"/>
        </w:rPr>
        <w:t xml:space="preserve"> ביותר</w:t>
      </w:r>
      <w:r w:rsidR="000455E8">
        <w:rPr>
          <w:rFonts w:hint="cs"/>
          <w:rtl/>
          <w:lang w:val="he"/>
        </w:rPr>
        <w:t xml:space="preserve"> ו</w:t>
      </w:r>
      <w:r w:rsidR="004F4BD9">
        <w:rPr>
          <w:rFonts w:hint="cs"/>
          <w:rtl/>
          <w:lang w:val="he"/>
        </w:rPr>
        <w:t>הוא המעגל</w:t>
      </w:r>
      <w:r w:rsidR="009F7135">
        <w:rPr>
          <w:rFonts w:hint="cs"/>
          <w:rtl/>
          <w:lang w:val="he"/>
        </w:rPr>
        <w:t>"</w:t>
      </w:r>
      <w:r w:rsidR="001530E6">
        <w:rPr>
          <w:rFonts w:hint="cs"/>
          <w:rtl/>
          <w:lang w:val="he"/>
        </w:rPr>
        <w:t>, ו</w:t>
      </w:r>
      <w:r w:rsidR="00BB78AC">
        <w:rPr>
          <w:rFonts w:hint="cs"/>
          <w:rtl/>
          <w:lang w:val="he"/>
        </w:rPr>
        <w:t xml:space="preserve">"חלקים </w:t>
      </w:r>
      <w:r w:rsidR="00CB1FCD">
        <w:rPr>
          <w:rFonts w:hint="cs"/>
          <w:rtl/>
          <w:lang w:val="he"/>
        </w:rPr>
        <w:t xml:space="preserve">מהארץ נעים </w:t>
      </w:r>
      <w:r w:rsidR="00320025">
        <w:rPr>
          <w:rFonts w:hint="cs"/>
          <w:rtl/>
          <w:lang w:val="he"/>
        </w:rPr>
        <w:t xml:space="preserve">אליה </w:t>
      </w:r>
      <w:r w:rsidR="00522CF8">
        <w:rPr>
          <w:rFonts w:hint="cs"/>
          <w:rtl/>
          <w:lang w:val="he"/>
        </w:rPr>
        <w:t>ב</w:t>
      </w:r>
      <w:r w:rsidR="000874F7">
        <w:rPr>
          <w:rFonts w:hint="cs"/>
          <w:rtl/>
          <w:lang w:val="he"/>
        </w:rPr>
        <w:t>מישרין</w:t>
      </w:r>
      <w:r w:rsidR="00522CF8">
        <w:rPr>
          <w:rFonts w:hint="cs"/>
          <w:rtl/>
          <w:lang w:val="he"/>
        </w:rPr>
        <w:t>"</w:t>
      </w:r>
      <w:r w:rsidR="00320025">
        <w:rPr>
          <w:rFonts w:hint="cs"/>
          <w:rtl/>
          <w:lang w:val="he"/>
        </w:rPr>
        <w:t xml:space="preserve">, </w:t>
      </w:r>
      <w:r w:rsidR="005C6281">
        <w:rPr>
          <w:rFonts w:hint="cs"/>
          <w:rtl/>
          <w:lang w:val="he"/>
        </w:rPr>
        <w:t xml:space="preserve">וכיוצא בזה, </w:t>
      </w:r>
      <w:r w:rsidR="00916B26">
        <w:rPr>
          <w:rFonts w:hint="cs"/>
          <w:rtl/>
          <w:lang w:val="he"/>
        </w:rPr>
        <w:t xml:space="preserve">דע שהוא </w:t>
      </w:r>
      <w:r w:rsidR="00BC2A23" w:rsidRPr="00BC2A23">
        <w:rPr>
          <w:rtl/>
          <w:lang w:val="he"/>
        </w:rPr>
        <w:t>מְעָרֵב</w:t>
      </w:r>
      <w:r w:rsidR="00916B26">
        <w:rPr>
          <w:rFonts w:hint="cs"/>
          <w:rtl/>
          <w:lang w:val="he"/>
        </w:rPr>
        <w:t>.</w:t>
      </w:r>
    </w:p>
    <w:p w14:paraId="7E419A50" w14:textId="0B137113" w:rsidR="00B01A5B" w:rsidRDefault="00683293" w:rsidP="00043885">
      <w:pPr>
        <w:rPr>
          <w:rtl/>
          <w:lang w:val="he"/>
        </w:rPr>
      </w:pPr>
      <w:r>
        <w:rPr>
          <w:rFonts w:hint="cs"/>
          <w:rtl/>
          <w:lang w:val="he"/>
        </w:rPr>
        <w:t>וראה</w:t>
      </w:r>
      <w:r w:rsidR="00BB7C79">
        <w:rPr>
          <w:rFonts w:hint="cs"/>
          <w:rtl/>
          <w:lang w:val="he"/>
        </w:rPr>
        <w:t xml:space="preserve"> כיצד </w:t>
      </w:r>
      <w:r w:rsidR="00A2779E">
        <w:rPr>
          <w:rFonts w:hint="cs"/>
          <w:rtl/>
          <w:lang w:val="he"/>
        </w:rPr>
        <w:t>שונ</w:t>
      </w:r>
      <w:r w:rsidR="00C92CBF">
        <w:rPr>
          <w:rFonts w:hint="cs"/>
          <w:rtl/>
          <w:lang w:val="he"/>
        </w:rPr>
        <w:t>ים</w:t>
      </w:r>
      <w:r w:rsidR="00BB7C79">
        <w:rPr>
          <w:rFonts w:hint="cs"/>
          <w:rtl/>
          <w:lang w:val="he"/>
        </w:rPr>
        <w:t xml:space="preserve"> </w:t>
      </w:r>
      <w:r w:rsidR="00673F09">
        <w:rPr>
          <w:rFonts w:hint="cs"/>
          <w:rtl/>
          <w:lang w:val="he"/>
        </w:rPr>
        <w:t xml:space="preserve">חכם הטבע </w:t>
      </w:r>
      <w:r w:rsidR="00E076F8">
        <w:rPr>
          <w:rFonts w:hint="cs"/>
          <w:rtl/>
          <w:lang w:val="he"/>
        </w:rPr>
        <w:t>וחכם המתמטיקה במו</w:t>
      </w:r>
      <w:r w:rsidR="002B77C8">
        <w:rPr>
          <w:rFonts w:hint="cs"/>
          <w:rtl/>
          <w:lang w:val="he"/>
        </w:rPr>
        <w:t xml:space="preserve">פת </w:t>
      </w:r>
      <w:r w:rsidR="00A40376">
        <w:rPr>
          <w:rFonts w:hint="cs"/>
          <w:rtl/>
          <w:lang w:val="he"/>
        </w:rPr>
        <w:t>על</w:t>
      </w:r>
      <w:r w:rsidR="00606D77">
        <w:rPr>
          <w:rFonts w:hint="cs"/>
          <w:rtl/>
          <w:lang w:val="he"/>
        </w:rPr>
        <w:t xml:space="preserve"> כך שג</w:t>
      </w:r>
      <w:r w:rsidR="00135F04">
        <w:rPr>
          <w:rFonts w:hint="cs"/>
          <w:rtl/>
          <w:lang w:val="he"/>
        </w:rPr>
        <w:t>רם</w:t>
      </w:r>
      <w:r w:rsidR="00340F3A">
        <w:rPr>
          <w:rFonts w:hint="cs"/>
          <w:rtl/>
          <w:lang w:val="he"/>
        </w:rPr>
        <w:t xml:space="preserve"> שמיי</w:t>
      </w:r>
      <w:r w:rsidR="00AA4028">
        <w:rPr>
          <w:rFonts w:hint="cs"/>
          <w:rtl/>
          <w:lang w:val="he"/>
        </w:rPr>
        <w:t>מי</w:t>
      </w:r>
      <w:r w:rsidR="00135F04">
        <w:rPr>
          <w:rFonts w:hint="cs"/>
          <w:rtl/>
          <w:lang w:val="he"/>
        </w:rPr>
        <w:t xml:space="preserve"> מהפשוטים</w:t>
      </w:r>
      <w:r w:rsidR="001B65B7">
        <w:rPr>
          <w:rStyle w:val="FootnoteReference"/>
          <w:rtl/>
          <w:lang w:val="he"/>
        </w:rPr>
        <w:footnoteReference w:id="598"/>
      </w:r>
      <w:r w:rsidR="00135F04">
        <w:rPr>
          <w:rFonts w:hint="cs"/>
          <w:rtl/>
          <w:lang w:val="he"/>
        </w:rPr>
        <w:t xml:space="preserve"> הוא כדורי</w:t>
      </w:r>
      <w:r w:rsidR="00A2779E">
        <w:rPr>
          <w:rFonts w:hint="cs"/>
          <w:rtl/>
          <w:lang w:val="he"/>
        </w:rPr>
        <w:t>.</w:t>
      </w:r>
      <w:r w:rsidR="00135F04">
        <w:rPr>
          <w:rFonts w:hint="cs"/>
          <w:rtl/>
          <w:lang w:val="he"/>
        </w:rPr>
        <w:t xml:space="preserve"> </w:t>
      </w:r>
      <w:r w:rsidR="00BC7E70">
        <w:rPr>
          <w:rFonts w:hint="cs"/>
          <w:rtl/>
          <w:lang w:val="he"/>
        </w:rPr>
        <w:t xml:space="preserve">אמנם </w:t>
      </w:r>
      <w:r w:rsidR="00B41962">
        <w:rPr>
          <w:rFonts w:hint="cs"/>
          <w:rtl/>
          <w:lang w:val="he"/>
        </w:rPr>
        <w:t>חכם המתמטיקה</w:t>
      </w:r>
      <w:r w:rsidR="00BC5368">
        <w:rPr>
          <w:rFonts w:hint="cs"/>
          <w:rtl/>
          <w:lang w:val="he"/>
        </w:rPr>
        <w:t xml:space="preserve"> </w:t>
      </w:r>
      <w:r w:rsidR="009524C9">
        <w:rPr>
          <w:rFonts w:hint="cs"/>
          <w:rtl/>
          <w:lang w:val="he"/>
        </w:rPr>
        <w:t>ישתמש ב</w:t>
      </w:r>
      <w:r w:rsidR="006E7839">
        <w:rPr>
          <w:rFonts w:hint="cs"/>
          <w:rtl/>
          <w:lang w:val="he"/>
        </w:rPr>
        <w:t>קביעת</w:t>
      </w:r>
      <w:r w:rsidR="009524C9">
        <w:rPr>
          <w:rFonts w:hint="cs"/>
          <w:rtl/>
          <w:lang w:val="he"/>
        </w:rPr>
        <w:t xml:space="preserve"> </w:t>
      </w:r>
      <w:r w:rsidR="00FF41ED">
        <w:rPr>
          <w:rFonts w:hint="cs"/>
          <w:rtl/>
          <w:lang w:val="he"/>
        </w:rPr>
        <w:t>ה</w:t>
      </w:r>
      <w:r w:rsidR="00916988">
        <w:rPr>
          <w:rFonts w:hint="cs"/>
          <w:rtl/>
          <w:lang w:val="he"/>
        </w:rPr>
        <w:t>מצב</w:t>
      </w:r>
      <w:r w:rsidR="00FF41ED">
        <w:rPr>
          <w:rFonts w:hint="cs"/>
          <w:rtl/>
          <w:lang w:val="he"/>
        </w:rPr>
        <w:t xml:space="preserve"> בו נמצאים</w:t>
      </w:r>
      <w:r w:rsidR="00916988">
        <w:rPr>
          <w:rFonts w:hint="cs"/>
          <w:rtl/>
          <w:lang w:val="he"/>
        </w:rPr>
        <w:t xml:space="preserve"> ה</w:t>
      </w:r>
      <w:r w:rsidR="008A7B4B">
        <w:rPr>
          <w:rFonts w:hint="cs"/>
          <w:rtl/>
          <w:lang w:val="he"/>
        </w:rPr>
        <w:t>כוכבים</w:t>
      </w:r>
      <w:r w:rsidR="00EE3E1A">
        <w:rPr>
          <w:rFonts w:hint="cs"/>
          <w:rtl/>
          <w:lang w:val="he"/>
        </w:rPr>
        <w:t xml:space="preserve"> בזריחתם ושקיעתם, </w:t>
      </w:r>
      <w:r w:rsidR="003711EF">
        <w:rPr>
          <w:rFonts w:hint="cs"/>
          <w:rtl/>
          <w:lang w:val="he"/>
        </w:rPr>
        <w:t>ו</w:t>
      </w:r>
      <w:r w:rsidR="00666F20">
        <w:rPr>
          <w:rFonts w:hint="cs"/>
          <w:rtl/>
          <w:lang w:val="he"/>
        </w:rPr>
        <w:t>עליית</w:t>
      </w:r>
      <w:r w:rsidR="003711EF">
        <w:rPr>
          <w:rFonts w:hint="cs"/>
          <w:rtl/>
          <w:lang w:val="he"/>
        </w:rPr>
        <w:t>ם מעל האופק</w:t>
      </w:r>
      <w:r w:rsidR="00666F20">
        <w:rPr>
          <w:rFonts w:hint="cs"/>
          <w:rtl/>
          <w:lang w:val="he"/>
        </w:rPr>
        <w:t xml:space="preserve"> וירידתם</w:t>
      </w:r>
      <w:r w:rsidR="00277F3F">
        <w:rPr>
          <w:rFonts w:hint="cs"/>
          <w:rtl/>
          <w:lang w:val="he"/>
        </w:rPr>
        <w:t xml:space="preserve">, </w:t>
      </w:r>
      <w:r w:rsidR="00C45AC6">
        <w:rPr>
          <w:rFonts w:hint="cs"/>
          <w:rtl/>
          <w:lang w:val="he"/>
        </w:rPr>
        <w:t>ו</w:t>
      </w:r>
      <w:r w:rsidR="001B43FD">
        <w:rPr>
          <w:rFonts w:hint="cs"/>
          <w:rtl/>
          <w:lang w:val="he"/>
        </w:rPr>
        <w:t>שזה לא י</w:t>
      </w:r>
      <w:r w:rsidR="003C471C">
        <w:rPr>
          <w:rFonts w:hint="cs"/>
          <w:rtl/>
          <w:lang w:val="he"/>
        </w:rPr>
        <w:t>תכן אל</w:t>
      </w:r>
      <w:r w:rsidR="00777BD6">
        <w:rPr>
          <w:rFonts w:hint="cs"/>
          <w:rtl/>
          <w:lang w:val="he"/>
        </w:rPr>
        <w:t>א</w:t>
      </w:r>
      <w:r w:rsidR="003C471C">
        <w:rPr>
          <w:rFonts w:hint="cs"/>
          <w:rtl/>
          <w:lang w:val="he"/>
        </w:rPr>
        <w:t xml:space="preserve"> אם תהיה הארץ כדורית</w:t>
      </w:r>
      <w:r w:rsidR="00F51706">
        <w:rPr>
          <w:rFonts w:hint="cs"/>
          <w:rtl/>
          <w:lang w:val="he"/>
        </w:rPr>
        <w:t>.</w:t>
      </w:r>
      <w:r w:rsidR="003C471C">
        <w:rPr>
          <w:rFonts w:hint="cs"/>
          <w:rtl/>
          <w:lang w:val="he"/>
        </w:rPr>
        <w:t xml:space="preserve"> </w:t>
      </w:r>
      <w:r w:rsidR="00777BD6">
        <w:rPr>
          <w:rFonts w:hint="cs"/>
          <w:rtl/>
          <w:lang w:val="he"/>
        </w:rPr>
        <w:t xml:space="preserve">וחכם הטבע </w:t>
      </w:r>
      <w:r w:rsidR="005137CD">
        <w:rPr>
          <w:rFonts w:hint="cs"/>
          <w:rtl/>
          <w:lang w:val="he"/>
        </w:rPr>
        <w:t xml:space="preserve">יאמר </w:t>
      </w:r>
      <w:r w:rsidR="00AA4028">
        <w:rPr>
          <w:rFonts w:hint="cs"/>
          <w:rtl/>
          <w:lang w:val="he"/>
        </w:rPr>
        <w:t>אם הארץ היא גרם שמיימי פשוט</w:t>
      </w:r>
      <w:r w:rsidR="00DC607E">
        <w:rPr>
          <w:rFonts w:hint="cs"/>
          <w:rtl/>
          <w:lang w:val="he"/>
        </w:rPr>
        <w:t xml:space="preserve"> ותבניתה הטבעית הכרחית</w:t>
      </w:r>
      <w:r w:rsidR="00536B15">
        <w:rPr>
          <w:rStyle w:val="FootnoteReference"/>
          <w:rtl/>
          <w:lang w:val="he"/>
        </w:rPr>
        <w:footnoteReference w:id="599"/>
      </w:r>
      <w:r w:rsidR="00DC607E">
        <w:rPr>
          <w:rFonts w:hint="cs"/>
          <w:rtl/>
          <w:lang w:val="he"/>
        </w:rPr>
        <w:t>,</w:t>
      </w:r>
      <w:r w:rsidR="00057D76">
        <w:rPr>
          <w:rFonts w:hint="cs"/>
          <w:rtl/>
          <w:lang w:val="he"/>
        </w:rPr>
        <w:t xml:space="preserve"> </w:t>
      </w:r>
      <w:r w:rsidR="006A74DB">
        <w:rPr>
          <w:rFonts w:hint="cs"/>
          <w:rtl/>
          <w:lang w:val="he"/>
        </w:rPr>
        <w:t xml:space="preserve">אי אפשר שטבעה </w:t>
      </w:r>
      <w:r w:rsidR="00522EB7">
        <w:rPr>
          <w:rFonts w:hint="cs"/>
          <w:rtl/>
          <w:lang w:val="he"/>
        </w:rPr>
        <w:t>י</w:t>
      </w:r>
      <w:r w:rsidR="00841454">
        <w:rPr>
          <w:rFonts w:hint="cs"/>
          <w:rtl/>
          <w:lang w:val="he"/>
        </w:rPr>
        <w:t>שוו</w:t>
      </w:r>
      <w:r w:rsidR="00522EB7">
        <w:rPr>
          <w:rFonts w:hint="cs"/>
          <w:rtl/>
          <w:lang w:val="he"/>
        </w:rPr>
        <w:t xml:space="preserve">ה </w:t>
      </w:r>
      <w:r w:rsidR="003D0551">
        <w:rPr>
          <w:rFonts w:hint="cs"/>
          <w:rtl/>
          <w:lang w:val="he"/>
        </w:rPr>
        <w:t>למשהו</w:t>
      </w:r>
      <w:r w:rsidR="000D0B7F">
        <w:rPr>
          <w:rFonts w:hint="cs"/>
          <w:rtl/>
          <w:lang w:val="he"/>
        </w:rPr>
        <w:t xml:space="preserve"> שיש בו </w:t>
      </w:r>
      <w:r w:rsidR="0070272B">
        <w:rPr>
          <w:rFonts w:hint="cs"/>
          <w:rtl/>
          <w:lang w:val="he"/>
        </w:rPr>
        <w:t>שינוי</w:t>
      </w:r>
      <w:r w:rsidR="00B7446C">
        <w:rPr>
          <w:rFonts w:hint="cs"/>
          <w:rtl/>
          <w:lang w:val="he"/>
        </w:rPr>
        <w:t>ים</w:t>
      </w:r>
      <w:r w:rsidR="004919C1">
        <w:rPr>
          <w:rFonts w:hint="cs"/>
          <w:rtl/>
          <w:lang w:val="he"/>
        </w:rPr>
        <w:t>, ויהיה</w:t>
      </w:r>
      <w:r w:rsidR="00E61378">
        <w:rPr>
          <w:rStyle w:val="FootnoteReference"/>
          <w:rtl/>
          <w:lang w:val="he"/>
        </w:rPr>
        <w:footnoteReference w:id="600"/>
      </w:r>
      <w:r w:rsidR="004919C1">
        <w:rPr>
          <w:rFonts w:hint="cs"/>
          <w:rtl/>
          <w:lang w:val="he"/>
        </w:rPr>
        <w:t xml:space="preserve"> </w:t>
      </w:r>
      <w:r w:rsidR="00D93560">
        <w:rPr>
          <w:rFonts w:hint="cs"/>
          <w:rtl/>
          <w:lang w:val="he"/>
        </w:rPr>
        <w:t>מ</w:t>
      </w:r>
      <w:r w:rsidR="009F52AE">
        <w:rPr>
          <w:rFonts w:hint="cs"/>
          <w:rtl/>
          <w:lang w:val="he"/>
        </w:rPr>
        <w:t>קצת</w:t>
      </w:r>
      <w:r w:rsidR="00D93560">
        <w:rPr>
          <w:rFonts w:hint="cs"/>
          <w:rtl/>
          <w:lang w:val="he"/>
        </w:rPr>
        <w:t>ו</w:t>
      </w:r>
      <w:r w:rsidR="009F52AE">
        <w:rPr>
          <w:rFonts w:hint="cs"/>
          <w:rtl/>
          <w:lang w:val="he"/>
        </w:rPr>
        <w:t xml:space="preserve"> זוויות ו</w:t>
      </w:r>
      <w:r w:rsidR="00D93560">
        <w:rPr>
          <w:rFonts w:hint="cs"/>
          <w:rtl/>
          <w:lang w:val="he"/>
        </w:rPr>
        <w:t>מ</w:t>
      </w:r>
      <w:r w:rsidR="009F52AE">
        <w:rPr>
          <w:rFonts w:hint="cs"/>
          <w:rtl/>
          <w:lang w:val="he"/>
        </w:rPr>
        <w:t>קצת</w:t>
      </w:r>
      <w:r w:rsidR="00D93560">
        <w:rPr>
          <w:rFonts w:hint="cs"/>
          <w:rtl/>
          <w:lang w:val="he"/>
        </w:rPr>
        <w:t>ו</w:t>
      </w:r>
      <w:r w:rsidR="009F52AE">
        <w:rPr>
          <w:rFonts w:hint="cs"/>
          <w:rtl/>
          <w:lang w:val="he"/>
        </w:rPr>
        <w:t xml:space="preserve"> </w:t>
      </w:r>
      <w:r w:rsidR="007647D4">
        <w:rPr>
          <w:rFonts w:hint="cs"/>
          <w:rtl/>
          <w:lang w:val="he"/>
        </w:rPr>
        <w:t>קווים ישרים</w:t>
      </w:r>
      <w:r w:rsidR="00F35218">
        <w:rPr>
          <w:rFonts w:hint="cs"/>
          <w:rtl/>
          <w:lang w:val="he"/>
        </w:rPr>
        <w:t xml:space="preserve">, או יהיה </w:t>
      </w:r>
      <w:r w:rsidR="003A6C35">
        <w:rPr>
          <w:rFonts w:hint="cs"/>
          <w:rtl/>
          <w:lang w:val="he"/>
        </w:rPr>
        <w:t xml:space="preserve">מקצתו </w:t>
      </w:r>
      <w:r w:rsidR="00A94E02">
        <w:rPr>
          <w:rFonts w:hint="cs"/>
          <w:rtl/>
          <w:lang w:val="he"/>
        </w:rPr>
        <w:t>ב</w:t>
      </w:r>
      <w:r w:rsidR="00303613">
        <w:rPr>
          <w:rFonts w:hint="cs"/>
          <w:rtl/>
          <w:lang w:val="he"/>
        </w:rPr>
        <w:t xml:space="preserve">אופן אחד </w:t>
      </w:r>
      <w:r w:rsidR="00BB0867">
        <w:rPr>
          <w:rFonts w:hint="cs"/>
          <w:rtl/>
          <w:lang w:val="he"/>
        </w:rPr>
        <w:t>מה</w:t>
      </w:r>
      <w:r w:rsidR="00303613">
        <w:rPr>
          <w:rFonts w:hint="cs"/>
          <w:rtl/>
          <w:lang w:val="he"/>
        </w:rPr>
        <w:t>קשת</w:t>
      </w:r>
      <w:r w:rsidR="00BB0867">
        <w:rPr>
          <w:rFonts w:hint="cs"/>
          <w:rtl/>
          <w:lang w:val="he"/>
        </w:rPr>
        <w:t>ות</w:t>
      </w:r>
      <w:r w:rsidR="00303613">
        <w:rPr>
          <w:rFonts w:hint="cs"/>
          <w:rtl/>
          <w:lang w:val="he"/>
        </w:rPr>
        <w:t xml:space="preserve"> ומקצתו באופן </w:t>
      </w:r>
      <w:r w:rsidR="003E42CD">
        <w:rPr>
          <w:rFonts w:hint="cs"/>
          <w:rtl/>
          <w:lang w:val="he"/>
        </w:rPr>
        <w:t>מנ</w:t>
      </w:r>
      <w:r w:rsidR="000108FE">
        <w:rPr>
          <w:rFonts w:hint="cs"/>
          <w:rtl/>
          <w:lang w:val="he"/>
        </w:rPr>
        <w:t>ו</w:t>
      </w:r>
      <w:r w:rsidR="003E42CD">
        <w:rPr>
          <w:rFonts w:hint="cs"/>
          <w:rtl/>
          <w:lang w:val="he"/>
        </w:rPr>
        <w:t>גד</w:t>
      </w:r>
      <w:r w:rsidR="003D0551">
        <w:rPr>
          <w:rFonts w:hint="cs"/>
          <w:rtl/>
          <w:lang w:val="he"/>
        </w:rPr>
        <w:t>.</w:t>
      </w:r>
    </w:p>
    <w:p w14:paraId="07158329" w14:textId="79DB563E" w:rsidR="0009651B" w:rsidRDefault="001B7100" w:rsidP="00043885">
      <w:pPr>
        <w:rPr>
          <w:rtl/>
          <w:lang w:val="he"/>
        </w:rPr>
      </w:pPr>
      <w:r>
        <w:rPr>
          <w:rFonts w:hint="cs"/>
          <w:rtl/>
          <w:lang w:val="he"/>
        </w:rPr>
        <w:t>ונמצא את הראשון</w:t>
      </w:r>
      <w:r w:rsidR="00CD045C">
        <w:rPr>
          <w:rStyle w:val="FootnoteReference"/>
          <w:rtl/>
          <w:lang w:val="he"/>
        </w:rPr>
        <w:footnoteReference w:id="601"/>
      </w:r>
      <w:r>
        <w:rPr>
          <w:rFonts w:hint="cs"/>
          <w:rtl/>
          <w:lang w:val="he"/>
        </w:rPr>
        <w:t xml:space="preserve"> </w:t>
      </w:r>
      <w:r w:rsidR="00D33B29">
        <w:rPr>
          <w:rFonts w:hint="cs"/>
          <w:rtl/>
          <w:lang w:val="he"/>
        </w:rPr>
        <w:t xml:space="preserve">כשהוא </w:t>
      </w:r>
      <w:r w:rsidR="00D57DA8">
        <w:rPr>
          <w:rFonts w:hint="cs"/>
          <w:rtl/>
          <w:lang w:val="he"/>
        </w:rPr>
        <w:t>בא ב</w:t>
      </w:r>
      <w:r w:rsidR="00B51C98">
        <w:rPr>
          <w:rFonts w:hint="cs"/>
          <w:rtl/>
          <w:lang w:val="he"/>
        </w:rPr>
        <w:t>בירורים</w:t>
      </w:r>
      <w:r w:rsidR="00D57DA8">
        <w:rPr>
          <w:rFonts w:hint="cs"/>
          <w:rtl/>
          <w:lang w:val="he"/>
        </w:rPr>
        <w:t xml:space="preserve"> המובא</w:t>
      </w:r>
      <w:r w:rsidR="00391F49">
        <w:rPr>
          <w:rFonts w:hint="cs"/>
          <w:rtl/>
          <w:lang w:val="he"/>
        </w:rPr>
        <w:t>ים</w:t>
      </w:r>
      <w:r w:rsidR="00D57DA8">
        <w:rPr>
          <w:rFonts w:hint="cs"/>
          <w:rtl/>
          <w:lang w:val="he"/>
        </w:rPr>
        <w:t xml:space="preserve"> </w:t>
      </w:r>
      <w:r w:rsidR="00067D22">
        <w:rPr>
          <w:rFonts w:hint="cs"/>
          <w:rtl/>
          <w:lang w:val="he"/>
        </w:rPr>
        <w:t>מ</w:t>
      </w:r>
      <w:r w:rsidR="00E65E44">
        <w:rPr>
          <w:rFonts w:hint="cs"/>
          <w:rtl/>
          <w:lang w:val="he"/>
        </w:rPr>
        <w:t xml:space="preserve">היחסים של </w:t>
      </w:r>
      <w:r w:rsidR="00343B44">
        <w:rPr>
          <w:rFonts w:hint="cs"/>
          <w:rtl/>
          <w:lang w:val="he"/>
        </w:rPr>
        <w:t xml:space="preserve">הניגודים, המצבים </w:t>
      </w:r>
      <w:r w:rsidR="002A7433">
        <w:rPr>
          <w:rFonts w:hint="cs"/>
          <w:rtl/>
          <w:lang w:val="he"/>
        </w:rPr>
        <w:t xml:space="preserve">וההצטרפויות, </w:t>
      </w:r>
      <w:r w:rsidR="00757C70">
        <w:rPr>
          <w:rFonts w:hint="cs"/>
          <w:rtl/>
          <w:lang w:val="he"/>
        </w:rPr>
        <w:t xml:space="preserve">מבלי </w:t>
      </w:r>
      <w:r w:rsidR="00BC6E51">
        <w:rPr>
          <w:rFonts w:hint="cs"/>
          <w:rtl/>
          <w:lang w:val="he"/>
        </w:rPr>
        <w:t xml:space="preserve">שיהיה צורך </w:t>
      </w:r>
      <w:r w:rsidR="007B075A">
        <w:rPr>
          <w:rFonts w:hint="cs"/>
          <w:rtl/>
          <w:lang w:val="he"/>
        </w:rPr>
        <w:t>שיהיה ב</w:t>
      </w:r>
      <w:r w:rsidR="0097069D">
        <w:rPr>
          <w:rFonts w:hint="cs"/>
          <w:rtl/>
          <w:lang w:val="he"/>
        </w:rPr>
        <w:t>ז</w:t>
      </w:r>
      <w:r w:rsidR="007B075A">
        <w:rPr>
          <w:rFonts w:hint="cs"/>
          <w:rtl/>
          <w:lang w:val="he"/>
        </w:rPr>
        <w:t xml:space="preserve">ה </w:t>
      </w:r>
      <w:r w:rsidR="00665BFF">
        <w:rPr>
          <w:rFonts w:hint="cs"/>
          <w:rtl/>
          <w:lang w:val="he"/>
        </w:rPr>
        <w:t xml:space="preserve">גילוי </w:t>
      </w:r>
      <w:r w:rsidR="005E4D21">
        <w:rPr>
          <w:rFonts w:hint="cs"/>
          <w:rtl/>
          <w:lang w:val="he"/>
        </w:rPr>
        <w:t xml:space="preserve">של </w:t>
      </w:r>
      <w:r w:rsidR="00DA1141">
        <w:rPr>
          <w:rFonts w:hint="cs"/>
          <w:rtl/>
          <w:lang w:val="he"/>
        </w:rPr>
        <w:t>כוח טבעי</w:t>
      </w:r>
      <w:r w:rsidR="005E4D21">
        <w:rPr>
          <w:rFonts w:hint="cs"/>
          <w:rtl/>
          <w:lang w:val="he"/>
        </w:rPr>
        <w:t xml:space="preserve"> שנצרך להבנה. </w:t>
      </w:r>
    </w:p>
    <w:p w14:paraId="34517865" w14:textId="06A6DD5E" w:rsidR="00090460" w:rsidRDefault="0009651B" w:rsidP="00043885">
      <w:pPr>
        <w:rPr>
          <w:rtl/>
          <w:lang w:val="he"/>
        </w:rPr>
      </w:pPr>
      <w:r>
        <w:rPr>
          <w:rFonts w:hint="cs"/>
          <w:rtl/>
          <w:lang w:val="he"/>
        </w:rPr>
        <w:t>ותמצא את השני</w:t>
      </w:r>
      <w:r w:rsidR="00D11A59">
        <w:rPr>
          <w:rStyle w:val="FootnoteReference"/>
          <w:rtl/>
          <w:lang w:val="he"/>
        </w:rPr>
        <w:footnoteReference w:id="602"/>
      </w:r>
      <w:r w:rsidR="00D11A59">
        <w:rPr>
          <w:rFonts w:hint="cs"/>
          <w:rtl/>
          <w:lang w:val="he"/>
        </w:rPr>
        <w:t xml:space="preserve"> </w:t>
      </w:r>
      <w:r w:rsidR="005A4CB5">
        <w:rPr>
          <w:rFonts w:hint="cs"/>
          <w:rtl/>
          <w:lang w:val="he"/>
        </w:rPr>
        <w:t>כשהוא בא ב</w:t>
      </w:r>
      <w:r w:rsidR="00785DE7">
        <w:rPr>
          <w:rFonts w:hint="cs"/>
          <w:rtl/>
          <w:lang w:val="he"/>
        </w:rPr>
        <w:t xml:space="preserve">הקדמות </w:t>
      </w:r>
      <w:r w:rsidR="006559FD">
        <w:rPr>
          <w:rFonts w:hint="cs"/>
          <w:rtl/>
          <w:lang w:val="he"/>
        </w:rPr>
        <w:t xml:space="preserve">המובאות </w:t>
      </w:r>
      <w:r w:rsidR="00320B03">
        <w:rPr>
          <w:rFonts w:hint="cs"/>
          <w:rtl/>
          <w:lang w:val="he"/>
        </w:rPr>
        <w:t>מהכרח הטבע</w:t>
      </w:r>
      <w:r w:rsidR="00D02E2A">
        <w:rPr>
          <w:rFonts w:hint="cs"/>
          <w:rtl/>
          <w:lang w:val="he"/>
        </w:rPr>
        <w:t xml:space="preserve"> של הגשם הטבעי</w:t>
      </w:r>
      <w:r w:rsidR="00164E31">
        <w:rPr>
          <w:rFonts w:hint="cs"/>
          <w:rtl/>
          <w:lang w:val="he"/>
        </w:rPr>
        <w:t xml:space="preserve"> במה שהוא טבעי</w:t>
      </w:r>
      <w:r w:rsidR="00D02E2A">
        <w:rPr>
          <w:rFonts w:hint="cs"/>
          <w:rtl/>
          <w:lang w:val="he"/>
        </w:rPr>
        <w:t>.</w:t>
      </w:r>
      <w:r w:rsidR="00776EE8">
        <w:rPr>
          <w:rFonts w:hint="cs"/>
          <w:rtl/>
          <w:lang w:val="he"/>
        </w:rPr>
        <w:t xml:space="preserve"> </w:t>
      </w:r>
    </w:p>
    <w:p w14:paraId="7850E483" w14:textId="77777777" w:rsidR="004B2B63" w:rsidRDefault="00776EE8" w:rsidP="00043885">
      <w:pPr>
        <w:rPr>
          <w:rtl/>
          <w:lang w:val="he"/>
        </w:rPr>
      </w:pPr>
      <w:r>
        <w:rPr>
          <w:rFonts w:hint="cs"/>
          <w:rtl/>
          <w:lang w:val="he"/>
        </w:rPr>
        <w:t xml:space="preserve">והראשון </w:t>
      </w:r>
      <w:r w:rsidR="00EC1DD3">
        <w:rPr>
          <w:rFonts w:hint="cs"/>
          <w:rtl/>
          <w:lang w:val="he"/>
        </w:rPr>
        <w:t xml:space="preserve">יהיה </w:t>
      </w:r>
      <w:r w:rsidR="000D47EF">
        <w:rPr>
          <w:rFonts w:hint="cs"/>
          <w:rtl/>
          <w:lang w:val="he"/>
        </w:rPr>
        <w:t xml:space="preserve">כשהוא מביא </w:t>
      </w:r>
      <w:r w:rsidR="00865E9E">
        <w:rPr>
          <w:rFonts w:hint="cs"/>
          <w:rtl/>
          <w:lang w:val="he"/>
        </w:rPr>
        <w:t xml:space="preserve">את העובדה </w:t>
      </w:r>
      <w:r w:rsidR="00E6759B">
        <w:rPr>
          <w:rFonts w:hint="cs"/>
          <w:rtl/>
          <w:lang w:val="he"/>
        </w:rPr>
        <w:t xml:space="preserve">הישירה </w:t>
      </w:r>
      <w:r w:rsidR="001E2AE3">
        <w:rPr>
          <w:rFonts w:hint="cs"/>
          <w:rtl/>
          <w:lang w:val="he"/>
        </w:rPr>
        <w:t xml:space="preserve">ולא מביא את </w:t>
      </w:r>
      <w:r w:rsidR="001E693F">
        <w:rPr>
          <w:rFonts w:hint="cs"/>
          <w:rtl/>
          <w:lang w:val="he"/>
        </w:rPr>
        <w:t xml:space="preserve">הסיבה, והשני </w:t>
      </w:r>
      <w:r w:rsidR="00C04F04">
        <w:rPr>
          <w:rFonts w:hint="cs"/>
          <w:rtl/>
          <w:lang w:val="he"/>
        </w:rPr>
        <w:t xml:space="preserve">את הסיבה ואת </w:t>
      </w:r>
      <w:proofErr w:type="spellStart"/>
      <w:r w:rsidR="00C04F04">
        <w:rPr>
          <w:rFonts w:hint="cs"/>
          <w:rtl/>
          <w:lang w:val="he"/>
        </w:rPr>
        <w:t>ה</w:t>
      </w:r>
      <w:r w:rsidR="004220E6">
        <w:rPr>
          <w:rFonts w:hint="cs"/>
          <w:rtl/>
          <w:lang w:val="he"/>
        </w:rPr>
        <w:t>'</w:t>
      </w:r>
      <w:r w:rsidR="001B49DD" w:rsidRPr="001B49DD">
        <w:rPr>
          <w:rtl/>
          <w:lang w:val="he"/>
        </w:rPr>
        <w:t>לָמָּה</w:t>
      </w:r>
      <w:proofErr w:type="spellEnd"/>
      <w:r w:rsidR="004220E6">
        <w:rPr>
          <w:rFonts w:hint="cs"/>
          <w:rtl/>
          <w:lang w:val="he"/>
        </w:rPr>
        <w:t>'</w:t>
      </w:r>
      <w:r w:rsidR="00FB7309">
        <w:rPr>
          <w:rStyle w:val="FootnoteReference"/>
          <w:rtl/>
          <w:lang w:val="he"/>
        </w:rPr>
        <w:footnoteReference w:id="603"/>
      </w:r>
      <w:r w:rsidR="000D50A7">
        <w:rPr>
          <w:rFonts w:hint="cs"/>
          <w:rtl/>
          <w:lang w:val="he"/>
        </w:rPr>
        <w:t>.</w:t>
      </w:r>
    </w:p>
    <w:p w14:paraId="6D4DC50D" w14:textId="77777777" w:rsidR="0032520B" w:rsidRDefault="0032520B" w:rsidP="003266A1">
      <w:pPr>
        <w:pStyle w:val="Heading4"/>
        <w:rPr>
          <w:rtl/>
          <w:lang w:val="he"/>
        </w:rPr>
      </w:pPr>
      <w:bookmarkStart w:id="279" w:name="_Toc119092680"/>
      <w:r>
        <w:rPr>
          <w:rFonts w:hint="cs"/>
          <w:rtl/>
          <w:lang w:val="he"/>
        </w:rPr>
        <w:t>1.8.3</w:t>
      </w:r>
      <w:bookmarkEnd w:id="279"/>
    </w:p>
    <w:p w14:paraId="7236FF45" w14:textId="276E7E61" w:rsidR="00236392" w:rsidRDefault="00441FDF" w:rsidP="00D75BF6">
      <w:pPr>
        <w:rPr>
          <w:rtl/>
          <w:lang w:val="he"/>
        </w:rPr>
      </w:pPr>
      <w:r>
        <w:rPr>
          <w:rFonts w:hint="cs"/>
          <w:rtl/>
          <w:lang w:val="he"/>
        </w:rPr>
        <w:t>וה</w:t>
      </w:r>
      <w:r w:rsidR="00CC1215" w:rsidRPr="00CC1215">
        <w:rPr>
          <w:rtl/>
          <w:lang w:val="he"/>
        </w:rPr>
        <w:t>מִסְפָּרִים</w:t>
      </w:r>
      <w:r w:rsidR="004E2ECA">
        <w:rPr>
          <w:rtl/>
          <w:lang w:val="he"/>
        </w:rPr>
        <w:fldChar w:fldCharType="begin"/>
      </w:r>
      <w:r w:rsidR="004E2ECA">
        <w:instrText xml:space="preserve"> XE "</w:instrText>
      </w:r>
      <w:r w:rsidR="004E2ECA" w:rsidRPr="00193A67">
        <w:rPr>
          <w:rFonts w:hint="cs"/>
          <w:rtl/>
          <w:lang w:val="he"/>
        </w:rPr>
        <w:instrText>המספרים - מציאותם</w:instrText>
      </w:r>
      <w:r w:rsidR="004E2ECA">
        <w:instrText xml:space="preserve">" </w:instrText>
      </w:r>
      <w:r w:rsidR="004E2ECA">
        <w:rPr>
          <w:rtl/>
          <w:lang w:val="he"/>
        </w:rPr>
        <w:fldChar w:fldCharType="end"/>
      </w:r>
      <w:r w:rsidR="00D75BF6">
        <w:rPr>
          <w:rFonts w:hint="cs"/>
          <w:rtl/>
          <w:lang w:val="he"/>
        </w:rPr>
        <w:t xml:space="preserve"> </w:t>
      </w:r>
      <w:r w:rsidR="002D5CC1">
        <w:rPr>
          <w:rFonts w:hint="cs"/>
          <w:rtl/>
          <w:lang w:val="he"/>
        </w:rPr>
        <w:t xml:space="preserve">במה שהם </w:t>
      </w:r>
      <w:r w:rsidR="00C9068F" w:rsidRPr="00C9068F">
        <w:rPr>
          <w:rtl/>
          <w:lang w:val="he"/>
        </w:rPr>
        <w:t>מִסְפָּרִים</w:t>
      </w:r>
      <w:r w:rsidR="00C9068F">
        <w:rPr>
          <w:rFonts w:hint="cs"/>
          <w:rtl/>
          <w:lang w:val="he"/>
        </w:rPr>
        <w:t xml:space="preserve"> </w:t>
      </w:r>
      <w:r w:rsidR="00DE7B08">
        <w:rPr>
          <w:rFonts w:hint="cs"/>
          <w:rtl/>
          <w:lang w:val="he"/>
        </w:rPr>
        <w:t>אפשר ש</w:t>
      </w:r>
      <w:r w:rsidR="004E61E7">
        <w:rPr>
          <w:rFonts w:hint="cs"/>
          <w:rtl/>
          <w:lang w:val="he"/>
        </w:rPr>
        <w:t>יימצאו</w:t>
      </w:r>
      <w:r w:rsidR="00C9068F">
        <w:rPr>
          <w:rFonts w:hint="cs"/>
          <w:rtl/>
          <w:lang w:val="he"/>
        </w:rPr>
        <w:t xml:space="preserve"> בין הנמצאים</w:t>
      </w:r>
      <w:r w:rsidR="00C914B7">
        <w:rPr>
          <w:rFonts w:hint="cs"/>
          <w:rtl/>
          <w:lang w:val="he"/>
        </w:rPr>
        <w:t xml:space="preserve"> הטבעיים, </w:t>
      </w:r>
      <w:r w:rsidR="007735E2">
        <w:rPr>
          <w:rFonts w:hint="cs"/>
          <w:rtl/>
          <w:lang w:val="he"/>
        </w:rPr>
        <w:t xml:space="preserve">כיוון שיש בהם </w:t>
      </w:r>
      <w:r w:rsidR="00DE7B08">
        <w:rPr>
          <w:rFonts w:hint="cs"/>
          <w:rtl/>
          <w:lang w:val="he"/>
        </w:rPr>
        <w:t>'</w:t>
      </w:r>
      <w:r w:rsidR="007735E2">
        <w:rPr>
          <w:rFonts w:hint="cs"/>
          <w:rtl/>
          <w:lang w:val="he"/>
        </w:rPr>
        <w:t>אחד</w:t>
      </w:r>
      <w:r w:rsidR="00DE7B08">
        <w:rPr>
          <w:rFonts w:hint="cs"/>
          <w:rtl/>
          <w:lang w:val="he"/>
        </w:rPr>
        <w:t>'</w:t>
      </w:r>
      <w:r w:rsidR="007735E2">
        <w:rPr>
          <w:rFonts w:hint="cs"/>
          <w:rtl/>
          <w:lang w:val="he"/>
        </w:rPr>
        <w:t xml:space="preserve"> ו</w:t>
      </w:r>
      <w:r w:rsidR="00DE7B08">
        <w:rPr>
          <w:rFonts w:hint="cs"/>
          <w:rtl/>
          <w:lang w:val="he"/>
        </w:rPr>
        <w:t>'</w:t>
      </w:r>
      <w:r w:rsidR="007735E2">
        <w:rPr>
          <w:rFonts w:hint="cs"/>
          <w:rtl/>
          <w:lang w:val="he"/>
        </w:rPr>
        <w:t>אחד</w:t>
      </w:r>
      <w:r w:rsidR="00DE7B08">
        <w:rPr>
          <w:rFonts w:hint="cs"/>
          <w:rtl/>
          <w:lang w:val="he"/>
        </w:rPr>
        <w:t>'</w:t>
      </w:r>
      <w:r w:rsidR="007735E2">
        <w:rPr>
          <w:rFonts w:hint="cs"/>
          <w:rtl/>
          <w:lang w:val="he"/>
        </w:rPr>
        <w:t xml:space="preserve"> אחר. </w:t>
      </w:r>
      <w:r w:rsidR="00B278D9">
        <w:rPr>
          <w:rFonts w:hint="cs"/>
          <w:rtl/>
          <w:lang w:val="he"/>
        </w:rPr>
        <w:t xml:space="preserve">וכל אחד </w:t>
      </w:r>
      <w:r w:rsidR="007B2E1A">
        <w:rPr>
          <w:rFonts w:hint="cs"/>
          <w:rtl/>
          <w:lang w:val="he"/>
        </w:rPr>
        <w:t xml:space="preserve">מהם הוא </w:t>
      </w:r>
      <w:r w:rsidR="00FF7157">
        <w:rPr>
          <w:rFonts w:hint="cs"/>
          <w:rtl/>
          <w:lang w:val="he"/>
        </w:rPr>
        <w:t>'</w:t>
      </w:r>
      <w:r w:rsidR="007B2E1A">
        <w:rPr>
          <w:rFonts w:hint="cs"/>
          <w:rtl/>
          <w:lang w:val="he"/>
        </w:rPr>
        <w:t>אחד</w:t>
      </w:r>
      <w:r w:rsidR="00FF7157">
        <w:rPr>
          <w:rFonts w:hint="cs"/>
          <w:rtl/>
          <w:lang w:val="he"/>
        </w:rPr>
        <w:t>'</w:t>
      </w:r>
      <w:r w:rsidR="007B2E1A">
        <w:rPr>
          <w:rFonts w:hint="cs"/>
          <w:rtl/>
          <w:lang w:val="he"/>
        </w:rPr>
        <w:t xml:space="preserve"> </w:t>
      </w:r>
      <w:r w:rsidR="00FF7157">
        <w:rPr>
          <w:rFonts w:hint="cs"/>
          <w:rtl/>
          <w:lang w:val="he"/>
        </w:rPr>
        <w:t>ואין בעצמו</w:t>
      </w:r>
      <w:r w:rsidR="00C6527B">
        <w:rPr>
          <w:rFonts w:hint="cs"/>
          <w:rtl/>
          <w:lang w:val="he"/>
        </w:rPr>
        <w:t>תו</w:t>
      </w:r>
      <w:r w:rsidR="00FF7157">
        <w:rPr>
          <w:rFonts w:hint="cs"/>
          <w:rtl/>
          <w:lang w:val="he"/>
        </w:rPr>
        <w:t xml:space="preserve"> </w:t>
      </w:r>
      <w:r w:rsidR="00F60213">
        <w:rPr>
          <w:rFonts w:hint="cs"/>
          <w:rtl/>
          <w:lang w:val="he"/>
        </w:rPr>
        <w:t xml:space="preserve">ממים או </w:t>
      </w:r>
      <w:r w:rsidR="00C6527B">
        <w:rPr>
          <w:rFonts w:hint="cs"/>
          <w:rtl/>
          <w:lang w:val="he"/>
        </w:rPr>
        <w:t>אש או</w:t>
      </w:r>
      <w:r w:rsidR="00CB55AF">
        <w:rPr>
          <w:rFonts w:hint="cs"/>
          <w:rtl/>
          <w:lang w:val="he"/>
        </w:rPr>
        <w:t xml:space="preserve"> עפר </w:t>
      </w:r>
      <w:r w:rsidR="00E51494">
        <w:rPr>
          <w:rFonts w:hint="cs"/>
          <w:rtl/>
          <w:lang w:val="he"/>
        </w:rPr>
        <w:t>או עץ</w:t>
      </w:r>
      <w:r w:rsidR="00D722D9">
        <w:rPr>
          <w:rStyle w:val="FootnoteReference"/>
          <w:rtl/>
          <w:lang w:val="he"/>
        </w:rPr>
        <w:footnoteReference w:id="604"/>
      </w:r>
      <w:r w:rsidR="00E51494">
        <w:rPr>
          <w:rFonts w:hint="cs"/>
          <w:rtl/>
          <w:lang w:val="he"/>
        </w:rPr>
        <w:t xml:space="preserve"> או משהו אח</w:t>
      </w:r>
      <w:r w:rsidR="00C72C12">
        <w:rPr>
          <w:rFonts w:hint="cs"/>
          <w:rtl/>
          <w:lang w:val="he"/>
        </w:rPr>
        <w:t>ר</w:t>
      </w:r>
      <w:r w:rsidR="001955E3">
        <w:rPr>
          <w:rFonts w:hint="cs"/>
          <w:rtl/>
          <w:lang w:val="he"/>
        </w:rPr>
        <w:t xml:space="preserve">, אלא </w:t>
      </w:r>
      <w:r w:rsidR="007A0A1A">
        <w:rPr>
          <w:rFonts w:hint="cs"/>
          <w:rtl/>
          <w:lang w:val="he"/>
        </w:rPr>
        <w:t>ה</w:t>
      </w:r>
      <w:r w:rsidR="002C7E72">
        <w:rPr>
          <w:rFonts w:hint="cs"/>
          <w:rtl/>
          <w:lang w:val="he"/>
        </w:rPr>
        <w:t>יותו יחידה</w:t>
      </w:r>
      <w:r w:rsidR="007A0A1A">
        <w:rPr>
          <w:rFonts w:hint="cs"/>
          <w:rtl/>
          <w:lang w:val="he"/>
        </w:rPr>
        <w:t xml:space="preserve"> ה</w:t>
      </w:r>
      <w:r w:rsidR="00D80C9C">
        <w:rPr>
          <w:rFonts w:hint="cs"/>
          <w:rtl/>
          <w:lang w:val="he"/>
        </w:rPr>
        <w:t>ו</w:t>
      </w:r>
      <w:r w:rsidR="007A0A1A">
        <w:rPr>
          <w:rFonts w:hint="cs"/>
          <w:rtl/>
          <w:lang w:val="he"/>
        </w:rPr>
        <w:t xml:space="preserve">א דבר </w:t>
      </w:r>
      <w:r w:rsidR="007269C2">
        <w:rPr>
          <w:rFonts w:hint="cs"/>
          <w:rtl/>
          <w:lang w:val="he"/>
        </w:rPr>
        <w:t xml:space="preserve">הכרחי </w:t>
      </w:r>
      <w:r w:rsidR="007E0464">
        <w:rPr>
          <w:rFonts w:hint="cs"/>
          <w:rtl/>
          <w:lang w:val="he"/>
        </w:rPr>
        <w:t xml:space="preserve">לו </w:t>
      </w:r>
      <w:r w:rsidR="00122EBC">
        <w:rPr>
          <w:rFonts w:hint="cs"/>
          <w:rtl/>
          <w:lang w:val="he"/>
        </w:rPr>
        <w:t xml:space="preserve">בנפרד </w:t>
      </w:r>
      <w:r w:rsidR="001C2344">
        <w:rPr>
          <w:rFonts w:hint="cs"/>
          <w:rtl/>
          <w:lang w:val="he"/>
        </w:rPr>
        <w:t>מ</w:t>
      </w:r>
      <w:r w:rsidR="007E0464">
        <w:rPr>
          <w:rFonts w:hint="cs"/>
          <w:rtl/>
          <w:lang w:val="he"/>
        </w:rPr>
        <w:t>מהותו</w:t>
      </w:r>
      <w:r w:rsidR="00F205DB">
        <w:rPr>
          <w:rFonts w:hint="cs"/>
          <w:rtl/>
          <w:lang w:val="he"/>
        </w:rPr>
        <w:t xml:space="preserve">. </w:t>
      </w:r>
    </w:p>
    <w:p w14:paraId="5B28C446" w14:textId="77777777" w:rsidR="009A3965" w:rsidRDefault="00D24279" w:rsidP="00043885">
      <w:pPr>
        <w:rPr>
          <w:rtl/>
          <w:lang w:val="he"/>
        </w:rPr>
      </w:pPr>
      <w:r>
        <w:rPr>
          <w:rFonts w:hint="cs"/>
          <w:rtl/>
          <w:lang w:val="he"/>
        </w:rPr>
        <w:t>ו</w:t>
      </w:r>
      <w:r w:rsidR="0027528D">
        <w:rPr>
          <w:rFonts w:hint="cs"/>
          <w:rtl/>
          <w:lang w:val="he"/>
        </w:rPr>
        <w:t xml:space="preserve">ייחשבו </w:t>
      </w:r>
      <w:r w:rsidR="00C8392F">
        <w:rPr>
          <w:rFonts w:hint="cs"/>
          <w:rtl/>
          <w:lang w:val="he"/>
        </w:rPr>
        <w:t xml:space="preserve">שתי </w:t>
      </w:r>
      <w:r w:rsidR="0027528D">
        <w:rPr>
          <w:rFonts w:hint="cs"/>
          <w:rtl/>
          <w:lang w:val="he"/>
        </w:rPr>
        <w:t>ה</w:t>
      </w:r>
      <w:r w:rsidR="00FF2471">
        <w:rPr>
          <w:rFonts w:hint="cs"/>
          <w:rtl/>
          <w:lang w:val="he"/>
        </w:rPr>
        <w:t>יחידות</w:t>
      </w:r>
      <w:r w:rsidR="0027528D">
        <w:rPr>
          <w:rFonts w:hint="cs"/>
          <w:rtl/>
          <w:lang w:val="he"/>
        </w:rPr>
        <w:t xml:space="preserve"> האלה</w:t>
      </w:r>
      <w:r w:rsidR="00236392">
        <w:rPr>
          <w:rFonts w:hint="cs"/>
          <w:rtl/>
          <w:lang w:val="he"/>
        </w:rPr>
        <w:t xml:space="preserve"> </w:t>
      </w:r>
      <w:r w:rsidR="00DA28C7">
        <w:rPr>
          <w:rFonts w:hint="cs"/>
          <w:rtl/>
          <w:lang w:val="he"/>
        </w:rPr>
        <w:t>מ</w:t>
      </w:r>
      <w:r w:rsidR="00090060">
        <w:rPr>
          <w:rFonts w:hint="cs"/>
          <w:rtl/>
          <w:lang w:val="he"/>
        </w:rPr>
        <w:t xml:space="preserve">צד </w:t>
      </w:r>
      <w:r w:rsidR="00772433">
        <w:rPr>
          <w:rFonts w:hint="cs"/>
          <w:rtl/>
          <w:lang w:val="he"/>
        </w:rPr>
        <w:t>ש</w:t>
      </w:r>
      <w:r w:rsidR="005B15F7">
        <w:rPr>
          <w:rFonts w:hint="cs"/>
          <w:rtl/>
          <w:lang w:val="he"/>
        </w:rPr>
        <w:t>ב</w:t>
      </w:r>
      <w:r w:rsidR="00D042D5">
        <w:rPr>
          <w:rFonts w:hint="cs"/>
          <w:rtl/>
          <w:lang w:val="he"/>
        </w:rPr>
        <w:t xml:space="preserve">אופן מאופני </w:t>
      </w:r>
      <w:r w:rsidR="00E33250">
        <w:rPr>
          <w:rFonts w:hint="cs"/>
          <w:rtl/>
          <w:lang w:val="he"/>
        </w:rPr>
        <w:t>המציאו</w:t>
      </w:r>
      <w:r w:rsidR="00772433">
        <w:rPr>
          <w:rFonts w:hint="cs"/>
          <w:rtl/>
          <w:lang w:val="he"/>
        </w:rPr>
        <w:t>ת ביחד</w:t>
      </w:r>
      <w:r w:rsidR="001E65E6">
        <w:rPr>
          <w:rFonts w:hint="cs"/>
          <w:rtl/>
          <w:lang w:val="he"/>
        </w:rPr>
        <w:t xml:space="preserve"> </w:t>
      </w:r>
      <w:r w:rsidR="00772433">
        <w:rPr>
          <w:rFonts w:hint="cs"/>
          <w:rtl/>
          <w:lang w:val="he"/>
        </w:rPr>
        <w:t xml:space="preserve">הן </w:t>
      </w:r>
      <w:r w:rsidR="001E65E6">
        <w:rPr>
          <w:rFonts w:hint="cs"/>
          <w:rtl/>
          <w:lang w:val="he"/>
        </w:rPr>
        <w:t>צורת ה</w:t>
      </w:r>
      <w:r w:rsidR="00C17810" w:rsidRPr="00C17810">
        <w:rPr>
          <w:rtl/>
          <w:lang w:val="he"/>
        </w:rPr>
        <w:t>שְׁ</w:t>
      </w:r>
      <w:r w:rsidR="007A54F1" w:rsidRPr="007A54F1">
        <w:rPr>
          <w:rtl/>
          <w:lang w:val="he"/>
        </w:rPr>
        <w:t>נִ</w:t>
      </w:r>
      <w:r w:rsidR="001E65E6">
        <w:rPr>
          <w:rFonts w:hint="cs"/>
          <w:rtl/>
          <w:lang w:val="he"/>
        </w:rPr>
        <w:t>י</w:t>
      </w:r>
      <w:r w:rsidR="00B35706" w:rsidRPr="00B35706">
        <w:rPr>
          <w:rtl/>
          <w:lang w:val="he"/>
        </w:rPr>
        <w:t>וּ</w:t>
      </w:r>
      <w:r w:rsidR="001E65E6">
        <w:rPr>
          <w:rFonts w:hint="cs"/>
          <w:rtl/>
          <w:lang w:val="he"/>
        </w:rPr>
        <w:t>ת</w:t>
      </w:r>
      <w:r w:rsidR="00F2744D">
        <w:rPr>
          <w:rFonts w:hint="cs"/>
          <w:rtl/>
          <w:lang w:val="he"/>
        </w:rPr>
        <w:t xml:space="preserve"> במציאות זו</w:t>
      </w:r>
      <w:r w:rsidR="00E77341">
        <w:rPr>
          <w:rFonts w:hint="cs"/>
          <w:rtl/>
          <w:lang w:val="he"/>
        </w:rPr>
        <w:t>.</w:t>
      </w:r>
      <w:r w:rsidR="00F2744D">
        <w:rPr>
          <w:rFonts w:hint="cs"/>
          <w:rtl/>
          <w:lang w:val="he"/>
        </w:rPr>
        <w:t xml:space="preserve"> </w:t>
      </w:r>
      <w:r w:rsidR="00C17810">
        <w:rPr>
          <w:rFonts w:hint="cs"/>
          <w:rtl/>
          <w:lang w:val="he"/>
        </w:rPr>
        <w:t xml:space="preserve">וכמו כן </w:t>
      </w:r>
      <w:r w:rsidR="00EB43A5">
        <w:rPr>
          <w:rFonts w:hint="cs"/>
          <w:rtl/>
          <w:lang w:val="he"/>
        </w:rPr>
        <w:t>במספרים האחרים</w:t>
      </w:r>
      <w:r w:rsidR="00647F12">
        <w:rPr>
          <w:rStyle w:val="FootnoteReference"/>
          <w:rtl/>
          <w:lang w:val="he"/>
        </w:rPr>
        <w:footnoteReference w:id="605"/>
      </w:r>
      <w:r w:rsidR="001E65E6">
        <w:rPr>
          <w:rFonts w:hint="cs"/>
          <w:rtl/>
          <w:lang w:val="he"/>
        </w:rPr>
        <w:t xml:space="preserve">, </w:t>
      </w:r>
      <w:r w:rsidR="00F63448">
        <w:rPr>
          <w:rFonts w:hint="cs"/>
          <w:rtl/>
          <w:lang w:val="he"/>
        </w:rPr>
        <w:t>ואלה הם המספרים הניתנים לספירה</w:t>
      </w:r>
      <w:r w:rsidR="00C31797">
        <w:rPr>
          <w:rStyle w:val="FootnoteReference"/>
          <w:rtl/>
          <w:lang w:val="he"/>
        </w:rPr>
        <w:footnoteReference w:id="606"/>
      </w:r>
      <w:r w:rsidR="00F63448">
        <w:rPr>
          <w:rFonts w:hint="cs"/>
          <w:rtl/>
          <w:lang w:val="he"/>
        </w:rPr>
        <w:t>.</w:t>
      </w:r>
      <w:r w:rsidR="00DF6B4F">
        <w:rPr>
          <w:rFonts w:hint="cs"/>
          <w:lang w:val="he"/>
        </w:rPr>
        <w:t xml:space="preserve"> </w:t>
      </w:r>
    </w:p>
    <w:p w14:paraId="3A35DD8F" w14:textId="264A848F" w:rsidR="00776EE8" w:rsidRDefault="00CE1356" w:rsidP="00043885">
      <w:pPr>
        <w:rPr>
          <w:rtl/>
          <w:lang w:val="he"/>
        </w:rPr>
      </w:pPr>
      <w:r>
        <w:rPr>
          <w:rFonts w:hint="cs"/>
          <w:rtl/>
          <w:lang w:val="he"/>
        </w:rPr>
        <w:t>ואפשר שהם</w:t>
      </w:r>
      <w:r w:rsidR="00E26EDC">
        <w:rPr>
          <w:rStyle w:val="FootnoteReference"/>
          <w:rtl/>
          <w:lang w:val="he"/>
        </w:rPr>
        <w:footnoteReference w:id="607"/>
      </w:r>
      <w:r>
        <w:rPr>
          <w:rFonts w:hint="cs"/>
          <w:rtl/>
          <w:lang w:val="he"/>
        </w:rPr>
        <w:t xml:space="preserve"> נמצאים במציאות שאינה טבעית, </w:t>
      </w:r>
      <w:r w:rsidR="005138E3">
        <w:rPr>
          <w:rFonts w:hint="cs"/>
          <w:rtl/>
          <w:lang w:val="he"/>
        </w:rPr>
        <w:t>ש</w:t>
      </w:r>
      <w:r w:rsidR="000D153E">
        <w:rPr>
          <w:rFonts w:hint="cs"/>
          <w:rtl/>
          <w:lang w:val="he"/>
        </w:rPr>
        <w:t>מתגלה</w:t>
      </w:r>
      <w:r w:rsidR="005138E3">
        <w:rPr>
          <w:rFonts w:hint="cs"/>
          <w:rtl/>
          <w:lang w:val="he"/>
        </w:rPr>
        <w:t xml:space="preserve"> </w:t>
      </w:r>
      <w:r w:rsidR="00665B46">
        <w:rPr>
          <w:rFonts w:hint="cs"/>
          <w:rtl/>
          <w:lang w:val="he"/>
        </w:rPr>
        <w:t xml:space="preserve">לה </w:t>
      </w:r>
      <w:r w:rsidR="00A35428">
        <w:rPr>
          <w:rFonts w:hint="cs"/>
          <w:rtl/>
          <w:lang w:val="he"/>
        </w:rPr>
        <w:t>ישו</w:t>
      </w:r>
      <w:r w:rsidR="00B84949">
        <w:rPr>
          <w:rFonts w:hint="cs"/>
          <w:rtl/>
          <w:lang w:val="he"/>
        </w:rPr>
        <w:t>ת</w:t>
      </w:r>
      <w:r w:rsidR="00EE6AAA">
        <w:rPr>
          <w:rStyle w:val="FootnoteReference"/>
          <w:rtl/>
          <w:lang w:val="he"/>
        </w:rPr>
        <w:footnoteReference w:id="608"/>
      </w:r>
      <w:r w:rsidR="00B84949">
        <w:rPr>
          <w:rFonts w:hint="cs"/>
          <w:rtl/>
          <w:lang w:val="he"/>
        </w:rPr>
        <w:t xml:space="preserve"> וקיום</w:t>
      </w:r>
      <w:r w:rsidR="004607EA">
        <w:rPr>
          <w:rFonts w:hint="cs"/>
          <w:rtl/>
          <w:lang w:val="he"/>
        </w:rPr>
        <w:t xml:space="preserve">, ואין המספר </w:t>
      </w:r>
      <w:r w:rsidR="00291DE2">
        <w:rPr>
          <w:rFonts w:hint="cs"/>
          <w:rtl/>
          <w:lang w:val="he"/>
        </w:rPr>
        <w:t>נכנס לעולם הטבע</w:t>
      </w:r>
      <w:r w:rsidR="004129CF">
        <w:rPr>
          <w:rFonts w:hint="cs"/>
          <w:rtl/>
          <w:lang w:val="he"/>
        </w:rPr>
        <w:t>י</w:t>
      </w:r>
      <w:r w:rsidR="003A6228">
        <w:rPr>
          <w:rFonts w:hint="cs"/>
          <w:rtl/>
          <w:lang w:val="he"/>
        </w:rPr>
        <w:t xml:space="preserve"> כי אינו </w:t>
      </w:r>
      <w:r w:rsidR="0092051E">
        <w:rPr>
          <w:rFonts w:hint="cs"/>
          <w:rtl/>
          <w:lang w:val="he"/>
        </w:rPr>
        <w:t>חלק ולא מין מה</w:t>
      </w:r>
      <w:r w:rsidR="005331EF">
        <w:rPr>
          <w:rFonts w:hint="cs"/>
          <w:rtl/>
          <w:lang w:val="he"/>
        </w:rPr>
        <w:t>מ</w:t>
      </w:r>
      <w:r w:rsidR="0092051E">
        <w:rPr>
          <w:rFonts w:hint="cs"/>
          <w:rtl/>
          <w:lang w:val="he"/>
        </w:rPr>
        <w:t>ושא</w:t>
      </w:r>
      <w:r w:rsidR="00BF13AD">
        <w:rPr>
          <w:rStyle w:val="FootnoteReference"/>
          <w:rtl/>
          <w:lang w:val="he"/>
        </w:rPr>
        <w:footnoteReference w:id="609"/>
      </w:r>
      <w:r w:rsidR="00D36FC2">
        <w:rPr>
          <w:rFonts w:hint="cs"/>
          <w:rtl/>
          <w:lang w:val="he"/>
        </w:rPr>
        <w:t xml:space="preserve"> ולא מקרה מיוחד בו</w:t>
      </w:r>
      <w:r w:rsidR="00B84949">
        <w:rPr>
          <w:rFonts w:hint="cs"/>
          <w:rtl/>
          <w:lang w:val="he"/>
        </w:rPr>
        <w:t xml:space="preserve">. </w:t>
      </w:r>
      <w:r w:rsidR="00A956D7">
        <w:rPr>
          <w:rFonts w:hint="cs"/>
          <w:rtl/>
          <w:lang w:val="he"/>
        </w:rPr>
        <w:t>ו</w:t>
      </w:r>
      <w:r w:rsidR="00C66A60">
        <w:rPr>
          <w:rFonts w:hint="cs"/>
          <w:rtl/>
          <w:lang w:val="he"/>
        </w:rPr>
        <w:t xml:space="preserve">הווייתו לא מצריכה </w:t>
      </w:r>
      <w:r w:rsidR="00775910">
        <w:rPr>
          <w:rFonts w:hint="cs"/>
          <w:rtl/>
          <w:lang w:val="he"/>
        </w:rPr>
        <w:t xml:space="preserve">להיות שייכת לא לטבע </w:t>
      </w:r>
      <w:r w:rsidR="00C502D6">
        <w:rPr>
          <w:rFonts w:hint="cs"/>
          <w:rtl/>
          <w:lang w:val="he"/>
        </w:rPr>
        <w:t xml:space="preserve">ולא למה שאינו </w:t>
      </w:r>
      <w:r w:rsidR="002F6791">
        <w:rPr>
          <w:rFonts w:hint="cs"/>
          <w:rtl/>
          <w:lang w:val="he"/>
        </w:rPr>
        <w:t xml:space="preserve">הטבע </w:t>
      </w:r>
      <w:r w:rsidR="00743920">
        <w:rPr>
          <w:rFonts w:hint="cs"/>
          <w:rtl/>
          <w:lang w:val="he"/>
        </w:rPr>
        <w:t>(</w:t>
      </w:r>
      <w:r w:rsidR="00AB5BE1">
        <w:rPr>
          <w:rFonts w:hint="cs"/>
          <w:rtl/>
          <w:lang w:val="he"/>
        </w:rPr>
        <w:t xml:space="preserve">והמובן של 'שייכת' </w:t>
      </w:r>
      <w:r w:rsidR="005065FB">
        <w:rPr>
          <w:rFonts w:hint="cs"/>
          <w:rtl/>
          <w:lang w:val="he"/>
        </w:rPr>
        <w:t>הוא ש</w:t>
      </w:r>
      <w:r w:rsidR="002A56E6">
        <w:rPr>
          <w:rFonts w:hint="cs"/>
          <w:rtl/>
          <w:lang w:val="he"/>
        </w:rPr>
        <w:t xml:space="preserve">תהיה מציאות </w:t>
      </w:r>
      <w:proofErr w:type="spellStart"/>
      <w:r w:rsidR="002A56E6">
        <w:rPr>
          <w:rFonts w:hint="cs"/>
          <w:rtl/>
          <w:lang w:val="he"/>
        </w:rPr>
        <w:t>מסויימת</w:t>
      </w:r>
      <w:proofErr w:type="spellEnd"/>
      <w:r w:rsidR="002A56E6">
        <w:rPr>
          <w:rFonts w:hint="cs"/>
          <w:rtl/>
          <w:lang w:val="he"/>
        </w:rPr>
        <w:t xml:space="preserve"> ש</w:t>
      </w:r>
      <w:r w:rsidR="00F04596">
        <w:rPr>
          <w:rFonts w:hint="cs"/>
          <w:rtl/>
          <w:lang w:val="he"/>
        </w:rPr>
        <w:t>עלי</w:t>
      </w:r>
      <w:r w:rsidR="002A56E6">
        <w:rPr>
          <w:rFonts w:hint="cs"/>
          <w:rtl/>
          <w:lang w:val="he"/>
        </w:rPr>
        <w:t xml:space="preserve">ה ייאמר </w:t>
      </w:r>
      <w:r w:rsidR="00BB1E87">
        <w:rPr>
          <w:rFonts w:hint="cs"/>
          <w:rtl/>
          <w:lang w:val="he"/>
        </w:rPr>
        <w:t>שהיא</w:t>
      </w:r>
      <w:r w:rsidR="00AC2462">
        <w:rPr>
          <w:rStyle w:val="FootnoteReference"/>
          <w:rtl/>
          <w:lang w:val="he"/>
        </w:rPr>
        <w:footnoteReference w:id="610"/>
      </w:r>
      <w:r w:rsidR="00BB1E87">
        <w:rPr>
          <w:rFonts w:hint="cs"/>
          <w:rtl/>
          <w:lang w:val="he"/>
        </w:rPr>
        <w:t xml:space="preserve"> </w:t>
      </w:r>
      <w:r w:rsidR="00036660">
        <w:rPr>
          <w:rFonts w:hint="cs"/>
          <w:rtl/>
          <w:lang w:val="he"/>
        </w:rPr>
        <w:t xml:space="preserve">מחייבת את השייכות </w:t>
      </w:r>
      <w:r w:rsidR="00080E0C">
        <w:rPr>
          <w:rFonts w:hint="cs"/>
          <w:rtl/>
          <w:lang w:val="he"/>
        </w:rPr>
        <w:t>אליה</w:t>
      </w:r>
      <w:r w:rsidR="00743920">
        <w:rPr>
          <w:rFonts w:hint="cs"/>
          <w:rtl/>
          <w:lang w:val="he"/>
        </w:rPr>
        <w:t>)</w:t>
      </w:r>
      <w:r w:rsidR="00CB4FAA">
        <w:rPr>
          <w:rFonts w:hint="cs"/>
          <w:rtl/>
          <w:lang w:val="he"/>
        </w:rPr>
        <w:t xml:space="preserve">, </w:t>
      </w:r>
      <w:r w:rsidR="000B77EC">
        <w:rPr>
          <w:rFonts w:hint="cs"/>
          <w:rtl/>
          <w:lang w:val="he"/>
        </w:rPr>
        <w:t>אלא</w:t>
      </w:r>
      <w:r w:rsidR="00D96ED6">
        <w:rPr>
          <w:rFonts w:hint="cs"/>
          <w:rtl/>
          <w:lang w:val="he"/>
        </w:rPr>
        <w:t xml:space="preserve"> </w:t>
      </w:r>
      <w:r w:rsidR="00C24AC3">
        <w:rPr>
          <w:rFonts w:hint="cs"/>
          <w:rtl/>
          <w:lang w:val="he"/>
        </w:rPr>
        <w:t xml:space="preserve">היא נבדלת </w:t>
      </w:r>
      <w:r w:rsidR="0091598F">
        <w:rPr>
          <w:rFonts w:hint="cs"/>
          <w:rtl/>
          <w:lang w:val="he"/>
        </w:rPr>
        <w:t xml:space="preserve">מכל אחד </w:t>
      </w:r>
      <w:r w:rsidR="00FA0AD0">
        <w:rPr>
          <w:rFonts w:hint="cs"/>
          <w:rtl/>
          <w:lang w:val="he"/>
        </w:rPr>
        <w:t>מהם</w:t>
      </w:r>
      <w:r w:rsidR="00637EA6">
        <w:rPr>
          <w:rStyle w:val="FootnoteReference"/>
          <w:rtl/>
          <w:lang w:val="he"/>
        </w:rPr>
        <w:footnoteReference w:id="611"/>
      </w:r>
      <w:r w:rsidR="00FA0AD0">
        <w:rPr>
          <w:rFonts w:hint="cs"/>
          <w:rtl/>
          <w:lang w:val="he"/>
        </w:rPr>
        <w:t xml:space="preserve"> בקיום ובהגדרה,</w:t>
      </w:r>
      <w:r w:rsidR="005E21F0">
        <w:rPr>
          <w:rFonts w:hint="cs"/>
          <w:rtl/>
          <w:lang w:val="he"/>
        </w:rPr>
        <w:t xml:space="preserve"> ושייכת </w:t>
      </w:r>
      <w:r w:rsidR="002B6FEF">
        <w:rPr>
          <w:rFonts w:hint="cs"/>
          <w:rtl/>
          <w:lang w:val="he"/>
        </w:rPr>
        <w:t>למ</w:t>
      </w:r>
      <w:r w:rsidR="00CF7285">
        <w:rPr>
          <w:rFonts w:hint="cs"/>
          <w:rtl/>
          <w:lang w:val="he"/>
        </w:rPr>
        <w:t xml:space="preserve">ה שיש ולא </w:t>
      </w:r>
      <w:r w:rsidR="00C2012C">
        <w:rPr>
          <w:rFonts w:hint="cs"/>
          <w:rtl/>
          <w:lang w:val="he"/>
        </w:rPr>
        <w:t xml:space="preserve">נבדלת מהמציאות הכללית </w:t>
      </w:r>
      <w:r w:rsidR="00521EE9">
        <w:rPr>
          <w:rFonts w:hint="cs"/>
          <w:rtl/>
          <w:lang w:val="he"/>
        </w:rPr>
        <w:t xml:space="preserve">והיא מהדברים </w:t>
      </w:r>
      <w:r w:rsidR="002A2A3F">
        <w:rPr>
          <w:rFonts w:hint="cs"/>
          <w:rtl/>
          <w:lang w:val="he"/>
        </w:rPr>
        <w:t>ההכרחיים לה</w:t>
      </w:r>
      <w:r w:rsidR="00DF6EF8">
        <w:rPr>
          <w:rStyle w:val="FootnoteReference"/>
          <w:rtl/>
          <w:lang w:val="he"/>
        </w:rPr>
        <w:footnoteReference w:id="612"/>
      </w:r>
      <w:r w:rsidR="002A2A3F">
        <w:rPr>
          <w:rFonts w:hint="cs"/>
          <w:rtl/>
          <w:lang w:val="he"/>
        </w:rPr>
        <w:t>.</w:t>
      </w:r>
    </w:p>
    <w:p w14:paraId="3548E8D3" w14:textId="1F806496" w:rsidR="00D245A3" w:rsidRDefault="00120A9B" w:rsidP="00AF63E4">
      <w:pPr>
        <w:rPr>
          <w:rtl/>
          <w:lang w:val="he"/>
        </w:rPr>
      </w:pPr>
      <w:r>
        <w:rPr>
          <w:rFonts w:hint="cs"/>
          <w:rtl/>
          <w:lang w:val="he"/>
        </w:rPr>
        <w:t xml:space="preserve">טבע המספרים </w:t>
      </w:r>
      <w:r w:rsidR="00162B8E">
        <w:rPr>
          <w:rFonts w:hint="cs"/>
          <w:rtl/>
          <w:lang w:val="he"/>
        </w:rPr>
        <w:t xml:space="preserve">מקומו הראוי </w:t>
      </w:r>
      <w:r w:rsidR="00DA387E">
        <w:rPr>
          <w:rFonts w:hint="cs"/>
          <w:rtl/>
          <w:lang w:val="he"/>
        </w:rPr>
        <w:t xml:space="preserve">הוא </w:t>
      </w:r>
      <w:r w:rsidR="007412D8">
        <w:rPr>
          <w:rFonts w:hint="cs"/>
          <w:rtl/>
          <w:lang w:val="he"/>
        </w:rPr>
        <w:t>להיו</w:t>
      </w:r>
      <w:r w:rsidR="0054406A">
        <w:rPr>
          <w:rFonts w:hint="cs"/>
          <w:rtl/>
          <w:lang w:val="he"/>
        </w:rPr>
        <w:t>ת</w:t>
      </w:r>
      <w:r w:rsidR="0087501F">
        <w:rPr>
          <w:rFonts w:hint="cs"/>
          <w:rtl/>
          <w:lang w:val="he"/>
        </w:rPr>
        <w:t xml:space="preserve"> בשורשו</w:t>
      </w:r>
      <w:r w:rsidR="0054406A">
        <w:rPr>
          <w:rFonts w:hint="cs"/>
          <w:rtl/>
          <w:lang w:val="he"/>
        </w:rPr>
        <w:t xml:space="preserve"> מושכל </w:t>
      </w:r>
      <w:r w:rsidR="005771DD">
        <w:rPr>
          <w:rFonts w:hint="cs"/>
          <w:rtl/>
          <w:lang w:val="he"/>
        </w:rPr>
        <w:t>מופשט מחומר</w:t>
      </w:r>
      <w:r w:rsidR="00D10E1F">
        <w:rPr>
          <w:rStyle w:val="FootnoteReference"/>
          <w:rtl/>
          <w:lang w:val="he"/>
        </w:rPr>
        <w:footnoteReference w:id="613"/>
      </w:r>
      <w:r w:rsidR="008E284C">
        <w:rPr>
          <w:rFonts w:hint="cs"/>
          <w:rtl/>
          <w:lang w:val="he"/>
        </w:rPr>
        <w:t>,</w:t>
      </w:r>
      <w:r w:rsidR="0087501F">
        <w:rPr>
          <w:rFonts w:hint="cs"/>
          <w:rtl/>
          <w:lang w:val="he"/>
        </w:rPr>
        <w:t xml:space="preserve"> וההסתכלות </w:t>
      </w:r>
      <w:r w:rsidR="0075132A">
        <w:rPr>
          <w:rFonts w:hint="cs"/>
          <w:rtl/>
          <w:lang w:val="he"/>
        </w:rPr>
        <w:t xml:space="preserve">בו </w:t>
      </w:r>
      <w:r w:rsidR="004A3928">
        <w:rPr>
          <w:rFonts w:hint="cs"/>
          <w:rtl/>
          <w:lang w:val="he"/>
        </w:rPr>
        <w:t>מ</w:t>
      </w:r>
      <w:r w:rsidR="00F26673">
        <w:rPr>
          <w:rFonts w:hint="cs"/>
          <w:rtl/>
          <w:lang w:val="he"/>
        </w:rPr>
        <w:t>צד</w:t>
      </w:r>
      <w:r w:rsidR="0030551E">
        <w:rPr>
          <w:rFonts w:hint="cs"/>
          <w:rtl/>
          <w:lang w:val="he"/>
        </w:rPr>
        <w:t xml:space="preserve"> שהוא</w:t>
      </w:r>
      <w:r w:rsidR="004A3928">
        <w:rPr>
          <w:rFonts w:hint="cs"/>
          <w:rtl/>
          <w:lang w:val="he"/>
        </w:rPr>
        <w:t xml:space="preserve"> טבע המספרים</w:t>
      </w:r>
      <w:r w:rsidR="00163BD5">
        <w:rPr>
          <w:rFonts w:hint="cs"/>
          <w:rtl/>
          <w:lang w:val="he"/>
        </w:rPr>
        <w:t xml:space="preserve"> </w:t>
      </w:r>
      <w:r w:rsidR="00D13C40">
        <w:rPr>
          <w:rFonts w:hint="cs"/>
          <w:rtl/>
          <w:lang w:val="he"/>
        </w:rPr>
        <w:t xml:space="preserve">ומה </w:t>
      </w:r>
      <w:r w:rsidR="00B66F9C">
        <w:rPr>
          <w:rFonts w:hint="cs"/>
          <w:rtl/>
          <w:lang w:val="he"/>
        </w:rPr>
        <w:t>שמקרי</w:t>
      </w:r>
      <w:r w:rsidR="00D13C40">
        <w:rPr>
          <w:rFonts w:hint="cs"/>
          <w:rtl/>
          <w:lang w:val="he"/>
        </w:rPr>
        <w:t xml:space="preserve"> </w:t>
      </w:r>
      <w:r w:rsidR="00C45258">
        <w:rPr>
          <w:rFonts w:hint="cs"/>
          <w:rtl/>
          <w:lang w:val="he"/>
        </w:rPr>
        <w:t xml:space="preserve">לו </w:t>
      </w:r>
      <w:r w:rsidR="00E172FF">
        <w:rPr>
          <w:rFonts w:hint="cs"/>
          <w:rtl/>
          <w:lang w:val="he"/>
        </w:rPr>
        <w:t>מבחינה</w:t>
      </w:r>
      <w:r w:rsidR="00B26317">
        <w:rPr>
          <w:rFonts w:hint="cs"/>
          <w:rtl/>
          <w:lang w:val="he"/>
        </w:rPr>
        <w:t xml:space="preserve"> ז</w:t>
      </w:r>
      <w:r w:rsidR="00B66F9C">
        <w:rPr>
          <w:rFonts w:hint="cs"/>
          <w:rtl/>
          <w:lang w:val="he"/>
        </w:rPr>
        <w:t>ו</w:t>
      </w:r>
      <w:r w:rsidR="000D0ECC">
        <w:rPr>
          <w:rStyle w:val="FootnoteReference"/>
          <w:rtl/>
          <w:lang w:val="he"/>
        </w:rPr>
        <w:footnoteReference w:id="614"/>
      </w:r>
      <w:r w:rsidR="00B26317">
        <w:rPr>
          <w:rFonts w:hint="cs"/>
          <w:rtl/>
          <w:lang w:val="he"/>
        </w:rPr>
        <w:t xml:space="preserve">, </w:t>
      </w:r>
      <w:r w:rsidR="00677911">
        <w:rPr>
          <w:rFonts w:hint="cs"/>
          <w:rtl/>
          <w:lang w:val="he"/>
        </w:rPr>
        <w:t>היא הסתכלות מופשטת מחומר</w:t>
      </w:r>
      <w:r w:rsidR="004F2AD5">
        <w:rPr>
          <w:rFonts w:hint="cs"/>
          <w:rtl/>
          <w:lang w:val="he"/>
        </w:rPr>
        <w:t>.</w:t>
      </w:r>
      <w:r w:rsidR="00413775">
        <w:rPr>
          <w:rFonts w:hint="cs"/>
          <w:rtl/>
          <w:lang w:val="he"/>
        </w:rPr>
        <w:t xml:space="preserve"> </w:t>
      </w:r>
      <w:r w:rsidR="007D67BD">
        <w:rPr>
          <w:rFonts w:hint="cs"/>
          <w:rtl/>
          <w:lang w:val="he"/>
        </w:rPr>
        <w:t xml:space="preserve">אחר כך </w:t>
      </w:r>
      <w:r w:rsidR="00C810CB">
        <w:rPr>
          <w:rFonts w:hint="cs"/>
          <w:rtl/>
          <w:lang w:val="he"/>
        </w:rPr>
        <w:t>א</w:t>
      </w:r>
      <w:r w:rsidR="00DF38CC">
        <w:rPr>
          <w:rFonts w:hint="cs"/>
          <w:rtl/>
          <w:lang w:val="he"/>
        </w:rPr>
        <w:t>פשר</w:t>
      </w:r>
      <w:r w:rsidR="00C810CB">
        <w:rPr>
          <w:rFonts w:hint="cs"/>
          <w:rtl/>
          <w:lang w:val="he"/>
        </w:rPr>
        <w:t xml:space="preserve"> </w:t>
      </w:r>
      <w:r w:rsidR="00DF38CC">
        <w:rPr>
          <w:rFonts w:hint="cs"/>
          <w:rtl/>
          <w:lang w:val="he"/>
        </w:rPr>
        <w:t>ש</w:t>
      </w:r>
      <w:r w:rsidR="00C810CB">
        <w:rPr>
          <w:rFonts w:hint="cs"/>
          <w:rtl/>
          <w:lang w:val="he"/>
        </w:rPr>
        <w:t>יקרו ל</w:t>
      </w:r>
      <w:r w:rsidR="00613C98">
        <w:rPr>
          <w:rFonts w:hint="cs"/>
          <w:rtl/>
          <w:lang w:val="he"/>
        </w:rPr>
        <w:t>מספר</w:t>
      </w:r>
      <w:r w:rsidR="00C810CB">
        <w:rPr>
          <w:rFonts w:hint="cs"/>
          <w:rtl/>
          <w:lang w:val="he"/>
        </w:rPr>
        <w:t xml:space="preserve"> מצבים</w:t>
      </w:r>
      <w:r w:rsidR="00413F12">
        <w:rPr>
          <w:rFonts w:hint="cs"/>
          <w:rtl/>
          <w:lang w:val="he"/>
        </w:rPr>
        <w:t xml:space="preserve"> שיסתכל בהם </w:t>
      </w:r>
      <w:proofErr w:type="spellStart"/>
      <w:r w:rsidR="00413F12" w:rsidRPr="00413F12">
        <w:rPr>
          <w:rtl/>
          <w:lang w:val="he"/>
        </w:rPr>
        <w:t>הַכֹּח</w:t>
      </w:r>
      <w:proofErr w:type="spellEnd"/>
      <w:r w:rsidR="00413F12" w:rsidRPr="00413F12">
        <w:rPr>
          <w:rtl/>
          <w:lang w:val="he"/>
        </w:rPr>
        <w:t>ַ הַמַּחֲשָׁבִי</w:t>
      </w:r>
      <w:r w:rsidR="00FF6B64">
        <w:rPr>
          <w:rStyle w:val="FootnoteReference"/>
          <w:rtl/>
          <w:lang w:val="he"/>
        </w:rPr>
        <w:footnoteReference w:id="615"/>
      </w:r>
      <w:r w:rsidR="00FD6B79">
        <w:rPr>
          <w:rFonts w:hint="cs"/>
          <w:rtl/>
          <w:lang w:val="he"/>
        </w:rPr>
        <w:t xml:space="preserve">, </w:t>
      </w:r>
      <w:r w:rsidR="00CB062B">
        <w:rPr>
          <w:rFonts w:hint="cs"/>
          <w:rtl/>
          <w:lang w:val="he"/>
        </w:rPr>
        <w:t xml:space="preserve">ומצבים אלה </w:t>
      </w:r>
      <w:r w:rsidR="003C5B28">
        <w:rPr>
          <w:rFonts w:hint="cs"/>
          <w:rtl/>
          <w:lang w:val="he"/>
        </w:rPr>
        <w:t xml:space="preserve">לא יקרו לו </w:t>
      </w:r>
      <w:r w:rsidR="000A056D">
        <w:rPr>
          <w:rFonts w:hint="cs"/>
          <w:rtl/>
          <w:lang w:val="he"/>
        </w:rPr>
        <w:t xml:space="preserve">אלא </w:t>
      </w:r>
      <w:r w:rsidR="00FA7A9B">
        <w:rPr>
          <w:rFonts w:hint="cs"/>
          <w:rtl/>
          <w:lang w:val="he"/>
        </w:rPr>
        <w:t>כש</w:t>
      </w:r>
      <w:r w:rsidR="000A056D">
        <w:rPr>
          <w:rFonts w:hint="cs"/>
          <w:rtl/>
          <w:lang w:val="he"/>
        </w:rPr>
        <w:t>תכריח</w:t>
      </w:r>
      <w:r w:rsidR="00A65483">
        <w:rPr>
          <w:rFonts w:hint="cs"/>
          <w:rtl/>
          <w:lang w:val="he"/>
        </w:rPr>
        <w:t xml:space="preserve"> אותם</w:t>
      </w:r>
      <w:r w:rsidR="000A056D">
        <w:rPr>
          <w:rFonts w:hint="cs"/>
          <w:rtl/>
          <w:lang w:val="he"/>
        </w:rPr>
        <w:t xml:space="preserve"> שייכותו </w:t>
      </w:r>
      <w:r w:rsidR="001C0060">
        <w:rPr>
          <w:rFonts w:hint="cs"/>
          <w:rtl/>
          <w:lang w:val="he"/>
        </w:rPr>
        <w:t>ל</w:t>
      </w:r>
      <w:r w:rsidR="008E284C">
        <w:rPr>
          <w:rFonts w:hint="cs"/>
          <w:rtl/>
          <w:lang w:val="he"/>
        </w:rPr>
        <w:t>קיו</w:t>
      </w:r>
      <w:r w:rsidR="0015235C">
        <w:rPr>
          <w:rFonts w:hint="cs"/>
          <w:rtl/>
          <w:lang w:val="he"/>
        </w:rPr>
        <w:t>ם</w:t>
      </w:r>
      <w:r w:rsidR="008E284C">
        <w:rPr>
          <w:rFonts w:hint="cs"/>
          <w:rtl/>
          <w:lang w:val="he"/>
        </w:rPr>
        <w:t xml:space="preserve"> החומרי</w:t>
      </w:r>
      <w:r w:rsidR="00B1321C">
        <w:rPr>
          <w:rFonts w:hint="cs"/>
          <w:rtl/>
          <w:lang w:val="he"/>
        </w:rPr>
        <w:t xml:space="preserve">, </w:t>
      </w:r>
      <w:r w:rsidR="003F4E78">
        <w:rPr>
          <w:rFonts w:hint="cs"/>
          <w:rtl/>
          <w:lang w:val="he"/>
        </w:rPr>
        <w:t>ו</w:t>
      </w:r>
      <w:r w:rsidR="002C789D">
        <w:rPr>
          <w:rFonts w:hint="cs"/>
          <w:rtl/>
          <w:lang w:val="he"/>
        </w:rPr>
        <w:t xml:space="preserve">אף על פי שבהגדרה </w:t>
      </w:r>
      <w:r w:rsidR="00E209CA">
        <w:rPr>
          <w:rFonts w:hint="cs"/>
          <w:rtl/>
          <w:lang w:val="he"/>
        </w:rPr>
        <w:t xml:space="preserve">לא </w:t>
      </w:r>
      <w:r w:rsidR="003F4E78">
        <w:rPr>
          <w:rFonts w:hint="cs"/>
          <w:rtl/>
          <w:lang w:val="he"/>
        </w:rPr>
        <w:t>תכריח שייכותו בזה</w:t>
      </w:r>
      <w:r w:rsidR="000B55A4">
        <w:rPr>
          <w:rFonts w:hint="cs"/>
          <w:rtl/>
          <w:lang w:val="he"/>
        </w:rPr>
        <w:t xml:space="preserve">, ולא </w:t>
      </w:r>
      <w:r w:rsidR="00AD269F">
        <w:rPr>
          <w:rFonts w:hint="cs"/>
          <w:rtl/>
          <w:lang w:val="he"/>
        </w:rPr>
        <w:t xml:space="preserve">יהיה </w:t>
      </w:r>
      <w:r w:rsidR="00962D43">
        <w:rPr>
          <w:rFonts w:hint="cs"/>
          <w:rtl/>
          <w:lang w:val="he"/>
        </w:rPr>
        <w:t>ממה ש</w:t>
      </w:r>
      <w:r w:rsidR="00C0296E">
        <w:rPr>
          <w:rFonts w:hint="cs"/>
          <w:rtl/>
          <w:lang w:val="he"/>
        </w:rPr>
        <w:t>משתתף</w:t>
      </w:r>
      <w:r w:rsidR="00962D43">
        <w:rPr>
          <w:rFonts w:hint="cs"/>
          <w:rtl/>
          <w:lang w:val="he"/>
        </w:rPr>
        <w:t xml:space="preserve"> </w:t>
      </w:r>
      <w:r w:rsidR="00AF5DE1">
        <w:rPr>
          <w:rFonts w:hint="cs"/>
          <w:rtl/>
          <w:lang w:val="he"/>
        </w:rPr>
        <w:t>ב</w:t>
      </w:r>
      <w:r w:rsidR="00962D43">
        <w:rPr>
          <w:rFonts w:hint="cs"/>
          <w:rtl/>
          <w:lang w:val="he"/>
        </w:rPr>
        <w:t xml:space="preserve">חומר </w:t>
      </w:r>
      <w:r w:rsidR="009C463A">
        <w:rPr>
          <w:rFonts w:hint="cs"/>
          <w:rtl/>
          <w:lang w:val="he"/>
        </w:rPr>
        <w:t>מסוים</w:t>
      </w:r>
      <w:r w:rsidR="00F94379">
        <w:rPr>
          <w:rFonts w:hint="cs"/>
          <w:rtl/>
          <w:lang w:val="he"/>
        </w:rPr>
        <w:t>.</w:t>
      </w:r>
      <w:r w:rsidR="00580880">
        <w:rPr>
          <w:rFonts w:hint="cs"/>
          <w:rtl/>
          <w:lang w:val="he"/>
        </w:rPr>
        <w:t xml:space="preserve"> </w:t>
      </w:r>
      <w:r w:rsidR="00F94379">
        <w:rPr>
          <w:rFonts w:hint="cs"/>
          <w:rtl/>
          <w:lang w:val="he"/>
        </w:rPr>
        <w:t>ו</w:t>
      </w:r>
      <w:r w:rsidR="00580880">
        <w:rPr>
          <w:rFonts w:hint="cs"/>
          <w:rtl/>
          <w:lang w:val="he"/>
        </w:rPr>
        <w:t>ת</w:t>
      </w:r>
      <w:r w:rsidR="00F94379">
        <w:rPr>
          <w:rFonts w:hint="cs"/>
          <w:rtl/>
          <w:lang w:val="he"/>
        </w:rPr>
        <w:t>היה</w:t>
      </w:r>
      <w:r w:rsidR="00580880">
        <w:rPr>
          <w:rFonts w:hint="cs"/>
          <w:rtl/>
          <w:lang w:val="he"/>
        </w:rPr>
        <w:t xml:space="preserve"> ההסתכלות בטבע המספר</w:t>
      </w:r>
      <w:r w:rsidR="00434A30">
        <w:rPr>
          <w:rFonts w:hint="cs"/>
          <w:rtl/>
          <w:lang w:val="he"/>
        </w:rPr>
        <w:t xml:space="preserve"> מצד זה </w:t>
      </w:r>
      <w:r w:rsidR="005D2886">
        <w:rPr>
          <w:rFonts w:hint="cs"/>
          <w:rtl/>
          <w:lang w:val="he"/>
        </w:rPr>
        <w:t>הסתכלות</w:t>
      </w:r>
      <w:r w:rsidR="00262CD6">
        <w:rPr>
          <w:rFonts w:hint="cs"/>
          <w:rtl/>
          <w:lang w:val="he"/>
        </w:rPr>
        <w:t>ו</w:t>
      </w:r>
      <w:r w:rsidR="005D2886">
        <w:rPr>
          <w:rFonts w:hint="cs"/>
          <w:rtl/>
          <w:lang w:val="he"/>
        </w:rPr>
        <w:t xml:space="preserve"> של המתמטיקאי</w:t>
      </w:r>
      <w:r w:rsidR="00694993">
        <w:rPr>
          <w:rStyle w:val="FootnoteReference"/>
          <w:rtl/>
          <w:lang w:val="he"/>
        </w:rPr>
        <w:footnoteReference w:id="616"/>
      </w:r>
      <w:r w:rsidR="005D2886">
        <w:rPr>
          <w:rFonts w:hint="cs"/>
          <w:rtl/>
          <w:lang w:val="he"/>
        </w:rPr>
        <w:t>.</w:t>
      </w:r>
    </w:p>
    <w:p w14:paraId="1BC08D1F" w14:textId="77777777" w:rsidR="00C612A7" w:rsidRDefault="00D245A3" w:rsidP="003266A1">
      <w:pPr>
        <w:pStyle w:val="Heading4"/>
        <w:rPr>
          <w:rtl/>
          <w:lang w:val="he"/>
        </w:rPr>
      </w:pPr>
      <w:bookmarkStart w:id="281" w:name="_Toc119092681"/>
      <w:r>
        <w:rPr>
          <w:rFonts w:hint="cs"/>
          <w:rtl/>
          <w:lang w:val="he"/>
        </w:rPr>
        <w:t>1.8.4</w:t>
      </w:r>
      <w:bookmarkEnd w:id="281"/>
    </w:p>
    <w:p w14:paraId="7EF32BB7" w14:textId="0E86F209" w:rsidR="005200BC" w:rsidRDefault="005E0B13" w:rsidP="002E1CE2">
      <w:pPr>
        <w:rPr>
          <w:rtl/>
          <w:lang w:val="he"/>
        </w:rPr>
      </w:pPr>
      <w:r>
        <w:rPr>
          <w:rFonts w:hint="cs"/>
          <w:rtl/>
          <w:lang w:val="he"/>
        </w:rPr>
        <w:t>ואמנם ה</w:t>
      </w:r>
      <w:r w:rsidR="00DF2240" w:rsidRPr="00DF2240">
        <w:rPr>
          <w:rtl/>
          <w:lang w:val="he"/>
        </w:rPr>
        <w:t>גְּדָלִים</w:t>
      </w:r>
      <w:r w:rsidR="00C01BBF">
        <w:rPr>
          <w:rStyle w:val="FootnoteReference"/>
          <w:rtl/>
          <w:lang w:val="he"/>
        </w:rPr>
        <w:footnoteReference w:id="617"/>
      </w:r>
      <w:r>
        <w:rPr>
          <w:rFonts w:hint="cs"/>
          <w:rtl/>
          <w:lang w:val="he"/>
        </w:rPr>
        <w:t xml:space="preserve"> </w:t>
      </w:r>
      <w:r w:rsidR="006B375D">
        <w:rPr>
          <w:rFonts w:hint="cs"/>
          <w:rtl/>
          <w:lang w:val="he"/>
        </w:rPr>
        <w:t xml:space="preserve"> </w:t>
      </w:r>
      <w:r w:rsidR="000C76DB">
        <w:rPr>
          <w:rFonts w:hint="cs"/>
          <w:rtl/>
          <w:lang w:val="he"/>
        </w:rPr>
        <w:t>נ</w:t>
      </w:r>
      <w:r w:rsidR="006B375D">
        <w:rPr>
          <w:rFonts w:hint="cs"/>
          <w:rtl/>
          <w:lang w:val="he"/>
        </w:rPr>
        <w:t>כלל</w:t>
      </w:r>
      <w:r w:rsidR="00DA6545">
        <w:rPr>
          <w:rFonts w:hint="cs"/>
          <w:rtl/>
          <w:lang w:val="he"/>
        </w:rPr>
        <w:t>ים</w:t>
      </w:r>
      <w:r w:rsidR="006B375D">
        <w:rPr>
          <w:rFonts w:hint="cs"/>
          <w:rtl/>
          <w:lang w:val="he"/>
        </w:rPr>
        <w:t xml:space="preserve"> בכל מה ששייך לחומר</w:t>
      </w:r>
      <w:r w:rsidR="00DA6545">
        <w:rPr>
          <w:rFonts w:hint="cs"/>
          <w:rtl/>
          <w:lang w:val="he"/>
        </w:rPr>
        <w:t>,</w:t>
      </w:r>
      <w:r w:rsidR="00D871A4">
        <w:rPr>
          <w:rFonts w:hint="cs"/>
          <w:rtl/>
          <w:lang w:val="he"/>
        </w:rPr>
        <w:t xml:space="preserve"> </w:t>
      </w:r>
      <w:r w:rsidR="00C95F79">
        <w:rPr>
          <w:rFonts w:hint="cs"/>
          <w:rtl/>
          <w:lang w:val="he"/>
        </w:rPr>
        <w:t>והם</w:t>
      </w:r>
      <w:r w:rsidR="00190262">
        <w:rPr>
          <w:rFonts w:hint="cs"/>
          <w:rtl/>
          <w:lang w:val="he"/>
        </w:rPr>
        <w:t xml:space="preserve"> גם</w:t>
      </w:r>
      <w:r w:rsidR="00C95F79">
        <w:rPr>
          <w:rFonts w:hint="cs"/>
          <w:rtl/>
          <w:lang w:val="he"/>
        </w:rPr>
        <w:t xml:space="preserve"> </w:t>
      </w:r>
      <w:r w:rsidR="00507743">
        <w:rPr>
          <w:rFonts w:hint="cs"/>
          <w:rtl/>
          <w:lang w:val="he"/>
        </w:rPr>
        <w:t>נפרדים</w:t>
      </w:r>
      <w:r w:rsidR="00C95F79">
        <w:rPr>
          <w:rFonts w:hint="cs"/>
          <w:rtl/>
          <w:lang w:val="he"/>
        </w:rPr>
        <w:t xml:space="preserve"> ממנו.</w:t>
      </w:r>
      <w:r w:rsidR="0033451E">
        <w:rPr>
          <w:rFonts w:hint="cs"/>
          <w:rtl/>
          <w:lang w:val="he"/>
        </w:rPr>
        <w:t xml:space="preserve"> אמנם </w:t>
      </w:r>
      <w:r w:rsidR="00225D75">
        <w:rPr>
          <w:rFonts w:hint="cs"/>
          <w:rtl/>
          <w:lang w:val="he"/>
        </w:rPr>
        <w:t>היכללותם ב</w:t>
      </w:r>
      <w:r w:rsidR="005E44FE">
        <w:rPr>
          <w:rFonts w:hint="cs"/>
          <w:rtl/>
          <w:lang w:val="he"/>
        </w:rPr>
        <w:t xml:space="preserve">מה ששייך לחומר </w:t>
      </w:r>
      <w:r w:rsidR="00F13D1E">
        <w:rPr>
          <w:rFonts w:hint="cs"/>
          <w:rtl/>
          <w:lang w:val="he"/>
        </w:rPr>
        <w:t>זהו משום</w:t>
      </w:r>
      <w:r w:rsidR="005B15DC">
        <w:rPr>
          <w:rFonts w:hint="cs"/>
          <w:rtl/>
          <w:lang w:val="he"/>
        </w:rPr>
        <w:t xml:space="preserve"> </w:t>
      </w:r>
      <w:r w:rsidR="00F13D1E">
        <w:rPr>
          <w:rFonts w:hint="cs"/>
          <w:rtl/>
          <w:lang w:val="he"/>
        </w:rPr>
        <w:t>ש</w:t>
      </w:r>
      <w:r w:rsidR="005B15DC">
        <w:rPr>
          <w:rFonts w:hint="cs"/>
          <w:rtl/>
          <w:lang w:val="he"/>
        </w:rPr>
        <w:t xml:space="preserve">הגדלים </w:t>
      </w:r>
      <w:r w:rsidR="00356D2A">
        <w:rPr>
          <w:rFonts w:hint="cs"/>
          <w:rtl/>
          <w:lang w:val="he"/>
        </w:rPr>
        <w:t xml:space="preserve">הם </w:t>
      </w:r>
      <w:r w:rsidR="00B87541">
        <w:rPr>
          <w:rFonts w:hint="cs"/>
          <w:rtl/>
          <w:lang w:val="he"/>
        </w:rPr>
        <w:t xml:space="preserve">מהמובנים של </w:t>
      </w:r>
      <w:r w:rsidR="00CC7F23">
        <w:rPr>
          <w:rFonts w:hint="cs"/>
          <w:rtl/>
          <w:lang w:val="he"/>
        </w:rPr>
        <w:t>'</w:t>
      </w:r>
      <w:r w:rsidR="00B87541">
        <w:rPr>
          <w:rFonts w:hint="cs"/>
          <w:rtl/>
          <w:lang w:val="he"/>
        </w:rPr>
        <w:t>קיום</w:t>
      </w:r>
      <w:r w:rsidR="00913B6A">
        <w:rPr>
          <w:rFonts w:hint="cs"/>
          <w:rtl/>
          <w:lang w:val="he"/>
        </w:rPr>
        <w:t xml:space="preserve"> בחומר</w:t>
      </w:r>
      <w:r w:rsidR="00CC7F23">
        <w:rPr>
          <w:rFonts w:hint="cs"/>
          <w:rtl/>
          <w:lang w:val="he"/>
        </w:rPr>
        <w:t>'</w:t>
      </w:r>
      <w:r w:rsidR="003721EC">
        <w:rPr>
          <w:rFonts w:hint="cs"/>
          <w:rtl/>
          <w:lang w:val="he"/>
        </w:rPr>
        <w:t xml:space="preserve"> בלי ספק</w:t>
      </w:r>
      <w:r w:rsidR="002935ED">
        <w:rPr>
          <w:rFonts w:hint="cs"/>
          <w:rtl/>
          <w:lang w:val="he"/>
        </w:rPr>
        <w:t>.</w:t>
      </w:r>
      <w:r w:rsidR="00B87541">
        <w:rPr>
          <w:rFonts w:hint="cs"/>
          <w:rtl/>
          <w:lang w:val="he"/>
        </w:rPr>
        <w:t xml:space="preserve"> </w:t>
      </w:r>
      <w:r w:rsidR="003255F0">
        <w:rPr>
          <w:rFonts w:hint="cs"/>
          <w:rtl/>
          <w:lang w:val="he"/>
        </w:rPr>
        <w:t xml:space="preserve">ואמנם הם נפרדים </w:t>
      </w:r>
      <w:r w:rsidR="00BB4E7B">
        <w:rPr>
          <w:rFonts w:hint="cs"/>
          <w:rtl/>
          <w:lang w:val="he"/>
        </w:rPr>
        <w:t>מ</w:t>
      </w:r>
      <w:r w:rsidR="00FF49EB">
        <w:rPr>
          <w:rFonts w:hint="cs"/>
          <w:rtl/>
          <w:lang w:val="he"/>
        </w:rPr>
        <w:t xml:space="preserve">כמה </w:t>
      </w:r>
      <w:r w:rsidR="00BB4E7B">
        <w:rPr>
          <w:rFonts w:hint="cs"/>
          <w:rtl/>
          <w:lang w:val="he"/>
        </w:rPr>
        <w:t>בחינות</w:t>
      </w:r>
      <w:r w:rsidR="007D3035">
        <w:rPr>
          <w:rFonts w:hint="cs"/>
          <w:rtl/>
          <w:lang w:val="he"/>
        </w:rPr>
        <w:t>:</w:t>
      </w:r>
      <w:r w:rsidR="00FF49EB">
        <w:rPr>
          <w:rFonts w:hint="cs"/>
          <w:rtl/>
          <w:lang w:val="he"/>
        </w:rPr>
        <w:t xml:space="preserve"> </w:t>
      </w:r>
    </w:p>
    <w:p w14:paraId="3E3170DC" w14:textId="4D505AC4" w:rsidR="005200BC" w:rsidRDefault="00FF49EB" w:rsidP="002E1CE2">
      <w:pPr>
        <w:rPr>
          <w:rtl/>
          <w:lang w:val="he"/>
        </w:rPr>
      </w:pPr>
      <w:r>
        <w:rPr>
          <w:rFonts w:hint="cs"/>
          <w:rtl/>
          <w:lang w:val="he"/>
        </w:rPr>
        <w:t>מהן</w:t>
      </w:r>
      <w:r w:rsidR="007D3035">
        <w:rPr>
          <w:rFonts w:hint="cs"/>
          <w:rtl/>
          <w:lang w:val="he"/>
        </w:rPr>
        <w:t>,</w:t>
      </w:r>
      <w:r>
        <w:rPr>
          <w:rFonts w:hint="cs"/>
          <w:rtl/>
          <w:lang w:val="he"/>
        </w:rPr>
        <w:t xml:space="preserve"> </w:t>
      </w:r>
      <w:r w:rsidR="00340D9B">
        <w:rPr>
          <w:rFonts w:hint="cs"/>
          <w:rtl/>
          <w:lang w:val="he"/>
        </w:rPr>
        <w:t>שמהצור</w:t>
      </w:r>
      <w:r w:rsidR="00622C4A">
        <w:rPr>
          <w:rFonts w:hint="cs"/>
          <w:rtl/>
          <w:lang w:val="he"/>
        </w:rPr>
        <w:t>ות</w:t>
      </w:r>
      <w:r w:rsidR="00340D9B">
        <w:rPr>
          <w:rFonts w:hint="cs"/>
          <w:rtl/>
          <w:lang w:val="he"/>
        </w:rPr>
        <w:t xml:space="preserve"> הטבעי</w:t>
      </w:r>
      <w:r w:rsidR="007D3035">
        <w:rPr>
          <w:rFonts w:hint="cs"/>
          <w:rtl/>
          <w:lang w:val="he"/>
        </w:rPr>
        <w:t>ו</w:t>
      </w:r>
      <w:r w:rsidR="00340D9B">
        <w:rPr>
          <w:rFonts w:hint="cs"/>
          <w:rtl/>
          <w:lang w:val="he"/>
        </w:rPr>
        <w:t>ת</w:t>
      </w:r>
      <w:r w:rsidR="007D3035">
        <w:rPr>
          <w:rFonts w:hint="cs"/>
          <w:rtl/>
          <w:lang w:val="he"/>
        </w:rPr>
        <w:t xml:space="preserve"> </w:t>
      </w:r>
      <w:r w:rsidR="003C2673">
        <w:rPr>
          <w:rFonts w:hint="cs"/>
          <w:rtl/>
          <w:lang w:val="he"/>
        </w:rPr>
        <w:t>יש ש</w:t>
      </w:r>
      <w:r w:rsidR="003654DB">
        <w:rPr>
          <w:rFonts w:hint="cs"/>
          <w:rtl/>
          <w:lang w:val="he"/>
        </w:rPr>
        <w:t xml:space="preserve">ברור </w:t>
      </w:r>
      <w:r w:rsidR="001A69FB">
        <w:rPr>
          <w:rFonts w:hint="cs"/>
          <w:rtl/>
          <w:lang w:val="he"/>
        </w:rPr>
        <w:t xml:space="preserve">מייד </w:t>
      </w:r>
      <w:r w:rsidR="007A434A">
        <w:rPr>
          <w:rFonts w:hint="cs"/>
          <w:rtl/>
          <w:lang w:val="he"/>
        </w:rPr>
        <w:t xml:space="preserve">שלא יהיו </w:t>
      </w:r>
      <w:r w:rsidR="00A97E6A">
        <w:rPr>
          <w:rFonts w:hint="cs"/>
          <w:rtl/>
          <w:lang w:val="he"/>
        </w:rPr>
        <w:t>קורות לכל חומר</w:t>
      </w:r>
      <w:r w:rsidR="00C504D1">
        <w:rPr>
          <w:rFonts w:hint="cs"/>
          <w:rtl/>
          <w:lang w:val="he"/>
        </w:rPr>
        <w:t xml:space="preserve"> </w:t>
      </w:r>
      <w:r w:rsidR="00D145F0">
        <w:rPr>
          <w:rFonts w:hint="cs"/>
          <w:rtl/>
          <w:lang w:val="he"/>
        </w:rPr>
        <w:t>ש</w:t>
      </w:r>
      <w:r w:rsidR="00692854">
        <w:rPr>
          <w:rFonts w:hint="cs"/>
          <w:rtl/>
          <w:lang w:val="he"/>
        </w:rPr>
        <w:t>הזדמן</w:t>
      </w:r>
      <w:r w:rsidR="00DE2DEB">
        <w:rPr>
          <w:rFonts w:hint="cs"/>
          <w:rtl/>
          <w:lang w:val="he"/>
        </w:rPr>
        <w:t xml:space="preserve"> במקרה</w:t>
      </w:r>
      <w:r w:rsidR="00337727">
        <w:rPr>
          <w:rFonts w:hint="cs"/>
          <w:rtl/>
          <w:lang w:val="he"/>
        </w:rPr>
        <w:t xml:space="preserve">, למשל </w:t>
      </w:r>
      <w:r w:rsidR="00F408A9">
        <w:rPr>
          <w:rFonts w:hint="cs"/>
          <w:rtl/>
          <w:lang w:val="he"/>
        </w:rPr>
        <w:t>ה</w:t>
      </w:r>
      <w:r w:rsidR="00337727">
        <w:rPr>
          <w:rFonts w:hint="cs"/>
          <w:rtl/>
          <w:lang w:val="he"/>
        </w:rPr>
        <w:t>צור</w:t>
      </w:r>
      <w:r w:rsidR="00F408A9">
        <w:rPr>
          <w:rFonts w:hint="cs"/>
          <w:rtl/>
          <w:lang w:val="he"/>
        </w:rPr>
        <w:t>ה</w:t>
      </w:r>
      <w:r w:rsidR="00337727">
        <w:rPr>
          <w:rFonts w:hint="cs"/>
          <w:rtl/>
          <w:lang w:val="he"/>
        </w:rPr>
        <w:t xml:space="preserve"> </w:t>
      </w:r>
      <w:r w:rsidR="00F408A9">
        <w:rPr>
          <w:rFonts w:hint="cs"/>
          <w:rtl/>
          <w:lang w:val="he"/>
        </w:rPr>
        <w:t>שיש ל</w:t>
      </w:r>
      <w:r w:rsidR="00337727">
        <w:rPr>
          <w:rFonts w:hint="cs"/>
          <w:rtl/>
          <w:lang w:val="he"/>
        </w:rPr>
        <w:t>מים</w:t>
      </w:r>
      <w:r w:rsidR="00F408A9">
        <w:rPr>
          <w:rFonts w:hint="cs"/>
          <w:rtl/>
          <w:lang w:val="he"/>
        </w:rPr>
        <w:t xml:space="preserve"> מצד שהם מים </w:t>
      </w:r>
      <w:r w:rsidR="002935ED">
        <w:rPr>
          <w:rFonts w:hint="cs"/>
          <w:rtl/>
          <w:lang w:val="he"/>
        </w:rPr>
        <w:t>אינה</w:t>
      </w:r>
      <w:r w:rsidR="0031753E">
        <w:rPr>
          <w:rFonts w:hint="cs"/>
          <w:rtl/>
          <w:lang w:val="he"/>
        </w:rPr>
        <w:t xml:space="preserve"> יכולה להימצא </w:t>
      </w:r>
      <w:r w:rsidR="007430F6">
        <w:rPr>
          <w:rFonts w:hint="cs"/>
          <w:rtl/>
          <w:lang w:val="he"/>
        </w:rPr>
        <w:t xml:space="preserve">בחומר של האבן </w:t>
      </w:r>
      <w:r w:rsidR="006A72DB">
        <w:rPr>
          <w:rFonts w:hint="cs"/>
          <w:rtl/>
          <w:lang w:val="he"/>
        </w:rPr>
        <w:t xml:space="preserve">מצד </w:t>
      </w:r>
      <w:r w:rsidR="00DB77E3">
        <w:rPr>
          <w:rFonts w:hint="cs"/>
          <w:rtl/>
          <w:lang w:val="he"/>
        </w:rPr>
        <w:t>מזג</w:t>
      </w:r>
      <w:r w:rsidR="000869CA">
        <w:rPr>
          <w:rFonts w:hint="cs"/>
          <w:rtl/>
          <w:lang w:val="he"/>
        </w:rPr>
        <w:t>ו</w:t>
      </w:r>
      <w:r w:rsidR="0035003C">
        <w:rPr>
          <w:rFonts w:hint="cs"/>
          <w:rtl/>
          <w:lang w:val="he"/>
        </w:rPr>
        <w:t xml:space="preserve"> -</w:t>
      </w:r>
      <w:r w:rsidR="000869CA">
        <w:rPr>
          <w:rFonts w:hint="cs"/>
          <w:rtl/>
          <w:lang w:val="he"/>
        </w:rPr>
        <w:t xml:space="preserve"> </w:t>
      </w:r>
      <w:r w:rsidR="0035003C">
        <w:rPr>
          <w:rFonts w:hint="cs"/>
          <w:rtl/>
          <w:lang w:val="he"/>
        </w:rPr>
        <w:t>ש</w:t>
      </w:r>
      <w:r w:rsidR="000869CA">
        <w:rPr>
          <w:rFonts w:hint="cs"/>
          <w:rtl/>
          <w:lang w:val="he"/>
        </w:rPr>
        <w:t xml:space="preserve">לא כמו הצורה הכדורית </w:t>
      </w:r>
      <w:r w:rsidR="00C32D4B">
        <w:rPr>
          <w:rFonts w:hint="cs"/>
          <w:rtl/>
          <w:lang w:val="he"/>
        </w:rPr>
        <w:t>שיכולה לחול בשני החומרים</w:t>
      </w:r>
      <w:r w:rsidR="00006555">
        <w:rPr>
          <w:rFonts w:hint="cs"/>
          <w:rtl/>
          <w:lang w:val="he"/>
        </w:rPr>
        <w:t xml:space="preserve"> ו</w:t>
      </w:r>
      <w:r w:rsidR="006C1CB8">
        <w:rPr>
          <w:rFonts w:hint="cs"/>
          <w:rtl/>
          <w:lang w:val="he"/>
        </w:rPr>
        <w:t>בכל</w:t>
      </w:r>
      <w:r w:rsidR="00006555">
        <w:rPr>
          <w:rFonts w:hint="cs"/>
          <w:rtl/>
          <w:lang w:val="he"/>
        </w:rPr>
        <w:t xml:space="preserve"> חומר שיהיה. </w:t>
      </w:r>
      <w:r w:rsidR="007D3EDF">
        <w:rPr>
          <w:rFonts w:hint="cs"/>
          <w:rtl/>
          <w:lang w:val="he"/>
        </w:rPr>
        <w:t xml:space="preserve">והצורה האנושית </w:t>
      </w:r>
      <w:r w:rsidR="004E2577">
        <w:rPr>
          <w:rFonts w:hint="cs"/>
          <w:rtl/>
          <w:lang w:val="he"/>
        </w:rPr>
        <w:t xml:space="preserve">וטבעה </w:t>
      </w:r>
      <w:r w:rsidR="001E3A3A">
        <w:rPr>
          <w:rFonts w:hint="cs"/>
          <w:rtl/>
          <w:lang w:val="he"/>
        </w:rPr>
        <w:t xml:space="preserve">שאינה יכולה להימצא </w:t>
      </w:r>
      <w:r w:rsidR="00FA6F71">
        <w:rPr>
          <w:rFonts w:hint="cs"/>
          <w:rtl/>
          <w:lang w:val="he"/>
        </w:rPr>
        <w:t>בחומר העץ</w:t>
      </w:r>
      <w:r w:rsidR="008B1C4E">
        <w:rPr>
          <w:rFonts w:hint="cs"/>
          <w:rtl/>
          <w:lang w:val="he"/>
        </w:rPr>
        <w:t>.</w:t>
      </w:r>
      <w:r w:rsidR="001E3A3A">
        <w:rPr>
          <w:rFonts w:hint="cs"/>
          <w:rtl/>
          <w:lang w:val="he"/>
        </w:rPr>
        <w:t xml:space="preserve"> </w:t>
      </w:r>
      <w:r w:rsidR="00476034">
        <w:rPr>
          <w:rFonts w:hint="cs"/>
          <w:rtl/>
          <w:lang w:val="he"/>
        </w:rPr>
        <w:t xml:space="preserve">ודבר זה לא מצריך מהשכל </w:t>
      </w:r>
      <w:r w:rsidR="00EC48DA">
        <w:rPr>
          <w:rFonts w:hint="cs"/>
          <w:rtl/>
          <w:lang w:val="he"/>
        </w:rPr>
        <w:t>עמל רב כדי להש</w:t>
      </w:r>
      <w:r w:rsidR="005465A0">
        <w:rPr>
          <w:rFonts w:hint="cs"/>
          <w:rtl/>
          <w:lang w:val="he"/>
        </w:rPr>
        <w:t>כילו, אלא הוא קרוב להשגה</w:t>
      </w:r>
      <w:r w:rsidR="004F3805">
        <w:rPr>
          <w:rStyle w:val="FootnoteReference"/>
          <w:rtl/>
          <w:lang w:val="he"/>
        </w:rPr>
        <w:footnoteReference w:id="618"/>
      </w:r>
      <w:r w:rsidR="007F05B2">
        <w:rPr>
          <w:rFonts w:hint="cs"/>
          <w:rtl/>
          <w:lang w:val="he"/>
        </w:rPr>
        <w:t>.</w:t>
      </w:r>
    </w:p>
    <w:p w14:paraId="6B47A411" w14:textId="32E7CA2F" w:rsidR="005545F6" w:rsidRDefault="005200BC" w:rsidP="00AF63E4">
      <w:pPr>
        <w:rPr>
          <w:rtl/>
        </w:rPr>
      </w:pPr>
      <w:r>
        <w:rPr>
          <w:rFonts w:hint="cs"/>
          <w:rtl/>
          <w:lang w:val="he"/>
        </w:rPr>
        <w:t xml:space="preserve">ומהן, </w:t>
      </w:r>
      <w:r w:rsidR="00CF4EA6">
        <w:rPr>
          <w:rFonts w:hint="cs"/>
          <w:rtl/>
          <w:lang w:val="he"/>
        </w:rPr>
        <w:t xml:space="preserve">מה שאינו לא-אפשרי </w:t>
      </w:r>
      <w:r w:rsidR="00F62F2E">
        <w:rPr>
          <w:rFonts w:hint="cs"/>
          <w:rtl/>
          <w:lang w:val="he"/>
        </w:rPr>
        <w:t>ב</w:t>
      </w:r>
      <w:r w:rsidR="00286E1B">
        <w:rPr>
          <w:rFonts w:hint="cs"/>
          <w:rtl/>
          <w:lang w:val="he"/>
        </w:rPr>
        <w:t>הסתכלות</w:t>
      </w:r>
      <w:r w:rsidR="00F62F2E">
        <w:rPr>
          <w:rFonts w:hint="cs"/>
          <w:rtl/>
          <w:lang w:val="he"/>
        </w:rPr>
        <w:t xml:space="preserve"> ראשו</w:t>
      </w:r>
      <w:r w:rsidR="00286E1B">
        <w:rPr>
          <w:rFonts w:hint="cs"/>
          <w:rtl/>
          <w:lang w:val="he"/>
        </w:rPr>
        <w:t>נה</w:t>
      </w:r>
      <w:r w:rsidR="005B4788">
        <w:rPr>
          <w:rFonts w:hint="cs"/>
          <w:rtl/>
          <w:lang w:val="he"/>
        </w:rPr>
        <w:t xml:space="preserve"> </w:t>
      </w:r>
      <w:r w:rsidR="00446615">
        <w:rPr>
          <w:rFonts w:hint="cs"/>
          <w:rtl/>
          <w:lang w:val="he"/>
        </w:rPr>
        <w:t>שיקרה ל</w:t>
      </w:r>
      <w:r w:rsidR="00954852">
        <w:rPr>
          <w:rFonts w:hint="cs"/>
          <w:rtl/>
          <w:lang w:val="he"/>
        </w:rPr>
        <w:t>כל</w:t>
      </w:r>
      <w:r w:rsidR="00446615">
        <w:rPr>
          <w:rFonts w:hint="cs"/>
          <w:rtl/>
          <w:lang w:val="he"/>
        </w:rPr>
        <w:t xml:space="preserve"> חומר</w:t>
      </w:r>
      <w:r w:rsidR="00AC7401">
        <w:rPr>
          <w:rFonts w:hint="cs"/>
          <w:rtl/>
          <w:lang w:val="he"/>
        </w:rPr>
        <w:t xml:space="preserve"> ש</w:t>
      </w:r>
      <w:r w:rsidR="00B711D8">
        <w:rPr>
          <w:rFonts w:hint="cs"/>
          <w:rtl/>
          <w:lang w:val="he"/>
        </w:rPr>
        <w:t>הזדמן</w:t>
      </w:r>
      <w:r w:rsidR="00DE2DEB">
        <w:rPr>
          <w:rFonts w:hint="cs"/>
          <w:rtl/>
          <w:lang w:val="he"/>
        </w:rPr>
        <w:t xml:space="preserve"> במקרה</w:t>
      </w:r>
      <w:r w:rsidR="00AC7401">
        <w:rPr>
          <w:rFonts w:hint="cs"/>
          <w:rtl/>
          <w:lang w:val="he"/>
        </w:rPr>
        <w:t>, למשל</w:t>
      </w:r>
      <w:r w:rsidR="00446615">
        <w:rPr>
          <w:rFonts w:hint="cs"/>
          <w:rtl/>
          <w:lang w:val="he"/>
        </w:rPr>
        <w:t xml:space="preserve"> </w:t>
      </w:r>
      <w:r w:rsidR="00412E83">
        <w:rPr>
          <w:rFonts w:hint="cs"/>
          <w:rtl/>
          <w:lang w:val="he"/>
        </w:rPr>
        <w:t xml:space="preserve">הלובן והשחרות </w:t>
      </w:r>
      <w:r w:rsidR="00F35F19">
        <w:rPr>
          <w:rFonts w:hint="cs"/>
          <w:rtl/>
          <w:lang w:val="he"/>
        </w:rPr>
        <w:t xml:space="preserve">ודברים ממין זה, </w:t>
      </w:r>
      <w:r w:rsidR="00B14E55">
        <w:rPr>
          <w:rFonts w:hint="cs"/>
          <w:rtl/>
          <w:lang w:val="he"/>
        </w:rPr>
        <w:t xml:space="preserve">כי השכל </w:t>
      </w:r>
      <w:r w:rsidR="00EE6A50">
        <w:rPr>
          <w:rFonts w:hint="cs"/>
          <w:rtl/>
        </w:rPr>
        <w:t xml:space="preserve">לא </w:t>
      </w:r>
      <w:r w:rsidR="004D5FA6">
        <w:rPr>
          <w:rFonts w:hint="cs"/>
          <w:rtl/>
        </w:rPr>
        <w:t xml:space="preserve">יירתע </w:t>
      </w:r>
      <w:proofErr w:type="spellStart"/>
      <w:r w:rsidR="007F25D8">
        <w:rPr>
          <w:rFonts w:hint="cs"/>
          <w:rtl/>
        </w:rPr>
        <w:t>מ</w:t>
      </w:r>
      <w:r w:rsidR="002550E7">
        <w:rPr>
          <w:rFonts w:hint="cs"/>
          <w:rtl/>
        </w:rPr>
        <w:t>להחליפו</w:t>
      </w:r>
      <w:proofErr w:type="spellEnd"/>
      <w:r w:rsidR="002550E7">
        <w:rPr>
          <w:rFonts w:hint="cs"/>
          <w:rtl/>
        </w:rPr>
        <w:t xml:space="preserve"> בכל חומר שיזדמן במקרה,</w:t>
      </w:r>
      <w:r w:rsidR="006F220C">
        <w:rPr>
          <w:rFonts w:hint="cs"/>
          <w:rtl/>
        </w:rPr>
        <w:t xml:space="preserve"> </w:t>
      </w:r>
      <w:r w:rsidR="00C813A3">
        <w:rPr>
          <w:rFonts w:hint="cs"/>
          <w:rtl/>
        </w:rPr>
        <w:t>על כ</w:t>
      </w:r>
      <w:r w:rsidR="006B2637">
        <w:rPr>
          <w:rFonts w:hint="cs"/>
          <w:rtl/>
        </w:rPr>
        <w:t>ל</w:t>
      </w:r>
      <w:r w:rsidR="00C813A3">
        <w:rPr>
          <w:rFonts w:hint="cs"/>
          <w:rtl/>
        </w:rPr>
        <w:t xml:space="preserve"> פנים השכל העיוני </w:t>
      </w:r>
      <w:r w:rsidR="001B7206">
        <w:rPr>
          <w:rFonts w:hint="cs"/>
          <w:rtl/>
        </w:rPr>
        <w:t>וההתבוננות יכריחו</w:t>
      </w:r>
      <w:r w:rsidR="005E039C">
        <w:rPr>
          <w:rFonts w:hint="cs"/>
          <w:rtl/>
        </w:rPr>
        <w:t xml:space="preserve"> </w:t>
      </w:r>
      <w:r w:rsidR="00F770CC">
        <w:rPr>
          <w:rFonts w:hint="cs"/>
          <w:rtl/>
        </w:rPr>
        <w:t>מ</w:t>
      </w:r>
      <w:r w:rsidR="005C1409">
        <w:rPr>
          <w:rFonts w:hint="cs"/>
          <w:rtl/>
        </w:rPr>
        <w:t xml:space="preserve">עומק </w:t>
      </w:r>
      <w:r w:rsidR="00F770CC">
        <w:rPr>
          <w:rFonts w:hint="cs"/>
          <w:rtl/>
        </w:rPr>
        <w:t>ה</w:t>
      </w:r>
      <w:r w:rsidR="00DF3288">
        <w:rPr>
          <w:rFonts w:hint="cs"/>
          <w:rtl/>
        </w:rPr>
        <w:t>טבע של</w:t>
      </w:r>
      <w:r w:rsidR="001A76D6">
        <w:rPr>
          <w:rFonts w:hint="cs"/>
          <w:rtl/>
        </w:rPr>
        <w:t xml:space="preserve"> </w:t>
      </w:r>
      <w:r w:rsidR="00F44BC3">
        <w:rPr>
          <w:rFonts w:hint="cs"/>
          <w:rtl/>
        </w:rPr>
        <w:t>הל</w:t>
      </w:r>
      <w:r w:rsidR="005C1409">
        <w:rPr>
          <w:rFonts w:hint="cs"/>
          <w:rtl/>
        </w:rPr>
        <w:t>ו</w:t>
      </w:r>
      <w:r w:rsidR="00F44BC3">
        <w:rPr>
          <w:rFonts w:hint="cs"/>
          <w:rtl/>
        </w:rPr>
        <w:t>בן והשחר</w:t>
      </w:r>
      <w:r w:rsidR="005C1409">
        <w:rPr>
          <w:rFonts w:hint="cs"/>
          <w:rtl/>
        </w:rPr>
        <w:t>ות</w:t>
      </w:r>
      <w:r w:rsidR="00F44BC3">
        <w:rPr>
          <w:rFonts w:hint="cs"/>
          <w:rtl/>
        </w:rPr>
        <w:t xml:space="preserve"> </w:t>
      </w:r>
      <w:r w:rsidR="00F02D06">
        <w:rPr>
          <w:rFonts w:hint="cs"/>
          <w:rtl/>
        </w:rPr>
        <w:t xml:space="preserve">שלא יקרו אלא </w:t>
      </w:r>
      <w:r w:rsidR="00C72EF5">
        <w:rPr>
          <w:rFonts w:hint="cs"/>
          <w:rtl/>
        </w:rPr>
        <w:t xml:space="preserve">למזג והכנה </w:t>
      </w:r>
      <w:r w:rsidR="009C463A">
        <w:rPr>
          <w:rFonts w:hint="cs"/>
          <w:rtl/>
        </w:rPr>
        <w:t>מסוימים</w:t>
      </w:r>
      <w:r w:rsidR="0028623C">
        <w:rPr>
          <w:rFonts w:hint="cs"/>
          <w:rtl/>
        </w:rPr>
        <w:t>,</w:t>
      </w:r>
      <w:r w:rsidR="00A851E5">
        <w:rPr>
          <w:rFonts w:hint="cs"/>
          <w:rtl/>
        </w:rPr>
        <w:t xml:space="preserve"> </w:t>
      </w:r>
      <w:r w:rsidR="007D57A1">
        <w:rPr>
          <w:rFonts w:hint="cs"/>
          <w:rtl/>
        </w:rPr>
        <w:t xml:space="preserve">והמוכן לשחרות </w:t>
      </w:r>
      <w:r w:rsidR="00AC6C60">
        <w:rPr>
          <w:rFonts w:hint="cs"/>
          <w:rtl/>
        </w:rPr>
        <w:t>(</w:t>
      </w:r>
      <w:r w:rsidR="002958F7">
        <w:rPr>
          <w:rFonts w:hint="cs"/>
          <w:rtl/>
        </w:rPr>
        <w:t xml:space="preserve">במובן של </w:t>
      </w:r>
      <w:r w:rsidR="005C2E49">
        <w:rPr>
          <w:rFonts w:hint="cs"/>
          <w:rtl/>
        </w:rPr>
        <w:t>שינוי מראה טבעי ולא במובן של צביעה מ</w:t>
      </w:r>
      <w:r w:rsidR="00D92276">
        <w:rPr>
          <w:rFonts w:hint="cs"/>
          <w:rtl/>
        </w:rPr>
        <w:t>ל</w:t>
      </w:r>
      <w:r w:rsidR="005C2E49">
        <w:rPr>
          <w:rFonts w:hint="cs"/>
          <w:rtl/>
        </w:rPr>
        <w:t>אכותית</w:t>
      </w:r>
      <w:r w:rsidR="00A851E5">
        <w:rPr>
          <w:rFonts w:hint="cs"/>
          <w:rtl/>
        </w:rPr>
        <w:t>)</w:t>
      </w:r>
      <w:r w:rsidR="00AC6C60">
        <w:rPr>
          <w:rFonts w:hint="cs"/>
          <w:rtl/>
        </w:rPr>
        <w:t xml:space="preserve"> </w:t>
      </w:r>
      <w:r w:rsidR="00E27157">
        <w:rPr>
          <w:rFonts w:hint="cs"/>
          <w:rtl/>
        </w:rPr>
        <w:t xml:space="preserve">לא יקבל לובן </w:t>
      </w:r>
      <w:r w:rsidR="00CB0B29">
        <w:rPr>
          <w:rFonts w:hint="cs"/>
          <w:rtl/>
        </w:rPr>
        <w:t xml:space="preserve">שהוא במובן זה </w:t>
      </w:r>
      <w:r w:rsidR="004C27E8">
        <w:rPr>
          <w:rFonts w:hint="cs"/>
          <w:rtl/>
        </w:rPr>
        <w:t xml:space="preserve">של </w:t>
      </w:r>
      <w:r w:rsidR="00547B82">
        <w:rPr>
          <w:rFonts w:hint="cs"/>
          <w:rtl/>
        </w:rPr>
        <w:t>'</w:t>
      </w:r>
      <w:r w:rsidR="00E74C9A">
        <w:rPr>
          <w:rFonts w:hint="cs"/>
          <w:rtl/>
        </w:rPr>
        <w:t>ה</w:t>
      </w:r>
      <w:r w:rsidR="004C27E8">
        <w:rPr>
          <w:rFonts w:hint="cs"/>
          <w:rtl/>
        </w:rPr>
        <w:t>דבר</w:t>
      </w:r>
      <w:r w:rsidR="005C2E49">
        <w:rPr>
          <w:rFonts w:hint="cs"/>
          <w:rtl/>
        </w:rPr>
        <w:t xml:space="preserve"> </w:t>
      </w:r>
      <w:r w:rsidR="00E74C9A">
        <w:rPr>
          <w:rFonts w:hint="cs"/>
          <w:rtl/>
        </w:rPr>
        <w:t xml:space="preserve">במזגו </w:t>
      </w:r>
      <w:r w:rsidR="0078685A">
        <w:rPr>
          <w:rFonts w:hint="cs"/>
          <w:rtl/>
        </w:rPr>
        <w:t>ותכונתו</w:t>
      </w:r>
      <w:r w:rsidR="00547B82">
        <w:rPr>
          <w:rFonts w:hint="cs"/>
          <w:rtl/>
        </w:rPr>
        <w:t>'</w:t>
      </w:r>
      <w:r w:rsidR="0078685A">
        <w:rPr>
          <w:rStyle w:val="FootnoteReference"/>
          <w:rtl/>
        </w:rPr>
        <w:footnoteReference w:id="619"/>
      </w:r>
      <w:r w:rsidR="004803E8">
        <w:rPr>
          <w:rFonts w:hint="cs"/>
          <w:rtl/>
        </w:rPr>
        <w:t>,</w:t>
      </w:r>
      <w:r w:rsidR="00680D48">
        <w:rPr>
          <w:rFonts w:hint="cs"/>
          <w:rtl/>
        </w:rPr>
        <w:t xml:space="preserve"> על כל פנים </w:t>
      </w:r>
      <w:r w:rsidR="006201E6">
        <w:rPr>
          <w:rFonts w:hint="cs"/>
          <w:rtl/>
        </w:rPr>
        <w:t xml:space="preserve">גם </w:t>
      </w:r>
      <w:r w:rsidR="00247343">
        <w:rPr>
          <w:rFonts w:hint="cs"/>
          <w:rtl/>
        </w:rPr>
        <w:t>אם הי</w:t>
      </w:r>
      <w:r w:rsidR="005369FB">
        <w:rPr>
          <w:rFonts w:hint="cs"/>
          <w:rtl/>
        </w:rPr>
        <w:t>ו שניהם</w:t>
      </w:r>
      <w:r w:rsidR="004803E8">
        <w:rPr>
          <w:rFonts w:hint="cs"/>
          <w:rtl/>
        </w:rPr>
        <w:t xml:space="preserve"> כאלה</w:t>
      </w:r>
      <w:r w:rsidR="00C739DA">
        <w:rPr>
          <w:rFonts w:hint="cs"/>
          <w:rtl/>
        </w:rPr>
        <w:t xml:space="preserve"> לא יוש</w:t>
      </w:r>
      <w:r w:rsidR="00FA3BD5">
        <w:rPr>
          <w:rFonts w:hint="cs"/>
          <w:rtl/>
        </w:rPr>
        <w:t>ג</w:t>
      </w:r>
      <w:r w:rsidR="00C739DA">
        <w:rPr>
          <w:rFonts w:hint="cs"/>
          <w:rtl/>
        </w:rPr>
        <w:t xml:space="preserve"> ול</w:t>
      </w:r>
      <w:r w:rsidR="00B4195A">
        <w:rPr>
          <w:rFonts w:hint="cs"/>
          <w:rtl/>
        </w:rPr>
        <w:t>ו</w:t>
      </w:r>
      <w:r w:rsidR="00C739DA">
        <w:rPr>
          <w:rFonts w:hint="cs"/>
          <w:rtl/>
        </w:rPr>
        <w:t xml:space="preserve"> </w:t>
      </w:r>
      <w:r w:rsidR="00B04E97">
        <w:rPr>
          <w:rFonts w:hint="cs"/>
          <w:rtl/>
        </w:rPr>
        <w:t xml:space="preserve">אחד מהם בשכל אלא </w:t>
      </w:r>
      <w:r w:rsidR="00FA6407">
        <w:rPr>
          <w:rFonts w:hint="cs"/>
          <w:rtl/>
        </w:rPr>
        <w:t>ביח</w:t>
      </w:r>
      <w:r w:rsidR="006D653B">
        <w:rPr>
          <w:rFonts w:hint="cs"/>
          <w:rtl/>
        </w:rPr>
        <w:t>ד</w:t>
      </w:r>
      <w:r w:rsidR="00FA6407">
        <w:rPr>
          <w:rFonts w:hint="cs"/>
          <w:rtl/>
        </w:rPr>
        <w:t xml:space="preserve"> </w:t>
      </w:r>
      <w:r w:rsidR="006D653B">
        <w:rPr>
          <w:rFonts w:hint="cs"/>
          <w:rtl/>
        </w:rPr>
        <w:t xml:space="preserve">עם </w:t>
      </w:r>
      <w:r w:rsidR="00BE24F0">
        <w:rPr>
          <w:rFonts w:hint="cs"/>
          <w:rtl/>
        </w:rPr>
        <w:t>דבר ש</w:t>
      </w:r>
      <w:r w:rsidR="00D21E9B">
        <w:rPr>
          <w:rFonts w:hint="cs"/>
          <w:rtl/>
        </w:rPr>
        <w:t>ונה</w:t>
      </w:r>
      <w:r w:rsidR="0024164F">
        <w:rPr>
          <w:rFonts w:hint="cs"/>
          <w:rtl/>
        </w:rPr>
        <w:t xml:space="preserve"> ממה שהוא</w:t>
      </w:r>
      <w:r w:rsidR="00BE24F0">
        <w:rPr>
          <w:rFonts w:hint="cs"/>
          <w:rtl/>
        </w:rPr>
        <w:t xml:space="preserve">, ודבר זה </w:t>
      </w:r>
      <w:r w:rsidR="00BD7C15">
        <w:rPr>
          <w:rFonts w:hint="cs"/>
          <w:rtl/>
        </w:rPr>
        <w:t>הוא השטח או הגודל</w:t>
      </w:r>
      <w:r w:rsidR="00AE490D">
        <w:rPr>
          <w:rFonts w:hint="cs"/>
          <w:rtl/>
        </w:rPr>
        <w:t xml:space="preserve"> הנפרד </w:t>
      </w:r>
      <w:r w:rsidR="00593A74">
        <w:rPr>
          <w:rFonts w:hint="cs"/>
          <w:rtl/>
        </w:rPr>
        <w:t xml:space="preserve">מהצבע </w:t>
      </w:r>
      <w:r w:rsidR="007D40AC">
        <w:rPr>
          <w:rFonts w:hint="cs"/>
          <w:rtl/>
        </w:rPr>
        <w:t>באופן השגתו</w:t>
      </w:r>
      <w:r w:rsidR="00593A74">
        <w:rPr>
          <w:rFonts w:hint="cs"/>
          <w:rtl/>
        </w:rPr>
        <w:t xml:space="preserve"> בשכל</w:t>
      </w:r>
      <w:r w:rsidR="00320950">
        <w:rPr>
          <w:rStyle w:val="FootnoteReference"/>
          <w:rtl/>
        </w:rPr>
        <w:footnoteReference w:id="620"/>
      </w:r>
      <w:r w:rsidR="00593A74">
        <w:rPr>
          <w:rFonts w:hint="cs"/>
          <w:rtl/>
        </w:rPr>
        <w:t>.</w:t>
      </w:r>
    </w:p>
    <w:p w14:paraId="78A62678" w14:textId="77777777" w:rsidR="00852392" w:rsidRDefault="006B2637" w:rsidP="003266A1">
      <w:pPr>
        <w:pStyle w:val="Heading4"/>
        <w:rPr>
          <w:rtl/>
        </w:rPr>
      </w:pPr>
      <w:bookmarkStart w:id="283" w:name="_Toc119092682"/>
      <w:r>
        <w:rPr>
          <w:rFonts w:hint="cs"/>
          <w:rtl/>
        </w:rPr>
        <w:t>1.8.5</w:t>
      </w:r>
      <w:bookmarkEnd w:id="283"/>
    </w:p>
    <w:p w14:paraId="28A73AC8" w14:textId="7A7AD0D0" w:rsidR="00E27120" w:rsidRDefault="00852392" w:rsidP="002E1CE2">
      <w:pPr>
        <w:rPr>
          <w:rtl/>
        </w:rPr>
      </w:pPr>
      <w:r>
        <w:rPr>
          <w:rFonts w:hint="cs"/>
          <w:rtl/>
        </w:rPr>
        <w:t xml:space="preserve">בנוסף, </w:t>
      </w:r>
      <w:r w:rsidR="00304619">
        <w:rPr>
          <w:rFonts w:hint="cs"/>
          <w:rtl/>
        </w:rPr>
        <w:t xml:space="preserve">אפשר שיהיה </w:t>
      </w:r>
      <w:r w:rsidR="00F851F0">
        <w:rPr>
          <w:rFonts w:hint="cs"/>
          <w:rtl/>
        </w:rPr>
        <w:t xml:space="preserve">גם </w:t>
      </w:r>
      <w:r w:rsidR="00ED724C">
        <w:rPr>
          <w:rFonts w:hint="cs"/>
          <w:rtl/>
        </w:rPr>
        <w:t xml:space="preserve">דבר </w:t>
      </w:r>
      <w:r w:rsidR="00225C85">
        <w:rPr>
          <w:rFonts w:hint="cs"/>
          <w:rtl/>
        </w:rPr>
        <w:t xml:space="preserve">משותף </w:t>
      </w:r>
      <w:r w:rsidR="00BE20C7">
        <w:rPr>
          <w:rFonts w:hint="cs"/>
          <w:rtl/>
        </w:rPr>
        <w:t>ל</w:t>
      </w:r>
      <w:r w:rsidR="001511E7">
        <w:rPr>
          <w:rFonts w:hint="cs"/>
          <w:rtl/>
        </w:rPr>
        <w:t>ש</w:t>
      </w:r>
      <w:r w:rsidR="004C10B9">
        <w:rPr>
          <w:rFonts w:hint="cs"/>
          <w:rtl/>
        </w:rPr>
        <w:t>ת</w:t>
      </w:r>
      <w:r w:rsidR="001511E7">
        <w:rPr>
          <w:rFonts w:hint="cs"/>
          <w:rtl/>
        </w:rPr>
        <w:t xml:space="preserve">י </w:t>
      </w:r>
      <w:r w:rsidR="00BE20C7">
        <w:rPr>
          <w:rFonts w:hint="cs"/>
          <w:rtl/>
        </w:rPr>
        <w:t>ה</w:t>
      </w:r>
      <w:r w:rsidR="001511E7">
        <w:rPr>
          <w:rFonts w:hint="cs"/>
          <w:rtl/>
        </w:rPr>
        <w:t>חל</w:t>
      </w:r>
      <w:r w:rsidR="00E4456A">
        <w:rPr>
          <w:rFonts w:hint="cs"/>
          <w:rtl/>
        </w:rPr>
        <w:t>וקות</w:t>
      </w:r>
      <w:r w:rsidR="001511E7">
        <w:rPr>
          <w:rFonts w:hint="cs"/>
          <w:rtl/>
        </w:rPr>
        <w:t xml:space="preserve"> </w:t>
      </w:r>
      <w:r w:rsidR="00BE20C7">
        <w:rPr>
          <w:rFonts w:hint="cs"/>
          <w:rtl/>
        </w:rPr>
        <w:t>ה</w:t>
      </w:r>
      <w:r w:rsidR="001511E7">
        <w:rPr>
          <w:rFonts w:hint="cs"/>
          <w:rtl/>
        </w:rPr>
        <w:t>אלה</w:t>
      </w:r>
      <w:r w:rsidR="00622A54">
        <w:rPr>
          <w:rFonts w:hint="cs"/>
          <w:rtl/>
        </w:rPr>
        <w:t xml:space="preserve"> שנזכרו</w:t>
      </w:r>
      <w:r w:rsidR="00F858A1">
        <w:rPr>
          <w:rFonts w:hint="cs"/>
          <w:rtl/>
        </w:rPr>
        <w:t xml:space="preserve"> בעניין</w:t>
      </w:r>
      <w:r w:rsidR="00622A54">
        <w:rPr>
          <w:rFonts w:hint="cs"/>
          <w:rtl/>
        </w:rPr>
        <w:t xml:space="preserve">, </w:t>
      </w:r>
      <w:r w:rsidR="009D411C">
        <w:rPr>
          <w:rFonts w:hint="cs"/>
          <w:rtl/>
        </w:rPr>
        <w:t xml:space="preserve">והוא </w:t>
      </w:r>
      <w:r w:rsidR="0050745A">
        <w:rPr>
          <w:rFonts w:hint="cs"/>
          <w:rtl/>
        </w:rPr>
        <w:t xml:space="preserve">שהשכל לא ישיג </w:t>
      </w:r>
      <w:r w:rsidR="00E54DD6">
        <w:rPr>
          <w:rFonts w:hint="cs"/>
          <w:rtl/>
        </w:rPr>
        <w:t xml:space="preserve">אף </w:t>
      </w:r>
      <w:r w:rsidR="0050745A">
        <w:rPr>
          <w:rFonts w:hint="cs"/>
          <w:rtl/>
        </w:rPr>
        <w:t xml:space="preserve">אחת מהן </w:t>
      </w:r>
      <w:r w:rsidR="00F23A40">
        <w:rPr>
          <w:rFonts w:hint="cs"/>
          <w:rtl/>
        </w:rPr>
        <w:t xml:space="preserve">אלא </w:t>
      </w:r>
      <w:r w:rsidR="008C261C">
        <w:rPr>
          <w:rFonts w:hint="cs"/>
          <w:rtl/>
        </w:rPr>
        <w:t xml:space="preserve">אם </w:t>
      </w:r>
      <w:r w:rsidR="000D75E9">
        <w:rPr>
          <w:rFonts w:hint="cs"/>
          <w:rtl/>
        </w:rPr>
        <w:t>יצטרף</w:t>
      </w:r>
      <w:r w:rsidR="00E16AD0">
        <w:rPr>
          <w:rFonts w:hint="cs"/>
          <w:rtl/>
        </w:rPr>
        <w:t xml:space="preserve"> </w:t>
      </w:r>
      <w:r w:rsidR="005E0713">
        <w:rPr>
          <w:rFonts w:hint="cs"/>
          <w:rtl/>
        </w:rPr>
        <w:t xml:space="preserve">יחס </w:t>
      </w:r>
      <w:r w:rsidR="009C463A">
        <w:rPr>
          <w:rFonts w:hint="cs"/>
          <w:rtl/>
        </w:rPr>
        <w:t>מסוים</w:t>
      </w:r>
      <w:r w:rsidR="008022D3">
        <w:rPr>
          <w:rFonts w:hint="cs"/>
          <w:rtl/>
        </w:rPr>
        <w:t xml:space="preserve"> אל דבר אחר</w:t>
      </w:r>
      <w:r w:rsidR="00024D4D">
        <w:rPr>
          <w:rFonts w:hint="cs"/>
          <w:rtl/>
        </w:rPr>
        <w:t>, שיצטרף בעצמותו כמושא.</w:t>
      </w:r>
      <w:r w:rsidR="00D85039">
        <w:rPr>
          <w:rFonts w:hint="cs"/>
          <w:rtl/>
        </w:rPr>
        <w:t xml:space="preserve"> כך ש</w:t>
      </w:r>
      <w:r w:rsidR="00DB116B">
        <w:rPr>
          <w:rFonts w:hint="cs"/>
          <w:rtl/>
        </w:rPr>
        <w:t xml:space="preserve">השכל </w:t>
      </w:r>
      <w:r w:rsidR="00672E46">
        <w:rPr>
          <w:rFonts w:hint="cs"/>
          <w:rtl/>
        </w:rPr>
        <w:t xml:space="preserve">כשהוא </w:t>
      </w:r>
      <w:r w:rsidR="00C82A5B">
        <w:rPr>
          <w:rFonts w:hint="cs"/>
          <w:rtl/>
        </w:rPr>
        <w:t xml:space="preserve">מעלה </w:t>
      </w:r>
      <w:r w:rsidR="00DA0D71">
        <w:rPr>
          <w:rFonts w:hint="cs"/>
          <w:rtl/>
        </w:rPr>
        <w:t xml:space="preserve">את צורת האדם </w:t>
      </w:r>
      <w:r w:rsidR="008D7E60">
        <w:rPr>
          <w:rFonts w:hint="cs"/>
          <w:rtl/>
        </w:rPr>
        <w:t>הכרחי</w:t>
      </w:r>
      <w:r w:rsidR="00362CE3">
        <w:rPr>
          <w:rFonts w:hint="cs"/>
          <w:rtl/>
        </w:rPr>
        <w:t xml:space="preserve"> שיעלה ביחד איתה </w:t>
      </w:r>
      <w:r w:rsidR="004905B7">
        <w:rPr>
          <w:rFonts w:hint="cs"/>
          <w:rtl/>
        </w:rPr>
        <w:t xml:space="preserve">יחס אל </w:t>
      </w:r>
      <w:r w:rsidR="00B5559B">
        <w:rPr>
          <w:rFonts w:hint="cs"/>
          <w:rtl/>
        </w:rPr>
        <w:t xml:space="preserve">חומר </w:t>
      </w:r>
      <w:r w:rsidR="009C463A">
        <w:rPr>
          <w:rFonts w:hint="cs"/>
          <w:rtl/>
        </w:rPr>
        <w:t>מסוים</w:t>
      </w:r>
      <w:r w:rsidR="00B5559B">
        <w:rPr>
          <w:rFonts w:hint="cs"/>
          <w:rtl/>
        </w:rPr>
        <w:t xml:space="preserve">, </w:t>
      </w:r>
      <w:r w:rsidR="00946B5F">
        <w:rPr>
          <w:rFonts w:hint="cs"/>
          <w:rtl/>
        </w:rPr>
        <w:t>שי</w:t>
      </w:r>
      <w:r w:rsidR="00642530">
        <w:rPr>
          <w:rFonts w:hint="cs"/>
          <w:rtl/>
        </w:rPr>
        <w:t>ושג</w:t>
      </w:r>
      <w:r w:rsidR="00946B5F">
        <w:rPr>
          <w:rFonts w:hint="cs"/>
          <w:rtl/>
        </w:rPr>
        <w:t xml:space="preserve"> ב</w:t>
      </w:r>
      <w:r w:rsidR="00940527">
        <w:rPr>
          <w:rFonts w:hint="cs"/>
          <w:rtl/>
        </w:rPr>
        <w:t>כח ה</w:t>
      </w:r>
      <w:r w:rsidR="00946B5F">
        <w:rPr>
          <w:rFonts w:hint="cs"/>
          <w:rtl/>
        </w:rPr>
        <w:t>דמיון</w:t>
      </w:r>
      <w:r w:rsidR="00EB13FC">
        <w:rPr>
          <w:rStyle w:val="FootnoteReference"/>
          <w:rtl/>
        </w:rPr>
        <w:footnoteReference w:id="621"/>
      </w:r>
      <w:r w:rsidR="00946B5F">
        <w:rPr>
          <w:rFonts w:hint="cs"/>
          <w:rtl/>
        </w:rPr>
        <w:t xml:space="preserve"> </w:t>
      </w:r>
      <w:r w:rsidR="00AB11B9">
        <w:rPr>
          <w:rFonts w:hint="cs"/>
          <w:rtl/>
        </w:rPr>
        <w:t xml:space="preserve">רק </w:t>
      </w:r>
      <w:r w:rsidR="00D47C5A">
        <w:rPr>
          <w:rFonts w:hint="cs"/>
          <w:rtl/>
        </w:rPr>
        <w:t>באופן כזה</w:t>
      </w:r>
      <w:r w:rsidR="0036709C">
        <w:rPr>
          <w:rStyle w:val="FootnoteReference"/>
          <w:rtl/>
        </w:rPr>
        <w:footnoteReference w:id="622"/>
      </w:r>
      <w:r w:rsidR="00940527">
        <w:rPr>
          <w:rFonts w:hint="cs"/>
          <w:rtl/>
        </w:rPr>
        <w:t>.</w:t>
      </w:r>
    </w:p>
    <w:p w14:paraId="05B758AF" w14:textId="22CF5FC8" w:rsidR="006F7D29" w:rsidRDefault="00E27120" w:rsidP="002E1CE2">
      <w:pPr>
        <w:rPr>
          <w:rtl/>
        </w:rPr>
      </w:pPr>
      <w:r>
        <w:rPr>
          <w:rFonts w:hint="cs"/>
          <w:rtl/>
        </w:rPr>
        <w:t>והלובן</w:t>
      </w:r>
      <w:r w:rsidR="00170323">
        <w:rPr>
          <w:rFonts w:hint="cs"/>
          <w:rtl/>
        </w:rPr>
        <w:t xml:space="preserve"> גם כן </w:t>
      </w:r>
      <w:r w:rsidR="00431735">
        <w:rPr>
          <w:rFonts w:hint="cs"/>
          <w:rtl/>
        </w:rPr>
        <w:t xml:space="preserve">כשהוא עולה </w:t>
      </w:r>
      <w:r w:rsidR="007404DB">
        <w:rPr>
          <w:rFonts w:hint="cs"/>
          <w:rtl/>
        </w:rPr>
        <w:t xml:space="preserve">בשכל עולה איתו </w:t>
      </w:r>
      <w:r w:rsidR="00574C17">
        <w:rPr>
          <w:rFonts w:hint="cs"/>
          <w:rtl/>
        </w:rPr>
        <w:t xml:space="preserve">התפשטות </w:t>
      </w:r>
      <w:r w:rsidR="007B0A90">
        <w:rPr>
          <w:rFonts w:hint="cs"/>
          <w:rtl/>
        </w:rPr>
        <w:t>שהוא בה בהכרח</w:t>
      </w:r>
      <w:r w:rsidR="00520003">
        <w:rPr>
          <w:rFonts w:hint="cs"/>
          <w:rtl/>
        </w:rPr>
        <w:t>,</w:t>
      </w:r>
      <w:r w:rsidR="007B0A90">
        <w:rPr>
          <w:rFonts w:hint="cs"/>
          <w:rtl/>
        </w:rPr>
        <w:t xml:space="preserve"> </w:t>
      </w:r>
      <w:r w:rsidR="00486808">
        <w:rPr>
          <w:rFonts w:hint="cs"/>
          <w:rtl/>
        </w:rPr>
        <w:t>ויסרב [השכל]</w:t>
      </w:r>
      <w:r>
        <w:rPr>
          <w:rFonts w:hint="cs"/>
          <w:rtl/>
        </w:rPr>
        <w:t xml:space="preserve"> </w:t>
      </w:r>
      <w:r w:rsidR="00C1656F">
        <w:rPr>
          <w:rFonts w:hint="cs"/>
          <w:rtl/>
        </w:rPr>
        <w:t>להשיג את הלובן אם לא ישיג את ה</w:t>
      </w:r>
      <w:r w:rsidR="00350A44">
        <w:rPr>
          <w:rFonts w:hint="cs"/>
          <w:rtl/>
        </w:rPr>
        <w:t>גודל</w:t>
      </w:r>
      <w:r w:rsidR="00350A44">
        <w:rPr>
          <w:rStyle w:val="FootnoteReference"/>
          <w:rtl/>
        </w:rPr>
        <w:footnoteReference w:id="623"/>
      </w:r>
      <w:r w:rsidR="00D2204C">
        <w:rPr>
          <w:rFonts w:hint="cs"/>
          <w:rtl/>
        </w:rPr>
        <w:t>.</w:t>
      </w:r>
    </w:p>
    <w:p w14:paraId="42516030" w14:textId="2292D11F" w:rsidR="005F26EC" w:rsidRDefault="006F7D29" w:rsidP="00AF63E4">
      <w:pPr>
        <w:rPr>
          <w:rtl/>
        </w:rPr>
      </w:pPr>
      <w:r>
        <w:rPr>
          <w:rFonts w:hint="cs"/>
          <w:rtl/>
        </w:rPr>
        <w:t xml:space="preserve">ידוע שלובן אינו גודל, </w:t>
      </w:r>
      <w:r w:rsidR="006502FD">
        <w:rPr>
          <w:rFonts w:hint="cs"/>
          <w:rtl/>
        </w:rPr>
        <w:t>ונעשה א</w:t>
      </w:r>
      <w:r w:rsidR="001A45C4">
        <w:rPr>
          <w:rFonts w:hint="cs"/>
          <w:rtl/>
        </w:rPr>
        <w:t>ת</w:t>
      </w:r>
      <w:r w:rsidR="006502FD">
        <w:rPr>
          <w:rFonts w:hint="cs"/>
          <w:rtl/>
        </w:rPr>
        <w:t xml:space="preserve"> היחס בין</w:t>
      </w:r>
      <w:r w:rsidR="001A45C4">
        <w:rPr>
          <w:rFonts w:hint="cs"/>
          <w:rtl/>
        </w:rPr>
        <w:t xml:space="preserve"> הלובן לגודל </w:t>
      </w:r>
      <w:r w:rsidR="00473ADC">
        <w:rPr>
          <w:rFonts w:hint="cs"/>
          <w:rtl/>
        </w:rPr>
        <w:t xml:space="preserve">שווה ליחס </w:t>
      </w:r>
      <w:r w:rsidR="007F5732">
        <w:rPr>
          <w:rFonts w:hint="cs"/>
          <w:rtl/>
        </w:rPr>
        <w:t>ב</w:t>
      </w:r>
      <w:r w:rsidR="00AC7487">
        <w:rPr>
          <w:rFonts w:hint="cs"/>
          <w:rtl/>
        </w:rPr>
        <w:t>י</w:t>
      </w:r>
      <w:r w:rsidR="007F5732">
        <w:rPr>
          <w:rFonts w:hint="cs"/>
          <w:rtl/>
        </w:rPr>
        <w:t xml:space="preserve">ן </w:t>
      </w:r>
      <w:r w:rsidR="000743D4">
        <w:rPr>
          <w:rFonts w:hint="cs"/>
          <w:rtl/>
        </w:rPr>
        <w:t>משהו</w:t>
      </w:r>
      <w:r w:rsidR="007F5732">
        <w:rPr>
          <w:rFonts w:hint="cs"/>
          <w:rtl/>
        </w:rPr>
        <w:t xml:space="preserve"> </w:t>
      </w:r>
      <w:r w:rsidR="000C6335">
        <w:rPr>
          <w:rFonts w:hint="cs"/>
          <w:rtl/>
        </w:rPr>
        <w:t>ובין ה</w:t>
      </w:r>
      <w:r w:rsidR="007F5732">
        <w:rPr>
          <w:rFonts w:hint="cs"/>
          <w:rtl/>
        </w:rPr>
        <w:t>דבר ש</w:t>
      </w:r>
      <w:r w:rsidR="00717F82">
        <w:rPr>
          <w:rFonts w:hint="cs"/>
          <w:rtl/>
        </w:rPr>
        <w:t>הוא המושא שלו</w:t>
      </w:r>
      <w:r w:rsidR="00C60097">
        <w:rPr>
          <w:rStyle w:val="FootnoteReference"/>
          <w:rtl/>
        </w:rPr>
        <w:footnoteReference w:id="624"/>
      </w:r>
      <w:r w:rsidR="007F5732">
        <w:rPr>
          <w:rFonts w:hint="cs"/>
          <w:rtl/>
        </w:rPr>
        <w:t>.</w:t>
      </w:r>
    </w:p>
    <w:p w14:paraId="2FDDC06F" w14:textId="2B961338" w:rsidR="0087478E" w:rsidRDefault="0037111F" w:rsidP="003266A1">
      <w:pPr>
        <w:pStyle w:val="Heading4"/>
        <w:rPr>
          <w:rtl/>
        </w:rPr>
      </w:pPr>
      <w:bookmarkStart w:id="284" w:name="_Toc119092683"/>
      <w:r>
        <w:rPr>
          <w:rFonts w:hint="cs"/>
          <w:rtl/>
        </w:rPr>
        <w:t>1.8.6</w:t>
      </w:r>
      <w:bookmarkEnd w:id="284"/>
    </w:p>
    <w:p w14:paraId="44A3CB9E" w14:textId="0CFF42A4" w:rsidR="004936C7" w:rsidRDefault="00AB0984" w:rsidP="002E1CE2">
      <w:pPr>
        <w:rPr>
          <w:rtl/>
        </w:rPr>
      </w:pPr>
      <w:r>
        <w:rPr>
          <w:rFonts w:hint="cs"/>
          <w:rtl/>
        </w:rPr>
        <w:t>בנוסף לזה</w:t>
      </w:r>
      <w:r w:rsidR="00D86B6B">
        <w:rPr>
          <w:rFonts w:hint="cs"/>
          <w:rtl/>
        </w:rPr>
        <w:t>,</w:t>
      </w:r>
      <w:r w:rsidR="0037111F">
        <w:rPr>
          <w:rFonts w:hint="cs"/>
          <w:rtl/>
        </w:rPr>
        <w:t xml:space="preserve"> הגודל </w:t>
      </w:r>
      <w:r w:rsidR="00E338DB">
        <w:rPr>
          <w:rFonts w:hint="cs"/>
          <w:rtl/>
        </w:rPr>
        <w:t>נבדל</w:t>
      </w:r>
      <w:r w:rsidR="00624E83">
        <w:rPr>
          <w:rFonts w:hint="cs"/>
          <w:rtl/>
        </w:rPr>
        <w:t xml:space="preserve"> </w:t>
      </w:r>
      <w:r w:rsidR="00F76A55">
        <w:rPr>
          <w:rFonts w:hint="cs"/>
          <w:rtl/>
        </w:rPr>
        <w:t xml:space="preserve">[מהגוף החומרי] לפי </w:t>
      </w:r>
      <w:r w:rsidR="00624E83">
        <w:rPr>
          <w:rFonts w:hint="cs"/>
          <w:rtl/>
        </w:rPr>
        <w:t>ש</w:t>
      </w:r>
      <w:r w:rsidR="00E338DB">
        <w:rPr>
          <w:rFonts w:hint="cs"/>
          <w:rtl/>
        </w:rPr>
        <w:t>ת</w:t>
      </w:r>
      <w:r w:rsidR="00624E83">
        <w:rPr>
          <w:rFonts w:hint="cs"/>
          <w:rtl/>
        </w:rPr>
        <w:t xml:space="preserve">י </w:t>
      </w:r>
      <w:r w:rsidR="00E338DB">
        <w:rPr>
          <w:rFonts w:hint="cs"/>
          <w:rtl/>
        </w:rPr>
        <w:t xml:space="preserve">חלוקות </w:t>
      </w:r>
      <w:r w:rsidR="00624E83">
        <w:rPr>
          <w:rFonts w:hint="cs"/>
          <w:rtl/>
        </w:rPr>
        <w:t>אלה</w:t>
      </w:r>
      <w:r w:rsidR="00141D3C">
        <w:rPr>
          <w:rFonts w:hint="cs"/>
          <w:rtl/>
        </w:rPr>
        <w:t xml:space="preserve"> במה </w:t>
      </w:r>
      <w:r w:rsidR="00613CDF">
        <w:rPr>
          <w:rFonts w:hint="cs"/>
          <w:rtl/>
        </w:rPr>
        <w:t xml:space="preserve">שמשותף להן, </w:t>
      </w:r>
      <w:r w:rsidR="002E3BE2">
        <w:rPr>
          <w:rFonts w:hint="cs"/>
          <w:rtl/>
        </w:rPr>
        <w:t xml:space="preserve">כיוון שהשכל תופש את הגודל </w:t>
      </w:r>
      <w:r w:rsidR="00F975D0">
        <w:rPr>
          <w:rFonts w:hint="cs"/>
          <w:rtl/>
        </w:rPr>
        <w:t>כדבר מופשט</w:t>
      </w:r>
      <w:r w:rsidR="00FC637E">
        <w:rPr>
          <w:rStyle w:val="FootnoteReference"/>
          <w:rtl/>
        </w:rPr>
        <w:footnoteReference w:id="625"/>
      </w:r>
      <w:r w:rsidR="00694FF0">
        <w:rPr>
          <w:rFonts w:hint="cs"/>
          <w:rtl/>
        </w:rPr>
        <w:t>, ואיך לא יתפוש כך</w:t>
      </w:r>
      <w:r w:rsidR="00AA16C5">
        <w:rPr>
          <w:rFonts w:hint="cs"/>
          <w:rtl/>
        </w:rPr>
        <w:t xml:space="preserve">, </w:t>
      </w:r>
      <w:r w:rsidR="007B66F4">
        <w:rPr>
          <w:rFonts w:hint="cs"/>
          <w:rtl/>
        </w:rPr>
        <w:t>כש</w:t>
      </w:r>
      <w:r w:rsidR="00067563">
        <w:rPr>
          <w:rFonts w:hint="cs"/>
          <w:rtl/>
        </w:rPr>
        <w:t>הוא נצרך</w:t>
      </w:r>
      <w:r w:rsidR="007B66F4">
        <w:rPr>
          <w:rFonts w:hint="cs"/>
          <w:rtl/>
        </w:rPr>
        <w:t xml:space="preserve"> </w:t>
      </w:r>
      <w:r w:rsidR="00067563">
        <w:rPr>
          <w:rFonts w:hint="cs"/>
          <w:rtl/>
        </w:rPr>
        <w:t>ל</w:t>
      </w:r>
      <w:r w:rsidR="006E6F8C">
        <w:rPr>
          <w:rFonts w:hint="cs"/>
          <w:rtl/>
        </w:rPr>
        <w:t>התבוננות</w:t>
      </w:r>
      <w:r w:rsidR="00D162BE">
        <w:rPr>
          <w:rFonts w:hint="cs"/>
          <w:rtl/>
        </w:rPr>
        <w:t xml:space="preserve"> בחקירה</w:t>
      </w:r>
      <w:r w:rsidR="007B66F4">
        <w:rPr>
          <w:rFonts w:hint="cs"/>
          <w:rtl/>
        </w:rPr>
        <w:t xml:space="preserve"> </w:t>
      </w:r>
      <w:r w:rsidR="0036799D">
        <w:rPr>
          <w:rFonts w:hint="cs"/>
          <w:rtl/>
        </w:rPr>
        <w:t>עד שיגלה</w:t>
      </w:r>
      <w:r w:rsidR="005A3C99">
        <w:rPr>
          <w:rFonts w:hint="cs"/>
          <w:rtl/>
        </w:rPr>
        <w:t xml:space="preserve"> שגודל </w:t>
      </w:r>
      <w:r w:rsidR="00D33160">
        <w:rPr>
          <w:rFonts w:hint="cs"/>
          <w:rtl/>
        </w:rPr>
        <w:t xml:space="preserve">אינו </w:t>
      </w:r>
      <w:r w:rsidR="00067563">
        <w:rPr>
          <w:rFonts w:hint="cs"/>
          <w:rtl/>
        </w:rPr>
        <w:t>נמצא</w:t>
      </w:r>
      <w:r w:rsidR="005A3C99">
        <w:rPr>
          <w:rFonts w:hint="cs"/>
          <w:rtl/>
        </w:rPr>
        <w:t xml:space="preserve"> </w:t>
      </w:r>
      <w:r w:rsidR="00D33160">
        <w:rPr>
          <w:rFonts w:hint="cs"/>
          <w:rtl/>
        </w:rPr>
        <w:t xml:space="preserve">אלא </w:t>
      </w:r>
      <w:r w:rsidR="005A3C99">
        <w:rPr>
          <w:rFonts w:hint="cs"/>
          <w:rtl/>
        </w:rPr>
        <w:t>בחומר.</w:t>
      </w:r>
    </w:p>
    <w:p w14:paraId="3D8798D4" w14:textId="0FF6B01F" w:rsidR="000A2C42" w:rsidRDefault="0051014E" w:rsidP="002E1CE2">
      <w:pPr>
        <w:rPr>
          <w:rtl/>
        </w:rPr>
      </w:pPr>
      <w:r>
        <w:rPr>
          <w:rFonts w:hint="cs"/>
          <w:rtl/>
        </w:rPr>
        <w:t>ו[הגודל]</w:t>
      </w:r>
      <w:r w:rsidR="00F975D0">
        <w:rPr>
          <w:rFonts w:hint="cs"/>
          <w:rtl/>
        </w:rPr>
        <w:t xml:space="preserve"> </w:t>
      </w:r>
      <w:r w:rsidR="00E56A7E">
        <w:rPr>
          <w:rFonts w:hint="cs"/>
          <w:rtl/>
        </w:rPr>
        <w:t>נבדל</w:t>
      </w:r>
      <w:r>
        <w:rPr>
          <w:rFonts w:hint="cs"/>
          <w:rtl/>
        </w:rPr>
        <w:t xml:space="preserve"> </w:t>
      </w:r>
      <w:r w:rsidR="00C567B6">
        <w:rPr>
          <w:rFonts w:hint="cs"/>
          <w:rtl/>
        </w:rPr>
        <w:t xml:space="preserve">[מקיום הגוף החומרי] לפי </w:t>
      </w:r>
      <w:r>
        <w:rPr>
          <w:rFonts w:hint="cs"/>
          <w:rtl/>
        </w:rPr>
        <w:t>ה</w:t>
      </w:r>
      <w:r w:rsidR="00E56A7E">
        <w:rPr>
          <w:rFonts w:hint="cs"/>
          <w:rtl/>
        </w:rPr>
        <w:t xml:space="preserve">חלוקה </w:t>
      </w:r>
      <w:r w:rsidR="000470CF">
        <w:rPr>
          <w:rFonts w:hint="cs"/>
          <w:rtl/>
        </w:rPr>
        <w:t xml:space="preserve">הראשונה </w:t>
      </w:r>
      <w:r w:rsidR="00273D19">
        <w:rPr>
          <w:rFonts w:hint="cs"/>
          <w:rtl/>
        </w:rPr>
        <w:t xml:space="preserve">בדבר </w:t>
      </w:r>
      <w:r w:rsidR="005024D6">
        <w:rPr>
          <w:rFonts w:hint="cs"/>
          <w:rtl/>
        </w:rPr>
        <w:t xml:space="preserve">שמיוחד לה, </w:t>
      </w:r>
      <w:r w:rsidR="00BA09E8">
        <w:rPr>
          <w:rFonts w:hint="cs"/>
          <w:rtl/>
        </w:rPr>
        <w:t>והוא ש</w:t>
      </w:r>
      <w:r w:rsidR="00F15FB2">
        <w:rPr>
          <w:rFonts w:hint="cs"/>
          <w:rtl/>
        </w:rPr>
        <w:t>כשהשכל משיג את ה</w:t>
      </w:r>
      <w:r w:rsidR="00993D8F">
        <w:rPr>
          <w:rFonts w:hint="cs"/>
          <w:rtl/>
        </w:rPr>
        <w:t>יחס של ה</w:t>
      </w:r>
      <w:r w:rsidR="00F15FB2">
        <w:rPr>
          <w:rFonts w:hint="cs"/>
          <w:rtl/>
        </w:rPr>
        <w:t>גודל</w:t>
      </w:r>
      <w:r w:rsidR="00993D8F">
        <w:rPr>
          <w:rFonts w:hint="cs"/>
          <w:rtl/>
        </w:rPr>
        <w:t xml:space="preserve"> אל </w:t>
      </w:r>
      <w:r w:rsidR="003C6A08">
        <w:rPr>
          <w:rFonts w:hint="cs"/>
          <w:rtl/>
        </w:rPr>
        <w:t xml:space="preserve">החומר הוא אינו מחויב </w:t>
      </w:r>
      <w:r w:rsidR="00D62443">
        <w:rPr>
          <w:rFonts w:hint="cs"/>
          <w:rtl/>
        </w:rPr>
        <w:t xml:space="preserve">לתפוש אותו </w:t>
      </w:r>
      <w:r w:rsidR="001228EB">
        <w:rPr>
          <w:rFonts w:hint="cs"/>
          <w:rtl/>
        </w:rPr>
        <w:t>כ</w:t>
      </w:r>
      <w:r w:rsidR="00D62443">
        <w:rPr>
          <w:rFonts w:hint="cs"/>
          <w:rtl/>
        </w:rPr>
        <w:t xml:space="preserve">חומר </w:t>
      </w:r>
      <w:r w:rsidR="009C463A">
        <w:rPr>
          <w:rFonts w:hint="cs"/>
          <w:rtl/>
        </w:rPr>
        <w:t>מסוים</w:t>
      </w:r>
      <w:r w:rsidR="00346826">
        <w:rPr>
          <w:rStyle w:val="FootnoteReference"/>
          <w:rtl/>
        </w:rPr>
        <w:footnoteReference w:id="626"/>
      </w:r>
      <w:r w:rsidR="00D62443">
        <w:rPr>
          <w:rFonts w:hint="cs"/>
          <w:rtl/>
        </w:rPr>
        <w:t xml:space="preserve">. </w:t>
      </w:r>
    </w:p>
    <w:p w14:paraId="29B24920" w14:textId="7CF26325" w:rsidR="000823AD" w:rsidRDefault="00B454D6" w:rsidP="00AF63E4">
      <w:pPr>
        <w:rPr>
          <w:rtl/>
        </w:rPr>
      </w:pPr>
      <w:r>
        <w:rPr>
          <w:rFonts w:hint="cs"/>
          <w:rtl/>
        </w:rPr>
        <w:t xml:space="preserve">ונבדל </w:t>
      </w:r>
      <w:r w:rsidR="00860A5D">
        <w:rPr>
          <w:rFonts w:hint="cs"/>
          <w:rtl/>
        </w:rPr>
        <w:t xml:space="preserve">לפי </w:t>
      </w:r>
      <w:r>
        <w:rPr>
          <w:rFonts w:hint="cs"/>
          <w:rtl/>
        </w:rPr>
        <w:t xml:space="preserve">החלוקה השנייה </w:t>
      </w:r>
      <w:r w:rsidR="00AD5705">
        <w:rPr>
          <w:rFonts w:hint="cs"/>
          <w:rtl/>
        </w:rPr>
        <w:t xml:space="preserve">בכך </w:t>
      </w:r>
      <w:r w:rsidR="008D7E60">
        <w:rPr>
          <w:rFonts w:hint="cs"/>
          <w:rtl/>
        </w:rPr>
        <w:t xml:space="preserve">שאין זה הכרחי </w:t>
      </w:r>
      <w:r w:rsidR="00AD5705">
        <w:rPr>
          <w:rFonts w:hint="cs"/>
          <w:rtl/>
        </w:rPr>
        <w:t>שהשכ</w:t>
      </w:r>
      <w:r w:rsidR="00C41F4B">
        <w:rPr>
          <w:rFonts w:hint="cs"/>
          <w:rtl/>
        </w:rPr>
        <w:t xml:space="preserve">ל </w:t>
      </w:r>
      <w:r w:rsidR="008D7E60">
        <w:rPr>
          <w:rFonts w:hint="cs"/>
          <w:rtl/>
        </w:rPr>
        <w:t>י</w:t>
      </w:r>
      <w:r w:rsidR="00996D8B">
        <w:rPr>
          <w:rFonts w:hint="cs"/>
          <w:rtl/>
        </w:rPr>
        <w:t xml:space="preserve">שיג את הגודל </w:t>
      </w:r>
      <w:r w:rsidR="00347FD7">
        <w:rPr>
          <w:rFonts w:hint="cs"/>
          <w:rtl/>
        </w:rPr>
        <w:t xml:space="preserve">על ידי שעושה </w:t>
      </w:r>
      <w:r w:rsidR="000E7307">
        <w:rPr>
          <w:rFonts w:hint="cs"/>
          <w:rtl/>
        </w:rPr>
        <w:t>אותו</w:t>
      </w:r>
      <w:r w:rsidR="00347FD7">
        <w:rPr>
          <w:rFonts w:hint="cs"/>
          <w:rtl/>
        </w:rPr>
        <w:t xml:space="preserve"> חומר </w:t>
      </w:r>
      <w:r w:rsidR="009C463A">
        <w:rPr>
          <w:rFonts w:hint="cs"/>
          <w:rtl/>
        </w:rPr>
        <w:t>מסוים</w:t>
      </w:r>
      <w:r w:rsidR="000311FF">
        <w:rPr>
          <w:rStyle w:val="FootnoteReference"/>
          <w:rtl/>
        </w:rPr>
        <w:footnoteReference w:id="627"/>
      </w:r>
      <w:r w:rsidR="00347FD7">
        <w:rPr>
          <w:rFonts w:hint="cs"/>
          <w:rtl/>
        </w:rPr>
        <w:t>.</w:t>
      </w:r>
      <w:r w:rsidR="008258A6">
        <w:rPr>
          <w:rFonts w:hint="cs"/>
          <w:rtl/>
        </w:rPr>
        <w:t xml:space="preserve"> </w:t>
      </w:r>
    </w:p>
    <w:p w14:paraId="04C5A0B3" w14:textId="3CA9524B" w:rsidR="00BB0C25" w:rsidRDefault="00846622" w:rsidP="00AF63E4">
      <w:pPr>
        <w:rPr>
          <w:rtl/>
        </w:rPr>
      </w:pPr>
      <w:r>
        <w:rPr>
          <w:rFonts w:hint="cs"/>
          <w:rtl/>
        </w:rPr>
        <w:t>ו</w:t>
      </w:r>
      <w:r w:rsidR="008D6DFC">
        <w:rPr>
          <w:rFonts w:hint="cs"/>
          <w:rtl/>
        </w:rPr>
        <w:t xml:space="preserve">גזירת </w:t>
      </w:r>
      <w:r>
        <w:rPr>
          <w:rFonts w:hint="cs"/>
          <w:rtl/>
        </w:rPr>
        <w:t>ההיקש ו</w:t>
      </w:r>
      <w:r w:rsidR="008D6DFC">
        <w:rPr>
          <w:rFonts w:hint="cs"/>
          <w:rtl/>
        </w:rPr>
        <w:t xml:space="preserve">התבוננות </w:t>
      </w:r>
      <w:r>
        <w:rPr>
          <w:rFonts w:hint="cs"/>
          <w:rtl/>
        </w:rPr>
        <w:t>השכל</w:t>
      </w:r>
      <w:r w:rsidR="005C35F3">
        <w:rPr>
          <w:rStyle w:val="FootnoteReference"/>
          <w:rtl/>
        </w:rPr>
        <w:footnoteReference w:id="628"/>
      </w:r>
      <w:r w:rsidR="005C35F3">
        <w:rPr>
          <w:rFonts w:hint="cs"/>
          <w:rtl/>
        </w:rPr>
        <w:t xml:space="preserve"> גם הם </w:t>
      </w:r>
      <w:r w:rsidR="00794FF9">
        <w:rPr>
          <w:rFonts w:hint="cs"/>
          <w:rtl/>
        </w:rPr>
        <w:t xml:space="preserve">אינם </w:t>
      </w:r>
      <w:r w:rsidR="008D7E60">
        <w:rPr>
          <w:rFonts w:hint="cs"/>
          <w:rtl/>
        </w:rPr>
        <w:t>מוכרחים</w:t>
      </w:r>
      <w:r w:rsidR="008258A6">
        <w:rPr>
          <w:rFonts w:hint="cs"/>
          <w:rtl/>
        </w:rPr>
        <w:t xml:space="preserve"> לזה</w:t>
      </w:r>
      <w:r w:rsidR="0065246F">
        <w:rPr>
          <w:rFonts w:hint="cs"/>
          <w:rtl/>
        </w:rPr>
        <w:t>,</w:t>
      </w:r>
      <w:r w:rsidR="008E77BA">
        <w:rPr>
          <w:rFonts w:hint="cs"/>
          <w:rtl/>
        </w:rPr>
        <w:t xml:space="preserve"> כיוון שהשכל</w:t>
      </w:r>
      <w:r w:rsidR="00282104">
        <w:rPr>
          <w:rFonts w:hint="cs"/>
          <w:rtl/>
        </w:rPr>
        <w:t xml:space="preserve"> </w:t>
      </w:r>
      <w:r w:rsidR="000F0EEF">
        <w:rPr>
          <w:rFonts w:hint="cs"/>
          <w:rtl/>
        </w:rPr>
        <w:t xml:space="preserve">הנפרד בעצמו </w:t>
      </w:r>
      <w:r w:rsidR="00797263">
        <w:rPr>
          <w:rFonts w:hint="cs"/>
          <w:rtl/>
        </w:rPr>
        <w:t xml:space="preserve">משיג את הגודל </w:t>
      </w:r>
      <w:r w:rsidR="0038665A">
        <w:rPr>
          <w:rFonts w:hint="cs"/>
          <w:rtl/>
        </w:rPr>
        <w:t>כ</w:t>
      </w:r>
      <w:r w:rsidR="00797263">
        <w:rPr>
          <w:rFonts w:hint="cs"/>
          <w:rtl/>
        </w:rPr>
        <w:t>השגה בחומר</w:t>
      </w:r>
      <w:r w:rsidR="0021786C">
        <w:rPr>
          <w:rStyle w:val="FootnoteReference"/>
          <w:rtl/>
        </w:rPr>
        <w:footnoteReference w:id="629"/>
      </w:r>
      <w:r w:rsidR="008259FD">
        <w:rPr>
          <w:rFonts w:hint="cs"/>
          <w:rtl/>
        </w:rPr>
        <w:t xml:space="preserve">, וההיקש </w:t>
      </w:r>
      <w:r w:rsidR="004E634A">
        <w:rPr>
          <w:rFonts w:hint="cs"/>
          <w:rtl/>
        </w:rPr>
        <w:t xml:space="preserve">גם הוא </w:t>
      </w:r>
      <w:r w:rsidR="008259FD">
        <w:rPr>
          <w:rFonts w:hint="cs"/>
          <w:rtl/>
        </w:rPr>
        <w:t xml:space="preserve">אינו מכריח </w:t>
      </w:r>
      <w:r w:rsidR="00DD5056">
        <w:rPr>
          <w:rFonts w:hint="cs"/>
          <w:rtl/>
        </w:rPr>
        <w:t xml:space="preserve">שהגודל </w:t>
      </w:r>
      <w:r w:rsidR="00254388">
        <w:rPr>
          <w:rFonts w:hint="cs"/>
          <w:rtl/>
        </w:rPr>
        <w:t>מ</w:t>
      </w:r>
      <w:r w:rsidR="00761D33">
        <w:rPr>
          <w:rFonts w:hint="cs"/>
          <w:rtl/>
        </w:rPr>
        <w:t>יוחד</w:t>
      </w:r>
      <w:r w:rsidR="00254388">
        <w:rPr>
          <w:rFonts w:hint="cs"/>
          <w:rtl/>
        </w:rPr>
        <w:t xml:space="preserve"> </w:t>
      </w:r>
      <w:r w:rsidR="005F16C4">
        <w:rPr>
          <w:rFonts w:hint="cs"/>
          <w:rtl/>
        </w:rPr>
        <w:t>ל</w:t>
      </w:r>
      <w:r w:rsidR="00254388">
        <w:rPr>
          <w:rFonts w:hint="cs"/>
          <w:rtl/>
        </w:rPr>
        <w:t xml:space="preserve">חומר </w:t>
      </w:r>
      <w:r w:rsidR="007B6EE8">
        <w:rPr>
          <w:rFonts w:hint="cs"/>
          <w:rtl/>
        </w:rPr>
        <w:t>מ</w:t>
      </w:r>
      <w:r w:rsidR="00117D23">
        <w:rPr>
          <w:rFonts w:hint="cs"/>
          <w:rtl/>
        </w:rPr>
        <w:t>מין</w:t>
      </w:r>
      <w:r w:rsidR="007B6EE8">
        <w:rPr>
          <w:rFonts w:hint="cs"/>
          <w:rtl/>
        </w:rPr>
        <w:t xml:space="preserve"> מוגדר, </w:t>
      </w:r>
      <w:r w:rsidR="008C6810">
        <w:rPr>
          <w:rFonts w:hint="cs"/>
          <w:rtl/>
        </w:rPr>
        <w:t xml:space="preserve">כיוון שהגודל </w:t>
      </w:r>
      <w:r w:rsidR="00135FC5">
        <w:rPr>
          <w:rFonts w:hint="cs"/>
          <w:rtl/>
        </w:rPr>
        <w:t xml:space="preserve">לא יפריד </w:t>
      </w:r>
      <w:r w:rsidR="00C96FD4">
        <w:rPr>
          <w:rFonts w:hint="cs"/>
          <w:rtl/>
        </w:rPr>
        <w:t>דבר</w:t>
      </w:r>
      <w:r w:rsidR="00A2664B">
        <w:rPr>
          <w:rFonts w:hint="cs"/>
          <w:rtl/>
        </w:rPr>
        <w:t xml:space="preserve"> מהחומרים</w:t>
      </w:r>
      <w:r w:rsidR="00092E17">
        <w:rPr>
          <w:rStyle w:val="FootnoteReference"/>
          <w:rtl/>
        </w:rPr>
        <w:footnoteReference w:id="630"/>
      </w:r>
      <w:r w:rsidR="00F31708">
        <w:rPr>
          <w:rFonts w:hint="cs"/>
          <w:rtl/>
        </w:rPr>
        <w:t>,</w:t>
      </w:r>
      <w:r w:rsidR="00E65887">
        <w:rPr>
          <w:rFonts w:hint="cs"/>
          <w:rtl/>
        </w:rPr>
        <w:t xml:space="preserve"> </w:t>
      </w:r>
      <w:r w:rsidR="00F31708">
        <w:rPr>
          <w:rFonts w:hint="cs"/>
          <w:rtl/>
        </w:rPr>
        <w:t>וכך אינו</w:t>
      </w:r>
      <w:r w:rsidR="00EB3871">
        <w:rPr>
          <w:rFonts w:hint="cs"/>
          <w:rtl/>
        </w:rPr>
        <w:t xml:space="preserve"> בחומר</w:t>
      </w:r>
      <w:r w:rsidR="00086C6D">
        <w:rPr>
          <w:rFonts w:hint="cs"/>
          <w:rtl/>
        </w:rPr>
        <w:t xml:space="preserve"> מיוחד</w:t>
      </w:r>
      <w:r w:rsidR="00A2664B">
        <w:rPr>
          <w:rFonts w:hint="cs"/>
          <w:rtl/>
        </w:rPr>
        <w:t>.</w:t>
      </w:r>
    </w:p>
    <w:p w14:paraId="0DF903B3" w14:textId="2B2A731C" w:rsidR="00681D98" w:rsidRPr="003266A1" w:rsidRDefault="001B2830" w:rsidP="003266A1">
      <w:pPr>
        <w:pStyle w:val="Heading4"/>
        <w:rPr>
          <w:rtl/>
        </w:rPr>
      </w:pPr>
      <w:bookmarkStart w:id="285" w:name="_Toc119092684"/>
      <w:r w:rsidRPr="003266A1">
        <w:rPr>
          <w:rFonts w:hint="cs"/>
          <w:rtl/>
        </w:rPr>
        <w:t>1.8.7</w:t>
      </w:r>
      <w:bookmarkEnd w:id="285"/>
      <w:r w:rsidR="00A2664B" w:rsidRPr="003266A1">
        <w:rPr>
          <w:rFonts w:hint="cs"/>
          <w:rtl/>
        </w:rPr>
        <w:t xml:space="preserve"> </w:t>
      </w:r>
    </w:p>
    <w:p w14:paraId="0B1D8CDF" w14:textId="105F7A94" w:rsidR="00850328" w:rsidRDefault="00900694" w:rsidP="008258A6">
      <w:pPr>
        <w:rPr>
          <w:rtl/>
        </w:rPr>
      </w:pPr>
      <w:r>
        <w:rPr>
          <w:rFonts w:hint="cs"/>
          <w:rtl/>
        </w:rPr>
        <w:t xml:space="preserve">וביחד עם זה, </w:t>
      </w:r>
      <w:r w:rsidR="0078754B">
        <w:rPr>
          <w:rFonts w:hint="cs"/>
          <w:rtl/>
        </w:rPr>
        <w:t xml:space="preserve">אין צורך </w:t>
      </w:r>
      <w:r w:rsidR="00704F43">
        <w:rPr>
          <w:rFonts w:hint="cs"/>
          <w:rtl/>
        </w:rPr>
        <w:t>בחומר כדי לתפוש</w:t>
      </w:r>
      <w:r w:rsidR="00932581">
        <w:rPr>
          <w:rFonts w:hint="cs"/>
          <w:rtl/>
        </w:rPr>
        <w:t xml:space="preserve"> [בכח </w:t>
      </w:r>
      <w:r w:rsidR="00E66386" w:rsidRPr="00E66386">
        <w:rPr>
          <w:rtl/>
        </w:rPr>
        <w:t>המִשְׁעָר</w:t>
      </w:r>
      <w:r w:rsidR="00932581">
        <w:rPr>
          <w:rFonts w:hint="cs"/>
          <w:rtl/>
        </w:rPr>
        <w:t>]</w:t>
      </w:r>
      <w:r w:rsidR="008A0B68">
        <w:rPr>
          <w:rStyle w:val="FootnoteReference"/>
          <w:rtl/>
        </w:rPr>
        <w:footnoteReference w:id="631"/>
      </w:r>
      <w:r w:rsidR="00704F43">
        <w:rPr>
          <w:rFonts w:hint="cs"/>
          <w:rtl/>
        </w:rPr>
        <w:t xml:space="preserve"> או להגדיר </w:t>
      </w:r>
      <w:r w:rsidR="00885241">
        <w:rPr>
          <w:rFonts w:hint="cs"/>
          <w:rtl/>
        </w:rPr>
        <w:t>[</w:t>
      </w:r>
      <w:r w:rsidR="004B68D4">
        <w:rPr>
          <w:rFonts w:hint="cs"/>
          <w:rtl/>
        </w:rPr>
        <w:t>את ה</w:t>
      </w:r>
      <w:r w:rsidR="00704F43">
        <w:rPr>
          <w:rFonts w:hint="cs"/>
          <w:rtl/>
        </w:rPr>
        <w:t>גודל</w:t>
      </w:r>
      <w:r w:rsidR="00885241">
        <w:rPr>
          <w:rFonts w:hint="cs"/>
          <w:rtl/>
        </w:rPr>
        <w:t>]</w:t>
      </w:r>
      <w:r w:rsidR="00704F43">
        <w:rPr>
          <w:rFonts w:hint="cs"/>
          <w:rtl/>
        </w:rPr>
        <w:t>.</w:t>
      </w:r>
      <w:r w:rsidR="00885241">
        <w:rPr>
          <w:rFonts w:hint="cs"/>
          <w:rtl/>
        </w:rPr>
        <w:t xml:space="preserve"> </w:t>
      </w:r>
      <w:r w:rsidR="002E57DC">
        <w:rPr>
          <w:rFonts w:hint="cs"/>
          <w:rtl/>
        </w:rPr>
        <w:t>וכשחושבים על לובן או שחרות</w:t>
      </w:r>
      <w:r w:rsidR="00800AF4">
        <w:rPr>
          <w:rFonts w:hint="cs"/>
          <w:rtl/>
        </w:rPr>
        <w:t xml:space="preserve"> זה</w:t>
      </w:r>
      <w:r w:rsidR="002E57DC">
        <w:rPr>
          <w:rFonts w:hint="cs"/>
          <w:rtl/>
        </w:rPr>
        <w:t xml:space="preserve"> </w:t>
      </w:r>
      <w:r w:rsidR="00DB7882">
        <w:rPr>
          <w:rFonts w:hint="cs"/>
          <w:rtl/>
        </w:rPr>
        <w:t>נראה כך</w:t>
      </w:r>
      <w:r w:rsidR="00800AF4">
        <w:rPr>
          <w:rFonts w:hint="cs"/>
          <w:rtl/>
        </w:rPr>
        <w:t xml:space="preserve"> גם לגביהם</w:t>
      </w:r>
      <w:r w:rsidR="00DB7882">
        <w:rPr>
          <w:rFonts w:hint="cs"/>
          <w:rtl/>
        </w:rPr>
        <w:t xml:space="preserve">, אבל </w:t>
      </w:r>
      <w:r w:rsidR="00800AF4">
        <w:rPr>
          <w:rFonts w:hint="cs"/>
          <w:rtl/>
        </w:rPr>
        <w:t xml:space="preserve">באמת לגביהם </w:t>
      </w:r>
      <w:r w:rsidR="00EE7B3C">
        <w:rPr>
          <w:rFonts w:hint="cs"/>
          <w:rtl/>
        </w:rPr>
        <w:t>אין זה כך</w:t>
      </w:r>
      <w:r w:rsidR="00EB3414">
        <w:rPr>
          <w:rFonts w:hint="cs"/>
          <w:rtl/>
        </w:rPr>
        <w:t>;</w:t>
      </w:r>
      <w:r w:rsidR="00EC7165">
        <w:rPr>
          <w:rFonts w:hint="cs"/>
          <w:rtl/>
        </w:rPr>
        <w:t xml:space="preserve"> ש</w:t>
      </w:r>
      <w:r w:rsidR="00F01494">
        <w:rPr>
          <w:rFonts w:hint="cs"/>
          <w:rtl/>
        </w:rPr>
        <w:t>הרי</w:t>
      </w:r>
      <w:r w:rsidR="00EC7165">
        <w:rPr>
          <w:rFonts w:hint="cs"/>
          <w:rtl/>
        </w:rPr>
        <w:t xml:space="preserve"> </w:t>
      </w:r>
      <w:r w:rsidR="00EB3414">
        <w:rPr>
          <w:rFonts w:hint="cs"/>
          <w:rtl/>
        </w:rPr>
        <w:t xml:space="preserve">לא </w:t>
      </w:r>
      <w:r w:rsidR="00EC7165">
        <w:rPr>
          <w:rFonts w:hint="cs"/>
          <w:rtl/>
        </w:rPr>
        <w:t>תתפוש</w:t>
      </w:r>
      <w:r w:rsidR="00EB3414">
        <w:rPr>
          <w:rFonts w:hint="cs"/>
          <w:rtl/>
        </w:rPr>
        <w:t xml:space="preserve"> </w:t>
      </w:r>
      <w:r w:rsidR="00420576">
        <w:rPr>
          <w:rFonts w:hint="cs"/>
          <w:rtl/>
        </w:rPr>
        <w:t>ב</w:t>
      </w:r>
      <w:r w:rsidR="002714F2">
        <w:rPr>
          <w:rFonts w:hint="cs"/>
          <w:rtl/>
        </w:rPr>
        <w:t>כח ה</w:t>
      </w:r>
      <w:r w:rsidR="00420576">
        <w:rPr>
          <w:rFonts w:hint="cs"/>
          <w:rtl/>
        </w:rPr>
        <w:t>דמיון</w:t>
      </w:r>
      <w:r w:rsidR="00CE0E7E">
        <w:rPr>
          <w:rStyle w:val="FootnoteReference"/>
          <w:rtl/>
        </w:rPr>
        <w:footnoteReference w:id="632"/>
      </w:r>
      <w:r w:rsidR="00420576">
        <w:rPr>
          <w:rFonts w:hint="cs"/>
          <w:rtl/>
        </w:rPr>
        <w:t xml:space="preserve"> </w:t>
      </w:r>
      <w:r w:rsidR="00EC7165">
        <w:rPr>
          <w:rFonts w:hint="cs"/>
          <w:rtl/>
        </w:rPr>
        <w:t xml:space="preserve"> </w:t>
      </w:r>
      <w:r w:rsidR="00594F63">
        <w:rPr>
          <w:rFonts w:hint="cs"/>
          <w:rtl/>
        </w:rPr>
        <w:t xml:space="preserve">ולא תתאר </w:t>
      </w:r>
      <w:r w:rsidR="00D14CE9">
        <w:rPr>
          <w:rFonts w:hint="cs"/>
          <w:rtl/>
        </w:rPr>
        <w:t xml:space="preserve">ולא תגדיר </w:t>
      </w:r>
      <w:r w:rsidR="003055E4">
        <w:rPr>
          <w:rFonts w:hint="cs"/>
          <w:rtl/>
        </w:rPr>
        <w:t xml:space="preserve">את מה שהם, </w:t>
      </w:r>
      <w:r w:rsidR="007C0E1F">
        <w:rPr>
          <w:rFonts w:hint="cs"/>
          <w:rtl/>
        </w:rPr>
        <w:t xml:space="preserve">ללא </w:t>
      </w:r>
      <w:r w:rsidR="001566EF">
        <w:rPr>
          <w:rFonts w:hint="cs"/>
          <w:rtl/>
        </w:rPr>
        <w:t xml:space="preserve">החומר, </w:t>
      </w:r>
      <w:r w:rsidR="009B5A9F">
        <w:rPr>
          <w:rFonts w:hint="cs"/>
          <w:rtl/>
        </w:rPr>
        <w:t xml:space="preserve">אם תתבונן </w:t>
      </w:r>
      <w:r w:rsidR="00A90E15">
        <w:rPr>
          <w:rFonts w:hint="cs"/>
          <w:rtl/>
        </w:rPr>
        <w:t xml:space="preserve">על האמת </w:t>
      </w:r>
      <w:r w:rsidR="009B5A9F">
        <w:rPr>
          <w:rFonts w:hint="cs"/>
          <w:rtl/>
        </w:rPr>
        <w:t>לע</w:t>
      </w:r>
      <w:r w:rsidR="00850328">
        <w:rPr>
          <w:rFonts w:hint="cs"/>
          <w:rtl/>
        </w:rPr>
        <w:t>ו</w:t>
      </w:r>
      <w:r w:rsidR="009B5A9F">
        <w:rPr>
          <w:rFonts w:hint="cs"/>
          <w:rtl/>
        </w:rPr>
        <w:t>מק</w:t>
      </w:r>
      <w:r w:rsidR="00850328">
        <w:rPr>
          <w:rFonts w:hint="cs"/>
          <w:rtl/>
        </w:rPr>
        <w:t>ה</w:t>
      </w:r>
      <w:r w:rsidR="00062315">
        <w:rPr>
          <w:rStyle w:val="FootnoteReference"/>
          <w:rtl/>
        </w:rPr>
        <w:footnoteReference w:id="633"/>
      </w:r>
      <w:r w:rsidR="009B5A9F">
        <w:rPr>
          <w:rFonts w:hint="cs"/>
          <w:rtl/>
        </w:rPr>
        <w:t xml:space="preserve">. </w:t>
      </w:r>
    </w:p>
    <w:p w14:paraId="2414DFA9" w14:textId="5E615A60" w:rsidR="00A069E1" w:rsidRDefault="00850328" w:rsidP="00AF63E4">
      <w:pPr>
        <w:rPr>
          <w:rtl/>
        </w:rPr>
      </w:pPr>
      <w:r>
        <w:rPr>
          <w:rFonts w:hint="cs"/>
          <w:rtl/>
        </w:rPr>
        <w:t xml:space="preserve">ואם </w:t>
      </w:r>
      <w:r w:rsidR="00E51676">
        <w:rPr>
          <w:rFonts w:hint="cs"/>
          <w:rtl/>
        </w:rPr>
        <w:t xml:space="preserve">[הלובן או השחרות] </w:t>
      </w:r>
      <w:r>
        <w:rPr>
          <w:rFonts w:hint="cs"/>
          <w:rtl/>
        </w:rPr>
        <w:t>הם מופשטים</w:t>
      </w:r>
      <w:r w:rsidR="00806E83">
        <w:rPr>
          <w:rFonts w:hint="cs"/>
          <w:rtl/>
        </w:rPr>
        <w:t xml:space="preserve"> זהו במובן אחר, </w:t>
      </w:r>
      <w:r w:rsidR="00934DFB">
        <w:rPr>
          <w:rFonts w:hint="cs"/>
          <w:rtl/>
        </w:rPr>
        <w:t xml:space="preserve">והוא שהחומר אינו חלק מקיומם </w:t>
      </w:r>
      <w:r w:rsidR="0068147E">
        <w:rPr>
          <w:rFonts w:hint="cs"/>
          <w:rtl/>
        </w:rPr>
        <w:t xml:space="preserve">כמו שהוא חלק מהקיום </w:t>
      </w:r>
      <w:r w:rsidR="005423DA">
        <w:rPr>
          <w:rFonts w:hint="cs"/>
          <w:rtl/>
        </w:rPr>
        <w:t>של המורכבים</w:t>
      </w:r>
      <w:r w:rsidR="00291D62">
        <w:rPr>
          <w:rStyle w:val="FootnoteReference"/>
          <w:rtl/>
        </w:rPr>
        <w:footnoteReference w:id="634"/>
      </w:r>
      <w:r w:rsidR="005423DA">
        <w:rPr>
          <w:rFonts w:hint="cs"/>
          <w:rtl/>
        </w:rPr>
        <w:t>, ועדיין בכל אופן הוא חלק מה</w:t>
      </w:r>
      <w:r w:rsidR="00E07993">
        <w:rPr>
          <w:rFonts w:hint="cs"/>
          <w:rtl/>
        </w:rPr>
        <w:t>גדרת</w:t>
      </w:r>
      <w:r w:rsidR="005423DA">
        <w:rPr>
          <w:rFonts w:hint="cs"/>
          <w:rtl/>
        </w:rPr>
        <w:t>ם.</w:t>
      </w:r>
      <w:r w:rsidR="00D53BBE">
        <w:rPr>
          <w:rFonts w:hint="cs"/>
          <w:rtl/>
        </w:rPr>
        <w:t xml:space="preserve"> והרבה מהדברים </w:t>
      </w:r>
      <w:r w:rsidR="004243C8">
        <w:rPr>
          <w:rFonts w:hint="cs"/>
          <w:rtl/>
        </w:rPr>
        <w:t>יהיו חלק מהגדרת דברים</w:t>
      </w:r>
      <w:r w:rsidR="00ED1AAF">
        <w:rPr>
          <w:rFonts w:hint="cs"/>
          <w:rtl/>
        </w:rPr>
        <w:t xml:space="preserve"> ולא יהיו חלק מקיומם</w:t>
      </w:r>
      <w:r w:rsidR="00EE1D06">
        <w:rPr>
          <w:rFonts w:hint="cs"/>
          <w:rtl/>
        </w:rPr>
        <w:t xml:space="preserve">, </w:t>
      </w:r>
      <w:r w:rsidR="00D11665">
        <w:rPr>
          <w:rFonts w:hint="cs"/>
          <w:rtl/>
        </w:rPr>
        <w:t>כ</w:t>
      </w:r>
      <w:r w:rsidR="00066640">
        <w:rPr>
          <w:rFonts w:hint="cs"/>
          <w:rtl/>
        </w:rPr>
        <w:t>א</w:t>
      </w:r>
      <w:r w:rsidR="00D11665">
        <w:rPr>
          <w:rFonts w:hint="cs"/>
          <w:rtl/>
        </w:rPr>
        <w:t>ש</w:t>
      </w:r>
      <w:r w:rsidR="00066640">
        <w:rPr>
          <w:rFonts w:hint="cs"/>
          <w:rtl/>
        </w:rPr>
        <w:t xml:space="preserve">ר הגדרתם כוללת </w:t>
      </w:r>
      <w:r w:rsidR="006F4533">
        <w:rPr>
          <w:rFonts w:hint="cs"/>
          <w:rtl/>
        </w:rPr>
        <w:t xml:space="preserve">יחס </w:t>
      </w:r>
      <w:r w:rsidR="00E748C5">
        <w:rPr>
          <w:rFonts w:hint="cs"/>
          <w:rtl/>
        </w:rPr>
        <w:t xml:space="preserve">אל דבר חיצוני </w:t>
      </w:r>
      <w:r w:rsidR="000979B0">
        <w:rPr>
          <w:rFonts w:hint="cs"/>
          <w:rtl/>
        </w:rPr>
        <w:t>למציאות הדבר</w:t>
      </w:r>
      <w:r w:rsidR="00ED1AAF">
        <w:rPr>
          <w:rFonts w:hint="cs"/>
          <w:rtl/>
        </w:rPr>
        <w:t xml:space="preserve">. </w:t>
      </w:r>
      <w:r w:rsidR="000979B0">
        <w:rPr>
          <w:rFonts w:hint="cs"/>
          <w:rtl/>
        </w:rPr>
        <w:t xml:space="preserve">והתפרש דבר זה </w:t>
      </w:r>
      <w:r w:rsidR="00783D8F">
        <w:rPr>
          <w:rFonts w:hint="cs"/>
          <w:rtl/>
        </w:rPr>
        <w:t>בספר ההוכחות</w:t>
      </w:r>
      <w:r w:rsidR="00E64A92">
        <w:rPr>
          <w:rStyle w:val="FootnoteReference"/>
          <w:rtl/>
        </w:rPr>
        <w:footnoteReference w:id="635"/>
      </w:r>
      <w:r w:rsidR="00783D8F">
        <w:rPr>
          <w:rFonts w:hint="cs"/>
          <w:rtl/>
        </w:rPr>
        <w:t xml:space="preserve">. </w:t>
      </w:r>
    </w:p>
    <w:p w14:paraId="5FE42AD8" w14:textId="77777777" w:rsidR="00A069E1" w:rsidRDefault="00A069E1" w:rsidP="008258A6">
      <w:pPr>
        <w:rPr>
          <w:rtl/>
        </w:rPr>
      </w:pPr>
      <w:r>
        <w:rPr>
          <w:rFonts w:hint="cs"/>
          <w:rtl/>
        </w:rPr>
        <w:t>1.8.8</w:t>
      </w:r>
    </w:p>
    <w:p w14:paraId="0129573F" w14:textId="00BECB78" w:rsidR="000350F4" w:rsidRDefault="00370F6A" w:rsidP="008258A6">
      <w:pPr>
        <w:rPr>
          <w:rtl/>
        </w:rPr>
      </w:pPr>
      <w:r>
        <w:rPr>
          <w:rFonts w:hint="cs"/>
          <w:rtl/>
        </w:rPr>
        <w:t>ו</w:t>
      </w:r>
      <w:r w:rsidR="00710D9B">
        <w:rPr>
          <w:rFonts w:hint="cs"/>
          <w:rtl/>
        </w:rPr>
        <w:t>מקצוע</w:t>
      </w:r>
      <w:r w:rsidR="00B40B69">
        <w:rPr>
          <w:rStyle w:val="FootnoteReference"/>
          <w:rtl/>
        </w:rPr>
        <w:footnoteReference w:id="636"/>
      </w:r>
      <w:r w:rsidR="00953B3A">
        <w:rPr>
          <w:rFonts w:hint="cs"/>
          <w:rtl/>
        </w:rPr>
        <w:t xml:space="preserve"> החשבון ו</w:t>
      </w:r>
      <w:r w:rsidR="00710D9B">
        <w:rPr>
          <w:rFonts w:hint="cs"/>
          <w:rtl/>
        </w:rPr>
        <w:t>מקצוע</w:t>
      </w:r>
      <w:r w:rsidR="008A04DC">
        <w:rPr>
          <w:rFonts w:hint="cs"/>
          <w:rtl/>
        </w:rPr>
        <w:t xml:space="preserve"> ההנדסה</w:t>
      </w:r>
      <w:r w:rsidR="003D11C6">
        <w:rPr>
          <w:rStyle w:val="FootnoteReference"/>
          <w:rtl/>
        </w:rPr>
        <w:footnoteReference w:id="637"/>
      </w:r>
      <w:r w:rsidR="008F2EA0">
        <w:rPr>
          <w:rFonts w:hint="cs"/>
          <w:rtl/>
        </w:rPr>
        <w:t xml:space="preserve"> ש</w:t>
      </w:r>
      <w:r w:rsidR="00710D9B">
        <w:rPr>
          <w:rFonts w:hint="cs"/>
          <w:rtl/>
        </w:rPr>
        <w:t>נ</w:t>
      </w:r>
      <w:r w:rsidR="008F2EA0">
        <w:rPr>
          <w:rFonts w:hint="cs"/>
          <w:rtl/>
        </w:rPr>
        <w:t>יה</w:t>
      </w:r>
      <w:r w:rsidR="00710D9B">
        <w:rPr>
          <w:rFonts w:hint="cs"/>
          <w:rtl/>
        </w:rPr>
        <w:t>ם</w:t>
      </w:r>
      <w:r w:rsidR="00F84D5A">
        <w:rPr>
          <w:rFonts w:hint="cs"/>
          <w:rtl/>
        </w:rPr>
        <w:t xml:space="preserve"> </w:t>
      </w:r>
      <w:r w:rsidR="0088608B">
        <w:rPr>
          <w:rFonts w:hint="cs"/>
          <w:rtl/>
        </w:rPr>
        <w:t>במבנה ההוכחות שלה</w:t>
      </w:r>
      <w:r w:rsidR="00710D9B">
        <w:rPr>
          <w:rFonts w:hint="cs"/>
          <w:rtl/>
        </w:rPr>
        <w:t>ם</w:t>
      </w:r>
      <w:r w:rsidR="0088608B">
        <w:rPr>
          <w:rFonts w:hint="cs"/>
          <w:rtl/>
        </w:rPr>
        <w:t xml:space="preserve"> </w:t>
      </w:r>
      <w:r w:rsidR="00896BE4">
        <w:rPr>
          <w:rFonts w:hint="cs"/>
          <w:rtl/>
        </w:rPr>
        <w:t>אין לה</w:t>
      </w:r>
      <w:r w:rsidR="00710D9B">
        <w:rPr>
          <w:rFonts w:hint="cs"/>
          <w:rtl/>
        </w:rPr>
        <w:t>ם</w:t>
      </w:r>
      <w:r w:rsidR="00364FDB">
        <w:rPr>
          <w:rFonts w:hint="cs"/>
          <w:rtl/>
        </w:rPr>
        <w:t xml:space="preserve"> נגיעה ב</w:t>
      </w:r>
      <w:r w:rsidR="00B371ED">
        <w:rPr>
          <w:rFonts w:hint="cs"/>
          <w:rtl/>
        </w:rPr>
        <w:t>חומר</w:t>
      </w:r>
      <w:r w:rsidR="00364FDB">
        <w:rPr>
          <w:rFonts w:hint="cs"/>
          <w:rtl/>
        </w:rPr>
        <w:t xml:space="preserve"> </w:t>
      </w:r>
      <w:r w:rsidR="00B371ED">
        <w:rPr>
          <w:rFonts w:hint="cs"/>
          <w:rtl/>
        </w:rPr>
        <w:t>הטבעי</w:t>
      </w:r>
      <w:r w:rsidR="008F2EA0">
        <w:rPr>
          <w:rFonts w:hint="cs"/>
          <w:rtl/>
        </w:rPr>
        <w:t xml:space="preserve"> </w:t>
      </w:r>
      <w:r w:rsidR="0049791E">
        <w:rPr>
          <w:rFonts w:hint="cs"/>
          <w:rtl/>
        </w:rPr>
        <w:t>ואינ</w:t>
      </w:r>
      <w:r w:rsidR="00466B30">
        <w:rPr>
          <w:rFonts w:hint="cs"/>
          <w:rtl/>
        </w:rPr>
        <w:t>ם</w:t>
      </w:r>
      <w:r w:rsidR="00EB1B76">
        <w:rPr>
          <w:rFonts w:hint="cs"/>
          <w:rtl/>
        </w:rPr>
        <w:t xml:space="preserve"> </w:t>
      </w:r>
      <w:r w:rsidR="004E548B">
        <w:rPr>
          <w:rFonts w:hint="cs"/>
          <w:rtl/>
        </w:rPr>
        <w:t>אוחזים בה</w:t>
      </w:r>
      <w:r w:rsidR="003A1F56">
        <w:rPr>
          <w:rFonts w:hint="cs"/>
          <w:rtl/>
        </w:rPr>
        <w:t>קדמות</w:t>
      </w:r>
      <w:r w:rsidR="004D6AB5">
        <w:rPr>
          <w:rStyle w:val="FootnoteReference"/>
          <w:rtl/>
        </w:rPr>
        <w:footnoteReference w:id="638"/>
      </w:r>
      <w:r w:rsidR="003A1F56">
        <w:rPr>
          <w:rFonts w:hint="cs"/>
          <w:rtl/>
        </w:rPr>
        <w:t xml:space="preserve"> </w:t>
      </w:r>
      <w:r w:rsidR="000D7977">
        <w:rPr>
          <w:rFonts w:hint="cs"/>
          <w:rtl/>
        </w:rPr>
        <w:t xml:space="preserve">הנוגעות </w:t>
      </w:r>
      <w:r w:rsidR="000836BF">
        <w:rPr>
          <w:rFonts w:hint="cs"/>
          <w:rtl/>
        </w:rPr>
        <w:t>ב</w:t>
      </w:r>
      <w:r w:rsidR="000D7977">
        <w:rPr>
          <w:rFonts w:hint="cs"/>
          <w:rtl/>
        </w:rPr>
        <w:t>חומר ב</w:t>
      </w:r>
      <w:r w:rsidR="002073A5">
        <w:rPr>
          <w:rFonts w:hint="cs"/>
          <w:rtl/>
        </w:rPr>
        <w:t xml:space="preserve">שום </w:t>
      </w:r>
      <w:r w:rsidR="000D7977">
        <w:rPr>
          <w:rFonts w:hint="cs"/>
          <w:rtl/>
        </w:rPr>
        <w:t xml:space="preserve">צד. </w:t>
      </w:r>
      <w:r w:rsidR="008A04DC">
        <w:rPr>
          <w:rFonts w:hint="cs"/>
          <w:rtl/>
        </w:rPr>
        <w:t xml:space="preserve"> </w:t>
      </w:r>
    </w:p>
    <w:p w14:paraId="7DDA5C7F" w14:textId="6804C010" w:rsidR="00C2456B" w:rsidRDefault="000350F4" w:rsidP="00033D58">
      <w:pPr>
        <w:rPr>
          <w:rtl/>
        </w:rPr>
      </w:pPr>
      <w:r>
        <w:rPr>
          <w:rFonts w:hint="cs"/>
          <w:rtl/>
        </w:rPr>
        <w:t xml:space="preserve">על כל פנים </w:t>
      </w:r>
      <w:r w:rsidR="00466B30">
        <w:rPr>
          <w:rFonts w:hint="cs"/>
          <w:rtl/>
        </w:rPr>
        <w:t>מקצוע</w:t>
      </w:r>
      <w:r w:rsidR="000E1B80">
        <w:rPr>
          <w:rFonts w:hint="cs"/>
          <w:rtl/>
        </w:rPr>
        <w:t xml:space="preserve"> הכדורים ה</w:t>
      </w:r>
      <w:r w:rsidR="00960FDF">
        <w:rPr>
          <w:rFonts w:hint="cs"/>
          <w:rtl/>
        </w:rPr>
        <w:t>מ</w:t>
      </w:r>
      <w:r w:rsidR="000E1B80">
        <w:rPr>
          <w:rFonts w:hint="cs"/>
          <w:rtl/>
        </w:rPr>
        <w:t>תנועעים</w:t>
      </w:r>
      <w:r w:rsidR="00084BBB">
        <w:rPr>
          <w:rStyle w:val="FootnoteReference"/>
          <w:rtl/>
        </w:rPr>
        <w:footnoteReference w:id="639"/>
      </w:r>
      <w:r w:rsidR="000E1B80">
        <w:rPr>
          <w:rFonts w:hint="cs"/>
          <w:rtl/>
        </w:rPr>
        <w:t xml:space="preserve">, </w:t>
      </w:r>
      <w:r w:rsidR="004B54B5">
        <w:rPr>
          <w:rFonts w:hint="cs"/>
          <w:rtl/>
        </w:rPr>
        <w:t xml:space="preserve">ויותר מכך </w:t>
      </w:r>
      <w:r w:rsidR="00466B30">
        <w:rPr>
          <w:rFonts w:hint="cs"/>
          <w:rtl/>
        </w:rPr>
        <w:t>מקצוע</w:t>
      </w:r>
      <w:r w:rsidR="00B147A2">
        <w:rPr>
          <w:rFonts w:hint="cs"/>
          <w:rtl/>
        </w:rPr>
        <w:t xml:space="preserve"> </w:t>
      </w:r>
      <w:r w:rsidR="004B54B5">
        <w:rPr>
          <w:rFonts w:hint="cs"/>
          <w:rtl/>
        </w:rPr>
        <w:t>המוזיקה,</w:t>
      </w:r>
      <w:r w:rsidR="00B147A2">
        <w:rPr>
          <w:rFonts w:hint="cs"/>
          <w:rtl/>
        </w:rPr>
        <w:t xml:space="preserve"> ויותר מ</w:t>
      </w:r>
      <w:r w:rsidR="0022155E">
        <w:rPr>
          <w:rFonts w:hint="cs"/>
          <w:rtl/>
        </w:rPr>
        <w:t xml:space="preserve">כך </w:t>
      </w:r>
      <w:r w:rsidR="00466B30">
        <w:rPr>
          <w:rFonts w:hint="cs"/>
          <w:rtl/>
        </w:rPr>
        <w:t>מקצוע</w:t>
      </w:r>
      <w:r w:rsidR="00B147A2">
        <w:rPr>
          <w:rFonts w:hint="cs"/>
          <w:rtl/>
        </w:rPr>
        <w:t xml:space="preserve"> האופטיקה, </w:t>
      </w:r>
      <w:r w:rsidR="00F97971">
        <w:rPr>
          <w:rFonts w:hint="cs"/>
          <w:rtl/>
        </w:rPr>
        <w:t xml:space="preserve">ויותר מאלה </w:t>
      </w:r>
      <w:r w:rsidR="00466B30">
        <w:rPr>
          <w:rFonts w:hint="cs"/>
          <w:rtl/>
        </w:rPr>
        <w:t>מקצוע</w:t>
      </w:r>
      <w:r w:rsidR="00F97971">
        <w:rPr>
          <w:rFonts w:hint="cs"/>
          <w:rtl/>
        </w:rPr>
        <w:t xml:space="preserve"> האסטרונומיה, </w:t>
      </w:r>
      <w:r w:rsidR="002C014A">
        <w:rPr>
          <w:rFonts w:hint="cs"/>
          <w:rtl/>
        </w:rPr>
        <w:t>אוחזים</w:t>
      </w:r>
      <w:r w:rsidR="00AD0F37">
        <w:rPr>
          <w:rFonts w:hint="cs"/>
          <w:rtl/>
        </w:rPr>
        <w:t xml:space="preserve"> </w:t>
      </w:r>
      <w:r w:rsidR="000C25E1">
        <w:rPr>
          <w:rFonts w:hint="cs"/>
          <w:rtl/>
        </w:rPr>
        <w:t>ב</w:t>
      </w:r>
      <w:r w:rsidR="00AD0F37">
        <w:rPr>
          <w:rFonts w:hint="cs"/>
          <w:rtl/>
        </w:rPr>
        <w:t>חומר</w:t>
      </w:r>
      <w:r w:rsidR="00752E12">
        <w:rPr>
          <w:rFonts w:hint="cs"/>
          <w:rtl/>
        </w:rPr>
        <w:t xml:space="preserve"> או </w:t>
      </w:r>
      <w:r w:rsidR="000C25E1">
        <w:rPr>
          <w:rFonts w:hint="cs"/>
          <w:rtl/>
        </w:rPr>
        <w:t>ב</w:t>
      </w:r>
      <w:r w:rsidR="00752E12">
        <w:rPr>
          <w:rFonts w:hint="cs"/>
          <w:rtl/>
        </w:rPr>
        <w:t xml:space="preserve">דבר ממקרי החומר, </w:t>
      </w:r>
      <w:r w:rsidR="007574A8">
        <w:rPr>
          <w:rFonts w:hint="cs"/>
          <w:rtl/>
        </w:rPr>
        <w:t>וז</w:t>
      </w:r>
      <w:r w:rsidR="00F230E6">
        <w:rPr>
          <w:rFonts w:hint="cs"/>
          <w:rtl/>
        </w:rPr>
        <w:t xml:space="preserve">ה משום </w:t>
      </w:r>
      <w:r w:rsidR="00DA45DE">
        <w:rPr>
          <w:rFonts w:hint="cs"/>
          <w:rtl/>
        </w:rPr>
        <w:t>ש</w:t>
      </w:r>
      <w:r w:rsidR="0089117A">
        <w:rPr>
          <w:rFonts w:hint="cs"/>
          <w:rtl/>
        </w:rPr>
        <w:t>מקצוע</w:t>
      </w:r>
      <w:r w:rsidR="00DA45DE">
        <w:rPr>
          <w:rFonts w:hint="cs"/>
          <w:rtl/>
        </w:rPr>
        <w:t xml:space="preserve">ות אלה </w:t>
      </w:r>
      <w:r w:rsidR="00647AF6">
        <w:rPr>
          <w:rFonts w:hint="cs"/>
          <w:rtl/>
        </w:rPr>
        <w:t>עוסק</w:t>
      </w:r>
      <w:r w:rsidR="00A86011">
        <w:rPr>
          <w:rFonts w:hint="cs"/>
          <w:rtl/>
        </w:rPr>
        <w:t>ים</w:t>
      </w:r>
      <w:r w:rsidR="00647AF6">
        <w:rPr>
          <w:rFonts w:hint="cs"/>
          <w:rtl/>
        </w:rPr>
        <w:t xml:space="preserve"> בחקירת </w:t>
      </w:r>
      <w:r w:rsidR="00386CE4">
        <w:rPr>
          <w:rFonts w:hint="cs"/>
          <w:rtl/>
        </w:rPr>
        <w:t>מצבי</w:t>
      </w:r>
      <w:r w:rsidR="00992914">
        <w:rPr>
          <w:rFonts w:hint="cs"/>
          <w:rtl/>
        </w:rPr>
        <w:t xml:space="preserve"> החומר,</w:t>
      </w:r>
      <w:r w:rsidR="00D64FE9">
        <w:rPr>
          <w:rFonts w:hint="cs"/>
          <w:rtl/>
        </w:rPr>
        <w:t xml:space="preserve"> ומן ההכרח שי</w:t>
      </w:r>
      <w:r w:rsidR="008C0245">
        <w:rPr>
          <w:rFonts w:hint="cs"/>
          <w:rtl/>
        </w:rPr>
        <w:t>אחזו בו</w:t>
      </w:r>
      <w:r w:rsidR="00E07CDB">
        <w:rPr>
          <w:rFonts w:hint="cs"/>
          <w:rtl/>
        </w:rPr>
        <w:t>. וזה משום ש</w:t>
      </w:r>
      <w:r w:rsidR="00A86011">
        <w:rPr>
          <w:rFonts w:hint="cs"/>
          <w:rtl/>
        </w:rPr>
        <w:t>מקצוע</w:t>
      </w:r>
      <w:r w:rsidR="00E07CDB">
        <w:rPr>
          <w:rFonts w:hint="cs"/>
          <w:rtl/>
        </w:rPr>
        <w:t xml:space="preserve">ות אלה </w:t>
      </w:r>
      <w:r w:rsidR="00A77EB7">
        <w:rPr>
          <w:rFonts w:hint="cs"/>
          <w:rtl/>
        </w:rPr>
        <w:t>עוסק</w:t>
      </w:r>
      <w:r w:rsidR="00A86011">
        <w:rPr>
          <w:rFonts w:hint="cs"/>
          <w:rtl/>
        </w:rPr>
        <w:t>ים</w:t>
      </w:r>
      <w:r w:rsidR="00A77EB7">
        <w:rPr>
          <w:rFonts w:hint="cs"/>
          <w:rtl/>
        </w:rPr>
        <w:t xml:space="preserve"> </w:t>
      </w:r>
      <w:r w:rsidR="00033D58">
        <w:rPr>
          <w:rFonts w:hint="cs"/>
          <w:rtl/>
        </w:rPr>
        <w:t xml:space="preserve">בחקירת </w:t>
      </w:r>
      <w:r w:rsidR="00E00AAA">
        <w:rPr>
          <w:rFonts w:hint="cs"/>
          <w:rtl/>
        </w:rPr>
        <w:t xml:space="preserve">מספר הדברים, או גודל </w:t>
      </w:r>
      <w:r w:rsidR="00045130">
        <w:rPr>
          <w:rFonts w:hint="cs"/>
          <w:rtl/>
        </w:rPr>
        <w:t>או תבנית</w:t>
      </w:r>
      <w:r w:rsidR="00B169C3">
        <w:rPr>
          <w:rFonts w:hint="cs"/>
          <w:rtl/>
        </w:rPr>
        <w:t xml:space="preserve"> שיש בדברים, והמספר והגודל </w:t>
      </w:r>
      <w:r w:rsidR="0029299B">
        <w:rPr>
          <w:rFonts w:hint="cs"/>
          <w:rtl/>
        </w:rPr>
        <w:t xml:space="preserve">והתבנית </w:t>
      </w:r>
      <w:r w:rsidR="005F48A8">
        <w:rPr>
          <w:rFonts w:hint="cs"/>
          <w:rtl/>
        </w:rPr>
        <w:t>הם מקר</w:t>
      </w:r>
      <w:r w:rsidR="008173EC">
        <w:rPr>
          <w:rFonts w:hint="cs"/>
          <w:rtl/>
        </w:rPr>
        <w:t>ים</w:t>
      </w:r>
      <w:r w:rsidR="001276B3">
        <w:rPr>
          <w:rFonts w:hint="cs"/>
          <w:rtl/>
        </w:rPr>
        <w:t xml:space="preserve"> של</w:t>
      </w:r>
      <w:r w:rsidR="0003601D">
        <w:rPr>
          <w:rFonts w:hint="cs"/>
          <w:rtl/>
        </w:rPr>
        <w:t xml:space="preserve"> כלל הדברים הטבעיים</w:t>
      </w:r>
      <w:r w:rsidR="00B0770C">
        <w:rPr>
          <w:rFonts w:hint="cs"/>
          <w:rtl/>
        </w:rPr>
        <w:t>. ו</w:t>
      </w:r>
      <w:r w:rsidR="00A14A6E">
        <w:rPr>
          <w:rFonts w:hint="cs"/>
          <w:rtl/>
        </w:rPr>
        <w:t>קורים</w:t>
      </w:r>
      <w:r w:rsidR="00B0770C">
        <w:rPr>
          <w:rFonts w:hint="cs"/>
          <w:rtl/>
        </w:rPr>
        <w:t xml:space="preserve"> </w:t>
      </w:r>
      <w:r w:rsidR="002E6775">
        <w:rPr>
          <w:rFonts w:hint="cs"/>
          <w:rtl/>
        </w:rPr>
        <w:t xml:space="preserve">ביחד </w:t>
      </w:r>
      <w:r w:rsidR="00B0770C">
        <w:rPr>
          <w:rFonts w:hint="cs"/>
          <w:rtl/>
        </w:rPr>
        <w:t xml:space="preserve">עם המספר </w:t>
      </w:r>
      <w:r w:rsidR="003B7337">
        <w:rPr>
          <w:rFonts w:hint="cs"/>
          <w:rtl/>
        </w:rPr>
        <w:t>והגודל</w:t>
      </w:r>
      <w:r w:rsidR="000C7E52">
        <w:rPr>
          <w:rFonts w:hint="cs"/>
          <w:rtl/>
        </w:rPr>
        <w:t xml:space="preserve"> גם</w:t>
      </w:r>
      <w:r w:rsidR="001276B3">
        <w:rPr>
          <w:rFonts w:hint="cs"/>
          <w:rtl/>
        </w:rPr>
        <w:t xml:space="preserve"> המ</w:t>
      </w:r>
      <w:r w:rsidR="007B31D9">
        <w:rPr>
          <w:rFonts w:hint="cs"/>
          <w:rtl/>
        </w:rPr>
        <w:t>תלוו</w:t>
      </w:r>
      <w:r w:rsidR="001276B3">
        <w:rPr>
          <w:rFonts w:hint="cs"/>
          <w:rtl/>
        </w:rPr>
        <w:t>ים העצמיים</w:t>
      </w:r>
      <w:r w:rsidR="000C7E52">
        <w:rPr>
          <w:rFonts w:hint="cs"/>
          <w:rtl/>
        </w:rPr>
        <w:t xml:space="preserve"> במספר ובגודל</w:t>
      </w:r>
      <w:r w:rsidR="00E654A7">
        <w:rPr>
          <w:rFonts w:hint="cs"/>
          <w:rtl/>
        </w:rPr>
        <w:t xml:space="preserve">. </w:t>
      </w:r>
      <w:r w:rsidR="00241286">
        <w:rPr>
          <w:rFonts w:hint="cs"/>
          <w:rtl/>
        </w:rPr>
        <w:t xml:space="preserve">ואם </w:t>
      </w:r>
      <w:r w:rsidR="002660C6">
        <w:rPr>
          <w:rFonts w:hint="cs"/>
          <w:rtl/>
        </w:rPr>
        <w:t>נ</w:t>
      </w:r>
      <w:r w:rsidR="00241286">
        <w:rPr>
          <w:rFonts w:hint="cs"/>
          <w:rtl/>
        </w:rPr>
        <w:t xml:space="preserve">רצה </w:t>
      </w:r>
      <w:r w:rsidR="00FF1B2E">
        <w:rPr>
          <w:rFonts w:hint="cs"/>
          <w:rtl/>
        </w:rPr>
        <w:t xml:space="preserve">לחקור </w:t>
      </w:r>
      <w:r w:rsidR="00ED0ACA">
        <w:rPr>
          <w:rFonts w:hint="cs"/>
          <w:rtl/>
        </w:rPr>
        <w:t xml:space="preserve">את </w:t>
      </w:r>
      <w:r w:rsidR="00BE2D77">
        <w:rPr>
          <w:rFonts w:hint="cs"/>
          <w:rtl/>
        </w:rPr>
        <w:t>מה שיקרה</w:t>
      </w:r>
      <w:r w:rsidR="00ED0ACA">
        <w:rPr>
          <w:rFonts w:hint="cs"/>
          <w:rtl/>
        </w:rPr>
        <w:t xml:space="preserve"> </w:t>
      </w:r>
      <w:r w:rsidR="00BE2D77">
        <w:rPr>
          <w:rFonts w:hint="cs"/>
          <w:rtl/>
        </w:rPr>
        <w:t>מ</w:t>
      </w:r>
      <w:r w:rsidR="00ED0ACA">
        <w:rPr>
          <w:rFonts w:hint="cs"/>
          <w:rtl/>
        </w:rPr>
        <w:t xml:space="preserve">המצבים </w:t>
      </w:r>
      <w:r w:rsidR="007706CF">
        <w:rPr>
          <w:rFonts w:hint="cs"/>
          <w:rtl/>
        </w:rPr>
        <w:t xml:space="preserve">של המספרים </w:t>
      </w:r>
      <w:r w:rsidR="000132ED">
        <w:rPr>
          <w:rFonts w:hint="cs"/>
          <w:rtl/>
        </w:rPr>
        <w:t xml:space="preserve">והגודל בדבר מן הדברים הטבעיים, </w:t>
      </w:r>
      <w:r w:rsidR="002660C6">
        <w:rPr>
          <w:rFonts w:hint="cs"/>
          <w:rtl/>
        </w:rPr>
        <w:t>נ</w:t>
      </w:r>
      <w:r w:rsidR="00B033AA">
        <w:rPr>
          <w:rFonts w:hint="cs"/>
          <w:rtl/>
        </w:rPr>
        <w:t xml:space="preserve">צטרך בהכרח </w:t>
      </w:r>
      <w:r w:rsidR="001B41FA">
        <w:rPr>
          <w:rFonts w:hint="cs"/>
          <w:rtl/>
        </w:rPr>
        <w:t>ל</w:t>
      </w:r>
      <w:r w:rsidR="00BD6A8C">
        <w:rPr>
          <w:rFonts w:hint="cs"/>
          <w:rtl/>
        </w:rPr>
        <w:t xml:space="preserve">השגיח בדברים </w:t>
      </w:r>
      <w:r w:rsidR="00C64878">
        <w:rPr>
          <w:rFonts w:hint="cs"/>
          <w:rtl/>
        </w:rPr>
        <w:t xml:space="preserve">טבעיים </w:t>
      </w:r>
      <w:r w:rsidR="00BD6A8C">
        <w:rPr>
          <w:rFonts w:hint="cs"/>
          <w:rtl/>
        </w:rPr>
        <w:t>אלה</w:t>
      </w:r>
      <w:r w:rsidR="00C2456B">
        <w:rPr>
          <w:rFonts w:hint="cs"/>
          <w:rtl/>
        </w:rPr>
        <w:t>.</w:t>
      </w:r>
    </w:p>
    <w:p w14:paraId="757E3CF5" w14:textId="002AA415" w:rsidR="005F58F1" w:rsidRDefault="007352BD" w:rsidP="00033D58">
      <w:pPr>
        <w:rPr>
          <w:rtl/>
        </w:rPr>
      </w:pPr>
      <w:r>
        <w:rPr>
          <w:rFonts w:hint="cs"/>
          <w:rtl/>
        </w:rPr>
        <w:t>וה</w:t>
      </w:r>
      <w:r w:rsidR="00ED1B0D">
        <w:rPr>
          <w:rFonts w:hint="cs"/>
          <w:rtl/>
        </w:rPr>
        <w:t>מקצוע</w:t>
      </w:r>
      <w:r w:rsidR="00CE427B">
        <w:rPr>
          <w:rFonts w:hint="cs"/>
          <w:rtl/>
        </w:rPr>
        <w:t xml:space="preserve"> </w:t>
      </w:r>
      <w:r>
        <w:rPr>
          <w:rFonts w:hint="cs"/>
          <w:rtl/>
        </w:rPr>
        <w:t>הטבעי ה</w:t>
      </w:r>
      <w:r w:rsidR="006E5B71">
        <w:rPr>
          <w:rFonts w:hint="cs"/>
          <w:rtl/>
        </w:rPr>
        <w:t>ו</w:t>
      </w:r>
      <w:r w:rsidR="00CE427B">
        <w:rPr>
          <w:rFonts w:hint="cs"/>
          <w:rtl/>
        </w:rPr>
        <w:t>א</w:t>
      </w:r>
      <w:r>
        <w:rPr>
          <w:rFonts w:hint="cs"/>
          <w:rtl/>
        </w:rPr>
        <w:t xml:space="preserve"> </w:t>
      </w:r>
      <w:r w:rsidR="006E5B71">
        <w:rPr>
          <w:rFonts w:hint="cs"/>
          <w:rtl/>
        </w:rPr>
        <w:t>מקצוע פשוט</w:t>
      </w:r>
      <w:r w:rsidR="009130D0">
        <w:rPr>
          <w:rStyle w:val="FootnoteReference"/>
          <w:rtl/>
        </w:rPr>
        <w:footnoteReference w:id="640"/>
      </w:r>
      <w:r>
        <w:rPr>
          <w:rFonts w:hint="cs"/>
          <w:rtl/>
        </w:rPr>
        <w:t xml:space="preserve">, </w:t>
      </w:r>
      <w:r w:rsidR="002B101A">
        <w:rPr>
          <w:rFonts w:hint="cs"/>
          <w:rtl/>
        </w:rPr>
        <w:t>וה</w:t>
      </w:r>
      <w:r w:rsidR="006E5B71">
        <w:rPr>
          <w:rFonts w:hint="cs"/>
          <w:rtl/>
        </w:rPr>
        <w:t>מקצוע</w:t>
      </w:r>
      <w:r w:rsidR="002B101A">
        <w:rPr>
          <w:rFonts w:hint="cs"/>
          <w:rtl/>
        </w:rPr>
        <w:t xml:space="preserve"> הלימודי</w:t>
      </w:r>
      <w:r w:rsidR="006E0FD9">
        <w:rPr>
          <w:rFonts w:hint="cs"/>
          <w:rtl/>
        </w:rPr>
        <w:t>, שהוא החשבון הצרוף</w:t>
      </w:r>
      <w:r w:rsidR="002B101A">
        <w:rPr>
          <w:rFonts w:hint="cs"/>
          <w:rtl/>
        </w:rPr>
        <w:t xml:space="preserve"> </w:t>
      </w:r>
      <w:r w:rsidR="00277F91">
        <w:rPr>
          <w:rFonts w:hint="cs"/>
          <w:rtl/>
        </w:rPr>
        <w:t>וההנדסה הצרופה, ה</w:t>
      </w:r>
      <w:r w:rsidR="00C74977">
        <w:rPr>
          <w:rFonts w:hint="cs"/>
          <w:rtl/>
        </w:rPr>
        <w:t>וא</w:t>
      </w:r>
      <w:r w:rsidR="00277F91">
        <w:rPr>
          <w:rFonts w:hint="cs"/>
          <w:rtl/>
        </w:rPr>
        <w:t xml:space="preserve"> מ</w:t>
      </w:r>
      <w:r w:rsidR="009440BC">
        <w:rPr>
          <w:rFonts w:hint="cs"/>
          <w:rtl/>
        </w:rPr>
        <w:t>קצוע פשוט,</w:t>
      </w:r>
      <w:r w:rsidR="00C74977">
        <w:rPr>
          <w:rFonts w:hint="cs"/>
          <w:rtl/>
        </w:rPr>
        <w:t xml:space="preserve"> </w:t>
      </w:r>
      <w:proofErr w:type="spellStart"/>
      <w:r w:rsidR="00C74977">
        <w:rPr>
          <w:rFonts w:hint="cs"/>
          <w:rtl/>
        </w:rPr>
        <w:t>ויוולד</w:t>
      </w:r>
      <w:proofErr w:type="spellEnd"/>
      <w:r w:rsidR="00C74977">
        <w:rPr>
          <w:rFonts w:hint="cs"/>
          <w:rtl/>
        </w:rPr>
        <w:t xml:space="preserve"> מה שביניהם</w:t>
      </w:r>
      <w:r w:rsidR="001C1088">
        <w:rPr>
          <w:rFonts w:hint="cs"/>
          <w:rtl/>
        </w:rPr>
        <w:t xml:space="preserve"> דהיינו</w:t>
      </w:r>
      <w:r w:rsidR="00C74977">
        <w:rPr>
          <w:rFonts w:hint="cs"/>
          <w:rtl/>
        </w:rPr>
        <w:t xml:space="preserve"> </w:t>
      </w:r>
      <w:r w:rsidR="009670E5">
        <w:rPr>
          <w:rFonts w:hint="cs"/>
          <w:rtl/>
        </w:rPr>
        <w:t xml:space="preserve">מקצועות </w:t>
      </w:r>
      <w:r w:rsidR="00CE4B72">
        <w:rPr>
          <w:rFonts w:hint="cs"/>
          <w:rtl/>
        </w:rPr>
        <w:t xml:space="preserve">שמושאם הוא </w:t>
      </w:r>
      <w:r w:rsidR="00B265AE">
        <w:rPr>
          <w:rFonts w:hint="cs"/>
          <w:rtl/>
        </w:rPr>
        <w:t>מקצוע</w:t>
      </w:r>
      <w:r w:rsidR="00762E8B">
        <w:rPr>
          <w:rFonts w:hint="cs"/>
          <w:rtl/>
        </w:rPr>
        <w:t xml:space="preserve"> אחד</w:t>
      </w:r>
      <w:r w:rsidR="00B265AE">
        <w:rPr>
          <w:rFonts w:hint="cs"/>
          <w:rtl/>
        </w:rPr>
        <w:t xml:space="preserve"> </w:t>
      </w:r>
      <w:r w:rsidR="009F1439">
        <w:rPr>
          <w:rFonts w:hint="cs"/>
          <w:rtl/>
        </w:rPr>
        <w:t>וה</w:t>
      </w:r>
      <w:r w:rsidR="00A74D6C">
        <w:rPr>
          <w:rFonts w:hint="cs"/>
          <w:rtl/>
        </w:rPr>
        <w:t xml:space="preserve">שאלות </w:t>
      </w:r>
      <w:r w:rsidR="00824902">
        <w:rPr>
          <w:rFonts w:hint="cs"/>
          <w:rtl/>
        </w:rPr>
        <w:t xml:space="preserve">שבתוכם </w:t>
      </w:r>
      <w:r w:rsidR="009F1439">
        <w:rPr>
          <w:rFonts w:hint="cs"/>
          <w:rtl/>
        </w:rPr>
        <w:t>נ</w:t>
      </w:r>
      <w:r w:rsidR="002375F1">
        <w:rPr>
          <w:rFonts w:hint="cs"/>
          <w:rtl/>
        </w:rPr>
        <w:t>אמרים עלי</w:t>
      </w:r>
      <w:r w:rsidR="00505395">
        <w:rPr>
          <w:rFonts w:hint="cs"/>
          <w:rtl/>
        </w:rPr>
        <w:t>הן</w:t>
      </w:r>
      <w:r w:rsidR="002375F1">
        <w:rPr>
          <w:rFonts w:hint="cs"/>
          <w:rtl/>
        </w:rPr>
        <w:t xml:space="preserve"> דברים</w:t>
      </w:r>
      <w:r w:rsidR="00824902">
        <w:rPr>
          <w:rFonts w:hint="cs"/>
          <w:rtl/>
        </w:rPr>
        <w:t xml:space="preserve"> </w:t>
      </w:r>
      <w:r w:rsidR="00505395">
        <w:rPr>
          <w:rFonts w:hint="cs"/>
          <w:rtl/>
        </w:rPr>
        <w:t>מ</w:t>
      </w:r>
      <w:r w:rsidR="00762E8B">
        <w:rPr>
          <w:rFonts w:hint="cs"/>
          <w:rtl/>
        </w:rPr>
        <w:t>מקצוע אחר.</w:t>
      </w:r>
    </w:p>
    <w:p w14:paraId="26BE45B8" w14:textId="1C0145DC" w:rsidR="00107954" w:rsidRDefault="005F58F1" w:rsidP="00033D58">
      <w:pPr>
        <w:rPr>
          <w:rtl/>
        </w:rPr>
      </w:pPr>
      <w:r>
        <w:rPr>
          <w:rFonts w:hint="cs"/>
          <w:rtl/>
        </w:rPr>
        <w:t>ו</w:t>
      </w:r>
      <w:r w:rsidR="00876027">
        <w:rPr>
          <w:rFonts w:hint="cs"/>
          <w:rtl/>
        </w:rPr>
        <w:t>ב</w:t>
      </w:r>
      <w:r>
        <w:rPr>
          <w:rFonts w:hint="cs"/>
          <w:rtl/>
        </w:rPr>
        <w:t xml:space="preserve">כן מקצת מהחכמות </w:t>
      </w:r>
      <w:r w:rsidR="00AC43D2">
        <w:rPr>
          <w:rFonts w:hint="cs"/>
          <w:rtl/>
        </w:rPr>
        <w:t>ה</w:t>
      </w:r>
      <w:r w:rsidR="00D0263C">
        <w:rPr>
          <w:rFonts w:hint="cs"/>
          <w:rtl/>
        </w:rPr>
        <w:t>שייכות</w:t>
      </w:r>
      <w:r w:rsidR="00AC43D2">
        <w:rPr>
          <w:rFonts w:hint="cs"/>
          <w:rtl/>
        </w:rPr>
        <w:t xml:space="preserve"> למתמטיקה </w:t>
      </w:r>
      <w:r w:rsidR="00C82277">
        <w:rPr>
          <w:rFonts w:hint="cs"/>
          <w:rtl/>
        </w:rPr>
        <w:t xml:space="preserve">מצריכות </w:t>
      </w:r>
      <w:r w:rsidR="00790E4B">
        <w:rPr>
          <w:rFonts w:hint="cs"/>
          <w:rtl/>
        </w:rPr>
        <w:t xml:space="preserve">שהשכל יפנה אל החומר, </w:t>
      </w:r>
      <w:r w:rsidR="00A8407A">
        <w:rPr>
          <w:rFonts w:hint="cs"/>
          <w:rtl/>
        </w:rPr>
        <w:t>בגלל היחס בינן ובין</w:t>
      </w:r>
      <w:r w:rsidR="00307947">
        <w:rPr>
          <w:rFonts w:hint="cs"/>
          <w:rtl/>
        </w:rPr>
        <w:t xml:space="preserve"> הטבעיים</w:t>
      </w:r>
      <w:r w:rsidR="00A8407A">
        <w:rPr>
          <w:rFonts w:hint="cs"/>
          <w:rtl/>
        </w:rPr>
        <w:t xml:space="preserve">, </w:t>
      </w:r>
      <w:r w:rsidR="008F17DA">
        <w:rPr>
          <w:rFonts w:hint="cs"/>
          <w:rtl/>
        </w:rPr>
        <w:t>ו</w:t>
      </w:r>
      <w:r w:rsidR="00A24E73">
        <w:rPr>
          <w:rFonts w:hint="cs"/>
          <w:rtl/>
        </w:rPr>
        <w:t>כל שכן</w:t>
      </w:r>
      <w:r w:rsidR="008F17DA">
        <w:rPr>
          <w:rFonts w:hint="cs"/>
          <w:rtl/>
        </w:rPr>
        <w:t xml:space="preserve"> </w:t>
      </w:r>
      <w:r w:rsidR="00E14C12">
        <w:rPr>
          <w:rFonts w:hint="cs"/>
          <w:rtl/>
        </w:rPr>
        <w:t xml:space="preserve">חכמת הטבע עצמה. </w:t>
      </w:r>
      <w:r w:rsidR="00CE7F6A">
        <w:rPr>
          <w:rFonts w:hint="cs"/>
          <w:rtl/>
        </w:rPr>
        <w:t xml:space="preserve">ומחשבה נפסדת </w:t>
      </w:r>
      <w:r w:rsidR="00042B5A">
        <w:rPr>
          <w:rFonts w:hint="cs"/>
          <w:rtl/>
        </w:rPr>
        <w:t>ביותר היא</w:t>
      </w:r>
      <w:r w:rsidR="00AA5F31">
        <w:rPr>
          <w:rFonts w:hint="cs"/>
          <w:rtl/>
        </w:rPr>
        <w:t xml:space="preserve"> </w:t>
      </w:r>
      <w:r w:rsidR="00BD76B7">
        <w:rPr>
          <w:rFonts w:hint="cs"/>
          <w:rtl/>
        </w:rPr>
        <w:t xml:space="preserve">שיש לעמול בחכמת הטבע </w:t>
      </w:r>
      <w:r w:rsidR="00E67151">
        <w:rPr>
          <w:rFonts w:hint="cs"/>
          <w:rtl/>
        </w:rPr>
        <w:t>רק ב</w:t>
      </w:r>
      <w:r w:rsidR="00BD76B7">
        <w:rPr>
          <w:rFonts w:hint="cs"/>
          <w:rtl/>
        </w:rPr>
        <w:t xml:space="preserve">צורה ולהתעלם </w:t>
      </w:r>
      <w:r w:rsidR="00736295">
        <w:rPr>
          <w:rFonts w:hint="cs"/>
          <w:rtl/>
        </w:rPr>
        <w:t xml:space="preserve">מהחומר </w:t>
      </w:r>
      <w:r w:rsidR="00E749CD">
        <w:rPr>
          <w:rFonts w:hint="cs"/>
          <w:rtl/>
        </w:rPr>
        <w:t>ה</w:t>
      </w:r>
      <w:r w:rsidR="00AF21CF">
        <w:rPr>
          <w:rFonts w:hint="cs"/>
          <w:rtl/>
        </w:rPr>
        <w:t>בסיס</w:t>
      </w:r>
      <w:r w:rsidR="00E749CD">
        <w:rPr>
          <w:rFonts w:hint="cs"/>
          <w:rtl/>
        </w:rPr>
        <w:t>י</w:t>
      </w:r>
      <w:r w:rsidR="009202AF">
        <w:rPr>
          <w:rStyle w:val="FootnoteReference"/>
          <w:rtl/>
        </w:rPr>
        <w:footnoteReference w:id="641"/>
      </w:r>
      <w:r w:rsidR="00E749CD">
        <w:rPr>
          <w:rFonts w:hint="cs"/>
          <w:rtl/>
        </w:rPr>
        <w:t>.</w:t>
      </w:r>
      <w:r w:rsidR="00B169C3">
        <w:rPr>
          <w:rFonts w:hint="cs"/>
          <w:rtl/>
        </w:rPr>
        <w:t xml:space="preserve"> </w:t>
      </w:r>
      <w:r w:rsidR="00045130">
        <w:rPr>
          <w:rFonts w:hint="cs"/>
          <w:rtl/>
        </w:rPr>
        <w:t xml:space="preserve"> </w:t>
      </w:r>
      <w:r w:rsidR="00107954">
        <w:rPr>
          <w:rtl/>
        </w:rPr>
        <w:br w:type="page"/>
      </w:r>
    </w:p>
    <w:p w14:paraId="1B253339" w14:textId="55159556" w:rsidR="00F32181" w:rsidRPr="00F32181" w:rsidRDefault="00F32181" w:rsidP="0010151C">
      <w:pPr>
        <w:pStyle w:val="Heading2"/>
        <w:rPr>
          <w:rtl/>
        </w:rPr>
      </w:pPr>
      <w:bookmarkStart w:id="287" w:name="_Toc119092685"/>
      <w:r w:rsidRPr="00F32181">
        <w:rPr>
          <w:rFonts w:hint="cs"/>
          <w:rtl/>
        </w:rPr>
        <w:t xml:space="preserve">פרק </w:t>
      </w:r>
      <w:r>
        <w:rPr>
          <w:rFonts w:hint="cs"/>
          <w:rtl/>
        </w:rPr>
        <w:t>ט</w:t>
      </w:r>
      <w:bookmarkEnd w:id="287"/>
    </w:p>
    <w:p w14:paraId="7D2ADCEE" w14:textId="25D4A580" w:rsidR="00F32181" w:rsidRDefault="00F32181" w:rsidP="0010151C">
      <w:pPr>
        <w:pStyle w:val="Heading3"/>
        <w:rPr>
          <w:rtl/>
          <w:lang w:val="he"/>
        </w:rPr>
      </w:pPr>
      <w:bookmarkStart w:id="288" w:name="_Toc119092686"/>
      <w:r w:rsidRPr="00F32181">
        <w:rPr>
          <w:rFonts w:hint="cs"/>
          <w:rtl/>
          <w:lang w:val="he"/>
        </w:rPr>
        <w:t xml:space="preserve">על </w:t>
      </w:r>
      <w:r w:rsidR="000D4253">
        <w:rPr>
          <w:rFonts w:hint="cs"/>
          <w:rtl/>
          <w:lang w:val="he"/>
        </w:rPr>
        <w:t>הגדרת הסיבות</w:t>
      </w:r>
      <w:r w:rsidR="001F3459">
        <w:rPr>
          <w:rFonts w:hint="cs"/>
          <w:rtl/>
          <w:lang w:val="he"/>
        </w:rPr>
        <w:t xml:space="preserve"> שיש בהן את העניין ה</w:t>
      </w:r>
      <w:r w:rsidR="008676A6">
        <w:rPr>
          <w:rFonts w:hint="cs"/>
          <w:rtl/>
          <w:lang w:val="he"/>
        </w:rPr>
        <w:t>רב</w:t>
      </w:r>
      <w:r w:rsidR="0010151C">
        <w:rPr>
          <w:rFonts w:hint="cs"/>
          <w:rtl/>
          <w:lang w:val="he"/>
        </w:rPr>
        <w:t xml:space="preserve"> ביותר לחכם הטבע בחקירתו</w:t>
      </w:r>
      <w:bookmarkEnd w:id="288"/>
      <w:r w:rsidRPr="00F32181">
        <w:rPr>
          <w:rFonts w:hint="cs"/>
          <w:rtl/>
          <w:lang w:val="he"/>
        </w:rPr>
        <w:t xml:space="preserve"> </w:t>
      </w:r>
    </w:p>
    <w:p w14:paraId="5C86D670" w14:textId="77777777" w:rsidR="0001237A" w:rsidRDefault="0001237A" w:rsidP="0001237A">
      <w:pPr>
        <w:rPr>
          <w:rtl/>
          <w:lang w:val="he"/>
        </w:rPr>
      </w:pPr>
    </w:p>
    <w:p w14:paraId="3ABDDF52" w14:textId="5E759BA4" w:rsidR="0001237A" w:rsidRPr="0001237A" w:rsidRDefault="0001237A" w:rsidP="0013647E">
      <w:pPr>
        <w:pStyle w:val="Heading4"/>
        <w:rPr>
          <w:rtl/>
          <w:lang w:val="he"/>
        </w:rPr>
      </w:pPr>
      <w:bookmarkStart w:id="289" w:name="_Toc119092687"/>
      <w:r>
        <w:rPr>
          <w:rFonts w:hint="cs"/>
          <w:rtl/>
          <w:lang w:val="he"/>
        </w:rPr>
        <w:t>1.9.1</w:t>
      </w:r>
      <w:bookmarkEnd w:id="289"/>
    </w:p>
    <w:p w14:paraId="1E27C2D8" w14:textId="28939327" w:rsidR="00A95846" w:rsidRDefault="003C16E7" w:rsidP="00033D58">
      <w:pPr>
        <w:rPr>
          <w:rtl/>
        </w:rPr>
      </w:pPr>
      <w:r>
        <w:rPr>
          <w:rFonts w:hint="cs"/>
          <w:rtl/>
        </w:rPr>
        <w:t xml:space="preserve">מקצת </w:t>
      </w:r>
      <w:r w:rsidR="00573249">
        <w:rPr>
          <w:rFonts w:hint="cs"/>
          <w:rtl/>
        </w:rPr>
        <w:t xml:space="preserve">מבעלי חכמת הטבע, ומהם </w:t>
      </w:r>
      <w:proofErr w:type="spellStart"/>
      <w:r w:rsidR="00573249">
        <w:rPr>
          <w:rFonts w:hint="cs"/>
          <w:rtl/>
        </w:rPr>
        <w:t>אנטיפון</w:t>
      </w:r>
      <w:proofErr w:type="spellEnd"/>
      <w:r w:rsidR="00573249">
        <w:rPr>
          <w:rFonts w:hint="cs"/>
          <w:rtl/>
        </w:rPr>
        <w:t xml:space="preserve">, </w:t>
      </w:r>
      <w:r w:rsidR="00094D61">
        <w:rPr>
          <w:rFonts w:hint="cs"/>
          <w:rtl/>
        </w:rPr>
        <w:t xml:space="preserve">דחו </w:t>
      </w:r>
      <w:r w:rsidR="00AF7559">
        <w:rPr>
          <w:rFonts w:hint="cs"/>
          <w:rtl/>
        </w:rPr>
        <w:t>לגמרי את ה</w:t>
      </w:r>
      <w:r w:rsidR="00D0707F">
        <w:rPr>
          <w:rFonts w:hint="cs"/>
          <w:rtl/>
        </w:rPr>
        <w:t>'</w:t>
      </w:r>
      <w:r w:rsidR="00AF7559">
        <w:rPr>
          <w:rFonts w:hint="cs"/>
          <w:rtl/>
        </w:rPr>
        <w:t>צורה</w:t>
      </w:r>
      <w:r w:rsidR="00D0707F">
        <w:rPr>
          <w:rFonts w:hint="cs"/>
          <w:rtl/>
        </w:rPr>
        <w:t>'</w:t>
      </w:r>
      <w:r w:rsidR="00AF7559">
        <w:rPr>
          <w:rFonts w:hint="cs"/>
          <w:rtl/>
        </w:rPr>
        <w:t xml:space="preserve"> מ</w:t>
      </w:r>
      <w:r w:rsidR="00C4622C">
        <w:rPr>
          <w:rFonts w:hint="cs"/>
          <w:rtl/>
        </w:rPr>
        <w:t>העיון</w:t>
      </w:r>
      <w:r w:rsidR="00052FFD">
        <w:rPr>
          <w:rFonts w:hint="cs"/>
          <w:rtl/>
        </w:rPr>
        <w:t>,</w:t>
      </w:r>
      <w:r w:rsidR="00C4622C">
        <w:rPr>
          <w:rFonts w:hint="cs"/>
          <w:rtl/>
        </w:rPr>
        <w:t xml:space="preserve"> </w:t>
      </w:r>
      <w:r w:rsidR="009F37A1">
        <w:rPr>
          <w:rFonts w:hint="cs"/>
          <w:rtl/>
        </w:rPr>
        <w:t>וסברו ש</w:t>
      </w:r>
      <w:r w:rsidR="00052FFD">
        <w:rPr>
          <w:rFonts w:hint="cs"/>
          <w:rtl/>
        </w:rPr>
        <w:t>החומר הוא זה ש</w:t>
      </w:r>
      <w:r w:rsidR="0013647E">
        <w:rPr>
          <w:rFonts w:hint="cs"/>
          <w:rtl/>
        </w:rPr>
        <w:t>צריך להשיגו</w:t>
      </w:r>
      <w:r w:rsidR="002B171A">
        <w:rPr>
          <w:rFonts w:hint="cs"/>
          <w:rtl/>
        </w:rPr>
        <w:t xml:space="preserve"> ולדעתו. </w:t>
      </w:r>
      <w:r w:rsidR="00EE21D4">
        <w:rPr>
          <w:rFonts w:hint="cs"/>
          <w:rtl/>
        </w:rPr>
        <w:t>וכשה</w:t>
      </w:r>
      <w:r w:rsidR="00A27865">
        <w:rPr>
          <w:rFonts w:hint="cs"/>
          <w:rtl/>
        </w:rPr>
        <w:t>ושגה</w:t>
      </w:r>
      <w:r w:rsidR="00EE21D4">
        <w:rPr>
          <w:rFonts w:hint="cs"/>
          <w:rtl/>
        </w:rPr>
        <w:t xml:space="preserve"> ההשגה הזו</w:t>
      </w:r>
      <w:r w:rsidR="009D5AD2">
        <w:rPr>
          <w:rFonts w:hint="cs"/>
          <w:rtl/>
        </w:rPr>
        <w:t>, מה ש</w:t>
      </w:r>
      <w:r w:rsidR="00AB4EFB">
        <w:rPr>
          <w:rFonts w:hint="cs"/>
          <w:rtl/>
        </w:rPr>
        <w:t>הביאה</w:t>
      </w:r>
      <w:r w:rsidR="009C138B">
        <w:rPr>
          <w:rFonts w:hint="cs"/>
          <w:rtl/>
        </w:rPr>
        <w:t xml:space="preserve"> בעקבותיה </w:t>
      </w:r>
      <w:r w:rsidR="00C82CC0">
        <w:rPr>
          <w:rFonts w:hint="cs"/>
          <w:rtl/>
        </w:rPr>
        <w:t xml:space="preserve">הוא </w:t>
      </w:r>
      <w:r w:rsidR="00C53B76">
        <w:rPr>
          <w:rFonts w:hint="cs"/>
          <w:rtl/>
        </w:rPr>
        <w:t>מקרים ודברים נלווים ללא סוף וללא אפשרות לחכם הטבע לשלוט בהם</w:t>
      </w:r>
      <w:r w:rsidR="00901C27">
        <w:rPr>
          <w:rStyle w:val="FootnoteReference"/>
          <w:rtl/>
        </w:rPr>
        <w:footnoteReference w:id="642"/>
      </w:r>
      <w:r w:rsidR="00C53B76">
        <w:rPr>
          <w:rFonts w:hint="cs"/>
          <w:rtl/>
        </w:rPr>
        <w:t>.</w:t>
      </w:r>
    </w:p>
    <w:p w14:paraId="4AAC690F" w14:textId="77777777" w:rsidR="008D435E" w:rsidRDefault="00E208CA" w:rsidP="00033D58">
      <w:pPr>
        <w:rPr>
          <w:rtl/>
        </w:rPr>
      </w:pPr>
      <w:r>
        <w:rPr>
          <w:rFonts w:hint="cs"/>
          <w:rtl/>
        </w:rPr>
        <w:t>ו</w:t>
      </w:r>
      <w:r w:rsidR="00463B5A">
        <w:rPr>
          <w:rFonts w:hint="cs"/>
          <w:rtl/>
        </w:rPr>
        <w:t xml:space="preserve">החומר </w:t>
      </w:r>
      <w:r w:rsidR="00845087">
        <w:rPr>
          <w:rFonts w:hint="cs"/>
          <w:rtl/>
        </w:rPr>
        <w:t>שקיצרו את חקירתם לעסוק</w:t>
      </w:r>
      <w:r w:rsidR="00F1584A">
        <w:rPr>
          <w:rFonts w:hint="cs"/>
          <w:rtl/>
        </w:rPr>
        <w:t xml:space="preserve"> רק</w:t>
      </w:r>
      <w:r w:rsidR="00845087">
        <w:rPr>
          <w:rFonts w:hint="cs"/>
          <w:rtl/>
        </w:rPr>
        <w:t xml:space="preserve"> בו, </w:t>
      </w:r>
      <w:r w:rsidR="002016A6">
        <w:rPr>
          <w:rFonts w:hint="cs"/>
          <w:rtl/>
        </w:rPr>
        <w:t xml:space="preserve">הוא החומר הגשמי </w:t>
      </w:r>
      <w:r w:rsidR="003E58E7">
        <w:rPr>
          <w:rFonts w:hint="cs"/>
          <w:rtl/>
        </w:rPr>
        <w:t>המוטבע</w:t>
      </w:r>
      <w:r w:rsidR="004F1F00">
        <w:rPr>
          <w:rFonts w:hint="cs"/>
          <w:rtl/>
        </w:rPr>
        <w:t>, שאינו ה</w:t>
      </w:r>
      <w:r w:rsidR="00AD29DC">
        <w:rPr>
          <w:rFonts w:hint="cs"/>
          <w:rtl/>
        </w:rPr>
        <w:t>[חומר] ה</w:t>
      </w:r>
      <w:r w:rsidR="004F1F00">
        <w:rPr>
          <w:rFonts w:hint="cs"/>
          <w:rtl/>
        </w:rPr>
        <w:t>ראשון</w:t>
      </w:r>
      <w:r>
        <w:rPr>
          <w:rFonts w:hint="cs"/>
          <w:rtl/>
        </w:rPr>
        <w:t>,</w:t>
      </w:r>
      <w:r w:rsidR="000D0225">
        <w:rPr>
          <w:rFonts w:hint="cs"/>
          <w:rtl/>
        </w:rPr>
        <w:t xml:space="preserve"> וכמו התעלמו </w:t>
      </w:r>
      <w:r w:rsidR="00187EC1">
        <w:rPr>
          <w:rFonts w:hint="cs"/>
          <w:rtl/>
        </w:rPr>
        <w:t>מהחומר הראשון</w:t>
      </w:r>
      <w:r w:rsidR="00BE69C9">
        <w:rPr>
          <w:rStyle w:val="FootnoteReference"/>
          <w:rtl/>
        </w:rPr>
        <w:footnoteReference w:id="643"/>
      </w:r>
      <w:r w:rsidR="004F1F00">
        <w:rPr>
          <w:rFonts w:hint="cs"/>
          <w:rtl/>
        </w:rPr>
        <w:t>.</w:t>
      </w:r>
    </w:p>
    <w:p w14:paraId="5465731A" w14:textId="1B41C797" w:rsidR="00506D90" w:rsidRDefault="00BB61EF" w:rsidP="00033D58">
      <w:pPr>
        <w:rPr>
          <w:rtl/>
        </w:rPr>
      </w:pPr>
      <w:r>
        <w:rPr>
          <w:rFonts w:hint="cs"/>
          <w:rtl/>
        </w:rPr>
        <w:t>ו</w:t>
      </w:r>
      <w:r w:rsidR="00140841">
        <w:rPr>
          <w:rFonts w:hint="cs"/>
          <w:rtl/>
        </w:rPr>
        <w:t>אפשר</w:t>
      </w:r>
      <w:r>
        <w:rPr>
          <w:rFonts w:hint="cs"/>
          <w:rtl/>
        </w:rPr>
        <w:t xml:space="preserve"> </w:t>
      </w:r>
      <w:r w:rsidR="00140841">
        <w:rPr>
          <w:rFonts w:hint="cs"/>
          <w:rtl/>
        </w:rPr>
        <w:t>ש</w:t>
      </w:r>
      <w:r>
        <w:rPr>
          <w:rFonts w:hint="cs"/>
          <w:rtl/>
        </w:rPr>
        <w:t>הם מתנגדים לחלק מהמקצועות</w:t>
      </w:r>
      <w:r w:rsidR="009F42C7">
        <w:rPr>
          <w:rStyle w:val="FootnoteReference"/>
          <w:rtl/>
        </w:rPr>
        <w:footnoteReference w:id="644"/>
      </w:r>
      <w:r>
        <w:rPr>
          <w:rFonts w:hint="cs"/>
          <w:rtl/>
        </w:rPr>
        <w:t xml:space="preserve">, </w:t>
      </w:r>
      <w:r w:rsidR="00504B67">
        <w:rPr>
          <w:rFonts w:hint="cs"/>
          <w:rtl/>
        </w:rPr>
        <w:t>ו</w:t>
      </w:r>
      <w:r w:rsidR="00416E19">
        <w:rPr>
          <w:rFonts w:hint="cs"/>
          <w:rtl/>
        </w:rPr>
        <w:t>מ</w:t>
      </w:r>
      <w:r w:rsidR="00504B67">
        <w:rPr>
          <w:rFonts w:hint="cs"/>
          <w:rtl/>
        </w:rPr>
        <w:t>שוו</w:t>
      </w:r>
      <w:r w:rsidR="00416E19">
        <w:rPr>
          <w:rFonts w:hint="cs"/>
          <w:rtl/>
        </w:rPr>
        <w:t>ים</w:t>
      </w:r>
      <w:r w:rsidR="00504B67">
        <w:rPr>
          <w:rFonts w:hint="cs"/>
          <w:rtl/>
        </w:rPr>
        <w:t xml:space="preserve"> בין מקצוע הטבע </w:t>
      </w:r>
      <w:r w:rsidR="00A674EA">
        <w:rPr>
          <w:rFonts w:hint="cs"/>
          <w:rtl/>
        </w:rPr>
        <w:t xml:space="preserve">ובין המקצוע השימושי, </w:t>
      </w:r>
      <w:r w:rsidR="00416E19">
        <w:rPr>
          <w:rFonts w:hint="cs"/>
          <w:rtl/>
        </w:rPr>
        <w:t xml:space="preserve">ואומרים: </w:t>
      </w:r>
      <w:r w:rsidR="007340B4">
        <w:rPr>
          <w:rFonts w:hint="cs"/>
          <w:rtl/>
        </w:rPr>
        <w:t>שכורה ה</w:t>
      </w:r>
      <w:r w:rsidR="00584911">
        <w:rPr>
          <w:rFonts w:hint="cs"/>
          <w:rtl/>
        </w:rPr>
        <w:t xml:space="preserve">ברזל </w:t>
      </w:r>
      <w:r w:rsidR="007F794B">
        <w:rPr>
          <w:rFonts w:hint="cs"/>
          <w:rtl/>
        </w:rPr>
        <w:t>מתאמץ להשיג את הברזל</w:t>
      </w:r>
      <w:r w:rsidR="001B4086">
        <w:rPr>
          <w:rFonts w:hint="cs"/>
          <w:rtl/>
        </w:rPr>
        <w:t xml:space="preserve"> ולא את </w:t>
      </w:r>
      <w:r w:rsidR="00AD7A5D">
        <w:rPr>
          <w:rFonts w:hint="cs"/>
          <w:rtl/>
        </w:rPr>
        <w:t>ה</w:t>
      </w:r>
      <w:r w:rsidR="001B4086">
        <w:rPr>
          <w:rFonts w:hint="cs"/>
          <w:rtl/>
        </w:rPr>
        <w:t>צור</w:t>
      </w:r>
      <w:r w:rsidR="00AD7A5D">
        <w:rPr>
          <w:rFonts w:hint="cs"/>
          <w:rtl/>
        </w:rPr>
        <w:t>ה שעליו</w:t>
      </w:r>
      <w:r w:rsidR="001B4086">
        <w:rPr>
          <w:rFonts w:hint="cs"/>
          <w:rtl/>
        </w:rPr>
        <w:t xml:space="preserve">, </w:t>
      </w:r>
      <w:r w:rsidR="001F0F1D">
        <w:rPr>
          <w:rFonts w:hint="cs"/>
          <w:rtl/>
        </w:rPr>
        <w:t xml:space="preserve">והצוללן מתאמץ להשיג את הפנינה </w:t>
      </w:r>
      <w:r w:rsidR="00A65487">
        <w:rPr>
          <w:rFonts w:hint="cs"/>
          <w:rtl/>
        </w:rPr>
        <w:t>ולא את הצורה שעליה.</w:t>
      </w:r>
    </w:p>
    <w:p w14:paraId="53AC4C85" w14:textId="77777777" w:rsidR="00C356F5" w:rsidRDefault="00506D90" w:rsidP="00033D58">
      <w:pPr>
        <w:rPr>
          <w:rtl/>
        </w:rPr>
      </w:pPr>
      <w:r>
        <w:rPr>
          <w:rFonts w:hint="cs"/>
          <w:rtl/>
        </w:rPr>
        <w:t>1.9.2</w:t>
      </w:r>
    </w:p>
    <w:p w14:paraId="327A87CD" w14:textId="2DD79FC1" w:rsidR="005A58B4" w:rsidRDefault="00C356F5" w:rsidP="00EC0DB9">
      <w:pPr>
        <w:rPr>
          <w:rtl/>
        </w:rPr>
      </w:pPr>
      <w:r>
        <w:rPr>
          <w:rFonts w:hint="cs"/>
          <w:rtl/>
        </w:rPr>
        <w:t>ומה ש</w:t>
      </w:r>
      <w:r w:rsidR="005852F0" w:rsidRPr="005852F0">
        <w:rPr>
          <w:rtl/>
        </w:rPr>
        <w:t>יַרְאֶה</w:t>
      </w:r>
      <w:r>
        <w:rPr>
          <w:rFonts w:hint="cs"/>
          <w:rtl/>
        </w:rPr>
        <w:t xml:space="preserve"> לנו את </w:t>
      </w:r>
      <w:r w:rsidR="00EC4832">
        <w:rPr>
          <w:rFonts w:hint="cs"/>
          <w:rtl/>
        </w:rPr>
        <w:t xml:space="preserve">היותה של </w:t>
      </w:r>
      <w:r w:rsidR="005F1D3C">
        <w:rPr>
          <w:rFonts w:hint="cs"/>
          <w:rtl/>
        </w:rPr>
        <w:t xml:space="preserve">שיטה </w:t>
      </w:r>
      <w:r w:rsidR="00EC4832">
        <w:rPr>
          <w:rFonts w:hint="cs"/>
          <w:rtl/>
        </w:rPr>
        <w:t>זו נפסדת</w:t>
      </w:r>
      <w:r w:rsidR="00B201C6">
        <w:rPr>
          <w:rFonts w:hint="cs"/>
          <w:rtl/>
        </w:rPr>
        <w:t xml:space="preserve">, </w:t>
      </w:r>
      <w:r w:rsidR="0084693F">
        <w:rPr>
          <w:rFonts w:hint="cs"/>
          <w:rtl/>
        </w:rPr>
        <w:t>הוא ש</w:t>
      </w:r>
      <w:r w:rsidR="00B97260">
        <w:rPr>
          <w:rFonts w:hint="cs"/>
          <w:rtl/>
        </w:rPr>
        <w:t xml:space="preserve">היא </w:t>
      </w:r>
      <w:r w:rsidR="00ED51F5">
        <w:rPr>
          <w:rFonts w:hint="cs"/>
          <w:rtl/>
        </w:rPr>
        <w:t xml:space="preserve">מבטלת לנו </w:t>
      </w:r>
      <w:r w:rsidR="0027517B">
        <w:rPr>
          <w:rFonts w:hint="cs"/>
          <w:rtl/>
        </w:rPr>
        <w:t xml:space="preserve">את העמידה על </w:t>
      </w:r>
      <w:r w:rsidR="00962D04">
        <w:rPr>
          <w:rFonts w:hint="cs"/>
          <w:rtl/>
        </w:rPr>
        <w:t xml:space="preserve">המאפיינים של הדבר הטבעי </w:t>
      </w:r>
      <w:r w:rsidR="00AD5517">
        <w:rPr>
          <w:rFonts w:hint="cs"/>
          <w:rtl/>
        </w:rPr>
        <w:t>ומיניו</w:t>
      </w:r>
      <w:r w:rsidR="0064000D">
        <w:rPr>
          <w:rFonts w:hint="cs"/>
          <w:rtl/>
        </w:rPr>
        <w:t>,</w:t>
      </w:r>
      <w:r w:rsidR="00AD5517">
        <w:rPr>
          <w:rFonts w:hint="cs"/>
          <w:rtl/>
        </w:rPr>
        <w:t xml:space="preserve"> שה</w:t>
      </w:r>
      <w:r w:rsidR="00BF38F4">
        <w:rPr>
          <w:rFonts w:hint="cs"/>
          <w:rtl/>
        </w:rPr>
        <w:t>ם הצורות שלו</w:t>
      </w:r>
      <w:r w:rsidR="001C15DC">
        <w:rPr>
          <w:rStyle w:val="FootnoteReference"/>
          <w:rtl/>
        </w:rPr>
        <w:footnoteReference w:id="645"/>
      </w:r>
      <w:r w:rsidR="00BF38F4">
        <w:rPr>
          <w:rFonts w:hint="cs"/>
          <w:rtl/>
        </w:rPr>
        <w:t>.</w:t>
      </w:r>
      <w:r w:rsidR="00EC0DB9">
        <w:rPr>
          <w:rFonts w:hint="cs"/>
          <w:rtl/>
        </w:rPr>
        <w:t xml:space="preserve"> </w:t>
      </w:r>
    </w:p>
    <w:p w14:paraId="58EEE11D" w14:textId="77777777" w:rsidR="004B3D59" w:rsidRDefault="005D336C" w:rsidP="008351D3">
      <w:pPr>
        <w:rPr>
          <w:rtl/>
        </w:rPr>
      </w:pPr>
      <w:r>
        <w:rPr>
          <w:rFonts w:hint="cs"/>
          <w:rtl/>
        </w:rPr>
        <w:t>ו</w:t>
      </w:r>
      <w:r w:rsidR="00F6420A">
        <w:rPr>
          <w:rFonts w:hint="cs"/>
          <w:rtl/>
        </w:rPr>
        <w:t xml:space="preserve">גם </w:t>
      </w:r>
      <w:r>
        <w:rPr>
          <w:rFonts w:hint="cs"/>
          <w:rtl/>
        </w:rPr>
        <w:t>אבי השיטה הזו סותר את עצמו</w:t>
      </w:r>
      <w:r w:rsidR="00AF7FAC">
        <w:rPr>
          <w:rStyle w:val="FootnoteReference"/>
          <w:rtl/>
        </w:rPr>
        <w:footnoteReference w:id="646"/>
      </w:r>
      <w:r w:rsidR="00674875">
        <w:rPr>
          <w:rFonts w:hint="cs"/>
          <w:rtl/>
        </w:rPr>
        <w:t>:</w:t>
      </w:r>
      <w:r w:rsidR="008351D3">
        <w:rPr>
          <w:rFonts w:hint="cs"/>
          <w:rtl/>
        </w:rPr>
        <w:t xml:space="preserve"> </w:t>
      </w:r>
      <w:r w:rsidR="001625F0">
        <w:rPr>
          <w:rFonts w:hint="cs"/>
          <w:rtl/>
        </w:rPr>
        <w:t>ובכן</w:t>
      </w:r>
      <w:r w:rsidR="00C279A3">
        <w:rPr>
          <w:rFonts w:hint="cs"/>
          <w:rtl/>
        </w:rPr>
        <w:t>,</w:t>
      </w:r>
      <w:r w:rsidR="001625F0">
        <w:rPr>
          <w:rFonts w:hint="cs"/>
          <w:rtl/>
        </w:rPr>
        <w:t xml:space="preserve"> </w:t>
      </w:r>
      <w:r w:rsidR="00FA27E6">
        <w:rPr>
          <w:rFonts w:hint="cs"/>
          <w:rtl/>
        </w:rPr>
        <w:t>אם</w:t>
      </w:r>
      <w:r w:rsidR="00190AF0">
        <w:rPr>
          <w:rFonts w:hint="cs"/>
          <w:rtl/>
        </w:rPr>
        <w:t xml:space="preserve"> הוא</w:t>
      </w:r>
      <w:r w:rsidR="00FA27E6">
        <w:rPr>
          <w:rFonts w:hint="cs"/>
          <w:rtl/>
        </w:rPr>
        <w:t xml:space="preserve"> </w:t>
      </w:r>
      <w:r w:rsidR="00190AF0">
        <w:rPr>
          <w:rFonts w:hint="cs"/>
          <w:rtl/>
        </w:rPr>
        <w:t>י</w:t>
      </w:r>
      <w:r w:rsidR="007A5DB4">
        <w:rPr>
          <w:rFonts w:hint="cs"/>
          <w:rtl/>
        </w:rPr>
        <w:t>קבל את</w:t>
      </w:r>
      <w:r w:rsidR="00584DB2">
        <w:rPr>
          <w:rFonts w:hint="cs"/>
          <w:rtl/>
        </w:rPr>
        <w:t xml:space="preserve"> </w:t>
      </w:r>
      <w:r w:rsidR="007A5DB4">
        <w:rPr>
          <w:rFonts w:hint="cs"/>
          <w:rtl/>
        </w:rPr>
        <w:t>ה</w:t>
      </w:r>
      <w:r w:rsidR="006774A0">
        <w:rPr>
          <w:rFonts w:hint="cs"/>
          <w:rtl/>
        </w:rPr>
        <w:t xml:space="preserve">עמדה </w:t>
      </w:r>
      <w:r w:rsidR="009C5E14">
        <w:rPr>
          <w:rFonts w:hint="cs"/>
          <w:rtl/>
        </w:rPr>
        <w:t>שיש</w:t>
      </w:r>
      <w:r w:rsidR="002D6A01">
        <w:rPr>
          <w:rFonts w:hint="cs"/>
          <w:rtl/>
        </w:rPr>
        <w:t xml:space="preserve"> היולי</w:t>
      </w:r>
      <w:r w:rsidR="00E65B23">
        <w:rPr>
          <w:rStyle w:val="FootnoteReference"/>
          <w:rtl/>
        </w:rPr>
        <w:footnoteReference w:id="647"/>
      </w:r>
      <w:r w:rsidR="002D6A01">
        <w:rPr>
          <w:rFonts w:hint="cs"/>
          <w:rtl/>
        </w:rPr>
        <w:t xml:space="preserve"> שאין בו צורה, </w:t>
      </w:r>
      <w:r w:rsidR="00F418A9">
        <w:rPr>
          <w:rFonts w:hint="cs"/>
          <w:rtl/>
        </w:rPr>
        <w:t>וה</w:t>
      </w:r>
      <w:r w:rsidR="007A5DB4">
        <w:rPr>
          <w:rFonts w:hint="cs"/>
          <w:rtl/>
        </w:rPr>
        <w:t xml:space="preserve">קבלה </w:t>
      </w:r>
      <w:r w:rsidR="00CF66F2">
        <w:rPr>
          <w:rFonts w:hint="cs"/>
          <w:rtl/>
        </w:rPr>
        <w:t>היא מ</w:t>
      </w:r>
      <w:r w:rsidR="001543DC">
        <w:rPr>
          <w:rFonts w:hint="cs"/>
          <w:rtl/>
        </w:rPr>
        <w:t>דבר</w:t>
      </w:r>
      <w:r w:rsidR="002055EA">
        <w:rPr>
          <w:rFonts w:hint="cs"/>
          <w:rtl/>
        </w:rPr>
        <w:t>י החכמים</w:t>
      </w:r>
      <w:r w:rsidR="00CF66F2">
        <w:rPr>
          <w:rFonts w:hint="cs"/>
          <w:rtl/>
        </w:rPr>
        <w:t xml:space="preserve"> </w:t>
      </w:r>
      <w:r w:rsidR="002E460D">
        <w:rPr>
          <w:rFonts w:hint="cs"/>
          <w:rtl/>
        </w:rPr>
        <w:t>על אודות</w:t>
      </w:r>
      <w:r w:rsidR="00CF66F2">
        <w:rPr>
          <w:rFonts w:hint="cs"/>
          <w:rtl/>
        </w:rPr>
        <w:t xml:space="preserve"> דבר </w:t>
      </w:r>
      <w:r w:rsidR="004C707B">
        <w:rPr>
          <w:rFonts w:hint="cs"/>
          <w:rtl/>
        </w:rPr>
        <w:t xml:space="preserve">שאינו נמצא בפועל, </w:t>
      </w:r>
      <w:r w:rsidR="0026325E">
        <w:rPr>
          <w:rFonts w:hint="cs"/>
          <w:rtl/>
        </w:rPr>
        <w:t xml:space="preserve">אלא הוא דבר </w:t>
      </w:r>
      <w:r w:rsidR="00013FD9">
        <w:rPr>
          <w:rFonts w:hint="cs"/>
          <w:rtl/>
        </w:rPr>
        <w:t>'</w:t>
      </w:r>
      <w:r w:rsidR="0026325E">
        <w:rPr>
          <w:rFonts w:hint="cs"/>
          <w:rtl/>
        </w:rPr>
        <w:t>בכח</w:t>
      </w:r>
      <w:r w:rsidR="00013FD9">
        <w:rPr>
          <w:rFonts w:hint="cs"/>
          <w:rtl/>
        </w:rPr>
        <w:t>'</w:t>
      </w:r>
      <w:r w:rsidR="0026325E">
        <w:rPr>
          <w:rFonts w:hint="cs"/>
          <w:rtl/>
        </w:rPr>
        <w:t xml:space="preserve">, </w:t>
      </w:r>
      <w:r w:rsidR="0075709C">
        <w:rPr>
          <w:rFonts w:hint="cs"/>
          <w:rtl/>
        </w:rPr>
        <w:t xml:space="preserve">אז </w:t>
      </w:r>
      <w:r w:rsidR="00955EBF">
        <w:rPr>
          <w:rFonts w:hint="cs"/>
          <w:rtl/>
        </w:rPr>
        <w:t>מאי</w:t>
      </w:r>
      <w:r w:rsidR="003657A2">
        <w:rPr>
          <w:rFonts w:hint="cs"/>
          <w:rtl/>
        </w:rPr>
        <w:t xml:space="preserve">זו דרך </w:t>
      </w:r>
      <w:r w:rsidR="00190AF0">
        <w:rPr>
          <w:rFonts w:hint="cs"/>
          <w:rtl/>
        </w:rPr>
        <w:t xml:space="preserve">הוא </w:t>
      </w:r>
      <w:r w:rsidR="00CB293A">
        <w:rPr>
          <w:rFonts w:hint="cs"/>
          <w:rtl/>
        </w:rPr>
        <w:t>י</w:t>
      </w:r>
      <w:r w:rsidR="00A62FF5">
        <w:rPr>
          <w:rFonts w:hint="cs"/>
          <w:rtl/>
        </w:rPr>
        <w:t>גיע</w:t>
      </w:r>
      <w:r w:rsidR="00CB293A">
        <w:rPr>
          <w:rFonts w:hint="cs"/>
          <w:rtl/>
        </w:rPr>
        <w:t xml:space="preserve"> ל</w:t>
      </w:r>
      <w:r w:rsidR="003E3120">
        <w:rPr>
          <w:rFonts w:hint="cs"/>
          <w:rtl/>
        </w:rPr>
        <w:t xml:space="preserve">מימוש של </w:t>
      </w:r>
      <w:r w:rsidR="00CB293A">
        <w:rPr>
          <w:rFonts w:hint="cs"/>
          <w:rtl/>
        </w:rPr>
        <w:t>הבנה אמיתית</w:t>
      </w:r>
      <w:r w:rsidR="00190AF0">
        <w:rPr>
          <w:rFonts w:hint="cs"/>
          <w:rtl/>
        </w:rPr>
        <w:t xml:space="preserve"> בדבר זה</w:t>
      </w:r>
      <w:r w:rsidR="00BC66EF">
        <w:rPr>
          <w:rFonts w:hint="cs"/>
          <w:rtl/>
        </w:rPr>
        <w:t xml:space="preserve">, </w:t>
      </w:r>
      <w:r w:rsidR="001B28CB">
        <w:rPr>
          <w:rFonts w:hint="cs"/>
          <w:rtl/>
        </w:rPr>
        <w:t xml:space="preserve">כי </w:t>
      </w:r>
      <w:r w:rsidR="002054B6">
        <w:rPr>
          <w:rFonts w:hint="cs"/>
          <w:rtl/>
        </w:rPr>
        <w:t xml:space="preserve">הוא שולל את </w:t>
      </w:r>
      <w:r w:rsidR="006E2595">
        <w:rPr>
          <w:rFonts w:hint="cs"/>
          <w:rtl/>
        </w:rPr>
        <w:t>הצורה ואת המקרים</w:t>
      </w:r>
      <w:r w:rsidR="000D1EB5">
        <w:rPr>
          <w:rFonts w:hint="cs"/>
          <w:rtl/>
        </w:rPr>
        <w:t xml:space="preserve">, והצורות והמקרים </w:t>
      </w:r>
      <w:r w:rsidR="00A0506B">
        <w:rPr>
          <w:rFonts w:hint="cs"/>
          <w:rtl/>
        </w:rPr>
        <w:t xml:space="preserve">הם </w:t>
      </w:r>
      <w:r w:rsidR="00D00ABF">
        <w:rPr>
          <w:rFonts w:hint="cs"/>
          <w:rtl/>
        </w:rPr>
        <w:t xml:space="preserve">שמובילים את דעותינו </w:t>
      </w:r>
      <w:r w:rsidR="00D75A37">
        <w:rPr>
          <w:rFonts w:hint="cs"/>
          <w:rtl/>
        </w:rPr>
        <w:t xml:space="preserve">אל האימות </w:t>
      </w:r>
      <w:r w:rsidR="00FD7FC1">
        <w:rPr>
          <w:rFonts w:hint="cs"/>
          <w:rtl/>
        </w:rPr>
        <w:t>[</w:t>
      </w:r>
      <w:r w:rsidR="00D75A37">
        <w:rPr>
          <w:rFonts w:hint="cs"/>
          <w:rtl/>
        </w:rPr>
        <w:t xml:space="preserve">של </w:t>
      </w:r>
      <w:r w:rsidR="00FD7FC1">
        <w:rPr>
          <w:rFonts w:hint="cs"/>
          <w:rtl/>
        </w:rPr>
        <w:t>החומר הראשון</w:t>
      </w:r>
      <w:r w:rsidR="00690ACB">
        <w:rPr>
          <w:rFonts w:hint="cs"/>
          <w:rtl/>
        </w:rPr>
        <w:t xml:space="preserve"> ו</w:t>
      </w:r>
      <w:r w:rsidR="00664087">
        <w:rPr>
          <w:rFonts w:hint="cs"/>
          <w:rtl/>
        </w:rPr>
        <w:t>ה</w:t>
      </w:r>
      <w:r w:rsidR="00690ACB">
        <w:rPr>
          <w:rFonts w:hint="cs"/>
          <w:rtl/>
        </w:rPr>
        <w:t>אפשרות של קיום בכח</w:t>
      </w:r>
      <w:r w:rsidR="00FD7FC1">
        <w:rPr>
          <w:rFonts w:hint="cs"/>
          <w:rtl/>
        </w:rPr>
        <w:t>]</w:t>
      </w:r>
      <w:r w:rsidR="0066069B">
        <w:rPr>
          <w:rStyle w:val="FootnoteReference"/>
          <w:rtl/>
        </w:rPr>
        <w:footnoteReference w:id="648"/>
      </w:r>
      <w:r w:rsidR="00C279A3">
        <w:rPr>
          <w:rFonts w:hint="cs"/>
          <w:rtl/>
        </w:rPr>
        <w:t>.</w:t>
      </w:r>
      <w:r w:rsidR="003E2777">
        <w:rPr>
          <w:rFonts w:hint="cs"/>
          <w:rtl/>
        </w:rPr>
        <w:t xml:space="preserve"> ואם לא </w:t>
      </w:r>
      <w:r w:rsidR="00007D2A">
        <w:rPr>
          <w:rFonts w:hint="cs"/>
          <w:rtl/>
        </w:rPr>
        <w:t>י</w:t>
      </w:r>
      <w:r w:rsidR="003E2777">
        <w:rPr>
          <w:rFonts w:hint="cs"/>
          <w:rtl/>
        </w:rPr>
        <w:t xml:space="preserve">קבל את העמדה </w:t>
      </w:r>
      <w:r w:rsidR="00C279A3">
        <w:rPr>
          <w:rFonts w:hint="cs"/>
          <w:rtl/>
        </w:rPr>
        <w:t xml:space="preserve">שיש </w:t>
      </w:r>
      <w:r w:rsidR="003E2777">
        <w:rPr>
          <w:rFonts w:hint="cs"/>
          <w:rtl/>
        </w:rPr>
        <w:t>היולי שאין בו צורה,</w:t>
      </w:r>
      <w:r w:rsidR="007B6045">
        <w:rPr>
          <w:rFonts w:hint="cs"/>
          <w:rtl/>
        </w:rPr>
        <w:t xml:space="preserve"> וירצה </w:t>
      </w:r>
      <w:r w:rsidR="00664087">
        <w:rPr>
          <w:rFonts w:hint="cs"/>
          <w:rtl/>
        </w:rPr>
        <w:t>לחשוב על ה</w:t>
      </w:r>
      <w:r w:rsidR="00F47FDA">
        <w:rPr>
          <w:rFonts w:hint="cs"/>
          <w:rtl/>
        </w:rPr>
        <w:t xml:space="preserve">היולי </w:t>
      </w:r>
      <w:r w:rsidR="00664087">
        <w:rPr>
          <w:rFonts w:hint="cs"/>
          <w:rtl/>
        </w:rPr>
        <w:t xml:space="preserve">שיש בו </w:t>
      </w:r>
      <w:r w:rsidR="00F47FDA">
        <w:rPr>
          <w:rFonts w:hint="cs"/>
          <w:rtl/>
        </w:rPr>
        <w:t>צורה כמו צורת המים או הרוח</w:t>
      </w:r>
      <w:r w:rsidR="00A2361F">
        <w:rPr>
          <w:rFonts w:hint="cs"/>
          <w:rtl/>
        </w:rPr>
        <w:t xml:space="preserve"> </w:t>
      </w:r>
      <w:r w:rsidR="00A74705">
        <w:rPr>
          <w:rFonts w:hint="cs"/>
          <w:rtl/>
        </w:rPr>
        <w:t xml:space="preserve">או </w:t>
      </w:r>
      <w:r w:rsidR="00A2361F">
        <w:rPr>
          <w:rFonts w:hint="cs"/>
          <w:rtl/>
        </w:rPr>
        <w:t xml:space="preserve">כיוצא באלה, </w:t>
      </w:r>
      <w:r w:rsidR="006178BB">
        <w:rPr>
          <w:rFonts w:hint="cs"/>
          <w:rtl/>
        </w:rPr>
        <w:t>הרי לא</w:t>
      </w:r>
      <w:r w:rsidR="008D6284">
        <w:rPr>
          <w:rFonts w:hint="cs"/>
          <w:rtl/>
        </w:rPr>
        <w:t xml:space="preserve"> ביטל את </w:t>
      </w:r>
      <w:r w:rsidR="00426164">
        <w:rPr>
          <w:rFonts w:hint="cs"/>
          <w:rtl/>
        </w:rPr>
        <w:t>ההסתכלות שיש צורה</w:t>
      </w:r>
      <w:r w:rsidR="0007462C">
        <w:rPr>
          <w:rFonts w:hint="cs"/>
          <w:rtl/>
        </w:rPr>
        <w:t>.</w:t>
      </w:r>
      <w:r w:rsidR="00EA579D">
        <w:rPr>
          <w:rFonts w:hint="cs"/>
          <w:rtl/>
        </w:rPr>
        <w:t xml:space="preserve"> </w:t>
      </w:r>
      <w:r w:rsidR="00426164">
        <w:rPr>
          <w:rFonts w:hint="cs"/>
          <w:rtl/>
        </w:rPr>
        <w:t>ו</w:t>
      </w:r>
      <w:r w:rsidR="00072C62">
        <w:rPr>
          <w:rFonts w:hint="cs"/>
          <w:rtl/>
        </w:rPr>
        <w:t>מ</w:t>
      </w:r>
      <w:r w:rsidR="00426164">
        <w:rPr>
          <w:rFonts w:hint="cs"/>
          <w:rtl/>
        </w:rPr>
        <w:t>חשב</w:t>
      </w:r>
      <w:r w:rsidR="00072C62">
        <w:rPr>
          <w:rFonts w:hint="cs"/>
          <w:rtl/>
        </w:rPr>
        <w:t>תו</w:t>
      </w:r>
      <w:r w:rsidR="00426164">
        <w:rPr>
          <w:rFonts w:hint="cs"/>
          <w:rtl/>
        </w:rPr>
        <w:t xml:space="preserve"> על </w:t>
      </w:r>
      <w:r w:rsidR="00EA579D">
        <w:rPr>
          <w:rFonts w:hint="cs"/>
          <w:rtl/>
        </w:rPr>
        <w:t xml:space="preserve">כורה הברזל </w:t>
      </w:r>
      <w:r w:rsidR="00746EDB">
        <w:rPr>
          <w:rFonts w:hint="cs"/>
          <w:rtl/>
        </w:rPr>
        <w:t xml:space="preserve">שאינו נזקק </w:t>
      </w:r>
      <w:r w:rsidR="00034AD0">
        <w:rPr>
          <w:rFonts w:hint="cs"/>
          <w:rtl/>
        </w:rPr>
        <w:t>להתייחס ל</w:t>
      </w:r>
      <w:r w:rsidR="000F2BF9">
        <w:rPr>
          <w:rFonts w:hint="cs"/>
          <w:rtl/>
        </w:rPr>
        <w:t>עניין</w:t>
      </w:r>
      <w:r w:rsidR="00034AD0">
        <w:rPr>
          <w:rFonts w:hint="cs"/>
          <w:rtl/>
        </w:rPr>
        <w:t xml:space="preserve"> </w:t>
      </w:r>
      <w:r w:rsidR="002F787C">
        <w:rPr>
          <w:rFonts w:hint="cs"/>
          <w:rtl/>
        </w:rPr>
        <w:t>ה</w:t>
      </w:r>
      <w:r w:rsidR="00034AD0">
        <w:rPr>
          <w:rFonts w:hint="cs"/>
          <w:rtl/>
        </w:rPr>
        <w:t xml:space="preserve">צורה, </w:t>
      </w:r>
      <w:r w:rsidR="00EF5E8F">
        <w:rPr>
          <w:rFonts w:hint="cs"/>
          <w:rtl/>
        </w:rPr>
        <w:t>היא מחשבה נפסדת</w:t>
      </w:r>
      <w:r w:rsidR="009B2707">
        <w:rPr>
          <w:rFonts w:hint="cs"/>
          <w:rtl/>
        </w:rPr>
        <w:t xml:space="preserve">, שאם כורה הברזל </w:t>
      </w:r>
      <w:r w:rsidR="00A765D1">
        <w:rPr>
          <w:rFonts w:hint="cs"/>
          <w:rtl/>
        </w:rPr>
        <w:t xml:space="preserve">אין הברזל המושא </w:t>
      </w:r>
      <w:r w:rsidR="003D4999">
        <w:rPr>
          <w:rFonts w:hint="cs"/>
          <w:rtl/>
        </w:rPr>
        <w:t>של</w:t>
      </w:r>
      <w:r w:rsidR="003B04E8">
        <w:rPr>
          <w:rFonts w:hint="cs"/>
          <w:rtl/>
        </w:rPr>
        <w:t xml:space="preserve"> מקצועו,</w:t>
      </w:r>
      <w:r w:rsidR="00A765D1">
        <w:rPr>
          <w:rFonts w:hint="cs"/>
          <w:rtl/>
        </w:rPr>
        <w:t xml:space="preserve"> </w:t>
      </w:r>
      <w:r w:rsidR="00C67BC7">
        <w:rPr>
          <w:rFonts w:hint="cs"/>
          <w:rtl/>
        </w:rPr>
        <w:t xml:space="preserve">אלא </w:t>
      </w:r>
      <w:r w:rsidR="006078C4">
        <w:rPr>
          <w:rFonts w:hint="cs"/>
          <w:rtl/>
        </w:rPr>
        <w:t>הברזל הוא תכלית</w:t>
      </w:r>
      <w:r w:rsidR="00B836C4">
        <w:rPr>
          <w:rFonts w:hint="cs"/>
          <w:rtl/>
        </w:rPr>
        <w:t xml:space="preserve"> ב</w:t>
      </w:r>
      <w:r w:rsidR="006078C4">
        <w:rPr>
          <w:rFonts w:hint="cs"/>
          <w:rtl/>
        </w:rPr>
        <w:t>מקצוע</w:t>
      </w:r>
      <w:r w:rsidR="00FE29BE">
        <w:rPr>
          <w:rFonts w:hint="cs"/>
          <w:rtl/>
        </w:rPr>
        <w:t xml:space="preserve"> </w:t>
      </w:r>
      <w:r w:rsidR="00B836C4">
        <w:rPr>
          <w:rFonts w:hint="cs"/>
          <w:rtl/>
        </w:rPr>
        <w:t xml:space="preserve">ומושא </w:t>
      </w:r>
      <w:r w:rsidR="00FE27EF">
        <w:rPr>
          <w:rFonts w:hint="cs"/>
          <w:rtl/>
        </w:rPr>
        <w:t>של המחצבי</w:t>
      </w:r>
      <w:r w:rsidR="004C2A4B">
        <w:rPr>
          <w:rFonts w:hint="cs"/>
          <w:rtl/>
        </w:rPr>
        <w:t>ם,</w:t>
      </w:r>
      <w:r w:rsidR="00FE27EF">
        <w:rPr>
          <w:rFonts w:hint="cs"/>
          <w:rtl/>
        </w:rPr>
        <w:t xml:space="preserve"> </w:t>
      </w:r>
      <w:r w:rsidR="004702EB">
        <w:rPr>
          <w:rFonts w:hint="cs"/>
          <w:rtl/>
        </w:rPr>
        <w:t>ש</w:t>
      </w:r>
      <w:r w:rsidR="0051237C">
        <w:rPr>
          <w:rFonts w:hint="cs"/>
          <w:rtl/>
        </w:rPr>
        <w:t>עמלים</w:t>
      </w:r>
      <w:r w:rsidR="004702EB">
        <w:rPr>
          <w:rFonts w:hint="cs"/>
          <w:rtl/>
        </w:rPr>
        <w:t xml:space="preserve"> בהם </w:t>
      </w:r>
      <w:r w:rsidR="00B82978">
        <w:rPr>
          <w:rFonts w:hint="cs"/>
          <w:rtl/>
        </w:rPr>
        <w:t>בחפירה והתכה</w:t>
      </w:r>
      <w:r w:rsidR="00A34F23">
        <w:rPr>
          <w:rFonts w:hint="cs"/>
          <w:rtl/>
        </w:rPr>
        <w:t>,</w:t>
      </w:r>
      <w:r w:rsidR="00B82978">
        <w:rPr>
          <w:rFonts w:hint="cs"/>
          <w:rtl/>
        </w:rPr>
        <w:t xml:space="preserve"> </w:t>
      </w:r>
      <w:r w:rsidR="009169AA">
        <w:rPr>
          <w:rFonts w:hint="cs"/>
          <w:rtl/>
        </w:rPr>
        <w:t xml:space="preserve">ופעולה זו היא צורת </w:t>
      </w:r>
      <w:r w:rsidR="00E122D0">
        <w:rPr>
          <w:rFonts w:hint="cs"/>
          <w:rtl/>
        </w:rPr>
        <w:t xml:space="preserve">המקצוע, </w:t>
      </w:r>
      <w:r w:rsidR="00A256FE">
        <w:rPr>
          <w:rFonts w:hint="cs"/>
          <w:rtl/>
        </w:rPr>
        <w:t xml:space="preserve">ואז </w:t>
      </w:r>
      <w:r w:rsidR="00D14F81">
        <w:rPr>
          <w:rFonts w:hint="cs"/>
          <w:rtl/>
        </w:rPr>
        <w:t>רכישת</w:t>
      </w:r>
      <w:r w:rsidR="00A256FE">
        <w:rPr>
          <w:rFonts w:hint="cs"/>
          <w:rtl/>
        </w:rPr>
        <w:t xml:space="preserve"> הברזל </w:t>
      </w:r>
      <w:r w:rsidR="00545604">
        <w:rPr>
          <w:rFonts w:hint="cs"/>
          <w:rtl/>
        </w:rPr>
        <w:t xml:space="preserve">היא </w:t>
      </w:r>
      <w:r w:rsidR="002E37E1">
        <w:rPr>
          <w:rFonts w:hint="cs"/>
          <w:rtl/>
        </w:rPr>
        <w:t>תכלית המקצוע</w:t>
      </w:r>
      <w:r w:rsidR="00144A78">
        <w:rPr>
          <w:rFonts w:hint="cs"/>
          <w:rtl/>
        </w:rPr>
        <w:t>, והוא מושא של מקצועות אחרים</w:t>
      </w:r>
      <w:r w:rsidR="006218B4">
        <w:rPr>
          <w:rFonts w:hint="cs"/>
          <w:rtl/>
        </w:rPr>
        <w:t xml:space="preserve"> </w:t>
      </w:r>
      <w:r w:rsidR="009316DD">
        <w:rPr>
          <w:rFonts w:hint="cs"/>
          <w:rtl/>
        </w:rPr>
        <w:t>ש</w:t>
      </w:r>
      <w:r w:rsidR="006218B4">
        <w:rPr>
          <w:rFonts w:hint="cs"/>
          <w:rtl/>
        </w:rPr>
        <w:t>בעליהם</w:t>
      </w:r>
      <w:r w:rsidR="00EA5486">
        <w:rPr>
          <w:rFonts w:hint="cs"/>
          <w:rtl/>
        </w:rPr>
        <w:t xml:space="preserve"> לא מתכוונים </w:t>
      </w:r>
      <w:r w:rsidR="00716347">
        <w:rPr>
          <w:rFonts w:hint="cs"/>
          <w:rtl/>
        </w:rPr>
        <w:t>להצדיק</w:t>
      </w:r>
      <w:r w:rsidR="009316DD">
        <w:rPr>
          <w:rFonts w:hint="cs"/>
          <w:rtl/>
        </w:rPr>
        <w:t xml:space="preserve"> את</w:t>
      </w:r>
      <w:r w:rsidR="00EA5486">
        <w:rPr>
          <w:rFonts w:hint="cs"/>
          <w:rtl/>
        </w:rPr>
        <w:t xml:space="preserve"> הברזל</w:t>
      </w:r>
      <w:r w:rsidR="0091016E">
        <w:rPr>
          <w:rFonts w:hint="cs"/>
          <w:rtl/>
        </w:rPr>
        <w:t xml:space="preserve"> </w:t>
      </w:r>
      <w:r w:rsidR="00E44614">
        <w:rPr>
          <w:rFonts w:hint="cs"/>
          <w:rtl/>
        </w:rPr>
        <w:t>לתת בו צורה או מקרה</w:t>
      </w:r>
      <w:r w:rsidR="007E551C">
        <w:rPr>
          <w:rStyle w:val="FootnoteReference"/>
          <w:rtl/>
        </w:rPr>
        <w:footnoteReference w:id="649"/>
      </w:r>
      <w:r w:rsidR="00E44614">
        <w:rPr>
          <w:rFonts w:hint="cs"/>
          <w:rtl/>
        </w:rPr>
        <w:t>.</w:t>
      </w:r>
    </w:p>
    <w:p w14:paraId="4AE2D574" w14:textId="77777777" w:rsidR="00F11B9A" w:rsidRDefault="00F11B9A" w:rsidP="00A1411B">
      <w:pPr>
        <w:pStyle w:val="Heading4"/>
        <w:rPr>
          <w:rtl/>
        </w:rPr>
      </w:pPr>
      <w:bookmarkStart w:id="290" w:name="_Toc119092688"/>
      <w:r>
        <w:rPr>
          <w:rFonts w:hint="cs"/>
          <w:rtl/>
        </w:rPr>
        <w:t>1.9.3</w:t>
      </w:r>
      <w:bookmarkEnd w:id="290"/>
    </w:p>
    <w:p w14:paraId="2E58D267" w14:textId="10E1377C" w:rsidR="006D4219" w:rsidRDefault="004F6A35" w:rsidP="00E5556F">
      <w:pPr>
        <w:rPr>
          <w:rtl/>
        </w:rPr>
      </w:pPr>
      <w:r>
        <w:rPr>
          <w:rFonts w:hint="cs"/>
          <w:rtl/>
        </w:rPr>
        <w:t xml:space="preserve">וקמו </w:t>
      </w:r>
      <w:r w:rsidR="003E1EF2">
        <w:rPr>
          <w:rFonts w:hint="cs"/>
          <w:rtl/>
        </w:rPr>
        <w:t>מול</w:t>
      </w:r>
      <w:r>
        <w:rPr>
          <w:rFonts w:hint="cs"/>
          <w:rtl/>
        </w:rPr>
        <w:t xml:space="preserve"> אלה </w:t>
      </w:r>
      <w:r w:rsidR="000F29EA">
        <w:rPr>
          <w:rFonts w:hint="cs"/>
          <w:rtl/>
        </w:rPr>
        <w:t>כת אחרת</w:t>
      </w:r>
      <w:r w:rsidR="00BB15C4">
        <w:t xml:space="preserve"> </w:t>
      </w:r>
      <w:r w:rsidR="00A1411B">
        <w:rPr>
          <w:rFonts w:hint="cs"/>
          <w:rtl/>
        </w:rPr>
        <w:t>מהחוקרים בחכמ</w:t>
      </w:r>
      <w:r w:rsidR="00951394">
        <w:rPr>
          <w:rFonts w:hint="cs"/>
          <w:rtl/>
        </w:rPr>
        <w:t>ת</w:t>
      </w:r>
      <w:r w:rsidR="00A1411B">
        <w:rPr>
          <w:rFonts w:hint="cs"/>
          <w:rtl/>
        </w:rPr>
        <w:t xml:space="preserve"> הטבע</w:t>
      </w:r>
      <w:r w:rsidR="00BB3BAB">
        <w:rPr>
          <w:rFonts w:hint="cs"/>
          <w:rtl/>
        </w:rPr>
        <w:t>, ולא נתנו חשיבות לחומר</w:t>
      </w:r>
      <w:r w:rsidR="00D93164">
        <w:rPr>
          <w:rFonts w:hint="cs"/>
          <w:rtl/>
        </w:rPr>
        <w:t xml:space="preserve"> כלל</w:t>
      </w:r>
      <w:r w:rsidR="00BB3BAB">
        <w:rPr>
          <w:rFonts w:hint="cs"/>
          <w:rtl/>
        </w:rPr>
        <w:t>.</w:t>
      </w:r>
      <w:r w:rsidR="002D5F6C">
        <w:rPr>
          <w:rFonts w:hint="cs"/>
          <w:rtl/>
        </w:rPr>
        <w:t xml:space="preserve"> ואמרו</w:t>
      </w:r>
      <w:r w:rsidR="00791D59">
        <w:rPr>
          <w:rFonts w:hint="cs"/>
          <w:rtl/>
        </w:rPr>
        <w:t xml:space="preserve"> </w:t>
      </w:r>
      <w:r w:rsidR="00FA3C75">
        <w:rPr>
          <w:rFonts w:hint="cs"/>
          <w:rtl/>
        </w:rPr>
        <w:t>ש</w:t>
      </w:r>
      <w:r w:rsidR="009E3EA4">
        <w:rPr>
          <w:rFonts w:hint="cs"/>
          <w:rtl/>
        </w:rPr>
        <w:t>ה</w:t>
      </w:r>
      <w:r w:rsidR="00E032C2">
        <w:rPr>
          <w:rFonts w:hint="cs"/>
          <w:rtl/>
        </w:rPr>
        <w:t xml:space="preserve">כוונה של </w:t>
      </w:r>
      <w:r w:rsidR="00413B2A">
        <w:rPr>
          <w:rFonts w:hint="cs"/>
          <w:rtl/>
        </w:rPr>
        <w:t>ה</w:t>
      </w:r>
      <w:r w:rsidR="00E032C2">
        <w:rPr>
          <w:rFonts w:hint="cs"/>
          <w:rtl/>
        </w:rPr>
        <w:t xml:space="preserve">מציאות </w:t>
      </w:r>
      <w:r w:rsidR="00413B2A">
        <w:rPr>
          <w:rFonts w:hint="cs"/>
          <w:rtl/>
        </w:rPr>
        <w:t xml:space="preserve">היא </w:t>
      </w:r>
      <w:r w:rsidR="00E032C2">
        <w:rPr>
          <w:rFonts w:hint="cs"/>
          <w:rtl/>
        </w:rPr>
        <w:t>הופעת ה</w:t>
      </w:r>
      <w:r w:rsidR="00413B2A">
        <w:rPr>
          <w:rFonts w:hint="cs"/>
          <w:rtl/>
        </w:rPr>
        <w:t>צורה</w:t>
      </w:r>
      <w:r w:rsidR="00E032C2">
        <w:rPr>
          <w:rFonts w:hint="cs"/>
          <w:rtl/>
        </w:rPr>
        <w:t xml:space="preserve"> </w:t>
      </w:r>
      <w:r w:rsidR="00DA00C8">
        <w:rPr>
          <w:rFonts w:hint="cs"/>
          <w:rtl/>
        </w:rPr>
        <w:t xml:space="preserve">בפעולותיה, </w:t>
      </w:r>
      <w:r w:rsidR="00AA4330">
        <w:rPr>
          <w:rFonts w:hint="cs"/>
          <w:rtl/>
        </w:rPr>
        <w:t>וה</w:t>
      </w:r>
      <w:r w:rsidR="00E3554C" w:rsidRPr="00E3554C">
        <w:rPr>
          <w:rtl/>
        </w:rPr>
        <w:t>מְכֻוָּון</w:t>
      </w:r>
      <w:r w:rsidR="00AA4330">
        <w:rPr>
          <w:rFonts w:hint="cs"/>
          <w:rtl/>
        </w:rPr>
        <w:t xml:space="preserve"> הראשון הוא הצורה, </w:t>
      </w:r>
      <w:r w:rsidR="00A7226C">
        <w:rPr>
          <w:rFonts w:hint="cs"/>
          <w:rtl/>
        </w:rPr>
        <w:t>ומי שמשיג את הצורה ב</w:t>
      </w:r>
      <w:r w:rsidR="00261473">
        <w:rPr>
          <w:rFonts w:hint="cs"/>
          <w:rtl/>
        </w:rPr>
        <w:t xml:space="preserve">חכמה </w:t>
      </w:r>
      <w:r w:rsidR="00CB1E94">
        <w:rPr>
          <w:rFonts w:hint="cs"/>
          <w:rtl/>
        </w:rPr>
        <w:t>אין לו צורך</w:t>
      </w:r>
      <w:r w:rsidR="00544554">
        <w:rPr>
          <w:rFonts w:hint="cs"/>
          <w:rtl/>
        </w:rPr>
        <w:t xml:space="preserve"> </w:t>
      </w:r>
      <w:r w:rsidR="00CB1E94">
        <w:rPr>
          <w:rFonts w:hint="cs"/>
          <w:rtl/>
        </w:rPr>
        <w:t>לפנות</w:t>
      </w:r>
      <w:r w:rsidR="008862DF">
        <w:rPr>
          <w:rFonts w:hint="cs"/>
          <w:rtl/>
        </w:rPr>
        <w:t xml:space="preserve"> אל החומר</w:t>
      </w:r>
      <w:r w:rsidR="00426D2E">
        <w:rPr>
          <w:rFonts w:hint="cs"/>
          <w:rtl/>
        </w:rPr>
        <w:t xml:space="preserve">, אלא רק בדרך </w:t>
      </w:r>
      <w:r w:rsidR="00ED5347">
        <w:rPr>
          <w:rFonts w:hint="cs"/>
          <w:rtl/>
        </w:rPr>
        <w:t xml:space="preserve">עיסוק </w:t>
      </w:r>
      <w:r w:rsidR="00C317FA">
        <w:rPr>
          <w:rFonts w:hint="cs"/>
          <w:rtl/>
        </w:rPr>
        <w:t>שאין בו</w:t>
      </w:r>
      <w:r w:rsidR="00204468">
        <w:rPr>
          <w:rFonts w:hint="cs"/>
          <w:rtl/>
        </w:rPr>
        <w:t xml:space="preserve"> ה</w:t>
      </w:r>
      <w:r w:rsidR="00C317FA">
        <w:rPr>
          <w:rFonts w:hint="cs"/>
          <w:rtl/>
        </w:rPr>
        <w:t>ת</w:t>
      </w:r>
      <w:r w:rsidR="00204468">
        <w:rPr>
          <w:rFonts w:hint="cs"/>
          <w:rtl/>
        </w:rPr>
        <w:t>בוננות</w:t>
      </w:r>
      <w:r w:rsidR="00E52979">
        <w:rPr>
          <w:rStyle w:val="FootnoteReference"/>
          <w:rtl/>
        </w:rPr>
        <w:footnoteReference w:id="650"/>
      </w:r>
      <w:r w:rsidR="00E52979">
        <w:rPr>
          <w:rFonts w:hint="cs"/>
          <w:rtl/>
        </w:rPr>
        <w:t>.</w:t>
      </w:r>
      <w:r w:rsidR="00E5556F">
        <w:rPr>
          <w:rFonts w:hint="cs"/>
          <w:rtl/>
        </w:rPr>
        <w:t xml:space="preserve"> </w:t>
      </w:r>
      <w:r w:rsidR="006D4219">
        <w:rPr>
          <w:rFonts w:hint="cs"/>
          <w:rtl/>
        </w:rPr>
        <w:t xml:space="preserve">וגם אלה </w:t>
      </w:r>
      <w:r w:rsidR="00320015">
        <w:rPr>
          <w:rFonts w:hint="cs"/>
          <w:rtl/>
        </w:rPr>
        <w:t xml:space="preserve">מפריזים </w:t>
      </w:r>
      <w:r w:rsidR="009C7CB4">
        <w:rPr>
          <w:rFonts w:hint="cs"/>
          <w:rtl/>
        </w:rPr>
        <w:t xml:space="preserve">מהצד של </w:t>
      </w:r>
      <w:r w:rsidR="00320015">
        <w:rPr>
          <w:rFonts w:hint="cs"/>
          <w:rtl/>
        </w:rPr>
        <w:t>דחיית החומר</w:t>
      </w:r>
      <w:r w:rsidR="00FF0A1B">
        <w:rPr>
          <w:rFonts w:hint="cs"/>
          <w:rtl/>
        </w:rPr>
        <w:t>,</w:t>
      </w:r>
      <w:r w:rsidR="004A7CDF">
        <w:rPr>
          <w:rFonts w:hint="cs"/>
          <w:rtl/>
        </w:rPr>
        <w:t xml:space="preserve"> כמו </w:t>
      </w:r>
      <w:proofErr w:type="spellStart"/>
      <w:r w:rsidR="004A7CDF">
        <w:rPr>
          <w:rFonts w:hint="cs"/>
          <w:rtl/>
        </w:rPr>
        <w:t>שההם</w:t>
      </w:r>
      <w:proofErr w:type="spellEnd"/>
      <w:r w:rsidR="0029693B">
        <w:rPr>
          <w:rFonts w:hint="cs"/>
          <w:rtl/>
        </w:rPr>
        <w:t xml:space="preserve"> הפריזו </w:t>
      </w:r>
      <w:r w:rsidR="006F0096">
        <w:rPr>
          <w:rFonts w:hint="cs"/>
          <w:rtl/>
        </w:rPr>
        <w:t>מהצד של דחיית הצורה</w:t>
      </w:r>
      <w:r w:rsidR="0037056D">
        <w:rPr>
          <w:rStyle w:val="FootnoteReference"/>
          <w:rtl/>
        </w:rPr>
        <w:footnoteReference w:id="651"/>
      </w:r>
      <w:r w:rsidR="006F0096">
        <w:rPr>
          <w:rFonts w:hint="cs"/>
          <w:rtl/>
        </w:rPr>
        <w:t>.</w:t>
      </w:r>
    </w:p>
    <w:p w14:paraId="2CCAB8C1" w14:textId="13155616" w:rsidR="002A6A70" w:rsidRDefault="002A6A70" w:rsidP="00F32FAA">
      <w:pPr>
        <w:pStyle w:val="Heading4"/>
        <w:rPr>
          <w:rtl/>
        </w:rPr>
      </w:pPr>
      <w:bookmarkStart w:id="291" w:name="_Toc119092689"/>
      <w:r>
        <w:rPr>
          <w:rFonts w:hint="cs"/>
          <w:rtl/>
        </w:rPr>
        <w:t>1.9.4</w:t>
      </w:r>
      <w:bookmarkEnd w:id="291"/>
    </w:p>
    <w:p w14:paraId="48C908B3" w14:textId="6CB25190" w:rsidR="005156DB" w:rsidRDefault="00855DA6" w:rsidP="0072050A">
      <w:pPr>
        <w:rPr>
          <w:rtl/>
        </w:rPr>
      </w:pPr>
      <w:r>
        <w:rPr>
          <w:rFonts w:hint="cs"/>
          <w:rtl/>
        </w:rPr>
        <w:t>מ</w:t>
      </w:r>
      <w:r w:rsidR="005C085D">
        <w:rPr>
          <w:rFonts w:hint="cs"/>
          <w:rtl/>
        </w:rPr>
        <w:t>עבר</w:t>
      </w:r>
      <w:r>
        <w:rPr>
          <w:rFonts w:hint="cs"/>
          <w:rtl/>
        </w:rPr>
        <w:t xml:space="preserve"> </w:t>
      </w:r>
      <w:r w:rsidR="005C085D">
        <w:rPr>
          <w:rFonts w:hint="cs"/>
          <w:rtl/>
        </w:rPr>
        <w:t>ל</w:t>
      </w:r>
      <w:r>
        <w:rPr>
          <w:rFonts w:hint="cs"/>
          <w:rtl/>
        </w:rPr>
        <w:t>מה</w:t>
      </w:r>
      <w:r w:rsidR="00845307">
        <w:rPr>
          <w:rFonts w:hint="cs"/>
          <w:rtl/>
        </w:rPr>
        <w:t xml:space="preserve"> </w:t>
      </w:r>
      <w:r w:rsidR="005C085D">
        <w:rPr>
          <w:rFonts w:hint="cs"/>
          <w:rtl/>
        </w:rPr>
        <w:t>שד</w:t>
      </w:r>
      <w:r w:rsidR="009D2446">
        <w:rPr>
          <w:rFonts w:hint="cs"/>
          <w:rtl/>
        </w:rPr>
        <w:t>בריה</w:t>
      </w:r>
      <w:r w:rsidR="005C085D">
        <w:rPr>
          <w:rFonts w:hint="cs"/>
          <w:rtl/>
        </w:rPr>
        <w:t xml:space="preserve">ם </w:t>
      </w:r>
      <w:r w:rsidR="004311AB">
        <w:rPr>
          <w:rFonts w:hint="cs"/>
          <w:rtl/>
        </w:rPr>
        <w:t>דחוי</w:t>
      </w:r>
      <w:r w:rsidR="009D2446">
        <w:rPr>
          <w:rFonts w:hint="cs"/>
          <w:rtl/>
        </w:rPr>
        <w:t>ים</w:t>
      </w:r>
      <w:r w:rsidR="00C70BC3">
        <w:rPr>
          <w:rFonts w:hint="cs"/>
          <w:rtl/>
        </w:rPr>
        <w:t xml:space="preserve"> </w:t>
      </w:r>
      <w:r w:rsidR="00B139FF">
        <w:rPr>
          <w:rFonts w:hint="cs"/>
          <w:rtl/>
        </w:rPr>
        <w:t xml:space="preserve">לפי </w:t>
      </w:r>
      <w:r w:rsidR="00C70BC3">
        <w:rPr>
          <w:rFonts w:hint="cs"/>
          <w:rtl/>
        </w:rPr>
        <w:t>חכמ</w:t>
      </w:r>
      <w:r w:rsidR="00D70A7F">
        <w:rPr>
          <w:rFonts w:hint="cs"/>
          <w:rtl/>
        </w:rPr>
        <w:t>ו</w:t>
      </w:r>
      <w:r w:rsidR="00C70BC3">
        <w:rPr>
          <w:rFonts w:hint="cs"/>
          <w:rtl/>
        </w:rPr>
        <w:t xml:space="preserve">ת הטבע, </w:t>
      </w:r>
      <w:r w:rsidR="00FA307F">
        <w:rPr>
          <w:rFonts w:hint="cs"/>
          <w:rtl/>
        </w:rPr>
        <w:t xml:space="preserve">כמו שהראינו </w:t>
      </w:r>
      <w:r w:rsidR="00741166">
        <w:rPr>
          <w:rFonts w:hint="cs"/>
          <w:rtl/>
        </w:rPr>
        <w:t>בפרק הקודם</w:t>
      </w:r>
      <w:r w:rsidR="00021981">
        <w:rPr>
          <w:rFonts w:hint="cs"/>
          <w:rtl/>
        </w:rPr>
        <w:t>,</w:t>
      </w:r>
      <w:r w:rsidR="00741166">
        <w:rPr>
          <w:rFonts w:hint="cs"/>
          <w:rtl/>
        </w:rPr>
        <w:t xml:space="preserve"> </w:t>
      </w:r>
      <w:r w:rsidR="0069020D">
        <w:rPr>
          <w:rFonts w:hint="cs"/>
          <w:rtl/>
        </w:rPr>
        <w:t xml:space="preserve">הם </w:t>
      </w:r>
      <w:r w:rsidR="000843B1">
        <w:rPr>
          <w:rFonts w:hint="cs"/>
          <w:rtl/>
        </w:rPr>
        <w:t>בוחר</w:t>
      </w:r>
      <w:r w:rsidR="008627DA">
        <w:rPr>
          <w:rFonts w:hint="cs"/>
          <w:rtl/>
        </w:rPr>
        <w:t>ים שלא</w:t>
      </w:r>
      <w:r w:rsidR="005153B5">
        <w:rPr>
          <w:rFonts w:hint="cs"/>
          <w:rtl/>
        </w:rPr>
        <w:t xml:space="preserve"> </w:t>
      </w:r>
      <w:r w:rsidR="008627DA">
        <w:rPr>
          <w:rFonts w:hint="cs"/>
          <w:rtl/>
        </w:rPr>
        <w:t>להתבונן</w:t>
      </w:r>
      <w:r w:rsidR="005153B5">
        <w:rPr>
          <w:rFonts w:hint="cs"/>
          <w:rtl/>
        </w:rPr>
        <w:t xml:space="preserve"> </w:t>
      </w:r>
      <w:r w:rsidR="008A3C0A">
        <w:rPr>
          <w:rFonts w:hint="cs"/>
          <w:rtl/>
        </w:rPr>
        <w:t>ביחס</w:t>
      </w:r>
      <w:r w:rsidR="00FA1C9C">
        <w:rPr>
          <w:rFonts w:hint="cs"/>
          <w:rtl/>
        </w:rPr>
        <w:t>י</w:t>
      </w:r>
      <w:r w:rsidR="00F51797">
        <w:rPr>
          <w:rFonts w:hint="cs"/>
          <w:rtl/>
        </w:rPr>
        <w:t xml:space="preserve">ם שבין </w:t>
      </w:r>
      <w:r w:rsidR="00FA1C9C">
        <w:rPr>
          <w:rFonts w:hint="cs"/>
          <w:rtl/>
        </w:rPr>
        <w:t>הצורות והחומרים</w:t>
      </w:r>
      <w:r w:rsidR="004C27A6">
        <w:rPr>
          <w:rFonts w:hint="cs"/>
          <w:rtl/>
        </w:rPr>
        <w:t xml:space="preserve">, </w:t>
      </w:r>
      <w:r w:rsidR="008B3227">
        <w:rPr>
          <w:rFonts w:hint="cs"/>
          <w:rtl/>
        </w:rPr>
        <w:t xml:space="preserve">ולא יודעים </w:t>
      </w:r>
      <w:r w:rsidR="004C27A6">
        <w:rPr>
          <w:rFonts w:hint="cs"/>
          <w:rtl/>
        </w:rPr>
        <w:t>ש</w:t>
      </w:r>
      <w:r w:rsidR="000A6A81">
        <w:rPr>
          <w:rFonts w:hint="cs"/>
          <w:rtl/>
        </w:rPr>
        <w:t>לא</w:t>
      </w:r>
      <w:r w:rsidR="004C27A6">
        <w:rPr>
          <w:rFonts w:hint="cs"/>
          <w:rtl/>
        </w:rPr>
        <w:t xml:space="preserve"> כל צורה </w:t>
      </w:r>
      <w:r w:rsidR="006F064F">
        <w:rPr>
          <w:rFonts w:hint="cs"/>
          <w:rtl/>
        </w:rPr>
        <w:t>מסייעת</w:t>
      </w:r>
      <w:r w:rsidR="006054FC">
        <w:rPr>
          <w:rStyle w:val="FootnoteReference"/>
          <w:rtl/>
        </w:rPr>
        <w:footnoteReference w:id="652"/>
      </w:r>
      <w:r w:rsidR="006F064F">
        <w:rPr>
          <w:rFonts w:hint="cs"/>
          <w:rtl/>
        </w:rPr>
        <w:t xml:space="preserve"> לכל </w:t>
      </w:r>
      <w:r w:rsidR="00A809BD">
        <w:rPr>
          <w:rFonts w:hint="cs"/>
          <w:rtl/>
        </w:rPr>
        <w:t xml:space="preserve">חומר, </w:t>
      </w:r>
      <w:r w:rsidR="00DF3877">
        <w:rPr>
          <w:rFonts w:hint="cs"/>
          <w:rtl/>
        </w:rPr>
        <w:t xml:space="preserve">ולא כל חומר </w:t>
      </w:r>
      <w:r w:rsidR="008E305B">
        <w:rPr>
          <w:rFonts w:hint="cs"/>
          <w:rtl/>
        </w:rPr>
        <w:t>מוכן לכל צורה</w:t>
      </w:r>
      <w:r w:rsidR="006B094D">
        <w:rPr>
          <w:rFonts w:hint="cs"/>
          <w:rtl/>
        </w:rPr>
        <w:t>;</w:t>
      </w:r>
      <w:r w:rsidR="008E305B">
        <w:rPr>
          <w:rFonts w:hint="cs"/>
          <w:rtl/>
        </w:rPr>
        <w:t xml:space="preserve"> </w:t>
      </w:r>
      <w:r w:rsidR="003F7E04">
        <w:rPr>
          <w:rFonts w:hint="cs"/>
          <w:rtl/>
        </w:rPr>
        <w:t xml:space="preserve">אלא </w:t>
      </w:r>
      <w:r w:rsidR="0008406A">
        <w:rPr>
          <w:rFonts w:hint="cs"/>
          <w:rtl/>
        </w:rPr>
        <w:t>כדי ש</w:t>
      </w:r>
      <w:r w:rsidR="007B383B">
        <w:rPr>
          <w:rFonts w:hint="cs"/>
          <w:rtl/>
        </w:rPr>
        <w:t>צורת המינים הטבעיים</w:t>
      </w:r>
      <w:r w:rsidR="00D81331">
        <w:rPr>
          <w:rFonts w:hint="cs"/>
          <w:rtl/>
        </w:rPr>
        <w:t xml:space="preserve"> </w:t>
      </w:r>
      <w:r w:rsidR="004A75FF">
        <w:rPr>
          <w:rFonts w:hint="cs"/>
          <w:rtl/>
        </w:rPr>
        <w:t xml:space="preserve">תשיג </w:t>
      </w:r>
      <w:r w:rsidR="00F74409">
        <w:rPr>
          <w:rFonts w:hint="cs"/>
          <w:rtl/>
        </w:rPr>
        <w:t xml:space="preserve">מציאות </w:t>
      </w:r>
      <w:r w:rsidR="00F6177C">
        <w:rPr>
          <w:rFonts w:hint="cs"/>
          <w:rtl/>
        </w:rPr>
        <w:t xml:space="preserve">בטבע </w:t>
      </w:r>
      <w:r w:rsidR="00AF582B">
        <w:rPr>
          <w:rFonts w:hint="cs"/>
          <w:rtl/>
        </w:rPr>
        <w:t xml:space="preserve">היא צריכה את </w:t>
      </w:r>
      <w:r w:rsidR="00F6177C">
        <w:rPr>
          <w:rFonts w:hint="cs"/>
          <w:rtl/>
        </w:rPr>
        <w:t>מיני החומרים</w:t>
      </w:r>
      <w:r w:rsidR="00A9146C">
        <w:rPr>
          <w:rFonts w:hint="cs"/>
          <w:rtl/>
        </w:rPr>
        <w:t xml:space="preserve"> </w:t>
      </w:r>
      <w:r w:rsidR="009C463A">
        <w:rPr>
          <w:rFonts w:hint="cs"/>
          <w:rtl/>
        </w:rPr>
        <w:t>המסוימים</w:t>
      </w:r>
      <w:r w:rsidR="00F6177C">
        <w:rPr>
          <w:rFonts w:hint="cs"/>
          <w:rtl/>
        </w:rPr>
        <w:t xml:space="preserve"> המ</w:t>
      </w:r>
      <w:r w:rsidR="009E08A0">
        <w:rPr>
          <w:rFonts w:hint="cs"/>
          <w:rtl/>
        </w:rPr>
        <w:t>תאי</w:t>
      </w:r>
      <w:r w:rsidR="00F6177C">
        <w:rPr>
          <w:rFonts w:hint="cs"/>
          <w:rtl/>
        </w:rPr>
        <w:t>מים</w:t>
      </w:r>
      <w:r w:rsidR="00993D26">
        <w:rPr>
          <w:rFonts w:hint="cs"/>
          <w:rtl/>
        </w:rPr>
        <w:t xml:space="preserve"> </w:t>
      </w:r>
      <w:r w:rsidR="009E08A0">
        <w:rPr>
          <w:rFonts w:hint="cs"/>
          <w:rtl/>
        </w:rPr>
        <w:t>ל</w:t>
      </w:r>
      <w:r w:rsidR="00993D26">
        <w:rPr>
          <w:rFonts w:hint="cs"/>
          <w:rtl/>
        </w:rPr>
        <w:t>צורות</w:t>
      </w:r>
      <w:r w:rsidR="000651C6">
        <w:rPr>
          <w:rStyle w:val="FootnoteReference"/>
          <w:rtl/>
        </w:rPr>
        <w:footnoteReference w:id="653"/>
      </w:r>
      <w:r w:rsidR="00701B94">
        <w:rPr>
          <w:rFonts w:hint="cs"/>
          <w:rtl/>
        </w:rPr>
        <w:t xml:space="preserve">, </w:t>
      </w:r>
      <w:r w:rsidR="003C2544">
        <w:rPr>
          <w:rFonts w:hint="cs"/>
          <w:rtl/>
        </w:rPr>
        <w:t xml:space="preserve">כדי שתושלם </w:t>
      </w:r>
      <w:r w:rsidR="00B205CF">
        <w:rPr>
          <w:rFonts w:hint="cs"/>
          <w:rtl/>
        </w:rPr>
        <w:t>הכנ</w:t>
      </w:r>
      <w:r w:rsidR="00546D0A">
        <w:rPr>
          <w:rFonts w:hint="cs"/>
          <w:rtl/>
        </w:rPr>
        <w:t xml:space="preserve">תם </w:t>
      </w:r>
      <w:r w:rsidR="00906151">
        <w:rPr>
          <w:rFonts w:hint="cs"/>
          <w:rtl/>
        </w:rPr>
        <w:t>אל</w:t>
      </w:r>
      <w:r w:rsidR="001C1F48">
        <w:rPr>
          <w:rFonts w:hint="cs"/>
          <w:rtl/>
        </w:rPr>
        <w:t xml:space="preserve"> </w:t>
      </w:r>
      <w:r w:rsidR="00546D0A">
        <w:rPr>
          <w:rFonts w:hint="cs"/>
          <w:rtl/>
        </w:rPr>
        <w:t>צור</w:t>
      </w:r>
      <w:r w:rsidR="00BB1B5D">
        <w:rPr>
          <w:rFonts w:hint="cs"/>
          <w:rtl/>
        </w:rPr>
        <w:t>ות</w:t>
      </w:r>
      <w:r w:rsidR="00546D0A">
        <w:rPr>
          <w:rFonts w:hint="cs"/>
          <w:rtl/>
        </w:rPr>
        <w:t xml:space="preserve"> </w:t>
      </w:r>
      <w:r w:rsidR="00BB1B5D">
        <w:rPr>
          <w:rFonts w:hint="cs"/>
          <w:rtl/>
        </w:rPr>
        <w:t>אלה</w:t>
      </w:r>
      <w:r w:rsidR="00871F45">
        <w:rPr>
          <w:rStyle w:val="FootnoteReference"/>
          <w:rtl/>
        </w:rPr>
        <w:footnoteReference w:id="654"/>
      </w:r>
      <w:r w:rsidR="00F6177C">
        <w:rPr>
          <w:rFonts w:hint="cs"/>
          <w:rtl/>
        </w:rPr>
        <w:t xml:space="preserve">. </w:t>
      </w:r>
      <w:r w:rsidR="00FD747A">
        <w:rPr>
          <w:rFonts w:hint="cs"/>
          <w:rtl/>
        </w:rPr>
        <w:t>ו</w:t>
      </w:r>
      <w:r w:rsidR="00052219">
        <w:rPr>
          <w:rFonts w:hint="cs"/>
          <w:rtl/>
        </w:rPr>
        <w:t>בנוסף</w:t>
      </w:r>
      <w:r w:rsidR="00E96F8A">
        <w:rPr>
          <w:rFonts w:hint="cs"/>
          <w:rtl/>
        </w:rPr>
        <w:t>,</w:t>
      </w:r>
      <w:r w:rsidR="00723597">
        <w:rPr>
          <w:rFonts w:hint="cs"/>
          <w:rtl/>
        </w:rPr>
        <w:t xml:space="preserve"> </w:t>
      </w:r>
      <w:r w:rsidR="00876143">
        <w:rPr>
          <w:rFonts w:hint="cs"/>
          <w:rtl/>
        </w:rPr>
        <w:t>כמה מקרים</w:t>
      </w:r>
      <w:r w:rsidR="00E96F8A">
        <w:rPr>
          <w:rFonts w:hint="cs"/>
          <w:rtl/>
        </w:rPr>
        <w:t xml:space="preserve"> </w:t>
      </w:r>
      <w:r w:rsidR="000F435B">
        <w:rPr>
          <w:rFonts w:hint="cs"/>
          <w:rtl/>
        </w:rPr>
        <w:t xml:space="preserve">מגיעים מהצורה </w:t>
      </w:r>
      <w:r w:rsidR="00A97F67">
        <w:rPr>
          <w:rFonts w:hint="cs"/>
          <w:rtl/>
        </w:rPr>
        <w:t>לפי</w:t>
      </w:r>
      <w:r w:rsidR="00E61E71">
        <w:rPr>
          <w:rFonts w:hint="cs"/>
          <w:rtl/>
        </w:rPr>
        <w:t xml:space="preserve"> </w:t>
      </w:r>
      <w:r w:rsidR="00A97F67">
        <w:rPr>
          <w:rFonts w:hint="cs"/>
          <w:rtl/>
        </w:rPr>
        <w:t>ה</w:t>
      </w:r>
      <w:r w:rsidR="00E61E71">
        <w:rPr>
          <w:rFonts w:hint="cs"/>
          <w:rtl/>
        </w:rPr>
        <w:t>חומר שלה</w:t>
      </w:r>
      <w:r w:rsidR="00F410FA">
        <w:rPr>
          <w:rStyle w:val="FootnoteReference"/>
          <w:rtl/>
        </w:rPr>
        <w:footnoteReference w:id="655"/>
      </w:r>
      <w:r w:rsidR="005C3CED">
        <w:rPr>
          <w:rFonts w:hint="cs"/>
          <w:rtl/>
        </w:rPr>
        <w:t>?</w:t>
      </w:r>
    </w:p>
    <w:p w14:paraId="098B904C" w14:textId="79828634" w:rsidR="00DA5AAB" w:rsidRDefault="00030CA5" w:rsidP="0072050A">
      <w:pPr>
        <w:rPr>
          <w:rtl/>
        </w:rPr>
      </w:pPr>
      <w:r>
        <w:rPr>
          <w:rFonts w:hint="cs"/>
          <w:rtl/>
        </w:rPr>
        <w:t>ואם</w:t>
      </w:r>
      <w:r w:rsidR="00DC2984">
        <w:rPr>
          <w:rFonts w:hint="cs"/>
          <w:rtl/>
        </w:rPr>
        <w:t xml:space="preserve"> </w:t>
      </w:r>
      <w:r w:rsidR="00AB31BB">
        <w:rPr>
          <w:rFonts w:hint="cs"/>
          <w:rtl/>
        </w:rPr>
        <w:t xml:space="preserve">הייתה החכמה השלמה האמיתית </w:t>
      </w:r>
      <w:r w:rsidR="001C0B37">
        <w:rPr>
          <w:rFonts w:hint="cs"/>
          <w:rtl/>
        </w:rPr>
        <w:t>מקיפה</w:t>
      </w:r>
      <w:r w:rsidR="00717001">
        <w:rPr>
          <w:rFonts w:hint="cs"/>
          <w:rtl/>
        </w:rPr>
        <w:t xml:space="preserve"> בהשגתה</w:t>
      </w:r>
      <w:r w:rsidR="001C0B37">
        <w:rPr>
          <w:rFonts w:hint="cs"/>
          <w:rtl/>
        </w:rPr>
        <w:t xml:space="preserve"> </w:t>
      </w:r>
      <w:r w:rsidR="008B15DE">
        <w:rPr>
          <w:rFonts w:hint="cs"/>
          <w:rtl/>
        </w:rPr>
        <w:t>דבר</w:t>
      </w:r>
      <w:r w:rsidR="001C0B37">
        <w:rPr>
          <w:rFonts w:hint="cs"/>
          <w:rtl/>
        </w:rPr>
        <w:t xml:space="preserve"> </w:t>
      </w:r>
      <w:r w:rsidR="00E812C2">
        <w:rPr>
          <w:rFonts w:hint="cs"/>
          <w:rtl/>
        </w:rPr>
        <w:t xml:space="preserve">כמו שהוא, ומה שמתחייב ממנו, </w:t>
      </w:r>
      <w:r w:rsidR="00517FE3">
        <w:rPr>
          <w:rFonts w:hint="cs"/>
          <w:rtl/>
        </w:rPr>
        <w:t xml:space="preserve">והמהות של צורת המין </w:t>
      </w:r>
      <w:r w:rsidR="003804EE">
        <w:rPr>
          <w:rFonts w:hint="cs"/>
          <w:rtl/>
        </w:rPr>
        <w:t xml:space="preserve">היא דבר </w:t>
      </w:r>
      <w:r w:rsidR="009B6CB5">
        <w:rPr>
          <w:rFonts w:hint="cs"/>
          <w:rtl/>
        </w:rPr>
        <w:t>ש</w:t>
      </w:r>
      <w:r w:rsidR="00145BFF">
        <w:rPr>
          <w:rFonts w:hint="cs"/>
          <w:rtl/>
        </w:rPr>
        <w:t>חסר</w:t>
      </w:r>
      <w:r w:rsidR="009F07C2">
        <w:rPr>
          <w:rFonts w:hint="cs"/>
          <w:rtl/>
        </w:rPr>
        <w:t xml:space="preserve"> לו </w:t>
      </w:r>
      <w:r w:rsidR="009B6CB5">
        <w:rPr>
          <w:rFonts w:hint="cs"/>
          <w:rtl/>
        </w:rPr>
        <w:t xml:space="preserve">חומר </w:t>
      </w:r>
      <w:r w:rsidR="009C463A">
        <w:rPr>
          <w:rFonts w:hint="cs"/>
          <w:rtl/>
        </w:rPr>
        <w:t>מסוים</w:t>
      </w:r>
      <w:r w:rsidR="009B6CB5">
        <w:rPr>
          <w:rFonts w:hint="cs"/>
          <w:rtl/>
        </w:rPr>
        <w:t xml:space="preserve">, </w:t>
      </w:r>
      <w:r w:rsidR="00515E3B">
        <w:rPr>
          <w:rFonts w:hint="cs"/>
          <w:rtl/>
        </w:rPr>
        <w:t xml:space="preserve">או </w:t>
      </w:r>
      <w:r w:rsidR="00362294">
        <w:rPr>
          <w:rFonts w:hint="cs"/>
          <w:rtl/>
        </w:rPr>
        <w:t>שהכרחי</w:t>
      </w:r>
      <w:r w:rsidR="00DE5D03">
        <w:rPr>
          <w:rFonts w:hint="cs"/>
          <w:rtl/>
        </w:rPr>
        <w:t xml:space="preserve"> למציאותו </w:t>
      </w:r>
      <w:r w:rsidR="00D940DF">
        <w:rPr>
          <w:rFonts w:hint="cs"/>
          <w:rtl/>
        </w:rPr>
        <w:t xml:space="preserve">מציאות </w:t>
      </w:r>
      <w:r w:rsidR="007F3488">
        <w:rPr>
          <w:rFonts w:hint="cs"/>
          <w:rtl/>
        </w:rPr>
        <w:t xml:space="preserve">חומר </w:t>
      </w:r>
      <w:r w:rsidR="009C463A">
        <w:rPr>
          <w:rFonts w:hint="cs"/>
          <w:rtl/>
        </w:rPr>
        <w:t>מסוים</w:t>
      </w:r>
      <w:r w:rsidR="007F3488">
        <w:rPr>
          <w:rFonts w:hint="cs"/>
          <w:rtl/>
        </w:rPr>
        <w:t xml:space="preserve">, </w:t>
      </w:r>
      <w:r w:rsidR="00D556F8">
        <w:rPr>
          <w:rFonts w:hint="cs"/>
          <w:rtl/>
        </w:rPr>
        <w:t>אם כן איך תו</w:t>
      </w:r>
      <w:r w:rsidR="00005237">
        <w:rPr>
          <w:rFonts w:hint="cs"/>
          <w:rtl/>
        </w:rPr>
        <w:t>שלם</w:t>
      </w:r>
      <w:r w:rsidR="002B2A14">
        <w:rPr>
          <w:rFonts w:hint="cs"/>
          <w:rtl/>
        </w:rPr>
        <w:t xml:space="preserve"> יד</w:t>
      </w:r>
      <w:r w:rsidR="00DE2F93">
        <w:rPr>
          <w:rFonts w:hint="cs"/>
          <w:rtl/>
        </w:rPr>
        <w:t>י</w:t>
      </w:r>
      <w:r w:rsidR="002B2A14">
        <w:rPr>
          <w:rFonts w:hint="cs"/>
          <w:rtl/>
        </w:rPr>
        <w:t>עתנו בצורה</w:t>
      </w:r>
      <w:r w:rsidR="007C0428">
        <w:rPr>
          <w:rFonts w:hint="cs"/>
          <w:rtl/>
        </w:rPr>
        <w:t>,</w:t>
      </w:r>
      <w:r w:rsidR="00005237">
        <w:rPr>
          <w:rFonts w:hint="cs"/>
          <w:rtl/>
        </w:rPr>
        <w:t xml:space="preserve"> </w:t>
      </w:r>
      <w:r w:rsidR="007854B4">
        <w:rPr>
          <w:rFonts w:hint="cs"/>
          <w:rtl/>
        </w:rPr>
        <w:t xml:space="preserve">אם לא יהיה </w:t>
      </w:r>
      <w:r w:rsidR="00743F7B">
        <w:rPr>
          <w:rFonts w:hint="cs"/>
          <w:rtl/>
        </w:rPr>
        <w:t>מצב</w:t>
      </w:r>
      <w:r w:rsidR="003F6952">
        <w:rPr>
          <w:rFonts w:hint="cs"/>
          <w:rtl/>
        </w:rPr>
        <w:t xml:space="preserve"> זה</w:t>
      </w:r>
      <w:r w:rsidR="00743F7B">
        <w:rPr>
          <w:rStyle w:val="FootnoteReference"/>
          <w:rtl/>
        </w:rPr>
        <w:footnoteReference w:id="656"/>
      </w:r>
      <w:r w:rsidR="003F6952">
        <w:rPr>
          <w:rFonts w:hint="cs"/>
          <w:rtl/>
        </w:rPr>
        <w:t xml:space="preserve"> </w:t>
      </w:r>
      <w:r w:rsidR="00486E12">
        <w:rPr>
          <w:rFonts w:hint="cs"/>
          <w:rtl/>
        </w:rPr>
        <w:t>מתאמת אצלנו</w:t>
      </w:r>
      <w:r w:rsidR="00BD36DC">
        <w:rPr>
          <w:rFonts w:hint="cs"/>
          <w:rtl/>
        </w:rPr>
        <w:t>,</w:t>
      </w:r>
      <w:r w:rsidR="00267AB0">
        <w:rPr>
          <w:rFonts w:hint="cs"/>
          <w:rtl/>
        </w:rPr>
        <w:t xml:space="preserve"> ואנחנו לא </w:t>
      </w:r>
      <w:r w:rsidR="00D35499">
        <w:rPr>
          <w:rFonts w:hint="cs"/>
          <w:rtl/>
        </w:rPr>
        <w:t>נ</w:t>
      </w:r>
      <w:r w:rsidR="00124F0D">
        <w:rPr>
          <w:rFonts w:hint="cs"/>
          <w:rtl/>
        </w:rPr>
        <w:t>פנה ל</w:t>
      </w:r>
      <w:r w:rsidR="00D35499">
        <w:rPr>
          <w:rFonts w:hint="cs"/>
          <w:rtl/>
        </w:rPr>
        <w:t>עסוק בחומר</w:t>
      </w:r>
      <w:r w:rsidR="00940D48">
        <w:rPr>
          <w:rFonts w:hint="cs"/>
          <w:rtl/>
        </w:rPr>
        <w:t xml:space="preserve"> -</w:t>
      </w:r>
      <w:r w:rsidR="00FB5EBB">
        <w:rPr>
          <w:rFonts w:hint="cs"/>
          <w:rtl/>
        </w:rPr>
        <w:t xml:space="preserve"> </w:t>
      </w:r>
      <w:r w:rsidR="00431435">
        <w:rPr>
          <w:rFonts w:hint="cs"/>
          <w:rtl/>
        </w:rPr>
        <w:t>ו</w:t>
      </w:r>
      <w:r w:rsidR="00C56E89">
        <w:rPr>
          <w:rFonts w:hint="cs"/>
          <w:rtl/>
        </w:rPr>
        <w:t>אין</w:t>
      </w:r>
      <w:r w:rsidR="00431435">
        <w:rPr>
          <w:rFonts w:hint="cs"/>
          <w:rtl/>
        </w:rPr>
        <w:t xml:space="preserve"> </w:t>
      </w:r>
      <w:r w:rsidR="00B759AE">
        <w:rPr>
          <w:rFonts w:hint="cs"/>
          <w:rtl/>
        </w:rPr>
        <w:t xml:space="preserve">חומר </w:t>
      </w:r>
      <w:r w:rsidR="00874490">
        <w:rPr>
          <w:rFonts w:hint="cs"/>
          <w:rtl/>
        </w:rPr>
        <w:t xml:space="preserve">יותר </w:t>
      </w:r>
      <w:r w:rsidR="00330485">
        <w:rPr>
          <w:rFonts w:hint="cs"/>
          <w:rtl/>
        </w:rPr>
        <w:t xml:space="preserve">כללי </w:t>
      </w:r>
      <w:r w:rsidR="00AB4952">
        <w:rPr>
          <w:rFonts w:hint="cs"/>
          <w:rtl/>
        </w:rPr>
        <w:t>ל</w:t>
      </w:r>
      <w:r w:rsidR="00BF4F46">
        <w:rPr>
          <w:rFonts w:hint="cs"/>
          <w:rtl/>
        </w:rPr>
        <w:t xml:space="preserve">יטול בו חלק, </w:t>
      </w:r>
      <w:r w:rsidR="000A2A7B">
        <w:rPr>
          <w:rFonts w:hint="cs"/>
          <w:rtl/>
        </w:rPr>
        <w:t>ומ</w:t>
      </w:r>
      <w:r w:rsidR="003B442D">
        <w:rPr>
          <w:rFonts w:hint="cs"/>
          <w:rtl/>
        </w:rPr>
        <w:t>שולל</w:t>
      </w:r>
      <w:r w:rsidR="000A2A7B">
        <w:rPr>
          <w:rFonts w:hint="cs"/>
          <w:rtl/>
        </w:rPr>
        <w:t xml:space="preserve"> מהצורה, </w:t>
      </w:r>
      <w:r w:rsidR="00C54BA0">
        <w:rPr>
          <w:rFonts w:hint="cs"/>
          <w:rtl/>
        </w:rPr>
        <w:t>מ</w:t>
      </w:r>
      <w:r w:rsidR="00874490">
        <w:rPr>
          <w:rFonts w:hint="cs"/>
          <w:rtl/>
        </w:rPr>
        <w:t xml:space="preserve">אשר </w:t>
      </w:r>
      <w:r w:rsidR="00C54BA0">
        <w:rPr>
          <w:rFonts w:hint="cs"/>
          <w:rtl/>
        </w:rPr>
        <w:t>החומר הראשון</w:t>
      </w:r>
      <w:r w:rsidR="0078535D">
        <w:rPr>
          <w:rStyle w:val="FootnoteReference"/>
          <w:rtl/>
        </w:rPr>
        <w:footnoteReference w:id="657"/>
      </w:r>
      <w:r w:rsidR="00C54BA0">
        <w:rPr>
          <w:rFonts w:hint="cs"/>
          <w:rtl/>
        </w:rPr>
        <w:t>.</w:t>
      </w:r>
    </w:p>
    <w:p w14:paraId="12AF0A3C" w14:textId="77777777" w:rsidR="00FF648D" w:rsidRDefault="00FF648D" w:rsidP="00CC473E">
      <w:pPr>
        <w:pStyle w:val="Heading4"/>
        <w:rPr>
          <w:rtl/>
        </w:rPr>
      </w:pPr>
      <w:bookmarkStart w:id="293" w:name="_Toc119092690"/>
      <w:r>
        <w:rPr>
          <w:rFonts w:hint="cs"/>
          <w:rtl/>
        </w:rPr>
        <w:t>1.9.5</w:t>
      </w:r>
      <w:bookmarkEnd w:id="293"/>
    </w:p>
    <w:p w14:paraId="3BAC4A9A" w14:textId="695AF496" w:rsidR="00876143" w:rsidRDefault="0046204F" w:rsidP="005B0D0B">
      <w:pPr>
        <w:rPr>
          <w:rtl/>
        </w:rPr>
      </w:pPr>
      <w:r>
        <w:rPr>
          <w:rFonts w:hint="cs"/>
          <w:rtl/>
        </w:rPr>
        <w:t xml:space="preserve">ובידיעתנו </w:t>
      </w:r>
      <w:r w:rsidR="00C920DF">
        <w:rPr>
          <w:rFonts w:hint="cs"/>
          <w:rtl/>
        </w:rPr>
        <w:t xml:space="preserve">בטבעו [של החומר הראשון] </w:t>
      </w:r>
      <w:r w:rsidR="00CE0F50">
        <w:rPr>
          <w:rFonts w:hint="cs"/>
          <w:rtl/>
        </w:rPr>
        <w:t xml:space="preserve">שהוא </w:t>
      </w:r>
      <w:r w:rsidR="00AD26F8">
        <w:rPr>
          <w:rFonts w:hint="cs"/>
          <w:rtl/>
        </w:rPr>
        <w:t>'</w:t>
      </w:r>
      <w:r w:rsidR="00CE0F50">
        <w:rPr>
          <w:rFonts w:hint="cs"/>
          <w:rtl/>
        </w:rPr>
        <w:t>בכח</w:t>
      </w:r>
      <w:r w:rsidR="00AD26F8">
        <w:rPr>
          <w:rFonts w:hint="cs"/>
          <w:rtl/>
        </w:rPr>
        <w:t>'</w:t>
      </w:r>
      <w:r w:rsidR="00CE0F50">
        <w:rPr>
          <w:rFonts w:hint="cs"/>
          <w:rtl/>
        </w:rPr>
        <w:t xml:space="preserve"> כל דבר, </w:t>
      </w:r>
      <w:r w:rsidR="00543B22">
        <w:rPr>
          <w:rFonts w:hint="cs"/>
          <w:rtl/>
        </w:rPr>
        <w:t xml:space="preserve">נרכוש </w:t>
      </w:r>
      <w:r w:rsidR="00F36BE4">
        <w:rPr>
          <w:rFonts w:hint="cs"/>
          <w:rtl/>
        </w:rPr>
        <w:t xml:space="preserve">חכמה </w:t>
      </w:r>
      <w:r w:rsidR="0058632D" w:rsidRPr="0058632D">
        <w:rPr>
          <w:rtl/>
        </w:rPr>
        <w:t xml:space="preserve">בַּצּוּרָה </w:t>
      </w:r>
      <w:r w:rsidR="0058632D">
        <w:rPr>
          <w:rFonts w:hint="cs"/>
          <w:rtl/>
        </w:rPr>
        <w:t>ה</w:t>
      </w:r>
      <w:r w:rsidR="00D732FC">
        <w:rPr>
          <w:rFonts w:hint="cs"/>
          <w:rtl/>
        </w:rPr>
        <w:t>זו</w:t>
      </w:r>
      <w:r w:rsidR="00A6468D">
        <w:rPr>
          <w:rStyle w:val="FootnoteReference"/>
          <w:rtl/>
        </w:rPr>
        <w:footnoteReference w:id="658"/>
      </w:r>
      <w:r w:rsidR="00D732FC">
        <w:rPr>
          <w:rFonts w:hint="cs"/>
          <w:rtl/>
        </w:rPr>
        <w:t xml:space="preserve"> </w:t>
      </w:r>
      <w:r w:rsidR="00EB33AD">
        <w:rPr>
          <w:rFonts w:hint="cs"/>
          <w:rtl/>
        </w:rPr>
        <w:t xml:space="preserve">שהיא למשל </w:t>
      </w:r>
      <w:r w:rsidR="002C1757">
        <w:rPr>
          <w:rFonts w:hint="cs"/>
          <w:rtl/>
        </w:rPr>
        <w:t>ב</w:t>
      </w:r>
      <w:r w:rsidR="002F1BB1">
        <w:rPr>
          <w:rFonts w:hint="cs"/>
          <w:rtl/>
        </w:rPr>
        <w:t>חומר</w:t>
      </w:r>
      <w:r w:rsidR="008663B1">
        <w:rPr>
          <w:rFonts w:hint="cs"/>
          <w:rtl/>
        </w:rPr>
        <w:t xml:space="preserve"> </w:t>
      </w:r>
      <w:r w:rsidR="0058632D">
        <w:rPr>
          <w:rFonts w:hint="cs"/>
          <w:rtl/>
        </w:rPr>
        <w:t>ה</w:t>
      </w:r>
      <w:r w:rsidR="008663B1">
        <w:rPr>
          <w:rFonts w:hint="cs"/>
          <w:rtl/>
        </w:rPr>
        <w:t>זה</w:t>
      </w:r>
      <w:r w:rsidR="00833B7C">
        <w:rPr>
          <w:rFonts w:hint="cs"/>
          <w:rtl/>
        </w:rPr>
        <w:t xml:space="preserve"> </w:t>
      </w:r>
      <w:r w:rsidR="001B4EF1">
        <w:rPr>
          <w:rFonts w:hint="cs"/>
          <w:rtl/>
        </w:rPr>
        <w:t xml:space="preserve">אבל </w:t>
      </w:r>
      <w:proofErr w:type="spellStart"/>
      <w:r w:rsidR="003F26D1">
        <w:rPr>
          <w:rFonts w:hint="cs"/>
          <w:rtl/>
        </w:rPr>
        <w:t>מחוייבת</w:t>
      </w:r>
      <w:proofErr w:type="spellEnd"/>
      <w:r w:rsidR="003F26D1">
        <w:rPr>
          <w:rFonts w:hint="cs"/>
          <w:rtl/>
        </w:rPr>
        <w:t xml:space="preserve"> </w:t>
      </w:r>
      <w:proofErr w:type="spellStart"/>
      <w:r w:rsidR="00A76BF4">
        <w:rPr>
          <w:rFonts w:hint="cs"/>
          <w:rtl/>
        </w:rPr>
        <w:t>להיפסד</w:t>
      </w:r>
      <w:proofErr w:type="spellEnd"/>
      <w:r w:rsidR="009A4ECD">
        <w:rPr>
          <w:rFonts w:hint="cs"/>
          <w:rtl/>
        </w:rPr>
        <w:t xml:space="preserve"> </w:t>
      </w:r>
      <w:r w:rsidR="008D34F2">
        <w:rPr>
          <w:rFonts w:hint="cs"/>
          <w:rtl/>
        </w:rPr>
        <w:t>להיות מוחלפת</w:t>
      </w:r>
      <w:r w:rsidR="005A68B4">
        <w:rPr>
          <w:rFonts w:hint="cs"/>
          <w:rtl/>
        </w:rPr>
        <w:t xml:space="preserve"> באחרת </w:t>
      </w:r>
      <w:r w:rsidR="00E80842">
        <w:rPr>
          <w:rFonts w:hint="cs"/>
          <w:rtl/>
        </w:rPr>
        <w:t xml:space="preserve">שונה ממנה, </w:t>
      </w:r>
      <w:bookmarkStart w:id="294" w:name="_Hlk114149499"/>
      <w:r w:rsidR="00062656">
        <w:rPr>
          <w:rFonts w:hint="cs"/>
          <w:rtl/>
        </w:rPr>
        <w:t xml:space="preserve">או שאין </w:t>
      </w:r>
      <w:r w:rsidR="00180CA2">
        <w:rPr>
          <w:rFonts w:hint="cs"/>
          <w:rtl/>
        </w:rPr>
        <w:t>לבטוח בה</w:t>
      </w:r>
      <w:bookmarkEnd w:id="294"/>
      <w:r w:rsidR="00943970">
        <w:rPr>
          <w:rStyle w:val="FootnoteReference"/>
          <w:rtl/>
        </w:rPr>
        <w:footnoteReference w:id="659"/>
      </w:r>
      <w:r w:rsidR="00062656">
        <w:rPr>
          <w:rFonts w:hint="cs"/>
          <w:rtl/>
        </w:rPr>
        <w:t>.</w:t>
      </w:r>
    </w:p>
    <w:p w14:paraId="6E05C4BA" w14:textId="77777777" w:rsidR="0061604B" w:rsidRDefault="009C316F" w:rsidP="00E83404">
      <w:pPr>
        <w:rPr>
          <w:rtl/>
        </w:rPr>
      </w:pPr>
      <w:r>
        <w:rPr>
          <w:rFonts w:hint="cs"/>
          <w:rtl/>
        </w:rPr>
        <w:t xml:space="preserve">ובכן, </w:t>
      </w:r>
      <w:r w:rsidR="00EE109C">
        <w:rPr>
          <w:rFonts w:hint="cs"/>
          <w:rtl/>
        </w:rPr>
        <w:t xml:space="preserve">איזו </w:t>
      </w:r>
      <w:r w:rsidR="008B4532">
        <w:rPr>
          <w:rFonts w:hint="cs"/>
          <w:rtl/>
        </w:rPr>
        <w:t>הבנ</w:t>
      </w:r>
      <w:r w:rsidR="00F1481D">
        <w:rPr>
          <w:rFonts w:hint="cs"/>
          <w:rtl/>
        </w:rPr>
        <w:t>ה</w:t>
      </w:r>
      <w:r w:rsidR="00EE109C">
        <w:rPr>
          <w:rFonts w:hint="cs"/>
          <w:rtl/>
        </w:rPr>
        <w:t xml:space="preserve"> </w:t>
      </w:r>
      <w:proofErr w:type="spellStart"/>
      <w:r w:rsidR="00F851E1">
        <w:rPr>
          <w:rFonts w:hint="cs"/>
          <w:rtl/>
        </w:rPr>
        <w:t>נכבד</w:t>
      </w:r>
      <w:r w:rsidR="008B4532">
        <w:rPr>
          <w:rFonts w:hint="cs"/>
          <w:rtl/>
        </w:rPr>
        <w:t>ת</w:t>
      </w:r>
      <w:proofErr w:type="spellEnd"/>
      <w:r w:rsidR="00F851E1">
        <w:rPr>
          <w:rFonts w:hint="cs"/>
          <w:rtl/>
        </w:rPr>
        <w:t xml:space="preserve"> יותר </w:t>
      </w:r>
      <w:r w:rsidR="00F1481D">
        <w:rPr>
          <w:rFonts w:hint="cs"/>
          <w:rtl/>
        </w:rPr>
        <w:t>מ</w:t>
      </w:r>
      <w:r w:rsidR="0079742B">
        <w:rPr>
          <w:rFonts w:hint="cs"/>
          <w:rtl/>
        </w:rPr>
        <w:t>ה</w:t>
      </w:r>
      <w:r w:rsidR="008B4532">
        <w:rPr>
          <w:rFonts w:hint="cs"/>
          <w:rtl/>
        </w:rPr>
        <w:t>הבנ</w:t>
      </w:r>
      <w:r w:rsidR="00F1481D">
        <w:rPr>
          <w:rFonts w:hint="cs"/>
          <w:rtl/>
        </w:rPr>
        <w:t xml:space="preserve">ה </w:t>
      </w:r>
      <w:r w:rsidR="0079742B">
        <w:rPr>
          <w:rFonts w:hint="cs"/>
          <w:rtl/>
        </w:rPr>
        <w:t>ה</w:t>
      </w:r>
      <w:r w:rsidR="00F1481D">
        <w:rPr>
          <w:rFonts w:hint="cs"/>
          <w:rtl/>
        </w:rPr>
        <w:t>זו</w:t>
      </w:r>
      <w:r w:rsidR="008B4532">
        <w:rPr>
          <w:rFonts w:hint="cs"/>
          <w:rtl/>
        </w:rPr>
        <w:t xml:space="preserve"> </w:t>
      </w:r>
      <w:r w:rsidR="005D2D3C">
        <w:rPr>
          <w:rFonts w:hint="cs"/>
          <w:rtl/>
        </w:rPr>
        <w:t xml:space="preserve">שלפי </w:t>
      </w:r>
      <w:r w:rsidR="00A8562C">
        <w:rPr>
          <w:rFonts w:hint="cs"/>
          <w:rtl/>
        </w:rPr>
        <w:t>כלליה</w:t>
      </w:r>
      <w:r w:rsidR="005D2D3C">
        <w:rPr>
          <w:rFonts w:hint="cs"/>
          <w:rtl/>
        </w:rPr>
        <w:t xml:space="preserve"> </w:t>
      </w:r>
      <w:r w:rsidR="003F47C4">
        <w:rPr>
          <w:rFonts w:hint="cs"/>
          <w:rtl/>
        </w:rPr>
        <w:t xml:space="preserve">תלמד </w:t>
      </w:r>
      <w:r w:rsidR="005152B0">
        <w:rPr>
          <w:rFonts w:hint="cs"/>
          <w:rtl/>
        </w:rPr>
        <w:t xml:space="preserve">מההבנה </w:t>
      </w:r>
      <w:r w:rsidR="002F22FB">
        <w:rPr>
          <w:rFonts w:hint="cs"/>
          <w:rtl/>
        </w:rPr>
        <w:t>של מצב הדבר</w:t>
      </w:r>
      <w:r w:rsidR="00AE2DC7">
        <w:rPr>
          <w:rFonts w:hint="cs"/>
          <w:rtl/>
        </w:rPr>
        <w:t xml:space="preserve"> במציאותו עצמה, בין </w:t>
      </w:r>
      <w:r w:rsidR="00875545">
        <w:rPr>
          <w:rFonts w:hint="cs"/>
          <w:rtl/>
        </w:rPr>
        <w:t>שהוא קבוע ו</w:t>
      </w:r>
      <w:r w:rsidR="00AE2DC7">
        <w:rPr>
          <w:rFonts w:hint="cs"/>
          <w:rtl/>
        </w:rPr>
        <w:t>בין</w:t>
      </w:r>
      <w:r w:rsidR="00875545">
        <w:rPr>
          <w:rFonts w:hint="cs"/>
          <w:rtl/>
        </w:rPr>
        <w:t xml:space="preserve"> שאינו קבוע</w:t>
      </w:r>
      <w:r w:rsidR="00541F43">
        <w:rPr>
          <w:rFonts w:hint="cs"/>
          <w:rtl/>
        </w:rPr>
        <w:t>?</w:t>
      </w:r>
      <w:r w:rsidR="001869AE">
        <w:rPr>
          <w:rFonts w:hint="cs"/>
          <w:rtl/>
        </w:rPr>
        <w:t xml:space="preserve"> </w:t>
      </w:r>
      <w:r w:rsidR="00074ED7">
        <w:rPr>
          <w:rFonts w:hint="cs"/>
          <w:rtl/>
        </w:rPr>
        <w:t>אבל</w:t>
      </w:r>
      <w:r w:rsidR="00961409">
        <w:rPr>
          <w:rFonts w:hint="cs"/>
          <w:rtl/>
        </w:rPr>
        <w:t xml:space="preserve"> חכם הטבע </w:t>
      </w:r>
      <w:r w:rsidR="00897176">
        <w:rPr>
          <w:rFonts w:hint="cs"/>
          <w:rtl/>
        </w:rPr>
        <w:t>חסרות לו הוכחות</w:t>
      </w:r>
      <w:r w:rsidR="00DF49CB">
        <w:rPr>
          <w:rFonts w:hint="cs"/>
          <w:rtl/>
        </w:rPr>
        <w:t>,</w:t>
      </w:r>
      <w:r w:rsidR="00897176">
        <w:rPr>
          <w:rFonts w:hint="cs"/>
          <w:rtl/>
        </w:rPr>
        <w:t xml:space="preserve"> </w:t>
      </w:r>
      <w:r w:rsidR="00A264BE">
        <w:rPr>
          <w:rFonts w:hint="cs"/>
          <w:rtl/>
        </w:rPr>
        <w:t>וכדי ל</w:t>
      </w:r>
      <w:r w:rsidR="006742A0">
        <w:rPr>
          <w:rFonts w:hint="cs"/>
          <w:rtl/>
        </w:rPr>
        <w:t>השלים</w:t>
      </w:r>
      <w:r w:rsidR="00A264BE">
        <w:rPr>
          <w:rFonts w:hint="cs"/>
          <w:rtl/>
        </w:rPr>
        <w:t xml:space="preserve"> את </w:t>
      </w:r>
      <w:r w:rsidR="0001028A">
        <w:rPr>
          <w:rFonts w:hint="cs"/>
          <w:rtl/>
        </w:rPr>
        <w:t>מקצוע</w:t>
      </w:r>
      <w:r w:rsidR="00A264BE">
        <w:rPr>
          <w:rFonts w:hint="cs"/>
          <w:rtl/>
        </w:rPr>
        <w:t xml:space="preserve">ו </w:t>
      </w:r>
      <w:r w:rsidR="00154649">
        <w:rPr>
          <w:rFonts w:hint="cs"/>
          <w:rtl/>
        </w:rPr>
        <w:t>הוא צריך ל</w:t>
      </w:r>
      <w:r w:rsidR="008B117F">
        <w:rPr>
          <w:rFonts w:hint="cs"/>
          <w:rtl/>
        </w:rPr>
        <w:t>הקיף במחשבתו באופן מלא את הצורה ואת החומר</w:t>
      </w:r>
      <w:r w:rsidR="008A56DD">
        <w:rPr>
          <w:rFonts w:hint="cs"/>
          <w:rtl/>
        </w:rPr>
        <w:t>.</w:t>
      </w:r>
      <w:r w:rsidR="00BA2D18">
        <w:rPr>
          <w:rFonts w:hint="cs"/>
          <w:rtl/>
        </w:rPr>
        <w:t xml:space="preserve"> </w:t>
      </w:r>
      <w:r w:rsidR="00892FAB">
        <w:rPr>
          <w:rFonts w:hint="cs"/>
          <w:rtl/>
        </w:rPr>
        <w:t xml:space="preserve">על כל פנים </w:t>
      </w:r>
      <w:r w:rsidR="007D4A3C">
        <w:rPr>
          <w:rFonts w:hint="cs"/>
          <w:rtl/>
        </w:rPr>
        <w:t xml:space="preserve">הצורה </w:t>
      </w:r>
      <w:r w:rsidR="00BF75EE">
        <w:rPr>
          <w:rFonts w:hint="cs"/>
          <w:rtl/>
        </w:rPr>
        <w:t xml:space="preserve">יותר מהחומר </w:t>
      </w:r>
      <w:r w:rsidR="00BA4915">
        <w:rPr>
          <w:rFonts w:hint="cs"/>
          <w:rtl/>
        </w:rPr>
        <w:t>מוסיפה</w:t>
      </w:r>
      <w:r w:rsidR="00645517">
        <w:rPr>
          <w:rFonts w:hint="cs"/>
          <w:rtl/>
        </w:rPr>
        <w:t xml:space="preserve"> חכמה </w:t>
      </w:r>
      <w:r w:rsidR="00BA4915">
        <w:rPr>
          <w:rFonts w:hint="cs"/>
          <w:rtl/>
        </w:rPr>
        <w:t>במה שהוא דבר בפועל</w:t>
      </w:r>
      <w:r w:rsidR="00A75629">
        <w:rPr>
          <w:rFonts w:hint="cs"/>
          <w:rtl/>
        </w:rPr>
        <w:t>, והחומר</w:t>
      </w:r>
      <w:r w:rsidR="00895B77">
        <w:rPr>
          <w:rFonts w:hint="cs"/>
          <w:rtl/>
        </w:rPr>
        <w:t xml:space="preserve"> ביותר מצבים</w:t>
      </w:r>
      <w:r w:rsidR="00A75629">
        <w:rPr>
          <w:rFonts w:hint="cs"/>
          <w:rtl/>
        </w:rPr>
        <w:t xml:space="preserve"> מוסיף חכמה </w:t>
      </w:r>
      <w:r w:rsidR="00C944D3">
        <w:rPr>
          <w:rFonts w:hint="cs"/>
          <w:rtl/>
        </w:rPr>
        <w:t xml:space="preserve">במציאות </w:t>
      </w:r>
      <w:r w:rsidR="00310588">
        <w:rPr>
          <w:rFonts w:hint="cs"/>
          <w:rtl/>
        </w:rPr>
        <w:t>ש'</w:t>
      </w:r>
      <w:r w:rsidR="00C944D3">
        <w:rPr>
          <w:rFonts w:hint="cs"/>
          <w:rtl/>
        </w:rPr>
        <w:t>בכח</w:t>
      </w:r>
      <w:r w:rsidR="00310588">
        <w:rPr>
          <w:rFonts w:hint="cs"/>
          <w:rtl/>
        </w:rPr>
        <w:t>'</w:t>
      </w:r>
      <w:r w:rsidR="00283372">
        <w:rPr>
          <w:rStyle w:val="FootnoteReference"/>
          <w:rtl/>
        </w:rPr>
        <w:footnoteReference w:id="660"/>
      </w:r>
      <w:r w:rsidR="001213DF">
        <w:rPr>
          <w:rFonts w:hint="cs"/>
          <w:rtl/>
        </w:rPr>
        <w:t>,</w:t>
      </w:r>
      <w:r w:rsidR="001D5126">
        <w:rPr>
          <w:rFonts w:hint="cs"/>
          <w:rtl/>
        </w:rPr>
        <w:t xml:space="preserve"> </w:t>
      </w:r>
      <w:r w:rsidR="009D00CF">
        <w:rPr>
          <w:rFonts w:hint="cs"/>
          <w:rtl/>
        </w:rPr>
        <w:t xml:space="preserve">ומשניהם ביחד </w:t>
      </w:r>
      <w:r w:rsidR="00AF3A32">
        <w:rPr>
          <w:rFonts w:hint="cs"/>
          <w:rtl/>
        </w:rPr>
        <w:t xml:space="preserve">נשלמת החכמה </w:t>
      </w:r>
      <w:r w:rsidR="00705170">
        <w:rPr>
          <w:rFonts w:hint="cs"/>
          <w:rtl/>
        </w:rPr>
        <w:t xml:space="preserve">של </w:t>
      </w:r>
      <w:r w:rsidR="0092654B">
        <w:rPr>
          <w:rFonts w:hint="cs"/>
          <w:rtl/>
        </w:rPr>
        <w:t>עצם</w:t>
      </w:r>
      <w:r w:rsidR="0092654B">
        <w:rPr>
          <w:rStyle w:val="FootnoteReference"/>
          <w:rtl/>
        </w:rPr>
        <w:footnoteReference w:id="661"/>
      </w:r>
      <w:r w:rsidR="00705170">
        <w:rPr>
          <w:rFonts w:hint="cs"/>
          <w:rtl/>
        </w:rPr>
        <w:t xml:space="preserve"> הדבר.</w:t>
      </w:r>
    </w:p>
    <w:p w14:paraId="4E788319" w14:textId="4CD3A24A" w:rsidR="007135F2" w:rsidRDefault="007135F2" w:rsidP="00E83404">
      <w:pPr>
        <w:rPr>
          <w:rtl/>
        </w:rPr>
      </w:pPr>
      <w:r>
        <w:rPr>
          <w:rtl/>
        </w:rPr>
        <w:br w:type="page"/>
      </w:r>
    </w:p>
    <w:p w14:paraId="33BC3845" w14:textId="3055BD2D" w:rsidR="00222EA6" w:rsidRDefault="0061604B" w:rsidP="00F56075">
      <w:pPr>
        <w:pStyle w:val="Heading2"/>
        <w:rPr>
          <w:rtl/>
        </w:rPr>
      </w:pPr>
      <w:bookmarkStart w:id="295" w:name="_Toc119092691"/>
      <w:r>
        <w:rPr>
          <w:rFonts w:hint="cs"/>
          <w:rtl/>
        </w:rPr>
        <w:t>פרק</w:t>
      </w:r>
      <w:r w:rsidR="005F1D3C">
        <w:rPr>
          <w:rFonts w:hint="cs"/>
          <w:rtl/>
        </w:rPr>
        <w:t xml:space="preserve"> </w:t>
      </w:r>
      <w:r w:rsidR="00F56075">
        <w:rPr>
          <w:rFonts w:hint="cs"/>
          <w:rtl/>
        </w:rPr>
        <w:t>י</w:t>
      </w:r>
      <w:bookmarkEnd w:id="295"/>
    </w:p>
    <w:p w14:paraId="3C49FE4B" w14:textId="0B421B5F" w:rsidR="00F56075" w:rsidRDefault="004E2CA8" w:rsidP="00932AF4">
      <w:pPr>
        <w:pStyle w:val="Heading3"/>
        <w:rPr>
          <w:rtl/>
          <w:lang w:val="he"/>
        </w:rPr>
      </w:pPr>
      <w:bookmarkStart w:id="296" w:name="_Toc119092692"/>
      <w:r>
        <w:rPr>
          <w:rFonts w:hint="cs"/>
          <w:rtl/>
          <w:lang w:val="he"/>
        </w:rPr>
        <w:t xml:space="preserve">פרק </w:t>
      </w:r>
      <w:r w:rsidR="003829A6">
        <w:rPr>
          <w:rFonts w:hint="cs"/>
          <w:rtl/>
          <w:lang w:val="he"/>
        </w:rPr>
        <w:t>בידיע</w:t>
      </w:r>
      <w:r w:rsidR="004D0146">
        <w:rPr>
          <w:rFonts w:hint="cs"/>
          <w:rtl/>
          <w:lang w:val="he"/>
        </w:rPr>
        <w:t>ה של</w:t>
      </w:r>
      <w:r w:rsidR="000B53B8">
        <w:rPr>
          <w:rFonts w:hint="cs"/>
          <w:rtl/>
          <w:lang w:val="he"/>
        </w:rPr>
        <w:t xml:space="preserve"> </w:t>
      </w:r>
      <w:r w:rsidR="00BB5572">
        <w:rPr>
          <w:rFonts w:hint="cs"/>
          <w:rtl/>
          <w:lang w:val="he"/>
        </w:rPr>
        <w:t>כל אחת מ</w:t>
      </w:r>
      <w:r w:rsidR="00932AF4">
        <w:rPr>
          <w:rFonts w:hint="cs"/>
          <w:rtl/>
          <w:lang w:val="he"/>
        </w:rPr>
        <w:t>ארבע</w:t>
      </w:r>
      <w:r w:rsidR="00BB5572">
        <w:rPr>
          <w:rFonts w:hint="cs"/>
          <w:rtl/>
          <w:lang w:val="he"/>
        </w:rPr>
        <w:t>ת</w:t>
      </w:r>
      <w:r w:rsidR="00932AF4">
        <w:rPr>
          <w:rFonts w:hint="cs"/>
          <w:rtl/>
          <w:lang w:val="he"/>
        </w:rPr>
        <w:t xml:space="preserve"> הסיבות</w:t>
      </w:r>
      <w:r w:rsidR="000A6CE3">
        <w:rPr>
          <w:rStyle w:val="FootnoteReference"/>
          <w:rtl/>
          <w:lang w:val="he"/>
        </w:rPr>
        <w:footnoteReference w:id="662"/>
      </w:r>
      <w:bookmarkEnd w:id="296"/>
      <w:r w:rsidR="00EB2CD2">
        <w:rPr>
          <w:rFonts w:hint="cs"/>
          <w:rtl/>
          <w:lang w:val="he"/>
        </w:rPr>
        <w:t xml:space="preserve"> </w:t>
      </w:r>
    </w:p>
    <w:p w14:paraId="195D339A" w14:textId="77777777" w:rsidR="001C55E6" w:rsidRDefault="0028282C" w:rsidP="001C55E6">
      <w:pPr>
        <w:pStyle w:val="Heading4"/>
        <w:rPr>
          <w:rtl/>
          <w:lang w:val="he"/>
        </w:rPr>
      </w:pPr>
      <w:bookmarkStart w:id="297" w:name="_Toc119092693"/>
      <w:r>
        <w:rPr>
          <w:rFonts w:hint="cs"/>
          <w:rtl/>
          <w:lang w:val="he"/>
        </w:rPr>
        <w:t>1.10.1</w:t>
      </w:r>
      <w:bookmarkEnd w:id="297"/>
    </w:p>
    <w:p w14:paraId="25C0FD17" w14:textId="748E52C9" w:rsidR="00BA401E" w:rsidRPr="00F94027" w:rsidRDefault="001C55E6" w:rsidP="00F94027">
      <w:pPr>
        <w:rPr>
          <w:rtl/>
        </w:rPr>
      </w:pPr>
      <w:r w:rsidRPr="00F94027">
        <w:rPr>
          <w:rFonts w:hint="cs"/>
          <w:rtl/>
        </w:rPr>
        <w:t xml:space="preserve">במה שקדם </w:t>
      </w:r>
      <w:r w:rsidR="00F94027">
        <w:rPr>
          <w:rFonts w:hint="cs"/>
          <w:rtl/>
        </w:rPr>
        <w:t xml:space="preserve">עמלנו </w:t>
      </w:r>
      <w:r w:rsidR="00E7469F" w:rsidRPr="00F94027">
        <w:rPr>
          <w:rFonts w:hint="cs"/>
          <w:rtl/>
        </w:rPr>
        <w:t>ל</w:t>
      </w:r>
      <w:r w:rsidR="004B49A0">
        <w:rPr>
          <w:rFonts w:hint="cs"/>
          <w:rtl/>
        </w:rPr>
        <w:t>הצביע על</w:t>
      </w:r>
      <w:r w:rsidR="00E319B8" w:rsidRPr="00F94027">
        <w:rPr>
          <w:rFonts w:hint="cs"/>
          <w:rtl/>
        </w:rPr>
        <w:t xml:space="preserve"> </w:t>
      </w:r>
      <w:r w:rsidR="00E7469F" w:rsidRPr="00F94027">
        <w:rPr>
          <w:rFonts w:hint="cs"/>
          <w:rtl/>
        </w:rPr>
        <w:t>כך שלגו</w:t>
      </w:r>
      <w:r w:rsidR="00D96F75" w:rsidRPr="00F94027">
        <w:rPr>
          <w:rFonts w:hint="cs"/>
          <w:rtl/>
        </w:rPr>
        <w:t>ף הטבעי</w:t>
      </w:r>
      <w:r w:rsidR="00043170" w:rsidRPr="00F94027">
        <w:rPr>
          <w:rFonts w:hint="cs"/>
          <w:rtl/>
        </w:rPr>
        <w:t xml:space="preserve"> </w:t>
      </w:r>
      <w:r w:rsidR="00685301" w:rsidRPr="00F94027">
        <w:rPr>
          <w:rFonts w:hint="cs"/>
          <w:rtl/>
        </w:rPr>
        <w:t xml:space="preserve">יש </w:t>
      </w:r>
      <w:r w:rsidR="00D97223" w:rsidRPr="00F94027">
        <w:rPr>
          <w:rFonts w:hint="cs"/>
          <w:rtl/>
        </w:rPr>
        <w:t>עי</w:t>
      </w:r>
      <w:r w:rsidR="00F52743">
        <w:rPr>
          <w:rFonts w:hint="cs"/>
          <w:rtl/>
        </w:rPr>
        <w:t>ל</w:t>
      </w:r>
      <w:r w:rsidR="00D97223" w:rsidRPr="00F94027">
        <w:rPr>
          <w:rFonts w:hint="cs"/>
          <w:rtl/>
        </w:rPr>
        <w:t>ה</w:t>
      </w:r>
      <w:r w:rsidR="00CB4EEA">
        <w:rPr>
          <w:rStyle w:val="FootnoteReference"/>
          <w:rtl/>
        </w:rPr>
        <w:footnoteReference w:id="663"/>
      </w:r>
      <w:r w:rsidR="00D97223" w:rsidRPr="00F94027">
        <w:rPr>
          <w:rFonts w:hint="cs"/>
          <w:rtl/>
        </w:rPr>
        <w:t xml:space="preserve"> חומרית, </w:t>
      </w:r>
      <w:r w:rsidR="00B647F9" w:rsidRPr="00F94027">
        <w:rPr>
          <w:rFonts w:hint="cs"/>
          <w:rtl/>
        </w:rPr>
        <w:t>עילה פועלת, עילה צורנית ועילה תכלית</w:t>
      </w:r>
      <w:r w:rsidR="00D81149" w:rsidRPr="00F94027">
        <w:rPr>
          <w:rFonts w:hint="cs"/>
          <w:rtl/>
        </w:rPr>
        <w:t>י</w:t>
      </w:r>
      <w:r w:rsidR="00B647F9" w:rsidRPr="00F94027">
        <w:rPr>
          <w:rFonts w:hint="cs"/>
          <w:rtl/>
        </w:rPr>
        <w:t>ת.</w:t>
      </w:r>
      <w:r w:rsidR="00BA44BC">
        <w:rPr>
          <w:rFonts w:hint="cs"/>
          <w:rtl/>
        </w:rPr>
        <w:t xml:space="preserve"> ומשתוקקים אנו כעת</w:t>
      </w:r>
      <w:r w:rsidR="0061579C">
        <w:rPr>
          <w:rFonts w:hint="cs"/>
          <w:rtl/>
        </w:rPr>
        <w:t xml:space="preserve"> </w:t>
      </w:r>
      <w:r w:rsidR="0084695C">
        <w:rPr>
          <w:rFonts w:hint="cs"/>
          <w:rtl/>
        </w:rPr>
        <w:t>לדעת את המצבים של הס</w:t>
      </w:r>
      <w:r w:rsidR="00A94B10">
        <w:rPr>
          <w:rFonts w:hint="cs"/>
          <w:rtl/>
        </w:rPr>
        <w:t>יבות האלה</w:t>
      </w:r>
      <w:r w:rsidR="008D4C55">
        <w:rPr>
          <w:rFonts w:hint="cs"/>
          <w:rtl/>
        </w:rPr>
        <w:t xml:space="preserve">, </w:t>
      </w:r>
      <w:r w:rsidR="00445125">
        <w:rPr>
          <w:rFonts w:hint="cs"/>
          <w:rtl/>
        </w:rPr>
        <w:t>וידיעת</w:t>
      </w:r>
      <w:r w:rsidR="00941CD2">
        <w:rPr>
          <w:rFonts w:hint="cs"/>
          <w:rtl/>
        </w:rPr>
        <w:t>ם</w:t>
      </w:r>
      <w:r w:rsidR="00445125">
        <w:rPr>
          <w:rFonts w:hint="cs"/>
          <w:rtl/>
        </w:rPr>
        <w:t xml:space="preserve"> ת</w:t>
      </w:r>
      <w:r w:rsidR="009D4A52">
        <w:rPr>
          <w:rFonts w:hint="cs"/>
          <w:rtl/>
        </w:rPr>
        <w:t>קל עלינו את ה</w:t>
      </w:r>
      <w:r w:rsidR="007A766A">
        <w:rPr>
          <w:rFonts w:hint="cs"/>
          <w:rtl/>
        </w:rPr>
        <w:t xml:space="preserve">דרך </w:t>
      </w:r>
      <w:r w:rsidR="00025628">
        <w:rPr>
          <w:rFonts w:hint="cs"/>
          <w:rtl/>
        </w:rPr>
        <w:t>ל</w:t>
      </w:r>
      <w:r w:rsidR="001143BE">
        <w:rPr>
          <w:rFonts w:hint="cs"/>
          <w:rtl/>
        </w:rPr>
        <w:t xml:space="preserve">השגת </w:t>
      </w:r>
      <w:r w:rsidR="00F959B5">
        <w:rPr>
          <w:rFonts w:hint="cs"/>
          <w:rtl/>
        </w:rPr>
        <w:t>העילות הטבעיות.</w:t>
      </w:r>
      <w:r w:rsidR="006F66E2">
        <w:rPr>
          <w:rFonts w:hint="cs"/>
          <w:rtl/>
        </w:rPr>
        <w:t xml:space="preserve"> </w:t>
      </w:r>
      <w:r w:rsidR="0084695C">
        <w:rPr>
          <w:rFonts w:hint="cs"/>
          <w:rtl/>
        </w:rPr>
        <w:t xml:space="preserve"> </w:t>
      </w:r>
      <w:r w:rsidR="00BA44BC">
        <w:rPr>
          <w:rFonts w:hint="cs"/>
          <w:rtl/>
        </w:rPr>
        <w:t xml:space="preserve"> </w:t>
      </w:r>
    </w:p>
    <w:p w14:paraId="1C019A42" w14:textId="3155100A" w:rsidR="0028282C" w:rsidRDefault="00224352" w:rsidP="00CE388F">
      <w:pPr>
        <w:rPr>
          <w:rtl/>
          <w:lang w:val="he"/>
        </w:rPr>
      </w:pPr>
      <w:r>
        <w:rPr>
          <w:rFonts w:hint="cs"/>
          <w:rtl/>
          <w:lang w:val="he"/>
        </w:rPr>
        <w:t>1.10.2</w:t>
      </w:r>
    </w:p>
    <w:p w14:paraId="5D0FD6AE" w14:textId="77777777" w:rsidR="002B7CBE" w:rsidRDefault="00265696" w:rsidP="00726894">
      <w:pPr>
        <w:rPr>
          <w:rtl/>
          <w:lang w:val="he"/>
        </w:rPr>
      </w:pPr>
      <w:r>
        <w:rPr>
          <w:rFonts w:hint="cs"/>
          <w:rtl/>
          <w:lang w:val="he"/>
        </w:rPr>
        <w:t>[להוכיח</w:t>
      </w:r>
      <w:r w:rsidR="005465F1">
        <w:rPr>
          <w:rFonts w:hint="cs"/>
          <w:rtl/>
          <w:lang w:val="he"/>
        </w:rPr>
        <w:t xml:space="preserve"> </w:t>
      </w:r>
      <w:r w:rsidR="000F6D03">
        <w:rPr>
          <w:rFonts w:hint="cs"/>
          <w:rtl/>
          <w:lang w:val="he"/>
        </w:rPr>
        <w:t>ש</w:t>
      </w:r>
      <w:r w:rsidR="00DD5156">
        <w:rPr>
          <w:rFonts w:hint="cs"/>
          <w:rtl/>
          <w:lang w:val="he"/>
        </w:rPr>
        <w:t>]</w:t>
      </w:r>
      <w:r w:rsidR="005465F1">
        <w:rPr>
          <w:rFonts w:hint="cs"/>
          <w:rtl/>
          <w:lang w:val="he"/>
        </w:rPr>
        <w:t xml:space="preserve">אמנם לכל </w:t>
      </w:r>
      <w:r w:rsidR="0006222C">
        <w:rPr>
          <w:rFonts w:hint="cs"/>
          <w:rtl/>
          <w:lang w:val="he"/>
        </w:rPr>
        <w:t>מתהווה ונפסד</w:t>
      </w:r>
      <w:r w:rsidR="00E7462D">
        <w:rPr>
          <w:rFonts w:hint="cs"/>
          <w:rtl/>
          <w:lang w:val="he"/>
        </w:rPr>
        <w:t>,</w:t>
      </w:r>
      <w:r w:rsidR="0006222C">
        <w:rPr>
          <w:rFonts w:hint="cs"/>
          <w:rtl/>
          <w:lang w:val="he"/>
        </w:rPr>
        <w:t xml:space="preserve"> או לכל </w:t>
      </w:r>
      <w:r w:rsidR="00E7462D">
        <w:rPr>
          <w:rFonts w:hint="cs"/>
          <w:rtl/>
          <w:lang w:val="he"/>
        </w:rPr>
        <w:t>דבר ש</w:t>
      </w:r>
      <w:r w:rsidR="001139CB">
        <w:rPr>
          <w:rFonts w:hint="cs"/>
          <w:rtl/>
          <w:lang w:val="he"/>
        </w:rPr>
        <w:t>מתנועע</w:t>
      </w:r>
      <w:r w:rsidR="00E7462D">
        <w:rPr>
          <w:rFonts w:hint="cs"/>
          <w:rtl/>
          <w:lang w:val="he"/>
        </w:rPr>
        <w:t xml:space="preserve">, </w:t>
      </w:r>
      <w:r w:rsidR="00117886">
        <w:rPr>
          <w:rFonts w:hint="cs"/>
          <w:rtl/>
          <w:lang w:val="he"/>
        </w:rPr>
        <w:t xml:space="preserve">או לכל </w:t>
      </w:r>
      <w:r w:rsidR="007846A6">
        <w:rPr>
          <w:rFonts w:hint="cs"/>
          <w:rtl/>
          <w:lang w:val="he"/>
        </w:rPr>
        <w:t>דבר שמורכב מ</w:t>
      </w:r>
      <w:r w:rsidR="00841FFA">
        <w:rPr>
          <w:rFonts w:hint="cs"/>
          <w:rtl/>
          <w:lang w:val="he"/>
        </w:rPr>
        <w:t>חומר ו</w:t>
      </w:r>
      <w:r w:rsidR="007846A6">
        <w:rPr>
          <w:rFonts w:hint="cs"/>
          <w:rtl/>
          <w:lang w:val="he"/>
        </w:rPr>
        <w:t>צורה</w:t>
      </w:r>
      <w:r w:rsidR="0098122B">
        <w:rPr>
          <w:rFonts w:hint="cs"/>
          <w:rtl/>
          <w:lang w:val="he"/>
        </w:rPr>
        <w:t xml:space="preserve"> יש</w:t>
      </w:r>
      <w:r w:rsidR="00570341">
        <w:rPr>
          <w:rFonts w:hint="cs"/>
          <w:rtl/>
          <w:lang w:val="he"/>
        </w:rPr>
        <w:t xml:space="preserve"> עילה נמצאת</w:t>
      </w:r>
      <w:r w:rsidR="000872E1">
        <w:rPr>
          <w:rFonts w:hint="cs"/>
          <w:rtl/>
          <w:lang w:val="he"/>
        </w:rPr>
        <w:t xml:space="preserve"> והיא הארבע האלה ולא אחרות,</w:t>
      </w:r>
      <w:r w:rsidR="00694714">
        <w:rPr>
          <w:rFonts w:hint="cs"/>
          <w:rtl/>
          <w:lang w:val="he"/>
        </w:rPr>
        <w:t xml:space="preserve"> </w:t>
      </w:r>
      <w:r w:rsidR="00A47CD9">
        <w:rPr>
          <w:rFonts w:hint="cs"/>
          <w:rtl/>
          <w:lang w:val="he"/>
        </w:rPr>
        <w:t xml:space="preserve">דבר </w:t>
      </w:r>
      <w:r w:rsidR="00694714">
        <w:rPr>
          <w:rFonts w:hint="cs"/>
          <w:rtl/>
          <w:lang w:val="he"/>
        </w:rPr>
        <w:t xml:space="preserve">זה אינו </w:t>
      </w:r>
      <w:r w:rsidR="006D329D">
        <w:rPr>
          <w:rFonts w:hint="cs"/>
          <w:rtl/>
          <w:lang w:val="he"/>
        </w:rPr>
        <w:t>ב</w:t>
      </w:r>
      <w:r w:rsidR="00F554BD">
        <w:rPr>
          <w:rFonts w:hint="cs"/>
          <w:rtl/>
          <w:lang w:val="he"/>
        </w:rPr>
        <w:t>מקצוע</w:t>
      </w:r>
      <w:r w:rsidR="006D329D">
        <w:rPr>
          <w:rFonts w:hint="cs"/>
          <w:rtl/>
          <w:lang w:val="he"/>
        </w:rPr>
        <w:t>ו</w:t>
      </w:r>
      <w:r w:rsidR="00A47CD9">
        <w:rPr>
          <w:rFonts w:hint="cs"/>
          <w:rtl/>
          <w:lang w:val="he"/>
        </w:rPr>
        <w:t xml:space="preserve"> של חכם הטבע, </w:t>
      </w:r>
      <w:r w:rsidR="00B01EB6">
        <w:rPr>
          <w:rFonts w:hint="cs"/>
          <w:rtl/>
          <w:lang w:val="he"/>
        </w:rPr>
        <w:t xml:space="preserve">והוא </w:t>
      </w:r>
      <w:r w:rsidR="001A6657">
        <w:rPr>
          <w:rFonts w:hint="cs"/>
          <w:rtl/>
          <w:lang w:val="he"/>
        </w:rPr>
        <w:t>בתחומו של ה</w:t>
      </w:r>
      <w:r w:rsidR="00876C38">
        <w:rPr>
          <w:rFonts w:hint="cs"/>
          <w:rtl/>
          <w:lang w:val="he"/>
        </w:rPr>
        <w:t>חכם ה</w:t>
      </w:r>
      <w:r w:rsidR="00B01EB6">
        <w:rPr>
          <w:rFonts w:hint="cs"/>
          <w:rtl/>
          <w:lang w:val="he"/>
        </w:rPr>
        <w:t>אלוהי</w:t>
      </w:r>
      <w:r w:rsidR="00B01EB6">
        <w:rPr>
          <w:rStyle w:val="FootnoteReference"/>
          <w:rtl/>
          <w:lang w:val="he"/>
        </w:rPr>
        <w:footnoteReference w:id="664"/>
      </w:r>
      <w:r w:rsidR="00B01EB6">
        <w:rPr>
          <w:rFonts w:hint="cs"/>
          <w:rtl/>
          <w:lang w:val="he"/>
        </w:rPr>
        <w:t>.</w:t>
      </w:r>
      <w:r w:rsidR="00726894">
        <w:rPr>
          <w:rFonts w:hint="cs"/>
          <w:rtl/>
          <w:lang w:val="he"/>
        </w:rPr>
        <w:t xml:space="preserve"> </w:t>
      </w:r>
    </w:p>
    <w:p w14:paraId="6CD9679E" w14:textId="1629C78C" w:rsidR="001860F5" w:rsidRDefault="002B7CBE" w:rsidP="00BC60A2">
      <w:pPr>
        <w:rPr>
          <w:rtl/>
          <w:lang w:val="he"/>
        </w:rPr>
      </w:pPr>
      <w:r>
        <w:rPr>
          <w:rFonts w:hint="cs"/>
          <w:rtl/>
          <w:lang w:val="he"/>
        </w:rPr>
        <w:t>ואמנם החקירה</w:t>
      </w:r>
      <w:r w:rsidR="006071F0">
        <w:rPr>
          <w:rFonts w:hint="cs"/>
          <w:rtl/>
          <w:lang w:val="he"/>
        </w:rPr>
        <w:t xml:space="preserve"> במהויות</w:t>
      </w:r>
      <w:r w:rsidR="003941A5">
        <w:rPr>
          <w:rFonts w:hint="cs"/>
          <w:rtl/>
          <w:lang w:val="he"/>
        </w:rPr>
        <w:t xml:space="preserve">יהן </w:t>
      </w:r>
      <w:r w:rsidR="006848DC">
        <w:rPr>
          <w:rFonts w:hint="cs"/>
          <w:rtl/>
          <w:lang w:val="he"/>
        </w:rPr>
        <w:t>[</w:t>
      </w:r>
      <w:r w:rsidR="003941A5">
        <w:rPr>
          <w:rFonts w:hint="cs"/>
          <w:rtl/>
          <w:lang w:val="he"/>
        </w:rPr>
        <w:t>של העילות</w:t>
      </w:r>
      <w:r w:rsidR="006848DC">
        <w:rPr>
          <w:rFonts w:hint="cs"/>
          <w:rtl/>
          <w:lang w:val="he"/>
        </w:rPr>
        <w:t>]</w:t>
      </w:r>
      <w:r w:rsidR="006071F0">
        <w:rPr>
          <w:rFonts w:hint="cs"/>
          <w:rtl/>
          <w:lang w:val="he"/>
        </w:rPr>
        <w:t xml:space="preserve"> </w:t>
      </w:r>
      <w:r w:rsidR="00F44B4C">
        <w:rPr>
          <w:rFonts w:hint="cs"/>
          <w:rtl/>
          <w:lang w:val="he"/>
        </w:rPr>
        <w:t xml:space="preserve">וההדרכה </w:t>
      </w:r>
      <w:r w:rsidR="00DE08C1">
        <w:rPr>
          <w:rFonts w:hint="cs"/>
          <w:rtl/>
          <w:lang w:val="he"/>
        </w:rPr>
        <w:t xml:space="preserve">על </w:t>
      </w:r>
      <w:r w:rsidR="00426212">
        <w:rPr>
          <w:rFonts w:hint="cs"/>
          <w:rtl/>
          <w:lang w:val="he"/>
        </w:rPr>
        <w:t>יסודותיה</w:t>
      </w:r>
      <w:r w:rsidR="001102CA">
        <w:rPr>
          <w:rFonts w:hint="cs"/>
          <w:rtl/>
          <w:lang w:val="he"/>
        </w:rPr>
        <w:t>ן</w:t>
      </w:r>
      <w:r w:rsidR="00AD63B5">
        <w:rPr>
          <w:rFonts w:hint="cs"/>
          <w:rtl/>
          <w:lang w:val="he"/>
        </w:rPr>
        <w:t xml:space="preserve"> כ</w:t>
      </w:r>
      <w:r w:rsidR="00EE3548">
        <w:rPr>
          <w:rFonts w:hint="cs"/>
          <w:rtl/>
          <w:lang w:val="he"/>
        </w:rPr>
        <w:t>מושכלות ראשונים</w:t>
      </w:r>
      <w:r w:rsidR="00696DDD">
        <w:rPr>
          <w:rFonts w:hint="cs"/>
          <w:rtl/>
          <w:lang w:val="he"/>
        </w:rPr>
        <w:t xml:space="preserve">, </w:t>
      </w:r>
      <w:r w:rsidR="004D7D41">
        <w:rPr>
          <w:rFonts w:hint="cs"/>
          <w:rtl/>
          <w:lang w:val="he"/>
        </w:rPr>
        <w:t xml:space="preserve">הוא דבר שאי אפשר בלעדיו </w:t>
      </w:r>
      <w:r w:rsidR="00485FDA">
        <w:rPr>
          <w:rFonts w:hint="cs"/>
          <w:rtl/>
          <w:lang w:val="he"/>
        </w:rPr>
        <w:t>בחכמת הטבע</w:t>
      </w:r>
      <w:r w:rsidR="001102CA">
        <w:rPr>
          <w:rStyle w:val="FootnoteReference"/>
          <w:rtl/>
          <w:lang w:val="he"/>
        </w:rPr>
        <w:footnoteReference w:id="665"/>
      </w:r>
      <w:r w:rsidR="00485FDA">
        <w:rPr>
          <w:rFonts w:hint="cs"/>
          <w:rtl/>
          <w:lang w:val="he"/>
        </w:rPr>
        <w:t>.</w:t>
      </w:r>
    </w:p>
    <w:p w14:paraId="0156AE3A" w14:textId="77777777" w:rsidR="009D19C9" w:rsidRDefault="00A6103D" w:rsidP="00BC60A2">
      <w:pPr>
        <w:rPr>
          <w:rtl/>
          <w:lang w:val="he"/>
        </w:rPr>
      </w:pPr>
      <w:r>
        <w:rPr>
          <w:rFonts w:hint="cs"/>
          <w:rtl/>
          <w:lang w:val="he"/>
        </w:rPr>
        <w:t>ו</w:t>
      </w:r>
      <w:r w:rsidR="004E79B5">
        <w:rPr>
          <w:rFonts w:hint="cs"/>
          <w:rtl/>
          <w:lang w:val="he"/>
        </w:rPr>
        <w:t xml:space="preserve">בכן </w:t>
      </w:r>
      <w:r>
        <w:rPr>
          <w:rFonts w:hint="cs"/>
          <w:rtl/>
          <w:lang w:val="he"/>
        </w:rPr>
        <w:t>אנו אומרים</w:t>
      </w:r>
      <w:r w:rsidR="00EF7B40">
        <w:rPr>
          <w:rFonts w:hint="cs"/>
          <w:rtl/>
          <w:lang w:val="he"/>
        </w:rPr>
        <w:t xml:space="preserve"> שהסיבות העצמיות </w:t>
      </w:r>
      <w:r w:rsidR="001125A8">
        <w:rPr>
          <w:rFonts w:hint="cs"/>
          <w:rtl/>
          <w:lang w:val="he"/>
        </w:rPr>
        <w:t xml:space="preserve">של הדבר הטבעי הן </w:t>
      </w:r>
      <w:r w:rsidR="00F02B96">
        <w:rPr>
          <w:rFonts w:hint="cs"/>
          <w:rtl/>
          <w:lang w:val="he"/>
        </w:rPr>
        <w:t>ארבע: ה</w:t>
      </w:r>
      <w:r w:rsidR="006A572E" w:rsidRPr="006A572E">
        <w:rPr>
          <w:rtl/>
          <w:lang w:val="he"/>
        </w:rPr>
        <w:t>פּוֹעֵל</w:t>
      </w:r>
      <w:r w:rsidR="00F02B96">
        <w:rPr>
          <w:rFonts w:hint="cs"/>
          <w:rtl/>
          <w:lang w:val="he"/>
        </w:rPr>
        <w:t xml:space="preserve">, </w:t>
      </w:r>
      <w:r w:rsidR="006B6AEF">
        <w:rPr>
          <w:rFonts w:hint="cs"/>
          <w:rtl/>
          <w:lang w:val="he"/>
        </w:rPr>
        <w:t>החומר, הצורה, והתכלית</w:t>
      </w:r>
      <w:r w:rsidR="00F02B96">
        <w:rPr>
          <w:rFonts w:hint="cs"/>
          <w:rtl/>
          <w:lang w:val="he"/>
        </w:rPr>
        <w:t>.</w:t>
      </w:r>
    </w:p>
    <w:p w14:paraId="593CDEC1" w14:textId="039D05C2" w:rsidR="00C7557F" w:rsidRDefault="00BD6BFA" w:rsidP="00BC60A2">
      <w:pPr>
        <w:rPr>
          <w:rtl/>
          <w:lang w:val="he"/>
        </w:rPr>
      </w:pPr>
      <w:r>
        <w:rPr>
          <w:rFonts w:hint="cs"/>
          <w:rtl/>
          <w:lang w:val="he"/>
        </w:rPr>
        <w:t xml:space="preserve">בדברים הטבעיים </w:t>
      </w:r>
      <w:r w:rsidR="00804332">
        <w:rPr>
          <w:rFonts w:hint="cs"/>
          <w:rtl/>
          <w:lang w:val="he"/>
        </w:rPr>
        <w:t>ה</w:t>
      </w:r>
      <w:r w:rsidR="00804332" w:rsidRPr="00804332">
        <w:rPr>
          <w:rtl/>
          <w:lang w:val="he"/>
        </w:rPr>
        <w:t>פּוֹעֵל</w:t>
      </w:r>
      <w:r w:rsidR="0054649F">
        <w:rPr>
          <w:rFonts w:hint="cs"/>
          <w:rtl/>
          <w:lang w:val="he"/>
        </w:rPr>
        <w:t xml:space="preserve"> נאמר </w:t>
      </w:r>
      <w:r w:rsidR="00170B4F">
        <w:rPr>
          <w:rFonts w:hint="cs"/>
          <w:rtl/>
          <w:lang w:val="he"/>
        </w:rPr>
        <w:t>על ה</w:t>
      </w:r>
      <w:r w:rsidR="006729BB">
        <w:rPr>
          <w:rFonts w:hint="cs"/>
          <w:rtl/>
          <w:lang w:val="he"/>
        </w:rPr>
        <w:t>התחלה</w:t>
      </w:r>
      <w:r w:rsidR="00170B4F">
        <w:rPr>
          <w:rFonts w:hint="cs"/>
          <w:rtl/>
          <w:lang w:val="he"/>
        </w:rPr>
        <w:t xml:space="preserve"> של תנועת גוף אחר, </w:t>
      </w:r>
      <w:r w:rsidR="004E0256">
        <w:rPr>
          <w:rFonts w:hint="cs"/>
          <w:rtl/>
          <w:lang w:val="he"/>
        </w:rPr>
        <w:t>מצד</w:t>
      </w:r>
      <w:r w:rsidR="005D2FD8">
        <w:rPr>
          <w:rFonts w:hint="cs"/>
          <w:rtl/>
          <w:lang w:val="he"/>
        </w:rPr>
        <w:t xml:space="preserve"> </w:t>
      </w:r>
      <w:r w:rsidR="004E0256">
        <w:rPr>
          <w:rFonts w:hint="cs"/>
          <w:rtl/>
          <w:lang w:val="he"/>
        </w:rPr>
        <w:t>ש</w:t>
      </w:r>
      <w:r w:rsidR="005D2FD8">
        <w:rPr>
          <w:rFonts w:hint="cs"/>
          <w:rtl/>
          <w:lang w:val="he"/>
        </w:rPr>
        <w:t>הוא אחר</w:t>
      </w:r>
      <w:r w:rsidR="00B65EF3">
        <w:rPr>
          <w:rStyle w:val="FootnoteReference"/>
          <w:rtl/>
          <w:lang w:val="he"/>
        </w:rPr>
        <w:footnoteReference w:id="666"/>
      </w:r>
      <w:r w:rsidR="005D2FD8">
        <w:rPr>
          <w:rFonts w:hint="cs"/>
          <w:rtl/>
          <w:lang w:val="he"/>
        </w:rPr>
        <w:t xml:space="preserve">. </w:t>
      </w:r>
      <w:r w:rsidR="00765F16">
        <w:rPr>
          <w:rFonts w:hint="cs"/>
          <w:rtl/>
          <w:lang w:val="he"/>
        </w:rPr>
        <w:t xml:space="preserve">ב'תנועה' </w:t>
      </w:r>
      <w:r w:rsidR="001A4E45">
        <w:rPr>
          <w:rFonts w:hint="cs"/>
          <w:rtl/>
          <w:lang w:val="he"/>
        </w:rPr>
        <w:t>כוונתנו</w:t>
      </w:r>
      <w:r w:rsidR="00765F16">
        <w:rPr>
          <w:rFonts w:hint="cs"/>
          <w:rtl/>
          <w:lang w:val="he"/>
        </w:rPr>
        <w:t xml:space="preserve"> </w:t>
      </w:r>
      <w:r w:rsidR="00BD7E53">
        <w:rPr>
          <w:rFonts w:hint="cs"/>
          <w:rtl/>
          <w:lang w:val="he"/>
        </w:rPr>
        <w:t>כאן לכל מה ש</w:t>
      </w:r>
      <w:r w:rsidR="00161E90">
        <w:rPr>
          <w:rFonts w:hint="cs"/>
          <w:rtl/>
          <w:lang w:val="he"/>
        </w:rPr>
        <w:t>יוצא</w:t>
      </w:r>
      <w:r w:rsidR="00BD7E53">
        <w:rPr>
          <w:rFonts w:hint="cs"/>
          <w:rtl/>
          <w:lang w:val="he"/>
        </w:rPr>
        <w:t xml:space="preserve"> מ'בכח'</w:t>
      </w:r>
      <w:r w:rsidR="00765F16">
        <w:rPr>
          <w:rFonts w:hint="cs"/>
          <w:rtl/>
          <w:lang w:val="he"/>
        </w:rPr>
        <w:t xml:space="preserve"> </w:t>
      </w:r>
      <w:r w:rsidR="00AD2F8C">
        <w:rPr>
          <w:rFonts w:hint="cs"/>
          <w:rtl/>
          <w:lang w:val="he"/>
        </w:rPr>
        <w:t>ל</w:t>
      </w:r>
      <w:r w:rsidR="008E49AA">
        <w:rPr>
          <w:rFonts w:hint="cs"/>
          <w:rtl/>
          <w:lang w:val="he"/>
        </w:rPr>
        <w:t>'</w:t>
      </w:r>
      <w:r w:rsidR="00AD2F8C">
        <w:rPr>
          <w:rFonts w:hint="cs"/>
          <w:rtl/>
          <w:lang w:val="he"/>
        </w:rPr>
        <w:t>בפועל</w:t>
      </w:r>
      <w:r w:rsidR="008E49AA">
        <w:rPr>
          <w:rFonts w:hint="cs"/>
          <w:rtl/>
          <w:lang w:val="he"/>
        </w:rPr>
        <w:t>'</w:t>
      </w:r>
      <w:r w:rsidR="00AD2F8C">
        <w:rPr>
          <w:rFonts w:hint="cs"/>
          <w:rtl/>
          <w:lang w:val="he"/>
        </w:rPr>
        <w:t xml:space="preserve"> </w:t>
      </w:r>
      <w:r w:rsidR="00A97DEB" w:rsidRPr="00A97DEB">
        <w:rPr>
          <w:rtl/>
          <w:lang w:val="he"/>
        </w:rPr>
        <w:t>בְּ</w:t>
      </w:r>
      <w:r w:rsidR="00D84579">
        <w:rPr>
          <w:rFonts w:hint="cs"/>
          <w:rtl/>
          <w:lang w:val="he"/>
        </w:rPr>
        <w:t>חומר</w:t>
      </w:r>
      <w:r w:rsidR="00A67DEE">
        <w:rPr>
          <w:rStyle w:val="FootnoteReference"/>
          <w:rtl/>
          <w:lang w:val="he"/>
        </w:rPr>
        <w:footnoteReference w:id="667"/>
      </w:r>
      <w:r w:rsidR="00E50D71">
        <w:rPr>
          <w:rFonts w:hint="cs"/>
          <w:rtl/>
          <w:lang w:val="he"/>
        </w:rPr>
        <w:t>,</w:t>
      </w:r>
      <w:r w:rsidR="00CF0DF1">
        <w:rPr>
          <w:rFonts w:hint="cs"/>
          <w:rtl/>
          <w:lang w:val="he"/>
        </w:rPr>
        <w:t xml:space="preserve"> </w:t>
      </w:r>
      <w:r w:rsidR="00A876FE">
        <w:rPr>
          <w:rFonts w:hint="cs"/>
          <w:rtl/>
          <w:lang w:val="he"/>
        </w:rPr>
        <w:t>והתחלה זו</w:t>
      </w:r>
      <w:r w:rsidR="00E50D71">
        <w:rPr>
          <w:rFonts w:hint="cs"/>
          <w:rtl/>
          <w:lang w:val="he"/>
        </w:rPr>
        <w:t xml:space="preserve"> </w:t>
      </w:r>
      <w:r w:rsidR="001F1E2B">
        <w:rPr>
          <w:rFonts w:hint="cs"/>
          <w:rtl/>
          <w:lang w:val="he"/>
        </w:rPr>
        <w:t>היא</w:t>
      </w:r>
      <w:r w:rsidR="00207850">
        <w:rPr>
          <w:rFonts w:hint="cs"/>
          <w:rtl/>
          <w:lang w:val="he"/>
        </w:rPr>
        <w:t xml:space="preserve"> ש</w:t>
      </w:r>
      <w:r w:rsidR="00FE0D86">
        <w:rPr>
          <w:rFonts w:hint="cs"/>
          <w:rtl/>
          <w:lang w:val="he"/>
        </w:rPr>
        <w:t>ממנה</w:t>
      </w:r>
      <w:r w:rsidR="001F1E2B">
        <w:rPr>
          <w:rFonts w:hint="cs"/>
          <w:rtl/>
          <w:lang w:val="he"/>
        </w:rPr>
        <w:t xml:space="preserve"> סיבה</w:t>
      </w:r>
      <w:r w:rsidR="00FE0D86">
        <w:rPr>
          <w:rFonts w:hint="cs"/>
          <w:rtl/>
          <w:lang w:val="he"/>
        </w:rPr>
        <w:t xml:space="preserve"> </w:t>
      </w:r>
      <w:r w:rsidR="0085621A">
        <w:rPr>
          <w:rFonts w:hint="cs"/>
          <w:rtl/>
          <w:lang w:val="he"/>
        </w:rPr>
        <w:t>להנעת דבר אחר</w:t>
      </w:r>
      <w:r w:rsidR="00686AE6">
        <w:rPr>
          <w:rFonts w:hint="cs"/>
          <w:rtl/>
          <w:lang w:val="he"/>
        </w:rPr>
        <w:t xml:space="preserve"> ותנועתה מהכח אל ה</w:t>
      </w:r>
      <w:r w:rsidR="00CA2A4A">
        <w:rPr>
          <w:rFonts w:hint="cs"/>
          <w:rtl/>
          <w:lang w:val="he"/>
        </w:rPr>
        <w:t>פועל</w:t>
      </w:r>
      <w:r w:rsidR="003069AA">
        <w:rPr>
          <w:rStyle w:val="FootnoteReference"/>
          <w:rtl/>
          <w:lang w:val="he"/>
        </w:rPr>
        <w:footnoteReference w:id="668"/>
      </w:r>
      <w:r w:rsidR="0085621A">
        <w:rPr>
          <w:rFonts w:hint="cs"/>
          <w:rtl/>
          <w:lang w:val="he"/>
        </w:rPr>
        <w:t>.</w:t>
      </w:r>
    </w:p>
    <w:p w14:paraId="1C33D4FB" w14:textId="77777777" w:rsidR="00EA3B87" w:rsidRDefault="00C7557F" w:rsidP="00BC60A2">
      <w:pPr>
        <w:rPr>
          <w:rtl/>
          <w:lang w:val="he"/>
        </w:rPr>
      </w:pPr>
      <w:r>
        <w:rPr>
          <w:rFonts w:hint="cs"/>
          <w:rtl/>
          <w:lang w:val="he"/>
        </w:rPr>
        <w:t>והרופא גם כן</w:t>
      </w:r>
      <w:r w:rsidR="00CC0E67">
        <w:rPr>
          <w:rFonts w:hint="cs"/>
          <w:rtl/>
          <w:lang w:val="he"/>
        </w:rPr>
        <w:t xml:space="preserve">, </w:t>
      </w:r>
      <w:r w:rsidR="00D32F6B">
        <w:rPr>
          <w:rFonts w:hint="cs"/>
          <w:rtl/>
          <w:lang w:val="he"/>
        </w:rPr>
        <w:t xml:space="preserve">כשהוא מרפא את עצמו, </w:t>
      </w:r>
      <w:r w:rsidR="00851F3C">
        <w:rPr>
          <w:rFonts w:hint="cs"/>
          <w:rtl/>
          <w:lang w:val="he"/>
        </w:rPr>
        <w:t xml:space="preserve">זו התחלת תנועה </w:t>
      </w:r>
      <w:r w:rsidR="00DC65CC">
        <w:rPr>
          <w:rFonts w:hint="cs"/>
          <w:rtl/>
          <w:lang w:val="he"/>
        </w:rPr>
        <w:t>באחר</w:t>
      </w:r>
      <w:r w:rsidR="00AF169B">
        <w:rPr>
          <w:rFonts w:hint="cs"/>
          <w:rtl/>
          <w:lang w:val="he"/>
        </w:rPr>
        <w:t xml:space="preserve"> באשר הוא אחר</w:t>
      </w:r>
      <w:r w:rsidR="00C272CC">
        <w:rPr>
          <w:rFonts w:hint="cs"/>
          <w:rtl/>
          <w:lang w:val="he"/>
        </w:rPr>
        <w:t xml:space="preserve">, </w:t>
      </w:r>
      <w:r w:rsidR="00A33D69">
        <w:rPr>
          <w:rFonts w:hint="cs"/>
          <w:rtl/>
          <w:lang w:val="he"/>
        </w:rPr>
        <w:t xml:space="preserve">כי </w:t>
      </w:r>
      <w:r w:rsidR="00045AA3">
        <w:rPr>
          <w:rFonts w:hint="cs"/>
          <w:rtl/>
          <w:lang w:val="he"/>
        </w:rPr>
        <w:t>הוא מניע</w:t>
      </w:r>
      <w:r w:rsidR="00045AA3">
        <w:rPr>
          <w:rStyle w:val="FootnoteReference"/>
          <w:rtl/>
          <w:lang w:val="he"/>
        </w:rPr>
        <w:footnoteReference w:id="669"/>
      </w:r>
      <w:r w:rsidR="00045AA3">
        <w:rPr>
          <w:rFonts w:hint="cs"/>
          <w:rtl/>
          <w:lang w:val="he"/>
        </w:rPr>
        <w:t xml:space="preserve"> את החולה,</w:t>
      </w:r>
      <w:r w:rsidR="000F6F8C">
        <w:rPr>
          <w:rFonts w:hint="cs"/>
          <w:rtl/>
          <w:lang w:val="he"/>
        </w:rPr>
        <w:t xml:space="preserve"> והחולה </w:t>
      </w:r>
      <w:r w:rsidR="00FA713D">
        <w:rPr>
          <w:rFonts w:hint="cs"/>
          <w:rtl/>
          <w:lang w:val="he"/>
        </w:rPr>
        <w:t>אינו הרופא מ</w:t>
      </w:r>
      <w:r w:rsidR="00D920A3">
        <w:rPr>
          <w:rFonts w:hint="cs"/>
          <w:rtl/>
          <w:lang w:val="he"/>
        </w:rPr>
        <w:t>ה</w:t>
      </w:r>
      <w:r w:rsidR="00FA713D">
        <w:rPr>
          <w:rFonts w:hint="cs"/>
          <w:rtl/>
          <w:lang w:val="he"/>
        </w:rPr>
        <w:t xml:space="preserve">צד שהוא חולה, </w:t>
      </w:r>
      <w:r w:rsidR="0093628A">
        <w:rPr>
          <w:rFonts w:hint="cs"/>
          <w:rtl/>
          <w:lang w:val="he"/>
        </w:rPr>
        <w:t>א</w:t>
      </w:r>
      <w:r w:rsidR="00D13B89">
        <w:rPr>
          <w:rFonts w:hint="cs"/>
          <w:rtl/>
          <w:lang w:val="he"/>
        </w:rPr>
        <w:t>לא</w:t>
      </w:r>
      <w:r w:rsidR="0093628A">
        <w:rPr>
          <w:rFonts w:hint="cs"/>
          <w:rtl/>
          <w:lang w:val="he"/>
        </w:rPr>
        <w:t xml:space="preserve"> </w:t>
      </w:r>
      <w:r w:rsidR="005D326B">
        <w:rPr>
          <w:rFonts w:hint="cs"/>
          <w:rtl/>
          <w:lang w:val="he"/>
        </w:rPr>
        <w:t>ה</w:t>
      </w:r>
      <w:r w:rsidR="00C20F2A">
        <w:rPr>
          <w:rFonts w:hint="cs"/>
          <w:rtl/>
          <w:lang w:val="he"/>
        </w:rPr>
        <w:t>רופא</w:t>
      </w:r>
      <w:r w:rsidR="005D326B">
        <w:rPr>
          <w:rFonts w:hint="cs"/>
          <w:rtl/>
          <w:lang w:val="he"/>
        </w:rPr>
        <w:t xml:space="preserve"> </w:t>
      </w:r>
      <w:r w:rsidR="002D476A">
        <w:rPr>
          <w:rFonts w:hint="cs"/>
          <w:rtl/>
          <w:lang w:val="he"/>
        </w:rPr>
        <w:t>מ</w:t>
      </w:r>
      <w:r w:rsidR="0093628A">
        <w:rPr>
          <w:rFonts w:hint="cs"/>
          <w:rtl/>
          <w:lang w:val="he"/>
        </w:rPr>
        <w:t>רפא מהצד שהוא הוא</w:t>
      </w:r>
      <w:r w:rsidR="002D476A">
        <w:rPr>
          <w:rFonts w:hint="cs"/>
          <w:rtl/>
          <w:lang w:val="he"/>
        </w:rPr>
        <w:t xml:space="preserve">, </w:t>
      </w:r>
      <w:r w:rsidR="00D877DB">
        <w:rPr>
          <w:rFonts w:hint="cs"/>
          <w:rtl/>
          <w:lang w:val="he"/>
        </w:rPr>
        <w:t>כוונת</w:t>
      </w:r>
      <w:r w:rsidR="002D476A">
        <w:rPr>
          <w:rFonts w:hint="cs"/>
          <w:rtl/>
          <w:lang w:val="he"/>
        </w:rPr>
        <w:t>י לומר מצד שהוא רופא</w:t>
      </w:r>
      <w:r w:rsidR="0067704B">
        <w:rPr>
          <w:rFonts w:hint="cs"/>
          <w:rtl/>
          <w:lang w:val="he"/>
        </w:rPr>
        <w:t>.</w:t>
      </w:r>
      <w:r w:rsidR="00EC3692">
        <w:rPr>
          <w:rFonts w:hint="cs"/>
          <w:rtl/>
          <w:lang w:val="he"/>
        </w:rPr>
        <w:t xml:space="preserve"> </w:t>
      </w:r>
      <w:r w:rsidR="00B5492E">
        <w:rPr>
          <w:rFonts w:hint="cs"/>
          <w:rtl/>
          <w:lang w:val="he"/>
        </w:rPr>
        <w:t xml:space="preserve">אמנם </w:t>
      </w:r>
      <w:r w:rsidR="00FC22EF">
        <w:rPr>
          <w:rFonts w:hint="cs"/>
          <w:rtl/>
          <w:lang w:val="he"/>
        </w:rPr>
        <w:t>הר</w:t>
      </w:r>
      <w:r w:rsidR="00040898">
        <w:rPr>
          <w:rFonts w:hint="cs"/>
          <w:rtl/>
          <w:lang w:val="he"/>
        </w:rPr>
        <w:t>יפוי</w:t>
      </w:r>
      <w:r w:rsidR="00FC22EF">
        <w:rPr>
          <w:rFonts w:hint="cs"/>
          <w:rtl/>
          <w:lang w:val="he"/>
        </w:rPr>
        <w:t xml:space="preserve"> וקבלת ה</w:t>
      </w:r>
      <w:r w:rsidR="00B00366">
        <w:rPr>
          <w:rFonts w:hint="cs"/>
          <w:rtl/>
          <w:lang w:val="he"/>
        </w:rPr>
        <w:t xml:space="preserve">תרופה </w:t>
      </w:r>
      <w:r w:rsidR="007D126A">
        <w:rPr>
          <w:rFonts w:hint="cs"/>
          <w:rtl/>
          <w:lang w:val="he"/>
        </w:rPr>
        <w:t xml:space="preserve">מניעים את הריפוי </w:t>
      </w:r>
      <w:r w:rsidR="00140177">
        <w:rPr>
          <w:rFonts w:hint="cs"/>
          <w:rtl/>
          <w:lang w:val="he"/>
        </w:rPr>
        <w:t xml:space="preserve">לא מצד שהוא רופא </w:t>
      </w:r>
      <w:r w:rsidR="001277A1">
        <w:rPr>
          <w:rFonts w:hint="cs"/>
          <w:rtl/>
          <w:lang w:val="he"/>
        </w:rPr>
        <w:t>אלא מצד שהוא חולה.</w:t>
      </w:r>
    </w:p>
    <w:p w14:paraId="694C8E41" w14:textId="77777777" w:rsidR="00E70CF9" w:rsidRDefault="00E70CF9" w:rsidP="00A04B5F">
      <w:pPr>
        <w:pStyle w:val="Heading4"/>
        <w:rPr>
          <w:rtl/>
          <w:lang w:val="he"/>
        </w:rPr>
      </w:pPr>
      <w:bookmarkStart w:id="299" w:name="_Toc119092694"/>
      <w:r>
        <w:rPr>
          <w:rFonts w:hint="cs"/>
          <w:rtl/>
          <w:lang w:val="he"/>
        </w:rPr>
        <w:t>1.10.3</w:t>
      </w:r>
      <w:bookmarkEnd w:id="299"/>
    </w:p>
    <w:p w14:paraId="4DDE414A" w14:textId="06BF7F61" w:rsidR="00A70D88" w:rsidRDefault="00E70CF9" w:rsidP="00187495">
      <w:pPr>
        <w:rPr>
          <w:rtl/>
        </w:rPr>
      </w:pPr>
      <w:r>
        <w:rPr>
          <w:rFonts w:hint="cs"/>
          <w:rtl/>
          <w:lang w:val="he"/>
        </w:rPr>
        <w:t>ההתחלה</w:t>
      </w:r>
      <w:r w:rsidR="003E1F15">
        <w:rPr>
          <w:rStyle w:val="FootnoteReference"/>
          <w:rtl/>
          <w:lang w:val="he"/>
        </w:rPr>
        <w:footnoteReference w:id="670"/>
      </w:r>
      <w:r>
        <w:rPr>
          <w:rFonts w:hint="cs"/>
          <w:rtl/>
          <w:lang w:val="he"/>
        </w:rPr>
        <w:t xml:space="preserve"> </w:t>
      </w:r>
      <w:r w:rsidR="00DF66C5">
        <w:rPr>
          <w:rFonts w:hint="cs"/>
          <w:rtl/>
          <w:lang w:val="he"/>
        </w:rPr>
        <w:t>של תנועה</w:t>
      </w:r>
      <w:r w:rsidR="00A04B5F">
        <w:rPr>
          <w:rFonts w:hint="cs"/>
          <w:rtl/>
          <w:lang w:val="he"/>
        </w:rPr>
        <w:t xml:space="preserve"> </w:t>
      </w:r>
      <w:r w:rsidR="00DA35E7">
        <w:rPr>
          <w:rFonts w:hint="cs"/>
          <w:rtl/>
        </w:rPr>
        <w:t xml:space="preserve">היא גם </w:t>
      </w:r>
      <w:r w:rsidR="00C27800">
        <w:rPr>
          <w:rFonts w:hint="cs"/>
          <w:rtl/>
        </w:rPr>
        <w:t>מבחינת ה</w:t>
      </w:r>
      <w:r w:rsidR="00DA35E7">
        <w:rPr>
          <w:rFonts w:hint="cs"/>
          <w:rtl/>
        </w:rPr>
        <w:t xml:space="preserve">הכנה וגם </w:t>
      </w:r>
      <w:r w:rsidR="00C27800">
        <w:rPr>
          <w:rFonts w:hint="cs"/>
          <w:rtl/>
        </w:rPr>
        <w:t>מבחינת ה</w:t>
      </w:r>
      <w:r w:rsidR="00DA35E7">
        <w:rPr>
          <w:rFonts w:hint="cs"/>
          <w:rtl/>
        </w:rPr>
        <w:t>השלמה</w:t>
      </w:r>
      <w:r w:rsidR="00FB736C">
        <w:rPr>
          <w:rFonts w:hint="cs"/>
          <w:rtl/>
        </w:rPr>
        <w:t>.</w:t>
      </w:r>
      <w:r w:rsidR="00EA03AA">
        <w:rPr>
          <w:rFonts w:hint="cs"/>
          <w:rtl/>
        </w:rPr>
        <w:t xml:space="preserve"> ההכנה היא </w:t>
      </w:r>
      <w:r w:rsidR="00F521B7">
        <w:rPr>
          <w:rFonts w:hint="cs"/>
          <w:rtl/>
        </w:rPr>
        <w:t>מה שעושה את החומר מוכן</w:t>
      </w:r>
      <w:r w:rsidR="00AC0B81">
        <w:rPr>
          <w:rFonts w:hint="cs"/>
          <w:rtl/>
        </w:rPr>
        <w:t xml:space="preserve">, </w:t>
      </w:r>
      <w:r w:rsidR="008F0089">
        <w:rPr>
          <w:rFonts w:hint="cs"/>
          <w:rtl/>
        </w:rPr>
        <w:t xml:space="preserve">כמו </w:t>
      </w:r>
      <w:r w:rsidR="00865389">
        <w:rPr>
          <w:rFonts w:hint="cs"/>
          <w:rtl/>
        </w:rPr>
        <w:t xml:space="preserve">מה שמניע את הזרע בזמן </w:t>
      </w:r>
      <w:r w:rsidR="00A10C81">
        <w:rPr>
          <w:rFonts w:hint="cs"/>
          <w:rtl/>
        </w:rPr>
        <w:t>התנועה אל הבטן</w:t>
      </w:r>
      <w:r w:rsidR="00187495">
        <w:rPr>
          <w:rStyle w:val="FootnoteReference"/>
          <w:rtl/>
        </w:rPr>
        <w:footnoteReference w:id="671"/>
      </w:r>
      <w:r w:rsidR="00711A6F">
        <w:rPr>
          <w:rFonts w:hint="cs"/>
          <w:rtl/>
        </w:rPr>
        <w:t>,</w:t>
      </w:r>
      <w:r w:rsidR="00734FF7">
        <w:rPr>
          <w:rFonts w:hint="cs"/>
          <w:rtl/>
        </w:rPr>
        <w:t xml:space="preserve"> </w:t>
      </w:r>
      <w:r w:rsidR="00734FF7" w:rsidRPr="00734FF7">
        <w:rPr>
          <w:rtl/>
        </w:rPr>
        <w:t>וההשלמה היא מה שנותן את הצורה</w:t>
      </w:r>
      <w:r w:rsidR="00187495">
        <w:rPr>
          <w:rFonts w:hint="cs"/>
          <w:rtl/>
        </w:rPr>
        <w:t xml:space="preserve">. </w:t>
      </w:r>
      <w:r w:rsidR="00FF1A35">
        <w:rPr>
          <w:rFonts w:hint="cs"/>
          <w:rtl/>
        </w:rPr>
        <w:t>ונראה ש</w:t>
      </w:r>
      <w:r w:rsidR="003B7DB0">
        <w:rPr>
          <w:rFonts w:hint="cs"/>
          <w:rtl/>
        </w:rPr>
        <w:t xml:space="preserve">הדבר שהוא זה </w:t>
      </w:r>
      <w:r w:rsidR="00FF1A35">
        <w:rPr>
          <w:rFonts w:hint="cs"/>
          <w:rtl/>
        </w:rPr>
        <w:t xml:space="preserve">שנותן את הצורה </w:t>
      </w:r>
      <w:r w:rsidR="005F294E">
        <w:rPr>
          <w:rFonts w:hint="cs"/>
          <w:rtl/>
        </w:rPr>
        <w:t xml:space="preserve">המקיימת את המינים </w:t>
      </w:r>
      <w:r w:rsidR="0029379F">
        <w:rPr>
          <w:rFonts w:hint="cs"/>
          <w:rtl/>
        </w:rPr>
        <w:t>הטבעיים הוא מחוץ לטבע</w:t>
      </w:r>
      <w:r w:rsidR="003F7B6A">
        <w:rPr>
          <w:rFonts w:hint="cs"/>
          <w:rtl/>
        </w:rPr>
        <w:t xml:space="preserve">, ואין על חכם הטבע </w:t>
      </w:r>
      <w:r w:rsidR="00A54098">
        <w:rPr>
          <w:rFonts w:hint="cs"/>
          <w:rtl/>
        </w:rPr>
        <w:t xml:space="preserve">לחקור </w:t>
      </w:r>
      <w:r w:rsidR="00567743">
        <w:rPr>
          <w:rFonts w:hint="cs"/>
          <w:rtl/>
        </w:rPr>
        <w:t>זאת</w:t>
      </w:r>
      <w:r w:rsidR="00371779">
        <w:rPr>
          <w:rFonts w:hint="cs"/>
          <w:rtl/>
        </w:rPr>
        <w:t xml:space="preserve">, </w:t>
      </w:r>
      <w:r w:rsidR="00AA412C">
        <w:rPr>
          <w:rFonts w:hint="cs"/>
          <w:rtl/>
        </w:rPr>
        <w:t>מעבר ל</w:t>
      </w:r>
      <w:r w:rsidR="001D6877">
        <w:rPr>
          <w:rFonts w:hint="cs"/>
          <w:rtl/>
        </w:rPr>
        <w:t xml:space="preserve">היות הדבר </w:t>
      </w:r>
      <w:r w:rsidR="008122C5">
        <w:rPr>
          <w:rFonts w:hint="cs"/>
          <w:rtl/>
        </w:rPr>
        <w:t>כך</w:t>
      </w:r>
      <w:r w:rsidR="00D30EFB">
        <w:rPr>
          <w:rFonts w:hint="cs"/>
          <w:rtl/>
        </w:rPr>
        <w:t xml:space="preserve"> </w:t>
      </w:r>
      <w:r w:rsidR="00257BD0">
        <w:rPr>
          <w:rFonts w:hint="cs"/>
          <w:rtl/>
        </w:rPr>
        <w:t>שיש מכין</w:t>
      </w:r>
      <w:r w:rsidR="00F25A76">
        <w:rPr>
          <w:rFonts w:hint="cs"/>
          <w:rtl/>
        </w:rPr>
        <w:t xml:space="preserve"> </w:t>
      </w:r>
      <w:r w:rsidR="00D916C3">
        <w:rPr>
          <w:rFonts w:hint="cs"/>
          <w:rtl/>
        </w:rPr>
        <w:t>ו</w:t>
      </w:r>
      <w:r w:rsidR="00257BD0">
        <w:rPr>
          <w:rFonts w:hint="cs"/>
          <w:rtl/>
        </w:rPr>
        <w:t>יש נותן הצורה</w:t>
      </w:r>
      <w:r w:rsidR="003745A1">
        <w:rPr>
          <w:rStyle w:val="FootnoteReference"/>
          <w:rtl/>
        </w:rPr>
        <w:footnoteReference w:id="672"/>
      </w:r>
      <w:r w:rsidR="00257BD0">
        <w:rPr>
          <w:rFonts w:hint="cs"/>
          <w:rtl/>
        </w:rPr>
        <w:t>.</w:t>
      </w:r>
    </w:p>
    <w:p w14:paraId="08AB9B18" w14:textId="6F457D79" w:rsidR="00630E00" w:rsidRDefault="00630E00" w:rsidP="00187495">
      <w:pPr>
        <w:rPr>
          <w:rtl/>
        </w:rPr>
      </w:pPr>
      <w:r>
        <w:rPr>
          <w:rFonts w:hint="cs"/>
          <w:rtl/>
        </w:rPr>
        <w:t xml:space="preserve">ואין ספק </w:t>
      </w:r>
      <w:r w:rsidR="000967D6">
        <w:rPr>
          <w:rFonts w:hint="cs"/>
          <w:rtl/>
        </w:rPr>
        <w:t xml:space="preserve">שההכנה היא התחלת תנועה, </w:t>
      </w:r>
      <w:r w:rsidR="002E4706">
        <w:rPr>
          <w:rFonts w:hint="cs"/>
          <w:rtl/>
        </w:rPr>
        <w:t xml:space="preserve">וההשלמה </w:t>
      </w:r>
      <w:r w:rsidR="00D95A8F">
        <w:rPr>
          <w:rFonts w:hint="cs"/>
          <w:rtl/>
        </w:rPr>
        <w:t xml:space="preserve">גם היא </w:t>
      </w:r>
      <w:r w:rsidR="00E31CFD">
        <w:rPr>
          <w:rFonts w:hint="cs"/>
          <w:rtl/>
        </w:rPr>
        <w:t xml:space="preserve">התחלת תנועה, </w:t>
      </w:r>
      <w:r w:rsidR="00987E81">
        <w:rPr>
          <w:rFonts w:hint="cs"/>
          <w:rtl/>
        </w:rPr>
        <w:t xml:space="preserve">כי היא המוציאה </w:t>
      </w:r>
      <w:r w:rsidR="005F10B5">
        <w:rPr>
          <w:rFonts w:hint="cs"/>
          <w:rtl/>
        </w:rPr>
        <w:t>באמת מהכח אל הפועל</w:t>
      </w:r>
      <w:r w:rsidR="006F7F9E">
        <w:rPr>
          <w:rStyle w:val="FootnoteReference"/>
          <w:rtl/>
        </w:rPr>
        <w:footnoteReference w:id="673"/>
      </w:r>
      <w:r w:rsidR="005F10B5">
        <w:rPr>
          <w:rFonts w:hint="cs"/>
          <w:rtl/>
        </w:rPr>
        <w:t>.</w:t>
      </w:r>
    </w:p>
    <w:p w14:paraId="014F40C4" w14:textId="30848071" w:rsidR="00A8537F" w:rsidRDefault="00F345E5" w:rsidP="00B71EC2">
      <w:pPr>
        <w:pStyle w:val="Heading4"/>
        <w:rPr>
          <w:rtl/>
        </w:rPr>
      </w:pPr>
      <w:bookmarkStart w:id="300" w:name="_Toc119092695"/>
      <w:r>
        <w:rPr>
          <w:rFonts w:hint="cs"/>
          <w:rtl/>
        </w:rPr>
        <w:t>1.10.4</w:t>
      </w:r>
      <w:bookmarkEnd w:id="300"/>
    </w:p>
    <w:p w14:paraId="215E2887" w14:textId="534F2850" w:rsidR="00FC4CC5" w:rsidRDefault="00B21EB4" w:rsidP="00187495">
      <w:pPr>
        <w:rPr>
          <w:rtl/>
        </w:rPr>
      </w:pPr>
      <w:r>
        <w:rPr>
          <w:rFonts w:hint="cs"/>
          <w:rtl/>
        </w:rPr>
        <w:t>ה</w:t>
      </w:r>
      <w:r w:rsidR="00FE5C21">
        <w:rPr>
          <w:rFonts w:hint="cs"/>
          <w:rtl/>
        </w:rPr>
        <w:t>עוזר</w:t>
      </w:r>
      <w:r>
        <w:rPr>
          <w:rFonts w:hint="cs"/>
          <w:rtl/>
        </w:rPr>
        <w:t xml:space="preserve"> </w:t>
      </w:r>
      <w:r w:rsidR="00855D09">
        <w:rPr>
          <w:rFonts w:hint="cs"/>
          <w:rtl/>
        </w:rPr>
        <w:t>והמ</w:t>
      </w:r>
      <w:r w:rsidR="00352A30">
        <w:rPr>
          <w:rFonts w:hint="cs"/>
          <w:rtl/>
        </w:rPr>
        <w:t>דרי</w:t>
      </w:r>
      <w:r w:rsidR="0002120E">
        <w:rPr>
          <w:rFonts w:hint="cs"/>
          <w:rtl/>
        </w:rPr>
        <w:t>ך</w:t>
      </w:r>
      <w:r w:rsidR="00855D09">
        <w:rPr>
          <w:rFonts w:hint="cs"/>
          <w:rtl/>
        </w:rPr>
        <w:t xml:space="preserve"> אפשר</w:t>
      </w:r>
      <w:r w:rsidR="00B83A2B">
        <w:rPr>
          <w:rFonts w:hint="cs"/>
          <w:rtl/>
        </w:rPr>
        <w:t xml:space="preserve"> גם כן</w:t>
      </w:r>
      <w:r w:rsidR="00855D09">
        <w:rPr>
          <w:rFonts w:hint="cs"/>
          <w:rtl/>
        </w:rPr>
        <w:t xml:space="preserve"> שיהיו נמנים עם התחלות התנועה. </w:t>
      </w:r>
      <w:r w:rsidR="00882246">
        <w:rPr>
          <w:rFonts w:hint="cs"/>
          <w:rtl/>
        </w:rPr>
        <w:t xml:space="preserve">אמנם </w:t>
      </w:r>
      <w:r w:rsidR="00B71EC2">
        <w:rPr>
          <w:rFonts w:hint="cs"/>
          <w:rtl/>
        </w:rPr>
        <w:t>ה</w:t>
      </w:r>
      <w:r w:rsidR="00FE5C21">
        <w:rPr>
          <w:rFonts w:hint="cs"/>
          <w:rtl/>
        </w:rPr>
        <w:t>עוזר</w:t>
      </w:r>
      <w:r w:rsidR="00B71EC2">
        <w:rPr>
          <w:rFonts w:hint="cs"/>
          <w:rtl/>
        </w:rPr>
        <w:t xml:space="preserve"> </w:t>
      </w:r>
      <w:r w:rsidR="006C4DDD">
        <w:rPr>
          <w:rFonts w:hint="cs"/>
          <w:rtl/>
        </w:rPr>
        <w:t>אפשר לראותו</w:t>
      </w:r>
      <w:r w:rsidR="0080612C">
        <w:rPr>
          <w:rFonts w:hint="cs"/>
          <w:rtl/>
        </w:rPr>
        <w:t xml:space="preserve"> כמו חלק מהתחלת התנועה</w:t>
      </w:r>
      <w:r w:rsidR="002A2F12">
        <w:rPr>
          <w:rFonts w:hint="cs"/>
          <w:rtl/>
        </w:rPr>
        <w:t xml:space="preserve">, </w:t>
      </w:r>
      <w:r w:rsidR="0078161F">
        <w:rPr>
          <w:rFonts w:hint="cs"/>
          <w:rtl/>
        </w:rPr>
        <w:t xml:space="preserve">כשהתחלת התנועה </w:t>
      </w:r>
      <w:r w:rsidR="00720D72">
        <w:rPr>
          <w:rFonts w:hint="cs"/>
          <w:rtl/>
        </w:rPr>
        <w:t>היא סך</w:t>
      </w:r>
      <w:r w:rsidR="00A74CD7">
        <w:rPr>
          <w:rFonts w:hint="cs"/>
          <w:rtl/>
        </w:rPr>
        <w:t xml:space="preserve"> החיבור של</w:t>
      </w:r>
      <w:r w:rsidR="00720D72">
        <w:rPr>
          <w:rFonts w:hint="cs"/>
          <w:rtl/>
        </w:rPr>
        <w:t xml:space="preserve"> ה</w:t>
      </w:r>
      <w:r w:rsidR="00927137">
        <w:rPr>
          <w:rFonts w:hint="cs"/>
          <w:rtl/>
        </w:rPr>
        <w:t>התעוררות הראשונה</w:t>
      </w:r>
      <w:r w:rsidR="006D16D0">
        <w:rPr>
          <w:rStyle w:val="FootnoteReference"/>
          <w:rtl/>
        </w:rPr>
        <w:footnoteReference w:id="674"/>
      </w:r>
      <w:r w:rsidR="00720D72">
        <w:rPr>
          <w:rFonts w:hint="cs"/>
          <w:rtl/>
        </w:rPr>
        <w:t xml:space="preserve"> וה</w:t>
      </w:r>
      <w:r w:rsidR="0096727A">
        <w:rPr>
          <w:rFonts w:hint="cs"/>
          <w:rtl/>
        </w:rPr>
        <w:t>עוזר</w:t>
      </w:r>
      <w:r w:rsidR="00720D72">
        <w:rPr>
          <w:rFonts w:hint="cs"/>
          <w:rtl/>
        </w:rPr>
        <w:t xml:space="preserve">. </w:t>
      </w:r>
      <w:r w:rsidR="00BB04A0">
        <w:rPr>
          <w:rFonts w:hint="cs"/>
          <w:rtl/>
        </w:rPr>
        <w:t>אלא שהח</w:t>
      </w:r>
      <w:r w:rsidR="006B12CE">
        <w:rPr>
          <w:rFonts w:hint="cs"/>
          <w:rtl/>
        </w:rPr>
        <w:t>י</w:t>
      </w:r>
      <w:r w:rsidR="00BB04A0">
        <w:rPr>
          <w:rFonts w:hint="cs"/>
          <w:rtl/>
        </w:rPr>
        <w:t>לוק</w:t>
      </w:r>
      <w:r w:rsidR="00D51F49">
        <w:rPr>
          <w:rFonts w:hint="cs"/>
          <w:rtl/>
        </w:rPr>
        <w:t xml:space="preserve"> </w:t>
      </w:r>
      <w:r w:rsidR="00BA5EF7">
        <w:rPr>
          <w:rFonts w:hint="cs"/>
          <w:rtl/>
        </w:rPr>
        <w:t>בין ה</w:t>
      </w:r>
      <w:r w:rsidR="0096727A">
        <w:rPr>
          <w:rFonts w:hint="cs"/>
          <w:rtl/>
        </w:rPr>
        <w:t>עוזר</w:t>
      </w:r>
      <w:r w:rsidR="00BA5EF7">
        <w:rPr>
          <w:rFonts w:hint="cs"/>
          <w:rtl/>
        </w:rPr>
        <w:t xml:space="preserve"> וה</w:t>
      </w:r>
      <w:r w:rsidR="00CE605B">
        <w:rPr>
          <w:rFonts w:hint="cs"/>
          <w:rtl/>
        </w:rPr>
        <w:t>התעוררות הראשונה</w:t>
      </w:r>
      <w:r w:rsidR="00BA5EF7">
        <w:rPr>
          <w:rFonts w:hint="cs"/>
          <w:rtl/>
        </w:rPr>
        <w:t xml:space="preserve"> </w:t>
      </w:r>
      <w:r w:rsidR="00956B84">
        <w:rPr>
          <w:rFonts w:hint="cs"/>
          <w:rtl/>
        </w:rPr>
        <w:t>היא שה</w:t>
      </w:r>
      <w:r w:rsidR="001B34DD">
        <w:rPr>
          <w:rFonts w:hint="cs"/>
          <w:rtl/>
        </w:rPr>
        <w:t>התעוררות הראשונה</w:t>
      </w:r>
      <w:r w:rsidR="00956B84">
        <w:rPr>
          <w:rFonts w:hint="cs"/>
          <w:rtl/>
        </w:rPr>
        <w:t xml:space="preserve"> </w:t>
      </w:r>
      <w:r w:rsidR="00931776">
        <w:rPr>
          <w:rFonts w:hint="cs"/>
          <w:rtl/>
        </w:rPr>
        <w:t>מ</w:t>
      </w:r>
      <w:r w:rsidR="002F225D">
        <w:rPr>
          <w:rFonts w:hint="cs"/>
          <w:rtl/>
        </w:rPr>
        <w:t>נ</w:t>
      </w:r>
      <w:r w:rsidR="00931776">
        <w:rPr>
          <w:rFonts w:hint="cs"/>
          <w:rtl/>
        </w:rPr>
        <w:t>י</w:t>
      </w:r>
      <w:r w:rsidR="002F225D">
        <w:rPr>
          <w:rFonts w:hint="cs"/>
          <w:rtl/>
        </w:rPr>
        <w:t>ע</w:t>
      </w:r>
      <w:r w:rsidR="001B34DD">
        <w:rPr>
          <w:rFonts w:hint="cs"/>
          <w:rtl/>
        </w:rPr>
        <w:t>ה</w:t>
      </w:r>
      <w:r w:rsidR="002F225D">
        <w:rPr>
          <w:rFonts w:hint="cs"/>
          <w:rtl/>
        </w:rPr>
        <w:t xml:space="preserve"> לתכלית</w:t>
      </w:r>
      <w:r w:rsidR="001B34DD">
        <w:rPr>
          <w:rFonts w:hint="cs"/>
          <w:rtl/>
        </w:rPr>
        <w:t>ה</w:t>
      </w:r>
      <w:r w:rsidR="002F225D">
        <w:rPr>
          <w:rFonts w:hint="cs"/>
          <w:rtl/>
        </w:rPr>
        <w:t xml:space="preserve"> של</w:t>
      </w:r>
      <w:r w:rsidR="001B34DD">
        <w:rPr>
          <w:rFonts w:hint="cs"/>
          <w:rtl/>
        </w:rPr>
        <w:t>ה</w:t>
      </w:r>
      <w:r w:rsidR="002F225D">
        <w:rPr>
          <w:rFonts w:hint="cs"/>
          <w:rtl/>
        </w:rPr>
        <w:t>, וה</w:t>
      </w:r>
      <w:r w:rsidR="00203E6E">
        <w:rPr>
          <w:rFonts w:hint="cs"/>
          <w:rtl/>
        </w:rPr>
        <w:t>עוזר</w:t>
      </w:r>
      <w:r w:rsidR="002F225D">
        <w:rPr>
          <w:rFonts w:hint="cs"/>
          <w:rtl/>
        </w:rPr>
        <w:t xml:space="preserve"> </w:t>
      </w:r>
      <w:r w:rsidR="002918B9">
        <w:rPr>
          <w:rFonts w:hint="cs"/>
          <w:rtl/>
        </w:rPr>
        <w:t>מ</w:t>
      </w:r>
      <w:r w:rsidR="002F225D">
        <w:rPr>
          <w:rFonts w:hint="cs"/>
          <w:rtl/>
        </w:rPr>
        <w:t>נ</w:t>
      </w:r>
      <w:r w:rsidR="002918B9">
        <w:rPr>
          <w:rFonts w:hint="cs"/>
          <w:rtl/>
        </w:rPr>
        <w:t>י</w:t>
      </w:r>
      <w:r w:rsidR="002F225D">
        <w:rPr>
          <w:rFonts w:hint="cs"/>
          <w:rtl/>
        </w:rPr>
        <w:t xml:space="preserve">ע לתכלית </w:t>
      </w:r>
      <w:r w:rsidR="00840387">
        <w:rPr>
          <w:rFonts w:hint="cs"/>
          <w:rtl/>
        </w:rPr>
        <w:t>שאינה שלו</w:t>
      </w:r>
      <w:r w:rsidR="002675EC">
        <w:rPr>
          <w:rFonts w:hint="cs"/>
          <w:rtl/>
        </w:rPr>
        <w:t xml:space="preserve"> אלא ש</w:t>
      </w:r>
      <w:r w:rsidR="007D6E3A">
        <w:rPr>
          <w:rFonts w:hint="cs"/>
          <w:rtl/>
        </w:rPr>
        <w:t xml:space="preserve">ל </w:t>
      </w:r>
      <w:r w:rsidR="00E97EF5">
        <w:rPr>
          <w:rFonts w:hint="cs"/>
          <w:rtl/>
        </w:rPr>
        <w:t>ה</w:t>
      </w:r>
      <w:r w:rsidR="009E1323">
        <w:rPr>
          <w:rFonts w:hint="cs"/>
          <w:rtl/>
        </w:rPr>
        <w:t>התעוררות הראשונה</w:t>
      </w:r>
      <w:r w:rsidR="00653DD8">
        <w:rPr>
          <w:rFonts w:hint="cs"/>
          <w:rtl/>
        </w:rPr>
        <w:t xml:space="preserve">, או לתכלית </w:t>
      </w:r>
      <w:r w:rsidR="001F4530">
        <w:rPr>
          <w:rFonts w:hint="cs"/>
          <w:rtl/>
        </w:rPr>
        <w:t xml:space="preserve">אחרת </w:t>
      </w:r>
      <w:r w:rsidR="00C27519">
        <w:rPr>
          <w:rFonts w:hint="cs"/>
          <w:rtl/>
        </w:rPr>
        <w:t xml:space="preserve">שבעצמה אינה התכלית </w:t>
      </w:r>
      <w:r w:rsidR="008C42D2">
        <w:rPr>
          <w:rFonts w:hint="cs"/>
          <w:rtl/>
        </w:rPr>
        <w:t>שה</w:t>
      </w:r>
      <w:r w:rsidR="009E1323">
        <w:rPr>
          <w:rFonts w:hint="cs"/>
          <w:rtl/>
        </w:rPr>
        <w:t>התעוררות הראשונה</w:t>
      </w:r>
      <w:r w:rsidR="008C42D2">
        <w:rPr>
          <w:rFonts w:hint="cs"/>
          <w:rtl/>
        </w:rPr>
        <w:t xml:space="preserve"> מ</w:t>
      </w:r>
      <w:r w:rsidR="00616330">
        <w:rPr>
          <w:rFonts w:hint="cs"/>
          <w:rtl/>
        </w:rPr>
        <w:t>ביא</w:t>
      </w:r>
      <w:r w:rsidR="0052770E">
        <w:rPr>
          <w:rFonts w:hint="cs"/>
          <w:rtl/>
        </w:rPr>
        <w:t>ה</w:t>
      </w:r>
      <w:r w:rsidR="008C42D2">
        <w:rPr>
          <w:rFonts w:hint="cs"/>
          <w:rtl/>
        </w:rPr>
        <w:t xml:space="preserve"> אליה </w:t>
      </w:r>
      <w:proofErr w:type="spellStart"/>
      <w:r w:rsidR="00E003AA">
        <w:rPr>
          <w:rFonts w:hint="cs"/>
          <w:rtl/>
        </w:rPr>
        <w:t>בהנעת</w:t>
      </w:r>
      <w:r w:rsidR="00616330">
        <w:rPr>
          <w:rFonts w:hint="cs"/>
          <w:rtl/>
        </w:rPr>
        <w:t>ה</w:t>
      </w:r>
      <w:proofErr w:type="spellEnd"/>
      <w:r w:rsidR="008C42D2">
        <w:rPr>
          <w:rFonts w:hint="cs"/>
          <w:rtl/>
        </w:rPr>
        <w:t xml:space="preserve">, אלא </w:t>
      </w:r>
      <w:r w:rsidR="00D115CF">
        <w:rPr>
          <w:rFonts w:hint="cs"/>
          <w:rtl/>
        </w:rPr>
        <w:t xml:space="preserve">היא </w:t>
      </w:r>
      <w:r w:rsidR="008C42D2">
        <w:rPr>
          <w:rFonts w:hint="cs"/>
          <w:rtl/>
        </w:rPr>
        <w:t xml:space="preserve">תכלית אחרת כגון </w:t>
      </w:r>
      <w:r w:rsidR="00B83A2B">
        <w:rPr>
          <w:rFonts w:hint="cs"/>
          <w:rtl/>
        </w:rPr>
        <w:t>הכרת טובה, תשלום, או צדקה</w:t>
      </w:r>
      <w:r w:rsidR="000074F0">
        <w:rPr>
          <w:rStyle w:val="FootnoteReference"/>
          <w:rtl/>
        </w:rPr>
        <w:footnoteReference w:id="675"/>
      </w:r>
      <w:r w:rsidR="00B83A2B">
        <w:rPr>
          <w:rFonts w:hint="cs"/>
          <w:rtl/>
        </w:rPr>
        <w:t>.</w:t>
      </w:r>
    </w:p>
    <w:p w14:paraId="5DA919B2" w14:textId="77777777" w:rsidR="008735B9" w:rsidRDefault="000555F4" w:rsidP="00187495">
      <w:pPr>
        <w:rPr>
          <w:rtl/>
        </w:rPr>
      </w:pPr>
      <w:r>
        <w:rPr>
          <w:rFonts w:hint="cs"/>
          <w:rtl/>
        </w:rPr>
        <w:t>ואמנם</w:t>
      </w:r>
      <w:r w:rsidR="000A7F75">
        <w:rPr>
          <w:rFonts w:hint="cs"/>
          <w:rtl/>
        </w:rPr>
        <w:t xml:space="preserve"> </w:t>
      </w:r>
      <w:r>
        <w:rPr>
          <w:rFonts w:hint="cs"/>
          <w:rtl/>
        </w:rPr>
        <w:t>ה</w:t>
      </w:r>
      <w:r w:rsidR="000A7F75">
        <w:rPr>
          <w:rFonts w:hint="cs"/>
          <w:rtl/>
        </w:rPr>
        <w:t>מ</w:t>
      </w:r>
      <w:r w:rsidR="00352A30">
        <w:rPr>
          <w:rFonts w:hint="cs"/>
          <w:rtl/>
        </w:rPr>
        <w:t>דרי</w:t>
      </w:r>
      <w:r w:rsidR="00BC3436">
        <w:rPr>
          <w:rFonts w:hint="cs"/>
          <w:rtl/>
        </w:rPr>
        <w:t>ך</w:t>
      </w:r>
      <w:r w:rsidR="001B792B">
        <w:rPr>
          <w:rFonts w:hint="cs"/>
          <w:rtl/>
        </w:rPr>
        <w:t xml:space="preserve"> ה</w:t>
      </w:r>
      <w:r w:rsidR="00BC3436">
        <w:rPr>
          <w:rFonts w:hint="cs"/>
          <w:rtl/>
        </w:rPr>
        <w:t>וא</w:t>
      </w:r>
      <w:r w:rsidR="001B792B">
        <w:rPr>
          <w:rFonts w:hint="cs"/>
          <w:rtl/>
        </w:rPr>
        <w:t xml:space="preserve"> התחלת תנועה</w:t>
      </w:r>
      <w:r w:rsidR="00ED7F31">
        <w:rPr>
          <w:rFonts w:hint="cs"/>
          <w:rtl/>
        </w:rPr>
        <w:t xml:space="preserve"> בתיווך, ש</w:t>
      </w:r>
      <w:r w:rsidR="00EC1C84">
        <w:rPr>
          <w:rFonts w:hint="cs"/>
          <w:rtl/>
        </w:rPr>
        <w:t xml:space="preserve">סיבת </w:t>
      </w:r>
      <w:r w:rsidR="00E56938">
        <w:rPr>
          <w:rFonts w:hint="cs"/>
          <w:rtl/>
        </w:rPr>
        <w:t xml:space="preserve">הצורה הנפשית שהיא התחלת תנועה </w:t>
      </w:r>
      <w:r w:rsidR="00627557">
        <w:rPr>
          <w:rFonts w:hint="cs"/>
          <w:rtl/>
        </w:rPr>
        <w:t xml:space="preserve">ראשונה </w:t>
      </w:r>
      <w:r w:rsidR="002065FC">
        <w:rPr>
          <w:rFonts w:hint="cs"/>
          <w:rtl/>
        </w:rPr>
        <w:t>ל</w:t>
      </w:r>
      <w:r w:rsidR="00CE5C20">
        <w:rPr>
          <w:rFonts w:hint="cs"/>
          <w:rtl/>
        </w:rPr>
        <w:t>מה</w:t>
      </w:r>
      <w:r w:rsidR="002065FC">
        <w:rPr>
          <w:rFonts w:hint="cs"/>
          <w:rtl/>
        </w:rPr>
        <w:t xml:space="preserve"> </w:t>
      </w:r>
      <w:r w:rsidR="00CE5C20">
        <w:rPr>
          <w:rFonts w:hint="cs"/>
          <w:rtl/>
        </w:rPr>
        <w:t xml:space="preserve">שהוא </w:t>
      </w:r>
      <w:r w:rsidR="002065FC">
        <w:rPr>
          <w:rFonts w:hint="cs"/>
          <w:rtl/>
        </w:rPr>
        <w:t xml:space="preserve">בעל רצון, </w:t>
      </w:r>
      <w:r w:rsidR="00EA223D">
        <w:rPr>
          <w:rFonts w:hint="cs"/>
          <w:rtl/>
        </w:rPr>
        <w:t>היא התחלת ההתחל</w:t>
      </w:r>
      <w:r w:rsidR="00A81E64">
        <w:rPr>
          <w:rFonts w:hint="cs"/>
          <w:rtl/>
        </w:rPr>
        <w:t>ה</w:t>
      </w:r>
      <w:r w:rsidR="002637B3">
        <w:rPr>
          <w:rStyle w:val="FootnoteReference"/>
          <w:rtl/>
        </w:rPr>
        <w:footnoteReference w:id="676"/>
      </w:r>
      <w:r w:rsidR="00EA223D">
        <w:rPr>
          <w:rFonts w:hint="cs"/>
          <w:rtl/>
        </w:rPr>
        <w:t>.</w:t>
      </w:r>
    </w:p>
    <w:p w14:paraId="4736F2AB" w14:textId="407E2E3D" w:rsidR="00F345E5" w:rsidRDefault="007E0C24" w:rsidP="00187495">
      <w:pPr>
        <w:rPr>
          <w:rtl/>
        </w:rPr>
      </w:pPr>
      <w:r>
        <w:rPr>
          <w:rFonts w:hint="cs"/>
          <w:rtl/>
        </w:rPr>
        <w:t>וזו</w:t>
      </w:r>
      <w:r w:rsidR="00B66C2F">
        <w:rPr>
          <w:rFonts w:hint="cs"/>
          <w:rtl/>
        </w:rPr>
        <w:t>הי</w:t>
      </w:r>
      <w:r>
        <w:rPr>
          <w:rFonts w:hint="cs"/>
          <w:rtl/>
        </w:rPr>
        <w:t xml:space="preserve"> הפועלת</w:t>
      </w:r>
      <w:r w:rsidR="00F20FFA">
        <w:rPr>
          <w:rStyle w:val="FootnoteReference"/>
          <w:rtl/>
        </w:rPr>
        <w:footnoteReference w:id="677"/>
      </w:r>
      <w:r w:rsidR="00F0451C">
        <w:rPr>
          <w:rFonts w:hint="cs"/>
          <w:rtl/>
        </w:rPr>
        <w:t xml:space="preserve"> </w:t>
      </w:r>
      <w:r w:rsidR="007F0BE1">
        <w:rPr>
          <w:rFonts w:hint="cs"/>
          <w:rtl/>
        </w:rPr>
        <w:t>על פי ה</w:t>
      </w:r>
      <w:r w:rsidR="00B66C2F">
        <w:rPr>
          <w:rFonts w:hint="cs"/>
          <w:rtl/>
        </w:rPr>
        <w:t>דברים הטבעיים</w:t>
      </w:r>
      <w:r w:rsidR="00B34236">
        <w:rPr>
          <w:rStyle w:val="FootnoteReference"/>
          <w:rtl/>
        </w:rPr>
        <w:footnoteReference w:id="678"/>
      </w:r>
      <w:r w:rsidR="007C6C0F">
        <w:rPr>
          <w:rFonts w:hint="cs"/>
          <w:rtl/>
        </w:rPr>
        <w:t xml:space="preserve">. </w:t>
      </w:r>
      <w:r w:rsidR="00DB2880">
        <w:rPr>
          <w:rFonts w:hint="cs"/>
          <w:rtl/>
        </w:rPr>
        <w:t>אמנם כשנ</w:t>
      </w:r>
      <w:r w:rsidR="00084679">
        <w:rPr>
          <w:rFonts w:hint="cs"/>
          <w:rtl/>
        </w:rPr>
        <w:t>תבונן</w:t>
      </w:r>
      <w:r w:rsidR="00DB2880">
        <w:rPr>
          <w:rFonts w:hint="cs"/>
          <w:rtl/>
        </w:rPr>
        <w:t xml:space="preserve"> ב</w:t>
      </w:r>
      <w:r w:rsidR="000223D1">
        <w:rPr>
          <w:rFonts w:hint="cs"/>
          <w:rtl/>
        </w:rPr>
        <w:t>התחל</w:t>
      </w:r>
      <w:r w:rsidR="00DB2880">
        <w:rPr>
          <w:rFonts w:hint="cs"/>
          <w:rtl/>
        </w:rPr>
        <w:t>ה הפועלת</w:t>
      </w:r>
      <w:r w:rsidR="000223D1">
        <w:rPr>
          <w:rFonts w:hint="cs"/>
          <w:rtl/>
        </w:rPr>
        <w:t xml:space="preserve"> </w:t>
      </w:r>
      <w:r w:rsidR="000E506B">
        <w:rPr>
          <w:rFonts w:hint="cs"/>
          <w:rtl/>
        </w:rPr>
        <w:t>ש</w:t>
      </w:r>
      <w:r w:rsidR="00FF5C8E">
        <w:rPr>
          <w:rFonts w:hint="cs"/>
          <w:rtl/>
        </w:rPr>
        <w:t xml:space="preserve">לא </w:t>
      </w:r>
      <w:r w:rsidR="007F0BE1">
        <w:rPr>
          <w:rFonts w:hint="cs"/>
          <w:rtl/>
        </w:rPr>
        <w:t>על פי ה</w:t>
      </w:r>
      <w:r w:rsidR="00FF5C8E">
        <w:rPr>
          <w:rFonts w:hint="cs"/>
          <w:rtl/>
        </w:rPr>
        <w:t xml:space="preserve">דברים הטבעיים </w:t>
      </w:r>
      <w:r w:rsidR="003000BA">
        <w:rPr>
          <w:rFonts w:hint="cs"/>
          <w:rtl/>
        </w:rPr>
        <w:t>אלא על פי המציאות עצמה, תהיה ההבנה כללית</w:t>
      </w:r>
      <w:r w:rsidR="00481397">
        <w:rPr>
          <w:rFonts w:hint="cs"/>
          <w:rtl/>
        </w:rPr>
        <w:t xml:space="preserve"> יותר</w:t>
      </w:r>
      <w:r w:rsidR="003000BA">
        <w:rPr>
          <w:rFonts w:hint="cs"/>
          <w:rtl/>
        </w:rPr>
        <w:t xml:space="preserve"> </w:t>
      </w:r>
      <w:r w:rsidR="00481397">
        <w:rPr>
          <w:rFonts w:hint="cs"/>
          <w:rtl/>
        </w:rPr>
        <w:t>מזו,</w:t>
      </w:r>
      <w:r w:rsidR="003A1543">
        <w:rPr>
          <w:rFonts w:hint="cs"/>
          <w:rtl/>
        </w:rPr>
        <w:t xml:space="preserve"> ו</w:t>
      </w:r>
      <w:r w:rsidR="006F2B89">
        <w:rPr>
          <w:rFonts w:hint="cs"/>
          <w:rtl/>
        </w:rPr>
        <w:t>כל מה שהוא סיבה</w:t>
      </w:r>
      <w:r w:rsidR="003D2894">
        <w:rPr>
          <w:rFonts w:hint="cs"/>
          <w:rtl/>
        </w:rPr>
        <w:t xml:space="preserve"> למציאות</w:t>
      </w:r>
      <w:r w:rsidR="009C47BD">
        <w:rPr>
          <w:rFonts w:hint="cs"/>
          <w:rtl/>
        </w:rPr>
        <w:t xml:space="preserve"> יהיה </w:t>
      </w:r>
      <w:r w:rsidR="0064310B">
        <w:rPr>
          <w:rFonts w:hint="cs"/>
          <w:rtl/>
        </w:rPr>
        <w:t>נפרד</w:t>
      </w:r>
      <w:r w:rsidR="00FE5D13">
        <w:rPr>
          <w:rFonts w:hint="cs"/>
          <w:rtl/>
        </w:rPr>
        <w:t xml:space="preserve"> מהעצם </w:t>
      </w:r>
      <w:r w:rsidR="00B11896">
        <w:rPr>
          <w:rFonts w:hint="cs"/>
          <w:rtl/>
        </w:rPr>
        <w:t>מ</w:t>
      </w:r>
      <w:r w:rsidR="000F1767">
        <w:rPr>
          <w:rFonts w:hint="cs"/>
          <w:rtl/>
        </w:rPr>
        <w:t>צד</w:t>
      </w:r>
      <w:r w:rsidR="006B6E1E">
        <w:rPr>
          <w:rFonts w:hint="cs"/>
          <w:rtl/>
        </w:rPr>
        <w:t xml:space="preserve"> </w:t>
      </w:r>
      <w:r w:rsidR="00052228">
        <w:rPr>
          <w:rFonts w:hint="cs"/>
          <w:rtl/>
        </w:rPr>
        <w:t xml:space="preserve">שהוא נפרד, </w:t>
      </w:r>
      <w:r w:rsidR="000F1767">
        <w:rPr>
          <w:rFonts w:hint="cs"/>
          <w:rtl/>
        </w:rPr>
        <w:t xml:space="preserve">ומצד </w:t>
      </w:r>
      <w:r w:rsidR="006B6E1E">
        <w:rPr>
          <w:rFonts w:hint="cs"/>
          <w:rtl/>
        </w:rPr>
        <w:t>ש</w:t>
      </w:r>
      <w:r w:rsidR="005221EE">
        <w:rPr>
          <w:rFonts w:hint="cs"/>
          <w:rtl/>
        </w:rPr>
        <w:t xml:space="preserve">אין </w:t>
      </w:r>
      <w:r w:rsidR="000934D9">
        <w:rPr>
          <w:rFonts w:hint="cs"/>
          <w:rtl/>
        </w:rPr>
        <w:t>המציאות</w:t>
      </w:r>
      <w:r w:rsidR="004E5433">
        <w:rPr>
          <w:rFonts w:hint="cs"/>
          <w:rtl/>
        </w:rPr>
        <w:t xml:space="preserve"> </w:t>
      </w:r>
      <w:r w:rsidR="00FE22F8">
        <w:rPr>
          <w:rFonts w:hint="cs"/>
          <w:rtl/>
        </w:rPr>
        <w:t>הזו</w:t>
      </w:r>
      <w:r w:rsidR="005221EE">
        <w:rPr>
          <w:rFonts w:hint="cs"/>
          <w:rtl/>
        </w:rPr>
        <w:t xml:space="preserve"> למען</w:t>
      </w:r>
      <w:r w:rsidR="00AC4E90">
        <w:rPr>
          <w:rFonts w:hint="cs"/>
          <w:rtl/>
        </w:rPr>
        <w:t xml:space="preserve"> הפועלת</w:t>
      </w:r>
      <w:r w:rsidR="00431D67">
        <w:rPr>
          <w:rStyle w:val="FootnoteReference"/>
          <w:rtl/>
        </w:rPr>
        <w:footnoteReference w:id="679"/>
      </w:r>
      <w:r w:rsidR="00AC4E90">
        <w:rPr>
          <w:rFonts w:hint="cs"/>
          <w:rtl/>
        </w:rPr>
        <w:t>.</w:t>
      </w:r>
    </w:p>
    <w:p w14:paraId="06844221" w14:textId="4DC0EF5E" w:rsidR="003B64DB" w:rsidRDefault="003B64DB" w:rsidP="0023656C">
      <w:pPr>
        <w:pStyle w:val="Heading4"/>
        <w:rPr>
          <w:rtl/>
        </w:rPr>
      </w:pPr>
      <w:bookmarkStart w:id="301" w:name="_Toc119092696"/>
      <w:r>
        <w:rPr>
          <w:rFonts w:hint="cs"/>
          <w:rtl/>
        </w:rPr>
        <w:t>1.10</w:t>
      </w:r>
      <w:r w:rsidR="0023656C">
        <w:rPr>
          <w:rFonts w:hint="cs"/>
          <w:rtl/>
        </w:rPr>
        <w:t>.5</w:t>
      </w:r>
      <w:bookmarkEnd w:id="301"/>
    </w:p>
    <w:p w14:paraId="56B1A3B7" w14:textId="6F703593" w:rsidR="00A073FF" w:rsidRDefault="000806B6" w:rsidP="00187495">
      <w:pPr>
        <w:rPr>
          <w:rtl/>
        </w:rPr>
      </w:pPr>
      <w:r>
        <w:rPr>
          <w:rFonts w:hint="cs"/>
          <w:rtl/>
        </w:rPr>
        <w:t>ו</w:t>
      </w:r>
      <w:r w:rsidR="0023656C">
        <w:rPr>
          <w:rFonts w:hint="cs"/>
          <w:rtl/>
        </w:rPr>
        <w:t>כעת נד</w:t>
      </w:r>
      <w:r>
        <w:rPr>
          <w:rFonts w:hint="cs"/>
          <w:rtl/>
        </w:rPr>
        <w:t xml:space="preserve">בר </w:t>
      </w:r>
      <w:r w:rsidR="008E6B3F">
        <w:rPr>
          <w:rFonts w:hint="cs"/>
          <w:rtl/>
        </w:rPr>
        <w:t>בהתחלה החומרית, ונאמר</w:t>
      </w:r>
      <w:r w:rsidR="00F133D5">
        <w:rPr>
          <w:rFonts w:hint="cs"/>
          <w:rtl/>
        </w:rPr>
        <w:t xml:space="preserve"> </w:t>
      </w:r>
      <w:r w:rsidR="00C66CB2">
        <w:rPr>
          <w:rFonts w:hint="cs"/>
          <w:rtl/>
        </w:rPr>
        <w:t>ש</w:t>
      </w:r>
      <w:r w:rsidR="003E16E5">
        <w:rPr>
          <w:rFonts w:hint="cs"/>
          <w:rtl/>
        </w:rPr>
        <w:t>ההתחלה החומרית</w:t>
      </w:r>
      <w:r w:rsidR="007E5EDB">
        <w:rPr>
          <w:rFonts w:hint="cs"/>
          <w:rtl/>
        </w:rPr>
        <w:t xml:space="preserve"> </w:t>
      </w:r>
      <w:r w:rsidR="00040703">
        <w:rPr>
          <w:rFonts w:hint="cs"/>
          <w:rtl/>
        </w:rPr>
        <w:t xml:space="preserve">היא </w:t>
      </w:r>
      <w:r w:rsidR="007E5EDB">
        <w:rPr>
          <w:rFonts w:hint="cs"/>
          <w:rtl/>
        </w:rPr>
        <w:t>שם משתתף</w:t>
      </w:r>
      <w:r w:rsidR="007E5EDB">
        <w:rPr>
          <w:rStyle w:val="FootnoteReference"/>
          <w:rtl/>
        </w:rPr>
        <w:footnoteReference w:id="680"/>
      </w:r>
      <w:r w:rsidR="00CB783B">
        <w:rPr>
          <w:rFonts w:hint="cs"/>
          <w:rtl/>
        </w:rPr>
        <w:t>;</w:t>
      </w:r>
      <w:r w:rsidR="00527182">
        <w:rPr>
          <w:rFonts w:hint="cs"/>
          <w:rtl/>
        </w:rPr>
        <w:t xml:space="preserve"> </w:t>
      </w:r>
      <w:r w:rsidR="002A6CC3">
        <w:rPr>
          <w:rFonts w:hint="cs"/>
          <w:rtl/>
        </w:rPr>
        <w:t>ש</w:t>
      </w:r>
      <w:r w:rsidR="00527182">
        <w:rPr>
          <w:rFonts w:hint="cs"/>
          <w:rtl/>
        </w:rPr>
        <w:t xml:space="preserve">היא </w:t>
      </w:r>
      <w:r w:rsidR="0005117C">
        <w:rPr>
          <w:rFonts w:hint="cs"/>
          <w:rtl/>
        </w:rPr>
        <w:t>לפי טבעה</w:t>
      </w:r>
      <w:r w:rsidR="002A6CC3">
        <w:rPr>
          <w:rFonts w:hint="cs"/>
          <w:rtl/>
        </w:rPr>
        <w:t xml:space="preserve"> </w:t>
      </w:r>
      <w:bookmarkStart w:id="302" w:name="_Hlk117340306"/>
      <w:r w:rsidR="004C5438">
        <w:rPr>
          <w:rFonts w:hint="cs"/>
          <w:rtl/>
        </w:rPr>
        <w:t>נושאת</w:t>
      </w:r>
      <w:bookmarkEnd w:id="302"/>
      <w:r w:rsidR="004C5438">
        <w:rPr>
          <w:rFonts w:hint="cs"/>
          <w:rtl/>
        </w:rPr>
        <w:t xml:space="preserve"> דברים שהם זרים לה</w:t>
      </w:r>
      <w:r w:rsidR="006073B1">
        <w:rPr>
          <w:rStyle w:val="FootnoteReference"/>
          <w:rtl/>
        </w:rPr>
        <w:footnoteReference w:id="681"/>
      </w:r>
      <w:r w:rsidR="00CB783B">
        <w:rPr>
          <w:rFonts w:hint="cs"/>
          <w:rtl/>
        </w:rPr>
        <w:t xml:space="preserve">, </w:t>
      </w:r>
      <w:r w:rsidR="00614420">
        <w:rPr>
          <w:rFonts w:hint="cs"/>
          <w:rtl/>
        </w:rPr>
        <w:t>ויש לה יחס אל המורכב</w:t>
      </w:r>
      <w:r w:rsidR="00933D3B">
        <w:rPr>
          <w:rFonts w:hint="cs"/>
          <w:rtl/>
        </w:rPr>
        <w:t xml:space="preserve"> ממנה</w:t>
      </w:r>
      <w:r w:rsidR="00B6357D">
        <w:rPr>
          <w:rFonts w:hint="cs"/>
          <w:rtl/>
        </w:rPr>
        <w:t xml:space="preserve"> </w:t>
      </w:r>
      <w:r w:rsidR="00463DC6">
        <w:rPr>
          <w:rFonts w:hint="cs"/>
          <w:rtl/>
        </w:rPr>
        <w:t>וממהויות אלה</w:t>
      </w:r>
      <w:r w:rsidR="00463DC6">
        <w:rPr>
          <w:rStyle w:val="FootnoteReference"/>
          <w:rtl/>
        </w:rPr>
        <w:footnoteReference w:id="682"/>
      </w:r>
      <w:r w:rsidR="003E0371">
        <w:rPr>
          <w:rFonts w:hint="cs"/>
          <w:rtl/>
        </w:rPr>
        <w:t>,</w:t>
      </w:r>
      <w:r w:rsidR="00970553">
        <w:rPr>
          <w:rFonts w:hint="cs"/>
          <w:rtl/>
        </w:rPr>
        <w:t xml:space="preserve"> ויש לה יחס </w:t>
      </w:r>
      <w:r w:rsidR="00A73452">
        <w:rPr>
          <w:rFonts w:hint="cs"/>
          <w:rtl/>
        </w:rPr>
        <w:t xml:space="preserve">אל מהויות אלה </w:t>
      </w:r>
      <w:r w:rsidR="00DE2F26">
        <w:rPr>
          <w:rFonts w:hint="cs"/>
          <w:rtl/>
        </w:rPr>
        <w:t>לבדן</w:t>
      </w:r>
      <w:r w:rsidR="00BE472E">
        <w:rPr>
          <w:rStyle w:val="FootnoteReference"/>
          <w:rtl/>
        </w:rPr>
        <w:footnoteReference w:id="683"/>
      </w:r>
      <w:r w:rsidR="00DE2F26">
        <w:rPr>
          <w:rFonts w:hint="cs"/>
          <w:rtl/>
        </w:rPr>
        <w:t xml:space="preserve">. </w:t>
      </w:r>
    </w:p>
    <w:p w14:paraId="6E9760C4" w14:textId="2CF44A60" w:rsidR="00FE52F5" w:rsidRDefault="002277DF" w:rsidP="00187495">
      <w:pPr>
        <w:rPr>
          <w:rtl/>
        </w:rPr>
      </w:pPr>
      <w:r>
        <w:rPr>
          <w:rFonts w:hint="cs"/>
          <w:rtl/>
        </w:rPr>
        <w:t>כמו</w:t>
      </w:r>
      <w:r w:rsidR="00277047">
        <w:rPr>
          <w:rFonts w:hint="cs"/>
          <w:rtl/>
        </w:rPr>
        <w:t xml:space="preserve"> </w:t>
      </w:r>
      <w:r w:rsidR="00125B21">
        <w:rPr>
          <w:rFonts w:hint="cs"/>
          <w:rtl/>
        </w:rPr>
        <w:t>ל</w:t>
      </w:r>
      <w:r w:rsidR="00893991">
        <w:rPr>
          <w:rFonts w:hint="cs"/>
          <w:rtl/>
        </w:rPr>
        <w:t xml:space="preserve">גוף </w:t>
      </w:r>
      <w:r w:rsidR="0011528D">
        <w:rPr>
          <w:rFonts w:hint="cs"/>
          <w:rtl/>
        </w:rPr>
        <w:t>שיש לו יחס אל המורכב</w:t>
      </w:r>
      <w:r w:rsidR="008C4D4D">
        <w:rPr>
          <w:rFonts w:hint="cs"/>
          <w:rtl/>
        </w:rPr>
        <w:t xml:space="preserve">, </w:t>
      </w:r>
      <w:r w:rsidR="005379FA">
        <w:rPr>
          <w:rFonts w:hint="cs"/>
          <w:rtl/>
        </w:rPr>
        <w:t>שהוא</w:t>
      </w:r>
      <w:r w:rsidR="00C4087C">
        <w:rPr>
          <w:rFonts w:hint="cs"/>
          <w:rtl/>
        </w:rPr>
        <w:t xml:space="preserve"> [יחס]</w:t>
      </w:r>
      <w:r w:rsidR="005379FA">
        <w:rPr>
          <w:rFonts w:hint="cs"/>
          <w:rtl/>
        </w:rPr>
        <w:t xml:space="preserve"> </w:t>
      </w:r>
      <w:r w:rsidR="006E2D24">
        <w:rPr>
          <w:rFonts w:hint="cs"/>
          <w:rtl/>
        </w:rPr>
        <w:t>אל הלבן</w:t>
      </w:r>
      <w:r w:rsidR="00643792">
        <w:rPr>
          <w:rStyle w:val="FootnoteReference"/>
          <w:rtl/>
        </w:rPr>
        <w:footnoteReference w:id="684"/>
      </w:r>
      <w:r w:rsidR="006E2D24">
        <w:rPr>
          <w:rFonts w:hint="cs"/>
          <w:rtl/>
        </w:rPr>
        <w:t xml:space="preserve">, </w:t>
      </w:r>
      <w:r w:rsidR="007A1484">
        <w:rPr>
          <w:rFonts w:hint="cs"/>
          <w:rtl/>
        </w:rPr>
        <w:t>ויחס אל הפשוט</w:t>
      </w:r>
      <w:r w:rsidR="00351063">
        <w:rPr>
          <w:rFonts w:hint="cs"/>
          <w:rtl/>
        </w:rPr>
        <w:t>,</w:t>
      </w:r>
      <w:r w:rsidR="007A1484">
        <w:rPr>
          <w:rFonts w:hint="cs"/>
          <w:rtl/>
        </w:rPr>
        <w:t xml:space="preserve"> </w:t>
      </w:r>
      <w:r w:rsidR="00752AF3">
        <w:rPr>
          <w:rFonts w:hint="cs"/>
          <w:rtl/>
        </w:rPr>
        <w:t>שהוא</w:t>
      </w:r>
      <w:r w:rsidR="00C4087C">
        <w:rPr>
          <w:rFonts w:hint="cs"/>
          <w:rtl/>
        </w:rPr>
        <w:t xml:space="preserve"> [יחס]</w:t>
      </w:r>
      <w:r w:rsidR="00752AF3">
        <w:rPr>
          <w:rFonts w:hint="cs"/>
          <w:rtl/>
        </w:rPr>
        <w:t xml:space="preserve"> </w:t>
      </w:r>
      <w:r w:rsidR="00351063">
        <w:rPr>
          <w:rFonts w:hint="cs"/>
          <w:rtl/>
        </w:rPr>
        <w:t>אל</w:t>
      </w:r>
      <w:r w:rsidR="003647C4">
        <w:rPr>
          <w:rFonts w:hint="cs"/>
          <w:rtl/>
        </w:rPr>
        <w:t xml:space="preserve"> </w:t>
      </w:r>
      <w:r w:rsidR="00752AF3">
        <w:rPr>
          <w:rFonts w:hint="cs"/>
          <w:rtl/>
        </w:rPr>
        <w:t>הלובן.</w:t>
      </w:r>
      <w:r w:rsidR="00BE5433">
        <w:rPr>
          <w:rFonts w:hint="cs"/>
          <w:rtl/>
        </w:rPr>
        <w:t xml:space="preserve"> היחס אל המורכב </w:t>
      </w:r>
      <w:r w:rsidR="00D81719">
        <w:rPr>
          <w:rFonts w:hint="cs"/>
          <w:rtl/>
        </w:rPr>
        <w:t xml:space="preserve">הוא תמיד יחס של סיבה, </w:t>
      </w:r>
      <w:r w:rsidR="00E228BE">
        <w:rPr>
          <w:rFonts w:hint="cs"/>
          <w:rtl/>
        </w:rPr>
        <w:t>כי הוא חלק מ</w:t>
      </w:r>
      <w:r w:rsidR="00C3651D">
        <w:rPr>
          <w:rFonts w:hint="cs"/>
          <w:rtl/>
        </w:rPr>
        <w:t xml:space="preserve">קיומו של המורכב, </w:t>
      </w:r>
      <w:r w:rsidR="00654277">
        <w:rPr>
          <w:rFonts w:hint="cs"/>
          <w:rtl/>
        </w:rPr>
        <w:t>והחלק בעצמ</w:t>
      </w:r>
      <w:r w:rsidR="00EE0B0C">
        <w:rPr>
          <w:rFonts w:hint="cs"/>
          <w:rtl/>
        </w:rPr>
        <w:t>ות</w:t>
      </w:r>
      <w:r w:rsidR="00654277">
        <w:rPr>
          <w:rFonts w:hint="cs"/>
          <w:rtl/>
        </w:rPr>
        <w:t xml:space="preserve">ו </w:t>
      </w:r>
      <w:r w:rsidR="00826E9E">
        <w:rPr>
          <w:rFonts w:hint="cs"/>
          <w:rtl/>
        </w:rPr>
        <w:t>קודם ל</w:t>
      </w:r>
      <w:r w:rsidR="00AC0CC2">
        <w:rPr>
          <w:rFonts w:hint="cs"/>
          <w:rtl/>
        </w:rPr>
        <w:t>'</w:t>
      </w:r>
      <w:r w:rsidR="00826E9E">
        <w:rPr>
          <w:rFonts w:hint="cs"/>
          <w:rtl/>
        </w:rPr>
        <w:t>כל</w:t>
      </w:r>
      <w:r w:rsidR="00AC0CC2">
        <w:rPr>
          <w:rFonts w:hint="cs"/>
          <w:rtl/>
        </w:rPr>
        <w:t>'</w:t>
      </w:r>
      <w:r w:rsidR="00826E9E">
        <w:rPr>
          <w:rFonts w:hint="cs"/>
          <w:rtl/>
        </w:rPr>
        <w:t xml:space="preserve"> </w:t>
      </w:r>
      <w:r w:rsidR="00ED674E">
        <w:rPr>
          <w:rFonts w:hint="cs"/>
          <w:rtl/>
        </w:rPr>
        <w:t>ולמרכיביו העצמיים</w:t>
      </w:r>
      <w:r w:rsidR="007366C7">
        <w:rPr>
          <w:rStyle w:val="FootnoteReference"/>
          <w:rtl/>
        </w:rPr>
        <w:footnoteReference w:id="685"/>
      </w:r>
      <w:r w:rsidR="00AC0CC2">
        <w:rPr>
          <w:rFonts w:hint="cs"/>
          <w:rtl/>
        </w:rPr>
        <w:t>.</w:t>
      </w:r>
    </w:p>
    <w:p w14:paraId="31E4FAB8" w14:textId="77777777" w:rsidR="00467F63" w:rsidRDefault="00467F63" w:rsidP="00395666">
      <w:pPr>
        <w:pStyle w:val="Heading4"/>
        <w:rPr>
          <w:rtl/>
        </w:rPr>
      </w:pPr>
      <w:bookmarkStart w:id="303" w:name="_Toc119092697"/>
      <w:r>
        <w:rPr>
          <w:rFonts w:hint="cs"/>
          <w:rtl/>
        </w:rPr>
        <w:t>1.10.6</w:t>
      </w:r>
      <w:bookmarkEnd w:id="303"/>
    </w:p>
    <w:p w14:paraId="5978952E" w14:textId="6D6C2826" w:rsidR="00397973" w:rsidRDefault="0063272E" w:rsidP="00187495">
      <w:pPr>
        <w:rPr>
          <w:rtl/>
        </w:rPr>
      </w:pPr>
      <w:r>
        <w:rPr>
          <w:rFonts w:hint="cs"/>
          <w:rtl/>
        </w:rPr>
        <w:t xml:space="preserve">ואמנם </w:t>
      </w:r>
      <w:r w:rsidR="00E328A6">
        <w:rPr>
          <w:rFonts w:hint="cs"/>
          <w:rtl/>
        </w:rPr>
        <w:t xml:space="preserve">היחס </w:t>
      </w:r>
      <w:r w:rsidR="00E67ADF">
        <w:rPr>
          <w:rFonts w:hint="cs"/>
          <w:rtl/>
        </w:rPr>
        <w:t>א</w:t>
      </w:r>
      <w:r w:rsidR="00E328A6">
        <w:rPr>
          <w:rFonts w:hint="cs"/>
          <w:rtl/>
        </w:rPr>
        <w:t>ל דברים אלה</w:t>
      </w:r>
      <w:r w:rsidR="007A07B6">
        <w:rPr>
          <w:rStyle w:val="FootnoteReference"/>
          <w:rtl/>
        </w:rPr>
        <w:footnoteReference w:id="686"/>
      </w:r>
      <w:r w:rsidR="003769BE">
        <w:rPr>
          <w:rFonts w:hint="cs"/>
          <w:rtl/>
        </w:rPr>
        <w:t xml:space="preserve"> </w:t>
      </w:r>
      <w:r w:rsidR="001056B2" w:rsidRPr="001056B2">
        <w:rPr>
          <w:rtl/>
        </w:rPr>
        <w:t>לא י</w:t>
      </w:r>
      <w:r w:rsidR="00842354">
        <w:rPr>
          <w:rFonts w:hint="cs"/>
          <w:rtl/>
        </w:rPr>
        <w:t>ובן אלא</w:t>
      </w:r>
      <w:r w:rsidR="00DA3090">
        <w:rPr>
          <w:rFonts w:hint="cs"/>
          <w:rtl/>
        </w:rPr>
        <w:t xml:space="preserve"> </w:t>
      </w:r>
      <w:r w:rsidR="003D741F">
        <w:rPr>
          <w:rFonts w:hint="cs"/>
          <w:rtl/>
        </w:rPr>
        <w:t>על</w:t>
      </w:r>
      <w:r w:rsidR="001056B2" w:rsidRPr="001056B2">
        <w:rPr>
          <w:rtl/>
        </w:rPr>
        <w:t xml:space="preserve"> שלש</w:t>
      </w:r>
      <w:r w:rsidR="00293386">
        <w:rPr>
          <w:rFonts w:hint="cs"/>
          <w:rtl/>
        </w:rPr>
        <w:t xml:space="preserve"> חלוקות</w:t>
      </w:r>
      <w:r w:rsidR="00C05CD0">
        <w:rPr>
          <w:rFonts w:hint="cs"/>
          <w:rtl/>
        </w:rPr>
        <w:t>:</w:t>
      </w:r>
      <w:r w:rsidR="00C05CD0">
        <w:rPr>
          <w:rFonts w:hint="cs"/>
        </w:rPr>
        <w:t xml:space="preserve"> </w:t>
      </w:r>
      <w:r w:rsidR="00937DD7">
        <w:rPr>
          <w:rFonts w:hint="cs"/>
          <w:rtl/>
        </w:rPr>
        <w:t xml:space="preserve"> </w:t>
      </w:r>
    </w:p>
    <w:p w14:paraId="44FEEC12" w14:textId="67B48831" w:rsidR="0023656C" w:rsidRDefault="00CE6EB6" w:rsidP="00187495">
      <w:pPr>
        <w:rPr>
          <w:rtl/>
        </w:rPr>
      </w:pPr>
      <w:r>
        <w:rPr>
          <w:rFonts w:hint="cs"/>
          <w:rtl/>
        </w:rPr>
        <w:t>[ה</w:t>
      </w:r>
      <w:r w:rsidR="003769BE">
        <w:rPr>
          <w:rFonts w:hint="cs"/>
          <w:rtl/>
        </w:rPr>
        <w:t>חלו</w:t>
      </w:r>
      <w:r w:rsidR="004C0072">
        <w:rPr>
          <w:rFonts w:hint="cs"/>
          <w:rtl/>
        </w:rPr>
        <w:t>ק</w:t>
      </w:r>
      <w:r>
        <w:rPr>
          <w:rFonts w:hint="cs"/>
          <w:rtl/>
        </w:rPr>
        <w:t xml:space="preserve">ה הראשונה] </w:t>
      </w:r>
      <w:r w:rsidR="003E25F8">
        <w:rPr>
          <w:rFonts w:hint="cs"/>
          <w:rtl/>
        </w:rPr>
        <w:t>שיהיה לא</w:t>
      </w:r>
      <w:r w:rsidR="00AA7374">
        <w:rPr>
          <w:rFonts w:hint="cs"/>
          <w:rtl/>
        </w:rPr>
        <w:t xml:space="preserve"> </w:t>
      </w:r>
      <w:r w:rsidR="00487FC6">
        <w:rPr>
          <w:rFonts w:hint="cs"/>
          <w:rtl/>
        </w:rPr>
        <w:t>קודם</w:t>
      </w:r>
      <w:r w:rsidR="00AA7374">
        <w:rPr>
          <w:rFonts w:hint="cs"/>
          <w:rtl/>
        </w:rPr>
        <w:t xml:space="preserve"> בהווייה </w:t>
      </w:r>
      <w:r w:rsidR="00EA50B0">
        <w:rPr>
          <w:rFonts w:hint="cs"/>
          <w:rtl/>
        </w:rPr>
        <w:t>ולא מאוחר לה</w:t>
      </w:r>
      <w:r w:rsidR="00397973">
        <w:rPr>
          <w:rFonts w:hint="cs"/>
          <w:rtl/>
        </w:rPr>
        <w:t xml:space="preserve">, </w:t>
      </w:r>
      <w:r w:rsidR="00014EFB">
        <w:rPr>
          <w:rFonts w:hint="cs"/>
          <w:rtl/>
        </w:rPr>
        <w:t xml:space="preserve">רוצה לומר </w:t>
      </w:r>
      <w:r w:rsidR="00840611">
        <w:rPr>
          <w:rFonts w:hint="cs"/>
          <w:rtl/>
        </w:rPr>
        <w:t>שאינ</w:t>
      </w:r>
      <w:r w:rsidR="004E3C61">
        <w:rPr>
          <w:rFonts w:hint="cs"/>
          <w:rtl/>
        </w:rPr>
        <w:t>ו</w:t>
      </w:r>
      <w:r w:rsidR="00840611">
        <w:rPr>
          <w:rFonts w:hint="cs"/>
          <w:rtl/>
        </w:rPr>
        <w:t xml:space="preserve"> צרי</w:t>
      </w:r>
      <w:r w:rsidR="004E3C61">
        <w:rPr>
          <w:rFonts w:hint="cs"/>
          <w:rtl/>
        </w:rPr>
        <w:t>ך</w:t>
      </w:r>
      <w:r w:rsidR="00840611">
        <w:rPr>
          <w:rFonts w:hint="cs"/>
          <w:rtl/>
        </w:rPr>
        <w:t xml:space="preserve"> לדבר אחר כדי להתקיים</w:t>
      </w:r>
      <w:r w:rsidR="003313F7">
        <w:rPr>
          <w:rFonts w:hint="cs"/>
          <w:rtl/>
        </w:rPr>
        <w:t xml:space="preserve">, ולא דבר זה </w:t>
      </w:r>
      <w:r w:rsidR="005B284C">
        <w:rPr>
          <w:rFonts w:hint="cs"/>
          <w:rtl/>
        </w:rPr>
        <w:t xml:space="preserve">צריך </w:t>
      </w:r>
      <w:r w:rsidR="007406F6">
        <w:rPr>
          <w:rFonts w:hint="cs"/>
          <w:rtl/>
        </w:rPr>
        <w:t>ל</w:t>
      </w:r>
      <w:r w:rsidR="008654AA">
        <w:rPr>
          <w:rFonts w:hint="cs"/>
          <w:rtl/>
        </w:rPr>
        <w:t>ו</w:t>
      </w:r>
      <w:r w:rsidR="007406F6">
        <w:rPr>
          <w:rFonts w:hint="cs"/>
          <w:rtl/>
        </w:rPr>
        <w:t xml:space="preserve"> כדי להתקיים</w:t>
      </w:r>
      <w:r w:rsidR="0076565A">
        <w:rPr>
          <w:rStyle w:val="FootnoteReference"/>
          <w:rtl/>
        </w:rPr>
        <w:footnoteReference w:id="687"/>
      </w:r>
      <w:r w:rsidR="00840611">
        <w:rPr>
          <w:rFonts w:hint="cs"/>
          <w:rtl/>
        </w:rPr>
        <w:t xml:space="preserve">. </w:t>
      </w:r>
      <w:r w:rsidR="00EA50B0">
        <w:rPr>
          <w:rFonts w:hint="cs"/>
          <w:rtl/>
        </w:rPr>
        <w:t xml:space="preserve"> </w:t>
      </w:r>
      <w:r w:rsidR="003E25F8">
        <w:rPr>
          <w:rFonts w:hint="cs"/>
          <w:rtl/>
        </w:rPr>
        <w:t xml:space="preserve"> </w:t>
      </w:r>
    </w:p>
    <w:p w14:paraId="5DE718DC" w14:textId="2832621A" w:rsidR="008A4A83" w:rsidRDefault="008A4A83" w:rsidP="002A7647">
      <w:pPr>
        <w:rPr>
          <w:rtl/>
        </w:rPr>
      </w:pPr>
      <w:r>
        <w:rPr>
          <w:rFonts w:hint="cs"/>
          <w:rtl/>
        </w:rPr>
        <w:t>וה</w:t>
      </w:r>
      <w:r w:rsidR="004D0539">
        <w:rPr>
          <w:rFonts w:hint="cs"/>
          <w:rtl/>
        </w:rPr>
        <w:t>חל</w:t>
      </w:r>
      <w:r w:rsidR="003769BE">
        <w:rPr>
          <w:rFonts w:hint="cs"/>
          <w:rtl/>
        </w:rPr>
        <w:t>ו</w:t>
      </w:r>
      <w:r>
        <w:rPr>
          <w:rFonts w:hint="cs"/>
          <w:rtl/>
        </w:rPr>
        <w:t>קה השנייה</w:t>
      </w:r>
      <w:r w:rsidR="00DB10F0">
        <w:rPr>
          <w:rFonts w:hint="cs"/>
          <w:rtl/>
        </w:rPr>
        <w:t xml:space="preserve"> </w:t>
      </w:r>
      <w:r w:rsidR="00A57375">
        <w:rPr>
          <w:rFonts w:hint="cs"/>
          <w:rtl/>
        </w:rPr>
        <w:t>היא שהחומר</w:t>
      </w:r>
      <w:r w:rsidR="00B42F90">
        <w:rPr>
          <w:rStyle w:val="FootnoteReference"/>
          <w:rtl/>
        </w:rPr>
        <w:footnoteReference w:id="688"/>
      </w:r>
      <w:r w:rsidR="00A57375">
        <w:rPr>
          <w:rFonts w:hint="cs"/>
          <w:rtl/>
        </w:rPr>
        <w:t xml:space="preserve"> </w:t>
      </w:r>
      <w:r w:rsidR="00917FA0">
        <w:rPr>
          <w:rFonts w:hint="cs"/>
          <w:rtl/>
        </w:rPr>
        <w:t xml:space="preserve">נצרך </w:t>
      </w:r>
      <w:r w:rsidR="0078351A">
        <w:rPr>
          <w:rFonts w:hint="cs"/>
          <w:rtl/>
        </w:rPr>
        <w:t>לדבר</w:t>
      </w:r>
      <w:r w:rsidR="00AF411B">
        <w:rPr>
          <w:rFonts w:hint="cs"/>
          <w:rtl/>
        </w:rPr>
        <w:t xml:space="preserve"> </w:t>
      </w:r>
      <w:r w:rsidR="004503A5">
        <w:rPr>
          <w:rFonts w:hint="cs"/>
          <w:rtl/>
        </w:rPr>
        <w:t xml:space="preserve">כעין </w:t>
      </w:r>
      <w:r w:rsidR="006D39E6">
        <w:rPr>
          <w:rFonts w:hint="cs"/>
          <w:rtl/>
        </w:rPr>
        <w:t>זה</w:t>
      </w:r>
      <w:r w:rsidR="00A821F3">
        <w:rPr>
          <w:rStyle w:val="FootnoteReference"/>
          <w:rtl/>
        </w:rPr>
        <w:footnoteReference w:id="689"/>
      </w:r>
      <w:r w:rsidR="0078351A">
        <w:rPr>
          <w:rFonts w:hint="cs"/>
          <w:rtl/>
        </w:rPr>
        <w:t xml:space="preserve"> כדי להתקיים בפועל, </w:t>
      </w:r>
      <w:r w:rsidR="00C504BC">
        <w:rPr>
          <w:rFonts w:hint="cs"/>
          <w:rtl/>
        </w:rPr>
        <w:t xml:space="preserve">והדבר </w:t>
      </w:r>
      <w:r w:rsidR="006D6762">
        <w:rPr>
          <w:rFonts w:hint="cs"/>
          <w:rtl/>
        </w:rPr>
        <w:t xml:space="preserve">יהיה </w:t>
      </w:r>
      <w:r w:rsidR="00487FC6">
        <w:rPr>
          <w:rFonts w:hint="cs"/>
          <w:rtl/>
        </w:rPr>
        <w:t>קודם</w:t>
      </w:r>
      <w:r w:rsidR="006D6762">
        <w:rPr>
          <w:rFonts w:hint="cs"/>
          <w:rtl/>
        </w:rPr>
        <w:t xml:space="preserve"> </w:t>
      </w:r>
      <w:r w:rsidR="00985F50">
        <w:rPr>
          <w:rFonts w:hint="cs"/>
          <w:rtl/>
        </w:rPr>
        <w:t xml:space="preserve">לו </w:t>
      </w:r>
      <w:r w:rsidR="002248AD">
        <w:rPr>
          <w:rFonts w:hint="cs"/>
          <w:rtl/>
        </w:rPr>
        <w:t>ב</w:t>
      </w:r>
      <w:r w:rsidR="00466723">
        <w:rPr>
          <w:rFonts w:hint="cs"/>
          <w:rtl/>
        </w:rPr>
        <w:t>מציאו</w:t>
      </w:r>
      <w:r w:rsidR="002248AD">
        <w:rPr>
          <w:rFonts w:hint="cs"/>
          <w:rtl/>
        </w:rPr>
        <w:t>תו העצמית</w:t>
      </w:r>
      <w:r w:rsidR="00A821F3">
        <w:rPr>
          <w:rStyle w:val="FootnoteReference"/>
          <w:rtl/>
        </w:rPr>
        <w:footnoteReference w:id="690"/>
      </w:r>
      <w:r w:rsidR="00581232">
        <w:rPr>
          <w:rFonts w:hint="cs"/>
          <w:rtl/>
        </w:rPr>
        <w:t xml:space="preserve">, </w:t>
      </w:r>
      <w:r w:rsidR="00094641">
        <w:rPr>
          <w:rFonts w:hint="cs"/>
          <w:rtl/>
        </w:rPr>
        <w:t>וה</w:t>
      </w:r>
      <w:r w:rsidR="00CC35A0">
        <w:rPr>
          <w:rFonts w:hint="cs"/>
          <w:rtl/>
        </w:rPr>
        <w:t>מציאות</w:t>
      </w:r>
      <w:r w:rsidR="00094641">
        <w:rPr>
          <w:rFonts w:hint="cs"/>
          <w:rtl/>
        </w:rPr>
        <w:t xml:space="preserve"> </w:t>
      </w:r>
      <w:r w:rsidR="00CC35A0">
        <w:rPr>
          <w:rFonts w:hint="cs"/>
          <w:rtl/>
        </w:rPr>
        <w:t>אינה</w:t>
      </w:r>
      <w:r w:rsidR="00364A01">
        <w:rPr>
          <w:rFonts w:hint="cs"/>
          <w:rtl/>
        </w:rPr>
        <w:t xml:space="preserve"> </w:t>
      </w:r>
      <w:r w:rsidR="002A7647">
        <w:rPr>
          <w:rFonts w:hint="cs"/>
          <w:rtl/>
        </w:rPr>
        <w:t xml:space="preserve">מחוברת אל החומר </w:t>
      </w:r>
      <w:r w:rsidR="007A4D2F">
        <w:rPr>
          <w:rFonts w:hint="cs"/>
          <w:rtl/>
        </w:rPr>
        <w:t xml:space="preserve">אלא </w:t>
      </w:r>
      <w:r w:rsidR="007065E2">
        <w:rPr>
          <w:rFonts w:hint="cs"/>
          <w:rtl/>
        </w:rPr>
        <w:t xml:space="preserve">אל </w:t>
      </w:r>
      <w:r w:rsidR="007A4D2F">
        <w:rPr>
          <w:rFonts w:hint="cs"/>
          <w:rtl/>
        </w:rPr>
        <w:t>התחלות אחרות</w:t>
      </w:r>
      <w:r w:rsidR="003C2CBB">
        <w:rPr>
          <w:rStyle w:val="FootnoteReference"/>
          <w:rtl/>
        </w:rPr>
        <w:footnoteReference w:id="691"/>
      </w:r>
      <w:r w:rsidR="00103AAC">
        <w:rPr>
          <w:rFonts w:hint="cs"/>
          <w:rtl/>
        </w:rPr>
        <w:t>,</w:t>
      </w:r>
      <w:r w:rsidR="00E41DC4">
        <w:rPr>
          <w:rFonts w:hint="cs"/>
          <w:rtl/>
        </w:rPr>
        <w:t xml:space="preserve"> </w:t>
      </w:r>
      <w:r w:rsidR="00103AAC">
        <w:rPr>
          <w:rFonts w:hint="cs"/>
          <w:rtl/>
        </w:rPr>
        <w:t>ו</w:t>
      </w:r>
      <w:r w:rsidR="00530B92">
        <w:rPr>
          <w:rFonts w:hint="cs"/>
          <w:rtl/>
        </w:rPr>
        <w:t>על כל פנים</w:t>
      </w:r>
      <w:r w:rsidR="00103AAC">
        <w:rPr>
          <w:rFonts w:hint="cs"/>
          <w:rtl/>
        </w:rPr>
        <w:t xml:space="preserve"> </w:t>
      </w:r>
      <w:r w:rsidR="008D7E60">
        <w:rPr>
          <w:rFonts w:hint="cs"/>
          <w:rtl/>
        </w:rPr>
        <w:t>הכרחי</w:t>
      </w:r>
      <w:r w:rsidR="00AA1ACE">
        <w:t xml:space="preserve"> </w:t>
      </w:r>
      <w:r w:rsidR="00AA1ACE">
        <w:rPr>
          <w:rFonts w:hint="cs"/>
          <w:rtl/>
        </w:rPr>
        <w:t>ש</w:t>
      </w:r>
      <w:r w:rsidR="00207A80">
        <w:rPr>
          <w:rFonts w:hint="cs"/>
          <w:rtl/>
        </w:rPr>
        <w:t>אם הוא</w:t>
      </w:r>
      <w:r w:rsidR="00C8660D">
        <w:rPr>
          <w:rStyle w:val="FootnoteReference"/>
          <w:rtl/>
        </w:rPr>
        <w:footnoteReference w:id="692"/>
      </w:r>
      <w:r w:rsidR="00207A80">
        <w:rPr>
          <w:rFonts w:hint="cs"/>
          <w:rtl/>
        </w:rPr>
        <w:t xml:space="preserve"> נמצא</w:t>
      </w:r>
      <w:r w:rsidR="007D70E0">
        <w:rPr>
          <w:rFonts w:hint="cs"/>
          <w:rtl/>
        </w:rPr>
        <w:t xml:space="preserve"> ש</w:t>
      </w:r>
      <w:r w:rsidR="00511012">
        <w:rPr>
          <w:rFonts w:hint="cs"/>
          <w:rtl/>
        </w:rPr>
        <w:t>יתקיים החומר שלו וייצא אל הפועל</w:t>
      </w:r>
      <w:r w:rsidR="00841A12">
        <w:rPr>
          <w:rStyle w:val="FootnoteReference"/>
          <w:rtl/>
        </w:rPr>
        <w:footnoteReference w:id="693"/>
      </w:r>
      <w:r w:rsidR="00B277B4">
        <w:rPr>
          <w:rFonts w:hint="cs"/>
          <w:rtl/>
        </w:rPr>
        <w:t xml:space="preserve">, </w:t>
      </w:r>
      <w:r w:rsidR="005769AA">
        <w:rPr>
          <w:rFonts w:hint="cs"/>
          <w:rtl/>
        </w:rPr>
        <w:t xml:space="preserve">כמו </w:t>
      </w:r>
      <w:r w:rsidR="0024540F">
        <w:rPr>
          <w:rFonts w:hint="cs"/>
          <w:rtl/>
        </w:rPr>
        <w:t xml:space="preserve">רבים מהדברים </w:t>
      </w:r>
      <w:r w:rsidR="00F1374B">
        <w:rPr>
          <w:rFonts w:hint="cs"/>
          <w:rtl/>
        </w:rPr>
        <w:t xml:space="preserve">שקיימים </w:t>
      </w:r>
      <w:r w:rsidR="001E044B">
        <w:rPr>
          <w:rFonts w:hint="cs"/>
          <w:rtl/>
        </w:rPr>
        <w:t xml:space="preserve">בדבר, </w:t>
      </w:r>
      <w:r w:rsidR="009D280B">
        <w:rPr>
          <w:rFonts w:hint="cs"/>
          <w:rtl/>
        </w:rPr>
        <w:t xml:space="preserve">ונצרכים אחרי שהתקיימו </w:t>
      </w:r>
      <w:r w:rsidR="00B00F67">
        <w:rPr>
          <w:rFonts w:hint="cs"/>
          <w:rtl/>
        </w:rPr>
        <w:t>שיתקיים דבר אחר</w:t>
      </w:r>
      <w:r w:rsidR="00E33CC8">
        <w:rPr>
          <w:rStyle w:val="FootnoteReference"/>
          <w:rtl/>
        </w:rPr>
        <w:footnoteReference w:id="694"/>
      </w:r>
      <w:r w:rsidR="00B00F67">
        <w:rPr>
          <w:rFonts w:hint="cs"/>
          <w:rtl/>
        </w:rPr>
        <w:t xml:space="preserve">. </w:t>
      </w:r>
      <w:r w:rsidR="005715D2">
        <w:rPr>
          <w:rFonts w:hint="cs"/>
          <w:rtl/>
        </w:rPr>
        <w:t xml:space="preserve">אפשר </w:t>
      </w:r>
      <w:r w:rsidR="004C58EB">
        <w:rPr>
          <w:rFonts w:hint="cs"/>
          <w:rtl/>
        </w:rPr>
        <w:t xml:space="preserve">שמה שמקיים </w:t>
      </w:r>
      <w:r w:rsidR="00233A60">
        <w:rPr>
          <w:rFonts w:hint="cs"/>
          <w:rtl/>
        </w:rPr>
        <w:t>אותו הוא נפרד מעצ</w:t>
      </w:r>
      <w:r w:rsidR="007B68E9">
        <w:rPr>
          <w:rFonts w:hint="cs"/>
          <w:rtl/>
        </w:rPr>
        <w:t xml:space="preserve">מותו, ואפשר </w:t>
      </w:r>
      <w:r w:rsidR="006E10EB">
        <w:rPr>
          <w:rFonts w:hint="cs"/>
          <w:rtl/>
        </w:rPr>
        <w:t xml:space="preserve">שמה שמקיים אותו </w:t>
      </w:r>
      <w:r w:rsidR="00AF1FC9">
        <w:rPr>
          <w:rFonts w:hint="cs"/>
          <w:rtl/>
        </w:rPr>
        <w:t>מחובר לעצמותו</w:t>
      </w:r>
      <w:r w:rsidR="0067027A">
        <w:rPr>
          <w:rStyle w:val="FootnoteReference"/>
          <w:rtl/>
        </w:rPr>
        <w:footnoteReference w:id="695"/>
      </w:r>
      <w:r w:rsidR="00AF1FC9">
        <w:rPr>
          <w:rFonts w:hint="cs"/>
          <w:rtl/>
        </w:rPr>
        <w:t xml:space="preserve">. </w:t>
      </w:r>
      <w:r w:rsidR="00C86718">
        <w:rPr>
          <w:rFonts w:hint="cs"/>
          <w:rtl/>
        </w:rPr>
        <w:t xml:space="preserve">וזה דומה </w:t>
      </w:r>
      <w:r w:rsidR="00281D62">
        <w:rPr>
          <w:rFonts w:hint="cs"/>
          <w:rtl/>
        </w:rPr>
        <w:t>לדבר ש</w:t>
      </w:r>
      <w:r w:rsidR="00281A53">
        <w:rPr>
          <w:rFonts w:hint="cs"/>
          <w:rtl/>
        </w:rPr>
        <w:t>קוראים לו</w:t>
      </w:r>
      <w:r w:rsidR="00281D62">
        <w:rPr>
          <w:rFonts w:hint="cs"/>
          <w:rtl/>
        </w:rPr>
        <w:t xml:space="preserve"> 'צורה',</w:t>
      </w:r>
      <w:r w:rsidR="005B0935">
        <w:rPr>
          <w:rFonts w:hint="cs"/>
          <w:rtl/>
        </w:rPr>
        <w:t xml:space="preserve"> </w:t>
      </w:r>
      <w:r w:rsidR="001924CD">
        <w:rPr>
          <w:rFonts w:hint="cs"/>
          <w:rtl/>
        </w:rPr>
        <w:t xml:space="preserve">ויש לה </w:t>
      </w:r>
      <w:r w:rsidR="00A7222D">
        <w:rPr>
          <w:rFonts w:hint="cs"/>
          <w:rtl/>
        </w:rPr>
        <w:t xml:space="preserve">חלק בקיום החומר </w:t>
      </w:r>
      <w:r w:rsidR="00B072F2">
        <w:rPr>
          <w:rFonts w:hint="cs"/>
          <w:rtl/>
        </w:rPr>
        <w:t>לפי עצמ</w:t>
      </w:r>
      <w:r w:rsidR="005543EB">
        <w:rPr>
          <w:rFonts w:hint="cs"/>
          <w:rtl/>
        </w:rPr>
        <w:t>ות</w:t>
      </w:r>
      <w:r w:rsidR="00B072F2">
        <w:rPr>
          <w:rFonts w:hint="cs"/>
          <w:rtl/>
        </w:rPr>
        <w:t>ו</w:t>
      </w:r>
      <w:r w:rsidR="00B072F2">
        <w:rPr>
          <w:rStyle w:val="FootnoteReference"/>
          <w:rtl/>
        </w:rPr>
        <w:footnoteReference w:id="696"/>
      </w:r>
      <w:r w:rsidR="005543EB">
        <w:rPr>
          <w:rFonts w:hint="cs"/>
          <w:rtl/>
        </w:rPr>
        <w:t>, והוא כל ה</w:t>
      </w:r>
      <w:r w:rsidR="002F3BC0">
        <w:rPr>
          <w:rFonts w:hint="cs"/>
          <w:rtl/>
        </w:rPr>
        <w:t>מקיים הקרוב</w:t>
      </w:r>
      <w:r w:rsidR="00417BF5">
        <w:rPr>
          <w:rStyle w:val="FootnoteReference"/>
          <w:rtl/>
        </w:rPr>
        <w:footnoteReference w:id="697"/>
      </w:r>
      <w:r w:rsidR="002F3BC0">
        <w:rPr>
          <w:rFonts w:hint="cs"/>
          <w:rtl/>
        </w:rPr>
        <w:t>. וביארנו זאת במקצוע הראשון</w:t>
      </w:r>
      <w:r w:rsidR="002F3BC0">
        <w:rPr>
          <w:rStyle w:val="FootnoteReference"/>
          <w:rtl/>
        </w:rPr>
        <w:footnoteReference w:id="698"/>
      </w:r>
      <w:r w:rsidR="003C0086">
        <w:rPr>
          <w:rFonts w:hint="cs"/>
          <w:rtl/>
        </w:rPr>
        <w:t>.</w:t>
      </w:r>
    </w:p>
    <w:p w14:paraId="0744B2E4" w14:textId="7AD2BC94" w:rsidR="009112F6" w:rsidRDefault="00D73D4F" w:rsidP="002A7647">
      <w:pPr>
        <w:rPr>
          <w:rtl/>
        </w:rPr>
      </w:pPr>
      <w:r>
        <w:rPr>
          <w:rFonts w:hint="cs"/>
          <w:rtl/>
        </w:rPr>
        <w:t>וה</w:t>
      </w:r>
      <w:r w:rsidR="004D0539">
        <w:rPr>
          <w:rFonts w:hint="cs"/>
          <w:rtl/>
        </w:rPr>
        <w:t>חל</w:t>
      </w:r>
      <w:r w:rsidR="00F34AA4">
        <w:rPr>
          <w:rFonts w:hint="cs"/>
          <w:rtl/>
        </w:rPr>
        <w:t>ו</w:t>
      </w:r>
      <w:r>
        <w:rPr>
          <w:rFonts w:hint="cs"/>
          <w:rtl/>
        </w:rPr>
        <w:t xml:space="preserve">קה השלישית </w:t>
      </w:r>
      <w:r w:rsidR="00B6087B">
        <w:rPr>
          <w:rFonts w:hint="cs"/>
          <w:rtl/>
        </w:rPr>
        <w:t xml:space="preserve">היא שיהיה החומר </w:t>
      </w:r>
      <w:r w:rsidR="004D6CE5">
        <w:rPr>
          <w:rFonts w:hint="cs"/>
          <w:rtl/>
        </w:rPr>
        <w:t xml:space="preserve">מתקיים </w:t>
      </w:r>
      <w:r w:rsidR="00BB6F49">
        <w:rPr>
          <w:rFonts w:hint="cs"/>
          <w:rtl/>
        </w:rPr>
        <w:t>בעצמותו ו</w:t>
      </w:r>
      <w:r w:rsidR="00C24A05">
        <w:rPr>
          <w:rFonts w:hint="cs"/>
          <w:rtl/>
        </w:rPr>
        <w:t xml:space="preserve">הוא </w:t>
      </w:r>
      <w:r w:rsidR="00725EB7" w:rsidRPr="00725EB7">
        <w:rPr>
          <w:rtl/>
        </w:rPr>
        <w:t>בְּפוֹעַל</w:t>
      </w:r>
      <w:r w:rsidR="00C857E3">
        <w:rPr>
          <w:rStyle w:val="FootnoteReference"/>
          <w:rtl/>
        </w:rPr>
        <w:footnoteReference w:id="699"/>
      </w:r>
      <w:r w:rsidR="00725EB7">
        <w:rPr>
          <w:rFonts w:hint="cs"/>
          <w:rtl/>
        </w:rPr>
        <w:t xml:space="preserve">, </w:t>
      </w:r>
      <w:r w:rsidR="00DA2C69">
        <w:rPr>
          <w:rFonts w:hint="cs"/>
          <w:rtl/>
        </w:rPr>
        <w:t>והוא ק</w:t>
      </w:r>
      <w:r w:rsidR="00131366">
        <w:rPr>
          <w:rFonts w:hint="cs"/>
          <w:rtl/>
        </w:rPr>
        <w:t>ו</w:t>
      </w:r>
      <w:r w:rsidR="00DA2C69">
        <w:rPr>
          <w:rFonts w:hint="cs"/>
          <w:rtl/>
        </w:rPr>
        <w:t>דם</w:t>
      </w:r>
      <w:r w:rsidR="00C24A05">
        <w:rPr>
          <w:rFonts w:hint="cs"/>
          <w:rtl/>
        </w:rPr>
        <w:t xml:space="preserve"> לדבר</w:t>
      </w:r>
      <w:r w:rsidR="00366ED6">
        <w:rPr>
          <w:rFonts w:hint="cs"/>
          <w:rtl/>
        </w:rPr>
        <w:t xml:space="preserve"> זה</w:t>
      </w:r>
      <w:r w:rsidR="00DC76B3">
        <w:rPr>
          <w:rStyle w:val="FootnoteReference"/>
          <w:rtl/>
        </w:rPr>
        <w:footnoteReference w:id="700"/>
      </w:r>
      <w:r w:rsidR="00366ED6">
        <w:rPr>
          <w:rFonts w:hint="cs"/>
          <w:rtl/>
        </w:rPr>
        <w:t xml:space="preserve">, </w:t>
      </w:r>
      <w:r w:rsidR="00AC37A9">
        <w:rPr>
          <w:rFonts w:hint="cs"/>
          <w:rtl/>
        </w:rPr>
        <w:t xml:space="preserve">ומקיים דבר זה. </w:t>
      </w:r>
      <w:r w:rsidR="000D6C7B">
        <w:rPr>
          <w:rFonts w:hint="cs"/>
          <w:rtl/>
        </w:rPr>
        <w:t xml:space="preserve">ודבר זה </w:t>
      </w:r>
      <w:r w:rsidR="00E67D94">
        <w:rPr>
          <w:rFonts w:hint="cs"/>
          <w:rtl/>
        </w:rPr>
        <w:t xml:space="preserve">הוא </w:t>
      </w:r>
      <w:r w:rsidR="001747D8">
        <w:rPr>
          <w:rFonts w:hint="cs"/>
          <w:rtl/>
        </w:rPr>
        <w:t xml:space="preserve">מה שאנו קוראים לו </w:t>
      </w:r>
      <w:r w:rsidR="001638F7">
        <w:rPr>
          <w:rFonts w:hint="cs"/>
          <w:rtl/>
        </w:rPr>
        <w:t>בצדק</w:t>
      </w:r>
      <w:r w:rsidR="001747D8">
        <w:rPr>
          <w:rFonts w:hint="cs"/>
          <w:rtl/>
        </w:rPr>
        <w:t xml:space="preserve"> 'מקרה'</w:t>
      </w:r>
      <w:r w:rsidR="00AE06FA">
        <w:rPr>
          <w:rFonts w:hint="cs"/>
          <w:rtl/>
        </w:rPr>
        <w:t xml:space="preserve">, </w:t>
      </w:r>
      <w:r w:rsidR="00017919">
        <w:rPr>
          <w:rFonts w:hint="cs"/>
          <w:rtl/>
        </w:rPr>
        <w:t>אף על פי שאפשר ש</w:t>
      </w:r>
      <w:r w:rsidR="008042B3">
        <w:rPr>
          <w:rFonts w:hint="cs"/>
          <w:rtl/>
        </w:rPr>
        <w:t xml:space="preserve">אנו קוראים </w:t>
      </w:r>
      <w:r w:rsidR="000020DE">
        <w:rPr>
          <w:rFonts w:hint="cs"/>
          <w:rtl/>
        </w:rPr>
        <w:t>ל</w:t>
      </w:r>
      <w:r w:rsidR="008042B3">
        <w:rPr>
          <w:rFonts w:hint="cs"/>
          <w:rtl/>
        </w:rPr>
        <w:t xml:space="preserve">כל </w:t>
      </w:r>
      <w:r w:rsidR="00173FC2">
        <w:rPr>
          <w:rFonts w:hint="cs"/>
          <w:rtl/>
        </w:rPr>
        <w:t>ה</w:t>
      </w:r>
      <w:r w:rsidR="00BD43D7">
        <w:rPr>
          <w:rFonts w:hint="cs"/>
          <w:rtl/>
        </w:rPr>
        <w:t>דברים</w:t>
      </w:r>
      <w:r w:rsidR="008D2E15">
        <w:rPr>
          <w:rStyle w:val="FootnoteReference"/>
          <w:rtl/>
        </w:rPr>
        <w:footnoteReference w:id="701"/>
      </w:r>
      <w:r w:rsidR="00BD43D7">
        <w:rPr>
          <w:rFonts w:hint="cs"/>
          <w:rtl/>
        </w:rPr>
        <w:t xml:space="preserve"> </w:t>
      </w:r>
      <w:r w:rsidR="00173FC2">
        <w:rPr>
          <w:rFonts w:hint="cs"/>
          <w:rtl/>
        </w:rPr>
        <w:t>ה</w:t>
      </w:r>
      <w:r w:rsidR="00BD43D7">
        <w:rPr>
          <w:rFonts w:hint="cs"/>
          <w:rtl/>
        </w:rPr>
        <w:t>אלה 'מקרים'.</w:t>
      </w:r>
      <w:r w:rsidR="00DA2C69">
        <w:rPr>
          <w:rFonts w:hint="cs"/>
          <w:rtl/>
        </w:rPr>
        <w:t xml:space="preserve"> </w:t>
      </w:r>
    </w:p>
    <w:p w14:paraId="1C8B3A6E" w14:textId="71EBF626" w:rsidR="006449E1" w:rsidRDefault="008D348F" w:rsidP="002A7647">
      <w:pPr>
        <w:rPr>
          <w:rtl/>
        </w:rPr>
      </w:pPr>
      <w:r>
        <w:rPr>
          <w:rFonts w:hint="cs"/>
          <w:rtl/>
        </w:rPr>
        <w:t>ובכן החל</w:t>
      </w:r>
      <w:r w:rsidR="00F34AA4">
        <w:rPr>
          <w:rFonts w:hint="cs"/>
          <w:rtl/>
        </w:rPr>
        <w:t>ו</w:t>
      </w:r>
      <w:r>
        <w:rPr>
          <w:rFonts w:hint="cs"/>
          <w:rtl/>
        </w:rPr>
        <w:t xml:space="preserve">קה הראשונה </w:t>
      </w:r>
      <w:r w:rsidR="006A54EA">
        <w:rPr>
          <w:rFonts w:hint="cs"/>
          <w:rtl/>
        </w:rPr>
        <w:t>מ</w:t>
      </w:r>
      <w:r w:rsidR="00106CAE">
        <w:rPr>
          <w:rFonts w:hint="cs"/>
          <w:rtl/>
        </w:rPr>
        <w:t xml:space="preserve">חייבת </w:t>
      </w:r>
      <w:r w:rsidR="00472039">
        <w:rPr>
          <w:rFonts w:hint="cs"/>
          <w:rtl/>
        </w:rPr>
        <w:t>שייכ</w:t>
      </w:r>
      <w:r w:rsidR="000A2307" w:rsidRPr="000A2307">
        <w:rPr>
          <w:rtl/>
        </w:rPr>
        <w:t>וּ</w:t>
      </w:r>
      <w:r w:rsidR="00472039">
        <w:rPr>
          <w:rFonts w:hint="cs"/>
          <w:rtl/>
        </w:rPr>
        <w:t>ת</w:t>
      </w:r>
      <w:r w:rsidR="0063715D">
        <w:rPr>
          <w:rFonts w:hint="cs"/>
          <w:rtl/>
        </w:rPr>
        <w:t xml:space="preserve"> </w:t>
      </w:r>
      <w:r w:rsidR="00A34FD6">
        <w:rPr>
          <w:rFonts w:hint="cs"/>
          <w:rtl/>
        </w:rPr>
        <w:t>זה עם זה ב</w:t>
      </w:r>
      <w:r w:rsidR="00D321B5">
        <w:rPr>
          <w:rFonts w:hint="cs"/>
          <w:rtl/>
        </w:rPr>
        <w:t>יחד</w:t>
      </w:r>
      <w:r w:rsidR="002F7F13">
        <w:rPr>
          <w:rStyle w:val="FootnoteReference"/>
          <w:rtl/>
        </w:rPr>
        <w:footnoteReference w:id="702"/>
      </w:r>
      <w:r w:rsidR="00617C38">
        <w:rPr>
          <w:rFonts w:hint="cs"/>
          <w:rtl/>
        </w:rPr>
        <w:t>,</w:t>
      </w:r>
      <w:r w:rsidR="00FF08E7">
        <w:rPr>
          <w:rFonts w:hint="cs"/>
          <w:rtl/>
        </w:rPr>
        <w:t xml:space="preserve"> </w:t>
      </w:r>
      <w:r w:rsidR="006C4862">
        <w:rPr>
          <w:rFonts w:hint="cs"/>
          <w:rtl/>
        </w:rPr>
        <w:t>והחל</w:t>
      </w:r>
      <w:r w:rsidR="00F34AA4">
        <w:rPr>
          <w:rFonts w:hint="cs"/>
          <w:rtl/>
        </w:rPr>
        <w:t>ו</w:t>
      </w:r>
      <w:r w:rsidR="006C4862">
        <w:rPr>
          <w:rFonts w:hint="cs"/>
          <w:rtl/>
        </w:rPr>
        <w:t>קות האחרות</w:t>
      </w:r>
      <w:r w:rsidR="00472039">
        <w:rPr>
          <w:rFonts w:hint="cs"/>
          <w:rtl/>
        </w:rPr>
        <w:t xml:space="preserve"> שייכ</w:t>
      </w:r>
      <w:r w:rsidR="002F53F9" w:rsidRPr="002F53F9">
        <w:rPr>
          <w:rtl/>
        </w:rPr>
        <w:t>וּ</w:t>
      </w:r>
      <w:r w:rsidR="00472039">
        <w:rPr>
          <w:rFonts w:hint="cs"/>
          <w:rtl/>
        </w:rPr>
        <w:t>ת</w:t>
      </w:r>
      <w:r w:rsidR="00965EC1">
        <w:rPr>
          <w:rFonts w:hint="cs"/>
          <w:rtl/>
        </w:rPr>
        <w:t xml:space="preserve"> של ק</w:t>
      </w:r>
      <w:r w:rsidR="004965A1">
        <w:rPr>
          <w:rFonts w:hint="cs"/>
          <w:rtl/>
        </w:rPr>
        <w:t>ו</w:t>
      </w:r>
      <w:r w:rsidR="00965EC1">
        <w:rPr>
          <w:rFonts w:hint="cs"/>
          <w:rtl/>
        </w:rPr>
        <w:t xml:space="preserve">דם ומאוחר. </w:t>
      </w:r>
      <w:r w:rsidR="00095868">
        <w:rPr>
          <w:rFonts w:hint="cs"/>
          <w:rtl/>
        </w:rPr>
        <w:t xml:space="preserve">על כל פנים </w:t>
      </w:r>
      <w:r w:rsidR="00E54157">
        <w:rPr>
          <w:rFonts w:hint="cs"/>
          <w:rtl/>
        </w:rPr>
        <w:t>בראשונה מהן</w:t>
      </w:r>
      <w:r w:rsidR="004512D0">
        <w:rPr>
          <w:rStyle w:val="FootnoteReference"/>
          <w:rtl/>
        </w:rPr>
        <w:footnoteReference w:id="703"/>
      </w:r>
      <w:r w:rsidR="00E54157">
        <w:rPr>
          <w:rFonts w:hint="cs"/>
          <w:rtl/>
        </w:rPr>
        <w:t xml:space="preserve"> </w:t>
      </w:r>
      <w:r w:rsidR="004A5A63">
        <w:rPr>
          <w:rFonts w:hint="cs"/>
          <w:rtl/>
        </w:rPr>
        <w:t>מה שהוא בחומר</w:t>
      </w:r>
      <w:r w:rsidR="004965A1">
        <w:rPr>
          <w:rFonts w:hint="cs"/>
          <w:rtl/>
        </w:rPr>
        <w:t xml:space="preserve"> קודם</w:t>
      </w:r>
      <w:r w:rsidR="00A00656">
        <w:rPr>
          <w:rFonts w:hint="cs"/>
          <w:rtl/>
        </w:rPr>
        <w:t xml:space="preserve">, ולפי </w:t>
      </w:r>
      <w:r w:rsidR="009023DA">
        <w:rPr>
          <w:rFonts w:hint="cs"/>
          <w:rtl/>
        </w:rPr>
        <w:t xml:space="preserve">החלוקה השנייה </w:t>
      </w:r>
      <w:r w:rsidR="008C6CFD">
        <w:rPr>
          <w:rFonts w:hint="cs"/>
          <w:rtl/>
        </w:rPr>
        <w:t xml:space="preserve">מהן </w:t>
      </w:r>
      <w:r w:rsidR="003A4004">
        <w:rPr>
          <w:rFonts w:hint="cs"/>
          <w:rtl/>
        </w:rPr>
        <w:t>החומר קודם</w:t>
      </w:r>
      <w:r w:rsidR="004A5A63">
        <w:rPr>
          <w:rFonts w:hint="cs"/>
          <w:rtl/>
        </w:rPr>
        <w:t>.</w:t>
      </w:r>
    </w:p>
    <w:p w14:paraId="49E210F0" w14:textId="2D204B93" w:rsidR="003442A5" w:rsidRDefault="00277A24" w:rsidP="002A7647">
      <w:pPr>
        <w:rPr>
          <w:rtl/>
        </w:rPr>
      </w:pPr>
      <w:r>
        <w:rPr>
          <w:rFonts w:hint="cs"/>
          <w:rtl/>
        </w:rPr>
        <w:t>וה</w:t>
      </w:r>
      <w:r w:rsidR="00F34AA4">
        <w:rPr>
          <w:rFonts w:hint="cs"/>
          <w:rtl/>
        </w:rPr>
        <w:t>חלו</w:t>
      </w:r>
      <w:r>
        <w:rPr>
          <w:rFonts w:hint="cs"/>
          <w:rtl/>
        </w:rPr>
        <w:t xml:space="preserve">קה הראשונה </w:t>
      </w:r>
      <w:r w:rsidR="00302EBB">
        <w:rPr>
          <w:rFonts w:hint="cs"/>
          <w:rtl/>
        </w:rPr>
        <w:t xml:space="preserve">אין </w:t>
      </w:r>
      <w:r w:rsidR="00102B69">
        <w:rPr>
          <w:rFonts w:hint="cs"/>
          <w:rtl/>
        </w:rPr>
        <w:t>מציאותה מחוורת</w:t>
      </w:r>
      <w:r w:rsidR="00302EBB">
        <w:rPr>
          <w:rFonts w:hint="cs"/>
          <w:rtl/>
        </w:rPr>
        <w:t xml:space="preserve"> וודאית</w:t>
      </w:r>
      <w:r w:rsidR="00102B69">
        <w:rPr>
          <w:rFonts w:hint="cs"/>
          <w:rtl/>
        </w:rPr>
        <w:t xml:space="preserve">, </w:t>
      </w:r>
      <w:r w:rsidR="00265EC3">
        <w:rPr>
          <w:rFonts w:hint="cs"/>
          <w:rtl/>
        </w:rPr>
        <w:t xml:space="preserve">ואם יש לה מציאות </w:t>
      </w:r>
      <w:r w:rsidR="00593EF2">
        <w:rPr>
          <w:rFonts w:hint="cs"/>
          <w:rtl/>
        </w:rPr>
        <w:t xml:space="preserve">היא כמו הייתה הנפש והחומר </w:t>
      </w:r>
      <w:r w:rsidR="00C14E08">
        <w:rPr>
          <w:rFonts w:hint="cs"/>
          <w:rtl/>
        </w:rPr>
        <w:t>הראשון</w:t>
      </w:r>
      <w:r w:rsidR="00045436">
        <w:rPr>
          <w:rStyle w:val="FootnoteReference"/>
          <w:rtl/>
        </w:rPr>
        <w:footnoteReference w:id="704"/>
      </w:r>
      <w:r w:rsidR="00F40337">
        <w:rPr>
          <w:rFonts w:hint="cs"/>
          <w:rtl/>
        </w:rPr>
        <w:t xml:space="preserve"> </w:t>
      </w:r>
      <w:r w:rsidR="0055758A">
        <w:rPr>
          <w:rFonts w:hint="cs"/>
          <w:rtl/>
        </w:rPr>
        <w:t>כש</w:t>
      </w:r>
      <w:r w:rsidR="00F40337">
        <w:rPr>
          <w:rFonts w:hint="cs"/>
          <w:rtl/>
        </w:rPr>
        <w:t xml:space="preserve">הם </w:t>
      </w:r>
      <w:r w:rsidR="00564E70">
        <w:rPr>
          <w:rFonts w:hint="cs"/>
          <w:rtl/>
        </w:rPr>
        <w:t xml:space="preserve">מתחברים </w:t>
      </w:r>
      <w:r w:rsidR="00E42AEA">
        <w:rPr>
          <w:rFonts w:hint="cs"/>
          <w:rtl/>
        </w:rPr>
        <w:t>לקיים את</w:t>
      </w:r>
      <w:r w:rsidR="00564E70">
        <w:rPr>
          <w:rFonts w:hint="cs"/>
          <w:rtl/>
        </w:rPr>
        <w:t xml:space="preserve"> בני האדם.</w:t>
      </w:r>
      <w:r w:rsidR="00BB4340">
        <w:rPr>
          <w:rFonts w:hint="cs"/>
          <w:rtl/>
        </w:rPr>
        <w:t xml:space="preserve"> </w:t>
      </w:r>
      <w:r w:rsidR="003C2835">
        <w:rPr>
          <w:rFonts w:hint="cs"/>
          <w:rtl/>
        </w:rPr>
        <w:t>ו</w:t>
      </w:r>
      <w:r w:rsidR="00BB4340">
        <w:rPr>
          <w:rFonts w:hint="cs"/>
          <w:rtl/>
        </w:rPr>
        <w:t>אמנם הח</w:t>
      </w:r>
      <w:r w:rsidR="00F34AA4">
        <w:rPr>
          <w:rFonts w:hint="cs"/>
          <w:rtl/>
        </w:rPr>
        <w:t>לו</w:t>
      </w:r>
      <w:r w:rsidR="00BB4340">
        <w:rPr>
          <w:rFonts w:hint="cs"/>
          <w:rtl/>
        </w:rPr>
        <w:t>קות האחרות</w:t>
      </w:r>
      <w:r w:rsidR="00A92D8F">
        <w:rPr>
          <w:rStyle w:val="FootnoteReference"/>
          <w:rtl/>
        </w:rPr>
        <w:footnoteReference w:id="705"/>
      </w:r>
      <w:r w:rsidR="00A7769E">
        <w:rPr>
          <w:rFonts w:hint="cs"/>
          <w:rtl/>
        </w:rPr>
        <w:t xml:space="preserve"> </w:t>
      </w:r>
      <w:r w:rsidR="00C16DEC">
        <w:rPr>
          <w:rFonts w:hint="cs"/>
          <w:rtl/>
        </w:rPr>
        <w:t xml:space="preserve">כבר </w:t>
      </w:r>
      <w:r w:rsidR="00CD0B8E">
        <w:rPr>
          <w:rFonts w:hint="cs"/>
          <w:rtl/>
        </w:rPr>
        <w:t xml:space="preserve">דיברנו בהם </w:t>
      </w:r>
      <w:r w:rsidR="006E1E5D">
        <w:rPr>
          <w:rFonts w:hint="cs"/>
          <w:rtl/>
        </w:rPr>
        <w:t>פעמים רבות</w:t>
      </w:r>
      <w:r w:rsidR="00CD0B8E">
        <w:rPr>
          <w:rFonts w:hint="cs"/>
          <w:rtl/>
        </w:rPr>
        <w:t>.</w:t>
      </w:r>
    </w:p>
    <w:p w14:paraId="19235F39" w14:textId="77777777" w:rsidR="003442A5" w:rsidRDefault="003442A5" w:rsidP="00720E43">
      <w:pPr>
        <w:pStyle w:val="Heading4"/>
        <w:rPr>
          <w:rtl/>
        </w:rPr>
      </w:pPr>
      <w:bookmarkStart w:id="305" w:name="_Toc119092698"/>
      <w:r>
        <w:rPr>
          <w:rFonts w:hint="cs"/>
          <w:rtl/>
        </w:rPr>
        <w:t>1.10.7</w:t>
      </w:r>
      <w:bookmarkEnd w:id="305"/>
    </w:p>
    <w:p w14:paraId="47224DEE" w14:textId="527F7F50" w:rsidR="00D73D4F" w:rsidRDefault="00FE0306" w:rsidP="002A7647">
      <w:pPr>
        <w:rPr>
          <w:rtl/>
        </w:rPr>
      </w:pPr>
      <w:r>
        <w:rPr>
          <w:rFonts w:hint="cs"/>
          <w:rtl/>
        </w:rPr>
        <w:t xml:space="preserve">והחומר </w:t>
      </w:r>
      <w:r w:rsidR="00C02CF1">
        <w:rPr>
          <w:rFonts w:hint="cs"/>
          <w:rtl/>
        </w:rPr>
        <w:t xml:space="preserve">עם מה </w:t>
      </w:r>
      <w:r w:rsidR="00605C0F">
        <w:rPr>
          <w:rFonts w:hint="cs"/>
          <w:rtl/>
        </w:rPr>
        <w:t>ש</w:t>
      </w:r>
      <w:r w:rsidR="00EF5072">
        <w:rPr>
          <w:rFonts w:hint="cs"/>
          <w:rtl/>
        </w:rPr>
        <w:t>נעשה</w:t>
      </w:r>
      <w:r w:rsidR="00605C0F">
        <w:rPr>
          <w:rFonts w:hint="cs"/>
          <w:rtl/>
        </w:rPr>
        <w:t xml:space="preserve"> ממנו</w:t>
      </w:r>
      <w:r w:rsidR="00F25A6D">
        <w:rPr>
          <w:rStyle w:val="FootnoteReference"/>
          <w:rtl/>
        </w:rPr>
        <w:footnoteReference w:id="706"/>
      </w:r>
      <w:r w:rsidR="007529E7">
        <w:rPr>
          <w:rFonts w:hint="cs"/>
          <w:rtl/>
        </w:rPr>
        <w:t>,</w:t>
      </w:r>
      <w:r w:rsidR="00605C0F">
        <w:rPr>
          <w:rFonts w:hint="cs"/>
          <w:rtl/>
        </w:rPr>
        <w:t xml:space="preserve"> שהוא חלק ממציאות</w:t>
      </w:r>
      <w:r w:rsidR="00E90738">
        <w:rPr>
          <w:rFonts w:hint="cs"/>
          <w:rtl/>
        </w:rPr>
        <w:t>ו</w:t>
      </w:r>
      <w:r w:rsidR="00C56291">
        <w:rPr>
          <w:rStyle w:val="FootnoteReference"/>
          <w:rtl/>
        </w:rPr>
        <w:footnoteReference w:id="707"/>
      </w:r>
      <w:r w:rsidR="00E90738">
        <w:rPr>
          <w:rFonts w:hint="cs"/>
          <w:rtl/>
        </w:rPr>
        <w:t xml:space="preserve">, </w:t>
      </w:r>
      <w:r w:rsidR="008F06F1">
        <w:rPr>
          <w:rFonts w:hint="cs"/>
          <w:rtl/>
        </w:rPr>
        <w:t>הוא מין אחר מבחינ</w:t>
      </w:r>
      <w:r w:rsidR="00AB30FA">
        <w:rPr>
          <w:rFonts w:hint="cs"/>
          <w:rtl/>
        </w:rPr>
        <w:t>ת</w:t>
      </w:r>
      <w:r w:rsidR="00273E1C">
        <w:rPr>
          <w:rFonts w:hint="cs"/>
          <w:rtl/>
        </w:rPr>
        <w:t xml:space="preserve"> </w:t>
      </w:r>
      <w:r w:rsidR="00AB30FA">
        <w:rPr>
          <w:rFonts w:hint="cs"/>
          <w:rtl/>
        </w:rPr>
        <w:t>היחס</w:t>
      </w:r>
      <w:r w:rsidR="00262F2F">
        <w:rPr>
          <w:rStyle w:val="FootnoteReference"/>
          <w:rtl/>
        </w:rPr>
        <w:footnoteReference w:id="708"/>
      </w:r>
      <w:r w:rsidR="00F10C6D">
        <w:rPr>
          <w:rFonts w:hint="cs"/>
          <w:rtl/>
        </w:rPr>
        <w:t>,</w:t>
      </w:r>
      <w:r w:rsidR="002E0939">
        <w:rPr>
          <w:rFonts w:hint="cs"/>
          <w:rtl/>
        </w:rPr>
        <w:t xml:space="preserve"> </w:t>
      </w:r>
      <w:r w:rsidR="00BB058A">
        <w:rPr>
          <w:rFonts w:hint="cs"/>
          <w:rtl/>
        </w:rPr>
        <w:t>ו</w:t>
      </w:r>
      <w:r w:rsidR="0088386F">
        <w:rPr>
          <w:rFonts w:hint="cs"/>
          <w:rtl/>
        </w:rPr>
        <w:t xml:space="preserve">גם </w:t>
      </w:r>
      <w:r w:rsidR="00BB058A">
        <w:rPr>
          <w:rFonts w:hint="cs"/>
          <w:rtl/>
        </w:rPr>
        <w:t>י</w:t>
      </w:r>
      <w:r w:rsidR="00753DC3" w:rsidRPr="00753DC3">
        <w:rPr>
          <w:rtl/>
        </w:rPr>
        <w:t>וּ</w:t>
      </w:r>
      <w:r w:rsidR="002356CE">
        <w:rPr>
          <w:rFonts w:hint="cs"/>
          <w:rtl/>
        </w:rPr>
        <w:t>טב</w:t>
      </w:r>
      <w:r w:rsidR="00BB058A">
        <w:rPr>
          <w:rFonts w:hint="cs"/>
          <w:rtl/>
        </w:rPr>
        <w:t xml:space="preserve"> יחס זה </w:t>
      </w:r>
      <w:r w:rsidR="00C961CB">
        <w:rPr>
          <w:rFonts w:hint="cs"/>
          <w:rtl/>
        </w:rPr>
        <w:t>במעבר</w:t>
      </w:r>
      <w:r w:rsidR="00DB698C">
        <w:rPr>
          <w:rFonts w:hint="cs"/>
          <w:rtl/>
        </w:rPr>
        <w:t>ו</w:t>
      </w:r>
      <w:r w:rsidR="00BB058A">
        <w:rPr>
          <w:rFonts w:hint="cs"/>
          <w:rtl/>
        </w:rPr>
        <w:t xml:space="preserve"> לצורה. </w:t>
      </w:r>
      <w:r w:rsidR="00843707">
        <w:rPr>
          <w:rFonts w:hint="cs"/>
          <w:rtl/>
        </w:rPr>
        <w:t>שאכן</w:t>
      </w:r>
      <w:r w:rsidR="00BA54E3">
        <w:rPr>
          <w:rFonts w:hint="cs"/>
          <w:rtl/>
        </w:rPr>
        <w:t xml:space="preserve"> החומר </w:t>
      </w:r>
      <w:r w:rsidR="004B6BD0">
        <w:rPr>
          <w:rFonts w:hint="cs"/>
          <w:rtl/>
        </w:rPr>
        <w:t xml:space="preserve">לבדו </w:t>
      </w:r>
      <w:r w:rsidR="00262244">
        <w:rPr>
          <w:rFonts w:hint="cs"/>
          <w:rtl/>
        </w:rPr>
        <w:t xml:space="preserve">אפשר שיספיק </w:t>
      </w:r>
      <w:r w:rsidR="004B6BD0">
        <w:rPr>
          <w:rFonts w:hint="cs"/>
          <w:rtl/>
        </w:rPr>
        <w:t>להיות</w:t>
      </w:r>
      <w:r w:rsidR="00AB6436">
        <w:rPr>
          <w:rFonts w:hint="cs"/>
          <w:rtl/>
        </w:rPr>
        <w:t xml:space="preserve"> </w:t>
      </w:r>
      <w:r w:rsidR="004B6BD0">
        <w:rPr>
          <w:rFonts w:hint="cs"/>
          <w:rtl/>
        </w:rPr>
        <w:t xml:space="preserve">החלק </w:t>
      </w:r>
      <w:r w:rsidR="003C7656">
        <w:rPr>
          <w:rFonts w:hint="cs"/>
          <w:rtl/>
        </w:rPr>
        <w:t xml:space="preserve">החומרי </w:t>
      </w:r>
      <w:r w:rsidR="003163E8">
        <w:rPr>
          <w:rFonts w:hint="cs"/>
          <w:rtl/>
        </w:rPr>
        <w:t xml:space="preserve">למה </w:t>
      </w:r>
      <w:r w:rsidR="00D40A56">
        <w:rPr>
          <w:rFonts w:hint="cs"/>
          <w:rtl/>
        </w:rPr>
        <w:t>שיש בו חומר</w:t>
      </w:r>
      <w:r w:rsidR="00D40A56">
        <w:rPr>
          <w:rStyle w:val="FootnoteReference"/>
          <w:rtl/>
        </w:rPr>
        <w:footnoteReference w:id="709"/>
      </w:r>
      <w:r w:rsidR="007F647C">
        <w:rPr>
          <w:rFonts w:hint="cs"/>
          <w:rtl/>
        </w:rPr>
        <w:t>,</w:t>
      </w:r>
      <w:r w:rsidR="00EE5874">
        <w:rPr>
          <w:rFonts w:hint="cs"/>
          <w:rtl/>
        </w:rPr>
        <w:t xml:space="preserve"> </w:t>
      </w:r>
      <w:r w:rsidR="00CE56DC">
        <w:rPr>
          <w:rFonts w:hint="cs"/>
          <w:rtl/>
        </w:rPr>
        <w:t>ו</w:t>
      </w:r>
      <w:r w:rsidR="00A83A0F">
        <w:rPr>
          <w:rFonts w:hint="cs"/>
          <w:rtl/>
        </w:rPr>
        <w:t>ז</w:t>
      </w:r>
      <w:r w:rsidR="00451C08">
        <w:rPr>
          <w:rFonts w:hint="cs"/>
          <w:rtl/>
        </w:rPr>
        <w:t>ה</w:t>
      </w:r>
      <w:r w:rsidR="007F647C">
        <w:rPr>
          <w:rFonts w:hint="cs"/>
          <w:rtl/>
        </w:rPr>
        <w:t xml:space="preserve"> </w:t>
      </w:r>
      <w:r w:rsidR="003C3585">
        <w:rPr>
          <w:rFonts w:hint="cs"/>
          <w:rtl/>
        </w:rPr>
        <w:t>ענף</w:t>
      </w:r>
      <w:r w:rsidR="007F647C">
        <w:rPr>
          <w:rFonts w:hint="cs"/>
          <w:rtl/>
        </w:rPr>
        <w:t xml:space="preserve"> מהדברים</w:t>
      </w:r>
      <w:r w:rsidR="00492336">
        <w:rPr>
          <w:rStyle w:val="FootnoteReference"/>
          <w:rtl/>
        </w:rPr>
        <w:footnoteReference w:id="710"/>
      </w:r>
      <w:r w:rsidR="00030749">
        <w:rPr>
          <w:rFonts w:hint="cs"/>
          <w:rtl/>
        </w:rPr>
        <w:t xml:space="preserve">; </w:t>
      </w:r>
      <w:r w:rsidR="00B82DCF">
        <w:rPr>
          <w:rFonts w:hint="cs"/>
          <w:rtl/>
        </w:rPr>
        <w:t xml:space="preserve">ואפשר שלא יספיק </w:t>
      </w:r>
      <w:r w:rsidR="00F655DF">
        <w:rPr>
          <w:rFonts w:hint="cs"/>
          <w:rtl/>
        </w:rPr>
        <w:t xml:space="preserve">למה שלא </w:t>
      </w:r>
      <w:r w:rsidR="00260D39">
        <w:rPr>
          <w:rFonts w:hint="cs"/>
          <w:rtl/>
        </w:rPr>
        <w:t>יתחבר אליו חומר אחר</w:t>
      </w:r>
      <w:r w:rsidR="002B3E3F">
        <w:rPr>
          <w:rFonts w:hint="cs"/>
          <w:rtl/>
        </w:rPr>
        <w:t xml:space="preserve"> וי</w:t>
      </w:r>
      <w:r w:rsidR="00AF3865">
        <w:rPr>
          <w:rFonts w:hint="cs"/>
          <w:rtl/>
        </w:rPr>
        <w:t xml:space="preserve">היה </w:t>
      </w:r>
      <w:r w:rsidR="00EE05D4">
        <w:rPr>
          <w:rFonts w:hint="cs"/>
          <w:rtl/>
        </w:rPr>
        <w:t>מצורף</w:t>
      </w:r>
      <w:r w:rsidR="00AF3865">
        <w:rPr>
          <w:rFonts w:hint="cs"/>
          <w:rtl/>
        </w:rPr>
        <w:t xml:space="preserve"> ממנו ומהאח</w:t>
      </w:r>
      <w:r w:rsidR="00EE05D4">
        <w:rPr>
          <w:rFonts w:hint="cs"/>
          <w:rtl/>
        </w:rPr>
        <w:t>ר</w:t>
      </w:r>
      <w:r w:rsidR="00D215CA">
        <w:rPr>
          <w:rFonts w:hint="cs"/>
          <w:rtl/>
        </w:rPr>
        <w:t xml:space="preserve">, כמו חומר אחד </w:t>
      </w:r>
      <w:r w:rsidR="00BD163C">
        <w:rPr>
          <w:rFonts w:hint="cs"/>
          <w:rtl/>
        </w:rPr>
        <w:t>להשלמת צורת הדבר</w:t>
      </w:r>
      <w:r w:rsidR="003C6C49">
        <w:rPr>
          <w:rFonts w:hint="cs"/>
          <w:rtl/>
        </w:rPr>
        <w:t>, וז</w:t>
      </w:r>
      <w:r w:rsidR="00451C08">
        <w:rPr>
          <w:rFonts w:hint="cs"/>
          <w:rtl/>
        </w:rPr>
        <w:t>ה</w:t>
      </w:r>
      <w:r w:rsidR="003C6C49">
        <w:rPr>
          <w:rFonts w:hint="cs"/>
          <w:rtl/>
        </w:rPr>
        <w:t xml:space="preserve"> </w:t>
      </w:r>
      <w:r w:rsidR="00011934">
        <w:rPr>
          <w:rFonts w:hint="cs"/>
          <w:rtl/>
        </w:rPr>
        <w:t>ענ</w:t>
      </w:r>
      <w:r w:rsidR="007B61F7">
        <w:rPr>
          <w:rFonts w:hint="cs"/>
          <w:rtl/>
        </w:rPr>
        <w:t>ף</w:t>
      </w:r>
      <w:r w:rsidR="003C6C49">
        <w:rPr>
          <w:rFonts w:hint="cs"/>
          <w:rtl/>
        </w:rPr>
        <w:t xml:space="preserve"> מהדברים</w:t>
      </w:r>
      <w:r w:rsidR="005C65C2">
        <w:rPr>
          <w:rFonts w:hint="cs"/>
          <w:rtl/>
        </w:rPr>
        <w:t>,</w:t>
      </w:r>
      <w:r w:rsidR="00EC25A7">
        <w:rPr>
          <w:rFonts w:hint="cs"/>
          <w:rtl/>
        </w:rPr>
        <w:t xml:space="preserve"> כמו </w:t>
      </w:r>
      <w:r w:rsidR="008F5B5A">
        <w:rPr>
          <w:rFonts w:hint="cs"/>
          <w:rtl/>
        </w:rPr>
        <w:t xml:space="preserve">תרופות לאספלנית </w:t>
      </w:r>
      <w:r w:rsidR="009F71CF">
        <w:rPr>
          <w:rFonts w:hint="cs"/>
          <w:rtl/>
        </w:rPr>
        <w:t>ומיצי עיכול לגוף</w:t>
      </w:r>
      <w:r w:rsidR="00095E6F">
        <w:rPr>
          <w:rStyle w:val="FootnoteReference"/>
          <w:rtl/>
        </w:rPr>
        <w:footnoteReference w:id="711"/>
      </w:r>
      <w:r w:rsidR="009F71CF">
        <w:rPr>
          <w:rFonts w:hint="cs"/>
          <w:rtl/>
        </w:rPr>
        <w:t>.</w:t>
      </w:r>
    </w:p>
    <w:p w14:paraId="411DD2E9" w14:textId="4AE29F91" w:rsidR="00EE4563" w:rsidRDefault="006862FA" w:rsidP="002A7647">
      <w:pPr>
        <w:rPr>
          <w:rtl/>
        </w:rPr>
      </w:pPr>
      <w:r>
        <w:rPr>
          <w:rFonts w:hint="cs"/>
          <w:rtl/>
        </w:rPr>
        <w:t>וא</w:t>
      </w:r>
      <w:r w:rsidR="000A1FB5">
        <w:rPr>
          <w:rFonts w:hint="cs"/>
          <w:rtl/>
        </w:rPr>
        <w:t>פשר</w:t>
      </w:r>
      <w:r w:rsidR="00E33C77">
        <w:rPr>
          <w:rFonts w:hint="cs"/>
          <w:rtl/>
        </w:rPr>
        <w:t xml:space="preserve"> </w:t>
      </w:r>
      <w:r w:rsidR="000A1FB5">
        <w:rPr>
          <w:rFonts w:hint="cs"/>
          <w:rtl/>
        </w:rPr>
        <w:t>שי</w:t>
      </w:r>
      <w:r w:rsidR="00A830DB">
        <w:rPr>
          <w:rFonts w:hint="cs"/>
          <w:rtl/>
        </w:rPr>
        <w:t xml:space="preserve">היה החומר </w:t>
      </w:r>
      <w:r w:rsidR="00C471E4">
        <w:rPr>
          <w:rFonts w:hint="cs"/>
          <w:rtl/>
        </w:rPr>
        <w:t>כך</w:t>
      </w:r>
      <w:r w:rsidR="00B721EB">
        <w:rPr>
          <w:rFonts w:hint="cs"/>
          <w:rtl/>
        </w:rPr>
        <w:t xml:space="preserve"> </w:t>
      </w:r>
      <w:r w:rsidR="003613F0">
        <w:rPr>
          <w:rFonts w:hint="cs"/>
          <w:rtl/>
        </w:rPr>
        <w:t>ש</w:t>
      </w:r>
      <w:r w:rsidR="00FA73E5">
        <w:rPr>
          <w:rFonts w:hint="cs"/>
          <w:rtl/>
        </w:rPr>
        <w:t>י</w:t>
      </w:r>
      <w:r w:rsidR="00BA36BE">
        <w:rPr>
          <w:rFonts w:hint="cs"/>
          <w:rtl/>
        </w:rPr>
        <w:t>ת</w:t>
      </w:r>
      <w:r w:rsidR="00FA73E5">
        <w:rPr>
          <w:rFonts w:hint="cs"/>
          <w:rtl/>
        </w:rPr>
        <w:t>ה</w:t>
      </w:r>
      <w:r w:rsidR="00BA36BE">
        <w:rPr>
          <w:rFonts w:hint="cs"/>
          <w:rtl/>
        </w:rPr>
        <w:t>וו</w:t>
      </w:r>
      <w:r w:rsidR="00FA73E5">
        <w:rPr>
          <w:rFonts w:hint="cs"/>
          <w:rtl/>
        </w:rPr>
        <w:t xml:space="preserve">ה </w:t>
      </w:r>
      <w:r w:rsidR="003613F0">
        <w:rPr>
          <w:rFonts w:hint="cs"/>
          <w:rtl/>
        </w:rPr>
        <w:t>ממנו ה</w:t>
      </w:r>
      <w:r w:rsidR="00FA73E5">
        <w:rPr>
          <w:rFonts w:hint="cs"/>
          <w:rtl/>
        </w:rPr>
        <w:t>דבר</w:t>
      </w:r>
      <w:r w:rsidR="00122B19">
        <w:rPr>
          <w:rStyle w:val="FootnoteReference"/>
          <w:rtl/>
        </w:rPr>
        <w:footnoteReference w:id="712"/>
      </w:r>
      <w:r w:rsidR="00FA73E5">
        <w:rPr>
          <w:rFonts w:hint="cs"/>
          <w:rtl/>
        </w:rPr>
        <w:t xml:space="preserve"> </w:t>
      </w:r>
      <w:r w:rsidR="003613F0">
        <w:rPr>
          <w:rFonts w:hint="cs"/>
          <w:rtl/>
        </w:rPr>
        <w:t>ב</w:t>
      </w:r>
      <w:r w:rsidR="00D0036A">
        <w:rPr>
          <w:rFonts w:hint="cs"/>
          <w:rtl/>
        </w:rPr>
        <w:t xml:space="preserve">לא </w:t>
      </w:r>
      <w:r w:rsidR="003613F0">
        <w:rPr>
          <w:rFonts w:hint="cs"/>
          <w:rtl/>
        </w:rPr>
        <w:t>ש</w:t>
      </w:r>
      <w:r w:rsidR="00D0036A">
        <w:rPr>
          <w:rFonts w:hint="cs"/>
          <w:rtl/>
        </w:rPr>
        <w:t>יהיה איתו דבר</w:t>
      </w:r>
      <w:r w:rsidR="000B24BB">
        <w:rPr>
          <w:rStyle w:val="FootnoteReference"/>
          <w:rtl/>
        </w:rPr>
        <w:footnoteReference w:id="713"/>
      </w:r>
      <w:r w:rsidR="00D0036A">
        <w:rPr>
          <w:rFonts w:hint="cs"/>
          <w:rtl/>
        </w:rPr>
        <w:t xml:space="preserve"> </w:t>
      </w:r>
      <w:r w:rsidR="005269D8">
        <w:rPr>
          <w:rFonts w:hint="cs"/>
          <w:rtl/>
        </w:rPr>
        <w:t>זולתו</w:t>
      </w:r>
      <w:r w:rsidR="00365FB8">
        <w:rPr>
          <w:rFonts w:hint="cs"/>
          <w:rtl/>
        </w:rPr>
        <w:t>.</w:t>
      </w:r>
      <w:r w:rsidR="00D0036A">
        <w:rPr>
          <w:rFonts w:hint="cs"/>
          <w:rtl/>
        </w:rPr>
        <w:t xml:space="preserve"> </w:t>
      </w:r>
    </w:p>
    <w:p w14:paraId="6055B2AF" w14:textId="77777777" w:rsidR="00BA5A14" w:rsidRDefault="0066473D" w:rsidP="00FA4994">
      <w:pPr>
        <w:rPr>
          <w:rtl/>
        </w:rPr>
      </w:pPr>
      <w:r>
        <w:rPr>
          <w:rFonts w:hint="cs"/>
          <w:rtl/>
        </w:rPr>
        <w:t xml:space="preserve">או שיהיה </w:t>
      </w:r>
      <w:r w:rsidR="004336CA">
        <w:rPr>
          <w:rFonts w:hint="cs"/>
          <w:rtl/>
        </w:rPr>
        <w:t xml:space="preserve">מבחינת </w:t>
      </w:r>
      <w:r w:rsidR="00220945">
        <w:rPr>
          <w:rFonts w:hint="cs"/>
          <w:rtl/>
        </w:rPr>
        <w:t xml:space="preserve">הצירוף בלבד, </w:t>
      </w:r>
      <w:r w:rsidR="00335699">
        <w:rPr>
          <w:rFonts w:hint="cs"/>
          <w:rtl/>
        </w:rPr>
        <w:t xml:space="preserve">כמו אנשים פרטיים </w:t>
      </w:r>
      <w:r w:rsidR="00FA407F">
        <w:rPr>
          <w:rFonts w:hint="cs"/>
          <w:rtl/>
        </w:rPr>
        <w:t>לצבא</w:t>
      </w:r>
      <w:r w:rsidR="00F54129">
        <w:rPr>
          <w:rFonts w:hint="cs"/>
          <w:rtl/>
        </w:rPr>
        <w:t xml:space="preserve"> ובתים לעיר</w:t>
      </w:r>
      <w:r w:rsidR="00507C51">
        <w:rPr>
          <w:rStyle w:val="FootnoteReference"/>
          <w:rtl/>
        </w:rPr>
        <w:footnoteReference w:id="714"/>
      </w:r>
      <w:r w:rsidR="00E11E74">
        <w:rPr>
          <w:rFonts w:hint="cs"/>
          <w:rtl/>
        </w:rPr>
        <w:t>;</w:t>
      </w:r>
      <w:r w:rsidR="00F54129">
        <w:rPr>
          <w:rFonts w:hint="cs"/>
          <w:rtl/>
        </w:rPr>
        <w:t xml:space="preserve"> </w:t>
      </w:r>
      <w:r w:rsidR="006D673A">
        <w:rPr>
          <w:rFonts w:hint="cs"/>
          <w:rtl/>
        </w:rPr>
        <w:t>או</w:t>
      </w:r>
      <w:r w:rsidR="00457E71">
        <w:rPr>
          <w:rFonts w:hint="cs"/>
          <w:rtl/>
        </w:rPr>
        <w:t xml:space="preserve"> מבחינת </w:t>
      </w:r>
      <w:r w:rsidR="000A2123">
        <w:rPr>
          <w:rFonts w:hint="cs"/>
          <w:rtl/>
        </w:rPr>
        <w:t xml:space="preserve">הצירוף </w:t>
      </w:r>
      <w:r w:rsidR="008F7964">
        <w:rPr>
          <w:rFonts w:hint="cs"/>
          <w:rtl/>
        </w:rPr>
        <w:t xml:space="preserve">וההרכבה </w:t>
      </w:r>
      <w:r w:rsidR="00946157">
        <w:rPr>
          <w:rFonts w:hint="cs"/>
          <w:rtl/>
        </w:rPr>
        <w:t>ביחד בלבד,</w:t>
      </w:r>
      <w:r w:rsidR="00B905EA">
        <w:rPr>
          <w:rFonts w:hint="cs"/>
          <w:rtl/>
        </w:rPr>
        <w:t xml:space="preserve"> </w:t>
      </w:r>
      <w:r w:rsidR="00257FE4">
        <w:rPr>
          <w:rFonts w:hint="cs"/>
          <w:rtl/>
        </w:rPr>
        <w:t>כמו הלבנים או העץ לבניין</w:t>
      </w:r>
      <w:r w:rsidR="00996EB9">
        <w:rPr>
          <w:rStyle w:val="FootnoteReference"/>
          <w:rtl/>
        </w:rPr>
        <w:footnoteReference w:id="715"/>
      </w:r>
      <w:r w:rsidR="00745A86">
        <w:rPr>
          <w:rFonts w:hint="cs"/>
          <w:rtl/>
        </w:rPr>
        <w:t xml:space="preserve">; </w:t>
      </w:r>
      <w:r w:rsidR="008459D5">
        <w:rPr>
          <w:rFonts w:hint="cs"/>
          <w:rtl/>
        </w:rPr>
        <w:t xml:space="preserve">או </w:t>
      </w:r>
      <w:r w:rsidR="00E66C9E">
        <w:rPr>
          <w:rFonts w:hint="cs"/>
          <w:rtl/>
        </w:rPr>
        <w:t xml:space="preserve">מבחינת הצירוף, ההרכבה, </w:t>
      </w:r>
      <w:r w:rsidR="00CD0854">
        <w:rPr>
          <w:rFonts w:hint="cs"/>
          <w:rtl/>
        </w:rPr>
        <w:t>וההשתנות</w:t>
      </w:r>
      <w:r w:rsidR="003C283D">
        <w:rPr>
          <w:rFonts w:hint="cs"/>
          <w:rtl/>
        </w:rPr>
        <w:t xml:space="preserve">, </w:t>
      </w:r>
      <w:r w:rsidR="001C2577">
        <w:rPr>
          <w:rFonts w:hint="cs"/>
          <w:rtl/>
        </w:rPr>
        <w:t>כמו היסודות</w:t>
      </w:r>
      <w:r w:rsidR="00DD2E02">
        <w:rPr>
          <w:rStyle w:val="FootnoteReference"/>
          <w:rtl/>
        </w:rPr>
        <w:footnoteReference w:id="716"/>
      </w:r>
      <w:r w:rsidR="001C2577">
        <w:rPr>
          <w:rFonts w:hint="cs"/>
          <w:rtl/>
        </w:rPr>
        <w:t xml:space="preserve"> ל</w:t>
      </w:r>
      <w:r w:rsidR="00B943C1">
        <w:rPr>
          <w:rFonts w:hint="cs"/>
          <w:rtl/>
        </w:rPr>
        <w:t>ברואים</w:t>
      </w:r>
      <w:r w:rsidR="001C2577">
        <w:rPr>
          <w:rFonts w:hint="cs"/>
          <w:rtl/>
        </w:rPr>
        <w:t>.</w:t>
      </w:r>
      <w:r w:rsidR="00CD0854">
        <w:rPr>
          <w:rFonts w:hint="cs"/>
          <w:rtl/>
        </w:rPr>
        <w:t xml:space="preserve"> </w:t>
      </w:r>
    </w:p>
    <w:p w14:paraId="6FB6E0C1" w14:textId="77777777" w:rsidR="00B1531E" w:rsidRDefault="00F25AE4" w:rsidP="00FA4994">
      <w:pPr>
        <w:rPr>
          <w:rtl/>
        </w:rPr>
      </w:pPr>
      <w:r>
        <w:rPr>
          <w:rFonts w:hint="cs"/>
          <w:rtl/>
        </w:rPr>
        <w:t>ש</w:t>
      </w:r>
      <w:r w:rsidR="00337C1A">
        <w:rPr>
          <w:rFonts w:hint="cs"/>
          <w:rtl/>
        </w:rPr>
        <w:t xml:space="preserve">היסודות </w:t>
      </w:r>
      <w:r w:rsidR="0072001E">
        <w:rPr>
          <w:rFonts w:hint="cs"/>
          <w:rtl/>
        </w:rPr>
        <w:t>לא</w:t>
      </w:r>
      <w:r w:rsidR="00FA4994">
        <w:rPr>
          <w:rFonts w:hint="cs"/>
          <w:rtl/>
        </w:rPr>
        <w:t xml:space="preserve"> </w:t>
      </w:r>
      <w:r w:rsidR="00337C1A">
        <w:rPr>
          <w:rFonts w:hint="cs"/>
          <w:rtl/>
        </w:rPr>
        <w:t>י</w:t>
      </w:r>
      <w:r w:rsidR="00FA4994">
        <w:rPr>
          <w:rFonts w:hint="cs"/>
          <w:rtl/>
        </w:rPr>
        <w:t xml:space="preserve">ספיק </w:t>
      </w:r>
      <w:r w:rsidR="0072001E">
        <w:rPr>
          <w:rFonts w:hint="cs"/>
          <w:rtl/>
        </w:rPr>
        <w:t xml:space="preserve">צירופם בלבד, ולא </w:t>
      </w:r>
      <w:r w:rsidR="00765C73">
        <w:rPr>
          <w:rFonts w:hint="cs"/>
          <w:rtl/>
        </w:rPr>
        <w:t>מגע</w:t>
      </w:r>
      <w:r w:rsidR="00C429F2">
        <w:rPr>
          <w:rFonts w:hint="cs"/>
          <w:rtl/>
        </w:rPr>
        <w:t xml:space="preserve"> ולא פגישה</w:t>
      </w:r>
      <w:r w:rsidR="00DD3895">
        <w:rPr>
          <w:rStyle w:val="FootnoteReference"/>
          <w:rtl/>
        </w:rPr>
        <w:footnoteReference w:id="717"/>
      </w:r>
      <w:r w:rsidR="00C429F2">
        <w:rPr>
          <w:rFonts w:hint="cs"/>
          <w:rtl/>
        </w:rPr>
        <w:t xml:space="preserve"> ולא קבלת תבנית</w:t>
      </w:r>
      <w:r w:rsidR="00A50D30">
        <w:rPr>
          <w:rFonts w:hint="cs"/>
          <w:rtl/>
        </w:rPr>
        <w:t xml:space="preserve"> </w:t>
      </w:r>
      <w:r w:rsidR="004A64E6">
        <w:rPr>
          <w:rFonts w:hint="cs"/>
          <w:rtl/>
        </w:rPr>
        <w:t>בלבד</w:t>
      </w:r>
      <w:r w:rsidR="00F77611">
        <w:rPr>
          <w:rFonts w:hint="cs"/>
          <w:rtl/>
        </w:rPr>
        <w:t>, כדי שי</w:t>
      </w:r>
      <w:r w:rsidR="00892CDD">
        <w:rPr>
          <w:rFonts w:hint="cs"/>
          <w:rtl/>
        </w:rPr>
        <w:t>ת</w:t>
      </w:r>
      <w:r w:rsidR="00F77611">
        <w:rPr>
          <w:rFonts w:hint="cs"/>
          <w:rtl/>
        </w:rPr>
        <w:t>ה</w:t>
      </w:r>
      <w:r w:rsidR="00892CDD">
        <w:rPr>
          <w:rFonts w:hint="cs"/>
          <w:rtl/>
        </w:rPr>
        <w:t>ו</w:t>
      </w:r>
      <w:r w:rsidR="00F77611">
        <w:rPr>
          <w:rFonts w:hint="cs"/>
          <w:rtl/>
        </w:rPr>
        <w:t>ו מהם הברואים</w:t>
      </w:r>
      <w:r w:rsidR="003B0DB5">
        <w:rPr>
          <w:rFonts w:hint="cs"/>
          <w:rtl/>
        </w:rPr>
        <w:t>,</w:t>
      </w:r>
      <w:r w:rsidR="002006D1">
        <w:rPr>
          <w:rFonts w:hint="cs"/>
          <w:rtl/>
        </w:rPr>
        <w:t xml:space="preserve"> </w:t>
      </w:r>
      <w:r w:rsidR="00CA4EB9">
        <w:rPr>
          <w:rFonts w:hint="cs"/>
          <w:rtl/>
        </w:rPr>
        <w:t xml:space="preserve">אלא </w:t>
      </w:r>
      <w:r w:rsidR="00D26621">
        <w:rPr>
          <w:rFonts w:hint="cs"/>
          <w:rtl/>
        </w:rPr>
        <w:t xml:space="preserve">ביחד עם </w:t>
      </w:r>
      <w:r w:rsidR="00DE3F49">
        <w:rPr>
          <w:rFonts w:hint="cs"/>
          <w:rtl/>
        </w:rPr>
        <w:t>פעולת מקצתם על מקצתם</w:t>
      </w:r>
      <w:r w:rsidR="009A0C30">
        <w:rPr>
          <w:rFonts w:hint="cs"/>
          <w:rtl/>
        </w:rPr>
        <w:t xml:space="preserve">, </w:t>
      </w:r>
      <w:proofErr w:type="spellStart"/>
      <w:r w:rsidR="009A0C30">
        <w:rPr>
          <w:rFonts w:hint="cs"/>
          <w:rtl/>
        </w:rPr>
        <w:t>והיפעלות</w:t>
      </w:r>
      <w:proofErr w:type="spellEnd"/>
      <w:r w:rsidR="009A0C30">
        <w:rPr>
          <w:rFonts w:hint="cs"/>
          <w:rtl/>
        </w:rPr>
        <w:t xml:space="preserve"> מקצתם על ידי מקצתם</w:t>
      </w:r>
      <w:r w:rsidR="00B8339B">
        <w:rPr>
          <w:rFonts w:hint="cs"/>
          <w:rtl/>
        </w:rPr>
        <w:t>, ו</w:t>
      </w:r>
      <w:r w:rsidR="00356B9A">
        <w:rPr>
          <w:rFonts w:hint="cs"/>
          <w:rtl/>
        </w:rPr>
        <w:t>י</w:t>
      </w:r>
      <w:r w:rsidR="00E54349">
        <w:rPr>
          <w:rFonts w:hint="cs"/>
          <w:rtl/>
        </w:rPr>
        <w:t>תיישב</w:t>
      </w:r>
      <w:r w:rsidR="003F0B66">
        <w:rPr>
          <w:rStyle w:val="FootnoteReference"/>
          <w:rtl/>
        </w:rPr>
        <w:footnoteReference w:id="718"/>
      </w:r>
      <w:r w:rsidR="00B8339B">
        <w:rPr>
          <w:rFonts w:hint="cs"/>
          <w:rtl/>
        </w:rPr>
        <w:t xml:space="preserve"> </w:t>
      </w:r>
      <w:r w:rsidR="00630CF2">
        <w:rPr>
          <w:rFonts w:hint="cs"/>
          <w:rtl/>
        </w:rPr>
        <w:t>ל</w:t>
      </w:r>
      <w:r w:rsidR="00F53C35">
        <w:rPr>
          <w:rFonts w:hint="cs"/>
          <w:rtl/>
        </w:rPr>
        <w:t xml:space="preserve">איכות של </w:t>
      </w:r>
      <w:r w:rsidR="00524E9D">
        <w:rPr>
          <w:rFonts w:hint="cs"/>
          <w:rtl/>
        </w:rPr>
        <w:t>'</w:t>
      </w:r>
      <w:r w:rsidR="00F53C35">
        <w:rPr>
          <w:rFonts w:hint="cs"/>
          <w:rtl/>
        </w:rPr>
        <w:t>כל</w:t>
      </w:r>
      <w:r w:rsidR="00524E9D">
        <w:rPr>
          <w:rFonts w:hint="cs"/>
          <w:rtl/>
        </w:rPr>
        <w:t>'</w:t>
      </w:r>
      <w:r w:rsidR="00973691">
        <w:rPr>
          <w:rStyle w:val="FootnoteReference"/>
          <w:rtl/>
        </w:rPr>
        <w:footnoteReference w:id="719"/>
      </w:r>
      <w:r w:rsidR="00605418">
        <w:rPr>
          <w:rFonts w:hint="cs"/>
          <w:rtl/>
        </w:rPr>
        <w:t xml:space="preserve">, </w:t>
      </w:r>
      <w:r w:rsidR="00FF0F4D" w:rsidRPr="00FF0F4D">
        <w:rPr>
          <w:rtl/>
        </w:rPr>
        <w:t>שלִכְמוֹתוֹ</w:t>
      </w:r>
      <w:r w:rsidR="00FD2E65">
        <w:rPr>
          <w:rFonts w:hint="cs"/>
          <w:rtl/>
        </w:rPr>
        <w:t xml:space="preserve"> קוראים </w:t>
      </w:r>
      <w:r w:rsidR="005A189A">
        <w:rPr>
          <w:rFonts w:hint="cs"/>
          <w:rtl/>
        </w:rPr>
        <w:t>'</w:t>
      </w:r>
      <w:r w:rsidR="0081448C" w:rsidRPr="0081448C">
        <w:rPr>
          <w:rtl/>
        </w:rPr>
        <w:t>מֶזֶג</w:t>
      </w:r>
      <w:r w:rsidR="005A189A">
        <w:rPr>
          <w:rFonts w:hint="cs"/>
          <w:rtl/>
        </w:rPr>
        <w:t>'</w:t>
      </w:r>
      <w:r w:rsidR="005A189A">
        <w:rPr>
          <w:rStyle w:val="FootnoteReference"/>
          <w:rtl/>
        </w:rPr>
        <w:footnoteReference w:id="720"/>
      </w:r>
      <w:r w:rsidR="004606D7">
        <w:rPr>
          <w:rFonts w:hint="cs"/>
          <w:rtl/>
        </w:rPr>
        <w:t>,</w:t>
      </w:r>
      <w:r w:rsidR="00746E7D">
        <w:rPr>
          <w:rFonts w:hint="cs"/>
          <w:rtl/>
        </w:rPr>
        <w:t xml:space="preserve"> ואז הוא מוכן לצורת המין</w:t>
      </w:r>
      <w:r w:rsidR="00FD2E65">
        <w:rPr>
          <w:rFonts w:hint="cs"/>
          <w:rtl/>
        </w:rPr>
        <w:t>.</w:t>
      </w:r>
      <w:r w:rsidR="00864A94">
        <w:rPr>
          <w:rFonts w:hint="cs"/>
          <w:rtl/>
        </w:rPr>
        <w:t xml:space="preserve"> ולכן </w:t>
      </w:r>
      <w:proofErr w:type="spellStart"/>
      <w:r w:rsidR="00580C53">
        <w:rPr>
          <w:rFonts w:hint="cs"/>
          <w:rtl/>
        </w:rPr>
        <w:t>כש</w:t>
      </w:r>
      <w:r w:rsidR="00283868">
        <w:rPr>
          <w:rFonts w:hint="cs"/>
          <w:rtl/>
        </w:rPr>
        <w:t>ה</w:t>
      </w:r>
      <w:r w:rsidR="004833B5">
        <w:rPr>
          <w:rFonts w:hint="cs"/>
          <w:rtl/>
        </w:rPr>
        <w:t>ת</w:t>
      </w:r>
      <w:r w:rsidR="00283868">
        <w:rPr>
          <w:rFonts w:hint="cs"/>
          <w:rtl/>
        </w:rPr>
        <w:t>ריאק</w:t>
      </w:r>
      <w:proofErr w:type="spellEnd"/>
      <w:r w:rsidR="004833B5">
        <w:rPr>
          <w:rStyle w:val="FootnoteReference"/>
          <w:rtl/>
        </w:rPr>
        <w:footnoteReference w:id="721"/>
      </w:r>
      <w:r w:rsidR="00283868">
        <w:rPr>
          <w:rFonts w:hint="cs"/>
          <w:rtl/>
        </w:rPr>
        <w:t xml:space="preserve"> והדומה לו</w:t>
      </w:r>
      <w:r w:rsidR="00F312FD">
        <w:rPr>
          <w:rFonts w:hint="cs"/>
          <w:rtl/>
        </w:rPr>
        <w:t xml:space="preserve"> גם </w:t>
      </w:r>
      <w:r w:rsidR="00AE454E">
        <w:rPr>
          <w:rFonts w:hint="cs"/>
          <w:rtl/>
        </w:rPr>
        <w:t>כש</w:t>
      </w:r>
      <w:r w:rsidR="005252ED">
        <w:rPr>
          <w:rFonts w:hint="cs"/>
          <w:rtl/>
        </w:rPr>
        <w:t>מעורב לתערובת</w:t>
      </w:r>
      <w:r w:rsidR="00406499">
        <w:rPr>
          <w:rStyle w:val="FootnoteReference"/>
          <w:rtl/>
        </w:rPr>
        <w:footnoteReference w:id="722"/>
      </w:r>
      <w:r w:rsidR="00B62B37">
        <w:rPr>
          <w:rFonts w:hint="cs"/>
          <w:rtl/>
        </w:rPr>
        <w:t xml:space="preserve"> ומצור</w:t>
      </w:r>
      <w:r w:rsidR="00406499">
        <w:rPr>
          <w:rFonts w:hint="cs"/>
          <w:rtl/>
        </w:rPr>
        <w:t>ף</w:t>
      </w:r>
      <w:r w:rsidR="00B62B37">
        <w:rPr>
          <w:rFonts w:hint="cs"/>
          <w:rtl/>
        </w:rPr>
        <w:t xml:space="preserve"> ומורכב, עדיין אינו </w:t>
      </w:r>
      <w:proofErr w:type="spellStart"/>
      <w:r w:rsidR="00B62B37">
        <w:rPr>
          <w:rFonts w:hint="cs"/>
          <w:rtl/>
        </w:rPr>
        <w:t>תריאק</w:t>
      </w:r>
      <w:proofErr w:type="spellEnd"/>
      <w:r w:rsidR="00B62B37">
        <w:rPr>
          <w:rFonts w:hint="cs"/>
          <w:rtl/>
        </w:rPr>
        <w:t xml:space="preserve"> </w:t>
      </w:r>
      <w:r w:rsidR="00F312FD">
        <w:rPr>
          <w:rFonts w:hint="cs"/>
          <w:rtl/>
        </w:rPr>
        <w:t xml:space="preserve">ואין לו צורת </w:t>
      </w:r>
      <w:proofErr w:type="spellStart"/>
      <w:r w:rsidR="00F312FD">
        <w:rPr>
          <w:rFonts w:hint="cs"/>
          <w:rtl/>
        </w:rPr>
        <w:t>תריאק</w:t>
      </w:r>
      <w:proofErr w:type="spellEnd"/>
      <w:r w:rsidR="007B2CA0">
        <w:rPr>
          <w:rFonts w:hint="cs"/>
          <w:rtl/>
        </w:rPr>
        <w:t xml:space="preserve">, </w:t>
      </w:r>
      <w:r w:rsidR="006C2E01">
        <w:rPr>
          <w:rFonts w:hint="cs"/>
          <w:rtl/>
        </w:rPr>
        <w:t>עד שיעבור עליו זמן</w:t>
      </w:r>
      <w:r w:rsidR="00725B0B">
        <w:rPr>
          <w:rFonts w:hint="cs"/>
          <w:rtl/>
        </w:rPr>
        <w:t xml:space="preserve"> שיש בו כדי שיפעל מקצתו</w:t>
      </w:r>
      <w:r w:rsidR="00776F71">
        <w:rPr>
          <w:rStyle w:val="FootnoteReference"/>
          <w:rtl/>
        </w:rPr>
        <w:footnoteReference w:id="723"/>
      </w:r>
      <w:r w:rsidR="00725B0B">
        <w:rPr>
          <w:rFonts w:hint="cs"/>
          <w:rtl/>
        </w:rPr>
        <w:t xml:space="preserve"> על המקצת</w:t>
      </w:r>
      <w:r w:rsidR="00FF6DC2">
        <w:rPr>
          <w:rFonts w:hint="cs"/>
          <w:rtl/>
        </w:rPr>
        <w:t xml:space="preserve"> באיכויותיהם</w:t>
      </w:r>
      <w:r w:rsidR="00725B0B">
        <w:rPr>
          <w:rFonts w:hint="cs"/>
          <w:rtl/>
        </w:rPr>
        <w:t xml:space="preserve">, </w:t>
      </w:r>
      <w:r w:rsidR="00B54970">
        <w:rPr>
          <w:rFonts w:hint="cs"/>
          <w:rtl/>
        </w:rPr>
        <w:t>ו</w:t>
      </w:r>
      <w:r w:rsidR="007A6832">
        <w:rPr>
          <w:rFonts w:hint="cs"/>
          <w:rtl/>
        </w:rPr>
        <w:t>ת</w:t>
      </w:r>
      <w:r w:rsidR="00291363">
        <w:rPr>
          <w:rFonts w:hint="cs"/>
          <w:rtl/>
        </w:rPr>
        <w:t>תיישב</w:t>
      </w:r>
      <w:r w:rsidR="00BD2423">
        <w:rPr>
          <w:rFonts w:hint="cs"/>
          <w:rtl/>
        </w:rPr>
        <w:t xml:space="preserve"> </w:t>
      </w:r>
      <w:r w:rsidR="007A6832">
        <w:rPr>
          <w:rFonts w:hint="cs"/>
          <w:rtl/>
        </w:rPr>
        <w:t>להם איכות אחת</w:t>
      </w:r>
      <w:r w:rsidR="009C4A03">
        <w:rPr>
          <w:rFonts w:hint="cs"/>
          <w:rtl/>
        </w:rPr>
        <w:t>,</w:t>
      </w:r>
      <w:r w:rsidR="00130F0D">
        <w:rPr>
          <w:rFonts w:hint="cs"/>
          <w:rtl/>
        </w:rPr>
        <w:t xml:space="preserve"> </w:t>
      </w:r>
      <w:r w:rsidR="006E476A">
        <w:rPr>
          <w:rFonts w:hint="cs"/>
          <w:rtl/>
        </w:rPr>
        <w:t>השווה</w:t>
      </w:r>
      <w:r w:rsidR="00D31B8A">
        <w:rPr>
          <w:rFonts w:hint="cs"/>
          <w:rtl/>
        </w:rPr>
        <w:t xml:space="preserve"> </w:t>
      </w:r>
      <w:r w:rsidR="006E476A">
        <w:rPr>
          <w:rFonts w:hint="cs"/>
          <w:rtl/>
        </w:rPr>
        <w:t>ל</w:t>
      </w:r>
      <w:r w:rsidR="00D31B8A">
        <w:rPr>
          <w:rFonts w:hint="cs"/>
          <w:rtl/>
        </w:rPr>
        <w:t>צירו</w:t>
      </w:r>
      <w:r w:rsidR="001D7460">
        <w:rPr>
          <w:rFonts w:hint="cs"/>
          <w:rtl/>
        </w:rPr>
        <w:t>פם</w:t>
      </w:r>
      <w:r w:rsidR="0022472D">
        <w:rPr>
          <w:rFonts w:hint="cs"/>
          <w:rtl/>
        </w:rPr>
        <w:t>,</w:t>
      </w:r>
      <w:r w:rsidR="000A6F4F">
        <w:rPr>
          <w:rFonts w:hint="cs"/>
          <w:rtl/>
        </w:rPr>
        <w:t xml:space="preserve"> </w:t>
      </w:r>
      <w:bookmarkStart w:id="307" w:name="_Hlk118796275"/>
      <w:r w:rsidR="000A6F4F">
        <w:rPr>
          <w:rFonts w:hint="cs"/>
          <w:rtl/>
        </w:rPr>
        <w:t>ו</w:t>
      </w:r>
      <w:r w:rsidR="00B266FF">
        <w:rPr>
          <w:rFonts w:hint="cs"/>
          <w:rtl/>
        </w:rPr>
        <w:t>ת</w:t>
      </w:r>
      <w:r w:rsidR="000A6F4F">
        <w:rPr>
          <w:rFonts w:hint="cs"/>
          <w:rtl/>
        </w:rPr>
        <w:t>צא אל ה</w:t>
      </w:r>
      <w:r w:rsidR="001B2094" w:rsidRPr="001B2094">
        <w:rPr>
          <w:rtl/>
        </w:rPr>
        <w:t>פּוֹעַל</w:t>
      </w:r>
      <w:r w:rsidR="000A6F4F">
        <w:rPr>
          <w:rFonts w:hint="cs"/>
          <w:rtl/>
        </w:rPr>
        <w:t xml:space="preserve"> </w:t>
      </w:r>
      <w:r w:rsidR="00B266FF">
        <w:rPr>
          <w:rFonts w:hint="cs"/>
          <w:rtl/>
        </w:rPr>
        <w:t>פעולת שיתופם</w:t>
      </w:r>
      <w:bookmarkEnd w:id="307"/>
      <w:r w:rsidR="00B067EC">
        <w:rPr>
          <w:rFonts w:hint="cs"/>
          <w:rtl/>
        </w:rPr>
        <w:t>,</w:t>
      </w:r>
      <w:r w:rsidR="00F312FD">
        <w:rPr>
          <w:rFonts w:hint="cs"/>
          <w:rtl/>
        </w:rPr>
        <w:t xml:space="preserve"> </w:t>
      </w:r>
      <w:bookmarkStart w:id="308" w:name="_Hlk118797507"/>
      <w:r w:rsidR="003635B2">
        <w:rPr>
          <w:rFonts w:hint="cs"/>
          <w:rtl/>
        </w:rPr>
        <w:t>וזה</w:t>
      </w:r>
      <w:r w:rsidR="001045A7">
        <w:rPr>
          <w:rFonts w:hint="cs"/>
          <w:rtl/>
        </w:rPr>
        <w:t xml:space="preserve"> אם צור</w:t>
      </w:r>
      <w:r w:rsidR="00FC6694">
        <w:rPr>
          <w:rFonts w:hint="cs"/>
          <w:rtl/>
        </w:rPr>
        <w:t>תו</w:t>
      </w:r>
      <w:r w:rsidR="001045A7">
        <w:rPr>
          <w:rFonts w:hint="cs"/>
          <w:rtl/>
        </w:rPr>
        <w:t xml:space="preserve"> העצמית</w:t>
      </w:r>
      <w:r w:rsidR="003E1CE2">
        <w:rPr>
          <w:rFonts w:hint="cs"/>
          <w:rtl/>
        </w:rPr>
        <w:t xml:space="preserve"> תהיה</w:t>
      </w:r>
      <w:r w:rsidR="00910999">
        <w:rPr>
          <w:rFonts w:hint="cs"/>
          <w:rtl/>
        </w:rPr>
        <w:t xml:space="preserve"> </w:t>
      </w:r>
      <w:r w:rsidR="00FE2604">
        <w:rPr>
          <w:rFonts w:hint="cs"/>
          <w:rtl/>
        </w:rPr>
        <w:t>נ</w:t>
      </w:r>
      <w:r w:rsidR="00781BC0">
        <w:rPr>
          <w:rFonts w:hint="cs"/>
          <w:rtl/>
        </w:rPr>
        <w:t>שמר</w:t>
      </w:r>
      <w:r w:rsidR="00FE2604">
        <w:rPr>
          <w:rFonts w:hint="cs"/>
          <w:rtl/>
        </w:rPr>
        <w:t>ת</w:t>
      </w:r>
      <w:r w:rsidR="00476C98">
        <w:rPr>
          <w:rFonts w:hint="cs"/>
          <w:rtl/>
        </w:rPr>
        <w:t xml:space="preserve"> בקביעות</w:t>
      </w:r>
      <w:bookmarkEnd w:id="308"/>
      <w:r w:rsidR="00A9167B">
        <w:rPr>
          <w:rStyle w:val="FootnoteReference"/>
          <w:rtl/>
        </w:rPr>
        <w:footnoteReference w:id="724"/>
      </w:r>
      <w:r w:rsidR="00862668">
        <w:rPr>
          <w:rFonts w:hint="cs"/>
          <w:rtl/>
        </w:rPr>
        <w:t>.</w:t>
      </w:r>
      <w:r w:rsidR="00781BC0">
        <w:rPr>
          <w:rFonts w:hint="cs"/>
          <w:rtl/>
        </w:rPr>
        <w:t xml:space="preserve"> </w:t>
      </w:r>
    </w:p>
    <w:p w14:paraId="0DB1B2CE" w14:textId="5781CB02" w:rsidR="009D1B47" w:rsidRDefault="005650CC" w:rsidP="00FA4994">
      <w:pPr>
        <w:rPr>
          <w:rtl/>
        </w:rPr>
      </w:pPr>
      <w:r>
        <w:rPr>
          <w:rFonts w:hint="cs"/>
          <w:rtl/>
        </w:rPr>
        <w:t>והמקרים</w:t>
      </w:r>
      <w:r w:rsidR="00164EA4">
        <w:rPr>
          <w:rFonts w:hint="cs"/>
          <w:rtl/>
        </w:rPr>
        <w:t>,</w:t>
      </w:r>
      <w:r>
        <w:rPr>
          <w:rFonts w:hint="cs"/>
          <w:rtl/>
        </w:rPr>
        <w:t xml:space="preserve"> </w:t>
      </w:r>
      <w:r w:rsidR="000441A2">
        <w:rPr>
          <w:rFonts w:hint="cs"/>
          <w:rtl/>
        </w:rPr>
        <w:t xml:space="preserve">בהם </w:t>
      </w:r>
      <w:r w:rsidR="00ED5005">
        <w:rPr>
          <w:rFonts w:hint="cs"/>
          <w:rtl/>
        </w:rPr>
        <w:t xml:space="preserve">יתרחשו יחסי הגומלין </w:t>
      </w:r>
      <w:r w:rsidR="002C1410">
        <w:rPr>
          <w:rFonts w:hint="cs"/>
          <w:rtl/>
        </w:rPr>
        <w:t>של השתנות,</w:t>
      </w:r>
      <w:r w:rsidR="002C1410" w:rsidRPr="00E11CC3">
        <w:rPr>
          <w:rFonts w:hint="cs"/>
          <w:rtl/>
        </w:rPr>
        <w:t xml:space="preserve"> </w:t>
      </w:r>
      <w:r w:rsidR="00E11CC3" w:rsidRPr="00E11CC3">
        <w:rPr>
          <w:rFonts w:hint="cs"/>
          <w:rtl/>
        </w:rPr>
        <w:t>ייחשב</w:t>
      </w:r>
      <w:r w:rsidR="00A41C29" w:rsidRPr="00E11CC3">
        <w:rPr>
          <w:rFonts w:hint="cs"/>
          <w:rtl/>
        </w:rPr>
        <w:t xml:space="preserve"> </w:t>
      </w:r>
      <w:r w:rsidR="00E11CC3">
        <w:rPr>
          <w:rFonts w:hint="cs"/>
          <w:rtl/>
        </w:rPr>
        <w:t>שישתנה</w:t>
      </w:r>
      <w:r w:rsidR="0097108D">
        <w:rPr>
          <w:rFonts w:hint="cs"/>
          <w:rtl/>
        </w:rPr>
        <w:t xml:space="preserve"> שינוי</w:t>
      </w:r>
      <w:r w:rsidR="00760436">
        <w:rPr>
          <w:rFonts w:hint="cs"/>
          <w:rtl/>
        </w:rPr>
        <w:t xml:space="preserve"> שמקטין</w:t>
      </w:r>
      <w:r w:rsidR="009907F3">
        <w:rPr>
          <w:rFonts w:hint="cs"/>
          <w:rtl/>
        </w:rPr>
        <w:t xml:space="preserve"> כל</w:t>
      </w:r>
      <w:r w:rsidR="00EF7866">
        <w:rPr>
          <w:rFonts w:hint="cs"/>
          <w:rtl/>
        </w:rPr>
        <w:t xml:space="preserve"> עודף</w:t>
      </w:r>
      <w:r w:rsidR="003E33D0">
        <w:rPr>
          <w:rStyle w:val="FootnoteReference"/>
          <w:rtl/>
        </w:rPr>
        <w:footnoteReference w:id="725"/>
      </w:r>
      <w:r w:rsidR="00705E20">
        <w:rPr>
          <w:rFonts w:hint="cs"/>
          <w:rtl/>
        </w:rPr>
        <w:t xml:space="preserve"> ש</w:t>
      </w:r>
      <w:r w:rsidR="00D95E20">
        <w:rPr>
          <w:rFonts w:hint="cs"/>
          <w:rtl/>
        </w:rPr>
        <w:t xml:space="preserve">יהיה בכל </w:t>
      </w:r>
      <w:r w:rsidR="00843978">
        <w:rPr>
          <w:rFonts w:hint="cs"/>
          <w:rtl/>
        </w:rPr>
        <w:t>נפרד</w:t>
      </w:r>
      <w:r w:rsidR="00790543">
        <w:rPr>
          <w:rFonts w:hint="cs"/>
          <w:rtl/>
        </w:rPr>
        <w:t xml:space="preserve"> מ</w:t>
      </w:r>
      <w:r w:rsidR="00D61AE8">
        <w:rPr>
          <w:rFonts w:hint="cs"/>
          <w:rtl/>
        </w:rPr>
        <w:t>הם</w:t>
      </w:r>
      <w:r w:rsidR="004A7BA1">
        <w:rPr>
          <w:rStyle w:val="FootnoteReference"/>
          <w:rtl/>
        </w:rPr>
        <w:footnoteReference w:id="726"/>
      </w:r>
      <w:r w:rsidR="001D63E0">
        <w:rPr>
          <w:rFonts w:hint="cs"/>
          <w:rtl/>
        </w:rPr>
        <w:t>,</w:t>
      </w:r>
      <w:r w:rsidR="00522975">
        <w:rPr>
          <w:rFonts w:hint="cs"/>
          <w:rtl/>
        </w:rPr>
        <w:t xml:space="preserve"> </w:t>
      </w:r>
      <w:r w:rsidR="00101949">
        <w:rPr>
          <w:rFonts w:hint="cs"/>
          <w:rtl/>
        </w:rPr>
        <w:t>לקראת</w:t>
      </w:r>
      <w:r w:rsidR="00A81191">
        <w:rPr>
          <w:rFonts w:hint="cs"/>
          <w:rtl/>
        </w:rPr>
        <w:t xml:space="preserve"> </w:t>
      </w:r>
      <w:r w:rsidR="0092080B">
        <w:rPr>
          <w:rFonts w:hint="cs"/>
          <w:rtl/>
        </w:rPr>
        <w:t>ש</w:t>
      </w:r>
      <w:r w:rsidR="00D73C32">
        <w:rPr>
          <w:rFonts w:hint="cs"/>
          <w:rtl/>
        </w:rPr>
        <w:t>ת</w:t>
      </w:r>
      <w:r w:rsidR="0092080B">
        <w:rPr>
          <w:rFonts w:hint="cs"/>
          <w:rtl/>
        </w:rPr>
        <w:t>תיישב בו</w:t>
      </w:r>
      <w:r w:rsidR="00DD5F93">
        <w:rPr>
          <w:rFonts w:hint="cs"/>
          <w:rtl/>
        </w:rPr>
        <w:t xml:space="preserve"> איכותו </w:t>
      </w:r>
      <w:r w:rsidR="000E7840">
        <w:rPr>
          <w:rFonts w:hint="cs"/>
          <w:rtl/>
        </w:rPr>
        <w:t>ה</w:t>
      </w:r>
      <w:r w:rsidR="007C59C3">
        <w:rPr>
          <w:rFonts w:hint="cs"/>
          <w:rtl/>
        </w:rPr>
        <w:t>מתגברת</w:t>
      </w:r>
      <w:r w:rsidR="0047613E">
        <w:rPr>
          <w:rStyle w:val="FootnoteReference"/>
          <w:rtl/>
        </w:rPr>
        <w:footnoteReference w:id="727"/>
      </w:r>
      <w:r w:rsidR="00DF0BF8">
        <w:rPr>
          <w:rFonts w:hint="cs"/>
          <w:rtl/>
        </w:rPr>
        <w:t xml:space="preserve"> </w:t>
      </w:r>
      <w:r w:rsidR="00E14088">
        <w:rPr>
          <w:rFonts w:hint="cs"/>
          <w:rtl/>
        </w:rPr>
        <w:t>פחות ממה שהתגבר</w:t>
      </w:r>
      <w:r w:rsidR="007C59C3">
        <w:rPr>
          <w:rFonts w:hint="cs"/>
          <w:rtl/>
        </w:rPr>
        <w:t>ה</w:t>
      </w:r>
      <w:r w:rsidR="003C51CE">
        <w:rPr>
          <w:rStyle w:val="FootnoteReference"/>
          <w:rtl/>
        </w:rPr>
        <w:footnoteReference w:id="728"/>
      </w:r>
      <w:r w:rsidR="002B6DFD">
        <w:rPr>
          <w:rFonts w:hint="cs"/>
          <w:rtl/>
        </w:rPr>
        <w:t>.</w:t>
      </w:r>
      <w:r w:rsidR="005A3474">
        <w:rPr>
          <w:rFonts w:hint="cs"/>
          <w:rtl/>
        </w:rPr>
        <w:t xml:space="preserve"> </w:t>
      </w:r>
    </w:p>
    <w:p w14:paraId="32B541A5" w14:textId="541A3B32" w:rsidR="009D1B47" w:rsidRDefault="009D1B47" w:rsidP="00F66F47">
      <w:pPr>
        <w:pStyle w:val="Heading4"/>
        <w:rPr>
          <w:rtl/>
        </w:rPr>
      </w:pPr>
      <w:bookmarkStart w:id="310" w:name="_Toc119092699"/>
      <w:r>
        <w:rPr>
          <w:rFonts w:hint="cs"/>
          <w:rtl/>
        </w:rPr>
        <w:t>1.10.8</w:t>
      </w:r>
      <w:bookmarkEnd w:id="310"/>
    </w:p>
    <w:p w14:paraId="75DFEB8B" w14:textId="3F86BE65" w:rsidR="000A1A34" w:rsidRDefault="00164893" w:rsidP="00E211FB">
      <w:r>
        <w:rPr>
          <w:rFonts w:hint="cs"/>
          <w:rtl/>
        </w:rPr>
        <w:t>מקובל לומר</w:t>
      </w:r>
      <w:r w:rsidR="00677610">
        <w:rPr>
          <w:rFonts w:hint="cs"/>
          <w:rtl/>
        </w:rPr>
        <w:t xml:space="preserve"> </w:t>
      </w:r>
      <w:r w:rsidR="00E87D5F">
        <w:rPr>
          <w:rFonts w:hint="cs"/>
          <w:rtl/>
        </w:rPr>
        <w:t>שיחס</w:t>
      </w:r>
      <w:r w:rsidR="00880C0A">
        <w:rPr>
          <w:rFonts w:hint="cs"/>
          <w:rtl/>
        </w:rPr>
        <w:t>ן של</w:t>
      </w:r>
      <w:r w:rsidR="00E87D5F">
        <w:rPr>
          <w:rFonts w:hint="cs"/>
          <w:rtl/>
        </w:rPr>
        <w:t xml:space="preserve"> ה</w:t>
      </w:r>
      <w:r w:rsidR="00262FFF">
        <w:rPr>
          <w:rFonts w:hint="cs"/>
          <w:rtl/>
        </w:rPr>
        <w:t>הנחות ה</w:t>
      </w:r>
      <w:r w:rsidR="00E87D5F">
        <w:rPr>
          <w:rFonts w:hint="cs"/>
          <w:rtl/>
        </w:rPr>
        <w:t>מוקד</w:t>
      </w:r>
      <w:r w:rsidR="00880C0A">
        <w:rPr>
          <w:rFonts w:hint="cs"/>
          <w:rtl/>
        </w:rPr>
        <w:t>מות</w:t>
      </w:r>
      <w:r w:rsidR="001C0F76">
        <w:rPr>
          <w:rFonts w:hint="cs"/>
          <w:rtl/>
        </w:rPr>
        <w:t xml:space="preserve"> </w:t>
      </w:r>
      <w:r w:rsidR="00B72C11">
        <w:rPr>
          <w:rFonts w:hint="cs"/>
          <w:rtl/>
        </w:rPr>
        <w:t>אל ה</w:t>
      </w:r>
      <w:r w:rsidR="00262FFF">
        <w:rPr>
          <w:rFonts w:hint="cs"/>
          <w:rtl/>
        </w:rPr>
        <w:t>מסקנה</w:t>
      </w:r>
      <w:r w:rsidR="00B72C11">
        <w:rPr>
          <w:rFonts w:hint="cs"/>
          <w:rtl/>
        </w:rPr>
        <w:t xml:space="preserve"> </w:t>
      </w:r>
      <w:r w:rsidR="002C104F">
        <w:rPr>
          <w:rFonts w:hint="cs"/>
          <w:rtl/>
        </w:rPr>
        <w:t>שקולה ל</w:t>
      </w:r>
      <w:r w:rsidR="00F81313">
        <w:rPr>
          <w:rFonts w:hint="cs"/>
          <w:rtl/>
        </w:rPr>
        <w:t xml:space="preserve">יחס של החומרים </w:t>
      </w:r>
      <w:r w:rsidR="00902DF7">
        <w:rPr>
          <w:rFonts w:hint="cs"/>
          <w:rtl/>
        </w:rPr>
        <w:t>והצורות</w:t>
      </w:r>
      <w:r w:rsidR="00235841">
        <w:rPr>
          <w:rStyle w:val="FootnoteReference"/>
          <w:rtl/>
        </w:rPr>
        <w:footnoteReference w:id="729"/>
      </w:r>
      <w:r w:rsidR="008A558B">
        <w:rPr>
          <w:rFonts w:hint="cs"/>
          <w:rtl/>
        </w:rPr>
        <w:t>,</w:t>
      </w:r>
      <w:r w:rsidR="00902DF7">
        <w:rPr>
          <w:rFonts w:hint="cs"/>
          <w:rtl/>
        </w:rPr>
        <w:t xml:space="preserve"> ו</w:t>
      </w:r>
      <w:r w:rsidR="002F68BF">
        <w:rPr>
          <w:rFonts w:hint="cs"/>
          <w:rtl/>
        </w:rPr>
        <w:t>דומ</w:t>
      </w:r>
      <w:r w:rsidR="007A762F">
        <w:rPr>
          <w:rFonts w:hint="cs"/>
          <w:rtl/>
        </w:rPr>
        <w:t xml:space="preserve">ה יותר </w:t>
      </w:r>
      <w:r w:rsidR="00096B19">
        <w:rPr>
          <w:rFonts w:hint="cs"/>
          <w:rtl/>
        </w:rPr>
        <w:t>שצורת ההנח</w:t>
      </w:r>
      <w:r w:rsidR="009E7BB6">
        <w:rPr>
          <w:rFonts w:hint="cs"/>
          <w:rtl/>
        </w:rPr>
        <w:t>ות</w:t>
      </w:r>
      <w:r w:rsidR="00096B19">
        <w:rPr>
          <w:rFonts w:hint="cs"/>
          <w:rtl/>
        </w:rPr>
        <w:t xml:space="preserve"> המוקדמ</w:t>
      </w:r>
      <w:r w:rsidR="009E7BB6">
        <w:rPr>
          <w:rFonts w:hint="cs"/>
          <w:rtl/>
        </w:rPr>
        <w:t>ו</w:t>
      </w:r>
      <w:r w:rsidR="00096B19">
        <w:rPr>
          <w:rFonts w:hint="cs"/>
          <w:rtl/>
        </w:rPr>
        <w:t>ת היא תבנית</w:t>
      </w:r>
      <w:r w:rsidR="009E7BB6">
        <w:rPr>
          <w:rFonts w:hint="cs"/>
          <w:rtl/>
        </w:rPr>
        <w:t>ן</w:t>
      </w:r>
      <w:r w:rsidR="00DF7CEF">
        <w:rPr>
          <w:rStyle w:val="FootnoteReference"/>
          <w:rtl/>
        </w:rPr>
        <w:footnoteReference w:id="730"/>
      </w:r>
      <w:r w:rsidR="00096B19">
        <w:rPr>
          <w:rFonts w:hint="cs"/>
          <w:rtl/>
        </w:rPr>
        <w:t xml:space="preserve">, </w:t>
      </w:r>
      <w:r w:rsidR="001155E5">
        <w:rPr>
          <w:rFonts w:hint="cs"/>
          <w:rtl/>
        </w:rPr>
        <w:t>ו</w:t>
      </w:r>
      <w:r w:rsidR="0013369A">
        <w:rPr>
          <w:rFonts w:hint="cs"/>
          <w:rtl/>
        </w:rPr>
        <w:t>ההנח</w:t>
      </w:r>
      <w:r w:rsidR="009E7BB6">
        <w:rPr>
          <w:rFonts w:hint="cs"/>
          <w:rtl/>
        </w:rPr>
        <w:t>ות</w:t>
      </w:r>
      <w:r w:rsidR="0013369A">
        <w:rPr>
          <w:rFonts w:hint="cs"/>
          <w:rtl/>
        </w:rPr>
        <w:t xml:space="preserve"> המוקדמ</w:t>
      </w:r>
      <w:r w:rsidR="009E7BB6">
        <w:rPr>
          <w:rFonts w:hint="cs"/>
          <w:rtl/>
        </w:rPr>
        <w:t>ו</w:t>
      </w:r>
      <w:r w:rsidR="0013369A">
        <w:rPr>
          <w:rFonts w:hint="cs"/>
          <w:rtl/>
        </w:rPr>
        <w:t>ת בתבנית</w:t>
      </w:r>
      <w:r w:rsidR="009E7BB6">
        <w:rPr>
          <w:rFonts w:hint="cs"/>
          <w:rtl/>
        </w:rPr>
        <w:t xml:space="preserve">ן </w:t>
      </w:r>
      <w:r w:rsidR="00933106">
        <w:rPr>
          <w:rFonts w:hint="cs"/>
          <w:rtl/>
        </w:rPr>
        <w:t xml:space="preserve">שקולות לסיבה הפועלת. </w:t>
      </w:r>
      <w:r w:rsidR="00BC2CD3">
        <w:rPr>
          <w:rFonts w:hint="cs"/>
          <w:rtl/>
        </w:rPr>
        <w:t xml:space="preserve">שהן כמו </w:t>
      </w:r>
      <w:r w:rsidR="00FB71DB">
        <w:rPr>
          <w:rFonts w:hint="cs"/>
          <w:rtl/>
        </w:rPr>
        <w:t>סיבה פועלת למסקנ</w:t>
      </w:r>
      <w:r w:rsidR="000921FA">
        <w:rPr>
          <w:rFonts w:hint="cs"/>
          <w:rtl/>
        </w:rPr>
        <w:t>ה, והמסקנה</w:t>
      </w:r>
      <w:r w:rsidR="001710CE">
        <w:rPr>
          <w:rFonts w:hint="cs"/>
          <w:rtl/>
        </w:rPr>
        <w:t>,</w:t>
      </w:r>
      <w:r w:rsidR="000921FA">
        <w:rPr>
          <w:rFonts w:hint="cs"/>
          <w:rtl/>
        </w:rPr>
        <w:t xml:space="preserve"> </w:t>
      </w:r>
      <w:r w:rsidR="00B1773D">
        <w:rPr>
          <w:rFonts w:hint="cs"/>
          <w:rtl/>
        </w:rPr>
        <w:t>מצד שה</w:t>
      </w:r>
      <w:r w:rsidR="001710CE">
        <w:rPr>
          <w:rFonts w:hint="cs"/>
          <w:rtl/>
        </w:rPr>
        <w:t>י</w:t>
      </w:r>
      <w:r w:rsidR="00B1773D">
        <w:rPr>
          <w:rFonts w:hint="cs"/>
          <w:rtl/>
        </w:rPr>
        <w:t>א מסקנה</w:t>
      </w:r>
      <w:r w:rsidR="001710CE">
        <w:rPr>
          <w:rFonts w:hint="cs"/>
          <w:rtl/>
        </w:rPr>
        <w:t>,</w:t>
      </w:r>
      <w:r w:rsidR="00B1773D">
        <w:rPr>
          <w:rFonts w:hint="cs"/>
          <w:rtl/>
        </w:rPr>
        <w:t xml:space="preserve"> </w:t>
      </w:r>
      <w:r w:rsidR="001710CE">
        <w:rPr>
          <w:rFonts w:hint="cs"/>
          <w:rtl/>
        </w:rPr>
        <w:t>היא דבר ש</w:t>
      </w:r>
      <w:r w:rsidR="008F7DA5">
        <w:rPr>
          <w:rFonts w:hint="cs"/>
          <w:rtl/>
        </w:rPr>
        <w:t>נובע</w:t>
      </w:r>
      <w:r w:rsidR="001710CE">
        <w:rPr>
          <w:rFonts w:hint="cs"/>
          <w:rtl/>
        </w:rPr>
        <w:t xml:space="preserve"> מהן</w:t>
      </w:r>
      <w:r w:rsidR="00B75D23">
        <w:rPr>
          <w:rStyle w:val="FootnoteReference"/>
          <w:rtl/>
        </w:rPr>
        <w:footnoteReference w:id="731"/>
      </w:r>
      <w:r w:rsidR="001710CE">
        <w:rPr>
          <w:rFonts w:hint="cs"/>
          <w:rtl/>
        </w:rPr>
        <w:t>.</w:t>
      </w:r>
      <w:r w:rsidR="00FB71DB">
        <w:rPr>
          <w:rFonts w:hint="cs"/>
          <w:rtl/>
        </w:rPr>
        <w:t xml:space="preserve"> </w:t>
      </w:r>
      <w:r w:rsidR="0013369A">
        <w:rPr>
          <w:rFonts w:hint="cs"/>
          <w:rtl/>
        </w:rPr>
        <w:t xml:space="preserve"> </w:t>
      </w:r>
    </w:p>
    <w:p w14:paraId="70D321CF" w14:textId="722EA22C" w:rsidR="00DA0CF2" w:rsidRDefault="00513AD6" w:rsidP="00FA4994">
      <w:pPr>
        <w:rPr>
          <w:rtl/>
        </w:rPr>
      </w:pPr>
      <w:r>
        <w:rPr>
          <w:rFonts w:hint="cs"/>
          <w:rtl/>
        </w:rPr>
        <w:t>בכל אופן</w:t>
      </w:r>
      <w:r w:rsidR="00E93B9C">
        <w:rPr>
          <w:rFonts w:hint="cs"/>
          <w:rtl/>
        </w:rPr>
        <w:t xml:space="preserve"> </w:t>
      </w:r>
      <w:r w:rsidR="0067762A">
        <w:rPr>
          <w:rFonts w:hint="cs"/>
          <w:rtl/>
        </w:rPr>
        <w:t>למה שמצאו</w:t>
      </w:r>
      <w:r w:rsidR="00064742">
        <w:rPr>
          <w:rFonts w:hint="cs"/>
          <w:rtl/>
        </w:rPr>
        <w:t xml:space="preserve"> </w:t>
      </w:r>
      <w:r w:rsidR="00B521CE">
        <w:rPr>
          <w:rFonts w:hint="cs"/>
          <w:rtl/>
        </w:rPr>
        <w:t>שה</w:t>
      </w:r>
      <w:r w:rsidR="00571532">
        <w:rPr>
          <w:rFonts w:hint="cs"/>
          <w:rtl/>
        </w:rPr>
        <w:t>הנחה</w:t>
      </w:r>
      <w:r w:rsidR="00B521CE">
        <w:rPr>
          <w:rFonts w:hint="cs"/>
          <w:rtl/>
        </w:rPr>
        <w:t xml:space="preserve"> הקט</w:t>
      </w:r>
      <w:r w:rsidR="0088557B">
        <w:rPr>
          <w:rFonts w:hint="cs"/>
          <w:rtl/>
        </w:rPr>
        <w:t>נה</w:t>
      </w:r>
      <w:r w:rsidR="0067762A">
        <w:rPr>
          <w:rFonts w:hint="cs"/>
          <w:rtl/>
        </w:rPr>
        <w:t xml:space="preserve"> </w:t>
      </w:r>
      <w:r w:rsidR="0088557B">
        <w:rPr>
          <w:rFonts w:hint="cs"/>
          <w:rtl/>
        </w:rPr>
        <w:t>וההנחה הגדולה</w:t>
      </w:r>
      <w:r w:rsidR="009F5F68">
        <w:rPr>
          <w:rStyle w:val="FootnoteReference"/>
          <w:rtl/>
        </w:rPr>
        <w:footnoteReference w:id="732"/>
      </w:r>
      <w:r w:rsidR="0088557B">
        <w:rPr>
          <w:rFonts w:hint="cs"/>
          <w:rtl/>
        </w:rPr>
        <w:t xml:space="preserve"> </w:t>
      </w:r>
      <w:r w:rsidR="00910358">
        <w:rPr>
          <w:rFonts w:hint="cs"/>
          <w:rtl/>
        </w:rPr>
        <w:t xml:space="preserve">אם </w:t>
      </w:r>
      <w:r w:rsidR="00A716BE">
        <w:rPr>
          <w:rFonts w:hint="cs"/>
          <w:rtl/>
        </w:rPr>
        <w:t xml:space="preserve">הן </w:t>
      </w:r>
      <w:r w:rsidR="0093370B">
        <w:rPr>
          <w:rFonts w:hint="cs"/>
          <w:rtl/>
        </w:rPr>
        <w:t xml:space="preserve">נשלמות </w:t>
      </w:r>
      <w:r w:rsidR="00FA1537">
        <w:rPr>
          <w:rFonts w:hint="cs"/>
          <w:rtl/>
        </w:rPr>
        <w:t xml:space="preserve">מגיעה המסקנה, </w:t>
      </w:r>
      <w:r w:rsidR="00F8425C">
        <w:rPr>
          <w:rFonts w:hint="cs"/>
          <w:rtl/>
        </w:rPr>
        <w:t>ו</w:t>
      </w:r>
      <w:r w:rsidR="00B258A3">
        <w:rPr>
          <w:rFonts w:hint="cs"/>
          <w:rtl/>
        </w:rPr>
        <w:t>הי</w:t>
      </w:r>
      <w:r w:rsidR="0080301A">
        <w:rPr>
          <w:rFonts w:hint="cs"/>
          <w:rtl/>
        </w:rPr>
        <w:t>ו [שתי אלה</w:t>
      </w:r>
      <w:r w:rsidR="003F1BA5">
        <w:rPr>
          <w:rStyle w:val="FootnoteReference"/>
          <w:rtl/>
        </w:rPr>
        <w:footnoteReference w:id="733"/>
      </w:r>
      <w:r w:rsidR="0080301A">
        <w:rPr>
          <w:rFonts w:hint="cs"/>
          <w:rtl/>
        </w:rPr>
        <w:t>]</w:t>
      </w:r>
      <w:r w:rsidR="00B258A3">
        <w:rPr>
          <w:rFonts w:hint="cs"/>
          <w:rtl/>
        </w:rPr>
        <w:t xml:space="preserve"> </w:t>
      </w:r>
      <w:r w:rsidR="0080301A">
        <w:rPr>
          <w:rFonts w:hint="cs"/>
          <w:rtl/>
        </w:rPr>
        <w:t>קודם לכן</w:t>
      </w:r>
      <w:r w:rsidR="00B258A3">
        <w:rPr>
          <w:rFonts w:hint="cs"/>
          <w:rtl/>
        </w:rPr>
        <w:t xml:space="preserve"> </w:t>
      </w:r>
      <w:r w:rsidR="0085048F" w:rsidRPr="0085048F">
        <w:rPr>
          <w:rtl/>
        </w:rPr>
        <w:t>בַּ</w:t>
      </w:r>
      <w:r w:rsidR="00B258A3">
        <w:rPr>
          <w:rFonts w:hint="cs"/>
          <w:rtl/>
        </w:rPr>
        <w:t>היקש</w:t>
      </w:r>
      <w:r w:rsidR="0080301A">
        <w:rPr>
          <w:rFonts w:hint="cs"/>
          <w:rtl/>
        </w:rPr>
        <w:t xml:space="preserve">, </w:t>
      </w:r>
      <w:r w:rsidR="001865BB">
        <w:rPr>
          <w:rFonts w:hint="cs"/>
          <w:rtl/>
        </w:rPr>
        <w:t xml:space="preserve">היה מקום לחשוב </w:t>
      </w:r>
      <w:r w:rsidR="00060F0A">
        <w:rPr>
          <w:rFonts w:hint="cs"/>
          <w:rtl/>
        </w:rPr>
        <w:t>ש</w:t>
      </w:r>
      <w:r w:rsidR="00476028">
        <w:rPr>
          <w:rFonts w:hint="cs"/>
          <w:rtl/>
        </w:rPr>
        <w:t>ב</w:t>
      </w:r>
      <w:r w:rsidR="00060F0A">
        <w:rPr>
          <w:rFonts w:hint="cs"/>
          <w:rtl/>
        </w:rPr>
        <w:t>ה</w:t>
      </w:r>
      <w:r w:rsidR="00476028">
        <w:rPr>
          <w:rFonts w:hint="cs"/>
          <w:rtl/>
        </w:rPr>
        <w:t xml:space="preserve">יקש </w:t>
      </w:r>
      <w:r w:rsidR="005D740B">
        <w:rPr>
          <w:rFonts w:hint="cs"/>
          <w:rtl/>
        </w:rPr>
        <w:t xml:space="preserve">נמצא </w:t>
      </w:r>
      <w:r w:rsidR="00476028">
        <w:rPr>
          <w:rFonts w:hint="cs"/>
          <w:rtl/>
        </w:rPr>
        <w:t>מושא</w:t>
      </w:r>
      <w:r w:rsidR="005803AE">
        <w:rPr>
          <w:rStyle w:val="FootnoteReference"/>
          <w:rtl/>
        </w:rPr>
        <w:footnoteReference w:id="734"/>
      </w:r>
      <w:r w:rsidR="00476028">
        <w:rPr>
          <w:rFonts w:hint="cs"/>
          <w:rtl/>
        </w:rPr>
        <w:t xml:space="preserve"> המסקנה</w:t>
      </w:r>
      <w:r w:rsidR="00523B24">
        <w:rPr>
          <w:rFonts w:hint="cs"/>
          <w:rtl/>
        </w:rPr>
        <w:t>,</w:t>
      </w:r>
      <w:r w:rsidR="00476028">
        <w:rPr>
          <w:rFonts w:hint="cs"/>
          <w:rtl/>
        </w:rPr>
        <w:t xml:space="preserve"> </w:t>
      </w:r>
      <w:r w:rsidR="00210357">
        <w:rPr>
          <w:rFonts w:hint="cs"/>
          <w:rtl/>
        </w:rPr>
        <w:t>וזה</w:t>
      </w:r>
      <w:r w:rsidR="00BE32DA">
        <w:rPr>
          <w:rFonts w:hint="cs"/>
          <w:rtl/>
        </w:rPr>
        <w:t xml:space="preserve"> מולי</w:t>
      </w:r>
      <w:r w:rsidR="00210357">
        <w:rPr>
          <w:rFonts w:hint="cs"/>
          <w:rtl/>
        </w:rPr>
        <w:t>ך</w:t>
      </w:r>
      <w:r w:rsidR="00BE32DA">
        <w:rPr>
          <w:rFonts w:hint="cs"/>
          <w:rtl/>
        </w:rPr>
        <w:t xml:space="preserve"> למחשבה </w:t>
      </w:r>
      <w:r w:rsidR="00504D27">
        <w:rPr>
          <w:rFonts w:hint="cs"/>
          <w:rtl/>
        </w:rPr>
        <w:t>שההיקש בעצמו הוא מושא המסקנה.</w:t>
      </w:r>
    </w:p>
    <w:p w14:paraId="2AC90259" w14:textId="3EA7F20C" w:rsidR="00645711" w:rsidRDefault="00B94D1B" w:rsidP="00FA4994">
      <w:pPr>
        <w:rPr>
          <w:rtl/>
        </w:rPr>
      </w:pPr>
      <w:r>
        <w:rPr>
          <w:rFonts w:hint="cs"/>
          <w:rtl/>
        </w:rPr>
        <w:t xml:space="preserve">אמנם </w:t>
      </w:r>
      <w:r w:rsidR="007D6B42">
        <w:rPr>
          <w:rFonts w:hint="cs"/>
          <w:rtl/>
        </w:rPr>
        <w:t xml:space="preserve">ההנחה הקטנה </w:t>
      </w:r>
      <w:r w:rsidR="00567DBC">
        <w:rPr>
          <w:rFonts w:hint="cs"/>
          <w:rtl/>
        </w:rPr>
        <w:t xml:space="preserve">וההנחה הגדולה </w:t>
      </w:r>
      <w:r w:rsidR="00E04743">
        <w:rPr>
          <w:rFonts w:hint="cs"/>
          <w:rtl/>
        </w:rPr>
        <w:t xml:space="preserve">טבען שהן </w:t>
      </w:r>
      <w:r w:rsidR="000B137E">
        <w:rPr>
          <w:rFonts w:hint="cs"/>
          <w:rtl/>
        </w:rPr>
        <w:t>מושא לצור</w:t>
      </w:r>
      <w:r w:rsidR="00FC7C79">
        <w:rPr>
          <w:rFonts w:hint="cs"/>
          <w:rtl/>
        </w:rPr>
        <w:t>ות</w:t>
      </w:r>
      <w:r w:rsidR="00750207">
        <w:rPr>
          <w:rFonts w:hint="cs"/>
          <w:rtl/>
        </w:rPr>
        <w:t xml:space="preserve">, </w:t>
      </w:r>
      <w:r w:rsidR="00FE30A5">
        <w:rPr>
          <w:rFonts w:hint="cs"/>
          <w:rtl/>
        </w:rPr>
        <w:t>ש</w:t>
      </w:r>
      <w:r w:rsidR="00750207">
        <w:rPr>
          <w:rFonts w:hint="cs"/>
          <w:rtl/>
        </w:rPr>
        <w:t>הן מושא לצורה של המסקנה</w:t>
      </w:r>
      <w:r w:rsidR="00B82A23">
        <w:rPr>
          <w:rFonts w:hint="cs"/>
          <w:rtl/>
        </w:rPr>
        <w:t>.</w:t>
      </w:r>
      <w:r w:rsidR="00F753B6">
        <w:rPr>
          <w:rFonts w:hint="cs"/>
          <w:rtl/>
        </w:rPr>
        <w:t xml:space="preserve"> ו</w:t>
      </w:r>
      <w:r w:rsidR="00D97AE7">
        <w:rPr>
          <w:rFonts w:hint="cs"/>
          <w:rtl/>
        </w:rPr>
        <w:t>כש</w:t>
      </w:r>
      <w:r w:rsidR="00F753B6">
        <w:rPr>
          <w:rFonts w:hint="cs"/>
          <w:rtl/>
        </w:rPr>
        <w:t>אי</w:t>
      </w:r>
      <w:r w:rsidR="00D97AE7">
        <w:rPr>
          <w:rFonts w:hint="cs"/>
          <w:rtl/>
        </w:rPr>
        <w:t>ן</w:t>
      </w:r>
      <w:r w:rsidR="00F753B6">
        <w:rPr>
          <w:rFonts w:hint="cs"/>
          <w:rtl/>
        </w:rPr>
        <w:t xml:space="preserve"> </w:t>
      </w:r>
      <w:r w:rsidR="00894F0A">
        <w:rPr>
          <w:rFonts w:hint="cs"/>
          <w:rtl/>
        </w:rPr>
        <w:t xml:space="preserve">באותה עת </w:t>
      </w:r>
      <w:r w:rsidR="00EE06A8">
        <w:rPr>
          <w:rFonts w:hint="cs"/>
          <w:rtl/>
        </w:rPr>
        <w:t xml:space="preserve">את </w:t>
      </w:r>
      <w:r w:rsidR="00FD1CC0">
        <w:rPr>
          <w:rFonts w:hint="cs"/>
          <w:rtl/>
        </w:rPr>
        <w:t xml:space="preserve">ההנחה הקטנה </w:t>
      </w:r>
      <w:r w:rsidR="00894F0A">
        <w:rPr>
          <w:rFonts w:hint="cs"/>
          <w:rtl/>
        </w:rPr>
        <w:t>ו</w:t>
      </w:r>
      <w:r w:rsidR="00B16A1D">
        <w:rPr>
          <w:rFonts w:hint="cs"/>
          <w:rtl/>
        </w:rPr>
        <w:t xml:space="preserve">את </w:t>
      </w:r>
      <w:r w:rsidR="00FD1CC0">
        <w:rPr>
          <w:rFonts w:hint="cs"/>
          <w:rtl/>
        </w:rPr>
        <w:t>ההנחה הגדולה</w:t>
      </w:r>
      <w:r w:rsidR="00E467A1">
        <w:rPr>
          <w:rFonts w:hint="cs"/>
          <w:rtl/>
        </w:rPr>
        <w:t xml:space="preserve"> וה</w:t>
      </w:r>
      <w:r w:rsidR="00780E72">
        <w:rPr>
          <w:rFonts w:hint="cs"/>
          <w:rtl/>
        </w:rPr>
        <w:t>מושאים</w:t>
      </w:r>
      <w:r w:rsidR="00FD1CC0">
        <w:rPr>
          <w:rFonts w:hint="cs"/>
          <w:rtl/>
        </w:rPr>
        <w:t xml:space="preserve">, </w:t>
      </w:r>
      <w:r w:rsidR="00B22464">
        <w:rPr>
          <w:rFonts w:hint="cs"/>
          <w:rtl/>
        </w:rPr>
        <w:t xml:space="preserve">כדי </w:t>
      </w:r>
      <w:r w:rsidR="00BB27B7">
        <w:rPr>
          <w:rFonts w:hint="cs"/>
          <w:rtl/>
        </w:rPr>
        <w:t xml:space="preserve">שיהיו הנחה </w:t>
      </w:r>
      <w:r w:rsidR="00CC756F">
        <w:rPr>
          <w:rFonts w:hint="cs"/>
          <w:rtl/>
        </w:rPr>
        <w:t xml:space="preserve">קטנה והנחה גדולה, </w:t>
      </w:r>
      <w:r w:rsidR="00F12F90">
        <w:rPr>
          <w:rFonts w:hint="cs"/>
          <w:rtl/>
        </w:rPr>
        <w:t xml:space="preserve">לא יהיו </w:t>
      </w:r>
      <w:r w:rsidR="00A02A80">
        <w:rPr>
          <w:rFonts w:hint="cs"/>
          <w:rtl/>
        </w:rPr>
        <w:t>באותה עת</w:t>
      </w:r>
      <w:r w:rsidR="00B83F79">
        <w:rPr>
          <w:rFonts w:hint="cs"/>
          <w:rtl/>
        </w:rPr>
        <w:t xml:space="preserve"> </w:t>
      </w:r>
      <w:r w:rsidR="00F12F90">
        <w:rPr>
          <w:rFonts w:hint="cs"/>
          <w:rtl/>
        </w:rPr>
        <w:t>מושאים למסקנה</w:t>
      </w:r>
      <w:r w:rsidR="00D1734B">
        <w:rPr>
          <w:rFonts w:hint="cs"/>
          <w:rtl/>
        </w:rPr>
        <w:t xml:space="preserve">, כי </w:t>
      </w:r>
      <w:r w:rsidR="008D79A4">
        <w:rPr>
          <w:rFonts w:hint="cs"/>
          <w:rtl/>
        </w:rPr>
        <w:t>כ</w:t>
      </w:r>
      <w:r w:rsidR="00C35442">
        <w:rPr>
          <w:rFonts w:hint="cs"/>
          <w:rtl/>
        </w:rPr>
        <w:t>ל אח</w:t>
      </w:r>
      <w:r w:rsidR="00261D25">
        <w:rPr>
          <w:rFonts w:hint="cs"/>
          <w:rtl/>
        </w:rPr>
        <w:t>ת</w:t>
      </w:r>
      <w:r w:rsidR="00C35442">
        <w:rPr>
          <w:rFonts w:hint="cs"/>
          <w:rtl/>
        </w:rPr>
        <w:t xml:space="preserve"> מה</w:t>
      </w:r>
      <w:r w:rsidR="00261D25">
        <w:rPr>
          <w:rFonts w:hint="cs"/>
          <w:rtl/>
        </w:rPr>
        <w:t>ן</w:t>
      </w:r>
      <w:r w:rsidR="00C35442">
        <w:rPr>
          <w:rFonts w:hint="cs"/>
          <w:rtl/>
        </w:rPr>
        <w:t xml:space="preserve"> </w:t>
      </w:r>
      <w:r w:rsidR="008D79A4">
        <w:rPr>
          <w:rFonts w:hint="cs"/>
          <w:rtl/>
        </w:rPr>
        <w:t xml:space="preserve">אם </w:t>
      </w:r>
      <w:r w:rsidR="00E61470">
        <w:rPr>
          <w:rFonts w:hint="cs"/>
          <w:rtl/>
        </w:rPr>
        <w:t xml:space="preserve">יש </w:t>
      </w:r>
      <w:r w:rsidR="00C818EB">
        <w:rPr>
          <w:rFonts w:hint="cs"/>
          <w:rtl/>
        </w:rPr>
        <w:t xml:space="preserve">לה </w:t>
      </w:r>
      <w:r w:rsidR="00E61470">
        <w:rPr>
          <w:rFonts w:hint="cs"/>
          <w:rtl/>
        </w:rPr>
        <w:t xml:space="preserve">יחס </w:t>
      </w:r>
      <w:r w:rsidR="0079002B">
        <w:rPr>
          <w:rFonts w:hint="cs"/>
          <w:rtl/>
        </w:rPr>
        <w:t>בדרך</w:t>
      </w:r>
      <w:r w:rsidR="00E61470">
        <w:rPr>
          <w:rFonts w:hint="cs"/>
          <w:rtl/>
        </w:rPr>
        <w:t xml:space="preserve"> מסוי</w:t>
      </w:r>
      <w:r w:rsidR="0079002B">
        <w:rPr>
          <w:rFonts w:hint="cs"/>
          <w:rtl/>
        </w:rPr>
        <w:t>מת</w:t>
      </w:r>
      <w:r w:rsidR="00E61470">
        <w:rPr>
          <w:rFonts w:hint="cs"/>
          <w:rtl/>
        </w:rPr>
        <w:t xml:space="preserve"> </w:t>
      </w:r>
      <w:r w:rsidR="00C818EB">
        <w:rPr>
          <w:rFonts w:hint="cs"/>
          <w:rtl/>
        </w:rPr>
        <w:t>אל ה</w:t>
      </w:r>
      <w:r w:rsidR="00261D25">
        <w:rPr>
          <w:rFonts w:hint="cs"/>
          <w:rtl/>
        </w:rPr>
        <w:t>אחרת</w:t>
      </w:r>
      <w:r w:rsidR="00A574BC">
        <w:rPr>
          <w:rFonts w:hint="cs"/>
          <w:rtl/>
        </w:rPr>
        <w:t xml:space="preserve"> </w:t>
      </w:r>
      <w:r w:rsidR="00285DFF">
        <w:rPr>
          <w:rFonts w:hint="cs"/>
          <w:rtl/>
        </w:rPr>
        <w:t xml:space="preserve">אז </w:t>
      </w:r>
      <w:r w:rsidR="001F2564">
        <w:rPr>
          <w:rFonts w:hint="cs"/>
          <w:rtl/>
        </w:rPr>
        <w:t>יש</w:t>
      </w:r>
      <w:r w:rsidR="00E364EB">
        <w:rPr>
          <w:rFonts w:hint="cs"/>
          <w:rtl/>
        </w:rPr>
        <w:t xml:space="preserve"> הנ</w:t>
      </w:r>
      <w:r w:rsidR="00710560">
        <w:rPr>
          <w:rFonts w:hint="cs"/>
          <w:rtl/>
        </w:rPr>
        <w:t>ח</w:t>
      </w:r>
      <w:r w:rsidR="00E364EB">
        <w:rPr>
          <w:rFonts w:hint="cs"/>
          <w:rtl/>
        </w:rPr>
        <w:t>ה קטנה והנחה גדולה.</w:t>
      </w:r>
      <w:r w:rsidR="00DB60D4">
        <w:rPr>
          <w:rFonts w:hint="cs"/>
          <w:rtl/>
        </w:rPr>
        <w:t xml:space="preserve"> </w:t>
      </w:r>
      <w:r w:rsidR="004237A2">
        <w:rPr>
          <w:rFonts w:hint="cs"/>
          <w:rtl/>
        </w:rPr>
        <w:t>ו</w:t>
      </w:r>
      <w:r w:rsidR="00DB60D4">
        <w:rPr>
          <w:rFonts w:hint="cs"/>
          <w:rtl/>
        </w:rPr>
        <w:t>ה</w:t>
      </w:r>
      <w:r w:rsidR="00A779A0">
        <w:rPr>
          <w:rFonts w:hint="cs"/>
          <w:rtl/>
        </w:rPr>
        <w:t>דרך</w:t>
      </w:r>
      <w:r w:rsidR="00DB60D4">
        <w:rPr>
          <w:rFonts w:hint="cs"/>
          <w:rtl/>
        </w:rPr>
        <w:t xml:space="preserve"> הז</w:t>
      </w:r>
      <w:r w:rsidR="00A779A0">
        <w:rPr>
          <w:rFonts w:hint="cs"/>
          <w:rtl/>
        </w:rPr>
        <w:t>ו</w:t>
      </w:r>
      <w:r w:rsidR="006E1A1B">
        <w:rPr>
          <w:rFonts w:hint="cs"/>
          <w:rtl/>
        </w:rPr>
        <w:t xml:space="preserve"> </w:t>
      </w:r>
      <w:r w:rsidR="00DB60D4">
        <w:rPr>
          <w:rFonts w:hint="cs"/>
          <w:rtl/>
        </w:rPr>
        <w:t>ה</w:t>
      </w:r>
      <w:r w:rsidR="00A779A0">
        <w:rPr>
          <w:rFonts w:hint="cs"/>
          <w:rtl/>
        </w:rPr>
        <w:t>י</w:t>
      </w:r>
      <w:r w:rsidR="00DB60D4">
        <w:rPr>
          <w:rFonts w:hint="cs"/>
          <w:rtl/>
        </w:rPr>
        <w:t>א ש</w:t>
      </w:r>
      <w:r w:rsidR="00EF5E5A">
        <w:rPr>
          <w:rFonts w:hint="cs"/>
          <w:rtl/>
        </w:rPr>
        <w:t>יתייחסו</w:t>
      </w:r>
      <w:r w:rsidR="00F9528C">
        <w:rPr>
          <w:rFonts w:hint="cs"/>
          <w:rtl/>
        </w:rPr>
        <w:t xml:space="preserve"> ביחד בפועל יחס </w:t>
      </w:r>
      <w:r w:rsidR="00255115">
        <w:rPr>
          <w:rFonts w:hint="cs"/>
          <w:rtl/>
        </w:rPr>
        <w:t>מ</w:t>
      </w:r>
      <w:r w:rsidR="003D23D9">
        <w:rPr>
          <w:rFonts w:hint="cs"/>
          <w:rtl/>
        </w:rPr>
        <w:t>וגדר</w:t>
      </w:r>
      <w:r w:rsidR="00255115">
        <w:rPr>
          <w:rFonts w:hint="cs"/>
          <w:rtl/>
        </w:rPr>
        <w:t xml:space="preserve"> אל ה</w:t>
      </w:r>
      <w:r w:rsidR="003A5245">
        <w:rPr>
          <w:rFonts w:hint="cs"/>
          <w:rtl/>
        </w:rPr>
        <w:t>מונח</w:t>
      </w:r>
      <w:r w:rsidR="00883F0A">
        <w:rPr>
          <w:rFonts w:hint="cs"/>
          <w:rtl/>
        </w:rPr>
        <w:t xml:space="preserve"> האמצעי</w:t>
      </w:r>
      <w:r w:rsidR="003A5245">
        <w:rPr>
          <w:rStyle w:val="FootnoteReference"/>
          <w:rtl/>
        </w:rPr>
        <w:footnoteReference w:id="735"/>
      </w:r>
      <w:r w:rsidR="00883F0A">
        <w:rPr>
          <w:rFonts w:hint="cs"/>
          <w:rtl/>
        </w:rPr>
        <w:t>,</w:t>
      </w:r>
      <w:r w:rsidR="003F09A4">
        <w:rPr>
          <w:rFonts w:hint="cs"/>
          <w:rtl/>
        </w:rPr>
        <w:t xml:space="preserve"> </w:t>
      </w:r>
      <w:r w:rsidR="00F30DF6">
        <w:rPr>
          <w:rFonts w:hint="cs"/>
          <w:rtl/>
        </w:rPr>
        <w:t>ו</w:t>
      </w:r>
      <w:r w:rsidR="006B4284">
        <w:rPr>
          <w:rFonts w:hint="cs"/>
          <w:rtl/>
        </w:rPr>
        <w:t xml:space="preserve">יהיה להן </w:t>
      </w:r>
      <w:r w:rsidR="00F30DF6">
        <w:rPr>
          <w:rFonts w:hint="cs"/>
          <w:rtl/>
        </w:rPr>
        <w:t xml:space="preserve">אל המסקנה יחס </w:t>
      </w:r>
      <w:r w:rsidR="000D2C6F">
        <w:rPr>
          <w:rFonts w:hint="cs"/>
          <w:rtl/>
        </w:rPr>
        <w:t>א</w:t>
      </w:r>
      <w:r w:rsidR="00F30DF6">
        <w:rPr>
          <w:rFonts w:hint="cs"/>
          <w:rtl/>
        </w:rPr>
        <w:t xml:space="preserve">ל דבר בכח. </w:t>
      </w:r>
    </w:p>
    <w:p w14:paraId="3D323416" w14:textId="77777777" w:rsidR="00E1352B" w:rsidRDefault="00C65334" w:rsidP="00FA4994">
      <w:pPr>
        <w:rPr>
          <w:rtl/>
        </w:rPr>
      </w:pPr>
      <w:r>
        <w:rPr>
          <w:rFonts w:hint="cs"/>
          <w:rtl/>
        </w:rPr>
        <w:t>ו</w:t>
      </w:r>
      <w:r w:rsidR="009C4C06">
        <w:rPr>
          <w:rFonts w:hint="cs"/>
          <w:rtl/>
        </w:rPr>
        <w:t>כשיש להן דרך אחרת</w:t>
      </w:r>
      <w:r w:rsidR="00D060E2">
        <w:rPr>
          <w:rFonts w:hint="cs"/>
          <w:rtl/>
        </w:rPr>
        <w:t>,</w:t>
      </w:r>
      <w:r w:rsidR="00A056B1">
        <w:rPr>
          <w:rFonts w:hint="cs"/>
          <w:rtl/>
        </w:rPr>
        <w:t xml:space="preserve"> </w:t>
      </w:r>
      <w:r w:rsidR="00A9773F">
        <w:rPr>
          <w:rFonts w:hint="cs"/>
          <w:rtl/>
        </w:rPr>
        <w:t xml:space="preserve">הן בפועל </w:t>
      </w:r>
      <w:r w:rsidR="00886C15">
        <w:rPr>
          <w:rFonts w:hint="cs"/>
          <w:rtl/>
        </w:rPr>
        <w:t xml:space="preserve">מושאים של המסקנה. </w:t>
      </w:r>
      <w:r w:rsidR="0040597A">
        <w:rPr>
          <w:rFonts w:hint="cs"/>
          <w:rtl/>
        </w:rPr>
        <w:t>ו</w:t>
      </w:r>
      <w:r w:rsidR="00645711">
        <w:rPr>
          <w:rFonts w:hint="cs"/>
          <w:rtl/>
        </w:rPr>
        <w:t xml:space="preserve">הדרך האחרת היא </w:t>
      </w:r>
      <w:r w:rsidR="00EE7987">
        <w:rPr>
          <w:rFonts w:hint="cs"/>
          <w:rtl/>
        </w:rPr>
        <w:t xml:space="preserve">שתתייחס כל אחת מהן </w:t>
      </w:r>
      <w:r w:rsidR="00724493">
        <w:rPr>
          <w:rFonts w:hint="cs"/>
          <w:rtl/>
        </w:rPr>
        <w:t>אל האחרת</w:t>
      </w:r>
      <w:r w:rsidR="006353CA">
        <w:rPr>
          <w:rFonts w:hint="cs"/>
          <w:rtl/>
        </w:rPr>
        <w:t xml:space="preserve"> יחס של </w:t>
      </w:r>
      <w:r w:rsidR="00CB1143">
        <w:rPr>
          <w:rFonts w:hint="cs"/>
          <w:rtl/>
        </w:rPr>
        <w:t>'</w:t>
      </w:r>
      <w:r w:rsidR="00687CBD">
        <w:rPr>
          <w:rFonts w:hint="cs"/>
          <w:rtl/>
        </w:rPr>
        <w:t>מה שנאמר על</w:t>
      </w:r>
      <w:r w:rsidR="00CB1143">
        <w:rPr>
          <w:rFonts w:hint="cs"/>
          <w:rtl/>
        </w:rPr>
        <w:t>'</w:t>
      </w:r>
      <w:r w:rsidR="00CB1143">
        <w:rPr>
          <w:rStyle w:val="FootnoteReference"/>
          <w:rtl/>
        </w:rPr>
        <w:footnoteReference w:id="736"/>
      </w:r>
      <w:r w:rsidR="00687CBD">
        <w:rPr>
          <w:rFonts w:hint="cs"/>
          <w:rtl/>
        </w:rPr>
        <w:t xml:space="preserve"> ונושא</w:t>
      </w:r>
      <w:r w:rsidR="00A01F2A">
        <w:rPr>
          <w:rStyle w:val="FootnoteReference"/>
          <w:rtl/>
        </w:rPr>
        <w:footnoteReference w:id="737"/>
      </w:r>
      <w:r w:rsidR="007606C4">
        <w:rPr>
          <w:rFonts w:hint="cs"/>
          <w:rtl/>
        </w:rPr>
        <w:t xml:space="preserve">, </w:t>
      </w:r>
      <w:r w:rsidR="00EC0CE1">
        <w:rPr>
          <w:rFonts w:hint="cs"/>
          <w:rtl/>
        </w:rPr>
        <w:t>או של המאוחר</w:t>
      </w:r>
      <w:r w:rsidR="001646A1">
        <w:rPr>
          <w:rStyle w:val="FootnoteReference"/>
          <w:rtl/>
        </w:rPr>
        <w:footnoteReference w:id="738"/>
      </w:r>
      <w:r w:rsidR="00EC0CE1">
        <w:rPr>
          <w:rFonts w:hint="cs"/>
          <w:rtl/>
        </w:rPr>
        <w:t xml:space="preserve"> והמוקדם</w:t>
      </w:r>
      <w:r w:rsidR="002737A3">
        <w:rPr>
          <w:rFonts w:hint="cs"/>
          <w:rtl/>
        </w:rPr>
        <w:t>,</w:t>
      </w:r>
      <w:r w:rsidR="00ED1C84">
        <w:rPr>
          <w:rFonts w:hint="cs"/>
          <w:rtl/>
        </w:rPr>
        <w:t xml:space="preserve"> </w:t>
      </w:r>
      <w:r w:rsidR="00724BBF">
        <w:rPr>
          <w:rFonts w:hint="cs"/>
          <w:rtl/>
        </w:rPr>
        <w:t xml:space="preserve">אחרי </w:t>
      </w:r>
      <w:r w:rsidR="00DA62BB">
        <w:rPr>
          <w:rFonts w:hint="cs"/>
          <w:rtl/>
        </w:rPr>
        <w:t xml:space="preserve">היחס </w:t>
      </w:r>
      <w:r w:rsidR="00724BBF">
        <w:rPr>
          <w:rFonts w:hint="cs"/>
          <w:rtl/>
        </w:rPr>
        <w:t>שיש להן</w:t>
      </w:r>
      <w:r w:rsidR="00AD41C2">
        <w:rPr>
          <w:rFonts w:hint="cs"/>
          <w:rtl/>
        </w:rPr>
        <w:t xml:space="preserve"> ועם זה </w:t>
      </w:r>
      <w:r w:rsidR="00CF7943">
        <w:rPr>
          <w:rFonts w:hint="cs"/>
          <w:rtl/>
        </w:rPr>
        <w:t>מה שהוא ב</w:t>
      </w:r>
      <w:r w:rsidR="006A1C67" w:rsidRPr="006A1C67">
        <w:rPr>
          <w:rtl/>
        </w:rPr>
        <w:t>עֵ</w:t>
      </w:r>
      <w:r w:rsidR="0007123B">
        <w:rPr>
          <w:rFonts w:hint="cs"/>
          <w:rtl/>
        </w:rPr>
        <w:t>ינ</w:t>
      </w:r>
      <w:r w:rsidR="00CF7943">
        <w:rPr>
          <w:rFonts w:hint="cs"/>
          <w:rtl/>
        </w:rPr>
        <w:t>ו</w:t>
      </w:r>
      <w:r w:rsidR="006C5BAD">
        <w:rPr>
          <w:rStyle w:val="FootnoteReference"/>
          <w:rtl/>
        </w:rPr>
        <w:footnoteReference w:id="739"/>
      </w:r>
      <w:r w:rsidR="00CF7943">
        <w:rPr>
          <w:rFonts w:hint="cs"/>
          <w:rtl/>
        </w:rPr>
        <w:t xml:space="preserve"> </w:t>
      </w:r>
      <w:r w:rsidR="00C12669" w:rsidRPr="00C12669">
        <w:rPr>
          <w:rtl/>
        </w:rPr>
        <w:t>בַּ</w:t>
      </w:r>
      <w:r w:rsidR="00CF7943">
        <w:rPr>
          <w:rFonts w:hint="cs"/>
          <w:rtl/>
        </w:rPr>
        <w:t xml:space="preserve">היקש, בין כהנחה גדולה ובין כהנחה קטנה, </w:t>
      </w:r>
      <w:r w:rsidR="00593779">
        <w:rPr>
          <w:rFonts w:hint="cs"/>
          <w:rtl/>
        </w:rPr>
        <w:t xml:space="preserve">גם הוא אינו </w:t>
      </w:r>
      <w:r w:rsidR="00745F87">
        <w:rPr>
          <w:rFonts w:hint="cs"/>
          <w:rtl/>
        </w:rPr>
        <w:t>המושא</w:t>
      </w:r>
      <w:r w:rsidR="00DC6042">
        <w:rPr>
          <w:rFonts w:hint="cs"/>
          <w:rtl/>
        </w:rPr>
        <w:t xml:space="preserve"> בכח</w:t>
      </w:r>
      <w:r w:rsidR="0007123B">
        <w:rPr>
          <w:rFonts w:hint="cs"/>
          <w:rtl/>
        </w:rPr>
        <w:t xml:space="preserve"> </w:t>
      </w:r>
      <w:r w:rsidR="00745F87">
        <w:rPr>
          <w:rFonts w:hint="cs"/>
          <w:rtl/>
        </w:rPr>
        <w:t xml:space="preserve">של המסקנה, אלא הוא דבר אחר מאותו מין. </w:t>
      </w:r>
      <w:r w:rsidR="000B6153">
        <w:rPr>
          <w:rFonts w:hint="cs"/>
          <w:rtl/>
        </w:rPr>
        <w:t xml:space="preserve">ואי אפשר לומר </w:t>
      </w:r>
      <w:r w:rsidR="00DA7E72">
        <w:rPr>
          <w:rFonts w:hint="cs"/>
          <w:rtl/>
        </w:rPr>
        <w:t xml:space="preserve">שדבר אחד במספר </w:t>
      </w:r>
      <w:r w:rsidR="003C08D2">
        <w:rPr>
          <w:rFonts w:hint="cs"/>
          <w:rtl/>
        </w:rPr>
        <w:t xml:space="preserve">יהיה במקרה </w:t>
      </w:r>
      <w:r w:rsidR="000F6F9A">
        <w:rPr>
          <w:rFonts w:hint="cs"/>
          <w:rtl/>
        </w:rPr>
        <w:t>מושא</w:t>
      </w:r>
      <w:r w:rsidR="009E1674">
        <w:rPr>
          <w:rFonts w:hint="cs"/>
          <w:rtl/>
        </w:rPr>
        <w:t xml:space="preserve"> ל</w:t>
      </w:r>
      <w:r w:rsidR="001E1265">
        <w:rPr>
          <w:rFonts w:hint="cs"/>
          <w:rtl/>
        </w:rPr>
        <w:t>מציאות הנחה גדולה והנחה קטנה</w:t>
      </w:r>
      <w:r w:rsidR="00FF51B6">
        <w:rPr>
          <w:rFonts w:hint="cs"/>
          <w:rtl/>
        </w:rPr>
        <w:t xml:space="preserve">, כשהוא מושא </w:t>
      </w:r>
      <w:r w:rsidR="004C5794">
        <w:rPr>
          <w:rFonts w:hint="cs"/>
          <w:rtl/>
        </w:rPr>
        <w:t>ל</w:t>
      </w:r>
      <w:r w:rsidR="003D7C8A">
        <w:rPr>
          <w:rFonts w:hint="cs"/>
          <w:rtl/>
        </w:rPr>
        <w:t xml:space="preserve">מציאות </w:t>
      </w:r>
      <w:r w:rsidR="004C5794">
        <w:rPr>
          <w:rFonts w:hint="cs"/>
          <w:rtl/>
        </w:rPr>
        <w:t>חלק מהמסקנה.</w:t>
      </w:r>
    </w:p>
    <w:p w14:paraId="50A5E0B1" w14:textId="6480FA01" w:rsidR="00D67DB5" w:rsidRDefault="00E1352B" w:rsidP="00FA4994">
      <w:pPr>
        <w:rPr>
          <w:rtl/>
        </w:rPr>
      </w:pPr>
      <w:r>
        <w:rPr>
          <w:rFonts w:hint="cs"/>
          <w:rtl/>
        </w:rPr>
        <w:t xml:space="preserve">ואינני מבין </w:t>
      </w:r>
      <w:r w:rsidR="00823112">
        <w:rPr>
          <w:rFonts w:hint="cs"/>
          <w:rtl/>
        </w:rPr>
        <w:t xml:space="preserve">איך </w:t>
      </w:r>
      <w:r w:rsidR="00394F91">
        <w:rPr>
          <w:rFonts w:hint="cs"/>
          <w:rtl/>
        </w:rPr>
        <w:t xml:space="preserve">מוטל </w:t>
      </w:r>
      <w:r w:rsidR="00E4794E">
        <w:rPr>
          <w:rFonts w:hint="cs"/>
          <w:rtl/>
        </w:rPr>
        <w:t>עלינו</w:t>
      </w:r>
      <w:r w:rsidR="00736D65">
        <w:rPr>
          <w:rFonts w:hint="cs"/>
          <w:rtl/>
        </w:rPr>
        <w:t xml:space="preserve"> </w:t>
      </w:r>
      <w:r w:rsidR="00D015E1">
        <w:rPr>
          <w:rFonts w:hint="cs"/>
          <w:rtl/>
        </w:rPr>
        <w:t>לעשות</w:t>
      </w:r>
      <w:r w:rsidR="009B4C0F">
        <w:rPr>
          <w:rFonts w:hint="cs"/>
          <w:rtl/>
        </w:rPr>
        <w:t xml:space="preserve"> </w:t>
      </w:r>
      <w:r w:rsidR="00823112">
        <w:rPr>
          <w:rFonts w:hint="cs"/>
          <w:rtl/>
        </w:rPr>
        <w:t xml:space="preserve">את </w:t>
      </w:r>
      <w:r w:rsidR="00410AF3">
        <w:rPr>
          <w:rFonts w:hint="cs"/>
          <w:rtl/>
        </w:rPr>
        <w:t>ההנחות המוקדמות מושא למסקנה</w:t>
      </w:r>
      <w:r w:rsidR="001C2DD5">
        <w:rPr>
          <w:rFonts w:hint="cs"/>
          <w:rtl/>
        </w:rPr>
        <w:t xml:space="preserve">. </w:t>
      </w:r>
      <w:r w:rsidR="00B35529">
        <w:rPr>
          <w:rFonts w:hint="cs"/>
          <w:rtl/>
        </w:rPr>
        <w:t xml:space="preserve">שאם </w:t>
      </w:r>
      <w:r w:rsidR="00AB021F">
        <w:rPr>
          <w:rFonts w:hint="cs"/>
          <w:rtl/>
        </w:rPr>
        <w:t xml:space="preserve">נשווה את החומר </w:t>
      </w:r>
      <w:r w:rsidR="00A325C7">
        <w:rPr>
          <w:rFonts w:hint="cs"/>
          <w:rtl/>
        </w:rPr>
        <w:t xml:space="preserve">למה שיתחדש ממנו </w:t>
      </w:r>
      <w:r w:rsidR="00634565">
        <w:rPr>
          <w:rFonts w:hint="cs"/>
          <w:rtl/>
        </w:rPr>
        <w:t>בלבד</w:t>
      </w:r>
      <w:r w:rsidR="00BB4892">
        <w:rPr>
          <w:rFonts w:hint="cs"/>
          <w:rtl/>
        </w:rPr>
        <w:t>,</w:t>
      </w:r>
      <w:r w:rsidR="00023F0A">
        <w:rPr>
          <w:rFonts w:hint="cs"/>
          <w:rtl/>
        </w:rPr>
        <w:t xml:space="preserve"> </w:t>
      </w:r>
      <w:r w:rsidR="00634565">
        <w:rPr>
          <w:rFonts w:hint="cs"/>
          <w:rtl/>
        </w:rPr>
        <w:t>לא יהיה</w:t>
      </w:r>
      <w:r w:rsidR="007835B6">
        <w:rPr>
          <w:rFonts w:hint="cs"/>
          <w:rtl/>
        </w:rPr>
        <w:t xml:space="preserve"> החומר</w:t>
      </w:r>
      <w:r w:rsidR="00BB4892">
        <w:rPr>
          <w:rFonts w:hint="cs"/>
          <w:rtl/>
        </w:rPr>
        <w:t xml:space="preserve"> חומר לקבל את המציאות</w:t>
      </w:r>
      <w:r w:rsidR="00D336F8">
        <w:rPr>
          <w:rFonts w:hint="cs"/>
          <w:rtl/>
        </w:rPr>
        <w:t>, אלא</w:t>
      </w:r>
      <w:r w:rsidR="00BB4892">
        <w:rPr>
          <w:rFonts w:hint="cs"/>
          <w:rtl/>
        </w:rPr>
        <w:t xml:space="preserve"> </w:t>
      </w:r>
      <w:r w:rsidR="0041218D">
        <w:rPr>
          <w:rFonts w:hint="cs"/>
          <w:rtl/>
        </w:rPr>
        <w:t>כ</w:t>
      </w:r>
      <w:r w:rsidR="008E70FB">
        <w:rPr>
          <w:rFonts w:hint="cs"/>
          <w:rtl/>
        </w:rPr>
        <w:t xml:space="preserve">שיהיה מקבל </w:t>
      </w:r>
      <w:r w:rsidR="00B8717E">
        <w:rPr>
          <w:rFonts w:hint="cs"/>
          <w:rtl/>
        </w:rPr>
        <w:t>ל</w:t>
      </w:r>
      <w:r w:rsidR="00FA140D">
        <w:rPr>
          <w:rFonts w:hint="cs"/>
          <w:rtl/>
        </w:rPr>
        <w:t>השתנ</w:t>
      </w:r>
      <w:r w:rsidR="00E1016D" w:rsidRPr="00E1016D">
        <w:rPr>
          <w:rtl/>
        </w:rPr>
        <w:t>וּ</w:t>
      </w:r>
      <w:r w:rsidR="00FA140D">
        <w:rPr>
          <w:rFonts w:hint="cs"/>
          <w:rtl/>
        </w:rPr>
        <w:t>ת</w:t>
      </w:r>
      <w:r w:rsidR="00B8717E">
        <w:rPr>
          <w:rFonts w:hint="cs"/>
          <w:rtl/>
        </w:rPr>
        <w:t xml:space="preserve"> וכשיהיה מקבל לצירוף </w:t>
      </w:r>
      <w:r w:rsidR="008F18F1">
        <w:rPr>
          <w:rFonts w:hint="cs"/>
          <w:rtl/>
        </w:rPr>
        <w:t xml:space="preserve">ולהרכבה, וכשיהיה מקבל </w:t>
      </w:r>
      <w:r w:rsidR="004A6B1E">
        <w:rPr>
          <w:rFonts w:hint="cs"/>
          <w:rtl/>
        </w:rPr>
        <w:t>להרכבה</w:t>
      </w:r>
      <w:r w:rsidR="008F18F1">
        <w:rPr>
          <w:rFonts w:hint="cs"/>
          <w:rtl/>
        </w:rPr>
        <w:t xml:space="preserve"> </w:t>
      </w:r>
      <w:r w:rsidR="00AD092D">
        <w:rPr>
          <w:rFonts w:hint="cs"/>
          <w:rtl/>
        </w:rPr>
        <w:t>עם ה</w:t>
      </w:r>
      <w:r w:rsidR="008E1885">
        <w:rPr>
          <w:rFonts w:hint="cs"/>
          <w:rtl/>
        </w:rPr>
        <w:t>השתנות</w:t>
      </w:r>
      <w:r w:rsidR="004A6B1E">
        <w:rPr>
          <w:rFonts w:hint="cs"/>
          <w:rtl/>
        </w:rPr>
        <w:t xml:space="preserve"> ב</w:t>
      </w:r>
      <w:r w:rsidR="00AD092D">
        <w:rPr>
          <w:rFonts w:hint="cs"/>
          <w:rtl/>
        </w:rPr>
        <w:t>יחד</w:t>
      </w:r>
      <w:r w:rsidR="0041218D">
        <w:rPr>
          <w:rStyle w:val="FootnoteReference"/>
          <w:rtl/>
        </w:rPr>
        <w:footnoteReference w:id="740"/>
      </w:r>
      <w:r w:rsidR="008F18F1">
        <w:rPr>
          <w:rFonts w:hint="cs"/>
          <w:rtl/>
        </w:rPr>
        <w:t>.</w:t>
      </w:r>
    </w:p>
    <w:p w14:paraId="572A172C" w14:textId="51262963" w:rsidR="00B92AA9" w:rsidRDefault="00CB07CF" w:rsidP="00FA4994">
      <w:pPr>
        <w:rPr>
          <w:rtl/>
        </w:rPr>
      </w:pPr>
      <w:r>
        <w:rPr>
          <w:rFonts w:hint="cs"/>
          <w:rtl/>
        </w:rPr>
        <w:t>אלה דברינו</w:t>
      </w:r>
      <w:r w:rsidR="005C07BA">
        <w:rPr>
          <w:rFonts w:hint="cs"/>
          <w:rtl/>
        </w:rPr>
        <w:t xml:space="preserve"> בסיבה החומרית.</w:t>
      </w:r>
    </w:p>
    <w:p w14:paraId="05C9E13E" w14:textId="77777777" w:rsidR="001A3E57" w:rsidRDefault="00B92AA9" w:rsidP="005273A4">
      <w:pPr>
        <w:pStyle w:val="Heading4"/>
        <w:rPr>
          <w:rtl/>
        </w:rPr>
      </w:pPr>
      <w:r>
        <w:rPr>
          <w:rFonts w:hint="cs"/>
          <w:rtl/>
        </w:rPr>
        <w:t>1.</w:t>
      </w:r>
      <w:r w:rsidR="001A3E57">
        <w:rPr>
          <w:rFonts w:hint="cs"/>
          <w:rtl/>
        </w:rPr>
        <w:t>10.9</w:t>
      </w:r>
    </w:p>
    <w:p w14:paraId="48FE0577" w14:textId="676996E5" w:rsidR="00B94D1B" w:rsidRDefault="008E61D4" w:rsidP="00FA4994">
      <w:pPr>
        <w:rPr>
          <w:rtl/>
        </w:rPr>
      </w:pPr>
      <w:r>
        <w:rPr>
          <w:rFonts w:hint="cs"/>
          <w:rtl/>
        </w:rPr>
        <w:t>אמנם הצורה</w:t>
      </w:r>
      <w:r w:rsidR="002667AD">
        <w:rPr>
          <w:rFonts w:hint="cs"/>
          <w:rtl/>
        </w:rPr>
        <w:t xml:space="preserve"> אפשר</w:t>
      </w:r>
      <w:r w:rsidR="005273A4">
        <w:rPr>
          <w:rFonts w:hint="cs"/>
          <w:rtl/>
        </w:rPr>
        <w:t xml:space="preserve"> </w:t>
      </w:r>
      <w:r w:rsidR="002667AD">
        <w:rPr>
          <w:rFonts w:hint="cs"/>
          <w:rtl/>
        </w:rPr>
        <w:t>ש</w:t>
      </w:r>
      <w:bookmarkStart w:id="312" w:name="_Hlk119280334"/>
      <w:r w:rsidR="00E44556" w:rsidRPr="00E44556">
        <w:rPr>
          <w:rtl/>
        </w:rPr>
        <w:t>תֵּאָמֵר</w:t>
      </w:r>
      <w:bookmarkEnd w:id="312"/>
      <w:r w:rsidR="005273A4">
        <w:rPr>
          <w:rFonts w:hint="cs"/>
          <w:rtl/>
        </w:rPr>
        <w:t xml:space="preserve"> על המהות</w:t>
      </w:r>
      <w:r w:rsidR="001716FC">
        <w:rPr>
          <w:rFonts w:hint="cs"/>
          <w:rtl/>
        </w:rPr>
        <w:t xml:space="preserve"> ש</w:t>
      </w:r>
      <w:r w:rsidR="00DF1F78">
        <w:rPr>
          <w:rFonts w:hint="cs"/>
          <w:rtl/>
        </w:rPr>
        <w:t xml:space="preserve">חלה בחומר </w:t>
      </w:r>
      <w:r w:rsidR="00D63696">
        <w:rPr>
          <w:rFonts w:hint="cs"/>
          <w:rtl/>
        </w:rPr>
        <w:t xml:space="preserve">ומקיימת </w:t>
      </w:r>
      <w:r w:rsidR="004B76FA">
        <w:rPr>
          <w:rFonts w:hint="cs"/>
          <w:rtl/>
        </w:rPr>
        <w:t>מין</w:t>
      </w:r>
      <w:r w:rsidR="00091A08">
        <w:rPr>
          <w:rFonts w:hint="cs"/>
          <w:rtl/>
        </w:rPr>
        <w:t xml:space="preserve">, </w:t>
      </w:r>
      <w:r w:rsidR="008124A6">
        <w:rPr>
          <w:rFonts w:hint="cs"/>
          <w:rtl/>
        </w:rPr>
        <w:t>ו</w:t>
      </w:r>
      <w:r w:rsidR="009645AB">
        <w:rPr>
          <w:rFonts w:hint="cs"/>
          <w:rtl/>
        </w:rPr>
        <w:t xml:space="preserve">אפשר </w:t>
      </w:r>
      <w:r w:rsidR="001A3BDB">
        <w:rPr>
          <w:rFonts w:hint="cs"/>
          <w:rtl/>
        </w:rPr>
        <w:t>ש</w:t>
      </w:r>
      <w:r w:rsidR="008124A6" w:rsidRPr="008124A6">
        <w:rPr>
          <w:rtl/>
        </w:rPr>
        <w:t>תֵּאָמֵר</w:t>
      </w:r>
      <w:r w:rsidR="008124A6">
        <w:rPr>
          <w:rFonts w:hint="cs"/>
          <w:rtl/>
        </w:rPr>
        <w:t xml:space="preserve"> </w:t>
      </w:r>
      <w:r w:rsidR="009645AB">
        <w:rPr>
          <w:rFonts w:hint="cs"/>
          <w:rtl/>
        </w:rPr>
        <w:t>'צורה'</w:t>
      </w:r>
      <w:r w:rsidR="008124A6">
        <w:rPr>
          <w:rFonts w:hint="cs"/>
          <w:rtl/>
        </w:rPr>
        <w:t xml:space="preserve"> </w:t>
      </w:r>
      <w:r w:rsidR="009645AB">
        <w:rPr>
          <w:rFonts w:hint="cs"/>
          <w:rtl/>
        </w:rPr>
        <w:t>על המין לבדו</w:t>
      </w:r>
      <w:r w:rsidR="001A3BDB">
        <w:rPr>
          <w:rStyle w:val="FootnoteReference"/>
          <w:rtl/>
        </w:rPr>
        <w:footnoteReference w:id="741"/>
      </w:r>
      <w:r w:rsidR="004B76FA">
        <w:rPr>
          <w:rFonts w:hint="cs"/>
          <w:rtl/>
        </w:rPr>
        <w:t>.</w:t>
      </w:r>
      <w:r w:rsidR="001E3E3B">
        <w:rPr>
          <w:rFonts w:hint="cs"/>
          <w:rtl/>
        </w:rPr>
        <w:t xml:space="preserve"> </w:t>
      </w:r>
      <w:r w:rsidR="002A199E">
        <w:rPr>
          <w:rFonts w:hint="cs"/>
          <w:rtl/>
        </w:rPr>
        <w:t xml:space="preserve">'צורה' נאמרת </w:t>
      </w:r>
      <w:r w:rsidR="00296738">
        <w:rPr>
          <w:rFonts w:hint="cs"/>
          <w:rtl/>
        </w:rPr>
        <w:t>לפעמים באופן מיוחד על התבנית והתואר</w:t>
      </w:r>
      <w:r w:rsidR="00296738">
        <w:rPr>
          <w:rStyle w:val="FootnoteReference"/>
          <w:rtl/>
        </w:rPr>
        <w:footnoteReference w:id="742"/>
      </w:r>
      <w:r w:rsidR="00296738">
        <w:rPr>
          <w:rFonts w:hint="cs"/>
          <w:rtl/>
        </w:rPr>
        <w:t>.</w:t>
      </w:r>
    </w:p>
    <w:p w14:paraId="3F0FDBC4" w14:textId="77777777" w:rsidR="00A72585" w:rsidRDefault="0061521F" w:rsidP="00FA4994">
      <w:pPr>
        <w:rPr>
          <w:rtl/>
        </w:rPr>
      </w:pPr>
      <w:r>
        <w:rPr>
          <w:rFonts w:hint="cs"/>
          <w:rtl/>
        </w:rPr>
        <w:t>ו</w:t>
      </w:r>
      <w:r w:rsidR="005A3F21" w:rsidRPr="005A3F21">
        <w:rPr>
          <w:rtl/>
        </w:rPr>
        <w:t>יֵאָמֵר</w:t>
      </w:r>
      <w:r>
        <w:rPr>
          <w:rFonts w:hint="cs"/>
          <w:rtl/>
        </w:rPr>
        <w:t xml:space="preserve"> </w:t>
      </w:r>
      <w:r w:rsidR="004327E3">
        <w:rPr>
          <w:rFonts w:hint="cs"/>
          <w:rtl/>
        </w:rPr>
        <w:t>'צורה'</w:t>
      </w:r>
      <w:r w:rsidR="004E6E3C">
        <w:rPr>
          <w:rFonts w:hint="cs"/>
          <w:rtl/>
        </w:rPr>
        <w:t xml:space="preserve"> </w:t>
      </w:r>
      <w:r w:rsidR="00D5066A">
        <w:rPr>
          <w:rFonts w:hint="cs"/>
          <w:rtl/>
        </w:rPr>
        <w:t>ל</w:t>
      </w:r>
      <w:r w:rsidR="001B4F29">
        <w:rPr>
          <w:rFonts w:hint="cs"/>
          <w:rtl/>
        </w:rPr>
        <w:t>ישות כללית, כצורת הצבא</w:t>
      </w:r>
      <w:r w:rsidR="004B02BD">
        <w:rPr>
          <w:rStyle w:val="FootnoteReference"/>
          <w:rtl/>
        </w:rPr>
        <w:footnoteReference w:id="743"/>
      </w:r>
      <w:r w:rsidR="001B4F29">
        <w:rPr>
          <w:rFonts w:hint="cs"/>
          <w:rtl/>
        </w:rPr>
        <w:t xml:space="preserve">, </w:t>
      </w:r>
      <w:r w:rsidR="00A54BDC">
        <w:rPr>
          <w:rFonts w:hint="cs"/>
          <w:rtl/>
        </w:rPr>
        <w:t xml:space="preserve">וצורת ההנחות המוקדמות </w:t>
      </w:r>
      <w:r w:rsidR="0037364B">
        <w:rPr>
          <w:rFonts w:hint="cs"/>
          <w:rtl/>
        </w:rPr>
        <w:t>בחיבורן</w:t>
      </w:r>
      <w:r w:rsidR="00A54BDC">
        <w:rPr>
          <w:rFonts w:hint="cs"/>
          <w:rtl/>
        </w:rPr>
        <w:t xml:space="preserve"> זו </w:t>
      </w:r>
      <w:r w:rsidR="00065693">
        <w:rPr>
          <w:rFonts w:hint="cs"/>
          <w:rtl/>
        </w:rPr>
        <w:t xml:space="preserve">עם </w:t>
      </w:r>
      <w:r w:rsidR="00A54BDC">
        <w:rPr>
          <w:rFonts w:hint="cs"/>
          <w:rtl/>
        </w:rPr>
        <w:t>זו.</w:t>
      </w:r>
      <w:r w:rsidR="002C2D86">
        <w:rPr>
          <w:rFonts w:hint="cs"/>
          <w:rtl/>
        </w:rPr>
        <w:t xml:space="preserve"> ויאמר צורה ל</w:t>
      </w:r>
      <w:r w:rsidR="00DD39DA">
        <w:rPr>
          <w:rFonts w:hint="cs"/>
          <w:rtl/>
        </w:rPr>
        <w:t>שמירת השלטון כמו החוק</w:t>
      </w:r>
      <w:r w:rsidR="007C7A42">
        <w:rPr>
          <w:rStyle w:val="FootnoteReference"/>
          <w:rtl/>
        </w:rPr>
        <w:footnoteReference w:id="744"/>
      </w:r>
      <w:r w:rsidR="00DD39DA">
        <w:rPr>
          <w:rFonts w:hint="cs"/>
          <w:rtl/>
        </w:rPr>
        <w:t xml:space="preserve">. </w:t>
      </w:r>
    </w:p>
    <w:p w14:paraId="5D13C79D" w14:textId="77777777" w:rsidR="00A72585" w:rsidRDefault="000461FE" w:rsidP="00FA4994">
      <w:pPr>
        <w:rPr>
          <w:rtl/>
        </w:rPr>
      </w:pPr>
      <w:r>
        <w:rPr>
          <w:rFonts w:hint="cs"/>
          <w:rtl/>
        </w:rPr>
        <w:t xml:space="preserve">ויאמר </w:t>
      </w:r>
      <w:r w:rsidR="00C12BCC">
        <w:rPr>
          <w:rFonts w:hint="cs"/>
          <w:rtl/>
        </w:rPr>
        <w:t>'</w:t>
      </w:r>
      <w:r>
        <w:rPr>
          <w:rFonts w:hint="cs"/>
          <w:rtl/>
        </w:rPr>
        <w:t>צורה</w:t>
      </w:r>
      <w:r w:rsidR="00C12BCC">
        <w:rPr>
          <w:rFonts w:hint="cs"/>
          <w:rtl/>
        </w:rPr>
        <w:t xml:space="preserve">' </w:t>
      </w:r>
      <w:r w:rsidR="00092193">
        <w:rPr>
          <w:rFonts w:hint="cs"/>
          <w:rtl/>
        </w:rPr>
        <w:t xml:space="preserve">לכל </w:t>
      </w:r>
      <w:r w:rsidR="005C0271">
        <w:rPr>
          <w:rFonts w:hint="cs"/>
          <w:rtl/>
        </w:rPr>
        <w:t xml:space="preserve">הוויה </w:t>
      </w:r>
      <w:r w:rsidR="0071122B">
        <w:rPr>
          <w:rFonts w:hint="cs"/>
          <w:rtl/>
        </w:rPr>
        <w:t>איך</w:t>
      </w:r>
      <w:r w:rsidR="005C0271">
        <w:rPr>
          <w:rFonts w:hint="cs"/>
          <w:rtl/>
        </w:rPr>
        <w:t xml:space="preserve"> שתהיה</w:t>
      </w:r>
      <w:r w:rsidR="002C4862">
        <w:rPr>
          <w:rStyle w:val="FootnoteReference"/>
          <w:rtl/>
        </w:rPr>
        <w:footnoteReference w:id="745"/>
      </w:r>
      <w:r w:rsidR="005C0271">
        <w:rPr>
          <w:rFonts w:hint="cs"/>
          <w:rtl/>
        </w:rPr>
        <w:t>.</w:t>
      </w:r>
      <w:r w:rsidR="00490922">
        <w:rPr>
          <w:rFonts w:hint="cs"/>
          <w:rtl/>
        </w:rPr>
        <w:t xml:space="preserve"> </w:t>
      </w:r>
    </w:p>
    <w:p w14:paraId="596DF837" w14:textId="1380AC08" w:rsidR="00AF01E4" w:rsidRDefault="00490922" w:rsidP="00FA4994">
      <w:pPr>
        <w:rPr>
          <w:rtl/>
        </w:rPr>
      </w:pPr>
      <w:r>
        <w:rPr>
          <w:rFonts w:hint="cs"/>
          <w:rtl/>
        </w:rPr>
        <w:t xml:space="preserve">ויאמר </w:t>
      </w:r>
      <w:r w:rsidR="00357145">
        <w:rPr>
          <w:rFonts w:hint="cs"/>
          <w:rtl/>
        </w:rPr>
        <w:t>'</w:t>
      </w:r>
      <w:r>
        <w:rPr>
          <w:rFonts w:hint="cs"/>
          <w:rtl/>
        </w:rPr>
        <w:t>צורה</w:t>
      </w:r>
      <w:r w:rsidR="00357145">
        <w:rPr>
          <w:rFonts w:hint="cs"/>
          <w:rtl/>
        </w:rPr>
        <w:t>'</w:t>
      </w:r>
      <w:r>
        <w:rPr>
          <w:rFonts w:hint="cs"/>
          <w:rtl/>
        </w:rPr>
        <w:t xml:space="preserve"> </w:t>
      </w:r>
      <w:r w:rsidR="004209E0">
        <w:rPr>
          <w:rFonts w:hint="cs"/>
          <w:rtl/>
        </w:rPr>
        <w:t>לאמיתת כל דבר</w:t>
      </w:r>
      <w:r w:rsidR="007D0218">
        <w:rPr>
          <w:rFonts w:hint="cs"/>
          <w:rtl/>
        </w:rPr>
        <w:t>,</w:t>
      </w:r>
      <w:r w:rsidR="004209E0">
        <w:rPr>
          <w:rFonts w:hint="cs"/>
          <w:rtl/>
        </w:rPr>
        <w:t xml:space="preserve"> </w:t>
      </w:r>
      <w:r w:rsidR="002E175A">
        <w:rPr>
          <w:rFonts w:hint="cs"/>
          <w:rtl/>
        </w:rPr>
        <w:t>יה</w:t>
      </w:r>
      <w:r w:rsidR="007D0218">
        <w:rPr>
          <w:rFonts w:hint="cs"/>
          <w:rtl/>
        </w:rPr>
        <w:t>יה</w:t>
      </w:r>
      <w:r w:rsidR="002E175A">
        <w:rPr>
          <w:rFonts w:hint="cs"/>
          <w:rtl/>
        </w:rPr>
        <w:t xml:space="preserve"> </w:t>
      </w:r>
      <w:r w:rsidR="007D0218">
        <w:rPr>
          <w:rFonts w:hint="cs"/>
          <w:rtl/>
        </w:rPr>
        <w:t>'</w:t>
      </w:r>
      <w:r w:rsidR="002E175A">
        <w:rPr>
          <w:rFonts w:hint="cs"/>
          <w:rtl/>
        </w:rPr>
        <w:t>עצם</w:t>
      </w:r>
      <w:r w:rsidR="007D0218">
        <w:rPr>
          <w:rFonts w:hint="cs"/>
          <w:rtl/>
        </w:rPr>
        <w:t>'</w:t>
      </w:r>
      <w:r w:rsidR="00B10CC4">
        <w:rPr>
          <w:rStyle w:val="FootnoteReference"/>
          <w:rtl/>
        </w:rPr>
        <w:footnoteReference w:id="746"/>
      </w:r>
      <w:r w:rsidR="004327E3">
        <w:rPr>
          <w:rFonts w:hint="cs"/>
          <w:rtl/>
        </w:rPr>
        <w:t xml:space="preserve"> </w:t>
      </w:r>
      <w:r w:rsidR="00E26D41">
        <w:rPr>
          <w:rFonts w:hint="cs"/>
          <w:rtl/>
        </w:rPr>
        <w:t>או מקרה</w:t>
      </w:r>
      <w:r w:rsidR="00E222F4">
        <w:rPr>
          <w:rFonts w:hint="cs"/>
          <w:rtl/>
        </w:rPr>
        <w:t>,</w:t>
      </w:r>
      <w:r w:rsidR="00515009">
        <w:rPr>
          <w:rtl/>
        </w:rPr>
        <w:fldChar w:fldCharType="begin"/>
      </w:r>
      <w:r w:rsidR="00515009">
        <w:instrText xml:space="preserve"> XE "</w:instrText>
      </w:r>
      <w:r w:rsidR="00515009" w:rsidRPr="00A34CD3">
        <w:rPr>
          <w:rFonts w:hint="cs"/>
          <w:rtl/>
        </w:rPr>
        <w:instrText>מקרה - גם הוא נקרא צורה</w:instrText>
      </w:r>
      <w:r w:rsidR="00515009">
        <w:instrText xml:space="preserve">" </w:instrText>
      </w:r>
      <w:r w:rsidR="00515009">
        <w:rPr>
          <w:rtl/>
        </w:rPr>
        <w:fldChar w:fldCharType="end"/>
      </w:r>
      <w:r w:rsidR="00E222F4">
        <w:rPr>
          <w:rFonts w:hint="cs"/>
          <w:rtl/>
        </w:rPr>
        <w:t xml:space="preserve"> </w:t>
      </w:r>
      <w:r w:rsidR="006D395A">
        <w:rPr>
          <w:rFonts w:hint="cs"/>
          <w:rtl/>
        </w:rPr>
        <w:t xml:space="preserve">והוא </w:t>
      </w:r>
      <w:r w:rsidR="003621B3">
        <w:rPr>
          <w:rFonts w:hint="cs"/>
          <w:rtl/>
        </w:rPr>
        <w:t>נפרד</w:t>
      </w:r>
      <w:r w:rsidR="006D395A">
        <w:rPr>
          <w:rFonts w:hint="cs"/>
          <w:rtl/>
        </w:rPr>
        <w:t xml:space="preserve"> מהמין</w:t>
      </w:r>
      <w:r w:rsidR="00E90A33">
        <w:rPr>
          <w:rFonts w:hint="cs"/>
          <w:rtl/>
        </w:rPr>
        <w:t xml:space="preserve"> כי </w:t>
      </w:r>
      <w:r w:rsidR="00424017">
        <w:rPr>
          <w:rFonts w:hint="cs"/>
          <w:rtl/>
        </w:rPr>
        <w:t>זה יאמר לסוג העליון</w:t>
      </w:r>
      <w:r w:rsidR="00611F8C">
        <w:rPr>
          <w:rStyle w:val="FootnoteReference"/>
          <w:rtl/>
        </w:rPr>
        <w:footnoteReference w:id="747"/>
      </w:r>
      <w:r w:rsidR="00AF01E4">
        <w:rPr>
          <w:rFonts w:hint="cs"/>
          <w:rtl/>
        </w:rPr>
        <w:t>.</w:t>
      </w:r>
    </w:p>
    <w:p w14:paraId="757FE37C" w14:textId="5B3B9456" w:rsidR="00AF01E4" w:rsidRDefault="00A33C06" w:rsidP="00FA4994">
      <w:pPr>
        <w:rPr>
          <w:rtl/>
        </w:rPr>
      </w:pPr>
      <w:r>
        <w:rPr>
          <w:rFonts w:hint="cs"/>
          <w:rtl/>
        </w:rPr>
        <w:t>ו</w:t>
      </w:r>
      <w:r w:rsidR="00620C8E">
        <w:rPr>
          <w:rFonts w:hint="cs"/>
          <w:rtl/>
        </w:rPr>
        <w:t>אפשר שי</w:t>
      </w:r>
      <w:r>
        <w:rPr>
          <w:rFonts w:hint="cs"/>
          <w:rtl/>
        </w:rPr>
        <w:t xml:space="preserve">אמר </w:t>
      </w:r>
      <w:r w:rsidR="00AB0752">
        <w:rPr>
          <w:rFonts w:hint="cs"/>
          <w:rtl/>
        </w:rPr>
        <w:t xml:space="preserve">'צורה' </w:t>
      </w:r>
      <w:r w:rsidR="003621B3">
        <w:rPr>
          <w:rFonts w:hint="cs"/>
          <w:rtl/>
        </w:rPr>
        <w:t>למושכלות הנפרדות מהחומר</w:t>
      </w:r>
      <w:r w:rsidR="00B73AF7">
        <w:rPr>
          <w:rStyle w:val="FootnoteReference"/>
          <w:rtl/>
        </w:rPr>
        <w:footnoteReference w:id="748"/>
      </w:r>
      <w:r w:rsidR="00D47FD0">
        <w:rPr>
          <w:rFonts w:hint="cs"/>
          <w:rtl/>
        </w:rPr>
        <w:t>.</w:t>
      </w:r>
      <w:r w:rsidR="00FF15FB">
        <w:rPr>
          <w:rFonts w:hint="cs"/>
          <w:rtl/>
        </w:rPr>
        <w:t xml:space="preserve"> </w:t>
      </w:r>
    </w:p>
    <w:p w14:paraId="6025440F" w14:textId="77777777" w:rsidR="00627176" w:rsidRDefault="00FF15FB" w:rsidP="00F05BD4">
      <w:pPr>
        <w:rPr>
          <w:rtl/>
        </w:rPr>
      </w:pPr>
      <w:r>
        <w:rPr>
          <w:rFonts w:hint="cs"/>
          <w:rtl/>
        </w:rPr>
        <w:t>והצ</w:t>
      </w:r>
      <w:r w:rsidR="00B140E0">
        <w:rPr>
          <w:rFonts w:hint="cs"/>
          <w:rtl/>
        </w:rPr>
        <w:t>ו</w:t>
      </w:r>
      <w:r>
        <w:rPr>
          <w:rFonts w:hint="cs"/>
          <w:rtl/>
        </w:rPr>
        <w:t>רה</w:t>
      </w:r>
      <w:r w:rsidR="00171C0C">
        <w:rPr>
          <w:rFonts w:hint="cs"/>
          <w:rtl/>
        </w:rPr>
        <w:t xml:space="preserve"> ה</w:t>
      </w:r>
      <w:r w:rsidR="002441A4">
        <w:rPr>
          <w:rFonts w:hint="cs"/>
          <w:rtl/>
        </w:rPr>
        <w:t>אחוזה ב</w:t>
      </w:r>
      <w:r w:rsidR="00171C0C">
        <w:rPr>
          <w:rFonts w:hint="cs"/>
          <w:rtl/>
        </w:rPr>
        <w:t xml:space="preserve">אחת ההתחלות </w:t>
      </w:r>
      <w:r w:rsidR="00797E14">
        <w:rPr>
          <w:rFonts w:hint="cs"/>
          <w:rtl/>
        </w:rPr>
        <w:t xml:space="preserve">היא </w:t>
      </w:r>
      <w:r w:rsidR="00A55C6B">
        <w:rPr>
          <w:rFonts w:hint="cs"/>
          <w:rtl/>
        </w:rPr>
        <w:t>לפי</w:t>
      </w:r>
      <w:r w:rsidR="004F5FA4">
        <w:rPr>
          <w:rFonts w:hint="cs"/>
          <w:rtl/>
        </w:rPr>
        <w:t xml:space="preserve"> </w:t>
      </w:r>
      <w:r w:rsidR="00A55C6B">
        <w:rPr>
          <w:rFonts w:hint="cs"/>
          <w:rtl/>
        </w:rPr>
        <w:t>ה</w:t>
      </w:r>
      <w:r w:rsidR="004F5FA4">
        <w:rPr>
          <w:rFonts w:hint="cs"/>
          <w:rtl/>
        </w:rPr>
        <w:t>מורכב ממנה</w:t>
      </w:r>
      <w:r w:rsidR="00782237">
        <w:rPr>
          <w:rFonts w:hint="cs"/>
          <w:rtl/>
        </w:rPr>
        <w:t xml:space="preserve"> ומהחומר</w:t>
      </w:r>
      <w:r w:rsidR="00141091">
        <w:rPr>
          <w:rStyle w:val="FootnoteReference"/>
          <w:rtl/>
        </w:rPr>
        <w:footnoteReference w:id="749"/>
      </w:r>
      <w:r w:rsidR="00A55C6B">
        <w:rPr>
          <w:rFonts w:hint="cs"/>
          <w:rtl/>
        </w:rPr>
        <w:t>,</w:t>
      </w:r>
      <w:r w:rsidR="00782237">
        <w:rPr>
          <w:rFonts w:hint="cs"/>
          <w:rtl/>
        </w:rPr>
        <w:t xml:space="preserve"> </w:t>
      </w:r>
      <w:r w:rsidR="00671B1E">
        <w:rPr>
          <w:rFonts w:hint="cs"/>
          <w:rtl/>
        </w:rPr>
        <w:t>שה</w:t>
      </w:r>
      <w:r w:rsidR="003F5AFB">
        <w:rPr>
          <w:rFonts w:hint="cs"/>
          <w:rtl/>
        </w:rPr>
        <w:t>י</w:t>
      </w:r>
      <w:r w:rsidR="00671B1E">
        <w:rPr>
          <w:rFonts w:hint="cs"/>
          <w:rtl/>
        </w:rPr>
        <w:t xml:space="preserve">א </w:t>
      </w:r>
      <w:r w:rsidR="0058329B">
        <w:rPr>
          <w:rFonts w:hint="cs"/>
          <w:rtl/>
        </w:rPr>
        <w:t>חלק</w:t>
      </w:r>
      <w:r w:rsidR="000561F4">
        <w:rPr>
          <w:rFonts w:hint="cs"/>
          <w:rtl/>
        </w:rPr>
        <w:t xml:space="preserve"> </w:t>
      </w:r>
      <w:r w:rsidR="0058329B">
        <w:rPr>
          <w:rFonts w:hint="cs"/>
          <w:rtl/>
        </w:rPr>
        <w:t>ממנ</w:t>
      </w:r>
      <w:r w:rsidR="003F5AFB">
        <w:rPr>
          <w:rFonts w:hint="cs"/>
          <w:rtl/>
        </w:rPr>
        <w:t>ו</w:t>
      </w:r>
      <w:r w:rsidR="009B53A3">
        <w:rPr>
          <w:rStyle w:val="FootnoteReference"/>
          <w:rtl/>
        </w:rPr>
        <w:footnoteReference w:id="750"/>
      </w:r>
      <w:r w:rsidR="00364518">
        <w:rPr>
          <w:rFonts w:hint="cs"/>
          <w:rtl/>
        </w:rPr>
        <w:t xml:space="preserve"> שמחייב שה</w:t>
      </w:r>
      <w:r w:rsidR="003F5AFB">
        <w:rPr>
          <w:rFonts w:hint="cs"/>
          <w:rtl/>
        </w:rPr>
        <w:t>ו</w:t>
      </w:r>
      <w:r w:rsidR="00364518">
        <w:rPr>
          <w:rFonts w:hint="cs"/>
          <w:rtl/>
        </w:rPr>
        <w:t>א בפועל</w:t>
      </w:r>
      <w:r w:rsidR="008A505C">
        <w:rPr>
          <w:rFonts w:hint="cs"/>
          <w:rtl/>
        </w:rPr>
        <w:t xml:space="preserve"> </w:t>
      </w:r>
      <w:r w:rsidR="003F5AFB">
        <w:rPr>
          <w:rFonts w:hint="cs"/>
          <w:rtl/>
        </w:rPr>
        <w:t xml:space="preserve">באופן </w:t>
      </w:r>
      <w:r w:rsidR="00C12E2E">
        <w:rPr>
          <w:rFonts w:hint="cs"/>
          <w:rtl/>
        </w:rPr>
        <w:t>מסוים</w:t>
      </w:r>
      <w:r w:rsidR="00422C8C">
        <w:rPr>
          <w:rStyle w:val="FootnoteReference"/>
          <w:rtl/>
        </w:rPr>
        <w:footnoteReference w:id="751"/>
      </w:r>
      <w:r w:rsidR="00C12E2E">
        <w:rPr>
          <w:rFonts w:hint="cs"/>
          <w:rtl/>
        </w:rPr>
        <w:t>.</w:t>
      </w:r>
      <w:r w:rsidR="00D62421">
        <w:rPr>
          <w:rFonts w:hint="cs"/>
          <w:rtl/>
        </w:rPr>
        <w:t xml:space="preserve"> </w:t>
      </w:r>
      <w:r w:rsidR="00F34971">
        <w:rPr>
          <w:rFonts w:hint="cs"/>
          <w:rtl/>
        </w:rPr>
        <w:t xml:space="preserve">והחומר הוא חלק שלא מכריח </w:t>
      </w:r>
      <w:r w:rsidR="00200C38">
        <w:rPr>
          <w:rFonts w:hint="cs"/>
          <w:rtl/>
        </w:rPr>
        <w:t xml:space="preserve">שהיא בפועל, </w:t>
      </w:r>
      <w:r w:rsidR="0000572F">
        <w:rPr>
          <w:rFonts w:hint="cs"/>
          <w:rtl/>
        </w:rPr>
        <w:t>ש</w:t>
      </w:r>
      <w:r w:rsidR="003E5A0D">
        <w:rPr>
          <w:rFonts w:hint="cs"/>
          <w:rtl/>
        </w:rPr>
        <w:t>אכן</w:t>
      </w:r>
      <w:r w:rsidR="0000572F">
        <w:rPr>
          <w:rFonts w:hint="cs"/>
          <w:rtl/>
        </w:rPr>
        <w:t xml:space="preserve"> מציאות החומר לא מספיקה לקיום הדבר בפועל</w:t>
      </w:r>
      <w:r w:rsidR="00F05BD4">
        <w:rPr>
          <w:rFonts w:hint="cs"/>
          <w:rtl/>
        </w:rPr>
        <w:t xml:space="preserve">, אלא למציאות הדבר בכח, </w:t>
      </w:r>
      <w:r w:rsidR="0052211D">
        <w:rPr>
          <w:rFonts w:hint="cs"/>
          <w:rtl/>
        </w:rPr>
        <w:t xml:space="preserve">ואין הדבר </w:t>
      </w:r>
      <w:r w:rsidR="00D813A3">
        <w:rPr>
          <w:rFonts w:hint="cs"/>
          <w:rtl/>
        </w:rPr>
        <w:t>'</w:t>
      </w:r>
      <w:r w:rsidR="0052211D">
        <w:rPr>
          <w:rFonts w:hint="cs"/>
          <w:rtl/>
        </w:rPr>
        <w:t>הוא מה שהוא</w:t>
      </w:r>
      <w:r w:rsidR="001474DA">
        <w:rPr>
          <w:rFonts w:hint="cs"/>
          <w:rtl/>
        </w:rPr>
        <w:t>'</w:t>
      </w:r>
      <w:r w:rsidR="0098150D">
        <w:rPr>
          <w:rStyle w:val="FootnoteReference"/>
          <w:rtl/>
        </w:rPr>
        <w:footnoteReference w:id="752"/>
      </w:r>
      <w:r w:rsidR="0052211D">
        <w:rPr>
          <w:rFonts w:hint="cs"/>
          <w:rtl/>
        </w:rPr>
        <w:t xml:space="preserve"> בחומר,</w:t>
      </w:r>
      <w:r w:rsidR="004F5FA4">
        <w:rPr>
          <w:rFonts w:hint="cs"/>
          <w:rtl/>
        </w:rPr>
        <w:t xml:space="preserve"> </w:t>
      </w:r>
      <w:r w:rsidR="00C07B10">
        <w:rPr>
          <w:rFonts w:hint="cs"/>
          <w:rtl/>
        </w:rPr>
        <w:t xml:space="preserve">אלא </w:t>
      </w:r>
      <w:r w:rsidR="00FE4E30">
        <w:rPr>
          <w:rFonts w:hint="cs"/>
          <w:rtl/>
        </w:rPr>
        <w:t>מציאות</w:t>
      </w:r>
      <w:r w:rsidR="001646B1">
        <w:rPr>
          <w:rFonts w:hint="cs"/>
          <w:rtl/>
        </w:rPr>
        <w:t xml:space="preserve"> הצורה</w:t>
      </w:r>
      <w:r w:rsidR="00FE4E30">
        <w:rPr>
          <w:rFonts w:hint="cs"/>
          <w:rtl/>
        </w:rPr>
        <w:t xml:space="preserve"> </w:t>
      </w:r>
      <w:r w:rsidR="00B70422">
        <w:rPr>
          <w:rFonts w:hint="cs"/>
          <w:rtl/>
        </w:rPr>
        <w:t>מקיימת את הדבר בפועל</w:t>
      </w:r>
      <w:r w:rsidR="00C12E2E">
        <w:rPr>
          <w:rFonts w:hint="cs"/>
          <w:rtl/>
        </w:rPr>
        <w:t>.</w:t>
      </w:r>
      <w:r w:rsidR="00AC32DE">
        <w:rPr>
          <w:rFonts w:hint="cs"/>
          <w:rtl/>
        </w:rPr>
        <w:t xml:space="preserve"> </w:t>
      </w:r>
    </w:p>
    <w:p w14:paraId="09D5F31A" w14:textId="77777777" w:rsidR="00CE1104" w:rsidRDefault="003A5C56" w:rsidP="00F05BD4">
      <w:pPr>
        <w:rPr>
          <w:rtl/>
        </w:rPr>
      </w:pPr>
      <w:r>
        <w:rPr>
          <w:rFonts w:hint="cs"/>
          <w:rtl/>
        </w:rPr>
        <w:t>ו</w:t>
      </w:r>
      <w:r w:rsidR="002D60F8">
        <w:rPr>
          <w:rFonts w:hint="cs"/>
          <w:rtl/>
        </w:rPr>
        <w:t>ב</w:t>
      </w:r>
      <w:r>
        <w:rPr>
          <w:rFonts w:hint="cs"/>
          <w:rtl/>
        </w:rPr>
        <w:t xml:space="preserve">מה שהצורה מקיימת את החומר </w:t>
      </w:r>
      <w:r w:rsidR="007A3700">
        <w:rPr>
          <w:rFonts w:hint="cs"/>
          <w:rtl/>
        </w:rPr>
        <w:t>ה</w:t>
      </w:r>
      <w:r w:rsidR="00627176">
        <w:rPr>
          <w:rFonts w:hint="cs"/>
          <w:rtl/>
        </w:rPr>
        <w:t>י</w:t>
      </w:r>
      <w:r w:rsidR="007A3700">
        <w:rPr>
          <w:rFonts w:hint="cs"/>
          <w:rtl/>
        </w:rPr>
        <w:t>א מעל מין אחר</w:t>
      </w:r>
      <w:r w:rsidR="00DA2C53">
        <w:rPr>
          <w:rStyle w:val="FootnoteReference"/>
          <w:rtl/>
        </w:rPr>
        <w:footnoteReference w:id="753"/>
      </w:r>
      <w:r w:rsidR="00344A8F">
        <w:rPr>
          <w:rFonts w:hint="cs"/>
          <w:rtl/>
        </w:rPr>
        <w:t>.</w:t>
      </w:r>
      <w:r w:rsidR="00E569F3">
        <w:rPr>
          <w:rFonts w:hint="cs"/>
          <w:rtl/>
        </w:rPr>
        <w:t xml:space="preserve"> והסיבה הצורנית </w:t>
      </w:r>
      <w:r w:rsidR="00186536">
        <w:rPr>
          <w:rFonts w:hint="cs"/>
          <w:rtl/>
        </w:rPr>
        <w:t>כ</w:t>
      </w:r>
      <w:r w:rsidR="001F6A51">
        <w:rPr>
          <w:rFonts w:hint="cs"/>
          <w:rtl/>
        </w:rPr>
        <w:t>שתהיה ביחס ל</w:t>
      </w:r>
      <w:r w:rsidR="00924D21">
        <w:rPr>
          <w:rFonts w:hint="cs"/>
          <w:rtl/>
        </w:rPr>
        <w:t>סוג</w:t>
      </w:r>
      <w:r w:rsidR="001F6A51">
        <w:rPr>
          <w:rFonts w:hint="cs"/>
          <w:rtl/>
        </w:rPr>
        <w:t xml:space="preserve"> או </w:t>
      </w:r>
      <w:r w:rsidR="00924D21">
        <w:rPr>
          <w:rFonts w:hint="cs"/>
          <w:rtl/>
        </w:rPr>
        <w:t>מין</w:t>
      </w:r>
      <w:r w:rsidR="001F6A51">
        <w:rPr>
          <w:rFonts w:hint="cs"/>
          <w:rtl/>
        </w:rPr>
        <w:t xml:space="preserve"> </w:t>
      </w:r>
      <w:r w:rsidR="00344A8F">
        <w:rPr>
          <w:rFonts w:hint="cs"/>
          <w:rtl/>
        </w:rPr>
        <w:t xml:space="preserve">היא הצורה שמקיימת את החומר, </w:t>
      </w:r>
      <w:r w:rsidR="00BE76D7">
        <w:rPr>
          <w:rFonts w:hint="cs"/>
          <w:rtl/>
        </w:rPr>
        <w:t xml:space="preserve">וכשתהיה </w:t>
      </w:r>
      <w:r w:rsidR="00483A10">
        <w:rPr>
          <w:rFonts w:hint="cs"/>
          <w:rtl/>
        </w:rPr>
        <w:t>ביחס</w:t>
      </w:r>
      <w:r w:rsidR="0091027B">
        <w:rPr>
          <w:rFonts w:hint="cs"/>
          <w:rtl/>
        </w:rPr>
        <w:t xml:space="preserve"> </w:t>
      </w:r>
      <w:r w:rsidR="00181D1C">
        <w:rPr>
          <w:rFonts w:hint="cs"/>
          <w:rtl/>
        </w:rPr>
        <w:t>לענ</w:t>
      </w:r>
      <w:r w:rsidR="00570EBC">
        <w:rPr>
          <w:rFonts w:hint="cs"/>
          <w:rtl/>
        </w:rPr>
        <w:t>ף</w:t>
      </w:r>
      <w:r w:rsidR="00007D8F">
        <w:rPr>
          <w:rFonts w:hint="cs"/>
          <w:rtl/>
        </w:rPr>
        <w:t xml:space="preserve"> </w:t>
      </w:r>
      <w:r w:rsidR="00562592">
        <w:rPr>
          <w:rFonts w:hint="cs"/>
          <w:rtl/>
        </w:rPr>
        <w:t xml:space="preserve">היא הצורה </w:t>
      </w:r>
      <w:r w:rsidR="002D2A84">
        <w:rPr>
          <w:rFonts w:hint="cs"/>
          <w:rtl/>
        </w:rPr>
        <w:t>שמקיימת את החומר ללא מין</w:t>
      </w:r>
      <w:r w:rsidR="00713F98">
        <w:rPr>
          <w:rFonts w:hint="cs"/>
          <w:rtl/>
        </w:rPr>
        <w:t xml:space="preserve"> והיא מקרה לו </w:t>
      </w:r>
      <w:r w:rsidR="006F4625">
        <w:rPr>
          <w:rFonts w:hint="cs"/>
          <w:rtl/>
        </w:rPr>
        <w:t xml:space="preserve">כצורת </w:t>
      </w:r>
      <w:r w:rsidR="00F00C8C">
        <w:rPr>
          <w:rFonts w:hint="cs"/>
          <w:rtl/>
        </w:rPr>
        <w:t>ה</w:t>
      </w:r>
      <w:r w:rsidR="006F4625">
        <w:rPr>
          <w:rFonts w:hint="cs"/>
          <w:rtl/>
        </w:rPr>
        <w:t xml:space="preserve">תבנית </w:t>
      </w:r>
      <w:r w:rsidR="00F00C8C">
        <w:rPr>
          <w:rFonts w:hint="cs"/>
          <w:rtl/>
        </w:rPr>
        <w:t>ל</w:t>
      </w:r>
      <w:r w:rsidR="006F4625">
        <w:rPr>
          <w:rFonts w:hint="cs"/>
          <w:rtl/>
        </w:rPr>
        <w:t>מיטה, והלובן ביחס ל</w:t>
      </w:r>
      <w:r w:rsidR="00F00C8C">
        <w:rPr>
          <w:rFonts w:hint="cs"/>
          <w:rtl/>
        </w:rPr>
        <w:t>גוף לבן</w:t>
      </w:r>
      <w:r w:rsidR="00570EBC">
        <w:rPr>
          <w:rStyle w:val="FootnoteReference"/>
          <w:rtl/>
        </w:rPr>
        <w:footnoteReference w:id="754"/>
      </w:r>
      <w:r w:rsidR="00F00C8C">
        <w:rPr>
          <w:rFonts w:hint="cs"/>
          <w:rtl/>
        </w:rPr>
        <w:t>.</w:t>
      </w:r>
    </w:p>
    <w:p w14:paraId="0E6528E4" w14:textId="77777777" w:rsidR="00CE1104" w:rsidRDefault="00CE1104" w:rsidP="00287466">
      <w:pPr>
        <w:pStyle w:val="Heading4"/>
        <w:rPr>
          <w:rtl/>
        </w:rPr>
      </w:pPr>
      <w:r>
        <w:rPr>
          <w:rFonts w:hint="cs"/>
          <w:rtl/>
        </w:rPr>
        <w:t>1.10.10</w:t>
      </w:r>
    </w:p>
    <w:p w14:paraId="58CECE58" w14:textId="432AE89F" w:rsidR="0061521F" w:rsidRDefault="00D912EC" w:rsidP="00392280">
      <w:pPr>
        <w:rPr>
          <w:rtl/>
        </w:rPr>
      </w:pPr>
      <w:r>
        <w:rPr>
          <w:rFonts w:hint="cs"/>
          <w:rtl/>
        </w:rPr>
        <w:t>ואמנם התכלית</w:t>
      </w:r>
      <w:r w:rsidR="00C13257">
        <w:rPr>
          <w:rtl/>
        </w:rPr>
        <w:fldChar w:fldCharType="begin"/>
      </w:r>
      <w:r w:rsidR="00C13257">
        <w:instrText xml:space="preserve"> XE "</w:instrText>
      </w:r>
      <w:r w:rsidR="00C13257" w:rsidRPr="003256F8">
        <w:rPr>
          <w:rFonts w:hint="cs"/>
          <w:rtl/>
        </w:rPr>
        <w:instrText>הסיבה התכליתית - היא בסוד הצמצום</w:instrText>
      </w:r>
      <w:r w:rsidR="00C13257">
        <w:instrText xml:space="preserve">" </w:instrText>
      </w:r>
      <w:r w:rsidR="00C13257">
        <w:rPr>
          <w:rtl/>
        </w:rPr>
        <w:fldChar w:fldCharType="end"/>
      </w:r>
      <w:r>
        <w:rPr>
          <w:rFonts w:hint="cs"/>
          <w:rtl/>
        </w:rPr>
        <w:t xml:space="preserve"> היא </w:t>
      </w:r>
      <w:r w:rsidR="00FB2725">
        <w:rPr>
          <w:rFonts w:hint="cs"/>
          <w:rtl/>
        </w:rPr>
        <w:t xml:space="preserve">המובן </w:t>
      </w:r>
      <w:r w:rsidR="004C62F3">
        <w:rPr>
          <w:rFonts w:hint="cs"/>
          <w:rtl/>
        </w:rPr>
        <w:t>שלמענו תגיע הצורה אל החומר</w:t>
      </w:r>
      <w:r w:rsidR="009C0A53">
        <w:rPr>
          <w:rStyle w:val="FootnoteReference"/>
          <w:rtl/>
        </w:rPr>
        <w:footnoteReference w:id="755"/>
      </w:r>
      <w:r w:rsidR="004C62F3">
        <w:rPr>
          <w:rFonts w:hint="cs"/>
          <w:rtl/>
        </w:rPr>
        <w:t xml:space="preserve">, </w:t>
      </w:r>
      <w:r w:rsidR="004D300A">
        <w:rPr>
          <w:rFonts w:hint="cs"/>
          <w:rtl/>
        </w:rPr>
        <w:t xml:space="preserve">והיא הטוב האמיתי או </w:t>
      </w:r>
      <w:r w:rsidR="00FC5B37">
        <w:rPr>
          <w:rFonts w:hint="cs"/>
          <w:rtl/>
        </w:rPr>
        <w:t>מה שנראה כ</w:t>
      </w:r>
      <w:r w:rsidR="004D300A">
        <w:rPr>
          <w:rFonts w:hint="cs"/>
          <w:rtl/>
        </w:rPr>
        <w:t>טוב</w:t>
      </w:r>
      <w:r w:rsidR="000D1661">
        <w:rPr>
          <w:rStyle w:val="FootnoteReference"/>
          <w:rtl/>
        </w:rPr>
        <w:footnoteReference w:id="756"/>
      </w:r>
      <w:r w:rsidR="004D300A">
        <w:rPr>
          <w:rFonts w:hint="cs"/>
          <w:rtl/>
        </w:rPr>
        <w:t xml:space="preserve">. </w:t>
      </w:r>
      <w:r w:rsidR="009F035E">
        <w:rPr>
          <w:rFonts w:hint="cs"/>
          <w:rtl/>
        </w:rPr>
        <w:t>כך ש</w:t>
      </w:r>
      <w:r w:rsidR="00DB1D94">
        <w:rPr>
          <w:rFonts w:hint="cs"/>
          <w:rtl/>
        </w:rPr>
        <w:t>כל תנועה</w:t>
      </w:r>
      <w:r w:rsidR="009F035E">
        <w:rPr>
          <w:rFonts w:hint="cs"/>
          <w:rtl/>
        </w:rPr>
        <w:t xml:space="preserve"> </w:t>
      </w:r>
      <w:r w:rsidR="003F417C">
        <w:rPr>
          <w:rFonts w:hint="cs"/>
          <w:rtl/>
        </w:rPr>
        <w:t>ש</w:t>
      </w:r>
      <w:r w:rsidR="004B3A70">
        <w:rPr>
          <w:rFonts w:hint="cs"/>
          <w:rtl/>
        </w:rPr>
        <w:t xml:space="preserve">מתרחשת על ידי </w:t>
      </w:r>
      <w:r w:rsidR="004B3A70" w:rsidRPr="004B3A70">
        <w:rPr>
          <w:rtl/>
        </w:rPr>
        <w:t>פּוֹעֵל</w:t>
      </w:r>
      <w:r w:rsidR="00AA5A51">
        <w:rPr>
          <w:rFonts w:hint="cs"/>
          <w:rtl/>
        </w:rPr>
        <w:t>,</w:t>
      </w:r>
      <w:r w:rsidR="003F417C">
        <w:rPr>
          <w:rFonts w:hint="cs"/>
          <w:rtl/>
        </w:rPr>
        <w:t xml:space="preserve"> </w:t>
      </w:r>
      <w:r w:rsidR="001A23C6">
        <w:rPr>
          <w:rFonts w:hint="cs"/>
          <w:rtl/>
        </w:rPr>
        <w:t>לא במקרה אלא בעצמותה,</w:t>
      </w:r>
      <w:r w:rsidR="00BE33DC">
        <w:rPr>
          <w:rFonts w:hint="cs"/>
          <w:rtl/>
        </w:rPr>
        <w:t xml:space="preserve"> יהיה הרצון בה </w:t>
      </w:r>
      <w:r w:rsidR="00F56157">
        <w:rPr>
          <w:rFonts w:hint="cs"/>
          <w:rtl/>
        </w:rPr>
        <w:t>מה שהוא טוב ביחס אלי</w:t>
      </w:r>
      <w:r w:rsidR="00F4146D">
        <w:rPr>
          <w:rFonts w:hint="cs"/>
          <w:rtl/>
        </w:rPr>
        <w:t>ו</w:t>
      </w:r>
      <w:r w:rsidR="00F56157">
        <w:rPr>
          <w:rFonts w:hint="cs"/>
          <w:rtl/>
        </w:rPr>
        <w:t xml:space="preserve">. </w:t>
      </w:r>
      <w:r w:rsidR="000D68E1">
        <w:rPr>
          <w:rFonts w:hint="cs"/>
          <w:rtl/>
        </w:rPr>
        <w:t>ואפשר שיהיה באמת</w:t>
      </w:r>
      <w:r w:rsidR="000E75B9">
        <w:rPr>
          <w:rFonts w:hint="cs"/>
          <w:rtl/>
        </w:rPr>
        <w:t xml:space="preserve">, ואפשר שיהיה </w:t>
      </w:r>
      <w:r w:rsidR="00072A84">
        <w:rPr>
          <w:rFonts w:hint="cs"/>
          <w:rtl/>
        </w:rPr>
        <w:t>במחשבה</w:t>
      </w:r>
      <w:r w:rsidR="00AB7233">
        <w:rPr>
          <w:rFonts w:hint="cs"/>
          <w:rtl/>
        </w:rPr>
        <w:t xml:space="preserve">, </w:t>
      </w:r>
      <w:r w:rsidR="00BE0CB5">
        <w:rPr>
          <w:rFonts w:hint="cs"/>
          <w:rtl/>
        </w:rPr>
        <w:t>שאו שיתקיים כך</w:t>
      </w:r>
      <w:r w:rsidR="004C79AE">
        <w:rPr>
          <w:rFonts w:hint="cs"/>
          <w:rtl/>
        </w:rPr>
        <w:t xml:space="preserve"> או ש</w:t>
      </w:r>
      <w:r w:rsidR="00B768DA" w:rsidRPr="00B768DA">
        <w:rPr>
          <w:rtl/>
        </w:rPr>
        <w:t>תֵּחָשֵׁב</w:t>
      </w:r>
      <w:r w:rsidR="004C79AE">
        <w:rPr>
          <w:rFonts w:hint="cs"/>
          <w:rtl/>
        </w:rPr>
        <w:t xml:space="preserve"> בו מחשבה זו. </w:t>
      </w:r>
      <w:r w:rsidR="00F00C8C">
        <w:rPr>
          <w:rFonts w:hint="cs"/>
          <w:rtl/>
        </w:rPr>
        <w:t xml:space="preserve"> </w:t>
      </w:r>
      <w:r w:rsidR="006F4625">
        <w:rPr>
          <w:rFonts w:hint="cs"/>
          <w:rtl/>
        </w:rPr>
        <w:t xml:space="preserve"> </w:t>
      </w:r>
      <w:r w:rsidR="002D2A84">
        <w:rPr>
          <w:rFonts w:hint="cs"/>
          <w:rtl/>
        </w:rPr>
        <w:t xml:space="preserve"> </w:t>
      </w:r>
    </w:p>
    <w:p w14:paraId="7B91A003" w14:textId="77777777" w:rsidR="00C7377F" w:rsidRPr="00AA1ACE" w:rsidRDefault="00C7377F" w:rsidP="00FA4994">
      <w:pPr>
        <w:rPr>
          <w:rtl/>
        </w:rPr>
      </w:pPr>
    </w:p>
    <w:sectPr w:rsidR="00C7377F" w:rsidRPr="00AA1ACE" w:rsidSect="00A2120D">
      <w:type w:val="continuous"/>
      <w:pgSz w:w="11906" w:h="16838" w:code="9"/>
      <w:pgMar w:top="1440" w:right="2381" w:bottom="1440" w:left="238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B0A6" w14:textId="77777777" w:rsidR="00DE3F85" w:rsidRDefault="00DE3F85" w:rsidP="006F39D0">
      <w:r>
        <w:separator/>
      </w:r>
    </w:p>
  </w:endnote>
  <w:endnote w:type="continuationSeparator" w:id="0">
    <w:p w14:paraId="3E14A4CE" w14:textId="77777777" w:rsidR="00DE3F85" w:rsidRDefault="00DE3F85" w:rsidP="006F39D0">
      <w:r>
        <w:continuationSeparator/>
      </w:r>
    </w:p>
  </w:endnote>
  <w:endnote w:type="continuationNotice" w:id="1">
    <w:p w14:paraId="4CFDAD67" w14:textId="77777777" w:rsidR="00DE3F85" w:rsidRDefault="00DE3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508CE30-CB0C-4070-BC2A-A6CCB32493DD}"/>
  </w:font>
  <w:font w:name="Times New Roman">
    <w:panose1 w:val="02020603050405020304"/>
    <w:charset w:val="00"/>
    <w:family w:val="roman"/>
    <w:pitch w:val="variable"/>
    <w:sig w:usb0="E0002EFF" w:usb1="C000785B" w:usb2="00000009" w:usb3="00000000" w:csb0="000001FF" w:csb1="00000000"/>
    <w:embedRegular r:id="rId2" w:fontKey="{8F9B06DA-1D3B-4FC7-B402-D012DD25CB04}"/>
    <w:embedBold r:id="rId3" w:fontKey="{0F1C3BC3-C9C2-4DE4-BCEC-9FA5B4328FC8}"/>
    <w:embedItalic r:id="rId4" w:fontKey="{C25DB927-FDD4-437D-9F28-95871B087A64}"/>
  </w:font>
  <w:font w:name="Courier New">
    <w:panose1 w:val="02070309020205020404"/>
    <w:charset w:val="00"/>
    <w:family w:val="modern"/>
    <w:pitch w:val="fixed"/>
    <w:sig w:usb0="E0002EFF" w:usb1="C0007843" w:usb2="00000009" w:usb3="00000000" w:csb0="000001FF" w:csb1="00000000"/>
    <w:embedRegular r:id="rId5" w:fontKey="{7FD6DB8E-77CF-4643-8ED1-3C6E8ED12347}"/>
  </w:font>
  <w:font w:name="Wingdings">
    <w:panose1 w:val="05000000000000000000"/>
    <w:charset w:val="02"/>
    <w:family w:val="auto"/>
    <w:pitch w:val="variable"/>
    <w:sig w:usb0="00000000" w:usb1="10000000" w:usb2="00000000" w:usb3="00000000" w:csb0="80000000" w:csb1="00000000"/>
    <w:embedRegular r:id="rId6" w:fontKey="{B0BB7A9C-ED45-4069-969E-A7337A6BF886}"/>
  </w:font>
  <w:font w:name="FrankRuehl">
    <w:panose1 w:val="020E0503060101010101"/>
    <w:charset w:val="00"/>
    <w:family w:val="swiss"/>
    <w:pitch w:val="variable"/>
    <w:sig w:usb0="00000803" w:usb1="00000000" w:usb2="00000000" w:usb3="00000000" w:csb0="00000021" w:csb1="00000000"/>
    <w:embedRegular r:id="rId7" w:fontKey="{390F4BAE-C011-4D4D-93BD-FDA62495F0B3}"/>
    <w:embedBold r:id="rId8" w:fontKey="{D7E79386-0224-40C4-9977-F64B98C64F19}"/>
  </w:font>
  <w:font w:name="Calibri">
    <w:panose1 w:val="020F0502020204030204"/>
    <w:charset w:val="00"/>
    <w:family w:val="swiss"/>
    <w:pitch w:val="variable"/>
    <w:sig w:usb0="E4002EFF" w:usb1="C000247B" w:usb2="00000009" w:usb3="00000000" w:csb0="000001FF" w:csb1="00000000"/>
    <w:embedRegular r:id="rId9" w:fontKey="{381BBDBB-D026-477F-8D13-98BE11063833}"/>
    <w:embedBold r:id="rId10" w:fontKey="{52A3F238-C3E5-40F5-AD32-351B343CC65C}"/>
    <w:embedItalic r:id="rId11" w:fontKey="{70895996-E3E7-48A5-833F-4063BFD8D4EF}"/>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embedRegular r:id="rId12" w:fontKey="{45E7A3FB-4170-436B-87E5-FED1C9AE699C}"/>
    <w:embedBold r:id="rId13" w:fontKey="{708FB4F0-A24C-449A-8D16-D80777D0AD0A}"/>
  </w:font>
  <w:font w:name="Calibri Light">
    <w:panose1 w:val="020F0302020204030204"/>
    <w:charset w:val="00"/>
    <w:family w:val="swiss"/>
    <w:pitch w:val="variable"/>
    <w:sig w:usb0="E4002EFF" w:usb1="C000247B" w:usb2="00000009" w:usb3="00000000" w:csb0="000001FF" w:csb1="00000000"/>
    <w:embedRegular r:id="rId14" w:fontKey="{989061D7-C3AE-4DAA-AF01-0F37E3547F48}"/>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14508015"/>
      <w:docPartObj>
        <w:docPartGallery w:val="Page Numbers (Bottom of Page)"/>
        <w:docPartUnique/>
      </w:docPartObj>
    </w:sdtPr>
    <w:sdtEndPr/>
    <w:sdtContent>
      <w:p w14:paraId="4D4D9950" w14:textId="1851810C" w:rsidR="004F1139" w:rsidRDefault="004F1139" w:rsidP="006F39D0">
        <w:pPr>
          <w:pStyle w:val="Footer"/>
        </w:pPr>
        <w:r w:rsidRPr="005622EE">
          <w:rPr>
            <w:b w:val="0"/>
            <w:bCs w:val="0"/>
            <w:sz w:val="24"/>
            <w:szCs w:val="24"/>
          </w:rPr>
          <w:fldChar w:fldCharType="begin"/>
        </w:r>
        <w:r w:rsidRPr="005622EE">
          <w:rPr>
            <w:b w:val="0"/>
            <w:bCs w:val="0"/>
            <w:sz w:val="24"/>
            <w:szCs w:val="24"/>
          </w:rPr>
          <w:instrText>PAGE   \* MERGEFORMAT</w:instrText>
        </w:r>
        <w:r w:rsidRPr="005622EE">
          <w:rPr>
            <w:b w:val="0"/>
            <w:bCs w:val="0"/>
            <w:sz w:val="24"/>
            <w:szCs w:val="24"/>
          </w:rPr>
          <w:fldChar w:fldCharType="separate"/>
        </w:r>
        <w:r w:rsidRPr="005622EE">
          <w:rPr>
            <w:b w:val="0"/>
            <w:bCs w:val="0"/>
            <w:sz w:val="24"/>
            <w:szCs w:val="24"/>
            <w:rtl/>
            <w:lang w:val="he-IL"/>
          </w:rPr>
          <w:t>2</w:t>
        </w:r>
        <w:r w:rsidRPr="005622EE">
          <w:rPr>
            <w:b w:val="0"/>
            <w:bCs w:val="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219E4" w14:textId="77777777" w:rsidR="00DE3F85" w:rsidRDefault="00DE3F85" w:rsidP="006F39D0">
      <w:r>
        <w:separator/>
      </w:r>
    </w:p>
  </w:footnote>
  <w:footnote w:type="continuationSeparator" w:id="0">
    <w:p w14:paraId="45C30C5F" w14:textId="77777777" w:rsidR="00DE3F85" w:rsidRDefault="00DE3F85" w:rsidP="006F39D0">
      <w:r>
        <w:continuationSeparator/>
      </w:r>
    </w:p>
  </w:footnote>
  <w:footnote w:type="continuationNotice" w:id="1">
    <w:p w14:paraId="31F3C6DA" w14:textId="77777777" w:rsidR="00DE3F85" w:rsidRDefault="00DE3F85">
      <w:pPr>
        <w:spacing w:after="0" w:line="240" w:lineRule="auto"/>
      </w:pPr>
    </w:p>
  </w:footnote>
  <w:footnote w:id="2">
    <w:p w14:paraId="2BC312E0" w14:textId="327C8CC5" w:rsidR="00F241C1" w:rsidRDefault="00F241C1">
      <w:pPr>
        <w:pStyle w:val="FootnoteText"/>
        <w:rPr>
          <w:rtl/>
        </w:rPr>
      </w:pPr>
      <w:r>
        <w:rPr>
          <w:rStyle w:val="FootnoteReference"/>
        </w:rPr>
        <w:footnoteRef/>
      </w:r>
      <w:r>
        <w:rPr>
          <w:rtl/>
        </w:rPr>
        <w:t xml:space="preserve"> </w:t>
      </w:r>
      <w:r>
        <w:rPr>
          <w:rFonts w:hint="cs"/>
          <w:rtl/>
        </w:rPr>
        <w:t>ריפוי מהטעות הפילוסופית והתיאולוגית. יש לאבן סינא ספר אחר על רפ</w:t>
      </w:r>
      <w:r w:rsidR="009C7D73">
        <w:rPr>
          <w:rFonts w:hint="cs"/>
          <w:rtl/>
        </w:rPr>
        <w:t>ואה</w:t>
      </w:r>
      <w:r>
        <w:rPr>
          <w:rFonts w:hint="cs"/>
          <w:rtl/>
        </w:rPr>
        <w:t xml:space="preserve">, </w:t>
      </w:r>
      <w:r w:rsidR="009C7D73">
        <w:rPr>
          <w:rFonts w:hint="cs"/>
          <w:rtl/>
        </w:rPr>
        <w:t>הנקרא בערבית ק</w:t>
      </w:r>
      <w:r w:rsidR="00CF4A23">
        <w:rPr>
          <w:rFonts w:hint="cs"/>
          <w:rtl/>
        </w:rPr>
        <w:t>א</w:t>
      </w:r>
      <w:r w:rsidR="009C7D73">
        <w:rPr>
          <w:rFonts w:hint="cs"/>
          <w:rtl/>
        </w:rPr>
        <w:t xml:space="preserve">נון אל טב, </w:t>
      </w:r>
      <w:r w:rsidR="00CF4A23">
        <w:rPr>
          <w:rFonts w:hint="cs"/>
          <w:rtl/>
        </w:rPr>
        <w:t>בעברית ה</w:t>
      </w:r>
      <w:hyperlink r:id="rId1" w:history="1">
        <w:r w:rsidR="00CF4A23" w:rsidRPr="00276FF3">
          <w:rPr>
            <w:rStyle w:val="Hyperlink"/>
            <w:rFonts w:hint="cs"/>
            <w:rtl/>
          </w:rPr>
          <w:t>קאנון הגדול</w:t>
        </w:r>
      </w:hyperlink>
      <w:r w:rsidR="00CF4A23">
        <w:rPr>
          <w:rFonts w:hint="cs"/>
          <w:rtl/>
        </w:rPr>
        <w:t xml:space="preserve">, ובאנגלית </w:t>
      </w:r>
      <w:r w:rsidR="00D3432E">
        <w:t>canon of medicine</w:t>
      </w:r>
      <w:r w:rsidR="00557AAE">
        <w:rPr>
          <w:rFonts w:hint="cs"/>
          <w:rtl/>
        </w:rPr>
        <w:t xml:space="preserve">. </w:t>
      </w:r>
      <w:r>
        <w:rPr>
          <w:rFonts w:hint="cs"/>
          <w:rtl/>
        </w:rPr>
        <w:t>אין לו קשר לספר זה</w:t>
      </w:r>
      <w:r w:rsidR="00276FF3">
        <w:rPr>
          <w:rFonts w:hint="cs"/>
          <w:rtl/>
        </w:rPr>
        <w:t xml:space="preserve"> העוסק בפילוסופיה</w:t>
      </w:r>
      <w:r w:rsidR="00C23E91">
        <w:rPr>
          <w:rFonts w:hint="cs"/>
          <w:rtl/>
        </w:rPr>
        <w:t xml:space="preserve"> בלבד</w:t>
      </w:r>
      <w:r>
        <w:rPr>
          <w:rFonts w:hint="cs"/>
          <w:rtl/>
        </w:rPr>
        <w:t xml:space="preserve">.  </w:t>
      </w:r>
    </w:p>
    <w:p w14:paraId="35723237" w14:textId="7CC6FDDF" w:rsidR="00AF478B" w:rsidRDefault="00AF478B">
      <w:pPr>
        <w:pStyle w:val="FootnoteText"/>
      </w:pPr>
      <w:r>
        <w:rPr>
          <w:rFonts w:hint="cs"/>
          <w:rtl/>
        </w:rPr>
        <w:t>התרגום נעשה לפי ה</w:t>
      </w:r>
      <w:r w:rsidRPr="00AF478B">
        <w:rPr>
          <w:rtl/>
        </w:rPr>
        <w:t xml:space="preserve">נוסח המדעי המוגה שנמצא באתר של הספריה השיעית באירן, </w:t>
      </w:r>
      <w:r w:rsidR="00977449" w:rsidRPr="00977449">
        <w:t>http://lib.eshia.ir/71473/1/0</w:t>
      </w:r>
      <w:r>
        <w:rPr>
          <w:rFonts w:hint="cs"/>
          <w:rtl/>
        </w:rPr>
        <w:t xml:space="preserve">. </w:t>
      </w:r>
    </w:p>
  </w:footnote>
  <w:footnote w:id="3">
    <w:p w14:paraId="1D74A206" w14:textId="69DC8F22" w:rsidR="00070398" w:rsidRDefault="00184FC6">
      <w:pPr>
        <w:pStyle w:val="FootnoteText"/>
        <w:rPr>
          <w:rtl/>
        </w:rPr>
      </w:pPr>
      <w:r>
        <w:rPr>
          <w:rStyle w:val="FootnoteReference"/>
        </w:rPr>
        <w:footnoteRef/>
      </w:r>
      <w:r>
        <w:rPr>
          <w:rtl/>
        </w:rPr>
        <w:t xml:space="preserve"> </w:t>
      </w:r>
      <w:r>
        <w:rPr>
          <w:rFonts w:hint="cs"/>
          <w:rtl/>
        </w:rPr>
        <w:t xml:space="preserve">ספר זה הוא הספר השני של אבן סינא שאני מתרגם. הספר הראשון הוא הרמיזות וההערות שהושלמה מלאכתו, ואפשר להוריד אותו בחינם </w:t>
      </w:r>
      <w:hyperlink r:id="rId2" w:history="1">
        <w:r w:rsidRPr="00184FC6">
          <w:rPr>
            <w:rStyle w:val="Hyperlink"/>
            <w:rFonts w:hint="cs"/>
            <w:rtl/>
          </w:rPr>
          <w:t>כאן</w:t>
        </w:r>
      </w:hyperlink>
      <w:r w:rsidR="002A6B46">
        <w:rPr>
          <w:rFonts w:hint="cs"/>
          <w:rtl/>
        </w:rPr>
        <w:t xml:space="preserve">. </w:t>
      </w:r>
      <w:r w:rsidR="00837A00">
        <w:rPr>
          <w:rFonts w:hint="cs"/>
          <w:rtl/>
        </w:rPr>
        <w:t>ה</w:t>
      </w:r>
      <w:r w:rsidR="00266CAE">
        <w:rPr>
          <w:rFonts w:hint="cs"/>
          <w:rtl/>
        </w:rPr>
        <w:t>ה</w:t>
      </w:r>
      <w:r w:rsidR="00837A00">
        <w:rPr>
          <w:rFonts w:hint="cs"/>
          <w:rtl/>
        </w:rPr>
        <w:t>קדמה שכתבתי שם שייכת ג</w:t>
      </w:r>
      <w:r w:rsidR="00266CAE">
        <w:rPr>
          <w:rFonts w:hint="cs"/>
          <w:rtl/>
        </w:rPr>
        <w:t xml:space="preserve">ם לכאן. </w:t>
      </w:r>
      <w:r w:rsidR="002A6B46">
        <w:rPr>
          <w:rFonts w:hint="cs"/>
          <w:rtl/>
        </w:rPr>
        <w:t>שני ספרים אלה הם חלק מתוכנית לתרגם את כתבי אריסטו</w:t>
      </w:r>
      <w:r w:rsidR="00F47012">
        <w:rPr>
          <w:rFonts w:hint="cs"/>
          <w:rtl/>
        </w:rPr>
        <w:t>:</w:t>
      </w:r>
      <w:r w:rsidR="002A6B46">
        <w:rPr>
          <w:rFonts w:hint="cs"/>
          <w:rtl/>
        </w:rPr>
        <w:t xml:space="preserve"> ה</w:t>
      </w:r>
      <w:r w:rsidR="00F055C8">
        <w:rPr>
          <w:rtl/>
        </w:rPr>
        <w:t>"</w:t>
      </w:r>
      <w:r w:rsidR="002A6B46">
        <w:rPr>
          <w:rFonts w:hint="cs"/>
          <w:rtl/>
        </w:rPr>
        <w:t>פיזיקה</w:t>
      </w:r>
      <w:r w:rsidR="00F055C8">
        <w:rPr>
          <w:rtl/>
        </w:rPr>
        <w:t>"</w:t>
      </w:r>
      <w:r w:rsidR="002A6B46">
        <w:rPr>
          <w:rFonts w:hint="cs"/>
          <w:rtl/>
        </w:rPr>
        <w:t xml:space="preserve"> והספרים השייכים אליה (כמו </w:t>
      </w:r>
      <w:r w:rsidR="00F055C8">
        <w:rPr>
          <w:rtl/>
        </w:rPr>
        <w:t>"</w:t>
      </w:r>
      <w:r w:rsidR="002A6B46">
        <w:rPr>
          <w:rFonts w:hint="cs"/>
          <w:rtl/>
        </w:rPr>
        <w:t>על השמיים</w:t>
      </w:r>
      <w:r w:rsidR="00F055C8">
        <w:rPr>
          <w:rtl/>
        </w:rPr>
        <w:t>"</w:t>
      </w:r>
      <w:r w:rsidR="002A6B46">
        <w:rPr>
          <w:rFonts w:hint="cs"/>
          <w:rtl/>
        </w:rPr>
        <w:t xml:space="preserve">, </w:t>
      </w:r>
      <w:r w:rsidR="00F055C8">
        <w:rPr>
          <w:rtl/>
        </w:rPr>
        <w:t>"</w:t>
      </w:r>
      <w:r w:rsidR="002A6B46">
        <w:rPr>
          <w:rFonts w:hint="cs"/>
          <w:rtl/>
        </w:rPr>
        <w:t>על ההתהוות וההפסד</w:t>
      </w:r>
      <w:r w:rsidR="00F055C8">
        <w:rPr>
          <w:rtl/>
        </w:rPr>
        <w:t>"</w:t>
      </w:r>
      <w:r w:rsidR="002A6B46">
        <w:rPr>
          <w:rFonts w:hint="cs"/>
          <w:rtl/>
        </w:rPr>
        <w:t xml:space="preserve">, </w:t>
      </w:r>
      <w:r w:rsidR="00F055C8">
        <w:rPr>
          <w:rtl/>
        </w:rPr>
        <w:t>"</w:t>
      </w:r>
      <w:r w:rsidR="002A6B46">
        <w:rPr>
          <w:rFonts w:hint="cs"/>
          <w:rtl/>
        </w:rPr>
        <w:t>על הנפש</w:t>
      </w:r>
      <w:r w:rsidR="00F055C8">
        <w:rPr>
          <w:rtl/>
        </w:rPr>
        <w:t>"</w:t>
      </w:r>
      <w:r w:rsidR="002A6B46">
        <w:rPr>
          <w:rFonts w:hint="cs"/>
          <w:rtl/>
        </w:rPr>
        <w:t>, ועוד</w:t>
      </w:r>
      <w:r w:rsidR="000963C3">
        <w:t>(</w:t>
      </w:r>
      <w:r w:rsidR="002A6B46">
        <w:rPr>
          <w:rFonts w:hint="cs"/>
          <w:rtl/>
        </w:rPr>
        <w:t xml:space="preserve">, וכן את </w:t>
      </w:r>
      <w:r w:rsidR="002A6B46">
        <w:rPr>
          <w:rFonts w:hint="cs"/>
          <w:rtl/>
        </w:rPr>
        <w:t xml:space="preserve">המטאפיזיקה. ספרי אבן סינא הם </w:t>
      </w:r>
      <w:r w:rsidR="000963C3">
        <w:rPr>
          <w:rFonts w:hint="cs"/>
          <w:rtl/>
        </w:rPr>
        <w:t xml:space="preserve">כמו </w:t>
      </w:r>
      <w:r w:rsidR="002A6B46">
        <w:rPr>
          <w:rFonts w:hint="cs"/>
          <w:rtl/>
        </w:rPr>
        <w:t>מבוא לכתבי אריסטו</w:t>
      </w:r>
      <w:r w:rsidR="00731995">
        <w:rPr>
          <w:rFonts w:hint="cs"/>
          <w:rtl/>
        </w:rPr>
        <w:t>, או תחליף למי שרוצה לקצר</w:t>
      </w:r>
      <w:r w:rsidR="00070398">
        <w:rPr>
          <w:rFonts w:hint="cs"/>
          <w:rtl/>
        </w:rPr>
        <w:t>,</w:t>
      </w:r>
      <w:r w:rsidR="00731995">
        <w:rPr>
          <w:rFonts w:hint="cs"/>
          <w:rtl/>
        </w:rPr>
        <w:t xml:space="preserve"> או סיכום,</w:t>
      </w:r>
      <w:r w:rsidR="00C27E86">
        <w:rPr>
          <w:rFonts w:hint="cs"/>
          <w:rtl/>
        </w:rPr>
        <w:t xml:space="preserve"> ולכן נכללו בסדרה</w:t>
      </w:r>
      <w:r w:rsidR="002A6B46">
        <w:rPr>
          <w:rFonts w:hint="cs"/>
          <w:rtl/>
        </w:rPr>
        <w:t>.</w:t>
      </w:r>
    </w:p>
    <w:p w14:paraId="6B359807" w14:textId="668C2EFE" w:rsidR="00184FC6" w:rsidRDefault="00070398">
      <w:pPr>
        <w:pStyle w:val="FootnoteText"/>
        <w:rPr>
          <w:rtl/>
        </w:rPr>
      </w:pPr>
      <w:r>
        <w:rPr>
          <w:rFonts w:hint="cs"/>
          <w:rtl/>
        </w:rPr>
        <w:t xml:space="preserve">אבן סינא הוא המורה המובהק של הרמב"ם, </w:t>
      </w:r>
      <w:r w:rsidR="00FA3F1D">
        <w:rPr>
          <w:rFonts w:hint="cs"/>
          <w:rtl/>
        </w:rPr>
        <w:t xml:space="preserve">ורוב הדברים בהלכות יסודי התורה ובמורה נבוכים לקוחים ממנו. </w:t>
      </w:r>
      <w:r w:rsidR="000239F6">
        <w:rPr>
          <w:rFonts w:hint="cs"/>
          <w:rtl/>
        </w:rPr>
        <w:t xml:space="preserve">בכל נושא הבאתי את דברי הרמב"ם השייכים אליו, והביאור הוא גם ביאור </w:t>
      </w:r>
      <w:r w:rsidR="002F754D">
        <w:rPr>
          <w:rFonts w:hint="cs"/>
          <w:rtl/>
        </w:rPr>
        <w:t>על המורה נבוכים.</w:t>
      </w:r>
    </w:p>
    <w:p w14:paraId="62EA20D2" w14:textId="31E5BBDA" w:rsidR="0012299B" w:rsidRDefault="0012299B">
      <w:pPr>
        <w:pStyle w:val="FootnoteText"/>
      </w:pPr>
      <w:r>
        <w:rPr>
          <w:rFonts w:hint="cs"/>
          <w:rtl/>
        </w:rPr>
        <w:t>ב"אדם חי"</w:t>
      </w:r>
      <w:r>
        <w:rPr>
          <w:rFonts w:hint="cs"/>
        </w:rPr>
        <w:t xml:space="preserve"> </w:t>
      </w:r>
      <w:hyperlink r:id="rId3" w:history="1">
        <w:r w:rsidR="00270488" w:rsidRPr="00270488">
          <w:rPr>
            <w:rStyle w:val="Hyperlink"/>
            <w:rFonts w:hint="cs"/>
            <w:rtl/>
          </w:rPr>
          <w:t>רשימה 269</w:t>
        </w:r>
      </w:hyperlink>
      <w:r w:rsidR="006565A4">
        <w:rPr>
          <w:rFonts w:hint="cs"/>
          <w:rtl/>
        </w:rPr>
        <w:t xml:space="preserve"> התייחסתי לשאלות של אנשים שלמדו ב"רמיזות והערות" </w:t>
      </w:r>
      <w:r w:rsidR="00506D19">
        <w:rPr>
          <w:rFonts w:hint="cs"/>
          <w:rtl/>
        </w:rPr>
        <w:t xml:space="preserve">מאת אבן סינא </w:t>
      </w:r>
      <w:r w:rsidR="006565A4">
        <w:rPr>
          <w:rFonts w:hint="cs"/>
          <w:rtl/>
        </w:rPr>
        <w:t>ויש</w:t>
      </w:r>
      <w:r w:rsidR="00506D19">
        <w:rPr>
          <w:rFonts w:hint="cs"/>
          <w:rtl/>
        </w:rPr>
        <w:t xml:space="preserve"> </w:t>
      </w:r>
      <w:r w:rsidR="006565A4">
        <w:rPr>
          <w:rFonts w:hint="cs"/>
          <w:rtl/>
        </w:rPr>
        <w:t>שם הבהרות חשובות</w:t>
      </w:r>
      <w:r w:rsidR="00506D19">
        <w:rPr>
          <w:rFonts w:hint="cs"/>
          <w:rtl/>
        </w:rPr>
        <w:t xml:space="preserve"> בעניינים יסודיים שנוגעים גם ל"ספר הריפוי"</w:t>
      </w:r>
      <w:r w:rsidR="006565A4">
        <w:rPr>
          <w:rFonts w:hint="cs"/>
          <w:rtl/>
        </w:rPr>
        <w:t xml:space="preserve">, כי כשאני כותב לבד לפעמים אני </w:t>
      </w:r>
      <w:r w:rsidR="00506D19">
        <w:rPr>
          <w:rFonts w:hint="cs"/>
          <w:rtl/>
        </w:rPr>
        <w:t>לא</w:t>
      </w:r>
      <w:r w:rsidR="006565A4">
        <w:rPr>
          <w:rFonts w:hint="cs"/>
          <w:rtl/>
        </w:rPr>
        <w:t xml:space="preserve"> מבחין שיש עניין שלא הוסבר כראוי</w:t>
      </w:r>
      <w:r w:rsidR="00506D19">
        <w:rPr>
          <w:rFonts w:hint="cs"/>
          <w:rtl/>
        </w:rPr>
        <w:t xml:space="preserve">. </w:t>
      </w:r>
      <w:r w:rsidR="006565A4">
        <w:rPr>
          <w:rFonts w:hint="cs"/>
          <w:rtl/>
        </w:rPr>
        <w:t xml:space="preserve"> </w:t>
      </w:r>
    </w:p>
  </w:footnote>
  <w:footnote w:id="4">
    <w:p w14:paraId="242746AD" w14:textId="0E3F8F1B" w:rsidR="00772B98" w:rsidRDefault="00772B98">
      <w:pPr>
        <w:pStyle w:val="FootnoteText"/>
      </w:pPr>
      <w:r>
        <w:rPr>
          <w:rStyle w:val="FootnoteReference"/>
        </w:rPr>
        <w:footnoteRef/>
      </w:r>
      <w:r>
        <w:rPr>
          <w:rtl/>
        </w:rPr>
        <w:t xml:space="preserve"> </w:t>
      </w:r>
      <w:r>
        <w:rPr>
          <w:rFonts w:hint="cs"/>
          <w:rtl/>
        </w:rPr>
        <w:t>שני הפסוקים הראשונים בקוראן הם</w:t>
      </w:r>
      <w:r w:rsidR="00986FE2">
        <w:rPr>
          <w:rFonts w:hint="cs"/>
          <w:rtl/>
        </w:rPr>
        <w:t>: "בשם האל הרחמן והרחום. השבח לאל אדון העולמים"</w:t>
      </w:r>
      <w:r w:rsidR="00B52C77">
        <w:rPr>
          <w:rFonts w:hint="cs"/>
          <w:rtl/>
        </w:rPr>
        <w:t xml:space="preserve">. </w:t>
      </w:r>
      <w:r w:rsidR="000239DD">
        <w:rPr>
          <w:rFonts w:hint="cs"/>
          <w:rtl/>
        </w:rPr>
        <w:t>נראה ש</w:t>
      </w:r>
      <w:r w:rsidR="00B52C77">
        <w:rPr>
          <w:rFonts w:hint="cs"/>
          <w:rtl/>
        </w:rPr>
        <w:t xml:space="preserve">אבן סינא כתב לכל היותר </w:t>
      </w:r>
      <w:r w:rsidR="00215281">
        <w:rPr>
          <w:rFonts w:hint="cs"/>
          <w:rtl/>
        </w:rPr>
        <w:t>"</w:t>
      </w:r>
      <w:r w:rsidR="00B52C77">
        <w:rPr>
          <w:rFonts w:hint="cs"/>
          <w:rtl/>
        </w:rPr>
        <w:t>בשם האל הרחמן והרחום</w:t>
      </w:r>
      <w:r w:rsidR="00215281">
        <w:rPr>
          <w:rFonts w:hint="cs"/>
          <w:rtl/>
        </w:rPr>
        <w:t>"</w:t>
      </w:r>
      <w:r w:rsidR="00B52C77">
        <w:rPr>
          <w:rFonts w:hint="cs"/>
          <w:rtl/>
        </w:rPr>
        <w:t xml:space="preserve"> </w:t>
      </w:r>
      <w:r w:rsidR="00FC1EC2">
        <w:rPr>
          <w:rFonts w:hint="cs"/>
          <w:rtl/>
        </w:rPr>
        <w:t xml:space="preserve">כמו שמקובל </w:t>
      </w:r>
      <w:r w:rsidR="001154F8">
        <w:rPr>
          <w:rFonts w:hint="cs"/>
          <w:rtl/>
        </w:rPr>
        <w:t xml:space="preserve">בתחילת כל חיבור או מכתב, </w:t>
      </w:r>
      <w:r w:rsidR="000239DD">
        <w:rPr>
          <w:rFonts w:hint="cs"/>
          <w:rtl/>
        </w:rPr>
        <w:t>ו</w:t>
      </w:r>
      <w:r w:rsidR="00215281">
        <w:rPr>
          <w:rFonts w:hint="cs"/>
          <w:rtl/>
        </w:rPr>
        <w:t xml:space="preserve">ההמשך הוא ממעתיק כתב היד, </w:t>
      </w:r>
      <w:r w:rsidR="000239DD">
        <w:rPr>
          <w:rFonts w:hint="cs"/>
          <w:rtl/>
        </w:rPr>
        <w:t xml:space="preserve">ולא בכל כתבי היד שבידינו הוא נמצא. </w:t>
      </w:r>
    </w:p>
  </w:footnote>
  <w:footnote w:id="5">
    <w:p w14:paraId="13B825E7" w14:textId="648666F9" w:rsidR="004F1139" w:rsidRDefault="004F1139" w:rsidP="00A3461B">
      <w:pPr>
        <w:pStyle w:val="FootnoteText"/>
        <w:rPr>
          <w:rStyle w:val="a0"/>
          <w:b w:val="0"/>
          <w:bCs w:val="0"/>
          <w:rtl/>
        </w:rPr>
      </w:pPr>
      <w:r w:rsidRPr="00241B56">
        <w:rPr>
          <w:rStyle w:val="FootnoteReference"/>
        </w:rPr>
        <w:footnoteRef/>
      </w:r>
      <w:r w:rsidRPr="00A3461B">
        <w:rPr>
          <w:rtl/>
        </w:rPr>
        <w:t xml:space="preserve"> </w:t>
      </w:r>
      <w:r w:rsidR="00F055C8">
        <w:rPr>
          <w:rStyle w:val="a0"/>
          <w:b w:val="0"/>
          <w:bCs w:val="0"/>
          <w:rtl/>
        </w:rPr>
        <w:t>"</w:t>
      </w:r>
      <w:r w:rsidRPr="00A3461B">
        <w:rPr>
          <w:rStyle w:val="a0"/>
          <w:rFonts w:hint="cs"/>
          <w:b w:val="0"/>
          <w:bCs w:val="0"/>
          <w:rtl/>
        </w:rPr>
        <w:t xml:space="preserve">מלאכת </w:t>
      </w:r>
      <w:r w:rsidRPr="00A3461B">
        <w:rPr>
          <w:rStyle w:val="a0"/>
          <w:rFonts w:hint="cs"/>
          <w:b w:val="0"/>
          <w:bCs w:val="0"/>
          <w:rtl/>
        </w:rPr>
        <w:t>ההגיון</w:t>
      </w:r>
      <w:r w:rsidR="00F055C8">
        <w:rPr>
          <w:rStyle w:val="a0"/>
          <w:b w:val="0"/>
          <w:bCs w:val="0"/>
          <w:rtl/>
        </w:rPr>
        <w:t>"</w:t>
      </w:r>
      <w:r w:rsidRPr="00A3461B">
        <w:rPr>
          <w:rStyle w:val="a0"/>
          <w:rFonts w:hint="cs"/>
          <w:b w:val="0"/>
          <w:bCs w:val="0"/>
          <w:rtl/>
        </w:rPr>
        <w:t xml:space="preserve"> היא קובץ ספרי אריסטו העוסקים בתורת ההגיון, כלומר הלוגיקה. ביוונית נקרא הקובץ </w:t>
      </w:r>
      <w:r w:rsidR="00F055C8">
        <w:rPr>
          <w:rStyle w:val="a0"/>
          <w:b w:val="0"/>
          <w:bCs w:val="0"/>
          <w:rtl/>
        </w:rPr>
        <w:t>"</w:t>
      </w:r>
      <w:r w:rsidRPr="00A3461B">
        <w:rPr>
          <w:rStyle w:val="a0"/>
          <w:rFonts w:hint="cs"/>
          <w:b w:val="0"/>
          <w:bCs w:val="0"/>
          <w:rtl/>
        </w:rPr>
        <w:t>אורגנון</w:t>
      </w:r>
      <w:r w:rsidR="00F055C8">
        <w:rPr>
          <w:rStyle w:val="a0"/>
          <w:b w:val="0"/>
          <w:bCs w:val="0"/>
          <w:rtl/>
        </w:rPr>
        <w:t>"</w:t>
      </w:r>
      <w:r w:rsidRPr="00A3461B">
        <w:rPr>
          <w:rStyle w:val="a0"/>
          <w:rFonts w:hint="cs"/>
          <w:b w:val="0"/>
          <w:bCs w:val="0"/>
          <w:rtl/>
        </w:rPr>
        <w:t>. בחלק קודם של ספר הריפוי ביאר אבן סינא את הלוגיקה האריסטוטלית. חלק הלוגיקה אינו עצם מה שבא אריסטו ללמד, אלא הוא רק כלי לצורך הלימודים העיקריים שהם הפיזיקה והמטאפיזיקה, והוא מתייחס אל השכל כיחס הדקדוק אל הלשון (עי' מילות ההגיון מאת הרמב</w:t>
      </w:r>
      <w:r w:rsidR="00F055C8">
        <w:rPr>
          <w:rStyle w:val="a0"/>
          <w:b w:val="0"/>
          <w:bCs w:val="0"/>
          <w:rtl/>
        </w:rPr>
        <w:t>"</w:t>
      </w:r>
      <w:r w:rsidRPr="00A3461B">
        <w:rPr>
          <w:rStyle w:val="a0"/>
          <w:rFonts w:hint="cs"/>
          <w:b w:val="0"/>
          <w:bCs w:val="0"/>
          <w:rtl/>
        </w:rPr>
        <w:t>ם שער י</w:t>
      </w:r>
      <w:r w:rsidR="00F055C8">
        <w:rPr>
          <w:rStyle w:val="a0"/>
          <w:b w:val="0"/>
          <w:bCs w:val="0"/>
          <w:rtl/>
        </w:rPr>
        <w:t>"</w:t>
      </w:r>
      <w:r w:rsidRPr="00A3461B">
        <w:rPr>
          <w:rStyle w:val="a0"/>
          <w:rFonts w:hint="cs"/>
          <w:b w:val="0"/>
          <w:bCs w:val="0"/>
          <w:rtl/>
        </w:rPr>
        <w:t>ד).</w:t>
      </w:r>
    </w:p>
    <w:p w14:paraId="7EF58FEC" w14:textId="2B791426" w:rsidR="00777C6E" w:rsidRDefault="00777C6E" w:rsidP="00A3461B">
      <w:pPr>
        <w:pStyle w:val="FootnoteText"/>
        <w:rPr>
          <w:rStyle w:val="a0"/>
          <w:b w:val="0"/>
          <w:bCs w:val="0"/>
          <w:rtl/>
        </w:rPr>
      </w:pPr>
      <w:r>
        <w:rPr>
          <w:rStyle w:val="a0"/>
          <w:rFonts w:hint="cs"/>
          <w:b w:val="0"/>
          <w:bCs w:val="0"/>
          <w:rtl/>
        </w:rPr>
        <w:t>שמות ספרי מלאכת ההגיון בעברית של ימי הביניים:</w:t>
      </w:r>
    </w:p>
    <w:p w14:paraId="0EAA9858" w14:textId="21A3D246" w:rsidR="00777C6E" w:rsidRPr="00A3461B" w:rsidRDefault="00777C6E" w:rsidP="00A3461B">
      <w:pPr>
        <w:pStyle w:val="FootnoteText"/>
      </w:pPr>
      <w:r w:rsidRPr="00777C6E">
        <w:rPr>
          <w:rtl/>
        </w:rPr>
        <w:t xml:space="preserve"> א. המבוא של פורפוריוס; ב. ספר המאמרות (הקטגוריות, </w:t>
      </w:r>
      <w:r w:rsidRPr="00777C6E">
        <w:t>Categories</w:t>
      </w:r>
      <w:r w:rsidRPr="00777C6E">
        <w:rPr>
          <w:rtl/>
        </w:rPr>
        <w:t>); ג. ספר המליצה (</w:t>
      </w:r>
      <w:r w:rsidRPr="00777C6E">
        <w:t>On Interpretation</w:t>
      </w:r>
      <w:r w:rsidRPr="00777C6E">
        <w:rPr>
          <w:rtl/>
        </w:rPr>
        <w:t xml:space="preserve">); ד. ספר ההיקש (האנליטיקה שמלכתחילה, </w:t>
      </w:r>
      <w:r w:rsidRPr="00777C6E">
        <w:t>Prior Analytics</w:t>
      </w:r>
      <w:r w:rsidRPr="00777C6E">
        <w:rPr>
          <w:rtl/>
        </w:rPr>
        <w:t xml:space="preserve">); ה. ספר המופת (האנליטיקה שבדיעבד, </w:t>
      </w:r>
      <w:r w:rsidRPr="00777C6E">
        <w:t>Posterior Analytics</w:t>
      </w:r>
      <w:r w:rsidRPr="00777C6E">
        <w:rPr>
          <w:rtl/>
        </w:rPr>
        <w:t xml:space="preserve">); ו. ספר הניצוח (דיאלקטיקה, </w:t>
      </w:r>
      <w:r w:rsidRPr="00777C6E">
        <w:t>Topics</w:t>
      </w:r>
      <w:r w:rsidRPr="00777C6E">
        <w:rPr>
          <w:rtl/>
        </w:rPr>
        <w:t>); ז. ספר ההטעאה (</w:t>
      </w:r>
      <w:r w:rsidRPr="00777C6E">
        <w:t>Sophistical Refutations</w:t>
      </w:r>
      <w:r w:rsidRPr="00777C6E">
        <w:rPr>
          <w:rtl/>
        </w:rPr>
        <w:t xml:space="preserve">); ח. ספר ההלצה (רטוריקה, </w:t>
      </w:r>
      <w:r w:rsidRPr="00777C6E">
        <w:t>Rhetoric</w:t>
      </w:r>
      <w:r>
        <w:rPr>
          <w:rFonts w:hint="cs"/>
          <w:rtl/>
        </w:rPr>
        <w:t>)</w:t>
      </w:r>
      <w:r w:rsidRPr="00777C6E">
        <w:rPr>
          <w:rtl/>
        </w:rPr>
        <w:t xml:space="preserve">; ט. ספר השיר (פואטיקה, </w:t>
      </w:r>
      <w:r w:rsidRPr="00777C6E">
        <w:t>Poetics</w:t>
      </w:r>
      <w:r w:rsidRPr="00777C6E">
        <w:rPr>
          <w:rtl/>
        </w:rPr>
        <w:t>)</w:t>
      </w:r>
      <w:r>
        <w:rPr>
          <w:rFonts w:hint="cs"/>
          <w:rtl/>
        </w:rPr>
        <w:t>.</w:t>
      </w:r>
    </w:p>
  </w:footnote>
  <w:footnote w:id="6">
    <w:p w14:paraId="7892F95A" w14:textId="3C1515CD" w:rsidR="004F1139" w:rsidRPr="00A3461B" w:rsidRDefault="004F1139" w:rsidP="00A3461B">
      <w:pPr>
        <w:pStyle w:val="FootnoteText"/>
        <w:rPr>
          <w:rtl/>
        </w:rPr>
      </w:pPr>
      <w:r w:rsidRPr="00241B56">
        <w:rPr>
          <w:rStyle w:val="FootnoteReference"/>
        </w:rPr>
        <w:footnoteRef/>
      </w:r>
      <w:r w:rsidRPr="00A3461B">
        <w:rPr>
          <w:rtl/>
        </w:rPr>
        <w:t xml:space="preserve"> </w:t>
      </w:r>
      <w:r w:rsidRPr="00A3461B">
        <w:rPr>
          <w:rFonts w:hint="cs"/>
          <w:rtl/>
        </w:rPr>
        <w:t xml:space="preserve">ספר </w:t>
      </w:r>
      <w:r w:rsidRPr="00A3461B">
        <w:rPr>
          <w:rStyle w:val="a0"/>
          <w:rFonts w:hint="cs"/>
          <w:b w:val="0"/>
          <w:bCs w:val="0"/>
          <w:rtl/>
        </w:rPr>
        <w:t xml:space="preserve">הפיזיקה של אריסטו נקרא בעברית של ימי הביניים </w:t>
      </w:r>
      <w:r w:rsidR="00F055C8">
        <w:rPr>
          <w:rStyle w:val="a0"/>
          <w:b w:val="0"/>
          <w:bCs w:val="0"/>
          <w:rtl/>
        </w:rPr>
        <w:t>"</w:t>
      </w:r>
      <w:bookmarkStart w:id="6" w:name="_Hlk72055774"/>
      <w:r w:rsidR="00E45A27" w:rsidRPr="00E45A27">
        <w:rPr>
          <w:rStyle w:val="a0"/>
          <w:b w:val="0"/>
          <w:bCs w:val="0"/>
          <w:rtl/>
        </w:rPr>
        <w:t>הַשֶּׁמַע</w:t>
      </w:r>
      <w:bookmarkEnd w:id="6"/>
      <w:r w:rsidRPr="00A3461B">
        <w:rPr>
          <w:rStyle w:val="a0"/>
          <w:rFonts w:hint="cs"/>
          <w:b w:val="0"/>
          <w:bCs w:val="0"/>
          <w:rtl/>
        </w:rPr>
        <w:t xml:space="preserve"> הטבעי</w:t>
      </w:r>
      <w:r w:rsidR="00F055C8">
        <w:rPr>
          <w:rStyle w:val="a0"/>
          <w:b w:val="0"/>
          <w:bCs w:val="0"/>
          <w:rtl/>
        </w:rPr>
        <w:t>"</w:t>
      </w:r>
      <w:r w:rsidRPr="00A3461B">
        <w:rPr>
          <w:rStyle w:val="a0"/>
          <w:rFonts w:hint="cs"/>
          <w:b w:val="0"/>
          <w:bCs w:val="0"/>
          <w:rtl/>
        </w:rPr>
        <w:t xml:space="preserve">, תרגום מילולי מהמונח בערבית </w:t>
      </w:r>
      <w:r w:rsidRPr="00912054">
        <w:rPr>
          <w:rStyle w:val="a0"/>
          <w:rFonts w:ascii="Times New Roman" w:hAnsi="Times New Roman" w:cs="Times New Roman"/>
          <w:b w:val="0"/>
          <w:bCs w:val="0"/>
          <w:rtl/>
        </w:rPr>
        <w:t xml:space="preserve">السماع الطبيعي </w:t>
      </w:r>
      <w:r w:rsidRPr="00A3461B">
        <w:rPr>
          <w:rStyle w:val="a0"/>
          <w:rFonts w:hint="cs"/>
          <w:b w:val="0"/>
          <w:bCs w:val="0"/>
          <w:rtl/>
        </w:rPr>
        <w:t>שמשתמש בו אבן סינא כאן</w:t>
      </w:r>
      <w:r w:rsidR="000E472A">
        <w:rPr>
          <w:rStyle w:val="a0"/>
          <w:rFonts w:hint="cs"/>
          <w:b w:val="0"/>
          <w:bCs w:val="0"/>
          <w:rtl/>
        </w:rPr>
        <w:t>, שהוא תרגום</w:t>
      </w:r>
      <w:r w:rsidR="00132955">
        <w:rPr>
          <w:rStyle w:val="a0"/>
          <w:b w:val="0"/>
          <w:bCs w:val="0"/>
        </w:rPr>
        <w:t xml:space="preserve"> </w:t>
      </w:r>
      <w:r w:rsidR="000E472A">
        <w:rPr>
          <w:rStyle w:val="a0"/>
          <w:rFonts w:hint="cs"/>
          <w:b w:val="0"/>
          <w:bCs w:val="0"/>
          <w:rtl/>
        </w:rPr>
        <w:t xml:space="preserve">מילולי של המונח היווני </w:t>
      </w:r>
      <w:r w:rsidR="000E472A" w:rsidRPr="00912054">
        <w:rPr>
          <w:rStyle w:val="a0"/>
          <w:rFonts w:asciiTheme="majorBidi" w:hAnsiTheme="majorBidi" w:cstheme="majorBidi"/>
          <w:b w:val="0"/>
          <w:bCs w:val="0"/>
        </w:rPr>
        <w:t>physik</w:t>
      </w:r>
      <w:r w:rsidR="00132955" w:rsidRPr="00912054">
        <w:rPr>
          <w:rStyle w:val="a0"/>
          <w:rFonts w:asciiTheme="majorBidi" w:hAnsiTheme="majorBidi" w:cstheme="majorBidi"/>
          <w:b w:val="0"/>
          <w:bCs w:val="0"/>
        </w:rPr>
        <w:t>ê</w:t>
      </w:r>
      <w:r w:rsidR="000E472A" w:rsidRPr="00912054">
        <w:rPr>
          <w:rStyle w:val="a0"/>
          <w:rFonts w:asciiTheme="majorBidi" w:hAnsiTheme="majorBidi" w:cstheme="majorBidi"/>
          <w:b w:val="0"/>
          <w:bCs w:val="0"/>
        </w:rPr>
        <w:t xml:space="preserve"> akroasis</w:t>
      </w:r>
      <w:r w:rsidRPr="00A3461B">
        <w:rPr>
          <w:rStyle w:val="a0"/>
          <w:rFonts w:hint="cs"/>
          <w:b w:val="0"/>
          <w:bCs w:val="0"/>
          <w:rtl/>
        </w:rPr>
        <w:t>. העדפתי</w:t>
      </w:r>
      <w:r w:rsidRPr="00A3461B">
        <w:rPr>
          <w:rFonts w:hint="cs"/>
          <w:rtl/>
        </w:rPr>
        <w:t xml:space="preserve"> לנקוט במונח הזה ולא לכתוב 'פיזיקה', כי בזמננו המונח 'פיזיקה' משמעותו מדע שעוסק בטבע המציאות החומרית מנקודת מבט מטריאליסטית, שרואה את המציאות כחומר מת בלבד. לעומת זאת הפיזיקה אצל אריסטו היא חקירה שתכליתה לגלות מהתבוננות בטבע החומרי את הצורות המופשטות, האידיאות, שהן המציאות במובן הראשוני והעיקרי. גילוי הצורות המופשטות מובילה ליכולת להשיג צורות מופשטות גם ללא תיווך של השגתה חומרית, ומזה לתפישת האל המופשט, וזו תכלית העיסוק בפיזיקה. </w:t>
      </w:r>
    </w:p>
    <w:p w14:paraId="36FCC884" w14:textId="77777777" w:rsidR="004F1139" w:rsidRPr="00A3461B" w:rsidRDefault="004F1139" w:rsidP="00A3461B">
      <w:pPr>
        <w:pStyle w:val="FootnoteText"/>
        <w:rPr>
          <w:rtl/>
        </w:rPr>
      </w:pPr>
    </w:p>
    <w:p w14:paraId="56F2336F" w14:textId="5AC6C8CD" w:rsidR="004F1139" w:rsidRPr="00A3461B" w:rsidRDefault="004F1139" w:rsidP="00A3461B">
      <w:pPr>
        <w:pStyle w:val="FootnoteText"/>
        <w:rPr>
          <w:rtl/>
        </w:rPr>
      </w:pPr>
      <w:r w:rsidRPr="00A3461B">
        <w:rPr>
          <w:rFonts w:hint="cs"/>
          <w:rtl/>
        </w:rPr>
        <w:t>וכמו שכתב הרמב</w:t>
      </w:r>
      <w:r w:rsidR="00F055C8">
        <w:rPr>
          <w:rtl/>
        </w:rPr>
        <w:t>"</w:t>
      </w:r>
      <w:r w:rsidRPr="00A3461B">
        <w:rPr>
          <w:rFonts w:hint="cs"/>
          <w:rtl/>
        </w:rPr>
        <w:t>ם במשנה תורה הלכות יסודי התורה ד' ז':</w:t>
      </w:r>
    </w:p>
    <w:p w14:paraId="2C09E671" w14:textId="32BE1071" w:rsidR="004F1139" w:rsidRPr="00A3461B" w:rsidRDefault="00F055C8" w:rsidP="00A3461B">
      <w:pPr>
        <w:pStyle w:val="FootnoteText"/>
        <w:rPr>
          <w:rtl/>
        </w:rPr>
      </w:pPr>
      <w:r>
        <w:rPr>
          <w:rtl/>
        </w:rPr>
        <w:t>"</w:t>
      </w:r>
      <w:r w:rsidR="004F1139" w:rsidRPr="00A3461B">
        <w:rPr>
          <w:rtl/>
        </w:rPr>
        <w:t xml:space="preserve">לעולם אין אתה רואה גולם בלא צורה או צורה בלא גולם אלא לב האדם הוא שמחלק גוף הנמצא בדעתו ויודע שהוא מחובר מגולם וצורה </w:t>
      </w:r>
      <w:r w:rsidR="004F1139" w:rsidRPr="00A3461B">
        <w:rPr>
          <w:rFonts w:hint="cs"/>
          <w:rtl/>
        </w:rPr>
        <w:t>[...]</w:t>
      </w:r>
    </w:p>
    <w:p w14:paraId="536E78F6" w14:textId="769658B5" w:rsidR="004F1139" w:rsidRPr="00A3461B" w:rsidRDefault="004F1139" w:rsidP="00A3461B">
      <w:pPr>
        <w:pStyle w:val="FootnoteText"/>
        <w:rPr>
          <w:rtl/>
        </w:rPr>
      </w:pPr>
      <w:r w:rsidRPr="00A3461B">
        <w:rPr>
          <w:rtl/>
        </w:rPr>
        <w:t>והצורות שאין להם גולם אינן נראין לעין אלא בעין הלב הן ידועין כמו שידענו אדון הכל בלא ראיית עין.</w:t>
      </w:r>
      <w:r w:rsidR="00F055C8">
        <w:rPr>
          <w:rtl/>
        </w:rPr>
        <w:t>"</w:t>
      </w:r>
      <w:r w:rsidRPr="00A3461B">
        <w:rPr>
          <w:rFonts w:hint="cs"/>
          <w:rtl/>
        </w:rPr>
        <w:t xml:space="preserve"> </w:t>
      </w:r>
    </w:p>
    <w:p w14:paraId="4DF3919F" w14:textId="77777777" w:rsidR="004F1139" w:rsidRPr="00A3461B" w:rsidRDefault="004F1139" w:rsidP="00A3461B">
      <w:pPr>
        <w:pStyle w:val="FootnoteText"/>
        <w:rPr>
          <w:rtl/>
        </w:rPr>
      </w:pPr>
    </w:p>
    <w:p w14:paraId="756618A3" w14:textId="366B37AC" w:rsidR="004F1139" w:rsidRPr="00A3461B" w:rsidRDefault="00F055C8" w:rsidP="00A3461B">
      <w:pPr>
        <w:pStyle w:val="FootnoteText"/>
        <w:rPr>
          <w:rtl/>
        </w:rPr>
      </w:pPr>
      <w:r>
        <w:rPr>
          <w:rtl/>
        </w:rPr>
        <w:t>"</w:t>
      </w:r>
      <w:r w:rsidR="004F1139" w:rsidRPr="00A3461B">
        <w:rPr>
          <w:rFonts w:hint="cs"/>
          <w:rtl/>
        </w:rPr>
        <w:t>לעולם אין אתה רואה כו'</w:t>
      </w:r>
      <w:r>
        <w:rPr>
          <w:rtl/>
        </w:rPr>
        <w:t>"</w:t>
      </w:r>
      <w:r w:rsidR="004F1139" w:rsidRPr="00A3461B">
        <w:rPr>
          <w:rFonts w:hint="cs"/>
          <w:rtl/>
        </w:rPr>
        <w:t xml:space="preserve"> הוא הפיזיקה, מעשה בראשית. </w:t>
      </w:r>
    </w:p>
    <w:p w14:paraId="1F90EA8F" w14:textId="62A5C249" w:rsidR="004F1139" w:rsidRPr="00A3461B" w:rsidRDefault="00F055C8" w:rsidP="00A3461B">
      <w:pPr>
        <w:pStyle w:val="FootnoteText"/>
        <w:rPr>
          <w:rtl/>
        </w:rPr>
      </w:pPr>
      <w:r>
        <w:rPr>
          <w:rtl/>
        </w:rPr>
        <w:t>"</w:t>
      </w:r>
      <w:r w:rsidR="004F1139" w:rsidRPr="00A3461B">
        <w:rPr>
          <w:rFonts w:hint="cs"/>
          <w:rtl/>
        </w:rPr>
        <w:t>והצורות שאין להן גולם כו'</w:t>
      </w:r>
      <w:r>
        <w:rPr>
          <w:rtl/>
        </w:rPr>
        <w:t>"</w:t>
      </w:r>
      <w:r w:rsidR="004F1139" w:rsidRPr="00A3461B">
        <w:rPr>
          <w:rFonts w:hint="cs"/>
          <w:rtl/>
        </w:rPr>
        <w:t xml:space="preserve"> הוא המטאפיזיקה, מעשה מרכבה. </w:t>
      </w:r>
    </w:p>
    <w:p w14:paraId="211128B6" w14:textId="2CC2E091" w:rsidR="004F1139" w:rsidRPr="00A3461B" w:rsidRDefault="004F1139" w:rsidP="00A3461B">
      <w:pPr>
        <w:pStyle w:val="FootnoteText"/>
        <w:rPr>
          <w:rtl/>
        </w:rPr>
      </w:pPr>
      <w:r w:rsidRPr="00A3461B">
        <w:rPr>
          <w:rFonts w:hint="cs"/>
          <w:rtl/>
        </w:rPr>
        <w:t>על ההשגה הזו כתב במורה נבוכים א' א'</w:t>
      </w:r>
      <w:r w:rsidR="0098775D">
        <w:rPr>
          <w:rtl/>
        </w:rPr>
        <w:fldChar w:fldCharType="begin"/>
      </w:r>
      <w:r w:rsidR="0098775D">
        <w:instrText xml:space="preserve"> XE "</w:instrText>
      </w:r>
      <w:r w:rsidR="0098775D" w:rsidRPr="00BB3E3F">
        <w:rPr>
          <w:rFonts w:hint="cs"/>
          <w:rtl/>
        </w:rPr>
        <w:instrText>מורה נבוכים א' א'</w:instrText>
      </w:r>
      <w:r w:rsidR="0098775D">
        <w:instrText xml:space="preserve">" </w:instrText>
      </w:r>
      <w:r w:rsidR="0098775D">
        <w:rPr>
          <w:rtl/>
        </w:rPr>
        <w:fldChar w:fldCharType="end"/>
      </w:r>
      <w:r w:rsidRPr="00A3461B">
        <w:rPr>
          <w:rFonts w:hint="cs"/>
          <w:rtl/>
        </w:rPr>
        <w:t>:</w:t>
      </w:r>
    </w:p>
    <w:p w14:paraId="2BF6BBE8" w14:textId="6836BF2F" w:rsidR="004F1139" w:rsidRPr="00A3461B" w:rsidRDefault="00F055C8" w:rsidP="00A3461B">
      <w:pPr>
        <w:pStyle w:val="FootnoteText"/>
        <w:rPr>
          <w:rtl/>
        </w:rPr>
      </w:pPr>
      <w:r>
        <w:rPr>
          <w:rtl/>
        </w:rPr>
        <w:t>"</w:t>
      </w:r>
      <w:r w:rsidR="004F1139" w:rsidRPr="00A3461B">
        <w:rPr>
          <w:rtl/>
        </w:rPr>
        <w:t>וכאשר ייוחד האדם בעניין שהוא זר בו מאד, מה שאין כן בדבר מן הנמצאות מתחת גלגל הירח, והוא ההשגה השכלית אשר לא ישתמש בו חוש ולא מעשה גוף ולא יד ולא רגל, דמה אותה בהשגת הבורא אשר אינה בכלי</w:t>
      </w:r>
      <w:r w:rsidR="004F1139" w:rsidRPr="00A3461B">
        <w:rPr>
          <w:rFonts w:hint="cs"/>
          <w:rtl/>
        </w:rPr>
        <w:t xml:space="preserve"> כו'</w:t>
      </w:r>
      <w:r>
        <w:rPr>
          <w:rtl/>
        </w:rPr>
        <w:t>"</w:t>
      </w:r>
      <w:r w:rsidR="004F1139" w:rsidRPr="00A3461B">
        <w:rPr>
          <w:rFonts w:hint="cs"/>
          <w:rtl/>
        </w:rPr>
        <w:t xml:space="preserve"> השגת הבורא אינה צריכה שום תיווך של השגת חוש וכך גם ההשגה של השכל המופשט של האדם שהיא המטאפיזיקה. </w:t>
      </w:r>
    </w:p>
    <w:p w14:paraId="10900944" w14:textId="77777777" w:rsidR="004F1139" w:rsidRPr="00A3461B" w:rsidRDefault="004F1139" w:rsidP="00A3461B">
      <w:pPr>
        <w:pStyle w:val="FootnoteText"/>
      </w:pPr>
    </w:p>
    <w:p w14:paraId="727BC558" w14:textId="24DF950D" w:rsidR="004F1139" w:rsidRPr="00A3461B" w:rsidRDefault="004F1139" w:rsidP="00A3461B">
      <w:pPr>
        <w:pStyle w:val="FootnoteText"/>
        <w:rPr>
          <w:rtl/>
        </w:rPr>
      </w:pPr>
      <w:r w:rsidRPr="00A3461B">
        <w:rPr>
          <w:rFonts w:hint="cs"/>
          <w:rtl/>
        </w:rPr>
        <w:t>הרמב</w:t>
      </w:r>
      <w:r w:rsidR="00F055C8">
        <w:rPr>
          <w:rtl/>
        </w:rPr>
        <w:t>"</w:t>
      </w:r>
      <w:r w:rsidRPr="00A3461B">
        <w:rPr>
          <w:rFonts w:hint="cs"/>
          <w:rtl/>
        </w:rPr>
        <w:t>ם כתב בפתיחת המורה נבוכים ובעוד מקומות ש</w:t>
      </w:r>
      <w:r w:rsidR="00F055C8">
        <w:rPr>
          <w:rtl/>
        </w:rPr>
        <w:t>"</w:t>
      </w:r>
      <w:r w:rsidRPr="00A3461B">
        <w:rPr>
          <w:rFonts w:hint="cs"/>
          <w:rtl/>
        </w:rPr>
        <w:t>מעשה בראשית</w:t>
      </w:r>
      <w:r w:rsidR="00F055C8">
        <w:rPr>
          <w:rtl/>
        </w:rPr>
        <w:t>"</w:t>
      </w:r>
      <w:r w:rsidRPr="00A3461B">
        <w:rPr>
          <w:rFonts w:hint="cs"/>
          <w:rtl/>
        </w:rPr>
        <w:t xml:space="preserve"> ו</w:t>
      </w:r>
      <w:r w:rsidR="00F055C8">
        <w:rPr>
          <w:rtl/>
        </w:rPr>
        <w:t>"</w:t>
      </w:r>
      <w:r w:rsidRPr="00A3461B">
        <w:rPr>
          <w:rFonts w:hint="cs"/>
          <w:rtl/>
        </w:rPr>
        <w:t>מעשה מרכבה</w:t>
      </w:r>
      <w:r w:rsidR="00F055C8">
        <w:rPr>
          <w:rtl/>
        </w:rPr>
        <w:t>"</w:t>
      </w:r>
      <w:r w:rsidRPr="00A3461B">
        <w:rPr>
          <w:rFonts w:hint="cs"/>
          <w:rtl/>
        </w:rPr>
        <w:t xml:space="preserve"> הנזכרים במשנה במסכת חגיגה ב' א', היינו תורת הסוד האלוהית לפי פרשנות הרמב</w:t>
      </w:r>
      <w:r w:rsidR="00F055C8">
        <w:rPr>
          <w:rtl/>
        </w:rPr>
        <w:t>"</w:t>
      </w:r>
      <w:r w:rsidRPr="00A3461B">
        <w:rPr>
          <w:rFonts w:hint="cs"/>
          <w:rtl/>
        </w:rPr>
        <w:t xml:space="preserve">ם למונחים אלה, הם ספר הפיזיקה וספר המטאפיזיקה של אריסטו. </w:t>
      </w:r>
    </w:p>
    <w:p w14:paraId="63BEF516" w14:textId="2FCD34B2" w:rsidR="004F1139" w:rsidRPr="00A3461B" w:rsidRDefault="004F1139" w:rsidP="00A3461B">
      <w:pPr>
        <w:pStyle w:val="FootnoteText"/>
        <w:rPr>
          <w:rtl/>
        </w:rPr>
      </w:pPr>
    </w:p>
    <w:p w14:paraId="41235B33" w14:textId="6E87B389" w:rsidR="004F1139" w:rsidRPr="00A3461B" w:rsidRDefault="004F1139" w:rsidP="00A3461B">
      <w:pPr>
        <w:pStyle w:val="FootnoteText"/>
        <w:rPr>
          <w:rtl/>
        </w:rPr>
      </w:pPr>
      <w:r w:rsidRPr="00A3461B">
        <w:rPr>
          <w:rFonts w:hint="cs"/>
          <w:rtl/>
        </w:rPr>
        <w:t>צורות הן נפש חיה, ואצל אריסטו כמו שאין גוף חומרי ללא צורה כך אין שום גוף חומרי ללא חיים (מה שכתבו אריסטו והרמב</w:t>
      </w:r>
      <w:r w:rsidR="00F055C8">
        <w:rPr>
          <w:rtl/>
        </w:rPr>
        <w:t>"</w:t>
      </w:r>
      <w:r w:rsidRPr="00A3461B">
        <w:rPr>
          <w:rFonts w:hint="cs"/>
          <w:rtl/>
        </w:rPr>
        <w:t>ם שהדוממים מתים הכוונה שאין להם הגדרות של חי כמו תנועה עצמית, תזונה או גדילה. גם לצומח אין הגדרות של חי ועדיין אינו חומר חסר חיים לחלוטין). וכמו שמבואר במו</w:t>
      </w:r>
      <w:r w:rsidR="00F055C8">
        <w:rPr>
          <w:rtl/>
        </w:rPr>
        <w:t>"</w:t>
      </w:r>
      <w:r w:rsidRPr="00A3461B">
        <w:rPr>
          <w:rFonts w:hint="cs"/>
          <w:rtl/>
        </w:rPr>
        <w:t>נ א' ע</w:t>
      </w:r>
      <w:r w:rsidR="00F055C8">
        <w:rPr>
          <w:rtl/>
        </w:rPr>
        <w:t>"</w:t>
      </w:r>
      <w:r w:rsidRPr="00A3461B">
        <w:rPr>
          <w:rFonts w:hint="cs"/>
          <w:rtl/>
        </w:rPr>
        <w:t xml:space="preserve">ב, ובמאמר על החשק פרק ב' (שתרגמתי ובארתי כנספח לספר </w:t>
      </w:r>
      <w:bookmarkStart w:id="7" w:name="_Hlk98130006"/>
      <w:r w:rsidR="00880570">
        <w:fldChar w:fldCharType="begin"/>
      </w:r>
      <w:r w:rsidR="00880570">
        <w:instrText xml:space="preserve"> HYPERLINK "https://nirstern.files.wordpress.com/2021/01/d794d7a8d79ed799d796d795d7aa-d795d794d794d7a2d7a8d795d7aa-.pdf" </w:instrText>
      </w:r>
      <w:r w:rsidR="00880570">
        <w:fldChar w:fldCharType="separate"/>
      </w:r>
      <w:r w:rsidRPr="00352619">
        <w:rPr>
          <w:rStyle w:val="Hyperlink"/>
          <w:rFonts w:hint="cs"/>
          <w:rtl/>
        </w:rPr>
        <w:t>הרמיזות וההערות</w:t>
      </w:r>
      <w:r w:rsidR="00880570">
        <w:rPr>
          <w:rStyle w:val="Hyperlink"/>
        </w:rPr>
        <w:fldChar w:fldCharType="end"/>
      </w:r>
      <w:bookmarkEnd w:id="7"/>
      <w:r w:rsidRPr="00A3461B">
        <w:rPr>
          <w:rFonts w:hint="cs"/>
          <w:rtl/>
        </w:rPr>
        <w:t>). לכן גופים חומריים נעים לתכלית מסויימת, וסיבת תנועתם היא רצון לנוע, וכיו</w:t>
      </w:r>
      <w:r w:rsidR="00F055C8">
        <w:rPr>
          <w:rtl/>
        </w:rPr>
        <w:t>"</w:t>
      </w:r>
      <w:r w:rsidRPr="00A3461B">
        <w:rPr>
          <w:rFonts w:hint="cs"/>
          <w:rtl/>
        </w:rPr>
        <w:t xml:space="preserve">ב. דברים שאין להם מקום כלל במדע הטבע המודרני המטריאליסטי. כדי למנוע טעות העדפתי להימנע ככל האפשר מלהשתמש בשם היווני </w:t>
      </w:r>
      <w:r w:rsidR="00F055C8">
        <w:rPr>
          <w:rtl/>
        </w:rPr>
        <w:t>"</w:t>
      </w:r>
      <w:r w:rsidRPr="00A3461B">
        <w:rPr>
          <w:rFonts w:hint="cs"/>
          <w:rtl/>
        </w:rPr>
        <w:t>פיזיקה</w:t>
      </w:r>
      <w:r w:rsidR="00F055C8">
        <w:rPr>
          <w:rtl/>
        </w:rPr>
        <w:t>"</w:t>
      </w:r>
      <w:r w:rsidRPr="00A3461B">
        <w:rPr>
          <w:rFonts w:hint="cs"/>
        </w:rPr>
        <w:t xml:space="preserve"> </w:t>
      </w:r>
      <w:r w:rsidRPr="00A3461B">
        <w:rPr>
          <w:rFonts w:hint="cs"/>
          <w:rtl/>
        </w:rPr>
        <w:t xml:space="preserve">לגבי הספר של אריסטו, והעדפתי את המונח הערבי השמע הטבעי. הספר מטאפיזיקה של אריסטו נקרא על ידי אריסטו עצמו התיאולוגיה וענף הידע המדובר בו נקרא בפי אריסטו הפילוסופיה הראשונה, ובלשון ימי הביניים </w:t>
      </w:r>
      <w:r w:rsidR="00F055C8">
        <w:rPr>
          <w:rtl/>
        </w:rPr>
        <w:t>"</w:t>
      </w:r>
      <w:r w:rsidRPr="00A3461B">
        <w:rPr>
          <w:rFonts w:hint="cs"/>
          <w:rtl/>
        </w:rPr>
        <w:t>חכמת האלוהות</w:t>
      </w:r>
      <w:r w:rsidR="00F055C8">
        <w:rPr>
          <w:rtl/>
        </w:rPr>
        <w:t>"</w:t>
      </w:r>
      <w:r w:rsidRPr="00A3461B">
        <w:rPr>
          <w:rFonts w:hint="cs"/>
          <w:rtl/>
        </w:rPr>
        <w:t xml:space="preserve">. </w:t>
      </w:r>
    </w:p>
    <w:p w14:paraId="6F2FAB13" w14:textId="12C2D963" w:rsidR="004F1139" w:rsidRPr="00A3461B" w:rsidRDefault="004F1139" w:rsidP="00A3461B">
      <w:pPr>
        <w:pStyle w:val="FootnoteText"/>
        <w:rPr>
          <w:rtl/>
        </w:rPr>
      </w:pPr>
    </w:p>
    <w:p w14:paraId="087791C7" w14:textId="720EDB61" w:rsidR="004F1139" w:rsidRPr="00A3461B" w:rsidRDefault="004F1139" w:rsidP="00A3461B">
      <w:pPr>
        <w:pStyle w:val="FootnoteText"/>
        <w:rPr>
          <w:rtl/>
        </w:rPr>
      </w:pPr>
      <w:r w:rsidRPr="00A3461B">
        <w:rPr>
          <w:rFonts w:hint="cs"/>
          <w:rtl/>
        </w:rPr>
        <w:t>הרמב</w:t>
      </w:r>
      <w:r w:rsidR="00F055C8">
        <w:rPr>
          <w:rtl/>
        </w:rPr>
        <w:t>"</w:t>
      </w:r>
      <w:r w:rsidRPr="00A3461B">
        <w:rPr>
          <w:rFonts w:hint="cs"/>
          <w:rtl/>
        </w:rPr>
        <w:t>ם במשנה תורה הלכות יסודי התורה ב' א' כתב על מדע הפיזיקה של אריסטו:</w:t>
      </w:r>
    </w:p>
    <w:p w14:paraId="1D53AFF8" w14:textId="6165720A" w:rsidR="004F1139" w:rsidRPr="00A3461B" w:rsidRDefault="00F055C8" w:rsidP="00A3461B">
      <w:pPr>
        <w:pStyle w:val="FootnoteText"/>
        <w:rPr>
          <w:rtl/>
        </w:rPr>
      </w:pPr>
      <w:r>
        <w:rPr>
          <w:rtl/>
        </w:rPr>
        <w:t>"</w:t>
      </w:r>
      <w:r w:rsidR="004F1139" w:rsidRPr="00A3461B">
        <w:rPr>
          <w:rtl/>
        </w:rPr>
        <w:t>האל הנכבד והנורא הזה</w:t>
      </w:r>
      <w:r w:rsidR="004F1139" w:rsidRPr="00A3461B">
        <w:rPr>
          <w:rFonts w:hint="cs"/>
          <w:rtl/>
        </w:rPr>
        <w:t xml:space="preserve"> </w:t>
      </w:r>
      <w:r w:rsidR="004F1139" w:rsidRPr="00A3461B">
        <w:rPr>
          <w:rtl/>
        </w:rPr>
        <w:t xml:space="preserve">מצוה לאוהבו וליראה ממנו, שנאמר: </w:t>
      </w:r>
      <w:r>
        <w:rPr>
          <w:rtl/>
        </w:rPr>
        <w:t>"</w:t>
      </w:r>
      <w:r w:rsidR="004F1139" w:rsidRPr="00A3461B">
        <w:rPr>
          <w:rtl/>
        </w:rPr>
        <w:t>ואהבת את ה' אלוהיך</w:t>
      </w:r>
      <w:r>
        <w:rPr>
          <w:rtl/>
        </w:rPr>
        <w:t>"</w:t>
      </w:r>
      <w:r w:rsidR="004F1139" w:rsidRPr="00A3461B">
        <w:rPr>
          <w:rtl/>
        </w:rPr>
        <w:t xml:space="preserve"> (דברים ו ה; דברים יא א), ונאמר: </w:t>
      </w:r>
      <w:r>
        <w:rPr>
          <w:rtl/>
        </w:rPr>
        <w:t>"</w:t>
      </w:r>
      <w:r w:rsidR="004F1139" w:rsidRPr="00A3461B">
        <w:rPr>
          <w:rtl/>
        </w:rPr>
        <w:t>את ה' אלוהיך תירא</w:t>
      </w:r>
      <w:r>
        <w:rPr>
          <w:rtl/>
        </w:rPr>
        <w:t>"</w:t>
      </w:r>
      <w:r w:rsidR="004F1139" w:rsidRPr="00A3461B">
        <w:rPr>
          <w:rtl/>
        </w:rPr>
        <w:t xml:space="preserve"> (דברים ו יג; דברים י כ).</w:t>
      </w:r>
      <w:bookmarkStart w:id="8" w:name="_Hlk97456011"/>
      <w:r w:rsidR="004F1139" w:rsidRPr="00A3461B">
        <w:rPr>
          <w:rtl/>
        </w:rPr>
        <w:t xml:space="preserve"> והיאך היא הדרך לאהבתו ויראתו? בשעה שיתבונן האדם במעשיו וברואיו הנפלאים הגדולים, ויראה מהם חכמתו שאין לה ערך ולא קץ</w:t>
      </w:r>
      <w:bookmarkEnd w:id="8"/>
      <w:r w:rsidR="004F1139" w:rsidRPr="00A3461B">
        <w:rPr>
          <w:rtl/>
        </w:rPr>
        <w:t xml:space="preserve">, מיד הוא אוהב ומשבח ומפאר ומתאווה תאווה גדולה לידע השם הגדול, כמו שאמר דוד: </w:t>
      </w:r>
      <w:r>
        <w:rPr>
          <w:rtl/>
        </w:rPr>
        <w:t>"</w:t>
      </w:r>
      <w:r w:rsidR="004F1139" w:rsidRPr="00A3461B">
        <w:rPr>
          <w:rtl/>
        </w:rPr>
        <w:t>צמאה נפשי לאלוהים לאל חי</w:t>
      </w:r>
      <w:r>
        <w:rPr>
          <w:rtl/>
        </w:rPr>
        <w:t>"</w:t>
      </w:r>
      <w:r w:rsidR="004F1139" w:rsidRPr="00A3461B">
        <w:rPr>
          <w:rtl/>
        </w:rPr>
        <w:t xml:space="preserve"> (תהלים מב ג).</w:t>
      </w:r>
    </w:p>
    <w:p w14:paraId="2E928C72" w14:textId="77777777" w:rsidR="004F1139" w:rsidRPr="00A3461B" w:rsidRDefault="004F1139" w:rsidP="00A3461B">
      <w:pPr>
        <w:pStyle w:val="FootnoteText"/>
        <w:rPr>
          <w:rtl/>
        </w:rPr>
      </w:pPr>
    </w:p>
    <w:p w14:paraId="4722B29A" w14:textId="77777777" w:rsidR="004F1139" w:rsidRPr="00A3461B" w:rsidRDefault="004F1139" w:rsidP="00A3461B">
      <w:pPr>
        <w:pStyle w:val="FootnoteText"/>
        <w:rPr>
          <w:rtl/>
        </w:rPr>
      </w:pPr>
      <w:r w:rsidRPr="00A3461B">
        <w:rPr>
          <w:rtl/>
        </w:rPr>
        <w:t>הלכה ב</w:t>
      </w:r>
    </w:p>
    <w:p w14:paraId="192A98D6" w14:textId="653A6A2E" w:rsidR="004F1139" w:rsidRPr="00A3461B" w:rsidRDefault="004F1139" w:rsidP="00A3461B">
      <w:pPr>
        <w:pStyle w:val="FootnoteText"/>
        <w:rPr>
          <w:rtl/>
        </w:rPr>
      </w:pPr>
      <w:r w:rsidRPr="00A3461B">
        <w:rPr>
          <w:rtl/>
        </w:rPr>
        <w:t xml:space="preserve">וכשמחשב בדברים האלו עצמן, מיד הוא נרתע לאחוריו, ויירא ויפחד ויידע שהוא בריה קטנה שפלה אפלה, עומד בדעת קלה מעוטה לפני תמים דעות, כמו שאמר דוד: </w:t>
      </w:r>
      <w:r w:rsidR="00F055C8">
        <w:rPr>
          <w:rtl/>
        </w:rPr>
        <w:t>"</w:t>
      </w:r>
      <w:r w:rsidRPr="00A3461B">
        <w:rPr>
          <w:rtl/>
        </w:rPr>
        <w:t>כי אראה שמיך... מה אנוש כי תזכרנו</w:t>
      </w:r>
      <w:r w:rsidR="00F055C8">
        <w:rPr>
          <w:rtl/>
        </w:rPr>
        <w:t>"</w:t>
      </w:r>
      <w:r w:rsidRPr="00A3461B">
        <w:rPr>
          <w:rtl/>
        </w:rPr>
        <w:t xml:space="preserve"> (תהלים ח ד-ה). ולפי הדברים האלו אני מבאר כללים גדולים ממעשה ריבון העולמים, כדי שיהיו פתח למבין לאהוב את השם, כמו שאמרו חכמים בעניין אהבה, שמתוך כך אתה מכיר את מי שאמר והיה העולם.</w:t>
      </w:r>
    </w:p>
    <w:p w14:paraId="123609E2" w14:textId="77777777" w:rsidR="004F1139" w:rsidRPr="00A3461B" w:rsidRDefault="004F1139" w:rsidP="00A3461B">
      <w:pPr>
        <w:pStyle w:val="FootnoteText"/>
        <w:rPr>
          <w:rtl/>
        </w:rPr>
      </w:pPr>
    </w:p>
    <w:p w14:paraId="3E25E929" w14:textId="77777777" w:rsidR="004F1139" w:rsidRPr="00A3461B" w:rsidRDefault="004F1139" w:rsidP="00A3461B">
      <w:pPr>
        <w:pStyle w:val="FootnoteText"/>
        <w:rPr>
          <w:rtl/>
        </w:rPr>
      </w:pPr>
      <w:r w:rsidRPr="00A3461B">
        <w:rPr>
          <w:rtl/>
        </w:rPr>
        <w:t>הלכה ג</w:t>
      </w:r>
    </w:p>
    <w:p w14:paraId="6B4280AD" w14:textId="14A92478" w:rsidR="004F1139" w:rsidRPr="00A3461B" w:rsidRDefault="004F1139" w:rsidP="00A3461B">
      <w:pPr>
        <w:pStyle w:val="FootnoteText"/>
        <w:rPr>
          <w:rtl/>
        </w:rPr>
      </w:pPr>
      <w:r w:rsidRPr="00A3461B">
        <w:rPr>
          <w:rtl/>
        </w:rPr>
        <w:t>כל מה שברא הקדוש ברוך הוא בעולמו, נחלק לשלושה חלקים: מהם ברואים שהם מחוברים מגולם וצורה</w:t>
      </w:r>
      <w:r w:rsidRPr="00A3461B">
        <w:rPr>
          <w:rFonts w:hint="cs"/>
          <w:rtl/>
        </w:rPr>
        <w:t xml:space="preserve"> </w:t>
      </w:r>
      <w:r w:rsidRPr="00A3461B">
        <w:rPr>
          <w:rtl/>
        </w:rPr>
        <w:t>והם נהווים ונפסדים תמיד, כמו גופות האדם והבהמה והצמחים והמתכות. ומהם ברואים שהם מחוברים מגולם וצורה, אבל אינם משתנים מגוף לגוף ומצורה לצורה כמו הראשונים, אלא צורתם קבועה בגולמם לעולם, ואינם משתנים כמו אלו</w:t>
      </w:r>
      <w:r w:rsidRPr="00A3461B">
        <w:rPr>
          <w:rFonts w:hint="cs"/>
          <w:rtl/>
        </w:rPr>
        <w:t xml:space="preserve"> - </w:t>
      </w:r>
      <w:r w:rsidRPr="00A3461B">
        <w:rPr>
          <w:rtl/>
        </w:rPr>
        <w:t xml:space="preserve">והם הגלגלים והכוכבים שבהן, ואין גולמם כשאר גלמים ולא צורתם כשאר צורות. ומהן ברואים צורה בלא גולם כלל </w:t>
      </w:r>
      <w:r w:rsidRPr="00A3461B">
        <w:rPr>
          <w:rFonts w:hint="cs"/>
          <w:rtl/>
        </w:rPr>
        <w:t>-</w:t>
      </w:r>
      <w:r w:rsidRPr="00A3461B">
        <w:rPr>
          <w:rtl/>
        </w:rPr>
        <w:t xml:space="preserve"> והם המלאכים, שהמלאכים אינם גוף וגווייה, אלא צורות נפרדות זו מזו.</w:t>
      </w:r>
      <w:r w:rsidR="00F055C8">
        <w:rPr>
          <w:rtl/>
        </w:rPr>
        <w:t>"</w:t>
      </w:r>
    </w:p>
    <w:p w14:paraId="55F3AD85" w14:textId="005499D1" w:rsidR="004F1139" w:rsidRPr="00A3461B" w:rsidRDefault="004F1139" w:rsidP="00A3461B">
      <w:pPr>
        <w:pStyle w:val="FootnoteText"/>
        <w:rPr>
          <w:rtl/>
        </w:rPr>
      </w:pPr>
    </w:p>
    <w:p w14:paraId="39232E44" w14:textId="77777777" w:rsidR="004F1139" w:rsidRPr="00A3461B" w:rsidRDefault="004F1139" w:rsidP="00A3461B">
      <w:pPr>
        <w:pStyle w:val="FootnoteText"/>
        <w:rPr>
          <w:rtl/>
        </w:rPr>
      </w:pPr>
      <w:r w:rsidRPr="00A3461B">
        <w:rPr>
          <w:rFonts w:hint="cs"/>
          <w:rtl/>
        </w:rPr>
        <w:t xml:space="preserve">המלאכים הם השכלים הנפרדים כמו שכתב במורה נבוכים ב' ו', ואותם האדם משיג בשכל מופשט שאינו מסתמך כלל על תפישת חוש, דהיינו מטאפיזיקה. הגופים הארציים והשמיימיים מושגים בשכל שרואה חומר וצורה ביחד ולב האדם מחלק אותם ומשיג מהם את הצורה המופשטת. זה מעשה בראשית, הפיזיקה, שממנו האדם לומד להשיג צורות מופשטות אחרי שהפשיט אותן מהגוף החומרי ומזה מגיע להשגת צורות מופשטות באופן בלתי אמצעי, בלא צורך להפשיט אותן מגוף חומרי. </w:t>
      </w:r>
    </w:p>
    <w:p w14:paraId="4EEDC016" w14:textId="77777777" w:rsidR="004F1139" w:rsidRPr="00A3461B" w:rsidRDefault="004F1139" w:rsidP="00A3461B">
      <w:pPr>
        <w:pStyle w:val="FootnoteText"/>
        <w:rPr>
          <w:rtl/>
        </w:rPr>
      </w:pPr>
    </w:p>
    <w:p w14:paraId="17B14E7F" w14:textId="7A001F25" w:rsidR="004F1139" w:rsidRPr="00A3461B" w:rsidRDefault="004F1139" w:rsidP="00A3461B">
      <w:pPr>
        <w:pStyle w:val="FootnoteText"/>
        <w:rPr>
          <w:rtl/>
        </w:rPr>
      </w:pPr>
      <w:r w:rsidRPr="00A3461B">
        <w:rPr>
          <w:rFonts w:hint="cs"/>
          <w:rtl/>
        </w:rPr>
        <w:t>באגרת תחיית המתים כתב הרמב</w:t>
      </w:r>
      <w:r w:rsidR="00F055C8">
        <w:rPr>
          <w:rtl/>
        </w:rPr>
        <w:t>"</w:t>
      </w:r>
      <w:r w:rsidRPr="00A3461B">
        <w:rPr>
          <w:rFonts w:hint="cs"/>
          <w:rtl/>
        </w:rPr>
        <w:t>ם:</w:t>
      </w:r>
    </w:p>
    <w:p w14:paraId="6A4AA554" w14:textId="4A90C421" w:rsidR="004F1139" w:rsidRPr="00A3461B" w:rsidRDefault="00F055C8" w:rsidP="00A3461B">
      <w:pPr>
        <w:pStyle w:val="FootnoteText"/>
        <w:rPr>
          <w:rtl/>
        </w:rPr>
      </w:pPr>
      <w:r>
        <w:rPr>
          <w:rtl/>
        </w:rPr>
        <w:t>"</w:t>
      </w:r>
      <w:r w:rsidR="004F1139" w:rsidRPr="00A3461B">
        <w:rPr>
          <w:rtl/>
        </w:rPr>
        <w:t xml:space="preserve">מה שיעלה בדמיון ההמון אשר לא יאמינו שיש מציאות חזקה רק לגוף ומה שאינו גוף אבל הוא בגוף, רצה לומר כמקרים הוא גם כן נמצא אצלם אבל אין חזקתו במציאותו כחוזק הגוף. ואולם מה שאינו גוף ולא מקרה בגוף אינו נמצא אצל הסכלים אשר הם בלא ספק, אף על פי שהזקינו, גמולי מחלב עתיקי משדים, ומפני זה יאמינו רובם שהשם גוף אצלם, שאם לא יהיה גוף אינו נמצא. ואמנם הנקראים חכמים באמת, לא על דרך העברה, הנה התבאר אצלם, שכל נבדל מן החומר הוא יותר חזק המציאות מבעל החומר, ואין ראוי לומר יותר חזק, אבל מציאות הנבדל יותר אמתית, מפני שלא ישיגהו אחד מאופני השנוי, והם אשר התבאר אצלם במופת שהשם אינו גוף, ומפני זה מדרגת מציאותו יתעלה בתכלית החזוק. וכן כל נברא נבדל, רוצה לומר המלאכים והשכל, הוא במציאותו חזק מאד, קיים יותר מכל גוף,  ומפני זה נאמין אנחנו שהמלאכים אינם גופות, ושבני העולם הבא נפשות נבדלות, רוצה לומר דעות. וכבר בארנו ראיות מן התורה על זה במאמרנו המכונה </w:t>
      </w:r>
      <w:r>
        <w:rPr>
          <w:rtl/>
        </w:rPr>
        <w:t>"</w:t>
      </w:r>
      <w:r w:rsidR="004F1139" w:rsidRPr="00A3461B">
        <w:rPr>
          <w:rtl/>
        </w:rPr>
        <w:t>מורה הנבוכים</w:t>
      </w:r>
      <w:r>
        <w:rPr>
          <w:rtl/>
        </w:rPr>
        <w:t>"</w:t>
      </w:r>
      <w:r w:rsidR="004F1139" w:rsidRPr="00A3461B">
        <w:rPr>
          <w:rtl/>
        </w:rPr>
        <w:t>.</w:t>
      </w:r>
      <w:r>
        <w:rPr>
          <w:rtl/>
        </w:rPr>
        <w:t>"</w:t>
      </w:r>
      <w:r w:rsidR="004F1139" w:rsidRPr="00A3461B">
        <w:rPr>
          <w:rFonts w:hint="cs"/>
          <w:rtl/>
        </w:rPr>
        <w:t xml:space="preserve"> (עיין עוד כעין זה גם במו</w:t>
      </w:r>
      <w:r>
        <w:rPr>
          <w:rtl/>
        </w:rPr>
        <w:t>"</w:t>
      </w:r>
      <w:r w:rsidR="004F1139" w:rsidRPr="00A3461B">
        <w:rPr>
          <w:rFonts w:hint="cs"/>
          <w:rtl/>
        </w:rPr>
        <w:t>נ א' כ</w:t>
      </w:r>
      <w:r>
        <w:rPr>
          <w:rtl/>
        </w:rPr>
        <w:t>"</w:t>
      </w:r>
      <w:r w:rsidR="004F1139" w:rsidRPr="00A3461B">
        <w:rPr>
          <w:rFonts w:hint="cs"/>
          <w:rtl/>
        </w:rPr>
        <w:t>ו ושם א' מ</w:t>
      </w:r>
      <w:r>
        <w:rPr>
          <w:rtl/>
        </w:rPr>
        <w:t>"</w:t>
      </w:r>
      <w:r w:rsidR="004F1139" w:rsidRPr="00A3461B">
        <w:rPr>
          <w:rFonts w:hint="cs"/>
          <w:rtl/>
        </w:rPr>
        <w:t>ט)</w:t>
      </w:r>
    </w:p>
    <w:p w14:paraId="1A6CF940" w14:textId="60E9EC91" w:rsidR="004F1139" w:rsidRPr="00A3461B" w:rsidRDefault="004F1139" w:rsidP="00A3461B">
      <w:pPr>
        <w:pStyle w:val="FootnoteText"/>
        <w:rPr>
          <w:rtl/>
        </w:rPr>
      </w:pPr>
      <w:r w:rsidRPr="00A3461B">
        <w:rPr>
          <w:rFonts w:hint="cs"/>
          <w:rtl/>
        </w:rPr>
        <w:t xml:space="preserve">תפישת אריסטו את המציאות היא תפישה אידיאליסטית, המציאות בעיקרה ואמיתתה היא המופשט, והחומרי הוא רק כעין צל של המופשט שאין לו מציאות מכח עצמו. זה היפך גמור של תפישת המדע המערבי מאז דיקארט ניוטון וחבריהם שתפישתם היתה מטריאליסטית, כלומר שעיקר המציאות הוא החומר. </w:t>
      </w:r>
    </w:p>
    <w:p w14:paraId="1CD0A3EC" w14:textId="77777777" w:rsidR="004F1139" w:rsidRPr="00A3461B" w:rsidRDefault="004F1139" w:rsidP="00A3461B">
      <w:pPr>
        <w:pStyle w:val="FootnoteText"/>
        <w:rPr>
          <w:rtl/>
        </w:rPr>
      </w:pPr>
    </w:p>
    <w:p w14:paraId="581A6A94" w14:textId="7DF70AC0" w:rsidR="004F1139" w:rsidRPr="00A3461B" w:rsidRDefault="004F1139" w:rsidP="00A3461B">
      <w:pPr>
        <w:pStyle w:val="FootnoteText"/>
      </w:pPr>
      <w:r w:rsidRPr="00A3461B">
        <w:rPr>
          <w:rFonts w:hint="cs"/>
          <w:rtl/>
        </w:rPr>
        <w:t xml:space="preserve">הארכתי כדי להראות שהפיזיקה במובן האריסטוטלי אין לה מאומה עם מה שבזמנים המודרניים מכנים מדע הפיזיקה. זו לא אותה דיסציפלינה כלל. אצל אריסטו לא עלה על הדעת כלל שיהיה חומר מת לגמרי, ולכן מבחינתו לא יתכן שיתקיים מדע הפיזיקה המודרני שעוסק בחומר כזה.   </w:t>
      </w:r>
    </w:p>
  </w:footnote>
  <w:footnote w:id="7">
    <w:p w14:paraId="59C807ED" w14:textId="4E8D8DCB"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 xml:space="preserve">אריסטו ותלמידיו נקראו </w:t>
      </w:r>
      <w:r w:rsidR="00F055C8">
        <w:rPr>
          <w:rtl/>
        </w:rPr>
        <w:t>"</w:t>
      </w:r>
      <w:r w:rsidRPr="00A3461B">
        <w:rPr>
          <w:rFonts w:hint="cs"/>
          <w:rtl/>
        </w:rPr>
        <w:t>המהלכים</w:t>
      </w:r>
      <w:r w:rsidR="00F055C8">
        <w:rPr>
          <w:rtl/>
        </w:rPr>
        <w:t>"</w:t>
      </w:r>
      <w:r w:rsidRPr="00A3461B">
        <w:rPr>
          <w:rFonts w:hint="cs"/>
          <w:rtl/>
        </w:rPr>
        <w:t xml:space="preserve"> (או </w:t>
      </w:r>
      <w:r w:rsidR="00F055C8">
        <w:rPr>
          <w:rtl/>
        </w:rPr>
        <w:t>"</w:t>
      </w:r>
      <w:r w:rsidRPr="00A3461B">
        <w:rPr>
          <w:rFonts w:hint="cs"/>
          <w:rtl/>
        </w:rPr>
        <w:t>כת המהלכים</w:t>
      </w:r>
      <w:r w:rsidR="00F055C8">
        <w:rPr>
          <w:rtl/>
        </w:rPr>
        <w:t>"</w:t>
      </w:r>
      <w:r w:rsidRPr="00A3461B">
        <w:rPr>
          <w:rFonts w:hint="cs"/>
          <w:rtl/>
        </w:rPr>
        <w:t xml:space="preserve">) כיוון שאריסטו נהג ללמד את תלמידיו תוך כדי הליכה בשבילים שסביב </w:t>
      </w:r>
      <w:r w:rsidRPr="00A3461B">
        <w:rPr>
          <w:rFonts w:hint="cs"/>
          <w:rtl/>
        </w:rPr>
        <w:t xml:space="preserve">הליקיאון. </w:t>
      </w:r>
    </w:p>
  </w:footnote>
  <w:footnote w:id="8">
    <w:p w14:paraId="5F57141F" w14:textId="6BC6528F" w:rsidR="004F1139" w:rsidRPr="00A3461B" w:rsidRDefault="004F1139" w:rsidP="00A3461B">
      <w:pPr>
        <w:pStyle w:val="FootnoteText"/>
        <w:rPr>
          <w:rtl/>
        </w:rPr>
      </w:pPr>
      <w:r w:rsidRPr="00241B56">
        <w:rPr>
          <w:rStyle w:val="FootnoteReference"/>
        </w:rPr>
        <w:footnoteRef/>
      </w:r>
      <w:r w:rsidRPr="00A3461B">
        <w:rPr>
          <w:rtl/>
        </w:rPr>
        <w:t xml:space="preserve"> </w:t>
      </w:r>
      <w:r w:rsidRPr="00A3461B">
        <w:rPr>
          <w:rFonts w:hint="cs"/>
          <w:rtl/>
        </w:rPr>
        <w:t>כוונתו כאן למה שהבאתי בהערה שלפני הקודמת מאגרת תחיית המתים של הרמב</w:t>
      </w:r>
      <w:r w:rsidR="00F055C8">
        <w:rPr>
          <w:rtl/>
        </w:rPr>
        <w:t>"</w:t>
      </w:r>
      <w:r w:rsidRPr="00A3461B">
        <w:rPr>
          <w:rFonts w:hint="cs"/>
          <w:rtl/>
        </w:rPr>
        <w:t xml:space="preserve">ם, וכמו שכתב גם </w:t>
      </w:r>
      <w:r w:rsidRPr="00A3461B">
        <w:rPr>
          <w:rFonts w:hint="cs"/>
          <w:rtl/>
        </w:rPr>
        <w:t>במו</w:t>
      </w:r>
      <w:r w:rsidR="00F055C8">
        <w:rPr>
          <w:rtl/>
        </w:rPr>
        <w:t>"</w:t>
      </w:r>
      <w:r w:rsidRPr="00A3461B">
        <w:rPr>
          <w:rFonts w:hint="cs"/>
          <w:rtl/>
        </w:rPr>
        <w:t>נ א' כ</w:t>
      </w:r>
      <w:r w:rsidR="00F055C8">
        <w:rPr>
          <w:rtl/>
        </w:rPr>
        <w:t>"</w:t>
      </w:r>
      <w:r w:rsidRPr="00A3461B">
        <w:rPr>
          <w:rFonts w:hint="cs"/>
          <w:rtl/>
        </w:rPr>
        <w:t>ו וא' מ</w:t>
      </w:r>
      <w:r w:rsidR="00F055C8">
        <w:rPr>
          <w:rtl/>
        </w:rPr>
        <w:t>"</w:t>
      </w:r>
      <w:r w:rsidRPr="00A3461B">
        <w:rPr>
          <w:rFonts w:hint="cs"/>
          <w:rtl/>
        </w:rPr>
        <w:t>ט. ההמון תופש ש</w:t>
      </w:r>
      <w:r w:rsidR="00F055C8">
        <w:rPr>
          <w:rtl/>
        </w:rPr>
        <w:t>"</w:t>
      </w:r>
      <w:r w:rsidRPr="00A3461B">
        <w:rPr>
          <w:rFonts w:hint="cs"/>
          <w:rtl/>
        </w:rPr>
        <w:t>מציאות</w:t>
      </w:r>
      <w:r w:rsidR="00F055C8">
        <w:rPr>
          <w:rtl/>
        </w:rPr>
        <w:t>"</w:t>
      </w:r>
      <w:r w:rsidRPr="00A3461B">
        <w:rPr>
          <w:rFonts w:hint="cs"/>
          <w:rtl/>
        </w:rPr>
        <w:t xml:space="preserve"> פירושה חומר, ואצלו התפישה שהמציאות בעיקרה ואמיתתה היא המופשט מחומר, הצורות, האידיאות, מרוחקת והוא נוטה לדחות אותה לגמרי ולא רק לא לקבל אותה.</w:t>
      </w:r>
    </w:p>
    <w:p w14:paraId="56428D46" w14:textId="6335114C" w:rsidR="004F1139" w:rsidRPr="00A3461B" w:rsidRDefault="004F1139" w:rsidP="00A3461B">
      <w:pPr>
        <w:pStyle w:val="FootnoteText"/>
        <w:rPr>
          <w:rtl/>
        </w:rPr>
      </w:pPr>
      <w:r w:rsidRPr="00A3461B">
        <w:rPr>
          <w:rFonts w:hint="cs"/>
          <w:rtl/>
        </w:rPr>
        <w:t>וכמו שאמרו חז</w:t>
      </w:r>
      <w:r w:rsidR="00F055C8">
        <w:rPr>
          <w:rtl/>
        </w:rPr>
        <w:t>"</w:t>
      </w:r>
      <w:r w:rsidRPr="00A3461B">
        <w:rPr>
          <w:rFonts w:hint="cs"/>
          <w:rtl/>
        </w:rPr>
        <w:t>ל בבבא מציעא ל</w:t>
      </w:r>
      <w:r w:rsidR="00F055C8">
        <w:rPr>
          <w:rtl/>
        </w:rPr>
        <w:t>"</w:t>
      </w:r>
      <w:r w:rsidRPr="00A3461B">
        <w:rPr>
          <w:rFonts w:hint="cs"/>
          <w:rtl/>
        </w:rPr>
        <w:t xml:space="preserve">ג ב': </w:t>
      </w:r>
      <w:r w:rsidR="00F055C8">
        <w:rPr>
          <w:rtl/>
        </w:rPr>
        <w:t>"</w:t>
      </w:r>
      <w:r w:rsidRPr="00A3461B">
        <w:rPr>
          <w:rtl/>
        </w:rPr>
        <w:t>שונאיכם - אלו בעלי משנה, מנדיכם - אלו עמי הארץ</w:t>
      </w:r>
      <w:r w:rsidR="00F055C8">
        <w:rPr>
          <w:rtl/>
        </w:rPr>
        <w:t>"</w:t>
      </w:r>
      <w:r w:rsidRPr="00A3461B">
        <w:rPr>
          <w:rtl/>
        </w:rPr>
        <w:t xml:space="preserve"> </w:t>
      </w:r>
    </w:p>
    <w:p w14:paraId="409A1C4D" w14:textId="3BE09473" w:rsidR="004F1139" w:rsidRPr="00A3461B" w:rsidRDefault="004F1139" w:rsidP="00A3461B">
      <w:pPr>
        <w:pStyle w:val="FootnoteText"/>
        <w:rPr>
          <w:rtl/>
        </w:rPr>
      </w:pPr>
      <w:r w:rsidRPr="00A3461B">
        <w:rPr>
          <w:rFonts w:hint="cs"/>
          <w:rtl/>
        </w:rPr>
        <w:t>ובפסחים מ</w:t>
      </w:r>
      <w:r w:rsidR="00F055C8">
        <w:rPr>
          <w:rtl/>
        </w:rPr>
        <w:t>"</w:t>
      </w:r>
      <w:r w:rsidRPr="00A3461B">
        <w:rPr>
          <w:rFonts w:hint="cs"/>
          <w:rtl/>
        </w:rPr>
        <w:t xml:space="preserve">ט ב': </w:t>
      </w:r>
      <w:r w:rsidR="00F055C8">
        <w:rPr>
          <w:rtl/>
        </w:rPr>
        <w:t>"</w:t>
      </w:r>
      <w:r w:rsidRPr="00A3461B">
        <w:rPr>
          <w:rtl/>
        </w:rPr>
        <w:t>גדולה שנאה ששונאין עמי הארץ לתלמיד חכם, יותר משנאה ששונאין אומות העולם את ישראל</w:t>
      </w:r>
      <w:r w:rsidR="00F055C8">
        <w:rPr>
          <w:rtl/>
        </w:rPr>
        <w:t>"</w:t>
      </w:r>
    </w:p>
    <w:p w14:paraId="7F331A5B" w14:textId="6B4E251A" w:rsidR="004F1139" w:rsidRPr="00A3461B" w:rsidRDefault="004F1139" w:rsidP="00A3461B">
      <w:pPr>
        <w:pStyle w:val="FootnoteText"/>
      </w:pPr>
      <w:r w:rsidRPr="00A3461B">
        <w:rPr>
          <w:rFonts w:hint="cs"/>
          <w:rtl/>
        </w:rPr>
        <w:t xml:space="preserve">אלה ההמון שתופשים שהמציאות בעיקרה היא חומר, ולא רק שאינם יכולים להשיג ולקבל שהמציאות בעיקרה מופשטת, אלא גם שונאים את מי שאומר כך. </w:t>
      </w:r>
    </w:p>
  </w:footnote>
  <w:footnote w:id="9">
    <w:p w14:paraId="47201359" w14:textId="2E5287E0"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 xml:space="preserve">מה שמניע אותם הוא </w:t>
      </w:r>
      <w:r w:rsidRPr="00A3461B">
        <w:rPr>
          <w:rFonts w:hint="cs"/>
          <w:rtl/>
        </w:rPr>
        <w:t>הויכוח והניצוח ולא אהבת האמת.</w:t>
      </w:r>
    </w:p>
  </w:footnote>
  <w:footnote w:id="10">
    <w:p w14:paraId="4C7ACB95" w14:textId="790EACB3"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לבקש את האמת ולומר אותה כמות שהיא, והאמת יורה דרכו כי ניכרים דברי אמת ואין צורך להתווכח הרבה.</w:t>
      </w:r>
    </w:p>
  </w:footnote>
  <w:footnote w:id="11">
    <w:p w14:paraId="52D0DDC2" w14:textId="2D0FF4F0" w:rsidR="004F1139" w:rsidRPr="00A3461B" w:rsidRDefault="004F1139" w:rsidP="00A3461B">
      <w:pPr>
        <w:pStyle w:val="FootnoteText"/>
        <w:rPr>
          <w:rtl/>
        </w:rPr>
      </w:pPr>
      <w:r w:rsidRPr="00241B56">
        <w:rPr>
          <w:rStyle w:val="FootnoteReference"/>
        </w:rPr>
        <w:footnoteRef/>
      </w:r>
      <w:r w:rsidRPr="00A3461B">
        <w:rPr>
          <w:rtl/>
        </w:rPr>
        <w:t xml:space="preserve"> </w:t>
      </w:r>
      <w:r w:rsidRPr="00A3461B">
        <w:rPr>
          <w:rFonts w:hint="cs"/>
          <w:rtl/>
        </w:rPr>
        <w:t xml:space="preserve">כוונתו כאן לספרי אריסטו. אבן סינא לא כתב ביאור על סדר לשון אריסטו כמו שעשו אלכסנדר ואחרים, אלא רק כתב את עיקרי הדברים בלשונו והסברתו שלו. יש מקומות בהם אבן סינא סבר שאריסטו טעה, והוא כותב דברים שאינם לפי הכתוב באריסטו, בלי להזכיר את אריסטו ובלי לחלוק עליו בפירוש. </w:t>
      </w:r>
    </w:p>
    <w:p w14:paraId="3BD1F776" w14:textId="77777777" w:rsidR="004F1139" w:rsidRPr="00A3461B" w:rsidRDefault="004F1139" w:rsidP="00A3461B">
      <w:pPr>
        <w:pStyle w:val="FootnoteText"/>
        <w:rPr>
          <w:rtl/>
        </w:rPr>
      </w:pPr>
      <w:r w:rsidRPr="00A3461B">
        <w:rPr>
          <w:rFonts w:hint="cs"/>
          <w:rtl/>
        </w:rPr>
        <w:t xml:space="preserve">למשל אריסטו ביאר את הטעם למה קליע שנזרק לא נופל לארץ בקו ישר מייד כשנפרד מידו של הזורק, אלא ממשיך לנוע כלפי מעלה. הביאור של אריסטו חלש ותמוה, ואבן סינא בהמשך ספרנו מבאר באופן אחר. </w:t>
      </w:r>
    </w:p>
    <w:p w14:paraId="0A7A685B" w14:textId="73CD36B1" w:rsidR="004F1139" w:rsidRPr="00A3461B" w:rsidRDefault="004F1139" w:rsidP="00A3461B">
      <w:pPr>
        <w:pStyle w:val="FootnoteText"/>
        <w:rPr>
          <w:rtl/>
        </w:rPr>
      </w:pPr>
      <w:r w:rsidRPr="00A3461B">
        <w:rPr>
          <w:rFonts w:hint="cs"/>
          <w:rtl/>
        </w:rPr>
        <w:t xml:space="preserve">עיין בבלוג שלי שעוסק בביאור על המורה נבוכים, ברשימה הנקראת </w:t>
      </w:r>
      <w:hyperlink r:id="rId4" w:history="1">
        <w:r w:rsidR="00F055C8">
          <w:rPr>
            <w:rtl/>
          </w:rPr>
          <w:t>"</w:t>
        </w:r>
        <w:r w:rsidRPr="00A3461B">
          <w:rPr>
            <w:rtl/>
          </w:rPr>
          <w:t xml:space="preserve">הקדמות לחלק ב </w:t>
        </w:r>
        <w:r w:rsidRPr="00A3461B">
          <w:rPr>
            <w:rFonts w:hint="cs"/>
            <w:rtl/>
          </w:rPr>
          <w:t>-</w:t>
        </w:r>
        <w:r w:rsidRPr="00A3461B">
          <w:rPr>
            <w:rtl/>
          </w:rPr>
          <w:t xml:space="preserve"> הקדמה </w:t>
        </w:r>
        <w:r w:rsidRPr="00A3461B">
          <w:rPr>
            <w:rtl/>
          </w:rPr>
          <w:t xml:space="preserve">כו (חלק א') </w:t>
        </w:r>
        <w:r w:rsidRPr="00A3461B">
          <w:rPr>
            <w:rFonts w:hint="cs"/>
            <w:rtl/>
          </w:rPr>
          <w:t>-</w:t>
        </w:r>
        <w:r w:rsidRPr="00A3461B">
          <w:rPr>
            <w:rtl/>
          </w:rPr>
          <w:t xml:space="preserve"> ביאור בפיזיקה של אריסטו ספר ח' פרקים א'-ה'. ביאור תחילת פרק א' של המו</w:t>
        </w:r>
        <w:r w:rsidR="00F055C8">
          <w:rPr>
            <w:rtl/>
          </w:rPr>
          <w:t>"</w:t>
        </w:r>
        <w:r w:rsidRPr="00A3461B">
          <w:rPr>
            <w:rtl/>
          </w:rPr>
          <w:t xml:space="preserve">נ, וביאור מהי אנרגיה לפי אריסטו. מאמר </w:t>
        </w:r>
        <w:r w:rsidR="00F055C8">
          <w:rPr>
            <w:rtl/>
          </w:rPr>
          <w:t>"</w:t>
        </w:r>
        <w:r w:rsidRPr="00A3461B">
          <w:rPr>
            <w:rtl/>
          </w:rPr>
          <w:t>החיים של הדוממים</w:t>
        </w:r>
        <w:r w:rsidR="00F055C8">
          <w:rPr>
            <w:rtl/>
          </w:rPr>
          <w:t>""</w:t>
        </w:r>
      </w:hyperlink>
      <w:r w:rsidRPr="00A3461B">
        <w:rPr>
          <w:rFonts w:hint="cs"/>
          <w:rtl/>
        </w:rPr>
        <w:t xml:space="preserve">, שם התבאר עניין זה, ושם הראיתי שאחרי דקדוק היטב בכמה מקומות בהם אריסטו דיבר בזה, רואים שאריסטו עצמו התכוון בדבריו למה שכתב אבן סינא, ולא למה שנראה מקריאה פשוטה בלשונו. </w:t>
      </w:r>
    </w:p>
    <w:p w14:paraId="6CA93C3B" w14:textId="3E17C8D9" w:rsidR="004F1139" w:rsidRPr="00A3461B" w:rsidRDefault="004F1139" w:rsidP="00A3461B">
      <w:pPr>
        <w:pStyle w:val="FootnoteText"/>
      </w:pPr>
      <w:r w:rsidRPr="00A3461B">
        <w:rPr>
          <w:rFonts w:hint="cs"/>
          <w:rtl/>
        </w:rPr>
        <w:t xml:space="preserve">אבן סינא עסק בחקירת האמת עצמה ולא בדקדוק לשונותיו של אריסטו. אם ברור לו מהי האמת הוא כותב אותה כמו שהוא רואה אותה, ואם מקריאה פשוטה בלשון אריסטו נראה שאריסטו לא סבור כך, זה לא אכפת לאבן סינא. אין שום חשיבות לברר מה אריסטו חשב אם האמת בעצמה ידועה לנו. בכמה מקומות, בעיקר בבלוג הנקרא </w:t>
      </w:r>
      <w:hyperlink r:id="rId5" w:history="1">
        <w:r w:rsidRPr="00A3461B">
          <w:rPr>
            <w:rStyle w:val="Hyperlink"/>
            <w:rFonts w:hint="cs"/>
            <w:color w:val="auto"/>
            <w:u w:val="none"/>
            <w:rtl/>
          </w:rPr>
          <w:t>עיונים בפילוסופיה אריסטוטלית</w:t>
        </w:r>
      </w:hyperlink>
      <w:r w:rsidRPr="00A3461B">
        <w:rPr>
          <w:rFonts w:hint="cs"/>
          <w:rtl/>
        </w:rPr>
        <w:t xml:space="preserve">, הראיתי שבעניינים מהותיים אריסטו עצמו סבר כמו אבן סינא, כלומר כמו האמת, ומה שנראה מלשונו כפשוטה אינו כן, ובאמת אין לדברים אלה חשיבות ועסקתי לברר זאת רק מתוך סקרנות. עיין למשל </w:t>
      </w:r>
      <w:hyperlink r:id="rId6" w:history="1">
        <w:r w:rsidRPr="00A3461B">
          <w:rPr>
            <w:rStyle w:val="Hyperlink"/>
            <w:rFonts w:hint="cs"/>
            <w:color w:val="auto"/>
            <w:u w:val="none"/>
            <w:rtl/>
          </w:rPr>
          <w:t>כאן</w:t>
        </w:r>
      </w:hyperlink>
      <w:r w:rsidRPr="00A3461B">
        <w:rPr>
          <w:rFonts w:hint="cs"/>
          <w:rtl/>
        </w:rPr>
        <w:t xml:space="preserve"> שהראיתי שאחרי דקדוק הלשון ברור שאריסטו לא באמת סבר שגוף כבד יותר נופל מהר יותר, ויש עוד מקומות כאלה. במחקר האקדמי שאלות כאלה חשובות, אבל אבן סינא אינו עוסק במחקר ולא בדברים שמעוררים סקרנות אקדמית אלא רק בבירור האמת עצמה כדי לחיות נכון ולדבוק באל האמיתי בדרך אמיתית.   </w:t>
      </w:r>
    </w:p>
  </w:footnote>
  <w:footnote w:id="12">
    <w:p w14:paraId="668BACD3" w14:textId="0D7CD944" w:rsidR="004F1139" w:rsidRPr="00A3461B" w:rsidRDefault="004F1139" w:rsidP="00A3461B">
      <w:pPr>
        <w:pStyle w:val="FootnoteText"/>
        <w:rPr>
          <w:rtl/>
        </w:rPr>
      </w:pPr>
      <w:r w:rsidRPr="00241B56">
        <w:rPr>
          <w:rStyle w:val="FootnoteReference"/>
        </w:rPr>
        <w:footnoteRef/>
      </w:r>
      <w:r w:rsidRPr="00A3461B">
        <w:rPr>
          <w:rtl/>
        </w:rPr>
        <w:t xml:space="preserve"> </w:t>
      </w:r>
      <w:r>
        <w:rPr>
          <w:rFonts w:hint="cs"/>
          <w:rtl/>
        </w:rPr>
        <w:t>כנראה</w:t>
      </w:r>
      <w:r w:rsidRPr="00A3461B">
        <w:rPr>
          <w:rFonts w:hint="cs"/>
          <w:rtl/>
        </w:rPr>
        <w:t xml:space="preserve"> מדובר כאן על ספרי אלכסנדר </w:t>
      </w:r>
      <w:r w:rsidRPr="00A3461B">
        <w:rPr>
          <w:rFonts w:hint="cs"/>
          <w:rtl/>
        </w:rPr>
        <w:t>מאפרודיסיאס, שכתב פירוש על כתבי אריסטו כסדר</w:t>
      </w:r>
      <w:r w:rsidRPr="00A3461B">
        <w:rPr>
          <w:rFonts w:hint="cs"/>
        </w:rPr>
        <w:t xml:space="preserve"> </w:t>
      </w:r>
      <w:r w:rsidRPr="00A3461B">
        <w:rPr>
          <w:rFonts w:hint="cs"/>
          <w:rtl/>
        </w:rPr>
        <w:t>הטקסט, שם עמד באריכות ודקדקנות מופלגת על כל מילה וכל קפל בניסוח. יש תרגום לאנגלית של פירוש אלכסנדר על שלושת הספרים הראשונים של המטאפיזיקה. שלושה ספרים אלה מחזיקים כ 40 עמ' במהד' בארנס, ואילו פירושו של אלכסנדר עליהם בתרגום דודלי ומדיגן מחזיק כ 500 עמ'. אלכסנדר חי במאה השלישית, הוא נחשב גדול פרשני אריסטו והמפורסם שבהם, וכן באגרת הרמב</w:t>
      </w:r>
      <w:r w:rsidR="00F055C8">
        <w:rPr>
          <w:rtl/>
        </w:rPr>
        <w:t>"</w:t>
      </w:r>
      <w:r w:rsidRPr="00A3461B">
        <w:rPr>
          <w:rFonts w:hint="cs"/>
          <w:rtl/>
        </w:rPr>
        <w:t xml:space="preserve">ם לאבן תיבון מפנה אליו כאל מקור מוסמך ללימוד  אריסטו. מי שרוצה להבין את מילותיו של אריסטו ימצא את מבוקשו בפירושי אלכסנדר, אבל מי שמבקש את האמת בלבד יצטרך ללמוד בפירושי אלכסנדר אריכות דברים רבה שבתוכה מפוזרים הדברים שנדרשים לו. </w:t>
      </w:r>
    </w:p>
  </w:footnote>
  <w:footnote w:id="13">
    <w:p w14:paraId="3C8DF9AB" w14:textId="2DAFD928" w:rsidR="007E62A9" w:rsidRDefault="00A4117E">
      <w:pPr>
        <w:pStyle w:val="FootnoteText"/>
        <w:rPr>
          <w:rtl/>
        </w:rPr>
      </w:pPr>
      <w:r>
        <w:rPr>
          <w:rStyle w:val="FootnoteReference"/>
        </w:rPr>
        <w:footnoteRef/>
      </w:r>
      <w:r>
        <w:rPr>
          <w:rtl/>
        </w:rPr>
        <w:t xml:space="preserve"> </w:t>
      </w:r>
      <w:r>
        <w:rPr>
          <w:rFonts w:hint="cs"/>
          <w:rtl/>
        </w:rPr>
        <w:t>ספר א', פרק א', סעיף 1.</w:t>
      </w:r>
      <w:r w:rsidR="00CA669E">
        <w:rPr>
          <w:rFonts w:hint="cs"/>
          <w:rtl/>
        </w:rPr>
        <w:t xml:space="preserve"> סימני הסעיפים אינם במקור והתחדשו באחת מהמהדורות של כתב היד על ידי המהדיר. </w:t>
      </w:r>
      <w:r w:rsidR="009951AB">
        <w:rPr>
          <w:rFonts w:hint="cs"/>
          <w:rtl/>
        </w:rPr>
        <w:t>אני משתמש בהם מתוך נוחות וגם כי במהדורה עם התרגום האנגלי של מקגיניס, שבה נעזרתי הרבה, השתמש ב</w:t>
      </w:r>
      <w:r w:rsidR="007E62A9">
        <w:rPr>
          <w:rFonts w:hint="cs"/>
          <w:rtl/>
        </w:rPr>
        <w:t>ה</w:t>
      </w:r>
      <w:r w:rsidR="009951AB">
        <w:rPr>
          <w:rFonts w:hint="cs"/>
          <w:rtl/>
        </w:rPr>
        <w:t>ם.</w:t>
      </w:r>
    </w:p>
    <w:p w14:paraId="2F02E743" w14:textId="77777777" w:rsidR="007E62A9" w:rsidRDefault="009F4DB4" w:rsidP="00A634E3">
      <w:pPr>
        <w:pStyle w:val="FootnoteText"/>
        <w:bidi w:val="0"/>
        <w:rPr>
          <w:rtl/>
        </w:rPr>
      </w:pPr>
      <w:r>
        <w:rPr>
          <w:rFonts w:hint="cs"/>
          <w:rtl/>
        </w:rPr>
        <w:t>(</w:t>
      </w:r>
      <w:r w:rsidR="007E62A9">
        <w:rPr>
          <w:rFonts w:hint="cs"/>
          <w:rtl/>
        </w:rPr>
        <w:t>פרטי מהד' מקגיניס:</w:t>
      </w:r>
    </w:p>
    <w:p w14:paraId="12315AC1" w14:textId="6B004D0A" w:rsidR="007E62A9" w:rsidRPr="007A58E3" w:rsidRDefault="007E62A9" w:rsidP="00C768F5">
      <w:pPr>
        <w:pStyle w:val="FootnoteText"/>
        <w:bidi w:val="0"/>
        <w:rPr>
          <w:rtl/>
        </w:rPr>
      </w:pPr>
      <w:r w:rsidRPr="007A58E3">
        <w:t>Avicenna</w:t>
      </w:r>
      <w:r w:rsidR="00C768F5" w:rsidRPr="007A58E3">
        <w:rPr>
          <w:rtl/>
        </w:rPr>
        <w:t xml:space="preserve"> - </w:t>
      </w:r>
      <w:r w:rsidRPr="007A58E3">
        <w:t>The Physics of  The Healing</w:t>
      </w:r>
    </w:p>
    <w:p w14:paraId="0A73612D" w14:textId="77777777" w:rsidR="007E62A9" w:rsidRPr="007A58E3" w:rsidRDefault="007E62A9" w:rsidP="00A634E3">
      <w:pPr>
        <w:pStyle w:val="FootnoteText"/>
        <w:bidi w:val="0"/>
      </w:pPr>
      <w:r w:rsidRPr="007A58E3">
        <w:t>A parallel English-Arabic text</w:t>
      </w:r>
      <w:r w:rsidRPr="007A58E3">
        <w:rPr>
          <w:rtl/>
        </w:rPr>
        <w:t xml:space="preserve"> </w:t>
      </w:r>
    </w:p>
    <w:p w14:paraId="23A1F5BA" w14:textId="2D84D453" w:rsidR="007E62A9" w:rsidRPr="007A58E3" w:rsidRDefault="007E62A9" w:rsidP="00A634E3">
      <w:pPr>
        <w:pStyle w:val="FootnoteText"/>
        <w:bidi w:val="0"/>
        <w:rPr>
          <w:rtl/>
        </w:rPr>
      </w:pPr>
      <w:r w:rsidRPr="007A58E3">
        <w:t>translated, introduced, and annotated by</w:t>
      </w:r>
      <w:r w:rsidR="00A634E3" w:rsidRPr="007A58E3">
        <w:rPr>
          <w:rtl/>
        </w:rPr>
        <w:t xml:space="preserve"> </w:t>
      </w:r>
      <w:r w:rsidRPr="007A58E3">
        <w:t>Jon McGinnis</w:t>
      </w:r>
    </w:p>
    <w:p w14:paraId="58C1BE56" w14:textId="378C043D" w:rsidR="007E62A9" w:rsidRPr="007A58E3" w:rsidRDefault="007E62A9" w:rsidP="00D319EB">
      <w:pPr>
        <w:pStyle w:val="FootnoteText"/>
        <w:bidi w:val="0"/>
        <w:rPr>
          <w:rtl/>
        </w:rPr>
      </w:pPr>
      <w:r w:rsidRPr="007A58E3">
        <w:t>Books I &amp; II</w:t>
      </w:r>
    </w:p>
    <w:p w14:paraId="1BAFD01F" w14:textId="2F72DF33" w:rsidR="007E62A9" w:rsidRPr="007A58E3" w:rsidRDefault="007E62A9" w:rsidP="00A634E3">
      <w:pPr>
        <w:pStyle w:val="FootnoteText"/>
        <w:bidi w:val="0"/>
      </w:pPr>
      <w:r w:rsidRPr="007A58E3">
        <w:rPr>
          <w:rtl/>
        </w:rPr>
        <w:t>©2009</w:t>
      </w:r>
      <w:r w:rsidRPr="007A58E3">
        <w:t>by Brigham Young University Press. All rights reserved</w:t>
      </w:r>
      <w:r w:rsidRPr="007A58E3">
        <w:rPr>
          <w:rtl/>
        </w:rPr>
        <w:t>.</w:t>
      </w:r>
    </w:p>
    <w:p w14:paraId="42CFF7CC" w14:textId="77777777" w:rsidR="007E62A9" w:rsidRPr="007A58E3" w:rsidRDefault="007E62A9" w:rsidP="00A634E3">
      <w:pPr>
        <w:pStyle w:val="FootnoteText"/>
        <w:bidi w:val="0"/>
      </w:pPr>
      <w:r w:rsidRPr="007A58E3">
        <w:t>Library of Congress Cataloging-in-Publication Data is available</w:t>
      </w:r>
      <w:r w:rsidRPr="007A58E3">
        <w:rPr>
          <w:rtl/>
        </w:rPr>
        <w:t>.</w:t>
      </w:r>
    </w:p>
    <w:p w14:paraId="67EEAD99" w14:textId="2C28AC9D" w:rsidR="00A4117E" w:rsidRDefault="007E62A9" w:rsidP="00A634E3">
      <w:pPr>
        <w:pStyle w:val="FootnoteText"/>
        <w:bidi w:val="0"/>
      </w:pPr>
      <w:r w:rsidRPr="007A58E3">
        <w:t>ISBN: 978–0–8425–2747–7</w:t>
      </w:r>
      <w:r>
        <w:rPr>
          <w:rtl/>
        </w:rPr>
        <w:t xml:space="preserve"> </w:t>
      </w:r>
      <w:r w:rsidR="00D319EB">
        <w:rPr>
          <w:rFonts w:hint="cs"/>
          <w:rtl/>
        </w:rPr>
        <w:t>(</w:t>
      </w:r>
    </w:p>
  </w:footnote>
  <w:footnote w:id="14">
    <w:p w14:paraId="40702658" w14:textId="720A3359"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 xml:space="preserve">הפיזיקה עוסקת בהתבוננות בגופים החומריים, להפשיט מהם את הצורה. אחריה באה </w:t>
      </w:r>
      <w:r w:rsidRPr="00A3461B">
        <w:rPr>
          <w:rFonts w:hint="cs"/>
          <w:rtl/>
        </w:rPr>
        <w:t xml:space="preserve">המטאפיזיקה שעוסקת בהתבוננות בלתי אמצעית במציאות כשלעצמה, היא המופשט המוחלט שכולל כאחד את כל מה שנמצא. לכן היא נקראת הפילוסופיה הראשונה. </w:t>
      </w:r>
    </w:p>
  </w:footnote>
  <w:footnote w:id="15">
    <w:p w14:paraId="6CC15FA0" w14:textId="31E1E8BC" w:rsidR="004F1139" w:rsidRPr="00A3461B" w:rsidRDefault="004F1139" w:rsidP="00A3461B">
      <w:pPr>
        <w:pStyle w:val="FootnoteText"/>
        <w:rPr>
          <w:rtl/>
        </w:rPr>
      </w:pPr>
      <w:r w:rsidRPr="00241B56">
        <w:rPr>
          <w:rStyle w:val="FootnoteReference"/>
        </w:rPr>
        <w:footnoteRef/>
      </w:r>
      <w:r w:rsidRPr="00A3461B">
        <w:rPr>
          <w:rtl/>
        </w:rPr>
        <w:t xml:space="preserve"> </w:t>
      </w:r>
      <w:bookmarkStart w:id="15" w:name="_Hlk96866779"/>
      <w:bookmarkStart w:id="16" w:name="תנועה_ומנוחה"/>
      <w:r w:rsidRPr="00A3461B">
        <w:rPr>
          <w:rFonts w:hint="cs"/>
          <w:rtl/>
        </w:rPr>
        <w:t>בפיזיקה</w:t>
      </w:r>
      <w:bookmarkEnd w:id="15"/>
      <w:bookmarkEnd w:id="16"/>
      <w:r w:rsidRPr="00A3461B">
        <w:rPr>
          <w:rFonts w:hint="cs"/>
          <w:rtl/>
        </w:rPr>
        <w:t xml:space="preserve"> ב' א' כתב אריסטו (תרגום י. </w:t>
      </w:r>
      <w:r w:rsidRPr="00A3461B">
        <w:rPr>
          <w:rFonts w:hint="cs"/>
          <w:rtl/>
        </w:rPr>
        <w:t>לנדא):</w:t>
      </w:r>
    </w:p>
    <w:p w14:paraId="5EB8F68B" w14:textId="03720023" w:rsidR="004F1139" w:rsidRPr="00A3461B" w:rsidRDefault="00F055C8" w:rsidP="00A3461B">
      <w:pPr>
        <w:pStyle w:val="FootnoteText"/>
        <w:rPr>
          <w:rtl/>
        </w:rPr>
      </w:pPr>
      <w:r>
        <w:rPr>
          <w:rtl/>
        </w:rPr>
        <w:t>"</w:t>
      </w:r>
      <w:r w:rsidR="004F1139" w:rsidRPr="00A3461B">
        <w:rPr>
          <w:rFonts w:hint="cs"/>
          <w:rtl/>
        </w:rPr>
        <w:t>כי כל אחד ואחד [מהדברים שהם על פי הטבע, כגון בעלי החיים, הצמחים, היסודות הפשוטים דהיינו אש רוח מים ועפר, וכיוצא בהם] יש לו בתוך עצמו התחלה של תנועה ומנוחה - או מבחינת המקום, או מבחינת הגדילה וההידלדלות, או מבחינת שינויי איכות [...]</w:t>
      </w:r>
    </w:p>
    <w:p w14:paraId="517142EA" w14:textId="77777777" w:rsidR="004F1139" w:rsidRPr="00A3461B" w:rsidRDefault="004F1139" w:rsidP="00A3461B">
      <w:pPr>
        <w:pStyle w:val="FootnoteText"/>
        <w:rPr>
          <w:rtl/>
        </w:rPr>
      </w:pPr>
      <w:r w:rsidRPr="00A3461B">
        <w:rPr>
          <w:rFonts w:hint="cs"/>
          <w:rtl/>
        </w:rPr>
        <w:t>מאחר שאין הטבע אלא איזו התחלה וסיבה של היות נע והיות נח הנמצאת בדבר באופן ראשוני וכשלעצמו [...]</w:t>
      </w:r>
    </w:p>
    <w:p w14:paraId="15F55AE5" w14:textId="76F90B23" w:rsidR="004F1139" w:rsidRPr="00A3461B" w:rsidRDefault="004F1139" w:rsidP="00A3461B">
      <w:pPr>
        <w:pStyle w:val="FootnoteText"/>
        <w:rPr>
          <w:rtl/>
        </w:rPr>
      </w:pPr>
      <w:r w:rsidRPr="00A3461B">
        <w:rPr>
          <w:rFonts w:hint="cs"/>
          <w:rtl/>
        </w:rPr>
        <w:t xml:space="preserve">טבע הוא אפוא מה שנאמר; ואותם דברים שיש להם התחלה כזו יש להם טבע. וכל הדברים הללו הם עצם, שהרי העצם הוא איזה מצע, </w:t>
      </w:r>
      <w:bookmarkStart w:id="17" w:name="_Hlk69739821"/>
      <w:r w:rsidRPr="00A3461B">
        <w:rPr>
          <w:rFonts w:hint="cs"/>
          <w:rtl/>
        </w:rPr>
        <w:t>ולעולם נמצא הטבע במצע</w:t>
      </w:r>
      <w:bookmarkEnd w:id="17"/>
      <w:r w:rsidR="00F055C8">
        <w:rPr>
          <w:rtl/>
        </w:rPr>
        <w:t>"</w:t>
      </w:r>
    </w:p>
    <w:p w14:paraId="39C0784A" w14:textId="4D653C3C" w:rsidR="004F1139" w:rsidRPr="00A3461B" w:rsidRDefault="004F1139" w:rsidP="00A3461B">
      <w:pPr>
        <w:pStyle w:val="FootnoteText"/>
        <w:rPr>
          <w:rtl/>
        </w:rPr>
      </w:pPr>
      <w:r w:rsidRPr="00A3461B">
        <w:rPr>
          <w:rFonts w:hint="cs"/>
          <w:rtl/>
        </w:rPr>
        <w:t xml:space="preserve">(מבואר שם שדברים הנעשים בידי אדם כגון מיטה או בניין, כעצם שהוא 'מיטה' או 'בניין' אין להם טבע, אבל למיטה יש טבע של עץ ולבניין טבע של אבן. כי מה שנעשה על ידי אדם הוא רק סידור המרכיבים ולא יצירת עצם אמיתי (וכמו שכתב אריסטו במטאפיזיקה אטא פרק ג' שאפשר שעצם מלאכותי אינו עצם כלל). לכן במעשי אדם המרכיבים ניתנים לפירוק שמחזיר אותם למצבם הראשון, בעוד שדבר שנעשה על פי טבע כגון עץ שצמח אינו ניתן לפירוק למרכיביו הראשונים, וגם אבן לא ניתנת לפירוק ליסודות הפשוטים, שהרי הם לא נמצאים כלל בטבע כשהם לא מורכבים כמו שכתב אריסטו </w:t>
      </w:r>
      <w:r w:rsidRPr="00A3461B">
        <w:rPr>
          <w:rtl/>
        </w:rPr>
        <w:t>ב</w:t>
      </w:r>
      <w:r w:rsidR="00F055C8">
        <w:rPr>
          <w:rtl/>
        </w:rPr>
        <w:t>"</w:t>
      </w:r>
      <w:r w:rsidRPr="00A3461B">
        <w:rPr>
          <w:rtl/>
        </w:rPr>
        <w:t>על ההתהוות וההפסד</w:t>
      </w:r>
      <w:r w:rsidR="00F055C8">
        <w:rPr>
          <w:rtl/>
        </w:rPr>
        <w:t>"</w:t>
      </w:r>
      <w:r w:rsidRPr="00A3461B">
        <w:rPr>
          <w:rtl/>
        </w:rPr>
        <w:t xml:space="preserve"> ב' ג' (330ב 22)</w:t>
      </w:r>
      <w:r w:rsidRPr="00A3461B">
        <w:rPr>
          <w:rFonts w:hint="cs"/>
          <w:rtl/>
        </w:rPr>
        <w:t xml:space="preserve"> ובעוד מקומות וכבר הארכתי בזה במק</w:t>
      </w:r>
      <w:r w:rsidR="00F055C8">
        <w:rPr>
          <w:rtl/>
        </w:rPr>
        <w:t>"</w:t>
      </w:r>
      <w:r w:rsidRPr="00A3461B">
        <w:rPr>
          <w:rFonts w:hint="cs"/>
          <w:rtl/>
        </w:rPr>
        <w:t>א)</w:t>
      </w:r>
    </w:p>
    <w:p w14:paraId="75C71A31" w14:textId="77777777" w:rsidR="004F1139" w:rsidRPr="00A3461B" w:rsidRDefault="004F1139" w:rsidP="00A3461B">
      <w:pPr>
        <w:pStyle w:val="FootnoteText"/>
        <w:rPr>
          <w:rtl/>
        </w:rPr>
      </w:pPr>
    </w:p>
    <w:p w14:paraId="70136C84" w14:textId="458DEB6B" w:rsidR="004F1139" w:rsidRPr="00A3461B" w:rsidRDefault="004F1139" w:rsidP="00A3461B">
      <w:pPr>
        <w:pStyle w:val="FootnoteText"/>
        <w:rPr>
          <w:rtl/>
        </w:rPr>
      </w:pPr>
      <w:r w:rsidRPr="00A3461B">
        <w:rPr>
          <w:rFonts w:hint="cs"/>
          <w:rtl/>
        </w:rPr>
        <w:t>התנועה</w:t>
      </w:r>
      <w:r w:rsidR="00556B23">
        <w:rPr>
          <w:rtl/>
        </w:rPr>
        <w:fldChar w:fldCharType="begin"/>
      </w:r>
      <w:r w:rsidR="00556B23">
        <w:instrText xml:space="preserve"> XE "</w:instrText>
      </w:r>
      <w:r w:rsidR="00556B23" w:rsidRPr="003E2B0D">
        <w:rPr>
          <w:rFonts w:hint="cs"/>
          <w:rtl/>
        </w:rPr>
        <w:instrText>תנועה</w:instrText>
      </w:r>
      <w:r w:rsidR="00556B23">
        <w:instrText xml:space="preserve">" </w:instrText>
      </w:r>
      <w:r w:rsidR="00556B23">
        <w:rPr>
          <w:rtl/>
        </w:rPr>
        <w:fldChar w:fldCharType="end"/>
      </w:r>
      <w:r w:rsidR="00556B23">
        <w:rPr>
          <w:rFonts w:hint="cs"/>
          <w:rtl/>
        </w:rPr>
        <w:t xml:space="preserve"> </w:t>
      </w:r>
      <w:r w:rsidRPr="00A3461B">
        <w:rPr>
          <w:rFonts w:hint="cs"/>
          <w:rtl/>
        </w:rPr>
        <w:t xml:space="preserve">היא האופן שבו הטבע מגלה את בוראו, שמוכרח מהתבוננות בטבע שיש מניע ראשון שאינו נע, ובהכרח הוא מופשט ומניע על דרך סיבה תכליתית, שאם לא כן היה נע בעצמו כשהוא מניע. וכמו שכתב במטאפיזיקה למבדא. </w:t>
      </w:r>
    </w:p>
    <w:p w14:paraId="2D989E76" w14:textId="39E37AE8" w:rsidR="004F1139" w:rsidRPr="00A3461B" w:rsidRDefault="004F1139" w:rsidP="00A3461B">
      <w:pPr>
        <w:pStyle w:val="FootnoteText"/>
        <w:rPr>
          <w:rtl/>
        </w:rPr>
      </w:pPr>
      <w:r w:rsidRPr="00A3461B">
        <w:rPr>
          <w:rFonts w:hint="cs"/>
          <w:rtl/>
        </w:rPr>
        <w:t>התנועה היא מצב של כליון ומציאות בעת ובעונה אחת, שהרי הגוף הנע לא נמצא במקום כלשהו גם לא לרגע אחד, כי משך הזמן מתחלק עד אין סוף והתנועה היא רצופה ואינה אוסף של חלקי תנועה קטנים. בלי להימצא במקום כלשהו לא תיתכן מציאות חומרית. זו ההגדרה העמוקה הכללית של 'חיים' שהם עניין אחד לגמרי עם 'מציאות', ועיין בזה במו</w:t>
      </w:r>
      <w:r w:rsidR="00F055C8">
        <w:rPr>
          <w:rtl/>
        </w:rPr>
        <w:t>"</w:t>
      </w:r>
      <w:r w:rsidRPr="00A3461B">
        <w:rPr>
          <w:rFonts w:hint="cs"/>
          <w:rtl/>
        </w:rPr>
        <w:t>נ א' ע</w:t>
      </w:r>
      <w:r w:rsidR="00F055C8">
        <w:rPr>
          <w:rtl/>
        </w:rPr>
        <w:t>"</w:t>
      </w:r>
      <w:r w:rsidRPr="00A3461B">
        <w:rPr>
          <w:rFonts w:hint="cs"/>
          <w:rtl/>
        </w:rPr>
        <w:t xml:space="preserve">ב שהמציאות כולה היא אחד חי. האופן שבו המציאות היא מופשטת לחלוטין ללא מורכבות כלל, האחדות האלוהית הפשוטה, וגם לא-מופשטת, הוא על ידי חיים, שהם הסתירה הזו. 'חיים' פירושם כליון ומציאות בעת ובעונה אחת, וזה כעין בערה ועל זה נאמר שהסנה בוער והסנה איננו אוכל. זה החום הטבעי והפעימה של כל המציאות שהיא כמו שאיפה ונשיפה, פעימות הלב, יום ולילה, קיץ וחורף וכן הלאה בכל דבר. הנשמה החיה של הטבע נקראה </w:t>
      </w:r>
      <w:r w:rsidR="007C5C39">
        <w:rPr>
          <w:rFonts w:hint="cs"/>
          <w:rtl/>
        </w:rPr>
        <w:t>ביוונית</w:t>
      </w:r>
      <w:r w:rsidRPr="00A3461B">
        <w:rPr>
          <w:rFonts w:hint="cs"/>
          <w:rtl/>
        </w:rPr>
        <w:t xml:space="preserve"> </w:t>
      </w:r>
      <w:r w:rsidRPr="00A3461B">
        <w:t>pneuma</w:t>
      </w:r>
      <w:r w:rsidRPr="00A3461B">
        <w:rPr>
          <w:rFonts w:hint="cs"/>
          <w:rtl/>
        </w:rPr>
        <w:t xml:space="preserve">, עיין ביאור בזה בעיונים בפילוסופיה אריסטוטלית </w:t>
      </w:r>
      <w:hyperlink r:id="rId7" w:history="1">
        <w:r w:rsidRPr="00A3461B">
          <w:rPr>
            <w:rStyle w:val="Hyperlink"/>
            <w:rFonts w:hint="cs"/>
            <w:color w:val="auto"/>
            <w:u w:val="none"/>
            <w:rtl/>
          </w:rPr>
          <w:t>רשימה 50</w:t>
        </w:r>
      </w:hyperlink>
      <w:r w:rsidRPr="00A3461B">
        <w:rPr>
          <w:rFonts w:hint="cs"/>
          <w:rtl/>
        </w:rPr>
        <w:t>. אצל הרמב</w:t>
      </w:r>
      <w:r w:rsidR="00F055C8">
        <w:rPr>
          <w:rtl/>
        </w:rPr>
        <w:t>"</w:t>
      </w:r>
      <w:r w:rsidRPr="00A3461B">
        <w:rPr>
          <w:rFonts w:hint="cs"/>
          <w:rtl/>
        </w:rPr>
        <w:t>ם עניין זה נקרא 'נשמה' (עיין במשנה תורה הלכות יסודי התורה ד' ח'-ט' ובהלכות תשובה ח' ג').</w:t>
      </w:r>
    </w:p>
    <w:p w14:paraId="467BBF76" w14:textId="28DBA583" w:rsidR="004F1139" w:rsidRPr="00A3461B" w:rsidRDefault="004F1139" w:rsidP="00A3461B">
      <w:pPr>
        <w:pStyle w:val="FootnoteText"/>
        <w:rPr>
          <w:rtl/>
        </w:rPr>
      </w:pPr>
      <w:r w:rsidRPr="00A3461B">
        <w:rPr>
          <w:rFonts w:hint="cs"/>
          <w:rtl/>
        </w:rPr>
        <w:t xml:space="preserve">התכלית של ההתבוננות בטבע היא להגיע להשגת דעת אלהים ולעלות למדרגת העיון המטאפיזי המופשט, לכן מה שאנו מתבוננים בו בטבע הוא החיים שבטבע, היותו כשלהבת הקשורה בגחלת, וזוהי התנועה. </w:t>
      </w:r>
    </w:p>
    <w:p w14:paraId="0D694C4A" w14:textId="75B9E2C2" w:rsidR="004F1139" w:rsidRPr="00A3461B" w:rsidRDefault="004F1139" w:rsidP="00A3461B">
      <w:pPr>
        <w:pStyle w:val="FootnoteText"/>
        <w:rPr>
          <w:rtl/>
        </w:rPr>
      </w:pPr>
    </w:p>
    <w:p w14:paraId="72BA7225" w14:textId="55BC45CD" w:rsidR="004F1139" w:rsidRPr="00A3461B" w:rsidRDefault="004F1139" w:rsidP="00A3461B">
      <w:pPr>
        <w:pStyle w:val="FootnoteText"/>
        <w:rPr>
          <w:rtl/>
        </w:rPr>
      </w:pPr>
      <w:r w:rsidRPr="00A3461B">
        <w:rPr>
          <w:rFonts w:hint="cs"/>
          <w:rtl/>
        </w:rPr>
        <w:t xml:space="preserve">עיין בעיונים בפילוסופיה אריסטוטלית </w:t>
      </w:r>
      <w:hyperlink r:id="rId8" w:history="1">
        <w:r w:rsidRPr="00A3461B">
          <w:rPr>
            <w:rStyle w:val="Hyperlink"/>
            <w:rFonts w:hint="cs"/>
            <w:color w:val="auto"/>
            <w:u w:val="none"/>
            <w:rtl/>
          </w:rPr>
          <w:t>רשימה 35</w:t>
        </w:r>
      </w:hyperlink>
      <w:r w:rsidRPr="00A3461B">
        <w:rPr>
          <w:rFonts w:hint="cs"/>
          <w:rtl/>
        </w:rPr>
        <w:t xml:space="preserve"> במאמר </w:t>
      </w:r>
      <w:r w:rsidR="00F055C8">
        <w:rPr>
          <w:rtl/>
        </w:rPr>
        <w:t>"</w:t>
      </w:r>
      <w:r w:rsidRPr="00A3461B">
        <w:rPr>
          <w:rFonts w:hint="cs"/>
          <w:rtl/>
        </w:rPr>
        <w:t xml:space="preserve">התנועה יסוד </w:t>
      </w:r>
      <w:r w:rsidR="009C463A" w:rsidRPr="00A3461B">
        <w:rPr>
          <w:rFonts w:hint="cs"/>
          <w:rtl/>
        </w:rPr>
        <w:t>ההוויה</w:t>
      </w:r>
      <w:r w:rsidR="00F055C8">
        <w:rPr>
          <w:rtl/>
        </w:rPr>
        <w:t>"</w:t>
      </w:r>
      <w:r w:rsidRPr="00A3461B">
        <w:rPr>
          <w:rFonts w:hint="cs"/>
          <w:rtl/>
        </w:rPr>
        <w:t>, שם התבאר שתנועה ומציאות הם עניין אחד. זו כוונתו כאן ש</w:t>
      </w:r>
      <w:r w:rsidR="00F055C8">
        <w:rPr>
          <w:rtl/>
        </w:rPr>
        <w:t>"</w:t>
      </w:r>
      <w:r w:rsidRPr="00A3461B">
        <w:rPr>
          <w:rFonts w:hint="cs"/>
          <w:rtl/>
        </w:rPr>
        <w:t>לעולם נמצא הטבע במצע</w:t>
      </w:r>
      <w:r w:rsidR="00F055C8">
        <w:rPr>
          <w:rtl/>
        </w:rPr>
        <w:t>"</w:t>
      </w:r>
      <w:r w:rsidRPr="00A3461B">
        <w:rPr>
          <w:rFonts w:hint="cs"/>
          <w:rtl/>
        </w:rPr>
        <w:t xml:space="preserve">. מצע הוא הצד שיש מציאות שיוצאת מהאחדות הפשטה של הבורא שאין בה מורכבות כלל, זהו החומר. ובמצע יש טבע, שהוא החיים, האש, התנועה, הצד שבו כסתירה קיימת גם אין מציאות למה שיוצא מהאחדות הפשוטה. </w:t>
      </w:r>
    </w:p>
    <w:p w14:paraId="2721B53E" w14:textId="77777777" w:rsidR="004F1139" w:rsidRPr="00A3461B" w:rsidRDefault="004F1139" w:rsidP="00A3461B">
      <w:pPr>
        <w:pStyle w:val="FootnoteText"/>
        <w:rPr>
          <w:rtl/>
        </w:rPr>
      </w:pPr>
    </w:p>
    <w:p w14:paraId="38D30FC1" w14:textId="25D63E53" w:rsidR="004F1139" w:rsidRPr="00A3461B" w:rsidRDefault="004F1139" w:rsidP="00A3461B">
      <w:pPr>
        <w:pStyle w:val="FootnoteText"/>
        <w:rPr>
          <w:rtl/>
        </w:rPr>
      </w:pPr>
      <w:r w:rsidRPr="00A3461B">
        <w:rPr>
          <w:rFonts w:hint="cs"/>
          <w:rtl/>
        </w:rPr>
        <w:t>בספר חובות הלבבות ב' ה' כתב:</w:t>
      </w:r>
    </w:p>
    <w:p w14:paraId="1F4A7D71" w14:textId="53979791" w:rsidR="004F1139" w:rsidRPr="00A3461B" w:rsidRDefault="00F055C8" w:rsidP="00A3461B">
      <w:pPr>
        <w:pStyle w:val="FootnoteText"/>
      </w:pPr>
      <w:r>
        <w:rPr>
          <w:rtl/>
        </w:rPr>
        <w:t>"</w:t>
      </w:r>
      <w:r w:rsidR="004F1139" w:rsidRPr="00A3461B">
        <w:rPr>
          <w:rtl/>
        </w:rPr>
        <w:t>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הוית שום דבר מן הנמצאות ולא הפסדם. ואמר אחד מן הפילוסופים: רוח הטבעים התנועה. וכשתבין סוד התנועה ותשכיל ענין אמתתה ורוחניותה, ותדע, כי היא מפלאי החכמה האלהית ותכיר רוב חמלת הבורא על ברואיו, אז יתברר לך, כי כל תנועותיך נקשרות בחפץ הבורא יתעלה והנהגתו ורצונו, הקטנה והגדולה שבהם והגלויה והנסתרת, חוץ ממה ששם ברשותך מבחירת הטוב והרע.</w:t>
      </w:r>
      <w:r>
        <w:rPr>
          <w:rtl/>
        </w:rPr>
        <w:t>"</w:t>
      </w:r>
    </w:p>
  </w:footnote>
  <w:footnote w:id="16">
    <w:p w14:paraId="6C032E70" w14:textId="3FEEBDD7" w:rsidR="00771860" w:rsidRPr="003B6A80" w:rsidRDefault="004D2635" w:rsidP="00662951">
      <w:pPr>
        <w:rPr>
          <w:rtl/>
        </w:rPr>
      </w:pPr>
      <w:r>
        <w:rPr>
          <w:rStyle w:val="FootnoteReference"/>
        </w:rPr>
        <w:footnoteRef/>
      </w:r>
      <w:r>
        <w:rPr>
          <w:rtl/>
        </w:rPr>
        <w:t xml:space="preserve"> </w:t>
      </w:r>
      <w:r w:rsidR="00F055C8">
        <w:rPr>
          <w:b w:val="0"/>
          <w:bCs w:val="0"/>
          <w:sz w:val="32"/>
          <w:szCs w:val="32"/>
          <w:rtl/>
        </w:rPr>
        <w:t>"</w:t>
      </w:r>
      <w:bookmarkStart w:id="18" w:name="מהות"/>
      <w:r w:rsidR="00771860" w:rsidRPr="00662951">
        <w:rPr>
          <w:rFonts w:hint="cs"/>
          <w:b w:val="0"/>
          <w:bCs w:val="0"/>
          <w:sz w:val="32"/>
          <w:szCs w:val="32"/>
          <w:rtl/>
        </w:rPr>
        <w:t>מהות</w:t>
      </w:r>
      <w:bookmarkEnd w:id="18"/>
      <w:r w:rsidR="00837BC1">
        <w:rPr>
          <w:b w:val="0"/>
          <w:bCs w:val="0"/>
          <w:sz w:val="32"/>
          <w:szCs w:val="32"/>
          <w:rtl/>
        </w:rPr>
        <w:fldChar w:fldCharType="begin"/>
      </w:r>
      <w:r w:rsidR="00837BC1">
        <w:instrText xml:space="preserve"> XE "</w:instrText>
      </w:r>
      <w:r w:rsidR="00837BC1" w:rsidRPr="00DB669E">
        <w:rPr>
          <w:rFonts w:hint="cs"/>
          <w:b w:val="0"/>
          <w:bCs w:val="0"/>
          <w:sz w:val="32"/>
          <w:szCs w:val="32"/>
          <w:rtl/>
        </w:rPr>
        <w:instrText>מאמר</w:instrText>
      </w:r>
      <w:r w:rsidR="00837BC1" w:rsidRPr="00DB669E">
        <w:rPr>
          <w:b w:val="0"/>
          <w:bCs w:val="0"/>
          <w:sz w:val="32"/>
          <w:szCs w:val="32"/>
          <w:rtl/>
        </w:rPr>
        <w:instrText>:</w:instrText>
      </w:r>
      <w:r w:rsidR="00837BC1" w:rsidRPr="00DB669E">
        <w:rPr>
          <w:rFonts w:hint="cs"/>
          <w:rtl/>
        </w:rPr>
        <w:instrText>מהות</w:instrText>
      </w:r>
      <w:r w:rsidR="00837BC1">
        <w:instrText xml:space="preserve">" </w:instrText>
      </w:r>
      <w:r w:rsidR="00837BC1">
        <w:rPr>
          <w:b w:val="0"/>
          <w:bCs w:val="0"/>
          <w:sz w:val="32"/>
          <w:szCs w:val="32"/>
          <w:rtl/>
        </w:rPr>
        <w:fldChar w:fldCharType="end"/>
      </w:r>
      <w:r w:rsidR="00AC631A">
        <w:rPr>
          <w:b w:val="0"/>
          <w:bCs w:val="0"/>
          <w:sz w:val="32"/>
          <w:szCs w:val="32"/>
          <w:rtl/>
        </w:rPr>
        <w:fldChar w:fldCharType="begin"/>
      </w:r>
      <w:r w:rsidR="00AC631A">
        <w:instrText xml:space="preserve"> XE "</w:instrText>
      </w:r>
      <w:r w:rsidR="00AC631A" w:rsidRPr="005A641C">
        <w:rPr>
          <w:rFonts w:hint="cs"/>
          <w:b w:val="0"/>
          <w:bCs w:val="0"/>
          <w:sz w:val="32"/>
          <w:szCs w:val="32"/>
          <w:rtl/>
        </w:rPr>
        <w:instrText>מהות</w:instrText>
      </w:r>
      <w:r w:rsidR="00AC631A">
        <w:instrText xml:space="preserve">" </w:instrText>
      </w:r>
      <w:r w:rsidR="00AC631A">
        <w:rPr>
          <w:b w:val="0"/>
          <w:bCs w:val="0"/>
          <w:sz w:val="32"/>
          <w:szCs w:val="32"/>
          <w:rtl/>
        </w:rPr>
        <w:fldChar w:fldCharType="end"/>
      </w:r>
      <w:r w:rsidR="00F055C8">
        <w:rPr>
          <w:b w:val="0"/>
          <w:bCs w:val="0"/>
          <w:sz w:val="32"/>
          <w:szCs w:val="32"/>
          <w:rtl/>
        </w:rPr>
        <w:t>"</w:t>
      </w:r>
    </w:p>
    <w:p w14:paraId="030C0332" w14:textId="49CEE7A5" w:rsidR="00CA5885" w:rsidRDefault="007B6A65">
      <w:pPr>
        <w:pStyle w:val="FootnoteText"/>
        <w:rPr>
          <w:rtl/>
        </w:rPr>
      </w:pPr>
      <w:r>
        <w:rPr>
          <w:rFonts w:hint="cs"/>
          <w:rtl/>
        </w:rPr>
        <w:t>ב</w:t>
      </w:r>
      <w:r w:rsidR="00F055C8">
        <w:rPr>
          <w:rtl/>
        </w:rPr>
        <w:t>"</w:t>
      </w:r>
      <w:r>
        <w:rPr>
          <w:rFonts w:hint="cs"/>
          <w:rtl/>
        </w:rPr>
        <w:t xml:space="preserve">פירוש </w:t>
      </w:r>
      <w:r>
        <w:rPr>
          <w:rFonts w:hint="cs"/>
          <w:rtl/>
        </w:rPr>
        <w:t>מהמילות זרות</w:t>
      </w:r>
      <w:r w:rsidR="00F055C8">
        <w:rPr>
          <w:rtl/>
        </w:rPr>
        <w:t>"</w:t>
      </w:r>
      <w:r>
        <w:rPr>
          <w:rFonts w:hint="cs"/>
          <w:rtl/>
        </w:rPr>
        <w:t xml:space="preserve"> של אבן תיבון שנדפס בסוף המורה נבוכים, כתב</w:t>
      </w:r>
      <w:r w:rsidR="00CA5885">
        <w:rPr>
          <w:rFonts w:hint="cs"/>
          <w:rtl/>
        </w:rPr>
        <w:t xml:space="preserve"> על </w:t>
      </w:r>
      <w:r w:rsidR="00F055C8">
        <w:rPr>
          <w:rtl/>
        </w:rPr>
        <w:t>"</w:t>
      </w:r>
      <w:r w:rsidR="00CA5885">
        <w:rPr>
          <w:rFonts w:hint="cs"/>
          <w:rtl/>
        </w:rPr>
        <w:t>מהות</w:t>
      </w:r>
      <w:r w:rsidR="00F055C8">
        <w:rPr>
          <w:rtl/>
        </w:rPr>
        <w:t>"</w:t>
      </w:r>
      <w:r>
        <w:rPr>
          <w:rFonts w:hint="cs"/>
          <w:rtl/>
        </w:rPr>
        <w:t xml:space="preserve">: </w:t>
      </w:r>
      <w:r w:rsidR="00F055C8">
        <w:rPr>
          <w:rtl/>
        </w:rPr>
        <w:t>"</w:t>
      </w:r>
      <w:r>
        <w:rPr>
          <w:rFonts w:hint="cs"/>
          <w:rtl/>
        </w:rPr>
        <w:t>נגזר מ'מה', שהוא מילת שאילה על אמיתת הדבר מה היא. היא שאילה ראויה אחר ידיעת מציאות הדבר, כלומר ישותו. כי על דרך משל, אחר שייוודע מציאות האדם יישאל:</w:t>
      </w:r>
      <w:r>
        <w:rPr>
          <w:rFonts w:hint="cs"/>
        </w:rPr>
        <w:t xml:space="preserve"> </w:t>
      </w:r>
      <w:r>
        <w:rPr>
          <w:rFonts w:hint="cs"/>
          <w:rtl/>
        </w:rPr>
        <w:t>מה הוא. כלומר אמיתת מציאותו, וזה מהותו.</w:t>
      </w:r>
      <w:r w:rsidR="00F055C8">
        <w:rPr>
          <w:rtl/>
        </w:rPr>
        <w:t>"</w:t>
      </w:r>
      <w:r>
        <w:rPr>
          <w:rFonts w:hint="cs"/>
          <w:rtl/>
        </w:rPr>
        <w:t xml:space="preserve"> </w:t>
      </w:r>
    </w:p>
    <w:p w14:paraId="1CCA2C72" w14:textId="5DD69203" w:rsidR="004D2635" w:rsidRPr="008026A3" w:rsidRDefault="00CA5885">
      <w:pPr>
        <w:pStyle w:val="FootnoteText"/>
      </w:pPr>
      <w:r w:rsidRPr="008026A3">
        <w:rPr>
          <w:rtl/>
        </w:rPr>
        <w:t xml:space="preserve">בערבית גם כן המילה היא מהות, </w:t>
      </w:r>
      <w:r w:rsidRPr="008026A3">
        <w:rPr>
          <w:rFonts w:ascii="Arial" w:hAnsi="Arial" w:cs="Arial" w:hint="cs"/>
          <w:rtl/>
          <w:lang w:bidi="ar-SA"/>
        </w:rPr>
        <w:t>الماهية</w:t>
      </w:r>
      <w:r w:rsidRPr="008026A3">
        <w:rPr>
          <w:rtl/>
        </w:rPr>
        <w:t>.</w:t>
      </w:r>
      <w:r w:rsidR="008026A3" w:rsidRPr="008026A3">
        <w:rPr>
          <w:rtl/>
        </w:rPr>
        <w:t xml:space="preserve"> ביוונית</w:t>
      </w:r>
      <w:r w:rsidR="008026A3" w:rsidRPr="007C5C39">
        <w:rPr>
          <w:rFonts w:ascii="Times New Roman" w:hAnsi="Times New Roman" w:cs="Times New Roman"/>
          <w:rtl/>
        </w:rPr>
        <w:t xml:space="preserve"> </w:t>
      </w:r>
      <w:r w:rsidR="008026A3" w:rsidRPr="007C5C39">
        <w:rPr>
          <w:rFonts w:ascii="Times New Roman" w:hAnsi="Times New Roman" w:cs="Times New Roman"/>
        </w:rPr>
        <w:t>Τι είναι</w:t>
      </w:r>
      <w:r w:rsidR="008026A3" w:rsidRPr="007C5C39">
        <w:rPr>
          <w:rFonts w:ascii="Times New Roman" w:hAnsi="Times New Roman" w:cs="Times New Roman"/>
          <w:rtl/>
        </w:rPr>
        <w:t xml:space="preserve"> </w:t>
      </w:r>
      <w:r w:rsidR="008026A3" w:rsidRPr="008026A3">
        <w:rPr>
          <w:rtl/>
        </w:rPr>
        <w:t>(</w:t>
      </w:r>
      <w:r w:rsidR="008026A3" w:rsidRPr="008026A3">
        <w:t>Ti eínai</w:t>
      </w:r>
      <w:r w:rsidR="008026A3" w:rsidRPr="008026A3">
        <w:rPr>
          <w:rtl/>
        </w:rPr>
        <w:t>).</w:t>
      </w:r>
      <w:r w:rsidRPr="008026A3">
        <w:rPr>
          <w:rtl/>
        </w:rPr>
        <w:t xml:space="preserve"> באנגלית מקובל לתרגם </w:t>
      </w:r>
      <w:r w:rsidRPr="008026A3">
        <w:t>essence</w:t>
      </w:r>
      <w:r w:rsidR="003B6A80">
        <w:rPr>
          <w:rFonts w:hint="cs"/>
          <w:rtl/>
        </w:rPr>
        <w:t xml:space="preserve">, או להשתמש במילה שמקורה לטיני והיא מדוייקת יותר </w:t>
      </w:r>
      <w:r w:rsidR="003B6A80" w:rsidRPr="003B6A80">
        <w:t>quiddity</w:t>
      </w:r>
      <w:r w:rsidRPr="008026A3">
        <w:rPr>
          <w:rtl/>
        </w:rPr>
        <w:t xml:space="preserve">. צורה, אידיאה, מתורגמת </w:t>
      </w:r>
      <w:r w:rsidR="003B6A80">
        <w:rPr>
          <w:rFonts w:hint="cs"/>
          <w:rtl/>
        </w:rPr>
        <w:t>לפעמים</w:t>
      </w:r>
      <w:r w:rsidRPr="008026A3">
        <w:rPr>
          <w:rtl/>
        </w:rPr>
        <w:t xml:space="preserve"> על ידי תומס טיילור </w:t>
      </w:r>
      <w:r w:rsidRPr="008026A3">
        <w:t>the very essence</w:t>
      </w:r>
      <w:r w:rsidRPr="008026A3">
        <w:rPr>
          <w:rtl/>
        </w:rPr>
        <w:t xml:space="preserve">. מילה זו משמשת גם לציון צורה (במובן של אידיאה) או מין. מין הכלבים הוא סך בעלי החיים שמהותו היא הכלביות.   </w:t>
      </w:r>
    </w:p>
  </w:footnote>
  <w:footnote w:id="17">
    <w:p w14:paraId="468A6677" w14:textId="7EA783D8" w:rsidR="004F1139" w:rsidRPr="00A3461B" w:rsidRDefault="004F1139" w:rsidP="00A3461B">
      <w:pPr>
        <w:pStyle w:val="FootnoteText"/>
        <w:rPr>
          <w:rtl/>
        </w:rPr>
      </w:pPr>
      <w:r w:rsidRPr="00241B56">
        <w:rPr>
          <w:rStyle w:val="FootnoteReference"/>
        </w:rPr>
        <w:footnoteRef/>
      </w:r>
      <w:r w:rsidRPr="00A3461B">
        <w:rPr>
          <w:rtl/>
        </w:rPr>
        <w:t xml:space="preserve"> </w:t>
      </w:r>
      <w:r w:rsidRPr="00A3461B">
        <w:rPr>
          <w:rFonts w:hint="cs"/>
          <w:rtl/>
        </w:rPr>
        <w:t xml:space="preserve">אדם למשל הגדרתו 'חי מדבר', זו צורתו העצמית, האידיאה. מבחינה זו אין הבדל אם הוא נולד היום או שהוא כבר זקן מופלג, מצד שהוא 'חי מדבר' הוא לא משתנה. הצורות המופשטות, האידיאות, הן לא חלק מהטבע אלא הן מצד הנצח, מעל הטבע, ואין בהן שינוי. מקרה פירושו מה שאם ישנו או איננו אינו גורם לשום שינוי בעצם, לכן להיות תינוק או זקן הוא מקרה. האדם נתון לשינוי, הוא שייך לטבע, רק מצד המקרים שבו כי העצם כשלעצמו אינו משתנה, למשל הוא נולד תינוק ומשתנה לזקן ואז מת, וכל משך חייו הם השתנות בלתי פוסקת מצד הינקות לצד השיבה. מה שאדם מתחיל כצעיר ומזדקן אינו עצמותו בעצמה, האידיאה של חי מדבר, אבל הוא מקרה מהותי, זה נובע מעצם מה שהוא אדם, ולכן זה טבע או לפי הטבע. בניגוד לשינוי כגון שהוא איבד רגל בתאונה שזה מקרה שאינו שייך לעצם מה שהוא אדם וזה לא לפי הטבע. </w:t>
      </w:r>
    </w:p>
    <w:p w14:paraId="46AE2F3E" w14:textId="7B79FC90" w:rsidR="004F1139" w:rsidRPr="00A3461B" w:rsidRDefault="004F1139" w:rsidP="00A3461B">
      <w:pPr>
        <w:pStyle w:val="FootnoteText"/>
        <w:rPr>
          <w:rtl/>
        </w:rPr>
      </w:pPr>
      <w:r w:rsidRPr="00A3461B">
        <w:rPr>
          <w:rFonts w:hint="cs"/>
          <w:rtl/>
        </w:rPr>
        <w:t>יש גם שינוי מצד הצורות, שחדלון צורה אחת גורם להתחדשות צורה חדשה, למשל מה שהאדם מת גורם להתחדשות עצם שהוא חתיכת בשר מת שדומה בתואר החיצוני לגוף שהיה חי, או מה שהאפרוח בוקע מהביצה גורם לחדלון העצם 'ביצה' והתחדשות העצם 'תרנגול'.</w:t>
      </w:r>
    </w:p>
    <w:p w14:paraId="11DB0D56" w14:textId="558D9DA8" w:rsidR="004F1139" w:rsidRPr="00A3461B" w:rsidRDefault="004F1139" w:rsidP="00A3461B">
      <w:pPr>
        <w:pStyle w:val="FootnoteText"/>
      </w:pPr>
      <w:r w:rsidRPr="00A3461B">
        <w:rPr>
          <w:rFonts w:hint="cs"/>
          <w:rtl/>
        </w:rPr>
        <w:t>הקשר בין סוגי מקרים שונים למהות העצם הוא עניין עמוק וארוך ויתבאר בכל מקום לפי עניינו.</w:t>
      </w:r>
    </w:p>
  </w:footnote>
  <w:footnote w:id="18">
    <w:p w14:paraId="221274B9" w14:textId="000A2C33"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השינוי.</w:t>
      </w:r>
    </w:p>
  </w:footnote>
  <w:footnote w:id="19">
    <w:p w14:paraId="534A4F6F" w14:textId="18DB0DBF" w:rsidR="004F1139" w:rsidRPr="00A3461B" w:rsidRDefault="004F1139" w:rsidP="00A3461B">
      <w:pPr>
        <w:pStyle w:val="FootnoteText"/>
        <w:rPr>
          <w:rtl/>
        </w:rPr>
      </w:pPr>
      <w:r w:rsidRPr="00241B56">
        <w:rPr>
          <w:rStyle w:val="FootnoteReference"/>
        </w:rPr>
        <w:footnoteRef/>
      </w:r>
      <w:r w:rsidRPr="00A3461B">
        <w:rPr>
          <w:rtl/>
        </w:rPr>
        <w:t xml:space="preserve"> </w:t>
      </w:r>
      <w:r w:rsidRPr="00A3461B">
        <w:rPr>
          <w:rFonts w:hint="cs"/>
          <w:rtl/>
        </w:rPr>
        <w:t>במידה שהם גופים משתנים ולא אידיאות מופשטות נצחיות שאין בהן שינוי, השינוי חל בהם לא בעצמם אלא באותם מקרים שמתלווים אליהם מצד מה שהם גופים משתנים. כי ללא שינוי במקרה לא יהיה שינוי כלל בעצם, אדם לא משתנה במה שהוא חי מדבר, אלא רק במקרים של ה'חי מדבר' כגון גדילה, זקנה, וכיו</w:t>
      </w:r>
      <w:r w:rsidR="00F055C8">
        <w:rPr>
          <w:rtl/>
        </w:rPr>
        <w:t>"</w:t>
      </w:r>
      <w:r w:rsidRPr="00A3461B">
        <w:rPr>
          <w:rFonts w:hint="cs"/>
          <w:rtl/>
        </w:rPr>
        <w:t xml:space="preserve">ב. מה שהאדם הוא דבר טבעי אינו מונח בעצם האידאה של חי מדבר אלא במקרים כגון אלה. לתפוש את האידיאה של 'חי מדבר' כאידיאה נצחית מופשטת לגמרי אינו שייך לפיזיקה אלא </w:t>
      </w:r>
      <w:r w:rsidRPr="00A3461B">
        <w:rPr>
          <w:rFonts w:hint="cs"/>
          <w:rtl/>
        </w:rPr>
        <w:t xml:space="preserve">למטאפיזיקה. הפיזיקה עוסקת בבחינת היותו משתנה, שממנה עולים בסולם לראות את מציאותו המופשטת, כי השינוי לא יכול להיות קיים מצד עצמו, שהרי יש בו צד כליון, והוא בהכרח תלוי בסיבה מופשטת נצחית. </w:t>
      </w:r>
    </w:p>
    <w:p w14:paraId="64781542" w14:textId="414CD85C" w:rsidR="004F1139" w:rsidRPr="00A3461B" w:rsidRDefault="004F1139" w:rsidP="00A3461B">
      <w:pPr>
        <w:pStyle w:val="FootnoteText"/>
        <w:rPr>
          <w:rtl/>
        </w:rPr>
      </w:pPr>
      <w:r w:rsidRPr="00A3461B">
        <w:rPr>
          <w:rFonts w:hint="cs"/>
          <w:rtl/>
        </w:rPr>
        <w:t xml:space="preserve">למשל, אם מסתכלים על צל, מחשבה, קרני אור, ברור לנו שאלה לא קיימים בעצמם אלא מציאותם תלויה בגוף המטיל צל, באדם שחושב את המחשבות, במקור האור שמפיק את קרני האור. כי נדמה לנו שהגוף עצמו שמטיל את הצל, שהאדם שחושב, שמקור האור, מציאותם קבועה, ואילו הצל בעצמו והמחשבות וקרני האור כשלעצמן נדמים לנו כמשתנים. במבט יותר עמוק נראה שכל הגופים משתנים, ולכן מציאותם תלויה בגוף שאינו משתנה, שזה אפשר רק אם הוא מופשט לגמרי, וזה האלוה. המבט הזה הוא הלימוד של הפיזיקה, להכיר את הבורא מתוך הבריאה. </w:t>
      </w:r>
    </w:p>
    <w:p w14:paraId="3C1519EA" w14:textId="108FED58" w:rsidR="004F1139" w:rsidRPr="00A3461B" w:rsidRDefault="004F1139" w:rsidP="00A3461B">
      <w:pPr>
        <w:pStyle w:val="FootnoteText"/>
        <w:rPr>
          <w:rtl/>
        </w:rPr>
      </w:pPr>
    </w:p>
    <w:p w14:paraId="7C90F972" w14:textId="3F85D89A" w:rsidR="004F1139" w:rsidRPr="00A3461B" w:rsidRDefault="004F1139" w:rsidP="00A3461B">
      <w:pPr>
        <w:pStyle w:val="FootnoteText"/>
        <w:rPr>
          <w:rtl/>
        </w:rPr>
      </w:pPr>
      <w:r w:rsidRPr="00A3461B">
        <w:rPr>
          <w:rFonts w:hint="cs"/>
          <w:rtl/>
        </w:rPr>
        <w:t>(היסודות הפשוטים, אש רוח מים ועפר, אינם חלק מהטבע ואינם נמצאים בו, וכמו שכתב אריסטו ב</w:t>
      </w:r>
      <w:r w:rsidR="00F055C8">
        <w:rPr>
          <w:rtl/>
        </w:rPr>
        <w:t>"</w:t>
      </w:r>
      <w:r w:rsidRPr="00A3461B">
        <w:rPr>
          <w:rFonts w:hint="cs"/>
          <w:rtl/>
        </w:rPr>
        <w:t>על ההתהוות וההפסד</w:t>
      </w:r>
      <w:r w:rsidR="00F055C8">
        <w:rPr>
          <w:rtl/>
        </w:rPr>
        <w:t>"</w:t>
      </w:r>
      <w:r w:rsidRPr="00A3461B">
        <w:rPr>
          <w:rFonts w:hint="cs"/>
          <w:rtl/>
        </w:rPr>
        <w:t xml:space="preserve"> וכן גם כתב הרמב</w:t>
      </w:r>
      <w:r w:rsidR="00F055C8">
        <w:rPr>
          <w:rtl/>
        </w:rPr>
        <w:t>"</w:t>
      </w:r>
      <w:r w:rsidRPr="00A3461B">
        <w:rPr>
          <w:rFonts w:hint="cs"/>
          <w:rtl/>
        </w:rPr>
        <w:t>ם בהלכות יסודי התורה ד' ב'. מצד עצמם אין בהם שינוי, אש לנצח תהיה אש לפי אותה הגדרה, אותה אידיאה, של 'אש'. מה שמכניס את היסודות לגדר של 'טבע' הוא המקרה ההכרחי למהותם של היותם משתנים, מהשינוי הם גם מתרכבים זה בזה ומהרכבתם נעשה החומר של הגופים הטבעיים, וחומר זה משתנה ביחסי ההרכבה, המזג, ללא הרף, ומשום כך לובש צורה ופושט צורה ללא הרף. כיוון שאין להם איכויות מקריות השינוי שלהם הוא בהכרח מיסוד זה ליסוד אחר. זה הטעם למה שכתב אריסטו ובעקבותיו הרמב</w:t>
      </w:r>
      <w:r w:rsidR="00F055C8">
        <w:rPr>
          <w:rtl/>
        </w:rPr>
        <w:t>"</w:t>
      </w:r>
      <w:r w:rsidRPr="00A3461B">
        <w:rPr>
          <w:rFonts w:hint="cs"/>
          <w:rtl/>
        </w:rPr>
        <w:t>ם בהלכות יסודי התורה ד' ה' (נוח לי יותר להביא את דברי אריסטו מהרמב</w:t>
      </w:r>
      <w:r w:rsidR="00F055C8">
        <w:rPr>
          <w:rtl/>
        </w:rPr>
        <w:t>"</w:t>
      </w:r>
      <w:r w:rsidRPr="00A3461B">
        <w:rPr>
          <w:rFonts w:hint="cs"/>
          <w:rtl/>
        </w:rPr>
        <w:t>ם, כי הניסוח שלו בהיר וגם לא מצריך תרגום):</w:t>
      </w:r>
    </w:p>
    <w:p w14:paraId="06FFA491" w14:textId="4B1C53FE" w:rsidR="004F1139" w:rsidRPr="00AB691C" w:rsidRDefault="00F055C8" w:rsidP="00A3461B">
      <w:pPr>
        <w:pStyle w:val="FootnoteText"/>
      </w:pPr>
      <w:r>
        <w:rPr>
          <w:rtl/>
        </w:rPr>
        <w:t>"</w:t>
      </w:r>
      <w:r w:rsidR="004F1139" w:rsidRPr="00A3461B">
        <w:rPr>
          <w:rtl/>
        </w:rPr>
        <w:t>ארבעה יסודות האלו משתנים זה לזה תמיד בכל יום ובכל שעה</w:t>
      </w:r>
      <w:r w:rsidR="004F1139" w:rsidRPr="00A3461B">
        <w:rPr>
          <w:rFonts w:hint="cs"/>
          <w:rtl/>
        </w:rPr>
        <w:t>,</w:t>
      </w:r>
      <w:r w:rsidR="004F1139" w:rsidRPr="00A3461B">
        <w:rPr>
          <w:rtl/>
        </w:rPr>
        <w:t xml:space="preserve"> מקצתן </w:t>
      </w:r>
      <w:r w:rsidR="004F1139" w:rsidRPr="00A3461B">
        <w:rPr>
          <w:rFonts w:hint="cs"/>
          <w:rtl/>
        </w:rPr>
        <w:t xml:space="preserve">- </w:t>
      </w:r>
      <w:r w:rsidR="004F1139" w:rsidRPr="00A3461B">
        <w:rPr>
          <w:rtl/>
        </w:rPr>
        <w:t>לא כל גופן</w:t>
      </w:r>
      <w:r w:rsidR="004F1139" w:rsidRPr="00A3461B">
        <w:rPr>
          <w:rFonts w:hint="cs"/>
          <w:rtl/>
        </w:rPr>
        <w:t>.</w:t>
      </w:r>
      <w:r w:rsidR="004F1139" w:rsidRPr="00A3461B">
        <w:rPr>
          <w:rtl/>
        </w:rPr>
        <w:t xml:space="preserve"> כיצד</w:t>
      </w:r>
      <w:r w:rsidR="004F1139" w:rsidRPr="00A3461B">
        <w:rPr>
          <w:rFonts w:hint="cs"/>
          <w:rtl/>
        </w:rPr>
        <w:t>:</w:t>
      </w:r>
      <w:r w:rsidR="004F1139" w:rsidRPr="00A3461B">
        <w:rPr>
          <w:rtl/>
        </w:rPr>
        <w:t xml:space="preserve"> מקצת הארץ הקרובה מן המים משתנית ומתפוררת ונעשית מים</w:t>
      </w:r>
      <w:r w:rsidR="004F1139" w:rsidRPr="00A3461B">
        <w:rPr>
          <w:rFonts w:hint="cs"/>
          <w:rtl/>
        </w:rPr>
        <w:t>,</w:t>
      </w:r>
      <w:r w:rsidR="004F1139" w:rsidRPr="00A3461B">
        <w:rPr>
          <w:rtl/>
        </w:rPr>
        <w:t xml:space="preserve"> וכן מקצת המים הסמוכים לרוח משתנין ומתמסמסין והווין רוח</w:t>
      </w:r>
      <w:r w:rsidR="004F1139" w:rsidRPr="00A3461B">
        <w:rPr>
          <w:rFonts w:hint="cs"/>
          <w:rtl/>
        </w:rPr>
        <w:t>,</w:t>
      </w:r>
      <w:r w:rsidR="004F1139" w:rsidRPr="00A3461B">
        <w:rPr>
          <w:rtl/>
        </w:rPr>
        <w:t xml:space="preserve"> וכן הרוח מקצתו הסמוך לאש משתנה ומתחולל ונעשה אש</w:t>
      </w:r>
      <w:r w:rsidR="004F1139" w:rsidRPr="00A3461B">
        <w:rPr>
          <w:rFonts w:hint="cs"/>
          <w:rtl/>
        </w:rPr>
        <w:t>,</w:t>
      </w:r>
      <w:r w:rsidR="004F1139" w:rsidRPr="00A3461B">
        <w:rPr>
          <w:rtl/>
        </w:rPr>
        <w:t xml:space="preserve"> וכן האש מקצתה הסמוך לרוח מתח</w:t>
      </w:r>
      <w:r w:rsidR="004F1139" w:rsidRPr="00AB691C">
        <w:rPr>
          <w:rtl/>
        </w:rPr>
        <w:t>ולל משתנה ומתכנס ונעשה רוח, וכן הרוח מקצתו הסמוך למים משתנה ומתכנס ונעשה מים, וכן המים מקצתו הסמוך לארץ משתנה ומתכנס ונעשה ארץ, ושינוי זה מעט מעט ולפי אורך הימים, ואין כל היסוד משתנה עד שיעשה כל המים רוח או כל הרוח אש שאי אפשר שיבטל אחד מן היסודות הארבעה אלא מקצת ישתנה מאש לרוח ומקצת ישתנה מרוח לאש וכן בין כל אחד וחבירו ימצא השינוי בין ארבעתן וחוזרות חלילה לעולם.</w:t>
      </w:r>
      <w:r>
        <w:rPr>
          <w:rtl/>
        </w:rPr>
        <w:t>"</w:t>
      </w:r>
      <w:r w:rsidR="004F1139" w:rsidRPr="00AB691C">
        <w:rPr>
          <w:rtl/>
        </w:rPr>
        <w:t>)</w:t>
      </w:r>
    </w:p>
  </w:footnote>
  <w:footnote w:id="20">
    <w:p w14:paraId="52F0664F" w14:textId="670A39EC" w:rsidR="004F1139" w:rsidRPr="00AB691C" w:rsidRDefault="004F1139" w:rsidP="00A3461B">
      <w:pPr>
        <w:pStyle w:val="FootnoteText"/>
      </w:pPr>
      <w:r w:rsidRPr="00AB691C">
        <w:rPr>
          <w:rStyle w:val="FootnoteReference"/>
        </w:rPr>
        <w:footnoteRef/>
      </w:r>
      <w:r w:rsidRPr="00AB691C">
        <w:rPr>
          <w:rtl/>
        </w:rPr>
        <w:t xml:space="preserve"> פרק א' פסקה 5.</w:t>
      </w:r>
    </w:p>
  </w:footnote>
  <w:footnote w:id="21">
    <w:p w14:paraId="72862BA9" w14:textId="4E9E5DF3" w:rsidR="004F1139" w:rsidRPr="00AB691C" w:rsidRDefault="004F1139" w:rsidP="00A3461B">
      <w:pPr>
        <w:pStyle w:val="FootnoteText"/>
      </w:pPr>
      <w:r w:rsidRPr="00AB691C">
        <w:rPr>
          <w:rStyle w:val="FootnoteReference"/>
        </w:rPr>
        <w:footnoteRef/>
      </w:r>
      <w:r w:rsidRPr="00AB691C">
        <w:rPr>
          <w:rtl/>
        </w:rPr>
        <w:t xml:space="preserve"> תוצאות של סיבות פועלות.</w:t>
      </w:r>
    </w:p>
  </w:footnote>
  <w:footnote w:id="22">
    <w:p w14:paraId="42A31E92" w14:textId="5DC5C2D2" w:rsidR="004F1139" w:rsidRPr="00AB691C" w:rsidRDefault="004F1139" w:rsidP="00A3461B">
      <w:pPr>
        <w:pStyle w:val="FootnoteText"/>
      </w:pPr>
      <w:r w:rsidRPr="00AB691C">
        <w:rPr>
          <w:rStyle w:val="FootnoteReference"/>
        </w:rPr>
        <w:footnoteRef/>
      </w:r>
      <w:r w:rsidRPr="00AB691C">
        <w:rPr>
          <w:rtl/>
        </w:rPr>
        <w:t xml:space="preserve"> הכוונה לתרכובת ארבעת היסודות שהיא החומר של הגופים המוחשיים, והיא מזג, כלומר יחסי הרכבה, שמשתנה באופן תדיר, והשתנות זו היא מסיבת הגלגל והיא הסיבה למה שכל הגופים תמיד פושטים צורה ולובשים צורה, וזה עיקר מה שנקרא טבע. </w:t>
      </w:r>
    </w:p>
  </w:footnote>
  <w:footnote w:id="23">
    <w:p w14:paraId="374A2F70" w14:textId="2F07DA28" w:rsidR="004F1139" w:rsidRPr="00AB691C" w:rsidRDefault="004F1139" w:rsidP="00A3461B">
      <w:pPr>
        <w:pStyle w:val="FootnoteText"/>
        <w:rPr>
          <w:rStyle w:val="Heading4Char"/>
          <w:rtl/>
        </w:rPr>
      </w:pPr>
      <w:r w:rsidRPr="00AB691C">
        <w:rPr>
          <w:rStyle w:val="FootnoteReference"/>
        </w:rPr>
        <w:footnoteRef/>
      </w:r>
      <w:r w:rsidRPr="00AB691C">
        <w:rPr>
          <w:rtl/>
        </w:rPr>
        <w:t xml:space="preserve"> </w:t>
      </w:r>
      <w:bookmarkStart w:id="19" w:name="התחלה_סיבת_מציאות_סיבת_מהות"/>
      <w:r w:rsidRPr="00AB691C">
        <w:rPr>
          <w:b/>
          <w:bCs/>
          <w:sz w:val="32"/>
          <w:szCs w:val="32"/>
          <w:rtl/>
        </w:rPr>
        <w:t>ביאור המונחים 'התחלה</w:t>
      </w:r>
      <w:r w:rsidR="007078B0">
        <w:rPr>
          <w:b/>
          <w:bCs/>
          <w:sz w:val="32"/>
          <w:szCs w:val="32"/>
          <w:rtl/>
        </w:rPr>
        <w:fldChar w:fldCharType="begin"/>
      </w:r>
      <w:r w:rsidR="007078B0">
        <w:instrText xml:space="preserve"> XE "</w:instrText>
      </w:r>
      <w:r w:rsidR="007078B0" w:rsidRPr="003526B5">
        <w:rPr>
          <w:b/>
          <w:bCs/>
          <w:sz w:val="32"/>
          <w:szCs w:val="32"/>
          <w:rtl/>
        </w:rPr>
        <w:instrText>התחל</w:instrText>
      </w:r>
      <w:r w:rsidR="007078B0">
        <w:rPr>
          <w:rFonts w:hint="cs"/>
          <w:b/>
          <w:bCs/>
          <w:sz w:val="32"/>
          <w:szCs w:val="32"/>
          <w:rtl/>
        </w:rPr>
        <w:instrText>ות וסיבות</w:instrText>
      </w:r>
      <w:r w:rsidR="007078B0">
        <w:instrText xml:space="preserve">" </w:instrText>
      </w:r>
      <w:r w:rsidR="007078B0">
        <w:rPr>
          <w:b/>
          <w:bCs/>
          <w:sz w:val="32"/>
          <w:szCs w:val="32"/>
          <w:rtl/>
        </w:rPr>
        <w:fldChar w:fldCharType="end"/>
      </w:r>
      <w:r w:rsidR="00FC140D">
        <w:rPr>
          <w:rFonts w:hint="cs"/>
          <w:b/>
          <w:bCs/>
          <w:sz w:val="32"/>
          <w:szCs w:val="32"/>
          <w:rtl/>
        </w:rPr>
        <w:t>'</w:t>
      </w:r>
      <w:r w:rsidRPr="00AB691C">
        <w:rPr>
          <w:b/>
          <w:bCs/>
          <w:sz w:val="32"/>
          <w:szCs w:val="32"/>
          <w:rtl/>
        </w:rPr>
        <w:t>, 'סיבת מציאות' ו'סיבת מהות</w:t>
      </w:r>
      <w:r w:rsidR="00837BC1">
        <w:rPr>
          <w:b/>
          <w:bCs/>
          <w:sz w:val="32"/>
          <w:szCs w:val="32"/>
          <w:rtl/>
        </w:rPr>
        <w:fldChar w:fldCharType="begin"/>
      </w:r>
      <w:r w:rsidR="00837BC1">
        <w:instrText xml:space="preserve"> XE "</w:instrText>
      </w:r>
      <w:r w:rsidR="00837BC1" w:rsidRPr="00B66ACA">
        <w:rPr>
          <w:rFonts w:hint="cs"/>
          <w:sz w:val="32"/>
          <w:szCs w:val="32"/>
          <w:rtl/>
        </w:rPr>
        <w:instrText>מאמר</w:instrText>
      </w:r>
      <w:r w:rsidR="00837BC1" w:rsidRPr="00B66ACA">
        <w:rPr>
          <w:sz w:val="32"/>
          <w:szCs w:val="32"/>
          <w:rtl/>
        </w:rPr>
        <w:instrText>:</w:instrText>
      </w:r>
      <w:r w:rsidR="00837BC1" w:rsidRPr="00B66ACA">
        <w:rPr>
          <w:rFonts w:hint="cs"/>
          <w:rtl/>
        </w:rPr>
        <w:instrText>התחלה, סיבת מציאות, סיבת מהות</w:instrText>
      </w:r>
      <w:r w:rsidR="00837BC1">
        <w:instrText xml:space="preserve">" </w:instrText>
      </w:r>
      <w:r w:rsidR="00837BC1">
        <w:rPr>
          <w:b/>
          <w:bCs/>
          <w:sz w:val="32"/>
          <w:szCs w:val="32"/>
          <w:rtl/>
        </w:rPr>
        <w:fldChar w:fldCharType="end"/>
      </w:r>
      <w:r w:rsidRPr="00AB691C">
        <w:rPr>
          <w:b/>
          <w:bCs/>
          <w:sz w:val="32"/>
          <w:szCs w:val="32"/>
          <w:rtl/>
        </w:rPr>
        <w:t>'</w:t>
      </w:r>
      <w:bookmarkStart w:id="20" w:name="_Hlk97116482"/>
      <w:bookmarkEnd w:id="19"/>
      <w:r w:rsidR="00596052">
        <w:rPr>
          <w:b/>
          <w:bCs/>
          <w:sz w:val="32"/>
          <w:szCs w:val="32"/>
          <w:rtl/>
        </w:rPr>
        <w:fldChar w:fldCharType="begin"/>
      </w:r>
      <w:r w:rsidR="00596052">
        <w:instrText xml:space="preserve"> XE "</w:instrText>
      </w:r>
      <w:r w:rsidR="00596052" w:rsidRPr="00A14F82">
        <w:rPr>
          <w:b/>
          <w:bCs/>
          <w:sz w:val="32"/>
          <w:szCs w:val="32"/>
          <w:rtl/>
        </w:rPr>
        <w:instrText>'התחלה', 'סיבת מציאות' ו'סיבת מהות'</w:instrText>
      </w:r>
      <w:r w:rsidR="00596052">
        <w:instrText xml:space="preserve">" </w:instrText>
      </w:r>
      <w:r w:rsidR="00596052">
        <w:rPr>
          <w:b/>
          <w:bCs/>
          <w:sz w:val="32"/>
          <w:szCs w:val="32"/>
          <w:rtl/>
        </w:rPr>
        <w:fldChar w:fldCharType="end"/>
      </w:r>
      <w:bookmarkEnd w:id="20"/>
    </w:p>
    <w:p w14:paraId="11E4C952" w14:textId="08E2EE48" w:rsidR="00A27F13" w:rsidRPr="00AB691C" w:rsidRDefault="00A27F13" w:rsidP="00A3461B">
      <w:pPr>
        <w:pStyle w:val="FootnoteText"/>
        <w:rPr>
          <w:rStyle w:val="Heading4Char"/>
          <w:rtl/>
        </w:rPr>
      </w:pPr>
      <w:r w:rsidRPr="00AB691C">
        <w:rPr>
          <w:rStyle w:val="Heading4Char"/>
          <w:rtl/>
        </w:rPr>
        <w:t xml:space="preserve">המונח שאבן סינא משתמש בו להתחלות הוא </w:t>
      </w:r>
      <w:r w:rsidRPr="00AB691C">
        <w:rPr>
          <w:rStyle w:val="Heading4Char"/>
          <w:rFonts w:ascii="Arial" w:hAnsi="Arial" w:cs="Arial" w:hint="cs"/>
          <w:rtl/>
          <w:lang w:bidi="ar-SA"/>
        </w:rPr>
        <w:t>المبادىء</w:t>
      </w:r>
      <w:r w:rsidRPr="00AB691C">
        <w:rPr>
          <w:rStyle w:val="Heading4Char"/>
          <w:rtl/>
          <w:lang w:bidi="ar-SA"/>
        </w:rPr>
        <w:t xml:space="preserve"> (</w:t>
      </w:r>
      <w:r w:rsidR="006D5639" w:rsidRPr="00AB691C">
        <w:rPr>
          <w:rStyle w:val="Heading4Char"/>
          <w:rtl/>
        </w:rPr>
        <w:t xml:space="preserve">בכתיב המקובל </w:t>
      </w:r>
      <w:r w:rsidRPr="00AB691C">
        <w:rPr>
          <w:rStyle w:val="Heading4Char"/>
          <w:rFonts w:ascii="Arial" w:hAnsi="Arial" w:cs="Arial" w:hint="cs"/>
          <w:rtl/>
          <w:lang w:bidi="ar-SA"/>
        </w:rPr>
        <w:t>المبادئ</w:t>
      </w:r>
      <w:r w:rsidRPr="00AB691C">
        <w:rPr>
          <w:rStyle w:val="Heading4Char"/>
          <w:rtl/>
          <w:lang w:bidi="ar-SA"/>
        </w:rPr>
        <w:t>)</w:t>
      </w:r>
      <w:r w:rsidR="00EB7E48" w:rsidRPr="00AB691C">
        <w:rPr>
          <w:rStyle w:val="Heading4Char"/>
          <w:rtl/>
        </w:rPr>
        <w:t xml:space="preserve"> אל-מבדא</w:t>
      </w:r>
      <w:r w:rsidRPr="00AB691C">
        <w:rPr>
          <w:rStyle w:val="Heading4Char"/>
          <w:rtl/>
          <w:lang w:bidi="ar-SA"/>
        </w:rPr>
        <w:t xml:space="preserve">. </w:t>
      </w:r>
      <w:r w:rsidRPr="00AB691C">
        <w:rPr>
          <w:rStyle w:val="Heading4Char"/>
          <w:rtl/>
        </w:rPr>
        <w:t xml:space="preserve">הוא המונח הערבי שמקביל לרוב למונח היווני </w:t>
      </w:r>
      <w:r w:rsidRPr="002B70F8">
        <w:rPr>
          <w:rStyle w:val="Heading4Char"/>
          <w:rFonts w:ascii="Times New Roman" w:hAnsi="Times New Roman" w:cs="Times New Roman"/>
        </w:rPr>
        <w:t xml:space="preserve">Αρχές </w:t>
      </w:r>
      <w:r w:rsidRPr="00AB691C">
        <w:rPr>
          <w:rStyle w:val="Heading4Char"/>
        </w:rPr>
        <w:t>archés</w:t>
      </w:r>
      <w:r w:rsidRPr="00AB691C">
        <w:rPr>
          <w:rStyle w:val="Heading4Char"/>
          <w:rtl/>
        </w:rPr>
        <w:t xml:space="preserve">. יכול להיות מתורגם גם עקרונות או יסודות. </w:t>
      </w:r>
      <w:r w:rsidR="002026AC" w:rsidRPr="00AB691C">
        <w:rPr>
          <w:rStyle w:val="Heading4Char"/>
          <w:rtl/>
        </w:rPr>
        <w:t xml:space="preserve">בלשון העברית של ימי הביניים לרוב הוא מתורגם </w:t>
      </w:r>
      <w:r w:rsidR="00F055C8">
        <w:rPr>
          <w:rStyle w:val="Heading4Char"/>
          <w:rtl/>
        </w:rPr>
        <w:t>"</w:t>
      </w:r>
      <w:r w:rsidR="002026AC" w:rsidRPr="00AB691C">
        <w:rPr>
          <w:rStyle w:val="Heading4Char"/>
          <w:rtl/>
        </w:rPr>
        <w:t>התחלות</w:t>
      </w:r>
      <w:r w:rsidR="00F055C8">
        <w:rPr>
          <w:rStyle w:val="Heading4Char"/>
          <w:rtl/>
        </w:rPr>
        <w:t>"</w:t>
      </w:r>
      <w:r w:rsidR="002026AC" w:rsidRPr="00AB691C">
        <w:rPr>
          <w:rStyle w:val="Heading4Char"/>
          <w:rtl/>
        </w:rPr>
        <w:t xml:space="preserve"> וכך נקטתי. באנגלית מקובל לתרגם </w:t>
      </w:r>
      <w:r w:rsidR="002026AC" w:rsidRPr="00AB691C">
        <w:rPr>
          <w:rStyle w:val="Heading4Char"/>
        </w:rPr>
        <w:t>principles</w:t>
      </w:r>
      <w:r w:rsidR="002026AC" w:rsidRPr="00AB691C">
        <w:rPr>
          <w:rStyle w:val="Heading4Char"/>
          <w:rtl/>
        </w:rPr>
        <w:t xml:space="preserve">. כאן </w:t>
      </w:r>
      <w:r w:rsidR="00F055C8">
        <w:rPr>
          <w:rStyle w:val="Heading4Char"/>
          <w:rtl/>
        </w:rPr>
        <w:t>"</w:t>
      </w:r>
      <w:r w:rsidR="002026AC" w:rsidRPr="00AB691C">
        <w:rPr>
          <w:rStyle w:val="Heading4Char"/>
          <w:rtl/>
        </w:rPr>
        <w:t>התחלות</w:t>
      </w:r>
      <w:r w:rsidR="00F055C8">
        <w:rPr>
          <w:rStyle w:val="Heading4Char"/>
          <w:rtl/>
        </w:rPr>
        <w:t>"</w:t>
      </w:r>
      <w:r w:rsidR="002026AC" w:rsidRPr="00AB691C">
        <w:rPr>
          <w:rStyle w:val="Heading4Char"/>
          <w:rtl/>
        </w:rPr>
        <w:t xml:space="preserve"> משמש כמונח בעל מובן </w:t>
      </w:r>
      <w:r w:rsidR="009C463A" w:rsidRPr="00AB691C">
        <w:rPr>
          <w:rStyle w:val="Heading4Char"/>
          <w:rFonts w:hint="cs"/>
          <w:rtl/>
        </w:rPr>
        <w:t>מדויק</w:t>
      </w:r>
      <w:r w:rsidR="002026AC" w:rsidRPr="00AB691C">
        <w:rPr>
          <w:rStyle w:val="Heading4Char"/>
          <w:rtl/>
        </w:rPr>
        <w:t xml:space="preserve">. לפעמים אריסטו ואבן סינא משתמשים במילה הזו במובן רחב וכולל יותר, כמילה בלשון מדוברת ולא כמונח פילוסופי </w:t>
      </w:r>
      <w:r w:rsidR="009C463A" w:rsidRPr="00AB691C">
        <w:rPr>
          <w:rStyle w:val="Heading4Char"/>
          <w:rFonts w:hint="cs"/>
          <w:rtl/>
        </w:rPr>
        <w:t>מדו</w:t>
      </w:r>
      <w:r w:rsidR="009C463A">
        <w:rPr>
          <w:rStyle w:val="Heading4Char"/>
          <w:rFonts w:hint="cs"/>
          <w:rtl/>
        </w:rPr>
        <w:t>י</w:t>
      </w:r>
      <w:r w:rsidR="009C463A" w:rsidRPr="00AB691C">
        <w:rPr>
          <w:rStyle w:val="Heading4Char"/>
          <w:rFonts w:hint="cs"/>
          <w:rtl/>
        </w:rPr>
        <w:t>ק</w:t>
      </w:r>
      <w:r w:rsidR="002026AC" w:rsidRPr="00AB691C">
        <w:rPr>
          <w:rStyle w:val="Heading4Char"/>
          <w:rtl/>
        </w:rPr>
        <w:t xml:space="preserve">. </w:t>
      </w:r>
    </w:p>
    <w:p w14:paraId="0EA5E9FC" w14:textId="48AE8BB2" w:rsidR="004F1139" w:rsidRPr="00AB691C" w:rsidRDefault="004F1139" w:rsidP="000F771E">
      <w:pPr>
        <w:pStyle w:val="FootnoteText"/>
        <w:rPr>
          <w:rStyle w:val="Heading4Char"/>
          <w:b/>
          <w:bCs/>
          <w:rtl/>
        </w:rPr>
      </w:pPr>
      <w:r w:rsidRPr="00AB691C">
        <w:rPr>
          <w:rStyle w:val="Heading4Char"/>
          <w:rtl/>
        </w:rPr>
        <w:t>לפי אריסטו לכל דבר יש ארבע סיבות: הַפּוֹעֵל, החומר, הצורה, התכלית. הפועל והתכלית הן הסיבות למציאות הדבר, הצורה והחומר הן הסיבות למהותו של הדבר. לפי אבן סינא לא לכל מהות יש בהכרח גם מציאות, ועיין מורה נבוכים א' נ</w:t>
      </w:r>
      <w:r w:rsidR="00F055C8">
        <w:rPr>
          <w:rStyle w:val="Heading4Char"/>
          <w:rtl/>
        </w:rPr>
        <w:t>"</w:t>
      </w:r>
      <w:r w:rsidRPr="00AB691C">
        <w:rPr>
          <w:rStyle w:val="Heading4Char"/>
          <w:rtl/>
        </w:rPr>
        <w:t>ז</w:t>
      </w:r>
      <w:r w:rsidR="00962925">
        <w:rPr>
          <w:rStyle w:val="Heading4Char"/>
          <w:rtl/>
        </w:rPr>
        <w:fldChar w:fldCharType="begin"/>
      </w:r>
      <w:r w:rsidR="00962925">
        <w:instrText xml:space="preserve"> XE "</w:instrText>
      </w:r>
      <w:r w:rsidR="00962925" w:rsidRPr="00E919E5">
        <w:rPr>
          <w:rStyle w:val="Heading4Char"/>
          <w:rtl/>
        </w:rPr>
        <w:instrText>מורה נבוכים א' נ</w:instrText>
      </w:r>
      <w:r w:rsidR="00962925">
        <w:rPr>
          <w:b/>
          <w:bCs/>
          <w:sz w:val="20"/>
          <w:szCs w:val="20"/>
        </w:rPr>
        <w:instrText>\</w:instrText>
      </w:r>
      <w:r w:rsidR="00962925" w:rsidRPr="00E919E5">
        <w:rPr>
          <w:rStyle w:val="Heading4Char"/>
          <w:rtl/>
        </w:rPr>
        <w:instrText>"ז</w:instrText>
      </w:r>
      <w:r w:rsidR="00962925">
        <w:instrText xml:space="preserve">" </w:instrText>
      </w:r>
      <w:r w:rsidR="00962925">
        <w:rPr>
          <w:rStyle w:val="Heading4Char"/>
          <w:rtl/>
        </w:rPr>
        <w:fldChar w:fldCharType="end"/>
      </w:r>
      <w:r w:rsidRPr="00AB691C">
        <w:rPr>
          <w:rStyle w:val="Heading4Char"/>
          <w:rtl/>
        </w:rPr>
        <w:t xml:space="preserve">. למשל החומר של חד קרן הוא בשר של חדי קרן, וצורתו היא צורת חד קרן. אבל לחד קרן אין פועל ואין תכלית, כי הוא רק מהות ואין לו מציאות. מהות היא האפשרות שמשהו </w:t>
      </w:r>
      <w:r w:rsidR="009C463A">
        <w:rPr>
          <w:rStyle w:val="Heading4Char"/>
          <w:rFonts w:hint="cs"/>
          <w:rtl/>
        </w:rPr>
        <w:t>מסוים</w:t>
      </w:r>
      <w:r w:rsidRPr="00AB691C">
        <w:rPr>
          <w:rStyle w:val="Heading4Char"/>
          <w:rtl/>
        </w:rPr>
        <w:t xml:space="preserve"> יימצא, המסויימות של אותו משהו נקבעת על ידי החומר והצורה שלו שמגדירים את מהותו. מציאות היא מימוש האפשרות הזו.</w:t>
      </w:r>
    </w:p>
    <w:p w14:paraId="52DCC6D2" w14:textId="0A4F394E" w:rsidR="004F1139" w:rsidRPr="00AB691C" w:rsidRDefault="004F1139" w:rsidP="000F771E">
      <w:pPr>
        <w:pStyle w:val="FootnoteText"/>
        <w:rPr>
          <w:rStyle w:val="Heading4Char"/>
          <w:b/>
          <w:bCs/>
          <w:rtl/>
        </w:rPr>
      </w:pPr>
      <w:r w:rsidRPr="00AB691C">
        <w:rPr>
          <w:rStyle w:val="Heading4Char"/>
          <w:rtl/>
        </w:rPr>
        <w:t xml:space="preserve">אדם מוגדר כ'חי מדבר', זו צורתו. המונח 'חי' כאן הוא סוג שכולל את כל הדברים החיים. לפי ההסתכלות של אריסטו, מציאות מתחילה מהמופשט; כלומר לפני שיש דברים חיים מוגדרים </w:t>
      </w:r>
      <w:r w:rsidR="009C463A" w:rsidRPr="00AB691C">
        <w:rPr>
          <w:rStyle w:val="Heading4Char"/>
          <w:rFonts w:hint="cs"/>
          <w:rtl/>
        </w:rPr>
        <w:t>מסוי</w:t>
      </w:r>
      <w:r w:rsidR="009C463A">
        <w:rPr>
          <w:rStyle w:val="Heading4Char"/>
          <w:rFonts w:hint="cs"/>
          <w:rtl/>
        </w:rPr>
        <w:t>מ</w:t>
      </w:r>
      <w:r w:rsidR="009C463A" w:rsidRPr="00AB691C">
        <w:rPr>
          <w:rStyle w:val="Heading4Char"/>
          <w:rFonts w:hint="cs"/>
          <w:rtl/>
        </w:rPr>
        <w:t>ים</w:t>
      </w:r>
      <w:r w:rsidRPr="00AB691C">
        <w:rPr>
          <w:rStyle w:val="Heading4Char"/>
          <w:rtl/>
        </w:rPr>
        <w:t xml:space="preserve"> יש את ה'חיים' כמציאות כללית מופשטת, חיים כשלעצמם, חיים כחיים. אחרי שיש חיים מופשטים כשלעצמם, יכול שייולד מזה כשלב מאוחר בסדר </w:t>
      </w:r>
      <w:r w:rsidR="009C463A" w:rsidRPr="00AB691C">
        <w:rPr>
          <w:rStyle w:val="Heading4Char"/>
          <w:rFonts w:hint="cs"/>
          <w:rtl/>
        </w:rPr>
        <w:t>ההווי</w:t>
      </w:r>
      <w:r w:rsidR="009C463A">
        <w:rPr>
          <w:rStyle w:val="Heading4Char"/>
          <w:rFonts w:hint="cs"/>
          <w:rtl/>
        </w:rPr>
        <w:t xml:space="preserve">ה </w:t>
      </w:r>
      <w:r w:rsidRPr="00AB691C">
        <w:rPr>
          <w:rStyle w:val="Heading4Char"/>
          <w:rtl/>
        </w:rPr>
        <w:t xml:space="preserve"> מציאות של דבר </w:t>
      </w:r>
      <w:r w:rsidR="009C463A" w:rsidRPr="00AB691C">
        <w:rPr>
          <w:rStyle w:val="Heading4Char"/>
          <w:rFonts w:hint="cs"/>
          <w:rtl/>
        </w:rPr>
        <w:t>מסוים</w:t>
      </w:r>
      <w:r w:rsidRPr="00AB691C">
        <w:rPr>
          <w:rStyle w:val="Heading4Char"/>
          <w:rtl/>
        </w:rPr>
        <w:t xml:space="preserve"> שהוא חי. הסוג 'חי' שהוא חלק מהגדרת האדם, לא מדבר על החיים המופשטים כשלעצמם, אלא רק על סך כל הדברים </w:t>
      </w:r>
      <w:r w:rsidR="009C463A" w:rsidRPr="00AB691C">
        <w:rPr>
          <w:rStyle w:val="Heading4Char"/>
          <w:rFonts w:hint="cs"/>
          <w:rtl/>
        </w:rPr>
        <w:t>המסו</w:t>
      </w:r>
      <w:r w:rsidR="009C463A">
        <w:rPr>
          <w:rStyle w:val="Heading4Char"/>
          <w:rFonts w:hint="cs"/>
          <w:rtl/>
        </w:rPr>
        <w:t>י</w:t>
      </w:r>
      <w:r w:rsidR="009C463A" w:rsidRPr="00AB691C">
        <w:rPr>
          <w:rStyle w:val="Heading4Char"/>
          <w:rFonts w:hint="cs"/>
          <w:rtl/>
        </w:rPr>
        <w:t>מים</w:t>
      </w:r>
      <w:r w:rsidRPr="00AB691C">
        <w:rPr>
          <w:rStyle w:val="Heading4Char"/>
          <w:rtl/>
        </w:rPr>
        <w:t xml:space="preserve"> שהם חיים. אבל אם נתבונן בתוכן הצורה 'חי', הסוג 'חי', נראה שהוא מיוסד על התחלה שהיא החיים המופשטים כשלעצמם, והיא ההתחלה של מציאות דברים </w:t>
      </w:r>
      <w:r w:rsidR="009C463A" w:rsidRPr="00AB691C">
        <w:rPr>
          <w:rStyle w:val="Heading4Char"/>
          <w:rFonts w:hint="cs"/>
          <w:rtl/>
        </w:rPr>
        <w:t>מסוימים</w:t>
      </w:r>
      <w:r w:rsidRPr="00AB691C">
        <w:rPr>
          <w:rStyle w:val="Heading4Char"/>
          <w:rtl/>
        </w:rPr>
        <w:t xml:space="preserve"> חיים. </w:t>
      </w:r>
    </w:p>
    <w:p w14:paraId="2A931E41" w14:textId="03067384" w:rsidR="004F1139" w:rsidRPr="00AB691C" w:rsidRDefault="004F1139" w:rsidP="000F771E">
      <w:pPr>
        <w:pStyle w:val="FootnoteText"/>
        <w:rPr>
          <w:rStyle w:val="Heading4Char"/>
          <w:b/>
          <w:bCs/>
          <w:rtl/>
        </w:rPr>
      </w:pPr>
      <w:r w:rsidRPr="00AB691C">
        <w:rPr>
          <w:rStyle w:val="Heading4Char"/>
          <w:rtl/>
        </w:rPr>
        <w:t xml:space="preserve">כמו כן חלק ההגדרה של 'מדבר' בהגדרת האדם כ'חי מדבר', פירושה דבר </w:t>
      </w:r>
      <w:r w:rsidR="009C463A" w:rsidRPr="00AB691C">
        <w:rPr>
          <w:rStyle w:val="Heading4Char"/>
          <w:rFonts w:hint="cs"/>
          <w:rtl/>
        </w:rPr>
        <w:t>מסוים</w:t>
      </w:r>
      <w:r w:rsidRPr="00AB691C">
        <w:rPr>
          <w:rStyle w:val="Heading4Char"/>
          <w:rtl/>
        </w:rPr>
        <w:t xml:space="preserve"> שיש לו כח דיבור. אפשרות מציאותו של דבר בעל כח דיבור נובעת כשלב מאוחר בסדר הווייה ממציאות של כח דיבור מופשט כללי, כשלעצמו, שנמצא לפני שיש דברים כלשהם בעלי כח דיבור. כח הדיבור המופשט כשלעצמו הוא 'התחלה' של האדם, ואילו מאפיין של דבר מה כבעל כח דיבור זה סיבה של מהות לאדם, כלומר הצורה שלו או ההגדרה שלו.</w:t>
      </w:r>
    </w:p>
    <w:p w14:paraId="247210CD" w14:textId="77777777" w:rsidR="004F1139" w:rsidRPr="00AB691C" w:rsidRDefault="004F1139" w:rsidP="000F771E">
      <w:pPr>
        <w:pStyle w:val="FootnoteText"/>
        <w:rPr>
          <w:rStyle w:val="Heading4Char"/>
          <w:b/>
          <w:bCs/>
          <w:rtl/>
        </w:rPr>
      </w:pPr>
    </w:p>
    <w:p w14:paraId="54AB3546" w14:textId="130AE7FA" w:rsidR="004F1139" w:rsidRPr="00AB691C" w:rsidRDefault="004F1139" w:rsidP="000F771E">
      <w:pPr>
        <w:pStyle w:val="FootnoteText"/>
        <w:rPr>
          <w:rStyle w:val="Heading4Char"/>
          <w:b/>
          <w:bCs/>
          <w:rtl/>
        </w:rPr>
      </w:pPr>
      <w:r w:rsidRPr="00AB691C">
        <w:rPr>
          <w:rStyle w:val="Heading4Char"/>
          <w:rtl/>
        </w:rPr>
        <w:t>סוג ה'צומח', מוגדר כדבר בעל כח צמיחה. כח צמיחה שמדובר עליו בהגדרה, בצורה, הוא סך כל הדברים שצומחים. הצמיחה כשלעצמה, כמושג מופשט, עוד לפני שיש דבר כלשהו שהוא צומח, הוא ההתחלה של הצומח.</w:t>
      </w:r>
    </w:p>
    <w:p w14:paraId="14C0BFC4" w14:textId="74DE1045" w:rsidR="004F1139" w:rsidRPr="00AB691C" w:rsidRDefault="004F1139" w:rsidP="000F771E">
      <w:pPr>
        <w:pStyle w:val="FootnoteText"/>
        <w:rPr>
          <w:rStyle w:val="Heading4Char"/>
          <w:b/>
          <w:bCs/>
          <w:rtl/>
        </w:rPr>
      </w:pPr>
      <w:r w:rsidRPr="00AB691C">
        <w:rPr>
          <w:rStyle w:val="Heading4Char"/>
          <w:rtl/>
        </w:rPr>
        <w:t xml:space="preserve">יש לאדם שני כוחות שכליים, האחד הוא הכח המדבר הטבעי שהאדם נולד איתו, הוא השכל השימושי, המילולי, שעושה הגדרות וחישובים. בכח השכלי הזה אדם תופש תפישה שמיוסדת על תפישת החושים. לפי דרך תפישה זו המציאות מתחילה מגופים מוחשיים </w:t>
      </w:r>
      <w:r w:rsidR="009C463A" w:rsidRPr="00AB691C">
        <w:rPr>
          <w:rStyle w:val="Heading4Char"/>
          <w:rFonts w:hint="cs"/>
          <w:rtl/>
        </w:rPr>
        <w:t>מסוימים</w:t>
      </w:r>
      <w:r w:rsidRPr="00AB691C">
        <w:rPr>
          <w:rStyle w:val="Heading4Char"/>
          <w:rtl/>
        </w:rPr>
        <w:t>, אנו מפשיטים מהם ומכלילים מהם את הצורה, ההגדרה, שכוללת את כל ה</w:t>
      </w:r>
      <w:r w:rsidR="006B4C4C" w:rsidRPr="00AB691C">
        <w:rPr>
          <w:rStyle w:val="Heading4Char"/>
          <w:rtl/>
        </w:rPr>
        <w:t>יחיד</w:t>
      </w:r>
      <w:r w:rsidRPr="00AB691C">
        <w:rPr>
          <w:rStyle w:val="Heading4Char"/>
          <w:rtl/>
        </w:rPr>
        <w:t>ים ששייכים לאותו מין, המין הוא הצורה, האידיאה.</w:t>
      </w:r>
    </w:p>
    <w:p w14:paraId="7FC85CC6" w14:textId="1A9AC286" w:rsidR="004F1139" w:rsidRPr="00AB691C" w:rsidRDefault="004F1139" w:rsidP="000F771E">
      <w:pPr>
        <w:pStyle w:val="FootnoteText"/>
        <w:rPr>
          <w:rStyle w:val="Heading4Char"/>
          <w:b/>
          <w:bCs/>
          <w:rtl/>
        </w:rPr>
      </w:pPr>
      <w:r w:rsidRPr="00AB691C">
        <w:rPr>
          <w:rStyle w:val="Heading4Char"/>
          <w:rtl/>
        </w:rPr>
        <w:t>זה מה שכתב הרמב</w:t>
      </w:r>
      <w:r w:rsidR="00F055C8">
        <w:rPr>
          <w:rStyle w:val="Heading4Char"/>
          <w:rtl/>
        </w:rPr>
        <w:t>"</w:t>
      </w:r>
      <w:r w:rsidRPr="00AB691C">
        <w:rPr>
          <w:rStyle w:val="Heading4Char"/>
          <w:rtl/>
        </w:rPr>
        <w:t>ם במשנה תורה בהלכות יסודי התורה ד' ז':</w:t>
      </w:r>
    </w:p>
    <w:p w14:paraId="553FFE48" w14:textId="15FC2E20" w:rsidR="004F1139" w:rsidRPr="00AB691C" w:rsidRDefault="00F055C8" w:rsidP="000F771E">
      <w:pPr>
        <w:pStyle w:val="FootnoteText"/>
        <w:rPr>
          <w:rStyle w:val="Heading4Char"/>
          <w:b/>
          <w:bCs/>
          <w:rtl/>
        </w:rPr>
      </w:pPr>
      <w:r>
        <w:rPr>
          <w:rStyle w:val="Heading4Char"/>
          <w:rtl/>
        </w:rPr>
        <w:t>"</w:t>
      </w:r>
      <w:r w:rsidR="004F1139" w:rsidRPr="00AB691C">
        <w:rPr>
          <w:rStyle w:val="Heading4Char"/>
          <w:rtl/>
        </w:rPr>
        <w:t>לעולם אין אתה רואה גולם בלא צורה או צורה בלא גולם אלא לב האדם הוא שמחלק גוף הנמצא בדעתו ויודע שהוא מחובר מגולם וצורה</w:t>
      </w:r>
      <w:r>
        <w:rPr>
          <w:rStyle w:val="Heading4Char"/>
          <w:rtl/>
        </w:rPr>
        <w:t>"</w:t>
      </w:r>
      <w:r w:rsidR="004F1139" w:rsidRPr="00AB691C">
        <w:rPr>
          <w:rStyle w:val="Heading4Char"/>
          <w:rtl/>
        </w:rPr>
        <w:t xml:space="preserve">  </w:t>
      </w:r>
    </w:p>
    <w:p w14:paraId="6E170003" w14:textId="7797EF62" w:rsidR="004F1139" w:rsidRPr="00AB691C" w:rsidRDefault="004F1139" w:rsidP="00B05C9C">
      <w:pPr>
        <w:pStyle w:val="FootnoteText"/>
        <w:rPr>
          <w:rStyle w:val="Heading4Char"/>
          <w:b/>
          <w:bCs/>
          <w:rtl/>
        </w:rPr>
      </w:pPr>
      <w:r w:rsidRPr="00AB691C">
        <w:rPr>
          <w:rStyle w:val="Heading4Char"/>
          <w:rtl/>
        </w:rPr>
        <w:t>מזה האדם יכול להגיע בעמל החכמה לאופן אחר של תפישה שכלית, שהוא לא נולד איתה ואינה טבעית, היא נקראת השכל העיוני, המופשט (כמבואר במו</w:t>
      </w:r>
      <w:r w:rsidR="00F055C8">
        <w:rPr>
          <w:rStyle w:val="Heading4Char"/>
          <w:rtl/>
        </w:rPr>
        <w:t>"</w:t>
      </w:r>
      <w:r w:rsidRPr="00AB691C">
        <w:rPr>
          <w:rStyle w:val="Heading4Char"/>
          <w:rtl/>
        </w:rPr>
        <w:t>נ א' בסוף פרק א'. באותו פרק לפני כן מבואר השכל הדברי. השכל הדברי מדובר בו גם במו</w:t>
      </w:r>
      <w:r w:rsidR="00F055C8">
        <w:rPr>
          <w:rStyle w:val="Heading4Char"/>
          <w:rtl/>
        </w:rPr>
        <w:t>"</w:t>
      </w:r>
      <w:r w:rsidRPr="00AB691C">
        <w:rPr>
          <w:rStyle w:val="Heading4Char"/>
          <w:rtl/>
        </w:rPr>
        <w:t>נ א' ע</w:t>
      </w:r>
      <w:r w:rsidR="00F055C8">
        <w:rPr>
          <w:rStyle w:val="Heading4Char"/>
          <w:rtl/>
        </w:rPr>
        <w:t>"</w:t>
      </w:r>
      <w:r w:rsidRPr="00AB691C">
        <w:rPr>
          <w:rStyle w:val="Heading4Char"/>
          <w:rtl/>
        </w:rPr>
        <w:t>ב). זו תפישה שמשיגה את המופשט, כלומר את כח הצמי</w:t>
      </w:r>
      <w:r w:rsidR="00772D1C">
        <w:rPr>
          <w:rStyle w:val="Heading4Char"/>
          <w:rFonts w:hint="cs"/>
          <w:rtl/>
        </w:rPr>
        <w:t>ח</w:t>
      </w:r>
      <w:r w:rsidRPr="00AB691C">
        <w:rPr>
          <w:rStyle w:val="Heading4Char"/>
          <w:rtl/>
        </w:rPr>
        <w:t>ה, החיים, השכל, לפני שיש דברים כלשהם שהם בעלי הכוחות האלה. והיא לא צריכה להתבונן בגופים החומריים כדי להפשיט מהם את ידיעת הדברים האלה, אלא תופשת אותם באופן ישר ופשוט, בלי תיווך של חומר וחוש, כלומר לא כהפשטה מהתבוננות בגופים חומריים.</w:t>
      </w:r>
    </w:p>
    <w:p w14:paraId="07981710" w14:textId="741CDD21" w:rsidR="004F1139" w:rsidRPr="00AB691C" w:rsidRDefault="004F1139" w:rsidP="00B05C9C">
      <w:pPr>
        <w:pStyle w:val="FootnoteText"/>
        <w:rPr>
          <w:rStyle w:val="Heading4Char"/>
          <w:b/>
          <w:bCs/>
          <w:rtl/>
        </w:rPr>
      </w:pPr>
      <w:r w:rsidRPr="00AB691C">
        <w:rPr>
          <w:rStyle w:val="Heading4Char"/>
          <w:rtl/>
        </w:rPr>
        <w:t>זה שכתב הרמב</w:t>
      </w:r>
      <w:r w:rsidR="00F055C8">
        <w:rPr>
          <w:rStyle w:val="Heading4Char"/>
          <w:rtl/>
        </w:rPr>
        <w:t>"</w:t>
      </w:r>
      <w:r w:rsidRPr="00AB691C">
        <w:rPr>
          <w:rStyle w:val="Heading4Char"/>
          <w:rtl/>
        </w:rPr>
        <w:t>ם הלכות יסודי התורה ד' בסוף הלכה ז' ותחילת הלכה ח':</w:t>
      </w:r>
    </w:p>
    <w:p w14:paraId="6907D4B2" w14:textId="7754B8C0" w:rsidR="004F1139" w:rsidRPr="00AB691C" w:rsidRDefault="00F055C8" w:rsidP="00B05C9C">
      <w:pPr>
        <w:pStyle w:val="FootnoteText"/>
        <w:rPr>
          <w:rStyle w:val="Heading4Char"/>
          <w:b/>
          <w:bCs/>
          <w:rtl/>
        </w:rPr>
      </w:pPr>
      <w:r>
        <w:rPr>
          <w:rStyle w:val="Heading4Char"/>
          <w:rtl/>
        </w:rPr>
        <w:t>"</w:t>
      </w:r>
      <w:r w:rsidR="004F1139" w:rsidRPr="00AB691C">
        <w:rPr>
          <w:rStyle w:val="Heading4Char"/>
          <w:rtl/>
        </w:rPr>
        <w:t>והצורות שאין להם גולם אינן נראין לעין אלא בעין הלב הן ידועין כמו שידענו אדון הכל בלא ראיית עין.</w:t>
      </w:r>
    </w:p>
    <w:p w14:paraId="4564965B" w14:textId="77777777" w:rsidR="004F1139" w:rsidRPr="00AB691C" w:rsidRDefault="004F1139" w:rsidP="00B05C9C">
      <w:pPr>
        <w:pStyle w:val="FootnoteText"/>
        <w:rPr>
          <w:rStyle w:val="Heading4Char"/>
          <w:b/>
          <w:bCs/>
          <w:rtl/>
        </w:rPr>
      </w:pPr>
    </w:p>
    <w:p w14:paraId="1B45CFF9" w14:textId="77777777" w:rsidR="004F1139" w:rsidRPr="00AB691C" w:rsidRDefault="004F1139" w:rsidP="00B05C9C">
      <w:pPr>
        <w:pStyle w:val="FootnoteText"/>
        <w:rPr>
          <w:rStyle w:val="Heading4Char"/>
          <w:b/>
          <w:bCs/>
          <w:rtl/>
        </w:rPr>
      </w:pPr>
      <w:r w:rsidRPr="00AB691C">
        <w:rPr>
          <w:rStyle w:val="Heading4Char"/>
          <w:rtl/>
        </w:rPr>
        <w:t>הלכה ח</w:t>
      </w:r>
    </w:p>
    <w:p w14:paraId="4B0D1B3A" w14:textId="65ECFCFB" w:rsidR="004F1139" w:rsidRPr="00AB691C" w:rsidRDefault="00F055C8" w:rsidP="00B05C9C">
      <w:pPr>
        <w:pStyle w:val="FootnoteText"/>
        <w:rPr>
          <w:rStyle w:val="Heading4Char"/>
          <w:b/>
          <w:bCs/>
          <w:rtl/>
        </w:rPr>
      </w:pPr>
      <w:r>
        <w:rPr>
          <w:rStyle w:val="Heading4Char"/>
          <w:rtl/>
        </w:rPr>
        <w:t>"</w:t>
      </w:r>
      <w:r w:rsidR="004F1139" w:rsidRPr="00AB691C">
        <w:rPr>
          <w:rStyle w:val="Heading4Char"/>
          <w:rtl/>
        </w:rPr>
        <w:t>נפש כל בשר היא צורתו שנתן לו האל והדעת היתרה המצויה בנפשו של אדם היא צורת האדם השלם בדעתו ועל צורה זו נאמר בתורה נעשה אדם בצלמנו כדמותנו כלומר שתהיה לו צורה היודעת ומשגת הדעות שאין להם גולם כמו המלאכים שהם צורה בלא גולם עד שידמה להן</w:t>
      </w:r>
      <w:r>
        <w:rPr>
          <w:rStyle w:val="Heading4Char"/>
          <w:rtl/>
        </w:rPr>
        <w:t>"</w:t>
      </w:r>
    </w:p>
    <w:p w14:paraId="654EFC49" w14:textId="77777777" w:rsidR="004F1139" w:rsidRPr="00AB691C" w:rsidRDefault="004F1139" w:rsidP="00B05C9C">
      <w:pPr>
        <w:pStyle w:val="FootnoteText"/>
        <w:rPr>
          <w:rStyle w:val="Heading4Char"/>
          <w:b/>
          <w:bCs/>
          <w:rtl/>
        </w:rPr>
      </w:pPr>
    </w:p>
    <w:p w14:paraId="2B8563BB" w14:textId="038B7A88" w:rsidR="0066409C" w:rsidRPr="00AB691C" w:rsidRDefault="004F1139" w:rsidP="00A27F13">
      <w:pPr>
        <w:pStyle w:val="FootnoteText"/>
        <w:rPr>
          <w:rStyle w:val="Heading4Char"/>
          <w:rtl/>
        </w:rPr>
      </w:pPr>
      <w:r w:rsidRPr="00AB691C">
        <w:rPr>
          <w:rStyle w:val="Heading4Char"/>
          <w:rtl/>
        </w:rPr>
        <w:t xml:space="preserve">מה שמושג בשכל הדברי (הנקרא גם הטבעי, השימושי, זה שכל אדם נולד איתו), הוא ה'סיבות' של כל דבר. ה'התחלות' הן מה שמושג בשכל העיוני המופשט. החיים כמשהו שהופשט מהתבוננות בדברים החיים </w:t>
      </w:r>
      <w:r w:rsidR="009C463A" w:rsidRPr="00AB691C">
        <w:rPr>
          <w:rStyle w:val="Heading4Char"/>
          <w:rFonts w:hint="cs"/>
          <w:rtl/>
        </w:rPr>
        <w:t>המסוימים</w:t>
      </w:r>
      <w:r w:rsidRPr="00AB691C">
        <w:rPr>
          <w:rStyle w:val="Heading4Char"/>
          <w:rtl/>
        </w:rPr>
        <w:t xml:space="preserve"> הם סיבה למהות האדם, החיים כמושג מופשט, לפני שיש דברים כלשהם שהם חיים, הם השגת השכל העיוני המופשט. אלה שתי התבוננויות באותו דבר. </w:t>
      </w:r>
    </w:p>
    <w:p w14:paraId="4745802D" w14:textId="472799B1" w:rsidR="004F1139" w:rsidRPr="00AB691C" w:rsidRDefault="004F1139" w:rsidP="000F771E">
      <w:pPr>
        <w:pStyle w:val="FootnoteText"/>
        <w:rPr>
          <w:rStyle w:val="Heading4Char"/>
          <w:b/>
          <w:bCs/>
          <w:rtl/>
        </w:rPr>
      </w:pPr>
      <w:r w:rsidRPr="00AB691C">
        <w:rPr>
          <w:rStyle w:val="Heading4Char"/>
          <w:rtl/>
        </w:rPr>
        <w:t xml:space="preserve">  </w:t>
      </w:r>
    </w:p>
    <w:p w14:paraId="5D5773DB" w14:textId="200CD718" w:rsidR="004F1139" w:rsidRPr="00AB691C" w:rsidRDefault="004F1139" w:rsidP="00C85BBA">
      <w:pPr>
        <w:pStyle w:val="FootnoteText"/>
      </w:pPr>
      <w:r w:rsidRPr="00AB691C">
        <w:rPr>
          <w:rStyle w:val="Heading4Char"/>
          <w:rtl/>
        </w:rPr>
        <w:t xml:space="preserve">ההתחלות אינן חלק מחכמת הטבע, כי הן ישים מופשטים לגמרי, לא דברים </w:t>
      </w:r>
      <w:r w:rsidR="009C463A" w:rsidRPr="00AB691C">
        <w:rPr>
          <w:rStyle w:val="Heading4Char"/>
          <w:rFonts w:hint="cs"/>
          <w:rtl/>
        </w:rPr>
        <w:t>מסוימים</w:t>
      </w:r>
      <w:r w:rsidRPr="00AB691C">
        <w:rPr>
          <w:rStyle w:val="Heading4Char"/>
          <w:rtl/>
        </w:rPr>
        <w:t xml:space="preserve"> בעלי הגדרת מהות. תפישתם של ישים כאלה היא חלק מהפילוסופיה הראשונה, שנקראה על ידי העורכים המאוחרים מטאפיזיקה ועל ידי אריסטו עצמו תיאולוגיה. התיאולוגיה עוסקת בהשגת האל, שפירושו המציאות כשלעצמה, כלומר לא מציאות של דברים כלשהם, אלא המציאות כמציאות לפני שיש דברים כלשהם שנמצאים (זה מה שנקרא 'הכרחי המציאות</w:t>
      </w:r>
      <w:r w:rsidR="00962925">
        <w:rPr>
          <w:rStyle w:val="Heading4Char"/>
          <w:rtl/>
        </w:rPr>
        <w:fldChar w:fldCharType="begin"/>
      </w:r>
      <w:r w:rsidR="00962925">
        <w:instrText xml:space="preserve"> XE "</w:instrText>
      </w:r>
      <w:r w:rsidR="00962925" w:rsidRPr="003B246F">
        <w:rPr>
          <w:rStyle w:val="Heading4Char"/>
          <w:rtl/>
        </w:rPr>
        <w:instrText>הכרחי המציאות</w:instrText>
      </w:r>
      <w:r w:rsidR="00962925">
        <w:instrText xml:space="preserve">" </w:instrText>
      </w:r>
      <w:r w:rsidR="00962925">
        <w:rPr>
          <w:rStyle w:val="Heading4Char"/>
          <w:rtl/>
        </w:rPr>
        <w:fldChar w:fldCharType="end"/>
      </w:r>
      <w:r w:rsidRPr="00AB691C">
        <w:rPr>
          <w:rStyle w:val="Heading4Char"/>
          <w:rtl/>
        </w:rPr>
        <w:t>' במורה נבוכים, והוא תוכן השם המפורש של האל שלא משותף לשום דבר אחר, הוא שם הוי</w:t>
      </w:r>
      <w:r w:rsidR="00F055C8">
        <w:rPr>
          <w:rStyle w:val="Heading4Char"/>
          <w:rtl/>
        </w:rPr>
        <w:t>"</w:t>
      </w:r>
      <w:r w:rsidRPr="00AB691C">
        <w:rPr>
          <w:rStyle w:val="Heading4Char"/>
          <w:rtl/>
        </w:rPr>
        <w:t>ה, הוא המצוי ראשון שממציא כל נמצא. התואר החיובי האמיתי היחיד שאנו אומרים על הבורא שהוא נמצא כמו שכתב במו</w:t>
      </w:r>
      <w:r w:rsidR="00F055C8">
        <w:rPr>
          <w:rStyle w:val="Heading4Char"/>
          <w:rtl/>
        </w:rPr>
        <w:t>"</w:t>
      </w:r>
      <w:r w:rsidRPr="00AB691C">
        <w:rPr>
          <w:rStyle w:val="Heading4Char"/>
          <w:rtl/>
        </w:rPr>
        <w:t>נ א' נ</w:t>
      </w:r>
      <w:r w:rsidR="00F055C8">
        <w:rPr>
          <w:rStyle w:val="Heading4Char"/>
          <w:rtl/>
        </w:rPr>
        <w:t>"</w:t>
      </w:r>
      <w:r w:rsidRPr="00AB691C">
        <w:rPr>
          <w:rStyle w:val="Heading4Char"/>
          <w:rtl/>
        </w:rPr>
        <w:t>ב בחלק החמישי, ובמו</w:t>
      </w:r>
      <w:r w:rsidR="00F055C8">
        <w:rPr>
          <w:rStyle w:val="Heading4Char"/>
          <w:rtl/>
        </w:rPr>
        <w:t>"</w:t>
      </w:r>
      <w:r w:rsidRPr="00AB691C">
        <w:rPr>
          <w:rStyle w:val="Heading4Char"/>
          <w:rtl/>
        </w:rPr>
        <w:t>נ א' נ</w:t>
      </w:r>
      <w:r w:rsidR="00F055C8">
        <w:rPr>
          <w:rStyle w:val="Heading4Char"/>
          <w:rtl/>
        </w:rPr>
        <w:t>"</w:t>
      </w:r>
      <w:r w:rsidRPr="00AB691C">
        <w:rPr>
          <w:rStyle w:val="Heading4Char"/>
          <w:rtl/>
        </w:rPr>
        <w:t>ז כתב שצריך לומר 'נמצא ולא במציאות', הכוונה שהוא נמצא באופן חסר כל הגדרה שזה 'הכרחי מציאות', ולא כמו המציאות שלנו שמציאותנו תלויה בהגדרות, כי בלי שנגדיר מה נמצא אין שום נמצא, ואילו הבורא נמצא כהכרחי מציאות דווקא משום שאינו 'משהו' כלומר בלי הגדרת מהות, הוא ישות בלי מהות (מציאות היא מילה נרדפת גם ליכולת חיים שכל ורצון, שהרי אנו משיגים את מציאות הבורא רק כממציא כל נמצא ומציאות שממציאה הרי היא יכולה להמציא ויודעת מה היא ממציאה ורוצה בזה וכו'. עיין מו</w:t>
      </w:r>
      <w:r w:rsidR="00F055C8">
        <w:rPr>
          <w:rStyle w:val="Heading4Char"/>
          <w:rtl/>
        </w:rPr>
        <w:t>"</w:t>
      </w:r>
      <w:r w:rsidRPr="00AB691C">
        <w:rPr>
          <w:rStyle w:val="Heading4Char"/>
          <w:rtl/>
        </w:rPr>
        <w:t>נ א' סוף פרק נ</w:t>
      </w:r>
      <w:r w:rsidR="00F055C8">
        <w:rPr>
          <w:rStyle w:val="Heading4Char"/>
          <w:rtl/>
        </w:rPr>
        <w:t>"</w:t>
      </w:r>
      <w:r w:rsidRPr="00AB691C">
        <w:rPr>
          <w:rStyle w:val="Heading4Char"/>
          <w:rtl/>
        </w:rPr>
        <w:t xml:space="preserve">ג)). מזה משיג השכל העיוני המופשט, שמשיג מציאות מופשטת באופן ישר פשוט ובלתי אמצעי, שהוא הכלי למדע התיאולוגיה, גם ידיעות שנובעות מידיעת המציאות כשלעצמה וכגון השגת החיים כשלעצמם, השכל כשלעצמו וכיוצא באלה. החיים כשלעצמם והשכל כשלעצמו הם ההתחלות של האדם. חכמת הטבע לא חוקרת על התחלות אלה אלא מקבלת אותן כמושכל ראשון שאינו נתון לחקירה ובחינה. על סמך ההתחלות האלה היא מאפיינת עצמים </w:t>
      </w:r>
      <w:r w:rsidR="009C463A" w:rsidRPr="00AB691C">
        <w:rPr>
          <w:rStyle w:val="Heading4Char"/>
          <w:rFonts w:hint="cs"/>
          <w:rtl/>
        </w:rPr>
        <w:t>מסוימים</w:t>
      </w:r>
      <w:r w:rsidRPr="00AB691C">
        <w:rPr>
          <w:rStyle w:val="Heading4Char"/>
          <w:rtl/>
        </w:rPr>
        <w:t xml:space="preserve"> כחיים או כבעלי כח שכלי, דיבור. ההגדרה של אדם כחי בעל כח מדבר, הוא מכח חכמת הטבע שחקרה את הגוף החומרי הטבעי שהוא ראובן או שמעון ומצאה שיש בו חיים וכח מדבר וראתה בהתבוננות שאלה דברים מהותיים שהם הקובעים את מהותו של העצם 'ראובן', והגדירה אותו 'כחי מדבר' שהוא צורה, מין, </w:t>
      </w:r>
      <w:r w:rsidR="009A487A" w:rsidRPr="00AB691C">
        <w:rPr>
          <w:rStyle w:val="Heading4Char"/>
          <w:rtl/>
        </w:rPr>
        <w:t>שממנה מהותם ומציאותם</w:t>
      </w:r>
      <w:r w:rsidRPr="00AB691C">
        <w:rPr>
          <w:rStyle w:val="Heading4Char"/>
          <w:rtl/>
        </w:rPr>
        <w:t xml:space="preserve"> </w:t>
      </w:r>
      <w:r w:rsidR="009A487A" w:rsidRPr="00AB691C">
        <w:rPr>
          <w:rStyle w:val="Heading4Char"/>
          <w:rtl/>
        </w:rPr>
        <w:t>של</w:t>
      </w:r>
      <w:r w:rsidRPr="00AB691C">
        <w:rPr>
          <w:rStyle w:val="Heading4Char"/>
          <w:rtl/>
        </w:rPr>
        <w:t xml:space="preserve"> כל בני האדם ה</w:t>
      </w:r>
      <w:r w:rsidR="009A487A" w:rsidRPr="00AB691C">
        <w:rPr>
          <w:rStyle w:val="Heading4Char"/>
          <w:rtl/>
        </w:rPr>
        <w:t>יחיד</w:t>
      </w:r>
      <w:r w:rsidRPr="00AB691C">
        <w:rPr>
          <w:rStyle w:val="Heading4Char"/>
          <w:rtl/>
        </w:rPr>
        <w:t xml:space="preserve">ים. אבל ההנחה שיש חיים כשלעצמם ושכל כשלעצמו שמכוחה אפשר לאפיין עצמים </w:t>
      </w:r>
      <w:r w:rsidR="009C463A" w:rsidRPr="00AB691C">
        <w:rPr>
          <w:rStyle w:val="Heading4Char"/>
          <w:rFonts w:hint="cs"/>
          <w:rtl/>
        </w:rPr>
        <w:t>מסוימים</w:t>
      </w:r>
      <w:r w:rsidRPr="00AB691C">
        <w:rPr>
          <w:rStyle w:val="Heading4Char"/>
          <w:rtl/>
        </w:rPr>
        <w:t xml:space="preserve"> כבעלי חיים או כבעלי כח דיבור, אינה תוצאה של החקירה של חכמת הטבע אלא חכמת הטבע מקבלת את הידיעות האלה כמושכל ראשון מחכמת האלוהות שהיא החכמה הראשונה, שאינה צריכה להיסמך על שום מושכלות ראשונות כהנחות יסוד שאינן מבוררות ונודעות לה בעצמה, והיא המקור הראשון של כל המושכלות הראשונות של כל שאר החכמות. </w:t>
      </w:r>
      <w:r w:rsidR="005A2C9D">
        <w:rPr>
          <w:rStyle w:val="Heading4Char"/>
          <w:rFonts w:hint="cs"/>
          <w:rtl/>
        </w:rPr>
        <w:t>(</w:t>
      </w:r>
      <w:bookmarkStart w:id="21" w:name="התחלות_וסיבות"/>
      <w:r w:rsidR="005A2C9D">
        <w:rPr>
          <w:rStyle w:val="Heading4Char"/>
          <w:rFonts w:hint="cs"/>
          <w:rtl/>
        </w:rPr>
        <w:t>התחלות וסיבות</w:t>
      </w:r>
      <w:bookmarkEnd w:id="21"/>
      <w:r w:rsidR="005A2C9D">
        <w:rPr>
          <w:rStyle w:val="Heading4Char"/>
          <w:rtl/>
        </w:rPr>
        <w:fldChar w:fldCharType="begin"/>
      </w:r>
      <w:r w:rsidR="005A2C9D">
        <w:instrText xml:space="preserve"> XE "</w:instrText>
      </w:r>
      <w:r w:rsidR="005A2C9D" w:rsidRPr="004A4722">
        <w:rPr>
          <w:rStyle w:val="Heading4Char"/>
          <w:rFonts w:hint="cs"/>
          <w:rtl/>
        </w:rPr>
        <w:instrText>התחלות וסיבות</w:instrText>
      </w:r>
      <w:r w:rsidR="005A2C9D">
        <w:instrText xml:space="preserve">" </w:instrText>
      </w:r>
      <w:r w:rsidR="005A2C9D">
        <w:rPr>
          <w:rStyle w:val="Heading4Char"/>
          <w:rtl/>
        </w:rPr>
        <w:fldChar w:fldCharType="end"/>
      </w:r>
      <w:r w:rsidR="005A2C9D">
        <w:rPr>
          <w:rStyle w:val="Heading4Char"/>
          <w:rFonts w:hint="cs"/>
          <w:rtl/>
        </w:rPr>
        <w:t>)</w:t>
      </w:r>
    </w:p>
  </w:footnote>
  <w:footnote w:id="24">
    <w:p w14:paraId="7706B9B9" w14:textId="77777777" w:rsidR="004F1139" w:rsidRPr="00A3461B" w:rsidRDefault="004F1139" w:rsidP="00A3461B">
      <w:pPr>
        <w:pStyle w:val="FootnoteText"/>
        <w:rPr>
          <w:rtl/>
        </w:rPr>
      </w:pPr>
      <w:r w:rsidRPr="00AB691C">
        <w:rPr>
          <w:rStyle w:val="FootnoteReference"/>
        </w:rPr>
        <w:footnoteRef/>
      </w:r>
      <w:r w:rsidRPr="00AB691C">
        <w:rPr>
          <w:rtl/>
        </w:rPr>
        <w:t xml:space="preserve"> לכל תחום ידע יש הנחות ראשונות שהוא בנוי עליהן, והוא מקבל אותן כמושכל ראשון, אקסיומה. למשל בלוגיקה יש</w:t>
      </w:r>
      <w:r w:rsidRPr="00A3461B">
        <w:rPr>
          <w:rFonts w:hint="cs"/>
          <w:rtl/>
        </w:rPr>
        <w:t xml:space="preserve"> מושכל ראשון שאומר שאם א' שווה לב', וב' שווה לג', אז א' שווה לג'. הלוגיקה בנויה על המושכל הראשון הזה, היא מניחה שהוא אמת ועל יסוד זה בונה את המהלכים השכליים שלה, לכן היא לא יכולה לנסות לבחון את אמיתת המושכל הראשון הזה ולבקש להוכיח את אמיתתו בכלים לוגיים, שהרי תקפותם מיוסדת על ההנחה שהמושכל הראשון הזה הוא אמת, והרי שהנחנו מראש את מה שאנו מבקשים להוכיח.</w:t>
      </w:r>
    </w:p>
    <w:p w14:paraId="7907EE0B" w14:textId="7E4118D8" w:rsidR="004F1139" w:rsidRPr="00A3461B" w:rsidRDefault="004F1139" w:rsidP="00A3461B">
      <w:pPr>
        <w:pStyle w:val="FootnoteText"/>
        <w:rPr>
          <w:rtl/>
        </w:rPr>
      </w:pPr>
      <w:r w:rsidRPr="00A3461B">
        <w:rPr>
          <w:rFonts w:hint="cs"/>
          <w:rtl/>
        </w:rPr>
        <w:t xml:space="preserve">לפי מה אנו יודעים שהמושכל הראשון הזה אמיתי אם אי אפשר להוכיח את אמיתתו בכלים לוגיים? אלא בהכרח יש חכמה שהיא מעל הלוגיקה והיא יודעת שהמושכל הראשון הזה אמת, ומכח הידיעה הזו נבנית תחתיה חכמת הלוגיקה. כך יש שרשרת של חכמות שזו עומדת מעל זו, כל אחת מהן מבוססת על הנחות יסוד שהתקבלו מהחכמה שמעליה, ואחר כך לומדת בכלים שלה אמיתת דבר מה, שאצל החכמה שתחתיה הוא נחשב מושכל ראשון. למשל חכמת הנדסת בניין מקבלת כמושכל ראשון את אמיתות חכמת הפיזיקה (והכימיה של חומרים וכיוצא בזה), היא לא חוקרת על אמיתת חוקי הפיזיקה אלא מקבלת אותם כמושכלות ראשונים. הפיזיקה מבוססת על המתימטיקה, היא לא חוקרת את אמיתת החשבון </w:t>
      </w:r>
      <w:r w:rsidR="006B4C4C">
        <w:rPr>
          <w:rFonts w:hint="cs"/>
          <w:rtl/>
        </w:rPr>
        <w:t>המתמטי</w:t>
      </w:r>
      <w:r w:rsidRPr="00A3461B">
        <w:rPr>
          <w:rFonts w:hint="cs"/>
          <w:rtl/>
        </w:rPr>
        <w:t xml:space="preserve"> אלא מקבלת אותו כמושכל ראשון. המתימטיקה מקבלת את הלוגיקה כמושכל ראשון ולא חוקרת את אמיתת הלוגיקה. הלוגיקה גם היא מקבלת את הנחות היסוד שלה מחכמה שמעליה שהיא יודעת לבחון את אמיתתן. החכמה הראשונה, שלא מבוססת על שום הנחות יסוד שהתקבלו מחכמה יותר גבוהה ממנה, היא </w:t>
      </w:r>
      <w:r w:rsidRPr="00A3461B">
        <w:rPr>
          <w:rFonts w:hint="cs"/>
          <w:rtl/>
        </w:rPr>
        <w:t xml:space="preserve">המטאפיזיקה, והיא נקראת אצל אריסטו הפילוסופיה הראשונה. המונח מטאפיזיקה התחדש אחרי אריסטו, אריסטו קרא לחכמה הזו תיאולוגיה, חכמת האלוהות. עניינה הוא היכול להשיג מושכלות מופשטות לגמרי באופן ישר, כמו שעין רואה את האור באופן בלתי אמצעי ופשוט. וכמו שכתב המורה נבוכים א' סוף פרק א' שזו יכולת השגה שמדרגת המופשטות שלה היא כמו השגתו של האל. </w:t>
      </w:r>
    </w:p>
    <w:p w14:paraId="48E2C6A5" w14:textId="53FDAFB4" w:rsidR="004F1139" w:rsidRPr="00A3461B" w:rsidRDefault="004F1139" w:rsidP="00A3461B">
      <w:pPr>
        <w:pStyle w:val="FootnoteText"/>
        <w:rPr>
          <w:rtl/>
        </w:rPr>
      </w:pPr>
      <w:r w:rsidRPr="00A3461B">
        <w:rPr>
          <w:rFonts w:hint="cs"/>
          <w:rtl/>
        </w:rPr>
        <w:t>וכן כתב בהלכות יסודי התורה ד' הלכה ז':</w:t>
      </w:r>
    </w:p>
    <w:p w14:paraId="4E5DCF41" w14:textId="3E85DFFE" w:rsidR="004F1139" w:rsidRPr="00A3461B" w:rsidRDefault="00F055C8" w:rsidP="00A3461B">
      <w:pPr>
        <w:pStyle w:val="FootnoteText"/>
        <w:rPr>
          <w:rtl/>
        </w:rPr>
      </w:pPr>
      <w:r>
        <w:rPr>
          <w:rtl/>
        </w:rPr>
        <w:t>"</w:t>
      </w:r>
      <w:r w:rsidR="004F1139" w:rsidRPr="00A3461B">
        <w:rPr>
          <w:rtl/>
        </w:rPr>
        <w:t>הצורות שאין להם גולם אינן נראין לעין אלא בעין הלב הן ידועין כמו שידענו אדון הכל בלא ראיית עין.</w:t>
      </w:r>
      <w:r>
        <w:rPr>
          <w:rtl/>
        </w:rPr>
        <w:t>"</w:t>
      </w:r>
      <w:r w:rsidR="004F1139" w:rsidRPr="00A3461B">
        <w:rPr>
          <w:rFonts w:hint="cs"/>
          <w:rtl/>
        </w:rPr>
        <w:t xml:space="preserve"> </w:t>
      </w:r>
    </w:p>
    <w:p w14:paraId="458B4619" w14:textId="315D1ECB" w:rsidR="004F1139" w:rsidRPr="00A3461B" w:rsidRDefault="004F1139" w:rsidP="00A3461B">
      <w:pPr>
        <w:pStyle w:val="FootnoteText"/>
        <w:rPr>
          <w:rtl/>
        </w:rPr>
      </w:pPr>
      <w:r w:rsidRPr="00A3461B">
        <w:rPr>
          <w:rFonts w:hint="cs"/>
          <w:rtl/>
        </w:rPr>
        <w:t>ושם הלכה ח':</w:t>
      </w:r>
    </w:p>
    <w:p w14:paraId="5C7323A4" w14:textId="26D21C99" w:rsidR="004F1139" w:rsidRPr="00A3461B" w:rsidRDefault="00F055C8" w:rsidP="00A3461B">
      <w:pPr>
        <w:pStyle w:val="FootnoteText"/>
        <w:rPr>
          <w:rtl/>
        </w:rPr>
      </w:pPr>
      <w:r>
        <w:rPr>
          <w:rtl/>
        </w:rPr>
        <w:t>"</w:t>
      </w:r>
      <w:r w:rsidR="004F1139" w:rsidRPr="00A3461B">
        <w:rPr>
          <w:rtl/>
        </w:rPr>
        <w:t>נפש כל בשר היא צורתו שנתן לו האל והדעת היתרה המצויה בנפשו של אדם היא צורת האדם השלם בדעתו ועל צורה זו נאמר בתורה נעשה אדם בצלמנו כדמותנו כלומר שתהיה לו צורה היודעת ומשגת הדעות שאין להם גולם כמו המלאכים שהם צורה בלא גולם עד שידמה להן</w:t>
      </w:r>
      <w:r>
        <w:rPr>
          <w:rtl/>
        </w:rPr>
        <w:t>"</w:t>
      </w:r>
    </w:p>
    <w:p w14:paraId="5CA08782" w14:textId="157B6BAF" w:rsidR="004F1139" w:rsidRPr="00A3461B" w:rsidRDefault="004F1139" w:rsidP="00A3461B">
      <w:pPr>
        <w:pStyle w:val="FootnoteText"/>
        <w:rPr>
          <w:rtl/>
        </w:rPr>
      </w:pPr>
    </w:p>
    <w:p w14:paraId="7446C61C" w14:textId="77777777" w:rsidR="004F1139" w:rsidRPr="00A3461B" w:rsidRDefault="004F1139" w:rsidP="00A3461B">
      <w:pPr>
        <w:pStyle w:val="FootnoteText"/>
        <w:rPr>
          <w:rtl/>
        </w:rPr>
      </w:pPr>
      <w:r w:rsidRPr="00A3461B">
        <w:rPr>
          <w:rFonts w:hint="cs"/>
          <w:rtl/>
        </w:rPr>
        <w:t>אם אפשר שלגופים טבעיים שונים תהיינה התחלות שונות, הרי שיש לבחון כל גוף ולראות מה הן התחלותיו, ובחינת הגופים היא חכמת הטבע.</w:t>
      </w:r>
    </w:p>
    <w:p w14:paraId="3ADEC9CE" w14:textId="22653AE0" w:rsidR="004F1139" w:rsidRPr="00A3461B" w:rsidRDefault="004F1139" w:rsidP="00A3461B">
      <w:pPr>
        <w:pStyle w:val="FootnoteText"/>
      </w:pPr>
      <w:r w:rsidRPr="00A3461B">
        <w:rPr>
          <w:rFonts w:hint="cs"/>
          <w:rtl/>
        </w:rPr>
        <w:t xml:space="preserve">אם יש התחלות שמשותפות לכל הגופים, פירוש הדבר שאנו יודעים בוודאות שגם אם נגלה בעתיד גוף טבעי שאיננו מכירים עדיין תהיינה לו התחלות אלה. הרי שידיעה זו אינה נובעת מחקר הגופים הטבעיים, ובהכרח היא נובעת מחכמה שאינה עוסקת בחקר הגופים הטבעיים, אלא בחקר עקרונות כלליים שידועים מראש כתקפים בהכרח לגבי כל גוף טבעי שיהיה. חכמה זו אינה חכמת הטבע אלא חכמת האלוהות, המטאפיזיקה. המטאפיזיקה נקראת חכמת האלוהות, תיאולוגיה, כיוון שהפירוש של אלוהות אצל אריסטו הוא המציאות כלשעצמה, ומהשגת המציאות כשלעצמה נובעים העקרונות הראשוניים שכל שאר החכמות מבוססות עליהם. </w:t>
      </w:r>
    </w:p>
  </w:footnote>
  <w:footnote w:id="25">
    <w:p w14:paraId="733E82B6" w14:textId="6ABE47D3" w:rsidR="004F1139" w:rsidRPr="00A3461B" w:rsidRDefault="004F1139" w:rsidP="00A3461B">
      <w:pPr>
        <w:pStyle w:val="FootnoteText"/>
      </w:pPr>
      <w:r w:rsidRPr="00241B56">
        <w:rPr>
          <w:rStyle w:val="FootnoteReference"/>
        </w:rPr>
        <w:footnoteRef/>
      </w:r>
      <w:r w:rsidRPr="00A3461B">
        <w:rPr>
          <w:rtl/>
        </w:rPr>
        <w:t xml:space="preserve"> </w:t>
      </w:r>
      <w:r w:rsidRPr="00A3461B">
        <w:rPr>
          <w:rFonts w:hint="cs"/>
          <w:rtl/>
        </w:rPr>
        <w:t xml:space="preserve">סוג כולל כמה מינים; סוג החי כולל את כל מיני החי וסוג הצומח כולל את כל מיני הצומח. ההתחלה של 'צמיחה' משותפת לכל סוג הצומח. ההתחלות של 'היות אדם' </w:t>
      </w:r>
      <w:r>
        <w:rPr>
          <w:rFonts w:hint="cs"/>
          <w:rtl/>
        </w:rPr>
        <w:t xml:space="preserve">(החיים כשלעצמם לפני שיש דברים </w:t>
      </w:r>
      <w:r w:rsidR="009C463A">
        <w:rPr>
          <w:rFonts w:hint="cs"/>
          <w:rtl/>
        </w:rPr>
        <w:t>מסוימים</w:t>
      </w:r>
      <w:r>
        <w:rPr>
          <w:rFonts w:hint="cs"/>
          <w:rtl/>
        </w:rPr>
        <w:t xml:space="preserve"> שהם חיים, והשכל כשלעצמו לפני שיש דברים בעלי כח שכלי) </w:t>
      </w:r>
      <w:r w:rsidRPr="00A3461B">
        <w:rPr>
          <w:rFonts w:hint="cs"/>
          <w:rtl/>
        </w:rPr>
        <w:t>שייכ</w:t>
      </w:r>
      <w:r>
        <w:rPr>
          <w:rFonts w:hint="cs"/>
          <w:rtl/>
        </w:rPr>
        <w:t>ו</w:t>
      </w:r>
      <w:r w:rsidRPr="00A3461B">
        <w:rPr>
          <w:rFonts w:hint="cs"/>
          <w:rtl/>
        </w:rPr>
        <w:t xml:space="preserve">ת </w:t>
      </w:r>
      <w:r>
        <w:rPr>
          <w:rFonts w:hint="cs"/>
          <w:rtl/>
        </w:rPr>
        <w:t xml:space="preserve">כשהן ביחד </w:t>
      </w:r>
      <w:r w:rsidRPr="00A3461B">
        <w:rPr>
          <w:rFonts w:hint="cs"/>
          <w:rtl/>
        </w:rPr>
        <w:t xml:space="preserve">רק למין אחד של חי ולא לכל סוג החי, לכן ההתחלות של 'היות אדם' יותר </w:t>
      </w:r>
      <w:r w:rsidRPr="00A3461B">
        <w:rPr>
          <w:rFonts w:hint="cs"/>
          <w:rtl/>
        </w:rPr>
        <w:t xml:space="preserve">מסויימות מההתחלה של 'צמיחה'.  </w:t>
      </w:r>
    </w:p>
  </w:footnote>
  <w:footnote w:id="26">
    <w:p w14:paraId="5D818C25" w14:textId="4C6E6785" w:rsidR="004F1139" w:rsidRDefault="004F1139" w:rsidP="004345D0">
      <w:pPr>
        <w:pStyle w:val="FootnoteText"/>
        <w:rPr>
          <w:rtl/>
        </w:rPr>
      </w:pPr>
      <w:r>
        <w:rPr>
          <w:rStyle w:val="FootnoteReference"/>
        </w:rPr>
        <w:footnoteRef/>
      </w:r>
      <w:r>
        <w:rPr>
          <w:rtl/>
        </w:rPr>
        <w:t xml:space="preserve"> </w:t>
      </w:r>
      <w:r>
        <w:rPr>
          <w:rFonts w:hint="cs"/>
          <w:rtl/>
        </w:rPr>
        <w:t xml:space="preserve">הגדרת האדם היא 'חי מדבר'. ההגדרה שהוא 'חי' היא חלק מהגדרתו. הגדרה היא תמיד כפולה, סוג ומין. ההגדרה של 'חי' באופן </w:t>
      </w:r>
      <w:r w:rsidR="009C463A">
        <w:rPr>
          <w:rFonts w:hint="cs"/>
          <w:rtl/>
        </w:rPr>
        <w:t>מדויק</w:t>
      </w:r>
      <w:r>
        <w:rPr>
          <w:rFonts w:hint="cs"/>
          <w:rtl/>
        </w:rPr>
        <w:t xml:space="preserve"> היא כפולה: 'עצם חי'. 'עצם' בלבד זו לא הגדרה כי זה כולל הכל. </w:t>
      </w:r>
      <w:r>
        <w:rPr>
          <w:rtl/>
        </w:rPr>
        <w:t xml:space="preserve"> עיין בזה </w:t>
      </w:r>
      <w:r>
        <w:rPr>
          <w:rFonts w:hint="cs"/>
          <w:rtl/>
        </w:rPr>
        <w:t>ב</w:t>
      </w:r>
      <w:r>
        <w:rPr>
          <w:rtl/>
        </w:rPr>
        <w:t xml:space="preserve">מטאפיזיקה </w:t>
      </w:r>
      <w:r w:rsidR="00305193">
        <w:rPr>
          <w:rFonts w:hint="cs"/>
          <w:rtl/>
        </w:rPr>
        <w:t>כ</w:t>
      </w:r>
      <w:r>
        <w:rPr>
          <w:rtl/>
        </w:rPr>
        <w:t xml:space="preserve">פא א </w:t>
      </w:r>
      <w:r>
        <w:rPr>
          <w:rFonts w:hint="cs"/>
          <w:rtl/>
        </w:rPr>
        <w:t>(</w:t>
      </w:r>
      <w:r>
        <w:rPr>
          <w:rtl/>
        </w:rPr>
        <w:t>1059ב30</w:t>
      </w:r>
      <w:r>
        <w:rPr>
          <w:rFonts w:hint="cs"/>
          <w:rtl/>
        </w:rPr>
        <w:t xml:space="preserve">), </w:t>
      </w:r>
      <w:r>
        <w:rPr>
          <w:rtl/>
        </w:rPr>
        <w:t>ובמטאפיזיקה ב</w:t>
      </w:r>
      <w:r>
        <w:rPr>
          <w:rFonts w:hint="cs"/>
          <w:rtl/>
        </w:rPr>
        <w:t>'</w:t>
      </w:r>
      <w:r>
        <w:rPr>
          <w:rtl/>
        </w:rPr>
        <w:t xml:space="preserve"> ג</w:t>
      </w:r>
      <w:r>
        <w:rPr>
          <w:rFonts w:hint="cs"/>
          <w:rtl/>
        </w:rPr>
        <w:t>', וב</w:t>
      </w:r>
      <w:r>
        <w:rPr>
          <w:rtl/>
        </w:rPr>
        <w:t>מטאפיזיקה ז</w:t>
      </w:r>
      <w:r>
        <w:rPr>
          <w:rFonts w:hint="cs"/>
          <w:rtl/>
        </w:rPr>
        <w:t>'</w:t>
      </w:r>
      <w:r>
        <w:rPr>
          <w:rtl/>
        </w:rPr>
        <w:t xml:space="preserve"> י</w:t>
      </w:r>
      <w:r w:rsidR="00F055C8">
        <w:rPr>
          <w:rtl/>
        </w:rPr>
        <w:t>"</w:t>
      </w:r>
      <w:r>
        <w:rPr>
          <w:rtl/>
        </w:rPr>
        <w:t>ב</w:t>
      </w:r>
      <w:r>
        <w:rPr>
          <w:rFonts w:hint="cs"/>
          <w:rtl/>
        </w:rPr>
        <w:t xml:space="preserve">. כשמגדירים אדם 'חי מדבר' כלול בזה 'עצם חי מדבר'. עצם הוא אחד מהסוגים העליונים, הם עשרת הקטגוריות, שאינן תחת סוג שמעליהן. </w:t>
      </w:r>
    </w:p>
    <w:p w14:paraId="570D6451" w14:textId="257EAE73" w:rsidR="004F1139" w:rsidRDefault="004F1139" w:rsidP="004345D0">
      <w:pPr>
        <w:pStyle w:val="FootnoteText"/>
        <w:rPr>
          <w:rtl/>
        </w:rPr>
      </w:pPr>
      <w:r>
        <w:rPr>
          <w:rFonts w:hint="cs"/>
          <w:rtl/>
        </w:rPr>
        <w:t xml:space="preserve">סוג הוא הגדרה כללית שהיא חלק מההגדרה </w:t>
      </w:r>
      <w:r w:rsidR="006B4C4C">
        <w:rPr>
          <w:rFonts w:hint="cs"/>
          <w:rtl/>
        </w:rPr>
        <w:t>המסוימת</w:t>
      </w:r>
      <w:r>
        <w:rPr>
          <w:rFonts w:hint="cs"/>
          <w:rtl/>
        </w:rPr>
        <w:t xml:space="preserve">, מין אינו חלק מההגדרה כיוון שאינו עומד בפני עצמו. האדם יכול להיות מוגדר כ'חי', זו הגדרה חלקית כיוון שאינה מבחינה בינו ובין סוס, אבל היא עומדת בפני עצמה ויכולה להיות חלק מההגדרה של אדם, שהרי אפשר שיהיה חי בלי תלות בשאלה אם הוא מדבר. כיוון שלא יתכן שיהיה מדבר בלי תלות בשאלה אם הוא חי, 'מדבר' לחוד לא יכול </w:t>
      </w:r>
      <w:r w:rsidR="006B4C4C">
        <w:rPr>
          <w:rFonts w:hint="cs"/>
          <w:rtl/>
        </w:rPr>
        <w:t>להיחשב</w:t>
      </w:r>
      <w:r>
        <w:rPr>
          <w:rFonts w:hint="cs"/>
          <w:rtl/>
        </w:rPr>
        <w:t xml:space="preserve"> חלק מההגדרה אלא רק השלמה שלה. כלומר האדם יכול להיות מוגדר 'חי', אבל לא יכול להיות מוגדר 'מדבר' אלא רק 'חי מדבר'.</w:t>
      </w:r>
    </w:p>
    <w:p w14:paraId="3B183E19" w14:textId="1E6ABE1B" w:rsidR="004F1139" w:rsidRDefault="004F1139" w:rsidP="004345D0">
      <w:pPr>
        <w:pStyle w:val="FootnoteText"/>
        <w:rPr>
          <w:rtl/>
        </w:rPr>
      </w:pPr>
      <w:r>
        <w:rPr>
          <w:rFonts w:hint="cs"/>
          <w:rtl/>
        </w:rPr>
        <w:t>הסיבה שהגדרה היא בהכרח כפולה, היא לפי מה שכתב במורה נבוכים א' ע</w:t>
      </w:r>
      <w:r w:rsidR="00F055C8">
        <w:rPr>
          <w:rtl/>
        </w:rPr>
        <w:t>"</w:t>
      </w:r>
      <w:r>
        <w:rPr>
          <w:rFonts w:hint="cs"/>
          <w:rtl/>
        </w:rPr>
        <w:t>ב</w:t>
      </w:r>
      <w:r w:rsidR="00962925">
        <w:rPr>
          <w:rtl/>
        </w:rPr>
        <w:fldChar w:fldCharType="begin"/>
      </w:r>
      <w:r w:rsidR="00962925">
        <w:instrText xml:space="preserve"> XE "</w:instrText>
      </w:r>
      <w:r w:rsidR="00962925" w:rsidRPr="006A6936">
        <w:rPr>
          <w:rFonts w:hint="cs"/>
          <w:rtl/>
        </w:rPr>
        <w:instrText>מורה נבוכים א' ע</w:instrText>
      </w:r>
      <w:r w:rsidR="00962925">
        <w:rPr>
          <w:b/>
          <w:bCs/>
          <w:sz w:val="20"/>
          <w:szCs w:val="20"/>
        </w:rPr>
        <w:instrText>\</w:instrText>
      </w:r>
      <w:r w:rsidR="00962925" w:rsidRPr="006A6936">
        <w:rPr>
          <w:rFonts w:hint="cs"/>
          <w:rtl/>
        </w:rPr>
        <w:instrText>"ב - הגדרה בהכרח כפולה</w:instrText>
      </w:r>
      <w:r w:rsidR="00962925">
        <w:instrText xml:space="preserve">" </w:instrText>
      </w:r>
      <w:r w:rsidR="00962925">
        <w:rPr>
          <w:rtl/>
        </w:rPr>
        <w:fldChar w:fldCharType="end"/>
      </w:r>
      <w:r>
        <w:rPr>
          <w:rFonts w:hint="cs"/>
          <w:rtl/>
        </w:rPr>
        <w:t xml:space="preserve"> (מופיע גם באריסטו, ומקורו מפורש בטימיאוס של אפלטון. אני מעתיק מהרמב</w:t>
      </w:r>
      <w:r w:rsidR="00F055C8">
        <w:rPr>
          <w:rtl/>
        </w:rPr>
        <w:t>"</w:t>
      </w:r>
      <w:r>
        <w:rPr>
          <w:rFonts w:hint="cs"/>
          <w:rtl/>
        </w:rPr>
        <w:t>ם כי לשונו קצרה ובהירה ולא דורשת תרגום, והוא מצטט מדויק מאוד של תורת אריסטו ואפלטון):</w:t>
      </w:r>
    </w:p>
    <w:p w14:paraId="74DDC2B6" w14:textId="3F95FD90" w:rsidR="004F1139" w:rsidRDefault="00F055C8" w:rsidP="004345D0">
      <w:pPr>
        <w:pStyle w:val="FootnoteText"/>
        <w:rPr>
          <w:rtl/>
        </w:rPr>
      </w:pPr>
      <w:r>
        <w:rPr>
          <w:rtl/>
        </w:rPr>
        <w:t>"</w:t>
      </w:r>
      <w:r w:rsidR="004F1139" w:rsidRPr="00B43887">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w:t>
      </w:r>
      <w:r>
        <w:rPr>
          <w:rtl/>
        </w:rPr>
        <w:t>"</w:t>
      </w:r>
    </w:p>
    <w:p w14:paraId="791F9E6E" w14:textId="538B6881" w:rsidR="004F1139" w:rsidRDefault="004F1139" w:rsidP="004345D0">
      <w:pPr>
        <w:pStyle w:val="FootnoteText"/>
      </w:pPr>
      <w:r>
        <w:rPr>
          <w:rFonts w:hint="cs"/>
          <w:rtl/>
        </w:rPr>
        <w:t>מציאות של דבר היא תמיד על דרך מציאות של איבר, כמו שביאר אריסטו ב</w:t>
      </w:r>
      <w:r w:rsidR="00F055C8">
        <w:rPr>
          <w:rtl/>
        </w:rPr>
        <w:t>"</w:t>
      </w:r>
      <w:r>
        <w:rPr>
          <w:rFonts w:hint="cs"/>
          <w:rtl/>
        </w:rPr>
        <w:t>על הנפש</w:t>
      </w:r>
      <w:r w:rsidR="00F055C8">
        <w:rPr>
          <w:rtl/>
        </w:rPr>
        <w:t>"</w:t>
      </w:r>
      <w:r>
        <w:rPr>
          <w:rFonts w:hint="cs"/>
          <w:rtl/>
        </w:rPr>
        <w:t xml:space="preserve"> ב' א' עין בהכרח מוגדרת כעין של אדם ולא כעין סתם. מיד כשעין נעקרה היא כבר יצאה מהגדרת עין, במהותה היא כבר לא עין אלא רק חתיכת בשר בצורת עין, וכמו אדם שמצויר על בד שאינו אדם במהותו, הוא לא חי ולא מדבר. לכן כל דבר מהותו, וממילא הגדרתו, הם באופן של איבר של משהו כללי, מין שהוא תחת סוג.  </w:t>
      </w:r>
    </w:p>
  </w:footnote>
  <w:footnote w:id="27">
    <w:p w14:paraId="2BAE211C" w14:textId="38DB3F5C" w:rsidR="004F1139" w:rsidRDefault="004F1139">
      <w:pPr>
        <w:pStyle w:val="FootnoteText"/>
        <w:rPr>
          <w:rtl/>
        </w:rPr>
      </w:pPr>
      <w:r>
        <w:rPr>
          <w:rStyle w:val="FootnoteReference"/>
        </w:rPr>
        <w:footnoteRef/>
      </w:r>
      <w:r>
        <w:rPr>
          <w:rtl/>
        </w:rPr>
        <w:t xml:space="preserve"> </w:t>
      </w:r>
      <w:r>
        <w:rPr>
          <w:rFonts w:hint="cs"/>
          <w:rtl/>
        </w:rPr>
        <w:t xml:space="preserve">אפשר להגדיר את האדם כ'חי מדבר' רק אם מקודם אנו יודעים ומגדירים מהו 'חי'. אחרי שאנו יודעים מה שמבדיל באופן מהותי את החי מהצומח והדומם, אז בתוך אותו חי שהשגנו אנו יכולים להבחין בין סוגי חי שונים. בלי לדעת מקודם מהו חי לא יתכן להשיג מין </w:t>
      </w:r>
      <w:r w:rsidR="009C463A">
        <w:rPr>
          <w:rFonts w:hint="cs"/>
          <w:rtl/>
        </w:rPr>
        <w:t>מסוים</w:t>
      </w:r>
      <w:r>
        <w:rPr>
          <w:rFonts w:hint="cs"/>
          <w:rtl/>
        </w:rPr>
        <w:t xml:space="preserve"> של חי. </w:t>
      </w:r>
    </w:p>
    <w:p w14:paraId="2D24E0C6" w14:textId="5B420509" w:rsidR="004F1139" w:rsidRDefault="004F1139">
      <w:pPr>
        <w:pStyle w:val="FootnoteText"/>
        <w:rPr>
          <w:rtl/>
        </w:rPr>
      </w:pPr>
      <w:r>
        <w:rPr>
          <w:rFonts w:hint="cs"/>
          <w:rtl/>
        </w:rPr>
        <w:t>באופן כללי יותר אי אפשר להגדיר שום נמצא בלי ידיעת מה שכתב המורה נבוכים א' ע</w:t>
      </w:r>
      <w:r w:rsidR="00F055C8">
        <w:rPr>
          <w:rtl/>
        </w:rPr>
        <w:t>"</w:t>
      </w:r>
      <w:r>
        <w:rPr>
          <w:rFonts w:hint="cs"/>
          <w:rtl/>
        </w:rPr>
        <w:t>ב</w:t>
      </w:r>
      <w:r w:rsidR="00962925">
        <w:rPr>
          <w:rtl/>
        </w:rPr>
        <w:fldChar w:fldCharType="begin"/>
      </w:r>
      <w:r w:rsidR="00962925">
        <w:instrText xml:space="preserve"> XE "</w:instrText>
      </w:r>
      <w:r w:rsidR="00962925" w:rsidRPr="00FC69C9">
        <w:rPr>
          <w:rFonts w:hint="cs"/>
          <w:rtl/>
        </w:rPr>
        <w:instrText>מורה נבוכים א' ע</w:instrText>
      </w:r>
      <w:r w:rsidR="00962925">
        <w:rPr>
          <w:b/>
          <w:bCs/>
          <w:sz w:val="20"/>
          <w:szCs w:val="20"/>
        </w:rPr>
        <w:instrText>\</w:instrText>
      </w:r>
      <w:r w:rsidR="00962925" w:rsidRPr="00FC69C9">
        <w:rPr>
          <w:rFonts w:hint="cs"/>
          <w:rtl/>
        </w:rPr>
        <w:instrText>"ב - המציאות גוף אחד והנמצאים איברים</w:instrText>
      </w:r>
      <w:r w:rsidR="00962925">
        <w:instrText xml:space="preserve">" </w:instrText>
      </w:r>
      <w:r w:rsidR="00962925">
        <w:rPr>
          <w:rtl/>
        </w:rPr>
        <w:fldChar w:fldCharType="end"/>
      </w:r>
      <w:r>
        <w:rPr>
          <w:rFonts w:hint="cs"/>
          <w:rtl/>
        </w:rPr>
        <w:t xml:space="preserve"> שהעתקתי מקודם, וכתב עוד שם בהמשך הפרק:</w:t>
      </w:r>
    </w:p>
    <w:p w14:paraId="6ADBA210" w14:textId="12476F60" w:rsidR="004F1139" w:rsidRDefault="00F055C8">
      <w:pPr>
        <w:pStyle w:val="FootnoteText"/>
        <w:rPr>
          <w:rtl/>
        </w:rPr>
      </w:pPr>
      <w:r>
        <w:rPr>
          <w:rtl/>
        </w:rPr>
        <w:t>"</w:t>
      </w:r>
      <w:r w:rsidR="004F1139" w:rsidRPr="00DA6ABA">
        <w:rPr>
          <w:rtl/>
        </w:rPr>
        <w:t xml:space="preserve">הנה כן צריך לך שתצייר כל זה הכדור איש אחד, חי מתנועע בעל נפש, כי זה המין מן הציור הכרחי מאד, כלומר מועיל מאד במופת על היות </w:t>
      </w:r>
      <w:r w:rsidR="004F1139" w:rsidRPr="00DA6ABA">
        <w:rPr>
          <w:rtl/>
        </w:rPr>
        <w:t xml:space="preserve">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w:t>
      </w:r>
      <w:r w:rsidR="004F1139">
        <w:rPr>
          <w:rFonts w:hint="cs"/>
          <w:rtl/>
        </w:rPr>
        <w:t>-</w:t>
      </w:r>
      <w:r w:rsidR="004F1139" w:rsidRPr="00DA6ABA">
        <w:rPr>
          <w:rtl/>
        </w:rPr>
        <w:t xml:space="preserve"> כן אי אפשר שימצאו חלקי העולם קצתם מבלתי קצתם</w:t>
      </w:r>
      <w:r>
        <w:rPr>
          <w:rtl/>
        </w:rPr>
        <w:t>"</w:t>
      </w:r>
      <w:r w:rsidR="004F1139">
        <w:rPr>
          <w:rFonts w:hint="cs"/>
          <w:rtl/>
        </w:rPr>
        <w:t xml:space="preserve"> </w:t>
      </w:r>
    </w:p>
    <w:p w14:paraId="7478E5CE" w14:textId="7B0B2DDB" w:rsidR="004F1139" w:rsidRDefault="004F1139" w:rsidP="009D1BEE">
      <w:pPr>
        <w:pStyle w:val="FootnoteText"/>
      </w:pPr>
      <w:r>
        <w:rPr>
          <w:rFonts w:hint="cs"/>
          <w:rtl/>
        </w:rPr>
        <w:t xml:space="preserve">איבר לא יכול להימצא בלי איברים אחרים, זה מונח בעיקר הגדרתו, כיוון שהוא איבר של הגוף שבו כלולים גם האיברים האחרים. לכן הוא מוכרח הגדרה כפולה, איבר פלוני של גוף זה. אפשר להשיג גוף בלי להשיג איברים, אבל אי אפשר להשיג איברים בלי להשיג גוף, לכן השגת הגוף, ידיעת מהותו, קודמת להשגת כל איבר שהוא. מבחינת מהותה של העין מה שהיא 'גוף' קודם בסדר ההוויה למה שהיא 'עין' לכן יש בהכרח להשיג את הגוף לפני השגת העין. סדר ההוויה הוא השתלשלות המציאות, יש מצוי ראשון שממציא כל נמצא, ויש סדר של השפעת המציאות מהמצוי הראשון אל הנמצאים. וזה גם הסדר ההגיוני, מה שההנחות קודמות למסקנה, כי ההנחות משפיעות מציאות למסקנה, זה הפירוש של מה שאומרים שהמסקנה </w:t>
      </w:r>
      <w:r w:rsidR="00F055C8">
        <w:rPr>
          <w:rtl/>
        </w:rPr>
        <w:t>"</w:t>
      </w:r>
      <w:r>
        <w:rPr>
          <w:rFonts w:hint="cs"/>
          <w:rtl/>
        </w:rPr>
        <w:t>נובעת</w:t>
      </w:r>
      <w:r w:rsidR="00F055C8">
        <w:rPr>
          <w:rtl/>
        </w:rPr>
        <w:t>"</w:t>
      </w:r>
      <w:r>
        <w:rPr>
          <w:rFonts w:hint="cs"/>
          <w:rtl/>
        </w:rPr>
        <w:t xml:space="preserve"> מההנחות. זה גם הסדר של הסיבתיות, מה סיבה למה, כי להיות סיבה לדבר פירושו להשפיע עליו מציאות. אם יש יד שאוחזת במפתח, באותו זמן שהיד מתחילה לנוע גם המפתח מתחיל לנוע, מבחינת הזמן שתי התנועות מתחילות בבת אחת ואין קדימה זמנית, אבל מצד סדר ההוויה תנועת היד קודמת כי היא הסיבה לתנועת המפתח. אי אפשר להשיג את תנועת המפתח בלי שמשיגים מקודם את תנועת היד, ואפשר להשיג את תנועת היד בלי להשיג שהיא אוחזת במפתח ומניעה אותו. </w:t>
      </w:r>
    </w:p>
  </w:footnote>
  <w:footnote w:id="28">
    <w:p w14:paraId="725672EF" w14:textId="257AEC64" w:rsidR="001237F5" w:rsidRDefault="004F1139" w:rsidP="00A019BB">
      <w:pPr>
        <w:pStyle w:val="FootnoteText"/>
        <w:rPr>
          <w:rtl/>
        </w:rPr>
      </w:pPr>
      <w:r>
        <w:rPr>
          <w:rStyle w:val="FootnoteReference"/>
        </w:rPr>
        <w:footnoteRef/>
      </w:r>
      <w:r>
        <w:rPr>
          <w:rtl/>
        </w:rPr>
        <w:t xml:space="preserve"> </w:t>
      </w:r>
      <w:r w:rsidR="00F055C8">
        <w:rPr>
          <w:rtl/>
        </w:rPr>
        <w:t>"</w:t>
      </w:r>
      <w:r w:rsidR="00B73732">
        <w:rPr>
          <w:rFonts w:hint="cs"/>
          <w:rtl/>
        </w:rPr>
        <w:t xml:space="preserve">הדברים </w:t>
      </w:r>
      <w:r w:rsidR="009C463A">
        <w:rPr>
          <w:rFonts w:hint="cs"/>
          <w:rtl/>
        </w:rPr>
        <w:t>המסוימים</w:t>
      </w:r>
      <w:r w:rsidR="00F055C8">
        <w:rPr>
          <w:rtl/>
        </w:rPr>
        <w:t>"</w:t>
      </w:r>
      <w:r w:rsidR="00B73732">
        <w:rPr>
          <w:rFonts w:hint="cs"/>
          <w:rtl/>
        </w:rPr>
        <w:t xml:space="preserve"> גם בהמשך הפרק פירושו המין. המין הוא </w:t>
      </w:r>
      <w:r w:rsidR="006B4C4C">
        <w:rPr>
          <w:rFonts w:hint="cs"/>
          <w:rtl/>
        </w:rPr>
        <w:t>'</w:t>
      </w:r>
      <w:r w:rsidR="00B73732">
        <w:rPr>
          <w:rFonts w:hint="cs"/>
          <w:rtl/>
        </w:rPr>
        <w:t>כולל</w:t>
      </w:r>
      <w:r w:rsidR="006B4C4C">
        <w:rPr>
          <w:rFonts w:hint="cs"/>
          <w:rtl/>
        </w:rPr>
        <w:t>' (</w:t>
      </w:r>
      <w:r w:rsidR="006B4C4C">
        <w:rPr>
          <w:rFonts w:hint="cs"/>
          <w:rtl/>
        </w:rPr>
        <w:t xml:space="preserve">אוניברסל. הסוג והמין שניהם נקראים כשם עצם 'כוללים', 'אוניברסלים', כי הם כוללים את היחידים המוחשיים. הכוללים הם אידיאות, ישויות שמצד עצמן קיימות ללא גוף חומרי, והיחידים המוחשיים נוטלים בהן חלק. יש רובד של מציאות שבו להיות נמצא מוגדר כלהיות צורה מופשטת, ויש רובד של מציאות, שהוא הטבע, שבו להיות נמצא מוגדר כלהיות גוף שמאוחד מחומר וצורה), </w:t>
      </w:r>
      <w:r w:rsidR="00B73732">
        <w:rPr>
          <w:rFonts w:hint="cs"/>
          <w:rtl/>
        </w:rPr>
        <w:t>ה</w:t>
      </w:r>
      <w:r w:rsidR="006B4C4C">
        <w:rPr>
          <w:rFonts w:hint="cs"/>
          <w:rtl/>
        </w:rPr>
        <w:t>מין</w:t>
      </w:r>
      <w:r w:rsidR="00B73732">
        <w:rPr>
          <w:rFonts w:hint="cs"/>
          <w:rtl/>
        </w:rPr>
        <w:t xml:space="preserve"> כולל את ה</w:t>
      </w:r>
      <w:r w:rsidR="006B4C4C">
        <w:rPr>
          <w:rFonts w:hint="cs"/>
          <w:rtl/>
        </w:rPr>
        <w:t>יחיד</w:t>
      </w:r>
      <w:r w:rsidR="00B73732">
        <w:rPr>
          <w:rFonts w:hint="cs"/>
          <w:rtl/>
        </w:rPr>
        <w:t>ים המוחשיים היחידים</w:t>
      </w:r>
      <w:r w:rsidR="006B4C4C">
        <w:rPr>
          <w:rFonts w:hint="cs"/>
          <w:rtl/>
        </w:rPr>
        <w:t xml:space="preserve">, </w:t>
      </w:r>
      <w:r w:rsidR="00B73732">
        <w:rPr>
          <w:rFonts w:hint="cs"/>
          <w:rtl/>
        </w:rPr>
        <w:t xml:space="preserve">כמו שהאידיאה אדם שהיא 'חי מדבר', </w:t>
      </w:r>
      <w:r w:rsidR="006B4C4C">
        <w:rPr>
          <w:rFonts w:hint="cs"/>
          <w:rtl/>
        </w:rPr>
        <w:t>כלומר</w:t>
      </w:r>
      <w:r w:rsidR="00B73732">
        <w:rPr>
          <w:rFonts w:hint="cs"/>
          <w:rtl/>
        </w:rPr>
        <w:t xml:space="preserve"> המין 'אדם', כוללת את ראובן ושמעו</w:t>
      </w:r>
      <w:r w:rsidR="006B4C4C">
        <w:rPr>
          <w:rFonts w:hint="cs"/>
          <w:rtl/>
        </w:rPr>
        <w:t>ן;</w:t>
      </w:r>
      <w:r w:rsidR="00B73732">
        <w:rPr>
          <w:rFonts w:hint="cs"/>
          <w:rtl/>
        </w:rPr>
        <w:t xml:space="preserve"> אבל ה</w:t>
      </w:r>
      <w:r w:rsidR="001237F5">
        <w:rPr>
          <w:rFonts w:hint="cs"/>
          <w:rtl/>
        </w:rPr>
        <w:t>מין</w:t>
      </w:r>
      <w:r w:rsidR="00B73732">
        <w:rPr>
          <w:rFonts w:hint="cs"/>
          <w:rtl/>
        </w:rPr>
        <w:t xml:space="preserve"> נקרא</w:t>
      </w:r>
      <w:r w:rsidR="001237F5">
        <w:rPr>
          <w:rFonts w:hint="cs"/>
          <w:rtl/>
        </w:rPr>
        <w:t xml:space="preserve"> </w:t>
      </w:r>
      <w:r w:rsidR="00F055C8">
        <w:rPr>
          <w:rtl/>
        </w:rPr>
        <w:t>"</w:t>
      </w:r>
      <w:r w:rsidR="00B73732">
        <w:rPr>
          <w:rFonts w:hint="cs"/>
          <w:rtl/>
        </w:rPr>
        <w:t xml:space="preserve">דבר </w:t>
      </w:r>
      <w:r w:rsidR="009C463A">
        <w:rPr>
          <w:rFonts w:hint="cs"/>
          <w:rtl/>
        </w:rPr>
        <w:t>מסוים</w:t>
      </w:r>
      <w:r w:rsidR="00F055C8">
        <w:rPr>
          <w:rtl/>
        </w:rPr>
        <w:t>"</w:t>
      </w:r>
      <w:r w:rsidR="00B73732">
        <w:rPr>
          <w:rFonts w:hint="cs"/>
          <w:rtl/>
        </w:rPr>
        <w:t xml:space="preserve"> ביחס לסוג שכולל כמה מינים, ולהתחלות שהן מופשטות וכוללות עוד יותר. </w:t>
      </w:r>
    </w:p>
    <w:p w14:paraId="1148CDB6" w14:textId="768A959E" w:rsidR="004F1139" w:rsidRDefault="004F1139" w:rsidP="00A019BB">
      <w:pPr>
        <w:pStyle w:val="FootnoteText"/>
      </w:pPr>
      <w:r>
        <w:rPr>
          <w:rFonts w:hint="cs"/>
          <w:rtl/>
        </w:rPr>
        <w:t xml:space="preserve">כדי להשיג את המין </w:t>
      </w:r>
      <w:r w:rsidR="006B4C4C">
        <w:rPr>
          <w:rFonts w:hint="cs"/>
          <w:rtl/>
        </w:rPr>
        <w:t>המסוים</w:t>
      </w:r>
      <w:r>
        <w:rPr>
          <w:rFonts w:hint="cs"/>
          <w:rtl/>
        </w:rPr>
        <w:t xml:space="preserve"> אדם, שהוא 'חי מדבר', צריך מקודם להשיג את התחלת החיים שהיא לא גופים שיש בהם חיים אלא החיים המופשטים כשלעצמם לפ</w:t>
      </w:r>
      <w:r w:rsidR="001237F5">
        <w:rPr>
          <w:rFonts w:hint="cs"/>
          <w:rtl/>
        </w:rPr>
        <w:t>נ</w:t>
      </w:r>
      <w:r>
        <w:rPr>
          <w:rFonts w:hint="cs"/>
          <w:rtl/>
        </w:rPr>
        <w:t xml:space="preserve">י שעולה על הדעת המושג גוף, ואחר כך להשיג את הדבר הכללי 'חיים' שהוא השגת סך כל הגופים החיים וראיית המשותף להם, כלומר להשיג את הגופים החיים כסוג, השגה כוללת של </w:t>
      </w:r>
      <w:r w:rsidR="001237F5">
        <w:rPr>
          <w:rFonts w:hint="cs"/>
          <w:rtl/>
        </w:rPr>
        <w:t>כל אופני ה</w:t>
      </w:r>
      <w:r>
        <w:rPr>
          <w:rFonts w:hint="cs"/>
          <w:rtl/>
        </w:rPr>
        <w:t xml:space="preserve">חיים </w:t>
      </w:r>
      <w:r w:rsidR="001237F5">
        <w:rPr>
          <w:rFonts w:hint="cs"/>
          <w:rtl/>
        </w:rPr>
        <w:t>ה</w:t>
      </w:r>
      <w:r>
        <w:rPr>
          <w:rFonts w:hint="cs"/>
          <w:rtl/>
        </w:rPr>
        <w:t>שרויים ב</w:t>
      </w:r>
      <w:r w:rsidR="001237F5">
        <w:rPr>
          <w:rFonts w:hint="cs"/>
          <w:rtl/>
        </w:rPr>
        <w:t xml:space="preserve">כל </w:t>
      </w:r>
      <w:r>
        <w:rPr>
          <w:rFonts w:hint="cs"/>
          <w:rtl/>
        </w:rPr>
        <w:t>גוף</w:t>
      </w:r>
      <w:r w:rsidR="001237F5">
        <w:rPr>
          <w:rFonts w:hint="cs"/>
          <w:rtl/>
        </w:rPr>
        <w:t xml:space="preserve"> שהוא</w:t>
      </w:r>
      <w:r>
        <w:rPr>
          <w:rFonts w:hint="cs"/>
          <w:rtl/>
        </w:rPr>
        <w:t xml:space="preserve">. זה כולל את כל מה שחי אבל זה לא השגת החיים באופן מופשט לגמרי אלא השגה כללית של 'חיים' כלשהם של 'גוף חי' כלשהו. זה כללי כי זה לא מסוים לשום בעל חיים פרטי כלשהו, אבל זו לא השגה מופשטת מגוף כללי כלשהו. </w:t>
      </w:r>
    </w:p>
  </w:footnote>
  <w:footnote w:id="29">
    <w:p w14:paraId="3323A1C8" w14:textId="11EC2130" w:rsidR="004D25C3" w:rsidRDefault="004D25C3">
      <w:pPr>
        <w:pStyle w:val="FootnoteText"/>
      </w:pPr>
      <w:r>
        <w:rPr>
          <w:rStyle w:val="FootnoteReference"/>
        </w:rPr>
        <w:footnoteRef/>
      </w:r>
      <w:r>
        <w:rPr>
          <w:rtl/>
        </w:rPr>
        <w:t xml:space="preserve"> </w:t>
      </w:r>
      <w:r>
        <w:rPr>
          <w:rFonts w:hint="cs"/>
          <w:rtl/>
        </w:rPr>
        <w:t>כלומר המין, הצורה, האידיאה. באדם למשל הכוונה ל'חי מדבר' שזה דבר מסוים ביחס לסוג הכללי 'חי'.</w:t>
      </w:r>
    </w:p>
  </w:footnote>
  <w:footnote w:id="30">
    <w:p w14:paraId="18A97721" w14:textId="527629EB" w:rsidR="009D1D06" w:rsidRDefault="009D1D06">
      <w:pPr>
        <w:pStyle w:val="FootnoteText"/>
      </w:pPr>
      <w:r>
        <w:rPr>
          <w:rStyle w:val="FootnoteReference"/>
        </w:rPr>
        <w:footnoteRef/>
      </w:r>
      <w:r>
        <w:rPr>
          <w:rtl/>
        </w:rPr>
        <w:t xml:space="preserve"> </w:t>
      </w:r>
      <w:r>
        <w:rPr>
          <w:rFonts w:hint="cs"/>
          <w:rtl/>
        </w:rPr>
        <w:t>היחיד המסוים ראובן קיים כי המציאות, מה שמכוון בטבע, הוא על דרך זו שטבע מסוים שהוא המין 'אדם', 'חי מדבר', קיים בגופים מוחשיים. כי ראובן הוא ראובן מכח שתי סיבות, האחת שהוא 'אדם'</w:t>
      </w:r>
      <w:r w:rsidR="00721CD1">
        <w:rPr>
          <w:rFonts w:hint="cs"/>
          <w:rtl/>
        </w:rPr>
        <w:t>, הוא משהו שנוטל חלק בצורת המין 'אדם', ללא זה הוא לא היה ראובן, כי ראובן במהותו הוא להיות פרט אחד ממין האדם, והסיבה השנייה היא שראובן קיים כי הטבע מכוון לכך שהמין 'אדם' קיומו הוא בדרך של להיות נמצא ביחידים מוחשיים. ללא זה היה קיים מין אדם שהוא 'חי מדבר' ולא ראובן מסוים זה שאנו מכירים והוא שונה משמעון. מה שהמין קיים בדרך של להיות נמצא ביחיד מוחשי</w:t>
      </w:r>
      <w:r w:rsidR="00C77E17">
        <w:rPr>
          <w:rFonts w:hint="cs"/>
          <w:rtl/>
        </w:rPr>
        <w:t xml:space="preserve">, פירושו שהצורה אדם היא בחומר כלשהו, והחומר שהוא מצע לגילוי שלה תורם מצידו מידה של חלקיות ופגמים בשלמות הגילוי, והשוני של החלקיות והפגמים גורם לשוני בין ראובן לשמעון. וכמו שכתב במטאפיזיקה </w:t>
      </w:r>
      <w:r w:rsidR="00280FE4">
        <w:rPr>
          <w:rFonts w:hint="cs"/>
          <w:rtl/>
        </w:rPr>
        <w:t xml:space="preserve">זטא סוף פרק ח' שהחלוקה בין ראובן לשמעון היא מצד החומר. </w:t>
      </w:r>
    </w:p>
  </w:footnote>
  <w:footnote w:id="31">
    <w:p w14:paraId="43AC0E59" w14:textId="7E9FEB39" w:rsidR="00B63B6A" w:rsidRDefault="004F1139">
      <w:pPr>
        <w:pStyle w:val="FootnoteText"/>
        <w:rPr>
          <w:rtl/>
        </w:rPr>
      </w:pPr>
      <w:r>
        <w:rPr>
          <w:rStyle w:val="FootnoteReference"/>
        </w:rPr>
        <w:footnoteRef/>
      </w:r>
      <w:r>
        <w:rPr>
          <w:rtl/>
        </w:rPr>
        <w:t xml:space="preserve"> </w:t>
      </w:r>
      <w:r w:rsidR="00F055C8">
        <w:rPr>
          <w:rtl/>
        </w:rPr>
        <w:t>"</w:t>
      </w:r>
      <w:r w:rsidR="00B63B6A">
        <w:rPr>
          <w:rFonts w:hint="cs"/>
          <w:rtl/>
        </w:rPr>
        <w:t>טבע מסוים</w:t>
      </w:r>
      <w:r w:rsidR="00F055C8">
        <w:rPr>
          <w:rtl/>
        </w:rPr>
        <w:t>"</w:t>
      </w:r>
      <w:r w:rsidR="00B63B6A">
        <w:rPr>
          <w:rFonts w:hint="cs"/>
          <w:rtl/>
        </w:rPr>
        <w:t xml:space="preserve"> </w:t>
      </w:r>
      <w:r>
        <w:rPr>
          <w:rFonts w:hint="cs"/>
          <w:rtl/>
        </w:rPr>
        <w:t>כלומר הצורה הטבעית, המין כצור</w:t>
      </w:r>
      <w:r w:rsidR="00B63B6A">
        <w:rPr>
          <w:rFonts w:hint="cs"/>
          <w:rtl/>
        </w:rPr>
        <w:t>ה</w:t>
      </w:r>
      <w:r>
        <w:rPr>
          <w:rFonts w:hint="cs"/>
          <w:rtl/>
        </w:rPr>
        <w:t xml:space="preserve"> </w:t>
      </w:r>
      <w:r w:rsidR="00B63B6A">
        <w:rPr>
          <w:rFonts w:hint="cs"/>
          <w:rtl/>
        </w:rPr>
        <w:t xml:space="preserve">שכוללת את היחידים המוחשיים הפרטיים שנוטלים בה חלק, ונקראת </w:t>
      </w:r>
      <w:r w:rsidR="00B63B6A">
        <w:rPr>
          <w:rFonts w:hint="cs"/>
          <w:rtl/>
        </w:rPr>
        <w:t xml:space="preserve">מסויימת רק ביחס לסוג ולהתחלות. </w:t>
      </w:r>
    </w:p>
    <w:p w14:paraId="14EC0535" w14:textId="77777777" w:rsidR="00D85444" w:rsidRDefault="004F1139">
      <w:pPr>
        <w:pStyle w:val="FootnoteText"/>
        <w:rPr>
          <w:rtl/>
        </w:rPr>
      </w:pPr>
      <w:r>
        <w:rPr>
          <w:rFonts w:hint="cs"/>
          <w:rtl/>
        </w:rPr>
        <w:t>אם קיום ראובן</w:t>
      </w:r>
      <w:r w:rsidR="00D85444">
        <w:rPr>
          <w:rFonts w:hint="cs"/>
          <w:rtl/>
        </w:rPr>
        <w:t xml:space="preserve"> כ</w:t>
      </w:r>
      <w:r>
        <w:rPr>
          <w:rFonts w:hint="cs"/>
          <w:rtl/>
        </w:rPr>
        <w:t>יחיד מוחשי</w:t>
      </w:r>
      <w:r w:rsidR="00B63B6A">
        <w:rPr>
          <w:rFonts w:hint="cs"/>
          <w:rtl/>
        </w:rPr>
        <w:t xml:space="preserve"> פרטי</w:t>
      </w:r>
      <w:r>
        <w:rPr>
          <w:rFonts w:hint="cs"/>
          <w:rtl/>
        </w:rPr>
        <w:t xml:space="preserve">, הוא </w:t>
      </w:r>
      <w:r w:rsidR="00B63B6A">
        <w:rPr>
          <w:rFonts w:hint="cs"/>
          <w:rtl/>
        </w:rPr>
        <w:t xml:space="preserve">מצד </w:t>
      </w:r>
      <w:r>
        <w:rPr>
          <w:rFonts w:hint="cs"/>
          <w:rtl/>
        </w:rPr>
        <w:t xml:space="preserve">עצמו בלא תנאי </w:t>
      </w:r>
      <w:r w:rsidR="00B63B6A">
        <w:rPr>
          <w:rFonts w:hint="cs"/>
          <w:rtl/>
        </w:rPr>
        <w:t>מה ש</w:t>
      </w:r>
      <w:r>
        <w:rPr>
          <w:rFonts w:hint="cs"/>
          <w:rtl/>
        </w:rPr>
        <w:t xml:space="preserve">מכוון על ידי הטבע, </w:t>
      </w:r>
      <w:r w:rsidR="00B63B6A">
        <w:rPr>
          <w:rFonts w:hint="cs"/>
          <w:rtl/>
        </w:rPr>
        <w:t xml:space="preserve">כלומר הוא ההגדרה של 'נמצא' בעולם הטבעי החומרי, </w:t>
      </w:r>
      <w:r>
        <w:rPr>
          <w:rFonts w:hint="cs"/>
          <w:rtl/>
        </w:rPr>
        <w:t>אם כן כשימות ראובן נפסד חלק מקיום הטבע</w:t>
      </w:r>
      <w:r w:rsidR="00B63B6A">
        <w:rPr>
          <w:rFonts w:hint="cs"/>
          <w:rtl/>
        </w:rPr>
        <w:t xml:space="preserve">, </w:t>
      </w:r>
      <w:r w:rsidR="00D85444">
        <w:rPr>
          <w:rFonts w:hint="cs"/>
          <w:rtl/>
        </w:rPr>
        <w:t>מ</w:t>
      </w:r>
      <w:r w:rsidR="00B63B6A">
        <w:rPr>
          <w:rFonts w:hint="cs"/>
          <w:rtl/>
        </w:rPr>
        <w:t>סדר הטבע</w:t>
      </w:r>
      <w:r>
        <w:rPr>
          <w:rFonts w:hint="cs"/>
          <w:rtl/>
        </w:rPr>
        <w:t xml:space="preserve">. אבל אם קיום היחיד </w:t>
      </w:r>
      <w:r w:rsidR="00D85444">
        <w:rPr>
          <w:rFonts w:hint="cs"/>
          <w:rtl/>
        </w:rPr>
        <w:t xml:space="preserve">המוחשי </w:t>
      </w:r>
      <w:r>
        <w:rPr>
          <w:rFonts w:hint="cs"/>
          <w:rtl/>
        </w:rPr>
        <w:t xml:space="preserve">ראובן הוא המכוון </w:t>
      </w:r>
      <w:r w:rsidR="00D85444">
        <w:rPr>
          <w:rFonts w:hint="cs"/>
          <w:rtl/>
        </w:rPr>
        <w:t xml:space="preserve">על ידי הטבע, כלומר הוא ההגדרה של 'נמצא' בעולם החומרי הטבעי, </w:t>
      </w:r>
      <w:r>
        <w:rPr>
          <w:rFonts w:hint="cs"/>
          <w:rtl/>
        </w:rPr>
        <w:t xml:space="preserve">רק באופן שיש לו את הטבע 'אדם', כלומר שהוא </w:t>
      </w:r>
      <w:r w:rsidR="00D85444">
        <w:rPr>
          <w:rFonts w:hint="cs"/>
          <w:rtl/>
        </w:rPr>
        <w:t>נוטל חלק</w:t>
      </w:r>
      <w:r>
        <w:rPr>
          <w:rFonts w:hint="cs"/>
          <w:rtl/>
        </w:rPr>
        <w:t xml:space="preserve"> במין אדם, </w:t>
      </w:r>
      <w:r w:rsidR="00D85444">
        <w:rPr>
          <w:rFonts w:hint="cs"/>
          <w:rtl/>
        </w:rPr>
        <w:t xml:space="preserve">שהוא חומר שמצוירת בו הצורה 'אדם', </w:t>
      </w:r>
      <w:r>
        <w:rPr>
          <w:rFonts w:hint="cs"/>
          <w:rtl/>
        </w:rPr>
        <w:t xml:space="preserve">אז אם הוא ימות יהיו יחידים </w:t>
      </w:r>
      <w:r w:rsidR="00D85444">
        <w:rPr>
          <w:rFonts w:hint="cs"/>
          <w:rtl/>
        </w:rPr>
        <w:t xml:space="preserve">מוחשיים </w:t>
      </w:r>
      <w:r>
        <w:rPr>
          <w:rFonts w:hint="cs"/>
          <w:rtl/>
        </w:rPr>
        <w:t xml:space="preserve">אחרים שיש להם את הטבע אדם, והטבע 'אדם', הצורה שהיא 'חי מדבר', </w:t>
      </w:r>
      <w:r w:rsidR="00D85444">
        <w:rPr>
          <w:rFonts w:hint="cs"/>
          <w:rtl/>
        </w:rPr>
        <w:t>כשהיא מתבטאת ביחידים מוחשיים, זה לא ייפסד מהעולם.</w:t>
      </w:r>
    </w:p>
    <w:p w14:paraId="4480F746" w14:textId="74FDA7DB" w:rsidR="00F05D3C" w:rsidRDefault="004F1139">
      <w:pPr>
        <w:pStyle w:val="FootnoteText"/>
        <w:rPr>
          <w:rtl/>
        </w:rPr>
      </w:pPr>
      <w:r>
        <w:rPr>
          <w:rFonts w:hint="cs"/>
          <w:rtl/>
        </w:rPr>
        <w:t>אם ימותו כל בני האדם אז לא תתקיים כוונת הטבע</w:t>
      </w:r>
      <w:r w:rsidR="00D85444">
        <w:rPr>
          <w:rFonts w:hint="cs"/>
          <w:rtl/>
        </w:rPr>
        <w:t xml:space="preserve"> אע</w:t>
      </w:r>
      <w:r w:rsidR="00F055C8">
        <w:rPr>
          <w:rtl/>
        </w:rPr>
        <w:t>"</w:t>
      </w:r>
      <w:r w:rsidR="00D85444">
        <w:rPr>
          <w:rFonts w:hint="cs"/>
          <w:rtl/>
        </w:rPr>
        <w:t>פ שהצורה 'חי מדבר' תישאר קיימת כישות מופשטת מחומר מוחשי</w:t>
      </w:r>
      <w:r>
        <w:rPr>
          <w:rFonts w:hint="cs"/>
          <w:rtl/>
        </w:rPr>
        <w:t>, כי הכוונה היא שיהיו יחידים מוחשיים</w:t>
      </w:r>
      <w:r w:rsidR="00D85444">
        <w:rPr>
          <w:rFonts w:hint="cs"/>
          <w:rtl/>
        </w:rPr>
        <w:t xml:space="preserve"> (כלומר ההגדרה של קיים או נמצא </w:t>
      </w:r>
      <w:r w:rsidR="00F05D3C">
        <w:rPr>
          <w:rFonts w:hint="cs"/>
          <w:rtl/>
        </w:rPr>
        <w:t>תלויה במציאותו של</w:t>
      </w:r>
      <w:r w:rsidR="00D85444">
        <w:rPr>
          <w:rFonts w:hint="cs"/>
          <w:rtl/>
        </w:rPr>
        <w:t xml:space="preserve"> יחיד מוחשי</w:t>
      </w:r>
      <w:r w:rsidR="00F05D3C">
        <w:rPr>
          <w:rFonts w:hint="cs"/>
          <w:rtl/>
        </w:rPr>
        <w:t>)</w:t>
      </w:r>
      <w:r>
        <w:rPr>
          <w:rFonts w:hint="cs"/>
          <w:rtl/>
        </w:rPr>
        <w:t>, ואם כ</w:t>
      </w:r>
      <w:r w:rsidR="00F05D3C">
        <w:rPr>
          <w:rFonts w:hint="cs"/>
          <w:rtl/>
        </w:rPr>
        <w:t>ל היחידים המוחשיים</w:t>
      </w:r>
      <w:r>
        <w:rPr>
          <w:rFonts w:hint="cs"/>
          <w:rtl/>
        </w:rPr>
        <w:t xml:space="preserve"> ימותו תישאר קיימת רק הצורה המופשטת 'אדם' והיא כצורה מופשטת אינה שלמות הקיום המכוון בטבע. אבל אם יישאר אדם יחיד מוחשי כלשהו, תתקיים כוונת הטבע בכך שיש פרט מוחשי שנושא את הצורה 'אדם'</w:t>
      </w:r>
      <w:r w:rsidR="00F05D3C">
        <w:rPr>
          <w:rFonts w:hint="cs"/>
          <w:rtl/>
        </w:rPr>
        <w:t xml:space="preserve"> ולא אכפת לנו אם זה ראובן או שמעון, לכן אם ראובן ימות לא יחסר מאומה מקיומו השלם של הטבע, כי יהיה במקומו שמעון</w:t>
      </w:r>
      <w:r>
        <w:rPr>
          <w:rFonts w:hint="cs"/>
          <w:rtl/>
        </w:rPr>
        <w:t xml:space="preserve">. </w:t>
      </w:r>
    </w:p>
    <w:p w14:paraId="42DA156A" w14:textId="1BE463E9" w:rsidR="00E808F6" w:rsidRDefault="004F1139">
      <w:pPr>
        <w:pStyle w:val="FootnoteText"/>
        <w:rPr>
          <w:rtl/>
        </w:rPr>
      </w:pPr>
      <w:r>
        <w:rPr>
          <w:rFonts w:hint="cs"/>
          <w:rtl/>
        </w:rPr>
        <w:t>לפי אריסטו אין אפשרות שמין שלם יחדל מלהתקיים</w:t>
      </w:r>
      <w:r w:rsidR="00F05D3C">
        <w:rPr>
          <w:rFonts w:hint="cs"/>
          <w:rtl/>
        </w:rPr>
        <w:t xml:space="preserve"> וימותו כל הפרטים הנוטלים בו חלק</w:t>
      </w:r>
      <w:r>
        <w:rPr>
          <w:rFonts w:hint="cs"/>
          <w:rtl/>
        </w:rPr>
        <w:t>, כי הטבע הוא נצחי, הוא מה שסיבת הסיבות, האל, התכוון שיהיה נמצא (זה הפירוש ב</w:t>
      </w:r>
      <w:r w:rsidR="00F055C8">
        <w:rPr>
          <w:rtl/>
        </w:rPr>
        <w:t>"</w:t>
      </w:r>
      <w:r>
        <w:rPr>
          <w:rFonts w:hint="cs"/>
          <w:rtl/>
        </w:rPr>
        <w:t>מכוון על ידי הטבע</w:t>
      </w:r>
      <w:r w:rsidR="00F055C8">
        <w:rPr>
          <w:rtl/>
        </w:rPr>
        <w:t>"</w:t>
      </w:r>
      <w:r>
        <w:rPr>
          <w:rFonts w:hint="cs"/>
          <w:rtl/>
        </w:rPr>
        <w:t xml:space="preserve">), ולכן אי אפשר שמציאותו תיפסד. </w:t>
      </w:r>
      <w:r w:rsidR="00F05D3C">
        <w:rPr>
          <w:rFonts w:hint="cs"/>
          <w:rtl/>
        </w:rPr>
        <w:t>הטבע הוא אופן של גילוי של הבורא, הוא מדרגה ממדרגות המציאות שיש לה דרך מסויימת לגלות את הבורא על ידי המציאות שברא, ובה 'מציאות' מוגדרת כמציאותו של עצם שמאוח</w:t>
      </w:r>
      <w:r w:rsidR="00E808F6">
        <w:rPr>
          <w:rFonts w:hint="cs"/>
          <w:rtl/>
        </w:rPr>
        <w:t>ד</w:t>
      </w:r>
      <w:r w:rsidR="00F05D3C">
        <w:rPr>
          <w:rFonts w:hint="cs"/>
          <w:rtl/>
        </w:rPr>
        <w:t xml:space="preserve"> מחומר וצורה. </w:t>
      </w:r>
      <w:r w:rsidR="00E808F6">
        <w:rPr>
          <w:rFonts w:hint="cs"/>
          <w:rtl/>
        </w:rPr>
        <w:t xml:space="preserve">הבורא התכוון בטבע לגלות את עצמו, ולכן לא יתכן שיחסר אי פעם משהו מגילויו כי הוא נצחי ורצונו נצחי ומה שברא ברצונו ואליו התכוון שיהיה גילוי של עצמו (מה שאבן סינא קורא לו המכוון על פי הטבע) הוא בהכרח נצחי. </w:t>
      </w:r>
    </w:p>
    <w:p w14:paraId="649DB4F0" w14:textId="77777777" w:rsidR="00E808F6" w:rsidRDefault="00F05D3C">
      <w:pPr>
        <w:pStyle w:val="FootnoteText"/>
        <w:rPr>
          <w:rtl/>
        </w:rPr>
      </w:pPr>
      <w:r>
        <w:rPr>
          <w:rFonts w:hint="cs"/>
          <w:rtl/>
        </w:rPr>
        <w:t xml:space="preserve">על ידי מציאות עצמים שמאוחדים מחומר וצורה. </w:t>
      </w:r>
      <w:r w:rsidR="004F1139">
        <w:rPr>
          <w:rFonts w:hint="cs"/>
          <w:rtl/>
        </w:rPr>
        <w:t xml:space="preserve">המציאות של הטבע היא התגלות הצורה, המין, ביחידים מוחשיים כלשהם, ולא אכפת לנו אם זה יהיה ראובן או שראובן ימות וזה יהיה שמעון. </w:t>
      </w:r>
    </w:p>
    <w:p w14:paraId="554AFF90" w14:textId="393B1546" w:rsidR="00453E14" w:rsidRDefault="00453E14">
      <w:pPr>
        <w:pStyle w:val="FootnoteText"/>
        <w:rPr>
          <w:rtl/>
        </w:rPr>
      </w:pPr>
    </w:p>
    <w:p w14:paraId="2AABEFBA" w14:textId="2130814B" w:rsidR="00453E14" w:rsidRPr="00545C5F" w:rsidRDefault="00453E14" w:rsidP="00545C5F">
      <w:pPr>
        <w:rPr>
          <w:sz w:val="32"/>
          <w:szCs w:val="32"/>
          <w:rtl/>
        </w:rPr>
      </w:pPr>
      <w:r w:rsidRPr="00545C5F">
        <w:rPr>
          <w:rFonts w:hint="cs"/>
          <w:sz w:val="32"/>
          <w:szCs w:val="32"/>
          <w:rtl/>
        </w:rPr>
        <w:t>הערה על מינים אצל אריסטו</w:t>
      </w:r>
      <w:r w:rsidR="001929C1">
        <w:rPr>
          <w:sz w:val="32"/>
          <w:szCs w:val="32"/>
          <w:rtl/>
        </w:rPr>
        <w:fldChar w:fldCharType="begin"/>
      </w:r>
      <w:r w:rsidR="001929C1">
        <w:instrText xml:space="preserve"> XE "</w:instrText>
      </w:r>
      <w:r w:rsidR="001929C1" w:rsidRPr="00AD1770">
        <w:rPr>
          <w:rFonts w:hint="cs"/>
          <w:sz w:val="32"/>
          <w:szCs w:val="32"/>
          <w:rtl/>
        </w:rPr>
        <w:instrText>אריסטו</w:instrText>
      </w:r>
      <w:r w:rsidR="001929C1" w:rsidRPr="00AD1770">
        <w:rPr>
          <w:sz w:val="32"/>
          <w:szCs w:val="32"/>
          <w:rtl/>
        </w:rPr>
        <w:instrText>:</w:instrText>
      </w:r>
      <w:r w:rsidR="001929C1" w:rsidRPr="00AD1770">
        <w:rPr>
          <w:rFonts w:hint="cs"/>
          <w:rtl/>
        </w:rPr>
        <w:instrText>המינים לשיטתו שונים מהמינים לפי הזואולוגיה המודרנית</w:instrText>
      </w:r>
      <w:r w:rsidR="001929C1">
        <w:instrText xml:space="preserve">" </w:instrText>
      </w:r>
      <w:r w:rsidR="001929C1">
        <w:rPr>
          <w:sz w:val="32"/>
          <w:szCs w:val="32"/>
          <w:rtl/>
        </w:rPr>
        <w:fldChar w:fldCharType="end"/>
      </w:r>
      <w:r w:rsidRPr="00545C5F">
        <w:rPr>
          <w:rFonts w:hint="cs"/>
          <w:sz w:val="32"/>
          <w:szCs w:val="32"/>
          <w:rtl/>
        </w:rPr>
        <w:t xml:space="preserve"> לעומת מינים בביולוגיה המודרנית</w:t>
      </w:r>
      <w:r w:rsidR="0043665E">
        <w:rPr>
          <w:sz w:val="32"/>
          <w:szCs w:val="32"/>
          <w:rtl/>
        </w:rPr>
        <w:fldChar w:fldCharType="begin"/>
      </w:r>
      <w:r w:rsidR="0043665E">
        <w:instrText xml:space="preserve"> XE "</w:instrText>
      </w:r>
      <w:r w:rsidR="0043665E" w:rsidRPr="00700360">
        <w:rPr>
          <w:rFonts w:hint="cs"/>
          <w:sz w:val="32"/>
          <w:szCs w:val="32"/>
          <w:rtl/>
        </w:rPr>
        <w:instrText>מינים אצל אריסטו לעומת מינים בביולוגיה המודרנית</w:instrText>
      </w:r>
      <w:r w:rsidR="0043665E">
        <w:instrText xml:space="preserve">" </w:instrText>
      </w:r>
      <w:r w:rsidR="0043665E">
        <w:rPr>
          <w:sz w:val="32"/>
          <w:szCs w:val="32"/>
          <w:rtl/>
        </w:rPr>
        <w:fldChar w:fldCharType="end"/>
      </w:r>
      <w:r w:rsidRPr="00545C5F">
        <w:rPr>
          <w:rFonts w:hint="cs"/>
          <w:sz w:val="32"/>
          <w:szCs w:val="32"/>
          <w:rtl/>
        </w:rPr>
        <w:t xml:space="preserve"> (טקסונומיה)</w:t>
      </w:r>
    </w:p>
    <w:p w14:paraId="55D05652" w14:textId="1CC4371A" w:rsidR="004F1139" w:rsidRDefault="004F1139">
      <w:pPr>
        <w:pStyle w:val="FootnoteText"/>
        <w:rPr>
          <w:rtl/>
        </w:rPr>
      </w:pPr>
      <w:r>
        <w:rPr>
          <w:rFonts w:hint="cs"/>
          <w:rtl/>
        </w:rPr>
        <w:t>מה שאנו מכירים בזמננו מינים שחדלו מלהתקיים, וכגון הדינוזאורים, לפי אריסטו המין של הדינוזאורים הוא לטאה ועדיין קיימות לטאות</w:t>
      </w:r>
      <w:r w:rsidR="00E808F6">
        <w:rPr>
          <w:rFonts w:hint="cs"/>
          <w:rtl/>
        </w:rPr>
        <w:t>. 'מין' אצל אריסטו הוא עניין שונה ממין לפי הביולוגיה המודרנית (הטקסונומיה)</w:t>
      </w:r>
      <w:r>
        <w:rPr>
          <w:rFonts w:hint="cs"/>
          <w:rtl/>
        </w:rPr>
        <w:t>.</w:t>
      </w:r>
      <w:r w:rsidR="00E808F6">
        <w:rPr>
          <w:rFonts w:hint="cs"/>
          <w:rtl/>
        </w:rPr>
        <w:t xml:space="preserve"> מין תלוי במידת הגילוי, למשל אצל אריסטו </w:t>
      </w:r>
      <w:r w:rsidR="006F1E3E">
        <w:rPr>
          <w:rFonts w:hint="cs"/>
          <w:rtl/>
        </w:rPr>
        <w:t>זא</w:t>
      </w:r>
      <w:r w:rsidR="00E808F6">
        <w:rPr>
          <w:rFonts w:hint="cs"/>
          <w:rtl/>
        </w:rPr>
        <w:t xml:space="preserve">ב שועל ותן הם מינים שונים, ואילו יתוש יבחוש וימשוש הם אותו מין, למרות שמבחינה ביולוגית </w:t>
      </w:r>
      <w:r w:rsidR="006F1E3E">
        <w:rPr>
          <w:rFonts w:hint="cs"/>
          <w:rtl/>
        </w:rPr>
        <w:t xml:space="preserve">יתוש ויבחוש וימשוש שונים זה מזה לא פחות מהשוני שבין תן שועל וזאב. כי זאב שועל ותן מגלים למתבונן אופנים שונים של תפישה ב'חי', דרכים שונות של הפשטה להגיע ממנה לתפישה הכללית בחיים במובן הכללי שלהם. כשההפשטה של התפישה בצורה </w:t>
      </w:r>
      <w:r w:rsidR="00453E14">
        <w:rPr>
          <w:rFonts w:hint="cs"/>
          <w:rtl/>
        </w:rPr>
        <w:t>המופשטת</w:t>
      </w:r>
      <w:r w:rsidR="006F1E3E">
        <w:rPr>
          <w:rFonts w:hint="cs"/>
          <w:rtl/>
        </w:rPr>
        <w:t xml:space="preserve"> 'חי' באה מהתבוננות במינים נפרדים היא שלמה ועמוקה יותר, ומגיעה לרמת הפשטה גבוהה יותר, מאשר אם מפשיטים מכח התבוננות ממין בעל חיים אחד. השוני בין יתוש יבחוש וימשוש לא נותן למתבונן אותו ריבוי דרכי התבוננות במושג המופשט חיים, ולכן אין לשוני שביניהם חשיבות לקבוע כל אחד מהם כמין בפני עצמו</w:t>
      </w:r>
      <w:r w:rsidR="00453E14">
        <w:rPr>
          <w:rFonts w:hint="cs"/>
          <w:rtl/>
        </w:rPr>
        <w:t>.</w:t>
      </w:r>
      <w:r w:rsidR="006F1E3E">
        <w:rPr>
          <w:rFonts w:hint="cs"/>
          <w:rtl/>
        </w:rPr>
        <w:t xml:space="preserve"> </w:t>
      </w:r>
    </w:p>
    <w:p w14:paraId="2E82B26B" w14:textId="64E88D25" w:rsidR="00453E14" w:rsidRDefault="00453E14">
      <w:pPr>
        <w:pStyle w:val="FootnoteText"/>
      </w:pPr>
      <w:r>
        <w:rPr>
          <w:rFonts w:hint="cs"/>
          <w:rtl/>
        </w:rPr>
        <w:t xml:space="preserve">בזמננו יש להרבה אנשים </w:t>
      </w:r>
      <w:r w:rsidR="00360738">
        <w:rPr>
          <w:rFonts w:hint="cs"/>
          <w:rtl/>
        </w:rPr>
        <w:t>אינטואיציה</w:t>
      </w:r>
      <w:r>
        <w:rPr>
          <w:rFonts w:hint="cs"/>
          <w:rtl/>
        </w:rPr>
        <w:t xml:space="preserve"> שאומרת להם שחשוב להציל מין מבעלי </w:t>
      </w:r>
      <w:r w:rsidR="00360738">
        <w:rPr>
          <w:rFonts w:hint="cs"/>
          <w:rtl/>
        </w:rPr>
        <w:t xml:space="preserve">החיים או הצומח מהכחדה, גם אם זה מין של דג מעמקים שאיש אינו רואה ולאיש אין תועלת ממנו. גם אם אין להם השגה מדויקת לפי אריסטו מה נחשב מין, אין זה שולל את האמת שיש באינטואיציה שלהם. יסודה הוא בכך שהטבע יש בו שלמות, כלומר הוא סדר, ציור, </w:t>
      </w:r>
      <w:r w:rsidR="00583528">
        <w:rPr>
          <w:rFonts w:hint="cs"/>
          <w:rtl/>
        </w:rPr>
        <w:t xml:space="preserve">גילוי של משהו נעלה, </w:t>
      </w:r>
      <w:r w:rsidR="00360738">
        <w:rPr>
          <w:rFonts w:hint="cs"/>
          <w:rtl/>
        </w:rPr>
        <w:t>ו</w:t>
      </w:r>
      <w:r w:rsidR="00583528">
        <w:rPr>
          <w:rFonts w:hint="cs"/>
          <w:rtl/>
        </w:rPr>
        <w:t xml:space="preserve">לכן </w:t>
      </w:r>
      <w:r w:rsidR="00360738">
        <w:rPr>
          <w:rFonts w:hint="cs"/>
          <w:rtl/>
        </w:rPr>
        <w:t>חסרו</w:t>
      </w:r>
      <w:r w:rsidR="00583528">
        <w:rPr>
          <w:rFonts w:hint="cs"/>
          <w:rtl/>
        </w:rPr>
        <w:t>ן</w:t>
      </w:r>
      <w:r w:rsidR="00360738">
        <w:rPr>
          <w:rFonts w:hint="cs"/>
          <w:rtl/>
        </w:rPr>
        <w:t xml:space="preserve"> של חלק ממנו פוגע בשלמותו, וחסרון בשלמותו הוא אבדן של משהו בעל ערך רב. </w:t>
      </w:r>
      <w:r w:rsidR="00583528">
        <w:rPr>
          <w:rFonts w:hint="cs"/>
          <w:rtl/>
        </w:rPr>
        <w:t xml:space="preserve">כמו למשל אם היה נקרע חלק מציור מושלם כגון המונה ליזה. הרבה אנשים היו מתאמצים להציל את שלמות הציור למרות שהם לא נוסעים למוזיאון לראות אותו, והוא מוכר מאלפי צילומים. כי יופי הוא ערך, הוא גילוי של הנשגב. חסרון מין בטבע הוא גם כן על דרך זו. </w:t>
      </w:r>
    </w:p>
  </w:footnote>
  <w:footnote w:id="32">
    <w:p w14:paraId="5481C3EC" w14:textId="77003423" w:rsidR="004F1139" w:rsidRDefault="004F1139">
      <w:pPr>
        <w:pStyle w:val="FootnoteText"/>
      </w:pPr>
      <w:r>
        <w:rPr>
          <w:rStyle w:val="FootnoteReference"/>
        </w:rPr>
        <w:footnoteRef/>
      </w:r>
      <w:r>
        <w:rPr>
          <w:rtl/>
        </w:rPr>
        <w:t xml:space="preserve"> </w:t>
      </w:r>
      <w:r>
        <w:rPr>
          <w:rFonts w:hint="cs"/>
          <w:rtl/>
        </w:rPr>
        <w:t>אם המכוון שיתקיים רק הטבע הכ</w:t>
      </w:r>
      <w:r w:rsidR="00077976">
        <w:rPr>
          <w:rFonts w:hint="cs"/>
          <w:rtl/>
        </w:rPr>
        <w:t>ו</w:t>
      </w:r>
      <w:r>
        <w:rPr>
          <w:rFonts w:hint="cs"/>
          <w:rtl/>
        </w:rPr>
        <w:t xml:space="preserve">לל 'חי', הצורה של 'חי', היה די בכך שיתקיים בעל חיים אחד כלשהו. קיום בעולם החומרי פירושו חומר וצורה מאוחדים. לכן 'חי' כאידיאה, כצורה, בלי שיהיה אפילו בעל חיים מוחשי אחד, לא נחשבת כקיימת. אבל אם יש בעל חיים אחד כלשהו הרי האידיאה 'חי' קיימת בעולם החומרי. והרי אנו רואים שיש הרבה מיני בעלי חיים ובכל אחד מהם הרבה </w:t>
      </w:r>
      <w:r w:rsidR="006B4C4C">
        <w:rPr>
          <w:rFonts w:hint="cs"/>
          <w:rtl/>
        </w:rPr>
        <w:t>יחיד</w:t>
      </w:r>
      <w:r>
        <w:rPr>
          <w:rFonts w:hint="cs"/>
          <w:rtl/>
        </w:rPr>
        <w:t>ים</w:t>
      </w:r>
      <w:r w:rsidR="006B4C4C">
        <w:rPr>
          <w:rFonts w:hint="cs"/>
          <w:rtl/>
        </w:rPr>
        <w:t xml:space="preserve"> (</w:t>
      </w:r>
      <w:r w:rsidR="006B4C4C">
        <w:t>individuals</w:t>
      </w:r>
      <w:r w:rsidR="006B4C4C">
        <w:rPr>
          <w:rFonts w:hint="cs"/>
          <w:rtl/>
        </w:rPr>
        <w:t>)</w:t>
      </w:r>
      <w:r>
        <w:rPr>
          <w:rFonts w:hint="cs"/>
          <w:rtl/>
        </w:rPr>
        <w:t>, תחת המין סוס יש הרבה סוסים מוחשיים פרטיים, ומוכח מזה שהמכוון אינו רק קיום האידיאה המופשטת כשהיא מלובשת בחומר, אלא גם קיומם של הי</w:t>
      </w:r>
      <w:r w:rsidR="00CE2843">
        <w:rPr>
          <w:rFonts w:hint="cs"/>
          <w:rtl/>
        </w:rPr>
        <w:t>חידי</w:t>
      </w:r>
      <w:r>
        <w:rPr>
          <w:rFonts w:hint="cs"/>
          <w:rtl/>
        </w:rPr>
        <w:t>ם. אבל קיום ה</w:t>
      </w:r>
      <w:r w:rsidR="00CE2843">
        <w:rPr>
          <w:rFonts w:hint="cs"/>
          <w:rtl/>
        </w:rPr>
        <w:t>יחיד</w:t>
      </w:r>
      <w:r>
        <w:rPr>
          <w:rFonts w:hint="cs"/>
          <w:rtl/>
        </w:rPr>
        <w:t xml:space="preserve">ים כוונתו לריבוי גילויים של האידיאה, </w:t>
      </w:r>
      <w:r w:rsidR="00CE2843">
        <w:rPr>
          <w:rFonts w:hint="cs"/>
          <w:rtl/>
        </w:rPr>
        <w:t xml:space="preserve">הצורה, </w:t>
      </w:r>
      <w:r>
        <w:rPr>
          <w:rFonts w:hint="cs"/>
          <w:rtl/>
        </w:rPr>
        <w:t>שאם המכוון הוא ה</w:t>
      </w:r>
      <w:r w:rsidR="00CE2843">
        <w:rPr>
          <w:rFonts w:hint="cs"/>
          <w:rtl/>
        </w:rPr>
        <w:t>יחיד</w:t>
      </w:r>
      <w:r>
        <w:rPr>
          <w:rFonts w:hint="cs"/>
          <w:rtl/>
        </w:rPr>
        <w:t xml:space="preserve"> כשלעצמו ולא אכפת לנו מהאידיאה, לא היה אפשר שה</w:t>
      </w:r>
      <w:r w:rsidR="00CE2843">
        <w:rPr>
          <w:rFonts w:hint="cs"/>
          <w:rtl/>
        </w:rPr>
        <w:t>יחיד</w:t>
      </w:r>
      <w:r>
        <w:rPr>
          <w:rFonts w:hint="cs"/>
          <w:rtl/>
        </w:rPr>
        <w:t xml:space="preserve"> ימות כי יש בזה חסרון בקיו</w:t>
      </w:r>
      <w:r w:rsidR="00CE2843">
        <w:rPr>
          <w:rFonts w:hint="cs"/>
          <w:rtl/>
        </w:rPr>
        <w:t>מו של</w:t>
      </w:r>
      <w:r>
        <w:rPr>
          <w:rFonts w:hint="cs"/>
          <w:rtl/>
        </w:rPr>
        <w:t xml:space="preserve"> מה שמכוון בטבע. </w:t>
      </w:r>
    </w:p>
  </w:footnote>
  <w:footnote w:id="33">
    <w:p w14:paraId="79A550C4" w14:textId="4EC1328B" w:rsidR="004F1139" w:rsidRDefault="004F1139">
      <w:pPr>
        <w:pStyle w:val="FootnoteText"/>
      </w:pPr>
      <w:r>
        <w:rPr>
          <w:rStyle w:val="FootnoteReference"/>
        </w:rPr>
        <w:footnoteRef/>
      </w:r>
      <w:r>
        <w:rPr>
          <w:rtl/>
        </w:rPr>
        <w:t xml:space="preserve"> </w:t>
      </w:r>
      <w:r>
        <w:rPr>
          <w:rFonts w:hint="cs"/>
          <w:rtl/>
        </w:rPr>
        <w:t>הטבע של 'אדם', הצורה הכללית המופשטת 'חי מדבר', ידועה מצד הטבע כסיבה לקיומם של בני אדם יחידים, וזה נצחי כי תמיד יהיו בני אדם כלשהם; ולא שהצורה 'חי מדבר' היא סיבה לקיומו של ראובן זה שלפנינו שהרי קיומו אינו נצחי</w:t>
      </w:r>
      <w:r w:rsidR="002E0819">
        <w:rPr>
          <w:rFonts w:hint="cs"/>
          <w:rtl/>
        </w:rPr>
        <w:t>, והמכוון בטבע הוא עניין נצחי</w:t>
      </w:r>
      <w:r>
        <w:rPr>
          <w:rFonts w:hint="cs"/>
          <w:rtl/>
        </w:rPr>
        <w:t>.</w:t>
      </w:r>
    </w:p>
  </w:footnote>
  <w:footnote w:id="34">
    <w:p w14:paraId="5C587990" w14:textId="5D9DD47A" w:rsidR="00CD3595" w:rsidRDefault="00CD3595">
      <w:pPr>
        <w:pStyle w:val="FootnoteText"/>
      </w:pPr>
      <w:r>
        <w:rPr>
          <w:rStyle w:val="FootnoteReference"/>
        </w:rPr>
        <w:footnoteRef/>
      </w:r>
      <w:r>
        <w:rPr>
          <w:rtl/>
        </w:rPr>
        <w:t xml:space="preserve"> </w:t>
      </w:r>
      <w:r>
        <w:rPr>
          <w:rFonts w:hint="cs"/>
          <w:rtl/>
        </w:rPr>
        <w:t>עיין ב</w:t>
      </w:r>
      <w:r w:rsidR="00F055C8">
        <w:rPr>
          <w:rtl/>
        </w:rPr>
        <w:t>"</w:t>
      </w:r>
      <w:r>
        <w:rPr>
          <w:rFonts w:hint="cs"/>
          <w:rtl/>
        </w:rPr>
        <w:t>קטגוריות</w:t>
      </w:r>
      <w:r w:rsidR="00F055C8">
        <w:rPr>
          <w:rtl/>
        </w:rPr>
        <w:t>"</w:t>
      </w:r>
      <w:r>
        <w:rPr>
          <w:rFonts w:hint="cs"/>
          <w:rtl/>
        </w:rPr>
        <w:t xml:space="preserve"> מאת אריסטו פרק י</w:t>
      </w:r>
      <w:r w:rsidR="00F055C8">
        <w:rPr>
          <w:rtl/>
        </w:rPr>
        <w:t>"</w:t>
      </w:r>
      <w:r>
        <w:rPr>
          <w:rFonts w:hint="cs"/>
          <w:rtl/>
        </w:rPr>
        <w:t>ב.</w:t>
      </w:r>
    </w:p>
  </w:footnote>
  <w:footnote w:id="35">
    <w:p w14:paraId="19A845B0" w14:textId="19259D33" w:rsidR="009D14BC" w:rsidRDefault="009D14BC">
      <w:pPr>
        <w:pStyle w:val="FootnoteText"/>
      </w:pPr>
      <w:r>
        <w:rPr>
          <w:rStyle w:val="FootnoteReference"/>
        </w:rPr>
        <w:footnoteRef/>
      </w:r>
      <w:r>
        <w:rPr>
          <w:rtl/>
        </w:rPr>
        <w:t xml:space="preserve"> </w:t>
      </w:r>
      <w:r>
        <w:rPr>
          <w:rFonts w:hint="cs"/>
          <w:rtl/>
        </w:rPr>
        <w:t>הסוגים.</w:t>
      </w:r>
    </w:p>
  </w:footnote>
  <w:footnote w:id="36">
    <w:p w14:paraId="6B896234" w14:textId="09A237A6" w:rsidR="009D14BC" w:rsidRDefault="009D14BC">
      <w:pPr>
        <w:pStyle w:val="FootnoteText"/>
      </w:pPr>
      <w:r>
        <w:rPr>
          <w:rStyle w:val="FootnoteReference"/>
        </w:rPr>
        <w:footnoteRef/>
      </w:r>
      <w:r>
        <w:rPr>
          <w:rtl/>
        </w:rPr>
        <w:t xml:space="preserve"> </w:t>
      </w:r>
      <w:r>
        <w:rPr>
          <w:rFonts w:hint="cs"/>
          <w:rtl/>
        </w:rPr>
        <w:t>המינים.</w:t>
      </w:r>
    </w:p>
  </w:footnote>
  <w:footnote w:id="37">
    <w:p w14:paraId="78AE4BF3" w14:textId="18B10E63" w:rsidR="009D14BC" w:rsidRDefault="009D14BC">
      <w:pPr>
        <w:pStyle w:val="FootnoteText"/>
      </w:pPr>
      <w:r>
        <w:rPr>
          <w:rStyle w:val="FootnoteReference"/>
        </w:rPr>
        <w:footnoteRef/>
      </w:r>
      <w:r>
        <w:rPr>
          <w:rtl/>
        </w:rPr>
        <w:t xml:space="preserve"> </w:t>
      </w:r>
      <w:r>
        <w:rPr>
          <w:rFonts w:hint="cs"/>
          <w:rtl/>
        </w:rPr>
        <w:t>הסוג שכולל את כל בעלי החיים.</w:t>
      </w:r>
    </w:p>
  </w:footnote>
  <w:footnote w:id="38">
    <w:p w14:paraId="1C570714" w14:textId="4954FB28" w:rsidR="00963E7F" w:rsidRDefault="00963E7F">
      <w:pPr>
        <w:pStyle w:val="FootnoteText"/>
      </w:pPr>
      <w:r>
        <w:rPr>
          <w:rStyle w:val="FootnoteReference"/>
        </w:rPr>
        <w:footnoteRef/>
      </w:r>
      <w:r>
        <w:rPr>
          <w:rtl/>
        </w:rPr>
        <w:t xml:space="preserve"> </w:t>
      </w:r>
      <w:r>
        <w:rPr>
          <w:rFonts w:hint="cs"/>
          <w:rtl/>
        </w:rPr>
        <w:t xml:space="preserve">מבחינים במינים שונים של בעלי חיים. מדובר כאן על תינוקות שבגיל מסוים קוראים לכל מה שחי </w:t>
      </w:r>
      <w:r w:rsidR="00F055C8">
        <w:rPr>
          <w:rtl/>
        </w:rPr>
        <w:t>"</w:t>
      </w:r>
      <w:r>
        <w:rPr>
          <w:rFonts w:hint="cs"/>
          <w:rtl/>
        </w:rPr>
        <w:t>האו האו</w:t>
      </w:r>
      <w:r w:rsidR="00F055C8">
        <w:rPr>
          <w:rtl/>
        </w:rPr>
        <w:t>"</w:t>
      </w:r>
      <w:r>
        <w:rPr>
          <w:rFonts w:hint="cs"/>
          <w:rtl/>
        </w:rPr>
        <w:t xml:space="preserve"> או כעין זה, ולא מבחינים בין מיני בעלי החיים. הדוגמה שאריסטו מביא בפיזיקה א' א' היא מתינוק שקורא לכל גבר אבא ולכל אישה אמא, ורק אחר כך מבחין באבא ואמא המסוימים שלו. </w:t>
      </w:r>
      <w:r w:rsidR="009B4EBD">
        <w:rPr>
          <w:rFonts w:hint="cs"/>
          <w:rtl/>
        </w:rPr>
        <w:t>הדוגמה של אריסטו יותר מתיישבת עם המציאות</w:t>
      </w:r>
      <w:r w:rsidR="00AA5AF3">
        <w:rPr>
          <w:rFonts w:hint="cs"/>
          <w:rtl/>
        </w:rPr>
        <w:t xml:space="preserve"> (כי תינוק מלידתו מבחין בין סוס לאדם)</w:t>
      </w:r>
      <w:r w:rsidR="009B4EBD">
        <w:rPr>
          <w:rFonts w:hint="cs"/>
          <w:rtl/>
        </w:rPr>
        <w:t xml:space="preserve">, אבל היא פחות מדויקת מבחינה פילוסופית כי לא מדובר שם על סוג ומין במובן המדויק.  </w:t>
      </w:r>
    </w:p>
  </w:footnote>
  <w:footnote w:id="39">
    <w:p w14:paraId="04D3E05F" w14:textId="7849C79A" w:rsidR="00B465AA" w:rsidRDefault="00B465AA">
      <w:pPr>
        <w:pStyle w:val="FootnoteText"/>
      </w:pPr>
      <w:r>
        <w:rPr>
          <w:rStyle w:val="FootnoteReference"/>
        </w:rPr>
        <w:footnoteRef/>
      </w:r>
      <w:r>
        <w:rPr>
          <w:rtl/>
        </w:rPr>
        <w:t xml:space="preserve"> </w:t>
      </w:r>
      <w:r>
        <w:rPr>
          <w:rFonts w:hint="cs"/>
          <w:rtl/>
        </w:rPr>
        <w:t>לאדם מקרי שיהיה לו צבע שיער, מבין רוחב האפשרויות שנגזר מהצורה המופשטת. בעניין ה</w:t>
      </w:r>
      <w:r w:rsidR="00F055C8">
        <w:rPr>
          <w:rtl/>
        </w:rPr>
        <w:t>"</w:t>
      </w:r>
      <w:r>
        <w:rPr>
          <w:rFonts w:hint="cs"/>
          <w:rtl/>
        </w:rPr>
        <w:t>רוחב</w:t>
      </w:r>
      <w:r w:rsidR="00F055C8">
        <w:rPr>
          <w:rtl/>
        </w:rPr>
        <w:t>"</w:t>
      </w:r>
      <w:r>
        <w:rPr>
          <w:rFonts w:hint="cs"/>
          <w:rtl/>
        </w:rPr>
        <w:t xml:space="preserve"> עיין מורה נבוכים א' ע</w:t>
      </w:r>
      <w:r w:rsidR="00F055C8">
        <w:rPr>
          <w:rtl/>
        </w:rPr>
        <w:t>"</w:t>
      </w:r>
      <w:r>
        <w:rPr>
          <w:rFonts w:hint="cs"/>
          <w:rtl/>
        </w:rPr>
        <w:t>ב וב' י</w:t>
      </w:r>
      <w:r w:rsidR="00F055C8">
        <w:rPr>
          <w:rtl/>
        </w:rPr>
        <w:t>"</w:t>
      </w:r>
      <w:r>
        <w:rPr>
          <w:rFonts w:hint="cs"/>
          <w:rtl/>
        </w:rPr>
        <w:t>ט. ועיין ביאור בזה ב</w:t>
      </w:r>
      <w:r w:rsidR="00636D5A">
        <w:rPr>
          <w:rFonts w:hint="cs"/>
          <w:rtl/>
        </w:rPr>
        <w:t xml:space="preserve">בלוג של השיעור על מורה נבוכים, בסיכום שיעור </w:t>
      </w:r>
      <w:hyperlink r:id="rId9" w:history="1">
        <w:r w:rsidR="00636D5A" w:rsidRPr="00636D5A">
          <w:rPr>
            <w:rStyle w:val="Hyperlink"/>
            <w:color w:val="000000" w:themeColor="text1"/>
            <w:rtl/>
          </w:rPr>
          <w:t xml:space="preserve">0015 </w:t>
        </w:r>
        <w:r w:rsidR="00636D5A" w:rsidRPr="00636D5A">
          <w:rPr>
            <w:rStyle w:val="Hyperlink"/>
            <w:rFonts w:hint="cs"/>
            <w:color w:val="000000" w:themeColor="text1"/>
            <w:rtl/>
          </w:rPr>
          <w:t>-</w:t>
        </w:r>
        <w:r w:rsidR="00636D5A" w:rsidRPr="00636D5A">
          <w:rPr>
            <w:rStyle w:val="Hyperlink"/>
            <w:color w:val="000000" w:themeColor="text1"/>
            <w:rtl/>
          </w:rPr>
          <w:t xml:space="preserve"> מורה נבוכים א </w:t>
        </w:r>
        <w:r w:rsidR="00636D5A" w:rsidRPr="00636D5A">
          <w:rPr>
            <w:rStyle w:val="Hyperlink"/>
            <w:color w:val="000000" w:themeColor="text1"/>
            <w:rtl/>
          </w:rPr>
          <w:t>א</w:t>
        </w:r>
        <w:r w:rsidR="00636D5A">
          <w:rPr>
            <w:rStyle w:val="Hyperlink"/>
            <w:rFonts w:hint="cs"/>
            <w:color w:val="000000" w:themeColor="text1"/>
            <w:rtl/>
          </w:rPr>
          <w:t>.</w:t>
        </w:r>
      </w:hyperlink>
      <w:r w:rsidR="00636D5A">
        <w:rPr>
          <w:rFonts w:hint="cs"/>
          <w:color w:val="000000" w:themeColor="text1"/>
          <w:rtl/>
        </w:rPr>
        <w:t xml:space="preserve"> צורת האדם שהיא חי מדבר מכתיבה שצבע שיערו יהיה שחור או חום או צהוב או כתום, אבל לא ירוק כדשא</w:t>
      </w:r>
      <w:r w:rsidR="00A71E5A">
        <w:rPr>
          <w:rFonts w:hint="cs"/>
          <w:color w:val="000000" w:themeColor="text1"/>
          <w:rtl/>
        </w:rPr>
        <w:t xml:space="preserve"> או כחול כשמיים</w:t>
      </w:r>
      <w:r w:rsidR="00636D5A">
        <w:rPr>
          <w:rFonts w:hint="cs"/>
          <w:color w:val="000000" w:themeColor="text1"/>
          <w:rtl/>
        </w:rPr>
        <w:t xml:space="preserve">. </w:t>
      </w:r>
      <w:r w:rsidR="00A71E5A">
        <w:rPr>
          <w:rFonts w:hint="cs"/>
          <w:color w:val="000000" w:themeColor="text1"/>
          <w:rtl/>
        </w:rPr>
        <w:t xml:space="preserve">ידיעת דבר זה, המקרים שהצורה מכתיבה, היא חלק מידיעת הצורה עצמה, למרות שאיננו משיגים למה כתום וחום אפשריים וירוק וכחול לא. לעומת זאת לחקור את המקרים שמייחדים את ראובן זה שלפנינו, צבע שיערו, גובהו, וכו', שהם העושים שהוא ראובן דווקא ולא אדם אחר, </w:t>
      </w:r>
      <w:r w:rsidR="00A22833">
        <w:rPr>
          <w:rFonts w:hint="cs"/>
          <w:color w:val="000000" w:themeColor="text1"/>
          <w:rtl/>
        </w:rPr>
        <w:t xml:space="preserve">השכל אין לו תפישה בזה </w:t>
      </w:r>
      <w:r w:rsidR="00A00197">
        <w:rPr>
          <w:rFonts w:hint="cs"/>
          <w:color w:val="000000" w:themeColor="text1"/>
          <w:rtl/>
        </w:rPr>
        <w:t>כיוון שמה שלראובן קרו מקרים אלה דווקא ולא  אחרים זהו מצד החומר שלו</w:t>
      </w:r>
      <w:r w:rsidR="00C462D4">
        <w:rPr>
          <w:rFonts w:hint="cs"/>
          <w:color w:val="000000" w:themeColor="text1"/>
          <w:rtl/>
        </w:rPr>
        <w:t xml:space="preserve"> (כמו שכתב אריסטו במטאפיזיקה זטא סוף פרק ח')</w:t>
      </w:r>
      <w:r w:rsidR="00A00197">
        <w:rPr>
          <w:rFonts w:hint="cs"/>
          <w:color w:val="000000" w:themeColor="text1"/>
          <w:rtl/>
        </w:rPr>
        <w:t>, והחומר נתפש בחושים ולא בשכל</w:t>
      </w:r>
      <w:r w:rsidR="00A22833">
        <w:rPr>
          <w:rFonts w:hint="cs"/>
          <w:color w:val="000000" w:themeColor="text1"/>
          <w:rtl/>
        </w:rPr>
        <w:t xml:space="preserve"> (עד שיש שאמרו שהאל אינו יודע את היחידים הפרטיים כיוון שהוא שכל</w:t>
      </w:r>
      <w:r w:rsidR="00916970">
        <w:rPr>
          <w:rFonts w:hint="cs"/>
          <w:color w:val="000000" w:themeColor="text1"/>
          <w:rtl/>
        </w:rPr>
        <w:t xml:space="preserve"> </w:t>
      </w:r>
      <w:r w:rsidR="00A22833">
        <w:rPr>
          <w:rFonts w:hint="cs"/>
          <w:color w:val="000000" w:themeColor="text1"/>
          <w:rtl/>
        </w:rPr>
        <w:t>ו</w:t>
      </w:r>
      <w:r w:rsidR="00916970">
        <w:rPr>
          <w:rFonts w:hint="cs"/>
          <w:color w:val="000000" w:themeColor="text1"/>
          <w:rtl/>
        </w:rPr>
        <w:t>ה</w:t>
      </w:r>
      <w:r w:rsidR="00A22833">
        <w:rPr>
          <w:rFonts w:hint="cs"/>
          <w:color w:val="000000" w:themeColor="text1"/>
          <w:rtl/>
        </w:rPr>
        <w:t>שכל לא משיג את המקרים</w:t>
      </w:r>
      <w:r w:rsidR="00667BB8">
        <w:rPr>
          <w:rFonts w:hint="cs"/>
          <w:color w:val="000000" w:themeColor="text1"/>
          <w:rtl/>
        </w:rPr>
        <w:t>, עי' מו</w:t>
      </w:r>
      <w:r w:rsidR="00F055C8">
        <w:rPr>
          <w:color w:val="000000" w:themeColor="text1"/>
          <w:rtl/>
        </w:rPr>
        <w:t>"</w:t>
      </w:r>
      <w:r w:rsidR="00A00197">
        <w:rPr>
          <w:rFonts w:hint="cs"/>
          <w:color w:val="000000" w:themeColor="text1"/>
          <w:rtl/>
        </w:rPr>
        <w:t>נ</w:t>
      </w:r>
      <w:r w:rsidR="00667BB8">
        <w:rPr>
          <w:rFonts w:hint="cs"/>
          <w:color w:val="000000" w:themeColor="text1"/>
          <w:rtl/>
        </w:rPr>
        <w:t xml:space="preserve"> ג' ט</w:t>
      </w:r>
      <w:r w:rsidR="00F055C8">
        <w:rPr>
          <w:color w:val="000000" w:themeColor="text1"/>
          <w:rtl/>
        </w:rPr>
        <w:t>"</w:t>
      </w:r>
      <w:r w:rsidR="00667BB8">
        <w:rPr>
          <w:rFonts w:hint="cs"/>
          <w:color w:val="000000" w:themeColor="text1"/>
          <w:rtl/>
        </w:rPr>
        <w:t>ז</w:t>
      </w:r>
      <w:r w:rsidR="002E71F4">
        <w:rPr>
          <w:rFonts w:hint="cs"/>
          <w:color w:val="000000" w:themeColor="text1"/>
          <w:rtl/>
        </w:rPr>
        <w:t>)</w:t>
      </w:r>
      <w:r w:rsidR="00A22833">
        <w:rPr>
          <w:rFonts w:hint="cs"/>
          <w:color w:val="000000" w:themeColor="text1"/>
          <w:rtl/>
        </w:rPr>
        <w:t xml:space="preserve">. </w:t>
      </w:r>
      <w:r w:rsidR="00636D5A">
        <w:rPr>
          <w:rFonts w:hint="cs"/>
          <w:rtl/>
        </w:rPr>
        <w:t xml:space="preserve"> </w:t>
      </w:r>
    </w:p>
  </w:footnote>
  <w:footnote w:id="40">
    <w:p w14:paraId="519F4150" w14:textId="1A3AE5F7" w:rsidR="00D74ED6" w:rsidRDefault="00D74ED6">
      <w:pPr>
        <w:pStyle w:val="FootnoteText"/>
      </w:pPr>
      <w:r>
        <w:rPr>
          <w:rStyle w:val="FootnoteReference"/>
        </w:rPr>
        <w:footnoteRef/>
      </w:r>
      <w:r>
        <w:rPr>
          <w:rtl/>
        </w:rPr>
        <w:t xml:space="preserve"> </w:t>
      </w:r>
      <w:r>
        <w:rPr>
          <w:rFonts w:hint="cs"/>
          <w:rtl/>
        </w:rPr>
        <w:t xml:space="preserve">השכל יכול להשיג את ראובן </w:t>
      </w:r>
      <w:r w:rsidR="00CE2843">
        <w:rPr>
          <w:rFonts w:hint="cs"/>
          <w:rtl/>
        </w:rPr>
        <w:t>כיחיד</w:t>
      </w:r>
      <w:r>
        <w:rPr>
          <w:rFonts w:hint="cs"/>
          <w:rtl/>
        </w:rPr>
        <w:t xml:space="preserve"> מוחשי במידה שהוא נתפש כנושא את קיומו של המין 'אדם'. ראובן כ</w:t>
      </w:r>
      <w:r w:rsidR="00CE2843">
        <w:rPr>
          <w:rFonts w:hint="cs"/>
          <w:rtl/>
        </w:rPr>
        <w:t>יחיד</w:t>
      </w:r>
      <w:r>
        <w:rPr>
          <w:rFonts w:hint="cs"/>
          <w:rtl/>
        </w:rPr>
        <w:t xml:space="preserve"> מוחשי בפני עצמו בלי שהוא גילוי של המין אדם, אינו דבר שהשכל יכול לתפוש. השכל תופש רק צורות, והוא תופש גופים חומריים רק </w:t>
      </w:r>
      <w:r w:rsidR="008B61DF">
        <w:rPr>
          <w:rFonts w:hint="cs"/>
          <w:rtl/>
        </w:rPr>
        <w:t>במידה ש</w:t>
      </w:r>
      <w:r>
        <w:rPr>
          <w:rFonts w:hint="cs"/>
          <w:rtl/>
        </w:rPr>
        <w:t xml:space="preserve">שהם נוטלים חלק בצורה. </w:t>
      </w:r>
      <w:r w:rsidR="008B61DF">
        <w:rPr>
          <w:rFonts w:hint="cs"/>
          <w:rtl/>
        </w:rPr>
        <w:t>החומר בעצמו ל</w:t>
      </w:r>
      <w:r w:rsidR="00953295">
        <w:rPr>
          <w:rFonts w:hint="cs"/>
          <w:rtl/>
        </w:rPr>
        <w:t>א במידה שהוא</w:t>
      </w:r>
      <w:r w:rsidR="008B61DF">
        <w:rPr>
          <w:rFonts w:hint="cs"/>
          <w:rtl/>
        </w:rPr>
        <w:t xml:space="preserve"> מצע לצורה שמתגלה בו, אינו יכול להיות מושג בשכל</w:t>
      </w:r>
      <w:r w:rsidR="00953295">
        <w:rPr>
          <w:rFonts w:hint="cs"/>
          <w:rtl/>
        </w:rPr>
        <w:t>, אלא רק בחוש</w:t>
      </w:r>
      <w:r w:rsidR="008B61DF">
        <w:rPr>
          <w:rFonts w:hint="cs"/>
          <w:rtl/>
        </w:rPr>
        <w:t xml:space="preserve">. </w:t>
      </w:r>
    </w:p>
  </w:footnote>
  <w:footnote w:id="41">
    <w:p w14:paraId="5322C549" w14:textId="33AEAA48" w:rsidR="00D74ED6" w:rsidRDefault="00D74ED6">
      <w:pPr>
        <w:pStyle w:val="FootnoteText"/>
      </w:pPr>
      <w:r>
        <w:rPr>
          <w:rStyle w:val="FootnoteReference"/>
        </w:rPr>
        <w:footnoteRef/>
      </w:r>
      <w:r>
        <w:rPr>
          <w:rtl/>
        </w:rPr>
        <w:t xml:space="preserve"> </w:t>
      </w:r>
      <w:r>
        <w:rPr>
          <w:rFonts w:hint="cs"/>
          <w:rtl/>
        </w:rPr>
        <w:t>הסוגים.</w:t>
      </w:r>
    </w:p>
  </w:footnote>
  <w:footnote w:id="42">
    <w:p w14:paraId="53C5EC1E" w14:textId="0AD8126C" w:rsidR="00D74ED6" w:rsidRDefault="00D74ED6">
      <w:pPr>
        <w:pStyle w:val="FootnoteText"/>
      </w:pPr>
      <w:r>
        <w:rPr>
          <w:rStyle w:val="FootnoteReference"/>
        </w:rPr>
        <w:footnoteRef/>
      </w:r>
      <w:r>
        <w:rPr>
          <w:rtl/>
        </w:rPr>
        <w:t xml:space="preserve"> </w:t>
      </w:r>
      <w:r>
        <w:rPr>
          <w:rFonts w:hint="cs"/>
          <w:rtl/>
        </w:rPr>
        <w:t>המינים.</w:t>
      </w:r>
    </w:p>
  </w:footnote>
  <w:footnote w:id="43">
    <w:p w14:paraId="156735D4" w14:textId="172070F6" w:rsidR="00305193" w:rsidRDefault="0086557E" w:rsidP="00D65A26">
      <w:pPr>
        <w:pStyle w:val="FootnoteText"/>
      </w:pPr>
      <w:r>
        <w:rPr>
          <w:rStyle w:val="FootnoteReference"/>
        </w:rPr>
        <w:footnoteRef/>
      </w:r>
      <w:r>
        <w:rPr>
          <w:rtl/>
        </w:rPr>
        <w:t xml:space="preserve"> </w:t>
      </w:r>
      <w:r w:rsidR="00F055C8">
        <w:rPr>
          <w:rtl/>
        </w:rPr>
        <w:t>"</w:t>
      </w:r>
      <w:r w:rsidR="00DD5E46">
        <w:rPr>
          <w:rFonts w:hint="cs"/>
          <w:rtl/>
        </w:rPr>
        <w:t>נודע</w:t>
      </w:r>
      <w:r w:rsidR="008B61DF">
        <w:rPr>
          <w:rFonts w:hint="cs"/>
          <w:rtl/>
        </w:rPr>
        <w:t xml:space="preserve"> מצד הטבע</w:t>
      </w:r>
      <w:r w:rsidR="00F055C8">
        <w:rPr>
          <w:rtl/>
        </w:rPr>
        <w:t>"</w:t>
      </w:r>
      <w:r w:rsidR="008B61DF">
        <w:rPr>
          <w:rFonts w:hint="cs"/>
          <w:rtl/>
        </w:rPr>
        <w:t xml:space="preserve"> היינו הגוף שמוגדר כנמצא מכח שהוא מאוחד מחומר וצורה, ש</w:t>
      </w:r>
      <w:r w:rsidR="009952A5">
        <w:rPr>
          <w:rFonts w:hint="cs"/>
          <w:rtl/>
        </w:rPr>
        <w:t>'</w:t>
      </w:r>
      <w:r w:rsidR="008B61DF">
        <w:rPr>
          <w:rFonts w:hint="cs"/>
          <w:rtl/>
        </w:rPr>
        <w:t>מציאות</w:t>
      </w:r>
      <w:r w:rsidR="009952A5">
        <w:rPr>
          <w:rFonts w:hint="cs"/>
          <w:rtl/>
        </w:rPr>
        <w:t>'</w:t>
      </w:r>
      <w:r w:rsidR="008B61DF">
        <w:rPr>
          <w:rFonts w:hint="cs"/>
          <w:rtl/>
        </w:rPr>
        <w:t xml:space="preserve"> </w:t>
      </w:r>
      <w:r w:rsidR="009952A5">
        <w:rPr>
          <w:rFonts w:hint="cs"/>
          <w:rtl/>
        </w:rPr>
        <w:t xml:space="preserve">על דרך </w:t>
      </w:r>
      <w:r w:rsidR="008B61DF">
        <w:rPr>
          <w:rFonts w:hint="cs"/>
          <w:rtl/>
        </w:rPr>
        <w:t xml:space="preserve">זו היא הטבע. </w:t>
      </w:r>
      <w:r w:rsidR="00F055C8">
        <w:rPr>
          <w:rtl/>
        </w:rPr>
        <w:t>"</w:t>
      </w:r>
      <w:r w:rsidR="00DD5E46">
        <w:rPr>
          <w:rFonts w:hint="cs"/>
          <w:rtl/>
        </w:rPr>
        <w:t>נודע</w:t>
      </w:r>
      <w:r w:rsidR="008B61DF">
        <w:rPr>
          <w:rFonts w:hint="cs"/>
          <w:rtl/>
        </w:rPr>
        <w:t xml:space="preserve"> מצד השכל</w:t>
      </w:r>
      <w:r w:rsidR="00F055C8">
        <w:rPr>
          <w:rtl/>
        </w:rPr>
        <w:t>"</w:t>
      </w:r>
      <w:r w:rsidR="008B61DF">
        <w:rPr>
          <w:rFonts w:hint="cs"/>
          <w:rtl/>
        </w:rPr>
        <w:t xml:space="preserve"> הוא ההתחלה והסוג והמין כישויות מופשטות מחומר. </w:t>
      </w:r>
      <w:r>
        <w:rPr>
          <w:rFonts w:hint="cs"/>
          <w:rtl/>
        </w:rPr>
        <w:t>שכל</w:t>
      </w:r>
      <w:r w:rsidR="009952A5">
        <w:rPr>
          <w:rFonts w:hint="cs"/>
          <w:rtl/>
        </w:rPr>
        <w:t xml:space="preserve"> עיוני מופשט</w:t>
      </w:r>
      <w:r>
        <w:rPr>
          <w:rFonts w:hint="cs"/>
          <w:rtl/>
        </w:rPr>
        <w:t xml:space="preserve"> משיג את הצורות</w:t>
      </w:r>
      <w:r w:rsidR="009952A5">
        <w:rPr>
          <w:rFonts w:hint="cs"/>
          <w:rtl/>
        </w:rPr>
        <w:t xml:space="preserve"> המופשטות מחומר באופן ישיר ובלתי אמצעי</w:t>
      </w:r>
      <w:r>
        <w:rPr>
          <w:rFonts w:hint="cs"/>
          <w:rtl/>
        </w:rPr>
        <w:t xml:space="preserve">, </w:t>
      </w:r>
      <w:r w:rsidR="009952A5">
        <w:rPr>
          <w:rFonts w:hint="cs"/>
          <w:rtl/>
        </w:rPr>
        <w:t xml:space="preserve">השכל השימושי שהוא </w:t>
      </w:r>
      <w:r w:rsidR="009952A5">
        <w:rPr>
          <w:rFonts w:hint="cs"/>
          <w:rtl/>
        </w:rPr>
        <w:t xml:space="preserve">הכח המדבר, שמשיג באמצעות כלי חומר, </w:t>
      </w:r>
      <w:r w:rsidR="009A69F6">
        <w:rPr>
          <w:rFonts w:hint="cs"/>
          <w:rtl/>
        </w:rPr>
        <w:t xml:space="preserve">כהפשטה מתפישת </w:t>
      </w:r>
      <w:r w:rsidR="00F548AD">
        <w:rPr>
          <w:rFonts w:hint="cs"/>
          <w:rtl/>
        </w:rPr>
        <w:t>החושים וכח הדמיון</w:t>
      </w:r>
      <w:r w:rsidR="009A69F6">
        <w:rPr>
          <w:rFonts w:hint="cs"/>
          <w:rtl/>
        </w:rPr>
        <w:t>, הוא משיג עצמים שמאוחדים מחומר וצורה</w:t>
      </w:r>
      <w:r w:rsidR="00F548AD">
        <w:rPr>
          <w:rFonts w:hint="cs"/>
          <w:rtl/>
        </w:rPr>
        <w:t>. ככל שדבר הוא יותר מצד הצורה ורחוק יותר מ</w:t>
      </w:r>
      <w:r w:rsidR="009A69F6">
        <w:rPr>
          <w:rFonts w:hint="cs"/>
          <w:rtl/>
        </w:rPr>
        <w:t xml:space="preserve">צד </w:t>
      </w:r>
      <w:r w:rsidR="00F548AD">
        <w:rPr>
          <w:rFonts w:hint="cs"/>
          <w:rtl/>
        </w:rPr>
        <w:t xml:space="preserve">החומר כך הוא מושג יותר על ידי השכל. </w:t>
      </w:r>
      <w:r w:rsidR="009A69F6">
        <w:rPr>
          <w:rFonts w:hint="cs"/>
          <w:rtl/>
        </w:rPr>
        <w:t xml:space="preserve">עולה מזה שסוג מושג יותר על ידי השכל העיוני מאשר מין, כי הוא מופשט יותר. </w:t>
      </w:r>
    </w:p>
  </w:footnote>
  <w:footnote w:id="44">
    <w:p w14:paraId="49CCCD36" w14:textId="107D1B9B" w:rsidR="00D65A26" w:rsidRDefault="00D65A26">
      <w:pPr>
        <w:pStyle w:val="FootnoteText"/>
      </w:pPr>
      <w:r>
        <w:rPr>
          <w:rStyle w:val="FootnoteReference"/>
        </w:rPr>
        <w:footnoteRef/>
      </w:r>
      <w:r>
        <w:rPr>
          <w:rtl/>
        </w:rPr>
        <w:t xml:space="preserve"> </w:t>
      </w:r>
      <w:r>
        <w:rPr>
          <w:rFonts w:hint="cs"/>
          <w:rtl/>
        </w:rPr>
        <w:t>המין</w:t>
      </w:r>
      <w:r w:rsidR="002341FC">
        <w:rPr>
          <w:rFonts w:hint="cs"/>
          <w:rtl/>
        </w:rPr>
        <w:t xml:space="preserve"> (הצורה, האידיאה), שהיא </w:t>
      </w:r>
      <w:r w:rsidR="002341FC">
        <w:rPr>
          <w:rFonts w:hint="cs"/>
          <w:rtl/>
        </w:rPr>
        <w:t>מסויימת ביחס לסוג</w:t>
      </w:r>
      <w:r>
        <w:rPr>
          <w:rFonts w:hint="cs"/>
          <w:rtl/>
        </w:rPr>
        <w:t>.</w:t>
      </w:r>
    </w:p>
  </w:footnote>
  <w:footnote w:id="45">
    <w:p w14:paraId="407BB88E" w14:textId="0BD99063" w:rsidR="009F6E5B" w:rsidRDefault="009F6E5B">
      <w:pPr>
        <w:pStyle w:val="FootnoteText"/>
      </w:pPr>
      <w:r>
        <w:rPr>
          <w:rStyle w:val="FootnoteReference"/>
        </w:rPr>
        <w:footnoteRef/>
      </w:r>
      <w:r>
        <w:rPr>
          <w:rtl/>
        </w:rPr>
        <w:t xml:space="preserve"> </w:t>
      </w:r>
      <w:r>
        <w:rPr>
          <w:rFonts w:hint="cs"/>
          <w:rtl/>
        </w:rPr>
        <w:t xml:space="preserve">מה שכתב לעיל על להיות </w:t>
      </w:r>
      <w:r w:rsidR="00DD5E46">
        <w:rPr>
          <w:rFonts w:hint="cs"/>
          <w:rtl/>
        </w:rPr>
        <w:t>נודע</w:t>
      </w:r>
      <w:r w:rsidR="00AF2FAD">
        <w:rPr>
          <w:rFonts w:hint="cs"/>
          <w:rtl/>
        </w:rPr>
        <w:t>י</w:t>
      </w:r>
      <w:r>
        <w:rPr>
          <w:rFonts w:hint="cs"/>
          <w:rtl/>
        </w:rPr>
        <w:t>ם יותר או פחות מצד השכל.</w:t>
      </w:r>
    </w:p>
  </w:footnote>
  <w:footnote w:id="46">
    <w:p w14:paraId="52EAF066" w14:textId="1B85260A" w:rsidR="0091535D" w:rsidRDefault="009F6E5B">
      <w:pPr>
        <w:pStyle w:val="FootnoteText"/>
        <w:rPr>
          <w:rtl/>
        </w:rPr>
      </w:pPr>
      <w:r>
        <w:rPr>
          <w:rStyle w:val="FootnoteReference"/>
        </w:rPr>
        <w:footnoteRef/>
      </w:r>
      <w:r>
        <w:rPr>
          <w:rtl/>
        </w:rPr>
        <w:t xml:space="preserve"> </w:t>
      </w:r>
      <w:bookmarkStart w:id="28" w:name="כח_הדיבור_וכח_הדמיון"/>
      <w:r w:rsidR="00690B29">
        <w:rPr>
          <w:rFonts w:hint="cs"/>
          <w:rtl/>
        </w:rPr>
        <w:t>עיין</w:t>
      </w:r>
      <w:bookmarkEnd w:id="28"/>
      <w:r w:rsidR="00690B29">
        <w:rPr>
          <w:rFonts w:hint="cs"/>
          <w:rtl/>
        </w:rPr>
        <w:t xml:space="preserve"> </w:t>
      </w:r>
      <w:r w:rsidR="0006546D">
        <w:rPr>
          <w:rFonts w:hint="cs"/>
          <w:rtl/>
        </w:rPr>
        <w:t>ביאור עניין</w:t>
      </w:r>
      <w:r w:rsidR="00690B29">
        <w:rPr>
          <w:rFonts w:hint="cs"/>
          <w:rtl/>
        </w:rPr>
        <w:t xml:space="preserve"> החוש הפנימי ב</w:t>
      </w:r>
      <w:r w:rsidR="00F055C8">
        <w:rPr>
          <w:rtl/>
        </w:rPr>
        <w:t>"</w:t>
      </w:r>
      <w:hyperlink r:id="rId10" w:history="1">
        <w:r w:rsidR="0006546D" w:rsidRPr="00E356A6">
          <w:rPr>
            <w:rStyle w:val="Hyperlink"/>
            <w:rFonts w:hint="cs"/>
            <w:rtl/>
          </w:rPr>
          <w:t>רמיזות והערות</w:t>
        </w:r>
      </w:hyperlink>
      <w:r w:rsidR="00F055C8">
        <w:rPr>
          <w:rtl/>
        </w:rPr>
        <w:t>"</w:t>
      </w:r>
      <w:r w:rsidR="00690B29">
        <w:rPr>
          <w:rFonts w:hint="cs"/>
          <w:rtl/>
        </w:rPr>
        <w:t xml:space="preserve"> מאת אבן סינא חלק ג' פרק ט'</w:t>
      </w:r>
      <w:r w:rsidR="009C628A">
        <w:rPr>
          <w:rFonts w:hint="cs"/>
          <w:rtl/>
        </w:rPr>
        <w:t xml:space="preserve"> ושם התבאר גם עניין כח הדמיון</w:t>
      </w:r>
      <w:r w:rsidR="00690B29">
        <w:rPr>
          <w:rFonts w:hint="cs"/>
          <w:rtl/>
        </w:rPr>
        <w:t>. כאן הכוונה היא ל</w:t>
      </w:r>
      <w:r>
        <w:rPr>
          <w:rFonts w:hint="cs"/>
          <w:rtl/>
        </w:rPr>
        <w:t xml:space="preserve">כח המדמה, או כח הדמיון, הוא </w:t>
      </w:r>
      <w:r w:rsidR="00690B29">
        <w:rPr>
          <w:rFonts w:hint="cs"/>
          <w:rtl/>
        </w:rPr>
        <w:t>ה</w:t>
      </w:r>
      <w:r>
        <w:rPr>
          <w:rFonts w:hint="cs"/>
          <w:rtl/>
        </w:rPr>
        <w:t xml:space="preserve">כח שמעבד את רשמי החושים הגולמיים. הוא מארגן אותם לגופים מובחנים, </w:t>
      </w:r>
      <w:r w:rsidR="008152F9">
        <w:rPr>
          <w:rFonts w:hint="cs"/>
          <w:rtl/>
        </w:rPr>
        <w:t>זוכר</w:t>
      </w:r>
      <w:r w:rsidR="0091535D">
        <w:rPr>
          <w:rFonts w:hint="cs"/>
          <w:rtl/>
        </w:rPr>
        <w:t xml:space="preserve"> אותם</w:t>
      </w:r>
      <w:r w:rsidR="008152F9">
        <w:rPr>
          <w:rFonts w:hint="cs"/>
          <w:rtl/>
        </w:rPr>
        <w:t xml:space="preserve"> ומעלה את המידע אודותם לשכל הדברי, הנקרא גם הכח המדבר או השכל השימושי או המלאכותי (מלשון מלאכה. מכוחו אנו יודעים לתפור נעליים וכיו</w:t>
      </w:r>
      <w:r w:rsidR="00F055C8">
        <w:rPr>
          <w:rtl/>
        </w:rPr>
        <w:t>"</w:t>
      </w:r>
      <w:r w:rsidR="008152F9">
        <w:rPr>
          <w:rFonts w:hint="cs"/>
          <w:rtl/>
        </w:rPr>
        <w:t xml:space="preserve">ב) או השכל הטבעי או השכל בכח, זהו השכל שאנו נולדים איתו ומורגלים להשתמש בו. </w:t>
      </w:r>
    </w:p>
    <w:p w14:paraId="52405A38" w14:textId="73853527" w:rsidR="004F34D1" w:rsidRDefault="0091535D">
      <w:pPr>
        <w:pStyle w:val="FootnoteText"/>
        <w:rPr>
          <w:rtl/>
        </w:rPr>
      </w:pPr>
      <w:r>
        <w:rPr>
          <w:rFonts w:hint="cs"/>
          <w:rtl/>
        </w:rPr>
        <w:t xml:space="preserve">הדמיון </w:t>
      </w:r>
      <w:r w:rsidR="004F34D1" w:rsidRPr="004F34D1">
        <w:rPr>
          <w:rtl/>
        </w:rPr>
        <w:t xml:space="preserve">יכול גם לעשות </w:t>
      </w:r>
      <w:r>
        <w:rPr>
          <w:rFonts w:hint="cs"/>
          <w:rtl/>
        </w:rPr>
        <w:t>עם רשמי החוש</w:t>
      </w:r>
      <w:r w:rsidR="004F34D1" w:rsidRPr="004F34D1">
        <w:rPr>
          <w:rtl/>
        </w:rPr>
        <w:t xml:space="preserve"> מניפולציות, להפריד את הרושם החושי של הצבע האדום מהכלנית ולהרכיב אותו על הפיל ולצייר בדמיון מראה חושי של פיל אדום. לכן המילה דמיון קשורה  אצלנו למשהו בדוי שאינו השגת האמת הריאלית, אבל אין זו הכוונה העיקרית כשאומרים דמיון. דמיון אינו ניגוד למציאות וריאליה, אלא הוא אופן </w:t>
      </w:r>
      <w:r w:rsidR="009C463A" w:rsidRPr="004F34D1">
        <w:rPr>
          <w:rFonts w:hint="cs"/>
          <w:rtl/>
        </w:rPr>
        <w:t>מסוים</w:t>
      </w:r>
      <w:r w:rsidR="004F34D1" w:rsidRPr="004F34D1">
        <w:rPr>
          <w:rtl/>
        </w:rPr>
        <w:t xml:space="preserve"> של קליטת המציאות הריאלית, כמו שאפשר לקלוט אותה בחוש ולקלוט אותה בשכל, יש מדרגת ביניים שהיא קליטת המציאות בכח הדמיון. קליטת דמיון לא יכולה להיות בלי שתקדם לה קליטת החוש, וקליטת החוש לא יכולה לקבל שום פשר </w:t>
      </w:r>
      <w:r>
        <w:rPr>
          <w:rFonts w:hint="cs"/>
          <w:rtl/>
        </w:rPr>
        <w:t>ב</w:t>
      </w:r>
      <w:r w:rsidR="004F34D1" w:rsidRPr="004F34D1">
        <w:rPr>
          <w:rtl/>
        </w:rPr>
        <w:t>לא שכ</w:t>
      </w:r>
      <w:r>
        <w:rPr>
          <w:rFonts w:hint="cs"/>
          <w:rtl/>
        </w:rPr>
        <w:t>ח</w:t>
      </w:r>
      <w:r w:rsidR="004F34D1" w:rsidRPr="004F34D1">
        <w:rPr>
          <w:rtl/>
        </w:rPr>
        <w:t xml:space="preserve"> הדמיון מעבד אותה ומארגן אותה לעצמים ומוציא אותה מלהיות בליל נע של רשמים לא מאורגנים. לכן הדמיון והחוש </w:t>
      </w:r>
      <w:r>
        <w:rPr>
          <w:rFonts w:hint="cs"/>
          <w:rtl/>
        </w:rPr>
        <w:t>פועלים ביחד</w:t>
      </w:r>
      <w:r w:rsidR="004F34D1" w:rsidRPr="004F34D1">
        <w:rPr>
          <w:rtl/>
        </w:rPr>
        <w:t xml:space="preserve"> ולפעמים אומרים רק אחד מהם גם כשמתכוונים לשניהם ביחד.</w:t>
      </w:r>
    </w:p>
    <w:p w14:paraId="5509777B" w14:textId="77777777" w:rsidR="004F34D1" w:rsidRDefault="004F34D1">
      <w:pPr>
        <w:pStyle w:val="FootnoteText"/>
        <w:rPr>
          <w:rtl/>
        </w:rPr>
      </w:pPr>
    </w:p>
    <w:p w14:paraId="2D3EAD71" w14:textId="4FB48634" w:rsidR="009F6E5B" w:rsidRDefault="008152F9">
      <w:pPr>
        <w:pStyle w:val="FootnoteText"/>
        <w:rPr>
          <w:rtl/>
        </w:rPr>
      </w:pPr>
      <w:r>
        <w:rPr>
          <w:rFonts w:hint="cs"/>
          <w:rtl/>
        </w:rPr>
        <w:t>עיין במורה נבוכים א' ע</w:t>
      </w:r>
      <w:r w:rsidR="00F055C8">
        <w:rPr>
          <w:rtl/>
        </w:rPr>
        <w:t>"</w:t>
      </w:r>
      <w:r>
        <w:rPr>
          <w:rFonts w:hint="cs"/>
          <w:rtl/>
        </w:rPr>
        <w:t xml:space="preserve">ב שתיאר את </w:t>
      </w:r>
      <w:bookmarkStart w:id="29" w:name="הכח_המדבר"/>
      <w:r>
        <w:rPr>
          <w:rFonts w:hint="cs"/>
          <w:rtl/>
        </w:rPr>
        <w:t>הכח</w:t>
      </w:r>
      <w:r w:rsidR="00962925">
        <w:rPr>
          <w:rtl/>
        </w:rPr>
        <w:fldChar w:fldCharType="begin"/>
      </w:r>
      <w:r w:rsidR="00962925">
        <w:instrText xml:space="preserve"> XE "</w:instrText>
      </w:r>
      <w:r w:rsidR="00962925" w:rsidRPr="00893986">
        <w:rPr>
          <w:rFonts w:hint="cs"/>
          <w:rtl/>
        </w:rPr>
        <w:instrText>מורה נבוכים א' ע</w:instrText>
      </w:r>
      <w:r w:rsidR="00962925">
        <w:rPr>
          <w:b/>
          <w:bCs/>
          <w:sz w:val="20"/>
          <w:szCs w:val="20"/>
        </w:rPr>
        <w:instrText>\</w:instrText>
      </w:r>
      <w:r w:rsidR="00962925" w:rsidRPr="00893986">
        <w:rPr>
          <w:rFonts w:hint="cs"/>
          <w:rtl/>
        </w:rPr>
        <w:instrText>"ב - הכח המדבר</w:instrText>
      </w:r>
      <w:r w:rsidR="00962925">
        <w:instrText xml:space="preserve">" </w:instrText>
      </w:r>
      <w:r w:rsidR="00962925">
        <w:rPr>
          <w:rtl/>
        </w:rPr>
        <w:fldChar w:fldCharType="end"/>
      </w:r>
      <w:r>
        <w:rPr>
          <w:rFonts w:hint="cs"/>
          <w:rtl/>
        </w:rPr>
        <w:t xml:space="preserve"> המדבר</w:t>
      </w:r>
      <w:bookmarkEnd w:id="29"/>
      <w:r w:rsidR="0043665E">
        <w:rPr>
          <w:rtl/>
        </w:rPr>
        <w:fldChar w:fldCharType="begin"/>
      </w:r>
      <w:r w:rsidR="0043665E">
        <w:instrText xml:space="preserve"> XE "</w:instrText>
      </w:r>
      <w:r w:rsidR="0043665E" w:rsidRPr="00625222">
        <w:rPr>
          <w:rFonts w:hint="cs"/>
          <w:rtl/>
        </w:rPr>
        <w:instrText>הכח המדבר</w:instrText>
      </w:r>
      <w:r w:rsidR="0043665E">
        <w:instrText xml:space="preserve">" </w:instrText>
      </w:r>
      <w:r w:rsidR="0043665E">
        <w:rPr>
          <w:rtl/>
        </w:rPr>
        <w:fldChar w:fldCharType="end"/>
      </w:r>
      <w:r w:rsidR="00081224">
        <w:rPr>
          <w:rFonts w:hint="cs"/>
          <w:rtl/>
        </w:rPr>
        <w:t xml:space="preserve"> (הכח המדבר אין לו הגדרה אחת </w:t>
      </w:r>
      <w:r w:rsidR="007826C4">
        <w:rPr>
          <w:rFonts w:hint="cs"/>
          <w:rtl/>
        </w:rPr>
        <w:t>קבועה אלא הגדרתו משתנה, הוא</w:t>
      </w:r>
      <w:r w:rsidR="00081224">
        <w:rPr>
          <w:rFonts w:hint="cs"/>
          <w:rtl/>
        </w:rPr>
        <w:t xml:space="preserve"> יכול לרדת למדרגת כח הדמיון ולהיות אחד איתו, או להישאר ככלי של חשיבה מילולית חישובית מעשית, או לעלות למדרגת השכל העיוני המופשט ולהתאחד איתו)</w:t>
      </w:r>
      <w:r>
        <w:rPr>
          <w:rFonts w:hint="cs"/>
          <w:rtl/>
        </w:rPr>
        <w:t>, וכתב עליו:</w:t>
      </w:r>
    </w:p>
    <w:p w14:paraId="76AC4220" w14:textId="0F3C62A8" w:rsidR="008152F9" w:rsidRDefault="00F055C8">
      <w:pPr>
        <w:pStyle w:val="FootnoteText"/>
        <w:rPr>
          <w:rtl/>
        </w:rPr>
      </w:pPr>
      <w:r>
        <w:rPr>
          <w:rtl/>
        </w:rPr>
        <w:t>"</w:t>
      </w:r>
      <w:r w:rsidR="008152F9" w:rsidRPr="008152F9">
        <w:rPr>
          <w:rtl/>
        </w:rPr>
        <w:t>וזה הכוח נכבד מאד, יותר נכבד מכל כוחות בעלי חיים. והוא גם כן נעלם מאד, לא תובן אמיתתו בתחילת הדעת המשתתף כהבנת שאר הכוחות הטבעיות.</w:t>
      </w:r>
      <w:r>
        <w:rPr>
          <w:rtl/>
        </w:rPr>
        <w:t>"</w:t>
      </w:r>
    </w:p>
    <w:p w14:paraId="098DD23D" w14:textId="2D270949" w:rsidR="00160DD8" w:rsidRDefault="00690B29">
      <w:pPr>
        <w:pStyle w:val="FootnoteText"/>
        <w:rPr>
          <w:rtl/>
        </w:rPr>
      </w:pPr>
      <w:r>
        <w:rPr>
          <w:rFonts w:hint="cs"/>
          <w:rtl/>
        </w:rPr>
        <w:t>כח הדמיון משיג גם את הצורה, אבל רק דרך כלי החומר, כ</w:t>
      </w:r>
      <w:r w:rsidR="00160DD8">
        <w:rPr>
          <w:rFonts w:hint="cs"/>
          <w:rtl/>
        </w:rPr>
        <w:t xml:space="preserve">מו </w:t>
      </w:r>
      <w:r>
        <w:rPr>
          <w:rFonts w:hint="cs"/>
          <w:rtl/>
        </w:rPr>
        <w:t xml:space="preserve">שהיא </w:t>
      </w:r>
      <w:r w:rsidR="00160DD8">
        <w:rPr>
          <w:rFonts w:hint="cs"/>
          <w:rtl/>
        </w:rPr>
        <w:t>נגלית במגבלות הגוף שנוטל חלק בצורה זו. וכמו שביארתי ב</w:t>
      </w:r>
      <w:r w:rsidR="00F055C8">
        <w:rPr>
          <w:rtl/>
        </w:rPr>
        <w:t>"</w:t>
      </w:r>
      <w:r w:rsidR="00502878">
        <w:rPr>
          <w:rFonts w:hint="cs"/>
          <w:rtl/>
        </w:rPr>
        <w:t>אדם חי</w:t>
      </w:r>
      <w:r w:rsidR="00F055C8">
        <w:rPr>
          <w:rtl/>
        </w:rPr>
        <w:t>"</w:t>
      </w:r>
      <w:r w:rsidR="00160DD8">
        <w:rPr>
          <w:rFonts w:hint="cs"/>
          <w:rtl/>
        </w:rPr>
        <w:t xml:space="preserve"> </w:t>
      </w:r>
      <w:hyperlink r:id="rId11" w:history="1">
        <w:r w:rsidR="00160DD8" w:rsidRPr="00160DD8">
          <w:rPr>
            <w:rStyle w:val="Hyperlink"/>
            <w:rFonts w:hint="cs"/>
            <w:rtl/>
          </w:rPr>
          <w:t>רשימה 48</w:t>
        </w:r>
      </w:hyperlink>
      <w:r w:rsidR="00160DD8">
        <w:rPr>
          <w:rFonts w:hint="cs"/>
          <w:rtl/>
        </w:rPr>
        <w:t xml:space="preserve"> שכל בעל חיים ותינוק יש לו השגה של הצורה בדרך זו.</w:t>
      </w:r>
    </w:p>
    <w:p w14:paraId="1ABAF284" w14:textId="2F3D7AA9" w:rsidR="008152F9" w:rsidRDefault="00160DD8">
      <w:pPr>
        <w:pStyle w:val="FootnoteText"/>
        <w:rPr>
          <w:rtl/>
        </w:rPr>
      </w:pPr>
      <w:r>
        <w:rPr>
          <w:rFonts w:hint="cs"/>
          <w:rtl/>
        </w:rPr>
        <w:t xml:space="preserve">לדוגמה אם יש פנס </w:t>
      </w:r>
      <w:r w:rsidR="00982670">
        <w:rPr>
          <w:rFonts w:hint="cs"/>
          <w:rtl/>
        </w:rPr>
        <w:t>חזק</w:t>
      </w:r>
      <w:r>
        <w:rPr>
          <w:rFonts w:hint="cs"/>
          <w:rtl/>
        </w:rPr>
        <w:t xml:space="preserve"> שמאיר כלפי שמי הלילה הצלולים, לא נראה את האור. אם יהיה בלו</w:t>
      </w:r>
      <w:r w:rsidR="00700DA3">
        <w:rPr>
          <w:rFonts w:hint="cs"/>
          <w:rtl/>
        </w:rPr>
        <w:t>ן</w:t>
      </w:r>
      <w:r>
        <w:rPr>
          <w:rFonts w:hint="cs"/>
          <w:rtl/>
        </w:rPr>
        <w:t xml:space="preserve"> כלשהו בשמיים נראה עיגול של אור</w:t>
      </w:r>
      <w:r w:rsidR="00700DA3">
        <w:rPr>
          <w:rFonts w:hint="cs"/>
          <w:rtl/>
        </w:rPr>
        <w:t xml:space="preserve"> (כמו שבגלל הירח אנו רואים עיגול של אור שהוא השגת אור השמש באמצעות כלי הירח)</w:t>
      </w:r>
      <w:r>
        <w:rPr>
          <w:rFonts w:hint="cs"/>
          <w:rtl/>
        </w:rPr>
        <w:t>. האור הוא משל לצורה והבלון לחומר. התפישה של כח הדמיון רואה את האור כעיגול אור ולא כ</w:t>
      </w:r>
      <w:r w:rsidR="00700DA3">
        <w:rPr>
          <w:rFonts w:hint="cs"/>
          <w:rtl/>
        </w:rPr>
        <w:t>מו ה</w:t>
      </w:r>
      <w:r>
        <w:rPr>
          <w:rFonts w:hint="cs"/>
          <w:rtl/>
        </w:rPr>
        <w:t xml:space="preserve">גודל והבהירות האמיתיים של האור מצד עצמו.  כך </w:t>
      </w:r>
      <w:r w:rsidR="000635FC">
        <w:rPr>
          <w:rFonts w:hint="cs"/>
          <w:rtl/>
        </w:rPr>
        <w:t xml:space="preserve">כח הדמיון כשהוא רואה את ראובן משיג את הצורה 'חי מדבר', אבל רק כמו שהיא מתגלה אצל ראובן, וכאילו היא מאפיין של ראובן. צדדים של הצורה הזו שאינם אצל ראובן </w:t>
      </w:r>
      <w:r w:rsidR="00A9212D">
        <w:rPr>
          <w:rFonts w:hint="cs"/>
          <w:rtl/>
        </w:rPr>
        <w:t>כ</w:t>
      </w:r>
      <w:r w:rsidR="000635FC">
        <w:rPr>
          <w:rFonts w:hint="cs"/>
          <w:rtl/>
        </w:rPr>
        <w:t xml:space="preserve">ח הדמיון לא ישיג. </w:t>
      </w:r>
    </w:p>
    <w:p w14:paraId="69543ED7" w14:textId="77777777" w:rsidR="00542552" w:rsidRDefault="000635FC">
      <w:pPr>
        <w:pStyle w:val="FootnoteText"/>
        <w:rPr>
          <w:rtl/>
        </w:rPr>
      </w:pPr>
      <w:r>
        <w:rPr>
          <w:rFonts w:hint="cs"/>
          <w:rtl/>
        </w:rPr>
        <w:t xml:space="preserve">למשל אם חתול רואה בנהר דג ותנין, הוא יחשוש שהתנין ייצא מהמים ויזיק לו, ולא יחשוש שהדג יעשה כך, גם אם לא למד זאת </w:t>
      </w:r>
      <w:r w:rsidR="00CD5B50">
        <w:rPr>
          <w:rFonts w:hint="cs"/>
          <w:rtl/>
        </w:rPr>
        <w:t>מהניסיון</w:t>
      </w:r>
      <w:r>
        <w:rPr>
          <w:rFonts w:hint="cs"/>
          <w:rtl/>
        </w:rPr>
        <w:t>.</w:t>
      </w:r>
      <w:r w:rsidR="00CD5B50">
        <w:rPr>
          <w:rFonts w:hint="cs"/>
          <w:rtl/>
        </w:rPr>
        <w:t xml:space="preserve"> מניין הוא יודע? אלא הוא משיג את הצורה של דג ותנין ומזה משיג את טבעם, דהיינו הצורה, המהות, ויודע מזה מה אפשר שיעשו ומה לא. אבל החתול לא ישיג את טבע הדג עד שיידע מזה שהדג הזה היה פעם ביצה. כי זו השגה בצורה, בטבע, שלא מתגלית בכלי החומר שהחתול רואה לפניו, והחתול משיג את הצורה רק במידה שהגוף החומרי מגלה אותה. זה נקרא שכל משוקע בחומר</w:t>
      </w:r>
      <w:r w:rsidR="00542552">
        <w:rPr>
          <w:rFonts w:hint="cs"/>
          <w:rtl/>
        </w:rPr>
        <w:t xml:space="preserve">, או השגת כח הדמיון. </w:t>
      </w:r>
    </w:p>
    <w:p w14:paraId="25C19F63" w14:textId="77777777" w:rsidR="00542552" w:rsidRDefault="00542552">
      <w:pPr>
        <w:pStyle w:val="FootnoteText"/>
        <w:rPr>
          <w:rtl/>
        </w:rPr>
      </w:pPr>
      <w:r>
        <w:rPr>
          <w:rFonts w:hint="cs"/>
          <w:rtl/>
        </w:rPr>
        <w:t>אבן סינא מבאר שם שהכח המדבר, יכול להתאחד עם מה שתחתיו, דהיינו כח הדמיון שמבוסס על החושים שתופשים חומר, ויכול להתאחד עם מה שמעליו, דהיינו התפישה המופשטת, היא השכל העיוני.</w:t>
      </w:r>
    </w:p>
    <w:p w14:paraId="329F9DB7" w14:textId="4C951A9C" w:rsidR="009E1983" w:rsidRDefault="00542552">
      <w:pPr>
        <w:pStyle w:val="FootnoteText"/>
        <w:rPr>
          <w:rtl/>
        </w:rPr>
      </w:pPr>
      <w:r>
        <w:rPr>
          <w:rFonts w:hint="cs"/>
          <w:rtl/>
        </w:rPr>
        <w:t xml:space="preserve">כך הכח המדבר הוא המרכז, הלב, </w:t>
      </w:r>
      <w:r w:rsidR="00A9212D">
        <w:rPr>
          <w:rFonts w:hint="cs"/>
          <w:rtl/>
        </w:rPr>
        <w:t>הבריח התיכון</w:t>
      </w:r>
      <w:r w:rsidR="00F00F97">
        <w:rPr>
          <w:rFonts w:hint="cs"/>
          <w:rtl/>
        </w:rPr>
        <w:t xml:space="preserve"> שמחבר את כל הצדדים</w:t>
      </w:r>
      <w:r w:rsidR="00A9212D">
        <w:rPr>
          <w:rFonts w:hint="cs"/>
          <w:rtl/>
        </w:rPr>
        <w:t xml:space="preserve"> והמדרגות</w:t>
      </w:r>
      <w:r w:rsidR="00F00F97">
        <w:rPr>
          <w:rFonts w:hint="cs"/>
          <w:rtl/>
        </w:rPr>
        <w:t xml:space="preserve">, </w:t>
      </w:r>
      <w:r w:rsidR="00A9212D">
        <w:rPr>
          <w:rFonts w:hint="cs"/>
          <w:rtl/>
        </w:rPr>
        <w:t xml:space="preserve">עולה ויורד, </w:t>
      </w:r>
      <w:r w:rsidR="00F00F97">
        <w:rPr>
          <w:rFonts w:hint="cs"/>
          <w:rtl/>
        </w:rPr>
        <w:t xml:space="preserve">ועל ידו כח הדמיון מתעלה להיות שכל מופשט, מה שבלשון הקדמונים נאמר שהשכל בכח נעשה שכל </w:t>
      </w:r>
      <w:r w:rsidR="00F00F97" w:rsidRPr="00F00F97">
        <w:rPr>
          <w:rtl/>
        </w:rPr>
        <w:t>בְּפוֹעַל</w:t>
      </w:r>
      <w:r w:rsidR="00A9212D">
        <w:rPr>
          <w:rFonts w:hint="cs"/>
          <w:rtl/>
        </w:rPr>
        <w:t>, ועל ידו הגוף מקבל מאור השכל והולך בדרכיו כמו שכתב בסוף המורה נבוכים</w:t>
      </w:r>
      <w:r w:rsidR="00F00F97">
        <w:rPr>
          <w:rFonts w:hint="cs"/>
          <w:rtl/>
        </w:rPr>
        <w:t xml:space="preserve">. </w:t>
      </w:r>
      <w:r w:rsidR="00A9212D">
        <w:rPr>
          <w:rFonts w:hint="cs"/>
          <w:rtl/>
        </w:rPr>
        <w:t>עיין כל זה ב</w:t>
      </w:r>
      <w:bookmarkStart w:id="30" w:name="_Hlk71722939"/>
      <w:r w:rsidR="00F055C8">
        <w:rPr>
          <w:rtl/>
        </w:rPr>
        <w:t>"</w:t>
      </w:r>
      <w:bookmarkStart w:id="31" w:name="_Hlk71722930"/>
      <w:r w:rsidR="00352619">
        <w:rPr>
          <w:rtl/>
        </w:rPr>
        <w:fldChar w:fldCharType="begin"/>
      </w:r>
      <w:r w:rsidR="00352619">
        <w:rPr>
          <w:rtl/>
        </w:rPr>
        <w:instrText xml:space="preserve"> </w:instrText>
      </w:r>
      <w:r w:rsidR="00352619">
        <w:rPr>
          <w:rFonts w:hint="cs"/>
        </w:rPr>
        <w:instrText>HYPERLINK</w:instrText>
      </w:r>
      <w:r w:rsidR="00352619">
        <w:rPr>
          <w:rFonts w:hint="cs"/>
          <w:rtl/>
        </w:rPr>
        <w:instrText xml:space="preserve"> "</w:instrText>
      </w:r>
      <w:r w:rsidR="00352619">
        <w:rPr>
          <w:rFonts w:hint="cs"/>
        </w:rPr>
        <w:instrText>https://nirstern.files.wordpress.com/2021/01/d794d7a8d79ed799d796d795d7aa-d795d794d794d7a2d7a8d795d7aa-.pdf</w:instrText>
      </w:r>
      <w:r w:rsidR="00352619">
        <w:rPr>
          <w:rFonts w:hint="cs"/>
          <w:rtl/>
        </w:rPr>
        <w:instrText>"</w:instrText>
      </w:r>
      <w:r w:rsidR="00352619">
        <w:rPr>
          <w:rtl/>
        </w:rPr>
        <w:instrText xml:space="preserve"> </w:instrText>
      </w:r>
      <w:r w:rsidR="00352619">
        <w:rPr>
          <w:rtl/>
        </w:rPr>
      </w:r>
      <w:r w:rsidR="00352619">
        <w:rPr>
          <w:rtl/>
        </w:rPr>
        <w:fldChar w:fldCharType="separate"/>
      </w:r>
      <w:r w:rsidR="00A9212D" w:rsidRPr="00352619">
        <w:rPr>
          <w:rStyle w:val="Hyperlink"/>
          <w:rFonts w:hint="cs"/>
          <w:rtl/>
        </w:rPr>
        <w:t>רמיזות והערות</w:t>
      </w:r>
      <w:bookmarkEnd w:id="31"/>
      <w:r w:rsidR="00352619">
        <w:rPr>
          <w:rtl/>
        </w:rPr>
        <w:fldChar w:fldCharType="end"/>
      </w:r>
      <w:r w:rsidR="00F055C8">
        <w:rPr>
          <w:rtl/>
        </w:rPr>
        <w:t>"</w:t>
      </w:r>
      <w:bookmarkEnd w:id="30"/>
      <w:r w:rsidR="00A9212D">
        <w:rPr>
          <w:rFonts w:hint="cs"/>
          <w:rtl/>
        </w:rPr>
        <w:t xml:space="preserve"> שם ובביאור</w:t>
      </w:r>
      <w:r w:rsidR="009E1983">
        <w:rPr>
          <w:rFonts w:hint="cs"/>
          <w:rtl/>
        </w:rPr>
        <w:t>י</w:t>
      </w:r>
      <w:r w:rsidR="00A9212D">
        <w:rPr>
          <w:rFonts w:hint="cs"/>
          <w:rtl/>
        </w:rPr>
        <w:t xml:space="preserve"> שם. </w:t>
      </w:r>
    </w:p>
    <w:p w14:paraId="19D464BD" w14:textId="77777777" w:rsidR="005C4D17" w:rsidRDefault="009E1983">
      <w:pPr>
        <w:pStyle w:val="FootnoteText"/>
        <w:rPr>
          <w:rtl/>
        </w:rPr>
      </w:pPr>
      <w:r>
        <w:rPr>
          <w:rFonts w:hint="cs"/>
          <w:rtl/>
        </w:rPr>
        <w:t xml:space="preserve">השכל המופשט, העיוני, משיג רק את המופשט, הוא לא יכול להשיג חומר. לכן כשעוסקים בהפשטת הצורה מהחומר כסולם להגיע ליכולת להשיג צורות בלא כלי חומר, בהכרח השכל וכח הדמיון פועלים ביחד. </w:t>
      </w:r>
    </w:p>
    <w:p w14:paraId="529329E3" w14:textId="745351F9" w:rsidR="005C4D17" w:rsidRDefault="005C4D17">
      <w:pPr>
        <w:pStyle w:val="FootnoteText"/>
        <w:rPr>
          <w:rtl/>
        </w:rPr>
      </w:pPr>
      <w:r>
        <w:rPr>
          <w:rFonts w:hint="cs"/>
          <w:rtl/>
        </w:rPr>
        <w:t>בהלכות יסודי התורה ד' ז' כתב הרמב</w:t>
      </w:r>
      <w:r w:rsidR="00F055C8">
        <w:rPr>
          <w:rtl/>
        </w:rPr>
        <w:t>"</w:t>
      </w:r>
      <w:r>
        <w:rPr>
          <w:rFonts w:hint="cs"/>
          <w:rtl/>
        </w:rPr>
        <w:t>ם:</w:t>
      </w:r>
    </w:p>
    <w:p w14:paraId="079F2769" w14:textId="3A73BA5A" w:rsidR="005C4D17" w:rsidRDefault="00F055C8">
      <w:pPr>
        <w:pStyle w:val="FootnoteText"/>
        <w:rPr>
          <w:rtl/>
        </w:rPr>
      </w:pPr>
      <w:r>
        <w:rPr>
          <w:rtl/>
        </w:rPr>
        <w:t>"</w:t>
      </w:r>
      <w:bookmarkStart w:id="32" w:name="_Hlk71743987"/>
      <w:r w:rsidR="005C4D17" w:rsidRPr="005C4D17">
        <w:rPr>
          <w:rtl/>
        </w:rPr>
        <w:t>לְעוֹלָם אֵין אַתָּה רוֹאֶה גֹּלֶם בְּלֹא צוּרָה אוֹ צוּרָה בְּלֹא גֹּלֶם</w:t>
      </w:r>
      <w:bookmarkEnd w:id="32"/>
      <w:r w:rsidR="005C4D17" w:rsidRPr="005C4D17">
        <w:rPr>
          <w:rtl/>
        </w:rPr>
        <w:t>,</w:t>
      </w:r>
      <w:r w:rsidR="005C4D17">
        <w:rPr>
          <w:rFonts w:hint="cs"/>
          <w:rtl/>
        </w:rPr>
        <w:t xml:space="preserve"> [זו התפישה המשוקעת בחומר של תינוק וכל בעלי החיים]</w:t>
      </w:r>
      <w:r w:rsidR="005C4D17" w:rsidRPr="005C4D17">
        <w:rPr>
          <w:rtl/>
        </w:rPr>
        <w:t xml:space="preserve"> </w:t>
      </w:r>
    </w:p>
    <w:p w14:paraId="786F8F0D" w14:textId="0AA8673E" w:rsidR="005C4D17" w:rsidRDefault="005C4D17">
      <w:pPr>
        <w:pStyle w:val="FootnoteText"/>
        <w:rPr>
          <w:rtl/>
        </w:rPr>
      </w:pPr>
      <w:bookmarkStart w:id="33" w:name="_Hlk71743899"/>
      <w:r w:rsidRPr="005C4D17">
        <w:rPr>
          <w:rtl/>
        </w:rPr>
        <w:t>אֶלָּא לֵב הָאָדָם הוּא שֶׁמְּחַלֵּק הַגּוּף הַנִּמְצָא בְּדַעְתּוֹ, וְיוֹדֵעַ שֶׁהוּא מְחֻבָּר מִגֹּלֶם וְצוּרָה</w:t>
      </w:r>
      <w:bookmarkEnd w:id="33"/>
      <w:r>
        <w:rPr>
          <w:rFonts w:hint="cs"/>
          <w:rtl/>
        </w:rPr>
        <w:t xml:space="preserve"> [זה עמל השגת החכמה, שמתחיל בהפשטת הצורה מהגוף החומרי, זה </w:t>
      </w:r>
      <w:r w:rsidR="000F7A40">
        <w:rPr>
          <w:rFonts w:hint="cs"/>
          <w:rtl/>
        </w:rPr>
        <w:t xml:space="preserve">לימוד </w:t>
      </w:r>
      <w:r>
        <w:rPr>
          <w:rFonts w:hint="cs"/>
          <w:rtl/>
        </w:rPr>
        <w:t xml:space="preserve">הפיזיקה, סוד מעשה בראשית, </w:t>
      </w:r>
      <w:r w:rsidR="000F7A40">
        <w:rPr>
          <w:rFonts w:hint="cs"/>
          <w:rtl/>
        </w:rPr>
        <w:t>כסולם שתכליתו להביא להשגת השכל העיוני המופשט</w:t>
      </w:r>
      <w:r>
        <w:rPr>
          <w:rFonts w:hint="cs"/>
          <w:rtl/>
        </w:rPr>
        <w:t>]</w:t>
      </w:r>
    </w:p>
    <w:p w14:paraId="234EE389" w14:textId="30278D96" w:rsidR="005C4D17" w:rsidRDefault="005C4D17">
      <w:pPr>
        <w:pStyle w:val="FootnoteText"/>
        <w:rPr>
          <w:rtl/>
        </w:rPr>
      </w:pPr>
      <w:r>
        <w:rPr>
          <w:rFonts w:hint="cs"/>
          <w:rtl/>
        </w:rPr>
        <w:t xml:space="preserve">... </w:t>
      </w:r>
    </w:p>
    <w:p w14:paraId="2B05087E" w14:textId="4461B7B9" w:rsidR="000635FC" w:rsidRDefault="005C4D17">
      <w:pPr>
        <w:pStyle w:val="FootnoteText"/>
      </w:pPr>
      <w:r w:rsidRPr="005C4D17">
        <w:rPr>
          <w:rtl/>
        </w:rPr>
        <w:t>וְהַצּוּרוֹת שֶׁאֵין לָהֶן גֹּלֶם אֵינָן נִרְאִין לָעַיִן, אֶלָּא בְּעֵין הַלֵּב הֵן יְדוּעִין, כְּמוֹ שֶׁיָּדַעְנוּ אֲדוֹן הַכֹּל בְּלֹא רְאִיַּת עַיִן.</w:t>
      </w:r>
      <w:r w:rsidR="000F7A40">
        <w:rPr>
          <w:rFonts w:hint="cs"/>
          <w:rtl/>
        </w:rPr>
        <w:t xml:space="preserve"> [זה לימוד המטאפיזיקה, שאריסטו קרא לה התיאולוגיה, ומתורגמת בימי הביניים חכמת האלוהות. הוא התכלית שבה השכל מגיע למדרגה של יכולת להשיג צורות גם לא על ידי הפשטה מגוף חומרי אלא באופן ישר, בלתי אמצעי, כמו שהעין רואה את האור (לכן הוא נקרא עיוני)]</w:t>
      </w:r>
      <w:r w:rsidR="00F055C8">
        <w:rPr>
          <w:rtl/>
        </w:rPr>
        <w:t>"</w:t>
      </w:r>
      <w:r w:rsidR="00542552">
        <w:rPr>
          <w:rFonts w:hint="cs"/>
          <w:rtl/>
        </w:rPr>
        <w:t xml:space="preserve"> </w:t>
      </w:r>
      <w:r w:rsidR="000635FC">
        <w:rPr>
          <w:rFonts w:hint="cs"/>
          <w:rtl/>
        </w:rPr>
        <w:t xml:space="preserve">  </w:t>
      </w:r>
    </w:p>
  </w:footnote>
  <w:footnote w:id="47">
    <w:p w14:paraId="675B5573" w14:textId="2F7B63CC" w:rsidR="00792039" w:rsidRDefault="00792039">
      <w:pPr>
        <w:pStyle w:val="FootnoteText"/>
      </w:pPr>
      <w:r>
        <w:rPr>
          <w:rStyle w:val="FootnoteReference"/>
        </w:rPr>
        <w:footnoteRef/>
      </w:r>
      <w:r>
        <w:rPr>
          <w:rtl/>
        </w:rPr>
        <w:t xml:space="preserve"> </w:t>
      </w:r>
      <w:r>
        <w:rPr>
          <w:rFonts w:hint="cs"/>
          <w:rtl/>
        </w:rPr>
        <w:t xml:space="preserve">המוחשיים </w:t>
      </w:r>
      <w:r w:rsidR="007449B7">
        <w:rPr>
          <w:rFonts w:hint="cs"/>
          <w:rtl/>
        </w:rPr>
        <w:t xml:space="preserve">(למשל </w:t>
      </w:r>
      <w:r>
        <w:rPr>
          <w:rFonts w:hint="cs"/>
          <w:rtl/>
        </w:rPr>
        <w:t>ראובן ושמעון</w:t>
      </w:r>
      <w:r w:rsidR="007449B7">
        <w:rPr>
          <w:rFonts w:hint="cs"/>
          <w:rtl/>
        </w:rPr>
        <w:t>)</w:t>
      </w:r>
      <w:r>
        <w:rPr>
          <w:rFonts w:hint="cs"/>
          <w:rtl/>
        </w:rPr>
        <w:t xml:space="preserve">. </w:t>
      </w:r>
    </w:p>
  </w:footnote>
  <w:footnote w:id="48">
    <w:p w14:paraId="2B87E85A" w14:textId="217644D8" w:rsidR="007449B7" w:rsidRDefault="007449B7">
      <w:pPr>
        <w:pStyle w:val="FootnoteText"/>
      </w:pPr>
      <w:r>
        <w:rPr>
          <w:rStyle w:val="FootnoteReference"/>
        </w:rPr>
        <w:footnoteRef/>
      </w:r>
      <w:r>
        <w:rPr>
          <w:rtl/>
        </w:rPr>
        <w:t xml:space="preserve"> </w:t>
      </w:r>
      <w:r>
        <w:rPr>
          <w:rFonts w:hint="cs"/>
          <w:rtl/>
        </w:rPr>
        <w:t xml:space="preserve">אוניברסלים, הם המין והסוג (למשל 'אדם' ו'חי'). </w:t>
      </w:r>
    </w:p>
  </w:footnote>
  <w:footnote w:id="49">
    <w:p w14:paraId="11AFDCFE" w14:textId="5075D103" w:rsidR="00667A76" w:rsidRDefault="00667A76">
      <w:pPr>
        <w:pStyle w:val="FootnoteText"/>
        <w:rPr>
          <w:rtl/>
        </w:rPr>
      </w:pPr>
      <w:r>
        <w:rPr>
          <w:rStyle w:val="FootnoteReference"/>
        </w:rPr>
        <w:footnoteRef/>
      </w:r>
      <w:r>
        <w:rPr>
          <w:rtl/>
        </w:rPr>
        <w:t xml:space="preserve"> </w:t>
      </w:r>
      <w:r>
        <w:rPr>
          <w:rFonts w:hint="cs"/>
          <w:rtl/>
        </w:rPr>
        <w:t>זה מה שכתב בהלכות יסודי התורה ד' ז':</w:t>
      </w:r>
    </w:p>
    <w:p w14:paraId="463A5C10" w14:textId="5B48D93E" w:rsidR="00667A76" w:rsidRDefault="00F055C8">
      <w:pPr>
        <w:pStyle w:val="FootnoteText"/>
        <w:rPr>
          <w:rtl/>
        </w:rPr>
      </w:pPr>
      <w:r>
        <w:rPr>
          <w:rtl/>
        </w:rPr>
        <w:t>"</w:t>
      </w:r>
      <w:r w:rsidR="00667A76" w:rsidRPr="00667A76">
        <w:rPr>
          <w:rtl/>
        </w:rPr>
        <w:t xml:space="preserve">אֶלָּא לֵב הָאָדָם </w:t>
      </w:r>
      <w:bookmarkStart w:id="34" w:name="_Hlk71813759"/>
      <w:r w:rsidR="00667A76" w:rsidRPr="00667A76">
        <w:rPr>
          <w:rtl/>
        </w:rPr>
        <w:t>הוּא שֶׁמְּחַלֵּק הַגּוּף הַנִּמְצָא בְּדַעְתּוֹ, וְיוֹדֵעַ שֶׁהוּא מְחֻבָּר מִגֹּלֶם וְצוּרָה</w:t>
      </w:r>
      <w:r>
        <w:rPr>
          <w:rtl/>
        </w:rPr>
        <w:t>"</w:t>
      </w:r>
      <w:bookmarkEnd w:id="34"/>
    </w:p>
    <w:p w14:paraId="51EA6914" w14:textId="1FFA7C6E" w:rsidR="00667A76" w:rsidRDefault="00667A76">
      <w:pPr>
        <w:pStyle w:val="FootnoteText"/>
      </w:pPr>
      <w:r>
        <w:rPr>
          <w:rFonts w:hint="cs"/>
          <w:rtl/>
        </w:rPr>
        <w:t xml:space="preserve">כח הדמיון והחושים מביאים מהחוץ את השגת הגוף החומרי המורכב מחומר וצורה, לפי תפישתם שהיא: </w:t>
      </w:r>
      <w:r w:rsidR="00F055C8">
        <w:rPr>
          <w:rtl/>
        </w:rPr>
        <w:t>"</w:t>
      </w:r>
      <w:r w:rsidRPr="00667A76">
        <w:rPr>
          <w:rtl/>
        </w:rPr>
        <w:t>לְעוֹלָם אֵין אַתָּה רוֹאֶה גֹּלֶם בְּלֹא צוּרָה אוֹ צוּרָה בְּלֹא גֹּלֶם</w:t>
      </w:r>
      <w:r w:rsidR="00F055C8">
        <w:rPr>
          <w:rtl/>
        </w:rPr>
        <w:t>"</w:t>
      </w:r>
      <w:r>
        <w:rPr>
          <w:rFonts w:hint="cs"/>
          <w:rtl/>
        </w:rPr>
        <w:t xml:space="preserve">. השכל מקבל את מה שהם הביאו לפניו, מתבונן בזה, ומשיג שיש בגוף החומרי </w:t>
      </w:r>
      <w:r w:rsidR="006935A5">
        <w:rPr>
          <w:rFonts w:hint="cs"/>
          <w:rtl/>
        </w:rPr>
        <w:t xml:space="preserve">צד שמשותף באופן כללי והוא הצורה, ויש צד שאינו משותף אלא בלעדי לגוף חומרי זה, והוא החומר. </w:t>
      </w:r>
      <w:r>
        <w:rPr>
          <w:rFonts w:hint="cs"/>
          <w:rtl/>
        </w:rPr>
        <w:t xml:space="preserve"> </w:t>
      </w:r>
    </w:p>
  </w:footnote>
  <w:footnote w:id="50">
    <w:p w14:paraId="21518571" w14:textId="59DFE737" w:rsidR="008A6044" w:rsidRDefault="008D4941">
      <w:pPr>
        <w:pStyle w:val="FootnoteText"/>
        <w:rPr>
          <w:rtl/>
        </w:rPr>
      </w:pPr>
      <w:r>
        <w:rPr>
          <w:rStyle w:val="FootnoteReference"/>
        </w:rPr>
        <w:footnoteRef/>
      </w:r>
      <w:r>
        <w:rPr>
          <w:rtl/>
        </w:rPr>
        <w:t xml:space="preserve"> </w:t>
      </w:r>
      <w:r>
        <w:rPr>
          <w:rFonts w:hint="cs"/>
          <w:rtl/>
        </w:rPr>
        <w:t>אדם רואה את הגופים החומריים ראובן ושמעון. בתחילת ההשגה, בדרך ש</w:t>
      </w:r>
      <w:r w:rsidR="00377A07">
        <w:rPr>
          <w:rFonts w:hint="cs"/>
          <w:rtl/>
        </w:rPr>
        <w:t>ילד</w:t>
      </w:r>
      <w:r>
        <w:rPr>
          <w:rFonts w:hint="cs"/>
          <w:rtl/>
        </w:rPr>
        <w:t xml:space="preserve"> משיג, מה שראובן הוא '</w:t>
      </w:r>
      <w:r w:rsidR="00096F34">
        <w:rPr>
          <w:rFonts w:hint="cs"/>
          <w:rtl/>
        </w:rPr>
        <w:t>חי מדבר</w:t>
      </w:r>
      <w:r>
        <w:rPr>
          <w:rFonts w:hint="cs"/>
          <w:rtl/>
        </w:rPr>
        <w:t xml:space="preserve">' הוא כמו מאפיין של ראובן, כמו </w:t>
      </w:r>
      <w:r w:rsidR="00377A07">
        <w:rPr>
          <w:rFonts w:hint="cs"/>
          <w:rtl/>
        </w:rPr>
        <w:t>שראובן יש לו מבטא צרפתי וחיוך נעים</w:t>
      </w:r>
      <w:r w:rsidR="008A6044">
        <w:rPr>
          <w:rFonts w:hint="cs"/>
          <w:rtl/>
        </w:rPr>
        <w:t xml:space="preserve"> וסבלנות</w:t>
      </w:r>
      <w:r w:rsidR="00377A07">
        <w:rPr>
          <w:rFonts w:hint="cs"/>
          <w:rtl/>
        </w:rPr>
        <w:t xml:space="preserve"> וגישה טובה לגידול צמחים וחוש הומור וככל כיוצא בזה. וכשהילד רואה את שמעון מה ששמעון הוא '</w:t>
      </w:r>
      <w:r w:rsidR="00096F34">
        <w:rPr>
          <w:rFonts w:hint="cs"/>
          <w:rtl/>
        </w:rPr>
        <w:t>חי מדבר</w:t>
      </w:r>
      <w:r w:rsidR="00377A07">
        <w:rPr>
          <w:rFonts w:hint="cs"/>
          <w:rtl/>
        </w:rPr>
        <w:t xml:space="preserve">' הוא כמו מאפיין שלו, כמו שהוא כעסן </w:t>
      </w:r>
      <w:r w:rsidR="008A6044">
        <w:rPr>
          <w:rFonts w:hint="cs"/>
          <w:rtl/>
        </w:rPr>
        <w:t xml:space="preserve">וחסר סבלנות </w:t>
      </w:r>
      <w:r w:rsidR="00377A07">
        <w:rPr>
          <w:rFonts w:hint="cs"/>
          <w:rtl/>
        </w:rPr>
        <w:t>ואוהב ספורט וגבוה וכל כיו</w:t>
      </w:r>
      <w:r w:rsidR="00F055C8">
        <w:rPr>
          <w:rtl/>
        </w:rPr>
        <w:t>"</w:t>
      </w:r>
      <w:r w:rsidR="00377A07">
        <w:rPr>
          <w:rFonts w:hint="cs"/>
          <w:rtl/>
        </w:rPr>
        <w:t xml:space="preserve">ב. כמו שהמזג של ראובן ושמעון </w:t>
      </w:r>
      <w:r w:rsidR="008A6044">
        <w:rPr>
          <w:rFonts w:hint="cs"/>
          <w:rtl/>
        </w:rPr>
        <w:t>מיוחד לכל אחד מהם, כך הילד תופש שמה שראובן הוא '</w:t>
      </w:r>
      <w:r w:rsidR="00096F34">
        <w:rPr>
          <w:rFonts w:hint="cs"/>
          <w:rtl/>
        </w:rPr>
        <w:t>חי מדבר</w:t>
      </w:r>
      <w:r w:rsidR="008A6044">
        <w:rPr>
          <w:rFonts w:hint="cs"/>
          <w:rtl/>
        </w:rPr>
        <w:t>' הוא באופן המיוחד לו ומה ששמעון הוא '</w:t>
      </w:r>
      <w:r w:rsidR="00096F34">
        <w:rPr>
          <w:rFonts w:hint="cs"/>
          <w:rtl/>
        </w:rPr>
        <w:t>חי מדבר</w:t>
      </w:r>
      <w:r w:rsidR="008A6044">
        <w:rPr>
          <w:rFonts w:hint="cs"/>
          <w:rtl/>
        </w:rPr>
        <w:t>' הוא באופן המיוחד לו.</w:t>
      </w:r>
      <w:r w:rsidR="00377A07">
        <w:rPr>
          <w:rFonts w:hint="cs"/>
          <w:rtl/>
        </w:rPr>
        <w:t xml:space="preserve"> </w:t>
      </w:r>
    </w:p>
    <w:p w14:paraId="0FDC4BE4" w14:textId="465EC269" w:rsidR="00E17735" w:rsidRDefault="008A6044" w:rsidP="00E17735">
      <w:pPr>
        <w:pStyle w:val="FootnoteText"/>
        <w:rPr>
          <w:rtl/>
        </w:rPr>
      </w:pPr>
      <w:r>
        <w:rPr>
          <w:rFonts w:hint="cs"/>
          <w:rtl/>
        </w:rPr>
        <w:t>זו תפישת כח הדמיון, כשהוא מביא אותה לפני השכל, השכל מתבונן היטב, ומבחין ש'</w:t>
      </w:r>
      <w:r w:rsidR="00096F34">
        <w:rPr>
          <w:rFonts w:hint="cs"/>
          <w:rtl/>
        </w:rPr>
        <w:t>חי מדבר</w:t>
      </w:r>
      <w:r>
        <w:rPr>
          <w:rFonts w:hint="cs"/>
          <w:rtl/>
        </w:rPr>
        <w:t>' הוא ענ</w:t>
      </w:r>
      <w:r w:rsidR="00096F34">
        <w:rPr>
          <w:rFonts w:hint="cs"/>
          <w:rtl/>
        </w:rPr>
        <w:t>י</w:t>
      </w:r>
      <w:r>
        <w:rPr>
          <w:rFonts w:hint="cs"/>
          <w:rtl/>
        </w:rPr>
        <w:t>ין</w:t>
      </w:r>
      <w:r w:rsidR="00096F34">
        <w:rPr>
          <w:rFonts w:hint="cs"/>
          <w:rtl/>
        </w:rPr>
        <w:t xml:space="preserve"> </w:t>
      </w:r>
      <w:r>
        <w:rPr>
          <w:rFonts w:hint="cs"/>
          <w:rtl/>
        </w:rPr>
        <w:t>שונה משאר המאפיינים של ראובן ושמעון. הוא משותף לשניהם, הם '</w:t>
      </w:r>
      <w:r w:rsidR="00096F34">
        <w:rPr>
          <w:rFonts w:hint="cs"/>
          <w:rtl/>
        </w:rPr>
        <w:t xml:space="preserve">חי מדבר' באותו אופן בדיוק. </w:t>
      </w:r>
    </w:p>
    <w:p w14:paraId="3C550DF6" w14:textId="57CDAF84" w:rsidR="00E17735" w:rsidRDefault="00E17735" w:rsidP="00E17735">
      <w:pPr>
        <w:pStyle w:val="FootnoteText"/>
        <w:rPr>
          <w:rtl/>
        </w:rPr>
      </w:pPr>
      <w:r>
        <w:rPr>
          <w:rFonts w:hint="cs"/>
          <w:rtl/>
        </w:rPr>
        <w:t xml:space="preserve">אחרי שהשכל לומד לראות את המהות שהיא 'חי מדבר' הוא יכול לנתק אותה מהמאפיינים המיוחדים לראובן או לשמעון, שאינם העצם, המהות, וכך לחדול מלראות יחידים חומריים אלא לראות את הצורה, וכך הוא עולה למדרגת שכל עיוני מופשט שלמד לראות צורות גם בלי הפשטה מגוף חומרי אלא במישרין. </w:t>
      </w:r>
    </w:p>
    <w:p w14:paraId="08D350F8" w14:textId="3A8B5B99" w:rsidR="00E17735" w:rsidRDefault="00E17735" w:rsidP="00E17735">
      <w:pPr>
        <w:pStyle w:val="FootnoteText"/>
        <w:rPr>
          <w:rtl/>
        </w:rPr>
      </w:pPr>
      <w:r>
        <w:rPr>
          <w:rFonts w:hint="cs"/>
          <w:rtl/>
        </w:rPr>
        <w:t>וכמו שכתב גם במורה נבוכים א' א'</w:t>
      </w:r>
      <w:r w:rsidR="0098775D">
        <w:rPr>
          <w:rtl/>
        </w:rPr>
        <w:fldChar w:fldCharType="begin"/>
      </w:r>
      <w:r w:rsidR="0098775D">
        <w:instrText xml:space="preserve"> XE "</w:instrText>
      </w:r>
      <w:r w:rsidR="0098775D" w:rsidRPr="002D3938">
        <w:rPr>
          <w:rFonts w:hint="cs"/>
          <w:rtl/>
        </w:rPr>
        <w:instrText>מורה נבוכים א' א'</w:instrText>
      </w:r>
      <w:r w:rsidR="0098775D">
        <w:instrText xml:space="preserve">" </w:instrText>
      </w:r>
      <w:r w:rsidR="0098775D">
        <w:rPr>
          <w:rtl/>
        </w:rPr>
        <w:fldChar w:fldCharType="end"/>
      </w:r>
      <w:r>
        <w:rPr>
          <w:rFonts w:hint="cs"/>
          <w:rtl/>
        </w:rPr>
        <w:t>:</w:t>
      </w:r>
    </w:p>
    <w:p w14:paraId="2AB8EEE9" w14:textId="364AF14B" w:rsidR="008D4941" w:rsidRDefault="00F055C8" w:rsidP="006F1A3D">
      <w:pPr>
        <w:pStyle w:val="FootnoteText"/>
      </w:pPr>
      <w:r>
        <w:rPr>
          <w:rtl/>
        </w:rPr>
        <w:t>"</w:t>
      </w:r>
      <w:r w:rsidR="00E17735" w:rsidRPr="00E17735">
        <w:rPr>
          <w:rtl/>
        </w:rPr>
        <w:t xml:space="preserve">וכאשר ייוחד האדם בעניין שהוא זר בו מאד, מה שאין כן בדבר מן הנמצאות מתחת גלגל הירח, והוא ההשגה השכלית אשר לא ישתמש בו חוש ולא מעשה גוף ולא יד ולא רגל, דמה אותה בהשגת הבורא </w:t>
      </w:r>
      <w:r w:rsidR="00E17735" w:rsidRPr="00C41AC7">
        <w:rPr>
          <w:b/>
          <w:bCs/>
          <w:rtl/>
        </w:rPr>
        <w:t>אשר אינה בכלי</w:t>
      </w:r>
      <w:r w:rsidR="00C41AC7" w:rsidRPr="00C41AC7">
        <w:rPr>
          <w:rFonts w:hint="cs"/>
          <w:rtl/>
        </w:rPr>
        <w:t xml:space="preserve"> </w:t>
      </w:r>
      <w:r w:rsidR="00C41AC7">
        <w:rPr>
          <w:rFonts w:hint="cs"/>
          <w:rtl/>
        </w:rPr>
        <w:t>[</w:t>
      </w:r>
      <w:r w:rsidR="00C41AC7" w:rsidRPr="00C41AC7">
        <w:rPr>
          <w:rFonts w:hint="cs"/>
          <w:rtl/>
        </w:rPr>
        <w:t>כלומר לא על ידי הפשטה מגוף חומרי</w:t>
      </w:r>
      <w:r w:rsidR="00C41AC7">
        <w:rPr>
          <w:rFonts w:hint="cs"/>
          <w:rtl/>
        </w:rPr>
        <w:t>]</w:t>
      </w:r>
      <w:r w:rsidR="00E17735" w:rsidRPr="00E17735">
        <w:rPr>
          <w:rtl/>
        </w:rPr>
        <w:t>, ואם אינו דמיון באמת, אבל לנראה מן הדעת תחילה. ונאמר באדם מפני זה העניין, ר</w:t>
      </w:r>
      <w:r>
        <w:rPr>
          <w:rtl/>
        </w:rPr>
        <w:t>"</w:t>
      </w:r>
      <w:r w:rsidR="00E17735" w:rsidRPr="00E17735">
        <w:rPr>
          <w:rtl/>
        </w:rPr>
        <w:t xml:space="preserve">ל מפני השכל האלוהי </w:t>
      </w:r>
      <w:r w:rsidR="00E17735" w:rsidRPr="00E17735">
        <w:rPr>
          <w:rtl/>
        </w:rPr>
        <w:t>המדובק בו, שהוא בצלם אלוהים ובדמותו</w:t>
      </w:r>
      <w:r>
        <w:rPr>
          <w:rtl/>
        </w:rPr>
        <w:t>"</w:t>
      </w:r>
    </w:p>
  </w:footnote>
  <w:footnote w:id="51">
    <w:p w14:paraId="6399D500" w14:textId="3E857C12" w:rsidR="006F1A3D" w:rsidRDefault="006F1A3D">
      <w:pPr>
        <w:pStyle w:val="FootnoteText"/>
      </w:pPr>
      <w:r>
        <w:rPr>
          <w:rStyle w:val="FootnoteReference"/>
        </w:rPr>
        <w:footnoteRef/>
      </w:r>
      <w:r>
        <w:rPr>
          <w:rtl/>
        </w:rPr>
        <w:t xml:space="preserve"> </w:t>
      </w:r>
      <w:r>
        <w:rPr>
          <w:rFonts w:hint="cs"/>
          <w:rtl/>
        </w:rPr>
        <w:t xml:space="preserve">היחיד </w:t>
      </w:r>
      <w:r w:rsidR="005A36CB">
        <w:rPr>
          <w:rFonts w:hint="cs"/>
          <w:rtl/>
        </w:rPr>
        <w:t xml:space="preserve">הפרטי </w:t>
      </w:r>
      <w:r>
        <w:rPr>
          <w:rFonts w:hint="cs"/>
          <w:rtl/>
        </w:rPr>
        <w:t>המוחשי והמין.</w:t>
      </w:r>
    </w:p>
  </w:footnote>
  <w:footnote w:id="52">
    <w:p w14:paraId="76DB95F9" w14:textId="26E51E2A" w:rsidR="005A36CB" w:rsidRDefault="005A36CB">
      <w:pPr>
        <w:pStyle w:val="FootnoteText"/>
      </w:pPr>
      <w:r>
        <w:rPr>
          <w:rStyle w:val="FootnoteReference"/>
        </w:rPr>
        <w:footnoteRef/>
      </w:r>
      <w:r>
        <w:rPr>
          <w:rtl/>
        </w:rPr>
        <w:t xml:space="preserve"> </w:t>
      </w:r>
      <w:r>
        <w:rPr>
          <w:rFonts w:hint="cs"/>
          <w:rtl/>
        </w:rPr>
        <w:t>הצורה.</w:t>
      </w:r>
    </w:p>
  </w:footnote>
  <w:footnote w:id="53">
    <w:p w14:paraId="23C4EF94" w14:textId="6A3CF733" w:rsidR="00E462E2" w:rsidRDefault="005A36CB">
      <w:pPr>
        <w:pStyle w:val="FootnoteText"/>
        <w:rPr>
          <w:rtl/>
        </w:rPr>
      </w:pPr>
      <w:r>
        <w:rPr>
          <w:rStyle w:val="FootnoteReference"/>
        </w:rPr>
        <w:footnoteRef/>
      </w:r>
      <w:r>
        <w:rPr>
          <w:rtl/>
        </w:rPr>
        <w:t xml:space="preserve"> </w:t>
      </w:r>
      <w:r w:rsidR="00E34900">
        <w:rPr>
          <w:rFonts w:hint="cs"/>
          <w:rtl/>
        </w:rPr>
        <w:t xml:space="preserve">מקודם נאמר שהיחיד המוחשי </w:t>
      </w:r>
      <w:r w:rsidR="00DD5E46">
        <w:rPr>
          <w:rFonts w:hint="cs"/>
          <w:rtl/>
        </w:rPr>
        <w:t>נודע</w:t>
      </w:r>
      <w:r w:rsidR="00E34900">
        <w:rPr>
          <w:rFonts w:hint="cs"/>
          <w:rtl/>
        </w:rPr>
        <w:t xml:space="preserve"> יותר מהצורה שלו, המין, כיוון שהתחלת הידיעה היא בכח הדמיון והחוש שמשיג קודם את היחיד המוחשי ורק אחר כך השכל </w:t>
      </w:r>
      <w:r w:rsidR="00240F18">
        <w:rPr>
          <w:rFonts w:hint="cs"/>
          <w:rtl/>
        </w:rPr>
        <w:t>משיג מהגוף</w:t>
      </w:r>
      <w:r w:rsidR="00E34900">
        <w:rPr>
          <w:rFonts w:hint="cs"/>
          <w:rtl/>
        </w:rPr>
        <w:t xml:space="preserve"> את הצורה</w:t>
      </w:r>
      <w:r w:rsidR="00240F18">
        <w:rPr>
          <w:rFonts w:hint="cs"/>
          <w:rtl/>
        </w:rPr>
        <w:t xml:space="preserve"> על ידי שמחלק הגוף הנמצא בדעתו ויודע שהוא מחובר מגולם וצורה. </w:t>
      </w:r>
      <w:r w:rsidR="00EE067A">
        <w:rPr>
          <w:rFonts w:hint="cs"/>
          <w:rtl/>
        </w:rPr>
        <w:t xml:space="preserve">אבל אם מסתכלים על הדבר עצמו, בלי להתחשב בכלים שנדרשו כדי להשיג אותו, המין </w:t>
      </w:r>
      <w:r w:rsidR="00DD5E46">
        <w:rPr>
          <w:rFonts w:hint="cs"/>
          <w:rtl/>
        </w:rPr>
        <w:t>נודע</w:t>
      </w:r>
      <w:r w:rsidR="00EE067A">
        <w:rPr>
          <w:rFonts w:hint="cs"/>
          <w:rtl/>
        </w:rPr>
        <w:t xml:space="preserve"> יותר מהיחיד המוחשי</w:t>
      </w:r>
      <w:r w:rsidR="00E462E2">
        <w:rPr>
          <w:rFonts w:hint="cs"/>
          <w:rtl/>
        </w:rPr>
        <w:t xml:space="preserve"> מצד הטבע</w:t>
      </w:r>
      <w:r w:rsidR="00EE067A">
        <w:rPr>
          <w:rFonts w:hint="cs"/>
          <w:rtl/>
        </w:rPr>
        <w:t>.</w:t>
      </w:r>
    </w:p>
    <w:p w14:paraId="666AACD4" w14:textId="384E38BC" w:rsidR="005A36CB" w:rsidRDefault="00E462E2" w:rsidP="004B052B">
      <w:pPr>
        <w:pStyle w:val="FootnoteText"/>
      </w:pPr>
      <w:r>
        <w:rPr>
          <w:rFonts w:hint="cs"/>
          <w:rtl/>
        </w:rPr>
        <w:t xml:space="preserve">כשהשווינו בין מין לסוג, אמרנו שמצד השכל הסוג </w:t>
      </w:r>
      <w:r w:rsidR="00DD5E46">
        <w:rPr>
          <w:rFonts w:hint="cs"/>
          <w:rtl/>
        </w:rPr>
        <w:t>נודע</w:t>
      </w:r>
      <w:r>
        <w:rPr>
          <w:rFonts w:hint="cs"/>
          <w:rtl/>
        </w:rPr>
        <w:t xml:space="preserve"> יותר כי הוא מופשט יותר מהמין, ומצד הטבע המין </w:t>
      </w:r>
      <w:r w:rsidR="00DD5E46">
        <w:rPr>
          <w:rFonts w:hint="cs"/>
          <w:rtl/>
        </w:rPr>
        <w:t>נודע</w:t>
      </w:r>
      <w:r>
        <w:rPr>
          <w:rFonts w:hint="cs"/>
          <w:rtl/>
        </w:rPr>
        <w:t xml:space="preserve"> יותר כי הוא מסוים יותר מהסוג, והטבע פירושו מציאות </w:t>
      </w:r>
      <w:r>
        <w:rPr>
          <w:rFonts w:hint="cs"/>
          <w:rtl/>
        </w:rPr>
        <w:t xml:space="preserve">מסויימת ומה שיותר מסוים </w:t>
      </w:r>
      <w:r w:rsidR="00DD5E46">
        <w:rPr>
          <w:rFonts w:hint="cs"/>
          <w:rtl/>
        </w:rPr>
        <w:t>נודע</w:t>
      </w:r>
      <w:r>
        <w:rPr>
          <w:rFonts w:hint="cs"/>
          <w:rtl/>
        </w:rPr>
        <w:t xml:space="preserve"> יותר מצד הטבע. לפי זה היה מקום לחשוב שמצד הטבע היחיד המוחשי יהיה </w:t>
      </w:r>
      <w:r w:rsidR="00DD5E46">
        <w:rPr>
          <w:rFonts w:hint="cs"/>
          <w:rtl/>
        </w:rPr>
        <w:t>נודע</w:t>
      </w:r>
      <w:r>
        <w:rPr>
          <w:rFonts w:hint="cs"/>
          <w:rtl/>
        </w:rPr>
        <w:t xml:space="preserve"> יותר כי הוא פחות מופשט, והוא המציאות כפי ההגדרה של </w:t>
      </w:r>
      <w:r w:rsidR="004B052B">
        <w:rPr>
          <w:rFonts w:hint="cs"/>
          <w:rtl/>
        </w:rPr>
        <w:t>'</w:t>
      </w:r>
      <w:r>
        <w:rPr>
          <w:rFonts w:hint="cs"/>
          <w:rtl/>
        </w:rPr>
        <w:t>טבע</w:t>
      </w:r>
      <w:r w:rsidR="004B052B">
        <w:rPr>
          <w:rFonts w:hint="cs"/>
          <w:rtl/>
        </w:rPr>
        <w:t>'</w:t>
      </w:r>
      <w:r>
        <w:rPr>
          <w:rFonts w:hint="cs"/>
          <w:rtl/>
        </w:rPr>
        <w:t xml:space="preserve">, </w:t>
      </w:r>
      <w:r w:rsidR="004B052B">
        <w:rPr>
          <w:rFonts w:hint="cs"/>
          <w:rtl/>
        </w:rPr>
        <w:t xml:space="preserve">שהיא חומר וצורה מאוחדים, ובכל זאת אומר כאן אבן סינא שהגוף בעצמו צורתו המינית </w:t>
      </w:r>
      <w:r w:rsidR="00DD5E46">
        <w:rPr>
          <w:rFonts w:hint="cs"/>
          <w:rtl/>
        </w:rPr>
        <w:t>נודעת</w:t>
      </w:r>
      <w:r w:rsidR="004B052B">
        <w:rPr>
          <w:rFonts w:hint="cs"/>
          <w:rtl/>
        </w:rPr>
        <w:t xml:space="preserve"> יותר מצד הטבע מאשר ידיעתו כיחיד מוחשי שמאוחד מחומר וצורה. </w:t>
      </w:r>
      <w:r>
        <w:rPr>
          <w:rFonts w:hint="cs"/>
          <w:rtl/>
        </w:rPr>
        <w:t xml:space="preserve"> </w:t>
      </w:r>
      <w:r w:rsidR="00EE067A">
        <w:rPr>
          <w:rFonts w:hint="cs"/>
          <w:rtl/>
        </w:rPr>
        <w:t xml:space="preserve"> </w:t>
      </w:r>
    </w:p>
  </w:footnote>
  <w:footnote w:id="54">
    <w:p w14:paraId="1E8A44D0" w14:textId="3A5F86B7" w:rsidR="002D1154" w:rsidRDefault="002D1154" w:rsidP="00FD3B8A">
      <w:pPr>
        <w:pStyle w:val="FootnoteText"/>
      </w:pPr>
      <w:r>
        <w:rPr>
          <w:rStyle w:val="FootnoteReference"/>
        </w:rPr>
        <w:footnoteRef/>
      </w:r>
      <w:r>
        <w:rPr>
          <w:rFonts w:hint="cs"/>
          <w:rtl/>
        </w:rPr>
        <w:t xml:space="preserve"> </w:t>
      </w:r>
      <w:r w:rsidR="00F055C8">
        <w:rPr>
          <w:rtl/>
        </w:rPr>
        <w:t>"</w:t>
      </w:r>
      <w:r>
        <w:rPr>
          <w:rFonts w:hint="cs"/>
          <w:rtl/>
        </w:rPr>
        <w:t>מציאותו של אדם</w:t>
      </w:r>
      <w:r w:rsidR="00F055C8">
        <w:rPr>
          <w:rtl/>
        </w:rPr>
        <w:t>"</w:t>
      </w:r>
      <w:r>
        <w:rPr>
          <w:rFonts w:hint="cs"/>
          <w:rtl/>
        </w:rPr>
        <w:t xml:space="preserve"> היא מציאותו של ראובן, </w:t>
      </w:r>
      <w:r w:rsidR="00F055C8">
        <w:rPr>
          <w:rtl/>
        </w:rPr>
        <w:t>"</w:t>
      </w:r>
      <w:r>
        <w:rPr>
          <w:rFonts w:hint="cs"/>
          <w:rtl/>
        </w:rPr>
        <w:t>ומה שבכללות כמוהו</w:t>
      </w:r>
      <w:r w:rsidR="00F055C8">
        <w:rPr>
          <w:rtl/>
        </w:rPr>
        <w:t>"</w:t>
      </w:r>
      <w:r>
        <w:rPr>
          <w:rFonts w:hint="cs"/>
          <w:rtl/>
        </w:rPr>
        <w:t xml:space="preserve"> הוא הצורה 'אדם' שהיא 'חי מדבר'. יש כאן עניין דק, כוונת הטבע במציאות היא היחיד המוחשי, אבל לא ככזה </w:t>
      </w:r>
      <w:r w:rsidR="00FD3B8A">
        <w:rPr>
          <w:rFonts w:hint="cs"/>
          <w:rtl/>
        </w:rPr>
        <w:t>בפני עצמו אלא כנושא את המציאות המשנית של הצורה. הצורה קיימת בטבע רק כנשענת על קיומו של הגוף המוחשי של היחיד, כקיום שהוא משני לקיומו של היחיד המוחשי כיוון שהוא מוכרח להישען עליו כדי להיות קיים, לכן יש לקיום של היחיד המוחשי ראשוניות ביחס לצורה, אבל המכוון בטבע הוא מציאותה של הצורה.</w:t>
      </w:r>
      <w:r w:rsidR="00927D82">
        <w:rPr>
          <w:rFonts w:hint="cs"/>
          <w:rtl/>
        </w:rPr>
        <w:t xml:space="preserve"> למשל אדם שרוכב על סוס, תנועת האדם קיימת רק כקיום משני שנשען על קיומה של תנועת הסוס, לכן גם ההשגה מתחילה בסוס, קודם משיגים שהסוס נע כי רואים אותו מהלך, ורק אחר כך מובן שהאדם שיושב על גב הסוס נע גם הוא. </w:t>
      </w:r>
      <w:r w:rsidR="00922004">
        <w:rPr>
          <w:rFonts w:hint="cs"/>
          <w:rtl/>
        </w:rPr>
        <w:t>מבחינה זו תנועת הסוס ידועה יותר, כי רואים את ההליכה שלו בבירור יותר ממה שהאדם שיושב עליו נע. אבל המכוון מצד הטבע, כלומר המציאות הטבעית, הוא תנועת האדם, ולכן כשרואים את ראובן מתקרב רכוב על סוסו אומרים הנה ראובן מגיע. במציאות הטבעית הדבר המכוון הוא ראובן ולכן הוא ה</w:t>
      </w:r>
      <w:r w:rsidR="00DD5E46">
        <w:rPr>
          <w:rFonts w:hint="cs"/>
          <w:rtl/>
        </w:rPr>
        <w:t>נודע</w:t>
      </w:r>
      <w:r w:rsidR="00922004">
        <w:rPr>
          <w:rFonts w:hint="cs"/>
          <w:rtl/>
        </w:rPr>
        <w:t xml:space="preserve"> יותר, המחשבה הראשונה היא שראובן מתקרב ולא שהסוס מתקרב.  </w:t>
      </w:r>
      <w:r w:rsidR="00927D82">
        <w:rPr>
          <w:rFonts w:hint="cs"/>
          <w:rtl/>
        </w:rPr>
        <w:t xml:space="preserve">  </w:t>
      </w:r>
      <w:r w:rsidR="00FD3B8A">
        <w:rPr>
          <w:rFonts w:hint="cs"/>
          <w:rtl/>
        </w:rPr>
        <w:t xml:space="preserve"> </w:t>
      </w:r>
      <w:r>
        <w:rPr>
          <w:rFonts w:hint="cs"/>
          <w:rtl/>
        </w:rPr>
        <w:t xml:space="preserve"> </w:t>
      </w:r>
      <w:r>
        <w:rPr>
          <w:rtl/>
        </w:rPr>
        <w:t xml:space="preserve"> </w:t>
      </w:r>
    </w:p>
  </w:footnote>
  <w:footnote w:id="55">
    <w:p w14:paraId="5CFD86A5" w14:textId="2B33BCB4" w:rsidR="00340D64" w:rsidRDefault="00340D64">
      <w:pPr>
        <w:pStyle w:val="FootnoteText"/>
        <w:rPr>
          <w:rtl/>
        </w:rPr>
      </w:pPr>
      <w:r>
        <w:rPr>
          <w:rStyle w:val="FootnoteReference"/>
        </w:rPr>
        <w:footnoteRef/>
      </w:r>
      <w:r>
        <w:rPr>
          <w:rtl/>
        </w:rPr>
        <w:t xml:space="preserve"> </w:t>
      </w:r>
      <w:r>
        <w:rPr>
          <w:rFonts w:hint="cs"/>
          <w:rtl/>
        </w:rPr>
        <w:t>החומר החמישי, שהוא החומר של גרמי השמיים,</w:t>
      </w:r>
      <w:r w:rsidR="00106811">
        <w:rPr>
          <w:rFonts w:hint="cs"/>
          <w:rtl/>
        </w:rPr>
        <w:t xml:space="preserve"> הוא נצחי, אין בו שינויי מזג והתהוות והפסד כמו שיש בחומר הארצי שמורכב מארבעת היסודות</w:t>
      </w:r>
      <w:r w:rsidR="00AA2985">
        <w:rPr>
          <w:rFonts w:hint="cs"/>
          <w:rtl/>
        </w:rPr>
        <w:t xml:space="preserve">, לכן אין צורך בריבוי יחידים באופן שכל אחד לפני שימות יוליד אחר וכך ישמרו על נצחיות התגלות המין. כמו כן </w:t>
      </w:r>
      <w:r w:rsidR="00106811">
        <w:rPr>
          <w:rFonts w:hint="cs"/>
          <w:rtl/>
        </w:rPr>
        <w:t>ה</w:t>
      </w:r>
      <w:r w:rsidR="00AA2985">
        <w:rPr>
          <w:rFonts w:hint="cs"/>
          <w:rtl/>
        </w:rPr>
        <w:t>חומר החמישי</w:t>
      </w:r>
      <w:r w:rsidR="00106811">
        <w:rPr>
          <w:rFonts w:hint="cs"/>
          <w:rtl/>
        </w:rPr>
        <w:t xml:space="preserve"> מגלה את הצורה באופן שלם, מה שאין כן החומר הארצי המורכב שמגלה את הצורה רק באופן חלקי, הצורה משתקפת בו כמו מבעד לזכוכית עכורה ופגומה. </w:t>
      </w:r>
      <w:r w:rsidR="00AA2985">
        <w:rPr>
          <w:rFonts w:hint="cs"/>
          <w:rtl/>
        </w:rPr>
        <w:t>גם מסיבה זו בעולם הארצי יש צורך ביותר מיחיד אחד שיגלה את צורת המין</w:t>
      </w:r>
      <w:r>
        <w:rPr>
          <w:rFonts w:hint="cs"/>
          <w:rtl/>
        </w:rPr>
        <w:t xml:space="preserve"> </w:t>
      </w:r>
      <w:r w:rsidR="00AA2985">
        <w:rPr>
          <w:rFonts w:hint="cs"/>
          <w:rtl/>
        </w:rPr>
        <w:t xml:space="preserve">כי מה שלא מתגלה ביחיד זה יתגלה </w:t>
      </w:r>
      <w:r w:rsidR="00A03AB1">
        <w:rPr>
          <w:rFonts w:hint="cs"/>
          <w:rtl/>
        </w:rPr>
        <w:t xml:space="preserve">ביחיד </w:t>
      </w:r>
      <w:r w:rsidR="00AA2985">
        <w:rPr>
          <w:rFonts w:hint="cs"/>
          <w:rtl/>
        </w:rPr>
        <w:t>אחר</w:t>
      </w:r>
      <w:r w:rsidR="00A03AB1">
        <w:rPr>
          <w:rFonts w:hint="cs"/>
          <w:rtl/>
        </w:rPr>
        <w:t>.</w:t>
      </w:r>
      <w:r w:rsidR="00C41D04">
        <w:t xml:space="preserve"> </w:t>
      </w:r>
      <w:r w:rsidR="00C41D04">
        <w:rPr>
          <w:rFonts w:hint="cs"/>
          <w:rtl/>
        </w:rPr>
        <w:t xml:space="preserve">הטבע לא עושה מה שאין בו צורך כי הוא גילוי של האלוהות על ידי גילוי החכמה האלוהית שאין בה חסר ויתר. </w:t>
      </w:r>
      <w:r w:rsidR="00C41D04">
        <w:t xml:space="preserve"> </w:t>
      </w:r>
    </w:p>
    <w:p w14:paraId="40F34254" w14:textId="4F44688E" w:rsidR="00A95CD1" w:rsidRDefault="00A95CD1" w:rsidP="002B7822">
      <w:pPr>
        <w:pStyle w:val="FootnoteText"/>
        <w:rPr>
          <w:rtl/>
        </w:rPr>
      </w:pPr>
    </w:p>
    <w:p w14:paraId="0E6BF9D6" w14:textId="4DDE1D56" w:rsidR="00A95CD1" w:rsidRPr="002B1FB7" w:rsidRDefault="00A95CD1" w:rsidP="002B1FB7">
      <w:pPr>
        <w:rPr>
          <w:sz w:val="32"/>
          <w:szCs w:val="32"/>
          <w:rtl/>
        </w:rPr>
      </w:pPr>
      <w:bookmarkStart w:id="35" w:name="הכולל_הראשוני"/>
      <w:r w:rsidRPr="002B1FB7">
        <w:rPr>
          <w:rFonts w:hint="cs"/>
          <w:sz w:val="32"/>
          <w:szCs w:val="32"/>
          <w:rtl/>
        </w:rPr>
        <w:t>ביאור</w:t>
      </w:r>
      <w:bookmarkEnd w:id="35"/>
      <w:r w:rsidRPr="002B1FB7">
        <w:rPr>
          <w:rFonts w:hint="cs"/>
          <w:sz w:val="32"/>
          <w:szCs w:val="32"/>
          <w:rtl/>
        </w:rPr>
        <w:t xml:space="preserve"> כללי מתחילת הפרק. המבט הארצי, המבט השמיימי</w:t>
      </w:r>
      <w:r w:rsidR="00B63267" w:rsidRPr="002B1FB7">
        <w:rPr>
          <w:rFonts w:hint="cs"/>
          <w:sz w:val="32"/>
          <w:szCs w:val="32"/>
          <w:rtl/>
        </w:rPr>
        <w:t xml:space="preserve"> והכולל ה</w:t>
      </w:r>
      <w:r w:rsidR="002B7822" w:rsidRPr="002B1FB7">
        <w:rPr>
          <w:rFonts w:hint="cs"/>
          <w:sz w:val="32"/>
          <w:szCs w:val="32"/>
          <w:rtl/>
        </w:rPr>
        <w:t>ראשונ</w:t>
      </w:r>
      <w:r w:rsidR="00B63267" w:rsidRPr="002B1FB7">
        <w:rPr>
          <w:rFonts w:hint="cs"/>
          <w:sz w:val="32"/>
          <w:szCs w:val="32"/>
          <w:rtl/>
        </w:rPr>
        <w:t>י</w:t>
      </w:r>
      <w:r w:rsidR="00A3708A">
        <w:rPr>
          <w:sz w:val="32"/>
          <w:szCs w:val="32"/>
          <w:rtl/>
        </w:rPr>
        <w:fldChar w:fldCharType="begin"/>
      </w:r>
      <w:r w:rsidR="00A3708A">
        <w:instrText xml:space="preserve"> XE "</w:instrText>
      </w:r>
      <w:r w:rsidR="00A3708A" w:rsidRPr="00431B62">
        <w:rPr>
          <w:rFonts w:hint="cs"/>
          <w:sz w:val="32"/>
          <w:szCs w:val="32"/>
          <w:rtl/>
        </w:rPr>
        <w:instrText>ביאור כללי מתחילת הפרק. המבט הארצי, המבט השמיימי והכולל הראשוני</w:instrText>
      </w:r>
      <w:r w:rsidR="00A3708A">
        <w:instrText xml:space="preserve">" </w:instrText>
      </w:r>
      <w:r w:rsidR="00A3708A">
        <w:rPr>
          <w:sz w:val="32"/>
          <w:szCs w:val="32"/>
          <w:rtl/>
        </w:rPr>
        <w:fldChar w:fldCharType="end"/>
      </w:r>
      <w:r w:rsidR="00B63267" w:rsidRPr="002B1FB7">
        <w:rPr>
          <w:rFonts w:hint="cs"/>
          <w:sz w:val="32"/>
          <w:szCs w:val="32"/>
          <w:rtl/>
        </w:rPr>
        <w:t xml:space="preserve"> </w:t>
      </w:r>
      <w:r w:rsidR="002B7822" w:rsidRPr="002B1FB7">
        <w:rPr>
          <w:rFonts w:hint="cs"/>
          <w:sz w:val="32"/>
          <w:szCs w:val="32"/>
          <w:rtl/>
        </w:rPr>
        <w:t>(</w:t>
      </w:r>
      <w:bookmarkStart w:id="36" w:name="_Hlk96871081"/>
      <w:bookmarkStart w:id="37" w:name="_Hlk72173142"/>
      <w:r w:rsidR="002B1FB7" w:rsidRPr="002B1FB7">
        <w:rPr>
          <w:sz w:val="32"/>
          <w:szCs w:val="32"/>
        </w:rPr>
        <w:t>universal</w:t>
      </w:r>
      <w:r w:rsidR="002B1FB7" w:rsidRPr="002B1FB7">
        <w:rPr>
          <w:rFonts w:hint="cs"/>
          <w:sz w:val="32"/>
          <w:szCs w:val="32"/>
          <w:rtl/>
        </w:rPr>
        <w:t xml:space="preserve"> </w:t>
      </w:r>
      <w:r w:rsidR="002B7822" w:rsidRPr="002B1FB7">
        <w:rPr>
          <w:sz w:val="32"/>
          <w:szCs w:val="32"/>
        </w:rPr>
        <w:t>primitive</w:t>
      </w:r>
      <w:bookmarkEnd w:id="36"/>
      <w:r w:rsidR="002B1FB7" w:rsidRPr="002B1FB7">
        <w:rPr>
          <w:rFonts w:hint="cs"/>
          <w:sz w:val="32"/>
          <w:szCs w:val="32"/>
          <w:rtl/>
        </w:rPr>
        <w:t xml:space="preserve"> </w:t>
      </w:r>
      <w:bookmarkStart w:id="38" w:name="primitive_universal"/>
      <w:bookmarkEnd w:id="38"/>
      <w:r w:rsidR="002B7822" w:rsidRPr="002B1FB7">
        <w:rPr>
          <w:rFonts w:hint="cs"/>
          <w:sz w:val="32"/>
          <w:szCs w:val="32"/>
          <w:rtl/>
        </w:rPr>
        <w:t>.</w:t>
      </w:r>
      <w:r w:rsidR="002B7822" w:rsidRPr="002B1FB7">
        <w:rPr>
          <w:sz w:val="32"/>
          <w:szCs w:val="32"/>
        </w:rPr>
        <w:t>prôton katholou</w:t>
      </w:r>
      <w:r w:rsidR="002B7822" w:rsidRPr="002B1FB7">
        <w:rPr>
          <w:rFonts w:hint="cs"/>
          <w:sz w:val="32"/>
          <w:szCs w:val="32"/>
        </w:rPr>
        <w:t xml:space="preserve"> </w:t>
      </w:r>
      <w:r w:rsidR="002B7822" w:rsidRPr="002B1FB7">
        <w:rPr>
          <w:rFonts w:hint="cs"/>
          <w:sz w:val="32"/>
          <w:szCs w:val="32"/>
          <w:rtl/>
        </w:rPr>
        <w:t>)</w:t>
      </w:r>
      <w:r w:rsidRPr="002B1FB7">
        <w:rPr>
          <w:rFonts w:hint="cs"/>
          <w:sz w:val="32"/>
          <w:szCs w:val="32"/>
          <w:rtl/>
        </w:rPr>
        <w:t>.</w:t>
      </w:r>
    </w:p>
    <w:bookmarkEnd w:id="37"/>
    <w:p w14:paraId="6FE22916" w14:textId="2190EE67" w:rsidR="00A95CD1" w:rsidRDefault="00EF0733" w:rsidP="002B7822">
      <w:pPr>
        <w:pStyle w:val="FootnoteText"/>
        <w:rPr>
          <w:rtl/>
        </w:rPr>
      </w:pPr>
      <w:r>
        <w:rPr>
          <w:rFonts w:hint="cs"/>
          <w:rtl/>
        </w:rPr>
        <w:t>לשון אריסטו בפיזיקה א' א' שה</w:t>
      </w:r>
      <w:r w:rsidR="00F072D3">
        <w:rPr>
          <w:rFonts w:hint="cs"/>
          <w:rtl/>
        </w:rPr>
        <w:t>י</w:t>
      </w:r>
      <w:r>
        <w:rPr>
          <w:rFonts w:hint="cs"/>
          <w:rtl/>
        </w:rPr>
        <w:t>א היסוד של דברי אבן סינא כאן</w:t>
      </w:r>
      <w:r w:rsidR="00D846F6">
        <w:rPr>
          <w:rFonts w:hint="cs"/>
          <w:rtl/>
        </w:rPr>
        <w:t xml:space="preserve"> (תרגום י. לנדא)</w:t>
      </w:r>
      <w:r>
        <w:rPr>
          <w:rFonts w:hint="cs"/>
          <w:rtl/>
        </w:rPr>
        <w:t>:</w:t>
      </w:r>
    </w:p>
    <w:p w14:paraId="3D72570D" w14:textId="47774630" w:rsidR="00D846F6" w:rsidRDefault="00F055C8" w:rsidP="00D846F6">
      <w:pPr>
        <w:pStyle w:val="FootnoteText"/>
        <w:rPr>
          <w:rtl/>
        </w:rPr>
      </w:pPr>
      <w:r>
        <w:rPr>
          <w:rtl/>
        </w:rPr>
        <w:t>"</w:t>
      </w:r>
      <w:r w:rsidR="00D846F6">
        <w:rPr>
          <w:rtl/>
        </w:rPr>
        <w:t>מאחר שבכל חקירה שיש לה התחלות או סיבות או יסודות, נובעות הידיעה וההכרה מגילוי אלה</w:t>
      </w:r>
      <w:r w:rsidR="00D846F6">
        <w:rPr>
          <w:rFonts w:hint="cs"/>
          <w:rtl/>
        </w:rPr>
        <w:t xml:space="preserve"> - </w:t>
      </w:r>
      <w:r w:rsidR="00D846F6">
        <w:rPr>
          <w:rtl/>
        </w:rPr>
        <w:t xml:space="preserve">שהרי כאשר נגלה את הסיבות הראשונות ואת ההתחלות הראשונות ונלך עד היסודות, רק אז חושבים אנו שאנו מבינים כל אחד מן הדברים - ברור שגם בהכרת הטבע יש לנסות ולהגדיר תחילה את מה שנוגע להתחלות. </w:t>
      </w:r>
    </w:p>
    <w:p w14:paraId="7B10BC82" w14:textId="77777777" w:rsidR="00D846F6" w:rsidRDefault="00D846F6" w:rsidP="00D846F6">
      <w:pPr>
        <w:pStyle w:val="FootnoteText"/>
        <w:rPr>
          <w:rtl/>
        </w:rPr>
      </w:pPr>
      <w:r>
        <w:rPr>
          <w:rtl/>
        </w:rPr>
        <w:t>הדרך הטבעית היא ללכת מן המוכר יותר והברור יותר לנו אל הברור יותר והמוכר יותר על פי הטבע, כי המוכר לנו והמוכר במוחלט אינם זהים. לכן מן ההכרח להתקדם באופן זה: מן הפחות ברור על פי הטבע אך הברור יותר לנו אל הברור יותר והמוכר</w:t>
      </w:r>
      <w:r>
        <w:rPr>
          <w:rFonts w:hint="cs"/>
          <w:rtl/>
        </w:rPr>
        <w:t xml:space="preserve"> </w:t>
      </w:r>
      <w:r>
        <w:rPr>
          <w:rtl/>
        </w:rPr>
        <w:t>יותר על פי הטבע.</w:t>
      </w:r>
    </w:p>
    <w:p w14:paraId="289CECC8" w14:textId="77777777" w:rsidR="006B3E5C" w:rsidRDefault="00D846F6" w:rsidP="006B3E5C">
      <w:pPr>
        <w:pStyle w:val="FootnoteText"/>
        <w:rPr>
          <w:rtl/>
        </w:rPr>
      </w:pPr>
      <w:r>
        <w:rPr>
          <w:rtl/>
        </w:rPr>
        <w:t>בתחילה גלויים וברורים יותר לנו הדברים המעורבים, אך מהם - לאלה המנתחים אותם - נעשים אחר כך מוכרים היסודות וההתחלות. לכן יש להתקדם מן הדברים הכלליים אל הדברים הפרטיים</w:t>
      </w:r>
      <w:bookmarkStart w:id="39" w:name="_Hlk72171607"/>
      <w:r>
        <w:rPr>
          <w:rtl/>
        </w:rPr>
        <w:t>,</w:t>
      </w:r>
      <w:r w:rsidRPr="0061020E">
        <w:rPr>
          <w:b/>
          <w:bCs/>
          <w:rtl/>
        </w:rPr>
        <w:t xml:space="preserve"> כי השלם מוכר יותר על פי התפיסה החושנית, והכללי הוא איזה שלם</w:t>
      </w:r>
      <w:bookmarkEnd w:id="39"/>
      <w:r>
        <w:rPr>
          <w:rtl/>
        </w:rPr>
        <w:t xml:space="preserve">, שהרי הכללי כולל בתוכו דברים רבים </w:t>
      </w:r>
      <w:r w:rsidR="00FF1E80">
        <w:rPr>
          <w:rFonts w:hint="cs"/>
          <w:rtl/>
        </w:rPr>
        <w:t>בת</w:t>
      </w:r>
      <w:r>
        <w:rPr>
          <w:rtl/>
        </w:rPr>
        <w:t xml:space="preserve">ור חלקים. </w:t>
      </w:r>
    </w:p>
    <w:p w14:paraId="0A6206DC" w14:textId="4DE88666" w:rsidR="00EF0733" w:rsidRDefault="00D846F6" w:rsidP="006B3E5C">
      <w:pPr>
        <w:pStyle w:val="FootnoteText"/>
      </w:pPr>
      <w:r>
        <w:rPr>
          <w:rtl/>
        </w:rPr>
        <w:t>מבחינה מסוימת דבר זה עצמו קורה לשמות ביחס</w:t>
      </w:r>
      <w:r w:rsidR="006B3E5C">
        <w:rPr>
          <w:rFonts w:hint="cs"/>
          <w:rtl/>
        </w:rPr>
        <w:t xml:space="preserve"> </w:t>
      </w:r>
      <w:r>
        <w:rPr>
          <w:rtl/>
        </w:rPr>
        <w:t>להגדרה, כי השם מציין שלא במוגדר</w:t>
      </w:r>
      <w:r w:rsidR="006B3E5C">
        <w:rPr>
          <w:rFonts w:hint="cs"/>
          <w:rtl/>
        </w:rPr>
        <w:t xml:space="preserve"> איזה שלם (מעגל למשל)</w:t>
      </w:r>
      <w:r>
        <w:rPr>
          <w:rtl/>
        </w:rPr>
        <w:t xml:space="preserve"> בעוד שהגדרתו מחלקת לפרטים. ואף הילדים </w:t>
      </w:r>
      <w:r w:rsidR="006B3E5C">
        <w:rPr>
          <w:rFonts w:hint="cs"/>
          <w:rtl/>
        </w:rPr>
        <w:t>מכנים בתחילה את</w:t>
      </w:r>
      <w:r>
        <w:rPr>
          <w:rtl/>
        </w:rPr>
        <w:t xml:space="preserve"> כל הגברים 'אבא' ואת כל הנשים 'אימא</w:t>
      </w:r>
      <w:r w:rsidR="006B3E5C">
        <w:rPr>
          <w:rFonts w:hint="cs"/>
          <w:rtl/>
        </w:rPr>
        <w:t>'</w:t>
      </w:r>
      <w:r>
        <w:rPr>
          <w:rtl/>
        </w:rPr>
        <w:t xml:space="preserve"> ורק</w:t>
      </w:r>
      <w:r w:rsidR="006B3E5C">
        <w:rPr>
          <w:rFonts w:hint="cs"/>
          <w:rtl/>
        </w:rPr>
        <w:t xml:space="preserve"> </w:t>
      </w:r>
      <w:r w:rsidR="006B3E5C" w:rsidRPr="006B3E5C">
        <w:rPr>
          <w:rtl/>
        </w:rPr>
        <w:t>אחר כך מבחינים</w:t>
      </w:r>
      <w:r w:rsidR="006B3E5C">
        <w:rPr>
          <w:rFonts w:hint="cs"/>
          <w:rtl/>
        </w:rPr>
        <w:t xml:space="preserve"> </w:t>
      </w:r>
      <w:r>
        <w:rPr>
          <w:rtl/>
        </w:rPr>
        <w:t>בכל אחד ואחד מאלה.</w:t>
      </w:r>
      <w:r w:rsidR="00F055C8">
        <w:rPr>
          <w:rtl/>
        </w:rPr>
        <w:t>"</w:t>
      </w:r>
    </w:p>
    <w:p w14:paraId="0BB27210" w14:textId="037CF3E7" w:rsidR="004B540C" w:rsidRDefault="004B540C" w:rsidP="006B3E5C">
      <w:pPr>
        <w:pStyle w:val="FootnoteText"/>
      </w:pPr>
    </w:p>
    <w:p w14:paraId="6BA5A62E" w14:textId="5988DC08" w:rsidR="004B540C" w:rsidRDefault="004B540C" w:rsidP="006B3E5C">
      <w:pPr>
        <w:pStyle w:val="FootnoteText"/>
        <w:rPr>
          <w:rtl/>
        </w:rPr>
      </w:pPr>
      <w:r>
        <w:rPr>
          <w:rFonts w:hint="cs"/>
          <w:rtl/>
        </w:rPr>
        <w:t xml:space="preserve">יש מוסכמה </w:t>
      </w:r>
      <w:r w:rsidR="005A404A">
        <w:rPr>
          <w:rFonts w:hint="cs"/>
          <w:rtl/>
        </w:rPr>
        <w:t xml:space="preserve">מוטעית </w:t>
      </w:r>
      <w:r>
        <w:rPr>
          <w:rFonts w:hint="cs"/>
          <w:rtl/>
        </w:rPr>
        <w:t>כאילו לפי אפלטון יש מציאות ריאלית לאידיאות (הצורות) המופשטות, ולפי אריסטו</w:t>
      </w:r>
      <w:r w:rsidR="00F8149F">
        <w:rPr>
          <w:rtl/>
        </w:rPr>
        <w:fldChar w:fldCharType="begin"/>
      </w:r>
      <w:r w:rsidR="00F8149F">
        <w:instrText xml:space="preserve"> XE "</w:instrText>
      </w:r>
      <w:r w:rsidR="00F8149F" w:rsidRPr="00061F08">
        <w:rPr>
          <w:rFonts w:hint="cs"/>
          <w:rtl/>
        </w:rPr>
        <w:instrText>אריסטו</w:instrText>
      </w:r>
      <w:r w:rsidR="00F8149F" w:rsidRPr="00061F08">
        <w:rPr>
          <w:rtl/>
        </w:rPr>
        <w:instrText>:</w:instrText>
      </w:r>
      <w:r w:rsidR="00F8149F" w:rsidRPr="00061F08">
        <w:rPr>
          <w:rFonts w:hint="cs"/>
          <w:rtl/>
        </w:rPr>
        <w:instrText>מקורות על קיום עצם לא חומרי</w:instrText>
      </w:r>
      <w:r w:rsidR="00F8149F">
        <w:instrText xml:space="preserve">" </w:instrText>
      </w:r>
      <w:r w:rsidR="00F8149F">
        <w:rPr>
          <w:rtl/>
        </w:rPr>
        <w:fldChar w:fldCharType="end"/>
      </w:r>
      <w:r>
        <w:rPr>
          <w:rFonts w:hint="cs"/>
          <w:rtl/>
        </w:rPr>
        <w:t xml:space="preserve"> האידיאות המופשטות קיימות רק כשהן מאוחדות עם גוף מוחשי. </w:t>
      </w:r>
    </w:p>
    <w:p w14:paraId="7C8E0E5B" w14:textId="679A2C3C" w:rsidR="00A81EEB" w:rsidRDefault="004B540C" w:rsidP="006B3E5C">
      <w:pPr>
        <w:pStyle w:val="FootnoteText"/>
        <w:rPr>
          <w:rtl/>
        </w:rPr>
      </w:pPr>
      <w:r>
        <w:rPr>
          <w:rFonts w:hint="cs"/>
          <w:rtl/>
        </w:rPr>
        <w:t>במטאפיזיקה למבדא מפרק ו' אריסטו מבאר שיש ישים שיש להם גוף חומרי ויש ישים שאין להם גוף חומרי. בפרק ח' שם מבואר שלא רק לאלוה אין גוף חומרי אלא גם לשכלים הנפרדים</w:t>
      </w:r>
      <w:r w:rsidR="00C708D1">
        <w:rPr>
          <w:rFonts w:hint="cs"/>
          <w:rtl/>
        </w:rPr>
        <w:t xml:space="preserve"> המרובים</w:t>
      </w:r>
      <w:r>
        <w:rPr>
          <w:rFonts w:hint="cs"/>
          <w:rtl/>
        </w:rPr>
        <w:t xml:space="preserve"> (מה שכתב שם בסוף הפרק שכל שכל נפרד הוא אלוהות בפני עצמה, זה בלי שום ספק </w:t>
      </w:r>
      <w:r w:rsidR="00575679">
        <w:rPr>
          <w:rFonts w:hint="cs"/>
          <w:rtl/>
        </w:rPr>
        <w:t>לא דעת אריסטו, אפשר שאולץ לזה או שזו תוספת מאוחרת</w:t>
      </w:r>
      <w:r w:rsidR="00C708D1">
        <w:rPr>
          <w:rFonts w:hint="cs"/>
          <w:rtl/>
        </w:rPr>
        <w:t>, והסגנון הלשוני של אותה תוספת אינו סגנונו של המטאפיזיקה למבדא כלל</w:t>
      </w:r>
      <w:r w:rsidR="00575679">
        <w:rPr>
          <w:rFonts w:hint="cs"/>
          <w:rtl/>
        </w:rPr>
        <w:t>. בכמה מקומות במטאפיזיקה למבדא כתב בפירוש שהאלוה הוא אחד</w:t>
      </w:r>
      <w:r w:rsidR="00B7238D">
        <w:rPr>
          <w:rFonts w:hint="cs"/>
          <w:rtl/>
        </w:rPr>
        <w:t>, וכן הוא הניסוח הנמלץ של סיום מטאפיזיקה למבדא</w:t>
      </w:r>
      <w:r w:rsidR="00575679">
        <w:rPr>
          <w:rFonts w:hint="cs"/>
          <w:rtl/>
        </w:rPr>
        <w:t>,</w:t>
      </w:r>
      <w:r w:rsidR="00C708D1">
        <w:rPr>
          <w:rFonts w:hint="cs"/>
          <w:rtl/>
        </w:rPr>
        <w:t xml:space="preserve"> והאחדות של המניע הראשון או סיבת הסיבות היא יסוד שיטתו בכל הנושאים המרכזיים,</w:t>
      </w:r>
      <w:r w:rsidR="00575679">
        <w:rPr>
          <w:rFonts w:hint="cs"/>
          <w:rtl/>
        </w:rPr>
        <w:t xml:space="preserve"> ובמקום אחר הארכתי). </w:t>
      </w:r>
      <w:bookmarkStart w:id="40" w:name="_Hlk99410324"/>
      <w:r w:rsidR="00B669CA">
        <w:rPr>
          <w:rFonts w:hint="cs"/>
          <w:rtl/>
        </w:rPr>
        <w:t>ועיין ביותר במטאפיזיקה למבדא פרק י' ובע</w:t>
      </w:r>
      <w:r w:rsidR="00987027">
        <w:rPr>
          <w:rFonts w:hint="cs"/>
          <w:rtl/>
        </w:rPr>
        <w:t>יקר בסיום הפרק</w:t>
      </w:r>
      <w:r w:rsidR="00B669CA">
        <w:rPr>
          <w:rFonts w:hint="cs"/>
          <w:rtl/>
        </w:rPr>
        <w:t xml:space="preserve">. </w:t>
      </w:r>
    </w:p>
    <w:bookmarkEnd w:id="40"/>
    <w:p w14:paraId="37E06E36" w14:textId="6A710506" w:rsidR="00F92B94" w:rsidRDefault="00F92B94" w:rsidP="006B3E5C">
      <w:pPr>
        <w:pStyle w:val="FootnoteText"/>
        <w:rPr>
          <w:rtl/>
        </w:rPr>
      </w:pPr>
      <w:r w:rsidRPr="00F92B94">
        <w:rPr>
          <w:rtl/>
        </w:rPr>
        <w:t xml:space="preserve">ועי' במטאפיזיקה למבדא פרק א' (1069א) </w:t>
      </w:r>
      <w:r w:rsidR="00F055C8">
        <w:rPr>
          <w:rtl/>
        </w:rPr>
        <w:t>"</w:t>
      </w:r>
      <w:r w:rsidRPr="00F92B94">
        <w:rPr>
          <w:rtl/>
        </w:rPr>
        <w:t>אמנם רוצים יותר בני דורנו לקבוע כעצמים את הדברים הכוללים</w:t>
      </w:r>
      <w:r w:rsidR="00F055C8">
        <w:rPr>
          <w:rtl/>
        </w:rPr>
        <w:t>"</w:t>
      </w:r>
      <w:r w:rsidRPr="00F92B94">
        <w:rPr>
          <w:rtl/>
        </w:rPr>
        <w:t xml:space="preserve">, ושם: </w:t>
      </w:r>
      <w:r w:rsidR="00F055C8">
        <w:rPr>
          <w:rtl/>
        </w:rPr>
        <w:t>"</w:t>
      </w:r>
      <w:r w:rsidRPr="00F92B94">
        <w:rPr>
          <w:rtl/>
        </w:rPr>
        <w:t>האחר הוא בלתי ניתן להתנועע</w:t>
      </w:r>
      <w:r w:rsidR="00F055C8">
        <w:rPr>
          <w:rtl/>
        </w:rPr>
        <w:t>"</w:t>
      </w:r>
      <w:r w:rsidRPr="00F92B94">
        <w:rPr>
          <w:rtl/>
        </w:rPr>
        <w:t>, ושם בסיום פרק א' שהעצם האחר שייך לחקירה ממין אחר  ועיין עוד שם סמוך לסוף פרק ג' על הישארות הנפש.</w:t>
      </w:r>
      <w:r w:rsidR="009A06EA">
        <w:t xml:space="preserve"> </w:t>
      </w:r>
    </w:p>
    <w:p w14:paraId="4AEFD717" w14:textId="09E7E9AF" w:rsidR="004B540C" w:rsidRDefault="00165CD9" w:rsidP="00D05511">
      <w:pPr>
        <w:pStyle w:val="FootnoteText"/>
        <w:rPr>
          <w:rtl/>
        </w:rPr>
      </w:pPr>
      <w:r>
        <w:rPr>
          <w:rFonts w:hint="cs"/>
          <w:rtl/>
        </w:rPr>
        <w:t>וכן ב</w:t>
      </w:r>
      <w:r w:rsidR="00F055C8">
        <w:rPr>
          <w:rtl/>
        </w:rPr>
        <w:t>"</w:t>
      </w:r>
      <w:r>
        <w:rPr>
          <w:rFonts w:hint="cs"/>
          <w:rtl/>
        </w:rPr>
        <w:t>על הנפש</w:t>
      </w:r>
      <w:r w:rsidR="00F055C8">
        <w:rPr>
          <w:rtl/>
        </w:rPr>
        <w:t>"</w:t>
      </w:r>
      <w:r>
        <w:rPr>
          <w:rFonts w:hint="cs"/>
          <w:rtl/>
        </w:rPr>
        <w:t xml:space="preserve"> ג' ה' לגבי השכל הפועל כתב שהוא נפרד מהחומר, ולכן הוא אל-מותי ונצחי. </w:t>
      </w:r>
      <w:r w:rsidR="00F20268">
        <w:rPr>
          <w:rFonts w:hint="cs"/>
          <w:rtl/>
        </w:rPr>
        <w:t xml:space="preserve">וכן בפיזיקה א' ט' מבואר שהמופשט נמצא כמופשט, </w:t>
      </w:r>
      <w:r w:rsidR="005359BA">
        <w:rPr>
          <w:rFonts w:hint="cs"/>
          <w:rtl/>
        </w:rPr>
        <w:t xml:space="preserve">ועיין מטאפיזיקה </w:t>
      </w:r>
      <w:r w:rsidR="00B6128A">
        <w:rPr>
          <w:rFonts w:hint="cs"/>
          <w:rtl/>
        </w:rPr>
        <w:t>ת</w:t>
      </w:r>
      <w:r w:rsidR="005359BA">
        <w:rPr>
          <w:rFonts w:hint="cs"/>
          <w:rtl/>
        </w:rPr>
        <w:t>טא</w:t>
      </w:r>
      <w:r w:rsidR="00B6128A">
        <w:rPr>
          <w:rFonts w:hint="cs"/>
          <w:rtl/>
        </w:rPr>
        <w:t xml:space="preserve"> (1051א שורה 20)</w:t>
      </w:r>
      <w:r w:rsidR="005F63A1">
        <w:rPr>
          <w:rFonts w:hint="cs"/>
          <w:rtl/>
        </w:rPr>
        <w:t xml:space="preserve">, </w:t>
      </w:r>
      <w:r w:rsidR="005F63A1" w:rsidRPr="005F63A1">
        <w:rPr>
          <w:rtl/>
        </w:rPr>
        <w:t>ובמטאפיזיקה אטא פרק ו' (סוף 1045א)</w:t>
      </w:r>
      <w:r w:rsidR="005F63A1">
        <w:rPr>
          <w:rFonts w:hint="cs"/>
          <w:rtl/>
        </w:rPr>
        <w:t>,</w:t>
      </w:r>
      <w:r w:rsidR="005F63A1" w:rsidRPr="005F63A1">
        <w:rPr>
          <w:rtl/>
        </w:rPr>
        <w:t xml:space="preserve"> </w:t>
      </w:r>
      <w:r w:rsidR="00EB6FCD">
        <w:rPr>
          <w:rFonts w:hint="cs"/>
          <w:rtl/>
        </w:rPr>
        <w:t>וב</w:t>
      </w:r>
      <w:r w:rsidR="00335097">
        <w:rPr>
          <w:rtl/>
        </w:rPr>
        <w:t xml:space="preserve">מטאפיזיקה זתא סוף פרק </w:t>
      </w:r>
      <w:r w:rsidR="00EB6FCD">
        <w:rPr>
          <w:rFonts w:hint="cs"/>
          <w:rtl/>
        </w:rPr>
        <w:t>י</w:t>
      </w:r>
      <w:r w:rsidR="00F055C8">
        <w:rPr>
          <w:rtl/>
        </w:rPr>
        <w:t>"</w:t>
      </w:r>
      <w:r w:rsidR="00EB6FCD">
        <w:rPr>
          <w:rFonts w:hint="cs"/>
          <w:rtl/>
        </w:rPr>
        <w:t xml:space="preserve">א (בקטע שמסתיים ב </w:t>
      </w:r>
      <w:r w:rsidR="00654104">
        <w:rPr>
          <w:rFonts w:hint="cs"/>
          <w:rtl/>
        </w:rPr>
        <w:t xml:space="preserve">1037א שורה 4), </w:t>
      </w:r>
      <w:r w:rsidR="00D05511">
        <w:rPr>
          <w:rFonts w:hint="cs"/>
          <w:rtl/>
        </w:rPr>
        <w:t>ב</w:t>
      </w:r>
      <w:r w:rsidR="00335097">
        <w:rPr>
          <w:rtl/>
        </w:rPr>
        <w:t xml:space="preserve">מטאפיזיקה זתא פרק </w:t>
      </w:r>
      <w:r w:rsidR="00D05511">
        <w:rPr>
          <w:rFonts w:hint="cs"/>
          <w:rtl/>
        </w:rPr>
        <w:t>י'</w:t>
      </w:r>
      <w:r w:rsidR="005E10A4">
        <w:rPr>
          <w:rFonts w:hint="cs"/>
          <w:rtl/>
        </w:rPr>
        <w:t>,</w:t>
      </w:r>
      <w:r w:rsidR="006627AD">
        <w:rPr>
          <w:rFonts w:hint="cs"/>
          <w:rtl/>
        </w:rPr>
        <w:t xml:space="preserve"> </w:t>
      </w:r>
      <w:bookmarkStart w:id="41" w:name="_Hlk99317324"/>
      <w:r w:rsidR="006627AD" w:rsidRPr="006627AD">
        <w:rPr>
          <w:rtl/>
        </w:rPr>
        <w:t>ב</w:t>
      </w:r>
      <w:r w:rsidR="00F055C8">
        <w:rPr>
          <w:rtl/>
        </w:rPr>
        <w:t>"</w:t>
      </w:r>
      <w:r w:rsidR="006627AD" w:rsidRPr="006627AD">
        <w:rPr>
          <w:rtl/>
        </w:rPr>
        <w:t>על התהוות בעלי החיים</w:t>
      </w:r>
      <w:r w:rsidR="00F055C8">
        <w:rPr>
          <w:rtl/>
        </w:rPr>
        <w:t>"</w:t>
      </w:r>
      <w:r w:rsidR="006627AD" w:rsidRPr="006627AD">
        <w:rPr>
          <w:rtl/>
        </w:rPr>
        <w:t xml:space="preserve"> ספר ב' פרק ג' על שלושת סוגי הנפש שאחד מהם הוא השכלית שאינה תלויה בגוף</w:t>
      </w:r>
      <w:r w:rsidR="006627AD">
        <w:rPr>
          <w:rFonts w:hint="cs"/>
          <w:rtl/>
        </w:rPr>
        <w:t>,</w:t>
      </w:r>
      <w:bookmarkEnd w:id="41"/>
      <w:r w:rsidR="00D05511">
        <w:rPr>
          <w:rFonts w:hint="cs"/>
          <w:rtl/>
        </w:rPr>
        <w:t xml:space="preserve"> </w:t>
      </w:r>
      <w:r w:rsidR="00F20268">
        <w:rPr>
          <w:rFonts w:hint="cs"/>
          <w:rtl/>
        </w:rPr>
        <w:t xml:space="preserve">וכן בעוד מקומות רבים. </w:t>
      </w:r>
      <w:r w:rsidR="001055B2">
        <w:rPr>
          <w:rFonts w:hint="cs"/>
          <w:rtl/>
        </w:rPr>
        <w:t xml:space="preserve">מטאפיזיקה ספרים מ' ונ' עוסקים כולם בנמצאים מופשטים מחומר (משום מה החוקרים מתעלמים לגמרי מספרים אלה). </w:t>
      </w:r>
    </w:p>
    <w:p w14:paraId="3AE9E288" w14:textId="66863F9F" w:rsidR="00291F46" w:rsidRDefault="00165CD9" w:rsidP="00291F46">
      <w:pPr>
        <w:pStyle w:val="FootnoteText"/>
        <w:rPr>
          <w:rtl/>
        </w:rPr>
      </w:pPr>
      <w:r>
        <w:rPr>
          <w:rFonts w:hint="cs"/>
          <w:rtl/>
        </w:rPr>
        <w:t xml:space="preserve">אלא הבורא רצה להתגלות במציאות חומרית, </w:t>
      </w:r>
      <w:r w:rsidR="00291F46">
        <w:rPr>
          <w:rFonts w:hint="cs"/>
          <w:rtl/>
        </w:rPr>
        <w:t>וזה הטבע</w:t>
      </w:r>
      <w:r w:rsidR="001055B2">
        <w:rPr>
          <w:rFonts w:hint="cs"/>
          <w:rtl/>
        </w:rPr>
        <w:t xml:space="preserve"> (בכמה מקומות כבר הארכתי בביאור הטעם לזה)</w:t>
      </w:r>
      <w:r w:rsidR="00291F46">
        <w:rPr>
          <w:rFonts w:hint="cs"/>
          <w:rtl/>
        </w:rPr>
        <w:t>. הטבע לא מגלה את היחידים המוחשיים בשל עצמם, אלא הם המצע לגילוי הצורות, והצורות מתגלות רק כשהן חלות ביחיד מוחשי. במילים אחרות הגדרת המילה 'נמצא' בעולם הטבע היא עצם שמאוחד מחומר וצורה. בטבע צורה מופשטת מחומר אינה קיימת, היא אינה נתפשת. אם אדם מת יורשיו יורדים לנכסיו, אשתו נישאת לאחר, והוא נשכח מלב. מה שעדיין נפשו נמצאת באופן מופשט מחומר אין זה נחשב מציאות, ואיננו רואים בעולם הטבעי נפשות ערטילאיות מגוף.</w:t>
      </w:r>
    </w:p>
    <w:p w14:paraId="443D233F" w14:textId="383A70B2" w:rsidR="00165CD9" w:rsidRDefault="008214EF" w:rsidP="00291F46">
      <w:pPr>
        <w:pStyle w:val="FootnoteText"/>
        <w:rPr>
          <w:rtl/>
        </w:rPr>
      </w:pPr>
      <w:r>
        <w:rPr>
          <w:rFonts w:hint="cs"/>
          <w:rtl/>
        </w:rPr>
        <w:t xml:space="preserve">הטבע, העולם החומרי, הוא רק רובד מסוים של המציאות. </w:t>
      </w:r>
      <w:r w:rsidR="00B7238D">
        <w:rPr>
          <w:rFonts w:hint="cs"/>
          <w:rtl/>
        </w:rPr>
        <w:t>יש שכלים נפרדים</w:t>
      </w:r>
      <w:r w:rsidR="0038507D">
        <w:rPr>
          <w:rFonts w:hint="cs"/>
          <w:rtl/>
        </w:rPr>
        <w:t xml:space="preserve"> מופשטים לגמרי</w:t>
      </w:r>
      <w:r w:rsidR="00B7238D">
        <w:rPr>
          <w:rFonts w:hint="cs"/>
          <w:rtl/>
        </w:rPr>
        <w:t>, יש את העולם השמיימי שעשוי מהחומר החמישי, ויש את עולם הטבע שמורכב מד' היסודות (וכמבואר</w:t>
      </w:r>
      <w:r w:rsidR="007C1933">
        <w:rPr>
          <w:rFonts w:hint="cs"/>
          <w:rtl/>
        </w:rPr>
        <w:t xml:space="preserve"> במשנה תורה מאת הרמב</w:t>
      </w:r>
      <w:r w:rsidR="00F055C8">
        <w:rPr>
          <w:rtl/>
        </w:rPr>
        <w:t>"</w:t>
      </w:r>
      <w:r w:rsidR="007C1933">
        <w:rPr>
          <w:rFonts w:hint="cs"/>
          <w:rtl/>
        </w:rPr>
        <w:t>ם</w:t>
      </w:r>
      <w:r w:rsidR="00B7238D">
        <w:rPr>
          <w:rFonts w:hint="cs"/>
          <w:rtl/>
        </w:rPr>
        <w:t xml:space="preserve"> בהלכות יסודי התורה ב' </w:t>
      </w:r>
      <w:r w:rsidR="0038507D">
        <w:rPr>
          <w:rFonts w:hint="cs"/>
          <w:rtl/>
        </w:rPr>
        <w:t>ג</w:t>
      </w:r>
      <w:r w:rsidR="00B7238D">
        <w:rPr>
          <w:rFonts w:hint="cs"/>
          <w:rtl/>
        </w:rPr>
        <w:t>'</w:t>
      </w:r>
      <w:r w:rsidR="0038507D">
        <w:rPr>
          <w:rFonts w:hint="cs"/>
          <w:rtl/>
        </w:rPr>
        <w:t xml:space="preserve"> עיין שם</w:t>
      </w:r>
      <w:r w:rsidR="00B7238D">
        <w:rPr>
          <w:rFonts w:hint="cs"/>
          <w:rtl/>
        </w:rPr>
        <w:t xml:space="preserve">). </w:t>
      </w:r>
      <w:r>
        <w:rPr>
          <w:rFonts w:hint="cs"/>
          <w:rtl/>
        </w:rPr>
        <w:t xml:space="preserve">האדם נברא כעצם חומרי, ועליו להתבונן בעצמים החומריים, ומשם להתרומם להשגה מופשטת שלב אחר שלב. כך הוא מעלה את הצד החומרי שבו ומתקן ומזכך אותו עד שיצטרף לשכל המופשט ולא יהיה מחיצה שמונעת מהשגה מופשטת. </w:t>
      </w:r>
      <w:r w:rsidR="0038507D">
        <w:rPr>
          <w:rFonts w:hint="cs"/>
          <w:rtl/>
        </w:rPr>
        <w:t xml:space="preserve">אריסטו עסק בללמד את הדרך הזו, היא הפיזיקה, מעשה בראשית. אפלטון כתב כשהוא כבר רואה את המציאות המופשטת, </w:t>
      </w:r>
      <w:r w:rsidR="00703AB8">
        <w:rPr>
          <w:rFonts w:hint="cs"/>
          <w:rtl/>
        </w:rPr>
        <w:t xml:space="preserve">הוא כותב מנקודת מבט שבה </w:t>
      </w:r>
      <w:r w:rsidR="0038507D">
        <w:rPr>
          <w:rFonts w:hint="cs"/>
          <w:rtl/>
        </w:rPr>
        <w:t xml:space="preserve">הכל פרוש לפניו מהמציאות הנפרדת מחומר והשתלשלויותיה כלפי מטה, והוא לא מלמד את </w:t>
      </w:r>
      <w:r w:rsidR="00703AB8">
        <w:rPr>
          <w:rFonts w:hint="cs"/>
          <w:rtl/>
        </w:rPr>
        <w:t>העלייה</w:t>
      </w:r>
      <w:r w:rsidR="0038507D">
        <w:rPr>
          <w:rFonts w:hint="cs"/>
          <w:rtl/>
        </w:rPr>
        <w:t xml:space="preserve"> בסולם אלא את מה שנשקף ממדרגתו הגבוהה ביותר.  </w:t>
      </w:r>
      <w:r w:rsidR="00291F46">
        <w:rPr>
          <w:rFonts w:hint="cs"/>
          <w:rtl/>
        </w:rPr>
        <w:t xml:space="preserve"> </w:t>
      </w:r>
    </w:p>
    <w:p w14:paraId="6D3A38E8" w14:textId="31C2D093" w:rsidR="002B7822" w:rsidRDefault="008214EF" w:rsidP="007C1755">
      <w:pPr>
        <w:pStyle w:val="FootnoteText"/>
        <w:rPr>
          <w:rtl/>
        </w:rPr>
      </w:pPr>
      <w:r>
        <w:rPr>
          <w:rFonts w:hint="cs"/>
          <w:rtl/>
        </w:rPr>
        <w:t xml:space="preserve">ההשגה המופשטת רואה את העולם מעבר לטבע, שם ההגדרה של 'נמצא' היא יש מופשט. החומר אינו נחשב נמצא, באמת אינו קיים כלל, ולכל היותר הוא כמו צל של האידיאות המופשטות. </w:t>
      </w:r>
    </w:p>
    <w:p w14:paraId="19C87331" w14:textId="2E73FB7A" w:rsidR="008214EF" w:rsidRDefault="008214EF" w:rsidP="007C1755">
      <w:pPr>
        <w:pStyle w:val="FootnoteText"/>
        <w:rPr>
          <w:rtl/>
        </w:rPr>
      </w:pPr>
      <w:r>
        <w:rPr>
          <w:rFonts w:hint="cs"/>
          <w:rtl/>
        </w:rPr>
        <w:t xml:space="preserve">בכל המקומות שאריסטו מקשה על תפישת אפלטון שיש לאידיאות מציאות כישויות מופשטות, כוונתו רק להראות את המפתחות להגיע להבנה </w:t>
      </w:r>
      <w:r w:rsidR="00703AB8">
        <w:rPr>
          <w:rFonts w:hint="cs"/>
          <w:rtl/>
        </w:rPr>
        <w:t xml:space="preserve">העמוקה </w:t>
      </w:r>
      <w:r>
        <w:rPr>
          <w:rFonts w:hint="cs"/>
          <w:rtl/>
        </w:rPr>
        <w:t xml:space="preserve">של </w:t>
      </w:r>
      <w:r w:rsidR="00703AB8">
        <w:rPr>
          <w:rFonts w:hint="cs"/>
          <w:rtl/>
        </w:rPr>
        <w:t>ה</w:t>
      </w:r>
      <w:r>
        <w:rPr>
          <w:rFonts w:hint="cs"/>
          <w:rtl/>
        </w:rPr>
        <w:t xml:space="preserve">עניין </w:t>
      </w:r>
      <w:r w:rsidR="00703AB8">
        <w:rPr>
          <w:rFonts w:hint="cs"/>
          <w:rtl/>
        </w:rPr>
        <w:t>ה</w:t>
      </w:r>
      <w:r>
        <w:rPr>
          <w:rFonts w:hint="cs"/>
          <w:rtl/>
        </w:rPr>
        <w:t>זה, ו</w:t>
      </w:r>
      <w:r w:rsidR="00C708D1">
        <w:rPr>
          <w:rFonts w:hint="cs"/>
          <w:rtl/>
        </w:rPr>
        <w:t>לא</w:t>
      </w:r>
      <w:r>
        <w:rPr>
          <w:rFonts w:hint="cs"/>
          <w:rtl/>
        </w:rPr>
        <w:t xml:space="preserve"> לדחות את דעת אפלטון. בבלוג </w:t>
      </w:r>
      <w:r w:rsidR="00F055C8">
        <w:rPr>
          <w:rtl/>
        </w:rPr>
        <w:t>"</w:t>
      </w:r>
      <w:hyperlink r:id="rId12" w:history="1">
        <w:r w:rsidRPr="00C708D1">
          <w:rPr>
            <w:rStyle w:val="Hyperlink"/>
            <w:rFonts w:hint="cs"/>
            <w:rtl/>
          </w:rPr>
          <w:t>עיונים בפילוסופיה אריסטוטלית</w:t>
        </w:r>
      </w:hyperlink>
      <w:r w:rsidR="00F055C8">
        <w:rPr>
          <w:rtl/>
        </w:rPr>
        <w:t>"</w:t>
      </w:r>
      <w:r>
        <w:rPr>
          <w:rFonts w:hint="cs"/>
          <w:rtl/>
        </w:rPr>
        <w:t xml:space="preserve"> עסקתי בכמעט כל המקומות שאריסטו מקשה כ</w:t>
      </w:r>
      <w:r w:rsidR="00C708D1">
        <w:rPr>
          <w:rFonts w:hint="cs"/>
          <w:rtl/>
        </w:rPr>
        <w:t>ך והראיתי שמהט</w:t>
      </w:r>
      <w:r w:rsidR="0038507D">
        <w:rPr>
          <w:rFonts w:hint="cs"/>
          <w:rtl/>
        </w:rPr>
        <w:t>ק</w:t>
      </w:r>
      <w:r w:rsidR="00C708D1">
        <w:rPr>
          <w:rFonts w:hint="cs"/>
          <w:rtl/>
        </w:rPr>
        <w:t>סט עצמו מוכרח בלי ספק שאין כוונתו לחלוק על אפלטון.</w:t>
      </w:r>
      <w:r w:rsidR="00070AB5">
        <w:rPr>
          <w:rFonts w:hint="cs"/>
          <w:rtl/>
        </w:rPr>
        <w:t xml:space="preserve"> ועיין</w:t>
      </w:r>
      <w:r w:rsidR="00DE4043">
        <w:rPr>
          <w:rFonts w:hint="cs"/>
          <w:rtl/>
        </w:rPr>
        <w:t xml:space="preserve"> עוד</w:t>
      </w:r>
      <w:r w:rsidR="00070AB5" w:rsidRPr="00070AB5">
        <w:rPr>
          <w:rtl/>
        </w:rPr>
        <w:t xml:space="preserve"> </w:t>
      </w:r>
      <w:r w:rsidR="00DE4043">
        <w:rPr>
          <w:rFonts w:hint="cs"/>
          <w:rtl/>
        </w:rPr>
        <w:t>ב</w:t>
      </w:r>
      <w:r w:rsidR="00070AB5" w:rsidRPr="00070AB5">
        <w:rPr>
          <w:rtl/>
        </w:rPr>
        <w:t>מטאפיזיקה ז</w:t>
      </w:r>
      <w:r w:rsidR="00070AB5">
        <w:rPr>
          <w:rFonts w:hint="cs"/>
          <w:rtl/>
        </w:rPr>
        <w:t>ט</w:t>
      </w:r>
      <w:r w:rsidR="00070AB5" w:rsidRPr="00070AB5">
        <w:rPr>
          <w:rtl/>
        </w:rPr>
        <w:t>א פרק י</w:t>
      </w:r>
      <w:r w:rsidR="00F055C8">
        <w:rPr>
          <w:rtl/>
        </w:rPr>
        <w:t>"</w:t>
      </w:r>
      <w:r w:rsidR="00070AB5" w:rsidRPr="00070AB5">
        <w:rPr>
          <w:rtl/>
        </w:rPr>
        <w:t>א, 1037א</w:t>
      </w:r>
      <w:r w:rsidR="00F8752D">
        <w:rPr>
          <w:rtl/>
        </w:rPr>
        <w:t>.</w:t>
      </w:r>
      <w:r w:rsidR="00C708D1">
        <w:rPr>
          <w:rFonts w:hint="cs"/>
          <w:rtl/>
        </w:rPr>
        <w:t xml:space="preserve"> </w:t>
      </w:r>
    </w:p>
    <w:p w14:paraId="55BFB366" w14:textId="70B3DBBF" w:rsidR="0038507D" w:rsidRDefault="007C1933" w:rsidP="007C1755">
      <w:pPr>
        <w:pStyle w:val="FootnoteText"/>
        <w:rPr>
          <w:rtl/>
        </w:rPr>
      </w:pPr>
      <w:r>
        <w:rPr>
          <w:rFonts w:hint="cs"/>
          <w:rtl/>
        </w:rPr>
        <w:t>במציאות החומרית כל גוף נפרד. במציאות המופשטת אין חילוק בין צורות אם הן באותה מדרגה, וכמו שכתב הרמב</w:t>
      </w:r>
      <w:r w:rsidR="00F055C8">
        <w:rPr>
          <w:rtl/>
        </w:rPr>
        <w:t>"</w:t>
      </w:r>
      <w:r>
        <w:rPr>
          <w:rFonts w:hint="cs"/>
          <w:rtl/>
        </w:rPr>
        <w:t>ם בהלכות יסודי התורה ב' הלכות ה-ז.</w:t>
      </w:r>
    </w:p>
    <w:p w14:paraId="427FFBB9" w14:textId="70D88599" w:rsidR="00703AB8" w:rsidRDefault="00703AB8" w:rsidP="007C1755">
      <w:pPr>
        <w:pStyle w:val="FootnoteText"/>
        <w:rPr>
          <w:rtl/>
        </w:rPr>
      </w:pPr>
      <w:r>
        <w:rPr>
          <w:rFonts w:hint="cs"/>
          <w:rtl/>
        </w:rPr>
        <w:t>בקטגוריות פרק ה' כתב אריסטו שהיחיד המוחשי הוא הקודם מבחינת המציאות, והכוללים (אוניברסלים) הם המין והסוג</w:t>
      </w:r>
      <w:r w:rsidR="006F36EA">
        <w:rPr>
          <w:rFonts w:hint="cs"/>
          <w:rtl/>
        </w:rPr>
        <w:t xml:space="preserve"> </w:t>
      </w:r>
      <w:r w:rsidR="00427A57">
        <w:rPr>
          <w:rFonts w:hint="cs"/>
          <w:rtl/>
        </w:rPr>
        <w:t>(</w:t>
      </w:r>
      <w:r w:rsidR="006F36EA">
        <w:rPr>
          <w:rFonts w:hint="cs"/>
          <w:rtl/>
        </w:rPr>
        <w:t>הם הצורה, האידיאה</w:t>
      </w:r>
      <w:r w:rsidR="00427A57">
        <w:rPr>
          <w:rFonts w:hint="cs"/>
          <w:rtl/>
        </w:rPr>
        <w:t>)</w:t>
      </w:r>
      <w:r>
        <w:rPr>
          <w:rFonts w:hint="cs"/>
          <w:rtl/>
        </w:rPr>
        <w:t xml:space="preserve">, </w:t>
      </w:r>
      <w:r w:rsidR="006F36EA">
        <w:rPr>
          <w:rFonts w:hint="cs"/>
          <w:rtl/>
        </w:rPr>
        <w:t>'</w:t>
      </w:r>
      <w:r>
        <w:rPr>
          <w:rFonts w:hint="cs"/>
          <w:rtl/>
        </w:rPr>
        <w:t>נמצאים</w:t>
      </w:r>
      <w:r w:rsidR="006F36EA">
        <w:rPr>
          <w:rFonts w:hint="cs"/>
          <w:rtl/>
        </w:rPr>
        <w:t>'</w:t>
      </w:r>
      <w:r>
        <w:rPr>
          <w:rFonts w:hint="cs"/>
          <w:rtl/>
        </w:rPr>
        <w:t xml:space="preserve"> רק במעלה משנית, מציאותם נשענת על מציאותו של היחיד המוחשי. </w:t>
      </w:r>
    </w:p>
    <w:p w14:paraId="6A79471B" w14:textId="523243A2" w:rsidR="006F36EA" w:rsidRDefault="006F36EA" w:rsidP="007C1755">
      <w:pPr>
        <w:pStyle w:val="FootnoteText"/>
        <w:rPr>
          <w:rtl/>
        </w:rPr>
      </w:pPr>
      <w:r>
        <w:rPr>
          <w:rFonts w:hint="cs"/>
          <w:rtl/>
        </w:rPr>
        <w:t>כעין זה כתב במורה נבוכים ג' י</w:t>
      </w:r>
      <w:r w:rsidR="00F055C8">
        <w:rPr>
          <w:rtl/>
        </w:rPr>
        <w:t>"</w:t>
      </w:r>
      <w:r>
        <w:rPr>
          <w:rFonts w:hint="cs"/>
          <w:rtl/>
        </w:rPr>
        <w:t>ח</w:t>
      </w:r>
      <w:r w:rsidR="00962925">
        <w:rPr>
          <w:rtl/>
        </w:rPr>
        <w:fldChar w:fldCharType="begin"/>
      </w:r>
      <w:r w:rsidR="00962925">
        <w:instrText xml:space="preserve"> XE "</w:instrText>
      </w:r>
      <w:r w:rsidR="00962925" w:rsidRPr="006D43C7">
        <w:rPr>
          <w:rFonts w:hint="cs"/>
          <w:rtl/>
        </w:rPr>
        <w:instrText>מורה נבוכים ג' י</w:instrText>
      </w:r>
      <w:r w:rsidR="00962925">
        <w:rPr>
          <w:b/>
          <w:bCs/>
          <w:sz w:val="20"/>
          <w:szCs w:val="20"/>
        </w:rPr>
        <w:instrText>\</w:instrText>
      </w:r>
      <w:r w:rsidR="00962925" w:rsidRPr="006D43C7">
        <w:rPr>
          <w:rFonts w:hint="cs"/>
          <w:rtl/>
        </w:rPr>
        <w:instrText>"ח - המין אינו חוץ לשכל</w:instrText>
      </w:r>
      <w:r w:rsidR="00962925">
        <w:instrText xml:space="preserve">" </w:instrText>
      </w:r>
      <w:r w:rsidR="00962925">
        <w:rPr>
          <w:rtl/>
        </w:rPr>
        <w:fldChar w:fldCharType="end"/>
      </w:r>
      <w:r>
        <w:rPr>
          <w:rFonts w:hint="cs"/>
          <w:rtl/>
        </w:rPr>
        <w:t>:</w:t>
      </w:r>
    </w:p>
    <w:p w14:paraId="750CF0F4" w14:textId="6312BAC1" w:rsidR="006F36EA" w:rsidRDefault="00F055C8" w:rsidP="007C1755">
      <w:pPr>
        <w:pStyle w:val="FootnoteText"/>
        <w:rPr>
          <w:rtl/>
        </w:rPr>
      </w:pPr>
      <w:r>
        <w:rPr>
          <w:rtl/>
        </w:rPr>
        <w:t>"</w:t>
      </w:r>
      <w:r w:rsidR="006F36EA" w:rsidRPr="006F36EA">
        <w:rPr>
          <w:rtl/>
        </w:rPr>
        <w:t>אומר כי כבר נודע שאין חוץ לשכל מין נמצא, אבל המין ושאר הכלליות</w:t>
      </w:r>
      <w:r w:rsidR="006F36EA">
        <w:rPr>
          <w:rFonts w:hint="cs"/>
          <w:rtl/>
        </w:rPr>
        <w:t xml:space="preserve"> [האוניברסלים, המין והסוג]</w:t>
      </w:r>
      <w:r w:rsidR="006F36EA" w:rsidRPr="006F36EA">
        <w:rPr>
          <w:rtl/>
        </w:rPr>
        <w:t xml:space="preserve"> - דברים שכלים, כמו שידעת, וכל נמצא חוץ לשכל אמנם הוא איש או אישים.</w:t>
      </w:r>
      <w:r>
        <w:rPr>
          <w:rtl/>
        </w:rPr>
        <w:t>"</w:t>
      </w:r>
    </w:p>
    <w:p w14:paraId="10A242AF" w14:textId="516E2D4C" w:rsidR="006F36EA" w:rsidRDefault="006F36EA" w:rsidP="007C1755">
      <w:pPr>
        <w:pStyle w:val="FootnoteText"/>
        <w:rPr>
          <w:rtl/>
        </w:rPr>
      </w:pPr>
      <w:r>
        <w:rPr>
          <w:rFonts w:hint="cs"/>
          <w:rtl/>
        </w:rPr>
        <w:t xml:space="preserve">הצורות המופשטות אינן </w:t>
      </w:r>
      <w:r w:rsidR="00F055C8">
        <w:rPr>
          <w:rtl/>
        </w:rPr>
        <w:t>"</w:t>
      </w:r>
      <w:r>
        <w:rPr>
          <w:rFonts w:hint="cs"/>
          <w:rtl/>
        </w:rPr>
        <w:t>חוץ לשכל</w:t>
      </w:r>
      <w:r w:rsidR="00F055C8">
        <w:rPr>
          <w:rtl/>
        </w:rPr>
        <w:t>"</w:t>
      </w:r>
      <w:r>
        <w:rPr>
          <w:rFonts w:hint="cs"/>
          <w:rtl/>
        </w:rPr>
        <w:t xml:space="preserve"> כי במציאות המופשטת אין חלוקה לגופים נפרדים, חלוקה כזו היא מצד החומר בלבד, וכמו שכתב אריסטו במטאפיזיקה זטא</w:t>
      </w:r>
      <w:r w:rsidR="00070AB5">
        <w:rPr>
          <w:rFonts w:hint="cs"/>
          <w:rtl/>
        </w:rPr>
        <w:t xml:space="preserve"> סוף פרק ח'. כשהשכל משיג את הצורות המופשטות המשכיל השכל והמושכל נעשים אחד כמו שכתב אריסטו במטאפיזיקה למבדא</w:t>
      </w:r>
      <w:r w:rsidR="004D0914">
        <w:rPr>
          <w:rFonts w:hint="cs"/>
          <w:rtl/>
        </w:rPr>
        <w:t xml:space="preserve"> פרק ז'</w:t>
      </w:r>
      <w:r w:rsidR="00070AB5">
        <w:rPr>
          <w:rFonts w:hint="cs"/>
          <w:rtl/>
        </w:rPr>
        <w:t xml:space="preserve"> והובא במורה נבוכים א' ס</w:t>
      </w:r>
      <w:r w:rsidR="00F055C8">
        <w:rPr>
          <w:rtl/>
        </w:rPr>
        <w:t>"</w:t>
      </w:r>
      <w:r w:rsidR="00070AB5">
        <w:rPr>
          <w:rFonts w:hint="cs"/>
          <w:rtl/>
        </w:rPr>
        <w:t xml:space="preserve">ח. </w:t>
      </w:r>
      <w:r w:rsidR="00861ABC">
        <w:rPr>
          <w:rFonts w:hint="cs"/>
          <w:rtl/>
        </w:rPr>
        <w:t xml:space="preserve">נמצא </w:t>
      </w:r>
      <w:r w:rsidR="00F055C8">
        <w:rPr>
          <w:rtl/>
        </w:rPr>
        <w:t>"</w:t>
      </w:r>
      <w:r w:rsidR="00861ABC">
        <w:rPr>
          <w:rFonts w:hint="cs"/>
          <w:rtl/>
        </w:rPr>
        <w:t>חוץ לשכל</w:t>
      </w:r>
      <w:r w:rsidR="00F055C8">
        <w:rPr>
          <w:rtl/>
        </w:rPr>
        <w:t>"</w:t>
      </w:r>
      <w:r w:rsidR="00861ABC">
        <w:rPr>
          <w:rFonts w:hint="cs"/>
          <w:rtl/>
        </w:rPr>
        <w:t xml:space="preserve"> הכוונה בעולם הטבעי שבו 'נמצא' פירושו עצם הילומורפי, כלומר שמאוחד מחומר וצורה. </w:t>
      </w:r>
      <w:r w:rsidR="004D0914">
        <w:rPr>
          <w:rFonts w:hint="cs"/>
          <w:rtl/>
        </w:rPr>
        <w:t xml:space="preserve">כלומר מה שיחיד מוחשי הוא המובן הראשוני של 'נמצא' והצורה באה אחריו, זה רק בעולם הטבעי החומרי. </w:t>
      </w:r>
      <w:r>
        <w:rPr>
          <w:rFonts w:hint="cs"/>
          <w:rtl/>
        </w:rPr>
        <w:t xml:space="preserve"> </w:t>
      </w:r>
    </w:p>
    <w:p w14:paraId="2556B9EE" w14:textId="656E457C" w:rsidR="00A071AE" w:rsidRDefault="002C486A" w:rsidP="007C1755">
      <w:pPr>
        <w:pStyle w:val="FootnoteText"/>
        <w:rPr>
          <w:rtl/>
        </w:rPr>
      </w:pPr>
      <w:r>
        <w:rPr>
          <w:rFonts w:hint="cs"/>
          <w:rtl/>
        </w:rPr>
        <w:t>עיין עוד בזה במורה נבוכים א' מ</w:t>
      </w:r>
      <w:r w:rsidR="00F055C8">
        <w:rPr>
          <w:rtl/>
        </w:rPr>
        <w:t>"</w:t>
      </w:r>
      <w:r>
        <w:rPr>
          <w:rFonts w:hint="cs"/>
          <w:rtl/>
        </w:rPr>
        <w:t>ט, שם א' כ</w:t>
      </w:r>
      <w:r w:rsidR="00F055C8">
        <w:rPr>
          <w:rtl/>
        </w:rPr>
        <w:t>"</w:t>
      </w:r>
      <w:r>
        <w:rPr>
          <w:rFonts w:hint="cs"/>
          <w:rtl/>
        </w:rPr>
        <w:t>ו</w:t>
      </w:r>
      <w:r w:rsidR="00A071AE">
        <w:rPr>
          <w:rFonts w:hint="cs"/>
          <w:rtl/>
        </w:rPr>
        <w:t>.</w:t>
      </w:r>
      <w:r>
        <w:rPr>
          <w:rFonts w:hint="cs"/>
          <w:rtl/>
        </w:rPr>
        <w:t xml:space="preserve"> </w:t>
      </w:r>
    </w:p>
    <w:p w14:paraId="28DAE256" w14:textId="2B2A6E55" w:rsidR="00A071AE" w:rsidRDefault="00A071AE" w:rsidP="007C1755">
      <w:pPr>
        <w:pStyle w:val="FootnoteText"/>
        <w:rPr>
          <w:rtl/>
        </w:rPr>
      </w:pPr>
      <w:r>
        <w:rPr>
          <w:rFonts w:hint="cs"/>
          <w:rtl/>
        </w:rPr>
        <w:t xml:space="preserve">וכתב </w:t>
      </w:r>
      <w:r w:rsidR="002C486A">
        <w:rPr>
          <w:rFonts w:hint="cs"/>
          <w:rtl/>
        </w:rPr>
        <w:t xml:space="preserve">באגרת תחיית המתים </w:t>
      </w:r>
      <w:r>
        <w:rPr>
          <w:rFonts w:hint="cs"/>
          <w:rtl/>
        </w:rPr>
        <w:t>מאת הרמב</w:t>
      </w:r>
      <w:r w:rsidR="00F055C8">
        <w:rPr>
          <w:rtl/>
        </w:rPr>
        <w:t>"</w:t>
      </w:r>
      <w:r>
        <w:rPr>
          <w:rFonts w:hint="cs"/>
          <w:rtl/>
        </w:rPr>
        <w:t>ם:</w:t>
      </w:r>
    </w:p>
    <w:p w14:paraId="3656926E" w14:textId="2A39F007" w:rsidR="002C486A" w:rsidRDefault="00F055C8" w:rsidP="00A071AE">
      <w:pPr>
        <w:pStyle w:val="FootnoteText"/>
        <w:rPr>
          <w:rtl/>
        </w:rPr>
      </w:pPr>
      <w:r>
        <w:rPr>
          <w:rtl/>
        </w:rPr>
        <w:t>"</w:t>
      </w:r>
      <w:r w:rsidR="00A071AE">
        <w:rPr>
          <w:rtl/>
        </w:rPr>
        <w:t>מה שיעלה בדמיון ההמון אשר לא יאמינו שיש מציאות חזקה רק לגוף ומה שאינו גוף אבל הוא בגוף, רצה לומר כמקרים הוא גם כן נמצא אצלם אבל אין חזקתו במציאותו כחוזק הגוף. ואולם מה שאינו גוף ולא מקרה בגוף אינו נמצא אצל הסכלים אשר הם בלא ספק, אף על פי שהזקינו, גמולי מחלב עתיקי משדים</w:t>
      </w:r>
      <w:r w:rsidR="00A071AE">
        <w:rPr>
          <w:rFonts w:hint="cs"/>
          <w:rtl/>
        </w:rPr>
        <w:t xml:space="preserve"> [תפישת ההמון היא התפישה של התינוק. בכולנו, גם אם אנו זקנים, יש בפנים תינוק, אלא שאם הוא מכחיש את המבודר יש ללמד אותו שיש תפישה שהיא מעל כח השגתי ועליו לקבל את זה]</w:t>
      </w:r>
      <w:r w:rsidR="00A071AE">
        <w:rPr>
          <w:rtl/>
        </w:rPr>
        <w:t xml:space="preserve">, ומפני זה יאמינו רובם שהשם גוף אצלם, שאם לא יהיה גוף אינו נמצא. ואמנם הנקראים חכמים באמת, לא על דרך העברה, הנה התבאר אצלם, שכל נבדל מן החומר הוא יותר חזק המציאות מבעל החומר, ואין ראוי לומר יותר חזק, אבל מציאות הנבדל יותר אמתית, מפני שלא ישיגהו אחד מאופני השנוי, והם אשר התבאר אצלם במופת שהשם אינו גוף, ומפני זה מדרגת מציאותו יתעלה בתכלית החזוק. וכן כל נברא נבדל, רוצה לומר המלאכים והשכל, הוא במציאותו חזק מאד, קיים יותר מכל גוף,  ומפני זה נאמין אנחנו שהמלאכים אינם גופות, ושבני העולם הבא נפשות נבדלות, רוצה לומר דעות. וכבר בארנו ראיות מן התורה על זה במאמרנו המכונה </w:t>
      </w:r>
      <w:r>
        <w:rPr>
          <w:rtl/>
        </w:rPr>
        <w:t>"</w:t>
      </w:r>
      <w:r w:rsidR="00A071AE">
        <w:rPr>
          <w:rtl/>
        </w:rPr>
        <w:t>מורה הנבוכים</w:t>
      </w:r>
      <w:r>
        <w:rPr>
          <w:rtl/>
        </w:rPr>
        <w:t>"</w:t>
      </w:r>
      <w:r w:rsidR="00A071AE">
        <w:rPr>
          <w:rFonts w:hint="cs"/>
          <w:rtl/>
        </w:rPr>
        <w:t>.</w:t>
      </w:r>
      <w:r>
        <w:rPr>
          <w:rtl/>
        </w:rPr>
        <w:t>"</w:t>
      </w:r>
    </w:p>
    <w:p w14:paraId="17FED329" w14:textId="539DD15B" w:rsidR="002C486A" w:rsidRDefault="002C486A" w:rsidP="007C1755">
      <w:pPr>
        <w:pStyle w:val="FootnoteText"/>
        <w:rPr>
          <w:rtl/>
        </w:rPr>
      </w:pPr>
      <w:r>
        <w:rPr>
          <w:rFonts w:hint="cs"/>
          <w:rtl/>
        </w:rPr>
        <w:t>עיין ב</w:t>
      </w:r>
      <w:r w:rsidR="00F055C8">
        <w:rPr>
          <w:rtl/>
        </w:rPr>
        <w:t>"</w:t>
      </w:r>
      <w:r>
        <w:rPr>
          <w:rFonts w:hint="cs"/>
          <w:rtl/>
        </w:rPr>
        <w:t>עיונים בפילוסופיה אריסטוטלית</w:t>
      </w:r>
      <w:r w:rsidR="00F055C8">
        <w:rPr>
          <w:rtl/>
        </w:rPr>
        <w:t>"</w:t>
      </w:r>
      <w:r>
        <w:rPr>
          <w:rFonts w:hint="cs"/>
          <w:rtl/>
        </w:rPr>
        <w:t xml:space="preserve"> </w:t>
      </w:r>
      <w:hyperlink r:id="rId13" w:history="1">
        <w:r w:rsidRPr="00861ABC">
          <w:rPr>
            <w:rStyle w:val="Hyperlink"/>
            <w:rFonts w:hint="cs"/>
            <w:rtl/>
          </w:rPr>
          <w:t>רשימה 5</w:t>
        </w:r>
      </w:hyperlink>
      <w:r>
        <w:rPr>
          <w:rFonts w:hint="cs"/>
          <w:rtl/>
        </w:rPr>
        <w:t xml:space="preserve"> שהבאתי עוד מקורות בעניין זה, </w:t>
      </w:r>
      <w:r w:rsidR="00861ABC">
        <w:rPr>
          <w:rFonts w:hint="cs"/>
          <w:rtl/>
        </w:rPr>
        <w:t xml:space="preserve">מאריסטו וגם ממאמרים אקדמיים, </w:t>
      </w:r>
      <w:r>
        <w:rPr>
          <w:rFonts w:hint="cs"/>
          <w:rtl/>
        </w:rPr>
        <w:t xml:space="preserve">וגם מקורות חשובים מאלפראבי, ומפירוש אמוניוס על הקטגוריות, ועוד. </w:t>
      </w:r>
    </w:p>
    <w:p w14:paraId="12DB5776" w14:textId="50826EA4" w:rsidR="006F36EA" w:rsidRDefault="004D0914" w:rsidP="007C1755">
      <w:pPr>
        <w:pStyle w:val="FootnoteText"/>
        <w:rPr>
          <w:rtl/>
        </w:rPr>
      </w:pPr>
      <w:r>
        <w:rPr>
          <w:rFonts w:hint="cs"/>
          <w:rtl/>
        </w:rPr>
        <w:t>ועיין בטימיאוס מאת אפלטון מדף 28א ששם יסוד הבחנה זו</w:t>
      </w:r>
      <w:r w:rsidR="00DF49B4">
        <w:rPr>
          <w:rFonts w:hint="cs"/>
          <w:rtl/>
        </w:rPr>
        <w:t xml:space="preserve"> (עמ' 530 במהד' ליבס, </w:t>
      </w:r>
      <w:r w:rsidR="00204C6B">
        <w:rPr>
          <w:rFonts w:hint="cs"/>
          <w:rtl/>
        </w:rPr>
        <w:t xml:space="preserve">מה שתרגם שם </w:t>
      </w:r>
      <w:r w:rsidR="00F055C8">
        <w:rPr>
          <w:rtl/>
        </w:rPr>
        <w:t>"</w:t>
      </w:r>
      <w:r w:rsidR="00204C6B">
        <w:rPr>
          <w:rFonts w:hint="cs"/>
          <w:rtl/>
        </w:rPr>
        <w:t>אמונה</w:t>
      </w:r>
      <w:r w:rsidR="00F055C8">
        <w:rPr>
          <w:rtl/>
        </w:rPr>
        <w:t>"</w:t>
      </w:r>
      <w:r w:rsidR="00204C6B">
        <w:rPr>
          <w:rFonts w:hint="cs"/>
          <w:rtl/>
        </w:rPr>
        <w:t xml:space="preserve"> פירושו </w:t>
      </w:r>
      <w:r w:rsidR="00DE4043">
        <w:rPr>
          <w:rFonts w:hint="cs"/>
          <w:rtl/>
        </w:rPr>
        <w:t>תפישה</w:t>
      </w:r>
      <w:r w:rsidR="00204C6B">
        <w:rPr>
          <w:rFonts w:hint="cs"/>
          <w:rtl/>
        </w:rPr>
        <w:t xml:space="preserve"> שאינה שכלית באופן נקי אלא מעורבל בחוש ודמיון ועמומה יותר מתפישת השכל</w:t>
      </w:r>
      <w:r>
        <w:rPr>
          <w:rFonts w:hint="cs"/>
          <w:rtl/>
        </w:rPr>
        <w:t xml:space="preserve">. </w:t>
      </w:r>
    </w:p>
    <w:p w14:paraId="5B470D20" w14:textId="77777777" w:rsidR="00A071AE" w:rsidRDefault="00A071AE" w:rsidP="007C1755">
      <w:pPr>
        <w:pStyle w:val="FootnoteText"/>
      </w:pPr>
    </w:p>
    <w:p w14:paraId="6E48D51F" w14:textId="04B44E54" w:rsidR="004D0914" w:rsidRDefault="004D0914" w:rsidP="007C1755">
      <w:pPr>
        <w:pStyle w:val="FootnoteText"/>
        <w:rPr>
          <w:rtl/>
        </w:rPr>
      </w:pPr>
      <w:r>
        <w:rPr>
          <w:rFonts w:hint="cs"/>
          <w:rtl/>
        </w:rPr>
        <w:t xml:space="preserve">היחיד המוחשי נתפש בכח החוש ולא בשכל. </w:t>
      </w:r>
      <w:r w:rsidR="00701530">
        <w:rPr>
          <w:rFonts w:hint="cs"/>
          <w:rtl/>
        </w:rPr>
        <w:t>השכל יכול להשיג את הצורה 'אדם' שהיא 'חי מדבר', בניגוד לסוס או שאר בעלי חיים. אבל אינו יכול להשיג את הראובניות שיש בראובן שמכוחה הוא שונה באופן מהותי משמעון. זה מושג רק בחוש ובדמיון.</w:t>
      </w:r>
      <w:r w:rsidR="00BD6684">
        <w:rPr>
          <w:rFonts w:hint="cs"/>
          <w:rtl/>
        </w:rPr>
        <w:t xml:space="preserve"> השכל לבדו משיג רק את המציאות המופשטת, וכשהו</w:t>
      </w:r>
      <w:r w:rsidR="00DA54F0">
        <w:rPr>
          <w:rFonts w:hint="cs"/>
          <w:rtl/>
        </w:rPr>
        <w:t>א</w:t>
      </w:r>
      <w:r w:rsidR="00BD6684">
        <w:rPr>
          <w:rFonts w:hint="cs"/>
          <w:rtl/>
        </w:rPr>
        <w:t xml:space="preserve"> בשיתוף החוש והדמיון ביחד הם משיגים את היחידים המוחשיים.</w:t>
      </w:r>
      <w:r w:rsidR="00701530">
        <w:rPr>
          <w:rFonts w:hint="cs"/>
          <w:rtl/>
        </w:rPr>
        <w:t xml:space="preserve"> </w:t>
      </w:r>
    </w:p>
    <w:p w14:paraId="34AD6CF7" w14:textId="01D17FE2" w:rsidR="00DA54F0" w:rsidRDefault="00F055C8" w:rsidP="00BD6684">
      <w:pPr>
        <w:pStyle w:val="FootnoteText"/>
        <w:rPr>
          <w:rtl/>
        </w:rPr>
      </w:pPr>
      <w:r>
        <w:rPr>
          <w:rtl/>
        </w:rPr>
        <w:t>"</w:t>
      </w:r>
      <w:r w:rsidR="00701530">
        <w:rPr>
          <w:rFonts w:hint="cs"/>
          <w:rtl/>
        </w:rPr>
        <w:t>מה שמכוון בטבע</w:t>
      </w:r>
      <w:r>
        <w:rPr>
          <w:rtl/>
        </w:rPr>
        <w:t>"</w:t>
      </w:r>
      <w:r w:rsidR="00701530">
        <w:rPr>
          <w:rFonts w:hint="cs"/>
          <w:rtl/>
        </w:rPr>
        <w:t xml:space="preserve"> הוא המציאות של הטבע</w:t>
      </w:r>
      <w:r w:rsidR="00BD6684">
        <w:rPr>
          <w:rFonts w:hint="cs"/>
          <w:rtl/>
        </w:rPr>
        <w:t xml:space="preserve"> בחומר וצורה</w:t>
      </w:r>
      <w:r w:rsidR="00701530">
        <w:rPr>
          <w:rFonts w:hint="cs"/>
          <w:rtl/>
        </w:rPr>
        <w:t xml:space="preserve"> שמגלה את מה שבוראו התכוון לגלות בו</w:t>
      </w:r>
      <w:r w:rsidR="00BD6684">
        <w:rPr>
          <w:rFonts w:hint="cs"/>
          <w:rtl/>
        </w:rPr>
        <w:t>, וכיוון שהוא גילוי של הבורא בהכרח הגילוי הוא נצחי, וזה על ידי שהמינים קיימים לנצח למרות שהיחידים הווים ונפסדים</w:t>
      </w:r>
      <w:r w:rsidR="00701530">
        <w:rPr>
          <w:rFonts w:hint="cs"/>
          <w:rtl/>
        </w:rPr>
        <w:t>.</w:t>
      </w:r>
    </w:p>
    <w:p w14:paraId="0C1D6107" w14:textId="6C011707" w:rsidR="00701530" w:rsidRDefault="00DA54F0" w:rsidP="00BD6684">
      <w:pPr>
        <w:pStyle w:val="FootnoteText"/>
        <w:rPr>
          <w:rtl/>
        </w:rPr>
      </w:pPr>
      <w:r>
        <w:rPr>
          <w:rFonts w:hint="cs"/>
          <w:rtl/>
        </w:rPr>
        <w:t xml:space="preserve">האדם מלידתו יש לו שכל בכח, זהו הכח המדבר או הכח הדברי, השכל השימושי, שהוא מילולי וחישובי ואינו יכול להשיג ישים מופשטים מחומר. אחרי עמל קניין החכמה הוא משיג שכל בפועל, הוא השכל העיוני המופשט שיכול להשיג ישים נפרדים ('נפרד' 'נבדל' ו'מופשט' הם היינו הך). </w:t>
      </w:r>
      <w:r w:rsidR="00701530">
        <w:rPr>
          <w:rFonts w:hint="cs"/>
          <w:rtl/>
        </w:rPr>
        <w:t xml:space="preserve"> </w:t>
      </w:r>
    </w:p>
    <w:p w14:paraId="54C75007" w14:textId="7DC43DB0" w:rsidR="00D815D7" w:rsidRDefault="008809CE" w:rsidP="00BD6684">
      <w:pPr>
        <w:pStyle w:val="FootnoteText"/>
        <w:rPr>
          <w:rtl/>
        </w:rPr>
      </w:pPr>
      <w:r>
        <w:rPr>
          <w:rFonts w:hint="cs"/>
          <w:rtl/>
        </w:rPr>
        <w:t>היחידים המוחשיים נודעים יותר לאדם כשהוא במצבו הטבעי, כי הוא משיג רק מציאות חומרית, אבל מצד האמת מה שנודע יותר</w:t>
      </w:r>
      <w:r w:rsidR="00D815D7">
        <w:rPr>
          <w:rFonts w:hint="cs"/>
          <w:rtl/>
        </w:rPr>
        <w:t xml:space="preserve"> הם הישים הנפרדים מחומר, כי הם קודמים במציאות מצד האמת והם מאירים יותר בחכמה האלוהית</w:t>
      </w:r>
      <w:r>
        <w:rPr>
          <w:rFonts w:hint="cs"/>
          <w:rtl/>
        </w:rPr>
        <w:t>, וה</w:t>
      </w:r>
      <w:r w:rsidR="00D815D7">
        <w:rPr>
          <w:rFonts w:hint="cs"/>
          <w:rtl/>
        </w:rPr>
        <w:t>ם</w:t>
      </w:r>
      <w:r>
        <w:rPr>
          <w:rFonts w:hint="cs"/>
          <w:rtl/>
        </w:rPr>
        <w:t xml:space="preserve"> הנודע</w:t>
      </w:r>
      <w:r w:rsidR="00D815D7">
        <w:rPr>
          <w:rFonts w:hint="cs"/>
          <w:rtl/>
        </w:rPr>
        <w:t>ים</w:t>
      </w:r>
      <w:r>
        <w:rPr>
          <w:rFonts w:hint="cs"/>
          <w:rtl/>
        </w:rPr>
        <w:t xml:space="preserve"> לשכל המופשט שהאדם זוכה ל</w:t>
      </w:r>
      <w:r w:rsidR="00D815D7">
        <w:rPr>
          <w:rFonts w:hint="cs"/>
          <w:rtl/>
        </w:rPr>
        <w:t>ו</w:t>
      </w:r>
      <w:r>
        <w:rPr>
          <w:rFonts w:hint="cs"/>
          <w:rtl/>
        </w:rPr>
        <w:t xml:space="preserve"> אחרי שקנה חכמה.</w:t>
      </w:r>
    </w:p>
    <w:p w14:paraId="64709292" w14:textId="2D83B76F" w:rsidR="008477D2" w:rsidRDefault="00D815D7" w:rsidP="00BD6684">
      <w:pPr>
        <w:pStyle w:val="FootnoteText"/>
        <w:rPr>
          <w:rtl/>
        </w:rPr>
      </w:pPr>
      <w:r>
        <w:rPr>
          <w:rFonts w:hint="cs"/>
          <w:rtl/>
        </w:rPr>
        <w:t>השכל המופשט מבואר ב</w:t>
      </w:r>
      <w:r w:rsidR="00F055C8">
        <w:rPr>
          <w:rtl/>
        </w:rPr>
        <w:t>"</w:t>
      </w:r>
      <w:r>
        <w:rPr>
          <w:rFonts w:hint="cs"/>
          <w:rtl/>
        </w:rPr>
        <w:t>על הנפש</w:t>
      </w:r>
      <w:r w:rsidR="00F055C8">
        <w:rPr>
          <w:rtl/>
        </w:rPr>
        <w:t>"</w:t>
      </w:r>
      <w:r>
        <w:rPr>
          <w:rFonts w:hint="cs"/>
          <w:rtl/>
        </w:rPr>
        <w:t xml:space="preserve"> </w:t>
      </w:r>
      <w:r w:rsidR="008477D2">
        <w:rPr>
          <w:rFonts w:hint="cs"/>
          <w:rtl/>
        </w:rPr>
        <w:t>ג' ה', ובמטאפיזיקה למבדא פרק ז'</w:t>
      </w:r>
      <w:r w:rsidR="0084174A">
        <w:rPr>
          <w:rFonts w:hint="cs"/>
          <w:rtl/>
        </w:rPr>
        <w:t xml:space="preserve"> (תרגום ח</w:t>
      </w:r>
      <w:r w:rsidR="00F055C8">
        <w:rPr>
          <w:rtl/>
        </w:rPr>
        <w:t>"</w:t>
      </w:r>
      <w:r w:rsidR="0084174A">
        <w:rPr>
          <w:rFonts w:hint="cs"/>
          <w:rtl/>
        </w:rPr>
        <w:t>י רות)</w:t>
      </w:r>
      <w:r w:rsidR="008477D2">
        <w:rPr>
          <w:rFonts w:hint="cs"/>
          <w:rtl/>
        </w:rPr>
        <w:t>:</w:t>
      </w:r>
    </w:p>
    <w:p w14:paraId="00DD52C5" w14:textId="43217FD3" w:rsidR="008809CE" w:rsidRDefault="00F055C8" w:rsidP="00BD6684">
      <w:pPr>
        <w:pStyle w:val="FootnoteText"/>
        <w:rPr>
          <w:rtl/>
        </w:rPr>
      </w:pPr>
      <w:r>
        <w:rPr>
          <w:rtl/>
        </w:rPr>
        <w:t>"</w:t>
      </w:r>
      <w:r w:rsidR="0084174A">
        <w:rPr>
          <w:rFonts w:hint="cs"/>
          <w:rtl/>
        </w:rPr>
        <w:t>מה שמשכיל השכל הוא עצמו, שהרי לוקח הוא חלק במושכלו, כי נהיה הוא עצמו למושכל כשהוא נוגע בנשואיו ומשכיל אותם, ובאופן זה השכל והמושכל הם אחד, כי אין לך מוכשר לקבל את המושכל, שהוא ה'מהות' [זה מונח שאצל אריסטו מציין תמיד לצורה המופשטת, האידיאה], אלא השכל. כו'</w:t>
      </w:r>
      <w:r>
        <w:rPr>
          <w:rtl/>
        </w:rPr>
        <w:t>"</w:t>
      </w:r>
      <w:r w:rsidR="00D815D7">
        <w:rPr>
          <w:rFonts w:hint="cs"/>
          <w:rtl/>
        </w:rPr>
        <w:t xml:space="preserve"> </w:t>
      </w:r>
      <w:r w:rsidR="0084174A">
        <w:rPr>
          <w:rFonts w:hint="cs"/>
          <w:rtl/>
        </w:rPr>
        <w:t>ועיין שם שזה מדבר בהשגת בני אדם ו</w:t>
      </w:r>
      <w:r w:rsidR="004C6000">
        <w:rPr>
          <w:rFonts w:hint="cs"/>
          <w:rtl/>
        </w:rPr>
        <w:t>לא</w:t>
      </w:r>
      <w:r w:rsidR="0084174A">
        <w:rPr>
          <w:rFonts w:hint="cs"/>
          <w:rtl/>
        </w:rPr>
        <w:t xml:space="preserve"> בהשגת האל</w:t>
      </w:r>
      <w:r w:rsidR="004C6000">
        <w:rPr>
          <w:rFonts w:hint="cs"/>
          <w:rtl/>
        </w:rPr>
        <w:t xml:space="preserve"> שבה מדובר שם בהמשך.</w:t>
      </w:r>
      <w:r w:rsidR="008809CE">
        <w:rPr>
          <w:rFonts w:hint="cs"/>
          <w:rtl/>
        </w:rPr>
        <w:t xml:space="preserve">  </w:t>
      </w:r>
    </w:p>
    <w:p w14:paraId="3330C93C" w14:textId="3870DA00" w:rsidR="008809CE" w:rsidRDefault="004C6000" w:rsidP="007C1755">
      <w:pPr>
        <w:pStyle w:val="FootnoteText"/>
        <w:rPr>
          <w:rtl/>
        </w:rPr>
      </w:pPr>
      <w:r>
        <w:rPr>
          <w:rFonts w:hint="cs"/>
          <w:rtl/>
        </w:rPr>
        <w:t>ועיין גם במורה נבוכים א' סוף פרק א', ובמשנה</w:t>
      </w:r>
      <w:r w:rsidR="00E24DCF">
        <w:rPr>
          <w:rFonts w:hint="cs"/>
          <w:rtl/>
        </w:rPr>
        <w:t xml:space="preserve"> </w:t>
      </w:r>
      <w:r>
        <w:rPr>
          <w:rFonts w:hint="cs"/>
          <w:rtl/>
        </w:rPr>
        <w:t>תורה בהלכות יסודי התורה ד' הלכות ז'-ח'.</w:t>
      </w:r>
    </w:p>
    <w:p w14:paraId="70C3B993" w14:textId="47BC24B3" w:rsidR="00E24DCF" w:rsidRDefault="00E24DCF" w:rsidP="007C1755">
      <w:pPr>
        <w:pStyle w:val="FootnoteText"/>
        <w:rPr>
          <w:rtl/>
        </w:rPr>
      </w:pPr>
      <w:r>
        <w:rPr>
          <w:rFonts w:hint="cs"/>
          <w:rtl/>
        </w:rPr>
        <w:t xml:space="preserve">ועיין </w:t>
      </w:r>
      <w:r w:rsidR="007C1755">
        <w:rPr>
          <w:rFonts w:hint="cs"/>
          <w:rtl/>
        </w:rPr>
        <w:t>באנליטיקות אחרונות</w:t>
      </w:r>
      <w:r>
        <w:rPr>
          <w:rFonts w:hint="cs"/>
          <w:rtl/>
        </w:rPr>
        <w:t xml:space="preserve"> ספר א' פרק ב'. ובאנליטיקות אחרונות ספר ב' פרק י</w:t>
      </w:r>
      <w:r w:rsidR="00F055C8">
        <w:rPr>
          <w:rtl/>
        </w:rPr>
        <w:t>"</w:t>
      </w:r>
      <w:r>
        <w:rPr>
          <w:rFonts w:hint="cs"/>
          <w:rtl/>
        </w:rPr>
        <w:t>ט (הפרק האחרון).</w:t>
      </w:r>
    </w:p>
    <w:p w14:paraId="3803D0AF" w14:textId="77777777" w:rsidR="00E24DCF" w:rsidRDefault="00E24DCF" w:rsidP="007C1755">
      <w:pPr>
        <w:pStyle w:val="FootnoteText"/>
        <w:rPr>
          <w:rtl/>
        </w:rPr>
      </w:pPr>
    </w:p>
    <w:p w14:paraId="52802784" w14:textId="77777777" w:rsidR="006F55F8" w:rsidRDefault="00E24DCF" w:rsidP="007C1755">
      <w:pPr>
        <w:pStyle w:val="FootnoteText"/>
        <w:rPr>
          <w:rtl/>
        </w:rPr>
      </w:pPr>
      <w:r>
        <w:rPr>
          <w:rFonts w:hint="cs"/>
          <w:rtl/>
        </w:rPr>
        <w:t>לפי כל זה יש קושיא בלשון אריסטו בפיזיקה א' א', וכבר התחבטו בה המלומדים.</w:t>
      </w:r>
      <w:r w:rsidR="006F55F8">
        <w:rPr>
          <w:rFonts w:hint="cs"/>
          <w:rtl/>
        </w:rPr>
        <w:t xml:space="preserve"> הוא כותב:</w:t>
      </w:r>
    </w:p>
    <w:p w14:paraId="70B9A3F3" w14:textId="5DFD8D35" w:rsidR="006F55F8" w:rsidRDefault="00F055C8" w:rsidP="007C1755">
      <w:pPr>
        <w:pStyle w:val="FootnoteText"/>
        <w:rPr>
          <w:rtl/>
        </w:rPr>
      </w:pPr>
      <w:r>
        <w:rPr>
          <w:rtl/>
        </w:rPr>
        <w:t>"</w:t>
      </w:r>
      <w:r w:rsidR="006F55F8" w:rsidRPr="006F55F8">
        <w:rPr>
          <w:rtl/>
        </w:rPr>
        <w:t>כי השלם מוכר יותר על פי התפיסה החושנית, והכללי הוא איזה שלם</w:t>
      </w:r>
      <w:r>
        <w:rPr>
          <w:rtl/>
        </w:rPr>
        <w:t>"</w:t>
      </w:r>
      <w:r w:rsidR="007C1755">
        <w:rPr>
          <w:rFonts w:hint="cs"/>
          <w:rtl/>
        </w:rPr>
        <w:t xml:space="preserve"> </w:t>
      </w:r>
    </w:p>
    <w:p w14:paraId="18CD32F5" w14:textId="6EAE9DE9" w:rsidR="0085226E" w:rsidRDefault="00F055C8" w:rsidP="007C1755">
      <w:pPr>
        <w:pStyle w:val="FootnoteText"/>
        <w:rPr>
          <w:rtl/>
        </w:rPr>
      </w:pPr>
      <w:r>
        <w:rPr>
          <w:rtl/>
        </w:rPr>
        <w:t>"</w:t>
      </w:r>
      <w:r w:rsidR="006F55F8">
        <w:rPr>
          <w:rFonts w:hint="cs"/>
          <w:rtl/>
        </w:rPr>
        <w:t>הכללי</w:t>
      </w:r>
      <w:r>
        <w:rPr>
          <w:rtl/>
        </w:rPr>
        <w:t>"</w:t>
      </w:r>
      <w:r w:rsidR="006F55F8">
        <w:rPr>
          <w:rFonts w:hint="cs"/>
          <w:rtl/>
        </w:rPr>
        <w:t xml:space="preserve"> פירושו האוניברסל, כלומר המין והסוג, דהיינו הצורה המופשטת. הצורה המופשטת מוכרת יותר על ידי התפיסה השכלית ולא על ידי התפיסה החושנית, שמשיגה את החומר.</w:t>
      </w:r>
    </w:p>
    <w:p w14:paraId="046F0013" w14:textId="00823590" w:rsidR="007C1755" w:rsidRDefault="0085226E" w:rsidP="007C1755">
      <w:pPr>
        <w:pStyle w:val="FootnoteText"/>
        <w:rPr>
          <w:rtl/>
        </w:rPr>
      </w:pPr>
      <w:r>
        <w:rPr>
          <w:rFonts w:hint="cs"/>
          <w:rtl/>
        </w:rPr>
        <w:t xml:space="preserve">הקושיא הזו יסודה בטעות. אנשי האקדמיה סבורים שיש מציאות לחומר. באמת אין לחומר שום מציאות ואינו מושג כשלעצמו גם לא בחושים. הוא תמיד ובהכרח רק מצע לגילוי הצורה. השכל משיג צורות בלא צורך למצע הזה והחוש זקוק למצע, אבל אחרי שיש מצע מה שהחוש משיג הוא את הצורה. זו כוונת דברי אבן סינא כאן שהיחיד המוחשי אינו המכוון בטבע מצד עצמו אלא רק כדי לגלות באמצעותו את הצורה. </w:t>
      </w:r>
    </w:p>
    <w:p w14:paraId="1E4D7336" w14:textId="77777777" w:rsidR="00DE4043" w:rsidRDefault="00DE4043" w:rsidP="007C1755">
      <w:pPr>
        <w:pStyle w:val="FootnoteText"/>
        <w:rPr>
          <w:rtl/>
        </w:rPr>
      </w:pPr>
    </w:p>
    <w:p w14:paraId="2E6E9376" w14:textId="2CFDA7C5" w:rsidR="006673B9" w:rsidRDefault="006673B9" w:rsidP="007C1755">
      <w:pPr>
        <w:pStyle w:val="FootnoteText"/>
        <w:rPr>
          <w:rtl/>
        </w:rPr>
      </w:pPr>
      <w:r>
        <w:rPr>
          <w:rFonts w:hint="cs"/>
          <w:rtl/>
        </w:rPr>
        <w:t>יש שלושה אופנים של תפישת הצורה</w:t>
      </w:r>
      <w:r w:rsidR="009404C9">
        <w:rPr>
          <w:rtl/>
        </w:rPr>
        <w:fldChar w:fldCharType="begin"/>
      </w:r>
      <w:r w:rsidR="009404C9">
        <w:instrText xml:space="preserve"> XE "</w:instrText>
      </w:r>
      <w:r w:rsidR="009404C9" w:rsidRPr="00AF48C3">
        <w:rPr>
          <w:rFonts w:hint="cs"/>
          <w:rtl/>
        </w:rPr>
        <w:instrText>שלושה אופנים של תפישת הצורה</w:instrText>
      </w:r>
      <w:r w:rsidR="009404C9">
        <w:instrText xml:space="preserve">" </w:instrText>
      </w:r>
      <w:r w:rsidR="009404C9">
        <w:rPr>
          <w:rtl/>
        </w:rPr>
        <w:fldChar w:fldCharType="end"/>
      </w:r>
      <w:r>
        <w:rPr>
          <w:rFonts w:hint="cs"/>
          <w:rtl/>
        </w:rPr>
        <w:t>, האידיאה</w:t>
      </w:r>
      <w:r w:rsidR="00DE4043">
        <w:rPr>
          <w:rFonts w:hint="cs"/>
          <w:rtl/>
        </w:rPr>
        <w:t>:</w:t>
      </w:r>
    </w:p>
    <w:p w14:paraId="129AAF78" w14:textId="5C3D157F" w:rsidR="0085226E" w:rsidRDefault="006673B9" w:rsidP="007C1755">
      <w:pPr>
        <w:pStyle w:val="FootnoteText"/>
        <w:rPr>
          <w:rtl/>
        </w:rPr>
      </w:pPr>
      <w:r>
        <w:rPr>
          <w:rFonts w:hint="cs"/>
          <w:rtl/>
        </w:rPr>
        <w:t xml:space="preserve">הראשון הוא התפישה החושית, החומרית, שנמצאת גם אצל תינוקות ובאמת אצל כל בעלי החיים. </w:t>
      </w:r>
    </w:p>
    <w:p w14:paraId="492A369C" w14:textId="77777777" w:rsidR="00745A98" w:rsidRDefault="006673B9" w:rsidP="007C1755">
      <w:pPr>
        <w:pStyle w:val="FootnoteText"/>
        <w:rPr>
          <w:rtl/>
        </w:rPr>
      </w:pPr>
      <w:r>
        <w:rPr>
          <w:rFonts w:hint="cs"/>
          <w:rtl/>
        </w:rPr>
        <w:t xml:space="preserve">למשל אם תינוק רואה כלב א' שהוא לבן קטן עם שיער ארוך, וכלב ב' שהוא גדול שחור וקצר שיער. ולידם יש ארנב וכלב א' דומה לארנב יותר ממה שהוא דומה לכלב הגדול. הילד יידע ששני הכלבים הם מין אחד והארנב הוא מין אחר. הרי שהוא תופש את המהות של 'כלביות' שהיא האידיאה של 'כלב', הצורה המופשטת 'כלב' שחלה על החומר של בעלי החיים האלה. תינוקות תופשים כך גם בפעם הראשונה שהם רואים את בעל החיים, </w:t>
      </w:r>
      <w:r w:rsidR="006413B7">
        <w:rPr>
          <w:rFonts w:hint="cs"/>
          <w:rtl/>
        </w:rPr>
        <w:t xml:space="preserve">וגם בבעלי חיים שאינם מכירים. זה לא נובע מלמידה אחרי פגישה עם כמה בעלי חיים והפשטת התכונות המשותפות להם. אפשר שגם אחרי הרבה פגישות התינוק לא ימצא שום תכונות משותפות לשני הכלבים שאין בארנב (הגדרות של מינים לפי הביולוגיה המודרנית, וכגון אם הם יכולים להוליד זה מזה או דברים במבנה גופם וכגון בעלי חוליות וכל כיוצא בזה אינם שייכים כלל להגדרת הצורות אצל אריסטו, ואינם שייכים להשגה של תינוקות). </w:t>
      </w:r>
      <w:r w:rsidR="00745A98">
        <w:rPr>
          <w:rFonts w:hint="cs"/>
          <w:rtl/>
        </w:rPr>
        <w:t>אלא התינוק יכול להשיג את האידיאה של בעל החיים.</w:t>
      </w:r>
    </w:p>
    <w:p w14:paraId="65174437" w14:textId="50FEAB04" w:rsidR="0085226E" w:rsidRDefault="00745A98" w:rsidP="007C1755">
      <w:pPr>
        <w:pStyle w:val="FootnoteText"/>
        <w:rPr>
          <w:rtl/>
        </w:rPr>
      </w:pPr>
      <w:r>
        <w:rPr>
          <w:rFonts w:hint="cs"/>
          <w:rtl/>
        </w:rPr>
        <w:t xml:space="preserve">גם </w:t>
      </w:r>
      <w:r w:rsidR="00422790">
        <w:rPr>
          <w:rFonts w:hint="cs"/>
          <w:rtl/>
        </w:rPr>
        <w:t>בעלי חיים משיגים את הצורה של גופים,</w:t>
      </w:r>
      <w:r>
        <w:rPr>
          <w:rFonts w:hint="cs"/>
          <w:rtl/>
        </w:rPr>
        <w:t xml:space="preserve"> </w:t>
      </w:r>
      <w:r w:rsidR="00950CAA">
        <w:rPr>
          <w:rFonts w:hint="cs"/>
          <w:rtl/>
        </w:rPr>
        <w:t>אם אני זורק פירור קטן של מזון כלשהו לדגים, מיד כולם רצים לעברו, גם אם לא ראו כזה מקודם, אבל אם אני זורק פירור שלא ראוי לאכילה הם לא רצים לבדוק האם הוא ראוי לאכילה, הם משיגים את טבעו, מהותו, האידיאה שלו. תיש צעיר ש</w:t>
      </w:r>
      <w:r w:rsidR="00BB26B7">
        <w:rPr>
          <w:rFonts w:hint="cs"/>
          <w:rtl/>
        </w:rPr>
        <w:t>הגיע לבגרות מינית רואה כבש נקבה וניגש אליה, ואל כבש זכר אינו ניגש. הם נראים אותו דבר, הוא לא בודק באיבריהם, הרי זו לו פעם ראשונה ואיך הוא יודע מראש מה מטבעו מתאים למאווייו, אבן סינא מביא דוגמה זו ב</w:t>
      </w:r>
      <w:hyperlink r:id="rId14" w:history="1">
        <w:r w:rsidR="00BB26B7" w:rsidRPr="00184FC6">
          <w:rPr>
            <w:rStyle w:val="Hyperlink"/>
            <w:rFonts w:hint="cs"/>
            <w:rtl/>
          </w:rPr>
          <w:t>רמיזות והערות</w:t>
        </w:r>
      </w:hyperlink>
      <w:r w:rsidR="00BB26B7">
        <w:rPr>
          <w:rFonts w:hint="cs"/>
          <w:rtl/>
        </w:rPr>
        <w:t xml:space="preserve">. </w:t>
      </w:r>
      <w:r>
        <w:rPr>
          <w:rFonts w:hint="cs"/>
          <w:rtl/>
        </w:rPr>
        <w:t>יש הרבה מאוד דוגמאות מעין אלה והרבה מהן</w:t>
      </w:r>
      <w:r w:rsidR="00916F7C">
        <w:rPr>
          <w:rFonts w:hint="cs"/>
          <w:rtl/>
        </w:rPr>
        <w:t xml:space="preserve"> </w:t>
      </w:r>
      <w:r>
        <w:rPr>
          <w:rFonts w:hint="cs"/>
          <w:rtl/>
        </w:rPr>
        <w:t>אין ספק ש</w:t>
      </w:r>
      <w:r w:rsidR="00916F7C">
        <w:rPr>
          <w:rFonts w:hint="cs"/>
          <w:rtl/>
        </w:rPr>
        <w:t>הן אמת לפי המציאות. עיין ב</w:t>
      </w:r>
      <w:r w:rsidR="00F055C8">
        <w:rPr>
          <w:rtl/>
        </w:rPr>
        <w:t>"</w:t>
      </w:r>
      <w:r w:rsidR="00916F7C">
        <w:rPr>
          <w:rFonts w:hint="cs"/>
          <w:rtl/>
        </w:rPr>
        <w:t>אדם חי</w:t>
      </w:r>
      <w:r w:rsidR="00F055C8">
        <w:rPr>
          <w:rtl/>
        </w:rPr>
        <w:t>"</w:t>
      </w:r>
      <w:r w:rsidR="00916F7C">
        <w:rPr>
          <w:rFonts w:hint="cs"/>
          <w:rtl/>
        </w:rPr>
        <w:t xml:space="preserve"> </w:t>
      </w:r>
      <w:hyperlink r:id="rId15" w:history="1">
        <w:r w:rsidR="00916F7C" w:rsidRPr="00AB0E6D">
          <w:rPr>
            <w:rStyle w:val="Hyperlink"/>
            <w:rFonts w:hint="cs"/>
            <w:rtl/>
          </w:rPr>
          <w:t>רשימה 48</w:t>
        </w:r>
      </w:hyperlink>
      <w:r w:rsidR="00916F7C">
        <w:rPr>
          <w:rFonts w:hint="cs"/>
          <w:rtl/>
        </w:rPr>
        <w:t xml:space="preserve"> שם הארכתי בעניי</w:t>
      </w:r>
      <w:r w:rsidR="00AB0E6D">
        <w:rPr>
          <w:rFonts w:hint="cs"/>
          <w:rtl/>
        </w:rPr>
        <w:t>ן</w:t>
      </w:r>
      <w:r w:rsidR="00916F7C">
        <w:rPr>
          <w:rFonts w:hint="cs"/>
          <w:rtl/>
        </w:rPr>
        <w:t xml:space="preserve"> יסודי זה. </w:t>
      </w:r>
      <w:r>
        <w:rPr>
          <w:rFonts w:hint="cs"/>
          <w:rtl/>
        </w:rPr>
        <w:t xml:space="preserve"> </w:t>
      </w:r>
    </w:p>
    <w:p w14:paraId="640BF16A" w14:textId="297ED4F0" w:rsidR="00BB26B7" w:rsidRDefault="00BB26B7" w:rsidP="007C1755">
      <w:pPr>
        <w:pStyle w:val="FootnoteText"/>
        <w:rPr>
          <w:rtl/>
        </w:rPr>
      </w:pPr>
      <w:r>
        <w:rPr>
          <w:rFonts w:hint="cs"/>
          <w:rtl/>
        </w:rPr>
        <w:t xml:space="preserve">מכאן מבואר שבהכרח כל תפישה היא תפישה של צורה, אידיאה. בלא זה אי אפשר לתפוש כלל דבר שהוא 'משהו', כי המהות נקבעת רק לפי הצורה. </w:t>
      </w:r>
    </w:p>
    <w:p w14:paraId="31179F37" w14:textId="5A57AA00" w:rsidR="005D1030" w:rsidRDefault="00B57870" w:rsidP="005D1030">
      <w:pPr>
        <w:pStyle w:val="FootnoteText"/>
        <w:rPr>
          <w:rtl/>
        </w:rPr>
      </w:pPr>
      <w:r>
        <w:rPr>
          <w:rFonts w:hint="cs"/>
          <w:rtl/>
        </w:rPr>
        <w:t xml:space="preserve">זו תפישה בצורה, בכוללים שהם הסוג והמין, שנקראת אצל אריסטו </w:t>
      </w:r>
      <w:r w:rsidR="005D1030">
        <w:rPr>
          <w:rFonts w:hint="cs"/>
          <w:rtl/>
        </w:rPr>
        <w:t>כולל</w:t>
      </w:r>
      <w:r>
        <w:rPr>
          <w:rFonts w:hint="cs"/>
          <w:rtl/>
        </w:rPr>
        <w:t xml:space="preserve"> ראשוני, באנגלית מתרגמים</w:t>
      </w:r>
      <w:bookmarkStart w:id="42" w:name="_Hlk96871130"/>
      <w:r>
        <w:t xml:space="preserve">universal </w:t>
      </w:r>
      <w:r>
        <w:rPr>
          <w:rtl/>
        </w:rPr>
        <w:t xml:space="preserve"> </w:t>
      </w:r>
      <w:r w:rsidRPr="00B57870">
        <w:t>primitive</w:t>
      </w:r>
      <w:bookmarkEnd w:id="42"/>
      <w:r>
        <w:rPr>
          <w:rFonts w:hint="cs"/>
          <w:rtl/>
        </w:rPr>
        <w:t xml:space="preserve"> </w:t>
      </w:r>
      <w:r w:rsidR="005D1030">
        <w:rPr>
          <w:rFonts w:hint="cs"/>
          <w:rtl/>
        </w:rPr>
        <w:t xml:space="preserve">וביוונית המונח </w:t>
      </w:r>
      <w:r w:rsidR="005D1030" w:rsidRPr="005D1030">
        <w:t>prôton katholou</w:t>
      </w:r>
      <w:r w:rsidR="005D1030">
        <w:rPr>
          <w:rFonts w:hint="cs"/>
          <w:rtl/>
        </w:rPr>
        <w:t xml:space="preserve">. </w:t>
      </w:r>
      <w:r w:rsidR="00F2381F">
        <w:rPr>
          <w:rFonts w:hint="cs"/>
          <w:rtl/>
        </w:rPr>
        <w:t>הכולל הראשוני</w:t>
      </w:r>
      <w:r w:rsidR="009E6424">
        <w:rPr>
          <w:rFonts w:hint="cs"/>
          <w:rtl/>
        </w:rPr>
        <w:t xml:space="preserve"> מבואר אצל אריסטו באנליטיקות </w:t>
      </w:r>
      <w:r w:rsidR="00AB4D0C">
        <w:rPr>
          <w:rFonts w:hint="cs"/>
          <w:rtl/>
        </w:rPr>
        <w:t>אחרונות</w:t>
      </w:r>
      <w:r w:rsidR="009E6424">
        <w:rPr>
          <w:rFonts w:hint="cs"/>
          <w:rtl/>
        </w:rPr>
        <w:t xml:space="preserve"> ספר ב' פרק י</w:t>
      </w:r>
      <w:r w:rsidR="00F055C8">
        <w:rPr>
          <w:rtl/>
        </w:rPr>
        <w:t>"</w:t>
      </w:r>
      <w:r w:rsidR="009E6424">
        <w:rPr>
          <w:rFonts w:hint="cs"/>
          <w:rtl/>
        </w:rPr>
        <w:t xml:space="preserve">ט, </w:t>
      </w:r>
      <w:r w:rsidR="00F2381F">
        <w:rPr>
          <w:rFonts w:hint="cs"/>
          <w:rtl/>
        </w:rPr>
        <w:t>ו</w:t>
      </w:r>
      <w:r w:rsidR="009E6424">
        <w:rPr>
          <w:rFonts w:hint="cs"/>
          <w:rtl/>
        </w:rPr>
        <w:t xml:space="preserve">שם </w:t>
      </w:r>
      <w:r w:rsidR="00F2381F">
        <w:rPr>
          <w:rFonts w:hint="cs"/>
          <w:rtl/>
        </w:rPr>
        <w:t>ב</w:t>
      </w:r>
      <w:r w:rsidR="009E6424">
        <w:rPr>
          <w:rFonts w:hint="cs"/>
          <w:rtl/>
        </w:rPr>
        <w:t>ספר א' פרק ב', ועיין גם ב</w:t>
      </w:r>
      <w:r w:rsidR="00F055C8">
        <w:rPr>
          <w:rtl/>
        </w:rPr>
        <w:t>"</w:t>
      </w:r>
      <w:r w:rsidR="009E6424">
        <w:rPr>
          <w:rFonts w:hint="cs"/>
          <w:rtl/>
        </w:rPr>
        <w:t>על הנפש</w:t>
      </w:r>
      <w:r w:rsidR="00F055C8">
        <w:rPr>
          <w:rtl/>
        </w:rPr>
        <w:t>"</w:t>
      </w:r>
      <w:r w:rsidR="009E6424">
        <w:rPr>
          <w:rFonts w:hint="cs"/>
          <w:rtl/>
        </w:rPr>
        <w:t xml:space="preserve"> </w:t>
      </w:r>
      <w:r w:rsidR="00F2381F">
        <w:rPr>
          <w:rFonts w:hint="cs"/>
          <w:rtl/>
        </w:rPr>
        <w:t>ג' א'.</w:t>
      </w:r>
    </w:p>
    <w:p w14:paraId="478FAAEB" w14:textId="71460DEE" w:rsidR="00DD624E" w:rsidRDefault="00CD7BF6" w:rsidP="005D1030">
      <w:pPr>
        <w:pStyle w:val="FootnoteText"/>
        <w:rPr>
          <w:rtl/>
        </w:rPr>
      </w:pPr>
      <w:r>
        <w:rPr>
          <w:rFonts w:hint="cs"/>
          <w:rtl/>
        </w:rPr>
        <w:t xml:space="preserve">תפישת הכולל הראשוני אין בה פרטים, התינוק משיג שראובן הוא אדם ולא קוף, כלומר הוא משיג את הצורה 'חי מדבר', אבל אינו יודע לומר שיש במהותו של אדם 'חי' ו'מדבר', ומה הם חיים ומהו כח הדיבור. לכן זה נחשב 'שלם'. התינוק אינו מבחין בין דברים שמיוחדים בראובן בגלל החומר שלו ובין צורתו, הוא </w:t>
      </w:r>
      <w:r w:rsidR="00D17A47">
        <w:rPr>
          <w:rFonts w:hint="cs"/>
          <w:rtl/>
        </w:rPr>
        <w:t>לא</w:t>
      </w:r>
      <w:r>
        <w:rPr>
          <w:rFonts w:hint="cs"/>
          <w:rtl/>
        </w:rPr>
        <w:t xml:space="preserve"> מבחין בין היות ראובן 'חי מדבר' לבין היותו מהיר ריצה. </w:t>
      </w:r>
      <w:r w:rsidR="00D17A47">
        <w:rPr>
          <w:rFonts w:hint="cs"/>
          <w:rtl/>
        </w:rPr>
        <w:t xml:space="preserve">לכן הוא גם לא יודע להבחין היטב בין ראובן לשמעון, כדי להבחין בין ראובן לשמעון צריך לבודד את התכונות החומריות של שניהם שהן המייחדות אותם ממה ששניהם הם 'חי מדבר', ולכן התינוק קורא לכל גבר אבא.  </w:t>
      </w:r>
      <w:r>
        <w:rPr>
          <w:rFonts w:hint="cs"/>
          <w:rtl/>
        </w:rPr>
        <w:t xml:space="preserve"> </w:t>
      </w:r>
    </w:p>
    <w:p w14:paraId="4B9CB381" w14:textId="583B6C8C" w:rsidR="00204C6B" w:rsidRDefault="00D17A47" w:rsidP="00D17A47">
      <w:pPr>
        <w:pStyle w:val="FootnoteText"/>
        <w:rPr>
          <w:rtl/>
        </w:rPr>
      </w:pPr>
      <w:r>
        <w:rPr>
          <w:rFonts w:hint="cs"/>
          <w:rtl/>
        </w:rPr>
        <w:t>הצורות בדרך התפישה של כולל ראשוני קיימות בשכל של התינוק מלידתו, ועמל השגת החכמה הוא לדייק את פרטיהן, על ידי הפשטתן מהחומר, כמו שמבואר באנליטיקות שניות ספר ב' פרק י</w:t>
      </w:r>
      <w:r w:rsidR="00F055C8">
        <w:rPr>
          <w:rtl/>
        </w:rPr>
        <w:t>"</w:t>
      </w:r>
      <w:r>
        <w:rPr>
          <w:rFonts w:hint="cs"/>
          <w:rtl/>
        </w:rPr>
        <w:t xml:space="preserve">ט. </w:t>
      </w:r>
      <w:r w:rsidR="00DF49B4">
        <w:rPr>
          <w:rFonts w:hint="cs"/>
          <w:rtl/>
        </w:rPr>
        <w:t>ועין גם במנון מאת אפלטון שהלימוד עניינו היזכרות.</w:t>
      </w:r>
    </w:p>
    <w:p w14:paraId="31C3642A" w14:textId="77777777" w:rsidR="007925D0" w:rsidRDefault="007925D0" w:rsidP="00D17A47">
      <w:pPr>
        <w:pStyle w:val="FootnoteText"/>
        <w:rPr>
          <w:rtl/>
        </w:rPr>
      </w:pPr>
    </w:p>
    <w:p w14:paraId="35115267" w14:textId="36BD6425" w:rsidR="00204C6B" w:rsidRDefault="00204C6B" w:rsidP="00D17A47">
      <w:pPr>
        <w:pStyle w:val="FootnoteText"/>
        <w:rPr>
          <w:rtl/>
        </w:rPr>
      </w:pPr>
      <w:r>
        <w:rPr>
          <w:rFonts w:hint="cs"/>
          <w:rtl/>
        </w:rPr>
        <w:t>בהלכות יסודי התורה ד' ז' ניסח הרמב</w:t>
      </w:r>
      <w:r w:rsidR="00F055C8">
        <w:rPr>
          <w:rtl/>
        </w:rPr>
        <w:t>"</w:t>
      </w:r>
      <w:r>
        <w:rPr>
          <w:rFonts w:hint="cs"/>
          <w:rtl/>
        </w:rPr>
        <w:t>ם באופן יפה עניין זה:</w:t>
      </w:r>
    </w:p>
    <w:p w14:paraId="09F8843A" w14:textId="16B040CB" w:rsidR="0087052B" w:rsidRDefault="00F055C8" w:rsidP="00D17A47">
      <w:pPr>
        <w:pStyle w:val="FootnoteText"/>
        <w:rPr>
          <w:rtl/>
        </w:rPr>
      </w:pPr>
      <w:r>
        <w:rPr>
          <w:rtl/>
        </w:rPr>
        <w:t>"</w:t>
      </w:r>
      <w:r w:rsidR="00204C6B" w:rsidRPr="00204C6B">
        <w:rPr>
          <w:rtl/>
        </w:rPr>
        <w:t>לְעוֹלָם אֵין אַתָּה רוֹאֶה גֹּלֶם בְּלֹא צוּרָה אוֹ צוּרָה בְּלֹא גֹּלֶם</w:t>
      </w:r>
      <w:r w:rsidR="0087052B">
        <w:rPr>
          <w:rFonts w:hint="cs"/>
          <w:rtl/>
        </w:rPr>
        <w:t xml:space="preserve"> [זו התפישה בדרך של </w:t>
      </w:r>
      <w:r w:rsidR="00A85D26">
        <w:rPr>
          <w:rFonts w:hint="cs"/>
          <w:rtl/>
        </w:rPr>
        <w:t>'</w:t>
      </w:r>
      <w:r w:rsidR="0087052B">
        <w:rPr>
          <w:rFonts w:hint="cs"/>
          <w:rtl/>
        </w:rPr>
        <w:t>כולל ראשוני</w:t>
      </w:r>
      <w:r w:rsidR="00A85D26">
        <w:rPr>
          <w:rFonts w:hint="cs"/>
          <w:rtl/>
        </w:rPr>
        <w:t>'</w:t>
      </w:r>
      <w:r w:rsidR="0087052B">
        <w:rPr>
          <w:rFonts w:hint="cs"/>
          <w:rtl/>
        </w:rPr>
        <w:t>, שנמצא כבר בתודעת האדם מלידתו</w:t>
      </w:r>
      <w:r w:rsidR="00422790">
        <w:rPr>
          <w:rFonts w:hint="cs"/>
          <w:rtl/>
        </w:rPr>
        <w:t>, כי האדם הוא עולם קטן, והוא מזהה את מה שהוא כבר יודע</w:t>
      </w:r>
      <w:r w:rsidR="0087052B">
        <w:rPr>
          <w:rFonts w:hint="cs"/>
          <w:rtl/>
        </w:rPr>
        <w:t>]</w:t>
      </w:r>
      <w:r w:rsidR="00204C6B" w:rsidRPr="00204C6B">
        <w:rPr>
          <w:rtl/>
        </w:rPr>
        <w:t xml:space="preserve">, </w:t>
      </w:r>
    </w:p>
    <w:p w14:paraId="708C988D" w14:textId="13D2F327" w:rsidR="0087052B" w:rsidRDefault="00204C6B" w:rsidP="00D17A47">
      <w:pPr>
        <w:pStyle w:val="FootnoteText"/>
        <w:rPr>
          <w:rtl/>
        </w:rPr>
      </w:pPr>
      <w:r w:rsidRPr="00204C6B">
        <w:rPr>
          <w:rtl/>
        </w:rPr>
        <w:t xml:space="preserve">אֶלָּא לֵב הָאָדָם הוּא שֶׁמְּחַלֵּק הַגּוּף הַנִּמְצָא בְּדַעְתּוֹ, וְיוֹדֵעַ שֶׁהוּא מְחֻבָּר מִגֹּלֶם וְצוּרָה, </w:t>
      </w:r>
      <w:r w:rsidR="0087052B">
        <w:rPr>
          <w:rFonts w:hint="cs"/>
          <w:rtl/>
        </w:rPr>
        <w:t>[זה עמל לימוד חכמת הטבע, הפיזיקה, להתבונן בצורה שנתפשת בדר</w:t>
      </w:r>
      <w:r w:rsidR="002834AF">
        <w:rPr>
          <w:rFonts w:hint="cs"/>
          <w:rtl/>
        </w:rPr>
        <w:t>ך</w:t>
      </w:r>
      <w:r w:rsidR="0087052B">
        <w:rPr>
          <w:rFonts w:hint="cs"/>
          <w:rtl/>
        </w:rPr>
        <w:t xml:space="preserve"> של </w:t>
      </w:r>
      <w:r w:rsidR="00422790">
        <w:rPr>
          <w:rFonts w:hint="cs"/>
          <w:rtl/>
        </w:rPr>
        <w:t>'</w:t>
      </w:r>
      <w:r w:rsidR="0087052B">
        <w:rPr>
          <w:rFonts w:hint="cs"/>
          <w:rtl/>
        </w:rPr>
        <w:t>כולל ראשוני</w:t>
      </w:r>
      <w:r w:rsidR="00422790">
        <w:rPr>
          <w:rFonts w:hint="cs"/>
          <w:rtl/>
        </w:rPr>
        <w:t>'</w:t>
      </w:r>
      <w:r w:rsidR="007925D0">
        <w:rPr>
          <w:rFonts w:hint="cs"/>
          <w:rtl/>
        </w:rPr>
        <w:t>, שהחוש והדמיון תופשים ומביאים אל</w:t>
      </w:r>
      <w:r w:rsidR="007925D0">
        <w:rPr>
          <w:rFonts w:hint="cs"/>
        </w:rPr>
        <w:t xml:space="preserve"> </w:t>
      </w:r>
      <w:r w:rsidR="007925D0">
        <w:rPr>
          <w:rFonts w:hint="cs"/>
          <w:rtl/>
        </w:rPr>
        <w:t>השכל,</w:t>
      </w:r>
      <w:r w:rsidR="0087052B">
        <w:rPr>
          <w:rFonts w:hint="cs"/>
          <w:rtl/>
        </w:rPr>
        <w:t xml:space="preserve"> וללמוד את גדריה </w:t>
      </w:r>
      <w:r w:rsidR="002834AF">
        <w:rPr>
          <w:rFonts w:hint="cs"/>
          <w:rtl/>
        </w:rPr>
        <w:t>המדויקים</w:t>
      </w:r>
      <w:r w:rsidR="0087052B">
        <w:rPr>
          <w:rFonts w:hint="cs"/>
          <w:rtl/>
        </w:rPr>
        <w:t xml:space="preserve"> </w:t>
      </w:r>
      <w:r w:rsidR="002834AF">
        <w:rPr>
          <w:rFonts w:hint="cs"/>
          <w:rtl/>
        </w:rPr>
        <w:t>בפירו</w:t>
      </w:r>
      <w:r w:rsidR="00422790">
        <w:rPr>
          <w:rFonts w:hint="cs"/>
          <w:rtl/>
        </w:rPr>
        <w:t>ט</w:t>
      </w:r>
      <w:r w:rsidR="002834AF">
        <w:rPr>
          <w:rFonts w:hint="cs"/>
          <w:rtl/>
        </w:rPr>
        <w:t xml:space="preserve"> וחדות </w:t>
      </w:r>
      <w:r w:rsidR="0087052B">
        <w:rPr>
          <w:rFonts w:hint="cs"/>
          <w:rtl/>
        </w:rPr>
        <w:t>ובכ</w:t>
      </w:r>
      <w:r w:rsidR="002834AF">
        <w:rPr>
          <w:rFonts w:hint="cs"/>
          <w:rtl/>
        </w:rPr>
        <w:t>ך</w:t>
      </w:r>
      <w:r w:rsidR="0087052B">
        <w:rPr>
          <w:rFonts w:hint="cs"/>
          <w:rtl/>
        </w:rPr>
        <w:t xml:space="preserve"> להפשיט אותה מהחומר שגורם </w:t>
      </w:r>
      <w:r w:rsidR="002834AF">
        <w:rPr>
          <w:rFonts w:hint="cs"/>
          <w:rtl/>
        </w:rPr>
        <w:t xml:space="preserve">לתפישה </w:t>
      </w:r>
      <w:r w:rsidR="0087052B">
        <w:rPr>
          <w:rFonts w:hint="cs"/>
          <w:rtl/>
        </w:rPr>
        <w:t>מעומעמת ולא מפורטת</w:t>
      </w:r>
      <w:r w:rsidR="00422790">
        <w:rPr>
          <w:rFonts w:hint="cs"/>
          <w:rtl/>
        </w:rPr>
        <w:t>. זה העמל של הסרת המחיצות הגשמיות שביאר הרמב</w:t>
      </w:r>
      <w:r w:rsidR="00F055C8">
        <w:rPr>
          <w:rtl/>
        </w:rPr>
        <w:t>"</w:t>
      </w:r>
      <w:r w:rsidR="00422790">
        <w:rPr>
          <w:rFonts w:hint="cs"/>
          <w:rtl/>
        </w:rPr>
        <w:t xml:space="preserve">ם בשמונה פרקים פרק ז', </w:t>
      </w:r>
      <w:r w:rsidR="004C35D4">
        <w:rPr>
          <w:rFonts w:hint="cs"/>
          <w:rtl/>
        </w:rPr>
        <w:t>שהמידות הלא ממוצעות גורמות לכך שהשכל המופשט לא רואה את ה'כולל הראשוני' על כל פרטיו בראיה צלולה, וכך ההשגה נשארת משוקעת בחומר ולא מגיעה לתפישת שכל מופשט. האדם שמידותיו אינן ממוצעות תופש שראובן הוא 'אדם', אבל לא שאדם הוא 'חי מדבר', או אם תופש 'חי מדבר' לא תופש בדייקנות מהם חיים ומהו כח הדיבור</w:t>
      </w:r>
      <w:r w:rsidR="0087052B">
        <w:rPr>
          <w:rFonts w:hint="cs"/>
          <w:rtl/>
        </w:rPr>
        <w:t>]</w:t>
      </w:r>
    </w:p>
    <w:p w14:paraId="01BBB842" w14:textId="1FEBBDD1" w:rsidR="00B57870" w:rsidRPr="00A95CD1" w:rsidRDefault="00204C6B" w:rsidP="007925D0">
      <w:pPr>
        <w:pStyle w:val="FootnoteText"/>
      </w:pPr>
      <w:r w:rsidRPr="00204C6B">
        <w:rPr>
          <w:rtl/>
        </w:rPr>
        <w:t>וְהַצּוּרוֹת שֶׁאֵין לָהֶן גֹּלֶם אֵינָן נִרְאִין לָעַיִן, אֶלָּא בְּעֵין הַלֵּב הֵן יְדוּעִין, כְּמוֹ שֶׁיָּדַעְנוּ אֲדוֹן הַכֹּל בְּלֹא רְאִיַּת עַיִן.</w:t>
      </w:r>
      <w:r w:rsidR="002834AF">
        <w:rPr>
          <w:rFonts w:hint="cs"/>
          <w:rtl/>
        </w:rPr>
        <w:t xml:space="preserve"> [אחרי עמל חכמת הטבע, מעשה בראשית, מגיעים לתפישה הנקראת אצל אריסטו 'תיאולוגיה' (מטאפיזיקה היא מונח מאוחר), </w:t>
      </w:r>
      <w:r w:rsidR="007606FA">
        <w:rPr>
          <w:rFonts w:hint="cs"/>
          <w:rtl/>
        </w:rPr>
        <w:t xml:space="preserve">מעשה מרכבה, </w:t>
      </w:r>
      <w:r w:rsidR="002834AF">
        <w:rPr>
          <w:rFonts w:hint="cs"/>
          <w:rtl/>
        </w:rPr>
        <w:t>שהיא תפישה במופשט באופן ישיר. האל הוא המציאות כשלעצמה, לא עצם שנמצא אלא מציאות מוחלטת, מופשטת לחלוטין בלי מורכבות כלל, והשגתו תלויה ביכולת להשיג את המופשט</w:t>
      </w:r>
      <w:r w:rsidR="007606FA">
        <w:rPr>
          <w:rFonts w:hint="cs"/>
          <w:rtl/>
        </w:rPr>
        <w:t xml:space="preserve"> (</w:t>
      </w:r>
      <w:r w:rsidR="007606FA" w:rsidRPr="007606FA">
        <w:rPr>
          <w:rtl/>
        </w:rPr>
        <w:t>מה שקשה מאוד לאדם להגיע אליו כמו שכתב במו</w:t>
      </w:r>
      <w:r w:rsidR="00F055C8">
        <w:rPr>
          <w:rtl/>
        </w:rPr>
        <w:t>"</w:t>
      </w:r>
      <w:r w:rsidR="007606FA" w:rsidRPr="007606FA">
        <w:rPr>
          <w:rtl/>
        </w:rPr>
        <w:t>נ א' מ</w:t>
      </w:r>
      <w:r w:rsidR="00F055C8">
        <w:rPr>
          <w:rtl/>
        </w:rPr>
        <w:t>"</w:t>
      </w:r>
      <w:r w:rsidR="007606FA" w:rsidRPr="007606FA">
        <w:rPr>
          <w:rtl/>
        </w:rPr>
        <w:t>ט</w:t>
      </w:r>
      <w:r w:rsidR="007606FA">
        <w:rPr>
          <w:rFonts w:hint="cs"/>
          <w:rtl/>
        </w:rPr>
        <w:t>)</w:t>
      </w:r>
      <w:r w:rsidR="002834AF">
        <w:rPr>
          <w:rFonts w:hint="cs"/>
          <w:rtl/>
        </w:rPr>
        <w:t>,</w:t>
      </w:r>
      <w:r w:rsidR="007606FA">
        <w:rPr>
          <w:rFonts w:hint="cs"/>
          <w:rtl/>
        </w:rPr>
        <w:t xml:space="preserve"> לכן הפילוסופיה הראשונה שעוסקת בהשגת המופשט נקראת תיאולוגיה</w:t>
      </w:r>
      <w:r w:rsidR="004C35D4">
        <w:rPr>
          <w:rFonts w:hint="cs"/>
          <w:rtl/>
        </w:rPr>
        <w:t>. פילוסופיה זו משיגה את החיים כמושג מופשט, כשלעצמם, עוד לפני שיש משהו שהוא זה שחי, וכן את כח הדיבור כשלעצמו עוד לפני שיש משהו שהוא בעל כח דיבור. ואלה כשהם מופשטים לגמרי הם התארים העצמיים של האל כמו שביאר המורה נבוכים א' סוף פרק נ</w:t>
      </w:r>
      <w:r w:rsidR="00F055C8">
        <w:rPr>
          <w:rtl/>
        </w:rPr>
        <w:t>"</w:t>
      </w:r>
      <w:r w:rsidR="004C35D4">
        <w:rPr>
          <w:rFonts w:hint="cs"/>
          <w:rtl/>
        </w:rPr>
        <w:t>ג</w:t>
      </w:r>
      <w:r w:rsidR="00962925">
        <w:rPr>
          <w:rtl/>
        </w:rPr>
        <w:fldChar w:fldCharType="begin"/>
      </w:r>
      <w:r w:rsidR="00962925">
        <w:instrText xml:space="preserve"> XE "</w:instrText>
      </w:r>
      <w:r w:rsidR="00962925" w:rsidRPr="00002A76">
        <w:rPr>
          <w:rFonts w:hint="cs"/>
          <w:rtl/>
        </w:rPr>
        <w:instrText>מורה נבוכים א' נ</w:instrText>
      </w:r>
      <w:r w:rsidR="00962925">
        <w:rPr>
          <w:b/>
          <w:bCs/>
          <w:sz w:val="20"/>
          <w:szCs w:val="20"/>
        </w:rPr>
        <w:instrText>\</w:instrText>
      </w:r>
      <w:r w:rsidR="00962925" w:rsidRPr="00002A76">
        <w:rPr>
          <w:rFonts w:hint="cs"/>
          <w:rtl/>
        </w:rPr>
        <w:instrText>"ג</w:instrText>
      </w:r>
      <w:r w:rsidR="00962925">
        <w:instrText xml:space="preserve">" </w:instrText>
      </w:r>
      <w:r w:rsidR="00962925">
        <w:rPr>
          <w:rtl/>
        </w:rPr>
        <w:fldChar w:fldCharType="end"/>
      </w:r>
      <w:r w:rsidR="004C35D4">
        <w:rPr>
          <w:rFonts w:hint="cs"/>
          <w:rtl/>
        </w:rPr>
        <w:t>, שעל ידם הוא נודע לנו</w:t>
      </w:r>
      <w:r w:rsidR="00571856">
        <w:rPr>
          <w:rFonts w:hint="cs"/>
          <w:rtl/>
        </w:rPr>
        <w:t xml:space="preserve"> כיוון שהם מופשטים לגמרי הם אחד גמור איתו ולא משהו חיצוני לו שמתאר אותו</w:t>
      </w:r>
      <w:r w:rsidR="002834AF">
        <w:rPr>
          <w:rFonts w:hint="cs"/>
          <w:rtl/>
        </w:rPr>
        <w:t>]</w:t>
      </w:r>
      <w:r w:rsidR="00F055C8">
        <w:rPr>
          <w:rtl/>
        </w:rPr>
        <w:t>"</w:t>
      </w:r>
      <w:r w:rsidR="00DF49B4">
        <w:rPr>
          <w:rFonts w:hint="cs"/>
          <w:rtl/>
        </w:rPr>
        <w:t xml:space="preserve"> </w:t>
      </w:r>
    </w:p>
  </w:footnote>
  <w:footnote w:id="56">
    <w:p w14:paraId="33CAFE03" w14:textId="236EBCA2" w:rsidR="008A420D" w:rsidRDefault="008A420D">
      <w:pPr>
        <w:pStyle w:val="FootnoteText"/>
      </w:pPr>
      <w:r>
        <w:rPr>
          <w:rStyle w:val="FootnoteReference"/>
        </w:rPr>
        <w:footnoteRef/>
      </w:r>
      <w:r>
        <w:rPr>
          <w:rtl/>
        </w:rPr>
        <w:t xml:space="preserve"> </w:t>
      </w:r>
      <w:r>
        <w:rPr>
          <w:rFonts w:hint="cs"/>
          <w:rtl/>
        </w:rPr>
        <w:t>כגון ראובן הידוע לנו, או סוס מוחשי מסוים זה שלפנינו.</w:t>
      </w:r>
    </w:p>
  </w:footnote>
  <w:footnote w:id="57">
    <w:p w14:paraId="2159D013" w14:textId="5EA05430" w:rsidR="00DB1D2B" w:rsidRDefault="00DB1D2B">
      <w:pPr>
        <w:pStyle w:val="FootnoteText"/>
      </w:pPr>
      <w:r>
        <w:rPr>
          <w:rStyle w:val="FootnoteReference"/>
        </w:rPr>
        <w:footnoteRef/>
      </w:r>
      <w:r>
        <w:rPr>
          <w:rtl/>
        </w:rPr>
        <w:t xml:space="preserve"> </w:t>
      </w:r>
      <w:r>
        <w:rPr>
          <w:rFonts w:hint="cs"/>
          <w:rtl/>
        </w:rPr>
        <w:t xml:space="preserve">החוש והדמיון משיגים מההתחלה שראובן זה הוא 'אדם', שיש לו צורה מהותית שמייחדת אותו משאר בעלי חיים, וכמו צורת </w:t>
      </w:r>
      <w:r>
        <w:rPr>
          <w:rFonts w:hint="cs"/>
          <w:rtl/>
        </w:rPr>
        <w:t>הסוסיות שמייחדת את הסוס משאר בעלי חיים, וזו ההתחלה החשובה בהשגת הצורה, אבל היא תפישה כללית</w:t>
      </w:r>
      <w:r w:rsidR="00EC4F88">
        <w:rPr>
          <w:rFonts w:hint="cs"/>
          <w:rtl/>
        </w:rPr>
        <w:t xml:space="preserve"> (כלומר אוניברסל ראשוני)</w:t>
      </w:r>
      <w:r>
        <w:rPr>
          <w:rFonts w:hint="cs"/>
          <w:rtl/>
        </w:rPr>
        <w:t>, עד שיתפשו באופן מדויק שהוא 'חי מדבר', ולצורך כך יתפשו את החיים שבו ואת כח הדיבור שלו</w:t>
      </w:r>
      <w:r w:rsidR="00EC4F88">
        <w:rPr>
          <w:rFonts w:hint="cs"/>
          <w:rtl/>
        </w:rPr>
        <w:t xml:space="preserve"> כעניינים נפרדים</w:t>
      </w:r>
      <w:r>
        <w:rPr>
          <w:rFonts w:hint="cs"/>
          <w:rtl/>
        </w:rPr>
        <w:t xml:space="preserve">, גם אם בתחילה לא כחיים מופשטים לגמרי או כח דיבור מופשט לגמרי, אלא רק במידה שהם מתגלים בגוף. </w:t>
      </w:r>
      <w:r w:rsidR="00EC4F88">
        <w:rPr>
          <w:rFonts w:hint="cs"/>
          <w:rtl/>
        </w:rPr>
        <w:t xml:space="preserve">וכך יתפשו את כל צדדי של ההגדרה בהבחנה גמורה ביניהם. זו הכוונה של </w:t>
      </w:r>
      <w:r w:rsidR="00F055C8">
        <w:rPr>
          <w:rtl/>
        </w:rPr>
        <w:t>"</w:t>
      </w:r>
      <w:r w:rsidR="00EC4F88" w:rsidRPr="00EC4F88">
        <w:rPr>
          <w:rtl/>
        </w:rPr>
        <w:t>באופן מוחלט מכל צד</w:t>
      </w:r>
      <w:r w:rsidR="00F055C8">
        <w:rPr>
          <w:rtl/>
        </w:rPr>
        <w:t>"</w:t>
      </w:r>
      <w:r w:rsidR="00EC4F88">
        <w:rPr>
          <w:rFonts w:hint="cs"/>
          <w:rtl/>
        </w:rPr>
        <w:t>.</w:t>
      </w:r>
    </w:p>
  </w:footnote>
  <w:footnote w:id="58">
    <w:p w14:paraId="4EEDF4CC" w14:textId="5F741076" w:rsidR="0009098A" w:rsidRDefault="00076EA7" w:rsidP="0009098A">
      <w:pPr>
        <w:pStyle w:val="FootnoteText"/>
        <w:rPr>
          <w:rtl/>
        </w:rPr>
      </w:pPr>
      <w:r>
        <w:rPr>
          <w:rStyle w:val="FootnoteReference"/>
        </w:rPr>
        <w:footnoteRef/>
      </w:r>
      <w:r>
        <w:rPr>
          <w:rtl/>
        </w:rPr>
        <w:t xml:space="preserve"> </w:t>
      </w:r>
      <w:r>
        <w:rPr>
          <w:rFonts w:hint="cs"/>
          <w:rtl/>
        </w:rPr>
        <w:t>עניין זה מבואר בשמונה פרקים מאת הרמב</w:t>
      </w:r>
      <w:r w:rsidR="00F055C8">
        <w:rPr>
          <w:rtl/>
        </w:rPr>
        <w:t>"</w:t>
      </w:r>
      <w:r>
        <w:rPr>
          <w:rFonts w:hint="cs"/>
          <w:rtl/>
        </w:rPr>
        <w:t>ם פרק א'. אנו תופשים בתפישה הראשונית</w:t>
      </w:r>
      <w:r w:rsidR="00CC0996">
        <w:rPr>
          <w:rFonts w:hint="cs"/>
          <w:rtl/>
        </w:rPr>
        <w:t xml:space="preserve"> (הכולל הראשוני)</w:t>
      </w:r>
      <w:r>
        <w:rPr>
          <w:rFonts w:hint="cs"/>
          <w:rtl/>
        </w:rPr>
        <w:t xml:space="preserve"> שאדם וחמור ונשר הם בעלי חיים שונים זה מזה, לכל אחד מהם יש צורה משלו, והיא טבעו ומהותו, מה שהופך אותו להיות מה שהוא. </w:t>
      </w:r>
      <w:r w:rsidR="00CC0996">
        <w:rPr>
          <w:rFonts w:hint="cs"/>
          <w:rtl/>
        </w:rPr>
        <w:t xml:space="preserve">ואת זה גם תינוק וכל בעל חיים תופש (אם יראו את שלושת בעלי החיים האלה יבינו שהנשר יכול לעופף, למרות שלא ראו אותו מעופף עדיין, כי הם משיגים את צורתו שהיא טבעו). </w:t>
      </w:r>
      <w:r>
        <w:rPr>
          <w:rFonts w:hint="cs"/>
          <w:rtl/>
        </w:rPr>
        <w:t>אבל</w:t>
      </w:r>
      <w:r w:rsidR="00CC0996">
        <w:rPr>
          <w:rFonts w:hint="cs"/>
          <w:rtl/>
        </w:rPr>
        <w:t xml:space="preserve"> בשלב זה</w:t>
      </w:r>
      <w:r>
        <w:rPr>
          <w:rFonts w:hint="cs"/>
          <w:rtl/>
        </w:rPr>
        <w:t xml:space="preserve"> איננו מבחינים בכך שהגוף, הבשר, ש</w:t>
      </w:r>
      <w:r w:rsidR="00CC0996">
        <w:rPr>
          <w:rFonts w:hint="cs"/>
          <w:rtl/>
        </w:rPr>
        <w:t xml:space="preserve">ל כל בעל חיים שונה במהותו מהבשר של בעל חיים אחר. </w:t>
      </w:r>
      <w:r w:rsidR="00A75211">
        <w:rPr>
          <w:rFonts w:hint="cs"/>
          <w:rtl/>
        </w:rPr>
        <w:t>אפילו איננו מבחינים שבשר של גווייה מתה שונה במהותו מבשר של אותו בעל חיים כשהיה חי. נדמה לנו שרגשות של חום או קור וכיוצא באלה הם של נפש כלשהי ששורה בבשר החומרי עצמו, אבל באמת הבשר החומרי עצמו הוא שחש בזה כי הוא חי, וכן בפחד במובן הפשוט ביותר, הוא מתכווץ בגלל הפחד, ועוד הרבה כיו</w:t>
      </w:r>
      <w:r w:rsidR="00F055C8">
        <w:rPr>
          <w:rtl/>
        </w:rPr>
        <w:t>"</w:t>
      </w:r>
      <w:r w:rsidR="00A75211">
        <w:rPr>
          <w:rFonts w:hint="cs"/>
          <w:rtl/>
        </w:rPr>
        <w:t>ב. הבשר החומרי לא נרקב כי הוא חי בעצמו, לא בגלל נפש ששרויה בו</w:t>
      </w:r>
      <w:r w:rsidR="0009098A">
        <w:rPr>
          <w:rFonts w:hint="cs"/>
          <w:rtl/>
        </w:rPr>
        <w:t>, ו</w:t>
      </w:r>
      <w:r w:rsidR="00C8315E">
        <w:rPr>
          <w:rFonts w:hint="cs"/>
          <w:rtl/>
        </w:rPr>
        <w:t>כן מה שהבשר גדל עם גדילת האדם או כשהוא משמין הוא מכח שהבשר בעצמו חי ולא שיש נפש חיצונית לו שמגדילה אותו</w:t>
      </w:r>
      <w:r w:rsidR="00A75211">
        <w:rPr>
          <w:rFonts w:hint="cs"/>
          <w:rtl/>
        </w:rPr>
        <w:t xml:space="preserve">. כשבעל החיים מת, העצם שהוא הבשר שלו חדל מלהתקיים, הבשר </w:t>
      </w:r>
      <w:r w:rsidR="0009098A">
        <w:rPr>
          <w:rFonts w:hint="cs"/>
          <w:rtl/>
        </w:rPr>
        <w:t>המת</w:t>
      </w:r>
      <w:r w:rsidR="00A75211">
        <w:rPr>
          <w:rFonts w:hint="cs"/>
          <w:rtl/>
        </w:rPr>
        <w:t xml:space="preserve"> הוא עצם חדש שמתחיל להתקיים רק אחר המוות. </w:t>
      </w:r>
      <w:r w:rsidR="0009098A">
        <w:rPr>
          <w:rFonts w:hint="cs"/>
          <w:rtl/>
        </w:rPr>
        <w:t>הדמיון בי</w:t>
      </w:r>
      <w:r w:rsidR="00C8315E">
        <w:rPr>
          <w:rFonts w:hint="cs"/>
          <w:rtl/>
        </w:rPr>
        <w:t>ן</w:t>
      </w:r>
      <w:r w:rsidR="0009098A">
        <w:rPr>
          <w:rFonts w:hint="cs"/>
          <w:rtl/>
        </w:rPr>
        <w:t xml:space="preserve"> הבשר החי לבשר המת הוא כמו הדמיון בין </w:t>
      </w:r>
      <w:r w:rsidR="00F055C8">
        <w:rPr>
          <w:rtl/>
        </w:rPr>
        <w:t>"</w:t>
      </w:r>
      <w:r w:rsidR="0009098A">
        <w:rPr>
          <w:rFonts w:hint="cs"/>
          <w:rtl/>
        </w:rPr>
        <w:t>אדם חי</w:t>
      </w:r>
      <w:r w:rsidR="00F055C8">
        <w:rPr>
          <w:rtl/>
        </w:rPr>
        <w:t>"</w:t>
      </w:r>
      <w:r w:rsidR="0009098A">
        <w:rPr>
          <w:rFonts w:hint="cs"/>
          <w:rtl/>
        </w:rPr>
        <w:t xml:space="preserve"> לאדם מצויר על גבי כותל, זה עצם שונה במהותו, האדם שמצויר אינו 'חי מדבר'. </w:t>
      </w:r>
    </w:p>
    <w:p w14:paraId="3C4FAA99" w14:textId="0A2329FB" w:rsidR="0009098A" w:rsidRDefault="0009098A" w:rsidP="0009098A">
      <w:pPr>
        <w:pStyle w:val="FootnoteText"/>
        <w:rPr>
          <w:rtl/>
        </w:rPr>
      </w:pPr>
      <w:r>
        <w:rPr>
          <w:rFonts w:hint="cs"/>
          <w:rtl/>
        </w:rPr>
        <w:t>בשמונה פרקים שם מבאר שכל חלקי הנפש הם אחד</w:t>
      </w:r>
      <w:r w:rsidR="005830F1">
        <w:rPr>
          <w:rtl/>
        </w:rPr>
        <w:fldChar w:fldCharType="begin"/>
      </w:r>
      <w:r w:rsidR="005830F1">
        <w:instrText xml:space="preserve"> XE "</w:instrText>
      </w:r>
      <w:r w:rsidR="005830F1" w:rsidRPr="00C81938">
        <w:rPr>
          <w:rFonts w:hint="cs"/>
          <w:rtl/>
        </w:rPr>
        <w:instrText>כל חלקי הנפש הם אחד (שמונה פרקים)</w:instrText>
      </w:r>
      <w:r w:rsidR="005830F1">
        <w:instrText xml:space="preserve">" </w:instrText>
      </w:r>
      <w:r w:rsidR="005830F1">
        <w:rPr>
          <w:rtl/>
        </w:rPr>
        <w:fldChar w:fldCharType="end"/>
      </w:r>
      <w:r>
        <w:rPr>
          <w:rFonts w:hint="cs"/>
          <w:rtl/>
        </w:rPr>
        <w:t>, יש רק נפש אחת שהיא</w:t>
      </w:r>
      <w:r w:rsidR="00C8315E">
        <w:rPr>
          <w:rFonts w:hint="cs"/>
          <w:rtl/>
        </w:rPr>
        <w:t>:</w:t>
      </w:r>
      <w:r>
        <w:rPr>
          <w:rFonts w:hint="cs"/>
          <w:rtl/>
        </w:rPr>
        <w:t xml:space="preserve"> הנפש המשכלת, </w:t>
      </w:r>
      <w:r>
        <w:rPr>
          <w:rFonts w:hint="cs"/>
          <w:rtl/>
        </w:rPr>
        <w:t xml:space="preserve">הכח המתעורר, הכח </w:t>
      </w:r>
      <w:r w:rsidR="00C8315E">
        <w:rPr>
          <w:rFonts w:hint="cs"/>
          <w:rtl/>
        </w:rPr>
        <w:t>המדמה</w:t>
      </w:r>
      <w:r>
        <w:rPr>
          <w:rFonts w:hint="cs"/>
          <w:rtl/>
        </w:rPr>
        <w:t xml:space="preserve">, הכח המרגיש, ונפש הזן שהיא הגוף. </w:t>
      </w:r>
      <w:r w:rsidR="00C8315E">
        <w:rPr>
          <w:rFonts w:hint="cs"/>
          <w:rtl/>
        </w:rPr>
        <w:t xml:space="preserve">הכל אחד גמור וכל הבחינות השונות שנקראות חלקי הנפש הן גילויים של האחד הגמור הזה. לכן הבשר של אדם הוא אחד גמור עם הנפש המשכלת של האדם, הוא לא בשר ששורה בו צורת אדם, אלא הוא אדם ממש, האדם עצמו, אחד גמור עם כל שאר הרבדים של האדם. </w:t>
      </w:r>
      <w:r w:rsidR="00D734B0">
        <w:rPr>
          <w:rFonts w:hint="cs"/>
          <w:rtl/>
        </w:rPr>
        <w:t xml:space="preserve">בשלב ה'כולל הראשוני', התפישה של תינוק, משיגים שהאדם הוא אדם ולא חמור, אבל כשמביטים בבשר עצמו כבשר, לא משיגים שבשר אדם הוא אדם ובשר חמור הוא חמור, והבשר של אדם שונה במהותו מבשר חמור, כמו שהאדם בכללו שונה במהותו מחמור. עמל קניין החכמה משיג את אותה צורה שהתינוק השיג באופן מוחלט מכל צדדיו, הוא מנתח את הכולל הראשוני לחלקיו ופרטיו </w:t>
      </w:r>
      <w:r w:rsidR="00C45FF4">
        <w:rPr>
          <w:rFonts w:hint="cs"/>
          <w:rtl/>
        </w:rPr>
        <w:t xml:space="preserve">עד שהכולל מתבהר ונעשה מופשט יותר ויותר, </w:t>
      </w:r>
      <w:r w:rsidR="00D734B0">
        <w:rPr>
          <w:rFonts w:hint="cs"/>
          <w:rtl/>
        </w:rPr>
        <w:t xml:space="preserve">ולא משאיר אותו אחד שלם עמום. </w:t>
      </w:r>
    </w:p>
    <w:p w14:paraId="711B1754" w14:textId="77777777" w:rsidR="00F26F31" w:rsidRDefault="00F26F31" w:rsidP="0009098A">
      <w:pPr>
        <w:pStyle w:val="FootnoteText"/>
        <w:rPr>
          <w:rtl/>
        </w:rPr>
      </w:pPr>
    </w:p>
    <w:p w14:paraId="2AFD79B5" w14:textId="131D1E5D" w:rsidR="00C45FF4" w:rsidRDefault="00C45FF4" w:rsidP="0009098A">
      <w:pPr>
        <w:pStyle w:val="FootnoteText"/>
        <w:rPr>
          <w:rtl/>
        </w:rPr>
      </w:pPr>
      <w:r>
        <w:rPr>
          <w:rFonts w:hint="cs"/>
          <w:rtl/>
        </w:rPr>
        <w:t>במורה נבוכים א' ע</w:t>
      </w:r>
      <w:r w:rsidR="00F055C8">
        <w:rPr>
          <w:rtl/>
        </w:rPr>
        <w:t>"</w:t>
      </w:r>
      <w:r>
        <w:rPr>
          <w:rFonts w:hint="cs"/>
          <w:rtl/>
        </w:rPr>
        <w:t>ג הקדמה עשירית</w:t>
      </w:r>
      <w:r w:rsidR="00962925">
        <w:rPr>
          <w:rtl/>
        </w:rPr>
        <w:fldChar w:fldCharType="begin"/>
      </w:r>
      <w:r w:rsidR="00962925">
        <w:instrText xml:space="preserve"> XE "</w:instrText>
      </w:r>
      <w:r w:rsidR="00962925" w:rsidRPr="004C38F7">
        <w:rPr>
          <w:rFonts w:hint="cs"/>
          <w:rtl/>
        </w:rPr>
        <w:instrText>מורה נבוכים א' ע</w:instrText>
      </w:r>
      <w:r w:rsidR="00962925">
        <w:rPr>
          <w:b/>
          <w:bCs/>
          <w:sz w:val="20"/>
          <w:szCs w:val="20"/>
        </w:rPr>
        <w:instrText>\</w:instrText>
      </w:r>
      <w:r w:rsidR="00962925" w:rsidRPr="004C38F7">
        <w:rPr>
          <w:rFonts w:hint="cs"/>
          <w:rtl/>
        </w:rPr>
        <w:instrText>"ג הקדמה עשירית</w:instrText>
      </w:r>
      <w:r w:rsidR="00962925">
        <w:instrText xml:space="preserve">" </w:instrText>
      </w:r>
      <w:r w:rsidR="00962925">
        <w:rPr>
          <w:rtl/>
        </w:rPr>
        <w:fldChar w:fldCharType="end"/>
      </w:r>
      <w:r>
        <w:rPr>
          <w:rFonts w:hint="cs"/>
          <w:rtl/>
        </w:rPr>
        <w:t xml:space="preserve"> כתב:</w:t>
      </w:r>
    </w:p>
    <w:p w14:paraId="2A6585CD" w14:textId="4C37C9A9" w:rsidR="00D6443B" w:rsidRDefault="00F055C8" w:rsidP="0009098A">
      <w:pPr>
        <w:pStyle w:val="FootnoteText"/>
        <w:rPr>
          <w:rtl/>
        </w:rPr>
      </w:pPr>
      <w:r>
        <w:rPr>
          <w:rtl/>
        </w:rPr>
        <w:t>"</w:t>
      </w:r>
      <w:r w:rsidR="00C45FF4" w:rsidRPr="00C45FF4">
        <w:rPr>
          <w:rtl/>
        </w:rPr>
        <w:t xml:space="preserve">הערה. דע אתה האיש </w:t>
      </w:r>
      <w:r w:rsidR="00C45FF4">
        <w:rPr>
          <w:rFonts w:hint="cs"/>
          <w:rtl/>
        </w:rPr>
        <w:t>המעיין</w:t>
      </w:r>
      <w:r w:rsidR="00C45FF4" w:rsidRPr="00C45FF4">
        <w:rPr>
          <w:rtl/>
        </w:rPr>
        <w:t xml:space="preserve"> בזה המאמר שאם ידעת הנפש וכוחותיה והתאמת לך בה כל דבר לפי אמיתת מציאותו - הנה תדע כי הדמיון נמצא לרוב בעלי </w:t>
      </w:r>
      <w:r w:rsidR="00604D7C">
        <w:rPr>
          <w:rFonts w:hint="cs"/>
          <w:rtl/>
        </w:rPr>
        <w:t>החיים [...]</w:t>
      </w:r>
      <w:r w:rsidR="00C45FF4" w:rsidRPr="00C45FF4">
        <w:rPr>
          <w:rtl/>
        </w:rPr>
        <w:t>; ושהאדם לא הובדל בדמיון. ואין פועל הדמיון פועל השכל אבל הפכו</w:t>
      </w:r>
      <w:r w:rsidR="00604D7C">
        <w:rPr>
          <w:rFonts w:hint="cs"/>
          <w:rtl/>
        </w:rPr>
        <w:t>,</w:t>
      </w:r>
      <w:r w:rsidR="00C45FF4" w:rsidRPr="00C45FF4">
        <w:rPr>
          <w:rtl/>
        </w:rPr>
        <w:t xml:space="preserve"> וזה כי השכל יפרק המורכבות ויבדיל חלקיהם ויפשיטם ויצ</w:t>
      </w:r>
      <w:r w:rsidR="00F71567">
        <w:rPr>
          <w:rFonts w:hint="cs"/>
          <w:rtl/>
        </w:rPr>
        <w:t>י</w:t>
      </w:r>
      <w:r w:rsidR="00C45FF4" w:rsidRPr="00C45FF4">
        <w:rPr>
          <w:rtl/>
        </w:rPr>
        <w:t xml:space="preserve">ירם באמיתתם ובסיבותם וישיג מן הדבר האחד </w:t>
      </w:r>
      <w:r w:rsidR="00C45FF4">
        <w:rPr>
          <w:rFonts w:hint="cs"/>
          <w:rtl/>
        </w:rPr>
        <w:t>עניינים</w:t>
      </w:r>
      <w:r w:rsidR="00C45FF4" w:rsidRPr="00C45FF4">
        <w:rPr>
          <w:rtl/>
        </w:rPr>
        <w:t xml:space="preserve"> רבים מאוד שביניהם הפרש אצל השכל כהפרש שני אישים מבני אדם אצל הדמיון במציאות. ובשכל יבדיל </w:t>
      </w:r>
      <w:r w:rsidR="00604D7C">
        <w:rPr>
          <w:rFonts w:hint="cs"/>
          <w:rtl/>
        </w:rPr>
        <w:t>העניין</w:t>
      </w:r>
      <w:r w:rsidR="00C45FF4" w:rsidRPr="00C45FF4">
        <w:rPr>
          <w:rtl/>
        </w:rPr>
        <w:t xml:space="preserve"> הכללי מן </w:t>
      </w:r>
      <w:r w:rsidR="00604D7C">
        <w:rPr>
          <w:rFonts w:hint="cs"/>
          <w:rtl/>
        </w:rPr>
        <w:t xml:space="preserve">העניין </w:t>
      </w:r>
      <w:r w:rsidR="00C45FF4" w:rsidRPr="00C45FF4">
        <w:rPr>
          <w:rtl/>
        </w:rPr>
        <w:t>האישי ולא יתאמת מופת מן המופתים אלא בכללי</w:t>
      </w:r>
      <w:r w:rsidR="00F71567">
        <w:rPr>
          <w:rFonts w:hint="cs"/>
          <w:rtl/>
        </w:rPr>
        <w:t xml:space="preserve"> [הדמיון גם הוא תופש את העניין הכללי, הצורה, אבל לא יודע להפריד אותה מהאישי, מהחלות שלה בחומר של היחיד המוחשי]</w:t>
      </w:r>
      <w:r w:rsidR="00C45FF4" w:rsidRPr="00C45FF4">
        <w:rPr>
          <w:rtl/>
        </w:rPr>
        <w:t>. ובשכל יודע הנשוא העצמי מן המקרי. ואין לדמיון פועל דבר מאלו הפעולות - שהדמיון לא ישיג אלא האישי המורכב</w:t>
      </w:r>
      <w:r w:rsidR="007E5890">
        <w:rPr>
          <w:rFonts w:hint="cs"/>
          <w:rtl/>
        </w:rPr>
        <w:t xml:space="preserve"> [כלומר מורכב מחומר וצורה</w:t>
      </w:r>
      <w:r w:rsidR="002711D5">
        <w:rPr>
          <w:rFonts w:hint="cs"/>
          <w:rtl/>
        </w:rPr>
        <w:t>, להוציא מדעת הטועים שהחוש והדמיון תופשים רק חומר</w:t>
      </w:r>
      <w:r w:rsidR="007E5890">
        <w:rPr>
          <w:rFonts w:hint="cs"/>
          <w:rtl/>
        </w:rPr>
        <w:t>]</w:t>
      </w:r>
      <w:r w:rsidR="00C45FF4" w:rsidRPr="00C45FF4">
        <w:rPr>
          <w:rtl/>
        </w:rPr>
        <w:t xml:space="preserve"> בכללו לפי מה שהשיגוהו החושים</w:t>
      </w:r>
      <w:r w:rsidR="00D6443B">
        <w:rPr>
          <w:rFonts w:hint="cs"/>
          <w:rtl/>
        </w:rPr>
        <w:t xml:space="preserve"> [...]</w:t>
      </w:r>
      <w:r w:rsidR="00C45FF4" w:rsidRPr="00C45FF4">
        <w:rPr>
          <w:rtl/>
        </w:rPr>
        <w:t xml:space="preserve">. </w:t>
      </w:r>
    </w:p>
    <w:p w14:paraId="3A06539E" w14:textId="1FD704DA" w:rsidR="00C45FF4" w:rsidRDefault="00C45FF4" w:rsidP="0009098A">
      <w:pPr>
        <w:pStyle w:val="FootnoteText"/>
      </w:pPr>
      <w:r w:rsidRPr="00C45FF4">
        <w:rPr>
          <w:rtl/>
        </w:rPr>
        <w:t xml:space="preserve">ולא יוכל הדמיון בשום פנים </w:t>
      </w:r>
      <w:r w:rsidR="00604D7C">
        <w:rPr>
          <w:rFonts w:hint="cs"/>
          <w:rtl/>
        </w:rPr>
        <w:t>להימלט</w:t>
      </w:r>
      <w:r w:rsidRPr="00C45FF4">
        <w:rPr>
          <w:rtl/>
        </w:rPr>
        <w:t xml:space="preserve"> בהשגתו מן החומר ואפילו הפשיט צורה אחת בתכלית ההפשט</w:t>
      </w:r>
      <w:r w:rsidR="00D6443B">
        <w:rPr>
          <w:rFonts w:hint="cs"/>
          <w:rtl/>
        </w:rPr>
        <w:t xml:space="preserve"> [כמו בחזיון נבואה שרואה עניין חושי והוא באמת עניין מופשט בתכלית]</w:t>
      </w:r>
      <w:r w:rsidR="00F71567">
        <w:rPr>
          <w:rFonts w:hint="cs"/>
          <w:rtl/>
        </w:rPr>
        <w:t>,</w:t>
      </w:r>
      <w:r w:rsidRPr="00C45FF4">
        <w:rPr>
          <w:rtl/>
        </w:rPr>
        <w:t xml:space="preserve"> ולכן אין בחינה בדמיון</w:t>
      </w:r>
      <w:r w:rsidR="00F71567">
        <w:rPr>
          <w:rFonts w:hint="cs"/>
          <w:rtl/>
        </w:rPr>
        <w:t xml:space="preserve"> [הדמיון מגיע רק</w:t>
      </w:r>
      <w:r w:rsidR="007E5890">
        <w:rPr>
          <w:rFonts w:hint="cs"/>
          <w:rtl/>
        </w:rPr>
        <w:t xml:space="preserve"> לתפישת צורה בדרך של</w:t>
      </w:r>
      <w:r w:rsidR="00F71567">
        <w:rPr>
          <w:rFonts w:hint="cs"/>
          <w:rtl/>
        </w:rPr>
        <w:t xml:space="preserve"> 'כולל הראשוני', כל ניתוח והפשטה נוספים שמפרידים את הצורה מהגילוי שלה בחומר של היחיד המוחשי, הוא פעולת השכל ולא </w:t>
      </w:r>
      <w:r w:rsidR="007E5890">
        <w:rPr>
          <w:rFonts w:hint="cs"/>
          <w:rtl/>
        </w:rPr>
        <w:t xml:space="preserve">פעולת </w:t>
      </w:r>
      <w:r w:rsidR="00F71567">
        <w:rPr>
          <w:rFonts w:hint="cs"/>
          <w:rtl/>
        </w:rPr>
        <w:t>הדמיון</w:t>
      </w:r>
      <w:r w:rsidR="00D6443B">
        <w:rPr>
          <w:rFonts w:hint="cs"/>
          <w:rtl/>
        </w:rPr>
        <w:t>. גם בנבואה מה שמשיג את המשמעות של החזון הנבואי הוא השכל שמשתתף עם פעולת הדמיון</w:t>
      </w:r>
      <w:r w:rsidR="00F71567">
        <w:rPr>
          <w:rFonts w:hint="cs"/>
          <w:rtl/>
        </w:rPr>
        <w:t>].</w:t>
      </w:r>
      <w:r w:rsidR="00F055C8">
        <w:rPr>
          <w:rtl/>
        </w:rPr>
        <w:t>"</w:t>
      </w:r>
    </w:p>
  </w:footnote>
  <w:footnote w:id="59">
    <w:p w14:paraId="2FF8C915" w14:textId="400ED45D" w:rsidR="006351C2" w:rsidRDefault="006351C2">
      <w:pPr>
        <w:pStyle w:val="FootnoteText"/>
      </w:pPr>
      <w:r>
        <w:rPr>
          <w:rStyle w:val="FootnoteReference"/>
        </w:rPr>
        <w:footnoteRef/>
      </w:r>
      <w:r>
        <w:rPr>
          <w:rtl/>
        </w:rPr>
        <w:t xml:space="preserve"> </w:t>
      </w:r>
      <w:r>
        <w:rPr>
          <w:rFonts w:hint="cs"/>
          <w:rtl/>
        </w:rPr>
        <w:t xml:space="preserve">כי יש גופים שאינם חיים. </w:t>
      </w:r>
    </w:p>
  </w:footnote>
  <w:footnote w:id="60">
    <w:p w14:paraId="737BB872" w14:textId="33084CE8" w:rsidR="00A70E56" w:rsidRDefault="00A70E56">
      <w:pPr>
        <w:pStyle w:val="FootnoteText"/>
      </w:pPr>
      <w:r>
        <w:rPr>
          <w:rStyle w:val="FootnoteReference"/>
        </w:rPr>
        <w:footnoteRef/>
      </w:r>
      <w:r>
        <w:rPr>
          <w:rtl/>
        </w:rPr>
        <w:t xml:space="preserve"> </w:t>
      </w:r>
      <w:r>
        <w:rPr>
          <w:rFonts w:hint="cs"/>
          <w:rtl/>
        </w:rPr>
        <w:t xml:space="preserve">חיי אדם או חיי סוס. וכמו הדוגמה שהביא לעיל שבתחילת יכולת ההשגה תינוק משיג רק בכלליות שדבר זה 'חי' ועדיין אינו משיג אם אלה חיי אדם או חיי סוס </w:t>
      </w:r>
      <w:r w:rsidRPr="00A70E56">
        <w:rPr>
          <w:rtl/>
        </w:rPr>
        <w:t>(זו תפישת צורה, בדרך של 'כולל ראשוני' שהוא גולמי ביותר וכללי ביותר ומשיג רק את הצורה 'חי' ולא את חילוקי הצורות שמחלקות את ה'חי' למיני בעלי חיים)</w:t>
      </w:r>
      <w:r>
        <w:rPr>
          <w:rFonts w:hint="cs"/>
          <w:rtl/>
        </w:rPr>
        <w:t>.</w:t>
      </w:r>
    </w:p>
  </w:footnote>
  <w:footnote w:id="61">
    <w:p w14:paraId="3C313190" w14:textId="524F86DC" w:rsidR="00F85DC5" w:rsidRDefault="00F85DC5">
      <w:pPr>
        <w:pStyle w:val="FootnoteText"/>
      </w:pPr>
      <w:r>
        <w:rPr>
          <w:rStyle w:val="FootnoteReference"/>
        </w:rPr>
        <w:footnoteRef/>
      </w:r>
      <w:r>
        <w:rPr>
          <w:rtl/>
        </w:rPr>
        <w:t xml:space="preserve"> </w:t>
      </w:r>
      <w:r>
        <w:rPr>
          <w:rFonts w:hint="cs"/>
          <w:rtl/>
        </w:rPr>
        <w:t>התינוק תופש את ראובן כאדם ואת שמעון כאדם, כי יש לו תפישה בצורה בדרך של כולל ראשוני. הוא בהכרח תופש את ראובן כ</w:t>
      </w:r>
      <w:r w:rsidR="00572685">
        <w:rPr>
          <w:rFonts w:hint="cs"/>
          <w:rtl/>
        </w:rPr>
        <w:t>'</w:t>
      </w:r>
      <w:r>
        <w:rPr>
          <w:rFonts w:hint="cs"/>
          <w:rtl/>
        </w:rPr>
        <w:t>אדם</w:t>
      </w:r>
      <w:r w:rsidR="00572685">
        <w:rPr>
          <w:rFonts w:hint="cs"/>
          <w:rtl/>
        </w:rPr>
        <w:t>'</w:t>
      </w:r>
      <w:r>
        <w:rPr>
          <w:rFonts w:hint="cs"/>
          <w:rtl/>
        </w:rPr>
        <w:t xml:space="preserve"> ולא רק כראובן שהוא יחיד מוחשי, כי בלי שהוא 'אדם' הוא לא יהיה עצם מובחן, ולא יוכל להיתפש כלל. </w:t>
      </w:r>
      <w:r w:rsidR="00572685">
        <w:rPr>
          <w:rFonts w:hint="cs"/>
          <w:rtl/>
        </w:rPr>
        <w:t xml:space="preserve">אבל התינוק לא תופש שאדם הוא 'חי מדבר', אלא אצלו 'אדם' הוא מושכל שהוא אחד עם שאר צדדי השגת היחיד המוחשי ראובן; כמו שראובן גבוה כך הוא אדם. לכן התינוק לא יכול לתפוש שראובן ושמעון הם שני פרטים של אותו מין, שני עצמים שנוטלים חלק באותה צורה. מה שאבן סינא כתב כאן </w:t>
      </w:r>
      <w:r w:rsidR="00F055C8">
        <w:rPr>
          <w:rtl/>
        </w:rPr>
        <w:t>"</w:t>
      </w:r>
      <w:r w:rsidR="00572685">
        <w:rPr>
          <w:rFonts w:hint="cs"/>
          <w:rtl/>
        </w:rPr>
        <w:t xml:space="preserve">ואז </w:t>
      </w:r>
      <w:r w:rsidR="00572685" w:rsidRPr="00572685">
        <w:rPr>
          <w:rtl/>
        </w:rPr>
        <w:t>הוא ייתפש כאדם זה או אדם זה</w:t>
      </w:r>
      <w:r w:rsidR="00F055C8">
        <w:rPr>
          <w:rtl/>
        </w:rPr>
        <w:t>"</w:t>
      </w:r>
      <w:r w:rsidR="00572685">
        <w:rPr>
          <w:rFonts w:hint="cs"/>
          <w:rtl/>
        </w:rPr>
        <w:t xml:space="preserve"> אין הכוונה שנתפוש רק שראובן הוא עצם שונה משמעון, שאת זה התינוק תופש גם בשלב </w:t>
      </w:r>
      <w:r w:rsidR="004D6195">
        <w:rPr>
          <w:rFonts w:hint="cs"/>
          <w:rtl/>
        </w:rPr>
        <w:t>'</w:t>
      </w:r>
      <w:r w:rsidR="00572685">
        <w:rPr>
          <w:rFonts w:hint="cs"/>
          <w:rtl/>
        </w:rPr>
        <w:t xml:space="preserve">הכולל הראשוני', אלא שהם בני אדם שונים, כלומר שיש בהם אותה צורה של 'חי מדבר' ויש מצע חומר שמחלק את גילוי הצורה הזו לשני עצמים ששניהם 'אדם', כלומר מגלים בגילוי שונה, בגלל מצע חומר שונה, את הצורה האחת של 'חי מדבר'. </w:t>
      </w:r>
    </w:p>
  </w:footnote>
  <w:footnote w:id="62">
    <w:p w14:paraId="54D960DD" w14:textId="070E3E5B" w:rsidR="004D6195" w:rsidRDefault="004D6195">
      <w:pPr>
        <w:pStyle w:val="FootnoteText"/>
      </w:pPr>
      <w:r>
        <w:rPr>
          <w:rStyle w:val="FootnoteReference"/>
        </w:rPr>
        <w:footnoteRef/>
      </w:r>
      <w:r>
        <w:rPr>
          <w:rtl/>
        </w:rPr>
        <w:t xml:space="preserve"> </w:t>
      </w:r>
      <w:r>
        <w:rPr>
          <w:rFonts w:hint="cs"/>
          <w:rtl/>
        </w:rPr>
        <w:t>התפישה הראשונית של 'הכולל הראשוני' על ידי כח הדמיון, והעמל השכלי שמנתח את הצורה למרכיבי ההגדרה המדויקים שלה.</w:t>
      </w:r>
    </w:p>
  </w:footnote>
  <w:footnote w:id="63">
    <w:p w14:paraId="2B8B0F88" w14:textId="3453E84D" w:rsidR="004D6195" w:rsidRDefault="004D6195">
      <w:pPr>
        <w:pStyle w:val="FootnoteText"/>
      </w:pPr>
      <w:r>
        <w:rPr>
          <w:rStyle w:val="FootnoteReference"/>
        </w:rPr>
        <w:footnoteRef/>
      </w:r>
      <w:r>
        <w:rPr>
          <w:rtl/>
        </w:rPr>
        <w:t xml:space="preserve"> </w:t>
      </w:r>
      <w:r w:rsidR="00DD5E46">
        <w:rPr>
          <w:rFonts w:hint="cs"/>
          <w:rtl/>
        </w:rPr>
        <w:t>נודע</w:t>
      </w:r>
      <w:r>
        <w:rPr>
          <w:rFonts w:hint="cs"/>
          <w:rtl/>
        </w:rPr>
        <w:t xml:space="preserve"> יותר לנו, אבל לא </w:t>
      </w:r>
      <w:r w:rsidR="00DD5E46">
        <w:rPr>
          <w:rFonts w:hint="cs"/>
          <w:rtl/>
        </w:rPr>
        <w:t>נודע</w:t>
      </w:r>
      <w:r>
        <w:rPr>
          <w:rFonts w:hint="cs"/>
          <w:rtl/>
        </w:rPr>
        <w:t xml:space="preserve"> יותר מצד עצמו. כלומר החכמה שמתגלה במציאותו של העצם הטבעי מצד עצמה </w:t>
      </w:r>
      <w:r w:rsidR="00DD5E46">
        <w:rPr>
          <w:rFonts w:hint="cs"/>
          <w:rtl/>
        </w:rPr>
        <w:t>נודעת</w:t>
      </w:r>
      <w:r>
        <w:rPr>
          <w:rFonts w:hint="cs"/>
          <w:rtl/>
        </w:rPr>
        <w:t xml:space="preserve"> יותר כשהיא מבוררת בהגדרה </w:t>
      </w:r>
      <w:r w:rsidR="00827F40">
        <w:rPr>
          <w:rFonts w:hint="cs"/>
          <w:rtl/>
        </w:rPr>
        <w:t xml:space="preserve">השכלית </w:t>
      </w:r>
      <w:r>
        <w:rPr>
          <w:rFonts w:hint="cs"/>
          <w:rtl/>
        </w:rPr>
        <w:t>המדויקת המפורטת</w:t>
      </w:r>
      <w:r w:rsidR="00827F40">
        <w:rPr>
          <w:rFonts w:hint="cs"/>
          <w:rtl/>
        </w:rPr>
        <w:t>,</w:t>
      </w:r>
      <w:r>
        <w:rPr>
          <w:rFonts w:hint="cs"/>
          <w:rtl/>
        </w:rPr>
        <w:t xml:space="preserve"> </w:t>
      </w:r>
      <w:r w:rsidR="00827F40">
        <w:rPr>
          <w:rFonts w:hint="cs"/>
          <w:rtl/>
        </w:rPr>
        <w:t>היא נבראה כגילוי, וכך היא מגולה יותר. יש כאן חידוש ש</w:t>
      </w:r>
      <w:r w:rsidR="00126CF9">
        <w:rPr>
          <w:rFonts w:hint="cs"/>
          <w:rtl/>
        </w:rPr>
        <w:t>'</w:t>
      </w:r>
      <w:r w:rsidR="00827F40">
        <w:rPr>
          <w:rFonts w:hint="cs"/>
          <w:rtl/>
        </w:rPr>
        <w:t>גילוי</w:t>
      </w:r>
      <w:r w:rsidR="00126CF9">
        <w:rPr>
          <w:rFonts w:hint="cs"/>
          <w:rtl/>
        </w:rPr>
        <w:t>'</w:t>
      </w:r>
      <w:r w:rsidR="00827F40">
        <w:rPr>
          <w:rFonts w:hint="cs"/>
          <w:rtl/>
        </w:rPr>
        <w:t xml:space="preserve"> הוא </w:t>
      </w:r>
      <w:r w:rsidR="00126CF9">
        <w:rPr>
          <w:rFonts w:hint="cs"/>
          <w:rtl/>
        </w:rPr>
        <w:t>עניין</w:t>
      </w:r>
      <w:r w:rsidR="00827F40">
        <w:rPr>
          <w:rFonts w:hint="cs"/>
          <w:rtl/>
        </w:rPr>
        <w:t xml:space="preserve"> אובייקטיבי שנוגע לקיומו של הדבר כשלעצמו, ולא רק יחס בין המגלה והמתגלה. עיין עוד בזה בבלוג של השיעור על מורה נבוכים בשיעור </w:t>
      </w:r>
      <w:hyperlink r:id="rId16" w:history="1">
        <w:r w:rsidR="00827F40" w:rsidRPr="00827F40">
          <w:rPr>
            <w:rStyle w:val="Hyperlink"/>
            <w:rFonts w:hint="cs"/>
            <w:rtl/>
          </w:rPr>
          <w:t>0017</w:t>
        </w:r>
      </w:hyperlink>
      <w:r w:rsidR="000A22FE">
        <w:rPr>
          <w:rFonts w:hint="cs"/>
          <w:rtl/>
        </w:rPr>
        <w:t>.</w:t>
      </w:r>
    </w:p>
  </w:footnote>
  <w:footnote w:id="64">
    <w:p w14:paraId="623E7540" w14:textId="344A08EF" w:rsidR="00170993" w:rsidRDefault="006B3985" w:rsidP="00F26F31">
      <w:pPr>
        <w:rPr>
          <w:rtl/>
        </w:rPr>
      </w:pPr>
      <w:r>
        <w:rPr>
          <w:rStyle w:val="FootnoteReference"/>
        </w:rPr>
        <w:footnoteRef/>
      </w:r>
      <w:r w:rsidR="00F26F31">
        <w:rPr>
          <w:rFonts w:hint="cs"/>
          <w:rtl/>
        </w:rPr>
        <w:t xml:space="preserve"> </w:t>
      </w:r>
      <w:bookmarkStart w:id="46" w:name="_Hlk96874232"/>
      <w:bookmarkStart w:id="47" w:name="החוש_תופש_צורות_בלבד"/>
      <w:r w:rsidR="00F26F31" w:rsidRPr="00F26F31">
        <w:rPr>
          <w:rFonts w:hint="cs"/>
          <w:sz w:val="32"/>
          <w:szCs w:val="32"/>
          <w:rtl/>
        </w:rPr>
        <w:t>החוש תופש צורות בלבד</w:t>
      </w:r>
      <w:bookmarkEnd w:id="46"/>
      <w:bookmarkEnd w:id="47"/>
      <w:r w:rsidR="003D712E">
        <w:rPr>
          <w:sz w:val="32"/>
          <w:szCs w:val="32"/>
          <w:rtl/>
        </w:rPr>
        <w:fldChar w:fldCharType="begin"/>
      </w:r>
      <w:r w:rsidR="003D712E">
        <w:instrText xml:space="preserve"> XE "</w:instrText>
      </w:r>
      <w:r w:rsidR="003D712E" w:rsidRPr="003254CD">
        <w:rPr>
          <w:rFonts w:hint="cs"/>
          <w:sz w:val="32"/>
          <w:szCs w:val="32"/>
          <w:rtl/>
        </w:rPr>
        <w:instrText>החוש תופש צורות בלבד</w:instrText>
      </w:r>
      <w:r w:rsidR="003D712E">
        <w:instrText xml:space="preserve">" </w:instrText>
      </w:r>
      <w:r w:rsidR="003D712E">
        <w:rPr>
          <w:sz w:val="32"/>
          <w:szCs w:val="32"/>
          <w:rtl/>
        </w:rPr>
        <w:fldChar w:fldCharType="end"/>
      </w:r>
    </w:p>
    <w:p w14:paraId="48AF1DFE" w14:textId="120398C8" w:rsidR="00335984" w:rsidRDefault="00070E5D">
      <w:pPr>
        <w:pStyle w:val="FootnoteText"/>
        <w:rPr>
          <w:rtl/>
        </w:rPr>
      </w:pPr>
      <w:r>
        <w:rPr>
          <w:rFonts w:hint="cs"/>
          <w:rtl/>
        </w:rPr>
        <w:t>החידוש החשוב כאן הוא ש</w:t>
      </w:r>
      <w:r w:rsidR="006B3985">
        <w:rPr>
          <w:rFonts w:hint="cs"/>
          <w:rtl/>
        </w:rPr>
        <w:t xml:space="preserve">החוש לפי האמת גם כן תופש </w:t>
      </w:r>
      <w:r>
        <w:rPr>
          <w:rFonts w:hint="cs"/>
          <w:rtl/>
        </w:rPr>
        <w:t xml:space="preserve">רק </w:t>
      </w:r>
      <w:r w:rsidR="006B3985">
        <w:rPr>
          <w:rFonts w:hint="cs"/>
          <w:rtl/>
        </w:rPr>
        <w:t xml:space="preserve">את הצורה, האידיאה, </w:t>
      </w:r>
      <w:r>
        <w:rPr>
          <w:rFonts w:hint="cs"/>
          <w:rtl/>
        </w:rPr>
        <w:t>וזו תפישת חוש ולא תפישת שכל לא בגלל שתפישת החוש היא תפישת חומר, אלא משום שתפישת החוש היא תפישה בצורה כפי שהיא מתגלה</w:t>
      </w:r>
      <w:r w:rsidR="006B3985">
        <w:rPr>
          <w:rFonts w:hint="cs"/>
          <w:rtl/>
        </w:rPr>
        <w:t xml:space="preserve"> במצע </w:t>
      </w:r>
      <w:r w:rsidR="003E7B48">
        <w:rPr>
          <w:rFonts w:hint="cs"/>
          <w:rtl/>
        </w:rPr>
        <w:t>ה</w:t>
      </w:r>
      <w:r w:rsidR="006B3985">
        <w:rPr>
          <w:rFonts w:hint="cs"/>
          <w:rtl/>
        </w:rPr>
        <w:t>חומר</w:t>
      </w:r>
      <w:r w:rsidR="003E7B48">
        <w:rPr>
          <w:rFonts w:hint="cs"/>
          <w:rtl/>
        </w:rPr>
        <w:t xml:space="preserve"> ולא </w:t>
      </w:r>
      <w:r>
        <w:rPr>
          <w:rFonts w:hint="cs"/>
          <w:rtl/>
        </w:rPr>
        <w:t>כ</w:t>
      </w:r>
      <w:r w:rsidR="003E7B48">
        <w:rPr>
          <w:rFonts w:hint="cs"/>
          <w:rtl/>
        </w:rPr>
        <w:t>אידיאה מופשטת</w:t>
      </w:r>
      <w:r w:rsidR="0039552F">
        <w:rPr>
          <w:rFonts w:hint="cs"/>
          <w:rtl/>
        </w:rPr>
        <w:t xml:space="preserve">, לכן גם הדמיון משיג את הכללי יותר מאשר את הפרטי, כי הצורות עיקר </w:t>
      </w:r>
      <w:r w:rsidR="00AB4D0C">
        <w:rPr>
          <w:rFonts w:hint="cs"/>
          <w:rtl/>
        </w:rPr>
        <w:t>מציאותן והתפישה בהן</w:t>
      </w:r>
      <w:r w:rsidR="0039552F">
        <w:rPr>
          <w:rFonts w:hint="cs"/>
          <w:rtl/>
        </w:rPr>
        <w:t xml:space="preserve"> ה</w:t>
      </w:r>
      <w:r w:rsidR="00AB4D0C">
        <w:rPr>
          <w:rFonts w:hint="cs"/>
          <w:rtl/>
        </w:rPr>
        <w:t>ו</w:t>
      </w:r>
      <w:r w:rsidR="0039552F">
        <w:rPr>
          <w:rFonts w:hint="cs"/>
          <w:rtl/>
        </w:rPr>
        <w:t>א הכללי</w:t>
      </w:r>
      <w:r w:rsidR="00AB4D0C">
        <w:rPr>
          <w:rFonts w:hint="cs"/>
          <w:rtl/>
        </w:rPr>
        <w:t xml:space="preserve"> והפרטים באים רק אחר כך. אם הכללי שאנו מדברים בו הוא צורה מופשטת, ומה שהוא מופשט עושה אותו יותר כללי ממה שאינו מופשט אלא מתגלה רק במצע החומר, אז הדמיון תופש את הכללי פחות ומאוחר יותר, כי אין לדמיון תפישה במופשט, אבל אם אנו משווים כללי שנתפש במצע החומר מול פרטי שנתפש במצע החומר, באופן כזה גם מצד כח הדמיון</w:t>
      </w:r>
      <w:r w:rsidR="00335984">
        <w:rPr>
          <w:rFonts w:hint="cs"/>
          <w:rtl/>
        </w:rPr>
        <w:t>,</w:t>
      </w:r>
      <w:r w:rsidR="00AB4D0C">
        <w:rPr>
          <w:rFonts w:hint="cs"/>
          <w:rtl/>
        </w:rPr>
        <w:t xml:space="preserve"> הכללי קודם בהווייה </w:t>
      </w:r>
      <w:r w:rsidR="00335984">
        <w:rPr>
          <w:rFonts w:hint="cs"/>
          <w:rtl/>
        </w:rPr>
        <w:t xml:space="preserve">ולכן גם </w:t>
      </w:r>
      <w:r w:rsidR="00AB4D0C">
        <w:rPr>
          <w:rFonts w:hint="cs"/>
          <w:rtl/>
        </w:rPr>
        <w:t>בתפישה</w:t>
      </w:r>
      <w:r w:rsidR="00335984">
        <w:rPr>
          <w:rFonts w:hint="cs"/>
          <w:rtl/>
        </w:rPr>
        <w:t>, כי במצע החומר נתפשות צורות ובצורות הכללית קודמת לפרטית</w:t>
      </w:r>
      <w:r w:rsidR="003E7B48">
        <w:rPr>
          <w:rFonts w:hint="cs"/>
          <w:rtl/>
        </w:rPr>
        <w:t xml:space="preserve">. </w:t>
      </w:r>
    </w:p>
    <w:p w14:paraId="556FE7C6" w14:textId="23A2515C" w:rsidR="006B3985" w:rsidRDefault="003E7B48">
      <w:pPr>
        <w:pStyle w:val="FootnoteText"/>
        <w:rPr>
          <w:rtl/>
        </w:rPr>
      </w:pPr>
      <w:r>
        <w:rPr>
          <w:rFonts w:hint="cs"/>
          <w:rtl/>
        </w:rPr>
        <w:t>החוש תופש את ראובן רק כי הוא תופש שיש צורה שהיא 'אדם' והוא תופש את ראובן כאדם (</w:t>
      </w:r>
      <w:r w:rsidR="00335984">
        <w:rPr>
          <w:rFonts w:hint="cs"/>
          <w:rtl/>
        </w:rPr>
        <w:t xml:space="preserve">התפישה היא אדם שהוא ראובן, לא ראובן שהוא ראובן). </w:t>
      </w:r>
      <w:r>
        <w:rPr>
          <w:rFonts w:hint="cs"/>
          <w:rtl/>
        </w:rPr>
        <w:t>וכן הלאה</w:t>
      </w:r>
      <w:r w:rsidR="003A53E7">
        <w:rPr>
          <w:rFonts w:hint="cs"/>
          <w:rtl/>
        </w:rPr>
        <w:t xml:space="preserve"> החוש תופש את היותו של ראובן 'אדם' רק כי הוא תופש את הצורה 'חי' ושאדם הוא 'חי'</w:t>
      </w:r>
      <w:r w:rsidR="00335984">
        <w:rPr>
          <w:rFonts w:hint="cs"/>
          <w:rtl/>
        </w:rPr>
        <w:t xml:space="preserve"> שהוא אדם ולא רק אדם שהוא אדם</w:t>
      </w:r>
      <w:r w:rsidR="003A53E7">
        <w:rPr>
          <w:rFonts w:hint="cs"/>
          <w:rtl/>
        </w:rPr>
        <w:t>, ו</w:t>
      </w:r>
      <w:r w:rsidR="00335984">
        <w:rPr>
          <w:rFonts w:hint="cs"/>
          <w:rtl/>
        </w:rPr>
        <w:t>הדמיון גם תופש את</w:t>
      </w:r>
      <w:r w:rsidR="003A53E7">
        <w:rPr>
          <w:rFonts w:hint="cs"/>
          <w:rtl/>
        </w:rPr>
        <w:t xml:space="preserve"> הצורה 'עצם'</w:t>
      </w:r>
      <w:r w:rsidR="00825FFA">
        <w:rPr>
          <w:rFonts w:hint="cs"/>
          <w:rtl/>
        </w:rPr>
        <w:t>,</w:t>
      </w:r>
      <w:r w:rsidR="003A53E7">
        <w:rPr>
          <w:rFonts w:hint="cs"/>
          <w:rtl/>
        </w:rPr>
        <w:t xml:space="preserve"> ו</w:t>
      </w:r>
      <w:r w:rsidR="00335984">
        <w:rPr>
          <w:rFonts w:hint="cs"/>
          <w:rtl/>
        </w:rPr>
        <w:t>'חי' נתפש רק כ</w:t>
      </w:r>
      <w:r w:rsidR="00825FFA">
        <w:rPr>
          <w:rFonts w:hint="cs"/>
          <w:rtl/>
        </w:rPr>
        <w:t>'</w:t>
      </w:r>
      <w:r w:rsidR="00335984">
        <w:rPr>
          <w:rFonts w:hint="cs"/>
          <w:rtl/>
        </w:rPr>
        <w:t>עצם חי</w:t>
      </w:r>
      <w:r w:rsidR="00825FFA">
        <w:rPr>
          <w:rFonts w:hint="cs"/>
          <w:rtl/>
        </w:rPr>
        <w:t>'</w:t>
      </w:r>
      <w:r w:rsidR="003A53E7">
        <w:rPr>
          <w:rFonts w:hint="cs"/>
          <w:rtl/>
        </w:rPr>
        <w:t>)</w:t>
      </w:r>
      <w:r>
        <w:rPr>
          <w:rFonts w:hint="cs"/>
          <w:rtl/>
        </w:rPr>
        <w:t xml:space="preserve">. הפירוט של הצורה </w:t>
      </w:r>
      <w:r w:rsidR="003A53E7">
        <w:rPr>
          <w:rFonts w:hint="cs"/>
          <w:rtl/>
        </w:rPr>
        <w:t xml:space="preserve">'אדם' </w:t>
      </w:r>
      <w:r>
        <w:rPr>
          <w:rFonts w:hint="cs"/>
          <w:rtl/>
        </w:rPr>
        <w:t xml:space="preserve">ל'חי' ו'מדבר', הוא עמל השכל שמתבונן בראובן, והפירוט הוא הפשטה של הצורה אדם מהמדרגה בה היא נתפשת בחוש כראובן שהוא אדם למדרגה מופשטת יותר, שעומדת כמושא לתפישה גם בלי ראובן היחיד המוחשי. </w:t>
      </w:r>
    </w:p>
    <w:p w14:paraId="33C52693" w14:textId="1897C8FD" w:rsidR="00070E5D" w:rsidRDefault="00070E5D">
      <w:pPr>
        <w:pStyle w:val="FootnoteText"/>
        <w:rPr>
          <w:rtl/>
        </w:rPr>
      </w:pPr>
      <w:r>
        <w:rPr>
          <w:rFonts w:hint="cs"/>
          <w:rtl/>
        </w:rPr>
        <w:t xml:space="preserve">למשל אם מציירים ציור פשוט של אדם על דף נייר, ילד קטן יכול להסתכל ולומר זה אדם. זה רק עיגול </w:t>
      </w:r>
      <w:r w:rsidR="008E7720">
        <w:rPr>
          <w:rFonts w:hint="cs"/>
          <w:rtl/>
        </w:rPr>
        <w:t xml:space="preserve">גדול שמסמל גוף ומעליו עיגול קטן שמסמל ראש ושני קוים כידיים ושני קווים כרגליים. זה לא דומה כלל לראובן שהילד ראה מקודם, אבל הילד יכול לראות שזה אדם, ושראובן אדם, כי הוא משיג את הצורה ולא את החומר. אם אשאל את הילד שיאמר מה זה 'אדם' בלי להסתכל בציור או בגוף מוחשי אחר, הוא לא יוכל להסביר שאדם זה חי מדבר. הוא יכול להצביע על ציור או על ראובן, אבל לא להסביר בלי להצביע. כי הילד אמנם משיג צורה ולא חומר, לכן הוא מזהה שמה שבציור זה אדם כמו שראובן אדם, אבל הוא </w:t>
      </w:r>
      <w:r w:rsidR="00C74F56">
        <w:rPr>
          <w:rFonts w:hint="cs"/>
          <w:rtl/>
        </w:rPr>
        <w:t>לא יכול להשיג את הצורה יותר ממה שהיא מתגלה במצע החומר. בראובן מתגלה צורת 'אדם' וגם ברישום שעל הנייר, אבל כדי לומר ש'אדם' הוא 'חי מדבר' צריך שצורת אדם תתברר למשיג אותה בבירור שהוא יותר מופשט ממה שהציור או הגוף של ראובן מגלים. זה תוצאה של עמל הניתוח, וזה רק השכל שמחלק יכול לעשות, וכלשון הרמב</w:t>
      </w:r>
      <w:r w:rsidR="00F055C8">
        <w:rPr>
          <w:rtl/>
        </w:rPr>
        <w:t>"</w:t>
      </w:r>
      <w:r w:rsidR="00C74F56">
        <w:rPr>
          <w:rFonts w:hint="cs"/>
          <w:rtl/>
        </w:rPr>
        <w:t>ם בהלכות יסודי התורה ד' ז' שלב האדם מחלק, והכוונה לשכל:</w:t>
      </w:r>
    </w:p>
    <w:p w14:paraId="484AAA67" w14:textId="6CFB9641" w:rsidR="00C74F56" w:rsidRDefault="00F055C8">
      <w:pPr>
        <w:pStyle w:val="FootnoteText"/>
        <w:rPr>
          <w:rtl/>
        </w:rPr>
      </w:pPr>
      <w:r>
        <w:rPr>
          <w:rtl/>
        </w:rPr>
        <w:t>"</w:t>
      </w:r>
      <w:r w:rsidR="00C74F56" w:rsidRPr="00C74F56">
        <w:rPr>
          <w:rtl/>
        </w:rPr>
        <w:t>לְעוֹלָם אֵין אַתָּה רוֹאֶה גֹּלֶם בְּלֹא צוּרָה אוֹ צוּרָה בְּלֹא גֹּלֶם, אֶלָּא לֵב הָאָדָם הוּא שֶׁמְּחַלֵּק הַגּוּף הַנִּמְצָא בְּדַעְתּוֹ, וְיוֹדֵעַ שֶׁהוּא מְחֻבָּר מִגֹּלֶם וְצוּרָה</w:t>
      </w:r>
      <w:r>
        <w:rPr>
          <w:rtl/>
        </w:rPr>
        <w:t>"</w:t>
      </w:r>
    </w:p>
    <w:p w14:paraId="20CD62F6" w14:textId="1E877388" w:rsidR="00A53298" w:rsidRDefault="00A53298" w:rsidP="0039552F">
      <w:pPr>
        <w:pStyle w:val="FootnoteText"/>
        <w:rPr>
          <w:rtl/>
        </w:rPr>
      </w:pPr>
      <w:r>
        <w:rPr>
          <w:rFonts w:hint="cs"/>
          <w:rtl/>
        </w:rPr>
        <w:t xml:space="preserve">וכמו שכתב </w:t>
      </w:r>
      <w:r>
        <w:rPr>
          <w:rFonts w:hint="cs"/>
          <w:rtl/>
        </w:rPr>
        <w:t>במו</w:t>
      </w:r>
      <w:r w:rsidR="00F055C8">
        <w:rPr>
          <w:rtl/>
        </w:rPr>
        <w:t>"</w:t>
      </w:r>
      <w:r>
        <w:rPr>
          <w:rFonts w:hint="cs"/>
          <w:rtl/>
        </w:rPr>
        <w:t>נ א' ע</w:t>
      </w:r>
      <w:r w:rsidR="00F055C8">
        <w:rPr>
          <w:rtl/>
        </w:rPr>
        <w:t>"</w:t>
      </w:r>
      <w:r>
        <w:rPr>
          <w:rFonts w:hint="cs"/>
          <w:rtl/>
        </w:rPr>
        <w:t>ג הקדמה עשירית:</w:t>
      </w:r>
    </w:p>
    <w:p w14:paraId="062F2EF0" w14:textId="4F4C6DC7" w:rsidR="00A53298" w:rsidRDefault="00F055C8" w:rsidP="0039552F">
      <w:pPr>
        <w:pStyle w:val="FootnoteText"/>
        <w:rPr>
          <w:rtl/>
        </w:rPr>
      </w:pPr>
      <w:r>
        <w:rPr>
          <w:rtl/>
        </w:rPr>
        <w:t>"</w:t>
      </w:r>
      <w:r w:rsidR="00A53298" w:rsidRPr="00A53298">
        <w:rPr>
          <w:rtl/>
        </w:rPr>
        <w:t xml:space="preserve">כי השכל יפרק המורכבות ויבדיל חלקיהם ויפשיטם ויצירם באמיתתם ובסיבותם וישיג מן הדבר האחד ענינים רבים מאוד שביניהם הפרש אצל השכל כהפרש שני אישים מבני אדם אצל הדמיון במציאות. ובשכל יבדיל הענין הכללי מן הענין האישי ולא יתאמת מופת מן המופתים אלא בכללי. ובשכל יודע הנשוא העצמי מן המקרי. ואין לדמיון פועל דבר מאלו הפעולות - שהדמיון לא ישיג אלא האישי המורכב בכללו לפי מה שהשיגוהו </w:t>
      </w:r>
      <w:r w:rsidR="00A53298">
        <w:rPr>
          <w:rFonts w:hint="cs"/>
          <w:rtl/>
        </w:rPr>
        <w:t xml:space="preserve"> [...]</w:t>
      </w:r>
      <w:r w:rsidR="00A53298" w:rsidRPr="00A53298">
        <w:rPr>
          <w:rtl/>
        </w:rPr>
        <w:t>. ולא יוכל הדמיון בשום פנים להמלט בהשגתו מן החומר ואפילו הפשיט צורה אחת בתכלית ההפשט; ולכן אין בחינה בדמיון</w:t>
      </w:r>
      <w:r w:rsidR="00A53298">
        <w:rPr>
          <w:rFonts w:hint="cs"/>
          <w:rtl/>
        </w:rPr>
        <w:t>.</w:t>
      </w:r>
      <w:r>
        <w:rPr>
          <w:rtl/>
        </w:rPr>
        <w:t>"</w:t>
      </w:r>
    </w:p>
    <w:p w14:paraId="4B72B4B9" w14:textId="36434116" w:rsidR="00B00C39" w:rsidRDefault="00A53298" w:rsidP="00584E59">
      <w:pPr>
        <w:pStyle w:val="FootnoteText"/>
        <w:rPr>
          <w:rtl/>
        </w:rPr>
      </w:pPr>
      <w:r>
        <w:rPr>
          <w:rFonts w:hint="cs"/>
          <w:rtl/>
        </w:rPr>
        <w:t>כתוב כאן שהדמיון יכול להפשיט צורה, הדמיון בלי ספק משיג צורות, את החומר אי אפשר להשיג כלל, א</w:t>
      </w:r>
      <w:r w:rsidR="0039552F">
        <w:rPr>
          <w:rFonts w:hint="cs"/>
          <w:rtl/>
        </w:rPr>
        <w:t xml:space="preserve">לא שאינו יכול לחלק בין הצורה המצטיירת על מצע החומר ובין הצורה המופשטת. </w:t>
      </w:r>
      <w:r w:rsidR="00B00C39">
        <w:rPr>
          <w:rFonts w:hint="cs"/>
          <w:rtl/>
        </w:rPr>
        <w:t>עיקר החושך השכלי שמכסה את פני עולמנו נובע מכך שאנו טועים לחשוב שהחוש משיג חומר ולא צורות. מזה נובע המטריאליזם וכל הטעויות ה</w:t>
      </w:r>
      <w:r w:rsidR="00584E59">
        <w:rPr>
          <w:rFonts w:hint="cs"/>
          <w:rtl/>
        </w:rPr>
        <w:t>עצומות שבאות בעקבותיו, בכל תחומי המחשבה והחיים.</w:t>
      </w:r>
      <w:r w:rsidR="00B00C39">
        <w:rPr>
          <w:rFonts w:hint="cs"/>
          <w:rtl/>
        </w:rPr>
        <w:t xml:space="preserve"> </w:t>
      </w:r>
    </w:p>
    <w:p w14:paraId="60639498" w14:textId="77777777" w:rsidR="003D712E" w:rsidRDefault="003D712E" w:rsidP="003D712E">
      <w:pPr>
        <w:rPr>
          <w:rtl/>
        </w:rPr>
      </w:pPr>
    </w:p>
    <w:p w14:paraId="06E52A99" w14:textId="71A86B7F" w:rsidR="00B00C39" w:rsidRDefault="00B00C39" w:rsidP="003D712E">
      <w:pPr>
        <w:rPr>
          <w:rtl/>
        </w:rPr>
      </w:pPr>
      <w:r>
        <w:rPr>
          <w:rFonts w:hint="cs"/>
          <w:rtl/>
        </w:rPr>
        <w:t>בטימיאוס עמ' 52</w:t>
      </w:r>
      <w:r w:rsidR="00823A06">
        <w:rPr>
          <w:rtl/>
        </w:rPr>
        <w:fldChar w:fldCharType="begin"/>
      </w:r>
      <w:r w:rsidR="00823A06">
        <w:instrText xml:space="preserve"> XE "</w:instrText>
      </w:r>
      <w:r w:rsidR="00823A06" w:rsidRPr="009425B5">
        <w:rPr>
          <w:rFonts w:hint="cs"/>
          <w:rtl/>
        </w:rPr>
        <w:instrText>טימיאוס עמ' 52 על השגת החומר</w:instrText>
      </w:r>
      <w:r w:rsidR="00823A06">
        <w:instrText xml:space="preserve">" </w:instrText>
      </w:r>
      <w:r w:rsidR="00823A06">
        <w:rPr>
          <w:rtl/>
        </w:rPr>
        <w:fldChar w:fldCharType="end"/>
      </w:r>
      <w:r>
        <w:rPr>
          <w:rFonts w:hint="cs"/>
          <w:rtl/>
        </w:rPr>
        <w:t xml:space="preserve"> (עמ' 557 במהד' ליבס) כתב על השגת החומר:</w:t>
      </w:r>
    </w:p>
    <w:p w14:paraId="538DE213" w14:textId="5501B394" w:rsidR="00B00C39" w:rsidRDefault="00F055C8" w:rsidP="00B00C39">
      <w:pPr>
        <w:pStyle w:val="FootnoteText"/>
        <w:rPr>
          <w:rtl/>
        </w:rPr>
      </w:pPr>
      <w:r>
        <w:rPr>
          <w:rtl/>
        </w:rPr>
        <w:t>"</w:t>
      </w:r>
      <w:r w:rsidR="00B00C39">
        <w:rPr>
          <w:rtl/>
        </w:rPr>
        <w:t>ומכיוון שכך, עלינו להודות, שישנה, ראשית כל, הדמות שאינה משתנית, אשר לא נהיתה ולא תכלה, ואינה קולטת בתוכה דבר־מה אחר ממקום אחר, אף אינה נכנסת לתוך דבר־מה אחר מכל מקום שהוא, ואינה נראית לעין או נתפסת בכל חוש אחר, והיא אותו ענין שנתייחד למחשבה.</w:t>
      </w:r>
      <w:r w:rsidR="00584E59">
        <w:rPr>
          <w:rFonts w:hint="cs"/>
          <w:rtl/>
        </w:rPr>
        <w:t xml:space="preserve"> [אלה הצורות המופשטות לגמרי שנתפשות בשכל העיוני המופשט לגמרי]</w:t>
      </w:r>
    </w:p>
    <w:p w14:paraId="22C039E1" w14:textId="51653E28" w:rsidR="00584E59" w:rsidRDefault="00B00C39" w:rsidP="00B00C39">
      <w:pPr>
        <w:pStyle w:val="FootnoteText"/>
        <w:rPr>
          <w:rtl/>
        </w:rPr>
      </w:pPr>
      <w:r>
        <w:rPr>
          <w:rtl/>
        </w:rPr>
        <w:t>שני הוא הדבר שנקרא בשמה של הדמות ו</w:t>
      </w:r>
      <w:r w:rsidR="00584E59">
        <w:rPr>
          <w:rFonts w:hint="cs"/>
          <w:rtl/>
        </w:rPr>
        <w:t>ד</w:t>
      </w:r>
      <w:r>
        <w:rPr>
          <w:rtl/>
        </w:rPr>
        <w:t>ומה ל</w:t>
      </w:r>
      <w:r w:rsidR="00584E59">
        <w:rPr>
          <w:rFonts w:hint="cs"/>
          <w:rtl/>
        </w:rPr>
        <w:t>ה;</w:t>
      </w:r>
      <w:r>
        <w:rPr>
          <w:rtl/>
        </w:rPr>
        <w:t xml:space="preserve"> והוא מוחשי</w:t>
      </w:r>
      <w:r w:rsidR="00584E59">
        <w:rPr>
          <w:rFonts w:hint="cs"/>
          <w:rtl/>
        </w:rPr>
        <w:t>;</w:t>
      </w:r>
      <w:r>
        <w:rPr>
          <w:rtl/>
        </w:rPr>
        <w:t xml:space="preserve"> נתהווה</w:t>
      </w:r>
      <w:r w:rsidR="00584E59">
        <w:rPr>
          <w:rFonts w:hint="cs"/>
          <w:rtl/>
        </w:rPr>
        <w:t>;</w:t>
      </w:r>
      <w:r>
        <w:rPr>
          <w:rtl/>
        </w:rPr>
        <w:t xml:space="preserve"> שרוי תמיד בתנועה מהיותו נוצר במקום </w:t>
      </w:r>
      <w:r w:rsidR="009C463A">
        <w:rPr>
          <w:rFonts w:hint="cs"/>
          <w:rtl/>
        </w:rPr>
        <w:t>מסוים</w:t>
      </w:r>
      <w:r>
        <w:rPr>
          <w:rtl/>
        </w:rPr>
        <w:t xml:space="preserve"> וכלה מקרב המקום הזה</w:t>
      </w:r>
      <w:r w:rsidR="00584E59">
        <w:rPr>
          <w:rFonts w:hint="cs"/>
          <w:rtl/>
        </w:rPr>
        <w:t>;</w:t>
      </w:r>
      <w:r>
        <w:rPr>
          <w:rtl/>
        </w:rPr>
        <w:t xml:space="preserve"> ומשגתו סברה שתחושה בצדה</w:t>
      </w:r>
      <w:r w:rsidR="00584E59">
        <w:rPr>
          <w:rFonts w:hint="cs"/>
          <w:rtl/>
        </w:rPr>
        <w:t xml:space="preserve"> [אלה העצמים בעולם הארצי שמורכבים מחומר וצורה, הם מתחילים מתפישת שחוש שתופש את הצורה שבעצמים רק במידה שהיא מצטיירת בחומר, ומשם היא מגיעה לעמל השכל המדבר שמתבונן ומבחין בפרטי הצורה ובכך מפשיט אותה מהיו</w:t>
      </w:r>
      <w:r w:rsidR="00045715">
        <w:rPr>
          <w:rFonts w:hint="cs"/>
          <w:rtl/>
        </w:rPr>
        <w:t>ת</w:t>
      </w:r>
      <w:r w:rsidR="00584E59">
        <w:rPr>
          <w:rFonts w:hint="cs"/>
          <w:rtl/>
        </w:rPr>
        <w:t>ה מוגבלת לתפישה בכל</w:t>
      </w:r>
      <w:r w:rsidR="00045715">
        <w:rPr>
          <w:rFonts w:hint="cs"/>
          <w:rtl/>
        </w:rPr>
        <w:t>י</w:t>
      </w:r>
      <w:r w:rsidR="00584E59">
        <w:rPr>
          <w:rFonts w:hint="cs"/>
          <w:rtl/>
        </w:rPr>
        <w:t xml:space="preserve"> החומר]</w:t>
      </w:r>
      <w:r>
        <w:rPr>
          <w:rtl/>
        </w:rPr>
        <w:t xml:space="preserve">. </w:t>
      </w:r>
    </w:p>
    <w:p w14:paraId="23C233B7" w14:textId="293B322C" w:rsidR="00825FFA" w:rsidRPr="00A53298" w:rsidRDefault="00B00C39" w:rsidP="00954188">
      <w:pPr>
        <w:pStyle w:val="FootnoteText"/>
      </w:pPr>
      <w:r>
        <w:rPr>
          <w:rtl/>
        </w:rPr>
        <w:t>שלישי הוא החלל אשר קיים לעולם ונמנע ממנו כליון</w:t>
      </w:r>
      <w:r w:rsidR="007301F0">
        <w:rPr>
          <w:rFonts w:hint="cs"/>
          <w:rtl/>
        </w:rPr>
        <w:t>;</w:t>
      </w:r>
      <w:r>
        <w:rPr>
          <w:rtl/>
        </w:rPr>
        <w:t xml:space="preserve"> הוא ממציא משכן לכל המתהווה</w:t>
      </w:r>
      <w:r w:rsidR="007301F0">
        <w:rPr>
          <w:rFonts w:hint="cs"/>
          <w:rtl/>
        </w:rPr>
        <w:t xml:space="preserve"> [זה החומר מצד עצמו];</w:t>
      </w:r>
      <w:r>
        <w:rPr>
          <w:rtl/>
        </w:rPr>
        <w:t xml:space="preserve"> ואותו משיג </w:t>
      </w:r>
      <w:r w:rsidR="007301F0">
        <w:rPr>
          <w:rFonts w:hint="cs"/>
          <w:rtl/>
        </w:rPr>
        <w:t>-</w:t>
      </w:r>
      <w:r>
        <w:rPr>
          <w:rtl/>
        </w:rPr>
        <w:t xml:space="preserve"> בלא תחושה</w:t>
      </w:r>
      <w:r w:rsidR="007301F0">
        <w:rPr>
          <w:rFonts w:hint="cs"/>
          <w:rtl/>
        </w:rPr>
        <w:t xml:space="preserve"> [החוש לא יכול להשיג חומר. החוש רואה רק עץ או כלב או כתם כלשהו, ולא יכול לראות רשמי חוש שאין בהם שום ארגון, אפילו לא התארגנות לכתמים נעים. כל ארגון הוא השגה של צורה, החומר מצד עצמו אין בו מה שיארגן אותו לשום דבר שהוא 'משהו']</w:t>
      </w:r>
      <w:r>
        <w:rPr>
          <w:rtl/>
        </w:rPr>
        <w:t xml:space="preserve"> </w:t>
      </w:r>
      <w:r w:rsidR="007301F0">
        <w:rPr>
          <w:rFonts w:hint="cs"/>
          <w:rtl/>
        </w:rPr>
        <w:t>-</w:t>
      </w:r>
      <w:r>
        <w:rPr>
          <w:rtl/>
        </w:rPr>
        <w:t xml:space="preserve"> שיקול דעת </w:t>
      </w:r>
      <w:r w:rsidR="009C463A">
        <w:rPr>
          <w:rFonts w:hint="cs"/>
          <w:rtl/>
        </w:rPr>
        <w:t>מסוים</w:t>
      </w:r>
      <w:r>
        <w:rPr>
          <w:rtl/>
        </w:rPr>
        <w:t xml:space="preserve"> שאינו כשר מלידה</w:t>
      </w:r>
      <w:r w:rsidR="007301F0">
        <w:rPr>
          <w:rFonts w:hint="cs"/>
          <w:rtl/>
        </w:rPr>
        <w:t xml:space="preserve"> [כלומר ממזר. </w:t>
      </w:r>
      <w:r w:rsidR="00875EE6">
        <w:rPr>
          <w:rFonts w:hint="cs"/>
          <w:rtl/>
        </w:rPr>
        <w:t>לא חוש ולא שכל, ולכן אין לו מקום בהווייה</w:t>
      </w:r>
      <w:r w:rsidR="007301F0">
        <w:rPr>
          <w:rFonts w:hint="cs"/>
          <w:rtl/>
        </w:rPr>
        <w:t>];</w:t>
      </w:r>
      <w:r>
        <w:rPr>
          <w:rtl/>
        </w:rPr>
        <w:t xml:space="preserve"> אך כמעט לא ייתכן לראות בו ענין לאמונה</w:t>
      </w:r>
      <w:r w:rsidR="00875EE6">
        <w:rPr>
          <w:rFonts w:hint="cs"/>
          <w:rtl/>
        </w:rPr>
        <w:t xml:space="preserve"> [כלומר תפישה שאנו מכירים בה כתפישה של אמת בדרך כלשהי, כתואמת למציאות בדרך כלשהי. החומר בפני עצמו אינו מציאות ולכן אין בו תפישה שהיא תפישת אמת, כלומר שנאמנה למשהו במציאות שאותו היא תופשת]</w:t>
      </w:r>
      <w:r>
        <w:rPr>
          <w:rtl/>
        </w:rPr>
        <w:t>. והוא הדבר שאנו מביטים אליו כבחלום, ואומרים שכל מה שישנו צריך שיהא במקום כלשהו,</w:t>
      </w:r>
      <w:r w:rsidR="00875EE6">
        <w:rPr>
          <w:rFonts w:hint="cs"/>
          <w:rtl/>
        </w:rPr>
        <w:t xml:space="preserve"> </w:t>
      </w:r>
      <w:r>
        <w:rPr>
          <w:rtl/>
        </w:rPr>
        <w:t>ומה שאיננו עלי אדמות</w:t>
      </w:r>
      <w:r w:rsidR="00875EE6">
        <w:rPr>
          <w:rFonts w:hint="cs"/>
          <w:rtl/>
        </w:rPr>
        <w:t xml:space="preserve"> [גוף שמורכב מחומר וצורה, שנתפש בכח המדבר, השכל בכח, שתופש צורה </w:t>
      </w:r>
      <w:r w:rsidR="00AB408F">
        <w:rPr>
          <w:rFonts w:hint="cs"/>
          <w:rtl/>
        </w:rPr>
        <w:t>בכלי החומר, על ידי הצטיירותה בחומר</w:t>
      </w:r>
      <w:r w:rsidR="00875EE6">
        <w:rPr>
          <w:rFonts w:hint="cs"/>
          <w:rtl/>
        </w:rPr>
        <w:t>]</w:t>
      </w:r>
      <w:r>
        <w:rPr>
          <w:rtl/>
        </w:rPr>
        <w:t>, ולא באיזה שהוא מקום בשמיים</w:t>
      </w:r>
      <w:r w:rsidR="00875EE6">
        <w:rPr>
          <w:rFonts w:hint="cs"/>
          <w:rtl/>
        </w:rPr>
        <w:t xml:space="preserve"> [יש מופשט מחומר</w:t>
      </w:r>
      <w:r w:rsidR="00AB408F">
        <w:rPr>
          <w:rFonts w:hint="cs"/>
          <w:rtl/>
        </w:rPr>
        <w:t xml:space="preserve"> שנתפש בשכל העיוני המופשט</w:t>
      </w:r>
      <w:r w:rsidR="00875EE6">
        <w:rPr>
          <w:rFonts w:hint="cs"/>
          <w:rtl/>
        </w:rPr>
        <w:t>]</w:t>
      </w:r>
      <w:r>
        <w:rPr>
          <w:rtl/>
        </w:rPr>
        <w:t>, אינו דבר</w:t>
      </w:r>
      <w:r w:rsidR="00AB408F">
        <w:rPr>
          <w:rFonts w:hint="cs"/>
          <w:rtl/>
        </w:rPr>
        <w:t xml:space="preserve"> [אין במציאות שום דבר שאינו גוף שמאוחד מחומר וצורה (גוף הילומורפי</w:t>
      </w:r>
      <w:r w:rsidR="00F66144">
        <w:rPr>
          <w:rFonts w:hint="cs"/>
          <w:rtl/>
        </w:rPr>
        <w:t>. הילו=חומר, מורפי=צורה</w:t>
      </w:r>
      <w:r w:rsidR="00AB408F">
        <w:rPr>
          <w:rFonts w:hint="cs"/>
          <w:rtl/>
        </w:rPr>
        <w:t>), או שהוא שיש מופשט מחומר]</w:t>
      </w:r>
      <w:r>
        <w:rPr>
          <w:rtl/>
        </w:rPr>
        <w:t>. ומהיותנו נתונים במצב זה של חלום, אין ביכולתנו להתעורר ולהבחין את ההבחנות האלה ושכמותן, אף לא לגבי אותו טבע שאינו אחוז שינה והקיים קיום אמיתי, ולהגיד את האמת, כדלהלן</w:t>
      </w:r>
      <w:r w:rsidR="00AB408F">
        <w:rPr>
          <w:rFonts w:hint="cs"/>
          <w:rtl/>
        </w:rPr>
        <w:t>:</w:t>
      </w:r>
      <w:r>
        <w:rPr>
          <w:rtl/>
        </w:rPr>
        <w:t xml:space="preserve"> מאחר שעצם היסוד שמכוחו נתהווה הצלם אינו שייך לצלם עצמו</w:t>
      </w:r>
      <w:r w:rsidR="00AB408F">
        <w:rPr>
          <w:rFonts w:hint="cs"/>
          <w:rtl/>
        </w:rPr>
        <w:t xml:space="preserve"> [הגוף המורכב מחומר וצורה, הוא הצלם, ועצם היסוד שמכוחו נתהווה הוא הצורה המופשטת שמצטיירת בו, ואינה שייכת לו מצד עצמו]</w:t>
      </w:r>
      <w:r>
        <w:rPr>
          <w:rtl/>
        </w:rPr>
        <w:t>, והוא תמונתו של מה שהוא אחר המתנועעת תמיד אנה ואנה</w:t>
      </w:r>
      <w:r w:rsidR="00544F51">
        <w:rPr>
          <w:rFonts w:hint="cs"/>
          <w:rtl/>
        </w:rPr>
        <w:t xml:space="preserve"> [הגוף החומרי הוא תמונתה של האידיאה המופשטת; האידיאה המופשטת אינה נעה, וכשהיא מצוירת בחומר היא נעה אנה ואנה. התנועה היא היפך מהותה של האידיאה, כי המופשט לא תופש מקום בחלל והוא ביסוד מהותו נצחי, כלומר לא משתנה, לא נע. מכאן רואים </w:t>
      </w:r>
      <w:r w:rsidR="00F66144">
        <w:rPr>
          <w:rFonts w:hint="cs"/>
          <w:rtl/>
        </w:rPr>
        <w:t>שהאידיאה לא שייכת לגוף ההילומורפי מצד עצמו</w:t>
      </w:r>
      <w:r w:rsidR="00544F51">
        <w:rPr>
          <w:rFonts w:hint="cs"/>
          <w:rtl/>
        </w:rPr>
        <w:t>]</w:t>
      </w:r>
      <w:r>
        <w:rPr>
          <w:rtl/>
        </w:rPr>
        <w:t xml:space="preserve">, </w:t>
      </w:r>
      <w:r w:rsidR="00544F51">
        <w:rPr>
          <w:rFonts w:hint="cs"/>
          <w:rtl/>
        </w:rPr>
        <w:t>-</w:t>
      </w:r>
      <w:r>
        <w:rPr>
          <w:rtl/>
        </w:rPr>
        <w:t xml:space="preserve"> משום כך דינו של הצלם הוא, שיתהווה בתוך מה שהוא אחר</w:t>
      </w:r>
      <w:r w:rsidR="00F66144">
        <w:rPr>
          <w:rFonts w:hint="cs"/>
          <w:rtl/>
        </w:rPr>
        <w:t xml:space="preserve"> [</w:t>
      </w:r>
      <w:r w:rsidR="00B27394">
        <w:rPr>
          <w:rFonts w:hint="cs"/>
          <w:rtl/>
        </w:rPr>
        <w:t xml:space="preserve">שהוא </w:t>
      </w:r>
      <w:r w:rsidR="00F66144">
        <w:rPr>
          <w:rFonts w:hint="cs"/>
          <w:rtl/>
        </w:rPr>
        <w:t>ההבדל בין הצורה המופשטת ובין הגוף ההילומורפי שמאוחד מחומר וצורה</w:t>
      </w:r>
      <w:r w:rsidR="00B27394">
        <w:rPr>
          <w:rFonts w:hint="cs"/>
          <w:rtl/>
        </w:rPr>
        <w:t>. הוא רק ההבדל הזה בלי שמצד עצמו יש לו מציאות</w:t>
      </w:r>
      <w:r w:rsidR="00F66144">
        <w:rPr>
          <w:rFonts w:hint="cs"/>
          <w:rtl/>
        </w:rPr>
        <w:t>]</w:t>
      </w:r>
      <w:r>
        <w:rPr>
          <w:rtl/>
        </w:rPr>
        <w:t>, כשבדרך מה הוא נאחז במה שקיים, ולא, כלל לא יהיה הצלם בגדר דבר</w:t>
      </w:r>
      <w:r w:rsidR="00B27394">
        <w:rPr>
          <w:rFonts w:hint="cs"/>
          <w:rtl/>
        </w:rPr>
        <w:t>;</w:t>
      </w:r>
      <w:r>
        <w:rPr>
          <w:rtl/>
        </w:rPr>
        <w:t xml:space="preserve"> ואולם מה שהווה כהוויתו</w:t>
      </w:r>
      <w:r w:rsidR="00B27394">
        <w:rPr>
          <w:rFonts w:hint="cs"/>
          <w:rtl/>
        </w:rPr>
        <w:t xml:space="preserve"> [הצורה המופשטת]</w:t>
      </w:r>
      <w:r>
        <w:rPr>
          <w:rtl/>
        </w:rPr>
        <w:t>, מצא לו בעל ברית באותו הסבר הגיוני שאמיתותו מושתתת על דיוקו</w:t>
      </w:r>
      <w:r w:rsidR="00B27394">
        <w:rPr>
          <w:rFonts w:hint="cs"/>
          <w:rtl/>
        </w:rPr>
        <w:t xml:space="preserve"> [השכל העיוני המופשט, שמדובר בו במו</w:t>
      </w:r>
      <w:r w:rsidR="00F055C8">
        <w:rPr>
          <w:rtl/>
        </w:rPr>
        <w:t>"</w:t>
      </w:r>
      <w:r w:rsidR="00B27394">
        <w:rPr>
          <w:rFonts w:hint="cs"/>
          <w:rtl/>
        </w:rPr>
        <w:t>נ א' סוף פרק א' ובהלכות יסודי התורה ד' סוף הלכה</w:t>
      </w:r>
      <w:r w:rsidR="00582DE5">
        <w:rPr>
          <w:rFonts w:hint="cs"/>
          <w:rtl/>
        </w:rPr>
        <w:t xml:space="preserve"> </w:t>
      </w:r>
      <w:r w:rsidR="00B27394">
        <w:rPr>
          <w:rFonts w:hint="cs"/>
          <w:rtl/>
        </w:rPr>
        <w:t>ז' ובהלכות ח'-ט' שם]</w:t>
      </w:r>
      <w:r>
        <w:rPr>
          <w:rtl/>
        </w:rPr>
        <w:t>, והאומר שכל עוד שונים ש</w:t>
      </w:r>
      <w:r w:rsidR="00B27394">
        <w:rPr>
          <w:rFonts w:hint="cs"/>
          <w:rtl/>
        </w:rPr>
        <w:t>נ</w:t>
      </w:r>
      <w:r>
        <w:rPr>
          <w:rtl/>
        </w:rPr>
        <w:t>י דברים זה מזה, לא יוכל אף אחד מהשניים להיכנס לתוך השני, שמתוך כך יהיו השניים בעת ובעו</w:t>
      </w:r>
      <w:r w:rsidR="00B27394">
        <w:rPr>
          <w:rFonts w:hint="cs"/>
          <w:rtl/>
        </w:rPr>
        <w:t>נ</w:t>
      </w:r>
      <w:r>
        <w:rPr>
          <w:rtl/>
        </w:rPr>
        <w:t>ה אחת דבר אחד זהה, ושני דברים</w:t>
      </w:r>
      <w:r w:rsidR="00582DE5">
        <w:rPr>
          <w:rFonts w:hint="cs"/>
          <w:rtl/>
        </w:rPr>
        <w:t xml:space="preserve"> [לפי השכל המופשט לא תיתכן מציאותו של גוף חומרי, שהוא גם הצורה, שהיא ה'זהה', וגם שני דברים, כלומר צורה וחומר. הסתירה שמונחת ביסוד קיומו של הגוף החומרי, שהוא מצ</w:t>
      </w:r>
      <w:r w:rsidR="00724052">
        <w:rPr>
          <w:rFonts w:hint="cs"/>
          <w:rtl/>
        </w:rPr>
        <w:t>ד</w:t>
      </w:r>
      <w:r w:rsidR="00582DE5">
        <w:rPr>
          <w:rFonts w:hint="cs"/>
          <w:rtl/>
        </w:rPr>
        <w:t xml:space="preserve"> אחד רק צורה ומצד שני צורה בחומר, לא מאפשרת לשכל העיוני להשיג את הגוף החומרי. מי שז</w:t>
      </w:r>
      <w:r w:rsidR="00DF03B3">
        <w:rPr>
          <w:rFonts w:hint="cs"/>
          <w:rtl/>
        </w:rPr>
        <w:t>כ</w:t>
      </w:r>
      <w:r w:rsidR="00582DE5">
        <w:rPr>
          <w:rFonts w:hint="cs"/>
          <w:rtl/>
        </w:rPr>
        <w:t>ה לשכל עיוני אצלו ה</w:t>
      </w:r>
      <w:r w:rsidR="00DF03B3">
        <w:rPr>
          <w:rFonts w:hint="cs"/>
          <w:rtl/>
        </w:rPr>
        <w:t>מציאות</w:t>
      </w:r>
      <w:r w:rsidR="00582DE5">
        <w:rPr>
          <w:rFonts w:hint="cs"/>
          <w:rtl/>
        </w:rPr>
        <w:t xml:space="preserve"> כול</w:t>
      </w:r>
      <w:r w:rsidR="00DF03B3">
        <w:rPr>
          <w:rFonts w:hint="cs"/>
          <w:rtl/>
        </w:rPr>
        <w:t>ה</w:t>
      </w:r>
      <w:r w:rsidR="00582DE5">
        <w:rPr>
          <w:rFonts w:hint="cs"/>
          <w:rtl/>
        </w:rPr>
        <w:t xml:space="preserve"> </w:t>
      </w:r>
      <w:r w:rsidR="00DF03B3">
        <w:rPr>
          <w:rFonts w:hint="cs"/>
          <w:rtl/>
        </w:rPr>
        <w:t>נתפשת כ</w:t>
      </w:r>
      <w:r w:rsidR="00582DE5">
        <w:rPr>
          <w:rFonts w:hint="cs"/>
          <w:rtl/>
        </w:rPr>
        <w:t>צורות מופשטות בלי חומר. זה מה שכתב ה</w:t>
      </w:r>
      <w:r w:rsidR="00724052">
        <w:rPr>
          <w:rFonts w:hint="cs"/>
          <w:rtl/>
        </w:rPr>
        <w:t>רמב</w:t>
      </w:r>
      <w:r w:rsidR="00F055C8">
        <w:rPr>
          <w:rtl/>
        </w:rPr>
        <w:t>"</w:t>
      </w:r>
      <w:r w:rsidR="00724052">
        <w:rPr>
          <w:rFonts w:hint="cs"/>
          <w:rtl/>
        </w:rPr>
        <w:t>ם בהלכות תשוב</w:t>
      </w:r>
      <w:r w:rsidR="00DF03B3">
        <w:rPr>
          <w:rFonts w:hint="cs"/>
          <w:rtl/>
        </w:rPr>
        <w:t>ה</w:t>
      </w:r>
      <w:r w:rsidR="00724052">
        <w:rPr>
          <w:rFonts w:hint="cs"/>
          <w:rtl/>
        </w:rPr>
        <w:t xml:space="preserve"> פרק ח' שהעולם הבא הוא העולם שאין בו חומר, וש</w:t>
      </w:r>
      <w:r w:rsidR="00DF03B3">
        <w:rPr>
          <w:rFonts w:hint="cs"/>
          <w:rtl/>
        </w:rPr>
        <w:t>ם</w:t>
      </w:r>
      <w:r w:rsidR="00724052">
        <w:rPr>
          <w:rFonts w:hint="cs"/>
          <w:rtl/>
        </w:rPr>
        <w:t xml:space="preserve"> בסוף הפרק כתב שהעולם המופשט נמצא גם כאן ועכשיו</w:t>
      </w:r>
      <w:r w:rsidR="00DF03B3">
        <w:rPr>
          <w:rFonts w:hint="cs"/>
          <w:rtl/>
        </w:rPr>
        <w:t>, כי</w:t>
      </w:r>
      <w:r w:rsidR="00724052">
        <w:rPr>
          <w:rFonts w:hint="cs"/>
          <w:rtl/>
        </w:rPr>
        <w:t xml:space="preserve"> זה </w:t>
      </w:r>
      <w:r w:rsidR="00DF03B3">
        <w:rPr>
          <w:rFonts w:hint="cs"/>
          <w:rtl/>
        </w:rPr>
        <w:t>אותו עולם עצמו וההבדל הוא רק באופן התפישה (למשל מבוגר שנכנס לבית המדרש, אצלו המציאות שזה בית מדרש, וילד שנכנס איתו לשם אצלו זה רק חדר. המציאות של המקום היא לפי התפישה בו)</w:t>
      </w:r>
      <w:r w:rsidR="00582DE5">
        <w:rPr>
          <w:rFonts w:hint="cs"/>
          <w:rtl/>
        </w:rPr>
        <w:t>]</w:t>
      </w:r>
      <w:r>
        <w:rPr>
          <w:rtl/>
        </w:rPr>
        <w:t>. לפי חוות דעתי זו, ניתן, אפוא, לסכם את סיפור המעשה כדלהלן</w:t>
      </w:r>
      <w:r w:rsidR="00DF03B3">
        <w:rPr>
          <w:rFonts w:hint="cs"/>
          <w:rtl/>
        </w:rPr>
        <w:t>:</w:t>
      </w:r>
      <w:r>
        <w:rPr>
          <w:rtl/>
        </w:rPr>
        <w:t xml:space="preserve"> ישנם הוויה</w:t>
      </w:r>
      <w:r w:rsidR="00DF03B3">
        <w:rPr>
          <w:rFonts w:hint="cs"/>
          <w:rtl/>
        </w:rPr>
        <w:t xml:space="preserve"> [ה</w:t>
      </w:r>
      <w:r w:rsidR="00221689">
        <w:rPr>
          <w:rFonts w:hint="cs"/>
          <w:rtl/>
        </w:rPr>
        <w:t>אידיאות</w:t>
      </w:r>
      <w:r w:rsidR="00DF03B3">
        <w:rPr>
          <w:rFonts w:hint="cs"/>
          <w:rtl/>
        </w:rPr>
        <w:t xml:space="preserve"> המופשטות</w:t>
      </w:r>
      <w:r w:rsidR="00221689">
        <w:rPr>
          <w:rFonts w:hint="cs"/>
          <w:rtl/>
        </w:rPr>
        <w:t xml:space="preserve"> שבעולם האידיאות</w:t>
      </w:r>
      <w:r w:rsidR="00DF03B3">
        <w:rPr>
          <w:rFonts w:hint="cs"/>
          <w:rtl/>
        </w:rPr>
        <w:t xml:space="preserve">, </w:t>
      </w:r>
      <w:r w:rsidR="00221689">
        <w:rPr>
          <w:rFonts w:hint="cs"/>
          <w:rtl/>
        </w:rPr>
        <w:t xml:space="preserve">הן </w:t>
      </w:r>
      <w:r w:rsidR="00DF03B3">
        <w:rPr>
          <w:rFonts w:hint="cs"/>
          <w:rtl/>
        </w:rPr>
        <w:t xml:space="preserve">השכלים הנפרדים, </w:t>
      </w:r>
      <w:r w:rsidR="00221689">
        <w:rPr>
          <w:rFonts w:hint="cs"/>
          <w:rtl/>
        </w:rPr>
        <w:t xml:space="preserve">הן </w:t>
      </w:r>
      <w:r w:rsidR="00DF03B3">
        <w:rPr>
          <w:rFonts w:hint="cs"/>
          <w:rtl/>
        </w:rPr>
        <w:t xml:space="preserve">הספירות של </w:t>
      </w:r>
      <w:r w:rsidR="00221689">
        <w:rPr>
          <w:rFonts w:hint="cs"/>
          <w:rtl/>
        </w:rPr>
        <w:t xml:space="preserve">חכמי </w:t>
      </w:r>
      <w:r w:rsidR="00DF03B3">
        <w:rPr>
          <w:rFonts w:hint="cs"/>
          <w:rtl/>
        </w:rPr>
        <w:t>הקבלה]</w:t>
      </w:r>
      <w:r>
        <w:rPr>
          <w:rtl/>
        </w:rPr>
        <w:t>. מקום</w:t>
      </w:r>
      <w:r w:rsidR="00221689">
        <w:rPr>
          <w:rFonts w:hint="cs"/>
          <w:rtl/>
        </w:rPr>
        <w:t xml:space="preserve"> [החומר]</w:t>
      </w:r>
      <w:r>
        <w:rPr>
          <w:rtl/>
        </w:rPr>
        <w:t xml:space="preserve"> והתהוות</w:t>
      </w:r>
      <w:r w:rsidR="00221689">
        <w:rPr>
          <w:rFonts w:hint="cs"/>
          <w:rtl/>
        </w:rPr>
        <w:t xml:space="preserve"> [הגופים ההילומורפיים שמאוחדים בחומר וצורה והם מתהווים</w:t>
      </w:r>
      <w:r w:rsidR="00FB67BF">
        <w:rPr>
          <w:rFonts w:hint="cs"/>
          <w:rtl/>
        </w:rPr>
        <w:t xml:space="preserve"> כשהצורה מצטיירת בחומר </w:t>
      </w:r>
      <w:r w:rsidR="00221689">
        <w:rPr>
          <w:rFonts w:hint="cs"/>
          <w:rtl/>
        </w:rPr>
        <w:t>ונפסדים</w:t>
      </w:r>
      <w:r w:rsidR="00FB67BF">
        <w:rPr>
          <w:rFonts w:hint="cs"/>
          <w:rtl/>
        </w:rPr>
        <w:t xml:space="preserve"> כשהיא עוברת ממנו</w:t>
      </w:r>
      <w:r w:rsidR="00221689">
        <w:rPr>
          <w:rFonts w:hint="cs"/>
          <w:rtl/>
        </w:rPr>
        <w:t>]</w:t>
      </w:r>
      <w:r>
        <w:rPr>
          <w:rtl/>
        </w:rPr>
        <w:t xml:space="preserve"> </w:t>
      </w:r>
      <w:r w:rsidR="00221689">
        <w:rPr>
          <w:rFonts w:hint="cs"/>
          <w:rtl/>
        </w:rPr>
        <w:t xml:space="preserve">- </w:t>
      </w:r>
      <w:r>
        <w:rPr>
          <w:rtl/>
        </w:rPr>
        <w:t xml:space="preserve">שלושה דברים נפרדים </w:t>
      </w:r>
      <w:r w:rsidR="00221689">
        <w:rPr>
          <w:rFonts w:hint="cs"/>
          <w:rtl/>
        </w:rPr>
        <w:t>-</w:t>
      </w:r>
      <w:r>
        <w:rPr>
          <w:rtl/>
        </w:rPr>
        <w:t xml:space="preserve"> אף בטרם יהיו שמיים</w:t>
      </w:r>
      <w:r w:rsidR="00FB67BF">
        <w:rPr>
          <w:rFonts w:hint="cs"/>
          <w:rtl/>
        </w:rPr>
        <w:t xml:space="preserve"> [שמיים הם מה שמעל הארץ, מעלה ומטה פירושו צורה בכלי חומר. הצורה היא 'מעלה' והחומר הוא 'מטה'. לפני התחלת ההתהוות של גופים ארציים הילומורפיים, היו צורות נצחיות מופשטות, התורה קדמה לעולם אלפיים שנה, והיה החומר</w:t>
      </w:r>
      <w:r w:rsidR="009B1441">
        <w:rPr>
          <w:rFonts w:hint="cs"/>
          <w:rtl/>
        </w:rPr>
        <w:t xml:space="preserve"> הראשון</w:t>
      </w:r>
      <w:r w:rsidR="00C5772E">
        <w:rPr>
          <w:rtl/>
        </w:rPr>
        <w:fldChar w:fldCharType="begin"/>
      </w:r>
      <w:r w:rsidR="00C5772E">
        <w:instrText xml:space="preserve"> XE "</w:instrText>
      </w:r>
      <w:r w:rsidR="00C5772E" w:rsidRPr="00F3235B">
        <w:rPr>
          <w:rFonts w:hint="cs"/>
          <w:rtl/>
        </w:rPr>
        <w:instrText>החומר הראשון</w:instrText>
      </w:r>
      <w:r w:rsidR="00C5772E">
        <w:instrText xml:space="preserve">" </w:instrText>
      </w:r>
      <w:r w:rsidR="00C5772E">
        <w:rPr>
          <w:rtl/>
        </w:rPr>
        <w:fldChar w:fldCharType="end"/>
      </w:r>
      <w:r w:rsidR="00FB67BF">
        <w:rPr>
          <w:rFonts w:hint="cs"/>
          <w:rtl/>
        </w:rPr>
        <w:t xml:space="preserve"> שאין בו צורה, הוא העיגול הריק ש</w:t>
      </w:r>
      <w:r w:rsidR="009B1441">
        <w:rPr>
          <w:rFonts w:hint="cs"/>
          <w:rtl/>
        </w:rPr>
        <w:t>נעשה באמצע אור אין סוף ברוך הוא לפי דברי האר</w:t>
      </w:r>
      <w:r w:rsidR="00F055C8">
        <w:rPr>
          <w:rtl/>
        </w:rPr>
        <w:t>"</w:t>
      </w:r>
      <w:r w:rsidR="009B1441">
        <w:rPr>
          <w:rFonts w:hint="cs"/>
          <w:rtl/>
        </w:rPr>
        <w:t>י</w:t>
      </w:r>
      <w:r w:rsidR="005830F1">
        <w:rPr>
          <w:rtl/>
        </w:rPr>
        <w:fldChar w:fldCharType="begin"/>
      </w:r>
      <w:r w:rsidR="005830F1">
        <w:instrText xml:space="preserve"> XE "</w:instrText>
      </w:r>
      <w:r w:rsidR="005830F1" w:rsidRPr="00974ADC">
        <w:rPr>
          <w:rFonts w:hint="cs"/>
          <w:rtl/>
        </w:rPr>
        <w:instrText>האר</w:instrText>
      </w:r>
      <w:r w:rsidR="005830F1">
        <w:rPr>
          <w:b/>
          <w:bCs/>
          <w:sz w:val="20"/>
          <w:szCs w:val="20"/>
        </w:rPr>
        <w:instrText>\</w:instrText>
      </w:r>
      <w:r w:rsidR="005830F1" w:rsidRPr="00974ADC">
        <w:rPr>
          <w:rFonts w:hint="cs"/>
          <w:rtl/>
        </w:rPr>
        <w:instrText>"י</w:instrText>
      </w:r>
      <w:r w:rsidR="005830F1">
        <w:instrText xml:space="preserve">" </w:instrText>
      </w:r>
      <w:r w:rsidR="005830F1">
        <w:rPr>
          <w:rtl/>
        </w:rPr>
        <w:fldChar w:fldCharType="end"/>
      </w:r>
      <w:r w:rsidR="009B1441">
        <w:rPr>
          <w:rFonts w:hint="cs"/>
          <w:rtl/>
        </w:rPr>
        <w:t xml:space="preserve"> ז</w:t>
      </w:r>
      <w:r w:rsidR="00F055C8">
        <w:rPr>
          <w:rtl/>
        </w:rPr>
        <w:t>"</w:t>
      </w:r>
      <w:r w:rsidR="009B1441">
        <w:rPr>
          <w:rFonts w:hint="cs"/>
          <w:rtl/>
        </w:rPr>
        <w:t>ל בספר עץ חיים שער א' ענף ב'. החומר הראשון בעצמו אינו מוגדר ואינו מוגבל ואין לו מהות. הוא ההעדר כשלעצמו, לכן אין בו תפישה. כל גוף בעולם החומרי (מה שמתחת לעולם השכלים הנפרדים</w:t>
      </w:r>
      <w:r w:rsidR="003E7583">
        <w:rPr>
          <w:rFonts w:hint="cs"/>
          <w:rtl/>
        </w:rPr>
        <w:t xml:space="preserve">, עיין הלכות יסודי התורה ב' ג') </w:t>
      </w:r>
      <w:r w:rsidR="009B1441">
        <w:rPr>
          <w:rFonts w:hint="cs"/>
          <w:rtl/>
        </w:rPr>
        <w:t>החומר שלו הוא החומר הראשון</w:t>
      </w:r>
      <w:r w:rsidR="003E7583">
        <w:rPr>
          <w:rFonts w:hint="cs"/>
          <w:rtl/>
        </w:rPr>
        <w:t>, כי מה שאנו אומרים שהחומר של הפסל הוא גוש שיש, גוש שיש הוא צורה ולא חומר. גם ד' היסודות אש רוח מים עפר הם צורות ולא חומר. יש צורות שהן בבחינת חומר ביחס לצורות אחרות שמצטיירות על המצע שלהן, והן נתפשות כי הן צורות. אבל בכל גוף אם מתעלמים לא רק מהצורה שלו אלא מהצורות של מה שאנו מכנים החומר שלו, נשאר שהחומר שלו במובן האמיתי של המילה הוא החומר הראשון, והוא אינו נתפש</w:t>
      </w:r>
      <w:r w:rsidR="00FB67BF">
        <w:rPr>
          <w:rFonts w:hint="cs"/>
          <w:rtl/>
        </w:rPr>
        <w:t>]</w:t>
      </w:r>
      <w:r>
        <w:rPr>
          <w:rtl/>
        </w:rPr>
        <w:t>.</w:t>
      </w:r>
      <w:r w:rsidR="00F055C8">
        <w:rPr>
          <w:rtl/>
        </w:rPr>
        <w:t>"</w:t>
      </w:r>
      <w:r>
        <w:rPr>
          <w:rtl/>
        </w:rPr>
        <w:t xml:space="preserve"> </w:t>
      </w:r>
    </w:p>
  </w:footnote>
  <w:footnote w:id="65">
    <w:p w14:paraId="5C022BB1" w14:textId="77777777" w:rsidR="00A93F89" w:rsidRDefault="00954188">
      <w:pPr>
        <w:pStyle w:val="FootnoteText"/>
        <w:rPr>
          <w:rtl/>
        </w:rPr>
      </w:pPr>
      <w:r>
        <w:rPr>
          <w:rStyle w:val="FootnoteReference"/>
        </w:rPr>
        <w:footnoteRef/>
      </w:r>
      <w:r>
        <w:rPr>
          <w:rtl/>
        </w:rPr>
        <w:t xml:space="preserve"> </w:t>
      </w:r>
      <w:r>
        <w:rPr>
          <w:rFonts w:hint="cs"/>
          <w:rtl/>
        </w:rPr>
        <w:t xml:space="preserve">ראובן מוגדר </w:t>
      </w:r>
      <w:r w:rsidR="005B7D6E">
        <w:rPr>
          <w:rFonts w:hint="cs"/>
          <w:rtl/>
        </w:rPr>
        <w:t xml:space="preserve">גם לפי תפישת החוש בלבד </w:t>
      </w:r>
      <w:r>
        <w:rPr>
          <w:rFonts w:hint="cs"/>
          <w:rtl/>
        </w:rPr>
        <w:t>כ'</w:t>
      </w:r>
      <w:r w:rsidR="005B7D6E">
        <w:rPr>
          <w:rFonts w:hint="cs"/>
          <w:rtl/>
        </w:rPr>
        <w:t>אדם</w:t>
      </w:r>
      <w:r>
        <w:rPr>
          <w:rFonts w:hint="cs"/>
          <w:rtl/>
        </w:rPr>
        <w:t>'</w:t>
      </w:r>
      <w:r w:rsidR="005B7D6E">
        <w:rPr>
          <w:rFonts w:hint="cs"/>
          <w:rtl/>
        </w:rPr>
        <w:t>, שהשכל מפשיט לצורת 'חי מדבר'</w:t>
      </w:r>
      <w:r>
        <w:rPr>
          <w:rFonts w:hint="cs"/>
          <w:rtl/>
        </w:rPr>
        <w:t>, וזו הגדרה שאינה מיוחדת, כי היא מתאימה גם לשמעון. החוש שמשיג את הצורה בכלי חומר, ובאופן זה צורת 'אדם' שמצטיירת במצע החומר</w:t>
      </w:r>
      <w:r w:rsidR="00DC174E">
        <w:rPr>
          <w:rFonts w:hint="cs"/>
          <w:rtl/>
        </w:rPr>
        <w:t xml:space="preserve"> </w:t>
      </w:r>
      <w:r>
        <w:rPr>
          <w:rFonts w:hint="cs"/>
          <w:rtl/>
        </w:rPr>
        <w:t xml:space="preserve">של ראובן שונה מהצורה שמצטיירת במצע החומר של שמעון, עדיין ההגדרה </w:t>
      </w:r>
      <w:r w:rsidR="00DC174E">
        <w:rPr>
          <w:rFonts w:hint="cs"/>
          <w:rtl/>
        </w:rPr>
        <w:t xml:space="preserve">של תפישת החוש </w:t>
      </w:r>
      <w:r>
        <w:rPr>
          <w:rFonts w:hint="cs"/>
          <w:rtl/>
        </w:rPr>
        <w:t>תהיה רק '</w:t>
      </w:r>
      <w:r w:rsidR="00DC174E">
        <w:rPr>
          <w:rFonts w:hint="cs"/>
          <w:rtl/>
        </w:rPr>
        <w:t>אדם</w:t>
      </w:r>
      <w:r>
        <w:rPr>
          <w:rFonts w:hint="cs"/>
          <w:rtl/>
        </w:rPr>
        <w:t>' גם לראובן וגם לשמעון</w:t>
      </w:r>
      <w:r w:rsidR="00DC174E">
        <w:rPr>
          <w:rFonts w:hint="cs"/>
          <w:rtl/>
        </w:rPr>
        <w:t>;</w:t>
      </w:r>
      <w:r>
        <w:rPr>
          <w:rFonts w:hint="cs"/>
          <w:rtl/>
        </w:rPr>
        <w:t xml:space="preserve"> כי כל מה שנוסף אצל ראובן מלבד '</w:t>
      </w:r>
      <w:r w:rsidR="00DC174E">
        <w:rPr>
          <w:rFonts w:hint="cs"/>
          <w:rtl/>
        </w:rPr>
        <w:t>אדם</w:t>
      </w:r>
      <w:r>
        <w:rPr>
          <w:rFonts w:hint="cs"/>
          <w:rtl/>
        </w:rPr>
        <w:t xml:space="preserve">', שמבדיל אותו משמעון, אינו צורה אלא מקרה, מה שאינו מעלה או מוריד מצד המהות שלו, ולכן אינו מושג בשכל. </w:t>
      </w:r>
      <w:r w:rsidR="00DC174E">
        <w:rPr>
          <w:rFonts w:hint="cs"/>
          <w:rtl/>
        </w:rPr>
        <w:t xml:space="preserve">המקרה המייחד את ראובן משמעון, אינו חומר בלבד, אלא </w:t>
      </w:r>
      <w:r w:rsidR="00B97B2E">
        <w:rPr>
          <w:rFonts w:hint="cs"/>
          <w:rtl/>
        </w:rPr>
        <w:t xml:space="preserve">אופן של </w:t>
      </w:r>
      <w:r w:rsidR="00DC174E">
        <w:rPr>
          <w:rFonts w:hint="cs"/>
          <w:rtl/>
        </w:rPr>
        <w:t>פגם בגילוי הצורה בכלי החומרי, פגם שנובע מכך שהחומר לא זך דיו לשקף את הצורה בשלמות</w:t>
      </w:r>
      <w:r w:rsidR="00B97B2E">
        <w:rPr>
          <w:rFonts w:hint="cs"/>
          <w:rtl/>
        </w:rPr>
        <w:t>, ותפישת הפגם תלויה בתפישת הצורה</w:t>
      </w:r>
      <w:r w:rsidR="005B7D6E">
        <w:rPr>
          <w:rFonts w:hint="cs"/>
          <w:rtl/>
        </w:rPr>
        <w:t xml:space="preserve">. </w:t>
      </w:r>
      <w:r w:rsidR="00B97B2E">
        <w:rPr>
          <w:rFonts w:hint="cs"/>
          <w:rtl/>
        </w:rPr>
        <w:t xml:space="preserve">למשל אם צבע שיערו של ראובן חום, זה פגם בגילוי הצורה שביטוי נאמן שלה הוא גם שיער </w:t>
      </w:r>
      <w:r w:rsidR="001F530F">
        <w:rPr>
          <w:rFonts w:hint="cs"/>
          <w:rtl/>
        </w:rPr>
        <w:t>צהוב</w:t>
      </w:r>
      <w:r w:rsidR="00B97B2E">
        <w:rPr>
          <w:rFonts w:hint="cs"/>
          <w:rtl/>
        </w:rPr>
        <w:t>, והביטוי הזה נחסר אצל ראובן</w:t>
      </w:r>
      <w:r w:rsidR="001F530F">
        <w:rPr>
          <w:rFonts w:hint="cs"/>
          <w:rtl/>
        </w:rPr>
        <w:t xml:space="preserve"> ולכן גילוי הצורה אצלו אינו שלם</w:t>
      </w:r>
      <w:r w:rsidR="00B97B2E">
        <w:rPr>
          <w:rFonts w:hint="cs"/>
          <w:rtl/>
        </w:rPr>
        <w:t>.</w:t>
      </w:r>
      <w:r w:rsidR="001F530F">
        <w:rPr>
          <w:rFonts w:hint="cs"/>
          <w:rtl/>
        </w:rPr>
        <w:t xml:space="preserve"> </w:t>
      </w:r>
      <w:r w:rsidR="00DC174E">
        <w:rPr>
          <w:rFonts w:hint="cs"/>
          <w:rtl/>
        </w:rPr>
        <w:t xml:space="preserve">השכל לא יכול לתפוש חסרונות מקריים חלקיים בגילוי הצורה, </w:t>
      </w:r>
      <w:r w:rsidR="001F530F">
        <w:rPr>
          <w:rFonts w:hint="cs"/>
          <w:rtl/>
        </w:rPr>
        <w:t xml:space="preserve">כי אין להם הגדרה. השכל לא תופש 'אדם' אלא 'חי מדבר', שהוא רמה יותר מופשטת מהתפישה 'אדם', כמו </w:t>
      </w:r>
      <w:r w:rsidR="008C10DC">
        <w:rPr>
          <w:rFonts w:hint="cs"/>
          <w:rtl/>
        </w:rPr>
        <w:t xml:space="preserve">שכתב אריסטו בפיזיקה א' א' שתפישת הצורה 'מעגל' פחות מופשטת מהתפישה של 'מקומן של כל הנקודות שמרחקן מנקודה אחת (המרכז) שווה'. או תפישת 'משולש' פחות מופשטת מהתפישה של 'מצולע בעל שלוש צלעות'. כי השכל תופש דרך הגדרות; 'אדם', מעגל' משולש' אינן צורות מוגדרות, אלא צורות שנגלות דרך השתקפותן בכלי החומר בתפישה ישירה של החוש והדמיון בלי הגדרות. השכל לא יכול לתפוש כך אלא הוא תופש באמצעות הגדרות, 'חי מדבר', וכו'. ההבדל בין ראובן לשמעון, שהוא חסרונות בגילוי צורת האדם, נתפש בחוש שרואה את צורת האדם באופן בלתי אמצעי, כפי שהיא משתקפת בכלי החומרי, אבל </w:t>
      </w:r>
      <w:r w:rsidR="00A93F89">
        <w:rPr>
          <w:rFonts w:hint="cs"/>
          <w:rtl/>
        </w:rPr>
        <w:t>לא נתפש בשכל כי אין לחסרונות האלה הגדרה, לכן הם נקראים מקרים. השכל העיוני המופשט חוזר לדרך התפישה של החוש, הוא נקרא עיוני כי הוא כמו עין, הוא תופש כמו חוש הראיה את הצורות המופשטות, ואינו נזקק להגדרות.</w:t>
      </w:r>
    </w:p>
    <w:p w14:paraId="67ECD798" w14:textId="783F33B6" w:rsidR="003D1E4B" w:rsidRDefault="00A93F89">
      <w:pPr>
        <w:pStyle w:val="FootnoteText"/>
        <w:rPr>
          <w:rtl/>
        </w:rPr>
      </w:pPr>
      <w:r>
        <w:rPr>
          <w:rFonts w:hint="cs"/>
          <w:rtl/>
        </w:rPr>
        <w:t xml:space="preserve">כמו שהבאתי לעיל מהלכות יסודי התורה ד' ז', יש שלוש מדרגות של תפישה: (1) התפישה של בעלי חיים ותינוקות שתופשים צורה דרך כלי החוש באופן בלתי אמצעי, ישר ופשוט, ולא נזקקים להגדרות, (2) התפישה של </w:t>
      </w:r>
      <w:r>
        <w:rPr>
          <w:rFonts w:hint="cs"/>
          <w:rtl/>
        </w:rPr>
        <w:t>הכח המדבר, השכל השימושי, שמבואר במו</w:t>
      </w:r>
      <w:r w:rsidR="00F055C8">
        <w:rPr>
          <w:rtl/>
        </w:rPr>
        <w:t>"</w:t>
      </w:r>
      <w:r>
        <w:rPr>
          <w:rFonts w:hint="cs"/>
          <w:rtl/>
        </w:rPr>
        <w:t>נ א' ע</w:t>
      </w:r>
      <w:r w:rsidR="00F055C8">
        <w:rPr>
          <w:rtl/>
        </w:rPr>
        <w:t>"</w:t>
      </w:r>
      <w:r>
        <w:rPr>
          <w:rFonts w:hint="cs"/>
          <w:rtl/>
        </w:rPr>
        <w:t>ב, שהאדם נולד איתו, הוא הנקרא השכל בכח, שהוא שכל חישובי מילולי שהוא משתמש בהגדרות ועל ידי זה מפשיט את הצורה מכלי החומר שהחוש תופש אותה באמצעותו, (3) השכל העיוני המופשט שתופש את הצורות המופשטות באופן ישר ופשוט ובבלתי אמצעי, בלי כלי חומר ובלי הגדרות (כמו שכתב המו</w:t>
      </w:r>
      <w:r w:rsidR="00F055C8">
        <w:rPr>
          <w:rtl/>
        </w:rPr>
        <w:t>"</w:t>
      </w:r>
      <w:r>
        <w:rPr>
          <w:rFonts w:hint="cs"/>
          <w:rtl/>
        </w:rPr>
        <w:t xml:space="preserve">נ א' סוף פרק א', ובהלכות יסודי התורה ד' סוף הלכה ז', ושם בהלכה ט'). </w:t>
      </w:r>
    </w:p>
    <w:p w14:paraId="367CA9A9" w14:textId="0A4427F1" w:rsidR="00954188" w:rsidRDefault="003D1E4B">
      <w:pPr>
        <w:pStyle w:val="FootnoteText"/>
      </w:pPr>
      <w:r>
        <w:rPr>
          <w:rFonts w:hint="cs"/>
          <w:rtl/>
        </w:rPr>
        <w:t xml:space="preserve">כשהחוש מביא אל הכח המדבר את צורת ראובן, שהיא צורת 'אדם' כולל הפגמים המיוחדים שיש בגילוי שלה אצל ראובן (כל מקרה הוא פגם, למשל אם הגובה של ראובן מטר ושמונים, זה פגם כי צורת אדם יכולה לבטא את עצמה גם בגובה מטר שבעים, וכן כל מקרה שיש בראובן), הכי המדבר לוקח מזה רק את צורת אדם שאינה מיוחדת לראובן, ומפשיט אותה בניתוחו ל'חי מדבר'. </w:t>
      </w:r>
      <w:r w:rsidR="00DC174E">
        <w:rPr>
          <w:rFonts w:hint="cs"/>
          <w:rtl/>
        </w:rPr>
        <w:t xml:space="preserve"> </w:t>
      </w:r>
    </w:p>
  </w:footnote>
  <w:footnote w:id="66">
    <w:p w14:paraId="3CD24A2B" w14:textId="08758635" w:rsidR="007223F1" w:rsidRDefault="007223F1">
      <w:pPr>
        <w:pStyle w:val="FootnoteText"/>
      </w:pPr>
      <w:r>
        <w:rPr>
          <w:rStyle w:val="FootnoteReference"/>
        </w:rPr>
        <w:footnoteRef/>
      </w:r>
      <w:r>
        <w:rPr>
          <w:rtl/>
        </w:rPr>
        <w:t xml:space="preserve"> </w:t>
      </w:r>
      <w:r>
        <w:rPr>
          <w:rFonts w:hint="cs"/>
          <w:rtl/>
        </w:rPr>
        <w:t>יחיד שאינו מוגדר, היינו יחיד מוחשי, ומה שאינו מוגדר הוא על דרך שרואים דמות אדם מרחוק ולא יכולים להבחין מי הוא. זו כלליות שאינה מצד המופשטות, כמו הכלליות של מין וסוג (כלומר הצורה) שהם מופשטים יותר מהיחיד המוחשי ולכן כלליים יותר, שהם כוללים את כל היחידים שתחת המין והסוג כיוון שהם מופשטים מהמקרים שמפרידים בין היחידים המוחשיים, אלא זו כלליות שהיא בתוך תפישת החוש והדמיון שלא תופשת מין וסוג כיש מופשט</w:t>
      </w:r>
      <w:r w:rsidR="00461297">
        <w:rPr>
          <w:rFonts w:hint="cs"/>
          <w:rtl/>
        </w:rPr>
        <w:t>, אלא קרובה לתפישת הכללי מצד שגם מה שהחוש תופש הוא צורות וצורות יותר נמצאות ויותר נתפשות כשהן כלליות. תפישת החוש בראובן היא קודם כל תפישה כללית של דמות אדם כמו שהחוש תופש באדם שנראה מרחוק ולא ניכרים תווי פניו, ורק אחר כך, אל תוך התפישה הכללית הזו, נוספת ומתחברת התפישה המפורטת של אדם עם תווי פנים מסוימים שזהו ראובן</w:t>
      </w:r>
      <w:r>
        <w:rPr>
          <w:rFonts w:hint="cs"/>
          <w:rtl/>
        </w:rPr>
        <w:t xml:space="preserve">. </w:t>
      </w:r>
    </w:p>
  </w:footnote>
  <w:footnote w:id="67">
    <w:p w14:paraId="7A73C70F" w14:textId="43B7CAD0" w:rsidR="00A816A0" w:rsidRDefault="00A816A0">
      <w:pPr>
        <w:pStyle w:val="FootnoteText"/>
      </w:pPr>
      <w:r>
        <w:rPr>
          <w:rStyle w:val="FootnoteReference"/>
        </w:rPr>
        <w:footnoteRef/>
      </w:r>
      <w:r>
        <w:rPr>
          <w:rtl/>
        </w:rPr>
        <w:t xml:space="preserve"> </w:t>
      </w:r>
      <w:r>
        <w:rPr>
          <w:rFonts w:hint="cs"/>
          <w:rtl/>
        </w:rPr>
        <w:t>כמו כשרואים בחוש אדם מרחוק ולא רואים את תווי פניו או כל סימן היכר מי הוא.</w:t>
      </w:r>
      <w:r w:rsidR="00AA4DC4">
        <w:rPr>
          <w:rFonts w:hint="cs"/>
          <w:rtl/>
        </w:rPr>
        <w:t xml:space="preserve"> בהמשך הוא נוקט בדוגמה הזו גוף שמחמת היותו רחוק לא ניכר אם הוא חי או לא-חי. </w:t>
      </w:r>
    </w:p>
  </w:footnote>
  <w:footnote w:id="68">
    <w:p w14:paraId="5EDF4C69" w14:textId="0E5F82D6" w:rsidR="009605C3" w:rsidRDefault="009605C3">
      <w:pPr>
        <w:pStyle w:val="FootnoteText"/>
        <w:rPr>
          <w:rtl/>
        </w:rPr>
      </w:pPr>
      <w:r>
        <w:rPr>
          <w:rStyle w:val="FootnoteReference"/>
        </w:rPr>
        <w:footnoteRef/>
      </w:r>
      <w:r>
        <w:rPr>
          <w:rtl/>
        </w:rPr>
        <w:t xml:space="preserve"> </w:t>
      </w:r>
      <w:r>
        <w:rPr>
          <w:rFonts w:hint="cs"/>
          <w:rtl/>
        </w:rPr>
        <w:t xml:space="preserve">יחיד סתמי נאמר בשני מובנים, האחד הוא כמו אצל תינוק בן יומו </w:t>
      </w:r>
      <w:r w:rsidR="009D3651">
        <w:rPr>
          <w:rFonts w:hint="cs"/>
          <w:rtl/>
        </w:rPr>
        <w:t>שלא מבחין בין חי לחי, לא מבחין בין סוס לאדם, או לפי המשל של אריסטו תינוק ש</w:t>
      </w:r>
      <w:r>
        <w:rPr>
          <w:rFonts w:hint="cs"/>
          <w:rtl/>
        </w:rPr>
        <w:t xml:space="preserve">תופש כל גבר כאביו בלי להבחין בין יחיד ליחיד, הסתמיות נובעת מיכולת התפישה המוגבלת של מי שתופש, שיכול לתפוש צורה רק ככולל ראשוני בלי לנתח את פרטי הצורה ולהגדיר אותה באופן שהוא קצת יותר מופשט מהגילוי הכי ראשוני שלה בחומר. </w:t>
      </w:r>
      <w:r w:rsidR="009D3651">
        <w:rPr>
          <w:rFonts w:hint="cs"/>
          <w:rtl/>
        </w:rPr>
        <w:t>המובן השני הוא מי שרואה צורה מרחוק או בערפל וכיו</w:t>
      </w:r>
      <w:r w:rsidR="00F055C8">
        <w:rPr>
          <w:rtl/>
        </w:rPr>
        <w:t>"</w:t>
      </w:r>
      <w:r w:rsidR="009D3651">
        <w:rPr>
          <w:rFonts w:hint="cs"/>
          <w:rtl/>
        </w:rPr>
        <w:t xml:space="preserve">ב, יש למשיג את היכולת להפשיט את הצורה ולראות אותה על דיוקה, הוא יודע להבחין בין סוס לאדם, רק שבמקרה המסוים של תפישת עצם זה יש מונע מסוים כלשהו שמונע מלהשיג את הצורה על דיוקה והיא נשארת בגילוי סתמי.  </w:t>
      </w:r>
    </w:p>
    <w:p w14:paraId="7934F853" w14:textId="06F64BB7" w:rsidR="00CF642F" w:rsidRDefault="00CF642F">
      <w:pPr>
        <w:pStyle w:val="FootnoteText"/>
      </w:pPr>
      <w:r>
        <w:rPr>
          <w:rFonts w:hint="cs"/>
          <w:rtl/>
        </w:rPr>
        <w:t>יש חשיבות להבחין בין שני המובנים, כי המובן של יכולת להבחין רק בכולל ראשוני</w:t>
      </w:r>
      <w:r w:rsidR="00521CDA">
        <w:rPr>
          <w:rFonts w:hint="cs"/>
          <w:rtl/>
        </w:rPr>
        <w:t xml:space="preserve"> (תפישה ראשונית בצורה, שהיא הכולל, הסוג והמין)</w:t>
      </w:r>
      <w:r>
        <w:rPr>
          <w:rFonts w:hint="cs"/>
          <w:rtl/>
        </w:rPr>
        <w:t xml:space="preserve">, כמו אצל תינוק, הוא יסוד בהבנת דרך פעולת שכל האדם. הוא תמיד מתחיל מתפישה של כולל ראשוני כמו אצל תינוק, ורק אחר כך </w:t>
      </w:r>
      <w:r>
        <w:rPr>
          <w:rFonts w:hint="cs"/>
          <w:rtl/>
        </w:rPr>
        <w:t xml:space="preserve">הכח המדבר מנתח את התפישה הזו ומפשיט את הצורה ומגדיר אותה יותר ויותר, </w:t>
      </w:r>
      <w:r w:rsidR="00521CDA">
        <w:rPr>
          <w:rFonts w:hint="cs"/>
          <w:rtl/>
        </w:rPr>
        <w:t xml:space="preserve">כשתמיד ברקע נמצא הבסיס הראשוני, </w:t>
      </w:r>
      <w:r>
        <w:rPr>
          <w:rFonts w:hint="cs"/>
          <w:rtl/>
        </w:rPr>
        <w:t>עד שמגיע לתפישה המופשטת לגמרי ורק אז נפרד לגמרי מהתפישה של ה</w:t>
      </w:r>
      <w:r w:rsidR="00521CDA">
        <w:rPr>
          <w:rFonts w:hint="cs"/>
          <w:rtl/>
        </w:rPr>
        <w:t xml:space="preserve">כולל הראשוני. הבנת המהלך הזה חשובה מאוד, זו דרך השלמת האדם, ההגעה לתכליתו, שהיא השכל המופשט. העניין יתבאר בפרטים בהמשך ושם הכולל הראשוני יהיה חוליה חיונית בהבנת המהלך. </w:t>
      </w:r>
      <w:r w:rsidR="001C1048">
        <w:rPr>
          <w:rFonts w:hint="cs"/>
          <w:rtl/>
        </w:rPr>
        <w:t xml:space="preserve">מה שאדם תופש מרחוק משהו ולא מבחין מה בדיוק הוא רואה, זו לא חוליה חשובה בהבנת מהות התפישה השכלית, אלא רק המחשה לאופן תפישה שהוא גם חושי לגמרי וגם כללי. לכן צריך להיזהר </w:t>
      </w:r>
      <w:r w:rsidR="005C2B53">
        <w:rPr>
          <w:rFonts w:hint="cs"/>
          <w:rtl/>
        </w:rPr>
        <w:t xml:space="preserve">להבחין בין </w:t>
      </w:r>
      <w:r w:rsidR="001C1048">
        <w:rPr>
          <w:rFonts w:hint="cs"/>
          <w:rtl/>
        </w:rPr>
        <w:t>הדברים.</w:t>
      </w:r>
      <w:r w:rsidR="00521CDA">
        <w:rPr>
          <w:rFonts w:hint="cs"/>
          <w:rtl/>
        </w:rPr>
        <w:t xml:space="preserve"> </w:t>
      </w:r>
      <w:r>
        <w:rPr>
          <w:rFonts w:hint="cs"/>
          <w:rtl/>
        </w:rPr>
        <w:t xml:space="preserve"> </w:t>
      </w:r>
    </w:p>
  </w:footnote>
  <w:footnote w:id="69">
    <w:p w14:paraId="66F1B84E" w14:textId="783731CF" w:rsidR="00B35E0A" w:rsidRDefault="00B35E0A">
      <w:pPr>
        <w:pStyle w:val="FootnoteText"/>
      </w:pPr>
      <w:r>
        <w:rPr>
          <w:rStyle w:val="FootnoteReference"/>
        </w:rPr>
        <w:footnoteRef/>
      </w:r>
      <w:r>
        <w:rPr>
          <w:rtl/>
        </w:rPr>
        <w:t xml:space="preserve"> </w:t>
      </w:r>
      <w:r>
        <w:rPr>
          <w:rFonts w:hint="cs"/>
          <w:rtl/>
        </w:rPr>
        <w:t xml:space="preserve">תפישה ראשונית זו של הכולל 'אדם' כלומר המין 'אדם', לא מבחינה בכל מה שמחלק אדם זה מאדם אחר, ולכן אין בה את הריבוי שיש ביחידים הרבים של המין אדם. התפישה אינה מופשטת, היא כללית לא בגלל שהיא תופשת את מה שמעל הבדלי מקרי החומר, אלא בגלל שאינה מבחינה בהבדלי מקרי החומר, כי ההבחנה בהם מצריכה תפישה יותר מופשטת בצורה עצמה, שתאפשר להבחין בין הצורה למקרים. תינוק בין יומו לא מבחין בין ראובן לשמעון לא הגלל שתפישתו בצורה 'אדם' מופשטת, אלא כי אינו מבחין </w:t>
      </w:r>
      <w:r w:rsidR="00F21098">
        <w:rPr>
          <w:rFonts w:hint="cs"/>
          <w:rtl/>
        </w:rPr>
        <w:t xml:space="preserve">בצורה 'אדם' באופן מופשט די הצורך שיוכל לראות שיש בראובן מקרים פרטיים נפרדים מהצורה 'אדם' שהם המבחינים בינו לבין שמעון. </w:t>
      </w:r>
    </w:p>
  </w:footnote>
  <w:footnote w:id="70">
    <w:p w14:paraId="7F5F6B29" w14:textId="66A5A802" w:rsidR="00574810" w:rsidRDefault="00574810">
      <w:pPr>
        <w:pStyle w:val="FootnoteText"/>
      </w:pPr>
      <w:r>
        <w:rPr>
          <w:rStyle w:val="FootnoteReference"/>
        </w:rPr>
        <w:footnoteRef/>
      </w:r>
      <w:r>
        <w:rPr>
          <w:rtl/>
        </w:rPr>
        <w:t xml:space="preserve"> </w:t>
      </w:r>
      <w:r>
        <w:rPr>
          <w:rFonts w:hint="cs"/>
          <w:rtl/>
        </w:rPr>
        <w:t>אפשר להצביע על ראובן ולומר:</w:t>
      </w:r>
      <w:r>
        <w:rPr>
          <w:rFonts w:hint="cs"/>
        </w:rPr>
        <w:t xml:space="preserve"> </w:t>
      </w:r>
      <w:r w:rsidR="00F055C8">
        <w:rPr>
          <w:rtl/>
        </w:rPr>
        <w:t>"</w:t>
      </w:r>
      <w:r>
        <w:rPr>
          <w:rFonts w:hint="cs"/>
          <w:rtl/>
        </w:rPr>
        <w:t>בעל חיים שכלי בן תמותה אחד</w:t>
      </w:r>
      <w:r w:rsidR="00F055C8">
        <w:rPr>
          <w:rtl/>
        </w:rPr>
        <w:t>"</w:t>
      </w:r>
      <w:r>
        <w:rPr>
          <w:rFonts w:hint="cs"/>
          <w:rtl/>
        </w:rPr>
        <w:t xml:space="preserve">. זו הגדרה נכונה של מה שרואים, אבל זה שולל את ההבחנה בין ראובן לשמעון שגם עליו נכון לומר כך, ועושה את כל בני האדם לאחד, וזה לא הגדרה מופשטת של הצורה 'אדם' שהיא 'בעל חיים שכלי בן תמותה', שהרי אמרנו </w:t>
      </w:r>
      <w:r w:rsidR="00F055C8">
        <w:rPr>
          <w:rtl/>
        </w:rPr>
        <w:t>"</w:t>
      </w:r>
      <w:r>
        <w:rPr>
          <w:rFonts w:hint="cs"/>
          <w:rtl/>
        </w:rPr>
        <w:t>אחד</w:t>
      </w:r>
      <w:r w:rsidR="00F055C8">
        <w:rPr>
          <w:rtl/>
        </w:rPr>
        <w:t>"</w:t>
      </w:r>
      <w:r>
        <w:rPr>
          <w:rFonts w:hint="cs"/>
          <w:rtl/>
        </w:rPr>
        <w:t xml:space="preserve"> והתייחסנו </w:t>
      </w:r>
      <w:r>
        <w:rPr>
          <w:rFonts w:hint="cs"/>
          <w:rtl/>
        </w:rPr>
        <w:t xml:space="preserve">בדווקא לאותו יחיד מוחשי שאנו רואים לפנינו ולא לכלל המין האנושי.  </w:t>
      </w:r>
    </w:p>
  </w:footnote>
  <w:footnote w:id="71">
    <w:p w14:paraId="3C7D8BB3" w14:textId="77777777" w:rsidR="00833466" w:rsidRDefault="000066D3">
      <w:pPr>
        <w:pStyle w:val="FootnoteText"/>
        <w:rPr>
          <w:rtl/>
        </w:rPr>
      </w:pPr>
      <w:r>
        <w:rPr>
          <w:rStyle w:val="FootnoteReference"/>
        </w:rPr>
        <w:footnoteRef/>
      </w:r>
      <w:r>
        <w:rPr>
          <w:rtl/>
        </w:rPr>
        <w:t xml:space="preserve"> </w:t>
      </w:r>
      <w:r>
        <w:rPr>
          <w:rFonts w:hint="cs"/>
          <w:rtl/>
        </w:rPr>
        <w:t>במקרה הראשון, כ</w:t>
      </w:r>
      <w:r w:rsidR="00101E28">
        <w:rPr>
          <w:rFonts w:hint="cs"/>
          <w:rtl/>
        </w:rPr>
        <w:t>גון</w:t>
      </w:r>
      <w:r>
        <w:rPr>
          <w:rFonts w:hint="cs"/>
          <w:rtl/>
        </w:rPr>
        <w:t xml:space="preserve"> תינוק שלא מבחי</w:t>
      </w:r>
      <w:r w:rsidR="00101E28">
        <w:rPr>
          <w:rFonts w:hint="cs"/>
          <w:rtl/>
        </w:rPr>
        <w:t>ן</w:t>
      </w:r>
      <w:r>
        <w:rPr>
          <w:rFonts w:hint="cs"/>
          <w:rtl/>
        </w:rPr>
        <w:t xml:space="preserve"> בי</w:t>
      </w:r>
      <w:r w:rsidR="00101E28">
        <w:rPr>
          <w:rFonts w:hint="cs"/>
          <w:rtl/>
        </w:rPr>
        <w:t>ן</w:t>
      </w:r>
      <w:r>
        <w:rPr>
          <w:rFonts w:hint="cs"/>
          <w:rtl/>
        </w:rPr>
        <w:t xml:space="preserve"> אדם לאדם ו</w:t>
      </w:r>
      <w:r w:rsidR="00101E28">
        <w:rPr>
          <w:rFonts w:hint="cs"/>
          <w:rtl/>
        </w:rPr>
        <w:t>לתפישתו כל הגברים הם אביו, כל פרט במין האדם (לפחות גברים) יכול להיכנס להיות היחיד הסתמי שהתינוק תופש. במקרה השני, מדובר שאנו רואים את ראובן המסוים מרחוק. בגלל שמרחוק התפישה כללית, איננו יודעים אם זה ראובן או שמעון, או אפילו אם זה חי או לא-חי</w:t>
      </w:r>
      <w:r w:rsidR="00A0682C">
        <w:rPr>
          <w:rFonts w:hint="cs"/>
          <w:rtl/>
        </w:rPr>
        <w:t xml:space="preserve"> (אם איננו מבחינים בתנועה אנו יכולים לטעות לחשוב שאנו רואים עמוד)</w:t>
      </w:r>
      <w:r w:rsidR="00101E28">
        <w:rPr>
          <w:rFonts w:hint="cs"/>
          <w:rtl/>
        </w:rPr>
        <w:t>, ואנו רואים רק יחיד סתמי. אבל אין זה נכון לומר ש</w:t>
      </w:r>
      <w:r w:rsidR="00A0682C">
        <w:rPr>
          <w:rFonts w:hint="cs"/>
          <w:rtl/>
        </w:rPr>
        <w:t xml:space="preserve">שמעון יכול להיכנס להיות היחיד הסתמי הזה, כי באמת מי שאנו רואים אותו הוא דווקא ראובן ולא שמעון. חוסר הפירוט בראיית ראובן לא יכול להפוך את הראייה לראיית שמעון. </w:t>
      </w:r>
      <w:r w:rsidR="008D7668">
        <w:rPr>
          <w:rFonts w:hint="cs"/>
          <w:rtl/>
        </w:rPr>
        <w:t xml:space="preserve">לעומת זאת </w:t>
      </w:r>
      <w:r w:rsidR="00A0682C">
        <w:rPr>
          <w:rFonts w:hint="cs"/>
          <w:rtl/>
        </w:rPr>
        <w:t>במקרה הראשון של תינוק הוא רואה את ראובן המסוים אבל ב</w:t>
      </w:r>
      <w:r w:rsidR="008D7668">
        <w:rPr>
          <w:rFonts w:hint="cs"/>
          <w:rtl/>
        </w:rPr>
        <w:t>תוכן השגתו</w:t>
      </w:r>
      <w:r w:rsidR="00A0682C">
        <w:rPr>
          <w:rFonts w:hint="cs"/>
          <w:rtl/>
        </w:rPr>
        <w:t xml:space="preserve"> אין חלוקה כלל בין ראובן לשמעון כי אין בשכלו כלי להשיג חלוקה כזו, </w:t>
      </w:r>
      <w:r w:rsidR="008D7668">
        <w:rPr>
          <w:rFonts w:hint="cs"/>
          <w:rtl/>
        </w:rPr>
        <w:t xml:space="preserve"> עצם שכלו לא יכול לתפוש כלל את מה שמחלק בין ראובן לשמעון, ו</w:t>
      </w:r>
      <w:r w:rsidR="00833466">
        <w:rPr>
          <w:rFonts w:hint="cs"/>
          <w:rtl/>
        </w:rPr>
        <w:t xml:space="preserve">חוסר ההבחנה בין ראובן לשמעון הוא בעצם תפישת המציאות של שכלו, ולא רק </w:t>
      </w:r>
      <w:r w:rsidR="008D7668">
        <w:rPr>
          <w:rFonts w:hint="cs"/>
          <w:rtl/>
        </w:rPr>
        <w:t xml:space="preserve">מקרה שמטשטש את הראיה כמו מרחק, ולכן אין זה נכון לומר שהוא ראה את ראובן יותר מאשר </w:t>
      </w:r>
      <w:r w:rsidR="00833466">
        <w:rPr>
          <w:rFonts w:hint="cs"/>
          <w:rtl/>
        </w:rPr>
        <w:t xml:space="preserve">שהוא ראה </w:t>
      </w:r>
      <w:r w:rsidR="008D7668">
        <w:rPr>
          <w:rFonts w:hint="cs"/>
          <w:rtl/>
        </w:rPr>
        <w:t>את שמעון, אלא הוא ראה יחיד כללי שהוא 'אדם' וכל אדם יכול להיכנס להיות התוכן של הראייה הזו.</w:t>
      </w:r>
    </w:p>
    <w:p w14:paraId="465E1771" w14:textId="3ABED083" w:rsidR="00E66267" w:rsidRDefault="00D40BFF" w:rsidP="00E66267">
      <w:pPr>
        <w:pStyle w:val="FootnoteText"/>
        <w:rPr>
          <w:rtl/>
        </w:rPr>
      </w:pPr>
      <w:r>
        <w:rPr>
          <w:rFonts w:hint="cs"/>
          <w:rtl/>
        </w:rPr>
        <w:t>במסכת עירובין ע</w:t>
      </w:r>
      <w:r w:rsidR="00F055C8">
        <w:rPr>
          <w:rtl/>
        </w:rPr>
        <w:t>"</w:t>
      </w:r>
      <w:r>
        <w:rPr>
          <w:rFonts w:hint="cs"/>
          <w:rtl/>
        </w:rPr>
        <w:t xml:space="preserve">ח ב' </w:t>
      </w:r>
      <w:r>
        <w:rPr>
          <w:rFonts w:hint="cs"/>
          <w:rtl/>
        </w:rPr>
        <w:t xml:space="preserve">סברא כעין זו נקראת </w:t>
      </w:r>
      <w:r w:rsidR="00F055C8">
        <w:rPr>
          <w:rtl/>
        </w:rPr>
        <w:t>"</w:t>
      </w:r>
      <w:r>
        <w:rPr>
          <w:rFonts w:hint="cs"/>
          <w:rtl/>
        </w:rPr>
        <w:t>אריה רובץ עליו</w:t>
      </w:r>
      <w:r w:rsidR="00F055C8">
        <w:rPr>
          <w:rtl/>
        </w:rPr>
        <w:t>"</w:t>
      </w:r>
      <w:r>
        <w:rPr>
          <w:rFonts w:hint="cs"/>
          <w:rtl/>
        </w:rPr>
        <w:t xml:space="preserve">. במקרה השני שבו אדם מבוגר רואה את ראובן מרחוק (או שיש לו קוצר ראיה ומשקפיו אינם איתו, או שנכנס גוף זר לעינו וכל כיוצא בזה), ולא יכול להבחין אם זה ראובן או שמעון, </w:t>
      </w:r>
      <w:r w:rsidR="00E66267">
        <w:rPr>
          <w:rFonts w:hint="cs"/>
          <w:rtl/>
        </w:rPr>
        <w:t>הרי הדעת של המבוגר מצד עצמה, במהותה, יכולה להבחין בין ראובן לשמעון, ובנוסף לזה דמותו של ראובן מוטבעת בכח הראיה של הרואה המבוגר, לכן מצד עצם המציאות, יש כאן מציאות של ראיה של ראובן, רק שעל המציאות הזו רובץ אריה שהוא הטשטוש של כח הראיה. האריה רק מפריד בין הרואה לבין מציאותה של הראיה, אבל הוא לא מבטל את עצם מציאות הראיה שקיימת כעובדה אע</w:t>
      </w:r>
      <w:r w:rsidR="00F055C8">
        <w:rPr>
          <w:rtl/>
        </w:rPr>
        <w:t>"</w:t>
      </w:r>
      <w:r w:rsidR="00E66267">
        <w:rPr>
          <w:rFonts w:hint="cs"/>
          <w:rtl/>
        </w:rPr>
        <w:t>פ שלמעשה המסתכל אינו רואה באופן שהוא יכול להבחין שזה ראובן.</w:t>
      </w:r>
    </w:p>
    <w:p w14:paraId="4647D6CF" w14:textId="74431286" w:rsidR="0058179E" w:rsidRDefault="00E66267" w:rsidP="00E66267">
      <w:pPr>
        <w:pStyle w:val="FootnoteText"/>
        <w:rPr>
          <w:rtl/>
        </w:rPr>
      </w:pPr>
      <w:r>
        <w:rPr>
          <w:rFonts w:hint="cs"/>
          <w:rtl/>
        </w:rPr>
        <w:t>לעומת זאת במקרה הראשון השכל של התינוק בעצם מציאותו, במהותו, משולל יכולת הבחנה בין ראובן לשמעון, לכן בעצם המציאות אין כאן ראייה של ראובן ולכן מה שהתינוק רואה הוא באמת יחיד סתמי שיכול להיות כל אדם</w:t>
      </w:r>
      <w:r w:rsidR="0058179E">
        <w:rPr>
          <w:rFonts w:hint="cs"/>
          <w:rtl/>
        </w:rPr>
        <w:t>, ואילו המבוגר שרואה מרחוק רואה את ראובן דווקא אע</w:t>
      </w:r>
      <w:r w:rsidR="00F055C8">
        <w:rPr>
          <w:rtl/>
        </w:rPr>
        <w:t>"</w:t>
      </w:r>
      <w:r w:rsidR="0058179E">
        <w:rPr>
          <w:rFonts w:hint="cs"/>
          <w:rtl/>
        </w:rPr>
        <w:t>פ שאינו יודע שהוא רואה זאת</w:t>
      </w:r>
      <w:r>
        <w:rPr>
          <w:rFonts w:hint="cs"/>
          <w:rtl/>
        </w:rPr>
        <w:t>.</w:t>
      </w:r>
    </w:p>
    <w:p w14:paraId="4BEFDF6F" w14:textId="4583D962" w:rsidR="000066D3" w:rsidRDefault="0058179E" w:rsidP="00E66267">
      <w:pPr>
        <w:pStyle w:val="FootnoteText"/>
        <w:rPr>
          <w:rtl/>
        </w:rPr>
      </w:pPr>
      <w:r>
        <w:rPr>
          <w:rFonts w:hint="cs"/>
          <w:rtl/>
        </w:rPr>
        <w:t xml:space="preserve">ההבחנה </w:t>
      </w:r>
      <w:r w:rsidR="007528E3">
        <w:rPr>
          <w:rFonts w:hint="cs"/>
          <w:rtl/>
        </w:rPr>
        <w:t xml:space="preserve">כאן </w:t>
      </w:r>
      <w:r>
        <w:rPr>
          <w:rFonts w:hint="cs"/>
          <w:rtl/>
        </w:rPr>
        <w:t>אינה בין ראיה פיזיקלית לראיה פסיכולוגית, כי אז אין הבדל בין תינוק למבוגר. אצל שניהם מבחינה פיזיקלית מתקיים שקרני האור ש</w:t>
      </w:r>
      <w:r w:rsidR="007528E3">
        <w:rPr>
          <w:rFonts w:hint="cs"/>
          <w:rtl/>
        </w:rPr>
        <w:t xml:space="preserve">מוחזרות מדמותו של ראובן נופלות על רשתית העין, ובשניהם החוויה בעולם התודעתי היא שאינם רואים אם זה ראובן או שמעון. </w:t>
      </w:r>
      <w:r w:rsidR="00E66267">
        <w:rPr>
          <w:rFonts w:hint="cs"/>
          <w:rtl/>
        </w:rPr>
        <w:t xml:space="preserve">  </w:t>
      </w:r>
      <w:r w:rsidR="00D40BFF">
        <w:rPr>
          <w:rFonts w:hint="cs"/>
          <w:rtl/>
        </w:rPr>
        <w:t xml:space="preserve"> </w:t>
      </w:r>
      <w:r w:rsidR="008D7668">
        <w:rPr>
          <w:rFonts w:hint="cs"/>
          <w:rtl/>
        </w:rPr>
        <w:t xml:space="preserve"> </w:t>
      </w:r>
      <w:r w:rsidR="00101E28">
        <w:rPr>
          <w:rFonts w:hint="cs"/>
          <w:rtl/>
        </w:rPr>
        <w:t xml:space="preserve"> </w:t>
      </w:r>
    </w:p>
    <w:p w14:paraId="6E37500D" w14:textId="206EBE41" w:rsidR="007528E3" w:rsidRDefault="007528E3" w:rsidP="00E66267">
      <w:pPr>
        <w:pStyle w:val="FootnoteText"/>
      </w:pPr>
      <w:r>
        <w:rPr>
          <w:rFonts w:hint="cs"/>
          <w:rtl/>
        </w:rPr>
        <w:t>קשה לנו להבין את הסברא הזו כי אנו מטריאליסטים במחשבתנו. מה שאינו חומר לא יכול להיתפש אצלנו כמציאות עובדתית ריאלית. אצל אבן סינא כמו אצל אריסטו וחז</w:t>
      </w:r>
      <w:r w:rsidR="00F055C8">
        <w:rPr>
          <w:rtl/>
        </w:rPr>
        <w:t>"</w:t>
      </w:r>
      <w:r>
        <w:rPr>
          <w:rFonts w:hint="cs"/>
          <w:rtl/>
        </w:rPr>
        <w:t xml:space="preserve">ל, תפישת המציאות אינה מטריאליסטית, לכן הם תופשים את הראיה במובן של השגת שכל (ולא במובן של קרני אור שנופלות על רשתית) </w:t>
      </w:r>
      <w:r w:rsidR="00B92D78">
        <w:rPr>
          <w:rFonts w:hint="cs"/>
          <w:rtl/>
        </w:rPr>
        <w:t>כמציאות עובדתית שקיימת באופן ריאלי במציאות האובייקטיבית. ומכח זה הם מחלקים שבמקרה שמבוגר מסתכל על ראובן מרחוק המציאות של ראיה במובן השכלי מצד עצמה קיימת (כי שכלו של המבוגר במהותו יכול להשיג שמה שהוא רואה זה ראובן ולא שמעון), ורק רובץ עליה מכשול חיצוני</w:t>
      </w:r>
      <w:r w:rsidR="00BA1B8A">
        <w:rPr>
          <w:rFonts w:hint="cs"/>
          <w:rtl/>
        </w:rPr>
        <w:t xml:space="preserve"> שאינו משנה את מהות המציאות</w:t>
      </w:r>
      <w:r w:rsidR="00B92D78">
        <w:rPr>
          <w:rFonts w:hint="cs"/>
          <w:rtl/>
        </w:rPr>
        <w:t>, ואילו אצל תינוק שמסתכל על ראובן מבחינה שכלית אין כאן ראיה של ראובן בדווקא, כי עצם השכל של תינוק</w:t>
      </w:r>
      <w:r w:rsidR="00BA1B8A">
        <w:rPr>
          <w:rFonts w:hint="cs"/>
          <w:rtl/>
        </w:rPr>
        <w:t xml:space="preserve"> במהותו</w:t>
      </w:r>
      <w:r w:rsidR="00B92D78">
        <w:rPr>
          <w:rFonts w:hint="cs"/>
          <w:rtl/>
        </w:rPr>
        <w:t xml:space="preserve"> לא יכול להשיג את מה שמחלק בין ראובן לשמעון או לוי. </w:t>
      </w:r>
      <w:r w:rsidR="009B3ED1">
        <w:rPr>
          <w:rFonts w:hint="cs"/>
          <w:rtl/>
        </w:rPr>
        <w:t>החילוק חשוב, כאמור, כי יחיד סתמי כמו במקרה הראשון של תינוק עומד בבסיס התפישה של כל אדם אע</w:t>
      </w:r>
      <w:r w:rsidR="00F055C8">
        <w:rPr>
          <w:rtl/>
        </w:rPr>
        <w:t>"</w:t>
      </w:r>
      <w:r w:rsidR="009B3ED1">
        <w:rPr>
          <w:rFonts w:hint="cs"/>
          <w:rtl/>
        </w:rPr>
        <w:t xml:space="preserve">פ שאיננו מבחינים בזה כי מייד התפישה הזו מתחילה להיות מנותחת על ידי הכח המדבר. </w:t>
      </w:r>
    </w:p>
  </w:footnote>
  <w:footnote w:id="72">
    <w:p w14:paraId="6C574396" w14:textId="5F5F0882" w:rsidR="00FD3A28" w:rsidRDefault="00FD3A28">
      <w:pPr>
        <w:pStyle w:val="FootnoteText"/>
      </w:pPr>
      <w:r>
        <w:rPr>
          <w:rStyle w:val="FootnoteReference"/>
        </w:rPr>
        <w:footnoteRef/>
      </w:r>
      <w:r>
        <w:rPr>
          <w:rtl/>
        </w:rPr>
        <w:t xml:space="preserve"> </w:t>
      </w:r>
      <w:r>
        <w:rPr>
          <w:rFonts w:hint="cs"/>
          <w:rtl/>
        </w:rPr>
        <w:t>מה שהינו מצד עצמו, למשל מוגדר באופן חד משמעי כ'חי'.</w:t>
      </w:r>
    </w:p>
  </w:footnote>
  <w:footnote w:id="73">
    <w:p w14:paraId="47DA055A" w14:textId="5A10C460" w:rsidR="00FD3A28" w:rsidRDefault="00FD3A28">
      <w:pPr>
        <w:pStyle w:val="FootnoteText"/>
      </w:pPr>
      <w:r>
        <w:rPr>
          <w:rStyle w:val="FootnoteReference"/>
        </w:rPr>
        <w:footnoteRef/>
      </w:r>
      <w:r>
        <w:rPr>
          <w:rtl/>
        </w:rPr>
        <w:t xml:space="preserve"> </w:t>
      </w:r>
      <w:r>
        <w:rPr>
          <w:rFonts w:hint="cs"/>
          <w:rtl/>
        </w:rPr>
        <w:t>מצד עצמה</w:t>
      </w:r>
      <w:r w:rsidR="00B80B16">
        <w:rPr>
          <w:rFonts w:hint="cs"/>
          <w:rtl/>
        </w:rPr>
        <w:t xml:space="preserve">, ואינה יכולה להגדיר האם הוא 'חי' או </w:t>
      </w:r>
      <w:r w:rsidR="002C11BB">
        <w:rPr>
          <w:rFonts w:hint="cs"/>
          <w:rtl/>
        </w:rPr>
        <w:t>'</w:t>
      </w:r>
      <w:r w:rsidR="00B80B16">
        <w:rPr>
          <w:rFonts w:hint="cs"/>
          <w:rtl/>
        </w:rPr>
        <w:t>לא-חי</w:t>
      </w:r>
      <w:r w:rsidR="002C11BB">
        <w:rPr>
          <w:rFonts w:hint="cs"/>
          <w:rtl/>
        </w:rPr>
        <w:t>'</w:t>
      </w:r>
      <w:r>
        <w:rPr>
          <w:rFonts w:hint="cs"/>
          <w:rtl/>
        </w:rPr>
        <w:t>.</w:t>
      </w:r>
    </w:p>
  </w:footnote>
  <w:footnote w:id="74">
    <w:p w14:paraId="6536B671" w14:textId="474124F6" w:rsidR="004A3E7D" w:rsidRDefault="004A3E7D">
      <w:pPr>
        <w:pStyle w:val="FootnoteText"/>
        <w:rPr>
          <w:rtl/>
        </w:rPr>
      </w:pPr>
      <w:r>
        <w:rPr>
          <w:rStyle w:val="FootnoteReference"/>
        </w:rPr>
        <w:footnoteRef/>
      </w:r>
      <w:r>
        <w:rPr>
          <w:rtl/>
        </w:rPr>
        <w:t xml:space="preserve"> </w:t>
      </w:r>
      <w:r>
        <w:rPr>
          <w:rFonts w:hint="cs"/>
          <w:rtl/>
        </w:rPr>
        <w:t>היחיד נראה מרחוק (או מבעד לערפל וכל כיו</w:t>
      </w:r>
      <w:r w:rsidR="00F055C8">
        <w:rPr>
          <w:rtl/>
        </w:rPr>
        <w:t>"</w:t>
      </w:r>
      <w:r>
        <w:rPr>
          <w:rFonts w:hint="cs"/>
          <w:rtl/>
        </w:rPr>
        <w:t>ב) והעין לא יכולה לראות האם הוא 'חי' או 'לא-חי' ולכן מ</w:t>
      </w:r>
      <w:r w:rsidR="007F7B7D">
        <w:rPr>
          <w:rFonts w:hint="cs"/>
          <w:rtl/>
        </w:rPr>
        <w:t>צד ראיית העין</w:t>
      </w:r>
      <w:r>
        <w:rPr>
          <w:rFonts w:hint="cs"/>
          <w:rtl/>
        </w:rPr>
        <w:t xml:space="preserve"> אפשר ש</w:t>
      </w:r>
      <w:r w:rsidR="007F7B7D">
        <w:rPr>
          <w:rFonts w:hint="cs"/>
          <w:rtl/>
        </w:rPr>
        <w:t xml:space="preserve">נענה בחיוב על השאלה האם הוא מוגדר כ'חי' וגם נענה בחיוב על השאלה האם הוא מוגדר כ'לא-חי', למרות שבלי ספק מבחינה לוגית לא יתכן בשום אופן שהוא בעצמו גם 'חי' וגם 'לא-חי'.  </w:t>
      </w:r>
    </w:p>
    <w:p w14:paraId="5746336E" w14:textId="0808BCBE" w:rsidR="007F7B7D" w:rsidRPr="00CA528E" w:rsidRDefault="007F7B7D">
      <w:pPr>
        <w:pStyle w:val="FootnoteText"/>
      </w:pPr>
      <w:r>
        <w:rPr>
          <w:rFonts w:hint="cs"/>
          <w:rtl/>
        </w:rPr>
        <w:t>אבן סינא כתב שהוא לפי הראיה יכול להיות מוגדר כ'חי' באופן ששולל שהוא 'לא-חי', הכוונה להגיע לוודאות לוגית שלא יתכן שמצד עצמו הוא עונה בחיוב לשתי ההגדרות</w:t>
      </w:r>
      <w:r w:rsidR="004A6AC0">
        <w:rPr>
          <w:rFonts w:hint="cs"/>
          <w:rtl/>
        </w:rPr>
        <w:t xml:space="preserve"> (מה שלא היה וודאי אם הינו מסתפקים בהגדרה הטבעית של חי שאינה מוכרעת לחלוטין לגבי אלמוגים וכיו</w:t>
      </w:r>
      <w:r w:rsidR="00F055C8">
        <w:rPr>
          <w:rtl/>
        </w:rPr>
        <w:t>"</w:t>
      </w:r>
      <w:r w:rsidR="004A6AC0">
        <w:rPr>
          <w:rFonts w:hint="cs"/>
          <w:rtl/>
        </w:rPr>
        <w:t>ב)</w:t>
      </w:r>
      <w:r>
        <w:rPr>
          <w:rFonts w:hint="cs"/>
          <w:rtl/>
        </w:rPr>
        <w:t xml:space="preserve">. </w:t>
      </w:r>
      <w:r w:rsidR="004A6AC0">
        <w:rPr>
          <w:rFonts w:hint="cs"/>
          <w:rtl/>
        </w:rPr>
        <w:t xml:space="preserve">המושכל הראשון של המחשבה הוא שדבר לא יכול להיות גם הוא וגם היפוכו באותו זמן ומאותה בחינה. לכאורה היינו אומרים שאם כך לא רק מצד מהו העצם מצד עצמו, אלא גם מצד מה שהעין של המסתכל ראתה מרחוק, אי אפשר שנאמר שהיא ראתה דבר שההגדרה שלו היא גם 'חי' וגם 'לא-חי'. </w:t>
      </w:r>
      <w:r w:rsidR="00A63608">
        <w:rPr>
          <w:rFonts w:hint="cs"/>
          <w:rtl/>
        </w:rPr>
        <w:t xml:space="preserve">אבן סינא מחדד כאן את ההפרדה שכתבתי מקודם בין המציאות המופשטת של עובדת הראיה עצמה, ובין הטשטוש שעומד בין המסתכל ובין הגוף שעליו מסתכלים שנחשב </w:t>
      </w:r>
      <w:r w:rsidR="00F055C8">
        <w:rPr>
          <w:rtl/>
        </w:rPr>
        <w:t>"</w:t>
      </w:r>
      <w:r w:rsidR="00A63608">
        <w:rPr>
          <w:rFonts w:hint="cs"/>
          <w:rtl/>
        </w:rPr>
        <w:t>אריה רובץ</w:t>
      </w:r>
      <w:r w:rsidR="00F055C8">
        <w:rPr>
          <w:rtl/>
        </w:rPr>
        <w:t>"</w:t>
      </w:r>
      <w:r w:rsidR="00A63608">
        <w:rPr>
          <w:rFonts w:hint="cs"/>
        </w:rPr>
        <w:t xml:space="preserve"> </w:t>
      </w:r>
      <w:r w:rsidR="00A63608">
        <w:rPr>
          <w:rFonts w:hint="cs"/>
          <w:rtl/>
        </w:rPr>
        <w:t xml:space="preserve">כלומר משהו שהוא מחוץ לעובדת מציאותה של הראיה. כיוון </w:t>
      </w:r>
      <w:r w:rsidR="00A63608">
        <w:rPr>
          <w:rFonts w:hint="cs"/>
          <w:rtl/>
        </w:rPr>
        <w:t>שה</w:t>
      </w:r>
      <w:r w:rsidR="00F055C8">
        <w:rPr>
          <w:rtl/>
        </w:rPr>
        <w:t>"</w:t>
      </w:r>
      <w:r w:rsidR="00A63608">
        <w:rPr>
          <w:rFonts w:hint="cs"/>
          <w:rtl/>
        </w:rPr>
        <w:t>אריה הרובץ</w:t>
      </w:r>
      <w:r w:rsidR="00F055C8">
        <w:rPr>
          <w:rtl/>
        </w:rPr>
        <w:t>"</w:t>
      </w:r>
      <w:r w:rsidR="00A63608">
        <w:rPr>
          <w:rFonts w:hint="cs"/>
          <w:rtl/>
        </w:rPr>
        <w:t>, הטשטוש, הוא עניין בפני עצמו ונפרד מהגוף וראיית הגוף</w:t>
      </w:r>
      <w:r w:rsidR="007B234E">
        <w:rPr>
          <w:rFonts w:hint="cs"/>
          <w:rtl/>
        </w:rPr>
        <w:t xml:space="preserve"> מצד עצמה</w:t>
      </w:r>
      <w:r w:rsidR="00A63608">
        <w:rPr>
          <w:rFonts w:hint="cs"/>
          <w:rtl/>
        </w:rPr>
        <w:t xml:space="preserve">, לכן </w:t>
      </w:r>
      <w:r w:rsidR="007B234E">
        <w:rPr>
          <w:rFonts w:hint="cs"/>
          <w:rtl/>
        </w:rPr>
        <w:t>ב</w:t>
      </w:r>
      <w:r w:rsidR="00A63608">
        <w:rPr>
          <w:rFonts w:hint="cs"/>
          <w:rtl/>
        </w:rPr>
        <w:t>ערפל מצד עצמו אין סתירה שהוא</w:t>
      </w:r>
      <w:r w:rsidR="007B234E">
        <w:rPr>
          <w:rFonts w:hint="cs"/>
          <w:rtl/>
        </w:rPr>
        <w:t xml:space="preserve"> יכיל ראיה של 'חי' ושל 'לא-חי' בעת ובעונה אחת, כי לא מדובר על מציאות עצם או מציאות של ראיית עצם, ששם לא יתכן שיהיו בבת אחת גם הגדרה של 'חי' וגם הגדרה של 'לא-חי', אלא מדובר על הטשטוש שגורם המרחק או כל טשטוש אחר, שמצד הגדרתו כטשטוש</w:t>
      </w:r>
      <w:r w:rsidR="0043392A">
        <w:rPr>
          <w:rFonts w:hint="cs"/>
          <w:rtl/>
        </w:rPr>
        <w:t xml:space="preserve"> </w:t>
      </w:r>
      <w:r w:rsidR="007B234E">
        <w:rPr>
          <w:rFonts w:hint="cs"/>
          <w:rtl/>
        </w:rPr>
        <w:t xml:space="preserve">עניינו הוא שהוא מראה דברים באופן שמסתיר את הגדרת מהותם ולכם כיוון שמהותם מעורפלת ולא רואים בבירור מה היא, מצד זה בלבד היא יכולה להיות גם 'חי' וגם 'לא-חי' בבת אחת. </w:t>
      </w:r>
      <w:r w:rsidR="0043392A">
        <w:rPr>
          <w:rFonts w:hint="cs"/>
          <w:rtl/>
        </w:rPr>
        <w:t>כלומר הטשטוש אין לו קשר לראיה עצמה וכמובן לא לגוף, אלא הוא עניין נפרד מהם לגמרי</w:t>
      </w:r>
      <w:r w:rsidR="0053027F">
        <w:rPr>
          <w:rFonts w:hint="cs"/>
          <w:rtl/>
        </w:rPr>
        <w:t>, ומה שגום לא יכול להיות 'חי' ו'לא-חי' בבת אחת הוא מחמת מציאותו כגוף, וזה לא מחייב את הטשטוש שהוא גוף אחר נפרד</w:t>
      </w:r>
      <w:r w:rsidR="0043392A">
        <w:rPr>
          <w:rFonts w:hint="cs"/>
          <w:rtl/>
        </w:rPr>
        <w:t>.</w:t>
      </w:r>
      <w:r w:rsidR="00A63608" w:rsidRPr="00CA528E">
        <w:rPr>
          <w:rtl/>
        </w:rPr>
        <w:t xml:space="preserve"> </w:t>
      </w:r>
    </w:p>
  </w:footnote>
  <w:footnote w:id="75">
    <w:p w14:paraId="34C664E7" w14:textId="06676845" w:rsidR="006924FF" w:rsidRPr="00CA528E" w:rsidRDefault="006924FF">
      <w:pPr>
        <w:pStyle w:val="FootnoteText"/>
        <w:rPr>
          <w:rtl/>
        </w:rPr>
      </w:pPr>
      <w:r w:rsidRPr="00CA528E">
        <w:rPr>
          <w:rStyle w:val="FootnoteReference"/>
        </w:rPr>
        <w:footnoteRef/>
      </w:r>
      <w:r w:rsidRPr="00CA528E">
        <w:rPr>
          <w:rtl/>
        </w:rPr>
        <w:t xml:space="preserve"> </w:t>
      </w:r>
      <w:r w:rsidRPr="00CA528E">
        <w:rPr>
          <w:rFonts w:ascii="Arial" w:hAnsi="Arial" w:cs="Arial" w:hint="cs"/>
          <w:rtl/>
          <w:lang w:bidi="ar-SA"/>
        </w:rPr>
        <w:t>مقايسة</w:t>
      </w:r>
      <w:r w:rsidRPr="00CA528E">
        <w:rPr>
          <w:rtl/>
        </w:rPr>
        <w:t xml:space="preserve">. אפשר גם </w:t>
      </w:r>
      <w:r w:rsidR="00CA528E" w:rsidRPr="00CA528E">
        <w:rPr>
          <w:rtl/>
        </w:rPr>
        <w:t>השוואה או '</w:t>
      </w:r>
      <w:r w:rsidRPr="00CA528E">
        <w:rPr>
          <w:rtl/>
        </w:rPr>
        <w:t>מקום להשוואה</w:t>
      </w:r>
      <w:r w:rsidR="00CA528E" w:rsidRPr="00CA528E">
        <w:rPr>
          <w:rtl/>
        </w:rPr>
        <w:t>'</w:t>
      </w:r>
      <w:r w:rsidRPr="00CA528E">
        <w:rPr>
          <w:rtl/>
        </w:rPr>
        <w:t xml:space="preserve">, אנלוגיה, קורלציה. </w:t>
      </w:r>
    </w:p>
  </w:footnote>
  <w:footnote w:id="76">
    <w:p w14:paraId="152CD00E" w14:textId="30386C75" w:rsidR="005A2142" w:rsidRPr="00CA528E" w:rsidRDefault="005A2142">
      <w:pPr>
        <w:pStyle w:val="FootnoteText"/>
      </w:pPr>
      <w:r w:rsidRPr="00CA528E">
        <w:rPr>
          <w:rStyle w:val="FootnoteReference"/>
        </w:rPr>
        <w:footnoteRef/>
      </w:r>
      <w:r w:rsidR="00435E8E" w:rsidRPr="00CA528E">
        <w:rPr>
          <w:rtl/>
        </w:rPr>
        <w:t xml:space="preserve"> מְסֻובָּב הוא התוצאה של הסבה, מה שנפעל מכח הסיבה. </w:t>
      </w:r>
      <w:r w:rsidRPr="00CA528E">
        <w:rPr>
          <w:rtl/>
        </w:rPr>
        <w:t xml:space="preserve"> </w:t>
      </w:r>
    </w:p>
  </w:footnote>
  <w:footnote w:id="77">
    <w:p w14:paraId="65E3ECCC" w14:textId="315E3905" w:rsidR="000D6727" w:rsidRDefault="000D6727">
      <w:pPr>
        <w:pStyle w:val="FootnoteText"/>
      </w:pPr>
      <w:r w:rsidRPr="00CA528E">
        <w:rPr>
          <w:rStyle w:val="FootnoteReference"/>
        </w:rPr>
        <w:footnoteRef/>
      </w:r>
      <w:r w:rsidRPr="00CA528E">
        <w:rPr>
          <w:rtl/>
        </w:rPr>
        <w:t xml:space="preserve"> לעיל בסעי</w:t>
      </w:r>
      <w:r w:rsidR="00634E5C">
        <w:rPr>
          <w:rFonts w:hint="cs"/>
          <w:rtl/>
        </w:rPr>
        <w:t xml:space="preserve">ף הראשון בפרק זה </w:t>
      </w:r>
      <w:r>
        <w:rPr>
          <w:rFonts w:hint="cs"/>
          <w:rtl/>
        </w:rPr>
        <w:t>התחיל לבאר את נושאי החקירה של חכמת הטבע</w:t>
      </w:r>
      <w:r w:rsidR="00634E5C">
        <w:rPr>
          <w:rFonts w:hint="cs"/>
          <w:rtl/>
        </w:rPr>
        <w:t xml:space="preserve">. הוא מנה שם את ההתחלות ואת הסיבות (ופירט את ארבעת הסיבות של אריסטו: </w:t>
      </w:r>
      <w:r w:rsidR="00BA142B">
        <w:rPr>
          <w:rFonts w:hint="cs"/>
          <w:rtl/>
        </w:rPr>
        <w:t xml:space="preserve">שתי </w:t>
      </w:r>
      <w:r w:rsidR="00634E5C">
        <w:rPr>
          <w:rFonts w:hint="cs"/>
          <w:rtl/>
        </w:rPr>
        <w:t xml:space="preserve">הסיבות למהות </w:t>
      </w:r>
      <w:r w:rsidR="00BA142B">
        <w:rPr>
          <w:rFonts w:hint="cs"/>
          <w:rtl/>
        </w:rPr>
        <w:t>דהיינו</w:t>
      </w:r>
      <w:r w:rsidR="00634E5C">
        <w:rPr>
          <w:rFonts w:hint="cs"/>
          <w:rtl/>
        </w:rPr>
        <w:t xml:space="preserve"> </w:t>
      </w:r>
      <w:r w:rsidR="00BA142B">
        <w:rPr>
          <w:rFonts w:hint="cs"/>
          <w:rtl/>
        </w:rPr>
        <w:t>ה</w:t>
      </w:r>
      <w:r w:rsidR="00634E5C">
        <w:rPr>
          <w:rFonts w:hint="cs"/>
          <w:rtl/>
        </w:rPr>
        <w:t>חומר ו</w:t>
      </w:r>
      <w:r w:rsidR="00BA142B">
        <w:rPr>
          <w:rFonts w:hint="cs"/>
          <w:rtl/>
        </w:rPr>
        <w:t>ה</w:t>
      </w:r>
      <w:r w:rsidR="00634E5C">
        <w:rPr>
          <w:rFonts w:hint="cs"/>
          <w:rtl/>
        </w:rPr>
        <w:t>צורה, ו</w:t>
      </w:r>
      <w:r w:rsidR="00BA142B">
        <w:rPr>
          <w:rFonts w:hint="cs"/>
          <w:rtl/>
        </w:rPr>
        <w:t xml:space="preserve">שתי </w:t>
      </w:r>
      <w:r w:rsidR="00634E5C">
        <w:rPr>
          <w:rFonts w:hint="cs"/>
          <w:rtl/>
        </w:rPr>
        <w:t xml:space="preserve">הסיבות למציאות </w:t>
      </w:r>
      <w:r w:rsidR="00BA142B">
        <w:rPr>
          <w:rFonts w:hint="cs"/>
          <w:rtl/>
        </w:rPr>
        <w:t>דהיינו</w:t>
      </w:r>
      <w:r w:rsidR="00634E5C">
        <w:rPr>
          <w:rFonts w:hint="cs"/>
          <w:rtl/>
        </w:rPr>
        <w:t xml:space="preserve"> הפועל והתכלית</w:t>
      </w:r>
      <w:r w:rsidR="00BA142B">
        <w:rPr>
          <w:rFonts w:hint="cs"/>
          <w:rtl/>
        </w:rPr>
        <w:t>)</w:t>
      </w:r>
      <w:r w:rsidR="00634E5C">
        <w:rPr>
          <w:rFonts w:hint="cs"/>
          <w:rtl/>
        </w:rPr>
        <w:t xml:space="preserve">. </w:t>
      </w:r>
      <w:r w:rsidR="00BA142B">
        <w:rPr>
          <w:rFonts w:hint="cs"/>
          <w:rtl/>
        </w:rPr>
        <w:t xml:space="preserve">אחרי שהזכיר את ההתחלות שהן המופשט הגמור (כמו שביארתי שם בהערות), היה צריך לעסוק במציאות שמצד הטבע ובמציאות המופשטת, ובדרכי השגתן. </w:t>
      </w:r>
      <w:r>
        <w:rPr>
          <w:rFonts w:hint="cs"/>
          <w:rtl/>
        </w:rPr>
        <w:t xml:space="preserve">כאן חוזר </w:t>
      </w:r>
      <w:r w:rsidR="00BA142B">
        <w:rPr>
          <w:rFonts w:hint="cs"/>
          <w:rtl/>
        </w:rPr>
        <w:t xml:space="preserve">להמשיך את </w:t>
      </w:r>
      <w:r w:rsidR="004C5B48">
        <w:rPr>
          <w:rFonts w:hint="cs"/>
          <w:rtl/>
        </w:rPr>
        <w:t xml:space="preserve">הסעיף הראשון ועובר מההתחלות לסיבות, ומבאר את מה שיש לבאר בעניין הסיבות. </w:t>
      </w:r>
      <w:r w:rsidR="00275ABA">
        <w:rPr>
          <w:rFonts w:hint="cs"/>
          <w:rtl/>
        </w:rPr>
        <w:t xml:space="preserve"> </w:t>
      </w:r>
      <w:r>
        <w:rPr>
          <w:rFonts w:hint="cs"/>
          <w:rtl/>
        </w:rPr>
        <w:t xml:space="preserve">  </w:t>
      </w:r>
    </w:p>
  </w:footnote>
  <w:footnote w:id="78">
    <w:p w14:paraId="2721AE00" w14:textId="594BEB29" w:rsidR="00AA62B6" w:rsidRDefault="00AA62B6">
      <w:pPr>
        <w:pStyle w:val="FootnoteText"/>
      </w:pPr>
      <w:r>
        <w:rPr>
          <w:rStyle w:val="FootnoteReference"/>
        </w:rPr>
        <w:footnoteRef/>
      </w:r>
      <w:r>
        <w:rPr>
          <w:rtl/>
        </w:rPr>
        <w:t xml:space="preserve"> </w:t>
      </w:r>
      <w:r>
        <w:rPr>
          <w:rFonts w:hint="cs"/>
          <w:rtl/>
        </w:rPr>
        <w:t xml:space="preserve">העץ הוא החומר של המיטה, הצורה שהנגר נותן למיטה היא הצורה, העצם שהוא המיטה הוא לא רק סכום שני אלה, כי חומר לחוד אינו עצם, וצורה לחוד אינה עצם, אבל ההתאחדות שלהם היא סיבה להוויית העצם שהוא המיטה. 'עצם' פירושו </w:t>
      </w:r>
      <w:r w:rsidR="002F3C07">
        <w:rPr>
          <w:rFonts w:hint="cs"/>
          <w:rtl/>
        </w:rPr>
        <w:t>'</w:t>
      </w:r>
      <w:r>
        <w:rPr>
          <w:rFonts w:hint="cs"/>
          <w:rtl/>
        </w:rPr>
        <w:t>מה שנמצא</w:t>
      </w:r>
      <w:r w:rsidR="002F3C07">
        <w:rPr>
          <w:rFonts w:hint="cs"/>
          <w:rtl/>
        </w:rPr>
        <w:t>' (כמו שכתב אריסטו במטאפיזיקה גמא ובעוד מקומות)</w:t>
      </w:r>
      <w:r>
        <w:rPr>
          <w:rFonts w:hint="cs"/>
          <w:rtl/>
        </w:rPr>
        <w:t>, בעולם הארצי צורה מופשטת לחוד לא מוגדרת כ'נמצא', וגם חומר בלי צורה אינו מוגדר כ'נמצא' (מה שאנו קוראים לו 'חומר', כגון ה</w:t>
      </w:r>
      <w:r w:rsidR="007A329C">
        <w:rPr>
          <w:rFonts w:hint="cs"/>
          <w:rtl/>
        </w:rPr>
        <w:t>עץ</w:t>
      </w:r>
      <w:r>
        <w:rPr>
          <w:rFonts w:hint="cs"/>
          <w:rtl/>
        </w:rPr>
        <w:t xml:space="preserve"> שמ</w:t>
      </w:r>
      <w:r w:rsidR="007A329C">
        <w:rPr>
          <w:rFonts w:hint="cs"/>
          <w:rtl/>
        </w:rPr>
        <w:t>מנו</w:t>
      </w:r>
      <w:r>
        <w:rPr>
          <w:rFonts w:hint="cs"/>
          <w:rtl/>
        </w:rPr>
        <w:t xml:space="preserve"> הנגר עושה מיטה, </w:t>
      </w:r>
      <w:r w:rsidR="002F3C07">
        <w:rPr>
          <w:rFonts w:hint="cs"/>
          <w:rtl/>
        </w:rPr>
        <w:t>או ארבעת היסודות, כולם הם צורות שחלות בחומר. הם צורות של חומר, וצורות אחרות מצטיירות בהן כמו בחומר, אבל באמת הם צורות שחלות בחומר הראשון. הדבר היחיד שבאמת הוא רק חומר ואינו צורה הוא החומר הראשון</w:t>
      </w:r>
      <w:r w:rsidR="00C5772E">
        <w:rPr>
          <w:rtl/>
        </w:rPr>
        <w:fldChar w:fldCharType="begin"/>
      </w:r>
      <w:r w:rsidR="00C5772E">
        <w:instrText xml:space="preserve"> XE "</w:instrText>
      </w:r>
      <w:r w:rsidR="00C5772E" w:rsidRPr="00774CF8">
        <w:rPr>
          <w:rFonts w:hint="cs"/>
          <w:rtl/>
        </w:rPr>
        <w:instrText>החומר הראשון</w:instrText>
      </w:r>
      <w:r w:rsidR="00C5772E">
        <w:instrText xml:space="preserve">" </w:instrText>
      </w:r>
      <w:r w:rsidR="00C5772E">
        <w:rPr>
          <w:rtl/>
        </w:rPr>
        <w:fldChar w:fldCharType="end"/>
      </w:r>
      <w:r w:rsidR="002F3C07">
        <w:rPr>
          <w:rFonts w:hint="cs"/>
          <w:rtl/>
        </w:rPr>
        <w:t>, והוא העדר בלבד ולא מוגדר כ'נמצא'</w:t>
      </w:r>
      <w:r w:rsidR="00460C98">
        <w:rPr>
          <w:rFonts w:hint="cs"/>
          <w:rtl/>
        </w:rPr>
        <w:t>,</w:t>
      </w:r>
      <w:r w:rsidR="002F3C07">
        <w:rPr>
          <w:rFonts w:hint="cs"/>
          <w:rtl/>
        </w:rPr>
        <w:t xml:space="preserve"> וכבר הארכתי בזה בכמה מקומות. </w:t>
      </w:r>
      <w:r w:rsidR="00460C98">
        <w:rPr>
          <w:rFonts w:hint="cs"/>
          <w:rtl/>
        </w:rPr>
        <w:t>לכן אחרי שהנגר עושה מיטה שמאוחדת מחומר וצורה מתחדש עצם שלא היה מקודם. החומר והצורה הם סיבות של</w:t>
      </w:r>
      <w:r w:rsidR="00A71DFF">
        <w:rPr>
          <w:rFonts w:hint="cs"/>
          <w:rtl/>
        </w:rPr>
        <w:t xml:space="preserve"> העצם 'מיטה', </w:t>
      </w:r>
      <w:r w:rsidR="00460C98">
        <w:rPr>
          <w:rFonts w:hint="cs"/>
          <w:rtl/>
        </w:rPr>
        <w:t xml:space="preserve"> </w:t>
      </w:r>
      <w:r w:rsidR="00A71DFF">
        <w:rPr>
          <w:rFonts w:hint="cs"/>
          <w:rtl/>
        </w:rPr>
        <w:t xml:space="preserve">אבל אינן סיבות שפעלו פעם אחת ואחר כך התוצאה כבר קיימת ואינה צריכה אותן, אלא </w:t>
      </w:r>
      <w:r w:rsidR="00460C98">
        <w:rPr>
          <w:rFonts w:hint="cs"/>
          <w:rtl/>
        </w:rPr>
        <w:t xml:space="preserve">הן סיבות תמידיות שמסובבות בתמידות את מציאותו של העצם, </w:t>
      </w:r>
      <w:r w:rsidR="00A71DFF">
        <w:rPr>
          <w:rFonts w:hint="cs"/>
          <w:rtl/>
        </w:rPr>
        <w:t>כל רגע ורגע, ואם יחדלו לסובב את מציאות העצם הוא יחדל מייד מלהתקיים (הקשר בין סיבה למסובב דומה לקשר בין הבורא לבריאה, השפעת מציאות מתמדת</w:t>
      </w:r>
      <w:r w:rsidR="00483E39">
        <w:rPr>
          <w:rFonts w:hint="cs"/>
          <w:rtl/>
        </w:rPr>
        <w:t xml:space="preserve">. לאמיתו של דבר מה שהעולם כולו הוא בסיבה ומסובב זה משום שהוא נברא בתמידות. </w:t>
      </w:r>
      <w:r w:rsidR="00A71DFF">
        <w:rPr>
          <w:rFonts w:hint="cs"/>
          <w:rtl/>
        </w:rPr>
        <w:t xml:space="preserve">לכן אני נוקט דווקא בלשון </w:t>
      </w:r>
      <w:r w:rsidR="00F055C8">
        <w:rPr>
          <w:rtl/>
        </w:rPr>
        <w:t>"</w:t>
      </w:r>
      <w:r w:rsidR="00A71DFF">
        <w:rPr>
          <w:rFonts w:hint="cs"/>
          <w:rtl/>
        </w:rPr>
        <w:t>מסובב</w:t>
      </w:r>
      <w:r w:rsidR="00F055C8">
        <w:rPr>
          <w:rtl/>
        </w:rPr>
        <w:t>"</w:t>
      </w:r>
      <w:r w:rsidR="00A71DFF">
        <w:rPr>
          <w:rFonts w:hint="cs"/>
          <w:rtl/>
        </w:rPr>
        <w:t xml:space="preserve"> ולא בלשון </w:t>
      </w:r>
      <w:r w:rsidR="00F055C8">
        <w:rPr>
          <w:rtl/>
        </w:rPr>
        <w:t>"</w:t>
      </w:r>
      <w:r w:rsidR="00A71DFF">
        <w:rPr>
          <w:rFonts w:hint="cs"/>
          <w:rtl/>
        </w:rPr>
        <w:t>תוצאה</w:t>
      </w:r>
      <w:r w:rsidR="00F055C8">
        <w:rPr>
          <w:rtl/>
        </w:rPr>
        <w:t>"</w:t>
      </w:r>
      <w:r w:rsidR="00A71DFF">
        <w:rPr>
          <w:rFonts w:hint="cs"/>
          <w:rtl/>
        </w:rPr>
        <w:t xml:space="preserve"> </w:t>
      </w:r>
      <w:r w:rsidR="00483E39">
        <w:rPr>
          <w:rFonts w:hint="cs"/>
          <w:rtl/>
        </w:rPr>
        <w:t xml:space="preserve">כי </w:t>
      </w:r>
      <w:r w:rsidR="00A71DFF">
        <w:rPr>
          <w:rFonts w:hint="cs"/>
          <w:rtl/>
        </w:rPr>
        <w:t xml:space="preserve">הוא כללי יותר והוא כולל גם דברים שהם </w:t>
      </w:r>
      <w:r w:rsidR="00F055C8">
        <w:rPr>
          <w:rtl/>
        </w:rPr>
        <w:t>"</w:t>
      </w:r>
      <w:r w:rsidR="00A71DFF">
        <w:rPr>
          <w:rFonts w:hint="cs"/>
          <w:rtl/>
        </w:rPr>
        <w:t>גורמים</w:t>
      </w:r>
      <w:r w:rsidR="00F055C8">
        <w:rPr>
          <w:rtl/>
        </w:rPr>
        <w:t>"</w:t>
      </w:r>
      <w:r w:rsidR="00A71DFF">
        <w:rPr>
          <w:rFonts w:hint="cs"/>
          <w:rtl/>
        </w:rPr>
        <w:t xml:space="preserve"> ואינם סיבות אמיתיות. למשל </w:t>
      </w:r>
      <w:r w:rsidR="00483E39">
        <w:rPr>
          <w:rFonts w:hint="cs"/>
          <w:rtl/>
        </w:rPr>
        <w:t xml:space="preserve">היחס בין מכת הפטיש על הכד לשבירת הכד הוא יחס של גורם ותוצאה, אבל אינו יחס של סיבה ומסובב, כי כדי שתישאר המציאות שהכד שבור לא צריך שמציאות הפטיש תמשיך להתקיים בתמידות ותהיה חלק תמידי ממציאות היות הכד שבור). </w:t>
      </w:r>
      <w:r w:rsidR="00460C98">
        <w:rPr>
          <w:rFonts w:hint="cs"/>
          <w:rtl/>
        </w:rPr>
        <w:t xml:space="preserve">אבל </w:t>
      </w:r>
      <w:r w:rsidR="00DB008A">
        <w:rPr>
          <w:rFonts w:hint="cs"/>
          <w:rtl/>
        </w:rPr>
        <w:t xml:space="preserve">הסיבות של חומר וצורה </w:t>
      </w:r>
      <w:r w:rsidR="00460C98">
        <w:rPr>
          <w:rFonts w:hint="cs"/>
          <w:rtl/>
        </w:rPr>
        <w:t xml:space="preserve">אינן זהות לעצם, </w:t>
      </w:r>
      <w:r w:rsidR="00DB008A">
        <w:rPr>
          <w:rFonts w:hint="cs"/>
          <w:rtl/>
        </w:rPr>
        <w:t xml:space="preserve">כי הוא מוגדר כ'נמצא' והצורה והחומר לא מוגדרים כך; יש חידוש שנובע דווקא מההתאחדות הגמורה של חומר וצורה והוא אינו בחומר לחוד ובצורה לחוד. </w:t>
      </w:r>
      <w:r w:rsidR="00460C98">
        <w:rPr>
          <w:rFonts w:hint="cs"/>
          <w:rtl/>
        </w:rPr>
        <w:t xml:space="preserve">לכן </w:t>
      </w:r>
      <w:r w:rsidR="00DB008A">
        <w:rPr>
          <w:rFonts w:hint="cs"/>
          <w:rtl/>
        </w:rPr>
        <w:t xml:space="preserve">הסיבות של חומר וצורה </w:t>
      </w:r>
      <w:r w:rsidR="00460C98">
        <w:rPr>
          <w:rFonts w:hint="cs"/>
          <w:rtl/>
        </w:rPr>
        <w:t xml:space="preserve">נחשבות </w:t>
      </w:r>
      <w:r w:rsidR="00DB008A">
        <w:rPr>
          <w:rFonts w:hint="cs"/>
          <w:rtl/>
        </w:rPr>
        <w:t xml:space="preserve">רק </w:t>
      </w:r>
      <w:r w:rsidR="00460C98">
        <w:rPr>
          <w:rFonts w:hint="cs"/>
          <w:rtl/>
        </w:rPr>
        <w:t>כמרכיבים של</w:t>
      </w:r>
      <w:r w:rsidR="00DB008A">
        <w:rPr>
          <w:rFonts w:hint="cs"/>
          <w:rtl/>
        </w:rPr>
        <w:t xml:space="preserve"> העצם, הן </w:t>
      </w:r>
      <w:r w:rsidR="0009461A">
        <w:rPr>
          <w:rFonts w:hint="cs"/>
          <w:rtl/>
        </w:rPr>
        <w:t>נמצא</w:t>
      </w:r>
      <w:r w:rsidR="00DB008A">
        <w:rPr>
          <w:rFonts w:hint="cs"/>
          <w:rtl/>
        </w:rPr>
        <w:t>ות בהווייתו, אבל אינן זהות להווייתו</w:t>
      </w:r>
      <w:r w:rsidR="00460C98">
        <w:rPr>
          <w:rFonts w:hint="cs"/>
          <w:rtl/>
        </w:rPr>
        <w:t xml:space="preserve">. </w:t>
      </w:r>
    </w:p>
  </w:footnote>
  <w:footnote w:id="79">
    <w:p w14:paraId="64429DD1" w14:textId="21F77160" w:rsidR="0009461A" w:rsidRDefault="0009461A">
      <w:pPr>
        <w:pStyle w:val="FootnoteText"/>
      </w:pPr>
      <w:r>
        <w:rPr>
          <w:rStyle w:val="FootnoteReference"/>
        </w:rPr>
        <w:footnoteRef/>
      </w:r>
      <w:r>
        <w:rPr>
          <w:rtl/>
        </w:rPr>
        <w:t xml:space="preserve"> </w:t>
      </w:r>
      <w:r>
        <w:rPr>
          <w:rFonts w:hint="cs"/>
          <w:rtl/>
        </w:rPr>
        <w:t xml:space="preserve">העצם הארצי מורכב מחומר וצורה; החומר והצורה בעצמם הם חלקים פשוטים של העצם כי </w:t>
      </w:r>
      <w:r w:rsidR="00D704E9">
        <w:rPr>
          <w:rFonts w:hint="cs"/>
          <w:rtl/>
        </w:rPr>
        <w:t xml:space="preserve">בעצמם </w:t>
      </w:r>
      <w:r>
        <w:rPr>
          <w:rFonts w:hint="cs"/>
          <w:rtl/>
        </w:rPr>
        <w:t>אינם מורכבים</w:t>
      </w:r>
      <w:r w:rsidR="00D704E9">
        <w:rPr>
          <w:rFonts w:hint="cs"/>
          <w:rtl/>
        </w:rPr>
        <w:t>.</w:t>
      </w:r>
      <w:r>
        <w:rPr>
          <w:rFonts w:hint="cs"/>
          <w:rtl/>
        </w:rPr>
        <w:t xml:space="preserve"> </w:t>
      </w:r>
    </w:p>
  </w:footnote>
  <w:footnote w:id="80">
    <w:p w14:paraId="445B94C9" w14:textId="44925C4B" w:rsidR="00EC342B" w:rsidRDefault="00EC342B">
      <w:pPr>
        <w:pStyle w:val="FootnoteText"/>
        <w:rPr>
          <w:rtl/>
        </w:rPr>
      </w:pPr>
      <w:r>
        <w:rPr>
          <w:rStyle w:val="FootnoteReference"/>
        </w:rPr>
        <w:footnoteRef/>
      </w:r>
      <w:r>
        <w:rPr>
          <w:rtl/>
        </w:rPr>
        <w:t xml:space="preserve"> </w:t>
      </w:r>
      <w:r>
        <w:rPr>
          <w:rFonts w:hint="cs"/>
          <w:rtl/>
        </w:rPr>
        <w:t xml:space="preserve">הנגר הוא סיבה למיטה, הסיבה הפועלת. הנגר בעצמו הוא עצם מורכב מחומר וצורה, אבל כסיבה למיטה הוא לא מורכב, כי רק צורת המיטה שבשכלו היא סיבה למיטה. </w:t>
      </w:r>
      <w:r w:rsidR="00385AB0">
        <w:rPr>
          <w:rFonts w:hint="cs"/>
          <w:rtl/>
        </w:rPr>
        <w:t xml:space="preserve">וכמו שכתב </w:t>
      </w:r>
      <w:r w:rsidR="00385AB0">
        <w:rPr>
          <w:rFonts w:hint="cs"/>
          <w:rtl/>
        </w:rPr>
        <w:t>במו</w:t>
      </w:r>
      <w:r w:rsidR="00F055C8">
        <w:rPr>
          <w:rtl/>
        </w:rPr>
        <w:t>"</w:t>
      </w:r>
      <w:r w:rsidR="00385AB0">
        <w:rPr>
          <w:rFonts w:hint="cs"/>
          <w:rtl/>
        </w:rPr>
        <w:t>נ ב' ד':</w:t>
      </w:r>
    </w:p>
    <w:p w14:paraId="1F8A2F1E" w14:textId="12F80B2E" w:rsidR="00385AB0" w:rsidRDefault="00F055C8">
      <w:pPr>
        <w:pStyle w:val="FootnoteText"/>
      </w:pPr>
      <w:r>
        <w:rPr>
          <w:rtl/>
        </w:rPr>
        <w:t>"</w:t>
      </w:r>
      <w:r w:rsidR="00385AB0" w:rsidRPr="00385AB0">
        <w:rPr>
          <w:rtl/>
        </w:rPr>
        <w:t xml:space="preserve">וכל מה שיצא מן הכח אל </w:t>
      </w:r>
      <w:r w:rsidR="000C2C9B" w:rsidRPr="000C2C9B">
        <w:rPr>
          <w:rtl/>
        </w:rPr>
        <w:t>הַפּוֹעַל</w:t>
      </w:r>
      <w:r w:rsidR="00385AB0" w:rsidRPr="00385AB0">
        <w:rPr>
          <w:rtl/>
        </w:rPr>
        <w:t xml:space="preserve"> </w:t>
      </w:r>
      <w:r w:rsidR="00385AB0">
        <w:rPr>
          <w:rFonts w:hint="cs"/>
          <w:rtl/>
        </w:rPr>
        <w:t>-</w:t>
      </w:r>
      <w:r w:rsidR="00385AB0" w:rsidRPr="00385AB0">
        <w:rPr>
          <w:rtl/>
        </w:rPr>
        <w:t xml:space="preserve"> יש לו מוציא בהכרח חוץ ממנו, וצריך שיהיה המוציא ממין המוצא; כי הנגר לא יעשה האוצר באשר הוא אומן, אבל מאשר בשכלו צורת האוצר, וצורת האוצר אשר בשכל הנגר היא אשר הוציאה צורת האוצר לפועל ושמה אותה בעץ.</w:t>
      </w:r>
      <w:r>
        <w:rPr>
          <w:rtl/>
        </w:rPr>
        <w:t>"</w:t>
      </w:r>
      <w:r w:rsidR="00385AB0">
        <w:rPr>
          <w:rFonts w:hint="cs"/>
          <w:rtl/>
        </w:rPr>
        <w:t xml:space="preserve"> (ומקורו באריסטו בכמה מקומות)</w:t>
      </w:r>
    </w:p>
  </w:footnote>
  <w:footnote w:id="81">
    <w:p w14:paraId="44C11E56" w14:textId="1F751549" w:rsidR="00CF745A" w:rsidRDefault="00CF745A">
      <w:pPr>
        <w:pStyle w:val="FootnoteText"/>
      </w:pPr>
      <w:r>
        <w:rPr>
          <w:rStyle w:val="FootnoteReference"/>
        </w:rPr>
        <w:footnoteRef/>
      </w:r>
      <w:r>
        <w:rPr>
          <w:rtl/>
        </w:rPr>
        <w:t xml:space="preserve"> </w:t>
      </w:r>
      <w:r>
        <w:rPr>
          <w:rFonts w:hint="cs"/>
          <w:rtl/>
        </w:rPr>
        <w:t xml:space="preserve">זו שבין הסיבות והמסובבים וזו שבין החלקים הפשוטים והמורכב (שהתבארו בסעיף הקודם). </w:t>
      </w:r>
    </w:p>
  </w:footnote>
  <w:footnote w:id="82">
    <w:p w14:paraId="315F7A7E" w14:textId="1556CA74" w:rsidR="008E40CC" w:rsidRPr="00542968" w:rsidRDefault="000A72DD" w:rsidP="00A924AB">
      <w:pPr>
        <w:pStyle w:val="FootnoteText"/>
        <w:rPr>
          <w:rtl/>
        </w:rPr>
      </w:pPr>
      <w:r>
        <w:rPr>
          <w:rStyle w:val="FootnoteReference"/>
        </w:rPr>
        <w:footnoteRef/>
      </w:r>
      <w:r>
        <w:rPr>
          <w:rtl/>
        </w:rPr>
        <w:t xml:space="preserve"> </w:t>
      </w:r>
      <w:r>
        <w:rPr>
          <w:rFonts w:hint="cs"/>
          <w:rtl/>
        </w:rPr>
        <w:t xml:space="preserve">כח הדמיון הוא מה שזוכר את רושם החוש, ומפשיט אותו מכתמים וצלילים לתפישה של 'עצם'. </w:t>
      </w:r>
      <w:r>
        <w:rPr>
          <w:rFonts w:hint="cs"/>
          <w:rtl/>
        </w:rPr>
        <w:t>הכח  המדבר שמשתמש במילים וחישובים (הנקרא גם השכל השימושי, השכל הדברי, השכל בכח, השכל הטבעי) הוא גם כן חלק מכח הדמיון</w:t>
      </w:r>
      <w:r w:rsidR="008E40CC">
        <w:rPr>
          <w:rFonts w:hint="cs"/>
          <w:rtl/>
        </w:rPr>
        <w:t>. מה שמעל כח הדמיון, הנקרא הנפש המשכלת (עיין שמונה פרקים לרמב</w:t>
      </w:r>
      <w:r w:rsidR="00F055C8">
        <w:rPr>
          <w:rtl/>
        </w:rPr>
        <w:t>"</w:t>
      </w:r>
      <w:r w:rsidR="008E40CC">
        <w:rPr>
          <w:rFonts w:hint="cs"/>
          <w:rtl/>
        </w:rPr>
        <w:t xml:space="preserve">ם פרק א' וב'), הוא רק השכל העיוני המופשט, שתופש את המופשט באופן ישר, פשוט, בלתי אמצעי, כמו שהעין רואה את שלפניה (הוא נזכר במורה נבוכים א' סוף פרק א', הלכות יסודי התורה ד' סוף הלכה ז', ועוד). </w:t>
      </w:r>
      <w:r w:rsidR="00A924AB">
        <w:rPr>
          <w:rFonts w:hint="cs"/>
          <w:rtl/>
        </w:rPr>
        <w:t>כמו</w:t>
      </w:r>
      <w:r w:rsidR="003D712E">
        <w:rPr>
          <w:rFonts w:hint="cs"/>
          <w:rtl/>
        </w:rPr>
        <w:t xml:space="preserve"> </w:t>
      </w:r>
      <w:r w:rsidR="00A924AB">
        <w:rPr>
          <w:rFonts w:hint="cs"/>
          <w:rtl/>
        </w:rPr>
        <w:t>שהחוש ממש</w:t>
      </w:r>
      <w:r w:rsidR="008E40CC">
        <w:rPr>
          <w:rFonts w:hint="cs"/>
          <w:rtl/>
        </w:rPr>
        <w:t xml:space="preserve"> לא רואה שיש קדימה בסיבה ואיחו</w:t>
      </w:r>
      <w:r w:rsidR="00A924AB">
        <w:rPr>
          <w:rFonts w:hint="cs"/>
          <w:rtl/>
        </w:rPr>
        <w:t>ר</w:t>
      </w:r>
      <w:r w:rsidR="008E40CC">
        <w:rPr>
          <w:rFonts w:hint="cs"/>
          <w:rtl/>
        </w:rPr>
        <w:t xml:space="preserve"> בתוצאה, </w:t>
      </w:r>
      <w:r w:rsidR="00A924AB">
        <w:rPr>
          <w:rFonts w:hint="cs"/>
          <w:rtl/>
        </w:rPr>
        <w:t>כך גם כח הדמיון</w:t>
      </w:r>
      <w:r w:rsidR="008E40CC">
        <w:rPr>
          <w:rFonts w:hint="cs"/>
          <w:rtl/>
        </w:rPr>
        <w:t xml:space="preserve"> אינו רואה זאת. </w:t>
      </w:r>
    </w:p>
    <w:p w14:paraId="6E93DF34" w14:textId="09C3E64D" w:rsidR="00692C2E" w:rsidRDefault="008E40CC" w:rsidP="003D712E">
      <w:pPr>
        <w:pStyle w:val="FootnoteText"/>
        <w:rPr>
          <w:rtl/>
        </w:rPr>
      </w:pPr>
      <w:r w:rsidRPr="006924FF">
        <w:rPr>
          <w:rtl/>
        </w:rPr>
        <w:t xml:space="preserve">לשון אבן סינא כאן: </w:t>
      </w:r>
      <w:r w:rsidR="00F055C8">
        <w:rPr>
          <w:rtl/>
        </w:rPr>
        <w:t>"</w:t>
      </w:r>
      <w:r w:rsidRPr="006924FF">
        <w:rPr>
          <w:rFonts w:ascii="Arial" w:hAnsi="Arial" w:cs="Arial" w:hint="cs"/>
          <w:rtl/>
          <w:lang w:bidi="ar-SA"/>
        </w:rPr>
        <w:t>وكذلك</w:t>
      </w:r>
      <w:r w:rsidRPr="006924FF">
        <w:rPr>
          <w:rtl/>
          <w:lang w:bidi="ar-SA"/>
        </w:rPr>
        <w:t xml:space="preserve"> </w:t>
      </w:r>
      <w:r w:rsidRPr="006924FF">
        <w:rPr>
          <w:rFonts w:ascii="Arial" w:hAnsi="Arial" w:cs="Arial" w:hint="cs"/>
          <w:rtl/>
          <w:lang w:bidi="ar-SA"/>
        </w:rPr>
        <w:t>حكم</w:t>
      </w:r>
      <w:r w:rsidRPr="006924FF">
        <w:rPr>
          <w:rtl/>
          <w:lang w:bidi="ar-SA"/>
        </w:rPr>
        <w:t xml:space="preserve"> </w:t>
      </w:r>
      <w:r w:rsidRPr="006924FF">
        <w:rPr>
          <w:rFonts w:ascii="Arial" w:hAnsi="Arial" w:cs="Arial" w:hint="cs"/>
          <w:rtl/>
          <w:lang w:bidi="ar-SA"/>
        </w:rPr>
        <w:t>الخيال</w:t>
      </w:r>
      <w:r w:rsidR="00F055C8">
        <w:rPr>
          <w:rtl/>
        </w:rPr>
        <w:t>"</w:t>
      </w:r>
      <w:r w:rsidRPr="006924FF">
        <w:rPr>
          <w:rtl/>
        </w:rPr>
        <w:t xml:space="preserve"> </w:t>
      </w:r>
      <w:r w:rsidR="00412EF5" w:rsidRPr="006924FF">
        <w:rPr>
          <w:rtl/>
        </w:rPr>
        <w:t>תרגמתי לשון זו לא כמו שהבין המתרגם לאנגלית מקגיניס.</w:t>
      </w:r>
      <w:r w:rsidR="00A924AB" w:rsidRPr="006924FF">
        <w:rPr>
          <w:rtl/>
        </w:rPr>
        <w:t xml:space="preserve"> עיין בזה </w:t>
      </w:r>
      <w:hyperlink r:id="rId17" w:history="1">
        <w:r w:rsidR="00A924AB" w:rsidRPr="006924FF">
          <w:rPr>
            <w:rStyle w:val="Hyperlink"/>
            <w:rtl/>
          </w:rPr>
          <w:t>תרגומי לרמיזות והערות מאת אבן סינא</w:t>
        </w:r>
      </w:hyperlink>
      <w:r w:rsidR="00A924AB" w:rsidRPr="006924FF">
        <w:rPr>
          <w:rtl/>
        </w:rPr>
        <w:t>, ג' ט', בעמ' 213, בעניין החלק של כח הדמיון הנקרא בערבית</w:t>
      </w:r>
      <w:r w:rsidR="003D53C4" w:rsidRPr="006924FF">
        <w:rPr>
          <w:rtl/>
        </w:rPr>
        <w:t xml:space="preserve"> </w:t>
      </w:r>
      <w:r w:rsidR="003D53C4" w:rsidRPr="006924FF">
        <w:rPr>
          <w:rtl/>
          <w:lang w:bidi="ar-SA"/>
        </w:rPr>
        <w:t xml:space="preserve"> </w:t>
      </w:r>
      <w:r w:rsidR="003D53C4" w:rsidRPr="006924FF">
        <w:rPr>
          <w:rFonts w:ascii="Arial" w:hAnsi="Arial" w:cs="Arial" w:hint="cs"/>
          <w:rtl/>
          <w:lang w:bidi="ar-SA"/>
        </w:rPr>
        <w:t>حكم</w:t>
      </w:r>
      <w:r w:rsidR="003D53C4" w:rsidRPr="006924FF">
        <w:rPr>
          <w:rtl/>
          <w:lang w:bidi="ar-SA"/>
        </w:rPr>
        <w:t xml:space="preserve"> </w:t>
      </w:r>
      <w:r w:rsidR="003D53C4" w:rsidRPr="006924FF">
        <w:rPr>
          <w:rFonts w:ascii="Arial" w:hAnsi="Arial" w:cs="Arial" w:hint="cs"/>
          <w:rtl/>
          <w:lang w:bidi="ar-SA"/>
        </w:rPr>
        <w:t>الخيال</w:t>
      </w:r>
      <w:r w:rsidR="00A924AB" w:rsidRPr="006924FF">
        <w:rPr>
          <w:rtl/>
        </w:rPr>
        <w:t xml:space="preserve"> (זה המונח </w:t>
      </w:r>
      <w:r w:rsidR="00A924AB" w:rsidRPr="005B745E">
        <w:rPr>
          <w:rtl/>
        </w:rPr>
        <w:t>שמופיע במקור הערבי כאן</w:t>
      </w:r>
      <w:r w:rsidR="003D53C4" w:rsidRPr="005B745E">
        <w:rPr>
          <w:rtl/>
        </w:rPr>
        <w:t>. לפעמים נקרא רק</w:t>
      </w:r>
      <w:r w:rsidR="003D53C4" w:rsidRPr="005B745E">
        <w:rPr>
          <w:rtl/>
          <w:lang w:bidi="ar-SA"/>
        </w:rPr>
        <w:t xml:space="preserve"> </w:t>
      </w:r>
      <w:r w:rsidR="003D53C4" w:rsidRPr="005B745E">
        <w:rPr>
          <w:rFonts w:ascii="Arial" w:hAnsi="Arial" w:cs="Arial" w:hint="cs"/>
          <w:rtl/>
          <w:lang w:bidi="ar-SA"/>
        </w:rPr>
        <w:t>الخيال</w:t>
      </w:r>
      <w:r w:rsidR="003D53C4" w:rsidRPr="005B745E">
        <w:rPr>
          <w:rtl/>
        </w:rPr>
        <w:t xml:space="preserve"> </w:t>
      </w:r>
      <w:r w:rsidR="003D53C4" w:rsidRPr="005B745E">
        <w:t>al-khay</w:t>
      </w:r>
      <w:r w:rsidR="003D53C4" w:rsidRPr="00BF14AF">
        <w:rPr>
          <w:rFonts w:asciiTheme="majorBidi" w:hAnsiTheme="majorBidi" w:cstheme="majorBidi"/>
        </w:rPr>
        <w:t>ā</w:t>
      </w:r>
      <w:r w:rsidR="003D53C4" w:rsidRPr="005B745E">
        <w:t>l</w:t>
      </w:r>
      <w:r w:rsidR="00A924AB" w:rsidRPr="005B745E">
        <w:rPr>
          <w:rtl/>
        </w:rPr>
        <w:t>).</w:t>
      </w:r>
    </w:p>
    <w:p w14:paraId="3F7E4691" w14:textId="31C097F0" w:rsidR="005B745E" w:rsidRDefault="003D712E" w:rsidP="008E40CC">
      <w:pPr>
        <w:pStyle w:val="FootnoteText"/>
        <w:rPr>
          <w:rtl/>
        </w:rPr>
      </w:pPr>
      <w:r>
        <w:rPr>
          <w:rFonts w:hint="cs"/>
          <w:rtl/>
        </w:rPr>
        <w:t>(</w:t>
      </w:r>
      <w:r w:rsidR="00692C2E">
        <w:rPr>
          <w:rFonts w:hint="cs"/>
          <w:rtl/>
        </w:rPr>
        <w:t>אני נעזר</w:t>
      </w:r>
      <w:r w:rsidR="005B745E">
        <w:rPr>
          <w:rFonts w:hint="cs"/>
          <w:rtl/>
        </w:rPr>
        <w:t xml:space="preserve"> בתרגום לאנגלית מאת מקגיניס, והשתדלתי לציין במקומות המשמעותיים שנטיתי מתרגומו.</w:t>
      </w:r>
    </w:p>
    <w:p w14:paraId="0183C5CA" w14:textId="449195B3" w:rsidR="005B745E" w:rsidRPr="005B745E" w:rsidRDefault="00E22966" w:rsidP="00E22966">
      <w:pPr>
        <w:pStyle w:val="FootnoteText"/>
        <w:bidi w:val="0"/>
        <w:jc w:val="left"/>
      </w:pPr>
      <w:r w:rsidRPr="00E22966">
        <w:t>The</w:t>
      </w:r>
      <w:r>
        <w:rPr>
          <w:rFonts w:hint="cs"/>
          <w:rtl/>
        </w:rPr>
        <w:t xml:space="preserve"> </w:t>
      </w:r>
      <w:r w:rsidRPr="00E22966">
        <w:t>Physics</w:t>
      </w:r>
      <w:r>
        <w:rPr>
          <w:rFonts w:hint="cs"/>
          <w:rtl/>
        </w:rPr>
        <w:t xml:space="preserve"> </w:t>
      </w:r>
      <w:r w:rsidRPr="00E22966">
        <w:t>of</w:t>
      </w:r>
      <w:r>
        <w:rPr>
          <w:rFonts w:hint="cs"/>
          <w:rtl/>
        </w:rPr>
        <w:t xml:space="preserve"> </w:t>
      </w:r>
      <w:r w:rsidRPr="00E22966">
        <w:t>The</w:t>
      </w:r>
      <w:r>
        <w:rPr>
          <w:rFonts w:hint="cs"/>
          <w:rtl/>
        </w:rPr>
        <w:t xml:space="preserve"> </w:t>
      </w:r>
      <w:r w:rsidRPr="00E22966">
        <w:t>Healing</w:t>
      </w:r>
      <w:r>
        <w:rPr>
          <w:rFonts w:hint="cs"/>
          <w:rtl/>
        </w:rPr>
        <w:t xml:space="preserve">. </w:t>
      </w:r>
      <w:r w:rsidR="005B745E" w:rsidRPr="005B745E">
        <w:t xml:space="preserve">A parallel English-Arabic text translated, </w:t>
      </w:r>
      <w:r w:rsidR="003D712E">
        <w:rPr>
          <w:rFonts w:hint="cs"/>
          <w:rtl/>
        </w:rPr>
        <w:t>)</w:t>
      </w:r>
      <w:r w:rsidR="005B745E" w:rsidRPr="005B745E">
        <w:t>introduced, and annotated by</w:t>
      </w:r>
      <w:r w:rsidR="005B745E">
        <w:rPr>
          <w:rFonts w:hint="cs"/>
          <w:rtl/>
        </w:rPr>
        <w:t xml:space="preserve"> </w:t>
      </w:r>
      <w:r w:rsidR="005B745E" w:rsidRPr="005B745E">
        <w:t>Jon McGinnis</w:t>
      </w:r>
      <w:r>
        <w:rPr>
          <w:rFonts w:hint="cs"/>
          <w:rtl/>
        </w:rPr>
        <w:t xml:space="preserve">. </w:t>
      </w:r>
      <w:r w:rsidR="005B745E" w:rsidRPr="005B745E">
        <w:t>Brigham Young University Press</w:t>
      </w:r>
      <w:r>
        <w:rPr>
          <w:rFonts w:hint="cs"/>
          <w:rtl/>
        </w:rPr>
        <w:t>.</w:t>
      </w:r>
    </w:p>
  </w:footnote>
  <w:footnote w:id="83">
    <w:p w14:paraId="58EFB68C" w14:textId="72B279A6" w:rsidR="00B71A4B" w:rsidRDefault="00B71A4B" w:rsidP="00264D2A">
      <w:pPr>
        <w:pStyle w:val="FootnoteText"/>
      </w:pPr>
      <w:r>
        <w:rPr>
          <w:rStyle w:val="FootnoteReference"/>
        </w:rPr>
        <w:footnoteRef/>
      </w:r>
      <w:r>
        <w:rPr>
          <w:rtl/>
        </w:rPr>
        <w:t xml:space="preserve"> </w:t>
      </w:r>
      <w:r>
        <w:rPr>
          <w:rFonts w:hint="cs"/>
          <w:rtl/>
        </w:rPr>
        <w:t xml:space="preserve">הסיבתיות נמצאת רק בשכל, היא לא בחוש או בכח הדמיון. </w:t>
      </w:r>
      <w:r w:rsidR="00EB1008">
        <w:rPr>
          <w:rFonts w:hint="cs"/>
          <w:rtl/>
        </w:rPr>
        <w:t xml:space="preserve">הפילוסוף דיויד יום אמר שמה שאנו רואים אש ואחר כך עשן, זו רק ראיה של שתי תופעות שעד עכשיו ראינו שהן באות זו אחר זו, אבל איננו רואים שהאש היא סיבת העשן. הוא צודק כיוון שהוא מטריאליסט ולדעתו הראיה היחידה של המציאות היא באמצעות החוש, ואכן החוש לא רואה את הסיבתיות. </w:t>
      </w:r>
      <w:r w:rsidR="00F95CFB">
        <w:rPr>
          <w:rFonts w:hint="cs"/>
          <w:rtl/>
        </w:rPr>
        <w:t>לראות סיבתיות זה אותו עניין עצמו כמו לראות שלא ייתכן שמציאותו של העולם</w:t>
      </w:r>
      <w:r w:rsidR="00686AC1">
        <w:rPr>
          <w:rFonts w:hint="cs"/>
          <w:rtl/>
        </w:rPr>
        <w:t xml:space="preserve"> החומרי</w:t>
      </w:r>
      <w:r w:rsidR="00F95CFB">
        <w:rPr>
          <w:rFonts w:hint="cs"/>
          <w:rtl/>
        </w:rPr>
        <w:t xml:space="preserve"> היא עצמית לו, ושבהכרח יש </w:t>
      </w:r>
      <w:r w:rsidR="00686AC1">
        <w:rPr>
          <w:rFonts w:hint="cs"/>
          <w:rtl/>
        </w:rPr>
        <w:t>'</w:t>
      </w:r>
      <w:r w:rsidR="00F95CFB">
        <w:rPr>
          <w:rFonts w:hint="cs"/>
          <w:rtl/>
        </w:rPr>
        <w:t>הכרחי מציאות</w:t>
      </w:r>
      <w:r w:rsidR="00686AC1">
        <w:rPr>
          <w:rFonts w:hint="cs"/>
          <w:rtl/>
        </w:rPr>
        <w:t>' מופשט</w:t>
      </w:r>
      <w:r w:rsidR="00F95CFB">
        <w:rPr>
          <w:rFonts w:hint="cs"/>
          <w:rtl/>
        </w:rPr>
        <w:t xml:space="preserve"> שממנו העולם מקבל את מציאותו. הכרחי המציאות</w:t>
      </w:r>
      <w:r w:rsidR="00686AC1">
        <w:rPr>
          <w:rFonts w:hint="cs"/>
          <w:rtl/>
        </w:rPr>
        <w:t xml:space="preserve"> המופשט</w:t>
      </w:r>
      <w:r w:rsidR="00F95CFB">
        <w:rPr>
          <w:rFonts w:hint="cs"/>
          <w:rtl/>
        </w:rPr>
        <w:t xml:space="preserve"> הוא הסיבה למציאותו של העולם </w:t>
      </w:r>
      <w:r w:rsidR="00686AC1">
        <w:rPr>
          <w:rFonts w:hint="cs"/>
          <w:rtl/>
        </w:rPr>
        <w:t>ה</w:t>
      </w:r>
      <w:r w:rsidR="0086689D">
        <w:rPr>
          <w:rFonts w:hint="cs"/>
          <w:rtl/>
        </w:rPr>
        <w:t>חומר</w:t>
      </w:r>
      <w:r w:rsidR="00686AC1">
        <w:rPr>
          <w:rFonts w:hint="cs"/>
          <w:rtl/>
        </w:rPr>
        <w:t xml:space="preserve">י </w:t>
      </w:r>
      <w:r w:rsidR="00F95CFB">
        <w:rPr>
          <w:rFonts w:hint="cs"/>
          <w:rtl/>
        </w:rPr>
        <w:t>שהוא אפשרי המציאות, כמו שהתבאר במורה נבוכים ב' א' בעיון השלישי</w:t>
      </w:r>
      <w:r w:rsidR="0086689D">
        <w:rPr>
          <w:rtl/>
        </w:rPr>
        <w:fldChar w:fldCharType="begin"/>
      </w:r>
      <w:r w:rsidR="0086689D">
        <w:instrText xml:space="preserve"> XE "</w:instrText>
      </w:r>
      <w:r w:rsidR="0086689D" w:rsidRPr="00415269">
        <w:rPr>
          <w:rFonts w:hint="cs"/>
          <w:rtl/>
        </w:rPr>
        <w:instrText>מורה נבוכים ב' א' בעיון השלישי</w:instrText>
      </w:r>
      <w:r w:rsidR="0086689D">
        <w:instrText xml:space="preserve">" </w:instrText>
      </w:r>
      <w:r w:rsidR="0086689D">
        <w:rPr>
          <w:rtl/>
        </w:rPr>
        <w:fldChar w:fldCharType="end"/>
      </w:r>
      <w:r w:rsidR="00F95CFB">
        <w:rPr>
          <w:rFonts w:hint="cs"/>
          <w:rtl/>
        </w:rPr>
        <w:t xml:space="preserve"> שלקוח מאבן סינא (</w:t>
      </w:r>
      <w:r w:rsidR="00264D2A">
        <w:rPr>
          <w:rFonts w:hint="cs"/>
          <w:rtl/>
        </w:rPr>
        <w:t xml:space="preserve">ומקורו כמובן באריסטו ולא כמו שכתבו מלומדים שזה חידוש של אבן סינא. עיין </w:t>
      </w:r>
      <w:r w:rsidR="00264D2A">
        <w:rPr>
          <w:rtl/>
        </w:rPr>
        <w:t xml:space="preserve">מטאפיזיקה </w:t>
      </w:r>
      <w:r w:rsidR="00264D2A">
        <w:rPr>
          <w:rFonts w:hint="cs"/>
          <w:rtl/>
        </w:rPr>
        <w:t>ט</w:t>
      </w:r>
      <w:r w:rsidR="00B80103">
        <w:rPr>
          <w:rFonts w:hint="cs"/>
          <w:rtl/>
        </w:rPr>
        <w:t>ט</w:t>
      </w:r>
      <w:r w:rsidR="00264D2A">
        <w:rPr>
          <w:rtl/>
        </w:rPr>
        <w:t>א פרק ח</w:t>
      </w:r>
      <w:r w:rsidR="009911C8">
        <w:rPr>
          <w:rFonts w:hint="cs"/>
          <w:rtl/>
        </w:rPr>
        <w:t xml:space="preserve">', (1050ב7 - 1050ב28) </w:t>
      </w:r>
      <w:r w:rsidR="00264D2A">
        <w:rPr>
          <w:rFonts w:hint="cs"/>
          <w:rtl/>
        </w:rPr>
        <w:t>ויש עוד מקומות באריסטו שעניין זה מבואר בהם).</w:t>
      </w:r>
      <w:r w:rsidR="00EB1008">
        <w:rPr>
          <w:rFonts w:hint="cs"/>
          <w:rtl/>
        </w:rPr>
        <w:t xml:space="preserve"> </w:t>
      </w:r>
    </w:p>
  </w:footnote>
  <w:footnote w:id="84">
    <w:p w14:paraId="398C5522" w14:textId="45CDB4BE" w:rsidR="00B848D5" w:rsidRPr="00542968" w:rsidRDefault="00B848D5">
      <w:pPr>
        <w:pStyle w:val="FootnoteText"/>
      </w:pPr>
      <w:r w:rsidRPr="00542968">
        <w:rPr>
          <w:rStyle w:val="FootnoteReference"/>
        </w:rPr>
        <w:footnoteRef/>
      </w:r>
      <w:r w:rsidRPr="00542968">
        <w:rPr>
          <w:rtl/>
        </w:rPr>
        <w:t xml:space="preserve"> דדוקציה, שיקול שכלי</w:t>
      </w:r>
      <w:r>
        <w:rPr>
          <w:rFonts w:hint="cs"/>
          <w:rtl/>
        </w:rPr>
        <w:t xml:space="preserve">, </w:t>
      </w:r>
      <w:r w:rsidRPr="00542968">
        <w:rPr>
          <w:rFonts w:ascii="Arial" w:hAnsi="Arial" w:cs="Arial" w:hint="cs"/>
          <w:rtl/>
          <w:lang w:bidi="ar-SA"/>
        </w:rPr>
        <w:t>الاستدلال</w:t>
      </w:r>
      <w:r w:rsidRPr="00542968">
        <w:rPr>
          <w:rtl/>
        </w:rPr>
        <w:t>.</w:t>
      </w:r>
      <w:r w:rsidR="00237EEB" w:rsidRPr="00542968">
        <w:t xml:space="preserve"> </w:t>
      </w:r>
      <w:r w:rsidR="00237EEB" w:rsidRPr="00542968">
        <w:rPr>
          <w:rtl/>
        </w:rPr>
        <w:t xml:space="preserve">למשל </w:t>
      </w:r>
      <w:r w:rsidR="00542968" w:rsidRPr="00542968">
        <w:rPr>
          <w:rtl/>
        </w:rPr>
        <w:t>אפשר שהאדם יידע בשכלו כאילו הי</w:t>
      </w:r>
      <w:r w:rsidR="00542968">
        <w:rPr>
          <w:rFonts w:hint="cs"/>
          <w:rtl/>
        </w:rPr>
        <w:t xml:space="preserve">ה </w:t>
      </w:r>
      <w:r w:rsidR="00542968" w:rsidRPr="00542968">
        <w:rPr>
          <w:rtl/>
        </w:rPr>
        <w:t xml:space="preserve">זה מושכל ראשון שסוקרטס הוא בן תמותה, </w:t>
      </w:r>
      <w:r w:rsidR="00542968">
        <w:rPr>
          <w:rFonts w:hint="cs"/>
          <w:rtl/>
        </w:rPr>
        <w:t>ואחר כך הוא משיג ש</w:t>
      </w:r>
      <w:r w:rsidR="00542968" w:rsidRPr="00542968">
        <w:rPr>
          <w:rtl/>
        </w:rPr>
        <w:t>זו מסקנה מאוחרת מהנחות קודמות שהן</w:t>
      </w:r>
      <w:r w:rsidR="009D437C">
        <w:rPr>
          <w:rFonts w:hint="cs"/>
          <w:rtl/>
        </w:rPr>
        <w:t>: (1)</w:t>
      </w:r>
      <w:r w:rsidR="00542968" w:rsidRPr="00542968">
        <w:rPr>
          <w:rtl/>
        </w:rPr>
        <w:t xml:space="preserve"> כל בני </w:t>
      </w:r>
      <w:r w:rsidR="009D437C">
        <w:rPr>
          <w:rFonts w:hint="cs"/>
          <w:rtl/>
        </w:rPr>
        <w:t>האדם ה</w:t>
      </w:r>
      <w:r w:rsidR="00542968" w:rsidRPr="00542968">
        <w:rPr>
          <w:rtl/>
        </w:rPr>
        <w:t>ם בני תמותה</w:t>
      </w:r>
      <w:r w:rsidR="009D437C">
        <w:rPr>
          <w:rFonts w:hint="cs"/>
          <w:rtl/>
        </w:rPr>
        <w:t>,</w:t>
      </w:r>
      <w:r w:rsidR="00542968" w:rsidRPr="00542968">
        <w:rPr>
          <w:rtl/>
        </w:rPr>
        <w:t xml:space="preserve"> </w:t>
      </w:r>
      <w:r w:rsidR="009D437C">
        <w:rPr>
          <w:rFonts w:hint="cs"/>
          <w:rtl/>
        </w:rPr>
        <w:t>(2) סוקרטס</w:t>
      </w:r>
      <w:r w:rsidR="00542968" w:rsidRPr="00542968">
        <w:rPr>
          <w:rtl/>
        </w:rPr>
        <w:t xml:space="preserve"> הוא בן אדם. </w:t>
      </w:r>
    </w:p>
  </w:footnote>
  <w:footnote w:id="85">
    <w:p w14:paraId="4D5B3E42" w14:textId="1A90A257" w:rsidR="000309B6" w:rsidRDefault="000309B6">
      <w:pPr>
        <w:pStyle w:val="FootnoteText"/>
      </w:pPr>
      <w:r>
        <w:rPr>
          <w:rStyle w:val="FootnoteReference"/>
        </w:rPr>
        <w:footnoteRef/>
      </w:r>
      <w:r>
        <w:rPr>
          <w:rtl/>
        </w:rPr>
        <w:t xml:space="preserve"> </w:t>
      </w:r>
      <w:r>
        <w:rPr>
          <w:rFonts w:hint="cs"/>
          <w:rtl/>
        </w:rPr>
        <w:t>אפשר שאדם רואה בחוש ליקוי, ורק אחר כך הוא מבין בשכל שסיבת הליקוי היא מעבר הירח והשמש במקום מסוים, או שהוא רואה</w:t>
      </w:r>
      <w:r w:rsidR="00A22AC6">
        <w:rPr>
          <w:rFonts w:hint="cs"/>
          <w:rtl/>
        </w:rPr>
        <w:t xml:space="preserve"> </w:t>
      </w:r>
      <w:r>
        <w:rPr>
          <w:rFonts w:hint="cs"/>
          <w:rtl/>
        </w:rPr>
        <w:t>חולי, ורק אחר כך מבין שסיבתו היא נמק</w:t>
      </w:r>
      <w:r w:rsidR="00A22AC6">
        <w:rPr>
          <w:rFonts w:hint="cs"/>
          <w:rtl/>
        </w:rPr>
        <w:t xml:space="preserve">. </w:t>
      </w:r>
    </w:p>
  </w:footnote>
  <w:footnote w:id="86">
    <w:p w14:paraId="7D8191F3" w14:textId="77777777" w:rsidR="00C167B6" w:rsidRDefault="00C167B6" w:rsidP="00C167B6">
      <w:pPr>
        <w:pStyle w:val="FootnoteText"/>
        <w:rPr>
          <w:rtl/>
        </w:rPr>
      </w:pPr>
      <w:r>
        <w:rPr>
          <w:rStyle w:val="FootnoteReference"/>
        </w:rPr>
        <w:footnoteRef/>
      </w:r>
      <w:r>
        <w:rPr>
          <w:rtl/>
        </w:rPr>
        <w:t xml:space="preserve"> </w:t>
      </w:r>
      <w:r>
        <w:rPr>
          <w:rFonts w:hint="cs"/>
          <w:rtl/>
        </w:rPr>
        <w:t>אני מעתיק כאן את הערת המתרגם לאנגלית מקגיניס:</w:t>
      </w:r>
    </w:p>
    <w:p w14:paraId="275AD1C5" w14:textId="4618107E" w:rsidR="00C167B6" w:rsidRDefault="00F055C8" w:rsidP="00C167B6">
      <w:pPr>
        <w:pStyle w:val="FootnoteText"/>
        <w:bidi w:val="0"/>
      </w:pPr>
      <w:r>
        <w:rPr>
          <w:rFonts w:asciiTheme="majorBidi" w:hAnsiTheme="majorBidi" w:cstheme="majorBidi"/>
        </w:rPr>
        <w:t>"</w:t>
      </w:r>
      <w:r w:rsidR="00C167B6" w:rsidRPr="00912054">
        <w:rPr>
          <w:rFonts w:asciiTheme="majorBidi" w:hAnsiTheme="majorBidi" w:cstheme="majorBidi"/>
        </w:rPr>
        <w:t xml:space="preserve">See </w:t>
      </w:r>
      <w:r w:rsidR="00C167B6" w:rsidRPr="00912054">
        <w:rPr>
          <w:rFonts w:asciiTheme="majorBidi" w:hAnsiTheme="majorBidi" w:cstheme="majorBidi"/>
        </w:rPr>
        <w:t xml:space="preserve">Kitāb al-burhān </w:t>
      </w:r>
      <w:r w:rsidR="00F8752D" w:rsidRPr="00912054">
        <w:rPr>
          <w:rFonts w:asciiTheme="majorBidi" w:hAnsiTheme="majorBidi" w:cstheme="majorBidi"/>
        </w:rPr>
        <w:t>1.</w:t>
      </w:r>
      <w:r w:rsidR="00C167B6" w:rsidRPr="00912054">
        <w:rPr>
          <w:rFonts w:asciiTheme="majorBidi" w:hAnsiTheme="majorBidi" w:cstheme="majorBidi"/>
        </w:rPr>
        <w:t>7, where Avicenna distinguished between the burhān lima (demonstration propter quid ), which goes from cause to effect</w:t>
      </w:r>
      <w:r w:rsidR="007E349E" w:rsidRPr="00912054">
        <w:rPr>
          <w:rFonts w:asciiTheme="majorBidi" w:hAnsiTheme="majorBidi" w:cstheme="majorBidi"/>
          <w:rtl/>
        </w:rPr>
        <w:t xml:space="preserve"> [מסובב] </w:t>
      </w:r>
      <w:r w:rsidR="00C167B6" w:rsidRPr="00912054">
        <w:rPr>
          <w:rFonts w:asciiTheme="majorBidi" w:hAnsiTheme="majorBidi" w:cstheme="majorBidi"/>
        </w:rPr>
        <w:t xml:space="preserve">, and the  burhān inna (demonstration quia), which goes from effect to cause and is itself divided into the </w:t>
      </w:r>
      <w:r>
        <w:rPr>
          <w:rFonts w:asciiTheme="majorBidi" w:hAnsiTheme="majorBidi" w:cstheme="majorBidi"/>
        </w:rPr>
        <w:t>"</w:t>
      </w:r>
      <w:r w:rsidR="00C167B6" w:rsidRPr="00912054">
        <w:rPr>
          <w:rFonts w:asciiTheme="majorBidi" w:hAnsiTheme="majorBidi" w:cstheme="majorBidi"/>
        </w:rPr>
        <w:t>absolute burhān inna</w:t>
      </w:r>
      <w:r>
        <w:rPr>
          <w:rFonts w:asciiTheme="majorBidi" w:hAnsiTheme="majorBidi" w:cstheme="majorBidi"/>
        </w:rPr>
        <w:t>"</w:t>
      </w:r>
      <w:r w:rsidR="00C167B6" w:rsidRPr="00912054">
        <w:rPr>
          <w:rFonts w:asciiTheme="majorBidi" w:hAnsiTheme="majorBidi" w:cstheme="majorBidi"/>
        </w:rPr>
        <w:t xml:space="preserve"> and the </w:t>
      </w:r>
      <w:r>
        <w:rPr>
          <w:rFonts w:asciiTheme="majorBidi" w:hAnsiTheme="majorBidi" w:cstheme="majorBidi"/>
        </w:rPr>
        <w:t>"</w:t>
      </w:r>
      <w:r w:rsidR="00C167B6" w:rsidRPr="00912054">
        <w:rPr>
          <w:rFonts w:asciiTheme="majorBidi" w:hAnsiTheme="majorBidi" w:cstheme="majorBidi"/>
        </w:rPr>
        <w:t>indication,</w:t>
      </w:r>
      <w:r>
        <w:rPr>
          <w:rFonts w:asciiTheme="majorBidi" w:hAnsiTheme="majorBidi" w:cstheme="majorBidi"/>
        </w:rPr>
        <w:t>"</w:t>
      </w:r>
      <w:r w:rsidR="00C167B6" w:rsidRPr="00912054">
        <w:rPr>
          <w:rFonts w:asciiTheme="majorBidi" w:hAnsiTheme="majorBidi" w:cstheme="majorBidi"/>
        </w:rPr>
        <w:t xml:space="preserve"> which correspond with the accounts given here</w:t>
      </w:r>
      <w:r w:rsidR="00C167B6" w:rsidRPr="00912054">
        <w:rPr>
          <w:rFonts w:asciiTheme="majorBidi" w:hAnsiTheme="majorBidi" w:cstheme="majorBidi"/>
          <w:rtl/>
        </w:rPr>
        <w:t>.</w:t>
      </w:r>
      <w:r>
        <w:t>"</w:t>
      </w:r>
    </w:p>
  </w:footnote>
  <w:footnote w:id="87">
    <w:p w14:paraId="5829AD5B" w14:textId="6A58F12F" w:rsidR="004D0638" w:rsidRDefault="004D0638">
      <w:pPr>
        <w:pStyle w:val="FootnoteText"/>
      </w:pPr>
      <w:r>
        <w:rPr>
          <w:rStyle w:val="FootnoteReference"/>
        </w:rPr>
        <w:footnoteRef/>
      </w:r>
      <w:r>
        <w:rPr>
          <w:rtl/>
        </w:rPr>
        <w:t xml:space="preserve"> </w:t>
      </w:r>
      <w:r>
        <w:rPr>
          <w:rFonts w:hint="cs"/>
          <w:rtl/>
        </w:rPr>
        <w:t>כלומר ארבעת הסיבות של אריסטו שכל אחת מהן היא סיבה במובן נפרד, וכמו שביאר לעיל בסעיף הראשון בפרקנו שיש סיבות למהות (החומר והצורה) וסיבות למציאות (</w:t>
      </w:r>
      <w:r w:rsidRPr="004D0638">
        <w:rPr>
          <w:rtl/>
        </w:rPr>
        <w:t>הַפּוֹעֵל</w:t>
      </w:r>
      <w:r>
        <w:rPr>
          <w:rFonts w:hint="cs"/>
          <w:rtl/>
        </w:rPr>
        <w:t xml:space="preserve"> והתכלית).</w:t>
      </w:r>
    </w:p>
  </w:footnote>
  <w:footnote w:id="88">
    <w:p w14:paraId="07E04D53" w14:textId="3A99CBF1" w:rsidR="00194E80" w:rsidRDefault="00194E80">
      <w:pPr>
        <w:pStyle w:val="FootnoteText"/>
      </w:pPr>
      <w:r>
        <w:rPr>
          <w:rStyle w:val="FootnoteReference"/>
        </w:rPr>
        <w:footnoteRef/>
      </w:r>
      <w:r>
        <w:rPr>
          <w:rtl/>
        </w:rPr>
        <w:t xml:space="preserve"> </w:t>
      </w:r>
      <w:r w:rsidRPr="00194E80">
        <w:rPr>
          <w:rFonts w:cs="Times New Roman"/>
          <w:rtl/>
          <w:lang w:bidi="ar-SA"/>
        </w:rPr>
        <w:t xml:space="preserve"> </w:t>
      </w:r>
      <w:r w:rsidRPr="00194E80">
        <w:rPr>
          <w:rFonts w:cs="Times New Roman" w:hint="eastAsia"/>
          <w:rtl/>
          <w:lang w:bidi="ar-SA"/>
        </w:rPr>
        <w:t>القياس</w:t>
      </w:r>
      <w:r w:rsidRPr="008254C3">
        <w:rPr>
          <w:rtl/>
        </w:rPr>
        <w:t xml:space="preserve">. </w:t>
      </w:r>
      <w:r w:rsidR="004527C8" w:rsidRPr="008254C3">
        <w:rPr>
          <w:rtl/>
        </w:rPr>
        <w:t>מילה זו משמשת לסילוגיזם ולכל היקש וגזירה שכלית,</w:t>
      </w:r>
      <w:r w:rsidR="0022269B">
        <w:rPr>
          <w:rFonts w:hint="cs"/>
          <w:rtl/>
        </w:rPr>
        <w:t xml:space="preserve"> או משפטית (פסיקה פרטית שנגזרת בהיקש מכלל משפטי),</w:t>
      </w:r>
      <w:r w:rsidR="004527C8" w:rsidRPr="008254C3">
        <w:rPr>
          <w:rtl/>
        </w:rPr>
        <w:t xml:space="preserve"> וגם לקנה מידה</w:t>
      </w:r>
      <w:r w:rsidR="00A57C6A" w:rsidRPr="008254C3">
        <w:rPr>
          <w:rtl/>
        </w:rPr>
        <w:t xml:space="preserve"> להשוואה</w:t>
      </w:r>
      <w:r w:rsidR="004527C8" w:rsidRPr="008254C3">
        <w:rPr>
          <w:rtl/>
        </w:rPr>
        <w:t xml:space="preserve">. </w:t>
      </w:r>
      <w:r w:rsidR="00166838">
        <w:rPr>
          <w:rFonts w:hint="cs"/>
          <w:rtl/>
        </w:rPr>
        <w:t>אבן תיבון בתרגומו על המורה נבוכים</w:t>
      </w:r>
      <w:r w:rsidR="004F1775">
        <w:rPr>
          <w:rFonts w:hint="cs"/>
          <w:rtl/>
        </w:rPr>
        <w:t xml:space="preserve"> בשלושת המקומות שהיא מופיעה בו </w:t>
      </w:r>
      <w:r w:rsidR="00166838">
        <w:rPr>
          <w:rFonts w:hint="cs"/>
          <w:rtl/>
        </w:rPr>
        <w:t xml:space="preserve"> </w:t>
      </w:r>
      <w:r w:rsidR="00E92319">
        <w:rPr>
          <w:rFonts w:hint="cs"/>
          <w:rtl/>
        </w:rPr>
        <w:t>(א'</w:t>
      </w:r>
      <w:r w:rsidR="008803C1">
        <w:rPr>
          <w:rFonts w:hint="cs"/>
          <w:rtl/>
        </w:rPr>
        <w:t xml:space="preserve"> </w:t>
      </w:r>
      <w:r w:rsidR="00E92319">
        <w:rPr>
          <w:rFonts w:hint="cs"/>
          <w:rtl/>
        </w:rPr>
        <w:t>ה', ב'</w:t>
      </w:r>
      <w:r w:rsidR="008803C1">
        <w:rPr>
          <w:rFonts w:hint="cs"/>
          <w:rtl/>
        </w:rPr>
        <w:t xml:space="preserve"> </w:t>
      </w:r>
      <w:r w:rsidR="00E92319">
        <w:rPr>
          <w:rFonts w:hint="cs"/>
          <w:rtl/>
        </w:rPr>
        <w:t>י"ג, ג'</w:t>
      </w:r>
      <w:r w:rsidR="008803C1">
        <w:rPr>
          <w:rFonts w:hint="cs"/>
          <w:rtl/>
        </w:rPr>
        <w:t xml:space="preserve"> י"</w:t>
      </w:r>
      <w:r w:rsidR="00E92319">
        <w:rPr>
          <w:rFonts w:hint="cs"/>
          <w:rtl/>
        </w:rPr>
        <w:t>ט</w:t>
      </w:r>
      <w:r w:rsidR="008803C1">
        <w:rPr>
          <w:rFonts w:hint="cs"/>
          <w:rtl/>
        </w:rPr>
        <w:t xml:space="preserve">) </w:t>
      </w:r>
      <w:r w:rsidR="00166838">
        <w:rPr>
          <w:rFonts w:hint="cs"/>
          <w:rtl/>
        </w:rPr>
        <w:t xml:space="preserve">מתרגם אותה "היקש". </w:t>
      </w:r>
    </w:p>
  </w:footnote>
  <w:footnote w:id="89">
    <w:p w14:paraId="0270EB8C" w14:textId="78D8F398" w:rsidR="00783487" w:rsidRDefault="00783487">
      <w:pPr>
        <w:pStyle w:val="FootnoteText"/>
      </w:pPr>
      <w:r>
        <w:rPr>
          <w:rStyle w:val="FootnoteReference"/>
        </w:rPr>
        <w:footnoteRef/>
      </w:r>
      <w:r>
        <w:rPr>
          <w:rtl/>
        </w:rPr>
        <w:t xml:space="preserve"> </w:t>
      </w:r>
      <w:r>
        <w:rPr>
          <w:rFonts w:hint="cs"/>
          <w:rtl/>
        </w:rPr>
        <w:t>מאשר המסובבים.</w:t>
      </w:r>
    </w:p>
  </w:footnote>
  <w:footnote w:id="90">
    <w:p w14:paraId="3B2B3854" w14:textId="2843C565" w:rsidR="00C47C4B" w:rsidRDefault="00C47C4B">
      <w:pPr>
        <w:pStyle w:val="FootnoteText"/>
      </w:pPr>
      <w:r>
        <w:rPr>
          <w:rStyle w:val="FootnoteReference"/>
        </w:rPr>
        <w:footnoteRef/>
      </w:r>
      <w:r>
        <w:rPr>
          <w:rtl/>
        </w:rPr>
        <w:t xml:space="preserve"> </w:t>
      </w:r>
      <w:r w:rsidRPr="00C47C4B">
        <w:rPr>
          <w:rFonts w:ascii="Arial" w:hAnsi="Arial" w:cs="Arial" w:hint="cs"/>
          <w:rtl/>
          <w:lang w:bidi="ar-SA"/>
        </w:rPr>
        <w:t>بل</w:t>
      </w:r>
      <w:r w:rsidRPr="00C47C4B">
        <w:rPr>
          <w:rtl/>
          <w:lang w:bidi="ar-SA"/>
        </w:rPr>
        <w:t xml:space="preserve"> </w:t>
      </w:r>
      <w:r w:rsidRPr="00C47C4B">
        <w:rPr>
          <w:rFonts w:ascii="Arial" w:hAnsi="Arial" w:cs="Arial" w:hint="cs"/>
          <w:rtl/>
          <w:lang w:bidi="ar-SA"/>
        </w:rPr>
        <w:t>له</w:t>
      </w:r>
      <w:r w:rsidRPr="00C47C4B">
        <w:rPr>
          <w:rtl/>
          <w:lang w:bidi="ar-SA"/>
        </w:rPr>
        <w:t xml:space="preserve"> </w:t>
      </w:r>
      <w:r w:rsidRPr="00C47C4B">
        <w:rPr>
          <w:rFonts w:ascii="Arial" w:hAnsi="Arial" w:cs="Arial" w:hint="cs"/>
          <w:rtl/>
          <w:lang w:bidi="ar-SA"/>
        </w:rPr>
        <w:t>في</w:t>
      </w:r>
      <w:r w:rsidRPr="00C47C4B">
        <w:rPr>
          <w:rtl/>
          <w:lang w:bidi="ar-SA"/>
        </w:rPr>
        <w:t xml:space="preserve"> </w:t>
      </w:r>
      <w:r w:rsidRPr="00C47C4B">
        <w:rPr>
          <w:rFonts w:ascii="Arial" w:hAnsi="Arial" w:cs="Arial" w:hint="cs"/>
          <w:rtl/>
          <w:lang w:bidi="ar-SA"/>
        </w:rPr>
        <w:t>وجود</w:t>
      </w:r>
      <w:r w:rsidRPr="00C47C4B">
        <w:rPr>
          <w:rtl/>
          <w:lang w:bidi="ar-SA"/>
        </w:rPr>
        <w:t xml:space="preserve"> </w:t>
      </w:r>
      <w:r w:rsidRPr="00C47C4B">
        <w:rPr>
          <w:rFonts w:ascii="Arial" w:hAnsi="Arial" w:cs="Arial" w:hint="cs"/>
          <w:rtl/>
          <w:lang w:bidi="ar-SA"/>
        </w:rPr>
        <w:t>ذاته</w:t>
      </w:r>
      <w:r w:rsidRPr="00C47C4B">
        <w:rPr>
          <w:rtl/>
        </w:rPr>
        <w:t>. תרגמתי</w:t>
      </w:r>
      <w:r>
        <w:rPr>
          <w:rFonts w:hint="cs"/>
          <w:rtl/>
        </w:rPr>
        <w:t xml:space="preserve"> כאן</w:t>
      </w:r>
      <w:r w:rsidRPr="00C47C4B">
        <w:rPr>
          <w:rtl/>
        </w:rPr>
        <w:t xml:space="preserve"> לא כמו מקגיניס. </w:t>
      </w:r>
    </w:p>
  </w:footnote>
  <w:footnote w:id="91">
    <w:p w14:paraId="144BF8B7" w14:textId="1E7332F7" w:rsidR="00AF03B2" w:rsidRDefault="00AF03B2">
      <w:pPr>
        <w:pStyle w:val="FootnoteText"/>
      </w:pPr>
      <w:r>
        <w:rPr>
          <w:rStyle w:val="FootnoteReference"/>
        </w:rPr>
        <w:footnoteRef/>
      </w:r>
      <w:r>
        <w:rPr>
          <w:rtl/>
        </w:rPr>
        <w:t xml:space="preserve"> </w:t>
      </w:r>
      <w:r w:rsidR="001E4601">
        <w:rPr>
          <w:rFonts w:hint="cs"/>
          <w:rtl/>
        </w:rPr>
        <w:t>לא יתכן שתימצאנה בטבע סיבות שקיומן ופעולתן הוא לשם המסובב מהן ולא שקיומן ופעולתן הוא תכלית לעצמה והמסובב נולד ממילא. כי הסיבה נעלה על המסובב ותמיד הנעלה הוא תכלית יותר מאשר מה שנמוך ממנו. עיין בזה ב</w:t>
      </w:r>
      <w:hyperlink r:id="rId18" w:history="1">
        <w:r w:rsidR="001E4601" w:rsidRPr="00CA5EF0">
          <w:rPr>
            <w:rStyle w:val="Hyperlink"/>
            <w:rFonts w:hint="cs"/>
            <w:rtl/>
          </w:rPr>
          <w:t>רמיזות והערות</w:t>
        </w:r>
      </w:hyperlink>
      <w:r w:rsidR="001E4601">
        <w:rPr>
          <w:rFonts w:hint="cs"/>
          <w:rtl/>
        </w:rPr>
        <w:t xml:space="preserve"> </w:t>
      </w:r>
      <w:r w:rsidR="001F5F55">
        <w:rPr>
          <w:rFonts w:hint="cs"/>
          <w:rtl/>
        </w:rPr>
        <w:t xml:space="preserve">חלק </w:t>
      </w:r>
      <w:r w:rsidR="001E4601">
        <w:rPr>
          <w:rFonts w:hint="cs"/>
          <w:rtl/>
        </w:rPr>
        <w:t xml:space="preserve">ו' פרקים א'-ח'. </w:t>
      </w:r>
    </w:p>
  </w:footnote>
  <w:footnote w:id="92">
    <w:p w14:paraId="43808950" w14:textId="48D1EB85" w:rsidR="00656EE0" w:rsidRDefault="00656EE0">
      <w:pPr>
        <w:pStyle w:val="FootnoteText"/>
        <w:rPr>
          <w:rtl/>
        </w:rPr>
      </w:pPr>
      <w:r>
        <w:rPr>
          <w:rStyle w:val="FootnoteReference"/>
        </w:rPr>
        <w:footnoteRef/>
      </w:r>
      <w:r>
        <w:rPr>
          <w:rtl/>
        </w:rPr>
        <w:t xml:space="preserve"> </w:t>
      </w:r>
      <w:r>
        <w:rPr>
          <w:rFonts w:hint="cs"/>
          <w:rtl/>
        </w:rPr>
        <w:t>לשון אבן סינא</w:t>
      </w:r>
      <w:r w:rsidR="001E4601">
        <w:rPr>
          <w:rFonts w:hint="cs"/>
          <w:rtl/>
        </w:rPr>
        <w:t xml:space="preserve"> ב</w:t>
      </w:r>
      <w:bookmarkStart w:id="57" w:name="_Hlk74846021"/>
      <w:r w:rsidR="00CA5EF0">
        <w:rPr>
          <w:rtl/>
        </w:rPr>
        <w:fldChar w:fldCharType="begin"/>
      </w:r>
      <w:r w:rsidR="00CA5EF0">
        <w:rPr>
          <w:rtl/>
        </w:rPr>
        <w:instrText xml:space="preserve"> </w:instrText>
      </w:r>
      <w:r w:rsidR="00CA5EF0">
        <w:rPr>
          <w:rFonts w:hint="cs"/>
        </w:rPr>
        <w:instrText>HYPERLINK</w:instrText>
      </w:r>
      <w:r w:rsidR="00CA5EF0">
        <w:rPr>
          <w:rFonts w:hint="cs"/>
          <w:rtl/>
        </w:rPr>
        <w:instrText xml:space="preserve"> "</w:instrText>
      </w:r>
      <w:r w:rsidR="00CA5EF0">
        <w:rPr>
          <w:rFonts w:hint="cs"/>
        </w:rPr>
        <w:instrText>https://nirstern.wordpress.com/2021/01/15/%d7%99%d7%a6%d7%90-%d7%9c%d7%90%d7%95%d7%a8-%d7%a1%d7%a4%d7%a8%d7%99-%d7%a2%d7%9c-%d7%94%d7%a8%d7%9e%d7%99%d7%96%d7%95%d7%aa-%d7%95%d7%94%d7%94%d7%a2%d7%a8%d7%95%d7%aa-%d7%a9%d7%9c-%d7%90%d7%91</w:instrText>
      </w:r>
      <w:r w:rsidR="00CA5EF0">
        <w:rPr>
          <w:rFonts w:hint="cs"/>
          <w:rtl/>
        </w:rPr>
        <w:instrText>/"</w:instrText>
      </w:r>
      <w:r w:rsidR="00CA5EF0">
        <w:rPr>
          <w:rtl/>
        </w:rPr>
        <w:instrText xml:space="preserve"> </w:instrText>
      </w:r>
      <w:r w:rsidR="00CA5EF0">
        <w:rPr>
          <w:rtl/>
        </w:rPr>
      </w:r>
      <w:r w:rsidR="00CA5EF0">
        <w:rPr>
          <w:rtl/>
        </w:rPr>
        <w:fldChar w:fldCharType="separate"/>
      </w:r>
      <w:r w:rsidRPr="00CA5EF0">
        <w:rPr>
          <w:rStyle w:val="Hyperlink"/>
          <w:rFonts w:hint="cs"/>
          <w:rtl/>
        </w:rPr>
        <w:t>רמיזות והערות</w:t>
      </w:r>
      <w:r w:rsidR="00CA5EF0">
        <w:rPr>
          <w:rtl/>
        </w:rPr>
        <w:fldChar w:fldCharType="end"/>
      </w:r>
      <w:bookmarkEnd w:id="57"/>
      <w:r>
        <w:rPr>
          <w:rFonts w:hint="cs"/>
          <w:rtl/>
        </w:rPr>
        <w:t xml:space="preserve"> ו' ו':</w:t>
      </w:r>
    </w:p>
    <w:p w14:paraId="014ACEC3" w14:textId="3E0706C9" w:rsidR="00656EE0" w:rsidRDefault="00F055C8">
      <w:pPr>
        <w:pStyle w:val="FootnoteText"/>
        <w:rPr>
          <w:rtl/>
        </w:rPr>
      </w:pPr>
      <w:r>
        <w:rPr>
          <w:rtl/>
        </w:rPr>
        <w:t>"</w:t>
      </w:r>
      <w:r w:rsidR="00656EE0" w:rsidRPr="00656EE0">
        <w:rPr>
          <w:rtl/>
        </w:rPr>
        <w:t>הנעלה לא מבקש משהו למען מה שהוא תחתיו, כך שמה שתחתיו אינו תכלית עבור הנעלה. זה שהוא תכלית יכול להיות מובחן מהפכו מבחינת הבחירה. לפי הבוחר, זה שהוא תכלית הוא יותר יאה ויותר נצרך מאשר אם לא היה</w:t>
      </w:r>
      <w:r w:rsidR="008D1253">
        <w:rPr>
          <w:rFonts w:hint="cs"/>
          <w:rtl/>
        </w:rPr>
        <w:t xml:space="preserve"> [...].</w:t>
      </w:r>
      <w:r w:rsidR="00656EE0" w:rsidRPr="00656EE0">
        <w:rPr>
          <w:rtl/>
        </w:rPr>
        <w:t xml:space="preserve"> לכן הנדיב והמלך האמיתי אין להם תכלית, והנעלה אין לו את מה שתחתיו כתכלית.</w:t>
      </w:r>
      <w:r>
        <w:rPr>
          <w:rtl/>
        </w:rPr>
        <w:t>"</w:t>
      </w:r>
    </w:p>
    <w:p w14:paraId="5D386DE2" w14:textId="5A39EA6D" w:rsidR="008D1253" w:rsidRDefault="008D1253">
      <w:pPr>
        <w:pStyle w:val="FootnoteText"/>
        <w:rPr>
          <w:rtl/>
        </w:rPr>
      </w:pPr>
      <w:r>
        <w:rPr>
          <w:rFonts w:hint="cs"/>
          <w:rtl/>
        </w:rPr>
        <w:t xml:space="preserve">לעיל אבן סינא הגדיר 'טבע' כאופן מציאות שבו מה שנמצא, מה שמתגלה, מה שמכוון (כלומר מה שהתכוון בו הבורא), הוא האידיאה, הצורה, אבל לא כשהיא כשלעצמה בקיום מופשט, אלא באופן שהתגלותה והיותה מוגדרת כ'נמצאת' הוא על ידי שיש יחיד מוחשי כלשהו שנוטל בה חלק, שמציאותה נשענת על מציאותו, שהיא מתגלמת בו.  </w:t>
      </w:r>
    </w:p>
    <w:p w14:paraId="7AE32C1D" w14:textId="3F45795E" w:rsidR="00C45886" w:rsidRDefault="00C45886">
      <w:pPr>
        <w:pStyle w:val="FootnoteText"/>
        <w:rPr>
          <w:rtl/>
        </w:rPr>
      </w:pPr>
      <w:r>
        <w:rPr>
          <w:rFonts w:hint="cs"/>
          <w:rtl/>
        </w:rPr>
        <w:t xml:space="preserve">הצורה של אדם היא 'חי מדבר', קיומה בטבע נשען על כך שקיים אדם יחיד מוחשי כלשהו. </w:t>
      </w:r>
    </w:p>
    <w:p w14:paraId="674DD6E6" w14:textId="51AD0590" w:rsidR="005A2C9D" w:rsidRDefault="005A2C9D">
      <w:pPr>
        <w:pStyle w:val="FootnoteText"/>
        <w:rPr>
          <w:rtl/>
        </w:rPr>
      </w:pPr>
      <w:r>
        <w:rPr>
          <w:rFonts w:hint="cs"/>
          <w:rtl/>
        </w:rPr>
        <w:t>התחלות וסיבות</w:t>
      </w:r>
      <w:r>
        <w:rPr>
          <w:rtl/>
        </w:rPr>
        <w:fldChar w:fldCharType="begin"/>
      </w:r>
      <w:r>
        <w:instrText xml:space="preserve"> XE "</w:instrText>
      </w:r>
      <w:r w:rsidRPr="001953A7">
        <w:rPr>
          <w:rFonts w:hint="cs"/>
          <w:rtl/>
        </w:rPr>
        <w:instrText>התחלות וסיבות</w:instrText>
      </w:r>
      <w:r>
        <w:instrText xml:space="preserve">" </w:instrText>
      </w:r>
      <w:r>
        <w:rPr>
          <w:rtl/>
        </w:rPr>
        <w:fldChar w:fldCharType="end"/>
      </w:r>
    </w:p>
    <w:p w14:paraId="44E8C628" w14:textId="58877666" w:rsidR="00D90CB3" w:rsidRDefault="00C45886">
      <w:pPr>
        <w:pStyle w:val="FootnoteText"/>
        <w:rPr>
          <w:rtl/>
        </w:rPr>
      </w:pPr>
      <w:r>
        <w:rPr>
          <w:rFonts w:hint="cs"/>
          <w:rtl/>
        </w:rPr>
        <w:t>עיין לעיל סעיפים 4-6 שההתחלות מופשטות יותר מהצורות. 'חיים' כשלעצמם, כחיים, לפני שיש 'משהו' שהוא זה שחי, הם התחלה. וכן 'חכמה' כשלעצמה היא התחלה. ההתחלות נתפשות בשכל העיוני המופשט (עי' מורה נבוכים א' סוף פרק א', ובהלכות יסודי התורה ד' סוף הלכה ז', ושם הלכה ט'</w:t>
      </w:r>
      <w:r w:rsidR="002575F9">
        <w:rPr>
          <w:rFonts w:hint="cs"/>
          <w:rtl/>
        </w:rPr>
        <w:t xml:space="preserve">. הוא נקרא גם השכל בפועל. הוא נקרא </w:t>
      </w:r>
      <w:r w:rsidR="00F055C8">
        <w:rPr>
          <w:rtl/>
        </w:rPr>
        <w:t>"</w:t>
      </w:r>
      <w:r w:rsidR="00AF03CE">
        <w:rPr>
          <w:rFonts w:hint="cs"/>
          <w:rtl/>
        </w:rPr>
        <w:t>עיוני</w:t>
      </w:r>
      <w:r w:rsidR="00F055C8">
        <w:rPr>
          <w:rtl/>
        </w:rPr>
        <w:t>"</w:t>
      </w:r>
      <w:r w:rsidR="00AF03CE">
        <w:rPr>
          <w:rFonts w:hint="cs"/>
          <w:rtl/>
        </w:rPr>
        <w:t xml:space="preserve"> כי הוא רואה את היש המופשט באופן ישיר ובלתי אמצעי כמו שהעין רואה את שלפניה, ואינו נצרך להפשיט את הצורה מהעצם הגשמי על ידי ניתוח</w:t>
      </w:r>
      <w:r>
        <w:rPr>
          <w:rFonts w:hint="cs"/>
          <w:rtl/>
        </w:rPr>
        <w:t xml:space="preserve">). </w:t>
      </w:r>
      <w:r w:rsidR="00D90CB3">
        <w:rPr>
          <w:rFonts w:hint="cs"/>
          <w:rtl/>
        </w:rPr>
        <w:t>ה</w:t>
      </w:r>
      <w:r w:rsidR="00AF03CE">
        <w:rPr>
          <w:rFonts w:hint="cs"/>
          <w:rtl/>
        </w:rPr>
        <w:t>התחלות</w:t>
      </w:r>
      <w:r w:rsidR="00D90CB3">
        <w:rPr>
          <w:rFonts w:hint="cs"/>
          <w:rtl/>
        </w:rPr>
        <w:t xml:space="preserve"> קיימות מכח עצמן, אינן צריכות להישען על קיומו של יחיד מוחשי, אדרבא, קיומן חזק יותר מקיומו של היחיד המוחשי (עי' באגרת תחיית המתים לרמב</w:t>
      </w:r>
      <w:r w:rsidR="00F055C8">
        <w:rPr>
          <w:rtl/>
        </w:rPr>
        <w:t>"</w:t>
      </w:r>
      <w:r w:rsidR="00D90CB3">
        <w:rPr>
          <w:rFonts w:hint="cs"/>
          <w:rtl/>
        </w:rPr>
        <w:t>ם). זו ההשגה שהיא מעל הטבע, של מעשה מרכבה, או המטאפיזיקה שנקראה על ידי אריסטו התיאולוגיה, כלומר העסק במופשט המוחלט שאינו נשען על המוחשי, שזה האלוה.</w:t>
      </w:r>
      <w:r w:rsidR="00AF03CE">
        <w:rPr>
          <w:rFonts w:hint="cs"/>
          <w:rtl/>
        </w:rPr>
        <w:t xml:space="preserve"> מההשגה נובעת מציאות, וזו המציאות של העולם השמיימי. </w:t>
      </w:r>
    </w:p>
    <w:p w14:paraId="11881894" w14:textId="2665634D" w:rsidR="00C45886" w:rsidRDefault="00D90CB3" w:rsidP="00AF03CE">
      <w:pPr>
        <w:pStyle w:val="FootnoteText"/>
        <w:rPr>
          <w:rtl/>
        </w:rPr>
      </w:pPr>
      <w:r>
        <w:rPr>
          <w:rFonts w:hint="cs"/>
          <w:rtl/>
        </w:rPr>
        <w:t xml:space="preserve">השכל הטבעי (הנקרא גם השכל הדברי, הכח המדבר, </w:t>
      </w:r>
      <w:r w:rsidR="002575F9">
        <w:rPr>
          <w:rFonts w:hint="cs"/>
          <w:rtl/>
        </w:rPr>
        <w:t>השכל בכח, השכל השימושי. עיין במורה נבוכים א' ע</w:t>
      </w:r>
      <w:r w:rsidR="00F055C8">
        <w:rPr>
          <w:rtl/>
        </w:rPr>
        <w:t>"</w:t>
      </w:r>
      <w:r w:rsidR="002575F9">
        <w:rPr>
          <w:rFonts w:hint="cs"/>
          <w:rtl/>
        </w:rPr>
        <w:t>ב)</w:t>
      </w:r>
      <w:r>
        <w:rPr>
          <w:rFonts w:hint="cs"/>
          <w:rtl/>
        </w:rPr>
        <w:t xml:space="preserve"> </w:t>
      </w:r>
      <w:r w:rsidR="002575F9">
        <w:rPr>
          <w:rFonts w:hint="cs"/>
          <w:rtl/>
        </w:rPr>
        <w:t>אינו יכול לתפוש מציאות מופשטת לגמרי. הוא נכלל בחלק הנפש הנקרא הנפש המדמה (עיין שמונה פרקים לרמב</w:t>
      </w:r>
      <w:r w:rsidR="00F055C8">
        <w:rPr>
          <w:rtl/>
        </w:rPr>
        <w:t>"</w:t>
      </w:r>
      <w:r w:rsidR="002575F9">
        <w:rPr>
          <w:rFonts w:hint="cs"/>
          <w:rtl/>
        </w:rPr>
        <w:t xml:space="preserve">ם פרק א'), הכח המדמה או כח הדמיון, ולא בחלק הנפש העליון הנקרא הנפש המשכלת, שהיא השכל העיוני. </w:t>
      </w:r>
      <w:r w:rsidR="00AF03CE">
        <w:rPr>
          <w:rFonts w:hint="cs"/>
          <w:rtl/>
        </w:rPr>
        <w:t xml:space="preserve">מתפישתו של הכח המדבר נובעת המציאות של העולם הארצי הגשמי, הוא הטבע, שהוא העצמים ההילומורפיים, כלומר שאצלם להיות 'נמצא' מוגדר כלהיות חומר וצורה ביחד. </w:t>
      </w:r>
    </w:p>
    <w:p w14:paraId="6F776A20" w14:textId="77777777" w:rsidR="003E07C5" w:rsidRDefault="00E215ED" w:rsidP="00AF03CE">
      <w:pPr>
        <w:pStyle w:val="FootnoteText"/>
        <w:rPr>
          <w:rtl/>
        </w:rPr>
      </w:pPr>
      <w:r>
        <w:rPr>
          <w:rFonts w:hint="cs"/>
          <w:rtl/>
        </w:rPr>
        <w:t xml:space="preserve">אצל השכל הטבעי ההתחלות נתפשות כצורות. ההתחלה 'חיים' כשהיא נתפשת בשכל העיוני, עניינה החיים כשלעצמם בתפישה מופשטת, ללא שייכות כלל למציאות של 'משהו' שהוא חי. בשכל הטבעי החיים נתפשים כצורה, כלומר כישות מופשטת שמציאותה נשענת על כך שיש יחיד מוחשי כלשהו שהוא חי, דהיינו שבחומר שלו מתגלה הצורה חיים. </w:t>
      </w:r>
      <w:r w:rsidR="003E07C5">
        <w:rPr>
          <w:rFonts w:hint="cs"/>
          <w:rtl/>
        </w:rPr>
        <w:t>לולא היה שום יחיד מוחשי חי, הצורה 'חיים' לא הייתה נחשבת נמצאת. מציאותה לא תלויה ביחיד מוחשי מסוים, אם ימות אותו יחיד מוחשי היא תתקיים על ידי שיש יחיד מוחשי חי אחר. לא ייתכן שלא יתקיים שום יחיד מוחשי חי, כי כוונת הבורא בעולם היא לגלות את הצורה באופן שיש יחיד מוחשי שהיא מתגלמת בו, וכוונת הבורא בהכרח מתקיימת לנצח.</w:t>
      </w:r>
    </w:p>
    <w:p w14:paraId="297DF0A9" w14:textId="3978D913" w:rsidR="00D667BE" w:rsidRDefault="003E07C5" w:rsidP="00AF03CE">
      <w:pPr>
        <w:pStyle w:val="FootnoteText"/>
        <w:rPr>
          <w:rtl/>
        </w:rPr>
      </w:pPr>
      <w:r>
        <w:rPr>
          <w:rFonts w:hint="cs"/>
          <w:rtl/>
        </w:rPr>
        <w:t xml:space="preserve">יש מקומות שאבן סינא אומר שרק ההתחלה המופשטת נקראת צורה, והצורה שמתגלמת בחומר לא נקראת צורה. </w:t>
      </w:r>
      <w:r w:rsidR="00CF2659">
        <w:rPr>
          <w:rFonts w:hint="cs"/>
          <w:rtl/>
        </w:rPr>
        <w:t xml:space="preserve">מה שאנו קוראים לו צורה, דהיינו אחת מארבעת הסיבות של העצם הגשמי, נקרא אצל אבן סינא 'הטבע המשותף' אם הוא מתייחס ליחידים המוחשיים הרי הצורה היא המשותף, וכגון שצורת 'סוס' היא המשותף לכל הסוסים היחידים. היא לפעמים נקראת הטבע המסוים אם מדובר ביחס להתחלה. </w:t>
      </w:r>
      <w:r w:rsidR="006E3287">
        <w:rPr>
          <w:rFonts w:hint="cs"/>
          <w:rtl/>
        </w:rPr>
        <w:t>אם ההתחלה היא חיים כשלעצמם בתפישה מופשטת מיחידים כלשהם ומחומר כלשהו, אז כשאומרים 'חי' ביחס לסוס זה נקרא טבע מסוים. לפעמים זה נקרא 'מין' או 'סוג'. הסוסיות כצורה היא המין של הסוסים היחידים. אני משתמש במילה 'צורה' גם במובן של מין, או טבע של הדבר, כי כך משתמשים בה אריסטו והרמב</w:t>
      </w:r>
      <w:r w:rsidR="00F055C8">
        <w:rPr>
          <w:rtl/>
        </w:rPr>
        <w:t>"</w:t>
      </w:r>
      <w:r w:rsidR="006E3287">
        <w:rPr>
          <w:rFonts w:hint="cs"/>
          <w:rtl/>
        </w:rPr>
        <w:t>ם</w:t>
      </w:r>
      <w:r w:rsidR="005320EA">
        <w:rPr>
          <w:rFonts w:hint="cs"/>
          <w:rtl/>
        </w:rPr>
        <w:t xml:space="preserve"> וכל הוא הרגל הלשון</w:t>
      </w:r>
      <w:r w:rsidR="006E3287">
        <w:rPr>
          <w:rFonts w:hint="cs"/>
          <w:rtl/>
        </w:rPr>
        <w:t xml:space="preserve"> (במורה נבוכים א' א' הוא קורא לצורה במובן של הגדרת המין </w:t>
      </w:r>
      <w:r w:rsidR="00F055C8">
        <w:rPr>
          <w:rtl/>
        </w:rPr>
        <w:t>"</w:t>
      </w:r>
      <w:r w:rsidR="006E3287">
        <w:rPr>
          <w:rFonts w:hint="cs"/>
          <w:rtl/>
        </w:rPr>
        <w:t>הצורה הטבעית</w:t>
      </w:r>
      <w:r w:rsidR="00F055C8">
        <w:rPr>
          <w:rtl/>
        </w:rPr>
        <w:t>"</w:t>
      </w:r>
      <w:r w:rsidR="006E3287">
        <w:rPr>
          <w:rFonts w:hint="cs"/>
          <w:rtl/>
        </w:rPr>
        <w:t xml:space="preserve">, כדי להבחין בינה ובין הצורה המופשטת שהיא ההתחלה, והיא צורה אבל לא </w:t>
      </w:r>
      <w:r w:rsidR="00F055C8">
        <w:rPr>
          <w:rtl/>
        </w:rPr>
        <w:t>"</w:t>
      </w:r>
      <w:r w:rsidR="006E3287">
        <w:rPr>
          <w:rFonts w:hint="cs"/>
          <w:rtl/>
        </w:rPr>
        <w:t>טבעית</w:t>
      </w:r>
      <w:r w:rsidR="00F055C8">
        <w:rPr>
          <w:rtl/>
        </w:rPr>
        <w:t>"</w:t>
      </w:r>
      <w:r w:rsidR="006E3287">
        <w:rPr>
          <w:rFonts w:hint="cs"/>
          <w:rtl/>
        </w:rPr>
        <w:t>).</w:t>
      </w:r>
    </w:p>
    <w:p w14:paraId="580647A4" w14:textId="77777777" w:rsidR="001C542B" w:rsidRDefault="00D667BE" w:rsidP="00AF03CE">
      <w:pPr>
        <w:pStyle w:val="FootnoteText"/>
        <w:rPr>
          <w:rtl/>
        </w:rPr>
      </w:pPr>
      <w:r>
        <w:rPr>
          <w:rFonts w:hint="cs"/>
          <w:rtl/>
        </w:rPr>
        <w:t xml:space="preserve">ההתחלה (למשל 'חיים' כשלעצמם) פחות נודעת מצד הטבע מאשר העצם שהוא הצורה כשהיא מתגלמת בחומר של יחיד מוחשי כלשהו, ואז נקראת הטבע המסויים. אבל הצורה שמתגלמת בחומר נודעת מצד הטבע יותר מאשר העצם המוחשי שהוא חומר וצורה כאחד. כי החומר, העצם המוחשי, מהותו מצד הטבע, המכוון בו מצד הטבע, הוא רק לשמש כלי (או 'מצע') להתגלות הצורה ואין </w:t>
      </w:r>
      <w:r w:rsidR="001C542B">
        <w:rPr>
          <w:rFonts w:hint="cs"/>
          <w:rtl/>
        </w:rPr>
        <w:t>ב</w:t>
      </w:r>
      <w:r>
        <w:rPr>
          <w:rFonts w:hint="cs"/>
          <w:rtl/>
        </w:rPr>
        <w:t xml:space="preserve">ו </w:t>
      </w:r>
      <w:r w:rsidR="001C542B">
        <w:rPr>
          <w:rFonts w:hint="cs"/>
          <w:rtl/>
        </w:rPr>
        <w:t>כוונה</w:t>
      </w:r>
      <w:r>
        <w:rPr>
          <w:rFonts w:hint="cs"/>
          <w:rtl/>
        </w:rPr>
        <w:t xml:space="preserve"> מצד עצמו</w:t>
      </w:r>
      <w:r w:rsidR="001C542B">
        <w:rPr>
          <w:rFonts w:hint="cs"/>
          <w:rtl/>
        </w:rPr>
        <w:t>. חומר בפני עצמו לא נחשב כקיים מצד הטבע, כמבואר בטימיאוס, בהתחלות הנמצאות מאת אלפראבי ועוד</w:t>
      </w:r>
      <w:r>
        <w:rPr>
          <w:rFonts w:hint="cs"/>
          <w:rtl/>
        </w:rPr>
        <w:t>.</w:t>
      </w:r>
    </w:p>
    <w:p w14:paraId="324C468B" w14:textId="0AFB043D" w:rsidR="001C542B" w:rsidRDefault="001C542B" w:rsidP="00AF03CE">
      <w:pPr>
        <w:pStyle w:val="FootnoteText"/>
        <w:rPr>
          <w:rtl/>
        </w:rPr>
      </w:pPr>
      <w:r>
        <w:rPr>
          <w:rFonts w:hint="cs"/>
          <w:rtl/>
        </w:rPr>
        <w:t xml:space="preserve">עד כאן דיברנו בסיבות של מהות העצם שהן חומר וצורה, ואבן סינא דיבר בזה לעיל. </w:t>
      </w:r>
    </w:p>
    <w:p w14:paraId="534C184C" w14:textId="03633592" w:rsidR="009C4C89" w:rsidRDefault="001C542B" w:rsidP="00AF03CE">
      <w:pPr>
        <w:pStyle w:val="FootnoteText"/>
        <w:rPr>
          <w:rtl/>
        </w:rPr>
      </w:pPr>
      <w:r>
        <w:rPr>
          <w:rFonts w:hint="cs"/>
          <w:rtl/>
        </w:rPr>
        <w:t xml:space="preserve">כאן </w:t>
      </w:r>
      <w:r w:rsidR="003F5877">
        <w:rPr>
          <w:rFonts w:hint="cs"/>
          <w:rtl/>
        </w:rPr>
        <w:t>אנו מדברים על הסיבות למציאותו של העצם</w:t>
      </w:r>
      <w:r w:rsidR="009C4C89" w:rsidRPr="009C4C89">
        <w:rPr>
          <w:rtl/>
        </w:rPr>
        <w:t>, הן הַפּוֹעֵל והתכלית</w:t>
      </w:r>
      <w:r w:rsidR="003F5877">
        <w:rPr>
          <w:rFonts w:hint="cs"/>
          <w:rtl/>
        </w:rPr>
        <w:t xml:space="preserve"> (המהות של עצם לא כוללת את היותו נמצא, לו הייתה כוללת לא היה צריך לומר שהבורא הוא סיבה למציאותו</w:t>
      </w:r>
      <w:r w:rsidR="009C4C89">
        <w:rPr>
          <w:rFonts w:hint="cs"/>
          <w:rtl/>
        </w:rPr>
        <w:t xml:space="preserve"> של העצם</w:t>
      </w:r>
      <w:r w:rsidR="003F5877">
        <w:rPr>
          <w:rFonts w:hint="cs"/>
          <w:rtl/>
        </w:rPr>
        <w:t xml:space="preserve">. רק הבורא הוא נמצא מצד עצמו ולכן אינו צריך לבורא שיברא אותו. ועיין  מורה נבוכים א' תחילת </w:t>
      </w:r>
      <w:bookmarkStart w:id="58" w:name="_Hlk74834268"/>
      <w:r w:rsidR="003F5877">
        <w:rPr>
          <w:rFonts w:hint="cs"/>
          <w:rtl/>
        </w:rPr>
        <w:t>פ</w:t>
      </w:r>
      <w:bookmarkEnd w:id="58"/>
      <w:r w:rsidR="003F5877">
        <w:rPr>
          <w:rFonts w:hint="cs"/>
          <w:rtl/>
        </w:rPr>
        <w:t>רק נ</w:t>
      </w:r>
      <w:r w:rsidR="00F055C8">
        <w:rPr>
          <w:rtl/>
        </w:rPr>
        <w:t>"</w:t>
      </w:r>
      <w:r w:rsidR="003F5877">
        <w:rPr>
          <w:rFonts w:hint="cs"/>
          <w:rtl/>
        </w:rPr>
        <w:t>ז</w:t>
      </w:r>
      <w:r w:rsidR="0086689D">
        <w:rPr>
          <w:rtl/>
        </w:rPr>
        <w:fldChar w:fldCharType="begin"/>
      </w:r>
      <w:r w:rsidR="0086689D">
        <w:instrText xml:space="preserve"> XE "</w:instrText>
      </w:r>
      <w:r w:rsidR="0086689D" w:rsidRPr="00F12BF4">
        <w:rPr>
          <w:rFonts w:hint="cs"/>
          <w:rtl/>
        </w:rPr>
        <w:instrText>מורה נבוכים א' נ</w:instrText>
      </w:r>
      <w:r w:rsidR="0086689D">
        <w:rPr>
          <w:b/>
          <w:bCs/>
          <w:sz w:val="20"/>
          <w:szCs w:val="20"/>
        </w:rPr>
        <w:instrText>\</w:instrText>
      </w:r>
      <w:r w:rsidR="0086689D" w:rsidRPr="00F12BF4">
        <w:rPr>
          <w:rFonts w:hint="cs"/>
          <w:rtl/>
        </w:rPr>
        <w:instrText>"ז</w:instrText>
      </w:r>
      <w:r w:rsidR="0086689D">
        <w:instrText xml:space="preserve">" </w:instrText>
      </w:r>
      <w:r w:rsidR="0086689D">
        <w:rPr>
          <w:rtl/>
        </w:rPr>
        <w:fldChar w:fldCharType="end"/>
      </w:r>
      <w:r w:rsidR="003F5877">
        <w:rPr>
          <w:rFonts w:hint="cs"/>
          <w:rtl/>
        </w:rPr>
        <w:t xml:space="preserve">). </w:t>
      </w:r>
    </w:p>
    <w:p w14:paraId="07A0560B" w14:textId="77777777" w:rsidR="009C4C89" w:rsidRDefault="009C4C89" w:rsidP="00AF03CE">
      <w:pPr>
        <w:pStyle w:val="FootnoteText"/>
        <w:rPr>
          <w:rtl/>
        </w:rPr>
      </w:pPr>
      <w:r>
        <w:rPr>
          <w:rFonts w:hint="cs"/>
          <w:rtl/>
        </w:rPr>
        <w:t>החידוש כאן הוא שהמכוון בטבע הוא גם התגלות הסיבות של פועל ותכלית, המציאות שלהן (ולא רק של הצורה), והעצם החומרי, דהיינו היחיד המוחשי, הוא רק כלי להתגלות של הסיבות האלה.</w:t>
      </w:r>
    </w:p>
    <w:p w14:paraId="79FB8E18" w14:textId="77777777" w:rsidR="00F807DE" w:rsidRDefault="009C4C89" w:rsidP="006B4F12">
      <w:pPr>
        <w:pStyle w:val="FootnoteText"/>
        <w:rPr>
          <w:rtl/>
        </w:rPr>
      </w:pPr>
      <w:r>
        <w:rPr>
          <w:rFonts w:hint="cs"/>
          <w:rtl/>
        </w:rPr>
        <w:t xml:space="preserve">הצורה היא היופי, החיים, </w:t>
      </w:r>
      <w:r w:rsidR="006B4F12">
        <w:rPr>
          <w:rFonts w:hint="cs"/>
          <w:rtl/>
        </w:rPr>
        <w:t xml:space="preserve">הסדר, </w:t>
      </w:r>
      <w:r>
        <w:rPr>
          <w:rFonts w:hint="cs"/>
          <w:rtl/>
        </w:rPr>
        <w:t xml:space="preserve">החכמה האלוהית </w:t>
      </w:r>
      <w:r w:rsidR="006B4F12">
        <w:rPr>
          <w:rFonts w:hint="cs"/>
          <w:rtl/>
        </w:rPr>
        <w:t xml:space="preserve">שאין לה ערך ולא קץ </w:t>
      </w:r>
    </w:p>
    <w:p w14:paraId="1618D5EF" w14:textId="0A018263" w:rsidR="00522514" w:rsidRDefault="006B4F12" w:rsidP="006B4F12">
      <w:pPr>
        <w:pStyle w:val="FootnoteText"/>
        <w:rPr>
          <w:rtl/>
        </w:rPr>
      </w:pPr>
      <w:r>
        <w:rPr>
          <w:rFonts w:hint="cs"/>
          <w:rtl/>
        </w:rPr>
        <w:t>(</w:t>
      </w:r>
      <w:r w:rsidR="009C4C89">
        <w:rPr>
          <w:rFonts w:hint="cs"/>
          <w:rtl/>
        </w:rPr>
        <w:t xml:space="preserve">שעליה כתב </w:t>
      </w:r>
      <w:bookmarkStart w:id="59" w:name="_Hlk97209307"/>
      <w:r w:rsidR="009C4C89">
        <w:rPr>
          <w:rFonts w:hint="cs"/>
          <w:rtl/>
        </w:rPr>
        <w:t>הרמב</w:t>
      </w:r>
      <w:r w:rsidR="00F055C8">
        <w:rPr>
          <w:rtl/>
        </w:rPr>
        <w:t>"</w:t>
      </w:r>
      <w:r w:rsidR="009C4C89">
        <w:rPr>
          <w:rFonts w:hint="cs"/>
          <w:rtl/>
        </w:rPr>
        <w:t>ם בהלכות יסודי התורה ב' ב'</w:t>
      </w:r>
      <w:bookmarkStart w:id="60" w:name="_Hlk97456139"/>
      <w:r w:rsidR="00505F68">
        <w:rPr>
          <w:rtl/>
        </w:rPr>
        <w:fldChar w:fldCharType="begin"/>
      </w:r>
      <w:r w:rsidR="00505F68">
        <w:instrText xml:space="preserve"> XE "</w:instrText>
      </w:r>
      <w:r w:rsidR="00505F68" w:rsidRPr="00291F69">
        <w:rPr>
          <w:rFonts w:hint="cs"/>
          <w:rtl/>
        </w:rPr>
        <w:instrText>הרמב</w:instrText>
      </w:r>
      <w:r w:rsidR="00505F68">
        <w:rPr>
          <w:b/>
          <w:bCs/>
          <w:sz w:val="20"/>
          <w:szCs w:val="20"/>
        </w:rPr>
        <w:instrText>\</w:instrText>
      </w:r>
      <w:r w:rsidR="00505F68" w:rsidRPr="00291F69">
        <w:rPr>
          <w:rFonts w:hint="cs"/>
          <w:rtl/>
        </w:rPr>
        <w:instrText xml:space="preserve">"ם בהלכות יסודי התורה ב' ב': </w:instrText>
      </w:r>
      <w:r w:rsidR="00505F68">
        <w:rPr>
          <w:b/>
          <w:bCs/>
          <w:sz w:val="20"/>
          <w:szCs w:val="20"/>
        </w:rPr>
        <w:instrText>\</w:instrText>
      </w:r>
      <w:r w:rsidR="00505F68" w:rsidRPr="00291F69">
        <w:rPr>
          <w:rFonts w:hint="cs"/>
          <w:rtl/>
        </w:rPr>
        <w:instrText>"</w:instrText>
      </w:r>
      <w:r w:rsidR="00505F68" w:rsidRPr="00291F69">
        <w:rPr>
          <w:rtl/>
        </w:rPr>
        <w:instrText>וְהֵיאַךְ הִיא הַדֶּרֶךְ</w:instrText>
      </w:r>
      <w:r w:rsidR="00505F68">
        <w:instrText xml:space="preserve">" </w:instrText>
      </w:r>
      <w:r w:rsidR="00505F68">
        <w:rPr>
          <w:rtl/>
        </w:rPr>
        <w:fldChar w:fldCharType="end"/>
      </w:r>
      <w:bookmarkEnd w:id="60"/>
      <w:r>
        <w:rPr>
          <w:rFonts w:hint="cs"/>
          <w:rtl/>
        </w:rPr>
        <w:t>:</w:t>
      </w:r>
    </w:p>
    <w:p w14:paraId="18844090" w14:textId="031BBB04" w:rsidR="006B4F12" w:rsidRDefault="00F055C8" w:rsidP="006B4F12">
      <w:pPr>
        <w:pStyle w:val="FootnoteText"/>
        <w:rPr>
          <w:rtl/>
        </w:rPr>
      </w:pPr>
      <w:r>
        <w:rPr>
          <w:rtl/>
        </w:rPr>
        <w:t>"</w:t>
      </w:r>
      <w:r w:rsidR="006B4F12">
        <w:rPr>
          <w:rtl/>
        </w:rPr>
        <w:t>וְהֵיאַךְ הִיא הַדֶּרֶךְ</w:t>
      </w:r>
      <w:bookmarkEnd w:id="59"/>
      <w:r w:rsidR="006B4F12">
        <w:rPr>
          <w:rtl/>
        </w:rPr>
        <w:t xml:space="preserve">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sidR="006B4F12">
        <w:rPr>
          <w:rFonts w:hint="cs"/>
          <w:rtl/>
        </w:rPr>
        <w:t xml:space="preserve"> [...]</w:t>
      </w:r>
      <w:r w:rsidR="006B4F12">
        <w:rPr>
          <w:rtl/>
        </w:rPr>
        <w:t>.</w:t>
      </w:r>
    </w:p>
    <w:p w14:paraId="1B488F4C" w14:textId="77777777" w:rsidR="006B4F12" w:rsidRDefault="006B4F12" w:rsidP="006B4F12">
      <w:pPr>
        <w:pStyle w:val="FootnoteText"/>
        <w:rPr>
          <w:rtl/>
        </w:rPr>
      </w:pPr>
      <w:r>
        <w:rPr>
          <w:rtl/>
        </w:rPr>
        <w:t>וּכְשֶׁמְּחַשֵּׁב בַּדְּבָרִים הָאֵלּוּ עַצְמָן, מִיָּד הוּא נִרְתָּע לַאֲחוֹרָיו, וְיִירָא וְיִפְחַד, וְיֵדַע שֶׁהוּא בְּרִיָּה קְטַנָּה שְׁפָלָה אֲפֵלָה, עוֹמֶדֶת בְּדַעַת קַלָּה מְעוּטָה לִפְנֵי תְּמִים דֵּעוֹת</w:t>
      </w:r>
      <w:r>
        <w:rPr>
          <w:rFonts w:hint="cs"/>
          <w:rtl/>
        </w:rPr>
        <w:t xml:space="preserve">). התכלית היא מציאות הצורה, התגלותה. </w:t>
      </w:r>
    </w:p>
    <w:p w14:paraId="7A52CBBE" w14:textId="0E0868AC" w:rsidR="00A4462B" w:rsidRDefault="006B4F12" w:rsidP="006B4F12">
      <w:pPr>
        <w:pStyle w:val="FootnoteText"/>
        <w:rPr>
          <w:rtl/>
        </w:rPr>
      </w:pPr>
      <w:r>
        <w:rPr>
          <w:rFonts w:hint="cs"/>
          <w:rtl/>
        </w:rPr>
        <w:t xml:space="preserve">כאן מתחדש שהתכלית היא התגלות הצורה באופן שיש לה סיבה פועלת ותכלית, </w:t>
      </w:r>
      <w:r w:rsidR="00CD4D59">
        <w:rPr>
          <w:rFonts w:hint="cs"/>
          <w:rtl/>
        </w:rPr>
        <w:t xml:space="preserve">לידע </w:t>
      </w:r>
      <w:r>
        <w:rPr>
          <w:rFonts w:hint="cs"/>
          <w:rtl/>
        </w:rPr>
        <w:t>שהיא באה מהבורא</w:t>
      </w:r>
      <w:r w:rsidR="00CD4D59">
        <w:rPr>
          <w:rFonts w:hint="cs"/>
          <w:rtl/>
        </w:rPr>
        <w:t xml:space="preserve"> (שהוא המופשט שמעל הצורות)</w:t>
      </w:r>
      <w:r>
        <w:rPr>
          <w:rFonts w:hint="cs"/>
          <w:rtl/>
        </w:rPr>
        <w:t xml:space="preserve"> שהוא הפועל והתכלית,  ו</w:t>
      </w:r>
      <w:r w:rsidR="00CD4D59">
        <w:rPr>
          <w:rFonts w:hint="cs"/>
          <w:rtl/>
        </w:rPr>
        <w:t>לא</w:t>
      </w:r>
      <w:r>
        <w:rPr>
          <w:rFonts w:hint="cs"/>
          <w:rtl/>
        </w:rPr>
        <w:t xml:space="preserve"> קיימת כשלעצמה. </w:t>
      </w:r>
      <w:r w:rsidR="00CD4D59">
        <w:rPr>
          <w:rFonts w:hint="cs"/>
          <w:rtl/>
        </w:rPr>
        <w:t xml:space="preserve">וכמו שכתב בהלכות יסודי התורה א' א': </w:t>
      </w:r>
      <w:r w:rsidR="00F055C8">
        <w:rPr>
          <w:rtl/>
        </w:rPr>
        <w:t>"</w:t>
      </w:r>
      <w:r w:rsidR="00CD4D59" w:rsidRPr="00CD4D59">
        <w:rPr>
          <w:rtl/>
        </w:rPr>
        <w:t>יְסוֹד הַיְּסוֹדוֹת וְעַמּוּד הַחָכְמוֹת לֵידַע שֶׁיֵּשׁ שָׁם מָצוּי רִאשׁוֹן, וְהוּא מַמְצִיא כָּל הַנִּמְצָא, וְכָל הַנִּמְצָאִין מִן שָׁמַיִם וָאָרֶץ וּמַה שֶּׁבֵּינֵיהֶן לֹא נִמְצְאוּ אֶלָּא מֵאֲמִתַּת הִמָּצְאוֹ</w:t>
      </w:r>
      <w:r w:rsidR="00F055C8">
        <w:rPr>
          <w:rtl/>
        </w:rPr>
        <w:t>"</w:t>
      </w:r>
      <w:r w:rsidR="00CD4D59">
        <w:rPr>
          <w:rFonts w:hint="cs"/>
          <w:rtl/>
        </w:rPr>
        <w:t xml:space="preserve">. הוא מצוי ראשון, הכרחי המציאות, כי הוא מופשט לחלוטין ואין בו מורכבות כלל ולא מוגבלות כלל ולכן אינו צורה, כי אין צורה בלי גבול שמצייר אותה (אפשר שיהיה גם גבול מופשט וכגון הגדרה שכלית). והוא ממציא כל נמצא, 'נמצא' הוא בלשון נפעל, מקבל מציאות, ואלו הן הצורות הנבראות. כלומר הטבע מגלה לא רק את הצורות אלא גם שהן נמצאות מכח מצוי ראשון, שהוא הפועל והתכלית שמכוחן הצורה נמצאת. ובמדרגת 'טבע' גם </w:t>
      </w:r>
      <w:r w:rsidR="00597AE7" w:rsidRPr="00597AE7">
        <w:rPr>
          <w:rtl/>
        </w:rPr>
        <w:t>הַפּוֹעֵל</w:t>
      </w:r>
      <w:r w:rsidR="00CD4D59">
        <w:rPr>
          <w:rFonts w:hint="cs"/>
          <w:rtl/>
        </w:rPr>
        <w:t xml:space="preserve"> והתכלית מתגלים על ידי שהם מתגלמים בעצם גשמי כלשהו (ובאותו אופן שבו הצורה מתגלה). </w:t>
      </w:r>
    </w:p>
    <w:p w14:paraId="598512E1" w14:textId="2F08FD16" w:rsidR="00A4462B" w:rsidRDefault="00A4462B" w:rsidP="006B4F12">
      <w:pPr>
        <w:pStyle w:val="FootnoteText"/>
        <w:rPr>
          <w:rtl/>
        </w:rPr>
      </w:pPr>
      <w:r>
        <w:rPr>
          <w:rFonts w:hint="cs"/>
          <w:rtl/>
        </w:rPr>
        <w:t xml:space="preserve">כמו שהצורה הטבעית, המין, נודעת מצד הטבע יותר מאשר היחיד המוחשי, כי היחיד הוא רק אמצעי למציאות והתגלות הצורה הטבעית, ואינו המכוון על ידי הטבע, כך גם הסיבה הפועלת והתכליתית. לכן הסיבות האלה נודעות מצד הטבע יותר מאשר היחיד המוחשי. </w:t>
      </w:r>
    </w:p>
    <w:p w14:paraId="0117CFDA" w14:textId="24838132" w:rsidR="00E215ED" w:rsidRDefault="00721D45" w:rsidP="00283B5B">
      <w:pPr>
        <w:pStyle w:val="FootnoteText"/>
      </w:pPr>
      <w:r>
        <w:rPr>
          <w:rFonts w:hint="cs"/>
          <w:rtl/>
        </w:rPr>
        <w:t>בסוף הסעיף כאן מבהיר אבן סינא את כוונתו ואומר ש</w:t>
      </w:r>
      <w:r w:rsidR="00A4462B">
        <w:rPr>
          <w:rFonts w:hint="cs"/>
          <w:rtl/>
        </w:rPr>
        <w:t>אם הייתה סיבה שהיא רק לצורך מה שנפעל ממנה, כלומר המכוון בטבע לא היה לגלות את הסיבה הזו אלא רק לגלות את מה שנפעל ממנה, אז היא הייתה פחות נודעת מצד הטבע כי היא לא מה שמכוון אליו מצד הטבע</w:t>
      </w:r>
      <w:r>
        <w:rPr>
          <w:rFonts w:hint="cs"/>
          <w:rtl/>
        </w:rPr>
        <w:t>, אבל באמת לא תיתכן סיבה כזו, כי סיבה היא גבוהה יותר מהמסובב מצד סדר ההוויה, ולכן היא נעלה יותר ולכן בהכרח היא התכלית יותר ממה שמעלתו נמוכה</w:t>
      </w:r>
      <w:r w:rsidR="00A4462B">
        <w:rPr>
          <w:rFonts w:hint="cs"/>
          <w:rtl/>
        </w:rPr>
        <w:t>.</w:t>
      </w:r>
    </w:p>
  </w:footnote>
  <w:footnote w:id="93">
    <w:p w14:paraId="3F2EA34F" w14:textId="0282C983" w:rsidR="00283B5B" w:rsidRDefault="00283B5B">
      <w:pPr>
        <w:pStyle w:val="FootnoteText"/>
        <w:rPr>
          <w:rtl/>
        </w:rPr>
      </w:pPr>
      <w:r>
        <w:rPr>
          <w:rStyle w:val="FootnoteReference"/>
        </w:rPr>
        <w:footnoteRef/>
      </w:r>
      <w:r>
        <w:rPr>
          <w:rtl/>
        </w:rPr>
        <w:t xml:space="preserve"> </w:t>
      </w:r>
      <w:r>
        <w:rPr>
          <w:rFonts w:hint="cs"/>
          <w:rtl/>
        </w:rPr>
        <w:t>החומר והצורה.</w:t>
      </w:r>
      <w:r w:rsidR="000A5635">
        <w:rPr>
          <w:rFonts w:hint="cs"/>
          <w:rtl/>
        </w:rPr>
        <w:t xml:space="preserve"> העצם החומרי הוא אחדות גמורה של חומר וצורה, לכן הוא השלם כי הוא אחד, והחומר והצורה מצד עצמם הם שני דברים, לכן הם החלקים. וכמו שכתב הרמב</w:t>
      </w:r>
      <w:r w:rsidR="00F055C8">
        <w:rPr>
          <w:rtl/>
        </w:rPr>
        <w:t>"</w:t>
      </w:r>
      <w:r w:rsidR="000A5635">
        <w:rPr>
          <w:rFonts w:hint="cs"/>
          <w:rtl/>
        </w:rPr>
        <w:t>ם בהלכות יסודי התורה ד' ז':</w:t>
      </w:r>
    </w:p>
    <w:p w14:paraId="7C19E409" w14:textId="42473B6B" w:rsidR="00725157" w:rsidRDefault="00F055C8">
      <w:pPr>
        <w:pStyle w:val="FootnoteText"/>
        <w:rPr>
          <w:rtl/>
        </w:rPr>
      </w:pPr>
      <w:r>
        <w:rPr>
          <w:rtl/>
        </w:rPr>
        <w:t>"</w:t>
      </w:r>
      <w:r w:rsidR="000A5635" w:rsidRPr="000A5635">
        <w:rPr>
          <w:rtl/>
        </w:rPr>
        <w:t>לְעוֹלָם אֵין אַתָּה רוֹאֶה גֹּלֶם בְּלֹא צוּרָה אוֹ צוּרָה בְּלֹא גֹּלֶם</w:t>
      </w:r>
      <w:r w:rsidR="000A5635">
        <w:rPr>
          <w:rFonts w:hint="cs"/>
          <w:rtl/>
        </w:rPr>
        <w:t xml:space="preserve"> [זו ראיית החוש שאצלה הכל אחד גמור ולכן לה השלם נודע יותר]</w:t>
      </w:r>
      <w:r w:rsidR="000A5635" w:rsidRPr="000A5635">
        <w:rPr>
          <w:rtl/>
        </w:rPr>
        <w:t>, אֶלָּא לֵב הָאָדָם הוּא שֶׁמְּחַלֵּק הַגּוּף הַנִּמְצָא בְּדַעְתּוֹ, וְיוֹדֵעַ שֶׁהוּא מְחֻבָּר מִגֹּלֶם וְצוּרָה</w:t>
      </w:r>
      <w:r w:rsidR="000A5635">
        <w:rPr>
          <w:rFonts w:hint="cs"/>
          <w:rtl/>
        </w:rPr>
        <w:t xml:space="preserve"> [אלה החלקים </w:t>
      </w:r>
      <w:r w:rsidR="000A5635">
        <w:rPr>
          <w:rFonts w:hint="cs"/>
          <w:rtl/>
        </w:rPr>
        <w:t>שהכח המדבר מנתח והם נודעים לחוש רק אחרי השלם ובאופן פחות בהיר ממנו]</w:t>
      </w:r>
      <w:r w:rsidR="00725157">
        <w:rPr>
          <w:rFonts w:hint="cs"/>
          <w:rtl/>
        </w:rPr>
        <w:t>...</w:t>
      </w:r>
    </w:p>
    <w:p w14:paraId="50695BDA" w14:textId="617B1E23" w:rsidR="000A5635" w:rsidRDefault="00725157">
      <w:pPr>
        <w:pStyle w:val="FootnoteText"/>
      </w:pPr>
      <w:r w:rsidRPr="00725157">
        <w:rPr>
          <w:rtl/>
        </w:rPr>
        <w:t>וְהַצּוּרוֹת שֶׁאֵין לָהֶן גֹּלֶם אֵינָן נִרְאִין לָעַיִן, אֶלָּא בְּעֵין הַלֵּב הֵן יְדוּעִין, כְּמוֹ שֶׁיָּדַעְנוּ אֲדוֹן הַכֹּל בְּלֹא רְאִיַּת עַיִן</w:t>
      </w:r>
      <w:r>
        <w:rPr>
          <w:rFonts w:hint="cs"/>
          <w:rtl/>
        </w:rPr>
        <w:t xml:space="preserve"> [כאן מדבר על השכל העיוני שחוזר לתפישה של השלם, כמו החוש, תפישה פשוטה בלתי אמצעית ללא ניתוח, רק שכאן השלם הוא מופשט]</w:t>
      </w:r>
      <w:r w:rsidRPr="00725157">
        <w:rPr>
          <w:rtl/>
        </w:rPr>
        <w:t>.</w:t>
      </w:r>
      <w:r w:rsidR="00F055C8">
        <w:rPr>
          <w:rtl/>
        </w:rPr>
        <w:t>"</w:t>
      </w:r>
    </w:p>
  </w:footnote>
  <w:footnote w:id="94">
    <w:p w14:paraId="6EB4075B" w14:textId="5CBE1799" w:rsidR="00485F98" w:rsidRDefault="00F67A09" w:rsidP="00485F98">
      <w:pPr>
        <w:pStyle w:val="FootnoteText"/>
      </w:pPr>
      <w:r>
        <w:rPr>
          <w:rStyle w:val="FootnoteReference"/>
        </w:rPr>
        <w:footnoteRef/>
      </w:r>
      <w:r>
        <w:rPr>
          <w:rtl/>
        </w:rPr>
        <w:t xml:space="preserve"> </w:t>
      </w:r>
      <w:r>
        <w:rPr>
          <w:rFonts w:hint="cs"/>
          <w:rtl/>
        </w:rPr>
        <w:t xml:space="preserve">אצל החוש השלם הוא היחיד המוחשי, אותו הוא משיג תחילה ואחריו את החלקים </w:t>
      </w:r>
      <w:r w:rsidR="00C15399">
        <w:rPr>
          <w:rFonts w:hint="cs"/>
          <w:rtl/>
        </w:rPr>
        <w:t>ש</w:t>
      </w:r>
      <w:r>
        <w:rPr>
          <w:rFonts w:hint="cs"/>
          <w:rtl/>
        </w:rPr>
        <w:t>הם החומר והצורה</w:t>
      </w:r>
      <w:r w:rsidR="00C15399">
        <w:rPr>
          <w:rFonts w:hint="cs"/>
          <w:rtl/>
        </w:rPr>
        <w:t>. אצל החוש החומר והצורה נחשבים חלקים כי הוא לא תופש אותם כשהם כל אחד בפני עצמו</w:t>
      </w:r>
      <w:r w:rsidR="00485F98">
        <w:rPr>
          <w:rFonts w:hint="cs"/>
          <w:rtl/>
        </w:rPr>
        <w:t xml:space="preserve"> </w:t>
      </w:r>
      <w:r w:rsidR="00C15399">
        <w:rPr>
          <w:rFonts w:hint="cs"/>
          <w:rtl/>
        </w:rPr>
        <w:t>כיש פשוט, אלא רק כמרכיבים של היחיד המוחשי</w:t>
      </w:r>
      <w:r>
        <w:rPr>
          <w:rFonts w:hint="cs"/>
          <w:rtl/>
        </w:rPr>
        <w:t xml:space="preserve">. </w:t>
      </w:r>
      <w:r w:rsidR="00C15399">
        <w:rPr>
          <w:rFonts w:hint="cs"/>
          <w:rtl/>
        </w:rPr>
        <w:t xml:space="preserve">השכל משיג קודם את הצורה המופשטת בפני עצמה </w:t>
      </w:r>
      <w:r w:rsidR="00485F98">
        <w:rPr>
          <w:rFonts w:hint="cs"/>
          <w:rtl/>
        </w:rPr>
        <w:t xml:space="preserve">כיש פשוט, </w:t>
      </w:r>
      <w:r w:rsidR="00C15399">
        <w:rPr>
          <w:rFonts w:hint="cs"/>
          <w:rtl/>
        </w:rPr>
        <w:t xml:space="preserve">ואת </w:t>
      </w:r>
      <w:r w:rsidR="00485F98">
        <w:rPr>
          <w:rFonts w:hint="cs"/>
          <w:rtl/>
        </w:rPr>
        <w:t xml:space="preserve">החומר בפני עצמו כיש פשוט (החומר פירושו </w:t>
      </w:r>
      <w:r w:rsidR="00C15399">
        <w:rPr>
          <w:rFonts w:hint="cs"/>
          <w:rtl/>
        </w:rPr>
        <w:t>הידיעה שיש אפשרות ש</w:t>
      </w:r>
      <w:r w:rsidR="00485F98">
        <w:rPr>
          <w:rFonts w:hint="cs"/>
          <w:rtl/>
        </w:rPr>
        <w:t>צורה</w:t>
      </w:r>
      <w:r w:rsidR="00C15399">
        <w:rPr>
          <w:rFonts w:hint="cs"/>
          <w:rtl/>
        </w:rPr>
        <w:t xml:space="preserve"> תצטייר בחומר</w:t>
      </w:r>
      <w:r w:rsidR="00485F98">
        <w:rPr>
          <w:rFonts w:hint="cs"/>
          <w:rtl/>
        </w:rPr>
        <w:t>,</w:t>
      </w:r>
      <w:r w:rsidR="00C15399">
        <w:rPr>
          <w:rFonts w:hint="cs"/>
          <w:rtl/>
        </w:rPr>
        <w:t xml:space="preserve"> כ</w:t>
      </w:r>
      <w:r w:rsidR="00485F98">
        <w:rPr>
          <w:rFonts w:hint="cs"/>
          <w:rtl/>
        </w:rPr>
        <w:t>י לתפוש את החומר בלי צורה הוא עניין קשה</w:t>
      </w:r>
      <w:r w:rsidR="00086FF4">
        <w:rPr>
          <w:rFonts w:hint="cs"/>
          <w:rtl/>
        </w:rPr>
        <w:t xml:space="preserve"> כמו שהאריך לבאר </w:t>
      </w:r>
      <w:r w:rsidR="00086FF4">
        <w:rPr>
          <w:rFonts w:hint="cs"/>
          <w:rtl/>
        </w:rPr>
        <w:t>בטימיאוס מאת אפלטון עמודים 49-52</w:t>
      </w:r>
      <w:r w:rsidR="00E14219">
        <w:rPr>
          <w:rFonts w:hint="cs"/>
          <w:rtl/>
        </w:rPr>
        <w:t xml:space="preserve"> (עמ' 557 במהד' ליבס)</w:t>
      </w:r>
      <w:r w:rsidR="00485F98">
        <w:rPr>
          <w:rFonts w:hint="cs"/>
          <w:rtl/>
        </w:rPr>
        <w:t xml:space="preserve">. לענייננו </w:t>
      </w:r>
      <w:r w:rsidR="00264276">
        <w:rPr>
          <w:rFonts w:hint="cs"/>
          <w:rtl/>
        </w:rPr>
        <w:t>די בכך שנאמר שהשכל תופש את החומר בפני עצמו ואין צורך להיכנס כאן לשאלה שיש בזה)</w:t>
      </w:r>
      <w:r w:rsidR="00C15399">
        <w:rPr>
          <w:rFonts w:hint="cs"/>
          <w:rtl/>
        </w:rPr>
        <w:t xml:space="preserve">, ורק אחר כך הוא משיג את היחיד המוחשי. </w:t>
      </w:r>
      <w:r w:rsidR="00485F98">
        <w:rPr>
          <w:rFonts w:hint="cs"/>
          <w:rtl/>
        </w:rPr>
        <w:t>לכן אצל השכל היחיד המוחשי אינו השלם אלא הוא הרכבה של חלקים שכל אחד מהם בפני עצמו (הצורה והחומר) פשוט, כלומר שלם.</w:t>
      </w:r>
    </w:p>
  </w:footnote>
  <w:footnote w:id="95">
    <w:p w14:paraId="38C17EF4" w14:textId="0CE508EA" w:rsidR="008E3B1A" w:rsidRDefault="008E3B1A">
      <w:pPr>
        <w:pStyle w:val="FootnoteText"/>
      </w:pPr>
      <w:r>
        <w:rPr>
          <w:rStyle w:val="FootnoteReference"/>
        </w:rPr>
        <w:footnoteRef/>
      </w:r>
      <w:r>
        <w:rPr>
          <w:rtl/>
        </w:rPr>
        <w:t xml:space="preserve"> </w:t>
      </w:r>
      <w:r>
        <w:rPr>
          <w:rFonts w:hint="cs"/>
          <w:rtl/>
        </w:rPr>
        <w:t>עיין מורה נבוכים א' מ</w:t>
      </w:r>
      <w:r w:rsidR="00F055C8">
        <w:rPr>
          <w:rtl/>
        </w:rPr>
        <w:t>"</w:t>
      </w:r>
      <w:r>
        <w:rPr>
          <w:rFonts w:hint="cs"/>
          <w:rtl/>
        </w:rPr>
        <w:t>ו</w:t>
      </w:r>
      <w:r w:rsidR="006932E6">
        <w:rPr>
          <w:rFonts w:hint="cs"/>
          <w:rtl/>
        </w:rPr>
        <w:t xml:space="preserve"> בתחילת הפרק ושם א' ל</w:t>
      </w:r>
      <w:r w:rsidR="00F055C8">
        <w:rPr>
          <w:rtl/>
        </w:rPr>
        <w:t>"</w:t>
      </w:r>
      <w:r w:rsidR="006932E6">
        <w:rPr>
          <w:rFonts w:hint="cs"/>
          <w:rtl/>
        </w:rPr>
        <w:t>ג</w:t>
      </w:r>
      <w:r>
        <w:rPr>
          <w:rFonts w:hint="cs"/>
          <w:rtl/>
        </w:rPr>
        <w:t xml:space="preserve">. </w:t>
      </w:r>
    </w:p>
  </w:footnote>
  <w:footnote w:id="96">
    <w:p w14:paraId="282CA562" w14:textId="117745E5" w:rsidR="00933FC4" w:rsidRDefault="00933FC4">
      <w:pPr>
        <w:pStyle w:val="FootnoteText"/>
        <w:rPr>
          <w:rtl/>
        </w:rPr>
      </w:pPr>
      <w:r>
        <w:rPr>
          <w:rStyle w:val="FootnoteReference"/>
        </w:rPr>
        <w:footnoteRef/>
      </w:r>
      <w:r>
        <w:rPr>
          <w:rtl/>
        </w:rPr>
        <w:t xml:space="preserve"> </w:t>
      </w:r>
      <w:r>
        <w:rPr>
          <w:rFonts w:hint="cs"/>
          <w:rtl/>
        </w:rPr>
        <w:t xml:space="preserve">באופן כזה הם המכוון, שיתגלו דרך מצע החומר, בכך שיחיד מוחשי נוטל בהם חלק, ולא כשלעצמם כישויות מופשטות. </w:t>
      </w:r>
    </w:p>
    <w:p w14:paraId="27C113DF" w14:textId="21ED3CB8" w:rsidR="006E6B4F" w:rsidRDefault="006E6B4F">
      <w:pPr>
        <w:pStyle w:val="FootnoteText"/>
      </w:pPr>
      <w:r>
        <w:rPr>
          <w:rFonts w:hint="cs"/>
          <w:rtl/>
        </w:rPr>
        <w:t>הדברים שבסעיף הזה כבר נאמרו לעיל</w:t>
      </w:r>
      <w:r w:rsidR="002F54EE">
        <w:rPr>
          <w:rFonts w:hint="cs"/>
          <w:rtl/>
        </w:rPr>
        <w:t xml:space="preserve"> בסעיף 6</w:t>
      </w:r>
      <w:r>
        <w:rPr>
          <w:rFonts w:hint="cs"/>
          <w:rtl/>
        </w:rPr>
        <w:t>, וצריך להבין למה חזר עליהם כאן. אולי כוונתו כאן ש</w:t>
      </w:r>
      <w:r w:rsidR="002F54EE">
        <w:rPr>
          <w:rFonts w:hint="cs"/>
          <w:rtl/>
        </w:rPr>
        <w:t>הנה בסעיף הקודם התחדש שגם</w:t>
      </w:r>
      <w:r>
        <w:rPr>
          <w:rFonts w:hint="cs"/>
          <w:rtl/>
        </w:rPr>
        <w:t xml:space="preserve"> הפועל והתכלית נחשבים </w:t>
      </w:r>
      <w:r w:rsidR="00A33289">
        <w:rPr>
          <w:rFonts w:hint="cs"/>
          <w:rtl/>
        </w:rPr>
        <w:t>מ</w:t>
      </w:r>
      <w:r>
        <w:rPr>
          <w:rFonts w:hint="cs"/>
          <w:rtl/>
        </w:rPr>
        <w:t>חלקי היחיד המוחשי</w:t>
      </w:r>
      <w:r w:rsidR="00A33289">
        <w:rPr>
          <w:rFonts w:hint="cs"/>
          <w:rtl/>
        </w:rPr>
        <w:t xml:space="preserve"> (ולא רק החומר והצורה כמו שנאמר בדרך כלל)</w:t>
      </w:r>
      <w:r>
        <w:rPr>
          <w:rFonts w:hint="cs"/>
          <w:rtl/>
        </w:rPr>
        <w:t>, כי מונח ביחיד המוחשי מצד עצמותו לא רק גילוי המין שלו (צורתו), אלא גם הגילוי שיש לו פועל שהוא סיבת מציאותו (</w:t>
      </w:r>
      <w:r w:rsidR="00FF3BEC" w:rsidRPr="00FF3BEC">
        <w:rPr>
          <w:rtl/>
        </w:rPr>
        <w:t>הַפּוֹעֵל</w:t>
      </w:r>
      <w:r w:rsidR="00FF3BEC">
        <w:rPr>
          <w:rFonts w:hint="cs"/>
          <w:rtl/>
        </w:rPr>
        <w:t xml:space="preserve"> </w:t>
      </w:r>
      <w:r>
        <w:rPr>
          <w:rFonts w:hint="cs"/>
          <w:rtl/>
        </w:rPr>
        <w:t>הקרוב הוא אביו והרחוק הוא הבורא</w:t>
      </w:r>
      <w:r w:rsidR="009A2A1D">
        <w:rPr>
          <w:rFonts w:hint="cs"/>
          <w:rtl/>
        </w:rPr>
        <w:t>)</w:t>
      </w:r>
      <w:r>
        <w:rPr>
          <w:rFonts w:hint="cs"/>
          <w:rtl/>
        </w:rPr>
        <w:t xml:space="preserve"> ו</w:t>
      </w:r>
      <w:r w:rsidR="00A33289">
        <w:rPr>
          <w:rFonts w:hint="cs"/>
          <w:rtl/>
        </w:rPr>
        <w:t>ש</w:t>
      </w:r>
      <w:r w:rsidR="009A2A1D">
        <w:rPr>
          <w:rFonts w:hint="cs"/>
          <w:rtl/>
        </w:rPr>
        <w:t xml:space="preserve">יש </w:t>
      </w:r>
      <w:r>
        <w:rPr>
          <w:rFonts w:hint="cs"/>
          <w:rtl/>
        </w:rPr>
        <w:t>תכלית למציאותו</w:t>
      </w:r>
      <w:r w:rsidR="009A2A1D">
        <w:rPr>
          <w:rFonts w:hint="cs"/>
          <w:rtl/>
        </w:rPr>
        <w:t>. הטבע הוא הגילוי בחומר לא רק של מהויות הדברים אלא גם של סיב</w:t>
      </w:r>
      <w:r w:rsidR="00A33289">
        <w:rPr>
          <w:rFonts w:hint="cs"/>
          <w:rtl/>
        </w:rPr>
        <w:t>ו</w:t>
      </w:r>
      <w:r w:rsidR="009A2A1D">
        <w:rPr>
          <w:rFonts w:hint="cs"/>
          <w:rtl/>
        </w:rPr>
        <w:t>ת המציאות</w:t>
      </w:r>
      <w:r w:rsidR="00A33289">
        <w:rPr>
          <w:rFonts w:hint="cs"/>
          <w:rtl/>
        </w:rPr>
        <w:t>,</w:t>
      </w:r>
      <w:r w:rsidR="009A2A1D">
        <w:rPr>
          <w:rFonts w:hint="cs"/>
          <w:rtl/>
        </w:rPr>
        <w:t xml:space="preserve"> </w:t>
      </w:r>
      <w:r w:rsidR="00A33289">
        <w:rPr>
          <w:rFonts w:hint="cs"/>
          <w:rtl/>
        </w:rPr>
        <w:t>הפועל ו</w:t>
      </w:r>
      <w:r w:rsidR="009A2A1D">
        <w:rPr>
          <w:rFonts w:hint="cs"/>
          <w:rtl/>
        </w:rPr>
        <w:t xml:space="preserve">התכלית של כל יחיד כיחיד (הסיבה הקרובה והתכלית הקרובה. אביו הוא הסיבה הקרובה למציאותו והתכלית הקרובה שיהיה לאביו נכד), וכן מכלל היחידים, </w:t>
      </w:r>
      <w:r w:rsidR="00A33289">
        <w:rPr>
          <w:rFonts w:hint="cs"/>
          <w:rtl/>
        </w:rPr>
        <w:t>מ</w:t>
      </w:r>
      <w:r w:rsidR="009A2A1D">
        <w:rPr>
          <w:rFonts w:hint="cs"/>
          <w:rtl/>
        </w:rPr>
        <w:t xml:space="preserve">הטבע ככללות, </w:t>
      </w:r>
      <w:r w:rsidR="00A33289">
        <w:rPr>
          <w:rFonts w:hint="cs"/>
          <w:rtl/>
        </w:rPr>
        <w:t xml:space="preserve">מתגלה </w:t>
      </w:r>
      <w:r w:rsidR="009A2A1D">
        <w:rPr>
          <w:rFonts w:hint="cs"/>
          <w:rtl/>
        </w:rPr>
        <w:t>שהעולם כולו נברא על ידי בוראו לרצון בוראו שזה הפועל הרחוק והתכלית הרחוקה</w:t>
      </w:r>
      <w:r w:rsidR="002F54EE">
        <w:rPr>
          <w:rFonts w:hint="cs"/>
          <w:rtl/>
        </w:rPr>
        <w:t>;</w:t>
      </w:r>
      <w:r w:rsidR="00A33289">
        <w:rPr>
          <w:rFonts w:hint="cs"/>
          <w:rtl/>
        </w:rPr>
        <w:t xml:space="preserve"> וכל זה הוא מחלקי היחיד המוחשי. </w:t>
      </w:r>
      <w:r>
        <w:rPr>
          <w:rFonts w:hint="cs"/>
          <w:rtl/>
        </w:rPr>
        <w:t>ו</w:t>
      </w:r>
      <w:r w:rsidR="002F54EE">
        <w:rPr>
          <w:rFonts w:hint="cs"/>
          <w:rtl/>
        </w:rPr>
        <w:t xml:space="preserve">אחרי שזה התחדש </w:t>
      </w:r>
      <w:r>
        <w:rPr>
          <w:rFonts w:hint="cs"/>
          <w:rtl/>
        </w:rPr>
        <w:t xml:space="preserve">צריך לחזור על הדברים </w:t>
      </w:r>
      <w:r w:rsidR="00A33289">
        <w:rPr>
          <w:rFonts w:hint="cs"/>
          <w:rtl/>
        </w:rPr>
        <w:t>שאמר לעיל</w:t>
      </w:r>
      <w:r w:rsidR="00C3191A">
        <w:rPr>
          <w:rFonts w:hint="cs"/>
          <w:rtl/>
        </w:rPr>
        <w:t xml:space="preserve"> </w:t>
      </w:r>
      <w:r w:rsidR="002F54EE">
        <w:rPr>
          <w:rFonts w:hint="cs"/>
          <w:rtl/>
        </w:rPr>
        <w:t xml:space="preserve">בסעיף 6 </w:t>
      </w:r>
      <w:r w:rsidR="00A33289">
        <w:rPr>
          <w:rFonts w:hint="cs"/>
          <w:rtl/>
        </w:rPr>
        <w:t>על חומר וצורה</w:t>
      </w:r>
      <w:r w:rsidR="002F54EE">
        <w:rPr>
          <w:rFonts w:hint="cs"/>
          <w:rtl/>
        </w:rPr>
        <w:t xml:space="preserve"> מה</w:t>
      </w:r>
      <w:r w:rsidR="00F10EE7">
        <w:rPr>
          <w:rFonts w:hint="cs"/>
          <w:rtl/>
        </w:rPr>
        <w:t xml:space="preserve"> מהם</w:t>
      </w:r>
      <w:r w:rsidR="002F54EE">
        <w:rPr>
          <w:rFonts w:hint="cs"/>
          <w:rtl/>
        </w:rPr>
        <w:t xml:space="preserve"> נודע יותר </w:t>
      </w:r>
      <w:r w:rsidR="00F10EE7">
        <w:rPr>
          <w:rFonts w:hint="cs"/>
          <w:rtl/>
        </w:rPr>
        <w:t>מצד הטבע</w:t>
      </w:r>
      <w:r w:rsidR="002F54EE">
        <w:rPr>
          <w:rFonts w:hint="cs"/>
          <w:rtl/>
        </w:rPr>
        <w:t xml:space="preserve">, </w:t>
      </w:r>
      <w:r w:rsidR="00A33289">
        <w:rPr>
          <w:rFonts w:hint="cs"/>
          <w:rtl/>
        </w:rPr>
        <w:t>שייאמרו גם על הסיבה והתכלית</w:t>
      </w:r>
      <w:r>
        <w:rPr>
          <w:rFonts w:hint="cs"/>
          <w:rtl/>
        </w:rPr>
        <w:t>.</w:t>
      </w:r>
    </w:p>
  </w:footnote>
  <w:footnote w:id="97">
    <w:p w14:paraId="202BD86B" w14:textId="184821D3" w:rsidR="001F73A1" w:rsidRDefault="001F73A1">
      <w:pPr>
        <w:pStyle w:val="FootnoteText"/>
      </w:pPr>
      <w:r>
        <w:rPr>
          <w:rStyle w:val="FootnoteReference"/>
        </w:rPr>
        <w:footnoteRef/>
      </w:r>
      <w:r>
        <w:rPr>
          <w:rtl/>
        </w:rPr>
        <w:t xml:space="preserve"> </w:t>
      </w:r>
      <w:r>
        <w:rPr>
          <w:rFonts w:hint="cs"/>
          <w:rtl/>
        </w:rPr>
        <w:t xml:space="preserve">ההתחלות והמינים. </w:t>
      </w:r>
    </w:p>
  </w:footnote>
  <w:footnote w:id="98">
    <w:p w14:paraId="7DEEFB50" w14:textId="015CBD10" w:rsidR="001F73A1" w:rsidRDefault="001F73A1">
      <w:pPr>
        <w:pStyle w:val="FootnoteText"/>
      </w:pPr>
      <w:r>
        <w:rPr>
          <w:rStyle w:val="FootnoteReference"/>
        </w:rPr>
        <w:footnoteRef/>
      </w:r>
      <w:r>
        <w:rPr>
          <w:rtl/>
        </w:rPr>
        <w:t xml:space="preserve"> </w:t>
      </w:r>
      <w:r>
        <w:rPr>
          <w:rFonts w:hint="cs"/>
          <w:rtl/>
        </w:rPr>
        <w:t xml:space="preserve">המין והיחיד המוחשי. </w:t>
      </w:r>
    </w:p>
  </w:footnote>
  <w:footnote w:id="99">
    <w:p w14:paraId="3B32F095" w14:textId="43173450" w:rsidR="001F73A1" w:rsidRDefault="001F73A1">
      <w:pPr>
        <w:pStyle w:val="FootnoteText"/>
      </w:pPr>
      <w:r>
        <w:rPr>
          <w:rStyle w:val="FootnoteReference"/>
        </w:rPr>
        <w:footnoteRef/>
      </w:r>
      <w:r>
        <w:rPr>
          <w:rtl/>
        </w:rPr>
        <w:t xml:space="preserve"> </w:t>
      </w:r>
      <w:r>
        <w:rPr>
          <w:rFonts w:hint="cs"/>
          <w:rtl/>
        </w:rPr>
        <w:t>ההתחלה.</w:t>
      </w:r>
    </w:p>
  </w:footnote>
  <w:footnote w:id="100">
    <w:p w14:paraId="3E5B7773" w14:textId="1378B7C1" w:rsidR="001F73A1" w:rsidRDefault="001F73A1">
      <w:pPr>
        <w:pStyle w:val="FootnoteText"/>
      </w:pPr>
      <w:r>
        <w:rPr>
          <w:rStyle w:val="FootnoteReference"/>
        </w:rPr>
        <w:footnoteRef/>
      </w:r>
      <w:r>
        <w:rPr>
          <w:rtl/>
        </w:rPr>
        <w:t xml:space="preserve"> </w:t>
      </w:r>
      <w:r w:rsidRPr="001F73A1">
        <w:rPr>
          <w:rtl/>
        </w:rPr>
        <w:t>המין כצורה מופשטת ללא מצע חומר.</w:t>
      </w:r>
      <w:r>
        <w:rPr>
          <w:rFonts w:hint="cs"/>
          <w:rtl/>
        </w:rPr>
        <w:t xml:space="preserve"> עיין בזה לעיל סעי</w:t>
      </w:r>
      <w:r w:rsidR="0053716A">
        <w:rPr>
          <w:rFonts w:hint="cs"/>
          <w:rtl/>
        </w:rPr>
        <w:t>פים</w:t>
      </w:r>
      <w:r>
        <w:rPr>
          <w:rFonts w:hint="cs"/>
          <w:rtl/>
        </w:rPr>
        <w:t xml:space="preserve"> </w:t>
      </w:r>
      <w:r w:rsidR="0053716A">
        <w:rPr>
          <w:rFonts w:hint="cs"/>
          <w:rtl/>
        </w:rPr>
        <w:t>3-6</w:t>
      </w:r>
      <w:r>
        <w:rPr>
          <w:rFonts w:hint="cs"/>
          <w:rtl/>
        </w:rPr>
        <w:t xml:space="preserve">. </w:t>
      </w:r>
    </w:p>
  </w:footnote>
  <w:footnote w:id="101">
    <w:p w14:paraId="1173D8F9" w14:textId="7D3F96E4" w:rsidR="00E45188" w:rsidRDefault="00E45188">
      <w:pPr>
        <w:pStyle w:val="FootnoteText"/>
      </w:pPr>
      <w:r>
        <w:rPr>
          <w:rStyle w:val="FootnoteReference"/>
        </w:rPr>
        <w:footnoteRef/>
      </w:r>
      <w:r>
        <w:rPr>
          <w:rtl/>
        </w:rPr>
        <w:t xml:space="preserve"> </w:t>
      </w:r>
      <w:r w:rsidR="00D82E69">
        <w:rPr>
          <w:rFonts w:hint="cs"/>
          <w:rtl/>
        </w:rPr>
        <w:t xml:space="preserve">הטבע פירושו שהצורה, כלומר המין, מתגלה דרך יחיד מוחשי כלשהו, שבו הצורה מתגלה במצע של חומר. התכלית היא גילוי הצורה ולא גילוי היחיד המוחשי, כי רק בצורה מתגלה חכמת הבורא ואחדות הבורא, אבל גילוי הצורה הוא במצע החומר ולזה נצרך יחיד מוחשי שהחומר שלו יהיה מצע. </w:t>
      </w:r>
      <w:r w:rsidR="0019406D">
        <w:rPr>
          <w:rFonts w:hint="cs"/>
          <w:rtl/>
        </w:rPr>
        <w:t>היחיד</w:t>
      </w:r>
      <w:r w:rsidR="00D82E69">
        <w:rPr>
          <w:rFonts w:hint="cs"/>
          <w:rtl/>
        </w:rPr>
        <w:t xml:space="preserve"> המוחשי הוא </w:t>
      </w:r>
      <w:r w:rsidR="0019406D">
        <w:rPr>
          <w:rFonts w:hint="cs"/>
          <w:rtl/>
        </w:rPr>
        <w:t>המסוים (היחיד המוחשי ולא המין והסוג בפני עצמם כישויות מופשטות)</w:t>
      </w:r>
      <w:r w:rsidR="00D82E69">
        <w:rPr>
          <w:rFonts w:hint="cs"/>
          <w:rtl/>
        </w:rPr>
        <w:t xml:space="preserve"> והמורכב (מחומר וצורה). כל זה בעולם הארצי שתחת גלגל הירח</w:t>
      </w:r>
      <w:r w:rsidR="0019406D">
        <w:rPr>
          <w:rFonts w:hint="cs"/>
          <w:rtl/>
        </w:rPr>
        <w:t xml:space="preserve"> שבו להיות נמצא פירושו להיות עצם </w:t>
      </w:r>
      <w:r w:rsidR="0019406D">
        <w:rPr>
          <w:rFonts w:hint="cs"/>
          <w:rtl/>
        </w:rPr>
        <w:t xml:space="preserve">הילומורפי, כלומר מורכב מחומר וצורה. בעולם הארצי ההשגה של המציאות היא על ידי כח הדמיון שצריך מצע חומרי כדי להשיג. בעולם השמיימי הגילוי הוא הצורות המופשטות, ושם הכח המשיג אינו כח הדמיון אלא השכל, והוא משיג צורות ללא מצע חומרי (כמבואר במטאפיזיקה למבדא, ובהלכות יסודי התורה ד' סוף הלכה ז' ועוד). </w:t>
      </w:r>
    </w:p>
  </w:footnote>
  <w:footnote w:id="102">
    <w:p w14:paraId="7BFFC316" w14:textId="796AE24A" w:rsidR="0066409C" w:rsidRPr="00C7512B" w:rsidRDefault="0066409C">
      <w:pPr>
        <w:pStyle w:val="FootnoteText"/>
      </w:pPr>
      <w:r w:rsidRPr="00C7512B">
        <w:rPr>
          <w:rStyle w:val="FootnoteReference"/>
        </w:rPr>
        <w:footnoteRef/>
      </w:r>
      <w:r w:rsidRPr="00C7512B">
        <w:rPr>
          <w:rtl/>
        </w:rPr>
        <w:t xml:space="preserve"> </w:t>
      </w:r>
      <w:r w:rsidRPr="00C7512B">
        <w:rPr>
          <w:rFonts w:ascii="Arial" w:hAnsi="Arial" w:cs="Arial" w:hint="cs"/>
          <w:rtl/>
          <w:lang w:bidi="ar-SA"/>
        </w:rPr>
        <w:t>المبادىء</w:t>
      </w:r>
      <w:r w:rsidR="007E6EBB">
        <w:rPr>
          <w:rFonts w:ascii="Arial" w:hAnsi="Arial" w:cs="Arial" w:hint="cs"/>
          <w:rtl/>
        </w:rPr>
        <w:t xml:space="preserve"> (</w:t>
      </w:r>
      <w:r w:rsidR="007E6EBB" w:rsidRPr="007E6EBB">
        <w:rPr>
          <w:rFonts w:ascii="Arial" w:hAnsi="Arial" w:cs="Arial" w:hint="eastAsia"/>
          <w:rtl/>
          <w:lang w:bidi="ar-SA"/>
        </w:rPr>
        <w:t>المبادئ</w:t>
      </w:r>
      <w:r w:rsidR="007E6EBB">
        <w:rPr>
          <w:rFonts w:ascii="Arial" w:hAnsi="Arial" w:cs="Arial" w:hint="cs"/>
          <w:rtl/>
        </w:rPr>
        <w:t>)</w:t>
      </w:r>
      <w:r w:rsidRPr="00C7512B">
        <w:rPr>
          <w:rtl/>
        </w:rPr>
        <w:t>. זו אותה מילה שהשתמש</w:t>
      </w:r>
      <w:r w:rsidR="007E6EBB">
        <w:rPr>
          <w:rFonts w:hint="cs"/>
          <w:rtl/>
        </w:rPr>
        <w:t xml:space="preserve"> בה אבן סינא</w:t>
      </w:r>
      <w:r w:rsidRPr="00C7512B">
        <w:rPr>
          <w:rtl/>
        </w:rPr>
        <w:t xml:space="preserve"> לעיל פרק א סעיף 3 ותרגמתי שם התחלות וביארתי עניינה בהערות שם. כאן המובן של </w:t>
      </w:r>
      <w:r w:rsidR="00F055C8">
        <w:rPr>
          <w:rtl/>
        </w:rPr>
        <w:t>"</w:t>
      </w:r>
      <w:r w:rsidRPr="00C7512B">
        <w:rPr>
          <w:rtl/>
        </w:rPr>
        <w:t>התחלות</w:t>
      </w:r>
      <w:r w:rsidR="00F055C8">
        <w:rPr>
          <w:rtl/>
        </w:rPr>
        <w:t>"</w:t>
      </w:r>
      <w:r w:rsidRPr="00C7512B">
        <w:rPr>
          <w:rtl/>
        </w:rPr>
        <w:t xml:space="preserve"> רחב וכולל יותר.</w:t>
      </w:r>
      <w:r w:rsidR="00C7512B">
        <w:rPr>
          <w:rFonts w:hint="cs"/>
          <w:rtl/>
        </w:rPr>
        <w:t xml:space="preserve"> אצל אריסטו ואבן סינא פעמים רבות מילה בשפה המדוברת נקבעת כמונח פילוסופי </w:t>
      </w:r>
      <w:r w:rsidR="009C463A">
        <w:rPr>
          <w:rFonts w:hint="cs"/>
          <w:rtl/>
        </w:rPr>
        <w:t>מדויק</w:t>
      </w:r>
      <w:r w:rsidR="00C7512B">
        <w:rPr>
          <w:rFonts w:hint="cs"/>
          <w:rtl/>
        </w:rPr>
        <w:t>, ו</w:t>
      </w:r>
      <w:r w:rsidR="00D22602">
        <w:rPr>
          <w:rFonts w:hint="cs"/>
          <w:rtl/>
        </w:rPr>
        <w:t xml:space="preserve">עדיין הם </w:t>
      </w:r>
      <w:r w:rsidR="00C7512B">
        <w:rPr>
          <w:rFonts w:hint="cs"/>
          <w:rtl/>
        </w:rPr>
        <w:t xml:space="preserve">משתמשים בה לפעמים כמונח ולפעמים כמילה בשפה המדוברת שהמובן שלה לא מוגדר באופן </w:t>
      </w:r>
      <w:r w:rsidR="009C463A">
        <w:rPr>
          <w:rFonts w:hint="cs"/>
          <w:rtl/>
        </w:rPr>
        <w:t>מדויק</w:t>
      </w:r>
      <w:r w:rsidR="00C7512B">
        <w:rPr>
          <w:rFonts w:hint="cs"/>
          <w:rtl/>
        </w:rPr>
        <w:t xml:space="preserve"> וחמור מבחינה פילוסופית. </w:t>
      </w:r>
    </w:p>
  </w:footnote>
  <w:footnote w:id="103">
    <w:p w14:paraId="2BE3B5AD" w14:textId="7ED63266" w:rsidR="00287B19" w:rsidRDefault="00287B19">
      <w:pPr>
        <w:pStyle w:val="FootnoteText"/>
      </w:pPr>
      <w:r>
        <w:rPr>
          <w:rStyle w:val="FootnoteReference"/>
        </w:rPr>
        <w:footnoteRef/>
      </w:r>
      <w:r>
        <w:rPr>
          <w:rtl/>
        </w:rPr>
        <w:t xml:space="preserve"> </w:t>
      </w:r>
      <w:r>
        <w:rPr>
          <w:rFonts w:hint="cs"/>
          <w:rtl/>
        </w:rPr>
        <w:t xml:space="preserve">בתרגום מקגיניס: </w:t>
      </w:r>
      <w:r w:rsidRPr="00287B19">
        <w:t>by assertion and supposition</w:t>
      </w:r>
    </w:p>
  </w:footnote>
  <w:footnote w:id="104">
    <w:p w14:paraId="4D601390" w14:textId="044AA72A" w:rsidR="004D2635" w:rsidRPr="00E4219C" w:rsidRDefault="004D2635">
      <w:pPr>
        <w:pStyle w:val="FootnoteText"/>
      </w:pPr>
      <w:r w:rsidRPr="00E4219C">
        <w:rPr>
          <w:rStyle w:val="FootnoteReference"/>
        </w:rPr>
        <w:footnoteRef/>
      </w:r>
      <w:r w:rsidRPr="00E4219C">
        <w:rPr>
          <w:rtl/>
        </w:rPr>
        <w:t xml:space="preserve"> עיין </w:t>
      </w:r>
      <w:r w:rsidR="00B2219C">
        <w:rPr>
          <w:rFonts w:hint="cs"/>
          <w:rtl/>
        </w:rPr>
        <w:t>מקור עניין זה ב</w:t>
      </w:r>
      <w:r w:rsidRPr="00E4219C">
        <w:rPr>
          <w:rtl/>
        </w:rPr>
        <w:t xml:space="preserve">אריסטו </w:t>
      </w:r>
      <w:r w:rsidR="00F055C8">
        <w:rPr>
          <w:rtl/>
        </w:rPr>
        <w:t>"</w:t>
      </w:r>
      <w:r w:rsidRPr="00E4219C">
        <w:rPr>
          <w:rtl/>
        </w:rPr>
        <w:t>על השמיים</w:t>
      </w:r>
      <w:r w:rsidR="00F055C8">
        <w:rPr>
          <w:rtl/>
        </w:rPr>
        <w:t>"</w:t>
      </w:r>
      <w:r w:rsidRPr="00E4219C">
        <w:t xml:space="preserve"> </w:t>
      </w:r>
      <w:r w:rsidRPr="00E4219C">
        <w:rPr>
          <w:rtl/>
        </w:rPr>
        <w:t xml:space="preserve">א' א'. </w:t>
      </w:r>
    </w:p>
  </w:footnote>
  <w:footnote w:id="105">
    <w:p w14:paraId="49BDDB33" w14:textId="01ED11F2" w:rsidR="00287B19" w:rsidRDefault="00287B19">
      <w:pPr>
        <w:pStyle w:val="FootnoteText"/>
      </w:pPr>
      <w:r>
        <w:rPr>
          <w:rStyle w:val="FootnoteReference"/>
        </w:rPr>
        <w:footnoteRef/>
      </w:r>
      <w:r>
        <w:rPr>
          <w:rtl/>
        </w:rPr>
        <w:t xml:space="preserve"> </w:t>
      </w:r>
      <w:r>
        <w:rPr>
          <w:rFonts w:hint="cs"/>
          <w:rtl/>
        </w:rPr>
        <w:t xml:space="preserve">פרפנדיקולרי, בזווית של תשעים מעלות. </w:t>
      </w:r>
    </w:p>
  </w:footnote>
  <w:footnote w:id="106">
    <w:p w14:paraId="587D377F" w14:textId="0336E847" w:rsidR="00652435" w:rsidRDefault="00652435">
      <w:pPr>
        <w:pStyle w:val="FootnoteText"/>
        <w:rPr>
          <w:rtl/>
        </w:rPr>
      </w:pPr>
      <w:r>
        <w:rPr>
          <w:rStyle w:val="FootnoteReference"/>
        </w:rPr>
        <w:footnoteRef/>
      </w:r>
      <w:r>
        <w:rPr>
          <w:rtl/>
        </w:rPr>
        <w:t xml:space="preserve"> </w:t>
      </w:r>
      <w:bookmarkStart w:id="68" w:name="_Hlk76661679"/>
      <w:r>
        <w:rPr>
          <w:rFonts w:hint="cs"/>
          <w:rtl/>
        </w:rPr>
        <w:t>ע</w:t>
      </w:r>
      <w:r w:rsidR="004E75A0">
        <w:rPr>
          <w:rFonts w:hint="cs"/>
          <w:rtl/>
        </w:rPr>
        <w:t>י</w:t>
      </w:r>
      <w:r>
        <w:rPr>
          <w:rFonts w:hint="cs"/>
          <w:rtl/>
        </w:rPr>
        <w:t>ין ב</w:t>
      </w:r>
      <w:hyperlink r:id="rId19" w:history="1">
        <w:r w:rsidRPr="00652435">
          <w:rPr>
            <w:rStyle w:val="Hyperlink"/>
            <w:rFonts w:hint="cs"/>
            <w:rtl/>
          </w:rPr>
          <w:t>רמיזות והערות</w:t>
        </w:r>
      </w:hyperlink>
      <w:r>
        <w:rPr>
          <w:rFonts w:hint="cs"/>
          <w:rtl/>
        </w:rPr>
        <w:t xml:space="preserve"> </w:t>
      </w:r>
      <w:r w:rsidR="007B00B5">
        <w:rPr>
          <w:rFonts w:hint="cs"/>
          <w:rtl/>
        </w:rPr>
        <w:t xml:space="preserve">פיזיקה </w:t>
      </w:r>
      <w:r>
        <w:rPr>
          <w:rFonts w:hint="cs"/>
          <w:rtl/>
        </w:rPr>
        <w:t>חלק א' פרק ז' ועיין שם גם בפרק י' וי</w:t>
      </w:r>
      <w:r w:rsidR="00F055C8">
        <w:rPr>
          <w:rtl/>
        </w:rPr>
        <w:t>"</w:t>
      </w:r>
      <w:r>
        <w:rPr>
          <w:rFonts w:hint="cs"/>
          <w:rtl/>
        </w:rPr>
        <w:t>ד בהערות</w:t>
      </w:r>
      <w:bookmarkEnd w:id="68"/>
      <w:r>
        <w:rPr>
          <w:rFonts w:hint="cs"/>
          <w:rtl/>
        </w:rPr>
        <w:t>, בעניין הבוהו</w:t>
      </w:r>
      <w:r w:rsidR="003F0FC7">
        <w:rPr>
          <w:rtl/>
        </w:rPr>
        <w:fldChar w:fldCharType="begin"/>
      </w:r>
      <w:r w:rsidR="003F0FC7">
        <w:instrText xml:space="preserve"> XE "</w:instrText>
      </w:r>
      <w:r w:rsidR="003F0FC7" w:rsidRPr="008D5433">
        <w:rPr>
          <w:rFonts w:hint="cs"/>
          <w:rtl/>
        </w:rPr>
        <w:instrText>בוהו</w:instrText>
      </w:r>
      <w:r w:rsidR="003F0FC7">
        <w:instrText>"</w:instrText>
      </w:r>
      <w:r w:rsidR="00C605C8">
        <w:rPr>
          <w:rFonts w:hint="cs"/>
          <w:rtl/>
        </w:rPr>
        <w:instrText xml:space="preserve">- הוא </w:instrText>
      </w:r>
      <w:r w:rsidR="00FC6418">
        <w:rPr>
          <w:rFonts w:hint="cs"/>
          <w:rtl/>
        </w:rPr>
        <w:instrText>צורת התלת ממדיות</w:instrText>
      </w:r>
      <w:r w:rsidR="003F0FC7">
        <w:instrText xml:space="preserve"> </w:instrText>
      </w:r>
      <w:r w:rsidR="003F0FC7">
        <w:rPr>
          <w:rtl/>
        </w:rPr>
        <w:fldChar w:fldCharType="end"/>
      </w:r>
      <w:r>
        <w:rPr>
          <w:rFonts w:hint="cs"/>
          <w:rtl/>
        </w:rPr>
        <w:t xml:space="preserve">. </w:t>
      </w:r>
      <w:r w:rsidR="00A0336D">
        <w:rPr>
          <w:rFonts w:hint="cs"/>
          <w:rtl/>
        </w:rPr>
        <w:t>הצורה שבו הוא נעשה גוף היא צורה שקיימת לפני הקיום של הגוף - צורת התלת ממדיות</w:t>
      </w:r>
      <w:r w:rsidR="0078202D">
        <w:rPr>
          <w:rtl/>
        </w:rPr>
        <w:fldChar w:fldCharType="begin"/>
      </w:r>
      <w:r w:rsidR="0078202D">
        <w:instrText xml:space="preserve"> XE "</w:instrText>
      </w:r>
      <w:r w:rsidR="0078202D" w:rsidRPr="003409AD">
        <w:rPr>
          <w:rFonts w:hint="cs"/>
          <w:rtl/>
        </w:rPr>
        <w:instrText>צורת התלת ממדיות</w:instrText>
      </w:r>
      <w:r w:rsidR="0078202D">
        <w:instrText xml:space="preserve">" </w:instrText>
      </w:r>
      <w:r w:rsidR="0078202D">
        <w:rPr>
          <w:rtl/>
        </w:rPr>
        <w:fldChar w:fldCharType="end"/>
      </w:r>
      <w:r w:rsidR="00A0336D">
        <w:rPr>
          <w:rFonts w:hint="cs"/>
          <w:rtl/>
        </w:rPr>
        <w:t>.</w:t>
      </w:r>
      <w:r w:rsidR="00CF2A9B">
        <w:rPr>
          <w:rFonts w:hint="cs"/>
          <w:rtl/>
        </w:rPr>
        <w:t xml:space="preserve"> </w:t>
      </w:r>
      <w:r w:rsidR="00C7465C">
        <w:rPr>
          <w:rFonts w:hint="cs"/>
          <w:rtl/>
        </w:rPr>
        <w:t xml:space="preserve">עיין בזה לקמן </w:t>
      </w:r>
      <w:hyperlink w:anchor="_1.2.8" w:history="1">
        <w:r w:rsidR="00C7465C" w:rsidRPr="00535DE1">
          <w:rPr>
            <w:rStyle w:val="Hyperlink"/>
            <w:rFonts w:hint="cs"/>
            <w:rtl/>
          </w:rPr>
          <w:t>1.2.8</w:t>
        </w:r>
      </w:hyperlink>
      <w:r w:rsidR="00C7465C">
        <w:rPr>
          <w:rFonts w:hint="cs"/>
          <w:rtl/>
        </w:rPr>
        <w:t xml:space="preserve"> </w:t>
      </w:r>
      <w:r w:rsidR="00535DE1">
        <w:rPr>
          <w:rFonts w:hint="cs"/>
          <w:rtl/>
        </w:rPr>
        <w:t xml:space="preserve">שם יש </w:t>
      </w:r>
      <w:r w:rsidR="00C7465C">
        <w:rPr>
          <w:rFonts w:hint="cs"/>
          <w:rtl/>
        </w:rPr>
        <w:t>הגדרה וביאור יסודי</w:t>
      </w:r>
      <w:r w:rsidR="00535DE1">
        <w:rPr>
          <w:rFonts w:hint="cs"/>
          <w:rtl/>
        </w:rPr>
        <w:t>.</w:t>
      </w:r>
    </w:p>
    <w:p w14:paraId="0CA77247" w14:textId="6B4B8631" w:rsidR="00B2219C" w:rsidRDefault="00B2219C">
      <w:pPr>
        <w:pStyle w:val="FootnoteText"/>
      </w:pPr>
    </w:p>
    <w:p w14:paraId="1FDFB03E" w14:textId="180A6650" w:rsidR="0068380D" w:rsidRDefault="0068380D">
      <w:pPr>
        <w:pStyle w:val="FootnoteText"/>
        <w:rPr>
          <w:rtl/>
        </w:rPr>
      </w:pPr>
      <w:r>
        <w:rPr>
          <w:rFonts w:hint="cs"/>
          <w:rtl/>
        </w:rPr>
        <w:t xml:space="preserve">אני מתרגם כאן את פרק א' מספר א' של </w:t>
      </w:r>
      <w:r w:rsidR="00F055C8">
        <w:rPr>
          <w:rtl/>
        </w:rPr>
        <w:t>"</w:t>
      </w:r>
      <w:r>
        <w:rPr>
          <w:rFonts w:hint="cs"/>
          <w:rtl/>
        </w:rPr>
        <w:t>על השמיים</w:t>
      </w:r>
      <w:r w:rsidR="00F055C8">
        <w:rPr>
          <w:rtl/>
        </w:rPr>
        <w:t>"</w:t>
      </w:r>
      <w:r>
        <w:rPr>
          <w:rFonts w:hint="cs"/>
        </w:rPr>
        <w:t xml:space="preserve"> </w:t>
      </w:r>
      <w:r>
        <w:rPr>
          <w:rFonts w:hint="cs"/>
          <w:rtl/>
        </w:rPr>
        <w:t>מאת אריסטו. זה המקור לדברי אבן סינא כאן, ויש בו יסוד חשוב מאוד.</w:t>
      </w:r>
    </w:p>
    <w:p w14:paraId="09D5CEEE" w14:textId="77777777" w:rsidR="0068380D" w:rsidRDefault="0068380D">
      <w:pPr>
        <w:pStyle w:val="FootnoteText"/>
        <w:rPr>
          <w:rtl/>
        </w:rPr>
      </w:pPr>
    </w:p>
    <w:p w14:paraId="35D8936D" w14:textId="761C588D" w:rsidR="0068380D" w:rsidRDefault="00F055C8" w:rsidP="00DF4268">
      <w:pPr>
        <w:rPr>
          <w:rtl/>
        </w:rPr>
      </w:pPr>
      <w:bookmarkStart w:id="69" w:name="על_השמיים_תרגום_פרק_א"/>
      <w:r>
        <w:rPr>
          <w:rtl/>
        </w:rPr>
        <w:t>"</w:t>
      </w:r>
      <w:r w:rsidR="0068380D">
        <w:rPr>
          <w:rFonts w:hint="cs"/>
          <w:rtl/>
        </w:rPr>
        <w:t>על השמיים</w:t>
      </w:r>
      <w:r>
        <w:rPr>
          <w:rtl/>
        </w:rPr>
        <w:t>"</w:t>
      </w:r>
      <w:r w:rsidR="0068380D">
        <w:rPr>
          <w:rFonts w:hint="cs"/>
          <w:rtl/>
        </w:rPr>
        <w:t xml:space="preserve"> א' א'</w:t>
      </w:r>
      <w:bookmarkEnd w:id="69"/>
      <w:r w:rsidR="00DF4268">
        <w:rPr>
          <w:rtl/>
        </w:rPr>
        <w:fldChar w:fldCharType="begin"/>
      </w:r>
      <w:r w:rsidR="00DF4268">
        <w:instrText xml:space="preserve"> XE "</w:instrText>
      </w:r>
      <w:r w:rsidR="00F36B94">
        <w:rPr>
          <w:rFonts w:hint="cs"/>
          <w:rtl/>
        </w:rPr>
        <w:instrText xml:space="preserve">אריסטו: </w:instrText>
      </w:r>
      <w:r w:rsidR="00DF4268" w:rsidRPr="00E65F4B">
        <w:rPr>
          <w:rFonts w:hint="cs"/>
          <w:rtl/>
        </w:rPr>
        <w:instrText xml:space="preserve">על השמיים א' א'  </w:instrText>
      </w:r>
      <w:r w:rsidR="003E2B30">
        <w:rPr>
          <w:rFonts w:hint="cs"/>
          <w:rtl/>
        </w:rPr>
        <w:instrText>(</w:instrText>
      </w:r>
      <w:r w:rsidR="00DF4268" w:rsidRPr="00E65F4B">
        <w:rPr>
          <w:rFonts w:hint="cs"/>
          <w:rtl/>
        </w:rPr>
        <w:instrText>תרגום פרק א</w:instrText>
      </w:r>
      <w:r w:rsidR="00143A27">
        <w:rPr>
          <w:rFonts w:hint="cs"/>
          <w:rtl/>
        </w:rPr>
        <w:instrText xml:space="preserve"> וביאורו</w:instrText>
      </w:r>
      <w:r w:rsidR="003E2B30">
        <w:rPr>
          <w:rFonts w:hint="cs"/>
          <w:rtl/>
        </w:rPr>
        <w:instrText>)</w:instrText>
      </w:r>
      <w:r w:rsidR="00DF4268">
        <w:instrText xml:space="preserve">" </w:instrText>
      </w:r>
      <w:r w:rsidR="00DF4268">
        <w:rPr>
          <w:rtl/>
        </w:rPr>
        <w:fldChar w:fldCharType="end"/>
      </w:r>
      <w:r w:rsidR="0068380D">
        <w:rPr>
          <w:rFonts w:hint="cs"/>
          <w:rtl/>
        </w:rPr>
        <w:t>:</w:t>
      </w:r>
    </w:p>
    <w:p w14:paraId="1FE87385" w14:textId="54912E51" w:rsidR="0068380D" w:rsidRDefault="00F055C8">
      <w:pPr>
        <w:pStyle w:val="FootnoteText"/>
        <w:rPr>
          <w:rtl/>
        </w:rPr>
      </w:pPr>
      <w:r>
        <w:rPr>
          <w:rtl/>
        </w:rPr>
        <w:t>"</w:t>
      </w:r>
      <w:r w:rsidR="0068380D">
        <w:rPr>
          <w:rFonts w:hint="cs"/>
          <w:rtl/>
        </w:rPr>
        <w:t>המדע ששייך לטבע בלי ספק עוסק ברובו בגופים וגדלים ובתכונותיהם ותנועותיהם, אבל גם בהתחלות של סוג זה של 'עצם', ככל ש</w:t>
      </w:r>
      <w:r w:rsidR="000C4F7C">
        <w:rPr>
          <w:rFonts w:hint="cs"/>
          <w:rtl/>
        </w:rPr>
        <w:t>תהיינה</w:t>
      </w:r>
      <w:r w:rsidR="0068380D">
        <w:rPr>
          <w:rFonts w:hint="cs"/>
          <w:rtl/>
        </w:rPr>
        <w:t xml:space="preserve">.  </w:t>
      </w:r>
    </w:p>
    <w:p w14:paraId="148952D7" w14:textId="77777777" w:rsidR="000C4F7C" w:rsidRDefault="0068380D" w:rsidP="00A56C58">
      <w:pPr>
        <w:pStyle w:val="FootnoteText"/>
        <w:rPr>
          <w:rtl/>
        </w:rPr>
      </w:pPr>
      <w:r>
        <w:rPr>
          <w:rFonts w:hint="cs"/>
          <w:rtl/>
        </w:rPr>
        <w:t>כי</w:t>
      </w:r>
      <w:r w:rsidR="000C4F7C">
        <w:rPr>
          <w:rFonts w:hint="cs"/>
          <w:rtl/>
        </w:rPr>
        <w:t xml:space="preserve"> מהדברים שהטבע כונן את הווייתם, מקצתם הוא גופים וגדלים, מקצתם הם דברים שיש להם גוף וגודל, ומקצתם הוא ההתחלות של אלה שיש להם זאת. </w:t>
      </w:r>
    </w:p>
    <w:p w14:paraId="4DE27ADF" w14:textId="7DF4CD98" w:rsidR="00B2219C" w:rsidRDefault="000C4F7C" w:rsidP="00A56C58">
      <w:pPr>
        <w:pStyle w:val="FootnoteText"/>
        <w:rPr>
          <w:rtl/>
        </w:rPr>
      </w:pPr>
      <w:r>
        <w:rPr>
          <w:rFonts w:hint="cs"/>
          <w:rtl/>
        </w:rPr>
        <w:t>כעת, רצף</w:t>
      </w:r>
      <w:r w:rsidR="00AD4795">
        <w:rPr>
          <w:rtl/>
        </w:rPr>
        <w:fldChar w:fldCharType="begin"/>
      </w:r>
      <w:r w:rsidR="00AD4795">
        <w:instrText xml:space="preserve"> XE "</w:instrText>
      </w:r>
      <w:r w:rsidR="00AD4795" w:rsidRPr="00F6479A">
        <w:rPr>
          <w:rFonts w:hint="cs"/>
          <w:rtl/>
        </w:rPr>
        <w:instrText>רצף</w:instrText>
      </w:r>
      <w:r w:rsidR="00AD4795">
        <w:instrText xml:space="preserve">" </w:instrText>
      </w:r>
      <w:r w:rsidR="00AD4795">
        <w:rPr>
          <w:rtl/>
        </w:rPr>
        <w:fldChar w:fldCharType="end"/>
      </w:r>
      <w:r>
        <w:rPr>
          <w:rFonts w:hint="cs"/>
          <w:rtl/>
        </w:rPr>
        <w:t xml:space="preserve"> הוא </w:t>
      </w:r>
      <w:r w:rsidR="00AC0475">
        <w:rPr>
          <w:rFonts w:hint="cs"/>
          <w:rtl/>
        </w:rPr>
        <w:t>מ</w:t>
      </w:r>
      <w:r>
        <w:rPr>
          <w:rFonts w:hint="cs"/>
          <w:rtl/>
        </w:rPr>
        <w:t xml:space="preserve">ה שמתחלק לחלקים שתמיד </w:t>
      </w:r>
      <w:r w:rsidR="007B00B5">
        <w:rPr>
          <w:rFonts w:hint="cs"/>
          <w:rtl/>
        </w:rPr>
        <w:t>אפשר לחלק אותם הלאה, וגוף הוא מה שניתן לחלוקה בכל דרך. גודל, אם הוא מתחלק בדרך אחת הוא קו, אם בשתי דרכים הוא שטח, אם בשלוש דרכים הוא גוף. מ</w:t>
      </w:r>
      <w:r w:rsidR="00AC0475">
        <w:rPr>
          <w:rFonts w:hint="cs"/>
          <w:rtl/>
        </w:rPr>
        <w:t xml:space="preserve">לבד </w:t>
      </w:r>
      <w:r w:rsidR="007B00B5">
        <w:rPr>
          <w:rFonts w:hint="cs"/>
          <w:rtl/>
        </w:rPr>
        <w:t xml:space="preserve">אלה אין עוד גודל, בגלל ששלושת הממדים הם כל מה שיש, ומה שמתחלק בשלושה כיוונים מתחלק בכל. </w:t>
      </w:r>
    </w:p>
    <w:p w14:paraId="52C20A0A" w14:textId="39D0064D" w:rsidR="003C6382" w:rsidRDefault="007B00B5" w:rsidP="003C6382">
      <w:pPr>
        <w:pStyle w:val="FootnoteText"/>
      </w:pPr>
      <w:r>
        <w:rPr>
          <w:rFonts w:hint="cs"/>
          <w:rtl/>
        </w:rPr>
        <w:t xml:space="preserve">כיוון, כמו שאומרים </w:t>
      </w:r>
      <w:r>
        <w:rPr>
          <w:rFonts w:hint="cs"/>
          <w:rtl/>
        </w:rPr>
        <w:t xml:space="preserve">הפיתגוראים, </w:t>
      </w:r>
      <w:r w:rsidR="00AC0475">
        <w:rPr>
          <w:rFonts w:hint="cs"/>
          <w:rtl/>
        </w:rPr>
        <w:t>ש</w:t>
      </w:r>
      <w:r w:rsidR="008338D0">
        <w:rPr>
          <w:rFonts w:hint="cs"/>
          <w:rtl/>
        </w:rPr>
        <w:t xml:space="preserve">היקום וכל מה שיש בו </w:t>
      </w:r>
      <w:r w:rsidR="00AC0475">
        <w:rPr>
          <w:rFonts w:hint="cs"/>
          <w:rtl/>
        </w:rPr>
        <w:t>נקבע על ידי ה</w:t>
      </w:r>
      <w:r w:rsidR="008338D0">
        <w:rPr>
          <w:rFonts w:hint="cs"/>
          <w:rtl/>
        </w:rPr>
        <w:t>מספר שלוש, מאחר שהתחלה אמצע וסוף יוצא מהם המספר של היקום, והמספר שעולה הוא השילוש. וכך, כיוון שעלה בידנו מהטבע שלושת אלה</w:t>
      </w:r>
      <w:r w:rsidR="003C6382">
        <w:rPr>
          <w:rFonts w:hint="cs"/>
          <w:rtl/>
        </w:rPr>
        <w:t xml:space="preserve"> -</w:t>
      </w:r>
      <w:r w:rsidR="008338D0">
        <w:rPr>
          <w:rFonts w:hint="cs"/>
          <w:rtl/>
        </w:rPr>
        <w:t xml:space="preserve"> אם נאמר זאת כך</w:t>
      </w:r>
      <w:r w:rsidR="003C6382">
        <w:rPr>
          <w:rFonts w:hint="cs"/>
          <w:rtl/>
        </w:rPr>
        <w:t xml:space="preserve"> -</w:t>
      </w:r>
      <w:r w:rsidR="008338D0">
        <w:rPr>
          <w:rFonts w:hint="cs"/>
          <w:rtl/>
        </w:rPr>
        <w:t xml:space="preserve"> כחוקים שלו, אנו משתמשים הלאה במספר </w:t>
      </w:r>
      <w:r w:rsidR="00D3221B">
        <w:rPr>
          <w:rFonts w:hint="cs"/>
          <w:rtl/>
        </w:rPr>
        <w:t>'</w:t>
      </w:r>
      <w:r w:rsidR="008338D0">
        <w:rPr>
          <w:rFonts w:hint="cs"/>
          <w:rtl/>
        </w:rPr>
        <w:t>שלוש</w:t>
      </w:r>
      <w:r w:rsidR="00D3221B">
        <w:rPr>
          <w:rFonts w:hint="cs"/>
          <w:rtl/>
        </w:rPr>
        <w:t>'</w:t>
      </w:r>
      <w:r w:rsidR="008338D0">
        <w:rPr>
          <w:rFonts w:hint="cs"/>
          <w:rtl/>
        </w:rPr>
        <w:t xml:space="preserve"> בעבודת </w:t>
      </w:r>
      <w:r w:rsidR="00D3221B">
        <w:rPr>
          <w:rFonts w:hint="cs"/>
          <w:rtl/>
        </w:rPr>
        <w:t xml:space="preserve">האלוהים. </w:t>
      </w:r>
    </w:p>
    <w:p w14:paraId="6A1ABB9A" w14:textId="58DDB9DC" w:rsidR="00C93BBC" w:rsidRDefault="003C6382" w:rsidP="003C6382">
      <w:pPr>
        <w:pStyle w:val="FootnoteText"/>
        <w:rPr>
          <w:rtl/>
        </w:rPr>
      </w:pPr>
      <w:r>
        <w:rPr>
          <w:rFonts w:hint="cs"/>
          <w:rtl/>
        </w:rPr>
        <w:t xml:space="preserve">בנוסף אנו משתמשים במושגים למעשה בדרך זו: </w:t>
      </w:r>
      <w:r w:rsidR="00AC0475">
        <w:rPr>
          <w:rFonts w:hint="cs"/>
          <w:rtl/>
        </w:rPr>
        <w:t xml:space="preserve">על </w:t>
      </w:r>
      <w:r>
        <w:rPr>
          <w:rFonts w:hint="cs"/>
          <w:rtl/>
        </w:rPr>
        <w:t xml:space="preserve">שני דברים, או אנשים, אנו אומרים 'שניהם', אבל לא 'כולם'; שלוש הוא המספר הראשון שהלשון 'כל' חל עליו. ובזה, כמו שאמרנו, אנו רק עוקבים אחרי מה שהטבע עצמו מראה לנו. </w:t>
      </w:r>
    </w:p>
    <w:p w14:paraId="6A5D8CC5" w14:textId="0AE0F8FA" w:rsidR="00AC0475" w:rsidRDefault="00C93BBC" w:rsidP="003C6382">
      <w:pPr>
        <w:pStyle w:val="FootnoteText"/>
        <w:rPr>
          <w:rtl/>
        </w:rPr>
      </w:pPr>
      <w:r>
        <w:rPr>
          <w:rFonts w:hint="cs"/>
          <w:rtl/>
        </w:rPr>
        <w:t>לכן, מאחר ש'</w:t>
      </w:r>
      <w:r w:rsidR="005B7BB3">
        <w:rPr>
          <w:rFonts w:hint="cs"/>
          <w:rtl/>
        </w:rPr>
        <w:t>ה</w:t>
      </w:r>
      <w:r>
        <w:rPr>
          <w:rFonts w:hint="cs"/>
          <w:rtl/>
        </w:rPr>
        <w:t>כל' ו'</w:t>
      </w:r>
      <w:r w:rsidR="005B7BB3">
        <w:rPr>
          <w:rFonts w:hint="cs"/>
          <w:rtl/>
        </w:rPr>
        <w:t>ה</w:t>
      </w:r>
      <w:r>
        <w:rPr>
          <w:rFonts w:hint="cs"/>
          <w:rtl/>
        </w:rPr>
        <w:t>כלל' ו'</w:t>
      </w:r>
      <w:r w:rsidR="005B7BB3">
        <w:rPr>
          <w:rFonts w:hint="cs"/>
          <w:rtl/>
        </w:rPr>
        <w:t>ה</w:t>
      </w:r>
      <w:r>
        <w:rPr>
          <w:rFonts w:hint="cs"/>
          <w:rtl/>
        </w:rPr>
        <w:t xml:space="preserve">שלם' אינם שונים זה מזה מבחינת הצורה, </w:t>
      </w:r>
      <w:r w:rsidR="00FE6B2B">
        <w:rPr>
          <w:rFonts w:hint="cs"/>
          <w:rtl/>
        </w:rPr>
        <w:t>אלא רק - אם בכלל - בחומר  שלהם, ובמה שהם נאמרים עליו, רק גוף מבין כל הגדלים</w:t>
      </w:r>
      <w:r w:rsidR="00AC0475">
        <w:rPr>
          <w:rFonts w:hint="cs"/>
          <w:rtl/>
        </w:rPr>
        <w:t xml:space="preserve"> [קו או שטח]</w:t>
      </w:r>
      <w:r w:rsidR="00FE6B2B">
        <w:rPr>
          <w:rFonts w:hint="cs"/>
          <w:rtl/>
        </w:rPr>
        <w:t xml:space="preserve"> יכול להיות שלם. כי רק הוא נקבע על ידי שלושת הממדים, כלומר, הוא 'הכל'. </w:t>
      </w:r>
    </w:p>
    <w:p w14:paraId="2ED38E30" w14:textId="77777777" w:rsidR="003F5C97" w:rsidRDefault="002C4F89" w:rsidP="003C6382">
      <w:pPr>
        <w:pStyle w:val="FootnoteText"/>
        <w:rPr>
          <w:rtl/>
        </w:rPr>
      </w:pPr>
      <w:r>
        <w:rPr>
          <w:rFonts w:hint="cs"/>
          <w:rtl/>
        </w:rPr>
        <w:t>אבל אם זה מתחלק בשלושה ממדים זה מתחלק בכל דרך, בעוד שהגדלים האחרים [קו ושטח] מתחלקים בממד אחד או שניים; כי האפשרות להתחלק וה</w:t>
      </w:r>
      <w:r w:rsidR="003F5C97">
        <w:rPr>
          <w:rFonts w:hint="cs"/>
          <w:rtl/>
        </w:rPr>
        <w:t xml:space="preserve">הוויה בדרך של </w:t>
      </w:r>
      <w:r>
        <w:rPr>
          <w:rFonts w:hint="cs"/>
          <w:rtl/>
        </w:rPr>
        <w:t>רצף</w:t>
      </w:r>
      <w:r w:rsidR="003F5C97">
        <w:rPr>
          <w:rFonts w:hint="cs"/>
          <w:rtl/>
        </w:rPr>
        <w:t xml:space="preserve"> של גדלים תלויה במספר הממדים </w:t>
      </w:r>
      <w:r>
        <w:rPr>
          <w:rFonts w:hint="cs"/>
          <w:rtl/>
        </w:rPr>
        <w:t xml:space="preserve"> [רצף פירושו מה ש</w:t>
      </w:r>
      <w:r w:rsidR="003F5C97">
        <w:rPr>
          <w:rFonts w:hint="cs"/>
          <w:rtl/>
        </w:rPr>
        <w:t xml:space="preserve">יכול להתחלק </w:t>
      </w:r>
      <w:r>
        <w:rPr>
          <w:rFonts w:hint="cs"/>
          <w:rtl/>
        </w:rPr>
        <w:t>עד אין סוף</w:t>
      </w:r>
      <w:r w:rsidR="003F5C97">
        <w:rPr>
          <w:rFonts w:hint="cs"/>
          <w:rtl/>
        </w:rPr>
        <w:t>. אם הוא מתחלק עד אין סוף הרי לא נשאר ממנו מאומה ואין ממה לחבר אותו מחדש, הוא חוזר לאין. לכן אין בו ממשות טבעית, הוא לא אוסף של נקודות אטומיות, אלא הוא צורה אחת, הוא כמו נקודה שרואים אותה בראי מרחיב ובו היא נראית כמו קו</w:t>
      </w:r>
      <w:r>
        <w:rPr>
          <w:rFonts w:hint="cs"/>
          <w:rtl/>
        </w:rPr>
        <w:t>]</w:t>
      </w:r>
      <w:r w:rsidR="003F5C97">
        <w:rPr>
          <w:rFonts w:hint="cs"/>
          <w:rtl/>
        </w:rPr>
        <w:t>, סוג אחד הוא רצף בכיוון אחד [קו], סוג אחר בשניים [שטח], וסוג אחר בכל [הכיוונים. הוא הגוף, ששלושת ממדיו הם 'הכל'].</w:t>
      </w:r>
    </w:p>
    <w:p w14:paraId="04E87A65" w14:textId="0A7DEB84" w:rsidR="006B685F" w:rsidRDefault="00CD6447" w:rsidP="006B685F">
      <w:pPr>
        <w:pStyle w:val="FootnoteText"/>
        <w:rPr>
          <w:rtl/>
        </w:rPr>
      </w:pPr>
      <w:r>
        <w:rPr>
          <w:rFonts w:hint="cs"/>
          <w:rtl/>
        </w:rPr>
        <w:t>כל הגדלים, אפוא, שהם מתחלקים [כלומר עד אין סוף] הם גם רצף. האם כל מה שהוא רצף הוא גם מתחלק</w:t>
      </w:r>
      <w:r w:rsidR="006B685F">
        <w:rPr>
          <w:rFonts w:hint="cs"/>
          <w:rtl/>
        </w:rPr>
        <w:t xml:space="preserve"> -</w:t>
      </w:r>
      <w:r>
        <w:rPr>
          <w:rFonts w:hint="cs"/>
          <w:rtl/>
        </w:rPr>
        <w:t xml:space="preserve"> לפי </w:t>
      </w:r>
      <w:r w:rsidR="006B685F">
        <w:rPr>
          <w:rFonts w:hint="cs"/>
          <w:rtl/>
        </w:rPr>
        <w:t>דברינו</w:t>
      </w:r>
      <w:r>
        <w:rPr>
          <w:rFonts w:hint="cs"/>
          <w:rtl/>
        </w:rPr>
        <w:t xml:space="preserve"> כעת </w:t>
      </w:r>
      <w:r w:rsidR="006B685F">
        <w:rPr>
          <w:rFonts w:hint="cs"/>
          <w:rtl/>
        </w:rPr>
        <w:t xml:space="preserve">זה </w:t>
      </w:r>
      <w:r>
        <w:rPr>
          <w:rFonts w:hint="cs"/>
          <w:rtl/>
        </w:rPr>
        <w:t>עדיין לא מתברר</w:t>
      </w:r>
      <w:r w:rsidR="00945A7C">
        <w:rPr>
          <w:rFonts w:hint="cs"/>
          <w:rtl/>
        </w:rPr>
        <w:t xml:space="preserve"> [עיין בזה פיזיקה ו' א']</w:t>
      </w:r>
      <w:r>
        <w:rPr>
          <w:rFonts w:hint="cs"/>
          <w:rtl/>
        </w:rPr>
        <w:t>.</w:t>
      </w:r>
    </w:p>
    <w:p w14:paraId="2423C2BD" w14:textId="3CB1BD36" w:rsidR="007456FC" w:rsidRDefault="00945A7C" w:rsidP="00945A7C">
      <w:pPr>
        <w:pStyle w:val="FootnoteText"/>
        <w:rPr>
          <w:rtl/>
        </w:rPr>
      </w:pPr>
      <w:r>
        <w:rPr>
          <w:rFonts w:hint="cs"/>
          <w:rtl/>
        </w:rPr>
        <w:t xml:space="preserve">דבר אחד, על כל פנים, ברור; אין המשך של מעבר לגודל מסוג רביעי [דבר בעל ארבע ממדים], כמו שעברנו מאורך לשטח ומשטח לגוף. כי אם היה זה אפשרי, </w:t>
      </w:r>
      <w:r w:rsidR="007456FC">
        <w:rPr>
          <w:rFonts w:hint="cs"/>
          <w:rtl/>
        </w:rPr>
        <w:t>לא הייתה זו אמת שגוף הוא גודל שלם. היה אפשר להמשיך מעבר לו [מעבר לגוף אל דבר בעל ארבעה ממדים] רק אם היה בו [בגוף] חסרון [מבחינת כמות ממדיו], ומה שהוא שלם לא יכול להיות חסר</w:t>
      </w:r>
      <w:r w:rsidR="00AF5DF5">
        <w:rPr>
          <w:rFonts w:hint="cs"/>
          <w:rtl/>
        </w:rPr>
        <w:t>, כיוון שהוא מתפשט לכל כיוון</w:t>
      </w:r>
      <w:r w:rsidR="007456FC">
        <w:rPr>
          <w:rFonts w:hint="cs"/>
          <w:rtl/>
        </w:rPr>
        <w:t>.</w:t>
      </w:r>
      <w:r w:rsidR="00AF5DF5">
        <w:rPr>
          <w:rFonts w:hint="cs"/>
          <w:rtl/>
        </w:rPr>
        <w:t xml:space="preserve"> </w:t>
      </w:r>
    </w:p>
    <w:p w14:paraId="42569858" w14:textId="7D2AFA84" w:rsidR="00867E59" w:rsidRDefault="00F344FF" w:rsidP="00867E59">
      <w:pPr>
        <w:pStyle w:val="FootnoteText"/>
      </w:pPr>
      <w:r>
        <w:rPr>
          <w:rFonts w:hint="cs"/>
          <w:rtl/>
        </w:rPr>
        <w:t>כעת, גופים שמסווגים כחלק מהשלם [כגון ארבעת היסודות</w:t>
      </w:r>
      <w:r w:rsidR="007128AF">
        <w:rPr>
          <w:rFonts w:hint="cs"/>
          <w:rtl/>
        </w:rPr>
        <w:t xml:space="preserve"> של היקום</w:t>
      </w:r>
      <w:r>
        <w:rPr>
          <w:rFonts w:hint="cs"/>
          <w:rtl/>
        </w:rPr>
        <w:t xml:space="preserve"> </w:t>
      </w:r>
      <w:r w:rsidR="007128AF">
        <w:rPr>
          <w:rFonts w:hint="cs"/>
          <w:rtl/>
        </w:rPr>
        <w:t>(</w:t>
      </w:r>
      <w:r>
        <w:rPr>
          <w:rFonts w:hint="cs"/>
          <w:rtl/>
        </w:rPr>
        <w:t>לפי פירוש סימפליקיוס</w:t>
      </w:r>
      <w:r w:rsidR="007128AF">
        <w:rPr>
          <w:rFonts w:hint="cs"/>
          <w:rtl/>
        </w:rPr>
        <w:t>)</w:t>
      </w:r>
      <w:r>
        <w:rPr>
          <w:rFonts w:hint="cs"/>
          <w:rtl/>
        </w:rPr>
        <w:t xml:space="preserve">], כל אחד מהם שלם </w:t>
      </w:r>
      <w:r w:rsidR="007128AF">
        <w:rPr>
          <w:rFonts w:hint="cs"/>
          <w:rtl/>
        </w:rPr>
        <w:t>במובן שאמרנו כאן</w:t>
      </w:r>
      <w:r>
        <w:rPr>
          <w:rFonts w:hint="cs"/>
          <w:rtl/>
        </w:rPr>
        <w:t xml:space="preserve">, כיוון שלכל אחד מהם יש את כל הממדים. </w:t>
      </w:r>
      <w:r w:rsidR="007128AF">
        <w:rPr>
          <w:rFonts w:hint="cs"/>
          <w:rtl/>
        </w:rPr>
        <w:t xml:space="preserve">אבל כל אחד מוגבל על ידי המגע עם האחר שסמוך לו, כך שבמובן מה כל גוף הוא גופים רבים. ה'כל' שאלה [ארבעת היסודות] הם חלקיו, לעומת זאת, הוא בהכרח שלם, </w:t>
      </w:r>
      <w:bookmarkStart w:id="70" w:name="_Hlk76631642"/>
      <w:r w:rsidR="007128AF">
        <w:rPr>
          <w:rFonts w:hint="cs"/>
          <w:rtl/>
        </w:rPr>
        <w:t>וכמו שנרמז בשמו</w:t>
      </w:r>
      <w:bookmarkEnd w:id="70"/>
      <w:r w:rsidR="0023358C">
        <w:rPr>
          <w:rFonts w:hint="cs"/>
          <w:rtl/>
        </w:rPr>
        <w:t xml:space="preserve"> ['הכל' (מדובר כאן על השכל הפועל, הוא ספירת מלכות</w:t>
      </w:r>
      <w:r w:rsidR="004D7F79">
        <w:rPr>
          <w:rtl/>
        </w:rPr>
        <w:fldChar w:fldCharType="begin"/>
      </w:r>
      <w:r w:rsidR="004D7F79">
        <w:instrText xml:space="preserve"> XE "</w:instrText>
      </w:r>
      <w:r w:rsidR="004D7F79" w:rsidRPr="000A0C5A">
        <w:rPr>
          <w:rFonts w:hint="cs"/>
          <w:rtl/>
        </w:rPr>
        <w:instrText>ספירת מלכות</w:instrText>
      </w:r>
      <w:r w:rsidR="004D7F79">
        <w:instrText xml:space="preserve">" </w:instrText>
      </w:r>
      <w:r w:rsidR="004D7F79">
        <w:rPr>
          <w:rtl/>
        </w:rPr>
        <w:fldChar w:fldCharType="end"/>
      </w:r>
      <w:r w:rsidR="0023358C">
        <w:rPr>
          <w:rFonts w:hint="cs"/>
          <w:rtl/>
        </w:rPr>
        <w:t xml:space="preserve"> כמו שכתב הרמ</w:t>
      </w:r>
      <w:r w:rsidR="00F055C8">
        <w:rPr>
          <w:rtl/>
        </w:rPr>
        <w:t>"</w:t>
      </w:r>
      <w:r w:rsidR="0023358C">
        <w:rPr>
          <w:rFonts w:hint="cs"/>
          <w:rtl/>
        </w:rPr>
        <w:t>ק, והיא נקראת אצל חז</w:t>
      </w:r>
      <w:r w:rsidR="00F055C8">
        <w:rPr>
          <w:rtl/>
        </w:rPr>
        <w:t>"</w:t>
      </w:r>
      <w:r w:rsidR="0023358C">
        <w:rPr>
          <w:rFonts w:hint="cs"/>
          <w:rtl/>
        </w:rPr>
        <w:t>ל 'כל', כך ש'כל' הוא אחד משמותיו של הבורא). אריסטו בהכרח מכוון לזה, כי אם לא כן מי הוא שיש לו שם שבו נרמז שהוא הכל מכל בחינה. איפה מצאנו אצל אריסטו שם של הבורא?]</w:t>
      </w:r>
      <w:r w:rsidR="007128AF">
        <w:rPr>
          <w:rFonts w:hint="cs"/>
          <w:rtl/>
        </w:rPr>
        <w:t xml:space="preserve">, </w:t>
      </w:r>
      <w:r w:rsidR="0023358C">
        <w:rPr>
          <w:rFonts w:hint="cs"/>
          <w:rtl/>
        </w:rPr>
        <w:t xml:space="preserve">הוא </w:t>
      </w:r>
      <w:r w:rsidR="007128AF">
        <w:rPr>
          <w:rFonts w:hint="cs"/>
          <w:rtl/>
        </w:rPr>
        <w:t>כולל כך שהוא לא רק שלם מבחינה אחת ובלתי שלם מבחינה אחרת</w:t>
      </w:r>
      <w:r w:rsidR="0023358C">
        <w:rPr>
          <w:rFonts w:hint="cs"/>
          <w:rtl/>
        </w:rPr>
        <w:t xml:space="preserve"> [אלא הוא שלם מכל הבחינות]</w:t>
      </w:r>
      <w:r w:rsidR="007128AF">
        <w:rPr>
          <w:rFonts w:hint="cs"/>
          <w:rtl/>
        </w:rPr>
        <w:t>.</w:t>
      </w:r>
      <w:r w:rsidR="00F055C8">
        <w:rPr>
          <w:rtl/>
        </w:rPr>
        <w:t>"</w:t>
      </w:r>
      <w:r w:rsidR="007128AF">
        <w:rPr>
          <w:rFonts w:hint="cs"/>
          <w:rtl/>
        </w:rPr>
        <w:t xml:space="preserve">  </w:t>
      </w:r>
    </w:p>
    <w:p w14:paraId="09B498E3" w14:textId="37278AB3" w:rsidR="00F344FF" w:rsidRDefault="00DE46A8" w:rsidP="00867E59">
      <w:pPr>
        <w:pStyle w:val="FootnoteText"/>
        <w:rPr>
          <w:rtl/>
        </w:rPr>
      </w:pPr>
      <w:r>
        <w:rPr>
          <w:rFonts w:hint="cs"/>
          <w:rtl/>
        </w:rPr>
        <w:t xml:space="preserve">[בתרגום הקלאסי של </w:t>
      </w:r>
      <w:r w:rsidRPr="00DE46A8">
        <w:t xml:space="preserve">J. L. </w:t>
      </w:r>
      <w:bookmarkStart w:id="71" w:name="_Hlk76665425"/>
      <w:r w:rsidRPr="00DE46A8">
        <w:t>Stocks</w:t>
      </w:r>
      <w:bookmarkEnd w:id="71"/>
      <w:r>
        <w:rPr>
          <w:rFonts w:hint="cs"/>
          <w:rtl/>
        </w:rPr>
        <w:t xml:space="preserve"> לא תרגם </w:t>
      </w:r>
      <w:r w:rsidR="00F055C8">
        <w:rPr>
          <w:rtl/>
        </w:rPr>
        <w:t>"</w:t>
      </w:r>
      <w:r w:rsidRPr="00DE46A8">
        <w:rPr>
          <w:rtl/>
        </w:rPr>
        <w:t>וכמו שנרמז בשמו</w:t>
      </w:r>
      <w:r w:rsidR="0086689D">
        <w:rPr>
          <w:rtl/>
        </w:rPr>
        <w:fldChar w:fldCharType="begin"/>
      </w:r>
      <w:r w:rsidR="0086689D">
        <w:instrText xml:space="preserve"> XE "</w:instrText>
      </w:r>
      <w:r w:rsidR="0086689D" w:rsidRPr="00561B8F">
        <w:rPr>
          <w:rFonts w:hint="cs"/>
          <w:rtl/>
        </w:rPr>
        <w:instrText>אריסטו</w:instrText>
      </w:r>
      <w:r w:rsidR="0086689D" w:rsidRPr="00561B8F">
        <w:rPr>
          <w:rtl/>
        </w:rPr>
        <w:instrText>:</w:instrText>
      </w:r>
      <w:r w:rsidR="0086689D" w:rsidRPr="00561B8F">
        <w:rPr>
          <w:rFonts w:hint="cs"/>
          <w:rtl/>
        </w:rPr>
        <w:instrText>שם האלוהים</w:instrText>
      </w:r>
      <w:r w:rsidR="0086689D">
        <w:instrText xml:space="preserve">" </w:instrText>
      </w:r>
      <w:r w:rsidR="0086689D">
        <w:rPr>
          <w:rtl/>
        </w:rPr>
        <w:fldChar w:fldCharType="end"/>
      </w:r>
      <w:r w:rsidR="00F055C8">
        <w:rPr>
          <w:rtl/>
        </w:rPr>
        <w:t>"</w:t>
      </w:r>
      <w:r w:rsidR="00867E59">
        <w:rPr>
          <w:rFonts w:hint="cs"/>
          <w:rtl/>
        </w:rPr>
        <w:t xml:space="preserve"> כי לא ידוע שיש שם לאותו 'כל'.</w:t>
      </w:r>
      <w:r>
        <w:rPr>
          <w:rFonts w:hint="cs"/>
          <w:rtl/>
        </w:rPr>
        <w:t xml:space="preserve"> אלא תרגם </w:t>
      </w:r>
      <w:r w:rsidR="00F055C8">
        <w:rPr>
          <w:rtl/>
        </w:rPr>
        <w:t>"</w:t>
      </w:r>
      <w:r>
        <w:rPr>
          <w:rFonts w:hint="cs"/>
          <w:rtl/>
        </w:rPr>
        <w:t>כמו ש</w:t>
      </w:r>
      <w:r w:rsidR="00867E59">
        <w:rPr>
          <w:rFonts w:hint="cs"/>
          <w:rtl/>
        </w:rPr>
        <w:t>מתאים למשמעות המילה.</w:t>
      </w:r>
      <w:r w:rsidR="00F055C8">
        <w:rPr>
          <w:rtl/>
        </w:rPr>
        <w:t>"</w:t>
      </w:r>
      <w:r>
        <w:rPr>
          <w:rFonts w:hint="cs"/>
          <w:rtl/>
        </w:rPr>
        <w:t xml:space="preserve"> </w:t>
      </w:r>
      <w:r w:rsidR="00F055C8">
        <w:rPr>
          <w:rtl/>
        </w:rPr>
        <w:t>"</w:t>
      </w:r>
      <w:r w:rsidR="00867E59">
        <w:t xml:space="preserve">in accordance with the meaning of </w:t>
      </w:r>
      <w:r w:rsidR="00867E59" w:rsidRPr="00867E59">
        <w:t>the word</w:t>
      </w:r>
      <w:r w:rsidR="00F055C8">
        <w:t>"</w:t>
      </w:r>
      <w:r w:rsidR="004F7A28">
        <w:t xml:space="preserve"> </w:t>
      </w:r>
      <w:r w:rsidR="004F7A28">
        <w:rPr>
          <w:rFonts w:hint="cs"/>
          <w:rtl/>
        </w:rPr>
        <w:t xml:space="preserve"> (בעריכה של בארנס שינה ל</w:t>
      </w:r>
      <w:r w:rsidR="00F055C8">
        <w:rPr>
          <w:rtl/>
        </w:rPr>
        <w:t>"</w:t>
      </w:r>
      <w:r w:rsidR="004F7A28">
        <w:rPr>
          <w:rFonts w:hint="cs"/>
          <w:rtl/>
        </w:rPr>
        <w:t>כפי שהמונח רומז</w:t>
      </w:r>
      <w:r w:rsidR="00F055C8">
        <w:rPr>
          <w:rtl/>
        </w:rPr>
        <w:t>"</w:t>
      </w:r>
      <w:r w:rsidR="004F7A28">
        <w:rPr>
          <w:rFonts w:hint="cs"/>
          <w:rtl/>
        </w:rPr>
        <w:t xml:space="preserve"> </w:t>
      </w:r>
      <w:r w:rsidR="00F055C8">
        <w:rPr>
          <w:rtl/>
        </w:rPr>
        <w:t>"</w:t>
      </w:r>
      <w:r w:rsidR="004F7A28" w:rsidRPr="004F7A28">
        <w:t>as the term indicates</w:t>
      </w:r>
      <w:r w:rsidR="00F055C8">
        <w:rPr>
          <w:rtl/>
        </w:rPr>
        <w:t>"</w:t>
      </w:r>
      <w:r w:rsidR="004F7A28">
        <w:rPr>
          <w:rFonts w:hint="cs"/>
          <w:rtl/>
        </w:rPr>
        <w:t>)</w:t>
      </w:r>
      <w:r>
        <w:rPr>
          <w:rFonts w:hint="cs"/>
          <w:rtl/>
        </w:rPr>
        <w:t>. וזה לא ייתכן כי אין הגיון שאריסטו יקבע מונח ואחר כך ילמד דברים ממה שנרמז מ</w:t>
      </w:r>
      <w:r w:rsidR="00867E59">
        <w:rPr>
          <w:rFonts w:hint="cs"/>
          <w:rtl/>
        </w:rPr>
        <w:t xml:space="preserve">לשון </w:t>
      </w:r>
      <w:r>
        <w:rPr>
          <w:rFonts w:hint="cs"/>
          <w:rtl/>
        </w:rPr>
        <w:t>המונח הזה. אלא בהכרח מדובר על מונח שלא אריסטו קבע, ולכן אריסטו לומד ממנו</w:t>
      </w:r>
      <w:r w:rsidR="00867E59">
        <w:rPr>
          <w:rFonts w:hint="cs"/>
          <w:rtl/>
        </w:rPr>
        <w:t xml:space="preserve">. </w:t>
      </w:r>
      <w:r w:rsidR="00867E59">
        <w:t>W. K. Guthrie</w:t>
      </w:r>
      <w:r w:rsidR="00867E59">
        <w:rPr>
          <w:rFonts w:hint="cs"/>
          <w:rtl/>
        </w:rPr>
        <w:t xml:space="preserve"> שבא אחרי סטוקס ו</w:t>
      </w:r>
      <w:r w:rsidR="00837D5F">
        <w:rPr>
          <w:rFonts w:hint="cs"/>
          <w:rtl/>
        </w:rPr>
        <w:t>ראה את עבודתו ו</w:t>
      </w:r>
      <w:r w:rsidR="00867E59">
        <w:rPr>
          <w:rFonts w:hint="cs"/>
          <w:rtl/>
        </w:rPr>
        <w:t>תיקן את דבריו תרגם שמדובר כאן בשם</w:t>
      </w:r>
      <w:r w:rsidR="004F7A28">
        <w:rPr>
          <w:rFonts w:hint="cs"/>
          <w:rtl/>
        </w:rPr>
        <w:t>, כלומר מונח שהיה קיים לפני אריסטו ואריסטו לומד ממנו</w:t>
      </w:r>
      <w:r w:rsidR="00867E59">
        <w:rPr>
          <w:rFonts w:hint="cs"/>
          <w:rtl/>
        </w:rPr>
        <w:t xml:space="preserve">. </w:t>
      </w:r>
      <w:r w:rsidR="00F055C8">
        <w:rPr>
          <w:rtl/>
        </w:rPr>
        <w:t>"</w:t>
      </w:r>
      <w:r w:rsidR="004F7A28">
        <w:t>and, as it's name suggests</w:t>
      </w:r>
      <w:r w:rsidR="00F055C8">
        <w:rPr>
          <w:rtl/>
        </w:rPr>
        <w:t>"</w:t>
      </w:r>
      <w:r w:rsidR="004F7A28">
        <w:rPr>
          <w:rFonts w:hint="cs"/>
          <w:rtl/>
        </w:rPr>
        <w:t xml:space="preserve">. לא ידוע </w:t>
      </w:r>
      <w:r w:rsidR="00735CDA">
        <w:rPr>
          <w:rFonts w:hint="cs"/>
          <w:rtl/>
        </w:rPr>
        <w:t>שהייתה לאריסטו מסורת על שמות שונים לבורא, ועל שם שהוא 'כל'</w:t>
      </w:r>
      <w:r w:rsidR="004F7A28">
        <w:rPr>
          <w:rFonts w:hint="cs"/>
          <w:rtl/>
        </w:rPr>
        <w:t xml:space="preserve">, מלבד מה שכתבתי. </w:t>
      </w:r>
      <w:r w:rsidR="00513484">
        <w:rPr>
          <w:rFonts w:hint="cs"/>
          <w:rtl/>
        </w:rPr>
        <w:t xml:space="preserve">אריסטו כאן קושר את שלושת הממדים לעבודת האל, ואומר כמפי הגבורה בלי נימוק שכלי </w:t>
      </w:r>
      <w:r w:rsidR="002570C1">
        <w:rPr>
          <w:rFonts w:hint="cs"/>
          <w:rtl/>
        </w:rPr>
        <w:t xml:space="preserve">ודיון פילוסופי </w:t>
      </w:r>
      <w:r w:rsidR="00513484">
        <w:rPr>
          <w:rFonts w:hint="cs"/>
          <w:rtl/>
        </w:rPr>
        <w:t xml:space="preserve">שלא יתכנו עוד ממדים, והרי שלא מדובר כאן בחקירת טבע מדעית אלא ביסודות בעבודת האלוהים, שבהכרח מיוסדים על מסורת. </w:t>
      </w:r>
      <w:r w:rsidR="00F055C8">
        <w:rPr>
          <w:rtl/>
        </w:rPr>
        <w:t>"</w:t>
      </w:r>
      <w:r w:rsidR="00513484">
        <w:rPr>
          <w:rFonts w:hint="cs"/>
          <w:rtl/>
        </w:rPr>
        <w:t>הפיתגוראים</w:t>
      </w:r>
      <w:r w:rsidR="00F055C8">
        <w:rPr>
          <w:rtl/>
        </w:rPr>
        <w:t>"</w:t>
      </w:r>
      <w:r w:rsidR="00513484">
        <w:rPr>
          <w:rFonts w:hint="cs"/>
        </w:rPr>
        <w:t xml:space="preserve"> </w:t>
      </w:r>
      <w:r w:rsidR="00513484">
        <w:rPr>
          <w:rFonts w:hint="cs"/>
          <w:rtl/>
        </w:rPr>
        <w:t xml:space="preserve">הוא שם קוד אצל אריסטו למסורית אזוטרית דתית שמתאימה באופן מתמיה עם ספר יצירה ועוד מקורות קבליים. </w:t>
      </w:r>
      <w:r w:rsidR="004F7A28">
        <w:rPr>
          <w:rFonts w:hint="cs"/>
          <w:rtl/>
        </w:rPr>
        <w:t xml:space="preserve">במורה נבוכים ב' </w:t>
      </w:r>
      <w:r w:rsidR="00E90325">
        <w:rPr>
          <w:rFonts w:hint="cs"/>
          <w:rtl/>
        </w:rPr>
        <w:t>ו</w:t>
      </w:r>
      <w:r w:rsidR="004F7A28">
        <w:rPr>
          <w:rFonts w:hint="cs"/>
          <w:rtl/>
        </w:rPr>
        <w:t>' כ</w:t>
      </w:r>
      <w:r w:rsidR="00E90325">
        <w:rPr>
          <w:rFonts w:hint="cs"/>
          <w:rtl/>
        </w:rPr>
        <w:t>תב על הדמיון בין אפלטון ובין תורת הסוד של חז</w:t>
      </w:r>
      <w:r w:rsidR="00F055C8">
        <w:rPr>
          <w:rtl/>
        </w:rPr>
        <w:t>"</w:t>
      </w:r>
      <w:r w:rsidR="00E90325">
        <w:rPr>
          <w:rFonts w:hint="cs"/>
          <w:rtl/>
        </w:rPr>
        <w:t xml:space="preserve">ל, שהוא לא רק בתוכן אלא באופן מתמיה גם במונחים עצמם: </w:t>
      </w:r>
      <w:r w:rsidR="00F055C8">
        <w:rPr>
          <w:rtl/>
        </w:rPr>
        <w:t>"</w:t>
      </w:r>
      <w:r w:rsidR="00E90325" w:rsidRPr="00E90325">
        <w:rPr>
          <w:rtl/>
        </w:rPr>
        <w:t xml:space="preserve">ואתמה מאמרם </w:t>
      </w:r>
      <w:r w:rsidR="00F055C8">
        <w:rPr>
          <w:rtl/>
        </w:rPr>
        <w:t>"</w:t>
      </w:r>
      <w:r w:rsidR="00E90325" w:rsidRPr="00E90325">
        <w:rPr>
          <w:rtl/>
        </w:rPr>
        <w:t>מסתכל</w:t>
      </w:r>
      <w:r w:rsidR="00F055C8">
        <w:rPr>
          <w:rtl/>
        </w:rPr>
        <w:t>"</w:t>
      </w:r>
      <w:r w:rsidR="00E90325" w:rsidRPr="00E90325">
        <w:rPr>
          <w:rtl/>
        </w:rPr>
        <w:t>, כי בזה הלשון בעצמו יאמר אפלטון שהשם יעיין בעולם השכלים וישפיע ממנו המציאות.</w:t>
      </w:r>
      <w:r w:rsidR="00F055C8">
        <w:rPr>
          <w:rtl/>
        </w:rPr>
        <w:t>"</w:t>
      </w:r>
      <w:r w:rsidR="008C2ACD">
        <w:rPr>
          <w:rFonts w:hint="cs"/>
          <w:rtl/>
        </w:rPr>
        <w:t xml:space="preserve"> בלי ספק יש לרמב</w:t>
      </w:r>
      <w:r w:rsidR="00F055C8">
        <w:rPr>
          <w:rtl/>
        </w:rPr>
        <w:t>"</w:t>
      </w:r>
      <w:r w:rsidR="008C2ACD">
        <w:rPr>
          <w:rFonts w:hint="cs"/>
          <w:rtl/>
        </w:rPr>
        <w:t>ם כוונה גדולה ועמוקה בהדגשת התמיהה הזו, הוא לא עוסק בכתיבת הערות אגב מחקריות.</w:t>
      </w:r>
      <w:r w:rsidR="004F7A28">
        <w:rPr>
          <w:rFonts w:hint="cs"/>
          <w:rtl/>
        </w:rPr>
        <w:t xml:space="preserve"> כאן </w:t>
      </w:r>
      <w:r w:rsidR="008C2ACD">
        <w:rPr>
          <w:rFonts w:hint="cs"/>
          <w:rtl/>
        </w:rPr>
        <w:t xml:space="preserve">בעניין השם 'כל' </w:t>
      </w:r>
      <w:r w:rsidR="004F7A28">
        <w:rPr>
          <w:rFonts w:hint="cs"/>
          <w:rtl/>
        </w:rPr>
        <w:t>יש עוד דוגמה כזו</w:t>
      </w:r>
      <w:r>
        <w:rPr>
          <w:rFonts w:hint="cs"/>
          <w:rtl/>
        </w:rPr>
        <w:t>]</w:t>
      </w:r>
      <w:r w:rsidR="00F344FF">
        <w:rPr>
          <w:rFonts w:hint="cs"/>
          <w:rtl/>
        </w:rPr>
        <w:t xml:space="preserve"> </w:t>
      </w:r>
    </w:p>
    <w:p w14:paraId="770EE99C" w14:textId="77777777" w:rsidR="00863954" w:rsidRDefault="00863954" w:rsidP="00945A7C">
      <w:pPr>
        <w:pStyle w:val="FootnoteText"/>
        <w:rPr>
          <w:rtl/>
        </w:rPr>
      </w:pPr>
    </w:p>
    <w:p w14:paraId="6211C608" w14:textId="647737AC" w:rsidR="00863954" w:rsidRDefault="00863954" w:rsidP="00945A7C">
      <w:pPr>
        <w:pStyle w:val="FootnoteText"/>
        <w:rPr>
          <w:rtl/>
        </w:rPr>
      </w:pPr>
      <w:r>
        <w:rPr>
          <w:rFonts w:hint="cs"/>
          <w:rtl/>
        </w:rPr>
        <w:t>עיין דבריו העמוקים של אריסטו בפיזיקה ג' פרקים ד'-ו' על האין סוף</w:t>
      </w:r>
      <w:r w:rsidR="00402DD8">
        <w:rPr>
          <w:rtl/>
        </w:rPr>
        <w:fldChar w:fldCharType="begin"/>
      </w:r>
      <w:r w:rsidR="00402DD8">
        <w:instrText xml:space="preserve"> XE "</w:instrText>
      </w:r>
      <w:r w:rsidR="00402DD8" w:rsidRPr="004018C9">
        <w:rPr>
          <w:rFonts w:hint="cs"/>
          <w:rtl/>
        </w:rPr>
        <w:instrText>אריסטו</w:instrText>
      </w:r>
      <w:r w:rsidR="00402DD8" w:rsidRPr="004018C9">
        <w:rPr>
          <w:rtl/>
        </w:rPr>
        <w:instrText>:פיזיקה ג ד-ו</w:instrText>
      </w:r>
      <w:r w:rsidR="00402DD8" w:rsidRPr="004018C9">
        <w:rPr>
          <w:rFonts w:hint="cs"/>
          <w:rtl/>
        </w:rPr>
        <w:instrText xml:space="preserve"> </w:instrText>
      </w:r>
      <w:r w:rsidR="00402DD8">
        <w:rPr>
          <w:rFonts w:asciiTheme="minorHAnsi" w:eastAsiaTheme="minorEastAsia" w:hAnsiTheme="minorHAnsi" w:cstheme="minorBidi"/>
          <w:sz w:val="22"/>
          <w:szCs w:val="22"/>
        </w:rPr>
        <w:instrText>\</w:instrText>
      </w:r>
      <w:r w:rsidR="00402DD8" w:rsidRPr="004018C9">
        <w:rPr>
          <w:rFonts w:hint="cs"/>
          <w:rtl/>
        </w:rPr>
        <w:instrText>"הכל</w:instrText>
      </w:r>
      <w:r w:rsidR="00402DD8">
        <w:rPr>
          <w:rFonts w:asciiTheme="minorHAnsi" w:eastAsiaTheme="minorEastAsia" w:hAnsiTheme="minorHAnsi" w:cstheme="minorBidi"/>
          <w:sz w:val="22"/>
          <w:szCs w:val="22"/>
        </w:rPr>
        <w:instrText>\</w:instrText>
      </w:r>
      <w:r w:rsidR="00402DD8" w:rsidRPr="004018C9">
        <w:rPr>
          <w:rFonts w:hint="cs"/>
          <w:rtl/>
        </w:rPr>
        <w:instrText>"</w:instrText>
      </w:r>
      <w:r w:rsidR="00402DD8" w:rsidRPr="004018C9">
        <w:rPr>
          <w:rFonts w:hint="cs"/>
        </w:rPr>
        <w:instrText xml:space="preserve"> </w:instrText>
      </w:r>
      <w:r w:rsidR="00402DD8" w:rsidRPr="004018C9">
        <w:rPr>
          <w:rFonts w:hint="cs"/>
          <w:rtl/>
        </w:rPr>
        <w:instrText xml:space="preserve">או </w:instrText>
      </w:r>
      <w:r w:rsidR="00402DD8">
        <w:rPr>
          <w:rFonts w:asciiTheme="minorHAnsi" w:eastAsiaTheme="minorEastAsia" w:hAnsiTheme="minorHAnsi" w:cstheme="minorBidi"/>
          <w:sz w:val="22"/>
          <w:szCs w:val="22"/>
        </w:rPr>
        <w:instrText>\</w:instrText>
      </w:r>
      <w:r w:rsidR="00402DD8" w:rsidRPr="004018C9">
        <w:rPr>
          <w:rFonts w:hint="cs"/>
          <w:rtl/>
        </w:rPr>
        <w:instrText>"השלם</w:instrText>
      </w:r>
      <w:r w:rsidR="00402DD8">
        <w:rPr>
          <w:rFonts w:asciiTheme="minorHAnsi" w:eastAsiaTheme="minorEastAsia" w:hAnsiTheme="minorHAnsi" w:cstheme="minorBidi"/>
          <w:sz w:val="22"/>
          <w:szCs w:val="22"/>
        </w:rPr>
        <w:instrText>\</w:instrText>
      </w:r>
      <w:r w:rsidR="00402DD8" w:rsidRPr="004018C9">
        <w:rPr>
          <w:rFonts w:hint="cs"/>
          <w:rtl/>
        </w:rPr>
        <w:instrText>"</w:instrText>
      </w:r>
      <w:r w:rsidR="00402DD8">
        <w:instrText xml:space="preserve">" </w:instrText>
      </w:r>
      <w:r w:rsidR="00402DD8">
        <w:rPr>
          <w:rtl/>
        </w:rPr>
        <w:fldChar w:fldCharType="end"/>
      </w:r>
      <w:r>
        <w:rPr>
          <w:rFonts w:hint="cs"/>
          <w:rtl/>
        </w:rPr>
        <w:t>, ובמיוחד בפרק ו', גם שם הוא מבאר את עניין 'הכל' או 'השלם'. תוכן דבריו שם הוא כמו שכתב האר</w:t>
      </w:r>
      <w:r w:rsidR="00F055C8">
        <w:rPr>
          <w:rtl/>
        </w:rPr>
        <w:t>"</w:t>
      </w:r>
      <w:r>
        <w:rPr>
          <w:rFonts w:hint="cs"/>
          <w:rtl/>
        </w:rPr>
        <w:t>י</w:t>
      </w:r>
      <w:r w:rsidR="005830F1">
        <w:rPr>
          <w:rtl/>
        </w:rPr>
        <w:fldChar w:fldCharType="begin"/>
      </w:r>
      <w:r w:rsidR="005830F1">
        <w:instrText xml:space="preserve"> XE "</w:instrText>
      </w:r>
      <w:r w:rsidR="005830F1" w:rsidRPr="00697CC7">
        <w:rPr>
          <w:rFonts w:hint="cs"/>
          <w:rtl/>
        </w:rPr>
        <w:instrText>האר</w:instrText>
      </w:r>
      <w:r w:rsidR="005830F1">
        <w:rPr>
          <w:b/>
          <w:bCs/>
          <w:sz w:val="20"/>
          <w:szCs w:val="20"/>
        </w:rPr>
        <w:instrText>\</w:instrText>
      </w:r>
      <w:r w:rsidR="005830F1" w:rsidRPr="00697CC7">
        <w:rPr>
          <w:rFonts w:hint="cs"/>
          <w:rtl/>
        </w:rPr>
        <w:instrText>"י</w:instrText>
      </w:r>
      <w:r w:rsidR="005830F1">
        <w:instrText xml:space="preserve">" </w:instrText>
      </w:r>
      <w:r w:rsidR="005830F1">
        <w:rPr>
          <w:rtl/>
        </w:rPr>
        <w:fldChar w:fldCharType="end"/>
      </w:r>
      <w:r>
        <w:rPr>
          <w:rFonts w:hint="cs"/>
          <w:rtl/>
        </w:rPr>
        <w:t xml:space="preserve"> בספר </w:t>
      </w:r>
      <w:r w:rsidR="00F055C8">
        <w:rPr>
          <w:rtl/>
        </w:rPr>
        <w:t>"</w:t>
      </w:r>
      <w:r>
        <w:rPr>
          <w:rFonts w:hint="cs"/>
          <w:rtl/>
        </w:rPr>
        <w:t>עץ חיים</w:t>
      </w:r>
      <w:r w:rsidR="00F055C8">
        <w:rPr>
          <w:rtl/>
        </w:rPr>
        <w:t>"</w:t>
      </w:r>
      <w:r>
        <w:rPr>
          <w:rFonts w:hint="cs"/>
          <w:rtl/>
        </w:rPr>
        <w:t xml:space="preserve"> שער א' ענף ב', שהתחלת הבריאה היא שהיה אור אין סוף פשוט, ובאמצעו נתהווה חלל ריק, פנוי. האופן שבו נמצא האין סוף בתוך החלל (שכמובן אינו יכול להיות פנוי לגמרי כפשוטו, כי בלי סיבת המציאות אין מציאות), הוא לא כמו שאדם או סוס נמצאים, אלא כמו ש'יום' נמצא, או כמו שמשחקי תחרות הספורט קיימים. היום לא קיים בבת אחת אלא באופן נמשך, מההתחלה אל האמצע ומשם אל הסוף.</w:t>
      </w:r>
    </w:p>
    <w:p w14:paraId="77E38F0B" w14:textId="77777777" w:rsidR="00863954" w:rsidRDefault="00863954" w:rsidP="00945A7C">
      <w:pPr>
        <w:pStyle w:val="FootnoteText"/>
        <w:rPr>
          <w:rtl/>
        </w:rPr>
      </w:pPr>
      <w:r>
        <w:rPr>
          <w:rFonts w:hint="cs"/>
          <w:rtl/>
        </w:rPr>
        <w:t>זה מה שכתוב בספר יצירה בתחילתו:</w:t>
      </w:r>
    </w:p>
    <w:p w14:paraId="07072562" w14:textId="2E8BD769" w:rsidR="00945A7C" w:rsidRDefault="00F055C8" w:rsidP="00945A7C">
      <w:pPr>
        <w:pStyle w:val="FootnoteText"/>
        <w:rPr>
          <w:rtl/>
        </w:rPr>
      </w:pPr>
      <w:r>
        <w:rPr>
          <w:rtl/>
        </w:rPr>
        <w:t>"</w:t>
      </w:r>
      <w:r w:rsidR="00BF67F2" w:rsidRPr="00BF67F2">
        <w:rPr>
          <w:rtl/>
        </w:rPr>
        <w:t>בשלשים ושתים נתיבות פליאות חכמה חקק יה יהוה צבאות את עולמו בשלשה ספרים בספר ספר וספור</w:t>
      </w:r>
      <w:r>
        <w:rPr>
          <w:rtl/>
        </w:rPr>
        <w:t>"</w:t>
      </w:r>
      <w:r w:rsidR="00863954">
        <w:rPr>
          <w:rFonts w:hint="cs"/>
          <w:rtl/>
        </w:rPr>
        <w:t xml:space="preserve"> </w:t>
      </w:r>
      <w:r w:rsidR="007456FC">
        <w:rPr>
          <w:rFonts w:hint="cs"/>
          <w:rtl/>
        </w:rPr>
        <w:t xml:space="preserve"> </w:t>
      </w:r>
    </w:p>
    <w:p w14:paraId="3CDB73E3" w14:textId="5C2E7CA6" w:rsidR="007B00B5" w:rsidRDefault="00BF67F2" w:rsidP="003C6382">
      <w:pPr>
        <w:pStyle w:val="FootnoteText"/>
        <w:rPr>
          <w:rtl/>
        </w:rPr>
      </w:pPr>
      <w:r>
        <w:rPr>
          <w:rFonts w:hint="cs"/>
          <w:rtl/>
        </w:rPr>
        <w:t xml:space="preserve">ספר הוא דבר שיש לו התחלה אמצע וסוף. האין סוף הצטמצם, והצורה הראשונית של הצמצום היא התחלה אמצע וסוף. זה ההתחלה של הוויה כ'משהו', כ'יש', ולא רק כאין סוף שהוא 'אין' כי אין בו הגדרות וגבולות ולכן אין בו 'משהו'.  </w:t>
      </w:r>
    </w:p>
    <w:p w14:paraId="7E70C77D" w14:textId="0CF06A26" w:rsidR="00BF67F2" w:rsidRDefault="00BF67F2" w:rsidP="003C6382">
      <w:pPr>
        <w:pStyle w:val="FootnoteText"/>
        <w:rPr>
          <w:rtl/>
        </w:rPr>
      </w:pPr>
      <w:r>
        <w:rPr>
          <w:rFonts w:hint="cs"/>
          <w:rtl/>
        </w:rPr>
        <w:t>אם נתעלם מכל מה שנמצא, יישאר חלל ריק אין סופי, שהוא התלת ממדיות כלשעצמה. זו צורת התלת ממדיות</w:t>
      </w:r>
      <w:r w:rsidR="00DF4268">
        <w:rPr>
          <w:rtl/>
        </w:rPr>
        <w:fldChar w:fldCharType="begin"/>
      </w:r>
      <w:r w:rsidR="00DF4268">
        <w:instrText xml:space="preserve"> XE "</w:instrText>
      </w:r>
      <w:r w:rsidR="00DF4268" w:rsidRPr="002E0075">
        <w:rPr>
          <w:rFonts w:hint="cs"/>
          <w:rtl/>
        </w:rPr>
        <w:instrText>צורת התלת ממדיות</w:instrText>
      </w:r>
      <w:r w:rsidR="00DF4268">
        <w:instrText xml:space="preserve">" </w:instrText>
      </w:r>
      <w:r w:rsidR="00DF4268">
        <w:rPr>
          <w:rtl/>
        </w:rPr>
        <w:fldChar w:fldCharType="end"/>
      </w:r>
      <w:r>
        <w:rPr>
          <w:rFonts w:hint="cs"/>
          <w:rtl/>
        </w:rPr>
        <w:t xml:space="preserve"> שהיא הצורה הראשונה של מה שיוצא להיות 'יש', מה'אין' האין סופי. </w:t>
      </w:r>
      <w:r w:rsidR="004773BD">
        <w:rPr>
          <w:rFonts w:hint="cs"/>
          <w:rtl/>
        </w:rPr>
        <w:t>בערבית המונח של אבן סינא הוא</w:t>
      </w:r>
      <w:r w:rsidR="004773BD" w:rsidRPr="004773BD">
        <w:rPr>
          <w:rtl/>
        </w:rPr>
        <w:t xml:space="preserve"> </w:t>
      </w:r>
      <w:bookmarkStart w:id="72" w:name="_Hlk80897932"/>
      <w:r w:rsidR="004773BD" w:rsidRPr="004773BD">
        <w:rPr>
          <w:rFonts w:ascii="Arial" w:hAnsi="Arial" w:cs="Arial" w:hint="cs"/>
          <w:rtl/>
          <w:lang w:bidi="ar-SA"/>
        </w:rPr>
        <w:t>صورة</w:t>
      </w:r>
      <w:r w:rsidR="004773BD" w:rsidRPr="004773BD">
        <w:rPr>
          <w:rtl/>
          <w:lang w:bidi="ar-SA"/>
        </w:rPr>
        <w:t xml:space="preserve"> </w:t>
      </w:r>
      <w:r w:rsidR="004773BD" w:rsidRPr="004773BD">
        <w:rPr>
          <w:rFonts w:ascii="Arial" w:hAnsi="Arial" w:cs="Arial" w:hint="cs"/>
          <w:rtl/>
          <w:lang w:bidi="ar-SA"/>
        </w:rPr>
        <w:t>الجسمية</w:t>
      </w:r>
      <w:r w:rsidR="004773BD" w:rsidRPr="004773BD">
        <w:rPr>
          <w:rtl/>
        </w:rPr>
        <w:t xml:space="preserve"> - צורת הגופניות</w:t>
      </w:r>
      <w:bookmarkEnd w:id="72"/>
      <w:r w:rsidR="004773BD" w:rsidRPr="004773BD">
        <w:rPr>
          <w:rtl/>
        </w:rPr>
        <w:t>.</w:t>
      </w:r>
      <w:r w:rsidR="004773BD">
        <w:rPr>
          <w:rFonts w:cs="Times New Roman" w:hint="cs"/>
          <w:rtl/>
        </w:rPr>
        <w:t xml:space="preserve"> </w:t>
      </w:r>
    </w:p>
    <w:p w14:paraId="1D0D7369" w14:textId="77777777" w:rsidR="009F7E87" w:rsidRDefault="009F7E87" w:rsidP="003C6382">
      <w:pPr>
        <w:pStyle w:val="FootnoteText"/>
        <w:rPr>
          <w:rtl/>
        </w:rPr>
      </w:pPr>
      <w:r>
        <w:rPr>
          <w:rFonts w:hint="cs"/>
          <w:rtl/>
        </w:rPr>
        <w:t>כל גוף שקיים בטבע, יש לו בהכרח מידת אורך רוחב וגובה. המידה עצמה היא רק מספר. המספר הזה כשלעצמו הוא המקום של הגוף, החומר והצורה אחר כך ממלאים את המקום הזה. בשלב שהכל רק מספרים העולם כולו קיים על כל הגופים שיש בו, אבל זה קיום שהוא רק בתלת ממדיות כשלעצמה, עוד אין חומר וצורה של הדברים.</w:t>
      </w:r>
    </w:p>
    <w:p w14:paraId="4E050224" w14:textId="190E19CE" w:rsidR="000C790A" w:rsidRDefault="000C790A" w:rsidP="000C790A">
      <w:pPr>
        <w:pStyle w:val="FootnoteText"/>
        <w:rPr>
          <w:rtl/>
        </w:rPr>
      </w:pPr>
      <w:r>
        <w:rPr>
          <w:rFonts w:hint="cs"/>
          <w:rtl/>
        </w:rPr>
        <w:t>וכמו ש</w:t>
      </w:r>
      <w:r>
        <w:rPr>
          <w:rtl/>
        </w:rPr>
        <w:t>כתב בטימיאוס מאת אפלטון, מעמ' 53:</w:t>
      </w:r>
    </w:p>
    <w:p w14:paraId="23B43038" w14:textId="4C8168D6" w:rsidR="000C790A" w:rsidRDefault="00F055C8" w:rsidP="000C790A">
      <w:pPr>
        <w:pStyle w:val="FootnoteText"/>
        <w:rPr>
          <w:rtl/>
        </w:rPr>
      </w:pPr>
      <w:r>
        <w:rPr>
          <w:rtl/>
        </w:rPr>
        <w:t>"</w:t>
      </w:r>
      <w:r w:rsidR="000C790A">
        <w:rPr>
          <w:rtl/>
        </w:rPr>
        <w:t xml:space="preserve">אך קודם לכן היו כל אותם המינים [ד' היסודות] בלא מתכונת ומידה. אש, מים, אדמה ואויר אמנם נמצאו בהם כמה סימנים בהם ניכר טבעם, אבל מכל וכל היו שרויים באותו מצב שבהיעדר אלוה יהא מסתבר לגבי כל דבר שבעולם. כך היה, אפוא, טיבם, בשעה שהוחל בתיקון העולם, ואותה שעה נתן להם האל בתחילה תבנית נפרדת, על ידי צורות </w:t>
      </w:r>
      <w:r w:rsidR="000C790A" w:rsidRPr="000C790A">
        <w:rPr>
          <w:b/>
          <w:bCs/>
          <w:rtl/>
        </w:rPr>
        <w:t>ומספרים</w:t>
      </w:r>
      <w:r w:rsidR="000C790A">
        <w:rPr>
          <w:rtl/>
        </w:rPr>
        <w:t>.</w:t>
      </w:r>
      <w:r>
        <w:rPr>
          <w:rtl/>
        </w:rPr>
        <w:t>"</w:t>
      </w:r>
    </w:p>
    <w:p w14:paraId="7082CECE" w14:textId="0EB44224" w:rsidR="009F7E87" w:rsidRDefault="000C790A" w:rsidP="000C790A">
      <w:pPr>
        <w:pStyle w:val="FootnoteText"/>
        <w:rPr>
          <w:rtl/>
        </w:rPr>
      </w:pPr>
      <w:r>
        <w:rPr>
          <w:rFonts w:hint="cs"/>
          <w:rtl/>
        </w:rPr>
        <w:t xml:space="preserve">וכמו שכתב גם אריסטו </w:t>
      </w:r>
      <w:r w:rsidR="00EB3AAA">
        <w:rPr>
          <w:rFonts w:hint="cs"/>
          <w:rtl/>
        </w:rPr>
        <w:t xml:space="preserve">בפיזיקה ד' ב' (209ב שורה 11), </w:t>
      </w:r>
      <w:r>
        <w:rPr>
          <w:rFonts w:hint="cs"/>
          <w:rtl/>
        </w:rPr>
        <w:t xml:space="preserve">במטאפיזיקה א' ו', ומטאפיזיקה למבדא סוף פרק א'. </w:t>
      </w:r>
      <w:r w:rsidR="009F7E87">
        <w:rPr>
          <w:rFonts w:hint="cs"/>
          <w:rtl/>
        </w:rPr>
        <w:t xml:space="preserve"> </w:t>
      </w:r>
    </w:p>
    <w:p w14:paraId="210F21A8" w14:textId="299BFF16" w:rsidR="00C934D4" w:rsidRDefault="004E75A0" w:rsidP="000C790A">
      <w:pPr>
        <w:pStyle w:val="FootnoteText"/>
        <w:rPr>
          <w:rtl/>
        </w:rPr>
      </w:pPr>
      <w:r>
        <w:rPr>
          <w:rFonts w:hint="cs"/>
          <w:rtl/>
        </w:rPr>
        <w:t xml:space="preserve">עיקר העניין התבאר בביאורי על </w:t>
      </w:r>
      <w:r w:rsidR="00F055C8">
        <w:rPr>
          <w:rtl/>
        </w:rPr>
        <w:t>"</w:t>
      </w:r>
      <w:hyperlink r:id="rId20" w:history="1">
        <w:r w:rsidRPr="00652435">
          <w:rPr>
            <w:rStyle w:val="Hyperlink"/>
            <w:rFonts w:hint="cs"/>
            <w:rtl/>
          </w:rPr>
          <w:t>רמיזות והערות</w:t>
        </w:r>
      </w:hyperlink>
      <w:r w:rsidR="00F055C8">
        <w:rPr>
          <w:rStyle w:val="Hyperlink"/>
          <w:rtl/>
        </w:rPr>
        <w:t>"</w:t>
      </w:r>
      <w:r w:rsidRPr="004E75A0">
        <w:rPr>
          <w:rStyle w:val="Hyperlink"/>
          <w:rFonts w:hint="cs"/>
          <w:color w:val="auto"/>
          <w:u w:val="none"/>
          <w:rtl/>
        </w:rPr>
        <w:t xml:space="preserve"> מאת אבן סינא</w:t>
      </w:r>
      <w:r>
        <w:rPr>
          <w:rFonts w:hint="cs"/>
          <w:rtl/>
        </w:rPr>
        <w:t xml:space="preserve"> פיזיקה חלק א' פרק ז'. ועיין שם גם בפרק י' וי</w:t>
      </w:r>
      <w:r w:rsidR="00F055C8">
        <w:rPr>
          <w:rtl/>
        </w:rPr>
        <w:t>"</w:t>
      </w:r>
      <w:r>
        <w:rPr>
          <w:rFonts w:hint="cs"/>
          <w:rtl/>
        </w:rPr>
        <w:t>ד. כאן הזכרתי מעט ראשי פרקים ממה שהתבאר שם, ואני סומך על הקורא שיעיין שם.</w:t>
      </w:r>
    </w:p>
    <w:p w14:paraId="6FB09E6A" w14:textId="6C26F1FB" w:rsidR="00073C5C" w:rsidRDefault="00C934D4" w:rsidP="000C790A">
      <w:pPr>
        <w:pStyle w:val="FootnoteText"/>
        <w:rPr>
          <w:rtl/>
        </w:rPr>
      </w:pPr>
      <w:r>
        <w:rPr>
          <w:rFonts w:hint="cs"/>
          <w:rtl/>
        </w:rPr>
        <w:t>ההתחלה אמצע וסוף הם השילוש שמדבר עליו אריסטו, שהוא שם האלוה והוא היסוד בעבודתו. זהו הצמצום שכתב האר</w:t>
      </w:r>
      <w:r w:rsidR="00F055C8">
        <w:rPr>
          <w:rtl/>
        </w:rPr>
        <w:t>"</w:t>
      </w:r>
      <w:r>
        <w:rPr>
          <w:rFonts w:hint="cs"/>
          <w:rtl/>
        </w:rPr>
        <w:t xml:space="preserve">י, ושורש התהוות הבריאה שכתוב בספר יצירה. </w:t>
      </w:r>
    </w:p>
    <w:p w14:paraId="48C7E8BA" w14:textId="77C03B8E" w:rsidR="00073C5C" w:rsidRDefault="00073C5C" w:rsidP="000C790A">
      <w:pPr>
        <w:pStyle w:val="FootnoteText"/>
        <w:rPr>
          <w:rtl/>
        </w:rPr>
      </w:pPr>
      <w:r>
        <w:rPr>
          <w:rFonts w:hint="cs"/>
          <w:rtl/>
        </w:rPr>
        <w:t>שבע הספירות של חכמי הקבלה, הן לפי הקבלה ששה כיוונים: קדימה אחורה, למעלה למטה, ימין ושמאל, ונקודת המרכז. אלה שלושת הממדים שמדובר עליהם כאן. הם המעבר של ההתגלות האלוהית מאין סוף ל'כל' או 'שלם', שזהו גבול שמכיל הכל ועדיין הוא גבול, הוא ההצטמצמות של האין סוף לכדור, כלומר תלת ממדיות. ועיין עוד במסכת שבת דף פ</w:t>
      </w:r>
      <w:r w:rsidR="00F055C8">
        <w:rPr>
          <w:rtl/>
        </w:rPr>
        <w:t>"</w:t>
      </w:r>
      <w:r>
        <w:rPr>
          <w:rFonts w:hint="cs"/>
          <w:rtl/>
        </w:rPr>
        <w:t xml:space="preserve">ח עמוד א'. </w:t>
      </w:r>
    </w:p>
    <w:p w14:paraId="05F840A5" w14:textId="77777777" w:rsidR="002570C1" w:rsidRDefault="002570C1" w:rsidP="000C790A">
      <w:pPr>
        <w:pStyle w:val="FootnoteText"/>
        <w:rPr>
          <w:rtl/>
        </w:rPr>
      </w:pPr>
    </w:p>
    <w:p w14:paraId="08EE6A55" w14:textId="21A4A9D9" w:rsidR="00073C5C" w:rsidRDefault="00073C5C" w:rsidP="000C790A">
      <w:pPr>
        <w:pStyle w:val="FootnoteText"/>
        <w:rPr>
          <w:rtl/>
        </w:rPr>
      </w:pPr>
      <w:r>
        <w:rPr>
          <w:rFonts w:hint="cs"/>
          <w:rtl/>
        </w:rPr>
        <w:t>זה לשון אריסטו בפיזיקה ג' ו'</w:t>
      </w:r>
      <w:r w:rsidR="00AB4EDF">
        <w:rPr>
          <w:rtl/>
        </w:rPr>
        <w:fldChar w:fldCharType="begin"/>
      </w:r>
      <w:r w:rsidR="00AB4EDF">
        <w:instrText xml:space="preserve"> XE "</w:instrText>
      </w:r>
      <w:r w:rsidR="00AB4EDF" w:rsidRPr="00DE195B">
        <w:rPr>
          <w:rFonts w:hint="cs"/>
          <w:rtl/>
        </w:rPr>
        <w:instrText>אריסטו</w:instrText>
      </w:r>
      <w:r w:rsidR="006B5406">
        <w:rPr>
          <w:rFonts w:hint="cs"/>
          <w:rtl/>
        </w:rPr>
        <w:instrText>:</w:instrText>
      </w:r>
      <w:r w:rsidR="00AB4EDF" w:rsidRPr="00DE195B">
        <w:rPr>
          <w:rFonts w:hint="cs"/>
          <w:rtl/>
        </w:rPr>
        <w:instrText>פיזיקה ג' ו'</w:instrText>
      </w:r>
      <w:r w:rsidR="00AB4EDF">
        <w:instrText xml:space="preserve">" </w:instrText>
      </w:r>
      <w:r w:rsidR="00AB4EDF">
        <w:rPr>
          <w:rtl/>
        </w:rPr>
        <w:fldChar w:fldCharType="end"/>
      </w:r>
      <w:r>
        <w:rPr>
          <w:rFonts w:hint="cs"/>
          <w:rtl/>
        </w:rPr>
        <w:t>:</w:t>
      </w:r>
    </w:p>
    <w:p w14:paraId="2B184AFC" w14:textId="039D9572" w:rsidR="00B312FE" w:rsidRDefault="00F055C8" w:rsidP="000C790A">
      <w:pPr>
        <w:pStyle w:val="FootnoteText"/>
        <w:rPr>
          <w:rtl/>
        </w:rPr>
      </w:pPr>
      <w:r>
        <w:rPr>
          <w:rtl/>
        </w:rPr>
        <w:t>"</w:t>
      </w:r>
      <w:r w:rsidR="00073C5C">
        <w:rPr>
          <w:rFonts w:hint="cs"/>
          <w:rtl/>
        </w:rPr>
        <w:t>כך דבר הוא אין סופי אם לוקחים ממנו כמות אחר כמות, תמיד אפשר לקחת משהו ממנו [האין סוף, הכרחי המציאות, הוא מקור המציאות, השפע הנובע בלי הגבלה, המצוי הראשון שממציא כל נמצא]</w:t>
      </w:r>
      <w:r w:rsidR="00B312FE">
        <w:rPr>
          <w:rFonts w:hint="cs"/>
          <w:rtl/>
        </w:rPr>
        <w:t>.</w:t>
      </w:r>
    </w:p>
    <w:p w14:paraId="2CCCB779" w14:textId="33E2B0C9" w:rsidR="000D1F37" w:rsidRDefault="00B312FE" w:rsidP="000C790A">
      <w:pPr>
        <w:pStyle w:val="FootnoteText"/>
        <w:rPr>
          <w:rtl/>
        </w:rPr>
      </w:pPr>
      <w:r>
        <w:rPr>
          <w:rFonts w:hint="cs"/>
          <w:rtl/>
        </w:rPr>
        <w:t xml:space="preserve">מצד שני, מה שאין מאומה מחוץ לו הוא 'השלם' ו'הכל'. כי כך אנו מגדירים את השלם: זה שממנו מאומה לא חסר, כמו אדם שלם או ארון שלם. מה שהוא אמת לכל יחיד </w:t>
      </w:r>
      <w:r w:rsidR="009C463A">
        <w:rPr>
          <w:rFonts w:hint="cs"/>
          <w:rtl/>
        </w:rPr>
        <w:t>מסוים</w:t>
      </w:r>
      <w:r>
        <w:rPr>
          <w:rFonts w:hint="cs"/>
          <w:rtl/>
        </w:rPr>
        <w:t>, הוא אמת לשלם. ליתר דיוק, השלם הוא מה שאין מחוץ לו [המציאות כולה כשלם היא הכדור שאין מחוץ לגבולו מאומה (גם לא חלל ריק, אלא מחוץ לו המופשט המוחלט, האין סוף בלבד). אצל היחיד המסוים הכוונה היא שאין מחוץ לו מאומה ממהותו או סוגו. כלומר ראובן הוא שלם כי אין שום משהו ראובני מחוץ לו].</w:t>
      </w:r>
    </w:p>
    <w:p w14:paraId="388031E4" w14:textId="3B34ACF0" w:rsidR="002570C1" w:rsidRDefault="000D1F37" w:rsidP="000C790A">
      <w:pPr>
        <w:pStyle w:val="FootnoteText"/>
        <w:rPr>
          <w:rtl/>
        </w:rPr>
      </w:pPr>
      <w:r>
        <w:rPr>
          <w:rFonts w:hint="cs"/>
          <w:rtl/>
        </w:rPr>
        <w:t>לעומת זאת מה שממנו משהו חסר או מחוץ לו, יהיה קטן ככל שיהיה, איננו 'הכל'. 'הכל' ו'השלם' הם זהים או כמעט זהים. שום דבר איננו שלם אם אין לו סוף, והסוף הוא גבול</w:t>
      </w:r>
      <w:r w:rsidR="00F055C8">
        <w:rPr>
          <w:rtl/>
        </w:rPr>
        <w:t>"</w:t>
      </w:r>
      <w:r w:rsidR="002570C1">
        <w:rPr>
          <w:rFonts w:hint="cs"/>
          <w:rtl/>
        </w:rPr>
        <w:t xml:space="preserve"> </w:t>
      </w:r>
    </w:p>
    <w:p w14:paraId="397B54C4" w14:textId="77777777" w:rsidR="002570C1" w:rsidRDefault="002570C1" w:rsidP="002570C1">
      <w:pPr>
        <w:pStyle w:val="FootnoteText"/>
        <w:rPr>
          <w:rtl/>
        </w:rPr>
      </w:pPr>
      <w:r>
        <w:rPr>
          <w:rFonts w:hint="cs"/>
          <w:rtl/>
        </w:rPr>
        <w:t>עד כאן לשונו.</w:t>
      </w:r>
    </w:p>
    <w:p w14:paraId="16473C9B" w14:textId="77777777" w:rsidR="002570C1" w:rsidRDefault="002570C1" w:rsidP="002570C1">
      <w:pPr>
        <w:pStyle w:val="FootnoteText"/>
        <w:rPr>
          <w:rtl/>
        </w:rPr>
      </w:pPr>
    </w:p>
    <w:p w14:paraId="7542F15D" w14:textId="6B204D68" w:rsidR="000D1F37" w:rsidRDefault="000D1F37" w:rsidP="002570C1">
      <w:pPr>
        <w:pStyle w:val="FootnoteText"/>
        <w:rPr>
          <w:rtl/>
        </w:rPr>
      </w:pPr>
      <w:r>
        <w:rPr>
          <w:rFonts w:hint="cs"/>
          <w:rtl/>
        </w:rPr>
        <w:t>העיגול של הצמצום שכתב האר</w:t>
      </w:r>
      <w:r w:rsidR="00F055C8">
        <w:rPr>
          <w:rtl/>
        </w:rPr>
        <w:t>"</w:t>
      </w:r>
      <w:r>
        <w:rPr>
          <w:rFonts w:hint="cs"/>
          <w:rtl/>
        </w:rPr>
        <w:t>י</w:t>
      </w:r>
      <w:r w:rsidR="00221378">
        <w:rPr>
          <w:rtl/>
        </w:rPr>
        <w:fldChar w:fldCharType="begin"/>
      </w:r>
      <w:r w:rsidR="00221378">
        <w:instrText xml:space="preserve"> XE "</w:instrText>
      </w:r>
      <w:r w:rsidR="00221378" w:rsidRPr="009D42A5">
        <w:rPr>
          <w:rFonts w:hint="cs"/>
          <w:rtl/>
        </w:rPr>
        <w:instrText>האר</w:instrText>
      </w:r>
      <w:r w:rsidR="00221378">
        <w:rPr>
          <w:b/>
          <w:bCs/>
          <w:sz w:val="20"/>
          <w:szCs w:val="20"/>
        </w:rPr>
        <w:instrText>\</w:instrText>
      </w:r>
      <w:r w:rsidR="00221378" w:rsidRPr="009D42A5">
        <w:rPr>
          <w:rFonts w:hint="cs"/>
          <w:rtl/>
        </w:rPr>
        <w:instrText>"י</w:instrText>
      </w:r>
      <w:r w:rsidR="00221378">
        <w:instrText xml:space="preserve">" </w:instrText>
      </w:r>
      <w:r w:rsidR="00221378">
        <w:rPr>
          <w:rtl/>
        </w:rPr>
        <w:fldChar w:fldCharType="end"/>
      </w:r>
      <w:r w:rsidR="005830F1">
        <w:rPr>
          <w:rtl/>
        </w:rPr>
        <w:fldChar w:fldCharType="begin"/>
      </w:r>
      <w:r w:rsidR="005830F1">
        <w:instrText xml:space="preserve"> XE "</w:instrText>
      </w:r>
      <w:r w:rsidR="005830F1" w:rsidRPr="00820FFE">
        <w:rPr>
          <w:rFonts w:hint="cs"/>
          <w:rtl/>
        </w:rPr>
        <w:instrText>האר</w:instrText>
      </w:r>
      <w:r w:rsidR="005830F1">
        <w:rPr>
          <w:b/>
          <w:bCs/>
          <w:sz w:val="20"/>
          <w:szCs w:val="20"/>
        </w:rPr>
        <w:instrText>\</w:instrText>
      </w:r>
      <w:r w:rsidR="005830F1" w:rsidRPr="00820FFE">
        <w:rPr>
          <w:rFonts w:hint="cs"/>
          <w:rtl/>
        </w:rPr>
        <w:instrText>"י</w:instrText>
      </w:r>
      <w:r w:rsidR="005830F1">
        <w:instrText xml:space="preserve">" </w:instrText>
      </w:r>
      <w:r w:rsidR="005830F1">
        <w:rPr>
          <w:rtl/>
        </w:rPr>
        <w:fldChar w:fldCharType="end"/>
      </w:r>
      <w:r>
        <w:rPr>
          <w:rFonts w:hint="cs"/>
          <w:rtl/>
        </w:rPr>
        <w:t>, הוא נקודת החומר הראשון ההיולי</w:t>
      </w:r>
      <w:r w:rsidR="004D0395">
        <w:rPr>
          <w:rtl/>
        </w:rPr>
        <w:fldChar w:fldCharType="begin"/>
      </w:r>
      <w:r w:rsidR="004D0395">
        <w:instrText xml:space="preserve"> XE "</w:instrText>
      </w:r>
      <w:r w:rsidR="004D0395" w:rsidRPr="00563A1D">
        <w:rPr>
          <w:rFonts w:hint="cs"/>
          <w:rtl/>
        </w:rPr>
        <w:instrText>היולי</w:instrText>
      </w:r>
      <w:r w:rsidR="004D0395">
        <w:instrText xml:space="preserve">" </w:instrText>
      </w:r>
      <w:r w:rsidR="004D0395">
        <w:rPr>
          <w:rtl/>
        </w:rPr>
        <w:fldChar w:fldCharType="end"/>
      </w:r>
      <w:r>
        <w:rPr>
          <w:rFonts w:hint="cs"/>
          <w:rtl/>
        </w:rPr>
        <w:t xml:space="preserve"> שכתב הרמב</w:t>
      </w:r>
      <w:r w:rsidR="00F055C8">
        <w:rPr>
          <w:rtl/>
        </w:rPr>
        <w:t>"</w:t>
      </w:r>
      <w:r>
        <w:rPr>
          <w:rFonts w:hint="cs"/>
          <w:rtl/>
        </w:rPr>
        <w:t>ן על בראשית א' א'</w:t>
      </w:r>
      <w:r w:rsidR="000471EB">
        <w:rPr>
          <w:rtl/>
        </w:rPr>
        <w:fldChar w:fldCharType="begin"/>
      </w:r>
      <w:r w:rsidR="000471EB">
        <w:instrText xml:space="preserve"> XE "</w:instrText>
      </w:r>
      <w:r w:rsidR="000471EB" w:rsidRPr="004711D0">
        <w:rPr>
          <w:rFonts w:hint="cs"/>
          <w:rtl/>
        </w:rPr>
        <w:instrText>הרמב</w:instrText>
      </w:r>
      <w:r w:rsidR="000471EB">
        <w:rPr>
          <w:b/>
          <w:bCs/>
          <w:sz w:val="20"/>
          <w:szCs w:val="20"/>
        </w:rPr>
        <w:instrText>\</w:instrText>
      </w:r>
      <w:r w:rsidR="000471EB" w:rsidRPr="004711D0">
        <w:rPr>
          <w:rFonts w:hint="cs"/>
          <w:rtl/>
        </w:rPr>
        <w:instrText>"ן על בראשית א' א'</w:instrText>
      </w:r>
      <w:r w:rsidR="000471EB">
        <w:instrText xml:space="preserve">" </w:instrText>
      </w:r>
      <w:r w:rsidR="000471EB">
        <w:rPr>
          <w:rtl/>
        </w:rPr>
        <w:fldChar w:fldCharType="end"/>
      </w:r>
      <w:r>
        <w:rPr>
          <w:rFonts w:hint="cs"/>
          <w:rtl/>
        </w:rPr>
        <w:t>, הוא הגלגל הקיצון של אריסטו (כמו שכתב האר</w:t>
      </w:r>
      <w:r w:rsidR="00F055C8">
        <w:rPr>
          <w:rtl/>
        </w:rPr>
        <w:t>"</w:t>
      </w:r>
      <w:r>
        <w:rPr>
          <w:rFonts w:hint="cs"/>
          <w:rtl/>
        </w:rPr>
        <w:t>י שם על התוכנים והכוונה לאריסטו), הוא הגבול. בתחילה נברא הגבול כשלעצמו, לא כמגביל בין משהו למשהו, אלא כאפשרות שיוגבל משהו, זוהי הנקודה הראשונה. הרי הגלגל הקיצון הגבול שלו מגביל אותו רק מצידו הפנימי, הוא לא גובל בין צידו הפנימי לחיצוני, כי אין צד חיצוני. הצד החיצוני הוא ה'אין', האין סוף, שלא שייך אצלו גבול כלל. הגבול הזה הוא המכחול שבו צוירו כל הצורות, שכולן כקיימות כגבול. זה גם אין סוף, כי אין שום דבר מחוץ לו וכל המציאות היא בו, אבל זהו אין סוף בדרך של גבול, כמו שכתב האר</w:t>
      </w:r>
      <w:r w:rsidR="00F055C8">
        <w:rPr>
          <w:rtl/>
        </w:rPr>
        <w:t>"</w:t>
      </w:r>
      <w:r>
        <w:rPr>
          <w:rFonts w:hint="cs"/>
          <w:rtl/>
        </w:rPr>
        <w:t xml:space="preserve">י שם שלעיגול הריק נכנס קו אור אין סוף, והרי </w:t>
      </w:r>
      <w:r w:rsidR="00F055C8">
        <w:rPr>
          <w:rtl/>
        </w:rPr>
        <w:t>"</w:t>
      </w:r>
      <w:r>
        <w:rPr>
          <w:rFonts w:hint="cs"/>
          <w:rtl/>
        </w:rPr>
        <w:t>קו</w:t>
      </w:r>
      <w:r w:rsidR="00F055C8">
        <w:rPr>
          <w:rtl/>
        </w:rPr>
        <w:t>"</w:t>
      </w:r>
      <w:r>
        <w:rPr>
          <w:rFonts w:hint="cs"/>
          <w:rtl/>
        </w:rPr>
        <w:t xml:space="preserve"> ו</w:t>
      </w:r>
      <w:r w:rsidR="00F055C8">
        <w:rPr>
          <w:rtl/>
        </w:rPr>
        <w:t>"</w:t>
      </w:r>
      <w:r>
        <w:rPr>
          <w:rFonts w:hint="cs"/>
          <w:rtl/>
        </w:rPr>
        <w:t>אין סוף</w:t>
      </w:r>
      <w:r w:rsidR="00F055C8">
        <w:rPr>
          <w:rtl/>
        </w:rPr>
        <w:t>"</w:t>
      </w:r>
      <w:r>
        <w:rPr>
          <w:rFonts w:hint="cs"/>
          <w:rtl/>
        </w:rPr>
        <w:t xml:space="preserve"> זו סתירה. הסתירה הזו היא סוד הצמצום. </w:t>
      </w:r>
    </w:p>
    <w:p w14:paraId="6EBED779" w14:textId="7A53E702" w:rsidR="004E75A0" w:rsidRDefault="000D1F37" w:rsidP="000C790A">
      <w:pPr>
        <w:pStyle w:val="FootnoteText"/>
      </w:pPr>
      <w:r>
        <w:rPr>
          <w:rFonts w:hint="cs"/>
          <w:rtl/>
        </w:rPr>
        <w:t xml:space="preserve">התחלת הצמצום היא צורת התלת ממדיות </w:t>
      </w:r>
      <w:r w:rsidR="00B80CBD">
        <w:rPr>
          <w:rFonts w:hint="cs"/>
          <w:rtl/>
        </w:rPr>
        <w:t xml:space="preserve">עוד לפני שיש גופים חומריים כלשהם, וזה מה שמדבר בו אריסטו בתחילת </w:t>
      </w:r>
      <w:r w:rsidR="00F055C8">
        <w:rPr>
          <w:rtl/>
        </w:rPr>
        <w:t>"</w:t>
      </w:r>
      <w:r w:rsidR="00B80CBD">
        <w:rPr>
          <w:rFonts w:hint="cs"/>
          <w:rtl/>
        </w:rPr>
        <w:t>על השמיים</w:t>
      </w:r>
      <w:r w:rsidR="00F055C8">
        <w:rPr>
          <w:rtl/>
        </w:rPr>
        <w:t>"</w:t>
      </w:r>
      <w:r w:rsidR="00B80CBD">
        <w:rPr>
          <w:rFonts w:hint="cs"/>
          <w:rtl/>
        </w:rPr>
        <w:t xml:space="preserve"> ובעקבותיו אבן סינא כאן. </w:t>
      </w:r>
      <w:r w:rsidR="004E75A0">
        <w:rPr>
          <w:rFonts w:hint="cs"/>
          <w:rtl/>
        </w:rPr>
        <w:t xml:space="preserve"> </w:t>
      </w:r>
    </w:p>
  </w:footnote>
  <w:footnote w:id="107">
    <w:p w14:paraId="32310656" w14:textId="58B9D1E6" w:rsidR="0087362C" w:rsidRDefault="0087362C">
      <w:pPr>
        <w:pStyle w:val="FootnoteText"/>
      </w:pPr>
      <w:r>
        <w:rPr>
          <w:rStyle w:val="FootnoteReference"/>
        </w:rPr>
        <w:footnoteRef/>
      </w:r>
      <w:r>
        <w:rPr>
          <w:rtl/>
        </w:rPr>
        <w:t xml:space="preserve"> </w:t>
      </w:r>
      <w:r>
        <w:rPr>
          <w:rFonts w:hint="cs"/>
          <w:rtl/>
        </w:rPr>
        <w:t>מידות ארכו רחבו וגבהו.</w:t>
      </w:r>
    </w:p>
  </w:footnote>
  <w:footnote w:id="108">
    <w:p w14:paraId="08010A68" w14:textId="1AF161D5" w:rsidR="00FE2DE7" w:rsidRDefault="00F21063">
      <w:pPr>
        <w:pStyle w:val="FootnoteText"/>
        <w:rPr>
          <w:rtl/>
        </w:rPr>
      </w:pPr>
      <w:r>
        <w:rPr>
          <w:rStyle w:val="FootnoteReference"/>
        </w:rPr>
        <w:footnoteRef/>
      </w:r>
      <w:r>
        <w:rPr>
          <w:rtl/>
        </w:rPr>
        <w:t xml:space="preserve"> </w:t>
      </w:r>
      <w:r>
        <w:rPr>
          <w:rFonts w:hint="cs"/>
          <w:rtl/>
        </w:rPr>
        <w:t>המידות של הממדים השתנו, אבל צורת התלת ממדיות שבו לא השתנתה. צורת התלת ממדיות היא מה שמבחין בין המופשט לנברא. היא השלב הראשון של הבריאה, תחילת היציאה מהמציאות המופשטת לגמרי</w:t>
      </w:r>
      <w:r w:rsidR="00762112">
        <w:rPr>
          <w:rFonts w:hint="cs"/>
          <w:rtl/>
        </w:rPr>
        <w:t>. זו ה'כמות', שהיא התחלת קטגוריית הכמות שהיא הקטגוריה הראשונה, מה שנקרא בחכמת הקבלה ספירת חכמה, והיא התחלת מציאות הנבראים (עיין בפיזיקה של אריסטו ד' ב' (</w:t>
      </w:r>
      <w:r w:rsidR="00762112">
        <w:rPr>
          <w:rFonts w:hint="cs"/>
          <w:rtl/>
        </w:rPr>
        <w:t>209ב שורה 11))</w:t>
      </w:r>
      <w:r>
        <w:rPr>
          <w:rFonts w:hint="cs"/>
          <w:rtl/>
        </w:rPr>
        <w:t>. בתחילה יש תלת ממדיות כצורה בפני עצמה עוד לפני שיש גוף תלת ממדי. מבחינת מה שגוף חתיכת השעווה או טיפת המים אינו יש מופשט אלא גוף חומרי, כלומר בעל צורת התלת ממדיות, מצד זה לא חל שינוי כלל למרות שהמידות המודדות כמה הוא האורך והרוחב והעומק השתנו.</w:t>
      </w:r>
    </w:p>
    <w:p w14:paraId="303918BA" w14:textId="71152657" w:rsidR="00F21063" w:rsidRDefault="00FE2DE7">
      <w:pPr>
        <w:pStyle w:val="FootnoteText"/>
      </w:pPr>
      <w:r>
        <w:rPr>
          <w:rFonts w:hint="cs"/>
          <w:rtl/>
        </w:rPr>
        <w:t>אבן סינא משתמש בדוגמה בגופ</w:t>
      </w:r>
      <w:r w:rsidR="006F65DB">
        <w:rPr>
          <w:rFonts w:hint="cs"/>
          <w:rtl/>
        </w:rPr>
        <w:t>י</w:t>
      </w:r>
      <w:r>
        <w:rPr>
          <w:rFonts w:hint="cs"/>
          <w:rtl/>
        </w:rPr>
        <w:t>ם הומיאומריים, חתיכת שעווה או טיפת מים. גוף הומיאומרי הוא גוף שצורתו אינה קובעת את הגדרת העצם שלו כגוף. גופים כמו בעל חיים, צמח, פסל, אינם הומיאומריים, כלומר כשהם נחלקים לחתיכות, הצורה שלהם נפסדת, לא נשארת בחלק אותה צורה כמו שהיתה לפני החלוקה. חצי סוס אינו סוס. הצורה היא מה שקובע את הגוף. גוף כמו גוש שעווה, גם כשהוא נחלק, לכל חלק נשארת הצורה שה</w:t>
      </w:r>
      <w:r w:rsidR="003513FA">
        <w:rPr>
          <w:rFonts w:hint="cs"/>
          <w:rtl/>
        </w:rPr>
        <w:t>י</w:t>
      </w:r>
      <w:r>
        <w:rPr>
          <w:rFonts w:hint="cs"/>
          <w:rtl/>
        </w:rPr>
        <w:t xml:space="preserve">יתה לפני החלוקה, כל חלק נשאר גוש שעווה כמו שהיה לפני החלוקה. אם כן מה שקובע שחתיכת שעווה מסויימת זו היא עצם, גוף, בפני עצמו, אינו צורת השעווה שיש בה, השעוותיות שלה. כי השעוותיות תישאר בה גם אם נתיך אותה להתאחד עם חתיכת שעווה אחרת, או אם נחלק אותה לחלקים. לעומת זאת סוס מה שקובע את היותו עצם, גוף, הוא הסוסיות שבו. ללא הסוסיות היה כאן אוסף של חלקי בשר שיער עצמות וכו'. הסוסיות שיש בסוס מלכדת את הכל לעצם אחד, גוף אחד, שמהותו היא צורת הסוסיות. אם נחלק את הסוס הוא ישוב להיות אוסף של עצמות פרווה בשר וכו'. בשעווה יש צורה נקבית, צורת חומר, ביוונית היא נקראת הומיאומרית, </w:t>
      </w:r>
      <w:r w:rsidR="006F65DB">
        <w:rPr>
          <w:rFonts w:hint="cs"/>
          <w:rtl/>
        </w:rPr>
        <w:t>וחתיכת השעווה אין בה צורה זכרית שתלכד אותה לעצם אחד או גוף אחד</w:t>
      </w:r>
      <w:r>
        <w:rPr>
          <w:rFonts w:hint="cs"/>
          <w:rtl/>
        </w:rPr>
        <w:t xml:space="preserve">. </w:t>
      </w:r>
      <w:r w:rsidR="006F65DB">
        <w:rPr>
          <w:rFonts w:hint="cs"/>
          <w:rtl/>
        </w:rPr>
        <w:t xml:space="preserve">צורת 'גוש שעווה' היא צורת חומר, ולא קובעת את לכידותו של גוף החתיכה האחת שאנו דנים בה (כאמור כי הצורה של 'גוש שעווה' לא תשתנה גם אם נחלק את הגוש לחתיכות קטנות). לכן יש לומר שמה שלגוש השעווה יש קצה, זה מה שקובע את היותו מוגדר כגוף. אבל הקצה הזה מוגדר לפי מידות האורך רוחב וגובה, הוא הוא המידות האלה. ולכן יש מקום לומר שאם המידות ישתנו הגוף לא יישאר אותו גוף. אם סייח קטן גדל לסוס גדול, פשוט שהוא נשאר אותו גוף שהיה, כי נשארת בו אותה צורת 'סוס' </w:t>
      </w:r>
      <w:r w:rsidR="003513FA">
        <w:rPr>
          <w:rFonts w:hint="cs"/>
          <w:rtl/>
        </w:rPr>
        <w:t>שהייתה</w:t>
      </w:r>
      <w:r w:rsidR="006F65DB">
        <w:rPr>
          <w:rFonts w:hint="cs"/>
          <w:rtl/>
        </w:rPr>
        <w:t xml:space="preserve"> בו, ובוודאי לא אכפת לנו שמידות האורך רוחב וגובה שלו השתנו. אבל בגוש שעווה או טיפת מים וכל גוף הומיאומרי, היה מקום לומר שאם מידותיו השתנו הוא לא אותו גוף שהיה. כלפי זה מחדש כאן אבן סינא שגם בגוש שעווה אם הוא גמיש ונפחס ומידותיו השתנו הוא נשאר אותו גוף שהיה.  </w:t>
      </w:r>
      <w:r w:rsidR="00F21063">
        <w:rPr>
          <w:rFonts w:hint="cs"/>
          <w:rtl/>
        </w:rPr>
        <w:t xml:space="preserve">  </w:t>
      </w:r>
    </w:p>
  </w:footnote>
  <w:footnote w:id="109">
    <w:p w14:paraId="5F4FFC6A" w14:textId="31B9A166" w:rsidR="007E431D" w:rsidRDefault="007E431D">
      <w:pPr>
        <w:pStyle w:val="FootnoteText"/>
      </w:pPr>
      <w:r>
        <w:rPr>
          <w:rStyle w:val="FootnoteReference"/>
        </w:rPr>
        <w:footnoteRef/>
      </w:r>
      <w:r>
        <w:rPr>
          <w:rtl/>
        </w:rPr>
        <w:t xml:space="preserve"> </w:t>
      </w:r>
      <w:r>
        <w:rPr>
          <w:rFonts w:hint="cs"/>
          <w:rtl/>
        </w:rPr>
        <w:t>כיתאב אל בורהאן</w:t>
      </w:r>
      <w:r w:rsidR="0044252A">
        <w:rPr>
          <w:rFonts w:hint="cs"/>
          <w:rtl/>
        </w:rPr>
        <w:t xml:space="preserve"> </w:t>
      </w:r>
      <w:r w:rsidR="00F8752D">
        <w:rPr>
          <w:rFonts w:hint="cs"/>
          <w:rtl/>
        </w:rPr>
        <w:t>1.</w:t>
      </w:r>
      <w:r w:rsidR="0044252A">
        <w:rPr>
          <w:rFonts w:hint="cs"/>
          <w:rtl/>
        </w:rPr>
        <w:t>10</w:t>
      </w:r>
      <w:r w:rsidRPr="007E431D">
        <w:rPr>
          <w:rtl/>
        </w:rPr>
        <w:t xml:space="preserve"> </w:t>
      </w:r>
      <w:r>
        <w:rPr>
          <w:rFonts w:hint="cs"/>
          <w:rtl/>
        </w:rPr>
        <w:t>(</w:t>
      </w:r>
      <w:r w:rsidRPr="007E431D">
        <w:t>Ki</w:t>
      </w:r>
      <w:r w:rsidRPr="00BF14AF">
        <w:rPr>
          <w:rFonts w:asciiTheme="majorBidi" w:hAnsiTheme="majorBidi" w:cstheme="majorBidi"/>
        </w:rPr>
        <w:t>tāb al-burhā</w:t>
      </w:r>
      <w:r w:rsidRPr="007E431D">
        <w:t>n</w:t>
      </w:r>
      <w:r w:rsidRPr="007E431D">
        <w:rPr>
          <w:rtl/>
        </w:rPr>
        <w:t>. ספ</w:t>
      </w:r>
      <w:r>
        <w:rPr>
          <w:rFonts w:hint="cs"/>
          <w:rtl/>
        </w:rPr>
        <w:t>ר ההוכחות, הוא חלק מהספר הריפוי).</w:t>
      </w:r>
    </w:p>
  </w:footnote>
  <w:footnote w:id="110">
    <w:p w14:paraId="0558991B" w14:textId="428AD0F7" w:rsidR="003734E4" w:rsidRDefault="003734E4">
      <w:pPr>
        <w:pStyle w:val="FootnoteText"/>
      </w:pPr>
      <w:r>
        <w:rPr>
          <w:rStyle w:val="FootnoteReference"/>
        </w:rPr>
        <w:footnoteRef/>
      </w:r>
      <w:r>
        <w:rPr>
          <w:rtl/>
        </w:rPr>
        <w:t xml:space="preserve"> </w:t>
      </w:r>
      <w:r>
        <w:rPr>
          <w:rFonts w:hint="cs"/>
          <w:rtl/>
        </w:rPr>
        <w:t>מידות צלעות הגוף התלת ממדי</w:t>
      </w:r>
      <w:r w:rsidR="00642460">
        <w:rPr>
          <w:rFonts w:hint="cs"/>
          <w:rtl/>
        </w:rPr>
        <w:t>, או גבולותיו אם אינו גוף גיאומטרי</w:t>
      </w:r>
      <w:r>
        <w:rPr>
          <w:rFonts w:hint="cs"/>
          <w:rtl/>
        </w:rPr>
        <w:t>.</w:t>
      </w:r>
    </w:p>
  </w:footnote>
  <w:footnote w:id="111">
    <w:p w14:paraId="7F2FE8CF" w14:textId="4D0E9E17" w:rsidR="003734E4" w:rsidRDefault="003734E4">
      <w:pPr>
        <w:pStyle w:val="FootnoteText"/>
      </w:pPr>
      <w:r>
        <w:rPr>
          <w:rStyle w:val="FootnoteReference"/>
        </w:rPr>
        <w:footnoteRef/>
      </w:r>
      <w:r>
        <w:rPr>
          <w:rtl/>
        </w:rPr>
        <w:t xml:space="preserve"> </w:t>
      </w:r>
      <w:r>
        <w:rPr>
          <w:rFonts w:hint="cs"/>
          <w:rtl/>
        </w:rPr>
        <w:t xml:space="preserve">קטגוריית הכמות היא מאפיין של העצם. </w:t>
      </w:r>
    </w:p>
  </w:footnote>
  <w:footnote w:id="112">
    <w:p w14:paraId="590B1041" w14:textId="78938CC4" w:rsidR="009A321D" w:rsidRDefault="003734E4">
      <w:pPr>
        <w:pStyle w:val="FootnoteText"/>
        <w:rPr>
          <w:rtl/>
        </w:rPr>
      </w:pPr>
      <w:r>
        <w:rPr>
          <w:rStyle w:val="FootnoteReference"/>
        </w:rPr>
        <w:footnoteRef/>
      </w:r>
      <w:r>
        <w:rPr>
          <w:rtl/>
        </w:rPr>
        <w:t xml:space="preserve"> </w:t>
      </w:r>
      <w:r>
        <w:rPr>
          <w:rFonts w:hint="cs"/>
          <w:rtl/>
        </w:rPr>
        <w:t>כל הקטגוריות</w:t>
      </w:r>
      <w:r w:rsidR="00221378">
        <w:rPr>
          <w:rtl/>
        </w:rPr>
        <w:fldChar w:fldCharType="begin"/>
      </w:r>
      <w:r w:rsidR="00221378">
        <w:instrText xml:space="preserve"> XE "</w:instrText>
      </w:r>
      <w:r w:rsidR="00221378" w:rsidRPr="00A97D01">
        <w:rPr>
          <w:rFonts w:hint="cs"/>
          <w:rtl/>
        </w:rPr>
        <w:instrText>הקטגוריות</w:instrText>
      </w:r>
      <w:r w:rsidR="00221378">
        <w:instrText xml:space="preserve">" </w:instrText>
      </w:r>
      <w:r w:rsidR="00221378">
        <w:rPr>
          <w:rtl/>
        </w:rPr>
        <w:fldChar w:fldCharType="end"/>
      </w:r>
      <w:r>
        <w:rPr>
          <w:rFonts w:hint="cs"/>
          <w:rtl/>
        </w:rPr>
        <w:t xml:space="preserve"> הן מקרים וכשהן משתנות העצם לא משתנה. קטגוריית הכמות היא מידות העצם, קטגוריית האיכות היא האיכויות של העצם, אדם שהיה בשמש נצבע באדום, או אם הזדקן הלבין שערו, איכות הצבע שלו משתנה, אבל כעצם לא חל בו שום שינוי. </w:t>
      </w:r>
      <w:r w:rsidR="003513FA">
        <w:rPr>
          <w:rFonts w:hint="cs"/>
          <w:rtl/>
        </w:rPr>
        <w:t>כשהוא</w:t>
      </w:r>
      <w:r>
        <w:rPr>
          <w:rFonts w:hint="cs"/>
          <w:rtl/>
        </w:rPr>
        <w:t xml:space="preserve"> במקום וזמן אחרים מהותו כעצם לא השתנתה, וכן כל הקטגוריות. </w:t>
      </w:r>
      <w:r w:rsidR="003513FA">
        <w:rPr>
          <w:rFonts w:hint="cs"/>
          <w:rtl/>
        </w:rPr>
        <w:t xml:space="preserve">לכן גם קטגוריית הכמות של חתיכת שעווה לא משנה את העצם שהוא חתיכת השעווה. לגבי מה מגדיר את החתיכה כעצם בפני עצמו, שהרי צורת השעווה שבו אינה מיוחדת לחתיכה זו לבדה אלא גם לחלקיה או לחתיכות שיתאחו איתה, על זה יש לדון בדיון נפרד על עניין העצם </w:t>
      </w:r>
      <w:r w:rsidR="003513FA">
        <w:rPr>
          <w:rFonts w:hint="cs"/>
          <w:rtl/>
        </w:rPr>
        <w:t>ההומיאומרי שיש בו עוד הרבה מה לחקור ולא כאן המקום. לדיון כאן חשובה רק העובדה שתלת הממדיות</w:t>
      </w:r>
      <w:r w:rsidR="00164365">
        <w:rPr>
          <w:rtl/>
        </w:rPr>
        <w:fldChar w:fldCharType="begin"/>
      </w:r>
      <w:r w:rsidR="00164365">
        <w:instrText xml:space="preserve"> XE "</w:instrText>
      </w:r>
      <w:r w:rsidR="00164365" w:rsidRPr="00394F84">
        <w:rPr>
          <w:rFonts w:hint="cs"/>
          <w:rtl/>
        </w:rPr>
        <w:instrText>צורת התלת ממדיות</w:instrText>
      </w:r>
      <w:r w:rsidR="00164365">
        <w:instrText xml:space="preserve">" </w:instrText>
      </w:r>
      <w:r w:rsidR="00164365">
        <w:rPr>
          <w:rtl/>
        </w:rPr>
        <w:fldChar w:fldCharType="end"/>
      </w:r>
      <w:r w:rsidR="003513FA">
        <w:rPr>
          <w:rFonts w:hint="cs"/>
          <w:rtl/>
        </w:rPr>
        <w:t xml:space="preserve"> היא מה שגורם שהעצם אינו ישות מופשטת, אבל אינה קובעת את מהות העצם והגדרתו. בעולם שבו הייתה רק תלת ממדיות, ותיאורים מספריים של התלת ממדיות של הגופים, לא היתה שום מהות של שום גוף, זה לא היה עולם שיש לו מציאות, אלא רק שלב מקדים בהתהוות של העולם שיש בו עצמים, כלומר שיש לו מציאות. תוהו הוא ההעדר, הוא החומר הראשון</w:t>
      </w:r>
      <w:r w:rsidR="00C5772E">
        <w:rPr>
          <w:rtl/>
        </w:rPr>
        <w:fldChar w:fldCharType="begin"/>
      </w:r>
      <w:r w:rsidR="00C5772E">
        <w:instrText xml:space="preserve"> XE "</w:instrText>
      </w:r>
      <w:r w:rsidR="00C5772E" w:rsidRPr="00B16EF7">
        <w:rPr>
          <w:rFonts w:hint="cs"/>
          <w:rtl/>
        </w:rPr>
        <w:instrText>החומר הראשון</w:instrText>
      </w:r>
      <w:r w:rsidR="00C5772E">
        <w:instrText xml:space="preserve">" </w:instrText>
      </w:r>
      <w:r w:rsidR="00C5772E">
        <w:rPr>
          <w:rtl/>
        </w:rPr>
        <w:fldChar w:fldCharType="end"/>
      </w:r>
      <w:r w:rsidR="003513FA">
        <w:rPr>
          <w:rFonts w:hint="cs"/>
          <w:rtl/>
        </w:rPr>
        <w:t xml:space="preserve"> בעצמו, העצמים הראשונים הם ארבעת היסודות. השלב של המעבר מהחומר הראשון לארבעת היסודות נקרא בספר בראשית בוהו, זהו העולם של המספרים שמדבר בו אפלטון. </w:t>
      </w:r>
    </w:p>
    <w:p w14:paraId="0CB5166E" w14:textId="77777777" w:rsidR="009A321D" w:rsidRDefault="009A321D">
      <w:pPr>
        <w:pStyle w:val="FootnoteText"/>
        <w:rPr>
          <w:rtl/>
        </w:rPr>
      </w:pPr>
    </w:p>
    <w:p w14:paraId="11064EDF" w14:textId="50C6DA5C" w:rsidR="009A321D" w:rsidRDefault="009A321D">
      <w:pPr>
        <w:pStyle w:val="FootnoteText"/>
        <w:rPr>
          <w:rtl/>
        </w:rPr>
      </w:pPr>
      <w:r>
        <w:rPr>
          <w:rFonts w:hint="cs"/>
          <w:rtl/>
        </w:rPr>
        <w:t>תוספת הסבר:</w:t>
      </w:r>
    </w:p>
    <w:p w14:paraId="77B3CE4A" w14:textId="585399B8" w:rsidR="009A321D" w:rsidRDefault="009A321D">
      <w:pPr>
        <w:pStyle w:val="FootnoteText"/>
        <w:rPr>
          <w:rtl/>
        </w:rPr>
      </w:pPr>
      <w:r>
        <w:rPr>
          <w:rFonts w:hint="cs"/>
          <w:rtl/>
        </w:rPr>
        <w:t xml:space="preserve">לשון אבן סינא כאן: </w:t>
      </w:r>
      <w:r w:rsidR="00F055C8">
        <w:rPr>
          <w:rtl/>
        </w:rPr>
        <w:t>"</w:t>
      </w:r>
      <w:r w:rsidRPr="009A321D">
        <w:rPr>
          <w:rtl/>
        </w:rPr>
        <w:t>בו למדת שאורכים מוגדרים אלה הם הכמות של הצדדים</w:t>
      </w:r>
      <w:r w:rsidR="00F055C8">
        <w:rPr>
          <w:rtl/>
        </w:rPr>
        <w:t>"</w:t>
      </w:r>
    </w:p>
    <w:p w14:paraId="5ED336B8" w14:textId="4C4971E6" w:rsidR="009A321D" w:rsidRDefault="009A321D">
      <w:pPr>
        <w:pStyle w:val="FootnoteText"/>
        <w:rPr>
          <w:rtl/>
        </w:rPr>
      </w:pPr>
      <w:r>
        <w:rPr>
          <w:rFonts w:hint="cs"/>
          <w:rtl/>
        </w:rPr>
        <w:t xml:space="preserve">יש לשאול מהו הלימוד שמדובר בו כאן. כתוב שלמדנו שאורך מוגדר הוא הכמות של הצדדים. לכאורה זה מובן מאליו ואין כאן שום חידוש. </w:t>
      </w:r>
    </w:p>
    <w:p w14:paraId="38A371E0" w14:textId="66EB8B1E" w:rsidR="009A321D" w:rsidRDefault="009A321D">
      <w:pPr>
        <w:pStyle w:val="FootnoteText"/>
        <w:rPr>
          <w:rtl/>
        </w:rPr>
      </w:pPr>
      <w:r>
        <w:rPr>
          <w:rFonts w:hint="cs"/>
          <w:rtl/>
        </w:rPr>
        <w:t>אלא הכוונה כאן לחדש שאורך מוגדר הוא קטגוריית הכמות</w:t>
      </w:r>
      <w:r w:rsidR="00164365">
        <w:rPr>
          <w:rtl/>
        </w:rPr>
        <w:fldChar w:fldCharType="begin"/>
      </w:r>
      <w:r w:rsidR="00164365">
        <w:instrText xml:space="preserve"> XE "</w:instrText>
      </w:r>
      <w:r w:rsidR="00164365" w:rsidRPr="008B5093">
        <w:rPr>
          <w:rFonts w:hint="cs"/>
          <w:rtl/>
        </w:rPr>
        <w:instrText>הכמות</w:instrText>
      </w:r>
      <w:r w:rsidR="00164365">
        <w:instrText xml:space="preserve">" </w:instrText>
      </w:r>
      <w:r w:rsidR="00164365">
        <w:rPr>
          <w:rtl/>
        </w:rPr>
        <w:fldChar w:fldCharType="end"/>
      </w:r>
      <w:r>
        <w:rPr>
          <w:rFonts w:hint="cs"/>
          <w:rtl/>
        </w:rPr>
        <w:t xml:space="preserve">. </w:t>
      </w:r>
    </w:p>
    <w:p w14:paraId="7FDBD06F" w14:textId="65FE9709" w:rsidR="009A321D" w:rsidRDefault="009A321D">
      <w:pPr>
        <w:pStyle w:val="FootnoteText"/>
        <w:rPr>
          <w:rtl/>
        </w:rPr>
      </w:pPr>
      <w:r>
        <w:rPr>
          <w:rFonts w:hint="cs"/>
          <w:rtl/>
        </w:rPr>
        <w:t>בספר הקטגוריות כותב אריסטו שיש לעצם טבעי, שמורכב מחומר וצורה, עשר קטגוריות:</w:t>
      </w:r>
    </w:p>
    <w:p w14:paraId="005D3273" w14:textId="3D5C0A08" w:rsidR="009A321D" w:rsidRDefault="009A321D">
      <w:pPr>
        <w:pStyle w:val="FootnoteText"/>
        <w:rPr>
          <w:rtl/>
        </w:rPr>
      </w:pPr>
      <w:r>
        <w:rPr>
          <w:rFonts w:hint="cs"/>
          <w:rtl/>
        </w:rPr>
        <w:t xml:space="preserve">עצם. כמות. איכות. יחס. מקום. זמן. מצב. קניין. פעילות. התפעלות. </w:t>
      </w:r>
    </w:p>
    <w:p w14:paraId="0EF9B93D" w14:textId="7A061124" w:rsidR="009A321D" w:rsidRDefault="009A321D">
      <w:pPr>
        <w:pStyle w:val="FootnoteText"/>
        <w:rPr>
          <w:rtl/>
        </w:rPr>
      </w:pPr>
      <w:r>
        <w:rPr>
          <w:rFonts w:hint="cs"/>
          <w:rtl/>
        </w:rPr>
        <w:t xml:space="preserve">כל תשע הקטגוריות מלבד קטגוריית העצם, הן כל הדברים שניתנים להיאמר על העצם. מידותיו כך וכך, איכויותיו כך וכך, יחסיו כך וכך, מקומו וזמנו כך וכך, וכן הלאה. </w:t>
      </w:r>
      <w:r w:rsidR="00314DEC">
        <w:rPr>
          <w:rFonts w:hint="cs"/>
          <w:rtl/>
        </w:rPr>
        <w:t>ה</w:t>
      </w:r>
      <w:r w:rsidR="00F055C8">
        <w:rPr>
          <w:rtl/>
        </w:rPr>
        <w:t>"</w:t>
      </w:r>
      <w:r w:rsidR="00314DEC">
        <w:rPr>
          <w:rFonts w:hint="cs"/>
          <w:rtl/>
        </w:rPr>
        <w:t>עצם</w:t>
      </w:r>
      <w:r w:rsidR="00F055C8">
        <w:rPr>
          <w:rtl/>
        </w:rPr>
        <w:t>"</w:t>
      </w:r>
      <w:r w:rsidR="00314DEC">
        <w:rPr>
          <w:rFonts w:hint="cs"/>
        </w:rPr>
        <w:t xml:space="preserve"> </w:t>
      </w:r>
      <w:r w:rsidR="00314DEC">
        <w:rPr>
          <w:rFonts w:hint="cs"/>
          <w:rtl/>
        </w:rPr>
        <w:t>הוא הדבר עצמו. אם למשל נפשיט מסוס את כל תשע הקטגוריות מלבד קטגוריית העצם, אז לא נדע את מידותיו, את איכויותיו, את יחסיו ואת מקומו וזמנו וכו', לא נוכל לומר על הסוס או לדעת עליו שום דבר. מה נשאר לנו מהסוס, במה הוא סוס?</w:t>
      </w:r>
      <w:r w:rsidR="00314DEC">
        <w:rPr>
          <w:rFonts w:hint="cs"/>
        </w:rPr>
        <w:t xml:space="preserve"> </w:t>
      </w:r>
      <w:r w:rsidR="00314DEC">
        <w:rPr>
          <w:rFonts w:hint="cs"/>
          <w:rtl/>
        </w:rPr>
        <w:t xml:space="preserve"> </w:t>
      </w:r>
    </w:p>
    <w:p w14:paraId="45081B21" w14:textId="744EE218" w:rsidR="00314DEC" w:rsidRDefault="00314DEC">
      <w:pPr>
        <w:pStyle w:val="FootnoteText"/>
        <w:rPr>
          <w:rtl/>
        </w:rPr>
      </w:pPr>
      <w:r>
        <w:rPr>
          <w:rFonts w:hint="cs"/>
          <w:rtl/>
        </w:rPr>
        <w:t>ברטראנד ראסל כתב כביקורת על אריסטו שבלי תשע הקטגוריות לא נשאר שום דבר. אכן הוא צדק כבעל תפישה שמזהה את המציאות עם חומר. אריסטו כתב כמי שיכול לתפוש בשכלו מציאות מופשטת באופן בלתי אמצעי, פשוט, לא בכלי חומר (עיין מורה נבוכים א' סוף פרק א', וכן במו</w:t>
      </w:r>
      <w:r w:rsidR="00F055C8">
        <w:rPr>
          <w:rtl/>
        </w:rPr>
        <w:t>"</w:t>
      </w:r>
      <w:r>
        <w:rPr>
          <w:rFonts w:hint="cs"/>
          <w:rtl/>
        </w:rPr>
        <w:t>נ א' מ</w:t>
      </w:r>
      <w:r w:rsidR="00F055C8">
        <w:rPr>
          <w:rtl/>
        </w:rPr>
        <w:t>"</w:t>
      </w:r>
      <w:r>
        <w:rPr>
          <w:rFonts w:hint="cs"/>
          <w:rtl/>
        </w:rPr>
        <w:t>ט, ושם א' כ</w:t>
      </w:r>
      <w:r w:rsidR="00F055C8">
        <w:rPr>
          <w:rtl/>
        </w:rPr>
        <w:t>"</w:t>
      </w:r>
      <w:r>
        <w:rPr>
          <w:rFonts w:hint="cs"/>
          <w:rtl/>
        </w:rPr>
        <w:t xml:space="preserve">ו, ובאגרת תחיית המתים על המציאות החומרית והמופשטת). המציאות מתחילה מהמופשט, הסוס כישות מופשטת אין בו שום מידות ואיכויות וכו', ועדיין יש לו מציאות של סוס. </w:t>
      </w:r>
      <w:r w:rsidR="00051D23">
        <w:rPr>
          <w:rFonts w:hint="cs"/>
          <w:rtl/>
        </w:rPr>
        <w:t xml:space="preserve">בתפישה החומרית, מה שיש לו קריטריונים </w:t>
      </w:r>
      <w:r w:rsidR="009C463A">
        <w:rPr>
          <w:rFonts w:hint="cs"/>
          <w:rtl/>
        </w:rPr>
        <w:t>מסוימים</w:t>
      </w:r>
      <w:r w:rsidR="00051D23">
        <w:rPr>
          <w:rFonts w:hint="cs"/>
          <w:rtl/>
        </w:rPr>
        <w:t xml:space="preserve"> זה מה שמכוחו הוא סוס. הוא צריך להיות בטווח גדלים </w:t>
      </w:r>
      <w:r w:rsidR="009C463A">
        <w:rPr>
          <w:rFonts w:hint="cs"/>
          <w:rtl/>
        </w:rPr>
        <w:t>מסוים</w:t>
      </w:r>
      <w:r w:rsidR="00051D23">
        <w:rPr>
          <w:rFonts w:hint="cs"/>
          <w:rtl/>
        </w:rPr>
        <w:t xml:space="preserve">, בטווח צבעים </w:t>
      </w:r>
      <w:r w:rsidR="009C463A">
        <w:rPr>
          <w:rFonts w:hint="cs"/>
          <w:rtl/>
        </w:rPr>
        <w:t>מסוים</w:t>
      </w:r>
      <w:r w:rsidR="00051D23">
        <w:rPr>
          <w:rFonts w:hint="cs"/>
          <w:rtl/>
        </w:rPr>
        <w:t xml:space="preserve">, עם מבנה אנטומי </w:t>
      </w:r>
      <w:r w:rsidR="009C463A">
        <w:rPr>
          <w:rFonts w:hint="cs"/>
          <w:rtl/>
        </w:rPr>
        <w:t>מסוים</w:t>
      </w:r>
      <w:r w:rsidR="00051D23">
        <w:rPr>
          <w:rFonts w:hint="cs"/>
          <w:rtl/>
        </w:rPr>
        <w:t xml:space="preserve">, וכו', ומכח זה הוא סוס. אצל אריסטו הוא סוס מכח שהוא ישות מופשטת של סוס, שאין לה שום מאפיינים חומריים. הישות המופשטת הזו כשהיא מתממשת לעצם חומרי, גורמת בכוחה שיתקבצו סביבה מאפיינים חומריים שאותם אנו מכירים כמאפייני הסוס. </w:t>
      </w:r>
    </w:p>
    <w:p w14:paraId="72999CE1" w14:textId="0A9A660F" w:rsidR="00051D23" w:rsidRDefault="00051D23">
      <w:pPr>
        <w:pStyle w:val="FootnoteText"/>
        <w:rPr>
          <w:rtl/>
        </w:rPr>
      </w:pPr>
      <w:r>
        <w:rPr>
          <w:rFonts w:hint="cs"/>
          <w:rtl/>
        </w:rPr>
        <w:t xml:space="preserve">הגישה של ברטראנד ראסל לא עומדת </w:t>
      </w:r>
      <w:r w:rsidR="000F26E1">
        <w:rPr>
          <w:rFonts w:hint="cs"/>
          <w:rtl/>
        </w:rPr>
        <w:t xml:space="preserve">כלל </w:t>
      </w:r>
      <w:r>
        <w:rPr>
          <w:rFonts w:hint="cs"/>
          <w:rtl/>
        </w:rPr>
        <w:t xml:space="preserve">במבחן השכל. אם מה שהופך סוס לסוס הוא מקבץ מאפיינים חומריים כמו כמות איכות וכו', הרי כל מאפיין כזה ניתן למצוא גם במקום אחר. רוב המאפיינים של סוס ישנם בחמור או זברה, ובכלל, צבע של סוס יש להרבה עצמים אחרים, וכן גודל, וכן כל שאר המאפיינים. </w:t>
      </w:r>
    </w:p>
    <w:p w14:paraId="76D82C98" w14:textId="77777777" w:rsidR="000F26E1" w:rsidRDefault="00051D23">
      <w:pPr>
        <w:pStyle w:val="FootnoteText"/>
        <w:rPr>
          <w:rtl/>
        </w:rPr>
      </w:pPr>
      <w:r>
        <w:rPr>
          <w:rFonts w:hint="cs"/>
          <w:rtl/>
        </w:rPr>
        <w:t xml:space="preserve">לכל סוס פרטי יש מאפיינים שונים שמבדילים אותו מסוס פרטי אחר וגם מבדילים אותו מחמור וזברה ופרה וגם משולחן שהוא בגודל אופייני לסוס וגם מאדמה שיש לה צבע דומה לסוס וכו'. אם כן מה הופך את העצם הזה (הסוס הפרטי) דווקא לסוס. אי אפשר לומר שזה תלוי רק במאפייניו. </w:t>
      </w:r>
      <w:r w:rsidR="000F26E1">
        <w:rPr>
          <w:rFonts w:hint="cs"/>
          <w:rtl/>
        </w:rPr>
        <w:t xml:space="preserve">אי אפשר לתפוש את ה'יש' בלי להגיע לתפישת המופשט. </w:t>
      </w:r>
    </w:p>
    <w:p w14:paraId="2BC17DE8" w14:textId="2C8A1F1B" w:rsidR="00051D23" w:rsidRDefault="000F26E1">
      <w:pPr>
        <w:pStyle w:val="FootnoteText"/>
        <w:rPr>
          <w:rtl/>
        </w:rPr>
      </w:pPr>
      <w:r>
        <w:rPr>
          <w:rFonts w:hint="cs"/>
          <w:rtl/>
        </w:rPr>
        <w:t xml:space="preserve">כאן אבן סינא מדבר על צורת התלת ממדיות, היא הצורה הטבעית הראשונה שמתהווה מהמופשט. היא תיאור מתמטי של העצם על ידי הנתונים של אורכי המידות שלו, כמו שמזינים למחשב מספרים שגורמים לו לתאר גוף תלת ממדי. לגוף כזה אין שום קטגוריות, אין לו איכויות, אין לו זמן ומקום וכו'. אם אני מודד במדוייק מידות של עגבניה, המספרים בלבד לא יתנו טעם וריח של עגבניה, לא יהיה כאן מה לאכול. מחשב יוכל לתרגם את זה לרישום תלת ממדי של עגבניה אבל עדיין לא יהיו לה שום קטגוריות. גם המראה שמצוייר במחשב כרישום של גוף גיאומטרי הוא רק תרגום של המספרים שהמחשב עושה על המסך, אבל במספרים עצמם גם אין את הרישום הגיאומטרי. הייתי יכול לטעות ולחשוב שזה העצם. כי זה הדבר בלי שום מאפיינים ששייכים לקטגוריות. בא אבן סינא ומלמד אותנו שכל זה הוא רק קטגוריית הכמות של הדבר ולא העצם. כי העצם מופשט ואין בו תלת ממדיות כלל, ולכן אין לו שום מידות. ההתחלה הראשונה של היציאה מהמופשט לגופני, השלב הראשון מבחילה לוגית, היא קטגוריית הכמות שהיא הקטגוריה הראשונה. </w:t>
      </w:r>
      <w:r w:rsidR="00FA6BB0">
        <w:rPr>
          <w:rFonts w:hint="cs"/>
          <w:rtl/>
        </w:rPr>
        <w:t xml:space="preserve">תוכן המשפט שהעתקתי אומר שהאורכים המוגדרים (מוגדרים במספרים) אינם העצם של הדבר אלא הם קטגוריית הכמות של הדבר. וממילא נלמד שהעצם הוא המופשט.  </w:t>
      </w:r>
      <w:r w:rsidR="00051D23">
        <w:rPr>
          <w:rFonts w:hint="cs"/>
          <w:rtl/>
        </w:rPr>
        <w:t xml:space="preserve"> </w:t>
      </w:r>
    </w:p>
    <w:p w14:paraId="0D7F5DB2" w14:textId="54E5DAC3" w:rsidR="003734E4" w:rsidRDefault="003513FA">
      <w:pPr>
        <w:pStyle w:val="FootnoteText"/>
      </w:pPr>
      <w:r>
        <w:rPr>
          <w:rFonts w:hint="cs"/>
          <w:rtl/>
        </w:rPr>
        <w:t xml:space="preserve">  </w:t>
      </w:r>
    </w:p>
  </w:footnote>
  <w:footnote w:id="113">
    <w:p w14:paraId="1DBC815D" w14:textId="4E9F2807" w:rsidR="00BA1B96" w:rsidRDefault="00BA1B96">
      <w:pPr>
        <w:pStyle w:val="FootnoteText"/>
      </w:pPr>
      <w:r>
        <w:rPr>
          <w:rStyle w:val="FootnoteReference"/>
        </w:rPr>
        <w:footnoteRef/>
      </w:r>
      <w:r>
        <w:rPr>
          <w:rtl/>
        </w:rPr>
        <w:t xml:space="preserve"> </w:t>
      </w:r>
      <w:r>
        <w:rPr>
          <w:rFonts w:hint="cs"/>
          <w:rtl/>
        </w:rPr>
        <w:t xml:space="preserve">עיין לעיל פרק א' סעיף 1 בהערות ביאור במונח </w:t>
      </w:r>
      <w:r w:rsidR="00F055C8">
        <w:rPr>
          <w:rtl/>
        </w:rPr>
        <w:t>"</w:t>
      </w:r>
      <w:r>
        <w:rPr>
          <w:rFonts w:hint="cs"/>
          <w:rtl/>
        </w:rPr>
        <w:t>התחלות</w:t>
      </w:r>
      <w:r w:rsidR="00F055C8">
        <w:rPr>
          <w:rtl/>
        </w:rPr>
        <w:t>"</w:t>
      </w:r>
      <w:r>
        <w:rPr>
          <w:rFonts w:hint="cs"/>
          <w:rtl/>
        </w:rPr>
        <w:t xml:space="preserve">. </w:t>
      </w:r>
    </w:p>
  </w:footnote>
  <w:footnote w:id="114">
    <w:p w14:paraId="0DAA5CE2" w14:textId="60ABEA9C" w:rsidR="008C6A80" w:rsidRDefault="008C6A80">
      <w:pPr>
        <w:pStyle w:val="FootnoteText"/>
        <w:rPr>
          <w:rtl/>
        </w:rPr>
      </w:pPr>
      <w:r>
        <w:rPr>
          <w:rStyle w:val="FootnoteReference"/>
        </w:rPr>
        <w:footnoteRef/>
      </w:r>
      <w:r>
        <w:rPr>
          <w:rtl/>
        </w:rPr>
        <w:t xml:space="preserve"> </w:t>
      </w:r>
      <w:r>
        <w:rPr>
          <w:rFonts w:hint="cs"/>
          <w:rtl/>
        </w:rPr>
        <w:t xml:space="preserve">חקירת פילוסוף הטבע (שלא כמו הפילוסוף הראשון </w:t>
      </w:r>
      <w:r>
        <w:rPr>
          <w:rFonts w:hint="cs"/>
          <w:rtl/>
        </w:rPr>
        <w:t>המטאפיזיקאי שחוקר את המופשט שממנו מתהווה הטבע), מתחילה את החקירה בגופים הטבעיים, שהם צורה וחומר ויש להם את המאפיינים של תשע הקטגוריות הנוספות ל'עצם'. מציאות הגוף הטבעי מתקבלת כאקסיומה לפי פילוסוף הטבע. ההתחלות הן מה שלפני הגוף הטבעי, הן חקירת המופשט, ו</w:t>
      </w:r>
      <w:r w:rsidR="00B269E6">
        <w:rPr>
          <w:rFonts w:hint="cs"/>
          <w:rtl/>
        </w:rPr>
        <w:t xml:space="preserve">ליתר דיוק חקירת </w:t>
      </w:r>
      <w:r>
        <w:rPr>
          <w:rFonts w:hint="cs"/>
          <w:rtl/>
        </w:rPr>
        <w:t>אופן הנביעה של הגוף החומרי</w:t>
      </w:r>
      <w:r w:rsidR="00B269E6">
        <w:rPr>
          <w:rFonts w:hint="cs"/>
          <w:rtl/>
        </w:rPr>
        <w:t xml:space="preserve"> </w:t>
      </w:r>
      <w:r>
        <w:rPr>
          <w:rFonts w:hint="cs"/>
          <w:rtl/>
        </w:rPr>
        <w:t>מהמופשט</w:t>
      </w:r>
      <w:r w:rsidR="00B269E6">
        <w:rPr>
          <w:rFonts w:hint="cs"/>
          <w:rtl/>
        </w:rPr>
        <w:t xml:space="preserve"> (כי במופשט, האלוה, יש לנו השגה רק על הנביעה הזו ולא עליו כשהוא לעצמו)</w:t>
      </w:r>
      <w:r>
        <w:rPr>
          <w:rFonts w:hint="cs"/>
          <w:rtl/>
        </w:rPr>
        <w:t>. לכן ההתחלות לא נכללות בפילוסופיית הטבע</w:t>
      </w:r>
      <w:r w:rsidR="00B269E6">
        <w:rPr>
          <w:rFonts w:hint="cs"/>
          <w:rtl/>
        </w:rPr>
        <w:t xml:space="preserve"> כמושאי חקירה אלא כ</w:t>
      </w:r>
      <w:r w:rsidR="00F055C8">
        <w:rPr>
          <w:rtl/>
        </w:rPr>
        <w:t>"</w:t>
      </w:r>
      <w:r w:rsidR="00B269E6">
        <w:rPr>
          <w:rFonts w:hint="cs"/>
          <w:rtl/>
        </w:rPr>
        <w:t>התחלות</w:t>
      </w:r>
      <w:r w:rsidR="00F055C8">
        <w:rPr>
          <w:rtl/>
        </w:rPr>
        <w:t>"</w:t>
      </w:r>
      <w:r w:rsidR="00B269E6">
        <w:rPr>
          <w:rFonts w:hint="cs"/>
          <w:rtl/>
        </w:rPr>
        <w:t xml:space="preserve"> כלומר אקסיומות. לכן השם 'התחלות' ראוי להן דווקא אצל פילוסוף הטבע, ואילו אצל המטאפיזיקאי (בלשון אריסטו הוא נקרא התיאולוג), הן לא 'התחלות' אלא מושאי החקירה עצמה</w:t>
      </w:r>
      <w:r>
        <w:rPr>
          <w:rFonts w:hint="cs"/>
          <w:rtl/>
        </w:rPr>
        <w:t xml:space="preserve">. </w:t>
      </w:r>
    </w:p>
    <w:p w14:paraId="7B0F31CB" w14:textId="300EB38E" w:rsidR="00B269E6" w:rsidRDefault="00B269E6" w:rsidP="00B269E6">
      <w:pPr>
        <w:pStyle w:val="FootnoteText"/>
      </w:pPr>
      <w:r>
        <w:rPr>
          <w:rFonts w:hint="cs"/>
          <w:rtl/>
        </w:rPr>
        <w:t xml:space="preserve">הוויית הגוף הטבעי שהוא חומר וצורה היא דבר אחד מצד חקר הטבע. אם אומרים שיש להווייה הזו  חלקים, הרי החלקים בפני עצמם הם ישים לא טבעיים, כלומר לא מורכבים מחומר וצורה. צורה בלי חומר היא 'חלק' של הווית הגוף הטבעי, וחומר בלי צורה גם הוא 'חלק'. חלקים אלה כשלעצמם, כמופשטים, אין להם מציאות בטבע. לכן כתב כאן אבן סינא שמה שהוא 'חלק' מהוויית הגוף הטבעי הוא 'התחלה', כלומר שורש המוצא של הוויית הגוף הטבעי, שאצל פילוסוף הטבע הוא ההתחלה של החקירה, בעוד שאצל התיאולוג הוא מושא החקירה כולה. </w:t>
      </w:r>
    </w:p>
  </w:footnote>
  <w:footnote w:id="115">
    <w:p w14:paraId="29356AA6" w14:textId="54F954FB" w:rsidR="00A3000B" w:rsidRPr="001B7B44" w:rsidRDefault="00A3000B">
      <w:pPr>
        <w:pStyle w:val="FootnoteText"/>
      </w:pPr>
      <w:r>
        <w:rPr>
          <w:rStyle w:val="FootnoteReference"/>
        </w:rPr>
        <w:footnoteRef/>
      </w:r>
      <w:r>
        <w:rPr>
          <w:rtl/>
        </w:rPr>
        <w:t xml:space="preserve"> </w:t>
      </w:r>
      <w:r>
        <w:rPr>
          <w:rFonts w:hint="cs"/>
          <w:rtl/>
        </w:rPr>
        <w:t xml:space="preserve">עיין במורה נבוכים א' א' שצורה היא מהות הדבר, למשל באדם הצורה היא חי מדבר. התבנית היא התואר החיצוני של הגוף החומרי. בגופים מלאכותיים אין חילוק בין הצורה המהותית ובין התבנית, התואר החיצוני. המהות של מיטה היא היותה מתאימה לשינה, וזו גם התבנית שלה. סכין מהותה היא שהיא חותכת, בזה היא סכין, וזה גם התואר החיצוני שלה שיש בה חוד. לעומת זאת בגופים טבעיים כמו אדם הצורה המהותית היא 'חי מדבר' והתבנית היא תווי הגוף החיצוניים שלו, ויש חילוק גדול בין הצורה לתבנית. </w:t>
      </w:r>
    </w:p>
  </w:footnote>
  <w:footnote w:id="116">
    <w:p w14:paraId="6CED71DD" w14:textId="1FB45F2B" w:rsidR="00B67702" w:rsidRDefault="00B67702">
      <w:pPr>
        <w:pStyle w:val="FootnoteText"/>
        <w:rPr>
          <w:rtl/>
        </w:rPr>
      </w:pPr>
      <w:r>
        <w:rPr>
          <w:rStyle w:val="FootnoteReference"/>
        </w:rPr>
        <w:footnoteRef/>
      </w:r>
      <w:r>
        <w:rPr>
          <w:rtl/>
        </w:rPr>
        <w:t xml:space="preserve"> </w:t>
      </w:r>
      <w:r>
        <w:rPr>
          <w:rFonts w:hint="cs"/>
          <w:rtl/>
        </w:rPr>
        <w:t>'היולי</w:t>
      </w:r>
      <w:r w:rsidR="004C7592">
        <w:rPr>
          <w:rtl/>
        </w:rPr>
        <w:fldChar w:fldCharType="begin"/>
      </w:r>
      <w:r w:rsidR="004C7592">
        <w:instrText xml:space="preserve"> XE "</w:instrText>
      </w:r>
      <w:r w:rsidR="004C7592" w:rsidRPr="005018E1">
        <w:rPr>
          <w:rFonts w:hint="cs"/>
          <w:rtl/>
        </w:rPr>
        <w:instrText>היולי - הגדרת המונח</w:instrText>
      </w:r>
      <w:r w:rsidR="004C7592">
        <w:instrText xml:space="preserve">" </w:instrText>
      </w:r>
      <w:r w:rsidR="004C7592">
        <w:rPr>
          <w:rtl/>
        </w:rPr>
        <w:fldChar w:fldCharType="end"/>
      </w:r>
      <w:r w:rsidR="004D0395">
        <w:rPr>
          <w:rtl/>
        </w:rPr>
        <w:fldChar w:fldCharType="begin"/>
      </w:r>
      <w:r w:rsidR="004D0395">
        <w:instrText xml:space="preserve"> XE "</w:instrText>
      </w:r>
      <w:r w:rsidR="004D0395" w:rsidRPr="003C3468">
        <w:rPr>
          <w:rFonts w:hint="cs"/>
          <w:rtl/>
        </w:rPr>
        <w:instrText>היולי</w:instrText>
      </w:r>
      <w:r w:rsidR="004D0395">
        <w:instrText xml:space="preserve">" </w:instrText>
      </w:r>
      <w:r w:rsidR="004D0395">
        <w:rPr>
          <w:rtl/>
        </w:rPr>
        <w:fldChar w:fldCharType="end"/>
      </w:r>
      <w:r>
        <w:rPr>
          <w:rFonts w:hint="cs"/>
          <w:rtl/>
        </w:rPr>
        <w:t xml:space="preserve">' הוא </w:t>
      </w:r>
      <w:r w:rsidR="00D72EED">
        <w:rPr>
          <w:rFonts w:hint="cs"/>
          <w:rtl/>
        </w:rPr>
        <w:t>המילה ה</w:t>
      </w:r>
      <w:r>
        <w:rPr>
          <w:rFonts w:hint="cs"/>
          <w:rtl/>
        </w:rPr>
        <w:t>יוונית</w:t>
      </w:r>
      <w:r w:rsidR="00D72EED">
        <w:rPr>
          <w:rFonts w:hint="cs"/>
          <w:rtl/>
        </w:rPr>
        <w:t xml:space="preserve"> ל</w:t>
      </w:r>
      <w:r w:rsidR="003C1481">
        <w:rPr>
          <w:rFonts w:hint="cs"/>
          <w:rtl/>
        </w:rPr>
        <w:t>'</w:t>
      </w:r>
      <w:r w:rsidR="00D72EED">
        <w:rPr>
          <w:rFonts w:hint="cs"/>
          <w:rtl/>
        </w:rPr>
        <w:t>חומר</w:t>
      </w:r>
      <w:r w:rsidR="003C1481">
        <w:rPr>
          <w:rFonts w:hint="cs"/>
          <w:rtl/>
        </w:rPr>
        <w:t>' (הפירוש המילולי הוא עץ, והכוונה שאצל הנגר החומר הוא העץ, וכמו המשל המקובל כשמבארים את העניין של צורה וחומר שהמיטה מורכת מחומר הוא העץ ומצורה)</w:t>
      </w:r>
      <w:r w:rsidR="0051102C">
        <w:rPr>
          <w:rFonts w:hint="cs"/>
          <w:rtl/>
        </w:rPr>
        <w:t>, ביוונית</w:t>
      </w:r>
      <w:r w:rsidR="0051102C" w:rsidRPr="0051102C">
        <w:rPr>
          <w:rFonts w:asciiTheme="majorBidi" w:hAnsiTheme="majorBidi" w:cstheme="majorBidi"/>
          <w:rtl/>
        </w:rPr>
        <w:t xml:space="preserve"> </w:t>
      </w:r>
      <w:bookmarkStart w:id="75" w:name="_Hlk97913243"/>
      <w:r w:rsidR="0051102C" w:rsidRPr="0051102C">
        <w:rPr>
          <w:rFonts w:asciiTheme="majorBidi" w:hAnsiTheme="majorBidi" w:cstheme="majorBidi"/>
        </w:rPr>
        <w:t>ὕλη</w:t>
      </w:r>
      <w:bookmarkEnd w:id="75"/>
      <w:r w:rsidR="0051102C">
        <w:rPr>
          <w:rFonts w:asciiTheme="majorBidi" w:hAnsiTheme="majorBidi" w:cstheme="majorBidi" w:hint="cs"/>
          <w:rtl/>
        </w:rPr>
        <w:t xml:space="preserve"> </w:t>
      </w:r>
      <w:r w:rsidR="0051102C" w:rsidRPr="0051102C">
        <w:rPr>
          <w:rFonts w:asciiTheme="majorBidi" w:hAnsiTheme="majorBidi" w:cs="Times New Roman"/>
          <w:rtl/>
        </w:rPr>
        <w:t>(</w:t>
      </w:r>
      <w:r w:rsidR="0051102C" w:rsidRPr="0051102C">
        <w:rPr>
          <w:rFonts w:asciiTheme="majorBidi" w:hAnsiTheme="majorBidi" w:cstheme="majorBidi"/>
        </w:rPr>
        <w:t>h</w:t>
      </w:r>
      <w:r w:rsidR="0051102C" w:rsidRPr="0051102C">
        <w:rPr>
          <w:rFonts w:asciiTheme="majorBidi" w:hAnsiTheme="majorBidi" w:cstheme="majorBidi" w:hint="eastAsia"/>
        </w:rPr>
        <w:t>ū́</w:t>
      </w:r>
      <w:r w:rsidR="0051102C" w:rsidRPr="0051102C">
        <w:rPr>
          <w:rFonts w:asciiTheme="majorBidi" w:hAnsiTheme="majorBidi" w:cstheme="majorBidi"/>
        </w:rPr>
        <w:t>l</w:t>
      </w:r>
      <w:r w:rsidR="0051102C" w:rsidRPr="0051102C">
        <w:rPr>
          <w:rFonts w:asciiTheme="majorBidi" w:hAnsiTheme="majorBidi" w:cstheme="majorBidi" w:hint="eastAsia"/>
        </w:rPr>
        <w:t>ē</w:t>
      </w:r>
      <w:r w:rsidR="0051102C" w:rsidRPr="0051102C">
        <w:rPr>
          <w:rFonts w:asciiTheme="majorBidi" w:hAnsiTheme="majorBidi" w:cs="Times New Roman"/>
          <w:rtl/>
        </w:rPr>
        <w:t>)</w:t>
      </w:r>
      <w:r>
        <w:rPr>
          <w:rFonts w:hint="cs"/>
          <w:rtl/>
        </w:rPr>
        <w:t>. ובכל זאת אבן סינא כתב כאן גם את המילה היוונית 'היולי' (</w:t>
      </w:r>
      <w:r w:rsidRPr="00B67702">
        <w:rPr>
          <w:rFonts w:cs="Times New Roman" w:hint="eastAsia"/>
          <w:rtl/>
          <w:lang w:bidi="ar-SA"/>
        </w:rPr>
        <w:t>هيولى</w:t>
      </w:r>
      <w:r>
        <w:rPr>
          <w:rFonts w:hint="cs"/>
          <w:rtl/>
        </w:rPr>
        <w:t>) וגם את המילה הערבית שפירושה חומר (</w:t>
      </w:r>
      <w:r w:rsidR="00D72EED" w:rsidRPr="00D72EED">
        <w:rPr>
          <w:rFonts w:cs="Times New Roman" w:hint="eastAsia"/>
          <w:rtl/>
          <w:lang w:bidi="ar-SA"/>
        </w:rPr>
        <w:t>مادة</w:t>
      </w:r>
      <w:r>
        <w:rPr>
          <w:rFonts w:hint="cs"/>
          <w:rtl/>
        </w:rPr>
        <w:t>).</w:t>
      </w:r>
      <w:r w:rsidR="00D72EED">
        <w:rPr>
          <w:rFonts w:hint="cs"/>
          <w:rtl/>
        </w:rPr>
        <w:t xml:space="preserve"> וכן בתרגום אבן תיבון למורה נבוכים משתמש במונח 'חומר' וגם במונח 'היולי' (מו</w:t>
      </w:r>
      <w:r w:rsidR="00F055C8">
        <w:rPr>
          <w:rtl/>
        </w:rPr>
        <w:t>"</w:t>
      </w:r>
      <w:r w:rsidR="00D72EED">
        <w:rPr>
          <w:rFonts w:hint="cs"/>
          <w:rtl/>
        </w:rPr>
        <w:t>נ א' ע</w:t>
      </w:r>
      <w:r w:rsidR="00F055C8">
        <w:rPr>
          <w:rtl/>
        </w:rPr>
        <w:t>"</w:t>
      </w:r>
      <w:r w:rsidR="00D72EED">
        <w:rPr>
          <w:rFonts w:hint="cs"/>
          <w:rtl/>
        </w:rPr>
        <w:t>ה הדרך הראשון), והרי שיצר מהמילה היוונית לחומר מונח שמשמעותו שונה מהמילה העברית 'חומר', ועיין גם ברמב</w:t>
      </w:r>
      <w:r w:rsidR="00F055C8">
        <w:rPr>
          <w:rtl/>
        </w:rPr>
        <w:t>"</w:t>
      </w:r>
      <w:r w:rsidR="00D72EED">
        <w:rPr>
          <w:rFonts w:hint="cs"/>
          <w:rtl/>
        </w:rPr>
        <w:t>ן על בראשית א' א'</w:t>
      </w:r>
      <w:r>
        <w:rPr>
          <w:rFonts w:hint="cs"/>
          <w:rtl/>
        </w:rPr>
        <w:t>.</w:t>
      </w:r>
      <w:r w:rsidR="00D72EED">
        <w:rPr>
          <w:rFonts w:hint="cs"/>
          <w:rtl/>
        </w:rPr>
        <w:t xml:space="preserve"> עיין בזה בפירוש המילות הזרות שכתב רבי שמואל אבן תיבון בסוף תרגומו למורה נבוכים, במילה 'היולי'</w:t>
      </w:r>
      <w:r w:rsidR="00131233">
        <w:rPr>
          <w:rFonts w:hint="cs"/>
          <w:rtl/>
        </w:rPr>
        <w:t xml:space="preserve"> (עיקר הבחנתו שם ש'היולי' מתייחס לחומר הראשון ואילו 'חומר' מתייחס לכל חומר, ועיין עוד שם).</w:t>
      </w:r>
      <w:r w:rsidR="00D72EED">
        <w:rPr>
          <w:rFonts w:hint="cs"/>
          <w:rtl/>
        </w:rPr>
        <w:t xml:space="preserve"> </w:t>
      </w:r>
      <w:r>
        <w:rPr>
          <w:rFonts w:hint="cs"/>
          <w:rtl/>
        </w:rPr>
        <w:t xml:space="preserve"> </w:t>
      </w:r>
    </w:p>
    <w:p w14:paraId="32BCF8C8" w14:textId="4C660AC9" w:rsidR="00E82A56" w:rsidRDefault="00E82A56">
      <w:pPr>
        <w:pStyle w:val="FootnoteText"/>
        <w:rPr>
          <w:rtl/>
        </w:rPr>
      </w:pPr>
      <w:r>
        <w:rPr>
          <w:rFonts w:hint="cs"/>
          <w:rtl/>
        </w:rPr>
        <w:t>הבחנה זו כתב גם אבן סינא בספר ההגדרות</w:t>
      </w:r>
      <w:r w:rsidR="002D47C9">
        <w:rPr>
          <w:rtl/>
        </w:rPr>
        <w:fldChar w:fldCharType="begin"/>
      </w:r>
      <w:r w:rsidR="002D47C9">
        <w:instrText xml:space="preserve"> XE "</w:instrText>
      </w:r>
      <w:r w:rsidR="002D47C9" w:rsidRPr="00A1334A">
        <w:rPr>
          <w:rFonts w:hint="cs"/>
          <w:rtl/>
        </w:rPr>
        <w:instrText>היולי - הגדרתו בספר ההגדרות של אבן סינא</w:instrText>
      </w:r>
      <w:r w:rsidR="002D47C9">
        <w:instrText xml:space="preserve">" </w:instrText>
      </w:r>
      <w:r w:rsidR="002D47C9">
        <w:rPr>
          <w:rtl/>
        </w:rPr>
        <w:fldChar w:fldCharType="end"/>
      </w:r>
      <w:r>
        <w:rPr>
          <w:rFonts w:hint="cs"/>
          <w:rtl/>
        </w:rPr>
        <w:t xml:space="preserve"> (כיתאב אל חודוד), הגדרה 30 וזה לשונו</w:t>
      </w:r>
      <w:r w:rsidR="00A56C8A">
        <w:t xml:space="preserve"> </w:t>
      </w:r>
      <w:r w:rsidR="00686252">
        <w:rPr>
          <w:rFonts w:hint="cs"/>
          <w:rtl/>
        </w:rPr>
        <w:t xml:space="preserve"> (בתרגום </w:t>
      </w:r>
      <w:r w:rsidR="00686252" w:rsidRPr="00686252">
        <w:t>Kiki Kennedy-Day</w:t>
      </w:r>
      <w:r w:rsidR="00686252">
        <w:rPr>
          <w:rFonts w:hint="cs"/>
          <w:rtl/>
        </w:rPr>
        <w:t>)</w:t>
      </w:r>
      <w:r>
        <w:rPr>
          <w:rFonts w:hint="cs"/>
          <w:rtl/>
        </w:rPr>
        <w:t>:</w:t>
      </w:r>
    </w:p>
    <w:p w14:paraId="4D70CA81" w14:textId="65A762DA" w:rsidR="00E82A56" w:rsidRDefault="006B52AE" w:rsidP="00E82A56">
      <w:pPr>
        <w:pStyle w:val="FootnoteText"/>
        <w:bidi w:val="0"/>
      </w:pPr>
      <w:r w:rsidRPr="006B52AE">
        <w:rPr>
          <w:b/>
          <w:bCs/>
        </w:rPr>
        <w:t>30</w:t>
      </w:r>
      <w:r>
        <w:t xml:space="preserve"> </w:t>
      </w:r>
      <w:r w:rsidR="00E82A56" w:rsidRPr="00E82A56">
        <w:t>The</w:t>
      </w:r>
      <w:r>
        <w:t xml:space="preserve"> </w:t>
      </w:r>
      <w:r w:rsidR="00E82A56" w:rsidRPr="00E82A56">
        <w:t>de</w:t>
      </w:r>
      <w:r w:rsidR="00E82A56" w:rsidRPr="00E82A56">
        <w:rPr>
          <w:rFonts w:ascii="Arial" w:hAnsi="Arial" w:cs="Arial"/>
        </w:rPr>
        <w:t>ﬁ</w:t>
      </w:r>
      <w:r w:rsidR="00E82A56" w:rsidRPr="00E82A56">
        <w:t xml:space="preserve">nition of matter (hayula) Absolute matter is a substance which exists in actuality only when it receives a corporeal form from the potentiality of matter to receive forms. Absolute matter does not have in itself any form particularizing it, except in the sense of potentiality. The meaning of my statement, </w:t>
      </w:r>
      <w:r w:rsidR="00F055C8">
        <w:t>"</w:t>
      </w:r>
      <w:r w:rsidR="00E82A56" w:rsidRPr="00E82A56">
        <w:t>There is a substance belonging to matter</w:t>
      </w:r>
      <w:r w:rsidR="00F055C8">
        <w:t>"</w:t>
      </w:r>
      <w:r w:rsidR="00E82A56" w:rsidRPr="00E82A56">
        <w:t xml:space="preserve"> is that the existence which comes to matter in actuality belongs to it in itself. One also says that matter belongs to everything from the point of view that it receives a certain perfection or something which it did not have. Therefore it will be matter1, in relation to what is not in it and it is a subject in relation to what is in it</w:t>
      </w:r>
      <w:r w:rsidR="00E82A56" w:rsidRPr="00E82A56">
        <w:rPr>
          <w:rtl/>
        </w:rPr>
        <w:t>.</w:t>
      </w:r>
    </w:p>
  </w:footnote>
  <w:footnote w:id="117">
    <w:p w14:paraId="5FB08D01" w14:textId="046B6CA0" w:rsidR="00523CB9" w:rsidRDefault="00523CB9">
      <w:pPr>
        <w:pStyle w:val="FootnoteText"/>
        <w:rPr>
          <w:rtl/>
        </w:rPr>
      </w:pPr>
      <w:r>
        <w:rPr>
          <w:rStyle w:val="FootnoteReference"/>
        </w:rPr>
        <w:footnoteRef/>
      </w:r>
      <w:r>
        <w:rPr>
          <w:rtl/>
        </w:rPr>
        <w:t xml:space="preserve"> </w:t>
      </w:r>
      <w:r>
        <w:t>subject</w:t>
      </w:r>
      <w:r>
        <w:rPr>
          <w:rFonts w:hint="cs"/>
          <w:rtl/>
        </w:rPr>
        <w:t>. הכוונה למונח האריסטוטל</w:t>
      </w:r>
      <w:r w:rsidRPr="00523CB9">
        <w:rPr>
          <w:rtl/>
        </w:rPr>
        <w:t>י</w:t>
      </w:r>
      <w:r w:rsidR="00B67702">
        <w:rPr>
          <w:rFonts w:hint="cs"/>
          <w:rtl/>
        </w:rPr>
        <w:t xml:space="preserve"> המרכזי</w:t>
      </w:r>
      <w:r w:rsidRPr="00523CB9">
        <w:rPr>
          <w:rtl/>
        </w:rPr>
        <w:t xml:space="preserve"> </w:t>
      </w:r>
      <w:r w:rsidRPr="00523CB9">
        <w:t>ypokeim</w:t>
      </w:r>
      <w:bookmarkStart w:id="76" w:name="_Hlk97913399"/>
      <w:r w:rsidRPr="00523CB9">
        <w:t>é</w:t>
      </w:r>
      <w:bookmarkEnd w:id="76"/>
      <w:r w:rsidRPr="00523CB9">
        <w:t>non</w:t>
      </w:r>
      <w:r w:rsidRPr="00523CB9">
        <w:rPr>
          <w:rtl/>
        </w:rPr>
        <w:t xml:space="preserve">, </w:t>
      </w:r>
      <w:r w:rsidRPr="00BF14AF">
        <w:rPr>
          <w:rFonts w:asciiTheme="majorBidi" w:hAnsiTheme="majorBidi" w:cstheme="majorBidi"/>
        </w:rPr>
        <w:t>υποκειμένων</w:t>
      </w:r>
      <w:r w:rsidRPr="00523CB9">
        <w:rPr>
          <w:rtl/>
        </w:rPr>
        <w:t>, שמ</w:t>
      </w:r>
      <w:r>
        <w:rPr>
          <w:rFonts w:hint="cs"/>
          <w:rtl/>
        </w:rPr>
        <w:t>ת</w:t>
      </w:r>
      <w:r w:rsidRPr="00523CB9">
        <w:rPr>
          <w:rtl/>
        </w:rPr>
        <w:t>ורגם</w:t>
      </w:r>
      <w:r>
        <w:rPr>
          <w:rFonts w:hint="cs"/>
          <w:rtl/>
        </w:rPr>
        <w:t xml:space="preserve"> לפעמים</w:t>
      </w:r>
      <w:r w:rsidRPr="00523CB9">
        <w:rPr>
          <w:rtl/>
        </w:rPr>
        <w:t xml:space="preserve"> גם כ</w:t>
      </w:r>
      <w:r w:rsidR="00F055C8">
        <w:rPr>
          <w:rtl/>
        </w:rPr>
        <w:t>"</w:t>
      </w:r>
      <w:r w:rsidRPr="00523CB9">
        <w:rPr>
          <w:rtl/>
        </w:rPr>
        <w:t>מצע</w:t>
      </w:r>
      <w:r w:rsidR="00F055C8">
        <w:rPr>
          <w:rtl/>
        </w:rPr>
        <w:t>"</w:t>
      </w:r>
      <w:r>
        <w:rPr>
          <w:rFonts w:hint="cs"/>
          <w:rtl/>
        </w:rPr>
        <w:t>. החומר נושא את הצורה, ולכן הוא נקרא נושא.</w:t>
      </w:r>
      <w:r w:rsidR="00147614">
        <w:rPr>
          <w:rFonts w:hint="cs"/>
          <w:rtl/>
        </w:rPr>
        <w:t xml:space="preserve"> 'ראובן חי מדבר', 'ראובן' הכוונה כאן לבשר שלו והוא נושא המשפט כי הוא נושא את הצורה של 'חי מדבר'. </w:t>
      </w:r>
      <w:r>
        <w:rPr>
          <w:rFonts w:hint="cs"/>
          <w:rtl/>
        </w:rPr>
        <w:t xml:space="preserve"> </w:t>
      </w:r>
      <w:r w:rsidRPr="00523CB9">
        <w:rPr>
          <w:rtl/>
        </w:rPr>
        <w:t xml:space="preserve"> </w:t>
      </w:r>
    </w:p>
  </w:footnote>
  <w:footnote w:id="118">
    <w:p w14:paraId="5CE862BC" w14:textId="2D4E136E" w:rsidR="00805B9B" w:rsidRPr="001B7B44" w:rsidRDefault="00805B9B">
      <w:pPr>
        <w:pStyle w:val="FootnoteText"/>
      </w:pPr>
      <w:r w:rsidRPr="001B7B44">
        <w:rPr>
          <w:rStyle w:val="FootnoteReference"/>
        </w:rPr>
        <w:footnoteRef/>
      </w:r>
      <w:r w:rsidRPr="001B7B44">
        <w:rPr>
          <w:rtl/>
        </w:rPr>
        <w:t xml:space="preserve"> </w:t>
      </w:r>
      <w:r w:rsidR="001B7B44" w:rsidRPr="001B7B44">
        <w:rPr>
          <w:rtl/>
        </w:rPr>
        <w:t xml:space="preserve">המילה הערבית כאן </w:t>
      </w:r>
      <w:r w:rsidR="001B7B44" w:rsidRPr="001B7B44">
        <w:rPr>
          <w:rFonts w:ascii="Arial" w:hAnsi="Arial" w:cs="Arial" w:hint="cs"/>
          <w:rtl/>
          <w:lang w:bidi="ar-SA"/>
        </w:rPr>
        <w:t>أسطتساً</w:t>
      </w:r>
      <w:r w:rsidR="00523CB9">
        <w:rPr>
          <w:rFonts w:hint="cs"/>
          <w:rtl/>
        </w:rPr>
        <w:t>.</w:t>
      </w:r>
      <w:r w:rsidR="007C226B">
        <w:rPr>
          <w:rFonts w:hint="cs"/>
          <w:rtl/>
        </w:rPr>
        <w:t xml:space="preserve"> איני שלם עם התרגום שכתבתי אבל לא מצאתי מילה מתאימה יותר. </w:t>
      </w:r>
    </w:p>
  </w:footnote>
  <w:footnote w:id="119">
    <w:p w14:paraId="7F4F95C3" w14:textId="4C071B6F" w:rsidR="004773BD" w:rsidRDefault="004773BD">
      <w:pPr>
        <w:pStyle w:val="FootnoteText"/>
      </w:pPr>
      <w:r>
        <w:rPr>
          <w:rStyle w:val="FootnoteReference"/>
        </w:rPr>
        <w:footnoteRef/>
      </w:r>
      <w:r>
        <w:rPr>
          <w:rtl/>
        </w:rPr>
        <w:t xml:space="preserve"> </w:t>
      </w:r>
      <w:r w:rsidRPr="004773BD">
        <w:rPr>
          <w:rFonts w:cs="Times New Roman" w:hint="eastAsia"/>
          <w:rtl/>
          <w:lang w:bidi="ar-SA"/>
        </w:rPr>
        <w:t>صورة</w:t>
      </w:r>
      <w:r w:rsidRPr="004773BD">
        <w:rPr>
          <w:rFonts w:cs="Times New Roman"/>
          <w:rtl/>
          <w:lang w:bidi="ar-SA"/>
        </w:rPr>
        <w:t xml:space="preserve"> </w:t>
      </w:r>
      <w:r w:rsidRPr="004773BD">
        <w:rPr>
          <w:rFonts w:cs="Times New Roman" w:hint="eastAsia"/>
          <w:rtl/>
          <w:lang w:bidi="ar-SA"/>
        </w:rPr>
        <w:t>الجسمية</w:t>
      </w:r>
      <w:r w:rsidRPr="004773BD">
        <w:rPr>
          <w:rFonts w:cs="Times New Roman"/>
          <w:rtl/>
          <w:lang w:bidi="ar-SA"/>
        </w:rPr>
        <w:t xml:space="preserve"> - </w:t>
      </w:r>
      <w:r w:rsidRPr="004773BD">
        <w:rPr>
          <w:rtl/>
        </w:rPr>
        <w:t>צורת הגופניות</w:t>
      </w:r>
      <w:r>
        <w:rPr>
          <w:rFonts w:hint="cs"/>
          <w:rtl/>
        </w:rPr>
        <w:t>.</w:t>
      </w:r>
    </w:p>
  </w:footnote>
  <w:footnote w:id="120">
    <w:p w14:paraId="053698DE" w14:textId="75AF7DDA" w:rsidR="00131233" w:rsidRDefault="00131233">
      <w:pPr>
        <w:pStyle w:val="FootnoteText"/>
      </w:pPr>
      <w:r>
        <w:rPr>
          <w:rStyle w:val="FootnoteReference"/>
        </w:rPr>
        <w:footnoteRef/>
      </w:r>
      <w:r>
        <w:rPr>
          <w:rtl/>
        </w:rPr>
        <w:t xml:space="preserve"> </w:t>
      </w:r>
      <w:r>
        <w:rPr>
          <w:rFonts w:hint="cs"/>
          <w:rtl/>
        </w:rPr>
        <w:t xml:space="preserve">העצמים </w:t>
      </w:r>
      <w:r w:rsidR="0029680C">
        <w:rPr>
          <w:rFonts w:hint="cs"/>
          <w:rtl/>
        </w:rPr>
        <w:t>היחידים המוחשיים (</w:t>
      </w:r>
      <w:r w:rsidR="008A3A57">
        <w:rPr>
          <w:rFonts w:hint="cs"/>
          <w:rtl/>
        </w:rPr>
        <w:t>אינדיבידואלים</w:t>
      </w:r>
      <w:r w:rsidR="0029680C">
        <w:rPr>
          <w:rFonts w:hint="cs"/>
          <w:rtl/>
        </w:rPr>
        <w:t xml:space="preserve">) </w:t>
      </w:r>
      <w:r>
        <w:rPr>
          <w:rFonts w:hint="cs"/>
          <w:rtl/>
        </w:rPr>
        <w:t>שמורכבים מחומר וצורה.</w:t>
      </w:r>
      <w:r w:rsidR="0029680C">
        <w:rPr>
          <w:rFonts w:hint="cs"/>
          <w:rtl/>
        </w:rPr>
        <w:t xml:space="preserve"> ואחר כך הוסיף 'סוגיהם' ו'מיניהם' כי יש לסוגים ולמינים צורות נוספות מעבר למה שיש לפרטים. למשל לסוג 'חי' יש צורת חיים כוללת שאינה נמצאת כצורה שכוללת את כל רוחב התוכן של 'חיים' בשום מין מבעלי חיים ובוודאי לא בשום יחיד מוחשי. </w:t>
      </w:r>
    </w:p>
  </w:footnote>
  <w:footnote w:id="121">
    <w:p w14:paraId="3184F225" w14:textId="3C78C471" w:rsidR="00DB5C45" w:rsidRDefault="00DB5C45">
      <w:pPr>
        <w:pStyle w:val="FootnoteText"/>
        <w:rPr>
          <w:rtl/>
        </w:rPr>
      </w:pPr>
      <w:r>
        <w:rPr>
          <w:rStyle w:val="FootnoteReference"/>
        </w:rPr>
        <w:footnoteRef/>
      </w:r>
      <w:r>
        <w:rPr>
          <w:rtl/>
        </w:rPr>
        <w:t xml:space="preserve"> </w:t>
      </w:r>
      <w:r>
        <w:rPr>
          <w:rFonts w:hint="cs"/>
          <w:rtl/>
        </w:rPr>
        <w:t xml:space="preserve">כל צורה שהיא גבוהה מצורות אחרות שמשתלשלות ממנה, היא מצד אחד גבוהה מהן, ומצד שני </w:t>
      </w:r>
      <w:r w:rsidR="003C00F2">
        <w:rPr>
          <w:rFonts w:hint="cs"/>
          <w:rtl/>
        </w:rPr>
        <w:t xml:space="preserve">היא היסוד והשורש של מהותן. </w:t>
      </w:r>
      <w:r>
        <w:rPr>
          <w:rFonts w:hint="cs"/>
          <w:rtl/>
        </w:rPr>
        <w:t xml:space="preserve">למשל מידת החסד גבוהה בסדר הספירות ממידת הדין, זה אומר שהיא קודמת בסדר </w:t>
      </w:r>
      <w:r w:rsidR="009C463A">
        <w:rPr>
          <w:rFonts w:hint="cs"/>
          <w:rtl/>
        </w:rPr>
        <w:t>ההוויה</w:t>
      </w:r>
      <w:r>
        <w:rPr>
          <w:rFonts w:hint="cs"/>
          <w:rtl/>
        </w:rPr>
        <w:t xml:space="preserve"> </w:t>
      </w:r>
      <w:r w:rsidR="003C00F2">
        <w:rPr>
          <w:rFonts w:hint="cs"/>
          <w:rtl/>
        </w:rPr>
        <w:t xml:space="preserve">(קודם התהווה החסד וכתולדה מזה השתלשלה הווייתו של הדין), </w:t>
      </w:r>
      <w:r>
        <w:rPr>
          <w:rFonts w:hint="cs"/>
          <w:rtl/>
        </w:rPr>
        <w:t>היא הכלל שממנו נובעים הפרטים, וזה גם אומר שמידת הדין ב</w:t>
      </w:r>
      <w:r w:rsidR="003C00F2">
        <w:rPr>
          <w:rFonts w:hint="cs"/>
          <w:rtl/>
        </w:rPr>
        <w:t>שורשה</w:t>
      </w:r>
      <w:r>
        <w:rPr>
          <w:rFonts w:hint="cs"/>
          <w:rtl/>
        </w:rPr>
        <w:t xml:space="preserve"> אינה אלא רק מידת החסד ולא שום דבר אחר</w:t>
      </w:r>
      <w:r w:rsidR="003C00F2">
        <w:rPr>
          <w:rFonts w:hint="cs"/>
          <w:rtl/>
        </w:rPr>
        <w:t>, ואין באמת שום חילוק בין חסד לדין</w:t>
      </w:r>
      <w:r>
        <w:rPr>
          <w:rFonts w:hint="cs"/>
          <w:rtl/>
        </w:rPr>
        <w:t xml:space="preserve">. </w:t>
      </w:r>
    </w:p>
    <w:p w14:paraId="28132F91" w14:textId="3FB80E31" w:rsidR="00DB5C45" w:rsidRDefault="00DB5C45">
      <w:pPr>
        <w:pStyle w:val="FootnoteText"/>
      </w:pPr>
      <w:r>
        <w:rPr>
          <w:rFonts w:hint="cs"/>
          <w:rtl/>
        </w:rPr>
        <w:t xml:space="preserve">כמו כן ה'אין', האין סוף, קודם בסדר </w:t>
      </w:r>
      <w:r w:rsidR="009C463A">
        <w:rPr>
          <w:rFonts w:hint="cs"/>
          <w:rtl/>
        </w:rPr>
        <w:t>ההוויה</w:t>
      </w:r>
      <w:r>
        <w:rPr>
          <w:rFonts w:hint="cs"/>
          <w:rtl/>
        </w:rPr>
        <w:t xml:space="preserve"> ל'יש', כי ה'יש' נברא </w:t>
      </w:r>
      <w:r>
        <w:rPr>
          <w:rFonts w:hint="cs"/>
          <w:rtl/>
        </w:rPr>
        <w:t>מה'אין'. ולכן ה'אין' גבוה בסדר המדרגות מה'יש', אבל זה בהכרח גם אומר שה'יש' בעומק מהותו אינו אלא רק 'אין' ותו לא</w:t>
      </w:r>
      <w:r w:rsidR="003C00F2">
        <w:rPr>
          <w:rFonts w:hint="cs"/>
          <w:rtl/>
        </w:rPr>
        <w:t>, ואין חילוק כלל בין 'אין' ל'יש'</w:t>
      </w:r>
      <w:r>
        <w:rPr>
          <w:rFonts w:hint="cs"/>
          <w:rtl/>
        </w:rPr>
        <w:t xml:space="preserve">. </w:t>
      </w:r>
    </w:p>
    <w:p w14:paraId="35C2661D" w14:textId="77777777" w:rsidR="005555E0" w:rsidRPr="005555E0" w:rsidRDefault="005555E0">
      <w:pPr>
        <w:pStyle w:val="FootnoteText"/>
        <w:rPr>
          <w:rtl/>
        </w:rPr>
      </w:pPr>
    </w:p>
    <w:p w14:paraId="5D01C606" w14:textId="6B52D26D" w:rsidR="00DB5C45" w:rsidRDefault="00DB5C45">
      <w:pPr>
        <w:pStyle w:val="FootnoteText"/>
        <w:rPr>
          <w:rtl/>
        </w:rPr>
      </w:pPr>
      <w:r>
        <w:rPr>
          <w:rFonts w:hint="cs"/>
          <w:rtl/>
        </w:rPr>
        <w:t>זהו שכתב רבי שמואל הנגיד:</w:t>
      </w:r>
    </w:p>
    <w:p w14:paraId="10F23189" w14:textId="421F02CD" w:rsidR="00DB5C45" w:rsidRDefault="00F055C8" w:rsidP="00221378">
      <w:pPr>
        <w:pStyle w:val="FootnoteText"/>
        <w:rPr>
          <w:rtl/>
        </w:rPr>
      </w:pPr>
      <w:r>
        <w:rPr>
          <w:rtl/>
        </w:rPr>
        <w:t>"</w:t>
      </w:r>
      <w:r w:rsidR="00DB5C45">
        <w:rPr>
          <w:rFonts w:hint="cs"/>
          <w:rtl/>
        </w:rPr>
        <w:t>אוהבי ימים על גב ארץ, הידעתם כי חייכם שווא?</w:t>
      </w:r>
    </w:p>
    <w:p w14:paraId="635F8439" w14:textId="3EDB85B1" w:rsidR="00DB5C45" w:rsidRDefault="00DB5C45" w:rsidP="00221378">
      <w:pPr>
        <w:pStyle w:val="FootnoteText"/>
      </w:pPr>
      <w:r>
        <w:rPr>
          <w:rFonts w:hint="cs"/>
          <w:rtl/>
        </w:rPr>
        <w:t>אתם משורש מוות:</w:t>
      </w:r>
      <w:r>
        <w:rPr>
          <w:rFonts w:hint="cs"/>
        </w:rPr>
        <w:t xml:space="preserve"> </w:t>
      </w:r>
      <w:r>
        <w:rPr>
          <w:rFonts w:hint="cs"/>
          <w:rtl/>
        </w:rPr>
        <w:t>כל ענף ישוב אל שרשיו!</w:t>
      </w:r>
      <w:r w:rsidR="00F055C8">
        <w:rPr>
          <w:rtl/>
        </w:rPr>
        <w:t>"</w:t>
      </w:r>
      <w:r>
        <w:rPr>
          <w:rFonts w:hint="cs"/>
          <w:rtl/>
        </w:rPr>
        <w:t xml:space="preserve">   </w:t>
      </w:r>
    </w:p>
    <w:p w14:paraId="53DE873A" w14:textId="77777777" w:rsidR="005555E0" w:rsidRDefault="005555E0">
      <w:pPr>
        <w:pStyle w:val="FootnoteText"/>
        <w:rPr>
          <w:rtl/>
        </w:rPr>
      </w:pPr>
    </w:p>
    <w:p w14:paraId="1315EE5C" w14:textId="4AF690C5" w:rsidR="003C00F2" w:rsidRDefault="003C00F2">
      <w:pPr>
        <w:pStyle w:val="FootnoteText"/>
      </w:pPr>
      <w:r>
        <w:rPr>
          <w:rFonts w:hint="cs"/>
          <w:rtl/>
        </w:rPr>
        <w:t xml:space="preserve">זהו שכתב כאן אבן סינא שצורת התלת ממדיות קודמת לשאר הצורות בסדר </w:t>
      </w:r>
      <w:r w:rsidR="009C463A">
        <w:rPr>
          <w:rFonts w:hint="cs"/>
          <w:rtl/>
        </w:rPr>
        <w:t>ההוויה</w:t>
      </w:r>
      <w:r>
        <w:rPr>
          <w:rFonts w:hint="cs"/>
          <w:rtl/>
        </w:rPr>
        <w:t>, כי היא התהוותה ראשונה וממנה נבעה הוויית שאר הצורות. וגם שהיא עניין בלתי נפרד מהן, כי כל הצורות הטבעיות שורש מהותן הוא התלת ממדיות שלהן.</w:t>
      </w:r>
    </w:p>
  </w:footnote>
  <w:footnote w:id="122">
    <w:p w14:paraId="0B90A135" w14:textId="127EBEC2" w:rsidR="008A3A57" w:rsidRDefault="008A3A57">
      <w:pPr>
        <w:pStyle w:val="FootnoteText"/>
      </w:pPr>
      <w:r>
        <w:rPr>
          <w:rStyle w:val="FootnoteReference"/>
        </w:rPr>
        <w:footnoteRef/>
      </w:r>
      <w:r>
        <w:rPr>
          <w:rtl/>
        </w:rPr>
        <w:t xml:space="preserve"> </w:t>
      </w:r>
      <w:r>
        <w:rPr>
          <w:rFonts w:hint="cs"/>
          <w:rtl/>
        </w:rPr>
        <w:t xml:space="preserve">יש דברים מופשטים, לכן לא מדובר כאן בכל הדברים. אבל הדברים האלה, כלומר הטבעיים, שיש להם צורה בדרך של התלבשות הצורה בחומר, כולם יש להם חומר. </w:t>
      </w:r>
    </w:p>
  </w:footnote>
  <w:footnote w:id="123">
    <w:p w14:paraId="75BE19AA" w14:textId="6571EE1C" w:rsidR="00D11347" w:rsidRDefault="008A3A57" w:rsidP="00091F04">
      <w:pPr>
        <w:pStyle w:val="FootnoteText"/>
        <w:rPr>
          <w:rtl/>
        </w:rPr>
      </w:pPr>
      <w:r>
        <w:rPr>
          <w:rStyle w:val="FootnoteReference"/>
        </w:rPr>
        <w:footnoteRef/>
      </w:r>
      <w:r>
        <w:rPr>
          <w:rtl/>
        </w:rPr>
        <w:t xml:space="preserve"> </w:t>
      </w:r>
      <w:bookmarkStart w:id="78" w:name="צורת_התלת_ממדיות"/>
      <w:r w:rsidR="00D11347" w:rsidRPr="00AC6F17">
        <w:rPr>
          <w:rFonts w:hint="cs"/>
          <w:b/>
          <w:bCs/>
          <w:sz w:val="32"/>
          <w:szCs w:val="32"/>
          <w:rtl/>
        </w:rPr>
        <w:t>צורת התלת ממדיות</w:t>
      </w:r>
      <w:bookmarkEnd w:id="78"/>
      <w:r w:rsidR="00823A06">
        <w:rPr>
          <w:b/>
          <w:bCs/>
          <w:sz w:val="32"/>
          <w:szCs w:val="32"/>
          <w:rtl/>
        </w:rPr>
        <w:fldChar w:fldCharType="begin"/>
      </w:r>
      <w:r w:rsidR="00823A06">
        <w:instrText xml:space="preserve"> XE "</w:instrText>
      </w:r>
      <w:r w:rsidR="00823A06" w:rsidRPr="00E741C3">
        <w:rPr>
          <w:rFonts w:hint="cs"/>
          <w:sz w:val="32"/>
          <w:szCs w:val="32"/>
          <w:rtl/>
        </w:rPr>
        <w:instrText>מאמר</w:instrText>
      </w:r>
      <w:r w:rsidR="00823A06" w:rsidRPr="00E741C3">
        <w:rPr>
          <w:sz w:val="32"/>
          <w:szCs w:val="32"/>
          <w:rtl/>
        </w:rPr>
        <w:instrText>:</w:instrText>
      </w:r>
      <w:r w:rsidR="00823A06" w:rsidRPr="00E741C3">
        <w:rPr>
          <w:rFonts w:hint="cs"/>
          <w:rtl/>
        </w:rPr>
        <w:instrText>צורת התלת ממדיות, הבוהו.</w:instrText>
      </w:r>
      <w:r w:rsidR="00823A06">
        <w:instrText xml:space="preserve">" </w:instrText>
      </w:r>
      <w:r w:rsidR="00823A06">
        <w:rPr>
          <w:b/>
          <w:bCs/>
          <w:sz w:val="32"/>
          <w:szCs w:val="32"/>
          <w:rtl/>
        </w:rPr>
        <w:fldChar w:fldCharType="end"/>
      </w:r>
      <w:r w:rsidR="00FA0931">
        <w:rPr>
          <w:b/>
          <w:bCs/>
          <w:sz w:val="32"/>
          <w:szCs w:val="32"/>
          <w:rtl/>
        </w:rPr>
        <w:fldChar w:fldCharType="begin"/>
      </w:r>
      <w:r w:rsidR="00FA0931">
        <w:instrText xml:space="preserve"> XE "</w:instrText>
      </w:r>
      <w:r w:rsidR="00FA0931" w:rsidRPr="00CA41A6">
        <w:rPr>
          <w:rFonts w:hint="cs"/>
          <w:b/>
          <w:bCs/>
          <w:sz w:val="32"/>
          <w:szCs w:val="32"/>
          <w:rtl/>
        </w:rPr>
        <w:instrText>צורת התלת ממדיות</w:instrText>
      </w:r>
      <w:r w:rsidR="00FA0931">
        <w:instrText xml:space="preserve">" </w:instrText>
      </w:r>
      <w:r w:rsidR="00FA0931">
        <w:rPr>
          <w:b/>
          <w:bCs/>
          <w:sz w:val="32"/>
          <w:szCs w:val="32"/>
          <w:rtl/>
        </w:rPr>
        <w:fldChar w:fldCharType="end"/>
      </w:r>
      <w:r w:rsidR="00D11347" w:rsidRPr="00AC6F17">
        <w:rPr>
          <w:rFonts w:hint="cs"/>
          <w:b/>
          <w:bCs/>
          <w:sz w:val="32"/>
          <w:szCs w:val="32"/>
          <w:rtl/>
        </w:rPr>
        <w:t>. הבוהו</w:t>
      </w:r>
      <w:r w:rsidR="00FA0931">
        <w:rPr>
          <w:b/>
          <w:bCs/>
          <w:sz w:val="32"/>
          <w:szCs w:val="32"/>
          <w:rtl/>
        </w:rPr>
        <w:fldChar w:fldCharType="begin"/>
      </w:r>
      <w:r w:rsidR="00FA0931">
        <w:instrText xml:space="preserve"> XE "</w:instrText>
      </w:r>
      <w:r w:rsidR="00FA0931" w:rsidRPr="00A86403">
        <w:rPr>
          <w:rFonts w:hint="cs"/>
          <w:b/>
          <w:bCs/>
          <w:sz w:val="32"/>
          <w:szCs w:val="32"/>
          <w:rtl/>
        </w:rPr>
        <w:instrText>הבוהו</w:instrText>
      </w:r>
      <w:r w:rsidR="00FA0931">
        <w:instrText xml:space="preserve">" </w:instrText>
      </w:r>
      <w:r w:rsidR="00FA0931">
        <w:rPr>
          <w:b/>
          <w:bCs/>
          <w:sz w:val="32"/>
          <w:szCs w:val="32"/>
          <w:rtl/>
        </w:rPr>
        <w:fldChar w:fldCharType="end"/>
      </w:r>
      <w:r w:rsidR="00D11347" w:rsidRPr="00AC6F17">
        <w:rPr>
          <w:rFonts w:hint="cs"/>
          <w:b/>
          <w:bCs/>
          <w:sz w:val="32"/>
          <w:szCs w:val="32"/>
          <w:rtl/>
        </w:rPr>
        <w:t>.</w:t>
      </w:r>
    </w:p>
    <w:p w14:paraId="5CAC6609" w14:textId="54E97C9C" w:rsidR="00D11347" w:rsidRDefault="00D11347" w:rsidP="00D11347">
      <w:pPr>
        <w:pStyle w:val="FootnoteText"/>
        <w:rPr>
          <w:rtl/>
        </w:rPr>
      </w:pPr>
      <w:r>
        <w:rPr>
          <w:rFonts w:hint="cs"/>
          <w:rtl/>
        </w:rPr>
        <w:t>(</w:t>
      </w:r>
      <w:r>
        <w:rPr>
          <w:rtl/>
        </w:rPr>
        <w:t>זה נושא מהיסודיים ביותר בתורת הסוד. כל שאר הנושאים העיקריים, כמו מופשט וחומרי, אחדות הבורא מול המוגבלות של הבריאה, חומר וצורה, ועוד, צריכים את ההקדמה הזו.</w:t>
      </w:r>
    </w:p>
    <w:p w14:paraId="493B97B1" w14:textId="4FF9E61A" w:rsidR="00D11347" w:rsidRDefault="00D11347" w:rsidP="00D11347">
      <w:pPr>
        <w:pStyle w:val="FootnoteText"/>
        <w:rPr>
          <w:rtl/>
        </w:rPr>
      </w:pPr>
      <w:r>
        <w:rPr>
          <w:rtl/>
        </w:rPr>
        <w:t>עסקתי בזה הרבה בשיעורים על ספר הזוהר ועל המורה נבוכים, וכן בכתיבה בכמה מקומות. ושאלו על זה כמה פעמים כי העניין קשה לתפישה.</w:t>
      </w:r>
      <w:r>
        <w:rPr>
          <w:rFonts w:hint="cs"/>
          <w:rtl/>
        </w:rPr>
        <w:t xml:space="preserve"> לכן למרות שכבר כתבתי בזה ב</w:t>
      </w:r>
      <w:hyperlink r:id="rId21" w:history="1">
        <w:r w:rsidRPr="00352619">
          <w:rPr>
            <w:rStyle w:val="Hyperlink"/>
            <w:rFonts w:hint="cs"/>
            <w:rtl/>
          </w:rPr>
          <w:t>רמיזות והערות</w:t>
        </w:r>
      </w:hyperlink>
      <w:r>
        <w:rPr>
          <w:rFonts w:hint="cs"/>
          <w:rtl/>
        </w:rPr>
        <w:t xml:space="preserve"> כמו שמובא לעיל, ובעוד כמה מקומות, ובשיעורים על הזוהר והמורה נבוכים, עדיין איני נמנע מלחזור שוב, בתקווה שבכל חזרה תהיה תוספת בהירות ולו במעט</w:t>
      </w:r>
      <w:r>
        <w:rPr>
          <w:rtl/>
        </w:rPr>
        <w:t>.</w:t>
      </w:r>
      <w:r>
        <w:rPr>
          <w:rFonts w:hint="cs"/>
          <w:rtl/>
        </w:rPr>
        <w:t>)</w:t>
      </w:r>
    </w:p>
    <w:p w14:paraId="4A808461" w14:textId="3F6369F6" w:rsidR="00C764B6" w:rsidRDefault="00C764B6">
      <w:pPr>
        <w:pStyle w:val="FootnoteText"/>
        <w:rPr>
          <w:rtl/>
        </w:rPr>
      </w:pPr>
    </w:p>
    <w:p w14:paraId="6B4C1DEF" w14:textId="7EC08C91" w:rsidR="008A3A57" w:rsidRDefault="008A3A57">
      <w:pPr>
        <w:pStyle w:val="FootnoteText"/>
      </w:pPr>
      <w:r>
        <w:rPr>
          <w:rFonts w:hint="cs"/>
          <w:rtl/>
        </w:rPr>
        <w:t>הכוונה שהתלת ממדיות כשלעצמה היא ההתחלה הראשונה של הקיום הטבעי. קיום טבעי מוגדר כקיום שבו פירוש המילה 'נמצא' היא עצם ש</w:t>
      </w:r>
      <w:r w:rsidR="00A81344">
        <w:rPr>
          <w:rFonts w:hint="cs"/>
          <w:rtl/>
        </w:rPr>
        <w:t>הוא</w:t>
      </w:r>
      <w:r>
        <w:rPr>
          <w:rFonts w:hint="cs"/>
          <w:rtl/>
        </w:rPr>
        <w:t xml:space="preserve"> צורה שמלובשת בחומר</w:t>
      </w:r>
      <w:r w:rsidR="00534445">
        <w:rPr>
          <w:rFonts w:hint="cs"/>
          <w:rtl/>
        </w:rPr>
        <w:t>,</w:t>
      </w:r>
      <w:r>
        <w:rPr>
          <w:rFonts w:hint="cs"/>
          <w:rtl/>
        </w:rPr>
        <w:t xml:space="preserve"> בניגוד לקיום שמעל הטבע ששם ההגדרה של 'נמצא' היא יש מופשט מחומר. </w:t>
      </w:r>
      <w:r w:rsidR="002E66D9">
        <w:rPr>
          <w:rFonts w:hint="cs"/>
          <w:rtl/>
        </w:rPr>
        <w:t xml:space="preserve">ההתחלה של </w:t>
      </w:r>
      <w:r w:rsidR="00534445">
        <w:rPr>
          <w:rFonts w:hint="cs"/>
          <w:rtl/>
        </w:rPr>
        <w:t>'</w:t>
      </w:r>
      <w:r w:rsidR="002E66D9">
        <w:rPr>
          <w:rFonts w:hint="cs"/>
          <w:rtl/>
        </w:rPr>
        <w:t>חומר</w:t>
      </w:r>
      <w:r w:rsidR="00534445">
        <w:rPr>
          <w:rFonts w:hint="cs"/>
          <w:rtl/>
        </w:rPr>
        <w:t>'</w:t>
      </w:r>
      <w:r w:rsidR="002E66D9">
        <w:rPr>
          <w:rFonts w:hint="cs"/>
          <w:rtl/>
        </w:rPr>
        <w:t xml:space="preserve"> היא צורת התלת ממדיות</w:t>
      </w:r>
      <w:r w:rsidR="00534445">
        <w:rPr>
          <w:rFonts w:hint="cs"/>
          <w:rtl/>
        </w:rPr>
        <w:t xml:space="preserve"> (אחרי החומר הראשון</w:t>
      </w:r>
      <w:r w:rsidR="00C5772E">
        <w:rPr>
          <w:rtl/>
        </w:rPr>
        <w:fldChar w:fldCharType="begin"/>
      </w:r>
      <w:r w:rsidR="00C5772E">
        <w:instrText xml:space="preserve"> XE "</w:instrText>
      </w:r>
      <w:r w:rsidR="00C5772E" w:rsidRPr="008D68D4">
        <w:rPr>
          <w:rFonts w:hint="cs"/>
          <w:rtl/>
        </w:rPr>
        <w:instrText>החומר הראשון</w:instrText>
      </w:r>
      <w:r w:rsidR="00C5772E">
        <w:instrText xml:space="preserve">" </w:instrText>
      </w:r>
      <w:r w:rsidR="00C5772E">
        <w:rPr>
          <w:rtl/>
        </w:rPr>
        <w:fldChar w:fldCharType="end"/>
      </w:r>
      <w:r w:rsidR="00534445">
        <w:rPr>
          <w:rFonts w:hint="cs"/>
          <w:rtl/>
        </w:rPr>
        <w:t xml:space="preserve"> שאין בו תפישה כלל. החומר הראשון הוא התוהו שנקרא כך כי אדם תוהה עליו, אין בו שום תפישה, וכמו שכתב אפלטון </w:t>
      </w:r>
      <w:r w:rsidR="00534445">
        <w:rPr>
          <w:rFonts w:hint="cs"/>
          <w:rtl/>
        </w:rPr>
        <w:t>בטימיאוס דף 49 וביותר בדף 51 ובדף 52. הבוהו הוא צור</w:t>
      </w:r>
      <w:r w:rsidR="00586BD7">
        <w:rPr>
          <w:rFonts w:hint="cs"/>
          <w:rtl/>
        </w:rPr>
        <w:t>ת</w:t>
      </w:r>
      <w:r w:rsidR="00534445">
        <w:rPr>
          <w:rFonts w:hint="cs"/>
          <w:rtl/>
        </w:rPr>
        <w:t xml:space="preserve"> </w:t>
      </w:r>
      <w:r w:rsidR="00586BD7">
        <w:rPr>
          <w:rFonts w:hint="cs"/>
          <w:rtl/>
        </w:rPr>
        <w:t>ה</w:t>
      </w:r>
      <w:r w:rsidR="00534445">
        <w:rPr>
          <w:rFonts w:hint="cs"/>
          <w:rtl/>
        </w:rPr>
        <w:t>תלת ממדיות שהיא התפישה הראשונה האפשרית בחומר)</w:t>
      </w:r>
      <w:r w:rsidR="00586BD7">
        <w:rPr>
          <w:rFonts w:hint="cs"/>
          <w:rtl/>
        </w:rPr>
        <w:t>,</w:t>
      </w:r>
      <w:r w:rsidR="002E66D9">
        <w:rPr>
          <w:rFonts w:hint="cs"/>
          <w:rtl/>
        </w:rPr>
        <w:t xml:space="preserve"> וכיוון שהיא הראשונה מבין כל הצורות, או שהיא חלק בלתי נפרד מהגדרת כל הצורות</w:t>
      </w:r>
      <w:r w:rsidR="00534445">
        <w:rPr>
          <w:rFonts w:hint="cs"/>
          <w:rtl/>
        </w:rPr>
        <w:t xml:space="preserve"> כי אי אפשר כלל לחשוב על קיום של </w:t>
      </w:r>
      <w:r w:rsidR="00586BD7">
        <w:rPr>
          <w:rFonts w:hint="cs"/>
          <w:rtl/>
        </w:rPr>
        <w:t>ע</w:t>
      </w:r>
      <w:r w:rsidR="00534445">
        <w:rPr>
          <w:rFonts w:hint="cs"/>
          <w:rtl/>
        </w:rPr>
        <w:t>צם טבעי ללא שהוא תלת ממדי</w:t>
      </w:r>
      <w:r w:rsidR="00586BD7">
        <w:rPr>
          <w:rFonts w:hint="cs"/>
          <w:rtl/>
        </w:rPr>
        <w:t xml:space="preserve"> (אין שום דבר אחר מצורת התלת ממדיות שעד כדי כך לא יתכן לחשוב על מציאות עצם טבעי בלעדיו)</w:t>
      </w:r>
      <w:r w:rsidR="002E66D9">
        <w:rPr>
          <w:rFonts w:hint="cs"/>
          <w:rtl/>
        </w:rPr>
        <w:t>, אי אפשר שיהיה עצם שאינה בו. צורת התלת ממדיות היא הדבר הראשון שהוא עצם טבעי, בעל חומר, אחרי נביעת המציאות מהמופשט. האופן המופשט ביותר של חומר הוא להיות תלת ממדי (מידות לחוד עוד לפני שיש איכויות כלשהן). חומר שהוא רק תלת ממדיות הוא החומר החמישי, שהוא רחקים טהורים כמו שכתבו השם טוב והנרבוני על מו</w:t>
      </w:r>
      <w:r w:rsidR="00F055C8">
        <w:rPr>
          <w:rtl/>
        </w:rPr>
        <w:t>"</w:t>
      </w:r>
      <w:r w:rsidR="002E66D9">
        <w:rPr>
          <w:rFonts w:hint="cs"/>
          <w:rtl/>
        </w:rPr>
        <w:t>נ  א' ע</w:t>
      </w:r>
      <w:r w:rsidR="00F055C8">
        <w:rPr>
          <w:rtl/>
        </w:rPr>
        <w:t>"</w:t>
      </w:r>
      <w:r w:rsidR="002E66D9">
        <w:rPr>
          <w:rFonts w:hint="cs"/>
          <w:rtl/>
        </w:rPr>
        <w:t>ב</w:t>
      </w:r>
      <w:r w:rsidR="0098753C">
        <w:rPr>
          <w:rFonts w:hint="cs"/>
          <w:rtl/>
        </w:rPr>
        <w:t xml:space="preserve"> (והמקור מהפיזיקה של אריסטו ד' ב' (209ב שורה 11))</w:t>
      </w:r>
      <w:r w:rsidR="002E66D9">
        <w:rPr>
          <w:rFonts w:hint="cs"/>
          <w:rtl/>
        </w:rPr>
        <w:t xml:space="preserve">. </w:t>
      </w:r>
      <w:r w:rsidR="00F549E4">
        <w:rPr>
          <w:rFonts w:hint="cs"/>
          <w:rtl/>
        </w:rPr>
        <w:t xml:space="preserve">ועיין עוד בסיכום השיעור על ספר הזוהר </w:t>
      </w:r>
      <w:hyperlink r:id="rId22" w:history="1">
        <w:r w:rsidR="00F549E4" w:rsidRPr="00517EA4">
          <w:rPr>
            <w:rStyle w:val="Hyperlink"/>
            <w:rFonts w:hint="cs"/>
            <w:rtl/>
          </w:rPr>
          <w:t xml:space="preserve">שיעור </w:t>
        </w:r>
        <w:r w:rsidR="00517EA4" w:rsidRPr="00517EA4">
          <w:rPr>
            <w:rStyle w:val="Hyperlink"/>
            <w:rFonts w:hint="cs"/>
            <w:rtl/>
          </w:rPr>
          <w:t>0019</w:t>
        </w:r>
      </w:hyperlink>
      <w:r w:rsidR="00F549E4">
        <w:rPr>
          <w:rFonts w:hint="cs"/>
          <w:rtl/>
        </w:rPr>
        <w:t xml:space="preserve"> בתגובה המתייחסת לשאלת אושרי. </w:t>
      </w:r>
      <w:r w:rsidR="00586BD7">
        <w:rPr>
          <w:rFonts w:hint="cs"/>
          <w:rtl/>
        </w:rPr>
        <w:t xml:space="preserve">לכן בהכרח אין עצם טבעי שאין לו חומר, כי אי אפשר לחשוב על עצם שאינו תלת ממדי ותלת ממדיות היא כבר להיות חומרי. </w:t>
      </w:r>
    </w:p>
  </w:footnote>
  <w:footnote w:id="124">
    <w:p w14:paraId="1CB09040" w14:textId="0CC7F28C" w:rsidR="004A224B" w:rsidRDefault="00B652B7">
      <w:pPr>
        <w:pStyle w:val="FootnoteText"/>
        <w:rPr>
          <w:rtl/>
        </w:rPr>
      </w:pPr>
      <w:r>
        <w:rPr>
          <w:rStyle w:val="FootnoteReference"/>
        </w:rPr>
        <w:footnoteRef/>
      </w:r>
      <w:r>
        <w:rPr>
          <w:rtl/>
        </w:rPr>
        <w:t xml:space="preserve"> </w:t>
      </w:r>
      <w:r>
        <w:rPr>
          <w:rFonts w:hint="cs"/>
          <w:rtl/>
        </w:rPr>
        <w:t>צורת התלת ממדיות אינה שייכת לעצם היחיד בפני עצמו. אם למשל יש כלב במקום אחד, המקום שהוא תופש (כלומר הגדרת הגבולות בינו לבין העצמים הגובלים בו, במקרה זה האוויר</w:t>
      </w:r>
      <w:r w:rsidR="00006A39">
        <w:rPr>
          <w:rFonts w:hint="cs"/>
          <w:rtl/>
        </w:rPr>
        <w:t>,</w:t>
      </w:r>
      <w:r>
        <w:rPr>
          <w:rFonts w:hint="cs"/>
          <w:rtl/>
        </w:rPr>
        <w:t xml:space="preserve"> כי אין ריק</w:t>
      </w:r>
      <w:r w:rsidR="00006A39">
        <w:rPr>
          <w:rFonts w:hint="cs"/>
          <w:rtl/>
        </w:rPr>
        <w:t>, כמו שביאר אריסטו בפיזיקה)</w:t>
      </w:r>
      <w:r>
        <w:rPr>
          <w:rFonts w:hint="cs"/>
          <w:rtl/>
        </w:rPr>
        <w:t xml:space="preserve"> היא צורת התלת ממדיות שלו. </w:t>
      </w:r>
      <w:r w:rsidR="00006A39">
        <w:rPr>
          <w:rFonts w:hint="cs"/>
          <w:rtl/>
        </w:rPr>
        <w:t xml:space="preserve">אם הכלב הולך למקום אחר, אם נאמר שהוא לוקח איתו את התלת ממדיות שלו, הרי במקום שממנו הוא יצא כעת חסר המקום התלת ממדי שהיה שם מקודם כשהכלב היה שם, ואי אפשר שגוף אחר יהיה שם, וזה לא אמת; ואם נאמר שהמקום שהיה בו הכלב לא הלך ביחד עם הכלב, ונשאר מקום ריק אחרי שהכלב יצא ממנו, הרי שהכלב איבד את מקומו ואיך יוכל להיות קיים בלי שיש לו מקום. אלא בלי ספק יש מקום אחד תלת ממדי כללי משותף לכל הגופים, וכל גוף נוטל חלק באותה תלת ממדיות משותפת, הוא נמצא במציאות המשותפת (זה כמו שכתב </w:t>
      </w:r>
      <w:r w:rsidR="00006A39">
        <w:rPr>
          <w:rFonts w:hint="cs"/>
          <w:rtl/>
        </w:rPr>
        <w:t>במו</w:t>
      </w:r>
      <w:r w:rsidR="00F055C8">
        <w:rPr>
          <w:rtl/>
        </w:rPr>
        <w:t>"</w:t>
      </w:r>
      <w:r w:rsidR="00006A39">
        <w:rPr>
          <w:rFonts w:hint="cs"/>
          <w:rtl/>
        </w:rPr>
        <w:t>נ א' נ</w:t>
      </w:r>
      <w:r w:rsidR="00F055C8">
        <w:rPr>
          <w:rtl/>
        </w:rPr>
        <w:t>"</w:t>
      </w:r>
      <w:r w:rsidR="00006A39">
        <w:rPr>
          <w:rFonts w:hint="cs"/>
          <w:rtl/>
        </w:rPr>
        <w:t xml:space="preserve">ז, לפי אבן סינא, שהמציאות היא מקרה לעצם כלומר למהות, כלומר המציאות אינה של העצם מצד עצמו אלא הוא נמצא במציאות שבעצמה היא חיצונית לעצמותו, אינה מוכרחת מעצם מהותו. </w:t>
      </w:r>
      <w:r w:rsidR="00170991">
        <w:rPr>
          <w:rFonts w:hint="cs"/>
          <w:rtl/>
        </w:rPr>
        <w:t xml:space="preserve">המהות של העצם היא הצורה והחומר, אבל צריך עוד משהו כדי שהוא יימצא, פועל ותכלית, וזה בא לעצם מחוץ למהותו ולכן נקרא מקרה אצלו. </w:t>
      </w:r>
      <w:r w:rsidR="00006A39">
        <w:rPr>
          <w:rFonts w:hint="cs"/>
          <w:rtl/>
        </w:rPr>
        <w:t xml:space="preserve"> אם נחשוב שאין שום גוף, יישאר חלל ריק תלת ממדי, זה המקום האחד שכל המציאות הטבעית נמצאת בו</w:t>
      </w:r>
      <w:r w:rsidR="00170991">
        <w:rPr>
          <w:rFonts w:hint="cs"/>
          <w:rtl/>
        </w:rPr>
        <w:t>, זו המציאות כשלעצמה כשמדובר במציאות חומרית.</w:t>
      </w:r>
      <w:r w:rsidR="004A224B">
        <w:rPr>
          <w:rFonts w:hint="cs"/>
          <w:rtl/>
        </w:rPr>
        <w:t xml:space="preserve"> זה משל לבורא שהוא המציאות כשלעצמה לא רק בחומריות (כלומר בתלת ממדיות). הוא המצוי הראשון שממציא כל נמצא, כלומר המציאות היא רק אצלו והנמצאים נוטלים חלק במציאותו ואין להם מציאות משלהם, וכמו שכתב הרמב</w:t>
      </w:r>
      <w:r w:rsidR="00F055C8">
        <w:rPr>
          <w:rtl/>
        </w:rPr>
        <w:t>"</w:t>
      </w:r>
      <w:r w:rsidR="004A224B">
        <w:rPr>
          <w:rFonts w:hint="cs"/>
          <w:rtl/>
        </w:rPr>
        <w:t xml:space="preserve">ם בהלכות יסודי התורה ב' י': </w:t>
      </w:r>
      <w:r w:rsidR="00F055C8">
        <w:rPr>
          <w:rtl/>
        </w:rPr>
        <w:t>"</w:t>
      </w:r>
      <w:r w:rsidR="004A224B" w:rsidRPr="004A224B">
        <w:rPr>
          <w:rtl/>
        </w:rPr>
        <w:t>לְפִיכָךְ אֵינוֹ מַכִּיר הַבְּרוּאִים וְיוֹדְעָם מֵחֲמַת הַבְּרוּאִים, כְּמוֹת שֶׁאָנוּ יוֹדְעִין אוֹתָם, אֶלָּא מֵחֲמַת עַצְמוֹ יֵדָעֵם. לְפִיכָךְ, מִפְּנֵי שֶׁהוּא יוֹדֵעַ עַצְמוֹ - יוֹדֵעַ הַכֹּל, שֶׁהַכֹּל נִסְמָךְ בַּהֲוָיָתוֹ לוֹ.</w:t>
      </w:r>
      <w:r w:rsidR="00F055C8">
        <w:rPr>
          <w:rtl/>
        </w:rPr>
        <w:t>"</w:t>
      </w:r>
    </w:p>
    <w:p w14:paraId="353F1A40" w14:textId="77777777" w:rsidR="004A224B" w:rsidRDefault="004A224B">
      <w:pPr>
        <w:pStyle w:val="FootnoteText"/>
        <w:rPr>
          <w:rtl/>
        </w:rPr>
      </w:pPr>
    </w:p>
    <w:p w14:paraId="2E6A2AED" w14:textId="602B5467" w:rsidR="00B652B7" w:rsidRDefault="004A224B">
      <w:pPr>
        <w:pStyle w:val="FootnoteText"/>
        <w:rPr>
          <w:rtl/>
        </w:rPr>
      </w:pPr>
      <w:r w:rsidRPr="00C764B6">
        <w:rPr>
          <w:rFonts w:hint="cs"/>
          <w:rtl/>
        </w:rPr>
        <w:t>עוד</w:t>
      </w:r>
      <w:r>
        <w:rPr>
          <w:rFonts w:hint="cs"/>
          <w:rtl/>
        </w:rPr>
        <w:t xml:space="preserve"> משל לזה, כל גוף טבעי מורכב מארבעת היסודות, אש רוח מים ועפר. זו הגדרה של מציאותו החומרית (ארבעת היסודות הם התפרטות של צורת התלת ממדיות</w:t>
      </w:r>
      <w:r w:rsidR="00202096">
        <w:rPr>
          <w:rFonts w:hint="cs"/>
          <w:rtl/>
        </w:rPr>
        <w:t>, כמו שארבע אותיות שם הוי</w:t>
      </w:r>
      <w:r w:rsidR="00F055C8">
        <w:rPr>
          <w:rtl/>
        </w:rPr>
        <w:t>"</w:t>
      </w:r>
      <w:r w:rsidR="00202096">
        <w:rPr>
          <w:rFonts w:hint="cs"/>
          <w:rtl/>
        </w:rPr>
        <w:t>ה הן התפרטות של ספירת כתר</w:t>
      </w:r>
      <w:r w:rsidR="004F4A2A">
        <w:rPr>
          <w:rtl/>
        </w:rPr>
        <w:fldChar w:fldCharType="begin"/>
      </w:r>
      <w:r w:rsidR="004F4A2A">
        <w:instrText xml:space="preserve"> XE "</w:instrText>
      </w:r>
      <w:r w:rsidR="004F4A2A" w:rsidRPr="002C3599">
        <w:rPr>
          <w:rFonts w:hint="cs"/>
          <w:rtl/>
        </w:rPr>
        <w:instrText>ספירת כתר וספירת חכמה</w:instrText>
      </w:r>
      <w:r w:rsidR="004F4A2A">
        <w:instrText xml:space="preserve">" </w:instrText>
      </w:r>
      <w:r w:rsidR="004F4A2A">
        <w:rPr>
          <w:rtl/>
        </w:rPr>
        <w:fldChar w:fldCharType="end"/>
      </w:r>
      <w:r w:rsidR="00202096">
        <w:rPr>
          <w:rFonts w:hint="cs"/>
          <w:rtl/>
        </w:rPr>
        <w:t>. לא כאן המקום להאריך בזה. לכן לומר שהיסודות הם ההגדרה הראשונית של המציאות החומרית שקול לאמירה שצורת התלת ממדיות היא ההגדרה הראשונית למציאות החומרית)</w:t>
      </w:r>
      <w:r>
        <w:rPr>
          <w:rFonts w:hint="cs"/>
          <w:rtl/>
        </w:rPr>
        <w:t xml:space="preserve">. יסוד האש שבכלב למשל הוא אותו יסוד אש שבסוס ובכל עצם טבעי אחר, אין יסוד אש פרטי של הכלב שנמצא כנבדל מיסוד האש שבכל גוף אחר. </w:t>
      </w:r>
      <w:r w:rsidR="00202096">
        <w:rPr>
          <w:rFonts w:hint="cs"/>
          <w:rtl/>
        </w:rPr>
        <w:t xml:space="preserve">לכן המציאות הטבעית שבנויה על יסוד האש למשל (וכן שאר היסודות) היא לא של הכלב בפני עצמו. הכלב משתתף במציאות הכללית שבה נמצא כל העולם ביחד, היא המציאות של ארבעת היסודות (אפשר גם לומר כך על ההסתכלות שכל המציאות היא רק פרוטונים נויטרונים ואלקטרונים, שהם נעים מגוף לגוף ושווים בכל ואינם מגדירים את מציאות הגוף היחיד אלא הם מציאות כללית שהגוף היחיד נוטל בה חלק). לכן כתב אבן סינא שהגופים קיימים </w:t>
      </w:r>
      <w:r w:rsidR="00F055C8">
        <w:rPr>
          <w:rtl/>
        </w:rPr>
        <w:t>"</w:t>
      </w:r>
      <w:r w:rsidR="00202096">
        <w:rPr>
          <w:rFonts w:hint="cs"/>
          <w:rtl/>
        </w:rPr>
        <w:t>ביחד</w:t>
      </w:r>
      <w:r w:rsidR="00F055C8">
        <w:rPr>
          <w:rtl/>
        </w:rPr>
        <w:t>"</w:t>
      </w:r>
      <w:r w:rsidR="00202096">
        <w:rPr>
          <w:rFonts w:hint="cs"/>
          <w:rtl/>
        </w:rPr>
        <w:t xml:space="preserve"> כשמתבוננים בהם מצד תלת ממדיותם. רק בהתבוננות מגושמת יותר, אחרי שנוצר גוף חומרי שחומרו מורכב מתרכובת ארבעת היסודות והתרכובת מקבלת את הצורה הדרך שנראית קבועה, הקביעות יוצרת את התפישה שהעצם נמצא במציאות פרטית משלו. </w:t>
      </w:r>
      <w:r w:rsidR="00A42CF9">
        <w:rPr>
          <w:rFonts w:hint="cs"/>
          <w:rtl/>
        </w:rPr>
        <w:t xml:space="preserve">עיין בטימיאוס במקומות שציינתי מקודם, שמבאר שהצורה בארבע היסודות הטהורים לא מתקבלת בהם בדרך של קביעות אלא רק בדרך של תנועה טהורה (עיין עוד בזה במאמר התנועה יסוד ההוויה שכתבתי בתוך </w:t>
      </w:r>
      <w:hyperlink r:id="rId23" w:history="1">
        <w:r w:rsidR="00A42CF9" w:rsidRPr="00A42CF9">
          <w:rPr>
            <w:rStyle w:val="Hyperlink"/>
            <w:rFonts w:hint="cs"/>
            <w:rtl/>
          </w:rPr>
          <w:t>רשימה 35</w:t>
        </w:r>
      </w:hyperlink>
      <w:r w:rsidR="00A42CF9">
        <w:rPr>
          <w:rFonts w:hint="cs"/>
          <w:rtl/>
        </w:rPr>
        <w:t xml:space="preserve"> באתר של עיונים בפילוסופיה אריסטוטלית). </w:t>
      </w:r>
    </w:p>
    <w:p w14:paraId="67FFAB26" w14:textId="0D3F87BC" w:rsidR="00FA40B4" w:rsidRDefault="00A42CF9">
      <w:pPr>
        <w:pStyle w:val="FootnoteText"/>
        <w:rPr>
          <w:rtl/>
        </w:rPr>
      </w:pPr>
      <w:r>
        <w:rPr>
          <w:rFonts w:hint="cs"/>
          <w:rtl/>
        </w:rPr>
        <w:t xml:space="preserve">מה שכתב </w:t>
      </w:r>
      <w:r w:rsidR="00F055C8">
        <w:rPr>
          <w:rtl/>
        </w:rPr>
        <w:t>"</w:t>
      </w:r>
      <w:r>
        <w:rPr>
          <w:rFonts w:hint="cs"/>
          <w:rtl/>
        </w:rPr>
        <w:t>וכך זה עצם</w:t>
      </w:r>
      <w:r w:rsidR="00F055C8">
        <w:rPr>
          <w:rtl/>
        </w:rPr>
        <w:t>"</w:t>
      </w:r>
      <w:r>
        <w:rPr>
          <w:rFonts w:hint="cs"/>
          <w:rtl/>
        </w:rPr>
        <w:t xml:space="preserve">, הכוונה שהמציאות האחת המשותפת לכל הגופים הטבעיים מצד התחלת מציאותם, היא הצורה של התלת ממדיות, היא </w:t>
      </w:r>
      <w:r w:rsidR="00FA40B4">
        <w:rPr>
          <w:rFonts w:hint="cs"/>
          <w:rtl/>
        </w:rPr>
        <w:t>'</w:t>
      </w:r>
      <w:r>
        <w:rPr>
          <w:rFonts w:hint="cs"/>
          <w:rtl/>
        </w:rPr>
        <w:t>ע</w:t>
      </w:r>
      <w:r w:rsidR="00FA40B4">
        <w:rPr>
          <w:rFonts w:hint="cs"/>
          <w:rtl/>
        </w:rPr>
        <w:t>צ</w:t>
      </w:r>
      <w:r>
        <w:rPr>
          <w:rFonts w:hint="cs"/>
          <w:rtl/>
        </w:rPr>
        <w:t>ם</w:t>
      </w:r>
      <w:r w:rsidR="00FA40B4">
        <w:rPr>
          <w:rFonts w:hint="cs"/>
          <w:rtl/>
        </w:rPr>
        <w:t>'</w:t>
      </w:r>
      <w:r>
        <w:rPr>
          <w:rFonts w:hint="cs"/>
          <w:rtl/>
        </w:rPr>
        <w:t xml:space="preserve"> כיוון שהיא כבר יצאה מה</w:t>
      </w:r>
      <w:r w:rsidR="00FA40B4">
        <w:rPr>
          <w:rFonts w:hint="cs"/>
          <w:rtl/>
        </w:rPr>
        <w:t>מ</w:t>
      </w:r>
      <w:r>
        <w:rPr>
          <w:rFonts w:hint="cs"/>
          <w:rtl/>
        </w:rPr>
        <w:t xml:space="preserve">ופשט, </w:t>
      </w:r>
      <w:r w:rsidR="00FA40B4">
        <w:rPr>
          <w:rFonts w:hint="cs"/>
          <w:rtl/>
        </w:rPr>
        <w:t>מ</w:t>
      </w:r>
      <w:r>
        <w:rPr>
          <w:rFonts w:hint="cs"/>
          <w:rtl/>
        </w:rPr>
        <w:t xml:space="preserve">הבורא עצמו, לקיום חומרי. </w:t>
      </w:r>
      <w:r w:rsidR="00FA40B4">
        <w:rPr>
          <w:rFonts w:hint="cs"/>
          <w:rtl/>
        </w:rPr>
        <w:t xml:space="preserve">נמצא שכל המציאות היא עצם אחד לפי האמת, זה החידוש כאן, ש'עצם' טבעי הוא לא רק העצמים היחידים המרובים, אלא המציאות כולה כאחד היא 'עצם' אחד. כלומר יש חומרי אחד שהוא חומר וצורה. </w:t>
      </w:r>
    </w:p>
    <w:p w14:paraId="416603BA" w14:textId="77777777" w:rsidR="00160AA2" w:rsidRDefault="00160AA2">
      <w:pPr>
        <w:pStyle w:val="FootnoteText"/>
        <w:rPr>
          <w:rtl/>
        </w:rPr>
      </w:pPr>
    </w:p>
    <w:p w14:paraId="13859F84" w14:textId="13ABDCF2" w:rsidR="00FA40B4" w:rsidRDefault="00FA40B4">
      <w:pPr>
        <w:pStyle w:val="FootnoteText"/>
        <w:rPr>
          <w:rtl/>
        </w:rPr>
      </w:pPr>
      <w:r>
        <w:rPr>
          <w:rFonts w:hint="cs"/>
          <w:rtl/>
        </w:rPr>
        <w:t>זה מה שכתב במורה נבוכים א' ע</w:t>
      </w:r>
      <w:r w:rsidR="00F055C8">
        <w:rPr>
          <w:rtl/>
        </w:rPr>
        <w:t>"</w:t>
      </w:r>
      <w:r>
        <w:rPr>
          <w:rFonts w:hint="cs"/>
          <w:rtl/>
        </w:rPr>
        <w:t>ב:</w:t>
      </w:r>
    </w:p>
    <w:p w14:paraId="1482A860" w14:textId="391077CF" w:rsidR="00160AA2" w:rsidRDefault="00F055C8">
      <w:pPr>
        <w:pStyle w:val="FootnoteText"/>
        <w:rPr>
          <w:rtl/>
        </w:rPr>
      </w:pPr>
      <w:r>
        <w:rPr>
          <w:rtl/>
        </w:rPr>
        <w:t>"</w:t>
      </w:r>
      <w:r w:rsidR="00160AA2" w:rsidRPr="00160AA2">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w:t>
      </w:r>
      <w:r w:rsidR="00160AA2">
        <w:rPr>
          <w:rFonts w:hint="cs"/>
          <w:rtl/>
        </w:rPr>
        <w:t xml:space="preserve"> כו'</w:t>
      </w:r>
    </w:p>
    <w:p w14:paraId="5239BD5A" w14:textId="77777777" w:rsidR="00160AA2" w:rsidRDefault="00160AA2">
      <w:pPr>
        <w:pStyle w:val="FootnoteText"/>
        <w:rPr>
          <w:rtl/>
        </w:rPr>
      </w:pPr>
      <w:r>
        <w:rPr>
          <w:rFonts w:hint="cs"/>
          <w:rtl/>
        </w:rPr>
        <w:t>[...]</w:t>
      </w:r>
    </w:p>
    <w:p w14:paraId="42195A2A" w14:textId="3C0EC13C" w:rsidR="00A42CF9" w:rsidRDefault="00160AA2">
      <w:pPr>
        <w:pStyle w:val="FootnoteText"/>
        <w:rPr>
          <w:rtl/>
        </w:rPr>
      </w:pPr>
      <w:r>
        <w:rPr>
          <w:rFonts w:hint="cs"/>
          <w:rtl/>
        </w:rPr>
        <w:t>ה</w:t>
      </w:r>
      <w:r w:rsidRPr="00160AA2">
        <w:rPr>
          <w:rtl/>
        </w:rPr>
        <w:t xml:space="preserve">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w:t>
      </w:r>
      <w:r w:rsidR="00001963">
        <w:rPr>
          <w:rtl/>
        </w:rPr>
        <w:t>-</w:t>
      </w:r>
      <w:r w:rsidRPr="00160AA2">
        <w:rPr>
          <w:rtl/>
        </w:rPr>
        <w:t xml:space="preserve"> כן אי אפשר שימצאו חלקי העולם קצתם מבלתי קצתם בזה המציאות המיושב אשר דברינו בו, עד שימצא אש מבלתי ארץ</w:t>
      </w:r>
      <w:r>
        <w:rPr>
          <w:rFonts w:hint="cs"/>
          <w:rtl/>
        </w:rPr>
        <w:t xml:space="preserve"> כו'</w:t>
      </w:r>
      <w:r w:rsidR="00F055C8">
        <w:rPr>
          <w:rtl/>
        </w:rPr>
        <w:t>"</w:t>
      </w:r>
      <w:r w:rsidR="00FA40B4">
        <w:rPr>
          <w:rFonts w:hint="cs"/>
          <w:rtl/>
        </w:rPr>
        <w:t xml:space="preserve"> </w:t>
      </w:r>
    </w:p>
    <w:p w14:paraId="79CAC796" w14:textId="175A08AA" w:rsidR="008A7641" w:rsidRDefault="008A7641" w:rsidP="008A7641">
      <w:pPr>
        <w:pStyle w:val="FootnoteText"/>
        <w:rPr>
          <w:rtl/>
        </w:rPr>
      </w:pPr>
    </w:p>
    <w:p w14:paraId="05A15C7B" w14:textId="3C9D910A" w:rsidR="008A7641" w:rsidRDefault="008A7641" w:rsidP="008A7641">
      <w:pPr>
        <w:pStyle w:val="FootnoteText"/>
        <w:rPr>
          <w:rtl/>
        </w:rPr>
      </w:pPr>
      <w:r>
        <w:rPr>
          <w:rFonts w:hint="cs"/>
          <w:rtl/>
        </w:rPr>
        <w:t>החומר כשלעצמו אינו עצם. חומר בלי צורה אינו מאומה, אין לו שום מהות, שום הגדרה, שום מאפיין, לא איכות או זמן או מקום וכל כיו</w:t>
      </w:r>
      <w:r w:rsidR="00F055C8">
        <w:rPr>
          <w:rtl/>
        </w:rPr>
        <w:t>"</w:t>
      </w:r>
      <w:r>
        <w:rPr>
          <w:rFonts w:hint="cs"/>
          <w:rtl/>
        </w:rPr>
        <w:t xml:space="preserve">ב. הוא אינו נתפש כנמצא כלל. כמו שכתב אפלטון בטימיאוס עמ' 50-52 עיין שם היטב. </w:t>
      </w:r>
    </w:p>
    <w:p w14:paraId="1BB97151" w14:textId="151B3500" w:rsidR="008A7641" w:rsidRDefault="008A7641" w:rsidP="008A7641">
      <w:pPr>
        <w:pStyle w:val="FootnoteText"/>
        <w:rPr>
          <w:rtl/>
        </w:rPr>
      </w:pPr>
      <w:r>
        <w:rPr>
          <w:rFonts w:hint="cs"/>
          <w:rtl/>
        </w:rPr>
        <w:t>אם כל מה שעושה את העצם לעצם (</w:t>
      </w:r>
      <w:r w:rsidR="00F055C8">
        <w:rPr>
          <w:rtl/>
        </w:rPr>
        <w:t>"</w:t>
      </w:r>
      <w:r>
        <w:rPr>
          <w:rFonts w:hint="cs"/>
          <w:rtl/>
        </w:rPr>
        <w:t>עצם</w:t>
      </w:r>
      <w:r w:rsidR="00F055C8">
        <w:rPr>
          <w:rtl/>
        </w:rPr>
        <w:t>"</w:t>
      </w:r>
      <w:r>
        <w:rPr>
          <w:rFonts w:hint="cs"/>
        </w:rPr>
        <w:t xml:space="preserve"> </w:t>
      </w:r>
      <w:r>
        <w:rPr>
          <w:rFonts w:hint="cs"/>
          <w:rtl/>
        </w:rPr>
        <w:t xml:space="preserve">פירושו משהו שהוא נמצא) הוא רק מצד הצורה, מה ההשתתפות של החומר בעצם? הרי אנו אומרים שהעצם מורכב מצורה וחומר. </w:t>
      </w:r>
    </w:p>
    <w:p w14:paraId="5C9532CD" w14:textId="52AE671A" w:rsidR="001B572A" w:rsidRDefault="008A7641" w:rsidP="001B572A">
      <w:pPr>
        <w:pStyle w:val="FootnoteText"/>
        <w:rPr>
          <w:rtl/>
        </w:rPr>
      </w:pPr>
      <w:r>
        <w:rPr>
          <w:rFonts w:hint="cs"/>
          <w:rtl/>
        </w:rPr>
        <w:t>אלא החומר כרוך בצורת התלת ממדיות. התלת ממדיות כשלעצמה, מופשטת, לפ</w:t>
      </w:r>
      <w:r w:rsidR="001B572A">
        <w:rPr>
          <w:rFonts w:hint="cs"/>
          <w:rtl/>
        </w:rPr>
        <w:t>נ</w:t>
      </w:r>
      <w:r>
        <w:rPr>
          <w:rFonts w:hint="cs"/>
          <w:rtl/>
        </w:rPr>
        <w:t xml:space="preserve">י שיש עצמים </w:t>
      </w:r>
      <w:r w:rsidR="009C463A">
        <w:rPr>
          <w:rFonts w:hint="cs"/>
          <w:rtl/>
        </w:rPr>
        <w:t>מסוימים</w:t>
      </w:r>
      <w:r>
        <w:rPr>
          <w:rFonts w:hint="cs"/>
          <w:rtl/>
        </w:rPr>
        <w:t xml:space="preserve"> תלת ממדיים, </w:t>
      </w:r>
      <w:r w:rsidR="001B572A">
        <w:rPr>
          <w:rFonts w:hint="cs"/>
          <w:rtl/>
        </w:rPr>
        <w:t xml:space="preserve">כאילו ביטלנו את מציאות כל הגופים ונשאר החלל התלת ממדי הריק (באמת זה לא יתכן, כי אם אין שום נמצא אין ממה למדוד ולכן אי אפשר לומר שיש ממדים בחלל הריק. אבל זה כמו בכל עניין בתפישה המופשטת, שהדברים </w:t>
      </w:r>
      <w:r w:rsidR="009C463A">
        <w:rPr>
          <w:rFonts w:hint="cs"/>
          <w:rtl/>
        </w:rPr>
        <w:t>המסוימים</w:t>
      </w:r>
      <w:r w:rsidR="001B572A">
        <w:rPr>
          <w:rFonts w:hint="cs"/>
          <w:rtl/>
        </w:rPr>
        <w:t xml:space="preserve"> באים רק אחרי המופשט - האהבה נמצאת בסדר </w:t>
      </w:r>
      <w:r w:rsidR="009C463A">
        <w:rPr>
          <w:rFonts w:hint="cs"/>
          <w:rtl/>
        </w:rPr>
        <w:t>ההוויה</w:t>
      </w:r>
      <w:r w:rsidR="001B572A">
        <w:rPr>
          <w:rFonts w:hint="cs"/>
          <w:rtl/>
        </w:rPr>
        <w:t xml:space="preserve"> לפני שיש מישהו מוגדר שיכול לאהוב מישהו מוגדר אחר, הגבול נמצא לפי שיש צדדים מוגדרים שאותם הוא גובל, המציאות נמצאת לפני שיש משהו מוגדר נמצא, ההעדר נמצא לפני שיש משהו שיכול להיות נעדר, החיים נמצאים לפני שיש משהו מוגדר שיכול להיות חי, וכן הלאה.)</w:t>
      </w:r>
    </w:p>
    <w:p w14:paraId="16E09827" w14:textId="77777777" w:rsidR="001B572A" w:rsidRDefault="001B572A" w:rsidP="001B572A">
      <w:pPr>
        <w:pStyle w:val="FootnoteText"/>
        <w:rPr>
          <w:rtl/>
        </w:rPr>
      </w:pPr>
    </w:p>
    <w:p w14:paraId="2CA6BA2F" w14:textId="58A6DA7F" w:rsidR="001B572A" w:rsidRDefault="001B572A" w:rsidP="001B572A">
      <w:pPr>
        <w:pStyle w:val="FootnoteText"/>
        <w:rPr>
          <w:rtl/>
        </w:rPr>
      </w:pPr>
      <w:r>
        <w:rPr>
          <w:rFonts w:hint="cs"/>
          <w:rtl/>
        </w:rPr>
        <w:t>התלת ממדיות היא צורה ולא חומר, אבל היא נובעת מהחומר עצמו ולא מנותן הצורות שהוא השכל הפועל. זו צורה שהיא דרכו של החומר להימצא ולהיות כפי מהותו, זו לא צורה שמציירת בחומר דבר מה שהוא זולת החומריות של החומר</w:t>
      </w:r>
      <w:r w:rsidR="00CD5AF6">
        <w:rPr>
          <w:rFonts w:hint="cs"/>
          <w:rtl/>
        </w:rPr>
        <w:t xml:space="preserve"> (עיין בזה במטאפיזיקה של אריסטו ספר יוטא פרק א' (1053א)</w:t>
      </w:r>
      <w:r w:rsidR="003F24FA">
        <w:rPr>
          <w:rFonts w:hint="cs"/>
          <w:rtl/>
        </w:rPr>
        <w:t xml:space="preserve">, ועיין לקמן בהערה על </w:t>
      </w:r>
      <w:r w:rsidR="00510CCC" w:rsidRPr="00510CCC">
        <w:rPr>
          <w:rtl/>
        </w:rPr>
        <w:t>1.2.16</w:t>
      </w:r>
      <w:r w:rsidR="00510CCC">
        <w:rPr>
          <w:rFonts w:hint="cs"/>
          <w:rtl/>
        </w:rPr>
        <w:t xml:space="preserve"> שם העתקתי </w:t>
      </w:r>
      <w:r w:rsidR="003F24FA">
        <w:rPr>
          <w:rFonts w:hint="cs"/>
          <w:rtl/>
        </w:rPr>
        <w:t>דברי אפלטון בטימיאוס על זה)</w:t>
      </w:r>
      <w:r>
        <w:rPr>
          <w:rFonts w:hint="cs"/>
          <w:rtl/>
        </w:rPr>
        <w:t xml:space="preserve">. </w:t>
      </w:r>
    </w:p>
    <w:p w14:paraId="06D89C0D" w14:textId="525066F0" w:rsidR="001B572A" w:rsidRDefault="001B572A" w:rsidP="001B572A">
      <w:pPr>
        <w:pStyle w:val="FootnoteText"/>
        <w:rPr>
          <w:rtl/>
        </w:rPr>
      </w:pPr>
      <w:r>
        <w:rPr>
          <w:rFonts w:hint="cs"/>
          <w:rtl/>
        </w:rPr>
        <w:t xml:space="preserve">בסדר </w:t>
      </w:r>
      <w:r w:rsidR="009C463A">
        <w:rPr>
          <w:rFonts w:hint="cs"/>
          <w:rtl/>
        </w:rPr>
        <w:t>ההוויה</w:t>
      </w:r>
      <w:r>
        <w:rPr>
          <w:rFonts w:hint="cs"/>
          <w:rtl/>
        </w:rPr>
        <w:t xml:space="preserve"> בכל מקום מונים את החומר הראשון ומייד אחריו את ארבעת היסודות, אש רוח מים ועפר. עיין ברמב</w:t>
      </w:r>
      <w:r w:rsidR="00F055C8">
        <w:rPr>
          <w:rtl/>
        </w:rPr>
        <w:t>"</w:t>
      </w:r>
      <w:r>
        <w:rPr>
          <w:rFonts w:hint="cs"/>
          <w:rtl/>
        </w:rPr>
        <w:t xml:space="preserve">ן על התורה א' א' ועוד מקומות רבים באפלטון אריסטו ותלמידיהם. היסודות הן צורות שמציירות בחומר את תחילת צורות </w:t>
      </w:r>
      <w:r w:rsidR="009C463A">
        <w:rPr>
          <w:rFonts w:hint="cs"/>
          <w:rtl/>
        </w:rPr>
        <w:t>ההוויה</w:t>
      </w:r>
      <w:r>
        <w:rPr>
          <w:rFonts w:hint="cs"/>
          <w:rtl/>
        </w:rPr>
        <w:t xml:space="preserve"> שמשפיע הבורא בחומר, לגלות את התגלות אחדותו בו, הם כנגד ארבע אותיות שם הוי</w:t>
      </w:r>
      <w:r w:rsidR="00F055C8">
        <w:rPr>
          <w:rtl/>
        </w:rPr>
        <w:t>"</w:t>
      </w:r>
      <w:r>
        <w:rPr>
          <w:rFonts w:hint="cs"/>
          <w:rtl/>
        </w:rPr>
        <w:t>ה. הם מצד הצורה, כלומר אור גילוי האחדות האלוהי שמתגלה בבריאה.</w:t>
      </w:r>
    </w:p>
    <w:p w14:paraId="47B648A2" w14:textId="77777777" w:rsidR="00934C4C" w:rsidRDefault="001B572A" w:rsidP="001B572A">
      <w:pPr>
        <w:pStyle w:val="FootnoteText"/>
        <w:rPr>
          <w:rtl/>
        </w:rPr>
      </w:pPr>
      <w:r>
        <w:rPr>
          <w:rFonts w:hint="cs"/>
          <w:rtl/>
        </w:rPr>
        <w:t xml:space="preserve">צורת התלת ממדיות לא נחשבת צורה מבחינה זו, כי היא רק מגלה את צורת החומר שהוא רק מצע לציור הצורות שמגלות את </w:t>
      </w:r>
      <w:r w:rsidR="00934C4C">
        <w:rPr>
          <w:rFonts w:hint="cs"/>
          <w:rtl/>
        </w:rPr>
        <w:t>תכלית מה שכוונת הבריאה היא בו, גילוי אור האחדות האלוהית.</w:t>
      </w:r>
    </w:p>
    <w:p w14:paraId="493B050A" w14:textId="77777777" w:rsidR="005C4DEF" w:rsidRDefault="00934C4C" w:rsidP="001B572A">
      <w:pPr>
        <w:pStyle w:val="FootnoteText"/>
        <w:rPr>
          <w:rtl/>
        </w:rPr>
      </w:pPr>
      <w:r>
        <w:rPr>
          <w:rFonts w:hint="cs"/>
          <w:rtl/>
        </w:rPr>
        <w:t>למשל ה</w:t>
      </w:r>
      <w:r w:rsidR="005C4DEF">
        <w:rPr>
          <w:rFonts w:hint="cs"/>
          <w:rtl/>
        </w:rPr>
        <w:t>אומן</w:t>
      </w:r>
      <w:r>
        <w:rPr>
          <w:rFonts w:hint="cs"/>
          <w:rtl/>
        </w:rPr>
        <w:t xml:space="preserve"> מגלף פסל מגוש שיש גולמי. גוש השיש נקרא חומר, אבל בוודאי הוא עצם בעל צורה כמו הפסל המגולף. הצורה של גוש השיש היא צורה חומרית, היא מציירת את הה</w:t>
      </w:r>
      <w:r w:rsidR="00136327">
        <w:rPr>
          <w:rFonts w:hint="cs"/>
          <w:rtl/>
        </w:rPr>
        <w:t>ת</w:t>
      </w:r>
      <w:r>
        <w:rPr>
          <w:rFonts w:hint="cs"/>
          <w:rtl/>
        </w:rPr>
        <w:t>גלות של היותו חומר לגילוי צורה שיש לה משמעות של גילוי אור, דהיינו הפסל המ</w:t>
      </w:r>
      <w:r w:rsidR="00136327">
        <w:rPr>
          <w:rFonts w:hint="cs"/>
          <w:rtl/>
        </w:rPr>
        <w:t>ג</w:t>
      </w:r>
      <w:r>
        <w:rPr>
          <w:rFonts w:hint="cs"/>
          <w:rtl/>
        </w:rPr>
        <w:t xml:space="preserve">ולף. </w:t>
      </w:r>
      <w:r w:rsidR="005C4DEF">
        <w:rPr>
          <w:rFonts w:hint="cs"/>
          <w:rtl/>
        </w:rPr>
        <w:t xml:space="preserve">כך גם אדם הוא צורה שמגלה את האחדות, הבשר הוא חומר לצורת האדם, אבל הוא עצם בעל צורת בשר ולא באמת חומר, להיות בשר זו צורה, כי יש לזה מהות והגדרה שהם הצורה. לחומר אין מהות והגדרה, כי זה מה שמבדיל בהגדרה את החומר מהצורה, שלצורה יש מהות והגדרה ולחומר אין. </w:t>
      </w:r>
      <w:r>
        <w:rPr>
          <w:rFonts w:hint="cs"/>
          <w:rtl/>
        </w:rPr>
        <w:t xml:space="preserve"> </w:t>
      </w:r>
    </w:p>
    <w:p w14:paraId="3C55665E" w14:textId="77777777" w:rsidR="00693345" w:rsidRDefault="005C4DEF" w:rsidP="001B572A">
      <w:pPr>
        <w:pStyle w:val="FootnoteText"/>
        <w:rPr>
          <w:rtl/>
        </w:rPr>
      </w:pPr>
      <w:r>
        <w:rPr>
          <w:rFonts w:hint="cs"/>
          <w:rtl/>
        </w:rPr>
        <w:t>צורה הומיאומרית</w:t>
      </w:r>
      <w:r w:rsidR="00693345">
        <w:rPr>
          <w:rFonts w:hint="cs"/>
          <w:rtl/>
        </w:rPr>
        <w:t xml:space="preserve"> (צורה נקבית)</w:t>
      </w:r>
      <w:r>
        <w:rPr>
          <w:rFonts w:hint="cs"/>
          <w:rtl/>
        </w:rPr>
        <w:t xml:space="preserve">, כמו צורת גוש שיש, בשר, </w:t>
      </w:r>
      <w:r w:rsidR="00693345">
        <w:rPr>
          <w:rFonts w:hint="cs"/>
          <w:rtl/>
        </w:rPr>
        <w:t>וכל דבר שאנו רואים בו חומר גלם להצטיירות צורה, והסימן שלה הוא שאם אנו מחלקים את העצם הצורה הזו נשארת בכל חלקיו כמו שהייתה, היא אופן תפישת החומר כמשהו בעל הגדרות ומהות של חומר, ההגדרות ומהות הם צורה, אבל זו לא צורה שמגלה את הצורה העליונה שהיא מהשכל הפועל, ומעליו השכלים הנפרדים זה מעל זה עד אור אחדות הבורא עצמו.</w:t>
      </w:r>
    </w:p>
    <w:p w14:paraId="75FC452B" w14:textId="77777777" w:rsidR="00693345" w:rsidRDefault="00693345" w:rsidP="001B572A">
      <w:pPr>
        <w:pStyle w:val="FootnoteText"/>
        <w:rPr>
          <w:rtl/>
        </w:rPr>
      </w:pPr>
    </w:p>
    <w:p w14:paraId="7F077808" w14:textId="48E18E39" w:rsidR="00EB7C3E" w:rsidRDefault="00693345" w:rsidP="001B572A">
      <w:pPr>
        <w:pStyle w:val="FootnoteText"/>
        <w:rPr>
          <w:rtl/>
        </w:rPr>
      </w:pPr>
      <w:r>
        <w:rPr>
          <w:rFonts w:hint="cs"/>
          <w:rtl/>
        </w:rPr>
        <w:t>מכיוון שהחומר הראשון</w:t>
      </w:r>
      <w:r w:rsidR="00C5772E">
        <w:rPr>
          <w:rtl/>
        </w:rPr>
        <w:fldChar w:fldCharType="begin"/>
      </w:r>
      <w:r w:rsidR="00C5772E">
        <w:instrText xml:space="preserve"> XE "</w:instrText>
      </w:r>
      <w:r w:rsidR="00C5772E" w:rsidRPr="00FA3DAE">
        <w:rPr>
          <w:rFonts w:hint="cs"/>
          <w:rtl/>
        </w:rPr>
        <w:instrText>החומר הראשון</w:instrText>
      </w:r>
      <w:r w:rsidR="00C5772E">
        <w:instrText xml:space="preserve">" </w:instrText>
      </w:r>
      <w:r w:rsidR="00C5772E">
        <w:rPr>
          <w:rtl/>
        </w:rPr>
        <w:fldChar w:fldCharType="end"/>
      </w:r>
      <w:r>
        <w:rPr>
          <w:rFonts w:hint="cs"/>
          <w:rtl/>
        </w:rPr>
        <w:t>, ההיולי</w:t>
      </w:r>
      <w:r w:rsidR="004D0395">
        <w:rPr>
          <w:rtl/>
        </w:rPr>
        <w:fldChar w:fldCharType="begin"/>
      </w:r>
      <w:r w:rsidR="004D0395">
        <w:instrText xml:space="preserve"> XE "</w:instrText>
      </w:r>
      <w:r w:rsidR="004D0395" w:rsidRPr="00CA48DC">
        <w:rPr>
          <w:rFonts w:hint="cs"/>
          <w:rtl/>
        </w:rPr>
        <w:instrText>היולי</w:instrText>
      </w:r>
      <w:r w:rsidR="004D0395">
        <w:instrText xml:space="preserve">" </w:instrText>
      </w:r>
      <w:r w:rsidR="004D0395">
        <w:rPr>
          <w:rtl/>
        </w:rPr>
        <w:fldChar w:fldCharType="end"/>
      </w:r>
      <w:r>
        <w:rPr>
          <w:rFonts w:hint="cs"/>
          <w:rtl/>
        </w:rPr>
        <w:t xml:space="preserve">, אינו נמצא כלל ואינו נתפש כלל, אי אפשר שלא תהיה כרוכה בו באופן בלתי נפרד צורה חומרית שהיא צורתו כחומר. </w:t>
      </w:r>
      <w:r w:rsidR="00F055C8">
        <w:rPr>
          <w:rtl/>
        </w:rPr>
        <w:t>"</w:t>
      </w:r>
      <w:r>
        <w:rPr>
          <w:rFonts w:hint="cs"/>
          <w:rtl/>
        </w:rPr>
        <w:t>תוהו</w:t>
      </w:r>
      <w:r w:rsidR="00F055C8">
        <w:rPr>
          <w:rtl/>
        </w:rPr>
        <w:t>"</w:t>
      </w:r>
      <w:r>
        <w:rPr>
          <w:rFonts w:hint="cs"/>
          <w:rtl/>
        </w:rPr>
        <w:t xml:space="preserve"> (בראשית א' ב') הוא החומר הראשון, </w:t>
      </w:r>
      <w:r w:rsidR="00F055C8">
        <w:rPr>
          <w:rtl/>
        </w:rPr>
        <w:t>"</w:t>
      </w:r>
      <w:r>
        <w:rPr>
          <w:rFonts w:hint="cs"/>
          <w:rtl/>
        </w:rPr>
        <w:t>בוהו</w:t>
      </w:r>
      <w:r w:rsidR="003F0FC7">
        <w:rPr>
          <w:rtl/>
        </w:rPr>
        <w:fldChar w:fldCharType="begin"/>
      </w:r>
      <w:r w:rsidR="003F0FC7">
        <w:instrText xml:space="preserve"> XE "</w:instrText>
      </w:r>
      <w:r w:rsidR="003F0FC7" w:rsidRPr="004034D5">
        <w:rPr>
          <w:rFonts w:hint="cs"/>
          <w:rtl/>
        </w:rPr>
        <w:instrText>בוהו</w:instrText>
      </w:r>
      <w:r w:rsidR="003F0FC7">
        <w:instrText xml:space="preserve">" </w:instrText>
      </w:r>
      <w:r w:rsidR="003F0FC7">
        <w:rPr>
          <w:rtl/>
        </w:rPr>
        <w:fldChar w:fldCharType="end"/>
      </w:r>
      <w:r w:rsidR="00F055C8">
        <w:rPr>
          <w:rtl/>
        </w:rPr>
        <w:t>"</w:t>
      </w:r>
      <w:r>
        <w:rPr>
          <w:rFonts w:hint="cs"/>
          <w:rtl/>
        </w:rPr>
        <w:t xml:space="preserve"> הוא הצורה החומרית שלו. זו היא צורת התלת ממדיות המופשטת. צורת התלת ממדיות המופשטת, חלל ריק תלת ממדי אין סופי (אם הוא ריק אין מה שישם בו סוף), אינה מגלה שום דבר מהאור האלוהי. להיפך, היא מגלה רק את ההעדר, שהוא החומר הראשון שהוא העדר באור אין סוף (כמו שכתב האר</w:t>
      </w:r>
      <w:r w:rsidR="00F055C8">
        <w:rPr>
          <w:rtl/>
        </w:rPr>
        <w:t>"</w:t>
      </w:r>
      <w:r>
        <w:rPr>
          <w:rFonts w:hint="cs"/>
          <w:rtl/>
        </w:rPr>
        <w:t xml:space="preserve">י בעץ חיים שתחילת המציאות היא שהתפנה חלל פנוי ריק באמצע אור אין סוף) , זה ריק מוחלט אין סופי, אין בו מאומה, העדר גמור. כל צורה זכרית, שהיא אור, מגלה את ה'יש'. הצורה נקבית היא חושך ומגלה את ההעדר, ועדיין היא צורה, כלומר אור, כי אור פירושו האפשרות להשיג, והיא מאפשרת להשיג את החומר הראשון. עיין תוספת ביאור בזה בהערות קצרות על הפשט </w:t>
      </w:r>
      <w:r w:rsidR="007D7BC0">
        <w:rPr>
          <w:rFonts w:hint="cs"/>
          <w:rtl/>
        </w:rPr>
        <w:t xml:space="preserve">של </w:t>
      </w:r>
      <w:r>
        <w:rPr>
          <w:rFonts w:hint="cs"/>
          <w:rtl/>
        </w:rPr>
        <w:t>המורה נבוכים</w:t>
      </w:r>
      <w:hyperlink r:id="rId24" w:history="1">
        <w:r w:rsidRPr="00994B2F">
          <w:rPr>
            <w:rStyle w:val="Hyperlink"/>
            <w:rFonts w:hint="cs"/>
            <w:rtl/>
          </w:rPr>
          <w:t xml:space="preserve"> א' ע</w:t>
        </w:r>
        <w:r w:rsidR="00F055C8">
          <w:rPr>
            <w:rStyle w:val="Hyperlink"/>
            <w:rtl/>
          </w:rPr>
          <w:t>"</w:t>
        </w:r>
        <w:r w:rsidRPr="00994B2F">
          <w:rPr>
            <w:rStyle w:val="Hyperlink"/>
            <w:rFonts w:hint="cs"/>
            <w:rtl/>
          </w:rPr>
          <w:t>ב</w:t>
        </w:r>
      </w:hyperlink>
      <w:r>
        <w:rPr>
          <w:rFonts w:hint="cs"/>
          <w:rtl/>
        </w:rPr>
        <w:t>.</w:t>
      </w:r>
    </w:p>
    <w:p w14:paraId="1C10E92D" w14:textId="50AE809C" w:rsidR="00AA3A54" w:rsidRDefault="00693345" w:rsidP="001B572A">
      <w:pPr>
        <w:pStyle w:val="FootnoteText"/>
      </w:pPr>
      <w:r>
        <w:rPr>
          <w:rFonts w:hint="cs"/>
          <w:rtl/>
        </w:rPr>
        <w:t xml:space="preserve">  </w:t>
      </w:r>
    </w:p>
    <w:p w14:paraId="0E723866" w14:textId="0F3E6F51" w:rsidR="00ED1F62" w:rsidRDefault="00EB7C3E" w:rsidP="00ED1F62">
      <w:pPr>
        <w:pStyle w:val="FootnoteText"/>
        <w:rPr>
          <w:rtl/>
        </w:rPr>
      </w:pPr>
      <w:r w:rsidRPr="00EB7C3E">
        <w:rPr>
          <w:rtl/>
        </w:rPr>
        <w:t>התוהו הוא ספירת חכמה</w:t>
      </w:r>
      <w:r w:rsidR="004F4A2A">
        <w:rPr>
          <w:rtl/>
        </w:rPr>
        <w:fldChar w:fldCharType="begin"/>
      </w:r>
      <w:r w:rsidR="004F4A2A">
        <w:instrText xml:space="preserve"> XE "</w:instrText>
      </w:r>
      <w:bookmarkStart w:id="79" w:name="_Hlk97123113"/>
      <w:r w:rsidR="004F4A2A" w:rsidRPr="00A95541">
        <w:rPr>
          <w:rtl/>
        </w:rPr>
        <w:instrText xml:space="preserve">ספירת </w:instrText>
      </w:r>
      <w:r w:rsidR="004F4A2A" w:rsidRPr="00A95541">
        <w:rPr>
          <w:rFonts w:hint="cs"/>
          <w:rtl/>
        </w:rPr>
        <w:instrText>כתר וספירת חכמה</w:instrText>
      </w:r>
      <w:bookmarkEnd w:id="79"/>
      <w:r w:rsidR="004F4A2A">
        <w:instrText xml:space="preserve">" </w:instrText>
      </w:r>
      <w:r w:rsidR="004F4A2A">
        <w:rPr>
          <w:rtl/>
        </w:rPr>
        <w:fldChar w:fldCharType="end"/>
      </w:r>
      <w:r w:rsidRPr="00EB7C3E">
        <w:rPr>
          <w:rtl/>
        </w:rPr>
        <w:t>, והבוהו ספירת בינה. ועל זה נכתב בזוהר (</w:t>
      </w:r>
      <w:hyperlink r:id="rId25" w:history="1">
        <w:r w:rsidRPr="00EB7C3E">
          <w:rPr>
            <w:rStyle w:val="Hyperlink"/>
            <w:rtl/>
          </w:rPr>
          <w:t>חלק ג', ד' א'</w:t>
        </w:r>
      </w:hyperlink>
      <w:r w:rsidRPr="00EB7C3E">
        <w:rPr>
          <w:rtl/>
        </w:rPr>
        <w:t xml:space="preserve">) שחכמה ובינה הם כמו שני רעים בלתי נפרדים לעולמים, הם תמיד נתפשים ביחד, לא יתכן לתפוש אותם כל אחד בפני עצמו (ועיין עוד זוהר </w:t>
      </w:r>
      <w:hyperlink r:id="rId26" w:history="1">
        <w:r w:rsidRPr="00EB7C3E">
          <w:rPr>
            <w:rStyle w:val="Hyperlink"/>
            <w:rtl/>
          </w:rPr>
          <w:t>חלק ב' נ</w:t>
        </w:r>
        <w:r w:rsidR="00F055C8">
          <w:rPr>
            <w:rStyle w:val="Hyperlink"/>
            <w:rtl/>
          </w:rPr>
          <w:t>"</w:t>
        </w:r>
        <w:r w:rsidRPr="00EB7C3E">
          <w:rPr>
            <w:rStyle w:val="Hyperlink"/>
            <w:rtl/>
          </w:rPr>
          <w:t>ו א'</w:t>
        </w:r>
      </w:hyperlink>
      <w:r w:rsidRPr="00EB7C3E">
        <w:rPr>
          <w:rtl/>
        </w:rPr>
        <w:t xml:space="preserve"> לגבי </w:t>
      </w:r>
      <w:r w:rsidR="00F055C8">
        <w:rPr>
          <w:rtl/>
        </w:rPr>
        <w:t>"</w:t>
      </w:r>
      <w:r w:rsidRPr="00EB7C3E">
        <w:rPr>
          <w:rtl/>
        </w:rPr>
        <w:t>ארנון</w:t>
      </w:r>
      <w:r w:rsidR="00F055C8">
        <w:rPr>
          <w:rtl/>
        </w:rPr>
        <w:t>"</w:t>
      </w:r>
      <w:r w:rsidRPr="00EB7C3E">
        <w:rPr>
          <w:rtl/>
        </w:rPr>
        <w:t>).</w:t>
      </w:r>
      <w:r w:rsidR="00ED1F62">
        <w:rPr>
          <w:rtl/>
        </w:rPr>
        <w:t xml:space="preserve"> מי שתופש רק את הבוהו ולא את שורשו בתוהו, לא יכול לראות שהבריאה היא נביעה מהבורא המופשט.</w:t>
      </w:r>
    </w:p>
    <w:p w14:paraId="4EEA67DD" w14:textId="77777777" w:rsidR="00ED1F62" w:rsidRDefault="00ED1F62" w:rsidP="00ED1F62">
      <w:pPr>
        <w:pStyle w:val="FootnoteText"/>
        <w:rPr>
          <w:rtl/>
        </w:rPr>
      </w:pPr>
    </w:p>
    <w:p w14:paraId="740B1BE6" w14:textId="7A5BED3A" w:rsidR="008A7641" w:rsidRDefault="00ED1F62" w:rsidP="00ED1F62">
      <w:pPr>
        <w:pStyle w:val="FootnoteText"/>
      </w:pPr>
      <w:r>
        <w:rPr>
          <w:rtl/>
        </w:rPr>
        <w:t>התוהו</w:t>
      </w:r>
      <w:r w:rsidR="00EB4E9E">
        <w:rPr>
          <w:rtl/>
        </w:rPr>
        <w:fldChar w:fldCharType="begin"/>
      </w:r>
      <w:r w:rsidR="00EB4E9E">
        <w:instrText xml:space="preserve"> XE "</w:instrText>
      </w:r>
      <w:r w:rsidR="00EB4E9E" w:rsidRPr="000D20F0">
        <w:rPr>
          <w:rtl/>
        </w:rPr>
        <w:instrText>התוהו</w:instrText>
      </w:r>
      <w:r w:rsidR="00EB4E9E">
        <w:instrText xml:space="preserve">" </w:instrText>
      </w:r>
      <w:r w:rsidR="00EB4E9E">
        <w:rPr>
          <w:rtl/>
        </w:rPr>
        <w:fldChar w:fldCharType="end"/>
      </w:r>
      <w:r>
        <w:rPr>
          <w:rtl/>
        </w:rPr>
        <w:t xml:space="preserve"> מופשט כמו הבורא, כי הוא בלי שום הגדרה כלל, ולא מושג כלל</w:t>
      </w:r>
      <w:r w:rsidR="008162E6">
        <w:rPr>
          <w:rFonts w:hint="cs"/>
          <w:rtl/>
        </w:rPr>
        <w:t xml:space="preserve"> </w:t>
      </w:r>
      <w:r w:rsidR="008162E6" w:rsidRPr="008162E6">
        <w:rPr>
          <w:rtl/>
        </w:rPr>
        <w:t xml:space="preserve"> (מלבד ההגדרה האחת שיש בו שהוא נברא ואינו סיבת עצמו כמו הבורא. מההבדל הזה משתלשל אחר כך מקור הריבוי שנובע מהחומר הראשון לריבוי של הצורות שמצטיירות מכוחו)</w:t>
      </w:r>
      <w:r>
        <w:rPr>
          <w:rtl/>
        </w:rPr>
        <w:t>, ועליו כתב במו</w:t>
      </w:r>
      <w:r w:rsidR="00F055C8">
        <w:rPr>
          <w:rtl/>
        </w:rPr>
        <w:t>"</w:t>
      </w:r>
      <w:r>
        <w:rPr>
          <w:rtl/>
        </w:rPr>
        <w:t>נ א' ע</w:t>
      </w:r>
      <w:r w:rsidR="00F055C8">
        <w:rPr>
          <w:rtl/>
        </w:rPr>
        <w:t>"</w:t>
      </w:r>
      <w:r>
        <w:rPr>
          <w:rtl/>
        </w:rPr>
        <w:t>ב שהאחד ברא אחד</w:t>
      </w:r>
      <w:r w:rsidR="00E04444">
        <w:rPr>
          <w:rtl/>
        </w:rPr>
        <w:fldChar w:fldCharType="begin"/>
      </w:r>
      <w:r w:rsidR="00E04444">
        <w:instrText xml:space="preserve"> XE "</w:instrText>
      </w:r>
      <w:r w:rsidR="00E04444" w:rsidRPr="00A92A5B">
        <w:rPr>
          <w:rtl/>
        </w:rPr>
        <w:instrText>האחד ברא אחד</w:instrText>
      </w:r>
      <w:r w:rsidR="00E04444">
        <w:instrText xml:space="preserve">" </w:instrText>
      </w:r>
      <w:r w:rsidR="00E04444">
        <w:rPr>
          <w:rtl/>
        </w:rPr>
        <w:fldChar w:fldCharType="end"/>
      </w:r>
      <w:r>
        <w:rPr>
          <w:rtl/>
        </w:rPr>
        <w:t xml:space="preserve"> חי, וזה מה שנכתב שהחכמה מצד עצמה אין בה תפישה (וכמו שכתב הרמב</w:t>
      </w:r>
      <w:r w:rsidR="00F055C8">
        <w:rPr>
          <w:rtl/>
        </w:rPr>
        <w:t>"</w:t>
      </w:r>
      <w:r>
        <w:rPr>
          <w:rtl/>
        </w:rPr>
        <w:t>ן על בראשית א' א'</w:t>
      </w:r>
      <w:r w:rsidR="000471EB">
        <w:rPr>
          <w:rtl/>
        </w:rPr>
        <w:fldChar w:fldCharType="begin"/>
      </w:r>
      <w:r w:rsidR="000471EB">
        <w:instrText xml:space="preserve"> XE "</w:instrText>
      </w:r>
      <w:r w:rsidR="000471EB" w:rsidRPr="004711D0">
        <w:rPr>
          <w:rtl/>
        </w:rPr>
        <w:instrText>הרמב</w:instrText>
      </w:r>
      <w:r w:rsidR="000471EB">
        <w:rPr>
          <w:b/>
          <w:bCs/>
          <w:sz w:val="20"/>
          <w:szCs w:val="20"/>
        </w:rPr>
        <w:instrText>\</w:instrText>
      </w:r>
      <w:r w:rsidR="000471EB" w:rsidRPr="004711D0">
        <w:rPr>
          <w:rtl/>
        </w:rPr>
        <w:instrText>"ן על בראשית א' א'</w:instrText>
      </w:r>
      <w:r w:rsidR="000471EB">
        <w:instrText xml:space="preserve">" </w:instrText>
      </w:r>
      <w:r w:rsidR="000471EB">
        <w:rPr>
          <w:rtl/>
        </w:rPr>
        <w:fldChar w:fldCharType="end"/>
      </w:r>
      <w:r>
        <w:rPr>
          <w:rtl/>
        </w:rPr>
        <w:t xml:space="preserve"> שהנקודה ההיולית</w:t>
      </w:r>
      <w:r w:rsidR="003F0FC7">
        <w:rPr>
          <w:rtl/>
        </w:rPr>
        <w:fldChar w:fldCharType="begin"/>
      </w:r>
      <w:r w:rsidR="003F0FC7">
        <w:instrText xml:space="preserve"> XE "</w:instrText>
      </w:r>
      <w:r w:rsidR="003F0FC7" w:rsidRPr="00994943">
        <w:rPr>
          <w:rFonts w:hint="cs"/>
          <w:rtl/>
        </w:rPr>
        <w:instrText>היולי</w:instrText>
      </w:r>
      <w:r w:rsidR="003F0FC7">
        <w:instrText xml:space="preserve">" </w:instrText>
      </w:r>
      <w:r w:rsidR="003F0FC7">
        <w:rPr>
          <w:rtl/>
        </w:rPr>
        <w:fldChar w:fldCharType="end"/>
      </w:r>
      <w:r>
        <w:rPr>
          <w:rtl/>
        </w:rPr>
        <w:t xml:space="preserve"> היא החכמה ואין בה ממש). התוהו הוא אחד מוחלט וגמור, והיציאה ממנו היא נביעת המוגבל מהמופשט, שהוא סוד מעשה מרכבה</w:t>
      </w:r>
      <w:r w:rsidR="00D13CEC">
        <w:rPr>
          <w:rtl/>
        </w:rPr>
        <w:fldChar w:fldCharType="begin"/>
      </w:r>
      <w:r w:rsidR="00D13CEC">
        <w:instrText xml:space="preserve"> XE "</w:instrText>
      </w:r>
      <w:r w:rsidR="00D13CEC" w:rsidRPr="003B6A52">
        <w:rPr>
          <w:rtl/>
        </w:rPr>
        <w:instrText>מעשה מרכבה</w:instrText>
      </w:r>
      <w:r w:rsidR="00D13CEC">
        <w:instrText xml:space="preserve">" </w:instrText>
      </w:r>
      <w:r w:rsidR="00D13CEC">
        <w:rPr>
          <w:rtl/>
        </w:rPr>
        <w:fldChar w:fldCharType="end"/>
      </w:r>
      <w:r>
        <w:rPr>
          <w:rtl/>
        </w:rPr>
        <w:t xml:space="preserve"> (לכן אצילי בני ישראל כשחזו בתוהו, הוא לבנת הספיר, החומר הראשון, ספירת החכמה, הגלגל הקיצון, העיגול הריק הפנוי שכתב האר</w:t>
      </w:r>
      <w:r w:rsidR="00F055C8">
        <w:rPr>
          <w:rtl/>
        </w:rPr>
        <w:t>"</w:t>
      </w:r>
      <w:r>
        <w:rPr>
          <w:rtl/>
        </w:rPr>
        <w:t>י בעץ חיים, טעו לחשוב שהם חוזים את הבורא בעצמו. מה שכתב בתחילת הלכות יסודי התורה ש</w:t>
      </w:r>
      <w:r w:rsidR="00F055C8">
        <w:rPr>
          <w:rtl/>
        </w:rPr>
        <w:t>"</w:t>
      </w:r>
      <w:r>
        <w:rPr>
          <w:rtl/>
        </w:rPr>
        <w:t>כל הנבראים לא נבראו אלא מאמיתת הימצאו</w:t>
      </w:r>
      <w:r w:rsidR="00F055C8">
        <w:rPr>
          <w:rtl/>
        </w:rPr>
        <w:t>"</w:t>
      </w:r>
      <w:r>
        <w:rPr>
          <w:rtl/>
        </w:rPr>
        <w:t>, ולא כתב בקיצור שלא נבראו אלא מהימצאו, פירש בביאור הראב</w:t>
      </w:r>
      <w:r w:rsidR="00F055C8">
        <w:rPr>
          <w:rtl/>
        </w:rPr>
        <w:t>"</w:t>
      </w:r>
      <w:r>
        <w:rPr>
          <w:rtl/>
        </w:rPr>
        <w:t>ד על ספר יצירה ש</w:t>
      </w:r>
      <w:r w:rsidR="00F055C8">
        <w:rPr>
          <w:rtl/>
        </w:rPr>
        <w:t>"</w:t>
      </w:r>
      <w:r>
        <w:rPr>
          <w:rtl/>
        </w:rPr>
        <w:t>אמיתת הימצאו</w:t>
      </w:r>
      <w:r w:rsidR="00F055C8">
        <w:rPr>
          <w:rtl/>
        </w:rPr>
        <w:t>"</w:t>
      </w:r>
      <w:r>
        <w:rPr>
          <w:rtl/>
        </w:rPr>
        <w:t xml:space="preserve"> פירושו החומר הראשון). לכן האחדות של שני הרעים האלה היא ידידות ושמחה, כי היא הארת אור אין סוף בבריאה. לכן גם הבוהו לא נכתב כשלב בפני עצמו בסדר הווייה אלא הוא נכלל בתוהו כאילו הם אחד.</w:t>
      </w:r>
    </w:p>
  </w:footnote>
  <w:footnote w:id="125">
    <w:p w14:paraId="6E42FC3A" w14:textId="77777777" w:rsidR="00DF046A" w:rsidRDefault="00DF046A">
      <w:pPr>
        <w:pStyle w:val="FootnoteText"/>
        <w:rPr>
          <w:rtl/>
        </w:rPr>
      </w:pPr>
      <w:r>
        <w:rPr>
          <w:rStyle w:val="FootnoteReference"/>
        </w:rPr>
        <w:footnoteRef/>
      </w:r>
      <w:r>
        <w:rPr>
          <w:rtl/>
        </w:rPr>
        <w:t xml:space="preserve"> </w:t>
      </w:r>
      <w:r>
        <w:rPr>
          <w:rFonts w:hint="cs"/>
          <w:rtl/>
        </w:rPr>
        <w:t>הכוונה כאן לצורות ארבעת היסודות (אש רוח מים ועפר), שהן הצורות הראשונות שמצטיירות בחומר הראשון (צורת התלת ממדיות היא עניין אחד עם החומר כמו שהתבאר ולא נחשבת כצורה בפני עצמה).</w:t>
      </w:r>
    </w:p>
    <w:p w14:paraId="24447C17" w14:textId="4814ABBC" w:rsidR="00DF046A" w:rsidRDefault="00DF046A">
      <w:pPr>
        <w:pStyle w:val="FootnoteText"/>
        <w:rPr>
          <w:rtl/>
        </w:rPr>
      </w:pPr>
      <w:r>
        <w:rPr>
          <w:rFonts w:hint="cs"/>
          <w:rtl/>
        </w:rPr>
        <w:t xml:space="preserve">הצורות של ארבעת היסודות הן הצורות היחידות שמתלבשות בחומר הראשון עצמו, לכן בהכרח רק בהן מדובר כאן. אופן ההצטיירות שלהן אינו כשל חיבור צורה לחומר שיוצר עצם. לכן היסודות הטהורים אינם חלק מהעצמים שבטבע, ומה שאנו רואים מים למשל הוא עצם שמורכב מתרכובת של כל ד' היסודות ושולטת בו האיכות של מים. </w:t>
      </w:r>
    </w:p>
    <w:p w14:paraId="3C29B819" w14:textId="52911D6B" w:rsidR="00DF046A" w:rsidRDefault="00DF046A">
      <w:pPr>
        <w:pStyle w:val="FootnoteText"/>
      </w:pPr>
      <w:r>
        <w:rPr>
          <w:rFonts w:hint="cs"/>
          <w:rtl/>
        </w:rPr>
        <w:t>אופן ההצטיירות בחומר הראשון הוא בדרך של תנועה. זה דומה קצת לתנועת בבואה על ראי</w:t>
      </w:r>
      <w:r w:rsidR="009A23AB">
        <w:rPr>
          <w:rFonts w:hint="cs"/>
          <w:rtl/>
        </w:rPr>
        <w:t xml:space="preserve"> (הבבואה לא יוצרת 'עצם' על גבי הראי כשהיא מצטיירת בו)</w:t>
      </w:r>
      <w:r>
        <w:rPr>
          <w:rFonts w:hint="cs"/>
          <w:rtl/>
        </w:rPr>
        <w:t xml:space="preserve">, או לגלי הים שהם רק תנועות של המים ולא עצם בפני עצמו. עיין בזה בעיונים בפילוסופיה אריסטוטלית </w:t>
      </w:r>
      <w:hyperlink r:id="rId27" w:history="1">
        <w:r w:rsidRPr="00823BB5">
          <w:rPr>
            <w:rStyle w:val="Hyperlink"/>
            <w:rFonts w:hint="cs"/>
            <w:rtl/>
          </w:rPr>
          <w:t>רשימה 35</w:t>
        </w:r>
      </w:hyperlink>
      <w:r>
        <w:rPr>
          <w:rFonts w:hint="cs"/>
          <w:rtl/>
        </w:rPr>
        <w:t xml:space="preserve"> במאמר התנועה יסוד </w:t>
      </w:r>
      <w:r w:rsidR="009C463A">
        <w:rPr>
          <w:rFonts w:hint="cs"/>
          <w:rtl/>
        </w:rPr>
        <w:t>ההוויה</w:t>
      </w:r>
      <w:r>
        <w:rPr>
          <w:rFonts w:hint="cs"/>
          <w:rtl/>
        </w:rPr>
        <w:t xml:space="preserve">. החומר שקיים בטבע הוא תמיד תרכובת של ארבעת היסודות, זו הרכבה </w:t>
      </w:r>
      <w:r>
        <w:rPr>
          <w:rFonts w:hint="cs"/>
          <w:rtl/>
        </w:rPr>
        <w:t xml:space="preserve">מזגיית, כלומר לא רואים את המרכיבים כמו שהם, כמו שמים מורכבים ממימן וחמצן ואין בהם את המהות והאיכויות של המרכיבים. בחומר הזה הצורה נראית כמצטיירת בחומר בציור קבוע, כמו למשל שצורת הכלב קבועה בבשר שלו כל חייו. </w:t>
      </w:r>
    </w:p>
  </w:footnote>
  <w:footnote w:id="126">
    <w:p w14:paraId="6AB4033A" w14:textId="78F7FE76" w:rsidR="003724B2" w:rsidRPr="00DA1022" w:rsidRDefault="00DA1022" w:rsidP="003724B2">
      <w:pPr>
        <w:pStyle w:val="FootnoteText"/>
      </w:pPr>
      <w:r w:rsidRPr="00DA1022">
        <w:rPr>
          <w:rStyle w:val="FootnoteReference"/>
        </w:rPr>
        <w:footnoteRef/>
      </w:r>
      <w:r w:rsidRPr="00DA1022">
        <w:rPr>
          <w:rtl/>
        </w:rPr>
        <w:t xml:space="preserve"> </w:t>
      </w:r>
      <w:r>
        <w:rPr>
          <w:rFonts w:hint="cs"/>
          <w:rtl/>
        </w:rPr>
        <w:t xml:space="preserve">בר השוואה. במקור </w:t>
      </w:r>
      <w:r w:rsidRPr="00DA1022">
        <w:rPr>
          <w:rFonts w:ascii="Arial" w:hAnsi="Arial" w:cs="Arial" w:hint="cs"/>
          <w:rtl/>
          <w:lang w:bidi="ar-SA"/>
        </w:rPr>
        <w:t>للمقارنة</w:t>
      </w:r>
      <w:r w:rsidRPr="00DA1022">
        <w:rPr>
          <w:rtl/>
        </w:rPr>
        <w:t>. מקגיניס תרגם</w:t>
      </w:r>
      <w:r w:rsidR="00B439A4">
        <w:rPr>
          <w:rFonts w:hint="cs"/>
          <w:rtl/>
        </w:rPr>
        <w:t xml:space="preserve"> מצטרף:</w:t>
      </w:r>
      <w:r w:rsidRPr="00DA1022">
        <w:rPr>
          <w:rtl/>
        </w:rPr>
        <w:t xml:space="preserve"> </w:t>
      </w:r>
      <w:r w:rsidR="00F055C8">
        <w:rPr>
          <w:rtl/>
        </w:rPr>
        <w:t>"</w:t>
      </w:r>
      <w:r w:rsidRPr="00DA1022">
        <w:t>one prior and one joined</w:t>
      </w:r>
      <w:r w:rsidR="00F055C8">
        <w:rPr>
          <w:rtl/>
        </w:rPr>
        <w:t>"</w:t>
      </w:r>
      <w:r w:rsidR="00DE2986">
        <w:rPr>
          <w:rFonts w:hint="cs"/>
          <w:rtl/>
        </w:rPr>
        <w:t>, וגם זה תרגום נכון</w:t>
      </w:r>
      <w:r>
        <w:rPr>
          <w:rFonts w:hint="cs"/>
          <w:rtl/>
        </w:rPr>
        <w:t>.</w:t>
      </w:r>
    </w:p>
  </w:footnote>
  <w:footnote w:id="127">
    <w:p w14:paraId="258DA47F" w14:textId="2BE881D2" w:rsidR="005C7929" w:rsidRDefault="005C7929">
      <w:pPr>
        <w:pStyle w:val="FootnoteText"/>
        <w:rPr>
          <w:rtl/>
        </w:rPr>
      </w:pPr>
      <w:r>
        <w:rPr>
          <w:rStyle w:val="FootnoteReference"/>
        </w:rPr>
        <w:footnoteRef/>
      </w:r>
      <w:r>
        <w:rPr>
          <w:rtl/>
        </w:rPr>
        <w:t xml:space="preserve"> </w:t>
      </w:r>
      <w:r>
        <w:rPr>
          <w:rFonts w:hint="cs"/>
          <w:rtl/>
        </w:rPr>
        <w:t xml:space="preserve">במקור כתוב: </w:t>
      </w:r>
      <w:r w:rsidR="00F055C8">
        <w:rPr>
          <w:rtl/>
        </w:rPr>
        <w:t>"</w:t>
      </w:r>
      <w:r w:rsidRPr="005C7929">
        <w:rPr>
          <w:rFonts w:ascii="Arial" w:hAnsi="Arial" w:cs="Arial" w:hint="cs"/>
          <w:rtl/>
          <w:lang w:bidi="ar-SA"/>
        </w:rPr>
        <w:t>وكل</w:t>
      </w:r>
      <w:r w:rsidRPr="005C7929">
        <w:rPr>
          <w:rtl/>
          <w:lang w:bidi="ar-SA"/>
        </w:rPr>
        <w:t xml:space="preserve"> </w:t>
      </w:r>
      <w:r w:rsidRPr="005C7929">
        <w:rPr>
          <w:rFonts w:ascii="Arial" w:hAnsi="Arial" w:cs="Arial" w:hint="cs"/>
          <w:rtl/>
          <w:lang w:bidi="ar-SA"/>
        </w:rPr>
        <w:t>واحد</w:t>
      </w:r>
      <w:r w:rsidRPr="005C7929">
        <w:rPr>
          <w:rtl/>
          <w:lang w:bidi="ar-SA"/>
        </w:rPr>
        <w:t xml:space="preserve"> </w:t>
      </w:r>
      <w:r w:rsidRPr="005C7929">
        <w:rPr>
          <w:rFonts w:ascii="Arial" w:hAnsi="Arial" w:cs="Arial" w:hint="cs"/>
          <w:rtl/>
          <w:lang w:bidi="ar-SA"/>
        </w:rPr>
        <w:t>منهما</w:t>
      </w:r>
      <w:bookmarkStart w:id="81" w:name="_Hlk81606002"/>
      <w:r w:rsidRPr="005C7929">
        <w:rPr>
          <w:b/>
          <w:bCs/>
          <w:rtl/>
          <w:lang w:bidi="ar-SA"/>
        </w:rPr>
        <w:t xml:space="preserve"> </w:t>
      </w:r>
      <w:r w:rsidRPr="003A44F5">
        <w:rPr>
          <w:rFonts w:ascii="Arial" w:hAnsi="Arial" w:cs="Arial" w:hint="cs"/>
          <w:u w:val="single"/>
          <w:rtl/>
          <w:lang w:bidi="ar-SA"/>
        </w:rPr>
        <w:t>يختص</w:t>
      </w:r>
      <w:bookmarkEnd w:id="81"/>
      <w:r w:rsidRPr="005C7929">
        <w:rPr>
          <w:rtl/>
          <w:lang w:bidi="ar-SA"/>
        </w:rPr>
        <w:t xml:space="preserve"> </w:t>
      </w:r>
      <w:r w:rsidRPr="005C7929">
        <w:rPr>
          <w:rFonts w:ascii="Arial" w:hAnsi="Arial" w:cs="Arial" w:hint="cs"/>
          <w:rtl/>
          <w:lang w:bidi="ar-SA"/>
        </w:rPr>
        <w:t>بقبول</w:t>
      </w:r>
      <w:r w:rsidRPr="005C7929">
        <w:rPr>
          <w:rtl/>
          <w:lang w:bidi="ar-SA"/>
        </w:rPr>
        <w:t xml:space="preserve"> </w:t>
      </w:r>
      <w:r w:rsidRPr="005C7929">
        <w:rPr>
          <w:rFonts w:ascii="Arial" w:hAnsi="Arial" w:cs="Arial" w:hint="cs"/>
          <w:rtl/>
          <w:lang w:bidi="ar-SA"/>
        </w:rPr>
        <w:t>بعض</w:t>
      </w:r>
      <w:r w:rsidRPr="005C7929">
        <w:rPr>
          <w:rtl/>
          <w:lang w:bidi="ar-SA"/>
        </w:rPr>
        <w:t xml:space="preserve"> </w:t>
      </w:r>
      <w:r w:rsidRPr="005C7929">
        <w:rPr>
          <w:rFonts w:ascii="Arial" w:hAnsi="Arial" w:cs="Arial" w:hint="cs"/>
          <w:rtl/>
          <w:lang w:bidi="ar-SA"/>
        </w:rPr>
        <w:t>الصور</w:t>
      </w:r>
      <w:r w:rsidRPr="005C7929">
        <w:rPr>
          <w:rtl/>
        </w:rPr>
        <w:t xml:space="preserve"> </w:t>
      </w:r>
      <w:r w:rsidRPr="005C7929">
        <w:rPr>
          <w:rFonts w:ascii="Arial" w:hAnsi="Arial" w:cs="Arial" w:hint="cs"/>
          <w:rtl/>
          <w:lang w:bidi="ar-SA"/>
        </w:rPr>
        <w:t>دون</w:t>
      </w:r>
      <w:r w:rsidRPr="005C7929">
        <w:rPr>
          <w:rtl/>
          <w:lang w:bidi="ar-SA"/>
        </w:rPr>
        <w:t xml:space="preserve"> </w:t>
      </w:r>
      <w:r w:rsidRPr="005C7929">
        <w:rPr>
          <w:rFonts w:ascii="Arial" w:hAnsi="Arial" w:cs="Arial" w:hint="cs"/>
          <w:rtl/>
          <w:lang w:bidi="ar-SA"/>
        </w:rPr>
        <w:t>بعض</w:t>
      </w:r>
      <w:r w:rsidRPr="005C7929">
        <w:rPr>
          <w:rtl/>
          <w:lang w:bidi="ar-SA"/>
        </w:rPr>
        <w:t xml:space="preserve"> </w:t>
      </w:r>
      <w:r w:rsidRPr="005C7929">
        <w:rPr>
          <w:rFonts w:ascii="Arial" w:hAnsi="Arial" w:cs="Arial" w:hint="cs"/>
          <w:rtl/>
          <w:lang w:bidi="ar-SA"/>
        </w:rPr>
        <w:t>بعد</w:t>
      </w:r>
      <w:r w:rsidRPr="005C7929">
        <w:rPr>
          <w:rtl/>
          <w:lang w:bidi="ar-SA"/>
        </w:rPr>
        <w:t xml:space="preserve"> </w:t>
      </w:r>
      <w:r w:rsidRPr="005C7929">
        <w:rPr>
          <w:rFonts w:ascii="Arial" w:hAnsi="Arial" w:cs="Arial" w:hint="cs"/>
          <w:rtl/>
          <w:lang w:bidi="ar-SA"/>
        </w:rPr>
        <w:t>الجسمية</w:t>
      </w:r>
      <w:r w:rsidR="00F055C8">
        <w:rPr>
          <w:rtl/>
        </w:rPr>
        <w:t>"</w:t>
      </w:r>
    </w:p>
    <w:p w14:paraId="615E808C" w14:textId="6B000207" w:rsidR="005C7929" w:rsidRDefault="005C7929" w:rsidP="005C7929">
      <w:pPr>
        <w:pStyle w:val="FootnoteText"/>
        <w:rPr>
          <w:rtl/>
        </w:rPr>
      </w:pPr>
      <w:r>
        <w:rPr>
          <w:rFonts w:hint="cs"/>
          <w:rtl/>
        </w:rPr>
        <w:t>המילה</w:t>
      </w:r>
      <w:r w:rsidRPr="005C7929">
        <w:rPr>
          <w:rtl/>
        </w:rPr>
        <w:t xml:space="preserve"> </w:t>
      </w:r>
      <w:r w:rsidRPr="005C7929">
        <w:rPr>
          <w:rtl/>
          <w:lang w:bidi="ar-SA"/>
        </w:rPr>
        <w:t xml:space="preserve"> </w:t>
      </w:r>
      <w:r w:rsidRPr="005C7929">
        <w:rPr>
          <w:rFonts w:ascii="Arial" w:hAnsi="Arial" w:cs="Arial" w:hint="cs"/>
          <w:rtl/>
          <w:lang w:bidi="ar-SA"/>
        </w:rPr>
        <w:t>يختص</w:t>
      </w:r>
      <w:r w:rsidRPr="005C7929">
        <w:rPr>
          <w:rtl/>
        </w:rPr>
        <w:t xml:space="preserve"> מופיעה </w:t>
      </w:r>
      <w:r>
        <w:rPr>
          <w:rFonts w:hint="cs"/>
          <w:rtl/>
        </w:rPr>
        <w:t>בקוראן בסורה</w:t>
      </w:r>
      <w:r w:rsidR="00BD7297">
        <w:rPr>
          <w:rFonts w:hint="cs"/>
          <w:rtl/>
        </w:rPr>
        <w:t xml:space="preserve"> 2 פסוק 105, ובסורה</w:t>
      </w:r>
      <w:r>
        <w:rPr>
          <w:rFonts w:hint="cs"/>
          <w:rtl/>
        </w:rPr>
        <w:t xml:space="preserve"> 3 פסוק 74 כ</w:t>
      </w:r>
      <w:r w:rsidR="00F055C8">
        <w:rPr>
          <w:rtl/>
        </w:rPr>
        <w:t>"</w:t>
      </w:r>
      <w:r>
        <w:rPr>
          <w:rFonts w:hint="cs"/>
          <w:rtl/>
        </w:rPr>
        <w:t>בוחר</w:t>
      </w:r>
      <w:r w:rsidR="00F055C8">
        <w:rPr>
          <w:rtl/>
        </w:rPr>
        <w:t>"</w:t>
      </w:r>
      <w:r w:rsidR="00CD7BF4">
        <w:rPr>
          <w:rFonts w:hint="cs"/>
          <w:rtl/>
        </w:rPr>
        <w:t>,</w:t>
      </w:r>
      <w:r>
        <w:rPr>
          <w:rFonts w:hint="cs"/>
          <w:rtl/>
        </w:rPr>
        <w:t xml:space="preserve"> במשמעות פעיל</w:t>
      </w:r>
      <w:r w:rsidR="00BD7297">
        <w:rPr>
          <w:rFonts w:hint="cs"/>
          <w:rtl/>
        </w:rPr>
        <w:t xml:space="preserve"> (האל בוחר </w:t>
      </w:r>
      <w:r w:rsidR="00580867">
        <w:rPr>
          <w:rFonts w:hint="cs"/>
          <w:rtl/>
        </w:rPr>
        <w:t xml:space="preserve">לפי רצונו </w:t>
      </w:r>
      <w:r w:rsidR="00BD7297">
        <w:rPr>
          <w:rFonts w:hint="cs"/>
          <w:rtl/>
        </w:rPr>
        <w:t>את מי שהוא משפיע עליו את ברכתו ורחמיו)</w:t>
      </w:r>
      <w:r>
        <w:rPr>
          <w:rFonts w:hint="cs"/>
          <w:rtl/>
        </w:rPr>
        <w:t>, לא כנבחר במשמעות סביל. היא לא מוכרת לי במקורות עתיקים במשמעות סביל. מקגיניס פירש במשמעות סביל</w:t>
      </w:r>
      <w:r w:rsidR="003A44F5">
        <w:rPr>
          <w:rFonts w:hint="cs"/>
          <w:rtl/>
        </w:rPr>
        <w:t xml:space="preserve"> וגם לא תרגם </w:t>
      </w:r>
      <w:r w:rsidR="00BD7297">
        <w:rPr>
          <w:rFonts w:hint="cs"/>
          <w:rtl/>
        </w:rPr>
        <w:t>'</w:t>
      </w:r>
      <w:r w:rsidR="003A44F5">
        <w:rPr>
          <w:rFonts w:hint="cs"/>
          <w:rtl/>
        </w:rPr>
        <w:t>נבחר</w:t>
      </w:r>
      <w:r w:rsidR="00BD7297">
        <w:rPr>
          <w:rFonts w:hint="cs"/>
          <w:rtl/>
        </w:rPr>
        <w:t>'</w:t>
      </w:r>
      <w:r w:rsidR="003A44F5">
        <w:rPr>
          <w:rFonts w:hint="cs"/>
          <w:rtl/>
        </w:rPr>
        <w:t xml:space="preserve"> אלא </w:t>
      </w:r>
      <w:r w:rsidR="00BD7297">
        <w:rPr>
          <w:rFonts w:hint="cs"/>
          <w:rtl/>
        </w:rPr>
        <w:t>'</w:t>
      </w:r>
      <w:r w:rsidR="003A44F5">
        <w:rPr>
          <w:rFonts w:hint="cs"/>
          <w:rtl/>
        </w:rPr>
        <w:t>מאופיין</w:t>
      </w:r>
      <w:r w:rsidR="00BD7297">
        <w:rPr>
          <w:rFonts w:hint="cs"/>
          <w:rtl/>
        </w:rPr>
        <w:t>'</w:t>
      </w:r>
      <w:r w:rsidR="003A44F5">
        <w:rPr>
          <w:rFonts w:hint="cs"/>
          <w:rtl/>
        </w:rPr>
        <w:t xml:space="preserve">, </w:t>
      </w:r>
      <w:r w:rsidR="003A44F5" w:rsidRPr="003A44F5">
        <w:t>specified</w:t>
      </w:r>
      <w:r w:rsidR="003A44F5">
        <w:rPr>
          <w:rFonts w:hint="cs"/>
          <w:rtl/>
        </w:rPr>
        <w:t>,</w:t>
      </w:r>
      <w:r>
        <w:rPr>
          <w:rFonts w:hint="cs"/>
          <w:rtl/>
        </w:rPr>
        <w:t xml:space="preserve"> </w:t>
      </w:r>
      <w:bookmarkStart w:id="82" w:name="_Hlk81606292"/>
      <w:r>
        <w:rPr>
          <w:rFonts w:hint="cs"/>
          <w:rtl/>
        </w:rPr>
        <w:t>וכתב:</w:t>
      </w:r>
    </w:p>
    <w:p w14:paraId="1F775132" w14:textId="78196480" w:rsidR="005C7929" w:rsidRPr="005C7929" w:rsidRDefault="00F055C8" w:rsidP="005C7929">
      <w:pPr>
        <w:pStyle w:val="FootnoteText"/>
      </w:pPr>
      <w:r>
        <w:rPr>
          <w:rtl/>
        </w:rPr>
        <w:t>"</w:t>
      </w:r>
      <w:r w:rsidR="005C7929" w:rsidRPr="005C7929">
        <w:t xml:space="preserve">each one of which is </w:t>
      </w:r>
      <w:bookmarkStart w:id="83" w:name="_Hlk81606382"/>
      <w:r w:rsidR="005C7929" w:rsidRPr="0035411D">
        <w:rPr>
          <w:b/>
          <w:bCs/>
        </w:rPr>
        <w:t>specified</w:t>
      </w:r>
      <w:r w:rsidR="005C7929" w:rsidRPr="005C7929">
        <w:t xml:space="preserve"> </w:t>
      </w:r>
      <w:bookmarkEnd w:id="83"/>
      <w:r w:rsidR="005C7929" w:rsidRPr="005C7929">
        <w:t>by a receptivity to some form</w:t>
      </w:r>
      <w:r>
        <w:rPr>
          <w:rtl/>
        </w:rPr>
        <w:t>"</w:t>
      </w:r>
      <w:r w:rsidR="005C7929" w:rsidRPr="005C7929">
        <w:rPr>
          <w:rtl/>
        </w:rPr>
        <w:t xml:space="preserve"> </w:t>
      </w:r>
    </w:p>
    <w:p w14:paraId="27558528" w14:textId="62679109" w:rsidR="005C7929" w:rsidRPr="005C7929" w:rsidRDefault="003A44F5" w:rsidP="005C7929">
      <w:pPr>
        <w:pStyle w:val="FootnoteText"/>
      </w:pPr>
      <w:r>
        <w:rPr>
          <w:rFonts w:hint="cs"/>
          <w:rtl/>
        </w:rPr>
        <w:t xml:space="preserve">כנראה היה לו זר מבחינת ההבנה לכתוב בוחר בלשון פעיל, </w:t>
      </w:r>
      <w:r w:rsidR="00BD7297">
        <w:rPr>
          <w:rFonts w:hint="cs"/>
          <w:rtl/>
        </w:rPr>
        <w:t xml:space="preserve">שהרי מדובר בקבלת צורה ולא בעשייה פעילה; </w:t>
      </w:r>
      <w:r>
        <w:rPr>
          <w:rFonts w:hint="cs"/>
          <w:rtl/>
        </w:rPr>
        <w:t xml:space="preserve">לקמן </w:t>
      </w:r>
      <w:r w:rsidR="00BD7297">
        <w:rPr>
          <w:rFonts w:hint="cs"/>
          <w:rtl/>
        </w:rPr>
        <w:t xml:space="preserve">בסמוך </w:t>
      </w:r>
      <w:r>
        <w:rPr>
          <w:rFonts w:hint="cs"/>
          <w:rtl/>
        </w:rPr>
        <w:t xml:space="preserve">בהערה </w:t>
      </w:r>
      <w:r w:rsidR="00BD7297">
        <w:rPr>
          <w:rFonts w:hint="cs"/>
          <w:rtl/>
        </w:rPr>
        <w:t xml:space="preserve">שבסוף הסעיף </w:t>
      </w:r>
      <w:r>
        <w:rPr>
          <w:rFonts w:hint="cs"/>
          <w:rtl/>
        </w:rPr>
        <w:t xml:space="preserve">ביארתי </w:t>
      </w:r>
      <w:r>
        <w:rPr>
          <w:rFonts w:hint="cs"/>
          <w:rtl/>
        </w:rPr>
        <w:t>לפענ</w:t>
      </w:r>
      <w:r w:rsidR="00F055C8">
        <w:rPr>
          <w:rtl/>
        </w:rPr>
        <w:t>"</w:t>
      </w:r>
      <w:r>
        <w:rPr>
          <w:rFonts w:hint="cs"/>
          <w:rtl/>
        </w:rPr>
        <w:t xml:space="preserve">ד עניין זה. </w:t>
      </w:r>
    </w:p>
    <w:bookmarkEnd w:id="82"/>
  </w:footnote>
  <w:footnote w:id="128">
    <w:p w14:paraId="746E6133" w14:textId="511DC4AC" w:rsidR="00BE7732" w:rsidRPr="0070607D" w:rsidRDefault="00BE7732">
      <w:pPr>
        <w:pStyle w:val="FootnoteText"/>
        <w:rPr>
          <w:rtl/>
        </w:rPr>
      </w:pPr>
      <w:r w:rsidRPr="0070607D">
        <w:rPr>
          <w:rStyle w:val="FootnoteReference"/>
        </w:rPr>
        <w:footnoteRef/>
      </w:r>
      <w:r w:rsidRPr="0070607D">
        <w:rPr>
          <w:rtl/>
        </w:rPr>
        <w:t xml:space="preserve"> </w:t>
      </w:r>
      <w:r w:rsidR="0070607D" w:rsidRPr="0070607D">
        <w:rPr>
          <w:rFonts w:ascii="Arial" w:hAnsi="Arial" w:cs="Arial" w:hint="cs"/>
          <w:rtl/>
          <w:lang w:bidi="ar-SA"/>
        </w:rPr>
        <w:t>خيال</w:t>
      </w:r>
      <w:r w:rsidR="0070607D" w:rsidRPr="0070607D">
        <w:rPr>
          <w:rtl/>
        </w:rPr>
        <w:t xml:space="preserve"> - דמיון, בבואה (השתקפות בראי), רוח רפאים. </w:t>
      </w:r>
      <w:r w:rsidRPr="0070607D">
        <w:rPr>
          <w:rtl/>
        </w:rPr>
        <w:t xml:space="preserve">מקגיניס תרגם </w:t>
      </w:r>
      <w:r w:rsidRPr="0070607D">
        <w:t>specter</w:t>
      </w:r>
      <w:r w:rsidRPr="0070607D">
        <w:rPr>
          <w:rtl/>
        </w:rPr>
        <w:t>, רוח-רפאים</w:t>
      </w:r>
      <w:r w:rsidR="0070607D">
        <w:rPr>
          <w:rFonts w:hint="cs"/>
          <w:rtl/>
        </w:rPr>
        <w:t>, והוא תרגום יפה אבל אינו מוכרח</w:t>
      </w:r>
      <w:r w:rsidRPr="0070607D">
        <w:rPr>
          <w:rtl/>
        </w:rPr>
        <w:t>.</w:t>
      </w:r>
    </w:p>
  </w:footnote>
  <w:footnote w:id="129">
    <w:p w14:paraId="59F9F2EE" w14:textId="57B53A2D" w:rsidR="00DE2986" w:rsidRDefault="00B439A4" w:rsidP="007D107F">
      <w:pPr>
        <w:pStyle w:val="FootnoteText"/>
        <w:rPr>
          <w:rtl/>
        </w:rPr>
      </w:pPr>
      <w:r>
        <w:rPr>
          <w:rStyle w:val="FootnoteReference"/>
        </w:rPr>
        <w:footnoteRef/>
      </w:r>
      <w:r>
        <w:rPr>
          <w:rtl/>
        </w:rPr>
        <w:t xml:space="preserve"> </w:t>
      </w:r>
      <w:r w:rsidR="007D107F">
        <w:rPr>
          <w:rFonts w:hint="cs"/>
          <w:rtl/>
        </w:rPr>
        <w:t xml:space="preserve"> </w:t>
      </w:r>
      <w:bookmarkStart w:id="86" w:name="עוד_הסתכלות_על_מעשה_מרכבה"/>
      <w:r w:rsidR="00DE2986" w:rsidRPr="00AC6F17">
        <w:rPr>
          <w:rFonts w:hint="cs"/>
          <w:b/>
          <w:bCs/>
          <w:sz w:val="32"/>
          <w:szCs w:val="32"/>
          <w:rtl/>
        </w:rPr>
        <w:t>עוד הסתכלות על מעשה מרכבה</w:t>
      </w:r>
      <w:bookmarkEnd w:id="86"/>
      <w:r w:rsidR="00823A06">
        <w:rPr>
          <w:b/>
          <w:bCs/>
          <w:sz w:val="32"/>
          <w:szCs w:val="32"/>
          <w:rtl/>
        </w:rPr>
        <w:fldChar w:fldCharType="begin"/>
      </w:r>
      <w:r w:rsidR="00823A06">
        <w:instrText xml:space="preserve"> XE "</w:instrText>
      </w:r>
      <w:r w:rsidR="00823A06" w:rsidRPr="007E5210">
        <w:rPr>
          <w:rtl/>
        </w:rPr>
        <w:instrText>מעשה מרכבה</w:instrText>
      </w:r>
      <w:r w:rsidR="00823A06">
        <w:instrText xml:space="preserve">" </w:instrText>
      </w:r>
      <w:r w:rsidR="00823A06">
        <w:rPr>
          <w:b/>
          <w:bCs/>
          <w:sz w:val="32"/>
          <w:szCs w:val="32"/>
          <w:rtl/>
        </w:rPr>
        <w:fldChar w:fldCharType="end"/>
      </w:r>
      <w:r w:rsidR="00EB4E9E">
        <w:rPr>
          <w:b/>
          <w:bCs/>
          <w:sz w:val="32"/>
          <w:szCs w:val="32"/>
          <w:rtl/>
        </w:rPr>
        <w:fldChar w:fldCharType="begin"/>
      </w:r>
      <w:r w:rsidR="00EB4E9E">
        <w:instrText xml:space="preserve"> XE "</w:instrText>
      </w:r>
      <w:r w:rsidR="00D13CEC">
        <w:rPr>
          <w:rFonts w:hint="cs"/>
          <w:rtl/>
        </w:rPr>
        <w:instrText xml:space="preserve">מאמר: </w:instrText>
      </w:r>
      <w:r w:rsidR="00EB4E9E" w:rsidRPr="00515224">
        <w:rPr>
          <w:rFonts w:hint="cs"/>
          <w:b/>
          <w:bCs/>
          <w:sz w:val="32"/>
          <w:szCs w:val="32"/>
          <w:rtl/>
        </w:rPr>
        <w:instrText>עוד הסתכלות על מעשה מרכבה</w:instrText>
      </w:r>
      <w:r w:rsidR="00EB4E9E">
        <w:instrText xml:space="preserve">" </w:instrText>
      </w:r>
      <w:r w:rsidR="00EB4E9E">
        <w:rPr>
          <w:b/>
          <w:bCs/>
          <w:sz w:val="32"/>
          <w:szCs w:val="32"/>
          <w:rtl/>
        </w:rPr>
        <w:fldChar w:fldCharType="end"/>
      </w:r>
    </w:p>
    <w:p w14:paraId="5DEF1717" w14:textId="38394AB3" w:rsidR="00B439A4" w:rsidRDefault="00B439A4">
      <w:pPr>
        <w:pStyle w:val="FootnoteText"/>
        <w:rPr>
          <w:rtl/>
        </w:rPr>
      </w:pPr>
      <w:r>
        <w:rPr>
          <w:rFonts w:hint="cs"/>
          <w:rtl/>
        </w:rPr>
        <w:t xml:space="preserve">החומר נברא חסר כל צורה. הוא לא אפשרי לתפישה שכלית כי הוא חסר כל הגדרה, הוא אין סוף. אין סוף של העדר. </w:t>
      </w:r>
    </w:p>
    <w:p w14:paraId="7A02502A" w14:textId="4E2F2EBF" w:rsidR="00B439A4" w:rsidRDefault="00B439A4">
      <w:pPr>
        <w:pStyle w:val="FootnoteText"/>
        <w:rPr>
          <w:rtl/>
        </w:rPr>
      </w:pPr>
      <w:r>
        <w:rPr>
          <w:rFonts w:hint="cs"/>
          <w:rtl/>
        </w:rPr>
        <w:t>הבורא הוא הכרחי המציאות, כי הוא יש בלי שיש לו שום הגדרה, כמו שכתב במורה נבוכים א' נ</w:t>
      </w:r>
      <w:r w:rsidR="00F055C8">
        <w:rPr>
          <w:rtl/>
        </w:rPr>
        <w:t>"</w:t>
      </w:r>
      <w:r>
        <w:rPr>
          <w:rFonts w:hint="cs"/>
          <w:rtl/>
        </w:rPr>
        <w:t xml:space="preserve">ז שהוא </w:t>
      </w:r>
      <w:r w:rsidR="00F055C8">
        <w:rPr>
          <w:rtl/>
        </w:rPr>
        <w:t>"</w:t>
      </w:r>
      <w:r>
        <w:rPr>
          <w:rFonts w:hint="cs"/>
          <w:rtl/>
        </w:rPr>
        <w:t>נמצא ולא במציאות</w:t>
      </w:r>
      <w:r w:rsidR="00F055C8">
        <w:rPr>
          <w:rtl/>
        </w:rPr>
        <w:t>"</w:t>
      </w:r>
      <w:r>
        <w:rPr>
          <w:rFonts w:hint="cs"/>
          <w:rtl/>
        </w:rPr>
        <w:t xml:space="preserve">, כלומר אינו מוגדר כנמצא (כי אז היה אפשר לחשוב על האפשרות שאינו נמצא ואז הוא כבר לא הכרחי מציאות). אם אינו מוגדר כנמצא איך יתכן שאנו חושבים שהוא נמצא?  </w:t>
      </w:r>
    </w:p>
    <w:p w14:paraId="0572267F" w14:textId="77777777" w:rsidR="00B80DD2" w:rsidRDefault="00B439A4">
      <w:pPr>
        <w:pStyle w:val="FootnoteText"/>
        <w:rPr>
          <w:rtl/>
        </w:rPr>
      </w:pPr>
      <w:r>
        <w:rPr>
          <w:rFonts w:hint="cs"/>
          <w:rtl/>
        </w:rPr>
        <w:t>אלא אנו רואים מציאות לפנינו, ש</w:t>
      </w:r>
      <w:r w:rsidR="00B80DD2">
        <w:rPr>
          <w:rFonts w:hint="cs"/>
          <w:rtl/>
        </w:rPr>
        <w:t>מורכבת מדברים ש</w:t>
      </w:r>
      <w:r>
        <w:rPr>
          <w:rFonts w:hint="cs"/>
          <w:rtl/>
        </w:rPr>
        <w:t>מוגדר</w:t>
      </w:r>
      <w:r w:rsidR="00B80DD2">
        <w:rPr>
          <w:rFonts w:hint="cs"/>
          <w:rtl/>
        </w:rPr>
        <w:t>ים</w:t>
      </w:r>
      <w:r>
        <w:rPr>
          <w:rFonts w:hint="cs"/>
          <w:rtl/>
        </w:rPr>
        <w:t xml:space="preserve"> כנמצא</w:t>
      </w:r>
      <w:r w:rsidR="00B80DD2">
        <w:rPr>
          <w:rFonts w:hint="cs"/>
          <w:rtl/>
        </w:rPr>
        <w:t>ים</w:t>
      </w:r>
      <w:r>
        <w:rPr>
          <w:rFonts w:hint="cs"/>
          <w:rtl/>
        </w:rPr>
        <w:t xml:space="preserve">, </w:t>
      </w:r>
      <w:r w:rsidR="00B80DD2">
        <w:rPr>
          <w:rFonts w:hint="cs"/>
          <w:rtl/>
        </w:rPr>
        <w:t>לפחות אני קיים אם אני חושב, והיא מכריחה שמציאותה היא מחמת הכרחי מציאות שהיא נמצאת במציאותו ההכרחית. כי מציאות שאינה הכרחית אי אפשר שתתקיים מכח עצמה. כמו שביאר המורה נבוכים ב' א' בעיון השלישי (והוא לקוח מאבן סינא, שהביא זאת מאריסטו).</w:t>
      </w:r>
    </w:p>
    <w:p w14:paraId="5031327D" w14:textId="77777777" w:rsidR="00B80DD2" w:rsidRDefault="00B80DD2">
      <w:pPr>
        <w:pStyle w:val="FootnoteText"/>
        <w:rPr>
          <w:rtl/>
        </w:rPr>
      </w:pPr>
      <w:r>
        <w:rPr>
          <w:rFonts w:hint="cs"/>
          <w:rtl/>
        </w:rPr>
        <w:t xml:space="preserve">מה שיש מציאות של </w:t>
      </w:r>
      <w:r>
        <w:rPr>
          <w:rFonts w:hint="cs"/>
          <w:rtl/>
        </w:rPr>
        <w:t xml:space="preserve">הדברי הטבעיים שאנו רואים לפנינו, זה אומר שהבורא הכרחי המציאות נמצא, אבל כיוון שאינו מוגדר כנמצא, הוא בעת ובעונה אחת גם לא-נמצא. אם נשלול את המשפט שאומר שהוא לא-נמצא, הרי כפפנו אותו להיות תחת ההגדרה של 'נמצא' (בעצם מה ששללנו את האפשרות שאינו נמצא) ואז הוא לא יהיה הכרחי מציאות. </w:t>
      </w:r>
    </w:p>
    <w:p w14:paraId="27A9BA1B" w14:textId="77777777" w:rsidR="00B80DD2" w:rsidRDefault="00B80DD2">
      <w:pPr>
        <w:pStyle w:val="FootnoteText"/>
        <w:rPr>
          <w:rtl/>
        </w:rPr>
      </w:pPr>
      <w:r>
        <w:rPr>
          <w:rFonts w:hint="cs"/>
          <w:rtl/>
        </w:rPr>
        <w:t xml:space="preserve">לכן כמו שמוכרח שהוא נמצא כך גם מוכרח שאינו נמצא. </w:t>
      </w:r>
    </w:p>
    <w:p w14:paraId="26EACE6B" w14:textId="77777777" w:rsidR="00B80DD2" w:rsidRDefault="00B80DD2">
      <w:pPr>
        <w:pStyle w:val="FootnoteText"/>
        <w:rPr>
          <w:rtl/>
        </w:rPr>
      </w:pPr>
      <w:r>
        <w:rPr>
          <w:rFonts w:hint="cs"/>
          <w:rtl/>
        </w:rPr>
        <w:t xml:space="preserve">הוא מתגלה כנמצא בכך שהוא מקור המציאות ההכרחי של כל מה שכן מוגדר כנמצא, והוא גם לא נמצא כיוון שאינו מוגבל בתוך מעגל ההגדרה של להיות נמצא. ההתגלות שלו כלא-נמצא, זהו החומר הראשון, שהוא ההעדר. </w:t>
      </w:r>
    </w:p>
    <w:p w14:paraId="580B96A4" w14:textId="77777777" w:rsidR="00B80DD2" w:rsidRDefault="00B80DD2">
      <w:pPr>
        <w:pStyle w:val="FootnoteText"/>
        <w:rPr>
          <w:rtl/>
        </w:rPr>
      </w:pPr>
    </w:p>
    <w:p w14:paraId="1F0656F0" w14:textId="2D091FA1" w:rsidR="00B80DD2" w:rsidRDefault="00B80DD2">
      <w:pPr>
        <w:pStyle w:val="FootnoteText"/>
        <w:rPr>
          <w:rtl/>
        </w:rPr>
      </w:pPr>
      <w:r>
        <w:rPr>
          <w:rFonts w:hint="cs"/>
          <w:rtl/>
        </w:rPr>
        <w:t>זה מה שכתב האר</w:t>
      </w:r>
      <w:r w:rsidR="00F055C8">
        <w:rPr>
          <w:rtl/>
        </w:rPr>
        <w:t>"</w:t>
      </w:r>
      <w:r>
        <w:rPr>
          <w:rFonts w:hint="cs"/>
          <w:rtl/>
        </w:rPr>
        <w:t>י</w:t>
      </w:r>
      <w:r w:rsidR="005830F1">
        <w:rPr>
          <w:rtl/>
        </w:rPr>
        <w:fldChar w:fldCharType="begin"/>
      </w:r>
      <w:r w:rsidR="005830F1">
        <w:instrText xml:space="preserve"> XE "</w:instrText>
      </w:r>
      <w:r w:rsidR="005830F1" w:rsidRPr="00976DF5">
        <w:rPr>
          <w:rFonts w:hint="cs"/>
          <w:rtl/>
        </w:rPr>
        <w:instrText>האר</w:instrText>
      </w:r>
      <w:r w:rsidR="005830F1">
        <w:rPr>
          <w:b/>
          <w:bCs/>
          <w:sz w:val="20"/>
          <w:szCs w:val="20"/>
        </w:rPr>
        <w:instrText>\</w:instrText>
      </w:r>
      <w:r w:rsidR="005830F1" w:rsidRPr="00976DF5">
        <w:rPr>
          <w:rFonts w:hint="cs"/>
          <w:rtl/>
        </w:rPr>
        <w:instrText>"י</w:instrText>
      </w:r>
      <w:r w:rsidR="005830F1">
        <w:instrText xml:space="preserve">" </w:instrText>
      </w:r>
      <w:r w:rsidR="005830F1">
        <w:rPr>
          <w:rtl/>
        </w:rPr>
        <w:fldChar w:fldCharType="end"/>
      </w:r>
      <w:r>
        <w:rPr>
          <w:rFonts w:hint="cs"/>
          <w:rtl/>
        </w:rPr>
        <w:t xml:space="preserve"> בספר עץ חיים שער א' ענף ב':</w:t>
      </w:r>
    </w:p>
    <w:p w14:paraId="6082EE46" w14:textId="0FEEF323" w:rsidR="005723E6" w:rsidRDefault="00F055C8">
      <w:pPr>
        <w:pStyle w:val="FootnoteText"/>
        <w:rPr>
          <w:rtl/>
        </w:rPr>
      </w:pPr>
      <w:r>
        <w:rPr>
          <w:rtl/>
        </w:rPr>
        <w:t>"</w:t>
      </w:r>
      <w:r w:rsidR="005723E6" w:rsidRPr="005723E6">
        <w:rPr>
          <w:rtl/>
        </w:rPr>
        <w:t>דע כי טרם שנאצלו הנאצלים ונבראו הנבראים היה אור עליון פשוט ממלא כל המציאות ולא היה שום מקום פנוי בבחינת אויר ריקני וחלל</w:t>
      </w:r>
      <w:r w:rsidR="005723E6">
        <w:rPr>
          <w:rFonts w:hint="cs"/>
          <w:rtl/>
        </w:rPr>
        <w:t>,</w:t>
      </w:r>
      <w:r w:rsidR="005723E6" w:rsidRPr="005723E6">
        <w:rPr>
          <w:rtl/>
        </w:rPr>
        <w:t xml:space="preserve"> אלא הכל היה ממולא מן אור אין סוף פשוט ההוא </w:t>
      </w:r>
      <w:r w:rsidR="005723E6">
        <w:rPr>
          <w:rFonts w:hint="cs"/>
          <w:rtl/>
        </w:rPr>
        <w:t>[...]</w:t>
      </w:r>
      <w:r w:rsidR="005723E6" w:rsidRPr="005723E6">
        <w:rPr>
          <w:rtl/>
        </w:rPr>
        <w:t>. וכאשר עלה ברצונו הפשוט לברוא העולמות ולהאציל הנאצלים להוציא לאור שלימות פעולותיו ושמותיו וכנוייו אשר זאת היה סיבה בריאת העולמות כמבואר אצלינו בענף הא' בחקירה הראשונה. והנה אז צמצם את עצמו אין סוף בנקודה האמצעית אשר בו באמצע אורו ממש וצמצם האור ההוא ונתרחק אל צדדי סביבות הנקודה האמצעית ואז נשאר מקום פנוי ואויר וחלל רקני מנקודה אמצעית</w:t>
      </w:r>
      <w:r>
        <w:rPr>
          <w:rtl/>
        </w:rPr>
        <w:t>"</w:t>
      </w:r>
    </w:p>
    <w:p w14:paraId="1FA5EF05" w14:textId="5A21CB19" w:rsidR="005723E6" w:rsidRDefault="005723E6">
      <w:pPr>
        <w:pStyle w:val="FootnoteText"/>
        <w:rPr>
          <w:rtl/>
        </w:rPr>
      </w:pPr>
      <w:r>
        <w:rPr>
          <w:rFonts w:hint="cs"/>
          <w:rtl/>
        </w:rPr>
        <w:t xml:space="preserve">כבר הארכתי לבאר שאין הכוונה כאן לגלות את שלמות פעולותיו ושמותיו וכו' לבני האדם, אלא לגלות ותו לא. ההתגלות היא ההתחלה, היא עצם הדבר שאנו קוראים לו אלוה, היא לא לצורך שום סיבה ולא מופנית כלפי שום מישהו מוגדר, זה לא מול קהל כלשהו, הקהל הוא חלק מההתגלות עצמה ולא קהל שלה. </w:t>
      </w:r>
    </w:p>
    <w:p w14:paraId="03B0A843" w14:textId="77777777" w:rsidR="00BA7BA4" w:rsidRDefault="005723E6">
      <w:pPr>
        <w:pStyle w:val="FootnoteText"/>
        <w:rPr>
          <w:rtl/>
        </w:rPr>
      </w:pPr>
      <w:r>
        <w:rPr>
          <w:rFonts w:hint="cs"/>
          <w:rtl/>
        </w:rPr>
        <w:t xml:space="preserve">אור אין סוף שלא רצה להתגלות, נשאר אור אין סוף פשוט מוחלט באחדות פשוטה מוחלטת, בלי שום מורכבות, וכך אין בו שום התגלות. </w:t>
      </w:r>
      <w:r w:rsidR="00BA7BA4">
        <w:rPr>
          <w:rFonts w:hint="cs"/>
          <w:rtl/>
        </w:rPr>
        <w:t>ההתגלות מפרקת את מה שהוא חסר הגדרה של נמצא או לא נמצא, לנמצא בדרך של הגדרה כנמצא, ולנעדר בדרך של הגדרה כנעדר. כיוון שהוא שני הדברים ביחד הוא נשאר מחוסר כל הגדרה, הוא לא מוגדר כנמצא כי זה ישלול את מציאותו המוגדרת כהעדר, והוא לא מוגדר כנעדר כי זה ישלול את מציאותו המוגדרת כנמצא. הוא נשאר מחוסר כל הגדרה, חוסר ההגדרה זה האחדות האלוהית שאותה הוא רצה לגלות בהתגלות שהיא הבריאה.</w:t>
      </w:r>
    </w:p>
    <w:p w14:paraId="487FD5F5" w14:textId="77777777" w:rsidR="00EB2F3D" w:rsidRDefault="00BA7BA4">
      <w:pPr>
        <w:pStyle w:val="FootnoteText"/>
        <w:rPr>
          <w:rtl/>
        </w:rPr>
      </w:pPr>
      <w:r>
        <w:rPr>
          <w:rFonts w:hint="cs"/>
          <w:rtl/>
        </w:rPr>
        <w:t>הוא בעצמו חסר כל הגדרה, גם  לא של נמצא או לא-נמצא, להיות בלתי מוגדר פירושו להיות בלתי מגולה. והוא רצה להתגלות. התגלות היא להיות מוגדר. אבל הוא מגלה את עצמו והוא מחוסר כל הגדרה אז איך הוא יכול לגלות את עצמו כמשהו שיש לו הגדרה. מה שנובע מזה שהוא מגלה את עצמו כבעל שתי הגדרות סותרות, בלי שאפשר להכריע ביניהן כלל. הסתירה היא ההתגלות עצמה, כי כל צד בסתירה שולל את ההגדרה של הצד השני, וכך הוא מתגלה כמחוסר כל הגדרה. אם נפתור את הסתירה נאבד את ההתגלות האמיתית שלו כמחוסר כל הגדרה, אחד פשוט מוחלט מכל צד בלי מורכבות כלל.</w:t>
      </w:r>
    </w:p>
    <w:p w14:paraId="588A07DE" w14:textId="540ED8B5" w:rsidR="00EB2F3D" w:rsidRDefault="00EB2F3D">
      <w:pPr>
        <w:pStyle w:val="FootnoteText"/>
        <w:rPr>
          <w:rtl/>
        </w:rPr>
      </w:pPr>
      <w:r>
        <w:rPr>
          <w:rFonts w:hint="cs"/>
          <w:rtl/>
        </w:rPr>
        <w:t xml:space="preserve">הסתירה הזו מבטלת את מציאות האדם כאדם. האדם הוא השכל שלו, והסתירה הזו היא נגד השכל. השכל חוקר עד שהוא מגיע לסתירה, ומברר אותה עד סוף אפשרותו, רק כדי לראות כמה היא סתירה וכמה אין לה פתרון, ומזה השכל האנושי מת, זו מיתת נשיקה. </w:t>
      </w:r>
      <w:r w:rsidR="00F055C8">
        <w:rPr>
          <w:rtl/>
        </w:rPr>
        <w:t>"</w:t>
      </w:r>
      <w:r>
        <w:rPr>
          <w:rFonts w:hint="cs"/>
          <w:rtl/>
        </w:rPr>
        <w:t>אתם משורש מוות: כל ענף ישוב אל שורשיו</w:t>
      </w:r>
      <w:r w:rsidR="00F055C8">
        <w:rPr>
          <w:rtl/>
        </w:rPr>
        <w:t>"</w:t>
      </w:r>
      <w:r>
        <w:rPr>
          <w:rFonts w:hint="cs"/>
          <w:rtl/>
        </w:rPr>
        <w:t xml:space="preserve">, כמו שכתב רבי יהודה הנגיד שהבאתי מקודם. </w:t>
      </w:r>
    </w:p>
    <w:p w14:paraId="5D796ED9" w14:textId="3EBD9AFD" w:rsidR="005723E6" w:rsidRDefault="00EB2F3D">
      <w:pPr>
        <w:pStyle w:val="FootnoteText"/>
        <w:rPr>
          <w:rtl/>
        </w:rPr>
      </w:pPr>
      <w:r>
        <w:rPr>
          <w:rFonts w:hint="cs"/>
          <w:rtl/>
        </w:rPr>
        <w:t>זה הניצחון שכותב המורה נבוכים א' ע</w:t>
      </w:r>
      <w:r w:rsidR="00F055C8">
        <w:rPr>
          <w:rtl/>
        </w:rPr>
        <w:t>"</w:t>
      </w:r>
      <w:r>
        <w:rPr>
          <w:rFonts w:hint="cs"/>
          <w:rtl/>
        </w:rPr>
        <w:t xml:space="preserve">ב על הסתירה הזו: </w:t>
      </w:r>
      <w:r w:rsidR="00F055C8">
        <w:rPr>
          <w:rtl/>
        </w:rPr>
        <w:t>"</w:t>
      </w:r>
      <w:r>
        <w:rPr>
          <w:rFonts w:hint="cs"/>
          <w:rtl/>
        </w:rPr>
        <w:t>ברוך מי שנצחנו שלמותו</w:t>
      </w:r>
      <w:r w:rsidR="00F055C8">
        <w:rPr>
          <w:rtl/>
        </w:rPr>
        <w:t>"</w:t>
      </w:r>
      <w:r>
        <w:rPr>
          <w:rFonts w:hint="cs"/>
          <w:rtl/>
        </w:rPr>
        <w:t>.</w:t>
      </w:r>
    </w:p>
    <w:p w14:paraId="5A74C588" w14:textId="77777777" w:rsidR="004E1AB4" w:rsidRDefault="004E1AB4">
      <w:pPr>
        <w:pStyle w:val="FootnoteText"/>
      </w:pPr>
    </w:p>
    <w:p w14:paraId="5764DF26" w14:textId="48DC0954" w:rsidR="0050020E" w:rsidRDefault="0050020E">
      <w:pPr>
        <w:pStyle w:val="FootnoteText"/>
        <w:rPr>
          <w:rtl/>
        </w:rPr>
      </w:pPr>
      <w:r>
        <w:rPr>
          <w:rFonts w:hint="cs"/>
          <w:rtl/>
        </w:rPr>
        <w:t>ספר בראשית מתחיל בבריאת שמים וארץ, אור וחושך, ובהבדלה ביניהם. זו ההתגלות שכתב האר</w:t>
      </w:r>
      <w:r w:rsidR="00F055C8">
        <w:rPr>
          <w:rtl/>
        </w:rPr>
        <w:t>"</w:t>
      </w:r>
      <w:r>
        <w:rPr>
          <w:rFonts w:hint="cs"/>
          <w:rtl/>
        </w:rPr>
        <w:t>י. ההתגלות כשני צדדים. (תחילת מסכת ברכות גם היא עוסקת בזה, היא מדברת על קריאת שמע שהיא האחדות הגמורה, ועל ההפרדה בין לילה ליום, שהיא ההתגלות. האדם הוא עולם קטן, וזו פנימיות העולם, כמו שכתב במו</w:t>
      </w:r>
      <w:r w:rsidR="00F055C8">
        <w:rPr>
          <w:rtl/>
        </w:rPr>
        <w:t>"</w:t>
      </w:r>
      <w:r>
        <w:rPr>
          <w:rFonts w:hint="cs"/>
          <w:rtl/>
        </w:rPr>
        <w:t>נ א' ע</w:t>
      </w:r>
      <w:r w:rsidR="00F055C8">
        <w:rPr>
          <w:rtl/>
        </w:rPr>
        <w:t>"</w:t>
      </w:r>
      <w:r>
        <w:rPr>
          <w:rFonts w:hint="cs"/>
          <w:rtl/>
        </w:rPr>
        <w:t>ב, וב</w:t>
      </w:r>
      <w:hyperlink r:id="rId28" w:history="1">
        <w:r w:rsidRPr="0050020E">
          <w:rPr>
            <w:rStyle w:val="Hyperlink"/>
            <w:rFonts w:hint="cs"/>
            <w:rtl/>
          </w:rPr>
          <w:t>שיעורים על המורה נבוכים</w:t>
        </w:r>
      </w:hyperlink>
      <w:r>
        <w:rPr>
          <w:rFonts w:hint="cs"/>
          <w:rtl/>
        </w:rPr>
        <w:t xml:space="preserve"> (באזור השיעורים 0020 עד 0026) ו</w:t>
      </w:r>
      <w:hyperlink r:id="rId29" w:history="1">
        <w:r w:rsidRPr="0050020E">
          <w:rPr>
            <w:rStyle w:val="Hyperlink"/>
            <w:rFonts w:hint="cs"/>
            <w:rtl/>
          </w:rPr>
          <w:t>בשיעורים על הזוהר</w:t>
        </w:r>
      </w:hyperlink>
      <w:r>
        <w:rPr>
          <w:rFonts w:hint="cs"/>
          <w:rtl/>
        </w:rPr>
        <w:t xml:space="preserve"> (בערך בשיעורים 13-14) הארכתי בזה. </w:t>
      </w:r>
      <w:r w:rsidR="007C0062">
        <w:rPr>
          <w:rFonts w:hint="cs"/>
          <w:rtl/>
        </w:rPr>
        <w:t>לכן במסכת ברכות מדובר על האדם שמבדיל בין אור לחושך)</w:t>
      </w:r>
    </w:p>
    <w:p w14:paraId="7E24E3A8" w14:textId="0826DDDC" w:rsidR="00EB2F3D" w:rsidRDefault="00EB2F3D" w:rsidP="00292308">
      <w:pPr>
        <w:pStyle w:val="FootnoteText"/>
        <w:rPr>
          <w:rtl/>
        </w:rPr>
      </w:pPr>
    </w:p>
    <w:p w14:paraId="7009732E" w14:textId="541E777F" w:rsidR="005723E6" w:rsidRDefault="00292308">
      <w:pPr>
        <w:pStyle w:val="FootnoteText"/>
        <w:rPr>
          <w:rtl/>
        </w:rPr>
      </w:pPr>
      <w:r>
        <w:rPr>
          <w:rFonts w:hint="cs"/>
          <w:rtl/>
        </w:rPr>
        <w:t xml:space="preserve">בסתירה יש שתי הגדרות, 'נמצא' ו'לא-נמצא', האלוה בעצמו נשאר גם אחרי ההתגלות מרומם מכל הגדרה, כי ההגדרות סותרות זו את זו ולכן אינן מגדירות אותו. הוא גם מה שבתוך ההגדרה של 'נמצא' וגם מה שמחוץ לה, והרי הוא בכל ואין לו גבול ואינו תחת שום הגדרה. </w:t>
      </w:r>
    </w:p>
    <w:p w14:paraId="4416AC43" w14:textId="1D26FF8F" w:rsidR="007C0062" w:rsidRDefault="00292308">
      <w:pPr>
        <w:pStyle w:val="FootnoteText"/>
        <w:rPr>
          <w:rtl/>
        </w:rPr>
      </w:pPr>
      <w:r>
        <w:rPr>
          <w:rFonts w:hint="cs"/>
          <w:rtl/>
        </w:rPr>
        <w:t>אם ההגדרות נמצאות כשני צדדים של הסתירה, סוף סוף לא מתגלה בפועל מה שהוא מצד עצמו מעל כל הגדרה. אנו תופשים אותו רק כמוגדר, כ'יש' או כ'העדר', שהם מושגים שמפרידה ביניהם הגדרה, אחרת לא ה</w:t>
      </w:r>
      <w:r w:rsidR="00013915">
        <w:rPr>
          <w:rFonts w:hint="cs"/>
          <w:rtl/>
        </w:rPr>
        <w:t>י</w:t>
      </w:r>
      <w:r>
        <w:rPr>
          <w:rFonts w:hint="cs"/>
          <w:rtl/>
        </w:rPr>
        <w:t xml:space="preserve">יתה הבחנה ביניהם </w:t>
      </w:r>
      <w:r w:rsidR="00013915">
        <w:rPr>
          <w:rFonts w:hint="cs"/>
          <w:rtl/>
        </w:rPr>
        <w:t>ו</w:t>
      </w:r>
      <w:r>
        <w:rPr>
          <w:rFonts w:hint="cs"/>
          <w:rtl/>
        </w:rPr>
        <w:t xml:space="preserve">הם לא היו </w:t>
      </w:r>
      <w:r w:rsidR="00013915">
        <w:rPr>
          <w:rFonts w:hint="cs"/>
          <w:rtl/>
        </w:rPr>
        <w:t>'</w:t>
      </w:r>
      <w:r>
        <w:rPr>
          <w:rFonts w:hint="cs"/>
          <w:rtl/>
        </w:rPr>
        <w:t>מושגים</w:t>
      </w:r>
      <w:r w:rsidR="00013915">
        <w:rPr>
          <w:rFonts w:hint="cs"/>
          <w:rtl/>
        </w:rPr>
        <w:t>'</w:t>
      </w:r>
      <w:r>
        <w:rPr>
          <w:rFonts w:hint="cs"/>
          <w:rtl/>
        </w:rPr>
        <w:t xml:space="preserve"> כלל.</w:t>
      </w:r>
      <w:r w:rsidR="00013915">
        <w:rPr>
          <w:rFonts w:hint="cs"/>
          <w:rtl/>
        </w:rPr>
        <w:t xml:space="preserve"> איננו תופשים אותו כמעל כל הגדרה</w:t>
      </w:r>
      <w:r w:rsidR="007C0062">
        <w:rPr>
          <w:rFonts w:hint="cs"/>
          <w:rtl/>
        </w:rPr>
        <w:t xml:space="preserve"> (וזה הרי בלתי אפשרי כי אין תפישה בלי הגדרה)</w:t>
      </w:r>
      <w:r w:rsidR="00013915">
        <w:rPr>
          <w:rFonts w:hint="cs"/>
          <w:rtl/>
        </w:rPr>
        <w:t xml:space="preserve">, אלא כמוגדר, </w:t>
      </w:r>
      <w:r w:rsidR="007C0062">
        <w:rPr>
          <w:rFonts w:hint="cs"/>
          <w:rtl/>
        </w:rPr>
        <w:t xml:space="preserve">אנו </w:t>
      </w:r>
      <w:r w:rsidR="00013915">
        <w:rPr>
          <w:rFonts w:hint="cs"/>
          <w:rtl/>
        </w:rPr>
        <w:t>מביטים לצד זה ותופשים אותו כ'יש', ומביטים לצד שני ותופשים אותו כ'העדר'. אנו תופשים את העולם כצורה וחומר (הצורה היא</w:t>
      </w:r>
      <w:r w:rsidR="00013915" w:rsidRPr="00013915">
        <w:rPr>
          <w:rtl/>
        </w:rPr>
        <w:t xml:space="preserve"> הגילוי של האלוהות כ'יש', כ'בפועל',</w:t>
      </w:r>
      <w:r w:rsidR="00013915">
        <w:rPr>
          <w:rFonts w:hint="cs"/>
          <w:rtl/>
        </w:rPr>
        <w:t xml:space="preserve"> והחומר הוא הגילוי של האלוהות כ'העדר', כ'בכח').</w:t>
      </w:r>
    </w:p>
    <w:p w14:paraId="5E4D9EA8" w14:textId="2DD22C43" w:rsidR="007C0062" w:rsidRDefault="007C0062">
      <w:pPr>
        <w:pStyle w:val="FootnoteText"/>
        <w:rPr>
          <w:rtl/>
        </w:rPr>
      </w:pPr>
      <w:r>
        <w:rPr>
          <w:rFonts w:hint="cs"/>
          <w:rtl/>
        </w:rPr>
        <w:t xml:space="preserve">לכן יש הכרח ששני הצדדים של הסתירה לא יהיו נפרדים לגמרי, וכמובן אי אפשר שלא יהיו נפרדים כלל כי אז תתבטל ההתגלות. </w:t>
      </w:r>
    </w:p>
    <w:p w14:paraId="5C6FFF85" w14:textId="70CA3F81" w:rsidR="007C0062" w:rsidRDefault="007C0062">
      <w:pPr>
        <w:pStyle w:val="FootnoteText"/>
        <w:rPr>
          <w:rtl/>
        </w:rPr>
      </w:pPr>
      <w:r>
        <w:rPr>
          <w:rFonts w:hint="cs"/>
          <w:rtl/>
        </w:rPr>
        <w:t xml:space="preserve">זה מה שכתוב בספר יצירה שהמציאות היא כשלהבת האחוזה בגחלת. העולם הוא כסנה בוער באש ואיננו אוכל. זו הבערה שהיא החיים. </w:t>
      </w:r>
    </w:p>
    <w:p w14:paraId="19F31CB8" w14:textId="77777777" w:rsidR="00D37822" w:rsidRDefault="00D37822">
      <w:pPr>
        <w:pStyle w:val="FootnoteText"/>
        <w:rPr>
          <w:rtl/>
        </w:rPr>
      </w:pPr>
    </w:p>
    <w:p w14:paraId="76CA0827" w14:textId="59255ED0" w:rsidR="007C0062" w:rsidRDefault="007C0062">
      <w:pPr>
        <w:pStyle w:val="FootnoteText"/>
        <w:rPr>
          <w:rtl/>
        </w:rPr>
      </w:pPr>
      <w:r>
        <w:rPr>
          <w:rFonts w:hint="cs"/>
          <w:rtl/>
        </w:rPr>
        <w:t xml:space="preserve">יש שיר של רחל, שנקרא </w:t>
      </w:r>
      <w:r w:rsidR="00F055C8">
        <w:rPr>
          <w:rtl/>
        </w:rPr>
        <w:t>"</w:t>
      </w:r>
      <w:r>
        <w:rPr>
          <w:rFonts w:hint="cs"/>
          <w:rtl/>
        </w:rPr>
        <w:t>עקרה</w:t>
      </w:r>
      <w:r w:rsidR="00D76FA2">
        <w:rPr>
          <w:rtl/>
        </w:rPr>
        <w:fldChar w:fldCharType="begin"/>
      </w:r>
      <w:r w:rsidR="00D76FA2">
        <w:instrText xml:space="preserve"> XE "</w:instrText>
      </w:r>
      <w:r w:rsidR="00D76FA2" w:rsidRPr="00572A73">
        <w:rPr>
          <w:rFonts w:hint="cs"/>
          <w:rtl/>
        </w:rPr>
        <w:instrText>עקרה (השיר של רחל)</w:instrText>
      </w:r>
      <w:r w:rsidR="00D76FA2">
        <w:instrText xml:space="preserve">" </w:instrText>
      </w:r>
      <w:r w:rsidR="00D76FA2">
        <w:rPr>
          <w:rtl/>
        </w:rPr>
        <w:fldChar w:fldCharType="end"/>
      </w:r>
      <w:r w:rsidR="00F055C8">
        <w:rPr>
          <w:rtl/>
        </w:rPr>
        <w:t>"</w:t>
      </w:r>
      <w:r>
        <w:rPr>
          <w:rFonts w:hint="cs"/>
          <w:rtl/>
        </w:rPr>
        <w:t xml:space="preserve">. היא כותבת שם </w:t>
      </w:r>
      <w:r w:rsidR="00F055C8">
        <w:rPr>
          <w:rtl/>
        </w:rPr>
        <w:t>"</w:t>
      </w:r>
      <w:r>
        <w:rPr>
          <w:rFonts w:hint="cs"/>
          <w:rtl/>
        </w:rPr>
        <w:t>בן לו היה לי</w:t>
      </w:r>
      <w:r w:rsidR="004E1AB4">
        <w:rPr>
          <w:rFonts w:hint="cs"/>
          <w:rtl/>
        </w:rPr>
        <w:t>...</w:t>
      </w:r>
      <w:r>
        <w:rPr>
          <w:rFonts w:hint="cs"/>
          <w:rtl/>
        </w:rPr>
        <w:t xml:space="preserve"> שחור תלתלים ונבון</w:t>
      </w:r>
      <w:r w:rsidR="004E1AB4">
        <w:rPr>
          <w:rFonts w:hint="cs"/>
          <w:rtl/>
        </w:rPr>
        <w:t>... אורי אקרא לו...</w:t>
      </w:r>
      <w:r w:rsidR="00F055C8">
        <w:rPr>
          <w:rtl/>
        </w:rPr>
        <w:t>"</w:t>
      </w:r>
      <w:r>
        <w:rPr>
          <w:rFonts w:hint="cs"/>
          <w:rtl/>
        </w:rPr>
        <w:t xml:space="preserve">. </w:t>
      </w:r>
    </w:p>
    <w:p w14:paraId="6E00F97D" w14:textId="09A68A46" w:rsidR="007C0062" w:rsidRDefault="007C0062">
      <w:pPr>
        <w:pStyle w:val="FootnoteText"/>
        <w:rPr>
          <w:rtl/>
        </w:rPr>
      </w:pPr>
      <w:r>
        <w:rPr>
          <w:rFonts w:hint="cs"/>
          <w:rtl/>
        </w:rPr>
        <w:t xml:space="preserve">יש אצלה העדר של בן, הכאב של הריק, החיסרון, ההעדר, של בן, מצייר בה צורת ילד. הילד המצויר בשיר. זהו משל למה שאצל אריסטו נקרא </w:t>
      </w:r>
      <w:r w:rsidR="00F055C8">
        <w:rPr>
          <w:rtl/>
        </w:rPr>
        <w:t>"</w:t>
      </w:r>
      <w:r>
        <w:rPr>
          <w:rFonts w:hint="cs"/>
          <w:rtl/>
        </w:rPr>
        <w:t>צורה</w:t>
      </w:r>
      <w:r w:rsidR="00F055C8">
        <w:rPr>
          <w:rtl/>
        </w:rPr>
        <w:t>"</w:t>
      </w:r>
      <w:r>
        <w:rPr>
          <w:rFonts w:hint="cs"/>
          <w:rtl/>
        </w:rPr>
        <w:t xml:space="preserve">. </w:t>
      </w:r>
    </w:p>
    <w:p w14:paraId="7C499014" w14:textId="77777777" w:rsidR="00EA28DB" w:rsidRDefault="007C0062" w:rsidP="00EA28DB">
      <w:pPr>
        <w:pStyle w:val="FootnoteText"/>
        <w:rPr>
          <w:rtl/>
        </w:rPr>
      </w:pPr>
      <w:r>
        <w:rPr>
          <w:rFonts w:hint="cs"/>
          <w:rtl/>
        </w:rPr>
        <w:t>יש גם בן שהוא 'יש'. אותו בן מציאותי שלא נולד אבל יש אפשרות שיוולד. אותו בן ש</w:t>
      </w:r>
      <w:r w:rsidR="00EA28DB">
        <w:rPr>
          <w:rFonts w:hint="cs"/>
          <w:rtl/>
        </w:rPr>
        <w:t xml:space="preserve">ההעדר שלו גורם לגעגוע שגורם לציור צורת בן, הבן שהוא הבן הנעדר. ההעדר הוא כמו שקע במיטה של מישהו שישן שם וקם והלך. בשקע יש את צורת מי שהלך, לכן הוא זה שנעדר. בלי שקע שיש לו שייכות כלשהי למה שנעדר, לא נעדר כאן שום דבר. </w:t>
      </w:r>
    </w:p>
    <w:p w14:paraId="230035C2" w14:textId="641AE086" w:rsidR="00EA28DB" w:rsidRDefault="00EA28DB" w:rsidP="00EA28DB">
      <w:pPr>
        <w:pStyle w:val="FootnoteText"/>
        <w:rPr>
          <w:rtl/>
        </w:rPr>
      </w:pPr>
      <w:r>
        <w:rPr>
          <w:rFonts w:hint="cs"/>
          <w:rtl/>
        </w:rPr>
        <w:t>הציור של בן שרחל מציירת בשיר, הוא חיבור של ההעדר של בן עם הבן שהוא לא נעדר (אע</w:t>
      </w:r>
      <w:r w:rsidR="00F055C8">
        <w:rPr>
          <w:rtl/>
        </w:rPr>
        <w:t>"</w:t>
      </w:r>
      <w:r>
        <w:rPr>
          <w:rFonts w:hint="cs"/>
          <w:rtl/>
        </w:rPr>
        <w:t xml:space="preserve">פ שאינו מושג ועוד לא נולד ואפשר שלא ייולד לעולם). הציור הוא ציור של הגעגוע והכאב, כלומר של ההעדר, אבל יש בו גם את מי שהוא ישנו במציאות, גם אם רק כאפשרות, הוא זה שהעדרו הוא הגורם את הגעגוע. </w:t>
      </w:r>
    </w:p>
    <w:p w14:paraId="5A56AB44" w14:textId="36C8C96C" w:rsidR="00EA28DB" w:rsidRDefault="00EA28DB" w:rsidP="00EA28DB">
      <w:pPr>
        <w:pStyle w:val="FootnoteText"/>
        <w:rPr>
          <w:rtl/>
        </w:rPr>
      </w:pPr>
    </w:p>
    <w:p w14:paraId="4FE4121E" w14:textId="6EFB3B67" w:rsidR="00EA28DB" w:rsidRDefault="00EA28DB" w:rsidP="00EA28DB">
      <w:pPr>
        <w:pStyle w:val="FootnoteText"/>
        <w:rPr>
          <w:rtl/>
        </w:rPr>
      </w:pPr>
      <w:r>
        <w:rPr>
          <w:rFonts w:hint="cs"/>
          <w:rtl/>
        </w:rPr>
        <w:t>זה מה שכתב האר</w:t>
      </w:r>
      <w:r w:rsidR="00F055C8">
        <w:rPr>
          <w:rtl/>
        </w:rPr>
        <w:t>"</w:t>
      </w:r>
      <w:r>
        <w:rPr>
          <w:rFonts w:hint="cs"/>
          <w:rtl/>
        </w:rPr>
        <w:t>י</w:t>
      </w:r>
      <w:r w:rsidR="005830F1">
        <w:rPr>
          <w:rtl/>
        </w:rPr>
        <w:fldChar w:fldCharType="begin"/>
      </w:r>
      <w:r w:rsidR="005830F1">
        <w:instrText xml:space="preserve"> XE "</w:instrText>
      </w:r>
      <w:r w:rsidR="005830F1" w:rsidRPr="00BF64C7">
        <w:rPr>
          <w:rFonts w:hint="cs"/>
          <w:rtl/>
        </w:rPr>
        <w:instrText>האר</w:instrText>
      </w:r>
      <w:r w:rsidR="005830F1">
        <w:rPr>
          <w:b/>
          <w:bCs/>
          <w:sz w:val="20"/>
          <w:szCs w:val="20"/>
        </w:rPr>
        <w:instrText>\</w:instrText>
      </w:r>
      <w:r w:rsidR="005830F1" w:rsidRPr="00BF64C7">
        <w:rPr>
          <w:rFonts w:hint="cs"/>
          <w:rtl/>
        </w:rPr>
        <w:instrText>"י</w:instrText>
      </w:r>
      <w:r w:rsidR="005830F1">
        <w:instrText xml:space="preserve">" </w:instrText>
      </w:r>
      <w:r w:rsidR="005830F1">
        <w:rPr>
          <w:rtl/>
        </w:rPr>
        <w:fldChar w:fldCharType="end"/>
      </w:r>
      <w:r>
        <w:rPr>
          <w:rFonts w:hint="cs"/>
          <w:rtl/>
        </w:rPr>
        <w:t xml:space="preserve"> שם:</w:t>
      </w:r>
    </w:p>
    <w:p w14:paraId="4F1E8BD9" w14:textId="4BE677FF" w:rsidR="00235C91" w:rsidRDefault="00F055C8" w:rsidP="00EA28DB">
      <w:pPr>
        <w:pStyle w:val="FootnoteText"/>
        <w:rPr>
          <w:rtl/>
        </w:rPr>
      </w:pPr>
      <w:r>
        <w:rPr>
          <w:rtl/>
        </w:rPr>
        <w:t>"</w:t>
      </w:r>
      <w:r w:rsidR="00235C91" w:rsidRPr="00235C91">
        <w:rPr>
          <w:rtl/>
        </w:rPr>
        <w:t>והנה כאשר צמצם עצמו אז דרך צד א</w:t>
      </w:r>
      <w:r w:rsidR="00235C91">
        <w:rPr>
          <w:rFonts w:hint="cs"/>
          <w:rtl/>
        </w:rPr>
        <w:t>חד</w:t>
      </w:r>
      <w:r w:rsidR="00235C91" w:rsidRPr="00235C91">
        <w:rPr>
          <w:rtl/>
        </w:rPr>
        <w:t xml:space="preserve"> מן החלל המשיך דרך קו א</w:t>
      </w:r>
      <w:r w:rsidR="00235C91">
        <w:rPr>
          <w:rFonts w:hint="cs"/>
          <w:rtl/>
        </w:rPr>
        <w:t>חד</w:t>
      </w:r>
      <w:r w:rsidR="00235C91" w:rsidRPr="00235C91">
        <w:rPr>
          <w:rtl/>
        </w:rPr>
        <w:t xml:space="preserve"> ישר דק כעין צנור אור א</w:t>
      </w:r>
      <w:r w:rsidR="00235C91">
        <w:rPr>
          <w:rFonts w:hint="cs"/>
          <w:rtl/>
        </w:rPr>
        <w:t>חד</w:t>
      </w:r>
      <w:r w:rsidR="00235C91" w:rsidRPr="00235C91">
        <w:rPr>
          <w:rtl/>
        </w:rPr>
        <w:t xml:space="preserve"> הנמשך מן הא</w:t>
      </w:r>
      <w:r w:rsidR="00235C91">
        <w:rPr>
          <w:rFonts w:hint="cs"/>
          <w:rtl/>
        </w:rPr>
        <w:t>ין סוף</w:t>
      </w:r>
      <w:r w:rsidR="00235C91" w:rsidRPr="00235C91">
        <w:rPr>
          <w:rtl/>
        </w:rPr>
        <w:t xml:space="preserve"> אל תוך החלל</w:t>
      </w:r>
      <w:r w:rsidR="00235C91">
        <w:rPr>
          <w:rFonts w:hint="cs"/>
          <w:rtl/>
        </w:rPr>
        <w:t xml:space="preserve"> [...]</w:t>
      </w:r>
    </w:p>
    <w:p w14:paraId="5C66BFE7" w14:textId="188F70D9" w:rsidR="00EA28DB" w:rsidRDefault="00235C91" w:rsidP="00EA28DB">
      <w:pPr>
        <w:pStyle w:val="FootnoteText"/>
        <w:rPr>
          <w:rtl/>
        </w:rPr>
      </w:pPr>
      <w:r w:rsidRPr="00235C91">
        <w:rPr>
          <w:rtl/>
        </w:rPr>
        <w:t>ודרך קו הזה נמשך ויורד אור א</w:t>
      </w:r>
      <w:r>
        <w:rPr>
          <w:rFonts w:hint="cs"/>
          <w:rtl/>
        </w:rPr>
        <w:t>ין סוף</w:t>
      </w:r>
      <w:r w:rsidRPr="00235C91">
        <w:rPr>
          <w:rtl/>
        </w:rPr>
        <w:t xml:space="preserve"> אל תוך החלל העגול שהוא הנאצל וע</w:t>
      </w:r>
      <w:r>
        <w:rPr>
          <w:rFonts w:hint="cs"/>
          <w:rtl/>
        </w:rPr>
        <w:t>ל ידי כן</w:t>
      </w:r>
      <w:r w:rsidRPr="00235C91">
        <w:rPr>
          <w:rtl/>
        </w:rPr>
        <w:t xml:space="preserve"> מתדבק המאציל בנאצל יחד</w:t>
      </w:r>
      <w:r w:rsidR="00F055C8">
        <w:rPr>
          <w:rtl/>
        </w:rPr>
        <w:t>"</w:t>
      </w:r>
    </w:p>
    <w:p w14:paraId="3E986A30" w14:textId="42199326" w:rsidR="00235C91" w:rsidRDefault="00235C91" w:rsidP="00EA28DB">
      <w:pPr>
        <w:pStyle w:val="FootnoteText"/>
        <w:rPr>
          <w:rtl/>
        </w:rPr>
      </w:pPr>
      <w:r>
        <w:rPr>
          <w:rFonts w:hint="cs"/>
          <w:rtl/>
        </w:rPr>
        <w:t xml:space="preserve">וממשיך שם, וביאור דבריו שהקו הזה מצייר את כל הצורות שבעולם. </w:t>
      </w:r>
    </w:p>
    <w:p w14:paraId="61DF3646" w14:textId="6FEEC116" w:rsidR="00EA28DB" w:rsidRDefault="00235C91" w:rsidP="00EA28DB">
      <w:pPr>
        <w:pStyle w:val="FootnoteText"/>
        <w:rPr>
          <w:rtl/>
        </w:rPr>
      </w:pPr>
      <w:r>
        <w:rPr>
          <w:rFonts w:hint="cs"/>
          <w:rtl/>
        </w:rPr>
        <w:t xml:space="preserve">הצורות הן מה שמדבק את המאציל בנאצל, השכל הוא הכח שמכיר את הצורות, ולכן הוא מה שמדבק. </w:t>
      </w:r>
    </w:p>
    <w:p w14:paraId="0555A956" w14:textId="1057DE87" w:rsidR="00161C10" w:rsidRDefault="00235C91" w:rsidP="00EA28DB">
      <w:pPr>
        <w:pStyle w:val="FootnoteText"/>
        <w:rPr>
          <w:rtl/>
        </w:rPr>
      </w:pPr>
      <w:r>
        <w:rPr>
          <w:rFonts w:hint="cs"/>
          <w:rtl/>
        </w:rPr>
        <w:t>השכל מכיר את הצורה, שהיא ציור שנובע ממה שנעדר, וממנה הוא מכיר שיש מה שנעדר, ושה'יש' וה'נעדר' הם כמו צורה</w:t>
      </w:r>
      <w:r w:rsidR="00201ADD">
        <w:rPr>
          <w:rFonts w:hint="cs"/>
          <w:rtl/>
        </w:rPr>
        <w:t xml:space="preserve"> אחת</w:t>
      </w:r>
      <w:r>
        <w:rPr>
          <w:rFonts w:hint="cs"/>
          <w:rtl/>
        </w:rPr>
        <w:t xml:space="preserve"> שבחותם היא בולטת ובשעווה </w:t>
      </w:r>
      <w:r w:rsidR="00201ADD">
        <w:rPr>
          <w:rFonts w:hint="cs"/>
          <w:rtl/>
        </w:rPr>
        <w:t>(</w:t>
      </w:r>
      <w:r>
        <w:rPr>
          <w:rFonts w:hint="cs"/>
          <w:rtl/>
        </w:rPr>
        <w:t>שהחותם חתם בה והטביע בה את הצורה שעליו</w:t>
      </w:r>
      <w:r w:rsidR="00201ADD">
        <w:rPr>
          <w:rFonts w:hint="cs"/>
          <w:rtl/>
        </w:rPr>
        <w:t>)</w:t>
      </w:r>
      <w:r>
        <w:rPr>
          <w:rFonts w:hint="cs"/>
          <w:rtl/>
        </w:rPr>
        <w:t xml:space="preserve"> נמצאת אותה צורה כשקועה. </w:t>
      </w:r>
      <w:r w:rsidR="00161C10">
        <w:rPr>
          <w:rFonts w:hint="cs"/>
          <w:rtl/>
        </w:rPr>
        <w:t xml:space="preserve">בשלב </w:t>
      </w:r>
      <w:r w:rsidR="009C463A">
        <w:rPr>
          <w:rFonts w:hint="cs"/>
          <w:rtl/>
        </w:rPr>
        <w:t>מסוים</w:t>
      </w:r>
      <w:r w:rsidR="00161C10">
        <w:rPr>
          <w:rFonts w:hint="cs"/>
          <w:rtl/>
        </w:rPr>
        <w:t xml:space="preserve"> כבר אין הפרדה בין חומר וצורה. וזו השגת דעת אלהים. </w:t>
      </w:r>
    </w:p>
    <w:p w14:paraId="35726CCB" w14:textId="7069C1C1" w:rsidR="00235C91" w:rsidRDefault="00161C10" w:rsidP="00EA28DB">
      <w:pPr>
        <w:pStyle w:val="FootnoteText"/>
        <w:rPr>
          <w:rtl/>
        </w:rPr>
      </w:pPr>
      <w:r>
        <w:rPr>
          <w:rFonts w:hint="cs"/>
          <w:rtl/>
        </w:rPr>
        <w:t>כמו שכתב הרמב</w:t>
      </w:r>
      <w:r w:rsidR="00F055C8">
        <w:rPr>
          <w:rtl/>
        </w:rPr>
        <w:t>"</w:t>
      </w:r>
      <w:r>
        <w:rPr>
          <w:rFonts w:hint="cs"/>
          <w:rtl/>
        </w:rPr>
        <w:t>ם בהלכות יסודי התורה ד' ז':</w:t>
      </w:r>
    </w:p>
    <w:p w14:paraId="63D797F9" w14:textId="02F7665B" w:rsidR="00161C10" w:rsidRDefault="00F055C8" w:rsidP="00EA28DB">
      <w:pPr>
        <w:pStyle w:val="FootnoteText"/>
        <w:rPr>
          <w:rtl/>
        </w:rPr>
      </w:pPr>
      <w:r>
        <w:rPr>
          <w:rtl/>
        </w:rPr>
        <w:t>"</w:t>
      </w:r>
      <w:r w:rsidR="00161C10" w:rsidRPr="00161C10">
        <w:rPr>
          <w:rtl/>
        </w:rPr>
        <w:t xml:space="preserve">לְעוֹלָם אֵין אַתָּה רוֹאֶה גֹּלֶם בְּלֹא צוּרָה אוֹ צוּרָה בְּלֹא גֹּלֶם, אֶלָּא לֵב הָאָדָם הוּא שֶׁמְּחַלֵּק הַגּוּף הַנִּמְצָא בְּדַעְתּוֹ, וְיוֹדֵעַ שֶׁהוּא מְחֻבָּר מִגֹּלֶם וְצוּרָה, וְיוֹדֵעַ שֶׁיֵּשׁ שָׁם גּוּפִים שֶׁגָּלְמָן מְחֻבָּר מֵאַרְבַּע יְסוֹדוֹת, וְגוּפִים שֶׁגָּלְמָן פָּשׁוּט וְאֵינוֹ מְחֻבָּר מִגֹּלֶם אַחֵר. </w:t>
      </w:r>
      <w:r w:rsidR="00161C10" w:rsidRPr="00161C10">
        <w:rPr>
          <w:b/>
          <w:bCs/>
          <w:rtl/>
        </w:rPr>
        <w:t>וְהַצּוּרוֹת שֶׁאֵין לָהֶן גֹּלֶם אֵינָן נִרְאִין לָעַיִן, אֶלָּא בְּעֵין הַלֵּב הֵן יְדוּעִין, כְּמוֹ שֶׁיָּדַעְנוּ אֲדוֹן הַכֹּל בְּלֹא רְאִיַּת עַיִן.</w:t>
      </w:r>
      <w:r>
        <w:rPr>
          <w:rtl/>
        </w:rPr>
        <w:t>"</w:t>
      </w:r>
    </w:p>
    <w:p w14:paraId="56E8C63F" w14:textId="77777777" w:rsidR="00EA28DB" w:rsidRDefault="00EA28DB" w:rsidP="00EA28DB">
      <w:pPr>
        <w:pStyle w:val="FootnoteText"/>
        <w:rPr>
          <w:rtl/>
        </w:rPr>
      </w:pPr>
    </w:p>
    <w:p w14:paraId="62023160" w14:textId="59CAE6FA" w:rsidR="00161C10" w:rsidRDefault="00161C10" w:rsidP="00EA28DB">
      <w:pPr>
        <w:pStyle w:val="FootnoteText"/>
        <w:rPr>
          <w:rtl/>
        </w:rPr>
      </w:pPr>
      <w:r>
        <w:rPr>
          <w:rFonts w:hint="cs"/>
          <w:rtl/>
        </w:rPr>
        <w:t>הכח המניע להתאחדות החומר והצורה, הוא מה שהאלוה הוא אחד, ושתי ההתגלויות, (כ'יש' מוגדר וכ'העדר' מוגדר), הן התגלויות של אותו הדבר עצמו, וכל אחת בפני עצמה היא שקר, ורק באחדותן הן אמת. הסתירה מפרידה ביניהן, ודורשת לחיות בלי לבטל זו מפני זו, אבל לא יכולה להשיג אותן כאחד. רק מי שזכה להשיג סוד מעשה מרכבה</w:t>
      </w:r>
      <w:r w:rsidR="00D13CEC">
        <w:rPr>
          <w:rtl/>
        </w:rPr>
        <w:fldChar w:fldCharType="begin"/>
      </w:r>
      <w:r w:rsidR="00D13CEC">
        <w:instrText xml:space="preserve"> XE "</w:instrText>
      </w:r>
      <w:r w:rsidR="00D13CEC" w:rsidRPr="003B6A52">
        <w:rPr>
          <w:rFonts w:hint="cs"/>
          <w:rtl/>
        </w:rPr>
        <w:instrText>מעשה מרכבה</w:instrText>
      </w:r>
      <w:r w:rsidR="00D13CEC">
        <w:instrText xml:space="preserve">" </w:instrText>
      </w:r>
      <w:r w:rsidR="00D13CEC">
        <w:rPr>
          <w:rtl/>
        </w:rPr>
        <w:fldChar w:fldCharType="end"/>
      </w:r>
      <w:r>
        <w:rPr>
          <w:rFonts w:hint="cs"/>
          <w:rtl/>
        </w:rPr>
        <w:t xml:space="preserve">, בודדים בכל התקופות, זוכה להשגת האחדות ולגילוי האלוהות. </w:t>
      </w:r>
    </w:p>
    <w:p w14:paraId="52AD606D" w14:textId="09B2627F" w:rsidR="00161C10" w:rsidRDefault="00161C10" w:rsidP="00EA28DB">
      <w:pPr>
        <w:pStyle w:val="FootnoteText"/>
        <w:rPr>
          <w:rtl/>
        </w:rPr>
      </w:pPr>
      <w:r>
        <w:rPr>
          <w:rFonts w:hint="cs"/>
          <w:rtl/>
        </w:rPr>
        <w:t xml:space="preserve">המהלך של התאחדות החומר והצורה הוא זיווג. בזיווג החשק להתאחד נובע משני הצדדים. </w:t>
      </w:r>
    </w:p>
    <w:p w14:paraId="1B796653" w14:textId="77777777" w:rsidR="007D107F" w:rsidRDefault="007D107F" w:rsidP="00EA28DB">
      <w:pPr>
        <w:pStyle w:val="FootnoteText"/>
        <w:rPr>
          <w:rtl/>
        </w:rPr>
      </w:pPr>
    </w:p>
    <w:p w14:paraId="57B71F0F" w14:textId="1117CAE8" w:rsidR="00161C10" w:rsidRDefault="00161C10" w:rsidP="00EA28DB">
      <w:pPr>
        <w:pStyle w:val="FootnoteText"/>
        <w:rPr>
          <w:rtl/>
        </w:rPr>
      </w:pPr>
      <w:r>
        <w:rPr>
          <w:rFonts w:hint="cs"/>
          <w:rtl/>
        </w:rPr>
        <w:t xml:space="preserve">אלה שני הצדדים שכותב כאן אבן סינא. </w:t>
      </w:r>
    </w:p>
    <w:p w14:paraId="1D78452B" w14:textId="6F689FEF" w:rsidR="00B439A4" w:rsidRDefault="00B439A4" w:rsidP="00EA28DB">
      <w:pPr>
        <w:pStyle w:val="FootnoteText"/>
        <w:rPr>
          <w:rtl/>
        </w:rPr>
      </w:pPr>
      <w:r>
        <w:rPr>
          <w:rFonts w:hint="cs"/>
          <w:rtl/>
        </w:rPr>
        <w:t xml:space="preserve">הצד הראשון, אומר שהסיבה שהחומר מקבל צורות, היא מחמת טבעו של החומר עצמו. </w:t>
      </w:r>
      <w:r w:rsidR="00161C10">
        <w:rPr>
          <w:rFonts w:hint="cs"/>
          <w:rtl/>
        </w:rPr>
        <w:t>זו התשוקה לזיווג מצד הנקבה</w:t>
      </w:r>
      <w:r w:rsidR="00573FD5">
        <w:rPr>
          <w:rFonts w:hint="cs"/>
          <w:rtl/>
        </w:rPr>
        <w:t xml:space="preserve"> (כלומר החומר, ההעדר, הכלי, המצע שעליו הצורות מצטיירות. וכמו שכתב במורה נבוכים א' י</w:t>
      </w:r>
      <w:r w:rsidR="00F055C8">
        <w:rPr>
          <w:rtl/>
        </w:rPr>
        <w:t>"</w:t>
      </w:r>
      <w:r w:rsidR="00573FD5">
        <w:rPr>
          <w:rFonts w:hint="cs"/>
          <w:rtl/>
        </w:rPr>
        <w:t>ז</w:t>
      </w:r>
      <w:r w:rsidR="00DE2986">
        <w:rPr>
          <w:rFonts w:hint="cs"/>
          <w:rtl/>
        </w:rPr>
        <w:t xml:space="preserve"> עיין שם</w:t>
      </w:r>
      <w:r w:rsidR="00573FD5">
        <w:rPr>
          <w:rFonts w:hint="cs"/>
          <w:rtl/>
        </w:rPr>
        <w:t>)</w:t>
      </w:r>
      <w:r w:rsidR="00161C10">
        <w:rPr>
          <w:rFonts w:hint="cs"/>
          <w:rtl/>
        </w:rPr>
        <w:t xml:space="preserve">. </w:t>
      </w:r>
    </w:p>
    <w:p w14:paraId="13BB4F8C" w14:textId="701A711A" w:rsidR="00D2072B" w:rsidRDefault="008C5B6C" w:rsidP="008C5B6C">
      <w:pPr>
        <w:pStyle w:val="FootnoteText"/>
        <w:rPr>
          <w:rtl/>
        </w:rPr>
      </w:pPr>
      <w:r>
        <w:rPr>
          <w:rFonts w:hint="cs"/>
          <w:rtl/>
        </w:rPr>
        <w:t xml:space="preserve">המין הראשוני הוא צורות ארבעת היסודות. ארבעת היסודות אינם צורות שמקובעות בחומר ויוצרות עצם. לכן הן עדיין לא חלק מהטבע אלא שלב בסדר </w:t>
      </w:r>
      <w:r w:rsidR="009C463A">
        <w:rPr>
          <w:rFonts w:hint="cs"/>
          <w:rtl/>
        </w:rPr>
        <w:t>ההוויה</w:t>
      </w:r>
      <w:r>
        <w:rPr>
          <w:rFonts w:hint="cs"/>
          <w:rtl/>
        </w:rPr>
        <w:t xml:space="preserve"> שלפני הטבע. הצורות מתקבעות בחומר ליצור עצמים רק בחומר שהוא תרכובת של כל ארבעת היסודות (בהרכבה מזגיית, שאין מה מהטבע של כל מרכיב בפני עצמו, ואי אפשר ככל שנפרק אותה לראות את מרכיביה. וכגון מה שחמצן ומימן מתרכבים להיות מים). ארבעת היסודות הם רק ארבע תנועות בחומר הראשון. זה כמו הגל שאינו עצם אלא רק תנועה של המים. זה גם נמשל לבבואה בראי שאינה יוצרת עצם המורכב מזכוכית הראי ומהצורה שמשתקפת בראי, אלא הבבואה היא רק תנועה של האור שמשתקף בראי. עיין בזה בטימיאוס מאת אפלטון בעמודים </w:t>
      </w:r>
      <w:r w:rsidR="00E95839">
        <w:rPr>
          <w:rFonts w:hint="cs"/>
          <w:rtl/>
        </w:rPr>
        <w:t>49-52 שביאר עניין זה באריכות ועמקות, ו</w:t>
      </w:r>
      <w:r>
        <w:rPr>
          <w:rFonts w:hint="cs"/>
          <w:rtl/>
        </w:rPr>
        <w:t xml:space="preserve">עיין ביאור רחב בזה בעיונים בפילוסופיה אריסטוטלית, במאמר שבתוך </w:t>
      </w:r>
      <w:hyperlink r:id="rId30" w:history="1">
        <w:r w:rsidRPr="00C56ED1">
          <w:rPr>
            <w:rStyle w:val="Hyperlink"/>
            <w:rFonts w:hint="cs"/>
            <w:rtl/>
          </w:rPr>
          <w:t>רשימה 35</w:t>
        </w:r>
      </w:hyperlink>
      <w:r>
        <w:rPr>
          <w:rFonts w:hint="cs"/>
          <w:rtl/>
        </w:rPr>
        <w:t xml:space="preserve">, הנקרא </w:t>
      </w:r>
      <w:r w:rsidR="00F055C8">
        <w:rPr>
          <w:rtl/>
        </w:rPr>
        <w:t>"</w:t>
      </w:r>
      <w:r>
        <w:rPr>
          <w:rFonts w:hint="cs"/>
          <w:rtl/>
        </w:rPr>
        <w:t xml:space="preserve">התנועה יסוד </w:t>
      </w:r>
      <w:r w:rsidR="009C463A">
        <w:rPr>
          <w:rFonts w:hint="cs"/>
          <w:rtl/>
        </w:rPr>
        <w:t>ההוויה</w:t>
      </w:r>
      <w:r w:rsidR="00F055C8">
        <w:rPr>
          <w:rtl/>
        </w:rPr>
        <w:t>"</w:t>
      </w:r>
      <w:r>
        <w:rPr>
          <w:rFonts w:hint="cs"/>
          <w:rtl/>
        </w:rPr>
        <w:t>.</w:t>
      </w:r>
    </w:p>
    <w:p w14:paraId="6007D631" w14:textId="49997185" w:rsidR="008C5B6C" w:rsidRDefault="00D2072B" w:rsidP="008C5B6C">
      <w:pPr>
        <w:pStyle w:val="FootnoteText"/>
        <w:rPr>
          <w:rtl/>
        </w:rPr>
      </w:pPr>
      <w:r>
        <w:rPr>
          <w:rFonts w:hint="cs"/>
          <w:rtl/>
        </w:rPr>
        <w:t>כאמור ארבעת היסודות הם רק תנועות בחומר הראשון ולא עצמים שיש בהם צורה מורכבת בחומר, כמו שהגלים הם רק תנועות במים ולא עצם, כך יש ארבע תנועות שונות שהן ארבעת היסודות (הם אותו עניין של שם הוי</w:t>
      </w:r>
      <w:r w:rsidR="00F055C8">
        <w:rPr>
          <w:rtl/>
        </w:rPr>
        <w:t>"</w:t>
      </w:r>
      <w:r>
        <w:rPr>
          <w:rFonts w:hint="cs"/>
          <w:rtl/>
        </w:rPr>
        <w:t xml:space="preserve">ה בן ארבע אותיות, כי הם ראשית גילוי </w:t>
      </w:r>
      <w:r w:rsidR="009C463A">
        <w:rPr>
          <w:rFonts w:hint="cs"/>
          <w:rtl/>
        </w:rPr>
        <w:t>ההוויה</w:t>
      </w:r>
      <w:r w:rsidR="004E1AB4">
        <w:rPr>
          <w:rFonts w:hint="cs"/>
          <w:rtl/>
        </w:rPr>
        <w:t>, וכבר ביארו בספרים איך כל אות משם הוי</w:t>
      </w:r>
      <w:r w:rsidR="00F055C8">
        <w:rPr>
          <w:rtl/>
        </w:rPr>
        <w:t>"</w:t>
      </w:r>
      <w:r w:rsidR="004E1AB4">
        <w:rPr>
          <w:rFonts w:hint="cs"/>
          <w:rtl/>
        </w:rPr>
        <w:t>ה היא מעניין אחד מהיסודות</w:t>
      </w:r>
      <w:r>
        <w:rPr>
          <w:rFonts w:hint="cs"/>
          <w:rtl/>
        </w:rPr>
        <w:t>). התנועה</w:t>
      </w:r>
      <w:r w:rsidR="004E1AB4">
        <w:rPr>
          <w:rFonts w:hint="cs"/>
          <w:rtl/>
        </w:rPr>
        <w:t xml:space="preserve"> הזו</w:t>
      </w:r>
      <w:r>
        <w:rPr>
          <w:rFonts w:hint="cs"/>
          <w:rtl/>
        </w:rPr>
        <w:t xml:space="preserve"> באה מהחומר הראשון</w:t>
      </w:r>
      <w:r w:rsidR="00E73C62">
        <w:rPr>
          <w:rtl/>
        </w:rPr>
        <w:fldChar w:fldCharType="begin"/>
      </w:r>
      <w:r w:rsidR="00E73C62">
        <w:instrText xml:space="preserve"> XE "</w:instrText>
      </w:r>
      <w:r w:rsidR="00E73C62" w:rsidRPr="002E09F5">
        <w:rPr>
          <w:rFonts w:hint="cs"/>
          <w:rtl/>
        </w:rPr>
        <w:instrText>החומר הראשון</w:instrText>
      </w:r>
      <w:r w:rsidR="00E73C62">
        <w:instrText xml:space="preserve">" </w:instrText>
      </w:r>
      <w:r w:rsidR="00E73C62">
        <w:rPr>
          <w:rtl/>
        </w:rPr>
        <w:fldChar w:fldCharType="end"/>
      </w:r>
      <w:r>
        <w:rPr>
          <w:rFonts w:hint="cs"/>
          <w:rtl/>
        </w:rPr>
        <w:t xml:space="preserve"> עצמו, </w:t>
      </w:r>
      <w:r w:rsidR="004E1AB4">
        <w:rPr>
          <w:rFonts w:hint="cs"/>
          <w:rtl/>
        </w:rPr>
        <w:t>מתשוקתו להתממש למציאות, כלומר להזדווג, להתאחד, עם צד ה'יש' של הגילוי האלוהי</w:t>
      </w:r>
      <w:r w:rsidR="008F0CBE">
        <w:rPr>
          <w:rFonts w:hint="cs"/>
          <w:rtl/>
        </w:rPr>
        <w:t xml:space="preserve"> </w:t>
      </w:r>
      <w:r w:rsidR="008F0CBE" w:rsidRPr="008F0CBE">
        <w:rPr>
          <w:rtl/>
        </w:rPr>
        <w:t>(כמו שתנועת הקפת הגלגל באה מהכיסו</w:t>
      </w:r>
      <w:r w:rsidR="008F0CBE">
        <w:rPr>
          <w:rFonts w:hint="cs"/>
          <w:rtl/>
        </w:rPr>
        <w:t>פ</w:t>
      </w:r>
      <w:r w:rsidR="008F0CBE" w:rsidRPr="008F0CBE">
        <w:rPr>
          <w:rtl/>
        </w:rPr>
        <w:t>ים להתאחד. במקום אחר הארכתי למה הכיסופים מביאים לידי תנועה)</w:t>
      </w:r>
      <w:r w:rsidR="004E1AB4">
        <w:rPr>
          <w:rFonts w:hint="cs"/>
          <w:rtl/>
        </w:rPr>
        <w:t xml:space="preserve">. </w:t>
      </w:r>
    </w:p>
    <w:p w14:paraId="1662A6B0" w14:textId="5958E41E" w:rsidR="00CE1874" w:rsidRDefault="004E1AB4" w:rsidP="008C5B6C">
      <w:pPr>
        <w:pStyle w:val="FootnoteText"/>
        <w:rPr>
          <w:rtl/>
        </w:rPr>
      </w:pPr>
      <w:r>
        <w:rPr>
          <w:rFonts w:hint="cs"/>
          <w:rtl/>
        </w:rPr>
        <w:t xml:space="preserve">ארבעת היסודות אינן חלק מהטבע כשהם טהורים, כל אחד בפני עצמו, כי אין בהם ציור של צורה מסויימת המגלה משהו על הבורא, מלבד המציאות כשלעצמה. אין כאן ציור של ילד בשם </w:t>
      </w:r>
      <w:r w:rsidR="00F055C8">
        <w:rPr>
          <w:rtl/>
        </w:rPr>
        <w:t>"</w:t>
      </w:r>
      <w:r>
        <w:rPr>
          <w:rFonts w:hint="cs"/>
          <w:rtl/>
        </w:rPr>
        <w:t>אורי</w:t>
      </w:r>
      <w:r w:rsidR="00F055C8">
        <w:rPr>
          <w:rtl/>
        </w:rPr>
        <w:t>"</w:t>
      </w:r>
      <w:r>
        <w:rPr>
          <w:rFonts w:hint="cs"/>
          <w:rtl/>
        </w:rPr>
        <w:t xml:space="preserve"> שהמשוררת מציירת אותו מתוך ההעדר שלו, יש כאן רק העדר אחד כולל כל, בלי הגדרות, והוא נכסף אל היש האחד חסר ההגדרות. </w:t>
      </w:r>
    </w:p>
    <w:p w14:paraId="3CF2DE78" w14:textId="6A232F1D" w:rsidR="004E1AB4" w:rsidRDefault="004E1AB4" w:rsidP="008C5B6C">
      <w:pPr>
        <w:pStyle w:val="FootnoteText"/>
        <w:rPr>
          <w:rtl/>
        </w:rPr>
      </w:pPr>
      <w:r>
        <w:rPr>
          <w:rFonts w:hint="cs"/>
          <w:rtl/>
        </w:rPr>
        <w:t>זה מה שכתב במורה נבוכים א' ע</w:t>
      </w:r>
      <w:r w:rsidR="00F055C8">
        <w:rPr>
          <w:rtl/>
        </w:rPr>
        <w:t>"</w:t>
      </w:r>
      <w:r>
        <w:rPr>
          <w:rFonts w:hint="cs"/>
          <w:rtl/>
        </w:rPr>
        <w:t>ב:</w:t>
      </w:r>
    </w:p>
    <w:p w14:paraId="081D05EF" w14:textId="4517BA29" w:rsidR="00CE1874" w:rsidRDefault="00F055C8" w:rsidP="008C5B6C">
      <w:pPr>
        <w:pStyle w:val="FootnoteText"/>
        <w:rPr>
          <w:rtl/>
        </w:rPr>
      </w:pPr>
      <w:r>
        <w:rPr>
          <w:rtl/>
        </w:rPr>
        <w:t>"</w:t>
      </w:r>
      <w:r w:rsidR="00CE1874" w:rsidRPr="00CE1874">
        <w:rPr>
          <w:rtl/>
        </w:rPr>
        <w:t xml:space="preserve">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w:t>
      </w:r>
      <w:r w:rsidR="00001963">
        <w:rPr>
          <w:rtl/>
        </w:rPr>
        <w:t>-</w:t>
      </w:r>
      <w:r w:rsidR="00CE1874" w:rsidRPr="00CE1874">
        <w:rPr>
          <w:rtl/>
        </w:rPr>
        <w:t xml:space="preserve"> כן אי אפשר שימצאו חלקי העולם קצתם מבלתי קצתם בזה המציאות המיושב אשר דברינו בו, עד שימצא אש מבלתי ארץ, או ארץ מבלתי שמים, או שמים מבלתי ארץ. וכמו שבאדם כח אחד יקשור אבריו קצתם בקצתם וינהיגם, ויתן לכל אבר מה שצריך שישמור עליו תקונו וידחה ממנו מה שיזיקהו; והוא אשר בארו אותו הרופאים ואמרו: הכח המנהיג גוף החי, והרבה פעמים יקראוהו טבע </w:t>
      </w:r>
      <w:r w:rsidR="00001963">
        <w:rPr>
          <w:rtl/>
        </w:rPr>
        <w:t>-</w:t>
      </w:r>
      <w:r w:rsidR="00CE1874" w:rsidRPr="00CE1874">
        <w:rPr>
          <w:rtl/>
        </w:rPr>
        <w:t xml:space="preserve"> כן בעולם בכללו כח יקשור קצתו בקצתו, וישמור מיניו שלא יאבדו, וישמור אישי מיניו גם כן מדת מה שאפשר לשמרם, וישמור גם כן קצת אישי העולם. זה הכח יש בו עיון, אם הוא במיצוע הגלגל אם לא.</w:t>
      </w:r>
      <w:r>
        <w:rPr>
          <w:rtl/>
        </w:rPr>
        <w:t>"</w:t>
      </w:r>
    </w:p>
    <w:p w14:paraId="27E492D9" w14:textId="77777777" w:rsidR="00A2661E" w:rsidRDefault="00A2661E" w:rsidP="008C5B6C">
      <w:pPr>
        <w:pStyle w:val="FootnoteText"/>
        <w:rPr>
          <w:rtl/>
        </w:rPr>
      </w:pPr>
    </w:p>
    <w:p w14:paraId="291CFBA8" w14:textId="527460BF" w:rsidR="00A2661E" w:rsidRDefault="00A2661E" w:rsidP="008C5B6C">
      <w:pPr>
        <w:pStyle w:val="FootnoteText"/>
        <w:rPr>
          <w:rtl/>
        </w:rPr>
      </w:pPr>
      <w:r>
        <w:rPr>
          <w:rFonts w:hint="cs"/>
          <w:rtl/>
        </w:rPr>
        <w:t xml:space="preserve">ביאור מה שכתב המורה נבוכים </w:t>
      </w:r>
      <w:r w:rsidR="00F055C8">
        <w:rPr>
          <w:rtl/>
        </w:rPr>
        <w:t>"</w:t>
      </w:r>
      <w:r>
        <w:rPr>
          <w:rFonts w:hint="cs"/>
          <w:rtl/>
        </w:rPr>
        <w:t>יש בו עיון אם הוא במיצוע הגלגל</w:t>
      </w:r>
      <w:r w:rsidR="00F055C8">
        <w:rPr>
          <w:rtl/>
        </w:rPr>
        <w:t>"</w:t>
      </w:r>
      <w:r>
        <w:rPr>
          <w:rFonts w:hint="cs"/>
          <w:rtl/>
        </w:rPr>
        <w:t>:</w:t>
      </w:r>
    </w:p>
    <w:p w14:paraId="26EF92E0" w14:textId="6AB4C839" w:rsidR="00CE1874" w:rsidRDefault="00CE1874" w:rsidP="008C5B6C">
      <w:pPr>
        <w:pStyle w:val="FootnoteText"/>
        <w:rPr>
          <w:rtl/>
        </w:rPr>
      </w:pPr>
      <w:r>
        <w:rPr>
          <w:rFonts w:hint="cs"/>
          <w:rtl/>
        </w:rPr>
        <w:t>כל גלגל מביט בשכל הנפרד שבמדרגתו. הגלגל הקיצון מביט בבורא עצמו, מה שקורא לו האר</w:t>
      </w:r>
      <w:r w:rsidR="00F055C8">
        <w:rPr>
          <w:rtl/>
        </w:rPr>
        <w:t>"</w:t>
      </w:r>
      <w:r>
        <w:rPr>
          <w:rFonts w:hint="cs"/>
          <w:rtl/>
        </w:rPr>
        <w:t xml:space="preserve">י אור אין סוף. הגלגל הקיצון הוא החומר הראשון. </w:t>
      </w:r>
    </w:p>
    <w:p w14:paraId="699102D8" w14:textId="16E7E211" w:rsidR="00161C10" w:rsidRDefault="00CE1874" w:rsidP="00CE1874">
      <w:pPr>
        <w:pStyle w:val="FootnoteText"/>
        <w:rPr>
          <w:rtl/>
        </w:rPr>
      </w:pPr>
      <w:r>
        <w:rPr>
          <w:rFonts w:hint="cs"/>
          <w:rtl/>
        </w:rPr>
        <w:t>השכל הנפרד האחרון בסדר השכלים הנפרדים, הוא השכל הפועל, דהיינו ספירת מלכות</w:t>
      </w:r>
      <w:r w:rsidR="004D7F79">
        <w:rPr>
          <w:rtl/>
        </w:rPr>
        <w:fldChar w:fldCharType="begin"/>
      </w:r>
      <w:r w:rsidR="004D7F79">
        <w:instrText xml:space="preserve"> XE "</w:instrText>
      </w:r>
      <w:r w:rsidR="004D7F79" w:rsidRPr="005A213D">
        <w:rPr>
          <w:rFonts w:hint="cs"/>
          <w:rtl/>
        </w:rPr>
        <w:instrText>ספירת מלכות</w:instrText>
      </w:r>
      <w:r w:rsidR="004D7F79">
        <w:instrText xml:space="preserve">" </w:instrText>
      </w:r>
      <w:r w:rsidR="004D7F79">
        <w:rPr>
          <w:rtl/>
        </w:rPr>
        <w:fldChar w:fldCharType="end"/>
      </w:r>
      <w:r>
        <w:rPr>
          <w:rFonts w:hint="cs"/>
          <w:rtl/>
        </w:rPr>
        <w:t xml:space="preserve"> (כמו שכתב הרמ</w:t>
      </w:r>
      <w:r w:rsidR="00F055C8">
        <w:rPr>
          <w:rtl/>
        </w:rPr>
        <w:t>"</w:t>
      </w:r>
      <w:r>
        <w:rPr>
          <w:rFonts w:hint="cs"/>
          <w:rtl/>
        </w:rPr>
        <w:t>ק בפרדס רימונים). כל השכלים הנפרדים הם אחד, כולם הם קו האור אין סוף שנכנס לעיגול הריק של הצמצום ומציירים בו צורות שמגלות את אור האין סוף. הצורה הראשונה היא כדור (מה שנקרא גם עיגול או גלגל) שמכיל הכל ומבחינתו הכל הוא אחד ואין שכלים נפרדים אחרים תחתיו ואין פרטי צורות מלבד צורת הכדור השלמה. האחד ברא אחד</w:t>
      </w:r>
      <w:r w:rsidR="00E04444">
        <w:rPr>
          <w:rtl/>
        </w:rPr>
        <w:fldChar w:fldCharType="begin"/>
      </w:r>
      <w:r w:rsidR="00E04444">
        <w:instrText xml:space="preserve"> XE "</w:instrText>
      </w:r>
      <w:r w:rsidR="00E04444" w:rsidRPr="000777B9">
        <w:rPr>
          <w:rFonts w:hint="cs"/>
          <w:rtl/>
        </w:rPr>
        <w:instrText>האחד ברא אחד</w:instrText>
      </w:r>
      <w:r w:rsidR="00E04444">
        <w:instrText xml:space="preserve">" </w:instrText>
      </w:r>
      <w:r w:rsidR="00E04444">
        <w:rPr>
          <w:rtl/>
        </w:rPr>
        <w:fldChar w:fldCharType="end"/>
      </w:r>
      <w:r>
        <w:rPr>
          <w:rFonts w:hint="cs"/>
          <w:rtl/>
        </w:rPr>
        <w:t xml:space="preserve">. </w:t>
      </w:r>
      <w:r w:rsidR="00A2661E">
        <w:rPr>
          <w:rFonts w:hint="cs"/>
          <w:rtl/>
        </w:rPr>
        <w:t xml:space="preserve">האחד הנברא, עיגול הצמצום, שונה מהאין סוף עצמו בכך שיש בו בכח (פוטנציאל) לציור צורות. </w:t>
      </w:r>
    </w:p>
    <w:p w14:paraId="4B324AAB" w14:textId="77777777" w:rsidR="006E04E7" w:rsidRDefault="00A2661E" w:rsidP="00CE1874">
      <w:pPr>
        <w:pStyle w:val="FootnoteText"/>
        <w:rPr>
          <w:rtl/>
        </w:rPr>
      </w:pPr>
      <w:r>
        <w:rPr>
          <w:rFonts w:hint="cs"/>
          <w:rtl/>
        </w:rPr>
        <w:t xml:space="preserve">העיגול הריק של הצמצום הוא 'עיגול', כלומר מוגבל בגבול שקובע שהוא מעגלי (כלומר כדורי, שהרי חלה בו צורת התלת ממדיות שקובעת שהנמצא כולו תלת ממדי). אין מאומה מהצד השני של הגבול הזה, כלומר הוא לא משהו שגובל בין שני צדדים, אלא המושג המופשט של גבול, גבול בפני עצמו. גבול מופשט לא מצייר שום צורה, למרות שכל גבול שגובל את שני צדדיו מצייר צורה כלשהי. אבל הגבול המופשט מאפשר שיתהווה גבול שמצייר צורות. כלומר ההעדר אפשר שיצטייר בו צורת מה שנעדר. כמו שהעקרה ציירה ילד. מה שאינו העדר ואין בו הגדרות אין בו אפשרות שיצטיירו בו צורות, זה אור האין סוף. מה שהוא העדר, הוא העדר של משהו שנעדר, והמשהו הזה יכול להצטייר בו, ציור הוא על ידי גבולות. כלומר ההעדר הוא עצמו מושג הגבול המופשט, כי הוא מאפשר הצטיירות של צורות שזה על ידי הגבול שתוחם אותן. </w:t>
      </w:r>
      <w:r w:rsidR="006E04E7">
        <w:rPr>
          <w:rFonts w:hint="cs"/>
          <w:rtl/>
        </w:rPr>
        <w:t>לכן צד האלוהות שהוא ההעדר יש לו גבול מעגלי, שלא כמו צד האין סוף.</w:t>
      </w:r>
    </w:p>
    <w:p w14:paraId="5DF0389D" w14:textId="77777777" w:rsidR="006E04E7" w:rsidRDefault="006E04E7" w:rsidP="00CE1874">
      <w:pPr>
        <w:pStyle w:val="FootnoteText"/>
        <w:rPr>
          <w:rtl/>
        </w:rPr>
      </w:pPr>
      <w:r>
        <w:rPr>
          <w:rFonts w:hint="cs"/>
          <w:rtl/>
        </w:rPr>
        <w:t>המעגל הזה לא מבטל את מה שהאלוה אין סופי, גם בצד ההעדר. רק שזה אין סוף שלא מבטל את האפשרות שיוגבל בו גבול, שהוא יהיה חומר ומצע להצטיירות צורות שנחתכות על ידי גבולות. אין סוף כזה הוא באופן שהוא 'הכל' או 'השלם', כלומר הכל נמצא בתוך המעגל. אם יש משהו הוא בתוך המעגל, כי המעגל הוא המציאות כולה בלי שום יוצא מהכלל, בלי סוף. יש גבול שהוא המעגל, וזה לכאורה סתירה לאין סוף, גבול הוא סוף. אבל האין סוף מתקיים בתוך הגבול, על ידי שהגבול כולל הכל והוא שלם. רק אין סוף יכול להיות שלם באופן מוחלט. מה שיש לו סוף, הוא חסר את מה שמחוץ לסוף שלו.</w:t>
      </w:r>
    </w:p>
    <w:p w14:paraId="1DC1E159" w14:textId="634973F0" w:rsidR="006E04E7" w:rsidRDefault="006E04E7" w:rsidP="00CE1874">
      <w:pPr>
        <w:pStyle w:val="FootnoteText"/>
        <w:rPr>
          <w:rtl/>
        </w:rPr>
      </w:pPr>
      <w:r>
        <w:rPr>
          <w:rFonts w:hint="cs"/>
          <w:rtl/>
        </w:rPr>
        <w:t xml:space="preserve">זה מבואר בפיזיקה של אריסטו פרק ג' פרק ו', ועיין שם מפרק ד' על האין סוף בכח, הוא אופן מציאות האין סוף בתוך הגבול (למשל מה שגוף מוגבל יכול להתחלק עד אין סוף ממש (לא רק </w:t>
      </w:r>
      <w:r w:rsidR="00F055C8">
        <w:rPr>
          <w:rtl/>
        </w:rPr>
        <w:t>"</w:t>
      </w:r>
      <w:r>
        <w:rPr>
          <w:rFonts w:hint="cs"/>
          <w:rtl/>
        </w:rPr>
        <w:t>שואף לאין סוף</w:t>
      </w:r>
      <w:r w:rsidR="00F055C8">
        <w:rPr>
          <w:rtl/>
        </w:rPr>
        <w:t>"</w:t>
      </w:r>
      <w:r>
        <w:rPr>
          <w:rFonts w:hint="cs"/>
          <w:rtl/>
        </w:rPr>
        <w:t>, ועוד)</w:t>
      </w:r>
    </w:p>
    <w:p w14:paraId="1B54E88B" w14:textId="71930417" w:rsidR="00171354" w:rsidRDefault="00171354" w:rsidP="00CE1874">
      <w:pPr>
        <w:pStyle w:val="FootnoteText"/>
        <w:rPr>
          <w:rtl/>
        </w:rPr>
      </w:pPr>
      <w:r>
        <w:rPr>
          <w:rFonts w:hint="cs"/>
          <w:rtl/>
        </w:rPr>
        <w:t xml:space="preserve">אור אין סוף מצטייר בחומר בצורות ארבעת היסודות כהווייה פשוטה, מציאות כשלעצמה, אין באמת הבדל בין ארבעת היסודות, הם לא ארבע עצמים, כמו שכתב בטימיאוס שם. לכן שם הווייה כתב עליו במורה נבוכים שהוא הכרחי המציאות, כלומר המציאות כשלעצמה, מופשטת, לפני שיש משהו מוגדר שהוא זה שנמצא.   </w:t>
      </w:r>
    </w:p>
    <w:p w14:paraId="444722E7" w14:textId="16C865D3" w:rsidR="00A2661E" w:rsidRDefault="00A2661E" w:rsidP="00CE1874">
      <w:pPr>
        <w:pStyle w:val="FootnoteText"/>
        <w:rPr>
          <w:rtl/>
        </w:rPr>
      </w:pPr>
    </w:p>
    <w:p w14:paraId="20F715CA" w14:textId="3010D361" w:rsidR="006E04E7" w:rsidRDefault="006E04E7" w:rsidP="00CE1874">
      <w:pPr>
        <w:pStyle w:val="FootnoteText"/>
        <w:rPr>
          <w:rtl/>
        </w:rPr>
      </w:pPr>
      <w:r>
        <w:rPr>
          <w:rFonts w:hint="cs"/>
          <w:rtl/>
        </w:rPr>
        <w:t xml:space="preserve">ההעדר לא יכול להתקיים בפני עצמו, כהעדר, כי האלוה הוא אחד, ולא יתכן שיהיו לו שני גילויים נפרדים, האחד כ'יש' והשני כהעדר. </w:t>
      </w:r>
    </w:p>
    <w:p w14:paraId="17910138" w14:textId="77777777" w:rsidR="00171354" w:rsidRDefault="00171354" w:rsidP="00CE1874">
      <w:pPr>
        <w:pStyle w:val="FootnoteText"/>
        <w:rPr>
          <w:rtl/>
        </w:rPr>
      </w:pPr>
      <w:r>
        <w:rPr>
          <w:rFonts w:hint="cs"/>
          <w:rtl/>
        </w:rPr>
        <w:t>לכן נובעת ממנו תנועה של להיות נמצא, באופן מופשט, מציאות כשלעצמה, בלי משהו מוגדר שנמצא, והתנועה ההיא היא ארבעת היסודות.</w:t>
      </w:r>
    </w:p>
    <w:p w14:paraId="384FB1A0" w14:textId="37ACA758" w:rsidR="00171354" w:rsidRDefault="00171354" w:rsidP="00CE1874">
      <w:pPr>
        <w:pStyle w:val="FootnoteText"/>
        <w:rPr>
          <w:rtl/>
        </w:rPr>
      </w:pPr>
      <w:r>
        <w:rPr>
          <w:rFonts w:hint="cs"/>
          <w:rtl/>
        </w:rPr>
        <w:t>על השכל הפועל, שהוא אחד מעשרת השכלים הנפרדים שכולם עניינם אחד, ציור הצורה של מה שנעדר, של ה'יש', כשהיא הולכת ומתפרטת, כמו שמבואר בספר בראשית פרק א', כתב המורה נבוכים (ב' ד'</w:t>
      </w:r>
      <w:r w:rsidR="0098775D">
        <w:rPr>
          <w:rtl/>
        </w:rPr>
        <w:fldChar w:fldCharType="begin"/>
      </w:r>
      <w:r w:rsidR="0098775D">
        <w:instrText xml:space="preserve"> XE "</w:instrText>
      </w:r>
      <w:r w:rsidR="0098775D" w:rsidRPr="00CA0005">
        <w:rPr>
          <w:rFonts w:hint="cs"/>
          <w:rtl/>
        </w:rPr>
        <w:instrText>מורה נבוכים ב' ד'</w:instrText>
      </w:r>
      <w:r w:rsidR="0098775D">
        <w:instrText xml:space="preserve">" </w:instrText>
      </w:r>
      <w:r w:rsidR="0098775D">
        <w:rPr>
          <w:rtl/>
        </w:rPr>
        <w:fldChar w:fldCharType="end"/>
      </w:r>
      <w:r>
        <w:rPr>
          <w:rFonts w:hint="cs"/>
          <w:rtl/>
        </w:rPr>
        <w:t>, וב' י</w:t>
      </w:r>
      <w:r w:rsidR="00F055C8">
        <w:rPr>
          <w:rtl/>
        </w:rPr>
        <w:t>"</w:t>
      </w:r>
      <w:r>
        <w:rPr>
          <w:rFonts w:hint="cs"/>
          <w:rtl/>
        </w:rPr>
        <w:t>ב) שהוא נותן הצורה.</w:t>
      </w:r>
    </w:p>
    <w:p w14:paraId="580F04EF" w14:textId="77777777" w:rsidR="003D389C" w:rsidRDefault="003D389C" w:rsidP="00CE1874">
      <w:pPr>
        <w:pStyle w:val="FootnoteText"/>
        <w:rPr>
          <w:rtl/>
        </w:rPr>
      </w:pPr>
    </w:p>
    <w:p w14:paraId="7707599C" w14:textId="15B7B30F" w:rsidR="00171354" w:rsidRDefault="00171354" w:rsidP="00CE1874">
      <w:pPr>
        <w:pStyle w:val="FootnoteText"/>
        <w:rPr>
          <w:rtl/>
        </w:rPr>
      </w:pPr>
      <w:r>
        <w:rPr>
          <w:rFonts w:hint="cs"/>
          <w:rtl/>
        </w:rPr>
        <w:t>ובמורה נבוכים ב' י</w:t>
      </w:r>
      <w:r w:rsidR="00F055C8">
        <w:rPr>
          <w:rtl/>
        </w:rPr>
        <w:t>"</w:t>
      </w:r>
      <w:r>
        <w:rPr>
          <w:rFonts w:hint="cs"/>
          <w:rtl/>
        </w:rPr>
        <w:t>ב</w:t>
      </w:r>
      <w:r w:rsidR="00DC31FC">
        <w:rPr>
          <w:rtl/>
        </w:rPr>
        <w:fldChar w:fldCharType="begin"/>
      </w:r>
      <w:r w:rsidR="00DC31FC">
        <w:instrText xml:space="preserve"> XE "</w:instrText>
      </w:r>
      <w:r w:rsidR="00DC31FC" w:rsidRPr="003A6563">
        <w:rPr>
          <w:rFonts w:hint="cs"/>
          <w:rtl/>
        </w:rPr>
        <w:instrText>מורה נבוכים ב' י</w:instrText>
      </w:r>
      <w:r w:rsidR="00DC31FC">
        <w:rPr>
          <w:b/>
          <w:bCs/>
          <w:sz w:val="20"/>
          <w:szCs w:val="20"/>
        </w:rPr>
        <w:instrText>\</w:instrText>
      </w:r>
      <w:r w:rsidR="00DC31FC" w:rsidRPr="003A6563">
        <w:rPr>
          <w:rFonts w:hint="cs"/>
          <w:rtl/>
        </w:rPr>
        <w:instrText>"ב</w:instrText>
      </w:r>
      <w:r w:rsidR="00DC31FC">
        <w:instrText xml:space="preserve">" </w:instrText>
      </w:r>
      <w:r w:rsidR="00DC31FC">
        <w:rPr>
          <w:rtl/>
        </w:rPr>
        <w:fldChar w:fldCharType="end"/>
      </w:r>
      <w:r>
        <w:rPr>
          <w:rFonts w:hint="cs"/>
          <w:rtl/>
        </w:rPr>
        <w:t xml:space="preserve"> כתב:</w:t>
      </w:r>
    </w:p>
    <w:p w14:paraId="5952F0F9" w14:textId="5E09D5AC" w:rsidR="00C27912" w:rsidRDefault="00F055C8" w:rsidP="00CE1874">
      <w:pPr>
        <w:pStyle w:val="FootnoteText"/>
        <w:rPr>
          <w:rtl/>
        </w:rPr>
      </w:pPr>
      <w:r>
        <w:rPr>
          <w:rtl/>
        </w:rPr>
        <w:t>"</w:t>
      </w:r>
      <w:r w:rsidR="00171354" w:rsidRPr="00171354">
        <w:rPr>
          <w:rtl/>
        </w:rPr>
        <w:t>וכן נמצא סבות כל מה שיתחדש במציאות ממחודשים תהיה סבתם המזגות היסודות, אשר הם גשמים פועלים קצתם בקצתם ומתפעלים קצתם מקצתם, ר</w:t>
      </w:r>
      <w:r>
        <w:rPr>
          <w:rtl/>
        </w:rPr>
        <w:t>"</w:t>
      </w:r>
      <w:r w:rsidR="00171354" w:rsidRPr="00171354">
        <w:rPr>
          <w:rtl/>
        </w:rPr>
        <w:t>ל שסבת חדושם קריבת גוף אל גוף או רוחק גוף מגוף, אמנם מה שנמצאו ממחודשים שאינם נמשכים אחר מזג, והם הצורות כלם, א</w:t>
      </w:r>
      <w:r w:rsidR="00C27912">
        <w:rPr>
          <w:rFonts w:hint="cs"/>
          <w:rtl/>
        </w:rPr>
        <w:t>י אפשר</w:t>
      </w:r>
      <w:r w:rsidR="00171354" w:rsidRPr="00171354">
        <w:rPr>
          <w:rtl/>
        </w:rPr>
        <w:t xml:space="preserve"> להם גם כן מבלתי פועל</w:t>
      </w:r>
      <w:r w:rsidR="00C27912">
        <w:rPr>
          <w:rFonts w:hint="cs"/>
          <w:rtl/>
        </w:rPr>
        <w:t>,</w:t>
      </w:r>
      <w:r w:rsidR="00171354" w:rsidRPr="00171354">
        <w:rPr>
          <w:rtl/>
        </w:rPr>
        <w:t xml:space="preserve"> ר</w:t>
      </w:r>
      <w:r w:rsidR="00C27912">
        <w:rPr>
          <w:rFonts w:hint="cs"/>
          <w:rtl/>
        </w:rPr>
        <w:t>וצה לומר</w:t>
      </w:r>
      <w:r w:rsidR="00171354" w:rsidRPr="00171354">
        <w:rPr>
          <w:rtl/>
        </w:rPr>
        <w:t xml:space="preserve"> נותן הצורה, והוא בלתי גשם, כי פועל הצורה צורה לא בחמר</w:t>
      </w:r>
      <w:r>
        <w:rPr>
          <w:rtl/>
        </w:rPr>
        <w:t>"</w:t>
      </w:r>
    </w:p>
    <w:p w14:paraId="6A7A3365" w14:textId="5BC8A8D2" w:rsidR="00C27912" w:rsidRDefault="00C27912" w:rsidP="00CE1874">
      <w:pPr>
        <w:pStyle w:val="FootnoteText"/>
        <w:rPr>
          <w:rtl/>
        </w:rPr>
      </w:pPr>
      <w:r>
        <w:rPr>
          <w:rFonts w:hint="cs"/>
          <w:rtl/>
        </w:rPr>
        <w:t xml:space="preserve">יש מחודשים שסיבת מציאותם היא המזגות היסודות, זוהי תנועה של שינוי אופן הרכבת ד' היסודות בחומר של הטבע, והיא נובעת מהחומר עצמו (תנועת הזיווג מצד הנקבה). מלבד זה יש עניין אחר שהוא הצורות שמצייר בחומר </w:t>
      </w:r>
      <w:r w:rsidR="00F055C8">
        <w:rPr>
          <w:rtl/>
        </w:rPr>
        <w:t>"</w:t>
      </w:r>
      <w:r>
        <w:rPr>
          <w:rFonts w:hint="cs"/>
          <w:rtl/>
        </w:rPr>
        <w:t>נותן הצורה</w:t>
      </w:r>
      <w:r w:rsidR="00F055C8">
        <w:rPr>
          <w:rtl/>
        </w:rPr>
        <w:t>"</w:t>
      </w:r>
      <w:r>
        <w:rPr>
          <w:rFonts w:hint="cs"/>
          <w:rtl/>
        </w:rPr>
        <w:t xml:space="preserve"> (תנועת הזיווג מצד הזכר).</w:t>
      </w:r>
    </w:p>
    <w:p w14:paraId="7C9A0F90" w14:textId="77777777" w:rsidR="00C27912" w:rsidRDefault="00C27912" w:rsidP="00CE1874">
      <w:pPr>
        <w:pStyle w:val="FootnoteText"/>
        <w:rPr>
          <w:rtl/>
        </w:rPr>
      </w:pPr>
    </w:p>
    <w:p w14:paraId="52B2622A" w14:textId="1B0DF41C" w:rsidR="00C27912" w:rsidRDefault="00C27912" w:rsidP="00CE1874">
      <w:pPr>
        <w:pStyle w:val="FootnoteText"/>
        <w:rPr>
          <w:rtl/>
        </w:rPr>
      </w:pPr>
      <w:r>
        <w:rPr>
          <w:rFonts w:hint="cs"/>
          <w:rtl/>
        </w:rPr>
        <w:t>לכן כתב המורה נבוכים א' ע</w:t>
      </w:r>
      <w:r w:rsidR="00F055C8">
        <w:rPr>
          <w:rtl/>
        </w:rPr>
        <w:t>"</w:t>
      </w:r>
      <w:r>
        <w:rPr>
          <w:rFonts w:hint="cs"/>
          <w:rtl/>
        </w:rPr>
        <w:t>ב</w:t>
      </w:r>
      <w:r w:rsidR="00DC31FC">
        <w:rPr>
          <w:rtl/>
        </w:rPr>
        <w:fldChar w:fldCharType="begin"/>
      </w:r>
      <w:r w:rsidR="00DC31FC">
        <w:instrText xml:space="preserve"> XE "</w:instrText>
      </w:r>
      <w:r w:rsidR="00DC31FC" w:rsidRPr="00067BE1">
        <w:rPr>
          <w:rFonts w:hint="cs"/>
          <w:rtl/>
        </w:rPr>
        <w:instrText>מורה נבוכים א' ע</w:instrText>
      </w:r>
      <w:r w:rsidR="00DC31FC">
        <w:rPr>
          <w:b/>
          <w:bCs/>
          <w:sz w:val="20"/>
          <w:szCs w:val="20"/>
        </w:rPr>
        <w:instrText>\</w:instrText>
      </w:r>
      <w:r w:rsidR="00DC31FC" w:rsidRPr="00067BE1">
        <w:rPr>
          <w:rFonts w:hint="cs"/>
          <w:rtl/>
        </w:rPr>
        <w:instrText>"ב</w:instrText>
      </w:r>
      <w:r w:rsidR="00DC31FC">
        <w:instrText xml:space="preserve">" </w:instrText>
      </w:r>
      <w:r w:rsidR="00DC31FC">
        <w:rPr>
          <w:rtl/>
        </w:rPr>
        <w:fldChar w:fldCharType="end"/>
      </w:r>
      <w:r>
        <w:rPr>
          <w:rFonts w:hint="cs"/>
          <w:rtl/>
        </w:rPr>
        <w:t xml:space="preserve"> שהכח הפועל בכל הטבע ומאחד את כולו, שמהווה אותו, יש לעיין אם הוא במיצוע הגלגל, כלומר מצד הזכר, שבמיצוע הגלגל עוברות הצורות משכל נפרד אל שכל נפרד, ומגלגל אל גלגל, זהו קו אור אין סוף (שהוא במשל איבר הזכר) שנכנס לעיגול הצמצום ומצייר בו צורות; או הוא מצד הנקבה, התנועה שלא באה מנותן הצורות אלא קובעת את חלות הצורות בחומר על ידי שינוי מזג הרכבת היסודות. והכוונה ששני הכוחות האלה, מצד הזכר ומצד הנקבה, שניהם פועלים בעולם, ויש לעיין בכל דבר מה בא מצד כח זה ומה בא מצד כח זה. וכמו</w:t>
      </w:r>
      <w:r w:rsidR="003D389C">
        <w:rPr>
          <w:rFonts w:hint="cs"/>
          <w:rtl/>
        </w:rPr>
        <w:t xml:space="preserve"> </w:t>
      </w:r>
      <w:r>
        <w:rPr>
          <w:rFonts w:hint="cs"/>
          <w:rtl/>
        </w:rPr>
        <w:t>שכתב בהלכות יסודי התורה ד' ז':</w:t>
      </w:r>
    </w:p>
    <w:p w14:paraId="1089EECE" w14:textId="7105CFEE" w:rsidR="00171354" w:rsidRDefault="00F055C8" w:rsidP="00CE1874">
      <w:pPr>
        <w:pStyle w:val="FootnoteText"/>
        <w:rPr>
          <w:rtl/>
        </w:rPr>
      </w:pPr>
      <w:r>
        <w:rPr>
          <w:rtl/>
        </w:rPr>
        <w:t>"</w:t>
      </w:r>
      <w:r w:rsidR="00024CE7" w:rsidRPr="00024CE7">
        <w:rPr>
          <w:rtl/>
        </w:rPr>
        <w:t>לְעוֹלָם אֵין אַתָּה רוֹאֶה גֹּלֶם בְּלֹא צוּרָה אוֹ צוּרָה בְּלֹא גֹּלֶם, אֶלָּא לֵב הָאָדָם הוּא שֶׁמְּחַלֵּק הַגּוּף הַנִּמְצָא בְּדַעְתּוֹ, וְיוֹדֵעַ שֶׁהוּא מְחֻבָּר מִגֹּלֶם</w:t>
      </w:r>
      <w:r w:rsidR="00024CE7">
        <w:rPr>
          <w:rFonts w:hint="cs"/>
          <w:rtl/>
        </w:rPr>
        <w:t xml:space="preserve"> [החומר שיש בו חיים ותנועה שהיא התחדשות הדברים מצד הנקבה]</w:t>
      </w:r>
      <w:r w:rsidR="00024CE7" w:rsidRPr="00024CE7">
        <w:rPr>
          <w:rtl/>
        </w:rPr>
        <w:t xml:space="preserve"> וְצוּרָה</w:t>
      </w:r>
      <w:r w:rsidR="00024CE7">
        <w:rPr>
          <w:rFonts w:hint="cs"/>
          <w:rtl/>
        </w:rPr>
        <w:t xml:space="preserve"> [מה שנותן הצורות מצייר בחומר מכח השגתו בבורא עצמו, וציור מכח זה של מה שנעדר, וזה במיצוע הגלגל שהוא השתלשלות הצורות הזכריות]</w:t>
      </w:r>
      <w:r>
        <w:rPr>
          <w:rtl/>
        </w:rPr>
        <w:t>"</w:t>
      </w:r>
      <w:r w:rsidR="00171354">
        <w:rPr>
          <w:rFonts w:hint="cs"/>
          <w:rtl/>
        </w:rPr>
        <w:t xml:space="preserve">  </w:t>
      </w:r>
    </w:p>
    <w:p w14:paraId="1A6A826E" w14:textId="031A8264" w:rsidR="00383369" w:rsidRDefault="00383369" w:rsidP="00CE1874">
      <w:pPr>
        <w:pStyle w:val="FootnoteText"/>
        <w:rPr>
          <w:rtl/>
        </w:rPr>
      </w:pPr>
    </w:p>
    <w:p w14:paraId="66EFD968" w14:textId="597D1CCB" w:rsidR="00D87E1F" w:rsidRDefault="00383369" w:rsidP="00CE1874">
      <w:pPr>
        <w:pStyle w:val="FootnoteText"/>
        <w:rPr>
          <w:rtl/>
        </w:rPr>
      </w:pPr>
      <w:r>
        <w:rPr>
          <w:rFonts w:hint="cs"/>
          <w:rtl/>
        </w:rPr>
        <w:t>מה שבמציאות הכל הוא חומר וצורה מאוחדים לגמרי ובלתי ניתנים להפרדה כלל (האם אפשר להפריד</w:t>
      </w:r>
      <w:r w:rsidR="00D87E1F">
        <w:rPr>
          <w:rFonts w:hint="cs"/>
          <w:rtl/>
        </w:rPr>
        <w:t xml:space="preserve"> במציאות</w:t>
      </w:r>
      <w:r>
        <w:rPr>
          <w:rFonts w:hint="cs"/>
          <w:rtl/>
        </w:rPr>
        <w:t xml:space="preserve"> את בשר הסוס מה</w:t>
      </w:r>
      <w:r w:rsidR="00D87E1F">
        <w:rPr>
          <w:rFonts w:hint="cs"/>
          <w:rtl/>
        </w:rPr>
        <w:t>'</w:t>
      </w:r>
      <w:r>
        <w:rPr>
          <w:rFonts w:hint="cs"/>
          <w:rtl/>
        </w:rPr>
        <w:t>סוסיות</w:t>
      </w:r>
      <w:r w:rsidR="00D87E1F">
        <w:rPr>
          <w:rFonts w:hint="cs"/>
          <w:rtl/>
        </w:rPr>
        <w:t>'</w:t>
      </w:r>
      <w:r>
        <w:rPr>
          <w:rFonts w:hint="cs"/>
          <w:rtl/>
        </w:rPr>
        <w:t xml:space="preserve"> שלו?</w:t>
      </w:r>
      <w:r w:rsidR="00D87E1F">
        <w:rPr>
          <w:rFonts w:hint="cs"/>
          <w:rtl/>
        </w:rPr>
        <w:t xml:space="preserve"> במה יהיה זה בשר סוס אם יופרד מה'סוסיות', ובמה תהיה 'סוסיות' בלי בשר</w:t>
      </w:r>
      <w:r>
        <w:rPr>
          <w:rFonts w:hint="cs"/>
          <w:rtl/>
        </w:rPr>
        <w:t>), ורק העיון המתבונן רואה את שני הצדדים באופן מובחן</w:t>
      </w:r>
      <w:r w:rsidR="00D87E1F">
        <w:rPr>
          <w:rFonts w:hint="cs"/>
          <w:rtl/>
        </w:rPr>
        <w:t xml:space="preserve"> על ידי הפשטה שלהם מהעצם הטבעי.</w:t>
      </w:r>
      <w:r>
        <w:rPr>
          <w:rFonts w:hint="cs"/>
          <w:rtl/>
        </w:rPr>
        <w:t xml:space="preserve"> </w:t>
      </w:r>
    </w:p>
    <w:p w14:paraId="2FC68AB0" w14:textId="77777777" w:rsidR="00981C6E" w:rsidRDefault="00981C6E" w:rsidP="00CE1874">
      <w:pPr>
        <w:pStyle w:val="FootnoteText"/>
        <w:rPr>
          <w:rtl/>
        </w:rPr>
      </w:pPr>
    </w:p>
    <w:p w14:paraId="0AF8AC95" w14:textId="2E4FEA79" w:rsidR="00383369" w:rsidRDefault="00383369" w:rsidP="00CE1874">
      <w:pPr>
        <w:pStyle w:val="FootnoteText"/>
        <w:rPr>
          <w:rtl/>
        </w:rPr>
      </w:pPr>
      <w:r>
        <w:rPr>
          <w:rFonts w:hint="cs"/>
          <w:rtl/>
        </w:rPr>
        <w:t>זה מה שכתוב בספר הזוהר (בשלח רל</w:t>
      </w:r>
      <w:r w:rsidR="00F055C8">
        <w:rPr>
          <w:rtl/>
        </w:rPr>
        <w:t>"</w:t>
      </w:r>
      <w:r>
        <w:rPr>
          <w:rFonts w:hint="cs"/>
          <w:rtl/>
        </w:rPr>
        <w:t xml:space="preserve">ז): </w:t>
      </w:r>
    </w:p>
    <w:p w14:paraId="2BEBFE9D" w14:textId="62EA9059" w:rsidR="00383369" w:rsidRDefault="00F055C8" w:rsidP="00D87E1F">
      <w:pPr>
        <w:pStyle w:val="FootnoteText"/>
        <w:rPr>
          <w:rtl/>
        </w:rPr>
      </w:pPr>
      <w:r>
        <w:rPr>
          <w:rtl/>
        </w:rPr>
        <w:t>"</w:t>
      </w:r>
      <w:r w:rsidR="00383369">
        <w:rPr>
          <w:rtl/>
        </w:rPr>
        <w:t>רבי אבא אמר, אדם הראשון יצא מזכר ונקבה</w:t>
      </w:r>
      <w:r w:rsidR="00D13CEC">
        <w:rPr>
          <w:rtl/>
        </w:rPr>
        <w:fldChar w:fldCharType="begin"/>
      </w:r>
      <w:r w:rsidR="00D13CEC">
        <w:instrText xml:space="preserve"> XE "</w:instrText>
      </w:r>
      <w:r w:rsidR="00D13CEC" w:rsidRPr="00EA767D">
        <w:rPr>
          <w:rtl/>
        </w:rPr>
        <w:instrText>זכר ונקבה</w:instrText>
      </w:r>
      <w:r w:rsidR="00D13CEC">
        <w:instrText xml:space="preserve">" </w:instrText>
      </w:r>
      <w:r w:rsidR="00D13CEC">
        <w:rPr>
          <w:rtl/>
        </w:rPr>
        <w:fldChar w:fldCharType="end"/>
      </w:r>
      <w:r w:rsidR="00D87E1F">
        <w:rPr>
          <w:rFonts w:hint="cs"/>
          <w:rtl/>
        </w:rPr>
        <w:t xml:space="preserve"> [שהם עניין צורה וחומר כמו שכתב המורה נבוכים א' י</w:t>
      </w:r>
      <w:r>
        <w:rPr>
          <w:rtl/>
        </w:rPr>
        <w:t>"</w:t>
      </w:r>
      <w:r w:rsidR="00D87E1F">
        <w:rPr>
          <w:rFonts w:hint="cs"/>
          <w:rtl/>
        </w:rPr>
        <w:t>ז. וכתוב כאן, כמו שיש בעוד מקומות בזוהר, שהקב</w:t>
      </w:r>
      <w:r>
        <w:rPr>
          <w:rtl/>
        </w:rPr>
        <w:t>"</w:t>
      </w:r>
      <w:r w:rsidR="00D87E1F">
        <w:rPr>
          <w:rFonts w:hint="cs"/>
          <w:rtl/>
        </w:rPr>
        <w:t>ה בעצמו הוא זכר ונקבה. כלומר בהתגלות האלוהית יש בהכרח שתי בחינות, ה'יש' שהוא העיגול של ההעדר, הצמצום; וה'אין' שהוא אור אין סוף]</w:t>
      </w:r>
      <w:r w:rsidR="00383369">
        <w:rPr>
          <w:rtl/>
        </w:rPr>
        <w:t xml:space="preserve">, זה שאמר: </w:t>
      </w:r>
      <w:r>
        <w:rPr>
          <w:rtl/>
        </w:rPr>
        <w:t>"</w:t>
      </w:r>
      <w:r w:rsidR="00383369">
        <w:rPr>
          <w:rtl/>
        </w:rPr>
        <w:t>ויאמר אלקים נעשה אדם בצלמנו כדמותנו</w:t>
      </w:r>
      <w:r>
        <w:rPr>
          <w:rtl/>
        </w:rPr>
        <w:t>"</w:t>
      </w:r>
      <w:r w:rsidR="00383369">
        <w:rPr>
          <w:rtl/>
        </w:rPr>
        <w:t>, ואחר כך נפרדו זה מזה.</w:t>
      </w:r>
    </w:p>
    <w:p w14:paraId="7F8B74BD" w14:textId="492D3C25" w:rsidR="00D87E1F" w:rsidRDefault="00383369" w:rsidP="00383369">
      <w:pPr>
        <w:pStyle w:val="FootnoteText"/>
        <w:rPr>
          <w:rtl/>
        </w:rPr>
      </w:pPr>
      <w:r>
        <w:rPr>
          <w:rtl/>
        </w:rPr>
        <w:t>ואם תאמר הרי אמר</w:t>
      </w:r>
      <w:r w:rsidR="00D87E1F">
        <w:rPr>
          <w:rFonts w:hint="cs"/>
          <w:rtl/>
        </w:rPr>
        <w:t>:</w:t>
      </w:r>
      <w:r>
        <w:rPr>
          <w:rtl/>
        </w:rPr>
        <w:t xml:space="preserve"> </w:t>
      </w:r>
      <w:r w:rsidR="00F055C8">
        <w:rPr>
          <w:rtl/>
        </w:rPr>
        <w:t>"</w:t>
      </w:r>
      <w:r>
        <w:rPr>
          <w:rtl/>
        </w:rPr>
        <w:t>ה</w:t>
      </w:r>
      <w:r w:rsidR="00D87E1F">
        <w:rPr>
          <w:rFonts w:hint="cs"/>
          <w:rtl/>
        </w:rPr>
        <w:t>אדמה אשר לוקח משם</w:t>
      </w:r>
      <w:r w:rsidR="00F055C8">
        <w:rPr>
          <w:rtl/>
        </w:rPr>
        <w:t>"</w:t>
      </w:r>
      <w:r w:rsidR="00D87E1F">
        <w:rPr>
          <w:rFonts w:hint="cs"/>
          <w:rtl/>
        </w:rPr>
        <w:t>?</w:t>
      </w:r>
      <w:r>
        <w:rPr>
          <w:rtl/>
        </w:rPr>
        <w:t xml:space="preserve"> </w:t>
      </w:r>
    </w:p>
    <w:p w14:paraId="2B08F44C" w14:textId="3408BBCC" w:rsidR="00383369" w:rsidRDefault="00D87E1F" w:rsidP="00383369">
      <w:pPr>
        <w:pStyle w:val="FootnoteText"/>
        <w:rPr>
          <w:rtl/>
        </w:rPr>
      </w:pPr>
      <w:r>
        <w:rPr>
          <w:rFonts w:hint="cs"/>
          <w:rtl/>
        </w:rPr>
        <w:t xml:space="preserve">ומשיב: כן הוא </w:t>
      </w:r>
      <w:r w:rsidR="00383369">
        <w:rPr>
          <w:rtl/>
        </w:rPr>
        <w:t xml:space="preserve">ודאי, וזו היא נוקבא </w:t>
      </w:r>
      <w:r>
        <w:rPr>
          <w:rFonts w:hint="cs"/>
          <w:rtl/>
        </w:rPr>
        <w:t>[</w:t>
      </w:r>
      <w:r w:rsidR="00383369">
        <w:rPr>
          <w:rtl/>
        </w:rPr>
        <w:t>נקבה</w:t>
      </w:r>
      <w:r>
        <w:rPr>
          <w:rFonts w:hint="cs"/>
          <w:rtl/>
        </w:rPr>
        <w:t>]</w:t>
      </w:r>
      <w:r w:rsidR="00383369">
        <w:rPr>
          <w:rtl/>
        </w:rPr>
        <w:t>, והקב</w:t>
      </w:r>
      <w:r w:rsidR="00F055C8">
        <w:rPr>
          <w:rtl/>
        </w:rPr>
        <w:t>"</w:t>
      </w:r>
      <w:r w:rsidR="00383369">
        <w:rPr>
          <w:rtl/>
        </w:rPr>
        <w:t>ה נשתתף עמה, וזה זכר ונקבה, והכל הוא דבר אחד.</w:t>
      </w:r>
      <w:r w:rsidR="00F055C8">
        <w:rPr>
          <w:rtl/>
        </w:rPr>
        <w:t>"</w:t>
      </w:r>
    </w:p>
    <w:p w14:paraId="74649142" w14:textId="51257C46" w:rsidR="00024CE7" w:rsidRDefault="00024CE7" w:rsidP="00CE1874">
      <w:pPr>
        <w:pStyle w:val="FootnoteText"/>
        <w:rPr>
          <w:rtl/>
        </w:rPr>
      </w:pPr>
    </w:p>
    <w:p w14:paraId="6DD06D4C" w14:textId="77777777" w:rsidR="00D87E1F" w:rsidRDefault="00024CE7" w:rsidP="00CE1874">
      <w:pPr>
        <w:pStyle w:val="FootnoteText"/>
        <w:rPr>
          <w:rtl/>
        </w:rPr>
      </w:pPr>
      <w:r>
        <w:rPr>
          <w:rFonts w:hint="cs"/>
          <w:rtl/>
        </w:rPr>
        <w:t xml:space="preserve">נשוב ללשון אבן סינא, </w:t>
      </w:r>
    </w:p>
    <w:p w14:paraId="7E2A6D23" w14:textId="77EA2D15" w:rsidR="00870D29" w:rsidRDefault="00024CE7" w:rsidP="00CE1874">
      <w:pPr>
        <w:pStyle w:val="FootnoteText"/>
        <w:rPr>
          <w:rtl/>
        </w:rPr>
      </w:pPr>
      <w:r>
        <w:rPr>
          <w:rFonts w:hint="cs"/>
          <w:rtl/>
        </w:rPr>
        <w:t>הוא אומר שמצד החומר עצמו יש שני מינים, האחד ראשוני, זה הכח להיות נמצא באופן מופשט, בלי הגדרות של דברים שנמצאים, וזה צורות ארבעת היסודות, והשני מתייחס או מצטרף, כלומר הוא כבר במצב של חיבור עם הצורות הזכריות, שמציירות דברים מוגדרים שונים, שהם גילוי האור האלוהי</w:t>
      </w:r>
      <w:r w:rsidR="00870D29">
        <w:rPr>
          <w:rFonts w:hint="cs"/>
          <w:rtl/>
        </w:rPr>
        <w:t>.</w:t>
      </w:r>
    </w:p>
    <w:p w14:paraId="261D6777" w14:textId="0839F366" w:rsidR="00024CE7" w:rsidRDefault="00024CE7" w:rsidP="00CE1874">
      <w:pPr>
        <w:pStyle w:val="FootnoteText"/>
        <w:rPr>
          <w:rtl/>
        </w:rPr>
      </w:pPr>
      <w:r>
        <w:rPr>
          <w:rFonts w:hint="cs"/>
          <w:rtl/>
        </w:rPr>
        <w:t xml:space="preserve">כמו שכתב בהלכות יסודי התורה ב' ב': </w:t>
      </w:r>
      <w:r w:rsidR="00F055C8">
        <w:rPr>
          <w:rtl/>
        </w:rPr>
        <w:t>"</w:t>
      </w:r>
      <w:r w:rsidRPr="00024CE7">
        <w:rPr>
          <w:rtl/>
        </w:rPr>
        <w:t>בְּשָׁעָה שֶׁיִּתְבּוֹנֵן הָאָדָם בְּמַעֲשָׂיו וּבְרוּאָיו הַנִּפְלָאִים הַגְּדוֹלִים, וְיִרְאֶה מֵהֶן חָכְמָתוֹ שֶׁאֵין לָהּ עֵרֶךְ וְלֹא קֵץ</w:t>
      </w:r>
      <w:r w:rsidR="00F055C8">
        <w:rPr>
          <w:rtl/>
        </w:rPr>
        <w:t>"</w:t>
      </w:r>
      <w:r>
        <w:rPr>
          <w:rFonts w:hint="cs"/>
          <w:rtl/>
        </w:rPr>
        <w:t xml:space="preserve">. מעשיו וברואיו הם הצורות, כמו שמבאר שם בהמשך, והם יש להם קץ, הם מוגדרים, ומהם נראית חכמתו </w:t>
      </w:r>
      <w:r w:rsidRPr="00024CE7">
        <w:rPr>
          <w:rFonts w:hint="cs"/>
          <w:b/>
          <w:bCs/>
          <w:rtl/>
        </w:rPr>
        <w:t>שאין לה קץ</w:t>
      </w:r>
      <w:r>
        <w:rPr>
          <w:rFonts w:hint="cs"/>
          <w:rtl/>
        </w:rPr>
        <w:t>, זה הדבר שנעדר ואותו הצורות מציירות, הוא האין סוף עצמו. לכן מעשיו וברואיו הם נפלאים, יש בהם פלא, סוד, זיו אור אין סוף, ולכן הם נקראים גדולים באופן שאינו כיחס בין גודל של שני דברים, כי גדול כאן פירושו האין סוף</w:t>
      </w:r>
      <w:r w:rsidR="00870D29">
        <w:rPr>
          <w:rFonts w:hint="cs"/>
          <w:rtl/>
        </w:rPr>
        <w:t>, וכלשון ספר הזוהר שהוא נקרא אריך אנפין.</w:t>
      </w:r>
    </w:p>
    <w:p w14:paraId="706E99D0" w14:textId="6FE3DB16" w:rsidR="00171354" w:rsidRDefault="00171354" w:rsidP="00CE1874">
      <w:pPr>
        <w:pStyle w:val="FootnoteText"/>
        <w:rPr>
          <w:rtl/>
        </w:rPr>
      </w:pPr>
    </w:p>
    <w:p w14:paraId="4C2DD39C" w14:textId="2988C853" w:rsidR="005560EF" w:rsidRDefault="00870D29" w:rsidP="00CE1874">
      <w:pPr>
        <w:pStyle w:val="FootnoteText"/>
        <w:rPr>
          <w:rtl/>
        </w:rPr>
      </w:pPr>
      <w:r>
        <w:rPr>
          <w:rFonts w:hint="cs"/>
          <w:rtl/>
        </w:rPr>
        <w:t>המין השני של כח שיש בחומר מצד עצמו, הכח המתייחס, עניינו שהנה בטבע עצמו, שיש בו עצמים שהם צורות שמצטיירות מנותן הצורה, הוא השכל הפועל, על מצע החומר, והצורות האלה יש בהן צד של צורות נקביות, הוא כל מה שאם נחלק אותו יישאר באותה צורה והגדרה, וכגון אבנים וטיט לבניין, בשר, וכל כיו</w:t>
      </w:r>
      <w:r w:rsidR="00F055C8">
        <w:rPr>
          <w:rtl/>
        </w:rPr>
        <w:t>"</w:t>
      </w:r>
      <w:r>
        <w:rPr>
          <w:rFonts w:hint="cs"/>
          <w:rtl/>
        </w:rPr>
        <w:t xml:space="preserve">ב. אלה נקראים עצמים הומיאומריים. ויש גם את השינוי המתמיד המקרי של מזג הרכבת ארבעת היסודות, שגם הוא בא מכח החיות שיש בחומר עצמו, החיות הנקבית, ובו תלויה האפשרות של נותן הצורות לצייר את צורותיו בחומר. השינוי הזה מקרי כי הוא לא מצד הצורות של נותן הצורות שהם מה שהשכל תופש, את החומר אין השכל תופש כמו שכתב בטימיאוס שם, </w:t>
      </w:r>
      <w:r w:rsidR="005560EF">
        <w:rPr>
          <w:rFonts w:hint="cs"/>
          <w:rtl/>
        </w:rPr>
        <w:t xml:space="preserve">זה לא כפוף לשום חוקיות או סיבתיות, </w:t>
      </w:r>
      <w:r>
        <w:rPr>
          <w:rFonts w:hint="cs"/>
          <w:rtl/>
        </w:rPr>
        <w:t xml:space="preserve">ומה שאינו שכלי נקרא מקרי.  </w:t>
      </w:r>
    </w:p>
    <w:p w14:paraId="6BF195E0" w14:textId="77777777" w:rsidR="005560EF" w:rsidRDefault="005560EF" w:rsidP="00CE1874">
      <w:pPr>
        <w:pStyle w:val="FootnoteText"/>
        <w:rPr>
          <w:rtl/>
        </w:rPr>
      </w:pPr>
    </w:p>
    <w:p w14:paraId="1358D73A" w14:textId="2286705D" w:rsidR="00870D29" w:rsidRDefault="005560EF" w:rsidP="00CE1874">
      <w:pPr>
        <w:pStyle w:val="FootnoteText"/>
        <w:rPr>
          <w:rtl/>
        </w:rPr>
      </w:pPr>
      <w:r>
        <w:rPr>
          <w:rFonts w:hint="cs"/>
          <w:rtl/>
        </w:rPr>
        <w:t xml:space="preserve">הצד השני </w:t>
      </w:r>
      <w:r w:rsidR="00E6750E">
        <w:rPr>
          <w:rFonts w:hint="cs"/>
          <w:rtl/>
        </w:rPr>
        <w:t>שכתב אבן סינא כאן (</w:t>
      </w:r>
      <w:r w:rsidR="00F055C8">
        <w:rPr>
          <w:rtl/>
        </w:rPr>
        <w:t>"</w:t>
      </w:r>
      <w:r w:rsidR="00E6750E">
        <w:rPr>
          <w:rFonts w:hint="cs"/>
          <w:rtl/>
        </w:rPr>
        <w:t>מצד שני, מההכנה של הטבע, החומרי בעצמו אפשר שהוא דבר משותף לכל הצורות כו'</w:t>
      </w:r>
      <w:r w:rsidR="00F055C8">
        <w:rPr>
          <w:rtl/>
        </w:rPr>
        <w:t>"</w:t>
      </w:r>
      <w:r w:rsidR="00E6750E">
        <w:rPr>
          <w:rFonts w:hint="cs"/>
          <w:rtl/>
        </w:rPr>
        <w:t xml:space="preserve">) </w:t>
      </w:r>
      <w:r>
        <w:rPr>
          <w:rFonts w:hint="cs"/>
          <w:rtl/>
        </w:rPr>
        <w:t>הוא הצד של הזכר בזיווג, הצד של השכל הפועל, נותן הצורות.</w:t>
      </w:r>
      <w:r w:rsidR="00E6750E">
        <w:rPr>
          <w:rFonts w:hint="cs"/>
          <w:rtl/>
        </w:rPr>
        <w:t xml:space="preserve"> </w:t>
      </w:r>
    </w:p>
    <w:p w14:paraId="7292761D" w14:textId="77777777" w:rsidR="00E6750E" w:rsidRDefault="00E6750E" w:rsidP="00CE1874">
      <w:pPr>
        <w:pStyle w:val="FootnoteText"/>
        <w:rPr>
          <w:rtl/>
        </w:rPr>
      </w:pPr>
      <w:r>
        <w:rPr>
          <w:rFonts w:hint="cs"/>
          <w:rtl/>
        </w:rPr>
        <w:t xml:space="preserve">לימוד מעשה מרכבה דורש שכל של גדלות מוחין, שהוא שונה מהשכל הרגיל שלנו. איננו תופשים את השכל הגדול בתחילת הלימוד, כמו שיש דברים שילד ישמע ממבוגר ולעולם לא יוכל להבין אותם עד שיגדל. </w:t>
      </w:r>
    </w:p>
    <w:p w14:paraId="329AE758" w14:textId="77777777" w:rsidR="00E6750E" w:rsidRDefault="00E6750E" w:rsidP="00CE1874">
      <w:pPr>
        <w:pStyle w:val="FootnoteText"/>
        <w:rPr>
          <w:rtl/>
        </w:rPr>
      </w:pPr>
      <w:r>
        <w:rPr>
          <w:rFonts w:hint="cs"/>
          <w:rtl/>
        </w:rPr>
        <w:t xml:space="preserve">השכל של גדלות מוחין הוא שכל ולא מיסטיקה, כלומר הוא כפוף לחוק הסתירה ולכל האקסיומות של השכל, ויש בו חוקיות של הכרח שכלי. אבל ההבנה שלו בכל זה היא גדולה יותר מזו שאנו מורגלים בה. </w:t>
      </w:r>
    </w:p>
    <w:p w14:paraId="4B88E77D" w14:textId="77777777" w:rsidR="00F952CA" w:rsidRDefault="00E6750E" w:rsidP="00E6750E">
      <w:pPr>
        <w:pStyle w:val="FootnoteText"/>
        <w:rPr>
          <w:rtl/>
        </w:rPr>
      </w:pPr>
      <w:r>
        <w:rPr>
          <w:rFonts w:hint="cs"/>
          <w:rtl/>
        </w:rPr>
        <w:t xml:space="preserve">מצד השכל של גדלות מוחין, יש רק אמת אחת והיא אור אין סוף. אין פינוי מקום לנבראים, אין עיגול של צמצום. אין שני צדדי סתירה. הכל אחדות פשוטה מוחלטת מכל צד בלי מורכבות כלל. </w:t>
      </w:r>
      <w:r w:rsidR="00F952CA">
        <w:rPr>
          <w:rFonts w:hint="cs"/>
          <w:rtl/>
        </w:rPr>
        <w:t xml:space="preserve">אין בריאה כלל ומעולם לא הייתה ולעולם לא תהיה. הבריאה היא סתירה לאחדות האלוהית המוחלטת ולכן אינה אפשרית כלל, ואכן אין כאן שאלה כי באמת אין כלל בריאה. </w:t>
      </w:r>
    </w:p>
    <w:p w14:paraId="79509CA4" w14:textId="117CC913" w:rsidR="00F952CA" w:rsidRDefault="00F952CA" w:rsidP="00E6750E">
      <w:pPr>
        <w:pStyle w:val="FootnoteText"/>
        <w:rPr>
          <w:rtl/>
        </w:rPr>
      </w:pPr>
      <w:r>
        <w:rPr>
          <w:rFonts w:hint="cs"/>
          <w:rtl/>
        </w:rPr>
        <w:t xml:space="preserve">אם נשאל על זה אבל הרי אנו רואים לפנינו שיש בריאה, התשובה תהיה </w:t>
      </w:r>
      <w:r w:rsidR="00F055C8">
        <w:rPr>
          <w:rtl/>
        </w:rPr>
        <w:t>"</w:t>
      </w:r>
      <w:r>
        <w:rPr>
          <w:rFonts w:hint="cs"/>
          <w:rtl/>
        </w:rPr>
        <w:t>שתוק!</w:t>
      </w:r>
      <w:r w:rsidR="00F055C8">
        <w:rPr>
          <w:rtl/>
        </w:rPr>
        <w:t>"</w:t>
      </w:r>
      <w:r>
        <w:rPr>
          <w:rFonts w:hint="cs"/>
          <w:rtl/>
        </w:rPr>
        <w:t>. לא ניתנה לך רשות להרהר.</w:t>
      </w:r>
    </w:p>
    <w:p w14:paraId="3311BAA3" w14:textId="115B02BE" w:rsidR="00F952CA" w:rsidRDefault="00F952CA" w:rsidP="00E6750E">
      <w:pPr>
        <w:pStyle w:val="FootnoteText"/>
        <w:rPr>
          <w:rtl/>
        </w:rPr>
      </w:pPr>
      <w:r>
        <w:rPr>
          <w:rFonts w:hint="cs"/>
          <w:rtl/>
        </w:rPr>
        <w:t>ועדיין זה לא שולל שיש נבראים. מותר לומר שיש נבראים, ואכן באמת יש, רק אחרי שאנו קובעים שאין נבראים בקביעה מוחלטת בלי שום סייג כלל, בלי שום צד שני או מבחינה אחרת וכל כיו</w:t>
      </w:r>
      <w:r w:rsidR="00F055C8">
        <w:rPr>
          <w:rtl/>
        </w:rPr>
        <w:t>"</w:t>
      </w:r>
      <w:r>
        <w:rPr>
          <w:rFonts w:hint="cs"/>
          <w:rtl/>
        </w:rPr>
        <w:t>ב.</w:t>
      </w:r>
    </w:p>
    <w:p w14:paraId="7ED5F86C" w14:textId="34951113" w:rsidR="00F952CA" w:rsidRDefault="00F952CA" w:rsidP="00E6750E">
      <w:pPr>
        <w:pStyle w:val="FootnoteText"/>
        <w:rPr>
          <w:rtl/>
        </w:rPr>
      </w:pPr>
      <w:r>
        <w:rPr>
          <w:rFonts w:hint="cs"/>
          <w:rtl/>
        </w:rPr>
        <w:t>כך הוא השכל של גדלות מוחין. זה עניין הספירות, כל ספירה היא הכל בלי שיש בחינה כלל של הספירות שמתחתיה, ובכל זאת זה לא שולל שהן נמצאות. לכן היא נקראת ספירה, כלומר כדור, כלומר המציאות כולה בלי סייג, שזה עניין הכדור. האין סוף המוחלט שאין בו מורכבות כלל הוא הכתר, והעיגול של הצמצום, הנבראים המוגבלים, ההגדרות, הוא ספירת</w:t>
      </w:r>
      <w:r w:rsidR="004F4A2A">
        <w:rPr>
          <w:rtl/>
        </w:rPr>
        <w:fldChar w:fldCharType="begin"/>
      </w:r>
      <w:r w:rsidR="004F4A2A">
        <w:instrText xml:space="preserve"> XE "</w:instrText>
      </w:r>
      <w:r w:rsidR="004F4A2A" w:rsidRPr="00DE57F5">
        <w:rPr>
          <w:rFonts w:hint="cs"/>
          <w:rtl/>
        </w:rPr>
        <w:instrText>ספירת כתר וספירת חכמה</w:instrText>
      </w:r>
      <w:r w:rsidR="004F4A2A">
        <w:instrText xml:space="preserve">" </w:instrText>
      </w:r>
      <w:r w:rsidR="004F4A2A">
        <w:rPr>
          <w:rtl/>
        </w:rPr>
        <w:fldChar w:fldCharType="end"/>
      </w:r>
      <w:r>
        <w:rPr>
          <w:rFonts w:hint="cs"/>
          <w:rtl/>
        </w:rPr>
        <w:t xml:space="preserve"> חכמה. הכתר הוא ספירה, כלומר אין שום דבר מלבדו, אין חכמה. וגם בחכמה הכל רק חכמה ואין כתר. ואין זו תחרות בין שווים, כי הכתר מעל החכמה בסדר </w:t>
      </w:r>
      <w:r w:rsidR="009C463A">
        <w:rPr>
          <w:rFonts w:hint="cs"/>
          <w:rtl/>
        </w:rPr>
        <w:t>ההוויה</w:t>
      </w:r>
      <w:r>
        <w:rPr>
          <w:rFonts w:hint="cs"/>
          <w:rtl/>
        </w:rPr>
        <w:t xml:space="preserve">, לכן האמת האחת שאין בלתה כלל שאין חכמה אלא רק כתר, כלומר רק אין סוף בלי צמצום כלל.   </w:t>
      </w:r>
    </w:p>
    <w:p w14:paraId="7FDB14B0" w14:textId="77777777" w:rsidR="009039D0" w:rsidRDefault="00F952CA" w:rsidP="00E6750E">
      <w:pPr>
        <w:pStyle w:val="FootnoteText"/>
        <w:rPr>
          <w:rtl/>
        </w:rPr>
      </w:pPr>
      <w:r>
        <w:rPr>
          <w:rFonts w:hint="cs"/>
          <w:rtl/>
        </w:rPr>
        <w:t xml:space="preserve">לכן יש רק צורות שהן התגלות אור אין סוף ואין חומר. </w:t>
      </w:r>
      <w:r w:rsidR="002B0D3A">
        <w:rPr>
          <w:rFonts w:hint="cs"/>
          <w:rtl/>
        </w:rPr>
        <w:t>החומר הוא רק העובדה שהצורות מתגלות ולא שום דבר בנוסף לזה. הוא רק סך כל האפשרויות של הצורות להתגלות. פירוש עניין החומר הוא מציאות של צורה כאפשרות שלה להתגלות, כקיימת בכח ועדיין לא בפועל. לכן הוא נחשב כמו צל או בבואת דמיון של הצורה, והמציאות נובעת רק מהצורה.</w:t>
      </w:r>
    </w:p>
    <w:p w14:paraId="5B3C03DC" w14:textId="77777777" w:rsidR="009039D0" w:rsidRDefault="009039D0" w:rsidP="00E6750E">
      <w:pPr>
        <w:pStyle w:val="FootnoteText"/>
        <w:rPr>
          <w:rtl/>
        </w:rPr>
      </w:pPr>
    </w:p>
    <w:p w14:paraId="75A5ECF3" w14:textId="3CDE9C36" w:rsidR="009039D0" w:rsidRDefault="009039D0" w:rsidP="00E6750E">
      <w:pPr>
        <w:pStyle w:val="FootnoteText"/>
        <w:rPr>
          <w:rtl/>
        </w:rPr>
      </w:pPr>
      <w:r>
        <w:rPr>
          <w:rFonts w:hint="cs"/>
          <w:rtl/>
        </w:rPr>
        <w:t>יש צורות זכריות שהן בכלליות ובסדר ההשתלשלות. סדר ההשתלשלות הוא החכמה השכלית שבסדר וביופי של הצורות המתגלות, הן השכלים הנפרדים, כלומר הספירות שבכתבי הקבלה, שמהן משתלשל העולם של גרמי השמיים ואחריו העולם הטבעי של ארבע היסודות. כמו שכתב הרמב</w:t>
      </w:r>
      <w:r w:rsidR="00F055C8">
        <w:rPr>
          <w:rtl/>
        </w:rPr>
        <w:t>"</w:t>
      </w:r>
      <w:r>
        <w:rPr>
          <w:rFonts w:hint="cs"/>
          <w:rtl/>
        </w:rPr>
        <w:t>ם בהלכות יסודי התורה פרק ב'. ארבעת היסודות הם גם מצד הזכר, הם כללות סדר ההשתלשלות כשהוא כאחת, וכמו שכתוב בספרי קבלה על סדר ההשתלשלות שנרמז באותיות השם המפורש הוי</w:t>
      </w:r>
      <w:r w:rsidR="00F055C8">
        <w:rPr>
          <w:rtl/>
        </w:rPr>
        <w:t>"</w:t>
      </w:r>
      <w:r>
        <w:rPr>
          <w:rFonts w:hint="cs"/>
          <w:rtl/>
        </w:rPr>
        <w:t xml:space="preserve">ה. ממנו משתלשל סדר הצורות של עשר הספירות, גרמי השמיים, וכל הטבע הארצי. </w:t>
      </w:r>
    </w:p>
    <w:p w14:paraId="6483CA91" w14:textId="14B50F75" w:rsidR="00DB69D1" w:rsidRDefault="009039D0" w:rsidP="00E6750E">
      <w:pPr>
        <w:pStyle w:val="FootnoteText"/>
        <w:rPr>
          <w:rtl/>
        </w:rPr>
      </w:pPr>
      <w:r>
        <w:rPr>
          <w:rFonts w:hint="cs"/>
          <w:rtl/>
        </w:rPr>
        <w:t xml:space="preserve">הזיווג הוא התעוררות לחיבור משני הצדדים, </w:t>
      </w:r>
      <w:r w:rsidR="00897A4E">
        <w:rPr>
          <w:rFonts w:hint="cs"/>
          <w:rtl/>
        </w:rPr>
        <w:t>ה</w:t>
      </w:r>
      <w:r>
        <w:rPr>
          <w:rFonts w:hint="cs"/>
          <w:rtl/>
        </w:rPr>
        <w:t xml:space="preserve">התעוררות מצד הנקבה היא צורת ארבעת היסודות מהבחינה שהיא צורה נקבית, הומיאומרית, כמו גוש שיש שהוא עצם בעל צורה אבל הוא נקרא חומר ביחס לפסל המוכן, כי הוא צורה נקבית, הוא לא מגלה דבר ברור כמו שמגלה הפסל הגמור. </w:t>
      </w:r>
      <w:r w:rsidR="00897A4E">
        <w:rPr>
          <w:rFonts w:hint="cs"/>
          <w:rtl/>
        </w:rPr>
        <w:t>כך צורת ארבעת היסודות היא צורת חומר לכל העצמים שיצטיירו בתרכובת היסודות. ומצד הזכר ארבעת היסודות הם צורה זכרית, הם מגלים את השכל שבשורש סדר השתלשלות הצורות (על דרך שיו</w:t>
      </w:r>
      <w:r w:rsidR="00F055C8">
        <w:rPr>
          <w:rtl/>
        </w:rPr>
        <w:t>"</w:t>
      </w:r>
      <w:r w:rsidR="00897A4E">
        <w:rPr>
          <w:rFonts w:hint="cs"/>
          <w:rtl/>
        </w:rPr>
        <w:t>ד היא ספירת חכמה</w:t>
      </w:r>
      <w:r w:rsidR="004F4A2A">
        <w:rPr>
          <w:rtl/>
        </w:rPr>
        <w:fldChar w:fldCharType="begin"/>
      </w:r>
      <w:r w:rsidR="004F4A2A">
        <w:instrText xml:space="preserve"> XE "</w:instrText>
      </w:r>
      <w:r w:rsidR="004F4A2A" w:rsidRPr="00C92315">
        <w:rPr>
          <w:rFonts w:hint="cs"/>
          <w:rtl/>
        </w:rPr>
        <w:instrText>ספירת כתר וספירת חכמה</w:instrText>
      </w:r>
      <w:r w:rsidR="004F4A2A">
        <w:instrText xml:space="preserve">" </w:instrText>
      </w:r>
      <w:r w:rsidR="004F4A2A">
        <w:rPr>
          <w:rtl/>
        </w:rPr>
        <w:fldChar w:fldCharType="end"/>
      </w:r>
      <w:r w:rsidR="00897A4E">
        <w:rPr>
          <w:rFonts w:hint="cs"/>
          <w:rtl/>
        </w:rPr>
        <w:t>, ה</w:t>
      </w:r>
      <w:r w:rsidR="00F055C8">
        <w:rPr>
          <w:rtl/>
        </w:rPr>
        <w:t>"</w:t>
      </w:r>
      <w:r w:rsidR="00897A4E">
        <w:rPr>
          <w:rFonts w:hint="cs"/>
          <w:rtl/>
        </w:rPr>
        <w:t>א ראשונה היא ספירת בינה, וא</w:t>
      </w:r>
      <w:r w:rsidR="00F055C8">
        <w:rPr>
          <w:rtl/>
        </w:rPr>
        <w:t>"</w:t>
      </w:r>
      <w:r w:rsidR="00897A4E">
        <w:rPr>
          <w:rFonts w:hint="cs"/>
          <w:rtl/>
        </w:rPr>
        <w:t>ו היא ששת הספירות מחסד עד יסוד, וה</w:t>
      </w:r>
      <w:r w:rsidR="00F055C8">
        <w:rPr>
          <w:rtl/>
        </w:rPr>
        <w:t>"</w:t>
      </w:r>
      <w:r w:rsidR="00897A4E">
        <w:rPr>
          <w:rFonts w:hint="cs"/>
          <w:rtl/>
        </w:rPr>
        <w:t>א אחרונה היא ספירת חכמה. ויש שכל בסדר הזה, הוא נובע מהכרח שכלי, כמו שבלוגיקה המסקנות נובעות מההנחות. ולכן הוא ממשיך להסיק עוד מסקנות ולהשתלשל עד הפרט הכי קטן בטבע). ההתעוררות לזיווג משני הצדדים היא אותה התעוררות עצמה, כי הרי אין באמת שניות בהתגלויות האל, הזכר והנקרבה אינם שניים אלא אחד, שניים שהם אחד (השבת היא הזיווג והמשנה הראשונה במסכת שבת עוסקת בזה). לכן ארבעת היסודות שייכים לנקבה וגם לזכר. עיקרי הצורות הזכריות שבמציאות הן ארבעת היסודות ואחר כך כל סדר הטבע ש</w:t>
      </w:r>
      <w:r w:rsidR="00DB69D1">
        <w:rPr>
          <w:rFonts w:hint="cs"/>
          <w:rtl/>
        </w:rPr>
        <w:t>משתלשל</w:t>
      </w:r>
      <w:r w:rsidR="00897A4E">
        <w:rPr>
          <w:rFonts w:hint="cs"/>
          <w:rtl/>
        </w:rPr>
        <w:t xml:space="preserve"> מהשכל שבהם</w:t>
      </w:r>
      <w:r w:rsidR="00DB69D1">
        <w:rPr>
          <w:rFonts w:hint="cs"/>
          <w:rtl/>
        </w:rPr>
        <w:t>, וכמו שנאמר שהכל הוא עשר ספירות</w:t>
      </w:r>
      <w:r w:rsidR="00897A4E">
        <w:rPr>
          <w:rFonts w:hint="cs"/>
          <w:rtl/>
        </w:rPr>
        <w:t xml:space="preserve">. </w:t>
      </w:r>
    </w:p>
    <w:p w14:paraId="7243AB13" w14:textId="299CCEE9" w:rsidR="00DB69D1" w:rsidRDefault="00DB69D1" w:rsidP="00E6750E">
      <w:pPr>
        <w:pStyle w:val="FootnoteText"/>
        <w:rPr>
          <w:rtl/>
        </w:rPr>
      </w:pPr>
      <w:r>
        <w:rPr>
          <w:rFonts w:hint="cs"/>
          <w:rtl/>
        </w:rPr>
        <w:t xml:space="preserve">זה מה שכתב כאן אבן סינא: </w:t>
      </w:r>
      <w:r w:rsidR="00F055C8">
        <w:rPr>
          <w:rtl/>
        </w:rPr>
        <w:t>"</w:t>
      </w:r>
      <w:r w:rsidRPr="00DB69D1">
        <w:rPr>
          <w:rtl/>
        </w:rPr>
        <w:t>מקצתן בכלליות ובסדר השתלשלות</w:t>
      </w:r>
      <w:r w:rsidR="00F055C8">
        <w:rPr>
          <w:rtl/>
        </w:rPr>
        <w:t>"</w:t>
      </w:r>
      <w:r>
        <w:rPr>
          <w:rFonts w:hint="cs"/>
          <w:rtl/>
        </w:rPr>
        <w:t>.</w:t>
      </w:r>
      <w:r w:rsidRPr="00DB69D1">
        <w:rPr>
          <w:rtl/>
        </w:rPr>
        <w:t xml:space="preserve"> </w:t>
      </w:r>
    </w:p>
    <w:p w14:paraId="5AF74BDD" w14:textId="77777777" w:rsidR="00DB69D1" w:rsidRDefault="00DB69D1" w:rsidP="00E6750E">
      <w:pPr>
        <w:pStyle w:val="FootnoteText"/>
        <w:rPr>
          <w:rtl/>
        </w:rPr>
      </w:pPr>
    </w:p>
    <w:p w14:paraId="73CF4E3A" w14:textId="2EE6C7E9" w:rsidR="009039D0" w:rsidRDefault="00DB69D1" w:rsidP="00E6750E">
      <w:pPr>
        <w:pStyle w:val="FootnoteText"/>
        <w:rPr>
          <w:rtl/>
        </w:rPr>
      </w:pPr>
      <w:r>
        <w:rPr>
          <w:rFonts w:hint="cs"/>
          <w:rtl/>
        </w:rPr>
        <w:t xml:space="preserve">אחר כך הוסיף: </w:t>
      </w:r>
      <w:r w:rsidR="00F055C8">
        <w:rPr>
          <w:rtl/>
        </w:rPr>
        <w:t>"</w:t>
      </w:r>
      <w:r w:rsidRPr="00DB69D1">
        <w:rPr>
          <w:rtl/>
        </w:rPr>
        <w:t>ואחרות רק בסדר השתלשלות</w:t>
      </w:r>
      <w:r w:rsidR="00F055C8">
        <w:rPr>
          <w:rtl/>
        </w:rPr>
        <w:t>"</w:t>
      </w:r>
    </w:p>
    <w:p w14:paraId="2B1099D8" w14:textId="359494C9" w:rsidR="00DB69D1" w:rsidRDefault="00DB69D1" w:rsidP="00E6750E">
      <w:pPr>
        <w:pStyle w:val="FootnoteText"/>
        <w:rPr>
          <w:rtl/>
        </w:rPr>
      </w:pPr>
      <w:r>
        <w:rPr>
          <w:rFonts w:hint="cs"/>
          <w:rtl/>
        </w:rPr>
        <w:t>הכוונה היא לצורות שבטבע הארצי של תרכובת ד' היסודות, שהן חלות לפי מה שמאפשר להן ומוכן אליהן שינוי המזג של הרכבת היסודות שנקבעת מהכח הנקבי בלי שכל. אלה צורות שיש בהן אור ושכל, וגם את השכל של סדר ד' היסודות, אבל אינן משתלשלות באופן מוכרח מהסדר השכלי של ד' היסודות עצמם. למשל סוס, הוא מתחיל משורש חיים מופשט כללי, שזה היו</w:t>
      </w:r>
      <w:r w:rsidR="00F055C8">
        <w:rPr>
          <w:rtl/>
        </w:rPr>
        <w:t>"</w:t>
      </w:r>
      <w:r>
        <w:rPr>
          <w:rFonts w:hint="cs"/>
          <w:rtl/>
        </w:rPr>
        <w:t>ד הראשונה של שם הווייה, והוא יסוד האש הנעלם, ומקבל הגדרה של חיים, שזה יסוד הרוח, ה</w:t>
      </w:r>
      <w:r w:rsidR="00F055C8">
        <w:rPr>
          <w:rtl/>
        </w:rPr>
        <w:t>"</w:t>
      </w:r>
      <w:r>
        <w:rPr>
          <w:rFonts w:hint="cs"/>
          <w:rtl/>
        </w:rPr>
        <w:t xml:space="preserve">א ראשונה, ספירת בינה. ואחר כך מסתיימת הצורה ומתממשת ומתהווה סוס. </w:t>
      </w:r>
      <w:r w:rsidR="00250BC8">
        <w:rPr>
          <w:rFonts w:hint="cs"/>
          <w:rtl/>
        </w:rPr>
        <w:t xml:space="preserve">אבל אם נסתכל בד' היסודות לחוד, בפני עצמם, לא יתחייב מזה דווקא סוס כמו שאנו רואים אותו. לכן זה נקרא רק מה שמשתלשל מהכללי ולא הכללי. </w:t>
      </w:r>
      <w:r>
        <w:rPr>
          <w:rFonts w:hint="cs"/>
          <w:rtl/>
        </w:rPr>
        <w:t xml:space="preserve"> </w:t>
      </w:r>
    </w:p>
    <w:p w14:paraId="05CD2F16" w14:textId="2CA0ACC4" w:rsidR="00E6750E" w:rsidRDefault="002B0D3A" w:rsidP="00E6750E">
      <w:pPr>
        <w:pStyle w:val="FootnoteText"/>
        <w:rPr>
          <w:rtl/>
        </w:rPr>
      </w:pPr>
      <w:r>
        <w:rPr>
          <w:rFonts w:hint="cs"/>
          <w:rtl/>
        </w:rPr>
        <w:t xml:space="preserve"> </w:t>
      </w:r>
    </w:p>
    <w:p w14:paraId="30508222" w14:textId="5415E41E" w:rsidR="005324B0" w:rsidRDefault="005324B0" w:rsidP="00E6750E">
      <w:pPr>
        <w:pStyle w:val="FootnoteText"/>
        <w:rPr>
          <w:rtl/>
        </w:rPr>
      </w:pPr>
      <w:r>
        <w:rPr>
          <w:rFonts w:hint="cs"/>
          <w:rtl/>
        </w:rPr>
        <w:t xml:space="preserve">עיין בספר </w:t>
      </w:r>
      <w:hyperlink r:id="rId31" w:history="1">
        <w:r w:rsidR="00F055C8">
          <w:rPr>
            <w:rStyle w:val="Hyperlink"/>
            <w:rtl/>
          </w:rPr>
          <w:t>"</w:t>
        </w:r>
        <w:r w:rsidRPr="00F874CD">
          <w:rPr>
            <w:rStyle w:val="Hyperlink"/>
            <w:rFonts w:hint="cs"/>
            <w:rtl/>
          </w:rPr>
          <w:t>התחלות הנמצאות</w:t>
        </w:r>
        <w:r w:rsidR="00F055C8">
          <w:rPr>
            <w:rStyle w:val="Hyperlink"/>
            <w:rtl/>
          </w:rPr>
          <w:t>"</w:t>
        </w:r>
      </w:hyperlink>
      <w:r>
        <w:rPr>
          <w:rFonts w:hint="cs"/>
          <w:rtl/>
        </w:rPr>
        <w:t xml:space="preserve"> מאת אלפראבי מהחצי השני של עמ' 5 ובעמ' 6 שכתב את הצד השני שכתב אבן סינא כאן, הוא צד הזכר, שלפיו ה'יש' של הטבע הוא הצורות ולחומר אין מציאות.</w:t>
      </w:r>
    </w:p>
    <w:p w14:paraId="296DC565" w14:textId="77777777" w:rsidR="005324B0" w:rsidRDefault="005324B0" w:rsidP="00E6750E">
      <w:pPr>
        <w:pStyle w:val="FootnoteText"/>
        <w:rPr>
          <w:rtl/>
        </w:rPr>
      </w:pPr>
      <w:r>
        <w:rPr>
          <w:rFonts w:hint="cs"/>
          <w:rtl/>
        </w:rPr>
        <w:t>ושם בעמ' 7, מהקטע המתחיל:</w:t>
      </w:r>
    </w:p>
    <w:p w14:paraId="1DF230F4" w14:textId="3F7F1114" w:rsidR="005324B0" w:rsidRDefault="00F055C8" w:rsidP="00E6750E">
      <w:pPr>
        <w:pStyle w:val="FootnoteText"/>
      </w:pPr>
      <w:r>
        <w:rPr>
          <w:rtl/>
        </w:rPr>
        <w:t>"</w:t>
      </w:r>
      <w:r w:rsidR="005324B0">
        <w:rPr>
          <w:rFonts w:hint="cs"/>
          <w:rtl/>
        </w:rPr>
        <w:t>והצורה והחומר הראשון</w:t>
      </w:r>
      <w:r w:rsidR="00E73C62">
        <w:rPr>
          <w:rtl/>
        </w:rPr>
        <w:fldChar w:fldCharType="begin"/>
      </w:r>
      <w:r w:rsidR="00E73C62">
        <w:instrText xml:space="preserve"> XE "</w:instrText>
      </w:r>
      <w:r w:rsidR="00E73C62" w:rsidRPr="00C0493A">
        <w:rPr>
          <w:rFonts w:hint="cs"/>
          <w:rtl/>
        </w:rPr>
        <w:instrText>החומר הראשון</w:instrText>
      </w:r>
      <w:r w:rsidR="00E73C62">
        <w:instrText xml:space="preserve">" </w:instrText>
      </w:r>
      <w:r w:rsidR="00E73C62">
        <w:rPr>
          <w:rtl/>
        </w:rPr>
        <w:fldChar w:fldCharType="end"/>
      </w:r>
      <w:r w:rsidR="005324B0">
        <w:rPr>
          <w:rFonts w:hint="cs"/>
          <w:rtl/>
        </w:rPr>
        <w:t xml:space="preserve"> הם יותר חסרים מאלו ההתחלות במציאות וכו'</w:t>
      </w:r>
      <w:r>
        <w:rPr>
          <w:rtl/>
        </w:rPr>
        <w:t>"</w:t>
      </w:r>
      <w:r w:rsidR="005324B0">
        <w:rPr>
          <w:rFonts w:hint="cs"/>
          <w:rtl/>
        </w:rPr>
        <w:t xml:space="preserve"> ובעמ' 8, כתב מהצד הנקבי, הוא הצד הראשון של אבן סינא כאן.    </w:t>
      </w:r>
    </w:p>
  </w:footnote>
  <w:footnote w:id="130">
    <w:p w14:paraId="005AFAE9" w14:textId="1E8D1AAF" w:rsidR="0047724A" w:rsidRPr="00FB30D4" w:rsidRDefault="0047724A" w:rsidP="0047724A">
      <w:pPr>
        <w:pStyle w:val="FootnoteText"/>
        <w:rPr>
          <w:rtl/>
        </w:rPr>
      </w:pPr>
      <w:r>
        <w:rPr>
          <w:rStyle w:val="FootnoteReference"/>
        </w:rPr>
        <w:footnoteRef/>
      </w:r>
      <w:r>
        <w:rPr>
          <w:rtl/>
        </w:rPr>
        <w:t xml:space="preserve"> במקור כתב </w:t>
      </w:r>
      <w:r w:rsidR="00F055C8">
        <w:rPr>
          <w:rtl/>
        </w:rPr>
        <w:t>"</w:t>
      </w:r>
      <w:r>
        <w:rPr>
          <w:rtl/>
        </w:rPr>
        <w:t>היולי</w:t>
      </w:r>
      <w:r w:rsidR="00045D8D">
        <w:rPr>
          <w:rtl/>
        </w:rPr>
        <w:fldChar w:fldCharType="begin"/>
      </w:r>
      <w:r w:rsidR="00045D8D">
        <w:instrText xml:space="preserve"> XE "</w:instrText>
      </w:r>
      <w:r w:rsidR="00045D8D" w:rsidRPr="00A2720F">
        <w:rPr>
          <w:rtl/>
        </w:rPr>
        <w:instrText>היולי</w:instrText>
      </w:r>
      <w:r w:rsidR="00045D8D" w:rsidRPr="00A2720F">
        <w:rPr>
          <w:rFonts w:hint="cs"/>
          <w:rtl/>
        </w:rPr>
        <w:instrText xml:space="preserve"> - הגדרת המונח</w:instrText>
      </w:r>
      <w:r w:rsidR="00045D8D">
        <w:instrText xml:space="preserve">" </w:instrText>
      </w:r>
      <w:r w:rsidR="00045D8D">
        <w:rPr>
          <w:rtl/>
        </w:rPr>
        <w:fldChar w:fldCharType="end"/>
      </w:r>
      <w:r w:rsidR="00F055C8">
        <w:rPr>
          <w:rtl/>
        </w:rPr>
        <w:t>"</w:t>
      </w:r>
      <w:r>
        <w:rPr>
          <w:rtl/>
        </w:rPr>
        <w:t xml:space="preserve">, </w:t>
      </w:r>
      <w:r>
        <w:rPr>
          <w:rFonts w:cs="Times New Roman" w:hint="eastAsia"/>
          <w:rtl/>
          <w:lang w:bidi="ar-SA"/>
        </w:rPr>
        <w:t>هيولى</w:t>
      </w:r>
      <w:r>
        <w:rPr>
          <w:rFonts w:cs="Times New Roman"/>
          <w:rtl/>
          <w:lang w:bidi="ar-SA"/>
        </w:rPr>
        <w:t xml:space="preserve">, </w:t>
      </w:r>
      <w:r>
        <w:rPr>
          <w:rtl/>
        </w:rPr>
        <w:t>ולא את המילים השגורות לחומר כגון</w:t>
      </w:r>
      <w:r w:rsidR="00C72F19">
        <w:rPr>
          <w:rFonts w:hint="cs"/>
          <w:rtl/>
        </w:rPr>
        <w:t xml:space="preserve"> 'גשם' </w:t>
      </w:r>
      <w:r w:rsidR="00A75ABB">
        <w:rPr>
          <w:rFonts w:hint="cs"/>
          <w:rtl/>
        </w:rPr>
        <w:t>(</w:t>
      </w:r>
      <w:r w:rsidR="00C72F19" w:rsidRPr="00C72F19">
        <w:rPr>
          <w:rFonts w:cs="Times New Roman" w:hint="eastAsia"/>
          <w:rtl/>
          <w:lang w:bidi="ar-SA"/>
        </w:rPr>
        <w:t>جسم</w:t>
      </w:r>
      <w:r w:rsidR="001469F0">
        <w:rPr>
          <w:rFonts w:hint="cs"/>
          <w:rtl/>
        </w:rPr>
        <w:t xml:space="preserve"> </w:t>
      </w:r>
      <w:r w:rsidR="00C72F19">
        <w:rPr>
          <w:rFonts w:hint="cs"/>
          <w:rtl/>
        </w:rPr>
        <w:t>)</w:t>
      </w:r>
      <w:r w:rsidR="00A75ABB">
        <w:rPr>
          <w:rFonts w:hint="cs"/>
          <w:rtl/>
        </w:rPr>
        <w:t xml:space="preserve"> או </w:t>
      </w:r>
      <w:r w:rsidR="00A75ABB" w:rsidRPr="00A75ABB">
        <w:rPr>
          <w:rFonts w:cs="Times New Roman" w:hint="eastAsia"/>
          <w:rtl/>
          <w:lang w:bidi="ar-SA"/>
        </w:rPr>
        <w:t>مادة</w:t>
      </w:r>
      <w:r w:rsidR="00FB30D4" w:rsidRPr="00FB30D4">
        <w:rPr>
          <w:rtl/>
        </w:rPr>
        <w:t xml:space="preserve"> (עיין </w:t>
      </w:r>
      <w:r w:rsidR="00FB30D4">
        <w:rPr>
          <w:rFonts w:hint="cs"/>
          <w:rtl/>
        </w:rPr>
        <w:t xml:space="preserve">עוד בזה </w:t>
      </w:r>
      <w:r w:rsidR="00FB30D4" w:rsidRPr="00FB30D4">
        <w:rPr>
          <w:rtl/>
        </w:rPr>
        <w:t>לעיל 1.2.3</w:t>
      </w:r>
      <w:r w:rsidR="00FB30D4">
        <w:rPr>
          <w:rFonts w:hint="cs"/>
          <w:rtl/>
        </w:rPr>
        <w:t xml:space="preserve"> בהערה)</w:t>
      </w:r>
      <w:r w:rsidRPr="00FB30D4">
        <w:rPr>
          <w:rtl/>
        </w:rPr>
        <w:t xml:space="preserve">. </w:t>
      </w:r>
    </w:p>
    <w:p w14:paraId="3D585D64" w14:textId="4FEEB54A" w:rsidR="0047724A" w:rsidRDefault="0047724A" w:rsidP="0047724A">
      <w:pPr>
        <w:pStyle w:val="FootnoteText"/>
        <w:rPr>
          <w:rtl/>
        </w:rPr>
      </w:pPr>
      <w:r>
        <w:rPr>
          <w:rFonts w:hint="eastAsia"/>
          <w:rtl/>
        </w:rPr>
        <w:t>חומר</w:t>
      </w:r>
      <w:r>
        <w:rPr>
          <w:rtl/>
        </w:rPr>
        <w:t xml:space="preserve"> מתפרש גם כאבנים לבניין, קרשים לנגר, גוש שיש לפסל, בשר לגוף החי, וכל כיו</w:t>
      </w:r>
      <w:r w:rsidR="00F055C8">
        <w:rPr>
          <w:rtl/>
        </w:rPr>
        <w:t>"</w:t>
      </w:r>
      <w:r>
        <w:rPr>
          <w:rtl/>
        </w:rPr>
        <w:t xml:space="preserve">ב. אבן, קרש, בשר, באמת הם חומר שיש בו צורה, ולכן הם קיימים כעצם, כגוף, באותה מידה כמו כל שאר העצמים הטבעיים. הצורה של העצמים האלה, התוכן שלה, מה </w:t>
      </w:r>
      <w:r>
        <w:rPr>
          <w:rtl/>
        </w:rPr>
        <w:t>שמצוייר בה, היא שהם עומדים להיות ח</w:t>
      </w:r>
      <w:r>
        <w:rPr>
          <w:rFonts w:hint="eastAsia"/>
          <w:rtl/>
        </w:rPr>
        <w:t>ומר</w:t>
      </w:r>
      <w:r>
        <w:rPr>
          <w:rtl/>
        </w:rPr>
        <w:t xml:space="preserve"> לצורה נוספת. אלה מין מיוחד של צורות הנקראות צורות הומיאומריות או צורות נקביות. המאפיין אותן הוא שאם יחלקו את העצם יישאר השם לכל חלק. חצי גוש שיש הוא גוש שיש, לעומת חצי אדם שאינו אדם. </w:t>
      </w:r>
    </w:p>
    <w:p w14:paraId="02038745" w14:textId="77777777" w:rsidR="0047724A" w:rsidRDefault="0047724A" w:rsidP="0047724A">
      <w:pPr>
        <w:pStyle w:val="FootnoteText"/>
        <w:rPr>
          <w:rtl/>
        </w:rPr>
      </w:pPr>
      <w:r>
        <w:rPr>
          <w:rFonts w:hint="eastAsia"/>
          <w:rtl/>
        </w:rPr>
        <w:t>אדם</w:t>
      </w:r>
      <w:r>
        <w:rPr>
          <w:rtl/>
        </w:rPr>
        <w:t xml:space="preserve"> גם הוא בבחינת חומר לגדוד בצבא. מצד שני קרשים לבניין, הם חומר מצד הבנאי, אבל מצד הנגר שהכין אותם מעצים שנכרתו ביער, הם העצם. </w:t>
      </w:r>
    </w:p>
    <w:p w14:paraId="5C691DEF" w14:textId="3D2516F1" w:rsidR="0047724A" w:rsidRDefault="0047724A" w:rsidP="0047724A">
      <w:pPr>
        <w:pStyle w:val="FootnoteText"/>
        <w:rPr>
          <w:rtl/>
        </w:rPr>
      </w:pPr>
      <w:r>
        <w:rPr>
          <w:rFonts w:hint="eastAsia"/>
          <w:rtl/>
        </w:rPr>
        <w:t>לכן</w:t>
      </w:r>
      <w:r>
        <w:rPr>
          <w:rtl/>
        </w:rPr>
        <w:t xml:space="preserve"> לא כתב כאן אבן סינא חומר, אלא דווקא </w:t>
      </w:r>
      <w:r w:rsidR="00F055C8">
        <w:rPr>
          <w:rtl/>
        </w:rPr>
        <w:t>"</w:t>
      </w:r>
      <w:r>
        <w:rPr>
          <w:rtl/>
        </w:rPr>
        <w:t>היולי</w:t>
      </w:r>
      <w:r w:rsidR="00F055C8">
        <w:rPr>
          <w:rtl/>
        </w:rPr>
        <w:t>"</w:t>
      </w:r>
      <w:r>
        <w:rPr>
          <w:rtl/>
        </w:rPr>
        <w:t xml:space="preserve">. היולי פירושו גם כן חומר, אבל הכוונה היא במובנו הראשוני. לא כצורה שמציירת משהו שמטבעו עומד להיות חומר למשהו אחר, אלא כחומר עצמו של העצם, אם נחשוב עליו כנטול צורה מכל וכל. </w:t>
      </w:r>
    </w:p>
    <w:p w14:paraId="47AE38B0" w14:textId="2E433004" w:rsidR="0047724A" w:rsidRDefault="0047724A" w:rsidP="0047724A">
      <w:pPr>
        <w:pStyle w:val="FootnoteText"/>
        <w:rPr>
          <w:rtl/>
        </w:rPr>
      </w:pPr>
      <w:r>
        <w:rPr>
          <w:rFonts w:hint="eastAsia"/>
          <w:rtl/>
        </w:rPr>
        <w:t>אם</w:t>
      </w:r>
      <w:r>
        <w:rPr>
          <w:rtl/>
        </w:rPr>
        <w:t xml:space="preserve"> נחשוב על אדם, הוא צורה שהחומר שלה נניח שהוא בשר, ובשר הוא צורה שהחומר שלה נניח שהוא תרכובת במזג </w:t>
      </w:r>
      <w:r w:rsidR="009C463A">
        <w:rPr>
          <w:rFonts w:hint="cs"/>
          <w:rtl/>
        </w:rPr>
        <w:t>מסוים</w:t>
      </w:r>
      <w:r>
        <w:rPr>
          <w:rtl/>
        </w:rPr>
        <w:t xml:space="preserve"> של ארבעת היסודות (אני כותב </w:t>
      </w:r>
      <w:r w:rsidR="00F055C8">
        <w:rPr>
          <w:rtl/>
        </w:rPr>
        <w:t>"</w:t>
      </w:r>
      <w:r>
        <w:rPr>
          <w:rtl/>
        </w:rPr>
        <w:t>נניח</w:t>
      </w:r>
      <w:r w:rsidR="00F055C8">
        <w:rPr>
          <w:rtl/>
        </w:rPr>
        <w:t>"</w:t>
      </w:r>
      <w:r>
        <w:rPr>
          <w:rtl/>
        </w:rPr>
        <w:t xml:space="preserve"> כי אני מפשט כאן לצורך הדוגמה עניין שהוא הרבה יותר מורכב), והמזג המסוים של התרכובת הוא צורה נקבית מקרית (כלומר החיים </w:t>
      </w:r>
      <w:r>
        <w:rPr>
          <w:rFonts w:hint="eastAsia"/>
          <w:rtl/>
        </w:rPr>
        <w:t>עצמם</w:t>
      </w:r>
      <w:r>
        <w:rPr>
          <w:rtl/>
        </w:rPr>
        <w:t xml:space="preserve"> מצד שהם נפש העולם שמצד החומר, ה </w:t>
      </w:r>
      <w:r>
        <w:t>pneuma</w:t>
      </w:r>
      <w:r>
        <w:rPr>
          <w:rtl/>
        </w:rPr>
        <w:t>, שהם לא ניתנים לתפישת השכל ומשום כך נקראים מקרה) של ארבעת היסודות הטהורים, והם עצם בעל טבע מיוחד, שאינו נכלל בטבע הארצי של עולמנו (עיין טימיאוס מאת אפלטון עמ' 49-52), ועניינו שמציאותו היא תנועה טהורה, כלומר לא תנ</w:t>
      </w:r>
      <w:r>
        <w:rPr>
          <w:rFonts w:hint="eastAsia"/>
          <w:rtl/>
        </w:rPr>
        <w:t>ועה</w:t>
      </w:r>
      <w:r>
        <w:rPr>
          <w:rtl/>
        </w:rPr>
        <w:t xml:space="preserve"> של גוף אלא רק תנועה, בלי גוף. וכגון גלים אלקטרומגנטיים שאין להם מסה. והחומר של העצם שהוא היסודות הטהורים הוא ההיולי, החומר הראשון. </w:t>
      </w:r>
    </w:p>
    <w:p w14:paraId="601C80F0" w14:textId="01C180C6" w:rsidR="0047724A" w:rsidRDefault="0047724A" w:rsidP="0047724A">
      <w:pPr>
        <w:pStyle w:val="FootnoteText"/>
      </w:pPr>
      <w:r>
        <w:rPr>
          <w:rFonts w:hint="eastAsia"/>
          <w:rtl/>
        </w:rPr>
        <w:t>בהתבוננות</w:t>
      </w:r>
      <w:r>
        <w:rPr>
          <w:rtl/>
        </w:rPr>
        <w:t xml:space="preserve"> באדם אפשר להגיע עד ההיולי כמו שהראיתי, וכן בהתבוננות בכל גוף טבעי. ההיולי הזה עליו דווקא כתב אבן סינא כאן שבפני עצמו אינו נחשב 'משהו' קיים. אין לו שום הגדרה, וגם לא הגדרה של קיים או לא קיים. אפשר לראות בזה עוד ביטוי לתפישה האפלטונית והאריסטוטלית </w:t>
      </w:r>
      <w:r>
        <w:rPr>
          <w:rFonts w:hint="eastAsia"/>
          <w:rtl/>
        </w:rPr>
        <w:t>שהמציאות</w:t>
      </w:r>
      <w:r>
        <w:rPr>
          <w:rtl/>
        </w:rPr>
        <w:t xml:space="preserve"> היא המופשט, והחומרי הוא רק צל שלה שאין בו ממשות. ההתבוננות בחומר הראשון, שהוא מצע ה'מציאות' של כל גוף, מפריכה את ההסתכלות שלחומר יש מציאות ממשית משל עצמו.</w:t>
      </w:r>
    </w:p>
  </w:footnote>
  <w:footnote w:id="131">
    <w:p w14:paraId="6247CD71" w14:textId="2FAAF623" w:rsidR="00C351A9" w:rsidRDefault="00C351A9">
      <w:pPr>
        <w:pStyle w:val="FootnoteText"/>
        <w:rPr>
          <w:rtl/>
        </w:rPr>
      </w:pPr>
      <w:r>
        <w:rPr>
          <w:rStyle w:val="FootnoteReference"/>
        </w:rPr>
        <w:footnoteRef/>
      </w:r>
      <w:r>
        <w:rPr>
          <w:rtl/>
        </w:rPr>
        <w:t xml:space="preserve"> </w:t>
      </w:r>
      <w:r>
        <w:rPr>
          <w:rFonts w:hint="cs"/>
          <w:rtl/>
        </w:rPr>
        <w:t xml:space="preserve">בהערה שכתבתי בסוף סעיף 4, על מעשה מרכבה, ניסיתי להבין למה המציאות היא זכר ונקבה, צורה וחומר. תחום העיון שעסקתי בו נקרא </w:t>
      </w:r>
      <w:r>
        <w:rPr>
          <w:rFonts w:hint="cs"/>
          <w:rtl/>
        </w:rPr>
        <w:t xml:space="preserve">מטאפיזיקה. אצל אריסטו המילה </w:t>
      </w:r>
      <w:r w:rsidR="00F055C8">
        <w:rPr>
          <w:rtl/>
        </w:rPr>
        <w:t>"</w:t>
      </w:r>
      <w:r>
        <w:rPr>
          <w:rFonts w:hint="cs"/>
          <w:rtl/>
        </w:rPr>
        <w:t>מטאפיזיקה</w:t>
      </w:r>
      <w:r w:rsidR="00F055C8">
        <w:rPr>
          <w:rtl/>
        </w:rPr>
        <w:t>"</w:t>
      </w:r>
      <w:r>
        <w:rPr>
          <w:rFonts w:hint="cs"/>
        </w:rPr>
        <w:t xml:space="preserve"> </w:t>
      </w:r>
      <w:r>
        <w:rPr>
          <w:rFonts w:hint="cs"/>
          <w:rtl/>
        </w:rPr>
        <w:t xml:space="preserve">לא הייתה קיימת, היא התחדשה על ידי עורכי כתביו, אחרי מותו. אריסטו קרא לתחום העיון הזה תיאולוגיה, חכמת האלוהות. </w:t>
      </w:r>
    </w:p>
    <w:p w14:paraId="04832B21" w14:textId="77777777" w:rsidR="009568F4" w:rsidRDefault="00C351A9">
      <w:pPr>
        <w:pStyle w:val="FootnoteText"/>
        <w:rPr>
          <w:rtl/>
        </w:rPr>
      </w:pPr>
      <w:r>
        <w:rPr>
          <w:rFonts w:hint="cs"/>
          <w:rtl/>
        </w:rPr>
        <w:t>בחכמת האלוהות יש אקסיומה (מושכל ראשון) אחת, והיא ההתגלות האלוהית. ניסיתי להתבונן בהתגלות האלוהית, ושכלי הראה לי שהתגלות של דבר היא בהכרח על רקע ניגודו; רק אם יש לו ניגוד אפשר שתהיה לו הגדרה (ההגדרה היא שהוא כך ולא כמו ניגודו שהוא אחרת), התגלות היא אפשרות להיות מוגדר. לכן ההתגלות מוכרחה להתגלות בדרך של ניגודים, 'יש' מול 'העדר', 'זכר' מול 'נקבה', 'אור' מול 'כלי', 'ציור' מול 'מצע' שעליו מצטייר הציור, 'בפועל' מול 'בכח', 'חיים' מול 'מוות', וזהו 'צורה' ו'חומר'. כלומר מה שיסוד המציאות הוא צורה</w:t>
      </w:r>
      <w:r w:rsidR="009568F4">
        <w:rPr>
          <w:rFonts w:hint="cs"/>
          <w:rtl/>
        </w:rPr>
        <w:t xml:space="preserve"> </w:t>
      </w:r>
      <w:r>
        <w:rPr>
          <w:rFonts w:hint="cs"/>
          <w:rtl/>
        </w:rPr>
        <w:t xml:space="preserve">וחומר, </w:t>
      </w:r>
      <w:r w:rsidR="009568F4">
        <w:rPr>
          <w:rFonts w:hint="cs"/>
          <w:rtl/>
        </w:rPr>
        <w:t xml:space="preserve">זה </w:t>
      </w:r>
      <w:r>
        <w:rPr>
          <w:rFonts w:hint="cs"/>
          <w:rtl/>
        </w:rPr>
        <w:t>נגזר בהת</w:t>
      </w:r>
      <w:r w:rsidR="009568F4">
        <w:rPr>
          <w:rFonts w:hint="cs"/>
          <w:rtl/>
        </w:rPr>
        <w:t>ב</w:t>
      </w:r>
      <w:r>
        <w:rPr>
          <w:rFonts w:hint="cs"/>
          <w:rtl/>
        </w:rPr>
        <w:t>וננות שכלית מ</w:t>
      </w:r>
      <w:r w:rsidR="009568F4">
        <w:rPr>
          <w:rFonts w:hint="cs"/>
          <w:rtl/>
        </w:rPr>
        <w:t xml:space="preserve">האקסיומה של ההתגלות האלוהית. </w:t>
      </w:r>
    </w:p>
    <w:p w14:paraId="035756B6" w14:textId="0744B318" w:rsidR="009568F4" w:rsidRDefault="009568F4">
      <w:pPr>
        <w:pStyle w:val="FootnoteText"/>
        <w:rPr>
          <w:rtl/>
        </w:rPr>
      </w:pPr>
      <w:r>
        <w:rPr>
          <w:rFonts w:hint="cs"/>
          <w:rtl/>
        </w:rPr>
        <w:t>חכמת האלוהות, היא מעשה מרכבה כמו שכתב הרמב</w:t>
      </w:r>
      <w:r w:rsidR="00F055C8">
        <w:rPr>
          <w:rtl/>
        </w:rPr>
        <w:t>"</w:t>
      </w:r>
      <w:r>
        <w:rPr>
          <w:rFonts w:hint="cs"/>
          <w:rtl/>
        </w:rPr>
        <w:t xml:space="preserve">ם, היא </w:t>
      </w:r>
      <w:r w:rsidR="00F055C8">
        <w:rPr>
          <w:rtl/>
        </w:rPr>
        <w:t>"</w:t>
      </w:r>
      <w:r>
        <w:rPr>
          <w:rFonts w:hint="cs"/>
          <w:rtl/>
        </w:rPr>
        <w:t>הפילוסופיה הראשונה</w:t>
      </w:r>
      <w:r w:rsidR="00F055C8">
        <w:rPr>
          <w:rtl/>
        </w:rPr>
        <w:t>"</w:t>
      </w:r>
      <w:r>
        <w:rPr>
          <w:rFonts w:hint="cs"/>
          <w:rtl/>
        </w:rPr>
        <w:t xml:space="preserve"> כמו שאריסטו כינה אותה, מתחילה מהאקסיומה האחת העליונה ביותר, שאותה אי אפשר לגזור משום הנחות יסוד קודמות, שאי אפשר לנמק אותה, והיא ההתגלות האלוהית. אחרי שיש את האקסיומה הזו, כל השאר יכול להיות נגזר ממנה בהתבוננות שכלית. </w:t>
      </w:r>
    </w:p>
    <w:p w14:paraId="6C834D1A" w14:textId="77777777" w:rsidR="009568F4" w:rsidRDefault="009568F4">
      <w:pPr>
        <w:pStyle w:val="FootnoteText"/>
        <w:rPr>
          <w:rtl/>
        </w:rPr>
      </w:pPr>
      <w:r>
        <w:rPr>
          <w:rFonts w:hint="cs"/>
          <w:rtl/>
        </w:rPr>
        <w:t>המסקנות שהפילוסופיה הראשונה גוזרת בעיון שכלי מהנחות היסוד שלה (האקסיומות), כלומר הנחת היסוד האחת שהיא ההתגלות האלוהית, הן נעשות המושכלות הראשונות של הפילוסופיה שנייה, שהיא חכמת הטבע. בחכמת האלוהות מה שהכל הוא חומר וצורה זו תוצאה מהתבוננות במושכל הראשון שהוא ההתגלות האלוהית, בחכמת הטבע זה מושכל ראשון שאינו מנומק ולא נובע מעיון שכלי, אלא הוא נקודת התחלה לעיון השכלי.</w:t>
      </w:r>
    </w:p>
    <w:p w14:paraId="2E1C2565" w14:textId="77777777" w:rsidR="00146F6D" w:rsidRDefault="009568F4">
      <w:pPr>
        <w:pStyle w:val="FootnoteText"/>
        <w:rPr>
          <w:rtl/>
        </w:rPr>
      </w:pPr>
      <w:r>
        <w:rPr>
          <w:rFonts w:hint="cs"/>
          <w:rtl/>
        </w:rPr>
        <w:t xml:space="preserve">יש גם פילוסופיות שלישיות ורביעיות וכן הלאה. </w:t>
      </w:r>
      <w:r w:rsidR="00146F6D">
        <w:rPr>
          <w:rFonts w:hint="cs"/>
          <w:rtl/>
        </w:rPr>
        <w:t xml:space="preserve">למשל חכמת הטבע מתבוננת במושכל הראשון של חומר וצורה, וגוזרת מזה בעיון שכלי שתנועת העפר למטה ותנועת האש למעלה נובעות מצורתם של העפר ושל האש (שיש לה שכל ורצון) שעניינה הוא להשתתף בשלמות הצורה הכללית של המערכת הטבעית, והבנת הסדר השכלי של המערכת הטבעית בכללותה מלמדת ששלמותה היא בכך שיסוד העפר מקומו למטה יחסית ליסוד האש (מקומות היסודות הם רק יחסיהם זה לזה ולא תפישת מקום בחלל אובייקטיבי. כל זה דורש ביאור ארוך, אני מקצר כאן כי זו רק דוגמה). </w:t>
      </w:r>
    </w:p>
    <w:p w14:paraId="6A471240" w14:textId="77777777" w:rsidR="00146F6D" w:rsidRDefault="00146F6D">
      <w:pPr>
        <w:pStyle w:val="FootnoteText"/>
        <w:rPr>
          <w:rtl/>
        </w:rPr>
      </w:pPr>
      <w:r>
        <w:rPr>
          <w:rFonts w:hint="cs"/>
          <w:rtl/>
        </w:rPr>
        <w:t>מה שאצל חכמת הטבע הוא מסקנות שנגזרו מעיון שכלי על סמך הנחת היסוד שהכל הוא חומר וצורה, אצל פילוסופיה שלישית, למשל מדע הטכנולוגיה, הוא נעשה מושכל ראשון. במעבדה לייצור טכנולוגיה לא שואלים מה הנימוק השכלי לכך שדברים נופלים דווקא למטה (גם לא בגרסה המודרנית של העיון הזה, ניתוח הבנת כח הכבידה בתורת היחסות), אלא מקבלים אם זה כמושכל ראשון.</w:t>
      </w:r>
    </w:p>
    <w:p w14:paraId="3B073ABA" w14:textId="77777777" w:rsidR="007A693F" w:rsidRDefault="00146F6D">
      <w:pPr>
        <w:pStyle w:val="FootnoteText"/>
        <w:rPr>
          <w:rtl/>
        </w:rPr>
      </w:pPr>
      <w:r>
        <w:rPr>
          <w:rFonts w:hint="cs"/>
          <w:rtl/>
        </w:rPr>
        <w:t xml:space="preserve">בפילוסופיה עוד פחות כללית, למשל תיקון מחשבים, לא שואלים למה חברת אינטל בנתה את המעבד דווקא כך, אלא מקבלים כהנחת יסוד שככה בנוי מעבד, וכעת מנסים להבין איך לתקן אותו. </w:t>
      </w:r>
    </w:p>
    <w:p w14:paraId="69B8C7DE" w14:textId="77777777" w:rsidR="007A693F" w:rsidRDefault="007A693F">
      <w:pPr>
        <w:pStyle w:val="FootnoteText"/>
        <w:rPr>
          <w:rtl/>
        </w:rPr>
      </w:pPr>
      <w:r>
        <w:rPr>
          <w:rFonts w:hint="cs"/>
          <w:rtl/>
        </w:rPr>
        <w:t>ההיררכיה (סדר המעלות) בין הפילוסופיות השונות היא חשובה, כי היא משקפת את ההיררכיה של המציאות עצמה. כל מדע הוא קומה מסויימת בקומת תודעת האדם, שכנגדה יש קומה כזו במציאות, כי האדם הוא עולם קטן.</w:t>
      </w:r>
    </w:p>
    <w:p w14:paraId="7AFF5267" w14:textId="2AF40D73" w:rsidR="00C351A9" w:rsidRDefault="007A693F" w:rsidP="00A94BCA">
      <w:pPr>
        <w:pStyle w:val="FootnoteText"/>
      </w:pPr>
      <w:r>
        <w:rPr>
          <w:rFonts w:hint="cs"/>
          <w:rtl/>
        </w:rPr>
        <w:t>בחלק זה של ספר הריפוי אנו עוסקים בחכמת הטבע. לכן כותב אבן סינא שכאן אנו נתייחס למה שהכל הוא חומר וצורה כאל מושכל ראשון, הנחת יסוד, ולא נעסוק בניסיון לנמק למה זה כך, כי הניסיו</w:t>
      </w:r>
      <w:r>
        <w:rPr>
          <w:rFonts w:hint="eastAsia"/>
          <w:rtl/>
        </w:rPr>
        <w:t>ן</w:t>
      </w:r>
      <w:r>
        <w:rPr>
          <w:rFonts w:hint="cs"/>
          <w:rtl/>
        </w:rPr>
        <w:t xml:space="preserve"> הזה שייך לפילוסופיה הראשונה, חכמת האלוהות. חשוב מאוד לדעת להבחין בין מדרגות הפילוסופיות השונות, כי הבנת המציאות, הבנת הגילוי האלוהי, מחייבת הבנת עניין החלוקה למדרגות, שכל אחת היא צמצום של זו שמעליה.  </w:t>
      </w:r>
      <w:r w:rsidR="00146F6D">
        <w:rPr>
          <w:rFonts w:hint="cs"/>
          <w:rtl/>
        </w:rPr>
        <w:t xml:space="preserve">   </w:t>
      </w:r>
      <w:r w:rsidR="009568F4">
        <w:rPr>
          <w:rFonts w:hint="cs"/>
          <w:rtl/>
        </w:rPr>
        <w:t xml:space="preserve"> </w:t>
      </w:r>
    </w:p>
  </w:footnote>
  <w:footnote w:id="132">
    <w:p w14:paraId="3DF5431B" w14:textId="38F9D8D3" w:rsidR="0047724A" w:rsidRDefault="0047724A">
      <w:pPr>
        <w:pStyle w:val="FootnoteText"/>
      </w:pPr>
      <w:r>
        <w:rPr>
          <w:rStyle w:val="FootnoteReference"/>
        </w:rPr>
        <w:footnoteRef/>
      </w:r>
      <w:r>
        <w:rPr>
          <w:rtl/>
        </w:rPr>
        <w:t xml:space="preserve"> </w:t>
      </w:r>
      <w:r>
        <w:rPr>
          <w:rFonts w:hint="cs"/>
          <w:rtl/>
        </w:rPr>
        <w:t xml:space="preserve">במקור </w:t>
      </w:r>
      <w:r w:rsidRPr="0047724A">
        <w:rPr>
          <w:rFonts w:cs="Times New Roman" w:hint="eastAsia"/>
          <w:rtl/>
          <w:lang w:bidi="ar-SA"/>
        </w:rPr>
        <w:t>صورة</w:t>
      </w:r>
      <w:r w:rsidRPr="0047724A">
        <w:rPr>
          <w:rFonts w:cs="Times New Roman"/>
          <w:rtl/>
          <w:lang w:bidi="ar-SA"/>
        </w:rPr>
        <w:t xml:space="preserve"> </w:t>
      </w:r>
      <w:r w:rsidRPr="0047724A">
        <w:rPr>
          <w:rFonts w:cs="Times New Roman" w:hint="eastAsia"/>
          <w:rtl/>
          <w:lang w:bidi="ar-SA"/>
        </w:rPr>
        <w:t>جسمية</w:t>
      </w:r>
      <w:r w:rsidRPr="0047724A">
        <w:rPr>
          <w:rFonts w:cs="Times New Roman"/>
          <w:rtl/>
          <w:lang w:bidi="ar-SA"/>
        </w:rPr>
        <w:t xml:space="preserve"> </w:t>
      </w:r>
      <w:r w:rsidRPr="0047724A">
        <w:rPr>
          <w:rFonts w:cs="Times New Roman" w:hint="eastAsia"/>
          <w:rtl/>
          <w:lang w:bidi="ar-SA"/>
        </w:rPr>
        <w:t>مطلقة</w:t>
      </w:r>
    </w:p>
  </w:footnote>
  <w:footnote w:id="133">
    <w:p w14:paraId="5B30897C" w14:textId="637E3976" w:rsidR="002D6C6A" w:rsidRPr="002D6C6A" w:rsidRDefault="002D6C6A">
      <w:pPr>
        <w:pStyle w:val="FootnoteText"/>
        <w:rPr>
          <w:rtl/>
        </w:rPr>
      </w:pPr>
      <w:r>
        <w:rPr>
          <w:rStyle w:val="FootnoteReference"/>
        </w:rPr>
        <w:footnoteRef/>
      </w:r>
      <w:r>
        <w:rPr>
          <w:rtl/>
        </w:rPr>
        <w:t xml:space="preserve"> </w:t>
      </w:r>
      <w:r>
        <w:rPr>
          <w:rFonts w:hint="cs"/>
          <w:rtl/>
        </w:rPr>
        <w:t>תרגמתי כאן צמוד ללשון המקור ולא כמו ש</w:t>
      </w:r>
      <w:r w:rsidR="00A94BCA">
        <w:rPr>
          <w:rFonts w:hint="cs"/>
          <w:rtl/>
        </w:rPr>
        <w:t>הוסיף</w:t>
      </w:r>
      <w:r>
        <w:rPr>
          <w:rFonts w:hint="cs"/>
          <w:rtl/>
        </w:rPr>
        <w:t xml:space="preserve"> מקגיניס</w:t>
      </w:r>
      <w:r w:rsidR="00A94BCA">
        <w:rPr>
          <w:rFonts w:hint="cs"/>
          <w:rtl/>
        </w:rPr>
        <w:t xml:space="preserve"> משלו</w:t>
      </w:r>
      <w:r>
        <w:rPr>
          <w:rFonts w:hint="cs"/>
          <w:rtl/>
        </w:rPr>
        <w:t xml:space="preserve">, לא ראיתי הצדקה מבחינת ההבנה לנטייה שלו מהמקור, ואדרבה, </w:t>
      </w:r>
      <w:r w:rsidR="00D746C6">
        <w:rPr>
          <w:rFonts w:hint="cs"/>
          <w:rtl/>
        </w:rPr>
        <w:t xml:space="preserve">לדעתי </w:t>
      </w:r>
      <w:r>
        <w:rPr>
          <w:rFonts w:hint="cs"/>
          <w:rtl/>
        </w:rPr>
        <w:t xml:space="preserve">לפי המקור התוכן יותר </w:t>
      </w:r>
      <w:r w:rsidR="009C463A">
        <w:rPr>
          <w:rFonts w:hint="cs"/>
          <w:rtl/>
        </w:rPr>
        <w:t>מדויק</w:t>
      </w:r>
      <w:r>
        <w:rPr>
          <w:rFonts w:hint="cs"/>
          <w:rtl/>
        </w:rPr>
        <w:t>.</w:t>
      </w:r>
    </w:p>
    <w:p w14:paraId="02B1CCB2" w14:textId="597B09F0" w:rsidR="002D6C6A" w:rsidRPr="002D6C6A" w:rsidRDefault="002D6C6A">
      <w:pPr>
        <w:pStyle w:val="FootnoteText"/>
        <w:rPr>
          <w:rtl/>
        </w:rPr>
      </w:pPr>
      <w:r w:rsidRPr="002D6C6A">
        <w:rPr>
          <w:rtl/>
        </w:rPr>
        <w:t>לשון המקור:</w:t>
      </w:r>
    </w:p>
    <w:p w14:paraId="6498FEFE" w14:textId="584D55F9" w:rsidR="002D6C6A" w:rsidRPr="002D6C6A" w:rsidRDefault="00F055C8">
      <w:pPr>
        <w:pStyle w:val="FootnoteText"/>
      </w:pPr>
      <w:r>
        <w:rPr>
          <w:rtl/>
        </w:rPr>
        <w:t>"</w:t>
      </w:r>
      <w:r w:rsidR="002D6C6A" w:rsidRPr="002D6C6A">
        <w:rPr>
          <w:rFonts w:ascii="Arial" w:hAnsi="Arial" w:cs="Arial" w:hint="cs"/>
          <w:rtl/>
          <w:lang w:bidi="ar-SA"/>
        </w:rPr>
        <w:t>وإن</w:t>
      </w:r>
      <w:r w:rsidR="002D6C6A" w:rsidRPr="002D6C6A">
        <w:rPr>
          <w:rtl/>
          <w:lang w:bidi="ar-SA"/>
        </w:rPr>
        <w:t xml:space="preserve"> </w:t>
      </w:r>
      <w:r w:rsidR="002D6C6A" w:rsidRPr="002D6C6A">
        <w:rPr>
          <w:rFonts w:ascii="Arial" w:hAnsi="Arial" w:cs="Arial" w:hint="cs"/>
          <w:rtl/>
          <w:lang w:bidi="ar-SA"/>
        </w:rPr>
        <w:t>شت</w:t>
      </w:r>
      <w:r w:rsidR="002D6C6A" w:rsidRPr="002D6C6A">
        <w:rPr>
          <w:rtl/>
          <w:lang w:bidi="ar-SA"/>
        </w:rPr>
        <w:t xml:space="preserve"> </w:t>
      </w:r>
      <w:r w:rsidR="002D6C6A" w:rsidRPr="002D6C6A">
        <w:rPr>
          <w:rFonts w:ascii="Arial" w:hAnsi="Arial" w:cs="Arial" w:hint="cs"/>
          <w:rtl/>
          <w:lang w:bidi="ar-SA"/>
        </w:rPr>
        <w:t>صورة</w:t>
      </w:r>
      <w:r w:rsidR="002D6C6A" w:rsidRPr="002D6C6A">
        <w:rPr>
          <w:rtl/>
          <w:lang w:bidi="ar-SA"/>
        </w:rPr>
        <w:t xml:space="preserve"> </w:t>
      </w:r>
      <w:r w:rsidR="002D6C6A" w:rsidRPr="002D6C6A">
        <w:rPr>
          <w:rFonts w:ascii="Arial" w:hAnsi="Arial" w:cs="Arial" w:hint="cs"/>
          <w:rtl/>
          <w:lang w:bidi="ar-SA"/>
        </w:rPr>
        <w:t>عرضية،</w:t>
      </w:r>
      <w:r w:rsidR="002D6C6A" w:rsidRPr="002D6C6A">
        <w:rPr>
          <w:rtl/>
          <w:lang w:bidi="ar-SA"/>
        </w:rPr>
        <w:t xml:space="preserve"> </w:t>
      </w:r>
      <w:r w:rsidR="002D6C6A" w:rsidRPr="002D6C6A">
        <w:rPr>
          <w:rFonts w:ascii="Arial" w:hAnsi="Arial" w:cs="Arial" w:hint="cs"/>
          <w:rtl/>
          <w:lang w:bidi="ar-SA"/>
        </w:rPr>
        <w:t>إذا</w:t>
      </w:r>
      <w:r w:rsidR="002D6C6A" w:rsidRPr="002D6C6A">
        <w:rPr>
          <w:rtl/>
          <w:lang w:bidi="ar-SA"/>
        </w:rPr>
        <w:t xml:space="preserve"> </w:t>
      </w:r>
      <w:r w:rsidR="002D6C6A" w:rsidRPr="002D6C6A">
        <w:rPr>
          <w:rFonts w:ascii="Arial" w:hAnsi="Arial" w:cs="Arial" w:hint="cs"/>
          <w:rtl/>
          <w:lang w:bidi="ar-SA"/>
        </w:rPr>
        <w:t>أخذت</w:t>
      </w:r>
      <w:r w:rsidR="002D6C6A" w:rsidRPr="002D6C6A">
        <w:rPr>
          <w:rtl/>
          <w:lang w:bidi="ar-SA"/>
        </w:rPr>
        <w:t xml:space="preserve"> </w:t>
      </w:r>
      <w:r w:rsidR="002D6C6A" w:rsidRPr="002D6C6A">
        <w:rPr>
          <w:rFonts w:ascii="Arial" w:hAnsi="Arial" w:cs="Arial" w:hint="cs"/>
          <w:rtl/>
          <w:lang w:bidi="ar-SA"/>
        </w:rPr>
        <w:t>الجسم</w:t>
      </w:r>
      <w:r w:rsidR="002D6C6A" w:rsidRPr="002D6C6A">
        <w:rPr>
          <w:rtl/>
          <w:lang w:bidi="ar-SA"/>
        </w:rPr>
        <w:t xml:space="preserve"> </w:t>
      </w:r>
      <w:r w:rsidR="002D6C6A" w:rsidRPr="002D6C6A">
        <w:rPr>
          <w:rFonts w:ascii="Arial" w:hAnsi="Arial" w:cs="Arial" w:hint="cs"/>
          <w:rtl/>
          <w:lang w:bidi="ar-SA"/>
        </w:rPr>
        <w:t>من</w:t>
      </w:r>
      <w:r w:rsidR="002D6C6A" w:rsidRPr="002D6C6A">
        <w:rPr>
          <w:rtl/>
          <w:lang w:bidi="ar-SA"/>
        </w:rPr>
        <w:t xml:space="preserve"> </w:t>
      </w:r>
      <w:r w:rsidR="002D6C6A" w:rsidRPr="002D6C6A">
        <w:rPr>
          <w:rFonts w:ascii="Arial" w:hAnsi="Arial" w:cs="Arial" w:hint="cs"/>
          <w:rtl/>
          <w:lang w:bidi="ar-SA"/>
        </w:rPr>
        <w:t>حيث</w:t>
      </w:r>
      <w:r w:rsidR="002D6C6A" w:rsidRPr="002D6C6A">
        <w:rPr>
          <w:rtl/>
          <w:lang w:bidi="ar-SA"/>
        </w:rPr>
        <w:t xml:space="preserve"> </w:t>
      </w:r>
      <w:r w:rsidR="002D6C6A" w:rsidRPr="002D6C6A">
        <w:rPr>
          <w:rFonts w:ascii="Arial" w:hAnsi="Arial" w:cs="Arial" w:hint="cs"/>
          <w:rtl/>
          <w:lang w:bidi="ar-SA"/>
        </w:rPr>
        <w:t>هو</w:t>
      </w:r>
      <w:r w:rsidR="002D6C6A" w:rsidRPr="002D6C6A">
        <w:rPr>
          <w:rtl/>
          <w:lang w:bidi="ar-SA"/>
        </w:rPr>
        <w:t xml:space="preserve"> </w:t>
      </w:r>
      <w:r w:rsidR="002D6C6A" w:rsidRPr="002D6C6A">
        <w:rPr>
          <w:rFonts w:ascii="Arial" w:hAnsi="Arial" w:cs="Arial" w:hint="cs"/>
          <w:rtl/>
          <w:lang w:bidi="ar-SA"/>
        </w:rPr>
        <w:t>كلأبيض</w:t>
      </w:r>
      <w:r w:rsidR="002D6C6A" w:rsidRPr="002D6C6A">
        <w:rPr>
          <w:rtl/>
          <w:lang w:bidi="ar-SA"/>
        </w:rPr>
        <w:t xml:space="preserve"> </w:t>
      </w:r>
      <w:r w:rsidR="002D6C6A" w:rsidRPr="002D6C6A">
        <w:rPr>
          <w:rFonts w:ascii="Arial" w:hAnsi="Arial" w:cs="Arial" w:hint="cs"/>
          <w:rtl/>
          <w:lang w:bidi="ar-SA"/>
        </w:rPr>
        <w:t>أوالقوي</w:t>
      </w:r>
      <w:r w:rsidR="002D6C6A" w:rsidRPr="002D6C6A">
        <w:rPr>
          <w:rtl/>
          <w:lang w:bidi="ar-SA"/>
        </w:rPr>
        <w:t xml:space="preserve"> </w:t>
      </w:r>
      <w:r w:rsidR="002D6C6A" w:rsidRPr="002D6C6A">
        <w:rPr>
          <w:rFonts w:ascii="Arial" w:hAnsi="Arial" w:cs="Arial" w:hint="cs"/>
          <w:rtl/>
          <w:lang w:bidi="ar-SA"/>
        </w:rPr>
        <w:t>آوالصحيح</w:t>
      </w:r>
      <w:r w:rsidR="002D6C6A" w:rsidRPr="002D6C6A">
        <w:rPr>
          <w:rtl/>
          <w:lang w:bidi="ar-SA"/>
        </w:rPr>
        <w:t>.</w:t>
      </w:r>
      <w:r>
        <w:rPr>
          <w:rtl/>
        </w:rPr>
        <w:t>"</w:t>
      </w:r>
    </w:p>
  </w:footnote>
  <w:footnote w:id="134">
    <w:p w14:paraId="56357D86" w14:textId="7403D10E" w:rsidR="00014392" w:rsidRDefault="00014392">
      <w:pPr>
        <w:pStyle w:val="FootnoteText"/>
        <w:rPr>
          <w:rtl/>
        </w:rPr>
      </w:pPr>
      <w:r>
        <w:rPr>
          <w:rStyle w:val="FootnoteReference"/>
        </w:rPr>
        <w:footnoteRef/>
      </w:r>
      <w:r>
        <w:rPr>
          <w:rtl/>
        </w:rPr>
        <w:t xml:space="preserve"> </w:t>
      </w:r>
      <w:r>
        <w:rPr>
          <w:rFonts w:hint="cs"/>
          <w:rtl/>
        </w:rPr>
        <w:t xml:space="preserve">אי אפשר לומר שהחומר אינו קיים כלל, הוא קיים אבל לא באופן מוחלט, לא כעצם. הוא קיים כהעדר, כלומר כאפשרות. </w:t>
      </w:r>
      <w:r w:rsidR="003F4375">
        <w:rPr>
          <w:rFonts w:hint="cs"/>
          <w:rtl/>
        </w:rPr>
        <w:t xml:space="preserve">כמו שכתב אריסטו במטאפיזיקה </w:t>
      </w:r>
      <w:r w:rsidR="003F4375">
        <w:rPr>
          <w:rFonts w:hint="cs"/>
          <w:rtl/>
        </w:rPr>
        <w:t>זטא ז':</w:t>
      </w:r>
    </w:p>
    <w:p w14:paraId="4FCA456A" w14:textId="460BF406" w:rsidR="00F0209B" w:rsidRDefault="00F055C8" w:rsidP="003F4375">
      <w:pPr>
        <w:pStyle w:val="FootnoteText"/>
        <w:rPr>
          <w:rtl/>
        </w:rPr>
      </w:pPr>
      <w:r>
        <w:rPr>
          <w:rtl/>
        </w:rPr>
        <w:t>"</w:t>
      </w:r>
      <w:r w:rsidR="00F0209B">
        <w:rPr>
          <w:rFonts w:hint="cs"/>
          <w:rtl/>
        </w:rPr>
        <w:t xml:space="preserve">מהדברים שמתהווים, מקצתם מתהווים על ידי הטבע, מקצתם באופן מלאכותי, והאחרים על ידי המקרה. </w:t>
      </w:r>
    </w:p>
    <w:p w14:paraId="3FBAE564" w14:textId="09B86621" w:rsidR="00F0209B" w:rsidRDefault="00F0209B" w:rsidP="003F4375">
      <w:pPr>
        <w:pStyle w:val="FootnoteText"/>
        <w:rPr>
          <w:rtl/>
        </w:rPr>
      </w:pPr>
      <w:r>
        <w:rPr>
          <w:rFonts w:hint="cs"/>
          <w:rtl/>
        </w:rPr>
        <w:t>[...]</w:t>
      </w:r>
    </w:p>
    <w:p w14:paraId="39DA2399" w14:textId="0D0585F6" w:rsidR="00243D33" w:rsidRDefault="00F6525B" w:rsidP="003F4375">
      <w:pPr>
        <w:pStyle w:val="FootnoteText"/>
        <w:rPr>
          <w:rtl/>
        </w:rPr>
      </w:pPr>
      <w:r>
        <w:rPr>
          <w:rFonts w:hint="cs"/>
          <w:rtl/>
        </w:rPr>
        <w:t>ובכן, התהוות טבעית היא ההתהוות של הדברים שמתהווים על ידי הטבע; ומה שממנו הם מתהווים הוא מה שאנו קוראים לו 'חומר'; ומה שעל ידו הם מתהווים הוא משהו שקיים באופן טבעי</w:t>
      </w:r>
      <w:r w:rsidR="00F0209B">
        <w:rPr>
          <w:rFonts w:hint="cs"/>
          <w:rtl/>
        </w:rPr>
        <w:t xml:space="preserve"> [הכוונה שאדם מוליד אדם כמו שכתב בהמשך]</w:t>
      </w:r>
      <w:r>
        <w:rPr>
          <w:rFonts w:hint="cs"/>
          <w:rtl/>
        </w:rPr>
        <w:t xml:space="preserve">; והדבר שמתהווה הוא אדם או צמח או אחד מהדברים </w:t>
      </w:r>
      <w:r w:rsidR="00243D33">
        <w:rPr>
          <w:rFonts w:hint="cs"/>
          <w:rtl/>
        </w:rPr>
        <w:t xml:space="preserve">מסוג זה, שאנו אומרים שהם 'עצמים', אם משהו הינו 'עצם'. </w:t>
      </w:r>
    </w:p>
    <w:p w14:paraId="5177FC8C" w14:textId="56C5747D" w:rsidR="003F4375" w:rsidRDefault="00243D33" w:rsidP="003F4375">
      <w:pPr>
        <w:pStyle w:val="FootnoteText"/>
        <w:rPr>
          <w:rtl/>
        </w:rPr>
      </w:pPr>
      <w:r>
        <w:rPr>
          <w:rFonts w:hint="cs"/>
          <w:rtl/>
        </w:rPr>
        <w:t>כל הדברים שמתהווים, אם על ידי טבע ואם באופן מלאכותי, יש להם חומר</w:t>
      </w:r>
      <w:r w:rsidR="00687C3F">
        <w:rPr>
          <w:rFonts w:hint="cs"/>
          <w:rtl/>
        </w:rPr>
        <w:t>; כי כל אחד מהם אפשר לו או להימצא או שלא להימצא, והאפשרות הזו היא החומר של כל אחד מהם.</w:t>
      </w:r>
      <w:r w:rsidR="00F055C8">
        <w:rPr>
          <w:rtl/>
        </w:rPr>
        <w:t>"</w:t>
      </w:r>
    </w:p>
    <w:p w14:paraId="4D6A88C6" w14:textId="3E1D02E2" w:rsidR="005940E9" w:rsidRDefault="005940E9" w:rsidP="00FD0FC5">
      <w:pPr>
        <w:pStyle w:val="FootnoteText"/>
        <w:rPr>
          <w:rtl/>
        </w:rPr>
      </w:pPr>
    </w:p>
    <w:p w14:paraId="59EAB359" w14:textId="404FF7ED" w:rsidR="005940E9" w:rsidRDefault="005940E9" w:rsidP="003F4375">
      <w:pPr>
        <w:pStyle w:val="FootnoteText"/>
        <w:rPr>
          <w:rtl/>
        </w:rPr>
      </w:pPr>
      <w:r>
        <w:rPr>
          <w:rFonts w:hint="cs"/>
          <w:rtl/>
        </w:rPr>
        <w:t>הטבע שמדבר בו אריסטו, ש</w:t>
      </w:r>
      <w:r w:rsidR="00F0209B">
        <w:rPr>
          <w:rFonts w:hint="cs"/>
          <w:rtl/>
        </w:rPr>
        <w:t>על ידו</w:t>
      </w:r>
      <w:r>
        <w:rPr>
          <w:rFonts w:hint="cs"/>
          <w:rtl/>
        </w:rPr>
        <w:t xml:space="preserve"> מתהווים הדברים הטבעיים</w:t>
      </w:r>
      <w:r w:rsidR="00F0209B">
        <w:rPr>
          <w:rFonts w:hint="cs"/>
          <w:rtl/>
        </w:rPr>
        <w:t>, הוא החיים הכלליים שיש בכל המציאות, ושהם מצד החומר של העולם, כלומר מצד הגלגל שהוא חומר ולא מצד השכל הנפרד שהוא מופשט לגמרי (הגלגל הוא הצד החומרי של השכל הנפרד), לא החיים שמושפעים מהשכל הפועל שהוא נותן הצורות, אלא מה שמשנה את מזג התרכובת של ד' היסודות, שהוא החיים מהצד הנקבי של המציאות.</w:t>
      </w:r>
    </w:p>
    <w:p w14:paraId="54A47B3E" w14:textId="1118489C" w:rsidR="00F0209B" w:rsidRDefault="00F0209B" w:rsidP="00FD0FC5">
      <w:pPr>
        <w:pStyle w:val="FootnoteText"/>
        <w:rPr>
          <w:rtl/>
        </w:rPr>
      </w:pPr>
    </w:p>
    <w:p w14:paraId="7781D86C" w14:textId="1BEEC02E" w:rsidR="00F0209B" w:rsidRDefault="00F0209B" w:rsidP="003F4375">
      <w:pPr>
        <w:pStyle w:val="FootnoteText"/>
        <w:rPr>
          <w:rtl/>
        </w:rPr>
      </w:pPr>
      <w:r>
        <w:rPr>
          <w:rFonts w:hint="cs"/>
          <w:rtl/>
        </w:rPr>
        <w:t>וכמו שכתב במורה נבוכים א' ע</w:t>
      </w:r>
      <w:r w:rsidR="00F055C8">
        <w:rPr>
          <w:rtl/>
        </w:rPr>
        <w:t>"</w:t>
      </w:r>
      <w:r>
        <w:rPr>
          <w:rFonts w:hint="cs"/>
          <w:rtl/>
        </w:rPr>
        <w:t>ב:</w:t>
      </w:r>
    </w:p>
    <w:p w14:paraId="05685830" w14:textId="4D94E87C" w:rsidR="005940E9" w:rsidRDefault="00F055C8" w:rsidP="005940E9">
      <w:pPr>
        <w:pStyle w:val="FootnoteText"/>
        <w:rPr>
          <w:rtl/>
        </w:rPr>
      </w:pPr>
      <w:r>
        <w:rPr>
          <w:rtl/>
        </w:rPr>
        <w:t>"</w:t>
      </w:r>
      <w:r w:rsidR="005940E9">
        <w:rPr>
          <w:rtl/>
        </w:rPr>
        <w:t>וכמו שהאבר הראש אשר הוא הלב מתנועע תמיד, והוא התחלת כל תנועה שתימצא בגוף, ושאר אברי הגוף תחת ידו, והוא ישלח אליהם כוחותם אשר יצטרכו אליהם לפעולותיהם בתנועותיו, כן הגלגל הוא המנהיג שאר חלקי העולם בתנועתו והוא ישלח לכל מתהוה כחותיו הנמצאות בו. הנה כל תנועה שתימצא בעולם התחלתה הראשונה תנועת הגלגל, וכל נפש שתימצא לבעל נפש בעולם, התחלתה נפש הגלגל.</w:t>
      </w:r>
    </w:p>
    <w:p w14:paraId="0F0BCA56" w14:textId="77777777" w:rsidR="005940E9" w:rsidRDefault="005940E9" w:rsidP="005940E9">
      <w:pPr>
        <w:pStyle w:val="FootnoteText"/>
        <w:rPr>
          <w:rtl/>
        </w:rPr>
      </w:pPr>
    </w:p>
    <w:p w14:paraId="525ABD55" w14:textId="77777777" w:rsidR="00F0209B" w:rsidRDefault="00F0209B" w:rsidP="005940E9">
      <w:pPr>
        <w:pStyle w:val="FootnoteText"/>
        <w:rPr>
          <w:rtl/>
        </w:rPr>
      </w:pPr>
      <w:r>
        <w:rPr>
          <w:rFonts w:hint="cs"/>
          <w:rtl/>
        </w:rPr>
        <w:t>[...]</w:t>
      </w:r>
      <w:r w:rsidR="005940E9">
        <w:rPr>
          <w:rtl/>
        </w:rPr>
        <w:t xml:space="preserve"> </w:t>
      </w:r>
    </w:p>
    <w:p w14:paraId="525DEEC0" w14:textId="141C91BD" w:rsidR="005940E9" w:rsidRDefault="005940E9" w:rsidP="005940E9">
      <w:pPr>
        <w:pStyle w:val="FootnoteText"/>
        <w:rPr>
          <w:rtl/>
        </w:rPr>
      </w:pPr>
      <w:r>
        <w:rPr>
          <w:rtl/>
        </w:rPr>
        <w:t xml:space="preserve">וכמו שאם ינוח הלב כהרף עין </w:t>
      </w:r>
      <w:r w:rsidR="00001963">
        <w:rPr>
          <w:rtl/>
        </w:rPr>
        <w:t>-</w:t>
      </w:r>
      <w:r>
        <w:rPr>
          <w:rtl/>
        </w:rPr>
        <w:t xml:space="preserve"> ימות האיש ויבטלו כל תנועותיו וכל כחותיו, כן אילו ינוחו הגלגלים, יהיה בו מיתת העולם בכללו וביטול כל מה שבו. וכמו שהחי אמנם הוא חי כולו בתנועת לבו, אע</w:t>
      </w:r>
      <w:r w:rsidR="00F055C8">
        <w:rPr>
          <w:rtl/>
        </w:rPr>
        <w:t>"</w:t>
      </w:r>
      <w:r>
        <w:rPr>
          <w:rtl/>
        </w:rPr>
        <w:t>פ שבו אברים נחים לא ירגישו, כעֲצָמוֹת והאליל וזולתם, כן זה המציאות כלו הוא איש אחד חי בתנועת הגלגל אשר הוא כדמות הלב מבעלי הלב, ואף על פי שבו גופים רבים נחים ומתים.</w:t>
      </w:r>
    </w:p>
    <w:p w14:paraId="789D2DB6" w14:textId="77777777" w:rsidR="005940E9" w:rsidRDefault="005940E9" w:rsidP="005940E9">
      <w:pPr>
        <w:pStyle w:val="FootnoteText"/>
        <w:rPr>
          <w:rtl/>
        </w:rPr>
      </w:pPr>
    </w:p>
    <w:p w14:paraId="6C9E6390" w14:textId="1F2C37CA" w:rsidR="00F0209B" w:rsidRDefault="005940E9" w:rsidP="005940E9">
      <w:pPr>
        <w:pStyle w:val="FootnoteText"/>
        <w:rPr>
          <w:rtl/>
        </w:rPr>
      </w:pPr>
      <w:r w:rsidRPr="005940E9">
        <w:rPr>
          <w:rtl/>
        </w:rPr>
        <w:t xml:space="preserve">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w:t>
      </w:r>
      <w:r w:rsidR="00001963">
        <w:rPr>
          <w:rtl/>
        </w:rPr>
        <w:t>-</w:t>
      </w:r>
      <w:r w:rsidRPr="005940E9">
        <w:rPr>
          <w:rtl/>
        </w:rPr>
        <w:t xml:space="preserve"> כן אי אפשר שימצאו חלקי העולם קצתם מבלתי קצתם בזה המציאות המיושב אשר דברינו בו, עד שימצא אש מבלתי ארץ, או ארץ מבלתי שמים, או שמים מבלתי ארץ. </w:t>
      </w:r>
    </w:p>
    <w:p w14:paraId="13026D6B" w14:textId="22B97BF9" w:rsidR="005940E9" w:rsidRDefault="005940E9" w:rsidP="005940E9">
      <w:pPr>
        <w:pStyle w:val="FootnoteText"/>
        <w:rPr>
          <w:rtl/>
        </w:rPr>
      </w:pPr>
      <w:r w:rsidRPr="005940E9">
        <w:rPr>
          <w:b/>
          <w:bCs/>
          <w:rtl/>
        </w:rPr>
        <w:t xml:space="preserve">וכמו שבאדם כח אחד יקשור אבריו קצתם בקצתם וינהיגם, ויתן לכל אבר מה שצריך שישמור עליו תקונו וידחה ממנו מה שיזיקהו; והוא אשר בארו אותו הרופאים ואמרו: הכח המנהיג גוף החי, והרבה פעמים יקראוהו טבע </w:t>
      </w:r>
      <w:r w:rsidR="00F0209B">
        <w:rPr>
          <w:rFonts w:hint="cs"/>
          <w:b/>
          <w:bCs/>
          <w:rtl/>
        </w:rPr>
        <w:t xml:space="preserve">- </w:t>
      </w:r>
      <w:r w:rsidRPr="005940E9">
        <w:rPr>
          <w:b/>
          <w:bCs/>
          <w:rtl/>
        </w:rPr>
        <w:t>כן בעולם בכללו כח יקשור קצתו בקצתו, וישמור מיניו שלא יאבדו, וישמור אישי מיניו גם כן מדת מה שאפשר לשמרם, וישמור גם כן קצת אישי העולם.</w:t>
      </w:r>
      <w:r w:rsidR="00F055C8">
        <w:rPr>
          <w:rtl/>
        </w:rPr>
        <w:t>"</w:t>
      </w:r>
    </w:p>
    <w:p w14:paraId="2443B84B" w14:textId="6BA62FEF" w:rsidR="00F0209B" w:rsidRDefault="00F0209B" w:rsidP="005940E9">
      <w:pPr>
        <w:pStyle w:val="FootnoteText"/>
        <w:rPr>
          <w:rtl/>
        </w:rPr>
      </w:pPr>
    </w:p>
    <w:p w14:paraId="40B3D565" w14:textId="737D3D72" w:rsidR="00100A65" w:rsidRDefault="00F0209B" w:rsidP="00100A65">
      <w:pPr>
        <w:pStyle w:val="FootnoteText"/>
        <w:rPr>
          <w:rtl/>
        </w:rPr>
      </w:pPr>
      <w:r>
        <w:rPr>
          <w:rFonts w:hint="cs"/>
          <w:rtl/>
        </w:rPr>
        <w:t xml:space="preserve">ועיין עוד בזה בעיונים בפילוסופיה אריסטוטלית על מטאפיזיקה דלתא, בתוך </w:t>
      </w:r>
      <w:hyperlink r:id="rId32" w:history="1">
        <w:r w:rsidRPr="000B1F91">
          <w:rPr>
            <w:rStyle w:val="Hyperlink"/>
            <w:rFonts w:hint="cs"/>
            <w:rtl/>
          </w:rPr>
          <w:t>רשימה</w:t>
        </w:r>
        <w:r w:rsidR="000B1F91" w:rsidRPr="000B1F91">
          <w:rPr>
            <w:rStyle w:val="Hyperlink"/>
            <w:rFonts w:hint="cs"/>
            <w:rtl/>
          </w:rPr>
          <w:t xml:space="preserve"> 50</w:t>
        </w:r>
      </w:hyperlink>
      <w:r>
        <w:rPr>
          <w:rFonts w:hint="cs"/>
          <w:rtl/>
        </w:rPr>
        <w:t>, מאמ</w:t>
      </w:r>
      <w:r w:rsidR="000B1F91">
        <w:rPr>
          <w:rFonts w:hint="cs"/>
          <w:rtl/>
        </w:rPr>
        <w:t>ר</w:t>
      </w:r>
      <w:r w:rsidR="000B1F91">
        <w:rPr>
          <w:rFonts w:hint="cs"/>
        </w:rPr>
        <w:t xml:space="preserve"> </w:t>
      </w:r>
      <w:r>
        <w:rPr>
          <w:rFonts w:hint="cs"/>
          <w:rtl/>
        </w:rPr>
        <w:t xml:space="preserve">על ה </w:t>
      </w:r>
      <w:r>
        <w:t>pneuma</w:t>
      </w:r>
      <w:r>
        <w:rPr>
          <w:rFonts w:hint="cs"/>
          <w:rtl/>
        </w:rPr>
        <w:t xml:space="preserve">. </w:t>
      </w:r>
    </w:p>
    <w:p w14:paraId="26AB4690" w14:textId="13BEB771" w:rsidR="00100A65" w:rsidRDefault="00100A65" w:rsidP="00100A65">
      <w:pPr>
        <w:pStyle w:val="FootnoteText"/>
        <w:rPr>
          <w:rtl/>
        </w:rPr>
      </w:pPr>
    </w:p>
    <w:p w14:paraId="08BDB3A2" w14:textId="77777777" w:rsidR="0037362D" w:rsidRDefault="00100A65" w:rsidP="00100A65">
      <w:pPr>
        <w:pStyle w:val="FootnoteText"/>
        <w:rPr>
          <w:rtl/>
        </w:rPr>
      </w:pPr>
      <w:r>
        <w:rPr>
          <w:rFonts w:hint="cs"/>
          <w:rtl/>
        </w:rPr>
        <w:t>במורה נבוכים ב' א' בעיון השלישי, כתב על החלוקה בין דברים שהם הכרחי המציאות</w:t>
      </w:r>
      <w:r w:rsidR="007E2D05">
        <w:rPr>
          <w:rFonts w:hint="cs"/>
          <w:rtl/>
        </w:rPr>
        <w:t>,</w:t>
      </w:r>
      <w:r>
        <w:rPr>
          <w:rFonts w:hint="cs"/>
          <w:rtl/>
        </w:rPr>
        <w:t xml:space="preserve"> </w:t>
      </w:r>
      <w:r w:rsidR="007E2D05">
        <w:rPr>
          <w:rFonts w:hint="cs"/>
          <w:rtl/>
        </w:rPr>
        <w:t xml:space="preserve">כלומר </w:t>
      </w:r>
      <w:r>
        <w:rPr>
          <w:rFonts w:hint="cs"/>
          <w:rtl/>
        </w:rPr>
        <w:t>הבורא לבדו, ובין דברים שהם אפשרי המציאות</w:t>
      </w:r>
      <w:r w:rsidR="007E2D05">
        <w:rPr>
          <w:rFonts w:hint="cs"/>
          <w:rtl/>
        </w:rPr>
        <w:t xml:space="preserve"> (קונטינגנטיים),</w:t>
      </w:r>
      <w:r>
        <w:rPr>
          <w:rFonts w:hint="cs"/>
          <w:rtl/>
        </w:rPr>
        <w:t xml:space="preserve"> </w:t>
      </w:r>
      <w:r w:rsidR="007E2D05">
        <w:rPr>
          <w:rFonts w:hint="cs"/>
          <w:rtl/>
        </w:rPr>
        <w:t xml:space="preserve">כלומר </w:t>
      </w:r>
      <w:r>
        <w:rPr>
          <w:rFonts w:hint="cs"/>
          <w:rtl/>
        </w:rPr>
        <w:t xml:space="preserve">כל שאר הדברים </w:t>
      </w:r>
      <w:r w:rsidR="007E2D05">
        <w:rPr>
          <w:rFonts w:hint="cs"/>
          <w:rtl/>
        </w:rPr>
        <w:t>(</w:t>
      </w:r>
      <w:r>
        <w:rPr>
          <w:rFonts w:hint="cs"/>
          <w:rtl/>
        </w:rPr>
        <w:t xml:space="preserve">יש חלוקה בין גרמי השמיים שמציאותם נצחית וצורתם שלמה ואחרי שנבראו הם נבראו כהכרחי מציאות, רק שהכרחיות מציאותם תלויה במציאותה של הסיבה שלהם ולכן הם הכרחי מציאות לא מצד עצמם </w:t>
      </w:r>
      <w:r w:rsidR="007E2D05">
        <w:rPr>
          <w:rFonts w:hint="cs"/>
          <w:rtl/>
        </w:rPr>
        <w:t>א</w:t>
      </w:r>
      <w:r>
        <w:rPr>
          <w:rFonts w:hint="cs"/>
          <w:rtl/>
        </w:rPr>
        <w:t>לא</w:t>
      </w:r>
      <w:r w:rsidR="007E2D05">
        <w:rPr>
          <w:rFonts w:hint="cs"/>
          <w:rtl/>
        </w:rPr>
        <w:t xml:space="preserve"> </w:t>
      </w:r>
      <w:r>
        <w:rPr>
          <w:rFonts w:hint="cs"/>
          <w:rtl/>
        </w:rPr>
        <w:t>מצד משהו חיצוני להם</w:t>
      </w:r>
      <w:r w:rsidR="007E2D05">
        <w:rPr>
          <w:rFonts w:hint="cs"/>
          <w:rtl/>
        </w:rPr>
        <w:t xml:space="preserve"> (התחלת הבריאה היא מהרצון החופשי לגמרי שהוא מעל השכל וכל חוקי הלוגיקה וסדר העולם, ושם הכל יתכן, ואחרי שמשם נבראה הבריאה, היא נבראה כבעלת סדר הכרחי, ומכוחו נגזרת בהכרח מציאות גרמי השמיים), העצמים שבעולם הארצי המורכב מד' יסודות, שהם תלויים בשינויי מזג היסודות שהם מקריים ולכן אינם הכרחי מציאות משום צד, אלא רק אפשרי מציאות)</w:t>
      </w:r>
      <w:r w:rsidR="0037362D">
        <w:rPr>
          <w:rFonts w:hint="cs"/>
          <w:rtl/>
        </w:rPr>
        <w:t>.</w:t>
      </w:r>
    </w:p>
    <w:p w14:paraId="16901536" w14:textId="1BED86D5" w:rsidR="00100A65" w:rsidRDefault="0037362D" w:rsidP="00100A65">
      <w:pPr>
        <w:pStyle w:val="FootnoteText"/>
        <w:rPr>
          <w:rtl/>
        </w:rPr>
      </w:pPr>
      <w:r>
        <w:rPr>
          <w:rFonts w:hint="cs"/>
          <w:rtl/>
        </w:rPr>
        <w:t xml:space="preserve">עיין עוד בזה במאמרו החשוב של פרופ' אמיל פקנהיים </w:t>
      </w:r>
      <w:hyperlink r:id="rId33" w:history="1">
        <w:r w:rsidRPr="0037362D">
          <w:rPr>
            <w:rStyle w:val="Hyperlink"/>
          </w:rPr>
          <w:t>The-Possibility-of-the-Universe-in-Farabi-Ibn-Sina-and-Maimonides</w:t>
        </w:r>
        <w:r w:rsidRPr="0037362D">
          <w:rPr>
            <w:rStyle w:val="Hyperlink"/>
            <w:rFonts w:hint="cs"/>
            <w:rtl/>
          </w:rPr>
          <w:t>.</w:t>
        </w:r>
        <w:r w:rsidR="00100A65" w:rsidRPr="0037362D">
          <w:rPr>
            <w:rStyle w:val="Hyperlink"/>
            <w:rFonts w:hint="cs"/>
            <w:rtl/>
          </w:rPr>
          <w:t xml:space="preserve"> </w:t>
        </w:r>
      </w:hyperlink>
    </w:p>
    <w:p w14:paraId="71B84056" w14:textId="627A7E45" w:rsidR="003F4375" w:rsidRDefault="0037362D" w:rsidP="003F4375">
      <w:pPr>
        <w:pStyle w:val="FootnoteText"/>
        <w:rPr>
          <w:rtl/>
        </w:rPr>
      </w:pPr>
      <w:r>
        <w:rPr>
          <w:rFonts w:hint="cs"/>
          <w:rtl/>
        </w:rPr>
        <w:t>הרמב</w:t>
      </w:r>
      <w:r w:rsidR="00F055C8">
        <w:rPr>
          <w:rtl/>
        </w:rPr>
        <w:t>"</w:t>
      </w:r>
      <w:r>
        <w:rPr>
          <w:rFonts w:hint="cs"/>
          <w:rtl/>
        </w:rPr>
        <w:t>ם כתב שם:</w:t>
      </w:r>
    </w:p>
    <w:p w14:paraId="6B3A9D45" w14:textId="3BFCDFFA" w:rsidR="0037362D" w:rsidRDefault="00F055C8" w:rsidP="003F4375">
      <w:pPr>
        <w:pStyle w:val="FootnoteText"/>
        <w:rPr>
          <w:rtl/>
        </w:rPr>
      </w:pPr>
      <w:r>
        <w:rPr>
          <w:rtl/>
        </w:rPr>
        <w:t>"</w:t>
      </w:r>
      <w:r w:rsidR="0037362D" w:rsidRPr="0037362D">
        <w:rPr>
          <w:rtl/>
        </w:rPr>
        <w:t>עיון שלישי פילוסופי בזה העניין לקוח מדברי אריסטו, ואף על פי שהביאו בעניין אחד</w:t>
      </w:r>
      <w:r w:rsidR="0037362D">
        <w:rPr>
          <w:rFonts w:hint="cs"/>
          <w:rtl/>
        </w:rPr>
        <w:t xml:space="preserve"> [כלומר אריסטו לא הביא את זה באותו עניין שאנו דנים כאן]</w:t>
      </w:r>
      <w:r w:rsidR="0037362D" w:rsidRPr="0037362D">
        <w:rPr>
          <w:rtl/>
        </w:rPr>
        <w:t>.</w:t>
      </w:r>
      <w:r>
        <w:rPr>
          <w:rtl/>
        </w:rPr>
        <w:t>"</w:t>
      </w:r>
    </w:p>
    <w:p w14:paraId="7DFB0FB3" w14:textId="61E19AED" w:rsidR="0037362D" w:rsidRDefault="0037362D" w:rsidP="003F4375">
      <w:pPr>
        <w:pStyle w:val="FootnoteText"/>
        <w:rPr>
          <w:rtl/>
        </w:rPr>
      </w:pPr>
      <w:r>
        <w:rPr>
          <w:rFonts w:hint="cs"/>
          <w:rtl/>
        </w:rPr>
        <w:t xml:space="preserve">ובהערות </w:t>
      </w:r>
      <w:r w:rsidR="00A84B6F">
        <w:rPr>
          <w:rFonts w:hint="cs"/>
          <w:rtl/>
        </w:rPr>
        <w:t>של תרגום מ. שוורץ כתב:</w:t>
      </w:r>
    </w:p>
    <w:p w14:paraId="27015CAD" w14:textId="3BB1376A" w:rsidR="00A84B6F" w:rsidRDefault="00F055C8" w:rsidP="003F4375">
      <w:pPr>
        <w:pStyle w:val="FootnoteText"/>
        <w:rPr>
          <w:rtl/>
        </w:rPr>
      </w:pPr>
      <w:r>
        <w:rPr>
          <w:rtl/>
        </w:rPr>
        <w:t>"</w:t>
      </w:r>
      <w:r w:rsidR="00A84B6F" w:rsidRPr="00A84B6F">
        <w:rPr>
          <w:rtl/>
        </w:rPr>
        <w:t>ראו דוידסון, ראיות, עמ' 378-383; השוו שם, עמ' 281-335, 383-406. כפי שדוידסון מראה, עיון זה מבוסס למעשׂה על תורת אבן סינא. והשוו עברי, הנחות, עמ' 68, 84; מנקין, שפע, עמ' 183-194; הופמן, ודאות; שטרן, לשון, עמ' 217-216.</w:t>
      </w:r>
      <w:r>
        <w:rPr>
          <w:rtl/>
        </w:rPr>
        <w:t>"</w:t>
      </w:r>
    </w:p>
    <w:p w14:paraId="02B0DBDD" w14:textId="71718E32" w:rsidR="00A84B6F" w:rsidRDefault="00A84B6F" w:rsidP="003F4375">
      <w:pPr>
        <w:pStyle w:val="FootnoteText"/>
        <w:rPr>
          <w:rtl/>
        </w:rPr>
      </w:pPr>
      <w:r>
        <w:rPr>
          <w:rFonts w:hint="cs"/>
          <w:rtl/>
        </w:rPr>
        <w:t>הקטע שהבאתי מהמטאפיזיקה זטא הוא אחד המקורות באריסטו לחלוקה בין הכרחי מציאות לאפשרי מציאות, ומאריסטו כבר מוכחת מציאות הבורא, כי הוא כתב שכל מה שאינו הכרחי מציאות הוא חומר, והבורא איננו חומר, והרמב</w:t>
      </w:r>
      <w:r w:rsidR="00F055C8">
        <w:rPr>
          <w:rtl/>
        </w:rPr>
        <w:t>"</w:t>
      </w:r>
      <w:r>
        <w:rPr>
          <w:rFonts w:hint="cs"/>
          <w:rtl/>
        </w:rPr>
        <w:t>ם הוסיף רק שלא יתכן שכל הנמצאים הם אפשרי מציאות ואין שום דבר שהוא הכרחי מציאות, וגם לזה יש מקורות באריסטו.</w:t>
      </w:r>
    </w:p>
    <w:p w14:paraId="58FBA60F" w14:textId="77777777" w:rsidR="00A84B6F" w:rsidRDefault="00A84B6F" w:rsidP="003F4375">
      <w:pPr>
        <w:pStyle w:val="FootnoteText"/>
        <w:rPr>
          <w:rtl/>
        </w:rPr>
      </w:pPr>
    </w:p>
    <w:p w14:paraId="1F45A47F" w14:textId="1E75BA8A" w:rsidR="00A84B6F" w:rsidRDefault="00A84B6F" w:rsidP="003F4375">
      <w:pPr>
        <w:pStyle w:val="FootnoteText"/>
        <w:rPr>
          <w:rtl/>
        </w:rPr>
      </w:pPr>
      <w:r>
        <w:rPr>
          <w:rFonts w:hint="cs"/>
          <w:rtl/>
        </w:rPr>
        <w:t xml:space="preserve">האפשרות שמונחת בגרעין הווייתו של עצם, שאפשר שיימצא ואפשר שלא יימצא, זה הפירוש שהעצם הזה הוא חומרי. מצד עצמו היש הוא יש ואי אפשר שלא יהיה כמות שהוא נמצא, שהרי הוא בעצמותו 'יש'. רק אחרי שנברא העדר, מכח שיש העדר התחדשה האפשרות שה'יש' לא יהיה נמצא. ההעדר הופך את ה'יש' לאפשרי מציאות. המציאות שתחת ההעדר, היא הצורות, יכולה להימצא או שלא להימצא.    </w:t>
      </w:r>
    </w:p>
    <w:p w14:paraId="588C4E76" w14:textId="0B9F2D8B" w:rsidR="00831F8E" w:rsidRDefault="00A84B6F" w:rsidP="003F4375">
      <w:pPr>
        <w:pStyle w:val="FootnoteText"/>
        <w:rPr>
          <w:rtl/>
        </w:rPr>
      </w:pPr>
      <w:r>
        <w:rPr>
          <w:rFonts w:hint="cs"/>
          <w:rtl/>
        </w:rPr>
        <w:t xml:space="preserve">הבאתי משל מהשיר של רחל </w:t>
      </w:r>
      <w:r w:rsidR="00F055C8">
        <w:rPr>
          <w:rtl/>
        </w:rPr>
        <w:t>"</w:t>
      </w:r>
      <w:r>
        <w:rPr>
          <w:rFonts w:hint="cs"/>
          <w:rtl/>
        </w:rPr>
        <w:t>עקרה</w:t>
      </w:r>
      <w:r w:rsidR="00D76FA2">
        <w:rPr>
          <w:rtl/>
        </w:rPr>
        <w:fldChar w:fldCharType="begin"/>
      </w:r>
      <w:r w:rsidR="00D76FA2">
        <w:instrText xml:space="preserve"> XE "</w:instrText>
      </w:r>
      <w:r w:rsidR="00D76FA2" w:rsidRPr="00DC09DD">
        <w:rPr>
          <w:rFonts w:hint="cs"/>
          <w:rtl/>
        </w:rPr>
        <w:instrText>עקרה</w:instrText>
      </w:r>
      <w:r w:rsidR="00E22B3B">
        <w:rPr>
          <w:rFonts w:hint="cs"/>
          <w:rtl/>
        </w:rPr>
        <w:instrText xml:space="preserve"> (</w:instrText>
      </w:r>
      <w:r w:rsidR="00840791">
        <w:rPr>
          <w:rFonts w:hint="cs"/>
          <w:rtl/>
        </w:rPr>
        <w:instrText>ה</w:instrText>
      </w:r>
      <w:r w:rsidR="00E22B3B">
        <w:rPr>
          <w:rFonts w:hint="cs"/>
          <w:rtl/>
        </w:rPr>
        <w:instrText>שיר של רחל)</w:instrText>
      </w:r>
      <w:r w:rsidR="00D76FA2">
        <w:instrText xml:space="preserve">" </w:instrText>
      </w:r>
      <w:r w:rsidR="00D76FA2">
        <w:rPr>
          <w:rtl/>
        </w:rPr>
        <w:fldChar w:fldCharType="end"/>
      </w:r>
      <w:r w:rsidR="00F055C8">
        <w:rPr>
          <w:rtl/>
        </w:rPr>
        <w:t>"</w:t>
      </w:r>
      <w:r>
        <w:rPr>
          <w:rFonts w:hint="cs"/>
          <w:rtl/>
        </w:rPr>
        <w:t>, שהיא כותבת</w:t>
      </w:r>
      <w:r w:rsidR="00831F8E">
        <w:rPr>
          <w:rFonts w:hint="cs"/>
          <w:rtl/>
        </w:rPr>
        <w:t>:</w:t>
      </w:r>
    </w:p>
    <w:p w14:paraId="001C9175" w14:textId="77777777" w:rsidR="00831F8E" w:rsidRDefault="00831F8E" w:rsidP="00831F8E">
      <w:pPr>
        <w:pStyle w:val="FootnoteText"/>
        <w:rPr>
          <w:rtl/>
        </w:rPr>
      </w:pPr>
    </w:p>
    <w:p w14:paraId="46CED8F5" w14:textId="26F3E9C3" w:rsidR="00831F8E" w:rsidRDefault="00F055C8" w:rsidP="00831F8E">
      <w:pPr>
        <w:pStyle w:val="FootnoteText"/>
        <w:rPr>
          <w:rtl/>
        </w:rPr>
      </w:pPr>
      <w:r>
        <w:rPr>
          <w:rtl/>
        </w:rPr>
        <w:t>"</w:t>
      </w:r>
      <w:r w:rsidR="00831F8E">
        <w:rPr>
          <w:rtl/>
        </w:rPr>
        <w:t>בֵּן לוּ הָיָה לִי! יֶלֶד קָטָן,</w:t>
      </w:r>
    </w:p>
    <w:p w14:paraId="08660AF2" w14:textId="77777777" w:rsidR="00831F8E" w:rsidRDefault="00831F8E" w:rsidP="00831F8E">
      <w:pPr>
        <w:pStyle w:val="FootnoteText"/>
        <w:rPr>
          <w:rtl/>
        </w:rPr>
      </w:pPr>
      <w:r>
        <w:rPr>
          <w:rtl/>
        </w:rPr>
        <w:t>שְׁחֹר תַּלְתַּלִים וְנָבוֹן.</w:t>
      </w:r>
    </w:p>
    <w:p w14:paraId="4DBE9485" w14:textId="77777777" w:rsidR="00831F8E" w:rsidRDefault="00831F8E" w:rsidP="00831F8E">
      <w:pPr>
        <w:pStyle w:val="FootnoteText"/>
        <w:rPr>
          <w:rtl/>
        </w:rPr>
      </w:pPr>
      <w:r>
        <w:rPr>
          <w:rtl/>
        </w:rPr>
        <w:t>לֶאֱחֹז בְּיָדוֹ וְלִפְסֹעַ לְאַט</w:t>
      </w:r>
    </w:p>
    <w:p w14:paraId="09DA3331" w14:textId="77777777" w:rsidR="00831F8E" w:rsidRDefault="00831F8E" w:rsidP="00831F8E">
      <w:pPr>
        <w:pStyle w:val="FootnoteText"/>
        <w:rPr>
          <w:rtl/>
        </w:rPr>
      </w:pPr>
      <w:r>
        <w:rPr>
          <w:rtl/>
        </w:rPr>
        <w:t>בִּשְׁבִילֵי הַגָּן</w:t>
      </w:r>
    </w:p>
    <w:p w14:paraId="7B91CAAE" w14:textId="77777777" w:rsidR="00831F8E" w:rsidRDefault="00831F8E" w:rsidP="00831F8E">
      <w:pPr>
        <w:pStyle w:val="FootnoteText"/>
        <w:rPr>
          <w:rtl/>
        </w:rPr>
      </w:pPr>
      <w:r>
        <w:rPr>
          <w:rFonts w:hint="cs"/>
          <w:rtl/>
        </w:rPr>
        <w:t>...</w:t>
      </w:r>
    </w:p>
    <w:p w14:paraId="37444969" w14:textId="77777777" w:rsidR="00831F8E" w:rsidRDefault="00831F8E" w:rsidP="00831F8E">
      <w:pPr>
        <w:pStyle w:val="FootnoteText"/>
        <w:rPr>
          <w:rtl/>
        </w:rPr>
      </w:pPr>
      <w:r w:rsidRPr="00831F8E">
        <w:rPr>
          <w:rtl/>
        </w:rPr>
        <w:t>אוּרִי אֶקְרָא לוֹ, אוּרִי שֶׁלִּי!</w:t>
      </w:r>
    </w:p>
    <w:p w14:paraId="7E341673" w14:textId="33C58C5F" w:rsidR="00831F8E" w:rsidRDefault="00831F8E" w:rsidP="00831F8E">
      <w:pPr>
        <w:pStyle w:val="FootnoteText"/>
        <w:rPr>
          <w:rtl/>
        </w:rPr>
      </w:pPr>
      <w:r>
        <w:rPr>
          <w:rFonts w:hint="cs"/>
          <w:rtl/>
        </w:rPr>
        <w:t>...</w:t>
      </w:r>
      <w:r w:rsidR="00F055C8">
        <w:rPr>
          <w:rtl/>
        </w:rPr>
        <w:t>"</w:t>
      </w:r>
    </w:p>
    <w:p w14:paraId="2BA03CD8" w14:textId="77777777" w:rsidR="00831F8E" w:rsidRDefault="00831F8E" w:rsidP="00831F8E">
      <w:pPr>
        <w:pStyle w:val="FootnoteText"/>
        <w:rPr>
          <w:rtl/>
        </w:rPr>
      </w:pPr>
    </w:p>
    <w:p w14:paraId="17A140FF" w14:textId="4930F595" w:rsidR="00831F8E" w:rsidRDefault="00831F8E" w:rsidP="00831F8E">
      <w:pPr>
        <w:pStyle w:val="FootnoteText"/>
        <w:rPr>
          <w:rtl/>
        </w:rPr>
      </w:pPr>
      <w:r>
        <w:rPr>
          <w:rFonts w:hint="cs"/>
          <w:rtl/>
        </w:rPr>
        <w:t xml:space="preserve">נקודת ההתחלה, המסגרת שבתוכה הכל קורה, מבחינת </w:t>
      </w:r>
      <w:r w:rsidR="009C463A">
        <w:rPr>
          <w:rFonts w:hint="cs"/>
          <w:rtl/>
        </w:rPr>
        <w:t>ההוויה</w:t>
      </w:r>
      <w:r>
        <w:rPr>
          <w:rFonts w:hint="cs"/>
          <w:rtl/>
        </w:rPr>
        <w:t xml:space="preserve">, זהו ההעדר של ילד. ללא העדר של ילד אי אפשר לצייר את </w:t>
      </w:r>
      <w:r w:rsidR="00F055C8">
        <w:rPr>
          <w:rtl/>
        </w:rPr>
        <w:t>"</w:t>
      </w:r>
      <w:r>
        <w:rPr>
          <w:rFonts w:hint="cs"/>
          <w:rtl/>
        </w:rPr>
        <w:t>אורי</w:t>
      </w:r>
      <w:r w:rsidR="00F055C8">
        <w:rPr>
          <w:rtl/>
        </w:rPr>
        <w:t>"</w:t>
      </w:r>
      <w:r>
        <w:rPr>
          <w:rFonts w:hint="cs"/>
          <w:rtl/>
        </w:rPr>
        <w:t xml:space="preserve"> שהוא ילד שיש לו שם, יש לו מציאות שהרי השיר נמצא והרגש שמאחרי השיר נמצא, ואם היא מרגישה שיש אורי הרי מבחינה זו אורי נמצא, נמצא כרגש. זהו מה שאריסטו קורא לו 'צורה'. אחרי שאין ילד, בתוך זה הגעגוע מצייר את הילד שבשיר. ואפשר שהגעגוע לא יצייר ילד. הילד הוא אפשרי המציאות. </w:t>
      </w:r>
    </w:p>
    <w:p w14:paraId="6A04D8CD" w14:textId="4058A22F" w:rsidR="0037362D" w:rsidRDefault="00831F8E" w:rsidP="00831F8E">
      <w:pPr>
        <w:pStyle w:val="FootnoteText"/>
        <w:rPr>
          <w:rtl/>
        </w:rPr>
      </w:pPr>
      <w:r>
        <w:rPr>
          <w:rFonts w:hint="cs"/>
          <w:rtl/>
        </w:rPr>
        <w:t>ההעדר הזה הוא החומר, וכמו שמבואר באריסטו ובמורה נבוכים במקומות רבים, שחומר פירושו ההעדר, ועומק העניין כתוב בטימיאוס של אפלטון בדפים 49-52. החומר הראשון הוא העיגול הריק הפנוי שכתב האר</w:t>
      </w:r>
      <w:r w:rsidR="00F055C8">
        <w:rPr>
          <w:rtl/>
        </w:rPr>
        <w:t>"</w:t>
      </w:r>
      <w:r>
        <w:rPr>
          <w:rFonts w:hint="cs"/>
          <w:rtl/>
        </w:rPr>
        <w:t>י בספר עץ חיים שער א' ענף ב', והוא הנקודה הראשונה שנבראה שאין בה ממש, שכתב הרמב</w:t>
      </w:r>
      <w:r w:rsidR="00F055C8">
        <w:rPr>
          <w:rtl/>
        </w:rPr>
        <w:t>"</w:t>
      </w:r>
      <w:r>
        <w:rPr>
          <w:rFonts w:hint="cs"/>
          <w:rtl/>
        </w:rPr>
        <w:t xml:space="preserve">ן על בראשית א' א', שהיא ההיולי. </w:t>
      </w:r>
    </w:p>
    <w:p w14:paraId="2F548479" w14:textId="77777777" w:rsidR="00831F8E" w:rsidRDefault="00831F8E" w:rsidP="00831F8E">
      <w:pPr>
        <w:pStyle w:val="FootnoteText"/>
        <w:rPr>
          <w:rtl/>
        </w:rPr>
      </w:pPr>
      <w:r>
        <w:rPr>
          <w:rFonts w:hint="cs"/>
          <w:rtl/>
        </w:rPr>
        <w:t>לכן מה שהוויתו של דבר היא אפשרית מציאות זהו היותו חומרי, כמו שכתב אריסטו במטאפיזיקה זטא.</w:t>
      </w:r>
    </w:p>
    <w:p w14:paraId="795837F9" w14:textId="6DED4D81" w:rsidR="00831F8E" w:rsidRDefault="00831F8E" w:rsidP="004109C9">
      <w:pPr>
        <w:pStyle w:val="FootnoteText"/>
      </w:pPr>
      <w:r>
        <w:rPr>
          <w:rFonts w:hint="cs"/>
          <w:rtl/>
        </w:rPr>
        <w:t xml:space="preserve">זה מה שכותב כאן אבן סינא, שהחומר לא קיים באופן מוחלט. הוא ההעדר, וההעדר הוא היפך ה'יש', וכל מה שנוצר מההעדר </w:t>
      </w:r>
      <w:r w:rsidR="001A7D5F">
        <w:rPr>
          <w:rFonts w:hint="cs"/>
          <w:rtl/>
        </w:rPr>
        <w:t>מציאותו היא הסופו של דבר ההעדר, ולכן מצד החומר שבו אין לו קיום מוחלט, ורק הצורה היא מה שקיים באופן מוחלט. כלומר הילד אורי שרחל ציירה, כצורה הוא קיים באופן מוחלט, כדמות של שיר. רק אם אנו מבקשים את ממשות קיומו, כלומר קיומו החומרי, שזהו קיום מוחלט ולא רק להיות קיים בציור, אז אנו לא מוצאים את המצע של ממשות קיומו כי החומר הוא העדר והוא איננו.</w:t>
      </w:r>
    </w:p>
  </w:footnote>
  <w:footnote w:id="135">
    <w:p w14:paraId="1108008A" w14:textId="253CB7B1" w:rsidR="00E30AC5" w:rsidRPr="00E30AC5" w:rsidRDefault="00E30AC5">
      <w:pPr>
        <w:pStyle w:val="FootnoteText"/>
      </w:pPr>
      <w:r w:rsidRPr="00E30AC5">
        <w:rPr>
          <w:rStyle w:val="FootnoteReference"/>
        </w:rPr>
        <w:footnoteRef/>
      </w:r>
      <w:r w:rsidRPr="00E30AC5">
        <w:rPr>
          <w:rtl/>
        </w:rPr>
        <w:t xml:space="preserve"> </w:t>
      </w:r>
      <w:r>
        <w:rPr>
          <w:rFonts w:hint="cs"/>
          <w:rtl/>
        </w:rPr>
        <w:t xml:space="preserve">במקור </w:t>
      </w:r>
      <w:r w:rsidRPr="00E30AC5">
        <w:rPr>
          <w:rFonts w:ascii="Arial" w:hAnsi="Arial" w:cs="Arial" w:hint="cs"/>
          <w:rtl/>
          <w:lang w:bidi="ar-SA"/>
        </w:rPr>
        <w:t>تحصل</w:t>
      </w:r>
    </w:p>
  </w:footnote>
  <w:footnote w:id="136">
    <w:p w14:paraId="59F065FF" w14:textId="72403670" w:rsidR="003F09C6" w:rsidRDefault="003F09C6">
      <w:pPr>
        <w:pStyle w:val="FootnoteText"/>
        <w:rPr>
          <w:rtl/>
        </w:rPr>
      </w:pPr>
      <w:r>
        <w:rPr>
          <w:rStyle w:val="FootnoteReference"/>
        </w:rPr>
        <w:footnoteRef/>
      </w:r>
      <w:r>
        <w:rPr>
          <w:rtl/>
        </w:rPr>
        <w:t xml:space="preserve"> </w:t>
      </w:r>
      <w:r>
        <w:rPr>
          <w:rFonts w:hint="cs"/>
          <w:rtl/>
        </w:rPr>
        <w:t xml:space="preserve">החומר אין לו מציאות בעצמו, אלא רק כמצע ליציאה אל </w:t>
      </w:r>
      <w:r w:rsidR="001865B3" w:rsidRPr="001865B3">
        <w:rPr>
          <w:rtl/>
        </w:rPr>
        <w:t>הַפּוֹעַל</w:t>
      </w:r>
      <w:r>
        <w:rPr>
          <w:rFonts w:hint="cs"/>
          <w:rtl/>
        </w:rPr>
        <w:t xml:space="preserve"> של הצורה, ומחמת הצורה החומר נמצא ב</w:t>
      </w:r>
      <w:r w:rsidR="001865B3" w:rsidRPr="001865B3">
        <w:rPr>
          <w:rtl/>
        </w:rPr>
        <w:t>פוֹעַל</w:t>
      </w:r>
      <w:r>
        <w:rPr>
          <w:rFonts w:hint="cs"/>
          <w:rtl/>
        </w:rPr>
        <w:t>, והרי שהצורה היא סיבת מציאות החומר; עם זאת הצורה נמצאת בפועל מחמת שהיא בחומר, ויש צד שבו החומר הוא סיבת מציאות הצורה. לכן גם הצורה וגם החומר נחשבים כל אחד מהם סיבה למציאות העצם</w:t>
      </w:r>
      <w:r w:rsidR="00A070D4">
        <w:rPr>
          <w:rFonts w:hint="cs"/>
          <w:rtl/>
        </w:rPr>
        <w:t xml:space="preserve"> בארבעת הסיבות של אריסטו, וזה שכתב בהתחלת הפסקה שגם הצורה וגם החומר הם </w:t>
      </w:r>
      <w:r w:rsidR="00F055C8">
        <w:rPr>
          <w:rtl/>
        </w:rPr>
        <w:t>"</w:t>
      </w:r>
      <w:r w:rsidR="00A070D4">
        <w:rPr>
          <w:rFonts w:hint="cs"/>
          <w:rtl/>
        </w:rPr>
        <w:t>התחלות</w:t>
      </w:r>
      <w:r w:rsidR="00F055C8">
        <w:rPr>
          <w:rtl/>
        </w:rPr>
        <w:t>"</w:t>
      </w:r>
      <w:r w:rsidR="00A070D4">
        <w:rPr>
          <w:rFonts w:hint="cs"/>
          <w:rtl/>
        </w:rPr>
        <w:t xml:space="preserve"> ולא שמציאות החומר נובעת ממציאות הצורה (שאז החומר לא היה </w:t>
      </w:r>
      <w:r w:rsidR="00F055C8">
        <w:rPr>
          <w:rtl/>
        </w:rPr>
        <w:t>"</w:t>
      </w:r>
      <w:r w:rsidR="00A070D4">
        <w:rPr>
          <w:rFonts w:hint="cs"/>
          <w:rtl/>
        </w:rPr>
        <w:t>התחלה</w:t>
      </w:r>
      <w:r w:rsidR="00F055C8">
        <w:rPr>
          <w:rtl/>
        </w:rPr>
        <w:t>"</w:t>
      </w:r>
      <w:r w:rsidR="00A070D4">
        <w:rPr>
          <w:rFonts w:hint="cs"/>
          <w:rtl/>
        </w:rPr>
        <w:t>)</w:t>
      </w:r>
      <w:r>
        <w:rPr>
          <w:rFonts w:hint="cs"/>
          <w:rtl/>
        </w:rPr>
        <w:t>. נקודה זו שביחס בין הצורה לחומר היא נקודת הסתירה של סוד הצמצום או סוד מעשה מרכבה</w:t>
      </w:r>
      <w:r w:rsidR="00D13CEC">
        <w:rPr>
          <w:rtl/>
        </w:rPr>
        <w:fldChar w:fldCharType="begin"/>
      </w:r>
      <w:r w:rsidR="00D13CEC">
        <w:instrText xml:space="preserve"> XE "</w:instrText>
      </w:r>
      <w:r w:rsidR="00D13CEC" w:rsidRPr="003B6A52">
        <w:rPr>
          <w:rFonts w:hint="cs"/>
          <w:rtl/>
        </w:rPr>
        <w:instrText>מעשה מרכבה</w:instrText>
      </w:r>
      <w:r w:rsidR="00D13CEC">
        <w:instrText xml:space="preserve">" </w:instrText>
      </w:r>
      <w:r w:rsidR="00D13CEC">
        <w:rPr>
          <w:rtl/>
        </w:rPr>
        <w:fldChar w:fldCharType="end"/>
      </w:r>
      <w:r>
        <w:rPr>
          <w:rFonts w:hint="cs"/>
          <w:rtl/>
        </w:rPr>
        <w:t>, כלומר הסתירה שמונחת בנביעת המוגבל מהמופשט שהוא האין סוף האחד הפשוט המוחלט שאין בו שום גבול ושום מורכבות כלל. עצם הסתירה אין לנו השגה בה, אבל נובע ממנה שהמציאות אין לה קיום עומד משל עצמה, היא כמו שלהבת מגחלת. ואחד המקומות שהם אנו רואים זאת הוא ביחס הזה בין מציאות החומר למציאות הצורה, שכל אחד מהם אין לו מציאות משלו, ובכ</w:t>
      </w:r>
      <w:r w:rsidR="00A45438">
        <w:rPr>
          <w:rFonts w:hint="cs"/>
          <w:rtl/>
        </w:rPr>
        <w:t xml:space="preserve">ל זאת ביחד הם מרכיבים 'עצם'. </w:t>
      </w:r>
      <w:r>
        <w:rPr>
          <w:rFonts w:hint="cs"/>
          <w:rtl/>
        </w:rPr>
        <w:t xml:space="preserve"> </w:t>
      </w:r>
    </w:p>
    <w:p w14:paraId="370EBD5F" w14:textId="75DA5CF4" w:rsidR="003F09C6" w:rsidRDefault="003F09C6" w:rsidP="00BD4301">
      <w:pPr>
        <w:pStyle w:val="FootnoteText"/>
      </w:pPr>
      <w:r>
        <w:rPr>
          <w:rFonts w:hint="cs"/>
          <w:rtl/>
        </w:rPr>
        <w:t>עיין עוד בזה</w:t>
      </w:r>
      <w:r w:rsidR="00A45438">
        <w:rPr>
          <w:rFonts w:hint="cs"/>
          <w:rtl/>
        </w:rPr>
        <w:t xml:space="preserve"> ב</w:t>
      </w:r>
      <w:hyperlink r:id="rId34" w:history="1">
        <w:r w:rsidR="00A45438" w:rsidRPr="00A45438">
          <w:rPr>
            <w:rStyle w:val="Hyperlink"/>
            <w:rFonts w:hint="cs"/>
            <w:rtl/>
          </w:rPr>
          <w:t>התחלות הנמצאות</w:t>
        </w:r>
      </w:hyperlink>
      <w:r w:rsidR="00A45438">
        <w:rPr>
          <w:rFonts w:hint="cs"/>
          <w:rtl/>
        </w:rPr>
        <w:t xml:space="preserve"> מאת אלפראבי בעמ' 5-10 (אלפראבי היה המורה של אבן סינא ותורתו משוקעת בכתבי אבן סינא), </w:t>
      </w:r>
      <w:r w:rsidR="00A45438">
        <w:rPr>
          <w:rFonts w:hint="cs"/>
          <w:rtl/>
        </w:rPr>
        <w:t xml:space="preserve">ובטימיאוס מאת אפלטון עמ' 49-52 כתב בזה </w:t>
      </w:r>
      <w:r w:rsidR="00F055C8">
        <w:rPr>
          <w:rtl/>
        </w:rPr>
        <w:t>"</w:t>
      </w:r>
      <w:r w:rsidR="00A45438">
        <w:rPr>
          <w:rFonts w:hint="cs"/>
          <w:rtl/>
        </w:rPr>
        <w:t>עמוקות ומשלים</w:t>
      </w:r>
      <w:r w:rsidR="00F055C8">
        <w:rPr>
          <w:rtl/>
        </w:rPr>
        <w:t>"</w:t>
      </w:r>
      <w:r w:rsidR="00A45438">
        <w:rPr>
          <w:rFonts w:hint="cs"/>
          <w:rtl/>
        </w:rPr>
        <w:t xml:space="preserve">. </w:t>
      </w:r>
      <w:r>
        <w:rPr>
          <w:rFonts w:hint="cs"/>
          <w:rtl/>
        </w:rPr>
        <w:t xml:space="preserve"> </w:t>
      </w:r>
    </w:p>
  </w:footnote>
  <w:footnote w:id="137">
    <w:p w14:paraId="7F26AF97" w14:textId="46E66033" w:rsidR="00AE41DF" w:rsidRDefault="00AE41DF">
      <w:pPr>
        <w:pStyle w:val="FootnoteText"/>
      </w:pPr>
      <w:r>
        <w:rPr>
          <w:rStyle w:val="FootnoteReference"/>
        </w:rPr>
        <w:footnoteRef/>
      </w:r>
      <w:r>
        <w:rPr>
          <w:rtl/>
        </w:rPr>
        <w:t xml:space="preserve"> </w:t>
      </w:r>
      <w:r>
        <w:rPr>
          <w:rFonts w:hint="cs"/>
          <w:rtl/>
        </w:rPr>
        <w:t xml:space="preserve">מקגיניס השמיט שתי מילים אלה. לדעתי הכוונה בהן, להדגיש שתוכן הסעיף הזה הוא לעסוק בהבחנה שבין המושג </w:t>
      </w:r>
      <w:r w:rsidR="00F055C8">
        <w:rPr>
          <w:rtl/>
        </w:rPr>
        <w:t>"</w:t>
      </w:r>
      <w:r>
        <w:rPr>
          <w:rFonts w:hint="cs"/>
          <w:rtl/>
        </w:rPr>
        <w:t>היולי</w:t>
      </w:r>
      <w:r w:rsidR="00F055C8">
        <w:rPr>
          <w:rtl/>
        </w:rPr>
        <w:t>"</w:t>
      </w:r>
      <w:r>
        <w:rPr>
          <w:rFonts w:hint="cs"/>
          <w:rtl/>
        </w:rPr>
        <w:t xml:space="preserve"> ובין המילה </w:t>
      </w:r>
      <w:r w:rsidR="00F055C8">
        <w:rPr>
          <w:rtl/>
        </w:rPr>
        <w:t>"</w:t>
      </w:r>
      <w:r>
        <w:rPr>
          <w:rFonts w:hint="cs"/>
          <w:rtl/>
        </w:rPr>
        <w:t>גשם</w:t>
      </w:r>
      <w:r w:rsidR="00F055C8">
        <w:rPr>
          <w:rtl/>
        </w:rPr>
        <w:t>"</w:t>
      </w:r>
      <w:r>
        <w:rPr>
          <w:rFonts w:hint="cs"/>
          <w:rtl/>
        </w:rPr>
        <w:t>, כלומר חומר. חומר כשלעצמו יכול להיות קיים כמו כל עצם טבעי. למשל גוש שיש שהוא חומר לפסל, בצק שהוא חומר ללחם, בשר שהוא חומר לגוף בעל חיים, וכל כיוצא בזה. רק החומר הראשון</w:t>
      </w:r>
      <w:r w:rsidR="00E73C62">
        <w:rPr>
          <w:rtl/>
        </w:rPr>
        <w:fldChar w:fldCharType="begin"/>
      </w:r>
      <w:r w:rsidR="00E73C62">
        <w:instrText xml:space="preserve"> XE "</w:instrText>
      </w:r>
      <w:r w:rsidR="00E73C62" w:rsidRPr="006F7940">
        <w:rPr>
          <w:rFonts w:hint="cs"/>
          <w:rtl/>
        </w:rPr>
        <w:instrText>החומר הראשון</w:instrText>
      </w:r>
      <w:r w:rsidR="00E73C62">
        <w:instrText xml:space="preserve">" </w:instrText>
      </w:r>
      <w:r w:rsidR="00E73C62">
        <w:rPr>
          <w:rtl/>
        </w:rPr>
        <w:fldChar w:fldCharType="end"/>
      </w:r>
      <w:r>
        <w:rPr>
          <w:rFonts w:hint="cs"/>
          <w:rtl/>
        </w:rPr>
        <w:t xml:space="preserve"> אינו יכול להיות קיים כשהוא עומד בפני עצמו, וזה עניין קשה מאוד להבנה, וכמו שכתב </w:t>
      </w:r>
      <w:r>
        <w:rPr>
          <w:rFonts w:hint="cs"/>
          <w:rtl/>
        </w:rPr>
        <w:t>בטימיאוס</w:t>
      </w:r>
      <w:r w:rsidR="00B10FE5">
        <w:rPr>
          <w:rFonts w:hint="cs"/>
          <w:rtl/>
        </w:rPr>
        <w:t xml:space="preserve"> (דפים 49-52)</w:t>
      </w:r>
      <w:r>
        <w:rPr>
          <w:rFonts w:hint="cs"/>
          <w:rtl/>
        </w:rPr>
        <w:t xml:space="preserve"> שלא השכל ולא הדמיון יכולים לתפוש את זה, ואנו תופשים זאת רק כמתוך חלום</w:t>
      </w:r>
      <w:r w:rsidR="00B10FE5">
        <w:rPr>
          <w:rFonts w:hint="cs"/>
          <w:rtl/>
        </w:rPr>
        <w:t xml:space="preserve"> (לחומר הראשון, ההיולי, אין שום הגדרה, כי אין בו שום צורה ובלי צורה אין הגדרה, ולכן אינו יכול להיות נתפש, כמו שהאין סוף לא יכול להיות נתפש)</w:t>
      </w:r>
      <w:r>
        <w:rPr>
          <w:rFonts w:hint="cs"/>
          <w:rtl/>
        </w:rPr>
        <w:t xml:space="preserve">. את העניין הזה אומר כאן אבן סינא, ועליו הוא מסיים שזה ההיולי, כלומר זה לא בכל חומר אלא </w:t>
      </w:r>
      <w:r w:rsidR="00B10FE5">
        <w:rPr>
          <w:rFonts w:hint="cs"/>
          <w:rtl/>
        </w:rPr>
        <w:t xml:space="preserve">זה </w:t>
      </w:r>
      <w:r>
        <w:rPr>
          <w:rFonts w:hint="cs"/>
          <w:rtl/>
        </w:rPr>
        <w:t xml:space="preserve">רק בסוד הגדול של ההיולי.   </w:t>
      </w:r>
    </w:p>
  </w:footnote>
  <w:footnote w:id="138">
    <w:p w14:paraId="554B4C1C" w14:textId="77777777" w:rsidR="00BA5EF5" w:rsidRDefault="004B519C">
      <w:pPr>
        <w:pStyle w:val="FootnoteText"/>
        <w:rPr>
          <w:rtl/>
        </w:rPr>
      </w:pPr>
      <w:r>
        <w:rPr>
          <w:rStyle w:val="FootnoteReference"/>
        </w:rPr>
        <w:footnoteRef/>
      </w:r>
      <w:r>
        <w:rPr>
          <w:rtl/>
        </w:rPr>
        <w:t xml:space="preserve"> </w:t>
      </w:r>
      <w:r>
        <w:rPr>
          <w:rFonts w:hint="cs"/>
          <w:rtl/>
        </w:rPr>
        <w:t>יש לו פוטנציאל לקבל צור</w:t>
      </w:r>
      <w:r w:rsidR="00013506">
        <w:rPr>
          <w:rFonts w:hint="cs"/>
          <w:rtl/>
        </w:rPr>
        <w:t>ות</w:t>
      </w:r>
      <w:r>
        <w:rPr>
          <w:rFonts w:hint="cs"/>
          <w:rtl/>
        </w:rPr>
        <w:t xml:space="preserve"> או צור</w:t>
      </w:r>
      <w:r w:rsidR="00013506">
        <w:rPr>
          <w:rFonts w:hint="cs"/>
          <w:rtl/>
        </w:rPr>
        <w:t xml:space="preserve">ה. </w:t>
      </w:r>
    </w:p>
    <w:p w14:paraId="23B3DD71" w14:textId="56A70BFF" w:rsidR="004B519C" w:rsidRDefault="00013506">
      <w:pPr>
        <w:pStyle w:val="FootnoteText"/>
      </w:pPr>
      <w:r>
        <w:rPr>
          <w:rFonts w:hint="cs"/>
          <w:rtl/>
        </w:rPr>
        <w:t xml:space="preserve">מקגיניס שינה את הסדר וכתב צורה או צורות, אמנם כמובן הסדר </w:t>
      </w:r>
      <w:r w:rsidR="009C463A">
        <w:rPr>
          <w:rFonts w:hint="cs"/>
          <w:rtl/>
        </w:rPr>
        <w:t>מדויק</w:t>
      </w:r>
      <w:r>
        <w:rPr>
          <w:rFonts w:hint="cs"/>
          <w:rtl/>
        </w:rPr>
        <w:t xml:space="preserve">, </w:t>
      </w:r>
      <w:r w:rsidR="00F055C8">
        <w:rPr>
          <w:rtl/>
        </w:rPr>
        <w:t>"</w:t>
      </w:r>
      <w:r>
        <w:rPr>
          <w:rFonts w:hint="cs"/>
          <w:rtl/>
        </w:rPr>
        <w:t>צורות</w:t>
      </w:r>
      <w:r w:rsidR="00F055C8">
        <w:rPr>
          <w:rtl/>
        </w:rPr>
        <w:t>"</w:t>
      </w:r>
      <w:r>
        <w:rPr>
          <w:rFonts w:hint="cs"/>
          <w:rtl/>
        </w:rPr>
        <w:t xml:space="preserve"> הכוונה לצורות שבחומר המורכב מארבע יסודות, שהן תמיד בתנועת התהוות והפסד, משום השינוי המתמיד במזג היסודות. אדם הוא לא אותה צורה כמו שהיה רגע אחד מקודם, הוא הזדקן והשתנה, לכן צורתו היא רצף צורות משתנות. לעומת זאת גרמי השמיים שהם בחומר החמישי הם צורה שלמה ונצחית שאין בה שינוי, ולכן הם </w:t>
      </w:r>
      <w:r w:rsidR="00F055C8">
        <w:rPr>
          <w:rtl/>
        </w:rPr>
        <w:t>"</w:t>
      </w:r>
      <w:r>
        <w:rPr>
          <w:rFonts w:hint="cs"/>
          <w:rtl/>
        </w:rPr>
        <w:t>צורה</w:t>
      </w:r>
      <w:r w:rsidR="00F055C8">
        <w:rPr>
          <w:rtl/>
        </w:rPr>
        <w:t>"</w:t>
      </w:r>
      <w:r>
        <w:rPr>
          <w:rFonts w:hint="cs"/>
          <w:rtl/>
        </w:rPr>
        <w:t xml:space="preserve"> אחת</w:t>
      </w:r>
      <w:r w:rsidR="004B519C">
        <w:rPr>
          <w:rFonts w:hint="cs"/>
          <w:rtl/>
        </w:rPr>
        <w:t>.</w:t>
      </w:r>
      <w:r>
        <w:rPr>
          <w:rFonts w:hint="cs"/>
          <w:rtl/>
        </w:rPr>
        <w:t xml:space="preserve"> בפיזיקה הסדר תמיד מתחיל מהעולם הארצי ורק אחריו מה שמעל, העולם השמיימי והעולם המופשט</w:t>
      </w:r>
      <w:r w:rsidR="00E357B6">
        <w:rPr>
          <w:rFonts w:hint="cs"/>
          <w:rtl/>
        </w:rPr>
        <w:t xml:space="preserve"> (וגם במטאפיזיקה בהרבה מקומות הסדר כך, אם מסבירים למי ש</w:t>
      </w:r>
      <w:r w:rsidR="008A3D4E">
        <w:rPr>
          <w:rFonts w:hint="cs"/>
          <w:rtl/>
        </w:rPr>
        <w:t xml:space="preserve">נמצא בעולם הארצי, ולא כותבים באופן מופשט לגמרי את סדר </w:t>
      </w:r>
      <w:r w:rsidR="009C463A">
        <w:rPr>
          <w:rFonts w:hint="cs"/>
          <w:rtl/>
        </w:rPr>
        <w:t>ההוויה</w:t>
      </w:r>
      <w:r w:rsidR="008A3D4E">
        <w:rPr>
          <w:rFonts w:hint="cs"/>
          <w:rtl/>
        </w:rPr>
        <w:t xml:space="preserve">. וכמו שכתב בהלכות יסודי התורה ב' ג' (ובסוף הפרק שם כתב שהוא מעשה מרכבה, כלומר </w:t>
      </w:r>
      <w:r w:rsidR="008A3D4E">
        <w:rPr>
          <w:rFonts w:hint="cs"/>
          <w:rtl/>
        </w:rPr>
        <w:t>מטאפיזיקה, ושני הפרקים שאחרי הם מעשה בראשית, כלומר פיזיקה)</w:t>
      </w:r>
      <w:r>
        <w:rPr>
          <w:rFonts w:hint="cs"/>
          <w:rtl/>
        </w:rPr>
        <w:t>.</w:t>
      </w:r>
    </w:p>
  </w:footnote>
  <w:footnote w:id="139">
    <w:p w14:paraId="23137EA2" w14:textId="7D94FB57" w:rsidR="002E5228" w:rsidRDefault="002E5228" w:rsidP="002E5228">
      <w:pPr>
        <w:pStyle w:val="FootnoteText"/>
        <w:rPr>
          <w:rtl/>
        </w:rPr>
      </w:pPr>
      <w:r>
        <w:rPr>
          <w:rStyle w:val="FootnoteReference"/>
        </w:rPr>
        <w:footnoteRef/>
      </w:r>
      <w:r>
        <w:rPr>
          <w:rtl/>
        </w:rPr>
        <w:t xml:space="preserve"> </w:t>
      </w:r>
      <w:r w:rsidR="007620F0" w:rsidRPr="007620F0">
        <w:rPr>
          <w:rFonts w:cs="Times New Roman" w:hint="eastAsia"/>
          <w:rtl/>
          <w:lang w:bidi="ar-SA"/>
        </w:rPr>
        <w:t>موضع</w:t>
      </w:r>
      <w:r w:rsidR="007620F0">
        <w:rPr>
          <w:rFonts w:cs="Times New Roman" w:hint="cs"/>
          <w:rtl/>
        </w:rPr>
        <w:t xml:space="preserve">. </w:t>
      </w:r>
      <w:r w:rsidR="007620F0">
        <w:rPr>
          <w:rFonts w:hint="cs"/>
          <w:rtl/>
        </w:rPr>
        <w:t>זהו ה</w:t>
      </w:r>
      <w:r w:rsidRPr="002E5228">
        <w:rPr>
          <w:rtl/>
        </w:rPr>
        <w:t xml:space="preserve">מונח האריסטוטלי </w:t>
      </w:r>
      <w:r w:rsidRPr="002E5228">
        <w:t>Hypokeimenon (</w:t>
      </w:r>
      <w:r w:rsidRPr="00BF14AF">
        <w:rPr>
          <w:rFonts w:asciiTheme="majorBidi" w:hAnsiTheme="majorBidi" w:cstheme="majorBidi"/>
        </w:rPr>
        <w:t>ὑποκείμενον</w:t>
      </w:r>
      <w:r w:rsidRPr="002E5228">
        <w:t xml:space="preserve">), </w:t>
      </w:r>
      <w:r w:rsidRPr="002E5228">
        <w:rPr>
          <w:rtl/>
        </w:rPr>
        <w:t xml:space="preserve"> ובלטינית </w:t>
      </w:r>
      <w:r w:rsidRPr="002E5228">
        <w:t>subiectum</w:t>
      </w:r>
      <w:r w:rsidRPr="002E5228">
        <w:rPr>
          <w:rtl/>
        </w:rPr>
        <w:t xml:space="preserve"> </w:t>
      </w:r>
      <w:r w:rsidRPr="002E5228">
        <w:t>,</w:t>
      </w:r>
      <w:r w:rsidRPr="002E5228">
        <w:rPr>
          <w:rtl/>
        </w:rPr>
        <w:t xml:space="preserve"> וכמונח פילוסופי</w:t>
      </w:r>
      <w:r>
        <w:rPr>
          <w:rFonts w:hint="cs"/>
          <w:rtl/>
        </w:rPr>
        <w:t>:</w:t>
      </w:r>
      <w:r w:rsidRPr="002E5228">
        <w:rPr>
          <w:rtl/>
        </w:rPr>
        <w:t xml:space="preserve"> </w:t>
      </w:r>
      <w:r w:rsidRPr="002E5228">
        <w:t>material substratum</w:t>
      </w:r>
      <w:r w:rsidRPr="002E5228">
        <w:rPr>
          <w:rtl/>
        </w:rPr>
        <w:t xml:space="preserve"> </w:t>
      </w:r>
      <w:r>
        <w:rPr>
          <w:rFonts w:hint="cs"/>
          <w:rtl/>
        </w:rPr>
        <w:t>. בתרגום מרסל דיבואה ואביטל ולמן למטאפיזיקה דלתא השתמשו גם ב'נושא' וגם ב'מצע'</w:t>
      </w:r>
      <w:r w:rsidR="00203A69">
        <w:rPr>
          <w:rFonts w:hint="cs"/>
          <w:rtl/>
        </w:rPr>
        <w:t xml:space="preserve"> לתרגום מונח זה</w:t>
      </w:r>
      <w:r>
        <w:rPr>
          <w:rFonts w:hint="cs"/>
          <w:rtl/>
        </w:rPr>
        <w:t xml:space="preserve">. </w:t>
      </w:r>
      <w:r w:rsidR="00A56676">
        <w:rPr>
          <w:rFonts w:hint="cs"/>
          <w:rtl/>
        </w:rPr>
        <w:t xml:space="preserve">מקגיניס תרגם כאן </w:t>
      </w:r>
      <w:r w:rsidR="00A56676">
        <w:t>subject</w:t>
      </w:r>
      <w:r w:rsidR="00A56676">
        <w:rPr>
          <w:rFonts w:hint="cs"/>
          <w:rtl/>
        </w:rPr>
        <w:t>.</w:t>
      </w:r>
      <w:r w:rsidR="005436C7">
        <w:rPr>
          <w:rFonts w:hint="cs"/>
          <w:rtl/>
        </w:rPr>
        <w:t xml:space="preserve"> זו הכוונה בפירוש המילה </w:t>
      </w:r>
      <w:r w:rsidR="00F055C8">
        <w:rPr>
          <w:rtl/>
        </w:rPr>
        <w:t>"</w:t>
      </w:r>
      <w:r w:rsidR="005436C7">
        <w:rPr>
          <w:rFonts w:hint="cs"/>
          <w:rtl/>
        </w:rPr>
        <w:t>תבנית</w:t>
      </w:r>
      <w:r w:rsidR="00F055C8">
        <w:rPr>
          <w:rtl/>
        </w:rPr>
        <w:t>"</w:t>
      </w:r>
      <w:r w:rsidR="005436C7">
        <w:rPr>
          <w:rFonts w:hint="cs"/>
        </w:rPr>
        <w:t xml:space="preserve"> </w:t>
      </w:r>
      <w:r w:rsidR="005436C7">
        <w:rPr>
          <w:rFonts w:hint="cs"/>
          <w:rtl/>
        </w:rPr>
        <w:t>במורה נבוכים א' ג', בניגוד ל</w:t>
      </w:r>
      <w:r w:rsidR="00F055C8">
        <w:rPr>
          <w:rtl/>
        </w:rPr>
        <w:t>"</w:t>
      </w:r>
      <w:r w:rsidR="005436C7">
        <w:rPr>
          <w:rFonts w:hint="cs"/>
          <w:rtl/>
        </w:rPr>
        <w:t>תמונה</w:t>
      </w:r>
      <w:r w:rsidR="00F055C8">
        <w:rPr>
          <w:rtl/>
        </w:rPr>
        <w:t>"</w:t>
      </w:r>
      <w:r w:rsidR="005436C7">
        <w:rPr>
          <w:rFonts w:hint="cs"/>
          <w:rtl/>
        </w:rPr>
        <w:t xml:space="preserve"> שהיא מלשון מין והיא הצורה.</w:t>
      </w:r>
    </w:p>
  </w:footnote>
  <w:footnote w:id="140">
    <w:p w14:paraId="1CC9E792" w14:textId="3971904F" w:rsidR="004E182D" w:rsidRDefault="004E182D">
      <w:pPr>
        <w:pStyle w:val="FootnoteText"/>
        <w:rPr>
          <w:rtl/>
        </w:rPr>
      </w:pPr>
      <w:r>
        <w:rPr>
          <w:rStyle w:val="FootnoteReference"/>
        </w:rPr>
        <w:footnoteRef/>
      </w:r>
      <w:r w:rsidRPr="004E182D">
        <w:rPr>
          <w:rtl/>
        </w:rPr>
        <w:t xml:space="preserve"> </w:t>
      </w:r>
      <w:bookmarkStart w:id="90" w:name="_Hlk83110527"/>
      <w:r w:rsidRPr="00F73827">
        <w:rPr>
          <w:rFonts w:asciiTheme="majorBidi" w:hAnsiTheme="majorBidi" w:cstheme="majorBidi"/>
        </w:rPr>
        <w:t>Kitāb al-burhān</w:t>
      </w:r>
      <w:bookmarkEnd w:id="90"/>
      <w:r w:rsidRPr="004E182D">
        <w:t xml:space="preserve"> </w:t>
      </w:r>
      <w:r w:rsidR="00F8752D">
        <w:t>1.</w:t>
      </w:r>
      <w:r w:rsidRPr="004E182D">
        <w:t>10</w:t>
      </w:r>
      <w:r>
        <w:rPr>
          <w:rFonts w:hint="cs"/>
          <w:rtl/>
        </w:rPr>
        <w:t xml:space="preserve"> (חלק מספר הריפוי שעוסק בלוגיקה ונקרא ספר הראיות. הוא לא נכלל בתרגום שלי)</w:t>
      </w:r>
    </w:p>
  </w:footnote>
  <w:footnote w:id="141">
    <w:p w14:paraId="1E3D862B" w14:textId="5F71367D" w:rsidR="00270BEA" w:rsidRDefault="00270BEA">
      <w:pPr>
        <w:pStyle w:val="FootnoteText"/>
      </w:pPr>
      <w:r>
        <w:rPr>
          <w:rStyle w:val="FootnoteReference"/>
        </w:rPr>
        <w:footnoteRef/>
      </w:r>
      <w:r>
        <w:rPr>
          <w:rtl/>
        </w:rPr>
        <w:t xml:space="preserve"> </w:t>
      </w:r>
      <w:r>
        <w:rPr>
          <w:rFonts w:hint="cs"/>
          <w:rtl/>
        </w:rPr>
        <w:t>ההיולי</w:t>
      </w:r>
      <w:r w:rsidR="00F41DFD">
        <w:rPr>
          <w:rFonts w:hint="cs"/>
          <w:rtl/>
        </w:rPr>
        <w:t>, החומר הראשון</w:t>
      </w:r>
      <w:r w:rsidR="00E73C62">
        <w:rPr>
          <w:rtl/>
        </w:rPr>
        <w:fldChar w:fldCharType="begin"/>
      </w:r>
      <w:r w:rsidR="00E73C62">
        <w:instrText xml:space="preserve"> XE "</w:instrText>
      </w:r>
      <w:r w:rsidR="00E73C62" w:rsidRPr="00A10DBF">
        <w:rPr>
          <w:rFonts w:hint="cs"/>
          <w:rtl/>
        </w:rPr>
        <w:instrText>החומר הראשון</w:instrText>
      </w:r>
      <w:r w:rsidR="00E73C62">
        <w:instrText xml:space="preserve">" </w:instrText>
      </w:r>
      <w:r w:rsidR="00E73C62">
        <w:rPr>
          <w:rtl/>
        </w:rPr>
        <w:fldChar w:fldCharType="end"/>
      </w:r>
      <w:r w:rsidR="00F41DFD">
        <w:rPr>
          <w:rFonts w:hint="cs"/>
          <w:rtl/>
        </w:rPr>
        <w:t>,</w:t>
      </w:r>
      <w:r>
        <w:rPr>
          <w:rFonts w:hint="cs"/>
          <w:rtl/>
        </w:rPr>
        <w:t xml:space="preserve"> הוא מחוץ לתחום הלוגיקה כיוון שאין לו מצד עצמו שום הגדרה. </w:t>
      </w:r>
      <w:r w:rsidR="00F41DFD">
        <w:rPr>
          <w:rFonts w:hint="cs"/>
          <w:rtl/>
        </w:rPr>
        <w:t xml:space="preserve">בלוגיקה אפשר לדבר רק על חומר שאינו החומר הראשון, כמו עץ למיטה, שהעץ הוא עצם בעל הגדרה משלו מלבד הגדרת המיטה, כיוון שיש לו צורה מצד עצמו בנפרד מצורת המיטה. </w:t>
      </w:r>
    </w:p>
  </w:footnote>
  <w:footnote w:id="142">
    <w:p w14:paraId="3B4A40F0" w14:textId="1ABF32DC" w:rsidR="00F46AAB" w:rsidRDefault="000F5BE1">
      <w:pPr>
        <w:pStyle w:val="FootnoteText"/>
        <w:rPr>
          <w:rtl/>
        </w:rPr>
      </w:pPr>
      <w:r>
        <w:rPr>
          <w:rStyle w:val="FootnoteReference"/>
        </w:rPr>
        <w:footnoteRef/>
      </w:r>
      <w:r>
        <w:rPr>
          <w:rtl/>
        </w:rPr>
        <w:t xml:space="preserve"> </w:t>
      </w:r>
      <w:r w:rsidR="00DA2083">
        <w:rPr>
          <w:rFonts w:hint="cs"/>
          <w:rtl/>
        </w:rPr>
        <w:t xml:space="preserve">גולם הוא חומר הגלם ליצירת כלי חרס, ונקטתי כאן לפי שימוש </w:t>
      </w:r>
      <w:r w:rsidRPr="000F5BE1">
        <w:rPr>
          <w:rtl/>
        </w:rPr>
        <w:t>הרמב</w:t>
      </w:r>
      <w:r w:rsidR="00F055C8">
        <w:rPr>
          <w:rtl/>
        </w:rPr>
        <w:t>"</w:t>
      </w:r>
      <w:r w:rsidRPr="000F5BE1">
        <w:rPr>
          <w:rtl/>
        </w:rPr>
        <w:t xml:space="preserve">ם </w:t>
      </w:r>
      <w:r w:rsidR="00DA2083">
        <w:rPr>
          <w:rFonts w:hint="cs"/>
          <w:rtl/>
        </w:rPr>
        <w:t xml:space="preserve">במילה זו </w:t>
      </w:r>
      <w:r w:rsidRPr="000F5BE1">
        <w:rPr>
          <w:rtl/>
        </w:rPr>
        <w:t xml:space="preserve">בהלכות יסודי </w:t>
      </w:r>
      <w:r w:rsidRPr="008C3334">
        <w:rPr>
          <w:rtl/>
        </w:rPr>
        <w:t xml:space="preserve">התורה ד' ז'. במקור: </w:t>
      </w:r>
      <w:bookmarkStart w:id="91" w:name="_Hlk83111985"/>
      <w:r w:rsidRPr="008C3334">
        <w:rPr>
          <w:rFonts w:ascii="Arial" w:hAnsi="Arial" w:cs="Arial" w:hint="cs"/>
          <w:rtl/>
          <w:lang w:bidi="ar-SA"/>
        </w:rPr>
        <w:t>مادة</w:t>
      </w:r>
      <w:bookmarkEnd w:id="91"/>
      <w:r w:rsidRPr="008C3334">
        <w:rPr>
          <w:rtl/>
          <w:lang w:bidi="ar-SA"/>
        </w:rPr>
        <w:t xml:space="preserve"> </w:t>
      </w:r>
      <w:r w:rsidRPr="008C3334">
        <w:rPr>
          <w:rFonts w:ascii="Arial" w:hAnsi="Arial" w:cs="Arial" w:hint="cs"/>
          <w:rtl/>
          <w:lang w:bidi="ar-SA"/>
        </w:rPr>
        <w:t>و</w:t>
      </w:r>
      <w:bookmarkStart w:id="92" w:name="_Hlk83112005"/>
      <w:r w:rsidRPr="008C3334">
        <w:rPr>
          <w:rFonts w:ascii="Arial" w:hAnsi="Arial" w:cs="Arial" w:hint="cs"/>
          <w:rtl/>
          <w:lang w:bidi="ar-SA"/>
        </w:rPr>
        <w:t>طينة</w:t>
      </w:r>
      <w:bookmarkEnd w:id="92"/>
      <w:r w:rsidR="008C3334" w:rsidRPr="008C3334">
        <w:rPr>
          <w:rtl/>
        </w:rPr>
        <w:t xml:space="preserve"> (</w:t>
      </w:r>
      <w:r w:rsidR="008C3334" w:rsidRPr="008C3334">
        <w:rPr>
          <w:rtl/>
        </w:rPr>
        <w:t>מאדא וטינא)</w:t>
      </w:r>
      <w:r w:rsidRPr="008C3334">
        <w:rPr>
          <w:rtl/>
        </w:rPr>
        <w:t xml:space="preserve">. </w:t>
      </w:r>
      <w:r w:rsidRPr="008C3334">
        <w:rPr>
          <w:rFonts w:ascii="Arial" w:hAnsi="Arial" w:cs="Arial" w:hint="cs"/>
          <w:rtl/>
          <w:lang w:bidi="ar-SA"/>
        </w:rPr>
        <w:t>مادة</w:t>
      </w:r>
      <w:r w:rsidR="008C3334" w:rsidRPr="008C3334">
        <w:rPr>
          <w:rtl/>
        </w:rPr>
        <w:t xml:space="preserve"> (מאדא)</w:t>
      </w:r>
      <w:r w:rsidRPr="008C3334">
        <w:rPr>
          <w:rtl/>
        </w:rPr>
        <w:t xml:space="preserve"> </w:t>
      </w:r>
      <w:r w:rsidR="00DA2083">
        <w:rPr>
          <w:rFonts w:hint="cs"/>
          <w:rtl/>
        </w:rPr>
        <w:t>דומה ל</w:t>
      </w:r>
      <w:r w:rsidRPr="008C3334">
        <w:rPr>
          <w:rtl/>
        </w:rPr>
        <w:t>שימו</w:t>
      </w:r>
      <w:r w:rsidR="008C3334" w:rsidRPr="008C3334">
        <w:rPr>
          <w:rtl/>
        </w:rPr>
        <w:t>ש</w:t>
      </w:r>
      <w:r w:rsidRPr="008C3334">
        <w:rPr>
          <w:rtl/>
        </w:rPr>
        <w:t xml:space="preserve"> הרגיל שלנו במילה חומר.</w:t>
      </w:r>
    </w:p>
    <w:p w14:paraId="6E0ECCA1" w14:textId="2B1DE758" w:rsidR="000F5BE1" w:rsidRDefault="000F5BE1" w:rsidP="00F46AAB">
      <w:pPr>
        <w:pStyle w:val="FootnoteText"/>
        <w:rPr>
          <w:rtl/>
        </w:rPr>
      </w:pPr>
      <w:r w:rsidRPr="008C3334">
        <w:rPr>
          <w:rtl/>
        </w:rPr>
        <w:t xml:space="preserve"> </w:t>
      </w:r>
      <w:r w:rsidRPr="008C3334">
        <w:rPr>
          <w:rFonts w:ascii="Arial" w:hAnsi="Arial" w:cs="Arial" w:hint="cs"/>
          <w:rtl/>
          <w:lang w:bidi="ar-SA"/>
        </w:rPr>
        <w:t>طينة</w:t>
      </w:r>
      <w:r w:rsidRPr="008C3334">
        <w:rPr>
          <w:rtl/>
        </w:rPr>
        <w:t xml:space="preserve"> </w:t>
      </w:r>
      <w:r w:rsidR="008C3334" w:rsidRPr="008C3334">
        <w:rPr>
          <w:rtl/>
        </w:rPr>
        <w:t xml:space="preserve">(טינא) </w:t>
      </w:r>
      <w:r w:rsidR="002B20FB">
        <w:rPr>
          <w:rFonts w:hint="cs"/>
          <w:rtl/>
        </w:rPr>
        <w:t>בערבית פירושו</w:t>
      </w:r>
      <w:r w:rsidRPr="008C3334">
        <w:rPr>
          <w:rtl/>
        </w:rPr>
        <w:t xml:space="preserve"> כמו ה</w:t>
      </w:r>
      <w:r w:rsidR="008C3334" w:rsidRPr="008C3334">
        <w:rPr>
          <w:rtl/>
        </w:rPr>
        <w:t>מ</w:t>
      </w:r>
      <w:r w:rsidRPr="008C3334">
        <w:rPr>
          <w:rtl/>
        </w:rPr>
        <w:t xml:space="preserve">ילה </w:t>
      </w:r>
      <w:r w:rsidR="00F055C8">
        <w:rPr>
          <w:rtl/>
        </w:rPr>
        <w:t>"</w:t>
      </w:r>
      <w:r w:rsidR="00DA2083">
        <w:rPr>
          <w:rFonts w:hint="cs"/>
          <w:rtl/>
        </w:rPr>
        <w:t>טין</w:t>
      </w:r>
      <w:r w:rsidR="00F055C8">
        <w:rPr>
          <w:rtl/>
        </w:rPr>
        <w:t>"</w:t>
      </w:r>
      <w:r w:rsidR="00DA2083">
        <w:rPr>
          <w:rFonts w:hint="cs"/>
          <w:rtl/>
        </w:rPr>
        <w:t xml:space="preserve"> </w:t>
      </w:r>
      <w:r w:rsidR="008C3334" w:rsidRPr="008C3334">
        <w:rPr>
          <w:rtl/>
        </w:rPr>
        <w:t>ב</w:t>
      </w:r>
      <w:r w:rsidR="00DA2083">
        <w:rPr>
          <w:rFonts w:hint="cs"/>
          <w:rtl/>
        </w:rPr>
        <w:t>ארמי</w:t>
      </w:r>
      <w:r w:rsidRPr="008C3334">
        <w:rPr>
          <w:rtl/>
        </w:rPr>
        <w:t xml:space="preserve">ת </w:t>
      </w:r>
      <w:r w:rsidR="00DA2083">
        <w:rPr>
          <w:rFonts w:hint="cs"/>
          <w:rtl/>
        </w:rPr>
        <w:t>מקראית ולשון חז</w:t>
      </w:r>
      <w:r w:rsidR="00F055C8">
        <w:rPr>
          <w:rtl/>
        </w:rPr>
        <w:t>"</w:t>
      </w:r>
      <w:r w:rsidR="00DA2083">
        <w:rPr>
          <w:rFonts w:hint="cs"/>
          <w:rtl/>
        </w:rPr>
        <w:t xml:space="preserve">ל </w:t>
      </w:r>
      <w:r w:rsidR="00F46AAB">
        <w:rPr>
          <w:rtl/>
        </w:rPr>
        <w:t>(דניאל ב</w:t>
      </w:r>
      <w:r w:rsidR="00F46AAB">
        <w:rPr>
          <w:rFonts w:hint="cs"/>
          <w:rtl/>
        </w:rPr>
        <w:t>' מ</w:t>
      </w:r>
      <w:r w:rsidR="00F055C8">
        <w:rPr>
          <w:rtl/>
        </w:rPr>
        <w:t>"</w:t>
      </w:r>
      <w:r w:rsidR="00F46AAB">
        <w:rPr>
          <w:rFonts w:hint="cs"/>
          <w:rtl/>
        </w:rPr>
        <w:t>ג</w:t>
      </w:r>
      <w:r w:rsidR="00F46AAB">
        <w:rPr>
          <w:rtl/>
        </w:rPr>
        <w:t>, מסכת עבודה זרה ל</w:t>
      </w:r>
      <w:r w:rsidR="00F46AAB">
        <w:rPr>
          <w:rFonts w:hint="cs"/>
          <w:rtl/>
        </w:rPr>
        <w:t>' א'</w:t>
      </w:r>
      <w:r w:rsidR="00F46AAB">
        <w:rPr>
          <w:rtl/>
        </w:rPr>
        <w:t>)</w:t>
      </w:r>
      <w:r w:rsidR="00F46AAB">
        <w:rPr>
          <w:rFonts w:hint="cs"/>
          <w:rtl/>
        </w:rPr>
        <w:t xml:space="preserve">, </w:t>
      </w:r>
      <w:r w:rsidR="00DA2083">
        <w:rPr>
          <w:rFonts w:hint="cs"/>
          <w:rtl/>
        </w:rPr>
        <w:t>וכן בלשון תרגום אבן תיבון לפירוש המשנה של הרמב</w:t>
      </w:r>
      <w:r w:rsidR="00F055C8">
        <w:rPr>
          <w:rtl/>
        </w:rPr>
        <w:t>"</w:t>
      </w:r>
      <w:r w:rsidR="00DA2083">
        <w:rPr>
          <w:rFonts w:hint="cs"/>
          <w:rtl/>
        </w:rPr>
        <w:t>ם כלים ב' א' שכנראה לקוח מערבית</w:t>
      </w:r>
      <w:r w:rsidR="00F46AAB">
        <w:rPr>
          <w:rFonts w:hint="cs"/>
          <w:rtl/>
        </w:rPr>
        <w:t>.</w:t>
      </w:r>
      <w:r w:rsidR="00DA2083">
        <w:rPr>
          <w:rFonts w:hint="cs"/>
          <w:rtl/>
        </w:rPr>
        <w:t xml:space="preserve"> </w:t>
      </w:r>
      <w:r w:rsidR="00F46AAB">
        <w:rPr>
          <w:rFonts w:hint="cs"/>
          <w:rtl/>
        </w:rPr>
        <w:t>דהיינו</w:t>
      </w:r>
      <w:r w:rsidRPr="008C3334">
        <w:rPr>
          <w:rtl/>
        </w:rPr>
        <w:t xml:space="preserve"> עפר</w:t>
      </w:r>
      <w:r w:rsidR="00DA2083">
        <w:rPr>
          <w:rFonts w:hint="cs"/>
          <w:rtl/>
        </w:rPr>
        <w:t xml:space="preserve"> דק מסוג </w:t>
      </w:r>
      <w:r w:rsidR="009C463A">
        <w:rPr>
          <w:rFonts w:hint="cs"/>
          <w:rtl/>
        </w:rPr>
        <w:t>מסוים</w:t>
      </w:r>
      <w:r w:rsidRPr="008C3334">
        <w:rPr>
          <w:rtl/>
        </w:rPr>
        <w:t xml:space="preserve"> </w:t>
      </w:r>
      <w:r w:rsidR="00DA2083">
        <w:rPr>
          <w:rFonts w:hint="cs"/>
          <w:rtl/>
        </w:rPr>
        <w:t xml:space="preserve">שכשהוא </w:t>
      </w:r>
      <w:r w:rsidRPr="008C3334">
        <w:rPr>
          <w:rtl/>
        </w:rPr>
        <w:t xml:space="preserve">רטוב </w:t>
      </w:r>
      <w:r w:rsidR="00DA2083">
        <w:rPr>
          <w:rFonts w:hint="cs"/>
          <w:rtl/>
        </w:rPr>
        <w:t xml:space="preserve">הוא </w:t>
      </w:r>
      <w:r w:rsidRPr="008C3334">
        <w:rPr>
          <w:rtl/>
        </w:rPr>
        <w:t xml:space="preserve">משמש חומר גלם ליצירת כלי חרס. </w:t>
      </w:r>
      <w:r w:rsidR="00DA2083">
        <w:rPr>
          <w:rFonts w:hint="cs"/>
          <w:rtl/>
        </w:rPr>
        <w:t>בערבית טין</w:t>
      </w:r>
      <w:r w:rsidRPr="008C3334">
        <w:rPr>
          <w:rtl/>
        </w:rPr>
        <w:t xml:space="preserve"> </w:t>
      </w:r>
      <w:r w:rsidR="00F85A3F">
        <w:rPr>
          <w:rFonts w:hint="cs"/>
          <w:rtl/>
        </w:rPr>
        <w:t>יכול ל</w:t>
      </w:r>
      <w:r w:rsidRPr="008C3334">
        <w:rPr>
          <w:rtl/>
        </w:rPr>
        <w:t xml:space="preserve">שמש </w:t>
      </w:r>
      <w:r w:rsidR="009A7F47">
        <w:rPr>
          <w:rFonts w:hint="cs"/>
          <w:rtl/>
        </w:rPr>
        <w:t xml:space="preserve">גם </w:t>
      </w:r>
      <w:r w:rsidRPr="008C3334">
        <w:rPr>
          <w:rtl/>
        </w:rPr>
        <w:t>במובן כללי יותר ל</w:t>
      </w:r>
      <w:r w:rsidR="009A7F47">
        <w:rPr>
          <w:rFonts w:hint="cs"/>
          <w:rtl/>
        </w:rPr>
        <w:t xml:space="preserve">כל </w:t>
      </w:r>
      <w:r w:rsidRPr="008C3334">
        <w:rPr>
          <w:rtl/>
        </w:rPr>
        <w:t>חומר גלם טבעי</w:t>
      </w:r>
      <w:r w:rsidR="007465E3">
        <w:rPr>
          <w:rFonts w:hint="cs"/>
          <w:rtl/>
        </w:rPr>
        <w:t xml:space="preserve"> </w:t>
      </w:r>
      <w:r w:rsidR="00F85A3F">
        <w:rPr>
          <w:rFonts w:hint="cs"/>
          <w:rtl/>
        </w:rPr>
        <w:t xml:space="preserve">ובכלל לחומר מבחינות שונות </w:t>
      </w:r>
      <w:r w:rsidR="007465E3">
        <w:rPr>
          <w:rFonts w:hint="cs"/>
          <w:rtl/>
        </w:rPr>
        <w:t xml:space="preserve">(עיין מילון </w:t>
      </w:r>
      <w:r w:rsidR="007465E3" w:rsidRPr="007465E3">
        <w:t>almaany</w:t>
      </w:r>
      <w:r w:rsidR="007465E3">
        <w:rPr>
          <w:rFonts w:hint="cs"/>
          <w:rtl/>
        </w:rPr>
        <w:t xml:space="preserve"> </w:t>
      </w:r>
      <w:hyperlink r:id="rId35" w:history="1">
        <w:r w:rsidR="007465E3" w:rsidRPr="007465E3">
          <w:rPr>
            <w:rStyle w:val="Hyperlink"/>
            <w:rFonts w:hint="cs"/>
            <w:rtl/>
          </w:rPr>
          <w:t>כאן</w:t>
        </w:r>
      </w:hyperlink>
      <w:r w:rsidR="007465E3">
        <w:rPr>
          <w:rFonts w:hint="cs"/>
          <w:rtl/>
        </w:rPr>
        <w:t>)</w:t>
      </w:r>
      <w:r w:rsidRPr="008C3334">
        <w:rPr>
          <w:rtl/>
        </w:rPr>
        <w:t>.</w:t>
      </w:r>
    </w:p>
    <w:p w14:paraId="53899894" w14:textId="77777777" w:rsidR="00AE629E" w:rsidRDefault="00AE629E" w:rsidP="00F46AAB">
      <w:pPr>
        <w:pStyle w:val="FootnoteText"/>
        <w:rPr>
          <w:rtl/>
        </w:rPr>
      </w:pPr>
    </w:p>
    <w:p w14:paraId="1654A093" w14:textId="77777777" w:rsidR="002B20FB" w:rsidRDefault="00D16979" w:rsidP="00F46AAB">
      <w:pPr>
        <w:pStyle w:val="FootnoteText"/>
        <w:rPr>
          <w:rtl/>
        </w:rPr>
      </w:pPr>
      <w:r>
        <w:rPr>
          <w:rFonts w:hint="cs"/>
          <w:rtl/>
        </w:rPr>
        <w:t xml:space="preserve">מה שמשותף לכל הצורות הוא ההיולי, החומר הראשון, ולא החומרים המשניים כמו בצק ללחם, קרש למיטה, אבן לבניין, בשר לבעל חיים, וכו'. הוא משותף לכל הדברים כיוון שאין לו </w:t>
      </w:r>
      <w:r w:rsidR="002B20FB">
        <w:rPr>
          <w:rFonts w:hint="cs"/>
          <w:rtl/>
        </w:rPr>
        <w:t xml:space="preserve">מצד עצמו </w:t>
      </w:r>
      <w:r>
        <w:rPr>
          <w:rFonts w:hint="cs"/>
          <w:rtl/>
        </w:rPr>
        <w:t>שום צורה</w:t>
      </w:r>
      <w:r w:rsidR="002B20FB">
        <w:rPr>
          <w:rFonts w:hint="cs"/>
          <w:rtl/>
        </w:rPr>
        <w:t xml:space="preserve"> או הגדרה</w:t>
      </w:r>
      <w:r>
        <w:rPr>
          <w:rFonts w:hint="cs"/>
          <w:rtl/>
        </w:rPr>
        <w:t>, הוא נייטרלי לגמרי, ו</w:t>
      </w:r>
      <w:r w:rsidR="002B20FB">
        <w:rPr>
          <w:rFonts w:hint="cs"/>
          <w:rtl/>
        </w:rPr>
        <w:t xml:space="preserve">לכן </w:t>
      </w:r>
      <w:r>
        <w:rPr>
          <w:rFonts w:hint="cs"/>
          <w:rtl/>
        </w:rPr>
        <w:t xml:space="preserve">לא יכול להיות נפרד להיות בעצמו דברים שונים. </w:t>
      </w:r>
    </w:p>
    <w:p w14:paraId="461FFD8B" w14:textId="50EFC23E" w:rsidR="00D16979" w:rsidRPr="000F5BE1" w:rsidRDefault="00D16979" w:rsidP="00F46AAB">
      <w:pPr>
        <w:pStyle w:val="FootnoteText"/>
      </w:pPr>
      <w:r>
        <w:rPr>
          <w:rFonts w:hint="cs"/>
          <w:rtl/>
        </w:rPr>
        <w:t>היותו משותף</w:t>
      </w:r>
      <w:r w:rsidR="002B20FB">
        <w:rPr>
          <w:rFonts w:hint="cs"/>
          <w:rtl/>
        </w:rPr>
        <w:t xml:space="preserve"> לכל הצורות,</w:t>
      </w:r>
      <w:r>
        <w:rPr>
          <w:rFonts w:hint="cs"/>
          <w:rtl/>
        </w:rPr>
        <w:t xml:space="preserve"> מצד עצמו פירושו שאין לו שום הגדרה וצורה ולכן אינו יכול להיתפש כנמצא</w:t>
      </w:r>
      <w:r w:rsidR="002B20FB">
        <w:rPr>
          <w:rFonts w:hint="cs"/>
          <w:rtl/>
        </w:rPr>
        <w:t xml:space="preserve"> מצד עצמו</w:t>
      </w:r>
      <w:r>
        <w:rPr>
          <w:rFonts w:hint="cs"/>
          <w:rtl/>
        </w:rPr>
        <w:t>, אבל מצד הגופים</w:t>
      </w:r>
      <w:r w:rsidR="002B20FB">
        <w:rPr>
          <w:rFonts w:hint="cs"/>
          <w:rtl/>
        </w:rPr>
        <w:t xml:space="preserve"> הטבעיים</w:t>
      </w:r>
      <w:r>
        <w:rPr>
          <w:rFonts w:hint="cs"/>
          <w:rtl/>
        </w:rPr>
        <w:t xml:space="preserve">, בכל גוף נגלית מציאותו של אותו חומר ראשון </w:t>
      </w:r>
      <w:r w:rsidR="002B20FB">
        <w:rPr>
          <w:rFonts w:hint="cs"/>
          <w:rtl/>
        </w:rPr>
        <w:t xml:space="preserve">אחד </w:t>
      </w:r>
      <w:r>
        <w:rPr>
          <w:rFonts w:hint="cs"/>
          <w:rtl/>
        </w:rPr>
        <w:t xml:space="preserve">על ידי צורתו המסוימת של אותו גוף שהיא 'נמצאת' בעולם הטבעי מכח שהיא בחומר. מבחינה זו </w:t>
      </w:r>
      <w:r w:rsidR="002B20FB">
        <w:rPr>
          <w:rFonts w:hint="cs"/>
          <w:rtl/>
        </w:rPr>
        <w:t xml:space="preserve">שהוא המציאות הטבעית של הצורות, כלומר המרכיב של מציאות הגופים הטבעיים שמכוחו הם נתפשים כ'נמצאים' בעולם הטבע, </w:t>
      </w:r>
      <w:r>
        <w:rPr>
          <w:rFonts w:hint="cs"/>
          <w:rtl/>
        </w:rPr>
        <w:t>החומר הראשון אינו נתפש כ'לא נמצא' אלא נתפש כ</w:t>
      </w:r>
      <w:r w:rsidR="002B20FB">
        <w:rPr>
          <w:rFonts w:hint="cs"/>
          <w:rtl/>
        </w:rPr>
        <w:t>'</w:t>
      </w:r>
      <w:r>
        <w:rPr>
          <w:rFonts w:hint="cs"/>
          <w:rtl/>
        </w:rPr>
        <w:t>נמצא</w:t>
      </w:r>
      <w:r w:rsidR="002B20FB">
        <w:rPr>
          <w:rFonts w:hint="cs"/>
          <w:rtl/>
        </w:rPr>
        <w:t>'</w:t>
      </w:r>
      <w:r>
        <w:rPr>
          <w:rFonts w:hint="cs"/>
          <w:rtl/>
        </w:rPr>
        <w:t xml:space="preserve"> כחומר של הצורות השונות. כאן מגדיר אבן סינא את אופן מציאותו של החומר הראשון. </w:t>
      </w:r>
    </w:p>
  </w:footnote>
  <w:footnote w:id="143">
    <w:p w14:paraId="109D415D" w14:textId="50AE8CB8" w:rsidR="00FA7D07" w:rsidRDefault="00FA7D07">
      <w:pPr>
        <w:pStyle w:val="FootnoteText"/>
        <w:rPr>
          <w:rtl/>
        </w:rPr>
      </w:pPr>
      <w:r>
        <w:rPr>
          <w:rStyle w:val="FootnoteReference"/>
        </w:rPr>
        <w:footnoteRef/>
      </w:r>
      <w:r>
        <w:rPr>
          <w:rtl/>
        </w:rPr>
        <w:t xml:space="preserve"> </w:t>
      </w:r>
      <w:r w:rsidR="00192F67" w:rsidRPr="00192F67">
        <w:rPr>
          <w:rFonts w:cs="Times New Roman" w:hint="eastAsia"/>
          <w:rtl/>
          <w:lang w:bidi="ar-SA"/>
        </w:rPr>
        <w:t>الجزء</w:t>
      </w:r>
      <w:r w:rsidR="00192F67">
        <w:rPr>
          <w:rFonts w:cs="Times New Roman" w:hint="cs"/>
          <w:rtl/>
        </w:rPr>
        <w:t xml:space="preserve">. </w:t>
      </w:r>
      <w:r>
        <w:rPr>
          <w:rFonts w:hint="cs"/>
          <w:rtl/>
        </w:rPr>
        <w:t xml:space="preserve">חלק של משהו, מרכיב. </w:t>
      </w:r>
      <w:r w:rsidR="006A340D">
        <w:rPr>
          <w:rFonts w:hint="cs"/>
          <w:rtl/>
        </w:rPr>
        <w:t xml:space="preserve">מקגיניס תרגם </w:t>
      </w:r>
      <w:r w:rsidR="006A340D">
        <w:t>element</w:t>
      </w:r>
      <w:r w:rsidR="006A340D">
        <w:rPr>
          <w:rFonts w:hint="cs"/>
          <w:rtl/>
        </w:rPr>
        <w:t>.</w:t>
      </w:r>
    </w:p>
  </w:footnote>
  <w:footnote w:id="144">
    <w:p w14:paraId="35598EED" w14:textId="1A56E74D" w:rsidR="00E7520C" w:rsidRDefault="00E7520C">
      <w:pPr>
        <w:pStyle w:val="FootnoteText"/>
        <w:rPr>
          <w:rtl/>
        </w:rPr>
      </w:pPr>
      <w:r>
        <w:rPr>
          <w:rStyle w:val="FootnoteReference"/>
        </w:rPr>
        <w:footnoteRef/>
      </w:r>
      <w:r>
        <w:rPr>
          <w:rtl/>
        </w:rPr>
        <w:t xml:space="preserve"> </w:t>
      </w:r>
      <w:r>
        <w:rPr>
          <w:rFonts w:hint="cs"/>
          <w:rtl/>
        </w:rPr>
        <w:t>רמב</w:t>
      </w:r>
      <w:r w:rsidR="00F055C8">
        <w:rPr>
          <w:rtl/>
        </w:rPr>
        <w:t>"</w:t>
      </w:r>
      <w:r>
        <w:rPr>
          <w:rFonts w:hint="cs"/>
          <w:rtl/>
        </w:rPr>
        <w:t xml:space="preserve">ם </w:t>
      </w:r>
      <w:r w:rsidR="0005044A">
        <w:rPr>
          <w:rFonts w:hint="cs"/>
          <w:rtl/>
        </w:rPr>
        <w:t xml:space="preserve">משנה תורה </w:t>
      </w:r>
      <w:r>
        <w:rPr>
          <w:rFonts w:hint="cs"/>
          <w:rtl/>
        </w:rPr>
        <w:t>הלכות יסודי התורה ד' ז':</w:t>
      </w:r>
    </w:p>
    <w:p w14:paraId="1996D40F" w14:textId="6A124996" w:rsidR="00E7520C" w:rsidRDefault="00F055C8">
      <w:pPr>
        <w:pStyle w:val="FootnoteText"/>
        <w:rPr>
          <w:rtl/>
        </w:rPr>
      </w:pPr>
      <w:r>
        <w:rPr>
          <w:rtl/>
        </w:rPr>
        <w:t>"</w:t>
      </w:r>
      <w:r w:rsidR="00E7520C" w:rsidRPr="00E7520C">
        <w:rPr>
          <w:rtl/>
        </w:rPr>
        <w:t>לְעוֹלָם אֵין אַתָּה רוֹאֶה גֹּלֶם בְּלֹא צוּרָה אוֹ צוּרָה בְּלֹא גֹּלֶם, אֶלָּא לֵב הָאָדָם הוּא שֶׁמְּחַלֵּק הַגּוּף הַנִּמְצָא בְּדַעְתּוֹ, וְיוֹדֵעַ שֶׁהוּא מְחֻבָּר מִגֹּלֶם וְצוּרָה,</w:t>
      </w:r>
      <w:r w:rsidR="00E7520C">
        <w:rPr>
          <w:rFonts w:hint="cs"/>
          <w:rtl/>
        </w:rPr>
        <w:t xml:space="preserve"> </w:t>
      </w:r>
      <w:r w:rsidR="00E7520C">
        <w:rPr>
          <w:rFonts w:hint="cs"/>
          <w:rtl/>
        </w:rPr>
        <w:t>כו'</w:t>
      </w:r>
      <w:r>
        <w:rPr>
          <w:rtl/>
        </w:rPr>
        <w:t>"</w:t>
      </w:r>
    </w:p>
    <w:p w14:paraId="0CDA6ED4" w14:textId="32DA6CEB" w:rsidR="00C41157" w:rsidRDefault="00C41157">
      <w:pPr>
        <w:pStyle w:val="FootnoteText"/>
        <w:rPr>
          <w:rtl/>
        </w:rPr>
      </w:pPr>
    </w:p>
    <w:p w14:paraId="00914C2A" w14:textId="77E05E6E" w:rsidR="00C41157" w:rsidRDefault="00C41157">
      <w:pPr>
        <w:pStyle w:val="FootnoteText"/>
        <w:rPr>
          <w:rtl/>
        </w:rPr>
      </w:pPr>
      <w:r>
        <w:rPr>
          <w:rFonts w:hint="cs"/>
          <w:rtl/>
        </w:rPr>
        <w:t>ובמורה נבוכים א' ע</w:t>
      </w:r>
      <w:r w:rsidR="00F055C8">
        <w:rPr>
          <w:rtl/>
        </w:rPr>
        <w:t>"</w:t>
      </w:r>
      <w:r>
        <w:rPr>
          <w:rFonts w:hint="cs"/>
          <w:rtl/>
        </w:rPr>
        <w:t>ג</w:t>
      </w:r>
      <w:r w:rsidR="006D2CD8">
        <w:rPr>
          <w:rFonts w:hint="cs"/>
          <w:rtl/>
        </w:rPr>
        <w:t xml:space="preserve"> (תרגום אבן תיבון)</w:t>
      </w:r>
      <w:r>
        <w:rPr>
          <w:rFonts w:hint="cs"/>
          <w:rtl/>
        </w:rPr>
        <w:t>:</w:t>
      </w:r>
    </w:p>
    <w:p w14:paraId="748419BE" w14:textId="248676B8" w:rsidR="00C41157" w:rsidRDefault="00F055C8">
      <w:pPr>
        <w:pStyle w:val="FootnoteText"/>
        <w:rPr>
          <w:rtl/>
        </w:rPr>
      </w:pPr>
      <w:r>
        <w:rPr>
          <w:rtl/>
        </w:rPr>
        <w:t>"</w:t>
      </w:r>
      <w:r w:rsidR="00C41157" w:rsidRPr="00C41157">
        <w:rPr>
          <w:rtl/>
        </w:rPr>
        <w:t xml:space="preserve">ואין פעל הדמיון פעל השכל אבל הפכו, וזה כי השכל </w:t>
      </w:r>
      <w:r w:rsidR="00C41157" w:rsidRPr="00C41157">
        <w:rPr>
          <w:b/>
          <w:bCs/>
          <w:rtl/>
        </w:rPr>
        <w:t>יפרק</w:t>
      </w:r>
      <w:r w:rsidR="00C41157" w:rsidRPr="00C41157">
        <w:rPr>
          <w:rtl/>
        </w:rPr>
        <w:t xml:space="preserve"> המורכבות ו</w:t>
      </w:r>
      <w:r w:rsidR="00C41157" w:rsidRPr="00C41157">
        <w:rPr>
          <w:b/>
          <w:bCs/>
          <w:rtl/>
        </w:rPr>
        <w:t>יבדיל</w:t>
      </w:r>
      <w:r w:rsidR="00C41157" w:rsidRPr="00C41157">
        <w:rPr>
          <w:rtl/>
        </w:rPr>
        <w:t xml:space="preserve"> חלקיהם ו</w:t>
      </w:r>
      <w:r w:rsidR="00C41157" w:rsidRPr="00C41157">
        <w:rPr>
          <w:b/>
          <w:bCs/>
          <w:rtl/>
        </w:rPr>
        <w:t>יפשיטם</w:t>
      </w:r>
      <w:r w:rsidR="00C41157" w:rsidRPr="00C41157">
        <w:rPr>
          <w:rtl/>
        </w:rPr>
        <w:t xml:space="preserve"> ו</w:t>
      </w:r>
      <w:r w:rsidR="00C41157" w:rsidRPr="00C41157">
        <w:rPr>
          <w:b/>
          <w:bCs/>
          <w:rtl/>
        </w:rPr>
        <w:t>יציירם באמתתם ובסבותם</w:t>
      </w:r>
      <w:r w:rsidR="00C41157" w:rsidRPr="00C41157">
        <w:rPr>
          <w:rtl/>
        </w:rPr>
        <w:t xml:space="preserve">, וישיג </w:t>
      </w:r>
      <w:r w:rsidR="00C41157" w:rsidRPr="00C41157">
        <w:rPr>
          <w:b/>
          <w:bCs/>
          <w:rtl/>
        </w:rPr>
        <w:t>מן הדבר האחד ענינים רבים מאד, שביניהם הפרש אצל השכל, כהפרש שני אישים מבני אדם</w:t>
      </w:r>
      <w:r w:rsidR="00C41157" w:rsidRPr="00C41157">
        <w:rPr>
          <w:rtl/>
        </w:rPr>
        <w:t xml:space="preserve"> אצל הדמיון במציאות, ובשכל </w:t>
      </w:r>
      <w:r w:rsidR="00C41157" w:rsidRPr="00C41157">
        <w:rPr>
          <w:b/>
          <w:bCs/>
          <w:rtl/>
        </w:rPr>
        <w:t>יבדל</w:t>
      </w:r>
      <w:r w:rsidR="00C41157" w:rsidRPr="00C41157">
        <w:rPr>
          <w:rtl/>
        </w:rPr>
        <w:t xml:space="preserve"> הענין הכללי מן הענין האישי ולא יתאמת מופת מן המופתים אלא בכללי, ובשכל </w:t>
      </w:r>
      <w:r w:rsidR="00C41157" w:rsidRPr="0005044A">
        <w:rPr>
          <w:b/>
          <w:bCs/>
          <w:rtl/>
        </w:rPr>
        <w:t>יודע הנשוא העצמי מן המקרי</w:t>
      </w:r>
      <w:r w:rsidR="00C41157" w:rsidRPr="00C41157">
        <w:rPr>
          <w:rtl/>
        </w:rPr>
        <w:t xml:space="preserve">, ואין לדמיון פועל דבר מאלו הפעולות, שהדמיון לא ישיג אלא האישי </w:t>
      </w:r>
      <w:r w:rsidR="00C41157" w:rsidRPr="0005044A">
        <w:rPr>
          <w:b/>
          <w:bCs/>
          <w:rtl/>
        </w:rPr>
        <w:t>המורכב</w:t>
      </w:r>
      <w:r w:rsidR="00C41157" w:rsidRPr="00C41157">
        <w:rPr>
          <w:rtl/>
        </w:rPr>
        <w:t xml:space="preserve"> בכללו, לפי מה שישיגוהו החושים או ירכיב הדברים המפוזרים במציאות וירכיב קצתם על קצתם ויעשה מהכל גשם או כח מכחות הגשם, כמו שידמה המדמה איש אדם וראשו ראש סוס ולו כנפים וכיוצא בזה, וזה הוא הנקרא הבדוי והשקר, שלא ישוה לו נמצא כלל, ולא יוכל הדמיון בשום פנים להשיג הדבר הכללי להמלט בהשגתו מן החמר, ואפילו הפשיט צורה אחת בתכלית ההפשט, ולכן אין </w:t>
      </w:r>
      <w:r w:rsidR="00C41157" w:rsidRPr="0005044A">
        <w:rPr>
          <w:b/>
          <w:bCs/>
          <w:rtl/>
        </w:rPr>
        <w:t>בחינה</w:t>
      </w:r>
      <w:r w:rsidR="00C41157" w:rsidRPr="00C41157">
        <w:rPr>
          <w:rtl/>
        </w:rPr>
        <w:t xml:space="preserve"> בדמיון.</w:t>
      </w:r>
      <w:r>
        <w:rPr>
          <w:rtl/>
        </w:rPr>
        <w:t>"</w:t>
      </w:r>
    </w:p>
    <w:p w14:paraId="1E7BAE4F" w14:textId="1E5745DF" w:rsidR="0005044A" w:rsidRDefault="0005044A">
      <w:pPr>
        <w:pStyle w:val="FootnoteText"/>
      </w:pPr>
      <w:r>
        <w:rPr>
          <w:rFonts w:hint="cs"/>
          <w:rtl/>
        </w:rPr>
        <w:t xml:space="preserve">כל אחת מהמילים שהדגשתי בקטע הזה יכולה לעמוד במקום שעומדת בו המילה שבחרתי </w:t>
      </w:r>
      <w:r w:rsidR="00F055C8">
        <w:rPr>
          <w:rtl/>
        </w:rPr>
        <w:t>"</w:t>
      </w:r>
      <w:r>
        <w:rPr>
          <w:rFonts w:hint="cs"/>
          <w:rtl/>
        </w:rPr>
        <w:t>ניתוח</w:t>
      </w:r>
      <w:r w:rsidR="00F055C8">
        <w:rPr>
          <w:rtl/>
        </w:rPr>
        <w:t>"</w:t>
      </w:r>
      <w:r>
        <w:rPr>
          <w:rFonts w:hint="cs"/>
          <w:rtl/>
        </w:rPr>
        <w:t>, או המילה שמשתמש בה הרמב</w:t>
      </w:r>
      <w:r w:rsidR="00F055C8">
        <w:rPr>
          <w:rtl/>
        </w:rPr>
        <w:t>"</w:t>
      </w:r>
      <w:r>
        <w:rPr>
          <w:rFonts w:hint="cs"/>
          <w:rtl/>
        </w:rPr>
        <w:t xml:space="preserve">ם במשנה תורה </w:t>
      </w:r>
      <w:r w:rsidR="00F055C8">
        <w:rPr>
          <w:rtl/>
        </w:rPr>
        <w:t>"</w:t>
      </w:r>
      <w:r>
        <w:rPr>
          <w:rFonts w:hint="cs"/>
          <w:rtl/>
        </w:rPr>
        <w:t>מחלק</w:t>
      </w:r>
      <w:r w:rsidR="00F055C8">
        <w:rPr>
          <w:rtl/>
        </w:rPr>
        <w:t>"</w:t>
      </w:r>
      <w:r>
        <w:rPr>
          <w:rFonts w:hint="cs"/>
          <w:rtl/>
        </w:rPr>
        <w:t xml:space="preserve">. בחרתי </w:t>
      </w:r>
      <w:r w:rsidR="00F055C8">
        <w:rPr>
          <w:rtl/>
        </w:rPr>
        <w:t>"</w:t>
      </w:r>
      <w:r>
        <w:rPr>
          <w:rFonts w:hint="cs"/>
          <w:rtl/>
        </w:rPr>
        <w:t>ניתוח</w:t>
      </w:r>
      <w:r w:rsidR="00F055C8">
        <w:rPr>
          <w:rtl/>
        </w:rPr>
        <w:t>"</w:t>
      </w:r>
      <w:r>
        <w:rPr>
          <w:rFonts w:hint="cs"/>
          <w:rtl/>
        </w:rPr>
        <w:t xml:space="preserve"> רק כי זה הנוסח שטבעי יותר בעברית של זמננו. </w:t>
      </w:r>
    </w:p>
  </w:footnote>
  <w:footnote w:id="145">
    <w:p w14:paraId="20B58FAE" w14:textId="4E8E4BB9" w:rsidR="00D45E4D" w:rsidRDefault="00E900E4">
      <w:pPr>
        <w:pStyle w:val="FootnoteText"/>
        <w:rPr>
          <w:rtl/>
        </w:rPr>
      </w:pPr>
      <w:r w:rsidRPr="00AF6E6B">
        <w:rPr>
          <w:rStyle w:val="FootnoteReference"/>
        </w:rPr>
        <w:footnoteRef/>
      </w:r>
      <w:r w:rsidRPr="00AF6E6B">
        <w:rPr>
          <w:rtl/>
        </w:rPr>
        <w:t xml:space="preserve"> </w:t>
      </w:r>
      <w:r w:rsidR="00AF6E6B" w:rsidRPr="00AF6E6B">
        <w:rPr>
          <w:rFonts w:ascii="Arial" w:hAnsi="Arial" w:cs="Arial" w:hint="cs"/>
          <w:rtl/>
          <w:lang w:bidi="ar-SA"/>
        </w:rPr>
        <w:t>جملة</w:t>
      </w:r>
      <w:r w:rsidR="00AF6E6B">
        <w:rPr>
          <w:rFonts w:hint="cs"/>
          <w:rtl/>
        </w:rPr>
        <w:t xml:space="preserve"> -</w:t>
      </w:r>
      <w:r w:rsidR="00AF6E6B" w:rsidRPr="00AF6E6B">
        <w:rPr>
          <w:rtl/>
        </w:rPr>
        <w:t xml:space="preserve"> </w:t>
      </w:r>
      <w:r w:rsidR="002F43CF">
        <w:rPr>
          <w:rFonts w:hint="cs"/>
          <w:rtl/>
        </w:rPr>
        <w:t xml:space="preserve">מילה בעלת כמה מובנים, </w:t>
      </w:r>
      <w:r w:rsidR="00AF6E6B" w:rsidRPr="00AF6E6B">
        <w:rPr>
          <w:rtl/>
        </w:rPr>
        <w:t xml:space="preserve">כאן </w:t>
      </w:r>
      <w:r w:rsidR="00C55FFF">
        <w:rPr>
          <w:rFonts w:hint="cs"/>
          <w:rtl/>
        </w:rPr>
        <w:t>צריך לקרוא ה</w:t>
      </w:r>
      <w:r w:rsidR="00F055C8">
        <w:rPr>
          <w:rtl/>
        </w:rPr>
        <w:t>"</w:t>
      </w:r>
      <w:r w:rsidR="00C55FFF">
        <w:rPr>
          <w:rFonts w:hint="cs"/>
          <w:rtl/>
        </w:rPr>
        <w:t>שלם</w:t>
      </w:r>
      <w:r w:rsidR="00F055C8">
        <w:rPr>
          <w:rtl/>
        </w:rPr>
        <w:t>"</w:t>
      </w:r>
      <w:r w:rsidR="00113E71">
        <w:rPr>
          <w:rFonts w:hint="cs"/>
          <w:rtl/>
        </w:rPr>
        <w:t xml:space="preserve"> </w:t>
      </w:r>
      <w:r w:rsidR="00D45E4D">
        <w:rPr>
          <w:rFonts w:hint="cs"/>
          <w:rtl/>
        </w:rPr>
        <w:t>או ה</w:t>
      </w:r>
      <w:r w:rsidR="00F055C8">
        <w:rPr>
          <w:rtl/>
        </w:rPr>
        <w:t>"</w:t>
      </w:r>
      <w:r w:rsidR="00D45E4D">
        <w:rPr>
          <w:rFonts w:hint="cs"/>
          <w:rtl/>
        </w:rPr>
        <w:t>כל</w:t>
      </w:r>
      <w:r w:rsidR="00F055C8">
        <w:rPr>
          <w:rtl/>
        </w:rPr>
        <w:t>"</w:t>
      </w:r>
      <w:r w:rsidR="00D45E4D">
        <w:rPr>
          <w:rFonts w:hint="cs"/>
          <w:rtl/>
        </w:rPr>
        <w:t xml:space="preserve"> </w:t>
      </w:r>
      <w:r w:rsidR="00D45E4D" w:rsidRPr="00D45E4D">
        <w:rPr>
          <w:rtl/>
        </w:rPr>
        <w:t xml:space="preserve">והכוונה לעצם הטבעי, המורכב מחומר וצורה רק לפי הניתוח של ההתבוננות, ובמציאות הוא אחד גמור, וכמו שביאר אריסטו בסוף </w:t>
      </w:r>
      <w:r w:rsidR="00F055C8">
        <w:rPr>
          <w:rtl/>
        </w:rPr>
        <w:t>"</w:t>
      </w:r>
      <w:r w:rsidR="00D45E4D" w:rsidRPr="00D45E4D">
        <w:rPr>
          <w:rtl/>
        </w:rPr>
        <w:t>מטאפיזיקה</w:t>
      </w:r>
      <w:r w:rsidR="00F055C8">
        <w:rPr>
          <w:rtl/>
        </w:rPr>
        <w:t>"</w:t>
      </w:r>
      <w:r w:rsidR="00D45E4D" w:rsidRPr="00D45E4D">
        <w:rPr>
          <w:rtl/>
        </w:rPr>
        <w:t xml:space="preserve"> אטא, וב</w:t>
      </w:r>
      <w:r w:rsidR="00F055C8">
        <w:rPr>
          <w:rtl/>
        </w:rPr>
        <w:t>"</w:t>
      </w:r>
      <w:r w:rsidR="00D45E4D" w:rsidRPr="00D45E4D">
        <w:rPr>
          <w:rtl/>
        </w:rPr>
        <w:t>על הנפש</w:t>
      </w:r>
      <w:r w:rsidR="00F055C8">
        <w:rPr>
          <w:rtl/>
        </w:rPr>
        <w:t>"</w:t>
      </w:r>
      <w:r w:rsidR="00D45E4D" w:rsidRPr="00D45E4D">
        <w:rPr>
          <w:rtl/>
        </w:rPr>
        <w:t xml:space="preserve"> ב' א'. </w:t>
      </w:r>
    </w:p>
    <w:p w14:paraId="012037A1" w14:textId="255DEFDD" w:rsidR="00E900E4" w:rsidRDefault="00113E71">
      <w:pPr>
        <w:pStyle w:val="FootnoteText"/>
      </w:pPr>
      <w:r>
        <w:rPr>
          <w:rFonts w:hint="cs"/>
          <w:rtl/>
        </w:rPr>
        <w:t xml:space="preserve">תרגמתי באופן מסורבל ולקוי </w:t>
      </w:r>
      <w:r w:rsidR="00F055C8">
        <w:rPr>
          <w:rtl/>
        </w:rPr>
        <w:t>"</w:t>
      </w:r>
      <w:r>
        <w:rPr>
          <w:rFonts w:hint="cs"/>
          <w:rtl/>
        </w:rPr>
        <w:t>המורכב</w:t>
      </w:r>
      <w:r w:rsidR="00F055C8">
        <w:rPr>
          <w:rtl/>
        </w:rPr>
        <w:t>"</w:t>
      </w:r>
      <w:r w:rsidR="00D45E4D">
        <w:rPr>
          <w:rFonts w:hint="cs"/>
          <w:rtl/>
        </w:rPr>
        <w:t xml:space="preserve">, כי </w:t>
      </w:r>
      <w:r w:rsidR="00F055C8">
        <w:rPr>
          <w:rtl/>
        </w:rPr>
        <w:t>"</w:t>
      </w:r>
      <w:r w:rsidR="00D45E4D">
        <w:rPr>
          <w:rFonts w:hint="cs"/>
          <w:rtl/>
        </w:rPr>
        <w:t>השלם</w:t>
      </w:r>
      <w:r w:rsidR="00F055C8">
        <w:rPr>
          <w:rtl/>
        </w:rPr>
        <w:t>"</w:t>
      </w:r>
      <w:r>
        <w:rPr>
          <w:rFonts w:hint="cs"/>
          <w:rtl/>
        </w:rPr>
        <w:t xml:space="preserve"> היה יכול להתפרש כמשהו שלא </w:t>
      </w:r>
      <w:r w:rsidR="00D45E4D">
        <w:rPr>
          <w:rFonts w:hint="cs"/>
          <w:rtl/>
        </w:rPr>
        <w:t>יכול לה</w:t>
      </w:r>
      <w:r>
        <w:rPr>
          <w:rFonts w:hint="cs"/>
          <w:rtl/>
        </w:rPr>
        <w:t>תחלק למרכיבים</w:t>
      </w:r>
      <w:r w:rsidR="00D45E4D">
        <w:rPr>
          <w:rFonts w:hint="cs"/>
          <w:rtl/>
        </w:rPr>
        <w:t xml:space="preserve"> גם לא בניתוח מופשט</w:t>
      </w:r>
      <w:r>
        <w:rPr>
          <w:rFonts w:hint="cs"/>
          <w:rtl/>
        </w:rPr>
        <w:t>. הכוונה כאן כמו שביאר אריסטו בפיזיקה ג' ו' ששלם היינו שהכל כלול בו, כל מה שבמינו נכלל בו ואין חוץ לו. למשל גוף 'שלם' הוא גוף שכל איבריו (כלומר</w:t>
      </w:r>
      <w:r w:rsidR="00D45E4D">
        <w:rPr>
          <w:rFonts w:hint="cs"/>
          <w:rtl/>
        </w:rPr>
        <w:t xml:space="preserve"> כל</w:t>
      </w:r>
      <w:r>
        <w:rPr>
          <w:rFonts w:hint="cs"/>
          <w:rtl/>
        </w:rPr>
        <w:t xml:space="preserve"> מה שבמינו) כלולים בו ואינו חסר דבר</w:t>
      </w:r>
      <w:r w:rsidR="00D45E4D">
        <w:rPr>
          <w:rFonts w:hint="cs"/>
          <w:rtl/>
        </w:rPr>
        <w:t xml:space="preserve"> שבמינו (אם לא כלול בו פרח כמובן זה לא מחסיר משלמותו כי הפרח אינו דבר שבמינו)</w:t>
      </w:r>
      <w:r>
        <w:rPr>
          <w:rFonts w:hint="cs"/>
          <w:rtl/>
        </w:rPr>
        <w:t xml:space="preserve">. זה גם הפירוש של </w:t>
      </w:r>
      <w:r w:rsidR="00F055C8">
        <w:rPr>
          <w:rtl/>
        </w:rPr>
        <w:t>"</w:t>
      </w:r>
      <w:r>
        <w:rPr>
          <w:rFonts w:hint="cs"/>
          <w:rtl/>
        </w:rPr>
        <w:t>כל</w:t>
      </w:r>
      <w:r w:rsidR="00F055C8">
        <w:rPr>
          <w:rtl/>
        </w:rPr>
        <w:t>"</w:t>
      </w:r>
      <w:r>
        <w:rPr>
          <w:rFonts w:hint="cs"/>
          <w:rtl/>
        </w:rPr>
        <w:t xml:space="preserve"> כמו שמוסיף אריסטו בפיזיקה שם. </w:t>
      </w:r>
      <w:r w:rsidR="00F055C8">
        <w:rPr>
          <w:rtl/>
        </w:rPr>
        <w:t>"</w:t>
      </w:r>
      <w:r>
        <w:rPr>
          <w:rFonts w:hint="cs"/>
          <w:rtl/>
        </w:rPr>
        <w:t>ויכולו השמים והארץ וכל צבאם</w:t>
      </w:r>
      <w:r w:rsidR="00F055C8">
        <w:rPr>
          <w:rtl/>
        </w:rPr>
        <w:t>"</w:t>
      </w:r>
      <w:r>
        <w:rPr>
          <w:rFonts w:hint="cs"/>
          <w:rtl/>
        </w:rPr>
        <w:t>, הכוונה שכבר אינם חסרים דבר</w:t>
      </w:r>
      <w:r w:rsidR="00D45E4D">
        <w:rPr>
          <w:rFonts w:hint="cs"/>
          <w:rtl/>
        </w:rPr>
        <w:t xml:space="preserve"> כי הושלמו להיות 'כל'</w:t>
      </w:r>
      <w:r>
        <w:rPr>
          <w:rFonts w:hint="cs"/>
          <w:rtl/>
        </w:rPr>
        <w:t xml:space="preserve">, כל מה שבמינם נכלל בהם, והמעצור מלחדש עוד בריאה הוא משום שאין יותר מה לברוא. אם מה שבמינו הוא כל מין הנמצאים, אז 'הכל', או 'השלם', </w:t>
      </w:r>
      <w:r w:rsidR="00D45E4D">
        <w:rPr>
          <w:rFonts w:hint="cs"/>
          <w:rtl/>
        </w:rPr>
        <w:t xml:space="preserve">הוא האלוה, </w:t>
      </w:r>
      <w:r>
        <w:rPr>
          <w:rFonts w:hint="cs"/>
          <w:rtl/>
        </w:rPr>
        <w:t xml:space="preserve">כלומר שאין מצוי זולתו. זה </w:t>
      </w:r>
      <w:r w:rsidR="00D45E4D">
        <w:rPr>
          <w:rFonts w:hint="cs"/>
          <w:rtl/>
        </w:rPr>
        <w:t xml:space="preserve">רק </w:t>
      </w:r>
      <w:r>
        <w:rPr>
          <w:rFonts w:hint="cs"/>
          <w:rtl/>
        </w:rPr>
        <w:t>מצד ההתגלות והצמצום</w:t>
      </w:r>
      <w:r w:rsidR="00D45E4D">
        <w:rPr>
          <w:rFonts w:hint="cs"/>
          <w:rtl/>
        </w:rPr>
        <w:t xml:space="preserve"> -</w:t>
      </w:r>
      <w:r>
        <w:rPr>
          <w:rFonts w:hint="cs"/>
          <w:rtl/>
        </w:rPr>
        <w:t xml:space="preserve"> מצד האין סוף זה לא כך כי האין סוף אינו קבוצה שכוללת דברים לפי מינם, אין לו הגדרה</w:t>
      </w:r>
      <w:r w:rsidR="00D45E4D">
        <w:rPr>
          <w:rFonts w:hint="cs"/>
          <w:rtl/>
        </w:rPr>
        <w:t>, ולא שום קו תוחם קבוצה</w:t>
      </w:r>
      <w:r>
        <w:rPr>
          <w:rFonts w:hint="cs"/>
          <w:rtl/>
        </w:rPr>
        <w:t>. עיין בחילוק הזה בפיזיקה של אריס</w:t>
      </w:r>
      <w:r w:rsidR="00D45E4D">
        <w:rPr>
          <w:rFonts w:hint="cs"/>
          <w:rtl/>
        </w:rPr>
        <w:t>ט</w:t>
      </w:r>
      <w:r>
        <w:rPr>
          <w:rFonts w:hint="cs"/>
          <w:rtl/>
        </w:rPr>
        <w:t>ו ספר ג' מ</w:t>
      </w:r>
      <w:r w:rsidR="00D45E4D">
        <w:rPr>
          <w:rFonts w:hint="cs"/>
          <w:rtl/>
        </w:rPr>
        <w:t>פ</w:t>
      </w:r>
      <w:r>
        <w:rPr>
          <w:rFonts w:hint="cs"/>
          <w:rtl/>
        </w:rPr>
        <w:t>רק ד' והלאה</w:t>
      </w:r>
      <w:r w:rsidR="00D45E4D">
        <w:rPr>
          <w:rFonts w:hint="cs"/>
          <w:rtl/>
        </w:rPr>
        <w:t>. מה הופך דבר כמו יד למשהו שהוא במינו של האדם והאדם אינו 'שלם' או 'כל' אם חסרה לו יד, ולעומת זאת אם חסר לאדם פרח זה לא פוגם בשלמותו כי הפרח אינו במינו, זו שאלה עמוקה</w:t>
      </w:r>
      <w:r w:rsidR="002A5025">
        <w:rPr>
          <w:rFonts w:hint="cs"/>
          <w:rtl/>
        </w:rPr>
        <w:t xml:space="preserve"> ויסודית</w:t>
      </w:r>
      <w:r w:rsidR="00D45E4D">
        <w:rPr>
          <w:rFonts w:hint="cs"/>
          <w:rtl/>
        </w:rPr>
        <w:t xml:space="preserve"> מאוד, שסוד הצמצום נמצא בשרשה. וכבר הארכתי בזה במקומות אחרים.  </w:t>
      </w:r>
    </w:p>
  </w:footnote>
  <w:footnote w:id="146">
    <w:p w14:paraId="45A08A0B" w14:textId="4DCB67AD" w:rsidR="00C342BA" w:rsidRDefault="00C342BA">
      <w:pPr>
        <w:pStyle w:val="FootnoteText"/>
      </w:pPr>
      <w:r>
        <w:rPr>
          <w:rStyle w:val="FootnoteReference"/>
        </w:rPr>
        <w:footnoteRef/>
      </w:r>
      <w:r>
        <w:rPr>
          <w:rtl/>
        </w:rPr>
        <w:t xml:space="preserve"> </w:t>
      </w:r>
      <w:r>
        <w:rPr>
          <w:rFonts w:hint="cs"/>
          <w:rtl/>
        </w:rPr>
        <w:t>החומר הראשון, ההיולי, הוא פשוט, בניגוד לצורה שאינה פשוטה כי יש לה הגדרה ומהות מובחנת. המורכבים שמקבלים צורה, שהמרכיב הפשוט שלהם הוא החומר הראשון, אלה ארבעת היסודות, שהם צורת אש או צורת רוח או צורת מים או צורת עפר שמתממשות בחומר הראשון. הדברים, כלומר ד' היסודות, שונים זה מזה מכח הצורה השונה שיש לכל אחד מהם, ומצד החומר אין ביניהם הבדל, כי החומר הוא מרכיב פשוט, אין לו מהות וגבולות והגדרה ושום מאפיינים. זו אמת לא רק בדברים שהחומר שלהם הוא החומר הראשון, כלומר ד' היסודות, אלא בכל עצם שמורכב מחומר וצורה. למשל אם יש נגריה שבה יש חפצים שונים שעשויים מעץ (שהוא עצם בעל צורת עץ וחומרו הוא תרכובת של ד' היסודות), העץ הוא בבחינת חומר להם (אע</w:t>
      </w:r>
      <w:r w:rsidR="00F055C8">
        <w:rPr>
          <w:rtl/>
        </w:rPr>
        <w:t>"</w:t>
      </w:r>
      <w:r>
        <w:rPr>
          <w:rFonts w:hint="cs"/>
          <w:rtl/>
        </w:rPr>
        <w:t>פ שהוא עצם בעל צורה, זו צורת חומר, ציור של חומר כשהוא עומד ביחס לצורת החפץ)</w:t>
      </w:r>
      <w:r w:rsidR="007A5DBA">
        <w:rPr>
          <w:rFonts w:hint="cs"/>
          <w:rtl/>
        </w:rPr>
        <w:t xml:space="preserve">, ולכן הוא שווה בכולם. אם יש כיסא ומיטה וארון שכולם עשויים עץ, החילוק ביניהם הוא מצד הצורה שלהם, והעץ הוא מרכיב פשוט, והוא שווה בכולם. </w:t>
      </w:r>
      <w:r>
        <w:rPr>
          <w:rFonts w:hint="cs"/>
          <w:rtl/>
        </w:rPr>
        <w:t xml:space="preserve"> </w:t>
      </w:r>
    </w:p>
  </w:footnote>
  <w:footnote w:id="147">
    <w:p w14:paraId="6A766F6A" w14:textId="2DFB089A" w:rsidR="000576D0" w:rsidRDefault="000576D0">
      <w:pPr>
        <w:pStyle w:val="FootnoteText"/>
      </w:pPr>
      <w:r>
        <w:rPr>
          <w:rStyle w:val="FootnoteReference"/>
        </w:rPr>
        <w:footnoteRef/>
      </w:r>
      <w:r>
        <w:rPr>
          <w:rtl/>
        </w:rPr>
        <w:t xml:space="preserve"> </w:t>
      </w:r>
      <w:r>
        <w:rPr>
          <w:rFonts w:hint="cs"/>
          <w:rtl/>
        </w:rPr>
        <w:t>מהחומר.</w:t>
      </w:r>
      <w:r w:rsidR="00B80F08">
        <w:rPr>
          <w:rFonts w:hint="cs"/>
          <w:rtl/>
        </w:rPr>
        <w:t xml:space="preserve"> המורכב מתחיל כשהחומר הוא איתו, חלק בלתי נפרד ממנו, זו תפישת כח הדמיון.</w:t>
      </w:r>
    </w:p>
  </w:footnote>
  <w:footnote w:id="148">
    <w:p w14:paraId="2FD89C47" w14:textId="47580A9E" w:rsidR="00DD13B0" w:rsidRDefault="00DD13B0">
      <w:pPr>
        <w:pStyle w:val="FootnoteText"/>
      </w:pPr>
      <w:r>
        <w:rPr>
          <w:rStyle w:val="FootnoteReference"/>
        </w:rPr>
        <w:footnoteRef/>
      </w:r>
      <w:r>
        <w:rPr>
          <w:rtl/>
        </w:rPr>
        <w:t xml:space="preserve"> </w:t>
      </w:r>
      <w:r>
        <w:rPr>
          <w:rFonts w:hint="cs"/>
          <w:rtl/>
        </w:rPr>
        <w:t>החומר.</w:t>
      </w:r>
    </w:p>
  </w:footnote>
  <w:footnote w:id="149">
    <w:p w14:paraId="136A21A9" w14:textId="480E3A6D" w:rsidR="00BE5E10" w:rsidRDefault="00BE5E10">
      <w:pPr>
        <w:pStyle w:val="FootnoteText"/>
      </w:pPr>
      <w:r>
        <w:rPr>
          <w:rStyle w:val="FootnoteReference"/>
        </w:rPr>
        <w:footnoteRef/>
      </w:r>
      <w:r>
        <w:rPr>
          <w:rtl/>
        </w:rPr>
        <w:t xml:space="preserve"> </w:t>
      </w:r>
      <w:r>
        <w:rPr>
          <w:rFonts w:hint="cs"/>
          <w:rtl/>
        </w:rPr>
        <w:t>בתהליך הניתוח, החלוקה שבה הלב מחלק בין חומר וצורה</w:t>
      </w:r>
      <w:r w:rsidR="00B80F08">
        <w:rPr>
          <w:rFonts w:hint="cs"/>
          <w:rtl/>
        </w:rPr>
        <w:t>, הסיום של הניתוח, הוא הסיום של התפישה, הוא תפישת החומר בפני עצמו, ואז הוא נקרא יסוד, כי כשהוא נתפש בפני עצמו ניכר שאין בו שום צורה ולכן הוא הפשוט והראשוני ביותר</w:t>
      </w:r>
      <w:r>
        <w:rPr>
          <w:rFonts w:hint="cs"/>
          <w:rtl/>
        </w:rPr>
        <w:t xml:space="preserve">. </w:t>
      </w:r>
    </w:p>
  </w:footnote>
  <w:footnote w:id="150">
    <w:p w14:paraId="4F1D5DB7" w14:textId="54E9A161" w:rsidR="00DD13B0" w:rsidRDefault="00DD13B0">
      <w:pPr>
        <w:pStyle w:val="FootnoteText"/>
        <w:rPr>
          <w:rtl/>
        </w:rPr>
      </w:pPr>
      <w:r>
        <w:rPr>
          <w:rStyle w:val="FootnoteReference"/>
        </w:rPr>
        <w:footnoteRef/>
      </w:r>
      <w:r>
        <w:rPr>
          <w:rtl/>
        </w:rPr>
        <w:t xml:space="preserve"> </w:t>
      </w:r>
      <w:r w:rsidR="0014365E">
        <w:rPr>
          <w:rFonts w:hint="cs"/>
          <w:rtl/>
        </w:rPr>
        <w:t>במשנה תורה הלכות יסודי התורה ד' ז' כתב הרמב</w:t>
      </w:r>
      <w:r w:rsidR="00F055C8">
        <w:rPr>
          <w:rtl/>
        </w:rPr>
        <w:t>"</w:t>
      </w:r>
      <w:r w:rsidR="0014365E">
        <w:rPr>
          <w:rFonts w:hint="cs"/>
          <w:rtl/>
        </w:rPr>
        <w:t>ם:</w:t>
      </w:r>
    </w:p>
    <w:p w14:paraId="0F559102" w14:textId="4F1781DD" w:rsidR="0014365E" w:rsidRDefault="00F055C8">
      <w:pPr>
        <w:pStyle w:val="FootnoteText"/>
        <w:rPr>
          <w:rtl/>
        </w:rPr>
      </w:pPr>
      <w:r>
        <w:rPr>
          <w:rtl/>
        </w:rPr>
        <w:t>"</w:t>
      </w:r>
      <w:bookmarkStart w:id="93" w:name="_Hlk94518780"/>
      <w:r w:rsidR="0014365E" w:rsidRPr="0014365E">
        <w:rPr>
          <w:rtl/>
        </w:rPr>
        <w:t>לְעוֹלָם אֵין אַתָּה רוֹאֶה גֹּלֶם בְּלֹא צוּרָה אוֹ צוּרָה בְּלֹא גֹּלֶם</w:t>
      </w:r>
      <w:bookmarkEnd w:id="93"/>
      <w:r w:rsidR="0014365E" w:rsidRPr="0014365E">
        <w:rPr>
          <w:rtl/>
        </w:rPr>
        <w:t xml:space="preserve">, </w:t>
      </w:r>
    </w:p>
    <w:p w14:paraId="171FF6CB" w14:textId="074016EF" w:rsidR="0014365E" w:rsidRDefault="0014365E">
      <w:pPr>
        <w:pStyle w:val="FootnoteText"/>
        <w:rPr>
          <w:rtl/>
        </w:rPr>
      </w:pPr>
      <w:bookmarkStart w:id="94" w:name="_Hlk94519646"/>
      <w:r w:rsidRPr="0014365E">
        <w:rPr>
          <w:rtl/>
        </w:rPr>
        <w:t>אֶלָּא לֵב הָאָדָם הוּא שֶׁמְּחַלֵּק הַגּוּף הַנִּמְצָא בְּדַעְתּוֹ, וְיוֹדֵעַ שֶׁהוּא מְחֻבָּר מִגֹּלֶם וְצוּרָה</w:t>
      </w:r>
      <w:bookmarkEnd w:id="94"/>
      <w:r w:rsidRPr="0014365E">
        <w:rPr>
          <w:rtl/>
        </w:rPr>
        <w:t xml:space="preserve">, </w:t>
      </w:r>
      <w:r>
        <w:rPr>
          <w:rFonts w:hint="cs"/>
          <w:rtl/>
        </w:rPr>
        <w:t>כו'.</w:t>
      </w:r>
    </w:p>
    <w:p w14:paraId="51070006" w14:textId="6D1904F2" w:rsidR="0014365E" w:rsidRDefault="0014365E">
      <w:pPr>
        <w:pStyle w:val="FootnoteText"/>
        <w:rPr>
          <w:rtl/>
        </w:rPr>
      </w:pPr>
      <w:r w:rsidRPr="0014365E">
        <w:rPr>
          <w:rtl/>
        </w:rPr>
        <w:t>וְהַצּוּרוֹת שֶׁאֵין לָהֶן גֹּלֶם אֵינָן נִרְאִין לָעַיִן, אֶלָּא בְּעֵין הַלֵּב הֵן יְדוּעִין, כְּמוֹ שֶׁיָּדַעְנוּ אֲדוֹן הַכֹּל בְּלֹא רְאִיַּת עַיִן.</w:t>
      </w:r>
      <w:r w:rsidR="00F055C8">
        <w:rPr>
          <w:rtl/>
        </w:rPr>
        <w:t>"</w:t>
      </w:r>
    </w:p>
    <w:p w14:paraId="112B0010" w14:textId="37251936" w:rsidR="0014365E" w:rsidRDefault="0014365E">
      <w:pPr>
        <w:pStyle w:val="FootnoteText"/>
        <w:rPr>
          <w:rtl/>
        </w:rPr>
      </w:pPr>
      <w:r>
        <w:rPr>
          <w:rFonts w:hint="cs"/>
          <w:rtl/>
        </w:rPr>
        <w:t xml:space="preserve">חלקי הלכה זו סותרים אלה את אלה, אלא מדובר כאן בשלושה אופני תפישה שונים. </w:t>
      </w:r>
    </w:p>
    <w:p w14:paraId="37919A02" w14:textId="53A5B1C0" w:rsidR="00912933" w:rsidRDefault="00F055C8">
      <w:pPr>
        <w:pStyle w:val="FootnoteText"/>
        <w:rPr>
          <w:rtl/>
        </w:rPr>
      </w:pPr>
      <w:r>
        <w:rPr>
          <w:rtl/>
        </w:rPr>
        <w:t>"</w:t>
      </w:r>
      <w:r w:rsidR="0014365E" w:rsidRPr="0014365E">
        <w:rPr>
          <w:rtl/>
        </w:rPr>
        <w:t>לְעוֹלָם אֵין אַתָּה רוֹאֶה גֹּלֶם בְּלֹא צוּרָה אוֹ צוּרָה בְּלֹא גֹּלֶם</w:t>
      </w:r>
      <w:r>
        <w:rPr>
          <w:rtl/>
        </w:rPr>
        <w:t>"</w:t>
      </w:r>
      <w:r w:rsidR="0014365E">
        <w:rPr>
          <w:rFonts w:hint="cs"/>
          <w:rtl/>
        </w:rPr>
        <w:t xml:space="preserve"> </w:t>
      </w:r>
    </w:p>
    <w:p w14:paraId="2544F274" w14:textId="20338968" w:rsidR="0014365E" w:rsidRDefault="0014365E">
      <w:pPr>
        <w:pStyle w:val="FootnoteText"/>
        <w:rPr>
          <w:rtl/>
        </w:rPr>
      </w:pPr>
      <w:r>
        <w:rPr>
          <w:rFonts w:hint="cs"/>
          <w:rtl/>
        </w:rPr>
        <w:t xml:space="preserve">זו התפישה של תינוקות ובעלי חיים. תינוק יודע שאם יש כלב לבן קטן עם שיער ארוך ואוזניים נופלות וכלב אחר שחור גדול עם שיער קצר ואוזניים זקופות, שניהם הם 'כלב', ואילו ארנב או טלה שאולי דומים לאחד הכלבים יותר ממה שהכלב השני דומה לו, הם בעל חיים ממין אחר. מכאן (ומעוד עניינים רבים אחרים כמו שהארכתי בבלוג אדם חי </w:t>
      </w:r>
      <w:hyperlink r:id="rId36" w:history="1">
        <w:r w:rsidRPr="0014365E">
          <w:rPr>
            <w:rStyle w:val="Hyperlink"/>
            <w:rFonts w:hint="cs"/>
            <w:rtl/>
          </w:rPr>
          <w:t>רשימה 48</w:t>
        </w:r>
      </w:hyperlink>
      <w:r>
        <w:rPr>
          <w:rFonts w:hint="cs"/>
          <w:rtl/>
        </w:rPr>
        <w:t xml:space="preserve">, </w:t>
      </w:r>
      <w:r w:rsidR="00A836DB">
        <w:rPr>
          <w:rFonts w:hint="cs"/>
          <w:rtl/>
        </w:rPr>
        <w:t xml:space="preserve">ושם </w:t>
      </w:r>
      <w:hyperlink r:id="rId37" w:history="1">
        <w:r w:rsidR="00A836DB" w:rsidRPr="00A836DB">
          <w:rPr>
            <w:rStyle w:val="Hyperlink"/>
            <w:rFonts w:hint="cs"/>
            <w:rtl/>
          </w:rPr>
          <w:t>רשימה 163</w:t>
        </w:r>
      </w:hyperlink>
      <w:r>
        <w:rPr>
          <w:rFonts w:hint="cs"/>
          <w:rtl/>
        </w:rPr>
        <w:t xml:space="preserve">) </w:t>
      </w:r>
      <w:r w:rsidR="006D602A">
        <w:rPr>
          <w:rFonts w:hint="cs"/>
          <w:rtl/>
        </w:rPr>
        <w:t xml:space="preserve">מוכח שכל החי תופש את האידיאות, הצורות. אבל אצל תינוק מה שראובן הוא חי מדבר, אינו שונה ממה שראובן בעל חיוך </w:t>
      </w:r>
      <w:r w:rsidR="009C463A">
        <w:rPr>
          <w:rFonts w:hint="cs"/>
          <w:rtl/>
        </w:rPr>
        <w:t>מסוים</w:t>
      </w:r>
      <w:r w:rsidR="006D602A">
        <w:rPr>
          <w:rFonts w:hint="cs"/>
          <w:rtl/>
        </w:rPr>
        <w:t xml:space="preserve"> וכשרון נגינה וכל כיוצא בזה. החומר הוא המציאות הפרטית, המוגבלת, של ראובן כפרט יחיד (וכמו שכתב אריסטו במטאפיזיקה זטא ז' ש'חומר' פירושו האפשרות ,כלומר הגדרה (מה שמוגדר יש לו אפשרות להיות שונה מההגדרה), כלומר המהות הפרטית). במציאות הפרטית של ראובן מה שהוא בעל חיוך </w:t>
      </w:r>
      <w:r w:rsidR="009C463A">
        <w:rPr>
          <w:rFonts w:hint="cs"/>
          <w:rtl/>
        </w:rPr>
        <w:t>מסוים</w:t>
      </w:r>
      <w:r w:rsidR="006D602A">
        <w:rPr>
          <w:rFonts w:hint="cs"/>
          <w:rtl/>
        </w:rPr>
        <w:t xml:space="preserve"> וכשרון </w:t>
      </w:r>
      <w:r w:rsidR="009C463A">
        <w:rPr>
          <w:rFonts w:hint="cs"/>
          <w:rtl/>
        </w:rPr>
        <w:t>מסוים</w:t>
      </w:r>
      <w:r w:rsidR="006D602A">
        <w:rPr>
          <w:rFonts w:hint="cs"/>
          <w:rtl/>
        </w:rPr>
        <w:t xml:space="preserve"> מגדיר אותו כפרט לא פחות ממה שהוא חי מדבר. </w:t>
      </w:r>
      <w:r w:rsidR="00912933">
        <w:rPr>
          <w:rFonts w:hint="cs"/>
          <w:rtl/>
        </w:rPr>
        <w:t xml:space="preserve">לכן היותו 'חי מדבר' שזהו הגדרת העצם של אדם, אינו שונה מכל שאר המאפיינים הפרטיים שלו, שהם מקרי החומר שבו ולא צורתו. זוהי תפישה חומרית בצורות. כלומר מה שראובן הוא 'חי' הכוונה לחייו הפרטיים של ראובן, ומה שהוא 'מדבר' הכוונה לכח המחשבה הפרטי של ראובן. </w:t>
      </w:r>
    </w:p>
    <w:p w14:paraId="669A3AFA" w14:textId="45D580DB" w:rsidR="00912933" w:rsidRDefault="00912933">
      <w:pPr>
        <w:pStyle w:val="FootnoteText"/>
        <w:rPr>
          <w:rtl/>
        </w:rPr>
      </w:pPr>
    </w:p>
    <w:p w14:paraId="2ABD2AF3" w14:textId="297BEAEC" w:rsidR="00912933" w:rsidRDefault="00F055C8">
      <w:pPr>
        <w:pStyle w:val="FootnoteText"/>
        <w:rPr>
          <w:rtl/>
        </w:rPr>
      </w:pPr>
      <w:r>
        <w:rPr>
          <w:rtl/>
        </w:rPr>
        <w:t>"</w:t>
      </w:r>
      <w:r w:rsidR="00912933" w:rsidRPr="00912933">
        <w:rPr>
          <w:rtl/>
        </w:rPr>
        <w:t>אֶלָּא לֵב הָאָדָם הוּא שֶׁמְּחַלֵּק הַגּוּף הַנִּמְצָא בְּדַעְתּוֹ, וְיוֹדֵעַ שֶׁהוּא מְחֻבָּר מִגֹּלֶם וְצוּרָה</w:t>
      </w:r>
      <w:r>
        <w:rPr>
          <w:rtl/>
        </w:rPr>
        <w:t>"</w:t>
      </w:r>
    </w:p>
    <w:p w14:paraId="4B63D876" w14:textId="42C488CA" w:rsidR="00912933" w:rsidRDefault="00912933">
      <w:pPr>
        <w:pStyle w:val="FootnoteText"/>
        <w:rPr>
          <w:rtl/>
        </w:rPr>
      </w:pPr>
      <w:r>
        <w:rPr>
          <w:rFonts w:hint="cs"/>
          <w:rtl/>
        </w:rPr>
        <w:t>זוהי עבודת החכם, שמתבונן בעצמים שבעולם ומחלק אותם ל</w:t>
      </w:r>
      <w:r w:rsidR="00025BF9">
        <w:rPr>
          <w:rFonts w:hint="cs"/>
          <w:rtl/>
        </w:rPr>
        <w:t xml:space="preserve">תפישה של </w:t>
      </w:r>
      <w:r>
        <w:rPr>
          <w:rFonts w:hint="cs"/>
          <w:rtl/>
        </w:rPr>
        <w:t>חומר</w:t>
      </w:r>
      <w:r w:rsidR="00025BF9">
        <w:rPr>
          <w:rFonts w:hint="cs"/>
          <w:rtl/>
        </w:rPr>
        <w:t xml:space="preserve"> ולתפישה של</w:t>
      </w:r>
      <w:r>
        <w:rPr>
          <w:rFonts w:hint="cs"/>
          <w:rtl/>
        </w:rPr>
        <w:t xml:space="preserve"> צורה. העבודה הזו נאמרה בלשון </w:t>
      </w:r>
      <w:bookmarkStart w:id="95" w:name="_Hlk97209858"/>
      <w:r>
        <w:rPr>
          <w:rFonts w:hint="cs"/>
          <w:rtl/>
        </w:rPr>
        <w:t>הרמב</w:t>
      </w:r>
      <w:r w:rsidR="00F055C8">
        <w:rPr>
          <w:rtl/>
        </w:rPr>
        <w:t>"</w:t>
      </w:r>
      <w:r>
        <w:rPr>
          <w:rFonts w:hint="cs"/>
          <w:rtl/>
        </w:rPr>
        <w:t>ם בפרק ב' מהלכות יסודי התורה:</w:t>
      </w:r>
    </w:p>
    <w:p w14:paraId="365C6D9F" w14:textId="4BA48382" w:rsidR="00912933" w:rsidRDefault="00F055C8">
      <w:pPr>
        <w:pStyle w:val="FootnoteText"/>
        <w:rPr>
          <w:rtl/>
        </w:rPr>
      </w:pPr>
      <w:r>
        <w:rPr>
          <w:rtl/>
        </w:rPr>
        <w:t>"</w:t>
      </w:r>
      <w:r w:rsidR="00912933" w:rsidRPr="00912933">
        <w:rPr>
          <w:rtl/>
        </w:rPr>
        <w:t>וְהֵיאַךְ הִיא</w:t>
      </w:r>
      <w:bookmarkStart w:id="96" w:name="_Hlk97209646"/>
      <w:bookmarkEnd w:id="95"/>
      <w:r w:rsidR="006978F6">
        <w:rPr>
          <w:rtl/>
        </w:rPr>
        <w:fldChar w:fldCharType="begin"/>
      </w:r>
      <w:r w:rsidR="006978F6">
        <w:instrText xml:space="preserve"> XE "</w:instrText>
      </w:r>
      <w:r w:rsidR="006978F6" w:rsidRPr="00BB4873">
        <w:rPr>
          <w:rtl/>
        </w:rPr>
        <w:instrText>הרמב</w:instrText>
      </w:r>
      <w:r w:rsidR="006978F6">
        <w:rPr>
          <w:b/>
          <w:bCs/>
          <w:sz w:val="20"/>
          <w:szCs w:val="20"/>
        </w:rPr>
        <w:instrText>\</w:instrText>
      </w:r>
      <w:r w:rsidR="006978F6" w:rsidRPr="00BB4873">
        <w:rPr>
          <w:rtl/>
        </w:rPr>
        <w:instrText xml:space="preserve">"ם בהלכות יסודי התורה ב' ב': </w:instrText>
      </w:r>
      <w:r w:rsidR="006978F6">
        <w:rPr>
          <w:b/>
          <w:bCs/>
          <w:sz w:val="20"/>
          <w:szCs w:val="20"/>
        </w:rPr>
        <w:instrText>\</w:instrText>
      </w:r>
      <w:r w:rsidR="006978F6" w:rsidRPr="00BB4873">
        <w:rPr>
          <w:rtl/>
        </w:rPr>
        <w:instrText>"וְהֵיאַךְ הִיא הַדֶּרֶךְ</w:instrText>
      </w:r>
      <w:r w:rsidR="006978F6">
        <w:instrText xml:space="preserve">" </w:instrText>
      </w:r>
      <w:r w:rsidR="006978F6">
        <w:rPr>
          <w:rtl/>
        </w:rPr>
        <w:fldChar w:fldCharType="end"/>
      </w:r>
      <w:bookmarkEnd w:id="96"/>
      <w:r w:rsidR="00912933" w:rsidRPr="00912933">
        <w:rPr>
          <w:rtl/>
        </w:rPr>
        <w:t xml:space="preserve"> הַדֶּרֶךְ לְאַהֲבָתוֹ וְיִרְאָתוֹ? בְּשָׁעָה שֶׁיִּתְבּוֹנֵן הָאָדָם בְּמַעֲשָׂיו וּבְרוּאָיו הַנִּפְלָאִים הַגְּדוֹלִים, וְיִרְאֶה מֵהֶן חָכְמָתוֹ שֶׁאֵין לָהּ עֵרֶךְ וְלֹא קֵץ - מִיָּד הוּא אוֹהֵב וּמְשַׁבֵּחַ </w:t>
      </w:r>
      <w:r w:rsidR="00912933">
        <w:rPr>
          <w:rFonts w:hint="cs"/>
          <w:rtl/>
        </w:rPr>
        <w:t>כו'</w:t>
      </w:r>
      <w:r>
        <w:rPr>
          <w:rtl/>
        </w:rPr>
        <w:t>"</w:t>
      </w:r>
    </w:p>
    <w:p w14:paraId="3966A532" w14:textId="0378314B" w:rsidR="00912933" w:rsidRDefault="00912933">
      <w:pPr>
        <w:pStyle w:val="FootnoteText"/>
        <w:rPr>
          <w:rtl/>
        </w:rPr>
      </w:pPr>
      <w:r>
        <w:rPr>
          <w:rFonts w:hint="cs"/>
          <w:rtl/>
        </w:rPr>
        <w:t xml:space="preserve">החכמה </w:t>
      </w:r>
      <w:r w:rsidR="00F055C8">
        <w:rPr>
          <w:rtl/>
        </w:rPr>
        <w:t>"</w:t>
      </w:r>
      <w:r>
        <w:rPr>
          <w:rFonts w:hint="cs"/>
          <w:rtl/>
        </w:rPr>
        <w:t>שאין לה קץ</w:t>
      </w:r>
      <w:r w:rsidR="00F055C8">
        <w:rPr>
          <w:rtl/>
        </w:rPr>
        <w:t>"</w:t>
      </w:r>
      <w:r>
        <w:rPr>
          <w:rFonts w:hint="cs"/>
          <w:rtl/>
        </w:rPr>
        <w:t xml:space="preserve"> היא השגת הצורות. הצורות הן התנוצצות הזיו של אור אין סוף שנופל על הגופים הסופיים, לכן זו חכמה </w:t>
      </w:r>
      <w:r w:rsidR="00F055C8">
        <w:rPr>
          <w:rtl/>
        </w:rPr>
        <w:t>"</w:t>
      </w:r>
      <w:r>
        <w:rPr>
          <w:rFonts w:hint="cs"/>
          <w:rtl/>
        </w:rPr>
        <w:t>שאין לה קץ</w:t>
      </w:r>
      <w:r w:rsidR="00F055C8">
        <w:rPr>
          <w:rtl/>
        </w:rPr>
        <w:t>"</w:t>
      </w:r>
      <w:r>
        <w:rPr>
          <w:rFonts w:hint="cs"/>
          <w:rtl/>
        </w:rPr>
        <w:t xml:space="preserve">, היא שייכת לאור אין סוף. החכמה תופשת את הדברים המופשטים הכלליים. </w:t>
      </w:r>
    </w:p>
    <w:p w14:paraId="286A9130" w14:textId="6F722F92" w:rsidR="00912933" w:rsidRDefault="00912933">
      <w:pPr>
        <w:pStyle w:val="FootnoteText"/>
        <w:rPr>
          <w:rtl/>
        </w:rPr>
      </w:pPr>
      <w:r>
        <w:rPr>
          <w:rFonts w:hint="cs"/>
          <w:rtl/>
        </w:rPr>
        <w:t xml:space="preserve">מצד החכמה יש 'חיים' כדבר כללי, מופשט, ללא גבול או הגדרה, לא </w:t>
      </w:r>
      <w:r w:rsidR="009C463A">
        <w:rPr>
          <w:rFonts w:hint="cs"/>
          <w:rtl/>
        </w:rPr>
        <w:t>מסוים</w:t>
      </w:r>
      <w:r>
        <w:rPr>
          <w:rFonts w:hint="cs"/>
          <w:rtl/>
        </w:rPr>
        <w:t xml:space="preserve"> לחיים של פרט זה או אחר. ראובן חי בחיים האלה. מציאותו משנית למציאותם, מקבלת ממנה.  וכן יש מציאות כללית של חכמה, לא חכמה של בעל שכל </w:t>
      </w:r>
      <w:r w:rsidR="009C463A">
        <w:rPr>
          <w:rFonts w:hint="cs"/>
          <w:rtl/>
        </w:rPr>
        <w:t>מסוים</w:t>
      </w:r>
      <w:r>
        <w:rPr>
          <w:rFonts w:hint="cs"/>
          <w:rtl/>
        </w:rPr>
        <w:t xml:space="preserve">, אלא חכמה כחכמה, כשלעצמה, מופשטת מכל הגדרה וגבול. ראובן חכם בחכמה הזו, חכמתו נמצאת כמציאות משנית, מקבלת, נשענת, </w:t>
      </w:r>
      <w:r w:rsidR="00025BF9">
        <w:rPr>
          <w:rFonts w:hint="cs"/>
          <w:rtl/>
        </w:rPr>
        <w:t xml:space="preserve">ביחס למציאות החכמה הכללית. </w:t>
      </w:r>
    </w:p>
    <w:p w14:paraId="35189EB9" w14:textId="0D0A7242" w:rsidR="00025BF9" w:rsidRDefault="00025BF9">
      <w:pPr>
        <w:pStyle w:val="FootnoteText"/>
        <w:rPr>
          <w:rtl/>
        </w:rPr>
      </w:pPr>
      <w:r>
        <w:rPr>
          <w:rFonts w:hint="cs"/>
          <w:rtl/>
        </w:rPr>
        <w:t xml:space="preserve">בניגוד לחיים ולחכמה, החיוך המסוים שמאפיין את ראובן לבדו, כשרונו המסוים, גובהו, משקלו, צבע שערו, וכל כיוצא באלה, אינם צל של מציאות כללית שמתממשת בפרטי, לכן כל מאפייני ראובן מלבד היותו חי ומשכיל, אינם הצורה של ראובן אלא מקריים חומריים שלו. </w:t>
      </w:r>
    </w:p>
    <w:p w14:paraId="64CDFDD1" w14:textId="4D8F2716" w:rsidR="00025BF9" w:rsidRDefault="00025BF9">
      <w:pPr>
        <w:pStyle w:val="FootnoteText"/>
        <w:rPr>
          <w:rtl/>
        </w:rPr>
      </w:pPr>
    </w:p>
    <w:p w14:paraId="570C895C" w14:textId="052BA093" w:rsidR="00C61C5D" w:rsidRDefault="00025BF9">
      <w:pPr>
        <w:pStyle w:val="FootnoteText"/>
        <w:rPr>
          <w:rtl/>
        </w:rPr>
      </w:pPr>
      <w:r>
        <w:rPr>
          <w:rFonts w:hint="cs"/>
          <w:rtl/>
        </w:rPr>
        <w:t xml:space="preserve">כשמסתכלים על עצם במבט של תינוק או בעל חיים, בכח הדמיון, תופשים בו חומר וצורה, אבל החומר והצורה אינם מחולקים זה מזה. </w:t>
      </w:r>
      <w:r w:rsidR="00C61C5D">
        <w:rPr>
          <w:rFonts w:hint="cs"/>
          <w:rtl/>
        </w:rPr>
        <w:t>התפישה היא של הכל כאחד בלי ניתוח. וכמו שכתב במורה נבוכים א' ע</w:t>
      </w:r>
      <w:r w:rsidR="00F055C8">
        <w:rPr>
          <w:rtl/>
        </w:rPr>
        <w:t>"</w:t>
      </w:r>
      <w:r w:rsidR="00C61C5D">
        <w:rPr>
          <w:rFonts w:hint="cs"/>
          <w:rtl/>
        </w:rPr>
        <w:t>ג:</w:t>
      </w:r>
    </w:p>
    <w:p w14:paraId="6816B8D2" w14:textId="3DF9E472" w:rsidR="00C61C5D" w:rsidRDefault="00F055C8">
      <w:pPr>
        <w:pStyle w:val="FootnoteText"/>
        <w:rPr>
          <w:rtl/>
        </w:rPr>
      </w:pPr>
      <w:r>
        <w:rPr>
          <w:rtl/>
        </w:rPr>
        <w:t>"</w:t>
      </w:r>
      <w:r w:rsidR="00C61C5D" w:rsidRPr="00C61C5D">
        <w:rPr>
          <w:rtl/>
        </w:rPr>
        <w:t xml:space="preserve">ואין </w:t>
      </w:r>
      <w:bookmarkStart w:id="97" w:name="_Hlk95222869"/>
      <w:r w:rsidR="00D52C7B" w:rsidRPr="00D52C7B">
        <w:rPr>
          <w:rtl/>
        </w:rPr>
        <w:t>פּוֹעַל</w:t>
      </w:r>
      <w:bookmarkEnd w:id="97"/>
      <w:r w:rsidR="00C61C5D" w:rsidRPr="00C61C5D">
        <w:rPr>
          <w:rtl/>
        </w:rPr>
        <w:t xml:space="preserve"> הדמיון </w:t>
      </w:r>
      <w:r w:rsidR="00D52C7B" w:rsidRPr="00D52C7B">
        <w:rPr>
          <w:rtl/>
        </w:rPr>
        <w:t>פּוֹעַל</w:t>
      </w:r>
      <w:r w:rsidR="00C61C5D" w:rsidRPr="00C61C5D">
        <w:rPr>
          <w:rtl/>
        </w:rPr>
        <w:t xml:space="preserve"> השכל - אבל הפכו, וזה כי השכל יפרק המורכבות ויבדיל חלקיהם ויפשיטם ויצירם באמיתתם ובסיבותם וישיג מן הדבר האחד ענינים רבים מאוד שביניהם הפרש אצל השכל כהפרש שני אישים מבני אדם אצל הדמיון במציאות. ובשכל יבדיל הענין הכללי</w:t>
      </w:r>
      <w:r w:rsidR="00C61C5D">
        <w:rPr>
          <w:rFonts w:hint="cs"/>
          <w:rtl/>
        </w:rPr>
        <w:t xml:space="preserve"> [הצורה]</w:t>
      </w:r>
      <w:r w:rsidR="00C61C5D" w:rsidRPr="00C61C5D">
        <w:rPr>
          <w:rtl/>
        </w:rPr>
        <w:t xml:space="preserve"> מן הענין האישי</w:t>
      </w:r>
      <w:r w:rsidR="00C61C5D">
        <w:rPr>
          <w:rFonts w:hint="cs"/>
          <w:rtl/>
        </w:rPr>
        <w:t xml:space="preserve"> [החומר]</w:t>
      </w:r>
      <w:r w:rsidR="00C61C5D" w:rsidRPr="00C61C5D">
        <w:rPr>
          <w:rtl/>
        </w:rPr>
        <w:t xml:space="preserve"> ולא יתאמת מופת מן המופתים אלא בכללי</w:t>
      </w:r>
      <w:r w:rsidR="00C61C5D">
        <w:rPr>
          <w:rFonts w:hint="cs"/>
          <w:rtl/>
        </w:rPr>
        <w:t xml:space="preserve"> [רק הצורה מחוייבת להכרח גזירת השכל, מקרי החומר נקראים מקרים כי אינם מחוייבים לגזירת השכל]</w:t>
      </w:r>
      <w:r w:rsidR="00C61C5D" w:rsidRPr="00C61C5D">
        <w:rPr>
          <w:rtl/>
        </w:rPr>
        <w:t>. ובשכל יודע הנשוא העצמי מן המקרי. ואין לדמיון פועל דבר מאלו הפעולות - שהדמיון לא ישיג אלא האישי המורכב בכללו לפי מה שהשיגוהו החושים</w:t>
      </w:r>
      <w:r w:rsidR="00C61C5D">
        <w:rPr>
          <w:rFonts w:hint="cs"/>
          <w:rtl/>
        </w:rPr>
        <w:t xml:space="preserve"> [...]</w:t>
      </w:r>
      <w:r w:rsidR="00C61C5D" w:rsidRPr="00C61C5D">
        <w:rPr>
          <w:rtl/>
        </w:rPr>
        <w:t>. ולא יוכל הדמיון בשום פנים להמלט בהשגתו מן החומר ואפילו הפשיט צורה אחת בתכלית ההפשט; ולכן אין בחינה בדמיון:</w:t>
      </w:r>
      <w:r>
        <w:rPr>
          <w:rtl/>
        </w:rPr>
        <w:t>"</w:t>
      </w:r>
    </w:p>
    <w:p w14:paraId="672E52EC" w14:textId="7E267272" w:rsidR="00025BF9" w:rsidRDefault="00B34A67" w:rsidP="00B31089">
      <w:pPr>
        <w:pStyle w:val="FootnoteText"/>
      </w:pPr>
      <w:r>
        <w:rPr>
          <w:rFonts w:hint="cs"/>
          <w:rtl/>
        </w:rPr>
        <w:t xml:space="preserve">העצם נתפש בכח הדמיון בתחילה כדבר אחד בלי חלוקה לחומר וצורה, אחר כך מתברר שיש לו מאפיינים רבים, והצורה נתפשת כאחד המאפיינים לצד כל המאפיינים האחרים, בלי הבדל מהותי מהם. </w:t>
      </w:r>
      <w:r w:rsidR="00C61C5D">
        <w:rPr>
          <w:rFonts w:hint="cs"/>
          <w:rtl/>
        </w:rPr>
        <w:t>לכן</w:t>
      </w:r>
      <w:r>
        <w:rPr>
          <w:rFonts w:hint="cs"/>
          <w:rtl/>
        </w:rPr>
        <w:t xml:space="preserve"> לפי תפישה זו</w:t>
      </w:r>
      <w:r w:rsidR="00C61C5D">
        <w:rPr>
          <w:rFonts w:hint="cs"/>
          <w:rtl/>
        </w:rPr>
        <w:t xml:space="preserve"> החומר נקרא רכיב, הוא שווה</w:t>
      </w:r>
      <w:r w:rsidR="00BE5E10">
        <w:t xml:space="preserve"> </w:t>
      </w:r>
      <w:r w:rsidR="00BE5E10">
        <w:rPr>
          <w:rFonts w:hint="cs"/>
          <w:rtl/>
        </w:rPr>
        <w:t>בחשיבותו וראשוניותו</w:t>
      </w:r>
      <w:r w:rsidR="00C61C5D">
        <w:rPr>
          <w:rFonts w:hint="cs"/>
          <w:rtl/>
        </w:rPr>
        <w:t xml:space="preserve"> לכל שאר הרכיבים של העצם. בתפישת כח הדמיון מה שראובן עשוי מבשר, והבשר עשוי מד' היסודות והם עשויים מהחומר הראשון, זה לא שונה מכך שראובן יש לו שיער בצבע </w:t>
      </w:r>
      <w:r w:rsidR="009C463A">
        <w:rPr>
          <w:rFonts w:hint="cs"/>
          <w:rtl/>
        </w:rPr>
        <w:t>מסוים</w:t>
      </w:r>
      <w:r w:rsidR="00C61C5D">
        <w:rPr>
          <w:rFonts w:hint="cs"/>
          <w:rtl/>
        </w:rPr>
        <w:t xml:space="preserve"> או שהוא חי מדבר וכל שאר מאפייניו.</w:t>
      </w:r>
      <w:r w:rsidR="00BE5E10">
        <w:rPr>
          <w:rFonts w:hint="cs"/>
          <w:rtl/>
        </w:rPr>
        <w:t xml:space="preserve"> </w:t>
      </w:r>
      <w:r w:rsidR="00C61C5D">
        <w:rPr>
          <w:rFonts w:hint="cs"/>
          <w:rtl/>
        </w:rPr>
        <w:t xml:space="preserve">  </w:t>
      </w:r>
    </w:p>
  </w:footnote>
  <w:footnote w:id="151">
    <w:p w14:paraId="11EA64AA" w14:textId="218C9783" w:rsidR="00B31089" w:rsidRDefault="00B31089">
      <w:pPr>
        <w:pStyle w:val="FootnoteText"/>
      </w:pPr>
      <w:r>
        <w:rPr>
          <w:rStyle w:val="FootnoteReference"/>
        </w:rPr>
        <w:footnoteRef/>
      </w:r>
      <w:r>
        <w:rPr>
          <w:rtl/>
        </w:rPr>
        <w:t xml:space="preserve"> </w:t>
      </w:r>
      <w:r>
        <w:rPr>
          <w:rFonts w:hint="cs"/>
          <w:rtl/>
        </w:rPr>
        <w:t xml:space="preserve">במקור: </w:t>
      </w:r>
      <w:r w:rsidRPr="00B31089">
        <w:rPr>
          <w:rFonts w:cs="Times New Roman" w:hint="eastAsia"/>
          <w:rtl/>
          <w:lang w:bidi="ar-SA"/>
        </w:rPr>
        <w:t>الداخلة</w:t>
      </w:r>
      <w:r>
        <w:rPr>
          <w:rFonts w:cs="Times New Roman" w:hint="cs"/>
          <w:rtl/>
        </w:rPr>
        <w:t xml:space="preserve">. מקגיניס תרגם </w:t>
      </w:r>
      <w:r w:rsidRPr="00B31089">
        <w:rPr>
          <w:rFonts w:cs="Times New Roman"/>
        </w:rPr>
        <w:t>internal</w:t>
      </w:r>
      <w:r>
        <w:rPr>
          <w:rFonts w:cs="Times New Roman" w:hint="cs"/>
          <w:rtl/>
        </w:rPr>
        <w:t xml:space="preserve">, פנימיות. </w:t>
      </w:r>
    </w:p>
  </w:footnote>
  <w:footnote w:id="152">
    <w:p w14:paraId="01086AE6" w14:textId="340E2C32" w:rsidR="00B31089" w:rsidRDefault="00B31089">
      <w:pPr>
        <w:pStyle w:val="FootnoteText"/>
      </w:pPr>
      <w:r>
        <w:rPr>
          <w:rStyle w:val="FootnoteReference"/>
        </w:rPr>
        <w:footnoteRef/>
      </w:r>
      <w:r>
        <w:rPr>
          <w:rtl/>
        </w:rPr>
        <w:t xml:space="preserve"> </w:t>
      </w:r>
      <w:r>
        <w:rPr>
          <w:rFonts w:hint="cs"/>
          <w:rtl/>
        </w:rPr>
        <w:t xml:space="preserve">במקור: </w:t>
      </w:r>
      <w:r w:rsidRPr="00B31089">
        <w:rPr>
          <w:rFonts w:cs="Times New Roman" w:hint="eastAsia"/>
          <w:rtl/>
          <w:lang w:bidi="ar-SA"/>
        </w:rPr>
        <w:t>قوام</w:t>
      </w:r>
      <w:r>
        <w:rPr>
          <w:rFonts w:cs="Times New Roman" w:hint="cs"/>
          <w:rtl/>
        </w:rPr>
        <w:t xml:space="preserve">. מקגיניס תרגם </w:t>
      </w:r>
      <w:r w:rsidRPr="00B31089">
        <w:rPr>
          <w:rFonts w:cs="Times New Roman"/>
        </w:rPr>
        <w:t>constitute</w:t>
      </w:r>
      <w:r>
        <w:rPr>
          <w:rFonts w:cs="Times New Roman" w:hint="cs"/>
          <w:rtl/>
        </w:rPr>
        <w:t xml:space="preserve">, מכוננות. </w:t>
      </w:r>
    </w:p>
  </w:footnote>
  <w:footnote w:id="153">
    <w:p w14:paraId="7A299406" w14:textId="1DB312DD" w:rsidR="009C1C5F" w:rsidRDefault="009C1C5F">
      <w:pPr>
        <w:pStyle w:val="FootnoteText"/>
        <w:rPr>
          <w:rtl/>
        </w:rPr>
      </w:pPr>
      <w:r>
        <w:rPr>
          <w:rStyle w:val="FootnoteReference"/>
        </w:rPr>
        <w:footnoteRef/>
      </w:r>
      <w:r>
        <w:rPr>
          <w:rtl/>
        </w:rPr>
        <w:t xml:space="preserve"> </w:t>
      </w:r>
      <w:r>
        <w:rPr>
          <w:rFonts w:hint="cs"/>
          <w:rtl/>
        </w:rPr>
        <w:t>הדיון כאן הוא על ארבע הסיבות</w:t>
      </w:r>
      <w:r w:rsidR="00D76FA2">
        <w:rPr>
          <w:rtl/>
        </w:rPr>
        <w:fldChar w:fldCharType="begin"/>
      </w:r>
      <w:r w:rsidR="00D76FA2">
        <w:instrText xml:space="preserve"> XE "</w:instrText>
      </w:r>
      <w:r w:rsidR="00D76FA2" w:rsidRPr="003D742D">
        <w:rPr>
          <w:rFonts w:hint="cs"/>
          <w:rtl/>
        </w:rPr>
        <w:instrText>ארבע</w:instrText>
      </w:r>
      <w:r w:rsidR="00E97EB9">
        <w:rPr>
          <w:rFonts w:hint="cs"/>
          <w:rtl/>
        </w:rPr>
        <w:instrText>ת</w:instrText>
      </w:r>
      <w:r w:rsidR="00D76FA2" w:rsidRPr="003D742D">
        <w:rPr>
          <w:rFonts w:hint="cs"/>
          <w:rtl/>
        </w:rPr>
        <w:instrText xml:space="preserve"> הסיבות</w:instrText>
      </w:r>
      <w:r w:rsidR="00D76FA2">
        <w:instrText xml:space="preserve">" </w:instrText>
      </w:r>
      <w:r w:rsidR="00D76FA2">
        <w:rPr>
          <w:rtl/>
        </w:rPr>
        <w:fldChar w:fldCharType="end"/>
      </w:r>
      <w:r>
        <w:rPr>
          <w:rFonts w:hint="cs"/>
          <w:rtl/>
        </w:rPr>
        <w:t xml:space="preserve"> האריסטוטליות של הגוף:</w:t>
      </w:r>
      <w:r>
        <w:rPr>
          <w:rFonts w:hint="cs"/>
        </w:rPr>
        <w:t xml:space="preserve"> </w:t>
      </w:r>
      <w:r>
        <w:rPr>
          <w:rFonts w:hint="cs"/>
          <w:rtl/>
        </w:rPr>
        <w:t xml:space="preserve">חומר, צורה, </w:t>
      </w:r>
      <w:r w:rsidR="005F5654" w:rsidRPr="005F5654">
        <w:rPr>
          <w:rtl/>
        </w:rPr>
        <w:t>פּוֹעֵל</w:t>
      </w:r>
      <w:r>
        <w:rPr>
          <w:rFonts w:hint="cs"/>
          <w:rtl/>
        </w:rPr>
        <w:t xml:space="preserve"> ותכלית. החומר והצורה הן סיבות עצמיות של מהותו של הגוף. הגוף במהותו הוא 'סוס' כי יש לו חומר וצורה של סוס, ואין צורך ב</w:t>
      </w:r>
      <w:r w:rsidR="005F5654" w:rsidRPr="005F5654">
        <w:rPr>
          <w:rtl/>
        </w:rPr>
        <w:t>פּוֹעֵל</w:t>
      </w:r>
      <w:r>
        <w:rPr>
          <w:rFonts w:hint="cs"/>
          <w:rtl/>
        </w:rPr>
        <w:t xml:space="preserve"> ובתכלית כדי שמהותו תהיה מהות של סוס.</w:t>
      </w:r>
    </w:p>
    <w:p w14:paraId="28E0CD8E" w14:textId="2A069A21" w:rsidR="009C1C5F" w:rsidRDefault="009C1C5F">
      <w:pPr>
        <w:pStyle w:val="FootnoteText"/>
        <w:rPr>
          <w:rtl/>
        </w:rPr>
      </w:pPr>
      <w:r>
        <w:rPr>
          <w:rFonts w:hint="cs"/>
          <w:rtl/>
        </w:rPr>
        <w:t>המציאות של הגוף היא עניין נוסף על מהותו. וכמו שכתב במורה נבוכים א' נ</w:t>
      </w:r>
      <w:r w:rsidR="00F055C8">
        <w:rPr>
          <w:rtl/>
        </w:rPr>
        <w:t>"</w:t>
      </w:r>
      <w:r>
        <w:rPr>
          <w:rFonts w:hint="cs"/>
          <w:rtl/>
        </w:rPr>
        <w:t>ז:</w:t>
      </w:r>
    </w:p>
    <w:p w14:paraId="47DB0A22" w14:textId="590546EE" w:rsidR="009C1C5F" w:rsidRDefault="00F055C8">
      <w:pPr>
        <w:pStyle w:val="FootnoteText"/>
        <w:rPr>
          <w:rtl/>
        </w:rPr>
      </w:pPr>
      <w:r>
        <w:rPr>
          <w:rtl/>
        </w:rPr>
        <w:t>"</w:t>
      </w:r>
      <w:r w:rsidR="009C1C5F" w:rsidRPr="009C1C5F">
        <w:rPr>
          <w:rtl/>
        </w:rPr>
        <w:t>ידוע כי המציאות הוא מקרה קרה לנמצא ולזה הוא ענין נוסף על מהות הנמצא. זהו הדבר המבואר הראוי לכל מה שלמציאותו סיבה</w:t>
      </w:r>
      <w:r w:rsidR="009C1C5F">
        <w:rPr>
          <w:rFonts w:hint="cs"/>
          <w:rtl/>
        </w:rPr>
        <w:t>,</w:t>
      </w:r>
      <w:r w:rsidR="009C1C5F" w:rsidRPr="009C1C5F">
        <w:rPr>
          <w:rtl/>
        </w:rPr>
        <w:t xml:space="preserve"> שמציאותו ענין נוסף על מהותו. </w:t>
      </w:r>
    </w:p>
    <w:p w14:paraId="075ACD2E" w14:textId="33280563" w:rsidR="009C1C5F" w:rsidRDefault="009C1C5F">
      <w:pPr>
        <w:pStyle w:val="FootnoteText"/>
        <w:rPr>
          <w:rtl/>
        </w:rPr>
      </w:pPr>
      <w:r w:rsidRPr="009C1C5F">
        <w:rPr>
          <w:rtl/>
        </w:rPr>
        <w:t xml:space="preserve">אמנם מי שאין סיבה למציאותו - והוא </w:t>
      </w:r>
      <w:r w:rsidRPr="009C1C5F">
        <w:rPr>
          <w:rtl/>
        </w:rPr>
        <w:t>האלוה ית' וית' לבדו</w:t>
      </w:r>
      <w:r>
        <w:rPr>
          <w:rFonts w:hint="cs"/>
          <w:rtl/>
        </w:rPr>
        <w:t xml:space="preserve">, </w:t>
      </w:r>
      <w:r w:rsidRPr="009C1C5F">
        <w:rPr>
          <w:rtl/>
        </w:rPr>
        <w:t>כי זה הוא ענין אמרנו עליו ית' שהוא מחויב המציאות - תהיה מציאותו עצמו ואמתתו</w:t>
      </w:r>
      <w:r>
        <w:rPr>
          <w:rFonts w:hint="cs"/>
          <w:rtl/>
        </w:rPr>
        <w:t>,</w:t>
      </w:r>
      <w:r w:rsidRPr="009C1C5F">
        <w:rPr>
          <w:rtl/>
        </w:rPr>
        <w:t xml:space="preserve"> ועצמו מציאותו</w:t>
      </w:r>
      <w:r>
        <w:rPr>
          <w:rFonts w:hint="cs"/>
          <w:rtl/>
        </w:rPr>
        <w:t>,</w:t>
      </w:r>
      <w:r w:rsidRPr="009C1C5F">
        <w:rPr>
          <w:rtl/>
        </w:rPr>
        <w:t xml:space="preserve"> ואינו עצם קרה לו שנמצא ותהיה מציאותו ענין נוסף עליו</w:t>
      </w:r>
      <w:r>
        <w:rPr>
          <w:rFonts w:hint="cs"/>
          <w:rtl/>
        </w:rPr>
        <w:t>.</w:t>
      </w:r>
      <w:r w:rsidRPr="009C1C5F">
        <w:rPr>
          <w:rtl/>
        </w:rPr>
        <w:t xml:space="preserve"> שהוא מחויב המציאה תמיד אין מתחדש עליו ולא מקרה קרה לו.</w:t>
      </w:r>
      <w:r w:rsidR="00F055C8">
        <w:rPr>
          <w:rtl/>
        </w:rPr>
        <w:t>"</w:t>
      </w:r>
      <w:r>
        <w:rPr>
          <w:rFonts w:hint="cs"/>
          <w:rtl/>
        </w:rPr>
        <w:t xml:space="preserve"> </w:t>
      </w:r>
    </w:p>
    <w:p w14:paraId="52BA73B6" w14:textId="0CF5581C" w:rsidR="005B6162" w:rsidRDefault="009C1C5F" w:rsidP="009C1C5F">
      <w:pPr>
        <w:pStyle w:val="FootnoteText"/>
        <w:rPr>
          <w:rtl/>
        </w:rPr>
      </w:pPr>
      <w:r>
        <w:rPr>
          <w:rFonts w:hint="cs"/>
          <w:rtl/>
        </w:rPr>
        <w:t>ועיין עוד שם א' נ</w:t>
      </w:r>
      <w:r w:rsidR="00F055C8">
        <w:rPr>
          <w:rtl/>
        </w:rPr>
        <w:t>"</w:t>
      </w:r>
      <w:r>
        <w:rPr>
          <w:rFonts w:hint="cs"/>
          <w:rtl/>
        </w:rPr>
        <w:t>ח בעניין יישות ומהות.</w:t>
      </w:r>
      <w:r w:rsidR="005B6162">
        <w:rPr>
          <w:rFonts w:hint="cs"/>
          <w:rtl/>
        </w:rPr>
        <w:t xml:space="preserve"> ויש לדברי המורה נבוכים מקורות באריסטו ובאבן סינא ואכמ</w:t>
      </w:r>
      <w:r w:rsidR="00F055C8">
        <w:rPr>
          <w:rtl/>
        </w:rPr>
        <w:t>"</w:t>
      </w:r>
      <w:r w:rsidR="005B6162">
        <w:rPr>
          <w:rFonts w:hint="cs"/>
          <w:rtl/>
        </w:rPr>
        <w:t>ל, ואבן רושד חלק על זה והדברים עתיקים.</w:t>
      </w:r>
    </w:p>
    <w:p w14:paraId="78BAF113" w14:textId="352B2994" w:rsidR="005B6162" w:rsidRDefault="005B6162" w:rsidP="009C1C5F">
      <w:pPr>
        <w:pStyle w:val="FootnoteText"/>
        <w:rPr>
          <w:rtl/>
        </w:rPr>
      </w:pPr>
      <w:r>
        <w:rPr>
          <w:rFonts w:hint="cs"/>
          <w:rtl/>
        </w:rPr>
        <w:t xml:space="preserve">מה שיש חומר וצורה של סוס, והיינו מהות של סוס, אין זה מכריח שיימצא סוס במציאות בפועל. כדי שיימצא במציאות צריך שיהיה לסוס הזה </w:t>
      </w:r>
      <w:r w:rsidR="005F5654" w:rsidRPr="005F5654">
        <w:rPr>
          <w:rtl/>
        </w:rPr>
        <w:t>פּוֹעֵל</w:t>
      </w:r>
      <w:r>
        <w:rPr>
          <w:rFonts w:hint="cs"/>
          <w:rtl/>
        </w:rPr>
        <w:t xml:space="preserve"> ותכלית. התכלית היא סיבת פעולתו של </w:t>
      </w:r>
      <w:r w:rsidR="004102DB" w:rsidRPr="004102DB">
        <w:rPr>
          <w:rtl/>
        </w:rPr>
        <w:t>הַפּוֹעֵל</w:t>
      </w:r>
      <w:r>
        <w:rPr>
          <w:rFonts w:hint="cs"/>
          <w:rtl/>
        </w:rPr>
        <w:t xml:space="preserve"> ו</w:t>
      </w:r>
      <w:r w:rsidR="004102DB" w:rsidRPr="004102DB">
        <w:rPr>
          <w:rtl/>
        </w:rPr>
        <w:t>הַפּוֹעֵל</w:t>
      </w:r>
      <w:r>
        <w:rPr>
          <w:rFonts w:hint="cs"/>
          <w:rtl/>
        </w:rPr>
        <w:t xml:space="preserve"> הוא סיבת היציאה אל </w:t>
      </w:r>
      <w:r w:rsidR="004102DB" w:rsidRPr="004102DB">
        <w:rPr>
          <w:rtl/>
        </w:rPr>
        <w:t>הַפּוֹעַל</w:t>
      </w:r>
      <w:r>
        <w:rPr>
          <w:rFonts w:hint="cs"/>
          <w:rtl/>
        </w:rPr>
        <w:t xml:space="preserve"> של המציאות. </w:t>
      </w:r>
    </w:p>
    <w:p w14:paraId="312BE638" w14:textId="4E403292" w:rsidR="009C1C5F" w:rsidRDefault="005B6162" w:rsidP="009C1C5F">
      <w:pPr>
        <w:pStyle w:val="FootnoteText"/>
      </w:pPr>
      <w:r>
        <w:rPr>
          <w:rFonts w:hint="cs"/>
          <w:rtl/>
        </w:rPr>
        <w:t xml:space="preserve">למשל אם יש פרח יפה בראש ההר, הפעולה של טיפוס על ההר קיימת כמהות בכך שיש לאדם שריר בשר שדוחף את משקלו ויש לו נפש שרוצה לראות פרחים יפים. דהיינו </w:t>
      </w:r>
      <w:r w:rsidR="00C10F00">
        <w:rPr>
          <w:rFonts w:hint="cs"/>
          <w:rtl/>
        </w:rPr>
        <w:t>'</w:t>
      </w:r>
      <w:r>
        <w:rPr>
          <w:rFonts w:hint="cs"/>
          <w:rtl/>
        </w:rPr>
        <w:t>חומר</w:t>
      </w:r>
      <w:r w:rsidR="00C10F00">
        <w:rPr>
          <w:rFonts w:hint="cs"/>
          <w:rtl/>
        </w:rPr>
        <w:t>'</w:t>
      </w:r>
      <w:r>
        <w:rPr>
          <w:rFonts w:hint="cs"/>
          <w:rtl/>
        </w:rPr>
        <w:t xml:space="preserve"> ו</w:t>
      </w:r>
      <w:r w:rsidR="00C10F00">
        <w:rPr>
          <w:rFonts w:hint="cs"/>
          <w:rtl/>
        </w:rPr>
        <w:t>'</w:t>
      </w:r>
      <w:r>
        <w:rPr>
          <w:rFonts w:hint="cs"/>
          <w:rtl/>
        </w:rPr>
        <w:t>צורה</w:t>
      </w:r>
      <w:r w:rsidR="00C10F00">
        <w:rPr>
          <w:rFonts w:hint="cs"/>
          <w:rtl/>
        </w:rPr>
        <w:t>'</w:t>
      </w:r>
      <w:r>
        <w:rPr>
          <w:rFonts w:hint="cs"/>
          <w:rtl/>
        </w:rPr>
        <w:t>. אבל עדיין אינו מטפס במציאות ב</w:t>
      </w:r>
      <w:r w:rsidR="00FD08AE">
        <w:rPr>
          <w:rFonts w:hint="cs"/>
          <w:rtl/>
        </w:rPr>
        <w:t>פ</w:t>
      </w:r>
      <w:r w:rsidR="00FD08AE" w:rsidRPr="00FD08AE">
        <w:rPr>
          <w:rtl/>
        </w:rPr>
        <w:t>וֹעַל</w:t>
      </w:r>
      <w:r>
        <w:rPr>
          <w:rFonts w:hint="cs"/>
          <w:rtl/>
        </w:rPr>
        <w:t xml:space="preserve">. אם יש פרח שנמצא בפועל בראש ההר, אז יש </w:t>
      </w:r>
      <w:r w:rsidR="00C10F00">
        <w:rPr>
          <w:rFonts w:hint="cs"/>
          <w:rtl/>
        </w:rPr>
        <w:t>'</w:t>
      </w:r>
      <w:r>
        <w:rPr>
          <w:rFonts w:hint="cs"/>
          <w:rtl/>
        </w:rPr>
        <w:t>תכלית</w:t>
      </w:r>
      <w:r w:rsidR="00C10F00">
        <w:rPr>
          <w:rFonts w:hint="cs"/>
          <w:rtl/>
        </w:rPr>
        <w:t>'</w:t>
      </w:r>
      <w:r>
        <w:rPr>
          <w:rFonts w:hint="cs"/>
          <w:rtl/>
        </w:rPr>
        <w:t xml:space="preserve"> לראות את הפרח. ונגזר מהתכלית שיהיה </w:t>
      </w:r>
      <w:r w:rsidR="00C10F00">
        <w:rPr>
          <w:rFonts w:hint="cs"/>
          <w:rtl/>
        </w:rPr>
        <w:t>'</w:t>
      </w:r>
      <w:r>
        <w:rPr>
          <w:rFonts w:hint="cs"/>
          <w:rtl/>
        </w:rPr>
        <w:t>פועל</w:t>
      </w:r>
      <w:r w:rsidR="00C10F00">
        <w:rPr>
          <w:rFonts w:hint="cs"/>
          <w:rtl/>
        </w:rPr>
        <w:t>'</w:t>
      </w:r>
      <w:r>
        <w:rPr>
          <w:rFonts w:hint="cs"/>
          <w:rtl/>
        </w:rPr>
        <w:t xml:space="preserve"> להרים את האדם לראש ההר והיינו תנועת השרי</w:t>
      </w:r>
      <w:r w:rsidR="00C10F00">
        <w:rPr>
          <w:rFonts w:hint="cs"/>
          <w:rtl/>
        </w:rPr>
        <w:t>רי</w:t>
      </w:r>
      <w:r>
        <w:rPr>
          <w:rFonts w:hint="cs"/>
          <w:rtl/>
        </w:rPr>
        <w:t>ם</w:t>
      </w:r>
      <w:r w:rsidR="00C10F00">
        <w:rPr>
          <w:rFonts w:hint="cs"/>
          <w:rtl/>
        </w:rPr>
        <w:t>. כלומר ארבעת הסיבות האריסטוטליות הן שני זוגות של סיבות, האחד הוא 'חומר וצורה' שהוא סיבות למהות, זה מה שכתב כאן אבן סינא סיבה שהיא התחלה עצמית לגוף, דהיינו מהותו. ואפשר היה גם לתרגם פנימית כמו מקגיניס דהיינו מה שפנימי לגוף והוא מהותו. הזוג השני של סיבות הוא '</w:t>
      </w:r>
      <w:r w:rsidR="008B48D7" w:rsidRPr="008B48D7">
        <w:rPr>
          <w:rtl/>
        </w:rPr>
        <w:t>פּוֹעֵל</w:t>
      </w:r>
      <w:r w:rsidR="00C10F00">
        <w:rPr>
          <w:rFonts w:hint="cs"/>
          <w:rtl/>
        </w:rPr>
        <w:t xml:space="preserve"> ותכלית' שהן סיבות למציאות הגוף, ומציאותו של הגוף היא מקרה לו, לא עניין בעצמותו אלא עניין חיצוני לו שנוסף על עצמותו. זה מה שכתב בתחילת סעיף 7, ש</w:t>
      </w:r>
      <w:r w:rsidR="009C01CE" w:rsidRPr="009C01CE">
        <w:rPr>
          <w:rtl/>
        </w:rPr>
        <w:t>הַפּוֹעֵל</w:t>
      </w:r>
      <w:r w:rsidR="00C10F00">
        <w:rPr>
          <w:rFonts w:hint="cs"/>
          <w:rtl/>
        </w:rPr>
        <w:t xml:space="preserve"> והתכלית הן התחלות </w:t>
      </w:r>
      <w:r w:rsidR="00F055C8">
        <w:rPr>
          <w:rtl/>
        </w:rPr>
        <w:t>"</w:t>
      </w:r>
      <w:r w:rsidR="00C10F00">
        <w:rPr>
          <w:rFonts w:hint="cs"/>
          <w:rtl/>
        </w:rPr>
        <w:t>נוספות</w:t>
      </w:r>
      <w:r w:rsidR="00F055C8">
        <w:rPr>
          <w:rtl/>
        </w:rPr>
        <w:t>"</w:t>
      </w:r>
      <w:r w:rsidR="00C10F00">
        <w:rPr>
          <w:rFonts w:hint="cs"/>
          <w:rtl/>
        </w:rPr>
        <w:t xml:space="preserve">. </w:t>
      </w:r>
      <w:r>
        <w:rPr>
          <w:rFonts w:hint="cs"/>
          <w:rtl/>
        </w:rPr>
        <w:t xml:space="preserve">  </w:t>
      </w:r>
    </w:p>
  </w:footnote>
  <w:footnote w:id="154">
    <w:p w14:paraId="77BB7ADC" w14:textId="309CD902" w:rsidR="00BF5810" w:rsidRDefault="00BF5810">
      <w:pPr>
        <w:pStyle w:val="FootnoteText"/>
      </w:pPr>
      <w:r>
        <w:rPr>
          <w:rStyle w:val="FootnoteReference"/>
        </w:rPr>
        <w:footnoteRef/>
      </w:r>
      <w:r>
        <w:rPr>
          <w:rtl/>
        </w:rPr>
        <w:t xml:space="preserve"> </w:t>
      </w:r>
      <w:r>
        <w:rPr>
          <w:rFonts w:hint="cs"/>
          <w:rtl/>
        </w:rPr>
        <w:t>עיין בהערה האחרונה על הסעיף הקודם.</w:t>
      </w:r>
    </w:p>
  </w:footnote>
  <w:footnote w:id="155">
    <w:p w14:paraId="205BEE49" w14:textId="157328B6" w:rsidR="00541929" w:rsidRDefault="00541929">
      <w:pPr>
        <w:pStyle w:val="FootnoteText"/>
        <w:rPr>
          <w:rtl/>
        </w:rPr>
      </w:pPr>
      <w:r>
        <w:rPr>
          <w:rStyle w:val="FootnoteReference"/>
        </w:rPr>
        <w:footnoteRef/>
      </w:r>
      <w:r>
        <w:rPr>
          <w:rtl/>
        </w:rPr>
        <w:t xml:space="preserve"> </w:t>
      </w:r>
      <w:r w:rsidR="0082166E">
        <w:rPr>
          <w:rFonts w:hint="cs"/>
          <w:rtl/>
        </w:rPr>
        <w:t>'</w:t>
      </w:r>
      <w:r>
        <w:rPr>
          <w:rFonts w:hint="cs"/>
          <w:rtl/>
        </w:rPr>
        <w:t>עצם</w:t>
      </w:r>
      <w:r w:rsidR="0082166E">
        <w:rPr>
          <w:rFonts w:hint="cs"/>
          <w:rtl/>
        </w:rPr>
        <w:t>'</w:t>
      </w:r>
      <w:r>
        <w:rPr>
          <w:rFonts w:hint="cs"/>
          <w:rtl/>
        </w:rPr>
        <w:t xml:space="preserve"> הוא מה שיש לו מציאות, כמו שכתב אריסטו במטאפיזיקה </w:t>
      </w:r>
      <w:r w:rsidR="00C94AE7">
        <w:rPr>
          <w:rFonts w:hint="cs"/>
          <w:rtl/>
        </w:rPr>
        <w:t>סוף ספר בטא</w:t>
      </w:r>
      <w:r w:rsidR="004C5548">
        <w:rPr>
          <w:rFonts w:hint="cs"/>
          <w:rtl/>
        </w:rPr>
        <w:t xml:space="preserve"> (דף 1003 מעמ' א' שורה 7</w:t>
      </w:r>
      <w:r w:rsidR="002940B7">
        <w:rPr>
          <w:rFonts w:hint="cs"/>
          <w:rtl/>
        </w:rPr>
        <w:t xml:space="preserve">, ושם </w:t>
      </w:r>
      <w:r w:rsidR="002940B7">
        <w:rPr>
          <w:rFonts w:hint="cs"/>
          <w:rtl/>
        </w:rPr>
        <w:t>מטאפיזיקה גמא פרק ב', ובתחילת מטאפיזיקה זטא</w:t>
      </w:r>
      <w:r w:rsidR="004C5548">
        <w:rPr>
          <w:rFonts w:hint="cs"/>
          <w:rtl/>
        </w:rPr>
        <w:t>)</w:t>
      </w:r>
      <w:r w:rsidR="00C94AE7">
        <w:rPr>
          <w:rFonts w:hint="cs"/>
          <w:rtl/>
        </w:rPr>
        <w:t xml:space="preserve"> שעצם הוא 'זה' (</w:t>
      </w:r>
      <w:r w:rsidR="00C94AE7">
        <w:t>this</w:t>
      </w:r>
      <w:r w:rsidR="00C94AE7">
        <w:rPr>
          <w:rFonts w:hint="cs"/>
          <w:rtl/>
        </w:rPr>
        <w:t xml:space="preserve"> בתרגום רוס) כלומר הצבעה על מה שנמצא, ולא </w:t>
      </w:r>
      <w:r w:rsidR="006272EF">
        <w:rPr>
          <w:rFonts w:hint="cs"/>
          <w:rtl/>
        </w:rPr>
        <w:t>'</w:t>
      </w:r>
      <w:r w:rsidR="00C94AE7">
        <w:rPr>
          <w:rFonts w:hint="cs"/>
          <w:rtl/>
        </w:rPr>
        <w:t>כזה</w:t>
      </w:r>
      <w:r w:rsidR="006272EF">
        <w:rPr>
          <w:rFonts w:hint="cs"/>
          <w:rtl/>
        </w:rPr>
        <w:t>'</w:t>
      </w:r>
      <w:r w:rsidR="00C94AE7">
        <w:rPr>
          <w:rFonts w:hint="cs"/>
          <w:rtl/>
        </w:rPr>
        <w:t xml:space="preserve"> (</w:t>
      </w:r>
      <w:r w:rsidR="00C94AE7">
        <w:t>such</w:t>
      </w:r>
      <w:r w:rsidR="00C94AE7">
        <w:rPr>
          <w:rFonts w:hint="cs"/>
          <w:rtl/>
        </w:rPr>
        <w:t xml:space="preserve">) </w:t>
      </w:r>
      <w:r w:rsidR="004C5548">
        <w:rPr>
          <w:rFonts w:hint="cs"/>
          <w:rtl/>
        </w:rPr>
        <w:t>כלומר הגדרת מהות בלי התייחסות לשאלת המציאות</w:t>
      </w:r>
      <w:r>
        <w:rPr>
          <w:rFonts w:hint="cs"/>
          <w:rtl/>
        </w:rPr>
        <w:t xml:space="preserve">. כשהמהות מקבלת מציאות, היא מתעצמת, כלומר נעשית 'עצם'.  </w:t>
      </w:r>
    </w:p>
    <w:p w14:paraId="0922A852" w14:textId="41494274" w:rsidR="00541929" w:rsidRDefault="00541929">
      <w:pPr>
        <w:pStyle w:val="FootnoteText"/>
        <w:rPr>
          <w:rtl/>
        </w:rPr>
      </w:pPr>
      <w:r>
        <w:rPr>
          <w:rFonts w:hint="cs"/>
          <w:rtl/>
        </w:rPr>
        <w:t>(העצם מקבל מציאות מחוץ לו כיוון שמציאותו אינה מסיבת עצמה והיא צריכה סיבה, לכן הוא מקבל את המציאות מהכרחי המציאות שרק הוא נמצא מסיבת עצמו, ולכן המציאות נחשבת מקרה לעצם ולא עניין עצמי לו. מה שעצמי לו הוא רק מהותו ולא מציאותו שאינה מוכרחת לו מכח עצמו לחוד. וכמו שכתב במורה נבוכים א' נ</w:t>
      </w:r>
      <w:r w:rsidR="00F055C8">
        <w:rPr>
          <w:rtl/>
        </w:rPr>
        <w:t>"</w:t>
      </w:r>
      <w:r>
        <w:rPr>
          <w:rFonts w:hint="cs"/>
          <w:rtl/>
        </w:rPr>
        <w:t>ז.</w:t>
      </w:r>
    </w:p>
    <w:p w14:paraId="5C69F229" w14:textId="11F25AA2" w:rsidR="00541929" w:rsidRDefault="00541929">
      <w:pPr>
        <w:pStyle w:val="FootnoteText"/>
      </w:pPr>
      <w:r>
        <w:rPr>
          <w:rFonts w:hint="cs"/>
          <w:rtl/>
        </w:rPr>
        <w:t>מה שהעצם מקבל מציאות מהבורא שהוא הכרחי המציאות, הוא באופן שהוא נכלל במציאות הבורא עצמה, הוא לא מקבל מציאות עצמאית אלא הוא כלול במציאותו של הבורא. זה מבואר במשנה תורה הלכות יסודי התורה פרק ב' הלכות ט'-י' עיין שם</w:t>
      </w:r>
      <w:r w:rsidR="00BD7F33">
        <w:rPr>
          <w:rFonts w:hint="cs"/>
          <w:rtl/>
        </w:rPr>
        <w:t xml:space="preserve"> היטב</w:t>
      </w:r>
      <w:r>
        <w:rPr>
          <w:rFonts w:hint="cs"/>
          <w:rtl/>
        </w:rPr>
        <w:t>)</w:t>
      </w:r>
    </w:p>
  </w:footnote>
  <w:footnote w:id="156">
    <w:p w14:paraId="164ACF42" w14:textId="733AC240" w:rsidR="006272EF" w:rsidRDefault="006272EF">
      <w:pPr>
        <w:pStyle w:val="FootnoteText"/>
        <w:rPr>
          <w:rtl/>
        </w:rPr>
      </w:pPr>
      <w:r>
        <w:rPr>
          <w:rStyle w:val="FootnoteReference"/>
        </w:rPr>
        <w:footnoteRef/>
      </w:r>
      <w:r>
        <w:rPr>
          <w:rtl/>
        </w:rPr>
        <w:t xml:space="preserve"> </w:t>
      </w:r>
      <w:r>
        <w:rPr>
          <w:rFonts w:hint="cs"/>
          <w:rtl/>
        </w:rPr>
        <w:t>מורה נבוכים ב' ד'</w:t>
      </w:r>
      <w:r w:rsidR="00DC31FC">
        <w:rPr>
          <w:rtl/>
        </w:rPr>
        <w:fldChar w:fldCharType="begin"/>
      </w:r>
      <w:r w:rsidR="00DC31FC">
        <w:instrText xml:space="preserve"> XE "</w:instrText>
      </w:r>
      <w:r w:rsidR="00DC31FC" w:rsidRPr="00A602C1">
        <w:rPr>
          <w:rFonts w:hint="cs"/>
          <w:rtl/>
        </w:rPr>
        <w:instrText>מורה נבוכים ב' ד'</w:instrText>
      </w:r>
      <w:r w:rsidR="00DC31FC">
        <w:instrText xml:space="preserve">" </w:instrText>
      </w:r>
      <w:r w:rsidR="00DC31FC">
        <w:rPr>
          <w:rtl/>
        </w:rPr>
        <w:fldChar w:fldCharType="end"/>
      </w:r>
      <w:r>
        <w:rPr>
          <w:rFonts w:hint="cs"/>
          <w:rtl/>
        </w:rPr>
        <w:t>:</w:t>
      </w:r>
    </w:p>
    <w:p w14:paraId="53FE53C8" w14:textId="7ACCADDD" w:rsidR="006272EF" w:rsidRDefault="00F055C8">
      <w:pPr>
        <w:pStyle w:val="FootnoteText"/>
        <w:rPr>
          <w:rtl/>
        </w:rPr>
      </w:pPr>
      <w:r>
        <w:rPr>
          <w:rtl/>
        </w:rPr>
        <w:t>"</w:t>
      </w:r>
      <w:r w:rsidR="006272EF" w:rsidRPr="006272EF">
        <w:rPr>
          <w:rtl/>
        </w:rPr>
        <w:t xml:space="preserve">והשכל העשירי, הוא </w:t>
      </w:r>
      <w:r w:rsidR="006272EF" w:rsidRPr="007D6DCA">
        <w:rPr>
          <w:b/>
          <w:bCs/>
          <w:rtl/>
        </w:rPr>
        <w:t xml:space="preserve">השכל </w:t>
      </w:r>
      <w:r w:rsidR="007D6DCA" w:rsidRPr="007D6DCA">
        <w:rPr>
          <w:b/>
          <w:bCs/>
          <w:rtl/>
        </w:rPr>
        <w:t>הַפּוֹעֵל</w:t>
      </w:r>
      <w:r w:rsidR="006272EF" w:rsidRPr="006272EF">
        <w:rPr>
          <w:rtl/>
        </w:rPr>
        <w:t xml:space="preserve">, אשר הורה עליו צאת שכלנו מן </w:t>
      </w:r>
      <w:r w:rsidR="006272EF" w:rsidRPr="006272EF">
        <w:rPr>
          <w:rtl/>
        </w:rPr>
        <w:t xml:space="preserve">הכח אל </w:t>
      </w:r>
      <w:r w:rsidR="007D6DCA" w:rsidRPr="007D6DCA">
        <w:rPr>
          <w:rtl/>
        </w:rPr>
        <w:t>הַפּוֹעַל</w:t>
      </w:r>
      <w:r w:rsidR="006272EF" w:rsidRPr="006272EF">
        <w:rPr>
          <w:rtl/>
        </w:rPr>
        <w:t xml:space="preserve">, והיות הצורות הנמצאות ההוות הנפסדות, אחר שלא היו בחמרים שלהם אלא בכח, וכל מה שיצא מן הכח אל הפועל יש לו מוציא בהכרח חוץ ממנו, וצריך שיהיה המוציא ממין המוצא, כי הנגר לא יעשה האוצר באשר הוא אומן, אבל מאשר בשכלו צורת האוצר, וצורת האוצר אשר בשכל הנגר היא אשר הוציאה צורת האוצר לפועל ושמה אותה בעץ, כן בלא ספק נותן הצורה צורה נבדלת, וממציא השכל שכל, והוא השכל </w:t>
      </w:r>
      <w:r w:rsidR="007D6DCA" w:rsidRPr="007D6DCA">
        <w:rPr>
          <w:rtl/>
        </w:rPr>
        <w:t>הַפּוֹעֵל</w:t>
      </w:r>
      <w:r w:rsidR="006272EF" w:rsidRPr="006272EF">
        <w:rPr>
          <w:rtl/>
        </w:rPr>
        <w:t>, עד שיהיה יחס השכל הפועל ליסודות ומה שיורכב מהם, יחס כל שכל נבדל המיוחד לגלגל ההוא, ויחס השכל בפועל הנמצא בנו אשר הוא משפע השכל הפועל ובו נשיג השכל הפועל, יחס שכל כל גלגל הנמצא בו אשר הוא משפע הנבדל ובו ישיג הנבדל ויציירהו ויכסוף להדמות בו ויתנועע. וימשך לו גם כן הענין אשר כבר התבאר, והוא שהשם יתברך לא יעשה הדברים בקריבה, כי כמו שהוא שורף באמצעית האש, והאש יתנועע באמצעות תנועת הגלגל, כן הגלגל גם הוא יתנועע באמצעות שכל נבדל, ויהיו השכלים הם המלאכים המתקרבים אשר באמצעותם יתנועעו הגלגלים, ומפני שא</w:t>
      </w:r>
      <w:r>
        <w:rPr>
          <w:rtl/>
        </w:rPr>
        <w:t>"</w:t>
      </w:r>
      <w:r w:rsidR="006272EF" w:rsidRPr="006272EF">
        <w:rPr>
          <w:rtl/>
        </w:rPr>
        <w:t>א בנבדלים המנין בשום פנים מצד התחלף עצמיהם, שהם לא גוף, יתחייב לפי זה אצלו, שיהיה הש</w:t>
      </w:r>
      <w:r>
        <w:rPr>
          <w:rtl/>
        </w:rPr>
        <w:t>"</w:t>
      </w:r>
      <w:r w:rsidR="006272EF" w:rsidRPr="006272EF">
        <w:rPr>
          <w:rtl/>
        </w:rPr>
        <w:t>י הוא אשר המציא השכל הראשון, אשר השכל ההוא מניע הגלגל הראשון על הצד אשר בארנו, והשכל אשר יניע הגלגל השני אמנם עלתו והתחלתו השכל הראשון, וכן עד שיהיה השכל אשר יניע הגלגל הסמוך לנו הוא עלת השכל הפועל והתחלתו, ואצלו תכלה מציאות הנבדלים, כמו שהגשמים ג</w:t>
      </w:r>
      <w:r>
        <w:rPr>
          <w:rtl/>
        </w:rPr>
        <w:t>"</w:t>
      </w:r>
      <w:r w:rsidR="006272EF" w:rsidRPr="006272EF">
        <w:rPr>
          <w:rtl/>
        </w:rPr>
        <w:t>כ יתחילו מן הגלגל העליון ויכלו אצל היסודות ומה שהורכב מהם, ולא יתכן שיהיה השכל המניע הגלגל העליון הוא המחוייב המציאות. שכבר השתתף עם השכלים האחרים בענין אחד, והוא הנעת הגשמים, ויבדל כל אחד מן האחר בענין, והיה כל אחד מן העשרה בעל שני ענינים, אם כן א</w:t>
      </w:r>
      <w:r>
        <w:rPr>
          <w:rtl/>
        </w:rPr>
        <w:t>"</w:t>
      </w:r>
      <w:r w:rsidR="006272EF" w:rsidRPr="006272EF">
        <w:rPr>
          <w:rtl/>
        </w:rPr>
        <w:t>א מבלתי סבה ראשונה לכל. זהו מאמר אריסט</w:t>
      </w:r>
      <w:r>
        <w:rPr>
          <w:rtl/>
        </w:rPr>
        <w:t>"</w:t>
      </w:r>
      <w:r w:rsidR="006272EF" w:rsidRPr="006272EF">
        <w:rPr>
          <w:rtl/>
        </w:rPr>
        <w:t>ו ודעתו על אלו הענינים מבוארים כפי שכלם בספרים הנמשכים אחריו, והעולה מדבריו כלם הוא שהגלגלים כלם גשמים חיים בעלי נפש ושכל, יציירו וישיגו התחלותיהם, ושבמציאות שכלים נפרדים לא בגשם כלל, כלם שופעים מהאל יתעלה, והם אמצעיים בין השם ובין אלו הגשמים כלם.</w:t>
      </w:r>
      <w:r>
        <w:rPr>
          <w:rtl/>
        </w:rPr>
        <w:t>"</w:t>
      </w:r>
    </w:p>
    <w:p w14:paraId="0DADF2DA" w14:textId="654A552F" w:rsidR="006272EF" w:rsidRDefault="006272EF">
      <w:pPr>
        <w:pStyle w:val="FootnoteText"/>
        <w:rPr>
          <w:rtl/>
        </w:rPr>
      </w:pPr>
    </w:p>
    <w:p w14:paraId="6FB2CA8E" w14:textId="6DE0BB39" w:rsidR="006272EF" w:rsidRDefault="006272EF">
      <w:pPr>
        <w:pStyle w:val="FootnoteText"/>
        <w:rPr>
          <w:rtl/>
        </w:rPr>
      </w:pPr>
      <w:r>
        <w:rPr>
          <w:rFonts w:hint="cs"/>
          <w:rtl/>
        </w:rPr>
        <w:t xml:space="preserve">שם </w:t>
      </w:r>
      <w:r w:rsidR="001D2F1A">
        <w:rPr>
          <w:rFonts w:hint="cs"/>
          <w:rtl/>
        </w:rPr>
        <w:t>ב' י</w:t>
      </w:r>
      <w:r w:rsidR="00F055C8">
        <w:rPr>
          <w:rtl/>
        </w:rPr>
        <w:t>"</w:t>
      </w:r>
      <w:r w:rsidR="001D2F1A">
        <w:rPr>
          <w:rFonts w:hint="cs"/>
          <w:rtl/>
        </w:rPr>
        <w:t>ב</w:t>
      </w:r>
      <w:r w:rsidR="00DC31FC">
        <w:rPr>
          <w:rtl/>
        </w:rPr>
        <w:fldChar w:fldCharType="begin"/>
      </w:r>
      <w:r w:rsidR="00DC31FC">
        <w:instrText xml:space="preserve"> XE "</w:instrText>
      </w:r>
      <w:r w:rsidR="00DC31FC" w:rsidRPr="009A1DDF">
        <w:rPr>
          <w:rFonts w:hint="cs"/>
          <w:rtl/>
        </w:rPr>
        <w:instrText>מורה נבוכים ב' י</w:instrText>
      </w:r>
      <w:r w:rsidR="00DC31FC">
        <w:rPr>
          <w:b/>
          <w:bCs/>
          <w:sz w:val="20"/>
          <w:szCs w:val="20"/>
        </w:rPr>
        <w:instrText>\</w:instrText>
      </w:r>
      <w:r w:rsidR="00DC31FC" w:rsidRPr="009A1DDF">
        <w:rPr>
          <w:rFonts w:hint="cs"/>
          <w:rtl/>
        </w:rPr>
        <w:instrText>"ב</w:instrText>
      </w:r>
      <w:r w:rsidR="00DC31FC">
        <w:instrText xml:space="preserve">" </w:instrText>
      </w:r>
      <w:r w:rsidR="00DC31FC">
        <w:rPr>
          <w:rtl/>
        </w:rPr>
        <w:fldChar w:fldCharType="end"/>
      </w:r>
      <w:r w:rsidR="001D2F1A">
        <w:rPr>
          <w:rFonts w:hint="cs"/>
          <w:rtl/>
        </w:rPr>
        <w:t>:</w:t>
      </w:r>
    </w:p>
    <w:p w14:paraId="44785FDF" w14:textId="3214AD86" w:rsidR="00AF28E1" w:rsidRDefault="00F055C8">
      <w:pPr>
        <w:pStyle w:val="FootnoteText"/>
        <w:rPr>
          <w:rtl/>
        </w:rPr>
      </w:pPr>
      <w:r>
        <w:rPr>
          <w:rtl/>
        </w:rPr>
        <w:t>"</w:t>
      </w:r>
      <w:r w:rsidR="001D2F1A" w:rsidRPr="001D2F1A">
        <w:rPr>
          <w:rtl/>
        </w:rPr>
        <w:t>אמנם מה שנמצאו ממחודשים שאינם נמשכים אחר מזג, והם הצורות כלם, א</w:t>
      </w:r>
      <w:r>
        <w:rPr>
          <w:rtl/>
        </w:rPr>
        <w:t>"</w:t>
      </w:r>
      <w:r w:rsidR="001D2F1A" w:rsidRPr="001D2F1A">
        <w:rPr>
          <w:rtl/>
        </w:rPr>
        <w:t xml:space="preserve">א להם גם כן מבלתי </w:t>
      </w:r>
      <w:r w:rsidR="007D6DCA" w:rsidRPr="007D6DCA">
        <w:rPr>
          <w:rtl/>
        </w:rPr>
        <w:t>פּוֹעֵל</w:t>
      </w:r>
      <w:r w:rsidR="007D6DCA">
        <w:rPr>
          <w:rFonts w:hint="cs"/>
          <w:rtl/>
        </w:rPr>
        <w:t>,</w:t>
      </w:r>
      <w:r w:rsidR="001D2F1A" w:rsidRPr="001D2F1A">
        <w:rPr>
          <w:rtl/>
        </w:rPr>
        <w:t xml:space="preserve"> ר</w:t>
      </w:r>
      <w:r w:rsidR="007D6DCA">
        <w:rPr>
          <w:rFonts w:hint="cs"/>
          <w:rtl/>
        </w:rPr>
        <w:t>וצה לומר</w:t>
      </w:r>
      <w:r w:rsidR="001D2F1A" w:rsidRPr="001D2F1A">
        <w:rPr>
          <w:rtl/>
        </w:rPr>
        <w:t xml:space="preserve"> נותן הצורה, והוא בלתי גשם, כי </w:t>
      </w:r>
      <w:bookmarkStart w:id="99" w:name="_Hlk95315910"/>
      <w:r w:rsidR="007D6DCA" w:rsidRPr="007D6DCA">
        <w:rPr>
          <w:rtl/>
        </w:rPr>
        <w:t>פּוֹעַל</w:t>
      </w:r>
      <w:bookmarkEnd w:id="99"/>
      <w:r w:rsidR="001D2F1A" w:rsidRPr="001D2F1A">
        <w:rPr>
          <w:rtl/>
        </w:rPr>
        <w:t xml:space="preserve"> הצורה צורה לא בחמר, כמו שהתבאר במקומותיו, וכבר העירונו על ראיית זה במה שקדם</w:t>
      </w:r>
      <w:r w:rsidR="00AF28E1">
        <w:rPr>
          <w:rFonts w:hint="cs"/>
          <w:rtl/>
        </w:rPr>
        <w:t xml:space="preserve">. </w:t>
      </w:r>
      <w:r w:rsidR="001D2F1A" w:rsidRPr="001D2F1A">
        <w:rPr>
          <w:rtl/>
        </w:rPr>
        <w:t>וממה שיבאר לך זה גם כן, כי כל מזג מקבל התוספת והחסרון והוא יתחדש ראשון ראשון, והצורות אינם כן שהם לא יתחדשו ראשון ראשון, ולזה אין תנועה בהם ואמנם יתחדשו או יפסדו בלא זמן</w:t>
      </w:r>
      <w:r w:rsidR="00AF28E1">
        <w:rPr>
          <w:rFonts w:hint="cs"/>
          <w:rtl/>
        </w:rPr>
        <w:t>;</w:t>
      </w:r>
      <w:r w:rsidR="001D2F1A" w:rsidRPr="001D2F1A">
        <w:rPr>
          <w:rtl/>
        </w:rPr>
        <w:t xml:space="preserve"> אינם אם כן מפעולת המזג, אבל המזג מכין החומר לקבל הצורה לבד, ו</w:t>
      </w:r>
      <w:r w:rsidR="00AF28E1">
        <w:rPr>
          <w:rFonts w:hint="cs"/>
          <w:rtl/>
        </w:rPr>
        <w:t>פו</w:t>
      </w:r>
      <w:r w:rsidR="007D6DCA" w:rsidRPr="007D6DCA">
        <w:rPr>
          <w:rtl/>
        </w:rPr>
        <w:t>ֹעֵל</w:t>
      </w:r>
      <w:r w:rsidR="001D2F1A" w:rsidRPr="001D2F1A">
        <w:rPr>
          <w:rtl/>
        </w:rPr>
        <w:t xml:space="preserve"> הצורה דבר לא יקבל החלוקה כי פעולתו ממינו, ולזה מבואר ש</w:t>
      </w:r>
      <w:r w:rsidR="007D6DCA" w:rsidRPr="007D6DCA">
        <w:rPr>
          <w:rtl/>
        </w:rPr>
        <w:t>פּוֹעֵל</w:t>
      </w:r>
      <w:r w:rsidR="001D2F1A" w:rsidRPr="001D2F1A">
        <w:rPr>
          <w:rtl/>
        </w:rPr>
        <w:t xml:space="preserve"> הצורה</w:t>
      </w:r>
      <w:r w:rsidR="007D6DCA">
        <w:rPr>
          <w:rFonts w:hint="cs"/>
          <w:rtl/>
        </w:rPr>
        <w:t>,</w:t>
      </w:r>
      <w:r w:rsidR="001D2F1A" w:rsidRPr="001D2F1A">
        <w:rPr>
          <w:rtl/>
        </w:rPr>
        <w:t xml:space="preserve"> רוצה לומר נותנה</w:t>
      </w:r>
      <w:r w:rsidR="007D6DCA">
        <w:rPr>
          <w:rFonts w:hint="cs"/>
          <w:rtl/>
        </w:rPr>
        <w:t>,</w:t>
      </w:r>
      <w:r w:rsidR="001D2F1A" w:rsidRPr="001D2F1A">
        <w:rPr>
          <w:rtl/>
        </w:rPr>
        <w:t xml:space="preserve"> </w:t>
      </w:r>
      <w:r w:rsidR="007D6DCA">
        <w:rPr>
          <w:rFonts w:hint="cs"/>
          <w:rtl/>
        </w:rPr>
        <w:t xml:space="preserve">[הוא] </w:t>
      </w:r>
      <w:r w:rsidR="001D2F1A" w:rsidRPr="001D2F1A">
        <w:rPr>
          <w:rtl/>
        </w:rPr>
        <w:t>צורה בהכרח</w:t>
      </w:r>
      <w:r w:rsidR="007D6DCA">
        <w:rPr>
          <w:rFonts w:hint="cs"/>
          <w:rtl/>
        </w:rPr>
        <w:t>,</w:t>
      </w:r>
      <w:r w:rsidR="001D2F1A" w:rsidRPr="001D2F1A">
        <w:rPr>
          <w:rtl/>
        </w:rPr>
        <w:t xml:space="preserve"> והיא נבדלת</w:t>
      </w:r>
      <w:r w:rsidR="00AF28E1">
        <w:rPr>
          <w:rFonts w:hint="cs"/>
          <w:rtl/>
        </w:rPr>
        <w:t>.</w:t>
      </w:r>
      <w:r w:rsidR="001D2F1A" w:rsidRPr="001D2F1A">
        <w:rPr>
          <w:rtl/>
        </w:rPr>
        <w:t xml:space="preserve"> וזה </w:t>
      </w:r>
      <w:r w:rsidR="007D6DCA" w:rsidRPr="007D6DCA">
        <w:rPr>
          <w:rtl/>
        </w:rPr>
        <w:t>הַפּוֹעֵל</w:t>
      </w:r>
      <w:r w:rsidR="001D2F1A" w:rsidRPr="001D2F1A">
        <w:rPr>
          <w:rtl/>
        </w:rPr>
        <w:t xml:space="preserve"> אשר הוא בלתי גוף מן השקר שיהיה מעשהו למה שיעשהו בערך אחד, אחר שאינו גוף </w:t>
      </w:r>
      <w:r w:rsidR="007D6DCA">
        <w:rPr>
          <w:rFonts w:hint="cs"/>
          <w:rtl/>
        </w:rPr>
        <w:t>ש</w:t>
      </w:r>
      <w:r w:rsidR="00AF28E1">
        <w:rPr>
          <w:rFonts w:hint="cs"/>
          <w:rtl/>
        </w:rPr>
        <w:t xml:space="preserve">יקרב או </w:t>
      </w:r>
      <w:r w:rsidR="001D2F1A" w:rsidRPr="001D2F1A">
        <w:rPr>
          <w:rtl/>
        </w:rPr>
        <w:t>ירחק</w:t>
      </w:r>
      <w:r w:rsidR="00AF28E1">
        <w:rPr>
          <w:rFonts w:hint="cs"/>
          <w:rtl/>
        </w:rPr>
        <w:t>,</w:t>
      </w:r>
      <w:r w:rsidR="001D2F1A" w:rsidRPr="001D2F1A">
        <w:rPr>
          <w:rtl/>
        </w:rPr>
        <w:t xml:space="preserve"> או יקרב גשם לו או ירחק ממנו, מפני שאין ערך רוחק בין הגוף ובין מה שאינו גוף, ובהכרח תהיה עלת העדר הפעולה ההיא, העדר הכנת החומר ההוא לקבלת פעולות הנבדל. </w:t>
      </w:r>
    </w:p>
    <w:p w14:paraId="5AC01842" w14:textId="34D43BD1" w:rsidR="001D2F1A" w:rsidRDefault="001D2F1A">
      <w:pPr>
        <w:pStyle w:val="FootnoteText"/>
        <w:rPr>
          <w:rtl/>
        </w:rPr>
      </w:pPr>
      <w:r w:rsidRPr="001D2F1A">
        <w:rPr>
          <w:rtl/>
        </w:rPr>
        <w:t>הנה כבר התבאר שפעולת הגשמים כפי צורתם קצתם בקצתם תחייב הכנת החמרים לקבלת פעולת מי שאינו גוף, אשר הפעולות ההם הם הצורות, וכאשר היו מעשי השכל הנפרד מבוארים גלויים במציאות, והם כל מתחדש בלתי מתחדש מגוף המזג לבד, ידענו בהכרח שזה הפועל לא יעשה בנגיעה ולא על רוחק מיוחד, מפני שאינו גשם, ויכונה לעולם פועל הנבדל בשפע על צד ההדמות בעין המים, אשר ישפיע מכל צד ואין לו צד מיוחד שימשך ממנו או ימשיך לזולתו, אבל מכלו הוא נובע ולכל הצדדים ירוה הקרובים אליו והרחוקים ממנו תמיד, כן זה השכל לא יגיע אליו כח מצד אחד ומרוחק אחד ולא יגיע כחו לזולתו ג</w:t>
      </w:r>
      <w:r w:rsidR="00F055C8">
        <w:rPr>
          <w:rtl/>
        </w:rPr>
        <w:t>"</w:t>
      </w:r>
      <w:r w:rsidRPr="001D2F1A">
        <w:rPr>
          <w:rtl/>
        </w:rPr>
        <w:t>כ מצד מיוחד ועל רוחק מיוחד ולא בעת בלתי עת, אבל פעולתו תמיד כל אשר יזדמן דבר יקבל הפועל ההוא הנמצא על התמידות, אשר יכונה בשם שפע, כן הבורא יגדל שמו כאשר התבאר שהוא בלתי גוף והתקיים שהכל פעלו ושהוא סבתו הפועלת כמו שבארנו וכמו שנבאר נאמר שהעולם נתחדש משפע הבורא ושהוא המשפיע עליו כל מה שיתחדש בו, וכן יאמר שהוא השפיע חכמתו על הנביאים, הענין כולו שאלו הפעולות פעולות בלתי גוף והוא אשר יקרא פעלו שפע, וזה השם ר</w:t>
      </w:r>
      <w:r w:rsidR="00F055C8">
        <w:rPr>
          <w:rtl/>
        </w:rPr>
        <w:t>"</w:t>
      </w:r>
      <w:r w:rsidRPr="001D2F1A">
        <w:rPr>
          <w:rtl/>
        </w:rPr>
        <w:t>ל השפע כבר התירהו לשון העברי ג</w:t>
      </w:r>
      <w:r w:rsidR="00F055C8">
        <w:rPr>
          <w:rtl/>
        </w:rPr>
        <w:t>"</w:t>
      </w:r>
      <w:r w:rsidRPr="001D2F1A">
        <w:rPr>
          <w:rtl/>
        </w:rPr>
        <w:t>כ על הבורא ית' מפני ההדמות בעין המים השופע כמו שזכרנו, מפני שלא ימצא להדמות פעולת הנבדל יותר נאה מזה הלשון רצוני לומר השפע, שלא נוכל על אמתת שם שתסכים לאמתת הענין, כי ציור פעולות הנבדל כבד מאד ככבדות ציור מציאות הנבדל, וכמו שהדמיון לא יצייר נמצא כי אם גוף או כח בגוף, כן לא יצייר הדמיון היות פעולה רק בקריבות פועל או רוחק אחד ומצד מיוחד</w:t>
      </w:r>
      <w:r w:rsidR="00F055C8">
        <w:rPr>
          <w:rtl/>
        </w:rPr>
        <w:t>"</w:t>
      </w:r>
    </w:p>
    <w:p w14:paraId="44F6CDCF" w14:textId="4B424F92" w:rsidR="001D2F1A" w:rsidRDefault="001D2F1A">
      <w:pPr>
        <w:pStyle w:val="FootnoteText"/>
        <w:rPr>
          <w:rtl/>
        </w:rPr>
      </w:pPr>
    </w:p>
    <w:p w14:paraId="49F377EB" w14:textId="43F48069" w:rsidR="001D2F1A" w:rsidRDefault="001D2F1A">
      <w:pPr>
        <w:pStyle w:val="FootnoteText"/>
        <w:rPr>
          <w:rtl/>
        </w:rPr>
      </w:pPr>
      <w:r>
        <w:rPr>
          <w:rFonts w:hint="cs"/>
          <w:rtl/>
        </w:rPr>
        <w:t>עניין השכל הפועל התבאר באריסטו ב</w:t>
      </w:r>
      <w:r w:rsidR="00F055C8">
        <w:rPr>
          <w:rtl/>
        </w:rPr>
        <w:t>"</w:t>
      </w:r>
      <w:r>
        <w:rPr>
          <w:rFonts w:hint="cs"/>
          <w:rtl/>
        </w:rPr>
        <w:t>על הנפש</w:t>
      </w:r>
      <w:r w:rsidR="00F055C8">
        <w:rPr>
          <w:rtl/>
        </w:rPr>
        <w:t>"</w:t>
      </w:r>
      <w:r>
        <w:rPr>
          <w:rFonts w:hint="cs"/>
        </w:rPr>
        <w:t xml:space="preserve"> </w:t>
      </w:r>
      <w:r>
        <w:rPr>
          <w:rFonts w:hint="cs"/>
          <w:rtl/>
        </w:rPr>
        <w:t xml:space="preserve">ג' ה', ועי' גם במטאפיזיקה למבדא סוף פרק ג' (1070א25). </w:t>
      </w:r>
      <w:r w:rsidR="00A02DF2">
        <w:rPr>
          <w:rFonts w:hint="cs"/>
          <w:rtl/>
        </w:rPr>
        <w:t xml:space="preserve">ועיין עוד מקורות בעניין השכל הפועל, וקצת ביאור בהם, בבלוג </w:t>
      </w:r>
      <w:r w:rsidR="00F055C8">
        <w:rPr>
          <w:rtl/>
        </w:rPr>
        <w:t>"</w:t>
      </w:r>
      <w:r w:rsidR="00A02DF2">
        <w:rPr>
          <w:rFonts w:hint="cs"/>
          <w:rtl/>
        </w:rPr>
        <w:t>אדם חי</w:t>
      </w:r>
      <w:r w:rsidR="00F055C8">
        <w:rPr>
          <w:rtl/>
        </w:rPr>
        <w:t>"</w:t>
      </w:r>
      <w:r w:rsidR="00A02DF2">
        <w:rPr>
          <w:rFonts w:hint="cs"/>
        </w:rPr>
        <w:t xml:space="preserve"> </w:t>
      </w:r>
      <w:hyperlink r:id="rId38" w:history="1">
        <w:r w:rsidR="00A02DF2" w:rsidRPr="00A02DF2">
          <w:rPr>
            <w:rStyle w:val="Hyperlink"/>
            <w:rFonts w:hint="cs"/>
            <w:rtl/>
          </w:rPr>
          <w:t>רשימה 26</w:t>
        </w:r>
      </w:hyperlink>
      <w:r w:rsidR="00A02DF2">
        <w:rPr>
          <w:rFonts w:hint="cs"/>
          <w:rtl/>
        </w:rPr>
        <w:t>.</w:t>
      </w:r>
    </w:p>
    <w:p w14:paraId="3F1E0B67" w14:textId="7EA8336C" w:rsidR="00441742" w:rsidRDefault="00441742">
      <w:pPr>
        <w:pStyle w:val="FootnoteText"/>
        <w:rPr>
          <w:rtl/>
        </w:rPr>
      </w:pPr>
    </w:p>
    <w:p w14:paraId="15C9C19B" w14:textId="286053E9" w:rsidR="00441742" w:rsidRDefault="00441742">
      <w:pPr>
        <w:pStyle w:val="FootnoteText"/>
      </w:pPr>
      <w:r>
        <w:rPr>
          <w:rFonts w:hint="cs"/>
          <w:rtl/>
        </w:rPr>
        <w:t>כל מה ש</w:t>
      </w:r>
      <w:r w:rsidRPr="00441742">
        <w:rPr>
          <w:rtl/>
        </w:rPr>
        <w:t>פּוֹעֵל</w:t>
      </w:r>
      <w:r>
        <w:rPr>
          <w:rFonts w:hint="cs"/>
          <w:rtl/>
        </w:rPr>
        <w:t xml:space="preserve"> בטבע הוא חזרה על היחס בין מה שהאלוה, בבחינת השכל הפועל (השכלים הנפרדים של אריסטו הם הספירות של חכמי הקבלה, והשכל הפועל הוא ספירת מלכות</w:t>
      </w:r>
      <w:r w:rsidR="004D7F79">
        <w:rPr>
          <w:rtl/>
        </w:rPr>
        <w:fldChar w:fldCharType="begin"/>
      </w:r>
      <w:r w:rsidR="004D7F79">
        <w:instrText xml:space="preserve"> XE "</w:instrText>
      </w:r>
      <w:r w:rsidR="004D7F79" w:rsidRPr="0076115B">
        <w:rPr>
          <w:rFonts w:hint="cs"/>
          <w:rtl/>
        </w:rPr>
        <w:instrText>ספירת מלכות</w:instrText>
      </w:r>
      <w:r w:rsidR="004D7F79">
        <w:instrText xml:space="preserve">" </w:instrText>
      </w:r>
      <w:r w:rsidR="004D7F79">
        <w:rPr>
          <w:rtl/>
        </w:rPr>
        <w:fldChar w:fldCharType="end"/>
      </w:r>
      <w:r>
        <w:rPr>
          <w:rFonts w:hint="cs"/>
          <w:rtl/>
        </w:rPr>
        <w:t>, כמו שכתב הרמ</w:t>
      </w:r>
      <w:r w:rsidR="00F055C8">
        <w:rPr>
          <w:rtl/>
        </w:rPr>
        <w:t>"</w:t>
      </w:r>
      <w:r>
        <w:rPr>
          <w:rFonts w:hint="cs"/>
          <w:rtl/>
        </w:rPr>
        <w:t>ק בפרדס רימונים, והוא עניין המלך שמבואר במו</w:t>
      </w:r>
      <w:r w:rsidR="00F055C8">
        <w:rPr>
          <w:rtl/>
        </w:rPr>
        <w:t>"</w:t>
      </w:r>
      <w:r>
        <w:rPr>
          <w:rFonts w:hint="cs"/>
          <w:rtl/>
        </w:rPr>
        <w:t>נ ג' נ</w:t>
      </w:r>
      <w:r w:rsidR="00F055C8">
        <w:rPr>
          <w:rtl/>
        </w:rPr>
        <w:t>"</w:t>
      </w:r>
      <w:r>
        <w:rPr>
          <w:rFonts w:hint="cs"/>
          <w:rtl/>
        </w:rPr>
        <w:t>ב), פועל את הצורות. למשל מה שהנחתום פועל את עירוב המים בקמח ופועל בכך את צורת הבצק הוא חזרה על האופן שבו השכל הפועל פועל את צורות העצמים</w:t>
      </w:r>
      <w:r w:rsidR="001C088C">
        <w:rPr>
          <w:rFonts w:hint="cs"/>
          <w:rtl/>
        </w:rPr>
        <w:t xml:space="preserve"> בבריאה</w:t>
      </w:r>
      <w:r>
        <w:rPr>
          <w:rFonts w:hint="cs"/>
          <w:rtl/>
        </w:rPr>
        <w:t xml:space="preserve">, וכן בכל דבר.  </w:t>
      </w:r>
    </w:p>
  </w:footnote>
  <w:footnote w:id="157">
    <w:p w14:paraId="3B8C51B2" w14:textId="77777777" w:rsidR="006F5EB9" w:rsidRDefault="003E68F8">
      <w:pPr>
        <w:pStyle w:val="FootnoteText"/>
        <w:rPr>
          <w:rtl/>
        </w:rPr>
      </w:pPr>
      <w:r>
        <w:rPr>
          <w:rStyle w:val="FootnoteReference"/>
        </w:rPr>
        <w:footnoteRef/>
      </w:r>
      <w:r>
        <w:rPr>
          <w:rtl/>
        </w:rPr>
        <w:t xml:space="preserve"> </w:t>
      </w:r>
      <w:r>
        <w:rPr>
          <w:rFonts w:hint="cs"/>
          <w:rtl/>
        </w:rPr>
        <w:t xml:space="preserve">יש קשר בין התכלית לצורה. בדברים מלאכותיים הצורה מוגדרת לפי התכלית. למשל צורת סכין היא החוד שבו, שמכוחו הוא יכול לחתוך. תכלית הסכין היא לחתוך, וצורת הסכין היא 'עצם שמותאם לשימוש של חיתוך'. יש כסאות בעלי שלוש רגליים או ארבע רגליים, </w:t>
      </w:r>
      <w:r w:rsidR="006F5EB9">
        <w:rPr>
          <w:rFonts w:hint="cs"/>
          <w:rtl/>
        </w:rPr>
        <w:t xml:space="preserve">עם משענת או בלי, </w:t>
      </w:r>
      <w:r>
        <w:rPr>
          <w:rFonts w:hint="cs"/>
          <w:rtl/>
        </w:rPr>
        <w:t>בתבנית שונה מאוד זה מזה</w:t>
      </w:r>
      <w:r w:rsidR="006F5EB9">
        <w:rPr>
          <w:rFonts w:hint="cs"/>
          <w:rtl/>
        </w:rPr>
        <w:t>,</w:t>
      </w:r>
      <w:r>
        <w:rPr>
          <w:rFonts w:hint="cs"/>
          <w:rtl/>
        </w:rPr>
        <w:t xml:space="preserve"> מה שמגדיר את כולם כ'כסא', </w:t>
      </w:r>
      <w:r w:rsidR="006F5EB9">
        <w:rPr>
          <w:rFonts w:hint="cs"/>
          <w:rtl/>
        </w:rPr>
        <w:t xml:space="preserve">הוא הגדרת המהות של </w:t>
      </w:r>
      <w:r w:rsidR="006F5EB9">
        <w:rPr>
          <w:rFonts w:hint="cs"/>
          <w:rtl/>
        </w:rPr>
        <w:t xml:space="preserve">כסא, צורתו, שהיא: 'עצם המותאם לשמש לישיבה', וזה נגזר מתכליתו שהיא ישיבה. </w:t>
      </w:r>
    </w:p>
    <w:p w14:paraId="5F8F5777" w14:textId="2E1AF45D" w:rsidR="003E68F8" w:rsidRDefault="006F5EB9" w:rsidP="006F5EB9">
      <w:pPr>
        <w:pStyle w:val="FootnoteText"/>
      </w:pPr>
      <w:r>
        <w:rPr>
          <w:rFonts w:hint="cs"/>
          <w:rtl/>
        </w:rPr>
        <w:t xml:space="preserve">עצם טבעי צורתו היא מה שהוא, אם הוא סוס הרי צורתו היא 'צורת הסוסיות', ותכליתו היא שתהיה מציאות בטבע של סוס כצורה מוטבעת בחומר, וכמו שהתבאר לעיל </w:t>
      </w:r>
      <w:r w:rsidR="0058534B">
        <w:rPr>
          <w:rFonts w:hint="cs"/>
          <w:rtl/>
        </w:rPr>
        <w:t xml:space="preserve">בפרק א' </w:t>
      </w:r>
      <w:r>
        <w:rPr>
          <w:rFonts w:hint="cs"/>
          <w:rtl/>
        </w:rPr>
        <w:t xml:space="preserve">שתכלית הטבע הוא גילוי האלוהות בדרך של גילוי צורות שמקורן אלוהי והן לא קיימות רק כיישות מופשטת אלא כצורה שמוטבעת בחומר.  </w:t>
      </w:r>
    </w:p>
  </w:footnote>
  <w:footnote w:id="158">
    <w:p w14:paraId="73BE1F17" w14:textId="089A1DC3" w:rsidR="00A00EE1" w:rsidRPr="00A825E9" w:rsidRDefault="00A00EE1">
      <w:pPr>
        <w:pStyle w:val="FootnoteText"/>
      </w:pPr>
      <w:r>
        <w:rPr>
          <w:rStyle w:val="FootnoteReference"/>
        </w:rPr>
        <w:footnoteRef/>
      </w:r>
      <w:r>
        <w:rPr>
          <w:rtl/>
        </w:rPr>
        <w:t xml:space="preserve"> </w:t>
      </w:r>
      <w:r w:rsidRPr="00A825E9">
        <w:rPr>
          <w:rtl/>
        </w:rPr>
        <w:t xml:space="preserve">במקור: </w:t>
      </w:r>
      <w:bookmarkStart w:id="102" w:name="_Hlk95316691"/>
      <w:r w:rsidRPr="00A825E9">
        <w:rPr>
          <w:rFonts w:ascii="Arial" w:hAnsi="Arial" w:cs="Arial" w:hint="cs"/>
          <w:rtl/>
          <w:lang w:bidi="ar-SA"/>
        </w:rPr>
        <w:t>المباديء</w:t>
      </w:r>
      <w:bookmarkEnd w:id="102"/>
      <w:r w:rsidRPr="00A825E9">
        <w:rPr>
          <w:rtl/>
          <w:lang w:bidi="ar-SA"/>
        </w:rPr>
        <w:t xml:space="preserve"> </w:t>
      </w:r>
      <w:r w:rsidR="00150C00">
        <w:rPr>
          <w:rFonts w:hint="cs"/>
          <w:rtl/>
        </w:rPr>
        <w:t xml:space="preserve">(בכתיב המקובל היום: </w:t>
      </w:r>
      <w:r w:rsidR="00150C00" w:rsidRPr="00150C00">
        <w:rPr>
          <w:rFonts w:cs="Times New Roman" w:hint="eastAsia"/>
          <w:rtl/>
          <w:lang w:bidi="ar-SA"/>
        </w:rPr>
        <w:t>المبادئ</w:t>
      </w:r>
      <w:r w:rsidR="00150C00">
        <w:rPr>
          <w:rFonts w:hint="cs"/>
          <w:rtl/>
        </w:rPr>
        <w:t xml:space="preserve">) </w:t>
      </w:r>
      <w:r w:rsidRPr="00A825E9">
        <w:rPr>
          <w:rFonts w:ascii="Arial" w:hAnsi="Arial" w:cs="Arial" w:hint="cs"/>
          <w:rtl/>
          <w:lang w:bidi="ar-SA"/>
        </w:rPr>
        <w:t>المشتركة</w:t>
      </w:r>
      <w:r w:rsidRPr="00A825E9">
        <w:rPr>
          <w:rtl/>
        </w:rPr>
        <w:t>.</w:t>
      </w:r>
      <w:r w:rsidR="00921618" w:rsidRPr="00A825E9">
        <w:rPr>
          <w:rtl/>
        </w:rPr>
        <w:t xml:space="preserve"> מה שכתוב במקור בהמשך </w:t>
      </w:r>
      <w:r w:rsidR="00921618" w:rsidRPr="00A825E9">
        <w:rPr>
          <w:rtl/>
          <w:lang w:bidi="ar-SA"/>
        </w:rPr>
        <w:t xml:space="preserve"> </w:t>
      </w:r>
      <w:r w:rsidR="00921618" w:rsidRPr="00A825E9">
        <w:rPr>
          <w:rFonts w:ascii="Arial" w:hAnsi="Arial" w:cs="Arial" w:hint="cs"/>
          <w:rtl/>
          <w:lang w:bidi="ar-SA"/>
        </w:rPr>
        <w:t>المشترك</w:t>
      </w:r>
      <w:bookmarkStart w:id="103" w:name="_Hlk95310900"/>
      <w:r w:rsidR="00921618" w:rsidRPr="00A825E9">
        <w:rPr>
          <w:rtl/>
          <w:lang w:bidi="ar-SA"/>
        </w:rPr>
        <w:t xml:space="preserve"> </w:t>
      </w:r>
      <w:r w:rsidR="00921618" w:rsidRPr="00A825E9">
        <w:rPr>
          <w:rFonts w:ascii="Arial" w:hAnsi="Arial" w:cs="Arial" w:hint="cs"/>
          <w:rtl/>
          <w:lang w:bidi="ar-SA"/>
        </w:rPr>
        <w:t>فيها</w:t>
      </w:r>
      <w:bookmarkEnd w:id="103"/>
      <w:r w:rsidR="00921618" w:rsidRPr="00A825E9">
        <w:rPr>
          <w:rtl/>
        </w:rPr>
        <w:t xml:space="preserve">, תרגם מקגיניס מילולית </w:t>
      </w:r>
      <w:r w:rsidR="00921618" w:rsidRPr="00A825E9">
        <w:t xml:space="preserve">are common </w:t>
      </w:r>
      <w:bookmarkStart w:id="104" w:name="_Hlk95310977"/>
      <w:r w:rsidR="00921618" w:rsidRPr="00A825E9">
        <w:t>to them</w:t>
      </w:r>
      <w:bookmarkEnd w:id="104"/>
      <w:r w:rsidR="00921618" w:rsidRPr="00A825E9">
        <w:rPr>
          <w:rtl/>
        </w:rPr>
        <w:t>, ולדעתי זו טעות שמקשה על הבנת התוכן, והמילה</w:t>
      </w:r>
      <w:r w:rsidR="00921618" w:rsidRPr="00A825E9">
        <w:rPr>
          <w:rtl/>
          <w:lang w:bidi="ar-SA"/>
        </w:rPr>
        <w:t xml:space="preserve"> </w:t>
      </w:r>
      <w:r w:rsidR="00921618" w:rsidRPr="00A825E9">
        <w:rPr>
          <w:rFonts w:ascii="Arial" w:hAnsi="Arial" w:cs="Arial" w:hint="cs"/>
          <w:rtl/>
          <w:lang w:bidi="ar-SA"/>
        </w:rPr>
        <w:t>فيها</w:t>
      </w:r>
      <w:r w:rsidR="00921618" w:rsidRPr="00A825E9">
        <w:rPr>
          <w:rtl/>
        </w:rPr>
        <w:t xml:space="preserve"> היא כאן במובן של </w:t>
      </w:r>
      <w:r w:rsidR="00A825E9" w:rsidRPr="00A825E9">
        <w:rPr>
          <w:rtl/>
        </w:rPr>
        <w:t>'</w:t>
      </w:r>
      <w:r w:rsidR="00921618" w:rsidRPr="00A825E9">
        <w:rPr>
          <w:rtl/>
        </w:rPr>
        <w:t>נמצא</w:t>
      </w:r>
      <w:r w:rsidR="00A825E9" w:rsidRPr="00A825E9">
        <w:rPr>
          <w:rtl/>
        </w:rPr>
        <w:t>'.</w:t>
      </w:r>
      <w:r w:rsidR="00921618" w:rsidRPr="00A825E9">
        <w:rPr>
          <w:rtl/>
        </w:rPr>
        <w:t xml:space="preserve"> </w:t>
      </w:r>
    </w:p>
  </w:footnote>
  <w:footnote w:id="159">
    <w:p w14:paraId="67C134DC" w14:textId="18B7FE7C" w:rsidR="00090FDC" w:rsidRDefault="00090FDC">
      <w:pPr>
        <w:pStyle w:val="FootnoteText"/>
      </w:pPr>
      <w:r>
        <w:rPr>
          <w:rStyle w:val="FootnoteReference"/>
        </w:rPr>
        <w:footnoteRef/>
      </w:r>
      <w:r>
        <w:rPr>
          <w:rtl/>
        </w:rPr>
        <w:t xml:space="preserve"> </w:t>
      </w:r>
      <w:r>
        <w:rPr>
          <w:rFonts w:hint="cs"/>
          <w:rtl/>
        </w:rPr>
        <w:t>מה שנמצא בפועל (</w:t>
      </w:r>
      <w:r w:rsidRPr="00090FDC">
        <w:t>actuality</w:t>
      </w:r>
      <w:r>
        <w:rPr>
          <w:rFonts w:hint="cs"/>
          <w:rtl/>
        </w:rPr>
        <w:t xml:space="preserve">) ולא רק בכח כפוטנציאל. </w:t>
      </w:r>
    </w:p>
  </w:footnote>
  <w:footnote w:id="160">
    <w:p w14:paraId="2FD85BAB" w14:textId="2DD05897" w:rsidR="00D64553" w:rsidRDefault="00D64553">
      <w:pPr>
        <w:pStyle w:val="FootnoteText"/>
        <w:rPr>
          <w:rtl/>
        </w:rPr>
      </w:pPr>
      <w:r>
        <w:rPr>
          <w:rStyle w:val="FootnoteReference"/>
        </w:rPr>
        <w:footnoteRef/>
      </w:r>
      <w:r>
        <w:rPr>
          <w:rtl/>
        </w:rPr>
        <w:t xml:space="preserve"> </w:t>
      </w:r>
      <w:r>
        <w:rPr>
          <w:rFonts w:hint="cs"/>
          <w:rtl/>
        </w:rPr>
        <w:t>עניין צורת התלת ממדיות</w:t>
      </w:r>
      <w:r w:rsidR="00625BA3">
        <w:rPr>
          <w:rFonts w:hint="cs"/>
          <w:rtl/>
        </w:rPr>
        <w:t xml:space="preserve"> (הנקראת בשפה התורנית "בוהו</w:t>
      </w:r>
      <w:r w:rsidR="008F74B7">
        <w:rPr>
          <w:rtl/>
        </w:rPr>
        <w:fldChar w:fldCharType="begin"/>
      </w:r>
      <w:r w:rsidR="008F74B7">
        <w:instrText xml:space="preserve"> XE "</w:instrText>
      </w:r>
      <w:r w:rsidR="008F74B7" w:rsidRPr="00C07C36">
        <w:rPr>
          <w:rFonts w:hint="cs"/>
          <w:rtl/>
        </w:rPr>
        <w:instrText>בוהו  = הוא צורת התלת ממדיות, ביאור יסודי</w:instrText>
      </w:r>
      <w:r w:rsidR="008F74B7">
        <w:instrText xml:space="preserve">" </w:instrText>
      </w:r>
      <w:r w:rsidR="008F74B7">
        <w:rPr>
          <w:rtl/>
        </w:rPr>
        <w:fldChar w:fldCharType="end"/>
      </w:r>
      <w:r w:rsidR="00625BA3">
        <w:rPr>
          <w:rFonts w:hint="cs"/>
          <w:rtl/>
        </w:rPr>
        <w:t>"</w:t>
      </w:r>
      <w:r w:rsidR="008F74B7">
        <w:rPr>
          <w:rFonts w:hint="cs"/>
          <w:rtl/>
        </w:rPr>
        <w:t>)</w:t>
      </w:r>
      <w:r w:rsidR="00C96227">
        <w:rPr>
          <w:rtl/>
        </w:rPr>
        <w:fldChar w:fldCharType="begin"/>
      </w:r>
      <w:r w:rsidR="00C96227">
        <w:instrText xml:space="preserve"> XE "</w:instrText>
      </w:r>
      <w:r w:rsidR="00C96227" w:rsidRPr="00773D4F">
        <w:rPr>
          <w:rFonts w:hint="cs"/>
          <w:rtl/>
        </w:rPr>
        <w:instrText>צורת התלת ממדיות - הגדרה וביאור יסודי בעניין</w:instrText>
      </w:r>
      <w:r w:rsidR="00C96227">
        <w:instrText xml:space="preserve">" </w:instrText>
      </w:r>
      <w:r w:rsidR="00C96227">
        <w:rPr>
          <w:rtl/>
        </w:rPr>
        <w:fldChar w:fldCharType="end"/>
      </w:r>
      <w:r>
        <w:rPr>
          <w:rFonts w:hint="cs"/>
          <w:rtl/>
        </w:rPr>
        <w:t xml:space="preserve"> התבאר באריכות בספר רמיזות והערות מאת אבן סינא חלק הפיזיקה </w:t>
      </w:r>
      <w:r w:rsidR="0001367D">
        <w:rPr>
          <w:rFonts w:hint="cs"/>
          <w:rtl/>
        </w:rPr>
        <w:t>בעיקר בפרקים ז</w:t>
      </w:r>
      <w:r>
        <w:rPr>
          <w:rFonts w:hint="cs"/>
          <w:rtl/>
        </w:rPr>
        <w:t>'</w:t>
      </w:r>
      <w:r w:rsidR="0001367D">
        <w:rPr>
          <w:rFonts w:hint="cs"/>
          <w:rtl/>
        </w:rPr>
        <w:t>, י</w:t>
      </w:r>
      <w:r w:rsidR="00F055C8">
        <w:rPr>
          <w:rtl/>
        </w:rPr>
        <w:t>"</w:t>
      </w:r>
      <w:r w:rsidR="0001367D">
        <w:rPr>
          <w:rFonts w:hint="cs"/>
          <w:rtl/>
        </w:rPr>
        <w:t xml:space="preserve">ב, </w:t>
      </w:r>
      <w:r w:rsidR="00585F0D">
        <w:rPr>
          <w:rFonts w:hint="cs"/>
          <w:rtl/>
        </w:rPr>
        <w:t>י</w:t>
      </w:r>
      <w:r w:rsidR="00F055C8">
        <w:rPr>
          <w:rtl/>
        </w:rPr>
        <w:t>"</w:t>
      </w:r>
      <w:r w:rsidR="00585F0D">
        <w:rPr>
          <w:rFonts w:hint="cs"/>
          <w:rtl/>
        </w:rPr>
        <w:t>ד</w:t>
      </w:r>
      <w:r>
        <w:rPr>
          <w:rFonts w:hint="cs"/>
          <w:rtl/>
        </w:rPr>
        <w:t xml:space="preserve">, ועיין שם בביאורי. </w:t>
      </w:r>
      <w:r w:rsidR="00585F0D">
        <w:rPr>
          <w:rFonts w:hint="cs"/>
          <w:rtl/>
        </w:rPr>
        <w:t>בקצרה</w:t>
      </w:r>
      <w:r w:rsidR="007526C4">
        <w:rPr>
          <w:rFonts w:hint="cs"/>
          <w:rtl/>
        </w:rPr>
        <w:t>,</w:t>
      </w:r>
      <w:r w:rsidR="00585F0D">
        <w:rPr>
          <w:rFonts w:hint="cs"/>
          <w:rtl/>
        </w:rPr>
        <w:t xml:space="preserve"> צורת התלת ממדיות היא המקום, </w:t>
      </w:r>
      <w:r w:rsidR="007526C4">
        <w:rPr>
          <w:rFonts w:hint="cs"/>
          <w:rtl/>
        </w:rPr>
        <w:t>ו</w:t>
      </w:r>
      <w:r w:rsidR="00585F0D">
        <w:rPr>
          <w:rFonts w:hint="cs"/>
          <w:rtl/>
        </w:rPr>
        <w:t xml:space="preserve">ממנה משתלשלת מציאות הגופים הארציים שיסוד מציאותם מתחיל מהמקום אותו הם תופשים. </w:t>
      </w:r>
      <w:r w:rsidR="00150C00">
        <w:rPr>
          <w:rFonts w:hint="cs"/>
          <w:rtl/>
        </w:rPr>
        <w:t>תחילת</w:t>
      </w:r>
      <w:r w:rsidR="007526C4">
        <w:rPr>
          <w:rFonts w:hint="cs"/>
          <w:rtl/>
        </w:rPr>
        <w:t xml:space="preserve"> מציאותה של צורת התלת ממדיות</w:t>
      </w:r>
      <w:r w:rsidR="00150C00">
        <w:rPr>
          <w:rFonts w:hint="cs"/>
          <w:rtl/>
        </w:rPr>
        <w:t xml:space="preserve"> </w:t>
      </w:r>
      <w:r w:rsidR="007526C4">
        <w:rPr>
          <w:rFonts w:hint="cs"/>
          <w:rtl/>
        </w:rPr>
        <w:t>היא כ</w:t>
      </w:r>
      <w:r w:rsidR="00150C00">
        <w:rPr>
          <w:rFonts w:hint="cs"/>
          <w:rtl/>
        </w:rPr>
        <w:t>חלל התלת ממדי הריק שכולל את כל המציאות הארצית לפני שהתפרטה לעצמים וצורות, ו</w:t>
      </w:r>
      <w:r w:rsidR="007526C4">
        <w:rPr>
          <w:rFonts w:hint="cs"/>
          <w:rtl/>
        </w:rPr>
        <w:t xml:space="preserve">משם </w:t>
      </w:r>
      <w:r w:rsidR="00150C00">
        <w:rPr>
          <w:rFonts w:hint="cs"/>
          <w:rtl/>
        </w:rPr>
        <w:t>היא מתפרטת לנפח של כל גוף ב</w:t>
      </w:r>
      <w:r w:rsidR="007526C4">
        <w:rPr>
          <w:rFonts w:hint="cs"/>
          <w:rtl/>
        </w:rPr>
        <w:t>פנ</w:t>
      </w:r>
      <w:r w:rsidR="00150C00">
        <w:rPr>
          <w:rFonts w:hint="cs"/>
          <w:rtl/>
        </w:rPr>
        <w:t>י</w:t>
      </w:r>
      <w:r w:rsidR="007526C4">
        <w:rPr>
          <w:rFonts w:hint="cs"/>
          <w:rtl/>
        </w:rPr>
        <w:t xml:space="preserve"> </w:t>
      </w:r>
      <w:r w:rsidR="00150C00">
        <w:rPr>
          <w:rFonts w:hint="cs"/>
          <w:rtl/>
        </w:rPr>
        <w:t>עצמו</w:t>
      </w:r>
      <w:r w:rsidR="007526C4">
        <w:rPr>
          <w:rFonts w:hint="cs"/>
          <w:rtl/>
        </w:rPr>
        <w:t xml:space="preserve"> (נפח ריק, כתיאור </w:t>
      </w:r>
      <w:r w:rsidR="007526C4">
        <w:rPr>
          <w:rFonts w:hint="cs"/>
          <w:rtl/>
        </w:rPr>
        <w:t>מתימטי בלבד)</w:t>
      </w:r>
      <w:r w:rsidR="00150C00">
        <w:rPr>
          <w:rFonts w:hint="cs"/>
          <w:rtl/>
        </w:rPr>
        <w:t xml:space="preserve">, כלומר מקומו, </w:t>
      </w:r>
      <w:r w:rsidR="007526C4">
        <w:rPr>
          <w:rFonts w:hint="cs"/>
          <w:rtl/>
        </w:rPr>
        <w:t xml:space="preserve">דהיינו </w:t>
      </w:r>
      <w:r w:rsidR="00150C00">
        <w:rPr>
          <w:rFonts w:hint="cs"/>
          <w:rtl/>
        </w:rPr>
        <w:t xml:space="preserve">מה שבין הגבולות של העצמים הגובלים בו. </w:t>
      </w:r>
      <w:r w:rsidR="00585F0D">
        <w:rPr>
          <w:rFonts w:hint="cs"/>
          <w:rtl/>
        </w:rPr>
        <w:t>זו הצורה הראשונה שחלה בחומר הראשון, עוד לפני ארבעת היסודות.</w:t>
      </w:r>
      <w:r w:rsidR="00A71DBA">
        <w:rPr>
          <w:rFonts w:hint="cs"/>
          <w:rtl/>
        </w:rPr>
        <w:t xml:space="preserve"> </w:t>
      </w:r>
    </w:p>
    <w:p w14:paraId="117D992A" w14:textId="67AC4C2D" w:rsidR="00A71DBA" w:rsidRDefault="00A71DBA">
      <w:pPr>
        <w:pStyle w:val="FootnoteText"/>
        <w:rPr>
          <w:rtl/>
        </w:rPr>
      </w:pPr>
      <w:r w:rsidRPr="00A71DBA">
        <w:rPr>
          <w:rtl/>
        </w:rPr>
        <w:t>הַפּוֹ</w:t>
      </w:r>
      <w:bookmarkStart w:id="110" w:name="_Hlk95392931"/>
      <w:r w:rsidRPr="00A71DBA">
        <w:rPr>
          <w:rtl/>
        </w:rPr>
        <w:t>עֵ</w:t>
      </w:r>
      <w:bookmarkEnd w:id="110"/>
      <w:r w:rsidRPr="00A71DBA">
        <w:rPr>
          <w:rtl/>
        </w:rPr>
        <w:t>ל</w:t>
      </w:r>
      <w:r>
        <w:rPr>
          <w:rFonts w:hint="cs"/>
          <w:rtl/>
        </w:rPr>
        <w:t xml:space="preserve"> של צורה אחת כללית זו הוא </w:t>
      </w:r>
      <w:r w:rsidRPr="00A71DBA">
        <w:rPr>
          <w:rtl/>
        </w:rPr>
        <w:t>פּוֹעֵל</w:t>
      </w:r>
      <w:r>
        <w:rPr>
          <w:rFonts w:hint="cs"/>
          <w:rtl/>
        </w:rPr>
        <w:t xml:space="preserve"> משותף לכלל המציאות, כי בצורה הזו נמצאים בכח כל שאר הנמצאים (על דרך שכל הפסלים האפשריים בתוך גודל </w:t>
      </w:r>
      <w:r w:rsidR="009C463A">
        <w:rPr>
          <w:rFonts w:hint="cs"/>
          <w:rtl/>
        </w:rPr>
        <w:t>מסוים</w:t>
      </w:r>
      <w:r>
        <w:rPr>
          <w:rFonts w:hint="cs"/>
          <w:rtl/>
        </w:rPr>
        <w:t xml:space="preserve"> נמצאים בכח בתוך גוש השיש), וממנה משתלשלת כל המציאות, כלומר על ידי מימוש והגשמת האפשרויות שטמונות בה בכח, כלומר כפוטנציאל. המשל בזה הוא גוש שיש שהאומן מגלף בו כל פעם צורה אחרת והצורות חוזרות להיות גוש ושבות לקבל צורה חדשה, וכך מתממשות כל האפשרויות לפסלים שיכולות להיות מגולפות מגוש השיש. כך הצורות ללא הרף בתנועה של התלבשות בחומר</w:t>
      </w:r>
      <w:r w:rsidR="00C25E4C">
        <w:rPr>
          <w:rFonts w:hint="cs"/>
          <w:rtl/>
        </w:rPr>
        <w:t xml:space="preserve"> </w:t>
      </w:r>
      <w:r>
        <w:rPr>
          <w:rFonts w:hint="cs"/>
          <w:rtl/>
        </w:rPr>
        <w:t xml:space="preserve">והיפרדות ממנו, </w:t>
      </w:r>
      <w:r w:rsidR="00C25E4C">
        <w:rPr>
          <w:rFonts w:hint="cs"/>
          <w:rtl/>
        </w:rPr>
        <w:t xml:space="preserve">התהוות והפסד, </w:t>
      </w:r>
      <w:r>
        <w:rPr>
          <w:rFonts w:hint="cs"/>
          <w:rtl/>
        </w:rPr>
        <w:t>וכ</w:t>
      </w:r>
      <w:r w:rsidR="00C25E4C">
        <w:rPr>
          <w:rFonts w:hint="cs"/>
          <w:rtl/>
        </w:rPr>
        <w:t>ך</w:t>
      </w:r>
      <w:r>
        <w:rPr>
          <w:rFonts w:hint="cs"/>
          <w:rtl/>
        </w:rPr>
        <w:t xml:space="preserve"> כל האפשרויות שיכולות לצאת </w:t>
      </w:r>
      <w:r w:rsidR="00C25E4C">
        <w:rPr>
          <w:rFonts w:hint="cs"/>
          <w:rtl/>
        </w:rPr>
        <w:t>אל</w:t>
      </w:r>
      <w:r>
        <w:rPr>
          <w:rFonts w:hint="cs"/>
          <w:rtl/>
        </w:rPr>
        <w:t xml:space="preserve"> ה</w:t>
      </w:r>
      <w:r w:rsidR="00C25E4C" w:rsidRPr="00C25E4C">
        <w:rPr>
          <w:rtl/>
        </w:rPr>
        <w:t>פּוֹעַל</w:t>
      </w:r>
      <w:r>
        <w:rPr>
          <w:rFonts w:hint="cs"/>
          <w:rtl/>
        </w:rPr>
        <w:t xml:space="preserve"> </w:t>
      </w:r>
      <w:r w:rsidR="00C25E4C">
        <w:rPr>
          <w:rFonts w:hint="cs"/>
          <w:rtl/>
        </w:rPr>
        <w:t xml:space="preserve">בחומר יוצאות בזו אחר זו. </w:t>
      </w:r>
      <w:r w:rsidR="00C7130B">
        <w:rPr>
          <w:rFonts w:hint="cs"/>
          <w:rtl/>
        </w:rPr>
        <w:t>ועיין בזה ברמב</w:t>
      </w:r>
      <w:r w:rsidR="00F055C8">
        <w:rPr>
          <w:rtl/>
        </w:rPr>
        <w:t>"</w:t>
      </w:r>
      <w:r w:rsidR="00C7130B">
        <w:rPr>
          <w:rFonts w:hint="cs"/>
          <w:rtl/>
        </w:rPr>
        <w:t xml:space="preserve">ן על בראשית א' א'. </w:t>
      </w:r>
    </w:p>
    <w:p w14:paraId="30D3403B" w14:textId="77777777" w:rsidR="009F6581" w:rsidRDefault="009F6581">
      <w:pPr>
        <w:pStyle w:val="FootnoteText"/>
        <w:rPr>
          <w:rtl/>
        </w:rPr>
      </w:pPr>
    </w:p>
    <w:p w14:paraId="04AE0FCF" w14:textId="24C530CD" w:rsidR="002D158E" w:rsidRDefault="002D158E">
      <w:pPr>
        <w:pStyle w:val="FootnoteText"/>
        <w:rPr>
          <w:rtl/>
        </w:rPr>
      </w:pPr>
      <w:r>
        <w:rPr>
          <w:rFonts w:hint="cs"/>
          <w:rtl/>
        </w:rPr>
        <w:t>מקגיניס כתב בהערה כאן שמה שפו</w:t>
      </w:r>
      <w:r w:rsidRPr="002D158E">
        <w:rPr>
          <w:rtl/>
        </w:rPr>
        <w:t>עֵ</w:t>
      </w:r>
      <w:r>
        <w:rPr>
          <w:rFonts w:hint="cs"/>
          <w:rtl/>
        </w:rPr>
        <w:t xml:space="preserve">ל את צורת התלת ממדיות בחומר הראשון הוא האלוה עצמו. </w:t>
      </w:r>
      <w:r w:rsidR="009F6581">
        <w:rPr>
          <w:rFonts w:hint="cs"/>
          <w:rtl/>
        </w:rPr>
        <w:t xml:space="preserve">זה לא </w:t>
      </w:r>
      <w:r w:rsidR="009C463A">
        <w:rPr>
          <w:rFonts w:hint="cs"/>
          <w:rtl/>
        </w:rPr>
        <w:t>מדויק</w:t>
      </w:r>
      <w:r>
        <w:rPr>
          <w:rFonts w:hint="cs"/>
          <w:rtl/>
        </w:rPr>
        <w:t>. האלוה פו</w:t>
      </w:r>
      <w:r w:rsidRPr="002D158E">
        <w:rPr>
          <w:rtl/>
        </w:rPr>
        <w:t>עֵ</w:t>
      </w:r>
      <w:r>
        <w:rPr>
          <w:rFonts w:hint="cs"/>
          <w:rtl/>
        </w:rPr>
        <w:t>ל בעצמו באופן ישיר את מציאות החומר הראשון</w:t>
      </w:r>
      <w:r w:rsidR="00E73C62">
        <w:rPr>
          <w:rtl/>
        </w:rPr>
        <w:fldChar w:fldCharType="begin"/>
      </w:r>
      <w:r w:rsidR="00E73C62">
        <w:instrText xml:space="preserve"> XE "</w:instrText>
      </w:r>
      <w:r w:rsidR="00E73C62" w:rsidRPr="00447736">
        <w:rPr>
          <w:rFonts w:hint="cs"/>
          <w:rtl/>
        </w:rPr>
        <w:instrText>החומר הראשון</w:instrText>
      </w:r>
      <w:r w:rsidR="00E73C62">
        <w:instrText xml:space="preserve">" </w:instrText>
      </w:r>
      <w:r w:rsidR="00E73C62">
        <w:rPr>
          <w:rtl/>
        </w:rPr>
        <w:fldChar w:fldCharType="end"/>
      </w:r>
      <w:r>
        <w:rPr>
          <w:rFonts w:hint="cs"/>
          <w:rtl/>
        </w:rPr>
        <w:t xml:space="preserve"> בלבד, ומהחומר הראשון</w:t>
      </w:r>
      <w:r w:rsidR="00E73C62">
        <w:rPr>
          <w:rtl/>
        </w:rPr>
        <w:fldChar w:fldCharType="begin"/>
      </w:r>
      <w:r w:rsidR="00E73C62">
        <w:instrText xml:space="preserve"> XE "</w:instrText>
      </w:r>
      <w:r w:rsidR="00E73C62" w:rsidRPr="009F3811">
        <w:rPr>
          <w:rFonts w:hint="cs"/>
          <w:rtl/>
        </w:rPr>
        <w:instrText>החומר הראשון כמקור המציאות</w:instrText>
      </w:r>
      <w:r w:rsidR="00E73C62">
        <w:instrText xml:space="preserve">" </w:instrText>
      </w:r>
      <w:r w:rsidR="00E73C62">
        <w:rPr>
          <w:rtl/>
        </w:rPr>
        <w:fldChar w:fldCharType="end"/>
      </w:r>
      <w:r>
        <w:rPr>
          <w:rFonts w:hint="cs"/>
          <w:rtl/>
        </w:rPr>
        <w:t xml:space="preserve"> יוצאת אל הפו</w:t>
      </w:r>
      <w:r w:rsidRPr="002D158E">
        <w:rPr>
          <w:rtl/>
        </w:rPr>
        <w:t>עַ</w:t>
      </w:r>
      <w:r>
        <w:rPr>
          <w:rFonts w:hint="cs"/>
          <w:rtl/>
        </w:rPr>
        <w:t xml:space="preserve">ל בדרך של הכרח גזירת החכמה צורת התלת ממדיות. </w:t>
      </w:r>
    </w:p>
    <w:p w14:paraId="024D8A17" w14:textId="172BA09C" w:rsidR="000B030B" w:rsidRDefault="000B030B">
      <w:pPr>
        <w:pStyle w:val="FootnoteText"/>
        <w:rPr>
          <w:rtl/>
        </w:rPr>
      </w:pPr>
      <w:r>
        <w:rPr>
          <w:rFonts w:hint="cs"/>
          <w:rtl/>
        </w:rPr>
        <w:t>עיין רמב</w:t>
      </w:r>
      <w:r w:rsidR="00F055C8">
        <w:rPr>
          <w:rtl/>
        </w:rPr>
        <w:t>"</w:t>
      </w:r>
      <w:r>
        <w:rPr>
          <w:rFonts w:hint="cs"/>
          <w:rtl/>
        </w:rPr>
        <w:t>ן על התורה א' א' שהבורא ברא רק את הנקודה הראשונית של ההיולי, הוא החומר הראשון, שאין בה ממש. היא הנקראת תוהו. צורת התלת ממדית נקראת בוהו</w:t>
      </w:r>
      <w:r w:rsidR="003F0FC7">
        <w:rPr>
          <w:rtl/>
        </w:rPr>
        <w:fldChar w:fldCharType="begin"/>
      </w:r>
      <w:r w:rsidR="003F0FC7">
        <w:instrText xml:space="preserve"> XE "</w:instrText>
      </w:r>
      <w:r w:rsidR="003F0FC7" w:rsidRPr="00B44D43">
        <w:rPr>
          <w:rFonts w:hint="cs"/>
          <w:rtl/>
        </w:rPr>
        <w:instrText>בוהו</w:instrText>
      </w:r>
      <w:r w:rsidR="003F0FC7">
        <w:instrText xml:space="preserve">" </w:instrText>
      </w:r>
      <w:r w:rsidR="003F0FC7">
        <w:rPr>
          <w:rtl/>
        </w:rPr>
        <w:fldChar w:fldCharType="end"/>
      </w:r>
      <w:r>
        <w:rPr>
          <w:rFonts w:hint="cs"/>
          <w:rtl/>
        </w:rPr>
        <w:t>. הבוהו בא ביחד עם התוהו בהכרח כיוון שתוהו בעצמו לא יכול להיות נתפש כלל. הנקודה הזו שהיא ההיולי, החומר הראשון, היא ספירת החכמה אצל חכמי הקבלה כמו שכתב ברמב</w:t>
      </w:r>
      <w:r w:rsidR="00F055C8">
        <w:rPr>
          <w:rtl/>
        </w:rPr>
        <w:t>"</w:t>
      </w:r>
      <w:r>
        <w:rPr>
          <w:rFonts w:hint="cs"/>
          <w:rtl/>
        </w:rPr>
        <w:t>ן שם, והיא אותו חלל פנוי ריק שבאמצע אור אין סוף, שכתב האר</w:t>
      </w:r>
      <w:r w:rsidR="00F055C8">
        <w:rPr>
          <w:rtl/>
        </w:rPr>
        <w:t>"</w:t>
      </w:r>
      <w:r>
        <w:rPr>
          <w:rFonts w:hint="cs"/>
          <w:rtl/>
        </w:rPr>
        <w:t>י ז</w:t>
      </w:r>
      <w:r w:rsidR="00F055C8">
        <w:rPr>
          <w:rtl/>
        </w:rPr>
        <w:t>"</w:t>
      </w:r>
      <w:r>
        <w:rPr>
          <w:rFonts w:hint="cs"/>
          <w:rtl/>
        </w:rPr>
        <w:t>ל בספר עץ חיים שער א' ענף ב'. על זה כתב המורה נבוכים א' ע</w:t>
      </w:r>
      <w:r w:rsidR="00F055C8">
        <w:rPr>
          <w:rtl/>
        </w:rPr>
        <w:t>"</w:t>
      </w:r>
      <w:r>
        <w:rPr>
          <w:rFonts w:hint="cs"/>
          <w:rtl/>
        </w:rPr>
        <w:t>ב שהאחד ברא אחד</w:t>
      </w:r>
      <w:r w:rsidR="00E04444">
        <w:rPr>
          <w:rtl/>
        </w:rPr>
        <w:fldChar w:fldCharType="begin"/>
      </w:r>
      <w:r w:rsidR="00E04444">
        <w:instrText xml:space="preserve"> XE "</w:instrText>
      </w:r>
      <w:r w:rsidR="00E04444" w:rsidRPr="004D0E54">
        <w:rPr>
          <w:rFonts w:hint="cs"/>
          <w:rtl/>
        </w:rPr>
        <w:instrText>האחד ברא אחד</w:instrText>
      </w:r>
      <w:r w:rsidR="00E04444">
        <w:instrText xml:space="preserve">" </w:instrText>
      </w:r>
      <w:r w:rsidR="00E04444">
        <w:rPr>
          <w:rtl/>
        </w:rPr>
        <w:fldChar w:fldCharType="end"/>
      </w:r>
      <w:r>
        <w:rPr>
          <w:rFonts w:hint="cs"/>
          <w:rtl/>
        </w:rPr>
        <w:t>, וכל שאר הנמצאים הם איברים של אותו אחד. האחד הוא החומר הראשון.</w:t>
      </w:r>
    </w:p>
    <w:p w14:paraId="0EFD1738" w14:textId="1C25EB4E" w:rsidR="00FD3985" w:rsidRDefault="00FD3985">
      <w:pPr>
        <w:pStyle w:val="FootnoteText"/>
        <w:rPr>
          <w:rtl/>
        </w:rPr>
      </w:pPr>
      <w:r>
        <w:rPr>
          <w:rFonts w:hint="cs"/>
          <w:rtl/>
        </w:rPr>
        <w:t>לקמן בתחילת פרק ג' (1.3.1), העתקתי את לשונו של אפלטון בטימיאוס מאת אפלטון עמ' 30 בעניין מה שהאחד ברא אחד חי</w:t>
      </w:r>
      <w:r w:rsidR="00CC2461">
        <w:rPr>
          <w:rFonts w:hint="cs"/>
          <w:rtl/>
        </w:rPr>
        <w:t>, והוספתי שם ביאור בשתי הדרכים שכותב כאן אבן סינא</w:t>
      </w:r>
      <w:r>
        <w:rPr>
          <w:rFonts w:hint="cs"/>
          <w:rtl/>
        </w:rPr>
        <w:t>.</w:t>
      </w:r>
    </w:p>
    <w:p w14:paraId="4481B685" w14:textId="78C0F827" w:rsidR="000B030B" w:rsidRDefault="000B030B">
      <w:pPr>
        <w:pStyle w:val="FootnoteText"/>
        <w:rPr>
          <w:rtl/>
        </w:rPr>
      </w:pPr>
      <w:r>
        <w:rPr>
          <w:rFonts w:hint="cs"/>
          <w:rtl/>
        </w:rPr>
        <w:t xml:space="preserve">צורת התלת ממדיות נקראת ספירת בינה, והיא קו אור אין סוף שנכנס בהכרח מייד לעיגול הפנוי ומצייר בו את הצורות </w:t>
      </w:r>
      <w:r w:rsidR="005839F0">
        <w:rPr>
          <w:rFonts w:hint="cs"/>
          <w:rtl/>
        </w:rPr>
        <w:t>ש</w:t>
      </w:r>
      <w:r>
        <w:rPr>
          <w:rFonts w:hint="cs"/>
          <w:rtl/>
        </w:rPr>
        <w:t xml:space="preserve">הן כל הנבראים שבעולם. </w:t>
      </w:r>
      <w:r w:rsidR="005839F0">
        <w:rPr>
          <w:rFonts w:hint="cs"/>
          <w:rtl/>
        </w:rPr>
        <w:t xml:space="preserve">ואמרו חכמי הקבלה שחכמה ובינה לא יכולים להיפרד כי אי אפשר לתפוש את החכמה בלי מייד לתפוש את הבינה. </w:t>
      </w:r>
    </w:p>
    <w:p w14:paraId="4B6A6830" w14:textId="1125CA8F" w:rsidR="000A7411" w:rsidRDefault="005839F0">
      <w:pPr>
        <w:pStyle w:val="FootnoteText"/>
      </w:pPr>
      <w:r>
        <w:rPr>
          <w:rFonts w:hint="cs"/>
          <w:rtl/>
        </w:rPr>
        <w:t xml:space="preserve">החכמה היא יציאת ה'יש' מהאין, והיא רק מציאות כמושג ערטילאי מופשט, לא מציאות של משהו שהוא זה שנמצא, אלא מציאות כשלעצמה. </w:t>
      </w:r>
      <w:r w:rsidR="00A816C1">
        <w:rPr>
          <w:rFonts w:hint="cs"/>
          <w:rtl/>
        </w:rPr>
        <w:t>היא התפישה המופשטת ב'גבול', שהוא לא גובל בין א' לב', אלא גבול בפני עצמו כמושג מופשט. לפי האמת סדר המציאות הוא שקודם יש יחס מופשט כיחס בלי שיש א' שמתייחס לב', ורק אחריו ובעקבותיו מתהווים הדברים שמתייחסים זה לזה. זו תפישה שתופשת את המציאות במופשט כמציאות חזקה יותר מהמציאות של מה שיש לו הגדרה והוא 'משהו', שזו התפישה שתופשת את המציאות בחומר. עיין מורה נבוכים א' כ</w:t>
      </w:r>
      <w:r w:rsidR="00F055C8">
        <w:rPr>
          <w:rtl/>
        </w:rPr>
        <w:t>"</w:t>
      </w:r>
      <w:r w:rsidR="00A816C1">
        <w:rPr>
          <w:rFonts w:hint="cs"/>
          <w:rtl/>
        </w:rPr>
        <w:t>ו, שם מ</w:t>
      </w:r>
      <w:r w:rsidR="00F055C8">
        <w:rPr>
          <w:rtl/>
        </w:rPr>
        <w:t>"</w:t>
      </w:r>
      <w:r w:rsidR="00A816C1">
        <w:rPr>
          <w:rFonts w:hint="cs"/>
          <w:rtl/>
        </w:rPr>
        <w:t>ט, ובאגרת תחיית המים שכתב שאצל החכמים המופשט יש לו מציאות יותר חזקה מהחומרי.</w:t>
      </w:r>
    </w:p>
    <w:p w14:paraId="2A209CDF" w14:textId="1950C89E" w:rsidR="0089659C" w:rsidRDefault="000A7411">
      <w:pPr>
        <w:pStyle w:val="FootnoteText"/>
        <w:rPr>
          <w:rtl/>
        </w:rPr>
      </w:pPr>
      <w:r w:rsidRPr="000A7411">
        <w:rPr>
          <w:rtl/>
        </w:rPr>
        <w:t>הגבול הוא פוטנציאל</w:t>
      </w:r>
      <w:r>
        <w:rPr>
          <w:rFonts w:hint="cs"/>
          <w:rtl/>
        </w:rPr>
        <w:t xml:space="preserve"> ('בכח')</w:t>
      </w:r>
      <w:r w:rsidRPr="000A7411">
        <w:rPr>
          <w:rtl/>
        </w:rPr>
        <w:t xml:space="preserve"> שיצויירו צורות, הוא</w:t>
      </w:r>
      <w:r>
        <w:rPr>
          <w:rFonts w:hint="cs"/>
          <w:rtl/>
        </w:rPr>
        <w:t xml:space="preserve"> </w:t>
      </w:r>
      <w:r w:rsidRPr="000A7411">
        <w:rPr>
          <w:rtl/>
        </w:rPr>
        <w:t>כמו הע</w:t>
      </w:r>
      <w:r>
        <w:rPr>
          <w:rFonts w:hint="cs"/>
          <w:rtl/>
        </w:rPr>
        <w:t>י</w:t>
      </w:r>
      <w:r w:rsidRPr="000A7411">
        <w:rPr>
          <w:rtl/>
        </w:rPr>
        <w:t>פרו</w:t>
      </w:r>
      <w:r>
        <w:rPr>
          <w:rFonts w:hint="cs"/>
          <w:rtl/>
        </w:rPr>
        <w:t>ן</w:t>
      </w:r>
      <w:r w:rsidRPr="000A7411">
        <w:rPr>
          <w:rtl/>
        </w:rPr>
        <w:t xml:space="preserve"> שיכול לצייר צורות, ולכ</w:t>
      </w:r>
      <w:r>
        <w:rPr>
          <w:rFonts w:hint="cs"/>
          <w:rtl/>
        </w:rPr>
        <w:t>ן</w:t>
      </w:r>
      <w:r w:rsidRPr="000A7411">
        <w:rPr>
          <w:rtl/>
        </w:rPr>
        <w:t xml:space="preserve"> </w:t>
      </w:r>
      <w:r>
        <w:rPr>
          <w:rFonts w:hint="cs"/>
          <w:rtl/>
        </w:rPr>
        <w:t>נקודת חודו כוללת את כל הצורות, וכולן אינן אלא מימוש אפשרות שכבר קיימת באותה נקודה</w:t>
      </w:r>
      <w:r w:rsidR="00E76C68">
        <w:rPr>
          <w:rFonts w:hint="cs"/>
          <w:rtl/>
        </w:rPr>
        <w:t>,</w:t>
      </w:r>
      <w:r w:rsidRPr="000A7411">
        <w:rPr>
          <w:rtl/>
        </w:rPr>
        <w:t xml:space="preserve"> ועדיין אין בו </w:t>
      </w:r>
      <w:r w:rsidR="00E76C68">
        <w:rPr>
          <w:rFonts w:hint="cs"/>
          <w:rtl/>
        </w:rPr>
        <w:t>בפו</w:t>
      </w:r>
      <w:r w:rsidR="00E76C68" w:rsidRPr="00E76C68">
        <w:rPr>
          <w:rtl/>
        </w:rPr>
        <w:t>עַ</w:t>
      </w:r>
      <w:r w:rsidR="00E76C68">
        <w:rPr>
          <w:rFonts w:hint="cs"/>
          <w:rtl/>
        </w:rPr>
        <w:t xml:space="preserve">ל </w:t>
      </w:r>
      <w:r w:rsidRPr="000A7411">
        <w:rPr>
          <w:rtl/>
        </w:rPr>
        <w:t>שום צורה מסויימת, ולכן אינו יכול להיות נתפש בשכל שתופש רק צורות, ומיד אנו מוכרחים לתפוש שהמציאות כשלעצמה היא מציאות של משהו, שהגבול הו</w:t>
      </w:r>
      <w:r w:rsidR="0089659C">
        <w:rPr>
          <w:rFonts w:hint="cs"/>
          <w:rtl/>
        </w:rPr>
        <w:t>א גבול של משהו, כלומר מצייר צורה או הגדרה כלשהי. כשיש 'משהו' זה כבר אחרי ספירת</w:t>
      </w:r>
      <w:r w:rsidR="004F4A2A">
        <w:rPr>
          <w:rtl/>
        </w:rPr>
        <w:fldChar w:fldCharType="begin"/>
      </w:r>
      <w:r w:rsidR="004F4A2A">
        <w:instrText xml:space="preserve"> XE "</w:instrText>
      </w:r>
      <w:r w:rsidR="004F4A2A" w:rsidRPr="00181447">
        <w:rPr>
          <w:rFonts w:hint="cs"/>
          <w:rtl/>
        </w:rPr>
        <w:instrText>ספירת כתר וספירת חכמה</w:instrText>
      </w:r>
      <w:r w:rsidR="004F4A2A">
        <w:instrText xml:space="preserve">" </w:instrText>
      </w:r>
      <w:r w:rsidR="004F4A2A">
        <w:rPr>
          <w:rtl/>
        </w:rPr>
        <w:fldChar w:fldCharType="end"/>
      </w:r>
      <w:r w:rsidR="0089659C">
        <w:rPr>
          <w:rFonts w:hint="cs"/>
          <w:rtl/>
        </w:rPr>
        <w:t xml:space="preserve"> החכמה שהיא המציאות המופשטת לפני שיש 'משהו', ולכן אע</w:t>
      </w:r>
      <w:r w:rsidR="00F055C8">
        <w:rPr>
          <w:rtl/>
        </w:rPr>
        <w:t>"</w:t>
      </w:r>
      <w:r w:rsidR="0089659C">
        <w:rPr>
          <w:rFonts w:hint="cs"/>
          <w:rtl/>
        </w:rPr>
        <w:t>פ שהמשהו עוד לא הוגדר עם התפישה שנמצא 'משהו' היא כבר השתלשלות מספירת החכמה ומקומה תחתיה והיא ספירת בינה, או ה'בוהו</w:t>
      </w:r>
      <w:r w:rsidR="003F0FC7">
        <w:rPr>
          <w:rtl/>
        </w:rPr>
        <w:fldChar w:fldCharType="begin"/>
      </w:r>
      <w:r w:rsidR="003F0FC7">
        <w:instrText xml:space="preserve"> XE "</w:instrText>
      </w:r>
      <w:r w:rsidR="003F0FC7" w:rsidRPr="00E52BF9">
        <w:rPr>
          <w:rFonts w:hint="cs"/>
          <w:rtl/>
        </w:rPr>
        <w:instrText>בוהו</w:instrText>
      </w:r>
      <w:r w:rsidR="003F0FC7">
        <w:instrText xml:space="preserve">" </w:instrText>
      </w:r>
      <w:r w:rsidR="003F0FC7">
        <w:rPr>
          <w:rtl/>
        </w:rPr>
        <w:fldChar w:fldCharType="end"/>
      </w:r>
      <w:r w:rsidR="0089659C">
        <w:rPr>
          <w:rFonts w:hint="cs"/>
          <w:rtl/>
        </w:rPr>
        <w:t>'.</w:t>
      </w:r>
    </w:p>
    <w:p w14:paraId="1DFCDB3E" w14:textId="1D18A440" w:rsidR="005839F0" w:rsidRDefault="0089659C">
      <w:pPr>
        <w:pStyle w:val="FootnoteText"/>
        <w:rPr>
          <w:rtl/>
        </w:rPr>
      </w:pPr>
      <w:r>
        <w:rPr>
          <w:rFonts w:hint="cs"/>
          <w:rtl/>
        </w:rPr>
        <w:t>לכן מה שפו</w:t>
      </w:r>
      <w:r w:rsidRPr="0089659C">
        <w:rPr>
          <w:rtl/>
        </w:rPr>
        <w:t>עֵ</w:t>
      </w:r>
      <w:r>
        <w:rPr>
          <w:rFonts w:hint="cs"/>
          <w:rtl/>
        </w:rPr>
        <w:t>ל את מציאותה של הצורה התלת ממדית הוא החומר הראשון, כלומר היא</w:t>
      </w:r>
      <w:r w:rsidR="00BD140E">
        <w:rPr>
          <w:rFonts w:hint="cs"/>
          <w:rtl/>
        </w:rPr>
        <w:t xml:space="preserve"> נובעת ממנו</w:t>
      </w:r>
      <w:r>
        <w:rPr>
          <w:rFonts w:hint="cs"/>
          <w:rtl/>
        </w:rPr>
        <w:t xml:space="preserve"> </w:t>
      </w:r>
      <w:r w:rsidR="00BD140E">
        <w:rPr>
          <w:rFonts w:hint="cs"/>
          <w:rtl/>
        </w:rPr>
        <w:t xml:space="preserve">לא באופן ישיר, על ידי רצונו החופשי (רצונו החופשי הוא אחד וברא אחד בלבד שהוא החומר הראשון), אלא היא מתהווה מהחומר הראשון על ידי </w:t>
      </w:r>
      <w:r>
        <w:rPr>
          <w:rFonts w:hint="cs"/>
          <w:rtl/>
        </w:rPr>
        <w:t>ה</w:t>
      </w:r>
      <w:r w:rsidR="00BD140E">
        <w:rPr>
          <w:rFonts w:hint="cs"/>
          <w:rtl/>
        </w:rPr>
        <w:t>ה</w:t>
      </w:r>
      <w:r>
        <w:rPr>
          <w:rFonts w:hint="cs"/>
          <w:rtl/>
        </w:rPr>
        <w:t xml:space="preserve">כרח של גזירת השכל (שהוא ספירת חכמה שהיא הדעה שתיאר במורה נבוכים </w:t>
      </w:r>
      <w:r w:rsidR="00BD140E">
        <w:rPr>
          <w:rFonts w:hint="cs"/>
          <w:rtl/>
        </w:rPr>
        <w:t xml:space="preserve">חלק ב' </w:t>
      </w:r>
      <w:r>
        <w:rPr>
          <w:rFonts w:hint="cs"/>
          <w:rtl/>
        </w:rPr>
        <w:t>כשיטת קדמות העולם (ושיטת חידוש העולם היא ספירת כתר, דהיינו הרצון החופשי, שהוא מעל החכמה, ואע</w:t>
      </w:r>
      <w:r w:rsidR="00F055C8">
        <w:rPr>
          <w:rtl/>
        </w:rPr>
        <w:t>"</w:t>
      </w:r>
      <w:r>
        <w:rPr>
          <w:rFonts w:hint="cs"/>
          <w:rtl/>
        </w:rPr>
        <w:t>פ שהרצון החופשי וגזירת ההכרח השכלי סותרים</w:t>
      </w:r>
      <w:r w:rsidR="00BD140E">
        <w:rPr>
          <w:rFonts w:hint="cs"/>
          <w:rtl/>
        </w:rPr>
        <w:t xml:space="preserve"> -</w:t>
      </w:r>
      <w:r>
        <w:rPr>
          <w:rFonts w:hint="cs"/>
          <w:rtl/>
        </w:rPr>
        <w:t xml:space="preserve"> שניהם אמת</w:t>
      </w:r>
      <w:r w:rsidR="00BD140E">
        <w:rPr>
          <w:rFonts w:hint="cs"/>
          <w:rtl/>
        </w:rPr>
        <w:t>, ולכן הספק ביניהם הוא מעמד שכלי</w:t>
      </w:r>
      <w:r w:rsidR="00FC3220">
        <w:rPr>
          <w:rtl/>
        </w:rPr>
        <w:fldChar w:fldCharType="begin"/>
      </w:r>
      <w:r w:rsidR="00FC3220">
        <w:instrText xml:space="preserve"> XE "</w:instrText>
      </w:r>
      <w:r w:rsidR="00FC3220" w:rsidRPr="00A14B29">
        <w:rPr>
          <w:rFonts w:hint="cs"/>
          <w:rtl/>
        </w:rPr>
        <w:instrText>מעמד שכלי</w:instrText>
      </w:r>
      <w:r w:rsidR="00FC3220">
        <w:instrText xml:space="preserve">" </w:instrText>
      </w:r>
      <w:r w:rsidR="00FC3220">
        <w:rPr>
          <w:rtl/>
        </w:rPr>
        <w:fldChar w:fldCharType="end"/>
      </w:r>
      <w:r w:rsidR="00BD140E">
        <w:rPr>
          <w:rFonts w:hint="cs"/>
          <w:rtl/>
        </w:rPr>
        <w:t>, כלומר לא תיתכן בו הכרעה.</w:t>
      </w:r>
      <w:r>
        <w:rPr>
          <w:rFonts w:hint="cs"/>
          <w:rtl/>
        </w:rPr>
        <w:t xml:space="preserve">))  </w:t>
      </w:r>
    </w:p>
    <w:p w14:paraId="5A27F43A" w14:textId="49D13A4C" w:rsidR="00032339" w:rsidRDefault="00032339">
      <w:pPr>
        <w:pStyle w:val="FootnoteText"/>
        <w:rPr>
          <w:rtl/>
        </w:rPr>
      </w:pPr>
    </w:p>
    <w:p w14:paraId="7AB65EA8" w14:textId="2B0B64CF" w:rsidR="00032339" w:rsidRDefault="00032339">
      <w:pPr>
        <w:pStyle w:val="FootnoteText"/>
        <w:rPr>
          <w:rtl/>
        </w:rPr>
      </w:pPr>
      <w:r>
        <w:rPr>
          <w:rFonts w:hint="cs"/>
          <w:rtl/>
        </w:rPr>
        <w:t>כתב במורה נבוכים א' ס</w:t>
      </w:r>
      <w:r w:rsidR="00F055C8">
        <w:rPr>
          <w:rtl/>
        </w:rPr>
        <w:t>"</w:t>
      </w:r>
      <w:r>
        <w:rPr>
          <w:rFonts w:hint="cs"/>
          <w:rtl/>
        </w:rPr>
        <w:t>ט</w:t>
      </w:r>
      <w:r w:rsidR="00B63B15">
        <w:rPr>
          <w:rtl/>
        </w:rPr>
        <w:fldChar w:fldCharType="begin"/>
      </w:r>
      <w:r w:rsidR="00B63B15">
        <w:instrText xml:space="preserve"> XE "</w:instrText>
      </w:r>
      <w:r w:rsidR="00B63B15" w:rsidRPr="002A76CE">
        <w:rPr>
          <w:rFonts w:hint="cs"/>
          <w:rtl/>
        </w:rPr>
        <w:instrText>מורה נבוכים א' ס</w:instrText>
      </w:r>
      <w:r w:rsidR="00B63B15">
        <w:rPr>
          <w:b/>
          <w:bCs/>
          <w:sz w:val="20"/>
          <w:szCs w:val="20"/>
        </w:rPr>
        <w:instrText>\</w:instrText>
      </w:r>
      <w:r w:rsidR="00B63B15" w:rsidRPr="002A76CE">
        <w:rPr>
          <w:rFonts w:hint="cs"/>
          <w:rtl/>
        </w:rPr>
        <w:instrText>"ט</w:instrText>
      </w:r>
      <w:r w:rsidR="00B63B15">
        <w:instrText xml:space="preserve">" </w:instrText>
      </w:r>
      <w:r w:rsidR="00B63B15">
        <w:rPr>
          <w:rtl/>
        </w:rPr>
        <w:fldChar w:fldCharType="end"/>
      </w:r>
      <w:r>
        <w:rPr>
          <w:rFonts w:hint="cs"/>
          <w:rtl/>
        </w:rPr>
        <w:t>:</w:t>
      </w:r>
    </w:p>
    <w:p w14:paraId="45941831" w14:textId="48A81450" w:rsidR="00032339" w:rsidRDefault="00F055C8">
      <w:pPr>
        <w:pStyle w:val="FootnoteText"/>
        <w:rPr>
          <w:rtl/>
        </w:rPr>
      </w:pPr>
      <w:r>
        <w:rPr>
          <w:rtl/>
        </w:rPr>
        <w:t>"</w:t>
      </w:r>
      <w:r w:rsidR="00032339" w:rsidRPr="00032339">
        <w:rPr>
          <w:rtl/>
        </w:rPr>
        <w:t>וכן הצורות הטבעיות ההוות הנפסדות נמצאם כשנחפשם כולם שאי אפשר שלא תקדם להם צורה אחרת תכין החומר הזה לקבלת זו הצורה</w:t>
      </w:r>
      <w:r w:rsidR="00032339">
        <w:rPr>
          <w:rFonts w:hint="cs"/>
          <w:rtl/>
        </w:rPr>
        <w:t>,</w:t>
      </w:r>
      <w:r w:rsidR="00032339" w:rsidRPr="00032339">
        <w:rPr>
          <w:rtl/>
        </w:rPr>
        <w:t xml:space="preserve"> והצורה השנית ההיא תקדם לה גם כן אחרת</w:t>
      </w:r>
      <w:r w:rsidR="00032339">
        <w:rPr>
          <w:rFonts w:hint="cs"/>
          <w:rtl/>
        </w:rPr>
        <w:t>,</w:t>
      </w:r>
      <w:r w:rsidR="00032339" w:rsidRPr="00032339">
        <w:rPr>
          <w:rtl/>
        </w:rPr>
        <w:t xml:space="preserve"> עד שנגיע לצורה האחרונה אשר היא הכרחית במציאות אלו הצורות האמצעיות</w:t>
      </w:r>
      <w:r w:rsidR="00032339">
        <w:rPr>
          <w:rFonts w:hint="cs"/>
          <w:rtl/>
        </w:rPr>
        <w:t>,</w:t>
      </w:r>
      <w:r w:rsidR="00032339" w:rsidRPr="00032339">
        <w:rPr>
          <w:rtl/>
        </w:rPr>
        <w:t xml:space="preserve"> אשר האמצעיות ההם הם סיבת זאת הצורה הקרובה - והצורה האחרונה ההיא בכל המציאות הוא האלוה ית'</w:t>
      </w:r>
      <w:r w:rsidR="00032339">
        <w:rPr>
          <w:rFonts w:hint="cs"/>
          <w:rtl/>
        </w:rPr>
        <w:t>.</w:t>
      </w:r>
      <w:r w:rsidR="00032339" w:rsidRPr="00032339">
        <w:rPr>
          <w:rtl/>
        </w:rPr>
        <w:t xml:space="preserve"> </w:t>
      </w:r>
    </w:p>
    <w:p w14:paraId="3B5F5F96" w14:textId="160773A1" w:rsidR="004B117B" w:rsidRDefault="00032339">
      <w:pPr>
        <w:pStyle w:val="FootnoteText"/>
        <w:rPr>
          <w:rtl/>
        </w:rPr>
      </w:pPr>
      <w:r w:rsidRPr="00032339">
        <w:rPr>
          <w:rtl/>
        </w:rPr>
        <w:t>ולא תחשוב שאמ</w:t>
      </w:r>
      <w:r w:rsidR="004B117B" w:rsidRPr="004B117B">
        <w:rPr>
          <w:rtl/>
        </w:rPr>
        <w:t>רֵ</w:t>
      </w:r>
      <w:r w:rsidRPr="00032339">
        <w:rPr>
          <w:rtl/>
        </w:rPr>
        <w:t xml:space="preserve">נו בו שהוא </w:t>
      </w:r>
      <w:r w:rsidR="00F055C8">
        <w:rPr>
          <w:rtl/>
        </w:rPr>
        <w:t>"</w:t>
      </w:r>
      <w:r w:rsidRPr="00032339">
        <w:rPr>
          <w:rtl/>
        </w:rPr>
        <w:t>הצורה האחרונה לכל העולם</w:t>
      </w:r>
      <w:r w:rsidR="00F055C8">
        <w:rPr>
          <w:rtl/>
        </w:rPr>
        <w:t>"</w:t>
      </w:r>
      <w:r>
        <w:rPr>
          <w:rFonts w:hint="cs"/>
          <w:rtl/>
        </w:rPr>
        <w:t>,</w:t>
      </w:r>
      <w:r w:rsidRPr="00032339">
        <w:rPr>
          <w:rtl/>
        </w:rPr>
        <w:t xml:space="preserve"> הוא רמז לצורה האחרונה אשר יאמר אריסטו עליה בספר הנקרא </w:t>
      </w:r>
      <w:r w:rsidR="00F055C8">
        <w:rPr>
          <w:rtl/>
        </w:rPr>
        <w:t>"</w:t>
      </w:r>
      <w:r w:rsidRPr="00032339">
        <w:rPr>
          <w:rtl/>
        </w:rPr>
        <w:t>מה שאחר הטבע</w:t>
      </w:r>
      <w:r w:rsidR="00F055C8">
        <w:rPr>
          <w:rtl/>
        </w:rPr>
        <w:t>"</w:t>
      </w:r>
      <w:r w:rsidRPr="00032339">
        <w:rPr>
          <w:rtl/>
        </w:rPr>
        <w:t xml:space="preserve"> שהיא בלתי ה</w:t>
      </w:r>
      <w:r w:rsidR="004B117B">
        <w:rPr>
          <w:rFonts w:hint="cs"/>
          <w:rtl/>
        </w:rPr>
        <w:t>ו</w:t>
      </w:r>
      <w:r w:rsidRPr="00032339">
        <w:rPr>
          <w:rtl/>
        </w:rPr>
        <w:t xml:space="preserve">וה ולא נפסדת - כי הצורה ההיא הנזכרת שם טבעית לא שכל נפרד. כי אין אמרנו עליו ית' שהוא צורת העולם האחרונה על דמיון היות הצורה בעלת החומר צורה לחומר ההוא עד שיהיה הוא ית' צורה לגשם. לא על אלו הפנים נאמר! </w:t>
      </w:r>
    </w:p>
    <w:p w14:paraId="3C09F261" w14:textId="0AF1E162" w:rsidR="00032339" w:rsidRDefault="00032339">
      <w:pPr>
        <w:pStyle w:val="FootnoteText"/>
        <w:rPr>
          <w:rtl/>
        </w:rPr>
      </w:pPr>
      <w:r w:rsidRPr="00032339">
        <w:rPr>
          <w:rtl/>
        </w:rPr>
        <w:t>אבל כמו שכל נמצא בעל צורה אמנם הוא מה שהוא בצורתו וכשתפסד צורתו תפסד הויתו ותבטל</w:t>
      </w:r>
      <w:r w:rsidR="004B117B">
        <w:rPr>
          <w:rFonts w:hint="cs"/>
          <w:rtl/>
        </w:rPr>
        <w:t>,</w:t>
      </w:r>
      <w:r w:rsidRPr="00032339">
        <w:rPr>
          <w:rtl/>
        </w:rPr>
        <w:t xml:space="preserve"> כן כמו זה היחס בעצמו יחס האלוה לכל התחלות המציאות הרחוקות; כי במציאות הבורא - הכל נמצא והוא מתמיד עמידתו בענין אשר יכונה ב'שפע' כמו שנבאר בקצת פרקי זה המאמר; ואילו היה אפשר העדר הבורא היה נעדר המציאות כולו ותבטל מהות הסיבות הרחוקות ממנו והמסובבות האחרונות ומה שביניהן. אם כן הוא לו כדמות הצורה לדבר אשר יש לו צורה אשר בה הוא מה שהוא ובצורה תתקים אמיתתו ומהותו - כן יחס האלוה לעולם. ובזה הצד נאמר בו שהוא ה</w:t>
      </w:r>
      <w:r w:rsidR="004B117B">
        <w:rPr>
          <w:rFonts w:hint="cs"/>
          <w:rtl/>
        </w:rPr>
        <w:t>'</w:t>
      </w:r>
      <w:r w:rsidRPr="00032339">
        <w:rPr>
          <w:rtl/>
        </w:rPr>
        <w:t>צורה האחרונה' ושהוא 'צורת הצורות' - כלומר שהוא אשר מציאות כל צורה בעולם וקיומה נסמך באחרונה אליו ובו קיומה כמו שהדברים בעלי הצורות מתקיימים בצורתם. ומפני זה הענין נקרא בלשוננו '</w:t>
      </w:r>
      <w:r w:rsidR="004B117B" w:rsidRPr="004B117B">
        <w:rPr>
          <w:rtl/>
        </w:rPr>
        <w:t>חֵ</w:t>
      </w:r>
      <w:r w:rsidRPr="00032339">
        <w:rPr>
          <w:rtl/>
        </w:rPr>
        <w:t>י העולם' - ענינו שהוא חיי העולם כמו שיתבאר:</w:t>
      </w:r>
      <w:r w:rsidR="00F055C8">
        <w:rPr>
          <w:rtl/>
        </w:rPr>
        <w:t>"</w:t>
      </w:r>
    </w:p>
    <w:p w14:paraId="15031698" w14:textId="1111560A" w:rsidR="00BC45FB" w:rsidRDefault="004B117B">
      <w:pPr>
        <w:pStyle w:val="FootnoteText"/>
        <w:rPr>
          <w:rtl/>
        </w:rPr>
      </w:pPr>
      <w:r>
        <w:rPr>
          <w:rFonts w:hint="cs"/>
          <w:rtl/>
        </w:rPr>
        <w:t>הרמב</w:t>
      </w:r>
      <w:r w:rsidR="00F055C8">
        <w:rPr>
          <w:rtl/>
        </w:rPr>
        <w:t>"</w:t>
      </w:r>
      <w:r>
        <w:rPr>
          <w:rFonts w:hint="cs"/>
          <w:rtl/>
        </w:rPr>
        <w:t>ם מפרש את אריסטו ואומר שמה שדיבר עליו אריסטו כ</w:t>
      </w:r>
      <w:r w:rsidR="00BC45FB">
        <w:rPr>
          <w:rFonts w:hint="cs"/>
          <w:rtl/>
        </w:rPr>
        <w:t>'</w:t>
      </w:r>
      <w:r>
        <w:rPr>
          <w:rFonts w:hint="cs"/>
          <w:rtl/>
        </w:rPr>
        <w:t>צור</w:t>
      </w:r>
      <w:r w:rsidR="00BC45FB">
        <w:rPr>
          <w:rFonts w:hint="cs"/>
          <w:rtl/>
        </w:rPr>
        <w:t xml:space="preserve">ה האחרונה' שהיא ההתחלה הראשונה של שלשלת כל הצורות, היא צורה טבעית, ולא האלוה עצמו. הצורה הטבעית שאריסטו דיבר עליה היא החומר הראשון שהיא הצורה הראשונה שממנה מתחילה מציאות העולם. הבורא ברא את החומר הראשון. </w:t>
      </w:r>
    </w:p>
    <w:p w14:paraId="565594EE" w14:textId="6BA065E8" w:rsidR="004942F8" w:rsidRDefault="00BC45FB">
      <w:pPr>
        <w:pStyle w:val="FootnoteText"/>
        <w:rPr>
          <w:rtl/>
        </w:rPr>
      </w:pPr>
      <w:r>
        <w:rPr>
          <w:rFonts w:hint="cs"/>
          <w:rtl/>
        </w:rPr>
        <w:t>יש הבדל גדול בין אופן בריאת הבורא את החומר הראשון ובין מה שמשתלשלות מהחומר הראשון כל צורות הנבראים. החומר הראשון נברא מהרצון האלוהי החופשי באופן ישיר</w:t>
      </w:r>
      <w:r w:rsidR="004942F8">
        <w:rPr>
          <w:rFonts w:hint="cs"/>
          <w:rtl/>
        </w:rPr>
        <w:t>, בלי שום עניין שכלי</w:t>
      </w:r>
      <w:r>
        <w:rPr>
          <w:rFonts w:hint="cs"/>
          <w:rtl/>
        </w:rPr>
        <w:t>. בריאה כזו לא מעידה מאומה על בוראה, כי הרצון הראשון הוא מעל ספירת</w:t>
      </w:r>
      <w:r w:rsidR="004F4A2A">
        <w:rPr>
          <w:rFonts w:hint="cs"/>
          <w:rtl/>
        </w:rPr>
        <w:t xml:space="preserve"> </w:t>
      </w:r>
      <w:r>
        <w:rPr>
          <w:rFonts w:hint="cs"/>
          <w:rtl/>
        </w:rPr>
        <w:t>חכמה, הוא מעל השכל (עיין ביאורו במורה נבוכים ב' י</w:t>
      </w:r>
      <w:r w:rsidR="00F055C8">
        <w:rPr>
          <w:rtl/>
        </w:rPr>
        <w:t>"</w:t>
      </w:r>
      <w:r>
        <w:rPr>
          <w:rFonts w:hint="cs"/>
          <w:rtl/>
        </w:rPr>
        <w:t>ח, והוא הרצון הראשון שמדבר עליו אריסטו במטאפיזיקה למבדא</w:t>
      </w:r>
      <w:r w:rsidR="00544693">
        <w:rPr>
          <w:rFonts w:hint="cs"/>
          <w:rtl/>
        </w:rPr>
        <w:t xml:space="preserve"> פרק ז' (1072א - סעיף 3 במהד' רות)</w:t>
      </w:r>
      <w:r>
        <w:rPr>
          <w:rFonts w:hint="cs"/>
          <w:rtl/>
        </w:rPr>
        <w:t>.</w:t>
      </w:r>
      <w:r w:rsidR="004942F8">
        <w:rPr>
          <w:rFonts w:hint="cs"/>
          <w:rtl/>
        </w:rPr>
        <w:t xml:space="preserve"> שם נמצא שורש הסוד של מעשה מרכבה</w:t>
      </w:r>
      <w:r w:rsidR="00D13CEC">
        <w:rPr>
          <w:rtl/>
        </w:rPr>
        <w:fldChar w:fldCharType="begin"/>
      </w:r>
      <w:r w:rsidR="00D13CEC">
        <w:instrText xml:space="preserve"> XE "</w:instrText>
      </w:r>
      <w:r w:rsidR="00D13CEC" w:rsidRPr="003B6A52">
        <w:rPr>
          <w:rFonts w:hint="cs"/>
          <w:rtl/>
        </w:rPr>
        <w:instrText>מעשה מרכבה</w:instrText>
      </w:r>
      <w:r w:rsidR="00D13CEC">
        <w:instrText xml:space="preserve">" </w:instrText>
      </w:r>
      <w:r w:rsidR="00D13CEC">
        <w:rPr>
          <w:rtl/>
        </w:rPr>
        <w:fldChar w:fldCharType="end"/>
      </w:r>
      <w:r w:rsidR="004942F8">
        <w:rPr>
          <w:rFonts w:hint="cs"/>
          <w:rtl/>
        </w:rPr>
        <w:t xml:space="preserve"> והוא השאלה איך מהכרחי המציאות המופשט המוחלט שהוא אחד פשוט מכל צד בלי מורכבות כלל נובעת סופיות שיש בה גבול וריבוי ושינוי. הבריאה הראשונה הזו </w:t>
      </w:r>
      <w:r w:rsidR="00D94AB6">
        <w:rPr>
          <w:rFonts w:hint="cs"/>
          <w:rtl/>
        </w:rPr>
        <w:t xml:space="preserve">רק </w:t>
      </w:r>
      <w:r w:rsidR="004942F8">
        <w:rPr>
          <w:rFonts w:hint="cs"/>
          <w:rtl/>
        </w:rPr>
        <w:t>היא רצון פשוט שאין בו הגדרה והיא נעלמת משכלנו כמו שהאלוה המופשט לחלוטין נעלם, והיא אחת והאחד ברא אחד, כי אינו יכול לברוא שניים כי אז ישלוט בו עצמו ריבוי, שהוא עצמו ברא א' והוא עצמו ברא ב' והרי יש בו שני עניי</w:t>
      </w:r>
      <w:r w:rsidR="00BF740D">
        <w:rPr>
          <w:rFonts w:hint="cs"/>
          <w:rtl/>
        </w:rPr>
        <w:t>ני</w:t>
      </w:r>
      <w:r w:rsidR="004942F8">
        <w:rPr>
          <w:rFonts w:hint="cs"/>
          <w:rtl/>
        </w:rPr>
        <w:t>ם וזו מורכב</w:t>
      </w:r>
      <w:r w:rsidR="00BF740D">
        <w:rPr>
          <w:rFonts w:hint="cs"/>
          <w:rtl/>
        </w:rPr>
        <w:t>ו</w:t>
      </w:r>
      <w:r w:rsidR="004942F8">
        <w:rPr>
          <w:rFonts w:hint="cs"/>
          <w:rtl/>
        </w:rPr>
        <w:t xml:space="preserve">ת. </w:t>
      </w:r>
    </w:p>
    <w:p w14:paraId="7D62CCF2" w14:textId="453912FF" w:rsidR="00D94AB6" w:rsidRDefault="00D94AB6">
      <w:pPr>
        <w:pStyle w:val="FootnoteText"/>
        <w:rPr>
          <w:rtl/>
        </w:rPr>
      </w:pPr>
      <w:r>
        <w:rPr>
          <w:rFonts w:hint="cs"/>
          <w:rtl/>
        </w:rPr>
        <w:t xml:space="preserve">אריסטו לא מדבר על הבריאה הראשונה מהרצון החופשי, אלא על השתלשלות הנבראים מכח הכרח גזירת השכל, שזו התהוות כל הנבראים מלבד החומר הראשון, והחוליה הראשונה בזה הוא החומר הראשון ולא האלוה עצמו המופשט לחלוטין.  </w:t>
      </w:r>
    </w:p>
    <w:p w14:paraId="3F43CD0C" w14:textId="20544C71" w:rsidR="00032339" w:rsidRDefault="00032339" w:rsidP="00D94AB6">
      <w:pPr>
        <w:pStyle w:val="FootnoteText"/>
      </w:pPr>
    </w:p>
    <w:p w14:paraId="34A10FF4" w14:textId="552F548A" w:rsidR="00BA3652" w:rsidRDefault="005839F0">
      <w:pPr>
        <w:pStyle w:val="FootnoteText"/>
        <w:rPr>
          <w:rtl/>
        </w:rPr>
      </w:pPr>
      <w:bookmarkStart w:id="111" w:name="_Hlk98637629"/>
      <w:r>
        <w:rPr>
          <w:rFonts w:hint="cs"/>
          <w:rtl/>
        </w:rPr>
        <w:t>ועיין גם במהר</w:t>
      </w:r>
      <w:r w:rsidR="00F055C8">
        <w:rPr>
          <w:rtl/>
        </w:rPr>
        <w:t>"</w:t>
      </w:r>
      <w:r>
        <w:rPr>
          <w:rFonts w:hint="cs"/>
          <w:rtl/>
        </w:rPr>
        <w:t xml:space="preserve">ל נצח ישראל פרק ג' </w:t>
      </w:r>
      <w:r w:rsidR="00D94AB6">
        <w:rPr>
          <w:rFonts w:hint="cs"/>
          <w:rtl/>
        </w:rPr>
        <w:t xml:space="preserve">בעניין </w:t>
      </w:r>
      <w:r>
        <w:rPr>
          <w:rFonts w:hint="cs"/>
          <w:rtl/>
        </w:rPr>
        <w:t>שהאחד בהכרח ברא אחד</w:t>
      </w:r>
      <w:r>
        <w:rPr>
          <w:rFonts w:hint="cs"/>
        </w:rPr>
        <w:t xml:space="preserve"> </w:t>
      </w:r>
      <w:r>
        <w:rPr>
          <w:rFonts w:hint="cs"/>
          <w:rtl/>
        </w:rPr>
        <w:t>בלבד.</w:t>
      </w:r>
      <w:r w:rsidR="00D94AB6">
        <w:rPr>
          <w:rFonts w:hint="cs"/>
          <w:rtl/>
        </w:rPr>
        <w:t xml:space="preserve"> </w:t>
      </w:r>
      <w:r w:rsidR="00D94AB6" w:rsidRPr="00D94AB6">
        <w:rPr>
          <w:rtl/>
        </w:rPr>
        <w:t>ו</w:t>
      </w:r>
      <w:r w:rsidR="000D63AC">
        <w:rPr>
          <w:rFonts w:hint="cs"/>
          <w:rtl/>
        </w:rPr>
        <w:t>כתב שם ש</w:t>
      </w:r>
      <w:r w:rsidR="00D94AB6" w:rsidRPr="00D94AB6">
        <w:rPr>
          <w:rtl/>
        </w:rPr>
        <w:t>יש שתי השפעות, ההשפעה של המצאת האחד, ואחר כך השפעה נוספת</w:t>
      </w:r>
      <w:bookmarkEnd w:id="111"/>
      <w:r w:rsidR="00D94AB6" w:rsidRPr="00D94AB6">
        <w:rPr>
          <w:rtl/>
        </w:rPr>
        <w:t xml:space="preserve">, והיינו מה שגזירת השכל </w:t>
      </w:r>
      <w:r w:rsidR="00D94AB6">
        <w:rPr>
          <w:rFonts w:hint="cs"/>
          <w:rtl/>
        </w:rPr>
        <w:t>גורמת להשתלשלות כל שאר הנבראים שהם מימוש אפשרויות שנמצאות בחומר הראשון</w:t>
      </w:r>
      <w:r w:rsidR="000524BF">
        <w:rPr>
          <w:rFonts w:hint="cs"/>
          <w:rtl/>
        </w:rPr>
        <w:t>, ומתממשות לפי גזירת השכל, זה גם קורה בכח האלוה אבל זו השפעה שנייה של הוצאה אל הפועל של מה שיש בכח בנקודה הראשונה ההיולית, ולא ההשפעה הראשונה שהיא בריאה ברצון חופשי של כל האפשרויות שיש בכח, דהיינו בריאת החומר הראשון</w:t>
      </w:r>
      <w:r w:rsidR="00D94AB6">
        <w:rPr>
          <w:rFonts w:hint="cs"/>
          <w:rtl/>
        </w:rPr>
        <w:t xml:space="preserve">. </w:t>
      </w:r>
      <w:r w:rsidR="00D94AB6" w:rsidRPr="00D94AB6">
        <w:rPr>
          <w:rtl/>
        </w:rPr>
        <w:t xml:space="preserve"> </w:t>
      </w:r>
    </w:p>
    <w:p w14:paraId="51E95B01" w14:textId="26D145EA" w:rsidR="00C31BC5" w:rsidRDefault="00C31BC5">
      <w:pPr>
        <w:pStyle w:val="FootnoteText"/>
        <w:rPr>
          <w:rtl/>
        </w:rPr>
      </w:pPr>
    </w:p>
    <w:p w14:paraId="614D747C" w14:textId="77BE8B35" w:rsidR="006A1C5B" w:rsidRDefault="00C31BC5">
      <w:pPr>
        <w:pStyle w:val="FootnoteText"/>
        <w:rPr>
          <w:rtl/>
        </w:rPr>
      </w:pPr>
      <w:r>
        <w:rPr>
          <w:rFonts w:hint="cs"/>
          <w:rtl/>
        </w:rPr>
        <w:t>במורה נבוכים</w:t>
      </w:r>
      <w:r w:rsidR="00B63B15">
        <w:rPr>
          <w:rtl/>
        </w:rPr>
        <w:fldChar w:fldCharType="begin"/>
      </w:r>
      <w:r w:rsidR="00B63B15">
        <w:instrText xml:space="preserve"> XE "</w:instrText>
      </w:r>
      <w:r w:rsidR="00B63B15" w:rsidRPr="00C4222F">
        <w:rPr>
          <w:rFonts w:hint="cs"/>
          <w:rtl/>
        </w:rPr>
        <w:instrText>מורה נבוכים על החומר הראשון</w:instrText>
      </w:r>
      <w:r w:rsidR="00B63B15">
        <w:instrText xml:space="preserve">" </w:instrText>
      </w:r>
      <w:r w:rsidR="00B63B15">
        <w:rPr>
          <w:rtl/>
        </w:rPr>
        <w:fldChar w:fldCharType="end"/>
      </w:r>
      <w:r>
        <w:rPr>
          <w:rFonts w:hint="cs"/>
          <w:rtl/>
        </w:rPr>
        <w:t xml:space="preserve"> א' ה', שם א' כ</w:t>
      </w:r>
      <w:r w:rsidR="00F055C8">
        <w:rPr>
          <w:rtl/>
        </w:rPr>
        <w:t>"</w:t>
      </w:r>
      <w:r>
        <w:rPr>
          <w:rFonts w:hint="cs"/>
          <w:rtl/>
        </w:rPr>
        <w:t>ח, וב' כ</w:t>
      </w:r>
      <w:r w:rsidR="00F055C8">
        <w:rPr>
          <w:rtl/>
        </w:rPr>
        <w:t>"</w:t>
      </w:r>
      <w:r>
        <w:rPr>
          <w:rFonts w:hint="cs"/>
          <w:rtl/>
        </w:rPr>
        <w:t xml:space="preserve">ו, מבאר את מה שאצילי בני ישראל נכשלו כשחזו את האלוהות, הם ראו את החומר הראשון (הנקרא </w:t>
      </w:r>
      <w:r w:rsidR="00F055C8">
        <w:rPr>
          <w:rtl/>
        </w:rPr>
        <w:t>"</w:t>
      </w:r>
      <w:r>
        <w:rPr>
          <w:rFonts w:hint="cs"/>
          <w:rtl/>
        </w:rPr>
        <w:t>ולרגליו כמעשה לבנת הספיר</w:t>
      </w:r>
      <w:r w:rsidR="00F055C8">
        <w:rPr>
          <w:rtl/>
        </w:rPr>
        <w:t>"</w:t>
      </w:r>
      <w:r>
        <w:rPr>
          <w:rFonts w:hint="cs"/>
          <w:rtl/>
        </w:rPr>
        <w:t>) וחשבו בטעות שהוא ה</w:t>
      </w:r>
      <w:r w:rsidR="006A1C5B">
        <w:rPr>
          <w:rFonts w:hint="cs"/>
          <w:rtl/>
        </w:rPr>
        <w:t>אל</w:t>
      </w:r>
      <w:r>
        <w:rPr>
          <w:rFonts w:hint="cs"/>
          <w:rtl/>
        </w:rPr>
        <w:t xml:space="preserve">וה עצמו. </w:t>
      </w:r>
      <w:r w:rsidR="006A1C5B">
        <w:rPr>
          <w:rFonts w:hint="cs"/>
          <w:rtl/>
        </w:rPr>
        <w:t>הם חשבו שהחומר הראשון הוא האלוה, כי אכן החומר הראשון הוא הראשון בשרשרת הצורות שכל אחת מהן סיבה לזו שתחתיה (הוא חיות הקודש שביאר הרמב</w:t>
      </w:r>
      <w:r w:rsidR="00F055C8">
        <w:rPr>
          <w:rtl/>
        </w:rPr>
        <w:t>"</w:t>
      </w:r>
      <w:r w:rsidR="006A1C5B">
        <w:rPr>
          <w:rFonts w:hint="cs"/>
          <w:rtl/>
        </w:rPr>
        <w:t xml:space="preserve">ם במשנה תורה ב' הלכות ה'-ז'). </w:t>
      </w:r>
    </w:p>
    <w:p w14:paraId="5B85606E" w14:textId="295B7BAF" w:rsidR="00C31BC5" w:rsidRDefault="006A1C5B" w:rsidP="00ED05EA">
      <w:pPr>
        <w:pStyle w:val="FootnoteText"/>
        <w:rPr>
          <w:rtl/>
        </w:rPr>
      </w:pPr>
      <w:r>
        <w:rPr>
          <w:rFonts w:hint="cs"/>
          <w:rtl/>
        </w:rPr>
        <w:t xml:space="preserve">למשל בשיר </w:t>
      </w:r>
      <w:r w:rsidR="00F055C8">
        <w:rPr>
          <w:rtl/>
        </w:rPr>
        <w:t>"</w:t>
      </w:r>
      <w:r>
        <w:rPr>
          <w:rFonts w:hint="cs"/>
          <w:rtl/>
        </w:rPr>
        <w:t>עקרה</w:t>
      </w:r>
      <w:r w:rsidR="00F055C8">
        <w:rPr>
          <w:rtl/>
        </w:rPr>
        <w:t>"</w:t>
      </w:r>
      <w:r>
        <w:rPr>
          <w:rFonts w:hint="cs"/>
          <w:rtl/>
        </w:rPr>
        <w:t xml:space="preserve"> רחל המשוררת תיארה ילד שיש לו נוכחות חיה. הוא נוצר כציור של ילד, צורת ילד, מכח הגעגועים. זה האופן שהחומר הראשון יוצר את הדברים הטבעיים, שהם הצורות. </w:t>
      </w:r>
      <w:r w:rsidR="00ED05EA">
        <w:rPr>
          <w:rFonts w:hint="cs"/>
          <w:rtl/>
        </w:rPr>
        <w:t xml:space="preserve">החומר הוא ההעדר, וההעדר יוצר את צורת מה שהוא חסר אותו. ההעדר של ילד יוצר את צורת הילד החסר. לכן סברו אצילי בני ישראל שהחומר הראשון הוא יוצר כל הדברים וממילא הוא האלוה. זו טעות כי האלוה מופשט לחלוטין, והחומר הראשון יש בו פוטנציאל לגבול שמכח זה יכולות להצטייר בו צורות. </w:t>
      </w:r>
    </w:p>
    <w:p w14:paraId="7B46FDA5" w14:textId="028E32A1" w:rsidR="00ED05EA" w:rsidRDefault="00ED05EA" w:rsidP="00ED05EA">
      <w:pPr>
        <w:pStyle w:val="FootnoteText"/>
        <w:rPr>
          <w:rtl/>
        </w:rPr>
      </w:pPr>
      <w:r>
        <w:rPr>
          <w:rFonts w:hint="cs"/>
          <w:rtl/>
        </w:rPr>
        <w:t>מה שההעדר של ילד יצר ציור של ילד בשיר של רחל, זה בהכרח משום שיש משהו שהוא לא העדר. אם לא היה בכלל עניין של ילד שנמצא כמציאות ולא כהעדר וגעגוע לילד, לא היה יכול להיות געגוע לילד, ולא היה מצטייר ילד של שיר. אותו 'עניין של ילד', לא ידוע לנו כלל, הרי אין לה ילד והיא עקרה, ויכול להיות לה כל ילד שהוא, באופן אין סופי וממילא לא נתפש (מדובר כאן רק במשל, ב</w:t>
      </w:r>
      <w:r w:rsidR="00914BF2">
        <w:rPr>
          <w:rFonts w:hint="cs"/>
          <w:rtl/>
        </w:rPr>
        <w:t>אמת אין ילד אין סופי כי ילד בעצמו הוא כבר הגדרה, יש לה גבול. הנמשל מדבר על עניין של מציאות חסרת כל גבול, הכרחי המציאות שהוא האלוה האין סופי בעצמו). כיוון שהילד האמתי שממש נמצא אינו ידוע כי הרי עוד לא נברא ואין לו הגדרה וגבול, אצילי בני ישראל לא תפשו אותו, הם לא תפשו את המציאות המופשטת לחלוטין של הכרחי המציאות</w:t>
      </w:r>
      <w:r>
        <w:rPr>
          <w:rFonts w:hint="cs"/>
          <w:rtl/>
        </w:rPr>
        <w:t xml:space="preserve">. </w:t>
      </w:r>
      <w:r w:rsidR="00914BF2">
        <w:rPr>
          <w:rFonts w:hint="cs"/>
          <w:rtl/>
        </w:rPr>
        <w:t xml:space="preserve">לכן טעו לחשוב שהחומר הראשון הוא הסיבה הראשונה. </w:t>
      </w:r>
      <w:r>
        <w:rPr>
          <w:rFonts w:hint="cs"/>
          <w:rtl/>
        </w:rPr>
        <w:t xml:space="preserve"> </w:t>
      </w:r>
    </w:p>
    <w:p w14:paraId="0916668A" w14:textId="77777777" w:rsidR="00ED05EA" w:rsidRDefault="00ED05EA" w:rsidP="00ED05EA">
      <w:pPr>
        <w:pStyle w:val="FootnoteText"/>
        <w:rPr>
          <w:rtl/>
        </w:rPr>
      </w:pPr>
    </w:p>
    <w:p w14:paraId="06A56EEB" w14:textId="31F705D9" w:rsidR="00B248D5" w:rsidRDefault="00BA3652">
      <w:pPr>
        <w:pStyle w:val="FootnoteText"/>
        <w:rPr>
          <w:rtl/>
        </w:rPr>
      </w:pPr>
      <w:r>
        <w:rPr>
          <w:rFonts w:hint="cs"/>
          <w:rtl/>
        </w:rPr>
        <w:t>כל דברי כאן הם בלי שום ספק גם שיטת אריסטו ואבן סינא</w:t>
      </w:r>
      <w:r w:rsidR="003C1016">
        <w:rPr>
          <w:rFonts w:hint="cs"/>
          <w:rtl/>
        </w:rPr>
        <w:t>.</w:t>
      </w:r>
      <w:r>
        <w:rPr>
          <w:rFonts w:hint="cs"/>
          <w:rtl/>
        </w:rPr>
        <w:t xml:space="preserve"> הבאתי ממקורות אחרים</w:t>
      </w:r>
      <w:r w:rsidR="003C1016">
        <w:rPr>
          <w:rFonts w:hint="cs"/>
          <w:rtl/>
        </w:rPr>
        <w:t>, רמב</w:t>
      </w:r>
      <w:r w:rsidR="00F055C8">
        <w:rPr>
          <w:rtl/>
        </w:rPr>
        <w:t>"</w:t>
      </w:r>
      <w:r w:rsidR="003C1016">
        <w:rPr>
          <w:rFonts w:hint="cs"/>
          <w:rtl/>
        </w:rPr>
        <w:t>ן ורמב</w:t>
      </w:r>
      <w:r w:rsidR="00F055C8">
        <w:rPr>
          <w:rtl/>
        </w:rPr>
        <w:t>"</w:t>
      </w:r>
      <w:r w:rsidR="003C1016">
        <w:rPr>
          <w:rFonts w:hint="cs"/>
          <w:rtl/>
        </w:rPr>
        <w:t>ם,</w:t>
      </w:r>
      <w:r>
        <w:rPr>
          <w:rFonts w:hint="cs"/>
          <w:rtl/>
        </w:rPr>
        <w:t xml:space="preserve"> כי הם יותר קצרים ומפורשים ומבוררים. </w:t>
      </w:r>
      <w:r w:rsidR="003C1016">
        <w:rPr>
          <w:rFonts w:hint="cs"/>
          <w:rtl/>
        </w:rPr>
        <w:t>במקום שבו העניין יבואר בספרי אבן סינא או אריסטו אעסוק בביאור לשונם בזה, אבל אלה רק ענייני לשון, מבחינת התוכן אין כאן שום מחלוקת</w:t>
      </w:r>
      <w:r w:rsidR="00710494">
        <w:rPr>
          <w:rFonts w:hint="cs"/>
          <w:rtl/>
        </w:rPr>
        <w:t xml:space="preserve">. אין כאן מקום להאריך להוכיח את זה, אבל העניין מוכח בלי ספק. </w:t>
      </w:r>
      <w:r w:rsidR="00DB186E">
        <w:rPr>
          <w:rFonts w:hint="cs"/>
          <w:rtl/>
        </w:rPr>
        <w:t xml:space="preserve">מההולכים בשיטת אריסטו </w:t>
      </w:r>
      <w:r w:rsidR="003C1016">
        <w:rPr>
          <w:rFonts w:hint="cs"/>
          <w:rtl/>
        </w:rPr>
        <w:t>רק אבן רושד חולק על הדברים שכתבתי כאן</w:t>
      </w:r>
      <w:r w:rsidR="00CB1416">
        <w:rPr>
          <w:rFonts w:hint="cs"/>
          <w:rtl/>
        </w:rPr>
        <w:t xml:space="preserve"> </w:t>
      </w:r>
      <w:r w:rsidR="00B248D5" w:rsidRPr="00B248D5">
        <w:rPr>
          <w:rtl/>
        </w:rPr>
        <w:t xml:space="preserve">, אבל אבן סינא ואלפראבי לא סוברים כמוהו. </w:t>
      </w:r>
    </w:p>
    <w:p w14:paraId="2C9BDEFC" w14:textId="4DB6F087" w:rsidR="005839F0" w:rsidRDefault="00CB1416">
      <w:pPr>
        <w:pStyle w:val="FootnoteText"/>
        <w:rPr>
          <w:rtl/>
        </w:rPr>
      </w:pPr>
      <w:r>
        <w:rPr>
          <w:rFonts w:hint="cs"/>
          <w:rtl/>
        </w:rPr>
        <w:t>(זה שורש מחלוקתו המפורסמת של אבן רושד על אבן סינא בשאלה האם המצ</w:t>
      </w:r>
      <w:r w:rsidR="00B248D5">
        <w:rPr>
          <w:rFonts w:hint="cs"/>
          <w:rtl/>
        </w:rPr>
        <w:t>י</w:t>
      </w:r>
      <w:r>
        <w:rPr>
          <w:rFonts w:hint="cs"/>
          <w:rtl/>
        </w:rPr>
        <w:t>אות היא מקרה לישות</w:t>
      </w:r>
      <w:r w:rsidR="00B248D5">
        <w:rPr>
          <w:rFonts w:hint="cs"/>
          <w:rtl/>
        </w:rPr>
        <w:t xml:space="preserve"> (עיין מורה נבוכים א' נ</w:t>
      </w:r>
      <w:r w:rsidR="00F055C8">
        <w:rPr>
          <w:rtl/>
        </w:rPr>
        <w:t>"</w:t>
      </w:r>
      <w:r w:rsidR="00B248D5">
        <w:rPr>
          <w:rFonts w:hint="cs"/>
          <w:rtl/>
        </w:rPr>
        <w:t>ז</w:t>
      </w:r>
      <w:r w:rsidR="00B63B15">
        <w:rPr>
          <w:rtl/>
        </w:rPr>
        <w:fldChar w:fldCharType="begin"/>
      </w:r>
      <w:r w:rsidR="00B63B15">
        <w:instrText xml:space="preserve"> XE "</w:instrText>
      </w:r>
      <w:r w:rsidR="00B63B15" w:rsidRPr="005A5793">
        <w:rPr>
          <w:rFonts w:hint="cs"/>
          <w:rtl/>
        </w:rPr>
        <w:instrText>מורה נבוכים א' נ</w:instrText>
      </w:r>
      <w:r w:rsidR="00B63B15">
        <w:rPr>
          <w:b/>
          <w:bCs/>
          <w:sz w:val="20"/>
          <w:szCs w:val="20"/>
        </w:rPr>
        <w:instrText>\</w:instrText>
      </w:r>
      <w:r w:rsidR="00B63B15" w:rsidRPr="005A5793">
        <w:rPr>
          <w:rFonts w:hint="cs"/>
          <w:rtl/>
        </w:rPr>
        <w:instrText>"ז</w:instrText>
      </w:r>
      <w:r w:rsidR="00B63B15">
        <w:instrText xml:space="preserve">" </w:instrText>
      </w:r>
      <w:r w:rsidR="00B63B15">
        <w:rPr>
          <w:rtl/>
        </w:rPr>
        <w:fldChar w:fldCharType="end"/>
      </w:r>
      <w:r w:rsidR="00DB4918">
        <w:rPr>
          <w:rFonts w:hint="cs"/>
          <w:rtl/>
        </w:rPr>
        <w:t>)</w:t>
      </w:r>
      <w:r>
        <w:rPr>
          <w:rFonts w:hint="cs"/>
          <w:rtl/>
        </w:rPr>
        <w:t xml:space="preserve">. לפי אבן רושד היא לא מקרה, כי </w:t>
      </w:r>
      <w:r w:rsidR="00B248D5">
        <w:rPr>
          <w:rFonts w:hint="cs"/>
          <w:rtl/>
        </w:rPr>
        <w:t xml:space="preserve">כל </w:t>
      </w:r>
      <w:r>
        <w:rPr>
          <w:rFonts w:hint="cs"/>
          <w:rtl/>
        </w:rPr>
        <w:t>הדברים נמצאים מסיבת עצמם</w:t>
      </w:r>
      <w:r w:rsidR="00B248D5">
        <w:rPr>
          <w:rFonts w:hint="cs"/>
          <w:rtl/>
        </w:rPr>
        <w:t xml:space="preserve">, והיינו שמציאותם בעצמם ולא מחוץ להם, לא מקרית להם. </w:t>
      </w:r>
      <w:r>
        <w:rPr>
          <w:rFonts w:hint="cs"/>
          <w:rtl/>
        </w:rPr>
        <w:t xml:space="preserve">וזה </w:t>
      </w:r>
      <w:r w:rsidR="00B248D5">
        <w:rPr>
          <w:rFonts w:hint="cs"/>
          <w:rtl/>
        </w:rPr>
        <w:t>משום</w:t>
      </w:r>
      <w:r>
        <w:rPr>
          <w:rFonts w:hint="cs"/>
          <w:rtl/>
        </w:rPr>
        <w:t xml:space="preserve"> </w:t>
      </w:r>
      <w:r w:rsidR="00B248D5">
        <w:rPr>
          <w:rFonts w:hint="cs"/>
          <w:rtl/>
        </w:rPr>
        <w:t>ש</w:t>
      </w:r>
      <w:r>
        <w:rPr>
          <w:rFonts w:hint="cs"/>
          <w:rtl/>
        </w:rPr>
        <w:t>האלוה הוא רק שכל</w:t>
      </w:r>
      <w:r w:rsidR="00DB4918">
        <w:rPr>
          <w:rFonts w:hint="cs"/>
          <w:rtl/>
        </w:rPr>
        <w:t xml:space="preserve"> ולא רצון חופשי</w:t>
      </w:r>
      <w:r>
        <w:rPr>
          <w:rFonts w:hint="cs"/>
          <w:rtl/>
        </w:rPr>
        <w:t>, וכל הנמצא נגזר בגזירת החכמה השכלית שהיא על דרך חיוב מאותו שכל (כמו שאחת ועוד אחת בדרך חיוב הן שתיים ובהכרח לא שלוש, וגם הבורא לא יכול לעשות שיהיו שלוש אחרי שאנו כבר בספירת החכמה</w:t>
      </w:r>
      <w:r w:rsidR="00DB4918">
        <w:rPr>
          <w:rFonts w:hint="cs"/>
          <w:rtl/>
        </w:rPr>
        <w:t>, שם היא שיטת אבן רושד</w:t>
      </w:r>
      <w:r w:rsidR="00B248D5">
        <w:rPr>
          <w:rFonts w:hint="cs"/>
          <w:rtl/>
        </w:rPr>
        <w:t>, כמו שכתב במורה נבוכים ג' ט</w:t>
      </w:r>
      <w:r w:rsidR="00F055C8">
        <w:rPr>
          <w:rtl/>
        </w:rPr>
        <w:t>"</w:t>
      </w:r>
      <w:r w:rsidR="00B248D5">
        <w:rPr>
          <w:rFonts w:hint="cs"/>
          <w:rtl/>
        </w:rPr>
        <w:t>ו</w:t>
      </w:r>
      <w:r>
        <w:rPr>
          <w:rFonts w:hint="cs"/>
          <w:rtl/>
        </w:rPr>
        <w:t>), ולכן הכל יש לו מציאות כמו שיש לאותו שכל</w:t>
      </w:r>
      <w:r w:rsidR="00DB4918">
        <w:rPr>
          <w:rFonts w:hint="cs"/>
          <w:rtl/>
        </w:rPr>
        <w:t>, כלומר מציאות מסיבת עצמה. לפי זה הכל הוא האלוה ואין בחירה חופשית. עיין בזה מורה נבוכים ב' כ</w:t>
      </w:r>
      <w:r w:rsidR="00F055C8">
        <w:rPr>
          <w:rtl/>
        </w:rPr>
        <w:t>"</w:t>
      </w:r>
      <w:r w:rsidR="00DB4918">
        <w:rPr>
          <w:rFonts w:hint="cs"/>
          <w:rtl/>
        </w:rPr>
        <w:t>ב, ב' כ', וב' י</w:t>
      </w:r>
      <w:r w:rsidR="00F055C8">
        <w:rPr>
          <w:rtl/>
        </w:rPr>
        <w:t>"</w:t>
      </w:r>
      <w:r w:rsidR="00DB4918">
        <w:rPr>
          <w:rFonts w:hint="cs"/>
          <w:rtl/>
        </w:rPr>
        <w:t>ח. שיטת אריסטו שהמורה נבוכים מביא שם היא שיטת אבן רושד</w:t>
      </w:r>
      <w:r>
        <w:rPr>
          <w:rFonts w:hint="cs"/>
          <w:rtl/>
        </w:rPr>
        <w:t>)</w:t>
      </w:r>
      <w:r w:rsidR="005839F0">
        <w:rPr>
          <w:rFonts w:hint="cs"/>
          <w:rtl/>
        </w:rPr>
        <w:t xml:space="preserve"> </w:t>
      </w:r>
    </w:p>
    <w:p w14:paraId="7E363B36" w14:textId="018A9476" w:rsidR="00F013C6" w:rsidRDefault="00F013C6">
      <w:pPr>
        <w:pStyle w:val="FootnoteText"/>
        <w:rPr>
          <w:rtl/>
        </w:rPr>
      </w:pPr>
    </w:p>
    <w:p w14:paraId="25775BCE" w14:textId="06C49B52" w:rsidR="003F68A3" w:rsidRDefault="00F013C6" w:rsidP="00C01C7B">
      <w:pPr>
        <w:pStyle w:val="FootnoteText"/>
      </w:pPr>
      <w:r>
        <w:rPr>
          <w:rFonts w:hint="cs"/>
          <w:rtl/>
        </w:rPr>
        <w:t xml:space="preserve">בספר </w:t>
      </w:r>
      <w:r w:rsidR="00C10CBA">
        <w:rPr>
          <w:rFonts w:hint="cs"/>
          <w:rtl/>
        </w:rPr>
        <w:t>"</w:t>
      </w:r>
      <w:r>
        <w:rPr>
          <w:rFonts w:hint="cs"/>
          <w:rtl/>
        </w:rPr>
        <w:t>האמונה הרמה</w:t>
      </w:r>
      <w:r w:rsidR="00CF68A0">
        <w:rPr>
          <w:rtl/>
        </w:rPr>
        <w:fldChar w:fldCharType="begin"/>
      </w:r>
      <w:r w:rsidR="00CF68A0">
        <w:instrText xml:space="preserve"> XE "</w:instrText>
      </w:r>
      <w:r w:rsidR="00CF68A0" w:rsidRPr="00BC1B4E">
        <w:rPr>
          <w:rFonts w:hint="cs"/>
          <w:rtl/>
        </w:rPr>
        <w:instrText>צורת התלת ממדיות - הסבר האמונה הרמה</w:instrText>
      </w:r>
      <w:r w:rsidR="00CF68A0">
        <w:instrText xml:space="preserve">" </w:instrText>
      </w:r>
      <w:r w:rsidR="00CF68A0">
        <w:rPr>
          <w:rtl/>
        </w:rPr>
        <w:fldChar w:fldCharType="end"/>
      </w:r>
      <w:r w:rsidR="00C10CBA">
        <w:rPr>
          <w:rFonts w:hint="cs"/>
          <w:rtl/>
        </w:rPr>
        <w:t>"</w:t>
      </w:r>
      <w:r w:rsidR="00C01C7B" w:rsidRPr="00C01C7B">
        <w:rPr>
          <w:rtl/>
        </w:rPr>
        <w:t xml:space="preserve"> (מאמר א' פרק ב')</w:t>
      </w:r>
      <w:r>
        <w:rPr>
          <w:rFonts w:hint="cs"/>
          <w:rtl/>
        </w:rPr>
        <w:t xml:space="preserve"> מאת הראב"ד הראשון </w:t>
      </w:r>
      <w:r w:rsidR="005557E8">
        <w:rPr>
          <w:rFonts w:hint="cs"/>
          <w:rtl/>
        </w:rPr>
        <w:t>(שהיה 28 שנים מבוגר מהרמב"ם, והושתת כמוהו על תורת אבן סינא)</w:t>
      </w:r>
      <w:r w:rsidR="00C01C7B">
        <w:rPr>
          <w:rFonts w:hint="cs"/>
          <w:rtl/>
        </w:rPr>
        <w:t xml:space="preserve"> </w:t>
      </w:r>
      <w:r w:rsidR="003F68A3">
        <w:rPr>
          <w:rtl/>
        </w:rPr>
        <w:t>כתב על צורת התלת ממדיות, הבוהו. הוא קורא לזה "העצם המשולח". זה כמו מצורע שמשולח מחוץ למחנה,</w:t>
      </w:r>
      <w:r w:rsidR="00C10CBA">
        <w:rPr>
          <w:rFonts w:hint="cs"/>
          <w:rtl/>
        </w:rPr>
        <w:t xml:space="preserve"> </w:t>
      </w:r>
      <w:r w:rsidR="003F68A3">
        <w:rPr>
          <w:rtl/>
        </w:rPr>
        <w:t>כך העצם מופרד מכל דבר אחר שאינו הוא עצמו, ברמה הכי ראשונית שלו, שהיא 'עצמו' כשכל השאר משולח ממנו</w:t>
      </w:r>
      <w:r w:rsidR="004A1E0C">
        <w:rPr>
          <w:rFonts w:hint="cs"/>
          <w:rtl/>
        </w:rPr>
        <w:t xml:space="preserve"> (האמונה הרמה תורגם מערבית לא על ידי משפחת התיבונים, והעברית של המתרגם פחות התקבלה והיא לא קלה להבנה).</w:t>
      </w:r>
    </w:p>
    <w:p w14:paraId="6F09BEC2" w14:textId="18D76033" w:rsidR="003F68A3" w:rsidRDefault="004A1E0C" w:rsidP="003F68A3">
      <w:pPr>
        <w:pStyle w:val="FootnoteText"/>
      </w:pPr>
      <w:r>
        <w:rPr>
          <w:rFonts w:hint="cs"/>
          <w:rtl/>
        </w:rPr>
        <w:t>זה לשונו:</w:t>
      </w:r>
    </w:p>
    <w:p w14:paraId="63E7F8E8" w14:textId="77777777" w:rsidR="003F68A3" w:rsidRDefault="003F68A3" w:rsidP="003F68A3">
      <w:pPr>
        <w:pStyle w:val="FootnoteText"/>
      </w:pPr>
      <w:r>
        <w:rPr>
          <w:rtl/>
        </w:rPr>
        <w:t xml:space="preserve">"הנה כבר התבאר לשכל, ואם הוא נעלם מן החוש, ששָׁם עצם [כלומר יש עצם] הוא בכח אויר ומים ואש וארץ [אותו עצם יש בו פוטנציאל להיות אויר מים אש וארץ], ואין בעצמו ואמתתו צורה, רק שהצורה חוזרות עליו חלילה, והוא כמו המרכבת להם, והוא אשר נקראהו היולי. </w:t>
      </w:r>
    </w:p>
    <w:p w14:paraId="5544D3CA" w14:textId="50236C7D" w:rsidR="003F68A3" w:rsidRDefault="003F68A3" w:rsidP="003F68A3">
      <w:pPr>
        <w:pStyle w:val="FootnoteText"/>
      </w:pPr>
      <w:r>
        <w:rPr>
          <w:rtl/>
        </w:rPr>
        <w:t>וזה הענין כבר הביא אליו המופת השכלי,</w:t>
      </w:r>
      <w:r w:rsidR="005C1B7D">
        <w:rPr>
          <w:rFonts w:hint="cs"/>
          <w:rtl/>
        </w:rPr>
        <w:t xml:space="preserve"> </w:t>
      </w:r>
      <w:r>
        <w:rPr>
          <w:rtl/>
        </w:rPr>
        <w:t>[... אני מדלג על המופת למציאות החומר הראשון] ולכן נדע שיש להם [ליסודות] חומר משותף, הוא אשר נקראהו החומר הראשון. ונאמין שהאל ית' בראו ראשונה, כמו שכל אומן יכין תחלה חומר אומנתו. וזה שאומן הספינה יכין העצים תחלה, ואומן הבית יכין האבנים תחלה כל אחד מהם חומר אומנתו, ואחר כן יכין להם צורת הספינה, או צורת הבית, כי אי אפשר להתחיל הדברים אלא מהתחלותיהם, אחר כן הקנה האל ית' לחומר צורת גשם תחלה, רצוני צורת גשם בשלוח [זה הצורה של התלת ממדיות, אבן סינא קורא לה הצורה הגשמית. היא המושג של גשם, חומר, באופן טהור, בלי שום דבר נוסף], איננו אויר, ולא מים, ולא אש, ולא ארץ, אך היא ההתדבקות לבד [התדבקות פירושה נפח שאינו אוסף של גרגרים אלא רצף אחיד. כשזה היה נקודה לא היה מה שידבק למה, אחרי שנעשה לנפח הרי חלקי הנפח כולם מדובקים זה לזה. אפשר לחלק את הנפח עד אין סוף, ותמיד יישאר שכל חלק יהיה מדובק לחלקים האחרים בדרך של רצף. וכן במורה נבוכים א' ע"ג מדובק פירושו רצף של משך ולא אוסף אטומים וזה לשונו:</w:t>
      </w:r>
    </w:p>
    <w:p w14:paraId="4C7DE1B8" w14:textId="77777777" w:rsidR="003F68A3" w:rsidRDefault="003F68A3" w:rsidP="003F68A3">
      <w:pPr>
        <w:pStyle w:val="FootnoteText"/>
      </w:pPr>
      <w:r>
        <w:rPr>
          <w:rtl/>
        </w:rPr>
        <w:t xml:space="preserve">"שהדרך, והזמן, והתנועה המקומית, שלשתם שוים במציאות, ר"ל שערך קצתם אל קצתם ערך אחד הוא, ובהחלק אחד מהם יחלק האחר על ערכו. וידענו בהכרח שאם היה הזמן נדבק ויקבל החלוקה אל לא תכלית, יתחייב בהכרח שיתחלק החלק אשר שמוהו בלתי מתחלק. וכן כשתשים הדרך מדבקת, יתחייב בהכרח התחלק העתה מן הזמן אשר הושם בלתי מתחלק, כמו שבאר אריסט"ו בספר הנקרא השמע הטבעי, ולזה חייבו שהדרך בלתי מתדבק, אבל מחובר מחלקים אליהם תכלה החלוקה, וכן הזמן יגיע אל עתות לא יקבלו החלוקה, והמשל בו שהשעה האחת אל דרך המשל ששים דקים, והדק ששים שניים, והשניי ששים שלשיים, ויגיע באחרונה הענין אצלם אל החלקים, אם עשיריים על דרך משל או יותר דקים מהם, לא יחלקו כלל ולא יקבלו החלוקה, כמו הדרך"], רצוננו לומר שיהיה בה לעצם עובי [עובי פירוש כאן תלת ממדיות שהיא אורך רוחב ועובי], אפשר בו שיונחו שלשה התפשטויות נכרתים על זויות נצבות [דהיינו תחת ממדיות]. ויתבאר לך שההתדבקות הוא צורת הגשם [הנפח הוא צורת הגשם, מה שבלשון אבן סינא הוא הצורה הגשמית ואני בתרגום קראתי לו בשם מחודש 'צורת התלת ממדיות' כדי להבהיר את הלשון] מזה אשר אזכרהו לך, וזה שהסתלקות התדבקות הגשם יסלק עצמות אותו הגשם, ולא יהיה אותו הגשם, אבל יהיה אחר הגעת ההתחלקות בו אבדן הגשמים, וכל מה שיסתלק עצמות הנושא בהסתלקותו, הוא צורה בו, ואי אפשר שיצוייר גשם אין התדבקות בו כלל. </w:t>
      </w:r>
    </w:p>
    <w:p w14:paraId="14493AEB" w14:textId="77777777" w:rsidR="003F68A3" w:rsidRDefault="003F68A3" w:rsidP="003F68A3">
      <w:pPr>
        <w:pStyle w:val="FootnoteText"/>
      </w:pPr>
      <w:r>
        <w:rPr>
          <w:rtl/>
        </w:rPr>
        <w:t xml:space="preserve">אחר כן, אחר יצירת גשם משולח נאצלה צורת מים, וצורת אויר, וצורת אש, וצורת ארץ [...], עם היות שהחומר הראשון אמנם הוא חומר הגשם המשולח, אבל הגשם המשולח אשר הוא כדמות היולי ליסודות איננו על דרך המת היולי, לפי שבו צורה והוא ההתדבקות [התוהו מת והבוהו חי, כי התוהו משולל צורה באופן מוחלט והצורה היא החיים, והבוהו כבר יש בו משהו מצד הצורה שהוא התלת ממדיות וזה כבר חיים, זה "תוהו חי" כי הצורה לא מוגדרת במהות ששונה מהתוהו. זה לשון רש"י: ""תֹהוּ וָבֹהוּ" – תֹהוּ לשון תימה ושיממון, שאדם תוהה ומשתומם על בהו שבה.". על התוהו אי אפשר להשתומם, כי אין בו שום תפישה כלל, הוא אחדות פשוטה כמו הבורא עצמו, ונבדל מהבורא רק בכך שהוא לא סיבת מציאות עצמו. האדם מתחיל מתפישת הבוהו, תלת ממדיות ריקה לגמרי, והריקנות שבה גם היא לא נתפשת אבל לכל הפחות היא מעוררת השתוממות ותמהון, האדם מבין שאינו משיג שום דבר]. </w:t>
      </w:r>
    </w:p>
    <w:p w14:paraId="58661280" w14:textId="77777777" w:rsidR="003F68A3" w:rsidRDefault="003F68A3" w:rsidP="003F68A3">
      <w:pPr>
        <w:pStyle w:val="FootnoteText"/>
      </w:pPr>
      <w:r>
        <w:rPr>
          <w:rtl/>
        </w:rPr>
        <w:t>[...]</w:t>
      </w:r>
    </w:p>
    <w:p w14:paraId="5EE09D21" w14:textId="77777777" w:rsidR="003F68A3" w:rsidRDefault="003F68A3" w:rsidP="003F68A3">
      <w:pPr>
        <w:pStyle w:val="FootnoteText"/>
      </w:pPr>
      <w:r>
        <w:rPr>
          <w:rtl/>
        </w:rPr>
        <w:t xml:space="preserve">הנה כבר ביארנו על מה נאמר החומר הראשון, וגם כן הגעת הצורה הראשונה בו והיא צורת גשם משולח, וג"כ הגעת צורת היסודות, וג"כ הגעת צורות המורכבים מהיסודות." </w:t>
      </w:r>
    </w:p>
    <w:p w14:paraId="09B63E71" w14:textId="0B6EFFBE" w:rsidR="003F68A3" w:rsidRDefault="003F68A3" w:rsidP="00C01C7B">
      <w:pPr>
        <w:pStyle w:val="FootnoteText"/>
      </w:pPr>
    </w:p>
    <w:p w14:paraId="4965EDDC" w14:textId="60EFCB5D" w:rsidR="003F68A3" w:rsidRDefault="003F68A3" w:rsidP="00C01C7B">
      <w:pPr>
        <w:pStyle w:val="FootnoteText"/>
      </w:pPr>
      <w:r>
        <w:rPr>
          <w:rtl/>
        </w:rPr>
        <w:t xml:space="preserve">(זה המשך הקטע שהוא מחכים אם כי כבר אינו הסבר לצורת התלת ממדיות, אלא הוא מסביר מה הפירוש </w:t>
      </w:r>
      <w:r w:rsidR="00C01C7B">
        <w:rPr>
          <w:rFonts w:hint="cs"/>
          <w:rtl/>
        </w:rPr>
        <w:t>'</w:t>
      </w:r>
      <w:r>
        <w:rPr>
          <w:rtl/>
        </w:rPr>
        <w:t>סדר הנבראים</w:t>
      </w:r>
      <w:r w:rsidR="00C01C7B">
        <w:rPr>
          <w:rFonts w:hint="cs"/>
          <w:rtl/>
        </w:rPr>
        <w:t>'</w:t>
      </w:r>
      <w:r>
        <w:rPr>
          <w:rtl/>
        </w:rPr>
        <w:t>)</w:t>
      </w:r>
      <w:r w:rsidR="00C01C7B">
        <w:rPr>
          <w:rFonts w:hint="cs"/>
          <w:rtl/>
        </w:rPr>
        <w:t>:</w:t>
      </w:r>
    </w:p>
    <w:p w14:paraId="6662F613" w14:textId="32632530" w:rsidR="003F68A3" w:rsidRDefault="003F68A3" w:rsidP="003F68A3">
      <w:pPr>
        <w:pStyle w:val="FootnoteText"/>
      </w:pPr>
      <w:r>
        <w:rPr>
          <w:rtl/>
        </w:rPr>
        <w:t xml:space="preserve">"וכל מה שזכרנוהו מזה הסדור אין רצוננו בו שהאל ית' ברא החומר ונשאר ריק מצורה, ואחר כן השפיע עליו צורת גשם, ושצורת גשם נשארה משולחת, ואחר השפיע עליו צורות היסודות, כי אין במעשה האל ית' וית' קיום לדבר מן הדברים בלתי מעויין ורמוז אליו, עד שנאמר שהוא ית' ברא דבר שיהיה בלתי נודע המהות, והדברים אמנם הם מה שהם בצורתיהם המיוחדות האישיות. ולא עוד אלא שג"כ מעויינים ורמוז אליהם במקריהם הנמשכים מן השעורים, והאיכיות וזולת זה. ולזה לא יהיה רק החומר לעולם מהצורה, ואין לסוג מציאות ולא למין כי אם לאישים [כמו שכתב אריסטו בקטגוריות פרק ה' והמורה נבוכים ג' י"ח], ואמנם רצונו בזה הסדור שהוא כן אצל השכל, לא בזמן (כי כבר נמצא דברים קצתם קודם לקצתם, וסבה לקצת והם יחד בזמן, כאמרנו עלה השמש והיה היום - ולא יתכן שנאמר היה היום אם כן עלה השמש - עם היות שעליית השמש והיות היום הם יחד בזמן), כן החומר הראשון הוא קודם אצל השכל ואחר כן צורת גשם משולח, והמקובץ מהם הוא חומר ליסודות, ואם כולם יחד במציאות, עד שאין במציאות דבר בסתם שיהיה נמצא והוא בלתי מעויין. אם כן החומר הראשון הוא עצם יקחהו השכל מופשט מכל צורה, ואיננו דבר מעויין, אך הוא דבר אפשר שיהיה ממנו כל גשם. [הוא מבאר כאן שסדר ההוויה אינו סדר זמני, כרונולוגי. כלומר לא היהת שעה שבה היה רק תוהו בעולם, ואחרי שעה נברא הבוהו ורק שעה אחריו נבראו היסודות וכן הלאה. כי לפי זה באותה שעה שהיה קיים רק תוהו או רק תוהו בוהו, היה מציאות בעולם לעצם שאינו מעויין, כלומר לעצם שהשכל העיוני לא משיג אותו בעיונו. כל הבריאה כולה אינה אלא שפה שהבורא דיבר בה, התגלה בה, והוא ברא בנו שכל שיכול לשמוע את השפה הזו. המציאות היא רק התגלות. לכן לא יתכן שתהיה אפילו רגע קיימת מציאות שאינה התגלות הבורא, שאיננ מעויינת, והתוהו הוא לא נתפש בשכל ולכן אינו התגלות ולכן לא יתכן שיהיה רגע בעולם שאז יש רק תוהו. גם הבוהו והיסודות הטהורים אינם מושגים בשכל ולא התקיימו גם לא לרגע. אלא מהרגע הראשון כבר היה חומר מורכב מד' יסודות עם הצורות, רק שהניתוח השכלי משיג שהסדר הלוגי הוא שקודם יש תוהו ואחר כך בוהו ואחר כך יסודות וכו'. כמו למשל שאין רגע אחד בזמן שקיימת בו שמש בלי שבאותו רגע כבר קיימות גם קרני האור, ועדיין אנו אומרים שקודם יש שמש לחוד בלי קרניים, ורק אחר כך יש קרני אור, והכוונה "קודם" ו"אחר כך" מבחינת סדר לוגי, יותר </w:t>
      </w:r>
      <w:r w:rsidR="009C463A">
        <w:rPr>
          <w:rFonts w:hint="cs"/>
          <w:rtl/>
        </w:rPr>
        <w:t>מדויק</w:t>
      </w:r>
      <w:r>
        <w:rPr>
          <w:rtl/>
        </w:rPr>
        <w:t xml:space="preserve"> 'סדר </w:t>
      </w:r>
      <w:r w:rsidR="009C463A">
        <w:rPr>
          <w:rFonts w:hint="cs"/>
          <w:rtl/>
        </w:rPr>
        <w:t>ההוויה</w:t>
      </w:r>
      <w:r>
        <w:rPr>
          <w:rtl/>
        </w:rPr>
        <w:t>', כלומר קרני האור מקבלות מציאות מהשמש ולא השמש מקבלת מציאות מהקרניים ולכן השמש קודמת בסדר ההוויה אע"פ שאינה קודמת בזמן]"</w:t>
      </w:r>
    </w:p>
    <w:p w14:paraId="7D8718FB" w14:textId="4BAD70A9" w:rsidR="003F68A3" w:rsidRDefault="003F68A3" w:rsidP="003F68A3">
      <w:pPr>
        <w:pStyle w:val="FootnoteText"/>
      </w:pPr>
    </w:p>
    <w:p w14:paraId="3C6E2080" w14:textId="37B5E22C" w:rsidR="00F013C6" w:rsidRDefault="003F68A3" w:rsidP="003F68A3">
      <w:pPr>
        <w:pStyle w:val="FootnoteText"/>
      </w:pPr>
      <w:r>
        <w:rPr>
          <w:rtl/>
        </w:rPr>
        <w:t xml:space="preserve">יש שם עוד המשך שמחדד את ההבנה בזה, שהוא חולק שם על אבן גבירול בששה עניינים בנושא הזה. זה לא מוסיף בעיקרי היסודות של הבנת הדברים וקצת מייגע, והלשון קשה, אבל בכל זאת מחדד. אפשר לראות בפנים, הספר נמצא באתר </w:t>
      </w:r>
      <w:r>
        <w:t>hebrewbooks</w:t>
      </w:r>
      <w:r w:rsidR="00C10CBA">
        <w:rPr>
          <w:rFonts w:hint="cs"/>
          <w:rtl/>
        </w:rPr>
        <w:t>.</w:t>
      </w:r>
      <w:r w:rsidR="005557E8">
        <w:rPr>
          <w:rFonts w:hint="cs"/>
          <w:rtl/>
        </w:rPr>
        <w:t xml:space="preserve"> </w:t>
      </w:r>
    </w:p>
  </w:footnote>
  <w:footnote w:id="161">
    <w:p w14:paraId="7DDB1A09" w14:textId="020E4ACE" w:rsidR="00A1491A" w:rsidRDefault="00A1491A">
      <w:pPr>
        <w:pStyle w:val="FootnoteText"/>
      </w:pPr>
      <w:r>
        <w:rPr>
          <w:rStyle w:val="FootnoteReference"/>
        </w:rPr>
        <w:footnoteRef/>
      </w:r>
      <w:r>
        <w:rPr>
          <w:rtl/>
        </w:rPr>
        <w:t xml:space="preserve"> </w:t>
      </w:r>
      <w:r>
        <w:rPr>
          <w:rFonts w:hint="cs"/>
          <w:rtl/>
        </w:rPr>
        <w:t xml:space="preserve">אבן סינא הולך בעקבות אריסטו ולפעמים אומר </w:t>
      </w:r>
      <w:r w:rsidR="00F055C8">
        <w:rPr>
          <w:rtl/>
        </w:rPr>
        <w:t>"</w:t>
      </w:r>
      <w:r>
        <w:rPr>
          <w:rFonts w:hint="cs"/>
          <w:rtl/>
        </w:rPr>
        <w:t>אם</w:t>
      </w:r>
      <w:r w:rsidR="00F055C8">
        <w:rPr>
          <w:rtl/>
        </w:rPr>
        <w:t>"</w:t>
      </w:r>
      <w:r>
        <w:rPr>
          <w:rFonts w:hint="cs"/>
        </w:rPr>
        <w:t xml:space="preserve"> </w:t>
      </w:r>
      <w:r>
        <w:rPr>
          <w:rFonts w:hint="cs"/>
          <w:rtl/>
        </w:rPr>
        <w:t xml:space="preserve">על דבר שהוא וודאי. גם כאן, וודאי צורת התלת ממדיות הראשונית קיימת ואין בזה ספק. </w:t>
      </w:r>
    </w:p>
  </w:footnote>
  <w:footnote w:id="162">
    <w:p w14:paraId="2272F0AA" w14:textId="29B7C2B8" w:rsidR="00CE2212" w:rsidRDefault="00CE2212">
      <w:pPr>
        <w:pStyle w:val="FootnoteText"/>
      </w:pPr>
      <w:r>
        <w:rPr>
          <w:rStyle w:val="FootnoteReference"/>
        </w:rPr>
        <w:footnoteRef/>
      </w:r>
      <w:r>
        <w:rPr>
          <w:rtl/>
        </w:rPr>
        <w:t xml:space="preserve"> </w:t>
      </w:r>
      <w:r>
        <w:rPr>
          <w:rFonts w:hint="cs"/>
          <w:rtl/>
        </w:rPr>
        <w:t xml:space="preserve">מקגיניס </w:t>
      </w:r>
      <w:r w:rsidRPr="00CE2212">
        <w:rPr>
          <w:rtl/>
        </w:rPr>
        <w:t xml:space="preserve">ציין ל </w:t>
      </w:r>
      <w:r w:rsidRPr="00F73827">
        <w:rPr>
          <w:rFonts w:asciiTheme="majorBidi" w:hAnsiTheme="majorBidi" w:cstheme="majorBidi"/>
        </w:rPr>
        <w:t>Ilāhīyāt of the Najāt</w:t>
      </w:r>
      <w:r w:rsidRPr="00CE2212">
        <w:t xml:space="preserve"> 2.12</w:t>
      </w:r>
      <w:r w:rsidRPr="00CE2212">
        <w:rPr>
          <w:rtl/>
        </w:rPr>
        <w:t>.</w:t>
      </w:r>
    </w:p>
  </w:footnote>
  <w:footnote w:id="163">
    <w:p w14:paraId="0CE66983" w14:textId="2BBADDDB" w:rsidR="00833EE5" w:rsidRDefault="00833EE5">
      <w:pPr>
        <w:pStyle w:val="FootnoteText"/>
      </w:pPr>
      <w:r>
        <w:rPr>
          <w:rStyle w:val="FootnoteReference"/>
        </w:rPr>
        <w:footnoteRef/>
      </w:r>
      <w:r>
        <w:rPr>
          <w:rtl/>
        </w:rPr>
        <w:t xml:space="preserve"> </w:t>
      </w:r>
      <w:r>
        <w:rPr>
          <w:rFonts w:hint="cs"/>
          <w:rtl/>
        </w:rPr>
        <w:t xml:space="preserve">צורת התלת ממדיות שהיא החלל הריק התלת ממדי, יש בה אפשרות לכל הגופים, בכך שיכול להיות בתוכה מקום של כל גוף. אחרי שמתפרט בה מקום של גוף </w:t>
      </w:r>
      <w:r w:rsidR="009C463A">
        <w:rPr>
          <w:rFonts w:hint="cs"/>
          <w:rtl/>
        </w:rPr>
        <w:t>מסוים</w:t>
      </w:r>
      <w:r>
        <w:rPr>
          <w:rFonts w:hint="cs"/>
          <w:rtl/>
        </w:rPr>
        <w:t xml:space="preserve">, דהיינו מידותיו, המקום מעצמו בהכרח מתמלא במהות, </w:t>
      </w:r>
      <w:r w:rsidR="00CE5234">
        <w:rPr>
          <w:rFonts w:hint="cs"/>
          <w:rtl/>
        </w:rPr>
        <w:t xml:space="preserve">כי לא יתכן מקום ריק; או שאין מקום כלל או שיש מקום שיש בו משהו. מקום שאין בו משהו, אין לו הגדרה היכן גבולותיו. המהות שמתמלאת בתוך המקום היא צורות </w:t>
      </w:r>
      <w:r>
        <w:rPr>
          <w:rFonts w:hint="cs"/>
          <w:rtl/>
        </w:rPr>
        <w:t>ארבעת היסודות</w:t>
      </w:r>
      <w:r w:rsidR="00CE5234">
        <w:rPr>
          <w:rFonts w:hint="cs"/>
          <w:rtl/>
        </w:rPr>
        <w:t xml:space="preserve">, שמהותם היא נגזרת של המקום, כמו שהתבאר </w:t>
      </w:r>
      <w:r w:rsidR="00042843">
        <w:rPr>
          <w:rFonts w:hint="cs"/>
          <w:rtl/>
        </w:rPr>
        <w:t>ב</w:t>
      </w:r>
      <w:hyperlink r:id="rId39" w:history="1">
        <w:r w:rsidR="00042843" w:rsidRPr="00352619">
          <w:rPr>
            <w:rStyle w:val="Hyperlink"/>
            <w:rFonts w:hint="cs"/>
            <w:rtl/>
          </w:rPr>
          <w:t>רמיזות והערות</w:t>
        </w:r>
      </w:hyperlink>
      <w:r w:rsidR="00042843">
        <w:rPr>
          <w:rFonts w:hint="cs"/>
          <w:rtl/>
        </w:rPr>
        <w:t xml:space="preserve"> פיזיקה פרק ט</w:t>
      </w:r>
      <w:r w:rsidR="00F055C8">
        <w:rPr>
          <w:rtl/>
        </w:rPr>
        <w:t>"</w:t>
      </w:r>
      <w:r w:rsidR="00042843">
        <w:rPr>
          <w:rFonts w:hint="cs"/>
          <w:rtl/>
        </w:rPr>
        <w:t>ו עיין שם בהערות 108, 109 ועיין עוד שם בפרק י</w:t>
      </w:r>
      <w:r w:rsidR="00F055C8">
        <w:rPr>
          <w:rtl/>
        </w:rPr>
        <w:t>"</w:t>
      </w:r>
      <w:r w:rsidR="00042843">
        <w:rPr>
          <w:rFonts w:hint="cs"/>
          <w:rtl/>
        </w:rPr>
        <w:t>ב</w:t>
      </w:r>
      <w:r>
        <w:rPr>
          <w:rFonts w:hint="cs"/>
          <w:rtl/>
        </w:rPr>
        <w:t xml:space="preserve">. </w:t>
      </w:r>
    </w:p>
  </w:footnote>
  <w:footnote w:id="164">
    <w:p w14:paraId="6A2A7F04" w14:textId="66150420" w:rsidR="007C3D5D" w:rsidRDefault="007C3D5D">
      <w:pPr>
        <w:pStyle w:val="FootnoteText"/>
      </w:pPr>
      <w:r>
        <w:rPr>
          <w:rStyle w:val="FootnoteReference"/>
        </w:rPr>
        <w:footnoteRef/>
      </w:r>
      <w:r>
        <w:rPr>
          <w:rtl/>
        </w:rPr>
        <w:t xml:space="preserve"> </w:t>
      </w:r>
      <w:r>
        <w:rPr>
          <w:rFonts w:hint="cs"/>
          <w:rtl/>
        </w:rPr>
        <w:t xml:space="preserve">מקגיניס ציין ל </w:t>
      </w:r>
      <w:r w:rsidRPr="00F73827">
        <w:rPr>
          <w:rFonts w:asciiTheme="majorBidi" w:hAnsiTheme="majorBidi" w:cstheme="majorBidi"/>
        </w:rPr>
        <w:t>Ilāhīyāt</w:t>
      </w:r>
      <w:r w:rsidRPr="007C3D5D">
        <w:t xml:space="preserve"> 8.6</w:t>
      </w:r>
      <w:r w:rsidR="00F73827">
        <w:rPr>
          <w:rFonts w:hint="cs"/>
          <w:rtl/>
        </w:rPr>
        <w:t xml:space="preserve"> (מטאפיזיקה 8.6)</w:t>
      </w:r>
    </w:p>
  </w:footnote>
  <w:footnote w:id="165">
    <w:p w14:paraId="13B150C7" w14:textId="77777777" w:rsidR="00C90AA1" w:rsidRDefault="00C90AA1" w:rsidP="00C90AA1">
      <w:pPr>
        <w:pStyle w:val="FootnoteText"/>
        <w:rPr>
          <w:rtl/>
        </w:rPr>
      </w:pPr>
      <w:r>
        <w:rPr>
          <w:rStyle w:val="FootnoteReference"/>
        </w:rPr>
        <w:footnoteRef/>
      </w:r>
      <w:r>
        <w:rPr>
          <w:rtl/>
        </w:rPr>
        <w:t xml:space="preserve"> </w:t>
      </w:r>
      <w:r>
        <w:rPr>
          <w:rFonts w:hint="cs"/>
          <w:rtl/>
        </w:rPr>
        <w:t xml:space="preserve">'כולל' כשם עצם הוא מה שנקרא באנגלית (המקור לטיני) </w:t>
      </w:r>
      <w:bookmarkStart w:id="112" w:name="_Hlk95396822"/>
      <w:r>
        <w:t>universal</w:t>
      </w:r>
      <w:bookmarkEnd w:id="112"/>
      <w:r>
        <w:rPr>
          <w:rFonts w:hint="cs"/>
          <w:rtl/>
        </w:rPr>
        <w:t xml:space="preserve">. המין והסוג הם 'כוללים', כי הם כוללים בתוכם פרטים רבים, לעומת הפרט היחיד שאינו 'כולל' אלא הוא אינדיבידואל. לפי אפלטון ואריסטו שיש מציאות אונטולוגית ריאלית לכוללים, חשובה הגדרתם ככוללים לציין שהם ישויות שהן אידיאות מופשטות בלי גוף חומרי. האידיאה (נקראת גם 'הצורה') של כלב אינה שום כלב פרטי, ורק לכלבים פרטיים (אינדיבידואלים) יש גוף חומרי.  </w:t>
      </w:r>
    </w:p>
    <w:p w14:paraId="1474A150" w14:textId="77777777" w:rsidR="00C90AA1" w:rsidRDefault="00C90AA1" w:rsidP="00C90AA1">
      <w:pPr>
        <w:pStyle w:val="FootnoteText"/>
        <w:rPr>
          <w:rtl/>
        </w:rPr>
      </w:pPr>
      <w:r>
        <w:rPr>
          <w:rFonts w:hint="cs"/>
          <w:rtl/>
        </w:rPr>
        <w:t>כל הסיבות הפועלות הפרטיות שפועלות את הדברים הפרטיים, נכללות בסוג כללי שהוא הכולל 'פו</w:t>
      </w:r>
      <w:bookmarkStart w:id="113" w:name="_Hlk95397486"/>
      <w:r w:rsidRPr="001C0F7A">
        <w:rPr>
          <w:rtl/>
        </w:rPr>
        <w:t>עֵ</w:t>
      </w:r>
      <w:bookmarkEnd w:id="113"/>
      <w:r>
        <w:rPr>
          <w:rFonts w:hint="cs"/>
          <w:rtl/>
        </w:rPr>
        <w:t>ל'. כמו שכל הסוסים הפרטיים נכללים במין כללי שהוא הכולל 'סוס'.</w:t>
      </w:r>
    </w:p>
    <w:p w14:paraId="595D2452" w14:textId="5B7E9C96" w:rsidR="00C90AA1" w:rsidRDefault="00C90AA1" w:rsidP="00C90AA1">
      <w:pPr>
        <w:pStyle w:val="FootnoteText"/>
        <w:rPr>
          <w:rtl/>
        </w:rPr>
      </w:pPr>
      <w:r>
        <w:rPr>
          <w:rFonts w:hint="cs"/>
          <w:rtl/>
        </w:rPr>
        <w:t>לפי הדרך הראשונה, הפו</w:t>
      </w:r>
      <w:bookmarkStart w:id="114" w:name="_Hlk95401022"/>
      <w:r w:rsidRPr="00D367B3">
        <w:rPr>
          <w:rtl/>
        </w:rPr>
        <w:t>עֵ</w:t>
      </w:r>
      <w:bookmarkEnd w:id="114"/>
      <w:r>
        <w:rPr>
          <w:rFonts w:hint="cs"/>
          <w:rtl/>
        </w:rPr>
        <w:t>ל משותף לכל המציאות אע</w:t>
      </w:r>
      <w:r w:rsidR="00F055C8">
        <w:rPr>
          <w:rtl/>
        </w:rPr>
        <w:t>"</w:t>
      </w:r>
      <w:r>
        <w:rPr>
          <w:rFonts w:hint="cs"/>
          <w:rtl/>
        </w:rPr>
        <w:t>פ שהוא פועל רק דבר אחד ובמציאות יש הרבה דברים ולכל אחד מהם פו</w:t>
      </w:r>
      <w:r w:rsidRPr="007B7BAE">
        <w:rPr>
          <w:rtl/>
        </w:rPr>
        <w:t>עֵ</w:t>
      </w:r>
      <w:r>
        <w:rPr>
          <w:rFonts w:hint="cs"/>
          <w:rtl/>
        </w:rPr>
        <w:t xml:space="preserve">ל משלו. כי אותו דבר אחד שהוא פועל, הוא הדבר שממנו משתלשלת כל המציאות, והיא כולה כלולה בו, ולכן נחשב שהוא פועל כללי על כל המציאות. </w:t>
      </w:r>
    </w:p>
    <w:p w14:paraId="654748B6" w14:textId="77777777" w:rsidR="00C90AA1" w:rsidRDefault="00C90AA1" w:rsidP="00C90AA1">
      <w:pPr>
        <w:pStyle w:val="FootnoteText"/>
      </w:pPr>
      <w:r>
        <w:rPr>
          <w:rFonts w:hint="cs"/>
          <w:rtl/>
        </w:rPr>
        <w:t xml:space="preserve">לפי הדרך השנייה, כל הפועלים הפרטיים הם תחת הסוג 'פועל', כמו שכל הסוסים הם תחת המין 'סוס'. 'כולל', </w:t>
      </w:r>
      <w:r>
        <w:rPr>
          <w:rFonts w:hint="cs"/>
          <w:rtl/>
        </w:rPr>
        <w:t xml:space="preserve">אוניברסל, הוא הצורה, וכל הפרטים מהותם נקבעת לפי צורתם, סוס הוא במהותו 'סוס' כי הוא תחת המין 'סוס', והוא במהותו 'חי' כי הוא תחת הסוג 'חי'. הסוג הכללי של 'פועל' כולל את מה שהחומר הראשון פועל את צורת התלת ממדיות, וגם את כל שאר הפועלים הפרטיים. כולם צורה אחת כוללת של 'פועל', כלומר מהות אחת, וכך הפועל הוא עניין משותף לכל הטבע לפי הדרך השנייה. </w:t>
      </w:r>
    </w:p>
  </w:footnote>
  <w:footnote w:id="166">
    <w:p w14:paraId="0B8C1763" w14:textId="56D0D97F" w:rsidR="0066407A" w:rsidRDefault="0066407A">
      <w:pPr>
        <w:pStyle w:val="FootnoteText"/>
      </w:pPr>
      <w:r>
        <w:rPr>
          <w:rStyle w:val="FootnoteReference"/>
        </w:rPr>
        <w:footnoteRef/>
      </w:r>
      <w:r>
        <w:rPr>
          <w:rtl/>
        </w:rPr>
        <w:t xml:space="preserve"> </w:t>
      </w:r>
      <w:r>
        <w:rPr>
          <w:rFonts w:hint="cs"/>
          <w:rtl/>
        </w:rPr>
        <w:t>שתי הדרכים שבסעיף הקודם.</w:t>
      </w:r>
    </w:p>
  </w:footnote>
  <w:footnote w:id="167">
    <w:p w14:paraId="213EEDC4" w14:textId="610D0F06" w:rsidR="00B80030" w:rsidRDefault="00B80030">
      <w:pPr>
        <w:pStyle w:val="FootnoteText"/>
      </w:pPr>
      <w:r>
        <w:rPr>
          <w:rStyle w:val="FootnoteReference"/>
        </w:rPr>
        <w:footnoteRef/>
      </w:r>
      <w:r>
        <w:rPr>
          <w:rtl/>
        </w:rPr>
        <w:t xml:space="preserve"> </w:t>
      </w:r>
      <w:r>
        <w:rPr>
          <w:rFonts w:hint="cs"/>
          <w:rtl/>
        </w:rPr>
        <w:t>כאינדיבידואל.</w:t>
      </w:r>
    </w:p>
  </w:footnote>
  <w:footnote w:id="168">
    <w:p w14:paraId="10726AC1" w14:textId="750537E4" w:rsidR="00B80030" w:rsidRDefault="00B80030">
      <w:pPr>
        <w:pStyle w:val="FootnoteText"/>
      </w:pPr>
      <w:r>
        <w:rPr>
          <w:rStyle w:val="FootnoteReference"/>
        </w:rPr>
        <w:footnoteRef/>
      </w:r>
      <w:r>
        <w:rPr>
          <w:rtl/>
        </w:rPr>
        <w:t xml:space="preserve"> </w:t>
      </w:r>
      <w:r>
        <w:rPr>
          <w:rFonts w:hint="cs"/>
          <w:rtl/>
        </w:rPr>
        <w:t xml:space="preserve">במקור: </w:t>
      </w:r>
      <w:r w:rsidRPr="00B80030">
        <w:rPr>
          <w:rFonts w:cs="Times New Roman" w:hint="eastAsia"/>
          <w:rtl/>
          <w:lang w:bidi="ar-SA"/>
        </w:rPr>
        <w:t>يكون</w:t>
      </w:r>
      <w:r w:rsidRPr="00B80030">
        <w:rPr>
          <w:rFonts w:cs="Times New Roman"/>
          <w:rtl/>
          <w:lang w:bidi="ar-SA"/>
        </w:rPr>
        <w:t xml:space="preserve"> </w:t>
      </w:r>
      <w:r w:rsidRPr="00B80030">
        <w:rPr>
          <w:rFonts w:cs="Times New Roman" w:hint="eastAsia"/>
          <w:rtl/>
          <w:lang w:bidi="ar-SA"/>
        </w:rPr>
        <w:t>في</w:t>
      </w:r>
      <w:r w:rsidRPr="00B80030">
        <w:rPr>
          <w:rFonts w:cs="Times New Roman"/>
          <w:rtl/>
          <w:lang w:bidi="ar-SA"/>
        </w:rPr>
        <w:t xml:space="preserve"> </w:t>
      </w:r>
      <w:r w:rsidRPr="00B80030">
        <w:rPr>
          <w:rFonts w:cs="Times New Roman" w:hint="eastAsia"/>
          <w:rtl/>
          <w:lang w:bidi="ar-SA"/>
        </w:rPr>
        <w:t>الوجود</w:t>
      </w:r>
      <w:r w:rsidRPr="00B80030">
        <w:rPr>
          <w:rFonts w:cs="Times New Roman"/>
          <w:rtl/>
          <w:lang w:bidi="ar-SA"/>
        </w:rPr>
        <w:t xml:space="preserve"> </w:t>
      </w:r>
      <w:r w:rsidRPr="00B80030">
        <w:rPr>
          <w:rFonts w:cs="Times New Roman" w:hint="eastAsia"/>
          <w:rtl/>
          <w:lang w:bidi="ar-SA"/>
        </w:rPr>
        <w:t>ذاتاً</w:t>
      </w:r>
      <w:r w:rsidRPr="00B80030">
        <w:rPr>
          <w:rFonts w:cs="Times New Roman"/>
          <w:rtl/>
          <w:lang w:bidi="ar-SA"/>
        </w:rPr>
        <w:t xml:space="preserve"> </w:t>
      </w:r>
      <w:r w:rsidRPr="00B80030">
        <w:rPr>
          <w:rFonts w:cs="Times New Roman" w:hint="eastAsia"/>
          <w:rtl/>
          <w:lang w:bidi="ar-SA"/>
        </w:rPr>
        <w:t>واحدة</w:t>
      </w:r>
      <w:r w:rsidRPr="00B80030">
        <w:rPr>
          <w:rFonts w:cs="Times New Roman"/>
          <w:rtl/>
          <w:lang w:bidi="ar-SA"/>
        </w:rPr>
        <w:t xml:space="preserve"> </w:t>
      </w:r>
      <w:r w:rsidRPr="00B80030">
        <w:rPr>
          <w:rFonts w:cs="Times New Roman" w:hint="eastAsia"/>
          <w:rtl/>
          <w:lang w:bidi="ar-SA"/>
        </w:rPr>
        <w:t>بالعدد</w:t>
      </w:r>
      <w:r>
        <w:rPr>
          <w:rFonts w:cs="Times New Roman" w:hint="cs"/>
          <w:rtl/>
        </w:rPr>
        <w:t xml:space="preserve">. </w:t>
      </w:r>
    </w:p>
  </w:footnote>
  <w:footnote w:id="169">
    <w:p w14:paraId="0733EA97" w14:textId="21A886DE" w:rsidR="00787396" w:rsidRDefault="0066407A" w:rsidP="00DC2234">
      <w:pPr>
        <w:pStyle w:val="FootnoteText"/>
        <w:rPr>
          <w:rtl/>
        </w:rPr>
      </w:pPr>
      <w:r>
        <w:rPr>
          <w:rStyle w:val="FootnoteReference"/>
        </w:rPr>
        <w:footnoteRef/>
      </w:r>
      <w:r>
        <w:rPr>
          <w:rtl/>
        </w:rPr>
        <w:t xml:space="preserve"> </w:t>
      </w:r>
      <w:r w:rsidR="00787396" w:rsidRPr="00787396">
        <w:rPr>
          <w:rFonts w:hint="cs"/>
          <w:b/>
          <w:bCs/>
          <w:sz w:val="28"/>
          <w:szCs w:val="28"/>
          <w:rtl/>
        </w:rPr>
        <w:t>האם המין הכולל נמצא באותו מובן של מציאות האינדיבידואל</w:t>
      </w:r>
      <w:r w:rsidR="00787396">
        <w:rPr>
          <w:b/>
          <w:bCs/>
          <w:sz w:val="28"/>
          <w:szCs w:val="28"/>
          <w:rtl/>
        </w:rPr>
        <w:fldChar w:fldCharType="begin"/>
      </w:r>
      <w:r w:rsidR="00787396">
        <w:instrText xml:space="preserve"> XE "</w:instrText>
      </w:r>
      <w:r w:rsidR="00787396" w:rsidRPr="003271CF">
        <w:rPr>
          <w:rFonts w:hint="cs"/>
          <w:rtl/>
        </w:rPr>
        <w:instrText>מאמר</w:instrText>
      </w:r>
      <w:r w:rsidR="00787396" w:rsidRPr="003271CF">
        <w:rPr>
          <w:rtl/>
        </w:rPr>
        <w:instrText>:האם המין הכולל נמצא באותו מובן של מציאות האינדיבידואל</w:instrText>
      </w:r>
      <w:r w:rsidR="00787396">
        <w:instrText xml:space="preserve">" </w:instrText>
      </w:r>
      <w:r w:rsidR="00787396">
        <w:rPr>
          <w:b/>
          <w:bCs/>
          <w:sz w:val="28"/>
          <w:szCs w:val="28"/>
          <w:rtl/>
        </w:rPr>
        <w:fldChar w:fldCharType="end"/>
      </w:r>
    </w:p>
    <w:p w14:paraId="2A7DFD5D" w14:textId="69E18434" w:rsidR="00DC2234" w:rsidRDefault="0066407A" w:rsidP="00DC2234">
      <w:pPr>
        <w:pStyle w:val="FootnoteText"/>
        <w:rPr>
          <w:rtl/>
        </w:rPr>
      </w:pPr>
      <w:r>
        <w:rPr>
          <w:rFonts w:hint="cs"/>
          <w:rtl/>
        </w:rPr>
        <w:t xml:space="preserve">בקטגוריות כתב אריסטו </w:t>
      </w:r>
      <w:r w:rsidR="00DC2234">
        <w:rPr>
          <w:rFonts w:hint="cs"/>
          <w:rtl/>
        </w:rPr>
        <w:t>ש</w:t>
      </w:r>
      <w:bookmarkStart w:id="116" w:name="_Hlk98526459"/>
      <w:r w:rsidR="00DC2234">
        <w:rPr>
          <w:rFonts w:hint="cs"/>
          <w:rtl/>
        </w:rPr>
        <w:t>הנמצא במובן הכי אמיתי</w:t>
      </w:r>
      <w:r w:rsidR="00427A57">
        <w:rPr>
          <w:rFonts w:hint="cs"/>
          <w:rtl/>
        </w:rPr>
        <w:t xml:space="preserve"> ראשוני</w:t>
      </w:r>
      <w:r w:rsidR="00DC2234">
        <w:rPr>
          <w:rFonts w:hint="cs"/>
          <w:rtl/>
        </w:rPr>
        <w:t xml:space="preserve"> ומוחלט זה </w:t>
      </w:r>
      <w:r w:rsidR="00DC2234">
        <w:rPr>
          <w:rFonts w:hint="cs"/>
          <w:rtl/>
        </w:rPr>
        <w:t>האידיבידואל</w:t>
      </w:r>
      <w:bookmarkEnd w:id="116"/>
      <w:r w:rsidR="00787396">
        <w:rPr>
          <w:rtl/>
        </w:rPr>
        <w:fldChar w:fldCharType="begin"/>
      </w:r>
      <w:r w:rsidR="00787396">
        <w:instrText xml:space="preserve"> XE "</w:instrText>
      </w:r>
      <w:r w:rsidR="00787396" w:rsidRPr="00CD43A5">
        <w:rPr>
          <w:rFonts w:hint="cs"/>
          <w:rtl/>
        </w:rPr>
        <w:instrText>אריסטו</w:instrText>
      </w:r>
      <w:r w:rsidR="00787396" w:rsidRPr="00CD43A5">
        <w:rPr>
          <w:rtl/>
        </w:rPr>
        <w:instrText>:</w:instrText>
      </w:r>
      <w:r w:rsidR="00787396" w:rsidRPr="00CD43A5">
        <w:rPr>
          <w:rFonts w:hint="cs"/>
          <w:rtl/>
        </w:rPr>
        <w:instrText>הנמצא במובן האמיתי הוא האינדיבידואל והמין הכולל הוא לא מחוץ לשכל</w:instrText>
      </w:r>
      <w:r w:rsidR="00787396">
        <w:instrText xml:space="preserve">" </w:instrText>
      </w:r>
      <w:r w:rsidR="00787396">
        <w:rPr>
          <w:rtl/>
        </w:rPr>
        <w:fldChar w:fldCharType="end"/>
      </w:r>
      <w:r w:rsidR="00DC2234">
        <w:rPr>
          <w:rFonts w:hint="cs"/>
          <w:rtl/>
        </w:rPr>
        <w:t>, 'ראובן'. 'ראובן' נאמר רק על יחיד. הכוללים שהם המין 'אדם' והסוג 'חי' נאמרים על רבים, על כל בני האדם ועל כל החיים. הכוללים נמצאים, אבל מציאותם משנית, היא נשענת על המציאות הראשונית של האינדיבידואל, הפרט. וכן כתב במורה נבוכים ג' י</w:t>
      </w:r>
      <w:r w:rsidR="00F055C8">
        <w:rPr>
          <w:rtl/>
        </w:rPr>
        <w:t>"</w:t>
      </w:r>
      <w:r w:rsidR="00DC2234">
        <w:rPr>
          <w:rFonts w:hint="cs"/>
          <w:rtl/>
        </w:rPr>
        <w:t>ח</w:t>
      </w:r>
      <w:r w:rsidR="00787396">
        <w:rPr>
          <w:rtl/>
        </w:rPr>
        <w:fldChar w:fldCharType="begin"/>
      </w:r>
      <w:r w:rsidR="00787396">
        <w:instrText xml:space="preserve"> XE "</w:instrText>
      </w:r>
      <w:r w:rsidR="00787396" w:rsidRPr="00C65F23">
        <w:rPr>
          <w:rFonts w:hint="cs"/>
          <w:rtl/>
        </w:rPr>
        <w:instrText>מורה נבוכים ג' י</w:instrText>
      </w:r>
      <w:r w:rsidR="00787396">
        <w:rPr>
          <w:b/>
          <w:bCs/>
          <w:sz w:val="20"/>
          <w:szCs w:val="20"/>
        </w:rPr>
        <w:instrText>\</w:instrText>
      </w:r>
      <w:r w:rsidR="00787396" w:rsidRPr="00C65F23">
        <w:rPr>
          <w:rFonts w:hint="cs"/>
          <w:rtl/>
        </w:rPr>
        <w:instrText xml:space="preserve">"ח - </w:instrText>
      </w:r>
      <w:r w:rsidR="00416E4D">
        <w:rPr>
          <w:rFonts w:hint="cs"/>
          <w:rtl/>
        </w:rPr>
        <w:instrText>המין אינו חוץ לשכל</w:instrText>
      </w:r>
      <w:r w:rsidR="00787396">
        <w:instrText xml:space="preserve">" </w:instrText>
      </w:r>
      <w:r w:rsidR="00787396">
        <w:rPr>
          <w:rtl/>
        </w:rPr>
        <w:fldChar w:fldCharType="end"/>
      </w:r>
      <w:r w:rsidR="00DC2234">
        <w:rPr>
          <w:rFonts w:hint="cs"/>
          <w:rtl/>
        </w:rPr>
        <w:t xml:space="preserve">. </w:t>
      </w:r>
    </w:p>
    <w:p w14:paraId="16ED5AD9" w14:textId="20C9B57C" w:rsidR="008C11EC" w:rsidRDefault="00DC2234" w:rsidP="00790582">
      <w:pPr>
        <w:pStyle w:val="FootnoteText"/>
        <w:rPr>
          <w:rtl/>
        </w:rPr>
      </w:pPr>
      <w:r>
        <w:rPr>
          <w:rFonts w:hint="cs"/>
          <w:rtl/>
        </w:rPr>
        <w:t>אמנם</w:t>
      </w:r>
      <w:r w:rsidR="00F350F7">
        <w:rPr>
          <w:rtl/>
        </w:rPr>
        <w:fldChar w:fldCharType="begin"/>
      </w:r>
      <w:r w:rsidR="00F350F7">
        <w:instrText xml:space="preserve"> XE "</w:instrText>
      </w:r>
      <w:r w:rsidR="00F350F7" w:rsidRPr="0038159F">
        <w:rPr>
          <w:rFonts w:hint="cs"/>
          <w:rtl/>
        </w:rPr>
        <w:instrText>אריסטו</w:instrText>
      </w:r>
      <w:r w:rsidR="00F350F7" w:rsidRPr="0038159F">
        <w:rPr>
          <w:rtl/>
        </w:rPr>
        <w:instrText>:מקורות על קיום עצם לא חומרי</w:instrText>
      </w:r>
      <w:r w:rsidR="00F350F7">
        <w:instrText xml:space="preserve">" </w:instrText>
      </w:r>
      <w:r w:rsidR="00F350F7">
        <w:rPr>
          <w:rtl/>
        </w:rPr>
        <w:fldChar w:fldCharType="end"/>
      </w:r>
      <w:r>
        <w:rPr>
          <w:rFonts w:hint="cs"/>
          <w:rtl/>
        </w:rPr>
        <w:t xml:space="preserve"> במקומות רבים, ובעיקר במטאפיזיקה למבדא, כתב אריסטו שהכוללים יש להם מציאות, אע</w:t>
      </w:r>
      <w:r w:rsidR="00F055C8">
        <w:rPr>
          <w:rtl/>
        </w:rPr>
        <w:t>"</w:t>
      </w:r>
      <w:r>
        <w:rPr>
          <w:rFonts w:hint="cs"/>
          <w:rtl/>
        </w:rPr>
        <w:t>פ שהם מופשטים מחומר, ושמציאותם קודמת למציאות הפרטים</w:t>
      </w:r>
      <w:bookmarkStart w:id="117" w:name="_Hlk98540310"/>
      <w:bookmarkStart w:id="118" w:name="_Hlk99212076"/>
      <w:r w:rsidR="00790582">
        <w:rPr>
          <w:rFonts w:hint="cs"/>
          <w:rtl/>
        </w:rPr>
        <w:t>,</w:t>
      </w:r>
    </w:p>
    <w:p w14:paraId="03BDEB0C" w14:textId="22A1B4E3" w:rsidR="002755DB" w:rsidRDefault="002755DB" w:rsidP="002755DB">
      <w:pPr>
        <w:pStyle w:val="FootnoteText"/>
        <w:rPr>
          <w:rtl/>
        </w:rPr>
      </w:pPr>
      <w:r>
        <w:rPr>
          <w:rtl/>
        </w:rPr>
        <w:t>במטאפיזיקה למבדא מפרק ו' אריסטו מבאר שיש ישים שיש להם גוף חומרי ויש ישים שאין להם גוף חומרי. בפרק ח' שם מבואר שלא רק לאלוה אין גוף חומרי אלא גם לשכלים הנפרדים המרובים (מה שכתב שם בסוף הפרק שכל שכל נפרד הוא אלוהות בפני עצמה, זה בלי שום ספק לא דעת אריסטו, אפשר שאולץ לזה או שזו תוספת מאוחרת, והסגנון הלשוני של אותה תוספת אינו סגנונו של המטאפיזיקה למבדא כלל</w:t>
      </w:r>
      <w:r w:rsidR="00A56E64">
        <w:rPr>
          <w:rFonts w:hint="cs"/>
          <w:rtl/>
        </w:rPr>
        <w:t>, וכבר עמדו בזה החוקרים</w:t>
      </w:r>
      <w:r>
        <w:rPr>
          <w:rtl/>
        </w:rPr>
        <w:t xml:space="preserve">. בכמה מקומות במטאפיזיקה למבדא כתב בפירוש שהאלוה הוא אחד, וכן הוא הניסוח הנמלץ של סיום מטאפיזיקה למבדא, והאחדות של המניע הראשון או סיבת הסיבות היא יסוד שיטתו בכל הנושאים המרכזיים, ובמקום אחר הארכתי). </w:t>
      </w:r>
    </w:p>
    <w:p w14:paraId="27EECCEE" w14:textId="2651CDD5" w:rsidR="002755DB" w:rsidRDefault="002755DB" w:rsidP="002755DB">
      <w:pPr>
        <w:pStyle w:val="FootnoteText"/>
        <w:rPr>
          <w:rtl/>
        </w:rPr>
      </w:pPr>
      <w:r>
        <w:rPr>
          <w:rtl/>
        </w:rPr>
        <w:t xml:space="preserve">ועי' במטאפיזיקה למבדא פרק א' (1069א) </w:t>
      </w:r>
      <w:r w:rsidR="00F055C8">
        <w:rPr>
          <w:rtl/>
        </w:rPr>
        <w:t>"</w:t>
      </w:r>
      <w:r>
        <w:rPr>
          <w:rtl/>
        </w:rPr>
        <w:t>אמנם רוצים יותר בני דורנו לקבוע כעצמים את הדברים הכוללים</w:t>
      </w:r>
      <w:r w:rsidR="00F055C8">
        <w:rPr>
          <w:rtl/>
        </w:rPr>
        <w:t>"</w:t>
      </w:r>
      <w:r>
        <w:rPr>
          <w:rtl/>
        </w:rPr>
        <w:t xml:space="preserve">, ושם: </w:t>
      </w:r>
      <w:r w:rsidR="00F055C8">
        <w:rPr>
          <w:rtl/>
        </w:rPr>
        <w:t>"</w:t>
      </w:r>
      <w:r>
        <w:rPr>
          <w:rtl/>
        </w:rPr>
        <w:t>האחר הוא בלתי ניתן להתנועע</w:t>
      </w:r>
      <w:r w:rsidR="00F055C8">
        <w:rPr>
          <w:rtl/>
        </w:rPr>
        <w:t>"</w:t>
      </w:r>
      <w:r>
        <w:rPr>
          <w:rtl/>
        </w:rPr>
        <w:t>, ושם בסיום פרק א' שהעצם האחר שייך לחקירה ממין אחר  ועיין עוד שם סמוך לסוף פרק ג' על הישארות הנפש.</w:t>
      </w:r>
    </w:p>
    <w:p w14:paraId="1A2CB4EB" w14:textId="756CBEEF" w:rsidR="00987027" w:rsidRDefault="00987027" w:rsidP="002755DB">
      <w:pPr>
        <w:pStyle w:val="FootnoteText"/>
      </w:pPr>
      <w:r w:rsidRPr="00987027">
        <w:rPr>
          <w:rtl/>
        </w:rPr>
        <w:t xml:space="preserve">ועיין ביותר במטאפיזיקה למבדא פרק י' ובעיקר בסיום הפרק. </w:t>
      </w:r>
    </w:p>
    <w:p w14:paraId="7ADC8694" w14:textId="011F14DD" w:rsidR="00790582" w:rsidRDefault="002755DB" w:rsidP="002755DB">
      <w:pPr>
        <w:pStyle w:val="FootnoteText"/>
        <w:rPr>
          <w:rtl/>
        </w:rPr>
      </w:pPr>
      <w:r>
        <w:rPr>
          <w:rtl/>
        </w:rPr>
        <w:t>וכן ב</w:t>
      </w:r>
      <w:r w:rsidR="00F055C8">
        <w:rPr>
          <w:rtl/>
        </w:rPr>
        <w:t>"</w:t>
      </w:r>
      <w:r>
        <w:rPr>
          <w:rtl/>
        </w:rPr>
        <w:t>על הנפש</w:t>
      </w:r>
      <w:r w:rsidR="00F055C8">
        <w:rPr>
          <w:rtl/>
        </w:rPr>
        <w:t>"</w:t>
      </w:r>
      <w:r>
        <w:rPr>
          <w:rtl/>
        </w:rPr>
        <w:t xml:space="preserve"> ג' ה' לגבי השכל הפועל כתב שהוא נפרד מהחומר, ולכן הוא אל-מותי ונצחי. וכן בפיזיקה א' ט' מבואר שהמופשט נמצא כמופשט, ועיין מטאפיזיקה תטא (1051א שורה 20), ובמטאפיזיקה אטא פרק ו' (סוף 1045א), ובמטאפיזיקה זתא סוף פרק י</w:t>
      </w:r>
      <w:r w:rsidR="00F055C8">
        <w:rPr>
          <w:rtl/>
        </w:rPr>
        <w:t>"</w:t>
      </w:r>
      <w:r>
        <w:rPr>
          <w:rtl/>
        </w:rPr>
        <w:t>א (בקטע שמסתיים ב 1037א שורה 4), במטאפיזיקה זתא פרק י'</w:t>
      </w:r>
      <w:r w:rsidR="00B57C48">
        <w:rPr>
          <w:rFonts w:hint="cs"/>
          <w:rtl/>
        </w:rPr>
        <w:t>,</w:t>
      </w:r>
      <w:r w:rsidR="00B8672C">
        <w:rPr>
          <w:rFonts w:hint="cs"/>
          <w:rtl/>
        </w:rPr>
        <w:t xml:space="preserve"> </w:t>
      </w:r>
      <w:r w:rsidR="00B57C48" w:rsidRPr="00B57C48">
        <w:rPr>
          <w:rtl/>
        </w:rPr>
        <w:t>ב</w:t>
      </w:r>
      <w:r w:rsidR="00F055C8">
        <w:rPr>
          <w:rtl/>
        </w:rPr>
        <w:t>"</w:t>
      </w:r>
      <w:r w:rsidR="00B57C48" w:rsidRPr="00B57C48">
        <w:rPr>
          <w:rtl/>
        </w:rPr>
        <w:t>על התהוות בעלי החיים</w:t>
      </w:r>
      <w:r w:rsidR="00F055C8">
        <w:rPr>
          <w:rtl/>
        </w:rPr>
        <w:t>"</w:t>
      </w:r>
      <w:r w:rsidR="00B57C48" w:rsidRPr="00B57C48">
        <w:rPr>
          <w:rtl/>
        </w:rPr>
        <w:t xml:space="preserve"> ספר ב' פרק ג' על שלושת סוגי הנפש שאחד מהם הוא השכלית שאינה תלויה בגוף,</w:t>
      </w:r>
      <w:r>
        <w:rPr>
          <w:rtl/>
        </w:rPr>
        <w:t xml:space="preserve"> וכן בעוד מקומות רבים. מטאפיזיקה ספרים מ' ונ' עוסקים כולם בנמצאים מופשטים מחומר (משום מה החוקרים מתעלמים לגמרי מספרים אלה). </w:t>
      </w:r>
    </w:p>
    <w:bookmarkEnd w:id="117"/>
    <w:bookmarkEnd w:id="118"/>
    <w:p w14:paraId="7E7B97A4" w14:textId="77777777" w:rsidR="009A4729" w:rsidRDefault="009A4729" w:rsidP="00DC2234">
      <w:pPr>
        <w:pStyle w:val="FootnoteText"/>
        <w:rPr>
          <w:rtl/>
        </w:rPr>
      </w:pPr>
    </w:p>
    <w:p w14:paraId="3B893746" w14:textId="56169923" w:rsidR="00DC2234" w:rsidRDefault="00DC2234" w:rsidP="00DC2234">
      <w:pPr>
        <w:pStyle w:val="FootnoteText"/>
        <w:rPr>
          <w:rtl/>
        </w:rPr>
      </w:pPr>
      <w:r>
        <w:rPr>
          <w:rFonts w:hint="cs"/>
          <w:rtl/>
        </w:rPr>
        <w:t>וכן כתב הרמב</w:t>
      </w:r>
      <w:r w:rsidR="00F055C8">
        <w:rPr>
          <w:rtl/>
        </w:rPr>
        <w:t>"</w:t>
      </w:r>
      <w:r>
        <w:rPr>
          <w:rFonts w:hint="cs"/>
          <w:rtl/>
        </w:rPr>
        <w:t>ם באיגרת תחיית המתים:</w:t>
      </w:r>
    </w:p>
    <w:p w14:paraId="10A82B52" w14:textId="362A840F" w:rsidR="0066407A" w:rsidRDefault="00F055C8" w:rsidP="00DC2234">
      <w:pPr>
        <w:pStyle w:val="FootnoteText"/>
        <w:rPr>
          <w:rtl/>
        </w:rPr>
      </w:pPr>
      <w:r>
        <w:rPr>
          <w:rtl/>
        </w:rPr>
        <w:t>"</w:t>
      </w:r>
      <w:r w:rsidR="00DC2234" w:rsidRPr="00DC2234">
        <w:rPr>
          <w:rtl/>
        </w:rPr>
        <w:t>מה שיעלה בדמיון ההמון אשר לא יאמינו שיש מציאות חזקה רק לגוף ומה שאינו גוף אבל הוא בגוף, רצה לומר כמקרים הוא גם כן נמצא אצלם אבל אין חזקתו במציאותו כחוזק הגוף. ואולם מה שאינו גוף ולא מקרה בגוף אינו נמצא אצל הסכלים אשר הם בלא ספק, אף על פי שהזקינו, גמולי מחלב עתיקי משדים, ומפני זה יאמינו רובם שהשם גוף אצלם, שאם לא יהיה גוף אינו נמצא. ואמנם הנקראים חכמים באמת, לא על דרך העברה, הנה התבאר אצלם, שכל נבדל מן החומר הוא יותר חזק המציאות מבעל החומר, ואין ראוי לומר יותר חזק, אבל מציאות הנבדל יותר אמתית, מפני שלא ישיגהו אחד מאופני השנוי, והם אשר התבאר אצלם במופת שהשם אינו גוף, ומפני זה מדרגת מציאותו יתעלה בתכלית החזוק. וכן כל נברא נבדל, רוצה לומר המלאכים והשכל, הוא במציאותו חזק מאד, קיים יותר מכל גוף, ומפני זה נאמין אנחנו שהמלאכים אינם גופות, ושבני העולם הבא נפשות נבדלות, רוצה לומר דעות.</w:t>
      </w:r>
      <w:r>
        <w:rPr>
          <w:rtl/>
        </w:rPr>
        <w:t>"</w:t>
      </w:r>
      <w:r w:rsidR="00DC2234">
        <w:rPr>
          <w:rFonts w:hint="cs"/>
          <w:rtl/>
        </w:rPr>
        <w:t xml:space="preserve">  </w:t>
      </w:r>
    </w:p>
    <w:p w14:paraId="60E017B6" w14:textId="0FF251AB" w:rsidR="0035421E" w:rsidRDefault="00CC33AF" w:rsidP="00CC33AF">
      <w:pPr>
        <w:pStyle w:val="FootnoteText"/>
        <w:rPr>
          <w:rtl/>
        </w:rPr>
      </w:pPr>
      <w:r>
        <w:rPr>
          <w:rFonts w:hint="cs"/>
          <w:rtl/>
        </w:rPr>
        <w:t>הנרבוני על מורה נבוכים ב' מ</w:t>
      </w:r>
      <w:r w:rsidR="00F055C8">
        <w:rPr>
          <w:rtl/>
        </w:rPr>
        <w:t>"</w:t>
      </w:r>
      <w:r>
        <w:rPr>
          <w:rFonts w:hint="cs"/>
          <w:rtl/>
        </w:rPr>
        <w:t>ב</w:t>
      </w:r>
      <w:r w:rsidR="00B63B15">
        <w:rPr>
          <w:rtl/>
        </w:rPr>
        <w:fldChar w:fldCharType="begin"/>
      </w:r>
      <w:r w:rsidR="00B63B15">
        <w:instrText xml:space="preserve"> XE "</w:instrText>
      </w:r>
      <w:r w:rsidR="00B63B15" w:rsidRPr="005A5793">
        <w:rPr>
          <w:rFonts w:hint="cs"/>
          <w:rtl/>
        </w:rPr>
        <w:instrText>מורה נבוכים ב' מ</w:instrText>
      </w:r>
      <w:r w:rsidR="00B63B15">
        <w:rPr>
          <w:b/>
          <w:bCs/>
          <w:sz w:val="20"/>
          <w:szCs w:val="20"/>
        </w:rPr>
        <w:instrText>\</w:instrText>
      </w:r>
      <w:r w:rsidR="00B63B15" w:rsidRPr="005A5793">
        <w:rPr>
          <w:rFonts w:hint="cs"/>
          <w:rtl/>
        </w:rPr>
        <w:instrText>"ב</w:instrText>
      </w:r>
      <w:r w:rsidR="00B63B15">
        <w:instrText xml:space="preserve">" </w:instrText>
      </w:r>
      <w:r w:rsidR="00B63B15">
        <w:rPr>
          <w:rtl/>
        </w:rPr>
        <w:fldChar w:fldCharType="end"/>
      </w:r>
      <w:r>
        <w:rPr>
          <w:rFonts w:hint="cs"/>
          <w:rtl/>
        </w:rPr>
        <w:t xml:space="preserve">, ביאר כוונת המורה נבוכים שם, שהמציאות העיקרית הראשונית כולה היא רק בשכל ואינה כלל מחוץ לשכל, וכל מה שמחוץ לשכל הוא רק חיקוי למציאות שבתוך השכל. זו הסתכלות החכמים שאצלם אין הפרדה שאומרת שהפרט קיים מחוץ לשכל והכולל קיים רק בתוך השכל. ואצלם מציאותם של הכוללים, המין והסוג, היא עיקרית וחזקה יותר המציאות של הפרט שהיא רק נגזרת ממציאותם של הכוללים. הכוללים הם האידיאות האפלטוניות, ואפלטון דיבר מצד הסתכלות החכמים. </w:t>
      </w:r>
    </w:p>
    <w:p w14:paraId="26977D76" w14:textId="170D5C19" w:rsidR="00CC33AF" w:rsidRDefault="00CC33AF" w:rsidP="00CC33AF">
      <w:pPr>
        <w:pStyle w:val="FootnoteText"/>
        <w:rPr>
          <w:rtl/>
        </w:rPr>
      </w:pPr>
      <w:r>
        <w:rPr>
          <w:rFonts w:hint="cs"/>
          <w:rtl/>
        </w:rPr>
        <w:t xml:space="preserve">אריסטו בקטגוריות </w:t>
      </w:r>
      <w:r w:rsidR="00DD13D9">
        <w:rPr>
          <w:rFonts w:hint="cs"/>
          <w:rtl/>
        </w:rPr>
        <w:t xml:space="preserve">פרק ה' </w:t>
      </w:r>
      <w:r>
        <w:rPr>
          <w:rFonts w:hint="cs"/>
          <w:rtl/>
        </w:rPr>
        <w:t>כתב לפי דרך הפיזיקה</w:t>
      </w:r>
      <w:r w:rsidR="004E28ED">
        <w:rPr>
          <w:rFonts w:hint="cs"/>
          <w:rtl/>
        </w:rPr>
        <w:t xml:space="preserve"> (</w:t>
      </w:r>
      <w:r>
        <w:rPr>
          <w:rFonts w:hint="cs"/>
          <w:rtl/>
        </w:rPr>
        <w:t xml:space="preserve">היא </w:t>
      </w:r>
      <w:r w:rsidR="00F055C8">
        <w:rPr>
          <w:rtl/>
        </w:rPr>
        <w:t>"</w:t>
      </w:r>
      <w:r>
        <w:rPr>
          <w:rFonts w:hint="cs"/>
          <w:rtl/>
        </w:rPr>
        <w:t>מעשה בראשית</w:t>
      </w:r>
      <w:r w:rsidR="00F055C8">
        <w:rPr>
          <w:rtl/>
        </w:rPr>
        <w:t>"</w:t>
      </w:r>
      <w:r w:rsidR="004E28ED">
        <w:rPr>
          <w:rFonts w:hint="cs"/>
          <w:rtl/>
        </w:rPr>
        <w:t xml:space="preserve"> שאמרו חז</w:t>
      </w:r>
      <w:r w:rsidR="00F055C8">
        <w:rPr>
          <w:rtl/>
        </w:rPr>
        <w:t>"</w:t>
      </w:r>
      <w:r w:rsidR="004E28ED">
        <w:rPr>
          <w:rFonts w:hint="cs"/>
          <w:rtl/>
        </w:rPr>
        <w:t>ל, לפי הרמב</w:t>
      </w:r>
      <w:r w:rsidR="00F055C8">
        <w:rPr>
          <w:rtl/>
        </w:rPr>
        <w:t>"</w:t>
      </w:r>
      <w:r w:rsidR="004E28ED">
        <w:rPr>
          <w:rFonts w:hint="cs"/>
          <w:rtl/>
        </w:rPr>
        <w:t>ם בפתיחת המורה נבוכים ופיה</w:t>
      </w:r>
      <w:r w:rsidR="00F055C8">
        <w:rPr>
          <w:rtl/>
        </w:rPr>
        <w:t>"</w:t>
      </w:r>
      <w:r w:rsidR="004E28ED">
        <w:rPr>
          <w:rFonts w:hint="cs"/>
          <w:rtl/>
        </w:rPr>
        <w:t>מ חגיגה ב' א')</w:t>
      </w:r>
      <w:r>
        <w:rPr>
          <w:rFonts w:hint="cs"/>
          <w:rtl/>
        </w:rPr>
        <w:t>, שעולים מהתבוננות בטבע המוחשי של הפרטים שלפנינו (שהם נתפשים כמחוץ לשכל) דרך עמל העיון והחכמה עד שמגיעים אל המופשט שבו אין חלוקה של 'תוך השכל' ו'חוץ לשכל'; ולא כדרך אפלטון שהיא דרך המטאפיזיקה, מעשה מרכבה, שמרצה את סדר ההוויה מהכי מופשט ומשם יורדת אל הפרטי החומרי</w:t>
      </w:r>
      <w:r w:rsidR="00BE300B">
        <w:rPr>
          <w:rFonts w:hint="cs"/>
          <w:rtl/>
        </w:rPr>
        <w:t xml:space="preserve"> (כל המחלוקות שחלק אריסטו על אפלטון בשאלת הקיום העצמאי הריאלי של האידיאות המופשטות, דהיינו הכוללים, הן מצד שהוא רצה להעמיד את מהלך</w:t>
      </w:r>
      <w:r w:rsidR="00B06FBB">
        <w:rPr>
          <w:rFonts w:hint="cs"/>
          <w:rtl/>
        </w:rPr>
        <w:t xml:space="preserve"> הלימוד</w:t>
      </w:r>
      <w:r w:rsidR="00BE300B">
        <w:rPr>
          <w:rFonts w:hint="cs"/>
          <w:rtl/>
        </w:rPr>
        <w:t xml:space="preserve"> של התחלה מההסתכלות על המציאות החומרית שלפנינו, המציאות של הפרטים שמחוץ לשכל, ומשם דרך עמל הלימוד להתקדם בהדרגה אל המופשט. אבל אין שום מחלוקת אמיתית לגבי </w:t>
      </w:r>
      <w:r w:rsidR="004013B9">
        <w:rPr>
          <w:rFonts w:hint="cs"/>
          <w:rtl/>
        </w:rPr>
        <w:t xml:space="preserve">עצם </w:t>
      </w:r>
      <w:r w:rsidR="00BE300B">
        <w:rPr>
          <w:rFonts w:hint="cs"/>
          <w:rtl/>
        </w:rPr>
        <w:t>מה שקיים בעולם</w:t>
      </w:r>
      <w:r w:rsidR="00942A06">
        <w:rPr>
          <w:rFonts w:hint="cs"/>
          <w:rtl/>
        </w:rPr>
        <w:t>. ולא כמו שטועים לחשוב שלפי אריסטו אין לאידיאות האפלטוניות מציאות ריאלית עצמאית משלהן כישים מופשטים</w:t>
      </w:r>
      <w:r w:rsidR="00BE300B">
        <w:rPr>
          <w:rFonts w:hint="cs"/>
          <w:rtl/>
        </w:rPr>
        <w:t>)</w:t>
      </w:r>
      <w:r>
        <w:rPr>
          <w:rFonts w:hint="cs"/>
          <w:rtl/>
        </w:rPr>
        <w:t>.</w:t>
      </w:r>
    </w:p>
    <w:p w14:paraId="73A2707C" w14:textId="77777777" w:rsidR="00EB487C" w:rsidRDefault="00CC33AF" w:rsidP="00CC33AF">
      <w:pPr>
        <w:pStyle w:val="FootnoteText"/>
        <w:rPr>
          <w:rtl/>
        </w:rPr>
      </w:pPr>
      <w:r>
        <w:rPr>
          <w:rFonts w:hint="cs"/>
          <w:rtl/>
        </w:rPr>
        <w:t>כאן אבן סינא כותב כפי הסתכלות אריסטו בקטגוריות וכותב שהכולל קיים רק בשכל</w:t>
      </w:r>
      <w:r w:rsidR="00EB487C">
        <w:rPr>
          <w:rFonts w:hint="cs"/>
          <w:rtl/>
        </w:rPr>
        <w:t>, והשכל</w:t>
      </w:r>
      <w:r>
        <w:rPr>
          <w:rFonts w:hint="cs"/>
          <w:rtl/>
        </w:rPr>
        <w:t xml:space="preserve"> מחיל את הצורה המשותפת </w:t>
      </w:r>
      <w:r w:rsidR="00EB487C">
        <w:rPr>
          <w:rFonts w:hint="cs"/>
          <w:rtl/>
        </w:rPr>
        <w:t xml:space="preserve">של הכולל </w:t>
      </w:r>
      <w:r>
        <w:rPr>
          <w:rFonts w:hint="cs"/>
          <w:rtl/>
        </w:rPr>
        <w:t>על הפרטים שקיימים במציאות מחוץ לשכל.</w:t>
      </w:r>
    </w:p>
    <w:p w14:paraId="19C57C67" w14:textId="0AC8171E" w:rsidR="00CC33AF" w:rsidRDefault="00EB487C" w:rsidP="00CC33AF">
      <w:pPr>
        <w:pStyle w:val="FootnoteText"/>
      </w:pPr>
      <w:r>
        <w:rPr>
          <w:rFonts w:hint="cs"/>
          <w:rtl/>
        </w:rPr>
        <w:t xml:space="preserve">זו הסיבה שאבן סינא </w:t>
      </w:r>
      <w:r w:rsidR="00444D4F">
        <w:rPr>
          <w:rFonts w:hint="cs"/>
          <w:rtl/>
        </w:rPr>
        <w:t>טרח לכתוב</w:t>
      </w:r>
      <w:r>
        <w:rPr>
          <w:rFonts w:hint="cs"/>
          <w:rtl/>
        </w:rPr>
        <w:t xml:space="preserve"> כאן את שתי הדרכים בהם הפועל הוא משותף (כלומר אחד. כי הפועל הוא התגלות הבורא שהוא אחד ומוכרח שהפועל יהיה אחד). הדרך הראשונה היא דרך ההסתכלות של המטאפיזיקה, של אפלטון, שבה המופשט יותר קיים מהפרטי, והדרך השנייה היא דרך הפיזיקה, שבה הפרטי יותר קיים מהמופשט (המופשט היינו ה'כולל', המציאות המופשטת מחומר של האידיאה 'אדם' ושל הסוג 'חי'). </w:t>
      </w:r>
      <w:r w:rsidR="00CC33AF">
        <w:rPr>
          <w:rFonts w:hint="cs"/>
          <w:rtl/>
        </w:rPr>
        <w:t xml:space="preserve">  </w:t>
      </w:r>
    </w:p>
  </w:footnote>
  <w:footnote w:id="170">
    <w:p w14:paraId="191C1996" w14:textId="32A19155" w:rsidR="00077E6B" w:rsidRDefault="00077E6B">
      <w:pPr>
        <w:pStyle w:val="FootnoteText"/>
      </w:pPr>
      <w:r>
        <w:rPr>
          <w:rStyle w:val="FootnoteReference"/>
        </w:rPr>
        <w:footnoteRef/>
      </w:r>
      <w:r>
        <w:rPr>
          <w:rtl/>
        </w:rPr>
        <w:t xml:space="preserve"> </w:t>
      </w:r>
      <w:r w:rsidRPr="00D13F0C">
        <w:rPr>
          <w:rtl/>
        </w:rPr>
        <w:t>במקור:</w:t>
      </w:r>
      <w:r w:rsidRPr="00D13F0C">
        <w:t xml:space="preserve"> </w:t>
      </w:r>
      <w:r w:rsidRPr="00D13F0C">
        <w:rPr>
          <w:rFonts w:ascii="Arial" w:hAnsi="Arial" w:cs="Arial" w:hint="cs"/>
          <w:rtl/>
          <w:lang w:bidi="ar-SA"/>
        </w:rPr>
        <w:t>ال</w:t>
      </w:r>
      <w:bookmarkStart w:id="120" w:name="_Hlk97906722"/>
      <w:r w:rsidRPr="00D13F0C">
        <w:rPr>
          <w:rFonts w:ascii="Arial" w:hAnsi="Arial" w:cs="Arial" w:hint="cs"/>
          <w:rtl/>
          <w:lang w:bidi="ar-SA"/>
        </w:rPr>
        <w:t>مبدا</w:t>
      </w:r>
      <w:bookmarkEnd w:id="120"/>
      <w:r w:rsidRPr="00D13F0C">
        <w:rPr>
          <w:rtl/>
          <w:lang w:bidi="ar-SA"/>
        </w:rPr>
        <w:t xml:space="preserve"> </w:t>
      </w:r>
      <w:r w:rsidRPr="00D13F0C">
        <w:rPr>
          <w:rFonts w:ascii="Arial" w:hAnsi="Arial" w:cs="Arial" w:hint="cs"/>
          <w:rtl/>
          <w:lang w:bidi="ar-SA"/>
        </w:rPr>
        <w:t>الفاعلي</w:t>
      </w:r>
      <w:r w:rsidRPr="00D13F0C">
        <w:rPr>
          <w:rtl/>
        </w:rPr>
        <w:t xml:space="preserve">. מקגיניס תרגם מילולית </w:t>
      </w:r>
      <w:r w:rsidRPr="00D13F0C">
        <w:t xml:space="preserve">efficient </w:t>
      </w:r>
      <w:bookmarkStart w:id="121" w:name="_Hlk97906836"/>
      <w:r w:rsidRPr="00D13F0C">
        <w:t>principle</w:t>
      </w:r>
      <w:bookmarkEnd w:id="121"/>
      <w:r w:rsidRPr="00D13F0C">
        <w:rPr>
          <w:rtl/>
        </w:rPr>
        <w:t>, וכוונתו ל'התחלה</w:t>
      </w:r>
      <w:r w:rsidR="00BF53CC">
        <w:rPr>
          <w:rtl/>
        </w:rPr>
        <w:fldChar w:fldCharType="begin"/>
      </w:r>
      <w:r w:rsidR="00BF53CC">
        <w:instrText xml:space="preserve"> XE "</w:instrText>
      </w:r>
      <w:r w:rsidR="00BF53CC" w:rsidRPr="00B40028">
        <w:rPr>
          <w:rtl/>
        </w:rPr>
        <w:instrText>התחלה</w:instrText>
      </w:r>
      <w:r w:rsidR="00BF53CC" w:rsidRPr="00B40028">
        <w:instrText xml:space="preserve"> </w:instrText>
      </w:r>
      <w:r w:rsidR="00BF53CC" w:rsidRPr="00B40028">
        <w:rPr>
          <w:rFonts w:hint="cs"/>
          <w:rtl/>
        </w:rPr>
        <w:instrText xml:space="preserve"> - הגדרת המו</w:instrText>
      </w:r>
      <w:r w:rsidR="00045D8D">
        <w:rPr>
          <w:rFonts w:hint="cs"/>
          <w:rtl/>
        </w:rPr>
        <w:instrText>נח</w:instrText>
      </w:r>
      <w:r w:rsidR="00BF53CC">
        <w:instrText xml:space="preserve">" </w:instrText>
      </w:r>
      <w:r w:rsidR="00BF53CC">
        <w:rPr>
          <w:rtl/>
        </w:rPr>
        <w:fldChar w:fldCharType="end"/>
      </w:r>
      <w:r w:rsidRPr="00D13F0C">
        <w:rPr>
          <w:rtl/>
        </w:rPr>
        <w:t xml:space="preserve"> הפועלת' כמו שתרגמתי. </w:t>
      </w:r>
    </w:p>
    <w:p w14:paraId="623A1714" w14:textId="01F74B82" w:rsidR="001469F0" w:rsidRPr="00DA5387" w:rsidRDefault="001469F0">
      <w:pPr>
        <w:pStyle w:val="FootnoteText"/>
        <w:rPr>
          <w:rtl/>
        </w:rPr>
      </w:pPr>
      <w:r>
        <w:rPr>
          <w:rFonts w:hint="cs"/>
          <w:rtl/>
        </w:rPr>
        <w:t>המונח הערבי מבדא (</w:t>
      </w:r>
      <w:bookmarkStart w:id="122" w:name="_Hlk97908538"/>
      <w:r w:rsidRPr="001469F0">
        <w:rPr>
          <w:rFonts w:cs="Times New Roman" w:hint="eastAsia"/>
          <w:rtl/>
          <w:lang w:bidi="ar-SA"/>
        </w:rPr>
        <w:t>مبدا</w:t>
      </w:r>
      <w:bookmarkEnd w:id="122"/>
      <w:r>
        <w:rPr>
          <w:rFonts w:cs="Times New Roman" w:hint="cs"/>
          <w:rtl/>
        </w:rPr>
        <w:t>)</w:t>
      </w:r>
      <w:r w:rsidRPr="00DA5387">
        <w:rPr>
          <w:rtl/>
        </w:rPr>
        <w:t xml:space="preserve">, הוא המקביל למונח </w:t>
      </w:r>
      <w:r w:rsidR="005178E7">
        <w:rPr>
          <w:rFonts w:hint="cs"/>
          <w:rtl/>
        </w:rPr>
        <w:t xml:space="preserve">הפילוסופי </w:t>
      </w:r>
      <w:r w:rsidR="00BE2169">
        <w:rPr>
          <w:rFonts w:hint="cs"/>
          <w:rtl/>
        </w:rPr>
        <w:t>האריסטוטלי</w:t>
      </w:r>
      <w:r w:rsidR="00DA5387" w:rsidRPr="00DA5387">
        <w:rPr>
          <w:rtl/>
        </w:rPr>
        <w:t xml:space="preserve"> </w:t>
      </w:r>
      <w:r w:rsidR="00DA5387" w:rsidRPr="00DA5387">
        <w:rPr>
          <w:rFonts w:asciiTheme="majorBidi" w:hAnsiTheme="majorBidi" w:cstheme="majorBidi"/>
        </w:rPr>
        <w:t>ᾰ̓ρχή (arkhḗ)</w:t>
      </w:r>
      <w:r w:rsidR="005178E7">
        <w:rPr>
          <w:rFonts w:asciiTheme="majorBidi" w:hAnsiTheme="majorBidi" w:cstheme="majorBidi" w:hint="cs"/>
          <w:rtl/>
        </w:rPr>
        <w:t>,</w:t>
      </w:r>
      <w:r w:rsidR="005178E7" w:rsidRPr="005178E7">
        <w:rPr>
          <w:rtl/>
        </w:rPr>
        <w:t xml:space="preserve"> ובלטינית</w:t>
      </w:r>
      <w:r w:rsidR="005178E7">
        <w:rPr>
          <w:rFonts w:asciiTheme="majorBidi" w:hAnsiTheme="majorBidi" w:cstheme="majorBidi" w:hint="cs"/>
          <w:rtl/>
        </w:rPr>
        <w:t xml:space="preserve"> </w:t>
      </w:r>
      <w:r w:rsidR="005178E7" w:rsidRPr="005178E7">
        <w:rPr>
          <w:rFonts w:asciiTheme="majorBidi" w:hAnsiTheme="majorBidi" w:cstheme="majorBidi"/>
        </w:rPr>
        <w:t>principium</w:t>
      </w:r>
      <w:r w:rsidRPr="00DA5387">
        <w:rPr>
          <w:rtl/>
        </w:rPr>
        <w:t>.</w:t>
      </w:r>
      <w:r w:rsidR="00DA5387" w:rsidRPr="00DA5387">
        <w:rPr>
          <w:rtl/>
        </w:rPr>
        <w:t xml:space="preserve"> בלשון ימי הביניים הוא מתורגם כ'התחלה', ולפעמים כ'ראשית' (ולא כ'עקרון' המקובל בעברית המודרנית). באנגלית</w:t>
      </w:r>
      <w:r w:rsidR="00BE2169">
        <w:rPr>
          <w:rFonts w:hint="cs"/>
          <w:rtl/>
        </w:rPr>
        <w:t xml:space="preserve"> כמונח פילוסופי אריסטוטלי</w:t>
      </w:r>
      <w:r w:rsidR="00DA5387" w:rsidRPr="00DA5387">
        <w:rPr>
          <w:rtl/>
        </w:rPr>
        <w:t xml:space="preserve"> הוא מתורגם לרוב כ</w:t>
      </w:r>
      <w:r w:rsidR="00BE2169">
        <w:rPr>
          <w:rFonts w:hint="cs"/>
          <w:rtl/>
        </w:rPr>
        <w:t xml:space="preserve"> </w:t>
      </w:r>
      <w:r w:rsidR="00DA5387" w:rsidRPr="00DA5387">
        <w:t>principal</w:t>
      </w:r>
      <w:r w:rsidR="00BE2169">
        <w:rPr>
          <w:rFonts w:hint="cs"/>
          <w:rtl/>
        </w:rPr>
        <w:t xml:space="preserve"> ועיין עוד </w:t>
      </w:r>
      <w:hyperlink r:id="rId40" w:history="1">
        <w:r w:rsidR="00BE2169" w:rsidRPr="00BE2169">
          <w:rPr>
            <w:rStyle w:val="Hyperlink"/>
            <w:rFonts w:hint="cs"/>
            <w:rtl/>
          </w:rPr>
          <w:t>כאן</w:t>
        </w:r>
      </w:hyperlink>
      <w:r w:rsidR="00DA5387" w:rsidRPr="00DA5387">
        <w:rPr>
          <w:rtl/>
        </w:rPr>
        <w:t>.</w:t>
      </w:r>
      <w:r w:rsidRPr="00DA5387">
        <w:rPr>
          <w:rtl/>
        </w:rPr>
        <w:t xml:space="preserve"> </w:t>
      </w:r>
      <w:r w:rsidR="007B086D">
        <w:rPr>
          <w:rFonts w:hint="cs"/>
          <w:rtl/>
        </w:rPr>
        <w:t xml:space="preserve">מקצת </w:t>
      </w:r>
      <w:r w:rsidRPr="00DA5387">
        <w:rPr>
          <w:rtl/>
        </w:rPr>
        <w:t>דוגמאות לשימוש בו במורה נבוכים:</w:t>
      </w:r>
    </w:p>
    <w:p w14:paraId="75DE211C" w14:textId="77777777" w:rsidR="00DA5387" w:rsidRDefault="00DA5387" w:rsidP="001469F0">
      <w:pPr>
        <w:pStyle w:val="FootnoteText"/>
        <w:rPr>
          <w:rtl/>
        </w:rPr>
      </w:pPr>
    </w:p>
    <w:p w14:paraId="1E8994D7" w14:textId="7F9595E5" w:rsidR="00DD479A" w:rsidRPr="00DA5387" w:rsidRDefault="00DD479A" w:rsidP="001469F0">
      <w:pPr>
        <w:pStyle w:val="FootnoteText"/>
        <w:rPr>
          <w:rtl/>
        </w:rPr>
      </w:pPr>
      <w:r w:rsidRPr="00DA5387">
        <w:rPr>
          <w:rtl/>
        </w:rPr>
        <w:t>א' ט</w:t>
      </w:r>
      <w:r w:rsidR="00F055C8">
        <w:rPr>
          <w:rtl/>
        </w:rPr>
        <w:t>"</w:t>
      </w:r>
      <w:r w:rsidRPr="00DA5387">
        <w:rPr>
          <w:rtl/>
        </w:rPr>
        <w:t>ז</w:t>
      </w:r>
      <w:r w:rsidR="007B086D">
        <w:rPr>
          <w:rFonts w:hint="cs"/>
          <w:rtl/>
        </w:rPr>
        <w:t>:</w:t>
      </w:r>
    </w:p>
    <w:p w14:paraId="53093B7D" w14:textId="5FF02DF6" w:rsidR="00DD479A" w:rsidRPr="00DA5387" w:rsidRDefault="00F055C8" w:rsidP="001469F0">
      <w:pPr>
        <w:pStyle w:val="FootnoteText"/>
        <w:rPr>
          <w:rtl/>
        </w:rPr>
      </w:pPr>
      <w:r>
        <w:rPr>
          <w:rtl/>
        </w:rPr>
        <w:t>"</w:t>
      </w:r>
      <w:r w:rsidR="00DD479A" w:rsidRPr="00DA5387">
        <w:rPr>
          <w:rtl/>
        </w:rPr>
        <w:t>ולפי זה הענין האחרון נקרא השם יתעלה צור, כי הוא ההתחלה [מבדא] והסבה הפועלת לכל אשר זולתו. ונאמר הצור תמים פעלו, צור ילדך תשי, צורם מכרם, ואין צור כאלהינו, צור העולמים, ונצבת על הצור. השען ועמוד על התבוננות היותו יתעלה התחלה</w:t>
      </w:r>
      <w:r w:rsidR="006625A5" w:rsidRPr="00DA5387">
        <w:rPr>
          <w:rtl/>
        </w:rPr>
        <w:t xml:space="preserve"> [מבדא]</w:t>
      </w:r>
      <w:r w:rsidR="00DD479A" w:rsidRPr="00DA5387">
        <w:rPr>
          <w:rtl/>
        </w:rPr>
        <w:t xml:space="preserve"> שהוא המבוא אשר תגיע ממנו אליו</w:t>
      </w:r>
      <w:r>
        <w:rPr>
          <w:rtl/>
        </w:rPr>
        <w:t>"</w:t>
      </w:r>
      <w:r w:rsidR="00DD479A" w:rsidRPr="00DA5387">
        <w:rPr>
          <w:rtl/>
        </w:rPr>
        <w:t xml:space="preserve"> </w:t>
      </w:r>
    </w:p>
    <w:p w14:paraId="2F3C7E89" w14:textId="3ECF1A0C" w:rsidR="00DD479A" w:rsidRPr="00DA5387" w:rsidRDefault="00DD479A" w:rsidP="001469F0">
      <w:pPr>
        <w:pStyle w:val="FootnoteText"/>
        <w:rPr>
          <w:rtl/>
        </w:rPr>
      </w:pPr>
    </w:p>
    <w:p w14:paraId="2A2714C1" w14:textId="15CA020B" w:rsidR="00DD479A" w:rsidRPr="00DA5387" w:rsidRDefault="00DD479A" w:rsidP="001469F0">
      <w:pPr>
        <w:pStyle w:val="FootnoteText"/>
        <w:rPr>
          <w:rtl/>
        </w:rPr>
      </w:pPr>
      <w:r w:rsidRPr="00DA5387">
        <w:rPr>
          <w:rtl/>
        </w:rPr>
        <w:t>א' ל</w:t>
      </w:r>
      <w:r w:rsidR="00F055C8">
        <w:rPr>
          <w:rtl/>
        </w:rPr>
        <w:t>"</w:t>
      </w:r>
      <w:r w:rsidRPr="00DA5387">
        <w:rPr>
          <w:rtl/>
        </w:rPr>
        <w:t>ט</w:t>
      </w:r>
      <w:r w:rsidR="007B086D">
        <w:rPr>
          <w:rFonts w:hint="cs"/>
          <w:rtl/>
        </w:rPr>
        <w:t>:</w:t>
      </w:r>
    </w:p>
    <w:p w14:paraId="14AB53C4" w14:textId="501649C5" w:rsidR="00DD479A" w:rsidRPr="00DA5387" w:rsidRDefault="00F055C8" w:rsidP="001469F0">
      <w:pPr>
        <w:pStyle w:val="FootnoteText"/>
        <w:rPr>
          <w:rtl/>
        </w:rPr>
      </w:pPr>
      <w:r>
        <w:rPr>
          <w:rtl/>
        </w:rPr>
        <w:t>""</w:t>
      </w:r>
      <w:r w:rsidR="00DD479A" w:rsidRPr="00DA5387">
        <w:rPr>
          <w:rtl/>
        </w:rPr>
        <w:t>לב</w:t>
      </w:r>
      <w:r>
        <w:rPr>
          <w:rtl/>
        </w:rPr>
        <w:t>"</w:t>
      </w:r>
      <w:r w:rsidR="00DD479A" w:rsidRPr="00DA5387">
        <w:rPr>
          <w:rtl/>
        </w:rPr>
        <w:t xml:space="preserve"> </w:t>
      </w:r>
      <w:r w:rsidR="00001963">
        <w:rPr>
          <w:rtl/>
        </w:rPr>
        <w:t>-</w:t>
      </w:r>
      <w:r w:rsidR="00DD479A" w:rsidRPr="00DA5387">
        <w:rPr>
          <w:rtl/>
        </w:rPr>
        <w:t xml:space="preserve"> שם משתתף, הוא שם האבר אשר בו התחלת [מבדא] החי, כל בעל לב</w:t>
      </w:r>
      <w:r>
        <w:rPr>
          <w:rtl/>
        </w:rPr>
        <w:t>"</w:t>
      </w:r>
    </w:p>
    <w:p w14:paraId="672A1579" w14:textId="77777777" w:rsidR="007B086D" w:rsidRDefault="007B086D" w:rsidP="001469F0">
      <w:pPr>
        <w:pStyle w:val="FootnoteText"/>
        <w:rPr>
          <w:rtl/>
        </w:rPr>
      </w:pPr>
    </w:p>
    <w:p w14:paraId="2C792890" w14:textId="106C768B" w:rsidR="00DD479A" w:rsidRPr="00DA5387" w:rsidRDefault="00C1375A" w:rsidP="001469F0">
      <w:pPr>
        <w:pStyle w:val="FootnoteText"/>
        <w:rPr>
          <w:rtl/>
        </w:rPr>
      </w:pPr>
      <w:r w:rsidRPr="00DA5387">
        <w:rPr>
          <w:rtl/>
        </w:rPr>
        <w:t>א</w:t>
      </w:r>
      <w:r w:rsidR="007B086D">
        <w:rPr>
          <w:rFonts w:hint="cs"/>
          <w:rtl/>
        </w:rPr>
        <w:t>'</w:t>
      </w:r>
      <w:r w:rsidRPr="00DA5387">
        <w:rPr>
          <w:rtl/>
        </w:rPr>
        <w:t xml:space="preserve"> ס</w:t>
      </w:r>
      <w:r w:rsidR="00F055C8">
        <w:rPr>
          <w:rtl/>
        </w:rPr>
        <w:t>"</w:t>
      </w:r>
      <w:r w:rsidRPr="00DA5387">
        <w:rPr>
          <w:rtl/>
        </w:rPr>
        <w:t>ט</w:t>
      </w:r>
      <w:r w:rsidR="007B086D">
        <w:rPr>
          <w:rFonts w:hint="cs"/>
          <w:rtl/>
        </w:rPr>
        <w:t>:</w:t>
      </w:r>
      <w:r w:rsidRPr="00DA5387">
        <w:rPr>
          <w:rtl/>
        </w:rPr>
        <w:t xml:space="preserve"> </w:t>
      </w:r>
    </w:p>
    <w:p w14:paraId="3D343E52" w14:textId="3A72B42A" w:rsidR="00C1375A" w:rsidRPr="00DA5387" w:rsidRDefault="00F055C8" w:rsidP="001469F0">
      <w:pPr>
        <w:pStyle w:val="FootnoteText"/>
        <w:rPr>
          <w:rtl/>
        </w:rPr>
      </w:pPr>
      <w:r>
        <w:rPr>
          <w:rtl/>
        </w:rPr>
        <w:t>"</w:t>
      </w:r>
      <w:r w:rsidR="00C1375A" w:rsidRPr="00DA5387">
        <w:rPr>
          <w:rtl/>
        </w:rPr>
        <w:t>אבל כמו שכל נמצא בעל צורה אמנם הוא מה שהוא בצורתו וכשתפסד צורתו - תפסד הויתו ותבטל כן כמו זה היחס בעצמו יחס האלוה לכל התחלות [מבדא] המציאות הרחוקות; כי במציאות הבורא - הכל נמצא והוא מתמיד עמידתו בענין אשר יכונה ב'שפע' כמו שנבאר בקצת פרקי זה המאמר; ואילו היה אפשר העדר הבורא היה נעדר המציאות כולו ותבטל מהות הסיבות הרחוקות ממנו והמסובבות האחרונות ומה שביניהן.</w:t>
      </w:r>
      <w:r>
        <w:rPr>
          <w:rtl/>
        </w:rPr>
        <w:t>"</w:t>
      </w:r>
    </w:p>
    <w:p w14:paraId="7269282B" w14:textId="77777777" w:rsidR="002C0259" w:rsidRPr="00DA5387" w:rsidRDefault="002C0259" w:rsidP="001469F0">
      <w:pPr>
        <w:pStyle w:val="FootnoteText"/>
        <w:rPr>
          <w:rtl/>
        </w:rPr>
      </w:pPr>
    </w:p>
    <w:p w14:paraId="1FF049DF" w14:textId="27ACF34C" w:rsidR="002C0259" w:rsidRPr="00DA5387" w:rsidRDefault="002C0259" w:rsidP="001469F0">
      <w:pPr>
        <w:pStyle w:val="FootnoteText"/>
        <w:rPr>
          <w:rtl/>
        </w:rPr>
      </w:pPr>
      <w:r w:rsidRPr="00DA5387">
        <w:rPr>
          <w:rtl/>
        </w:rPr>
        <w:t>א' ע</w:t>
      </w:r>
      <w:r w:rsidR="00F055C8">
        <w:rPr>
          <w:rtl/>
        </w:rPr>
        <w:t>"</w:t>
      </w:r>
      <w:r w:rsidRPr="00DA5387">
        <w:rPr>
          <w:rtl/>
        </w:rPr>
        <w:t>ב:</w:t>
      </w:r>
    </w:p>
    <w:p w14:paraId="4F2D362A" w14:textId="585C345F" w:rsidR="002C0259" w:rsidRPr="00DA5387" w:rsidRDefault="00F055C8" w:rsidP="001469F0">
      <w:pPr>
        <w:pStyle w:val="FootnoteText"/>
        <w:rPr>
          <w:rtl/>
        </w:rPr>
      </w:pPr>
      <w:r>
        <w:rPr>
          <w:rtl/>
        </w:rPr>
        <w:t>"</w:t>
      </w:r>
      <w:r w:rsidR="002C0259" w:rsidRPr="00DA5387">
        <w:rPr>
          <w:rtl/>
        </w:rPr>
        <w:t>כי הנה יש בו</w:t>
      </w:r>
      <w:r w:rsidR="007B086D">
        <w:rPr>
          <w:rFonts w:hint="cs"/>
          <w:rtl/>
        </w:rPr>
        <w:t xml:space="preserve"> [באחד מארבעת היסודות]</w:t>
      </w:r>
      <w:r w:rsidR="002C0259" w:rsidRPr="00DA5387">
        <w:rPr>
          <w:rtl/>
        </w:rPr>
        <w:t xml:space="preserve"> זאת ההתחלה [מבדא] אשר בה יתנועע לשוב אל מקומו על יושר</w:t>
      </w:r>
      <w:r>
        <w:rPr>
          <w:rtl/>
        </w:rPr>
        <w:t>"</w:t>
      </w:r>
    </w:p>
    <w:p w14:paraId="1D0311B7" w14:textId="77777777" w:rsidR="002C0259" w:rsidRPr="00DA5387" w:rsidRDefault="002C0259" w:rsidP="001469F0">
      <w:pPr>
        <w:pStyle w:val="FootnoteText"/>
        <w:rPr>
          <w:rtl/>
        </w:rPr>
      </w:pPr>
    </w:p>
    <w:p w14:paraId="1F6F1189" w14:textId="7FE837B2" w:rsidR="001469F0" w:rsidRPr="00DA5387" w:rsidRDefault="001469F0" w:rsidP="001469F0">
      <w:pPr>
        <w:pStyle w:val="FootnoteText"/>
        <w:rPr>
          <w:rtl/>
        </w:rPr>
      </w:pPr>
      <w:r w:rsidRPr="00DA5387">
        <w:rPr>
          <w:rtl/>
        </w:rPr>
        <w:t xml:space="preserve">א,עב: </w:t>
      </w:r>
      <w:r w:rsidR="00F055C8">
        <w:rPr>
          <w:rtl/>
        </w:rPr>
        <w:t>"</w:t>
      </w:r>
      <w:r w:rsidRPr="00DA5387">
        <w:rPr>
          <w:rtl/>
        </w:rPr>
        <w:t>וכמו שהאבר השולט, שהוא הלב, נע תמיד, והוא ראשית [</w:t>
      </w:r>
      <w:r w:rsidR="00F055C8">
        <w:rPr>
          <w:rtl/>
        </w:rPr>
        <w:t>"</w:t>
      </w:r>
      <w:r w:rsidRPr="00DA5387">
        <w:rPr>
          <w:rtl/>
        </w:rPr>
        <w:t>מבדא</w:t>
      </w:r>
      <w:r w:rsidR="00F055C8">
        <w:rPr>
          <w:rtl/>
        </w:rPr>
        <w:t>"</w:t>
      </w:r>
      <w:r w:rsidRPr="00DA5387">
        <w:rPr>
          <w:rtl/>
        </w:rPr>
        <w:t>] כל תנועה הנמצאת בגוף... כך הגלגל... נמצא שראשיתה [</w:t>
      </w:r>
      <w:r w:rsidR="00F055C8">
        <w:rPr>
          <w:rtl/>
        </w:rPr>
        <w:t>"</w:t>
      </w:r>
      <w:r w:rsidRPr="00DA5387">
        <w:rPr>
          <w:rtl/>
        </w:rPr>
        <w:t>מבדאהא</w:t>
      </w:r>
      <w:r w:rsidR="00F055C8">
        <w:rPr>
          <w:rtl/>
        </w:rPr>
        <w:t>"</w:t>
      </w:r>
      <w:r w:rsidRPr="00DA5387">
        <w:rPr>
          <w:rtl/>
        </w:rPr>
        <w:t>] הראשונית של כל תנועה הנמצאת בעולם היא תנועת הגלגל; וכל נפש שתמצא לבעל נפש בעולם, ראשיתה [</w:t>
      </w:r>
      <w:r w:rsidR="00F055C8">
        <w:rPr>
          <w:rtl/>
        </w:rPr>
        <w:t>"</w:t>
      </w:r>
      <w:r w:rsidRPr="00DA5387">
        <w:rPr>
          <w:rtl/>
        </w:rPr>
        <w:t>מבדאהא</w:t>
      </w:r>
      <w:r w:rsidR="00F055C8">
        <w:rPr>
          <w:rtl/>
        </w:rPr>
        <w:t>"</w:t>
      </w:r>
      <w:r w:rsidRPr="00DA5387">
        <w:rPr>
          <w:rtl/>
        </w:rPr>
        <w:t>] היא נפש הגלגל</w:t>
      </w:r>
      <w:r w:rsidR="00F055C8">
        <w:rPr>
          <w:rtl/>
        </w:rPr>
        <w:t>"</w:t>
      </w:r>
      <w:r w:rsidRPr="00DA5387">
        <w:rPr>
          <w:rtl/>
        </w:rPr>
        <w:t>.</w:t>
      </w:r>
    </w:p>
    <w:p w14:paraId="6907AE82" w14:textId="77777777" w:rsidR="006625A5" w:rsidRPr="00DA5387" w:rsidRDefault="006625A5" w:rsidP="001469F0">
      <w:pPr>
        <w:pStyle w:val="FootnoteText"/>
        <w:rPr>
          <w:rtl/>
        </w:rPr>
      </w:pPr>
    </w:p>
    <w:p w14:paraId="3A849356" w14:textId="6A2929FD" w:rsidR="006625A5" w:rsidRPr="00DA5387" w:rsidRDefault="006625A5" w:rsidP="001469F0">
      <w:pPr>
        <w:pStyle w:val="FootnoteText"/>
        <w:rPr>
          <w:rtl/>
        </w:rPr>
      </w:pPr>
      <w:r w:rsidRPr="00DA5387">
        <w:rPr>
          <w:rtl/>
        </w:rPr>
        <w:t>ב' הקדמות, הקדמה עשרים וחמש:</w:t>
      </w:r>
    </w:p>
    <w:p w14:paraId="483CC5AC" w14:textId="7626E03C" w:rsidR="006625A5" w:rsidRPr="00DA5387" w:rsidRDefault="006625A5" w:rsidP="001469F0">
      <w:pPr>
        <w:pStyle w:val="FootnoteText"/>
        <w:rPr>
          <w:rtl/>
        </w:rPr>
      </w:pPr>
      <w:r w:rsidRPr="00DA5387">
        <w:rPr>
          <w:rtl/>
        </w:rPr>
        <w:t>שהתחלות [</w:t>
      </w:r>
      <w:r w:rsidR="00B7467D" w:rsidRPr="00B7467D">
        <w:rPr>
          <w:rtl/>
        </w:rPr>
        <w:t>מבאדי</w:t>
      </w:r>
      <w:r w:rsidR="00B7467D">
        <w:rPr>
          <w:rFonts w:hint="cs"/>
          <w:rtl/>
        </w:rPr>
        <w:t xml:space="preserve"> (צורת הרבים של </w:t>
      </w:r>
      <w:r w:rsidRPr="00DA5387">
        <w:rPr>
          <w:rtl/>
        </w:rPr>
        <w:t>מבדא</w:t>
      </w:r>
      <w:r w:rsidR="00B7467D">
        <w:rPr>
          <w:rFonts w:hint="cs"/>
          <w:rtl/>
        </w:rPr>
        <w:t>)</w:t>
      </w:r>
      <w:r w:rsidRPr="00DA5387">
        <w:rPr>
          <w:rtl/>
        </w:rPr>
        <w:t>] העצם המורכב האישי החומר והצורה, ואי אפשר מבלתי פועל</w:t>
      </w:r>
    </w:p>
    <w:p w14:paraId="199FF6D8" w14:textId="77777777" w:rsidR="002C0259" w:rsidRPr="00DA5387" w:rsidRDefault="002C0259" w:rsidP="001469F0">
      <w:pPr>
        <w:pStyle w:val="FootnoteText"/>
        <w:rPr>
          <w:rtl/>
        </w:rPr>
      </w:pPr>
    </w:p>
    <w:p w14:paraId="6E1E13A2" w14:textId="36AF2FC7" w:rsidR="002C0259" w:rsidRPr="00DA5387" w:rsidRDefault="002C0259" w:rsidP="001469F0">
      <w:pPr>
        <w:pStyle w:val="FootnoteText"/>
        <w:rPr>
          <w:rtl/>
        </w:rPr>
      </w:pPr>
      <w:r w:rsidRPr="00DA5387">
        <w:rPr>
          <w:rtl/>
        </w:rPr>
        <w:t>ב' ד':</w:t>
      </w:r>
    </w:p>
    <w:p w14:paraId="54663C40" w14:textId="7240803F" w:rsidR="002C0259" w:rsidRPr="00DA5387" w:rsidRDefault="00F055C8" w:rsidP="005936B8">
      <w:pPr>
        <w:pStyle w:val="FootnoteText"/>
        <w:rPr>
          <w:rtl/>
        </w:rPr>
      </w:pPr>
      <w:r>
        <w:rPr>
          <w:rtl/>
        </w:rPr>
        <w:t>"</w:t>
      </w:r>
      <w:r w:rsidR="002C0259" w:rsidRPr="00DA5387">
        <w:rPr>
          <w:rtl/>
        </w:rPr>
        <w:t>שתנועתו המקומית מורה על היות בו התחלה [מבדא], בה יתנועע בלא ספק, וההתחלה ההיא היא נפש בלא ספק</w:t>
      </w:r>
      <w:r>
        <w:rPr>
          <w:rtl/>
        </w:rPr>
        <w:t>"</w:t>
      </w:r>
    </w:p>
    <w:p w14:paraId="493B10C7" w14:textId="77777777" w:rsidR="002C0259" w:rsidRPr="00DA5387" w:rsidRDefault="002C0259" w:rsidP="001469F0">
      <w:pPr>
        <w:pStyle w:val="FootnoteText"/>
        <w:rPr>
          <w:rtl/>
        </w:rPr>
      </w:pPr>
    </w:p>
    <w:p w14:paraId="78CABD56" w14:textId="77777777" w:rsidR="005936B8" w:rsidRDefault="001469F0" w:rsidP="001469F0">
      <w:pPr>
        <w:pStyle w:val="FootnoteText"/>
        <w:rPr>
          <w:rtl/>
        </w:rPr>
      </w:pPr>
      <w:r w:rsidRPr="00DA5387">
        <w:rPr>
          <w:rtl/>
        </w:rPr>
        <w:t>ב</w:t>
      </w:r>
      <w:r w:rsidR="005936B8">
        <w:rPr>
          <w:rFonts w:hint="cs"/>
          <w:rtl/>
        </w:rPr>
        <w:t xml:space="preserve">' </w:t>
      </w:r>
      <w:r w:rsidRPr="00DA5387">
        <w:rPr>
          <w:rtl/>
        </w:rPr>
        <w:t>ל</w:t>
      </w:r>
      <w:r w:rsidR="005936B8">
        <w:rPr>
          <w:rFonts w:hint="cs"/>
          <w:rtl/>
        </w:rPr>
        <w:t>'</w:t>
      </w:r>
      <w:r w:rsidRPr="00DA5387">
        <w:rPr>
          <w:rtl/>
        </w:rPr>
        <w:t xml:space="preserve">: </w:t>
      </w:r>
    </w:p>
    <w:p w14:paraId="41A78628" w14:textId="52F7821A" w:rsidR="001469F0" w:rsidRDefault="00F055C8" w:rsidP="005936B8">
      <w:pPr>
        <w:pStyle w:val="FootnoteText"/>
        <w:rPr>
          <w:rtl/>
        </w:rPr>
      </w:pPr>
      <w:r>
        <w:rPr>
          <w:rtl/>
        </w:rPr>
        <w:t>"</w:t>
      </w:r>
      <w:r w:rsidR="005936B8" w:rsidRPr="005936B8">
        <w:rPr>
          <w:rtl/>
        </w:rPr>
        <w:t>דע - שיש הפרש בין הראשון [</w:t>
      </w:r>
      <w:r>
        <w:rPr>
          <w:rtl/>
        </w:rPr>
        <w:t>"</w:t>
      </w:r>
      <w:r w:rsidR="005936B8" w:rsidRPr="005936B8">
        <w:rPr>
          <w:rtl/>
        </w:rPr>
        <w:t>אלאַוַּל</w:t>
      </w:r>
      <w:r>
        <w:rPr>
          <w:rtl/>
        </w:rPr>
        <w:t>"</w:t>
      </w:r>
      <w:r w:rsidR="005936B8" w:rsidRPr="005936B8">
        <w:rPr>
          <w:rtl/>
        </w:rPr>
        <w:t>] וההתחלה</w:t>
      </w:r>
      <w:r w:rsidR="005936B8">
        <w:rPr>
          <w:rFonts w:hint="cs"/>
          <w:rtl/>
        </w:rPr>
        <w:t xml:space="preserve"> </w:t>
      </w:r>
      <w:r w:rsidR="005936B8" w:rsidRPr="005936B8">
        <w:rPr>
          <w:rtl/>
        </w:rPr>
        <w:t>[</w:t>
      </w:r>
      <w:r>
        <w:rPr>
          <w:rtl/>
        </w:rPr>
        <w:t>"</w:t>
      </w:r>
      <w:r w:rsidR="005936B8" w:rsidRPr="005936B8">
        <w:rPr>
          <w:rtl/>
        </w:rPr>
        <w:t>אלמבדא</w:t>
      </w:r>
      <w:r>
        <w:rPr>
          <w:rtl/>
        </w:rPr>
        <w:t>"</w:t>
      </w:r>
      <w:r w:rsidR="005936B8">
        <w:rPr>
          <w:rFonts w:hint="cs"/>
          <w:rtl/>
        </w:rPr>
        <w:t xml:space="preserve"> (צורת היידוע של מבדא)</w:t>
      </w:r>
      <w:r w:rsidR="005936B8" w:rsidRPr="005936B8">
        <w:rPr>
          <w:rtl/>
        </w:rPr>
        <w:t>], וזה שההתחלה היא נמצאת במה שהיא לו התחלה, או עמו, אף על פי שלא תקדם לו בזמן, כמו שיאמר שהלב התחלת החי, והיסוד התחלת מה שהוא לו יסוד, וכבר יוחלט גם כן על זה הענין שהוא ראשון</w:t>
      </w:r>
      <w:r w:rsidR="005936B8">
        <w:rPr>
          <w:rFonts w:hint="cs"/>
          <w:rtl/>
        </w:rPr>
        <w:t>.</w:t>
      </w:r>
      <w:r w:rsidR="005936B8" w:rsidRPr="005936B8">
        <w:rPr>
          <w:rtl/>
        </w:rPr>
        <w:t xml:space="preserve"> אבל הראשון אמנם יאמר על הקודם בזמן לבד מבלתי שיהיה הקודם ההוא בזמן סיבה למתאחר אחריו - כמו שיאמר </w:t>
      </w:r>
      <w:r>
        <w:rPr>
          <w:rtl/>
        </w:rPr>
        <w:t>"</w:t>
      </w:r>
      <w:r w:rsidR="005936B8" w:rsidRPr="005936B8">
        <w:rPr>
          <w:rtl/>
        </w:rPr>
        <w:t>ראשון מי שדר בזה הבית - פלוני ואחריו - פלוני</w:t>
      </w:r>
      <w:r>
        <w:rPr>
          <w:rtl/>
        </w:rPr>
        <w:t>"</w:t>
      </w:r>
      <w:r w:rsidR="005936B8" w:rsidRPr="005936B8">
        <w:rPr>
          <w:rtl/>
        </w:rPr>
        <w:t xml:space="preserve"> ולא יאמר </w:t>
      </w:r>
      <w:r>
        <w:rPr>
          <w:rtl/>
        </w:rPr>
        <w:t>"</w:t>
      </w:r>
      <w:r w:rsidR="005936B8" w:rsidRPr="005936B8">
        <w:rPr>
          <w:rtl/>
        </w:rPr>
        <w:t>פלוני - התחלת פלוני</w:t>
      </w:r>
      <w:r>
        <w:rPr>
          <w:rtl/>
        </w:rPr>
        <w:t>"</w:t>
      </w:r>
      <w:r w:rsidR="005936B8" w:rsidRPr="005936B8">
        <w:rPr>
          <w:rtl/>
        </w:rPr>
        <w:t xml:space="preserve">. והמילה אשר תורה על הראשון בלשוננו היא 'תחלה' - </w:t>
      </w:r>
      <w:r>
        <w:rPr>
          <w:rtl/>
        </w:rPr>
        <w:t>"</w:t>
      </w:r>
      <w:r w:rsidR="005936B8" w:rsidRPr="005936B8">
        <w:rPr>
          <w:rtl/>
        </w:rPr>
        <w:t>תחילת דיבר יי בהושע</w:t>
      </w:r>
      <w:r>
        <w:rPr>
          <w:rtl/>
        </w:rPr>
        <w:t>"</w:t>
      </w:r>
      <w:r w:rsidR="005936B8" w:rsidRPr="005936B8">
        <w:rPr>
          <w:rtl/>
        </w:rPr>
        <w:t>; ואשר תורה על ההתחלה 'ראשית' שהוא נגזר מן 'ראש', אשר הוא התחלת החי לפי הנחתו</w:t>
      </w:r>
      <w:r>
        <w:rPr>
          <w:rtl/>
        </w:rPr>
        <w:t>"</w:t>
      </w:r>
      <w:r w:rsidR="001469F0" w:rsidRPr="00DA5387">
        <w:rPr>
          <w:rtl/>
        </w:rPr>
        <w:t xml:space="preserve">. </w:t>
      </w:r>
    </w:p>
    <w:p w14:paraId="51EC0ECD" w14:textId="2E58F915" w:rsidR="005936B8" w:rsidRDefault="005936B8" w:rsidP="001469F0">
      <w:pPr>
        <w:pStyle w:val="FootnoteText"/>
        <w:rPr>
          <w:rtl/>
        </w:rPr>
      </w:pPr>
      <w:r>
        <w:rPr>
          <w:rFonts w:hint="cs"/>
          <w:rtl/>
        </w:rPr>
        <w:t>עד כאן מהמורה נבוכים.</w:t>
      </w:r>
    </w:p>
    <w:p w14:paraId="26587465" w14:textId="77777777" w:rsidR="00B7467D" w:rsidRPr="00DA5387" w:rsidRDefault="00B7467D" w:rsidP="001469F0">
      <w:pPr>
        <w:pStyle w:val="FootnoteText"/>
        <w:rPr>
          <w:rtl/>
        </w:rPr>
      </w:pPr>
    </w:p>
    <w:p w14:paraId="2390D784" w14:textId="2C7D728B" w:rsidR="003D41C1" w:rsidRPr="00DA5387" w:rsidRDefault="00F8532C">
      <w:pPr>
        <w:pStyle w:val="FootnoteText"/>
        <w:rPr>
          <w:rtl/>
        </w:rPr>
      </w:pPr>
      <w:r w:rsidRPr="00DA5387">
        <w:rPr>
          <w:rtl/>
        </w:rPr>
        <w:t xml:space="preserve">יש הבדל בן 'סיבה' ל'התחלה'. </w:t>
      </w:r>
      <w:r w:rsidR="00276445" w:rsidRPr="00DA5387">
        <w:rPr>
          <w:rtl/>
        </w:rPr>
        <w:t>למשל אם נתבונן בסיבה הצורנית, הצורה, באדם צורתו היא 'חי מדבר'. סיבה היא מהות העצם, והחומר הוא המצע</w:t>
      </w:r>
      <w:r w:rsidR="002D60C4">
        <w:rPr>
          <w:rtl/>
        </w:rPr>
        <w:fldChar w:fldCharType="begin"/>
      </w:r>
      <w:r w:rsidR="002D60C4">
        <w:instrText xml:space="preserve"> XE "</w:instrText>
      </w:r>
      <w:r w:rsidR="002D60C4" w:rsidRPr="001365BA">
        <w:rPr>
          <w:rtl/>
        </w:rPr>
        <w:instrText>המצע</w:instrText>
      </w:r>
      <w:r w:rsidR="002D60C4">
        <w:instrText xml:space="preserve">" </w:instrText>
      </w:r>
      <w:r w:rsidR="002D60C4">
        <w:rPr>
          <w:rtl/>
        </w:rPr>
        <w:fldChar w:fldCharType="end"/>
      </w:r>
      <w:r w:rsidR="00276445" w:rsidRPr="00DA5387">
        <w:rPr>
          <w:rtl/>
        </w:rPr>
        <w:t xml:space="preserve"> לה. המהות של אדם שהוא 'חי' (אני מתעלם כעת מ'מדבר'). לפני שאפשר לומר על אדם שמהותו היא 'חי', בהכרח יש לתפוש שיש מציאות שהיא 'חיים' באופן כללי ומופשט. אינני מתכוון למהות של כל בעלי החיים כשמסתכלים עליהם ביחד כסוג אחד. אלא לחיים בלי משהו שהוא זה שחי, בלי שום בעל חיים כלל - החיים כשלעצמם, באופן מופשט. החיים שנתפשים באופן מופשט (על דרך החכמים שכתב הרמב</w:t>
      </w:r>
      <w:r w:rsidR="00F055C8">
        <w:rPr>
          <w:rtl/>
        </w:rPr>
        <w:t>"</w:t>
      </w:r>
      <w:r w:rsidR="00276445" w:rsidRPr="00DA5387">
        <w:rPr>
          <w:rtl/>
        </w:rPr>
        <w:t>ם במורה נבוכים א' כ</w:t>
      </w:r>
      <w:r w:rsidR="00F055C8">
        <w:rPr>
          <w:rtl/>
        </w:rPr>
        <w:t>"</w:t>
      </w:r>
      <w:r w:rsidR="00276445" w:rsidRPr="00DA5387">
        <w:rPr>
          <w:rtl/>
        </w:rPr>
        <w:t xml:space="preserve">ו, שלא מוכרחים לזהות את המציאות עם החומר), הם יותר מסיבה של מציאות העצם, כי עדיין אין כאן שום עצם, אלא הם 'התחלה'. </w:t>
      </w:r>
      <w:r w:rsidR="00682DC1" w:rsidRPr="00DA5387">
        <w:rPr>
          <w:rtl/>
        </w:rPr>
        <w:t>רק אחרי שהם נתפשים כהתחלה מופשטת, אפשר לתפוש אותם כמהות של עצם, חייו של העצם, ואז הם סיבה של העצם.</w:t>
      </w:r>
    </w:p>
    <w:p w14:paraId="3CAF1A04" w14:textId="440A29D6" w:rsidR="00F8532C" w:rsidRPr="00DA5387" w:rsidRDefault="003D41C1">
      <w:pPr>
        <w:pStyle w:val="FootnoteText"/>
      </w:pPr>
      <w:r w:rsidRPr="00DA5387">
        <w:rPr>
          <w:rtl/>
        </w:rPr>
        <w:t>כך גם 'פו</w:t>
      </w:r>
      <w:r w:rsidRPr="00DA5387">
        <w:rPr>
          <w:b/>
          <w:bCs/>
          <w:rtl/>
        </w:rPr>
        <w:t>עֵ</w:t>
      </w:r>
      <w:r w:rsidRPr="00DA5387">
        <w:rPr>
          <w:rtl/>
        </w:rPr>
        <w:t xml:space="preserve">ל' הוא סיבה למציאות העצם, אבל לפני כן יש לתפוש אותו כ'התחלה', כלומר כח פעולה בתפישה מופשטת, לפני שיש משהו שהוא זה שפועל או שנפעל. </w:t>
      </w:r>
      <w:r w:rsidR="00682DC1" w:rsidRPr="00DA5387">
        <w:rPr>
          <w:rtl/>
        </w:rPr>
        <w:t xml:space="preserve"> </w:t>
      </w:r>
      <w:r w:rsidR="00276445" w:rsidRPr="00DA5387">
        <w:rPr>
          <w:rtl/>
        </w:rPr>
        <w:t xml:space="preserve">  </w:t>
      </w:r>
    </w:p>
  </w:footnote>
  <w:footnote w:id="171">
    <w:p w14:paraId="0C0DBD0B" w14:textId="45722AEC" w:rsidR="007716E6" w:rsidRDefault="007716E6">
      <w:pPr>
        <w:pStyle w:val="FootnoteText"/>
      </w:pPr>
      <w:r>
        <w:rPr>
          <w:rStyle w:val="FootnoteReference"/>
        </w:rPr>
        <w:footnoteRef/>
      </w:r>
      <w:r>
        <w:rPr>
          <w:rtl/>
        </w:rPr>
        <w:t xml:space="preserve"> </w:t>
      </w:r>
      <w:r>
        <w:rPr>
          <w:rFonts w:hint="cs"/>
          <w:rtl/>
        </w:rPr>
        <w:t xml:space="preserve">בוודאי יש שלהם. הניסוח </w:t>
      </w:r>
      <w:r w:rsidR="00F055C8">
        <w:rPr>
          <w:rtl/>
        </w:rPr>
        <w:t>"</w:t>
      </w:r>
      <w:r>
        <w:rPr>
          <w:rFonts w:hint="cs"/>
          <w:rtl/>
        </w:rPr>
        <w:t>אם</w:t>
      </w:r>
      <w:r w:rsidR="00F055C8">
        <w:rPr>
          <w:rtl/>
        </w:rPr>
        <w:t>"</w:t>
      </w:r>
      <w:r>
        <w:rPr>
          <w:rFonts w:hint="cs"/>
          <w:rtl/>
        </w:rPr>
        <w:t xml:space="preserve"> מקובל בכתיבה אזוטרית, וגם אצל אריסטו, להצניע את האמירה, וביחד עם זה לרמוז שמדובר בכתיבה אזוטרית שצופנת יותר ממה שנאמר על פני השטח. </w:t>
      </w:r>
    </w:p>
  </w:footnote>
  <w:footnote w:id="172">
    <w:p w14:paraId="671C5E33" w14:textId="3478147E" w:rsidR="008A370C" w:rsidRDefault="008A370C">
      <w:pPr>
        <w:pStyle w:val="FootnoteText"/>
        <w:rPr>
          <w:rtl/>
        </w:rPr>
      </w:pPr>
      <w:r>
        <w:rPr>
          <w:rStyle w:val="FootnoteReference"/>
        </w:rPr>
        <w:footnoteRef/>
      </w:r>
      <w:r>
        <w:rPr>
          <w:rtl/>
        </w:rPr>
        <w:t xml:space="preserve"> </w:t>
      </w:r>
      <w:r>
        <w:rPr>
          <w:rFonts w:hint="cs"/>
          <w:rtl/>
        </w:rPr>
        <w:t xml:space="preserve">הסדר הטבעי כולו כאחד הוא </w:t>
      </w:r>
      <w:r>
        <w:rPr>
          <w:rFonts w:hint="cs"/>
          <w:rtl/>
        </w:rPr>
        <w:t>ההתפרטות להשתלשלות בדרך סיבה ומסובב של מה שיוצא אל הפועל מהנמצא הראשון, הוא החומר הראשון</w:t>
      </w:r>
      <w:r w:rsidR="00E73C62">
        <w:rPr>
          <w:rtl/>
        </w:rPr>
        <w:fldChar w:fldCharType="begin"/>
      </w:r>
      <w:r w:rsidR="00E73C62">
        <w:instrText xml:space="preserve"> XE "</w:instrText>
      </w:r>
      <w:r w:rsidR="00E73C62" w:rsidRPr="00F05023">
        <w:rPr>
          <w:rFonts w:hint="cs"/>
          <w:rtl/>
        </w:rPr>
        <w:instrText>החומר הראשון</w:instrText>
      </w:r>
      <w:r w:rsidR="00E73C62">
        <w:instrText xml:space="preserve">" </w:instrText>
      </w:r>
      <w:r w:rsidR="00E73C62">
        <w:rPr>
          <w:rtl/>
        </w:rPr>
        <w:fldChar w:fldCharType="end"/>
      </w:r>
      <w:r>
        <w:rPr>
          <w:rFonts w:hint="cs"/>
          <w:rtl/>
        </w:rPr>
        <w:t>; לכן הכח המוציא אל הפועל את ההשתלשלות הזו מהחומר הראשון הוא הפו</w:t>
      </w:r>
      <w:r>
        <w:rPr>
          <w:b/>
          <w:bCs/>
          <w:rtl/>
        </w:rPr>
        <w:t>עֵ</w:t>
      </w:r>
      <w:r>
        <w:rPr>
          <w:rFonts w:hint="cs"/>
          <w:rtl/>
        </w:rPr>
        <w:t xml:space="preserve">ל של כל ההשתלשלות כאחת, ולא חוליה ממנה, גם לא </w:t>
      </w:r>
      <w:r w:rsidR="004330EE">
        <w:rPr>
          <w:rFonts w:hint="cs"/>
          <w:rtl/>
        </w:rPr>
        <w:t xml:space="preserve">החולייה </w:t>
      </w:r>
      <w:r>
        <w:rPr>
          <w:rFonts w:hint="cs"/>
          <w:rtl/>
        </w:rPr>
        <w:t>הראשונה.</w:t>
      </w:r>
    </w:p>
    <w:p w14:paraId="7CB03ABE" w14:textId="0A22EEE0" w:rsidR="008A370C" w:rsidRDefault="008A370C">
      <w:pPr>
        <w:pStyle w:val="FootnoteText"/>
      </w:pPr>
      <w:r>
        <w:rPr>
          <w:rFonts w:hint="cs"/>
          <w:rtl/>
        </w:rPr>
        <w:t xml:space="preserve">צורת התלת ממדיות היא </w:t>
      </w:r>
      <w:r w:rsidR="004330EE">
        <w:rPr>
          <w:rFonts w:hint="cs"/>
          <w:rtl/>
        </w:rPr>
        <w:t>החולייה</w:t>
      </w:r>
      <w:r>
        <w:rPr>
          <w:rFonts w:hint="cs"/>
          <w:rtl/>
        </w:rPr>
        <w:t xml:space="preserve"> הראשונה בסדר הטבעי, כאן מדובר על הכח שפועל את </w:t>
      </w:r>
      <w:r w:rsidR="002C2271">
        <w:rPr>
          <w:rFonts w:hint="cs"/>
          <w:rtl/>
        </w:rPr>
        <w:t xml:space="preserve">התהוות הצורה התלת ממדית מתוך החומר הראשון. זה ראשית הכח הפועל בדרך הכרח וחיוב הגזרה השכלית, שנגזרת ממציאות החומר הראשון. החומר הראשון הוא הנברא היחיד באופן ישיר מהאלוה, בדרך של רצון חופשי. לכן הפועל שאנו מדברים בו כאן אינו האלוה בעצמו, כלומר בהתגלות רצונו החופשי באופן ישיר, אלא הוא התגלות באופן של שכל קבוע ומחייב כמו כל הטבע. זו חזרה בקיצור על מה שכתבתי לעיל בזה. </w:t>
      </w:r>
      <w:r>
        <w:rPr>
          <w:rFonts w:hint="cs"/>
          <w:rtl/>
        </w:rPr>
        <w:t xml:space="preserve"> </w:t>
      </w:r>
    </w:p>
  </w:footnote>
  <w:footnote w:id="173">
    <w:p w14:paraId="1F58B87C" w14:textId="5E97FCBE" w:rsidR="0073063D" w:rsidRPr="00EE5E65" w:rsidRDefault="0073063D">
      <w:pPr>
        <w:pStyle w:val="FootnoteText"/>
      </w:pPr>
      <w:r>
        <w:rPr>
          <w:rStyle w:val="FootnoteReference"/>
        </w:rPr>
        <w:footnoteRef/>
      </w:r>
      <w:r>
        <w:rPr>
          <w:rtl/>
        </w:rPr>
        <w:t xml:space="preserve"> </w:t>
      </w:r>
      <w:r w:rsidRPr="00EE5E65">
        <w:rPr>
          <w:rtl/>
        </w:rPr>
        <w:t>במקור:</w:t>
      </w:r>
      <w:r w:rsidRPr="00EE5E65">
        <w:t xml:space="preserve"> </w:t>
      </w:r>
      <w:r w:rsidRPr="00EE5E65">
        <w:rPr>
          <w:rFonts w:ascii="Arial" w:hAnsi="Arial" w:cs="Arial" w:hint="cs"/>
          <w:rtl/>
          <w:lang w:bidi="ar-SA"/>
        </w:rPr>
        <w:t>محال</w:t>
      </w:r>
      <w:r w:rsidRPr="00EE5E65">
        <w:rPr>
          <w:rtl/>
        </w:rPr>
        <w:t xml:space="preserve">. </w:t>
      </w:r>
      <w:r w:rsidR="00501728" w:rsidRPr="00501728">
        <w:rPr>
          <w:rtl/>
        </w:rPr>
        <w:t xml:space="preserve">הוא </w:t>
      </w:r>
      <w:r w:rsidR="00501728">
        <w:rPr>
          <w:rFonts w:hint="cs"/>
          <w:rtl/>
        </w:rPr>
        <w:t xml:space="preserve">המונח </w:t>
      </w:r>
      <w:r w:rsidR="00501728" w:rsidRPr="00501728">
        <w:rPr>
          <w:rtl/>
        </w:rPr>
        <w:t>המקביל למונח היווני</w:t>
      </w:r>
      <w:r w:rsidR="00501728" w:rsidRPr="00BF14AF">
        <w:rPr>
          <w:rFonts w:asciiTheme="majorBidi" w:hAnsiTheme="majorBidi" w:cstheme="majorBidi"/>
          <w:rtl/>
        </w:rPr>
        <w:t xml:space="preserve"> </w:t>
      </w:r>
      <w:r w:rsidR="00501728" w:rsidRPr="00BF14AF">
        <w:rPr>
          <w:rFonts w:asciiTheme="majorBidi" w:hAnsiTheme="majorBidi" w:cstheme="majorBidi"/>
        </w:rPr>
        <w:t>ἄτοπος</w:t>
      </w:r>
      <w:r w:rsidR="00501728" w:rsidRPr="0065034E">
        <w:rPr>
          <w:rtl/>
        </w:rPr>
        <w:t xml:space="preserve"> </w:t>
      </w:r>
      <w:r w:rsidR="0065034E" w:rsidRPr="0065034E">
        <w:rPr>
          <w:rtl/>
        </w:rPr>
        <w:t xml:space="preserve">שפירושו המילולי אין לו מקום, </w:t>
      </w:r>
      <w:r w:rsidR="00501728" w:rsidRPr="00501728">
        <w:rPr>
          <w:rtl/>
        </w:rPr>
        <w:t>ומוכר בגרסה הלטינית 'אבסורד'</w:t>
      </w:r>
      <w:r w:rsidR="00EE5E65" w:rsidRPr="00EE5E65">
        <w:rPr>
          <w:rtl/>
        </w:rPr>
        <w:t>.</w:t>
      </w:r>
    </w:p>
  </w:footnote>
  <w:footnote w:id="174">
    <w:p w14:paraId="3C94B49D" w14:textId="5CDED9D1" w:rsidR="002043B2" w:rsidRDefault="002043B2">
      <w:pPr>
        <w:pStyle w:val="FootnoteText"/>
      </w:pPr>
      <w:r>
        <w:rPr>
          <w:rStyle w:val="FootnoteReference"/>
        </w:rPr>
        <w:footnoteRef/>
      </w:r>
      <w:r>
        <w:rPr>
          <w:rtl/>
        </w:rPr>
        <w:t xml:space="preserve"> </w:t>
      </w:r>
      <w:r>
        <w:rPr>
          <w:rFonts w:hint="cs"/>
          <w:rtl/>
        </w:rPr>
        <w:t xml:space="preserve">סתירה להנחה שמה שאנו מדברים בו הוא ההתחלה הראשונה. </w:t>
      </w:r>
    </w:p>
  </w:footnote>
  <w:footnote w:id="175">
    <w:p w14:paraId="0857E9A8" w14:textId="5B004439" w:rsidR="00AE0A19" w:rsidRDefault="00E753D6">
      <w:pPr>
        <w:pStyle w:val="FootnoteText"/>
        <w:rPr>
          <w:rtl/>
        </w:rPr>
      </w:pPr>
      <w:r>
        <w:rPr>
          <w:rStyle w:val="FootnoteReference"/>
        </w:rPr>
        <w:footnoteRef/>
      </w:r>
      <w:r>
        <w:rPr>
          <w:rtl/>
        </w:rPr>
        <w:t xml:space="preserve"> </w:t>
      </w:r>
      <w:r w:rsidR="007F7263">
        <w:rPr>
          <w:rFonts w:hint="cs"/>
          <w:rtl/>
        </w:rPr>
        <w:t>בפיזיקה ספר ח' מוכיח אריסטו</w:t>
      </w:r>
      <w:r w:rsidR="00787396">
        <w:rPr>
          <w:rtl/>
        </w:rPr>
        <w:fldChar w:fldCharType="begin"/>
      </w:r>
      <w:r w:rsidR="00787396">
        <w:instrText xml:space="preserve"> XE "</w:instrText>
      </w:r>
      <w:r w:rsidR="00787396" w:rsidRPr="00653366">
        <w:rPr>
          <w:rFonts w:hint="cs"/>
          <w:rtl/>
        </w:rPr>
        <w:instrText>אריסטו</w:instrText>
      </w:r>
      <w:r w:rsidR="00787396" w:rsidRPr="00653366">
        <w:rPr>
          <w:rtl/>
        </w:rPr>
        <w:instrText>:</w:instrText>
      </w:r>
      <w:r w:rsidR="00787396" w:rsidRPr="00653366">
        <w:rPr>
          <w:rFonts w:hint="cs"/>
          <w:rtl/>
        </w:rPr>
        <w:instrText>פיזיקה ח, מ</w:instrText>
      </w:r>
      <w:r w:rsidR="00787396" w:rsidRPr="00653366">
        <w:rPr>
          <w:rtl/>
        </w:rPr>
        <w:instrText>ציאותה של סיבה ראשונה לכל הטבע</w:instrText>
      </w:r>
      <w:r w:rsidR="00787396">
        <w:instrText xml:space="preserve">" </w:instrText>
      </w:r>
      <w:r w:rsidR="00787396">
        <w:rPr>
          <w:rtl/>
        </w:rPr>
        <w:fldChar w:fldCharType="end"/>
      </w:r>
      <w:r w:rsidR="007F7263">
        <w:rPr>
          <w:rFonts w:hint="cs"/>
          <w:rtl/>
        </w:rPr>
        <w:t xml:space="preserve"> את מ</w:t>
      </w:r>
      <w:bookmarkStart w:id="123" w:name="_Hlk98526795"/>
      <w:r w:rsidR="007F7263">
        <w:rPr>
          <w:rFonts w:hint="cs"/>
          <w:rtl/>
        </w:rPr>
        <w:t>ציאותה של סיבה פועלת ראשונה לכל הטבע</w:t>
      </w:r>
      <w:bookmarkEnd w:id="123"/>
      <w:r w:rsidR="00F877BC">
        <w:rPr>
          <w:rtl/>
        </w:rPr>
        <w:fldChar w:fldCharType="begin"/>
      </w:r>
      <w:r w:rsidR="00F877BC">
        <w:instrText xml:space="preserve"> XE "</w:instrText>
      </w:r>
      <w:r w:rsidR="00F877BC" w:rsidRPr="002A0FDC">
        <w:rPr>
          <w:rFonts w:hint="cs"/>
          <w:rtl/>
        </w:rPr>
        <w:instrText>מאמר</w:instrText>
      </w:r>
      <w:r w:rsidR="00F877BC" w:rsidRPr="002A0FDC">
        <w:rPr>
          <w:rtl/>
        </w:rPr>
        <w:instrText>:סיבה ראשונה לכל הטבע</w:instrText>
      </w:r>
      <w:r w:rsidR="00F877BC" w:rsidRPr="002A0FDC">
        <w:rPr>
          <w:rFonts w:hint="cs"/>
          <w:rtl/>
        </w:rPr>
        <w:instrText>, אינרציה</w:instrText>
      </w:r>
      <w:r w:rsidR="00F877BC">
        <w:instrText xml:space="preserve">" </w:instrText>
      </w:r>
      <w:r w:rsidR="00F877BC">
        <w:rPr>
          <w:rtl/>
        </w:rPr>
        <w:fldChar w:fldCharType="end"/>
      </w:r>
      <w:r w:rsidR="007F7263">
        <w:rPr>
          <w:rFonts w:hint="cs"/>
          <w:rtl/>
        </w:rPr>
        <w:t>, מהתבוננות בטבע</w:t>
      </w:r>
      <w:r w:rsidR="00AE0A19">
        <w:rPr>
          <w:rFonts w:hint="cs"/>
          <w:rtl/>
        </w:rPr>
        <w:t>:</w:t>
      </w:r>
      <w:r w:rsidR="007F7263">
        <w:rPr>
          <w:rFonts w:hint="cs"/>
          <w:rtl/>
        </w:rPr>
        <w:t xml:space="preserve"> </w:t>
      </w:r>
    </w:p>
    <w:p w14:paraId="33960F5B" w14:textId="1A92AF33" w:rsidR="007F7263" w:rsidRDefault="007F7263">
      <w:pPr>
        <w:pStyle w:val="FootnoteText"/>
        <w:rPr>
          <w:rtl/>
        </w:rPr>
      </w:pPr>
      <w:r>
        <w:rPr>
          <w:rFonts w:hint="cs"/>
          <w:rtl/>
        </w:rPr>
        <w:t xml:space="preserve">הטבע מסודר בסדר של סיבה ומסובב (תוצאה), לפי זה אם זה היה סדר שיש לו התחלה, </w:t>
      </w:r>
      <w:r>
        <w:rPr>
          <w:rFonts w:hint="cs"/>
          <w:rtl/>
        </w:rPr>
        <w:t xml:space="preserve">החוליה הראשונה הייתה הסיבה הראשונה, שהיא סיבה לכל שאר המסובבים וגם למסובב האחרון, התוצאה שעומדת לפנינו שנובעת מכל סדר הסיבות. </w:t>
      </w:r>
    </w:p>
    <w:p w14:paraId="4FAB587B" w14:textId="77777777" w:rsidR="00FD6D19" w:rsidRDefault="007F7263">
      <w:pPr>
        <w:pStyle w:val="FootnoteText"/>
        <w:rPr>
          <w:rtl/>
        </w:rPr>
      </w:pPr>
      <w:r>
        <w:rPr>
          <w:rFonts w:hint="cs"/>
          <w:rtl/>
        </w:rPr>
        <w:t xml:space="preserve">לפי אריסטו אם יש שורה של כמה סיבות ומסובבים, הכח הסיבתי הפועל לא עובר מהסיבה הראשונה לסיבה אמצעית והיא נעשית הסיבה למסובב הסופי. למשל אם אדם זרק אבן והיא פגעה במקל והמקל נפל מהגג ושבר כד, האבן והמקל אינם סיבה לשבירת הכד, אלא הסיבה היחידה היא האדם שזרק. האדם הוא לבדו הסיבה לתנועת האבן ולתנועת המקל ולשבירת הכד. </w:t>
      </w:r>
    </w:p>
    <w:p w14:paraId="75068ECE" w14:textId="363E2EFC" w:rsidR="007E7C36" w:rsidRDefault="00FD6D19">
      <w:pPr>
        <w:pStyle w:val="FootnoteText"/>
        <w:rPr>
          <w:rtl/>
        </w:rPr>
      </w:pPr>
      <w:r>
        <w:rPr>
          <w:rFonts w:hint="cs"/>
          <w:rtl/>
        </w:rPr>
        <w:t>זה שייך לכך שאריסטו לא מקבל את ההסבר של אינרציה</w:t>
      </w:r>
      <w:r w:rsidR="00E71B72">
        <w:rPr>
          <w:rtl/>
        </w:rPr>
        <w:fldChar w:fldCharType="begin"/>
      </w:r>
      <w:r w:rsidR="00E71B72">
        <w:instrText xml:space="preserve"> XE "</w:instrText>
      </w:r>
      <w:r w:rsidR="00E71B72" w:rsidRPr="004F63A5">
        <w:rPr>
          <w:rFonts w:hint="cs"/>
          <w:rtl/>
        </w:rPr>
        <w:instrText>אינרציה</w:instrText>
      </w:r>
      <w:r w:rsidR="00E71B72">
        <w:instrText xml:space="preserve">" </w:instrText>
      </w:r>
      <w:r w:rsidR="00E71B72">
        <w:rPr>
          <w:rtl/>
        </w:rPr>
        <w:fldChar w:fldCharType="end"/>
      </w:r>
      <w:r>
        <w:rPr>
          <w:rFonts w:hint="cs"/>
          <w:rtl/>
        </w:rPr>
        <w:t>, התמדת התנועה. אם אדם זורק אבן, כשהאבן אחוזה בידו תנועת ידו היא הסיבה לתנועת האבן, כשהאבן ניתקת מידו, תנועתה כבר אינה מסובבת מתנועת היד, והיה צריך להיות שהיא תיפול מייד לארץ בקו ישר. יש שאלה איך יתכן שהאבן ממשיכה במסלולה גם אחרי שניתקה מהיד. ההסבר של המדע המודרני שיש כח שנקרא 'אינרציה' שגורם שהתנועה מתמידה גם אחרי הניתוק מהיד. אי אפשר להבין את כח האינרציה לפי פשוטו, כמו שעמדו על זה כבר גדולי הפיזיקאים, ולאריסטו יש הסבר עמוק בזה (לא כמו שחושבים שהוא משום תנועות האוויר שמקיף את האבן, אלא הסבר דומה לאינרציה של המדע המודרני רק בהבנה יותר עמוקה</w:t>
      </w:r>
      <w:r w:rsidR="00AE0A19">
        <w:rPr>
          <w:rFonts w:hint="cs"/>
          <w:rtl/>
        </w:rPr>
        <w:t xml:space="preserve">, וכמו שביארו </w:t>
      </w:r>
      <w:r w:rsidR="008E4401">
        <w:rPr>
          <w:rFonts w:hint="cs"/>
          <w:rtl/>
        </w:rPr>
        <w:t>פילופונוס</w:t>
      </w:r>
      <w:r w:rsidR="00AE0A19">
        <w:rPr>
          <w:rFonts w:hint="cs"/>
          <w:rtl/>
        </w:rPr>
        <w:t xml:space="preserve"> וגם אבן סינא</w:t>
      </w:r>
      <w:r w:rsidR="003904BB">
        <w:rPr>
          <w:rFonts w:hint="cs"/>
          <w:rtl/>
        </w:rPr>
        <w:t xml:space="preserve"> בהמשך ספרנו</w:t>
      </w:r>
      <w:r>
        <w:rPr>
          <w:rFonts w:hint="cs"/>
          <w:rtl/>
        </w:rPr>
        <w:t xml:space="preserve">). אם יש אינרציה במובן המקובל בזמננו, אז אחרי שהאדם זרק את האבן והיא ניתקה מידו, יש באבן עצמה כח תנועה, כח דוחף משלה שאחרי שקיבלה אותו מתנועת היד הוא נמצא בה מכח עצמה. ואז אם היא פגעה בכד ושברה אותו, האבן היא הסיבה לשבירת הכד, ומה שבעבר היא קיבלה את הכח מתנועת היד זה שייך לעבר ולא סיבה בהווה לשבירת הכד. </w:t>
      </w:r>
    </w:p>
    <w:p w14:paraId="071B77CA" w14:textId="409EE675" w:rsidR="003904BB" w:rsidRDefault="007E7C36" w:rsidP="003904BB">
      <w:pPr>
        <w:pStyle w:val="FootnoteText"/>
        <w:rPr>
          <w:rtl/>
        </w:rPr>
      </w:pPr>
      <w:r>
        <w:rPr>
          <w:rFonts w:hint="cs"/>
          <w:rtl/>
        </w:rPr>
        <w:t>לפי ההסבר המודרני לאינרציה החול</w:t>
      </w:r>
      <w:r w:rsidR="004330EE">
        <w:rPr>
          <w:rFonts w:hint="cs"/>
          <w:rtl/>
        </w:rPr>
        <w:t>י</w:t>
      </w:r>
      <w:r>
        <w:rPr>
          <w:rFonts w:hint="cs"/>
          <w:rtl/>
        </w:rPr>
        <w:t>יה הראשונה בשרשרת הסיבות היא סיבה רק לחוליה השנייה, והשנייה סיבה רק לחוליה השלישית וכן הלאה. אבל לפי אריסטו החול</w:t>
      </w:r>
      <w:r w:rsidR="004330EE">
        <w:rPr>
          <w:rFonts w:hint="cs"/>
          <w:rtl/>
        </w:rPr>
        <w:t>י</w:t>
      </w:r>
      <w:r>
        <w:rPr>
          <w:rFonts w:hint="cs"/>
          <w:rtl/>
        </w:rPr>
        <w:t xml:space="preserve">יה הראשונה היא לבדה הסיבה לכל החוליות. הסיבות האמצעיות הן רק כלי להעביר את הכח הסיבתי של הסיבה הראשונה. למשל אם אדם זרק אבן שפגעה במקל והמקל נע ושבר את הכד, האבן והמקל הם רק כמו המשך ארוך של ידו של האדם, כאילו ידו צמחה והתארכה והגיעה עד האבן (זה הפירוש של המושג ההלכתי בדיני נזיקין </w:t>
      </w:r>
      <w:r w:rsidR="00F055C8">
        <w:rPr>
          <w:rtl/>
        </w:rPr>
        <w:t>"</w:t>
      </w:r>
      <w:r>
        <w:rPr>
          <w:rFonts w:hint="cs"/>
          <w:rtl/>
        </w:rPr>
        <w:t>גירי דיליה</w:t>
      </w:r>
      <w:r w:rsidR="00F055C8">
        <w:rPr>
          <w:rtl/>
        </w:rPr>
        <w:t>"</w:t>
      </w:r>
      <w:r>
        <w:rPr>
          <w:rFonts w:hint="cs"/>
          <w:rtl/>
        </w:rPr>
        <w:t>, חיצים שלו, כלומר שרואים את האבן והמקל כהתארכות ידו של הזורק ולא כסיבות בפני עצמן, ולכן הזורק חייב לשלם את כל דמי הכד, ולא נפטר מחלק בגלל שמשותפות סיבות אחרות בפעולת ההיזק.</w:t>
      </w:r>
    </w:p>
    <w:p w14:paraId="21B68915" w14:textId="1FF201F6" w:rsidR="005C1DE9" w:rsidRDefault="005C1DE9" w:rsidP="003904BB">
      <w:pPr>
        <w:pStyle w:val="FootnoteText"/>
        <w:rPr>
          <w:rtl/>
        </w:rPr>
      </w:pPr>
    </w:p>
    <w:p w14:paraId="22420A18" w14:textId="1E5170DE" w:rsidR="005C1DE9" w:rsidRDefault="005C1DE9" w:rsidP="003904BB">
      <w:pPr>
        <w:pStyle w:val="FootnoteText"/>
        <w:rPr>
          <w:rtl/>
        </w:rPr>
      </w:pPr>
      <w:r>
        <w:rPr>
          <w:rFonts w:hint="cs"/>
          <w:rtl/>
        </w:rPr>
        <w:t>עיין מורה נבוכים ב' י</w:t>
      </w:r>
      <w:r w:rsidR="00F055C8">
        <w:rPr>
          <w:rtl/>
        </w:rPr>
        <w:t>"</w:t>
      </w:r>
      <w:r>
        <w:rPr>
          <w:rFonts w:hint="cs"/>
          <w:rtl/>
        </w:rPr>
        <w:t>ב</w:t>
      </w:r>
      <w:r w:rsidR="009D4C38">
        <w:rPr>
          <w:rtl/>
        </w:rPr>
        <w:fldChar w:fldCharType="begin"/>
      </w:r>
      <w:r w:rsidR="009D4C38">
        <w:instrText xml:space="preserve"> XE "</w:instrText>
      </w:r>
      <w:r w:rsidR="009D4C38" w:rsidRPr="007E0AA4">
        <w:rPr>
          <w:rFonts w:hint="cs"/>
          <w:rtl/>
        </w:rPr>
        <w:instrText>מורה נבוכים ב' י</w:instrText>
      </w:r>
      <w:r w:rsidR="009D4C38">
        <w:rPr>
          <w:b/>
          <w:bCs/>
          <w:sz w:val="20"/>
          <w:szCs w:val="20"/>
        </w:rPr>
        <w:instrText>\</w:instrText>
      </w:r>
      <w:r w:rsidR="009D4C38" w:rsidRPr="007E0AA4">
        <w:rPr>
          <w:rFonts w:hint="cs"/>
          <w:rtl/>
        </w:rPr>
        <w:instrText>"ב</w:instrText>
      </w:r>
      <w:r w:rsidR="009D4C38">
        <w:instrText xml:space="preserve">" </w:instrText>
      </w:r>
      <w:r w:rsidR="009D4C38">
        <w:rPr>
          <w:rtl/>
        </w:rPr>
        <w:fldChar w:fldCharType="end"/>
      </w:r>
      <w:r>
        <w:rPr>
          <w:rFonts w:hint="cs"/>
          <w:rtl/>
        </w:rPr>
        <w:t xml:space="preserve"> שכתב:</w:t>
      </w:r>
    </w:p>
    <w:p w14:paraId="5487320F" w14:textId="762216C3" w:rsidR="005C1DE9" w:rsidRDefault="00F055C8" w:rsidP="003904BB">
      <w:pPr>
        <w:pStyle w:val="FootnoteText"/>
        <w:rPr>
          <w:rtl/>
        </w:rPr>
      </w:pPr>
      <w:r>
        <w:rPr>
          <w:rtl/>
        </w:rPr>
        <w:t>"</w:t>
      </w:r>
      <w:r w:rsidR="005C1DE9" w:rsidRPr="005C1DE9">
        <w:rPr>
          <w:rtl/>
        </w:rPr>
        <w:t>כבר התבאר בחכמה הטבעית שאלו הארבעה מינין מן הסבות צריך שתבוקש לכל סבה מהם סבה גם כן, וימצא לדבר המתהוה אלו הארבע סבות הקרובות לו, וימצאו להם ג</w:t>
      </w:r>
      <w:r>
        <w:rPr>
          <w:rtl/>
        </w:rPr>
        <w:t>"</w:t>
      </w:r>
      <w:r w:rsidR="005C1DE9" w:rsidRPr="005C1DE9">
        <w:rPr>
          <w:rtl/>
        </w:rPr>
        <w:t>כ סבות ולסבות סבות, עד שיגיעהו לסבות הראשונות, כמו שזה הדבר הפעול ופועלו הוא כך, ולפועל ההוא פועל, ולא יסור זה עד שיגיע אל מניע ראשון הוא הפועל באמת לאלו האמצעיות כלם, וזה כי כשתהיה אות אל</w:t>
      </w:r>
      <w:r>
        <w:rPr>
          <w:rtl/>
        </w:rPr>
        <w:t>"</w:t>
      </w:r>
      <w:r w:rsidR="005C1DE9" w:rsidRPr="005C1DE9">
        <w:rPr>
          <w:rtl/>
        </w:rPr>
        <w:t>ף תניע אות בי</w:t>
      </w:r>
      <w:r>
        <w:rPr>
          <w:rtl/>
        </w:rPr>
        <w:t>"</w:t>
      </w:r>
      <w:r w:rsidR="005C1DE9" w:rsidRPr="005C1DE9">
        <w:rPr>
          <w:rtl/>
        </w:rPr>
        <w:t>ת, ובי</w:t>
      </w:r>
      <w:r>
        <w:rPr>
          <w:rtl/>
        </w:rPr>
        <w:t>"</w:t>
      </w:r>
      <w:r w:rsidR="005C1DE9" w:rsidRPr="005C1DE9">
        <w:rPr>
          <w:rtl/>
        </w:rPr>
        <w:t>ת תניע אות גימ</w:t>
      </w:r>
      <w:r>
        <w:rPr>
          <w:rtl/>
        </w:rPr>
        <w:t>"</w:t>
      </w:r>
      <w:r w:rsidR="005C1DE9" w:rsidRPr="005C1DE9">
        <w:rPr>
          <w:rtl/>
        </w:rPr>
        <w:t>ל, וגימ</w:t>
      </w:r>
      <w:r>
        <w:rPr>
          <w:rtl/>
        </w:rPr>
        <w:t>"</w:t>
      </w:r>
      <w:r w:rsidR="005C1DE9" w:rsidRPr="005C1DE9">
        <w:rPr>
          <w:rtl/>
        </w:rPr>
        <w:t>ל תניע אות דל</w:t>
      </w:r>
      <w:r>
        <w:rPr>
          <w:rtl/>
        </w:rPr>
        <w:t>"</w:t>
      </w:r>
      <w:r w:rsidR="005C1DE9" w:rsidRPr="005C1DE9">
        <w:rPr>
          <w:rtl/>
        </w:rPr>
        <w:t>ת, ודל</w:t>
      </w:r>
      <w:r>
        <w:rPr>
          <w:rtl/>
        </w:rPr>
        <w:t>"</w:t>
      </w:r>
      <w:r w:rsidR="005C1DE9" w:rsidRPr="005C1DE9">
        <w:rPr>
          <w:rtl/>
        </w:rPr>
        <w:t>ת תניע אות ה</w:t>
      </w:r>
      <w:r>
        <w:rPr>
          <w:rtl/>
        </w:rPr>
        <w:t>"</w:t>
      </w:r>
      <w:r w:rsidR="005C1DE9" w:rsidRPr="005C1DE9">
        <w:rPr>
          <w:rtl/>
        </w:rPr>
        <w:t>א, וזה מה שלא ילך אל לא תכלית ונעמוד אצל הה</w:t>
      </w:r>
      <w:r>
        <w:rPr>
          <w:rtl/>
        </w:rPr>
        <w:t>"</w:t>
      </w:r>
      <w:r w:rsidR="005C1DE9" w:rsidRPr="005C1DE9">
        <w:rPr>
          <w:rtl/>
        </w:rPr>
        <w:t>א על דרך המשל, ואין ספק כי הה</w:t>
      </w:r>
      <w:r>
        <w:rPr>
          <w:rtl/>
        </w:rPr>
        <w:t>"</w:t>
      </w:r>
      <w:r w:rsidR="005C1DE9" w:rsidRPr="005C1DE9">
        <w:rPr>
          <w:rtl/>
        </w:rPr>
        <w:t>א היא המניעה לאל</w:t>
      </w:r>
      <w:r>
        <w:rPr>
          <w:rtl/>
        </w:rPr>
        <w:t>"</w:t>
      </w:r>
      <w:r w:rsidR="005C1DE9" w:rsidRPr="005C1DE9">
        <w:rPr>
          <w:rtl/>
        </w:rPr>
        <w:t>ף ולבי</w:t>
      </w:r>
      <w:r>
        <w:rPr>
          <w:rtl/>
        </w:rPr>
        <w:t>"</w:t>
      </w:r>
      <w:r w:rsidR="005C1DE9" w:rsidRPr="005C1DE9">
        <w:rPr>
          <w:rtl/>
        </w:rPr>
        <w:t>ת ולגימ</w:t>
      </w:r>
      <w:r>
        <w:rPr>
          <w:rtl/>
        </w:rPr>
        <w:t>"</w:t>
      </w:r>
      <w:r w:rsidR="005C1DE9" w:rsidRPr="005C1DE9">
        <w:rPr>
          <w:rtl/>
        </w:rPr>
        <w:t>ל ודל</w:t>
      </w:r>
      <w:r>
        <w:rPr>
          <w:rtl/>
        </w:rPr>
        <w:t>"</w:t>
      </w:r>
      <w:r w:rsidR="005C1DE9" w:rsidRPr="005C1DE9">
        <w:rPr>
          <w:rtl/>
        </w:rPr>
        <w:t>ת, ובאמת נאמר בתנועת האל</w:t>
      </w:r>
      <w:r>
        <w:rPr>
          <w:rtl/>
        </w:rPr>
        <w:t>"</w:t>
      </w:r>
      <w:r w:rsidR="005C1DE9" w:rsidRPr="005C1DE9">
        <w:rPr>
          <w:rtl/>
        </w:rPr>
        <w:t>ף שהה</w:t>
      </w:r>
      <w:r>
        <w:rPr>
          <w:rtl/>
        </w:rPr>
        <w:t>"</w:t>
      </w:r>
      <w:r w:rsidR="005C1DE9" w:rsidRPr="005C1DE9">
        <w:rPr>
          <w:rtl/>
        </w:rPr>
        <w:t>א עשאה, ובזה הצד ייוחס כל פעל שבמציאות לבורא ולו פעלו מי שפעלו מן הפועלים הקרובים כמו שנבאר, הנה הוא הסבה הרחוקה מצד היותו פועל</w:t>
      </w:r>
      <w:r>
        <w:rPr>
          <w:rtl/>
        </w:rPr>
        <w:t>"</w:t>
      </w:r>
    </w:p>
    <w:p w14:paraId="36A3E636" w14:textId="104A3070" w:rsidR="005C1DE9" w:rsidRDefault="005C1DE9" w:rsidP="003904BB">
      <w:pPr>
        <w:pStyle w:val="FootnoteText"/>
        <w:rPr>
          <w:rtl/>
        </w:rPr>
      </w:pPr>
      <w:r>
        <w:rPr>
          <w:rFonts w:hint="cs"/>
          <w:rtl/>
        </w:rPr>
        <w:t>ושם ב' מ</w:t>
      </w:r>
      <w:r w:rsidR="00F055C8">
        <w:rPr>
          <w:rtl/>
        </w:rPr>
        <w:t>"</w:t>
      </w:r>
      <w:r>
        <w:rPr>
          <w:rFonts w:hint="cs"/>
          <w:rtl/>
        </w:rPr>
        <w:t>ח</w:t>
      </w:r>
      <w:r w:rsidR="006810AD">
        <w:rPr>
          <w:rtl/>
        </w:rPr>
        <w:fldChar w:fldCharType="begin"/>
      </w:r>
      <w:r w:rsidR="006810AD">
        <w:instrText xml:space="preserve"> XE "</w:instrText>
      </w:r>
      <w:r w:rsidR="006810AD" w:rsidRPr="00DF254C">
        <w:rPr>
          <w:rFonts w:hint="cs"/>
          <w:rtl/>
        </w:rPr>
        <w:instrText>מורה נבוכים ב' מ</w:instrText>
      </w:r>
      <w:r w:rsidR="006810AD">
        <w:rPr>
          <w:b/>
          <w:bCs/>
          <w:sz w:val="20"/>
          <w:szCs w:val="20"/>
        </w:rPr>
        <w:instrText>\</w:instrText>
      </w:r>
      <w:r w:rsidR="006810AD" w:rsidRPr="00DF254C">
        <w:rPr>
          <w:rFonts w:hint="cs"/>
          <w:rtl/>
        </w:rPr>
        <w:instrText>"ח</w:instrText>
      </w:r>
      <w:r w:rsidR="006810AD">
        <w:instrText xml:space="preserve">" </w:instrText>
      </w:r>
      <w:r w:rsidR="006810AD">
        <w:rPr>
          <w:rtl/>
        </w:rPr>
        <w:fldChar w:fldCharType="end"/>
      </w:r>
      <w:r>
        <w:rPr>
          <w:rFonts w:hint="cs"/>
          <w:rtl/>
        </w:rPr>
        <w:t xml:space="preserve"> כתב:</w:t>
      </w:r>
    </w:p>
    <w:p w14:paraId="66961B2A" w14:textId="3498FC2A" w:rsidR="005C1DE9" w:rsidRDefault="00F055C8" w:rsidP="005C1DE9">
      <w:pPr>
        <w:pStyle w:val="FootnoteText"/>
        <w:rPr>
          <w:rtl/>
        </w:rPr>
      </w:pPr>
      <w:r>
        <w:rPr>
          <w:rtl/>
        </w:rPr>
        <w:t>"</w:t>
      </w:r>
      <w:r w:rsidR="005C1DE9">
        <w:rPr>
          <w:rtl/>
        </w:rPr>
        <w:t>מבואר הוא מאד שכל דבר מחודש אי אפשר לו מבלתי סיבה קרובה חידשה אותו. ולסיבה ההיא סיבה, וכן עד שיגיע זה לסיבה הראשונה לכל דבר, רצוני לומר רצון השם ובחירתו. ומפני זה יְחסרו הנביאים פעמים בדבריהם הסיבות ההם האמצעיות כולם, וייחסו זה הפועל האישי המתחדש אל הבורא, ויאמרו שהוא יתעלה עשאו. וזה כולו ידוע, וכבר דברנו בו אנחנו וזולתנו מן המאמתים. והוא דעת אנשי תורתנו כולם.</w:t>
      </w:r>
    </w:p>
    <w:p w14:paraId="279D0243" w14:textId="77777777" w:rsidR="005C1DE9" w:rsidRDefault="005C1DE9" w:rsidP="005C1DE9">
      <w:pPr>
        <w:pStyle w:val="FootnoteText"/>
        <w:rPr>
          <w:rtl/>
        </w:rPr>
      </w:pPr>
    </w:p>
    <w:p w14:paraId="4D6C7C50" w14:textId="77777777" w:rsidR="005C1DE9" w:rsidRDefault="005C1DE9" w:rsidP="005C1DE9">
      <w:pPr>
        <w:pStyle w:val="FootnoteText"/>
        <w:rPr>
          <w:rtl/>
        </w:rPr>
      </w:pPr>
      <w:r>
        <w:rPr>
          <w:rtl/>
        </w:rPr>
        <w:t>ואחרי זאת ההצעה שמע מה שאבארהו בזה הפרק והתבוננהו התבוננות מיוחד בו, מוסף על התבוננותיך לשאר פרקי זה המאמר.</w:t>
      </w:r>
    </w:p>
    <w:p w14:paraId="55E9D6D6" w14:textId="77777777" w:rsidR="005C1DE9" w:rsidRDefault="005C1DE9" w:rsidP="005C1DE9">
      <w:pPr>
        <w:pStyle w:val="FootnoteText"/>
        <w:rPr>
          <w:rtl/>
        </w:rPr>
      </w:pPr>
      <w:r>
        <w:rPr>
          <w:rtl/>
        </w:rPr>
        <w:t>והדבר אשר אבארהו לך הוא זה:</w:t>
      </w:r>
    </w:p>
    <w:p w14:paraId="100D03EE" w14:textId="08CCD35B" w:rsidR="005C1DE9" w:rsidRDefault="005C1DE9" w:rsidP="005C1DE9">
      <w:pPr>
        <w:pStyle w:val="FootnoteText"/>
        <w:rPr>
          <w:rtl/>
        </w:rPr>
      </w:pPr>
      <w:r>
        <w:rPr>
          <w:rtl/>
        </w:rPr>
        <w:t>דע, כי הסיבות הקרובות כולם, אשר מהם יתחדש מה שיתחדש, אין הפרש בין היות הסיבות ההם עצמיות טבעיות, או בבחירה, או במקרה. ורצוני לומר, בבחירה שתהיה סיבת המתחדש ההוא בחירת אדם, עד שאפילו הייתה הסבה רצון אחד משאר בעלי חיים. שזה כולו ייוחס להשם בספרי הנביאים, ויתירו על הפועל ההוא בלשונות שהשם פעלו, או ציווה בו או אמרו.</w:t>
      </w:r>
      <w:r w:rsidR="00F055C8">
        <w:rPr>
          <w:rtl/>
        </w:rPr>
        <w:t>"</w:t>
      </w:r>
    </w:p>
    <w:p w14:paraId="40EEB066" w14:textId="77777777" w:rsidR="005C1DE9" w:rsidRPr="00F11BFD" w:rsidRDefault="005C1DE9" w:rsidP="003904BB">
      <w:pPr>
        <w:pStyle w:val="FootnoteText"/>
        <w:rPr>
          <w:color w:val="000000" w:themeColor="text1"/>
          <w:rtl/>
        </w:rPr>
      </w:pPr>
    </w:p>
    <w:p w14:paraId="14C78E91" w14:textId="7261B774" w:rsidR="007E7C36" w:rsidRDefault="003904BB" w:rsidP="00821EB9">
      <w:pPr>
        <w:pStyle w:val="FootnoteText"/>
        <w:rPr>
          <w:rtl/>
        </w:rPr>
      </w:pPr>
      <w:r w:rsidRPr="00F11BFD">
        <w:rPr>
          <w:b/>
          <w:bCs/>
          <w:color w:val="000000" w:themeColor="text1"/>
          <w:rtl/>
        </w:rPr>
        <w:t xml:space="preserve">עיין ביאור ארוך בעניין זה בבלוג שנקרא ביאור על המורה נבוכים, ברשימה </w:t>
      </w:r>
      <w:r w:rsidR="00F055C8">
        <w:rPr>
          <w:b/>
          <w:bCs/>
          <w:color w:val="000000" w:themeColor="text1"/>
          <w:rtl/>
        </w:rPr>
        <w:t>"</w:t>
      </w:r>
      <w:hyperlink r:id="rId41" w:history="1">
        <w:r w:rsidRPr="008A4815">
          <w:rPr>
            <w:rFonts w:eastAsia="Times New Roman"/>
            <w:b/>
            <w:bCs/>
            <w:color w:val="000000" w:themeColor="text1"/>
            <w:bdr w:val="none" w:sz="0" w:space="0" w:color="auto" w:frame="1"/>
            <w:rtl/>
          </w:rPr>
          <w:t xml:space="preserve">הקדמות לחלק ב </w:t>
        </w:r>
        <w:r w:rsidR="00001963">
          <w:rPr>
            <w:rFonts w:eastAsia="Times New Roman"/>
            <w:b/>
            <w:bCs/>
            <w:color w:val="000000" w:themeColor="text1"/>
            <w:bdr w:val="none" w:sz="0" w:space="0" w:color="auto" w:frame="1"/>
            <w:rtl/>
          </w:rPr>
          <w:t>-</w:t>
        </w:r>
        <w:r w:rsidRPr="008A4815">
          <w:rPr>
            <w:rFonts w:eastAsia="Times New Roman"/>
            <w:b/>
            <w:bCs/>
            <w:color w:val="000000" w:themeColor="text1"/>
            <w:bdr w:val="none" w:sz="0" w:space="0" w:color="auto" w:frame="1"/>
            <w:rtl/>
          </w:rPr>
          <w:t xml:space="preserve"> הקדמה כו (חלק א') </w:t>
        </w:r>
        <w:r w:rsidR="00001963">
          <w:rPr>
            <w:rFonts w:eastAsia="Times New Roman"/>
            <w:b/>
            <w:bCs/>
            <w:color w:val="000000" w:themeColor="text1"/>
            <w:bdr w:val="none" w:sz="0" w:space="0" w:color="auto" w:frame="1"/>
            <w:rtl/>
          </w:rPr>
          <w:t>-</w:t>
        </w:r>
        <w:r w:rsidRPr="008A4815">
          <w:rPr>
            <w:rFonts w:eastAsia="Times New Roman"/>
            <w:b/>
            <w:bCs/>
            <w:color w:val="000000" w:themeColor="text1"/>
            <w:bdr w:val="none" w:sz="0" w:space="0" w:color="auto" w:frame="1"/>
            <w:rtl/>
          </w:rPr>
          <w:t xml:space="preserve"> </w:t>
        </w:r>
        <w:r w:rsidRPr="006D10A8">
          <w:rPr>
            <w:rFonts w:eastAsia="Times New Roman"/>
            <w:b/>
            <w:bCs/>
            <w:color w:val="000000" w:themeColor="text1"/>
            <w:u w:val="single"/>
            <w:bdr w:val="none" w:sz="0" w:space="0" w:color="auto" w:frame="1"/>
            <w:rtl/>
          </w:rPr>
          <w:t>ביאור בפיזיקה של אריסטו ספר ח' פרקים א'-ה'</w:t>
        </w:r>
        <w:r w:rsidRPr="008A4815">
          <w:rPr>
            <w:rFonts w:eastAsia="Times New Roman"/>
            <w:b/>
            <w:bCs/>
            <w:color w:val="000000" w:themeColor="text1"/>
            <w:bdr w:val="none" w:sz="0" w:space="0" w:color="auto" w:frame="1"/>
            <w:rtl/>
          </w:rPr>
          <w:t>. ביאור תחילת פרק א' של המו</w:t>
        </w:r>
        <w:r w:rsidR="00F055C8">
          <w:rPr>
            <w:rFonts w:eastAsia="Times New Roman"/>
            <w:b/>
            <w:bCs/>
            <w:color w:val="000000" w:themeColor="text1"/>
            <w:bdr w:val="none" w:sz="0" w:space="0" w:color="auto" w:frame="1"/>
            <w:rtl/>
          </w:rPr>
          <w:t>"</w:t>
        </w:r>
        <w:r w:rsidRPr="008A4815">
          <w:rPr>
            <w:rFonts w:eastAsia="Times New Roman"/>
            <w:b/>
            <w:bCs/>
            <w:color w:val="000000" w:themeColor="text1"/>
            <w:bdr w:val="none" w:sz="0" w:space="0" w:color="auto" w:frame="1"/>
            <w:rtl/>
          </w:rPr>
          <w:t xml:space="preserve">נ, וביאור מהי אנרגיה לפי אריסטו. מאמר </w:t>
        </w:r>
        <w:r w:rsidR="00F055C8">
          <w:rPr>
            <w:rFonts w:eastAsia="Times New Roman"/>
            <w:b/>
            <w:bCs/>
            <w:color w:val="000000" w:themeColor="text1"/>
            <w:bdr w:val="none" w:sz="0" w:space="0" w:color="auto" w:frame="1"/>
            <w:rtl/>
          </w:rPr>
          <w:t>"</w:t>
        </w:r>
        <w:r w:rsidRPr="008A4815">
          <w:rPr>
            <w:rFonts w:eastAsia="Times New Roman"/>
            <w:b/>
            <w:bCs/>
            <w:color w:val="000000" w:themeColor="text1"/>
            <w:bdr w:val="none" w:sz="0" w:space="0" w:color="auto" w:frame="1"/>
            <w:rtl/>
          </w:rPr>
          <w:t>החיים של הדוממים</w:t>
        </w:r>
        <w:r w:rsidR="00F055C8">
          <w:rPr>
            <w:rFonts w:eastAsia="Times New Roman"/>
            <w:b/>
            <w:bCs/>
            <w:color w:val="000000" w:themeColor="text1"/>
            <w:bdr w:val="none" w:sz="0" w:space="0" w:color="auto" w:frame="1"/>
            <w:rtl/>
          </w:rPr>
          <w:t>"</w:t>
        </w:r>
      </w:hyperlink>
      <w:r w:rsidR="00821EB9">
        <w:rPr>
          <w:rFonts w:eastAsia="Times New Roman" w:hint="cs"/>
          <w:b/>
          <w:bCs/>
          <w:color w:val="000000" w:themeColor="text1"/>
          <w:rtl/>
        </w:rPr>
        <w:t>.</w:t>
      </w:r>
      <w:r w:rsidR="00F055C8">
        <w:rPr>
          <w:rtl/>
        </w:rPr>
        <w:t>"</w:t>
      </w:r>
      <w:r w:rsidR="007E7C36">
        <w:rPr>
          <w:rFonts w:hint="cs"/>
          <w:rtl/>
        </w:rPr>
        <w:t>)</w:t>
      </w:r>
    </w:p>
    <w:p w14:paraId="7B5B3A30" w14:textId="49FAF0DF" w:rsidR="00237216" w:rsidRDefault="007E7C36">
      <w:pPr>
        <w:pStyle w:val="FootnoteText"/>
        <w:rPr>
          <w:rtl/>
        </w:rPr>
      </w:pPr>
      <w:r>
        <w:rPr>
          <w:rFonts w:hint="cs"/>
          <w:rtl/>
        </w:rPr>
        <w:t>לפי אריסטו אם שרשרת הסיבות והמסובבים שבטבע הייתה לה התחלה</w:t>
      </w:r>
      <w:r w:rsidR="001958E0">
        <w:rPr>
          <w:rFonts w:hint="cs"/>
          <w:rtl/>
        </w:rPr>
        <w:t xml:space="preserve"> בזמן</w:t>
      </w:r>
      <w:r>
        <w:rPr>
          <w:rFonts w:hint="cs"/>
          <w:rtl/>
        </w:rPr>
        <w:t>, ההתחלה הזו הייתה הסיבה הראשונה של הכל. מאחר ששרשרת הסיבות והמסובבים של הטבע אין לה התחלה</w:t>
      </w:r>
      <w:r w:rsidR="001958E0">
        <w:rPr>
          <w:rFonts w:hint="cs"/>
          <w:rtl/>
        </w:rPr>
        <w:t xml:space="preserve"> בזמן (כמו שהוכיח אריסטו בפיזיקה ספק ח'), כי הזמן קיים מאז ומעולם, לכן </w:t>
      </w:r>
      <w:r>
        <w:rPr>
          <w:rFonts w:hint="cs"/>
          <w:rtl/>
        </w:rPr>
        <w:t>אין ל</w:t>
      </w:r>
      <w:r w:rsidR="001958E0">
        <w:rPr>
          <w:rFonts w:hint="cs"/>
          <w:rtl/>
        </w:rPr>
        <w:t>שרשרת הסיבות</w:t>
      </w:r>
      <w:r>
        <w:rPr>
          <w:rFonts w:hint="cs"/>
          <w:rtl/>
        </w:rPr>
        <w:t xml:space="preserve"> חוליה ראשונה</w:t>
      </w:r>
      <w:r w:rsidR="001958E0">
        <w:rPr>
          <w:rFonts w:hint="cs"/>
          <w:rtl/>
        </w:rPr>
        <w:t>.</w:t>
      </w:r>
      <w:r>
        <w:rPr>
          <w:rFonts w:hint="cs"/>
          <w:rtl/>
        </w:rPr>
        <w:t xml:space="preserve"> </w:t>
      </w:r>
      <w:r w:rsidR="001958E0">
        <w:rPr>
          <w:rFonts w:hint="cs"/>
          <w:rtl/>
        </w:rPr>
        <w:t xml:space="preserve">עולה מזה </w:t>
      </w:r>
      <w:r>
        <w:rPr>
          <w:rFonts w:hint="cs"/>
          <w:rtl/>
        </w:rPr>
        <w:t>שאין סיבה למציאות הטבע כולו</w:t>
      </w:r>
      <w:r w:rsidR="001958E0">
        <w:rPr>
          <w:rFonts w:hint="cs"/>
          <w:rtl/>
        </w:rPr>
        <w:t xml:space="preserve"> (כי כל הסיבות האמצעיות נעשות סיבות רק אחרי שיש להן סיבה ראשונה שכוחה פועל דרך הסיבות האמצעיות)</w:t>
      </w:r>
      <w:r>
        <w:rPr>
          <w:rFonts w:hint="cs"/>
          <w:rtl/>
        </w:rPr>
        <w:t>, וזה לא יתכן, ולכן יש בהכרח סיבה לכל הטבע שהיא מחוץ ל</w:t>
      </w:r>
      <w:r w:rsidR="001958E0">
        <w:rPr>
          <w:rFonts w:hint="cs"/>
          <w:rtl/>
        </w:rPr>
        <w:t>כל משך הזמן האין סופי, מעל כל שרשרת הסיבות והמסובבים שבטבע</w:t>
      </w:r>
      <w:r>
        <w:rPr>
          <w:rFonts w:hint="cs"/>
          <w:rtl/>
        </w:rPr>
        <w:t xml:space="preserve">, </w:t>
      </w:r>
      <w:r w:rsidR="00237216">
        <w:rPr>
          <w:rFonts w:hint="cs"/>
          <w:rtl/>
        </w:rPr>
        <w:t xml:space="preserve">והיא סיבת כל הסדר הטבעי, </w:t>
      </w:r>
      <w:r w:rsidR="001958E0">
        <w:rPr>
          <w:rFonts w:hint="cs"/>
          <w:rtl/>
        </w:rPr>
        <w:t>ונקראת סיבת הסיבות, וסיבת הסיבות כיוון שאינה תוך שרשרת הסיבתיות של הטבע (כי לשרשרת הזו אין התחלה, כי הזמן היה תמיד קיים, ו</w:t>
      </w:r>
      <w:r w:rsidR="00F055C8">
        <w:rPr>
          <w:rtl/>
        </w:rPr>
        <w:t>"</w:t>
      </w:r>
      <w:r w:rsidR="001958E0">
        <w:rPr>
          <w:rFonts w:hint="cs"/>
          <w:rtl/>
        </w:rPr>
        <w:t>אין התחלה</w:t>
      </w:r>
      <w:r w:rsidR="00F055C8">
        <w:rPr>
          <w:rtl/>
        </w:rPr>
        <w:t>"</w:t>
      </w:r>
      <w:r w:rsidR="001958E0">
        <w:rPr>
          <w:rFonts w:hint="cs"/>
          <w:rtl/>
        </w:rPr>
        <w:t xml:space="preserve"> פירושו שאין סיבה ראשונה)</w:t>
      </w:r>
      <w:r w:rsidR="00237216">
        <w:rPr>
          <w:rFonts w:hint="cs"/>
          <w:rtl/>
        </w:rPr>
        <w:t xml:space="preserve"> </w:t>
      </w:r>
      <w:r w:rsidR="001958E0">
        <w:rPr>
          <w:rFonts w:hint="cs"/>
          <w:rtl/>
        </w:rPr>
        <w:t xml:space="preserve">בהכרח </w:t>
      </w:r>
      <w:r w:rsidR="00237216">
        <w:rPr>
          <w:rFonts w:hint="cs"/>
          <w:rtl/>
        </w:rPr>
        <w:t>היא ממקור שמעל הזמן</w:t>
      </w:r>
      <w:r w:rsidR="001958E0">
        <w:rPr>
          <w:rFonts w:hint="cs"/>
          <w:rtl/>
        </w:rPr>
        <w:t xml:space="preserve"> והטבע והסיבתיות הטבעית</w:t>
      </w:r>
      <w:r w:rsidR="00237216">
        <w:rPr>
          <w:rFonts w:hint="cs"/>
          <w:rtl/>
        </w:rPr>
        <w:t xml:space="preserve">, </w:t>
      </w:r>
      <w:r w:rsidR="001958E0">
        <w:rPr>
          <w:rFonts w:hint="cs"/>
          <w:rtl/>
        </w:rPr>
        <w:t xml:space="preserve">היא </w:t>
      </w:r>
      <w:r w:rsidR="00237216">
        <w:rPr>
          <w:rFonts w:hint="cs"/>
          <w:rtl/>
        </w:rPr>
        <w:t xml:space="preserve">מהנצח, </w:t>
      </w:r>
      <w:r w:rsidR="001958E0">
        <w:rPr>
          <w:rFonts w:hint="cs"/>
          <w:rtl/>
        </w:rPr>
        <w:t xml:space="preserve">היא </w:t>
      </w:r>
      <w:r w:rsidR="00237216">
        <w:rPr>
          <w:rFonts w:hint="cs"/>
          <w:rtl/>
        </w:rPr>
        <w:t xml:space="preserve">המופשט לחלוטין, האין סוף, </w:t>
      </w:r>
      <w:r w:rsidR="00AE0A19">
        <w:rPr>
          <w:rFonts w:hint="cs"/>
          <w:rtl/>
        </w:rPr>
        <w:t>וזה האלוה.</w:t>
      </w:r>
    </w:p>
    <w:p w14:paraId="3B6D8DE3" w14:textId="77777777" w:rsidR="001958E0" w:rsidRDefault="001958E0">
      <w:pPr>
        <w:pStyle w:val="FootnoteText"/>
        <w:rPr>
          <w:rtl/>
        </w:rPr>
      </w:pPr>
    </w:p>
    <w:p w14:paraId="4DE1532D" w14:textId="44E582DD" w:rsidR="007E7C36" w:rsidRDefault="00237216">
      <w:pPr>
        <w:pStyle w:val="FootnoteText"/>
        <w:rPr>
          <w:rtl/>
        </w:rPr>
      </w:pPr>
      <w:r>
        <w:rPr>
          <w:rFonts w:hint="cs"/>
          <w:rtl/>
        </w:rPr>
        <w:t>במשנה תורה הלכות יסודי התורה פרק ב' כתב הרמב</w:t>
      </w:r>
      <w:r w:rsidR="00F055C8">
        <w:rPr>
          <w:rtl/>
        </w:rPr>
        <w:t>"</w:t>
      </w:r>
      <w:r>
        <w:rPr>
          <w:rFonts w:hint="cs"/>
          <w:rtl/>
        </w:rPr>
        <w:t>ם:</w:t>
      </w:r>
      <w:r w:rsidR="00AE0A19">
        <w:rPr>
          <w:rFonts w:hint="cs"/>
          <w:rtl/>
        </w:rPr>
        <w:t xml:space="preserve"> </w:t>
      </w:r>
      <w:r w:rsidR="007E7C36">
        <w:rPr>
          <w:rFonts w:hint="cs"/>
          <w:rtl/>
        </w:rPr>
        <w:t xml:space="preserve">  </w:t>
      </w:r>
    </w:p>
    <w:p w14:paraId="5C1FA52D" w14:textId="111BDD1F" w:rsidR="00237216" w:rsidRDefault="00F055C8">
      <w:pPr>
        <w:pStyle w:val="FootnoteText"/>
        <w:rPr>
          <w:rtl/>
        </w:rPr>
      </w:pPr>
      <w:r>
        <w:rPr>
          <w:rtl/>
        </w:rPr>
        <w:t>"</w:t>
      </w:r>
      <w:r w:rsidR="00237216" w:rsidRPr="00237216">
        <w:rPr>
          <w:rtl/>
        </w:rPr>
        <w:t>וְהֵיאַךְ הִיא</w:t>
      </w:r>
      <w:r w:rsidR="006978F6">
        <w:rPr>
          <w:rtl/>
        </w:rPr>
        <w:fldChar w:fldCharType="begin"/>
      </w:r>
      <w:r w:rsidR="006978F6">
        <w:instrText xml:space="preserve"> XE "</w:instrText>
      </w:r>
      <w:r w:rsidR="006978F6" w:rsidRPr="00BB4873">
        <w:rPr>
          <w:rtl/>
        </w:rPr>
        <w:instrText>הרמב</w:instrText>
      </w:r>
      <w:r w:rsidR="006978F6">
        <w:rPr>
          <w:b/>
          <w:bCs/>
          <w:sz w:val="20"/>
          <w:szCs w:val="20"/>
        </w:rPr>
        <w:instrText>\</w:instrText>
      </w:r>
      <w:r w:rsidR="006978F6" w:rsidRPr="00BB4873">
        <w:rPr>
          <w:rtl/>
        </w:rPr>
        <w:instrText xml:space="preserve">"ם בהלכות יסודי התורה ב' ב': </w:instrText>
      </w:r>
      <w:r w:rsidR="006978F6">
        <w:rPr>
          <w:b/>
          <w:bCs/>
          <w:sz w:val="20"/>
          <w:szCs w:val="20"/>
        </w:rPr>
        <w:instrText>\</w:instrText>
      </w:r>
      <w:r w:rsidR="006978F6" w:rsidRPr="00BB4873">
        <w:rPr>
          <w:rtl/>
        </w:rPr>
        <w:instrText>"וְהֵיאַךְ הִיא הַדֶּרֶךְ</w:instrText>
      </w:r>
      <w:r w:rsidR="006978F6">
        <w:instrText xml:space="preserve">" </w:instrText>
      </w:r>
      <w:r w:rsidR="006978F6">
        <w:rPr>
          <w:rtl/>
        </w:rPr>
        <w:fldChar w:fldCharType="end"/>
      </w:r>
      <w:r w:rsidR="00237216" w:rsidRPr="00237216">
        <w:rPr>
          <w:rtl/>
        </w:rPr>
        <w:t xml:space="preserve"> הַדֶּרֶךְ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Pr>
          <w:rtl/>
        </w:rPr>
        <w:t>"</w:t>
      </w:r>
      <w:r w:rsidR="007E7C36">
        <w:rPr>
          <w:rFonts w:hint="cs"/>
          <w:rtl/>
        </w:rPr>
        <w:t xml:space="preserve">  </w:t>
      </w:r>
    </w:p>
    <w:p w14:paraId="02814B3B" w14:textId="074DCA99" w:rsidR="0087225B" w:rsidRDefault="00237216">
      <w:pPr>
        <w:pStyle w:val="FootnoteText"/>
        <w:rPr>
          <w:rtl/>
        </w:rPr>
      </w:pPr>
      <w:r>
        <w:rPr>
          <w:rFonts w:hint="cs"/>
          <w:rtl/>
        </w:rPr>
        <w:t>החכמה היא חכמה ש</w:t>
      </w:r>
      <w:r w:rsidR="00F055C8">
        <w:rPr>
          <w:rtl/>
        </w:rPr>
        <w:t>"</w:t>
      </w:r>
      <w:r>
        <w:rPr>
          <w:rFonts w:hint="cs"/>
          <w:rtl/>
        </w:rPr>
        <w:t>אין לה קץ</w:t>
      </w:r>
      <w:r w:rsidR="00F055C8">
        <w:rPr>
          <w:rtl/>
        </w:rPr>
        <w:t>"</w:t>
      </w:r>
      <w:r>
        <w:rPr>
          <w:rFonts w:hint="cs"/>
          <w:rtl/>
        </w:rPr>
        <w:t>, כלומר היא השגת האין סוף, לכן גם אין לה ערך</w:t>
      </w:r>
      <w:r w:rsidR="0087225B">
        <w:rPr>
          <w:rFonts w:hint="cs"/>
          <w:rtl/>
        </w:rPr>
        <w:t>, כלומר יחס או השוואה או דמיון,</w:t>
      </w:r>
      <w:r>
        <w:rPr>
          <w:rFonts w:hint="cs"/>
          <w:rtl/>
        </w:rPr>
        <w:t xml:space="preserve"> עם המציאות המוגבלת</w:t>
      </w:r>
      <w:r w:rsidR="0087225B">
        <w:rPr>
          <w:rFonts w:hint="cs"/>
          <w:rtl/>
        </w:rPr>
        <w:t>,</w:t>
      </w:r>
      <w:r>
        <w:rPr>
          <w:rFonts w:hint="cs"/>
          <w:rtl/>
        </w:rPr>
        <w:t xml:space="preserve"> כמו שכתב במו</w:t>
      </w:r>
      <w:r w:rsidR="00F055C8">
        <w:rPr>
          <w:rtl/>
        </w:rPr>
        <w:t>"</w:t>
      </w:r>
      <w:r>
        <w:rPr>
          <w:rFonts w:hint="cs"/>
          <w:rtl/>
        </w:rPr>
        <w:t>נ א' נ</w:t>
      </w:r>
      <w:r w:rsidR="00F055C8">
        <w:rPr>
          <w:rtl/>
        </w:rPr>
        <w:t>"</w:t>
      </w:r>
      <w:r>
        <w:rPr>
          <w:rFonts w:hint="cs"/>
          <w:rtl/>
        </w:rPr>
        <w:t>ב</w:t>
      </w:r>
      <w:r w:rsidR="0087225B">
        <w:rPr>
          <w:rFonts w:hint="cs"/>
          <w:rtl/>
        </w:rPr>
        <w:t>.</w:t>
      </w:r>
      <w:r>
        <w:rPr>
          <w:rFonts w:hint="cs"/>
          <w:rtl/>
        </w:rPr>
        <w:t xml:space="preserve"> </w:t>
      </w:r>
      <w:r w:rsidR="0087225B">
        <w:rPr>
          <w:rFonts w:hint="cs"/>
          <w:rtl/>
        </w:rPr>
        <w:t xml:space="preserve">זו סיבת הסיבות שהיא האין סוף, כלומר המופשט לחלוטין; </w:t>
      </w:r>
      <w:r>
        <w:rPr>
          <w:rFonts w:hint="cs"/>
          <w:rtl/>
        </w:rPr>
        <w:t>והיא נ</w:t>
      </w:r>
      <w:r w:rsidR="0087225B">
        <w:rPr>
          <w:rFonts w:hint="cs"/>
          <w:rtl/>
        </w:rPr>
        <w:t>יכרת</w:t>
      </w:r>
      <w:r>
        <w:rPr>
          <w:rFonts w:hint="cs"/>
          <w:rtl/>
        </w:rPr>
        <w:t xml:space="preserve"> מהתבוננות בטבע, היא הפרי והמסקנה של התבוננות הזו.</w:t>
      </w:r>
      <w:r w:rsidR="0087225B">
        <w:rPr>
          <w:rFonts w:hint="cs"/>
          <w:rtl/>
        </w:rPr>
        <w:t xml:space="preserve"> בטבע יש זיו מהאין סוף, קרני אור שאיננו יכולים להשיג את מקורן אלא רק את אורן כמו שהוא מוטל על הטבע, וזו סיבת הסיבות שניכרת בטבע אע</w:t>
      </w:r>
      <w:r w:rsidR="00F055C8">
        <w:rPr>
          <w:rtl/>
        </w:rPr>
        <w:t>"</w:t>
      </w:r>
      <w:r w:rsidR="0087225B">
        <w:rPr>
          <w:rFonts w:hint="cs"/>
          <w:rtl/>
        </w:rPr>
        <w:t>פ שבעצמה היא אין סוף ואי אפר להשיג אותה.</w:t>
      </w:r>
    </w:p>
    <w:p w14:paraId="4D2BE6EA" w14:textId="7D215330" w:rsidR="00237216" w:rsidRDefault="0087225B">
      <w:pPr>
        <w:pStyle w:val="FootnoteText"/>
        <w:rPr>
          <w:rtl/>
        </w:rPr>
      </w:pPr>
      <w:r>
        <w:rPr>
          <w:rFonts w:hint="cs"/>
          <w:rtl/>
        </w:rPr>
        <w:t xml:space="preserve">  </w:t>
      </w:r>
    </w:p>
    <w:p w14:paraId="6730096D" w14:textId="7783424A" w:rsidR="00A404D1" w:rsidRDefault="00237216">
      <w:pPr>
        <w:pStyle w:val="FootnoteText"/>
        <w:rPr>
          <w:rtl/>
        </w:rPr>
      </w:pPr>
      <w:r>
        <w:rPr>
          <w:rFonts w:hint="cs"/>
          <w:rtl/>
        </w:rPr>
        <w:t>מדברי אבן סינא כאן משמע שהוא חולק על היכולת של חכמת הטבע להשיג את ההתחלה הראשונה</w:t>
      </w:r>
      <w:r w:rsidR="00D31ADF">
        <w:rPr>
          <w:rFonts w:hint="cs"/>
          <w:rtl/>
        </w:rPr>
        <w:t>, סיבת הסיבות</w:t>
      </w:r>
      <w:r>
        <w:rPr>
          <w:rFonts w:hint="cs"/>
          <w:rtl/>
        </w:rPr>
        <w:t xml:space="preserve">. </w:t>
      </w:r>
    </w:p>
    <w:p w14:paraId="7F9CB5C9" w14:textId="17CD1097" w:rsidR="00A404D1" w:rsidRDefault="00237216">
      <w:pPr>
        <w:pStyle w:val="FootnoteText"/>
        <w:rPr>
          <w:rtl/>
        </w:rPr>
      </w:pPr>
      <w:r>
        <w:rPr>
          <w:rFonts w:hint="cs"/>
          <w:rtl/>
        </w:rPr>
        <w:t>נראה שכוונתו היא שוודאי מהלך השגת החכמה אינו רק מלמעלה כלפי מטה, מהשגת ההתחלה</w:t>
      </w:r>
      <w:r w:rsidR="00A404D1">
        <w:rPr>
          <w:rFonts w:hint="cs"/>
          <w:rtl/>
        </w:rPr>
        <w:t xml:space="preserve"> המופשטת של</w:t>
      </w:r>
      <w:r>
        <w:rPr>
          <w:rFonts w:hint="cs"/>
          <w:rtl/>
        </w:rPr>
        <w:t xml:space="preserve"> המציאות ומשם להתבונן איך היא משתלשלת כלפי מטה, </w:t>
      </w:r>
      <w:r w:rsidR="00A404D1">
        <w:rPr>
          <w:rFonts w:hint="cs"/>
          <w:rtl/>
        </w:rPr>
        <w:t xml:space="preserve">על דרך אפלטון, אלא גם יש מהלך מלמטה למעלה, שמתחיל מהתבוננות בטבע החומרי ומשם מגיע אל המופשט, האלוה. מהלך כזה </w:t>
      </w:r>
      <w:r w:rsidR="00D46EF7">
        <w:rPr>
          <w:rFonts w:hint="cs"/>
          <w:rtl/>
        </w:rPr>
        <w:t>מחויב</w:t>
      </w:r>
      <w:r w:rsidR="00A404D1">
        <w:rPr>
          <w:rFonts w:hint="cs"/>
          <w:rtl/>
        </w:rPr>
        <w:t xml:space="preserve"> כי כוחות הגוף, הנפש הבהמית, כח הדמיון, צריכים להשתתף במהלך השגת החכמה, וגם צריך שהאדם ידע שהחכמה היא אמת מכח התבוננותו העצמית, ולא בגלל שמישהו מבחוץ אמר לו כך</w:t>
      </w:r>
      <w:r w:rsidR="00D31ADF">
        <w:rPr>
          <w:rFonts w:hint="cs"/>
          <w:rtl/>
        </w:rPr>
        <w:t>, ולכן הוא מתחיל מנקודת המוצא של אדם שנולד ומסתכל בכוחות עצמו סביביו, ורואה את הטבע הגשמי, ומשם הוא מתחיל להתבונן בטבע הזה בכוחות עצמו ולטפס בסולם ההשגות כלפי מעלה כשכל שלב השגה הוא שלו. הפילוסוף רק מדריך אותו בהתבוננותו שלו, ולא אומר לו דברים שהוא לא רואה בעצמו. להעמיד את מהלך</w:t>
      </w:r>
      <w:r w:rsidR="00A404D1">
        <w:rPr>
          <w:rFonts w:hint="cs"/>
          <w:rtl/>
        </w:rPr>
        <w:t xml:space="preserve"> סדר העיון </w:t>
      </w:r>
      <w:r w:rsidR="00D31ADF">
        <w:rPr>
          <w:rFonts w:hint="cs"/>
          <w:rtl/>
        </w:rPr>
        <w:t>ש</w:t>
      </w:r>
      <w:r w:rsidR="00A404D1">
        <w:rPr>
          <w:rFonts w:hint="cs"/>
          <w:rtl/>
        </w:rPr>
        <w:t>מלמטה כלפי מעלה נלחם אריסטו בקושיותיו על אפלטון</w:t>
      </w:r>
      <w:r w:rsidR="00D31ADF">
        <w:rPr>
          <w:rFonts w:hint="cs"/>
          <w:rtl/>
        </w:rPr>
        <w:t>, שאצלו הדברים מתגלים משורשם המופשט ומשם כלפי מטה</w:t>
      </w:r>
      <w:r w:rsidR="00FA26AA">
        <w:rPr>
          <w:rFonts w:hint="cs"/>
          <w:rtl/>
        </w:rPr>
        <w:t xml:space="preserve"> (ואין ביניהם שום מחלוקת לגבי המציאות מצד עצמה)</w:t>
      </w:r>
      <w:r w:rsidR="00D31ADF">
        <w:rPr>
          <w:rFonts w:hint="cs"/>
          <w:rtl/>
        </w:rPr>
        <w:t xml:space="preserve">.  </w:t>
      </w:r>
    </w:p>
    <w:p w14:paraId="465B2869" w14:textId="1C068A2D" w:rsidR="00E753D6" w:rsidRDefault="00A404D1">
      <w:pPr>
        <w:pStyle w:val="FootnoteText"/>
      </w:pPr>
      <w:r>
        <w:rPr>
          <w:rFonts w:hint="cs"/>
          <w:rtl/>
        </w:rPr>
        <w:t>נראה שכוונת אבן סינא כאן שיש להבחין שהעיון והחקירה ש</w:t>
      </w:r>
      <w:r w:rsidR="00FA26AA">
        <w:rPr>
          <w:rFonts w:hint="cs"/>
          <w:rtl/>
        </w:rPr>
        <w:t>של התבוננות בטבע שמגלה את סיבת הסיבות המופשטת</w:t>
      </w:r>
      <w:r>
        <w:rPr>
          <w:rFonts w:hint="cs"/>
          <w:rtl/>
        </w:rPr>
        <w:t xml:space="preserve">, הם </w:t>
      </w:r>
      <w:r w:rsidR="00FA26AA">
        <w:rPr>
          <w:rFonts w:hint="cs"/>
          <w:rtl/>
        </w:rPr>
        <w:t>נקודת ה</w:t>
      </w:r>
      <w:r>
        <w:rPr>
          <w:rFonts w:hint="cs"/>
          <w:rtl/>
        </w:rPr>
        <w:t>יציאה מגבול חכמת הטבע ו</w:t>
      </w:r>
      <w:r w:rsidR="00FA26AA">
        <w:rPr>
          <w:rFonts w:hint="cs"/>
          <w:rtl/>
        </w:rPr>
        <w:t>הם ה</w:t>
      </w:r>
      <w:r>
        <w:rPr>
          <w:rFonts w:hint="cs"/>
          <w:rtl/>
        </w:rPr>
        <w:t>כניסה לגבול החכמה האלוהית, המטאפיזיקה</w:t>
      </w:r>
      <w:r w:rsidR="00C21A48">
        <w:rPr>
          <w:rFonts w:hint="cs"/>
          <w:rtl/>
        </w:rPr>
        <w:t xml:space="preserve"> (אריסטו קרא לספר הזה תיאולוגיה, כי הוא עוסק במציאות המופשטת והאל הוא המופשט)</w:t>
      </w:r>
      <w:r>
        <w:rPr>
          <w:rFonts w:hint="cs"/>
          <w:rtl/>
        </w:rPr>
        <w:t xml:space="preserve">. לגבי החשיבות והמשמעות של ההבחנה בין המדעים, והסדר שלהם, כתבתי בתגובה על </w:t>
      </w:r>
      <w:hyperlink r:id="rId42" w:history="1">
        <w:r w:rsidRPr="00BA585A">
          <w:rPr>
            <w:rStyle w:val="Hyperlink"/>
            <w:rFonts w:hint="cs"/>
            <w:rtl/>
          </w:rPr>
          <w:t>רשימה 249</w:t>
        </w:r>
      </w:hyperlink>
      <w:r>
        <w:rPr>
          <w:rFonts w:hint="cs"/>
          <w:rtl/>
        </w:rPr>
        <w:t xml:space="preserve"> בבלוג </w:t>
      </w:r>
      <w:r w:rsidR="00F055C8">
        <w:rPr>
          <w:rtl/>
        </w:rPr>
        <w:t>"</w:t>
      </w:r>
      <w:r>
        <w:rPr>
          <w:rFonts w:hint="cs"/>
          <w:rtl/>
        </w:rPr>
        <w:t>אדם חי</w:t>
      </w:r>
      <w:r w:rsidR="00F055C8">
        <w:rPr>
          <w:rtl/>
        </w:rPr>
        <w:t>"</w:t>
      </w:r>
      <w:r w:rsidR="00002DDE">
        <w:rPr>
          <w:rFonts w:hint="cs"/>
          <w:rtl/>
        </w:rPr>
        <w:t>, ועוד יהיה דיון בזה בהמשך בספר הריפוי חלק המטאפיזיקה ספר ראשון פרק א'</w:t>
      </w:r>
      <w:r>
        <w:rPr>
          <w:rFonts w:hint="cs"/>
          <w:rtl/>
        </w:rPr>
        <w:t xml:space="preserve">. </w:t>
      </w:r>
      <w:r w:rsidR="003E0647">
        <w:rPr>
          <w:rFonts w:hint="cs"/>
          <w:rtl/>
        </w:rPr>
        <w:t>(עיין גם בפיזיקה ב' ז' שם כתב אריסטו הבחנה בין הפיזיקה, שעניינה לעסוק רק במניעים שנעים בעצמם, ובין המטאפיזיקה שעוסקת במניע שאינו נע בעצמו</w:t>
      </w:r>
      <w:r w:rsidR="00434B16">
        <w:rPr>
          <w:rFonts w:hint="cs"/>
          <w:rtl/>
        </w:rPr>
        <w:t>. וכעין זה גם במטאפיזיקה למבדא סוף פרק א'</w:t>
      </w:r>
      <w:r w:rsidR="00A869E4">
        <w:rPr>
          <w:rFonts w:hint="cs"/>
          <w:rtl/>
        </w:rPr>
        <w:t xml:space="preserve"> ויש עוד מקומות</w:t>
      </w:r>
      <w:r w:rsidR="003E0647">
        <w:rPr>
          <w:rFonts w:hint="cs"/>
          <w:rtl/>
        </w:rPr>
        <w:t xml:space="preserve">) </w:t>
      </w:r>
      <w:r>
        <w:rPr>
          <w:rFonts w:hint="cs"/>
          <w:rtl/>
        </w:rPr>
        <w:t xml:space="preserve">    </w:t>
      </w:r>
      <w:r w:rsidR="00237216">
        <w:rPr>
          <w:rFonts w:hint="cs"/>
          <w:rtl/>
        </w:rPr>
        <w:t xml:space="preserve">  </w:t>
      </w:r>
      <w:r w:rsidR="00FD6D19">
        <w:rPr>
          <w:rFonts w:hint="cs"/>
          <w:rtl/>
        </w:rPr>
        <w:t xml:space="preserve"> </w:t>
      </w:r>
    </w:p>
  </w:footnote>
  <w:footnote w:id="176">
    <w:p w14:paraId="326639E4" w14:textId="59CA02F1" w:rsidR="00C83D06" w:rsidRDefault="00C83D06">
      <w:pPr>
        <w:pStyle w:val="FootnoteText"/>
      </w:pPr>
      <w:r>
        <w:rPr>
          <w:rStyle w:val="FootnoteReference"/>
        </w:rPr>
        <w:footnoteRef/>
      </w:r>
      <w:r>
        <w:rPr>
          <w:rtl/>
        </w:rPr>
        <w:t xml:space="preserve"> </w:t>
      </w:r>
      <w:r>
        <w:rPr>
          <w:rFonts w:hint="cs"/>
          <w:rtl/>
        </w:rPr>
        <w:t xml:space="preserve">התחלה ראשונה. וכמו שכתבתי לעיל וודאי שיש התחלה ראשונה, והמילה </w:t>
      </w:r>
      <w:r w:rsidR="00F055C8">
        <w:rPr>
          <w:rtl/>
        </w:rPr>
        <w:t>"</w:t>
      </w:r>
      <w:r>
        <w:rPr>
          <w:rFonts w:hint="cs"/>
          <w:rtl/>
        </w:rPr>
        <w:t>אם</w:t>
      </w:r>
      <w:r w:rsidR="00F055C8">
        <w:rPr>
          <w:rtl/>
        </w:rPr>
        <w:t>"</w:t>
      </w:r>
      <w:r>
        <w:rPr>
          <w:rFonts w:hint="cs"/>
        </w:rPr>
        <w:t xml:space="preserve"> </w:t>
      </w:r>
      <w:r>
        <w:rPr>
          <w:rFonts w:hint="cs"/>
          <w:rtl/>
        </w:rPr>
        <w:t xml:space="preserve">היא רק סגנון. </w:t>
      </w:r>
    </w:p>
  </w:footnote>
  <w:footnote w:id="177">
    <w:p w14:paraId="46CA69B9" w14:textId="77777777" w:rsidR="00E73C62" w:rsidRDefault="009545AD">
      <w:pPr>
        <w:pStyle w:val="FootnoteText"/>
        <w:rPr>
          <w:rtl/>
        </w:rPr>
      </w:pPr>
      <w:r>
        <w:rPr>
          <w:rStyle w:val="FootnoteReference"/>
        </w:rPr>
        <w:footnoteRef/>
      </w:r>
      <w:r>
        <w:rPr>
          <w:rtl/>
        </w:rPr>
        <w:t xml:space="preserve"> </w:t>
      </w:r>
      <w:r>
        <w:rPr>
          <w:rFonts w:hint="cs"/>
          <w:rtl/>
        </w:rPr>
        <w:t>עיין בהערה הארוכה שכתבתי לעיל בסעיף 8, שם התבאר שיש אפשרות תפישה שלפיה החומר הראשון</w:t>
      </w:r>
      <w:r w:rsidR="00E73C62">
        <w:rPr>
          <w:rtl/>
        </w:rPr>
        <w:fldChar w:fldCharType="begin"/>
      </w:r>
      <w:r w:rsidR="00E73C62">
        <w:instrText xml:space="preserve"> XE "</w:instrText>
      </w:r>
      <w:r w:rsidR="00E73C62" w:rsidRPr="00F05023">
        <w:rPr>
          <w:rFonts w:hint="cs"/>
          <w:rtl/>
        </w:rPr>
        <w:instrText>החומר הראשון</w:instrText>
      </w:r>
      <w:r w:rsidR="00E73C62">
        <w:instrText xml:space="preserve">" </w:instrText>
      </w:r>
      <w:r w:rsidR="00E73C62">
        <w:rPr>
          <w:rtl/>
        </w:rPr>
        <w:fldChar w:fldCharType="end"/>
      </w:r>
      <w:r>
        <w:rPr>
          <w:rFonts w:hint="cs"/>
          <w:rtl/>
        </w:rPr>
        <w:t xml:space="preserve"> הוא הפועל הראשון של המציאות, הוא ההתחלה </w:t>
      </w:r>
      <w:r w:rsidR="00F568F5">
        <w:rPr>
          <w:rFonts w:hint="cs"/>
          <w:rtl/>
        </w:rPr>
        <w:t xml:space="preserve">הראשונה של העניין המופשט של פעולה. ויש אפשרות תפישה שהפועל הראשון הוא הבורא עצמו, האין סוף, שברא את החומר הראשון. </w:t>
      </w:r>
    </w:p>
    <w:p w14:paraId="32DB674A" w14:textId="7AE508DF" w:rsidR="009545AD" w:rsidRDefault="00857DF8">
      <w:pPr>
        <w:pStyle w:val="FootnoteText"/>
        <w:rPr>
          <w:rtl/>
        </w:rPr>
      </w:pPr>
      <w:r>
        <w:rPr>
          <w:rFonts w:hint="cs"/>
          <w:rtl/>
        </w:rPr>
        <w:t xml:space="preserve">מה שכתב אבן סינא כאן </w:t>
      </w:r>
      <w:r w:rsidR="00F055C8">
        <w:rPr>
          <w:rtl/>
        </w:rPr>
        <w:t>"</w:t>
      </w:r>
      <w:r>
        <w:rPr>
          <w:rFonts w:hint="cs"/>
          <w:rtl/>
        </w:rPr>
        <w:t>ו</w:t>
      </w:r>
      <w:r w:rsidRPr="00857DF8">
        <w:rPr>
          <w:rtl/>
        </w:rPr>
        <w:t>הדברים שבאופן מיוחד יש להם יחס לדברים הפרטיים</w:t>
      </w:r>
      <w:r w:rsidR="00F055C8">
        <w:rPr>
          <w:rtl/>
        </w:rPr>
        <w:t>"</w:t>
      </w:r>
      <w:r>
        <w:rPr>
          <w:rFonts w:hint="cs"/>
          <w:rtl/>
        </w:rPr>
        <w:t xml:space="preserve"> רומז לחומר הראשון. </w:t>
      </w:r>
    </w:p>
    <w:p w14:paraId="6ECEB705" w14:textId="14138880" w:rsidR="00857DF8" w:rsidRDefault="00857DF8">
      <w:pPr>
        <w:pStyle w:val="FootnoteText"/>
      </w:pPr>
      <w:r>
        <w:rPr>
          <w:rFonts w:hint="cs"/>
          <w:rtl/>
        </w:rPr>
        <w:t xml:space="preserve">מה שכתב כאן: </w:t>
      </w:r>
      <w:r w:rsidR="00F055C8">
        <w:rPr>
          <w:rtl/>
        </w:rPr>
        <w:t>"</w:t>
      </w:r>
      <w:r w:rsidRPr="00857DF8">
        <w:rPr>
          <w:rtl/>
        </w:rPr>
        <w:t>התחלה של דברים שאינם חלק מהסדר הטבעי</w:t>
      </w:r>
      <w:r w:rsidR="00F055C8">
        <w:rPr>
          <w:rtl/>
        </w:rPr>
        <w:t>"</w:t>
      </w:r>
      <w:r>
        <w:rPr>
          <w:rFonts w:hint="cs"/>
          <w:rtl/>
        </w:rPr>
        <w:t xml:space="preserve">, הכוונה לבורא עצמו שהוא התחלה של החומר הראשון שהוא לא חלק מהסדר הטבעי אלא הוא מקור המציאות של הסדר הטבעי שהוא הצורות (על דרך שכתבתי לעיל שזה דומה לכך שאורי הילד שבשיר </w:t>
      </w:r>
      <w:r w:rsidR="00F055C8">
        <w:rPr>
          <w:rtl/>
        </w:rPr>
        <w:t>"</w:t>
      </w:r>
      <w:r>
        <w:rPr>
          <w:rFonts w:hint="cs"/>
          <w:rtl/>
        </w:rPr>
        <w:t>עקרה</w:t>
      </w:r>
      <w:r w:rsidR="00F055C8">
        <w:rPr>
          <w:rtl/>
        </w:rPr>
        <w:t>"</w:t>
      </w:r>
      <w:r>
        <w:rPr>
          <w:rFonts w:hint="cs"/>
          <w:rtl/>
        </w:rPr>
        <w:t xml:space="preserve"> מאת רחל, מקור המציאות שלו הוא ההעדר של ילד, הגעגוע והכאב שהם שציירו את הילד שבשיר, וכך החומר הראשון הוא העדר והוא זה שמצייר את הצורות (האידיאות האפלטוניות) שהן הסדר הטבעי. החומר הראשון הוא לא אחת מהצורות, לכן אינו חלק מהסדר הטבעי, אלא הוא כמו העיפרון שיכול לצייר צורות עוד לפני שצייר משהו.</w:t>
      </w:r>
    </w:p>
  </w:footnote>
  <w:footnote w:id="178">
    <w:p w14:paraId="371ADBB4" w14:textId="4A22ADFF" w:rsidR="001237FB" w:rsidRDefault="001237FB">
      <w:pPr>
        <w:pStyle w:val="FootnoteText"/>
      </w:pPr>
      <w:r>
        <w:rPr>
          <w:rStyle w:val="FootnoteReference"/>
        </w:rPr>
        <w:footnoteRef/>
      </w:r>
      <w:r>
        <w:rPr>
          <w:rtl/>
        </w:rPr>
        <w:t xml:space="preserve"> </w:t>
      </w:r>
      <w:r>
        <w:rPr>
          <w:rFonts w:hint="cs"/>
          <w:rtl/>
        </w:rPr>
        <w:t xml:space="preserve">ההתחלה שפועלת ישירות את כל הטבע ובעצמה אינה חלק ממנו, וזה החומר הראשון כמו שהתבאר לעיל.  </w:t>
      </w:r>
    </w:p>
  </w:footnote>
  <w:footnote w:id="179">
    <w:p w14:paraId="4D7E3240" w14:textId="589465DC" w:rsidR="000B73EC" w:rsidRDefault="000B73EC">
      <w:pPr>
        <w:pStyle w:val="FootnoteText"/>
      </w:pPr>
      <w:r>
        <w:rPr>
          <w:rStyle w:val="FootnoteReference"/>
        </w:rPr>
        <w:footnoteRef/>
      </w:r>
      <w:r>
        <w:rPr>
          <w:rtl/>
        </w:rPr>
        <w:t xml:space="preserve"> </w:t>
      </w:r>
      <w:r>
        <w:rPr>
          <w:rFonts w:hint="cs"/>
          <w:rtl/>
        </w:rPr>
        <w:t>שהתבאר לעיל בפרק זה סעיף 8.</w:t>
      </w:r>
      <w:r w:rsidR="009F6581">
        <w:rPr>
          <w:rFonts w:hint="cs"/>
          <w:rtl/>
        </w:rPr>
        <w:t xml:space="preserve"> ועיין שם בהערה מה שהעתקתי מהמורה נבוכים א' ס</w:t>
      </w:r>
      <w:r w:rsidR="00F055C8">
        <w:rPr>
          <w:rtl/>
        </w:rPr>
        <w:t>"</w:t>
      </w:r>
      <w:r w:rsidR="009F6581">
        <w:rPr>
          <w:rFonts w:hint="cs"/>
          <w:rtl/>
        </w:rPr>
        <w:t xml:space="preserve">ט. </w:t>
      </w:r>
    </w:p>
  </w:footnote>
  <w:footnote w:id="180">
    <w:p w14:paraId="4A4A30FB" w14:textId="2742A99A" w:rsidR="00B129B4" w:rsidRDefault="00B129B4">
      <w:pPr>
        <w:pStyle w:val="FootnoteText"/>
        <w:rPr>
          <w:rtl/>
        </w:rPr>
      </w:pPr>
      <w:r>
        <w:rPr>
          <w:rStyle w:val="FootnoteReference"/>
        </w:rPr>
        <w:footnoteRef/>
      </w:r>
      <w:r>
        <w:rPr>
          <w:rtl/>
        </w:rPr>
        <w:t xml:space="preserve"> </w:t>
      </w:r>
      <w:r w:rsidR="001F6351">
        <w:rPr>
          <w:rFonts w:hint="cs"/>
          <w:rtl/>
        </w:rPr>
        <w:t xml:space="preserve">במקור: </w:t>
      </w:r>
      <w:r w:rsidRPr="00B129B4">
        <w:rPr>
          <w:rFonts w:cs="Times New Roman" w:hint="eastAsia"/>
          <w:rtl/>
          <w:lang w:bidi="ar-SA"/>
        </w:rPr>
        <w:t>حال</w:t>
      </w:r>
      <w:r>
        <w:rPr>
          <w:rFonts w:cs="Times New Roman" w:hint="cs"/>
          <w:rtl/>
        </w:rPr>
        <w:t xml:space="preserve">. מקגיניס תרגם </w:t>
      </w:r>
      <w:r>
        <w:rPr>
          <w:rFonts w:cs="Times New Roman"/>
        </w:rPr>
        <w:t>state</w:t>
      </w:r>
      <w:r>
        <w:rPr>
          <w:rFonts w:cs="Times New Roman" w:hint="cs"/>
          <w:rtl/>
        </w:rPr>
        <w:t>.</w:t>
      </w:r>
    </w:p>
  </w:footnote>
  <w:footnote w:id="181">
    <w:p w14:paraId="2BFAF6E4" w14:textId="3741EE10" w:rsidR="00AD6325" w:rsidRPr="00AD6325" w:rsidRDefault="00AD6325">
      <w:pPr>
        <w:pStyle w:val="FootnoteText"/>
        <w:rPr>
          <w:rtl/>
        </w:rPr>
      </w:pPr>
      <w:r>
        <w:rPr>
          <w:rStyle w:val="FootnoteReference"/>
        </w:rPr>
        <w:footnoteRef/>
      </w:r>
      <w:r w:rsidRPr="00AD6325">
        <w:rPr>
          <w:rtl/>
        </w:rPr>
        <w:t xml:space="preserve"> במקור:</w:t>
      </w:r>
      <w:r w:rsidRPr="00AD6325">
        <w:t xml:space="preserve"> </w:t>
      </w:r>
      <w:r w:rsidRPr="00AD6325">
        <w:rPr>
          <w:rtl/>
          <w:lang w:bidi="ar-SA"/>
        </w:rPr>
        <w:t xml:space="preserve"> </w:t>
      </w:r>
      <w:r w:rsidRPr="00AD6325">
        <w:rPr>
          <w:rFonts w:ascii="Arial" w:hAnsi="Arial" w:cs="Arial" w:hint="cs"/>
          <w:rtl/>
          <w:lang w:bidi="ar-SA"/>
        </w:rPr>
        <w:t>مبدأ</w:t>
      </w:r>
      <w:r w:rsidRPr="00AD6325">
        <w:rPr>
          <w:rtl/>
        </w:rPr>
        <w:t xml:space="preserve">. </w:t>
      </w:r>
      <w:r w:rsidRPr="00AD6325">
        <w:rPr>
          <w:rtl/>
        </w:rPr>
        <w:t xml:space="preserve">מקיניס היה צריך לתרגם כאן </w:t>
      </w:r>
      <w:r w:rsidRPr="00AD6325">
        <w:t>principle</w:t>
      </w:r>
      <w:r w:rsidRPr="00AD6325">
        <w:rPr>
          <w:rtl/>
        </w:rPr>
        <w:t xml:space="preserve">, שנקרא בלשון ימי הביניים 'התחלה', ולא דייק כשתרגם </w:t>
      </w:r>
      <w:r w:rsidRPr="00AD6325">
        <w:t>cause</w:t>
      </w:r>
      <w:r w:rsidRPr="00AD6325">
        <w:rPr>
          <w:rtl/>
        </w:rPr>
        <w:t xml:space="preserve"> דהיינו סיבה.</w:t>
      </w:r>
      <w:r w:rsidR="001F6351">
        <w:rPr>
          <w:rFonts w:hint="cs"/>
          <w:rtl/>
        </w:rPr>
        <w:t xml:space="preserve"> וכן בעוד מקום בפרקנו לא הבחין בין סיבה להתחלה. לעיל</w:t>
      </w:r>
      <w:r w:rsidR="006D5639">
        <w:rPr>
          <w:rFonts w:hint="cs"/>
          <w:rtl/>
        </w:rPr>
        <w:t xml:space="preserve"> </w:t>
      </w:r>
      <w:r w:rsidR="00F8752D">
        <w:rPr>
          <w:rFonts w:hint="cs"/>
          <w:rtl/>
        </w:rPr>
        <w:t>1.1.</w:t>
      </w:r>
      <w:r w:rsidR="006D5639">
        <w:rPr>
          <w:rFonts w:hint="cs"/>
          <w:rtl/>
        </w:rPr>
        <w:t>1 בהערה, וכן לעיל 2.10</w:t>
      </w:r>
      <w:r w:rsidR="001F6351">
        <w:rPr>
          <w:rFonts w:hint="cs"/>
          <w:rtl/>
        </w:rPr>
        <w:t xml:space="preserve">, </w:t>
      </w:r>
      <w:r w:rsidR="00770BB4">
        <w:rPr>
          <w:rFonts w:hint="cs"/>
          <w:rtl/>
        </w:rPr>
        <w:t xml:space="preserve">ולקמן לקראת סוף סעיף זה, </w:t>
      </w:r>
      <w:r w:rsidR="001F6351">
        <w:rPr>
          <w:rFonts w:hint="cs"/>
          <w:rtl/>
        </w:rPr>
        <w:t>ביארתי מה ההבדל בין התחלה לסיבה</w:t>
      </w:r>
      <w:r w:rsidR="001C24B5">
        <w:rPr>
          <w:rFonts w:hint="cs"/>
          <w:rtl/>
        </w:rPr>
        <w:t xml:space="preserve"> (עיין באינדקס שבתחילת הספר תחת הערך התחלות וסיבות את המקומות בהם התבאר עניין חשוב ויסודי זה)</w:t>
      </w:r>
      <w:r w:rsidR="001F6351">
        <w:rPr>
          <w:rFonts w:hint="cs"/>
          <w:rtl/>
        </w:rPr>
        <w:t xml:space="preserve">.  </w:t>
      </w:r>
      <w:r w:rsidRPr="00AD6325">
        <w:rPr>
          <w:rtl/>
        </w:rPr>
        <w:t xml:space="preserve"> </w:t>
      </w:r>
    </w:p>
  </w:footnote>
  <w:footnote w:id="182">
    <w:p w14:paraId="01259607" w14:textId="20EF3F61" w:rsidR="007E1DAC" w:rsidRDefault="007E1DAC">
      <w:pPr>
        <w:pStyle w:val="FootnoteText"/>
      </w:pPr>
      <w:r w:rsidRPr="00AD6325">
        <w:rPr>
          <w:rStyle w:val="FootnoteReference"/>
        </w:rPr>
        <w:footnoteRef/>
      </w:r>
      <w:r>
        <w:rPr>
          <w:rtl/>
        </w:rPr>
        <w:t xml:space="preserve"> </w:t>
      </w:r>
      <w:r w:rsidR="00974D28">
        <w:rPr>
          <w:rFonts w:hint="cs"/>
          <w:rtl/>
        </w:rPr>
        <w:t>עיין בזה מורה נבוכים ב' י</w:t>
      </w:r>
      <w:r w:rsidR="00F055C8">
        <w:rPr>
          <w:rtl/>
        </w:rPr>
        <w:t>"</w:t>
      </w:r>
      <w:r w:rsidR="00974D28">
        <w:rPr>
          <w:rFonts w:hint="cs"/>
          <w:rtl/>
        </w:rPr>
        <w:t xml:space="preserve">ב </w:t>
      </w:r>
      <w:r w:rsidR="000B1A6D">
        <w:rPr>
          <w:rFonts w:hint="cs"/>
          <w:rtl/>
        </w:rPr>
        <w:t xml:space="preserve">(ועיין עוד בזה </w:t>
      </w:r>
      <w:r w:rsidR="00974D28">
        <w:rPr>
          <w:rFonts w:hint="cs"/>
          <w:rtl/>
        </w:rPr>
        <w:t>שם</w:t>
      </w:r>
      <w:r w:rsidR="000B1A6D">
        <w:rPr>
          <w:rFonts w:hint="cs"/>
          <w:rtl/>
        </w:rPr>
        <w:t xml:space="preserve"> א' ס</w:t>
      </w:r>
      <w:r w:rsidR="00F055C8">
        <w:rPr>
          <w:rtl/>
        </w:rPr>
        <w:t>"</w:t>
      </w:r>
      <w:r w:rsidR="000B1A6D">
        <w:rPr>
          <w:rFonts w:hint="cs"/>
          <w:rtl/>
        </w:rPr>
        <w:t>ט, ושם</w:t>
      </w:r>
      <w:r w:rsidR="00974D28">
        <w:rPr>
          <w:rFonts w:hint="cs"/>
          <w:rtl/>
        </w:rPr>
        <w:t xml:space="preserve"> ב' מ</w:t>
      </w:r>
      <w:r w:rsidR="00F055C8">
        <w:rPr>
          <w:rtl/>
        </w:rPr>
        <w:t>"</w:t>
      </w:r>
      <w:r w:rsidR="00974D28">
        <w:rPr>
          <w:rFonts w:hint="cs"/>
          <w:rtl/>
        </w:rPr>
        <w:t>ח</w:t>
      </w:r>
      <w:r w:rsidR="000B1A6D">
        <w:rPr>
          <w:rFonts w:hint="cs"/>
          <w:rtl/>
        </w:rPr>
        <w:t>)</w:t>
      </w:r>
      <w:r w:rsidR="00974D28">
        <w:rPr>
          <w:rFonts w:hint="cs"/>
          <w:rtl/>
        </w:rPr>
        <w:t xml:space="preserve">. </w:t>
      </w:r>
    </w:p>
  </w:footnote>
  <w:footnote w:id="183">
    <w:p w14:paraId="5B607294" w14:textId="7FDD03CB" w:rsidR="00283D0F" w:rsidRDefault="005D665C">
      <w:pPr>
        <w:pStyle w:val="FootnoteText"/>
        <w:rPr>
          <w:rtl/>
        </w:rPr>
      </w:pPr>
      <w:r>
        <w:rPr>
          <w:rStyle w:val="FootnoteReference"/>
        </w:rPr>
        <w:footnoteRef/>
      </w:r>
      <w:r>
        <w:rPr>
          <w:rtl/>
        </w:rPr>
        <w:t xml:space="preserve"> </w:t>
      </w:r>
      <w:r>
        <w:rPr>
          <w:rFonts w:hint="cs"/>
          <w:rtl/>
        </w:rPr>
        <w:t>כשמדובר על הוכחה במופת, הכוונה היא לא לשכנע את מי שחולק, אלא מי שמביא את ההוכחה עושה זאת כדי להבין בעצמו את העניין.</w:t>
      </w:r>
      <w:r w:rsidR="00283D0F">
        <w:rPr>
          <w:rFonts w:hint="cs"/>
          <w:rtl/>
        </w:rPr>
        <w:t xml:space="preserve"> וכעין שכתב במורה נבוכים ג' נ</w:t>
      </w:r>
      <w:r w:rsidR="00F055C8">
        <w:rPr>
          <w:rtl/>
        </w:rPr>
        <w:t>"</w:t>
      </w:r>
      <w:r w:rsidR="00283D0F">
        <w:rPr>
          <w:rFonts w:hint="cs"/>
          <w:rtl/>
        </w:rPr>
        <w:t>ד:</w:t>
      </w:r>
    </w:p>
    <w:p w14:paraId="3322E716" w14:textId="39C6092F" w:rsidR="005D665C" w:rsidRDefault="00F055C8">
      <w:pPr>
        <w:pStyle w:val="FootnoteText"/>
      </w:pPr>
      <w:r>
        <w:rPr>
          <w:rtl/>
        </w:rPr>
        <w:t>"</w:t>
      </w:r>
      <w:r w:rsidR="00283D0F" w:rsidRPr="00283D0F">
        <w:rPr>
          <w:rtl/>
        </w:rPr>
        <w:t>אלא מפני היות השכליות אשר בתורה מקובלות בלתי מבוארות בדרכי העיון</w:t>
      </w:r>
      <w:r w:rsidR="00283D0F">
        <w:rPr>
          <w:rFonts w:hint="cs"/>
          <w:rtl/>
        </w:rPr>
        <w:t>,</w:t>
      </w:r>
      <w:r w:rsidR="00283D0F" w:rsidRPr="00283D0F">
        <w:rPr>
          <w:rtl/>
        </w:rPr>
        <w:t xml:space="preserve"> נמצא בספרי הנביאים ודברי החכמים שמשימים ידיעת התורה מין אחד והחכמה הגמורה מין אחר</w:t>
      </w:r>
      <w:r w:rsidR="00283D0F">
        <w:rPr>
          <w:rFonts w:hint="cs"/>
          <w:rtl/>
        </w:rPr>
        <w:t>.</w:t>
      </w:r>
      <w:r w:rsidR="00283D0F" w:rsidRPr="00283D0F">
        <w:rPr>
          <w:rtl/>
        </w:rPr>
        <w:t xml:space="preserve"> החכמה ההיא הגמורה היא אשר התבאר בה במופת מה שלמדנוהו מן התורה על דרך הקבלה מן השכליות ההם.</w:t>
      </w:r>
      <w:r>
        <w:rPr>
          <w:rtl/>
        </w:rPr>
        <w:t>"</w:t>
      </w:r>
      <w:r w:rsidR="005D665C">
        <w:rPr>
          <w:rFonts w:hint="cs"/>
          <w:rtl/>
        </w:rPr>
        <w:t xml:space="preserve"> </w:t>
      </w:r>
    </w:p>
  </w:footnote>
  <w:footnote w:id="184">
    <w:p w14:paraId="392B304F" w14:textId="7B962588" w:rsidR="009B1335" w:rsidRDefault="009B1335">
      <w:pPr>
        <w:pStyle w:val="FootnoteText"/>
      </w:pPr>
      <w:r>
        <w:rPr>
          <w:rStyle w:val="FootnoteReference"/>
        </w:rPr>
        <w:footnoteRef/>
      </w:r>
      <w:r>
        <w:rPr>
          <w:rtl/>
        </w:rPr>
        <w:t xml:space="preserve"> </w:t>
      </w:r>
      <w:r>
        <w:rPr>
          <w:rFonts w:hint="cs"/>
          <w:rtl/>
        </w:rPr>
        <w:t>כלומר 'פו</w:t>
      </w:r>
      <w:r w:rsidRPr="009B1335">
        <w:rPr>
          <w:rtl/>
        </w:rPr>
        <w:t>עֵ</w:t>
      </w:r>
      <w:r>
        <w:rPr>
          <w:rFonts w:hint="cs"/>
          <w:rtl/>
        </w:rPr>
        <w:t xml:space="preserve">ל' כשם שמציין 'סוג', שכולל תחתיו פועלים פרטיים. </w:t>
      </w:r>
    </w:p>
  </w:footnote>
  <w:footnote w:id="185">
    <w:p w14:paraId="49E03589" w14:textId="378B971B" w:rsidR="00CC16A1" w:rsidRDefault="00CC16A1">
      <w:pPr>
        <w:pStyle w:val="FootnoteText"/>
      </w:pPr>
      <w:r>
        <w:rPr>
          <w:rStyle w:val="FootnoteReference"/>
        </w:rPr>
        <w:footnoteRef/>
      </w:r>
      <w:r>
        <w:rPr>
          <w:rtl/>
        </w:rPr>
        <w:t xml:space="preserve"> </w:t>
      </w:r>
      <w:r>
        <w:rPr>
          <w:rFonts w:hint="cs"/>
          <w:rtl/>
        </w:rPr>
        <w:t xml:space="preserve">שהתבאר לעיל בפרקנו סעיף 8. </w:t>
      </w:r>
    </w:p>
  </w:footnote>
  <w:footnote w:id="186">
    <w:p w14:paraId="124004DF" w14:textId="33FEFA63" w:rsidR="00287E5F" w:rsidRDefault="00287E5F">
      <w:pPr>
        <w:pStyle w:val="FootnoteText"/>
      </w:pPr>
      <w:r>
        <w:rPr>
          <w:rStyle w:val="FootnoteReference"/>
        </w:rPr>
        <w:footnoteRef/>
      </w:r>
      <w:r>
        <w:rPr>
          <w:rtl/>
        </w:rPr>
        <w:t xml:space="preserve"> </w:t>
      </w:r>
      <w:r>
        <w:rPr>
          <w:rFonts w:hint="cs"/>
          <w:rtl/>
        </w:rPr>
        <w:t>כלומר מה מהותי ועצמי בכל 'פו</w:t>
      </w:r>
      <w:bookmarkStart w:id="129" w:name="_Hlk96424921"/>
      <w:r w:rsidR="00931B55" w:rsidRPr="00931B55">
        <w:rPr>
          <w:rtl/>
        </w:rPr>
        <w:t>עֵ</w:t>
      </w:r>
      <w:bookmarkEnd w:id="129"/>
      <w:r>
        <w:rPr>
          <w:rFonts w:hint="cs"/>
          <w:rtl/>
        </w:rPr>
        <w:t>ל', שמשותף לכל הפועלים בטבע</w:t>
      </w:r>
      <w:r w:rsidR="00931B55">
        <w:rPr>
          <w:rFonts w:hint="cs"/>
          <w:rtl/>
        </w:rPr>
        <w:t xml:space="preserve"> גם אם הם פועלים פרטיים (למשל מה שלהבת האש פועלת את חום המים שבסיר, או שהאב פועל את בנו)</w:t>
      </w:r>
      <w:r>
        <w:rPr>
          <w:rFonts w:hint="cs"/>
          <w:rtl/>
        </w:rPr>
        <w:t>, וגורם שיכללו באותו סוג, גם אם יש מקרים שמבדילים בין הפועלים השונים.</w:t>
      </w:r>
      <w:r w:rsidR="00301D8B">
        <w:rPr>
          <w:rFonts w:hint="cs"/>
          <w:rtl/>
        </w:rPr>
        <w:t xml:space="preserve"> כמו שביארתי לעיל סעיף 8 הסוג הכולל של כל הפועלים שבטבע הוא החומר הראשון, שכשלעצמו אינו נכלל בטבע, כלומר בשרשרת הסיבות והמסובבים. </w:t>
      </w:r>
      <w:r>
        <w:rPr>
          <w:rFonts w:hint="cs"/>
          <w:rtl/>
        </w:rPr>
        <w:t xml:space="preserve"> </w:t>
      </w:r>
    </w:p>
  </w:footnote>
  <w:footnote w:id="187">
    <w:p w14:paraId="5D281744" w14:textId="50E5335D" w:rsidR="008A3B29" w:rsidRDefault="00301D8B">
      <w:pPr>
        <w:pStyle w:val="FootnoteText"/>
        <w:rPr>
          <w:rtl/>
        </w:rPr>
      </w:pPr>
      <w:r>
        <w:rPr>
          <w:rStyle w:val="FootnoteReference"/>
        </w:rPr>
        <w:footnoteRef/>
      </w:r>
      <w:r>
        <w:rPr>
          <w:rtl/>
        </w:rPr>
        <w:t xml:space="preserve"> </w:t>
      </w:r>
      <w:r>
        <w:rPr>
          <w:rFonts w:hint="cs"/>
          <w:rtl/>
        </w:rPr>
        <w:t>לכל דבר בטבע יש תכלית קרובה, ולה יש תכלית שבאה אחריה וכן הלאה. התכלית האחרונה</w:t>
      </w:r>
      <w:r w:rsidR="008A3B29">
        <w:rPr>
          <w:rFonts w:hint="cs"/>
          <w:rtl/>
        </w:rPr>
        <w:t xml:space="preserve"> היא ההתחלה התכליתית המשותפת</w:t>
      </w:r>
      <w:r>
        <w:rPr>
          <w:rFonts w:hint="cs"/>
          <w:rtl/>
        </w:rPr>
        <w:t xml:space="preserve">. </w:t>
      </w:r>
      <w:r w:rsidR="00614924">
        <w:rPr>
          <w:rFonts w:hint="cs"/>
          <w:rtl/>
        </w:rPr>
        <w:t>החקירה על אודות ההתחלות הפועלות מקבילה לחקירה על אודות התכליות.</w:t>
      </w:r>
      <w:r w:rsidR="000556E0">
        <w:rPr>
          <w:rFonts w:hint="cs"/>
          <w:rtl/>
        </w:rPr>
        <w:t xml:space="preserve"> </w:t>
      </w:r>
      <w:r w:rsidR="00614924">
        <w:rPr>
          <w:rFonts w:hint="cs"/>
          <w:rtl/>
        </w:rPr>
        <w:t xml:space="preserve"> </w:t>
      </w:r>
    </w:p>
    <w:p w14:paraId="097A0C15" w14:textId="3D861D8A" w:rsidR="00614924" w:rsidRDefault="00614924">
      <w:pPr>
        <w:pStyle w:val="FootnoteText"/>
        <w:rPr>
          <w:rtl/>
        </w:rPr>
      </w:pPr>
      <w:r>
        <w:rPr>
          <w:rFonts w:hint="cs"/>
          <w:rtl/>
        </w:rPr>
        <w:t>ה</w:t>
      </w:r>
      <w:r w:rsidRPr="00614924">
        <w:rPr>
          <w:rtl/>
        </w:rPr>
        <w:t>פועֵל</w:t>
      </w:r>
      <w:r>
        <w:rPr>
          <w:rFonts w:hint="cs"/>
          <w:rtl/>
        </w:rPr>
        <w:t xml:space="preserve"> הראשון, הצורה העליונה, והתכלית האחרונה, משותפים בהיותם סוג כולל לכל הפועלים הצורות והתכליות הפרטיות שיש בטבע (זה המובן השני שהתבאר לעיל סעיף 8), ומבחינה זו הם כולם החומר הראשון. והם גם משותפים לפי המובן הראשון לעיל סעיף 8, שמדבר על </w:t>
      </w:r>
      <w:r w:rsidR="003675EC">
        <w:rPr>
          <w:rFonts w:hint="cs"/>
          <w:rtl/>
        </w:rPr>
        <w:t xml:space="preserve">האלוה בעצמו, </w:t>
      </w:r>
      <w:r>
        <w:rPr>
          <w:rFonts w:hint="cs"/>
          <w:rtl/>
        </w:rPr>
        <w:t>מי שפעל את החומר הראשון, מי שהוא צורת החומר הראשון, ומי שהוא תכליתו של החומר הראשון.</w:t>
      </w:r>
    </w:p>
    <w:p w14:paraId="488D7B47" w14:textId="45FCDA8E" w:rsidR="003675EC" w:rsidRDefault="00614924">
      <w:pPr>
        <w:pStyle w:val="FootnoteText"/>
        <w:rPr>
          <w:rtl/>
        </w:rPr>
      </w:pPr>
      <w:r>
        <w:rPr>
          <w:rFonts w:hint="cs"/>
          <w:rtl/>
        </w:rPr>
        <w:t xml:space="preserve">הלשון </w:t>
      </w:r>
      <w:r w:rsidR="00F055C8">
        <w:rPr>
          <w:rtl/>
        </w:rPr>
        <w:t>"</w:t>
      </w:r>
      <w:r>
        <w:rPr>
          <w:rFonts w:hint="cs"/>
          <w:rtl/>
        </w:rPr>
        <w:t>צורת</w:t>
      </w:r>
      <w:r w:rsidR="00F055C8">
        <w:rPr>
          <w:rtl/>
        </w:rPr>
        <w:t>"</w:t>
      </w:r>
      <w:r>
        <w:rPr>
          <w:rFonts w:hint="cs"/>
          <w:rtl/>
        </w:rPr>
        <w:t xml:space="preserve"> החומר הראשון </w:t>
      </w:r>
      <w:r w:rsidR="003675EC">
        <w:rPr>
          <w:rFonts w:hint="cs"/>
          <w:rtl/>
        </w:rPr>
        <w:t xml:space="preserve">ביחס לאלוה עצמו </w:t>
      </w:r>
      <w:r>
        <w:rPr>
          <w:rFonts w:hint="cs"/>
          <w:rtl/>
        </w:rPr>
        <w:t xml:space="preserve">אינו </w:t>
      </w:r>
      <w:r w:rsidR="009C463A">
        <w:rPr>
          <w:rFonts w:hint="cs"/>
          <w:rtl/>
        </w:rPr>
        <w:t>מדויק</w:t>
      </w:r>
      <w:r>
        <w:rPr>
          <w:rFonts w:hint="cs"/>
          <w:rtl/>
        </w:rPr>
        <w:t>, כי לחומר הראשון אין צורה</w:t>
      </w:r>
      <w:r w:rsidR="003675EC">
        <w:rPr>
          <w:rFonts w:hint="cs"/>
          <w:rtl/>
        </w:rPr>
        <w:t xml:space="preserve">, והאלוה בוודאי אינו צורה, </w:t>
      </w:r>
      <w:r>
        <w:rPr>
          <w:rFonts w:hint="cs"/>
          <w:rtl/>
        </w:rPr>
        <w:t xml:space="preserve">אלא הכוונה </w:t>
      </w:r>
      <w:r w:rsidR="003675EC">
        <w:rPr>
          <w:rFonts w:hint="cs"/>
          <w:rtl/>
        </w:rPr>
        <w:t>שכמו שצורה היא סיבת המציאות של מה שהיא צורה לו, כך האלוה הוא ה</w:t>
      </w:r>
      <w:r>
        <w:rPr>
          <w:rFonts w:hint="cs"/>
          <w:rtl/>
        </w:rPr>
        <w:t xml:space="preserve">מצוי הראשון שממציא </w:t>
      </w:r>
      <w:r w:rsidR="003675EC">
        <w:rPr>
          <w:rFonts w:hint="cs"/>
          <w:rtl/>
        </w:rPr>
        <w:t>כל נמצא, הוא סיבת המציאות של הכל</w:t>
      </w:r>
      <w:r>
        <w:rPr>
          <w:rFonts w:hint="cs"/>
          <w:rtl/>
        </w:rPr>
        <w:t xml:space="preserve">.  </w:t>
      </w:r>
    </w:p>
    <w:p w14:paraId="6B1A312A" w14:textId="1C88D62F" w:rsidR="003675EC" w:rsidRDefault="00614924">
      <w:pPr>
        <w:pStyle w:val="FootnoteText"/>
        <w:rPr>
          <w:rtl/>
        </w:rPr>
      </w:pPr>
      <w:r>
        <w:rPr>
          <w:rFonts w:hint="cs"/>
          <w:rtl/>
        </w:rPr>
        <w:t xml:space="preserve">  </w:t>
      </w:r>
    </w:p>
    <w:p w14:paraId="2BEC775D" w14:textId="06A178C5" w:rsidR="003675EC" w:rsidRDefault="003675EC">
      <w:pPr>
        <w:pStyle w:val="FootnoteText"/>
        <w:rPr>
          <w:rtl/>
        </w:rPr>
      </w:pPr>
      <w:r>
        <w:rPr>
          <w:rFonts w:hint="cs"/>
          <w:rtl/>
        </w:rPr>
        <w:t>וכמו שכתב במורה נבוכים א' ס</w:t>
      </w:r>
      <w:r w:rsidR="00F055C8">
        <w:rPr>
          <w:rtl/>
        </w:rPr>
        <w:t>"</w:t>
      </w:r>
      <w:r>
        <w:rPr>
          <w:rFonts w:hint="cs"/>
          <w:rtl/>
        </w:rPr>
        <w:t>ט</w:t>
      </w:r>
      <w:r w:rsidR="00DC31FC">
        <w:rPr>
          <w:rtl/>
        </w:rPr>
        <w:fldChar w:fldCharType="begin"/>
      </w:r>
      <w:r w:rsidR="00DC31FC">
        <w:instrText xml:space="preserve"> XE "</w:instrText>
      </w:r>
      <w:r w:rsidR="00DC31FC" w:rsidRPr="003106FF">
        <w:rPr>
          <w:rFonts w:hint="cs"/>
          <w:rtl/>
        </w:rPr>
        <w:instrText>מורה נבוכים א' ס</w:instrText>
      </w:r>
      <w:r w:rsidR="00DC31FC">
        <w:rPr>
          <w:b/>
          <w:bCs/>
          <w:sz w:val="20"/>
          <w:szCs w:val="20"/>
        </w:rPr>
        <w:instrText>\</w:instrText>
      </w:r>
      <w:r w:rsidR="00DC31FC" w:rsidRPr="003106FF">
        <w:rPr>
          <w:rFonts w:hint="cs"/>
          <w:rtl/>
        </w:rPr>
        <w:instrText>"ט</w:instrText>
      </w:r>
      <w:r w:rsidR="00DC31FC">
        <w:instrText xml:space="preserve">" </w:instrText>
      </w:r>
      <w:r w:rsidR="00DC31FC">
        <w:rPr>
          <w:rtl/>
        </w:rPr>
        <w:fldChar w:fldCharType="end"/>
      </w:r>
      <w:r>
        <w:rPr>
          <w:rFonts w:hint="cs"/>
          <w:rtl/>
        </w:rPr>
        <w:t>:</w:t>
      </w:r>
    </w:p>
    <w:p w14:paraId="27A730AB" w14:textId="353529A6" w:rsidR="003675EC" w:rsidRDefault="00F055C8" w:rsidP="003675EC">
      <w:pPr>
        <w:pStyle w:val="FootnoteText"/>
        <w:rPr>
          <w:rtl/>
        </w:rPr>
      </w:pPr>
      <w:r>
        <w:rPr>
          <w:rtl/>
        </w:rPr>
        <w:t>"</w:t>
      </w:r>
      <w:r w:rsidR="003675EC">
        <w:rPr>
          <w:rtl/>
        </w:rPr>
        <w:t>ואמנם הכונה הנה - היותו ית'</w:t>
      </w:r>
      <w:r w:rsidR="003675EC" w:rsidRPr="003675EC">
        <w:rPr>
          <w:b/>
          <w:bCs/>
          <w:rtl/>
        </w:rPr>
        <w:t xml:space="preserve"> פועֵל</w:t>
      </w:r>
      <w:r w:rsidR="003675EC">
        <w:rPr>
          <w:rtl/>
        </w:rPr>
        <w:t xml:space="preserve"> לפרטי הפעולות הבאות בעולם כמו שהוא עושה העולם כולו כמות שהוא. ואומר כבר התבאר בחכמה הטבעית שאלו הארבעה מינים מן הסיבות צריך שתבוקש לכל סיבה מהם סיבה גם כן וימצאו לדבר המתהוה אלו הארבעה סיבות הקרובות לו וימצאו להם גם כן סיבות ולסיבות - סיבות עד שיגיע לסיבות הראשונות. כמו שזה - הדבר הפעול ופועלו הוא כך ולפועל ההוא פועל - ולא יסור זה עד שיגיע אל מניע ראשון הוא הפועל באמת לאלו האמצעיות כולם. וזה - כי כשתהיה אות אל</w:t>
      </w:r>
      <w:r>
        <w:rPr>
          <w:rtl/>
        </w:rPr>
        <w:t>"</w:t>
      </w:r>
      <w:r w:rsidR="003675EC">
        <w:rPr>
          <w:rtl/>
        </w:rPr>
        <w:t>ף תניעה</w:t>
      </w:r>
      <w:r w:rsidR="003675EC">
        <w:rPr>
          <w:rFonts w:hint="cs"/>
          <w:rtl/>
        </w:rPr>
        <w:t xml:space="preserve"> [כלומר תניע אותה] </w:t>
      </w:r>
      <w:r w:rsidR="003675EC">
        <w:rPr>
          <w:rtl/>
        </w:rPr>
        <w:t>אות בי</w:t>
      </w:r>
      <w:r>
        <w:rPr>
          <w:rtl/>
        </w:rPr>
        <w:t>"</w:t>
      </w:r>
      <w:r w:rsidR="003675EC">
        <w:rPr>
          <w:rtl/>
        </w:rPr>
        <w:t>ת</w:t>
      </w:r>
      <w:r w:rsidR="003675EC">
        <w:rPr>
          <w:rFonts w:hint="cs"/>
          <w:rtl/>
        </w:rPr>
        <w:t xml:space="preserve"> </w:t>
      </w:r>
      <w:r w:rsidR="003675EC" w:rsidRPr="003675EC">
        <w:rPr>
          <w:rtl/>
        </w:rPr>
        <w:t>[הבי</w:t>
      </w:r>
      <w:r>
        <w:rPr>
          <w:rtl/>
        </w:rPr>
        <w:t>"</w:t>
      </w:r>
      <w:r w:rsidR="003675EC" w:rsidRPr="003675EC">
        <w:rPr>
          <w:rtl/>
        </w:rPr>
        <w:t>ת מניעה את האל</w:t>
      </w:r>
      <w:r>
        <w:rPr>
          <w:rtl/>
        </w:rPr>
        <w:t>"</w:t>
      </w:r>
      <w:r w:rsidR="003675EC" w:rsidRPr="003675EC">
        <w:rPr>
          <w:rtl/>
        </w:rPr>
        <w:t>ף]</w:t>
      </w:r>
      <w:r w:rsidR="003675EC">
        <w:rPr>
          <w:rFonts w:hint="cs"/>
          <w:rtl/>
        </w:rPr>
        <w:t>,</w:t>
      </w:r>
      <w:r w:rsidR="003675EC">
        <w:rPr>
          <w:rtl/>
        </w:rPr>
        <w:t xml:space="preserve"> ובי</w:t>
      </w:r>
      <w:r>
        <w:rPr>
          <w:rtl/>
        </w:rPr>
        <w:t>"</w:t>
      </w:r>
      <w:r w:rsidR="003675EC">
        <w:rPr>
          <w:rtl/>
        </w:rPr>
        <w:t>ת תניעה אות גימ</w:t>
      </w:r>
      <w:r>
        <w:rPr>
          <w:rtl/>
        </w:rPr>
        <w:t>"</w:t>
      </w:r>
      <w:r w:rsidR="003675EC">
        <w:rPr>
          <w:rtl/>
        </w:rPr>
        <w:t>ל</w:t>
      </w:r>
      <w:r w:rsidR="003675EC">
        <w:rPr>
          <w:rFonts w:hint="cs"/>
          <w:rtl/>
        </w:rPr>
        <w:t>,</w:t>
      </w:r>
      <w:r w:rsidR="003675EC">
        <w:rPr>
          <w:rtl/>
        </w:rPr>
        <w:t xml:space="preserve"> וגימ</w:t>
      </w:r>
      <w:r>
        <w:rPr>
          <w:rtl/>
        </w:rPr>
        <w:t>"</w:t>
      </w:r>
      <w:r w:rsidR="003675EC">
        <w:rPr>
          <w:rtl/>
        </w:rPr>
        <w:t>ל תניעה אות דל</w:t>
      </w:r>
      <w:r>
        <w:rPr>
          <w:rtl/>
        </w:rPr>
        <w:t>"</w:t>
      </w:r>
      <w:r w:rsidR="003675EC">
        <w:rPr>
          <w:rtl/>
        </w:rPr>
        <w:t>ת</w:t>
      </w:r>
      <w:r w:rsidR="003675EC">
        <w:rPr>
          <w:rFonts w:hint="cs"/>
          <w:rtl/>
        </w:rPr>
        <w:t>,</w:t>
      </w:r>
      <w:r w:rsidR="003675EC">
        <w:rPr>
          <w:rtl/>
        </w:rPr>
        <w:t xml:space="preserve"> ודל</w:t>
      </w:r>
      <w:r>
        <w:rPr>
          <w:rtl/>
        </w:rPr>
        <w:t>"</w:t>
      </w:r>
      <w:r w:rsidR="003675EC">
        <w:rPr>
          <w:rtl/>
        </w:rPr>
        <w:t>ת תניעה אות ה</w:t>
      </w:r>
      <w:r>
        <w:rPr>
          <w:rtl/>
        </w:rPr>
        <w:t>"</w:t>
      </w:r>
      <w:r w:rsidR="003675EC">
        <w:rPr>
          <w:rtl/>
        </w:rPr>
        <w:t>א</w:t>
      </w:r>
      <w:r w:rsidR="003675EC">
        <w:rPr>
          <w:rFonts w:hint="cs"/>
          <w:rtl/>
        </w:rPr>
        <w:t>,</w:t>
      </w:r>
      <w:r w:rsidR="003675EC">
        <w:rPr>
          <w:rtl/>
        </w:rPr>
        <w:t xml:space="preserve"> וזה מה שלא ילך אל לא תכלית</w:t>
      </w:r>
      <w:r w:rsidR="003675EC">
        <w:rPr>
          <w:rFonts w:hint="cs"/>
          <w:rtl/>
        </w:rPr>
        <w:t>,</w:t>
      </w:r>
      <w:r w:rsidR="003675EC">
        <w:rPr>
          <w:rtl/>
        </w:rPr>
        <w:t xml:space="preserve"> ונעמוד אצל הה</w:t>
      </w:r>
      <w:r>
        <w:rPr>
          <w:rtl/>
        </w:rPr>
        <w:t>"</w:t>
      </w:r>
      <w:r w:rsidR="003675EC">
        <w:rPr>
          <w:rtl/>
        </w:rPr>
        <w:t>א על דרך משל; ואין ספק כי הה</w:t>
      </w:r>
      <w:r>
        <w:rPr>
          <w:rtl/>
        </w:rPr>
        <w:t>"</w:t>
      </w:r>
      <w:r w:rsidR="003675EC">
        <w:rPr>
          <w:rtl/>
        </w:rPr>
        <w:t>א היא המניעה לאל</w:t>
      </w:r>
      <w:r>
        <w:rPr>
          <w:rtl/>
        </w:rPr>
        <w:t>"</w:t>
      </w:r>
      <w:r w:rsidR="003675EC">
        <w:rPr>
          <w:rtl/>
        </w:rPr>
        <w:t>ף ולבי</w:t>
      </w:r>
      <w:r>
        <w:rPr>
          <w:rtl/>
        </w:rPr>
        <w:t>"</w:t>
      </w:r>
      <w:r w:rsidR="003675EC">
        <w:rPr>
          <w:rtl/>
        </w:rPr>
        <w:t>ת ולגימ</w:t>
      </w:r>
      <w:r>
        <w:rPr>
          <w:rtl/>
        </w:rPr>
        <w:t>"</w:t>
      </w:r>
      <w:r w:rsidR="003675EC">
        <w:rPr>
          <w:rtl/>
        </w:rPr>
        <w:t>ל ולדל</w:t>
      </w:r>
      <w:r>
        <w:rPr>
          <w:rtl/>
        </w:rPr>
        <w:t>"</w:t>
      </w:r>
      <w:r w:rsidR="003675EC">
        <w:rPr>
          <w:rtl/>
        </w:rPr>
        <w:t>ת ובאמת נאמר בתנועת האל</w:t>
      </w:r>
      <w:r>
        <w:rPr>
          <w:rtl/>
        </w:rPr>
        <w:t>"</w:t>
      </w:r>
      <w:r w:rsidR="003675EC">
        <w:rPr>
          <w:rtl/>
        </w:rPr>
        <w:t>ף שהה</w:t>
      </w:r>
      <w:r>
        <w:rPr>
          <w:rtl/>
        </w:rPr>
        <w:t>"</w:t>
      </w:r>
      <w:r w:rsidR="003675EC">
        <w:rPr>
          <w:rtl/>
        </w:rPr>
        <w:t>א עשאה. ובזה הצד ייוחס כל פועל שבמציאות לאלוה</w:t>
      </w:r>
      <w:r w:rsidR="006D0F17">
        <w:rPr>
          <w:rFonts w:hint="cs"/>
          <w:rtl/>
        </w:rPr>
        <w:t xml:space="preserve"> [כמו שכתב גם במורה נבוכים ב' מ</w:t>
      </w:r>
      <w:r>
        <w:rPr>
          <w:rtl/>
        </w:rPr>
        <w:t>"</w:t>
      </w:r>
      <w:r w:rsidR="006D0F17">
        <w:rPr>
          <w:rFonts w:hint="cs"/>
          <w:rtl/>
        </w:rPr>
        <w:t>ח]</w:t>
      </w:r>
      <w:r w:rsidR="003675EC">
        <w:rPr>
          <w:rtl/>
        </w:rPr>
        <w:t xml:space="preserve"> - ולו פעלו מי שפעלו מן הפועלים הקרובים כמו שנבאר; הנה הוא הסיבה הרחוקה מצד היותו </w:t>
      </w:r>
      <w:r w:rsidR="003675EC" w:rsidRPr="006D0F17">
        <w:rPr>
          <w:b/>
          <w:bCs/>
          <w:rtl/>
        </w:rPr>
        <w:t>פועל</w:t>
      </w:r>
      <w:r w:rsidR="003675EC">
        <w:rPr>
          <w:rtl/>
        </w:rPr>
        <w:t>:</w:t>
      </w:r>
    </w:p>
    <w:p w14:paraId="5402C58B" w14:textId="77777777" w:rsidR="003675EC" w:rsidRDefault="003675EC" w:rsidP="003675EC">
      <w:pPr>
        <w:pStyle w:val="FootnoteText"/>
        <w:rPr>
          <w:rtl/>
        </w:rPr>
      </w:pPr>
    </w:p>
    <w:p w14:paraId="096152E5" w14:textId="7384C81A" w:rsidR="003675EC" w:rsidRDefault="003675EC" w:rsidP="003675EC">
      <w:pPr>
        <w:pStyle w:val="FootnoteText"/>
        <w:rPr>
          <w:rtl/>
        </w:rPr>
      </w:pPr>
      <w:r>
        <w:rPr>
          <w:rtl/>
        </w:rPr>
        <w:t xml:space="preserve">וכן </w:t>
      </w:r>
      <w:r w:rsidRPr="006D0F17">
        <w:rPr>
          <w:b/>
          <w:bCs/>
          <w:rtl/>
        </w:rPr>
        <w:t>הצורות</w:t>
      </w:r>
      <w:r>
        <w:rPr>
          <w:rtl/>
        </w:rPr>
        <w:t xml:space="preserve"> הטבעיות ההוות הנפסדות נמצאם כשנחפשם כולם שאי אפשר שלא תקדם להם צורה אחרת תכין החומר הזה לקבלת זו הצורה והצורה השנית ההיא תקדם לה גם כן אחרת עד שנגיע לצורה האחרונה אשר היא הכרחית במציאות אלו הצורות האמצעיות אשר האמצעיות ההם הם סיבת זאת הצורה הקרובה - והצורה האחרונה ההיא בכל המציאות הוא האלוה ית' ולא תחשוב שאמרנו בו - שהוא הצורה האחרונה לכל העולם הוא רמז לצורה האחרונה אשר יאמר אריסטו עליה בספר הנקרא מה שאחר הטבע שהיא בלתי הוה ולא נפסדת - כי הצורה ההיא הנזכרת שם טבעית לא שכל נפרד</w:t>
      </w:r>
      <w:r w:rsidR="00B11A2E">
        <w:rPr>
          <w:rFonts w:hint="cs"/>
          <w:rtl/>
        </w:rPr>
        <w:t xml:space="preserve"> [כלומר היא החומר הראשון</w:t>
      </w:r>
      <w:r w:rsidR="009B479D">
        <w:rPr>
          <w:rtl/>
        </w:rPr>
        <w:fldChar w:fldCharType="begin"/>
      </w:r>
      <w:r w:rsidR="009B479D">
        <w:instrText xml:space="preserve"> XE "</w:instrText>
      </w:r>
      <w:r w:rsidR="009B479D" w:rsidRPr="001C1ED9">
        <w:rPr>
          <w:rFonts w:hint="cs"/>
          <w:rtl/>
        </w:rPr>
        <w:instrText>החומר הראשון</w:instrText>
      </w:r>
      <w:r w:rsidR="009B479D">
        <w:instrText xml:space="preserve">" </w:instrText>
      </w:r>
      <w:r w:rsidR="009B479D">
        <w:rPr>
          <w:rtl/>
        </w:rPr>
        <w:fldChar w:fldCharType="end"/>
      </w:r>
      <w:r w:rsidR="00B11A2E">
        <w:rPr>
          <w:rFonts w:hint="cs"/>
          <w:rtl/>
        </w:rPr>
        <w:t>, שחקירת פילוסוף הטבע מגיעה עד אליו</w:t>
      </w:r>
      <w:r w:rsidR="00374938">
        <w:rPr>
          <w:rFonts w:hint="cs"/>
          <w:rtl/>
        </w:rPr>
        <w:t xml:space="preserve"> (זהו מעשה בראשית). זה מה שהגיעו אליו אצילי בני ישראל כמו שכתב המורה נבוכים א' ה', ושם א' כ</w:t>
      </w:r>
      <w:r w:rsidR="00F055C8">
        <w:rPr>
          <w:rtl/>
        </w:rPr>
        <w:t>"</w:t>
      </w:r>
      <w:r w:rsidR="00374938">
        <w:rPr>
          <w:rFonts w:hint="cs"/>
          <w:rtl/>
        </w:rPr>
        <w:t>ח, וב' כ</w:t>
      </w:r>
      <w:r w:rsidR="00F055C8">
        <w:rPr>
          <w:rtl/>
        </w:rPr>
        <w:t>"</w:t>
      </w:r>
      <w:r w:rsidR="00374938">
        <w:rPr>
          <w:rFonts w:hint="cs"/>
          <w:rtl/>
        </w:rPr>
        <w:t>ו</w:t>
      </w:r>
      <w:r w:rsidR="00B11A2E">
        <w:rPr>
          <w:rFonts w:hint="cs"/>
          <w:rtl/>
        </w:rPr>
        <w:t>. וכאן הרמב</w:t>
      </w:r>
      <w:r w:rsidR="00F055C8">
        <w:rPr>
          <w:rtl/>
        </w:rPr>
        <w:t>"</w:t>
      </w:r>
      <w:r w:rsidR="00B11A2E">
        <w:rPr>
          <w:rFonts w:hint="cs"/>
          <w:rtl/>
        </w:rPr>
        <w:t xml:space="preserve">ם מדבר על האלוה עצמו שהוא מושא לחקירת התיאולוגיה, חכמת האלוהות, </w:t>
      </w:r>
      <w:r w:rsidR="00113166">
        <w:rPr>
          <w:rFonts w:hint="cs"/>
          <w:rtl/>
        </w:rPr>
        <w:t xml:space="preserve">מעשה מרכבה, </w:t>
      </w:r>
      <w:r w:rsidR="00B11A2E">
        <w:rPr>
          <w:rFonts w:hint="cs"/>
          <w:rtl/>
        </w:rPr>
        <w:t>שאחר כך נקראה</w:t>
      </w:r>
      <w:r w:rsidR="00113166">
        <w:rPr>
          <w:rFonts w:hint="cs"/>
          <w:rtl/>
        </w:rPr>
        <w:t xml:space="preserve"> </w:t>
      </w:r>
      <w:r w:rsidR="00B11A2E">
        <w:rPr>
          <w:rFonts w:hint="cs"/>
          <w:rtl/>
        </w:rPr>
        <w:t>מטאפיזיקה</w:t>
      </w:r>
      <w:r w:rsidR="00374938">
        <w:rPr>
          <w:rFonts w:hint="cs"/>
          <w:rtl/>
        </w:rPr>
        <w:t xml:space="preserve">, ואין לפילוסוף הטבע בזה </w:t>
      </w:r>
      <w:r w:rsidR="00113166">
        <w:rPr>
          <w:rFonts w:hint="cs"/>
          <w:rtl/>
        </w:rPr>
        <w:t>עסק</w:t>
      </w:r>
      <w:r w:rsidR="00B11A2E">
        <w:rPr>
          <w:rFonts w:hint="cs"/>
          <w:rtl/>
        </w:rPr>
        <w:t>]</w:t>
      </w:r>
      <w:r>
        <w:rPr>
          <w:rtl/>
        </w:rPr>
        <w:t xml:space="preserve">. כי אין אמרנו עליו ית' שהוא צורת העולם האחרונה על דמיון היות הצורה בעלת החומר צורה לחומר ההוא עד שיהיה הוא ית' צורה לגשם. לא על אלו הפנים נאמר! אבל כמו שכל נמצא בעל צורה אמנם הוא מה שהוא בצורתו וכשתפסד צורתו - תפסד הויתו ותבטל כן כמו זה היחס בעצמו יחס האלוה לכל התחלות המציאות הרחוקות; כי במציאות הבורא - הכל נמצא והוא מתמיד עמידתו בענין אשר יכונה ב'שפע' כמו שנבאר בקצת פרקי זה המאמר; ואילו היה אפשר העדר הבורא היה נעדר המציאות כולו ותבטל מהות הסיבות הרחוקות ממנו והמסובבות האחרונות ומה שביניהן. אם כן הוא לו כדמות הצורה לדבר אשר יש לו צורה אשר בה הוא מה שהוא ובצורה תתקים אמיתתו ומהותו - כן יחס האלוה לעולם. ובזה הצד נאמר בו שהוא </w:t>
      </w:r>
      <w:r w:rsidR="006D0F17">
        <w:rPr>
          <w:rFonts w:hint="cs"/>
          <w:rtl/>
        </w:rPr>
        <w:t>'</w:t>
      </w:r>
      <w:r w:rsidRPr="006D0F17">
        <w:rPr>
          <w:b/>
          <w:bCs/>
          <w:rtl/>
        </w:rPr>
        <w:t>הצורה האחרונה</w:t>
      </w:r>
      <w:r>
        <w:rPr>
          <w:rtl/>
        </w:rPr>
        <w:t>' ושהוא 'צורת הצורות' - כלומר שהוא אשר מציאות כל צורה בעולם וקיומה נסמך באחרונה אליו ובו קיומה כמו שהדברים בעלי הצורות מתקיימים בצורתם. ומפני זה הענין נקרא בלשוננו 'חי העולם' - ענינו שהוא חיי העולם כמו שיתבאר:</w:t>
      </w:r>
    </w:p>
    <w:p w14:paraId="75B5D628" w14:textId="77777777" w:rsidR="003675EC" w:rsidRDefault="003675EC" w:rsidP="003675EC">
      <w:pPr>
        <w:pStyle w:val="FootnoteText"/>
        <w:rPr>
          <w:rtl/>
        </w:rPr>
      </w:pPr>
    </w:p>
    <w:p w14:paraId="28425B53" w14:textId="02543547" w:rsidR="00301D8B" w:rsidRDefault="003675EC" w:rsidP="003675EC">
      <w:pPr>
        <w:pStyle w:val="FootnoteText"/>
      </w:pPr>
      <w:r>
        <w:rPr>
          <w:rtl/>
        </w:rPr>
        <w:t xml:space="preserve">וכן עוד הענין בכל </w:t>
      </w:r>
      <w:r w:rsidRPr="006D0F17">
        <w:rPr>
          <w:b/>
          <w:bCs/>
          <w:rtl/>
        </w:rPr>
        <w:t>תכלית</w:t>
      </w:r>
      <w:r>
        <w:rPr>
          <w:rtl/>
        </w:rPr>
        <w:t xml:space="preserve"> כי הדבר אשר לו תכלית יש לך לבקש לתכלית ההיא תכלית. כאילו אמרת על דרך משל שהכסא החומר שלו - העץ ופועלו - הנגר וצורתו - הריבוע על תמונת כך ותכליתו - לשבת עליו; ועליך שתשאל ומה תכלית הישיבה על הכסא? ויאמר לך העונה בעבור שיתנשא היושב עליו ויתעלה מן הארץ; ותשאל עוד ותאמר ומה תכלית ההתנשאות מן הארץ? ותענה להגדיל היושב בעין מי שיראהו; ותשאל ותאמר ומה תכלית הגדלתו אצל מי שיראהו? ותענה כדי שייראו ויפחדו ממנו; ותשאל ותאמר ומה תכלית היותו נורא? ותענה לגדל מצותו; ותבקש מה תכלית הגידול למצותו? ותענה למנוע הזק בני אדם קצתם מקצתם; ותבקש עוד מה תכלית מניעת הזק קצתם מקצתם? ותענה להתמיד מציאותם מסודר. וכן יתחיב תמיד בכל תכלית מתחדשת עד שיגיע הענין לרצונו לבד ית' לפי אחת מן הדעות כמו שיתבאר</w:t>
      </w:r>
      <w:r w:rsidR="006D0F17">
        <w:rPr>
          <w:rFonts w:hint="cs"/>
          <w:rtl/>
        </w:rPr>
        <w:t xml:space="preserve"> [דעת חידוש העולם, דהיינו שהעולם נברא מכח הרצון הראשון החופשי של האל. מה שנקרא בחכמת הקבלה ספירת כתר</w:t>
      </w:r>
      <w:r w:rsidR="004F4A2A">
        <w:rPr>
          <w:rtl/>
        </w:rPr>
        <w:fldChar w:fldCharType="begin"/>
      </w:r>
      <w:r w:rsidR="004F4A2A">
        <w:instrText xml:space="preserve"> XE "</w:instrText>
      </w:r>
      <w:r w:rsidR="004F4A2A" w:rsidRPr="00B03BB6">
        <w:rPr>
          <w:rFonts w:hint="cs"/>
          <w:rtl/>
        </w:rPr>
        <w:instrText>ספירת כתר וספירת חכמה</w:instrText>
      </w:r>
      <w:r w:rsidR="004F4A2A">
        <w:instrText xml:space="preserve">" </w:instrText>
      </w:r>
      <w:r w:rsidR="004F4A2A">
        <w:rPr>
          <w:rtl/>
        </w:rPr>
        <w:fldChar w:fldCharType="end"/>
      </w:r>
      <w:r w:rsidR="006D0F17">
        <w:rPr>
          <w:rFonts w:hint="cs"/>
          <w:rtl/>
        </w:rPr>
        <w:t>]</w:t>
      </w:r>
      <w:r>
        <w:rPr>
          <w:rtl/>
        </w:rPr>
        <w:t xml:space="preserve"> - עד שיהיה המענה באחרונה כן רצה ית'; או לגזרת חכמתו לפי דעת אחרים כמו שאבאר </w:t>
      </w:r>
      <w:r w:rsidR="006D0F17">
        <w:rPr>
          <w:rFonts w:hint="cs"/>
          <w:rtl/>
        </w:rPr>
        <w:t>[דעת קדמות העולם, דהיינו שהבורא הוא שכל וכל המציאות נגזרת מכוחו בדרך של הכרח שכלי. מה שנקרא בחכמת הקבלה ספירת חכמה]</w:t>
      </w:r>
      <w:r>
        <w:rPr>
          <w:rtl/>
        </w:rPr>
        <w:t xml:space="preserve"> עד שיהיה המענה באחרונה כן גזרה חכמתו</w:t>
      </w:r>
      <w:r w:rsidR="006D0F17">
        <w:rPr>
          <w:rFonts w:hint="cs"/>
          <w:rtl/>
        </w:rPr>
        <w:t>,</w:t>
      </w:r>
      <w:r>
        <w:rPr>
          <w:rtl/>
        </w:rPr>
        <w:t xml:space="preserve"> ולזה יגיע סידור כל תכלית אל רצונו ואל חכמתו לפי שתי הדעות האלה אשר התבאר לפי דעתנו שהם עצמו</w:t>
      </w:r>
      <w:r w:rsidR="006D0F17">
        <w:rPr>
          <w:rFonts w:hint="cs"/>
          <w:rtl/>
        </w:rPr>
        <w:t>,</w:t>
      </w:r>
      <w:r>
        <w:rPr>
          <w:rtl/>
        </w:rPr>
        <w:t xml:space="preserve"> ושאין רצונו וחפצו או חכמתו דברים יוצאים חוץ לעצמו - רצוני לומר שיהיו זולת עצמו</w:t>
      </w:r>
      <w:r w:rsidR="006D0F17">
        <w:rPr>
          <w:rFonts w:hint="cs"/>
          <w:rtl/>
        </w:rPr>
        <w:t xml:space="preserve"> </w:t>
      </w:r>
      <w:r w:rsidR="006D0F17" w:rsidRPr="006D0F17">
        <w:rPr>
          <w:rtl/>
        </w:rPr>
        <w:t>[כמו שביאר במורה נבוכים א' סוף פרק נ</w:t>
      </w:r>
      <w:r w:rsidR="00F055C8">
        <w:rPr>
          <w:rtl/>
        </w:rPr>
        <w:t>"</w:t>
      </w:r>
      <w:r w:rsidR="006D0F17" w:rsidRPr="006D0F17">
        <w:rPr>
          <w:rtl/>
        </w:rPr>
        <w:t>ג]</w:t>
      </w:r>
      <w:r>
        <w:rPr>
          <w:rtl/>
        </w:rPr>
        <w:t xml:space="preserve">. ואם כן הוא ית' </w:t>
      </w:r>
      <w:r w:rsidRPr="006D0F17">
        <w:rPr>
          <w:b/>
          <w:bCs/>
          <w:rtl/>
        </w:rPr>
        <w:t xml:space="preserve">תכלית </w:t>
      </w:r>
      <w:r>
        <w:rPr>
          <w:rtl/>
        </w:rPr>
        <w:t>כל דבר האחרון; ותכלית הכל גם כן - ההדמות בשלמותו כפי היכולת - והוא ענין רצונו אשר הוא עצמו כמו שיתבאר. ובזה נאמר בו שהוא תכלית התכליות:</w:t>
      </w:r>
      <w:r w:rsidR="00F055C8">
        <w:rPr>
          <w:rtl/>
        </w:rPr>
        <w:t>"</w:t>
      </w:r>
      <w:r w:rsidR="00614924">
        <w:rPr>
          <w:rFonts w:hint="cs"/>
          <w:rtl/>
        </w:rPr>
        <w:t xml:space="preserve">  </w:t>
      </w:r>
    </w:p>
  </w:footnote>
  <w:footnote w:id="188">
    <w:p w14:paraId="16F88873" w14:textId="1BC35A5C" w:rsidR="00C40A8E" w:rsidRDefault="00194533" w:rsidP="00380082">
      <w:pPr>
        <w:pStyle w:val="FootnoteText"/>
        <w:rPr>
          <w:rtl/>
        </w:rPr>
      </w:pPr>
      <w:r>
        <w:rPr>
          <w:rStyle w:val="FootnoteReference"/>
        </w:rPr>
        <w:footnoteRef/>
      </w:r>
      <w:r>
        <w:rPr>
          <w:rtl/>
        </w:rPr>
        <w:t xml:space="preserve"> </w:t>
      </w:r>
      <w:r>
        <w:rPr>
          <w:rFonts w:hint="cs"/>
          <w:rtl/>
        </w:rPr>
        <w:t>ארבעת הסיבות</w:t>
      </w:r>
      <w:r w:rsidR="00D76FA2">
        <w:rPr>
          <w:rtl/>
        </w:rPr>
        <w:fldChar w:fldCharType="begin"/>
      </w:r>
      <w:r w:rsidR="00D76FA2">
        <w:instrText xml:space="preserve"> XE "</w:instrText>
      </w:r>
      <w:r w:rsidR="00D76FA2" w:rsidRPr="00226E13">
        <w:rPr>
          <w:rFonts w:hint="cs"/>
          <w:rtl/>
        </w:rPr>
        <w:instrText>ארבעת הסיבות</w:instrText>
      </w:r>
      <w:r w:rsidR="00D76FA2">
        <w:instrText xml:space="preserve">" </w:instrText>
      </w:r>
      <w:r w:rsidR="00D76FA2">
        <w:rPr>
          <w:rtl/>
        </w:rPr>
        <w:fldChar w:fldCharType="end"/>
      </w:r>
      <w:r>
        <w:rPr>
          <w:rFonts w:hint="cs"/>
          <w:rtl/>
        </w:rPr>
        <w:t xml:space="preserve"> למציאות העצם הן:</w:t>
      </w:r>
      <w:r>
        <w:rPr>
          <w:rFonts w:hint="cs"/>
        </w:rPr>
        <w:t xml:space="preserve"> </w:t>
      </w:r>
      <w:r>
        <w:rPr>
          <w:rFonts w:hint="cs"/>
          <w:rtl/>
        </w:rPr>
        <w:t xml:space="preserve">החומר והצורה, הפועל והתכלית. הן ארבע התחלות שנובע מהן ארבע סיבות. </w:t>
      </w:r>
      <w:r w:rsidR="00380082">
        <w:rPr>
          <w:rFonts w:hint="cs"/>
          <w:rtl/>
        </w:rPr>
        <w:t>כך מבואר אצל אריסטו פיזיקה ספר ב' פרק ג'</w:t>
      </w:r>
      <w:r w:rsidR="00C40A8E">
        <w:rPr>
          <w:rFonts w:hint="cs"/>
          <w:rtl/>
        </w:rPr>
        <w:t xml:space="preserve"> ושם פרק ז'</w:t>
      </w:r>
      <w:r w:rsidR="00380082">
        <w:rPr>
          <w:rFonts w:hint="cs"/>
          <w:rtl/>
        </w:rPr>
        <w:t>, ובעוד מקומות.</w:t>
      </w:r>
      <w:r w:rsidR="00C40A8E">
        <w:rPr>
          <w:rFonts w:hint="cs"/>
          <w:rtl/>
        </w:rPr>
        <w:t xml:space="preserve"> </w:t>
      </w:r>
    </w:p>
    <w:p w14:paraId="03190658" w14:textId="77777777" w:rsidR="00844241" w:rsidRDefault="00844241" w:rsidP="00380082">
      <w:pPr>
        <w:pStyle w:val="FootnoteText"/>
        <w:rPr>
          <w:rtl/>
        </w:rPr>
      </w:pPr>
    </w:p>
    <w:p w14:paraId="6F555521" w14:textId="7289C118" w:rsidR="00844241" w:rsidRDefault="00C40A8E" w:rsidP="00380082">
      <w:pPr>
        <w:pStyle w:val="FootnoteText"/>
        <w:rPr>
          <w:rtl/>
        </w:rPr>
      </w:pPr>
      <w:r>
        <w:rPr>
          <w:rFonts w:hint="cs"/>
          <w:rtl/>
        </w:rPr>
        <w:t>(משום מה מפורסם שיש אצל אריסטו ארבע סיבות</w:t>
      </w:r>
      <w:r w:rsidR="009D4C38">
        <w:rPr>
          <w:rtl/>
        </w:rPr>
        <w:fldChar w:fldCharType="begin"/>
      </w:r>
      <w:r w:rsidR="009D4C38">
        <w:instrText xml:space="preserve"> XE "</w:instrText>
      </w:r>
      <w:r w:rsidR="009D4C38" w:rsidRPr="00981315">
        <w:rPr>
          <w:rFonts w:hint="cs"/>
          <w:rtl/>
        </w:rPr>
        <w:instrText xml:space="preserve">פיזיקה ב' ד' הסיבה החמישית </w:instrText>
      </w:r>
      <w:r w:rsidR="009D4C38">
        <w:rPr>
          <w:b/>
          <w:bCs/>
          <w:sz w:val="20"/>
          <w:szCs w:val="20"/>
        </w:rPr>
        <w:instrText>\</w:instrText>
      </w:r>
      <w:r w:rsidR="009D4C38" w:rsidRPr="00981315">
        <w:rPr>
          <w:rFonts w:hint="cs"/>
          <w:rtl/>
        </w:rPr>
        <w:instrText>"מעצמו</w:instrText>
      </w:r>
      <w:r w:rsidR="009D4C38">
        <w:rPr>
          <w:b/>
          <w:bCs/>
          <w:sz w:val="20"/>
          <w:szCs w:val="20"/>
        </w:rPr>
        <w:instrText>\</w:instrText>
      </w:r>
      <w:r w:rsidR="009D4C38" w:rsidRPr="00981315">
        <w:rPr>
          <w:rFonts w:hint="cs"/>
          <w:rtl/>
        </w:rPr>
        <w:instrText>"</w:instrText>
      </w:r>
      <w:r w:rsidR="009D4C38">
        <w:instrText xml:space="preserve">" </w:instrText>
      </w:r>
      <w:r w:rsidR="009D4C38">
        <w:rPr>
          <w:rtl/>
        </w:rPr>
        <w:fldChar w:fldCharType="end"/>
      </w:r>
      <w:r>
        <w:rPr>
          <w:rFonts w:hint="cs"/>
          <w:rtl/>
        </w:rPr>
        <w:t xml:space="preserve">, אבל בפיזיקה ספר ב' אחרי שביאר בפרק ג' את ארבעת הסיבות המפורסמות, המשיך בפרקים ד'-ו' שם לומר שישנה עוד סיבה חמישית, שהיא 'מעצמו' או 'מזל' (במקום אחר הארכתי לדון מה היחס בין שתי סיבות האלה והאם הן סיבה אחת או שתיים). </w:t>
      </w:r>
      <w:r w:rsidR="00614C82">
        <w:rPr>
          <w:rFonts w:hint="cs"/>
          <w:rtl/>
        </w:rPr>
        <w:t xml:space="preserve">ועיין בזה גם במטאפיזיקה ספר אפסילון פרק ג'. </w:t>
      </w:r>
      <w:r>
        <w:rPr>
          <w:rFonts w:hint="cs"/>
          <w:rtl/>
        </w:rPr>
        <w:t>הכוונה היא לדברים שקורים בלי שום סיבה שהשכל יכול לעמוד עליה, ולכן אומרים שקרו במקרה. המדע המטריאליסטי שלנו לא מודה שיש דברים שקורים במקרה בלי סיבה</w:t>
      </w:r>
      <w:r w:rsidR="00844241">
        <w:rPr>
          <w:rFonts w:hint="cs"/>
          <w:rtl/>
        </w:rPr>
        <w:t>.</w:t>
      </w:r>
      <w:r>
        <w:rPr>
          <w:rFonts w:hint="cs"/>
          <w:rtl/>
        </w:rPr>
        <w:t xml:space="preserve"> כל פעם שקורה מקרה, אומרים שיש לו סיבות רק שאיננו יודעים אותן. מקרה טהור ש</w:t>
      </w:r>
      <w:r w:rsidR="00844241">
        <w:rPr>
          <w:rFonts w:hint="cs"/>
          <w:rtl/>
        </w:rPr>
        <w:t xml:space="preserve">באמת </w:t>
      </w:r>
      <w:r>
        <w:rPr>
          <w:rFonts w:hint="cs"/>
          <w:rtl/>
        </w:rPr>
        <w:t>אין לו שום סיבה הוא כגון שפתאום יופיע לפנינו אדם, וידוע לנו בוודאות שהוא לא בא משום מקום ולא נולד משום אישה, ומה שהוא פתאום קיים זה במקרה</w:t>
      </w:r>
      <w:r w:rsidR="00844241">
        <w:rPr>
          <w:rFonts w:hint="cs"/>
          <w:rtl/>
        </w:rPr>
        <w:t>,</w:t>
      </w:r>
      <w:r>
        <w:rPr>
          <w:rFonts w:hint="cs"/>
          <w:rtl/>
        </w:rPr>
        <w:t xml:space="preserve"> </w:t>
      </w:r>
      <w:r w:rsidR="00FD00BF">
        <w:rPr>
          <w:rFonts w:hint="cs"/>
          <w:rtl/>
        </w:rPr>
        <w:t xml:space="preserve">התהוות ספונטנית, לא כתוצאה מסיבה כלשהי שקדמה לה, ולכן גם לא יכולה להיות מוסברת באופן שכלי. </w:t>
      </w:r>
    </w:p>
    <w:p w14:paraId="65544638" w14:textId="71C9257C" w:rsidR="00380082" w:rsidRDefault="00614C82" w:rsidP="00380082">
      <w:pPr>
        <w:pStyle w:val="FootnoteText"/>
        <w:rPr>
          <w:rtl/>
        </w:rPr>
      </w:pPr>
      <w:r>
        <w:rPr>
          <w:rFonts w:hint="cs"/>
          <w:rtl/>
        </w:rPr>
        <w:t>אנחנו נקרא לדבר כזה נס, והמדע לא יכול לקבל שיש ניסים, כלומר איננו מאמינים שאפשרי שמשהו יקרה במקרה. אריסטו אומר שזה לא נס אלא המקרה הוא גם אחת מהסיבות למציאות עצמים ותנועות ובאדם זה שהופיע פתאום סיבתו היא המקרה. לא רק רצון האדם אינו דטרמיניסטי אלא הטבע עצמו אינו דטרמיניסטי (לא קבוע מראש ולא ניתן לחישוב מראש)</w:t>
      </w:r>
      <w:r w:rsidR="00844241">
        <w:rPr>
          <w:rFonts w:hint="cs"/>
          <w:rtl/>
        </w:rPr>
        <w:t>, והמעיין יראה שאי אפשר להפריד בין רצון האדם לטבע מבחינה זו</w:t>
      </w:r>
      <w:r>
        <w:rPr>
          <w:rFonts w:hint="cs"/>
          <w:rtl/>
        </w:rPr>
        <w:t xml:space="preserve">. המקרה או המזל הם הסתכלות על הטבע </w:t>
      </w:r>
      <w:r w:rsidR="00844241">
        <w:rPr>
          <w:rFonts w:hint="cs"/>
          <w:rtl/>
        </w:rPr>
        <w:t xml:space="preserve">על ידי פילוסוף הטבע </w:t>
      </w:r>
      <w:r>
        <w:rPr>
          <w:rFonts w:hint="cs"/>
          <w:rtl/>
        </w:rPr>
        <w:t>וראייה שיש בו התגלות של הרצון האלוהי החופשי</w:t>
      </w:r>
      <w:r w:rsidR="00844241">
        <w:rPr>
          <w:rFonts w:hint="cs"/>
          <w:rtl/>
        </w:rPr>
        <w:t xml:space="preserve">, רק שהסתכלות על מי שרצה שיקרה המקרה היא מחוץ </w:t>
      </w:r>
      <w:r w:rsidR="00844241">
        <w:rPr>
          <w:rFonts w:hint="cs"/>
          <w:rtl/>
        </w:rPr>
        <w:t>לחכמת הטבע ושייכת לחכמת האלוהות, ובחכמת הטבע לא מתבוננים במי שרצה שיקרה המקרה אלא רק במקרה עצמו כמו שמופיע בטבע, ולכן בחכמת הטבע זה נקרא מקרה ולא רצון אלוהי חופשי</w:t>
      </w:r>
      <w:r>
        <w:rPr>
          <w:rFonts w:hint="cs"/>
          <w:rtl/>
        </w:rPr>
        <w:t xml:space="preserve">. </w:t>
      </w:r>
      <w:r w:rsidR="00844241">
        <w:rPr>
          <w:rFonts w:hint="cs"/>
          <w:rtl/>
        </w:rPr>
        <w:t>עיין בזה</w:t>
      </w:r>
      <w:r>
        <w:rPr>
          <w:rFonts w:hint="cs"/>
          <w:rtl/>
        </w:rPr>
        <w:t xml:space="preserve"> </w:t>
      </w:r>
      <w:r w:rsidR="00844241">
        <w:rPr>
          <w:rFonts w:hint="cs"/>
          <w:rtl/>
        </w:rPr>
        <w:t>ב</w:t>
      </w:r>
      <w:r>
        <w:rPr>
          <w:rFonts w:hint="cs"/>
          <w:rtl/>
        </w:rPr>
        <w:t>מורה נבוכים ב' פרק י</w:t>
      </w:r>
      <w:r w:rsidR="00F055C8">
        <w:rPr>
          <w:rtl/>
        </w:rPr>
        <w:t>"</w:t>
      </w:r>
      <w:r>
        <w:rPr>
          <w:rFonts w:hint="cs"/>
          <w:rtl/>
        </w:rPr>
        <w:t>ט</w:t>
      </w:r>
      <w:r w:rsidR="009D4C38">
        <w:rPr>
          <w:rtl/>
        </w:rPr>
        <w:fldChar w:fldCharType="begin"/>
      </w:r>
      <w:r w:rsidR="009D4C38">
        <w:instrText xml:space="preserve"> XE "</w:instrText>
      </w:r>
      <w:r w:rsidR="009D4C38" w:rsidRPr="00C10470">
        <w:rPr>
          <w:rFonts w:hint="cs"/>
          <w:rtl/>
        </w:rPr>
        <w:instrText>מורה נבוכים ב' פרק י</w:instrText>
      </w:r>
      <w:r w:rsidR="009D4C38">
        <w:rPr>
          <w:b/>
          <w:bCs/>
          <w:sz w:val="20"/>
          <w:szCs w:val="20"/>
        </w:rPr>
        <w:instrText>\</w:instrText>
      </w:r>
      <w:r w:rsidR="009D4C38" w:rsidRPr="00C10470">
        <w:rPr>
          <w:rFonts w:hint="cs"/>
          <w:rtl/>
        </w:rPr>
        <w:instrText>"ט</w:instrText>
      </w:r>
      <w:r w:rsidR="009D4C38">
        <w:instrText xml:space="preserve">" </w:instrText>
      </w:r>
      <w:r w:rsidR="009D4C38">
        <w:rPr>
          <w:rtl/>
        </w:rPr>
        <w:fldChar w:fldCharType="end"/>
      </w:r>
      <w:r>
        <w:rPr>
          <w:rFonts w:hint="cs"/>
          <w:rtl/>
        </w:rPr>
        <w:t xml:space="preserve"> (סמוך לסוף הפרק). </w:t>
      </w:r>
      <w:r w:rsidR="0068541B">
        <w:rPr>
          <w:rFonts w:hint="cs"/>
          <w:rtl/>
        </w:rPr>
        <w:t xml:space="preserve">באמת לא יתכן </w:t>
      </w:r>
      <w:r w:rsidR="00844241">
        <w:rPr>
          <w:rFonts w:hint="cs"/>
          <w:rtl/>
        </w:rPr>
        <w:t xml:space="preserve">שיקרה משהו בלי שום סיבה כלל, רק מה שאין לו סיבה </w:t>
      </w:r>
      <w:r w:rsidR="0068541B">
        <w:rPr>
          <w:rFonts w:hint="cs"/>
          <w:rtl/>
        </w:rPr>
        <w:t>מצד הטבע והשכל</w:t>
      </w:r>
      <w:r w:rsidR="00844241">
        <w:rPr>
          <w:rFonts w:hint="cs"/>
          <w:rtl/>
        </w:rPr>
        <w:t xml:space="preserve">, בהכרח סיבתו היא רצון חופשי שרצה שיקרה. </w:t>
      </w:r>
      <w:r>
        <w:rPr>
          <w:rFonts w:hint="cs"/>
          <w:rtl/>
        </w:rPr>
        <w:t>אין כאן מקומו של עניין זה, ובמקומות אחרים הארכתי בביאורו, רק הערתי שארבעת הסיבות המוזכרות כאן הן לפי האמת חמש, ואבן סינא בעקבות אריסטו מפריד את הדיון ב</w:t>
      </w:r>
      <w:r w:rsidR="00844241">
        <w:rPr>
          <w:rFonts w:hint="cs"/>
          <w:rtl/>
        </w:rPr>
        <w:t>סיבה החמישית</w:t>
      </w:r>
      <w:r>
        <w:rPr>
          <w:rFonts w:hint="cs"/>
          <w:rtl/>
        </w:rPr>
        <w:t>)</w:t>
      </w:r>
      <w:r w:rsidR="00844241">
        <w:rPr>
          <w:rFonts w:hint="cs"/>
          <w:rtl/>
        </w:rPr>
        <w:t>)</w:t>
      </w:r>
      <w:r>
        <w:rPr>
          <w:rFonts w:hint="cs"/>
          <w:rtl/>
        </w:rPr>
        <w:t xml:space="preserve"> </w:t>
      </w:r>
      <w:r w:rsidR="00C40A8E">
        <w:rPr>
          <w:rFonts w:hint="cs"/>
          <w:rtl/>
        </w:rPr>
        <w:t xml:space="preserve"> </w:t>
      </w:r>
    </w:p>
    <w:p w14:paraId="564C65F6" w14:textId="77777777" w:rsidR="000652B8" w:rsidRDefault="000652B8" w:rsidP="00380082">
      <w:pPr>
        <w:pStyle w:val="FootnoteText"/>
        <w:rPr>
          <w:rtl/>
        </w:rPr>
      </w:pPr>
    </w:p>
    <w:p w14:paraId="19783435" w14:textId="16751FEC" w:rsidR="006762A9" w:rsidRDefault="00194533" w:rsidP="00380082">
      <w:pPr>
        <w:pStyle w:val="FootnoteText"/>
        <w:rPr>
          <w:rtl/>
        </w:rPr>
      </w:pPr>
      <w:r>
        <w:rPr>
          <w:rFonts w:hint="cs"/>
          <w:rtl/>
        </w:rPr>
        <w:t>למשל</w:t>
      </w:r>
      <w:r w:rsidR="001C24B5">
        <w:rPr>
          <w:rtl/>
        </w:rPr>
        <w:fldChar w:fldCharType="begin"/>
      </w:r>
      <w:r w:rsidR="001C24B5">
        <w:instrText xml:space="preserve"> XE "</w:instrText>
      </w:r>
      <w:r w:rsidR="001C24B5">
        <w:rPr>
          <w:rFonts w:hint="cs"/>
          <w:rtl/>
        </w:rPr>
        <w:instrText>התחלות וסיבות</w:instrText>
      </w:r>
      <w:r w:rsidR="001C24B5">
        <w:instrText xml:space="preserve">" </w:instrText>
      </w:r>
      <w:r w:rsidR="001C24B5">
        <w:rPr>
          <w:rtl/>
        </w:rPr>
        <w:fldChar w:fldCharType="end"/>
      </w:r>
      <w:r>
        <w:rPr>
          <w:rFonts w:hint="cs"/>
          <w:rtl/>
        </w:rPr>
        <w:t xml:space="preserve"> העצם 'אדם' מוגדר מצד שתי הסיבות של חומר וצורה, כחי מדבר. הצורה היא חי (כסוג), ומדבר (מין שכלול בסוג), והחומר הוא הבשר. כדי להבין את הסיבה הצורנית 'חי', צריך להבין את ההתחלה שהיא 'חיים'. ההתחלה היא המציאות של חיים כנמצא מופשט כללי שאינו מוגבל לחיים של משהו מוגדר. </w:t>
      </w:r>
      <w:r w:rsidR="006762A9">
        <w:rPr>
          <w:rFonts w:hint="cs"/>
          <w:rtl/>
        </w:rPr>
        <w:t xml:space="preserve">הבורא עצמו הוא חי (אין זו הגדרה של הבורא. הגדרה פירושה שיש 'חיים' שקיימים כמושג, כמגדיר, כקו שמצדו האחד יש את מה שחי ומצידו השני את מה שאינו חי; והשאלה האם הבורא נכלל בתוך המושג הזה או לא. האם הוא מוגדר כחי או לא. באופן כזה נובע שההגדרה 'חי' מציאותה קודמת לבורא או שווה בקדימותה לו, ושהבורא אינו מופשט באופן מוחלט אלא חלה בו הגדרה. יש אפשרות להעלות על הדעת את מה שאינו חי, והוא יהיה שונה מהבורא, ונמצא שהבורא אינו אחד פשוט מוחלט. </w:t>
      </w:r>
    </w:p>
    <w:p w14:paraId="26CF6E7E" w14:textId="14C7BB36" w:rsidR="009665D3" w:rsidRDefault="006762A9">
      <w:pPr>
        <w:pStyle w:val="FootnoteText"/>
        <w:rPr>
          <w:rtl/>
        </w:rPr>
      </w:pPr>
      <w:r>
        <w:rPr>
          <w:rFonts w:hint="cs"/>
          <w:rtl/>
        </w:rPr>
        <w:t xml:space="preserve">לומר על מים שהם חיים זו הגדרה, יש 'חום' כמושג שונה מהמושג 'מים', ומים יכולים להיות חמים או לא (מבחינה לוגית, לא אכפת אם מצד חוקי הטבע זה אפשרי). ההגדרה חום כיש שכלי קיימת מחוץ למים, לא מאוחרת להם, והיא מגדירה אותם. אבל אם אומרים שהמים לחים זו לא הגדרה. מים שאינם לחים הם לא מים כלל. לחות היא עצם המים, זה כמו מילה נרדפת למילה מים (אפשר לדקדק להעיר על דברי כאן אבל זו רק דוגמה). באופן כזה אפשר לומר על הבורא שהוא חי, המילה 'חי' היא כמו מילה נרדפת למילה אלוה. </w:t>
      </w:r>
      <w:r w:rsidR="009665D3">
        <w:rPr>
          <w:rFonts w:hint="cs"/>
          <w:rtl/>
        </w:rPr>
        <w:t>עיין בזה מורה נבוכים א' סוף פרק נ</w:t>
      </w:r>
      <w:r w:rsidR="00F055C8">
        <w:rPr>
          <w:rtl/>
        </w:rPr>
        <w:t>"</w:t>
      </w:r>
      <w:r w:rsidR="009665D3">
        <w:rPr>
          <w:rFonts w:hint="cs"/>
          <w:rtl/>
        </w:rPr>
        <w:t>ג ולא כאן המקום להאריך בזה</w:t>
      </w:r>
      <w:r w:rsidR="009D4C38">
        <w:rPr>
          <w:rFonts w:hint="cs"/>
          <w:rtl/>
        </w:rPr>
        <w:t xml:space="preserve"> (</w:t>
      </w:r>
      <w:r w:rsidR="009D4C38" w:rsidRPr="009D4C38">
        <w:rPr>
          <w:rtl/>
        </w:rPr>
        <w:t xml:space="preserve">עיין עוד בזה באדם חי </w:t>
      </w:r>
      <w:hyperlink r:id="rId43" w:history="1">
        <w:r w:rsidR="009D4C38" w:rsidRPr="009D4C38">
          <w:rPr>
            <w:rStyle w:val="Hyperlink"/>
            <w:rtl/>
          </w:rPr>
          <w:t>רשימה 197</w:t>
        </w:r>
      </w:hyperlink>
      <w:r w:rsidR="009D4C38" w:rsidRPr="009D4C38">
        <w:rPr>
          <w:rtl/>
        </w:rPr>
        <w:t xml:space="preserve"> ושם </w:t>
      </w:r>
      <w:hyperlink r:id="rId44" w:history="1">
        <w:r w:rsidR="009D4C38" w:rsidRPr="009D4C38">
          <w:rPr>
            <w:rStyle w:val="Hyperlink"/>
            <w:rtl/>
          </w:rPr>
          <w:t>רשימה 76</w:t>
        </w:r>
      </w:hyperlink>
      <w:r w:rsidR="009D4C38">
        <w:rPr>
          <w:rFonts w:hint="cs"/>
          <w:rtl/>
        </w:rPr>
        <w:t>)</w:t>
      </w:r>
      <w:r w:rsidR="009665D3">
        <w:rPr>
          <w:rFonts w:hint="cs"/>
          <w:rtl/>
        </w:rPr>
        <w:t>.</w:t>
      </w:r>
    </w:p>
    <w:p w14:paraId="4155D074" w14:textId="6E5AB138" w:rsidR="00194533" w:rsidRDefault="009665D3">
      <w:pPr>
        <w:pStyle w:val="FootnoteText"/>
        <w:rPr>
          <w:rtl/>
        </w:rPr>
      </w:pPr>
      <w:r>
        <w:rPr>
          <w:rFonts w:hint="cs"/>
          <w:rtl/>
        </w:rPr>
        <w:t xml:space="preserve">חיים מופשטים כלליים, שזו באמת האלוהות, הם ההתחלה של הצורה של בעלי החיים. כשההתחלה המופשטת הזו מצטמצמת להשתייך לגוף </w:t>
      </w:r>
      <w:r w:rsidR="009C463A">
        <w:rPr>
          <w:rFonts w:hint="cs"/>
          <w:rtl/>
        </w:rPr>
        <w:t>מסוים</w:t>
      </w:r>
      <w:r>
        <w:rPr>
          <w:rFonts w:hint="cs"/>
          <w:rtl/>
        </w:rPr>
        <w:t xml:space="preserve"> שהחומר שלו מגביל את מציאותו לזמן ומקום ומידות ואיכויות </w:t>
      </w:r>
      <w:r w:rsidR="009C463A">
        <w:rPr>
          <w:rFonts w:hint="cs"/>
          <w:rtl/>
        </w:rPr>
        <w:t>מסוימים</w:t>
      </w:r>
      <w:r>
        <w:rPr>
          <w:rFonts w:hint="cs"/>
          <w:rtl/>
        </w:rPr>
        <w:t xml:space="preserve">, אז היא נקראת סיבה למציאותו של אותו גוף. ההתחלה והסיבה אינן שני עניינים נפרדים. ההתחלה היא העניין מצד עצמו, וכל העניינים מצד עצמם הם מופשטים ולא מוגדרים והם גילוי האלוהות. כשגילוי האלוהות המופשט הזה שהוא אור, נכנס לכלי, כלומר מקבל גבולות, אז הוא נקרא 'סיבה' לכלי הזה. לפעמים כשאומרים 'התחלה' נכלל בזה גם 'סיבה', כי ההתחלה לא נתפשת בגילוי המופשט שלה אלא רק מצד בהצטמצמותה לכלי, גוף, עצם, מוגבל. כמו כן לפעמים כשאומרים 'סיבה' נכלל בזה גם 'התחלה', כי הסיבה מכילה בתוכה את אור ההתחלה שהוא שורשה, וממנו הווייתה ומהותה.  </w:t>
      </w:r>
      <w:r w:rsidR="006762A9">
        <w:rPr>
          <w:rFonts w:hint="cs"/>
          <w:rtl/>
        </w:rPr>
        <w:t xml:space="preserve">   </w:t>
      </w:r>
      <w:r w:rsidR="00194533">
        <w:rPr>
          <w:rFonts w:hint="cs"/>
          <w:rtl/>
        </w:rPr>
        <w:t xml:space="preserve"> </w:t>
      </w:r>
    </w:p>
    <w:p w14:paraId="050744CC" w14:textId="43E3E4BF" w:rsidR="00FA0605" w:rsidRDefault="00194533">
      <w:pPr>
        <w:pStyle w:val="FootnoteText"/>
        <w:rPr>
          <w:rtl/>
        </w:rPr>
      </w:pPr>
      <w:r>
        <w:rPr>
          <w:rFonts w:hint="cs"/>
          <w:rtl/>
        </w:rPr>
        <w:t>כל מדע מברר את מושא חקירתו,</w:t>
      </w:r>
      <w:r w:rsidR="00770BB4">
        <w:rPr>
          <w:rFonts w:hint="cs"/>
          <w:rtl/>
        </w:rPr>
        <w:t xml:space="preserve"> והמסקנה מגיעה למדע שתחתיו כהנחה ראשונית, כמו מושכל ראשון. למשל מדע הביולוגיה חוקר באריכות ופירוט על מבנה החיידקים ולומד מזה אילו חומרים הורגים אילו חיידקים ולמה הם הורגים אותם. אחת המסקנות היא שחומר פלוני מתאים להיות חומר מחטא מחיידקים לחומר פלוני לשימוש פלוני. מדע הנדסת המזון לוקח את מסקנות הבירור של הביולוגיה כהנחות יסוד ראשוניות, הוא משתמש בעובדה שחומר פלוני הוא החומר המשמר של מאכל פלוני כדי לבנות תהליך ייצור של מאכל </w:t>
      </w:r>
      <w:r w:rsidR="009C463A">
        <w:rPr>
          <w:rFonts w:hint="cs"/>
          <w:rtl/>
        </w:rPr>
        <w:t>מסוים</w:t>
      </w:r>
      <w:r w:rsidR="00770BB4">
        <w:rPr>
          <w:rFonts w:hint="cs"/>
          <w:rtl/>
        </w:rPr>
        <w:t xml:space="preserve">. </w:t>
      </w:r>
      <w:r w:rsidR="00FA0605">
        <w:rPr>
          <w:rFonts w:hint="cs"/>
          <w:rtl/>
        </w:rPr>
        <w:t>אם נשאל מהנדס מזון על אילו מנגנוני חיים של החיידק פועל החומר המשמר ואיך הוא פועל שם ואיך זה ממית את החיידק, זה לא מעניינו כמהנדס מזון, לא צריך לדעת את זה כדי לקבל הסמכה כמהנדס מזון.</w:t>
      </w:r>
    </w:p>
    <w:p w14:paraId="297CF118" w14:textId="02E75A22" w:rsidR="00194533" w:rsidRDefault="00FA0605">
      <w:pPr>
        <w:pStyle w:val="FootnoteText"/>
      </w:pPr>
      <w:r>
        <w:rPr>
          <w:rFonts w:hint="cs"/>
          <w:rtl/>
        </w:rPr>
        <w:t xml:space="preserve">כך הפילוסופיה של הטבע מקבלת כהנחות ראשוניות את מה שעולה מהבירור והחקירה של המדע הראשון, מדע האלוהות (שנקרא מטאפיזיקה), העוסק במופשט.   </w:t>
      </w:r>
    </w:p>
  </w:footnote>
  <w:footnote w:id="189">
    <w:p w14:paraId="39236809" w14:textId="540E0BF7" w:rsidR="00B876DE" w:rsidRDefault="00052300">
      <w:pPr>
        <w:pStyle w:val="FootnoteText"/>
        <w:rPr>
          <w:rtl/>
        </w:rPr>
      </w:pPr>
      <w:r>
        <w:rPr>
          <w:rStyle w:val="FootnoteReference"/>
        </w:rPr>
        <w:footnoteRef/>
      </w:r>
      <w:r>
        <w:rPr>
          <w:rtl/>
        </w:rPr>
        <w:t xml:space="preserve"> </w:t>
      </w:r>
      <w:r>
        <w:rPr>
          <w:rFonts w:hint="cs"/>
          <w:rtl/>
        </w:rPr>
        <w:t>היא ההעדר</w:t>
      </w:r>
      <w:r w:rsidR="00D76FA2">
        <w:rPr>
          <w:rtl/>
        </w:rPr>
        <w:fldChar w:fldCharType="begin"/>
      </w:r>
      <w:r w:rsidR="00D76FA2">
        <w:instrText xml:space="preserve"> XE "</w:instrText>
      </w:r>
      <w:r w:rsidR="00D76FA2" w:rsidRPr="006D0E01">
        <w:rPr>
          <w:rFonts w:hint="cs"/>
          <w:rtl/>
        </w:rPr>
        <w:instrText>ההעדר</w:instrText>
      </w:r>
      <w:r w:rsidR="00D76FA2">
        <w:instrText xml:space="preserve">" </w:instrText>
      </w:r>
      <w:r w:rsidR="00D76FA2">
        <w:rPr>
          <w:rtl/>
        </w:rPr>
        <w:fldChar w:fldCharType="end"/>
      </w:r>
      <w:r>
        <w:rPr>
          <w:rFonts w:hint="cs"/>
          <w:rtl/>
        </w:rPr>
        <w:t xml:space="preserve">, </w:t>
      </w:r>
      <w:r w:rsidRPr="00052300">
        <w:rPr>
          <w:rtl/>
        </w:rPr>
        <w:t xml:space="preserve"> </w:t>
      </w:r>
      <w:r w:rsidRPr="00912054">
        <w:rPr>
          <w:rFonts w:asciiTheme="majorBidi" w:hAnsiTheme="majorBidi" w:cstheme="majorBidi"/>
        </w:rPr>
        <w:t>sterēsis</w:t>
      </w:r>
      <w:r>
        <w:rPr>
          <w:rFonts w:hint="cs"/>
          <w:rtl/>
        </w:rPr>
        <w:t>. עיין מטאפיזיקה למבדא סוף פרק ב', ובפיזיקה א' פרק</w:t>
      </w:r>
      <w:r w:rsidR="00F70D1B">
        <w:rPr>
          <w:rFonts w:hint="cs"/>
          <w:rtl/>
        </w:rPr>
        <w:t>ים</w:t>
      </w:r>
      <w:r>
        <w:rPr>
          <w:rFonts w:hint="cs"/>
          <w:rtl/>
        </w:rPr>
        <w:t xml:space="preserve"> ז'</w:t>
      </w:r>
      <w:r w:rsidR="00F70D1B">
        <w:rPr>
          <w:rFonts w:hint="cs"/>
          <w:rtl/>
        </w:rPr>
        <w:t>-ט'</w:t>
      </w:r>
      <w:r w:rsidR="00571FE0">
        <w:rPr>
          <w:rFonts w:hint="cs"/>
          <w:rtl/>
        </w:rPr>
        <w:t>, ושם ספר ה' וספר ו'</w:t>
      </w:r>
      <w:r>
        <w:rPr>
          <w:rFonts w:hint="cs"/>
          <w:rtl/>
        </w:rPr>
        <w:t>.</w:t>
      </w:r>
      <w:r w:rsidR="00F64732">
        <w:rPr>
          <w:rFonts w:hint="cs"/>
          <w:rtl/>
        </w:rPr>
        <w:t xml:space="preserve"> </w:t>
      </w:r>
      <w:bookmarkStart w:id="131" w:name="_Hlk97212222"/>
      <w:r w:rsidR="00B876DE">
        <w:rPr>
          <w:rFonts w:hint="cs"/>
          <w:rtl/>
        </w:rPr>
        <w:t>לשון המורה נבוכים א' י</w:t>
      </w:r>
      <w:r w:rsidR="00F055C8">
        <w:rPr>
          <w:rtl/>
        </w:rPr>
        <w:t>"</w:t>
      </w:r>
      <w:r w:rsidR="00B876DE">
        <w:rPr>
          <w:rFonts w:hint="cs"/>
          <w:rtl/>
        </w:rPr>
        <w:t>ז</w:t>
      </w:r>
      <w:r w:rsidR="0022275F">
        <w:rPr>
          <w:rtl/>
        </w:rPr>
        <w:fldChar w:fldCharType="begin"/>
      </w:r>
      <w:r w:rsidR="0022275F">
        <w:instrText xml:space="preserve"> XE "</w:instrText>
      </w:r>
      <w:r w:rsidR="0022275F" w:rsidRPr="00555492">
        <w:rPr>
          <w:rFonts w:hint="cs"/>
          <w:rtl/>
        </w:rPr>
        <w:instrText>מורה נבוכים א' י</w:instrText>
      </w:r>
      <w:r w:rsidR="0022275F">
        <w:rPr>
          <w:b/>
          <w:bCs/>
          <w:sz w:val="20"/>
          <w:szCs w:val="20"/>
        </w:rPr>
        <w:instrText>\</w:instrText>
      </w:r>
      <w:r w:rsidR="0022275F" w:rsidRPr="00555492">
        <w:rPr>
          <w:rFonts w:hint="cs"/>
          <w:rtl/>
        </w:rPr>
        <w:instrText>"ז</w:instrText>
      </w:r>
      <w:r w:rsidR="0022275F">
        <w:instrText xml:space="preserve">" </w:instrText>
      </w:r>
      <w:r w:rsidR="0022275F">
        <w:rPr>
          <w:rtl/>
        </w:rPr>
        <w:fldChar w:fldCharType="end"/>
      </w:r>
      <w:r w:rsidR="00B876DE">
        <w:rPr>
          <w:rFonts w:hint="cs"/>
          <w:rtl/>
        </w:rPr>
        <w:t>:</w:t>
      </w:r>
    </w:p>
    <w:p w14:paraId="3AA59FB1" w14:textId="383E0E7E" w:rsidR="00B876DE" w:rsidRDefault="00F055C8">
      <w:pPr>
        <w:pStyle w:val="FootnoteText"/>
        <w:rPr>
          <w:rtl/>
        </w:rPr>
      </w:pPr>
      <w:r>
        <w:rPr>
          <w:rtl/>
        </w:rPr>
        <w:t>"</w:t>
      </w:r>
      <w:r w:rsidR="00B876DE" w:rsidRPr="00B876DE">
        <w:rPr>
          <w:rtl/>
        </w:rPr>
        <w:t>ואתה יודע כי התחלות הנמצאות ההוות הנפסדות שלשה. החומר והצורה וההעדר המיוחד, אשר הוא מחובר לחומר לעולם ולולא התחברות ההעדר לחומר לא הגיעה אליו הצורה, ובזה הצד היה ההעדר מן ההתחלות. ועם הגיע הצורה, יסור ההעדר ההוא, כלומר העדר הצורה ההיא המגעת, ויחובר אליו העדר אחר וכן לעולם, כמו שהתבאר בחכמת הטבע.</w:t>
      </w:r>
      <w:r>
        <w:rPr>
          <w:rtl/>
        </w:rPr>
        <w:t>"</w:t>
      </w:r>
      <w:r w:rsidR="00F70D1B">
        <w:rPr>
          <w:rFonts w:hint="cs"/>
          <w:rtl/>
        </w:rPr>
        <w:t xml:space="preserve"> ועיין גם במורה נבוכים ג' י'. </w:t>
      </w:r>
    </w:p>
    <w:bookmarkEnd w:id="131"/>
    <w:p w14:paraId="73F7D8BC" w14:textId="6361C730" w:rsidR="00052300" w:rsidRDefault="00F64732">
      <w:pPr>
        <w:pStyle w:val="FootnoteText"/>
      </w:pPr>
      <w:r>
        <w:rPr>
          <w:rFonts w:hint="cs"/>
          <w:rtl/>
        </w:rPr>
        <w:t xml:space="preserve">ארבעת הסיבות שהן הפועל הצורה החומר והתכלית הן סיבות המציאות של העצם במנוחתו. באופן כללי וגס לתנועת העצם נדרשת סיבה נוספת שהיא ההעדר, כלומר שיהיה הבדל בין המצב של העצם לפני השינוי למצבו אחרי השינוי. ההבדל מחייב שהמצבים ישללו זה את זה, כלומר שתהיה ביניהם סתירה בדרך כלשהי. השינוי מלבן ללא-לבן מחייב שהמצב של 'לבן' והמצב של 'לא-לבן' לא יוכלו להתקיים ביחד אלא ישללו זה את זה, האחד הוא ניגוד או סתירה לחברו. אבן סינא דן בזה כאן בדייקנות ופירוט.   </w:t>
      </w:r>
    </w:p>
  </w:footnote>
  <w:footnote w:id="190">
    <w:p w14:paraId="6CF051CF" w14:textId="7D95095A" w:rsidR="00427C63" w:rsidRDefault="00427C63">
      <w:pPr>
        <w:pStyle w:val="FootnoteText"/>
      </w:pPr>
      <w:r>
        <w:rPr>
          <w:rStyle w:val="FootnoteReference"/>
        </w:rPr>
        <w:footnoteRef/>
      </w:r>
      <w:r>
        <w:rPr>
          <w:rtl/>
        </w:rPr>
        <w:t xml:space="preserve"> </w:t>
      </w:r>
      <w:r w:rsidRPr="00427C63">
        <w:rPr>
          <w:rFonts w:ascii="Arial" w:hAnsi="Arial" w:cs="Arial" w:hint="cs"/>
          <w:rtl/>
          <w:lang w:bidi="ar-SA"/>
        </w:rPr>
        <w:t>مستكملا</w:t>
      </w:r>
      <w:r w:rsidRPr="00427C63">
        <w:rPr>
          <w:rtl/>
        </w:rPr>
        <w:t>. בשפה המודרנית המשמעות ה</w:t>
      </w:r>
      <w:r>
        <w:rPr>
          <w:rFonts w:hint="cs"/>
          <w:rtl/>
        </w:rPr>
        <w:t>שכיח</w:t>
      </w:r>
      <w:r w:rsidRPr="00427C63">
        <w:rPr>
          <w:rtl/>
        </w:rPr>
        <w:t xml:space="preserve">ה היא </w:t>
      </w:r>
      <w:r w:rsidR="00274DEE">
        <w:rPr>
          <w:rFonts w:hint="cs"/>
          <w:rtl/>
        </w:rPr>
        <w:t>'</w:t>
      </w:r>
      <w:r w:rsidRPr="00427C63">
        <w:rPr>
          <w:rtl/>
        </w:rPr>
        <w:t>עדכון</w:t>
      </w:r>
      <w:r w:rsidR="00274DEE">
        <w:rPr>
          <w:rFonts w:hint="cs"/>
          <w:rtl/>
        </w:rPr>
        <w:t>', והיא גם אפשרות נכונה לתרגם כאן</w:t>
      </w:r>
      <w:r w:rsidRPr="00427C63">
        <w:rPr>
          <w:rtl/>
        </w:rPr>
        <w:t xml:space="preserve">. </w:t>
      </w:r>
      <w:r w:rsidR="00435B78">
        <w:rPr>
          <w:rFonts w:hint="cs"/>
          <w:rtl/>
        </w:rPr>
        <w:t xml:space="preserve">מדובר בסוג של שינוי שבו נוסף שינוי חדש לעצם בלי שנחסר ממנו דבר מה שהיה בו מקודם, וכמו שיתבאר בהמשך. </w:t>
      </w:r>
    </w:p>
  </w:footnote>
  <w:footnote w:id="191">
    <w:p w14:paraId="0091AAE4" w14:textId="1F9C9183" w:rsidR="00CD32FB" w:rsidRDefault="00CD32FB">
      <w:pPr>
        <w:pStyle w:val="FootnoteText"/>
      </w:pPr>
      <w:r>
        <w:rPr>
          <w:rStyle w:val="FootnoteReference"/>
        </w:rPr>
        <w:footnoteRef/>
      </w:r>
      <w:r>
        <w:rPr>
          <w:rtl/>
        </w:rPr>
        <w:t xml:space="preserve"> </w:t>
      </w:r>
      <w:r>
        <w:rPr>
          <w:rFonts w:hint="cs"/>
          <w:rtl/>
        </w:rPr>
        <w:t xml:space="preserve">הנושא של </w:t>
      </w:r>
      <w:r w:rsidR="00870DF0">
        <w:rPr>
          <w:rFonts w:hint="cs"/>
          <w:rtl/>
        </w:rPr>
        <w:t>'</w:t>
      </w:r>
      <w:r>
        <w:rPr>
          <w:rFonts w:hint="cs"/>
          <w:rtl/>
        </w:rPr>
        <w:t>שינוי</w:t>
      </w:r>
      <w:r w:rsidR="00870DF0">
        <w:rPr>
          <w:rFonts w:hint="cs"/>
          <w:rtl/>
        </w:rPr>
        <w:t>'</w:t>
      </w:r>
      <w:r>
        <w:rPr>
          <w:rFonts w:hint="cs"/>
          <w:rtl/>
        </w:rPr>
        <w:t xml:space="preserve"> נדון </w:t>
      </w:r>
      <w:r w:rsidR="00FF2F30">
        <w:rPr>
          <w:rFonts w:hint="cs"/>
          <w:rtl/>
        </w:rPr>
        <w:t xml:space="preserve">בעיקר </w:t>
      </w:r>
      <w:r>
        <w:rPr>
          <w:rFonts w:hint="cs"/>
          <w:rtl/>
        </w:rPr>
        <w:t xml:space="preserve">בפיזיקה של אריסטו ספר </w:t>
      </w:r>
      <w:r w:rsidR="004D4010">
        <w:rPr>
          <w:rFonts w:hint="cs"/>
          <w:rtl/>
        </w:rPr>
        <w:t xml:space="preserve">א' פרק ז', שם ספר ה', </w:t>
      </w:r>
      <w:r w:rsidR="00CB187A">
        <w:rPr>
          <w:rFonts w:hint="cs"/>
          <w:rtl/>
        </w:rPr>
        <w:t>ב</w:t>
      </w:r>
      <w:r w:rsidR="00F055C8">
        <w:rPr>
          <w:rtl/>
        </w:rPr>
        <w:t>"</w:t>
      </w:r>
      <w:r w:rsidR="00CB187A">
        <w:rPr>
          <w:rFonts w:hint="cs"/>
          <w:rtl/>
        </w:rPr>
        <w:t>על ההתהוות וההפסד</w:t>
      </w:r>
      <w:r w:rsidR="00F055C8">
        <w:rPr>
          <w:rtl/>
        </w:rPr>
        <w:t>"</w:t>
      </w:r>
      <w:r w:rsidR="00CB187A">
        <w:rPr>
          <w:rFonts w:hint="cs"/>
          <w:rtl/>
        </w:rPr>
        <w:t xml:space="preserve"> ספר א' פרקים ד'- ה' (</w:t>
      </w:r>
      <w:r w:rsidR="00CB187A">
        <w:rPr>
          <w:rFonts w:hint="cs"/>
          <w:rtl/>
        </w:rPr>
        <w:t xml:space="preserve">319ב והלאה), </w:t>
      </w:r>
      <w:r w:rsidR="00B85138">
        <w:rPr>
          <w:rFonts w:hint="cs"/>
          <w:rtl/>
        </w:rPr>
        <w:t xml:space="preserve">ובמטאפיזיקה למבדא פרקים ב'-ג'. </w:t>
      </w:r>
      <w:r>
        <w:rPr>
          <w:rFonts w:hint="cs"/>
          <w:rtl/>
        </w:rPr>
        <w:t xml:space="preserve">ועיין מה שכתבתי </w:t>
      </w:r>
      <w:r w:rsidR="00870DF0">
        <w:rPr>
          <w:rFonts w:hint="cs"/>
          <w:rtl/>
        </w:rPr>
        <w:t>ב</w:t>
      </w:r>
      <w:r>
        <w:rPr>
          <w:rFonts w:hint="cs"/>
          <w:rtl/>
        </w:rPr>
        <w:t xml:space="preserve">זה </w:t>
      </w:r>
      <w:hyperlink r:id="rId45" w:history="1">
        <w:r w:rsidRPr="00CD32FB">
          <w:rPr>
            <w:rStyle w:val="Hyperlink"/>
            <w:rFonts w:hint="cs"/>
            <w:rtl/>
          </w:rPr>
          <w:t>כאן</w:t>
        </w:r>
      </w:hyperlink>
      <w:r>
        <w:rPr>
          <w:rFonts w:hint="cs"/>
          <w:rtl/>
        </w:rPr>
        <w:t xml:space="preserve">. </w:t>
      </w:r>
    </w:p>
  </w:footnote>
  <w:footnote w:id="192">
    <w:p w14:paraId="1057CD93" w14:textId="2CA69C0A" w:rsidR="00CA277A" w:rsidRDefault="00CA277A">
      <w:pPr>
        <w:pStyle w:val="FootnoteText"/>
      </w:pPr>
      <w:r>
        <w:rPr>
          <w:rStyle w:val="FootnoteReference"/>
        </w:rPr>
        <w:footnoteRef/>
      </w:r>
      <w:r>
        <w:rPr>
          <w:rtl/>
        </w:rPr>
        <w:t xml:space="preserve"> </w:t>
      </w:r>
      <w:r>
        <w:rPr>
          <w:rFonts w:hint="cs"/>
          <w:rtl/>
        </w:rPr>
        <w:t xml:space="preserve">למשל אם </w:t>
      </w:r>
      <w:r w:rsidR="00842338">
        <w:rPr>
          <w:rFonts w:hint="cs"/>
          <w:rtl/>
        </w:rPr>
        <w:t>אדם מזדקן</w:t>
      </w:r>
      <w:r>
        <w:rPr>
          <w:rFonts w:hint="cs"/>
          <w:rtl/>
        </w:rPr>
        <w:t xml:space="preserve"> ו</w:t>
      </w:r>
      <w:r w:rsidR="00842338">
        <w:rPr>
          <w:rFonts w:hint="cs"/>
          <w:rtl/>
        </w:rPr>
        <w:t xml:space="preserve">צבע שערו משתנה משחור ללבן, </w:t>
      </w:r>
      <w:r>
        <w:rPr>
          <w:rFonts w:hint="cs"/>
          <w:rtl/>
        </w:rPr>
        <w:t>המאפיין '</w:t>
      </w:r>
      <w:r w:rsidR="00842338">
        <w:rPr>
          <w:rFonts w:hint="cs"/>
          <w:rtl/>
        </w:rPr>
        <w:t>שחור</w:t>
      </w:r>
      <w:r>
        <w:rPr>
          <w:rFonts w:hint="cs"/>
          <w:rtl/>
        </w:rPr>
        <w:t>' חדל מלהתקיים, ונעשה מאפיין אחר שהוא '</w:t>
      </w:r>
      <w:r w:rsidR="00842338">
        <w:rPr>
          <w:rFonts w:hint="cs"/>
          <w:rtl/>
        </w:rPr>
        <w:t>לבן</w:t>
      </w:r>
      <w:r>
        <w:rPr>
          <w:rFonts w:hint="cs"/>
          <w:rtl/>
        </w:rPr>
        <w:t>'</w:t>
      </w:r>
      <w:r w:rsidR="00E848F1">
        <w:rPr>
          <w:rFonts w:hint="cs"/>
          <w:rtl/>
        </w:rPr>
        <w:t xml:space="preserve"> (אינני דן כאן בהבדל בין ההסתכלויות האם יש כאן 'אדם' שהמאפיין שלו 'צבע שיער שחור', או שיש כאן שיער שהמאפיין שלו צבע שחור)</w:t>
      </w:r>
      <w:r>
        <w:rPr>
          <w:rFonts w:hint="cs"/>
          <w:rtl/>
        </w:rPr>
        <w:t>. כדי שלא נאמר שזה לא כמו ש</w:t>
      </w:r>
      <w:r w:rsidR="00842338">
        <w:rPr>
          <w:rFonts w:hint="cs"/>
          <w:rtl/>
        </w:rPr>
        <w:t>זה</w:t>
      </w:r>
      <w:r>
        <w:rPr>
          <w:rFonts w:hint="cs"/>
          <w:rtl/>
        </w:rPr>
        <w:t xml:space="preserve"> מת ומשהו אחר נולד, אלא זה</w:t>
      </w:r>
      <w:r w:rsidR="001A0CFB">
        <w:rPr>
          <w:rFonts w:hint="cs"/>
          <w:rtl/>
        </w:rPr>
        <w:t xml:space="preserve"> נשאר</w:t>
      </w:r>
      <w:r>
        <w:rPr>
          <w:rFonts w:hint="cs"/>
          <w:rtl/>
        </w:rPr>
        <w:t xml:space="preserve"> אותו משהו שרק השתנה, צריך שיהיה מצע </w:t>
      </w:r>
      <w:r w:rsidR="00842338">
        <w:rPr>
          <w:rFonts w:hint="cs"/>
          <w:rtl/>
        </w:rPr>
        <w:t>שהיה לפני השינוי ו</w:t>
      </w:r>
      <w:r>
        <w:rPr>
          <w:rFonts w:hint="cs"/>
          <w:rtl/>
        </w:rPr>
        <w:t>נשאר אחרי השינוי</w:t>
      </w:r>
      <w:r w:rsidR="00E848F1">
        <w:rPr>
          <w:rFonts w:hint="cs"/>
          <w:rtl/>
        </w:rPr>
        <w:t>. מצע זה</w:t>
      </w:r>
      <w:r>
        <w:rPr>
          <w:rFonts w:hint="cs"/>
          <w:rtl/>
        </w:rPr>
        <w:t xml:space="preserve"> הוא ההגדרה של מהות ה</w:t>
      </w:r>
      <w:r w:rsidR="00842338">
        <w:rPr>
          <w:rFonts w:hint="cs"/>
          <w:rtl/>
        </w:rPr>
        <w:t>אדם</w:t>
      </w:r>
      <w:r>
        <w:rPr>
          <w:rFonts w:hint="cs"/>
          <w:rtl/>
        </w:rPr>
        <w:t xml:space="preserve"> כעצם ש</w:t>
      </w:r>
      <w:r w:rsidR="00E848F1">
        <w:rPr>
          <w:rFonts w:hint="cs"/>
          <w:rtl/>
        </w:rPr>
        <w:t xml:space="preserve">במהותו (אפשר לומר גם 'עצמותו' מבחינת החילוק בין עצם למקרה) </w:t>
      </w:r>
      <w:r>
        <w:rPr>
          <w:rFonts w:hint="cs"/>
          <w:rtl/>
        </w:rPr>
        <w:t>לא תלוי בצבע</w:t>
      </w:r>
      <w:r w:rsidR="00842338">
        <w:rPr>
          <w:rFonts w:hint="cs"/>
          <w:rtl/>
        </w:rPr>
        <w:t xml:space="preserve"> שערו</w:t>
      </w:r>
      <w:r>
        <w:rPr>
          <w:rFonts w:hint="cs"/>
          <w:rtl/>
        </w:rPr>
        <w:t xml:space="preserve"> (</w:t>
      </w:r>
      <w:r w:rsidR="00E848F1">
        <w:rPr>
          <w:rFonts w:hint="cs"/>
          <w:rtl/>
        </w:rPr>
        <w:t>בעצמותו הוא 'חי מדבר', ו</w:t>
      </w:r>
      <w:r>
        <w:rPr>
          <w:rFonts w:hint="cs"/>
          <w:rtl/>
        </w:rPr>
        <w:t>צבעו הוא רק מקרה לו)</w:t>
      </w:r>
      <w:r w:rsidR="00E848F1">
        <w:rPr>
          <w:rFonts w:hint="cs"/>
          <w:rtl/>
        </w:rPr>
        <w:t xml:space="preserve">. האדם נקרא מצע לשינוי כי הוא </w:t>
      </w:r>
      <w:r w:rsidR="001A0CFB">
        <w:rPr>
          <w:rFonts w:hint="cs"/>
          <w:rtl/>
        </w:rPr>
        <w:t xml:space="preserve">קיים לפני השינוי ואחרי השינוי, </w:t>
      </w:r>
      <w:r w:rsidR="00E848F1">
        <w:rPr>
          <w:rFonts w:hint="cs"/>
          <w:rtl/>
        </w:rPr>
        <w:t xml:space="preserve">כביכול הוא הנייר שהשינוי נכתב עליו, </w:t>
      </w:r>
      <w:r w:rsidR="001A0CFB">
        <w:rPr>
          <w:rFonts w:hint="cs"/>
          <w:rtl/>
        </w:rPr>
        <w:t>ו</w:t>
      </w:r>
      <w:r w:rsidR="00E848F1">
        <w:rPr>
          <w:rFonts w:hint="cs"/>
          <w:rtl/>
        </w:rPr>
        <w:t>כיוון שיש כאן מצע</w:t>
      </w:r>
      <w:r w:rsidR="001A0CFB">
        <w:rPr>
          <w:rFonts w:hint="cs"/>
          <w:rtl/>
        </w:rPr>
        <w:t xml:space="preserve"> זה רק שינוי ולא התהוות והפסד</w:t>
      </w:r>
      <w:r>
        <w:rPr>
          <w:rFonts w:hint="cs"/>
          <w:rtl/>
        </w:rPr>
        <w:t xml:space="preserve">.  </w:t>
      </w:r>
    </w:p>
  </w:footnote>
  <w:footnote w:id="193">
    <w:p w14:paraId="2B644FF1" w14:textId="77ED7DCC" w:rsidR="000F3DA3" w:rsidRDefault="000F3DA3">
      <w:pPr>
        <w:pStyle w:val="FootnoteText"/>
      </w:pPr>
      <w:r>
        <w:rPr>
          <w:rStyle w:val="FootnoteReference"/>
        </w:rPr>
        <w:footnoteRef/>
      </w:r>
      <w:r>
        <w:rPr>
          <w:rtl/>
        </w:rPr>
        <w:t xml:space="preserve"> </w:t>
      </w:r>
      <w:r>
        <w:rPr>
          <w:rFonts w:hint="cs"/>
          <w:rtl/>
        </w:rPr>
        <w:t>המצב שה</w:t>
      </w:r>
      <w:r w:rsidR="00842338">
        <w:rPr>
          <w:rFonts w:hint="cs"/>
          <w:rtl/>
        </w:rPr>
        <w:t>שיער שחור</w:t>
      </w:r>
      <w:r>
        <w:rPr>
          <w:rFonts w:hint="cs"/>
          <w:rtl/>
        </w:rPr>
        <w:t>.</w:t>
      </w:r>
    </w:p>
  </w:footnote>
  <w:footnote w:id="194">
    <w:p w14:paraId="0953501F" w14:textId="38DAFDA5" w:rsidR="000F3DA3" w:rsidRDefault="000F3DA3">
      <w:pPr>
        <w:pStyle w:val="FootnoteText"/>
      </w:pPr>
      <w:r>
        <w:rPr>
          <w:rStyle w:val="FootnoteReference"/>
        </w:rPr>
        <w:footnoteRef/>
      </w:r>
      <w:r>
        <w:rPr>
          <w:rtl/>
        </w:rPr>
        <w:t xml:space="preserve"> </w:t>
      </w:r>
      <w:r>
        <w:rPr>
          <w:rFonts w:hint="cs"/>
          <w:rtl/>
        </w:rPr>
        <w:t>המצב ש</w:t>
      </w:r>
      <w:r w:rsidR="00842338">
        <w:rPr>
          <w:rFonts w:hint="cs"/>
          <w:rtl/>
        </w:rPr>
        <w:t>השיער לבן</w:t>
      </w:r>
      <w:r>
        <w:rPr>
          <w:rFonts w:hint="cs"/>
          <w:rtl/>
        </w:rPr>
        <w:t xml:space="preserve">. </w:t>
      </w:r>
    </w:p>
  </w:footnote>
  <w:footnote w:id="195">
    <w:p w14:paraId="35F0C3F1" w14:textId="77777777" w:rsidR="00651180" w:rsidRDefault="00651180">
      <w:pPr>
        <w:pStyle w:val="FootnoteText"/>
        <w:rPr>
          <w:rtl/>
        </w:rPr>
      </w:pPr>
      <w:r>
        <w:rPr>
          <w:rStyle w:val="FootnoteReference"/>
        </w:rPr>
        <w:footnoteRef/>
      </w:r>
      <w:r>
        <w:rPr>
          <w:rtl/>
        </w:rPr>
        <w:t xml:space="preserve"> </w:t>
      </w:r>
      <w:r>
        <w:rPr>
          <w:rFonts w:hint="cs"/>
          <w:rtl/>
        </w:rPr>
        <w:t xml:space="preserve">זה המצע, שהוא המהות של העצם. אדם מהותו שהוא 'חי מדבר', והמהות הזו יכולה לקבל מקרים של צבע שיער שחור או צבע שיער לבן. ההגדרה של מקרה הוא מה שהמהות של העצם לא תלויה בו והיא לא תשתנה אם המקרה משתנה. לכן מצד מה שהאדם הוא 'אדם' אין חילוק אם צבע עורו שחור או לבן. אם האדם מת והפך לגוייה, הרי מה שמגדיר את המהות שלו השתנה, </w:t>
      </w:r>
      <w:r>
        <w:rPr>
          <w:rFonts w:hint="cs"/>
          <w:rtl/>
        </w:rPr>
        <w:t>הגוויה אינה חי מדבר. לכן איננו אומרים שהאדם השתנה להיות גווייה, אלא שהאדם בטל מהמציאות לחלוטין. והתחדש עצם חדש שלא היה מקודם שהוא הגווייה. ויש כאן הפסד והתהוות ולא שינוי.</w:t>
      </w:r>
    </w:p>
    <w:p w14:paraId="43CE8553" w14:textId="3486D1FA" w:rsidR="005043C9" w:rsidRDefault="005043C9">
      <w:pPr>
        <w:pStyle w:val="FootnoteText"/>
        <w:rPr>
          <w:rtl/>
        </w:rPr>
      </w:pPr>
      <w:r>
        <w:rPr>
          <w:rFonts w:hint="cs"/>
          <w:rtl/>
        </w:rPr>
        <w:t xml:space="preserve">אם אנו רואים בביצה ובאפרוח שני עצמים נפרדים במהותם, הרי בקיעת האפרוח מהביצה הוא הפסד הביצה והתהוות של עצם אחר שהוא אפרוח. אם במהות ביצה ואפרוח הם עצם אחד (על דרך שקרח ומים נוזלים במהותם הם אחד), אז בקיעת האפרוח היא שינוי של אותו עצם ויש כאן שינוי ולא הפסד והתהוות. </w:t>
      </w:r>
      <w:r w:rsidR="00A018D1">
        <w:rPr>
          <w:rFonts w:hint="cs"/>
          <w:rtl/>
        </w:rPr>
        <w:t xml:space="preserve">אם זה רק שינוי אפשר שגדרי הלכה </w:t>
      </w:r>
      <w:r w:rsidR="009C463A">
        <w:rPr>
          <w:rFonts w:hint="cs"/>
          <w:rtl/>
        </w:rPr>
        <w:t>מסוימים</w:t>
      </w:r>
      <w:r w:rsidR="00A018D1">
        <w:rPr>
          <w:rFonts w:hint="cs"/>
          <w:rtl/>
        </w:rPr>
        <w:t xml:space="preserve"> שהיו בביצה נשארים גם באפרוח, ואם זה הפסד והתהוות אז הגדרים ההלכתיים של ביצה לא יעברו לאפרוח. </w:t>
      </w:r>
    </w:p>
    <w:p w14:paraId="6917E1A7" w14:textId="1369BFE9" w:rsidR="00651180" w:rsidRDefault="005043C9">
      <w:pPr>
        <w:pStyle w:val="FootnoteText"/>
      </w:pPr>
      <w:r>
        <w:rPr>
          <w:rFonts w:hint="cs"/>
          <w:rtl/>
        </w:rPr>
        <w:t>רבי יוסף ראזין, הרוגוצ'ובר, תלה בשאלה זו דעות בפרשנות סוגיות הלכתיות בתלמוד. בדומה לזה הוא שאל שאם נכרי וישראל הם אותו עצם, דהיינו 'אדם', ולהיות נכרי או ישראל אלה רק מאפיינים של אותו עצם, אז הגיור הוא רק שינוי ולא הפסד והתהוות</w:t>
      </w:r>
      <w:r w:rsidR="00A018D1">
        <w:rPr>
          <w:rFonts w:hint="cs"/>
          <w:rtl/>
        </w:rPr>
        <w:t>, ויש לזה משמעויות הלכתיות עד כמה בישראל החדש יש שייכות למה שהיה כשהיה נכרי</w:t>
      </w:r>
      <w:r>
        <w:rPr>
          <w:rFonts w:hint="cs"/>
          <w:rtl/>
        </w:rPr>
        <w:t xml:space="preserve">. אם נכרי וישראל הם שתי הגדרות עצם מהותיות שונות אז הגיור הוא הפסד </w:t>
      </w:r>
      <w:r w:rsidR="00A018D1">
        <w:rPr>
          <w:rFonts w:hint="cs"/>
          <w:rtl/>
        </w:rPr>
        <w:t>(</w:t>
      </w:r>
      <w:r>
        <w:rPr>
          <w:rFonts w:hint="cs"/>
          <w:rtl/>
        </w:rPr>
        <w:t>ביטול מציאות גמור</w:t>
      </w:r>
      <w:r w:rsidR="00A018D1">
        <w:rPr>
          <w:rFonts w:hint="cs"/>
          <w:rtl/>
        </w:rPr>
        <w:t>)</w:t>
      </w:r>
      <w:r>
        <w:rPr>
          <w:rFonts w:hint="cs"/>
          <w:rtl/>
        </w:rPr>
        <w:t>, של העצם שבמהותו הוא 'נכרי', והתהוות חדשה של עצם חדש לגמרי שבמהותו הוא 'ישראל'</w:t>
      </w:r>
      <w:r w:rsidR="00A018D1">
        <w:rPr>
          <w:rFonts w:hint="cs"/>
          <w:rtl/>
        </w:rPr>
        <w:t>, ואז לא תהיה שייכות בישראל החדש למה שהיה כשהיה נכרי</w:t>
      </w:r>
      <w:r>
        <w:rPr>
          <w:rFonts w:hint="cs"/>
          <w:rtl/>
        </w:rPr>
        <w:t>. וכך חקר בסוגיות גם של עבד שהשתחרר ועוד, ופירש לפי זה את דברי חכמי התלמוד ב</w:t>
      </w:r>
      <w:r w:rsidR="00A018D1">
        <w:rPr>
          <w:rFonts w:hint="cs"/>
          <w:rtl/>
        </w:rPr>
        <w:t xml:space="preserve">כמה </w:t>
      </w:r>
      <w:r>
        <w:rPr>
          <w:rFonts w:hint="cs"/>
          <w:rtl/>
        </w:rPr>
        <w:t>סוגיות</w:t>
      </w:r>
      <w:r w:rsidR="00A018D1">
        <w:rPr>
          <w:rFonts w:hint="cs"/>
          <w:rtl/>
        </w:rPr>
        <w:t xml:space="preserve"> הלכתיות</w:t>
      </w:r>
      <w:r w:rsidR="00C66117">
        <w:rPr>
          <w:rFonts w:hint="cs"/>
          <w:rtl/>
        </w:rPr>
        <w:t xml:space="preserve"> (עוד בזה עיין </w:t>
      </w:r>
      <w:hyperlink r:id="rId46" w:history="1">
        <w:r w:rsidR="00C66117" w:rsidRPr="00C66117">
          <w:rPr>
            <w:rStyle w:val="Hyperlink"/>
            <w:rFonts w:hint="cs"/>
            <w:rtl/>
          </w:rPr>
          <w:t>כאן</w:t>
        </w:r>
      </w:hyperlink>
      <w:r w:rsidR="00C66117">
        <w:rPr>
          <w:rFonts w:hint="cs"/>
          <w:rtl/>
        </w:rPr>
        <w:t>)</w:t>
      </w:r>
      <w:r w:rsidR="007139A6">
        <w:rPr>
          <w:rFonts w:hint="cs"/>
          <w:rtl/>
        </w:rPr>
        <w:t>ו</w:t>
      </w:r>
      <w:hyperlink r:id="rId47" w:history="1">
        <w:r w:rsidR="007139A6" w:rsidRPr="007139A6">
          <w:rPr>
            <w:rStyle w:val="Hyperlink"/>
            <w:rFonts w:hint="cs"/>
            <w:rtl/>
          </w:rPr>
          <w:t>כאן</w:t>
        </w:r>
      </w:hyperlink>
      <w:r>
        <w:rPr>
          <w:rFonts w:hint="cs"/>
          <w:rtl/>
        </w:rPr>
        <w:t xml:space="preserve">.   </w:t>
      </w:r>
      <w:r w:rsidR="00651180">
        <w:rPr>
          <w:rFonts w:hint="cs"/>
          <w:rtl/>
        </w:rPr>
        <w:t xml:space="preserve">  </w:t>
      </w:r>
    </w:p>
  </w:footnote>
  <w:footnote w:id="196">
    <w:p w14:paraId="7FACA79F" w14:textId="4456DD41" w:rsidR="00F619D2" w:rsidRDefault="00F619D2">
      <w:pPr>
        <w:pStyle w:val="FootnoteText"/>
      </w:pPr>
      <w:r>
        <w:rPr>
          <w:rStyle w:val="FootnoteReference"/>
        </w:rPr>
        <w:footnoteRef/>
      </w:r>
      <w:r>
        <w:rPr>
          <w:rtl/>
        </w:rPr>
        <w:t xml:space="preserve"> </w:t>
      </w:r>
      <w:r>
        <w:rPr>
          <w:rFonts w:hint="cs"/>
          <w:rtl/>
        </w:rPr>
        <w:t xml:space="preserve">המעיל היה לבן ואחר כך השתנה צבעו לשחור. יש שלושה דברים: המעיל עצמו, הצבע הלבן, והצבע השחור. </w:t>
      </w:r>
    </w:p>
  </w:footnote>
  <w:footnote w:id="197">
    <w:p w14:paraId="1CAFB1AF" w14:textId="48E7809E" w:rsidR="00E719D1" w:rsidRDefault="00E719D1">
      <w:pPr>
        <w:pStyle w:val="FootnoteText"/>
        <w:rPr>
          <w:rtl/>
        </w:rPr>
      </w:pPr>
      <w:r>
        <w:rPr>
          <w:rStyle w:val="FootnoteReference"/>
        </w:rPr>
        <w:footnoteRef/>
      </w:r>
      <w:r>
        <w:rPr>
          <w:rtl/>
        </w:rPr>
        <w:t xml:space="preserve"> </w:t>
      </w:r>
      <w:r>
        <w:rPr>
          <w:rFonts w:hint="cs"/>
          <w:rtl/>
        </w:rPr>
        <w:t xml:space="preserve">השלילה של המצב החדש, </w:t>
      </w:r>
      <w:r>
        <w:rPr>
          <w:rFonts w:hint="cs"/>
          <w:rtl/>
        </w:rPr>
        <w:t xml:space="preserve">שהיתה בזמן שהיה המצב קודם, היא מה שמגדיר שהשינוי הוא שינוי. </w:t>
      </w:r>
      <w:r w:rsidR="001505F2">
        <w:rPr>
          <w:rFonts w:hint="cs"/>
          <w:rtl/>
        </w:rPr>
        <w:t xml:space="preserve">כלומר צריך שתהיה סתירה בין המצב הישן למצד החדש. </w:t>
      </w:r>
      <w:r>
        <w:rPr>
          <w:rFonts w:hint="cs"/>
          <w:rtl/>
        </w:rPr>
        <w:t>למשל גוף חומרי אחד מהמאפיינים שלו הוא הזמן שבו הוא נמצא. מה שהמיטה הייתה קיימת ביום ראשון, מונח בזה שלילה של היות המיטה קיימת ביום שני (יום ראשון הוא לא יום שני, ו</w:t>
      </w:r>
      <w:r w:rsidR="001505F2">
        <w:rPr>
          <w:rFonts w:hint="cs"/>
          <w:rtl/>
        </w:rPr>
        <w:t xml:space="preserve">עובדת </w:t>
      </w:r>
      <w:r>
        <w:rPr>
          <w:rFonts w:hint="cs"/>
          <w:rtl/>
        </w:rPr>
        <w:t>קיו</w:t>
      </w:r>
      <w:r w:rsidR="001505F2">
        <w:rPr>
          <w:rFonts w:hint="cs"/>
          <w:rtl/>
        </w:rPr>
        <w:t>מו</w:t>
      </w:r>
      <w:r>
        <w:rPr>
          <w:rFonts w:hint="cs"/>
          <w:rtl/>
        </w:rPr>
        <w:t xml:space="preserve"> של גוף ביום ראשון שולל</w:t>
      </w:r>
      <w:r w:rsidR="001505F2">
        <w:rPr>
          <w:rFonts w:hint="cs"/>
          <w:rtl/>
        </w:rPr>
        <w:t>ת</w:t>
      </w:r>
      <w:r>
        <w:rPr>
          <w:rFonts w:hint="cs"/>
          <w:rtl/>
        </w:rPr>
        <w:t xml:space="preserve"> את עובדת </w:t>
      </w:r>
      <w:r w:rsidR="001505F2">
        <w:rPr>
          <w:rFonts w:hint="cs"/>
          <w:rtl/>
        </w:rPr>
        <w:t>קיומו</w:t>
      </w:r>
      <w:r>
        <w:rPr>
          <w:rFonts w:hint="cs"/>
          <w:rtl/>
        </w:rPr>
        <w:t xml:space="preserve"> ביום שני. </w:t>
      </w:r>
      <w:r w:rsidR="001505F2">
        <w:rPr>
          <w:rFonts w:hint="cs"/>
          <w:rtl/>
        </w:rPr>
        <w:t>לא שאם היה קיים ביום ראשון כבר אי אפשר שיהיה קיים אחר כך ביום שני, אלא השלילה היא שזו</w:t>
      </w:r>
      <w:r>
        <w:rPr>
          <w:rFonts w:hint="cs"/>
          <w:rtl/>
        </w:rPr>
        <w:t xml:space="preserve"> סתירה להיות קיים גם ביום ראשון וגם ביום שני בבת אחת). אחרי שהגיע יום שני הזמן שבו נמצאת המיטה השתנה להיות יום שני, וכיוון שיום ראשון פירושו 'לא יום שני', יש כאן שינוי במאפיין הזמן של המטה. </w:t>
      </w:r>
    </w:p>
    <w:p w14:paraId="0A24A8B9" w14:textId="0F2B6073" w:rsidR="00E719D1" w:rsidRDefault="00E719D1">
      <w:pPr>
        <w:pStyle w:val="FootnoteText"/>
      </w:pPr>
      <w:r>
        <w:rPr>
          <w:rFonts w:hint="cs"/>
          <w:rtl/>
        </w:rPr>
        <w:t xml:space="preserve">לעומת זאת יישות מתימטית אין לה מאפיין של זמן. </w:t>
      </w:r>
      <w:r w:rsidR="00B661E4">
        <w:rPr>
          <w:rFonts w:hint="cs"/>
          <w:rtl/>
        </w:rPr>
        <w:t xml:space="preserve">לכן מה שהיא קיימת ביום ראשון אינו שלילה למה שהיא קיימת ביום שני. המספר 'חמש' קיים גם ביום ראשון וגם ביום שני בלי שקיום ביום אחד ישלול קיום ביום אחר, </w:t>
      </w:r>
      <w:r w:rsidR="00C50484">
        <w:rPr>
          <w:rFonts w:hint="cs"/>
          <w:rtl/>
        </w:rPr>
        <w:t xml:space="preserve">כלומר אין זו סתירה שיהיה קיים גם ביום ראשון וגם ביום שני בבת אחת. </w:t>
      </w:r>
      <w:r w:rsidR="00B661E4">
        <w:rPr>
          <w:rFonts w:hint="cs"/>
          <w:rtl/>
        </w:rPr>
        <w:t xml:space="preserve">לכן במעבר מיום ראשון ליום שני לא חל שום שינוי במספר 'חמש'.   </w:t>
      </w:r>
    </w:p>
  </w:footnote>
  <w:footnote w:id="198">
    <w:p w14:paraId="6F5BF877" w14:textId="357FBCE1" w:rsidR="00B7155A" w:rsidRDefault="00B7155A">
      <w:pPr>
        <w:pStyle w:val="FootnoteText"/>
      </w:pPr>
      <w:r>
        <w:rPr>
          <w:rStyle w:val="FootnoteReference"/>
        </w:rPr>
        <w:footnoteRef/>
      </w:r>
      <w:r>
        <w:rPr>
          <w:rtl/>
        </w:rPr>
        <w:t xml:space="preserve"> </w:t>
      </w:r>
      <w:r>
        <w:rPr>
          <w:rFonts w:hint="cs"/>
          <w:rtl/>
        </w:rPr>
        <w:t>על ההבדל העמוק בין 'בכח' ו'אפשרות', שציין אותו הרמב</w:t>
      </w:r>
      <w:r w:rsidR="00F055C8">
        <w:rPr>
          <w:rtl/>
        </w:rPr>
        <w:t>"</w:t>
      </w:r>
      <w:r>
        <w:rPr>
          <w:rFonts w:hint="cs"/>
          <w:rtl/>
        </w:rPr>
        <w:t>ם באגרתו</w:t>
      </w:r>
      <w:r w:rsidR="00861095">
        <w:rPr>
          <w:rFonts w:hint="cs"/>
          <w:rtl/>
        </w:rPr>
        <w:t xml:space="preserve"> לאבן תיבון וכתב עליו שהוא </w:t>
      </w:r>
      <w:r w:rsidR="00F055C8">
        <w:rPr>
          <w:rtl/>
        </w:rPr>
        <w:t>"</w:t>
      </w:r>
      <w:r w:rsidR="00861095">
        <w:rPr>
          <w:rFonts w:hint="cs"/>
          <w:rtl/>
        </w:rPr>
        <w:t>עניין דק וקשה מאוד על הפילוסופים הבקיאים</w:t>
      </w:r>
      <w:r w:rsidR="00F055C8">
        <w:rPr>
          <w:rtl/>
        </w:rPr>
        <w:t>"</w:t>
      </w:r>
      <w:r>
        <w:rPr>
          <w:rFonts w:hint="cs"/>
          <w:rtl/>
        </w:rPr>
        <w:t xml:space="preserve">, עיין </w:t>
      </w:r>
      <w:r w:rsidR="00861095">
        <w:rPr>
          <w:rFonts w:hint="cs"/>
          <w:rtl/>
        </w:rPr>
        <w:t xml:space="preserve">ביאור היטב </w:t>
      </w:r>
      <w:r>
        <w:rPr>
          <w:rFonts w:hint="cs"/>
          <w:rtl/>
        </w:rPr>
        <w:t xml:space="preserve">בעיונים בפילוסופיה אריסטוטלית </w:t>
      </w:r>
      <w:hyperlink r:id="rId48" w:history="1">
        <w:r w:rsidRPr="00B7155A">
          <w:rPr>
            <w:rStyle w:val="Hyperlink"/>
            <w:rFonts w:hint="cs"/>
            <w:rtl/>
          </w:rPr>
          <w:t>רשימה 62</w:t>
        </w:r>
      </w:hyperlink>
      <w:r w:rsidR="00861095">
        <w:rPr>
          <w:rFonts w:hint="cs"/>
          <w:rtl/>
        </w:rPr>
        <w:t xml:space="preserve">, ושם </w:t>
      </w:r>
      <w:hyperlink r:id="rId49" w:history="1">
        <w:r w:rsidR="00861095" w:rsidRPr="00861095">
          <w:rPr>
            <w:rStyle w:val="Hyperlink"/>
            <w:rFonts w:hint="cs"/>
            <w:rtl/>
          </w:rPr>
          <w:t>רשימה 3</w:t>
        </w:r>
      </w:hyperlink>
      <w:r w:rsidR="00861095">
        <w:rPr>
          <w:rFonts w:hint="cs"/>
          <w:rtl/>
        </w:rPr>
        <w:t>.</w:t>
      </w:r>
      <w:r>
        <w:rPr>
          <w:rFonts w:hint="cs"/>
          <w:rtl/>
        </w:rPr>
        <w:t xml:space="preserve"> </w:t>
      </w:r>
    </w:p>
  </w:footnote>
  <w:footnote w:id="199">
    <w:p w14:paraId="7C41E0C9" w14:textId="190A45E4" w:rsidR="00E435E8" w:rsidRDefault="00E435E8">
      <w:pPr>
        <w:pStyle w:val="FootnoteText"/>
      </w:pPr>
      <w:r>
        <w:rPr>
          <w:rStyle w:val="FootnoteReference"/>
        </w:rPr>
        <w:footnoteRef/>
      </w:r>
      <w:r>
        <w:rPr>
          <w:rtl/>
        </w:rPr>
        <w:t xml:space="preserve"> </w:t>
      </w:r>
      <w:r>
        <w:rPr>
          <w:rFonts w:hint="cs"/>
          <w:rtl/>
        </w:rPr>
        <w:t xml:space="preserve">אבדה ממנו המנוחה, אבל זה לא נחשב אבדן של דבר מה כיוון שמנוחה אינה אלא רק העדר תנועה ולא עניין שקיים באופן חיובי. יש מקומות באריסטו שמבואר מהם שהתנועה היא מה שקיים באופן חיובי ומנוחה אינה אלא רק העדר תנועה ולא דבר שקיים בעצמו. ויש מקומות מועטים שמבואר להיפך. מצד הטבע הארצי התנועה היא היש החיובי והמנוחה היא ההעדר, כי שורש המציאות של העצמים בעלי החומר הוא בתנועה, עיין בזה בעיונים בפילוסופיה אריסטוטלית </w:t>
      </w:r>
      <w:hyperlink r:id="rId50" w:history="1">
        <w:r w:rsidRPr="00EA375B">
          <w:rPr>
            <w:rStyle w:val="Hyperlink"/>
            <w:rFonts w:hint="cs"/>
            <w:rtl/>
          </w:rPr>
          <w:t>רשימה 35</w:t>
        </w:r>
      </w:hyperlink>
      <w:r>
        <w:rPr>
          <w:rFonts w:hint="cs"/>
          <w:rtl/>
        </w:rPr>
        <w:t xml:space="preserve"> במאמר </w:t>
      </w:r>
      <w:r w:rsidR="00F055C8">
        <w:rPr>
          <w:rtl/>
        </w:rPr>
        <w:t>"</w:t>
      </w:r>
      <w:r>
        <w:rPr>
          <w:rFonts w:hint="cs"/>
          <w:rtl/>
        </w:rPr>
        <w:t xml:space="preserve">התנועה יסוד </w:t>
      </w:r>
      <w:r w:rsidR="009C463A">
        <w:rPr>
          <w:rFonts w:hint="cs"/>
          <w:rtl/>
        </w:rPr>
        <w:t>ההוויה</w:t>
      </w:r>
      <w:r w:rsidR="00F055C8">
        <w:rPr>
          <w:rtl/>
        </w:rPr>
        <w:t>"</w:t>
      </w:r>
      <w:r w:rsidR="00EA375B">
        <w:rPr>
          <w:rFonts w:hint="cs"/>
        </w:rPr>
        <w:t xml:space="preserve"> </w:t>
      </w:r>
      <w:r w:rsidR="00EA375B">
        <w:rPr>
          <w:rFonts w:hint="cs"/>
          <w:rtl/>
        </w:rPr>
        <w:t>שנמצא בתוך הרשימה</w:t>
      </w:r>
      <w:r>
        <w:rPr>
          <w:rFonts w:hint="cs"/>
          <w:rtl/>
        </w:rPr>
        <w:t xml:space="preserve">. לעומת זאת בעולם המופשט וכגון השכלים הנפרדים, ואף הישויות </w:t>
      </w:r>
      <w:r>
        <w:rPr>
          <w:rFonts w:hint="cs"/>
          <w:rtl/>
        </w:rPr>
        <w:t xml:space="preserve">המתימטיות, המציאות היא נצחית, אין בה שום שינוי או תנועה, ושם התנועה היא העדר מציאות ולא מציאות חיובית.  </w:t>
      </w:r>
    </w:p>
  </w:footnote>
  <w:footnote w:id="200">
    <w:p w14:paraId="235E969C" w14:textId="74672186" w:rsidR="00B617EB" w:rsidRDefault="00B617EB">
      <w:pPr>
        <w:pStyle w:val="FootnoteText"/>
      </w:pPr>
      <w:r>
        <w:rPr>
          <w:rStyle w:val="FootnoteReference"/>
        </w:rPr>
        <w:footnoteRef/>
      </w:r>
      <w:r>
        <w:rPr>
          <w:rtl/>
        </w:rPr>
        <w:t xml:space="preserve"> </w:t>
      </w:r>
      <w:r w:rsidR="00CA4420" w:rsidRPr="00CA4420">
        <w:rPr>
          <w:rtl/>
        </w:rPr>
        <w:t>לַלּוּחַ</w:t>
      </w:r>
      <w:r>
        <w:rPr>
          <w:rFonts w:hint="cs"/>
          <w:rtl/>
        </w:rPr>
        <w:t xml:space="preserve"> נוסף כתב, וה</w:t>
      </w:r>
      <w:r w:rsidR="00CA4420">
        <w:rPr>
          <w:rFonts w:hint="cs"/>
          <w:rtl/>
        </w:rPr>
        <w:t>לוח</w:t>
      </w:r>
      <w:r>
        <w:rPr>
          <w:rFonts w:hint="cs"/>
          <w:rtl/>
        </w:rPr>
        <w:t xml:space="preserve"> לא איבד שום דבר ש</w:t>
      </w:r>
      <w:r w:rsidR="00CA4420">
        <w:rPr>
          <w:rFonts w:hint="cs"/>
          <w:rtl/>
        </w:rPr>
        <w:t xml:space="preserve">היה </w:t>
      </w:r>
      <w:r>
        <w:rPr>
          <w:rFonts w:hint="cs"/>
          <w:rtl/>
        </w:rPr>
        <w:t xml:space="preserve">נמצא </w:t>
      </w:r>
      <w:r w:rsidR="00CA4420">
        <w:rPr>
          <w:rFonts w:hint="cs"/>
          <w:rtl/>
        </w:rPr>
        <w:t xml:space="preserve">בו </w:t>
      </w:r>
      <w:r>
        <w:rPr>
          <w:rFonts w:hint="cs"/>
          <w:rtl/>
        </w:rPr>
        <w:t xml:space="preserve">באופן חיובי, אלא </w:t>
      </w:r>
      <w:r w:rsidR="00CA4420">
        <w:rPr>
          <w:rFonts w:hint="cs"/>
          <w:rtl/>
        </w:rPr>
        <w:t xml:space="preserve">איבד </w:t>
      </w:r>
      <w:r>
        <w:rPr>
          <w:rFonts w:hint="cs"/>
          <w:rtl/>
        </w:rPr>
        <w:t>רק את ההעדר של כתב (מה שנחשב שהוא איבד את ההעדר של כתב הוא משום שגם כשהיה ללא כתב, היה בו פוטנציאל שייכתב עליו כתב. העדר הוא העדר של משהו, המשהו הזה צריך להיות קיים כפוטנציאל</w:t>
      </w:r>
      <w:r w:rsidR="00CA4420">
        <w:rPr>
          <w:rFonts w:hint="cs"/>
          <w:rtl/>
        </w:rPr>
        <w:t>, ורק אז מה שהוא נעדר בפועל נחשב העדר</w:t>
      </w:r>
      <w:r>
        <w:rPr>
          <w:rFonts w:hint="cs"/>
          <w:rtl/>
        </w:rPr>
        <w:t xml:space="preserve">. למשל בלוח </w:t>
      </w:r>
      <w:r>
        <w:rPr>
          <w:rFonts w:hint="cs"/>
          <w:rtl/>
        </w:rPr>
        <w:t xml:space="preserve">הצפחה אין העדר של תנועה כלפי מעלה (כמו יסוד האש), כי אין בו פוטנציאל כזה. אבל אם הוא מונח על שולחן יש בו העדר של תנועה כלפי מטה, כי מכיוון שהוא מיסוד העפר יש בו פוטנציאל לנוע כלפי מטה). </w:t>
      </w:r>
    </w:p>
  </w:footnote>
  <w:footnote w:id="201">
    <w:p w14:paraId="2F082749" w14:textId="776D991D" w:rsidR="00B67E2E" w:rsidRDefault="00B67E2E">
      <w:pPr>
        <w:pStyle w:val="FootnoteText"/>
      </w:pPr>
      <w:r>
        <w:rPr>
          <w:rStyle w:val="FootnoteReference"/>
        </w:rPr>
        <w:footnoteRef/>
      </w:r>
      <w:r>
        <w:rPr>
          <w:rtl/>
        </w:rPr>
        <w:t xml:space="preserve"> </w:t>
      </w:r>
      <w:r>
        <w:rPr>
          <w:rFonts w:hint="cs"/>
          <w:rtl/>
        </w:rPr>
        <w:t xml:space="preserve">כאן יותר נוח היה לכתוב 'עדכון', אבל שמרתי על עקביות ולא שיניתי את המונח. </w:t>
      </w:r>
    </w:p>
  </w:footnote>
  <w:footnote w:id="202">
    <w:p w14:paraId="4CE3B79B" w14:textId="29D8C2D9" w:rsidR="00725065" w:rsidRDefault="00725065">
      <w:pPr>
        <w:pStyle w:val="FootnoteText"/>
      </w:pPr>
      <w:r>
        <w:rPr>
          <w:rStyle w:val="FootnoteReference"/>
        </w:rPr>
        <w:footnoteRef/>
      </w:r>
      <w:r>
        <w:rPr>
          <w:rtl/>
        </w:rPr>
        <w:t xml:space="preserve"> </w:t>
      </w:r>
      <w:r>
        <w:rPr>
          <w:rFonts w:hint="cs"/>
          <w:rtl/>
        </w:rPr>
        <w:t xml:space="preserve">הגוף שעמד ואז נע. לוח </w:t>
      </w:r>
      <w:r>
        <w:rPr>
          <w:rFonts w:hint="cs"/>
          <w:rtl/>
        </w:rPr>
        <w:t xml:space="preserve">הצפחה שהיה ריק ונכתב בו. </w:t>
      </w:r>
    </w:p>
  </w:footnote>
  <w:footnote w:id="203">
    <w:p w14:paraId="1EDED37A" w14:textId="2B4823C4" w:rsidR="00725065" w:rsidRDefault="00725065">
      <w:pPr>
        <w:pStyle w:val="FootnoteText"/>
      </w:pPr>
      <w:r>
        <w:rPr>
          <w:rStyle w:val="FootnoteReference"/>
        </w:rPr>
        <w:footnoteRef/>
      </w:r>
      <w:r>
        <w:rPr>
          <w:rtl/>
        </w:rPr>
        <w:t xml:space="preserve"> </w:t>
      </w:r>
      <w:r>
        <w:rPr>
          <w:rFonts w:hint="cs"/>
          <w:rtl/>
        </w:rPr>
        <w:t xml:space="preserve">בגוף - התנועה, בלוח </w:t>
      </w:r>
      <w:r>
        <w:rPr>
          <w:rFonts w:hint="cs"/>
          <w:rtl/>
        </w:rPr>
        <w:t>הצפחה - הכתב.</w:t>
      </w:r>
    </w:p>
  </w:footnote>
  <w:footnote w:id="204">
    <w:p w14:paraId="17F9ABCF" w14:textId="0F62CBBA" w:rsidR="00725065" w:rsidRDefault="00725065">
      <w:pPr>
        <w:pStyle w:val="FootnoteText"/>
      </w:pPr>
      <w:r>
        <w:rPr>
          <w:rStyle w:val="FootnoteReference"/>
        </w:rPr>
        <w:footnoteRef/>
      </w:r>
      <w:r>
        <w:rPr>
          <w:rtl/>
        </w:rPr>
        <w:t xml:space="preserve"> </w:t>
      </w:r>
      <w:r>
        <w:rPr>
          <w:rFonts w:hint="cs"/>
          <w:rtl/>
        </w:rPr>
        <w:t xml:space="preserve">בגוף - העדר התנועה, בלוח </w:t>
      </w:r>
      <w:r>
        <w:rPr>
          <w:rFonts w:hint="cs"/>
          <w:rtl/>
        </w:rPr>
        <w:t>הצפחה - העדר הכתב.</w:t>
      </w:r>
    </w:p>
  </w:footnote>
  <w:footnote w:id="205">
    <w:p w14:paraId="443F3415" w14:textId="7AC7497A" w:rsidR="00C747AE" w:rsidRDefault="00C747AE">
      <w:pPr>
        <w:pStyle w:val="FootnoteText"/>
        <w:rPr>
          <w:rtl/>
        </w:rPr>
      </w:pPr>
      <w:r>
        <w:rPr>
          <w:rStyle w:val="FootnoteReference"/>
        </w:rPr>
        <w:footnoteRef/>
      </w:r>
      <w:r>
        <w:rPr>
          <w:rtl/>
        </w:rPr>
        <w:t xml:space="preserve"> </w:t>
      </w:r>
      <w:r>
        <w:rPr>
          <w:rFonts w:hint="cs"/>
          <w:rtl/>
        </w:rPr>
        <w:t>עיין בזה במטאפיזיקה ספר למבדא פרק ב'.</w:t>
      </w:r>
    </w:p>
    <w:p w14:paraId="4A5AC1E9" w14:textId="5510CA82" w:rsidR="00EF3539" w:rsidRDefault="00EF3539">
      <w:pPr>
        <w:pStyle w:val="FootnoteText"/>
        <w:rPr>
          <w:rtl/>
        </w:rPr>
      </w:pPr>
      <w:r>
        <w:rPr>
          <w:rFonts w:hint="cs"/>
          <w:rtl/>
        </w:rPr>
        <w:t xml:space="preserve">העומק כאן הוא שההעדר הוא זה שפועל את השינוי. למשל אם יש בד שהיה שחור, והשתנה להיות לבן (ליתר דיוק השתנה להיות </w:t>
      </w:r>
      <w:r w:rsidR="00F055C8">
        <w:rPr>
          <w:rtl/>
        </w:rPr>
        <w:t>"</w:t>
      </w:r>
      <w:r>
        <w:rPr>
          <w:rFonts w:hint="cs"/>
          <w:rtl/>
        </w:rPr>
        <w:t>לא-שחור</w:t>
      </w:r>
      <w:r w:rsidR="00F055C8">
        <w:rPr>
          <w:rtl/>
        </w:rPr>
        <w:t>"</w:t>
      </w:r>
      <w:r>
        <w:rPr>
          <w:rFonts w:hint="cs"/>
          <w:rtl/>
        </w:rPr>
        <w:t xml:space="preserve">, נקטתי לבן רק להקל על ההסבר). מה שהניע את השינוי הוא העדר הלבן שהיה לפני השינוי (העדר הוא העדר של משהו שקיים כפוטנציאל. לבד שצבעו היה שחור, היה פוטנציאל להיות בצבע לבן, ולכן היה בו העדר לבן. לא היה לו פוטנציאל להיות במשקל </w:t>
      </w:r>
      <w:r w:rsidR="009C463A">
        <w:rPr>
          <w:rFonts w:hint="cs"/>
          <w:rtl/>
        </w:rPr>
        <w:t>מסוים</w:t>
      </w:r>
      <w:r>
        <w:rPr>
          <w:rFonts w:hint="cs"/>
          <w:rtl/>
        </w:rPr>
        <w:t xml:space="preserve"> או חום </w:t>
      </w:r>
      <w:r w:rsidR="009C463A">
        <w:rPr>
          <w:rFonts w:hint="cs"/>
          <w:rtl/>
        </w:rPr>
        <w:t>מסוים</w:t>
      </w:r>
      <w:r>
        <w:rPr>
          <w:rFonts w:hint="cs"/>
          <w:rtl/>
        </w:rPr>
        <w:t xml:space="preserve">, ולכן אין כאן העדר של משקל או חום). </w:t>
      </w:r>
    </w:p>
    <w:p w14:paraId="2A3AADB6" w14:textId="77777777" w:rsidR="009D182D" w:rsidRDefault="00EF3539">
      <w:pPr>
        <w:pStyle w:val="FootnoteText"/>
        <w:rPr>
          <w:rtl/>
        </w:rPr>
      </w:pPr>
      <w:r>
        <w:rPr>
          <w:rFonts w:hint="cs"/>
          <w:rtl/>
        </w:rPr>
        <w:t>ב</w:t>
      </w:r>
      <w:r w:rsidR="009D182D">
        <w:rPr>
          <w:rFonts w:hint="cs"/>
          <w:rtl/>
        </w:rPr>
        <w:t>הבנה הפשוטה</w:t>
      </w:r>
      <w:r>
        <w:rPr>
          <w:rFonts w:hint="cs"/>
          <w:rtl/>
        </w:rPr>
        <w:t xml:space="preserve"> ההעדר נחשב כהכרחי לשינוי בגלל שהוא נותן מקום לשינוי החדש. אם לא היה העדר של לבן, לא היה ללבן החדש (שאליו השתנה מה שעבר שינוי) מקום להיכנס. למשל אם הבד היה כבר לבן מקודם, לא היה מקום לצבע החדש שהוא פרי השינוי להיכנס. כי רק במקום של העדר לבן יכול להיכנס הלבן החדש שהוא תוצאת השינוי.</w:t>
      </w:r>
    </w:p>
    <w:p w14:paraId="7985C80B" w14:textId="77777777" w:rsidR="009D182D" w:rsidRDefault="009D182D">
      <w:pPr>
        <w:pStyle w:val="FootnoteText"/>
        <w:rPr>
          <w:rtl/>
        </w:rPr>
      </w:pPr>
    </w:p>
    <w:p w14:paraId="67A3EDAA" w14:textId="2BCAC7B4" w:rsidR="009D182D" w:rsidRDefault="009D182D">
      <w:pPr>
        <w:pStyle w:val="FootnoteText"/>
        <w:rPr>
          <w:rtl/>
        </w:rPr>
      </w:pPr>
      <w:r>
        <w:rPr>
          <w:rFonts w:hint="cs"/>
          <w:rtl/>
        </w:rPr>
        <w:t>בספר עץ חיים מאת האר</w:t>
      </w:r>
      <w:r w:rsidR="00F055C8">
        <w:rPr>
          <w:rtl/>
        </w:rPr>
        <w:t>"</w:t>
      </w:r>
      <w:r>
        <w:rPr>
          <w:rFonts w:hint="cs"/>
          <w:rtl/>
        </w:rPr>
        <w:t>י</w:t>
      </w:r>
      <w:r w:rsidR="005830F1">
        <w:rPr>
          <w:rtl/>
        </w:rPr>
        <w:fldChar w:fldCharType="begin"/>
      </w:r>
      <w:r w:rsidR="005830F1">
        <w:instrText xml:space="preserve"> XE "</w:instrText>
      </w:r>
      <w:r w:rsidR="005830F1" w:rsidRPr="009D5AF4">
        <w:rPr>
          <w:rFonts w:hint="cs"/>
          <w:rtl/>
        </w:rPr>
        <w:instrText>האר</w:instrText>
      </w:r>
      <w:r w:rsidR="005830F1">
        <w:rPr>
          <w:b/>
          <w:bCs/>
          <w:sz w:val="20"/>
          <w:szCs w:val="20"/>
        </w:rPr>
        <w:instrText>\</w:instrText>
      </w:r>
      <w:r w:rsidR="005830F1" w:rsidRPr="009D5AF4">
        <w:rPr>
          <w:rFonts w:hint="cs"/>
          <w:rtl/>
        </w:rPr>
        <w:instrText>"י</w:instrText>
      </w:r>
      <w:r w:rsidR="005830F1">
        <w:instrText xml:space="preserve">" </w:instrText>
      </w:r>
      <w:r w:rsidR="005830F1">
        <w:rPr>
          <w:rtl/>
        </w:rPr>
        <w:fldChar w:fldCharType="end"/>
      </w:r>
      <w:r>
        <w:rPr>
          <w:rFonts w:hint="cs"/>
          <w:rtl/>
        </w:rPr>
        <w:t xml:space="preserve"> ז</w:t>
      </w:r>
      <w:r w:rsidR="00F055C8">
        <w:rPr>
          <w:rtl/>
        </w:rPr>
        <w:t>"</w:t>
      </w:r>
      <w:r>
        <w:rPr>
          <w:rFonts w:hint="cs"/>
          <w:rtl/>
        </w:rPr>
        <w:t>ל שער א' ענף ב' כתב:</w:t>
      </w:r>
    </w:p>
    <w:p w14:paraId="5037D342" w14:textId="6E155C3D" w:rsidR="009D182D" w:rsidRDefault="00F055C8" w:rsidP="009D182D">
      <w:pPr>
        <w:pStyle w:val="FootnoteText"/>
        <w:rPr>
          <w:rtl/>
        </w:rPr>
      </w:pPr>
      <w:r>
        <w:rPr>
          <w:rtl/>
        </w:rPr>
        <w:t>"</w:t>
      </w:r>
      <w:r w:rsidR="009D182D">
        <w:rPr>
          <w:rtl/>
        </w:rPr>
        <w:t>דע כי טרם שנאצלו הנאצלים ונבראו הנבראים היה אור עליון פשוט ממלא כל המציאות ולא היה שום מקום פנוי בבחינת אויר ריקני וחלל אלא הכל היה ממולא מן אור אין סוף פשוט ההוא ולא היה לו בחינת ראש ולא בחינת סוף אלא הכל היה אור אחד פשוט שו</w:t>
      </w:r>
      <w:r w:rsidR="004230BB">
        <w:rPr>
          <w:rFonts w:hint="cs"/>
          <w:rtl/>
        </w:rPr>
        <w:t>ו</w:t>
      </w:r>
      <w:r w:rsidR="009D182D">
        <w:rPr>
          <w:rtl/>
        </w:rPr>
        <w:t xml:space="preserve">ה בהשוואה אחת והוא הנקרא אור אין סוף. </w:t>
      </w:r>
    </w:p>
    <w:p w14:paraId="009BF1D8" w14:textId="7960ECFF" w:rsidR="009D182D" w:rsidRDefault="009D182D" w:rsidP="009D182D">
      <w:pPr>
        <w:pStyle w:val="FootnoteText"/>
        <w:rPr>
          <w:rtl/>
        </w:rPr>
      </w:pPr>
      <w:r>
        <w:rPr>
          <w:rtl/>
        </w:rPr>
        <w:t xml:space="preserve">וכאשר עלה ברצונו הפשוט לברוא העולמות ולהאציל הנאצלים </w:t>
      </w:r>
      <w:r>
        <w:rPr>
          <w:rFonts w:hint="cs"/>
          <w:rtl/>
        </w:rPr>
        <w:t xml:space="preserve">[...] </w:t>
      </w:r>
      <w:r>
        <w:rPr>
          <w:rtl/>
        </w:rPr>
        <w:t>והנה אז צמצם את עצמו אין סוף בנקודה האמצעית אשר בו באמצע אורו ממש וצמצם האור ההוא ונתרחק אל צדדי סביבות הנקודה האמצעית ואז נשאר מקום פנוי ואויר וחלל ר</w:t>
      </w:r>
      <w:r w:rsidR="004230BB">
        <w:rPr>
          <w:rFonts w:hint="cs"/>
          <w:rtl/>
        </w:rPr>
        <w:t>י</w:t>
      </w:r>
      <w:r>
        <w:rPr>
          <w:rtl/>
        </w:rPr>
        <w:t>קני מנקודה אמצעית</w:t>
      </w:r>
    </w:p>
    <w:p w14:paraId="13E10DB2" w14:textId="761AA714" w:rsidR="009D182D" w:rsidRDefault="009D182D" w:rsidP="009D182D">
      <w:pPr>
        <w:pStyle w:val="FootnoteText"/>
        <w:rPr>
          <w:rtl/>
        </w:rPr>
      </w:pPr>
      <w:r>
        <w:rPr>
          <w:rFonts w:hint="cs"/>
          <w:rtl/>
        </w:rPr>
        <w:t>[...]</w:t>
      </w:r>
    </w:p>
    <w:p w14:paraId="2915FA06" w14:textId="05880F48" w:rsidR="009D182D" w:rsidRDefault="009D182D" w:rsidP="009D182D">
      <w:pPr>
        <w:pStyle w:val="FootnoteText"/>
        <w:rPr>
          <w:rtl/>
        </w:rPr>
      </w:pPr>
      <w:r>
        <w:rPr>
          <w:rtl/>
        </w:rPr>
        <w:t>והנה אחר הצמצום הנ</w:t>
      </w:r>
      <w:r w:rsidR="00F055C8">
        <w:rPr>
          <w:rtl/>
        </w:rPr>
        <w:t>"</w:t>
      </w:r>
      <w:r>
        <w:rPr>
          <w:rtl/>
        </w:rPr>
        <w:t>ל אשר אז נשאר מקום ה</w:t>
      </w:r>
      <w:bookmarkStart w:id="134" w:name="_Hlk97028514"/>
      <w:r>
        <w:rPr>
          <w:rtl/>
        </w:rPr>
        <w:t>חלל ואויר פנוי וריקני</w:t>
      </w:r>
      <w:bookmarkEnd w:id="134"/>
      <w:r>
        <w:rPr>
          <w:rtl/>
        </w:rPr>
        <w:t xml:space="preserve"> באמצע אור הא</w:t>
      </w:r>
      <w:r>
        <w:rPr>
          <w:rFonts w:hint="cs"/>
          <w:rtl/>
        </w:rPr>
        <w:t>ין סוף</w:t>
      </w:r>
      <w:r>
        <w:rPr>
          <w:rtl/>
        </w:rPr>
        <w:t xml:space="preserve"> ממש כנ</w:t>
      </w:r>
      <w:r w:rsidR="00F055C8">
        <w:rPr>
          <w:rtl/>
        </w:rPr>
        <w:t>"</w:t>
      </w:r>
      <w:r>
        <w:rPr>
          <w:rtl/>
        </w:rPr>
        <w:t>ל הנה כבר היה מקום שיוכלו להיות שם הנאצלים והנבראים ויצורים והנעשים ואז המשיך מן אור א</w:t>
      </w:r>
      <w:r>
        <w:rPr>
          <w:rFonts w:hint="cs"/>
          <w:rtl/>
        </w:rPr>
        <w:t>ין סוף</w:t>
      </w:r>
      <w:r>
        <w:rPr>
          <w:rtl/>
        </w:rPr>
        <w:t xml:space="preserve"> קו א</w:t>
      </w:r>
      <w:r>
        <w:rPr>
          <w:rFonts w:hint="cs"/>
          <w:rtl/>
        </w:rPr>
        <w:t>חד</w:t>
      </w:r>
      <w:r>
        <w:rPr>
          <w:rtl/>
        </w:rPr>
        <w:t xml:space="preserve"> ישר מן האור העגול שלו מלמעלה למטה ומשתלשל ויורד תוך החלל ההוא</w:t>
      </w:r>
    </w:p>
    <w:p w14:paraId="77632965" w14:textId="533558DE" w:rsidR="009D182D" w:rsidRDefault="009D182D" w:rsidP="009D182D">
      <w:pPr>
        <w:pStyle w:val="FootnoteText"/>
        <w:rPr>
          <w:rtl/>
        </w:rPr>
      </w:pPr>
      <w:r>
        <w:rPr>
          <w:rFonts w:hint="cs"/>
          <w:rtl/>
        </w:rPr>
        <w:t>[...]</w:t>
      </w:r>
    </w:p>
    <w:p w14:paraId="158D7774" w14:textId="6BF41F15" w:rsidR="009D182D" w:rsidRDefault="009D182D" w:rsidP="009D182D">
      <w:pPr>
        <w:pStyle w:val="FootnoteText"/>
      </w:pPr>
      <w:r w:rsidRPr="009D182D">
        <w:rPr>
          <w:rtl/>
        </w:rPr>
        <w:t>והנה כל עולם ועולם יש בו י</w:t>
      </w:r>
      <w:r>
        <w:rPr>
          <w:rFonts w:hint="cs"/>
          <w:rtl/>
        </w:rPr>
        <w:t>' ספירות</w:t>
      </w:r>
      <w:r w:rsidRPr="009D182D">
        <w:rPr>
          <w:rtl/>
        </w:rPr>
        <w:t xml:space="preserve"> פרטית</w:t>
      </w:r>
      <w:r w:rsidR="00113426">
        <w:rPr>
          <w:rFonts w:hint="cs"/>
          <w:rtl/>
        </w:rPr>
        <w:t>,</w:t>
      </w:r>
      <w:r w:rsidRPr="009D182D">
        <w:rPr>
          <w:rtl/>
        </w:rPr>
        <w:t xml:space="preserve"> וכל ספי</w:t>
      </w:r>
      <w:r>
        <w:rPr>
          <w:rFonts w:hint="cs"/>
          <w:rtl/>
        </w:rPr>
        <w:t>רה</w:t>
      </w:r>
      <w:r w:rsidRPr="009D182D">
        <w:rPr>
          <w:rtl/>
        </w:rPr>
        <w:t xml:space="preserve"> וספי</w:t>
      </w:r>
      <w:r>
        <w:rPr>
          <w:rFonts w:hint="cs"/>
          <w:rtl/>
        </w:rPr>
        <w:t>רה</w:t>
      </w:r>
      <w:r w:rsidRPr="009D182D">
        <w:rPr>
          <w:rtl/>
        </w:rPr>
        <w:t xml:space="preserve"> פרטית שבכל עולם ועולם כלול מי' ספי</w:t>
      </w:r>
      <w:r>
        <w:rPr>
          <w:rFonts w:hint="cs"/>
          <w:rtl/>
        </w:rPr>
        <w:t>רות</w:t>
      </w:r>
      <w:r w:rsidRPr="009D182D">
        <w:rPr>
          <w:rtl/>
        </w:rPr>
        <w:t xml:space="preserve"> פרטי פרטית</w:t>
      </w:r>
      <w:r w:rsidR="00113426">
        <w:rPr>
          <w:rFonts w:hint="cs"/>
          <w:rtl/>
        </w:rPr>
        <w:t>,</w:t>
      </w:r>
      <w:r w:rsidRPr="009D182D">
        <w:rPr>
          <w:rtl/>
        </w:rPr>
        <w:t xml:space="preserve"> וכולם הם בצורת עיגולים זה תוך זה וזה לפנים מזה עד אין קץ ומספר</w:t>
      </w:r>
      <w:r w:rsidR="00113426">
        <w:rPr>
          <w:rFonts w:hint="cs"/>
          <w:rtl/>
        </w:rPr>
        <w:t>,</w:t>
      </w:r>
      <w:r w:rsidRPr="009D182D">
        <w:rPr>
          <w:rtl/>
        </w:rPr>
        <w:t xml:space="preserve"> וכולם כגלדי בצלים זה תוך זה ע</w:t>
      </w:r>
      <w:r w:rsidR="00113426">
        <w:rPr>
          <w:rFonts w:hint="cs"/>
          <w:rtl/>
        </w:rPr>
        <w:t>ל דרך</w:t>
      </w:r>
      <w:r w:rsidRPr="009D182D">
        <w:rPr>
          <w:rtl/>
        </w:rPr>
        <w:t xml:space="preserve"> תמונת הגלגלים כנזכר בספרי תוכניים</w:t>
      </w:r>
      <w:r w:rsidR="00F055C8">
        <w:rPr>
          <w:rtl/>
        </w:rPr>
        <w:t>"</w:t>
      </w:r>
    </w:p>
    <w:p w14:paraId="3A75F974" w14:textId="77777777" w:rsidR="00113426" w:rsidRDefault="00113426">
      <w:pPr>
        <w:pStyle w:val="FootnoteText"/>
        <w:rPr>
          <w:rtl/>
        </w:rPr>
      </w:pPr>
    </w:p>
    <w:p w14:paraId="1650E2BC" w14:textId="1CC88188" w:rsidR="006A0EBF" w:rsidRDefault="00113426">
      <w:pPr>
        <w:pStyle w:val="FootnoteText"/>
        <w:rPr>
          <w:rtl/>
        </w:rPr>
      </w:pPr>
      <w:r>
        <w:rPr>
          <w:rFonts w:hint="cs"/>
          <w:rtl/>
        </w:rPr>
        <w:t xml:space="preserve">מבואר כאן </w:t>
      </w:r>
      <w:r>
        <w:rPr>
          <w:rFonts w:hint="cs"/>
          <w:rtl/>
        </w:rPr>
        <w:t xml:space="preserve">שהעקרון של </w:t>
      </w:r>
      <w:r w:rsidR="00F055C8">
        <w:rPr>
          <w:rtl/>
        </w:rPr>
        <w:t>"</w:t>
      </w:r>
      <w:r>
        <w:rPr>
          <w:rFonts w:hint="cs"/>
          <w:rtl/>
        </w:rPr>
        <w:t>העדר</w:t>
      </w:r>
      <w:r w:rsidR="00F055C8">
        <w:rPr>
          <w:rtl/>
        </w:rPr>
        <w:t>"</w:t>
      </w:r>
      <w:r>
        <w:rPr>
          <w:rFonts w:hint="cs"/>
          <w:rtl/>
        </w:rPr>
        <w:t xml:space="preserve"> מול </w:t>
      </w:r>
      <w:r w:rsidR="00F055C8">
        <w:rPr>
          <w:rtl/>
        </w:rPr>
        <w:t>"</w:t>
      </w:r>
      <w:r>
        <w:rPr>
          <w:rFonts w:hint="cs"/>
          <w:rtl/>
        </w:rPr>
        <w:t>יש</w:t>
      </w:r>
      <w:r w:rsidR="00F055C8">
        <w:rPr>
          <w:rtl/>
        </w:rPr>
        <w:t>"</w:t>
      </w:r>
      <w:r>
        <w:rPr>
          <w:rFonts w:hint="cs"/>
          <w:rtl/>
        </w:rPr>
        <w:t xml:space="preserve"> חסר גבולות (הנקרא אור אין סוף), הוא עקרון שמגיע עד כל פרט הכי קטן שיש בעולם, ושזה אותו עניין שכתבו התוכניים, כלומר אריסטו. והכוונה לעקרון של צורה (שהיא זיו של אור אין סוף, קו אור אין סוף, כמו שהארכתי במקומות אחרים) וחומר (שהוא ההעדר).  </w:t>
      </w:r>
      <w:r w:rsidR="00EF3539">
        <w:rPr>
          <w:rFonts w:hint="cs"/>
          <w:rtl/>
        </w:rPr>
        <w:t xml:space="preserve"> </w:t>
      </w:r>
    </w:p>
    <w:p w14:paraId="5DFE1631" w14:textId="4718FAA9" w:rsidR="006A0EBF" w:rsidRDefault="006A0EBF">
      <w:pPr>
        <w:pStyle w:val="FootnoteText"/>
        <w:rPr>
          <w:rtl/>
        </w:rPr>
      </w:pPr>
      <w:r>
        <w:rPr>
          <w:rFonts w:hint="cs"/>
          <w:rtl/>
        </w:rPr>
        <w:t xml:space="preserve">לכן אבן סינא ואריסטו האריכו בעניין ההעדר. </w:t>
      </w:r>
    </w:p>
    <w:p w14:paraId="24550CDF" w14:textId="3372521B" w:rsidR="00091F04" w:rsidRDefault="00091F04">
      <w:pPr>
        <w:pStyle w:val="FootnoteText"/>
        <w:rPr>
          <w:rtl/>
        </w:rPr>
      </w:pPr>
      <w:r>
        <w:rPr>
          <w:rFonts w:hint="cs"/>
          <w:rtl/>
        </w:rPr>
        <w:t xml:space="preserve">עיין לעיל בפרק זה (פרק ב') סעיף 4, בהערה הארוכה שכותרתה </w:t>
      </w:r>
      <w:r w:rsidR="00F055C8">
        <w:rPr>
          <w:rtl/>
        </w:rPr>
        <w:t>"</w:t>
      </w:r>
      <w:hyperlink w:anchor="עוד_הסתכלות_על_מעשה_מרכבה" w:history="1">
        <w:r w:rsidRPr="002B6E82">
          <w:rPr>
            <w:rStyle w:val="Hyperlink"/>
            <w:rFonts w:hint="cs"/>
            <w:rtl/>
          </w:rPr>
          <w:t>עוד הסתכלות על מעשה מרכבה</w:t>
        </w:r>
      </w:hyperlink>
      <w:r w:rsidR="00F055C8">
        <w:rPr>
          <w:rtl/>
        </w:rPr>
        <w:t>"</w:t>
      </w:r>
      <w:r w:rsidR="002B6E82">
        <w:rPr>
          <w:rFonts w:hint="cs"/>
          <w:rtl/>
        </w:rPr>
        <w:t xml:space="preserve">, </w:t>
      </w:r>
      <w:r>
        <w:rPr>
          <w:rFonts w:hint="cs"/>
          <w:rtl/>
        </w:rPr>
        <w:t xml:space="preserve">שם הארכתי לבאר למה ההעדר דווקא הוא המניע את תנועת השינוי. העדר הלבן הוא המנוע שמושך את הלבן למקום שלא היה בו לבן. </w:t>
      </w:r>
    </w:p>
    <w:p w14:paraId="193C9D96" w14:textId="44326FF6" w:rsidR="00EF3539" w:rsidRDefault="00EF3539">
      <w:pPr>
        <w:pStyle w:val="FootnoteText"/>
      </w:pPr>
      <w:r>
        <w:rPr>
          <w:rFonts w:hint="cs"/>
          <w:rtl/>
        </w:rPr>
        <w:t xml:space="preserve"> </w:t>
      </w:r>
    </w:p>
  </w:footnote>
  <w:footnote w:id="206">
    <w:p w14:paraId="01500E15" w14:textId="1B7327E1" w:rsidR="001A5A8A" w:rsidRDefault="001A5A8A">
      <w:pPr>
        <w:pStyle w:val="FootnoteText"/>
        <w:rPr>
          <w:rtl/>
        </w:rPr>
      </w:pPr>
      <w:r>
        <w:rPr>
          <w:rStyle w:val="FootnoteReference"/>
        </w:rPr>
        <w:footnoteRef/>
      </w:r>
      <w:r>
        <w:rPr>
          <w:rtl/>
        </w:rPr>
        <w:t xml:space="preserve"> </w:t>
      </w:r>
      <w:r>
        <w:rPr>
          <w:rFonts w:hint="cs"/>
          <w:rtl/>
        </w:rPr>
        <w:t xml:space="preserve">אין זה סותר למה שכתבתי לעיל שההעדר הוא המניע את התנועה (על דרך שגעגוע גורם לצייר את מה שאליו מתגעגעים, ופעולת הציור היא התנועה). שהרי הוא מדבר כאן על מידת ההעדר. כשההעדר הוא במידה מספיקה אז הוא מניע את השינוי, רק יש העדר שאינו מאפשר שינוי, וכל שכן שאינו מניע, כיוון שהוא העדר שאינו במידה מספיקה. </w:t>
      </w:r>
    </w:p>
    <w:p w14:paraId="0758919C" w14:textId="525AA29A" w:rsidR="000976A1" w:rsidRDefault="001A5A8A" w:rsidP="009F51DD">
      <w:pPr>
        <w:pStyle w:val="FootnoteText"/>
        <w:rPr>
          <w:rtl/>
        </w:rPr>
      </w:pPr>
      <w:r>
        <w:rPr>
          <w:rFonts w:hint="cs"/>
          <w:rtl/>
        </w:rPr>
        <w:t>הכוונה כאן היא לגרמי השמיים. גרמי השמיים הם נצחיים, והיינו שאין בהם העדר</w:t>
      </w:r>
      <w:r w:rsidR="009F51DD">
        <w:rPr>
          <w:rFonts w:hint="cs"/>
          <w:rtl/>
        </w:rPr>
        <w:t>.</w:t>
      </w:r>
      <w:r>
        <w:rPr>
          <w:rFonts w:hint="cs"/>
          <w:rtl/>
        </w:rPr>
        <w:t xml:space="preserve"> </w:t>
      </w:r>
    </w:p>
    <w:p w14:paraId="4644D7F4" w14:textId="6BD6B6E1" w:rsidR="00903886" w:rsidRDefault="001A5A8A">
      <w:pPr>
        <w:pStyle w:val="FootnoteText"/>
        <w:rPr>
          <w:rtl/>
        </w:rPr>
      </w:pPr>
      <w:r>
        <w:rPr>
          <w:rFonts w:hint="cs"/>
          <w:rtl/>
        </w:rPr>
        <w:t>(אלפראבי ב</w:t>
      </w:r>
      <w:bookmarkStart w:id="135" w:name="_Hlk98131845"/>
      <w:r w:rsidR="00880570">
        <w:fldChar w:fldCharType="begin"/>
      </w:r>
      <w:r w:rsidR="00880570">
        <w:instrText xml:space="preserve"> HYPERLINK "https://drive.google.com/file/d/1V9Qb-y2lK3LAhtZpkgBo3Z2KKQgHFOde/view" </w:instrText>
      </w:r>
      <w:r w:rsidR="00880570">
        <w:fldChar w:fldCharType="separate"/>
      </w:r>
      <w:r w:rsidRPr="00903886">
        <w:rPr>
          <w:rStyle w:val="Hyperlink"/>
          <w:rFonts w:hint="cs"/>
          <w:rtl/>
        </w:rPr>
        <w:t>אנשי העיר המעולה</w:t>
      </w:r>
      <w:r w:rsidR="00880570">
        <w:rPr>
          <w:rStyle w:val="Hyperlink"/>
        </w:rPr>
        <w:fldChar w:fldCharType="end"/>
      </w:r>
      <w:bookmarkEnd w:id="135"/>
      <w:r>
        <w:rPr>
          <w:rFonts w:hint="cs"/>
          <w:rtl/>
        </w:rPr>
        <w:t xml:space="preserve"> </w:t>
      </w:r>
      <w:r w:rsidR="00903886">
        <w:rPr>
          <w:rFonts w:hint="cs"/>
          <w:rtl/>
        </w:rPr>
        <w:t xml:space="preserve">סוף פרק ב' </w:t>
      </w:r>
      <w:r>
        <w:rPr>
          <w:rFonts w:hint="cs"/>
          <w:rtl/>
        </w:rPr>
        <w:t xml:space="preserve">כתב שלא ייתכן שתהיינה שתי שמשות או שיהיו שני ירחים. </w:t>
      </w:r>
      <w:r w:rsidR="00903886">
        <w:rPr>
          <w:rFonts w:hint="cs"/>
          <w:rtl/>
        </w:rPr>
        <w:t>זה לשונו:</w:t>
      </w:r>
    </w:p>
    <w:p w14:paraId="2732D232" w14:textId="4B0608CF" w:rsidR="000976A1" w:rsidRDefault="00F055C8">
      <w:pPr>
        <w:pStyle w:val="FootnoteText"/>
        <w:rPr>
          <w:rtl/>
        </w:rPr>
      </w:pPr>
      <w:r>
        <w:rPr>
          <w:rtl/>
        </w:rPr>
        <w:t>"</w:t>
      </w:r>
      <w:r w:rsidR="000976A1" w:rsidRPr="000976A1">
        <w:rPr>
          <w:rtl/>
        </w:rPr>
        <w:t>כמו כן, לו היה מחוצה לו</w:t>
      </w:r>
      <w:r w:rsidR="000976A1">
        <w:rPr>
          <w:rFonts w:hint="cs"/>
          <w:rtl/>
        </w:rPr>
        <w:t xml:space="preserve"> [לאלוה. (אלפראבי עוסק כאן להוכיח שהאלוה בהכרח אחד)]</w:t>
      </w:r>
      <w:r w:rsidR="000976A1" w:rsidRPr="000976A1">
        <w:rPr>
          <w:rtl/>
        </w:rPr>
        <w:t xml:space="preserve">, בדבר אחר, </w:t>
      </w:r>
      <w:r w:rsidR="000976A1">
        <w:rPr>
          <w:rFonts w:hint="cs"/>
          <w:rtl/>
        </w:rPr>
        <w:t xml:space="preserve">קיום </w:t>
      </w:r>
      <w:r w:rsidR="000976A1" w:rsidRPr="000976A1">
        <w:rPr>
          <w:rtl/>
        </w:rPr>
        <w:t>ממין קיומו, לא היה קיומו מושלם</w:t>
      </w:r>
      <w:r w:rsidR="000976A1">
        <w:rPr>
          <w:rFonts w:hint="cs"/>
          <w:rtl/>
        </w:rPr>
        <w:t>,</w:t>
      </w:r>
      <w:r w:rsidR="000976A1" w:rsidRPr="000976A1">
        <w:rPr>
          <w:rtl/>
        </w:rPr>
        <w:t xml:space="preserve"> מכיוון שהמושלם הינו מה שלא יכול להימצא מחוצה לו קיום ממין קיומו. הדבר נכון לגבי כל דבר שהוא, משום שהמושלם בגודל הוא זה אשר לא נמצא גודל כגודלו מחוצה לו, והמושלם ביופי הוא זה אשר לא נמצא יופי ממין יופיו מחוצה לו, ובדומה לכך, המושלם בעצם הוא אשר לא נמצא דבר ממין עצמו מחוצה לו. הדבר אמור לגבי כל גוף מושלם: אי אפשר שיתקיים ממינו דבר מלבדו, כגון השמש והירח וכל אחד מן הכוכבים האחרים. אם קיומו של הנמצא הראשון מושלם</w:t>
      </w:r>
      <w:r w:rsidR="000976A1">
        <w:rPr>
          <w:rFonts w:hint="cs"/>
          <w:rtl/>
        </w:rPr>
        <w:t xml:space="preserve"> [האלוה]</w:t>
      </w:r>
      <w:r w:rsidR="000976A1" w:rsidRPr="000976A1">
        <w:rPr>
          <w:rtl/>
        </w:rPr>
        <w:t>, אי אפשר שיהיה אותו קיום לדבר אחר זולתו. לפיכך, הוא אחד ומיוחד בקיומו, ומן הבחינה הזאת הוא אחד.</w:t>
      </w:r>
      <w:r>
        <w:rPr>
          <w:rtl/>
        </w:rPr>
        <w:t>"</w:t>
      </w:r>
      <w:r w:rsidR="00653A88">
        <w:rPr>
          <w:rFonts w:hint="cs"/>
          <w:rtl/>
        </w:rPr>
        <w:t xml:space="preserve"> ועיין בזה בפיזיקה של אריסטו ג' ו' דף 207א שורה 14</w:t>
      </w:r>
      <w:r w:rsidR="009F51DD">
        <w:rPr>
          <w:rFonts w:hint="cs"/>
          <w:rtl/>
        </w:rPr>
        <w:t>)</w:t>
      </w:r>
    </w:p>
    <w:p w14:paraId="1218E1E6" w14:textId="26DF82CF" w:rsidR="009F51DD" w:rsidRDefault="009F51DD">
      <w:pPr>
        <w:pStyle w:val="FootnoteText"/>
        <w:rPr>
          <w:rtl/>
        </w:rPr>
      </w:pPr>
      <w:r>
        <w:rPr>
          <w:rFonts w:hint="cs"/>
          <w:rtl/>
        </w:rPr>
        <w:t>מה שאין בו העדר לא ייתכן בו שינוי</w:t>
      </w:r>
      <w:r w:rsidR="00653A88">
        <w:rPr>
          <w:rFonts w:hint="cs"/>
          <w:rtl/>
        </w:rPr>
        <w:t xml:space="preserve"> כלל</w:t>
      </w:r>
      <w:r>
        <w:rPr>
          <w:rFonts w:hint="cs"/>
          <w:rtl/>
        </w:rPr>
        <w:t xml:space="preserve">, אבל גרמי השמיים יש בהם שינוי, והוא תנועתם </w:t>
      </w:r>
      <w:r w:rsidR="00653A88">
        <w:rPr>
          <w:rFonts w:hint="cs"/>
          <w:rtl/>
        </w:rPr>
        <w:t xml:space="preserve">הסיבובית </w:t>
      </w:r>
      <w:r>
        <w:rPr>
          <w:rFonts w:hint="cs"/>
          <w:rtl/>
        </w:rPr>
        <w:t xml:space="preserve">שהיא שינוי מקום. כשגרם שמיימי נמצא במקום </w:t>
      </w:r>
      <w:r w:rsidR="009C463A">
        <w:rPr>
          <w:rFonts w:hint="cs"/>
          <w:rtl/>
        </w:rPr>
        <w:t>מסוים</w:t>
      </w:r>
      <w:r>
        <w:rPr>
          <w:rFonts w:hint="cs"/>
          <w:rtl/>
        </w:rPr>
        <w:t xml:space="preserve"> יש בו העדר של הימצאות במקום אחר, ומכח ההעדר הזה ייתכן שתהיה בו תנועה. מלבד המקום אין בו שום העדר אחר ולא שום שינוי אחר. </w:t>
      </w:r>
    </w:p>
    <w:p w14:paraId="6767C58F" w14:textId="52B6858B" w:rsidR="001A5A8A" w:rsidRDefault="009F51DD" w:rsidP="00206C47">
      <w:pPr>
        <w:pStyle w:val="FootnoteText"/>
      </w:pPr>
      <w:r>
        <w:rPr>
          <w:rFonts w:hint="cs"/>
          <w:rtl/>
        </w:rPr>
        <w:t>המקום הוא אחד אחד מתשע הקטגוריות שמאפיינות את העצם. שינוי מקום הוא השינוי המועט ביותר שאפשר לעצם, מבין שינוי כל שאר המאפיינים כגון כמות ואיכות ו</w:t>
      </w:r>
      <w:r w:rsidR="00653A88">
        <w:rPr>
          <w:rFonts w:hint="cs"/>
          <w:rtl/>
        </w:rPr>
        <w:t>כיו</w:t>
      </w:r>
      <w:r w:rsidR="00F055C8">
        <w:rPr>
          <w:rtl/>
        </w:rPr>
        <w:t>"</w:t>
      </w:r>
      <w:r w:rsidR="00653A88">
        <w:rPr>
          <w:rFonts w:hint="cs"/>
          <w:rtl/>
        </w:rPr>
        <w:t>ב</w:t>
      </w:r>
      <w:r>
        <w:rPr>
          <w:rFonts w:hint="cs"/>
          <w:rtl/>
        </w:rPr>
        <w:t>. אם ראובן נסע מירושלים לטבריה, אפשר ל</w:t>
      </w:r>
      <w:r w:rsidR="00653A88">
        <w:rPr>
          <w:rFonts w:hint="cs"/>
          <w:rtl/>
        </w:rPr>
        <w:t>ראות</w:t>
      </w:r>
      <w:r>
        <w:rPr>
          <w:rFonts w:hint="cs"/>
          <w:rtl/>
        </w:rPr>
        <w:t xml:space="preserve"> שראובן לא השתנה, הוא אותו ראובן שהיה. </w:t>
      </w:r>
      <w:r w:rsidR="00653A88">
        <w:rPr>
          <w:rFonts w:hint="cs"/>
          <w:rtl/>
        </w:rPr>
        <w:t xml:space="preserve">השינוי שמקודם הוא היה ראובן שנמצא בירושלים ועכשיו הוא ראובן שנמצא בטבריה, הוא על הגבול בין שינוי ללא-שינוי. שינוי כזה אינו שינוי במידה מספקת כדי להיחשב שינוי במלוא מובן המילה, כלומר ההעדר של מה שראובן אינו בטבריה (בזמן שהוא בירושלים), אינו העדר במידה מספקת לצורך שינוי. זה מה שמדייק כאן אבן סינא בלשונו שכדי שיהיה שינוי </w:t>
      </w:r>
      <w:r w:rsidR="0086122E">
        <w:rPr>
          <w:rFonts w:hint="cs"/>
          <w:rtl/>
        </w:rPr>
        <w:t xml:space="preserve">שמוציא את העצם מלהיות נחשב בין העצמים הנצחיים, </w:t>
      </w:r>
      <w:r w:rsidR="00653A88">
        <w:rPr>
          <w:rFonts w:hint="cs"/>
          <w:rtl/>
        </w:rPr>
        <w:t xml:space="preserve">צריך העדר במידה מספקת ולא די בכל העדר שהוא. </w:t>
      </w:r>
    </w:p>
  </w:footnote>
  <w:footnote w:id="207">
    <w:p w14:paraId="530B9F2C" w14:textId="0F4F6593" w:rsidR="00206C47" w:rsidRDefault="00206C47">
      <w:pPr>
        <w:pStyle w:val="FootnoteText"/>
      </w:pPr>
      <w:r>
        <w:rPr>
          <w:rStyle w:val="FootnoteReference"/>
        </w:rPr>
        <w:footnoteRef/>
      </w:r>
      <w:r>
        <w:rPr>
          <w:rtl/>
        </w:rPr>
        <w:t xml:space="preserve"> </w:t>
      </w:r>
      <w:r>
        <w:rPr>
          <w:rFonts w:hint="cs"/>
          <w:rtl/>
        </w:rPr>
        <w:t>להוציא שינוי של מקום בלבד שהוא מקרה גבולי כמו שהתבאר לעיל.</w:t>
      </w:r>
    </w:p>
  </w:footnote>
  <w:footnote w:id="208">
    <w:p w14:paraId="74E8002A" w14:textId="5D4D0899" w:rsidR="00EA1F57" w:rsidRDefault="00EA1F57">
      <w:pPr>
        <w:pStyle w:val="FootnoteText"/>
      </w:pPr>
      <w:r>
        <w:rPr>
          <w:rStyle w:val="FootnoteReference"/>
        </w:rPr>
        <w:footnoteRef/>
      </w:r>
      <w:r>
        <w:rPr>
          <w:rtl/>
        </w:rPr>
        <w:t xml:space="preserve"> </w:t>
      </w:r>
      <w:r>
        <w:rPr>
          <w:rFonts w:hint="cs"/>
          <w:rtl/>
        </w:rPr>
        <w:t xml:space="preserve">ההעדר יכול להיות קיים גם בלי שהוא מניע עצמים להשתנות. הוא קיים כעובדת יסוד ראשונית, ואחר כך נובע מזה שהוא גם מניע עצמים להשתנות. כמו שהגעגוע קיים בפני עצמו, בלי תלות בכך שהוא מניע לצייר את מי שאליו מתגעגעים. </w:t>
      </w:r>
    </w:p>
  </w:footnote>
  <w:footnote w:id="209">
    <w:p w14:paraId="2EB1C7EA" w14:textId="65AF79B1" w:rsidR="006F29F9" w:rsidRDefault="00D84444" w:rsidP="005740A6">
      <w:pPr>
        <w:pStyle w:val="FootnoteText"/>
        <w:rPr>
          <w:rtl/>
        </w:rPr>
      </w:pPr>
      <w:r>
        <w:rPr>
          <w:rStyle w:val="FootnoteReference"/>
        </w:rPr>
        <w:footnoteRef/>
      </w:r>
      <w:r>
        <w:rPr>
          <w:rtl/>
        </w:rPr>
        <w:t xml:space="preserve"> </w:t>
      </w:r>
      <w:r>
        <w:rPr>
          <w:rFonts w:hint="cs"/>
          <w:rtl/>
        </w:rPr>
        <w:t xml:space="preserve">באמת אין כאן </w:t>
      </w:r>
      <w:r w:rsidR="00F055C8">
        <w:rPr>
          <w:rtl/>
        </w:rPr>
        <w:t>"</w:t>
      </w:r>
      <w:r>
        <w:rPr>
          <w:rFonts w:hint="cs"/>
          <w:rtl/>
        </w:rPr>
        <w:t>אם</w:t>
      </w:r>
      <w:r w:rsidR="00F055C8">
        <w:rPr>
          <w:rtl/>
        </w:rPr>
        <w:t>"</w:t>
      </w:r>
      <w:r>
        <w:rPr>
          <w:rFonts w:hint="cs"/>
          <w:rtl/>
        </w:rPr>
        <w:t>, אלא וודאי בלי ספק שהתחלה היא דבר ש</w:t>
      </w:r>
      <w:r w:rsidR="005740A6">
        <w:rPr>
          <w:rFonts w:hint="cs"/>
          <w:rtl/>
        </w:rPr>
        <w:t>מוכרח</w:t>
      </w:r>
      <w:r>
        <w:rPr>
          <w:rFonts w:hint="cs"/>
          <w:rtl/>
        </w:rPr>
        <w:t xml:space="preserve"> להיות קיים</w:t>
      </w:r>
      <w:r w:rsidR="000D15DA">
        <w:rPr>
          <w:rFonts w:hint="cs"/>
          <w:rtl/>
        </w:rPr>
        <w:t xml:space="preserve"> (כמו שכתב המורה נבוכים ב' א' בעיון השלישי)</w:t>
      </w:r>
      <w:r>
        <w:rPr>
          <w:rFonts w:hint="cs"/>
          <w:rtl/>
        </w:rPr>
        <w:t xml:space="preserve">. זהו רק סגנון של ניסוח שנמצא גם אצל אריסטו. </w:t>
      </w:r>
      <w:r w:rsidR="005740A6">
        <w:rPr>
          <w:rFonts w:hint="cs"/>
          <w:rtl/>
        </w:rPr>
        <w:t>התחלה בהכרח צריכה</w:t>
      </w:r>
      <w:r w:rsidR="000D15DA">
        <w:rPr>
          <w:rFonts w:hint="cs"/>
          <w:rtl/>
        </w:rPr>
        <w:t xml:space="preserve"> </w:t>
      </w:r>
      <w:r w:rsidR="005740A6">
        <w:rPr>
          <w:rFonts w:hint="cs"/>
          <w:rtl/>
        </w:rPr>
        <w:t>להיות קיימת כמו שכתב המורה נבוכים ב' א' עיון שלישי. כל הנמצאים המוגדרים הקיום שלהם קונטינגנטי, אפשרי, כלומר אפשר שיהיו קיימים ואפשר שלא יהיו קיימים. מה שקיומו אפשרי, שיש אפשרות שלא יהיה קיים, לא ייתכן שיהיה קיים (הטעם לזה עמוק וביארתיו באריכות במקומות אחרים). לכן רק מה שהכרחי המציאות קיים, וכל מה שקיים כעצם מוגדר שהוא אפשרי מציאות זהו באופן קיום שנסמך על הכרחי המציאות</w:t>
      </w:r>
      <w:r w:rsidR="006F29F9">
        <w:rPr>
          <w:rFonts w:hint="cs"/>
          <w:rtl/>
        </w:rPr>
        <w:t xml:space="preserve"> (</w:t>
      </w:r>
      <w:r w:rsidR="006F29F9" w:rsidRPr="006F29F9">
        <w:rPr>
          <w:rtl/>
        </w:rPr>
        <w:t>כלשון הרמב</w:t>
      </w:r>
      <w:r w:rsidR="00F055C8">
        <w:rPr>
          <w:rtl/>
        </w:rPr>
        <w:t>"</w:t>
      </w:r>
      <w:r w:rsidR="006F29F9" w:rsidRPr="006F29F9">
        <w:rPr>
          <w:rtl/>
        </w:rPr>
        <w:t>ם בהלכות יסודי התורה ב' י'</w:t>
      </w:r>
      <w:r w:rsidR="006F29F9">
        <w:rPr>
          <w:rFonts w:hint="cs"/>
          <w:rtl/>
        </w:rPr>
        <w:t>)</w:t>
      </w:r>
      <w:r w:rsidR="005740A6">
        <w:rPr>
          <w:rFonts w:hint="cs"/>
          <w:rtl/>
        </w:rPr>
        <w:t>, כלומר כלול בו. אנו נמצאים במציאותו של הכרחי המציאות, המופשט הגמור, שהוא האל.</w:t>
      </w:r>
    </w:p>
    <w:p w14:paraId="5362A00E" w14:textId="7C14083A" w:rsidR="006F29F9" w:rsidRDefault="006F29F9" w:rsidP="005740A6">
      <w:pPr>
        <w:pStyle w:val="FootnoteText"/>
        <w:rPr>
          <w:rtl/>
        </w:rPr>
      </w:pPr>
      <w:r>
        <w:rPr>
          <w:rFonts w:hint="cs"/>
          <w:rtl/>
        </w:rPr>
        <w:t>וכלשון הרמב</w:t>
      </w:r>
      <w:r w:rsidR="00F055C8">
        <w:rPr>
          <w:rtl/>
        </w:rPr>
        <w:t>"</w:t>
      </w:r>
      <w:r>
        <w:rPr>
          <w:rFonts w:hint="cs"/>
          <w:rtl/>
        </w:rPr>
        <w:t>ם בתחילת הלכות יסודי התורה:</w:t>
      </w:r>
    </w:p>
    <w:p w14:paraId="3B70BA30" w14:textId="58709DB6" w:rsidR="006F29F9" w:rsidRDefault="00F055C8" w:rsidP="006F29F9">
      <w:pPr>
        <w:pStyle w:val="FootnoteText"/>
        <w:rPr>
          <w:rtl/>
        </w:rPr>
      </w:pPr>
      <w:r>
        <w:rPr>
          <w:rtl/>
        </w:rPr>
        <w:t>"</w:t>
      </w:r>
      <w:r w:rsidR="006F29F9">
        <w:rPr>
          <w:rtl/>
        </w:rPr>
        <w:t xml:space="preserve"> יְסוֹד הַיְּסוֹדוֹת וְעַמּוּד הַחָכְמוֹת לֵידַע שֶׁיֵּשׁ שָׁם מָצוּי רִאשׁוֹן, וְהוּא מַמְצִיא כָּל הַנִּמְצָא, וְכָל </w:t>
      </w:r>
      <w:r w:rsidR="006F29F9">
        <w:rPr>
          <w:rtl/>
        </w:rPr>
        <w:t>הַנִּמְצָאִין מִן שָׁמַיִם וָאָרֶץ וּמַה שֶּׁבֵּינֵיהֶן לֹא נִמְצְאוּ אֶלָּא מֵאֲמִתַּת הִמָּצְאוֹ.</w:t>
      </w:r>
    </w:p>
    <w:p w14:paraId="6EA3940F" w14:textId="77777777" w:rsidR="006F29F9" w:rsidRDefault="006F29F9" w:rsidP="006F29F9">
      <w:pPr>
        <w:pStyle w:val="FootnoteText"/>
        <w:rPr>
          <w:rtl/>
        </w:rPr>
      </w:pPr>
      <w:r>
        <w:rPr>
          <w:rtl/>
        </w:rPr>
        <w:t>(ב) וְאִם יַעֲלֶה עַל הַדַּעַת שֶׁהוּא אֵינוֹ מָצוּי - אֵין דָּבָר אַחֵר יָכוֹל לְהִמָּצֹאות.</w:t>
      </w:r>
    </w:p>
    <w:p w14:paraId="1473EE60" w14:textId="77777777" w:rsidR="006F29F9" w:rsidRDefault="006F29F9" w:rsidP="006F29F9">
      <w:pPr>
        <w:pStyle w:val="FootnoteText"/>
        <w:rPr>
          <w:rtl/>
        </w:rPr>
      </w:pPr>
      <w:r>
        <w:rPr>
          <w:rtl/>
        </w:rPr>
        <w:t>(ג) וְאִם יַעֲלֶה עַל הַדַּעַת שֶׁאֵין כָּל הַנִּמְצָאִין מִלְּבַדּוֹ מְצוּיִין - הוּא לְבַדּוֹ יִהְיֶה מָצוּי, וְלֹא יִבְטַל הוּא לְבִטּוּלָן, שֶׁכָּל הַנִּמְצָאִין צְרִיכִין לוֹ, וְהוּא בָּרוּךְ הוּא אֵינוֹ צָרִיךְ לָהֶן וְלֹא לְאֶחָד מֵהֶן.</w:t>
      </w:r>
    </w:p>
    <w:p w14:paraId="3E8C9425" w14:textId="77777777" w:rsidR="006F29F9" w:rsidRDefault="006F29F9" w:rsidP="006F29F9">
      <w:pPr>
        <w:pStyle w:val="FootnoteText"/>
        <w:rPr>
          <w:rtl/>
        </w:rPr>
      </w:pPr>
      <w:r>
        <w:rPr>
          <w:rtl/>
        </w:rPr>
        <w:t>לְפִיכָךְ אֵין אֲמִתָּתוֹ כַּאֲמִתַּת אֶחָד מֵהֶן.</w:t>
      </w:r>
    </w:p>
    <w:p w14:paraId="5DA79089" w14:textId="238AFE00" w:rsidR="00D84444" w:rsidRDefault="006F29F9" w:rsidP="006F29F9">
      <w:pPr>
        <w:pStyle w:val="FootnoteText"/>
        <w:rPr>
          <w:rtl/>
        </w:rPr>
      </w:pPr>
      <w:r>
        <w:rPr>
          <w:rtl/>
        </w:rPr>
        <w:t>(ד) הוּא שֶׁהַנָּבִיא אוֹמֵר: ״וַיי אֱלֹהִים אֱמֶת״ (ירמיה י,י) - הוּא לְבַדּוֹ הָאֱמֶת, וְאֵין לְאַחֵר אֱמֶת כַּאֲמִתּוֹ; וְהוּא שֶׁהַתּוֹרָה אוֹמֶרֶת: ״אֵין עוֹד מִלְּבַדּוֹ״ (דברים ד,לה), כְּלוֹמַר: אֵין שׁוּם מָצוּי אֱמֶת מִלְּבַדּוֹ כְּמוֹתוֹ.</w:t>
      </w:r>
      <w:r w:rsidR="00F055C8">
        <w:rPr>
          <w:rtl/>
        </w:rPr>
        <w:t>"</w:t>
      </w:r>
    </w:p>
    <w:p w14:paraId="09DF19E8" w14:textId="59460B5F" w:rsidR="006F29F9" w:rsidRDefault="006F29F9" w:rsidP="006F29F9">
      <w:pPr>
        <w:pStyle w:val="FootnoteText"/>
        <w:rPr>
          <w:rtl/>
        </w:rPr>
      </w:pPr>
      <w:r>
        <w:rPr>
          <w:rFonts w:hint="cs"/>
          <w:rtl/>
        </w:rPr>
        <w:t>ההתחלות מופשטות לחלוטין, ולכן קיומן הוא הכרחי מציאות ולא אפשרי מציאות. העצם המוגדר שואב את מציאותו ממציאותן של ההתחלות שמתגלמות בו. ההתחלות הן שמות נרדפים לאין סוף ברוך הוא, הן לא תואר או הגדרה לבורא אלא כמו שם נרדף. לומר שהמים חמים זה תואר או הגדרה למים, לומר שהם לחים זה שם נרדף למים. עיין בזה במורה נבוכים א' סוף פרק נ</w:t>
      </w:r>
      <w:r w:rsidR="00F055C8">
        <w:rPr>
          <w:rtl/>
        </w:rPr>
        <w:t>"</w:t>
      </w:r>
      <w:r>
        <w:rPr>
          <w:rFonts w:hint="cs"/>
          <w:rtl/>
        </w:rPr>
        <w:t xml:space="preserve">ג. </w:t>
      </w:r>
    </w:p>
    <w:p w14:paraId="732A7E05" w14:textId="2AA1B238" w:rsidR="0036425E" w:rsidRDefault="0036425E" w:rsidP="006F29F9">
      <w:pPr>
        <w:pStyle w:val="FootnoteText"/>
      </w:pPr>
      <w:bookmarkStart w:id="136" w:name="_Hlk97125687"/>
      <w:r>
        <w:rPr>
          <w:rFonts w:hint="cs"/>
          <w:rtl/>
        </w:rPr>
        <w:t xml:space="preserve">עיין עוד בזה באדם חי </w:t>
      </w:r>
      <w:hyperlink r:id="rId51" w:history="1">
        <w:r w:rsidRPr="0036425E">
          <w:rPr>
            <w:rStyle w:val="Hyperlink"/>
            <w:rFonts w:hint="cs"/>
            <w:rtl/>
          </w:rPr>
          <w:t>רשימה 197</w:t>
        </w:r>
      </w:hyperlink>
      <w:r>
        <w:rPr>
          <w:rFonts w:hint="cs"/>
          <w:rtl/>
        </w:rPr>
        <w:t xml:space="preserve"> ושם </w:t>
      </w:r>
      <w:hyperlink r:id="rId52" w:history="1">
        <w:r w:rsidRPr="0036425E">
          <w:rPr>
            <w:rStyle w:val="Hyperlink"/>
            <w:rFonts w:hint="cs"/>
            <w:rtl/>
          </w:rPr>
          <w:t>רשימה 76</w:t>
        </w:r>
      </w:hyperlink>
      <w:r>
        <w:rPr>
          <w:rFonts w:hint="cs"/>
          <w:rtl/>
        </w:rPr>
        <w:t>.</w:t>
      </w:r>
      <w:bookmarkEnd w:id="136"/>
    </w:p>
  </w:footnote>
  <w:footnote w:id="210">
    <w:p w14:paraId="47DD254D" w14:textId="5E02A414" w:rsidR="00DA3517" w:rsidRDefault="004230BB">
      <w:pPr>
        <w:pStyle w:val="FootnoteText"/>
        <w:rPr>
          <w:rtl/>
        </w:rPr>
      </w:pPr>
      <w:r>
        <w:rPr>
          <w:rStyle w:val="FootnoteReference"/>
        </w:rPr>
        <w:footnoteRef/>
      </w:r>
      <w:r>
        <w:rPr>
          <w:rtl/>
        </w:rPr>
        <w:t xml:space="preserve"> </w:t>
      </w:r>
      <w:r>
        <w:rPr>
          <w:rFonts w:hint="cs"/>
          <w:rtl/>
        </w:rPr>
        <w:t>לא צריך שמשהו אחר יהיה קיים כדי שההתחלה תהיה קיימת. ההתחלה של ההעדר היא החומר הראשון שהוא העדר. וכמו שהבאתי לעיל בהערה בתחילת סעיף זה מדברי האר</w:t>
      </w:r>
      <w:r w:rsidR="00F055C8">
        <w:rPr>
          <w:rtl/>
        </w:rPr>
        <w:t>"</w:t>
      </w:r>
      <w:r>
        <w:rPr>
          <w:rFonts w:hint="cs"/>
          <w:rtl/>
        </w:rPr>
        <w:t>י שהחומר הראשון, ההיולי, כמו שביאר אותו הרמב</w:t>
      </w:r>
      <w:r w:rsidR="00F055C8">
        <w:rPr>
          <w:rtl/>
        </w:rPr>
        <w:t>"</w:t>
      </w:r>
      <w:r>
        <w:rPr>
          <w:rFonts w:hint="cs"/>
          <w:rtl/>
        </w:rPr>
        <w:t>ן על בראשית א' א'</w:t>
      </w:r>
      <w:r w:rsidR="000471EB">
        <w:rPr>
          <w:rtl/>
        </w:rPr>
        <w:fldChar w:fldCharType="begin"/>
      </w:r>
      <w:r w:rsidR="000471EB">
        <w:instrText xml:space="preserve"> XE "</w:instrText>
      </w:r>
      <w:r w:rsidR="000471EB" w:rsidRPr="004711D0">
        <w:rPr>
          <w:rFonts w:hint="cs"/>
          <w:rtl/>
        </w:rPr>
        <w:instrText>הרמב</w:instrText>
      </w:r>
      <w:r w:rsidR="000471EB">
        <w:rPr>
          <w:b/>
          <w:bCs/>
          <w:sz w:val="20"/>
          <w:szCs w:val="20"/>
        </w:rPr>
        <w:instrText>\</w:instrText>
      </w:r>
      <w:r w:rsidR="000471EB" w:rsidRPr="004711D0">
        <w:rPr>
          <w:rFonts w:hint="cs"/>
          <w:rtl/>
        </w:rPr>
        <w:instrText>"ן על בראשית א' א'</w:instrText>
      </w:r>
      <w:r w:rsidR="000471EB">
        <w:instrText xml:space="preserve">" </w:instrText>
      </w:r>
      <w:r w:rsidR="000471EB">
        <w:rPr>
          <w:rtl/>
        </w:rPr>
        <w:fldChar w:fldCharType="end"/>
      </w:r>
      <w:r>
        <w:rPr>
          <w:rFonts w:hint="cs"/>
          <w:rtl/>
        </w:rPr>
        <w:t xml:space="preserve">, הוא </w:t>
      </w:r>
      <w:r w:rsidR="00F055C8">
        <w:rPr>
          <w:rtl/>
        </w:rPr>
        <w:t>"</w:t>
      </w:r>
      <w:r w:rsidRPr="004230BB">
        <w:rPr>
          <w:rtl/>
        </w:rPr>
        <w:t>חלל ואויר פנוי וריקני</w:t>
      </w:r>
      <w:r w:rsidR="00F055C8">
        <w:rPr>
          <w:rtl/>
        </w:rPr>
        <w:t>"</w:t>
      </w:r>
      <w:r>
        <w:rPr>
          <w:rFonts w:hint="cs"/>
          <w:rtl/>
        </w:rPr>
        <w:t xml:space="preserve"> באמצע אור אין סוף. גם הרמב</w:t>
      </w:r>
      <w:r w:rsidR="00F055C8">
        <w:rPr>
          <w:rtl/>
        </w:rPr>
        <w:t>"</w:t>
      </w:r>
      <w:r>
        <w:rPr>
          <w:rFonts w:hint="cs"/>
          <w:rtl/>
        </w:rPr>
        <w:t xml:space="preserve">ן על נקודת ההיולי כתב שאין בה ממש. כשמדובר על ההעדר מצד עצמו, הוא נמשל בנקודה, כיוון שאין בו מאומה וגם הנקודה אין לה אורך רוחב וגובה כלל, וההבדל בין שטח שיש בו נקודה לשטח שאין בו נקודה הוא רק בכך שהנקודה היא פוטנציאל לקו, אבל מצד עצמה אינה מאומה. </w:t>
      </w:r>
      <w:r w:rsidR="00DA3517">
        <w:rPr>
          <w:rFonts w:hint="cs"/>
          <w:rtl/>
        </w:rPr>
        <w:t>כשמדובר על הפוטנציאל שהנקודה הזו מאפשרת ליצירת נבראים מכוחה, כי היא גבול פוטנציאלי שהצורות יכולות אחר כך להצטייר מכוחו, אז הוא נמשל בעיגול, להראות את השטח הפנימי שהוא הפוטנציאל לצורות. לכן באמת אין שום חילוק בין דברי הרמב</w:t>
      </w:r>
      <w:r w:rsidR="00F055C8">
        <w:rPr>
          <w:rtl/>
        </w:rPr>
        <w:t>"</w:t>
      </w:r>
      <w:r w:rsidR="00DA3517">
        <w:rPr>
          <w:rFonts w:hint="cs"/>
          <w:rtl/>
        </w:rPr>
        <w:t>ן, שמקורם באפלטון ואריסטו, לדברי האר</w:t>
      </w:r>
      <w:r w:rsidR="00F055C8">
        <w:rPr>
          <w:rtl/>
        </w:rPr>
        <w:t>"</w:t>
      </w:r>
      <w:r w:rsidR="00DA3517">
        <w:rPr>
          <w:rFonts w:hint="cs"/>
          <w:rtl/>
        </w:rPr>
        <w:t>י. וכמו שכתב האר</w:t>
      </w:r>
      <w:r w:rsidR="00F055C8">
        <w:rPr>
          <w:rtl/>
        </w:rPr>
        <w:t>"</w:t>
      </w:r>
      <w:r w:rsidR="00DA3517">
        <w:rPr>
          <w:rFonts w:hint="cs"/>
          <w:rtl/>
        </w:rPr>
        <w:t>י שם שדבריו מתאימים לשיטת התוכניים דהיינו אריסטו.</w:t>
      </w:r>
    </w:p>
    <w:p w14:paraId="7BBCEF4C" w14:textId="4B309BF8" w:rsidR="004230BB" w:rsidRDefault="00DA3517">
      <w:pPr>
        <w:pStyle w:val="FootnoteText"/>
      </w:pPr>
      <w:r>
        <w:rPr>
          <w:rFonts w:hint="cs"/>
          <w:rtl/>
        </w:rPr>
        <w:t>אותה נקודה של החומר הראשון</w:t>
      </w:r>
      <w:r w:rsidR="009B479D">
        <w:rPr>
          <w:rtl/>
        </w:rPr>
        <w:fldChar w:fldCharType="begin"/>
      </w:r>
      <w:r w:rsidR="009B479D">
        <w:instrText xml:space="preserve"> XE "</w:instrText>
      </w:r>
      <w:r w:rsidR="009B479D" w:rsidRPr="00D835EE">
        <w:rPr>
          <w:rFonts w:hint="cs"/>
          <w:rtl/>
        </w:rPr>
        <w:instrText>החומר הראשון</w:instrText>
      </w:r>
      <w:r w:rsidR="009B479D">
        <w:instrText xml:space="preserve">" </w:instrText>
      </w:r>
      <w:r w:rsidR="009B479D">
        <w:rPr>
          <w:rtl/>
        </w:rPr>
        <w:fldChar w:fldCharType="end"/>
      </w:r>
      <w:r>
        <w:rPr>
          <w:rFonts w:hint="cs"/>
          <w:rtl/>
        </w:rPr>
        <w:t>, ההיולי, היא מה שנקרא בלשון חכמי הקבלה ספירת חכמה</w:t>
      </w:r>
      <w:r w:rsidR="004A00F3">
        <w:rPr>
          <w:rtl/>
        </w:rPr>
        <w:fldChar w:fldCharType="begin"/>
      </w:r>
      <w:r w:rsidR="004A00F3">
        <w:instrText xml:space="preserve"> XE "</w:instrText>
      </w:r>
      <w:r w:rsidR="004A00F3" w:rsidRPr="00AA3F3D">
        <w:rPr>
          <w:rFonts w:hint="cs"/>
          <w:rtl/>
        </w:rPr>
        <w:instrText>ספירת כתר וספירת חכמה</w:instrText>
      </w:r>
      <w:r w:rsidR="004A00F3">
        <w:instrText xml:space="preserve">" </w:instrText>
      </w:r>
      <w:r w:rsidR="004A00F3">
        <w:rPr>
          <w:rtl/>
        </w:rPr>
        <w:fldChar w:fldCharType="end"/>
      </w:r>
      <w:r>
        <w:rPr>
          <w:rFonts w:hint="cs"/>
          <w:rtl/>
        </w:rPr>
        <w:t>, וכמו שכתב שם הרמב</w:t>
      </w:r>
      <w:r w:rsidR="00F055C8">
        <w:rPr>
          <w:rtl/>
        </w:rPr>
        <w:t>"</w:t>
      </w:r>
      <w:r>
        <w:rPr>
          <w:rFonts w:hint="cs"/>
          <w:rtl/>
        </w:rPr>
        <w:t xml:space="preserve">ן בסוף דבריו. מה שמצטייר מכח אותה נקודה ונעשה צורות הוא מה שנקרא אצל חכמי הקבלה ספירת בינה. </w:t>
      </w:r>
      <w:r w:rsidR="008D6688">
        <w:rPr>
          <w:rFonts w:hint="cs"/>
          <w:rtl/>
        </w:rPr>
        <w:t>החומר הראשון הוא חסר כל צורה, ואין לו גבולות, הוא אחדות פשוטה, כמו הבורא עצמו. הוא אותו אחד שנברא על ידי האחד</w:t>
      </w:r>
      <w:r w:rsidR="00FD3985">
        <w:rPr>
          <w:rtl/>
        </w:rPr>
        <w:fldChar w:fldCharType="begin"/>
      </w:r>
      <w:r w:rsidR="00FD3985">
        <w:instrText xml:space="preserve"> XE "</w:instrText>
      </w:r>
      <w:r w:rsidR="00FD3985" w:rsidRPr="00B91886">
        <w:rPr>
          <w:rFonts w:hint="cs"/>
          <w:rtl/>
        </w:rPr>
        <w:instrText>האחד ברא אחד</w:instrText>
      </w:r>
      <w:r w:rsidR="00FD3985">
        <w:instrText xml:space="preserve">" </w:instrText>
      </w:r>
      <w:r w:rsidR="00FD3985">
        <w:rPr>
          <w:rtl/>
        </w:rPr>
        <w:fldChar w:fldCharType="end"/>
      </w:r>
      <w:r w:rsidR="008D6688">
        <w:rPr>
          <w:rFonts w:hint="cs"/>
          <w:rtl/>
        </w:rPr>
        <w:t>, כמו שכתב במורה נבוכים א' ע</w:t>
      </w:r>
      <w:r w:rsidR="00F055C8">
        <w:rPr>
          <w:rtl/>
        </w:rPr>
        <w:t>"</w:t>
      </w:r>
      <w:r w:rsidR="008D6688">
        <w:rPr>
          <w:rFonts w:hint="cs"/>
          <w:rtl/>
        </w:rPr>
        <w:t>ב</w:t>
      </w:r>
      <w:r w:rsidR="007F7ACF">
        <w:rPr>
          <w:rtl/>
        </w:rPr>
        <w:fldChar w:fldCharType="begin"/>
      </w:r>
      <w:r w:rsidR="007F7ACF">
        <w:instrText xml:space="preserve"> XE "</w:instrText>
      </w:r>
      <w:r w:rsidR="007F7ACF" w:rsidRPr="00EB03C0">
        <w:rPr>
          <w:rFonts w:hint="cs"/>
          <w:rtl/>
        </w:rPr>
        <w:instrText>מורה נבוכים א' ע</w:instrText>
      </w:r>
      <w:r w:rsidR="007F7ACF">
        <w:rPr>
          <w:b/>
          <w:bCs/>
          <w:sz w:val="20"/>
          <w:szCs w:val="20"/>
        </w:rPr>
        <w:instrText>\</w:instrText>
      </w:r>
      <w:r w:rsidR="007F7ACF" w:rsidRPr="00EB03C0">
        <w:rPr>
          <w:rFonts w:hint="cs"/>
          <w:rtl/>
        </w:rPr>
        <w:instrText>"ב האחד ברא אחד</w:instrText>
      </w:r>
      <w:r w:rsidR="007F7ACF">
        <w:instrText xml:space="preserve">" </w:instrText>
      </w:r>
      <w:r w:rsidR="007F7ACF">
        <w:rPr>
          <w:rtl/>
        </w:rPr>
        <w:fldChar w:fldCharType="end"/>
      </w:r>
      <w:r w:rsidR="008D6688">
        <w:rPr>
          <w:rFonts w:hint="cs"/>
          <w:rtl/>
        </w:rPr>
        <w:t>. ההיולי הוא נקודה שהיא גבול כגבול, גבול מופשט, לא שגובל בין משהו למשהו (לכן זו רק נקודה ולא קו). זה עניין שאינו נתפש, איננו יכולים לתפוש גבול אלא כקו, מה שמציר צורה על ידי שגובל אותה, ואם היא מופשטת הנקודה גובלת אותה על ידי הגדרה שכלית שגובלת אותה מהגדרות אחרות.</w:t>
      </w:r>
      <w:r w:rsidR="00BB46DA">
        <w:rPr>
          <w:rFonts w:hint="cs"/>
          <w:rtl/>
        </w:rPr>
        <w:t xml:space="preserve"> הגבול כתוחם ומגדיר צורות הוא כבר מה שנקרא בחכמת הקבלה ספירת בינה. הוא הקו של אור אין סוף שכתב עליו האר</w:t>
      </w:r>
      <w:r w:rsidR="00F055C8">
        <w:rPr>
          <w:rtl/>
        </w:rPr>
        <w:t>"</w:t>
      </w:r>
      <w:r w:rsidR="00BB46DA">
        <w:rPr>
          <w:rFonts w:hint="cs"/>
          <w:rtl/>
        </w:rPr>
        <w:t>י שנכנס מייד ובהכרח לעיגול הריק. (מקובל לחשוב שהאר</w:t>
      </w:r>
      <w:r w:rsidR="00F055C8">
        <w:rPr>
          <w:rtl/>
        </w:rPr>
        <w:t>"</w:t>
      </w:r>
      <w:r w:rsidR="00BB46DA">
        <w:rPr>
          <w:rFonts w:hint="cs"/>
          <w:rtl/>
        </w:rPr>
        <w:t xml:space="preserve">י הוא שיטה נפרדת </w:t>
      </w:r>
      <w:r w:rsidR="00BB46DA">
        <w:rPr>
          <w:rFonts w:hint="cs"/>
          <w:rtl/>
        </w:rPr>
        <w:t xml:space="preserve">מחכמת הקבלה שהייתה לפניו, וכל שכן מתורת אריסטו. ובאמת טעות גמורה זו נובעת מקריאה שטחית בלי הבנת תוכן הדברים. באמת אין שום מחלוקת בין החכמים כי החכמה היא אחת. כמו למשל שאין חכם בכל מקום ובכל תקופה שיחלוק על כך שאחת ועוד אחת הן שתיים ולא שלוש, גם אם החכמים האלה לא ראו זה את דבריו של זה) </w:t>
      </w:r>
      <w:r w:rsidR="008D6688">
        <w:rPr>
          <w:rFonts w:hint="cs"/>
          <w:rtl/>
        </w:rPr>
        <w:t xml:space="preserve"> </w:t>
      </w:r>
    </w:p>
  </w:footnote>
  <w:footnote w:id="211">
    <w:p w14:paraId="00355011" w14:textId="4FBE403C" w:rsidR="00F90130" w:rsidRDefault="00F90130">
      <w:pPr>
        <w:pStyle w:val="FootnoteText"/>
      </w:pPr>
      <w:r>
        <w:rPr>
          <w:rStyle w:val="FootnoteReference"/>
        </w:rPr>
        <w:footnoteRef/>
      </w:r>
      <w:r>
        <w:rPr>
          <w:rtl/>
        </w:rPr>
        <w:t xml:space="preserve"> </w:t>
      </w:r>
      <w:r>
        <w:rPr>
          <w:rFonts w:hint="cs"/>
          <w:rtl/>
        </w:rPr>
        <w:t>ההתחלה.</w:t>
      </w:r>
    </w:p>
  </w:footnote>
  <w:footnote w:id="212">
    <w:p w14:paraId="175ED6C4" w14:textId="6B8F0FDB" w:rsidR="00A0519F" w:rsidRDefault="00A0519F">
      <w:pPr>
        <w:pStyle w:val="FootnoteText"/>
      </w:pPr>
      <w:r>
        <w:rPr>
          <w:rStyle w:val="FootnoteReference"/>
        </w:rPr>
        <w:footnoteRef/>
      </w:r>
      <w:r>
        <w:rPr>
          <w:rtl/>
        </w:rPr>
        <w:t xml:space="preserve"> </w:t>
      </w:r>
      <w:r>
        <w:rPr>
          <w:rFonts w:hint="cs"/>
          <w:rtl/>
        </w:rPr>
        <w:t xml:space="preserve">לגבי ההעדר, כלומר החומר הראשון; נקרא לו כך בלי להזכיר את המונח 'התחלה' שמעורר שאלות האם אפשר להשתמש בו לגבי ההעדר, וכמו שיבור לקמן בסמוך. </w:t>
      </w:r>
    </w:p>
  </w:footnote>
  <w:footnote w:id="213">
    <w:p w14:paraId="27B63414" w14:textId="7BD8CE54" w:rsidR="0089557A" w:rsidRDefault="0089557A">
      <w:pPr>
        <w:pStyle w:val="FootnoteText"/>
        <w:rPr>
          <w:rtl/>
        </w:rPr>
      </w:pPr>
      <w:r>
        <w:rPr>
          <w:rStyle w:val="FootnoteReference"/>
        </w:rPr>
        <w:footnoteRef/>
      </w:r>
      <w:r>
        <w:rPr>
          <w:rtl/>
        </w:rPr>
        <w:t xml:space="preserve"> </w:t>
      </w:r>
      <w:r>
        <w:rPr>
          <w:rFonts w:hint="cs"/>
          <w:rtl/>
        </w:rPr>
        <w:t>יש שתי הסתכלויות:</w:t>
      </w:r>
      <w:r>
        <w:rPr>
          <w:rFonts w:hint="cs"/>
        </w:rPr>
        <w:t xml:space="preserve"> </w:t>
      </w:r>
      <w:r>
        <w:rPr>
          <w:rFonts w:hint="cs"/>
          <w:rtl/>
        </w:rPr>
        <w:t>האחת היא שמקור המציאות, ההתחלה, הוא רק הבורא עצמו. השנייה היא שהחומר הראשון</w:t>
      </w:r>
      <w:r w:rsidR="009B479D">
        <w:rPr>
          <w:rtl/>
        </w:rPr>
        <w:fldChar w:fldCharType="begin"/>
      </w:r>
      <w:r w:rsidR="009B479D">
        <w:instrText xml:space="preserve"> XE "</w:instrText>
      </w:r>
      <w:r w:rsidR="009B479D" w:rsidRPr="003142E8">
        <w:rPr>
          <w:rFonts w:hint="cs"/>
          <w:rtl/>
        </w:rPr>
        <w:instrText>החומר הראשון כמקור המציאות</w:instrText>
      </w:r>
      <w:r w:rsidR="009B479D">
        <w:instrText xml:space="preserve">" </w:instrText>
      </w:r>
      <w:r w:rsidR="009B479D">
        <w:rPr>
          <w:rtl/>
        </w:rPr>
        <w:fldChar w:fldCharType="end"/>
      </w:r>
      <w:r>
        <w:rPr>
          <w:rFonts w:hint="cs"/>
          <w:rtl/>
        </w:rPr>
        <w:t xml:space="preserve"> הוא מקור המציאות</w:t>
      </w:r>
      <w:r w:rsidR="00BA4EAD">
        <w:rPr>
          <w:rFonts w:hint="cs"/>
          <w:rtl/>
        </w:rPr>
        <w:t xml:space="preserve"> (ההסתכלות השנייה הזו נכונה אחרי שזוכרים שהבורא עצמו ברא את ההעדר, ואז ההעדר הוא מקור מציאות העולם כמו שהשמש היא מקור החיים הטבעיים, הם שרים שהקב</w:t>
      </w:r>
      <w:r w:rsidR="00F055C8">
        <w:rPr>
          <w:rtl/>
        </w:rPr>
        <w:t>"</w:t>
      </w:r>
      <w:r w:rsidR="00BA4EAD">
        <w:rPr>
          <w:rFonts w:hint="cs"/>
          <w:rtl/>
        </w:rPr>
        <w:t>ה מינה למשול בעולמו. אבל אם סוברים שהחומר הראשון הוא המדרגה העליונה ביותר, הוא האל עצמו, זו הטעות של אצילי בני ישראל (עי' מורה נבוכים א' ה', א' כ</w:t>
      </w:r>
      <w:r w:rsidR="00F055C8">
        <w:rPr>
          <w:rtl/>
        </w:rPr>
        <w:t>"</w:t>
      </w:r>
      <w:r w:rsidR="00BA4EAD">
        <w:rPr>
          <w:rFonts w:hint="cs"/>
          <w:rtl/>
        </w:rPr>
        <w:t>ח, ב' כ</w:t>
      </w:r>
      <w:r w:rsidR="00F055C8">
        <w:rPr>
          <w:rtl/>
        </w:rPr>
        <w:t>"</w:t>
      </w:r>
      <w:r w:rsidR="00BA4EAD">
        <w:rPr>
          <w:rFonts w:hint="cs"/>
          <w:rtl/>
        </w:rPr>
        <w:t xml:space="preserve">ו), וזו הטעות של אבן </w:t>
      </w:r>
      <w:r w:rsidR="00BA4EAD">
        <w:rPr>
          <w:rFonts w:hint="cs"/>
          <w:rtl/>
        </w:rPr>
        <w:t>רושד ושפינוזה, ושל אנשי הצאב</w:t>
      </w:r>
      <w:r w:rsidR="00F055C8">
        <w:rPr>
          <w:rtl/>
        </w:rPr>
        <w:t>"</w:t>
      </w:r>
      <w:r w:rsidR="00BA4EAD">
        <w:rPr>
          <w:rFonts w:hint="cs"/>
          <w:rtl/>
        </w:rPr>
        <w:t>ה שהאמינו בנפש הגלגל, והיא הדעה שהביא במורה נבוכים ב' א' שהאלוה הוא נפש הגלגל</w:t>
      </w:r>
      <w:r>
        <w:rPr>
          <w:rFonts w:hint="cs"/>
          <w:rtl/>
        </w:rPr>
        <w:t xml:space="preserve">. </w:t>
      </w:r>
    </w:p>
    <w:p w14:paraId="7022C7BC" w14:textId="3D6F72F5" w:rsidR="0089557A" w:rsidRDefault="0089557A">
      <w:pPr>
        <w:pStyle w:val="FootnoteText"/>
        <w:rPr>
          <w:rtl/>
        </w:rPr>
      </w:pPr>
      <w:r>
        <w:rPr>
          <w:rFonts w:hint="cs"/>
          <w:rtl/>
        </w:rPr>
        <w:t>במורה נבוכים א' ע</w:t>
      </w:r>
      <w:r w:rsidR="00F055C8">
        <w:rPr>
          <w:rtl/>
        </w:rPr>
        <w:t>"</w:t>
      </w:r>
      <w:r>
        <w:rPr>
          <w:rFonts w:hint="cs"/>
          <w:rtl/>
        </w:rPr>
        <w:t>ב כתב שהמציאות כולה היא 'אחד' גמור, כי האחד ברא אחד</w:t>
      </w:r>
      <w:r w:rsidR="00FD3985">
        <w:rPr>
          <w:rtl/>
        </w:rPr>
        <w:fldChar w:fldCharType="begin"/>
      </w:r>
      <w:r w:rsidR="00FD3985">
        <w:instrText xml:space="preserve"> XE "</w:instrText>
      </w:r>
      <w:r w:rsidR="00FD3985" w:rsidRPr="00EE11CF">
        <w:rPr>
          <w:rFonts w:hint="cs"/>
          <w:rtl/>
        </w:rPr>
        <w:instrText>האחד ברא אחד</w:instrText>
      </w:r>
      <w:r w:rsidR="00FD3985">
        <w:instrText xml:space="preserve">" </w:instrText>
      </w:r>
      <w:r w:rsidR="00FD3985">
        <w:rPr>
          <w:rtl/>
        </w:rPr>
        <w:fldChar w:fldCharType="end"/>
      </w:r>
      <w:r>
        <w:rPr>
          <w:rFonts w:hint="cs"/>
          <w:rtl/>
        </w:rPr>
        <w:t xml:space="preserve">. </w:t>
      </w:r>
    </w:p>
    <w:p w14:paraId="285D6E8F" w14:textId="65E9084A" w:rsidR="0089557A" w:rsidRDefault="0089557A" w:rsidP="0089557A">
      <w:pPr>
        <w:pStyle w:val="FootnoteText"/>
        <w:rPr>
          <w:rtl/>
        </w:rPr>
      </w:pPr>
      <w:bookmarkStart w:id="137" w:name="_Hlk98637675"/>
      <w:r>
        <w:rPr>
          <w:rFonts w:hint="cs"/>
          <w:rtl/>
        </w:rPr>
        <w:t>ב</w:t>
      </w:r>
      <w:r>
        <w:rPr>
          <w:rtl/>
        </w:rPr>
        <w:t>מהר</w:t>
      </w:r>
      <w:r w:rsidR="00F055C8">
        <w:rPr>
          <w:rtl/>
        </w:rPr>
        <w:t>"</w:t>
      </w:r>
      <w:r>
        <w:rPr>
          <w:rtl/>
        </w:rPr>
        <w:t>ל נצח ישראל פרק ג' כתב:</w:t>
      </w:r>
    </w:p>
    <w:p w14:paraId="534D55E6" w14:textId="7B4D1CE5" w:rsidR="0089557A" w:rsidRDefault="00F055C8" w:rsidP="0089557A">
      <w:pPr>
        <w:pStyle w:val="FootnoteText"/>
        <w:rPr>
          <w:rtl/>
        </w:rPr>
      </w:pPr>
      <w:r>
        <w:rPr>
          <w:rtl/>
        </w:rPr>
        <w:t>"</w:t>
      </w:r>
      <w:r w:rsidR="0089557A">
        <w:rPr>
          <w:rtl/>
        </w:rPr>
        <w:t>והקושיא איך יבוא הריבוי מן האחד הפשוט, אנו אומרים כי מן השם יתברך אשר הוא אחד [נשפע ממנו דבר אחד], והוא ראשית הבריאה. ואחר כך הושפע עוד על הראשית. וחילוק גדול יש, כי כאשר הראשית כבר נמצא, אז יושפע על זה עוד. שאילו הושפע מאיתו שני דברים כל אחד בפני עצמו, היה קשה איך יושפע מן האחד שני דברים מחולקים. אבל יושפע ממנו דבר אחד, והוא ראשית הבריאה, ואחר כך הושפע על הראשית.</w:t>
      </w:r>
      <w:bookmarkEnd w:id="137"/>
      <w:r w:rsidR="0089557A">
        <w:rPr>
          <w:rtl/>
        </w:rPr>
        <w:t xml:space="preserve"> והרי חילוף וריבוי הנמצאים הם מצד המקבל. כי אף כי מן האחד לא יושפע רק אחד, מכל מקום כאשר נמצא האחד אשר הוא אחד, אז מצד המקבל אשר הוא נמצא עתה שייך תוספת, כאשר המקבל ראוי אל מה שיתוסף עליו, ולכך הכל הוא מצד המקבל.</w:t>
      </w:r>
      <w:r>
        <w:rPr>
          <w:rtl/>
        </w:rPr>
        <w:t>"</w:t>
      </w:r>
    </w:p>
    <w:p w14:paraId="6BD1B6BB" w14:textId="1FAC5E58" w:rsidR="00CC172A" w:rsidRDefault="0089557A" w:rsidP="0089557A">
      <w:pPr>
        <w:pStyle w:val="FootnoteText"/>
        <w:rPr>
          <w:rtl/>
        </w:rPr>
      </w:pPr>
      <w:r>
        <w:rPr>
          <w:rFonts w:hint="cs"/>
          <w:rtl/>
        </w:rPr>
        <w:t>האחד</w:t>
      </w:r>
      <w:r w:rsidR="00CC172A">
        <w:rPr>
          <w:rFonts w:hint="cs"/>
          <w:rtl/>
        </w:rPr>
        <w:t>,</w:t>
      </w:r>
      <w:r>
        <w:rPr>
          <w:rFonts w:hint="cs"/>
          <w:rtl/>
        </w:rPr>
        <w:t xml:space="preserve"> שהוא ההשפעה הראשונה</w:t>
      </w:r>
      <w:r w:rsidR="00CC172A">
        <w:rPr>
          <w:rFonts w:hint="cs"/>
          <w:rtl/>
        </w:rPr>
        <w:t>,</w:t>
      </w:r>
      <w:r>
        <w:rPr>
          <w:rFonts w:hint="cs"/>
          <w:rtl/>
        </w:rPr>
        <w:t xml:space="preserve"> הוא החומר הראשון, וכן כתב ג</w:t>
      </w:r>
      <w:r w:rsidR="00CC172A">
        <w:rPr>
          <w:rFonts w:hint="cs"/>
          <w:rtl/>
        </w:rPr>
        <w:t>ם</w:t>
      </w:r>
      <w:r>
        <w:rPr>
          <w:rFonts w:hint="cs"/>
          <w:rtl/>
        </w:rPr>
        <w:t xml:space="preserve"> הרמב</w:t>
      </w:r>
      <w:r w:rsidR="00F055C8">
        <w:rPr>
          <w:rtl/>
        </w:rPr>
        <w:t>"</w:t>
      </w:r>
      <w:r>
        <w:rPr>
          <w:rFonts w:hint="cs"/>
          <w:rtl/>
        </w:rPr>
        <w:t xml:space="preserve">ן </w:t>
      </w:r>
      <w:r w:rsidR="00CC172A">
        <w:rPr>
          <w:rFonts w:hint="cs"/>
          <w:rtl/>
        </w:rPr>
        <w:t>על בראשית א' א' שההיולי הוא הדבר האחד שנברא ישירות מחפצו של הבורא יש מאין.</w:t>
      </w:r>
    </w:p>
    <w:p w14:paraId="729F01A2" w14:textId="5F01925D" w:rsidR="00CC172A" w:rsidRDefault="00CC172A" w:rsidP="0089557A">
      <w:pPr>
        <w:pStyle w:val="FootnoteText"/>
        <w:rPr>
          <w:rtl/>
        </w:rPr>
      </w:pPr>
      <w:r>
        <w:rPr>
          <w:rFonts w:hint="cs"/>
          <w:rtl/>
        </w:rPr>
        <w:t>המורה נבוכים א' ה' בצירוף עם א' כ</w:t>
      </w:r>
      <w:r w:rsidR="00F055C8">
        <w:rPr>
          <w:rtl/>
        </w:rPr>
        <w:t>"</w:t>
      </w:r>
      <w:r>
        <w:rPr>
          <w:rFonts w:hint="cs"/>
          <w:rtl/>
        </w:rPr>
        <w:t>ח וב' כ</w:t>
      </w:r>
      <w:r w:rsidR="00F055C8">
        <w:rPr>
          <w:rtl/>
        </w:rPr>
        <w:t>"</w:t>
      </w:r>
      <w:r>
        <w:rPr>
          <w:rFonts w:hint="cs"/>
          <w:rtl/>
        </w:rPr>
        <w:t>ו, מבאר שאצילי בני ישראל חזו בחומר הראשון וסברו שהוא האלוה עצמו.</w:t>
      </w:r>
    </w:p>
    <w:p w14:paraId="169A0154" w14:textId="3C081673" w:rsidR="00CC172A" w:rsidRDefault="00CC172A" w:rsidP="0089557A">
      <w:pPr>
        <w:pStyle w:val="FootnoteText"/>
        <w:rPr>
          <w:rtl/>
        </w:rPr>
      </w:pPr>
      <w:r>
        <w:rPr>
          <w:rFonts w:hint="cs"/>
          <w:rtl/>
        </w:rPr>
        <w:t>בפירוש הראב</w:t>
      </w:r>
      <w:r w:rsidR="00F055C8">
        <w:rPr>
          <w:rtl/>
        </w:rPr>
        <w:t>"</w:t>
      </w:r>
      <w:r>
        <w:rPr>
          <w:rFonts w:hint="cs"/>
          <w:rtl/>
        </w:rPr>
        <w:t>ד על ספר יצירה בהקדמתו כתב על לשון הרמב</w:t>
      </w:r>
      <w:r w:rsidR="00F055C8">
        <w:rPr>
          <w:rtl/>
        </w:rPr>
        <w:t>"</w:t>
      </w:r>
      <w:r>
        <w:rPr>
          <w:rFonts w:hint="cs"/>
          <w:rtl/>
        </w:rPr>
        <w:t xml:space="preserve">ם בתחילת משנה תורה שכתב </w:t>
      </w:r>
      <w:r w:rsidR="00F055C8">
        <w:rPr>
          <w:rtl/>
        </w:rPr>
        <w:t>"</w:t>
      </w:r>
      <w:r w:rsidRPr="00CC172A">
        <w:rPr>
          <w:rtl/>
        </w:rPr>
        <w:t>וְכָל הַנִּמְצָאִי</w:t>
      </w:r>
      <w:r>
        <w:rPr>
          <w:rFonts w:hint="cs"/>
          <w:rtl/>
        </w:rPr>
        <w:t>ם</w:t>
      </w:r>
      <w:r w:rsidRPr="00CC172A">
        <w:rPr>
          <w:rtl/>
        </w:rPr>
        <w:t xml:space="preserve"> מִן שָׁמַיִם וָאָרֶץ וּמַה שֶּׁבֵּינֵיהֶן לֹא נִמְצְאוּ אֶלָּא מֵ</w:t>
      </w:r>
      <w:bookmarkStart w:id="138" w:name="_Hlk97120697"/>
      <w:r w:rsidRPr="00CC172A">
        <w:rPr>
          <w:rtl/>
        </w:rPr>
        <w:t>אֲמִתַּת הִמָּצְאוֹ</w:t>
      </w:r>
      <w:bookmarkEnd w:id="138"/>
      <w:r w:rsidR="00F055C8">
        <w:rPr>
          <w:rtl/>
        </w:rPr>
        <w:t>"</w:t>
      </w:r>
      <w:r>
        <w:rPr>
          <w:rFonts w:hint="cs"/>
          <w:rtl/>
        </w:rPr>
        <w:t xml:space="preserve">, שלכאורה הלשון </w:t>
      </w:r>
      <w:r w:rsidR="00F055C8">
        <w:rPr>
          <w:rtl/>
        </w:rPr>
        <w:t>"</w:t>
      </w:r>
      <w:r>
        <w:rPr>
          <w:rFonts w:hint="cs"/>
          <w:rtl/>
        </w:rPr>
        <w:t>אמיתת</w:t>
      </w:r>
      <w:r w:rsidR="00F055C8">
        <w:rPr>
          <w:rtl/>
        </w:rPr>
        <w:t>"</w:t>
      </w:r>
      <w:r>
        <w:rPr>
          <w:rFonts w:hint="cs"/>
          <w:rtl/>
        </w:rPr>
        <w:t xml:space="preserve"> מיותר ואין לו מובן, והיה צריך לכתוב שהם נמצאו מהימצאו. אלא </w:t>
      </w:r>
      <w:r w:rsidR="00F055C8">
        <w:rPr>
          <w:rtl/>
        </w:rPr>
        <w:t>"</w:t>
      </w:r>
      <w:r w:rsidRPr="00CC172A">
        <w:rPr>
          <w:rtl/>
        </w:rPr>
        <w:t>אֲמִתַּת הִמָּצְאוֹ</w:t>
      </w:r>
      <w:r w:rsidR="00F055C8">
        <w:rPr>
          <w:rtl/>
        </w:rPr>
        <w:t>"</w:t>
      </w:r>
      <w:r>
        <w:rPr>
          <w:rFonts w:hint="cs"/>
          <w:rtl/>
        </w:rPr>
        <w:t xml:space="preserve"> פירושו החומר הראשון.</w:t>
      </w:r>
    </w:p>
    <w:p w14:paraId="44A76034" w14:textId="1C122B47" w:rsidR="00162F90" w:rsidRDefault="00162F90" w:rsidP="0089557A">
      <w:pPr>
        <w:pStyle w:val="FootnoteText"/>
        <w:rPr>
          <w:rtl/>
        </w:rPr>
      </w:pPr>
      <w:r>
        <w:rPr>
          <w:rFonts w:hint="cs"/>
          <w:rtl/>
        </w:rPr>
        <w:t>עיין באינדקס על עקרה (השיר של רחל)</w:t>
      </w:r>
      <w:r w:rsidR="00C036CF">
        <w:rPr>
          <w:rtl/>
        </w:rPr>
        <w:fldChar w:fldCharType="begin"/>
      </w:r>
      <w:r w:rsidR="00C036CF">
        <w:instrText xml:space="preserve"> XE "</w:instrText>
      </w:r>
      <w:r w:rsidR="00C036CF" w:rsidRPr="00C81E50">
        <w:rPr>
          <w:rFonts w:hint="cs"/>
          <w:rtl/>
        </w:rPr>
        <w:instrText>עקרה (השיר של רחל)</w:instrText>
      </w:r>
      <w:r w:rsidR="00C036CF">
        <w:instrText xml:space="preserve">" </w:instrText>
      </w:r>
      <w:r w:rsidR="00C036CF">
        <w:rPr>
          <w:rtl/>
        </w:rPr>
        <w:fldChar w:fldCharType="end"/>
      </w:r>
      <w:r>
        <w:rPr>
          <w:rFonts w:hint="cs"/>
          <w:rtl/>
        </w:rPr>
        <w:t xml:space="preserve"> היכן התבאר עניין זה לעיל בספרנו, איך החומר הראשון הוא הסיבה להצטיירות הצורות והמניע לציורן, ומשום כך הוא נחשב התחלה ומקור למציאותן. </w:t>
      </w:r>
    </w:p>
    <w:p w14:paraId="66EB2240" w14:textId="77777777" w:rsidR="00162F90" w:rsidRDefault="00162F90" w:rsidP="0089557A">
      <w:pPr>
        <w:pStyle w:val="FootnoteText"/>
        <w:rPr>
          <w:rtl/>
        </w:rPr>
      </w:pPr>
      <w:r>
        <w:rPr>
          <w:rFonts w:hint="cs"/>
          <w:rtl/>
        </w:rPr>
        <w:t>מותר לראות בחומר הראשון מקור למציאות, רק בכפוף לכל שרואים שהאלוה עצמו ברצונו החופשי הוא המקור העליון הראשון האמיתי והמוחלט של המציאות, והחומר הראשון פועל רק מהכח שנתן בו בוראו. כמו שאפשר לראות שהשמש היא מקור החיים שבטבע, אבל רק בכפוף לכל שהיא משרתת של הבורא עצמו ולא כמקור עצמאי ראשוני.</w:t>
      </w:r>
    </w:p>
    <w:p w14:paraId="1F2E14EA" w14:textId="77777777" w:rsidR="0025706C" w:rsidRDefault="00162F90" w:rsidP="0089557A">
      <w:pPr>
        <w:pStyle w:val="FootnoteText"/>
        <w:rPr>
          <w:rtl/>
        </w:rPr>
      </w:pPr>
      <w:r>
        <w:rPr>
          <w:rFonts w:hint="cs"/>
          <w:rtl/>
        </w:rPr>
        <w:t>החומר הראשון הוא ספירת החכמה, שם התחיל השכל, והתחילה הסיבתיות</w:t>
      </w:r>
      <w:r w:rsidR="0025706C">
        <w:rPr>
          <w:rFonts w:hint="cs"/>
          <w:rtl/>
        </w:rPr>
        <w:t>, והסיבתיות כוללת את המושגים של קודם ומאוחר - הסיבה קודמת למסובב. אם החומר הראשון הוא התחלה, הוא קודם לעצם שהוא התחלה שלו, כי הוא סיבת מציאותו</w:t>
      </w:r>
      <w:r>
        <w:rPr>
          <w:rFonts w:hint="cs"/>
          <w:rtl/>
        </w:rPr>
        <w:t>.</w:t>
      </w:r>
    </w:p>
    <w:p w14:paraId="3A0DDE44" w14:textId="70B626D8" w:rsidR="0089557A" w:rsidRDefault="0025706C" w:rsidP="0089557A">
      <w:pPr>
        <w:pStyle w:val="FootnoteText"/>
      </w:pPr>
      <w:r>
        <w:rPr>
          <w:rFonts w:hint="cs"/>
          <w:rtl/>
        </w:rPr>
        <w:t>הבריאה הראשונית הישירה של הבורא עצמו, יש מאין, היא ממקום שהוא מעל ספירת החכמה, דהיינו ספירת כתר והאין סוף ברוך הוא. שם אין סיבתיות, אין את חוק הסתירה עצמו שהוא תחילת השכל, אין שום הגדרת עצמים או מהויות, אין הבחנה בין 'בורא' ל'נברא', כי אין הגדרה שקובעת מהות של דבר. אין שם שינוי כי שינוי מכריח הגדרה של א' ושל ב' שנאמר שהשתנה מא' לב'. חוסר השינוי אינו קיבעון, כי קיבעון הוא להישאר באותה הגדרה ואותה מהות, ושם אין הגדרה ולא מהות. לכן כשמדברים על הבריאה הראשונה מהבורא עצמו, שהוא ברא</w:t>
      </w:r>
      <w:r w:rsidR="00B12CF2">
        <w:rPr>
          <w:rFonts w:hint="cs"/>
          <w:rtl/>
        </w:rPr>
        <w:t xml:space="preserve"> ברצונו החופשי הראשון</w:t>
      </w:r>
      <w:r>
        <w:rPr>
          <w:rFonts w:hint="cs"/>
          <w:rtl/>
        </w:rPr>
        <w:t xml:space="preserve"> את החומר הראשון ומהחומר הראשון השתלשלו שאר הנבראים המוגדרים,</w:t>
      </w:r>
      <w:r w:rsidR="00B12CF2">
        <w:rPr>
          <w:rFonts w:hint="cs"/>
          <w:rtl/>
        </w:rPr>
        <w:t xml:space="preserve"> ומציאות כולם מתייחסת כסיבה ראשונה והתחלה מוחלטת רק לבורא עצמו, שם אין קדימה ואיחור</w:t>
      </w:r>
      <w:r>
        <w:rPr>
          <w:rFonts w:hint="cs"/>
          <w:rtl/>
        </w:rPr>
        <w:t>.</w:t>
      </w:r>
      <w:r w:rsidR="00B12CF2">
        <w:rPr>
          <w:rFonts w:hint="cs"/>
          <w:rtl/>
        </w:rPr>
        <w:t xml:space="preserve"> מבחינה זו רק הבורא עצמו נקרא התחלה ואין בה קדימה ואיחור (עיין עוד בזה במורה נבוכים ב' מ</w:t>
      </w:r>
      <w:r w:rsidR="00F055C8">
        <w:rPr>
          <w:rtl/>
        </w:rPr>
        <w:t>"</w:t>
      </w:r>
      <w:r w:rsidR="00B12CF2">
        <w:rPr>
          <w:rFonts w:hint="cs"/>
          <w:rtl/>
        </w:rPr>
        <w:t>ח</w:t>
      </w:r>
      <w:r w:rsidR="007F7ACF">
        <w:rPr>
          <w:rtl/>
        </w:rPr>
        <w:fldChar w:fldCharType="begin"/>
      </w:r>
      <w:r w:rsidR="007F7ACF">
        <w:instrText xml:space="preserve"> XE "</w:instrText>
      </w:r>
      <w:r w:rsidR="007F7ACF" w:rsidRPr="00EB03C0">
        <w:rPr>
          <w:rFonts w:hint="cs"/>
          <w:rtl/>
        </w:rPr>
        <w:instrText>מורה נבוכים ב' מ</w:instrText>
      </w:r>
      <w:r w:rsidR="007F7ACF">
        <w:rPr>
          <w:b/>
          <w:bCs/>
          <w:sz w:val="20"/>
          <w:szCs w:val="20"/>
        </w:rPr>
        <w:instrText>\</w:instrText>
      </w:r>
      <w:r w:rsidR="007F7ACF" w:rsidRPr="00EB03C0">
        <w:rPr>
          <w:rFonts w:hint="cs"/>
          <w:rtl/>
        </w:rPr>
        <w:instrText>"ח</w:instrText>
      </w:r>
      <w:r w:rsidR="007F7ACF">
        <w:instrText xml:space="preserve">" </w:instrText>
      </w:r>
      <w:r w:rsidR="007F7ACF">
        <w:rPr>
          <w:rtl/>
        </w:rPr>
        <w:fldChar w:fldCharType="end"/>
      </w:r>
      <w:r w:rsidR="00B12CF2">
        <w:rPr>
          <w:rFonts w:hint="cs"/>
          <w:rtl/>
        </w:rPr>
        <w:t>). אבן סינא אומר שהשאלה האם נקרא לחומר הראשון 'התחלה' ואז המושג התחלה יהיו בו קדימה ואיחור, היא רק פלפול סמנטי.</w:t>
      </w:r>
    </w:p>
  </w:footnote>
  <w:footnote w:id="214">
    <w:p w14:paraId="7BC0F10F" w14:textId="7FB89D14" w:rsidR="00A34072" w:rsidRDefault="00A34072" w:rsidP="00D26757">
      <w:pPr>
        <w:pStyle w:val="FootnoteText"/>
      </w:pPr>
      <w:r>
        <w:rPr>
          <w:rStyle w:val="FootnoteReference"/>
        </w:rPr>
        <w:footnoteRef/>
      </w:r>
      <w:r>
        <w:rPr>
          <w:rtl/>
        </w:rPr>
        <w:t xml:space="preserve"> </w:t>
      </w:r>
      <w:r>
        <w:rPr>
          <w:rFonts w:hint="cs"/>
          <w:rtl/>
        </w:rPr>
        <w:t xml:space="preserve">כמו שכתב אריסטו </w:t>
      </w:r>
      <w:r w:rsidRPr="00A34072">
        <w:rPr>
          <w:rtl/>
        </w:rPr>
        <w:t xml:space="preserve">במטאפיזיקה למבדא </w:t>
      </w:r>
      <w:r>
        <w:rPr>
          <w:rFonts w:hint="cs"/>
          <w:rtl/>
        </w:rPr>
        <w:t xml:space="preserve">סוף </w:t>
      </w:r>
      <w:r w:rsidRPr="00A34072">
        <w:rPr>
          <w:rtl/>
        </w:rPr>
        <w:t>פרק ב'</w:t>
      </w:r>
      <w:r>
        <w:rPr>
          <w:rFonts w:hint="cs"/>
          <w:rtl/>
        </w:rPr>
        <w:t xml:space="preserve">, ובפיזיקה </w:t>
      </w:r>
      <w:r>
        <w:rPr>
          <w:rFonts w:hint="cs"/>
          <w:rtl/>
        </w:rPr>
        <w:t xml:space="preserve">190ב-191א. </w:t>
      </w:r>
    </w:p>
  </w:footnote>
  <w:footnote w:id="215">
    <w:p w14:paraId="37B790C2" w14:textId="59ACE673" w:rsidR="00677748" w:rsidRPr="003F7C58" w:rsidRDefault="00B8537E">
      <w:pPr>
        <w:pStyle w:val="FootnoteText"/>
        <w:rPr>
          <w:rtl/>
        </w:rPr>
      </w:pPr>
      <w:r>
        <w:rPr>
          <w:rStyle w:val="FootnoteReference"/>
        </w:rPr>
        <w:footnoteRef/>
      </w:r>
      <w:r>
        <w:rPr>
          <w:rtl/>
        </w:rPr>
        <w:t xml:space="preserve"> </w:t>
      </w:r>
      <w:r w:rsidRPr="00A42828">
        <w:rPr>
          <w:rtl/>
        </w:rPr>
        <w:t xml:space="preserve">במקור: </w:t>
      </w:r>
      <w:r w:rsidRPr="00A42828">
        <w:rPr>
          <w:rFonts w:ascii="Arial" w:hAnsi="Arial" w:cs="Arial" w:hint="cs"/>
          <w:rtl/>
          <w:lang w:bidi="ar-SA"/>
        </w:rPr>
        <w:t>الجدل</w:t>
      </w:r>
      <w:r w:rsidR="00A42828" w:rsidRPr="00A42828">
        <w:rPr>
          <w:rtl/>
        </w:rPr>
        <w:t xml:space="preserve">, </w:t>
      </w:r>
      <w:r w:rsidR="00A42828" w:rsidRPr="00A42828">
        <w:rPr>
          <w:rtl/>
        </w:rPr>
        <w:t>ג'דל</w:t>
      </w:r>
      <w:r w:rsidRPr="00A42828">
        <w:rPr>
          <w:rtl/>
        </w:rPr>
        <w:t>.</w:t>
      </w:r>
      <w:r w:rsidR="00677748" w:rsidRPr="00A42828">
        <w:t xml:space="preserve"> </w:t>
      </w:r>
      <w:r w:rsidR="00677748" w:rsidRPr="00A42828">
        <w:rPr>
          <w:rtl/>
        </w:rPr>
        <w:t xml:space="preserve"> </w:t>
      </w:r>
      <w:r w:rsidR="00A81081">
        <w:rPr>
          <w:rFonts w:hint="cs"/>
          <w:rtl/>
        </w:rPr>
        <w:t>הוא המקביל הערבי</w:t>
      </w:r>
      <w:r w:rsidR="00677748" w:rsidRPr="003F7C58">
        <w:rPr>
          <w:rtl/>
        </w:rPr>
        <w:t xml:space="preserve"> </w:t>
      </w:r>
      <w:r w:rsidR="00A81081">
        <w:rPr>
          <w:rFonts w:hint="cs"/>
          <w:rtl/>
        </w:rPr>
        <w:t xml:space="preserve">למונח היווני 'דיאלקטיקה'. </w:t>
      </w:r>
    </w:p>
    <w:p w14:paraId="2AC6E40F" w14:textId="4E184D0C" w:rsidR="00EF4391" w:rsidRPr="003F7C58" w:rsidRDefault="00677748">
      <w:pPr>
        <w:pStyle w:val="FootnoteText"/>
        <w:rPr>
          <w:rtl/>
        </w:rPr>
      </w:pPr>
      <w:r w:rsidRPr="003F7C58">
        <w:rPr>
          <w:rtl/>
        </w:rPr>
        <w:t xml:space="preserve">למונח </w:t>
      </w:r>
      <w:r w:rsidR="00780618" w:rsidRPr="003F7C58">
        <w:rPr>
          <w:rtl/>
        </w:rPr>
        <w:t>'</w:t>
      </w:r>
      <w:r w:rsidRPr="003F7C58">
        <w:rPr>
          <w:rtl/>
        </w:rPr>
        <w:t>דיאלקטיקה</w:t>
      </w:r>
      <w:r w:rsidR="00780618" w:rsidRPr="003F7C58">
        <w:rPr>
          <w:rtl/>
        </w:rPr>
        <w:t>'</w:t>
      </w:r>
      <w:r w:rsidRPr="003F7C58">
        <w:rPr>
          <w:rtl/>
        </w:rPr>
        <w:t xml:space="preserve"> יש מובנים שונים אצל סוקראטס אפלטון ואריסטו. </w:t>
      </w:r>
    </w:p>
    <w:p w14:paraId="3B80EA03" w14:textId="281AE4C3" w:rsidR="00677748" w:rsidRPr="003F7C58" w:rsidRDefault="00677748">
      <w:pPr>
        <w:pStyle w:val="FootnoteText"/>
        <w:rPr>
          <w:rtl/>
        </w:rPr>
      </w:pPr>
      <w:r w:rsidRPr="003F7C58">
        <w:rPr>
          <w:rtl/>
        </w:rPr>
        <w:t>אצל סוקראטס פירושו דרך הויכוח שלו עם בני שיחו בדיאלוגים הסוקרטיים.</w:t>
      </w:r>
    </w:p>
    <w:p w14:paraId="397602B4" w14:textId="6FED93B1" w:rsidR="00780618" w:rsidRPr="003F7C58" w:rsidRDefault="00677748">
      <w:pPr>
        <w:pStyle w:val="FootnoteText"/>
        <w:rPr>
          <w:rtl/>
        </w:rPr>
      </w:pPr>
      <w:r w:rsidRPr="003F7C58">
        <w:rPr>
          <w:rtl/>
        </w:rPr>
        <w:t xml:space="preserve">אצל אפלטון </w:t>
      </w:r>
      <w:r w:rsidR="00780618" w:rsidRPr="003F7C58">
        <w:rPr>
          <w:rtl/>
        </w:rPr>
        <w:t>'</w:t>
      </w:r>
      <w:r w:rsidRPr="003F7C58">
        <w:rPr>
          <w:rtl/>
        </w:rPr>
        <w:t>דיאלקטיקה</w:t>
      </w:r>
      <w:r w:rsidR="00780618" w:rsidRPr="003F7C58">
        <w:rPr>
          <w:rtl/>
        </w:rPr>
        <w:t>'</w:t>
      </w:r>
      <w:r w:rsidRPr="003F7C58">
        <w:rPr>
          <w:rtl/>
        </w:rPr>
        <w:t xml:space="preserve"> פירושו השגת הפילוסופיה הראשונה, האמיתית, על ידי שרשרת התבוננויות שמביאות עד השגת האלוה. עיין בזה בפוליטיאה ספר ז', </w:t>
      </w:r>
      <w:r w:rsidR="00780618" w:rsidRPr="003F7C58">
        <w:rPr>
          <w:rtl/>
        </w:rPr>
        <w:t xml:space="preserve">דף 533. </w:t>
      </w:r>
    </w:p>
    <w:p w14:paraId="18F2471D" w14:textId="078B2C8C" w:rsidR="00106CB6" w:rsidRPr="003F7C58" w:rsidRDefault="00780618" w:rsidP="00292FD8">
      <w:pPr>
        <w:pStyle w:val="FootnoteText"/>
        <w:rPr>
          <w:rtl/>
        </w:rPr>
      </w:pPr>
      <w:r w:rsidRPr="003F7C58">
        <w:rPr>
          <w:rtl/>
        </w:rPr>
        <w:t>אצל אריסטו הכוונה ב'דיאלקטיקה' היא לשכל הדברי, או הכח המדבר, או השכל השימושי, שהוא השכל שהאדם נולד איתו ומשתמשים בו בחיי היום יום ובלימוד המלאכו</w:t>
      </w:r>
      <w:r w:rsidR="00292FD8" w:rsidRPr="003F7C58">
        <w:rPr>
          <w:rtl/>
        </w:rPr>
        <w:t>ת, בניגוד להתבוננות של השכל העיוני שמשיג את המופשט כמו</w:t>
      </w:r>
      <w:r w:rsidR="00EF4391" w:rsidRPr="003F7C58">
        <w:rPr>
          <w:rtl/>
        </w:rPr>
        <w:t xml:space="preserve"> </w:t>
      </w:r>
      <w:r w:rsidR="00292FD8" w:rsidRPr="003F7C58">
        <w:rPr>
          <w:rtl/>
        </w:rPr>
        <w:t>שעין משיגה את מה שהיא רואה, באופן פשוט ובלתי אמצעי ולא מילולי (כמו שכתב המורה נבוכים א' סוף פרק נ'. ועיין שם חלק א' סוף פרק א', ובהלכות יסודי התורה ד' סוף הלכה ז').</w:t>
      </w:r>
      <w:r w:rsidR="000A5462">
        <w:rPr>
          <w:rFonts w:hint="cs"/>
          <w:rtl/>
        </w:rPr>
        <w:t xml:space="preserve"> הכח המדבר הוא עניין רחב ועמוק, עיין במורה נבוכים א' ע</w:t>
      </w:r>
      <w:r w:rsidR="00F055C8">
        <w:rPr>
          <w:rtl/>
        </w:rPr>
        <w:t>"</w:t>
      </w:r>
      <w:r w:rsidR="000A5462">
        <w:rPr>
          <w:rFonts w:hint="cs"/>
          <w:rtl/>
        </w:rPr>
        <w:t>ב שכתב שיש בו סוד. ב</w:t>
      </w:r>
      <w:hyperlink r:id="rId53" w:history="1">
        <w:r w:rsidR="000A5462" w:rsidRPr="00184FC6">
          <w:rPr>
            <w:rStyle w:val="Hyperlink"/>
            <w:rFonts w:hint="cs"/>
            <w:rtl/>
          </w:rPr>
          <w:t>רמיזות והערות</w:t>
        </w:r>
      </w:hyperlink>
      <w:r w:rsidR="000A5462">
        <w:rPr>
          <w:rFonts w:hint="cs"/>
          <w:rtl/>
        </w:rPr>
        <w:t xml:space="preserve"> </w:t>
      </w:r>
      <w:r w:rsidR="00184FC6">
        <w:rPr>
          <w:rFonts w:hint="cs"/>
          <w:rtl/>
        </w:rPr>
        <w:t xml:space="preserve">חלק ג' פרק ט' </w:t>
      </w:r>
      <w:r w:rsidR="000A5462">
        <w:rPr>
          <w:rFonts w:hint="cs"/>
          <w:rtl/>
        </w:rPr>
        <w:t xml:space="preserve">התבאר עניין זה בהרחבה. </w:t>
      </w:r>
      <w:r w:rsidR="00184FC6">
        <w:rPr>
          <w:rFonts w:hint="cs"/>
          <w:rtl/>
        </w:rPr>
        <w:t xml:space="preserve">ועיין גם בשיעורים על מורה נבוכים </w:t>
      </w:r>
      <w:hyperlink r:id="rId54" w:history="1">
        <w:r w:rsidR="00184FC6" w:rsidRPr="00184FC6">
          <w:rPr>
            <w:rStyle w:val="Hyperlink"/>
            <w:rFonts w:hint="cs"/>
            <w:rtl/>
          </w:rPr>
          <w:t>רשימה 26</w:t>
        </w:r>
      </w:hyperlink>
      <w:r w:rsidR="00184FC6">
        <w:rPr>
          <w:rFonts w:hint="cs"/>
          <w:rtl/>
        </w:rPr>
        <w:t xml:space="preserve"> בסיכום השיעור, ושם בשיעור המוקלט שיעורים מספר 44 ובעיקר 45 שבו התחדש ביאור חדש וחשוב בעניין כח הדמיון. </w:t>
      </w:r>
    </w:p>
    <w:p w14:paraId="0AFC3704" w14:textId="4E56440D" w:rsidR="003A5CCF" w:rsidRDefault="000E6194" w:rsidP="000E6194">
      <w:pPr>
        <w:pStyle w:val="FootnoteText"/>
        <w:rPr>
          <w:rtl/>
        </w:rPr>
      </w:pPr>
      <w:r w:rsidRPr="003F7C58">
        <w:rPr>
          <w:rtl/>
        </w:rPr>
        <w:t xml:space="preserve">עיין תחילת ספר הניצוח (דיאלקטיקה, </w:t>
      </w:r>
      <w:r w:rsidRPr="003F7C58">
        <w:t>Topics</w:t>
      </w:r>
      <w:r w:rsidRPr="003F7C58">
        <w:rPr>
          <w:rtl/>
        </w:rPr>
        <w:t xml:space="preserve">) שעניינו הדיאלקטיקה, וכן ספר ההלצה (רטוריקה, </w:t>
      </w:r>
      <w:r w:rsidRPr="003F7C58">
        <w:t>Rhetoric</w:t>
      </w:r>
      <w:r w:rsidRPr="003F7C58">
        <w:rPr>
          <w:rtl/>
        </w:rPr>
        <w:t>) מתחילתו שמבאר שהרטוריקה שייכת לדיאלקטיקה. ו</w:t>
      </w:r>
      <w:r w:rsidR="00EF4391" w:rsidRPr="003F7C58">
        <w:rPr>
          <w:rtl/>
        </w:rPr>
        <w:t xml:space="preserve">עיין </w:t>
      </w:r>
      <w:r w:rsidRPr="003F7C58">
        <w:rPr>
          <w:rtl/>
        </w:rPr>
        <w:t xml:space="preserve">עוד </w:t>
      </w:r>
      <w:r w:rsidR="00EF4391" w:rsidRPr="003F7C58">
        <w:rPr>
          <w:rtl/>
        </w:rPr>
        <w:t>אריסטו</w:t>
      </w:r>
      <w:r w:rsidR="008F0B44" w:rsidRPr="003F7C58">
        <w:rPr>
          <w:rtl/>
        </w:rPr>
        <w:t xml:space="preserve"> בתחילת אנליטיקות ראשונות, </w:t>
      </w:r>
      <w:r w:rsidRPr="003F7C58">
        <w:rPr>
          <w:rtl/>
        </w:rPr>
        <w:t>ו</w:t>
      </w:r>
      <w:r w:rsidR="00917C01" w:rsidRPr="003F7C58">
        <w:rPr>
          <w:rtl/>
        </w:rPr>
        <w:t>שם 46א,</w:t>
      </w:r>
      <w:r w:rsidR="00EF4391" w:rsidRPr="003F7C58">
        <w:rPr>
          <w:rtl/>
        </w:rPr>
        <w:t xml:space="preserve"> </w:t>
      </w:r>
      <w:r w:rsidR="00F055C8">
        <w:rPr>
          <w:rtl/>
        </w:rPr>
        <w:t>"</w:t>
      </w:r>
      <w:r w:rsidR="00EF4391" w:rsidRPr="003F7C58">
        <w:rPr>
          <w:rtl/>
        </w:rPr>
        <w:t>על ההתהוות וההפסד</w:t>
      </w:r>
      <w:r w:rsidR="00F055C8">
        <w:rPr>
          <w:rtl/>
        </w:rPr>
        <w:t>"</w:t>
      </w:r>
      <w:r w:rsidR="008F0B44" w:rsidRPr="003F7C58">
        <w:rPr>
          <w:rtl/>
        </w:rPr>
        <w:t xml:space="preserve"> ספר א'</w:t>
      </w:r>
      <w:r w:rsidR="00EF4391" w:rsidRPr="003F7C58">
        <w:rPr>
          <w:rtl/>
        </w:rPr>
        <w:t xml:space="preserve"> עמ' 316א,</w:t>
      </w:r>
      <w:r w:rsidR="008F0B44" w:rsidRPr="003F7C58">
        <w:rPr>
          <w:rtl/>
        </w:rPr>
        <w:t xml:space="preserve"> </w:t>
      </w:r>
      <w:r w:rsidR="00F055C8">
        <w:rPr>
          <w:rtl/>
        </w:rPr>
        <w:t>"</w:t>
      </w:r>
      <w:r w:rsidR="008F0B44" w:rsidRPr="003F7C58">
        <w:rPr>
          <w:rtl/>
        </w:rPr>
        <w:t>פיזיקה</w:t>
      </w:r>
      <w:r w:rsidR="00F055C8">
        <w:rPr>
          <w:rtl/>
        </w:rPr>
        <w:t>"</w:t>
      </w:r>
      <w:r w:rsidR="008F0B44" w:rsidRPr="003F7C58">
        <w:rPr>
          <w:rtl/>
        </w:rPr>
        <w:t xml:space="preserve"> ספר ג' 204ב שורה 4, </w:t>
      </w:r>
      <w:r w:rsidR="00F055C8">
        <w:rPr>
          <w:rtl/>
        </w:rPr>
        <w:t>"</w:t>
      </w:r>
      <w:r w:rsidR="008F0B44" w:rsidRPr="003F7C58">
        <w:rPr>
          <w:rtl/>
        </w:rPr>
        <w:t>על הנפש</w:t>
      </w:r>
      <w:r w:rsidR="00F055C8">
        <w:rPr>
          <w:rtl/>
        </w:rPr>
        <w:t>"</w:t>
      </w:r>
      <w:r w:rsidR="008F0B44" w:rsidRPr="003F7C58">
        <w:rPr>
          <w:rtl/>
        </w:rPr>
        <w:t xml:space="preserve"> 403א,</w:t>
      </w:r>
      <w:r w:rsidRPr="003F7C58">
        <w:rPr>
          <w:rtl/>
        </w:rPr>
        <w:t xml:space="preserve"> ועוד. </w:t>
      </w:r>
      <w:r w:rsidR="008F0B44">
        <w:rPr>
          <w:rFonts w:hint="cs"/>
          <w:rtl/>
        </w:rPr>
        <w:t xml:space="preserve"> </w:t>
      </w:r>
    </w:p>
    <w:p w14:paraId="31CDAE36" w14:textId="6C9E1001" w:rsidR="00E72C6D" w:rsidRDefault="003A5CCF" w:rsidP="000E6194">
      <w:pPr>
        <w:pStyle w:val="FootnoteText"/>
        <w:rPr>
          <w:rtl/>
        </w:rPr>
      </w:pPr>
      <w:r>
        <w:rPr>
          <w:rFonts w:hint="cs"/>
          <w:rtl/>
        </w:rPr>
        <w:t xml:space="preserve">אבן סינא הולך בעקבות אריסטו בשימוש </w:t>
      </w:r>
      <w:r w:rsidR="00E72C6D">
        <w:rPr>
          <w:rFonts w:hint="cs"/>
          <w:rtl/>
        </w:rPr>
        <w:t>ב</w:t>
      </w:r>
      <w:r>
        <w:rPr>
          <w:rFonts w:hint="cs"/>
          <w:rtl/>
        </w:rPr>
        <w:t xml:space="preserve">מונח 'דיאלקטיקה'. </w:t>
      </w:r>
      <w:r w:rsidR="00E72C6D">
        <w:rPr>
          <w:rFonts w:hint="cs"/>
          <w:rtl/>
        </w:rPr>
        <w:t xml:space="preserve">עיין למשל לקמן ספר ב' פרק א' סעיף 14, ושם פרק ד' סעיף 2. </w:t>
      </w:r>
    </w:p>
    <w:p w14:paraId="43EC488E" w14:textId="326041EB" w:rsidR="00B20A8C" w:rsidRDefault="003A5CCF" w:rsidP="000E6194">
      <w:pPr>
        <w:pStyle w:val="FootnoteText"/>
        <w:rPr>
          <w:rtl/>
        </w:rPr>
      </w:pPr>
      <w:r>
        <w:rPr>
          <w:rFonts w:hint="cs"/>
          <w:rtl/>
        </w:rPr>
        <w:t xml:space="preserve">בפילוסופיה הסכולסטית של ימי הביניים, בעיקר אצל הפילוסופים הנוצרים כתומס אקווינס ווויליאם מאוקהם, יש מובן נוסף למונח דיאלקטיקה, ואינו מענייננו כאן.  </w:t>
      </w:r>
    </w:p>
    <w:p w14:paraId="178F3CEF" w14:textId="11B25F76" w:rsidR="00EF4391" w:rsidRPr="00780618" w:rsidRDefault="00F055C8" w:rsidP="000E6194">
      <w:pPr>
        <w:pStyle w:val="FootnoteText"/>
        <w:rPr>
          <w:rtl/>
        </w:rPr>
      </w:pPr>
      <w:r>
        <w:rPr>
          <w:rtl/>
        </w:rPr>
        <w:t>"</w:t>
      </w:r>
      <w:r w:rsidR="00B20A8C">
        <w:rPr>
          <w:rFonts w:hint="cs"/>
          <w:rtl/>
        </w:rPr>
        <w:t>הידוע במופת</w:t>
      </w:r>
      <w:r>
        <w:rPr>
          <w:rtl/>
        </w:rPr>
        <w:t>"</w:t>
      </w:r>
      <w:r w:rsidR="00B20A8C">
        <w:rPr>
          <w:rFonts w:hint="cs"/>
          <w:rtl/>
        </w:rPr>
        <w:t xml:space="preserve"> פירושו השכל העיוני, שיודע את האמת כמו שאנו יודעים את המושכלות הראשונות, האקסיומות, בדרך אווידנציה, ויש לו אופן של מהלך להגיע מהתבוננות להתבוננות עד השגת האל. עיין מורה נבוכים ג' נ</w:t>
      </w:r>
      <w:r>
        <w:rPr>
          <w:rtl/>
        </w:rPr>
        <w:t>"</w:t>
      </w:r>
      <w:r w:rsidR="00B20A8C">
        <w:rPr>
          <w:rFonts w:hint="cs"/>
          <w:rtl/>
        </w:rPr>
        <w:t xml:space="preserve">ד.   </w:t>
      </w:r>
      <w:r w:rsidR="008F0B44">
        <w:rPr>
          <w:rFonts w:hint="cs"/>
          <w:rtl/>
        </w:rPr>
        <w:t xml:space="preserve">  </w:t>
      </w:r>
    </w:p>
  </w:footnote>
  <w:footnote w:id="216">
    <w:p w14:paraId="2ED2C47D" w14:textId="756E6B87" w:rsidR="00EC1BC9" w:rsidRDefault="00EC1BC9">
      <w:pPr>
        <w:pStyle w:val="FootnoteText"/>
      </w:pPr>
      <w:r>
        <w:rPr>
          <w:rStyle w:val="FootnoteReference"/>
        </w:rPr>
        <w:footnoteRef/>
      </w:r>
      <w:r>
        <w:rPr>
          <w:rtl/>
        </w:rPr>
        <w:t xml:space="preserve"> </w:t>
      </w:r>
      <w:r>
        <w:rPr>
          <w:rFonts w:hint="cs"/>
          <w:rtl/>
        </w:rPr>
        <w:t>כלומר עצם ארצי, גוף בעל גשם, שמורכב מצורה וחומר, בניגוד לעצמים מופשטים</w:t>
      </w:r>
      <w:r w:rsidR="00127844">
        <w:rPr>
          <w:rFonts w:hint="cs"/>
          <w:rtl/>
        </w:rPr>
        <w:t xml:space="preserve"> מחומר</w:t>
      </w:r>
      <w:r>
        <w:rPr>
          <w:rFonts w:hint="cs"/>
          <w:rtl/>
        </w:rPr>
        <w:t xml:space="preserve">. </w:t>
      </w:r>
    </w:p>
  </w:footnote>
  <w:footnote w:id="217">
    <w:p w14:paraId="7365A049" w14:textId="1F7B3699" w:rsidR="006D3B6E" w:rsidRDefault="006D3B6E">
      <w:pPr>
        <w:pStyle w:val="FootnoteText"/>
        <w:rPr>
          <w:rtl/>
        </w:rPr>
      </w:pPr>
      <w:r>
        <w:rPr>
          <w:rStyle w:val="FootnoteReference"/>
        </w:rPr>
        <w:footnoteRef/>
      </w:r>
      <w:r>
        <w:rPr>
          <w:rtl/>
        </w:rPr>
        <w:t xml:space="preserve"> </w:t>
      </w:r>
      <w:r>
        <w:rPr>
          <w:rFonts w:hint="cs"/>
          <w:rtl/>
        </w:rPr>
        <w:t xml:space="preserve">ההיולי הוא מה שנקרא בספר בראשית </w:t>
      </w:r>
      <w:r w:rsidR="00F055C8">
        <w:rPr>
          <w:rtl/>
        </w:rPr>
        <w:t>"</w:t>
      </w:r>
      <w:r>
        <w:rPr>
          <w:rFonts w:hint="cs"/>
          <w:rtl/>
        </w:rPr>
        <w:t>תוהו</w:t>
      </w:r>
      <w:r w:rsidR="00F055C8">
        <w:rPr>
          <w:rtl/>
        </w:rPr>
        <w:t>"</w:t>
      </w:r>
      <w:r>
        <w:rPr>
          <w:rFonts w:hint="cs"/>
          <w:rtl/>
        </w:rPr>
        <w:t xml:space="preserve">, </w:t>
      </w:r>
      <w:r>
        <w:rPr>
          <w:rFonts w:hint="cs"/>
          <w:rtl/>
        </w:rPr>
        <w:t xml:space="preserve">ובחכמת הקבלה ספירת חכמה, וצורת התלת ממדיות היא מה שנקרא בספר בראשית </w:t>
      </w:r>
      <w:r w:rsidR="00F055C8">
        <w:rPr>
          <w:rtl/>
        </w:rPr>
        <w:t>"</w:t>
      </w:r>
      <w:r>
        <w:rPr>
          <w:rFonts w:hint="cs"/>
          <w:rtl/>
        </w:rPr>
        <w:t>בוהו</w:t>
      </w:r>
      <w:r w:rsidR="00F055C8">
        <w:rPr>
          <w:rtl/>
        </w:rPr>
        <w:t>"</w:t>
      </w:r>
      <w:r>
        <w:rPr>
          <w:rFonts w:hint="cs"/>
          <w:rtl/>
        </w:rPr>
        <w:t>, ובחכמת הקבלה ספירת בינה. עיין בזה ברמב</w:t>
      </w:r>
      <w:r w:rsidR="00F055C8">
        <w:rPr>
          <w:rtl/>
        </w:rPr>
        <w:t>"</w:t>
      </w:r>
      <w:r>
        <w:rPr>
          <w:rFonts w:hint="cs"/>
          <w:rtl/>
        </w:rPr>
        <w:t>ן על בראשית א' א'. אלה הם התחלות כי החומר הראשון</w:t>
      </w:r>
      <w:r w:rsidR="00E877F6">
        <w:rPr>
          <w:rtl/>
        </w:rPr>
        <w:fldChar w:fldCharType="begin"/>
      </w:r>
      <w:r w:rsidR="00E877F6">
        <w:instrText xml:space="preserve"> XE "</w:instrText>
      </w:r>
      <w:r w:rsidR="00E877F6" w:rsidRPr="00020B8B">
        <w:rPr>
          <w:rFonts w:hint="cs"/>
          <w:rtl/>
        </w:rPr>
        <w:instrText>החומר הראשון</w:instrText>
      </w:r>
      <w:r w:rsidR="00E877F6">
        <w:instrText xml:space="preserve">" </w:instrText>
      </w:r>
      <w:r w:rsidR="00E877F6">
        <w:rPr>
          <w:rtl/>
        </w:rPr>
        <w:fldChar w:fldCharType="end"/>
      </w:r>
      <w:r>
        <w:rPr>
          <w:rFonts w:hint="cs"/>
          <w:rtl/>
        </w:rPr>
        <w:t xml:space="preserve"> הוא אין סופי, אין בו שום צורה ושום גבול ושום הגדרה. וצורת התלת ממדיות</w:t>
      </w:r>
      <w:r w:rsidR="00E877F6">
        <w:rPr>
          <w:rtl/>
        </w:rPr>
        <w:fldChar w:fldCharType="begin"/>
      </w:r>
      <w:r w:rsidR="00E877F6">
        <w:instrText xml:space="preserve"> XE "</w:instrText>
      </w:r>
      <w:r w:rsidR="00E877F6" w:rsidRPr="00F51B7C">
        <w:rPr>
          <w:rFonts w:hint="cs"/>
          <w:rtl/>
        </w:rPr>
        <w:instrText>צורת התלת ממדיות</w:instrText>
      </w:r>
      <w:r w:rsidR="00E877F6">
        <w:instrText xml:space="preserve">" </w:instrText>
      </w:r>
      <w:r w:rsidR="00E877F6">
        <w:rPr>
          <w:rtl/>
        </w:rPr>
        <w:fldChar w:fldCharType="end"/>
      </w:r>
      <w:r>
        <w:rPr>
          <w:rFonts w:hint="cs"/>
          <w:rtl/>
        </w:rPr>
        <w:t xml:space="preserve"> כרוכה בו בהכרח, ואינו יכול להיתפש בלעדיה. וכמו שאמרו חכמי הקבלה שחכמה ובינה אינם נפרדים.</w:t>
      </w:r>
      <w:r w:rsidR="0078202D">
        <w:rPr>
          <w:rFonts w:hint="cs"/>
          <w:rtl/>
        </w:rPr>
        <w:t xml:space="preserve"> </w:t>
      </w:r>
    </w:p>
    <w:p w14:paraId="089E9C7B" w14:textId="6D0B7D53" w:rsidR="0078202D" w:rsidRDefault="0078202D">
      <w:pPr>
        <w:pStyle w:val="FootnoteText"/>
      </w:pPr>
      <w:r>
        <w:rPr>
          <w:rFonts w:hint="cs"/>
          <w:rtl/>
        </w:rPr>
        <w:t>בביאור צורת התלת ממדיות עיין ב</w:t>
      </w:r>
      <w:hyperlink r:id="rId55" w:history="1">
        <w:r w:rsidRPr="00652435">
          <w:rPr>
            <w:rStyle w:val="Hyperlink"/>
            <w:rFonts w:hint="cs"/>
            <w:rtl/>
          </w:rPr>
          <w:t>רמיזות והערות</w:t>
        </w:r>
      </w:hyperlink>
      <w:r>
        <w:rPr>
          <w:rFonts w:hint="cs"/>
          <w:rtl/>
        </w:rPr>
        <w:t xml:space="preserve"> פיזיקה חלק א' פרק ז', ועיי' בספר זה באינדקס ב</w:t>
      </w:r>
      <w:r w:rsidR="00275326">
        <w:rPr>
          <w:rFonts w:hint="cs"/>
          <w:rtl/>
        </w:rPr>
        <w:t>ערכים</w:t>
      </w:r>
      <w:r>
        <w:rPr>
          <w:rFonts w:hint="cs"/>
          <w:rtl/>
        </w:rPr>
        <w:t xml:space="preserve"> 'צורת התלת ממדיות'</w:t>
      </w:r>
      <w:r w:rsidR="00000679">
        <w:rPr>
          <w:rFonts w:hint="cs"/>
          <w:rtl/>
        </w:rPr>
        <w:t>, 'בוהו'</w:t>
      </w:r>
      <w:r>
        <w:rPr>
          <w:rFonts w:hint="cs"/>
          <w:rtl/>
        </w:rPr>
        <w:t xml:space="preserve">.  </w:t>
      </w:r>
    </w:p>
  </w:footnote>
  <w:footnote w:id="218">
    <w:p w14:paraId="0A93E685" w14:textId="77777777" w:rsidR="00C15A08" w:rsidRDefault="00C15A08">
      <w:pPr>
        <w:pStyle w:val="FootnoteText"/>
        <w:rPr>
          <w:rtl/>
        </w:rPr>
      </w:pPr>
      <w:r>
        <w:rPr>
          <w:rStyle w:val="FootnoteReference"/>
        </w:rPr>
        <w:footnoteRef/>
      </w:r>
      <w:r>
        <w:rPr>
          <w:rtl/>
        </w:rPr>
        <w:t xml:space="preserve"> </w:t>
      </w:r>
      <w:r>
        <w:rPr>
          <w:rFonts w:hint="cs"/>
          <w:rtl/>
        </w:rPr>
        <w:t>קטגוריית הכמות, שהיא מידות האורך רוחב וגובה של העצם, היא מקרית לעצם. 'אדם' הוא אדם במהותו כל שהוא 'חי מדבר', ומה שהוא 'חי מדבר' לא נחסר במאומה בין אם גובהו כך או אחרת, לכן גובהו מקרי לו.</w:t>
      </w:r>
    </w:p>
    <w:p w14:paraId="16768454" w14:textId="7F4E05B4" w:rsidR="001C53F2" w:rsidRDefault="00C15A08">
      <w:pPr>
        <w:pStyle w:val="FootnoteText"/>
        <w:rPr>
          <w:rtl/>
        </w:rPr>
      </w:pPr>
      <w:r w:rsidRPr="00C15A08">
        <w:rPr>
          <w:rFonts w:hint="cs"/>
          <w:b/>
          <w:bCs/>
          <w:rtl/>
        </w:rPr>
        <w:t>צורת התלת ממדיות</w:t>
      </w:r>
      <w:r>
        <w:rPr>
          <w:rFonts w:hint="cs"/>
          <w:rtl/>
        </w:rPr>
        <w:t xml:space="preserve"> היא החלל הריק התלת ממדי האין סופי, שכל הגופים התלת ממדיים תלת </w:t>
      </w:r>
      <w:r>
        <w:rPr>
          <w:rFonts w:hint="cs"/>
          <w:rtl/>
        </w:rPr>
        <w:t xml:space="preserve">ממדיותם היא בו. היא לא ניתנת לתפישה בלי לתפוש את הפוטנציאל שלה להיות מחולקת לנפחים מוגדרים במידותיהם. לכן בהכרח כרוכות בה מידות של נפחים מוגדרים, שהם אחר כך מידות הגופים. הצורות הן אור מזיו היש שהוא האין סוף עצמו, ואי אפשר לתפוש העדר בלי שהוא העדר של משהו, לכן בהכרח תהיינה בו צורות. למשל אם יש ילד שגדל לבד לגמרי באי בודד, בגיל </w:t>
      </w:r>
      <w:r w:rsidR="009C463A">
        <w:rPr>
          <w:rFonts w:hint="cs"/>
          <w:rtl/>
        </w:rPr>
        <w:t>מסוים</w:t>
      </w:r>
      <w:r>
        <w:rPr>
          <w:rFonts w:hint="cs"/>
          <w:rtl/>
        </w:rPr>
        <w:t xml:space="preserve"> הוא יתחיל לבנות דמיונות על יחס חם, קול נעים, חוויית חיבוק וכיוצא. הוא לא ראה מימיו את הוריו, והדמיונות לא יהיו </w:t>
      </w:r>
      <w:r w:rsidR="009D523F">
        <w:rPr>
          <w:rFonts w:hint="cs"/>
          <w:rtl/>
        </w:rPr>
        <w:t xml:space="preserve">השגה של הוריו בעצמם, אבל מה שחסר לו הורים יגרום בהכרח לגעגוע שאינו סתמי בלבד אלא שמצטייר בו משהו מהעניין של הורים, כי הוא אינו מתגעגע סתם, אלא מתגעגע דווקא להוריו. כך ההעדר של החומר הראשון מכריח שיצטיירו צורות שיש בהן משהו מהעניין של אין סוף, כי הוא זה שנעדר. </w:t>
      </w:r>
    </w:p>
    <w:p w14:paraId="3624D614" w14:textId="3D6A471E" w:rsidR="009D523F" w:rsidRDefault="009D523F">
      <w:pPr>
        <w:pStyle w:val="FootnoteText"/>
        <w:rPr>
          <w:rtl/>
        </w:rPr>
      </w:pPr>
      <w:r>
        <w:rPr>
          <w:rFonts w:hint="cs"/>
          <w:rtl/>
        </w:rPr>
        <w:t>וכמו שכתב הרמב</w:t>
      </w:r>
      <w:r w:rsidR="00F055C8">
        <w:rPr>
          <w:rtl/>
        </w:rPr>
        <w:t>"</w:t>
      </w:r>
      <w:r>
        <w:rPr>
          <w:rFonts w:hint="cs"/>
          <w:rtl/>
        </w:rPr>
        <w:t>ם בהלכות יסודי התורה ב':</w:t>
      </w:r>
    </w:p>
    <w:p w14:paraId="638D2545" w14:textId="16BC4D56" w:rsidR="00E0093E" w:rsidRDefault="00F055C8">
      <w:pPr>
        <w:pStyle w:val="FootnoteText"/>
        <w:rPr>
          <w:rtl/>
        </w:rPr>
      </w:pPr>
      <w:r>
        <w:rPr>
          <w:rtl/>
        </w:rPr>
        <w:t>"</w:t>
      </w:r>
      <w:r w:rsidR="00E0093E" w:rsidRPr="00E0093E">
        <w:rPr>
          <w:rtl/>
        </w:rPr>
        <w:t>וְהֵיאַךְ הִיא</w:t>
      </w:r>
      <w:r w:rsidR="006978F6">
        <w:rPr>
          <w:rtl/>
        </w:rPr>
        <w:fldChar w:fldCharType="begin"/>
      </w:r>
      <w:r w:rsidR="006978F6">
        <w:instrText xml:space="preserve"> XE "</w:instrText>
      </w:r>
      <w:r w:rsidR="006978F6" w:rsidRPr="0032458A">
        <w:rPr>
          <w:rtl/>
        </w:rPr>
        <w:instrText>הרמב</w:instrText>
      </w:r>
      <w:r w:rsidR="006978F6">
        <w:rPr>
          <w:b/>
          <w:bCs/>
          <w:sz w:val="20"/>
          <w:szCs w:val="20"/>
        </w:rPr>
        <w:instrText>\</w:instrText>
      </w:r>
      <w:r w:rsidR="006978F6" w:rsidRPr="0032458A">
        <w:rPr>
          <w:rtl/>
        </w:rPr>
        <w:instrText xml:space="preserve">"ם בהלכות יסודי התורה ב' ב': </w:instrText>
      </w:r>
      <w:r w:rsidR="006978F6">
        <w:rPr>
          <w:b/>
          <w:bCs/>
          <w:sz w:val="20"/>
          <w:szCs w:val="20"/>
        </w:rPr>
        <w:instrText>\</w:instrText>
      </w:r>
      <w:r w:rsidR="006978F6" w:rsidRPr="0032458A">
        <w:rPr>
          <w:rtl/>
        </w:rPr>
        <w:instrText>"וְהֵיאַךְ הִיא הַדֶּרֶךְ</w:instrText>
      </w:r>
      <w:r w:rsidR="006978F6">
        <w:instrText xml:space="preserve">" </w:instrText>
      </w:r>
      <w:r w:rsidR="006978F6">
        <w:rPr>
          <w:rtl/>
        </w:rPr>
        <w:fldChar w:fldCharType="end"/>
      </w:r>
      <w:r w:rsidR="00E0093E" w:rsidRPr="00E0093E">
        <w:rPr>
          <w:rtl/>
        </w:rPr>
        <w:t xml:space="preserve"> הַדֶּרֶךְ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Pr>
          <w:rtl/>
        </w:rPr>
        <w:t>"</w:t>
      </w:r>
    </w:p>
    <w:p w14:paraId="7088411E" w14:textId="22738A95" w:rsidR="00B876DE" w:rsidRDefault="00E0093E">
      <w:pPr>
        <w:pStyle w:val="FootnoteText"/>
        <w:rPr>
          <w:rtl/>
        </w:rPr>
      </w:pPr>
      <w:r>
        <w:rPr>
          <w:rFonts w:hint="cs"/>
          <w:rtl/>
        </w:rPr>
        <w:t xml:space="preserve">מעשיו וברואיו הם סופיים. אבל רואים מהם את חכמתו שהיא ללא קץ, יש בה מהאין סוף (מעשיו נקראים </w:t>
      </w:r>
      <w:r w:rsidR="00F055C8">
        <w:rPr>
          <w:rtl/>
        </w:rPr>
        <w:t>"</w:t>
      </w:r>
      <w:r>
        <w:rPr>
          <w:rFonts w:hint="cs"/>
          <w:rtl/>
        </w:rPr>
        <w:t>נפלאים</w:t>
      </w:r>
      <w:r w:rsidR="00F055C8">
        <w:rPr>
          <w:rtl/>
        </w:rPr>
        <w:t>"</w:t>
      </w:r>
      <w:r>
        <w:rPr>
          <w:rFonts w:hint="cs"/>
          <w:rtl/>
        </w:rPr>
        <w:t xml:space="preserve"> כי מתגלה דרכם פלא, סוד, ו</w:t>
      </w:r>
      <w:r w:rsidR="00F055C8">
        <w:rPr>
          <w:rtl/>
        </w:rPr>
        <w:t>"</w:t>
      </w:r>
      <w:r>
        <w:rPr>
          <w:rFonts w:hint="cs"/>
          <w:rtl/>
        </w:rPr>
        <w:t>גדולים</w:t>
      </w:r>
      <w:r w:rsidR="00F055C8">
        <w:rPr>
          <w:rtl/>
        </w:rPr>
        <w:t>"</w:t>
      </w:r>
      <w:r>
        <w:rPr>
          <w:rFonts w:hint="cs"/>
          <w:rtl/>
        </w:rPr>
        <w:t xml:space="preserve"> כי האין סוף נקרא גדול והוא נראה מהם). </w:t>
      </w:r>
      <w:r w:rsidR="00FD6845">
        <w:rPr>
          <w:rFonts w:hint="cs"/>
          <w:rtl/>
        </w:rPr>
        <w:t xml:space="preserve">החכמה היא הצורות שמצטיירות מהעדר. הצורות עצמן סופיות, לכן מצד זה אינן דומות לבורא ולא מגלות את זיו האין סוף. אבל הן צורות שמצטיירות כ היא סוף בעצמו חסר, והגעגוע אליו מצייר משהו שיש לו שייכות איתו. וזה מה שהצורות הן נפלאות וגדולות ונראית מהן החכמה שאין לה קץ (ואין לה ערך כי אין ערך, שום דמיון או יחס או אפשרות השוואה, בין הסופי לאין סופי).  </w:t>
      </w:r>
    </w:p>
    <w:p w14:paraId="0F0F8099" w14:textId="7A9AA44E" w:rsidR="00B876DE" w:rsidRDefault="00B876DE" w:rsidP="00B876DE">
      <w:pPr>
        <w:pStyle w:val="FootnoteText"/>
        <w:rPr>
          <w:rtl/>
        </w:rPr>
      </w:pPr>
      <w:r>
        <w:rPr>
          <w:rtl/>
        </w:rPr>
        <w:t>לשון המורה נבוכים א' י</w:t>
      </w:r>
      <w:r w:rsidR="00F055C8">
        <w:rPr>
          <w:rtl/>
        </w:rPr>
        <w:t>"</w:t>
      </w:r>
      <w:r>
        <w:rPr>
          <w:rtl/>
        </w:rPr>
        <w:t>ז:</w:t>
      </w:r>
    </w:p>
    <w:p w14:paraId="337EEDBE" w14:textId="518E5439" w:rsidR="00C15A08" w:rsidRDefault="00F055C8" w:rsidP="00B876DE">
      <w:pPr>
        <w:pStyle w:val="FootnoteText"/>
        <w:rPr>
          <w:rtl/>
        </w:rPr>
      </w:pPr>
      <w:r>
        <w:rPr>
          <w:rtl/>
        </w:rPr>
        <w:t>"</w:t>
      </w:r>
      <w:r w:rsidR="00B876DE">
        <w:rPr>
          <w:rtl/>
        </w:rPr>
        <w:t>ואתה יודע כי התחלות הנמצאות ההוות הנפסדות שלשה. החומר והצורה ו</w:t>
      </w:r>
      <w:r w:rsidR="00B876DE" w:rsidRPr="00B876DE">
        <w:rPr>
          <w:b/>
          <w:bCs/>
          <w:rtl/>
        </w:rPr>
        <w:t>ההעדר המיוחד</w:t>
      </w:r>
      <w:r w:rsidR="00B876DE">
        <w:rPr>
          <w:rtl/>
        </w:rPr>
        <w:t>, אשר הוא מחובר לחומר לעולם ולולא התחברות ההעדר לחומר לא הגיעה אליו הצורה, ובזה הצד היה ההעדר מן ההתחלות. ועם הגיע הצורה, יסור ההעדר ההוא, כלומר העדר הצורה ההיא המגעת, ויחובר אליו העדר אחר וכן לעולם, כמו שהתבאר בחכמת הטבע.</w:t>
      </w:r>
      <w:r>
        <w:rPr>
          <w:rtl/>
        </w:rPr>
        <w:t>"</w:t>
      </w:r>
      <w:r w:rsidR="009D523F">
        <w:rPr>
          <w:rFonts w:hint="cs"/>
          <w:rtl/>
        </w:rPr>
        <w:t xml:space="preserve"> </w:t>
      </w:r>
      <w:r w:rsidR="00C15A08">
        <w:rPr>
          <w:rFonts w:hint="cs"/>
          <w:rtl/>
        </w:rPr>
        <w:t xml:space="preserve"> </w:t>
      </w:r>
    </w:p>
    <w:p w14:paraId="3DBDEFD3" w14:textId="2E22371B" w:rsidR="00780BA2" w:rsidRDefault="00B876DE" w:rsidP="00B876DE">
      <w:pPr>
        <w:pStyle w:val="FootnoteText"/>
        <w:rPr>
          <w:rtl/>
        </w:rPr>
      </w:pPr>
      <w:r>
        <w:rPr>
          <w:rFonts w:hint="cs"/>
          <w:rtl/>
        </w:rPr>
        <w:t xml:space="preserve">ההעדר המיוחד הכוונה העדר של משהו. אישה עקרה יש אצלה העדר של ילד, אבל לא בהכרח העדר של בעל או של בית או נעליים. ההעדר שלה מיוחד להעדר של ילד ואינו העדר כללי שבו הכל נעדר בלי שיהיה משהו שהוא זה שנעדר. העדר מיוחד יש בו שייכות למה שנעדר, למשל אם אדם קם מהמיטה יש במיטה שקע שיש בו דמיון כללי לצורת גופו, השקע הוא העדר מיוחד של מי שהיה על המיטה ויצא ממנה, ויש בו הצטיירות שלו באופן </w:t>
      </w:r>
      <w:r w:rsidR="009C463A">
        <w:rPr>
          <w:rFonts w:hint="cs"/>
          <w:rtl/>
        </w:rPr>
        <w:t>מסוים</w:t>
      </w:r>
      <w:r>
        <w:rPr>
          <w:rFonts w:hint="cs"/>
          <w:rtl/>
        </w:rPr>
        <w:t>. העיגול הריק של הצמצום שכתב האר</w:t>
      </w:r>
      <w:r w:rsidR="00F055C8">
        <w:rPr>
          <w:rtl/>
        </w:rPr>
        <w:t>"</w:t>
      </w:r>
      <w:r>
        <w:rPr>
          <w:rFonts w:hint="cs"/>
          <w:rtl/>
        </w:rPr>
        <w:t>י בעץ חיים שער א' ענף ב' הוא העדר של האין סוף ברוך הוא, ולכן יש בו זיו מהאין סוף  הוא קו אור אין סוף שבהכרח מייד נכנס לעיגול הריק כמו שכתב האר</w:t>
      </w:r>
      <w:r w:rsidR="00F055C8">
        <w:rPr>
          <w:rtl/>
        </w:rPr>
        <w:t>"</w:t>
      </w:r>
      <w:r>
        <w:rPr>
          <w:rFonts w:hint="cs"/>
          <w:rtl/>
        </w:rPr>
        <w:t>י שם (זיו הוא אור שלא רואים את מקורו, כמו אור השמש שמאיר על הגבעות מבין העננים, על הגבעות יש מזיו השמש כי איננו מסתכלים עליה עצמה. אין מזה תפישה בעוצם אור השמש המבהיק, כי האור ששורה על הגבעות מרוכך, אבל יש באור שעל הגבעות משהו מזיו אור השמש, ועיין רש</w:t>
      </w:r>
      <w:r w:rsidR="00F055C8">
        <w:rPr>
          <w:rtl/>
        </w:rPr>
        <w:t>"</w:t>
      </w:r>
      <w:r>
        <w:rPr>
          <w:rFonts w:hint="cs"/>
          <w:rtl/>
        </w:rPr>
        <w:t xml:space="preserve">י על בראשית </w:t>
      </w:r>
      <w:r w:rsidR="00C71888" w:rsidRPr="00C71888">
        <w:rPr>
          <w:rtl/>
        </w:rPr>
        <w:t>כ</w:t>
      </w:r>
      <w:r w:rsidR="00F055C8">
        <w:rPr>
          <w:rtl/>
        </w:rPr>
        <w:t>"</w:t>
      </w:r>
      <w:r w:rsidR="00C71888" w:rsidRPr="00C71888">
        <w:rPr>
          <w:rtl/>
        </w:rPr>
        <w:t>ט י</w:t>
      </w:r>
      <w:r w:rsidR="00F055C8">
        <w:rPr>
          <w:rtl/>
        </w:rPr>
        <w:t>"</w:t>
      </w:r>
      <w:r w:rsidR="00C71888" w:rsidRPr="00C71888">
        <w:rPr>
          <w:rtl/>
        </w:rPr>
        <w:t>ז</w:t>
      </w:r>
      <w:r w:rsidR="00C71888">
        <w:rPr>
          <w:rFonts w:hint="cs"/>
          <w:rtl/>
        </w:rPr>
        <w:t xml:space="preserve"> שרחל היה בה זיו קלסתר, כלומר אור שמיימי האיר מפניה על דרך </w:t>
      </w:r>
      <w:r w:rsidR="00F055C8">
        <w:rPr>
          <w:rtl/>
        </w:rPr>
        <w:t>"</w:t>
      </w:r>
      <w:r w:rsidR="00C71888">
        <w:rPr>
          <w:rFonts w:hint="cs"/>
          <w:rtl/>
        </w:rPr>
        <w:t>זיו</w:t>
      </w:r>
      <w:r w:rsidR="00F055C8">
        <w:rPr>
          <w:rtl/>
        </w:rPr>
        <w:t>"</w:t>
      </w:r>
      <w:r>
        <w:rPr>
          <w:rFonts w:hint="cs"/>
          <w:rtl/>
        </w:rPr>
        <w:t>. עניין זה נקרא גם זוהר, ו</w:t>
      </w:r>
      <w:r w:rsidR="00C71888">
        <w:rPr>
          <w:rFonts w:hint="cs"/>
          <w:rtl/>
        </w:rPr>
        <w:t>לכן</w:t>
      </w:r>
      <w:r>
        <w:rPr>
          <w:rFonts w:hint="cs"/>
          <w:rtl/>
        </w:rPr>
        <w:t xml:space="preserve"> ספר הזוהר נקרא כך). </w:t>
      </w:r>
    </w:p>
    <w:p w14:paraId="4A9BDD52" w14:textId="378D2BC9" w:rsidR="00B876DE" w:rsidRDefault="00780BA2" w:rsidP="00B876DE">
      <w:pPr>
        <w:pStyle w:val="FootnoteText"/>
        <w:rPr>
          <w:rtl/>
        </w:rPr>
      </w:pPr>
      <w:r>
        <w:rPr>
          <w:rFonts w:hint="cs"/>
          <w:rtl/>
        </w:rPr>
        <w:t>חלל ריק הוא העדר מיוחד</w:t>
      </w:r>
      <w:r>
        <w:rPr>
          <w:rtl/>
        </w:rPr>
        <w:fldChar w:fldCharType="begin"/>
      </w:r>
      <w:r>
        <w:instrText xml:space="preserve"> XE "</w:instrText>
      </w:r>
      <w:r w:rsidRPr="00DD1900">
        <w:rPr>
          <w:rFonts w:hint="cs"/>
          <w:rtl/>
        </w:rPr>
        <w:instrText>ההעדר המיוחד</w:instrText>
      </w:r>
      <w:r>
        <w:instrText xml:space="preserve">" </w:instrText>
      </w:r>
      <w:r>
        <w:rPr>
          <w:rtl/>
        </w:rPr>
        <w:fldChar w:fldCharType="end"/>
      </w:r>
      <w:r>
        <w:rPr>
          <w:rFonts w:hint="cs"/>
          <w:rtl/>
        </w:rPr>
        <w:t xml:space="preserve">, כי יש לו מידות מכאן עד כאן, והרי מה שנעדר שם הוא </w:t>
      </w:r>
      <w:r w:rsidR="009C463A">
        <w:rPr>
          <w:rFonts w:hint="cs"/>
          <w:rtl/>
        </w:rPr>
        <w:t>מסוים</w:t>
      </w:r>
      <w:r>
        <w:rPr>
          <w:rFonts w:hint="cs"/>
          <w:rtl/>
        </w:rPr>
        <w:t xml:space="preserve"> לנפח </w:t>
      </w:r>
      <w:r w:rsidR="009C463A">
        <w:rPr>
          <w:rFonts w:hint="cs"/>
          <w:rtl/>
        </w:rPr>
        <w:t>מסוים</w:t>
      </w:r>
      <w:r>
        <w:rPr>
          <w:rFonts w:hint="cs"/>
          <w:rtl/>
        </w:rPr>
        <w:t>. זהו החומר החמישי כמו שכתבו המפרשים על מורה נבוכים א' ע</w:t>
      </w:r>
      <w:r w:rsidR="00F055C8">
        <w:rPr>
          <w:rtl/>
        </w:rPr>
        <w:t>"</w:t>
      </w:r>
      <w:r>
        <w:rPr>
          <w:rFonts w:hint="cs"/>
          <w:rtl/>
        </w:rPr>
        <w:t xml:space="preserve">ב. על העדר מיוחד אפשר לומר </w:t>
      </w:r>
      <w:r w:rsidR="00F055C8">
        <w:rPr>
          <w:rtl/>
        </w:rPr>
        <w:t>"</w:t>
      </w:r>
      <w:r>
        <w:rPr>
          <w:rFonts w:hint="cs"/>
          <w:rtl/>
        </w:rPr>
        <w:t>יש העדר</w:t>
      </w:r>
      <w:r w:rsidR="00F055C8">
        <w:rPr>
          <w:rtl/>
        </w:rPr>
        <w:t>"</w:t>
      </w:r>
      <w:r>
        <w:rPr>
          <w:rFonts w:hint="cs"/>
        </w:rPr>
        <w:t xml:space="preserve"> </w:t>
      </w:r>
      <w:r>
        <w:rPr>
          <w:rFonts w:hint="cs"/>
          <w:rtl/>
        </w:rPr>
        <w:t xml:space="preserve">או </w:t>
      </w:r>
      <w:r w:rsidR="00F055C8">
        <w:rPr>
          <w:rtl/>
        </w:rPr>
        <w:t>"</w:t>
      </w:r>
      <w:r>
        <w:rPr>
          <w:rFonts w:hint="cs"/>
          <w:rtl/>
        </w:rPr>
        <w:t>ההעדר חדל</w:t>
      </w:r>
      <w:r w:rsidR="00F055C8">
        <w:rPr>
          <w:rtl/>
        </w:rPr>
        <w:t>"</w:t>
      </w:r>
      <w:r>
        <w:rPr>
          <w:rFonts w:hint="cs"/>
          <w:rtl/>
        </w:rPr>
        <w:t>. לעומת זאת העדר כללי</w:t>
      </w:r>
      <w:r w:rsidR="00F21C6E">
        <w:rPr>
          <w:rtl/>
        </w:rPr>
        <w:fldChar w:fldCharType="begin"/>
      </w:r>
      <w:r w:rsidR="00F21C6E">
        <w:instrText xml:space="preserve"> XE "</w:instrText>
      </w:r>
      <w:r w:rsidR="00F21C6E" w:rsidRPr="00871331">
        <w:rPr>
          <w:rFonts w:hint="cs"/>
          <w:rtl/>
        </w:rPr>
        <w:instrText>העדר כללי</w:instrText>
      </w:r>
      <w:r w:rsidR="00F21C6E">
        <w:instrText xml:space="preserve">" </w:instrText>
      </w:r>
      <w:r w:rsidR="00F21C6E">
        <w:rPr>
          <w:rtl/>
        </w:rPr>
        <w:fldChar w:fldCharType="end"/>
      </w:r>
      <w:r>
        <w:rPr>
          <w:rFonts w:hint="cs"/>
          <w:rtl/>
        </w:rPr>
        <w:t xml:space="preserve">, שהוא לא העדר של משהו, אין בו שום אחיזה למחשבה, כי ה'משהו' שהוא מה שנעדר הוא האחיזה היחידה שיש לנו בתפישת ההעדר. </w:t>
      </w:r>
      <w:r w:rsidR="00B876DE">
        <w:rPr>
          <w:rFonts w:hint="cs"/>
          <w:rtl/>
        </w:rPr>
        <w:t xml:space="preserve"> </w:t>
      </w:r>
    </w:p>
    <w:p w14:paraId="363E4E05" w14:textId="77777777" w:rsidR="004734E8" w:rsidRDefault="00780BA2" w:rsidP="00B876DE">
      <w:pPr>
        <w:pStyle w:val="FootnoteText"/>
        <w:rPr>
          <w:rtl/>
        </w:rPr>
      </w:pPr>
      <w:r>
        <w:rPr>
          <w:rFonts w:hint="cs"/>
          <w:rtl/>
        </w:rPr>
        <w:t>אם במיטה יש שקע, אבל אינו בצורת הגוף שישן שם מקודם או בשום צורה אחרת שנעדרת מהמיטה, אז הוא רק גובה נמוך יותר של המיטה ואי אפשר להשיג כאן שיש העדר. העדר כזה אינו 'יש' בשום מובן. עליו אמר פרמנידס שהיש ישנו והאין איננו, והאין לא ניתן לשום השגה.</w:t>
      </w:r>
      <w:r w:rsidR="00F21C6E">
        <w:rPr>
          <w:rFonts w:hint="cs"/>
          <w:rtl/>
        </w:rPr>
        <w:t xml:space="preserve"> אין כללי היינו אם מאיינים את כל המציאות מתחילתה, ואז נשאר רק האין סוף הפשוט עצמו, שנקרא 'אין' (הוא האין שהבריאה נולדה ממנו כיש מאין),  כמו לא הייתה בריאה כלל, וזה בלתי ניתן להשגה כלל ואין לנו דיבור בו. </w:t>
      </w:r>
    </w:p>
    <w:p w14:paraId="4139AB23" w14:textId="05C21C79" w:rsidR="0022275F" w:rsidRDefault="004734E8" w:rsidP="00B876DE">
      <w:pPr>
        <w:pStyle w:val="FootnoteText"/>
        <w:rPr>
          <w:rtl/>
        </w:rPr>
      </w:pPr>
      <w:r>
        <w:rPr>
          <w:rFonts w:hint="cs"/>
          <w:rtl/>
        </w:rPr>
        <w:t>עיין במורה נבוכים ג' י'</w:t>
      </w:r>
      <w:r w:rsidR="0022275F">
        <w:rPr>
          <w:rtl/>
        </w:rPr>
        <w:fldChar w:fldCharType="begin"/>
      </w:r>
      <w:r w:rsidR="0022275F">
        <w:instrText xml:space="preserve"> XE "</w:instrText>
      </w:r>
      <w:r w:rsidR="0022275F" w:rsidRPr="004B1ECA">
        <w:rPr>
          <w:rFonts w:hint="cs"/>
          <w:rtl/>
        </w:rPr>
        <w:instrText>מורה נבוכים ג' י'</w:instrText>
      </w:r>
      <w:r w:rsidR="0022275F">
        <w:instrText xml:space="preserve">" </w:instrText>
      </w:r>
      <w:r w:rsidR="0022275F">
        <w:rPr>
          <w:rtl/>
        </w:rPr>
        <w:fldChar w:fldCharType="end"/>
      </w:r>
      <w:r>
        <w:rPr>
          <w:rFonts w:hint="cs"/>
          <w:rtl/>
        </w:rPr>
        <w:t xml:space="preserve">, </w:t>
      </w:r>
      <w:r w:rsidR="00F70D1B">
        <w:rPr>
          <w:rFonts w:hint="cs"/>
          <w:rtl/>
        </w:rPr>
        <w:t>ושם א' י</w:t>
      </w:r>
      <w:r w:rsidR="00F055C8">
        <w:rPr>
          <w:rtl/>
        </w:rPr>
        <w:t>"</w:t>
      </w:r>
      <w:r w:rsidR="00F70D1B">
        <w:rPr>
          <w:rFonts w:hint="cs"/>
          <w:rtl/>
        </w:rPr>
        <w:t xml:space="preserve">ז, </w:t>
      </w:r>
      <w:r>
        <w:rPr>
          <w:rFonts w:hint="cs"/>
          <w:rtl/>
        </w:rPr>
        <w:t>בביאור עניין ההעדר המיוחד. שם הוא כותב ש</w:t>
      </w:r>
      <w:r w:rsidR="00950F25">
        <w:rPr>
          <w:rFonts w:hint="cs"/>
          <w:rtl/>
        </w:rPr>
        <w:t xml:space="preserve">כת </w:t>
      </w:r>
      <w:r>
        <w:rPr>
          <w:rFonts w:hint="cs"/>
          <w:rtl/>
        </w:rPr>
        <w:t>המדברים לא קיבלו שיש העדר מיוחד, הטעם הוא כי לשיטתם אין צורות. למשל עיוורון לפי אריסטו והרמב</w:t>
      </w:r>
      <w:r w:rsidR="00F055C8">
        <w:rPr>
          <w:rtl/>
        </w:rPr>
        <w:t>"</w:t>
      </w:r>
      <w:r>
        <w:rPr>
          <w:rFonts w:hint="cs"/>
          <w:rtl/>
        </w:rPr>
        <w:t xml:space="preserve">ם הוא העדר ראייה, וזה משום שהראייה היא 'צורה', וכשאינה קיימת, העדר אותה צורה, העיוורון, הוא כמו שקע במיטה או צל או חלל ריק, שמצוייר בו הפוטנציאל של הצורה שיכולה להתמלא בו. לכן העיוורון הוא העדר ראייה. אם לפי </w:t>
      </w:r>
      <w:r w:rsidR="00950F25">
        <w:rPr>
          <w:rFonts w:hint="cs"/>
          <w:rtl/>
        </w:rPr>
        <w:t xml:space="preserve">כת </w:t>
      </w:r>
      <w:r>
        <w:rPr>
          <w:rFonts w:hint="cs"/>
          <w:rtl/>
        </w:rPr>
        <w:t xml:space="preserve">המדברים ראייה אינה </w:t>
      </w:r>
      <w:r w:rsidR="00950F25">
        <w:rPr>
          <w:rFonts w:hint="cs"/>
          <w:rtl/>
        </w:rPr>
        <w:t>'</w:t>
      </w:r>
      <w:r>
        <w:rPr>
          <w:rFonts w:hint="cs"/>
          <w:rtl/>
        </w:rPr>
        <w:t>צורה</w:t>
      </w:r>
      <w:r w:rsidR="00950F25">
        <w:rPr>
          <w:rFonts w:hint="cs"/>
          <w:rtl/>
        </w:rPr>
        <w:t>'</w:t>
      </w:r>
      <w:r>
        <w:rPr>
          <w:rFonts w:hint="cs"/>
          <w:rtl/>
        </w:rPr>
        <w:t xml:space="preserve"> אלא פעולה מקרית </w:t>
      </w:r>
      <w:r w:rsidR="00950F25">
        <w:rPr>
          <w:rFonts w:hint="cs"/>
          <w:rtl/>
        </w:rPr>
        <w:t xml:space="preserve">רגעית ישירה </w:t>
      </w:r>
      <w:r>
        <w:rPr>
          <w:rFonts w:hint="cs"/>
          <w:rtl/>
        </w:rPr>
        <w:t>של האל</w:t>
      </w:r>
      <w:r w:rsidR="00950F25">
        <w:rPr>
          <w:rFonts w:hint="cs"/>
          <w:rtl/>
        </w:rPr>
        <w:t xml:space="preserve"> ברצונו החופשי שאינו מובן בשכלנו, אז אינה יכולה להטיל צל של העדר שיהיה העדר שלה, ולכן העיוורון גם הוא פעולה מקרית באותה מידה כמו הראייה ואינו העדר שלה. </w:t>
      </w:r>
      <w:r w:rsidR="0066564A">
        <w:rPr>
          <w:rFonts w:hint="cs"/>
          <w:rtl/>
        </w:rPr>
        <w:t xml:space="preserve">המדברים מודים רק בהעדר הגמור, הוא ההעדר הכללי, דהיינו סך כל מה שלא נברא על ידי האל (לא מה שהוא פוטנציאל שייברא ולא נברא עדיין, אלא מה שגם כפוטנציאל אינו. כי הפוטנציאל כרוך בצורות). </w:t>
      </w:r>
    </w:p>
    <w:p w14:paraId="6DA83D0F" w14:textId="1BE925FF" w:rsidR="00780BA2" w:rsidRDefault="0022275F" w:rsidP="00B876DE">
      <w:pPr>
        <w:pStyle w:val="FootnoteText"/>
        <w:rPr>
          <w:rtl/>
        </w:rPr>
      </w:pPr>
      <w:r>
        <w:rPr>
          <w:rFonts w:hint="cs"/>
          <w:rtl/>
        </w:rPr>
        <w:t>מה שכתב במורה נבוכים ג' י' ש</w:t>
      </w:r>
      <w:r w:rsidRPr="0022275F">
        <w:rPr>
          <w:rtl/>
        </w:rPr>
        <w:t>ע</w:t>
      </w:r>
      <w:r>
        <w:rPr>
          <w:rFonts w:hint="cs"/>
          <w:rtl/>
        </w:rPr>
        <w:t>י</w:t>
      </w:r>
      <w:r w:rsidRPr="0022275F">
        <w:rPr>
          <w:rtl/>
        </w:rPr>
        <w:t>ו</w:t>
      </w:r>
      <w:r>
        <w:rPr>
          <w:rFonts w:hint="cs"/>
          <w:rtl/>
        </w:rPr>
        <w:t>ו</w:t>
      </w:r>
      <w:r w:rsidRPr="0022275F">
        <w:rPr>
          <w:rtl/>
        </w:rPr>
        <w:t>רון וראות, ומ</w:t>
      </w:r>
      <w:r>
        <w:rPr>
          <w:rFonts w:hint="cs"/>
          <w:rtl/>
        </w:rPr>
        <w:t>ו</w:t>
      </w:r>
      <w:r w:rsidRPr="0022275F">
        <w:rPr>
          <w:rtl/>
        </w:rPr>
        <w:t>ות והחיים</w:t>
      </w:r>
      <w:r>
        <w:rPr>
          <w:rFonts w:hint="cs"/>
          <w:rtl/>
        </w:rPr>
        <w:t>, הם העדר וקניין (</w:t>
      </w:r>
      <w:r w:rsidR="00F055C8">
        <w:rPr>
          <w:rtl/>
        </w:rPr>
        <w:t>"</w:t>
      </w:r>
      <w:r>
        <w:rPr>
          <w:rFonts w:hint="cs"/>
          <w:rtl/>
        </w:rPr>
        <w:t>קניין</w:t>
      </w:r>
      <w:r w:rsidR="00F055C8">
        <w:rPr>
          <w:rtl/>
        </w:rPr>
        <w:t>"</w:t>
      </w:r>
      <w:r>
        <w:rPr>
          <w:rFonts w:hint="cs"/>
          <w:rtl/>
        </w:rPr>
        <w:t xml:space="preserve"> כלומר מה שאינו נעדר אלא קיים)</w:t>
      </w:r>
      <w:r w:rsidR="00780BA2">
        <w:rPr>
          <w:rFonts w:hint="cs"/>
          <w:rtl/>
        </w:rPr>
        <w:t xml:space="preserve"> </w:t>
      </w:r>
      <w:r>
        <w:rPr>
          <w:rFonts w:hint="cs"/>
          <w:rtl/>
        </w:rPr>
        <w:t>שהעיוורון הוא העדר ראות, ומוות הוא העדר חיים, אבל קור אינו העדר חום, אני מעתיק לכאן מתוך התכתבות בעניין זה:</w:t>
      </w:r>
    </w:p>
    <w:p w14:paraId="22D708C1" w14:textId="00074855" w:rsidR="0022275F" w:rsidRDefault="00F055C8" w:rsidP="0022275F">
      <w:pPr>
        <w:pStyle w:val="FootnoteText"/>
      </w:pPr>
      <w:r>
        <w:rPr>
          <w:rtl/>
        </w:rPr>
        <w:t>"</w:t>
      </w:r>
      <w:r w:rsidR="0022275F">
        <w:rPr>
          <w:rtl/>
        </w:rPr>
        <w:t>מה שכתוב במילות ההגיון י</w:t>
      </w:r>
      <w:r>
        <w:rPr>
          <w:rtl/>
        </w:rPr>
        <w:t>"</w:t>
      </w:r>
      <w:r w:rsidR="0022275F">
        <w:rPr>
          <w:rtl/>
        </w:rPr>
        <w:t>א</w:t>
      </w:r>
      <w:r w:rsidR="0022275F">
        <w:rPr>
          <w:rtl/>
        </w:rPr>
        <w:fldChar w:fldCharType="begin"/>
      </w:r>
      <w:r w:rsidR="0022275F">
        <w:instrText xml:space="preserve"> XE "</w:instrText>
      </w:r>
      <w:r w:rsidR="0022275F" w:rsidRPr="009A30B5">
        <w:rPr>
          <w:rtl/>
        </w:rPr>
        <w:instrText>מילות ההגיון י</w:instrText>
      </w:r>
      <w:r w:rsidR="0022275F">
        <w:rPr>
          <w:b/>
          <w:bCs/>
          <w:sz w:val="20"/>
          <w:szCs w:val="20"/>
        </w:rPr>
        <w:instrText>\</w:instrText>
      </w:r>
      <w:r w:rsidR="0022275F" w:rsidRPr="009A30B5">
        <w:rPr>
          <w:rFonts w:hint="cs"/>
          <w:rtl/>
        </w:rPr>
        <w:instrText>"</w:instrText>
      </w:r>
      <w:r w:rsidR="0022275F" w:rsidRPr="009A30B5">
        <w:rPr>
          <w:rtl/>
        </w:rPr>
        <w:instrText>א</w:instrText>
      </w:r>
      <w:r w:rsidR="0022275F" w:rsidRPr="009A30B5">
        <w:rPr>
          <w:rFonts w:hint="cs"/>
          <w:rtl/>
        </w:rPr>
        <w:instrText xml:space="preserve"> - חום וקור אינם הפכים כמו ראייה ועיוורון</w:instrText>
      </w:r>
      <w:r w:rsidR="0022275F">
        <w:instrText xml:space="preserve">" </w:instrText>
      </w:r>
      <w:r w:rsidR="0022275F">
        <w:rPr>
          <w:rtl/>
        </w:rPr>
        <w:fldChar w:fldCharType="end"/>
      </w:r>
      <w:r w:rsidR="0022275F">
        <w:rPr>
          <w:rtl/>
        </w:rPr>
        <w:t>, הוא סיכום קצר של הפיזיקה ספר ה'. שם מבאר שיש שינוי שהוא בקטגוריות האיכות והכמות ושאר הקטגוריות ולא בקטגוריית העצם אלא רק במאפייני העצם. וזה נקרא שינוי ולא נקרא התהוות. ויש שינוי בקטגוריית העצם וזה נקרא התהוות או הפסד. כי כשהעצם משתנה העצם נפסד מלהיות מה שהוא, ונעשה משהו אחר. אבל אם השינוי רק במאפייני העצם העצם נשאר קיים.</w:t>
      </w:r>
    </w:p>
    <w:p w14:paraId="2E77A111" w14:textId="77777777" w:rsidR="0022275F" w:rsidRDefault="0022275F" w:rsidP="0022275F">
      <w:pPr>
        <w:pStyle w:val="FootnoteText"/>
      </w:pPr>
      <w:r>
        <w:rPr>
          <w:rtl/>
        </w:rPr>
        <w:t>אם אדם מתעוור, כיוון שהעין היא רק איבר בו, הוא לא חדל מלהתקיים ולכאורה השתנה בו רק מאפיין של איכות שהוא נעשה עיוור, כי לא השתנה עצם האדם למות. וכמו שנעשה חכם או בנאי זה רק שינוי במאפיין איכות. אבל באמת זה לא דומה לאדם שהתחמם או התקרר (או נעשה בנאי וכו') ונעשה בו שינוי במאפיין איכות (קור וחום הם מקטגוריית האיכות ולא מקטגוריית העצם). כי עיוור זה שינוי בקטגוריית העצם של העין, והעין כעצם חדלה לגמרי מלהתקיים.</w:t>
      </w:r>
    </w:p>
    <w:p w14:paraId="3E6AD18F" w14:textId="77777777" w:rsidR="0022275F" w:rsidRDefault="0022275F" w:rsidP="0022275F">
      <w:pPr>
        <w:pStyle w:val="FootnoteText"/>
      </w:pPr>
      <w:r>
        <w:rPr>
          <w:rtl/>
        </w:rPr>
        <w:t>במילות ההגיון אומר שעיוור זה העדר של כח הראיה כי העדר זה שינוי בקטגוריית העצם וכאן היה שינוי בקטגוריית העצם של העין. וקור הוא לא שינוי בקטגוריית העצם של שום דבר ולכן הוא לא העדר של עצם.</w:t>
      </w:r>
    </w:p>
    <w:p w14:paraId="22F62043" w14:textId="07E44D54" w:rsidR="0022275F" w:rsidRDefault="0022275F" w:rsidP="0022275F">
      <w:pPr>
        <w:pStyle w:val="FootnoteText"/>
      </w:pPr>
      <w:r>
        <w:rPr>
          <w:rtl/>
        </w:rPr>
        <w:t>וכמו שכתב ב</w:t>
      </w:r>
      <w:r w:rsidR="00F055C8">
        <w:rPr>
          <w:rtl/>
        </w:rPr>
        <w:t>"</w:t>
      </w:r>
      <w:r>
        <w:rPr>
          <w:rtl/>
        </w:rPr>
        <w:t>על ההוויה וההפסד</w:t>
      </w:r>
      <w:r w:rsidR="00F055C8">
        <w:rPr>
          <w:rtl/>
        </w:rPr>
        <w:t>"</w:t>
      </w:r>
      <w:r>
        <w:rPr>
          <w:rtl/>
        </w:rPr>
        <w:t xml:space="preserve"> ספר א' פרק ו שחום וקור הם רק איכויות ולא עצם, והם על מצע העצם ושינוי בהם הוא רק ביטול האיכות ולא העדר העצם:</w:t>
      </w:r>
    </w:p>
    <w:p w14:paraId="57405E7D" w14:textId="77777777" w:rsidR="0022275F" w:rsidRDefault="0022275F" w:rsidP="0022275F">
      <w:pPr>
        <w:pStyle w:val="FootnoteText"/>
      </w:pPr>
      <w:r>
        <w:t>for heat and cold do not change reciprocally into one another, but what changes (it is clear) is the substratum. Hence, whenever there is action and passion between two things, that which underlies them must be a single something. No doubt, it is not true to say that all things are of this character: but it is true of all things between which there is reciprocal action and passion</w:t>
      </w:r>
      <w:r>
        <w:rPr>
          <w:rtl/>
        </w:rPr>
        <w:t>.</w:t>
      </w:r>
    </w:p>
    <w:p w14:paraId="5B75CB6F" w14:textId="77777777" w:rsidR="0022275F" w:rsidRDefault="0022275F" w:rsidP="0022275F">
      <w:pPr>
        <w:pStyle w:val="FootnoteText"/>
      </w:pPr>
      <w:r>
        <w:rPr>
          <w:rtl/>
        </w:rPr>
        <w:t>אבל מאפיין יש לו מציאות, רק אופן מציאות של מאפיין, הוא קיים כמאפיין. זה לא קיום גמור וזה נשען על קיום העצם ולא עצמאי, ובכל זאת זה אופן של קיום. כך מפורש בכמה מקומות באריסטו וכתבתי על זה. מבחינת הקיום כמאפיין, קור הוא רק העדר של המאפיין חום והוא לא מאפיין חיובי בפני עצמו.  רק מכיוון שזה לא העדר של עצם, במילות ההגיון כתב שזה לא העדר. וכל ההעדרים שכתב שם הם העדרים בקטגוריית העצם וכמו חסרון שן או שיער וכו'.</w:t>
      </w:r>
    </w:p>
    <w:p w14:paraId="510A3BFD" w14:textId="06A7F414" w:rsidR="0022275F" w:rsidRDefault="0022275F" w:rsidP="0022275F">
      <w:pPr>
        <w:pStyle w:val="FootnoteText"/>
      </w:pPr>
      <w:r>
        <w:rPr>
          <w:rtl/>
        </w:rPr>
        <w:t>וכן כתב ב</w:t>
      </w:r>
      <w:r w:rsidR="00F055C8">
        <w:rPr>
          <w:rtl/>
        </w:rPr>
        <w:t>"</w:t>
      </w:r>
      <w:r>
        <w:rPr>
          <w:rtl/>
        </w:rPr>
        <w:t>על ההוויה וההפסד</w:t>
      </w:r>
      <w:r w:rsidR="00F055C8">
        <w:rPr>
          <w:rtl/>
        </w:rPr>
        <w:t>"</w:t>
      </w:r>
      <w:r>
        <w:rPr>
          <w:rtl/>
        </w:rPr>
        <w:t xml:space="preserve"> ספר א' פרק ג':</w:t>
      </w:r>
    </w:p>
    <w:p w14:paraId="10AC2A83" w14:textId="08753073" w:rsidR="0022275F" w:rsidRDefault="00F055C8" w:rsidP="0022275F">
      <w:pPr>
        <w:pStyle w:val="FootnoteText"/>
      </w:pPr>
      <w:r>
        <w:rPr>
          <w:rtl/>
        </w:rPr>
        <w:t>"</w:t>
      </w:r>
      <w:r w:rsidR="0022275F">
        <w:t>We have thus stated one characteristic manner in which unqualified will be distinguished from qualified coming-to-be and passing-away: but they are also distinguished according to the special nature of the material of the changing thing. For a material, whose constitutive differences signify more a ‘this somewhat’, is itself more ‘substantial’ or ‘real’: while a material, whose constitutive differences signify privation, is ‘not real’. (Suppose, e.g. that ‘the hot’ is a positive predication, i.e. a ‘form’, whereas ‘cold’ is a privation, and that Earth and Fire differ from one another by these constitutive differences.)</w:t>
      </w:r>
      <w:r>
        <w:rPr>
          <w:rtl/>
        </w:rPr>
        <w:t>"</w:t>
      </w:r>
    </w:p>
    <w:p w14:paraId="2F77471F" w14:textId="5CAFABA2" w:rsidR="0022275F" w:rsidRDefault="0022275F" w:rsidP="0022275F">
      <w:pPr>
        <w:pStyle w:val="FootnoteText"/>
      </w:pPr>
      <w:r>
        <w:rPr>
          <w:rtl/>
        </w:rPr>
        <w:t>וזו גם הכוונה במורה ג</w:t>
      </w:r>
      <w:r>
        <w:rPr>
          <w:rFonts w:hint="cs"/>
          <w:rtl/>
        </w:rPr>
        <w:t>'</w:t>
      </w:r>
      <w:r>
        <w:rPr>
          <w:rtl/>
        </w:rPr>
        <w:t xml:space="preserve"> י</w:t>
      </w:r>
      <w:r>
        <w:rPr>
          <w:rFonts w:hint="cs"/>
          <w:rtl/>
        </w:rPr>
        <w:t>'</w:t>
      </w:r>
      <w:r>
        <w:rPr>
          <w:rtl/>
        </w:rPr>
        <w:t>.</w:t>
      </w:r>
      <w:r w:rsidR="00F055C8">
        <w:rPr>
          <w:rtl/>
        </w:rPr>
        <w:t>"</w:t>
      </w:r>
    </w:p>
  </w:footnote>
  <w:footnote w:id="219">
    <w:p w14:paraId="4AC213B7" w14:textId="1771A281" w:rsidR="005B3DAB" w:rsidRDefault="005F3206">
      <w:pPr>
        <w:pStyle w:val="FootnoteText"/>
        <w:rPr>
          <w:rtl/>
        </w:rPr>
      </w:pPr>
      <w:r>
        <w:rPr>
          <w:rStyle w:val="FootnoteReference"/>
        </w:rPr>
        <w:footnoteRef/>
      </w:r>
      <w:r>
        <w:rPr>
          <w:rtl/>
        </w:rPr>
        <w:t xml:space="preserve"> </w:t>
      </w:r>
      <w:r>
        <w:rPr>
          <w:rFonts w:hint="cs"/>
          <w:rtl/>
        </w:rPr>
        <w:t>באדם שהוא 'חי מדבר', הבשר הוא הסיבה החומרית ו'חי מדבר' הוא הסיבה הצורנית. אלה הסיבות</w:t>
      </w:r>
      <w:r w:rsidR="005B3DAB">
        <w:rPr>
          <w:rFonts w:hint="cs"/>
          <w:rtl/>
        </w:rPr>
        <w:t>.</w:t>
      </w:r>
      <w:r>
        <w:rPr>
          <w:rFonts w:hint="cs"/>
          <w:rtl/>
        </w:rPr>
        <w:t xml:space="preserve"> ההתחלות</w:t>
      </w:r>
      <w:r w:rsidR="00A10CE6">
        <w:rPr>
          <w:rtl/>
        </w:rPr>
        <w:fldChar w:fldCharType="begin"/>
      </w:r>
      <w:r w:rsidR="00A10CE6">
        <w:instrText xml:space="preserve"> XE "</w:instrText>
      </w:r>
      <w:r w:rsidR="00A10CE6" w:rsidRPr="009076C7">
        <w:rPr>
          <w:rFonts w:hint="cs"/>
          <w:rtl/>
        </w:rPr>
        <w:instrText>התחלות וסיבות</w:instrText>
      </w:r>
      <w:r w:rsidR="00A10CE6">
        <w:instrText xml:space="preserve">" </w:instrText>
      </w:r>
      <w:r w:rsidR="00A10CE6">
        <w:rPr>
          <w:rtl/>
        </w:rPr>
        <w:fldChar w:fldCharType="end"/>
      </w:r>
      <w:r>
        <w:rPr>
          <w:rFonts w:hint="cs"/>
          <w:rtl/>
        </w:rPr>
        <w:t xml:space="preserve"> הן ההיולי וצורת התלת ממדיות</w:t>
      </w:r>
      <w:r w:rsidR="005B3DAB">
        <w:rPr>
          <w:rFonts w:hint="cs"/>
          <w:rtl/>
        </w:rPr>
        <w:t xml:space="preserve"> (שהם דברים אין סופיים)</w:t>
      </w:r>
      <w:r>
        <w:rPr>
          <w:rFonts w:hint="cs"/>
          <w:rtl/>
        </w:rPr>
        <w:t xml:space="preserve"> מצד החומר, והחיים כשלעצמם והחכמה כשלעצמה מצד הצורה. </w:t>
      </w:r>
    </w:p>
    <w:p w14:paraId="36335F99" w14:textId="06CF7822" w:rsidR="005F3206" w:rsidRDefault="005F3206">
      <w:pPr>
        <w:pStyle w:val="FootnoteText"/>
      </w:pPr>
      <w:r>
        <w:rPr>
          <w:rFonts w:hint="cs"/>
          <w:rtl/>
        </w:rPr>
        <w:t>החיים כשלעצמם והחכמה כשלעצמה הם כמו שם נרדף לאלוה המופשט הכרחי המציאות, כמו שלהיות לח הוא שם נרדף למים ולא הגדרה או תואר כמו להיות חם. וכמו שביאר המורה נבוכים א' סוף פרק נ</w:t>
      </w:r>
      <w:r w:rsidR="00F055C8">
        <w:rPr>
          <w:rtl/>
        </w:rPr>
        <w:t>"</w:t>
      </w:r>
      <w:r>
        <w:rPr>
          <w:rFonts w:hint="cs"/>
          <w:rtl/>
        </w:rPr>
        <w:t xml:space="preserve">ג. </w:t>
      </w:r>
      <w:r w:rsidR="005762BD">
        <w:rPr>
          <w:rFonts w:hint="cs"/>
          <w:rtl/>
        </w:rPr>
        <w:t xml:space="preserve">לכן הם התחלות ולא רק סיבות (כל התחלה גוררת עמה בהכרח סיבות שהן צמצומים שלה); הסיבה היא כשהחיים מצומצמים לבעל חיים מוגדר שאלה הם חייו באופן מוגדר, וכן </w:t>
      </w:r>
      <w:r w:rsidR="005B3DAB">
        <w:rPr>
          <w:rFonts w:hint="cs"/>
          <w:rtl/>
        </w:rPr>
        <w:t>כ</w:t>
      </w:r>
      <w:r w:rsidR="005762BD">
        <w:rPr>
          <w:rFonts w:hint="cs"/>
          <w:rtl/>
        </w:rPr>
        <w:t xml:space="preserve">שהחכמה מצטמצמת לבעל חיים מוגדר שיש בו חכמה שהיא מוגדרת </w:t>
      </w:r>
      <w:r w:rsidR="005762BD">
        <w:rPr>
          <w:rFonts w:hint="cs"/>
          <w:rtl/>
        </w:rPr>
        <w:t>כחכמתו שלו, והוא האדם.</w:t>
      </w:r>
      <w:r w:rsidR="001F0D6A">
        <w:rPr>
          <w:rFonts w:hint="cs"/>
          <w:rtl/>
        </w:rPr>
        <w:t xml:space="preserve"> (עיין עוד לקמן בסמוך בהערה לסעיף זה, ולעיל )</w:t>
      </w:r>
      <w:r w:rsidR="005762BD">
        <w:rPr>
          <w:rFonts w:hint="cs"/>
          <w:rtl/>
        </w:rPr>
        <w:t xml:space="preserve"> </w:t>
      </w:r>
      <w:r>
        <w:rPr>
          <w:rFonts w:hint="cs"/>
          <w:rtl/>
        </w:rPr>
        <w:t xml:space="preserve"> </w:t>
      </w:r>
    </w:p>
  </w:footnote>
  <w:footnote w:id="220">
    <w:p w14:paraId="6E089C1D" w14:textId="094990F1" w:rsidR="00E23CF4" w:rsidRDefault="00E23CF4">
      <w:pPr>
        <w:pStyle w:val="FootnoteText"/>
      </w:pPr>
      <w:r>
        <w:rPr>
          <w:rStyle w:val="FootnoteReference"/>
        </w:rPr>
        <w:footnoteRef/>
      </w:r>
      <w:r>
        <w:rPr>
          <w:rtl/>
        </w:rPr>
        <w:t xml:space="preserve"> </w:t>
      </w:r>
      <w:r>
        <w:rPr>
          <w:rFonts w:hint="cs"/>
          <w:rtl/>
        </w:rPr>
        <w:t xml:space="preserve">עיין בהערות לעיל על פרק זה סעיף 3 מה החילוק בין 'חומר' ל'היולי'. </w:t>
      </w:r>
    </w:p>
  </w:footnote>
  <w:footnote w:id="221">
    <w:p w14:paraId="2EBF9B20" w14:textId="08DA792A" w:rsidR="0056373F" w:rsidRDefault="0056373F">
      <w:pPr>
        <w:pStyle w:val="FootnoteText"/>
        <w:rPr>
          <w:rtl/>
        </w:rPr>
      </w:pPr>
      <w:r>
        <w:rPr>
          <w:rStyle w:val="FootnoteReference"/>
        </w:rPr>
        <w:footnoteRef/>
      </w:r>
      <w:r>
        <w:rPr>
          <w:rtl/>
        </w:rPr>
        <w:t xml:space="preserve"> </w:t>
      </w:r>
      <w:r>
        <w:rPr>
          <w:rFonts w:hint="cs"/>
          <w:rtl/>
        </w:rPr>
        <w:t>כתב במורה נבוכים ג' ח' (ועיין עוד שם ובפרק ט' שם):</w:t>
      </w:r>
    </w:p>
    <w:p w14:paraId="01182483" w14:textId="1F1AA685" w:rsidR="0056373F" w:rsidRDefault="00F055C8" w:rsidP="00D16E12">
      <w:pPr>
        <w:pStyle w:val="FootnoteText"/>
        <w:rPr>
          <w:rtl/>
        </w:rPr>
      </w:pPr>
      <w:r>
        <w:rPr>
          <w:rtl/>
        </w:rPr>
        <w:t>"</w:t>
      </w:r>
      <w:r w:rsidR="0056373F">
        <w:rPr>
          <w:rtl/>
        </w:rPr>
        <w:t xml:space="preserve">כל הגשמים ההווים הנפסדים לא ישיגם ההפסד רק מצד החומר שלהם לא זולת זה. אבל מצד הצורה ובבחינת עצם הצורה לא ישיגם הפסד רק הם עומדים. הלא תראה שהצורות המיניות כולם מתמידות עומדות ואמנם ישיג הפסד לצורה במקרה - רצוני לומר מפני התחברה לחומר וטבע החומר ואמיתתו - שהוא לעולם לא ימלט מחברת ההעדר ומפני זה לא </w:t>
      </w:r>
      <w:r w:rsidR="0056373F">
        <w:rPr>
          <w:rtl/>
        </w:rPr>
        <w:t>תתקים בו צורה אבל יפשיט צורה וילבש צורה אחרת תמיד:</w:t>
      </w:r>
    </w:p>
    <w:p w14:paraId="163D68D8" w14:textId="77777777" w:rsidR="0056373F" w:rsidRDefault="0056373F" w:rsidP="0056373F">
      <w:pPr>
        <w:pStyle w:val="FootnoteText"/>
        <w:rPr>
          <w:rtl/>
        </w:rPr>
      </w:pPr>
      <w:r>
        <w:rPr>
          <w:rtl/>
        </w:rPr>
        <w:t>ומה נפלא מאמר שלמה בחכמתו בדמותו החומר ב'אשת איש זונה' כי לא ימצא חומר מבלתי צורה כלל - אם כן הוא 'אשת איש' לעולם לא תמלט מ'איש' ולא תמצא 'פנויה' כלל; ועם היותה 'אשת איש' היא מבקשת איש אחר לעולם תמיר בו בעלה ותפתהו ותמשכהו בכל צד עד שישיג ממנה מה שהשיג בעלה. זהו ענין החומר - והוא שאי זו צורה שתהיה בו הצורה ההיא תכינהו לקבל צורה אחרת ולא יסור מהתנועה להפשיט זאת הצורה שעמו ולהביא אחרת; וכענין זה בעצמו יעשה אחר בוא הצורה האחרת:</w:t>
      </w:r>
    </w:p>
    <w:p w14:paraId="4A1CCABD" w14:textId="43ECA7CF" w:rsidR="0056373F" w:rsidRDefault="0056373F" w:rsidP="0056373F">
      <w:pPr>
        <w:pStyle w:val="FootnoteText"/>
        <w:rPr>
          <w:rtl/>
        </w:rPr>
      </w:pPr>
      <w:r>
        <w:rPr>
          <w:rtl/>
        </w:rPr>
        <w:t>הנה כבר התבאר שכל השחתה והפסד או חסרון - אמנם הוא מפני החומר. ובאורו באדם על דרך משל כי כיעור צורתו וצאת אבריו מטבעם וכן חולשת כל פעולותיו או ביטולם או בלבולם אין הפרש בין היות כל זה בתחילת היצירה או מתחדש עליו - אין זה כולו נמשך אלא אחר החומר שלו הנפסד לא אחר צורתו וכן כל בעל חיים אמנם ימות ויחלה מפני החומר שלו לא מפני צורתו. וכל פשעי האדם וחטאיו אמנם הם נמשכים אחרי החומר שלו הנפסד לא אחרי צורתו; ומעלותיו כולם אינם נמשכים אחרי החומר שלו הנפסד אלא אחרי צורתו; ומעלותיו כולם אינם נמשכות רק אחר צורתו. והמשל בו שהשגת האדם את בוראו וצירו כל מושכל והנהיגו תאוותיו וכעסו והסתכלו במה שצריך לבחר בו ובמה שצריך לרחקו - כל זה נמשך אחר צורתו אבל מאכליו ומשתיו ומשגליו ורוב תאוותיו בהם וכן כעסו וכל מדה רעה שתמצא לו - הכל נמשך אחר החומר שלו. וכאשר התבאר שהענין כן ולא היה אפשר בגזרת החכמה האלוקית שימצא חומר מבלתי צורה ולא שתמצא צורה מאלו הצורות מבלתי חומר והתחיב הקשר זאת הצורה האנושית הנכבדת מאד אשר בארנו שהיא 'צלם אלוקים ודמותו' בזה החומר העפרי החשוך המביא אותו לכל חסרון והפסד נתן לה - רצוני לומר לצורה האנושית - יכולת על החומר וממשלה ואדנות ושלטון עד שתכריחהו ותמנע תאוותיו ותשיבם על מה שאפשר מן היושר והשווי:</w:t>
      </w:r>
      <w:r w:rsidR="00F055C8">
        <w:rPr>
          <w:rtl/>
        </w:rPr>
        <w:t>"</w:t>
      </w:r>
      <w:r>
        <w:rPr>
          <w:rFonts w:hint="cs"/>
          <w:rtl/>
        </w:rPr>
        <w:t xml:space="preserve"> </w:t>
      </w:r>
    </w:p>
    <w:p w14:paraId="14CCC100" w14:textId="228BF593" w:rsidR="00D16E12" w:rsidRDefault="00D16E12" w:rsidP="00D2043F">
      <w:pPr>
        <w:pStyle w:val="FootnoteText"/>
      </w:pPr>
      <w:r>
        <w:rPr>
          <w:rFonts w:hint="cs"/>
          <w:rtl/>
        </w:rPr>
        <w:t xml:space="preserve">ועיין גם </w:t>
      </w:r>
      <w:r w:rsidRPr="00D16E12">
        <w:rPr>
          <w:rtl/>
        </w:rPr>
        <w:t>במטאפיזיקה תטא פרק ט, 1051</w:t>
      </w:r>
      <w:r>
        <w:rPr>
          <w:rFonts w:hint="cs"/>
          <w:rtl/>
        </w:rPr>
        <w:t>א שורה</w:t>
      </w:r>
      <w:r w:rsidR="00D2043F">
        <w:rPr>
          <w:rFonts w:hint="cs"/>
          <w:rtl/>
        </w:rPr>
        <w:t xml:space="preserve"> </w:t>
      </w:r>
      <w:r w:rsidRPr="00D16E12">
        <w:t>20</w:t>
      </w:r>
      <w:r w:rsidR="00D2043F">
        <w:rPr>
          <w:rFonts w:hint="cs"/>
          <w:rtl/>
        </w:rPr>
        <w:t>.</w:t>
      </w:r>
    </w:p>
  </w:footnote>
  <w:footnote w:id="222">
    <w:p w14:paraId="38E24E01" w14:textId="15CF2F77" w:rsidR="000F265B" w:rsidRPr="00207988" w:rsidRDefault="000F265B">
      <w:pPr>
        <w:pStyle w:val="FootnoteText"/>
        <w:rPr>
          <w:rtl/>
        </w:rPr>
      </w:pPr>
      <w:r>
        <w:rPr>
          <w:rStyle w:val="FootnoteReference"/>
        </w:rPr>
        <w:footnoteRef/>
      </w:r>
      <w:r>
        <w:rPr>
          <w:rtl/>
        </w:rPr>
        <w:t xml:space="preserve"> </w:t>
      </w:r>
      <w:bookmarkStart w:id="141" w:name="_Hlk97324566"/>
      <w:r w:rsidRPr="00207988">
        <w:rPr>
          <w:rtl/>
        </w:rPr>
        <w:t xml:space="preserve">במקור </w:t>
      </w:r>
      <w:r w:rsidRPr="00207988">
        <w:rPr>
          <w:rFonts w:ascii="Arial" w:hAnsi="Arial" w:cs="Arial" w:hint="cs"/>
          <w:rtl/>
          <w:lang w:bidi="ar-SA"/>
        </w:rPr>
        <w:t>هيئة</w:t>
      </w:r>
      <w:bookmarkEnd w:id="141"/>
      <w:r w:rsidRPr="00207988">
        <w:rPr>
          <w:rtl/>
        </w:rPr>
        <w:t xml:space="preserve">, שפירושו צורה במובן של תואר חיצוני של הגוף (ולא הצורה הטבעית שהיא המהות, כמו שמבואר במורה נבוכים א' א'), או מבנה או סדר או מצב. מקגיניס תרגם </w:t>
      </w:r>
      <w:r w:rsidRPr="00207988">
        <w:t>disposition</w:t>
      </w:r>
      <w:r w:rsidRPr="00207988">
        <w:rPr>
          <w:rtl/>
        </w:rPr>
        <w:t xml:space="preserve">. </w:t>
      </w:r>
    </w:p>
    <w:p w14:paraId="1F139B32" w14:textId="065B8C0C" w:rsidR="00451A17" w:rsidRDefault="000F265B" w:rsidP="00451A17">
      <w:pPr>
        <w:pStyle w:val="FootnoteText"/>
        <w:rPr>
          <w:rtl/>
        </w:rPr>
      </w:pPr>
      <w:r w:rsidRPr="00207988">
        <w:rPr>
          <w:rtl/>
        </w:rPr>
        <w:t>אבן סינא נקט כאן במילה תואר</w:t>
      </w:r>
      <w:r w:rsidR="00207988">
        <w:rPr>
          <w:rFonts w:hint="cs"/>
          <w:rtl/>
        </w:rPr>
        <w:t xml:space="preserve"> (</w:t>
      </w:r>
      <w:r w:rsidR="00207988">
        <w:rPr>
          <w:rFonts w:hint="cs"/>
          <w:rtl/>
        </w:rPr>
        <w:t>הייא)</w:t>
      </w:r>
      <w:r w:rsidRPr="00207988">
        <w:rPr>
          <w:rtl/>
        </w:rPr>
        <w:t>, ולא במילה צורה</w:t>
      </w:r>
      <w:r w:rsidR="00207988">
        <w:rPr>
          <w:rFonts w:hint="cs"/>
          <w:rtl/>
        </w:rPr>
        <w:t xml:space="preserve"> (</w:t>
      </w:r>
      <w:r w:rsidR="00207988" w:rsidRPr="00207988">
        <w:rPr>
          <w:rtl/>
        </w:rPr>
        <w:t xml:space="preserve">בערבית </w:t>
      </w:r>
      <w:r w:rsidR="00207988" w:rsidRPr="00207988">
        <w:rPr>
          <w:rFonts w:cs="Times New Roman" w:hint="eastAsia"/>
          <w:rtl/>
          <w:lang w:bidi="ar-SA"/>
        </w:rPr>
        <w:t>صورة</w:t>
      </w:r>
      <w:r w:rsidR="00207988">
        <w:rPr>
          <w:rFonts w:cs="Times New Roman" w:hint="cs"/>
          <w:rtl/>
        </w:rPr>
        <w:t xml:space="preserve"> (</w:t>
      </w:r>
      <w:r w:rsidR="00207988">
        <w:rPr>
          <w:rFonts w:hint="cs"/>
          <w:rtl/>
        </w:rPr>
        <w:t>ס</w:t>
      </w:r>
      <w:r w:rsidR="00676885">
        <w:rPr>
          <w:rFonts w:hint="cs"/>
          <w:rtl/>
        </w:rPr>
        <w:t>'</w:t>
      </w:r>
      <w:r w:rsidR="00207988">
        <w:rPr>
          <w:rFonts w:hint="cs"/>
          <w:rtl/>
        </w:rPr>
        <w:t>ורה))</w:t>
      </w:r>
      <w:r w:rsidRPr="00207988">
        <w:rPr>
          <w:rtl/>
        </w:rPr>
        <w:t xml:space="preserve"> במובן של מהות (צורה שהיא המהות היינו כמו ש'חי מדבר' היא צורתו של האדם), </w:t>
      </w:r>
      <w:r w:rsidR="00207988">
        <w:rPr>
          <w:rFonts w:hint="cs"/>
          <w:rtl/>
        </w:rPr>
        <w:t xml:space="preserve">כי ההתחלה של הצורות אינן הצורות הטבעיות אלא צורת התלת ממדיות שיש בה פוטנציאל לגבולות התלת ממדיים של הגוף, שהם רק התואר שלו, התיאור המתימטי של ארכו רוחבו וגובהו, ולא המהות החיה שלו. וכמו שהתבאר לעיל בסמוך בסעיף זה. </w:t>
      </w:r>
    </w:p>
    <w:p w14:paraId="0046A1B0" w14:textId="77777777" w:rsidR="00E25FC4" w:rsidRDefault="00451A17" w:rsidP="00451A17">
      <w:pPr>
        <w:pStyle w:val="FootnoteText"/>
        <w:rPr>
          <w:rtl/>
        </w:rPr>
      </w:pPr>
      <w:r>
        <w:rPr>
          <w:rFonts w:hint="cs"/>
          <w:rtl/>
        </w:rPr>
        <w:t>עיין עוד בזה ברמיזות והערות חלק א' פרק ז' בהערה הראשונה בפרק על רובד המציאות של הישויות המתימטיות</w:t>
      </w:r>
      <w:r w:rsidR="00E25FC4">
        <w:rPr>
          <w:rFonts w:hint="cs"/>
          <w:rtl/>
        </w:rPr>
        <w:t xml:space="preserve">. </w:t>
      </w:r>
    </w:p>
    <w:p w14:paraId="3B00C55C" w14:textId="466048EF" w:rsidR="00E25FC4" w:rsidRDefault="00E25FC4" w:rsidP="00451A17">
      <w:pPr>
        <w:pStyle w:val="FootnoteText"/>
        <w:rPr>
          <w:rtl/>
        </w:rPr>
      </w:pPr>
      <w:r>
        <w:rPr>
          <w:rFonts w:hint="cs"/>
          <w:rtl/>
        </w:rPr>
        <w:t>ועיין בטימיאוס</w:t>
      </w:r>
      <w:r w:rsidR="001F0D6A">
        <w:rPr>
          <w:rtl/>
        </w:rPr>
        <w:fldChar w:fldCharType="begin"/>
      </w:r>
      <w:r w:rsidR="001F0D6A">
        <w:instrText xml:space="preserve"> XE "</w:instrText>
      </w:r>
      <w:r w:rsidR="001F0D6A" w:rsidRPr="00FD0763">
        <w:rPr>
          <w:rFonts w:hint="cs"/>
          <w:rtl/>
        </w:rPr>
        <w:instrText>טימיאוס - על צורת התלת ממדיות שהיא הצד המתימטי של המציאות</w:instrText>
      </w:r>
      <w:r w:rsidR="001F0D6A">
        <w:instrText xml:space="preserve">" </w:instrText>
      </w:r>
      <w:r w:rsidR="001F0D6A">
        <w:rPr>
          <w:rtl/>
        </w:rPr>
        <w:fldChar w:fldCharType="end"/>
      </w:r>
      <w:r>
        <w:rPr>
          <w:rFonts w:hint="cs"/>
          <w:rtl/>
        </w:rPr>
        <w:t xml:space="preserve"> מאת אפלטון עמ' 53:</w:t>
      </w:r>
    </w:p>
    <w:p w14:paraId="31C89178" w14:textId="23ADE23C" w:rsidR="00E25FC4" w:rsidRDefault="00F055C8" w:rsidP="00451A17">
      <w:pPr>
        <w:pStyle w:val="FootnoteText"/>
        <w:rPr>
          <w:rtl/>
        </w:rPr>
      </w:pPr>
      <w:r>
        <w:rPr>
          <w:rtl/>
        </w:rPr>
        <w:t>"</w:t>
      </w:r>
      <w:r w:rsidR="00E25FC4" w:rsidRPr="00E25FC4">
        <w:rPr>
          <w:rtl/>
        </w:rPr>
        <w:t>אך קודם לכן היו כל אותם המינים [ד' היסודות] בלא מתכונת ומידה. אש, מים, אדמה ואויר אמנם נמצאו בהם כמה סימנים בהם ניכר טבעם, אבל מכל וכל היו שרויים באותו מצב שבהיעדר אלוה יהא מסתבר לגבי כל דבר שבעולם</w:t>
      </w:r>
      <w:r w:rsidR="00E25FC4">
        <w:rPr>
          <w:rFonts w:hint="cs"/>
          <w:rtl/>
        </w:rPr>
        <w:t xml:space="preserve"> [כלומר תוהו, כאוס]</w:t>
      </w:r>
      <w:r w:rsidR="00E25FC4" w:rsidRPr="00E25FC4">
        <w:rPr>
          <w:rtl/>
        </w:rPr>
        <w:t>. כך היה, אפוא, טיבם, בשעה שהוחל בתיקון העולם</w:t>
      </w:r>
      <w:r w:rsidR="00E25FC4">
        <w:rPr>
          <w:rFonts w:hint="cs"/>
          <w:rtl/>
        </w:rPr>
        <w:t xml:space="preserve"> [הבוהו, צורת התלת ממדיות, ה'כמות' שממנה קטגוריית הכמות שהיא הקטגוריה הראשונה]</w:t>
      </w:r>
      <w:r w:rsidR="00E25FC4" w:rsidRPr="00E25FC4">
        <w:rPr>
          <w:rtl/>
        </w:rPr>
        <w:t xml:space="preserve">, ואותה שעה נתן להם האל בתחילה תבנית נפרדת, </w:t>
      </w:r>
      <w:r w:rsidR="00E25FC4" w:rsidRPr="00E25FC4">
        <w:rPr>
          <w:b/>
          <w:bCs/>
          <w:rtl/>
        </w:rPr>
        <w:t>על ידי צורות ומספרים</w:t>
      </w:r>
      <w:r w:rsidR="00E25FC4" w:rsidRPr="00E25FC4">
        <w:rPr>
          <w:rtl/>
        </w:rPr>
        <w:t>.</w:t>
      </w:r>
      <w:r w:rsidR="00E25FC4">
        <w:rPr>
          <w:rFonts w:hint="cs"/>
          <w:rtl/>
        </w:rPr>
        <w:t xml:space="preserve"> [עיין שם בהמשך שמדובר בצורות גיאומטריות שהן ישויות מתימטיות].</w:t>
      </w:r>
    </w:p>
    <w:p w14:paraId="47238939" w14:textId="24EADDC8" w:rsidR="00A65BB8" w:rsidRDefault="00A65BB8" w:rsidP="00451A17">
      <w:pPr>
        <w:pStyle w:val="FootnoteText"/>
        <w:rPr>
          <w:rtl/>
        </w:rPr>
      </w:pPr>
      <w:r>
        <w:rPr>
          <w:rFonts w:hint="cs"/>
          <w:rtl/>
        </w:rPr>
        <w:t>ועיין עוד בזה במטאפיזיקה של אריסטו</w:t>
      </w:r>
      <w:r w:rsidR="005359BA">
        <w:rPr>
          <w:rtl/>
        </w:rPr>
        <w:fldChar w:fldCharType="begin"/>
      </w:r>
      <w:r w:rsidR="005359BA">
        <w:instrText xml:space="preserve"> XE "</w:instrText>
      </w:r>
      <w:r w:rsidR="005359BA" w:rsidRPr="004D1876">
        <w:rPr>
          <w:rFonts w:hint="cs"/>
          <w:rtl/>
        </w:rPr>
        <w:instrText>אריסטו</w:instrText>
      </w:r>
      <w:r w:rsidR="005359BA" w:rsidRPr="004D1876">
        <w:rPr>
          <w:rtl/>
        </w:rPr>
        <w:instrText>:</w:instrText>
      </w:r>
      <w:r w:rsidR="005359BA" w:rsidRPr="004D1876">
        <w:rPr>
          <w:rFonts w:hint="cs"/>
          <w:rtl/>
        </w:rPr>
        <w:instrText>מטאפיזיקה יוטא א הכמות היא התחלת המציאות</w:instrText>
      </w:r>
      <w:r w:rsidR="005359BA">
        <w:instrText xml:space="preserve">" </w:instrText>
      </w:r>
      <w:r w:rsidR="005359BA">
        <w:rPr>
          <w:rtl/>
        </w:rPr>
        <w:fldChar w:fldCharType="end"/>
      </w:r>
      <w:r>
        <w:rPr>
          <w:rFonts w:hint="cs"/>
          <w:rtl/>
        </w:rPr>
        <w:t xml:space="preserve"> ספר יוטא פרק א' (1053א) על הכמות, כלומר המספר</w:t>
      </w:r>
      <w:r w:rsidR="003A3269">
        <w:rPr>
          <w:rFonts w:hint="cs"/>
          <w:rtl/>
        </w:rPr>
        <w:t>. ועיין גם במטאפיזיקה כפא (1067א שורה 5)</w:t>
      </w:r>
      <w:r w:rsidR="0070602A">
        <w:rPr>
          <w:rFonts w:hint="cs"/>
          <w:rtl/>
        </w:rPr>
        <w:t>, ועוד הרבה מקומות כעין זה</w:t>
      </w:r>
      <w:r w:rsidR="00E64439">
        <w:rPr>
          <w:rFonts w:hint="cs"/>
          <w:rtl/>
        </w:rPr>
        <w:t>.</w:t>
      </w:r>
    </w:p>
    <w:p w14:paraId="65AD07F1" w14:textId="6DB496A8" w:rsidR="00785A6A" w:rsidRDefault="00E25FC4" w:rsidP="00451A17">
      <w:pPr>
        <w:pStyle w:val="FootnoteText"/>
        <w:rPr>
          <w:rtl/>
        </w:rPr>
      </w:pPr>
      <w:r>
        <w:rPr>
          <w:rFonts w:hint="cs"/>
          <w:rtl/>
        </w:rPr>
        <w:t>ולזה התכוון אריסטו</w:t>
      </w:r>
      <w:r w:rsidR="005359BA">
        <w:rPr>
          <w:rtl/>
        </w:rPr>
        <w:fldChar w:fldCharType="begin"/>
      </w:r>
      <w:r w:rsidR="005359BA">
        <w:instrText xml:space="preserve"> XE "</w:instrText>
      </w:r>
      <w:r w:rsidR="005359BA" w:rsidRPr="00C709DD">
        <w:rPr>
          <w:rFonts w:hint="cs"/>
          <w:rtl/>
        </w:rPr>
        <w:instrText>אריסטו</w:instrText>
      </w:r>
      <w:r w:rsidR="005359BA" w:rsidRPr="00C709DD">
        <w:rPr>
          <w:rtl/>
        </w:rPr>
        <w:instrText>:</w:instrText>
      </w:r>
      <w:r w:rsidR="005359BA" w:rsidRPr="00C709DD">
        <w:rPr>
          <w:rFonts w:hint="cs"/>
          <w:rtl/>
        </w:rPr>
        <w:instrText>פיזיקה ד' ב' לפי אפלטון החומר הוא חלל</w:instrText>
      </w:r>
      <w:r w:rsidR="005359BA">
        <w:instrText xml:space="preserve">" </w:instrText>
      </w:r>
      <w:r w:rsidR="005359BA">
        <w:rPr>
          <w:rtl/>
        </w:rPr>
        <w:fldChar w:fldCharType="end"/>
      </w:r>
      <w:r>
        <w:rPr>
          <w:rFonts w:hint="cs"/>
          <w:rtl/>
        </w:rPr>
        <w:t xml:space="preserve"> במה שכתב</w:t>
      </w:r>
      <w:r w:rsidRPr="00E25FC4">
        <w:rPr>
          <w:rtl/>
        </w:rPr>
        <w:t xml:space="preserve"> בפיזיקה ד' ב' (209ב שורה 11)</w:t>
      </w:r>
      <w:r>
        <w:rPr>
          <w:rFonts w:hint="cs"/>
          <w:rtl/>
        </w:rPr>
        <w:t xml:space="preserve"> שלפי אפלטון החומר הוא חלל</w:t>
      </w:r>
      <w:r w:rsidR="00E64439">
        <w:rPr>
          <w:rFonts w:hint="cs"/>
          <w:rtl/>
        </w:rPr>
        <w:t>.</w:t>
      </w:r>
    </w:p>
    <w:p w14:paraId="4DC2F216" w14:textId="1285378C" w:rsidR="00451A17" w:rsidRDefault="00785A6A" w:rsidP="00451A17">
      <w:pPr>
        <w:pStyle w:val="FootnoteText"/>
      </w:pPr>
      <w:r>
        <w:rPr>
          <w:rFonts w:hint="cs"/>
          <w:rtl/>
        </w:rPr>
        <w:t>ועיין עוד לעיל בהער</w:t>
      </w:r>
      <w:r w:rsidR="00510CCC">
        <w:rPr>
          <w:rFonts w:hint="cs"/>
          <w:rtl/>
        </w:rPr>
        <w:t>ות</w:t>
      </w:r>
      <w:r>
        <w:rPr>
          <w:rFonts w:hint="cs"/>
          <w:rtl/>
        </w:rPr>
        <w:t xml:space="preserve"> על </w:t>
      </w:r>
      <w:r w:rsidR="00510CCC" w:rsidRPr="00510CCC">
        <w:rPr>
          <w:rtl/>
        </w:rPr>
        <w:t>1.2.4</w:t>
      </w:r>
      <w:r w:rsidR="00510CCC">
        <w:rPr>
          <w:rFonts w:hint="cs"/>
          <w:rtl/>
        </w:rPr>
        <w:t xml:space="preserve">. </w:t>
      </w:r>
      <w:r w:rsidR="00FA51BA">
        <w:rPr>
          <w:rFonts w:hint="cs"/>
          <w:rtl/>
        </w:rPr>
        <w:t xml:space="preserve">                                                                                                                                                                                                                                                    </w:t>
      </w:r>
      <w:r w:rsidR="00CF6B99">
        <w:rPr>
          <w:rFonts w:hint="cs"/>
          <w:rtl/>
        </w:rPr>
        <w:t xml:space="preserve">               </w:t>
      </w:r>
      <w:r w:rsidR="00196E89">
        <w:rPr>
          <w:rFonts w:hint="cs"/>
          <w:rtl/>
        </w:rPr>
        <w:t xml:space="preserve"> </w:t>
      </w:r>
      <w:r w:rsidR="00451A17">
        <w:rPr>
          <w:rFonts w:hint="cs"/>
          <w:rtl/>
        </w:rPr>
        <w:t xml:space="preserve"> </w:t>
      </w:r>
    </w:p>
  </w:footnote>
  <w:footnote w:id="223">
    <w:p w14:paraId="48AF8540" w14:textId="77777777" w:rsidR="00BF14AF" w:rsidRDefault="00A91E1A">
      <w:pPr>
        <w:pStyle w:val="FootnoteText"/>
        <w:rPr>
          <w:rtl/>
        </w:rPr>
      </w:pPr>
      <w:r>
        <w:rPr>
          <w:rStyle w:val="FootnoteReference"/>
        </w:rPr>
        <w:footnoteRef/>
      </w:r>
      <w:r>
        <w:rPr>
          <w:rtl/>
        </w:rPr>
        <w:t xml:space="preserve"> </w:t>
      </w:r>
      <w:r w:rsidRPr="007A7F98">
        <w:rPr>
          <w:rtl/>
        </w:rPr>
        <w:t>במקור:</w:t>
      </w:r>
      <w:bookmarkStart w:id="142" w:name="_Hlk97388519"/>
      <w:bookmarkStart w:id="143" w:name="_Hlk97388299"/>
      <w:r w:rsidRPr="007A7F98">
        <w:t xml:space="preserve"> </w:t>
      </w:r>
      <w:bookmarkStart w:id="144" w:name="_Hlk97388793"/>
      <w:r w:rsidRPr="007A7F98">
        <w:rPr>
          <w:rFonts w:ascii="Arial" w:hAnsi="Arial" w:cs="Arial" w:hint="cs"/>
          <w:rtl/>
          <w:lang w:bidi="ar-SA"/>
        </w:rPr>
        <w:t>مضادة</w:t>
      </w:r>
      <w:bookmarkEnd w:id="142"/>
      <w:bookmarkEnd w:id="144"/>
      <w:r w:rsidR="007A7F98" w:rsidRPr="007A7F98">
        <w:rPr>
          <w:rtl/>
        </w:rPr>
        <w:t xml:space="preserve"> </w:t>
      </w:r>
      <w:bookmarkEnd w:id="143"/>
      <w:r w:rsidR="007A7F98" w:rsidRPr="007A7F98">
        <w:rPr>
          <w:rtl/>
        </w:rPr>
        <w:t>(</w:t>
      </w:r>
      <w:r w:rsidR="007A7F98">
        <w:rPr>
          <w:rFonts w:hint="cs"/>
          <w:rtl/>
        </w:rPr>
        <w:t>מקביל ל</w:t>
      </w:r>
      <w:r w:rsidR="007A7F98" w:rsidRPr="007A7F98">
        <w:rPr>
          <w:rtl/>
        </w:rPr>
        <w:t xml:space="preserve">מונח היווני </w:t>
      </w:r>
      <w:r w:rsidR="007A7F98" w:rsidRPr="00BF14AF">
        <w:rPr>
          <w:rFonts w:asciiTheme="majorBidi" w:hAnsiTheme="majorBidi" w:cstheme="majorBidi"/>
        </w:rPr>
        <w:t xml:space="preserve">ἡ </w:t>
      </w:r>
      <w:r w:rsidR="007A7F98" w:rsidRPr="00BF14AF">
        <w:rPr>
          <w:rFonts w:asciiTheme="majorBidi" w:hAnsiTheme="majorBidi" w:cstheme="majorBidi"/>
        </w:rPr>
        <w:t>ἐναντίωσις, ἡ ἐναντιότης</w:t>
      </w:r>
      <w:r w:rsidR="007A7F98" w:rsidRPr="007A7F98">
        <w:rPr>
          <w:rtl/>
        </w:rPr>
        <w:t>)</w:t>
      </w:r>
      <w:r w:rsidR="007139A6" w:rsidRPr="007A7F98">
        <w:rPr>
          <w:rtl/>
        </w:rPr>
        <w:t xml:space="preserve">. </w:t>
      </w:r>
    </w:p>
    <w:p w14:paraId="2AFB9575" w14:textId="30451890" w:rsidR="00A91E1A" w:rsidRPr="007A7F98" w:rsidRDefault="007139A6">
      <w:pPr>
        <w:pStyle w:val="FootnoteText"/>
        <w:rPr>
          <w:rtl/>
        </w:rPr>
      </w:pPr>
      <w:r w:rsidRPr="007A7F98">
        <w:rPr>
          <w:rtl/>
        </w:rPr>
        <w:t>המשותף למה שהוא בר שינוי, בר השלמה, או בר התהוות הוא ההעדר. הכוונה כאן היא ל</w:t>
      </w:r>
      <w:r w:rsidR="00AC57F7" w:rsidRPr="007A7F98">
        <w:rPr>
          <w:rtl/>
        </w:rPr>
        <w:t>'</w:t>
      </w:r>
      <w:r w:rsidRPr="007A7F98">
        <w:rPr>
          <w:rtl/>
        </w:rPr>
        <w:t>היפך</w:t>
      </w:r>
      <w:r w:rsidR="00B9501D">
        <w:rPr>
          <w:rtl/>
        </w:rPr>
        <w:fldChar w:fldCharType="begin"/>
      </w:r>
      <w:r w:rsidR="00B9501D">
        <w:instrText xml:space="preserve"> XE "</w:instrText>
      </w:r>
      <w:r w:rsidR="00B9501D" w:rsidRPr="001A4213">
        <w:rPr>
          <w:rtl/>
        </w:rPr>
        <w:instrText>היפך</w:instrText>
      </w:r>
      <w:r w:rsidR="00B9501D">
        <w:instrText xml:space="preserve">" </w:instrText>
      </w:r>
      <w:r w:rsidR="00B9501D">
        <w:rPr>
          <w:rtl/>
        </w:rPr>
        <w:fldChar w:fldCharType="end"/>
      </w:r>
      <w:r w:rsidR="00AC57F7" w:rsidRPr="007A7F98">
        <w:rPr>
          <w:rtl/>
        </w:rPr>
        <w:t>'</w:t>
      </w:r>
      <w:r w:rsidRPr="007A7F98">
        <w:rPr>
          <w:rtl/>
        </w:rPr>
        <w:t xml:space="preserve"> כגון חם או קר, שזה אופן של העדר שמיוחד לשינוי ולא להשלמה או התהוות. החם הוא העדר של קר והקר הוא העדר של חם, השינוי הוא התנועה מההעדר הזה להעדר האחר. בהשלמה התנועה היא מלוח צפחה שלא כתוב עליו מאומה, ללוח צפחה שיש בו כתב. </w:t>
      </w:r>
      <w:r w:rsidR="00AC57F7" w:rsidRPr="007A7F98">
        <w:rPr>
          <w:rtl/>
        </w:rPr>
        <w:t>חוסר כתב וכתב אינם הפכים במובן של חום וקור, וכמו שהתבאר לעיל. וכן בהתהוות, ההעדר הוא שהעצם נעדר, ומה שהעצם נעדר לעומת מה שהוא נמצא אינו 'היפך' כמו בחום וקור. ועיין מילות ההגיון י</w:t>
      </w:r>
      <w:r w:rsidR="00F055C8">
        <w:rPr>
          <w:rtl/>
        </w:rPr>
        <w:t>"</w:t>
      </w:r>
      <w:r w:rsidR="00AC57F7" w:rsidRPr="007A7F98">
        <w:rPr>
          <w:rtl/>
        </w:rPr>
        <w:t>א שהובא לעיל בסמוך</w:t>
      </w:r>
      <w:r w:rsidR="00FB797B">
        <w:rPr>
          <w:rFonts w:hint="cs"/>
          <w:rtl/>
        </w:rPr>
        <w:t xml:space="preserve">, ובמטאפיזיקה </w:t>
      </w:r>
      <w:r w:rsidR="00393153">
        <w:rPr>
          <w:rFonts w:hint="cs"/>
          <w:rtl/>
        </w:rPr>
        <w:t>יוטא פרק</w:t>
      </w:r>
      <w:r w:rsidR="00B466BC">
        <w:rPr>
          <w:rFonts w:hint="cs"/>
          <w:rtl/>
        </w:rPr>
        <w:t>ים</w:t>
      </w:r>
      <w:r w:rsidR="00393153">
        <w:rPr>
          <w:rFonts w:hint="cs"/>
          <w:rtl/>
        </w:rPr>
        <w:t xml:space="preserve"> ה'</w:t>
      </w:r>
      <w:r w:rsidR="00B466BC">
        <w:rPr>
          <w:rFonts w:hint="cs"/>
          <w:rtl/>
        </w:rPr>
        <w:t>, ז'</w:t>
      </w:r>
      <w:r w:rsidR="00393153">
        <w:rPr>
          <w:rFonts w:hint="cs"/>
          <w:rtl/>
        </w:rPr>
        <w:t xml:space="preserve">, במטאפיזיקה </w:t>
      </w:r>
      <w:r w:rsidR="00FB797B">
        <w:rPr>
          <w:rFonts w:hint="cs"/>
          <w:rtl/>
        </w:rPr>
        <w:t xml:space="preserve">דלתא פרק י', </w:t>
      </w:r>
      <w:r w:rsidR="004D0B0B">
        <w:rPr>
          <w:rFonts w:hint="cs"/>
          <w:rtl/>
        </w:rPr>
        <w:t>בפיזיקה ספר ה'</w:t>
      </w:r>
      <w:r w:rsidR="00393153">
        <w:rPr>
          <w:rFonts w:hint="cs"/>
          <w:rtl/>
        </w:rPr>
        <w:t xml:space="preserve"> ובקטגוריות</w:t>
      </w:r>
      <w:r w:rsidR="00E915DA">
        <w:t xml:space="preserve"> </w:t>
      </w:r>
      <w:r w:rsidR="00E915DA">
        <w:rPr>
          <w:rFonts w:hint="cs"/>
          <w:rtl/>
        </w:rPr>
        <w:t>פרק י'</w:t>
      </w:r>
      <w:r w:rsidR="00AC57F7" w:rsidRPr="007A7F98">
        <w:rPr>
          <w:rtl/>
        </w:rPr>
        <w:t xml:space="preserve">. </w:t>
      </w:r>
      <w:r w:rsidRPr="007A7F98">
        <w:rPr>
          <w:rtl/>
        </w:rPr>
        <w:t xml:space="preserve"> </w:t>
      </w:r>
    </w:p>
  </w:footnote>
  <w:footnote w:id="224">
    <w:p w14:paraId="63C4927F" w14:textId="7C0BDD97" w:rsidR="002E0CF6" w:rsidRDefault="002E0CF6">
      <w:pPr>
        <w:pStyle w:val="FootnoteText"/>
      </w:pPr>
      <w:r>
        <w:rPr>
          <w:rStyle w:val="FootnoteReference"/>
        </w:rPr>
        <w:footnoteRef/>
      </w:r>
      <w:r>
        <w:rPr>
          <w:rtl/>
        </w:rPr>
        <w:t xml:space="preserve"> </w:t>
      </w:r>
      <w:r>
        <w:rPr>
          <w:rFonts w:hint="cs"/>
          <w:rtl/>
        </w:rPr>
        <w:t>השינוי מלבן לאפור הוא שינוי משום שיש באפור צד של שחור שהוא הפכו של הלבן. השינוי מאפור לשחור הוא שינוי כי יש באפור צד של לבן שהוא הפכו של השחור</w:t>
      </w:r>
      <w:r w:rsidR="001562A7">
        <w:rPr>
          <w:rFonts w:hint="cs"/>
          <w:rtl/>
        </w:rPr>
        <w:t>.</w:t>
      </w:r>
      <w:r w:rsidR="00B466BC">
        <w:rPr>
          <w:rFonts w:hint="cs"/>
          <w:rtl/>
        </w:rPr>
        <w:t xml:space="preserve"> עיין </w:t>
      </w:r>
      <w:r w:rsidR="00B466BC">
        <w:rPr>
          <w:rFonts w:hint="cs"/>
          <w:rtl/>
        </w:rPr>
        <w:t>מטאפיזיקה יוטא פרק ז'</w:t>
      </w:r>
      <w:r w:rsidR="00541552">
        <w:rPr>
          <w:rFonts w:hint="cs"/>
          <w:rtl/>
        </w:rPr>
        <w:t xml:space="preserve">. </w:t>
      </w:r>
      <w:r>
        <w:rPr>
          <w:rFonts w:hint="cs"/>
          <w:rtl/>
        </w:rPr>
        <w:t xml:space="preserve">  </w:t>
      </w:r>
    </w:p>
  </w:footnote>
  <w:footnote w:id="225">
    <w:p w14:paraId="3758D169" w14:textId="77777777" w:rsidR="00C01F85" w:rsidRDefault="0030134C">
      <w:pPr>
        <w:pStyle w:val="FootnoteText"/>
        <w:rPr>
          <w:rtl/>
        </w:rPr>
      </w:pPr>
      <w:r>
        <w:rPr>
          <w:rStyle w:val="FootnoteReference"/>
        </w:rPr>
        <w:footnoteRef/>
      </w:r>
      <w:r>
        <w:rPr>
          <w:rtl/>
        </w:rPr>
        <w:t xml:space="preserve"> </w:t>
      </w:r>
      <w:r w:rsidR="00C01F85">
        <w:rPr>
          <w:rFonts w:hint="cs"/>
          <w:rtl/>
        </w:rPr>
        <w:t xml:space="preserve">לשון אבן סינא כאן רומז לסוד, למרות שהוא מסווה אותו בכך שאומר שהוא עניין שקל להשיג. </w:t>
      </w:r>
    </w:p>
    <w:p w14:paraId="1E254642" w14:textId="0BE5F2E6" w:rsidR="0030134C" w:rsidRDefault="0030134C">
      <w:pPr>
        <w:pStyle w:val="FootnoteText"/>
      </w:pPr>
      <w:r>
        <w:rPr>
          <w:rFonts w:hint="cs"/>
          <w:rtl/>
        </w:rPr>
        <w:t xml:space="preserve">סדר </w:t>
      </w:r>
      <w:r w:rsidR="00C37B0F">
        <w:rPr>
          <w:rFonts w:hint="cs"/>
          <w:rtl/>
        </w:rPr>
        <w:t xml:space="preserve">השתלשלות מציאות הבריאה </w:t>
      </w:r>
      <w:r>
        <w:rPr>
          <w:rFonts w:hint="cs"/>
          <w:rtl/>
        </w:rPr>
        <w:t>הוא</w:t>
      </w:r>
      <w:r w:rsidR="00C37B0F">
        <w:rPr>
          <w:rFonts w:hint="cs"/>
          <w:rtl/>
        </w:rPr>
        <w:t>:</w:t>
      </w:r>
      <w:r>
        <w:rPr>
          <w:rFonts w:hint="cs"/>
          <w:rtl/>
        </w:rPr>
        <w:t xml:space="preserve"> </w:t>
      </w:r>
      <w:r w:rsidR="00C37B0F">
        <w:rPr>
          <w:rFonts w:hint="cs"/>
          <w:rtl/>
        </w:rPr>
        <w:t xml:space="preserve">(1) </w:t>
      </w:r>
      <w:r>
        <w:rPr>
          <w:rFonts w:hint="cs"/>
          <w:rtl/>
        </w:rPr>
        <w:t xml:space="preserve">החומר הראשון שנברא ראשון והוא </w:t>
      </w:r>
      <w:r w:rsidR="00C37B0F">
        <w:rPr>
          <w:rFonts w:hint="cs"/>
          <w:rtl/>
        </w:rPr>
        <w:t>'</w:t>
      </w:r>
      <w:r>
        <w:rPr>
          <w:rFonts w:hint="cs"/>
          <w:rtl/>
        </w:rPr>
        <w:t>ההעדר</w:t>
      </w:r>
      <w:r w:rsidR="00C37B0F">
        <w:rPr>
          <w:rFonts w:hint="cs"/>
          <w:rtl/>
        </w:rPr>
        <w:t xml:space="preserve">'. (2) </w:t>
      </w:r>
      <w:r>
        <w:rPr>
          <w:rFonts w:hint="cs"/>
          <w:rtl/>
        </w:rPr>
        <w:t>אחריו צורת התלת ממדיות דהיינו החלל</w:t>
      </w:r>
      <w:r w:rsidR="00C37B0F">
        <w:rPr>
          <w:rFonts w:hint="cs"/>
          <w:rtl/>
        </w:rPr>
        <w:t xml:space="preserve">, התיאור </w:t>
      </w:r>
      <w:r w:rsidR="00C37B0F">
        <w:rPr>
          <w:rFonts w:hint="cs"/>
          <w:rtl/>
        </w:rPr>
        <w:t>המתימטי של המציאות, ומשם נובע 'התואר' שהוא המידות של גבולות העצמים (קטגוריית הכמות</w:t>
      </w:r>
      <w:r w:rsidR="003A3269">
        <w:rPr>
          <w:rtl/>
        </w:rPr>
        <w:fldChar w:fldCharType="begin"/>
      </w:r>
      <w:r w:rsidR="003A3269">
        <w:instrText xml:space="preserve"> XE "</w:instrText>
      </w:r>
      <w:r w:rsidR="003A3269" w:rsidRPr="00867BC1">
        <w:rPr>
          <w:rFonts w:hint="cs"/>
          <w:rtl/>
        </w:rPr>
        <w:instrText>הכמות</w:instrText>
      </w:r>
      <w:r w:rsidR="003A3269">
        <w:instrText xml:space="preserve">" </w:instrText>
      </w:r>
      <w:r w:rsidR="003A3269">
        <w:rPr>
          <w:rtl/>
        </w:rPr>
        <w:fldChar w:fldCharType="end"/>
      </w:r>
      <w:r w:rsidR="00C37B0F">
        <w:rPr>
          <w:rFonts w:hint="cs"/>
          <w:rtl/>
        </w:rPr>
        <w:t>), וכמו שהתבאר לעיל בפרק זה.</w:t>
      </w:r>
      <w:r>
        <w:rPr>
          <w:rFonts w:hint="cs"/>
          <w:rtl/>
        </w:rPr>
        <w:t xml:space="preserve"> </w:t>
      </w:r>
      <w:r w:rsidR="00C37B0F">
        <w:rPr>
          <w:rFonts w:hint="cs"/>
          <w:rtl/>
        </w:rPr>
        <w:t xml:space="preserve">(3) </w:t>
      </w:r>
      <w:r>
        <w:rPr>
          <w:rFonts w:hint="cs"/>
          <w:rtl/>
        </w:rPr>
        <w:t>אחר</w:t>
      </w:r>
      <w:r w:rsidR="00C37B0F">
        <w:rPr>
          <w:rFonts w:hint="cs"/>
          <w:rtl/>
        </w:rPr>
        <w:t xml:space="preserve"> כך</w:t>
      </w:r>
      <w:r>
        <w:rPr>
          <w:rFonts w:hint="cs"/>
          <w:rtl/>
        </w:rPr>
        <w:t xml:space="preserve"> הגופים בעלי הצורה, שראשיתן בארבעת היסודות. בגופים יש מאפיינים כגון איכויות (ושאר </w:t>
      </w:r>
      <w:r w:rsidR="00C37B0F">
        <w:rPr>
          <w:rFonts w:hint="cs"/>
          <w:rtl/>
        </w:rPr>
        <w:t>שמונה</w:t>
      </w:r>
      <w:r>
        <w:rPr>
          <w:rFonts w:hint="cs"/>
          <w:rtl/>
        </w:rPr>
        <w:t xml:space="preserve"> הקטגוריות האריסטוטליות מלבד קטגוריית העצם</w:t>
      </w:r>
      <w:r w:rsidR="00C37B0F">
        <w:rPr>
          <w:rFonts w:hint="cs"/>
          <w:rtl/>
        </w:rPr>
        <w:t xml:space="preserve"> וקטגוריית הכמות שמתבטאת כבר בשלב צורת התלת ממדיות</w:t>
      </w:r>
      <w:r>
        <w:rPr>
          <w:rFonts w:hint="cs"/>
          <w:rtl/>
        </w:rPr>
        <w:t>), וזה מכריח שיש בהם הפכיות</w:t>
      </w:r>
      <w:r w:rsidR="00C37B0F">
        <w:rPr>
          <w:rFonts w:hint="cs"/>
          <w:rtl/>
        </w:rPr>
        <w:t>,</w:t>
      </w:r>
      <w:r>
        <w:rPr>
          <w:rFonts w:hint="cs"/>
          <w:rtl/>
        </w:rPr>
        <w:t xml:space="preserve"> כי כל מאפיין כגון איכות היא דבר מוגדר, ולכן היא בקיומה מחייבת את מציאותו של מה שאינו עונה להגדרה, ויכולה להשתנות אליו או ממנו. האש קלה וזה היפך הכובד, היא חמה וזה היפך הקור, והיא יבשה וזה היפך הלחות.  </w:t>
      </w:r>
    </w:p>
  </w:footnote>
  <w:footnote w:id="226">
    <w:p w14:paraId="5DB5516F" w14:textId="00E43138" w:rsidR="00805B55" w:rsidRPr="007B4BE5" w:rsidRDefault="00805B55">
      <w:pPr>
        <w:pStyle w:val="FootnoteText"/>
        <w:rPr>
          <w:rtl/>
        </w:rPr>
      </w:pPr>
      <w:r>
        <w:rPr>
          <w:rStyle w:val="FootnoteReference"/>
        </w:rPr>
        <w:footnoteRef/>
      </w:r>
      <w:r>
        <w:rPr>
          <w:rtl/>
        </w:rPr>
        <w:t xml:space="preserve"> </w:t>
      </w:r>
      <w:r w:rsidRPr="007B4BE5">
        <w:rPr>
          <w:rtl/>
        </w:rPr>
        <w:t xml:space="preserve">במקור </w:t>
      </w:r>
      <w:r w:rsidRPr="007B4BE5">
        <w:rPr>
          <w:rFonts w:ascii="Arial" w:hAnsi="Arial" w:cs="Arial" w:hint="cs"/>
          <w:rtl/>
          <w:lang w:bidi="ar-SA"/>
        </w:rPr>
        <w:t>ج</w:t>
      </w:r>
      <w:bookmarkStart w:id="146" w:name="_Hlk97388061"/>
      <w:r w:rsidRPr="007B4BE5">
        <w:rPr>
          <w:rFonts w:ascii="Arial" w:hAnsi="Arial" w:cs="Arial" w:hint="cs"/>
          <w:rtl/>
          <w:lang w:bidi="ar-SA"/>
        </w:rPr>
        <w:t>وه</w:t>
      </w:r>
      <w:bookmarkEnd w:id="146"/>
      <w:r w:rsidRPr="007B4BE5">
        <w:rPr>
          <w:rFonts w:ascii="Arial" w:hAnsi="Arial" w:cs="Arial" w:hint="cs"/>
          <w:rtl/>
          <w:lang w:bidi="ar-SA"/>
        </w:rPr>
        <w:t>ر</w:t>
      </w:r>
      <w:r w:rsidRPr="007B4BE5">
        <w:rPr>
          <w:rtl/>
        </w:rPr>
        <w:t xml:space="preserve">. מונח זה משמש גם ל'עצם' וגם ל'מהות'. </w:t>
      </w:r>
      <w:r w:rsidR="007B4BE5">
        <w:rPr>
          <w:rFonts w:hint="cs"/>
          <w:rtl/>
        </w:rPr>
        <w:t>כאן המובן הוא 'עצם' (</w:t>
      </w:r>
      <w:r w:rsidR="007B4BE5" w:rsidRPr="007B4BE5">
        <w:t>substance</w:t>
      </w:r>
      <w:r w:rsidR="007B4BE5">
        <w:rPr>
          <w:rFonts w:hint="cs"/>
          <w:rtl/>
        </w:rPr>
        <w:t xml:space="preserve">), וכן תרגם מקגיניס, כי מהות וצורה הן מילים נרדפות. </w:t>
      </w:r>
    </w:p>
  </w:footnote>
  <w:footnote w:id="227">
    <w:p w14:paraId="189C9388" w14:textId="530BA839" w:rsidR="00A0366D" w:rsidRPr="007B4BE5" w:rsidRDefault="00A0366D">
      <w:pPr>
        <w:pStyle w:val="FootnoteText"/>
      </w:pPr>
      <w:r w:rsidRPr="007B4BE5">
        <w:rPr>
          <w:rStyle w:val="FootnoteReference"/>
        </w:rPr>
        <w:footnoteRef/>
      </w:r>
      <w:r w:rsidRPr="007B4BE5">
        <w:rPr>
          <w:rtl/>
        </w:rPr>
        <w:t xml:space="preserve"> במקור </w:t>
      </w:r>
      <w:r w:rsidRPr="007B4BE5">
        <w:rPr>
          <w:rFonts w:ascii="Arial" w:hAnsi="Arial" w:cs="Arial" w:hint="cs"/>
          <w:rtl/>
          <w:lang w:bidi="ar-SA"/>
        </w:rPr>
        <w:t>هيئته</w:t>
      </w:r>
      <w:r w:rsidRPr="007B4BE5">
        <w:rPr>
          <w:rtl/>
        </w:rPr>
        <w:t xml:space="preserve">. מקגיניס תרגם </w:t>
      </w:r>
      <w:r w:rsidRPr="007B4BE5">
        <w:t>disposition</w:t>
      </w:r>
      <w:r w:rsidRPr="007B4BE5">
        <w:rPr>
          <w:rtl/>
        </w:rPr>
        <w:t xml:space="preserve">. </w:t>
      </w:r>
      <w:r w:rsidR="007E4FC9">
        <w:rPr>
          <w:rFonts w:hint="cs"/>
          <w:rtl/>
        </w:rPr>
        <w:t>תרגמתי 'מורכב' לפי שימוש הלשון של ימי הביניים שהעצם מורכב מחומר וצורה</w:t>
      </w:r>
      <w:r w:rsidR="00E32960">
        <w:rPr>
          <w:rFonts w:hint="cs"/>
          <w:rtl/>
        </w:rPr>
        <w:t>. למשל במורה נבוכים א' ל</w:t>
      </w:r>
      <w:r w:rsidR="00F055C8">
        <w:rPr>
          <w:rtl/>
        </w:rPr>
        <w:t>"</w:t>
      </w:r>
      <w:r w:rsidR="00E32960">
        <w:rPr>
          <w:rFonts w:hint="cs"/>
          <w:rtl/>
        </w:rPr>
        <w:t xml:space="preserve">ה: </w:t>
      </w:r>
      <w:r w:rsidR="00F055C8">
        <w:rPr>
          <w:rtl/>
        </w:rPr>
        <w:t>"</w:t>
      </w:r>
      <w:r w:rsidR="00E32960" w:rsidRPr="00E32960">
        <w:rPr>
          <w:rtl/>
        </w:rPr>
        <w:t>כי הגשם אינו אחד אבל מורכב מחומר וצורה שנים בגדר</w:t>
      </w:r>
      <w:r w:rsidR="00F055C8">
        <w:rPr>
          <w:rtl/>
        </w:rPr>
        <w:t>"</w:t>
      </w:r>
      <w:r w:rsidR="00E32960">
        <w:rPr>
          <w:rFonts w:hint="cs"/>
          <w:rtl/>
        </w:rPr>
        <w:t xml:space="preserve">, ושם בהקדמות לחלק ב': </w:t>
      </w:r>
      <w:r w:rsidR="00F055C8">
        <w:rPr>
          <w:rtl/>
        </w:rPr>
        <w:t>"</w:t>
      </w:r>
      <w:r w:rsidR="00E32960" w:rsidRPr="00E32960">
        <w:rPr>
          <w:rtl/>
        </w:rPr>
        <w:t xml:space="preserve">כי כל גשם הוא מורכב מב' </w:t>
      </w:r>
      <w:r w:rsidR="00E32960" w:rsidRPr="00E32960">
        <w:rPr>
          <w:rtl/>
        </w:rPr>
        <w:t>ענינים בהכרח, וישיגוהו מקרים בהכרח, אמנם ב' הענינים המעמידים אותו, החמר שלו, וצורתו. ואמנם המקרים המשיגים אותו, הכמות, והתכונה, וההנחה</w:t>
      </w:r>
      <w:r w:rsidR="00F055C8">
        <w:rPr>
          <w:rtl/>
        </w:rPr>
        <w:t>"</w:t>
      </w:r>
      <w:r w:rsidR="007E4FC9">
        <w:rPr>
          <w:rFonts w:hint="cs"/>
          <w:rtl/>
        </w:rPr>
        <w:t xml:space="preserve">.  </w:t>
      </w:r>
    </w:p>
  </w:footnote>
  <w:footnote w:id="228">
    <w:p w14:paraId="1F320F97" w14:textId="3EAF81BE" w:rsidR="005E2A44" w:rsidRDefault="005E2A44">
      <w:pPr>
        <w:pStyle w:val="FootnoteText"/>
        <w:rPr>
          <w:rtl/>
        </w:rPr>
      </w:pPr>
      <w:r>
        <w:rPr>
          <w:rStyle w:val="FootnoteReference"/>
        </w:rPr>
        <w:footnoteRef/>
      </w:r>
      <w:r>
        <w:rPr>
          <w:rtl/>
        </w:rPr>
        <w:t xml:space="preserve"> </w:t>
      </w:r>
      <w:r>
        <w:rPr>
          <w:rFonts w:hint="cs"/>
          <w:rtl/>
        </w:rPr>
        <w:t xml:space="preserve">מדובר על צורה טבעית שהיא מהות הדבר וכלשון המורה נבוכים א' א': </w:t>
      </w:r>
      <w:r w:rsidR="00F055C8">
        <w:rPr>
          <w:rtl/>
        </w:rPr>
        <w:t>"</w:t>
      </w:r>
      <w:r w:rsidRPr="005E2A44">
        <w:rPr>
          <w:rtl/>
        </w:rPr>
        <w:t>אמנם צלם הוא נופל על הצורה הטבעית, ר</w:t>
      </w:r>
      <w:r>
        <w:rPr>
          <w:rFonts w:hint="cs"/>
          <w:rtl/>
        </w:rPr>
        <w:t>וצה לומר</w:t>
      </w:r>
      <w:r w:rsidRPr="005E2A44">
        <w:rPr>
          <w:rtl/>
        </w:rPr>
        <w:t xml:space="preserve"> על העניין אשר בו נתעצם הדבר והיה מה שהוא, והוא </w:t>
      </w:r>
      <w:r w:rsidRPr="005E2A44">
        <w:rPr>
          <w:rtl/>
        </w:rPr>
        <w:t>אמתתו מאשר הוא הנמצא ההוא, אשר העניין ההוא באדם הוא אשר בעבורו תהיה ההשגה האנושית</w:t>
      </w:r>
      <w:r w:rsidR="00F055C8">
        <w:rPr>
          <w:rtl/>
        </w:rPr>
        <w:t>"</w:t>
      </w:r>
      <w:r>
        <w:rPr>
          <w:rFonts w:hint="cs"/>
          <w:rtl/>
        </w:rPr>
        <w:t xml:space="preserve">. </w:t>
      </w:r>
    </w:p>
    <w:p w14:paraId="51168690" w14:textId="25E451C2" w:rsidR="005E2A44" w:rsidRDefault="005E2A44">
      <w:pPr>
        <w:pStyle w:val="FootnoteText"/>
        <w:rPr>
          <w:rtl/>
        </w:rPr>
      </w:pPr>
      <w:r>
        <w:rPr>
          <w:rFonts w:hint="cs"/>
          <w:rtl/>
        </w:rPr>
        <w:t>ושם א' נ</w:t>
      </w:r>
      <w:r w:rsidR="00F055C8">
        <w:rPr>
          <w:rtl/>
        </w:rPr>
        <w:t>"</w:t>
      </w:r>
      <w:r>
        <w:rPr>
          <w:rFonts w:hint="cs"/>
          <w:rtl/>
        </w:rPr>
        <w:t>ב:</w:t>
      </w:r>
    </w:p>
    <w:p w14:paraId="412D153A" w14:textId="280EA370" w:rsidR="005E2A44" w:rsidRDefault="00F055C8">
      <w:pPr>
        <w:pStyle w:val="FootnoteText"/>
        <w:rPr>
          <w:rtl/>
        </w:rPr>
      </w:pPr>
      <w:r>
        <w:rPr>
          <w:rtl/>
        </w:rPr>
        <w:t>"</w:t>
      </w:r>
      <w:r w:rsidR="005E2A44" w:rsidRPr="005E2A44">
        <w:rPr>
          <w:rtl/>
        </w:rPr>
        <w:t>החלק הראשון. שיתואר הדבר בגדרו, כמו שיתואר האדם בשהוא החי המדבר, זה התאר הוא המורה על מהות הדבר ואמתתו</w:t>
      </w:r>
      <w:r>
        <w:rPr>
          <w:rtl/>
        </w:rPr>
        <w:t>"</w:t>
      </w:r>
    </w:p>
    <w:p w14:paraId="2B18B78D" w14:textId="3EF000D1" w:rsidR="001D7A55" w:rsidRDefault="001D7A55">
      <w:pPr>
        <w:pStyle w:val="FootnoteText"/>
        <w:rPr>
          <w:rtl/>
        </w:rPr>
      </w:pPr>
      <w:r>
        <w:rPr>
          <w:rFonts w:hint="cs"/>
          <w:rtl/>
        </w:rPr>
        <w:t>ושם:</w:t>
      </w:r>
    </w:p>
    <w:p w14:paraId="185C1B35" w14:textId="3D0EAB1C" w:rsidR="001D7A55" w:rsidRDefault="00F055C8">
      <w:pPr>
        <w:pStyle w:val="FootnoteText"/>
        <w:rPr>
          <w:rtl/>
        </w:rPr>
      </w:pPr>
      <w:r>
        <w:rPr>
          <w:rtl/>
        </w:rPr>
        <w:t>"</w:t>
      </w:r>
      <w:r w:rsidR="001D7A55" w:rsidRPr="001D7A55">
        <w:rPr>
          <w:rtl/>
        </w:rPr>
        <w:t>והחלק השלישי, שיתואר דבר בענין יוצא מאמתתו ועצמו, עד שיהיה הענין ההוא אינו ממה שיושלם בו העצם ויתקיים, ויהיה הענין ההוא אם כן איכות אחת בו, והאיכות</w:t>
      </w:r>
      <w:r w:rsidR="001D7A55">
        <w:rPr>
          <w:rFonts w:hint="cs"/>
          <w:rtl/>
        </w:rPr>
        <w:t>,</w:t>
      </w:r>
      <w:r w:rsidR="001D7A55" w:rsidRPr="001D7A55">
        <w:rPr>
          <w:rtl/>
        </w:rPr>
        <w:t xml:space="preserve"> והוא הסוג העליון</w:t>
      </w:r>
      <w:r w:rsidR="001D7A55">
        <w:rPr>
          <w:rFonts w:hint="cs"/>
          <w:rtl/>
        </w:rPr>
        <w:t xml:space="preserve"> [כלומר קטגוריה],</w:t>
      </w:r>
      <w:r w:rsidR="001D7A55" w:rsidRPr="001D7A55">
        <w:rPr>
          <w:rtl/>
        </w:rPr>
        <w:t xml:space="preserve"> מקרה מן המקרים</w:t>
      </w:r>
      <w:r>
        <w:rPr>
          <w:rtl/>
        </w:rPr>
        <w:t>"</w:t>
      </w:r>
    </w:p>
    <w:p w14:paraId="4536FAC8" w14:textId="4F3D611E" w:rsidR="00B30EF4" w:rsidRDefault="00B30EF4">
      <w:pPr>
        <w:pStyle w:val="FootnoteText"/>
        <w:rPr>
          <w:rtl/>
        </w:rPr>
      </w:pPr>
      <w:r>
        <w:rPr>
          <w:rFonts w:hint="cs"/>
          <w:rtl/>
        </w:rPr>
        <w:t>ושם א' ס</w:t>
      </w:r>
      <w:r w:rsidR="00F055C8">
        <w:rPr>
          <w:rtl/>
        </w:rPr>
        <w:t>"</w:t>
      </w:r>
      <w:r>
        <w:rPr>
          <w:rFonts w:hint="cs"/>
          <w:rtl/>
        </w:rPr>
        <w:t>ט:</w:t>
      </w:r>
    </w:p>
    <w:p w14:paraId="4E075E4B" w14:textId="66FE02D6" w:rsidR="00B30EF4" w:rsidRDefault="00F055C8">
      <w:pPr>
        <w:pStyle w:val="FootnoteText"/>
      </w:pPr>
      <w:r>
        <w:rPr>
          <w:rtl/>
        </w:rPr>
        <w:t>"</w:t>
      </w:r>
      <w:r w:rsidR="00B30EF4" w:rsidRPr="00B30EF4">
        <w:rPr>
          <w:rtl/>
        </w:rPr>
        <w:t>א</w:t>
      </w:r>
      <w:r w:rsidR="00B30EF4">
        <w:rPr>
          <w:rFonts w:hint="cs"/>
          <w:rtl/>
        </w:rPr>
        <w:t>ם כן</w:t>
      </w:r>
      <w:r w:rsidR="00B30EF4" w:rsidRPr="00B30EF4">
        <w:rPr>
          <w:rtl/>
        </w:rPr>
        <w:t xml:space="preserve"> הוא לו כדמות הצורה לדבר אשר יש לו צורה, אשר בה הוא מה שהוא, ובצורה תתקיים אמתתו ומהותו</w:t>
      </w:r>
      <w:r>
        <w:rPr>
          <w:rtl/>
        </w:rPr>
        <w:t>"</w:t>
      </w:r>
    </w:p>
  </w:footnote>
  <w:footnote w:id="229">
    <w:p w14:paraId="3F15A26A" w14:textId="3AEC7939" w:rsidR="00FA0E19" w:rsidRDefault="00FA0E19">
      <w:pPr>
        <w:pStyle w:val="FootnoteText"/>
      </w:pPr>
      <w:r>
        <w:rPr>
          <w:rStyle w:val="FootnoteReference"/>
        </w:rPr>
        <w:footnoteRef/>
      </w:r>
      <w:r>
        <w:rPr>
          <w:rtl/>
        </w:rPr>
        <w:t xml:space="preserve"> </w:t>
      </w:r>
      <w:r>
        <w:rPr>
          <w:rFonts w:hint="cs"/>
          <w:rtl/>
        </w:rPr>
        <w:t xml:space="preserve">כלומר שעובר תנועת השלמה ולא שהוא כבר מושלם ועומד. </w:t>
      </w:r>
    </w:p>
  </w:footnote>
  <w:footnote w:id="230">
    <w:p w14:paraId="6627D603" w14:textId="77777777" w:rsidR="00781978" w:rsidRDefault="001D23D5">
      <w:pPr>
        <w:pStyle w:val="FootnoteText"/>
        <w:rPr>
          <w:rtl/>
        </w:rPr>
      </w:pPr>
      <w:r>
        <w:rPr>
          <w:rStyle w:val="FootnoteReference"/>
        </w:rPr>
        <w:footnoteRef/>
      </w:r>
      <w:r>
        <w:rPr>
          <w:rtl/>
        </w:rPr>
        <w:t xml:space="preserve"> </w:t>
      </w:r>
      <w:r w:rsidR="00B956E0">
        <w:rPr>
          <w:rFonts w:hint="cs"/>
          <w:rtl/>
        </w:rPr>
        <w:t>שינוי הוא לא בקטגוריית העצם, כי אם היא משתנה הוא מתהווה להיות עצם אחר, אלא</w:t>
      </w:r>
      <w:r>
        <w:rPr>
          <w:rFonts w:hint="cs"/>
          <w:rtl/>
        </w:rPr>
        <w:t xml:space="preserve"> שינוי באחת מהקטגוריות שאינ</w:t>
      </w:r>
      <w:r w:rsidR="00B956E0">
        <w:rPr>
          <w:rFonts w:hint="cs"/>
          <w:rtl/>
        </w:rPr>
        <w:t>ן</w:t>
      </w:r>
      <w:r>
        <w:rPr>
          <w:rFonts w:hint="cs"/>
          <w:rtl/>
        </w:rPr>
        <w:t xml:space="preserve"> העצם, וכגון כמות ואיכות</w:t>
      </w:r>
      <w:r w:rsidR="00B956E0">
        <w:rPr>
          <w:rFonts w:hint="cs"/>
          <w:rtl/>
        </w:rPr>
        <w:t>;</w:t>
      </w:r>
      <w:r>
        <w:rPr>
          <w:rFonts w:hint="cs"/>
          <w:rtl/>
        </w:rPr>
        <w:t xml:space="preserve"> למשל עצם שמשתנה צבעו, ההרכבה בין העצם לצבע זה היא מקרית. לא כל מקרה חולף, צבעו השחור של העורב או מה שאדם יכול לצחוק, גם אלה מקרים. הצבע השחור ויכולת הצחוק נקראים מקרה כי לא הם מה שעושה את העורב לעורב ואת האדם לאדם, לו היה עורב לבן עדיין היה אפשר שהוא עורב, וכן לו היה אדם שאינו צוחק </w:t>
      </w:r>
      <w:r w:rsidR="00B956E0">
        <w:rPr>
          <w:rFonts w:hint="cs"/>
          <w:rtl/>
        </w:rPr>
        <w:t xml:space="preserve">עדיין </w:t>
      </w:r>
      <w:r>
        <w:rPr>
          <w:rFonts w:hint="cs"/>
          <w:rtl/>
        </w:rPr>
        <w:t xml:space="preserve">אפשר שיהיה אדם. אבל ללא צורת </w:t>
      </w:r>
      <w:r>
        <w:rPr>
          <w:rFonts w:hint="cs"/>
          <w:rtl/>
        </w:rPr>
        <w:t xml:space="preserve">העורביות המהותית וללא כח הדיבור שבאדם, הם לא היו עורב או אדם, אלא עצם אחר. </w:t>
      </w:r>
      <w:r w:rsidR="00645B40">
        <w:rPr>
          <w:rFonts w:hint="cs"/>
          <w:rtl/>
        </w:rPr>
        <w:t xml:space="preserve">החיבור בין הצבע השחור אל עצם העורב, או בין יכולת הצחוק ובין </w:t>
      </w:r>
      <w:r w:rsidR="00B956E0">
        <w:rPr>
          <w:rFonts w:hint="cs"/>
          <w:rtl/>
        </w:rPr>
        <w:t xml:space="preserve">עצם </w:t>
      </w:r>
      <w:r w:rsidR="00645B40">
        <w:rPr>
          <w:rFonts w:hint="cs"/>
          <w:rtl/>
        </w:rPr>
        <w:t xml:space="preserve">האדם, נקרא גם הוא 'הרכבה' באותו מובן שאומרים שהעצם מורכב מחומר וצורה, כי הצבע השחור או יכולת הצחוק דומים לצורה באופן שבו הם </w:t>
      </w:r>
      <w:r w:rsidR="00B956E0">
        <w:rPr>
          <w:rFonts w:hint="cs"/>
          <w:rtl/>
        </w:rPr>
        <w:t>מורכבי</w:t>
      </w:r>
      <w:r w:rsidR="00645B40">
        <w:rPr>
          <w:rFonts w:hint="cs"/>
          <w:rtl/>
        </w:rPr>
        <w:t xml:space="preserve">ם בחומר, אבל זו לא הרכבה מהותית אלא מקרית.  </w:t>
      </w:r>
    </w:p>
    <w:p w14:paraId="76B7676A" w14:textId="2C8A493A" w:rsidR="001D23D5" w:rsidRPr="00781978" w:rsidRDefault="00781978">
      <w:pPr>
        <w:pStyle w:val="FootnoteText"/>
      </w:pPr>
      <w:r>
        <w:rPr>
          <w:rFonts w:hint="cs"/>
          <w:rtl/>
        </w:rPr>
        <w:t>'מקרה' בערבית ה</w:t>
      </w:r>
      <w:r w:rsidRPr="00781978">
        <w:rPr>
          <w:rtl/>
        </w:rPr>
        <w:t xml:space="preserve">וא </w:t>
      </w:r>
      <w:r w:rsidRPr="00781978">
        <w:rPr>
          <w:rFonts w:ascii="Arial" w:hAnsi="Arial" w:cs="Arial" w:hint="cs"/>
          <w:rtl/>
          <w:lang w:bidi="ar-SA"/>
        </w:rPr>
        <w:t>عرض</w:t>
      </w:r>
      <w:r w:rsidRPr="00781978">
        <w:rPr>
          <w:rtl/>
        </w:rPr>
        <w:t>, למילה זו יש גם משמעות ש</w:t>
      </w:r>
      <w:r>
        <w:rPr>
          <w:rFonts w:hint="cs"/>
          <w:rtl/>
        </w:rPr>
        <w:t>ל</w:t>
      </w:r>
      <w:r w:rsidRPr="00781978">
        <w:rPr>
          <w:rtl/>
        </w:rPr>
        <w:t xml:space="preserve"> מאפיין, תופעה. </w:t>
      </w:r>
      <w:r>
        <w:rPr>
          <w:rFonts w:hint="cs"/>
          <w:rtl/>
        </w:rPr>
        <w:t xml:space="preserve">'מקרה' אין פירושו חופף במדוייק לחולף או משתנה, אלא הוא מאפיין שאינו עצמי, או </w:t>
      </w:r>
      <w:r w:rsidR="00E568AB">
        <w:rPr>
          <w:rFonts w:hint="cs"/>
          <w:rtl/>
        </w:rPr>
        <w:t>ת</w:t>
      </w:r>
      <w:r>
        <w:rPr>
          <w:rFonts w:hint="cs"/>
          <w:rtl/>
        </w:rPr>
        <w:t>ופעה בעצם שאינה מ</w:t>
      </w:r>
      <w:r w:rsidR="00E568AB">
        <w:rPr>
          <w:rFonts w:hint="cs"/>
          <w:rtl/>
        </w:rPr>
        <w:t>ע</w:t>
      </w:r>
      <w:r>
        <w:rPr>
          <w:rFonts w:hint="cs"/>
          <w:rtl/>
        </w:rPr>
        <w:t>צמותו.</w:t>
      </w:r>
      <w:r w:rsidR="001D23D5" w:rsidRPr="00781978">
        <w:rPr>
          <w:rtl/>
        </w:rPr>
        <w:t xml:space="preserve"> </w:t>
      </w:r>
      <w:r w:rsidR="009B260F">
        <w:rPr>
          <w:rFonts w:hint="cs"/>
          <w:rtl/>
        </w:rPr>
        <w:t xml:space="preserve">כל מה שאינו עצמי מבחינה פילוסופית אפשר שישתנה, כי העצם לא תלוי בו, אבל מבחינה טבעית לא בהכרח האפשרות הזו יכולה לצאת אל הפועל. </w:t>
      </w:r>
    </w:p>
  </w:footnote>
  <w:footnote w:id="231">
    <w:p w14:paraId="47FC48E4" w14:textId="3B21308B" w:rsidR="00717F61" w:rsidRDefault="00717F61">
      <w:pPr>
        <w:pStyle w:val="FootnoteText"/>
      </w:pPr>
      <w:r>
        <w:rPr>
          <w:rStyle w:val="FootnoteReference"/>
        </w:rPr>
        <w:footnoteRef/>
      </w:r>
      <w:r>
        <w:rPr>
          <w:rtl/>
        </w:rPr>
        <w:t xml:space="preserve"> </w:t>
      </w:r>
      <w:r>
        <w:rPr>
          <w:rFonts w:hint="cs"/>
          <w:rtl/>
        </w:rPr>
        <w:t>ההיולי הוא העדר</w:t>
      </w:r>
      <w:r w:rsidR="00D47D99">
        <w:rPr>
          <w:rtl/>
        </w:rPr>
        <w:fldChar w:fldCharType="begin"/>
      </w:r>
      <w:r w:rsidR="00D47D99">
        <w:instrText xml:space="preserve"> XE "</w:instrText>
      </w:r>
      <w:r w:rsidR="00D47D99" w:rsidRPr="00EA7AC7">
        <w:rPr>
          <w:rFonts w:hint="cs"/>
          <w:rtl/>
        </w:rPr>
        <w:instrText>העדר</w:instrText>
      </w:r>
      <w:r w:rsidR="00D47D99">
        <w:instrText xml:space="preserve">" </w:instrText>
      </w:r>
      <w:r w:rsidR="00D47D99">
        <w:rPr>
          <w:rtl/>
        </w:rPr>
        <w:fldChar w:fldCharType="end"/>
      </w:r>
      <w:r>
        <w:rPr>
          <w:rFonts w:hint="cs"/>
          <w:rtl/>
        </w:rPr>
        <w:t>. הצורות מצטיירות בו</w:t>
      </w:r>
      <w:r w:rsidR="00314DAE">
        <w:rPr>
          <w:rFonts w:hint="cs"/>
          <w:rtl/>
        </w:rPr>
        <w:t xml:space="preserve"> </w:t>
      </w:r>
      <w:r>
        <w:rPr>
          <w:rFonts w:hint="cs"/>
          <w:rtl/>
        </w:rPr>
        <w:t>ולכן הוא נמצא גם איתן</w:t>
      </w:r>
      <w:r w:rsidR="00D37822">
        <w:rPr>
          <w:rFonts w:hint="cs"/>
          <w:rtl/>
        </w:rPr>
        <w:t>, כי הן צורות של העדר. הילד</w:t>
      </w:r>
      <w:r w:rsidR="00314DAE">
        <w:rPr>
          <w:rFonts w:hint="cs"/>
          <w:rtl/>
        </w:rPr>
        <w:t xml:space="preserve"> שבשיר</w:t>
      </w:r>
      <w:r w:rsidR="00D37822">
        <w:rPr>
          <w:rFonts w:hint="cs"/>
          <w:rtl/>
        </w:rPr>
        <w:t xml:space="preserve"> מצטייר אצל המשוררת העקרה מכח שהיא מ</w:t>
      </w:r>
      <w:r w:rsidR="00314DAE">
        <w:rPr>
          <w:rFonts w:hint="cs"/>
          <w:rtl/>
        </w:rPr>
        <w:t>ת</w:t>
      </w:r>
      <w:r w:rsidR="00D37822">
        <w:rPr>
          <w:rFonts w:hint="cs"/>
          <w:rtl/>
        </w:rPr>
        <w:t>געגעת לילד, והגעגוע הוא ההעדר</w:t>
      </w:r>
      <w:r w:rsidR="00314DAE" w:rsidRPr="00314DAE">
        <w:rPr>
          <w:rtl/>
        </w:rPr>
        <w:t xml:space="preserve"> </w:t>
      </w:r>
      <w:r w:rsidR="00314DAE">
        <w:rPr>
          <w:rFonts w:hint="cs"/>
          <w:rtl/>
        </w:rPr>
        <w:t xml:space="preserve">(התבאר באורך </w:t>
      </w:r>
      <w:r w:rsidR="00314DAE" w:rsidRPr="00314DAE">
        <w:rPr>
          <w:rtl/>
        </w:rPr>
        <w:t>לעיל סעי</w:t>
      </w:r>
      <w:r w:rsidR="00F8752D">
        <w:rPr>
          <w:rFonts w:hint="cs"/>
          <w:rtl/>
        </w:rPr>
        <w:t>פים</w:t>
      </w:r>
      <w:r w:rsidR="00314DAE" w:rsidRPr="00314DAE">
        <w:rPr>
          <w:rtl/>
        </w:rPr>
        <w:t xml:space="preserve"> </w:t>
      </w:r>
      <w:r w:rsidR="00F8752D">
        <w:rPr>
          <w:rFonts w:hint="cs"/>
          <w:rtl/>
        </w:rPr>
        <w:t>1.2.</w:t>
      </w:r>
      <w:r w:rsidR="00314DAE" w:rsidRPr="00314DAE">
        <w:rPr>
          <w:rtl/>
        </w:rPr>
        <w:t>4</w:t>
      </w:r>
      <w:r w:rsidR="00F8752D">
        <w:rPr>
          <w:rFonts w:hint="cs"/>
          <w:rtl/>
        </w:rPr>
        <w:t xml:space="preserve">, 1.2.8 </w:t>
      </w:r>
      <w:r w:rsidR="00314DAE" w:rsidRPr="00314DAE">
        <w:rPr>
          <w:rtl/>
        </w:rPr>
        <w:t xml:space="preserve">במקום שהבאתי את השיר </w:t>
      </w:r>
      <w:r w:rsidR="00F055C8">
        <w:rPr>
          <w:rtl/>
        </w:rPr>
        <w:t>"</w:t>
      </w:r>
      <w:r w:rsidR="00314DAE" w:rsidRPr="00314DAE">
        <w:rPr>
          <w:rtl/>
        </w:rPr>
        <w:t>עקרה</w:t>
      </w:r>
      <w:r w:rsidR="00F055C8">
        <w:rPr>
          <w:rtl/>
        </w:rPr>
        <w:t>"</w:t>
      </w:r>
      <w:r w:rsidR="00314DAE" w:rsidRPr="00314DAE">
        <w:rPr>
          <w:rtl/>
        </w:rPr>
        <w:t>)</w:t>
      </w:r>
      <w:r w:rsidR="00314DAE">
        <w:rPr>
          <w:rFonts w:hint="cs"/>
          <w:rtl/>
        </w:rPr>
        <w:t>, כך שהחומר של הילד הוא ההעדר, הוא מצטייר בגעגוע והוא ילד שעשוי מגעגוע</w:t>
      </w:r>
      <w:r w:rsidR="00D37822">
        <w:rPr>
          <w:rFonts w:hint="cs"/>
          <w:rtl/>
        </w:rPr>
        <w:t>.</w:t>
      </w:r>
      <w:r>
        <w:rPr>
          <w:rFonts w:hint="cs"/>
          <w:rtl/>
        </w:rPr>
        <w:t xml:space="preserve"> השינוי של הצורות נובע מכך שיש בהן צד העדר ששם ההיולי פושט את הצורה, דהיינו חוזר להיותו העדר, בתנועתו לקבל צורה אחרת. גוף שהיה שחור משתנה ללבן על ידי שהוא פושט את צורת השחור</w:t>
      </w:r>
      <w:r w:rsidR="00031194">
        <w:rPr>
          <w:rFonts w:hint="cs"/>
          <w:rtl/>
        </w:rPr>
        <w:t>, השחור נעדר,</w:t>
      </w:r>
      <w:r>
        <w:rPr>
          <w:rFonts w:hint="cs"/>
          <w:rtl/>
        </w:rPr>
        <w:t xml:space="preserve"> ו</w:t>
      </w:r>
      <w:r w:rsidR="00031194">
        <w:rPr>
          <w:rFonts w:hint="cs"/>
          <w:rtl/>
        </w:rPr>
        <w:t xml:space="preserve">הגוף </w:t>
      </w:r>
      <w:r>
        <w:rPr>
          <w:rFonts w:hint="cs"/>
          <w:rtl/>
        </w:rPr>
        <w:t>מקבל במקומ</w:t>
      </w:r>
      <w:r w:rsidR="00031194">
        <w:rPr>
          <w:rFonts w:hint="cs"/>
          <w:rtl/>
        </w:rPr>
        <w:t>ו</w:t>
      </w:r>
      <w:r>
        <w:rPr>
          <w:rFonts w:hint="cs"/>
          <w:rtl/>
        </w:rPr>
        <w:t xml:space="preserve"> צורת לבן. </w:t>
      </w:r>
      <w:r w:rsidR="005C072A">
        <w:rPr>
          <w:rFonts w:hint="cs"/>
          <w:rtl/>
        </w:rPr>
        <w:t xml:space="preserve">פשיטת צורת השחור היא משום שהצורה מתלבשת בהיולי שהוא העדר, וכשהיא חוזרת להעדר </w:t>
      </w:r>
      <w:r w:rsidR="00031194">
        <w:rPr>
          <w:rFonts w:hint="cs"/>
          <w:rtl/>
        </w:rPr>
        <w:t xml:space="preserve">אז </w:t>
      </w:r>
      <w:r w:rsidR="005C072A">
        <w:rPr>
          <w:rFonts w:hint="cs"/>
          <w:rtl/>
        </w:rPr>
        <w:t>הצורה נפסדת ובמקומה נעשית צורה חדשה (כי ההיולי לא יכול להתקיים בלי צורה כלל)</w:t>
      </w:r>
      <w:r w:rsidR="00031194">
        <w:rPr>
          <w:rFonts w:hint="cs"/>
          <w:rtl/>
        </w:rPr>
        <w:t>.</w:t>
      </w:r>
      <w:r>
        <w:rPr>
          <w:rFonts w:hint="cs"/>
          <w:rtl/>
        </w:rPr>
        <w:t xml:space="preserve">  </w:t>
      </w:r>
    </w:p>
  </w:footnote>
  <w:footnote w:id="232">
    <w:p w14:paraId="5D664E79" w14:textId="5C8F9CC2" w:rsidR="00FD381F" w:rsidRPr="00FD381F" w:rsidRDefault="00FD381F">
      <w:pPr>
        <w:pStyle w:val="FootnoteText"/>
      </w:pPr>
      <w:r>
        <w:rPr>
          <w:rStyle w:val="FootnoteReference"/>
        </w:rPr>
        <w:footnoteRef/>
      </w:r>
      <w:r>
        <w:rPr>
          <w:rtl/>
        </w:rPr>
        <w:t xml:space="preserve"> </w:t>
      </w:r>
      <w:r>
        <w:rPr>
          <w:rFonts w:hint="cs"/>
          <w:rtl/>
        </w:rPr>
        <w:t>ב</w:t>
      </w:r>
      <w:r w:rsidRPr="00FD381F">
        <w:rPr>
          <w:rtl/>
        </w:rPr>
        <w:t xml:space="preserve">מקור </w:t>
      </w:r>
      <w:r w:rsidRPr="00FD381F">
        <w:rPr>
          <w:rFonts w:ascii="Arial" w:hAnsi="Arial" w:cs="Arial" w:hint="cs"/>
          <w:rtl/>
          <w:lang w:bidi="ar-SA"/>
        </w:rPr>
        <w:t>مقايسته</w:t>
      </w:r>
      <w:r w:rsidRPr="00FD381F">
        <w:rPr>
          <w:rtl/>
        </w:rPr>
        <w:t>. פירושו גם השוואה, כמו שיש השוואה בין הצל לגוף שמטיל את הצל, או בין</w:t>
      </w:r>
      <w:r>
        <w:rPr>
          <w:rFonts w:hint="cs"/>
          <w:rtl/>
        </w:rPr>
        <w:t xml:space="preserve"> </w:t>
      </w:r>
      <w:r w:rsidRPr="00FD381F">
        <w:rPr>
          <w:rtl/>
        </w:rPr>
        <w:t xml:space="preserve">השקע שבמיטה </w:t>
      </w:r>
      <w:r>
        <w:rPr>
          <w:rFonts w:hint="cs"/>
          <w:rtl/>
        </w:rPr>
        <w:t xml:space="preserve">לצורת </w:t>
      </w:r>
      <w:r w:rsidRPr="00FD381F">
        <w:rPr>
          <w:rtl/>
        </w:rPr>
        <w:t xml:space="preserve"> מי שהיה ישן עליה. </w:t>
      </w:r>
    </w:p>
  </w:footnote>
  <w:footnote w:id="233">
    <w:p w14:paraId="0258997C" w14:textId="7953C381" w:rsidR="00964829" w:rsidRDefault="00964829">
      <w:pPr>
        <w:pStyle w:val="FootnoteText"/>
      </w:pPr>
      <w:r w:rsidRPr="00FD381F">
        <w:rPr>
          <w:rStyle w:val="FootnoteReference"/>
        </w:rPr>
        <w:footnoteRef/>
      </w:r>
      <w:r w:rsidRPr="00FD381F">
        <w:rPr>
          <w:rtl/>
        </w:rPr>
        <w:t xml:space="preserve"> ה</w:t>
      </w:r>
      <w:r>
        <w:rPr>
          <w:rFonts w:hint="cs"/>
          <w:rtl/>
        </w:rPr>
        <w:t xml:space="preserve">עדר הוא תמיד העדר של משהו. למשל הקיר השחור נעדר צבע לבן, או מי שקם ממיטה והשאיר בה שקע, השקע הוא העדרו של מי שישן. הקיר אינו נעדר יכולת דיבור כי אין בו אפשרות כזו, והשקע במיטה אינו העדרו של סוס כי אין אפשרות שייכנס אליו סוס. מה שנעדר הוא רק מה שהיה יכול להימצא, והעדרו הוא העדר מציאותו בפועל, והוא מתייחס לאפשרות מציאותו. </w:t>
      </w:r>
      <w:r w:rsidR="00DA7CB7">
        <w:rPr>
          <w:rFonts w:hint="cs"/>
          <w:rtl/>
        </w:rPr>
        <w:t xml:space="preserve">עיין לעיל 1.2.16 בהערה בעניין ההעדר המיוחד וההעדר הכללי. </w:t>
      </w:r>
    </w:p>
  </w:footnote>
  <w:footnote w:id="234">
    <w:p w14:paraId="13ADB5D1" w14:textId="0785DF68" w:rsidR="00D47D99" w:rsidRDefault="00D47D99">
      <w:pPr>
        <w:pStyle w:val="FootnoteText"/>
      </w:pPr>
      <w:r>
        <w:rPr>
          <w:rStyle w:val="FootnoteReference"/>
        </w:rPr>
        <w:footnoteRef/>
      </w:r>
      <w:r>
        <w:rPr>
          <w:rtl/>
        </w:rPr>
        <w:t xml:space="preserve"> </w:t>
      </w:r>
      <w:r w:rsidR="00074FAF">
        <w:rPr>
          <w:rFonts w:hint="cs"/>
          <w:rtl/>
        </w:rPr>
        <w:t xml:space="preserve">במקור </w:t>
      </w:r>
      <w:r w:rsidR="006C358E" w:rsidRPr="006C358E">
        <w:rPr>
          <w:rFonts w:cs="Times New Roman" w:hint="eastAsia"/>
          <w:rtl/>
          <w:lang w:bidi="ar-SA"/>
        </w:rPr>
        <w:t>العدم</w:t>
      </w:r>
      <w:r w:rsidR="006C358E" w:rsidRPr="006C358E">
        <w:rPr>
          <w:rFonts w:cs="Times New Roman"/>
          <w:rtl/>
          <w:lang w:bidi="ar-SA"/>
        </w:rPr>
        <w:t xml:space="preserve"> </w:t>
      </w:r>
      <w:r w:rsidR="006C358E" w:rsidRPr="006C358E">
        <w:rPr>
          <w:rFonts w:cs="Times New Roman" w:hint="eastAsia"/>
          <w:rtl/>
          <w:lang w:bidi="ar-SA"/>
        </w:rPr>
        <w:t>المطلق</w:t>
      </w:r>
      <w:r w:rsidR="006C358E">
        <w:rPr>
          <w:rFonts w:cs="Times New Roman" w:hint="cs"/>
          <w:rtl/>
        </w:rPr>
        <w:t xml:space="preserve">. </w:t>
      </w:r>
      <w:r>
        <w:rPr>
          <w:rFonts w:hint="cs"/>
          <w:rtl/>
        </w:rPr>
        <w:t>נקרא גם העדר גמור או העדר כללי.</w:t>
      </w:r>
    </w:p>
  </w:footnote>
  <w:footnote w:id="235">
    <w:p w14:paraId="2F2615D9" w14:textId="42ABED13" w:rsidR="003E5182" w:rsidRDefault="003E5182">
      <w:pPr>
        <w:pStyle w:val="FootnoteText"/>
        <w:rPr>
          <w:rtl/>
        </w:rPr>
      </w:pPr>
      <w:r>
        <w:rPr>
          <w:rStyle w:val="FootnoteReference"/>
        </w:rPr>
        <w:footnoteRef/>
      </w:r>
      <w:r>
        <w:rPr>
          <w:rtl/>
        </w:rPr>
        <w:t xml:space="preserve"> </w:t>
      </w:r>
      <w:r>
        <w:rPr>
          <w:rFonts w:hint="cs"/>
          <w:rtl/>
        </w:rPr>
        <w:t xml:space="preserve">מציאות בכח. יש הבדל בין אפשרות ובין </w:t>
      </w:r>
      <w:r w:rsidR="00F055C8">
        <w:rPr>
          <w:rtl/>
        </w:rPr>
        <w:t>"</w:t>
      </w:r>
      <w:r>
        <w:rPr>
          <w:rFonts w:hint="cs"/>
          <w:rtl/>
        </w:rPr>
        <w:t>בכח</w:t>
      </w:r>
      <w:r w:rsidR="00F055C8">
        <w:rPr>
          <w:rtl/>
        </w:rPr>
        <w:t>"</w:t>
      </w:r>
      <w:r>
        <w:rPr>
          <w:rFonts w:hint="cs"/>
          <w:rtl/>
        </w:rPr>
        <w:t>, כמו שכתב הרמב</w:t>
      </w:r>
      <w:r w:rsidR="00F055C8">
        <w:rPr>
          <w:rtl/>
        </w:rPr>
        <w:t>"</w:t>
      </w:r>
      <w:r>
        <w:rPr>
          <w:rFonts w:hint="cs"/>
          <w:rtl/>
        </w:rPr>
        <w:t xml:space="preserve">ם באגרת לאבן תיבון. </w:t>
      </w:r>
      <w:r w:rsidR="003F0778">
        <w:rPr>
          <w:rFonts w:hint="cs"/>
          <w:rtl/>
        </w:rPr>
        <w:t xml:space="preserve">למשל </w:t>
      </w:r>
      <w:r w:rsidR="00E679F7">
        <w:rPr>
          <w:rFonts w:hint="cs"/>
          <w:rtl/>
        </w:rPr>
        <w:t xml:space="preserve">אם יש גוש שיש </w:t>
      </w:r>
      <w:r w:rsidR="00E679F7">
        <w:rPr>
          <w:rFonts w:hint="cs"/>
          <w:rtl/>
        </w:rPr>
        <w:t>שיש אפ</w:t>
      </w:r>
      <w:r w:rsidR="003F0778">
        <w:rPr>
          <w:rFonts w:hint="cs"/>
          <w:rtl/>
        </w:rPr>
        <w:t xml:space="preserve">שרות לגלף ממנו פסלים שונים, אז אם מסתכלים על העתיד, על התוצאה של פסל שיצא אל הפועל והוא כבר מגולף, אז יש אפשרות בעתיד שהפסל יהיה דוד של מיכלאנג'לו, ויש אפשרות שיהיה פסל האיש החושב של רודן. אפשרות היא המבט על מה שקיים בפועל, ומה שבפועל יהיה רק בעתיד אחרי שיגולף פסל </w:t>
      </w:r>
      <w:r w:rsidR="009C463A">
        <w:rPr>
          <w:rFonts w:hint="cs"/>
          <w:rtl/>
        </w:rPr>
        <w:t>מסוים</w:t>
      </w:r>
      <w:r w:rsidR="003F0778">
        <w:rPr>
          <w:rFonts w:hint="cs"/>
          <w:rtl/>
        </w:rPr>
        <w:t xml:space="preserve">, ויש אפשרות שבעתיד יהיה בפועל פסל א' ויש אפשרות שיהיה בפועל פסל ב'. </w:t>
      </w:r>
    </w:p>
    <w:p w14:paraId="7702400F" w14:textId="3CF54EE4" w:rsidR="003F0778" w:rsidRDefault="003F0778">
      <w:pPr>
        <w:pStyle w:val="FootnoteText"/>
      </w:pPr>
      <w:r>
        <w:rPr>
          <w:rFonts w:hint="cs"/>
          <w:rtl/>
        </w:rPr>
        <w:t>'בכח</w:t>
      </w:r>
      <w:r w:rsidR="007D05D3">
        <w:rPr>
          <w:rtl/>
        </w:rPr>
        <w:fldChar w:fldCharType="begin"/>
      </w:r>
      <w:r w:rsidR="007D05D3">
        <w:instrText xml:space="preserve"> XE "</w:instrText>
      </w:r>
      <w:r w:rsidR="007D05D3" w:rsidRPr="0060022B">
        <w:rPr>
          <w:rFonts w:hint="cs"/>
          <w:rtl/>
        </w:rPr>
        <w:instrText>בכח ובפועל</w:instrText>
      </w:r>
      <w:r w:rsidR="007D05D3">
        <w:instrText xml:space="preserve">" </w:instrText>
      </w:r>
      <w:r w:rsidR="007D05D3">
        <w:rPr>
          <w:rtl/>
        </w:rPr>
        <w:fldChar w:fldCharType="end"/>
      </w:r>
      <w:r>
        <w:rPr>
          <w:rFonts w:hint="cs"/>
          <w:rtl/>
        </w:rPr>
        <w:t>' פירושו מה שקיים בהווה. אחרי שהפסל יגולף הוא יהיה אותו פסל עצמו שקיים כעת בתוך גוש השיש, כי האמן רק מסיר את מה שמסביב לפסל ולא נוגע בפסל עצמו. כך שהפסל קיים כבר בהווה, רק שקיומו בהווה הוא בדרך של קיום בכח. אם הגוש קטן מדי, או שהוא גוש יהלום שאי אפשר לגלף בו, אז אין מציאות של פסל בכח בהווה. בעצם העתיד לא מחדש שום דבר שלא היה מקודם, הוא רק מימוש של אפשרויות שהיו קיימות מבריאת העולם באותה נקודה של היולי, וכמו שכתב הרמב</w:t>
      </w:r>
      <w:r w:rsidR="00F055C8">
        <w:rPr>
          <w:rtl/>
        </w:rPr>
        <w:t>"</w:t>
      </w:r>
      <w:r>
        <w:rPr>
          <w:rFonts w:hint="cs"/>
          <w:rtl/>
        </w:rPr>
        <w:t>ן על בראשית א' א'</w:t>
      </w:r>
      <w:r w:rsidR="000471EB">
        <w:rPr>
          <w:rtl/>
        </w:rPr>
        <w:fldChar w:fldCharType="begin"/>
      </w:r>
      <w:r w:rsidR="000471EB">
        <w:instrText xml:space="preserve"> XE "</w:instrText>
      </w:r>
      <w:r w:rsidR="000471EB" w:rsidRPr="004711D0">
        <w:rPr>
          <w:rFonts w:hint="cs"/>
          <w:rtl/>
        </w:rPr>
        <w:instrText>הרמב</w:instrText>
      </w:r>
      <w:r w:rsidR="000471EB">
        <w:rPr>
          <w:b/>
          <w:bCs/>
          <w:sz w:val="20"/>
          <w:szCs w:val="20"/>
        </w:rPr>
        <w:instrText>\</w:instrText>
      </w:r>
      <w:r w:rsidR="000471EB" w:rsidRPr="004711D0">
        <w:rPr>
          <w:rFonts w:hint="cs"/>
          <w:rtl/>
        </w:rPr>
        <w:instrText>"ן על בראשית א' א'</w:instrText>
      </w:r>
      <w:r w:rsidR="000471EB">
        <w:instrText xml:space="preserve">" </w:instrText>
      </w:r>
      <w:r w:rsidR="000471EB">
        <w:rPr>
          <w:rtl/>
        </w:rPr>
        <w:fldChar w:fldCharType="end"/>
      </w:r>
      <w:r>
        <w:rPr>
          <w:rFonts w:hint="cs"/>
          <w:rtl/>
        </w:rPr>
        <w:t xml:space="preserve">.  </w:t>
      </w:r>
    </w:p>
  </w:footnote>
  <w:footnote w:id="236">
    <w:p w14:paraId="30EB496A" w14:textId="485637E3" w:rsidR="008908C4" w:rsidRDefault="00074FAF">
      <w:pPr>
        <w:pStyle w:val="FootnoteText"/>
        <w:rPr>
          <w:rtl/>
        </w:rPr>
      </w:pPr>
      <w:r>
        <w:rPr>
          <w:rStyle w:val="FootnoteReference"/>
        </w:rPr>
        <w:footnoteRef/>
      </w:r>
      <w:r>
        <w:rPr>
          <w:rtl/>
        </w:rPr>
        <w:t xml:space="preserve"> </w:t>
      </w:r>
      <w:r>
        <w:rPr>
          <w:rFonts w:hint="cs"/>
          <w:rtl/>
        </w:rPr>
        <w:t xml:space="preserve">במקור </w:t>
      </w:r>
      <w:r w:rsidRPr="00074FAF">
        <w:rPr>
          <w:rFonts w:cs="Times New Roman" w:hint="eastAsia"/>
          <w:rtl/>
          <w:lang w:bidi="ar-SA"/>
        </w:rPr>
        <w:t>مادة</w:t>
      </w:r>
      <w:r w:rsidRPr="00074FAF">
        <w:rPr>
          <w:rFonts w:cs="Times New Roman"/>
          <w:rtl/>
          <w:lang w:bidi="ar-SA"/>
        </w:rPr>
        <w:t xml:space="preserve"> </w:t>
      </w:r>
      <w:r w:rsidRPr="00074FAF">
        <w:rPr>
          <w:rFonts w:cs="Times New Roman" w:hint="eastAsia"/>
          <w:rtl/>
          <w:lang w:bidi="ar-SA"/>
        </w:rPr>
        <w:t>معينة</w:t>
      </w:r>
      <w:r w:rsidRPr="003975A6">
        <w:rPr>
          <w:rtl/>
        </w:rPr>
        <w:t>.</w:t>
      </w:r>
      <w:r w:rsidR="003975A6" w:rsidRPr="003975A6">
        <w:rPr>
          <w:rtl/>
        </w:rPr>
        <w:t xml:space="preserve"> </w:t>
      </w:r>
      <w:r w:rsidR="003975A6">
        <w:rPr>
          <w:rFonts w:hint="cs"/>
          <w:rtl/>
        </w:rPr>
        <w:t>'</w:t>
      </w:r>
      <w:r w:rsidR="003975A6" w:rsidRPr="003975A6">
        <w:rPr>
          <w:rtl/>
        </w:rPr>
        <w:t>תואר</w:t>
      </w:r>
      <w:r w:rsidR="00942F23">
        <w:rPr>
          <w:rtl/>
        </w:rPr>
        <w:fldChar w:fldCharType="begin"/>
      </w:r>
      <w:r w:rsidR="00942F23">
        <w:instrText xml:space="preserve"> XE "</w:instrText>
      </w:r>
      <w:r w:rsidR="00942F23" w:rsidRPr="00FE702B">
        <w:rPr>
          <w:rtl/>
        </w:rPr>
        <w:instrText>תואר</w:instrText>
      </w:r>
      <w:r w:rsidR="00942F23">
        <w:instrText xml:space="preserve">" </w:instrText>
      </w:r>
      <w:r w:rsidR="00942F23">
        <w:rPr>
          <w:rtl/>
        </w:rPr>
        <w:fldChar w:fldCharType="end"/>
      </w:r>
      <w:r w:rsidR="003975A6">
        <w:rPr>
          <w:rFonts w:hint="cs"/>
          <w:rtl/>
        </w:rPr>
        <w:t>'</w:t>
      </w:r>
      <w:r w:rsidR="003975A6" w:rsidRPr="003975A6">
        <w:rPr>
          <w:rtl/>
        </w:rPr>
        <w:t xml:space="preserve"> הכוונה</w:t>
      </w:r>
      <w:r w:rsidR="003975A6">
        <w:rPr>
          <w:rFonts w:hint="cs"/>
          <w:rtl/>
        </w:rPr>
        <w:t xml:space="preserve"> כאן לגבולות החיצוניים של הגוף, שגובלים בינו ובין הגופים האחרים. זהו המקום של הגוף, או הנפח שלו. גבולות אלה ניתנים לתיאור </w:t>
      </w:r>
      <w:r w:rsidR="00801964">
        <w:rPr>
          <w:rFonts w:hint="cs"/>
          <w:rtl/>
        </w:rPr>
        <w:t>מתמטי</w:t>
      </w:r>
      <w:r w:rsidR="003975A6">
        <w:rPr>
          <w:rFonts w:hint="cs"/>
          <w:rtl/>
        </w:rPr>
        <w:t>. בהעדר מונחת בהכרח צורת התלת ממדיות שהיא החלל התלת ממדי הריק (עיין באינדקס היכן התבארו לעיל צורת התלת ממדיות והבוהו), והוא אינו יכול להיות נתפש בלעדיה. החלל הזה יש בו בכח את האפשרויות לחיתוך גבולות הגופים התלת ממדיים, כלומר התואר</w:t>
      </w:r>
      <w:r w:rsidR="008908C4">
        <w:rPr>
          <w:rFonts w:hint="cs"/>
          <w:rtl/>
        </w:rPr>
        <w:t xml:space="preserve"> המוקדם</w:t>
      </w:r>
      <w:r w:rsidR="003975A6">
        <w:rPr>
          <w:rFonts w:hint="cs"/>
          <w:rtl/>
        </w:rPr>
        <w:t xml:space="preserve"> שלהם</w:t>
      </w:r>
      <w:r w:rsidR="008908C4">
        <w:rPr>
          <w:rFonts w:hint="cs"/>
          <w:rtl/>
        </w:rPr>
        <w:t>. גבולות הגופים נחתכים לפי הצורה שלהם, שהיא המהות החיה שלהם, כזיו מאור הבורא עצמו. הצורות</w:t>
      </w:r>
      <w:r w:rsidR="004548EF">
        <w:rPr>
          <w:rtl/>
        </w:rPr>
        <w:fldChar w:fldCharType="begin"/>
      </w:r>
      <w:r w:rsidR="004548EF">
        <w:instrText xml:space="preserve"> XE "</w:instrText>
      </w:r>
      <w:r w:rsidR="004548EF" w:rsidRPr="009A23E0">
        <w:rPr>
          <w:rFonts w:hint="cs"/>
          <w:rtl/>
        </w:rPr>
        <w:instrText>ההעדר והצורות</w:instrText>
      </w:r>
      <w:r w:rsidR="004548EF">
        <w:instrText xml:space="preserve">" </w:instrText>
      </w:r>
      <w:r w:rsidR="004548EF">
        <w:rPr>
          <w:rtl/>
        </w:rPr>
        <w:fldChar w:fldCharType="end"/>
      </w:r>
      <w:r w:rsidR="008908C4">
        <w:rPr>
          <w:rFonts w:hint="cs"/>
          <w:rtl/>
        </w:rPr>
        <w:t xml:space="preserve"> יש בהן אור של מה שההעדר מצייר. למשל הילד אורי בשיר של רחל 'עקרה</w:t>
      </w:r>
      <w:r w:rsidR="00942F23">
        <w:rPr>
          <w:rtl/>
        </w:rPr>
        <w:fldChar w:fldCharType="begin"/>
      </w:r>
      <w:r w:rsidR="00942F23">
        <w:instrText xml:space="preserve"> XE "</w:instrText>
      </w:r>
      <w:r w:rsidR="00942F23" w:rsidRPr="00CF3589">
        <w:rPr>
          <w:rtl/>
        </w:rPr>
        <w:instrText>עקרה (השיר של רחל)</w:instrText>
      </w:r>
      <w:r w:rsidR="00942F23">
        <w:instrText xml:space="preserve">" </w:instrText>
      </w:r>
      <w:r w:rsidR="00942F23">
        <w:rPr>
          <w:rtl/>
        </w:rPr>
        <w:fldChar w:fldCharType="end"/>
      </w:r>
      <w:r w:rsidR="008908C4">
        <w:rPr>
          <w:rFonts w:hint="cs"/>
          <w:rtl/>
        </w:rPr>
        <w:t>' הצטייר מכח הגעגוע שלה לילד, שהוא ההעדר. אבל למה ההעדר צייר דווקא צורה בעלת מהות כזו, אופן חיים כאלה, אלא זה משום שיש משהו שאינו העדר שממנו נמשכת הצורה של מה שהצטייר בהעדר, ומזה הציור מקבל חיים. כי לציור יש חיים כציור, כמו שהילד בשיר הוא ילד חי, שהרי הקורא בשיר יש לו חוויה חיה.</w:t>
      </w:r>
    </w:p>
    <w:p w14:paraId="3B4EDFB1" w14:textId="11FCB113" w:rsidR="00817715" w:rsidRDefault="008908C4">
      <w:pPr>
        <w:pStyle w:val="FootnoteText"/>
        <w:rPr>
          <w:rtl/>
        </w:rPr>
      </w:pPr>
      <w:r>
        <w:rPr>
          <w:rFonts w:hint="cs"/>
          <w:rtl/>
        </w:rPr>
        <w:t xml:space="preserve">בדוגמה של השיר אנו מכירים ילד שאינו ציור, אבל אם למשל איננו מכירים את מקור הציור, וכגון ילד שגדל לבד באי בודד ולא ראה אדם מימיו, יצטיירו בדמיונו עניינים כמו תחושת חמימות שדומה לחמימות של חיבוק, תחושת נעימות שדומה לנעימות של שמיעת קול חמים וכו'. הוא לא יצייר את דמות הוריו וגם לא דמות אדם כלל, כי אין לו השגה כזו, ובכל זאת יהיה משהו בציורי הדמיון שלו שיהיה דומה לצורת אב ואם. איך יתכן שיהיה משהו דומה בציורי הדמיון שלו לאב ואם, אם מעולם לא ראה שום אדם. אם יש דמיון לאב ואם בהכרח יש בו תפישה כלשהי באב ואם. אלא הביאור הוא שמונח בו במהותו וטבעו, מלידתו, העדר של אב ואם. </w:t>
      </w:r>
      <w:r w:rsidR="00817715">
        <w:rPr>
          <w:rFonts w:hint="cs"/>
          <w:rtl/>
        </w:rPr>
        <w:t>ההעדר הזה הוא הכנה לצורת אב ואם, פוטנציאל לה. היא קיימת בו בכח. מהעדר של משהו יש כבר תפישה כלשהי באותו משהו, כך הילד שבאי הבודד תופש משהו מעניין אב ואם ומכח, ומשם נולדים ציורי הדמיון שלו.</w:t>
      </w:r>
      <w:r w:rsidR="00FB1602">
        <w:rPr>
          <w:rFonts w:hint="cs"/>
          <w:rtl/>
        </w:rPr>
        <w:t xml:space="preserve"> ועיין עוד בזה במורה נבוכים א' מ</w:t>
      </w:r>
      <w:r w:rsidR="00F055C8">
        <w:rPr>
          <w:rtl/>
        </w:rPr>
        <w:t>"</w:t>
      </w:r>
      <w:r w:rsidR="00FB1602">
        <w:rPr>
          <w:rFonts w:hint="cs"/>
          <w:rtl/>
        </w:rPr>
        <w:t xml:space="preserve">ו. </w:t>
      </w:r>
    </w:p>
    <w:p w14:paraId="6044CA93" w14:textId="4A1C487C" w:rsidR="00FB1602" w:rsidRDefault="00FB1602">
      <w:pPr>
        <w:pStyle w:val="FootnoteText"/>
        <w:rPr>
          <w:rtl/>
        </w:rPr>
      </w:pPr>
    </w:p>
    <w:p w14:paraId="6366163F" w14:textId="5FE2789D" w:rsidR="00FB1602" w:rsidRDefault="00FB1602">
      <w:pPr>
        <w:pStyle w:val="FootnoteText"/>
        <w:rPr>
          <w:rtl/>
        </w:rPr>
      </w:pPr>
      <w:r>
        <w:rPr>
          <w:rFonts w:hint="cs"/>
          <w:rtl/>
        </w:rPr>
        <w:t>בתחילת ספר אמונה ובטחון מאת החזון איש</w:t>
      </w:r>
      <w:r>
        <w:rPr>
          <w:rtl/>
        </w:rPr>
        <w:fldChar w:fldCharType="begin"/>
      </w:r>
      <w:r>
        <w:instrText xml:space="preserve"> XE "</w:instrText>
      </w:r>
      <w:r w:rsidRPr="00C263CF">
        <w:rPr>
          <w:rFonts w:hint="cs"/>
          <w:rtl/>
        </w:rPr>
        <w:instrText>ספר אמונה ובטחון מאת החזון איש</w:instrText>
      </w:r>
      <w:r>
        <w:instrText xml:space="preserve">" </w:instrText>
      </w:r>
      <w:r>
        <w:rPr>
          <w:rtl/>
        </w:rPr>
        <w:fldChar w:fldCharType="end"/>
      </w:r>
      <w:r>
        <w:rPr>
          <w:rFonts w:hint="cs"/>
          <w:rtl/>
        </w:rPr>
        <w:t xml:space="preserve"> כתב:</w:t>
      </w:r>
    </w:p>
    <w:p w14:paraId="3A15AA25" w14:textId="7CBC35AA" w:rsidR="00FB1602" w:rsidRDefault="00F055C8">
      <w:pPr>
        <w:pStyle w:val="FootnoteText"/>
        <w:rPr>
          <w:rtl/>
        </w:rPr>
      </w:pPr>
      <w:r>
        <w:rPr>
          <w:rtl/>
        </w:rPr>
        <w:t>"</w:t>
      </w:r>
      <w:r w:rsidR="00FB1602" w:rsidRPr="00FB1602">
        <w:rPr>
          <w:rtl/>
        </w:rPr>
        <w:t xml:space="preserve">מדת אמונה היא </w:t>
      </w:r>
      <w:r w:rsidR="00FB1602" w:rsidRPr="00FB1602">
        <w:rPr>
          <w:rtl/>
        </w:rPr>
        <w:t>נטיה דקה מעדינות הנפש: אם האדם הוא בעל נפש, ושעתו שעת השקט, חפשי מרעבון תאוני, ועינו מרהיבה ממחזה שמים לרום, והארץ לעומק, הוא נרגש ונדהם, כי העולם נדמה לפניו כחידה סתומה, כמוסה ונפלאה, והחידה הזאת מלפפת את לבבו ומוחו, והוא כמתעלף, לא נשאר בו רוח חיים, בלתי אל החידה כל מעינו ומגמתו, ודעת פתרונה כלתה נפשו, ונבחר לו לבוא באש ובמים בשבילה, כי מה לו ולחיים, אם החיים הנעימים האלו נעלמים ממנו תכלית ההעלם, ונפשו סחרחרה ואבלה וכמהה להבין סודה ולדעת שרשה</w:t>
      </w:r>
      <w:r>
        <w:rPr>
          <w:rtl/>
        </w:rPr>
        <w:t>"</w:t>
      </w:r>
      <w:r w:rsidR="00FB1602">
        <w:rPr>
          <w:rFonts w:hint="cs"/>
          <w:rtl/>
        </w:rPr>
        <w:t xml:space="preserve"> </w:t>
      </w:r>
    </w:p>
    <w:p w14:paraId="6421179C" w14:textId="377F258C" w:rsidR="00FB1602" w:rsidRDefault="00FB1602">
      <w:pPr>
        <w:pStyle w:val="FootnoteText"/>
        <w:rPr>
          <w:rtl/>
        </w:rPr>
      </w:pPr>
      <w:r>
        <w:rPr>
          <w:rFonts w:hint="cs"/>
          <w:rtl/>
        </w:rPr>
        <w:t xml:space="preserve">עניין זה של כמיהה אל החידה עדיין אינו השגה של שום מושכל. הוא רק תחושת העדר של השגה כזו. ההעדר מניע את התנועה ללמוד. הכל מתחיל מהעדר, כלומר הכנה מוקדמת להתממשות של הדבר בפועל. </w:t>
      </w:r>
    </w:p>
    <w:p w14:paraId="23D035AA" w14:textId="54ED948B" w:rsidR="00FB1602" w:rsidRDefault="00FB1602">
      <w:pPr>
        <w:pStyle w:val="FootnoteText"/>
        <w:rPr>
          <w:rtl/>
        </w:rPr>
      </w:pPr>
    </w:p>
    <w:p w14:paraId="39688944" w14:textId="0CD9F63C" w:rsidR="00895A70" w:rsidRDefault="00895A70">
      <w:pPr>
        <w:pStyle w:val="FootnoteText"/>
        <w:rPr>
          <w:rtl/>
        </w:rPr>
      </w:pPr>
      <w:r>
        <w:rPr>
          <w:rFonts w:hint="cs"/>
          <w:rtl/>
        </w:rPr>
        <w:t>בפתיחת המורה נבוכים כתב:</w:t>
      </w:r>
    </w:p>
    <w:p w14:paraId="20C80F0D" w14:textId="105B015B" w:rsidR="00895A70" w:rsidRDefault="00F055C8">
      <w:pPr>
        <w:pStyle w:val="FootnoteText"/>
        <w:rPr>
          <w:rtl/>
        </w:rPr>
      </w:pPr>
      <w:r>
        <w:rPr>
          <w:rtl/>
        </w:rPr>
        <w:t>"</w:t>
      </w:r>
      <w:r w:rsidR="00895A70" w:rsidRPr="00895A70">
        <w:rPr>
          <w:rtl/>
        </w:rPr>
        <w:t>אבל כוונת המאמר הזה להעיר איש בעל דת, שהורגלה בנפשו</w:t>
      </w:r>
      <w:bookmarkStart w:id="148" w:name="_Hlk97397530"/>
      <w:r w:rsidR="00895A70" w:rsidRPr="00895A70">
        <w:rPr>
          <w:rtl/>
        </w:rPr>
        <w:t xml:space="preserve"> ועלתה בהאמנתו אמיתת תורתנו</w:t>
      </w:r>
      <w:bookmarkEnd w:id="148"/>
      <w:r w:rsidR="00895A70" w:rsidRPr="00895A70">
        <w:rPr>
          <w:rtl/>
        </w:rPr>
        <w:t>, והוא שלם בדתו ובמידותיו, ועיין בחכמת הפילוסופים וידע ענייניהם, ומשכו השכל האנושי להשכינו במשכנו, והציקוהו פשטי התורה. ומה שלא סר היותו מבין מדעתו או הבינהו זולתו, מענייני השמות ההם המשתתפים או המושאלים או המסופקים, ונשאר במבוכה ובהלה. אם שימשך אחרי שכלו וישליך מה שידעהו מהשמות ההם ויחשוב שהוא השליך פינות התורה, או שיישאר עם מה שהבינו מהם ולא ימשך אחר שכלו, אך ישליכהו אחרי גוו ויטה מעליו. ויראה עם זה שהוא הביא עליו הפסד ונזק בתורתו, ויישאר עם המחשבות ההם הדמיוניות, והוא מפניהם בפחד וכובד ולא יסור מהיות בכאב לב ומבוכה גדולה.</w:t>
      </w:r>
      <w:r>
        <w:rPr>
          <w:rtl/>
        </w:rPr>
        <w:t>"</w:t>
      </w:r>
    </w:p>
    <w:p w14:paraId="7C7C2542" w14:textId="36FCE5A7" w:rsidR="00895A70" w:rsidRDefault="00895A70">
      <w:pPr>
        <w:pStyle w:val="FootnoteText"/>
        <w:rPr>
          <w:rtl/>
        </w:rPr>
      </w:pPr>
      <w:r>
        <w:rPr>
          <w:rFonts w:hint="cs"/>
          <w:rtl/>
        </w:rPr>
        <w:t xml:space="preserve">הלשון </w:t>
      </w:r>
      <w:r w:rsidR="00F055C8">
        <w:rPr>
          <w:rtl/>
        </w:rPr>
        <w:t>"</w:t>
      </w:r>
      <w:r w:rsidRPr="00895A70">
        <w:rPr>
          <w:rtl/>
        </w:rPr>
        <w:t>ועלתה בהאמנתו אמיתת תורתנו</w:t>
      </w:r>
      <w:r w:rsidR="00F055C8">
        <w:rPr>
          <w:rtl/>
        </w:rPr>
        <w:t>"</w:t>
      </w:r>
      <w:r>
        <w:rPr>
          <w:rFonts w:hint="cs"/>
        </w:rPr>
        <w:t xml:space="preserve"> </w:t>
      </w:r>
      <w:r>
        <w:rPr>
          <w:rFonts w:hint="cs"/>
          <w:rtl/>
        </w:rPr>
        <w:t xml:space="preserve">קשה עד מאוד. האמנה היינו </w:t>
      </w:r>
      <w:r w:rsidR="00942F23">
        <w:rPr>
          <w:rFonts w:hint="cs"/>
          <w:rtl/>
        </w:rPr>
        <w:t>'</w:t>
      </w:r>
      <w:r>
        <w:rPr>
          <w:rFonts w:hint="cs"/>
          <w:rtl/>
        </w:rPr>
        <w:t>עקד</w:t>
      </w:r>
      <w:r w:rsidR="00942F23">
        <w:rPr>
          <w:rFonts w:hint="cs"/>
          <w:rtl/>
        </w:rPr>
        <w:t>'</w:t>
      </w:r>
      <w:r>
        <w:rPr>
          <w:rFonts w:hint="cs"/>
          <w:rtl/>
        </w:rPr>
        <w:t xml:space="preserve"> בערבית, ופירושה ידיעה וודאית, והיא אותו לשון שכתב בתחילת הלכות יסודי התורה </w:t>
      </w:r>
      <w:r w:rsidR="00F055C8">
        <w:rPr>
          <w:rtl/>
        </w:rPr>
        <w:t>"</w:t>
      </w:r>
      <w:r w:rsidRPr="00895A70">
        <w:rPr>
          <w:rFonts w:hint="cs"/>
          <w:b/>
          <w:bCs/>
          <w:rtl/>
        </w:rPr>
        <w:t>לידע</w:t>
      </w:r>
      <w:r>
        <w:rPr>
          <w:rFonts w:hint="cs"/>
          <w:rtl/>
        </w:rPr>
        <w:t xml:space="preserve"> שיש שם מצוי ראשון</w:t>
      </w:r>
      <w:r w:rsidR="00F055C8">
        <w:rPr>
          <w:rtl/>
        </w:rPr>
        <w:t>"</w:t>
      </w:r>
      <w:r>
        <w:rPr>
          <w:rFonts w:hint="cs"/>
          <w:rtl/>
        </w:rPr>
        <w:t xml:space="preserve"> ועי' מורה נבוכים א' תחילת פרק נ'. כיצד ייתכן שיידע בוודאות שהתו</w:t>
      </w:r>
      <w:r w:rsidR="002B331A">
        <w:rPr>
          <w:rFonts w:hint="cs"/>
          <w:rtl/>
        </w:rPr>
        <w:t>ר</w:t>
      </w:r>
      <w:r>
        <w:rPr>
          <w:rFonts w:hint="cs"/>
          <w:rtl/>
        </w:rPr>
        <w:t>ה אמיתית אם עדיין אין לו מופת שכלי על זה?</w:t>
      </w:r>
    </w:p>
    <w:p w14:paraId="58FCC6B4" w14:textId="77777777" w:rsidR="00087320" w:rsidRDefault="00895A70">
      <w:pPr>
        <w:pStyle w:val="FootnoteText"/>
        <w:rPr>
          <w:rtl/>
        </w:rPr>
      </w:pPr>
      <w:r>
        <w:rPr>
          <w:rFonts w:hint="cs"/>
          <w:rtl/>
        </w:rPr>
        <w:t>אלא בהכרח זה מגיע מכח ההעדר שיש בו הכנה מוקדמת לידיעת אמיתת התורה. כמו שההעדר שכתב עליו החזון איש יש בו הכנה מוקדמת לידיעה וודאית שיש בעולם חידה, והחומר שרואים בחוש אינו סוף פסוק. ההכנה המוקדמת מכריחה בוודאות שיש משהו שאותו יש לדעת, אע</w:t>
      </w:r>
      <w:r w:rsidR="00F055C8">
        <w:rPr>
          <w:rtl/>
        </w:rPr>
        <w:t>"</w:t>
      </w:r>
      <w:r>
        <w:rPr>
          <w:rFonts w:hint="cs"/>
          <w:rtl/>
        </w:rPr>
        <w:t>פ שעוד לא יודעים מה הוא, וזה על ידי תפישת ההעדר שהיא לפני תפישת הדבר עצמו. ההעדר הוא ההיישרה שדיבר בה המורה נבוכים א' מ</w:t>
      </w:r>
      <w:r w:rsidR="00F055C8">
        <w:rPr>
          <w:rtl/>
        </w:rPr>
        <w:t>"</w:t>
      </w:r>
      <w:r>
        <w:rPr>
          <w:rFonts w:hint="cs"/>
          <w:rtl/>
        </w:rPr>
        <w:t xml:space="preserve">ו. </w:t>
      </w:r>
      <w:r w:rsidR="00FA671F">
        <w:rPr>
          <w:rFonts w:hint="cs"/>
          <w:rtl/>
        </w:rPr>
        <w:t>בתפישת ההעדר יש כאב רוחני, כמו שכתב החזון איש, וגם המורה נבוכים בפתיחה כותב על הכאב הזה.</w:t>
      </w:r>
    </w:p>
    <w:p w14:paraId="2D5A337C" w14:textId="3838EDD3" w:rsidR="00895A70" w:rsidRDefault="00087320">
      <w:pPr>
        <w:pStyle w:val="FootnoteText"/>
        <w:rPr>
          <w:rtl/>
        </w:rPr>
      </w:pPr>
      <w:r w:rsidRPr="0073077B">
        <w:rPr>
          <w:rFonts w:hint="cs"/>
          <w:b/>
          <w:bCs/>
          <w:rtl/>
        </w:rPr>
        <w:t>'רוחב'</w:t>
      </w:r>
      <w:r w:rsidR="00FA671F" w:rsidRPr="0073077B">
        <w:rPr>
          <w:rFonts w:hint="cs"/>
          <w:b/>
          <w:bCs/>
          <w:rtl/>
        </w:rPr>
        <w:t xml:space="preserve"> </w:t>
      </w:r>
      <w:r w:rsidRPr="0073077B">
        <w:rPr>
          <w:rFonts w:hint="cs"/>
          <w:b/>
          <w:bCs/>
          <w:rtl/>
        </w:rPr>
        <w:t>- שיעור קומה</w:t>
      </w:r>
      <w:r w:rsidR="0073077B">
        <w:rPr>
          <w:rtl/>
        </w:rPr>
        <w:fldChar w:fldCharType="begin"/>
      </w:r>
      <w:r w:rsidR="0073077B">
        <w:instrText xml:space="preserve"> XE "</w:instrText>
      </w:r>
      <w:r w:rsidR="0073077B" w:rsidRPr="00740C65">
        <w:rPr>
          <w:rFonts w:hint="cs"/>
          <w:rtl/>
        </w:rPr>
        <w:instrText>רוחב האפשרויות - סוד שיעור קומה</w:instrText>
      </w:r>
      <w:r w:rsidR="0073077B">
        <w:instrText xml:space="preserve">" </w:instrText>
      </w:r>
      <w:r w:rsidR="0073077B">
        <w:rPr>
          <w:rtl/>
        </w:rPr>
        <w:fldChar w:fldCharType="end"/>
      </w:r>
    </w:p>
    <w:p w14:paraId="51A8E40B" w14:textId="061F4DF7" w:rsidR="00F01F78" w:rsidRDefault="00895A70">
      <w:pPr>
        <w:pStyle w:val="FootnoteText"/>
        <w:rPr>
          <w:rtl/>
        </w:rPr>
      </w:pPr>
      <w:r>
        <w:rPr>
          <w:rFonts w:hint="cs"/>
          <w:rtl/>
        </w:rPr>
        <w:t>המהויות</w:t>
      </w:r>
      <w:r w:rsidR="00F01F78">
        <w:rPr>
          <w:rtl/>
        </w:rPr>
        <w:fldChar w:fldCharType="begin"/>
      </w:r>
      <w:r w:rsidR="00F01F78">
        <w:instrText xml:space="preserve"> XE "</w:instrText>
      </w:r>
      <w:r w:rsidR="00F01F78" w:rsidRPr="00D20631">
        <w:rPr>
          <w:rFonts w:hint="cs"/>
          <w:rtl/>
        </w:rPr>
        <w:instrText>הקשר בין צורה מהותית לתואר</w:instrText>
      </w:r>
      <w:r w:rsidR="00F01F78">
        <w:instrText xml:space="preserve">" </w:instrText>
      </w:r>
      <w:r w:rsidR="00F01F78">
        <w:rPr>
          <w:rtl/>
        </w:rPr>
        <w:fldChar w:fldCharType="end"/>
      </w:r>
      <w:r>
        <w:rPr>
          <w:rFonts w:hint="cs"/>
          <w:rtl/>
        </w:rPr>
        <w:t xml:space="preserve"> מתגשמות בעצם מכח שהן היו בכח בהעדר, וכן גם התארים החיצוניים של הגופים. התואר הוא המקום שבו המהות יכולה להתגשם. למשל המהות של אדם כחי מדבר יכולה להתגשם רק בתואר החיצוני של גוף האדם. התואר החיצוני יש בו רוחב </w:t>
      </w:r>
      <w:r w:rsidR="009C463A">
        <w:rPr>
          <w:rFonts w:hint="cs"/>
          <w:rtl/>
        </w:rPr>
        <w:t>מסוים</w:t>
      </w:r>
      <w:r>
        <w:rPr>
          <w:rFonts w:hint="cs"/>
          <w:rtl/>
        </w:rPr>
        <w:t xml:space="preserve"> של אפשרויות, וכמו</w:t>
      </w:r>
      <w:r w:rsidR="00F01F78">
        <w:rPr>
          <w:rFonts w:hint="cs"/>
          <w:rtl/>
        </w:rPr>
        <w:t xml:space="preserve"> </w:t>
      </w:r>
      <w:r>
        <w:rPr>
          <w:rFonts w:hint="cs"/>
          <w:rtl/>
        </w:rPr>
        <w:t>שכת</w:t>
      </w:r>
      <w:r w:rsidR="00F01F78">
        <w:rPr>
          <w:rFonts w:hint="cs"/>
          <w:rtl/>
        </w:rPr>
        <w:t>ב</w:t>
      </w:r>
      <w:r>
        <w:rPr>
          <w:rFonts w:hint="cs"/>
          <w:rtl/>
        </w:rPr>
        <w:t xml:space="preserve"> ה</w:t>
      </w:r>
      <w:r w:rsidR="00F01F78">
        <w:rPr>
          <w:rFonts w:hint="cs"/>
          <w:rtl/>
        </w:rPr>
        <w:t>מ</w:t>
      </w:r>
      <w:r>
        <w:rPr>
          <w:rFonts w:hint="cs"/>
          <w:rtl/>
        </w:rPr>
        <w:t xml:space="preserve">ורה נבוכים </w:t>
      </w:r>
      <w:r w:rsidR="00F01F78">
        <w:rPr>
          <w:rFonts w:hint="cs"/>
          <w:rtl/>
        </w:rPr>
        <w:t>ב</w:t>
      </w:r>
      <w:r>
        <w:rPr>
          <w:rFonts w:hint="cs"/>
          <w:rtl/>
        </w:rPr>
        <w:t>' י</w:t>
      </w:r>
      <w:r w:rsidR="00F055C8">
        <w:rPr>
          <w:rtl/>
        </w:rPr>
        <w:t>"</w:t>
      </w:r>
      <w:r>
        <w:rPr>
          <w:rFonts w:hint="cs"/>
          <w:rtl/>
        </w:rPr>
        <w:t>ט</w:t>
      </w:r>
      <w:r w:rsidR="00F01F78">
        <w:rPr>
          <w:rFonts w:hint="cs"/>
          <w:rtl/>
        </w:rPr>
        <w:t xml:space="preserve"> וא' ע</w:t>
      </w:r>
      <w:r w:rsidR="00F055C8">
        <w:rPr>
          <w:rtl/>
        </w:rPr>
        <w:t>"</w:t>
      </w:r>
      <w:r w:rsidR="00F01F78">
        <w:rPr>
          <w:rFonts w:hint="cs"/>
          <w:rtl/>
        </w:rPr>
        <w:t>ב. למשל אדם יכול להיות למשל מגובה 20 ס</w:t>
      </w:r>
      <w:r w:rsidR="00F055C8">
        <w:rPr>
          <w:rtl/>
        </w:rPr>
        <w:t>"</w:t>
      </w:r>
      <w:r w:rsidR="00F01F78">
        <w:rPr>
          <w:rFonts w:hint="cs"/>
          <w:rtl/>
        </w:rPr>
        <w:t>מ עד גובה 10 מטרים, אבל באופן עצמי, מהותי, אינו יכול להיות בגובה מילימטר או קילומטר. לכן ידוע בוודאות מראש שלא יהיה לעולם אדם בגבהים כאלה, כי אע</w:t>
      </w:r>
      <w:r w:rsidR="00F055C8">
        <w:rPr>
          <w:rtl/>
        </w:rPr>
        <w:t>"</w:t>
      </w:r>
      <w:r w:rsidR="00F01F78">
        <w:rPr>
          <w:rFonts w:hint="cs"/>
          <w:rtl/>
        </w:rPr>
        <w:t xml:space="preserve">פ שהגובה הוא מקרה, זה רק בתוך הרוחב, אבל גבולות הרוחב עצמם נקבעים מכח הצורה של 'חי מדבר'. כך גם אדם יכול להיות בתוך רוחב של צבעי שיער, אבל לא בצבע שיער ירוק כמו דשא. גם זה אינו מקרה, אלא הצורה של חי מדבר מחייבת ששיערו יכול להיות כתום אבל לא יכול להיות ירוק. כי הצורה המהותית צריכה תואר </w:t>
      </w:r>
      <w:r w:rsidR="009C463A">
        <w:rPr>
          <w:rFonts w:hint="cs"/>
          <w:rtl/>
        </w:rPr>
        <w:t>מסוים</w:t>
      </w:r>
      <w:r w:rsidR="00F01F78">
        <w:rPr>
          <w:rFonts w:hint="cs"/>
          <w:rtl/>
        </w:rPr>
        <w:t xml:space="preserve"> שיהיה לה מקום. השאלה למה הצורה המהותית מחייבת דווקא תואר כזה ולא אחר, איזו שייכות יש למה שאדם הוא 'חי מדבר' לכך שצבע שערו יכול להיות כתום </w:t>
      </w:r>
      <w:r w:rsidR="00BD3A6A">
        <w:rPr>
          <w:rFonts w:hint="cs"/>
          <w:rtl/>
        </w:rPr>
        <w:t xml:space="preserve">אבל </w:t>
      </w:r>
      <w:r w:rsidR="00F01F78">
        <w:rPr>
          <w:rFonts w:hint="cs"/>
          <w:rtl/>
        </w:rPr>
        <w:t xml:space="preserve">לא ירוק, זה סוד גדול, ומדובר בו בחכמת הקבלה. </w:t>
      </w:r>
    </w:p>
    <w:p w14:paraId="2095C7EB" w14:textId="77777777" w:rsidR="00134E1B" w:rsidRDefault="00134E1B">
      <w:pPr>
        <w:pStyle w:val="FootnoteText"/>
        <w:rPr>
          <w:rtl/>
        </w:rPr>
      </w:pPr>
    </w:p>
    <w:p w14:paraId="2D5E9F36" w14:textId="639BEFAF" w:rsidR="00FA671F" w:rsidRDefault="00F01F78">
      <w:pPr>
        <w:pStyle w:val="FootnoteText"/>
        <w:rPr>
          <w:rtl/>
        </w:rPr>
      </w:pPr>
      <w:r>
        <w:rPr>
          <w:rFonts w:hint="cs"/>
          <w:rtl/>
        </w:rPr>
        <w:t>ברש</w:t>
      </w:r>
      <w:r w:rsidR="00F055C8">
        <w:rPr>
          <w:rtl/>
        </w:rPr>
        <w:t>"</w:t>
      </w:r>
      <w:r>
        <w:rPr>
          <w:rFonts w:hint="cs"/>
          <w:rtl/>
        </w:rPr>
        <w:t>י על בראשית א' כ</w:t>
      </w:r>
      <w:r w:rsidR="00F055C8">
        <w:rPr>
          <w:rtl/>
        </w:rPr>
        <w:t>"</w:t>
      </w:r>
      <w:r>
        <w:rPr>
          <w:rFonts w:hint="cs"/>
          <w:rtl/>
        </w:rPr>
        <w:t>ו</w:t>
      </w:r>
      <w:r w:rsidR="00134E1B">
        <w:rPr>
          <w:rFonts w:hint="cs"/>
          <w:rtl/>
        </w:rPr>
        <w:t xml:space="preserve"> </w:t>
      </w:r>
      <w:r>
        <w:rPr>
          <w:rFonts w:hint="cs"/>
          <w:rtl/>
        </w:rPr>
        <w:t>כתב</w:t>
      </w:r>
      <w:r w:rsidR="00FA671F">
        <w:rPr>
          <w:rFonts w:hint="cs"/>
          <w:rtl/>
        </w:rPr>
        <w:t>:</w:t>
      </w:r>
    </w:p>
    <w:p w14:paraId="6BC822EC" w14:textId="6CA88FD4" w:rsidR="00134E1B" w:rsidRDefault="00F055C8" w:rsidP="00134E1B">
      <w:pPr>
        <w:pStyle w:val="FootnoteText"/>
        <w:rPr>
          <w:rtl/>
        </w:rPr>
      </w:pPr>
      <w:r>
        <w:rPr>
          <w:rtl/>
        </w:rPr>
        <w:t>""</w:t>
      </w:r>
      <w:r w:rsidR="00134E1B">
        <w:rPr>
          <w:rtl/>
        </w:rPr>
        <w:t>בְּצַלְמֵנוּ</w:t>
      </w:r>
      <w:r>
        <w:rPr>
          <w:rtl/>
        </w:rPr>
        <w:t>"</w:t>
      </w:r>
      <w:r w:rsidR="00134E1B">
        <w:rPr>
          <w:rtl/>
        </w:rPr>
        <w:t xml:space="preserve"> </w:t>
      </w:r>
      <w:r w:rsidR="00134E1B">
        <w:rPr>
          <w:rFonts w:hint="cs"/>
          <w:rtl/>
        </w:rPr>
        <w:t>-</w:t>
      </w:r>
      <w:r w:rsidR="00134E1B">
        <w:rPr>
          <w:rtl/>
        </w:rPr>
        <w:t xml:space="preserve"> בִּדְפוּס שֶׁלָּנוּ.</w:t>
      </w:r>
    </w:p>
    <w:p w14:paraId="47994DB2" w14:textId="5B8840C2" w:rsidR="00134E1B" w:rsidRDefault="00F055C8" w:rsidP="00134E1B">
      <w:pPr>
        <w:pStyle w:val="FootnoteText"/>
        <w:rPr>
          <w:rtl/>
        </w:rPr>
      </w:pPr>
      <w:r>
        <w:rPr>
          <w:rtl/>
        </w:rPr>
        <w:t>"</w:t>
      </w:r>
      <w:r w:rsidR="00134E1B">
        <w:rPr>
          <w:rtl/>
        </w:rPr>
        <w:t>כִּדְמוּתֵנוּ</w:t>
      </w:r>
      <w:r>
        <w:rPr>
          <w:rtl/>
        </w:rPr>
        <w:t>"</w:t>
      </w:r>
      <w:r w:rsidR="00134E1B">
        <w:rPr>
          <w:rtl/>
        </w:rPr>
        <w:t xml:space="preserve"> </w:t>
      </w:r>
      <w:r w:rsidR="00134E1B">
        <w:rPr>
          <w:rFonts w:hint="cs"/>
          <w:rtl/>
        </w:rPr>
        <w:t>-</w:t>
      </w:r>
      <w:r w:rsidR="00134E1B">
        <w:rPr>
          <w:rtl/>
        </w:rPr>
        <w:t xml:space="preserve"> לְהָבִין וּלְהַשְׂכִּיל.</w:t>
      </w:r>
      <w:r>
        <w:rPr>
          <w:rtl/>
        </w:rPr>
        <w:t>"</w:t>
      </w:r>
    </w:p>
    <w:p w14:paraId="30E0AF27" w14:textId="6C27DC76" w:rsidR="00134E1B" w:rsidRDefault="00134E1B" w:rsidP="00134E1B">
      <w:pPr>
        <w:pStyle w:val="FootnoteText"/>
        <w:rPr>
          <w:rtl/>
        </w:rPr>
      </w:pPr>
      <w:r>
        <w:rPr>
          <w:rFonts w:hint="cs"/>
          <w:rtl/>
        </w:rPr>
        <w:t>ושם על פסוק כ</w:t>
      </w:r>
      <w:r w:rsidR="00F055C8">
        <w:rPr>
          <w:rtl/>
        </w:rPr>
        <w:t>"</w:t>
      </w:r>
      <w:r>
        <w:rPr>
          <w:rFonts w:hint="cs"/>
          <w:rtl/>
        </w:rPr>
        <w:t>ז כתב:</w:t>
      </w:r>
    </w:p>
    <w:p w14:paraId="18B38E7B" w14:textId="4226C61C" w:rsidR="00134E1B" w:rsidRDefault="00F055C8" w:rsidP="00134E1B">
      <w:pPr>
        <w:pStyle w:val="FootnoteText"/>
        <w:rPr>
          <w:rtl/>
        </w:rPr>
      </w:pPr>
      <w:r>
        <w:rPr>
          <w:rtl/>
        </w:rPr>
        <w:t>"</w:t>
      </w:r>
      <w:r w:rsidR="00134E1B">
        <w:rPr>
          <w:rtl/>
        </w:rPr>
        <w:t>וַיִּבְרָא אֱלֹהִים אֶת הָאָדָם בְּצַלְמוֹ</w:t>
      </w:r>
      <w:r>
        <w:rPr>
          <w:rtl/>
        </w:rPr>
        <w:t>"</w:t>
      </w:r>
      <w:r w:rsidR="00134E1B">
        <w:rPr>
          <w:rtl/>
        </w:rPr>
        <w:t xml:space="preserve"> </w:t>
      </w:r>
      <w:r w:rsidR="00134E1B">
        <w:rPr>
          <w:rFonts w:hint="cs"/>
          <w:rtl/>
        </w:rPr>
        <w:t>-</w:t>
      </w:r>
      <w:r w:rsidR="00134E1B">
        <w:rPr>
          <w:rtl/>
        </w:rPr>
        <w:t xml:space="preserve"> בִּדְפוּס הֶעָשׂוּי לוֹ, שֶׁהַכֹּל נִבְרָא בְמַאֲמָר וְהוּא נִבְרָא בְיָדַיִם, שֶׁנֶּאֱמַר (תהלים קלט,ה): </w:t>
      </w:r>
      <w:r>
        <w:rPr>
          <w:rtl/>
        </w:rPr>
        <w:t>"</w:t>
      </w:r>
      <w:r w:rsidR="00134E1B">
        <w:rPr>
          <w:rtl/>
        </w:rPr>
        <w:t>וַתָּשֶׁת עָלַי כַּפֶּכָה</w:t>
      </w:r>
      <w:r>
        <w:rPr>
          <w:rtl/>
        </w:rPr>
        <w:t>"</w:t>
      </w:r>
      <w:r w:rsidR="00134E1B">
        <w:rPr>
          <w:rtl/>
        </w:rPr>
        <w:t>. נַעֲשֶׂה בְּחוֹתָם כְּמַטְבֵּעַ הָעֲשׂוּיָה עַל יְדֵי רוֹשֶׁם, שֶׁקּוֹרִין קוי</w:t>
      </w:r>
      <w:r>
        <w:rPr>
          <w:rtl/>
        </w:rPr>
        <w:t>"</w:t>
      </w:r>
      <w:r w:rsidR="00134E1B">
        <w:rPr>
          <w:rtl/>
        </w:rPr>
        <w:t>ן [</w:t>
      </w:r>
      <w:r w:rsidR="00134E1B">
        <w:t>coin</w:t>
      </w:r>
      <w:r w:rsidR="00134E1B">
        <w:rPr>
          <w:rtl/>
        </w:rPr>
        <w:t xml:space="preserve"> = מטבע (הצורה הטבועה באסימון)] בְּלַעַ</w:t>
      </w:r>
      <w:r>
        <w:rPr>
          <w:rtl/>
        </w:rPr>
        <w:t>"</w:t>
      </w:r>
      <w:r w:rsidR="00134E1B">
        <w:rPr>
          <w:rtl/>
        </w:rPr>
        <w:t xml:space="preserve">ז, וְכֵן הוּא אוֹמֵר (איוב לח,יד): </w:t>
      </w:r>
      <w:r>
        <w:rPr>
          <w:rtl/>
        </w:rPr>
        <w:t>"</w:t>
      </w:r>
      <w:r w:rsidR="00134E1B">
        <w:rPr>
          <w:rtl/>
        </w:rPr>
        <w:t>תִּתְהַפֵּךְ כְּחוֹמֶר חוֹתָם</w:t>
      </w:r>
      <w:r>
        <w:rPr>
          <w:rtl/>
        </w:rPr>
        <w:t>"</w:t>
      </w:r>
      <w:r w:rsidR="00134E1B">
        <w:rPr>
          <w:rtl/>
        </w:rPr>
        <w:t>.</w:t>
      </w:r>
    </w:p>
    <w:p w14:paraId="5C4A94B4" w14:textId="0318324E" w:rsidR="00134E1B" w:rsidRDefault="00F055C8" w:rsidP="00134E1B">
      <w:pPr>
        <w:pStyle w:val="FootnoteText"/>
        <w:rPr>
          <w:rtl/>
        </w:rPr>
      </w:pPr>
      <w:r>
        <w:rPr>
          <w:rtl/>
        </w:rPr>
        <w:t>"</w:t>
      </w:r>
      <w:r w:rsidR="00134E1B">
        <w:rPr>
          <w:rtl/>
        </w:rPr>
        <w:t>בְּצֶלֶם אֱלֹהִים בָּרָא אוֹתוֹ</w:t>
      </w:r>
      <w:r>
        <w:rPr>
          <w:rtl/>
        </w:rPr>
        <w:t>"</w:t>
      </w:r>
      <w:r w:rsidR="00134E1B">
        <w:rPr>
          <w:rtl/>
        </w:rPr>
        <w:t xml:space="preserve"> </w:t>
      </w:r>
      <w:r w:rsidR="00134E1B">
        <w:rPr>
          <w:rFonts w:hint="cs"/>
          <w:rtl/>
        </w:rPr>
        <w:t>-</w:t>
      </w:r>
      <w:r w:rsidR="00134E1B">
        <w:rPr>
          <w:rtl/>
        </w:rPr>
        <w:t xml:space="preserve"> פֵּרַשׁ לְךָ שֶׁאוֹתוֹ צֶלֶם הַמְּתֻקָּן לוֹ, צֶלֶם דְּיוּקָן יוֹצְרוֹ הוּא.</w:t>
      </w:r>
      <w:r>
        <w:rPr>
          <w:rtl/>
        </w:rPr>
        <w:t>"</w:t>
      </w:r>
    </w:p>
    <w:p w14:paraId="33D8375B" w14:textId="72588CBF" w:rsidR="00EF48E9" w:rsidRDefault="00134E1B" w:rsidP="00134E1B">
      <w:pPr>
        <w:pStyle w:val="FootnoteText"/>
        <w:rPr>
          <w:rtl/>
        </w:rPr>
      </w:pPr>
      <w:r>
        <w:rPr>
          <w:rFonts w:hint="cs"/>
          <w:rtl/>
        </w:rPr>
        <w:t xml:space="preserve">מבואר כאן שצלם פירושו תואר, </w:t>
      </w:r>
      <w:r w:rsidR="00EF48E9">
        <w:rPr>
          <w:rFonts w:hint="cs"/>
          <w:rtl/>
        </w:rPr>
        <w:t xml:space="preserve">כלומר </w:t>
      </w:r>
      <w:r>
        <w:rPr>
          <w:rFonts w:hint="cs"/>
          <w:rtl/>
        </w:rPr>
        <w:t>תוים חיצוניים של הגוף, שזה עניין דפוס. ועולה מזה שלבורא יש תואר, ותואר יש רק לגוף. עיין במורה נבוכים א' א'</w:t>
      </w:r>
      <w:r w:rsidR="0098775D">
        <w:rPr>
          <w:rtl/>
        </w:rPr>
        <w:fldChar w:fldCharType="begin"/>
      </w:r>
      <w:r w:rsidR="0098775D">
        <w:instrText xml:space="preserve"> XE "</w:instrText>
      </w:r>
      <w:r w:rsidR="0098775D" w:rsidRPr="004505BB">
        <w:rPr>
          <w:rFonts w:hint="cs"/>
          <w:rtl/>
        </w:rPr>
        <w:instrText>מורה נבוכים א' א'</w:instrText>
      </w:r>
      <w:r w:rsidR="0098775D">
        <w:instrText xml:space="preserve">" </w:instrText>
      </w:r>
      <w:r w:rsidR="0098775D">
        <w:rPr>
          <w:rtl/>
        </w:rPr>
        <w:fldChar w:fldCharType="end"/>
      </w:r>
      <w:r>
        <w:rPr>
          <w:rFonts w:hint="cs"/>
          <w:rtl/>
        </w:rPr>
        <w:t xml:space="preserve"> שהדגיש</w:t>
      </w:r>
      <w:r w:rsidR="00EF48E9">
        <w:rPr>
          <w:rFonts w:hint="cs"/>
          <w:rtl/>
        </w:rPr>
        <w:t xml:space="preserve"> ש</w:t>
      </w:r>
      <w:r>
        <w:rPr>
          <w:rFonts w:hint="cs"/>
          <w:rtl/>
        </w:rPr>
        <w:t xml:space="preserve">צלם אינו </w:t>
      </w:r>
      <w:r w:rsidR="00EF48E9">
        <w:rPr>
          <w:rFonts w:hint="cs"/>
          <w:rtl/>
        </w:rPr>
        <w:t>ת</w:t>
      </w:r>
      <w:r>
        <w:rPr>
          <w:rFonts w:hint="cs"/>
          <w:rtl/>
        </w:rPr>
        <w:t>ואר, כי אם הוא תואר יהיה נובע מזה שהב</w:t>
      </w:r>
      <w:r w:rsidR="00EF48E9">
        <w:rPr>
          <w:rFonts w:hint="cs"/>
          <w:rtl/>
        </w:rPr>
        <w:t>ו</w:t>
      </w:r>
      <w:r>
        <w:rPr>
          <w:rFonts w:hint="cs"/>
          <w:rtl/>
        </w:rPr>
        <w:t>רא הוא גוף.</w:t>
      </w:r>
    </w:p>
    <w:p w14:paraId="5108D8EF" w14:textId="77777777" w:rsidR="00EF48E9" w:rsidRDefault="00EF48E9" w:rsidP="00134E1B">
      <w:pPr>
        <w:pStyle w:val="FootnoteText"/>
        <w:rPr>
          <w:rtl/>
        </w:rPr>
      </w:pPr>
    </w:p>
    <w:p w14:paraId="6DB8EC6F" w14:textId="3E08AF64" w:rsidR="00EF48E9" w:rsidRDefault="00EF48E9" w:rsidP="00134E1B">
      <w:pPr>
        <w:pStyle w:val="FootnoteText"/>
        <w:rPr>
          <w:rtl/>
        </w:rPr>
      </w:pPr>
      <w:r>
        <w:rPr>
          <w:rFonts w:hint="cs"/>
          <w:rtl/>
        </w:rPr>
        <w:t>וברש</w:t>
      </w:r>
      <w:r w:rsidR="00F055C8">
        <w:rPr>
          <w:rtl/>
        </w:rPr>
        <w:t>"</w:t>
      </w:r>
      <w:r>
        <w:rPr>
          <w:rFonts w:hint="cs"/>
          <w:rtl/>
        </w:rPr>
        <w:t>י על דברים כ</w:t>
      </w:r>
      <w:r w:rsidR="00F055C8">
        <w:rPr>
          <w:rtl/>
        </w:rPr>
        <w:t>"</w:t>
      </w:r>
      <w:r>
        <w:rPr>
          <w:rFonts w:hint="cs"/>
          <w:rtl/>
        </w:rPr>
        <w:t>א כ</w:t>
      </w:r>
      <w:r w:rsidR="00F055C8">
        <w:rPr>
          <w:rtl/>
        </w:rPr>
        <w:t>"</w:t>
      </w:r>
      <w:r>
        <w:rPr>
          <w:rFonts w:hint="cs"/>
          <w:rtl/>
        </w:rPr>
        <w:t>ג כתב:</w:t>
      </w:r>
    </w:p>
    <w:p w14:paraId="743D1138" w14:textId="7A6D3CD2" w:rsidR="00EF48E9" w:rsidRDefault="00F055C8" w:rsidP="00134E1B">
      <w:pPr>
        <w:pStyle w:val="FootnoteText"/>
        <w:rPr>
          <w:rtl/>
        </w:rPr>
      </w:pPr>
      <w:r>
        <w:rPr>
          <w:rtl/>
        </w:rPr>
        <w:t>""</w:t>
      </w:r>
      <w:r w:rsidR="00EF48E9" w:rsidRPr="00EF48E9">
        <w:rPr>
          <w:rtl/>
        </w:rPr>
        <w:t>כִּי קִלְלַת אֱלֹהִים תָּלוּי</w:t>
      </w:r>
      <w:r>
        <w:rPr>
          <w:rtl/>
        </w:rPr>
        <w:t>"</w:t>
      </w:r>
      <w:r w:rsidR="00EF48E9" w:rsidRPr="00EF48E9">
        <w:rPr>
          <w:rtl/>
        </w:rPr>
        <w:t xml:space="preserve"> </w:t>
      </w:r>
      <w:r w:rsidR="00EF48E9">
        <w:rPr>
          <w:rFonts w:hint="cs"/>
          <w:rtl/>
        </w:rPr>
        <w:t>-</w:t>
      </w:r>
      <w:r w:rsidR="00EF48E9" w:rsidRPr="00EF48E9">
        <w:rPr>
          <w:rtl/>
        </w:rPr>
        <w:t xml:space="preserve"> זִלְזוּלוֹ שֶׁל מֶלֶךְ הוּא, שֶׁאָדָם עָשׂוּי בִּדְמוּת דְּיוֹקָנוֹ, וְיִשְׂרָאֵל הֵם בָּנָיו. מָשָׁל לִשְׁנֵי אַחִים תְּאוֹמִים, שֶׁהָיוּ דּוֹמִים זֶה לָזֶה: אֶחָד נַעֲשָׂה מֶלֶךְ, וְאֶחָד נִתְפַּס לְלִסְטִיּוּת וְנִתְלָה. כָּל הָרוֹאֶה אוֹתוֹ אוֹמֵר: הַמֶּלֶךְ תָּלוּי (סנהדרין מ</w:t>
      </w:r>
      <w:r>
        <w:rPr>
          <w:rtl/>
        </w:rPr>
        <w:t>"</w:t>
      </w:r>
      <w:r w:rsidR="00EF48E9" w:rsidRPr="00EF48E9">
        <w:rPr>
          <w:rtl/>
        </w:rPr>
        <w:t>ו ע</w:t>
      </w:r>
      <w:r>
        <w:rPr>
          <w:rtl/>
        </w:rPr>
        <w:t>"</w:t>
      </w:r>
      <w:r w:rsidR="00EF48E9" w:rsidRPr="00EF48E9">
        <w:rPr>
          <w:rtl/>
        </w:rPr>
        <w:t>ב).</w:t>
      </w:r>
      <w:r>
        <w:rPr>
          <w:rtl/>
        </w:rPr>
        <w:t>"</w:t>
      </w:r>
    </w:p>
    <w:p w14:paraId="25C5EA7A" w14:textId="77777777" w:rsidR="00EF48E9" w:rsidRDefault="00EF48E9" w:rsidP="00134E1B">
      <w:pPr>
        <w:pStyle w:val="FootnoteText"/>
        <w:rPr>
          <w:rtl/>
        </w:rPr>
      </w:pPr>
    </w:p>
    <w:p w14:paraId="378AB8EA" w14:textId="278F9F85" w:rsidR="006E0B25" w:rsidRDefault="00EF48E9" w:rsidP="00134E1B">
      <w:pPr>
        <w:pStyle w:val="FootnoteText"/>
        <w:rPr>
          <w:rtl/>
        </w:rPr>
      </w:pPr>
      <w:r>
        <w:rPr>
          <w:rFonts w:hint="cs"/>
          <w:rtl/>
        </w:rPr>
        <w:t>אלא זהו עניין שיעור קומ</w:t>
      </w:r>
      <w:r w:rsidR="00F877BC">
        <w:rPr>
          <w:rtl/>
        </w:rPr>
        <w:fldChar w:fldCharType="begin"/>
      </w:r>
      <w:r w:rsidR="00F877BC">
        <w:instrText xml:space="preserve"> XE "</w:instrText>
      </w:r>
      <w:r w:rsidR="00F877BC" w:rsidRPr="003C1176">
        <w:rPr>
          <w:rFonts w:hint="cs"/>
          <w:rtl/>
        </w:rPr>
        <w:instrText>מאמר</w:instrText>
      </w:r>
      <w:r w:rsidR="00F877BC" w:rsidRPr="003C1176">
        <w:rPr>
          <w:rtl/>
        </w:rPr>
        <w:instrText>:</w:instrText>
      </w:r>
      <w:r w:rsidR="00F877BC" w:rsidRPr="003C1176">
        <w:rPr>
          <w:rFonts w:hint="cs"/>
          <w:rtl/>
        </w:rPr>
        <w:instrText>שיעור קומה, הקשר בין תואר הגוף לצורה</w:instrText>
      </w:r>
      <w:r w:rsidR="00F877BC">
        <w:instrText xml:space="preserve">" </w:instrText>
      </w:r>
      <w:r w:rsidR="00F877BC">
        <w:rPr>
          <w:rtl/>
        </w:rPr>
        <w:fldChar w:fldCharType="end"/>
      </w:r>
      <w:r>
        <w:rPr>
          <w:rFonts w:hint="cs"/>
          <w:rtl/>
        </w:rPr>
        <w:t>ה</w:t>
      </w:r>
      <w:r w:rsidR="00F877BC">
        <w:rPr>
          <w:rtl/>
        </w:rPr>
        <w:fldChar w:fldCharType="begin"/>
      </w:r>
      <w:r w:rsidR="00F877BC">
        <w:instrText xml:space="preserve"> XE "</w:instrText>
      </w:r>
      <w:r w:rsidR="00F877BC" w:rsidRPr="00450495">
        <w:rPr>
          <w:rFonts w:hint="cs"/>
          <w:rtl/>
        </w:rPr>
        <w:instrText>שיעור קומה</w:instrText>
      </w:r>
      <w:r w:rsidR="00F877BC">
        <w:instrText xml:space="preserve">" </w:instrText>
      </w:r>
      <w:r w:rsidR="00F877BC">
        <w:rPr>
          <w:rtl/>
        </w:rPr>
        <w:fldChar w:fldCharType="end"/>
      </w:r>
      <w:r>
        <w:rPr>
          <w:rFonts w:hint="cs"/>
          <w:rtl/>
        </w:rPr>
        <w:t xml:space="preserve"> שהוא סוד גדול, עיין בשם טוב על המורה נבוכים א' ע</w:t>
      </w:r>
      <w:r w:rsidR="00F055C8">
        <w:rPr>
          <w:rtl/>
        </w:rPr>
        <w:t>"</w:t>
      </w:r>
      <w:r>
        <w:rPr>
          <w:rFonts w:hint="cs"/>
          <w:rtl/>
        </w:rPr>
        <w:t>ב שהוא</w:t>
      </w:r>
      <w:r w:rsidR="00BD3A6A">
        <w:rPr>
          <w:rFonts w:hint="cs"/>
          <w:rtl/>
        </w:rPr>
        <w:t xml:space="preserve"> פרק</w:t>
      </w:r>
      <w:r>
        <w:rPr>
          <w:rFonts w:hint="cs"/>
          <w:rtl/>
        </w:rPr>
        <w:t xml:space="preserve"> שיעור קומה</w:t>
      </w:r>
      <w:r w:rsidR="00BD3A6A">
        <w:rPr>
          <w:rFonts w:hint="cs"/>
          <w:rtl/>
        </w:rPr>
        <w:t xml:space="preserve"> (הכוונה למה שכתב המורה נבוכים שם שהאדם הוא עולם קטן)</w:t>
      </w:r>
      <w:r>
        <w:rPr>
          <w:rFonts w:hint="cs"/>
          <w:rtl/>
        </w:rPr>
        <w:t>, וכן בהקדמת הרמב</w:t>
      </w:r>
      <w:r w:rsidR="00F055C8">
        <w:rPr>
          <w:rtl/>
        </w:rPr>
        <w:t>"</w:t>
      </w:r>
      <w:r>
        <w:rPr>
          <w:rFonts w:hint="cs"/>
          <w:rtl/>
        </w:rPr>
        <w:t>ם לפרק חלק כתב</w:t>
      </w:r>
      <w:r w:rsidR="006E0B25">
        <w:rPr>
          <w:rFonts w:hint="cs"/>
          <w:rtl/>
        </w:rPr>
        <w:t>:</w:t>
      </w:r>
    </w:p>
    <w:p w14:paraId="174AD70C" w14:textId="785844B0" w:rsidR="006E0B25" w:rsidRDefault="00F055C8" w:rsidP="00134E1B">
      <w:pPr>
        <w:pStyle w:val="FootnoteText"/>
        <w:rPr>
          <w:rtl/>
        </w:rPr>
      </w:pPr>
      <w:r>
        <w:rPr>
          <w:rtl/>
        </w:rPr>
        <w:t>"</w:t>
      </w:r>
      <w:r w:rsidR="006E0B25" w:rsidRPr="006E0B25">
        <w:rPr>
          <w:rtl/>
        </w:rPr>
        <w:t xml:space="preserve">רצוני היה לבאר כאן זה העניָן הנפלא, ולפתוח הנעול במקראות התורה, ולפרש טעם </w:t>
      </w:r>
      <w:r>
        <w:rPr>
          <w:rtl/>
        </w:rPr>
        <w:t>"</w:t>
      </w:r>
      <w:r w:rsidR="006E0B25" w:rsidRPr="006E0B25">
        <w:rPr>
          <w:rtl/>
        </w:rPr>
        <w:t>פה אל פה</w:t>
      </w:r>
      <w:r>
        <w:rPr>
          <w:rtl/>
        </w:rPr>
        <w:t>"</w:t>
      </w:r>
      <w:r w:rsidR="006E0B25" w:rsidRPr="006E0B25">
        <w:rPr>
          <w:rtl/>
        </w:rPr>
        <w:t xml:space="preserve"> וכל הפסוק וזולתו מעניָנו </w:t>
      </w:r>
      <w:r w:rsidR="00001963">
        <w:rPr>
          <w:rtl/>
        </w:rPr>
        <w:t>-</w:t>
      </w:r>
      <w:r w:rsidR="006E0B25" w:rsidRPr="006E0B25">
        <w:rPr>
          <w:rtl/>
        </w:rPr>
        <w:t xml:space="preserve"> לולא שראיתי שאלה העניָנים דקים עד מאוד, ויצטרכו לִרְאָיוֹת רבות מאוד, להצעות רבות והקדמות ומשלים, ושנבאר בתחילה מציאות המלאכים, וְשִׁנּוּי מעלותיהם מן הבורא יתעלה, ושנבאר הנפש וכל כוחותיה. ויתרחב העיגול עד שנדבר בצורות שזכרו הנביאים שראוי לבורא ולמלאכים, ויכנס בזה </w:t>
      </w:r>
      <w:r>
        <w:rPr>
          <w:b/>
          <w:bCs/>
          <w:rtl/>
        </w:rPr>
        <w:t>"</w:t>
      </w:r>
      <w:r w:rsidR="006E0B25" w:rsidRPr="006E0B25">
        <w:rPr>
          <w:b/>
          <w:bCs/>
          <w:rtl/>
        </w:rPr>
        <w:t>שיעור קומה</w:t>
      </w:r>
      <w:r w:rsidR="00942F23">
        <w:rPr>
          <w:b/>
          <w:bCs/>
          <w:rtl/>
        </w:rPr>
        <w:fldChar w:fldCharType="begin"/>
      </w:r>
      <w:r w:rsidR="00942F23">
        <w:instrText xml:space="preserve"> XE "</w:instrText>
      </w:r>
      <w:r w:rsidR="00942F23" w:rsidRPr="009540BA">
        <w:rPr>
          <w:b/>
          <w:bCs/>
          <w:rtl/>
        </w:rPr>
        <w:instrText>שיעור קומה</w:instrText>
      </w:r>
      <w:r w:rsidR="00942F23">
        <w:instrText xml:space="preserve">" </w:instrText>
      </w:r>
      <w:r w:rsidR="00942F23">
        <w:rPr>
          <w:b/>
          <w:bCs/>
          <w:rtl/>
        </w:rPr>
        <w:fldChar w:fldCharType="end"/>
      </w:r>
      <w:r>
        <w:rPr>
          <w:b/>
          <w:bCs/>
          <w:rtl/>
        </w:rPr>
        <w:t>"</w:t>
      </w:r>
      <w:r w:rsidR="006E0B25" w:rsidRPr="006E0B25">
        <w:rPr>
          <w:rtl/>
        </w:rPr>
        <w:t xml:space="preserve"> ועניָנו. ולא יספיק בעניָן זה לבדו, ואפילו יהיה מקֻצר בתכלית הקיצור </w:t>
      </w:r>
      <w:r w:rsidR="00001963">
        <w:rPr>
          <w:rtl/>
        </w:rPr>
        <w:t>-</w:t>
      </w:r>
      <w:r w:rsidR="006E0B25" w:rsidRPr="006E0B25">
        <w:rPr>
          <w:rtl/>
        </w:rPr>
        <w:t xml:space="preserve"> מאה דפים.</w:t>
      </w:r>
      <w:r>
        <w:rPr>
          <w:rtl/>
        </w:rPr>
        <w:t>"</w:t>
      </w:r>
    </w:p>
    <w:p w14:paraId="0B4CE3F5" w14:textId="77777777" w:rsidR="006E0B25" w:rsidRDefault="006E0B25" w:rsidP="00134E1B">
      <w:pPr>
        <w:pStyle w:val="FootnoteText"/>
        <w:rPr>
          <w:rtl/>
        </w:rPr>
      </w:pPr>
    </w:p>
    <w:p w14:paraId="787152E1" w14:textId="34245A9F" w:rsidR="006E0B25" w:rsidRDefault="006E0B25" w:rsidP="00134E1B">
      <w:pPr>
        <w:pStyle w:val="FootnoteText"/>
        <w:rPr>
          <w:rtl/>
        </w:rPr>
      </w:pPr>
      <w:r>
        <w:rPr>
          <w:rFonts w:hint="cs"/>
          <w:rtl/>
        </w:rPr>
        <w:t>במורה נבוכים א' מ</w:t>
      </w:r>
      <w:r w:rsidR="00F055C8">
        <w:rPr>
          <w:rtl/>
        </w:rPr>
        <w:t>"</w:t>
      </w:r>
      <w:r>
        <w:rPr>
          <w:rFonts w:hint="cs"/>
          <w:rtl/>
        </w:rPr>
        <w:t>ו</w:t>
      </w:r>
      <w:r w:rsidR="00F80312">
        <w:rPr>
          <w:rtl/>
        </w:rPr>
        <w:fldChar w:fldCharType="begin"/>
      </w:r>
      <w:r w:rsidR="00F80312">
        <w:instrText xml:space="preserve"> XE "</w:instrText>
      </w:r>
      <w:r w:rsidR="00F80312" w:rsidRPr="000F1FAA">
        <w:rPr>
          <w:rFonts w:hint="cs"/>
          <w:rtl/>
        </w:rPr>
        <w:instrText>מורה נבוכים א' מ</w:instrText>
      </w:r>
      <w:r w:rsidR="00F80312">
        <w:rPr>
          <w:b/>
          <w:bCs/>
          <w:sz w:val="20"/>
          <w:szCs w:val="20"/>
        </w:rPr>
        <w:instrText>\</w:instrText>
      </w:r>
      <w:r w:rsidR="00F80312" w:rsidRPr="000F1FAA">
        <w:rPr>
          <w:rFonts w:hint="cs"/>
          <w:rtl/>
        </w:rPr>
        <w:instrText>"ו</w:instrText>
      </w:r>
      <w:r w:rsidR="00F80312">
        <w:instrText xml:space="preserve">" </w:instrText>
      </w:r>
      <w:r w:rsidR="00F80312">
        <w:rPr>
          <w:rtl/>
        </w:rPr>
        <w:fldChar w:fldCharType="end"/>
      </w:r>
      <w:r>
        <w:rPr>
          <w:rFonts w:hint="cs"/>
          <w:rtl/>
        </w:rPr>
        <w:t xml:space="preserve"> כתב:</w:t>
      </w:r>
    </w:p>
    <w:p w14:paraId="22DFE4F1" w14:textId="509A6616" w:rsidR="006E0B25" w:rsidRDefault="00F055C8" w:rsidP="00134E1B">
      <w:pPr>
        <w:pStyle w:val="FootnoteText"/>
        <w:rPr>
          <w:rtl/>
        </w:rPr>
      </w:pPr>
      <w:r>
        <w:rPr>
          <w:rtl/>
        </w:rPr>
        <w:t>"</w:t>
      </w:r>
      <w:r w:rsidR="006E0B25" w:rsidRPr="006E0B25">
        <w:rPr>
          <w:rtl/>
        </w:rPr>
        <w:t xml:space="preserve">והמאמר ההוא הכולל אשר רמזנו אליו הוא אמרם בבראשית רבה: </w:t>
      </w:r>
      <w:r>
        <w:rPr>
          <w:rtl/>
        </w:rPr>
        <w:t>"</w:t>
      </w:r>
      <w:r w:rsidR="006E0B25" w:rsidRPr="006E0B25">
        <w:rPr>
          <w:rtl/>
        </w:rPr>
        <w:t>גדול כוחן של נביאים, שהם מדמין את הצורה ליוצרה, שנאמר: 'ועל דמות הכסא דמות כמראה אדם'</w:t>
      </w:r>
      <w:r>
        <w:rPr>
          <w:rtl/>
        </w:rPr>
        <w:t>"</w:t>
      </w:r>
      <w:r w:rsidR="006E0B25" w:rsidRPr="006E0B25">
        <w:rPr>
          <w:rtl/>
        </w:rPr>
        <w:t xml:space="preserve">. כבר ביארו כי אלו הצורות כולם אשר ישיגום הנביאים כולם במראה הנבואה, הם צורות נבראות, השם יתברך בוראם; והוא האמת, כי כל צורה מדומה היא ברואה. ומה נפלא מאמרם: </w:t>
      </w:r>
      <w:r>
        <w:rPr>
          <w:rtl/>
        </w:rPr>
        <w:t>"</w:t>
      </w:r>
      <w:r w:rsidR="006E0B25" w:rsidRPr="006E0B25">
        <w:rPr>
          <w:rtl/>
        </w:rPr>
        <w:t>גדול כוחם</w:t>
      </w:r>
      <w:r>
        <w:rPr>
          <w:rtl/>
        </w:rPr>
        <w:t>"</w:t>
      </w:r>
      <w:r w:rsidR="006E0B25" w:rsidRPr="006E0B25">
        <w:rPr>
          <w:rtl/>
        </w:rPr>
        <w:t>, כאילו הראו על עצמם עליהם השלום שהעניין ההוא קשה עליהם. כי כן יאמרו לעולם כשיקשה עליהם מאמר שנאמר או פועל שנפעל ויש בנראהו גנות</w:t>
      </w:r>
      <w:r w:rsidR="00BA2199">
        <w:rPr>
          <w:rFonts w:hint="cs"/>
          <w:rtl/>
        </w:rPr>
        <w:t xml:space="preserve"> [...]</w:t>
      </w:r>
      <w:r w:rsidR="006E0B25" w:rsidRPr="006E0B25">
        <w:rPr>
          <w:rtl/>
        </w:rPr>
        <w:t>. וכאילו הם אומרים: מה גדול מה שהוצרכו הנביאים לעשותו, בהיותם מורים על עצמו יתעלה בעניינים הנבראים אשר בראם. והבן זה מאוד.</w:t>
      </w:r>
      <w:r>
        <w:rPr>
          <w:rtl/>
        </w:rPr>
        <w:t>"</w:t>
      </w:r>
    </w:p>
    <w:p w14:paraId="27887E07" w14:textId="2821FB7D" w:rsidR="00AA580B" w:rsidRDefault="006E0B25" w:rsidP="00134E1B">
      <w:pPr>
        <w:pStyle w:val="FootnoteText"/>
        <w:rPr>
          <w:rtl/>
        </w:rPr>
      </w:pPr>
      <w:r>
        <w:rPr>
          <w:rFonts w:hint="cs"/>
          <w:rtl/>
        </w:rPr>
        <w:t>הבורא הוא אין סוף פשוט ומוחלט, בלי שום גבול שיכול לתת בו הגדרה או צורה. לכן אופן קיומו הוא אופן קיום שונה לגמרי מקיום הנבראים שכולו מושתת על היות להם מהות, ומהות היא הגדרה כלשהי. ולא יתכן כלל שיהיה איזשהו דמיון וערך בין הנבראים לבורא. וכמו שביאר במורה נבוכים א' נ</w:t>
      </w:r>
      <w:r w:rsidR="00F055C8">
        <w:rPr>
          <w:rtl/>
        </w:rPr>
        <w:t>"</w:t>
      </w:r>
      <w:r>
        <w:rPr>
          <w:rFonts w:hint="cs"/>
          <w:rtl/>
        </w:rPr>
        <w:t>ב ושם א' נ</w:t>
      </w:r>
      <w:r w:rsidR="00F055C8">
        <w:rPr>
          <w:rtl/>
        </w:rPr>
        <w:t>"</w:t>
      </w:r>
      <w:r>
        <w:rPr>
          <w:rFonts w:hint="cs"/>
          <w:rtl/>
        </w:rPr>
        <w:t xml:space="preserve">ז ועוד. לכן לא ייתכן כלל שידמוהו בשום צורה. אלא יש שני צדדים, האחד הוא מה שנקרא בחכמת הקבלה </w:t>
      </w:r>
      <w:r w:rsidR="00D40049">
        <w:rPr>
          <w:rFonts w:hint="cs"/>
          <w:rtl/>
        </w:rPr>
        <w:t>ספירת כתר</w:t>
      </w:r>
      <w:r w:rsidR="00D40049">
        <w:rPr>
          <w:rtl/>
        </w:rPr>
        <w:fldChar w:fldCharType="begin"/>
      </w:r>
      <w:r w:rsidR="00D40049">
        <w:instrText xml:space="preserve"> XE "</w:instrText>
      </w:r>
      <w:r w:rsidR="00D40049" w:rsidRPr="00BA32D7">
        <w:rPr>
          <w:rFonts w:hint="cs"/>
          <w:rtl/>
        </w:rPr>
        <w:instrText>ספירת כתר וספירת חכמה</w:instrText>
      </w:r>
      <w:r w:rsidR="00D40049">
        <w:instrText xml:space="preserve">" </w:instrText>
      </w:r>
      <w:r w:rsidR="00D40049">
        <w:rPr>
          <w:rtl/>
        </w:rPr>
        <w:fldChar w:fldCharType="end"/>
      </w:r>
      <w:r w:rsidR="00D40049">
        <w:rPr>
          <w:rFonts w:hint="cs"/>
          <w:rtl/>
        </w:rPr>
        <w:t xml:space="preserve"> שהיא הרצון החופשי שמעל השכל, ומצד זה העולם מחודש והבורא מופשט לחלוטין. ויש צד של ספירת חכמה, ששם הבורא הוא שכל, ושם הכל מחויב בגזרה שכלית ולכן העולם קדמון, ומשם גם יש דמות גוף לבורא שהוא כדמות מראה אדם. שהוא </w:t>
      </w:r>
      <w:r w:rsidR="00F055C8">
        <w:rPr>
          <w:rtl/>
        </w:rPr>
        <w:t>"</w:t>
      </w:r>
      <w:r w:rsidR="00D40049">
        <w:rPr>
          <w:rFonts w:hint="cs"/>
          <w:rtl/>
        </w:rPr>
        <w:t>אדם קדמון</w:t>
      </w:r>
      <w:r w:rsidR="00F055C8">
        <w:rPr>
          <w:rtl/>
        </w:rPr>
        <w:t>"</w:t>
      </w:r>
      <w:r w:rsidR="00D40049">
        <w:rPr>
          <w:rFonts w:hint="cs"/>
          <w:rtl/>
        </w:rPr>
        <w:t xml:space="preserve"> שכתב האר</w:t>
      </w:r>
      <w:r w:rsidR="00F055C8">
        <w:rPr>
          <w:rtl/>
        </w:rPr>
        <w:t>"</w:t>
      </w:r>
      <w:r w:rsidR="00D40049">
        <w:rPr>
          <w:rFonts w:hint="cs"/>
          <w:rtl/>
        </w:rPr>
        <w:t>י, ושהוא דמות</w:t>
      </w:r>
      <w:r w:rsidR="0083462E">
        <w:rPr>
          <w:rFonts w:hint="cs"/>
          <w:rtl/>
        </w:rPr>
        <w:t xml:space="preserve"> כמראה</w:t>
      </w:r>
      <w:r w:rsidR="00D40049">
        <w:rPr>
          <w:rFonts w:hint="cs"/>
          <w:rtl/>
        </w:rPr>
        <w:t xml:space="preserve"> אדם שכתב בחזון יחזקאל וזה עניין שיעור קומה, היינו שיעור קומתו של הבורא. </w:t>
      </w:r>
      <w:r w:rsidR="00F01F78">
        <w:rPr>
          <w:rFonts w:hint="cs"/>
          <w:rtl/>
        </w:rPr>
        <w:t xml:space="preserve"> </w:t>
      </w:r>
    </w:p>
    <w:p w14:paraId="12826116" w14:textId="7514514F" w:rsidR="00AA580B" w:rsidRDefault="00AA580B" w:rsidP="00134E1B">
      <w:pPr>
        <w:pStyle w:val="FootnoteText"/>
        <w:rPr>
          <w:rtl/>
        </w:rPr>
      </w:pPr>
      <w:r>
        <w:rPr>
          <w:rFonts w:hint="cs"/>
          <w:rtl/>
        </w:rPr>
        <w:t>צלם האדם, שנברא בצלם אלוהים</w:t>
      </w:r>
      <w:r w:rsidR="00BD3A6A">
        <w:rPr>
          <w:rtl/>
        </w:rPr>
        <w:fldChar w:fldCharType="begin"/>
      </w:r>
      <w:r w:rsidR="00BD3A6A">
        <w:instrText xml:space="preserve"> XE "</w:instrText>
      </w:r>
      <w:r w:rsidR="00BD3A6A" w:rsidRPr="00DF1659">
        <w:rPr>
          <w:rFonts w:hint="cs"/>
          <w:rtl/>
        </w:rPr>
        <w:instrText>צלם אלוהים</w:instrText>
      </w:r>
      <w:r w:rsidR="00BD3A6A">
        <w:instrText xml:space="preserve">" </w:instrText>
      </w:r>
      <w:r w:rsidR="00BD3A6A">
        <w:rPr>
          <w:rtl/>
        </w:rPr>
        <w:fldChar w:fldCharType="end"/>
      </w:r>
      <w:r>
        <w:rPr>
          <w:rFonts w:hint="cs"/>
          <w:rtl/>
        </w:rPr>
        <w:t>, במובן הכי פחות חומרי הוא היות האדם בכל יכולת דיבור, וכמו שכתב במורה נבוכים א' א'</w:t>
      </w:r>
      <w:r w:rsidR="00F80312">
        <w:rPr>
          <w:rtl/>
        </w:rPr>
        <w:fldChar w:fldCharType="begin"/>
      </w:r>
      <w:r w:rsidR="00F80312">
        <w:instrText xml:space="preserve"> XE "</w:instrText>
      </w:r>
      <w:r w:rsidR="00F80312" w:rsidRPr="00C60515">
        <w:rPr>
          <w:rFonts w:hint="cs"/>
          <w:rtl/>
        </w:rPr>
        <w:instrText>מורה נבוכים א' א'</w:instrText>
      </w:r>
      <w:r w:rsidR="00F80312">
        <w:instrText xml:space="preserve">" </w:instrText>
      </w:r>
      <w:r w:rsidR="00F80312">
        <w:rPr>
          <w:rtl/>
        </w:rPr>
        <w:fldChar w:fldCharType="end"/>
      </w:r>
      <w:r>
        <w:rPr>
          <w:rFonts w:hint="cs"/>
          <w:rtl/>
        </w:rPr>
        <w:t xml:space="preserve">. לומר שצלמו של הבורא האין סופי הפשוט הוא עניין דומה לשכל האנושי המוגבל המורכב, זוהי הגשמה לא פחות מלומר שיש לבורא תואר הגוף. אם מדמים את כח הדיבור של האדם לצלם אלוהים אפשר גם לדמות את גופו של האדם לצלם אלוהים, אין הבדל מבחינת ההגשמה. </w:t>
      </w:r>
    </w:p>
    <w:p w14:paraId="38BBC1BA" w14:textId="11AECC05" w:rsidR="00AA580B" w:rsidRDefault="00AA580B" w:rsidP="00134E1B">
      <w:pPr>
        <w:pStyle w:val="FootnoteText"/>
        <w:rPr>
          <w:rtl/>
        </w:rPr>
      </w:pPr>
      <w:r>
        <w:rPr>
          <w:rFonts w:hint="cs"/>
          <w:rtl/>
        </w:rPr>
        <w:t>בהלכות יסודי התורה ב' כתב</w:t>
      </w:r>
      <w:bookmarkStart w:id="149" w:name="_Hlk97457605"/>
      <w:r w:rsidR="00291381">
        <w:rPr>
          <w:rtl/>
        </w:rPr>
        <w:fldChar w:fldCharType="begin"/>
      </w:r>
      <w:r w:rsidR="00291381">
        <w:instrText xml:space="preserve"> XE "</w:instrText>
      </w:r>
      <w:r w:rsidR="00291381" w:rsidRPr="00291F69">
        <w:rPr>
          <w:rFonts w:hint="cs"/>
          <w:rtl/>
        </w:rPr>
        <w:instrText>הרמב</w:instrText>
      </w:r>
      <w:r w:rsidR="00291381">
        <w:rPr>
          <w:b/>
          <w:bCs/>
          <w:sz w:val="20"/>
          <w:szCs w:val="20"/>
        </w:rPr>
        <w:instrText>\</w:instrText>
      </w:r>
      <w:r w:rsidR="00291381" w:rsidRPr="00291F69">
        <w:rPr>
          <w:rFonts w:hint="cs"/>
          <w:rtl/>
        </w:rPr>
        <w:instrText xml:space="preserve">"ם בהלכות יסודי התורה ב' ב': </w:instrText>
      </w:r>
      <w:r w:rsidR="00291381">
        <w:rPr>
          <w:b/>
          <w:bCs/>
          <w:sz w:val="20"/>
          <w:szCs w:val="20"/>
        </w:rPr>
        <w:instrText>\</w:instrText>
      </w:r>
      <w:r w:rsidR="00291381" w:rsidRPr="00291F69">
        <w:rPr>
          <w:rFonts w:hint="cs"/>
          <w:rtl/>
        </w:rPr>
        <w:instrText>"</w:instrText>
      </w:r>
      <w:r w:rsidR="00291381" w:rsidRPr="00291F69">
        <w:rPr>
          <w:rtl/>
        </w:rPr>
        <w:instrText>וְהֵיאַךְ הִיא הַדֶּרֶךְ</w:instrText>
      </w:r>
      <w:r w:rsidR="00291381">
        <w:instrText xml:space="preserve">" </w:instrText>
      </w:r>
      <w:r w:rsidR="00291381">
        <w:rPr>
          <w:rtl/>
        </w:rPr>
        <w:fldChar w:fldCharType="end"/>
      </w:r>
      <w:bookmarkEnd w:id="149"/>
      <w:r>
        <w:rPr>
          <w:rFonts w:hint="cs"/>
          <w:rtl/>
        </w:rPr>
        <w:t>:</w:t>
      </w:r>
    </w:p>
    <w:p w14:paraId="3AA223A7" w14:textId="2DCE9087" w:rsidR="00074FAF" w:rsidRDefault="00F055C8" w:rsidP="00134E1B">
      <w:pPr>
        <w:pStyle w:val="FootnoteText"/>
        <w:rPr>
          <w:rtl/>
        </w:rPr>
      </w:pPr>
      <w:r>
        <w:rPr>
          <w:rtl/>
        </w:rPr>
        <w:t>"</w:t>
      </w:r>
      <w:r w:rsidR="003211B7" w:rsidRPr="003211B7">
        <w:rPr>
          <w:rtl/>
        </w:rPr>
        <w:t>וְהֵיאַךְ הִיא הַדֶּרֶךְ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Pr>
          <w:rtl/>
        </w:rPr>
        <w:t>"</w:t>
      </w:r>
    </w:p>
    <w:p w14:paraId="7A6488E1" w14:textId="43264C41" w:rsidR="003211B7" w:rsidRDefault="003211B7" w:rsidP="00134E1B">
      <w:pPr>
        <w:pStyle w:val="FootnoteText"/>
        <w:rPr>
          <w:rtl/>
        </w:rPr>
      </w:pPr>
      <w:r>
        <w:rPr>
          <w:rFonts w:hint="cs"/>
          <w:rtl/>
        </w:rPr>
        <w:t xml:space="preserve">כדי לאהוב צריך השגה בו עצמו ולא רק </w:t>
      </w:r>
      <w:r w:rsidR="00F80312">
        <w:rPr>
          <w:rFonts w:hint="cs"/>
          <w:rtl/>
        </w:rPr>
        <w:t>הוכחה לקיומו או היישרה אליו (כמו שביאר עניין ההיישרה במורה נבוכים א' מ</w:t>
      </w:r>
      <w:r w:rsidR="00F055C8">
        <w:rPr>
          <w:rtl/>
        </w:rPr>
        <w:t>"</w:t>
      </w:r>
      <w:r w:rsidR="00F80312">
        <w:rPr>
          <w:rFonts w:hint="cs"/>
          <w:rtl/>
        </w:rPr>
        <w:t xml:space="preserve">ו.). ברואיו מוגבלים ואינם דומים לו שהוא אחדות פשוטה ומוחלטת אין סופית. איך הוא נודע מברואיו? </w:t>
      </w:r>
    </w:p>
    <w:p w14:paraId="5D3EF8A4" w14:textId="3A2AF965" w:rsidR="003211B7" w:rsidRDefault="00F80312" w:rsidP="00013AE8">
      <w:pPr>
        <w:pStyle w:val="FootnoteText"/>
        <w:rPr>
          <w:rtl/>
        </w:rPr>
      </w:pPr>
      <w:r>
        <w:rPr>
          <w:rFonts w:hint="cs"/>
          <w:rtl/>
        </w:rPr>
        <w:t xml:space="preserve">כאן כתוב שהכלי הוא החכמה. חכמת האדם היא צלם אלוהים שבו. הדמיון בין צלם ובין מה שהצלם מסמן הוא עניין של סוד. הפסילים של עבודה זרה עניינם להיות צלמים של כוחות רוחניים, וכמו שכתב במורה נבוכים א' א' על </w:t>
      </w:r>
      <w:r w:rsidR="00F055C8">
        <w:rPr>
          <w:rtl/>
        </w:rPr>
        <w:t>"</w:t>
      </w:r>
      <w:r>
        <w:rPr>
          <w:rFonts w:hint="cs"/>
          <w:rtl/>
        </w:rPr>
        <w:t>צלמי טחוריכם</w:t>
      </w:r>
      <w:r w:rsidR="00F055C8">
        <w:rPr>
          <w:rtl/>
        </w:rPr>
        <w:t>"</w:t>
      </w:r>
      <w:r>
        <w:rPr>
          <w:rFonts w:hint="cs"/>
          <w:rtl/>
        </w:rPr>
        <w:t xml:space="preserve">, והקשר בין פסל מחומר ובין כח רוחני כלשהו הוא עניין של סוד (כמו גם הקשר בין סידור </w:t>
      </w:r>
      <w:r w:rsidR="009C463A">
        <w:rPr>
          <w:rFonts w:hint="cs"/>
          <w:rtl/>
        </w:rPr>
        <w:t>מסוים</w:t>
      </w:r>
      <w:r>
        <w:rPr>
          <w:rFonts w:hint="cs"/>
          <w:rtl/>
        </w:rPr>
        <w:t xml:space="preserve"> של קווים וצבעים בציור ובין ההשראה של האמן). מכח הקשר בין הצלם ובין העניין המופשט שהוא צלם שלו, יש קשר בין בין חכמת האדם שהיא צלם כי היא עניין מוגבל, ובין מה שהיא צלם שלו, שהוא האין סוף, ולכן בראי החכמה רואים את חכמתו שאין לה ערך ולא קץ. הכוונה שאין לה דמיון עם שום דבר בגלל שאין לה קץ, זוהר בה זיו האין סוף בדרך סוד</w:t>
      </w:r>
      <w:r w:rsidR="00013AE8">
        <w:rPr>
          <w:rFonts w:hint="cs"/>
          <w:rtl/>
        </w:rPr>
        <w:t xml:space="preserve"> (זה מה שכתב האר</w:t>
      </w:r>
      <w:r w:rsidR="00F055C8">
        <w:rPr>
          <w:rtl/>
        </w:rPr>
        <w:t>"</w:t>
      </w:r>
      <w:r w:rsidR="00013AE8">
        <w:rPr>
          <w:rFonts w:hint="cs"/>
          <w:rtl/>
        </w:rPr>
        <w:t>י שאל העיגול הריק של הצמצום נכנס מייד בהכרח קו אור אין סוף. והרי אין סוף לא יכול להיות קו, כי קו הוא מוגבל. אלא הקו הוא החכמה, שהיא כולה גבולות, וזיו אור אין סוף מאיר בה בדרך סוד.</w:t>
      </w:r>
      <w:r w:rsidR="00A52D94">
        <w:rPr>
          <w:rFonts w:hint="cs"/>
          <w:rtl/>
        </w:rPr>
        <w:t xml:space="preserve"> </w:t>
      </w:r>
    </w:p>
    <w:p w14:paraId="352BADF7" w14:textId="77777777" w:rsidR="00942F23" w:rsidRDefault="00A52D94" w:rsidP="00013AE8">
      <w:pPr>
        <w:pStyle w:val="FootnoteText"/>
        <w:rPr>
          <w:rtl/>
        </w:rPr>
      </w:pPr>
      <w:r>
        <w:rPr>
          <w:rFonts w:hint="cs"/>
          <w:rtl/>
        </w:rPr>
        <w:t xml:space="preserve">כיוון שהחכמה האנושית היא מוגבלת, והקשר שלה עם האין סוף הוא על דרך סוד בדרך של צלם, שהוא כמו הקשר בין הפסל של טחורים לכח הרוחני של הרפואה מהטחורים, כך ייתכן קשר כזה גם בין גוף האדם שגם הוא צלם, ובין זיו אור האין סוף. הקשר הזה נקרא שיעור קומה ודימוי צורה ליוצרה. </w:t>
      </w:r>
    </w:p>
    <w:p w14:paraId="72A7A101" w14:textId="77777777" w:rsidR="00942F23" w:rsidRDefault="00942F23" w:rsidP="00013AE8">
      <w:pPr>
        <w:pStyle w:val="FootnoteText"/>
        <w:rPr>
          <w:rtl/>
        </w:rPr>
      </w:pPr>
    </w:p>
    <w:p w14:paraId="6EE11561" w14:textId="77777777" w:rsidR="00942F23" w:rsidRDefault="00942F23" w:rsidP="00013AE8">
      <w:pPr>
        <w:pStyle w:val="FootnoteText"/>
        <w:rPr>
          <w:rtl/>
        </w:rPr>
      </w:pPr>
      <w:r>
        <w:rPr>
          <w:rFonts w:hint="cs"/>
          <w:rtl/>
        </w:rPr>
        <w:t>אבן סינא כתב כאן:</w:t>
      </w:r>
    </w:p>
    <w:p w14:paraId="4816CF7B" w14:textId="677A70A0" w:rsidR="00942F23" w:rsidRDefault="00F055C8" w:rsidP="00013AE8">
      <w:pPr>
        <w:pStyle w:val="FootnoteText"/>
        <w:rPr>
          <w:rtl/>
        </w:rPr>
      </w:pPr>
      <w:r>
        <w:rPr>
          <w:rtl/>
        </w:rPr>
        <w:t>"</w:t>
      </w:r>
      <w:r w:rsidR="00942F23" w:rsidRPr="00942F23">
        <w:rPr>
          <w:rtl/>
        </w:rPr>
        <w:t>כיוון שהוא העדר של משהו, שמונחים בו תואר מוקדם והכנה מוקדמת</w:t>
      </w:r>
      <w:r>
        <w:rPr>
          <w:rtl/>
        </w:rPr>
        <w:t>"</w:t>
      </w:r>
    </w:p>
    <w:p w14:paraId="3BFF103D" w14:textId="2BFD1200" w:rsidR="007E1554" w:rsidRDefault="007E1554" w:rsidP="00013AE8">
      <w:pPr>
        <w:pStyle w:val="FootnoteText"/>
        <w:rPr>
          <w:rtl/>
        </w:rPr>
      </w:pPr>
      <w:r>
        <w:rPr>
          <w:rFonts w:hint="cs"/>
          <w:rtl/>
        </w:rPr>
        <w:t xml:space="preserve">ויש להבין את הכפילות </w:t>
      </w:r>
      <w:r w:rsidR="00F055C8">
        <w:rPr>
          <w:rtl/>
        </w:rPr>
        <w:t>"</w:t>
      </w:r>
      <w:r>
        <w:rPr>
          <w:rFonts w:hint="cs"/>
          <w:rtl/>
        </w:rPr>
        <w:t xml:space="preserve">תואר </w:t>
      </w:r>
      <w:r w:rsidR="00853CC8">
        <w:rPr>
          <w:rFonts w:hint="cs"/>
          <w:rtl/>
        </w:rPr>
        <w:t>קודם</w:t>
      </w:r>
      <w:r w:rsidR="00F055C8">
        <w:rPr>
          <w:rtl/>
        </w:rPr>
        <w:t>"</w:t>
      </w:r>
      <w:r>
        <w:rPr>
          <w:rFonts w:hint="cs"/>
          <w:rtl/>
        </w:rPr>
        <w:t xml:space="preserve"> ו</w:t>
      </w:r>
      <w:r w:rsidR="00F055C8">
        <w:rPr>
          <w:rtl/>
        </w:rPr>
        <w:t>"</w:t>
      </w:r>
      <w:r>
        <w:rPr>
          <w:rFonts w:hint="cs"/>
          <w:rtl/>
        </w:rPr>
        <w:t xml:space="preserve">הכנה </w:t>
      </w:r>
      <w:r w:rsidR="00853CC8">
        <w:rPr>
          <w:rFonts w:hint="cs"/>
          <w:rtl/>
        </w:rPr>
        <w:t>קודמת</w:t>
      </w:r>
      <w:r w:rsidR="00F055C8">
        <w:rPr>
          <w:rtl/>
        </w:rPr>
        <w:t>"</w:t>
      </w:r>
      <w:r>
        <w:rPr>
          <w:rFonts w:hint="cs"/>
          <w:rtl/>
        </w:rPr>
        <w:t xml:space="preserve">. </w:t>
      </w:r>
    </w:p>
    <w:p w14:paraId="54DB38C3" w14:textId="431ED737" w:rsidR="007E1554" w:rsidRDefault="00942F23" w:rsidP="00013AE8">
      <w:pPr>
        <w:pStyle w:val="FootnoteText"/>
        <w:rPr>
          <w:rtl/>
        </w:rPr>
      </w:pPr>
      <w:r>
        <w:rPr>
          <w:rFonts w:hint="cs"/>
          <w:rtl/>
        </w:rPr>
        <w:t xml:space="preserve">הכנה מוקדמת היינו שצלם אלוהים הוא החכמה, דהיינו החכמה היא האספקלריא שעל ידה הבורא נודע על ידי ברואיו בדרך של סוד, </w:t>
      </w:r>
      <w:r w:rsidR="007E1554">
        <w:rPr>
          <w:rFonts w:hint="cs"/>
          <w:rtl/>
        </w:rPr>
        <w:t xml:space="preserve">והחכמה היא השגת החיים. הסוד הוא שהחכמה מוכנה כבר כפוטנציאל בהעדר עצמו, זה מקור המעיין שממנו אחרי שהיא יוצאת אל הפועל יש בה מעיין של אור אין סוף שזורח עליה. תואר מוקדם הכוונה היא לצד הגוף החומרי, שתואר הוא התווים של גבולות הגוף. גם בו מתגלה אור אין סוף, מצד שהוא כלי לגילוי החכמה, כי החיים מתגלים רק בתוך גוף, וגם כי בו עצמו יש יופי, שהוא אופן של חיים וגילוי אלוהות. התואר נובע מצורת התלת ממדיות (בוהו), וההכנה היא מההעדר עצמו (תוהו). </w:t>
      </w:r>
    </w:p>
    <w:p w14:paraId="4D090316" w14:textId="77777777" w:rsidR="00512114" w:rsidRDefault="00512114" w:rsidP="007E1554">
      <w:pPr>
        <w:pStyle w:val="FootnoteText"/>
        <w:rPr>
          <w:rtl/>
        </w:rPr>
      </w:pPr>
    </w:p>
    <w:p w14:paraId="136FBBBF" w14:textId="7157D2A3" w:rsidR="00512114" w:rsidRDefault="00F055C8" w:rsidP="007E1554">
      <w:pPr>
        <w:pStyle w:val="FootnoteText"/>
        <w:rPr>
          <w:rtl/>
        </w:rPr>
      </w:pPr>
      <w:r>
        <w:rPr>
          <w:rtl/>
        </w:rPr>
        <w:t>"</w:t>
      </w:r>
      <w:r w:rsidR="00512114" w:rsidRPr="00512114">
        <w:rPr>
          <w:rtl/>
        </w:rPr>
        <w:t>וְרָחֵל הָיְתָה יְפַת תֹּאַר וִיפַת מַרְאֶה</w:t>
      </w:r>
      <w:r w:rsidR="00512114">
        <w:rPr>
          <w:rFonts w:hint="cs"/>
          <w:rtl/>
        </w:rPr>
        <w:t xml:space="preserve"> (בראשית כ</w:t>
      </w:r>
      <w:r>
        <w:rPr>
          <w:rtl/>
        </w:rPr>
        <w:t>"</w:t>
      </w:r>
      <w:r w:rsidR="00512114">
        <w:rPr>
          <w:rFonts w:hint="cs"/>
          <w:rtl/>
        </w:rPr>
        <w:t>ט י</w:t>
      </w:r>
      <w:r>
        <w:rPr>
          <w:rtl/>
        </w:rPr>
        <w:t>"</w:t>
      </w:r>
      <w:r w:rsidR="00512114">
        <w:rPr>
          <w:rFonts w:hint="cs"/>
          <w:rtl/>
        </w:rPr>
        <w:t>ז)</w:t>
      </w:r>
      <w:r>
        <w:rPr>
          <w:rtl/>
        </w:rPr>
        <w:t>"</w:t>
      </w:r>
    </w:p>
    <w:p w14:paraId="6C1BF76F" w14:textId="0709BF3F" w:rsidR="00512114" w:rsidRDefault="00512114" w:rsidP="007E1554">
      <w:pPr>
        <w:pStyle w:val="FootnoteText"/>
        <w:rPr>
          <w:rtl/>
        </w:rPr>
      </w:pPr>
      <w:r>
        <w:rPr>
          <w:rFonts w:hint="cs"/>
          <w:rtl/>
        </w:rPr>
        <w:t>רש</w:t>
      </w:r>
      <w:r w:rsidR="00F055C8">
        <w:rPr>
          <w:rtl/>
        </w:rPr>
        <w:t>"</w:t>
      </w:r>
      <w:r>
        <w:rPr>
          <w:rFonts w:hint="cs"/>
          <w:rtl/>
        </w:rPr>
        <w:t>י:</w:t>
      </w:r>
    </w:p>
    <w:p w14:paraId="061470E6" w14:textId="4A77D478" w:rsidR="007E1554" w:rsidRDefault="00F055C8" w:rsidP="007E1554">
      <w:pPr>
        <w:pStyle w:val="FootnoteText"/>
        <w:rPr>
          <w:rtl/>
        </w:rPr>
      </w:pPr>
      <w:r>
        <w:rPr>
          <w:rtl/>
        </w:rPr>
        <w:t>"</w:t>
      </w:r>
      <w:r w:rsidR="007E1554">
        <w:rPr>
          <w:rtl/>
        </w:rPr>
        <w:t xml:space="preserve">תֹּאַר </w:t>
      </w:r>
      <w:r w:rsidR="00001963">
        <w:rPr>
          <w:rtl/>
        </w:rPr>
        <w:t>-</w:t>
      </w:r>
      <w:r w:rsidR="007E1554">
        <w:rPr>
          <w:rtl/>
        </w:rPr>
        <w:t xml:space="preserve"> הוּא צוּרַת הַפַּרְצוּף, לְשׁוֹן </w:t>
      </w:r>
      <w:r>
        <w:rPr>
          <w:rtl/>
        </w:rPr>
        <w:t>"</w:t>
      </w:r>
      <w:r w:rsidR="007E1554">
        <w:rPr>
          <w:rtl/>
        </w:rPr>
        <w:t>יְתָאֲרֵהוּ בַשֶּׂרֶד</w:t>
      </w:r>
      <w:r>
        <w:rPr>
          <w:rtl/>
        </w:rPr>
        <w:t>"</w:t>
      </w:r>
      <w:r w:rsidR="007E1554">
        <w:rPr>
          <w:rtl/>
        </w:rPr>
        <w:t xml:space="preserve"> (ישעיהו מד,יג), קונפא</w:t>
      </w:r>
      <w:r>
        <w:rPr>
          <w:rtl/>
        </w:rPr>
        <w:t>"</w:t>
      </w:r>
      <w:r w:rsidR="007E1554">
        <w:rPr>
          <w:rtl/>
        </w:rPr>
        <w:t>ש‏[2] בְּלַעַז.</w:t>
      </w:r>
    </w:p>
    <w:p w14:paraId="1661CA8B" w14:textId="24B646EE" w:rsidR="007E1554" w:rsidRDefault="007E1554" w:rsidP="007E1554">
      <w:pPr>
        <w:pStyle w:val="FootnoteText"/>
        <w:rPr>
          <w:rtl/>
        </w:rPr>
      </w:pPr>
      <w:r>
        <w:rPr>
          <w:rtl/>
        </w:rPr>
        <w:t xml:space="preserve">מַרְאֶה </w:t>
      </w:r>
      <w:r w:rsidR="00001963">
        <w:rPr>
          <w:rtl/>
        </w:rPr>
        <w:t>-</w:t>
      </w:r>
      <w:r>
        <w:rPr>
          <w:rtl/>
        </w:rPr>
        <w:t xml:space="preserve"> הוּא זִיו קְלַסְתֵּר.</w:t>
      </w:r>
      <w:r w:rsidR="00F055C8">
        <w:rPr>
          <w:rtl/>
        </w:rPr>
        <w:t>"</w:t>
      </w:r>
    </w:p>
    <w:p w14:paraId="76A868C5" w14:textId="77777777" w:rsidR="00512114" w:rsidRDefault="00512114" w:rsidP="007E1554">
      <w:pPr>
        <w:pStyle w:val="FootnoteText"/>
        <w:rPr>
          <w:rtl/>
        </w:rPr>
      </w:pPr>
      <w:r>
        <w:rPr>
          <w:rFonts w:hint="cs"/>
          <w:rtl/>
        </w:rPr>
        <w:t xml:space="preserve">מראה הוא השגה של השכל, וכמו שכתב במורה נבוכים א' ד', שזה נכלל במובן של ראיה לפי הפשט. שהוא רואה את מה שחי שהוא זיו של האלוהות. </w:t>
      </w:r>
    </w:p>
    <w:p w14:paraId="47719804" w14:textId="22366736" w:rsidR="00E42344" w:rsidRDefault="00512114" w:rsidP="009041FC">
      <w:pPr>
        <w:pStyle w:val="FootnoteText"/>
        <w:rPr>
          <w:rtl/>
        </w:rPr>
      </w:pPr>
      <w:r>
        <w:rPr>
          <w:rFonts w:hint="cs"/>
          <w:rtl/>
        </w:rPr>
        <w:t xml:space="preserve">המראה מתגלה בכלי של הגוף, הגוף הוא בעל תואר, קווים שמגדירים את גבולותיו, והתואר של תווי הגוף הוא קו של אמנות, יש בו יופי, ולא רק במראה. התואר </w:t>
      </w:r>
      <w:r w:rsidR="00016760">
        <w:rPr>
          <w:rFonts w:hint="cs"/>
          <w:rtl/>
        </w:rPr>
        <w:t>הקודם</w:t>
      </w:r>
      <w:r>
        <w:rPr>
          <w:rFonts w:hint="cs"/>
          <w:rtl/>
        </w:rPr>
        <w:t>, כלומר שמקורו בהעדר עצמו, שכתב אבן סינא, הוא מה שרחל הייתה יפת תואר, וההכנה המוקדמת היא הזיו העליון שהשתקף כבבואה בקלסתרה הגופני של רחל.</w:t>
      </w:r>
    </w:p>
    <w:p w14:paraId="20B723D1" w14:textId="2876B280" w:rsidR="00A52D94" w:rsidRPr="003975A6" w:rsidRDefault="00E42344" w:rsidP="009041FC">
      <w:pPr>
        <w:pStyle w:val="FootnoteText"/>
      </w:pPr>
      <w:r>
        <w:rPr>
          <w:rFonts w:hint="cs"/>
          <w:rtl/>
        </w:rPr>
        <w:t>ספירת כתר וספירת חכמה אינן סותרות, החכמה היא כלי להתגלות הכתר. אם משיגים את החכמה בידיעה שמעליה יש כתר זו השגה אמיתית. השקר הוא הכפירה בכך שיש כתר מעל החכמה. לכן שיטת קדמות העולם ושיטת חידוש העולם הן מעמד שכלי</w:t>
      </w:r>
      <w:r w:rsidR="00FC3220">
        <w:rPr>
          <w:rtl/>
        </w:rPr>
        <w:fldChar w:fldCharType="begin"/>
      </w:r>
      <w:r w:rsidR="00FC3220">
        <w:instrText xml:space="preserve"> XE "</w:instrText>
      </w:r>
      <w:r w:rsidR="00FC3220" w:rsidRPr="00752D9F">
        <w:rPr>
          <w:rFonts w:hint="cs"/>
          <w:rtl/>
        </w:rPr>
        <w:instrText>מעמד שכלי</w:instrText>
      </w:r>
      <w:r w:rsidR="00FC3220">
        <w:instrText xml:space="preserve">" </w:instrText>
      </w:r>
      <w:r w:rsidR="00FC3220">
        <w:rPr>
          <w:rtl/>
        </w:rPr>
        <w:fldChar w:fldCharType="end"/>
      </w:r>
      <w:r>
        <w:rPr>
          <w:rFonts w:hint="cs"/>
          <w:rtl/>
        </w:rPr>
        <w:t xml:space="preserve">, כלומר אין אפשרות להכריע ביניהן כי שתיהן אמת. </w:t>
      </w:r>
      <w:r w:rsidR="00512114">
        <w:rPr>
          <w:rFonts w:hint="cs"/>
          <w:rtl/>
        </w:rPr>
        <w:t xml:space="preserve"> </w:t>
      </w:r>
      <w:r w:rsidR="00A52D94">
        <w:rPr>
          <w:rFonts w:hint="cs"/>
          <w:rtl/>
        </w:rPr>
        <w:t xml:space="preserve"> </w:t>
      </w:r>
    </w:p>
  </w:footnote>
  <w:footnote w:id="237">
    <w:p w14:paraId="407C445C" w14:textId="13602C05" w:rsidR="009041FC" w:rsidRDefault="001419AC" w:rsidP="00DB181A">
      <w:pPr>
        <w:pStyle w:val="FootnoteText"/>
        <w:rPr>
          <w:rtl/>
        </w:rPr>
      </w:pPr>
      <w:r>
        <w:rPr>
          <w:rStyle w:val="FootnoteReference"/>
        </w:rPr>
        <w:footnoteRef/>
      </w:r>
      <w:r>
        <w:rPr>
          <w:rtl/>
        </w:rPr>
        <w:t xml:space="preserve"> </w:t>
      </w:r>
      <w:r>
        <w:rPr>
          <w:rFonts w:hint="cs"/>
          <w:rtl/>
        </w:rPr>
        <w:t>א</w:t>
      </w:r>
      <w:r w:rsidR="009041FC">
        <w:rPr>
          <w:rFonts w:hint="cs"/>
          <w:rtl/>
        </w:rPr>
        <w:t>ד</w:t>
      </w:r>
      <w:r>
        <w:rPr>
          <w:rFonts w:hint="cs"/>
          <w:rtl/>
        </w:rPr>
        <w:t xml:space="preserve">ם </w:t>
      </w:r>
      <w:r w:rsidR="009041FC">
        <w:rPr>
          <w:rFonts w:hint="cs"/>
          <w:rtl/>
        </w:rPr>
        <w:t xml:space="preserve">מתהווה בבשר ולא באבן. כי בבשר </w:t>
      </w:r>
      <w:r>
        <w:rPr>
          <w:rFonts w:hint="cs"/>
          <w:rtl/>
        </w:rPr>
        <w:t xml:space="preserve">יש הכנה </w:t>
      </w:r>
      <w:r w:rsidR="009041FC">
        <w:rPr>
          <w:rFonts w:hint="cs"/>
          <w:rtl/>
        </w:rPr>
        <w:t>לקבל צורת אדם ובאבן אין</w:t>
      </w:r>
      <w:r w:rsidR="00C15F70">
        <w:rPr>
          <w:rFonts w:hint="cs"/>
          <w:rtl/>
        </w:rPr>
        <w:t xml:space="preserve">. </w:t>
      </w:r>
    </w:p>
    <w:p w14:paraId="54F76417" w14:textId="49EDF5C1" w:rsidR="00DB181A" w:rsidRDefault="00C15F70" w:rsidP="00DB181A">
      <w:pPr>
        <w:pStyle w:val="FootnoteText"/>
        <w:rPr>
          <w:rtl/>
        </w:rPr>
      </w:pPr>
      <w:r>
        <w:rPr>
          <w:rFonts w:hint="cs"/>
          <w:rtl/>
        </w:rPr>
        <w:t xml:space="preserve">ההרכבה של צורה בחומר היא מכח הצירוף בין </w:t>
      </w:r>
      <w:r>
        <w:rPr>
          <w:rFonts w:hint="cs"/>
          <w:rtl/>
        </w:rPr>
        <w:t>הכח של צורה וסיבת החומר.  כח הצורה הוא החיים, הוא שואף לחול בחומר כמו שהאש שואפת להדליק את חומר הבערה. לא כל חומר בוער, צריך שהחומר תהיה בו הכנה לקבל את הצורה. מזג החומר שקובע שהוא מוכן לקבל צורה מסויימת</w:t>
      </w:r>
      <w:r w:rsidR="00DB181A">
        <w:rPr>
          <w:rFonts w:hint="cs"/>
          <w:rtl/>
        </w:rPr>
        <w:t xml:space="preserve"> הוא זה</w:t>
      </w:r>
      <w:r>
        <w:rPr>
          <w:rFonts w:hint="cs"/>
          <w:rtl/>
        </w:rPr>
        <w:t xml:space="preserve"> </w:t>
      </w:r>
      <w:r w:rsidR="00DB181A">
        <w:rPr>
          <w:rFonts w:hint="cs"/>
          <w:rtl/>
        </w:rPr>
        <w:t>ש</w:t>
      </w:r>
      <w:r>
        <w:rPr>
          <w:rFonts w:hint="cs"/>
          <w:rtl/>
        </w:rPr>
        <w:t xml:space="preserve">קובע שהצורה תחול </w:t>
      </w:r>
      <w:r w:rsidR="00DB181A">
        <w:rPr>
          <w:rFonts w:hint="cs"/>
          <w:rtl/>
        </w:rPr>
        <w:t>דווקא היכן שהיא חלה (</w:t>
      </w:r>
      <w:r w:rsidR="00DB181A">
        <w:rPr>
          <w:rtl/>
        </w:rPr>
        <w:t>במורה נבוכים א' ע</w:t>
      </w:r>
      <w:r w:rsidR="00F055C8">
        <w:rPr>
          <w:rtl/>
        </w:rPr>
        <w:t>"</w:t>
      </w:r>
      <w:r w:rsidR="00DB181A">
        <w:rPr>
          <w:rtl/>
        </w:rPr>
        <w:t>ב</w:t>
      </w:r>
      <w:r w:rsidR="00F13FC2">
        <w:rPr>
          <w:rtl/>
        </w:rPr>
        <w:fldChar w:fldCharType="begin"/>
      </w:r>
      <w:r w:rsidR="00F13FC2">
        <w:instrText xml:space="preserve"> XE "</w:instrText>
      </w:r>
      <w:r w:rsidR="00F13FC2" w:rsidRPr="00C92F7A">
        <w:rPr>
          <w:rtl/>
        </w:rPr>
        <w:instrText>מורה נבוכים א' ע</w:instrText>
      </w:r>
      <w:r w:rsidR="00F13FC2">
        <w:rPr>
          <w:b/>
          <w:bCs/>
          <w:sz w:val="20"/>
          <w:szCs w:val="20"/>
        </w:rPr>
        <w:instrText>\</w:instrText>
      </w:r>
      <w:r w:rsidR="00F13FC2" w:rsidRPr="00C92F7A">
        <w:rPr>
          <w:rtl/>
        </w:rPr>
        <w:instrText>"ב</w:instrText>
      </w:r>
      <w:r w:rsidR="00F13FC2">
        <w:instrText xml:space="preserve">" </w:instrText>
      </w:r>
      <w:r w:rsidR="00F13FC2">
        <w:rPr>
          <w:rtl/>
        </w:rPr>
        <w:fldChar w:fldCharType="end"/>
      </w:r>
      <w:r w:rsidR="00DB181A">
        <w:rPr>
          <w:rtl/>
        </w:rPr>
        <w:t xml:space="preserve"> כתב:</w:t>
      </w:r>
    </w:p>
    <w:p w14:paraId="58259D11" w14:textId="02713981" w:rsidR="00DB181A" w:rsidRDefault="00F055C8" w:rsidP="00DB181A">
      <w:pPr>
        <w:pStyle w:val="FootnoteText"/>
        <w:rPr>
          <w:rtl/>
        </w:rPr>
      </w:pPr>
      <w:r>
        <w:rPr>
          <w:rtl/>
        </w:rPr>
        <w:t>"</w:t>
      </w:r>
      <w:r w:rsidR="00DB181A">
        <w:rPr>
          <w:rtl/>
        </w:rPr>
        <w:t xml:space="preserve">ויפול ההשתנות במעורב [מד' היסודות] עד שיתהוה מהם תחילה הקיטורים כפי מיניהם החלוקים, ואחר כן המחצבים כפי מיניהם החלוקים, ומיני הצמחים כולם ומינים רבים מבעלי חיים, כפי מה </w:t>
      </w:r>
      <w:r w:rsidR="00DB181A" w:rsidRPr="00DB181A">
        <w:rPr>
          <w:b/>
          <w:bCs/>
          <w:rtl/>
        </w:rPr>
        <w:t>שגוזר מזג המעורב</w:t>
      </w:r>
      <w:r>
        <w:rPr>
          <w:rtl/>
        </w:rPr>
        <w:t>"</w:t>
      </w:r>
      <w:r w:rsidR="00DB181A">
        <w:rPr>
          <w:rFonts w:hint="cs"/>
          <w:rtl/>
        </w:rPr>
        <w:t xml:space="preserve">). </w:t>
      </w:r>
      <w:r w:rsidR="00C15F70">
        <w:rPr>
          <w:rFonts w:hint="cs"/>
          <w:rtl/>
        </w:rPr>
        <w:t xml:space="preserve">החומר קובע היכן תחול הצורה, אבל הכח שגורם לצורה לחול וקובע את מהותה בא מהצורה. </w:t>
      </w:r>
    </w:p>
    <w:p w14:paraId="00B144B1" w14:textId="2774A517" w:rsidR="00F13FC2" w:rsidRDefault="009041FC" w:rsidP="00DB181A">
      <w:pPr>
        <w:pStyle w:val="FootnoteText"/>
        <w:rPr>
          <w:rtl/>
        </w:rPr>
      </w:pPr>
      <w:r>
        <w:rPr>
          <w:rFonts w:hint="cs"/>
          <w:rtl/>
        </w:rPr>
        <w:t xml:space="preserve">ההכנה של החומר היא רק הגבלה של העצם, שהוא המהות, הצורה. </w:t>
      </w:r>
      <w:r w:rsidR="00F13FC2">
        <w:rPr>
          <w:rFonts w:hint="cs"/>
          <w:rtl/>
        </w:rPr>
        <w:t xml:space="preserve">הצורה 'אדם' יכולה לחול בכל החומר שיש בעולם, בלי הגבלה של הכנת החומר, ואז היא תהיה 'אדם קדמון', או שיעור קומה. מה שנצרכת הכנת החומר מגבילה את הצורה לחול באנשים </w:t>
      </w:r>
      <w:r w:rsidR="009C463A">
        <w:rPr>
          <w:rFonts w:hint="cs"/>
          <w:rtl/>
        </w:rPr>
        <w:t>מסוימים</w:t>
      </w:r>
      <w:r w:rsidR="00F13FC2">
        <w:rPr>
          <w:rFonts w:hint="cs"/>
          <w:rtl/>
        </w:rPr>
        <w:t xml:space="preserve"> כראובן ושמעון. החומר רק מונע את חלות הצורה באופן כללי, ומצמצם אותה למקום שיש בו הכנה חומרית מתאימה. מה שהמציאות הארצית היא תנועה מתמדת של התהוות והפסד, הוא משום שמזג החומר משתנה ואז הוא כבר לא מוכן לקבל את הצורה ולכן היא נפרדת מאותו חומר. מה שצמח קמל הוא משום שמזג החומר שלו השתנה וכבר אינו מוכן לקבל צורת צמח. לגבי החיים עצמם שיש בצמח ובכל דבר, החומר אינו מקור לזה אלא רק הצורה. </w:t>
      </w:r>
    </w:p>
    <w:p w14:paraId="4D7494DE" w14:textId="3EF60F25" w:rsidR="00F13FC2" w:rsidRDefault="00F13FC2" w:rsidP="00DB181A">
      <w:pPr>
        <w:pStyle w:val="FootnoteText"/>
        <w:rPr>
          <w:rtl/>
        </w:rPr>
      </w:pPr>
      <w:r>
        <w:rPr>
          <w:rFonts w:hint="cs"/>
          <w:rtl/>
        </w:rPr>
        <w:t>במורה נבוכים א' ע</w:t>
      </w:r>
      <w:r w:rsidR="00F055C8">
        <w:rPr>
          <w:rtl/>
        </w:rPr>
        <w:t>"</w:t>
      </w:r>
      <w:r>
        <w:rPr>
          <w:rFonts w:hint="cs"/>
          <w:rtl/>
        </w:rPr>
        <w:t>ב כתב:</w:t>
      </w:r>
    </w:p>
    <w:p w14:paraId="6894EF42" w14:textId="4D9A6832" w:rsidR="0007502E" w:rsidRDefault="00F055C8" w:rsidP="00DB181A">
      <w:pPr>
        <w:pStyle w:val="FootnoteText"/>
        <w:rPr>
          <w:rtl/>
        </w:rPr>
      </w:pPr>
      <w:r>
        <w:rPr>
          <w:rtl/>
        </w:rPr>
        <w:t>"</w:t>
      </w:r>
      <w:r w:rsidR="00F13FC2" w:rsidRPr="00F13FC2">
        <w:rPr>
          <w:rtl/>
        </w:rPr>
        <w:t>הנה כן צריך לך שתצייר כל זה הכדור איש אחד, חי מתנועע בעל נפש, כי זה המין מן הציור הכרחי מאד, כלומר מועיל מאד במופת על היות האלוה אחד</w:t>
      </w:r>
      <w:r>
        <w:rPr>
          <w:rtl/>
        </w:rPr>
        <w:t>"</w:t>
      </w:r>
    </w:p>
    <w:p w14:paraId="7778F405" w14:textId="0EB10845" w:rsidR="009041FC" w:rsidRDefault="00F055C8" w:rsidP="00DB181A">
      <w:pPr>
        <w:pStyle w:val="FootnoteText"/>
        <w:rPr>
          <w:rtl/>
        </w:rPr>
      </w:pPr>
      <w:r>
        <w:rPr>
          <w:rtl/>
        </w:rPr>
        <w:t>"</w:t>
      </w:r>
      <w:r w:rsidR="0007502E">
        <w:rPr>
          <w:rFonts w:hint="cs"/>
          <w:rtl/>
        </w:rPr>
        <w:t>חי</w:t>
      </w:r>
      <w:r>
        <w:rPr>
          <w:rtl/>
        </w:rPr>
        <w:t>"</w:t>
      </w:r>
      <w:r w:rsidR="0007502E">
        <w:rPr>
          <w:rFonts w:hint="cs"/>
          <w:rtl/>
        </w:rPr>
        <w:t xml:space="preserve"> הוא גילוי האחדות האלוהית. מצד אחד בלי בריאה האחדות האלוהית תישאר בלא גילוי, ומצד שני אחרי שיש בריאה היא לא יכולה להתקיים כי אם יש לה מציאות הרי יש עוד נמצא מלבד הבורא והוא כבר לא אחד. האש היא קיום שיש בו קיום וחוסר קיום כאחד. </w:t>
      </w:r>
      <w:r>
        <w:rPr>
          <w:rtl/>
        </w:rPr>
        <w:t>"</w:t>
      </w:r>
      <w:r w:rsidR="0007502E" w:rsidRPr="0007502E">
        <w:rPr>
          <w:rtl/>
        </w:rPr>
        <w:t>הַסְּנֶה בֹּעֵר בָּאֵשׁ וְהַסְּנֶה אֵינֶנּוּ אֻכָּל</w:t>
      </w:r>
      <w:r>
        <w:rPr>
          <w:rtl/>
        </w:rPr>
        <w:t>"</w:t>
      </w:r>
      <w:r w:rsidR="0007502E">
        <w:rPr>
          <w:rFonts w:hint="cs"/>
          <w:rtl/>
        </w:rPr>
        <w:t xml:space="preserve">. האש הזו היא החום הטבעי, הוא נשמת החיים שיש בטבע ובכל הנמצא, מה שנקרא ביוונית </w:t>
      </w:r>
      <w:r w:rsidR="0007502E" w:rsidRPr="0007502E">
        <w:t>pneuma</w:t>
      </w:r>
      <w:r w:rsidR="0007502E">
        <w:rPr>
          <w:rFonts w:hint="cs"/>
          <w:rtl/>
        </w:rPr>
        <w:t xml:space="preserve">, וזה מה שאנו קוראים </w:t>
      </w:r>
      <w:r w:rsidR="00C620FD">
        <w:rPr>
          <w:rFonts w:hint="cs"/>
          <w:rtl/>
        </w:rPr>
        <w:t>'</w:t>
      </w:r>
      <w:r w:rsidR="0007502E">
        <w:rPr>
          <w:rFonts w:hint="cs"/>
          <w:rtl/>
        </w:rPr>
        <w:t>חיים</w:t>
      </w:r>
      <w:r w:rsidR="00C620FD">
        <w:rPr>
          <w:rFonts w:hint="cs"/>
          <w:rtl/>
        </w:rPr>
        <w:t>'</w:t>
      </w:r>
      <w:r w:rsidR="0007502E">
        <w:rPr>
          <w:rFonts w:hint="cs"/>
          <w:rtl/>
        </w:rPr>
        <w:t xml:space="preserve">. עיין מאמר חשוב ויסודי בעניין זה בעיונים בפילוסופיה אריסטוטלית </w:t>
      </w:r>
      <w:hyperlink r:id="rId56" w:history="1">
        <w:r w:rsidR="0007502E" w:rsidRPr="0007502E">
          <w:rPr>
            <w:rStyle w:val="Hyperlink"/>
            <w:rFonts w:hint="cs"/>
            <w:rtl/>
          </w:rPr>
          <w:t>רשימה 50</w:t>
        </w:r>
      </w:hyperlink>
      <w:r w:rsidR="0007502E">
        <w:rPr>
          <w:rFonts w:hint="cs"/>
          <w:rtl/>
        </w:rPr>
        <w:t xml:space="preserve">. </w:t>
      </w:r>
      <w:r w:rsidR="00F13FC2">
        <w:rPr>
          <w:rFonts w:hint="cs"/>
          <w:rtl/>
        </w:rPr>
        <w:t xml:space="preserve"> </w:t>
      </w:r>
    </w:p>
    <w:p w14:paraId="44832EE9" w14:textId="77777777" w:rsidR="00C620FD" w:rsidRDefault="00C620FD" w:rsidP="00DB181A">
      <w:pPr>
        <w:pStyle w:val="FootnoteText"/>
        <w:rPr>
          <w:rtl/>
        </w:rPr>
      </w:pPr>
      <w:r>
        <w:rPr>
          <w:rFonts w:hint="cs"/>
          <w:rtl/>
        </w:rPr>
        <w:t xml:space="preserve">כיוון שהחומר הוא רק הגבלה על הצורה, ולא האור שלה, הוא מצד עצמו מוות והעדר וחושך. </w:t>
      </w:r>
    </w:p>
    <w:p w14:paraId="252E8BBB" w14:textId="77777777" w:rsidR="00A720F4" w:rsidRDefault="00C620FD" w:rsidP="00DB181A">
      <w:pPr>
        <w:pStyle w:val="FootnoteText"/>
        <w:rPr>
          <w:rtl/>
        </w:rPr>
      </w:pPr>
      <w:r>
        <w:rPr>
          <w:rFonts w:hint="cs"/>
          <w:rtl/>
        </w:rPr>
        <w:t>כח הדמיון</w:t>
      </w:r>
      <w:r>
        <w:rPr>
          <w:rtl/>
        </w:rPr>
        <w:fldChar w:fldCharType="begin"/>
      </w:r>
      <w:r>
        <w:instrText xml:space="preserve"> XE "</w:instrText>
      </w:r>
      <w:r w:rsidRPr="000559D8">
        <w:rPr>
          <w:rFonts w:hint="cs"/>
          <w:rtl/>
        </w:rPr>
        <w:instrText>כח הדמיון</w:instrText>
      </w:r>
      <w:r>
        <w:instrText xml:space="preserve">" </w:instrText>
      </w:r>
      <w:r>
        <w:rPr>
          <w:rtl/>
        </w:rPr>
        <w:fldChar w:fldCharType="end"/>
      </w:r>
      <w:r>
        <w:rPr>
          <w:rFonts w:hint="cs"/>
          <w:rtl/>
        </w:rPr>
        <w:t xml:space="preserve"> כשהוא לא מאוחד עם השכל אלא מכחיש את השכל ופועל באופן עצמאי, נקרא חומר, כיוון שהוא לא רואה את החיים שבדברים אלא רק את השטח החיצוני שלהם. כמו שבמדע המערבי רואים באבן דבר דומם מת ולא דבר חי שיש לו תכלית ורצון בתנועתו. </w:t>
      </w:r>
      <w:r w:rsidR="00A720F4">
        <w:rPr>
          <w:rFonts w:hint="cs"/>
          <w:rtl/>
        </w:rPr>
        <w:t>זו הנטייה למטריאליזם שהיא כמו אמונה דתית קנאית, ולא אכפת לה מכך שהמטריאליזם מופרך לגמרי ובקלות בהתבוננות שכלית קלה.</w:t>
      </w:r>
    </w:p>
    <w:p w14:paraId="1AF49FFF" w14:textId="77777777" w:rsidR="00A720F4" w:rsidRDefault="00A720F4" w:rsidP="00DB181A">
      <w:pPr>
        <w:pStyle w:val="FootnoteText"/>
        <w:rPr>
          <w:rtl/>
        </w:rPr>
      </w:pPr>
      <w:r>
        <w:rPr>
          <w:rFonts w:hint="cs"/>
          <w:rtl/>
        </w:rPr>
        <w:t>הוא גורם להתייחס לדברים לא כמו אל דברים חיים, שהם ואני איברים באותה רקמת חיים, ולכן מחוברים. אלא להתייחס לדברים רק מצד מה שהם מספקים את הצורך הפרטי הנפרד, ואלה התאוות הגשמיות.</w:t>
      </w:r>
    </w:p>
    <w:p w14:paraId="245F7169" w14:textId="14985101" w:rsidR="00126EF2" w:rsidRDefault="00A720F4" w:rsidP="00DB181A">
      <w:pPr>
        <w:pStyle w:val="FootnoteText"/>
        <w:rPr>
          <w:rtl/>
        </w:rPr>
      </w:pPr>
      <w:r>
        <w:rPr>
          <w:rFonts w:hint="cs"/>
          <w:rtl/>
        </w:rPr>
        <w:t xml:space="preserve">עיין </w:t>
      </w:r>
      <w:r w:rsidR="00126EF2">
        <w:rPr>
          <w:rFonts w:hint="cs"/>
          <w:rtl/>
        </w:rPr>
        <w:t xml:space="preserve"> </w:t>
      </w:r>
      <w:r>
        <w:rPr>
          <w:rFonts w:hint="cs"/>
          <w:rtl/>
        </w:rPr>
        <w:t>מורה נבוכים ב' י</w:t>
      </w:r>
      <w:r w:rsidR="00F055C8">
        <w:rPr>
          <w:rtl/>
        </w:rPr>
        <w:t>"</w:t>
      </w:r>
      <w:r>
        <w:rPr>
          <w:rFonts w:hint="cs"/>
          <w:rtl/>
        </w:rPr>
        <w:t>ב</w:t>
      </w:r>
      <w:r w:rsidR="00DC31FC">
        <w:rPr>
          <w:rtl/>
        </w:rPr>
        <w:fldChar w:fldCharType="begin"/>
      </w:r>
      <w:r w:rsidR="00DC31FC">
        <w:instrText xml:space="preserve"> XE "</w:instrText>
      </w:r>
      <w:r w:rsidR="00DC31FC" w:rsidRPr="00C26076">
        <w:rPr>
          <w:rFonts w:hint="cs"/>
          <w:rtl/>
        </w:rPr>
        <w:instrText>מורה נבוכים ב' י</w:instrText>
      </w:r>
      <w:r w:rsidR="00DC31FC">
        <w:rPr>
          <w:b/>
          <w:bCs/>
          <w:sz w:val="20"/>
          <w:szCs w:val="20"/>
        </w:rPr>
        <w:instrText>\</w:instrText>
      </w:r>
      <w:r w:rsidR="00DC31FC" w:rsidRPr="00C26076">
        <w:rPr>
          <w:rFonts w:hint="cs"/>
          <w:rtl/>
        </w:rPr>
        <w:instrText>"ב</w:instrText>
      </w:r>
      <w:r w:rsidR="00DC31FC">
        <w:instrText xml:space="preserve">" </w:instrText>
      </w:r>
      <w:r w:rsidR="00DC31FC">
        <w:rPr>
          <w:rtl/>
        </w:rPr>
        <w:fldChar w:fldCharType="end"/>
      </w:r>
      <w:r w:rsidR="00126EF2">
        <w:rPr>
          <w:rFonts w:hint="cs"/>
          <w:rtl/>
        </w:rPr>
        <w:t xml:space="preserve"> שכתב:</w:t>
      </w:r>
    </w:p>
    <w:p w14:paraId="6DFA699E" w14:textId="68F79023" w:rsidR="00126EF2" w:rsidRDefault="00F055C8" w:rsidP="00DB181A">
      <w:pPr>
        <w:pStyle w:val="FootnoteText"/>
        <w:rPr>
          <w:rtl/>
        </w:rPr>
      </w:pPr>
      <w:r>
        <w:rPr>
          <w:rtl/>
        </w:rPr>
        <w:t>"</w:t>
      </w:r>
      <w:r w:rsidR="00126EF2" w:rsidRPr="00126EF2">
        <w:rPr>
          <w:rtl/>
        </w:rPr>
        <w:t>כל זה המשך אחר הדמיון אשר הוא גם כן 'יצר הרע' באמת; כי כל חסרון בדיבר או במדות הוא פועל הדמיון או נמשך אחר פעלו.</w:t>
      </w:r>
      <w:r>
        <w:rPr>
          <w:rtl/>
        </w:rPr>
        <w:t>"</w:t>
      </w:r>
      <w:r w:rsidR="00A720F4">
        <w:rPr>
          <w:rFonts w:hint="cs"/>
          <w:rtl/>
        </w:rPr>
        <w:t xml:space="preserve"> </w:t>
      </w:r>
    </w:p>
    <w:p w14:paraId="7FE1CAB9" w14:textId="5AF024DE" w:rsidR="0042682D" w:rsidRDefault="00126EF2" w:rsidP="00126EF2">
      <w:pPr>
        <w:pStyle w:val="FootnoteText"/>
        <w:rPr>
          <w:rtl/>
        </w:rPr>
      </w:pPr>
      <w:r>
        <w:rPr>
          <w:rFonts w:hint="cs"/>
          <w:rtl/>
        </w:rPr>
        <w:t xml:space="preserve">ועיין שם </w:t>
      </w:r>
      <w:r w:rsidR="00A720F4">
        <w:rPr>
          <w:rFonts w:hint="cs"/>
          <w:rtl/>
        </w:rPr>
        <w:t>ג' ח'</w:t>
      </w:r>
      <w:r w:rsidR="00DC31FC">
        <w:rPr>
          <w:rtl/>
        </w:rPr>
        <w:fldChar w:fldCharType="begin"/>
      </w:r>
      <w:r w:rsidR="00DC31FC">
        <w:instrText xml:space="preserve"> XE "</w:instrText>
      </w:r>
      <w:r w:rsidR="00DC31FC" w:rsidRPr="00A4320E">
        <w:rPr>
          <w:rFonts w:hint="cs"/>
          <w:rtl/>
        </w:rPr>
        <w:instrText>מורה נבוכים ג' ח'</w:instrText>
      </w:r>
      <w:r w:rsidR="00DC31FC">
        <w:instrText xml:space="preserve">" </w:instrText>
      </w:r>
      <w:r w:rsidR="00DC31FC">
        <w:rPr>
          <w:rtl/>
        </w:rPr>
        <w:fldChar w:fldCharType="end"/>
      </w:r>
      <w:r w:rsidR="0042682D">
        <w:rPr>
          <w:rFonts w:hint="cs"/>
          <w:rtl/>
        </w:rPr>
        <w:t xml:space="preserve"> שכתב:</w:t>
      </w:r>
    </w:p>
    <w:p w14:paraId="3B1509D4" w14:textId="345E334A" w:rsidR="001419AC" w:rsidRDefault="00F055C8" w:rsidP="00126EF2">
      <w:pPr>
        <w:pStyle w:val="FootnoteText"/>
      </w:pPr>
      <w:r>
        <w:rPr>
          <w:rtl/>
        </w:rPr>
        <w:t>"</w:t>
      </w:r>
      <w:r w:rsidR="0042682D" w:rsidRPr="0042682D">
        <w:rPr>
          <w:rtl/>
        </w:rPr>
        <w:t>כל הגשמים ההווים הנפסדים לא ישיגם ההפסד רק מצד החומר שלהם לא זולת זה. אבל מצד הצורה ובבחינת עצם הצורה לא ישיגם הפסד רק הם עומדים. הלא תראה שהצורות המיניות כולם מתמידות עומדות ואמנם ישיג הפסד לצורה במקרה - רצוני לומר מפני התחברה לחומר וטבע החומר ואמיתתו - שהוא לעולם לא ימלט מחברת ההעדר ומפני זה לא תתקים בו צורה אבל יפשיט צורה וילבש צורה אחרת תמיד</w:t>
      </w:r>
      <w:r>
        <w:rPr>
          <w:rtl/>
        </w:rPr>
        <w:t>"</w:t>
      </w:r>
      <w:r w:rsidR="00A720F4">
        <w:rPr>
          <w:rFonts w:hint="cs"/>
          <w:rtl/>
        </w:rPr>
        <w:t xml:space="preserve">, </w:t>
      </w:r>
      <w:r w:rsidR="0042682D">
        <w:rPr>
          <w:rFonts w:hint="cs"/>
          <w:rtl/>
        </w:rPr>
        <w:t xml:space="preserve">ועיין עוד שם בכל הפרק, ושם </w:t>
      </w:r>
      <w:r w:rsidR="00126EF2">
        <w:rPr>
          <w:rFonts w:hint="cs"/>
          <w:rtl/>
        </w:rPr>
        <w:t>ג' ט', ג' י</w:t>
      </w:r>
      <w:r>
        <w:rPr>
          <w:rtl/>
        </w:rPr>
        <w:t>"</w:t>
      </w:r>
      <w:r w:rsidR="00126EF2">
        <w:rPr>
          <w:rFonts w:hint="cs"/>
          <w:rtl/>
        </w:rPr>
        <w:t xml:space="preserve">ב ועוד. </w:t>
      </w:r>
    </w:p>
  </w:footnote>
  <w:footnote w:id="238">
    <w:p w14:paraId="38878938" w14:textId="3CF7EA9E" w:rsidR="008307C5" w:rsidRDefault="008307C5">
      <w:pPr>
        <w:pStyle w:val="FootnoteText"/>
        <w:rPr>
          <w:rtl/>
        </w:rPr>
      </w:pPr>
      <w:r>
        <w:rPr>
          <w:rStyle w:val="FootnoteReference"/>
        </w:rPr>
        <w:footnoteRef/>
      </w:r>
      <w:r>
        <w:rPr>
          <w:rtl/>
        </w:rPr>
        <w:t xml:space="preserve"> </w:t>
      </w:r>
      <w:r>
        <w:rPr>
          <w:rFonts w:hint="cs"/>
          <w:rtl/>
        </w:rPr>
        <w:t>אני נאמן למונחים שבמקור, שלפעמים כותב היולי</w:t>
      </w:r>
      <w:r w:rsidR="00594121">
        <w:rPr>
          <w:rFonts w:hint="cs"/>
          <w:rtl/>
        </w:rPr>
        <w:t xml:space="preserve"> (והוא דווקא החומר הראשון)</w:t>
      </w:r>
      <w:r>
        <w:rPr>
          <w:rFonts w:hint="cs"/>
          <w:rtl/>
        </w:rPr>
        <w:t xml:space="preserve"> ולפעמים חומר</w:t>
      </w:r>
      <w:r w:rsidR="00594121">
        <w:rPr>
          <w:rFonts w:hint="cs"/>
          <w:rtl/>
        </w:rPr>
        <w:t xml:space="preserve"> (שהוא כל חומר ומשמש </w:t>
      </w:r>
      <w:r w:rsidR="00594121">
        <w:rPr>
          <w:rFonts w:hint="cs"/>
          <w:rtl/>
        </w:rPr>
        <w:t>כשלא מדובר דווקא בחומר הראשון)</w:t>
      </w:r>
      <w:r w:rsidR="00484637">
        <w:rPr>
          <w:rFonts w:hint="cs"/>
          <w:rtl/>
        </w:rPr>
        <w:t>.</w:t>
      </w:r>
    </w:p>
  </w:footnote>
  <w:footnote w:id="239">
    <w:p w14:paraId="72C6C17C" w14:textId="48E07838" w:rsidR="00BD2B9C" w:rsidRDefault="00BD2B9C">
      <w:pPr>
        <w:pStyle w:val="FootnoteText"/>
      </w:pPr>
      <w:r>
        <w:rPr>
          <w:rStyle w:val="FootnoteReference"/>
        </w:rPr>
        <w:footnoteRef/>
      </w:r>
      <w:r>
        <w:rPr>
          <w:rtl/>
        </w:rPr>
        <w:t xml:space="preserve"> </w:t>
      </w:r>
      <w:r>
        <w:rPr>
          <w:rFonts w:hint="cs"/>
          <w:rtl/>
        </w:rPr>
        <w:t>הסיבה החומרית הראשונה.</w:t>
      </w:r>
    </w:p>
  </w:footnote>
  <w:footnote w:id="240">
    <w:p w14:paraId="119EFD35" w14:textId="3E1AAB3A" w:rsidR="00BD2B9C" w:rsidRDefault="00BD2B9C">
      <w:pPr>
        <w:pStyle w:val="FootnoteText"/>
      </w:pPr>
      <w:r>
        <w:rPr>
          <w:rStyle w:val="FootnoteReference"/>
        </w:rPr>
        <w:footnoteRef/>
      </w:r>
      <w:r>
        <w:rPr>
          <w:rtl/>
        </w:rPr>
        <w:t xml:space="preserve"> </w:t>
      </w:r>
      <w:r w:rsidR="002F5636">
        <w:rPr>
          <w:rFonts w:hint="cs"/>
          <w:rtl/>
        </w:rPr>
        <w:t xml:space="preserve">ההיולי הוא </w:t>
      </w:r>
      <w:r>
        <w:rPr>
          <w:rFonts w:hint="cs"/>
          <w:rtl/>
        </w:rPr>
        <w:t xml:space="preserve">הסיבה החומרית </w:t>
      </w:r>
      <w:r w:rsidR="002F5636">
        <w:rPr>
          <w:rFonts w:hint="cs"/>
          <w:rtl/>
        </w:rPr>
        <w:t>הראשונה, וה</w:t>
      </w:r>
      <w:r w:rsidR="007A329C">
        <w:rPr>
          <w:rFonts w:hint="cs"/>
          <w:rtl/>
        </w:rPr>
        <w:t>עץ</w:t>
      </w:r>
      <w:r w:rsidR="002F5636">
        <w:rPr>
          <w:rFonts w:hint="cs"/>
          <w:rtl/>
        </w:rPr>
        <w:t xml:space="preserve"> ה</w:t>
      </w:r>
      <w:r w:rsidR="007A329C">
        <w:rPr>
          <w:rFonts w:hint="cs"/>
          <w:rtl/>
        </w:rPr>
        <w:t>וא</w:t>
      </w:r>
      <w:r w:rsidR="002F5636">
        <w:rPr>
          <w:rFonts w:hint="cs"/>
          <w:rtl/>
        </w:rPr>
        <w:t xml:space="preserve"> הסיבה הקרובה </w:t>
      </w:r>
      <w:r>
        <w:rPr>
          <w:rFonts w:hint="cs"/>
          <w:rtl/>
        </w:rPr>
        <w:t xml:space="preserve">שמביאה את כח הסיבה הראשונה אל העצם </w:t>
      </w:r>
      <w:r w:rsidR="002F5636">
        <w:rPr>
          <w:rFonts w:hint="cs"/>
          <w:rtl/>
        </w:rPr>
        <w:t>שנמצא בפועל</w:t>
      </w:r>
      <w:r>
        <w:rPr>
          <w:rFonts w:hint="cs"/>
          <w:rtl/>
        </w:rPr>
        <w:t>. עיין מורה נבוכים א' ס</w:t>
      </w:r>
      <w:r w:rsidR="00F055C8">
        <w:rPr>
          <w:rtl/>
        </w:rPr>
        <w:t>"</w:t>
      </w:r>
      <w:r>
        <w:rPr>
          <w:rFonts w:hint="cs"/>
          <w:rtl/>
        </w:rPr>
        <w:t>ט ושם ב' מ</w:t>
      </w:r>
      <w:r w:rsidR="00F055C8">
        <w:rPr>
          <w:rtl/>
        </w:rPr>
        <w:t>"</w:t>
      </w:r>
      <w:r>
        <w:rPr>
          <w:rFonts w:hint="cs"/>
          <w:rtl/>
        </w:rPr>
        <w:t>ח</w:t>
      </w:r>
      <w:r w:rsidR="00107FF4">
        <w:rPr>
          <w:rFonts w:hint="cs"/>
          <w:rtl/>
        </w:rPr>
        <w:t>,</w:t>
      </w:r>
      <w:r w:rsidR="006810AD">
        <w:rPr>
          <w:rFonts w:hint="cs"/>
          <w:rtl/>
        </w:rPr>
        <w:t xml:space="preserve"> ולעיל בהערה על 1.2.10</w:t>
      </w:r>
      <w:r w:rsidR="00B01420">
        <w:rPr>
          <w:rFonts w:hint="cs"/>
          <w:rtl/>
        </w:rPr>
        <w:t>.</w:t>
      </w:r>
    </w:p>
  </w:footnote>
  <w:footnote w:id="241">
    <w:p w14:paraId="0A1042BC" w14:textId="4E993A1A" w:rsidR="00861AED" w:rsidRDefault="00861AED">
      <w:pPr>
        <w:pStyle w:val="FootnoteText"/>
      </w:pPr>
      <w:r>
        <w:rPr>
          <w:rStyle w:val="FootnoteReference"/>
        </w:rPr>
        <w:footnoteRef/>
      </w:r>
      <w:r>
        <w:rPr>
          <w:rtl/>
        </w:rPr>
        <w:t xml:space="preserve"> </w:t>
      </w:r>
      <w:r>
        <w:rPr>
          <w:rFonts w:hint="cs"/>
          <w:rtl/>
        </w:rPr>
        <w:t xml:space="preserve">המיטה יכולה להתחדש רק במקום שאין בו צורת מיטה, </w:t>
      </w:r>
      <w:r w:rsidR="00B319B8">
        <w:rPr>
          <w:rFonts w:hint="cs"/>
          <w:rtl/>
        </w:rPr>
        <w:t xml:space="preserve">כלומר </w:t>
      </w:r>
      <w:r>
        <w:rPr>
          <w:rFonts w:hint="cs"/>
          <w:rtl/>
        </w:rPr>
        <w:t xml:space="preserve">העץ כשהוא קרשים </w:t>
      </w:r>
      <w:r w:rsidR="00B319B8">
        <w:rPr>
          <w:rFonts w:hint="cs"/>
          <w:rtl/>
        </w:rPr>
        <w:t xml:space="preserve">גולמיים </w:t>
      </w:r>
      <w:r>
        <w:rPr>
          <w:rFonts w:hint="cs"/>
          <w:rtl/>
        </w:rPr>
        <w:t xml:space="preserve">בלי צורת מיטה, </w:t>
      </w:r>
      <w:r w:rsidR="00B319B8">
        <w:rPr>
          <w:rFonts w:hint="cs"/>
          <w:rtl/>
        </w:rPr>
        <w:t>עץ כזה הוא</w:t>
      </w:r>
      <w:r>
        <w:rPr>
          <w:rFonts w:hint="cs"/>
          <w:rtl/>
        </w:rPr>
        <w:t xml:space="preserve"> העדר צורת מיטה. כמו שהתבאר לעיל שהתנועה מחייבת העדר (תנועה פירושה כל שינוי, גם השינוי מ</w:t>
      </w:r>
      <w:r w:rsidR="007A329C">
        <w:rPr>
          <w:rFonts w:hint="cs"/>
          <w:rtl/>
        </w:rPr>
        <w:t>עץ</w:t>
      </w:r>
      <w:r>
        <w:rPr>
          <w:rFonts w:hint="cs"/>
          <w:rtl/>
        </w:rPr>
        <w:t xml:space="preserve"> למיטה</w:t>
      </w:r>
      <w:r w:rsidR="00824025">
        <w:rPr>
          <w:rFonts w:hint="cs"/>
          <w:rtl/>
        </w:rPr>
        <w:t>, דהיינו התהוות המיטה (התבאר לעיל שיש שלושה אופני שינוי:</w:t>
      </w:r>
      <w:r w:rsidR="00824025">
        <w:rPr>
          <w:rFonts w:hint="cs"/>
        </w:rPr>
        <w:t xml:space="preserve"> </w:t>
      </w:r>
      <w:r w:rsidR="00824025">
        <w:rPr>
          <w:rFonts w:hint="cs"/>
          <w:rtl/>
        </w:rPr>
        <w:t>שינוי, השלמה והתהוות. כאן מדובר בהתהוות)</w:t>
      </w:r>
      <w:r>
        <w:rPr>
          <w:rFonts w:hint="cs"/>
          <w:rtl/>
        </w:rPr>
        <w:t>)</w:t>
      </w:r>
      <w:r w:rsidR="00B319B8">
        <w:rPr>
          <w:rFonts w:hint="cs"/>
          <w:rtl/>
        </w:rPr>
        <w:t>.</w:t>
      </w:r>
    </w:p>
  </w:footnote>
  <w:footnote w:id="242">
    <w:p w14:paraId="19232A23" w14:textId="189322AE" w:rsidR="00E436A9" w:rsidRDefault="00E436A9">
      <w:pPr>
        <w:pStyle w:val="FootnoteText"/>
      </w:pPr>
      <w:r>
        <w:rPr>
          <w:rStyle w:val="FootnoteReference"/>
        </w:rPr>
        <w:footnoteRef/>
      </w:r>
      <w:r>
        <w:rPr>
          <w:rtl/>
        </w:rPr>
        <w:t xml:space="preserve"> </w:t>
      </w:r>
      <w:r>
        <w:rPr>
          <w:rFonts w:hint="cs"/>
          <w:rtl/>
        </w:rPr>
        <w:t xml:space="preserve">כי אחרי שיש אדם כבר לא נמצא </w:t>
      </w:r>
      <w:r w:rsidR="00F055C8">
        <w:rPr>
          <w:rtl/>
        </w:rPr>
        <w:t>"</w:t>
      </w:r>
      <w:r>
        <w:rPr>
          <w:rFonts w:hint="cs"/>
          <w:rtl/>
        </w:rPr>
        <w:t>לא-אדם</w:t>
      </w:r>
      <w:r w:rsidR="00F055C8">
        <w:rPr>
          <w:rtl/>
        </w:rPr>
        <w:t>"</w:t>
      </w:r>
      <w:r>
        <w:rPr>
          <w:rFonts w:hint="cs"/>
          <w:rtl/>
        </w:rPr>
        <w:t xml:space="preserve">. </w:t>
      </w:r>
      <w:r w:rsidR="00F055C8">
        <w:rPr>
          <w:rtl/>
        </w:rPr>
        <w:t>"</w:t>
      </w:r>
      <w:r>
        <w:rPr>
          <w:rFonts w:hint="cs"/>
          <w:rtl/>
        </w:rPr>
        <w:t>לא אדם</w:t>
      </w:r>
      <w:r w:rsidR="00F055C8">
        <w:rPr>
          <w:rtl/>
        </w:rPr>
        <w:t>"</w:t>
      </w:r>
      <w:r>
        <w:rPr>
          <w:rFonts w:hint="cs"/>
          <w:rtl/>
        </w:rPr>
        <w:t xml:space="preserve"> הוא הזרע שאין בו צורת אדם אבל יש בו העדר של צורת אדם כיוון שיש בו אפשרות שי</w:t>
      </w:r>
      <w:r w:rsidR="005F4A8A">
        <w:rPr>
          <w:rFonts w:hint="cs"/>
          <w:rtl/>
        </w:rPr>
        <w:t>תהוו</w:t>
      </w:r>
      <w:r>
        <w:rPr>
          <w:rFonts w:hint="cs"/>
          <w:rtl/>
        </w:rPr>
        <w:t xml:space="preserve">ה ממנו אדם. לכן אבן אינה 'לא-אדם' במובן זה. </w:t>
      </w:r>
    </w:p>
  </w:footnote>
  <w:footnote w:id="243">
    <w:p w14:paraId="08274460" w14:textId="2E5069E3" w:rsidR="00F877BC" w:rsidRDefault="00950AC1">
      <w:pPr>
        <w:pStyle w:val="FootnoteText"/>
        <w:rPr>
          <w:rtl/>
        </w:rPr>
      </w:pPr>
      <w:r>
        <w:rPr>
          <w:rStyle w:val="FootnoteReference"/>
        </w:rPr>
        <w:footnoteRef/>
      </w:r>
      <w:r>
        <w:rPr>
          <w:rtl/>
        </w:rPr>
        <w:t xml:space="preserve"> </w:t>
      </w:r>
      <w:bookmarkStart w:id="152" w:name="_Hlk98527192"/>
      <w:r w:rsidR="00F877BC" w:rsidRPr="00F877BC">
        <w:rPr>
          <w:rFonts w:hint="cs"/>
          <w:b/>
          <w:bCs/>
          <w:sz w:val="28"/>
          <w:szCs w:val="28"/>
          <w:rtl/>
        </w:rPr>
        <w:t>קדמות העולם וחידוש העולם</w:t>
      </w:r>
      <w:bookmarkEnd w:id="152"/>
      <w:r w:rsidR="00F877BC">
        <w:rPr>
          <w:b/>
          <w:bCs/>
          <w:sz w:val="28"/>
          <w:szCs w:val="28"/>
          <w:rtl/>
        </w:rPr>
        <w:fldChar w:fldCharType="begin"/>
      </w:r>
      <w:r w:rsidR="00F877BC">
        <w:instrText xml:space="preserve"> XE "</w:instrText>
      </w:r>
      <w:r w:rsidR="00F877BC" w:rsidRPr="00880FF3">
        <w:rPr>
          <w:rFonts w:hint="cs"/>
          <w:b/>
          <w:bCs/>
          <w:sz w:val="28"/>
          <w:szCs w:val="28"/>
          <w:rtl/>
        </w:rPr>
        <w:instrText>מאמר</w:instrText>
      </w:r>
      <w:r w:rsidR="00F877BC" w:rsidRPr="00880FF3">
        <w:rPr>
          <w:b/>
          <w:bCs/>
          <w:sz w:val="28"/>
          <w:szCs w:val="28"/>
          <w:rtl/>
        </w:rPr>
        <w:instrText>:</w:instrText>
      </w:r>
      <w:r w:rsidR="00F877BC" w:rsidRPr="00880FF3">
        <w:rPr>
          <w:rtl/>
        </w:rPr>
        <w:instrText>קדמות העולם וחידוש העולם</w:instrText>
      </w:r>
      <w:r w:rsidR="00F877BC">
        <w:instrText xml:space="preserve">" </w:instrText>
      </w:r>
      <w:r w:rsidR="00F877BC">
        <w:rPr>
          <w:b/>
          <w:bCs/>
          <w:sz w:val="28"/>
          <w:szCs w:val="28"/>
          <w:rtl/>
        </w:rPr>
        <w:fldChar w:fldCharType="end"/>
      </w:r>
    </w:p>
    <w:p w14:paraId="4E780884" w14:textId="703DA672" w:rsidR="00484104" w:rsidRDefault="00950AC1">
      <w:pPr>
        <w:pStyle w:val="FootnoteText"/>
        <w:rPr>
          <w:rtl/>
        </w:rPr>
      </w:pPr>
      <w:r>
        <w:rPr>
          <w:rFonts w:hint="cs"/>
          <w:rtl/>
        </w:rPr>
        <w:t xml:space="preserve">כלומר המיטה מתהווה </w:t>
      </w:r>
      <w:r w:rsidR="00255A6A" w:rsidRPr="00255A6A">
        <w:rPr>
          <w:b/>
          <w:bCs/>
          <w:rtl/>
        </w:rPr>
        <w:t>מְ</w:t>
      </w:r>
      <w:r>
        <w:rPr>
          <w:rFonts w:hint="cs"/>
          <w:rtl/>
        </w:rPr>
        <w:t>העץ, ולא שהעץ נעשה מיטה.</w:t>
      </w:r>
    </w:p>
    <w:p w14:paraId="28D23069" w14:textId="77777777" w:rsidR="00484104" w:rsidRDefault="00484104" w:rsidP="00484104">
      <w:pPr>
        <w:pStyle w:val="FootnoteText"/>
        <w:rPr>
          <w:rtl/>
        </w:rPr>
      </w:pPr>
      <w:r>
        <w:rPr>
          <w:rFonts w:hint="cs"/>
          <w:rtl/>
        </w:rPr>
        <w:t xml:space="preserve">כשאדם נעשה סופר, איננו אומרים שסופר התהווה מאדם, כיוון שגם אחרי שיש סופר עדיין יש גם אדם. לכן הסופר אינו 'אחרי' האדם. </w:t>
      </w:r>
    </w:p>
    <w:p w14:paraId="2B214DC5" w14:textId="77777777" w:rsidR="00AF0EDE" w:rsidRDefault="00484104" w:rsidP="00484104">
      <w:pPr>
        <w:pStyle w:val="FootnoteText"/>
        <w:rPr>
          <w:rtl/>
        </w:rPr>
      </w:pPr>
      <w:r>
        <w:rPr>
          <w:rFonts w:hint="cs"/>
          <w:rtl/>
        </w:rPr>
        <w:t xml:space="preserve">זרע ואדם, וכן קרש ומיטה, הם שני עצמים נפרדים. העצם הראשון חדל מלהתקיים אחרי שמתהווה ממנו העצם השני. </w:t>
      </w:r>
      <w:r w:rsidR="00255A6A">
        <w:rPr>
          <w:rFonts w:hint="cs"/>
          <w:rtl/>
        </w:rPr>
        <w:t xml:space="preserve">לכן העצם השני הוא </w:t>
      </w:r>
      <w:r w:rsidR="00A26D45" w:rsidRPr="00A26D45">
        <w:rPr>
          <w:b/>
          <w:bCs/>
          <w:rtl/>
        </w:rPr>
        <w:t>מְ</w:t>
      </w:r>
      <w:r w:rsidR="00255A6A">
        <w:rPr>
          <w:rFonts w:hint="cs"/>
          <w:rtl/>
        </w:rPr>
        <w:t xml:space="preserve">העצם הראשון. </w:t>
      </w:r>
      <w:r w:rsidR="00A26D45">
        <w:rPr>
          <w:rFonts w:hint="cs"/>
          <w:rtl/>
        </w:rPr>
        <w:t>זהו משום שהשינוי חל בקטגוריית העצם. לעומת זאת להיות סופר הוא מאפיין (מקטגוריית האיכות) בעצם שהוא אדם, וסופר אינו עצם בפני עצמו. כשאדם נעשה סופר זה כמו שאדם נעשה זקן, לא אומרים שמהאדם התהוותה זקנה, כי הזקנה היא מאפיין של האדם ולא עצם נפרד ממנו, לכן היא שינוי בו ולא משהו שהתהווה ממנו.</w:t>
      </w:r>
    </w:p>
    <w:p w14:paraId="183F1F2A" w14:textId="028BB9C3" w:rsidR="003048B1" w:rsidRDefault="00AF0EDE" w:rsidP="00484104">
      <w:pPr>
        <w:pStyle w:val="FootnoteText"/>
        <w:rPr>
          <w:rtl/>
        </w:rPr>
      </w:pPr>
      <w:r>
        <w:rPr>
          <w:rFonts w:hint="cs"/>
          <w:rtl/>
        </w:rPr>
        <w:t xml:space="preserve">לפי אבן </w:t>
      </w:r>
      <w:r>
        <w:rPr>
          <w:rFonts w:hint="cs"/>
          <w:rtl/>
        </w:rPr>
        <w:t>רושד, הוא השיטה של קדמות העולם</w:t>
      </w:r>
      <w:r w:rsidR="00F877BC">
        <w:rPr>
          <w:rtl/>
        </w:rPr>
        <w:fldChar w:fldCharType="begin"/>
      </w:r>
      <w:r w:rsidR="00F877BC">
        <w:instrText xml:space="preserve"> XE "</w:instrText>
      </w:r>
      <w:r w:rsidR="00F877BC" w:rsidRPr="00A6424D">
        <w:rPr>
          <w:rFonts w:hint="cs"/>
          <w:rtl/>
        </w:rPr>
        <w:instrText>קדמות העולם וחידוש העולם</w:instrText>
      </w:r>
      <w:r w:rsidR="00F877BC">
        <w:instrText xml:space="preserve">" </w:instrText>
      </w:r>
      <w:r w:rsidR="00F877BC">
        <w:rPr>
          <w:rtl/>
        </w:rPr>
        <w:fldChar w:fldCharType="end"/>
      </w:r>
      <w:r>
        <w:rPr>
          <w:rFonts w:hint="cs"/>
          <w:rtl/>
        </w:rPr>
        <w:t xml:space="preserve"> שמביא המורה נבוכים בחלק ב' (וקורא לה שיטת אריסטו (אע</w:t>
      </w:r>
      <w:r w:rsidR="00F055C8">
        <w:rPr>
          <w:rtl/>
        </w:rPr>
        <w:t>"</w:t>
      </w:r>
      <w:r>
        <w:rPr>
          <w:rFonts w:hint="cs"/>
          <w:rtl/>
        </w:rPr>
        <w:t>פ שהוא יודע שזו רק שיטת אבן רושד ולא שיטת אריסטו עצמו, וכמו שהוכחתי בלי ספק במקומות אחרים)), מציאות העולם היא שינוי שנעשה בבורא, כמו שלהיות סופר הוא שינוי שנעשה באדם. כי הבורא הוא שכל, והמציאות נובעת ממנו בהכרח על דרך ה</w:t>
      </w:r>
      <w:r w:rsidR="0035627D">
        <w:rPr>
          <w:rFonts w:hint="cs"/>
          <w:rtl/>
        </w:rPr>
        <w:t xml:space="preserve">חיוב </w:t>
      </w:r>
      <w:r>
        <w:rPr>
          <w:rFonts w:hint="cs"/>
          <w:rtl/>
        </w:rPr>
        <w:t>השכלי (כמו שכתב במורה נבוכים ב' כ')</w:t>
      </w:r>
      <w:r w:rsidR="0035627D">
        <w:rPr>
          <w:rFonts w:hint="cs"/>
          <w:rtl/>
        </w:rPr>
        <w:t>, ובמתימטיקה כל מה שיש נמצא כבר בהנחות, והמסקנה היא רק גילוי של מה שיש בהנחות, ולא יצירה של עצם שלא היה מקודם</w:t>
      </w:r>
      <w:r>
        <w:rPr>
          <w:rFonts w:hint="cs"/>
          <w:rtl/>
        </w:rPr>
        <w:t xml:space="preserve">. </w:t>
      </w:r>
      <w:r w:rsidR="003048B1">
        <w:rPr>
          <w:rFonts w:hint="cs"/>
          <w:rtl/>
        </w:rPr>
        <w:t xml:space="preserve">לפי אבן רושד המציאות של העצמים קדומה כמו המציאות של הבורא, והבורא אינו מופשט ונבדל. לכן התהוות עצם חדש היא רק שינוי מאפיין בבורא שנעשה יותר מגולה, ולכן הלשון המדוייקת היא שהבורא נעשה מגולה בעצמים שהתהוו, כמו שהאדם נעשה סופר. </w:t>
      </w:r>
    </w:p>
    <w:p w14:paraId="4171F029" w14:textId="7A4FCBEF" w:rsidR="0077776E" w:rsidRDefault="003048B1" w:rsidP="00484104">
      <w:pPr>
        <w:pStyle w:val="FootnoteText"/>
        <w:rPr>
          <w:rtl/>
        </w:rPr>
      </w:pPr>
      <w:r>
        <w:rPr>
          <w:rFonts w:hint="cs"/>
          <w:rtl/>
        </w:rPr>
        <w:t>לעומת זאת הדעה שהעולם מחודש (שגם היא מודה שהעולם קיים משך אין סופי של זמן, ולא התחיל להיות קיים על נקודה כלשהי בציר הזמן, כי אין לציר הזמן נקודת התחלה, כמו שכתב במורה נבוכים ב' י</w:t>
      </w:r>
      <w:r w:rsidR="00F055C8">
        <w:rPr>
          <w:rtl/>
        </w:rPr>
        <w:t>"</w:t>
      </w:r>
      <w:r>
        <w:rPr>
          <w:rFonts w:hint="cs"/>
          <w:rtl/>
        </w:rPr>
        <w:t xml:space="preserve">ג וב' ל'), מנוסחת שהעולם נברא </w:t>
      </w:r>
      <w:r w:rsidRPr="003048B1">
        <w:rPr>
          <w:rFonts w:hint="cs"/>
          <w:b/>
          <w:bCs/>
          <w:rtl/>
        </w:rPr>
        <w:t>אחרי</w:t>
      </w:r>
      <w:r>
        <w:rPr>
          <w:rFonts w:hint="cs"/>
          <w:rtl/>
        </w:rPr>
        <w:t xml:space="preserve"> ההעדר, או </w:t>
      </w:r>
      <w:r w:rsidRPr="003048B1">
        <w:rPr>
          <w:rFonts w:hint="cs"/>
          <w:b/>
          <w:bCs/>
          <w:rtl/>
        </w:rPr>
        <w:t xml:space="preserve">אחרי </w:t>
      </w:r>
      <w:r>
        <w:rPr>
          <w:rFonts w:hint="cs"/>
          <w:rtl/>
        </w:rPr>
        <w:t xml:space="preserve">שלא היה. והכוונה היא שיש </w:t>
      </w:r>
      <w:r w:rsidR="00F055C8">
        <w:rPr>
          <w:rtl/>
        </w:rPr>
        <w:t>"</w:t>
      </w:r>
      <w:r>
        <w:rPr>
          <w:rFonts w:hint="cs"/>
          <w:rtl/>
        </w:rPr>
        <w:t>קפיצה</w:t>
      </w:r>
      <w:r w:rsidR="00F055C8">
        <w:rPr>
          <w:rtl/>
        </w:rPr>
        <w:t>"</w:t>
      </w:r>
      <w:r>
        <w:rPr>
          <w:rFonts w:hint="cs"/>
          <w:rtl/>
        </w:rPr>
        <w:t xml:space="preserve"> מהבורא המופשט לחלוטין אל הנבראים המוגבלים, כלומר הבריאה הראשונית של ההיולי, שהיא אינה בדרך של סיבתיות או חוקיות שכלית כלשהי, אלא מרצון חופשי. לכן מה שנברא הוא חדש, כי הוא לא שינוי מאפיין במשהו שהיה קיים ונשאר קיים. והוא נברא יש </w:t>
      </w:r>
      <w:r w:rsidRPr="003048B1">
        <w:rPr>
          <w:b/>
          <w:bCs/>
          <w:rtl/>
        </w:rPr>
        <w:t>מְ</w:t>
      </w:r>
      <w:r>
        <w:rPr>
          <w:rFonts w:hint="cs"/>
          <w:rtl/>
        </w:rPr>
        <w:t xml:space="preserve">אין. </w:t>
      </w:r>
      <w:r w:rsidR="006A7E78">
        <w:rPr>
          <w:rFonts w:hint="cs"/>
          <w:rtl/>
        </w:rPr>
        <w:t xml:space="preserve">המעבר של הבריאה מהבורא לנבראים, לפי אבן רושד הוא מובן בשכל, כי הבורא הוא חכמה ובחכמה מתחדשים דברים לפי גזירת החכמה, מא' נובע ב' לפי הלוגיקה, וכך מהחכמה שהיא הבורא נגזר על דרך נביעה לוגית מציאותה נבראים. </w:t>
      </w:r>
    </w:p>
    <w:p w14:paraId="671745CA" w14:textId="36CBA316" w:rsidR="00F324CF" w:rsidRDefault="006A7E78" w:rsidP="00484104">
      <w:pPr>
        <w:pStyle w:val="FootnoteText"/>
        <w:rPr>
          <w:rtl/>
        </w:rPr>
      </w:pPr>
      <w:r>
        <w:rPr>
          <w:rFonts w:hint="cs"/>
          <w:rtl/>
        </w:rPr>
        <w:t>לעומת זאת לפי אבן סינא והרמב</w:t>
      </w:r>
      <w:r w:rsidR="00F055C8">
        <w:rPr>
          <w:rtl/>
        </w:rPr>
        <w:t>"</w:t>
      </w:r>
      <w:r>
        <w:rPr>
          <w:rFonts w:hint="cs"/>
          <w:rtl/>
        </w:rPr>
        <w:t>ם המעבר מהבורא לנבראים אינו כמו מעבר מחכמה למה שנגזר ממנה, אלא הוא מעבר ממה שהוא מופשט לחלוטין מכל הגדרה שהיא, אחדות פשוטה בלי מורכבות כלל (ואינו חכמה כי חכמה מיוסדת על הגדרות)</w:t>
      </w:r>
      <w:r>
        <w:rPr>
          <w:rFonts w:hint="cs"/>
        </w:rPr>
        <w:t xml:space="preserve"> </w:t>
      </w:r>
      <w:r>
        <w:rPr>
          <w:rFonts w:hint="cs"/>
          <w:rtl/>
        </w:rPr>
        <w:t>אל משהו מוגדר</w:t>
      </w:r>
      <w:r w:rsidR="0077776E">
        <w:rPr>
          <w:rFonts w:hint="cs"/>
          <w:rtl/>
        </w:rPr>
        <w:t xml:space="preserve"> (ועיין מורה נבוכים ב' י</w:t>
      </w:r>
      <w:r w:rsidR="00F055C8">
        <w:rPr>
          <w:rtl/>
        </w:rPr>
        <w:t>"</w:t>
      </w:r>
      <w:r w:rsidR="0077776E">
        <w:rPr>
          <w:rFonts w:hint="cs"/>
          <w:rtl/>
        </w:rPr>
        <w:t>ז)</w:t>
      </w:r>
      <w:r>
        <w:rPr>
          <w:rFonts w:hint="cs"/>
          <w:rtl/>
        </w:rPr>
        <w:t>.</w:t>
      </w:r>
      <w:r w:rsidR="00CD0FEC">
        <w:rPr>
          <w:rFonts w:hint="cs"/>
          <w:rtl/>
        </w:rPr>
        <w:t xml:space="preserve"> המעבר הזה הוא סוד מעשה מרכבה</w:t>
      </w:r>
      <w:r w:rsidR="00D13CEC">
        <w:rPr>
          <w:rtl/>
        </w:rPr>
        <w:fldChar w:fldCharType="begin"/>
      </w:r>
      <w:r w:rsidR="00D13CEC">
        <w:instrText xml:space="preserve"> XE "</w:instrText>
      </w:r>
      <w:r w:rsidR="00D13CEC" w:rsidRPr="006117B1">
        <w:rPr>
          <w:rFonts w:hint="cs"/>
          <w:rtl/>
        </w:rPr>
        <w:instrText>מעשה מרכבה</w:instrText>
      </w:r>
      <w:r w:rsidR="00D13CEC">
        <w:instrText xml:space="preserve">" </w:instrText>
      </w:r>
      <w:r w:rsidR="00D13CEC">
        <w:rPr>
          <w:rtl/>
        </w:rPr>
        <w:fldChar w:fldCharType="end"/>
      </w:r>
      <w:r w:rsidR="00CD0FEC">
        <w:rPr>
          <w:rFonts w:hint="cs"/>
          <w:rtl/>
        </w:rPr>
        <w:t xml:space="preserve">, הוא לא יכול להיות מובן בשכל. </w:t>
      </w:r>
      <w:r w:rsidR="00CC3238">
        <w:rPr>
          <w:rFonts w:hint="cs"/>
          <w:rtl/>
        </w:rPr>
        <w:t>כיוון שמציאות של עצם כלשהו תלויה בהגדרה, וממילא בחכמה שמגדירה אותו, הוא נחשב התהוות חדשה כי לפניו לא היו הגדרה וחכמה, ולכן הוא נברא '</w:t>
      </w:r>
      <w:r w:rsidR="00CC3238" w:rsidRPr="00CC3238">
        <w:rPr>
          <w:b/>
          <w:bCs/>
          <w:rtl/>
        </w:rPr>
        <w:t>מְ</w:t>
      </w:r>
      <w:r w:rsidR="00CC3238">
        <w:rPr>
          <w:rFonts w:hint="cs"/>
          <w:rtl/>
        </w:rPr>
        <w:t xml:space="preserve">...'. </w:t>
      </w:r>
    </w:p>
    <w:p w14:paraId="34609F72" w14:textId="4C698F97" w:rsidR="00F324CF" w:rsidRDefault="00F324CF" w:rsidP="00484104">
      <w:pPr>
        <w:pStyle w:val="FootnoteText"/>
        <w:rPr>
          <w:rtl/>
        </w:rPr>
      </w:pPr>
      <w:r>
        <w:rPr>
          <w:rFonts w:hint="cs"/>
          <w:rtl/>
        </w:rPr>
        <w:t>וכמו שכתב המורה נבוכים א' ע</w:t>
      </w:r>
      <w:r w:rsidR="00F055C8">
        <w:rPr>
          <w:rtl/>
        </w:rPr>
        <w:t>"</w:t>
      </w:r>
      <w:r>
        <w:rPr>
          <w:rFonts w:hint="cs"/>
          <w:rtl/>
        </w:rPr>
        <w:t>ב:</w:t>
      </w:r>
    </w:p>
    <w:p w14:paraId="2F8EB3C2" w14:textId="49267014" w:rsidR="00AC4B14" w:rsidRDefault="00F055C8" w:rsidP="00484104">
      <w:pPr>
        <w:pStyle w:val="FootnoteText"/>
        <w:rPr>
          <w:rtl/>
        </w:rPr>
      </w:pPr>
      <w:r>
        <w:rPr>
          <w:rtl/>
        </w:rPr>
        <w:t>"</w:t>
      </w:r>
      <w:r w:rsidR="00F324CF" w:rsidRPr="00F324CF">
        <w:rPr>
          <w:rtl/>
        </w:rPr>
        <w:t>והשם יתברך אינו כוח בגוף העולם, אבל נפרד מכל חלקי העולם; והנהגתו יתעלה והשגחתו מחוברת לעולם בכללו חיבור נעלם ממנו תכליתו, וכוחות בני אדם מקצרות לדעתו; כי המופת יעמוד על ה</w:t>
      </w:r>
      <w:r w:rsidR="00E54CFF">
        <w:rPr>
          <w:rFonts w:hint="cs"/>
          <w:rtl/>
        </w:rPr>
        <w:t>י</w:t>
      </w:r>
      <w:r w:rsidR="00F324CF" w:rsidRPr="00F324CF">
        <w:rPr>
          <w:rtl/>
        </w:rPr>
        <w:t>בדלו יתעלה מן העולם וה</w:t>
      </w:r>
      <w:r w:rsidR="00E54CFF">
        <w:rPr>
          <w:rFonts w:hint="cs"/>
          <w:rtl/>
        </w:rPr>
        <w:t>י</w:t>
      </w:r>
      <w:r w:rsidR="00F324CF" w:rsidRPr="00F324CF">
        <w:rPr>
          <w:rtl/>
        </w:rPr>
        <w:t>נקותו ממנו, והמופת יעמוד על מציאות מעשה הנהגתו והשגחתו בכל חלק מחלקיו, ואפילו הדק הפחות; ישתבח מי שנצְחָנו שלמותו</w:t>
      </w:r>
      <w:r w:rsidR="00B94960">
        <w:rPr>
          <w:rtl/>
        </w:rPr>
        <w:fldChar w:fldCharType="begin"/>
      </w:r>
      <w:r w:rsidR="00B94960">
        <w:instrText xml:space="preserve"> XE "</w:instrText>
      </w:r>
      <w:r w:rsidR="00B94960" w:rsidRPr="00893C63">
        <w:rPr>
          <w:rFonts w:hint="cs"/>
          <w:rtl/>
        </w:rPr>
        <w:instrText>מורה נבוכים א' ע</w:instrText>
      </w:r>
      <w:r w:rsidR="00B94960">
        <w:rPr>
          <w:rFonts w:asciiTheme="minorHAnsi" w:eastAsiaTheme="minorEastAsia" w:hAnsiTheme="minorHAnsi" w:cstheme="minorBidi"/>
          <w:sz w:val="22"/>
          <w:szCs w:val="22"/>
        </w:rPr>
        <w:instrText>\</w:instrText>
      </w:r>
      <w:r w:rsidR="00B94960" w:rsidRPr="00893C63">
        <w:rPr>
          <w:rFonts w:hint="cs"/>
          <w:rtl/>
        </w:rPr>
        <w:instrText>"ב</w:instrText>
      </w:r>
      <w:r w:rsidR="00B94960" w:rsidRPr="00893C63">
        <w:rPr>
          <w:rtl/>
        </w:rPr>
        <w:instrText>:ישתבח מי שנצְחָנו שלמותו</w:instrText>
      </w:r>
      <w:r w:rsidR="00B94960">
        <w:instrText xml:space="preserve">" </w:instrText>
      </w:r>
      <w:r w:rsidR="00B94960">
        <w:rPr>
          <w:rtl/>
        </w:rPr>
        <w:fldChar w:fldCharType="end"/>
      </w:r>
      <w:r w:rsidR="00F324CF" w:rsidRPr="00F324CF">
        <w:rPr>
          <w:rtl/>
        </w:rPr>
        <w:t>!</w:t>
      </w:r>
      <w:r>
        <w:rPr>
          <w:rtl/>
        </w:rPr>
        <w:t>"</w:t>
      </w:r>
    </w:p>
    <w:p w14:paraId="5A40843A" w14:textId="788199B3" w:rsidR="0077776E" w:rsidRDefault="00AC4B14" w:rsidP="00484104">
      <w:pPr>
        <w:pStyle w:val="FootnoteText"/>
        <w:rPr>
          <w:rtl/>
        </w:rPr>
      </w:pPr>
      <w:r>
        <w:rPr>
          <w:rFonts w:hint="cs"/>
          <w:rtl/>
        </w:rPr>
        <w:t>סוד מעשה מרכבה הוא המעבר מהמופשט המוחלט אל המוגבל, שנקרא בחכמת הקבלה המעבר מספירת כתר (שמורה על האין סוף) לספירת חכמה</w:t>
      </w:r>
      <w:r>
        <w:rPr>
          <w:rtl/>
        </w:rPr>
        <w:fldChar w:fldCharType="begin"/>
      </w:r>
      <w:r>
        <w:instrText xml:space="preserve"> XE "</w:instrText>
      </w:r>
      <w:r w:rsidRPr="00210D30">
        <w:rPr>
          <w:rFonts w:hint="cs"/>
          <w:rtl/>
        </w:rPr>
        <w:instrText>ספירת כתר וספירת חכמה</w:instrText>
      </w:r>
      <w:r>
        <w:instrText xml:space="preserve">" </w:instrText>
      </w:r>
      <w:r>
        <w:rPr>
          <w:rtl/>
        </w:rPr>
        <w:fldChar w:fldCharType="end"/>
      </w:r>
      <w:r>
        <w:rPr>
          <w:rFonts w:hint="cs"/>
          <w:rtl/>
        </w:rPr>
        <w:t>.</w:t>
      </w:r>
      <w:r w:rsidR="00751CB1">
        <w:rPr>
          <w:rFonts w:hint="cs"/>
          <w:rtl/>
        </w:rPr>
        <w:t xml:space="preserve"> זה העניין של בריאה, (בערבית איבדע), שנאמרת רק על הנברא הראשון (ועל כל השאר נאמר יצירה ועשייה), כי היא הבריאה של מה שמושג בשכל מתוך המופשט שאינו מושג בשכל, ולכן הבריאה עצמה היא מעל השכל. וכמו שכתב במורה נבוכים ב' י"ז, ושם ב' כ"ז עיין שם היטב, וגם בב' י"ח ועוד.  </w:t>
      </w:r>
    </w:p>
    <w:p w14:paraId="240255B7" w14:textId="61A24F50" w:rsidR="00751CB1" w:rsidRDefault="00751CB1" w:rsidP="00484104">
      <w:pPr>
        <w:pStyle w:val="FootnoteText"/>
        <w:rPr>
          <w:rtl/>
        </w:rPr>
      </w:pPr>
      <w:r>
        <w:rPr>
          <w:rFonts w:hint="cs"/>
          <w:rtl/>
        </w:rPr>
        <w:t xml:space="preserve">ועיין בזה באריסטו מטאפיזיקה למבדא פרק י' לגבי הצבא. גם אבן סינא כתב זאת, למשל באל נג'את עמ' 305 שהובא במורה המורה על מורה נבוכים א' ל"ה: </w:t>
      </w:r>
    </w:p>
    <w:p w14:paraId="5A9D6E2D" w14:textId="4276254B" w:rsidR="00751CB1" w:rsidRDefault="00751CB1" w:rsidP="00484104">
      <w:pPr>
        <w:pStyle w:val="FootnoteText"/>
      </w:pPr>
      <w:r>
        <w:rPr>
          <w:rFonts w:hint="cs"/>
          <w:rtl/>
        </w:rPr>
        <w:t>"ואין צריך להטריד ההמון בשום דבר מידיעת האלוה ית', אלא שהוא אחד ואמת ואין דומה לו. ואין צריך להטריחם שיאמינו שאינו מתחלק ושאינו מחוץ לעולם ולא תוכו, ול</w:t>
      </w:r>
      <w:r w:rsidR="0048480E">
        <w:rPr>
          <w:rFonts w:hint="cs"/>
          <w:rtl/>
        </w:rPr>
        <w:t>א</w:t>
      </w:r>
      <w:r>
        <w:rPr>
          <w:rFonts w:hint="cs"/>
          <w:rtl/>
        </w:rPr>
        <w:t xml:space="preserve"> בדבר מזה המין, כי זה ישבש הדת עליהם כי אין כח בהם לצייר זה העניין אבל יכזבו אותו, או יהיה זה סיבה למחלוקת ימנעום מהמעשים המדיניים". עכ"ל. </w:t>
      </w:r>
    </w:p>
    <w:p w14:paraId="21D65D13" w14:textId="77777777" w:rsidR="0077776E" w:rsidRDefault="0077776E" w:rsidP="00484104">
      <w:pPr>
        <w:pStyle w:val="FootnoteText"/>
      </w:pPr>
    </w:p>
    <w:p w14:paraId="1E710E2E" w14:textId="19C41804" w:rsidR="0077776E" w:rsidRDefault="0077776E" w:rsidP="00484104">
      <w:pPr>
        <w:pStyle w:val="FootnoteText"/>
        <w:rPr>
          <w:rtl/>
        </w:rPr>
      </w:pPr>
      <w:r>
        <w:rPr>
          <w:rFonts w:hint="cs"/>
          <w:rtl/>
        </w:rPr>
        <w:t xml:space="preserve">אם הבורא ברא סוס ואדם, הרי שלפני שברא אותם הוא חשב על סוס ואדם ורצה בהם, ואם כן במחשבתו ורצונו עצמם יש מורכבות והגדרות, הם המושגים המוגדרים של סוס ואדם, ואם כן לא ייתכן כלל שהוא אחד פשוט מכל צד בלי מורכבות כלל. אלא צריך לומר שכיוון שספירת כתר, הרצון האלוהי החופשי, הוא מעל החכמה, ואין בו שום הגדרות, גם אין בו שלילת הגדרות. שלילת הגדרה היא רק במקום שבפוטנציאל היה אפשר שתהיה הגדרה. למשל אם אומרים על גוף חומרי שאין לו צבע מוגדר כלל, וכגון זכוכית שקופה, זו שלילת הגדרה של צבע. אבל לומר שהמספר שלוש אין לו הגדרה של צבע, אין זו שלילת הגדרת צבע ממנו, אלא זו אמירה שהוא לא שייך כלל לרובד המציאות שיש בה הגדרות של איכויות כמו צבע. </w:t>
      </w:r>
      <w:r w:rsidR="00CF1B57">
        <w:rPr>
          <w:rFonts w:hint="cs"/>
          <w:rtl/>
        </w:rPr>
        <w:t xml:space="preserve">לגוף חומרי כמו זכוכית יש פוטנציאל לקבל הגדרת צבע כלשהי, אבל ליישות מתימטית אין כלל פוטנציאל כזה. כך מה שמעל ספירת כתר אין בו פוטנציאל לקבל שום הגדרה, לכן אין זה נכון לומר עליו שהוא מחוסר הגדרה כניגוד לספירת חכמה שבה יש הגדרות. אין לנו אפשרות לתפוש דבר שלא רק שאין בו שום הגדרה אלא גם אין בו שום פוטנציאל שיקבל הגדרה כלשהי, לכן הידיעה שהמציאות נובעת מדבר כזה שכל האדם מקצר לדעתה. </w:t>
      </w:r>
    </w:p>
    <w:p w14:paraId="03B62093" w14:textId="5E799497" w:rsidR="00950AC1" w:rsidRDefault="00CF1B57" w:rsidP="009A080F">
      <w:pPr>
        <w:pStyle w:val="FootnoteText"/>
      </w:pPr>
      <w:r>
        <w:rPr>
          <w:rFonts w:hint="cs"/>
          <w:rtl/>
        </w:rPr>
        <w:t>דומה לזה הוא מה שכתב המורה נבוכים ב' י</w:t>
      </w:r>
      <w:r w:rsidR="00F055C8">
        <w:rPr>
          <w:rtl/>
        </w:rPr>
        <w:t>"</w:t>
      </w:r>
      <w:r>
        <w:rPr>
          <w:rFonts w:hint="cs"/>
          <w:rtl/>
        </w:rPr>
        <w:t>ח על השאלה העצומה של אבן רושד (השיטה הזו היתה קיימת גם לפני אבן רושד, ורק אני מכנה אותה על שמו), איך ייתכן לייחס רצון לבורא (מה שהביא אותו לומר שהבורא הוא רק שכל), כי רצון כרוך בשינוי וחסרון. והתשובה לזה היא ששינוי שייך רק במקום שיש הגדרות, שמגדירים א' ומגדירים ב' ואומרים שיש שינוי מא' לב', אבל כשאין הגדרות אין שינוי וגם אין קבעון וחוסר שינוי, אלא המושג שינוי לא שייך כלל כמו שהמושג צבע לא שייך ליישות מתימטית. וכך גם לגבי חסרון, שאחרי שמגדירים א' אפשר</w:t>
      </w:r>
      <w:r w:rsidR="00B978F2">
        <w:rPr>
          <w:rFonts w:hint="cs"/>
          <w:rtl/>
        </w:rPr>
        <w:t xml:space="preserve"> לומר</w:t>
      </w:r>
      <w:r>
        <w:rPr>
          <w:rFonts w:hint="cs"/>
          <w:rtl/>
        </w:rPr>
        <w:t xml:space="preserve"> שחסר א', אבל אם לא שייכת שום אפשרות הגדרה אי אפשר לומר שמשהו חסר (שהרי 'משהו' תלוי בהגדרה, ובלי הגדרה אין משהו, ולא יתכן שיש משהו שחסר ומשהו שאותו רוצים. ועדיין יש רצון </w:t>
      </w:r>
      <w:r w:rsidR="00B978F2">
        <w:rPr>
          <w:rFonts w:hint="cs"/>
          <w:rtl/>
        </w:rPr>
        <w:t xml:space="preserve">מופשט </w:t>
      </w:r>
      <w:r>
        <w:rPr>
          <w:rFonts w:hint="cs"/>
          <w:rtl/>
        </w:rPr>
        <w:t xml:space="preserve">שהוא </w:t>
      </w:r>
      <w:r w:rsidR="00B978F2">
        <w:rPr>
          <w:rFonts w:hint="cs"/>
          <w:rtl/>
        </w:rPr>
        <w:t>מציאותו של הבורא עצמו ולא רצון במשהו. זה הרצון הראשון שכתב אריסטו</w:t>
      </w:r>
      <w:r w:rsidR="000276BB">
        <w:rPr>
          <w:rtl/>
        </w:rPr>
        <w:fldChar w:fldCharType="begin"/>
      </w:r>
      <w:r w:rsidR="000276BB">
        <w:instrText xml:space="preserve"> XE "</w:instrText>
      </w:r>
      <w:r w:rsidR="000276BB" w:rsidRPr="00B0261F">
        <w:rPr>
          <w:rFonts w:hint="cs"/>
          <w:rtl/>
        </w:rPr>
        <w:instrText>אריסטו</w:instrText>
      </w:r>
      <w:r w:rsidR="000276BB" w:rsidRPr="00B0261F">
        <w:rPr>
          <w:rtl/>
        </w:rPr>
        <w:instrText>:</w:instrText>
      </w:r>
      <w:r w:rsidR="000276BB" w:rsidRPr="00B0261F">
        <w:rPr>
          <w:rFonts w:hint="cs"/>
          <w:rtl/>
        </w:rPr>
        <w:instrText>מטאפיזיקה למבדא ז</w:instrText>
      </w:r>
      <w:r w:rsidR="000276BB">
        <w:instrText xml:space="preserve">" </w:instrText>
      </w:r>
      <w:r w:rsidR="000276BB">
        <w:rPr>
          <w:rtl/>
        </w:rPr>
        <w:fldChar w:fldCharType="end"/>
      </w:r>
      <w:r w:rsidR="00B978F2">
        <w:rPr>
          <w:rFonts w:hint="cs"/>
          <w:rtl/>
        </w:rPr>
        <w:t xml:space="preserve"> במטאפיזיקה למבדא ז' </w:t>
      </w:r>
      <w:r w:rsidR="00F055C8">
        <w:rPr>
          <w:rtl/>
        </w:rPr>
        <w:t>"</w:t>
      </w:r>
      <w:r w:rsidR="00B978F2">
        <w:rPr>
          <w:rFonts w:hint="cs"/>
          <w:rtl/>
        </w:rPr>
        <w:t>נשוא התשוקה הוא מה שנראה כטוב, נשוא הרצון הראשון הוא הטוב באמת</w:t>
      </w:r>
      <w:r w:rsidR="00F055C8">
        <w:rPr>
          <w:rtl/>
        </w:rPr>
        <w:t>"</w:t>
      </w:r>
      <w:r>
        <w:rPr>
          <w:rFonts w:hint="cs"/>
          <w:rtl/>
        </w:rPr>
        <w:t>).</w:t>
      </w:r>
      <w:r w:rsidR="00950AC1">
        <w:rPr>
          <w:rFonts w:hint="cs"/>
          <w:rtl/>
        </w:rPr>
        <w:t xml:space="preserve"> </w:t>
      </w:r>
    </w:p>
  </w:footnote>
  <w:footnote w:id="244">
    <w:p w14:paraId="23979614" w14:textId="53DAB460" w:rsidR="00D161E3" w:rsidRPr="00187F0F" w:rsidRDefault="00F9443A" w:rsidP="007E5101">
      <w:pPr>
        <w:pStyle w:val="FootnoteText"/>
        <w:rPr>
          <w:rtl/>
        </w:rPr>
      </w:pPr>
      <w:r>
        <w:rPr>
          <w:rStyle w:val="FootnoteReference"/>
        </w:rPr>
        <w:footnoteRef/>
      </w:r>
      <w:r w:rsidRPr="00B4125B">
        <w:rPr>
          <w:rtl/>
        </w:rPr>
        <w:t xml:space="preserve"> </w:t>
      </w:r>
      <w:r w:rsidR="009A080F" w:rsidRPr="00B4125B">
        <w:rPr>
          <w:rtl/>
        </w:rPr>
        <w:t xml:space="preserve">במקור </w:t>
      </w:r>
      <w:r w:rsidR="009A080F" w:rsidRPr="00B4125B">
        <w:rPr>
          <w:rFonts w:ascii="Arial" w:hAnsi="Arial" w:cs="Arial" w:hint="cs"/>
          <w:rtl/>
          <w:lang w:bidi="ar-SA"/>
        </w:rPr>
        <w:t>موضوعات</w:t>
      </w:r>
      <w:r w:rsidR="00402DD8" w:rsidRPr="00402DD8">
        <w:rPr>
          <w:rtl/>
        </w:rPr>
        <w:t xml:space="preserve"> (</w:t>
      </w:r>
      <w:r w:rsidR="006B150D">
        <w:rPr>
          <w:rFonts w:hint="cs"/>
          <w:rtl/>
        </w:rPr>
        <w:t>צורת הרבים</w:t>
      </w:r>
      <w:r w:rsidR="006B150D" w:rsidRPr="006B150D">
        <w:rPr>
          <w:rtl/>
        </w:rPr>
        <w:t xml:space="preserve"> של </w:t>
      </w:r>
      <w:r w:rsidR="006B150D" w:rsidRPr="006B150D">
        <w:rPr>
          <w:rFonts w:ascii="Arial" w:hAnsi="Arial" w:cs="Arial" w:hint="cs"/>
          <w:rtl/>
          <w:lang w:bidi="ar-SA"/>
        </w:rPr>
        <w:t>موضوع</w:t>
      </w:r>
      <w:r w:rsidR="006B150D" w:rsidRPr="006B150D">
        <w:rPr>
          <w:rtl/>
        </w:rPr>
        <w:t>, מושא</w:t>
      </w:r>
      <w:r w:rsidR="00402DD8" w:rsidRPr="006B150D">
        <w:rPr>
          <w:rtl/>
        </w:rPr>
        <w:t>)</w:t>
      </w:r>
      <w:r w:rsidR="009A080F" w:rsidRPr="00402DD8">
        <w:rPr>
          <w:rtl/>
        </w:rPr>
        <w:t xml:space="preserve">. </w:t>
      </w:r>
      <w:r w:rsidR="006B150D">
        <w:rPr>
          <w:rFonts w:hint="cs"/>
          <w:rtl/>
        </w:rPr>
        <w:t xml:space="preserve">אין הכוונה כאן למונחים התחביריים, אלא </w:t>
      </w:r>
      <w:r w:rsidR="00402DD8">
        <w:rPr>
          <w:rFonts w:hint="cs"/>
          <w:rtl/>
        </w:rPr>
        <w:t xml:space="preserve">מושא </w:t>
      </w:r>
      <w:r w:rsidR="00BF5EB9" w:rsidRPr="00B4125B">
        <w:rPr>
          <w:rtl/>
        </w:rPr>
        <w:t xml:space="preserve">הוא מונח מקביל למונח היווני </w:t>
      </w:r>
      <w:r w:rsidR="00B4125B" w:rsidRPr="00BF14AF">
        <w:rPr>
          <w:rFonts w:ascii="Times New Roman" w:hAnsi="Times New Roman" w:cs="Times New Roman"/>
        </w:rPr>
        <w:t>υπ</w:t>
      </w:r>
      <w:r w:rsidR="00B4125B" w:rsidRPr="00BF14AF">
        <w:rPr>
          <w:rFonts w:ascii="Times New Roman" w:hAnsi="Times New Roman" w:cs="Times New Roman"/>
        </w:rPr>
        <w:t>οκείμενο</w:t>
      </w:r>
      <w:r w:rsidR="00256FB1" w:rsidRPr="00BF14AF">
        <w:rPr>
          <w:rFonts w:ascii="Times New Roman" w:hAnsi="Times New Roman" w:cs="Times New Roman"/>
        </w:rPr>
        <w:t>ν</w:t>
      </w:r>
      <w:r w:rsidR="00BF5EB9" w:rsidRPr="00BF14AF">
        <w:rPr>
          <w:rFonts w:ascii="Times New Roman" w:hAnsi="Times New Roman" w:cs="Times New Roman"/>
          <w:rtl/>
        </w:rPr>
        <w:t xml:space="preserve"> </w:t>
      </w:r>
      <w:r w:rsidR="00B4125B" w:rsidRPr="00B4125B">
        <w:rPr>
          <w:rtl/>
        </w:rPr>
        <w:t>(</w:t>
      </w:r>
      <w:r w:rsidR="00B4125B" w:rsidRPr="00B4125B">
        <w:t>hupokeímeno</w:t>
      </w:r>
      <w:r w:rsidR="00256FB1">
        <w:t>n</w:t>
      </w:r>
      <w:r w:rsidR="00B4125B" w:rsidRPr="00B4125B">
        <w:rPr>
          <w:rtl/>
        </w:rPr>
        <w:t>)</w:t>
      </w:r>
      <w:r w:rsidR="00B4125B">
        <w:rPr>
          <w:rFonts w:hint="cs"/>
          <w:rtl/>
        </w:rPr>
        <w:t>, שמשמעותו נושא</w:t>
      </w:r>
      <w:r w:rsidR="006B150D">
        <w:rPr>
          <w:rFonts w:hint="cs"/>
          <w:rtl/>
        </w:rPr>
        <w:t xml:space="preserve"> במובן כמו שהסוס נושא את הרוכב עליו,</w:t>
      </w:r>
      <w:r w:rsidR="00B4125B">
        <w:rPr>
          <w:rFonts w:hint="cs"/>
          <w:rtl/>
        </w:rPr>
        <w:t xml:space="preserve"> או מצע</w:t>
      </w:r>
      <w:r w:rsidR="006B150D">
        <w:rPr>
          <w:rtl/>
        </w:rPr>
        <w:fldChar w:fldCharType="begin"/>
      </w:r>
      <w:r w:rsidR="006B150D">
        <w:instrText xml:space="preserve"> XE "</w:instrText>
      </w:r>
      <w:r w:rsidR="002D60C4">
        <w:rPr>
          <w:rFonts w:hint="cs"/>
          <w:rtl/>
        </w:rPr>
        <w:instrText>ה</w:instrText>
      </w:r>
      <w:r w:rsidR="006B150D" w:rsidRPr="00A6780C">
        <w:rPr>
          <w:rFonts w:hint="cs"/>
          <w:rtl/>
        </w:rPr>
        <w:instrText>מצע</w:instrText>
      </w:r>
      <w:r w:rsidR="006B150D">
        <w:instrText xml:space="preserve">" </w:instrText>
      </w:r>
      <w:r w:rsidR="006B150D">
        <w:rPr>
          <w:rtl/>
        </w:rPr>
        <w:fldChar w:fldCharType="end"/>
      </w:r>
      <w:r w:rsidR="006B150D">
        <w:rPr>
          <w:rFonts w:hint="cs"/>
          <w:rtl/>
        </w:rPr>
        <w:t>,</w:t>
      </w:r>
      <w:r w:rsidR="00FC67A1">
        <w:rPr>
          <w:rFonts w:hint="cs"/>
          <w:rtl/>
        </w:rPr>
        <w:t xml:space="preserve"> ומתורגם לאנגלית כ </w:t>
      </w:r>
      <w:bookmarkStart w:id="154" w:name="_Hlk98507993"/>
      <w:r w:rsidR="00FC67A1">
        <w:t>subject</w:t>
      </w:r>
      <w:bookmarkEnd w:id="154"/>
      <w:r w:rsidR="00B4125B">
        <w:rPr>
          <w:rFonts w:hint="cs"/>
          <w:rtl/>
        </w:rPr>
        <w:t xml:space="preserve">. </w:t>
      </w:r>
      <w:r w:rsidR="00807425">
        <w:rPr>
          <w:rFonts w:hint="cs"/>
          <w:rtl/>
        </w:rPr>
        <w:t>הכוונה היא לחומר שהוא הנושא את הצורה, משתמשים במילה הזו כשרוצים לדבר על החומר רק מצד שהוא נושא את הצורה או מצע לה, בלי להתייחס לחומר עצמו אם הוא עץ או כל חומר אחר</w:t>
      </w:r>
      <w:r w:rsidR="00527B9C">
        <w:rPr>
          <w:rFonts w:hint="cs"/>
          <w:rtl/>
        </w:rPr>
        <w:t>, וכל כיו</w:t>
      </w:r>
      <w:r w:rsidR="00F055C8">
        <w:rPr>
          <w:rtl/>
        </w:rPr>
        <w:t>"</w:t>
      </w:r>
      <w:r w:rsidR="00527B9C">
        <w:rPr>
          <w:rFonts w:hint="cs"/>
          <w:rtl/>
        </w:rPr>
        <w:t>ב</w:t>
      </w:r>
      <w:r w:rsidR="00807425">
        <w:rPr>
          <w:rFonts w:hint="cs"/>
          <w:rtl/>
        </w:rPr>
        <w:t xml:space="preserve"> </w:t>
      </w:r>
      <w:r w:rsidR="007E5101">
        <w:rPr>
          <w:rFonts w:hint="cs"/>
          <w:rtl/>
        </w:rPr>
        <w:t>(</w:t>
      </w:r>
      <w:r w:rsidR="00D161E3">
        <w:rPr>
          <w:rFonts w:hint="cs"/>
          <w:rtl/>
        </w:rPr>
        <w:t xml:space="preserve">אפשר שהמילה </w:t>
      </w:r>
      <w:r w:rsidR="00571D72" w:rsidRPr="00571D72">
        <w:rPr>
          <w:rFonts w:cs="Times New Roman" w:hint="eastAsia"/>
          <w:rtl/>
          <w:lang w:bidi="ar-SA"/>
        </w:rPr>
        <w:t>موضوع</w:t>
      </w:r>
      <w:r w:rsidR="00571D72" w:rsidRPr="00187F0F">
        <w:rPr>
          <w:rtl/>
        </w:rPr>
        <w:t>, שהיא מהשורש</w:t>
      </w:r>
      <w:r w:rsidR="00C76126" w:rsidRPr="00187F0F">
        <w:rPr>
          <w:rtl/>
        </w:rPr>
        <w:t xml:space="preserve"> </w:t>
      </w:r>
      <w:r w:rsidR="00C76126" w:rsidRPr="00187F0F">
        <w:rPr>
          <w:rFonts w:ascii="Arial" w:hAnsi="Arial" w:cs="Arial" w:hint="cs"/>
          <w:rtl/>
          <w:lang w:bidi="ar-SA"/>
        </w:rPr>
        <w:t>وضع</w:t>
      </w:r>
      <w:r w:rsidR="00C76126" w:rsidRPr="00187F0F">
        <w:rPr>
          <w:rtl/>
        </w:rPr>
        <w:t>, מקביל</w:t>
      </w:r>
      <w:r w:rsidR="00682AB6" w:rsidRPr="00187F0F">
        <w:rPr>
          <w:rtl/>
        </w:rPr>
        <w:t>ה</w:t>
      </w:r>
      <w:r w:rsidR="00C76126" w:rsidRPr="00187F0F">
        <w:rPr>
          <w:rtl/>
        </w:rPr>
        <w:t xml:space="preserve"> למילה העברית </w:t>
      </w:r>
      <w:r w:rsidR="007E5101">
        <w:rPr>
          <w:rFonts w:hint="cs"/>
          <w:rtl/>
        </w:rPr>
        <w:t>'</w:t>
      </w:r>
      <w:r w:rsidR="00C76126" w:rsidRPr="00187F0F">
        <w:rPr>
          <w:rtl/>
        </w:rPr>
        <w:t>מצע</w:t>
      </w:r>
      <w:r w:rsidR="007E5101">
        <w:rPr>
          <w:rFonts w:hint="cs"/>
          <w:rtl/>
        </w:rPr>
        <w:t>'</w:t>
      </w:r>
      <w:r w:rsidR="00C76126" w:rsidRPr="00187F0F">
        <w:rPr>
          <w:rtl/>
        </w:rPr>
        <w:t xml:space="preserve"> שהיא מהשורש יצע</w:t>
      </w:r>
      <w:r w:rsidR="007E5101">
        <w:rPr>
          <w:rFonts w:hint="cs"/>
          <w:rtl/>
        </w:rPr>
        <w:t>, והדבר צריך עוד בירור).</w:t>
      </w:r>
    </w:p>
    <w:p w14:paraId="728340B1" w14:textId="19373D9C" w:rsidR="00F9443A" w:rsidRDefault="00807425">
      <w:pPr>
        <w:pStyle w:val="FootnoteText"/>
      </w:pPr>
      <w:r>
        <w:rPr>
          <w:rFonts w:hint="cs"/>
          <w:rtl/>
        </w:rPr>
        <w:t xml:space="preserve">בלשונו של אבן סינא כאן </w:t>
      </w:r>
      <w:r w:rsidR="00F055C8">
        <w:rPr>
          <w:rtl/>
        </w:rPr>
        <w:t>"</w:t>
      </w:r>
      <w:r w:rsidR="00795B15" w:rsidRPr="00B4125B">
        <w:rPr>
          <w:rtl/>
        </w:rPr>
        <w:t>הנושאים</w:t>
      </w:r>
      <w:r w:rsidR="00F055C8">
        <w:rPr>
          <w:rtl/>
        </w:rPr>
        <w:t>"</w:t>
      </w:r>
      <w:r w:rsidR="00795B15" w:rsidRPr="00B4125B">
        <w:rPr>
          <w:rtl/>
        </w:rPr>
        <w:t xml:space="preserve"> הם </w:t>
      </w:r>
      <w:r w:rsidR="00F9443A" w:rsidRPr="00B4125B">
        <w:rPr>
          <w:rtl/>
        </w:rPr>
        <w:t xml:space="preserve">עצמים </w:t>
      </w:r>
      <w:r w:rsidR="00795B15" w:rsidRPr="00B4125B">
        <w:rPr>
          <w:rtl/>
        </w:rPr>
        <w:t>מוגדרים</w:t>
      </w:r>
      <w:r w:rsidR="009A080F" w:rsidRPr="00B4125B">
        <w:rPr>
          <w:rtl/>
        </w:rPr>
        <w:t xml:space="preserve"> שנושאים צורה על המצע שלהם, הוא החומר שלהם,</w:t>
      </w:r>
      <w:r w:rsidR="00795B15" w:rsidRPr="00B4125B">
        <w:rPr>
          <w:rtl/>
        </w:rPr>
        <w:t xml:space="preserve"> </w:t>
      </w:r>
      <w:r w:rsidR="00F9443A" w:rsidRPr="00B4125B">
        <w:rPr>
          <w:rtl/>
        </w:rPr>
        <w:t>כמו זרע ואדם או עץ ומיטה</w:t>
      </w:r>
      <w:r w:rsidR="00795B15" w:rsidRPr="00B4125B">
        <w:rPr>
          <w:rtl/>
        </w:rPr>
        <w:t xml:space="preserve"> או אדם וסו</w:t>
      </w:r>
      <w:r w:rsidR="00795B15">
        <w:rPr>
          <w:rFonts w:hint="cs"/>
          <w:rtl/>
        </w:rPr>
        <w:t xml:space="preserve">פר, שיש בהם שני סוגים, סוג אחד הוא התהוות </w:t>
      </w:r>
      <w:r w:rsidR="00795B15" w:rsidRPr="007B55AC">
        <w:rPr>
          <w:rFonts w:hint="cs"/>
          <w:b/>
          <w:bCs/>
          <w:rtl/>
        </w:rPr>
        <w:t>מ</w:t>
      </w:r>
      <w:r w:rsidR="00795B15">
        <w:rPr>
          <w:rFonts w:hint="cs"/>
          <w:rtl/>
        </w:rPr>
        <w:t>דבר כמו אדם מזרע או מיטה מעץ,</w:t>
      </w:r>
      <w:r w:rsidR="007B55AC">
        <w:rPr>
          <w:rFonts w:hint="cs"/>
          <w:rtl/>
        </w:rPr>
        <w:t xml:space="preserve"> והשני הוא כמו סופר שלא </w:t>
      </w:r>
      <w:r w:rsidR="00054CDA">
        <w:rPr>
          <w:rFonts w:hint="cs"/>
          <w:rtl/>
        </w:rPr>
        <w:t>אומרים ש</w:t>
      </w:r>
      <w:r w:rsidR="007B55AC">
        <w:rPr>
          <w:rFonts w:hint="cs"/>
          <w:rtl/>
        </w:rPr>
        <w:t>התהווה מאדם אלא האדם נעשה סופר</w:t>
      </w:r>
      <w:r w:rsidR="00F9443A">
        <w:rPr>
          <w:rFonts w:hint="cs"/>
          <w:rtl/>
        </w:rPr>
        <w:t xml:space="preserve">. </w:t>
      </w:r>
    </w:p>
  </w:footnote>
  <w:footnote w:id="245">
    <w:p w14:paraId="3913989F" w14:textId="3EF6F229" w:rsidR="00F9443A" w:rsidRDefault="00F9443A">
      <w:pPr>
        <w:pStyle w:val="FootnoteText"/>
      </w:pPr>
      <w:r>
        <w:rPr>
          <w:rStyle w:val="FootnoteReference"/>
        </w:rPr>
        <w:footnoteRef/>
      </w:r>
      <w:r>
        <w:rPr>
          <w:rtl/>
        </w:rPr>
        <w:t xml:space="preserve"> </w:t>
      </w:r>
      <w:r>
        <w:rPr>
          <w:rFonts w:hint="cs"/>
          <w:rtl/>
        </w:rPr>
        <w:t>מה שההיולי נברא מהבורא</w:t>
      </w:r>
      <w:r w:rsidR="007B55AC">
        <w:rPr>
          <w:rFonts w:hint="cs"/>
          <w:rtl/>
        </w:rPr>
        <w:t xml:space="preserve"> יש בו אותם שני סוגים,</w:t>
      </w:r>
      <w:r>
        <w:rPr>
          <w:rFonts w:hint="cs"/>
          <w:rtl/>
        </w:rPr>
        <w:t xml:space="preserve"> </w:t>
      </w:r>
      <w:r w:rsidR="007B55AC">
        <w:rPr>
          <w:rFonts w:hint="cs"/>
          <w:rtl/>
        </w:rPr>
        <w:t xml:space="preserve">האחד הוא בריאה </w:t>
      </w:r>
      <w:r>
        <w:rPr>
          <w:rFonts w:hint="cs"/>
          <w:rtl/>
        </w:rPr>
        <w:t>בדרך של '</w:t>
      </w:r>
      <w:bookmarkStart w:id="155" w:name="_Hlk97485373"/>
      <w:r w:rsidRPr="00F9443A">
        <w:rPr>
          <w:b/>
          <w:bCs/>
          <w:rtl/>
        </w:rPr>
        <w:t>מְ</w:t>
      </w:r>
      <w:bookmarkEnd w:id="155"/>
      <w:r>
        <w:rPr>
          <w:rFonts w:hint="cs"/>
          <w:rtl/>
        </w:rPr>
        <w:t xml:space="preserve">...' (יש </w:t>
      </w:r>
      <w:r w:rsidRPr="00F9443A">
        <w:rPr>
          <w:rtl/>
        </w:rPr>
        <w:t>מְ</w:t>
      </w:r>
      <w:r>
        <w:rPr>
          <w:rFonts w:hint="cs"/>
          <w:rtl/>
        </w:rPr>
        <w:t>אין. וכמו שהתבאר לעיל בסמוך)</w:t>
      </w:r>
      <w:r w:rsidR="007B55AC">
        <w:rPr>
          <w:rFonts w:hint="cs"/>
          <w:rtl/>
        </w:rPr>
        <w:t xml:space="preserve"> שהיא ספירת כתר, והסוג השני הוא</w:t>
      </w:r>
      <w:r>
        <w:rPr>
          <w:rFonts w:hint="cs"/>
          <w:rtl/>
        </w:rPr>
        <w:t xml:space="preserve"> </w:t>
      </w:r>
      <w:r w:rsidR="00B4240C">
        <w:rPr>
          <w:rFonts w:hint="cs"/>
          <w:rtl/>
        </w:rPr>
        <w:t xml:space="preserve">כדעת אבן </w:t>
      </w:r>
      <w:r w:rsidR="00B4240C">
        <w:rPr>
          <w:rFonts w:hint="cs"/>
          <w:rtl/>
        </w:rPr>
        <w:t xml:space="preserve">רושד שהיא כמו </w:t>
      </w:r>
      <w:r>
        <w:rPr>
          <w:rFonts w:hint="cs"/>
          <w:rtl/>
        </w:rPr>
        <w:t>שהאדם נעשה סופר ולא שהסופר התהווה מאדם</w:t>
      </w:r>
      <w:r w:rsidR="00B4240C">
        <w:rPr>
          <w:rFonts w:hint="cs"/>
          <w:rtl/>
        </w:rPr>
        <w:t>.</w:t>
      </w:r>
    </w:p>
  </w:footnote>
  <w:footnote w:id="246">
    <w:p w14:paraId="1AF677FE" w14:textId="3946D530" w:rsidR="004914F1" w:rsidRPr="002E61BC" w:rsidRDefault="004914F1">
      <w:pPr>
        <w:pStyle w:val="FootnoteText"/>
        <w:rPr>
          <w:rtl/>
        </w:rPr>
      </w:pPr>
      <w:r>
        <w:rPr>
          <w:rStyle w:val="FootnoteReference"/>
        </w:rPr>
        <w:footnoteRef/>
      </w:r>
      <w:r>
        <w:rPr>
          <w:rtl/>
        </w:rPr>
        <w:t xml:space="preserve"> </w:t>
      </w:r>
      <w:r w:rsidRPr="002E61BC">
        <w:rPr>
          <w:rtl/>
        </w:rPr>
        <w:t xml:space="preserve">במקור </w:t>
      </w:r>
      <w:r w:rsidRPr="002E61BC">
        <w:rPr>
          <w:rFonts w:ascii="Arial" w:hAnsi="Arial" w:cs="Arial" w:hint="cs"/>
          <w:rtl/>
          <w:lang w:bidi="ar-SA"/>
        </w:rPr>
        <w:t>عن</w:t>
      </w:r>
      <w:r w:rsidRPr="002E61BC">
        <w:rPr>
          <w:rtl/>
        </w:rPr>
        <w:t xml:space="preserve">. לרוב יש לה מובנים אחרים, אבל כאן היא במובן הזה. מקגיניס תרגם כאן </w:t>
      </w:r>
      <w:r w:rsidR="002E61BC" w:rsidRPr="002E61BC">
        <w:rPr>
          <w:rtl/>
        </w:rPr>
        <w:t>'</w:t>
      </w:r>
      <w:r w:rsidRPr="002E61BC">
        <w:t>from</w:t>
      </w:r>
      <w:r w:rsidR="002E61BC" w:rsidRPr="002E61BC">
        <w:rPr>
          <w:rtl/>
        </w:rPr>
        <w:t>'</w:t>
      </w:r>
      <w:r w:rsidR="002E61BC">
        <w:rPr>
          <w:rFonts w:hint="cs"/>
          <w:rtl/>
        </w:rPr>
        <w:t xml:space="preserve"> והיא אותה כוונה</w:t>
      </w:r>
      <w:r w:rsidR="002E61BC" w:rsidRPr="002E61BC">
        <w:rPr>
          <w:rtl/>
        </w:rPr>
        <w:t xml:space="preserve">. </w:t>
      </w:r>
    </w:p>
  </w:footnote>
  <w:footnote w:id="247">
    <w:p w14:paraId="375A95FE" w14:textId="642A96CF" w:rsidR="004914F1" w:rsidRPr="00A55B01" w:rsidRDefault="004914F1">
      <w:pPr>
        <w:pStyle w:val="FootnoteText"/>
      </w:pPr>
      <w:r>
        <w:rPr>
          <w:rStyle w:val="FootnoteReference"/>
        </w:rPr>
        <w:footnoteRef/>
      </w:r>
      <w:r>
        <w:rPr>
          <w:rtl/>
        </w:rPr>
        <w:t xml:space="preserve"> </w:t>
      </w:r>
      <w:r>
        <w:rPr>
          <w:rFonts w:hint="cs"/>
          <w:rtl/>
        </w:rPr>
        <w:t xml:space="preserve">בערבית </w:t>
      </w:r>
      <w:r w:rsidR="0090040E">
        <w:rPr>
          <w:rFonts w:hint="cs"/>
          <w:rtl/>
        </w:rPr>
        <w:t>'מ...' היא</w:t>
      </w:r>
      <w:r>
        <w:rPr>
          <w:rFonts w:hint="cs"/>
          <w:rtl/>
        </w:rPr>
        <w:t xml:space="preserve"> מילה</w:t>
      </w:r>
      <w:r w:rsidR="0090040E">
        <w:rPr>
          <w:rFonts w:hint="cs"/>
          <w:rtl/>
        </w:rPr>
        <w:t xml:space="preserve"> שלמה</w:t>
      </w:r>
      <w:r>
        <w:rPr>
          <w:rFonts w:hint="cs"/>
          <w:rtl/>
        </w:rPr>
        <w:t>, 'מן'</w:t>
      </w:r>
      <w:r w:rsidR="0090040E">
        <w:rPr>
          <w:rFonts w:hint="cs"/>
          <w:rtl/>
        </w:rPr>
        <w:t xml:space="preserve"> (גם בעברית אפשר לומר מן)</w:t>
      </w:r>
      <w:r>
        <w:rPr>
          <w:rFonts w:hint="cs"/>
          <w:rtl/>
        </w:rPr>
        <w:t xml:space="preserve">, </w:t>
      </w:r>
      <w:r w:rsidRPr="004914F1">
        <w:rPr>
          <w:rFonts w:cs="Times New Roman" w:hint="eastAsia"/>
          <w:rtl/>
          <w:lang w:bidi="ar-SA"/>
        </w:rPr>
        <w:t>من</w:t>
      </w:r>
      <w:r>
        <w:rPr>
          <w:rFonts w:cs="Times New Roman" w:hint="cs"/>
          <w:rtl/>
        </w:rPr>
        <w:t xml:space="preserve">. </w:t>
      </w:r>
    </w:p>
  </w:footnote>
  <w:footnote w:id="248">
    <w:p w14:paraId="1485E9B4" w14:textId="50403A48" w:rsidR="009A080F" w:rsidRDefault="009A080F">
      <w:pPr>
        <w:pStyle w:val="FootnoteText"/>
      </w:pPr>
      <w:r>
        <w:rPr>
          <w:rStyle w:val="FootnoteReference"/>
        </w:rPr>
        <w:footnoteRef/>
      </w:r>
      <w:r>
        <w:rPr>
          <w:rtl/>
        </w:rPr>
        <w:t xml:space="preserve"> </w:t>
      </w:r>
      <w:r w:rsidR="001F3D7E" w:rsidRPr="001F3D7E">
        <w:rPr>
          <w:rFonts w:cs="Times New Roman" w:hint="eastAsia"/>
          <w:rtl/>
          <w:lang w:bidi="ar-SA"/>
        </w:rPr>
        <w:t>موضوعات</w:t>
      </w:r>
      <w:r w:rsidR="001F3D7E">
        <w:rPr>
          <w:rFonts w:cs="Times New Roman" w:hint="cs"/>
          <w:rtl/>
        </w:rPr>
        <w:t xml:space="preserve">. </w:t>
      </w:r>
      <w:r>
        <w:rPr>
          <w:rFonts w:hint="cs"/>
          <w:rtl/>
        </w:rPr>
        <w:t>כלומר מצע</w:t>
      </w:r>
      <w:r w:rsidR="00962925">
        <w:rPr>
          <w:rtl/>
        </w:rPr>
        <w:fldChar w:fldCharType="begin"/>
      </w:r>
      <w:r w:rsidR="00962925">
        <w:instrText xml:space="preserve"> XE "</w:instrText>
      </w:r>
      <w:r w:rsidR="00962925" w:rsidRPr="00A6687B">
        <w:rPr>
          <w:rFonts w:hint="cs"/>
          <w:rtl/>
        </w:rPr>
        <w:instrText>המצע</w:instrText>
      </w:r>
      <w:r w:rsidR="00962925">
        <w:instrText xml:space="preserve">" </w:instrText>
      </w:r>
      <w:r w:rsidR="00962925">
        <w:rPr>
          <w:rtl/>
        </w:rPr>
        <w:fldChar w:fldCharType="end"/>
      </w:r>
      <w:r>
        <w:rPr>
          <w:rFonts w:hint="cs"/>
          <w:rtl/>
        </w:rPr>
        <w:t xml:space="preserve">, חומר, שנושא את הצורה. </w:t>
      </w:r>
    </w:p>
  </w:footnote>
  <w:footnote w:id="249">
    <w:p w14:paraId="50801E39" w14:textId="3B87FA5C" w:rsidR="003763AE" w:rsidRDefault="00A55B01">
      <w:pPr>
        <w:pStyle w:val="FootnoteText"/>
        <w:rPr>
          <w:rtl/>
        </w:rPr>
      </w:pPr>
      <w:r w:rsidRPr="00A55B01">
        <w:rPr>
          <w:rStyle w:val="FootnoteReference"/>
        </w:rPr>
        <w:footnoteRef/>
      </w:r>
      <w:r w:rsidRPr="00A55B01">
        <w:rPr>
          <w:rtl/>
        </w:rPr>
        <w:t xml:space="preserve"> במקור </w:t>
      </w:r>
      <w:r w:rsidRPr="00A55B01">
        <w:rPr>
          <w:rFonts w:ascii="Arial" w:hAnsi="Arial" w:cs="Arial" w:hint="cs"/>
          <w:rtl/>
          <w:lang w:bidi="ar-SA"/>
        </w:rPr>
        <w:t>المزاج</w:t>
      </w:r>
      <w:r w:rsidRPr="00A55B01">
        <w:rPr>
          <w:rtl/>
        </w:rPr>
        <w:t xml:space="preserve">. הכוונה להרכבה </w:t>
      </w:r>
      <w:r w:rsidRPr="00A55B01">
        <w:rPr>
          <w:rtl/>
        </w:rPr>
        <w:t>מזגיית, ו</w:t>
      </w:r>
      <w:r w:rsidR="00F055C8">
        <w:rPr>
          <w:rtl/>
        </w:rPr>
        <w:t>"</w:t>
      </w:r>
      <w:r w:rsidRPr="00A55B01">
        <w:rPr>
          <w:rtl/>
        </w:rPr>
        <w:t>הרכבה</w:t>
      </w:r>
      <w:r w:rsidR="00F055C8">
        <w:rPr>
          <w:rtl/>
        </w:rPr>
        <w:t>"</w:t>
      </w:r>
      <w:r w:rsidRPr="00A55B01">
        <w:t xml:space="preserve"> </w:t>
      </w:r>
      <w:r w:rsidRPr="00A55B01">
        <w:rPr>
          <w:rtl/>
        </w:rPr>
        <w:t>כאן</w:t>
      </w:r>
      <w:r>
        <w:rPr>
          <w:rFonts w:hint="cs"/>
          <w:rtl/>
        </w:rPr>
        <w:t xml:space="preserve"> </w:t>
      </w:r>
      <w:r w:rsidRPr="00A55B01">
        <w:rPr>
          <w:rtl/>
        </w:rPr>
        <w:t>פירושו הרכבה שכוניית.</w:t>
      </w:r>
      <w:r>
        <w:rPr>
          <w:rFonts w:hint="cs"/>
          <w:rtl/>
        </w:rPr>
        <w:t xml:space="preserve"> הרכבה מזגיית היא באופן שכל מרכיב פועל על המרכיבים האחרים ומשנה אותם. למשל קמח ומים יוצרים בצק על ידי הרכבה מזגיית כי הקמח פועל על המים שלא יהיו נוזלים, והמים פועלים על הקמח שלא יהיה אבקה. יש גם הרכבה מזגיית כמו חמצן ומימן שביחד מורכבים להיות מים. </w:t>
      </w:r>
      <w:r w:rsidR="003763AE">
        <w:rPr>
          <w:rFonts w:hint="cs"/>
          <w:rtl/>
        </w:rPr>
        <w:t>הכלל בהרכבה מזגיית הוא שהתוצאה יש לה מהות חדשה, היא עצם חדש. לעומת זאת הרכבה שכוניית היא כמו לערבב גרגרי חיטה ועדשים, המרכיבים לא משתנים, הם רק בשכנות זה לזה, ואפשר להחזיר אותם למה שהיו.</w:t>
      </w:r>
    </w:p>
    <w:p w14:paraId="37CC950E" w14:textId="77777777" w:rsidR="003763AE" w:rsidRDefault="003763AE">
      <w:pPr>
        <w:pStyle w:val="FootnoteText"/>
        <w:rPr>
          <w:rtl/>
        </w:rPr>
      </w:pPr>
      <w:r>
        <w:rPr>
          <w:rFonts w:hint="cs"/>
          <w:rtl/>
        </w:rPr>
        <w:t>מה שכל הגופים בעולם הם מארבע היסודות, הכוונה היא לתרכובת מזגיית של היסודות, והיסודות הטהורים אחרי ההרכבה כבר לא ניכרים. אפשר גם לומר שאינם קיימים, כמו שהמימן שבמים (שמורכב עם חמצן) אינו קיים כעצם שמהותו מימן, והמים יש להם מהות אחרת משל מימן.</w:t>
      </w:r>
    </w:p>
    <w:p w14:paraId="7AC86566" w14:textId="52005868" w:rsidR="00A55B01" w:rsidRDefault="003763AE">
      <w:pPr>
        <w:pStyle w:val="FootnoteText"/>
      </w:pPr>
      <w:r>
        <w:rPr>
          <w:rFonts w:hint="cs"/>
          <w:rtl/>
        </w:rPr>
        <w:t xml:space="preserve">לכן אפשר לומר שעץ למשל שמורכב מארבעת היסודות, הוא </w:t>
      </w:r>
      <w:bookmarkStart w:id="156" w:name="_Hlk97539901"/>
      <w:r w:rsidRPr="003763AE">
        <w:rPr>
          <w:rtl/>
        </w:rPr>
        <w:t>מְ</w:t>
      </w:r>
      <w:bookmarkEnd w:id="156"/>
      <w:r>
        <w:rPr>
          <w:rFonts w:hint="cs"/>
          <w:rtl/>
        </w:rPr>
        <w:t xml:space="preserve">היסודות, כלומר אחרי היסודות, ולא שהיסודות נעשו עץ. כי אחרי שהיסודות הורכבו בהרכבה מזגיית לעץ הם בפני עצמם כבר לא נמצאים.   </w:t>
      </w:r>
    </w:p>
  </w:footnote>
  <w:footnote w:id="250">
    <w:p w14:paraId="239BF370" w14:textId="5AC7AC8D" w:rsidR="00F333DD" w:rsidRDefault="00F333DD">
      <w:pPr>
        <w:pStyle w:val="FootnoteText"/>
        <w:rPr>
          <w:rtl/>
        </w:rPr>
      </w:pPr>
      <w:r>
        <w:rPr>
          <w:rStyle w:val="FootnoteReference"/>
        </w:rPr>
        <w:footnoteRef/>
      </w:r>
      <w:r>
        <w:rPr>
          <w:rtl/>
        </w:rPr>
        <w:t xml:space="preserve"> </w:t>
      </w:r>
      <w:r w:rsidRPr="00F333DD">
        <w:rPr>
          <w:rFonts w:cs="Times New Roman" w:hint="eastAsia"/>
          <w:rtl/>
          <w:lang w:bidi="ar-SA"/>
        </w:rPr>
        <w:t>الزاج</w:t>
      </w:r>
      <w:r w:rsidRPr="00F333DD">
        <w:rPr>
          <w:rFonts w:cs="Times New Roman"/>
          <w:rtl/>
          <w:lang w:bidi="ar-SA"/>
        </w:rPr>
        <w:t xml:space="preserve"> </w:t>
      </w:r>
      <w:r w:rsidRPr="00F333DD">
        <w:rPr>
          <w:rFonts w:cs="Times New Roman" w:hint="eastAsia"/>
          <w:rtl/>
          <w:lang w:bidi="ar-SA"/>
        </w:rPr>
        <w:t>والعفص</w:t>
      </w:r>
      <w:r>
        <w:rPr>
          <w:rFonts w:cs="Times New Roman" w:hint="cs"/>
          <w:rtl/>
        </w:rPr>
        <w:t>.</w:t>
      </w:r>
      <w:r w:rsidR="000963C3" w:rsidRPr="000963C3">
        <w:rPr>
          <w:rtl/>
        </w:rPr>
        <w:t xml:space="preserve"> </w:t>
      </w:r>
      <w:r w:rsidR="000963C3" w:rsidRPr="000963C3">
        <w:t>vitriol and gall</w:t>
      </w:r>
      <w:r w:rsidR="000963C3" w:rsidRPr="000963C3">
        <w:rPr>
          <w:rtl/>
        </w:rPr>
        <w:t>.</w:t>
      </w:r>
    </w:p>
  </w:footnote>
  <w:footnote w:id="251">
    <w:p w14:paraId="5F8013EC" w14:textId="33E3BA26" w:rsidR="00BF1950" w:rsidRDefault="00BF1950">
      <w:pPr>
        <w:pStyle w:val="FootnoteText"/>
      </w:pPr>
      <w:r>
        <w:rPr>
          <w:rStyle w:val="FootnoteReference"/>
        </w:rPr>
        <w:footnoteRef/>
      </w:r>
      <w:r>
        <w:rPr>
          <w:rtl/>
        </w:rPr>
        <w:t xml:space="preserve"> </w:t>
      </w:r>
      <w:r>
        <w:rPr>
          <w:rFonts w:hint="cs"/>
          <w:rtl/>
        </w:rPr>
        <w:t xml:space="preserve">מקגיניס פירש כאן שהסוג הראשון, הכוונה לסוג הראשון של החומר והיינו ההיולי. הוא הוסיף מילים בתוך לשונו של אבן סינא כדי להתאימה לפירושו. הלשון של אבן סינא כאן אכן קצרה ולא ברורה. תרגמתי כאן </w:t>
      </w:r>
      <w:r w:rsidR="00A27A35">
        <w:rPr>
          <w:rFonts w:hint="cs"/>
          <w:rtl/>
        </w:rPr>
        <w:t xml:space="preserve">מהמקור </w:t>
      </w:r>
      <w:r>
        <w:rPr>
          <w:rFonts w:hint="cs"/>
          <w:rtl/>
        </w:rPr>
        <w:t xml:space="preserve">באופן מילולי את לשונו של אבן סינא כפי שהבנתי אותה, בלי להוסיף מילים משלימות. </w:t>
      </w:r>
    </w:p>
  </w:footnote>
  <w:footnote w:id="252">
    <w:p w14:paraId="6E5B0A43" w14:textId="0F45B3EA" w:rsidR="008446B5" w:rsidRDefault="008446B5">
      <w:pPr>
        <w:pStyle w:val="FootnoteText"/>
      </w:pPr>
      <w:r>
        <w:rPr>
          <w:rStyle w:val="FootnoteReference"/>
        </w:rPr>
        <w:footnoteRef/>
      </w:r>
      <w:r>
        <w:rPr>
          <w:rtl/>
        </w:rPr>
        <w:t xml:space="preserve"> </w:t>
      </w:r>
      <w:r>
        <w:rPr>
          <w:rFonts w:hint="cs"/>
          <w:rtl/>
        </w:rPr>
        <w:t xml:space="preserve">שהאדם מתהווה מזרע והמיטה מתהווה מעץ. אלה הסוג הראשון. הסוג השני הוא </w:t>
      </w:r>
      <w:r w:rsidRPr="008446B5">
        <w:rPr>
          <w:rtl/>
        </w:rPr>
        <w:t>שהאדם נעשה סופר, דהיינו שצורת סופר אינה מאוחרת לאדם שנאמר שמאדם התהווה סופר, כי האדם נשאר קיים כאדם, גם אחרי שיש סופר. כי סופר הוא מאפיין של האדם ולא הגדרת עצם</w:t>
      </w:r>
      <w:r>
        <w:rPr>
          <w:rFonts w:hint="cs"/>
          <w:rtl/>
        </w:rPr>
        <w:t>.</w:t>
      </w:r>
    </w:p>
  </w:footnote>
  <w:footnote w:id="253">
    <w:p w14:paraId="6C5E2CA6" w14:textId="04191399" w:rsidR="00DA79E5" w:rsidRDefault="00DA79E5">
      <w:pPr>
        <w:pStyle w:val="FootnoteText"/>
      </w:pPr>
      <w:r>
        <w:rPr>
          <w:rStyle w:val="FootnoteReference"/>
        </w:rPr>
        <w:footnoteRef/>
      </w:r>
      <w:r>
        <w:rPr>
          <w:rtl/>
        </w:rPr>
        <w:t xml:space="preserve"> </w:t>
      </w:r>
      <w:r>
        <w:rPr>
          <w:rFonts w:hint="cs"/>
          <w:rtl/>
        </w:rPr>
        <w:t>הזרע והעץ היו במצב שהם עצם שהגדרת העצם שלו היא זרע או עץ, וכשהם במצב זה אז נוצר מהם העצם אדם או מיטה. אבן סינא אמר מקודם שיש שתי משמעויות שלפיהן אומרים על מה שהתהווה שהוא התהווה 'מ...', ולא ביאר מה משותף לשתי המשמעויות הלאה (בניגוד לסופר שלא אומרים שהתהווה מהאדם</w:t>
      </w:r>
      <w:r w:rsidR="00D50648">
        <w:rPr>
          <w:rFonts w:hint="cs"/>
          <w:rtl/>
        </w:rPr>
        <w:t xml:space="preserve">). כאן הוא מבאר </w:t>
      </w:r>
      <w:r w:rsidR="00522683">
        <w:rPr>
          <w:rFonts w:hint="cs"/>
          <w:rtl/>
        </w:rPr>
        <w:t>שהזרע והעץ היו עצם שונה מהעצם אדם או מיטה. לכן כשנעשו אדם או מיטה, העצם זרע או עץ חדל מלהתקיים. לכן האדם מאוחר לזרע והמיטה מאוחרת לעץ, וזה הפירוש שהם התהוו 'מ...'</w:t>
      </w:r>
      <w:r w:rsidR="00BF1950">
        <w:rPr>
          <w:rFonts w:hint="cs"/>
          <w:rtl/>
        </w:rPr>
        <w:t>.</w:t>
      </w:r>
      <w:r w:rsidR="00C03357">
        <w:rPr>
          <w:rFonts w:hint="cs"/>
          <w:rtl/>
        </w:rPr>
        <w:t xml:space="preserve"> </w:t>
      </w:r>
    </w:p>
  </w:footnote>
  <w:footnote w:id="254">
    <w:p w14:paraId="15FDB0E5" w14:textId="0DF27765" w:rsidR="000C2976" w:rsidRDefault="000C2976">
      <w:pPr>
        <w:pStyle w:val="FootnoteText"/>
        <w:rPr>
          <w:rtl/>
        </w:rPr>
      </w:pPr>
      <w:r>
        <w:rPr>
          <w:rStyle w:val="FootnoteReference"/>
        </w:rPr>
        <w:footnoteRef/>
      </w:r>
      <w:r>
        <w:rPr>
          <w:rtl/>
        </w:rPr>
        <w:t xml:space="preserve"> </w:t>
      </w:r>
      <w:r>
        <w:rPr>
          <w:rFonts w:hint="cs"/>
          <w:rtl/>
        </w:rPr>
        <w:t xml:space="preserve">כשהזרע נעשה אדם הזרע חדל לגמרי מלהיות קיים כזרע (לא קיים יותר עצם שמהותו היא זרע אלא רק עצם שמהותו היא אדם), וכן </w:t>
      </w:r>
      <w:r>
        <w:rPr>
          <w:rFonts w:hint="cs"/>
          <w:rtl/>
        </w:rPr>
        <w:t xml:space="preserve">כשהקנקנתום מעורב בעפצים ונעשה דיו, הקנקנתום חדל לגמרי מלהיות קיים כקנקנתום (לא קיים עצם שמהותו קנקנתום, אלא רק עצם שמהותו דיו). </w:t>
      </w:r>
      <w:r w:rsidR="00F23DE1">
        <w:rPr>
          <w:rFonts w:hint="cs"/>
          <w:rtl/>
        </w:rPr>
        <w:t>לכן האדם מאוחר לזרע והדיו מאוחר לקנקנתום בלי ספק.</w:t>
      </w:r>
    </w:p>
    <w:p w14:paraId="4ACEEB39" w14:textId="39C31C0E" w:rsidR="00F23DE1" w:rsidRDefault="00F23DE1">
      <w:pPr>
        <w:pStyle w:val="FootnoteText"/>
        <w:rPr>
          <w:rtl/>
        </w:rPr>
      </w:pPr>
      <w:r>
        <w:rPr>
          <w:rFonts w:hint="cs"/>
          <w:rtl/>
        </w:rPr>
        <w:t>לעומת זאת כשעץ נעשה מיטה, מבחינה מסוימת העץ עדיין קיים כעצם שמהותו עץ, במקביל לקיומו של עצם שמהותו מיטה. כמו שכשהתחדש שהאדם למד לכתוב והוא סופר, עדיין קיים עצם שמהותו אדם במקביל לקיום של סופר</w:t>
      </w:r>
      <w:r w:rsidR="00631981">
        <w:rPr>
          <w:rFonts w:hint="cs"/>
          <w:rtl/>
        </w:rPr>
        <w:t xml:space="preserve"> (וכמו שהתבאר שסופר הוא רק שינוי במאפיין של אדם ולא שינוי בעצם שהוא 'אדם')</w:t>
      </w:r>
      <w:r>
        <w:rPr>
          <w:rFonts w:hint="cs"/>
          <w:rtl/>
        </w:rPr>
        <w:t xml:space="preserve">. לכן אפשר לומר שהעץ נעשה להיות מיטה כמו שהאדם נעשה להיות סופר, ולא שהמיטה התהוותה מהעץ </w:t>
      </w:r>
      <w:r w:rsidR="00631981">
        <w:rPr>
          <w:rFonts w:hint="cs"/>
          <w:rtl/>
        </w:rPr>
        <w:t>(ו</w:t>
      </w:r>
      <w:r>
        <w:rPr>
          <w:rFonts w:hint="cs"/>
          <w:rtl/>
        </w:rPr>
        <w:t>כמו שלא אומרים שהסופר התהווה מהאדם</w:t>
      </w:r>
      <w:r w:rsidR="00631981">
        <w:rPr>
          <w:rFonts w:hint="cs"/>
          <w:rtl/>
        </w:rPr>
        <w:t>)</w:t>
      </w:r>
      <w:r>
        <w:rPr>
          <w:rFonts w:hint="cs"/>
          <w:rtl/>
        </w:rPr>
        <w:t xml:space="preserve">. אבל מצד שני ה'אדם' ממשיך להתקיים אחרי שנעשה סופר </w:t>
      </w:r>
      <w:r w:rsidR="00631981">
        <w:rPr>
          <w:rFonts w:hint="cs"/>
          <w:rtl/>
        </w:rPr>
        <w:t>בדיוק</w:t>
      </w:r>
      <w:r>
        <w:rPr>
          <w:rFonts w:hint="cs"/>
          <w:rtl/>
        </w:rPr>
        <w:t xml:space="preserve"> כמו שהיה קיים מקודם, בלי שינוי בו כ'אדם', ולעומת זאת העץ לא ממשיך להיות ממש כמו שהיה אחרי שנעשתה ממנו מיטה, אלא נשלל ממנו משהו מצורתו. שהרי הקרש נחתך ומגולף, ובהכרח שתיעשה בו מלאכת נגרות שתשנה אותו כדי שיוכל להיות מיטה.</w:t>
      </w:r>
    </w:p>
    <w:p w14:paraId="7570D95D" w14:textId="0BBC3D04" w:rsidR="00924E99" w:rsidRDefault="00924E99">
      <w:pPr>
        <w:pStyle w:val="FootnoteText"/>
        <w:rPr>
          <w:rtl/>
        </w:rPr>
      </w:pPr>
      <w:r>
        <w:rPr>
          <w:rFonts w:hint="cs"/>
          <w:rtl/>
        </w:rPr>
        <w:t>החומר של אדם אינו אותו חומר כמו של זרע, בזרע החומר הוא בשר-זרע, ובאדם החומר הוא בשר-אדם. וכמו שכתב הרמב</w:t>
      </w:r>
      <w:r w:rsidR="00F055C8">
        <w:rPr>
          <w:rtl/>
        </w:rPr>
        <w:t>"</w:t>
      </w:r>
      <w:r>
        <w:rPr>
          <w:rFonts w:hint="cs"/>
          <w:rtl/>
        </w:rPr>
        <w:t>ם בשמונה פרקים שחלק הבשר של חמור ושל נשר ושל אדם הוא עצם שונה בכל אחד מהם וצורתו שונה, ואינם אותו עצם שהוא 'בשר' (למרות שבמבט שטחי נדמה שהבשר הוא אותו בשר, כי הבשר הוא חי והחיות שלו שונה). החומר של דיו אינו קנקנתום ועפצים, אלא תערובת החומר שממנו היו עשויים הקנקנתום והעפצים, והוא חומר חדש, וכבר אין שם קנקנתום ועפצים עליו.</w:t>
      </w:r>
    </w:p>
    <w:p w14:paraId="582E30E9" w14:textId="77777777" w:rsidR="008B2FAF" w:rsidRDefault="00924E99">
      <w:pPr>
        <w:pStyle w:val="FootnoteText"/>
        <w:rPr>
          <w:rtl/>
        </w:rPr>
      </w:pPr>
      <w:r>
        <w:rPr>
          <w:rFonts w:hint="cs"/>
          <w:rtl/>
        </w:rPr>
        <w:t>לכן כשקיים העצם 'אדם' אין קיום לעצם 'זרע' משום בחינה, וכן כשקיים העצם דיו אין קיום לעצם קנקנתום משום בחינה, ומה שהתהווה הוא מאוחר באופן מוחלט ביחס לסיבתו שהיתה מקודם. אב</w:t>
      </w:r>
      <w:r w:rsidR="008B2FAF">
        <w:rPr>
          <w:rFonts w:hint="cs"/>
          <w:rtl/>
        </w:rPr>
        <w:t xml:space="preserve">ל במיטה החומר שלה הוא אותו חומר עצמו שהיה גם אצל הקרש שממנו נעשתה. כך שמבחינת החומר המיטה אינה מאוחרת לקרש, אלא הקרש ממשיך להיות קיים כסיבה החומרית של העצם שהוא 'מיטה', ורק מצד הסיבה הצורנית יש חידוש גמור בהתהוות המיטה, ורק מצד הצורה היא מאוחרת לקרש. </w:t>
      </w:r>
    </w:p>
    <w:p w14:paraId="506BCEC3" w14:textId="1A028A11" w:rsidR="008B2FAF" w:rsidRDefault="008B2FAF">
      <w:pPr>
        <w:pStyle w:val="FootnoteText"/>
        <w:rPr>
          <w:rtl/>
        </w:rPr>
      </w:pPr>
      <w:r>
        <w:rPr>
          <w:rFonts w:hint="cs"/>
          <w:rtl/>
        </w:rPr>
        <w:t>כשמסובב נולד מסיבה</w:t>
      </w:r>
      <w:r w:rsidR="00A9056E">
        <w:rPr>
          <w:rtl/>
        </w:rPr>
        <w:fldChar w:fldCharType="begin"/>
      </w:r>
      <w:r w:rsidR="00A9056E">
        <w:instrText xml:space="preserve"> XE "</w:instrText>
      </w:r>
      <w:r w:rsidR="00A9056E" w:rsidRPr="0032255D">
        <w:rPr>
          <w:rFonts w:hint="cs"/>
          <w:rtl/>
        </w:rPr>
        <w:instrText>סיבה ומסובב</w:instrText>
      </w:r>
      <w:r w:rsidR="00270D31">
        <w:rPr>
          <w:rFonts w:hint="cs"/>
          <w:rtl/>
        </w:rPr>
        <w:instrText xml:space="preserve"> - חזרה על מעשה הבריאה</w:instrText>
      </w:r>
      <w:r w:rsidR="00A9056E">
        <w:instrText xml:space="preserve">" </w:instrText>
      </w:r>
      <w:r w:rsidR="00A9056E">
        <w:rPr>
          <w:rtl/>
        </w:rPr>
        <w:fldChar w:fldCharType="end"/>
      </w:r>
      <w:r>
        <w:rPr>
          <w:rFonts w:hint="cs"/>
          <w:rtl/>
        </w:rPr>
        <w:t>, זוהי חזרה על הבריאה. הבריאה הכללית הראשונה של בריאת יש מאין חוזרת על עצמה בכל רגע ובכל פרט, וכך הכל נשאר כגילוי אלוהות כמו רגע הבריאה ראשונה בעצמו. כי הזרע חדל מלהתקיים מכל בחינה, והאדם הוא עצם חדש מכל בחינה, הוא לא המשך של הזרע, והחידוש הזה הוא כמו החידוש של בריאה חדשה. כך העולם נברא ללא הרף, וכמו שכתב הרמב</w:t>
      </w:r>
      <w:r w:rsidR="00F055C8">
        <w:rPr>
          <w:rtl/>
        </w:rPr>
        <w:t>"</w:t>
      </w:r>
      <w:r>
        <w:rPr>
          <w:rFonts w:hint="cs"/>
          <w:rtl/>
        </w:rPr>
        <w:t>ם בתחילת הלכות יסודי התורה שיש מצוי ראשון והוא ממציא כל נמצא, מה שהוא ממציא את המציאות זה קורה תמיד ובכל פרט.</w:t>
      </w:r>
    </w:p>
    <w:p w14:paraId="004B43B7" w14:textId="77777777" w:rsidR="00952BD9" w:rsidRDefault="008B2FAF" w:rsidP="00336E57">
      <w:pPr>
        <w:pStyle w:val="FootnoteText"/>
        <w:rPr>
          <w:rtl/>
        </w:rPr>
      </w:pPr>
      <w:r>
        <w:rPr>
          <w:rFonts w:hint="cs"/>
          <w:rtl/>
        </w:rPr>
        <w:t>למשל המנוע הוא סיבת תנועת המכונית</w:t>
      </w:r>
      <w:r w:rsidR="00A9056E">
        <w:rPr>
          <w:rFonts w:hint="cs"/>
          <w:rtl/>
        </w:rPr>
        <w:t xml:space="preserve"> על ידי הבעירה שבו</w:t>
      </w:r>
      <w:r>
        <w:rPr>
          <w:rFonts w:hint="cs"/>
          <w:rtl/>
        </w:rPr>
        <w:t xml:space="preserve">, כי הוא מוליד את הווייתה. </w:t>
      </w:r>
      <w:r w:rsidR="00A9056E">
        <w:rPr>
          <w:rFonts w:hint="cs"/>
          <w:rtl/>
        </w:rPr>
        <w:t>והתנועה מאוחרת לבערת הדלק שבמנוע כי כשנולדה תנועה הדלק שנשרף (שהוא זה שהוליד אותה), כבר אינו קיים. אבל הגלגלים אינם סיבה לתנועת המכונית, כי הם לא מולידים אותה להתהוות, הם רק מאפשרים אותה, רק גורמים שלא יהיה לה מונע. במחשבה המודרנית אין משמעות לחילוק הזה, והמנוע והגלגלים נחשבים גורמים לתנועת המכונית באופן שווה, כי לדעתם העולם הוא חומר נצחי שמשנה מאפיינים ואין בו התהוות, ולכן לא אכפת לנו איך הוא האופן שבו משתנים המאפיינים. אצל אריסטו ואבן סינא ההתבוננות ביחס סיבה ותוצאה הוא התבוננות בבריאת המציאות על ידי האל ולכן זה נושא מרכזי אצלם.</w:t>
      </w:r>
    </w:p>
    <w:p w14:paraId="1202B70D" w14:textId="063181EC" w:rsidR="00F23DE1" w:rsidRDefault="00952BD9" w:rsidP="00336E57">
      <w:pPr>
        <w:pStyle w:val="FootnoteText"/>
      </w:pPr>
      <w:r>
        <w:rPr>
          <w:rFonts w:hint="cs"/>
          <w:rtl/>
        </w:rPr>
        <w:t xml:space="preserve">ועיין עוד בזה בבלוג אדם חי ברשימה הנקראת: </w:t>
      </w:r>
      <w:r w:rsidR="00F055C8">
        <w:rPr>
          <w:rtl/>
        </w:rPr>
        <w:t>"</w:t>
      </w:r>
      <w:hyperlink r:id="rId57" w:history="1">
        <w:r w:rsidRPr="00952BD9">
          <w:rPr>
            <w:rStyle w:val="Hyperlink"/>
            <w:rtl/>
          </w:rPr>
          <w:t>בעניין הנשגב של סיבה ומסובב לפי הרמב</w:t>
        </w:r>
        <w:r w:rsidR="00F055C8">
          <w:rPr>
            <w:rStyle w:val="Hyperlink"/>
            <w:rtl/>
          </w:rPr>
          <w:t>"</w:t>
        </w:r>
        <w:r w:rsidRPr="00952BD9">
          <w:rPr>
            <w:rStyle w:val="Hyperlink"/>
            <w:rtl/>
          </w:rPr>
          <w:t>ם וחז</w:t>
        </w:r>
        <w:r w:rsidR="00F055C8">
          <w:rPr>
            <w:rStyle w:val="Hyperlink"/>
            <w:rtl/>
          </w:rPr>
          <w:t>"</w:t>
        </w:r>
        <w:r w:rsidRPr="00952BD9">
          <w:rPr>
            <w:rStyle w:val="Hyperlink"/>
            <w:rtl/>
          </w:rPr>
          <w:t>ל</w:t>
        </w:r>
      </w:hyperlink>
      <w:r w:rsidR="00F055C8">
        <w:rPr>
          <w:rtl/>
        </w:rPr>
        <w:t>"</w:t>
      </w:r>
      <w:r>
        <w:rPr>
          <w:rFonts w:hint="cs"/>
          <w:rtl/>
        </w:rPr>
        <w:t>.</w:t>
      </w:r>
      <w:r w:rsidR="00A9056E">
        <w:rPr>
          <w:rFonts w:hint="cs"/>
          <w:rtl/>
        </w:rPr>
        <w:t xml:space="preserve">  </w:t>
      </w:r>
      <w:r w:rsidR="008B2FAF">
        <w:rPr>
          <w:rFonts w:hint="cs"/>
          <w:rtl/>
        </w:rPr>
        <w:t xml:space="preserve">  </w:t>
      </w:r>
      <w:r w:rsidR="00924E99">
        <w:rPr>
          <w:rFonts w:hint="cs"/>
          <w:rtl/>
        </w:rPr>
        <w:t xml:space="preserve">  </w:t>
      </w:r>
    </w:p>
  </w:footnote>
  <w:footnote w:id="255">
    <w:p w14:paraId="19C84EB6" w14:textId="69B8EBED" w:rsidR="00336E57" w:rsidRDefault="00336E57">
      <w:pPr>
        <w:pStyle w:val="FootnoteText"/>
        <w:rPr>
          <w:rtl/>
        </w:rPr>
      </w:pPr>
      <w:r>
        <w:rPr>
          <w:rStyle w:val="FootnoteReference"/>
        </w:rPr>
        <w:footnoteRef/>
      </w:r>
      <w:r>
        <w:rPr>
          <w:rtl/>
        </w:rPr>
        <w:t xml:space="preserve"> </w:t>
      </w:r>
      <w:r>
        <w:rPr>
          <w:rFonts w:hint="cs"/>
          <w:rtl/>
        </w:rPr>
        <w:t xml:space="preserve">סופר נחשב שאינו עצם חדש שהתהווה, כי הוא רק מאפיין של העצם 'אדם' ולא עצם בפני עצמו. לכן הוא לא מאוחר לעצם 'אדם' ולא נאמר שהוא התהווה מאדם, אלא האדם נעשה סופר, כלומר מאפיין של האדם השתנה להיות שהוא יכול לכתוב. אבל מאפיין הוא דבר שקיים מצד עצמו, רק שזה באופן קיום של מאפיין, שהוא קיום, רק שאינו קיום ראשוני אלא הוא קיום משני שנשען על קיום העצם שהוא מאפיין אותו. למשל צבע אדום או מרקם מחוספס הם דבר שקיים מצד עצמו ולא רק </w:t>
      </w:r>
      <w:r>
        <w:rPr>
          <w:rFonts w:hint="cs"/>
          <w:rtl/>
        </w:rPr>
        <w:t>שהעגבניה אדומה והאבן מחוספסת. אדרבה, רק אחרי שקיים הצבע האדום כמשהו שנמצא בעולם ייתכן שהעגבניה תהיה אדומה. המאפיין צריך להיות קיים בעצמו כמאפיין כדי שיוכל אחר כך לאפיין עצמים</w:t>
      </w:r>
      <w:r w:rsidR="002B73D5">
        <w:rPr>
          <w:rFonts w:hint="cs"/>
          <w:rtl/>
        </w:rPr>
        <w:t>,</w:t>
      </w:r>
      <w:r>
        <w:rPr>
          <w:rFonts w:hint="cs"/>
          <w:rtl/>
        </w:rPr>
        <w:t xml:space="preserve"> אב</w:t>
      </w:r>
      <w:r w:rsidR="002B73D5">
        <w:rPr>
          <w:rFonts w:hint="cs"/>
          <w:rtl/>
        </w:rPr>
        <w:t>ל</w:t>
      </w:r>
      <w:r>
        <w:rPr>
          <w:rFonts w:hint="cs"/>
          <w:rtl/>
        </w:rPr>
        <w:t xml:space="preserve"> בלי שה</w:t>
      </w:r>
      <w:r w:rsidR="002B73D5">
        <w:rPr>
          <w:rFonts w:hint="cs"/>
          <w:rtl/>
        </w:rPr>
        <w:t>מ</w:t>
      </w:r>
      <w:r>
        <w:rPr>
          <w:rFonts w:hint="cs"/>
          <w:rtl/>
        </w:rPr>
        <w:t>אפיין יאפיין עצמים אין לו קיום בפני עצמו, קיומו נשען על קיום העצמים כדי להיות קיים כמאפיין של עצמים.</w:t>
      </w:r>
    </w:p>
    <w:p w14:paraId="4F23BE52" w14:textId="3EC57728" w:rsidR="00336E57" w:rsidRDefault="00336E57">
      <w:pPr>
        <w:pStyle w:val="FootnoteText"/>
      </w:pPr>
      <w:r>
        <w:rPr>
          <w:rFonts w:hint="cs"/>
          <w:rtl/>
        </w:rPr>
        <w:t xml:space="preserve">אם אנו דנים על המאפיין כמשהו שקיים בקיום עצמי, למרות שהוא צריך להישען על קיום העצם, </w:t>
      </w:r>
      <w:r w:rsidR="00E94194">
        <w:rPr>
          <w:rFonts w:hint="cs"/>
          <w:rtl/>
        </w:rPr>
        <w:t xml:space="preserve">אז אפשר לומר עליו שהוא התהווה 'מ...', כלומר שקיומו מאוחר למה שהיה לפניו. למשל הצבע האדום של העגבניה התהווה מהצבע הלא-אדום שהיה לה מקודם וכעת איננו. כשאנו מוסיפים שלילה, זה מעביר את נושא הדיבור מהמאפיין של העצם כשמה שקיים הוא העצם, לקיומו של המאפיין מצד עצמו כמאפיין. האדום של העגבניה לא התהווה מלא-עגבניה, הוא לא מאוחר לקיום העגבניה, לכן הוא לא התהווה מהעגבניה ולא מאוחר לה, שהרי העגבניה לא חדלה מלהתקיים אחרי שנעשתה אדומה, כמו שסופר לא התהווה מאדם. ולכן אומרים שהעגבנייה נעשתה אדומה ולא שהאדום התהווה מהעגבניה. אבל אם מכניסים לדיון את שלילת האדום, כעת אנו מדברים על שלילת קיומו של המאפיין, לא של העגבניה כעצם. ואז הדיון עובר לקיומו של המאפיין כמאפיין ולא לקיומו של העצם, </w:t>
      </w:r>
      <w:r w:rsidR="00E94194" w:rsidRPr="00E94194">
        <w:rPr>
          <w:rtl/>
        </w:rPr>
        <w:t>ש</w:t>
      </w:r>
      <w:r w:rsidR="00E94194">
        <w:rPr>
          <w:rFonts w:hint="cs"/>
          <w:rtl/>
        </w:rPr>
        <w:t>אנו אומרים ש</w:t>
      </w:r>
      <w:r w:rsidR="00E94194" w:rsidRPr="00E94194">
        <w:rPr>
          <w:rtl/>
        </w:rPr>
        <w:t xml:space="preserve">לפני האדום המאפיין אדום לא היה קיים, </w:t>
      </w:r>
      <w:r w:rsidR="00E94194">
        <w:rPr>
          <w:rFonts w:hint="cs"/>
          <w:rtl/>
        </w:rPr>
        <w:t>והרי זה קיומו של המאפיין, והוא התחדש להתהוות כמאפיין כמאוחר למאפיין שקדם לו, שחדל להתקיים אחרי שנעשה המאפיין האדום, ובאופן כזה נכון לומר שהאדום התהווה מהירוק</w:t>
      </w:r>
      <w:r w:rsidR="00475B8C">
        <w:rPr>
          <w:rFonts w:hint="cs"/>
          <w:rtl/>
        </w:rPr>
        <w:t xml:space="preserve"> ולא שהירוק נעשה אדום</w:t>
      </w:r>
      <w:r w:rsidR="00E94194">
        <w:rPr>
          <w:rFonts w:hint="cs"/>
          <w:rtl/>
        </w:rPr>
        <w:t xml:space="preserve">.    </w:t>
      </w:r>
      <w:r>
        <w:rPr>
          <w:rFonts w:hint="cs"/>
          <w:rtl/>
        </w:rPr>
        <w:t xml:space="preserve"> </w:t>
      </w:r>
    </w:p>
  </w:footnote>
  <w:footnote w:id="256">
    <w:p w14:paraId="70ABA788" w14:textId="5C1DC4DE" w:rsidR="002B73D5" w:rsidRDefault="002B73D5">
      <w:pPr>
        <w:pStyle w:val="FootnoteText"/>
      </w:pPr>
      <w:r>
        <w:rPr>
          <w:rStyle w:val="FootnoteReference"/>
        </w:rPr>
        <w:footnoteRef/>
      </w:r>
      <w:r>
        <w:rPr>
          <w:rtl/>
        </w:rPr>
        <w:t xml:space="preserve"> </w:t>
      </w:r>
      <w:r>
        <w:rPr>
          <w:rFonts w:hint="cs"/>
          <w:rtl/>
        </w:rPr>
        <w:t xml:space="preserve">'סופר' הוא מאפיין של 'אדם', ואחרי שאדם נעשה סופר העצם שהוא 'אדם' נשאר קיים כמו שהיה (כי שינוי מאפיין אינו שינוי בעצם. זה ההבדל בין עצם למאפיין, שאם מה שהשתנה לא משנה מאומה מהגדרת העצם אז הוא מאפיין, או מקרה, ולא עצם. וכגון שאדם שהלבינו שערותיו הוא 'אדם' באותה מידה שהיה, כי אדם הוא 'חי מדבר' והוא לא נעשה יותר או פחות 'חי מדבר' מכח שינוי צבע שערותיו). לכן אי אפשר לומר שמהאדם התהווה סופר, כי מדובר בהוויה בדרך שעצם הווה, וסופר אינו עצם אלא רק מאפיין. </w:t>
      </w:r>
      <w:r w:rsidR="008717BB">
        <w:rPr>
          <w:rFonts w:hint="cs"/>
          <w:rtl/>
        </w:rPr>
        <w:t xml:space="preserve">ואם אומרים </w:t>
      </w:r>
      <w:r w:rsidR="008717BB">
        <w:rPr>
          <w:rFonts w:hint="cs"/>
          <w:rtl/>
        </w:rPr>
        <w:t>שמהלא-סופר התהווה סופר, מדברים על הוויה בדרך שמאפיין הווה. הלא-סופר חדל מלהיות קיים כמאפיין אחרי שהאדם למד להיות סופר, ולכן אי אפשר לומר שהלא-סופר נעשה סופר</w:t>
      </w:r>
      <w:r w:rsidR="001F5F90">
        <w:rPr>
          <w:rFonts w:hint="cs"/>
          <w:rtl/>
        </w:rPr>
        <w:t xml:space="preserve"> (כמו שאדם נעשה סופר)</w:t>
      </w:r>
      <w:r w:rsidR="008717BB">
        <w:rPr>
          <w:rFonts w:hint="cs"/>
          <w:rtl/>
        </w:rPr>
        <w:t xml:space="preserve">, כי אז יוצא מזה שהלא-סופר ממשיך </w:t>
      </w:r>
      <w:r w:rsidR="001F5F90">
        <w:rPr>
          <w:rFonts w:hint="cs"/>
          <w:rtl/>
        </w:rPr>
        <w:t>להיות קיים כמאפיין</w:t>
      </w:r>
      <w:r w:rsidR="00F71931">
        <w:rPr>
          <w:rFonts w:hint="cs"/>
          <w:rtl/>
        </w:rPr>
        <w:t xml:space="preserve"> במקביל לקיום של סופר כמאפיין,</w:t>
      </w:r>
      <w:r w:rsidR="001F5F90">
        <w:rPr>
          <w:rFonts w:hint="cs"/>
          <w:rtl/>
        </w:rPr>
        <w:t xml:space="preserve"> וזה שקר</w:t>
      </w:r>
      <w:r w:rsidR="00F71931">
        <w:rPr>
          <w:rFonts w:hint="cs"/>
          <w:rtl/>
        </w:rPr>
        <w:t xml:space="preserve"> (זו לשון אבן סינא כאן </w:t>
      </w:r>
      <w:r w:rsidR="00F055C8">
        <w:rPr>
          <w:b/>
          <w:bCs/>
          <w:rtl/>
        </w:rPr>
        <w:t>"</w:t>
      </w:r>
      <w:r w:rsidR="00F71931" w:rsidRPr="00F71931">
        <w:rPr>
          <w:b/>
          <w:bCs/>
          <w:rtl/>
        </w:rPr>
        <w:t>כי אז הלא-סופר היה סופר</w:t>
      </w:r>
      <w:r w:rsidR="00F055C8">
        <w:rPr>
          <w:b/>
          <w:bCs/>
          <w:rtl/>
        </w:rPr>
        <w:t>"</w:t>
      </w:r>
      <w:r w:rsidR="00F71931">
        <w:rPr>
          <w:rFonts w:hint="cs"/>
          <w:rtl/>
        </w:rPr>
        <w:t>)</w:t>
      </w:r>
      <w:r w:rsidR="001F5F90">
        <w:rPr>
          <w:rFonts w:hint="cs"/>
          <w:rtl/>
        </w:rPr>
        <w:t>. האדם שאינו סופר ממשיך להיות קיים כעצם 'אדם' גם אחרי שנעשה סופר, אבל המאפיין להיות 'לא-סופר', לא ממשיך להיות קיים כמאפיין אחרי שהאדם למד להיות סופר. כשאומרים 'אדם שלא יודע לכתוב' מדברים על העצם 'אדם' ועל חסרון של מאפיין בו, כשאומרים 'לא-סופר' מדברים על המאפיין עצמו ולא על העצם שנושא אותו</w:t>
      </w:r>
      <w:r w:rsidR="008717BB">
        <w:rPr>
          <w:rFonts w:hint="cs"/>
          <w:rtl/>
        </w:rPr>
        <w:t xml:space="preserve">. </w:t>
      </w:r>
      <w:r>
        <w:rPr>
          <w:rFonts w:hint="cs"/>
          <w:rtl/>
        </w:rPr>
        <w:t xml:space="preserve">  </w:t>
      </w:r>
    </w:p>
  </w:footnote>
  <w:footnote w:id="257">
    <w:p w14:paraId="5E20260F" w14:textId="77777777" w:rsidR="00886CB8" w:rsidRDefault="00F71931">
      <w:pPr>
        <w:pStyle w:val="FootnoteText"/>
        <w:rPr>
          <w:rtl/>
        </w:rPr>
      </w:pPr>
      <w:r>
        <w:rPr>
          <w:rStyle w:val="FootnoteReference"/>
        </w:rPr>
        <w:footnoteRef/>
      </w:r>
      <w:r>
        <w:rPr>
          <w:rtl/>
        </w:rPr>
        <w:t xml:space="preserve"> </w:t>
      </w:r>
      <w:r w:rsidR="00886CB8">
        <w:rPr>
          <w:rFonts w:hint="cs"/>
          <w:rtl/>
        </w:rPr>
        <w:t xml:space="preserve">נכון לומר </w:t>
      </w:r>
      <w:r>
        <w:rPr>
          <w:rFonts w:hint="cs"/>
          <w:rtl/>
        </w:rPr>
        <w:t xml:space="preserve">שהלא-סופר נעשה סופר. </w:t>
      </w:r>
    </w:p>
    <w:p w14:paraId="1EE6E954" w14:textId="0E93FB66" w:rsidR="00F71931" w:rsidRDefault="00F71931">
      <w:pPr>
        <w:pStyle w:val="FootnoteText"/>
      </w:pPr>
      <w:r>
        <w:rPr>
          <w:rFonts w:hint="cs"/>
          <w:rtl/>
        </w:rPr>
        <w:t xml:space="preserve">בדיבור פשוט כדרך בני אדם כשאומרים שהלא-סופר נעשה סופר, </w:t>
      </w:r>
      <w:r w:rsidR="00886CB8">
        <w:rPr>
          <w:rFonts w:hint="cs"/>
          <w:rtl/>
        </w:rPr>
        <w:t xml:space="preserve">הכוונה היא לדיבור מקוצר שפירושו </w:t>
      </w:r>
      <w:r>
        <w:rPr>
          <w:rFonts w:hint="cs"/>
          <w:rtl/>
        </w:rPr>
        <w:t>שראובן שאי</w:t>
      </w:r>
      <w:r w:rsidR="00886CB8">
        <w:rPr>
          <w:rFonts w:hint="cs"/>
          <w:rtl/>
        </w:rPr>
        <w:t>ן לו מאפיין של</w:t>
      </w:r>
      <w:r>
        <w:rPr>
          <w:rFonts w:hint="cs"/>
          <w:rtl/>
        </w:rPr>
        <w:t xml:space="preserve"> סופר</w:t>
      </w:r>
      <w:r w:rsidR="00886CB8">
        <w:rPr>
          <w:rFonts w:hint="cs"/>
          <w:rtl/>
        </w:rPr>
        <w:t>,</w:t>
      </w:r>
      <w:r>
        <w:rPr>
          <w:rFonts w:hint="cs"/>
          <w:rtl/>
        </w:rPr>
        <w:t xml:space="preserve"> נעשה ראובן שיודע לכתוב. </w:t>
      </w:r>
      <w:r w:rsidR="00886CB8">
        <w:rPr>
          <w:rFonts w:hint="cs"/>
          <w:rtl/>
        </w:rPr>
        <w:t xml:space="preserve">ובאופן כזה שמדובר ברמז על ראובן עצמו ולא על המאפיין כשלעצמו, נכון לומר ש'הלא-סופר' נעשה סופר (כמו שאומרים שהאדם נעשה סופר), ולא נכון לומר </w:t>
      </w:r>
      <w:r w:rsidR="00886CB8">
        <w:rPr>
          <w:rFonts w:hint="cs"/>
          <w:rtl/>
        </w:rPr>
        <w:t xml:space="preserve">שמה'לא-סופר' התהווה סופר. </w:t>
      </w:r>
    </w:p>
  </w:footnote>
  <w:footnote w:id="258">
    <w:p w14:paraId="0A5F7C7B" w14:textId="3F1BF04D" w:rsidR="00257B3D" w:rsidRDefault="00257B3D">
      <w:pPr>
        <w:pStyle w:val="FootnoteText"/>
      </w:pPr>
      <w:r>
        <w:rPr>
          <w:rStyle w:val="FootnoteReference"/>
        </w:rPr>
        <w:footnoteRef/>
      </w:r>
      <w:r>
        <w:rPr>
          <w:rtl/>
        </w:rPr>
        <w:t xml:space="preserve"> </w:t>
      </w:r>
      <w:r>
        <w:rPr>
          <w:rFonts w:hint="cs"/>
          <w:rtl/>
        </w:rPr>
        <w:t xml:space="preserve">למרות שלפעמים משתמשים בלשון 'לא-סופר' כדי לדבר בדרך מקוצרת על העצם שהוא ראובן שאינו סופר, תמיד יהיה נכון לפרש 'לא-סופר' כדיבור על המאפיין ולא כרמז לאדם שאינו סופר, ואז נאמר </w:t>
      </w:r>
      <w:r>
        <w:rPr>
          <w:rFonts w:hint="cs"/>
          <w:rtl/>
        </w:rPr>
        <w:t xml:space="preserve">שמהלא-סופר התהווה סופר, ולא שהלא-סופר נעשה סופר. </w:t>
      </w:r>
    </w:p>
  </w:footnote>
  <w:footnote w:id="259">
    <w:p w14:paraId="4D4B624C" w14:textId="15AD2015" w:rsidR="0051043A" w:rsidRDefault="0051043A">
      <w:pPr>
        <w:pStyle w:val="FootnoteText"/>
      </w:pPr>
      <w:r>
        <w:rPr>
          <w:rStyle w:val="FootnoteReference"/>
        </w:rPr>
        <w:footnoteRef/>
      </w:r>
      <w:r>
        <w:rPr>
          <w:rtl/>
        </w:rPr>
        <w:t xml:space="preserve"> </w:t>
      </w:r>
      <w:r>
        <w:rPr>
          <w:rFonts w:hint="cs"/>
          <w:rtl/>
        </w:rPr>
        <w:t xml:space="preserve">יש מקום לומר שהלא-סופר נעשה סופר כי הכוונה בלשון המדוברת ש'לא-סופר' אינו מכוון למאפיין אלא הכוונה בדרך מקוצרת היא לעצם שהוא ראובן, שהוא לא סופר ולכן קוראים לו ה'לא-סופר'. עניין זה תלוי בהרגל שימוש הלשון בשפה, שמאפשר לדבר באופן לא </w:t>
      </w:r>
      <w:r w:rsidR="009C463A">
        <w:rPr>
          <w:rFonts w:hint="cs"/>
          <w:rtl/>
        </w:rPr>
        <w:t>מדויק</w:t>
      </w:r>
      <w:r>
        <w:rPr>
          <w:rFonts w:hint="cs"/>
          <w:rtl/>
        </w:rPr>
        <w:t xml:space="preserve"> תוך השמטת מילים שהשומע משלים מדעתו, ואפשר שלא בכל השפות עניין זה יהיה כך.  </w:t>
      </w:r>
    </w:p>
  </w:footnote>
  <w:footnote w:id="260">
    <w:p w14:paraId="3FDFABFC" w14:textId="0B50BBEE" w:rsidR="00C25FF1" w:rsidRDefault="00C25FF1">
      <w:pPr>
        <w:pStyle w:val="FootnoteText"/>
        <w:rPr>
          <w:rtl/>
        </w:rPr>
      </w:pPr>
      <w:r>
        <w:rPr>
          <w:rStyle w:val="FootnoteReference"/>
        </w:rPr>
        <w:footnoteRef/>
      </w:r>
      <w:r>
        <w:rPr>
          <w:rtl/>
        </w:rPr>
        <w:t xml:space="preserve"> </w:t>
      </w:r>
      <w:r>
        <w:rPr>
          <w:rFonts w:hint="cs"/>
          <w:rtl/>
        </w:rPr>
        <w:t>הכוונה לפיזיקה של אריסטו</w:t>
      </w:r>
      <w:r w:rsidR="003473ED">
        <w:rPr>
          <w:rtl/>
        </w:rPr>
        <w:fldChar w:fldCharType="begin"/>
      </w:r>
      <w:r w:rsidR="003473ED">
        <w:instrText xml:space="preserve"> XE "</w:instrText>
      </w:r>
      <w:r w:rsidR="003473ED" w:rsidRPr="00AC1911">
        <w:rPr>
          <w:rFonts w:hint="cs"/>
          <w:rtl/>
        </w:rPr>
        <w:instrText>אריסטו</w:instrText>
      </w:r>
      <w:r w:rsidR="003473ED" w:rsidRPr="00AC1911">
        <w:rPr>
          <w:rtl/>
        </w:rPr>
        <w:instrText>:</w:instrText>
      </w:r>
      <w:r w:rsidR="003473ED" w:rsidRPr="00AC1911">
        <w:rPr>
          <w:rFonts w:hint="cs"/>
          <w:rtl/>
        </w:rPr>
        <w:instrText>פיזיקה א' פרק ט'</w:instrText>
      </w:r>
      <w:r w:rsidR="003473ED">
        <w:instrText xml:space="preserve">" </w:instrText>
      </w:r>
      <w:r w:rsidR="003473ED">
        <w:rPr>
          <w:rtl/>
        </w:rPr>
        <w:fldChar w:fldCharType="end"/>
      </w:r>
      <w:r>
        <w:rPr>
          <w:rFonts w:hint="cs"/>
          <w:rtl/>
        </w:rPr>
        <w:t xml:space="preserve"> ספר א' פרק ח'-ט' (העתקתי רק חלק מהעניין שם, וצריך ללמוד את כל ההמשך כדי לעמוד על כוונתו. התרגום הוא של פרופ' יהודה </w:t>
      </w:r>
      <w:r>
        <w:rPr>
          <w:rFonts w:hint="cs"/>
          <w:rtl/>
        </w:rPr>
        <w:t>לנדא):</w:t>
      </w:r>
    </w:p>
    <w:p w14:paraId="68F01CBD" w14:textId="082BBFB3" w:rsidR="00C25FF1" w:rsidRDefault="00C25FF1" w:rsidP="00C25FF1">
      <w:pPr>
        <w:pStyle w:val="FootnoteText"/>
        <w:rPr>
          <w:rtl/>
        </w:rPr>
      </w:pPr>
      <w:r>
        <w:rPr>
          <w:rtl/>
        </w:rPr>
        <w:t>''</w:t>
      </w:r>
      <w:r>
        <w:rPr>
          <w:rFonts w:hint="cs"/>
          <w:rtl/>
        </w:rPr>
        <w:t>פרק ח'</w:t>
      </w:r>
    </w:p>
    <w:p w14:paraId="2D079F49" w14:textId="77777777" w:rsidR="00A30A4B" w:rsidRDefault="00A30A4B" w:rsidP="00C25FF1">
      <w:pPr>
        <w:pStyle w:val="FootnoteText"/>
        <w:rPr>
          <w:rtl/>
        </w:rPr>
      </w:pPr>
      <w:r>
        <w:rPr>
          <w:rFonts w:hint="cs"/>
          <w:rtl/>
        </w:rPr>
        <w:t>[</w:t>
      </w:r>
      <w:r w:rsidR="00C25FF1">
        <w:rPr>
          <w:rFonts w:hint="cs"/>
          <w:rtl/>
        </w:rPr>
        <w:t>...</w:t>
      </w:r>
      <w:r>
        <w:rPr>
          <w:rFonts w:hint="cs"/>
          <w:rtl/>
        </w:rPr>
        <w:t>]</w:t>
      </w:r>
      <w:r w:rsidR="00C25FF1">
        <w:rPr>
          <w:rFonts w:hint="cs"/>
          <w:rtl/>
        </w:rPr>
        <w:t xml:space="preserve"> </w:t>
      </w:r>
    </w:p>
    <w:p w14:paraId="2BEDBDD1" w14:textId="1B166C13" w:rsidR="00C25FF1" w:rsidRDefault="00C25FF1" w:rsidP="00C25FF1">
      <w:pPr>
        <w:pStyle w:val="FootnoteText"/>
        <w:rPr>
          <w:rtl/>
        </w:rPr>
      </w:pPr>
      <w:r>
        <w:rPr>
          <w:rtl/>
        </w:rPr>
        <w:t xml:space="preserve">כך נפתרים - כמו שאמרנו - הקשיים שבגללם נאלצו </w:t>
      </w:r>
      <w:r>
        <w:rPr>
          <w:rFonts w:hint="cs"/>
          <w:rtl/>
        </w:rPr>
        <w:t>[</w:t>
      </w:r>
      <w:r>
        <w:rPr>
          <w:rtl/>
        </w:rPr>
        <w:t>הקדמונים</w:t>
      </w:r>
      <w:r>
        <w:rPr>
          <w:rFonts w:hint="cs"/>
          <w:rtl/>
        </w:rPr>
        <w:t>]</w:t>
      </w:r>
      <w:r>
        <w:rPr>
          <w:rtl/>
        </w:rPr>
        <w:t xml:space="preserve"> לבטל כמה מן הדברים שהוזכרו לעיל, כי בגלל זאת סטו עד כדי כך הקדמונים מן הדרך המוליכה אל ההתהוות והכיליון ואל השינוי בכלל. אילו ראו טבע זה [של המצע</w:t>
      </w:r>
      <w:r w:rsidR="002D60C4">
        <w:rPr>
          <w:rtl/>
        </w:rPr>
        <w:fldChar w:fldCharType="begin"/>
      </w:r>
      <w:r w:rsidR="002D60C4">
        <w:instrText xml:space="preserve"> XE "</w:instrText>
      </w:r>
      <w:r w:rsidR="002D60C4" w:rsidRPr="003C143A">
        <w:rPr>
          <w:rtl/>
        </w:rPr>
        <w:instrText>המצע</w:instrText>
      </w:r>
      <w:r w:rsidR="002D60C4">
        <w:instrText xml:space="preserve">" </w:instrText>
      </w:r>
      <w:r w:rsidR="002D60C4">
        <w:rPr>
          <w:rtl/>
        </w:rPr>
        <w:fldChar w:fldCharType="end"/>
      </w:r>
      <w:r>
        <w:rPr>
          <w:rFonts w:hint="cs"/>
          <w:rtl/>
        </w:rPr>
        <w:t>]</w:t>
      </w:r>
      <w:r>
        <w:rPr>
          <w:rtl/>
        </w:rPr>
        <w:t>, היה הוא מחסל את כל אי-ידיעתם.</w:t>
      </w:r>
    </w:p>
    <w:p w14:paraId="5A97D7FC" w14:textId="77777777" w:rsidR="00C25FF1" w:rsidRDefault="00C25FF1" w:rsidP="00C25FF1">
      <w:pPr>
        <w:pStyle w:val="FootnoteText"/>
        <w:rPr>
          <w:rtl/>
        </w:rPr>
      </w:pPr>
    </w:p>
    <w:p w14:paraId="0E45CF51" w14:textId="1165E16A" w:rsidR="00C25FF1" w:rsidRDefault="00C25FF1" w:rsidP="00C25FF1">
      <w:pPr>
        <w:pStyle w:val="FootnoteText"/>
        <w:rPr>
          <w:rtl/>
        </w:rPr>
      </w:pPr>
      <w:r>
        <w:rPr>
          <w:rtl/>
        </w:rPr>
        <w:t>פרק ט</w:t>
      </w:r>
      <w:r>
        <w:rPr>
          <w:rFonts w:hint="cs"/>
          <w:rtl/>
        </w:rPr>
        <w:t>'</w:t>
      </w:r>
    </w:p>
    <w:p w14:paraId="04AF292E" w14:textId="15BC4AEC" w:rsidR="00C25FF1" w:rsidRDefault="00C25FF1" w:rsidP="00C25FF1">
      <w:pPr>
        <w:pStyle w:val="FootnoteText"/>
        <w:rPr>
          <w:rtl/>
        </w:rPr>
      </w:pPr>
      <w:r>
        <w:rPr>
          <w:rtl/>
        </w:rPr>
        <w:t>גם כמה אחרים עמדו עליו</w:t>
      </w:r>
      <w:r>
        <w:rPr>
          <w:rFonts w:hint="cs"/>
          <w:rtl/>
        </w:rPr>
        <w:t xml:space="preserve"> [על טבע המצע]</w:t>
      </w:r>
      <w:r>
        <w:rPr>
          <w:rtl/>
        </w:rPr>
        <w:t xml:space="preserve">, אך לא במידה מספקת. קודם כול מודים הם בהתהוות מוחלטת מן הלא יש כפי שפארמנידס אמר בצדק. וכמו כן נראה להם, שאם הוא אחד במספר, הוא רק אחד גם בכוח. דבר זה משנה עד מאוד, כי אנו אומרים שהחומר וההיעדר שונים, ומאלה האחד, החומר, הוא לא יש על פי המקרה, בעוד שההיעדר הוא [לא יש] כשלעצמו, והחומר קרוב לעצם ומבחינת מה הינו עצם, וההיעדר בשום אופן לא. לעומת זאת הם [אומרים] שהגדול והקטן באותה מידה, או שניהם ביחד או כל אחד מהם בנפרד הם הלא יש. כך שהשלישייה הזאת שונה מכול וכול מזו </w:t>
      </w:r>
      <w:r>
        <w:rPr>
          <w:rFonts w:hint="cs"/>
          <w:rtl/>
        </w:rPr>
        <w:t>[</w:t>
      </w:r>
      <w:r>
        <w:rPr>
          <w:rtl/>
        </w:rPr>
        <w:t>שלנו</w:t>
      </w:r>
      <w:r>
        <w:rPr>
          <w:rFonts w:hint="cs"/>
          <w:rtl/>
        </w:rPr>
        <w:t>]</w:t>
      </w:r>
      <w:r>
        <w:rPr>
          <w:rtl/>
        </w:rPr>
        <w:t xml:space="preserve">. שהרי עד כאן הגיעו </w:t>
      </w:r>
      <w:r>
        <w:rPr>
          <w:rFonts w:hint="cs"/>
          <w:rtl/>
        </w:rPr>
        <w:t>-</w:t>
      </w:r>
      <w:r>
        <w:rPr>
          <w:rtl/>
        </w:rPr>
        <w:t xml:space="preserve"> שיש להניח איזה טבע המשמש</w:t>
      </w:r>
      <w:r>
        <w:rPr>
          <w:rFonts w:hint="cs"/>
          <w:rtl/>
        </w:rPr>
        <w:t xml:space="preserve"> כ</w:t>
      </w:r>
      <w:r>
        <w:rPr>
          <w:rtl/>
        </w:rPr>
        <w:t xml:space="preserve">מצע, אך מניחים שהוא אחד. כי גם אם אדם ייעשה אותו לזוג באמרו שהוא גדול וקטן, הוא יניח לא פחות את אותו דבר עצמו </w:t>
      </w:r>
      <w:r>
        <w:rPr>
          <w:rFonts w:hint="cs"/>
          <w:rtl/>
        </w:rPr>
        <w:t>כ</w:t>
      </w:r>
      <w:r>
        <w:rPr>
          <w:rtl/>
        </w:rPr>
        <w:t>י [הטבע] האחר ייעלם ממנו. זה המתמיד הוא סיבת עזר ל</w:t>
      </w:r>
      <w:r>
        <w:rPr>
          <w:rFonts w:hint="cs"/>
          <w:rtl/>
        </w:rPr>
        <w:t>ת</w:t>
      </w:r>
      <w:r>
        <w:rPr>
          <w:rtl/>
        </w:rPr>
        <w:t xml:space="preserve">בנית של הדברים המתהווים, מעין </w:t>
      </w:r>
      <w:r w:rsidR="00C17DDF" w:rsidRPr="00C17DDF">
        <w:rPr>
          <w:rtl/>
        </w:rPr>
        <w:t>אֵם</w:t>
      </w:r>
      <w:r>
        <w:rPr>
          <w:rFonts w:hint="cs"/>
          <w:rtl/>
        </w:rPr>
        <w:t xml:space="preserve"> [נ.ש.:</w:t>
      </w:r>
      <w:r>
        <w:rPr>
          <w:rFonts w:hint="cs"/>
        </w:rPr>
        <w:t xml:space="preserve"> </w:t>
      </w:r>
      <w:r>
        <w:rPr>
          <w:rFonts w:hint="cs"/>
          <w:rtl/>
        </w:rPr>
        <w:t xml:space="preserve">כמו שכתב אפלטון </w:t>
      </w:r>
      <w:bookmarkStart w:id="161" w:name="_Hlk98055147"/>
      <w:r>
        <w:rPr>
          <w:rFonts w:hint="cs"/>
          <w:rtl/>
        </w:rPr>
        <w:t>בטימאוס בסיפור הבריאה השני</w:t>
      </w:r>
      <w:r w:rsidR="00C17DDF">
        <w:rPr>
          <w:rFonts w:hint="cs"/>
          <w:rtl/>
        </w:rPr>
        <w:t>, עמ' 49 והלאה עיין שם</w:t>
      </w:r>
      <w:bookmarkEnd w:id="161"/>
      <w:r>
        <w:rPr>
          <w:rFonts w:hint="cs"/>
          <w:rtl/>
        </w:rPr>
        <w:t>]</w:t>
      </w:r>
      <w:r>
        <w:rPr>
          <w:rtl/>
        </w:rPr>
        <w:t>; בעוד שהחלק האחר של הניגוד ייראה לעתים קרובות למי שמכוון את דעתו לרע הנגרם על ידיו כלא קיים כלל</w:t>
      </w:r>
      <w:r>
        <w:rPr>
          <w:rFonts w:hint="cs"/>
          <w:rtl/>
        </w:rPr>
        <w:t xml:space="preserve"> נ.ש.: עי' מורה נבוכים ג' י']</w:t>
      </w:r>
      <w:r>
        <w:rPr>
          <w:rtl/>
        </w:rPr>
        <w:t>.</w:t>
      </w:r>
    </w:p>
    <w:p w14:paraId="4ECB8CFF" w14:textId="77777777" w:rsidR="00C25FF1" w:rsidRDefault="00C25FF1" w:rsidP="00C25FF1">
      <w:pPr>
        <w:pStyle w:val="FootnoteText"/>
        <w:rPr>
          <w:rtl/>
        </w:rPr>
      </w:pPr>
    </w:p>
    <w:p w14:paraId="71ECF0D2" w14:textId="1756FB14" w:rsidR="00C25FF1" w:rsidRDefault="00C25FF1" w:rsidP="00C25FF1">
      <w:pPr>
        <w:pStyle w:val="FootnoteText"/>
        <w:rPr>
          <w:rtl/>
        </w:rPr>
      </w:pPr>
      <w:r w:rsidRPr="00C82321">
        <w:rPr>
          <w:b/>
          <w:bCs/>
          <w:rtl/>
        </w:rPr>
        <w:t>כי אם יש משהו אלוהי, טוב ונערג, ואנו אומרים שמצד אחד נמצא המנוגד ל</w:t>
      </w:r>
      <w:r w:rsidR="00C82321">
        <w:rPr>
          <w:rFonts w:hint="cs"/>
          <w:b/>
          <w:bCs/>
          <w:rtl/>
        </w:rPr>
        <w:t>ו [נ.ש.:</w:t>
      </w:r>
      <w:r w:rsidR="00C82321">
        <w:rPr>
          <w:rFonts w:hint="cs"/>
          <w:b/>
          <w:bCs/>
        </w:rPr>
        <w:t xml:space="preserve"> </w:t>
      </w:r>
      <w:r w:rsidR="00C82321">
        <w:rPr>
          <w:rFonts w:hint="cs"/>
          <w:b/>
          <w:bCs/>
          <w:rtl/>
        </w:rPr>
        <w:t>ההעדר]</w:t>
      </w:r>
      <w:r w:rsidRPr="00C82321">
        <w:rPr>
          <w:b/>
          <w:bCs/>
          <w:rtl/>
        </w:rPr>
        <w:t>, ומצד אחר מה שמטבעו עורג ומשתוקק אליו על פי טבעו הוא</w:t>
      </w:r>
      <w:r w:rsidR="00C82321">
        <w:rPr>
          <w:rFonts w:hint="cs"/>
          <w:b/>
          <w:bCs/>
          <w:rtl/>
        </w:rPr>
        <w:t xml:space="preserve"> [נ.ש.:</w:t>
      </w:r>
      <w:r w:rsidR="00C82321">
        <w:rPr>
          <w:rFonts w:hint="cs"/>
          <w:b/>
          <w:bCs/>
        </w:rPr>
        <w:t xml:space="preserve"> </w:t>
      </w:r>
      <w:r w:rsidR="00C82321">
        <w:rPr>
          <w:rFonts w:hint="cs"/>
          <w:b/>
          <w:bCs/>
          <w:rtl/>
        </w:rPr>
        <w:t>החומר]</w:t>
      </w:r>
      <w:r w:rsidRPr="00C82321">
        <w:rPr>
          <w:b/>
          <w:bCs/>
          <w:rtl/>
        </w:rPr>
        <w:t>.</w:t>
      </w:r>
      <w:r>
        <w:rPr>
          <w:rtl/>
        </w:rPr>
        <w:t xml:space="preserve"> אולם להם יוצא שהמנוגד משתוקק לכיליון שלו עצמו. אך אין הצורה יכולה לערוג היא עצמה לעצמה, משום שאינה חסרה כלום, ואף לא המנוגד |לה], שהרי המנוגדים מכלים זה את זה, אלא החומר הוא זה [המשתוקק], כמו הנקבה לזכר והמכוער ליפה, אך לא המכוער כשלעצמו אלא על פי המקרה ואף לא הנקבה וכשלעצמה] אלא על פי המקרה.</w:t>
      </w:r>
    </w:p>
    <w:p w14:paraId="29DF8E7E" w14:textId="77777777" w:rsidR="00C25FF1" w:rsidRDefault="00C25FF1" w:rsidP="00C25FF1">
      <w:pPr>
        <w:pStyle w:val="FootnoteText"/>
        <w:rPr>
          <w:rtl/>
        </w:rPr>
      </w:pPr>
    </w:p>
    <w:p w14:paraId="280E74CD" w14:textId="2608D4FC" w:rsidR="00C25FF1" w:rsidRDefault="00C25FF1" w:rsidP="00C25FF1">
      <w:pPr>
        <w:pStyle w:val="FootnoteText"/>
      </w:pPr>
      <w:r>
        <w:rPr>
          <w:rtl/>
        </w:rPr>
        <w:t>החומר כלה ומתהווה מבחינה אחת. אך מבחינה אחרת לא. כי מ</w:t>
      </w:r>
      <w:r w:rsidR="00C82321">
        <w:rPr>
          <w:rFonts w:hint="cs"/>
          <w:rtl/>
        </w:rPr>
        <w:t>ב</w:t>
      </w:r>
      <w:r>
        <w:rPr>
          <w:rtl/>
        </w:rPr>
        <w:t xml:space="preserve">חינת הדבר אשר בתוכו </w:t>
      </w:r>
      <w:r w:rsidR="00C82321">
        <w:rPr>
          <w:rFonts w:hint="cs"/>
          <w:rtl/>
        </w:rPr>
        <w:t>-</w:t>
      </w:r>
      <w:r>
        <w:rPr>
          <w:rtl/>
        </w:rPr>
        <w:t xml:space="preserve"> הוא כלה כשלעצמו (שהרי מה שכלה - ההיעדר - נמצא בו), אך מבחינת הבכוח הוא אינו כלה כשלעצמו, אלא מן ההכרח שיהיה לא כלה ולא מתהווה.</w:t>
      </w:r>
      <w:r w:rsidR="00C82321">
        <w:rPr>
          <w:rFonts w:hint="cs"/>
          <w:rtl/>
        </w:rPr>
        <w:t xml:space="preserve"> וכו'</w:t>
      </w:r>
      <w:r w:rsidR="00F055C8">
        <w:rPr>
          <w:rtl/>
        </w:rPr>
        <w:t>"</w:t>
      </w:r>
      <w:r w:rsidR="00AA0EFF">
        <w:rPr>
          <w:rFonts w:hint="cs"/>
          <w:rtl/>
        </w:rPr>
        <w:t xml:space="preserve"> (ועיין גם במורה נבוכים א' י</w:t>
      </w:r>
      <w:r w:rsidR="00F055C8">
        <w:rPr>
          <w:rtl/>
        </w:rPr>
        <w:t>"</w:t>
      </w:r>
      <w:r w:rsidR="00AA0EFF">
        <w:rPr>
          <w:rFonts w:hint="cs"/>
          <w:rtl/>
        </w:rPr>
        <w:t>ז</w:t>
      </w:r>
      <w:r w:rsidR="0032463A">
        <w:rPr>
          <w:rFonts w:hint="cs"/>
          <w:rtl/>
        </w:rPr>
        <w:t>, ובפתיחת המורה נבוכים שהביא מספר משלי שהחומר נמשל לנקבה</w:t>
      </w:r>
      <w:r w:rsidR="00BF37F8">
        <w:rPr>
          <w:rFonts w:hint="cs"/>
          <w:rtl/>
        </w:rPr>
        <w:t>. ומה שכתב המו</w:t>
      </w:r>
      <w:r w:rsidR="00F055C8">
        <w:rPr>
          <w:rtl/>
        </w:rPr>
        <w:t>"</w:t>
      </w:r>
      <w:r w:rsidR="00BF37F8">
        <w:rPr>
          <w:rFonts w:hint="cs"/>
          <w:rtl/>
        </w:rPr>
        <w:t>נ א' י</w:t>
      </w:r>
      <w:r w:rsidR="00F055C8">
        <w:rPr>
          <w:rtl/>
        </w:rPr>
        <w:t>"</w:t>
      </w:r>
      <w:r w:rsidR="00BF37F8">
        <w:rPr>
          <w:rFonts w:hint="cs"/>
          <w:rtl/>
        </w:rPr>
        <w:t xml:space="preserve">ז </w:t>
      </w:r>
      <w:r w:rsidR="00F055C8">
        <w:rPr>
          <w:rtl/>
        </w:rPr>
        <w:t>"</w:t>
      </w:r>
      <w:r w:rsidR="00BF37F8" w:rsidRPr="00BF37F8">
        <w:rPr>
          <w:rtl/>
        </w:rPr>
        <w:t>ואפלטון ומי שקדם לו היה קורא החומר הנקבה, והצורה הזכר</w:t>
      </w:r>
      <w:r w:rsidR="00F055C8">
        <w:rPr>
          <w:rtl/>
        </w:rPr>
        <w:t>"</w:t>
      </w:r>
      <w:r w:rsidR="00BF37F8">
        <w:rPr>
          <w:rFonts w:hint="cs"/>
          <w:rtl/>
        </w:rPr>
        <w:t xml:space="preserve"> - מי שקדם לאפלטון הכוונה לשלמה המלך</w:t>
      </w:r>
      <w:r w:rsidR="00AA0EFF">
        <w:rPr>
          <w:rFonts w:hint="cs"/>
          <w:rtl/>
        </w:rPr>
        <w:t>).</w:t>
      </w:r>
    </w:p>
  </w:footnote>
  <w:footnote w:id="261">
    <w:p w14:paraId="27C83DE9" w14:textId="2112EBFF" w:rsidR="00825CA1" w:rsidRPr="00825CA1" w:rsidRDefault="00825CA1">
      <w:pPr>
        <w:pStyle w:val="FootnoteText"/>
      </w:pPr>
      <w:r>
        <w:rPr>
          <w:rStyle w:val="FootnoteReference"/>
        </w:rPr>
        <w:footnoteRef/>
      </w:r>
      <w:r>
        <w:rPr>
          <w:rtl/>
        </w:rPr>
        <w:t xml:space="preserve"> </w:t>
      </w:r>
      <w:r>
        <w:rPr>
          <w:rFonts w:hint="cs"/>
          <w:rtl/>
        </w:rPr>
        <w:t>במקור:</w:t>
      </w:r>
      <w:r w:rsidRPr="00825CA1">
        <w:t xml:space="preserve"> </w:t>
      </w:r>
      <w:r w:rsidRPr="00825CA1">
        <w:rPr>
          <w:rFonts w:ascii="Arial" w:hAnsi="Arial" w:cs="Arial" w:hint="cs"/>
          <w:rtl/>
          <w:lang w:bidi="ar-SA"/>
        </w:rPr>
        <w:t>شوق</w:t>
      </w:r>
      <w:r>
        <w:rPr>
          <w:rFonts w:cs="Times New Roman" w:hint="cs"/>
          <w:rtl/>
        </w:rPr>
        <w:t>.</w:t>
      </w:r>
      <w:r w:rsidRPr="00825CA1">
        <w:rPr>
          <w:rtl/>
        </w:rPr>
        <w:t xml:space="preserve"> אפשר לתרגם גם חשק וגם געגועים. </w:t>
      </w:r>
    </w:p>
  </w:footnote>
  <w:footnote w:id="262">
    <w:p w14:paraId="1136D6B3" w14:textId="0C7E8D4E" w:rsidR="00EE62F7" w:rsidRDefault="00EA6B39">
      <w:pPr>
        <w:pStyle w:val="FootnoteText"/>
        <w:rPr>
          <w:rtl/>
        </w:rPr>
      </w:pPr>
      <w:r>
        <w:rPr>
          <w:rStyle w:val="FootnoteReference"/>
        </w:rPr>
        <w:footnoteRef/>
      </w:r>
      <w:r>
        <w:rPr>
          <w:rtl/>
        </w:rPr>
        <w:t xml:space="preserve"> </w:t>
      </w:r>
      <w:r>
        <w:rPr>
          <w:rFonts w:hint="cs"/>
          <w:rtl/>
        </w:rPr>
        <w:t xml:space="preserve">הצורה היא הנפש, </w:t>
      </w:r>
      <w:r w:rsidR="008D7B10">
        <w:rPr>
          <w:rFonts w:hint="cs"/>
          <w:rtl/>
        </w:rPr>
        <w:t xml:space="preserve">כלומר החיים, </w:t>
      </w:r>
      <w:r>
        <w:rPr>
          <w:rFonts w:hint="cs"/>
          <w:rtl/>
        </w:rPr>
        <w:t xml:space="preserve">והעצם חי ומשתוקק </w:t>
      </w:r>
      <w:r w:rsidR="008D7B10">
        <w:rPr>
          <w:rFonts w:hint="cs"/>
          <w:rtl/>
        </w:rPr>
        <w:t xml:space="preserve">לאלוה </w:t>
      </w:r>
      <w:r>
        <w:rPr>
          <w:rFonts w:hint="cs"/>
          <w:rtl/>
        </w:rPr>
        <w:t>מחמת שיש בחומר שלו צורה, כלומר נפש</w:t>
      </w:r>
      <w:r w:rsidR="008D7B10">
        <w:rPr>
          <w:rFonts w:hint="cs"/>
          <w:rtl/>
        </w:rPr>
        <w:t xml:space="preserve"> חיה</w:t>
      </w:r>
      <w:r>
        <w:rPr>
          <w:rFonts w:hint="cs"/>
          <w:rtl/>
        </w:rPr>
        <w:t xml:space="preserve">. וכמו שכתב אבן סינא במאמר על החשק שתרגמתי בסוף ספר </w:t>
      </w:r>
      <w:hyperlink r:id="rId58" w:history="1">
        <w:r w:rsidRPr="00453786">
          <w:rPr>
            <w:rStyle w:val="Hyperlink"/>
            <w:rFonts w:hint="cs"/>
            <w:rtl/>
          </w:rPr>
          <w:t>הרמיזות וההערות</w:t>
        </w:r>
      </w:hyperlink>
      <w:r>
        <w:rPr>
          <w:rFonts w:hint="cs"/>
          <w:rtl/>
        </w:rPr>
        <w:t xml:space="preserve"> (עיין מורה נבוכים א' ע</w:t>
      </w:r>
      <w:r w:rsidR="00F055C8">
        <w:rPr>
          <w:rtl/>
        </w:rPr>
        <w:t>"</w:t>
      </w:r>
      <w:r>
        <w:rPr>
          <w:rFonts w:hint="cs"/>
          <w:rtl/>
        </w:rPr>
        <w:t xml:space="preserve">ב שכל המציאות היא יש אחד חי וכל הנבראים הם כמו איברים בה, ומקורו באפלטון, עולה מזה שגם הגופים הדוממים חיים, וחיותם היא במה שהם נכספים לבוראים, כמו שכתב אבן סינא במאמר על החשק, וכן במורה נבוכים ב' ד' שכתב שיחס השכל הפועל (שהוא שכל נפרד והוא כמו כל השכלים הנפרדים גילוי של </w:t>
      </w:r>
      <w:r>
        <w:rPr>
          <w:rFonts w:hint="cs"/>
          <w:rtl/>
        </w:rPr>
        <w:t xml:space="preserve">האלוה עצמו במדרגה שמתאימה ליחס עם המציאות שמתחת לגלגל הירח) לעולם החומרי של ד' היסודות הוא כמו היחס של כל שכל נפרד לגלגל ששייך אליו, והשכל הנפרד מניע את הגלגל על ידי שהגלגל נכסף אליו. </w:t>
      </w:r>
      <w:r w:rsidR="00453786">
        <w:rPr>
          <w:rFonts w:hint="cs"/>
          <w:rtl/>
        </w:rPr>
        <w:t>מה שחי ב</w:t>
      </w:r>
      <w:r w:rsidR="00EE62F7">
        <w:rPr>
          <w:rFonts w:hint="cs"/>
          <w:rtl/>
        </w:rPr>
        <w:t>'</w:t>
      </w:r>
      <w:r w:rsidR="00453786">
        <w:rPr>
          <w:rFonts w:hint="cs"/>
          <w:rtl/>
        </w:rPr>
        <w:t>עצם</w:t>
      </w:r>
      <w:r w:rsidR="00EE62F7">
        <w:rPr>
          <w:rFonts w:hint="cs"/>
          <w:rtl/>
        </w:rPr>
        <w:t>'</w:t>
      </w:r>
      <w:r w:rsidR="00453786">
        <w:rPr>
          <w:rFonts w:hint="cs"/>
          <w:rtl/>
        </w:rPr>
        <w:t xml:space="preserve"> (שמורכב מחומר וצורה) הוא הצורה, החומר הוא רק מצע לה, ואין לו חיים נפרדים משל עצמו שמכוחם ישתוקק אל הצורה.</w:t>
      </w:r>
    </w:p>
    <w:p w14:paraId="6E32C7BB" w14:textId="6E8A2802" w:rsidR="00EA6B39" w:rsidRPr="00F834D4" w:rsidRDefault="00BB28B8">
      <w:pPr>
        <w:pStyle w:val="FootnoteText"/>
      </w:pPr>
      <w:r>
        <w:rPr>
          <w:rFonts w:hint="cs"/>
          <w:rtl/>
        </w:rPr>
        <w:t>יש להעיר ש</w:t>
      </w:r>
      <w:r w:rsidR="00EE62F7">
        <w:rPr>
          <w:rFonts w:hint="cs"/>
          <w:rtl/>
        </w:rPr>
        <w:t>אריסטו שם כתב שההיולי, היינו החומר הראשון שאין בו שום צורה וממילא לא שום עצם, לא משתוקק אל הצורה, אלא רק החומר (כלומר חומר של עצם כלשהו). וכאן אבן ס</w:t>
      </w:r>
      <w:r>
        <w:rPr>
          <w:rFonts w:hint="cs"/>
          <w:rtl/>
        </w:rPr>
        <w:t xml:space="preserve">ינא כתב 'היולי' ולא 'חומר'. </w:t>
      </w:r>
      <w:r w:rsidR="00453786">
        <w:rPr>
          <w:rFonts w:hint="cs"/>
          <w:rtl/>
        </w:rPr>
        <w:t xml:space="preserve"> </w:t>
      </w:r>
    </w:p>
  </w:footnote>
  <w:footnote w:id="263">
    <w:p w14:paraId="1734C32D" w14:textId="37EE3222" w:rsidR="00F834D4" w:rsidRPr="00F834D4" w:rsidRDefault="00F834D4">
      <w:pPr>
        <w:pStyle w:val="FootnoteText"/>
      </w:pPr>
      <w:r w:rsidRPr="00F834D4">
        <w:rPr>
          <w:rStyle w:val="FootnoteReference"/>
        </w:rPr>
        <w:footnoteRef/>
      </w:r>
      <w:r w:rsidRPr="00F834D4">
        <w:rPr>
          <w:rtl/>
        </w:rPr>
        <w:t xml:space="preserve"> במקור: </w:t>
      </w:r>
      <w:r w:rsidRPr="00F834D4">
        <w:rPr>
          <w:rFonts w:ascii="Arial" w:hAnsi="Arial" w:cs="Arial" w:hint="cs"/>
          <w:rtl/>
          <w:lang w:bidi="ar-SA"/>
        </w:rPr>
        <w:t>إنعاثه</w:t>
      </w:r>
      <w:r w:rsidRPr="00F834D4">
        <w:rPr>
          <w:rtl/>
        </w:rPr>
        <w:t xml:space="preserve">. המילה משמשת גם במובן של פליטה כמו מנורה שפולטת קרני אור. </w:t>
      </w:r>
    </w:p>
  </w:footnote>
  <w:footnote w:id="264">
    <w:p w14:paraId="62BF41E9" w14:textId="0340BCF4" w:rsidR="000C35E7" w:rsidRPr="00F834D4" w:rsidRDefault="000C35E7">
      <w:pPr>
        <w:pStyle w:val="FootnoteText"/>
        <w:rPr>
          <w:rtl/>
        </w:rPr>
      </w:pPr>
      <w:r w:rsidRPr="00F834D4">
        <w:rPr>
          <w:rStyle w:val="FootnoteReference"/>
        </w:rPr>
        <w:footnoteRef/>
      </w:r>
      <w:r w:rsidRPr="00F834D4">
        <w:rPr>
          <w:rtl/>
        </w:rPr>
        <w:t xml:space="preserve"> </w:t>
      </w:r>
      <w:r w:rsidR="00686C61" w:rsidRPr="00F834D4">
        <w:rPr>
          <w:rtl/>
        </w:rPr>
        <w:t>במורה נבוכים ע</w:t>
      </w:r>
      <w:r w:rsidR="00F055C8">
        <w:rPr>
          <w:rtl/>
        </w:rPr>
        <w:t>"</w:t>
      </w:r>
      <w:r w:rsidR="00686C61" w:rsidRPr="00F834D4">
        <w:rPr>
          <w:rtl/>
        </w:rPr>
        <w:t>ב א' כתב:</w:t>
      </w:r>
    </w:p>
    <w:p w14:paraId="7E4F1E21" w14:textId="67726ECC" w:rsidR="00686C61" w:rsidRDefault="00F055C8">
      <w:pPr>
        <w:pStyle w:val="FootnoteText"/>
        <w:rPr>
          <w:rtl/>
        </w:rPr>
      </w:pPr>
      <w:r>
        <w:rPr>
          <w:rtl/>
        </w:rPr>
        <w:t>"</w:t>
      </w:r>
      <w:r w:rsidR="00686C61" w:rsidRPr="00686C61">
        <w:rPr>
          <w:rtl/>
        </w:rPr>
        <w:t xml:space="preserve">והם </w:t>
      </w:r>
      <w:r w:rsidR="00686C61">
        <w:rPr>
          <w:rFonts w:hint="cs"/>
          <w:rtl/>
        </w:rPr>
        <w:t xml:space="preserve">[ארבעת היסודות] </w:t>
      </w:r>
      <w:r w:rsidR="00686C61" w:rsidRPr="00686C61">
        <w:rPr>
          <w:rtl/>
        </w:rPr>
        <w:t xml:space="preserve">גופים מתים, אין חיים בהם ולא השגה ולא יתנועעו מעצמם, אבל הם שוכנים במקומותיהם </w:t>
      </w:r>
      <w:r w:rsidR="00686C61" w:rsidRPr="00686C61">
        <w:rPr>
          <w:rtl/>
        </w:rPr>
        <w:t>הטבעים, ואם יוציאו אחד מהם ממקומו הטבעי בהכרח, בסור המכריח יתנועע לשוב למקומו הטבעי. כי הנה יש בו זאת ההתחלה אשר בה יתנועע לשוב אל מקומו על יושר, ואין בו התחלה שינוח בה</w:t>
      </w:r>
      <w:r w:rsidR="00686C61">
        <w:rPr>
          <w:rFonts w:hint="cs"/>
          <w:rtl/>
        </w:rPr>
        <w:t xml:space="preserve"> [הוא לא נעצר מכח עצמו אלא רק משום שכבר הגיע למקומו הטבעי]</w:t>
      </w:r>
      <w:r w:rsidR="00686C61" w:rsidRPr="00686C61">
        <w:rPr>
          <w:rtl/>
        </w:rPr>
        <w:t xml:space="preserve">, ולא שיתנועע בה על בלתי יושר. והתנועות הישרות הנמצאות לאלה הארבע יסודות כשיתנועעו לשוב למקומותם </w:t>
      </w:r>
      <w:r w:rsidR="00001963">
        <w:rPr>
          <w:rtl/>
        </w:rPr>
        <w:t>-</w:t>
      </w:r>
      <w:r w:rsidR="00686C61" w:rsidRPr="00686C61">
        <w:rPr>
          <w:rtl/>
        </w:rPr>
        <w:t xml:space="preserve"> שתי תנועות, תנועה אל צד המקיף, והיא לאש ולאויר, ותנועה אל נקודת המרכז, והיא למים ולארץ, כשיגיע כל אחד מהם למקומו הטבעי ינוח.</w:t>
      </w:r>
    </w:p>
    <w:p w14:paraId="1AF6CCAA" w14:textId="77777777" w:rsidR="00686C61" w:rsidRDefault="00686C61">
      <w:pPr>
        <w:pStyle w:val="FootnoteText"/>
        <w:rPr>
          <w:rtl/>
        </w:rPr>
      </w:pPr>
      <w:r>
        <w:rPr>
          <w:rFonts w:hint="cs"/>
          <w:rtl/>
        </w:rPr>
        <w:t>[...]</w:t>
      </w:r>
    </w:p>
    <w:p w14:paraId="2A0B6C75" w14:textId="1107D752" w:rsidR="00686C61" w:rsidRDefault="00686C61">
      <w:pPr>
        <w:pStyle w:val="FootnoteText"/>
        <w:rPr>
          <w:rtl/>
        </w:rPr>
      </w:pPr>
      <w:r w:rsidRPr="00686C61">
        <w:rPr>
          <w:rtl/>
        </w:rPr>
        <w:t>וכמו שהחי אמנם הוא חי כולו בתנועת לבו, אע</w:t>
      </w:r>
      <w:r w:rsidR="00F055C8">
        <w:rPr>
          <w:rtl/>
        </w:rPr>
        <w:t>"</w:t>
      </w:r>
      <w:r w:rsidRPr="00686C61">
        <w:rPr>
          <w:rtl/>
        </w:rPr>
        <w:t>פ שבו אברים נחים לא ירגישו, כעֲצָמוֹת והאליל</w:t>
      </w:r>
      <w:r>
        <w:rPr>
          <w:rFonts w:hint="cs"/>
          <w:rtl/>
        </w:rPr>
        <w:t xml:space="preserve"> [סחוס]</w:t>
      </w:r>
      <w:r w:rsidRPr="00686C61">
        <w:rPr>
          <w:rtl/>
        </w:rPr>
        <w:t xml:space="preserve"> וזולתם, כן זה המציאות כלו הוא איש אחד חי בתנועת הגלגל אשר הוא כדמות הלב מבעלי הלב, ואף על פי שבו גופים רבים נחים ומתים.</w:t>
      </w:r>
      <w:r w:rsidR="00F055C8">
        <w:rPr>
          <w:rtl/>
        </w:rPr>
        <w:t>"</w:t>
      </w:r>
    </w:p>
    <w:p w14:paraId="17D6B643" w14:textId="42E6299D" w:rsidR="00686C61" w:rsidRDefault="00686C61">
      <w:pPr>
        <w:pStyle w:val="FootnoteText"/>
      </w:pPr>
      <w:r>
        <w:rPr>
          <w:rFonts w:hint="cs"/>
          <w:rtl/>
        </w:rPr>
        <w:t xml:space="preserve">העצמות והסחוס נראים כמו דברים מתים ששוכנים בגוף החי ונישאים על ידו כמו כד שמונח על הראש. אבל באמת הרי העצמות והסחוס של תינוק גדלים איתו, ועצמות וסחוס של גווייה מתה מתייבשים ושל גוף חי נשארים בלחלוחיתם, והרי שהם חיים כחלק מחיי הגוף, ויש להם תנועה עצמית משלהם כמו תנועת הגדילה, רק שנראה שהם מונעים על ידי הכח הכללי של חיות הגוף ואין להם צורה עצמית של איבר שהיא המניעה אותם מכח עצמם, כמו למשל שגלגל העין נע מכח צורתו המיוחדת כאיבר ולא רק מכח החיים הכלליים של הגוף. לכן כתב כאן אבן סינא שתנועת העצמים הדוממים היא בדרך של סחיפה, שהם כמו נסחפים מכח החיות הכללית של הגוף. </w:t>
      </w:r>
    </w:p>
    <w:p w14:paraId="12D73D09" w14:textId="7CC6E761" w:rsidR="00664F63" w:rsidRDefault="00664F63">
      <w:pPr>
        <w:pStyle w:val="FootnoteText"/>
        <w:rPr>
          <w:rtl/>
        </w:rPr>
      </w:pPr>
      <w:r>
        <w:rPr>
          <w:rFonts w:hint="cs"/>
          <w:rtl/>
        </w:rPr>
        <w:t>ביסודות ובדוממים אין נפש חיה משל עצמה שיש לה צורה מיוחדת משלה ש</w:t>
      </w:r>
      <w:r w:rsidR="003D1AE7">
        <w:rPr>
          <w:rFonts w:hint="cs"/>
          <w:rtl/>
        </w:rPr>
        <w:t xml:space="preserve">היא חיים מיוחדים כאיבר נפרד של חיי העולם הכלליים, שמכוחה תהיה להם תנועה עצמית. לכן בכל מקום כתוב שהם מתים. אלא הם חלק מהחיות הכללית של העולם. לכן היה אפשר לומר שתשוקתם מקורה בחומר שלהם, כי הצורה לא מעניקה להם חיים נפרדים, ובחיים הכלליים הכל חי במידה שווה, החומר והצורה, ואם כן לכאורה היה מקום לומר שתשוקתם שהיא התשוקה הכללית של כל הבריאה אל בוראה, היא גם מכח החומר שלהם. אבל היא הנותנת, שלפי זה אין להם חיים מיוחדים משל עצמם ולכן גם לא תשוקה מיוחדת להם משל עצמם, ולא מסתבר אם כן שלזה התכוון אריסטו כשאמר שהחומר משתוקק לצורה.     </w:t>
      </w:r>
      <w:r>
        <w:rPr>
          <w:rFonts w:hint="cs"/>
          <w:rtl/>
        </w:rPr>
        <w:t xml:space="preserve"> </w:t>
      </w:r>
    </w:p>
  </w:footnote>
  <w:footnote w:id="265">
    <w:p w14:paraId="05B42A44" w14:textId="7E3819F9" w:rsidR="00E75A03" w:rsidRPr="00861EA2" w:rsidRDefault="00E75A03">
      <w:pPr>
        <w:pStyle w:val="FootnoteText"/>
        <w:rPr>
          <w:rtl/>
        </w:rPr>
      </w:pPr>
      <w:r>
        <w:rPr>
          <w:rStyle w:val="FootnoteReference"/>
        </w:rPr>
        <w:footnoteRef/>
      </w:r>
      <w:r>
        <w:rPr>
          <w:rtl/>
        </w:rPr>
        <w:t xml:space="preserve"> </w:t>
      </w:r>
      <w:r>
        <w:rPr>
          <w:rFonts w:hint="cs"/>
          <w:rtl/>
        </w:rPr>
        <w:t>במקור:</w:t>
      </w:r>
      <w:r w:rsidRPr="00AF7C8B">
        <w:rPr>
          <w:rtl/>
        </w:rPr>
        <w:t xml:space="preserve"> </w:t>
      </w:r>
      <w:r w:rsidRPr="00AF7C8B">
        <w:rPr>
          <w:rFonts w:ascii="Arial" w:hAnsi="Arial" w:cs="Arial" w:hint="cs"/>
          <w:rtl/>
          <w:lang w:bidi="ar-SA"/>
        </w:rPr>
        <w:t>ليستكمل</w:t>
      </w:r>
      <w:r w:rsidR="00D84EEF">
        <w:rPr>
          <w:rFonts w:hint="cs"/>
          <w:rtl/>
        </w:rPr>
        <w:t>,</w:t>
      </w:r>
      <w:r w:rsidR="00575A43">
        <w:rPr>
          <w:rFonts w:hint="cs"/>
          <w:rtl/>
        </w:rPr>
        <w:t xml:space="preserve"> </w:t>
      </w:r>
      <w:r w:rsidR="00D84EEF">
        <w:rPr>
          <w:rFonts w:hint="cs"/>
          <w:rtl/>
        </w:rPr>
        <w:t>תרגמתי את הבניין באופן מילולי</w:t>
      </w:r>
      <w:r w:rsidR="007049BA">
        <w:rPr>
          <w:rFonts w:hint="cs"/>
          <w:rtl/>
        </w:rPr>
        <w:t>, ובעקבות הלשון של אבן סינא לא כתבתי להשלים את מה (יש מקום לדון אם הכוונה להשלים את עצמה או את אי הסדר שבטבע שנולד מעקירתה ממקומה)</w:t>
      </w:r>
      <w:r w:rsidR="00D84EEF">
        <w:rPr>
          <w:rFonts w:hint="cs"/>
          <w:rtl/>
        </w:rPr>
        <w:t xml:space="preserve">. </w:t>
      </w:r>
      <w:r w:rsidR="00575A43">
        <w:rPr>
          <w:rFonts w:hint="cs"/>
          <w:rtl/>
        </w:rPr>
        <w:t>ה</w:t>
      </w:r>
      <w:r w:rsidR="007049BA">
        <w:rPr>
          <w:rFonts w:hint="cs"/>
          <w:rtl/>
        </w:rPr>
        <w:t>מילה</w:t>
      </w:r>
      <w:r w:rsidR="00575A43">
        <w:rPr>
          <w:rFonts w:hint="cs"/>
          <w:rtl/>
        </w:rPr>
        <w:t xml:space="preserve"> מתפרש</w:t>
      </w:r>
      <w:r w:rsidR="007049BA">
        <w:rPr>
          <w:rFonts w:hint="cs"/>
          <w:rtl/>
        </w:rPr>
        <w:t>ת</w:t>
      </w:r>
      <w:r w:rsidR="00575A43">
        <w:rPr>
          <w:rFonts w:hint="cs"/>
          <w:rtl/>
        </w:rPr>
        <w:t xml:space="preserve"> גם </w:t>
      </w:r>
      <w:r w:rsidR="007049BA">
        <w:rPr>
          <w:rFonts w:hint="cs"/>
          <w:rtl/>
        </w:rPr>
        <w:t>'</w:t>
      </w:r>
      <w:r w:rsidR="00575A43">
        <w:rPr>
          <w:rFonts w:hint="cs"/>
          <w:rtl/>
        </w:rPr>
        <w:t>להמ</w:t>
      </w:r>
      <w:r w:rsidR="00575A43" w:rsidRPr="00861EA2">
        <w:rPr>
          <w:rtl/>
        </w:rPr>
        <w:t>שיך</w:t>
      </w:r>
      <w:r w:rsidR="007049BA" w:rsidRPr="00861EA2">
        <w:rPr>
          <w:rtl/>
        </w:rPr>
        <w:t>'</w:t>
      </w:r>
      <w:r w:rsidR="00575A43" w:rsidRPr="00861EA2">
        <w:rPr>
          <w:rtl/>
        </w:rPr>
        <w:t xml:space="preserve">, </w:t>
      </w:r>
      <w:r w:rsidR="00575A43" w:rsidRPr="00861EA2">
        <w:t>to continue</w:t>
      </w:r>
      <w:r w:rsidR="00575A43" w:rsidRPr="00861EA2">
        <w:rPr>
          <w:rtl/>
        </w:rPr>
        <w:t>.</w:t>
      </w:r>
    </w:p>
  </w:footnote>
  <w:footnote w:id="266">
    <w:p w14:paraId="67041F77" w14:textId="676C741B" w:rsidR="00804682" w:rsidRDefault="00804682">
      <w:pPr>
        <w:pStyle w:val="FootnoteText"/>
      </w:pPr>
      <w:r w:rsidRPr="00861EA2">
        <w:rPr>
          <w:rStyle w:val="FootnoteReference"/>
        </w:rPr>
        <w:footnoteRef/>
      </w:r>
      <w:r w:rsidRPr="00861EA2">
        <w:rPr>
          <w:rtl/>
        </w:rPr>
        <w:t xml:space="preserve"> </w:t>
      </w:r>
      <w:r w:rsidRPr="00861EA2">
        <w:rPr>
          <w:rtl/>
          <w:lang w:bidi="ar-SA"/>
        </w:rPr>
        <w:t xml:space="preserve"> </w:t>
      </w:r>
      <w:r w:rsidRPr="00861EA2">
        <w:rPr>
          <w:rFonts w:ascii="Arial" w:hAnsi="Arial" w:cs="Arial" w:hint="cs"/>
          <w:rtl/>
          <w:lang w:bidi="ar-SA"/>
        </w:rPr>
        <w:t>خلو</w:t>
      </w:r>
      <w:r w:rsidRPr="00861EA2">
        <w:rPr>
          <w:rtl/>
        </w:rPr>
        <w:t>.</w:t>
      </w:r>
      <w:r w:rsidR="00861EA2" w:rsidRPr="00861EA2">
        <w:rPr>
          <w:rtl/>
        </w:rPr>
        <w:t xml:space="preserve"> אפשר גם לתרגם </w:t>
      </w:r>
      <w:r w:rsidR="00861EA2">
        <w:rPr>
          <w:rFonts w:hint="cs"/>
          <w:rtl/>
        </w:rPr>
        <w:t>'</w:t>
      </w:r>
      <w:r w:rsidR="00861EA2" w:rsidRPr="00861EA2">
        <w:rPr>
          <w:rtl/>
        </w:rPr>
        <w:t>ריק</w:t>
      </w:r>
      <w:r w:rsidR="00861EA2">
        <w:rPr>
          <w:rFonts w:hint="cs"/>
          <w:rtl/>
        </w:rPr>
        <w:t xml:space="preserve"> מכל הצורות'</w:t>
      </w:r>
      <w:r w:rsidR="00861EA2" w:rsidRPr="00861EA2">
        <w:rPr>
          <w:rtl/>
        </w:rPr>
        <w:t xml:space="preserve">. </w:t>
      </w:r>
    </w:p>
  </w:footnote>
  <w:footnote w:id="267">
    <w:p w14:paraId="404B9580" w14:textId="70AE1A4C" w:rsidR="008B6B8F" w:rsidRPr="008B6B8F" w:rsidRDefault="008B6B8F">
      <w:pPr>
        <w:pStyle w:val="FootnoteText"/>
      </w:pPr>
      <w:r>
        <w:rPr>
          <w:rStyle w:val="FootnoteReference"/>
        </w:rPr>
        <w:footnoteRef/>
      </w:r>
      <w:r>
        <w:rPr>
          <w:rtl/>
        </w:rPr>
        <w:t xml:space="preserve"> </w:t>
      </w:r>
      <w:r w:rsidRPr="008B6B8F">
        <w:rPr>
          <w:rtl/>
        </w:rPr>
        <w:t xml:space="preserve">במקור </w:t>
      </w:r>
      <w:r w:rsidRPr="008B6B8F">
        <w:rPr>
          <w:rFonts w:ascii="Arial" w:hAnsi="Arial" w:cs="Arial" w:hint="cs"/>
          <w:rtl/>
          <w:lang w:bidi="ar-SA"/>
        </w:rPr>
        <w:t>أكتساب</w:t>
      </w:r>
      <w:r w:rsidRPr="008B6B8F">
        <w:rPr>
          <w:rtl/>
        </w:rPr>
        <w:t xml:space="preserve">. אפשר שהיה מתאים כאן יותר לתרגם 'קבלת הצורה', אבל מונח זה הוא חלק מהמונח </w:t>
      </w:r>
      <w:r w:rsidRPr="008B6B8F">
        <w:rPr>
          <w:rFonts w:ascii="Arial" w:hAnsi="Arial" w:cs="Arial" w:hint="cs"/>
          <w:rtl/>
          <w:lang w:bidi="ar-SA"/>
        </w:rPr>
        <w:t>العقل</w:t>
      </w:r>
      <w:r w:rsidRPr="008B6B8F">
        <w:rPr>
          <w:rtl/>
          <w:lang w:bidi="ar-SA"/>
        </w:rPr>
        <w:t xml:space="preserve"> </w:t>
      </w:r>
      <w:r w:rsidRPr="008B6B8F">
        <w:rPr>
          <w:rFonts w:ascii="Arial" w:hAnsi="Arial" w:cs="Arial" w:hint="cs"/>
          <w:rtl/>
          <w:lang w:bidi="ar-SA"/>
        </w:rPr>
        <w:t>الذى</w:t>
      </w:r>
      <w:r w:rsidRPr="008B6B8F">
        <w:rPr>
          <w:rtl/>
          <w:lang w:bidi="ar-SA"/>
        </w:rPr>
        <w:t xml:space="preserve"> </w:t>
      </w:r>
      <w:r w:rsidRPr="008B6B8F">
        <w:rPr>
          <w:rFonts w:ascii="Arial" w:hAnsi="Arial" w:cs="Arial" w:hint="cs"/>
          <w:rtl/>
          <w:lang w:bidi="ar-SA"/>
        </w:rPr>
        <w:t>من</w:t>
      </w:r>
      <w:r w:rsidRPr="008B6B8F">
        <w:rPr>
          <w:rtl/>
          <w:lang w:bidi="ar-SA"/>
        </w:rPr>
        <w:t xml:space="preserve"> </w:t>
      </w:r>
      <w:r w:rsidRPr="008B6B8F">
        <w:rPr>
          <w:rFonts w:ascii="Arial" w:hAnsi="Arial" w:cs="Arial" w:hint="cs"/>
          <w:rtl/>
          <w:lang w:bidi="ar-SA"/>
        </w:rPr>
        <w:t>اكتساب</w:t>
      </w:r>
      <w:r w:rsidRPr="008B6B8F">
        <w:rPr>
          <w:rtl/>
        </w:rPr>
        <w:t xml:space="preserve"> שמתורגם בידי אבן תיבון: 'השכל הנקנה' או 'השכל הנאצל', והלכתי בעקבותיו.</w:t>
      </w:r>
    </w:p>
  </w:footnote>
  <w:footnote w:id="268">
    <w:p w14:paraId="7FAAD17C" w14:textId="49742866" w:rsidR="006E6D93" w:rsidRDefault="006E6D93">
      <w:pPr>
        <w:pStyle w:val="FootnoteText"/>
      </w:pPr>
      <w:r>
        <w:rPr>
          <w:rStyle w:val="FootnoteReference"/>
        </w:rPr>
        <w:footnoteRef/>
      </w:r>
      <w:r>
        <w:rPr>
          <w:rtl/>
        </w:rPr>
        <w:t xml:space="preserve"> </w:t>
      </w:r>
      <w:r>
        <w:rPr>
          <w:rFonts w:hint="cs"/>
          <w:rtl/>
        </w:rPr>
        <w:t>בוודאי ההיולי, דהיינו החומר הראשון</w:t>
      </w:r>
      <w:r w:rsidR="00DF7CBD">
        <w:rPr>
          <w:rtl/>
        </w:rPr>
        <w:fldChar w:fldCharType="begin"/>
      </w:r>
      <w:r w:rsidR="00DF7CBD">
        <w:instrText xml:space="preserve"> XE "</w:instrText>
      </w:r>
      <w:r w:rsidR="00DF7CBD" w:rsidRPr="004961CD">
        <w:rPr>
          <w:rFonts w:hint="cs"/>
          <w:rtl/>
        </w:rPr>
        <w:instrText>החומר הראשון</w:instrText>
      </w:r>
      <w:r w:rsidR="00DF7CBD">
        <w:instrText xml:space="preserve">" </w:instrText>
      </w:r>
      <w:r w:rsidR="00DF7CBD">
        <w:rPr>
          <w:rtl/>
        </w:rPr>
        <w:fldChar w:fldCharType="end"/>
      </w:r>
      <w:r>
        <w:rPr>
          <w:rFonts w:hint="cs"/>
          <w:rtl/>
        </w:rPr>
        <w:t>, נקי מכל הצורות. כמו שכתב אבן סינא ברמיזות והערות פיזיקה חלק א' פרק י', ובעוד מקומות רבים</w:t>
      </w:r>
      <w:r w:rsidR="00C17DDF">
        <w:rPr>
          <w:rFonts w:hint="cs"/>
          <w:rtl/>
        </w:rPr>
        <w:t>.</w:t>
      </w:r>
      <w:r w:rsidR="00D40BE0">
        <w:rPr>
          <w:rFonts w:hint="cs"/>
          <w:rtl/>
        </w:rPr>
        <w:t xml:space="preserve"> </w:t>
      </w:r>
      <w:r w:rsidR="00C17DDF">
        <w:rPr>
          <w:rFonts w:hint="cs"/>
          <w:rtl/>
        </w:rPr>
        <w:t xml:space="preserve">זה מבואר באריכות </w:t>
      </w:r>
      <w:r w:rsidR="00C17DDF">
        <w:rPr>
          <w:rFonts w:hint="cs"/>
          <w:rtl/>
        </w:rPr>
        <w:t xml:space="preserve">בטימיאוס מאת אפלטון, </w:t>
      </w:r>
      <w:r w:rsidR="00D40BE0">
        <w:rPr>
          <w:rFonts w:hint="cs"/>
          <w:rtl/>
        </w:rPr>
        <w:t xml:space="preserve">בסיפור הבריאה השני מעמ' 49 שם, </w:t>
      </w:r>
      <w:bookmarkStart w:id="163" w:name="_Hlk98063786"/>
      <w:r w:rsidR="00CE1A14">
        <w:rPr>
          <w:rFonts w:hint="cs"/>
          <w:rtl/>
        </w:rPr>
        <w:t>ודבריו הם יסוד אצל אריסטו עיין למשל</w:t>
      </w:r>
      <w:r w:rsidR="00DF7CBD">
        <w:rPr>
          <w:rtl/>
        </w:rPr>
        <w:fldChar w:fldCharType="begin"/>
      </w:r>
      <w:r w:rsidR="00DF7CBD">
        <w:instrText xml:space="preserve"> XE "</w:instrText>
      </w:r>
      <w:r w:rsidR="00DF7CBD" w:rsidRPr="00F21882">
        <w:rPr>
          <w:rFonts w:hint="cs"/>
          <w:rtl/>
        </w:rPr>
        <w:instrText>החומר הראשון - מקורות מאריסטו</w:instrText>
      </w:r>
      <w:r w:rsidR="00DF7CBD">
        <w:instrText xml:space="preserve">" </w:instrText>
      </w:r>
      <w:r w:rsidR="00DF7CBD">
        <w:rPr>
          <w:rtl/>
        </w:rPr>
        <w:fldChar w:fldCharType="end"/>
      </w:r>
      <w:r w:rsidR="00D40BE0">
        <w:rPr>
          <w:rFonts w:hint="cs"/>
          <w:rtl/>
        </w:rPr>
        <w:t xml:space="preserve"> </w:t>
      </w:r>
      <w:r w:rsidR="00E9765F" w:rsidRPr="00E9765F">
        <w:rPr>
          <w:rtl/>
        </w:rPr>
        <w:t>מטאפיזיקה זטא פרק ג</w:t>
      </w:r>
      <w:r w:rsidR="00E9765F">
        <w:rPr>
          <w:rFonts w:hint="cs"/>
          <w:rtl/>
        </w:rPr>
        <w:t>'</w:t>
      </w:r>
      <w:r w:rsidR="00695E96">
        <w:rPr>
          <w:rFonts w:hint="cs"/>
          <w:rtl/>
        </w:rPr>
        <w:t xml:space="preserve"> ושם פרק י' (1036א שורה 1 והלאה)</w:t>
      </w:r>
      <w:r w:rsidR="0028562F">
        <w:rPr>
          <w:rFonts w:hint="cs"/>
          <w:rtl/>
        </w:rPr>
        <w:t>,</w:t>
      </w:r>
      <w:r w:rsidR="0028562F" w:rsidRPr="0028562F">
        <w:rPr>
          <w:rtl/>
        </w:rPr>
        <w:t xml:space="preserve"> מטאפיזיקה טתא פרק ז' </w:t>
      </w:r>
      <w:r w:rsidR="00695E96">
        <w:rPr>
          <w:rFonts w:hint="cs"/>
          <w:rtl/>
        </w:rPr>
        <w:t>(</w:t>
      </w:r>
      <w:r w:rsidR="0028562F" w:rsidRPr="0028562F">
        <w:rPr>
          <w:rtl/>
        </w:rPr>
        <w:t>1049א</w:t>
      </w:r>
      <w:r w:rsidR="00695E96">
        <w:rPr>
          <w:rFonts w:hint="cs"/>
          <w:rtl/>
        </w:rPr>
        <w:t>)</w:t>
      </w:r>
      <w:r w:rsidR="0028562F">
        <w:rPr>
          <w:rFonts w:hint="cs"/>
          <w:rtl/>
        </w:rPr>
        <w:t>,</w:t>
      </w:r>
      <w:r w:rsidR="00E9765F">
        <w:rPr>
          <w:rFonts w:hint="cs"/>
          <w:rtl/>
        </w:rPr>
        <w:t xml:space="preserve"> </w:t>
      </w:r>
      <w:r w:rsidR="00F055C8">
        <w:rPr>
          <w:rtl/>
        </w:rPr>
        <w:t>"</w:t>
      </w:r>
      <w:r w:rsidR="00F413B1">
        <w:rPr>
          <w:rFonts w:hint="cs"/>
          <w:rtl/>
        </w:rPr>
        <w:t>על ההתהוות וההפסד</w:t>
      </w:r>
      <w:r w:rsidR="00F055C8">
        <w:rPr>
          <w:rtl/>
        </w:rPr>
        <w:t>"</w:t>
      </w:r>
      <w:r w:rsidR="00F413B1">
        <w:rPr>
          <w:rFonts w:hint="cs"/>
          <w:rtl/>
        </w:rPr>
        <w:t xml:space="preserve"> א' ד' (319ב), ושם א' ג' (317ב שורה 15), </w:t>
      </w:r>
      <w:r w:rsidR="00DC0018">
        <w:rPr>
          <w:rFonts w:hint="cs"/>
          <w:rtl/>
        </w:rPr>
        <w:t xml:space="preserve">ושם ב' א' (329א), </w:t>
      </w:r>
      <w:r w:rsidR="00E9765F">
        <w:rPr>
          <w:rFonts w:hint="cs"/>
          <w:rtl/>
        </w:rPr>
        <w:t xml:space="preserve">ועוד </w:t>
      </w:r>
      <w:r w:rsidR="00D40BE0">
        <w:rPr>
          <w:rFonts w:hint="cs"/>
          <w:rtl/>
        </w:rPr>
        <w:t xml:space="preserve">מספר מקומות </w:t>
      </w:r>
      <w:r w:rsidR="00E9765F">
        <w:rPr>
          <w:rFonts w:hint="cs"/>
          <w:rtl/>
        </w:rPr>
        <w:t>(</w:t>
      </w:r>
      <w:r w:rsidR="00D40BE0">
        <w:rPr>
          <w:rFonts w:hint="cs"/>
          <w:rtl/>
        </w:rPr>
        <w:t xml:space="preserve">ביניהם פיזיקה א' ט' </w:t>
      </w:r>
      <w:bookmarkEnd w:id="163"/>
      <w:r w:rsidR="00D40BE0">
        <w:rPr>
          <w:rFonts w:hint="cs"/>
          <w:rtl/>
        </w:rPr>
        <w:t>שהעתקתי לעיל בסמוך</w:t>
      </w:r>
      <w:r w:rsidR="00E9765F">
        <w:rPr>
          <w:rFonts w:hint="cs"/>
          <w:rtl/>
        </w:rPr>
        <w:t>, ועיין עוד שם בפנים לגבי המצע)</w:t>
      </w:r>
      <w:r w:rsidR="00D40BE0">
        <w:rPr>
          <w:rFonts w:hint="cs"/>
          <w:rtl/>
        </w:rPr>
        <w:t xml:space="preserve">, </w:t>
      </w:r>
      <w:r w:rsidR="006D73F4">
        <w:rPr>
          <w:rFonts w:hint="cs"/>
          <w:rtl/>
        </w:rPr>
        <w:t xml:space="preserve">וכן גם במורה נבוכים </w:t>
      </w:r>
      <w:r w:rsidR="00690E18">
        <w:rPr>
          <w:rFonts w:hint="cs"/>
          <w:rtl/>
        </w:rPr>
        <w:t>א</w:t>
      </w:r>
      <w:r w:rsidR="006D73F4">
        <w:rPr>
          <w:rFonts w:hint="cs"/>
          <w:rtl/>
        </w:rPr>
        <w:t>' כ"</w:t>
      </w:r>
      <w:r w:rsidR="00076869">
        <w:rPr>
          <w:rFonts w:hint="cs"/>
          <w:rtl/>
        </w:rPr>
        <w:t>ח</w:t>
      </w:r>
      <w:r w:rsidR="00690E18">
        <w:rPr>
          <w:rFonts w:hint="cs"/>
          <w:rtl/>
        </w:rPr>
        <w:t xml:space="preserve"> ועוד</w:t>
      </w:r>
      <w:r w:rsidR="006D73F4">
        <w:rPr>
          <w:rFonts w:hint="cs"/>
          <w:rtl/>
        </w:rPr>
        <w:t xml:space="preserve">, </w:t>
      </w:r>
      <w:r w:rsidR="00D40BE0">
        <w:rPr>
          <w:rFonts w:hint="cs"/>
          <w:rtl/>
        </w:rPr>
        <w:t>ו</w:t>
      </w:r>
      <w:r w:rsidR="004506B4">
        <w:rPr>
          <w:rFonts w:hint="cs"/>
          <w:rtl/>
        </w:rPr>
        <w:t xml:space="preserve">בלי ספק </w:t>
      </w:r>
      <w:r w:rsidR="00D40BE0">
        <w:rPr>
          <w:rFonts w:hint="cs"/>
          <w:rtl/>
        </w:rPr>
        <w:t>אין בזה מחלוקת</w:t>
      </w:r>
      <w:r w:rsidR="002716A3">
        <w:rPr>
          <w:rFonts w:hint="cs"/>
          <w:rtl/>
        </w:rPr>
        <w:t xml:space="preserve"> ואין צורך להאריך בראיות</w:t>
      </w:r>
      <w:r>
        <w:rPr>
          <w:rFonts w:hint="cs"/>
          <w:rtl/>
        </w:rPr>
        <w:t>.</w:t>
      </w:r>
      <w:r w:rsidR="003F0B16">
        <w:rPr>
          <w:rFonts w:hint="cs"/>
          <w:rtl/>
        </w:rPr>
        <w:t xml:space="preserve"> בסוף סעיף 23 התבארו הסתירות שכאן. </w:t>
      </w:r>
    </w:p>
  </w:footnote>
  <w:footnote w:id="269">
    <w:p w14:paraId="73BEC4D3" w14:textId="690204C9" w:rsidR="00900E7A" w:rsidRDefault="00900E7A">
      <w:pPr>
        <w:pStyle w:val="FootnoteText"/>
      </w:pPr>
      <w:r>
        <w:rPr>
          <w:rStyle w:val="FootnoteReference"/>
        </w:rPr>
        <w:footnoteRef/>
      </w:r>
      <w:r>
        <w:rPr>
          <w:rtl/>
        </w:rPr>
        <w:t xml:space="preserve"> </w:t>
      </w:r>
      <w:r w:rsidRPr="00900E7A">
        <w:rPr>
          <w:rFonts w:ascii="Arial" w:hAnsi="Arial" w:cs="Arial" w:hint="cs"/>
          <w:rtl/>
          <w:lang w:bidi="ar-SA"/>
        </w:rPr>
        <w:t>تعمل</w:t>
      </w:r>
      <w:r w:rsidRPr="00900E7A">
        <w:rPr>
          <w:rtl/>
        </w:rPr>
        <w:t>. תרגמתי מילולית.</w:t>
      </w:r>
    </w:p>
  </w:footnote>
  <w:footnote w:id="270">
    <w:p w14:paraId="77373BF2" w14:textId="2665EB9B" w:rsidR="003C63E6" w:rsidRDefault="003C63E6">
      <w:pPr>
        <w:pStyle w:val="FootnoteText"/>
      </w:pPr>
      <w:r>
        <w:rPr>
          <w:rStyle w:val="FootnoteReference"/>
        </w:rPr>
        <w:footnoteRef/>
      </w:r>
      <w:r>
        <w:rPr>
          <w:rtl/>
        </w:rPr>
        <w:t xml:space="preserve"> </w:t>
      </w:r>
      <w:r>
        <w:rPr>
          <w:rFonts w:hint="cs"/>
          <w:rtl/>
        </w:rPr>
        <w:t xml:space="preserve">ומעולם לא היה ההיולי קונה אותה ואין מקום לומר שהוא קנה אותה ואחר כך נלאה מזה. </w:t>
      </w:r>
    </w:p>
  </w:footnote>
  <w:footnote w:id="271">
    <w:p w14:paraId="4B873B44" w14:textId="4138EC26" w:rsidR="00257742" w:rsidRDefault="00257742">
      <w:pPr>
        <w:pStyle w:val="FootnoteText"/>
      </w:pPr>
      <w:r>
        <w:rPr>
          <w:rStyle w:val="FootnoteReference"/>
        </w:rPr>
        <w:footnoteRef/>
      </w:r>
      <w:r>
        <w:rPr>
          <w:rtl/>
        </w:rPr>
        <w:t xml:space="preserve"> </w:t>
      </w:r>
      <w:r>
        <w:rPr>
          <w:rFonts w:hint="cs"/>
          <w:rtl/>
        </w:rPr>
        <w:t>אם יש אפשרות שהתשוקה תחדל בגלל אורך הזמן, בהכרח היה זמן בעבר שבו היא לא הייתה. כי אם יש אפשרות שההיולי יהיה ללא תשוקה, מכיוון שכל מה שאפשרי בהכרח מתממש אם יש די זמן, ומצד העבר ההיולי קיים משך זמן אין סופי, בהכרח בעבר היה זמן שלא הייתה בו התשוקה.</w:t>
      </w:r>
      <w:r w:rsidR="003C63E6">
        <w:rPr>
          <w:rFonts w:hint="cs"/>
          <w:rtl/>
        </w:rPr>
        <w:t xml:space="preserve"> אם כן כשאנו רואים שכעת יש תשוקה הרי היא התחדשה בנקודת זמן כלשהי אחרי שלא </w:t>
      </w:r>
      <w:r w:rsidR="003C63E6">
        <w:rPr>
          <w:rFonts w:hint="cs"/>
          <w:rtl/>
        </w:rPr>
        <w:t>היתה, וצריך סיבה להתחדשות הזו. כיוון שאין סיבה כזו לא יתכן שההיולי נלאה מצורה בגלל משך הזמן.</w:t>
      </w:r>
    </w:p>
  </w:footnote>
  <w:footnote w:id="272">
    <w:p w14:paraId="5B32D2CE" w14:textId="07C7F8F1" w:rsidR="00162D78" w:rsidRDefault="00162D78">
      <w:pPr>
        <w:pStyle w:val="FootnoteText"/>
      </w:pPr>
      <w:r>
        <w:rPr>
          <w:rStyle w:val="FootnoteReference"/>
        </w:rPr>
        <w:footnoteRef/>
      </w:r>
      <w:r>
        <w:rPr>
          <w:rtl/>
        </w:rPr>
        <w:t xml:space="preserve"> </w:t>
      </w:r>
      <w:r w:rsidRPr="00162D78">
        <w:rPr>
          <w:rFonts w:cs="Times New Roman" w:hint="eastAsia"/>
          <w:rtl/>
          <w:lang w:bidi="ar-SA"/>
        </w:rPr>
        <w:t>محال</w:t>
      </w:r>
      <w:r w:rsidRPr="00162D78">
        <w:rPr>
          <w:rtl/>
        </w:rPr>
        <w:t>. הוא המקביל</w:t>
      </w:r>
      <w:r>
        <w:rPr>
          <w:rFonts w:hint="cs"/>
          <w:rtl/>
        </w:rPr>
        <w:t>ה</w:t>
      </w:r>
      <w:r w:rsidRPr="00162D78">
        <w:rPr>
          <w:rtl/>
        </w:rPr>
        <w:t xml:space="preserve"> למ</w:t>
      </w:r>
      <w:r>
        <w:rPr>
          <w:rFonts w:hint="cs"/>
          <w:rtl/>
        </w:rPr>
        <w:t>ונח</w:t>
      </w:r>
      <w:r w:rsidR="0084435D">
        <w:rPr>
          <w:rFonts w:hint="cs"/>
          <w:rtl/>
        </w:rPr>
        <w:t xml:space="preserve"> היווני</w:t>
      </w:r>
      <w:r w:rsidR="0084435D" w:rsidRPr="0084435D">
        <w:rPr>
          <w:rtl/>
        </w:rPr>
        <w:t xml:space="preserve"> </w:t>
      </w:r>
      <w:r w:rsidR="0084435D" w:rsidRPr="00BF14AF">
        <w:rPr>
          <w:rFonts w:asciiTheme="majorBidi" w:hAnsiTheme="majorBidi" w:cstheme="majorBidi"/>
        </w:rPr>
        <w:t>ἄτοπος</w:t>
      </w:r>
      <w:r w:rsidRPr="0084435D">
        <w:rPr>
          <w:rtl/>
        </w:rPr>
        <w:t xml:space="preserve"> </w:t>
      </w:r>
      <w:r w:rsidR="0084435D" w:rsidRPr="0084435D">
        <w:rPr>
          <w:rtl/>
        </w:rPr>
        <w:t xml:space="preserve">ומוכר </w:t>
      </w:r>
      <w:r w:rsidR="0084435D">
        <w:rPr>
          <w:rFonts w:hint="cs"/>
          <w:rtl/>
        </w:rPr>
        <w:t>בגרסה הלטינית</w:t>
      </w:r>
      <w:r w:rsidRPr="00162D78">
        <w:rPr>
          <w:rtl/>
        </w:rPr>
        <w:t xml:space="preserve"> </w:t>
      </w:r>
      <w:r>
        <w:rPr>
          <w:rFonts w:hint="cs"/>
          <w:rtl/>
        </w:rPr>
        <w:t>'</w:t>
      </w:r>
      <w:r w:rsidRPr="00162D78">
        <w:rPr>
          <w:rtl/>
        </w:rPr>
        <w:t>אבסורד</w:t>
      </w:r>
      <w:r>
        <w:rPr>
          <w:rFonts w:hint="cs"/>
          <w:rtl/>
        </w:rPr>
        <w:t>'</w:t>
      </w:r>
      <w:r w:rsidRPr="00162D78">
        <w:rPr>
          <w:rtl/>
        </w:rPr>
        <w:t>.</w:t>
      </w:r>
    </w:p>
  </w:footnote>
  <w:footnote w:id="273">
    <w:p w14:paraId="447486C9" w14:textId="1E7924CC" w:rsidR="00D748BB" w:rsidRDefault="00D748BB">
      <w:pPr>
        <w:pStyle w:val="FootnoteText"/>
      </w:pPr>
      <w:r>
        <w:rPr>
          <w:rStyle w:val="FootnoteReference"/>
        </w:rPr>
        <w:footnoteRef/>
      </w:r>
      <w:r>
        <w:rPr>
          <w:rtl/>
        </w:rPr>
        <w:t xml:space="preserve"> </w:t>
      </w:r>
      <w:r>
        <w:rPr>
          <w:rFonts w:hint="cs"/>
          <w:rtl/>
        </w:rPr>
        <w:t>כמו תשוקת האבן לנוע למטה.</w:t>
      </w:r>
    </w:p>
  </w:footnote>
  <w:footnote w:id="274">
    <w:p w14:paraId="19D37E5D" w14:textId="1D057D17" w:rsidR="00D01406" w:rsidRDefault="00D01406">
      <w:pPr>
        <w:pStyle w:val="FootnoteText"/>
      </w:pPr>
      <w:r>
        <w:rPr>
          <w:rStyle w:val="FootnoteReference"/>
        </w:rPr>
        <w:footnoteRef/>
      </w:r>
      <w:r>
        <w:rPr>
          <w:rtl/>
        </w:rPr>
        <w:t xml:space="preserve"> </w:t>
      </w:r>
      <w:r>
        <w:rPr>
          <w:rFonts w:hint="cs"/>
          <w:rtl/>
        </w:rPr>
        <w:t xml:space="preserve">לאבן יש רק תנועה כלפי מטה אל מקומה הטבעי, ולא לשום כיוון אחר. </w:t>
      </w:r>
    </w:p>
  </w:footnote>
  <w:footnote w:id="275">
    <w:p w14:paraId="2B9538EB" w14:textId="50A55D94" w:rsidR="00D70FD6" w:rsidRDefault="00D70FD6">
      <w:pPr>
        <w:pStyle w:val="FootnoteText"/>
      </w:pPr>
      <w:r>
        <w:rPr>
          <w:rStyle w:val="FootnoteReference"/>
        </w:rPr>
        <w:footnoteRef/>
      </w:r>
      <w:r>
        <w:rPr>
          <w:rtl/>
        </w:rPr>
        <w:t xml:space="preserve"> </w:t>
      </w:r>
      <w:r>
        <w:rPr>
          <w:rFonts w:hint="cs"/>
          <w:rtl/>
        </w:rPr>
        <w:t xml:space="preserve">כמו אצל האבן שתנועת נפילתה אינה מכח תנועתה שלה, אלא מסיבה חיצונית דהיינו שנעקרה ממקומה הטבעי, וכשהיא מגיעה למקומה הטבעי מתבטלת הסיבה הזו.  </w:t>
      </w:r>
    </w:p>
  </w:footnote>
  <w:footnote w:id="276">
    <w:p w14:paraId="0DDA3215" w14:textId="699B96B0" w:rsidR="00006E9C" w:rsidRDefault="00006E9C">
      <w:pPr>
        <w:pStyle w:val="FootnoteText"/>
      </w:pPr>
      <w:r>
        <w:rPr>
          <w:rStyle w:val="FootnoteReference"/>
        </w:rPr>
        <w:footnoteRef/>
      </w:r>
      <w:r>
        <w:rPr>
          <w:rtl/>
        </w:rPr>
        <w:t xml:space="preserve"> </w:t>
      </w:r>
      <w:r w:rsidR="00E74D36">
        <w:rPr>
          <w:rFonts w:hint="cs"/>
          <w:rtl/>
        </w:rPr>
        <w:t xml:space="preserve">ההולכים הם </w:t>
      </w:r>
      <w:r>
        <w:rPr>
          <w:rFonts w:hint="cs"/>
          <w:rtl/>
        </w:rPr>
        <w:t xml:space="preserve">הפריפטטים, כך נקראו הפילוסופים שהולכים בשיטת אריסטו. </w:t>
      </w:r>
    </w:p>
  </w:footnote>
  <w:footnote w:id="277">
    <w:p w14:paraId="7684534C" w14:textId="77777777" w:rsidR="00006E9C" w:rsidRDefault="00006E9C" w:rsidP="00006E9C">
      <w:pPr>
        <w:pStyle w:val="FootnoteText"/>
        <w:rPr>
          <w:rFonts w:cs="Times New Roman"/>
          <w:rtl/>
        </w:rPr>
      </w:pPr>
      <w:r>
        <w:rPr>
          <w:rStyle w:val="FootnoteReference"/>
        </w:rPr>
        <w:footnoteRef/>
      </w:r>
      <w:r>
        <w:rPr>
          <w:rtl/>
        </w:rPr>
        <w:t xml:space="preserve">  </w:t>
      </w:r>
      <w:r>
        <w:rPr>
          <w:rFonts w:hint="cs"/>
          <w:rtl/>
        </w:rPr>
        <w:t xml:space="preserve">במקור </w:t>
      </w:r>
      <w:bookmarkStart w:id="164" w:name="_Hlk97999767"/>
      <w:r w:rsidRPr="005F36E7">
        <w:rPr>
          <w:rFonts w:cs="Times New Roman" w:hint="eastAsia"/>
          <w:rtl/>
          <w:lang w:bidi="ar-SA"/>
        </w:rPr>
        <w:t>الصورة</w:t>
      </w:r>
      <w:r w:rsidRPr="005F36E7">
        <w:rPr>
          <w:rFonts w:cs="Times New Roman"/>
          <w:rtl/>
          <w:lang w:bidi="ar-SA"/>
        </w:rPr>
        <w:t xml:space="preserve"> </w:t>
      </w:r>
      <w:r w:rsidRPr="005F36E7">
        <w:rPr>
          <w:rFonts w:cs="Times New Roman" w:hint="eastAsia"/>
          <w:rtl/>
          <w:lang w:bidi="ar-SA"/>
        </w:rPr>
        <w:t>المقومة</w:t>
      </w:r>
      <w:bookmarkEnd w:id="164"/>
      <w:r>
        <w:rPr>
          <w:rFonts w:cs="Times New Roman" w:hint="cs"/>
          <w:rtl/>
        </w:rPr>
        <w:t>.</w:t>
      </w:r>
    </w:p>
    <w:p w14:paraId="4D7C8784" w14:textId="77777777" w:rsidR="00006E9C" w:rsidRPr="00A3497E" w:rsidRDefault="00006E9C" w:rsidP="00006E9C">
      <w:pPr>
        <w:pStyle w:val="FootnoteText"/>
      </w:pPr>
      <w:r w:rsidRPr="00A3497E">
        <w:rPr>
          <w:rtl/>
        </w:rPr>
        <w:t>דוגמאות לשימוש במונח הזה עיין:</w:t>
      </w:r>
    </w:p>
    <w:p w14:paraId="3D67A500" w14:textId="7DE2B152" w:rsidR="00006E9C" w:rsidRPr="00A3497E" w:rsidRDefault="00DC014F" w:rsidP="00006E9C">
      <w:pPr>
        <w:pStyle w:val="FootnoteText"/>
        <w:rPr>
          <w:rtl/>
        </w:rPr>
      </w:pPr>
      <w:hyperlink r:id="rId59" w:history="1">
        <w:r w:rsidR="00006E9C" w:rsidRPr="00A3497E">
          <w:rPr>
            <w:rStyle w:val="Hyperlink"/>
            <w:rtl/>
          </w:rPr>
          <w:t xml:space="preserve">אל </w:t>
        </w:r>
        <w:r w:rsidR="00006E9C" w:rsidRPr="00A3497E">
          <w:rPr>
            <w:rStyle w:val="Hyperlink"/>
            <w:rtl/>
          </w:rPr>
          <w:t>נג'את</w:t>
        </w:r>
      </w:hyperlink>
      <w:r w:rsidR="00006E9C" w:rsidRPr="00A3497E">
        <w:rPr>
          <w:rtl/>
        </w:rPr>
        <w:t xml:space="preserve"> מאת אבן סינא </w:t>
      </w:r>
      <w:r w:rsidR="002D1B1B">
        <w:rPr>
          <w:rFonts w:hint="cs"/>
          <w:rtl/>
        </w:rPr>
        <w:t>עמ'</w:t>
      </w:r>
      <w:r w:rsidR="00006E9C" w:rsidRPr="00A3497E">
        <w:rPr>
          <w:rtl/>
        </w:rPr>
        <w:t xml:space="preserve"> 189 </w:t>
      </w:r>
    </w:p>
    <w:p w14:paraId="3C419D8F" w14:textId="45B1866B" w:rsidR="00006E9C" w:rsidRDefault="00DC014F" w:rsidP="00696471">
      <w:pPr>
        <w:pStyle w:val="FootnoteText"/>
        <w:rPr>
          <w:rtl/>
        </w:rPr>
      </w:pPr>
      <w:hyperlink r:id="rId60" w:history="1">
        <w:r w:rsidR="00006E9C" w:rsidRPr="00A3497E">
          <w:rPr>
            <w:rStyle w:val="Hyperlink"/>
            <w:rtl/>
          </w:rPr>
          <w:t>אל שיפא</w:t>
        </w:r>
        <w:r w:rsidR="00BB729C">
          <w:rPr>
            <w:rStyle w:val="Hyperlink"/>
            <w:rFonts w:hint="cs"/>
            <w:rtl/>
          </w:rPr>
          <w:t xml:space="preserve"> (ספר הריפוי)</w:t>
        </w:r>
        <w:r w:rsidR="00006E9C" w:rsidRPr="00A3497E">
          <w:rPr>
            <w:rStyle w:val="Hyperlink"/>
            <w:rtl/>
          </w:rPr>
          <w:t xml:space="preserve"> אל</w:t>
        </w:r>
        <w:r w:rsidR="006E6D93">
          <w:rPr>
            <w:rStyle w:val="Hyperlink"/>
            <w:rFonts w:hint="cs"/>
            <w:rtl/>
          </w:rPr>
          <w:t>ו</w:t>
        </w:r>
        <w:r w:rsidR="00006E9C" w:rsidRPr="00A3497E">
          <w:rPr>
            <w:rStyle w:val="Hyperlink"/>
            <w:rtl/>
          </w:rPr>
          <w:t>היות</w:t>
        </w:r>
      </w:hyperlink>
      <w:r w:rsidR="00006E9C" w:rsidRPr="00A3497E">
        <w:rPr>
          <w:rtl/>
        </w:rPr>
        <w:t xml:space="preserve"> (חכמת האלוהות, חלק המטאפיזיקה) מאת אבן סינא </w:t>
      </w:r>
      <w:r w:rsidR="002D1B1B">
        <w:rPr>
          <w:rFonts w:hint="cs"/>
          <w:rtl/>
        </w:rPr>
        <w:t>עמודים</w:t>
      </w:r>
      <w:r w:rsidR="00006E9C" w:rsidRPr="00A3497E">
        <w:rPr>
          <w:rtl/>
        </w:rPr>
        <w:t xml:space="preserve"> 222, 49, 118</w:t>
      </w:r>
      <w:r w:rsidR="001F0D8E">
        <w:t xml:space="preserve"> </w:t>
      </w:r>
      <w:r w:rsidR="001F0D8E">
        <w:rPr>
          <w:rFonts w:hint="cs"/>
          <w:rtl/>
        </w:rPr>
        <w:t>(העמ' הם במהד' שקישרתי אליה ולא תואמים לעמודים שבמהד' האנגלית-ערבית של מרמורה שהם לפי ההוצאה הביקורתית של קהיר מ 1960)</w:t>
      </w:r>
    </w:p>
  </w:footnote>
  <w:footnote w:id="278">
    <w:p w14:paraId="61819D45" w14:textId="520ED633" w:rsidR="00696471" w:rsidRPr="00696471" w:rsidRDefault="00696471">
      <w:pPr>
        <w:pStyle w:val="FootnoteText"/>
        <w:rPr>
          <w:rtl/>
        </w:rPr>
      </w:pPr>
      <w:r>
        <w:rPr>
          <w:rStyle w:val="FootnoteReference"/>
        </w:rPr>
        <w:footnoteRef/>
      </w:r>
      <w:r>
        <w:rPr>
          <w:rtl/>
        </w:rPr>
        <w:t xml:space="preserve"> </w:t>
      </w:r>
      <w:r w:rsidRPr="00696471">
        <w:rPr>
          <w:rFonts w:cs="Times New Roman" w:hint="eastAsia"/>
          <w:rtl/>
          <w:lang w:bidi="ar-SA"/>
        </w:rPr>
        <w:t>كمالات</w:t>
      </w:r>
      <w:r>
        <w:rPr>
          <w:rFonts w:cs="Times New Roman"/>
          <w:lang w:bidi="ar-SA"/>
        </w:rPr>
        <w:t xml:space="preserve"> </w:t>
      </w:r>
      <w:r w:rsidRPr="00696471">
        <w:rPr>
          <w:rFonts w:cs="Times New Roman" w:hint="eastAsia"/>
          <w:rtl/>
          <w:lang w:bidi="ar-SA"/>
        </w:rPr>
        <w:t>أولى</w:t>
      </w:r>
      <w:r>
        <w:rPr>
          <w:rFonts w:cs="Times New Roman" w:hint="cs"/>
          <w:rtl/>
        </w:rPr>
        <w:t>.</w:t>
      </w:r>
      <w:r w:rsidRPr="00696471">
        <w:rPr>
          <w:rtl/>
        </w:rPr>
        <w:t xml:space="preserve"> </w:t>
      </w:r>
    </w:p>
  </w:footnote>
  <w:footnote w:id="279">
    <w:p w14:paraId="089F8B6B" w14:textId="4AEFD8F8" w:rsidR="0090658C" w:rsidRDefault="0090658C">
      <w:pPr>
        <w:pStyle w:val="FootnoteText"/>
        <w:rPr>
          <w:rtl/>
        </w:rPr>
      </w:pPr>
      <w:r>
        <w:rPr>
          <w:rStyle w:val="FootnoteReference"/>
        </w:rPr>
        <w:footnoteRef/>
      </w:r>
      <w:r>
        <w:rPr>
          <w:rtl/>
        </w:rPr>
        <w:t xml:space="preserve"> </w:t>
      </w:r>
      <w:r>
        <w:rPr>
          <w:rFonts w:hint="cs"/>
          <w:rtl/>
        </w:rPr>
        <w:t>'הצורה שגורמת להתעצם' היא כל צורה שאינה רק תואר אלא צורה שמכוחה המהות. כלומר אדם יש לו תואר של תווי הגוף החומרי, וצורה שהיא מהותו, דהיינו 'חי מדבר', כמו שביאר במורה נבוכים א' א'. 'עצם' פירושו צורה שהיא בגוף חומרי, הצורה היא שגורמת לחומר שבו היא מורכבת להיות 'עצם'. בשר בדמות אדם אינו העצם 'אדם' עד שיהיה חי מדבר. 'עצם' פירושו 'מה שקיים' כמו שכתב אריסטו במטאפיזיקה גמא</w:t>
      </w:r>
      <w:r w:rsidR="00CC5FF2">
        <w:rPr>
          <w:rFonts w:hint="cs"/>
          <w:rtl/>
        </w:rPr>
        <w:t xml:space="preserve"> (</w:t>
      </w:r>
      <w:r w:rsidR="00CC5FF2">
        <w:rPr>
          <w:rFonts w:hint="cs"/>
          <w:rtl/>
        </w:rPr>
        <w:t>1003ב) ובמטאפיזיקה תחילת ספר זטא</w:t>
      </w:r>
      <w:r>
        <w:rPr>
          <w:rFonts w:hint="cs"/>
          <w:rtl/>
        </w:rPr>
        <w:t xml:space="preserve">. למשל אם אדם מת אשתו נישאת לאחר, יורשיו יורדים לנכסיו, וסופו שנשכח מהלב. אבל עדיין נפשו המופשטת חיה בעולם הבא וזוכה שם להשגות אלוהיות, רק שנפש בלי חומר אינה נחשבת כמשהו שיש לו מציאות בעולם הארצי, היא אינה 'עצם'. כמו שצריך את החומר כדי שיהיה 'עצם', כך צריך גם את הצורה, ולא די בצורה החיצונית שהרי פסל בדמות אדם אינו אדם, אלא צריך את הצורה שקובעת מהות. </w:t>
      </w:r>
      <w:r w:rsidR="00124665">
        <w:rPr>
          <w:rFonts w:hint="cs"/>
          <w:rtl/>
        </w:rPr>
        <w:t>הצורה הזו נקראת הצורה המקיימת (</w:t>
      </w:r>
      <w:r w:rsidR="00124665" w:rsidRPr="00124665">
        <w:rPr>
          <w:rFonts w:cs="Times New Roman" w:hint="eastAsia"/>
          <w:rtl/>
          <w:lang w:bidi="ar-SA"/>
        </w:rPr>
        <w:t>الصورة</w:t>
      </w:r>
      <w:r w:rsidR="00124665" w:rsidRPr="00124665">
        <w:rPr>
          <w:rFonts w:cs="Times New Roman"/>
          <w:rtl/>
          <w:lang w:bidi="ar-SA"/>
        </w:rPr>
        <w:t xml:space="preserve"> </w:t>
      </w:r>
      <w:bookmarkStart w:id="165" w:name="_Hlk97999796"/>
      <w:r w:rsidR="00124665" w:rsidRPr="00124665">
        <w:rPr>
          <w:rFonts w:cs="Times New Roman" w:hint="eastAsia"/>
          <w:rtl/>
          <w:lang w:bidi="ar-SA"/>
        </w:rPr>
        <w:t>المقومة</w:t>
      </w:r>
      <w:bookmarkEnd w:id="165"/>
      <w:r w:rsidR="00124665">
        <w:rPr>
          <w:rFonts w:hint="cs"/>
          <w:rtl/>
        </w:rPr>
        <w:t>), כלומר זו שמקיימת את העצם להיות נמצא כעצם</w:t>
      </w:r>
      <w:r w:rsidR="00124665" w:rsidRPr="00124665">
        <w:rPr>
          <w:rtl/>
        </w:rPr>
        <w:t xml:space="preserve"> (המילה הערבית </w:t>
      </w:r>
      <w:r w:rsidR="00124665" w:rsidRPr="00124665">
        <w:rPr>
          <w:rFonts w:ascii="Arial" w:hAnsi="Arial" w:cs="Arial" w:hint="cs"/>
          <w:rtl/>
          <w:lang w:bidi="ar-SA"/>
        </w:rPr>
        <w:t>المقومة</w:t>
      </w:r>
      <w:r w:rsidR="00124665" w:rsidRPr="00124665">
        <w:rPr>
          <w:rtl/>
        </w:rPr>
        <w:t>, פירושה הנפוץ הוא התנגדות, כשהכוונה לרוב להתנגדות לאומית, אבל גם התנגדות פיזיקלית ואחרת.</w:t>
      </w:r>
      <w:r w:rsidR="00124665">
        <w:rPr>
          <w:rFonts w:hint="cs"/>
          <w:rtl/>
        </w:rPr>
        <w:t xml:space="preserve"> היא מאותו שורש של 'קיים',</w:t>
      </w:r>
      <w:r w:rsidR="00124665" w:rsidRPr="00124665">
        <w:rPr>
          <w:rtl/>
        </w:rPr>
        <w:t xml:space="preserve"> התנגדות היא להתקיים למרות שיש מי שפועל לבטל את קיומו. </w:t>
      </w:r>
    </w:p>
    <w:p w14:paraId="7ED58C9C" w14:textId="271FD33B" w:rsidR="00124665" w:rsidRDefault="00124665">
      <w:pPr>
        <w:pStyle w:val="FootnoteText"/>
      </w:pPr>
      <w:r>
        <w:rPr>
          <w:rFonts w:hint="cs"/>
          <w:rtl/>
        </w:rPr>
        <w:t xml:space="preserve">אבן סינא שואל כאן איך ייתכן שהפריפטטים עשו את התשוקה הטבעית המכריחה שדומה לתנועת האבן הנופלת, שהיא רק שלמות משנית ומקרית, להיות הצורה המקיימת של ההיולי, כלומר שהצורה המשנית הזו תגרום לו להיות 'עצם'.   </w:t>
      </w:r>
    </w:p>
  </w:footnote>
  <w:footnote w:id="280">
    <w:p w14:paraId="6F7617B6" w14:textId="25FC3B28" w:rsidR="00D837A9" w:rsidRDefault="00D837A9">
      <w:pPr>
        <w:pStyle w:val="FootnoteText"/>
      </w:pPr>
      <w:r>
        <w:rPr>
          <w:rStyle w:val="FootnoteReference"/>
        </w:rPr>
        <w:footnoteRef/>
      </w:r>
      <w:r>
        <w:rPr>
          <w:rtl/>
        </w:rPr>
        <w:t xml:space="preserve"> </w:t>
      </w:r>
      <w:r>
        <w:rPr>
          <w:rFonts w:hint="cs"/>
          <w:rtl/>
        </w:rPr>
        <w:t xml:space="preserve">נקרא גם </w:t>
      </w:r>
      <w:hyperlink r:id="rId61" w:history="1">
        <w:r w:rsidRPr="00D837A9">
          <w:rPr>
            <w:rStyle w:val="Hyperlink"/>
            <w:rFonts w:hint="cs"/>
            <w:rtl/>
          </w:rPr>
          <w:t>סופיזם</w:t>
        </w:r>
      </w:hyperlink>
      <w:r>
        <w:rPr>
          <w:rFonts w:hint="cs"/>
          <w:rtl/>
        </w:rPr>
        <w:t xml:space="preserve">, ההגות המיסטית של האסלאם. אבן סינא בעצמו היה </w:t>
      </w:r>
      <w:r w:rsidR="00C82BCE">
        <w:rPr>
          <w:rFonts w:hint="cs"/>
          <w:rtl/>
        </w:rPr>
        <w:t>ס</w:t>
      </w:r>
      <w:r w:rsidR="00C82BCE" w:rsidRPr="00C82BCE">
        <w:rPr>
          <w:rtl/>
        </w:rPr>
        <w:t>וּ</w:t>
      </w:r>
      <w:r w:rsidR="00C82BCE">
        <w:rPr>
          <w:rFonts w:hint="cs"/>
          <w:rtl/>
        </w:rPr>
        <w:t xml:space="preserve">פי למרות שהיה גם פילוסוף אריסטוטלי וכתב ברוח זו את החלק הרביעי של </w:t>
      </w:r>
      <w:hyperlink r:id="rId62" w:history="1">
        <w:r w:rsidR="00C82BCE" w:rsidRPr="00211B87">
          <w:rPr>
            <w:rStyle w:val="Hyperlink"/>
            <w:rFonts w:hint="cs"/>
            <w:rtl/>
          </w:rPr>
          <w:t>הרמיזות וההערות</w:t>
        </w:r>
      </w:hyperlink>
      <w:r w:rsidR="00211B87">
        <w:t xml:space="preserve"> </w:t>
      </w:r>
      <w:r w:rsidR="00211B87">
        <w:rPr>
          <w:rFonts w:hint="cs"/>
          <w:rtl/>
        </w:rPr>
        <w:t>(הקישור הוא לתרגום האנגלי שנמצא ברשת. תרגום לעברית נמצא ב</w:t>
      </w:r>
      <w:hyperlink r:id="rId63" w:history="1">
        <w:r w:rsidR="00211B87" w:rsidRPr="00211B87">
          <w:rPr>
            <w:rStyle w:val="Hyperlink"/>
            <w:rFonts w:hint="cs"/>
            <w:rtl/>
          </w:rPr>
          <w:t>אנתולוגיה לכתבי אבן סינא</w:t>
        </w:r>
      </w:hyperlink>
      <w:r w:rsidR="00211B87">
        <w:rPr>
          <w:rFonts w:hint="cs"/>
          <w:rtl/>
        </w:rPr>
        <w:t xml:space="preserve"> שבהוצאת אוני' ת</w:t>
      </w:r>
      <w:r w:rsidR="00F055C8">
        <w:rPr>
          <w:rtl/>
        </w:rPr>
        <w:t>"</w:t>
      </w:r>
      <w:r w:rsidR="00211B87">
        <w:rPr>
          <w:rFonts w:hint="cs"/>
          <w:rtl/>
        </w:rPr>
        <w:t>א. עיין שם פרק י</w:t>
      </w:r>
      <w:r w:rsidR="00F055C8">
        <w:rPr>
          <w:rtl/>
        </w:rPr>
        <w:t>"</w:t>
      </w:r>
      <w:r w:rsidR="00211B87">
        <w:rPr>
          <w:rFonts w:hint="cs"/>
          <w:rtl/>
        </w:rPr>
        <w:t>ד, ועיין עוד שם פרקים י'-י</w:t>
      </w:r>
      <w:r w:rsidR="00F055C8">
        <w:rPr>
          <w:rtl/>
        </w:rPr>
        <w:t>"</w:t>
      </w:r>
      <w:r w:rsidR="00211B87">
        <w:rPr>
          <w:rFonts w:hint="cs"/>
          <w:rtl/>
        </w:rPr>
        <w:t>ג)</w:t>
      </w:r>
      <w:r w:rsidR="003B0C22">
        <w:rPr>
          <w:rFonts w:hint="cs"/>
          <w:rtl/>
        </w:rPr>
        <w:t>,</w:t>
      </w:r>
      <w:r w:rsidR="00C82BCE">
        <w:rPr>
          <w:rFonts w:hint="cs"/>
          <w:rtl/>
        </w:rPr>
        <w:t xml:space="preserve"> ועוד חיבורים</w:t>
      </w:r>
      <w:r w:rsidR="00211B87">
        <w:rPr>
          <w:rFonts w:hint="cs"/>
          <w:rtl/>
        </w:rPr>
        <w:t>.</w:t>
      </w:r>
      <w:r>
        <w:rPr>
          <w:rFonts w:hint="cs"/>
          <w:rtl/>
        </w:rPr>
        <w:t xml:space="preserve"> </w:t>
      </w:r>
      <w:r w:rsidR="00211B87">
        <w:rPr>
          <w:rFonts w:hint="cs"/>
          <w:rtl/>
        </w:rPr>
        <w:t>ועיין גם</w:t>
      </w:r>
      <w:r>
        <w:rPr>
          <w:rFonts w:hint="cs"/>
          <w:rtl/>
        </w:rPr>
        <w:t xml:space="preserve"> במורה נבוכים ג' נ</w:t>
      </w:r>
      <w:r w:rsidR="00F055C8">
        <w:rPr>
          <w:rtl/>
        </w:rPr>
        <w:t>"</w:t>
      </w:r>
      <w:r>
        <w:rPr>
          <w:rFonts w:hint="cs"/>
          <w:rtl/>
        </w:rPr>
        <w:t>א</w:t>
      </w:r>
      <w:r w:rsidR="00461D60">
        <w:rPr>
          <w:rFonts w:hint="cs"/>
          <w:rtl/>
        </w:rPr>
        <w:t xml:space="preserve"> על דרך העבודה של ייחוד המחשבה</w:t>
      </w:r>
      <w:r>
        <w:rPr>
          <w:rFonts w:hint="cs"/>
          <w:rtl/>
        </w:rPr>
        <w:t xml:space="preserve"> </w:t>
      </w:r>
      <w:r w:rsidR="00624EA7">
        <w:rPr>
          <w:rFonts w:hint="cs"/>
          <w:rtl/>
        </w:rPr>
        <w:t>ש</w:t>
      </w:r>
      <w:r>
        <w:rPr>
          <w:rFonts w:hint="cs"/>
          <w:rtl/>
        </w:rPr>
        <w:t>קרוב לדעות ס</w:t>
      </w:r>
      <w:r w:rsidR="00C82BCE">
        <w:rPr>
          <w:rFonts w:hint="cs"/>
          <w:rtl/>
        </w:rPr>
        <w:t>ו</w:t>
      </w:r>
      <w:r>
        <w:rPr>
          <w:rFonts w:hint="cs"/>
          <w:rtl/>
        </w:rPr>
        <w:t>פיות</w:t>
      </w:r>
      <w:r w:rsidR="00A5259A">
        <w:rPr>
          <w:rFonts w:hint="cs"/>
          <w:rtl/>
        </w:rPr>
        <w:t xml:space="preserve"> (והוא גם מה שמכונה בחכמת הקבלה ייחודים)</w:t>
      </w:r>
      <w:r w:rsidR="00624EA7">
        <w:rPr>
          <w:rFonts w:hint="cs"/>
          <w:rtl/>
        </w:rPr>
        <w:t xml:space="preserve">, ובפתיחת המורה נבוכים </w:t>
      </w:r>
      <w:r w:rsidR="00F636A4">
        <w:rPr>
          <w:rFonts w:hint="cs"/>
          <w:rtl/>
        </w:rPr>
        <w:t>לגבי הסודות העצומות שמבריקים כמו ברק</w:t>
      </w:r>
      <w:r w:rsidR="00624EA7">
        <w:rPr>
          <w:rFonts w:hint="cs"/>
          <w:rtl/>
        </w:rPr>
        <w:t xml:space="preserve"> שלקוח מהרמיזות וההערות חלק ד'</w:t>
      </w:r>
      <w:r w:rsidR="00F636A4">
        <w:rPr>
          <w:rFonts w:hint="cs"/>
          <w:rtl/>
        </w:rPr>
        <w:t>,</w:t>
      </w:r>
      <w:r w:rsidR="00624EA7">
        <w:rPr>
          <w:rFonts w:hint="cs"/>
          <w:rtl/>
        </w:rPr>
        <w:t xml:space="preserve"> ובמורה נבוכים ג' נ</w:t>
      </w:r>
      <w:r w:rsidR="00F055C8">
        <w:rPr>
          <w:rtl/>
        </w:rPr>
        <w:t>"</w:t>
      </w:r>
      <w:r w:rsidR="00624EA7">
        <w:rPr>
          <w:rFonts w:hint="cs"/>
          <w:rtl/>
        </w:rPr>
        <w:t xml:space="preserve">ב, </w:t>
      </w:r>
      <w:r w:rsidR="003B0C22">
        <w:rPr>
          <w:rFonts w:hint="cs"/>
          <w:rtl/>
        </w:rPr>
        <w:t>ב' סוף פרק י</w:t>
      </w:r>
      <w:r w:rsidR="00F055C8">
        <w:rPr>
          <w:rtl/>
        </w:rPr>
        <w:t>"</w:t>
      </w:r>
      <w:r w:rsidR="003B0C22">
        <w:rPr>
          <w:rFonts w:hint="cs"/>
          <w:rtl/>
        </w:rPr>
        <w:t xml:space="preserve">ב, </w:t>
      </w:r>
      <w:r w:rsidR="00624EA7">
        <w:rPr>
          <w:rFonts w:hint="cs"/>
          <w:rtl/>
        </w:rPr>
        <w:t>ועוד שם</w:t>
      </w:r>
      <w:r>
        <w:rPr>
          <w:rFonts w:hint="cs"/>
          <w:rtl/>
        </w:rPr>
        <w:t>.</w:t>
      </w:r>
      <w:r w:rsidR="00EB0203">
        <w:rPr>
          <w:rFonts w:hint="cs"/>
          <w:rtl/>
        </w:rPr>
        <w:t xml:space="preserve"> כך שלדעת אבן סינא אין סתירה כלל בין פילוסופיה לסופיות. </w:t>
      </w:r>
    </w:p>
  </w:footnote>
  <w:footnote w:id="281">
    <w:p w14:paraId="04B41280" w14:textId="13DCEE07" w:rsidR="00EA7C68" w:rsidRDefault="00EA7C68">
      <w:pPr>
        <w:pStyle w:val="FootnoteText"/>
      </w:pPr>
      <w:r>
        <w:rPr>
          <w:rStyle w:val="FootnoteReference"/>
        </w:rPr>
        <w:footnoteRef/>
      </w:r>
      <w:r>
        <w:rPr>
          <w:rtl/>
        </w:rPr>
        <w:t xml:space="preserve"> </w:t>
      </w:r>
      <w:r>
        <w:rPr>
          <w:rFonts w:hint="cs"/>
          <w:rtl/>
        </w:rPr>
        <w:t xml:space="preserve">הנושא כאן הוא השאלה איך ניתן לייחס תשוקה לחומר. מה שלצורה יש תשוקה הוא פשוט ואינו שנוי במחלוקת. הכוונה כאן שהצורה גורמת מכוחה שהחומר ישתוקק אליה. הצורה היא החיים, וכשהיא בחומר אז מכוחה גם החומר עצמו חי ואז יש בו תשוקה אל הצורה. בגוייה אין תשוקה, אבל בבשר של האדם החי יש תשוקה גם בבשר עצמו ממש, למשל הרעב והגדילה של הגוף שהם התחלה לתשוקה להתעלות ולדבוק בצורה.  </w:t>
      </w:r>
    </w:p>
  </w:footnote>
  <w:footnote w:id="282">
    <w:p w14:paraId="2B1683F5" w14:textId="7DD70866" w:rsidR="003473ED" w:rsidRDefault="00A81B0C">
      <w:pPr>
        <w:pStyle w:val="FootnoteText"/>
        <w:rPr>
          <w:rtl/>
        </w:rPr>
      </w:pPr>
      <w:r>
        <w:rPr>
          <w:rStyle w:val="FootnoteReference"/>
        </w:rPr>
        <w:footnoteRef/>
      </w:r>
      <w:r>
        <w:rPr>
          <w:rtl/>
        </w:rPr>
        <w:t xml:space="preserve"> </w:t>
      </w:r>
      <w:r w:rsidR="003473ED">
        <w:rPr>
          <w:rFonts w:hint="cs"/>
          <w:rtl/>
        </w:rPr>
        <w:t xml:space="preserve"> </w:t>
      </w:r>
      <w:bookmarkStart w:id="167" w:name="_Hlk98527475"/>
      <w:r w:rsidR="003473ED" w:rsidRPr="003473ED">
        <w:rPr>
          <w:rFonts w:hint="cs"/>
          <w:b/>
          <w:bCs/>
          <w:sz w:val="28"/>
          <w:szCs w:val="28"/>
          <w:rtl/>
        </w:rPr>
        <w:t>צד השפעת המציאות הנקבי</w:t>
      </w:r>
      <w:r w:rsidR="003473ED">
        <w:rPr>
          <w:rFonts w:hint="cs"/>
          <w:b/>
          <w:bCs/>
          <w:sz w:val="28"/>
          <w:szCs w:val="28"/>
          <w:rtl/>
        </w:rPr>
        <w:t xml:space="preserve"> - הגלגלים</w:t>
      </w:r>
      <w:bookmarkEnd w:id="167"/>
      <w:r w:rsidR="003473ED">
        <w:rPr>
          <w:b/>
          <w:bCs/>
          <w:sz w:val="28"/>
          <w:szCs w:val="28"/>
          <w:rtl/>
        </w:rPr>
        <w:fldChar w:fldCharType="begin"/>
      </w:r>
      <w:r w:rsidR="003473ED">
        <w:instrText xml:space="preserve"> XE "</w:instrText>
      </w:r>
      <w:r w:rsidR="003473ED" w:rsidRPr="00E12164">
        <w:rPr>
          <w:rFonts w:hint="cs"/>
          <w:b/>
          <w:bCs/>
          <w:sz w:val="28"/>
          <w:szCs w:val="28"/>
          <w:rtl/>
        </w:rPr>
        <w:instrText>מורה נבוכים א' ע</w:instrText>
      </w:r>
      <w:r w:rsidR="003473ED">
        <w:rPr>
          <w:b/>
          <w:bCs/>
          <w:sz w:val="20"/>
          <w:szCs w:val="20"/>
        </w:rPr>
        <w:instrText>\</w:instrText>
      </w:r>
      <w:r w:rsidR="003473ED" w:rsidRPr="00E12164">
        <w:rPr>
          <w:rFonts w:hint="cs"/>
          <w:b/>
          <w:bCs/>
          <w:sz w:val="28"/>
          <w:szCs w:val="28"/>
          <w:rtl/>
        </w:rPr>
        <w:instrText xml:space="preserve">"ב. </w:instrText>
      </w:r>
      <w:r w:rsidR="003473ED" w:rsidRPr="00E12164">
        <w:rPr>
          <w:sz w:val="28"/>
          <w:szCs w:val="28"/>
          <w:rtl/>
        </w:rPr>
        <w:instrText>צד השפעת המציאות הנקבי - הגלגלים</w:instrText>
      </w:r>
      <w:r w:rsidR="003473ED">
        <w:instrText xml:space="preserve">" </w:instrText>
      </w:r>
      <w:r w:rsidR="003473ED">
        <w:rPr>
          <w:b/>
          <w:bCs/>
          <w:sz w:val="28"/>
          <w:szCs w:val="28"/>
          <w:rtl/>
        </w:rPr>
        <w:fldChar w:fldCharType="end"/>
      </w:r>
      <w:r w:rsidR="003473ED">
        <w:rPr>
          <w:b/>
          <w:bCs/>
          <w:sz w:val="28"/>
          <w:szCs w:val="28"/>
          <w:rtl/>
        </w:rPr>
        <w:fldChar w:fldCharType="begin"/>
      </w:r>
      <w:r w:rsidR="003473ED">
        <w:instrText xml:space="preserve"> XE "</w:instrText>
      </w:r>
      <w:r w:rsidR="003473ED" w:rsidRPr="00E22481">
        <w:rPr>
          <w:rFonts w:hint="cs"/>
          <w:b/>
          <w:bCs/>
          <w:sz w:val="28"/>
          <w:szCs w:val="28"/>
          <w:rtl/>
        </w:rPr>
        <w:instrText>מאמר</w:instrText>
      </w:r>
      <w:r w:rsidR="003473ED" w:rsidRPr="00E22481">
        <w:rPr>
          <w:b/>
          <w:bCs/>
          <w:sz w:val="28"/>
          <w:szCs w:val="28"/>
          <w:rtl/>
        </w:rPr>
        <w:instrText>:</w:instrText>
      </w:r>
      <w:r w:rsidR="003473ED" w:rsidRPr="00E22481">
        <w:rPr>
          <w:rFonts w:hint="cs"/>
          <w:rtl/>
        </w:rPr>
        <w:instrText>צד השפעת המציאות הנקבי - הגלגלים.</w:instrText>
      </w:r>
      <w:r w:rsidR="003473ED">
        <w:instrText xml:space="preserve">" </w:instrText>
      </w:r>
      <w:r w:rsidR="003473ED">
        <w:rPr>
          <w:b/>
          <w:bCs/>
          <w:sz w:val="28"/>
          <w:szCs w:val="28"/>
          <w:rtl/>
        </w:rPr>
        <w:fldChar w:fldCharType="end"/>
      </w:r>
      <w:r w:rsidR="003473ED">
        <w:rPr>
          <w:b/>
          <w:bCs/>
          <w:sz w:val="28"/>
          <w:szCs w:val="28"/>
          <w:rtl/>
        </w:rPr>
        <w:fldChar w:fldCharType="begin"/>
      </w:r>
      <w:r w:rsidR="003473ED">
        <w:instrText xml:space="preserve"> XE "</w:instrText>
      </w:r>
      <w:r w:rsidR="003473ED" w:rsidRPr="000B6449">
        <w:rPr>
          <w:rFonts w:hint="cs"/>
          <w:b/>
          <w:bCs/>
          <w:sz w:val="28"/>
          <w:szCs w:val="28"/>
          <w:rtl/>
        </w:rPr>
        <w:instrText>צד השפעת המציאות הנקבי - הגלגלים</w:instrText>
      </w:r>
      <w:r w:rsidR="003473ED">
        <w:instrText xml:space="preserve">" </w:instrText>
      </w:r>
      <w:r w:rsidR="003473ED">
        <w:rPr>
          <w:b/>
          <w:bCs/>
          <w:sz w:val="28"/>
          <w:szCs w:val="28"/>
          <w:rtl/>
        </w:rPr>
        <w:fldChar w:fldCharType="end"/>
      </w:r>
    </w:p>
    <w:p w14:paraId="72E757B9" w14:textId="33464D76" w:rsidR="002B6A0B" w:rsidRDefault="00A81B0C">
      <w:pPr>
        <w:pStyle w:val="FootnoteText"/>
        <w:rPr>
          <w:rtl/>
        </w:rPr>
      </w:pPr>
      <w:r>
        <w:rPr>
          <w:rFonts w:hint="cs"/>
          <w:rtl/>
        </w:rPr>
        <w:t xml:space="preserve">סעיפים 21-23 תמוהים מאוד. </w:t>
      </w:r>
      <w:r>
        <w:rPr>
          <w:rFonts w:hint="cs"/>
          <w:rtl/>
        </w:rPr>
        <w:t>בסע' 21 אבן סינא כתב שההיולי אינו בעל נפש, ולא יכולה להיות בו תשוקה מצד זה, וחזר על זה בסע' 22 שא</w:t>
      </w:r>
      <w:r w:rsidR="002B6A0B">
        <w:rPr>
          <w:rFonts w:hint="cs"/>
          <w:rtl/>
        </w:rPr>
        <w:t>י</w:t>
      </w:r>
      <w:r>
        <w:rPr>
          <w:rFonts w:hint="cs"/>
          <w:rtl/>
        </w:rPr>
        <w:t>-</w:t>
      </w:r>
      <w:r w:rsidR="002B6A0B">
        <w:rPr>
          <w:rFonts w:hint="cs"/>
          <w:rtl/>
        </w:rPr>
        <w:t>ה</w:t>
      </w:r>
      <w:r>
        <w:rPr>
          <w:rFonts w:hint="cs"/>
          <w:rtl/>
        </w:rPr>
        <w:t>אפשרות האמיתית</w:t>
      </w:r>
      <w:r w:rsidR="002B6A0B">
        <w:rPr>
          <w:rFonts w:hint="cs"/>
          <w:rtl/>
        </w:rPr>
        <w:t xml:space="preserve"> היא ההנחה שההיולי משתוקק כאילו היה בעל נפש</w:t>
      </w:r>
      <w:r>
        <w:rPr>
          <w:rFonts w:hint="cs"/>
          <w:rtl/>
        </w:rPr>
        <w:t>.</w:t>
      </w:r>
    </w:p>
    <w:p w14:paraId="0C02A230" w14:textId="77777777" w:rsidR="00403763" w:rsidRDefault="002B6A0B" w:rsidP="00403763">
      <w:pPr>
        <w:pStyle w:val="FootnoteText"/>
        <w:rPr>
          <w:rtl/>
        </w:rPr>
      </w:pPr>
      <w:r>
        <w:rPr>
          <w:rFonts w:hint="cs"/>
          <w:rtl/>
        </w:rPr>
        <w:t>בתחילת סע' 22 כתב שאם ההיולי היה נקי מצורות היה אפשר שישתוקק לצורות (משמע שם שכל דרך של חסרון צורה בהיולי הייתה מאפשרת שישתוקק, גם אם היה נלאה מצורה מסויימת וכו'). נראה מזה שהטעם שההיולי אינו יכול להשתוקק לצורות כיוון שכבר יש לו צורות, ואין בו חסרון</w:t>
      </w:r>
      <w:r w:rsidR="00403763">
        <w:rPr>
          <w:rFonts w:hint="cs"/>
          <w:rtl/>
        </w:rPr>
        <w:t xml:space="preserve"> צורות</w:t>
      </w:r>
      <w:r>
        <w:rPr>
          <w:rFonts w:hint="cs"/>
          <w:rtl/>
        </w:rPr>
        <w:t xml:space="preserve"> שיגרום לתשוקה</w:t>
      </w:r>
      <w:r w:rsidR="00403763">
        <w:rPr>
          <w:rFonts w:hint="cs"/>
          <w:rtl/>
        </w:rPr>
        <w:t xml:space="preserve"> לצורות</w:t>
      </w:r>
      <w:r>
        <w:rPr>
          <w:rFonts w:hint="cs"/>
          <w:rtl/>
        </w:rPr>
        <w:t xml:space="preserve">. רק שבאמת יש בו צורות ולכן אינו משתוקק. </w:t>
      </w:r>
      <w:r w:rsidR="00403763">
        <w:rPr>
          <w:rFonts w:hint="cs"/>
          <w:rtl/>
        </w:rPr>
        <w:t>משמע ש</w:t>
      </w:r>
      <w:r>
        <w:rPr>
          <w:rFonts w:hint="cs"/>
          <w:rtl/>
        </w:rPr>
        <w:t xml:space="preserve">אם ההיולי היה נקי מצורות היה אפשר </w:t>
      </w:r>
      <w:r w:rsidR="000E4F5F">
        <w:rPr>
          <w:rFonts w:hint="cs"/>
          <w:rtl/>
        </w:rPr>
        <w:t>שישתוקק להן</w:t>
      </w:r>
      <w:r>
        <w:rPr>
          <w:rFonts w:hint="cs"/>
          <w:rtl/>
        </w:rPr>
        <w:t xml:space="preserve">. </w:t>
      </w:r>
      <w:r w:rsidR="00403763">
        <w:rPr>
          <w:rFonts w:hint="cs"/>
          <w:rtl/>
        </w:rPr>
        <w:t xml:space="preserve">באיזו תשוקה מדובר? </w:t>
      </w:r>
    </w:p>
    <w:p w14:paraId="586A25FE" w14:textId="3511EECB" w:rsidR="006A5DCE" w:rsidRDefault="009932E5" w:rsidP="00403763">
      <w:pPr>
        <w:pStyle w:val="FootnoteText"/>
        <w:rPr>
          <w:rtl/>
        </w:rPr>
      </w:pPr>
      <w:r>
        <w:rPr>
          <w:rFonts w:hint="cs"/>
          <w:rtl/>
        </w:rPr>
        <w:t>אבן סינא כותב בסע' 22 שההיולי אינו נקי מכל הצורות, מה שסותר את מה שכתב בעצמו בכמה מקומות ואין בו מחלוקת (וכך מבואר באפלטון ואריסטו) שההיולי אין בו שום צורה, וכמו שהבאתי מקורות על זה לעיל ב</w:t>
      </w:r>
      <w:r w:rsidR="00434766">
        <w:rPr>
          <w:rFonts w:hint="cs"/>
          <w:rtl/>
        </w:rPr>
        <w:t>סע' 22</w:t>
      </w:r>
      <w:r>
        <w:rPr>
          <w:rFonts w:hint="cs"/>
          <w:rtl/>
        </w:rPr>
        <w:t xml:space="preserve">. </w:t>
      </w:r>
      <w:r w:rsidR="007A78DE">
        <w:rPr>
          <w:rFonts w:hint="cs"/>
          <w:rtl/>
        </w:rPr>
        <w:t xml:space="preserve"> </w:t>
      </w:r>
    </w:p>
    <w:p w14:paraId="00C12F01" w14:textId="77777777" w:rsidR="001878EA" w:rsidRDefault="006A5DCE">
      <w:pPr>
        <w:pStyle w:val="FootnoteText"/>
        <w:rPr>
          <w:rtl/>
        </w:rPr>
      </w:pPr>
      <w:r>
        <w:rPr>
          <w:rFonts w:hint="cs"/>
          <w:rtl/>
        </w:rPr>
        <w:t>אבן סינא מזכיר את האפשרות שההיולי ישתוקק לנוע בתנועה טבעית מכריחה כמו אבן, הוא רק אומר שזה לא יסביר איך ההיולי מתעצם, אבל עולה מדבריו שתשוקה כזו אפשרית. לפי האמת תשוקה כזו אפשרית רק בעצם שיש לו חומר וצורה, כמו היסודות והגופים המורכבים מהם, ש</w:t>
      </w:r>
      <w:r w:rsidR="00CF1E75">
        <w:rPr>
          <w:rFonts w:hint="cs"/>
          <w:rtl/>
        </w:rPr>
        <w:t xml:space="preserve">הוא חלק מסדר הטבע ולכן </w:t>
      </w:r>
      <w:r>
        <w:rPr>
          <w:rFonts w:hint="cs"/>
          <w:rtl/>
        </w:rPr>
        <w:t xml:space="preserve">מציית לחוקי הטבע. </w:t>
      </w:r>
      <w:r w:rsidR="00CF1E75">
        <w:rPr>
          <w:rFonts w:hint="cs"/>
          <w:rtl/>
        </w:rPr>
        <w:t>החומר הראשון הגדרתו היא שאין לו צורה, לכן אינו חלק מסדר הטבע ולכן לא יתכן שיציית לחוקי הטבע שמחייבים תנועה מכריחה טבעית</w:t>
      </w:r>
      <w:r w:rsidR="001878EA">
        <w:rPr>
          <w:rFonts w:hint="cs"/>
          <w:rtl/>
        </w:rPr>
        <w:t>, וזה פשוט</w:t>
      </w:r>
      <w:r w:rsidR="00CF1E75">
        <w:rPr>
          <w:rFonts w:hint="cs"/>
          <w:rtl/>
        </w:rPr>
        <w:t>.</w:t>
      </w:r>
    </w:p>
    <w:p w14:paraId="01D16A2A" w14:textId="2B25FD7C" w:rsidR="00A81B0C" w:rsidRDefault="001878EA">
      <w:pPr>
        <w:pStyle w:val="FootnoteText"/>
        <w:rPr>
          <w:rtl/>
        </w:rPr>
      </w:pPr>
      <w:r>
        <w:rPr>
          <w:rFonts w:hint="cs"/>
          <w:rtl/>
        </w:rPr>
        <w:t xml:space="preserve">הוא כותב: </w:t>
      </w:r>
      <w:r w:rsidR="00F055C8">
        <w:rPr>
          <w:rtl/>
        </w:rPr>
        <w:t>"</w:t>
      </w:r>
      <w:r w:rsidRPr="001878EA">
        <w:rPr>
          <w:rtl/>
        </w:rPr>
        <w:t>או אם היה יכול להניע את עצמו אל קנ</w:t>
      </w:r>
      <w:r>
        <w:rPr>
          <w:rFonts w:hint="cs"/>
          <w:rtl/>
        </w:rPr>
        <w:t>יין</w:t>
      </w:r>
      <w:r w:rsidRPr="001878EA">
        <w:rPr>
          <w:rtl/>
        </w:rPr>
        <w:t xml:space="preserve"> הצורה, בדרך בה האבן קונה את מקומה, לו היה לה כח מניע.</w:t>
      </w:r>
      <w:r w:rsidR="00F055C8">
        <w:rPr>
          <w:rtl/>
        </w:rPr>
        <w:t>"</w:t>
      </w:r>
      <w:r>
        <w:rPr>
          <w:rFonts w:hint="cs"/>
          <w:rtl/>
        </w:rPr>
        <w:t xml:space="preserve"> - האבן נופלת למטה גם בלי שיש לה כח מניע, כי זו תנועה טבעית מכריחה שמקורה מסדר הטבע הכללי, לו היה לאבן כח מניע היא הייתה נופלת לא מחמת התנועה המכריחה הטבעית אלא מכוחה המניע. מה יכול להיות כח מניע כזה</w:t>
      </w:r>
      <w:r w:rsidR="00403763">
        <w:rPr>
          <w:rFonts w:hint="cs"/>
          <w:rtl/>
        </w:rPr>
        <w:t>?</w:t>
      </w:r>
      <w:r>
        <w:rPr>
          <w:rFonts w:hint="cs"/>
          <w:rtl/>
        </w:rPr>
        <w:t xml:space="preserve"> אם</w:t>
      </w:r>
      <w:r w:rsidR="00403763">
        <w:rPr>
          <w:rFonts w:hint="cs"/>
          <w:rtl/>
        </w:rPr>
        <w:t xml:space="preserve"> הכח המניע הוא</w:t>
      </w:r>
      <w:r>
        <w:rPr>
          <w:rFonts w:hint="cs"/>
          <w:rtl/>
        </w:rPr>
        <w:t xml:space="preserve"> מצד הצורה של האבן שהיא הנפש החיה שלה, הרי אמר שאי אפשר שההיולי ישתוקק כמו בעל נפש, והרי כל הדיון אינו על תשוקה שבאה מכח הצורה אלא על תשוקה שבאה מהחומר שמשתוקק לצורה. ומצד החומר של האבן מניין לנו שהייתה מצידו תשוקה לו היה לאבן כח </w:t>
      </w:r>
      <w:r w:rsidR="00403763">
        <w:rPr>
          <w:rFonts w:hint="cs"/>
          <w:rtl/>
        </w:rPr>
        <w:t xml:space="preserve">מניע. </w:t>
      </w:r>
    </w:p>
    <w:p w14:paraId="645A008B" w14:textId="77777777" w:rsidR="00A56C20" w:rsidRDefault="00403763">
      <w:pPr>
        <w:pStyle w:val="FootnoteText"/>
        <w:rPr>
          <w:rtl/>
        </w:rPr>
      </w:pPr>
      <w:r>
        <w:rPr>
          <w:rFonts w:hint="cs"/>
          <w:rtl/>
        </w:rPr>
        <w:t xml:space="preserve">אבן סינא כותב שאפשר להיולי להיות נקי מצורות, ואז היה משתוקק לצורה, כתשוקת הנקבה לזכר, חומר לצורה, רק שלפי האמת אינו נקי מצורות. מניין הייתה באה אותה תשוקה שהיתה להיולי לו היה נקי מצורות, הרי לא תיתכן בו תשוקה שבאה מכח נפש? </w:t>
      </w:r>
    </w:p>
    <w:p w14:paraId="37FA52D6" w14:textId="71444D65" w:rsidR="003C5F9C" w:rsidRDefault="00A56C20">
      <w:pPr>
        <w:pStyle w:val="FootnoteText"/>
        <w:rPr>
          <w:rtl/>
        </w:rPr>
      </w:pPr>
      <w:r>
        <w:rPr>
          <w:rFonts w:hint="cs"/>
          <w:rtl/>
        </w:rPr>
        <w:t xml:space="preserve">יש עוד קשיים כאן ואין צורך להאריך. </w:t>
      </w:r>
    </w:p>
    <w:p w14:paraId="35A84A53" w14:textId="77777777" w:rsidR="00A56C20" w:rsidRDefault="00A56C20">
      <w:pPr>
        <w:pStyle w:val="FootnoteText"/>
        <w:rPr>
          <w:rtl/>
        </w:rPr>
      </w:pPr>
    </w:p>
    <w:p w14:paraId="6441CE2D" w14:textId="77777777" w:rsidR="00A56C20" w:rsidRDefault="00A56C20">
      <w:pPr>
        <w:pStyle w:val="FootnoteText"/>
        <w:rPr>
          <w:rtl/>
        </w:rPr>
      </w:pPr>
      <w:r>
        <w:rPr>
          <w:rFonts w:hint="cs"/>
          <w:rtl/>
        </w:rPr>
        <w:t xml:space="preserve">בסעיף 23 כתב אבן סינא שהדיבור הזה דומה לדיבור של סופיות, והערתי שהוא בעצמו היה סופי וזו לא שלילה של הדיבור, אלא רק אמירה שיש בו סוד. </w:t>
      </w:r>
    </w:p>
    <w:p w14:paraId="2EB4C8CD" w14:textId="77777777" w:rsidR="00A84B74" w:rsidRDefault="00A56C20">
      <w:pPr>
        <w:pStyle w:val="FootnoteText"/>
      </w:pPr>
      <w:r>
        <w:rPr>
          <w:rFonts w:hint="cs"/>
          <w:rtl/>
        </w:rPr>
        <w:t xml:space="preserve">הוא כותב שאפשר שאדם אחר מבין את הדיבור הזה לאמיתו (במקור </w:t>
      </w:r>
      <w:bookmarkStart w:id="168" w:name="_Hlk98132677"/>
      <w:r w:rsidRPr="00A56C20">
        <w:rPr>
          <w:rFonts w:cs="Times New Roman" w:hint="eastAsia"/>
          <w:rtl/>
          <w:lang w:bidi="ar-SA"/>
        </w:rPr>
        <w:t>حق</w:t>
      </w:r>
      <w:bookmarkEnd w:id="168"/>
      <w:r>
        <w:rPr>
          <w:rFonts w:cs="Times New Roman" w:hint="cs"/>
          <w:rtl/>
        </w:rPr>
        <w:t xml:space="preserve"> </w:t>
      </w:r>
      <w:r w:rsidRPr="00A56C20">
        <w:rPr>
          <w:rFonts w:cs="Times New Roman" w:hint="eastAsia"/>
          <w:rtl/>
          <w:lang w:bidi="ar-SA"/>
        </w:rPr>
        <w:t>الفهم</w:t>
      </w:r>
      <w:r>
        <w:rPr>
          <w:rFonts w:cs="Times New Roman" w:hint="cs"/>
          <w:rtl/>
        </w:rPr>
        <w:t>)</w:t>
      </w:r>
      <w:r>
        <w:rPr>
          <w:rFonts w:hint="cs"/>
          <w:rtl/>
        </w:rPr>
        <w:t xml:space="preserve">, ומפנה אליו. הוא לא אומר למי הוא מפנה, ולכן אין תועלת לקורא בהפנייה הזו. אלא הכוונה שמה שאבן סינא </w:t>
      </w:r>
      <w:r w:rsidR="00D74D8E">
        <w:rPr>
          <w:rFonts w:hint="cs"/>
          <w:rtl/>
        </w:rPr>
        <w:t>אומר ש</w:t>
      </w:r>
      <w:r>
        <w:rPr>
          <w:rFonts w:hint="cs"/>
          <w:rtl/>
        </w:rPr>
        <w:t>אינו מבין את האמירה שמדובר בה כאן אי</w:t>
      </w:r>
      <w:r w:rsidR="00D74D8E">
        <w:rPr>
          <w:rFonts w:hint="cs"/>
          <w:rtl/>
        </w:rPr>
        <w:t>ן</w:t>
      </w:r>
      <w:r>
        <w:rPr>
          <w:rFonts w:hint="cs"/>
          <w:rtl/>
        </w:rPr>
        <w:t xml:space="preserve"> </w:t>
      </w:r>
      <w:r w:rsidR="00D74D8E">
        <w:rPr>
          <w:rFonts w:hint="cs"/>
          <w:rtl/>
        </w:rPr>
        <w:t>כוונתו</w:t>
      </w:r>
      <w:r>
        <w:rPr>
          <w:rFonts w:hint="cs"/>
          <w:rtl/>
        </w:rPr>
        <w:t xml:space="preserve"> לחלוק על אריסטו שאמר אותה</w:t>
      </w:r>
      <w:r w:rsidR="008E369A">
        <w:rPr>
          <w:rFonts w:hint="cs"/>
          <w:rtl/>
        </w:rPr>
        <w:t xml:space="preserve"> (שהרי יש מי שמבין אותה)</w:t>
      </w:r>
      <w:r>
        <w:rPr>
          <w:rFonts w:hint="cs"/>
          <w:rtl/>
        </w:rPr>
        <w:t xml:space="preserve">, אלא בא לומר שהמקום לפרש את האמירה הזו אינו במסגרת פילוסופית גלויה </w:t>
      </w:r>
      <w:r w:rsidR="00D74D8E">
        <w:rPr>
          <w:rFonts w:hint="cs"/>
          <w:rtl/>
        </w:rPr>
        <w:t xml:space="preserve">המכוונת לרבים </w:t>
      </w:r>
      <w:r>
        <w:rPr>
          <w:rFonts w:hint="cs"/>
          <w:rtl/>
        </w:rPr>
        <w:t xml:space="preserve">כמו בספר הזה. </w:t>
      </w:r>
    </w:p>
    <w:p w14:paraId="3BEA758F" w14:textId="55ABA754" w:rsidR="00A84B74" w:rsidRDefault="00E806F4" w:rsidP="00A84B74">
      <w:pPr>
        <w:pStyle w:val="FootnoteText"/>
        <w:rPr>
          <w:rtl/>
        </w:rPr>
      </w:pPr>
      <w:r>
        <w:rPr>
          <w:rFonts w:hint="cs"/>
          <w:rtl/>
        </w:rPr>
        <w:t>בפתיחת המורה נבוכים</w:t>
      </w:r>
      <w:r w:rsidR="00A84B74">
        <w:t xml:space="preserve"> </w:t>
      </w:r>
      <w:r w:rsidR="00A84B74">
        <w:rPr>
          <w:rFonts w:hint="cs"/>
          <w:rtl/>
        </w:rPr>
        <w:t>כתב:</w:t>
      </w:r>
    </w:p>
    <w:p w14:paraId="6C888EC3" w14:textId="18F7C1E6" w:rsidR="008029EC" w:rsidRDefault="00F055C8" w:rsidP="00A84B74">
      <w:pPr>
        <w:pStyle w:val="FootnoteText"/>
        <w:rPr>
          <w:rtl/>
        </w:rPr>
      </w:pPr>
      <w:r>
        <w:rPr>
          <w:rtl/>
        </w:rPr>
        <w:t>"</w:t>
      </w:r>
      <w:r w:rsidR="00A84B74" w:rsidRPr="00A84B74">
        <w:rPr>
          <w:rtl/>
        </w:rPr>
        <w:t>ואין הכוונה במאמר הזה להבינם כולם להמון, ולא למתחילים בעיון ולא ללמד מי שלא יעיין רק בחכמת התורה, רצוני לומר תלמודה; כי עניין המאמר הזה כולו וכל מה שהוא ממנו, הוא חכמת התורה על האמת.</w:t>
      </w:r>
      <w:r>
        <w:rPr>
          <w:rtl/>
        </w:rPr>
        <w:t>"</w:t>
      </w:r>
      <w:r w:rsidR="00A84B74">
        <w:rPr>
          <w:rFonts w:hint="cs"/>
          <w:rtl/>
        </w:rPr>
        <w:t xml:space="preserve"> במקור הערבי </w:t>
      </w:r>
      <w:r w:rsidR="009B3485">
        <w:rPr>
          <w:rFonts w:hint="cs"/>
          <w:rtl/>
        </w:rPr>
        <w:t xml:space="preserve">מה שתרגם אבן תיבון </w:t>
      </w:r>
      <w:r>
        <w:rPr>
          <w:rtl/>
        </w:rPr>
        <w:t>"</w:t>
      </w:r>
      <w:r w:rsidR="00A84B74">
        <w:rPr>
          <w:rFonts w:hint="cs"/>
          <w:rtl/>
        </w:rPr>
        <w:t>על האמת</w:t>
      </w:r>
      <w:r>
        <w:rPr>
          <w:rtl/>
        </w:rPr>
        <w:t>"</w:t>
      </w:r>
      <w:r w:rsidR="00A84B74">
        <w:rPr>
          <w:rFonts w:hint="cs"/>
          <w:rtl/>
        </w:rPr>
        <w:t xml:space="preserve"> כתוב: </w:t>
      </w:r>
      <w:r>
        <w:rPr>
          <w:rtl/>
        </w:rPr>
        <w:t>"</w:t>
      </w:r>
      <w:r w:rsidR="00A84B74" w:rsidRPr="00A84B74">
        <w:rPr>
          <w:rtl/>
        </w:rPr>
        <w:t>עלי אלחקיקה</w:t>
      </w:r>
      <w:r>
        <w:rPr>
          <w:rtl/>
        </w:rPr>
        <w:t>"</w:t>
      </w:r>
      <w:r w:rsidR="00A84B74">
        <w:rPr>
          <w:rFonts w:hint="cs"/>
          <w:rtl/>
        </w:rPr>
        <w:t xml:space="preserve">. הלשון </w:t>
      </w:r>
      <w:r>
        <w:rPr>
          <w:rtl/>
        </w:rPr>
        <w:t>"</w:t>
      </w:r>
      <w:r w:rsidR="00A84B74">
        <w:rPr>
          <w:rFonts w:hint="cs"/>
          <w:rtl/>
        </w:rPr>
        <w:t>על האמת</w:t>
      </w:r>
      <w:r>
        <w:rPr>
          <w:rtl/>
        </w:rPr>
        <w:t>"</w:t>
      </w:r>
      <w:r w:rsidR="00A84B74">
        <w:rPr>
          <w:rFonts w:hint="cs"/>
          <w:rtl/>
        </w:rPr>
        <w:t xml:space="preserve"> אצל הרמב</w:t>
      </w:r>
      <w:r>
        <w:rPr>
          <w:rtl/>
        </w:rPr>
        <w:t>"</w:t>
      </w:r>
      <w:r w:rsidR="00A84B74">
        <w:rPr>
          <w:rFonts w:hint="cs"/>
          <w:rtl/>
        </w:rPr>
        <w:t xml:space="preserve">ם מכוון לפנימיות התורה וסודה </w:t>
      </w:r>
      <w:r w:rsidR="009B3485">
        <w:rPr>
          <w:rFonts w:hint="cs"/>
          <w:rtl/>
        </w:rPr>
        <w:t>(</w:t>
      </w:r>
      <w:r w:rsidR="00A84B74">
        <w:rPr>
          <w:rFonts w:hint="cs"/>
          <w:rtl/>
        </w:rPr>
        <w:t>ה</w:t>
      </w:r>
      <w:r>
        <w:rPr>
          <w:rtl/>
        </w:rPr>
        <w:t>"</w:t>
      </w:r>
      <w:r w:rsidR="00A84B74">
        <w:rPr>
          <w:rFonts w:hint="cs"/>
          <w:rtl/>
        </w:rPr>
        <w:t>תוך</w:t>
      </w:r>
      <w:r>
        <w:rPr>
          <w:rtl/>
        </w:rPr>
        <w:t>"</w:t>
      </w:r>
      <w:r w:rsidR="00A84B74">
        <w:rPr>
          <w:rFonts w:hint="cs"/>
        </w:rPr>
        <w:t xml:space="preserve"> </w:t>
      </w:r>
      <w:r w:rsidR="00A84B74">
        <w:rPr>
          <w:rFonts w:hint="cs"/>
          <w:rtl/>
        </w:rPr>
        <w:t>שלה כלשון אבן תיבון</w:t>
      </w:r>
      <w:r w:rsidR="009B3485">
        <w:rPr>
          <w:rFonts w:hint="cs"/>
          <w:rtl/>
        </w:rPr>
        <w:t>)</w:t>
      </w:r>
      <w:r w:rsidR="00A84B74">
        <w:rPr>
          <w:rFonts w:hint="cs"/>
          <w:rtl/>
        </w:rPr>
        <w:t xml:space="preserve">, כמו שרואים מכמה מקומות. זה אותו לשון שכתב כאן אבן סינא לגבי אותו מי שכן יכול להבין את דברי אריסטו שמדובר בהם כאן, שהיא </w:t>
      </w:r>
      <w:r>
        <w:rPr>
          <w:rtl/>
        </w:rPr>
        <w:t>"</w:t>
      </w:r>
      <w:r w:rsidR="00A84B74">
        <w:rPr>
          <w:rFonts w:hint="cs"/>
          <w:rtl/>
        </w:rPr>
        <w:t>חק אלפהם</w:t>
      </w:r>
      <w:r>
        <w:rPr>
          <w:rtl/>
        </w:rPr>
        <w:t>"</w:t>
      </w:r>
      <w:r w:rsidR="00A84B74">
        <w:rPr>
          <w:rFonts w:hint="cs"/>
          <w:rtl/>
        </w:rPr>
        <w:t>.</w:t>
      </w:r>
    </w:p>
    <w:p w14:paraId="0E7F8B5A" w14:textId="63A25F77" w:rsidR="00746393" w:rsidRDefault="00150A5C" w:rsidP="00746393">
      <w:pPr>
        <w:pStyle w:val="FootnoteText"/>
        <w:rPr>
          <w:rtl/>
        </w:rPr>
      </w:pPr>
      <w:r>
        <w:rPr>
          <w:rFonts w:hint="cs"/>
          <w:rtl/>
        </w:rPr>
        <w:t xml:space="preserve">הקושיות של אריסטו על אפלטון כולן לא באו לדחות את דבריו (אריסטו ראה את עצמו כפרשן של אפלטון), אלא לומר שמדובר בסוד. לכן הקושיא נראית מאוד תמוהה באופן מכוון, ולפי האמת הקושיא באה לרמוז על נקודת העיון שממנה המפתח לאותו סוד. </w:t>
      </w:r>
      <w:r w:rsidR="00746393">
        <w:rPr>
          <w:rFonts w:hint="cs"/>
          <w:rtl/>
        </w:rPr>
        <w:t>אבן סינא משתמש באותה טכניקה כאן ובעוד מקומות.</w:t>
      </w:r>
    </w:p>
    <w:p w14:paraId="673546F9" w14:textId="77777777" w:rsidR="00D300A8" w:rsidRDefault="00D300A8" w:rsidP="00746393">
      <w:pPr>
        <w:pStyle w:val="FootnoteText"/>
        <w:rPr>
          <w:rtl/>
        </w:rPr>
      </w:pPr>
    </w:p>
    <w:p w14:paraId="0507DFD2" w14:textId="4A168F0A" w:rsidR="00797364" w:rsidRDefault="00746393" w:rsidP="00746393">
      <w:pPr>
        <w:pStyle w:val="FootnoteText"/>
        <w:rPr>
          <w:rtl/>
        </w:rPr>
      </w:pPr>
      <w:r>
        <w:rPr>
          <w:rFonts w:hint="cs"/>
          <w:rtl/>
        </w:rPr>
        <w:t>הנושא כאן הוא השינויים של העצמים. מה שמניע, מפעיל, את השינוי הוא תשוקה, כלומר כח החיים שיש בכל היקום, שהוא איש אחד חי כמו שכתב אפלטון בטימיאוס והרמב</w:t>
      </w:r>
      <w:r w:rsidR="00F055C8">
        <w:rPr>
          <w:rtl/>
        </w:rPr>
        <w:t>"</w:t>
      </w:r>
      <w:r>
        <w:rPr>
          <w:rFonts w:hint="cs"/>
          <w:rtl/>
        </w:rPr>
        <w:t>ם במו</w:t>
      </w:r>
      <w:r w:rsidR="00F055C8">
        <w:rPr>
          <w:rtl/>
        </w:rPr>
        <w:t>"</w:t>
      </w:r>
      <w:r>
        <w:rPr>
          <w:rFonts w:hint="cs"/>
          <w:rtl/>
        </w:rPr>
        <w:t>נ א' ע</w:t>
      </w:r>
      <w:r w:rsidR="00F055C8">
        <w:rPr>
          <w:rtl/>
        </w:rPr>
        <w:t>"</w:t>
      </w:r>
      <w:r>
        <w:rPr>
          <w:rFonts w:hint="cs"/>
          <w:rtl/>
        </w:rPr>
        <w:t xml:space="preserve">ב. וכמו שכתב אבן סינא במאמר על החשק (את הפרק הנדון תרגמתי וביארתי בסוף ספר </w:t>
      </w:r>
      <w:hyperlink r:id="rId64" w:history="1">
        <w:r w:rsidRPr="00352619">
          <w:rPr>
            <w:rStyle w:val="Hyperlink"/>
            <w:rFonts w:hint="cs"/>
            <w:rtl/>
          </w:rPr>
          <w:t>הרמיזות וההערות</w:t>
        </w:r>
      </w:hyperlink>
      <w:r>
        <w:rPr>
          <w:rFonts w:hint="cs"/>
          <w:rtl/>
        </w:rPr>
        <w:t>)</w:t>
      </w:r>
      <w:r w:rsidR="001F456A">
        <w:rPr>
          <w:rFonts w:hint="cs"/>
          <w:rtl/>
        </w:rPr>
        <w:t>.</w:t>
      </w:r>
    </w:p>
    <w:p w14:paraId="3D019467" w14:textId="46767F88" w:rsidR="00FC7543" w:rsidRDefault="00797364" w:rsidP="00746393">
      <w:pPr>
        <w:pStyle w:val="FootnoteText"/>
        <w:rPr>
          <w:rtl/>
        </w:rPr>
      </w:pPr>
      <w:r>
        <w:rPr>
          <w:rFonts w:hint="cs"/>
          <w:rtl/>
        </w:rPr>
        <w:t>עיין במורה נבוכים ב' ד'</w:t>
      </w:r>
      <w:r w:rsidR="00D67F9F">
        <w:rPr>
          <w:rtl/>
        </w:rPr>
        <w:fldChar w:fldCharType="begin"/>
      </w:r>
      <w:r w:rsidR="00D67F9F">
        <w:instrText xml:space="preserve"> XE "</w:instrText>
      </w:r>
      <w:r w:rsidR="00D67F9F" w:rsidRPr="00AA0D86">
        <w:rPr>
          <w:rFonts w:hint="cs"/>
          <w:rtl/>
        </w:rPr>
        <w:instrText>מורה נבוכים ב' ד'</w:instrText>
      </w:r>
      <w:r w:rsidR="00D67F9F">
        <w:instrText xml:space="preserve">" </w:instrText>
      </w:r>
      <w:r w:rsidR="00D67F9F">
        <w:rPr>
          <w:rtl/>
        </w:rPr>
        <w:fldChar w:fldCharType="end"/>
      </w:r>
      <w:r>
        <w:rPr>
          <w:rFonts w:hint="cs"/>
          <w:rtl/>
        </w:rPr>
        <w:t xml:space="preserve"> במה שמניע את הגלגלים (שחומרם הוא מהיסוד החמישי), וכתב שם שזה אותו אופן שבו השכל הפועל מניע את העולם של ארבעת היסודות, שתחת גלגל הירח. </w:t>
      </w:r>
      <w:r w:rsidR="001A5E1D">
        <w:rPr>
          <w:rFonts w:hint="cs"/>
          <w:rtl/>
        </w:rPr>
        <w:t xml:space="preserve">והמניע הוא מה שיש לגלגל נפש ושכל ותשוקה, </w:t>
      </w:r>
      <w:r w:rsidR="00FC7543">
        <w:rPr>
          <w:rFonts w:hint="cs"/>
          <w:rtl/>
        </w:rPr>
        <w:t>וכל אלה הם מחמת הצורה של הגלגל, ובעולם של ד' היסודות זהו מחמת הצורה של העצמים שנותן בהם נותן הצורה הוא השכל הפועל.</w:t>
      </w:r>
      <w:r w:rsidR="00D300A8">
        <w:rPr>
          <w:rFonts w:hint="cs"/>
          <w:rtl/>
        </w:rPr>
        <w:t xml:space="preserve"> ועיין </w:t>
      </w:r>
      <w:r w:rsidR="00F055C8">
        <w:rPr>
          <w:rtl/>
        </w:rPr>
        <w:t>"</w:t>
      </w:r>
      <w:r w:rsidR="00D300A8">
        <w:rPr>
          <w:rFonts w:hint="cs"/>
          <w:rtl/>
        </w:rPr>
        <w:t>על הנפש</w:t>
      </w:r>
      <w:r w:rsidR="00F055C8">
        <w:rPr>
          <w:rtl/>
        </w:rPr>
        <w:t>"</w:t>
      </w:r>
      <w:r w:rsidR="00D300A8">
        <w:rPr>
          <w:rFonts w:hint="cs"/>
          <w:rtl/>
        </w:rPr>
        <w:t xml:space="preserve"> ב' א' שהנפש היא צורת הגוף החי. </w:t>
      </w:r>
    </w:p>
    <w:p w14:paraId="74B355D5" w14:textId="521BE21B" w:rsidR="00D300A8" w:rsidRDefault="00FC7543" w:rsidP="00746393">
      <w:pPr>
        <w:pStyle w:val="FootnoteText"/>
        <w:rPr>
          <w:rtl/>
        </w:rPr>
      </w:pPr>
      <w:r>
        <w:rPr>
          <w:rFonts w:hint="cs"/>
          <w:rtl/>
        </w:rPr>
        <w:t>אמנם למדנו שהשינוי כרוך בהעדר, שהוא החומר. לא יתכן שמילוי ההעדר בצורה יהיה רק מכח הצורה ולא מכח שיש בהעדר עצמו שמשתוקק לקבל צורה. כי הסוד שמדובר בו כאן הוא שהחיבור של חומר וצורה באופן שנעשים לאחד ממש</w:t>
      </w:r>
      <w:r w:rsidR="00D300A8">
        <w:rPr>
          <w:rFonts w:hint="cs"/>
          <w:rtl/>
        </w:rPr>
        <w:t xml:space="preserve"> ולא רק הרכבה (כמו שביאר אריסטו ב</w:t>
      </w:r>
      <w:r w:rsidR="00D300A8" w:rsidRPr="00D300A8">
        <w:rPr>
          <w:rtl/>
        </w:rPr>
        <w:t>סוף מטאפיזיקה אטא</w:t>
      </w:r>
      <w:r w:rsidR="00D300A8">
        <w:rPr>
          <w:rFonts w:hint="cs"/>
          <w:rtl/>
        </w:rPr>
        <w:t xml:space="preserve"> וב</w:t>
      </w:r>
      <w:r w:rsidR="00F055C8">
        <w:rPr>
          <w:rtl/>
        </w:rPr>
        <w:t>"</w:t>
      </w:r>
      <w:r w:rsidR="00D300A8">
        <w:rPr>
          <w:rFonts w:hint="cs"/>
          <w:rtl/>
        </w:rPr>
        <w:t>על הנפש</w:t>
      </w:r>
      <w:r w:rsidR="00F055C8">
        <w:rPr>
          <w:rtl/>
        </w:rPr>
        <w:t>"</w:t>
      </w:r>
      <w:r w:rsidR="00D300A8">
        <w:rPr>
          <w:rFonts w:hint="cs"/>
        </w:rPr>
        <w:t xml:space="preserve"> </w:t>
      </w:r>
      <w:r w:rsidR="00D300A8">
        <w:rPr>
          <w:rFonts w:hint="cs"/>
          <w:rtl/>
        </w:rPr>
        <w:t>ב' א')</w:t>
      </w:r>
      <w:r>
        <w:rPr>
          <w:rFonts w:hint="cs"/>
          <w:rtl/>
        </w:rPr>
        <w:t xml:space="preserve"> הוא זיווג (על דרך ש</w:t>
      </w:r>
      <w:r w:rsidR="00D300A8">
        <w:rPr>
          <w:rFonts w:hint="cs"/>
          <w:rtl/>
        </w:rPr>
        <w:t>כתוב</w:t>
      </w:r>
      <w:r>
        <w:rPr>
          <w:rFonts w:hint="cs"/>
          <w:rtl/>
        </w:rPr>
        <w:t xml:space="preserve"> באדם וחווה </w:t>
      </w:r>
      <w:r w:rsidR="00F055C8">
        <w:rPr>
          <w:rtl/>
        </w:rPr>
        <w:t>"</w:t>
      </w:r>
      <w:r>
        <w:rPr>
          <w:rFonts w:hint="cs"/>
          <w:rtl/>
        </w:rPr>
        <w:t>והיו</w:t>
      </w:r>
      <w:r w:rsidR="00D300A8">
        <w:rPr>
          <w:rFonts w:hint="cs"/>
          <w:rtl/>
        </w:rPr>
        <w:t xml:space="preserve"> לבשר אחד</w:t>
      </w:r>
      <w:r w:rsidR="00F055C8">
        <w:rPr>
          <w:rtl/>
        </w:rPr>
        <w:t>"</w:t>
      </w:r>
      <w:r w:rsidR="00D300A8">
        <w:rPr>
          <w:rFonts w:hint="cs"/>
          <w:rtl/>
        </w:rPr>
        <w:t xml:space="preserve">, וכתוב </w:t>
      </w:r>
      <w:r w:rsidR="00F055C8">
        <w:rPr>
          <w:rtl/>
        </w:rPr>
        <w:t>"</w:t>
      </w:r>
      <w:r w:rsidR="00D300A8">
        <w:rPr>
          <w:rFonts w:hint="cs"/>
          <w:rtl/>
        </w:rPr>
        <w:t>והאדם ידע את חווה אשתו</w:t>
      </w:r>
      <w:r w:rsidR="00F055C8">
        <w:rPr>
          <w:rtl/>
        </w:rPr>
        <w:t>"</w:t>
      </w:r>
      <w:r w:rsidR="00D300A8">
        <w:rPr>
          <w:rFonts w:hint="cs"/>
          <w:rtl/>
        </w:rPr>
        <w:t>.). בלי סוד הזיווג הם היו רק הרכבה ולא אחדות גמורה פשוטה.</w:t>
      </w:r>
    </w:p>
    <w:p w14:paraId="5827B195" w14:textId="1E0834D9" w:rsidR="00045F19" w:rsidRDefault="00045F19" w:rsidP="00746393">
      <w:pPr>
        <w:pStyle w:val="FootnoteText"/>
        <w:rPr>
          <w:rtl/>
        </w:rPr>
      </w:pPr>
      <w:r>
        <w:rPr>
          <w:rFonts w:hint="cs"/>
          <w:rtl/>
        </w:rPr>
        <w:t>במורה נבוכים א' י</w:t>
      </w:r>
      <w:r w:rsidR="00F055C8">
        <w:rPr>
          <w:rtl/>
        </w:rPr>
        <w:t>"</w:t>
      </w:r>
      <w:r>
        <w:rPr>
          <w:rFonts w:hint="cs"/>
          <w:rtl/>
        </w:rPr>
        <w:t>ז</w:t>
      </w:r>
      <w:r w:rsidR="00D67F9F">
        <w:rPr>
          <w:rtl/>
        </w:rPr>
        <w:fldChar w:fldCharType="begin"/>
      </w:r>
      <w:r w:rsidR="00D67F9F">
        <w:instrText xml:space="preserve"> XE "</w:instrText>
      </w:r>
      <w:r w:rsidR="00D67F9F" w:rsidRPr="002C795A">
        <w:rPr>
          <w:rFonts w:hint="cs"/>
          <w:rtl/>
        </w:rPr>
        <w:instrText>מורה נבוכים א' י</w:instrText>
      </w:r>
      <w:r w:rsidR="00D67F9F">
        <w:rPr>
          <w:b/>
          <w:bCs/>
          <w:sz w:val="20"/>
          <w:szCs w:val="20"/>
        </w:rPr>
        <w:instrText>\</w:instrText>
      </w:r>
      <w:r w:rsidR="00D67F9F" w:rsidRPr="002C795A">
        <w:rPr>
          <w:rFonts w:hint="cs"/>
          <w:rtl/>
        </w:rPr>
        <w:instrText>"ז</w:instrText>
      </w:r>
      <w:r w:rsidR="00D67F9F">
        <w:instrText xml:space="preserve">" </w:instrText>
      </w:r>
      <w:r w:rsidR="00D67F9F">
        <w:rPr>
          <w:rtl/>
        </w:rPr>
        <w:fldChar w:fldCharType="end"/>
      </w:r>
      <w:r>
        <w:rPr>
          <w:rFonts w:hint="cs"/>
          <w:rtl/>
        </w:rPr>
        <w:t xml:space="preserve"> הביא את דברי אריסטו במטאפיזיקה למבדא:</w:t>
      </w:r>
    </w:p>
    <w:p w14:paraId="6C93353C" w14:textId="49089D12" w:rsidR="006564B5" w:rsidRDefault="00F055C8" w:rsidP="00746393">
      <w:pPr>
        <w:pStyle w:val="FootnoteText"/>
        <w:rPr>
          <w:rtl/>
        </w:rPr>
      </w:pPr>
      <w:r>
        <w:rPr>
          <w:rtl/>
        </w:rPr>
        <w:t>"</w:t>
      </w:r>
      <w:r w:rsidR="00045F19" w:rsidRPr="00045F19">
        <w:rPr>
          <w:rtl/>
        </w:rPr>
        <w:t xml:space="preserve">ואתה יודע כי התחלות הנמצאות ההוות הנפסדות </w:t>
      </w:r>
      <w:r w:rsidR="00ED2813">
        <w:rPr>
          <w:rFonts w:hint="cs"/>
          <w:rtl/>
        </w:rPr>
        <w:t>-</w:t>
      </w:r>
      <w:r w:rsidR="00045F19" w:rsidRPr="00045F19">
        <w:rPr>
          <w:rtl/>
        </w:rPr>
        <w:t xml:space="preserve"> שלושה: החומר, והצורה, וההעדר המיוחד, אשר הוא מחובר לחומר לעולם. ולולא התחברות ההעדר לחומר, לא הגיע אליו הצורה, ובזה הצד היה העדר מן ההתחלות.</w:t>
      </w:r>
      <w:r>
        <w:rPr>
          <w:rtl/>
        </w:rPr>
        <w:t>"</w:t>
      </w:r>
      <w:r w:rsidR="00ED2813">
        <w:rPr>
          <w:rFonts w:hint="cs"/>
          <w:rtl/>
        </w:rPr>
        <w:t xml:space="preserve"> בחומר יש כבר העדר של צורה שגורם לכך שיש בו מקום לקבל צורה, הוא ה'בכח' של התממשות הצורה בפועל, והוא מוכן שהצורה תתממש בו. רק שהיה אפשר שזה יהיה מצב עומד, שהחומר עומד כמוכן לקבל צורה והצורה לא מתאחדת איתו. התנועה מגיעה מכח ההעדר, הוא כמו ואקום ששואב לתוכו והוא מקור תנועה שמניע בכח ההעדר את היש להתלבש כצורה בחומר. </w:t>
      </w:r>
      <w:r>
        <w:rPr>
          <w:rtl/>
        </w:rPr>
        <w:t>"</w:t>
      </w:r>
      <w:r w:rsidR="00ED2813">
        <w:rPr>
          <w:rFonts w:hint="cs"/>
          <w:rtl/>
        </w:rPr>
        <w:t>החומר</w:t>
      </w:r>
      <w:r>
        <w:rPr>
          <w:rtl/>
        </w:rPr>
        <w:t>"</w:t>
      </w:r>
      <w:r w:rsidR="00ED2813">
        <w:rPr>
          <w:rFonts w:hint="cs"/>
          <w:rtl/>
        </w:rPr>
        <w:t xml:space="preserve"> הוא החומר מצד העובדה שהוא נמצא, ו</w:t>
      </w:r>
      <w:r>
        <w:rPr>
          <w:rtl/>
        </w:rPr>
        <w:t>"</w:t>
      </w:r>
      <w:r w:rsidR="00ED2813">
        <w:rPr>
          <w:rFonts w:hint="cs"/>
          <w:rtl/>
        </w:rPr>
        <w:t>ההעדר</w:t>
      </w:r>
      <w:r>
        <w:rPr>
          <w:rtl/>
        </w:rPr>
        <w:t>"</w:t>
      </w:r>
      <w:r w:rsidR="00ED2813">
        <w:rPr>
          <w:rFonts w:hint="cs"/>
          <w:rtl/>
        </w:rPr>
        <w:t xml:space="preserve"> הכוונה היא התשוקה, הגעגוע, שמשם מקור התנועה והחיים</w:t>
      </w:r>
      <w:r w:rsidR="00E976C9">
        <w:rPr>
          <w:rFonts w:hint="cs"/>
          <w:rtl/>
        </w:rPr>
        <w:t xml:space="preserve"> (בצירוף כמובן לת</w:t>
      </w:r>
      <w:r w:rsidR="006564B5">
        <w:rPr>
          <w:rFonts w:hint="cs"/>
          <w:rtl/>
        </w:rPr>
        <w:t>ש</w:t>
      </w:r>
      <w:r w:rsidR="00E976C9">
        <w:rPr>
          <w:rFonts w:hint="cs"/>
          <w:rtl/>
        </w:rPr>
        <w:t>וקה שבצורה)</w:t>
      </w:r>
      <w:r w:rsidR="00ED2813">
        <w:rPr>
          <w:rFonts w:hint="cs"/>
          <w:rtl/>
        </w:rPr>
        <w:t>.</w:t>
      </w:r>
    </w:p>
    <w:p w14:paraId="7ED59E38" w14:textId="41C62930" w:rsidR="006564B5" w:rsidRDefault="006564B5" w:rsidP="00746393">
      <w:pPr>
        <w:pStyle w:val="FootnoteText"/>
        <w:rPr>
          <w:rtl/>
        </w:rPr>
      </w:pPr>
      <w:r>
        <w:rPr>
          <w:rFonts w:hint="cs"/>
          <w:rtl/>
        </w:rPr>
        <w:t>וכן במורה נבוכים ב' ד'</w:t>
      </w:r>
      <w:r w:rsidR="00D67F9F">
        <w:rPr>
          <w:rFonts w:hint="cs"/>
          <w:rtl/>
        </w:rPr>
        <w:t xml:space="preserve"> </w:t>
      </w:r>
      <w:r>
        <w:rPr>
          <w:rFonts w:hint="cs"/>
          <w:rtl/>
        </w:rPr>
        <w:t>כתב:</w:t>
      </w:r>
    </w:p>
    <w:p w14:paraId="1D6D7B07" w14:textId="17BF1EAF" w:rsidR="006564B5" w:rsidRDefault="00F055C8" w:rsidP="00746393">
      <w:pPr>
        <w:pStyle w:val="FootnoteText"/>
        <w:rPr>
          <w:rtl/>
        </w:rPr>
      </w:pPr>
      <w:r>
        <w:rPr>
          <w:rtl/>
        </w:rPr>
        <w:t>"</w:t>
      </w:r>
      <w:r w:rsidR="006564B5" w:rsidRPr="006564B5">
        <w:rPr>
          <w:rtl/>
        </w:rPr>
        <w:t>אמנם היות הגלגל בעל נפש הוא מבואר עם ההשתכלות</w:t>
      </w:r>
      <w:r w:rsidR="006564B5">
        <w:rPr>
          <w:rFonts w:hint="cs"/>
          <w:rtl/>
        </w:rPr>
        <w:t xml:space="preserve"> ...</w:t>
      </w:r>
    </w:p>
    <w:p w14:paraId="6A48E5EE" w14:textId="63ABBC51" w:rsidR="00D7522E" w:rsidRDefault="006564B5" w:rsidP="006564B5">
      <w:pPr>
        <w:pStyle w:val="FootnoteText"/>
        <w:rPr>
          <w:rtl/>
        </w:rPr>
      </w:pPr>
      <w:r w:rsidRPr="006564B5">
        <w:rPr>
          <w:rtl/>
        </w:rPr>
        <w:t>הנה זאת התנועה</w:t>
      </w:r>
      <w:r>
        <w:rPr>
          <w:rFonts w:hint="cs"/>
          <w:rtl/>
        </w:rPr>
        <w:t xml:space="preserve"> [של הגלגל. שהוא חומרי]</w:t>
      </w:r>
      <w:r w:rsidRPr="006564B5">
        <w:rPr>
          <w:rtl/>
        </w:rPr>
        <w:t xml:space="preserve">, אם כן, הסיבובית </w:t>
      </w:r>
      <w:r w:rsidR="00001963">
        <w:rPr>
          <w:rtl/>
        </w:rPr>
        <w:t>-</w:t>
      </w:r>
      <w:r w:rsidRPr="006564B5">
        <w:rPr>
          <w:rtl/>
        </w:rPr>
        <w:t xml:space="preserve"> תהיה בציור אחד</w:t>
      </w:r>
      <w:r>
        <w:rPr>
          <w:rFonts w:hint="cs"/>
          <w:rtl/>
        </w:rPr>
        <w:t xml:space="preserve"> [ציור כלשהו. ציור בלשון אבן תיבון פירושו השגה שכלית כמו שהוא בערבית]</w:t>
      </w:r>
      <w:r w:rsidRPr="006564B5">
        <w:rPr>
          <w:rtl/>
        </w:rPr>
        <w:t>, יחייב לו הציור ההוא שיתנועע כן</w:t>
      </w:r>
      <w:r>
        <w:rPr>
          <w:rFonts w:hint="cs"/>
          <w:rtl/>
        </w:rPr>
        <w:t>,</w:t>
      </w:r>
      <w:r w:rsidRPr="006564B5">
        <w:rPr>
          <w:rtl/>
        </w:rPr>
        <w:t xml:space="preserve"> ולא יהיה ציור כי אם בשכל; אם כן הגלגל הוא בעל שכל. ואין כל מי שיש לו שכל שיצייר בו עניין אחד, ותהיה לו נפש בה יוכל להתנועע, מתנועע כשיצייר; כי הציור לבדו לא יחייב תנועה. כבר התבאר זה בפילוסופיאה הראשונה, והוא מבואר, שאתה תמצא מעצמך, שתצייר עניינים רבים ואתה יכול להתנועע אליהם, אך לא תתנועע אליהם בשום פנים, עד שתתחדש לך תשוקה בהכרח לעניין ההוא אשר ציירתו, ואז תתנועע להגיע אל מה שציירתו. הנה כבר התבאר גם כן, שאין הנפש אשר בה תהיה התנועה</w:t>
      </w:r>
      <w:r w:rsidR="00D7522E">
        <w:rPr>
          <w:rFonts w:hint="cs"/>
          <w:rtl/>
        </w:rPr>
        <w:t xml:space="preserve"> [יכולת התנועה]</w:t>
      </w:r>
      <w:r w:rsidRPr="006564B5">
        <w:rPr>
          <w:rtl/>
        </w:rPr>
        <w:t>, ולא השכל אשר בו יצויר הדבר, מספיקים בהתחדש כמו זאת התנועה, עד שתחובר אל זה תשוקה לעניין ההוא המצויר. ויתחייב גם כן מזה שיהיה לגלגל תשוקה למה שציירהו, והוא הדבר האהוב, והוא האלוה יתעלה שמו. ובאלו הפנים אמר שיניע האלוה הגלגל</w:t>
      </w:r>
      <w:r w:rsidR="00D7522E">
        <w:rPr>
          <w:rFonts w:hint="cs"/>
          <w:rtl/>
        </w:rPr>
        <w:t>,</w:t>
      </w:r>
      <w:r w:rsidRPr="006564B5">
        <w:rPr>
          <w:rtl/>
        </w:rPr>
        <w:t xml:space="preserve"> רצוני לומר, בהיות הגלגל כוסף להדמות במה שהשיג</w:t>
      </w:r>
      <w:r w:rsidR="00F055C8">
        <w:rPr>
          <w:rtl/>
        </w:rPr>
        <w:t>"</w:t>
      </w:r>
    </w:p>
    <w:p w14:paraId="76B8417E" w14:textId="2E4DED5E" w:rsidR="00D7522E" w:rsidRDefault="00D7522E" w:rsidP="006564B5">
      <w:pPr>
        <w:pStyle w:val="FootnoteText"/>
        <w:rPr>
          <w:rtl/>
        </w:rPr>
      </w:pPr>
      <w:r>
        <w:rPr>
          <w:rFonts w:hint="cs"/>
          <w:rtl/>
        </w:rPr>
        <w:t>תשוקת הגלגל אל הבורא היא תשוקת החומר אל הצורה ולא תשוקת הצורה להתלבש בחומר, כי יחס הגלגל אל מה שהוא משתוקק אליו הוא כיחס החומר לצורה. וכמו שכתב שם בהמשך:</w:t>
      </w:r>
    </w:p>
    <w:p w14:paraId="3067CFA4" w14:textId="23C20610" w:rsidR="00045F19" w:rsidRDefault="00F055C8" w:rsidP="006564B5">
      <w:pPr>
        <w:pStyle w:val="FootnoteText"/>
        <w:rPr>
          <w:rtl/>
        </w:rPr>
      </w:pPr>
      <w:r>
        <w:rPr>
          <w:rtl/>
        </w:rPr>
        <w:t>"</w:t>
      </w:r>
      <w:r w:rsidR="00D7522E" w:rsidRPr="00D7522E">
        <w:rPr>
          <w:rtl/>
        </w:rPr>
        <w:t>ואי אפשר כן לגלגל, מאשר הוא גשם, אלא אם תהיה פעולתו תנועת סיבוב</w:t>
      </w:r>
      <w:r w:rsidR="00D7522E">
        <w:rPr>
          <w:rFonts w:hint="cs"/>
          <w:rtl/>
        </w:rPr>
        <w:t xml:space="preserve"> [תשוקתו תהיה בתנועת הסיבוב כי הוא גשם, והרי שמדובר כאן על תשוקת החומר]</w:t>
      </w:r>
      <w:r>
        <w:rPr>
          <w:rtl/>
        </w:rPr>
        <w:t>"</w:t>
      </w:r>
      <w:r w:rsidR="00ED2813">
        <w:rPr>
          <w:rFonts w:hint="cs"/>
          <w:rtl/>
        </w:rPr>
        <w:t xml:space="preserve">  </w:t>
      </w:r>
    </w:p>
    <w:p w14:paraId="465E43A9" w14:textId="77777777" w:rsidR="00045F19" w:rsidRDefault="00045F19" w:rsidP="00746393">
      <w:pPr>
        <w:pStyle w:val="FootnoteText"/>
        <w:rPr>
          <w:rtl/>
        </w:rPr>
      </w:pPr>
    </w:p>
    <w:p w14:paraId="757F1313" w14:textId="251A5650" w:rsidR="009E6F12" w:rsidRDefault="009E6F12" w:rsidP="00746393">
      <w:pPr>
        <w:pStyle w:val="FootnoteText"/>
        <w:rPr>
          <w:rtl/>
        </w:rPr>
      </w:pPr>
      <w:r>
        <w:rPr>
          <w:rFonts w:hint="cs"/>
          <w:rtl/>
        </w:rPr>
        <w:t>האהבה, הזיווג, יש בהם סוד, שמצד אחד יש כאן שניים, ומצד שני האחדות בין האוהבים היא מוחלטת ופשוטה מכל צד בלי מורכבות כלל, ושני הצדדים סותרים אבל שניהם אמת ואינם שוללים זה את זה. הסוד הזה הוא הנושא של מעשה מרכבה (וכמו שביאר במו</w:t>
      </w:r>
      <w:r w:rsidR="00F055C8">
        <w:rPr>
          <w:rtl/>
        </w:rPr>
        <w:t>"</w:t>
      </w:r>
      <w:r>
        <w:rPr>
          <w:rFonts w:hint="cs"/>
          <w:rtl/>
        </w:rPr>
        <w:t>נ א' ע' ושם ע</w:t>
      </w:r>
      <w:r w:rsidR="00F055C8">
        <w:rPr>
          <w:rtl/>
        </w:rPr>
        <w:t>"</w:t>
      </w:r>
      <w:r>
        <w:rPr>
          <w:rFonts w:hint="cs"/>
          <w:rtl/>
        </w:rPr>
        <w:t xml:space="preserve">ב (במקום שכתב ברוך מי שנצחנו שלמותו)), והוא נאמר גם במשתה מאת אפלטון. כאמור, כדי שיהיה זיווג צריך שתהיה תשוקה משני הצדדים, מצד הצורה העניין גלוי, אבל התשוקה מצד ההעדר, החומר, היא סוד. ההעדר לכאורה אינו מאומה, הוא </w:t>
      </w:r>
      <w:r w:rsidR="00F055C8">
        <w:rPr>
          <w:rtl/>
        </w:rPr>
        <w:t>"</w:t>
      </w:r>
      <w:r>
        <w:rPr>
          <w:rFonts w:hint="cs"/>
          <w:rtl/>
        </w:rPr>
        <w:t>בכח</w:t>
      </w:r>
      <w:r w:rsidR="00F055C8">
        <w:rPr>
          <w:rtl/>
        </w:rPr>
        <w:t>"</w:t>
      </w:r>
      <w:r>
        <w:rPr>
          <w:rFonts w:hint="cs"/>
          <w:rtl/>
        </w:rPr>
        <w:t xml:space="preserve"> טהור, כלומר הוא רק האפשרויות שיכולות להתממש בפועל על ידי הצורות, בלי שעדיין משהו התממש בפועל. וכמבואר בטימיאוס מאת אפלטון מעמ' 49. בצורה מונחת האפשרות שהיא תתגלה, כי מהות הצורה היא גילוי, והגילוי הוא יציאה אל הפועל, והחומר הוא רק האפשרות שיש בצורה לצאת אל הפועל, להתגלות, ואינו משהו שיש לו מציאות בפני עצמו. </w:t>
      </w:r>
    </w:p>
    <w:p w14:paraId="54595260" w14:textId="77777777" w:rsidR="00045F19" w:rsidRDefault="00045F19" w:rsidP="00746393">
      <w:pPr>
        <w:pStyle w:val="FootnoteText"/>
        <w:rPr>
          <w:rtl/>
        </w:rPr>
      </w:pPr>
    </w:p>
    <w:p w14:paraId="6DE87693" w14:textId="7EA83D36" w:rsidR="00A92632" w:rsidRDefault="009E6F12" w:rsidP="00D16720">
      <w:pPr>
        <w:pStyle w:val="FootnoteText"/>
        <w:rPr>
          <w:rtl/>
        </w:rPr>
      </w:pPr>
      <w:r>
        <w:rPr>
          <w:rFonts w:hint="cs"/>
          <w:rtl/>
        </w:rPr>
        <w:t>ב</w:t>
      </w:r>
      <w:hyperlink r:id="rId65" w:history="1">
        <w:r w:rsidR="00FE0F96">
          <w:rPr>
            <w:rStyle w:val="Hyperlink"/>
            <w:rFonts w:hint="cs"/>
            <w:rtl/>
          </w:rPr>
          <w:t>דעותיהם של א</w:t>
        </w:r>
        <w:r w:rsidR="00FE0F96" w:rsidRPr="00903886">
          <w:rPr>
            <w:rStyle w:val="Hyperlink"/>
            <w:rFonts w:hint="cs"/>
            <w:rtl/>
          </w:rPr>
          <w:t>נשי העיר המעולה</w:t>
        </w:r>
      </w:hyperlink>
      <w:r w:rsidR="00FE0F96">
        <w:rPr>
          <w:rFonts w:hint="cs"/>
          <w:rtl/>
        </w:rPr>
        <w:t xml:space="preserve"> </w:t>
      </w:r>
      <w:r w:rsidR="00D16720">
        <w:rPr>
          <w:rFonts w:hint="cs"/>
          <w:rtl/>
        </w:rPr>
        <w:t xml:space="preserve">פרק י' </w:t>
      </w:r>
      <w:r w:rsidR="00FE0F96">
        <w:rPr>
          <w:rFonts w:hint="cs"/>
          <w:rtl/>
        </w:rPr>
        <w:t>כ</w:t>
      </w:r>
      <w:r>
        <w:rPr>
          <w:rFonts w:hint="cs"/>
          <w:rtl/>
        </w:rPr>
        <w:t>תב אלפראבי בפעם הראשונה את המסורת האריסטוטלית האזוטרית</w:t>
      </w:r>
      <w:r w:rsidR="005A0AA3">
        <w:rPr>
          <w:rFonts w:hint="cs"/>
          <w:rtl/>
        </w:rPr>
        <w:t xml:space="preserve"> שנמסרה בעל פה, על אופן הווייתם של הגלגלים</w:t>
      </w:r>
      <w:r w:rsidR="00A92632">
        <w:rPr>
          <w:rFonts w:hint="cs"/>
          <w:rtl/>
        </w:rPr>
        <w:t>.</w:t>
      </w:r>
      <w:r w:rsidR="00D16720">
        <w:rPr>
          <w:rFonts w:hint="cs"/>
          <w:rtl/>
        </w:rPr>
        <w:t xml:space="preserve"> עניין זה נקרא בערבית פיץ', </w:t>
      </w:r>
      <w:r w:rsidR="00E875D9">
        <w:rPr>
          <w:rFonts w:hint="cs"/>
          <w:rtl/>
        </w:rPr>
        <w:t>באנגלית המקור מ</w:t>
      </w:r>
      <w:r w:rsidR="00D16720">
        <w:rPr>
          <w:rFonts w:hint="cs"/>
          <w:rtl/>
        </w:rPr>
        <w:t xml:space="preserve">לטינית </w:t>
      </w:r>
      <w:bookmarkStart w:id="169" w:name="_Hlk98142036"/>
      <w:r w:rsidR="00D16720">
        <w:t>emanation</w:t>
      </w:r>
      <w:bookmarkEnd w:id="169"/>
      <w:r w:rsidR="00E875D9">
        <w:rPr>
          <w:rFonts w:hint="cs"/>
          <w:rtl/>
        </w:rPr>
        <w:t xml:space="preserve">, </w:t>
      </w:r>
      <w:r w:rsidR="00D16720">
        <w:rPr>
          <w:rFonts w:hint="cs"/>
          <w:rtl/>
        </w:rPr>
        <w:t>ומתורגם במורה נבוכים 'שפע' עיין שם ב' י</w:t>
      </w:r>
      <w:r w:rsidR="00F055C8">
        <w:rPr>
          <w:rtl/>
        </w:rPr>
        <w:t>"</w:t>
      </w:r>
      <w:r w:rsidR="00D16720">
        <w:rPr>
          <w:rFonts w:hint="cs"/>
          <w:rtl/>
        </w:rPr>
        <w:t>ב, א' נ</w:t>
      </w:r>
      <w:r w:rsidR="00F055C8">
        <w:rPr>
          <w:rtl/>
        </w:rPr>
        <w:t>"</w:t>
      </w:r>
      <w:r w:rsidR="00D16720">
        <w:rPr>
          <w:rFonts w:hint="cs"/>
          <w:rtl/>
        </w:rPr>
        <w:t>ח ועוד</w:t>
      </w:r>
      <w:r w:rsidR="00E875D9">
        <w:rPr>
          <w:rFonts w:hint="cs"/>
          <w:rtl/>
        </w:rPr>
        <w:t>, ובספרי קבלה אצילות</w:t>
      </w:r>
      <w:r w:rsidR="00045F19">
        <w:rPr>
          <w:rtl/>
        </w:rPr>
        <w:fldChar w:fldCharType="begin"/>
      </w:r>
      <w:r w:rsidR="00045F19">
        <w:instrText xml:space="preserve"> XE "</w:instrText>
      </w:r>
      <w:r w:rsidR="00045F19" w:rsidRPr="005A7987">
        <w:rPr>
          <w:rFonts w:hint="cs"/>
          <w:rtl/>
        </w:rPr>
        <w:instrText>האצלה, שפע</w:instrText>
      </w:r>
      <w:r w:rsidR="00045F19">
        <w:instrText xml:space="preserve">" </w:instrText>
      </w:r>
      <w:r w:rsidR="00045F19">
        <w:rPr>
          <w:rtl/>
        </w:rPr>
        <w:fldChar w:fldCharType="end"/>
      </w:r>
      <w:r w:rsidR="00E875D9">
        <w:rPr>
          <w:rFonts w:hint="cs"/>
          <w:rtl/>
        </w:rPr>
        <w:t xml:space="preserve"> או האצלה. הראשון שדיבר בו ביוונית היה פלוטינוס באניאדות. המושג הזה נחשב במחקר </w:t>
      </w:r>
      <w:r w:rsidR="00A92632">
        <w:rPr>
          <w:rFonts w:hint="cs"/>
          <w:rtl/>
        </w:rPr>
        <w:t xml:space="preserve">האקדמי </w:t>
      </w:r>
      <w:r w:rsidR="00E875D9">
        <w:rPr>
          <w:rFonts w:hint="cs"/>
          <w:rtl/>
        </w:rPr>
        <w:t>כניאו</w:t>
      </w:r>
      <w:r w:rsidR="00A92632">
        <w:rPr>
          <w:rFonts w:hint="cs"/>
          <w:rtl/>
        </w:rPr>
        <w:t>-</w:t>
      </w:r>
      <w:r w:rsidR="00E875D9">
        <w:rPr>
          <w:rFonts w:hint="cs"/>
          <w:rtl/>
        </w:rPr>
        <w:t xml:space="preserve">פלטוני וחושבים שתחילתו בפלוטינוס. </w:t>
      </w:r>
      <w:r w:rsidR="00A92632">
        <w:rPr>
          <w:rFonts w:hint="cs"/>
          <w:rtl/>
        </w:rPr>
        <w:t xml:space="preserve">אריסטו מסר את התורה שבעל פה האזוטרית של אפלטון במטאפיזיקה ספרים מ' נ', בכתיבה אזוטרית, ושם רואים שהוא מוסר </w:t>
      </w:r>
      <w:r w:rsidR="009C463A">
        <w:rPr>
          <w:rFonts w:hint="cs"/>
          <w:rtl/>
        </w:rPr>
        <w:t>מדויק</w:t>
      </w:r>
      <w:r w:rsidR="00A92632">
        <w:rPr>
          <w:rFonts w:hint="cs"/>
          <w:rtl/>
        </w:rPr>
        <w:t xml:space="preserve"> של </w:t>
      </w:r>
      <w:hyperlink r:id="rId66" w:history="1">
        <w:r w:rsidR="00A92632" w:rsidRPr="00863B38">
          <w:rPr>
            <w:rStyle w:val="Hyperlink"/>
            <w:rFonts w:hint="cs"/>
            <w:rtl/>
          </w:rPr>
          <w:t>תורת הסוד שבעל פה של אפלטון</w:t>
        </w:r>
      </w:hyperlink>
      <w:r w:rsidR="00A92632">
        <w:rPr>
          <w:rFonts w:hint="cs"/>
          <w:rtl/>
        </w:rPr>
        <w:t xml:space="preserve">, והעניין של האצלה היה אצל אפלטון ונמסר על ידי אריסטו, והוא כתוב באופן אזוטרי בכתבי אפלטון ואריסטו בכמה מקומות. </w:t>
      </w:r>
    </w:p>
    <w:p w14:paraId="58134C6F" w14:textId="16C92F70" w:rsidR="00D16720" w:rsidRDefault="00A92632" w:rsidP="00D16720">
      <w:pPr>
        <w:pStyle w:val="FootnoteText"/>
      </w:pPr>
      <w:r>
        <w:rPr>
          <w:rFonts w:hint="cs"/>
          <w:rtl/>
        </w:rPr>
        <w:t>לשון אלפראבי בעניין זה:</w:t>
      </w:r>
    </w:p>
    <w:p w14:paraId="6B5620A7" w14:textId="7A34AA3E" w:rsidR="00D16720" w:rsidRDefault="00F055C8" w:rsidP="00F84C66">
      <w:pPr>
        <w:pStyle w:val="FootnoteText"/>
        <w:rPr>
          <w:rtl/>
        </w:rPr>
      </w:pPr>
      <w:r>
        <w:rPr>
          <w:rtl/>
        </w:rPr>
        <w:t>"</w:t>
      </w:r>
      <w:r w:rsidR="00D16720">
        <w:rPr>
          <w:rtl/>
        </w:rPr>
        <w:t>מתוך הראשון מואצל קיומו של השני, שני זה גם הוא עצם שאינו גשמי כלל ושאינו חומרי. הוא משכיל את עצמותו ומשכיל את הראשון, ומה שהוא משכיל מעצמותו איננו דבר זולת עצמותו. מתוך שהוא משכיל את הראשון, נובע ממנו קיום שלישי, ומתוך שהוא מתעצם בעצמותו המיוחדת לו, נובע ממנו קיומו של הרקיע</w:t>
      </w:r>
      <w:r w:rsidR="00F84C66">
        <w:rPr>
          <w:rFonts w:hint="cs"/>
          <w:rtl/>
        </w:rPr>
        <w:t xml:space="preserve"> [הגלגל]</w:t>
      </w:r>
      <w:r w:rsidR="00D16720">
        <w:rPr>
          <w:rtl/>
        </w:rPr>
        <w:t xml:space="preserve"> הראשון.</w:t>
      </w:r>
    </w:p>
    <w:p w14:paraId="32B08A90" w14:textId="6BC890F0" w:rsidR="00F84C66" w:rsidRDefault="00D16720" w:rsidP="00D16720">
      <w:pPr>
        <w:pStyle w:val="FootnoteText"/>
        <w:rPr>
          <w:rtl/>
        </w:rPr>
      </w:pPr>
      <w:r>
        <w:rPr>
          <w:rtl/>
        </w:rPr>
        <w:t>גם קיומו של השלישי אינו חומרי; הוא בעצמו שכל, והוא משכיל את עצמותו ומשכיל את הראשון. מתוך שהוא מתעצם בעצמותו המיוחדת לו נובע ממנו קיומה של ספִירת כוכבי ה</w:t>
      </w:r>
      <w:r w:rsidR="00F84C66">
        <w:rPr>
          <w:rFonts w:hint="cs"/>
          <w:rtl/>
        </w:rPr>
        <w:t>שב</w:t>
      </w:r>
      <w:r>
        <w:rPr>
          <w:rtl/>
        </w:rPr>
        <w:t>ת, ומתוך שהוא משכיל את הראשון נובע ממנו קיום רביעי.</w:t>
      </w:r>
      <w:r w:rsidR="00F84C66">
        <w:rPr>
          <w:rFonts w:hint="cs"/>
          <w:rtl/>
        </w:rPr>
        <w:t xml:space="preserve"> [וכן הלאה עד גלגל הירח]</w:t>
      </w:r>
      <w:r w:rsidR="00F055C8">
        <w:rPr>
          <w:rtl/>
        </w:rPr>
        <w:t>"</w:t>
      </w:r>
    </w:p>
    <w:p w14:paraId="3C943D39" w14:textId="77777777" w:rsidR="00E87B24" w:rsidRDefault="00F84C66" w:rsidP="00D16720">
      <w:pPr>
        <w:pStyle w:val="FootnoteText"/>
        <w:rPr>
          <w:rtl/>
        </w:rPr>
      </w:pPr>
      <w:r>
        <w:rPr>
          <w:rFonts w:hint="cs"/>
          <w:rtl/>
        </w:rPr>
        <w:t>יש עשרה שכלים נפרדים והאחרון שבהם הוא השכל הפועל. כולם מופשטים מחומר באופן מוחלט (לכן הם נקראים 'נפרדים', היינו מחומר), כולם הם השגות של האלוה האחד במדרגות שונות, ואינם נבראים שיש להם מציאות מחוץ לאלוה (הם עשר הספירות של חכמי הקבלה, שנחלקו בהן אם הן נבראים מחוץ לאלוה או שהם גילויים של האלוהות עצמה ושתי הבחינות אמת ואין כאן המקום לדון בזה). כל שכל נפרד לפי דרגתו יש גלגל ששייך אליו ומשיג באמצעותו את האל ומכח זה הכיסופים לאל מניעים אותו בתנועתו הסיבובית (כמבואר במטאפיזיקה למבדא פרק ז', ובמורה נבוכים ב' ד').</w:t>
      </w:r>
    </w:p>
    <w:p w14:paraId="039241CF" w14:textId="77777777" w:rsidR="00E87B24" w:rsidRDefault="00E87B24" w:rsidP="00D16720">
      <w:pPr>
        <w:pStyle w:val="FootnoteText"/>
        <w:rPr>
          <w:rtl/>
        </w:rPr>
      </w:pPr>
      <w:r>
        <w:rPr>
          <w:rFonts w:hint="cs"/>
          <w:rtl/>
        </w:rPr>
        <w:t>הגלגל החומרי, שהוא מהחומר החמישי, הוא הצד החומרי של השכל הנפרד. השכל הנפרד משיג את מה שמעליו, וזה זיווג כי הוא כמו נקבה ביחס לזכר שמעליו, ומהזיווג נולד ולד שהוא השכל הנפרד שמדרגתו מתחת לאותו שכל. השכל הנפרד משיג גם את עצמו, וזוהי השגה שבה הוא משיג את היותו חסר ביחס למה שעליו. צד הנקבה שבזיווג מתחבר על ידי שאין לו משלו מאומה, ומכח זה הוא דבק לקבל מהזכר. מה שאין לו משלו מאומה, זהו ההעדר, היינו החומר, ולכן השגה זו היא הצד החומרי של השכל הנפרד עצמו.</w:t>
      </w:r>
    </w:p>
    <w:p w14:paraId="353F1549" w14:textId="699E3F03" w:rsidR="00A84B74" w:rsidRDefault="00E87B24" w:rsidP="00D16720">
      <w:pPr>
        <w:pStyle w:val="FootnoteText"/>
      </w:pPr>
      <w:r>
        <w:rPr>
          <w:rFonts w:hint="cs"/>
          <w:rtl/>
        </w:rPr>
        <w:t>עיין במורה נבוכים ב' ע</w:t>
      </w:r>
      <w:r w:rsidR="00F055C8">
        <w:rPr>
          <w:rtl/>
        </w:rPr>
        <w:t>"</w:t>
      </w:r>
      <w:r>
        <w:rPr>
          <w:rFonts w:hint="cs"/>
          <w:rtl/>
        </w:rPr>
        <w:t>ב</w:t>
      </w:r>
      <w:r w:rsidR="00D67F9F">
        <w:rPr>
          <w:rtl/>
        </w:rPr>
        <w:fldChar w:fldCharType="begin"/>
      </w:r>
      <w:r w:rsidR="00D67F9F">
        <w:instrText xml:space="preserve"> XE "</w:instrText>
      </w:r>
      <w:r w:rsidR="00D67F9F" w:rsidRPr="002674AD">
        <w:rPr>
          <w:rFonts w:hint="cs"/>
          <w:rtl/>
        </w:rPr>
        <w:instrText>מורה נבוכים ב' ע</w:instrText>
      </w:r>
      <w:r w:rsidR="00D67F9F">
        <w:rPr>
          <w:b/>
          <w:bCs/>
          <w:sz w:val="20"/>
          <w:szCs w:val="20"/>
        </w:rPr>
        <w:instrText>\</w:instrText>
      </w:r>
      <w:r w:rsidR="00D67F9F" w:rsidRPr="002674AD">
        <w:rPr>
          <w:rFonts w:hint="cs"/>
          <w:rtl/>
        </w:rPr>
        <w:instrText>"ב - שפע זכרי (שכלים) ושפע נקבי (גלגלים)</w:instrText>
      </w:r>
      <w:r w:rsidR="00D67F9F">
        <w:instrText xml:space="preserve">" </w:instrText>
      </w:r>
      <w:r w:rsidR="00D67F9F">
        <w:rPr>
          <w:rtl/>
        </w:rPr>
        <w:fldChar w:fldCharType="end"/>
      </w:r>
      <w:r>
        <w:rPr>
          <w:rFonts w:hint="cs"/>
          <w:rtl/>
        </w:rPr>
        <w:t>, שמבאר שיש שני מסלולים של שפע שיורדים מלמעלה. האחד</w:t>
      </w:r>
      <w:r w:rsidR="0060011D">
        <w:rPr>
          <w:rFonts w:hint="cs"/>
          <w:rtl/>
        </w:rPr>
        <w:t>, המופשט,</w:t>
      </w:r>
      <w:r>
        <w:rPr>
          <w:rFonts w:hint="cs"/>
          <w:rtl/>
        </w:rPr>
        <w:t xml:space="preserve"> הוא מצד הזכר והצורות והוא ההשתלשלות של השכלים הנפרדים עד השכל הפועל שנותן את הצורות בעולם שתחת גלגל הירח, הוא עולם ארבעת היסודות (לעומת הגלגלים שמעל שהם מהחומר החמישי ולא מהיסודות)</w:t>
      </w:r>
      <w:r w:rsidR="0060011D">
        <w:rPr>
          <w:rFonts w:hint="cs"/>
          <w:rtl/>
        </w:rPr>
        <w:t xml:space="preserve">, המסלול השני של השפע יורד מגלגל אל גלגל והוא החיים שבחומר עצמו. עיין בביאור על מורה נבוכים על </w:t>
      </w:r>
      <w:hyperlink r:id="rId67" w:history="1">
        <w:r w:rsidR="0060011D" w:rsidRPr="00237FCF">
          <w:rPr>
            <w:rStyle w:val="Hyperlink"/>
            <w:rFonts w:hint="cs"/>
            <w:rtl/>
          </w:rPr>
          <w:t>חלק א' פרק ע</w:t>
        </w:r>
        <w:r w:rsidR="00F055C8">
          <w:rPr>
            <w:rStyle w:val="Hyperlink"/>
            <w:rtl/>
          </w:rPr>
          <w:t>"</w:t>
        </w:r>
        <w:r w:rsidR="0060011D" w:rsidRPr="00237FCF">
          <w:rPr>
            <w:rStyle w:val="Hyperlink"/>
            <w:rFonts w:hint="cs"/>
            <w:rtl/>
          </w:rPr>
          <w:t>ב</w:t>
        </w:r>
      </w:hyperlink>
      <w:r w:rsidR="0060011D">
        <w:rPr>
          <w:rFonts w:hint="cs"/>
          <w:rtl/>
        </w:rPr>
        <w:t xml:space="preserve"> שם ביארתי עניין זה ב</w:t>
      </w:r>
      <w:r w:rsidR="00385993">
        <w:rPr>
          <w:rFonts w:hint="cs"/>
          <w:rtl/>
        </w:rPr>
        <w:t>אריכות</w:t>
      </w:r>
      <w:r w:rsidR="0060011D">
        <w:rPr>
          <w:rFonts w:hint="cs"/>
          <w:rtl/>
        </w:rPr>
        <w:t xml:space="preserve">. </w:t>
      </w:r>
      <w:r w:rsidR="00385993">
        <w:rPr>
          <w:rFonts w:hint="cs"/>
          <w:rtl/>
        </w:rPr>
        <w:t>החיים שבחומר מתבטאים בשינויי המזג של תרכובת היסודות, שלפי השינויים האלה נקבעת התלבשות הצורות בחומר, כי הן מתלבשות בחומר רק כשההכנה שלו ראויה לקבל את הצורה מבחינת המזג שלה</w:t>
      </w:r>
      <w:r w:rsidR="008734AE">
        <w:rPr>
          <w:rFonts w:hint="cs"/>
          <w:rtl/>
        </w:rPr>
        <w:t xml:space="preserve"> (עיין מורה נבוכים ב' י"ב)</w:t>
      </w:r>
      <w:r w:rsidR="0073234B">
        <w:rPr>
          <w:rFonts w:hint="cs"/>
          <w:rtl/>
        </w:rPr>
        <w:t>,</w:t>
      </w:r>
      <w:r w:rsidR="00385993">
        <w:rPr>
          <w:rFonts w:hint="cs"/>
          <w:rtl/>
        </w:rPr>
        <w:t xml:space="preserve"> וגם </w:t>
      </w:r>
      <w:r w:rsidR="0073234B">
        <w:rPr>
          <w:rFonts w:hint="cs"/>
          <w:rtl/>
        </w:rPr>
        <w:t>ב</w:t>
      </w:r>
      <w:r w:rsidR="00385993">
        <w:rPr>
          <w:rFonts w:hint="cs"/>
          <w:rtl/>
        </w:rPr>
        <w:t xml:space="preserve">מקרים שיש בעולם, </w:t>
      </w:r>
      <w:r w:rsidR="0073234B">
        <w:rPr>
          <w:rFonts w:hint="cs"/>
          <w:rtl/>
        </w:rPr>
        <w:t>שהם ביטוי לרצון החופשי העליון של הבורא, שהוא מעל השכל (כמבואר במורה נבוכים ב' י</w:t>
      </w:r>
      <w:r w:rsidR="00F055C8">
        <w:rPr>
          <w:rtl/>
        </w:rPr>
        <w:t>"</w:t>
      </w:r>
      <w:r w:rsidR="0073234B">
        <w:rPr>
          <w:rFonts w:hint="cs"/>
          <w:rtl/>
        </w:rPr>
        <w:t xml:space="preserve">ט לקראת סוף הפרק). המקרים באים מצד החומר, כי הצורות תמיד שלמות ועומדות על המהות והעצם ואין להן שייכות למקרים. עיין עוד במקורות מאריסטו לזה </w:t>
      </w:r>
      <w:r w:rsidR="00965905">
        <w:rPr>
          <w:rFonts w:hint="cs"/>
          <w:rtl/>
        </w:rPr>
        <w:t xml:space="preserve">ותוספת ביאור </w:t>
      </w:r>
      <w:r w:rsidR="0073234B">
        <w:rPr>
          <w:rFonts w:hint="cs"/>
          <w:rtl/>
        </w:rPr>
        <w:t xml:space="preserve">באדם חי </w:t>
      </w:r>
      <w:hyperlink r:id="rId68" w:history="1">
        <w:r w:rsidR="0073234B" w:rsidRPr="0073234B">
          <w:rPr>
            <w:rStyle w:val="Hyperlink"/>
            <w:rFonts w:hint="cs"/>
            <w:rtl/>
          </w:rPr>
          <w:t>רשימה 81</w:t>
        </w:r>
      </w:hyperlink>
      <w:r w:rsidR="00965905">
        <w:rPr>
          <w:rFonts w:hint="cs"/>
          <w:rtl/>
        </w:rPr>
        <w:t>, ועיין עוד ב</w:t>
      </w:r>
      <w:hyperlink r:id="rId69" w:history="1">
        <w:r w:rsidR="00965905" w:rsidRPr="00965905">
          <w:rPr>
            <w:rStyle w:val="Hyperlink"/>
            <w:rFonts w:hint="cs"/>
            <w:rtl/>
          </w:rPr>
          <w:t>רמיזות והערות</w:t>
        </w:r>
      </w:hyperlink>
      <w:r w:rsidR="00965905">
        <w:rPr>
          <w:rFonts w:hint="cs"/>
          <w:rtl/>
        </w:rPr>
        <w:t xml:space="preserve"> חלק א' פיזיקה פרק י</w:t>
      </w:r>
      <w:r w:rsidR="00F055C8">
        <w:rPr>
          <w:rtl/>
        </w:rPr>
        <w:t>"</w:t>
      </w:r>
      <w:r w:rsidR="00965905">
        <w:rPr>
          <w:rFonts w:hint="cs"/>
          <w:rtl/>
        </w:rPr>
        <w:t>ט בהערה על הכח הנקבי של הנהגת העולם</w:t>
      </w:r>
      <w:r w:rsidR="0073234B">
        <w:rPr>
          <w:rFonts w:hint="cs"/>
          <w:rtl/>
        </w:rPr>
        <w:t xml:space="preserve">. </w:t>
      </w:r>
    </w:p>
    <w:p w14:paraId="706356AA" w14:textId="2CD1B5D7" w:rsidR="003459AB" w:rsidRDefault="003459AB" w:rsidP="00D16720">
      <w:pPr>
        <w:pStyle w:val="FootnoteText"/>
        <w:rPr>
          <w:rtl/>
        </w:rPr>
      </w:pPr>
      <w:r>
        <w:rPr>
          <w:rFonts w:hint="cs"/>
          <w:rtl/>
        </w:rPr>
        <w:t xml:space="preserve">השכל משיג רק צורות, אידיאות, הגדרות, והכל לפי סדר וחוקיות של גזירת החכמה. זה אופן של גילוי </w:t>
      </w:r>
      <w:r w:rsidR="00F36164">
        <w:rPr>
          <w:rFonts w:hint="cs"/>
          <w:rtl/>
        </w:rPr>
        <w:t xml:space="preserve">החיים ומקור החיים של המציאות שהוא </w:t>
      </w:r>
      <w:r>
        <w:rPr>
          <w:rFonts w:hint="cs"/>
          <w:rtl/>
        </w:rPr>
        <w:t>זיו האין סוף בעולם</w:t>
      </w:r>
      <w:r w:rsidR="00F36164">
        <w:rPr>
          <w:rFonts w:hint="cs"/>
          <w:rtl/>
        </w:rPr>
        <w:t>,</w:t>
      </w:r>
      <w:r>
        <w:rPr>
          <w:rFonts w:hint="cs"/>
          <w:rtl/>
        </w:rPr>
        <w:t xml:space="preserve"> </w:t>
      </w:r>
      <w:r w:rsidR="00F36164">
        <w:rPr>
          <w:rFonts w:hint="cs"/>
          <w:rtl/>
        </w:rPr>
        <w:t>והשכל הוא העין</w:t>
      </w:r>
      <w:r>
        <w:rPr>
          <w:rFonts w:hint="cs"/>
          <w:rtl/>
        </w:rPr>
        <w:t xml:space="preserve"> שנברא</w:t>
      </w:r>
      <w:r w:rsidR="00F36164">
        <w:rPr>
          <w:rFonts w:hint="cs"/>
          <w:rtl/>
        </w:rPr>
        <w:t>ה</w:t>
      </w:r>
      <w:r>
        <w:rPr>
          <w:rFonts w:hint="cs"/>
          <w:rtl/>
        </w:rPr>
        <w:t xml:space="preserve"> לאדם שיו</w:t>
      </w:r>
      <w:r w:rsidR="00F36164">
        <w:rPr>
          <w:rFonts w:hint="cs"/>
          <w:rtl/>
        </w:rPr>
        <w:t>כ</w:t>
      </w:r>
      <w:r>
        <w:rPr>
          <w:rFonts w:hint="cs"/>
          <w:rtl/>
        </w:rPr>
        <w:t>ל להשיג את הזיו הזה. וכמו שכתב הרמב</w:t>
      </w:r>
      <w:r w:rsidR="00F055C8">
        <w:rPr>
          <w:rtl/>
        </w:rPr>
        <w:t>"</w:t>
      </w:r>
      <w:r>
        <w:rPr>
          <w:rFonts w:hint="cs"/>
          <w:rtl/>
        </w:rPr>
        <w:t xml:space="preserve">ם בהלכות יסודי התורה פרק ב': </w:t>
      </w:r>
      <w:r w:rsidR="00F055C8">
        <w:rPr>
          <w:rtl/>
        </w:rPr>
        <w:t>"</w:t>
      </w:r>
      <w:r w:rsidR="00F36164" w:rsidRPr="00F36164">
        <w:rPr>
          <w:rtl/>
        </w:rPr>
        <w:t xml:space="preserve"> וְהֵיאַךְ הִיא הַדֶּרֶךְ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sidR="00F055C8">
        <w:rPr>
          <w:rtl/>
        </w:rPr>
        <w:t>"</w:t>
      </w:r>
      <w:r>
        <w:rPr>
          <w:rFonts w:hint="cs"/>
          <w:rtl/>
        </w:rPr>
        <w:t xml:space="preserve"> </w:t>
      </w:r>
    </w:p>
    <w:p w14:paraId="5444FB6B" w14:textId="5FA5DC7B" w:rsidR="00F36164" w:rsidRDefault="00F36164" w:rsidP="00D16720">
      <w:pPr>
        <w:pStyle w:val="FootnoteText"/>
        <w:rPr>
          <w:rtl/>
        </w:rPr>
      </w:pPr>
      <w:r>
        <w:rPr>
          <w:rFonts w:hint="cs"/>
          <w:rtl/>
        </w:rPr>
        <w:t xml:space="preserve">החכמה שמושגת מהתבוננות שכלית מגיעה עד </w:t>
      </w:r>
      <w:r w:rsidR="00F055C8">
        <w:rPr>
          <w:rtl/>
        </w:rPr>
        <w:t>"</w:t>
      </w:r>
      <w:r>
        <w:rPr>
          <w:rFonts w:hint="cs"/>
          <w:rtl/>
        </w:rPr>
        <w:t>אין לה ערך ולא קץ</w:t>
      </w:r>
      <w:r w:rsidR="00F055C8">
        <w:rPr>
          <w:rtl/>
        </w:rPr>
        <w:t>"</w:t>
      </w:r>
      <w:r>
        <w:rPr>
          <w:rFonts w:hint="cs"/>
          <w:rtl/>
        </w:rPr>
        <w:t xml:space="preserve"> כלומר עד זיו מהאין סוף, שהוא מה שנעדר בהעדר שהוא החומר, והצורות שמצטיירות בהעדר הן מהשראתו. </w:t>
      </w:r>
    </w:p>
    <w:p w14:paraId="497C8BD6" w14:textId="05EDB80C" w:rsidR="00F36164" w:rsidRDefault="00F36164" w:rsidP="00D16720">
      <w:pPr>
        <w:pStyle w:val="FootnoteText"/>
      </w:pPr>
      <w:r>
        <w:rPr>
          <w:rFonts w:hint="cs"/>
          <w:rtl/>
        </w:rPr>
        <w:t xml:space="preserve">החיים שבחומר, הם לא שכליים. הרצון האלוהי הוא מקור המציאות והוא מעל החכמה (ספירת כתר היא מעל ספירת חכמה). ברובד הכי נמוך של המציאות מתגלה הרובד הכי גבוה, כמו שכתוב בספר יצירה שסופן נעוץ בתחילתן, וכמו שכתוב בפיוט של שבת </w:t>
      </w:r>
      <w:r w:rsidR="00F055C8">
        <w:rPr>
          <w:rtl/>
        </w:rPr>
        <w:t>"</w:t>
      </w:r>
      <w:r>
        <w:rPr>
          <w:rFonts w:hint="cs"/>
          <w:rtl/>
        </w:rPr>
        <w:t>סוף מעשה במחשבה תחילה</w:t>
      </w:r>
      <w:r w:rsidR="00F055C8">
        <w:rPr>
          <w:rtl/>
        </w:rPr>
        <w:t>"</w:t>
      </w:r>
      <w:r>
        <w:rPr>
          <w:rFonts w:hint="cs"/>
          <w:rtl/>
        </w:rPr>
        <w:t xml:space="preserve">. הרצון הזה מתגלה ברובד הלא שכלי של המציאות, הוא המקרה, ושינויי המזג של תרכובת היסודות, הם מקריים. </w:t>
      </w:r>
      <w:r w:rsidR="00C3514B">
        <w:rPr>
          <w:rFonts w:hint="cs"/>
          <w:rtl/>
        </w:rPr>
        <w:t>על שינויי המזג של תרכובת היסודות כתב המורה נבוכים א' ע</w:t>
      </w:r>
      <w:r w:rsidR="00F055C8">
        <w:rPr>
          <w:rtl/>
        </w:rPr>
        <w:t>"</w:t>
      </w:r>
      <w:r w:rsidR="00C3514B">
        <w:rPr>
          <w:rFonts w:hint="cs"/>
          <w:rtl/>
        </w:rPr>
        <w:t xml:space="preserve">ב שהם הגורמים לתנועה של לבישת צורה ופשיטת צורה, ההתהוות וההפסד, שהיא כמו התנועה של הגלגל. </w:t>
      </w:r>
    </w:p>
    <w:p w14:paraId="68DE98ED" w14:textId="0CA65620" w:rsidR="008C1974" w:rsidRDefault="00BB39F3" w:rsidP="00D16720">
      <w:pPr>
        <w:pStyle w:val="FootnoteText"/>
        <w:rPr>
          <w:rtl/>
        </w:rPr>
      </w:pPr>
      <w:r>
        <w:rPr>
          <w:rFonts w:hint="cs"/>
          <w:rtl/>
        </w:rPr>
        <w:t>ההשגה של החיים שבחומר</w:t>
      </w:r>
      <w:r w:rsidR="00045F19">
        <w:rPr>
          <w:rtl/>
        </w:rPr>
        <w:fldChar w:fldCharType="begin"/>
      </w:r>
      <w:r w:rsidR="00045F19">
        <w:instrText xml:space="preserve"> XE "</w:instrText>
      </w:r>
      <w:r w:rsidR="00045F19" w:rsidRPr="008B1BC7">
        <w:rPr>
          <w:rFonts w:hint="cs"/>
          <w:rtl/>
        </w:rPr>
        <w:instrText>החיים שבחומר</w:instrText>
      </w:r>
      <w:r w:rsidR="00045F19">
        <w:instrText xml:space="preserve">" </w:instrText>
      </w:r>
      <w:r w:rsidR="00045F19">
        <w:rPr>
          <w:rtl/>
        </w:rPr>
        <w:fldChar w:fldCharType="end"/>
      </w:r>
      <w:r>
        <w:rPr>
          <w:rFonts w:hint="cs"/>
          <w:rtl/>
        </w:rPr>
        <w:t xml:space="preserve"> היא לא על ידי השכל, אלא על ידי הרצון הראשון שהוא מעל השכל והוא הקומה הכי גבוהה שבאדם, ועל ידי החומר של האדם החי, הבשר החי עצמו, שכאמור הם מאוחדים בסוד נעוץ סופן בתחילתן. על מה שנמצא הוא גם משכיל, הרצון משיג את הרצון, והבשר משיג את החומר. החומר שהוא המקרה</w:t>
      </w:r>
      <w:r w:rsidR="00045F19">
        <w:rPr>
          <w:rtl/>
        </w:rPr>
        <w:fldChar w:fldCharType="begin"/>
      </w:r>
      <w:r w:rsidR="00045F19">
        <w:instrText xml:space="preserve"> XE "</w:instrText>
      </w:r>
      <w:r w:rsidR="00045F19" w:rsidRPr="00921939">
        <w:rPr>
          <w:rFonts w:hint="cs"/>
          <w:rtl/>
        </w:rPr>
        <w:instrText>המקרה - גילוי הרצון האלוהי</w:instrText>
      </w:r>
      <w:r w:rsidR="00045F19">
        <w:instrText xml:space="preserve">" </w:instrText>
      </w:r>
      <w:r w:rsidR="00045F19">
        <w:rPr>
          <w:rtl/>
        </w:rPr>
        <w:fldChar w:fldCharType="end"/>
      </w:r>
      <w:r>
        <w:rPr>
          <w:rFonts w:hint="cs"/>
          <w:rtl/>
        </w:rPr>
        <w:t xml:space="preserve"> הוא מצד אחד חומר ומצד שני גילוי הרצון שמעל השכל, ואת שני הצדדים האדם יכול להשיג, אבל לא בכח השכל אלא בצירוף מה שמעל השכל ומה שתחתיו. עיין עוד בזה בשיעורים על מורה נבוכים </w:t>
      </w:r>
      <w:hyperlink r:id="rId70" w:history="1">
        <w:r w:rsidRPr="00BB39F3">
          <w:rPr>
            <w:rStyle w:val="Hyperlink"/>
            <w:rFonts w:hint="cs"/>
            <w:rtl/>
          </w:rPr>
          <w:t>שיעור 46 על חלק א' פרק ה'</w:t>
        </w:r>
      </w:hyperlink>
      <w:r w:rsidR="00114C76">
        <w:rPr>
          <w:rFonts w:hint="cs"/>
          <w:rtl/>
        </w:rPr>
        <w:t xml:space="preserve">, ושם </w:t>
      </w:r>
      <w:hyperlink r:id="rId71" w:history="1">
        <w:r w:rsidR="00114C76" w:rsidRPr="00114C76">
          <w:rPr>
            <w:rStyle w:val="Hyperlink"/>
            <w:rFonts w:hint="cs"/>
            <w:rtl/>
          </w:rPr>
          <w:t>שיעור 47</w:t>
        </w:r>
      </w:hyperlink>
      <w:r w:rsidR="00114C76">
        <w:rPr>
          <w:rFonts w:hint="cs"/>
          <w:rtl/>
        </w:rPr>
        <w:t>.</w:t>
      </w:r>
      <w:r>
        <w:rPr>
          <w:rFonts w:hint="cs"/>
          <w:rtl/>
        </w:rPr>
        <w:t xml:space="preserve"> </w:t>
      </w:r>
      <w:r w:rsidR="0071328C">
        <w:rPr>
          <w:rFonts w:hint="cs"/>
          <w:rtl/>
        </w:rPr>
        <w:t xml:space="preserve">ועיין גם בעיונים בפילוסופיה אריסטוטלית </w:t>
      </w:r>
      <w:hyperlink r:id="rId72" w:history="1">
        <w:r w:rsidR="0071328C" w:rsidRPr="0071328C">
          <w:rPr>
            <w:rStyle w:val="Hyperlink"/>
            <w:rFonts w:hint="cs"/>
            <w:rtl/>
          </w:rPr>
          <w:t>רשימה 55</w:t>
        </w:r>
      </w:hyperlink>
      <w:r w:rsidR="0071328C">
        <w:rPr>
          <w:rFonts w:hint="cs"/>
          <w:rtl/>
        </w:rPr>
        <w:t xml:space="preserve">. </w:t>
      </w:r>
    </w:p>
    <w:p w14:paraId="0F9D4C01" w14:textId="5FAAA87B" w:rsidR="00BB39F3" w:rsidRDefault="0071328C" w:rsidP="00D16720">
      <w:pPr>
        <w:pStyle w:val="FootnoteText"/>
        <w:rPr>
          <w:rtl/>
        </w:rPr>
      </w:pPr>
      <w:r>
        <w:rPr>
          <w:rFonts w:hint="cs"/>
          <w:rtl/>
        </w:rPr>
        <w:t xml:space="preserve">זה תוכן דבריו של אבן סינא כאן, </w:t>
      </w:r>
      <w:r w:rsidR="008C1974">
        <w:rPr>
          <w:rFonts w:hint="cs"/>
          <w:rtl/>
        </w:rPr>
        <w:t>שכשאנו עוסקים בפילוסופיה, דהיינו בעיון השכלי, איננו יכולים להבין את החיים של החומר, ואת תשוקתו של החומר אל הצורה, וזה נושא ששייך ללימוד על דרך הנבואה, שמאחד את עמל השגת השכל עם עמל ההשגה על ידי כח הדמיון ואיתו כוחות הגוף, וזה העיסוק של הסופיות</w:t>
      </w:r>
      <w:r w:rsidR="007728F4">
        <w:rPr>
          <w:rFonts w:hint="cs"/>
          <w:rtl/>
        </w:rPr>
        <w:t xml:space="preserve"> (יש זרמים רבים בסופיות ששונים מאוד זה מזה. המורה נבוכים ג' נ</w:t>
      </w:r>
      <w:r w:rsidR="00F055C8">
        <w:rPr>
          <w:rtl/>
        </w:rPr>
        <w:t>"</w:t>
      </w:r>
      <w:r w:rsidR="007728F4">
        <w:rPr>
          <w:rFonts w:hint="cs"/>
          <w:rtl/>
        </w:rPr>
        <w:t xml:space="preserve">א מדריך בראשי פרקים קצרים מאוד בעבודה הסופית, ושם הוא יוצא נגד אותם זרמים סופיים שלא עוסקים בחכמה ולא עושים ממנה את היסוד שהכל נשען עליו, וזה לשונו: </w:t>
      </w:r>
      <w:r w:rsidR="00F055C8">
        <w:rPr>
          <w:rtl/>
        </w:rPr>
        <w:t>"</w:t>
      </w:r>
      <w:r w:rsidR="007728F4" w:rsidRPr="007728F4">
        <w:rPr>
          <w:rtl/>
        </w:rPr>
        <w:t>אבל מי שיחשוב בה׳ וירבה לזכרו מבלי חכמה, אבל הוא נמשך אחר קצת דמיון לבד, או נמשך אחר אמונה שנמסרה לו מזולתו, הוא אצלי, עם היותו חוץ לבית ורחוק ממנו, בלתי זוכר השם באמת ולא חושב בו, כי הדבר ההוא אשר בדמיונו ואשר יזכור בפיו, אינו נאוה לנמצא כלל, אבל הוא דבר בדוי שבדהו דמיונו כמו שבארנו בדברנו על התארים. ואמנם ראוי להתחיל בזה המין מן העבודה אחר הציור השכלי; והיה כאשר תשיג השם ומעשיו כפי מה שישכלהו השכל, אחר כן תתחיל להמסר אליו, ותשתדל להתקרב לו</w:t>
      </w:r>
      <w:r w:rsidR="00F055C8">
        <w:rPr>
          <w:rtl/>
        </w:rPr>
        <w:t>"</w:t>
      </w:r>
      <w:r w:rsidR="007728F4">
        <w:rPr>
          <w:rFonts w:hint="cs"/>
          <w:rtl/>
        </w:rPr>
        <w:t>)</w:t>
      </w:r>
      <w:r w:rsidR="008C1974">
        <w:rPr>
          <w:rFonts w:hint="cs"/>
          <w:rtl/>
        </w:rPr>
        <w:t xml:space="preserve">. </w:t>
      </w:r>
    </w:p>
    <w:p w14:paraId="4A597BF1" w14:textId="7047CDA9" w:rsidR="008A1340" w:rsidRDefault="008A1340" w:rsidP="00D16720">
      <w:pPr>
        <w:pStyle w:val="FootnoteText"/>
        <w:rPr>
          <w:rtl/>
        </w:rPr>
      </w:pPr>
      <w:r>
        <w:rPr>
          <w:rFonts w:hint="cs"/>
          <w:rtl/>
        </w:rPr>
        <w:t xml:space="preserve">ועיין עוד בזה בטימיאוס מאת אפלטון עמ' 49 והלאה שכתב שהשכל לא יכול להשיג את החומר ושהשגת החומר היא על דרך </w:t>
      </w:r>
      <w:r w:rsidR="00FD590A">
        <w:rPr>
          <w:rFonts w:hint="cs"/>
          <w:rtl/>
        </w:rPr>
        <w:t>דומה ל</w:t>
      </w:r>
      <w:r>
        <w:rPr>
          <w:rFonts w:hint="cs"/>
          <w:rtl/>
        </w:rPr>
        <w:t xml:space="preserve">חלום. </w:t>
      </w:r>
    </w:p>
    <w:p w14:paraId="19264314" w14:textId="77777777" w:rsidR="00FD590A" w:rsidRDefault="00FD590A" w:rsidP="00D16720">
      <w:pPr>
        <w:pStyle w:val="FootnoteText"/>
        <w:rPr>
          <w:rtl/>
        </w:rPr>
      </w:pPr>
    </w:p>
    <w:p w14:paraId="3E10708F" w14:textId="71BEDEB3" w:rsidR="0018550B" w:rsidRDefault="00982314" w:rsidP="00D16720">
      <w:pPr>
        <w:pStyle w:val="FootnoteText"/>
        <w:rPr>
          <w:rtl/>
        </w:rPr>
      </w:pPr>
      <w:r>
        <w:rPr>
          <w:rFonts w:hint="cs"/>
          <w:rtl/>
        </w:rPr>
        <w:t>שינוי מזג ארבעת היסודות המקרי, נובע מהתשוקה שיש לחומר אל הצורה. ו</w:t>
      </w:r>
      <w:r w:rsidR="00D51237">
        <w:rPr>
          <w:rFonts w:hint="cs"/>
          <w:rtl/>
        </w:rPr>
        <w:t>עיין</w:t>
      </w:r>
      <w:r w:rsidR="00B960CC">
        <w:rPr>
          <w:rFonts w:hint="cs"/>
          <w:rtl/>
        </w:rPr>
        <w:t xml:space="preserve"> </w:t>
      </w:r>
      <w:r>
        <w:rPr>
          <w:rFonts w:hint="cs"/>
          <w:rtl/>
        </w:rPr>
        <w:t>במ</w:t>
      </w:r>
      <w:r w:rsidR="0018550B">
        <w:rPr>
          <w:rFonts w:hint="cs"/>
          <w:rtl/>
        </w:rPr>
        <w:t>א</w:t>
      </w:r>
      <w:r>
        <w:rPr>
          <w:rFonts w:hint="cs"/>
          <w:rtl/>
        </w:rPr>
        <w:t>מ</w:t>
      </w:r>
      <w:r w:rsidR="0018550B">
        <w:rPr>
          <w:rFonts w:hint="cs"/>
          <w:rtl/>
        </w:rPr>
        <w:t>ר</w:t>
      </w:r>
      <w:r>
        <w:rPr>
          <w:rFonts w:hint="cs"/>
          <w:rtl/>
        </w:rPr>
        <w:t xml:space="preserve"> על האהבה (החשק)</w:t>
      </w:r>
      <w:r>
        <w:rPr>
          <w:rFonts w:hint="cs"/>
        </w:rPr>
        <w:t xml:space="preserve"> </w:t>
      </w:r>
      <w:r w:rsidR="00D51237">
        <w:rPr>
          <w:rFonts w:hint="cs"/>
          <w:rtl/>
        </w:rPr>
        <w:t xml:space="preserve">מאת </w:t>
      </w:r>
      <w:r w:rsidR="00B960CC">
        <w:rPr>
          <w:rFonts w:hint="cs"/>
          <w:rtl/>
        </w:rPr>
        <w:t>אבן סינא</w:t>
      </w:r>
      <w:r w:rsidR="000C08DE">
        <w:rPr>
          <w:rFonts w:hint="cs"/>
          <w:rtl/>
        </w:rPr>
        <w:t>, פרק ב',</w:t>
      </w:r>
      <w:r w:rsidR="00B960CC">
        <w:rPr>
          <w:rFonts w:hint="cs"/>
          <w:rtl/>
        </w:rPr>
        <w:t xml:space="preserve"> שכתב בפירוש שהחומר משתוקק לצורה, היפך דבריו כאן</w:t>
      </w:r>
      <w:r w:rsidR="00454C72">
        <w:rPr>
          <w:rFonts w:hint="cs"/>
          <w:rtl/>
        </w:rPr>
        <w:t>, וזה לשונו</w:t>
      </w:r>
      <w:r w:rsidR="0018550B">
        <w:rPr>
          <w:rFonts w:hint="cs"/>
          <w:rtl/>
        </w:rPr>
        <w:t>:</w:t>
      </w:r>
    </w:p>
    <w:p w14:paraId="6CEB3C72" w14:textId="122A7D31" w:rsidR="007B6758" w:rsidRDefault="00F055C8" w:rsidP="007B6758">
      <w:pPr>
        <w:pStyle w:val="FootnoteText"/>
        <w:rPr>
          <w:rtl/>
        </w:rPr>
      </w:pPr>
      <w:r>
        <w:rPr>
          <w:rtl/>
        </w:rPr>
        <w:t>"</w:t>
      </w:r>
      <w:r w:rsidR="007B6758">
        <w:rPr>
          <w:rtl/>
        </w:rPr>
        <w:t xml:space="preserve">אם זה ברור, אז נמשיך לומר זאת: כל אחד מהישים הדוממים הפשוטים יש בו חשק מתחילת הווייתו, שאינו פוסק ממנו לעולם, והחשק הזה הוא סיבת הוייתו . </w:t>
      </w:r>
    </w:p>
    <w:p w14:paraId="2918FDC3" w14:textId="5291F7D7" w:rsidR="00982314" w:rsidRPr="00A84B74" w:rsidRDefault="007B6758" w:rsidP="007B6758">
      <w:pPr>
        <w:pStyle w:val="FootnoteText"/>
        <w:rPr>
          <w:rtl/>
        </w:rPr>
      </w:pPr>
      <w:r>
        <w:rPr>
          <w:rtl/>
        </w:rPr>
        <w:t>אשר לחומר, הוא לא קיים במציאות כאשר הוא רק תשוקה לצורה , וכשהוא קיים הוא קיים מכח שהוא משתוקק לצורה. מסיבה זו תמצא שכשהחומר משולל צורה הוא ימהר לקבל צורה אחרת במקומה, הוא תמיד נשמר מלהיות לא-נמצא באופן גמור. כי זה חוק בל-יעבור שכל הישים בטבעם נפחדים  מחוסר מציאות מוחלט. אבל חומר הוא המקום של ההעדר. כך, בכל עת שצורה אינה באופן מהותי מתעצמת בו, החומר יהיה שווה להעדר יחסי , ואם חומר לא יהיה קשור לצורה כלל, אז יהיה העדר מוחלט . אין כאן צורך באגן כדי לגלות שאלה מים. חומר הוא כמו אשה נחותה ואשמה שמנסה למנוע מהכיעור שלה להתגלות, ובכל עת שהצעיף שלה נחשף היא מכסה על חסרונותיה בשרוולה . נקבע אם כן שהחומר יש בו חשק מיסוד הווייתו.</w:t>
      </w:r>
      <w:r w:rsidR="00F055C8">
        <w:rPr>
          <w:rtl/>
        </w:rPr>
        <w:t>"</w:t>
      </w:r>
      <w:r w:rsidR="00982314">
        <w:rPr>
          <w:rFonts w:hint="cs"/>
          <w:rtl/>
        </w:rPr>
        <w:t xml:space="preserve"> </w:t>
      </w:r>
    </w:p>
  </w:footnote>
  <w:footnote w:id="283">
    <w:p w14:paraId="7A62E2C9" w14:textId="2487CCC1" w:rsidR="009E1DE4" w:rsidRDefault="009E1DE4">
      <w:pPr>
        <w:pStyle w:val="FootnoteText"/>
      </w:pPr>
      <w:r>
        <w:rPr>
          <w:rStyle w:val="FootnoteReference"/>
        </w:rPr>
        <w:footnoteRef/>
      </w:r>
      <w:r>
        <w:rPr>
          <w:rtl/>
        </w:rPr>
        <w:t xml:space="preserve"> </w:t>
      </w:r>
      <w:r>
        <w:rPr>
          <w:rFonts w:hint="cs"/>
          <w:rtl/>
        </w:rPr>
        <w:t>במקור:</w:t>
      </w:r>
      <w:r>
        <w:rPr>
          <w:rFonts w:hint="cs"/>
        </w:rPr>
        <w:t xml:space="preserve"> </w:t>
      </w:r>
      <w:r w:rsidRPr="009E1DE4">
        <w:rPr>
          <w:rFonts w:cs="Times New Roman" w:hint="eastAsia"/>
          <w:rtl/>
          <w:lang w:bidi="ar-SA"/>
        </w:rPr>
        <w:t>مشتركة</w:t>
      </w:r>
    </w:p>
  </w:footnote>
  <w:footnote w:id="284">
    <w:p w14:paraId="5DB73D9D" w14:textId="53455BCB" w:rsidR="00F654CB" w:rsidRDefault="00F654CB">
      <w:pPr>
        <w:pStyle w:val="FootnoteText"/>
      </w:pPr>
      <w:r>
        <w:rPr>
          <w:rStyle w:val="FootnoteReference"/>
        </w:rPr>
        <w:footnoteRef/>
      </w:r>
      <w:r>
        <w:rPr>
          <w:rtl/>
        </w:rPr>
        <w:t xml:space="preserve"> </w:t>
      </w:r>
      <w:r>
        <w:rPr>
          <w:rFonts w:hint="cs"/>
          <w:rtl/>
        </w:rPr>
        <w:t>שלושת ההתחלות הן הצורה ההעדר והחומר, כמו שכתב אריסטו במטאפיזיקה למבדא סוף פרק ב' ועיין שם ביאור עניין זה</w:t>
      </w:r>
      <w:r w:rsidR="0087570D">
        <w:rPr>
          <w:rFonts w:hint="cs"/>
          <w:rtl/>
        </w:rPr>
        <w:t>, והתבאר כאן לעיל בפרק ב'</w:t>
      </w:r>
      <w:r>
        <w:rPr>
          <w:rFonts w:hint="cs"/>
          <w:rtl/>
        </w:rPr>
        <w:t>.</w:t>
      </w:r>
    </w:p>
  </w:footnote>
  <w:footnote w:id="285">
    <w:p w14:paraId="56C6B35A" w14:textId="2EC48EE1" w:rsidR="00536703" w:rsidRDefault="00536703">
      <w:pPr>
        <w:pStyle w:val="FootnoteText"/>
        <w:rPr>
          <w:rtl/>
        </w:rPr>
      </w:pPr>
      <w:r>
        <w:rPr>
          <w:rStyle w:val="FootnoteReference"/>
        </w:rPr>
        <w:footnoteRef/>
      </w:r>
      <w:r>
        <w:rPr>
          <w:rtl/>
        </w:rPr>
        <w:t xml:space="preserve"> </w:t>
      </w:r>
      <w:r>
        <w:rPr>
          <w:rFonts w:hint="cs"/>
          <w:rtl/>
        </w:rPr>
        <w:t xml:space="preserve">1.2.8 עד 1.2.11. </w:t>
      </w:r>
      <w:r w:rsidR="00E04444">
        <w:rPr>
          <w:rFonts w:hint="cs"/>
          <w:rtl/>
        </w:rPr>
        <w:t>ועיין מה שכתבתי שם בהערות.</w:t>
      </w:r>
    </w:p>
    <w:p w14:paraId="40874F1B" w14:textId="13195E5F" w:rsidR="00536703" w:rsidRDefault="00536703">
      <w:pPr>
        <w:pStyle w:val="FootnoteText"/>
        <w:rPr>
          <w:rtl/>
        </w:rPr>
      </w:pPr>
      <w:r>
        <w:rPr>
          <w:rFonts w:hint="cs"/>
          <w:rtl/>
        </w:rPr>
        <w:t>הדרך הראשונה</w:t>
      </w:r>
      <w:r w:rsidR="003473ED">
        <w:rPr>
          <w:rtl/>
        </w:rPr>
        <w:fldChar w:fldCharType="begin"/>
      </w:r>
      <w:r w:rsidR="003473ED">
        <w:instrText xml:space="preserve"> XE "</w:instrText>
      </w:r>
      <w:r w:rsidR="003473ED" w:rsidRPr="003154E2">
        <w:rPr>
          <w:rFonts w:hint="cs"/>
          <w:rtl/>
        </w:rPr>
        <w:instrText>מורה נבוכים א' ע</w:instrText>
      </w:r>
      <w:r w:rsidR="003473ED">
        <w:rPr>
          <w:b/>
          <w:bCs/>
          <w:sz w:val="20"/>
          <w:szCs w:val="20"/>
        </w:rPr>
        <w:instrText>\</w:instrText>
      </w:r>
      <w:r w:rsidR="003473ED" w:rsidRPr="003154E2">
        <w:rPr>
          <w:rFonts w:hint="cs"/>
          <w:rtl/>
        </w:rPr>
        <w:instrText xml:space="preserve">"ב - </w:instrText>
      </w:r>
      <w:r w:rsidR="003473ED" w:rsidRPr="003154E2">
        <w:rPr>
          <w:rtl/>
        </w:rPr>
        <w:instrText>המציאות היא חי אחד</w:instrText>
      </w:r>
      <w:r w:rsidR="003473ED">
        <w:instrText xml:space="preserve">" </w:instrText>
      </w:r>
      <w:r w:rsidR="003473ED">
        <w:rPr>
          <w:rtl/>
        </w:rPr>
        <w:fldChar w:fldCharType="end"/>
      </w:r>
      <w:r>
        <w:rPr>
          <w:rFonts w:hint="cs"/>
          <w:rtl/>
        </w:rPr>
        <w:t xml:space="preserve"> היא שיש במציאות דבר</w:t>
      </w:r>
      <w:r w:rsidR="003473ED">
        <w:rPr>
          <w:rtl/>
        </w:rPr>
        <w:fldChar w:fldCharType="begin"/>
      </w:r>
      <w:r w:rsidR="003473ED">
        <w:instrText xml:space="preserve"> XE "</w:instrText>
      </w:r>
      <w:r w:rsidR="003473ED" w:rsidRPr="00692F2F">
        <w:rPr>
          <w:rFonts w:hint="cs"/>
          <w:rtl/>
        </w:rPr>
        <w:instrText>אפלטון - המציאות היא חי אחד</w:instrText>
      </w:r>
      <w:r w:rsidR="003473ED">
        <w:instrText xml:space="preserve">" </w:instrText>
      </w:r>
      <w:r w:rsidR="003473ED">
        <w:rPr>
          <w:rtl/>
        </w:rPr>
        <w:fldChar w:fldCharType="end"/>
      </w:r>
      <w:r>
        <w:rPr>
          <w:rFonts w:hint="cs"/>
          <w:rtl/>
        </w:rPr>
        <w:t xml:space="preserve"> שהוא אחד, ורק הוא קיים, וכל שאר המציאות הקיום שלה</w:t>
      </w:r>
      <w:r w:rsidR="00FD3985">
        <w:rPr>
          <w:rFonts w:hint="cs"/>
          <w:rtl/>
        </w:rPr>
        <w:t xml:space="preserve"> לא קיים באותו מובן כמו אותו אחד,</w:t>
      </w:r>
      <w:r>
        <w:rPr>
          <w:rFonts w:hint="cs"/>
          <w:rtl/>
        </w:rPr>
        <w:t xml:space="preserve"> </w:t>
      </w:r>
      <w:r w:rsidR="00FD3985">
        <w:rPr>
          <w:rFonts w:hint="cs"/>
          <w:rtl/>
        </w:rPr>
        <w:t xml:space="preserve">אלא בקיום </w:t>
      </w:r>
      <w:r>
        <w:rPr>
          <w:rFonts w:hint="cs"/>
          <w:rtl/>
        </w:rPr>
        <w:t>מ</w:t>
      </w:r>
      <w:r w:rsidR="00FD3985">
        <w:rPr>
          <w:rFonts w:hint="cs"/>
          <w:rtl/>
        </w:rPr>
        <w:t>י</w:t>
      </w:r>
      <w:r>
        <w:rPr>
          <w:rFonts w:hint="cs"/>
          <w:rtl/>
        </w:rPr>
        <w:t>שני אליו ונסמך עליו</w:t>
      </w:r>
      <w:r w:rsidR="00FD3985">
        <w:rPr>
          <w:rFonts w:hint="cs"/>
          <w:rtl/>
        </w:rPr>
        <w:t xml:space="preserve"> (עיין לשון הרמב</w:t>
      </w:r>
      <w:r w:rsidR="00F055C8">
        <w:rPr>
          <w:rtl/>
        </w:rPr>
        <w:t>"</w:t>
      </w:r>
      <w:r w:rsidR="00FD3985">
        <w:rPr>
          <w:rFonts w:hint="cs"/>
          <w:rtl/>
        </w:rPr>
        <w:t>ם בהלכות יסודי התורה ב' סוף הלכה י')</w:t>
      </w:r>
      <w:r>
        <w:rPr>
          <w:rFonts w:hint="cs"/>
          <w:rtl/>
        </w:rPr>
        <w:t xml:space="preserve">, </w:t>
      </w:r>
      <w:r w:rsidR="00FD3985">
        <w:rPr>
          <w:rFonts w:hint="cs"/>
          <w:rtl/>
        </w:rPr>
        <w:t xml:space="preserve">כל המציאות על הריבוי שבה כלולה באותו נברא </w:t>
      </w:r>
      <w:r>
        <w:rPr>
          <w:rFonts w:hint="cs"/>
          <w:rtl/>
        </w:rPr>
        <w:t>כמו שאיברים נכללים בגוף</w:t>
      </w:r>
      <w:r w:rsidR="0062787B">
        <w:rPr>
          <w:rFonts w:hint="cs"/>
          <w:rtl/>
        </w:rPr>
        <w:t>, או משל אחר, כמו שכל הפסלים שאפר לגלף מגוש השיש האחד כלולים בו (כל הפסלים כבר קיימים בו בכח, כי אי אפשר לגלף פסל אלא רק מאותו גוש שיש ורק לפי האפשרויות שמונחות בו. למשל אי אפשר לגלף ממנו פסל עץ או פסל גדול ממידותיו וכיו</w:t>
      </w:r>
      <w:r w:rsidR="00F055C8">
        <w:rPr>
          <w:rtl/>
        </w:rPr>
        <w:t>"</w:t>
      </w:r>
      <w:r w:rsidR="0062787B">
        <w:rPr>
          <w:rFonts w:hint="cs"/>
          <w:rtl/>
        </w:rPr>
        <w:t>ב</w:t>
      </w:r>
      <w:r>
        <w:rPr>
          <w:rFonts w:hint="cs"/>
          <w:rtl/>
        </w:rPr>
        <w:t>.</w:t>
      </w:r>
      <w:r w:rsidR="0062787B">
        <w:rPr>
          <w:rFonts w:hint="cs"/>
          <w:rtl/>
        </w:rPr>
        <w:t xml:space="preserve"> וכל מה שיגולף מהגוש הוא רק הסרת המיותר שסביבו ולא שינוי בפסל עצמו, הכוונה שזו רק הוצאה לפועל של הגבולות שלו, כלומר של האפשרות לפסל כזה שהיה מונחת כבר בתוך גוש השיש. ההתחלות המשותפות הן ההתחלות של אותו אחד לבדו, רק כיוון שכל השאר, כל הריבוי, כלול בו, ממילא ההתחלות הן גם של כל מה שכלול באותו אחד ראשון. אותו אחד ראשון הוא העיגול של הצמצום שכתב באר</w:t>
      </w:r>
      <w:r w:rsidR="00F055C8">
        <w:rPr>
          <w:rtl/>
        </w:rPr>
        <w:t>"</w:t>
      </w:r>
      <w:r w:rsidR="0062787B">
        <w:rPr>
          <w:rFonts w:hint="cs"/>
          <w:rtl/>
        </w:rPr>
        <w:t>י בספר עץ חיים שער א' ענף ב', ונקרא בחכמת הקבלה ספירת חכמה, ונקרא הגלגל הקיצון ונקרא החומר ההיולי</w:t>
      </w:r>
      <w:r w:rsidR="0062787B">
        <w:rPr>
          <w:rtl/>
        </w:rPr>
        <w:fldChar w:fldCharType="begin"/>
      </w:r>
      <w:r w:rsidR="0062787B">
        <w:instrText xml:space="preserve"> XE "</w:instrText>
      </w:r>
      <w:r w:rsidR="0062787B" w:rsidRPr="0085099E">
        <w:rPr>
          <w:rFonts w:hint="cs"/>
          <w:rtl/>
        </w:rPr>
        <w:instrText>ההיולי</w:instrText>
      </w:r>
      <w:r w:rsidR="0062787B">
        <w:instrText xml:space="preserve">" </w:instrText>
      </w:r>
      <w:r w:rsidR="0062787B">
        <w:rPr>
          <w:rtl/>
        </w:rPr>
        <w:fldChar w:fldCharType="end"/>
      </w:r>
      <w:r w:rsidR="0062787B">
        <w:rPr>
          <w:rFonts w:hint="cs"/>
          <w:rtl/>
        </w:rPr>
        <w:t xml:space="preserve"> כמו שכתב הרמב</w:t>
      </w:r>
      <w:r w:rsidR="00F055C8">
        <w:rPr>
          <w:rtl/>
        </w:rPr>
        <w:t>"</w:t>
      </w:r>
      <w:r w:rsidR="0062787B">
        <w:rPr>
          <w:rFonts w:hint="cs"/>
          <w:rtl/>
        </w:rPr>
        <w:t>ן על בראשית א' א'</w:t>
      </w:r>
      <w:r w:rsidR="0062787B">
        <w:rPr>
          <w:rtl/>
        </w:rPr>
        <w:fldChar w:fldCharType="begin"/>
      </w:r>
      <w:r w:rsidR="0062787B">
        <w:instrText xml:space="preserve"> XE "</w:instrText>
      </w:r>
      <w:r w:rsidR="0062787B" w:rsidRPr="008A4756">
        <w:rPr>
          <w:rFonts w:hint="cs"/>
          <w:rtl/>
        </w:rPr>
        <w:instrText>הרמב</w:instrText>
      </w:r>
      <w:r w:rsidR="0062787B">
        <w:rPr>
          <w:b/>
          <w:bCs/>
          <w:sz w:val="20"/>
          <w:szCs w:val="20"/>
        </w:rPr>
        <w:instrText>\</w:instrText>
      </w:r>
      <w:r w:rsidR="0062787B" w:rsidRPr="008A4756">
        <w:rPr>
          <w:rFonts w:hint="cs"/>
          <w:rtl/>
        </w:rPr>
        <w:instrText>"ן על בראשית א' א'</w:instrText>
      </w:r>
      <w:r w:rsidR="0062787B">
        <w:instrText xml:space="preserve">" </w:instrText>
      </w:r>
      <w:r w:rsidR="0062787B">
        <w:rPr>
          <w:rtl/>
        </w:rPr>
        <w:fldChar w:fldCharType="end"/>
      </w:r>
      <w:r w:rsidR="0062787B">
        <w:rPr>
          <w:rFonts w:hint="cs"/>
          <w:rtl/>
        </w:rPr>
        <w:t xml:space="preserve">. </w:t>
      </w:r>
    </w:p>
    <w:p w14:paraId="3947EBFD" w14:textId="77777777" w:rsidR="00B806AF" w:rsidRDefault="00B806AF">
      <w:pPr>
        <w:pStyle w:val="FootnoteText"/>
        <w:rPr>
          <w:rtl/>
        </w:rPr>
      </w:pPr>
    </w:p>
    <w:p w14:paraId="2798B93D" w14:textId="77FB90F5" w:rsidR="006E7C38" w:rsidRDefault="00590C48">
      <w:pPr>
        <w:pStyle w:val="FootnoteText"/>
        <w:rPr>
          <w:rtl/>
        </w:rPr>
      </w:pPr>
      <w:r>
        <w:rPr>
          <w:rFonts w:hint="cs"/>
          <w:rtl/>
        </w:rPr>
        <w:t xml:space="preserve">אעתיק כאן את לשון אפלטון </w:t>
      </w:r>
      <w:r>
        <w:rPr>
          <w:rFonts w:hint="cs"/>
          <w:rtl/>
        </w:rPr>
        <w:t>בטימיאוס</w:t>
      </w:r>
      <w:r w:rsidR="00C67A30">
        <w:rPr>
          <w:rtl/>
        </w:rPr>
        <w:fldChar w:fldCharType="begin"/>
      </w:r>
      <w:r w:rsidR="00C67A30">
        <w:instrText xml:space="preserve"> XE "</w:instrText>
      </w:r>
      <w:r w:rsidR="00C67A30" w:rsidRPr="00B770BD">
        <w:rPr>
          <w:rFonts w:hint="cs"/>
          <w:rtl/>
        </w:rPr>
        <w:instrText>טימיאוס - המציאות היא חי אחד</w:instrText>
      </w:r>
      <w:r w:rsidR="00C67A30">
        <w:instrText xml:space="preserve">" </w:instrText>
      </w:r>
      <w:r w:rsidR="00C67A30">
        <w:rPr>
          <w:rtl/>
        </w:rPr>
        <w:fldChar w:fldCharType="end"/>
      </w:r>
      <w:r>
        <w:rPr>
          <w:rFonts w:hint="cs"/>
          <w:rtl/>
        </w:rPr>
        <w:t xml:space="preserve"> בעניין זה, בעמ' 30:</w:t>
      </w:r>
    </w:p>
    <w:p w14:paraId="3BC8BDDD" w14:textId="41AE847A" w:rsidR="00D955BD" w:rsidRDefault="00D955BD" w:rsidP="00171D41">
      <w:pPr>
        <w:pStyle w:val="FootnoteText"/>
        <w:rPr>
          <w:rtl/>
        </w:rPr>
      </w:pPr>
      <w:r>
        <w:rPr>
          <w:rtl/>
        </w:rPr>
        <w:t xml:space="preserve">טימיאוס: נאמר-נא, אפוא, מאיזו סיבה התקין המתקין את ההתהווּת והכול הלזה. הוא היה טוב, והטוב </w:t>
      </w:r>
      <w:r w:rsidR="00662134">
        <w:rPr>
          <w:rFonts w:hint="cs"/>
          <w:rtl/>
        </w:rPr>
        <w:t>-</w:t>
      </w:r>
      <w:r>
        <w:rPr>
          <w:rtl/>
        </w:rPr>
        <w:t xml:space="preserve"> לעולם לא תיצר עינו בכל דבר שהוא. וכיון שלא היתה בו צרות עין, רצה שכל הדברים ייעשו במידת האפשר דומים לו עצמו; ובוודאי נצדק, אם נקבל דעתם של אנשים נבונים, שזאת היא הסיבה המכרעת שגרמה להתהווּת ולסדרי העולם. כיון שרצה, אפוא, האל, שהכל יהא טוב, ובמידת האפשר בל יהא שום דבר גרוע, קיבל לידו כל מה שהיה בנראה, ושלא היה שרוי במנוחה, אלא נע בתוהו ובערבוביה: הוא הוציא מערבוביה זו והתקין בו סדר, מהי</w:t>
      </w:r>
      <w:r w:rsidR="00171D41">
        <w:rPr>
          <w:rFonts w:hint="cs"/>
          <w:rtl/>
        </w:rPr>
        <w:t>ות</w:t>
      </w:r>
      <w:r>
        <w:rPr>
          <w:rtl/>
        </w:rPr>
        <w:t>ו סבור שמכל וכל טוב מתוהו הסדר</w:t>
      </w:r>
      <w:r w:rsidR="00171D41">
        <w:rPr>
          <w:rFonts w:hint="cs"/>
          <w:rtl/>
        </w:rPr>
        <w:t xml:space="preserve"> [זו התהוות הבוהו, צורת התלת ממדיות, הכמות, מהתוהו]</w:t>
      </w:r>
      <w:r>
        <w:rPr>
          <w:rtl/>
        </w:rPr>
        <w:t xml:space="preserve">. </w:t>
      </w:r>
    </w:p>
    <w:p w14:paraId="1F288E3F" w14:textId="19E849DA" w:rsidR="00D955BD" w:rsidRDefault="00D955BD" w:rsidP="00D955BD">
      <w:pPr>
        <w:pStyle w:val="FootnoteText"/>
        <w:rPr>
          <w:rtl/>
        </w:rPr>
      </w:pPr>
      <w:r>
        <w:rPr>
          <w:rtl/>
        </w:rPr>
        <w:t xml:space="preserve">ובהיותו טוב מכל, לא היה דינו, וגם עכשיו אין דינו, לעשות דבר שלא יהא נאה ביותר. על כן חשב ומצא, שבין כל מה שמטבעו נראה לעין, שום </w:t>
      </w:r>
      <w:r w:rsidR="00171D41" w:rsidRPr="00171D41">
        <w:rPr>
          <w:rtl/>
        </w:rPr>
        <w:t>פֹּעַל</w:t>
      </w:r>
      <w:r>
        <w:rPr>
          <w:rtl/>
        </w:rPr>
        <w:t xml:space="preserve"> חסר שכל לעולם לא יהא נאה מהמשכיל, אם תשווה את השניים בשלמותם; ושכל אי אפשר שיימצא במה שאין לו נשמה. מתוך שיקול זה הכניס, אפוא, שכל לתוך נשמה, ונשמה לתוך גוף, וכך התקין את הכול, למען יהא פעלו מטבע ברייתו נאה וטוב ככל האפשר. ועלינו לומר, אפוא, שעל פי ההסבר המתקבל על הדעת, נעשה העולם בדרך זו, בהשגחת האל, לחי בעל נשמה, ולפי האמת </w:t>
      </w:r>
      <w:r w:rsidR="00AE7188">
        <w:rPr>
          <w:rFonts w:hint="cs"/>
          <w:rtl/>
        </w:rPr>
        <w:t>-</w:t>
      </w:r>
      <w:r>
        <w:rPr>
          <w:rtl/>
        </w:rPr>
        <w:t xml:space="preserve"> משכיל.</w:t>
      </w:r>
    </w:p>
    <w:p w14:paraId="170298B6" w14:textId="5DBF0CBB" w:rsidR="00D955BD" w:rsidRPr="00CF61EC" w:rsidRDefault="00D955BD" w:rsidP="00AE7188">
      <w:pPr>
        <w:pStyle w:val="FootnoteText"/>
        <w:rPr>
          <w:rtl/>
        </w:rPr>
      </w:pPr>
      <w:r>
        <w:rPr>
          <w:rtl/>
        </w:rPr>
        <w:t>ולאחר שזה מובטח לנו, עלינו להשיב על השאלה שלפי סדר הדברים נשאלת לאחר מכן: מה היה אותו בעל חי שכדוגמתו הותקן העולם בידי מתקינו</w:t>
      </w:r>
      <w:r w:rsidR="00AE7188">
        <w:rPr>
          <w:rFonts w:hint="cs"/>
          <w:rtl/>
        </w:rPr>
        <w:t>?</w:t>
      </w:r>
      <w:r>
        <w:rPr>
          <w:rtl/>
        </w:rPr>
        <w:t xml:space="preserve"> אל-נא נעלה על הדעת שאינו אלא מין בין שאר מינים; שדיוקנו של מה שאיננו מושלם לעולם לא יהא נאה, לא כי, </w:t>
      </w:r>
      <w:r w:rsidRPr="00AE7188">
        <w:rPr>
          <w:b/>
          <w:bCs/>
          <w:rtl/>
        </w:rPr>
        <w:t>נגיד שהעולם הוא מעל לכל דומה לאותו חי, שכל שאר החיים, לפרטיהם ולמשפחותיהם, הריהם חלקיו. שהלה מקיף וכולל בתוך עצמו את כל בעלי החי המושכלים, כשם שעולמנו זה כולל אותנו ואת שאר הייצורים שנבראו בנראה. שכיון שרצה האל לעשותו דומה ביותר לאותו מושכל שהוא יפה ומושלם מכל הבחינות, יצר</w:t>
      </w:r>
      <w:r w:rsidR="00AE7188">
        <w:rPr>
          <w:rFonts w:hint="cs"/>
          <w:b/>
          <w:bCs/>
          <w:rtl/>
        </w:rPr>
        <w:t>ו</w:t>
      </w:r>
      <w:r w:rsidRPr="00AE7188">
        <w:rPr>
          <w:b/>
          <w:bCs/>
          <w:rtl/>
        </w:rPr>
        <w:t xml:space="preserve"> בצורת חי אחד ויחיד</w:t>
      </w:r>
      <w:r w:rsidR="00AE7188">
        <w:rPr>
          <w:rFonts w:hint="cs"/>
          <w:b/>
          <w:bCs/>
          <w:rtl/>
        </w:rPr>
        <w:t xml:space="preserve"> </w:t>
      </w:r>
      <w:r w:rsidRPr="00AE7188">
        <w:rPr>
          <w:b/>
          <w:bCs/>
          <w:rtl/>
        </w:rPr>
        <w:t>נראה לעין, הכולל בתוכו את כל בעלי החי, בני מינו של הלה.</w:t>
      </w:r>
      <w:r w:rsidR="00F055C8">
        <w:rPr>
          <w:rtl/>
        </w:rPr>
        <w:t>"</w:t>
      </w:r>
      <w:r w:rsidR="003B5067" w:rsidRPr="00CF61EC">
        <w:rPr>
          <w:rFonts w:hint="cs"/>
          <w:rtl/>
        </w:rPr>
        <w:t xml:space="preserve"> (ועיין מורה נבוכים א' ע</w:t>
      </w:r>
      <w:r w:rsidR="00F055C8">
        <w:rPr>
          <w:rtl/>
        </w:rPr>
        <w:t>"</w:t>
      </w:r>
      <w:r w:rsidR="003B5067" w:rsidRPr="00CF61EC">
        <w:rPr>
          <w:rFonts w:hint="cs"/>
          <w:rtl/>
        </w:rPr>
        <w:t xml:space="preserve">ב שהביא תמצית דברי אפלטון אלה.) </w:t>
      </w:r>
    </w:p>
    <w:p w14:paraId="4F1C2F98" w14:textId="76503EFB" w:rsidR="005B3C54" w:rsidRPr="00CF61EC" w:rsidRDefault="003B5067" w:rsidP="00AE7188">
      <w:pPr>
        <w:pStyle w:val="FootnoteText"/>
        <w:rPr>
          <w:rtl/>
        </w:rPr>
      </w:pPr>
      <w:r w:rsidRPr="00CF61EC">
        <w:rPr>
          <w:rFonts w:hint="cs"/>
          <w:rtl/>
        </w:rPr>
        <w:t xml:space="preserve">כאמור, זו הדרך הראשונה שבה ההתחלות משותפות, כיוון שהן שייכות לאותו </w:t>
      </w:r>
      <w:r w:rsidR="00F055C8">
        <w:rPr>
          <w:rtl/>
        </w:rPr>
        <w:t>"</w:t>
      </w:r>
      <w:r w:rsidRPr="00CF61EC">
        <w:rPr>
          <w:rFonts w:hint="cs"/>
          <w:rtl/>
        </w:rPr>
        <w:t>חי אחד</w:t>
      </w:r>
      <w:r w:rsidR="00F055C8">
        <w:rPr>
          <w:rtl/>
        </w:rPr>
        <w:t>"</w:t>
      </w:r>
      <w:r w:rsidRPr="00CF61EC">
        <w:rPr>
          <w:rFonts w:hint="cs"/>
          <w:rtl/>
        </w:rPr>
        <w:t xml:space="preserve"> שהכל כלולים בו. </w:t>
      </w:r>
    </w:p>
    <w:p w14:paraId="66D266FA" w14:textId="7F4A9EA1" w:rsidR="00536703" w:rsidRPr="00CF61EC" w:rsidRDefault="00B22746" w:rsidP="00CF61EC">
      <w:pPr>
        <w:pStyle w:val="FootnoteText"/>
      </w:pPr>
      <w:r w:rsidRPr="00CF61EC">
        <w:rPr>
          <w:rFonts w:hint="cs"/>
          <w:rtl/>
        </w:rPr>
        <w:t xml:space="preserve">הדרך הראשונה היא ההסתכלות מצד המטאפיזיקה, שרואה את אותו אחד חי, לפני שהיא רואה את הנבראים הפרטיים שכלולים בו. הדרך שנייה היא ההסתכלות מצד חכמת הטבע, שם ההסתכלות היא קודם על הנבראים הפרטיים. בכל נברא פרטי יש את ההתחלות בקיום הנפרד שלו. המעמיק להתבונן רואה שאותן התחלות שבעצם הפרטי דומות להתחלות שיש בעצם פרטי אחר, והן לא במקרים או במאפיינים של העצם, אלא הן בשורש </w:t>
      </w:r>
      <w:r w:rsidR="009C463A" w:rsidRPr="00CF61EC">
        <w:rPr>
          <w:rFonts w:hint="cs"/>
          <w:rtl/>
        </w:rPr>
        <w:t>ההוויה</w:t>
      </w:r>
      <w:r w:rsidRPr="00CF61EC">
        <w:rPr>
          <w:rFonts w:hint="cs"/>
          <w:rtl/>
        </w:rPr>
        <w:t xml:space="preserve"> שלו. מחקירה בזה מגיעה התפישה שהעצמים הפרטיים הם כמו מין של אותה התחלה שבכלליות שלה היא הסוג. למשל יש בעלי חיים שונים, מה שהסוס חי ומה שהשור חי, לכל אחד החיים הם חיים שלו, פרטיים לו. אבל ההתבוננות נותנת שמה שהם חיים זה בשורש </w:t>
      </w:r>
      <w:r w:rsidR="009C463A" w:rsidRPr="00CF61EC">
        <w:rPr>
          <w:rFonts w:hint="cs"/>
          <w:rtl/>
        </w:rPr>
        <w:t>ההוויה</w:t>
      </w:r>
      <w:r w:rsidRPr="00CF61EC">
        <w:rPr>
          <w:rFonts w:hint="cs"/>
          <w:rtl/>
        </w:rPr>
        <w:t xml:space="preserve"> שלהם, ויש משהו בחיים הפרטיים שנגלים בסוס, שהוא מצד מהותו לא שונה מהחיים שנגלים בשור. לכן הסוס והשור שניהם הם מינים של אותו סוג אחד שהוא 'חי'. לפי המבט הזה אין מציאות גמורה עצמאית ל'חי' כנמצא אחד שקיים בפני עצמו. אלא מציאותו היא משנית ונשענת על המציאות של הפרטים. המציאות של 'חי' כנמצא אחד כללי שורה בתוך העצמים הנפרדים והיא מתגלה דרכם ולא כנמצא עצמאי</w:t>
      </w:r>
      <w:r w:rsidR="00A0433B" w:rsidRPr="00CF61EC">
        <w:rPr>
          <w:rFonts w:hint="cs"/>
          <w:rtl/>
        </w:rPr>
        <w:t xml:space="preserve"> שמתגלה כמציאות גמורה ראשונית</w:t>
      </w:r>
      <w:r w:rsidRPr="00CF61EC">
        <w:rPr>
          <w:rFonts w:hint="cs"/>
          <w:rtl/>
        </w:rPr>
        <w:t>. את זה כתב אריסטו בקטגוריות פרק ה</w:t>
      </w:r>
      <w:r w:rsidR="00A0433B" w:rsidRPr="00CF61EC">
        <w:rPr>
          <w:rFonts w:hint="cs"/>
          <w:rtl/>
        </w:rPr>
        <w:t>'</w:t>
      </w:r>
      <w:r w:rsidRPr="00CF61EC">
        <w:rPr>
          <w:rFonts w:hint="cs"/>
          <w:rtl/>
        </w:rPr>
        <w:t xml:space="preserve"> עיין שם. </w:t>
      </w:r>
      <w:r w:rsidR="00A0433B" w:rsidRPr="00CF61EC">
        <w:rPr>
          <w:rFonts w:hint="cs"/>
          <w:rtl/>
        </w:rPr>
        <w:t xml:space="preserve">לפי דרך זו ההתחלות אין להם מציאות נפרדת כמשהו שקיים כאחד כולל, אבל אחדותן משתקפת כמו מאספקלריא באמצעות המציאות הפרטית של העצמים המרובים, כמו שהמציאות של ה'חיים' כדבר כללי משתקפת באמצעות בעלי החיים הנפרדים ובשכל שמעורב בו כח הדמיון החומר איננו רואים דבר אחד הווה לפנינו שהוא 'החיים' הכלליים (אבל בשכל עיוני מופשט כן רואים, וזה המבט המטאפיזי).  </w:t>
      </w:r>
      <w:r w:rsidRPr="00CF61EC">
        <w:rPr>
          <w:rFonts w:hint="cs"/>
          <w:rtl/>
        </w:rPr>
        <w:t xml:space="preserve"> </w:t>
      </w:r>
      <w:r w:rsidR="00536703" w:rsidRPr="00CF61EC">
        <w:rPr>
          <w:rFonts w:hint="cs"/>
          <w:rtl/>
        </w:rPr>
        <w:t xml:space="preserve"> </w:t>
      </w:r>
    </w:p>
  </w:footnote>
  <w:footnote w:id="286">
    <w:p w14:paraId="7F071FD0" w14:textId="5C7AD72E" w:rsidR="0004694E" w:rsidRPr="0004694E" w:rsidRDefault="0004694E">
      <w:pPr>
        <w:pStyle w:val="FootnoteText"/>
      </w:pPr>
      <w:r>
        <w:rPr>
          <w:rStyle w:val="FootnoteReference"/>
        </w:rPr>
        <w:footnoteRef/>
      </w:r>
      <w:r>
        <w:rPr>
          <w:rtl/>
        </w:rPr>
        <w:t xml:space="preserve"> </w:t>
      </w:r>
      <w:r w:rsidRPr="0004694E">
        <w:rPr>
          <w:rtl/>
        </w:rPr>
        <w:t xml:space="preserve">במקור </w:t>
      </w:r>
      <w:r w:rsidRPr="0004694E">
        <w:rPr>
          <w:rFonts w:ascii="Arial" w:hAnsi="Arial" w:cs="Arial" w:hint="cs"/>
          <w:rtl/>
          <w:lang w:bidi="ar-SA"/>
        </w:rPr>
        <w:t>قابلة</w:t>
      </w:r>
      <w:r w:rsidRPr="0004694E">
        <w:rPr>
          <w:rtl/>
        </w:rPr>
        <w:t xml:space="preserve">. התרגום המילולי הוא </w:t>
      </w:r>
      <w:r w:rsidR="00F055C8">
        <w:rPr>
          <w:rtl/>
        </w:rPr>
        <w:t>"</w:t>
      </w:r>
      <w:r w:rsidRPr="0004694E">
        <w:rPr>
          <w:rtl/>
        </w:rPr>
        <w:t>נפגשים עם התהוות והפסד</w:t>
      </w:r>
      <w:r w:rsidR="00F055C8">
        <w:rPr>
          <w:rtl/>
        </w:rPr>
        <w:t>"</w:t>
      </w:r>
      <w:r w:rsidRPr="0004694E">
        <w:rPr>
          <w:rtl/>
        </w:rPr>
        <w:t xml:space="preserve">. מקגיניס תרגם נכון  </w:t>
      </w:r>
      <w:r w:rsidRPr="0004694E">
        <w:t>susceptible</w:t>
      </w:r>
      <w:r w:rsidRPr="0004694E">
        <w:rPr>
          <w:rtl/>
        </w:rPr>
        <w:t>.</w:t>
      </w:r>
    </w:p>
  </w:footnote>
  <w:footnote w:id="287">
    <w:p w14:paraId="482CDF12" w14:textId="41756318" w:rsidR="0004694E" w:rsidRPr="00403CB6" w:rsidRDefault="0004694E">
      <w:pPr>
        <w:pStyle w:val="FootnoteText"/>
        <w:rPr>
          <w:rtl/>
        </w:rPr>
      </w:pPr>
      <w:r>
        <w:rPr>
          <w:rStyle w:val="FootnoteReference"/>
        </w:rPr>
        <w:footnoteRef/>
      </w:r>
      <w:r>
        <w:rPr>
          <w:rtl/>
        </w:rPr>
        <w:t xml:space="preserve"> </w:t>
      </w:r>
      <w:r>
        <w:rPr>
          <w:rFonts w:hint="cs"/>
          <w:rtl/>
        </w:rPr>
        <w:t xml:space="preserve">משה אבן תיבון קרא לספר של אריסטו </w:t>
      </w:r>
      <w:r w:rsidR="00F055C8">
        <w:rPr>
          <w:rtl/>
        </w:rPr>
        <w:t>"</w:t>
      </w:r>
      <w:r>
        <w:rPr>
          <w:rFonts w:hint="cs"/>
          <w:rtl/>
        </w:rPr>
        <w:t xml:space="preserve">על </w:t>
      </w:r>
      <w:r>
        <w:rPr>
          <w:rFonts w:hint="cs"/>
          <w:rtl/>
        </w:rPr>
        <w:t>ההויה וההפסד</w:t>
      </w:r>
      <w:r w:rsidR="00F055C8">
        <w:rPr>
          <w:rtl/>
        </w:rPr>
        <w:t>"</w:t>
      </w:r>
      <w:r>
        <w:rPr>
          <w:rFonts w:hint="cs"/>
          <w:rtl/>
        </w:rPr>
        <w:t xml:space="preserve">, וכך התקבל בלשון ימי הביניים. תרגמתי התהוות ולא הוויה, כי הוויה יש לה כפל משמעות, מה שהווה עכשיו, וכן מה שמתהווה והולך. </w:t>
      </w:r>
      <w:r w:rsidR="00573AB5">
        <w:rPr>
          <w:rFonts w:hint="cs"/>
          <w:rtl/>
        </w:rPr>
        <w:t>שם הספר של אריסטו ביוונית הוא</w:t>
      </w:r>
      <w:r w:rsidR="009636D9" w:rsidRPr="00403CB6">
        <w:rPr>
          <w:rFonts w:ascii="Times New Roman" w:hAnsi="Times New Roman" w:cs="Times New Roman"/>
          <w:rtl/>
        </w:rPr>
        <w:t xml:space="preserve">: </w:t>
      </w:r>
      <w:r w:rsidR="009636D9" w:rsidRPr="00403CB6">
        <w:rPr>
          <w:rFonts w:ascii="Times New Roman" w:hAnsi="Times New Roman" w:cs="Times New Roman"/>
        </w:rPr>
        <w:t>Περὶ γενέσεως καὶ φθορᾶς</w:t>
      </w:r>
      <w:r w:rsidR="00403CB6">
        <w:rPr>
          <w:rFonts w:ascii="Times New Roman" w:hAnsi="Times New Roman" w:cs="Times New Roman" w:hint="cs"/>
          <w:rtl/>
        </w:rPr>
        <w:t xml:space="preserve"> ובלטינית</w:t>
      </w:r>
      <w:r w:rsidR="009636D9" w:rsidRPr="00403CB6">
        <w:rPr>
          <w:rFonts w:ascii="Times New Roman" w:hAnsi="Times New Roman" w:cs="Times New Roman"/>
        </w:rPr>
        <w:t>De Generatione et Corruptione</w:t>
      </w:r>
      <w:r w:rsidR="00403CB6" w:rsidRPr="00403CB6">
        <w:rPr>
          <w:rtl/>
        </w:rPr>
        <w:t>, וזו המילה המקביל</w:t>
      </w:r>
      <w:r w:rsidR="00403CB6">
        <w:rPr>
          <w:rFonts w:hint="cs"/>
          <w:rtl/>
        </w:rPr>
        <w:t>ה</w:t>
      </w:r>
      <w:r w:rsidR="00403CB6" w:rsidRPr="00403CB6">
        <w:rPr>
          <w:rtl/>
        </w:rPr>
        <w:t xml:space="preserve"> למילה האנגלית </w:t>
      </w:r>
      <w:r w:rsidR="00403CB6" w:rsidRPr="00403CB6">
        <w:t>generation</w:t>
      </w:r>
      <w:r w:rsidR="00403CB6" w:rsidRPr="00403CB6">
        <w:rPr>
          <w:rtl/>
        </w:rPr>
        <w:t xml:space="preserve">, דהיינו התהוות, ולא למילה </w:t>
      </w:r>
      <w:r w:rsidR="00403CB6" w:rsidRPr="00403CB6">
        <w:t>existence</w:t>
      </w:r>
      <w:r w:rsidR="00403CB6">
        <w:rPr>
          <w:rFonts w:hint="cs"/>
          <w:rtl/>
        </w:rPr>
        <w:t xml:space="preserve"> דהיינו הווייה</w:t>
      </w:r>
      <w:r w:rsidR="002D6E4D">
        <w:rPr>
          <w:rFonts w:hint="cs"/>
          <w:rtl/>
        </w:rPr>
        <w:t xml:space="preserve"> (באנגלית התרגום במהד' רוס הוא </w:t>
      </w:r>
      <w:r w:rsidR="002D6E4D" w:rsidRPr="002D6E4D">
        <w:t>on Coming-to-be and Passing-away</w:t>
      </w:r>
      <w:r w:rsidR="00403CB6">
        <w:rPr>
          <w:rFonts w:hint="cs"/>
          <w:rtl/>
        </w:rPr>
        <w:t xml:space="preserve">. </w:t>
      </w:r>
      <w:r w:rsidR="00573AB5" w:rsidRPr="00403CB6">
        <w:rPr>
          <w:rtl/>
        </w:rPr>
        <w:t xml:space="preserve">  </w:t>
      </w:r>
    </w:p>
  </w:footnote>
  <w:footnote w:id="288">
    <w:p w14:paraId="20FE68C8" w14:textId="24520ECA" w:rsidR="0088154D" w:rsidRDefault="0088154D">
      <w:pPr>
        <w:pStyle w:val="FootnoteText"/>
      </w:pPr>
      <w:r>
        <w:rPr>
          <w:rStyle w:val="FootnoteReference"/>
        </w:rPr>
        <w:footnoteRef/>
      </w:r>
      <w:r>
        <w:rPr>
          <w:rtl/>
        </w:rPr>
        <w:t xml:space="preserve"> </w:t>
      </w:r>
      <w:r>
        <w:rPr>
          <w:rFonts w:hint="cs"/>
          <w:rtl/>
        </w:rPr>
        <w:t xml:space="preserve">מדובר כאן בארבעת היסודות שהחומר שלהם הוא החומר הראשון, ההיולי, והם משתנים מזה לזה, ומה שהוא מצע לשינוי הוא החומר הראשון, שבו הצורות מצטיירות ונפסדות. </w:t>
      </w:r>
      <w:r w:rsidR="0016533B">
        <w:rPr>
          <w:rFonts w:hint="cs"/>
          <w:rtl/>
        </w:rPr>
        <w:t>עיין בזה ב</w:t>
      </w:r>
      <w:r w:rsidR="00F055C8">
        <w:rPr>
          <w:rtl/>
        </w:rPr>
        <w:t>"</w:t>
      </w:r>
      <w:r w:rsidR="0016533B">
        <w:rPr>
          <w:rFonts w:hint="cs"/>
          <w:rtl/>
        </w:rPr>
        <w:t>על ההתהוות וההפסד</w:t>
      </w:r>
      <w:r w:rsidR="00F055C8">
        <w:rPr>
          <w:rtl/>
        </w:rPr>
        <w:t>"</w:t>
      </w:r>
      <w:r w:rsidR="0016533B">
        <w:rPr>
          <w:rFonts w:hint="cs"/>
          <w:rtl/>
        </w:rPr>
        <w:t xml:space="preserve"> ספר א' תחילת פרק ה', ובפרק ד' שם. </w:t>
      </w:r>
    </w:p>
  </w:footnote>
  <w:footnote w:id="289">
    <w:p w14:paraId="05F92BC4" w14:textId="5F93B7C4" w:rsidR="009E721D" w:rsidRDefault="00B57810">
      <w:pPr>
        <w:pStyle w:val="FootnoteText"/>
        <w:rPr>
          <w:rtl/>
        </w:rPr>
      </w:pPr>
      <w:r w:rsidRPr="00B57810">
        <w:rPr>
          <w:rStyle w:val="FootnoteReference"/>
        </w:rPr>
        <w:footnoteRef/>
      </w:r>
      <w:r w:rsidRPr="00B57810">
        <w:rPr>
          <w:rtl/>
        </w:rPr>
        <w:t xml:space="preserve"> במקור </w:t>
      </w:r>
      <w:bookmarkStart w:id="174" w:name="_Hlk98704050"/>
      <w:r w:rsidRPr="00B57810">
        <w:rPr>
          <w:rFonts w:ascii="Arial" w:hAnsi="Arial" w:cs="Arial" w:hint="cs"/>
          <w:rtl/>
          <w:lang w:bidi="ar-SA"/>
        </w:rPr>
        <w:t>إبداع</w:t>
      </w:r>
      <w:bookmarkEnd w:id="174"/>
      <w:r w:rsidRPr="00B57810">
        <w:rPr>
          <w:rtl/>
        </w:rPr>
        <w:t>. '</w:t>
      </w:r>
      <w:r w:rsidRPr="00B57810">
        <w:rPr>
          <w:rtl/>
        </w:rPr>
        <w:t>איבד</w:t>
      </w:r>
      <w:r w:rsidR="00D8698E">
        <w:rPr>
          <w:rFonts w:hint="cs"/>
          <w:rtl/>
        </w:rPr>
        <w:t>ע</w:t>
      </w:r>
      <w:r w:rsidRPr="00B57810">
        <w:rPr>
          <w:rtl/>
        </w:rPr>
        <w:t>'</w:t>
      </w:r>
      <w:r w:rsidR="00982C0D">
        <w:rPr>
          <w:rtl/>
        </w:rPr>
        <w:fldChar w:fldCharType="begin"/>
      </w:r>
      <w:r w:rsidR="00982C0D">
        <w:instrText xml:space="preserve"> XE "</w:instrText>
      </w:r>
      <w:bookmarkStart w:id="175" w:name="_Hlk98507480"/>
      <w:r w:rsidR="00982C0D" w:rsidRPr="0092608A">
        <w:rPr>
          <w:rtl/>
        </w:rPr>
        <w:instrText>'איבד</w:instrText>
      </w:r>
      <w:r w:rsidR="00E20110">
        <w:rPr>
          <w:rFonts w:hint="cs"/>
          <w:rtl/>
        </w:rPr>
        <w:instrText>ע</w:instrText>
      </w:r>
      <w:r w:rsidR="00982C0D" w:rsidRPr="0092608A">
        <w:rPr>
          <w:rtl/>
        </w:rPr>
        <w:instrText>'</w:instrText>
      </w:r>
      <w:r w:rsidR="00982C0D" w:rsidRPr="0092608A">
        <w:rPr>
          <w:rFonts w:hint="cs"/>
          <w:rtl/>
        </w:rPr>
        <w:instrText xml:space="preserve"> - בריאה </w:instrText>
      </w:r>
      <w:bookmarkEnd w:id="175"/>
      <w:r w:rsidR="0044527F">
        <w:rPr>
          <w:rFonts w:hint="cs"/>
          <w:rtl/>
        </w:rPr>
        <w:instrText>לא זמנית</w:instrText>
      </w:r>
      <w:r w:rsidR="00982C0D">
        <w:instrText xml:space="preserve">" </w:instrText>
      </w:r>
      <w:r w:rsidR="00982C0D">
        <w:rPr>
          <w:rtl/>
        </w:rPr>
        <w:fldChar w:fldCharType="end"/>
      </w:r>
      <w:r w:rsidRPr="00B57810">
        <w:rPr>
          <w:rtl/>
        </w:rPr>
        <w:t xml:space="preserve"> הוא אחד מהמונחים לבריאה. הוא המדרגה הגבוהה ביותר של בריאה, היא הבריאה הראשונה שבה השכלים נבראו בריאה יש מאין באופן ישיר, מהרצון האלוהי החופשי, ללא תיווך של סיבתיות</w:t>
      </w:r>
      <w:r w:rsidR="004811F7">
        <w:rPr>
          <w:rFonts w:hint="cs"/>
          <w:rtl/>
        </w:rPr>
        <w:t xml:space="preserve">, חומר כלי </w:t>
      </w:r>
      <w:r w:rsidRPr="00B57810">
        <w:rPr>
          <w:rtl/>
        </w:rPr>
        <w:t>או זמן.</w:t>
      </w:r>
      <w:r w:rsidR="004811F7">
        <w:rPr>
          <w:rFonts w:hint="cs"/>
          <w:rtl/>
        </w:rPr>
        <w:t xml:space="preserve"> עיין בזה ב</w:t>
      </w:r>
      <w:hyperlink r:id="rId73" w:history="1">
        <w:r w:rsidR="004811F7" w:rsidRPr="004811F7">
          <w:rPr>
            <w:rStyle w:val="Hyperlink"/>
            <w:rFonts w:hint="cs"/>
            <w:rtl/>
          </w:rPr>
          <w:t>רמיזות והערות</w:t>
        </w:r>
      </w:hyperlink>
      <w:r w:rsidR="004811F7">
        <w:rPr>
          <w:rFonts w:hint="cs"/>
          <w:rtl/>
        </w:rPr>
        <w:t xml:space="preserve"> חלק ה' (מטאפיזיקה) פרק ט'. </w:t>
      </w:r>
      <w:r w:rsidR="004811F7">
        <w:t xml:space="preserve"> </w:t>
      </w:r>
    </w:p>
    <w:p w14:paraId="6D843E1C" w14:textId="654BA05E" w:rsidR="00241771" w:rsidRDefault="009E721D">
      <w:pPr>
        <w:pStyle w:val="FootnoteText"/>
        <w:rPr>
          <w:rtl/>
        </w:rPr>
      </w:pPr>
      <w:r>
        <w:rPr>
          <w:rFonts w:hint="cs"/>
          <w:rtl/>
        </w:rPr>
        <w:t>הגופים הנצחיים אין בהם שינוי, והם נצחיים באופן הכרחי. רק שהווייתם הנצחית אינה מסיבת עצמם אלא מסיבה חיצונית להם שמשפיעה עליהם את המציאות, דהיינו הבורא. מאחר שהבורא משפיע מציאות מכח רצונו החופשי, אפשר שירצה שלא יהיו נמצאים, אבל כל זמן שהם נמצאים הם נמצאים באופן שהווייתם נצחית. למשל מה שאחת ועוד אחת הן שתיים ולא שלוש, זו מציאות נצחית שאין בה שינוי. אבל עדיין אפשר שהבורא ברצונו החופשי יחדש את העולם באופן שבו האמת תהיה שאחת ועוד אחת הן שלוש. ספירת חכמה היא באופן של חיוב שכלי, גזירת חכמתו של הבורא, ולא יתכן בה שינוי (ועיין במורה נבוכים ג' ט</w:t>
      </w:r>
      <w:r w:rsidR="00F055C8">
        <w:rPr>
          <w:rtl/>
        </w:rPr>
        <w:t>"</w:t>
      </w:r>
      <w:r>
        <w:rPr>
          <w:rFonts w:hint="cs"/>
          <w:rtl/>
        </w:rPr>
        <w:t>ו). מעל ספירת החכמה נמצאת ספירת הכתר שהיא רצונו החופשי של הבורא שאינו משועבד לגזירת החכמה ולא לחוק הסתירה שהוא שורש עניין החכמה, והחכמה קיימת רק כי הרצון כל רגע ורגע רוצה בקיומה, ולא שהכרחיו</w:t>
      </w:r>
      <w:r w:rsidR="00B12E7E">
        <w:rPr>
          <w:rFonts w:hint="cs"/>
          <w:rtl/>
        </w:rPr>
        <w:t>ת</w:t>
      </w:r>
      <w:r>
        <w:rPr>
          <w:rFonts w:hint="cs"/>
          <w:rtl/>
        </w:rPr>
        <w:t xml:space="preserve"> החכמה היא סוף דבר. </w:t>
      </w:r>
    </w:p>
    <w:p w14:paraId="44AF8B62" w14:textId="4EE2E741" w:rsidR="000D16DB" w:rsidRDefault="000D16DB">
      <w:pPr>
        <w:pStyle w:val="FootnoteText"/>
        <w:rPr>
          <w:rtl/>
        </w:rPr>
      </w:pPr>
      <w:r>
        <w:rPr>
          <w:rFonts w:hint="cs"/>
          <w:rtl/>
        </w:rPr>
        <w:t xml:space="preserve">עיין בזה במאמר של </w:t>
      </w:r>
      <w:hyperlink r:id="rId74" w:history="1">
        <w:r w:rsidRPr="006E2C7D">
          <w:rPr>
            <w:rStyle w:val="Hyperlink"/>
            <w:rFonts w:hint="cs"/>
            <w:rtl/>
          </w:rPr>
          <w:t>אמיל פקנהיים</w:t>
        </w:r>
      </w:hyperlink>
      <w:r>
        <w:rPr>
          <w:rFonts w:hint="cs"/>
          <w:rtl/>
        </w:rPr>
        <w:t xml:space="preserve"> שהביא</w:t>
      </w:r>
      <w:r w:rsidR="006E2C7D">
        <w:rPr>
          <w:rFonts w:hint="cs"/>
          <w:rtl/>
        </w:rPr>
        <w:t xml:space="preserve"> מקורות</w:t>
      </w:r>
      <w:r>
        <w:rPr>
          <w:rFonts w:hint="cs"/>
          <w:rtl/>
        </w:rPr>
        <w:t xml:space="preserve"> </w:t>
      </w:r>
      <w:r w:rsidR="00BA2987">
        <w:rPr>
          <w:rFonts w:hint="cs"/>
          <w:rtl/>
        </w:rPr>
        <w:t xml:space="preserve">ודיון </w:t>
      </w:r>
      <w:r>
        <w:rPr>
          <w:rFonts w:hint="cs"/>
          <w:rtl/>
        </w:rPr>
        <w:t xml:space="preserve">שיש אצל אבן סינא ואלפראבי שלוש חלוקות, האחת </w:t>
      </w:r>
      <w:r w:rsidR="00FC1346">
        <w:rPr>
          <w:rFonts w:hint="cs"/>
          <w:rtl/>
        </w:rPr>
        <w:t>'</w:t>
      </w:r>
      <w:r>
        <w:rPr>
          <w:rFonts w:hint="cs"/>
          <w:rtl/>
        </w:rPr>
        <w:t>הכרחי מציאות מצד עצמו</w:t>
      </w:r>
      <w:r w:rsidR="00FC1346">
        <w:rPr>
          <w:rFonts w:hint="cs"/>
          <w:rtl/>
        </w:rPr>
        <w:t>'</w:t>
      </w:r>
      <w:r>
        <w:rPr>
          <w:rFonts w:hint="cs"/>
          <w:rtl/>
        </w:rPr>
        <w:t xml:space="preserve"> וזה הבורא, השניה </w:t>
      </w:r>
      <w:r w:rsidR="00FC1346">
        <w:rPr>
          <w:rFonts w:hint="cs"/>
          <w:rtl/>
        </w:rPr>
        <w:t>'</w:t>
      </w:r>
      <w:r>
        <w:rPr>
          <w:rFonts w:hint="cs"/>
          <w:rtl/>
        </w:rPr>
        <w:t>הכרחי מציאות מצד חיצוני לו</w:t>
      </w:r>
      <w:r w:rsidR="00FC1346">
        <w:rPr>
          <w:rFonts w:hint="cs"/>
          <w:rtl/>
        </w:rPr>
        <w:t xml:space="preserve"> (ואפשרי מציאות מצד עצמו)'</w:t>
      </w:r>
      <w:r>
        <w:rPr>
          <w:rFonts w:hint="cs"/>
          <w:rtl/>
        </w:rPr>
        <w:t xml:space="preserve">, שהם הגופים הנצחיים, השכלים וגרמי השמיים, והשלישי הוא </w:t>
      </w:r>
      <w:r w:rsidR="00FC1346">
        <w:rPr>
          <w:rFonts w:hint="cs"/>
          <w:rtl/>
        </w:rPr>
        <w:t>'</w:t>
      </w:r>
      <w:r>
        <w:rPr>
          <w:rFonts w:hint="cs"/>
          <w:rtl/>
        </w:rPr>
        <w:t>אפשרי מציאות מצד עצמו</w:t>
      </w:r>
      <w:r w:rsidR="00FC1346">
        <w:rPr>
          <w:rFonts w:hint="cs"/>
          <w:rtl/>
        </w:rPr>
        <w:t>'</w:t>
      </w:r>
      <w:r>
        <w:rPr>
          <w:rFonts w:hint="cs"/>
          <w:rtl/>
        </w:rPr>
        <w:t xml:space="preserve"> שאלה הגופים החומריים.  </w:t>
      </w:r>
    </w:p>
    <w:p w14:paraId="6AB0CD29" w14:textId="349984AE" w:rsidR="00241771" w:rsidRDefault="00241771">
      <w:pPr>
        <w:pStyle w:val="FootnoteText"/>
        <w:rPr>
          <w:rtl/>
        </w:rPr>
      </w:pPr>
      <w:r>
        <w:rPr>
          <w:rFonts w:hint="cs"/>
          <w:rtl/>
        </w:rPr>
        <w:t>עיין מורה נבוכים א' ס</w:t>
      </w:r>
      <w:r w:rsidR="00F055C8">
        <w:rPr>
          <w:rtl/>
        </w:rPr>
        <w:t>"</w:t>
      </w:r>
      <w:r>
        <w:rPr>
          <w:rFonts w:hint="cs"/>
          <w:rtl/>
        </w:rPr>
        <w:t>ט:</w:t>
      </w:r>
    </w:p>
    <w:p w14:paraId="1CB5CF3F" w14:textId="7230B484" w:rsidR="00241771" w:rsidRDefault="00F055C8">
      <w:pPr>
        <w:pStyle w:val="FootnoteText"/>
        <w:rPr>
          <w:rtl/>
        </w:rPr>
      </w:pPr>
      <w:r>
        <w:rPr>
          <w:rtl/>
        </w:rPr>
        <w:t>"</w:t>
      </w:r>
      <w:r w:rsidR="00241771" w:rsidRPr="00241771">
        <w:rPr>
          <w:rtl/>
        </w:rPr>
        <w:t>וכן יתחייב תמיד בכל תכלית מתחדשת, עד שיגיע הענין לרצונו לבד יתעלה, לפי אחת מן הדעות כמו שיתבאר, עד שיהיה המענה באחרונה, כן רצה השם יתעלה, או לגזרת חכמתו לפי דעת אחרים כמו שאבאר, עד שיהיה המענה באחרונה, כן גזרה חכמתו</w:t>
      </w:r>
      <w:r w:rsidR="00241771">
        <w:rPr>
          <w:rFonts w:hint="cs"/>
          <w:rtl/>
        </w:rPr>
        <w:t xml:space="preserve"> (וכן גם שם ג' י</w:t>
      </w:r>
      <w:r>
        <w:rPr>
          <w:rtl/>
        </w:rPr>
        <w:t>"</w:t>
      </w:r>
      <w:r w:rsidR="00241771">
        <w:rPr>
          <w:rFonts w:hint="cs"/>
          <w:rtl/>
        </w:rPr>
        <w:t>ג בסוף הפרק)</w:t>
      </w:r>
      <w:r>
        <w:rPr>
          <w:rtl/>
        </w:rPr>
        <w:t>"</w:t>
      </w:r>
    </w:p>
    <w:p w14:paraId="7D4377C3" w14:textId="42209670" w:rsidR="00B57810" w:rsidRDefault="00241771">
      <w:pPr>
        <w:pStyle w:val="FootnoteText"/>
        <w:rPr>
          <w:rtl/>
        </w:rPr>
      </w:pPr>
      <w:r>
        <w:rPr>
          <w:rFonts w:hint="cs"/>
          <w:rtl/>
        </w:rPr>
        <w:t>וכן הוא בכמה מקומות שם, שהרצון והחכמה שניהם הם גילויי הבורא בעולם, והם נראים כסותרים (זו המחלוקת בין דעת קדמות העולם ודעת חידוש העולם, שעוסק בה המו</w:t>
      </w:r>
      <w:r w:rsidR="00F055C8">
        <w:rPr>
          <w:rtl/>
        </w:rPr>
        <w:t>"</w:t>
      </w:r>
      <w:r>
        <w:rPr>
          <w:rFonts w:hint="cs"/>
          <w:rtl/>
        </w:rPr>
        <w:t>נ בחלק ב' עד פרק כ</w:t>
      </w:r>
      <w:r w:rsidR="00F055C8">
        <w:rPr>
          <w:rtl/>
        </w:rPr>
        <w:t>"</w:t>
      </w:r>
      <w:r>
        <w:rPr>
          <w:rFonts w:hint="cs"/>
          <w:rtl/>
        </w:rPr>
        <w:t>ה)</w:t>
      </w:r>
      <w:r w:rsidR="00B57810" w:rsidRPr="00B57810">
        <w:rPr>
          <w:rtl/>
        </w:rPr>
        <w:t xml:space="preserve"> </w:t>
      </w:r>
      <w:r w:rsidR="00F173FE">
        <w:rPr>
          <w:rFonts w:hint="cs"/>
          <w:rtl/>
        </w:rPr>
        <w:t>ובאמת אינם סותרים (זה פירוש מה שכתב לגבי אותה מחלוקת שהיא מעמד שכלי, כלומר בידוע שלא תהיה ראיה מכרעת לצד אחד, כי שניהם בלי ספק אמת)</w:t>
      </w:r>
      <w:r w:rsidR="006E2C7D">
        <w:rPr>
          <w:rFonts w:hint="cs"/>
          <w:rtl/>
        </w:rPr>
        <w:t>.</w:t>
      </w:r>
    </w:p>
    <w:p w14:paraId="5DB1D9DF" w14:textId="0055FA1C" w:rsidR="00037E7C" w:rsidRPr="00B57810" w:rsidRDefault="00037E7C">
      <w:pPr>
        <w:pStyle w:val="FootnoteText"/>
        <w:rPr>
          <w:rtl/>
        </w:rPr>
      </w:pPr>
      <w:r>
        <w:rPr>
          <w:rFonts w:hint="cs"/>
          <w:rtl/>
        </w:rPr>
        <w:t xml:space="preserve">ועיין עוד בזה באריסטו </w:t>
      </w:r>
      <w:r w:rsidR="00F055C8">
        <w:rPr>
          <w:rtl/>
        </w:rPr>
        <w:t>"</w:t>
      </w:r>
      <w:r>
        <w:rPr>
          <w:rFonts w:hint="cs"/>
          <w:rtl/>
        </w:rPr>
        <w:t>על ההתהוות וההפסד</w:t>
      </w:r>
      <w:r w:rsidR="00F055C8">
        <w:rPr>
          <w:rtl/>
        </w:rPr>
        <w:t>"</w:t>
      </w:r>
      <w:r>
        <w:rPr>
          <w:rFonts w:hint="cs"/>
          <w:rtl/>
        </w:rPr>
        <w:t xml:space="preserve"> א' ג' 317ב שורה 7, שמבחין בין בריאת יש מאין באופן ישיר, דהיינו </w:t>
      </w:r>
      <w:r w:rsidR="00F055C8">
        <w:rPr>
          <w:rtl/>
        </w:rPr>
        <w:t>"</w:t>
      </w:r>
      <w:r>
        <w:rPr>
          <w:rFonts w:hint="cs"/>
          <w:rtl/>
        </w:rPr>
        <w:t>מבדא</w:t>
      </w:r>
      <w:r w:rsidR="00F055C8">
        <w:rPr>
          <w:rtl/>
        </w:rPr>
        <w:t>"</w:t>
      </w:r>
      <w:r>
        <w:rPr>
          <w:rFonts w:hint="cs"/>
          <w:rtl/>
        </w:rPr>
        <w:t xml:space="preserve"> ובין בריאת יש בפועל מהיש שהוא בכח (כמו שביאר הרמב</w:t>
      </w:r>
      <w:r w:rsidR="00F055C8">
        <w:rPr>
          <w:rtl/>
        </w:rPr>
        <w:t>"</w:t>
      </w:r>
      <w:r>
        <w:rPr>
          <w:rFonts w:hint="cs"/>
          <w:rtl/>
        </w:rPr>
        <w:t>ן על התורה א' א' שהבריאה הראשונה הייתה רק הנקודה של ההיולי שאין בה ממש, והיא לא בריאה שקדם לה בכח, וכל מה שנברא אחר כך ממנה הוא יציאה אל הפועל של מה שהיה בכח באותה נקודת היולי).</w:t>
      </w:r>
      <w:r w:rsidR="009A5412">
        <w:t xml:space="preserve"> </w:t>
      </w:r>
      <w:r w:rsidR="009A5412">
        <w:rPr>
          <w:rFonts w:hint="cs"/>
          <w:rtl/>
        </w:rPr>
        <w:t xml:space="preserve"> ועיין עוד שם בפרקים ד' וה'.  </w:t>
      </w:r>
    </w:p>
  </w:footnote>
  <w:footnote w:id="290">
    <w:p w14:paraId="74BCC5DE" w14:textId="37717EF2" w:rsidR="00E441D1" w:rsidRDefault="00E441D1">
      <w:pPr>
        <w:pStyle w:val="FootnoteText"/>
      </w:pPr>
      <w:r>
        <w:rPr>
          <w:rStyle w:val="FootnoteReference"/>
        </w:rPr>
        <w:footnoteRef/>
      </w:r>
      <w:r>
        <w:rPr>
          <w:rtl/>
        </w:rPr>
        <w:t xml:space="preserve"> </w:t>
      </w:r>
      <w:r>
        <w:rPr>
          <w:rFonts w:hint="cs"/>
          <w:rtl/>
        </w:rPr>
        <w:t xml:space="preserve">מקבל את צורת ארבעת היסודות (אש רוח מים עפר. או אש אוויר מים ארץ), שמתהווים ונפסדים תמיד, כלומר שהצורה של כל יסוד עוברת ממקומה הראשון בחומר אל מקום אחר בחומר, ובמקום </w:t>
      </w:r>
      <w:r>
        <w:rPr>
          <w:rFonts w:hint="cs"/>
          <w:rtl/>
        </w:rPr>
        <w:t xml:space="preserve">שהיתה מקודם מצטיירת צורה של יסוד אחר. </w:t>
      </w:r>
    </w:p>
  </w:footnote>
  <w:footnote w:id="291">
    <w:p w14:paraId="1B6B4989" w14:textId="4A6AF6BE" w:rsidR="00E441D1" w:rsidRDefault="00E441D1">
      <w:pPr>
        <w:pStyle w:val="FootnoteText"/>
      </w:pPr>
      <w:r>
        <w:rPr>
          <w:rStyle w:val="FootnoteReference"/>
        </w:rPr>
        <w:footnoteRef/>
      </w:r>
      <w:r>
        <w:rPr>
          <w:rtl/>
        </w:rPr>
        <w:t xml:space="preserve"> </w:t>
      </w:r>
      <w:r>
        <w:rPr>
          <w:rFonts w:hint="cs"/>
          <w:rtl/>
        </w:rPr>
        <w:t xml:space="preserve">זה החומר החמישי שממנו מורכבים הגלגלים השמיימיים שהם נצחיים ואין בהם התהוות והפסד ולא שום שינוי מלבד שינוי מקום בתנועתם הסיבובית. </w:t>
      </w:r>
    </w:p>
  </w:footnote>
  <w:footnote w:id="292">
    <w:p w14:paraId="5397F58C" w14:textId="14608196" w:rsidR="00E6505F" w:rsidRPr="00832019" w:rsidRDefault="00A26E89" w:rsidP="00832019">
      <w:pPr>
        <w:pStyle w:val="FootnoteText"/>
        <w:rPr>
          <w:sz w:val="28"/>
          <w:szCs w:val="28"/>
        </w:rPr>
      </w:pPr>
      <w:r>
        <w:rPr>
          <w:rStyle w:val="FootnoteReference"/>
        </w:rPr>
        <w:footnoteRef/>
      </w:r>
      <w:r>
        <w:rPr>
          <w:rtl/>
        </w:rPr>
        <w:t xml:space="preserve"> </w:t>
      </w:r>
      <w:bookmarkStart w:id="176" w:name="_Hlk98632717"/>
      <w:r w:rsidR="00E11B2E" w:rsidRPr="00E6505F">
        <w:rPr>
          <w:rFonts w:hint="cs"/>
          <w:sz w:val="28"/>
          <w:szCs w:val="28"/>
          <w:rtl/>
        </w:rPr>
        <w:t>החומר הראשון של הגופים הארציים</w:t>
      </w:r>
      <w:r w:rsidR="00E64A7B" w:rsidRPr="00E6505F">
        <w:rPr>
          <w:sz w:val="28"/>
          <w:szCs w:val="28"/>
          <w:rtl/>
        </w:rPr>
        <w:fldChar w:fldCharType="begin"/>
      </w:r>
      <w:r w:rsidR="00E64A7B" w:rsidRPr="00E6505F">
        <w:rPr>
          <w:sz w:val="28"/>
          <w:szCs w:val="28"/>
        </w:rPr>
        <w:instrText xml:space="preserve"> XE "</w:instrText>
      </w:r>
      <w:r w:rsidR="00E64A7B" w:rsidRPr="00E6505F">
        <w:rPr>
          <w:rFonts w:hint="cs"/>
          <w:sz w:val="28"/>
          <w:szCs w:val="28"/>
          <w:rtl/>
        </w:rPr>
        <w:instrText>מאמר</w:instrText>
      </w:r>
      <w:r w:rsidR="00E64A7B" w:rsidRPr="00E6505F">
        <w:rPr>
          <w:sz w:val="28"/>
          <w:szCs w:val="28"/>
          <w:rtl/>
        </w:rPr>
        <w:instrText>:</w:instrText>
      </w:r>
      <w:r w:rsidR="00E64A7B" w:rsidRPr="00E6505F">
        <w:rPr>
          <w:rFonts w:hint="cs"/>
          <w:sz w:val="28"/>
          <w:szCs w:val="28"/>
          <w:rtl/>
        </w:rPr>
        <w:instrText>החומר הראשון של הגופים הארציים והיסוד החמישי הוא החומר הראשון השמיימי</w:instrText>
      </w:r>
      <w:r w:rsidR="00E64A7B" w:rsidRPr="00E6505F">
        <w:rPr>
          <w:sz w:val="28"/>
          <w:szCs w:val="28"/>
        </w:rPr>
        <w:instrText xml:space="preserve">" </w:instrText>
      </w:r>
      <w:r w:rsidR="00E64A7B" w:rsidRPr="00E6505F">
        <w:rPr>
          <w:sz w:val="28"/>
          <w:szCs w:val="28"/>
          <w:rtl/>
        </w:rPr>
        <w:fldChar w:fldCharType="end"/>
      </w:r>
      <w:r w:rsidR="00E11B2E" w:rsidRPr="00E6505F">
        <w:rPr>
          <w:rFonts w:hint="cs"/>
          <w:sz w:val="28"/>
          <w:szCs w:val="28"/>
          <w:rtl/>
        </w:rPr>
        <w:t xml:space="preserve"> והיסוד החמישי</w:t>
      </w:r>
      <w:r w:rsidR="00E6505F">
        <w:rPr>
          <w:rFonts w:hint="cs"/>
          <w:sz w:val="28"/>
          <w:szCs w:val="28"/>
          <w:rtl/>
        </w:rPr>
        <w:t xml:space="preserve"> השמיימי</w:t>
      </w:r>
      <w:r w:rsidR="00E6505F">
        <w:rPr>
          <w:sz w:val="28"/>
          <w:szCs w:val="28"/>
          <w:rtl/>
        </w:rPr>
        <w:fldChar w:fldCharType="begin"/>
      </w:r>
      <w:r w:rsidR="00E6505F">
        <w:instrText xml:space="preserve"> XE "</w:instrText>
      </w:r>
      <w:r w:rsidR="00E6505F" w:rsidRPr="003A3F32">
        <w:rPr>
          <w:rFonts w:hint="cs"/>
          <w:sz w:val="28"/>
          <w:szCs w:val="28"/>
          <w:rtl/>
        </w:rPr>
        <w:instrText>החומר הראשון של הגופים הארציים והיסוד החמישי השמיימי</w:instrText>
      </w:r>
      <w:r w:rsidR="00E6505F">
        <w:instrText xml:space="preserve">" </w:instrText>
      </w:r>
      <w:r w:rsidR="00E6505F">
        <w:rPr>
          <w:sz w:val="28"/>
          <w:szCs w:val="28"/>
          <w:rtl/>
        </w:rPr>
        <w:fldChar w:fldCharType="end"/>
      </w:r>
      <w:r w:rsidR="00832019">
        <w:rPr>
          <w:rFonts w:hint="cs"/>
          <w:sz w:val="28"/>
          <w:szCs w:val="28"/>
          <w:rtl/>
        </w:rPr>
        <w:t>.</w:t>
      </w:r>
      <w:bookmarkEnd w:id="176"/>
    </w:p>
    <w:p w14:paraId="5AF985C5" w14:textId="57F0B2F7" w:rsidR="00E6505F" w:rsidRDefault="00E6505F" w:rsidP="00E6505F">
      <w:pPr>
        <w:pStyle w:val="FootnoteText"/>
        <w:rPr>
          <w:rtl/>
        </w:rPr>
      </w:pPr>
      <w:r>
        <w:rPr>
          <w:rFonts w:hint="cs"/>
          <w:rtl/>
        </w:rPr>
        <w:t>אבן סינא רומז כאן לסוד שיש שני חומרים ראשונים</w:t>
      </w:r>
      <w:r w:rsidR="00E441D1">
        <w:rPr>
          <w:rFonts w:hint="cs"/>
          <w:rtl/>
        </w:rPr>
        <w:t xml:space="preserve"> (שני היוליים)</w:t>
      </w:r>
      <w:r>
        <w:rPr>
          <w:rFonts w:hint="cs"/>
          <w:rtl/>
        </w:rPr>
        <w:t xml:space="preserve"> שונים. האחד הוא הארצי והוא החומר הראשון של העולם שמורכב מארבעת היסודות. השני הוא השמיימי והוא הנקרא החומר החמישי או היסוד החמישי. </w:t>
      </w:r>
      <w:r w:rsidR="00E441D1">
        <w:rPr>
          <w:rFonts w:hint="cs"/>
          <w:rtl/>
        </w:rPr>
        <w:t xml:space="preserve">מה שכתב </w:t>
      </w:r>
      <w:r w:rsidR="00F055C8">
        <w:rPr>
          <w:rtl/>
        </w:rPr>
        <w:t>"</w:t>
      </w:r>
      <w:r w:rsidR="00E441D1">
        <w:rPr>
          <w:rFonts w:hint="cs"/>
          <w:rtl/>
        </w:rPr>
        <w:t>וזה אי אפשר</w:t>
      </w:r>
      <w:r w:rsidR="00F055C8">
        <w:rPr>
          <w:rtl/>
        </w:rPr>
        <w:t>"</w:t>
      </w:r>
      <w:r w:rsidR="00E441D1">
        <w:rPr>
          <w:rFonts w:hint="cs"/>
        </w:rPr>
        <w:t xml:space="preserve"> </w:t>
      </w:r>
      <w:r w:rsidR="00E441D1">
        <w:rPr>
          <w:rFonts w:hint="cs"/>
          <w:rtl/>
        </w:rPr>
        <w:t xml:space="preserve">הכוונה שאי אפשר ששניהם יהיו אותו חומר עצמו. אבל באמת יש שני היוליים. הסוד הוא שאינם מחולקים לגמרי, אלא יש להם מקור ראשון אחד, והם קיימים במקביל, והחומר השמיימי הוא בכח לחומר הארצי ונמצא לא רק בגלגלים אלא גם בכל גוף ארצי. </w:t>
      </w:r>
    </w:p>
    <w:p w14:paraId="31BD0ED2" w14:textId="77777777" w:rsidR="00832019" w:rsidRDefault="00832019" w:rsidP="00E6505F">
      <w:pPr>
        <w:pStyle w:val="FootnoteText"/>
        <w:rPr>
          <w:rtl/>
        </w:rPr>
      </w:pPr>
    </w:p>
    <w:p w14:paraId="44482E41" w14:textId="70D57950" w:rsidR="00A26E89" w:rsidRDefault="00A26E89">
      <w:pPr>
        <w:pStyle w:val="FootnoteText"/>
        <w:rPr>
          <w:rtl/>
        </w:rPr>
      </w:pPr>
      <w:r>
        <w:rPr>
          <w:rFonts w:hint="cs"/>
          <w:rtl/>
        </w:rPr>
        <w:t>מורה נבוכים א' ע</w:t>
      </w:r>
      <w:r w:rsidR="00F055C8">
        <w:rPr>
          <w:rtl/>
        </w:rPr>
        <w:t>"</w:t>
      </w:r>
      <w:r>
        <w:rPr>
          <w:rFonts w:hint="cs"/>
          <w:rtl/>
        </w:rPr>
        <w:t>ב</w:t>
      </w:r>
      <w:r w:rsidR="003473ED">
        <w:rPr>
          <w:rtl/>
        </w:rPr>
        <w:fldChar w:fldCharType="begin"/>
      </w:r>
      <w:r w:rsidR="003473ED">
        <w:instrText xml:space="preserve"> XE "</w:instrText>
      </w:r>
      <w:r w:rsidR="003473ED" w:rsidRPr="00190375">
        <w:rPr>
          <w:rFonts w:hint="cs"/>
          <w:rtl/>
        </w:rPr>
        <w:instrText>מורה נבוכים א' ע</w:instrText>
      </w:r>
      <w:r w:rsidR="003473ED">
        <w:rPr>
          <w:b/>
          <w:bCs/>
          <w:sz w:val="20"/>
          <w:szCs w:val="20"/>
        </w:rPr>
        <w:instrText>\</w:instrText>
      </w:r>
      <w:r w:rsidR="003473ED" w:rsidRPr="00190375">
        <w:rPr>
          <w:rFonts w:hint="cs"/>
          <w:rtl/>
        </w:rPr>
        <w:instrText>"ב - החומר הראשון השמיימי</w:instrText>
      </w:r>
      <w:r w:rsidR="003473ED">
        <w:instrText xml:space="preserve">" </w:instrText>
      </w:r>
      <w:r w:rsidR="003473ED">
        <w:rPr>
          <w:rtl/>
        </w:rPr>
        <w:fldChar w:fldCharType="end"/>
      </w:r>
      <w:r>
        <w:rPr>
          <w:rFonts w:hint="cs"/>
          <w:rtl/>
        </w:rPr>
        <w:t>:</w:t>
      </w:r>
    </w:p>
    <w:p w14:paraId="711A2A14" w14:textId="1DD8986C" w:rsidR="00DB4712" w:rsidRDefault="00F055C8" w:rsidP="00DB4712">
      <w:pPr>
        <w:pStyle w:val="FootnoteText"/>
        <w:rPr>
          <w:rtl/>
        </w:rPr>
      </w:pPr>
      <w:r>
        <w:rPr>
          <w:rtl/>
        </w:rPr>
        <w:t>"</w:t>
      </w:r>
      <w:r w:rsidR="00A26E89" w:rsidRPr="00A26E89">
        <w:rPr>
          <w:rtl/>
        </w:rPr>
        <w:t xml:space="preserve">כן זה הכדור בכללו מחובר מן הגלגלים, ומן היסודות הארבעה ומה שהורכב מהם, ואין רקות בו כלל, אלא מקשה מלא, נקודת מרכזו כדור הארץ, והמים מקיפים בארץ, והאויר מקיף במים, והאש מקיף </w:t>
      </w:r>
      <w:r w:rsidR="00A26E89" w:rsidRPr="00A26E89">
        <w:rPr>
          <w:rtl/>
        </w:rPr>
        <w:t xml:space="preserve">באויר, והגשם החמישי מקיף האש. </w:t>
      </w:r>
      <w:r w:rsidR="00DB4712">
        <w:rPr>
          <w:rFonts w:hint="cs"/>
          <w:rtl/>
        </w:rPr>
        <w:t>[...]</w:t>
      </w:r>
    </w:p>
    <w:p w14:paraId="19CE53AE" w14:textId="77777777" w:rsidR="00AF030B" w:rsidRDefault="00A26E89">
      <w:pPr>
        <w:pStyle w:val="FootnoteText"/>
        <w:rPr>
          <w:rtl/>
        </w:rPr>
      </w:pPr>
      <w:r w:rsidRPr="00832019">
        <w:rPr>
          <w:b/>
          <w:bCs/>
          <w:rtl/>
        </w:rPr>
        <w:t xml:space="preserve">וחומר זה הגשם החמישי בכללו המתנועע בסיבוב אינו כחומר גשמי הארבעה יסודות אשר בתוכו. </w:t>
      </w:r>
      <w:r w:rsidR="00AF030B">
        <w:rPr>
          <w:rFonts w:hint="cs"/>
          <w:rtl/>
        </w:rPr>
        <w:t>[...]</w:t>
      </w:r>
    </w:p>
    <w:p w14:paraId="423F2726" w14:textId="5EBDCAB8" w:rsidR="00AF030B" w:rsidRDefault="00A26E89">
      <w:pPr>
        <w:pStyle w:val="FootnoteText"/>
        <w:rPr>
          <w:rtl/>
        </w:rPr>
      </w:pPr>
      <w:r w:rsidRPr="00A26E89">
        <w:rPr>
          <w:rtl/>
        </w:rPr>
        <w:t>ובתוך</w:t>
      </w:r>
      <w:r w:rsidR="00E64A7B">
        <w:rPr>
          <w:rtl/>
        </w:rPr>
        <w:fldChar w:fldCharType="begin"/>
      </w:r>
      <w:r w:rsidR="00E64A7B">
        <w:instrText xml:space="preserve"> XE "</w:instrText>
      </w:r>
      <w:r w:rsidR="00E64A7B" w:rsidRPr="008A0386">
        <w:rPr>
          <w:rFonts w:hint="cs"/>
          <w:rtl/>
        </w:rPr>
        <w:instrText>מורה נבוכים ב' כ</w:instrText>
      </w:r>
      <w:r w:rsidR="00E64A7B">
        <w:rPr>
          <w:b/>
          <w:bCs/>
          <w:sz w:val="20"/>
          <w:szCs w:val="20"/>
        </w:rPr>
        <w:instrText>\</w:instrText>
      </w:r>
      <w:r w:rsidR="00E64A7B" w:rsidRPr="008A0386">
        <w:rPr>
          <w:rFonts w:hint="cs"/>
          <w:rtl/>
        </w:rPr>
        <w:instrText xml:space="preserve">"ו - </w:instrText>
      </w:r>
      <w:r w:rsidR="00E64A7B" w:rsidRPr="008A0386">
        <w:rPr>
          <w:rtl/>
        </w:rPr>
        <w:instrText>החומר הראשון של הגופים הארציים והיסוד החמישי הוא החומר הראשון השמיימי</w:instrText>
      </w:r>
      <w:r w:rsidR="00E64A7B">
        <w:instrText xml:space="preserve">" </w:instrText>
      </w:r>
      <w:r w:rsidR="00E64A7B">
        <w:rPr>
          <w:rtl/>
        </w:rPr>
        <w:fldChar w:fldCharType="end"/>
      </w:r>
      <w:r w:rsidRPr="00A26E89">
        <w:rPr>
          <w:rtl/>
        </w:rPr>
        <w:t xml:space="preserve"> זה הכדור הקרוב אשר הוא סמוך לנו, חומר אחד מתחלף לחומר הגשם החמישי, קיבל ארבע צורות ראשונות ושב בארבעתם ארבעה גופים, הארץ והמים והאויר והאש, וכל אחד מאלו הארבעה יש לו מקום טבעי מיוחד בו, לא ימצא בזולתו, והוא מונח עם טבעו. והם גופים מתים, אין חיים בהם ולא השגה ולא יתנועעו מעצמם, אבל הם שוכנים במקומותיהם הטבעים, ואם יוציאו אחד מהם ממקומו הטבעי בהכרח, בסור המכריח יתנועע לשוב למקומו הטבעי. כי הנה יש בו זאת ההתחלה אשר בה יתנועע לשוב אל מקומו על יושר, ואין בו התחלה שינוח בה, ולא שיתנועע בה על בלתי יושר. והתנועות הישרות הנמצאות לאלה הארבע יסודות כשיתנועעו לשוב למקומותם </w:t>
      </w:r>
      <w:r w:rsidR="00001963">
        <w:rPr>
          <w:rtl/>
        </w:rPr>
        <w:t>-</w:t>
      </w:r>
      <w:r w:rsidRPr="00A26E89">
        <w:rPr>
          <w:rtl/>
        </w:rPr>
        <w:t xml:space="preserve"> שתי תנועות, תנועה אל צד המקיף, והיא לאש ולאויר, ותנועה אל נקודת המרכז, והיא למים ולארץ, כשיגיע כל אחד מהם למקומו הטבעי ינוח. </w:t>
      </w:r>
    </w:p>
    <w:p w14:paraId="5887443A" w14:textId="080783F7" w:rsidR="00AF030B" w:rsidRDefault="00A26E89">
      <w:pPr>
        <w:pStyle w:val="FootnoteText"/>
        <w:rPr>
          <w:rtl/>
        </w:rPr>
      </w:pPr>
      <w:r w:rsidRPr="00A26E89">
        <w:rPr>
          <w:rtl/>
        </w:rPr>
        <w:t>אבל הגופים ההם העגולים הם חיים בעלי נפש בה יתנועעו, ואין התחלת מנוחה בהם כלל, ולא ישיגם שינוי אלא בהנחה</w:t>
      </w:r>
      <w:r w:rsidR="00AF030B">
        <w:rPr>
          <w:rFonts w:hint="cs"/>
          <w:rtl/>
        </w:rPr>
        <w:t xml:space="preserve"> [כלומר מקום. רק המקום שלהם משתנה ואין בהם שום שינוי אחר]</w:t>
      </w:r>
      <w:r w:rsidRPr="00A26E89">
        <w:rPr>
          <w:rtl/>
        </w:rPr>
        <w:t xml:space="preserve">, בהיותם מתנועעים בסיבוב. </w:t>
      </w:r>
      <w:r w:rsidR="00AF030B">
        <w:rPr>
          <w:rFonts w:hint="cs"/>
          <w:rtl/>
        </w:rPr>
        <w:t>[...]</w:t>
      </w:r>
    </w:p>
    <w:p w14:paraId="02E0CEDE" w14:textId="68AD2923" w:rsidR="00A26E89" w:rsidRDefault="00A26E89">
      <w:pPr>
        <w:pStyle w:val="FootnoteText"/>
        <w:rPr>
          <w:rtl/>
        </w:rPr>
      </w:pPr>
      <w:r w:rsidRPr="00A26E89">
        <w:rPr>
          <w:rtl/>
        </w:rPr>
        <w:t>וכשיתנועע הגשם החמישי בסיבוב בכללו תמיד תתחדש ביסודות מפני זה תנועה הכרחית, יצאו בגללה ממקומותם, רוצה-לומר באש ובאויר, וידחו אל המים, ויעברו כולם בגוף הארץ אל עמקה, ויתחדש ליסודות עירוב, ואח</w:t>
      </w:r>
      <w:r w:rsidR="00F055C8">
        <w:rPr>
          <w:rtl/>
        </w:rPr>
        <w:t>"</w:t>
      </w:r>
      <w:r w:rsidRPr="00A26E89">
        <w:rPr>
          <w:rtl/>
        </w:rPr>
        <w:t>כ יתחילו להתנועע לשוב למקומותם, ויצאו חלקים מן הארץ גם-כן מפני זה ממקומותם בחברת המים והאויר והאש. והם בזה כולו פועלים קצתם בקצתם ומתפעלים קצתם מקצתם, ויפול ההשתנות במעורב עד שיתהוה מהם תחילה הקיטורים כפי מיניהם החלוקים, ואחר כן המחצבים כפי מיניהם החלוקים, ומיני הצמחים כולם ומינים רבים מבעלי חיים, כפי מה שגוזר מזג המעורב. וכל הוה נפסד</w:t>
      </w:r>
      <w:r w:rsidR="00AF030B">
        <w:rPr>
          <w:rFonts w:hint="cs"/>
          <w:rtl/>
        </w:rPr>
        <w:t xml:space="preserve"> [בגלל העירוב של היסודות שהוא בלתי פוסק ועושה שינוי במזג שלהם והם מקבלים צורה רק לפי ההכנה של המזג שלהם]</w:t>
      </w:r>
      <w:r w:rsidRPr="00A26E89">
        <w:rPr>
          <w:rtl/>
        </w:rPr>
        <w:t>, אמנם יתהוה מן היסודות ואליהם יפסד, ומן היסודות יתהוו קצתם מקצתם ויפסדו קצתם אל קצתם, שחומר הכל אחד</w:t>
      </w:r>
      <w:r w:rsidR="00AF030B">
        <w:rPr>
          <w:rFonts w:hint="cs"/>
          <w:rtl/>
        </w:rPr>
        <w:t xml:space="preserve"> [חומר כל היסודות הוא ההיולי, החומר הראשון]</w:t>
      </w:r>
      <w:r w:rsidRPr="00A26E89">
        <w:rPr>
          <w:rtl/>
        </w:rPr>
        <w:t>. ואי-אפשר הימצא חומר מבלי צורה, ולא תימצא צורה טבעית מאלו ההויים הנפסדים מבלי חומר; יהיה הענין אם-כן בהויות והפסדות, והיות כל מה שיתהוה מהם ויפסיד אליהם חוזר חלילה, כדמות סיבוב הגלגל, עד שתהיה תנועת החומר הזה בעל הצורה בבא בו הצורות זו אחר זו כתנועת הגלגל באנה</w:t>
      </w:r>
      <w:r w:rsidR="00AF030B">
        <w:rPr>
          <w:rFonts w:hint="cs"/>
          <w:rtl/>
        </w:rPr>
        <w:t xml:space="preserve"> [במקום. לגלגל יש תנועה מקומית שהיא הסיבוב, ולא תנועת שינוי אחר]</w:t>
      </w:r>
      <w:r w:rsidRPr="00A26E89">
        <w:rPr>
          <w:rtl/>
        </w:rPr>
        <w:t>, כהשתנות ההנחות בעצמם לכל חלק ממנו</w:t>
      </w:r>
      <w:r w:rsidR="00AF030B">
        <w:rPr>
          <w:rFonts w:hint="cs"/>
          <w:rtl/>
        </w:rPr>
        <w:t xml:space="preserve"> [תנועת הגלגל היא שהמצב של חלקיו משתנה (כלומר אין בו שינוי ביחס למשהו חיצוני לו)]</w:t>
      </w:r>
      <w:r w:rsidRPr="00A26E89">
        <w:rPr>
          <w:rtl/>
        </w:rPr>
        <w:t>.</w:t>
      </w:r>
      <w:r w:rsidR="00F055C8">
        <w:rPr>
          <w:rtl/>
        </w:rPr>
        <w:t>"</w:t>
      </w:r>
    </w:p>
    <w:p w14:paraId="2FF2FB66" w14:textId="168E0E15" w:rsidR="00560EFE" w:rsidRDefault="00560EFE">
      <w:pPr>
        <w:pStyle w:val="FootnoteText"/>
        <w:rPr>
          <w:rtl/>
        </w:rPr>
      </w:pPr>
      <w:r>
        <w:rPr>
          <w:rFonts w:hint="cs"/>
          <w:rtl/>
        </w:rPr>
        <w:t>יש כאן סתירה</w:t>
      </w:r>
      <w:r w:rsidR="00B46907">
        <w:rPr>
          <w:rFonts w:hint="cs"/>
          <w:rtl/>
        </w:rPr>
        <w:t>.</w:t>
      </w:r>
      <w:r>
        <w:rPr>
          <w:rFonts w:hint="cs"/>
          <w:rtl/>
        </w:rPr>
        <w:t xml:space="preserve"> הצורות שהחומר שלהן מורכב מארבעת היסודות</w:t>
      </w:r>
      <w:r w:rsidR="00B46907">
        <w:rPr>
          <w:rFonts w:hint="cs"/>
          <w:rtl/>
        </w:rPr>
        <w:t>,</w:t>
      </w:r>
      <w:r>
        <w:rPr>
          <w:rFonts w:hint="cs"/>
          <w:rtl/>
        </w:rPr>
        <w:t xml:space="preserve"> תמיד נפסדות מהחומר</w:t>
      </w:r>
      <w:r w:rsidR="00B46907">
        <w:rPr>
          <w:rFonts w:hint="cs"/>
          <w:rtl/>
        </w:rPr>
        <w:t>,</w:t>
      </w:r>
      <w:r>
        <w:rPr>
          <w:rFonts w:hint="cs"/>
          <w:rtl/>
        </w:rPr>
        <w:t xml:space="preserve"> </w:t>
      </w:r>
      <w:r w:rsidR="00B46907">
        <w:rPr>
          <w:rFonts w:hint="cs"/>
          <w:rtl/>
        </w:rPr>
        <w:t xml:space="preserve">כי סיבוב הגלגל גורם לחומר של ארבעת היסודות שינויי מזג תמידיים ובשינוי המזג כבר אינו מוכן לקבל הצורה ולכן היא נפסדת ממנו. </w:t>
      </w:r>
    </w:p>
    <w:p w14:paraId="2D216441" w14:textId="77777777" w:rsidR="006348DD" w:rsidRDefault="00B46907">
      <w:pPr>
        <w:pStyle w:val="FootnoteText"/>
        <w:rPr>
          <w:rtl/>
        </w:rPr>
      </w:pPr>
      <w:r>
        <w:rPr>
          <w:rFonts w:hint="cs"/>
          <w:rtl/>
        </w:rPr>
        <w:t>אמנם ארבעת היסודות בעצמם משתנים מזה אל זה. החומר של צורות ארבעת היסודות הוא ההיולי, החומר הראשון. הוא לא מורכב ואין בו שינויי מזג, ולא מובן למה הצורות שמצטיירות בו, הן ארבעת היסודות, הם עצמם בתנועה של התהוות והפסד. ההסבר לזה מוכרח להיות שבחומר הראשון עצמו דבק ההעדר שגורם לפשיטת הצורה ממנו אחרי שהתלבשה בו</w:t>
      </w:r>
      <w:r w:rsidR="006348DD">
        <w:rPr>
          <w:rFonts w:hint="cs"/>
          <w:rtl/>
        </w:rPr>
        <w:t xml:space="preserve"> (כלומר לא צריך להגיע עד לשינוי המזג מכח סיבוב הגלגל כדי להסביר את פשיטת הצורה התמידית, אלא זהו מעצם טבע ההיולי שהוא העדר וחוסר צורה, וטבעו גורם לו שהצורות לא מתמידות בו)</w:t>
      </w:r>
      <w:r>
        <w:rPr>
          <w:rFonts w:hint="cs"/>
          <w:rtl/>
        </w:rPr>
        <w:t>. אם זה כך, אז איך יתכן שהנבראים הנצחיים, הגלגלים, הם נצחיים</w:t>
      </w:r>
      <w:r w:rsidR="006348DD">
        <w:rPr>
          <w:rFonts w:hint="cs"/>
          <w:rtl/>
        </w:rPr>
        <w:t xml:space="preserve"> שהרי גם הם בעלי חומר</w:t>
      </w:r>
      <w:r>
        <w:rPr>
          <w:rFonts w:hint="cs"/>
          <w:rtl/>
        </w:rPr>
        <w:t>?</w:t>
      </w:r>
    </w:p>
    <w:p w14:paraId="0A81638E" w14:textId="77777777" w:rsidR="00621541" w:rsidRDefault="00621541">
      <w:pPr>
        <w:pStyle w:val="FootnoteText"/>
        <w:rPr>
          <w:rtl/>
        </w:rPr>
      </w:pPr>
    </w:p>
    <w:p w14:paraId="625486B3" w14:textId="0394B47A" w:rsidR="006348DD" w:rsidRDefault="006348DD">
      <w:pPr>
        <w:pStyle w:val="FootnoteText"/>
        <w:rPr>
          <w:rtl/>
        </w:rPr>
      </w:pPr>
      <w:r>
        <w:rPr>
          <w:rFonts w:hint="cs"/>
          <w:rtl/>
        </w:rPr>
        <w:t>במורה נבוכים ב' כ</w:t>
      </w:r>
      <w:r w:rsidR="00F055C8">
        <w:rPr>
          <w:rtl/>
        </w:rPr>
        <w:t>"</w:t>
      </w:r>
      <w:r>
        <w:rPr>
          <w:rFonts w:hint="cs"/>
          <w:rtl/>
        </w:rPr>
        <w:t>ו</w:t>
      </w:r>
      <w:r w:rsidR="003A5D08">
        <w:rPr>
          <w:rtl/>
        </w:rPr>
        <w:fldChar w:fldCharType="begin"/>
      </w:r>
      <w:r w:rsidR="003A5D08">
        <w:instrText xml:space="preserve"> XE "</w:instrText>
      </w:r>
      <w:r w:rsidR="003A5D08" w:rsidRPr="000D4186">
        <w:rPr>
          <w:rFonts w:hint="cs"/>
          <w:rtl/>
        </w:rPr>
        <w:instrText>מורה נבוכים ב' כ</w:instrText>
      </w:r>
      <w:r w:rsidR="003A5D08">
        <w:rPr>
          <w:b/>
          <w:bCs/>
          <w:sz w:val="20"/>
          <w:szCs w:val="20"/>
        </w:rPr>
        <w:instrText>\</w:instrText>
      </w:r>
      <w:r w:rsidR="003A5D08" w:rsidRPr="000D4186">
        <w:rPr>
          <w:rtl/>
        </w:rPr>
        <w:instrText>"</w:instrText>
      </w:r>
      <w:r w:rsidR="003A5D08" w:rsidRPr="000D4186">
        <w:rPr>
          <w:rFonts w:hint="cs"/>
          <w:rtl/>
        </w:rPr>
        <w:instrText>ו - שני חומרים ראשוניים</w:instrText>
      </w:r>
      <w:r w:rsidR="003A5D08">
        <w:instrText xml:space="preserve">" </w:instrText>
      </w:r>
      <w:r w:rsidR="003A5D08">
        <w:rPr>
          <w:rtl/>
        </w:rPr>
        <w:fldChar w:fldCharType="end"/>
      </w:r>
      <w:r>
        <w:rPr>
          <w:rFonts w:hint="cs"/>
          <w:rtl/>
        </w:rPr>
        <w:t xml:space="preserve"> כתב על זה:</w:t>
      </w:r>
    </w:p>
    <w:p w14:paraId="7A3E8F46" w14:textId="0E8C6EAB" w:rsidR="006348DD" w:rsidRDefault="00F055C8" w:rsidP="006348DD">
      <w:pPr>
        <w:pStyle w:val="FootnoteText"/>
        <w:rPr>
          <w:rtl/>
        </w:rPr>
      </w:pPr>
      <w:r>
        <w:rPr>
          <w:rtl/>
        </w:rPr>
        <w:t>"</w:t>
      </w:r>
      <w:r w:rsidR="009A5412" w:rsidRPr="009A5412">
        <w:rPr>
          <w:rtl/>
        </w:rPr>
        <w:t xml:space="preserve">שהוא </w:t>
      </w:r>
      <w:r w:rsidR="009A5412">
        <w:rPr>
          <w:rFonts w:hint="cs"/>
          <w:rtl/>
        </w:rPr>
        <w:t xml:space="preserve">[רבי אליעזר] </w:t>
      </w:r>
      <w:r w:rsidR="009A5412" w:rsidRPr="009A5412">
        <w:rPr>
          <w:rtl/>
        </w:rPr>
        <w:t>באר</w:t>
      </w:r>
      <w:r w:rsidR="009A5412">
        <w:rPr>
          <w:rFonts w:hint="cs"/>
          <w:rtl/>
        </w:rPr>
        <w:t xml:space="preserve"> </w:t>
      </w:r>
      <w:r w:rsidR="006348DD">
        <w:rPr>
          <w:rtl/>
        </w:rPr>
        <w:t>שחומר השמים בלתי חומר הארץ ושהם שני חמרים נבדלים מאוד</w:t>
      </w:r>
      <w:r w:rsidR="006348DD">
        <w:rPr>
          <w:rFonts w:hint="cs"/>
          <w:rtl/>
        </w:rPr>
        <w:t>,</w:t>
      </w:r>
      <w:r w:rsidR="006348DD">
        <w:rPr>
          <w:rtl/>
        </w:rPr>
        <w:t xml:space="preserve"> האחד מיוחס לו ית' למעלתו וגדולתו והוא - 'מאור לבושו'; והחומר האחר רחוק מאורו ית' וזהרו והוא - החומר התחתון ושמהו 'משלג שתחת כסא הכבוד'. וזהו אשר שמני שאפרש מאמר התורה </w:t>
      </w:r>
      <w:r>
        <w:rPr>
          <w:rtl/>
        </w:rPr>
        <w:t>"</w:t>
      </w:r>
      <w:r w:rsidR="006348DD">
        <w:rPr>
          <w:rtl/>
        </w:rPr>
        <w:t>ותחת רגליו כמעשה לבנת הספיר</w:t>
      </w:r>
      <w:r>
        <w:rPr>
          <w:rtl/>
        </w:rPr>
        <w:t>"</w:t>
      </w:r>
      <w:r w:rsidR="006348DD">
        <w:rPr>
          <w:rtl/>
        </w:rPr>
        <w:t xml:space="preserve"> - שהם השיגו ב'מראה הנבואה' ההוא אמיתת החומר הראשון התחתון; כי אונקלוס שם 'רגליו' שב אל ה'כסא' כמו שבארתי לך - וזה באר שהלבן ההוא שתחת ה'כסא' הוא חומר הארץ</w:t>
      </w:r>
      <w:r w:rsidR="006348DD">
        <w:rPr>
          <w:rFonts w:hint="cs"/>
          <w:rtl/>
        </w:rPr>
        <w:t>.</w:t>
      </w:r>
    </w:p>
    <w:p w14:paraId="22766E19" w14:textId="465E7EA6" w:rsidR="006348DD" w:rsidRDefault="006348DD" w:rsidP="006348DD">
      <w:pPr>
        <w:pStyle w:val="FootnoteText"/>
        <w:rPr>
          <w:rtl/>
        </w:rPr>
      </w:pPr>
      <w:r>
        <w:rPr>
          <w:rtl/>
        </w:rPr>
        <w:t xml:space="preserve">וכבר שנה ר' אליעזר זה הענין בעצמו וגילה בו - רצוני לומר היותם שני חמרים עליוני ותחתוני - ושאין חומר הכל אחד. וזהו סוד גדול לא תקל בבאור גדולי חכמי ישראל בו שהוא סוד מסודות המציאות ו'סתר' מ'סתרי תורה'. ב'בראשית רבה' אמרו </w:t>
      </w:r>
      <w:r w:rsidR="00F055C8">
        <w:rPr>
          <w:rtl/>
        </w:rPr>
        <w:t>"</w:t>
      </w:r>
      <w:r>
        <w:rPr>
          <w:rtl/>
        </w:rPr>
        <w:t>ר' אליעזר אומר כל מה שיש בשמים - בריאתו מן השמים וכל מה שיש בארץ - בריאתו מן הארץ</w:t>
      </w:r>
      <w:r w:rsidR="00F055C8">
        <w:rPr>
          <w:rtl/>
        </w:rPr>
        <w:t>"</w:t>
      </w:r>
      <w:r>
        <w:rPr>
          <w:rtl/>
        </w:rPr>
        <w:t>. והתבונן איך באר לך זה החכם כי חומר כל מה שבארץ - חומר אחד משותף - רצוני לומר כל מה שתחת גלגל הירח - וחומר כל השמים ומה שבהם - חומר אחר אינו זה. ובאר ב'פרקיו' זה החידוש המוסף - רצוני לומר מעלת החומר ההוא וקרבתו לו וחסרון זה וגבול מקומו גם כן. ודע זה</w:t>
      </w:r>
      <w:r w:rsidR="00F055C8">
        <w:rPr>
          <w:rtl/>
        </w:rPr>
        <w:t>"</w:t>
      </w:r>
    </w:p>
    <w:p w14:paraId="7F6AE63B" w14:textId="77777777" w:rsidR="00720BBA" w:rsidRDefault="00832019" w:rsidP="006348DD">
      <w:pPr>
        <w:pStyle w:val="FootnoteText"/>
        <w:rPr>
          <w:rtl/>
        </w:rPr>
      </w:pPr>
      <w:r>
        <w:rPr>
          <w:rFonts w:hint="cs"/>
          <w:rtl/>
        </w:rPr>
        <w:t>כיוון שזה סוד גדול אבן סינא רק רומז לזה באמרו שאי אפשר שיהיו שני היוליים, ואחר כך אומר שאולי כן אפשר.</w:t>
      </w:r>
    </w:p>
    <w:p w14:paraId="2114EC0D" w14:textId="3CD3B073" w:rsidR="00832019" w:rsidRDefault="00720BBA" w:rsidP="006348DD">
      <w:pPr>
        <w:pStyle w:val="FootnoteText"/>
        <w:rPr>
          <w:rtl/>
        </w:rPr>
      </w:pPr>
      <w:r>
        <w:rPr>
          <w:rFonts w:hint="cs"/>
          <w:rtl/>
        </w:rPr>
        <w:t xml:space="preserve">אחר כך ביארתי יותר בעניין שני החומרים הראשונים </w:t>
      </w:r>
      <w:r w:rsidR="00241999">
        <w:rPr>
          <w:rFonts w:hint="cs"/>
          <w:rtl/>
        </w:rPr>
        <w:t xml:space="preserve">באופן </w:t>
      </w:r>
      <w:r w:rsidR="009C463A">
        <w:rPr>
          <w:rFonts w:hint="cs"/>
          <w:rtl/>
        </w:rPr>
        <w:t>מדויק</w:t>
      </w:r>
      <w:r w:rsidR="00241999">
        <w:rPr>
          <w:rFonts w:hint="cs"/>
          <w:rtl/>
        </w:rPr>
        <w:t xml:space="preserve"> יותר. עיין בזה בשיעורים על מורה נבוכים </w:t>
      </w:r>
      <w:hyperlink r:id="rId75" w:history="1">
        <w:r w:rsidR="00241999" w:rsidRPr="00725B7B">
          <w:rPr>
            <w:rStyle w:val="Hyperlink"/>
            <w:rFonts w:hint="cs"/>
            <w:rtl/>
          </w:rPr>
          <w:t xml:space="preserve">שיעור </w:t>
        </w:r>
        <w:r w:rsidR="00725B7B" w:rsidRPr="00725B7B">
          <w:rPr>
            <w:rStyle w:val="Hyperlink"/>
            <w:rFonts w:hint="cs"/>
            <w:rtl/>
          </w:rPr>
          <w:t>0058</w:t>
        </w:r>
      </w:hyperlink>
      <w:r w:rsidR="009625B2">
        <w:rPr>
          <w:rFonts w:hint="cs"/>
          <w:rtl/>
        </w:rPr>
        <w:t>.</w:t>
      </w:r>
      <w:r w:rsidR="00832019">
        <w:rPr>
          <w:rFonts w:hint="cs"/>
          <w:rtl/>
        </w:rPr>
        <w:t xml:space="preserve"> </w:t>
      </w:r>
    </w:p>
    <w:p w14:paraId="62BEFE9D" w14:textId="3189032A" w:rsidR="00B46907" w:rsidRDefault="006348DD" w:rsidP="006348DD">
      <w:pPr>
        <w:pStyle w:val="FootnoteText"/>
        <w:rPr>
          <w:rtl/>
        </w:rPr>
      </w:pPr>
      <w:r>
        <w:rPr>
          <w:rFonts w:hint="cs"/>
          <w:rtl/>
        </w:rPr>
        <w:t>הכוונה כאן שהחומר הראשון, ההיולי, הוא החומר המשותף לצורת ארבעת היסודות. היסודות משתנים מהאחד אל משנהו, והמצע</w:t>
      </w:r>
      <w:r w:rsidR="002D60C4">
        <w:rPr>
          <w:rtl/>
        </w:rPr>
        <w:fldChar w:fldCharType="begin"/>
      </w:r>
      <w:r w:rsidR="002D60C4">
        <w:instrText xml:space="preserve"> XE "</w:instrText>
      </w:r>
      <w:r w:rsidR="002D60C4" w:rsidRPr="003C2444">
        <w:rPr>
          <w:rFonts w:hint="cs"/>
          <w:rtl/>
        </w:rPr>
        <w:instrText>המצע</w:instrText>
      </w:r>
      <w:r w:rsidR="002D60C4">
        <w:instrText xml:space="preserve">" </w:instrText>
      </w:r>
      <w:r w:rsidR="002D60C4">
        <w:rPr>
          <w:rtl/>
        </w:rPr>
        <w:fldChar w:fldCharType="end"/>
      </w:r>
      <w:r>
        <w:rPr>
          <w:rFonts w:hint="cs"/>
          <w:rtl/>
        </w:rPr>
        <w:t xml:space="preserve"> לשינוי הזה הוא החומר הראשון. עצם מה שהם משתנים מזה אל זה הוא הוכחה שחומרם הוא אחד, והוא המצע שבו חל השינוי. אבל החומר החמישי, שהוא החומר של הגלגלים והכוכבים, אינו אותו חומר שמשותף לארבעת היסודות אלא הוא שונה בטבעו והוא לא גורם לפשיטת הצורות שחלות בו.</w:t>
      </w:r>
      <w:r w:rsidR="00621541">
        <w:rPr>
          <w:rFonts w:hint="cs"/>
          <w:rtl/>
        </w:rPr>
        <w:t xml:space="preserve"> ועיין עוד בזה ב</w:t>
      </w:r>
      <w:r w:rsidR="00F055C8">
        <w:rPr>
          <w:rtl/>
        </w:rPr>
        <w:t>"</w:t>
      </w:r>
      <w:r w:rsidR="00621541" w:rsidRPr="00621541">
        <w:rPr>
          <w:rtl/>
        </w:rPr>
        <w:t>על השמיים</w:t>
      </w:r>
      <w:r w:rsidR="00F055C8">
        <w:rPr>
          <w:rtl/>
        </w:rPr>
        <w:t>"</w:t>
      </w:r>
      <w:r w:rsidR="00621541" w:rsidRPr="00621541">
        <w:rPr>
          <w:rtl/>
        </w:rPr>
        <w:t xml:space="preserve"> </w:t>
      </w:r>
      <w:r w:rsidR="00621541">
        <w:rPr>
          <w:rFonts w:hint="cs"/>
          <w:rtl/>
        </w:rPr>
        <w:t xml:space="preserve">מאת אריסטו </w:t>
      </w:r>
      <w:r w:rsidR="00621541" w:rsidRPr="00621541">
        <w:rPr>
          <w:rtl/>
        </w:rPr>
        <w:t>ספר ב' סוף פרק ג'</w:t>
      </w:r>
      <w:r w:rsidR="00621541">
        <w:rPr>
          <w:rFonts w:hint="cs"/>
          <w:rtl/>
        </w:rPr>
        <w:t>.</w:t>
      </w:r>
    </w:p>
    <w:p w14:paraId="4E8E7EE0" w14:textId="3CDF048D" w:rsidR="009A5412" w:rsidRDefault="009A5412" w:rsidP="006348DD">
      <w:pPr>
        <w:pStyle w:val="FootnoteText"/>
        <w:rPr>
          <w:rtl/>
        </w:rPr>
      </w:pPr>
      <w:r>
        <w:rPr>
          <w:rFonts w:hint="cs"/>
          <w:rtl/>
        </w:rPr>
        <w:t>החומר החמישי</w:t>
      </w:r>
      <w:r>
        <w:rPr>
          <w:rtl/>
        </w:rPr>
        <w:fldChar w:fldCharType="begin"/>
      </w:r>
      <w:r>
        <w:instrText xml:space="preserve"> XE "</w:instrText>
      </w:r>
      <w:r w:rsidRPr="00735B78">
        <w:rPr>
          <w:rFonts w:hint="cs"/>
          <w:rtl/>
        </w:rPr>
        <w:instrText>החומר החמישי</w:instrText>
      </w:r>
      <w:r>
        <w:instrText xml:space="preserve">" </w:instrText>
      </w:r>
      <w:r>
        <w:rPr>
          <w:rtl/>
        </w:rPr>
        <w:fldChar w:fldCharType="end"/>
      </w:r>
      <w:r>
        <w:rPr>
          <w:rFonts w:hint="cs"/>
          <w:rtl/>
        </w:rPr>
        <w:t>, או היסוד החמישי, אינו עוד אחד מהיסודות, אלא הוא חלוקה בפני עצמה. החומר החמישי הוא בחינה של ההיולי שקיימת בפני עצמה במקביל להיולי ששייך לארבעת היסודות, והוא מקיף את כל הבריאה כולה</w:t>
      </w:r>
      <w:r w:rsidR="001F6573">
        <w:rPr>
          <w:rFonts w:hint="cs"/>
          <w:rtl/>
        </w:rPr>
        <w:t>, והוא החומר הראשון השמיימי</w:t>
      </w:r>
      <w:r>
        <w:rPr>
          <w:rFonts w:hint="cs"/>
          <w:rtl/>
        </w:rPr>
        <w:t xml:space="preserve">. עיין בזה עיונים בפילוסופיה אריסטוטלית </w:t>
      </w:r>
      <w:hyperlink r:id="rId76" w:history="1">
        <w:r w:rsidRPr="001F6573">
          <w:rPr>
            <w:rStyle w:val="Hyperlink"/>
            <w:rFonts w:hint="cs"/>
            <w:rtl/>
          </w:rPr>
          <w:t>רשימה 50</w:t>
        </w:r>
      </w:hyperlink>
      <w:r>
        <w:rPr>
          <w:rFonts w:hint="cs"/>
          <w:rtl/>
        </w:rPr>
        <w:t xml:space="preserve"> במאמר הנקרא הנמשל של חכמת הקבלה</w:t>
      </w:r>
      <w:r w:rsidR="00D17207">
        <w:rPr>
          <w:rtl/>
        </w:rPr>
        <w:fldChar w:fldCharType="begin"/>
      </w:r>
      <w:r w:rsidR="00D17207">
        <w:instrText xml:space="preserve"> XE "</w:instrText>
      </w:r>
      <w:r w:rsidR="00D17207" w:rsidRPr="00901FD8">
        <w:rPr>
          <w:rFonts w:hint="cs"/>
          <w:rtl/>
        </w:rPr>
        <w:instrText>הנמשל של חכמת הקבלה</w:instrText>
      </w:r>
      <w:r w:rsidR="00D17207">
        <w:instrText xml:space="preserve">" </w:instrText>
      </w:r>
      <w:r w:rsidR="00D17207">
        <w:rPr>
          <w:rtl/>
        </w:rPr>
        <w:fldChar w:fldCharType="end"/>
      </w:r>
      <w:r>
        <w:rPr>
          <w:rFonts w:hint="cs"/>
          <w:rtl/>
        </w:rPr>
        <w:t>. בו התבאר שהתיאור של הגלגלים כגדלי בצל הוא רק מצד החיצוניות, אבל לפי האמת כולם מלאים ובכולם נמצא הגלגל החיצון והחומר החמישי</w:t>
      </w:r>
      <w:r w:rsidR="00832019">
        <w:rPr>
          <w:rFonts w:hint="cs"/>
          <w:rtl/>
        </w:rPr>
        <w:t>, זה הסוד שכאן</w:t>
      </w:r>
      <w:r>
        <w:rPr>
          <w:rFonts w:hint="cs"/>
          <w:rtl/>
        </w:rPr>
        <w:t xml:space="preserve">. </w:t>
      </w:r>
      <w:r w:rsidR="00C5257F">
        <w:rPr>
          <w:rFonts w:hint="cs"/>
          <w:rtl/>
        </w:rPr>
        <w:t>החומר החמישי הוא המקום שהגופים תופשים, והוא רק המרחקים בלבד, כלומר קטגוריית הכמות בלבד, רק המידות. הוא מה שאנו מכנים חלל ריק, מה שנמצא בין הכוכבים או בין החלקיקים היסודיים של החומר. החלל הזה קיים כי יש לו מידות, מה שאינו קיים לא יתכן שתהיינה לו מידות כי אין את מה למדוד, והוא החומר החמישי.</w:t>
      </w:r>
      <w:r w:rsidR="00C50586">
        <w:rPr>
          <w:rFonts w:hint="cs"/>
          <w:rtl/>
        </w:rPr>
        <w:t xml:space="preserve"> הוא מה שאבן סינא מדבר עליו כעל </w:t>
      </w:r>
      <w:r w:rsidR="00F055C8">
        <w:rPr>
          <w:rtl/>
        </w:rPr>
        <w:t>"</w:t>
      </w:r>
      <w:r w:rsidR="00C50586">
        <w:rPr>
          <w:rFonts w:hint="cs"/>
          <w:rtl/>
        </w:rPr>
        <w:t>צורת התלת ממדיות</w:t>
      </w:r>
      <w:r w:rsidR="00997A9B">
        <w:rPr>
          <w:rtl/>
        </w:rPr>
        <w:fldChar w:fldCharType="begin"/>
      </w:r>
      <w:r w:rsidR="00997A9B">
        <w:instrText xml:space="preserve"> XE "</w:instrText>
      </w:r>
      <w:r w:rsidR="00997A9B" w:rsidRPr="00660639">
        <w:rPr>
          <w:rFonts w:hint="cs"/>
          <w:rtl/>
        </w:rPr>
        <w:instrText>צורת התלת ממדיות</w:instrText>
      </w:r>
      <w:r w:rsidR="00997A9B">
        <w:instrText xml:space="preserve">" </w:instrText>
      </w:r>
      <w:r w:rsidR="00997A9B">
        <w:rPr>
          <w:rtl/>
        </w:rPr>
        <w:fldChar w:fldCharType="end"/>
      </w:r>
      <w:r w:rsidR="00F055C8">
        <w:rPr>
          <w:rtl/>
        </w:rPr>
        <w:t>"</w:t>
      </w:r>
      <w:r w:rsidR="00C50586">
        <w:rPr>
          <w:rFonts w:hint="cs"/>
          <w:rtl/>
        </w:rPr>
        <w:t xml:space="preserve"> שנדונה בכמה מקומות כאן. </w:t>
      </w:r>
    </w:p>
    <w:p w14:paraId="47ECD5F2" w14:textId="63D86E58" w:rsidR="00010073" w:rsidRDefault="00010073" w:rsidP="006348DD">
      <w:pPr>
        <w:pStyle w:val="FootnoteText"/>
        <w:rPr>
          <w:rtl/>
        </w:rPr>
      </w:pPr>
    </w:p>
    <w:p w14:paraId="010E001D" w14:textId="6B64B0C3" w:rsidR="00010073" w:rsidRDefault="00010073" w:rsidP="006348DD">
      <w:pPr>
        <w:pStyle w:val="FootnoteText"/>
        <w:rPr>
          <w:rtl/>
        </w:rPr>
      </w:pPr>
      <w:r>
        <w:rPr>
          <w:rFonts w:hint="cs"/>
          <w:rtl/>
        </w:rPr>
        <w:t>בהלכות יסודי התורה ג' י' כתב הרמב</w:t>
      </w:r>
      <w:r w:rsidR="00F055C8">
        <w:rPr>
          <w:rtl/>
        </w:rPr>
        <w:t>"</w:t>
      </w:r>
      <w:r>
        <w:rPr>
          <w:rFonts w:hint="cs"/>
          <w:rtl/>
        </w:rPr>
        <w:t>ם:</w:t>
      </w:r>
    </w:p>
    <w:p w14:paraId="6A72CAD6" w14:textId="16219467" w:rsidR="00010073" w:rsidRDefault="00F055C8" w:rsidP="006348DD">
      <w:pPr>
        <w:pStyle w:val="FootnoteText"/>
        <w:rPr>
          <w:rtl/>
        </w:rPr>
      </w:pPr>
      <w:r>
        <w:rPr>
          <w:rtl/>
        </w:rPr>
        <w:t>"</w:t>
      </w:r>
      <w:r w:rsidR="00010073" w:rsidRPr="00010073">
        <w:rPr>
          <w:rtl/>
        </w:rPr>
        <w:t>בָּרָא הָאֵל לְמַטָּה מִגַּלְגַּל הַיָּרֵחַ גֹּלֶם אֶחָד שֶׁאֵינוֹ כְּגֹלֶם הַגַּלְגַּלִּים, וּבָרָא אַרְבַּע צוּרוֹת לְגֹלֶם זֶה, וְאֵינָן כְּצוּרַת הַגַּלְגַּלִּים, וְנִקְבְּעָה כָּל צוּרָה וְצוּרָה בְּמִקְצָת גֹּלֶם זֶה.</w:t>
      </w:r>
      <w:r>
        <w:rPr>
          <w:rtl/>
        </w:rPr>
        <w:t>"</w:t>
      </w:r>
    </w:p>
    <w:p w14:paraId="318C886F" w14:textId="0FBF6111" w:rsidR="00010073" w:rsidRDefault="00010073" w:rsidP="006348DD">
      <w:pPr>
        <w:pStyle w:val="FootnoteText"/>
        <w:rPr>
          <w:rtl/>
        </w:rPr>
      </w:pPr>
      <w:r>
        <w:rPr>
          <w:rFonts w:hint="cs"/>
          <w:rtl/>
        </w:rPr>
        <w:t xml:space="preserve">מבואר שהחומר הראשון של העולם הארצי אינו כחומר הגלגלים. כלומר כל ארבעת היסודות ביחד הם כולם צורות שמצטיירות בחומר הראשון הארצי, ולעומתם יש חומר של הגלגלים שהוא חומר אחר. כיוון שחומר הגלגלים נקרא החומר החמישי או היסוד החמישי, אפשר לחשוב בטעות שהוא עומד באותה מדרגה כמו האש רוח מים ועפר, שבצד הארבע האלה יש יסוד חמישי שעומד באותו מישור איתם. אבל באמת כל ארבעת היסודות הארציים הם במישור אחד, וכולם הם צורות בחומר הראשון, ומול החומר הראשון יש חומר הגלגלים שעומד באותו רובד של החומר הארצי, ונמצא שיש שני חומרים ראשונים, האחד הארצי שבו חלות צורות ארבעת היסודות, והשני הוא השמיימי </w:t>
      </w:r>
      <w:r w:rsidR="002C45E4">
        <w:rPr>
          <w:rFonts w:hint="cs"/>
          <w:rtl/>
        </w:rPr>
        <w:t xml:space="preserve">(עיין בהמשך סעיף זה בהערה </w:t>
      </w:r>
      <w:r w:rsidR="00D750AD">
        <w:rPr>
          <w:rFonts w:hint="cs"/>
          <w:rtl/>
        </w:rPr>
        <w:t xml:space="preserve">נוספת </w:t>
      </w:r>
      <w:r w:rsidR="002C45E4">
        <w:rPr>
          <w:rFonts w:hint="cs"/>
          <w:rtl/>
        </w:rPr>
        <w:t xml:space="preserve">עוד </w:t>
      </w:r>
      <w:r w:rsidR="00D750AD">
        <w:rPr>
          <w:rFonts w:hint="cs"/>
          <w:rtl/>
        </w:rPr>
        <w:t xml:space="preserve">ביאור </w:t>
      </w:r>
      <w:r w:rsidR="002C45E4">
        <w:rPr>
          <w:rFonts w:hint="cs"/>
          <w:rtl/>
        </w:rPr>
        <w:t>בעניין שני החומרים הראשונים האלה</w:t>
      </w:r>
      <w:r w:rsidR="00D750AD">
        <w:rPr>
          <w:rFonts w:hint="cs"/>
          <w:rtl/>
        </w:rPr>
        <w:t>).</w:t>
      </w:r>
    </w:p>
    <w:p w14:paraId="56084514" w14:textId="43F9FE5F" w:rsidR="00010073" w:rsidRDefault="00010073" w:rsidP="006348DD">
      <w:pPr>
        <w:pStyle w:val="FootnoteText"/>
        <w:rPr>
          <w:rtl/>
        </w:rPr>
      </w:pPr>
      <w:r>
        <w:rPr>
          <w:rFonts w:hint="cs"/>
          <w:rtl/>
        </w:rPr>
        <w:t>כמו שהארץ כלולה בשמיים והיא גילוי של השמיים, ובכל דבר ארצי יש שורש שמיימי שמשם הווייתו, כך חומר ארבעת היסודות, הוא ההיולי, כלול בחומר החמישי שהוא ה'חומר הראשון' השמיימי, ובחומר הארצי מונח בו עצמו החומר החמישי, שהוא המקום המופשט המתימטי שהוא תופש, שזו הכמות שהיא הנברא הראשון אחרי התוהו המוחלט, הכאוס</w:t>
      </w:r>
      <w:r w:rsidR="00136660">
        <w:rPr>
          <w:rFonts w:hint="cs"/>
          <w:rtl/>
        </w:rPr>
        <w:t>, שהוא ההיולי הראשוני שמשותף לשמיימי ולארצי והוא אחד פשוט כמו בוראו. החלוקה לחומר שמיימי וחומר ראשון ארצי היא כבר בשלב הבוהו, שבו התוהו הגמור נתפש כבכח של משהו (ומצד עצמו התוהו הגמור הוא מופשט לגמרי ואין בו תפישה כמו שאין תפישה באין סוף, והוא זה שנאמר עליו שהאחד ברא אחד, ובו הסתיימה הבריאה יש מאין (בערבית איבדע</w:t>
      </w:r>
      <w:r w:rsidR="00E20110">
        <w:rPr>
          <w:rtl/>
        </w:rPr>
        <w:fldChar w:fldCharType="begin"/>
      </w:r>
      <w:r w:rsidR="00E20110">
        <w:instrText xml:space="preserve"> XE "</w:instrText>
      </w:r>
      <w:r w:rsidR="00E20110" w:rsidRPr="00DC4494">
        <w:rPr>
          <w:rFonts w:hint="cs"/>
          <w:rtl/>
        </w:rPr>
        <w:instrText xml:space="preserve">'איבדע' - בריאה </w:instrText>
      </w:r>
      <w:r w:rsidR="00D82633">
        <w:rPr>
          <w:rFonts w:hint="cs"/>
          <w:rtl/>
        </w:rPr>
        <w:instrText>לא זמנית</w:instrText>
      </w:r>
      <w:r w:rsidR="00E20110">
        <w:instrText xml:space="preserve">" </w:instrText>
      </w:r>
      <w:r w:rsidR="00E20110">
        <w:rPr>
          <w:rtl/>
        </w:rPr>
        <w:fldChar w:fldCharType="end"/>
      </w:r>
      <w:r w:rsidR="00136660">
        <w:rPr>
          <w:rFonts w:hint="cs"/>
          <w:rtl/>
        </w:rPr>
        <w:t xml:space="preserve">), וכל השאר הוא מימוש אפשרויות שקיימות בו בכח). </w:t>
      </w:r>
      <w:r>
        <w:rPr>
          <w:rFonts w:hint="cs"/>
          <w:rtl/>
        </w:rPr>
        <w:t xml:space="preserve"> </w:t>
      </w:r>
    </w:p>
    <w:p w14:paraId="663D57A3" w14:textId="5A580472" w:rsidR="00E50FE3" w:rsidRDefault="00E50FE3" w:rsidP="006348DD">
      <w:pPr>
        <w:pStyle w:val="FootnoteText"/>
        <w:rPr>
          <w:rtl/>
        </w:rPr>
      </w:pPr>
    </w:p>
    <w:p w14:paraId="1DB0FCA4" w14:textId="019AF08E" w:rsidR="00997A9B" w:rsidRDefault="00997A9B" w:rsidP="00997A9B">
      <w:pPr>
        <w:pStyle w:val="FootnoteText"/>
        <w:rPr>
          <w:rtl/>
        </w:rPr>
      </w:pPr>
      <w:r>
        <w:rPr>
          <w:rFonts w:hint="cs"/>
          <w:rtl/>
        </w:rPr>
        <w:t>במורה נבוכים א' ע</w:t>
      </w:r>
      <w:r w:rsidR="00F055C8">
        <w:rPr>
          <w:rtl/>
        </w:rPr>
        <w:t>"</w:t>
      </w:r>
      <w:r>
        <w:rPr>
          <w:rFonts w:hint="cs"/>
          <w:rtl/>
        </w:rPr>
        <w:t xml:space="preserve">ב כתב: </w:t>
      </w:r>
      <w:r w:rsidR="00F055C8">
        <w:rPr>
          <w:rtl/>
        </w:rPr>
        <w:t>"</w:t>
      </w:r>
      <w:r w:rsidRPr="00997A9B">
        <w:rPr>
          <w:rtl/>
        </w:rPr>
        <w:t>כל אשר יקרבו הגשמים לנקודת המרכז, התעכרו והתעבו עצמם וכבדה תנועתם, וסר אורם ובהירותם, לרחקם מן הגוף הנכבד המאיר הבהיר המתנועע הדק הפשוט</w:t>
      </w:r>
      <w:r w:rsidR="00A86E5C">
        <w:rPr>
          <w:rFonts w:hint="cs"/>
          <w:rtl/>
        </w:rPr>
        <w:t>,</w:t>
      </w:r>
      <w:r w:rsidRPr="00997A9B">
        <w:rPr>
          <w:rtl/>
        </w:rPr>
        <w:t xml:space="preserve"> רצה לומר הגלגל, וכל אשר יקרב לו גשם יקנה ממנו מעט מאלו המדות כפי קרבתו, ותהיה לו קצת מעלה על מה שאחריו.</w:t>
      </w:r>
      <w:r w:rsidR="00F055C8">
        <w:rPr>
          <w:rtl/>
        </w:rPr>
        <w:t>"</w:t>
      </w:r>
    </w:p>
    <w:p w14:paraId="7FF322DB" w14:textId="40D3D9EC" w:rsidR="00997A9B" w:rsidRDefault="00997A9B" w:rsidP="006348DD">
      <w:pPr>
        <w:pStyle w:val="FootnoteText"/>
        <w:rPr>
          <w:rtl/>
        </w:rPr>
      </w:pPr>
      <w:r>
        <w:rPr>
          <w:rFonts w:hint="cs"/>
          <w:rtl/>
        </w:rPr>
        <w:t>וכתב על זה הנרבוני</w:t>
      </w:r>
      <w:r w:rsidR="00617ED0">
        <w:rPr>
          <w:rtl/>
        </w:rPr>
        <w:fldChar w:fldCharType="begin"/>
      </w:r>
      <w:r w:rsidR="00617ED0">
        <w:instrText xml:space="preserve"> XE "</w:instrText>
      </w:r>
      <w:r w:rsidR="00617ED0" w:rsidRPr="00C6667C">
        <w:rPr>
          <w:rFonts w:hint="cs"/>
          <w:rtl/>
        </w:rPr>
        <w:instrText>נרבוני - על החומר החמישי</w:instrText>
      </w:r>
      <w:r w:rsidR="00617ED0">
        <w:instrText xml:space="preserve">" </w:instrText>
      </w:r>
      <w:r w:rsidR="00617ED0">
        <w:rPr>
          <w:rtl/>
        </w:rPr>
        <w:fldChar w:fldCharType="end"/>
      </w:r>
      <w:r>
        <w:rPr>
          <w:rFonts w:hint="cs"/>
          <w:rtl/>
        </w:rPr>
        <w:t xml:space="preserve"> בפירושו שם:</w:t>
      </w:r>
    </w:p>
    <w:p w14:paraId="3BEF1727" w14:textId="6BCDE6DF" w:rsidR="00A86E5C" w:rsidRDefault="00F055C8" w:rsidP="006348DD">
      <w:pPr>
        <w:pStyle w:val="FootnoteText"/>
        <w:rPr>
          <w:rtl/>
        </w:rPr>
      </w:pPr>
      <w:r>
        <w:rPr>
          <w:rtl/>
        </w:rPr>
        <w:t>"</w:t>
      </w:r>
      <w:r w:rsidR="00E50FE3">
        <w:rPr>
          <w:rFonts w:hint="cs"/>
          <w:rtl/>
        </w:rPr>
        <w:t xml:space="preserve">ואמרו </w:t>
      </w:r>
      <w:r>
        <w:rPr>
          <w:rtl/>
        </w:rPr>
        <w:t>"</w:t>
      </w:r>
      <w:r w:rsidR="00E50FE3">
        <w:rPr>
          <w:rFonts w:hint="cs"/>
          <w:rtl/>
        </w:rPr>
        <w:t>הדק</w:t>
      </w:r>
      <w:r>
        <w:rPr>
          <w:rtl/>
        </w:rPr>
        <w:t>"</w:t>
      </w:r>
      <w:r w:rsidR="00E50FE3">
        <w:rPr>
          <w:rFonts w:hint="cs"/>
          <w:rtl/>
        </w:rPr>
        <w:t xml:space="preserve"> ההוא</w:t>
      </w:r>
      <w:r w:rsidR="00997A9B">
        <w:rPr>
          <w:rFonts w:hint="cs"/>
          <w:rtl/>
        </w:rPr>
        <w:t xml:space="preserve"> כמאמר הפילוסופים שהגלגל אם שיהיה בלי חומר או שיהיו הרחקים והשמש והירח ושאר הכוכבים, או שיהיו צורות, רוצה לומר מרחקים בזולת חומר [כלומר צורת התלת ממדיות]</w:t>
      </w:r>
      <w:r w:rsidR="00617ED0">
        <w:rPr>
          <w:rFonts w:hint="cs"/>
          <w:rtl/>
        </w:rPr>
        <w:t xml:space="preserve">, רוצה לומר גשמים רוחיים, ואם שיימצא להם חומר בשיתוף השם עם החומרים אשר בכאן וזה מפני הכח אשר בהם באנה [אנה פירושו המקום, והכוונה שכיוון שבחומר החמישי אין חומר, אם כן אין מה שיתפוש מקום בפועל במרחב התלת ממדי, אלא רק יש כאן פוטנציאל, בכח, לתפוש מקום במרחב התלת ממדי. ומשום כך </w:t>
      </w:r>
      <w:r w:rsidR="00A86E5C">
        <w:rPr>
          <w:rFonts w:hint="cs"/>
          <w:rtl/>
        </w:rPr>
        <w:t>נקראים חומר אבל לא באותו מובן שהחומר הארצי נקרא חומר</w:t>
      </w:r>
      <w:r w:rsidR="00617ED0">
        <w:rPr>
          <w:rFonts w:hint="cs"/>
          <w:rtl/>
        </w:rPr>
        <w:t>]</w:t>
      </w:r>
      <w:r w:rsidR="00A86E5C">
        <w:rPr>
          <w:rFonts w:hint="cs"/>
          <w:rtl/>
        </w:rPr>
        <w:t>.</w:t>
      </w:r>
    </w:p>
    <w:p w14:paraId="75830079" w14:textId="77777777" w:rsidR="00FD5CC6" w:rsidRDefault="00A86E5C" w:rsidP="006348DD">
      <w:pPr>
        <w:pStyle w:val="FootnoteText"/>
        <w:rPr>
          <w:rtl/>
        </w:rPr>
      </w:pPr>
      <w:r>
        <w:rPr>
          <w:rFonts w:hint="cs"/>
          <w:rtl/>
        </w:rPr>
        <w:t>והרצון ב</w:t>
      </w:r>
      <w:r w:rsidR="00F055C8">
        <w:rPr>
          <w:rtl/>
        </w:rPr>
        <w:t>"</w:t>
      </w:r>
      <w:r>
        <w:rPr>
          <w:rFonts w:hint="cs"/>
          <w:rtl/>
        </w:rPr>
        <w:t>דק</w:t>
      </w:r>
      <w:r w:rsidR="00F055C8">
        <w:rPr>
          <w:rtl/>
        </w:rPr>
        <w:t>"</w:t>
      </w:r>
      <w:r>
        <w:rPr>
          <w:rFonts w:hint="cs"/>
          <w:rtl/>
        </w:rPr>
        <w:t xml:space="preserve"> הוא מה שקראוהו כח רוחניי וירצה בפשוט שאיננו מורכב מהיולי וצורה כי השכל אשר הוא צורתו הוא נבדל. אמנם הרב ז</w:t>
      </w:r>
      <w:r w:rsidR="00F055C8">
        <w:rPr>
          <w:rtl/>
        </w:rPr>
        <w:t>"</w:t>
      </w:r>
      <w:r>
        <w:rPr>
          <w:rFonts w:hint="cs"/>
          <w:rtl/>
        </w:rPr>
        <w:t>ל חשב שהוא בעל נפש ושכל בגוף [עיין בשם טוב לגבי הגרסה ובמה חלקו על הרמב</w:t>
      </w:r>
      <w:r w:rsidR="00F055C8">
        <w:rPr>
          <w:rtl/>
        </w:rPr>
        <w:t>"</w:t>
      </w:r>
      <w:r>
        <w:rPr>
          <w:rFonts w:hint="cs"/>
          <w:rtl/>
        </w:rPr>
        <w:t>ם</w:t>
      </w:r>
      <w:r w:rsidR="001F6573">
        <w:rPr>
          <w:rFonts w:hint="cs"/>
          <w:rtl/>
        </w:rPr>
        <w:t>. מחלוקתם על הרמב</w:t>
      </w:r>
      <w:r w:rsidR="00F055C8">
        <w:rPr>
          <w:rtl/>
        </w:rPr>
        <w:t>"</w:t>
      </w:r>
      <w:r w:rsidR="001F6573">
        <w:rPr>
          <w:rFonts w:hint="cs"/>
          <w:rtl/>
        </w:rPr>
        <w:t>ם היא משום שסברו כאבן רושד בזה, ולא כאן המקום להאריך</w:t>
      </w:r>
      <w:r>
        <w:rPr>
          <w:rFonts w:hint="cs"/>
          <w:rtl/>
        </w:rPr>
        <w:t>].</w:t>
      </w:r>
      <w:r w:rsidR="00F055C8">
        <w:rPr>
          <w:rtl/>
        </w:rPr>
        <w:t>"</w:t>
      </w:r>
    </w:p>
    <w:p w14:paraId="355554D5" w14:textId="5E94AD20" w:rsidR="00FD5CC6" w:rsidRDefault="00FD5CC6" w:rsidP="00FD5CC6">
      <w:pPr>
        <w:pStyle w:val="FootnoteText"/>
        <w:rPr>
          <w:rtl/>
        </w:rPr>
      </w:pPr>
    </w:p>
    <w:p w14:paraId="2A2F593F" w14:textId="0FB18D3E" w:rsidR="00FD5CC6" w:rsidRDefault="00FD5CC6" w:rsidP="00FD5CC6">
      <w:pPr>
        <w:pStyle w:val="FootnoteText"/>
        <w:rPr>
          <w:rtl/>
        </w:rPr>
      </w:pPr>
      <w:r>
        <w:rPr>
          <w:rFonts w:hint="cs"/>
          <w:rtl/>
        </w:rPr>
        <w:t>ב"אדם חי"</w:t>
      </w:r>
      <w:hyperlink r:id="rId77" w:history="1">
        <w:r w:rsidRPr="005B2615">
          <w:rPr>
            <w:rStyle w:val="Hyperlink"/>
            <w:rFonts w:hint="cs"/>
            <w:rtl/>
          </w:rPr>
          <w:t xml:space="preserve"> רשימה 271 </w:t>
        </w:r>
      </w:hyperlink>
      <w:r>
        <w:rPr>
          <w:rFonts w:hint="cs"/>
          <w:rtl/>
        </w:rPr>
        <w:t>כתבתי על זה:</w:t>
      </w:r>
    </w:p>
    <w:p w14:paraId="2F59A17A" w14:textId="77777777" w:rsidR="005B2615" w:rsidRDefault="005B2615" w:rsidP="005B2615">
      <w:pPr>
        <w:pStyle w:val="FootnoteText"/>
        <w:rPr>
          <w:rtl/>
        </w:rPr>
      </w:pPr>
      <w:r>
        <w:rPr>
          <w:rFonts w:hint="cs"/>
          <w:rtl/>
        </w:rPr>
        <w:t>"</w:t>
      </w:r>
      <w:r>
        <w:rPr>
          <w:rtl/>
        </w:rPr>
        <w:t>כך גם מה שהבאתי מהנרבוני שהחומר החמישי הוא החלל הריק, זה לא שייך להסתכלות המדעית, אבל זה כל כך מופשט שהשתמשתי בהסתכלות המדעית כדי לסבר את האוזן בלבד. וכמ"ש במו"נ א' נ"ח:</w:t>
      </w:r>
    </w:p>
    <w:p w14:paraId="1C949BB7" w14:textId="77777777" w:rsidR="005B2615" w:rsidRDefault="005B2615" w:rsidP="005B2615">
      <w:pPr>
        <w:pStyle w:val="FootnoteText"/>
        <w:rPr>
          <w:rtl/>
        </w:rPr>
      </w:pPr>
      <w:r>
        <w:rPr>
          <w:rtl/>
        </w:rPr>
        <w:t>"ואתה האיש המעין במאמרי זה יודע כי זה הרקיע והוא גשם מתנועע שכבר ידענו זרתותיו ואמותיו וידענו שעור חלקים ממנו ורוב תנועותיו נלאו שכלינו כל הלאות מהשיג מהותו – עם היותנו יודעים שהוא בעל חומר וצורה בהכרח אלא שאינו זה החומר אשר בנו; ולזה לא נוכל לתארו אלא בשמות הבלתי מקיימים – לא בחיוב המקיים – שאנחנו נאמר כי השמים לא קלים ולא כבדים ולא מתפעלים ולזה לא יקבלו פעולה ואינם בעלי טעם ולא בעלי ריח וכיוצא באלו השלילות – כל זה לסכלותנו בחומר ההוא."</w:t>
      </w:r>
    </w:p>
    <w:p w14:paraId="0C267F85" w14:textId="77777777" w:rsidR="005B2615" w:rsidRDefault="005B2615" w:rsidP="005B2615">
      <w:pPr>
        <w:pStyle w:val="FootnoteText"/>
        <w:rPr>
          <w:rtl/>
        </w:rPr>
      </w:pPr>
      <w:r>
        <w:rPr>
          <w:rtl/>
        </w:rPr>
        <w:t>הרי שגם לרמב"ם החומר החמישי זו סוגיא שמאוד קשה לתפישה, ולא שבאופן פשוט זה החלל הריק שיש לו מידה, שהרי את זה כל אחד מבין.</w:t>
      </w:r>
    </w:p>
    <w:p w14:paraId="771A9B55" w14:textId="3BF6C218" w:rsidR="00FD5CC6" w:rsidRDefault="005B2615" w:rsidP="005B2615">
      <w:pPr>
        <w:pStyle w:val="FootnoteText"/>
        <w:rPr>
          <w:rtl/>
        </w:rPr>
      </w:pPr>
      <w:r>
        <w:rPr>
          <w:rtl/>
        </w:rPr>
        <w:t>מה שאפשר קצת לעיין בזה דורש הרבה מאוד אריכות ולימוד ולא כאן המקום לזה.</w:t>
      </w:r>
      <w:r>
        <w:rPr>
          <w:rFonts w:hint="cs"/>
          <w:rtl/>
        </w:rPr>
        <w:t>"</w:t>
      </w:r>
    </w:p>
    <w:p w14:paraId="58E13C70" w14:textId="0DDEBF16" w:rsidR="00A86E5C" w:rsidRDefault="00A86E5C" w:rsidP="006348DD">
      <w:pPr>
        <w:pStyle w:val="FootnoteText"/>
        <w:rPr>
          <w:rtl/>
        </w:rPr>
      </w:pPr>
      <w:r>
        <w:rPr>
          <w:rFonts w:hint="cs"/>
          <w:rtl/>
        </w:rPr>
        <w:t xml:space="preserve"> </w:t>
      </w:r>
    </w:p>
    <w:p w14:paraId="7E9DD303" w14:textId="77777777" w:rsidR="00010073" w:rsidRDefault="00010073" w:rsidP="006348DD">
      <w:pPr>
        <w:pStyle w:val="FootnoteText"/>
        <w:rPr>
          <w:rtl/>
        </w:rPr>
      </w:pPr>
    </w:p>
    <w:p w14:paraId="18CC0606" w14:textId="36DAAAF8" w:rsidR="001F6573" w:rsidRDefault="001F6573" w:rsidP="006348DD">
      <w:pPr>
        <w:pStyle w:val="FootnoteText"/>
        <w:rPr>
          <w:rtl/>
        </w:rPr>
      </w:pPr>
      <w:r>
        <w:rPr>
          <w:rFonts w:hint="cs"/>
          <w:rtl/>
        </w:rPr>
        <w:t>(במורה נבוכים א' נ</w:t>
      </w:r>
      <w:r w:rsidR="00F055C8">
        <w:rPr>
          <w:rtl/>
        </w:rPr>
        <w:t>"</w:t>
      </w:r>
      <w:r>
        <w:rPr>
          <w:rFonts w:hint="cs"/>
          <w:rtl/>
        </w:rPr>
        <w:t>ח כתב על החומר החמישי:</w:t>
      </w:r>
    </w:p>
    <w:p w14:paraId="4E47CC0D" w14:textId="1ED91C5E" w:rsidR="001F6573" w:rsidRDefault="00F055C8" w:rsidP="006348DD">
      <w:pPr>
        <w:pStyle w:val="FootnoteText"/>
        <w:rPr>
          <w:rtl/>
        </w:rPr>
      </w:pPr>
      <w:r>
        <w:rPr>
          <w:rtl/>
        </w:rPr>
        <w:t>"</w:t>
      </w:r>
      <w:r w:rsidR="001F6573" w:rsidRPr="001F6573">
        <w:rPr>
          <w:rtl/>
        </w:rPr>
        <w:t>ואתה האיש המעין במאמרי זה יודע כי זה הרקיע והוא גשם מתנועע שכבר ידענו זרתותיו ואמותיו וידענו שעור חלקים ממנו ורוב תנועותיו נלאו שכלינו כל הלאות מהשיג מהותו - עם היותנו יודעים שהוא בעל חומר וצורה בהכרח אלא שאינו זה החומר אשר בנו; - ולזה לא נוכל לתארו אלא בשמות הבלתי מקימים לא בחיוב המקיים - שאנחנו נאמר כי השמים לא קלים ולא כבדים ולא מתפעלים ולזה לא יקבלו פעולה ואינם בעלי טעם ולא בעלי ריח וכיוצא באלו השלילות - כל זה לסכלותנו בחומר ההוא.</w:t>
      </w:r>
      <w:r>
        <w:rPr>
          <w:rtl/>
        </w:rPr>
        <w:t>"</w:t>
      </w:r>
    </w:p>
    <w:p w14:paraId="1D9B30CD" w14:textId="77777777" w:rsidR="001F6573" w:rsidRDefault="001F6573" w:rsidP="006348DD">
      <w:pPr>
        <w:pStyle w:val="FootnoteText"/>
        <w:rPr>
          <w:rtl/>
        </w:rPr>
      </w:pPr>
      <w:r>
        <w:rPr>
          <w:rFonts w:hint="cs"/>
          <w:rtl/>
        </w:rPr>
        <w:t>ובהלכות יסודי התורה ג' ג' כתב:</w:t>
      </w:r>
    </w:p>
    <w:p w14:paraId="301D67BA" w14:textId="6AA6F6D8" w:rsidR="00CD2130" w:rsidRDefault="00F055C8" w:rsidP="006348DD">
      <w:pPr>
        <w:pStyle w:val="FootnoteText"/>
        <w:rPr>
          <w:rtl/>
        </w:rPr>
      </w:pPr>
      <w:r>
        <w:rPr>
          <w:rtl/>
        </w:rPr>
        <w:t>"</w:t>
      </w:r>
      <w:r w:rsidR="001F6573" w:rsidRPr="001F6573">
        <w:rPr>
          <w:rtl/>
        </w:rPr>
        <w:t>כָּל הַגַּלְגַּלִּים אֵינָן לֹא קַלִּים וְלֹא כְּבֵדִים, וְאֵין לָהֶם לֹא עַיִן אָדֹם וְלֹא עַיִן שָׁחֹר וְלֹא שְׁאָר עֵינוֹת, וְזֶה שֶׁאָנוּ רוֹאִין אוֹתָן כְּעֵין הַתְּכֵלֶת - לְמַרְאִית הָעַיִן בִּלְבַד הוּא, לְפִי גֹּבַהּ הָאֲוִיר. וְכֵן אֵין לָהֶן לֹא טַעַם וְלֹא רֵיחַ, לְפִי שֶׁאֵין אֵלּוּ הַמְּאֹרָעִין מְצוּיִים אֶלָּא בַּגּוּפוֹת שֶׁלְּמַטָּה מֵהֶן.</w:t>
      </w:r>
      <w:r>
        <w:rPr>
          <w:rtl/>
        </w:rPr>
        <w:t>""</w:t>
      </w:r>
      <w:r w:rsidR="001F6573">
        <w:rPr>
          <w:rFonts w:hint="cs"/>
          <w:rtl/>
        </w:rPr>
        <w:t>)</w:t>
      </w:r>
      <w:r w:rsidR="00CD2130">
        <w:rPr>
          <w:rFonts w:hint="cs"/>
          <w:rtl/>
        </w:rPr>
        <w:t>.</w:t>
      </w:r>
    </w:p>
    <w:p w14:paraId="59A9BFE0" w14:textId="77777777" w:rsidR="00CD2130" w:rsidRDefault="00CD2130" w:rsidP="006348DD">
      <w:pPr>
        <w:pStyle w:val="FootnoteText"/>
        <w:rPr>
          <w:rtl/>
        </w:rPr>
      </w:pPr>
    </w:p>
    <w:p w14:paraId="0C10118B" w14:textId="3C379E9D" w:rsidR="00CD2130" w:rsidRDefault="00CD2130" w:rsidP="006348DD">
      <w:pPr>
        <w:pStyle w:val="FootnoteText"/>
        <w:rPr>
          <w:rtl/>
        </w:rPr>
      </w:pPr>
      <w:r w:rsidRPr="00010073">
        <w:rPr>
          <w:rFonts w:hint="cs"/>
          <w:b/>
          <w:bCs/>
          <w:rtl/>
        </w:rPr>
        <w:t>במחלוקת בין אבן סינא והרמב</w:t>
      </w:r>
      <w:r w:rsidR="00F055C8">
        <w:rPr>
          <w:b/>
          <w:bCs/>
          <w:rtl/>
        </w:rPr>
        <w:t>"</w:t>
      </w:r>
      <w:r w:rsidRPr="00010073">
        <w:rPr>
          <w:rFonts w:hint="cs"/>
          <w:b/>
          <w:bCs/>
          <w:rtl/>
        </w:rPr>
        <w:t>ם ובין אבן רושד</w:t>
      </w:r>
      <w:r w:rsidR="00D0692A" w:rsidRPr="00010073">
        <w:rPr>
          <w:rFonts w:hint="cs"/>
          <w:b/>
          <w:bCs/>
          <w:rtl/>
        </w:rPr>
        <w:t xml:space="preserve"> (שרמזו עליה הנרבוני ושם טוב)</w:t>
      </w:r>
      <w:r w:rsidRPr="00010073">
        <w:rPr>
          <w:rFonts w:hint="cs"/>
          <w:b/>
          <w:bCs/>
          <w:rtl/>
        </w:rPr>
        <w:t xml:space="preserve"> לגבי טבעו של החומר הראשון</w:t>
      </w:r>
      <w:r w:rsidR="00837BC1">
        <w:rPr>
          <w:b/>
          <w:bCs/>
          <w:rtl/>
        </w:rPr>
        <w:fldChar w:fldCharType="begin"/>
      </w:r>
      <w:r w:rsidR="00837BC1">
        <w:instrText xml:space="preserve"> XE "</w:instrText>
      </w:r>
      <w:r w:rsidR="00837BC1" w:rsidRPr="00FF1D06">
        <w:rPr>
          <w:rFonts w:hint="cs"/>
          <w:rtl/>
        </w:rPr>
        <w:instrText>מאמר</w:instrText>
      </w:r>
      <w:r w:rsidR="00837BC1" w:rsidRPr="00FF1D06">
        <w:rPr>
          <w:rtl/>
        </w:rPr>
        <w:instrText>:במחלוקת בין אבן סינא ובין אבן רושד</w:instrText>
      </w:r>
      <w:r w:rsidR="00837BC1" w:rsidRPr="00FF1D06">
        <w:rPr>
          <w:rFonts w:hint="cs"/>
          <w:rtl/>
        </w:rPr>
        <w:instrText xml:space="preserve"> </w:instrText>
      </w:r>
      <w:r w:rsidR="00837BC1" w:rsidRPr="00FF1D06">
        <w:rPr>
          <w:rtl/>
        </w:rPr>
        <w:instrText>לגבי טבעו של החומר הראשון</w:instrText>
      </w:r>
      <w:r w:rsidR="00837BC1">
        <w:instrText xml:space="preserve">" </w:instrText>
      </w:r>
      <w:r w:rsidR="00837BC1">
        <w:rPr>
          <w:b/>
          <w:bCs/>
          <w:rtl/>
        </w:rPr>
        <w:fldChar w:fldCharType="end"/>
      </w:r>
      <w:r>
        <w:rPr>
          <w:rFonts w:hint="cs"/>
          <w:rtl/>
        </w:rPr>
        <w:t>, ההיולי, לעניות דעתי המרחק בין שתי השיטות אינו גדול, ואפשר שבעומקם הדברים עולים למקום אחד ממש, למרות שהנרבוני ורבי שם טוב פלקירה כתבו שיש מחלוקת, ולא כא</w:t>
      </w:r>
      <w:r w:rsidR="00D0692A">
        <w:rPr>
          <w:rFonts w:hint="cs"/>
          <w:rtl/>
        </w:rPr>
        <w:t>ן</w:t>
      </w:r>
      <w:r>
        <w:rPr>
          <w:rFonts w:hint="cs"/>
          <w:rtl/>
        </w:rPr>
        <w:t xml:space="preserve"> המקום להאריך בזה.</w:t>
      </w:r>
    </w:p>
    <w:p w14:paraId="31FD7D5A" w14:textId="77777777" w:rsidR="00576171" w:rsidRDefault="00576171" w:rsidP="00576171">
      <w:pPr>
        <w:pStyle w:val="FootnoteText"/>
      </w:pPr>
    </w:p>
    <w:p w14:paraId="323340CA" w14:textId="1455AF50" w:rsidR="00576171" w:rsidRDefault="00D0692A" w:rsidP="00576171">
      <w:pPr>
        <w:pStyle w:val="FootnoteText"/>
      </w:pPr>
      <w:r>
        <w:rPr>
          <w:rFonts w:hint="cs"/>
          <w:rtl/>
        </w:rPr>
        <w:t>אעתיק כאן מדברי מורה המורה לרבי שם טוב פלקירה על המורה נבוכים בהקדמות לחלק ב' הקדמה כ</w:t>
      </w:r>
      <w:r w:rsidR="00F055C8">
        <w:rPr>
          <w:rtl/>
        </w:rPr>
        <w:t>"</w:t>
      </w:r>
      <w:r>
        <w:rPr>
          <w:rFonts w:hint="cs"/>
          <w:rtl/>
        </w:rPr>
        <w:t>ב</w:t>
      </w:r>
      <w:r w:rsidR="00500641">
        <w:rPr>
          <w:rFonts w:hint="cs"/>
          <w:rtl/>
        </w:rPr>
        <w:t>, שמאריך יותר במה שכתב הנרבוני אודות החומר הראשון:</w:t>
      </w:r>
    </w:p>
    <w:p w14:paraId="03C12837" w14:textId="686ACE87" w:rsidR="00576171" w:rsidRDefault="00576171" w:rsidP="00576171">
      <w:pPr>
        <w:pStyle w:val="FootnoteText"/>
        <w:rPr>
          <w:rtl/>
        </w:rPr>
      </w:pPr>
      <w:r>
        <w:rPr>
          <w:rFonts w:hint="cs"/>
          <w:rtl/>
        </w:rPr>
        <w:t>לשון הרמב</w:t>
      </w:r>
      <w:r w:rsidR="00F055C8">
        <w:rPr>
          <w:rtl/>
        </w:rPr>
        <w:t>"</w:t>
      </w:r>
      <w:r>
        <w:rPr>
          <w:rFonts w:hint="cs"/>
          <w:rtl/>
        </w:rPr>
        <w:t>ם:</w:t>
      </w:r>
    </w:p>
    <w:p w14:paraId="5EEE18CF" w14:textId="3BC78DC6" w:rsidR="00576171" w:rsidRDefault="00F055C8" w:rsidP="00576171">
      <w:pPr>
        <w:pStyle w:val="FootnoteText"/>
        <w:rPr>
          <w:rtl/>
        </w:rPr>
      </w:pPr>
      <w:r>
        <w:rPr>
          <w:rtl/>
        </w:rPr>
        <w:t>"</w:t>
      </w:r>
      <w:r w:rsidR="00576171" w:rsidRPr="00576171">
        <w:rPr>
          <w:rtl/>
        </w:rPr>
        <w:t>כי כל גשם הוא מורכב מב' ענינים בהכרח, וישיגוהו מקרים בהכרח, אמנם ב' הענינים המעמידים אותו, החמר שלו, וצורתו. ואמנם המקרים המשיגים אותו, הכמות, והתכונה, וההנחה</w:t>
      </w:r>
      <w:r>
        <w:rPr>
          <w:rtl/>
        </w:rPr>
        <w:t>"</w:t>
      </w:r>
    </w:p>
    <w:p w14:paraId="1A2BD83E" w14:textId="40E788CE" w:rsidR="00576171" w:rsidRDefault="00576171" w:rsidP="00576171">
      <w:pPr>
        <w:pStyle w:val="FootnoteText"/>
        <w:rPr>
          <w:rtl/>
        </w:rPr>
      </w:pPr>
      <w:r>
        <w:rPr>
          <w:rFonts w:hint="cs"/>
          <w:rtl/>
        </w:rPr>
        <w:t>רבי ש</w:t>
      </w:r>
      <w:r w:rsidR="00F055C8">
        <w:rPr>
          <w:rtl/>
        </w:rPr>
        <w:t>"</w:t>
      </w:r>
      <w:r>
        <w:rPr>
          <w:rFonts w:hint="cs"/>
          <w:rtl/>
        </w:rPr>
        <w:t>ט פלקירה דן בשאלה האם מה שכל גשם מורכב משני עניינים, חומר וצורה, הוא נכון גם לגבי הגלגלים שהחומר שלהם הוא החומר החמישי, או רק לגופים שמתחת לגלגל הירח. וזה לשונו:</w:t>
      </w:r>
    </w:p>
    <w:p w14:paraId="66D402E3" w14:textId="1806889B" w:rsidR="00576171" w:rsidRDefault="00F055C8" w:rsidP="00576171">
      <w:pPr>
        <w:pStyle w:val="FootnoteText"/>
      </w:pPr>
      <w:r>
        <w:rPr>
          <w:rtl/>
        </w:rPr>
        <w:t>"</w:t>
      </w:r>
      <w:r w:rsidR="00576171">
        <w:rPr>
          <w:rtl/>
        </w:rPr>
        <w:t>ואמר בן אלצאיג: ואם אפשר שתהיה צורה אין לה הפך יהיה החומר אשר היא בו מונח לבד, ואינו חומר אלא בשתוף השם. כי החומר אין יחס לו בעצמו לצורה מהצורות, אלא כל מה שיש לו מהצורות הוא בשוה ע</w:t>
      </w:r>
      <w:r>
        <w:rPr>
          <w:rtl/>
        </w:rPr>
        <w:t>"</w:t>
      </w:r>
      <w:r w:rsidR="00576171">
        <w:rPr>
          <w:rtl/>
        </w:rPr>
        <w:t xml:space="preserve">כ. </w:t>
      </w:r>
    </w:p>
    <w:p w14:paraId="3D080D8F" w14:textId="6ADDA60E" w:rsidR="0005387F" w:rsidRDefault="00576171" w:rsidP="00576171">
      <w:pPr>
        <w:pStyle w:val="FootnoteText"/>
        <w:rPr>
          <w:rtl/>
        </w:rPr>
      </w:pPr>
      <w:r>
        <w:rPr>
          <w:rtl/>
        </w:rPr>
        <w:t>ועל כן נסתפקתי בזו המוקדמה</w:t>
      </w:r>
      <w:r>
        <w:rPr>
          <w:rFonts w:hint="cs"/>
          <w:rtl/>
        </w:rPr>
        <w:t xml:space="preserve"> [כלומר ההקדמה]</w:t>
      </w:r>
      <w:r>
        <w:rPr>
          <w:rtl/>
        </w:rPr>
        <w:t xml:space="preserve"> אם היא כוללת כל גוף, וצודקת על הגוף הגלגלי, עד שמצאתי מה שכתב החכם הנזכר</w:t>
      </w:r>
      <w:r>
        <w:rPr>
          <w:rFonts w:hint="cs"/>
          <w:rtl/>
        </w:rPr>
        <w:t xml:space="preserve"> [אצל פלקירה </w:t>
      </w:r>
      <w:r w:rsidR="00F055C8">
        <w:rPr>
          <w:rtl/>
        </w:rPr>
        <w:t>"</w:t>
      </w:r>
      <w:r>
        <w:rPr>
          <w:rFonts w:hint="cs"/>
          <w:rtl/>
        </w:rPr>
        <w:t>החכם הנזכר</w:t>
      </w:r>
      <w:r w:rsidR="00F055C8">
        <w:rPr>
          <w:rtl/>
        </w:rPr>
        <w:t>"</w:t>
      </w:r>
      <w:r>
        <w:rPr>
          <w:rFonts w:hint="cs"/>
        </w:rPr>
        <w:t xml:space="preserve"> </w:t>
      </w:r>
      <w:r>
        <w:rPr>
          <w:rFonts w:hint="cs"/>
          <w:rtl/>
        </w:rPr>
        <w:t>הוא תמיד כינוי לאבן רושד]</w:t>
      </w:r>
      <w:r>
        <w:rPr>
          <w:rtl/>
        </w:rPr>
        <w:t>. אמר: וממה שאמרו כי כל גוף מורכב מחומר וצורה אינו דעת הפילוסופים</w:t>
      </w:r>
      <w:r>
        <w:rPr>
          <w:rFonts w:hint="cs"/>
          <w:rtl/>
        </w:rPr>
        <w:t xml:space="preserve"> [כלומר אריסטו]</w:t>
      </w:r>
      <w:r>
        <w:rPr>
          <w:rtl/>
        </w:rPr>
        <w:t xml:space="preserve"> בגוף הגלגלי, אלא אם יהיה שם חומר בשתוף השם, אבל שהוא דבר נפרד בו בן סינא, כי כל מורכב אצלם מחומר וצורה הוא מחודש כחידוש הבית, והגלגל אינו מחודש אצלם בזה המין מהחידוש. ועל כן קראוהו נצחי, כלומר שמציאותו עם הנצחי. כי מאחר שהיה סבת ההפסד אצלם הוא החומר היה מה שאינו נפסד אינו בעל חומר אבל הוא ענין פשוט, ולולא ההויה וההפסד אשר באלו הגופים לא יתחייב שיהיו מורכבים מחומר וצורה. כי העיקר שהגוף אחד במציאות כמו שהיה בחוש, ולולי הפסד אלה הגופים היינו גוזרים שהם פשוטים ושהחומר הוא הגוף. והגוף הגלגלי מאחר שאינו נפסד, הורה כי החומר בו הוא הגשמות הנמצא בפועל ושהנפש אשר בו אין לה קיום בזה הגוף, כי הגוף הגלגלי לא יצטרך בהשארותו אל הנפש, כמו שיצטרכו אליו גופות החיונים. ואמנם יצטרך אל הנפש &lt;לא&gt; מפני כי מהכרח מציאותו שיהיה בעל נפש &lt;אלא&gt; ומההכרח שיהיה המעולה כענין המעולה, ובעל נפש מעולה ממה שאינו בעל נפש. ועל כן או שיהיו הגלגלים צורות, או שיהיו להם חמרים בשתוף</w:t>
      </w:r>
      <w:r w:rsidR="0005387F">
        <w:rPr>
          <w:rFonts w:hint="cs"/>
          <w:rtl/>
        </w:rPr>
        <w:t xml:space="preserve"> [כלומר ביחס לגלגלים יהיה 'חומר' כמילה שהיא שם משותף עם המילה חומר ביחס לגופים הארציים. שם משותף היינו אותה מיהל</w:t>
      </w:r>
      <w:r w:rsidR="00266293">
        <w:rPr>
          <w:rFonts w:hint="cs"/>
          <w:rtl/>
        </w:rPr>
        <w:t xml:space="preserve">לל </w:t>
      </w:r>
      <w:r w:rsidR="0005387F">
        <w:rPr>
          <w:rFonts w:hint="cs"/>
          <w:rtl/>
        </w:rPr>
        <w:t xml:space="preserve"> לשני מובנים שונים, כמו 'עין' שהיא מבוע המים ואיבר הראיה]</w:t>
      </w:r>
      <w:r>
        <w:rPr>
          <w:rtl/>
        </w:rPr>
        <w:t xml:space="preserve">. ואני אומר או שיהיו הם החמרים בעצמם &lt;או שיהיו&gt; חמרים חיים בעצמם לא חיים בחיים </w:t>
      </w:r>
      <w:r w:rsidR="0005387F">
        <w:rPr>
          <w:rFonts w:hint="cs"/>
          <w:rtl/>
        </w:rPr>
        <w:t>עד כאן [מלשונו של אבן רושד]</w:t>
      </w:r>
      <w:r>
        <w:rPr>
          <w:rtl/>
        </w:rPr>
        <w:t>.</w:t>
      </w:r>
    </w:p>
    <w:p w14:paraId="2491BB9F" w14:textId="77777777" w:rsidR="0005387F" w:rsidRDefault="00576171" w:rsidP="00576171">
      <w:pPr>
        <w:pStyle w:val="FootnoteText"/>
        <w:rPr>
          <w:rtl/>
        </w:rPr>
      </w:pPr>
      <w:r>
        <w:rPr>
          <w:rtl/>
        </w:rPr>
        <w:t>והנראה לי</w:t>
      </w:r>
      <w:r w:rsidR="0005387F">
        <w:rPr>
          <w:rFonts w:hint="cs"/>
          <w:rtl/>
        </w:rPr>
        <w:t xml:space="preserve"> [אלה דברי פלקירה],</w:t>
      </w:r>
      <w:r>
        <w:rPr>
          <w:rtl/>
        </w:rPr>
        <w:t xml:space="preserve"> כי זהו ענין השתוף, כלומר כי חמרי ההוים הנפסדים חמרים מתים, אין להם תנועה ולא חיים אלא מצד דבר מחוץ. וחמרי הגלגלים הם בהפך, כי הם חמרים חיים בעצמם ועל כן יתנועעו תמיד.</w:t>
      </w:r>
    </w:p>
    <w:p w14:paraId="29D71348" w14:textId="77777777" w:rsidR="0005387F" w:rsidRDefault="00576171" w:rsidP="00576171">
      <w:pPr>
        <w:pStyle w:val="FootnoteText"/>
        <w:rPr>
          <w:rtl/>
        </w:rPr>
      </w:pPr>
      <w:r>
        <w:rPr>
          <w:rtl/>
        </w:rPr>
        <w:t>ואמר אר</w:t>
      </w:r>
      <w:r w:rsidR="0005387F">
        <w:rPr>
          <w:rFonts w:hint="cs"/>
          <w:rtl/>
        </w:rPr>
        <w:t>י</w:t>
      </w:r>
      <w:r>
        <w:rPr>
          <w:rtl/>
        </w:rPr>
        <w:t>סטו בספר מה שאחר הטבע: וכל הדברים שישתנו יש להם חומר, אלא שהוא מחולף. ומה שיהיה מהדברים הנצחיים שאינם הווים והם מתנועעים בהעתקה יש להם חומר, אלא שאינו הווה ולא משתנה, אלא מאנה לאנה</w:t>
      </w:r>
      <w:r w:rsidR="0005387F">
        <w:rPr>
          <w:rFonts w:hint="cs"/>
          <w:rtl/>
        </w:rPr>
        <w:t xml:space="preserve"> [ממקום למקום]</w:t>
      </w:r>
      <w:r>
        <w:rPr>
          <w:rtl/>
        </w:rPr>
        <w:t xml:space="preserve">. זה לשונו. ואמר במקום אחר: ומהחיוב שלא יהיה חומר אלא לכל הדברים שיש להם הויה והפסד וישתנו קצתם לקצתם. </w:t>
      </w:r>
    </w:p>
    <w:p w14:paraId="6D267EB6" w14:textId="77777777" w:rsidR="0005387F" w:rsidRDefault="00576171" w:rsidP="0005387F">
      <w:pPr>
        <w:pStyle w:val="FootnoteText"/>
        <w:rPr>
          <w:rtl/>
        </w:rPr>
      </w:pPr>
      <w:r>
        <w:rPr>
          <w:rtl/>
        </w:rPr>
        <w:t>ואמר החכם הנזכר</w:t>
      </w:r>
      <w:r w:rsidR="0005387F">
        <w:rPr>
          <w:rFonts w:hint="cs"/>
          <w:rtl/>
        </w:rPr>
        <w:t xml:space="preserve"> [הוא אבן רושד]</w:t>
      </w:r>
      <w:r>
        <w:rPr>
          <w:rtl/>
        </w:rPr>
        <w:t>: והתחייב שיהיו הגלגלים חמרים פשוטים זולתי מורכבים מחומר וצורה, מפני שלא ימצא להם</w:t>
      </w:r>
      <w:r w:rsidR="0005387F">
        <w:rPr>
          <w:rFonts w:hint="cs"/>
          <w:rtl/>
        </w:rPr>
        <w:t xml:space="preserve"> </w:t>
      </w:r>
      <w:r>
        <w:rPr>
          <w:rtl/>
        </w:rPr>
        <w:t>השנוי אלא באנה. והשנוי בעצם הוא אשר יחייב הוית הדבר מחומר וצורה ע</w:t>
      </w:r>
      <w:r w:rsidR="0005387F">
        <w:rPr>
          <w:rFonts w:hint="cs"/>
          <w:rtl/>
        </w:rPr>
        <w:t>ד כאן לשון אבן רושד</w:t>
      </w:r>
      <w:r>
        <w:rPr>
          <w:rtl/>
        </w:rPr>
        <w:t>.</w:t>
      </w:r>
    </w:p>
    <w:p w14:paraId="20985242" w14:textId="77777777" w:rsidR="0005387F" w:rsidRDefault="0005387F" w:rsidP="0005387F">
      <w:pPr>
        <w:pStyle w:val="FootnoteText"/>
        <w:rPr>
          <w:rtl/>
        </w:rPr>
      </w:pPr>
    </w:p>
    <w:p w14:paraId="387D317C" w14:textId="2ED93A4C" w:rsidR="0027136B" w:rsidRDefault="0027136B" w:rsidP="0005387F">
      <w:pPr>
        <w:pStyle w:val="FootnoteText"/>
        <w:rPr>
          <w:rtl/>
        </w:rPr>
      </w:pPr>
      <w:r>
        <w:rPr>
          <w:rFonts w:hint="cs"/>
          <w:rtl/>
        </w:rPr>
        <w:t>לשון אריסטו במטאפיזיקה למבדא פרק ב':</w:t>
      </w:r>
    </w:p>
    <w:p w14:paraId="7B165147" w14:textId="6E10F542" w:rsidR="0027136B" w:rsidRDefault="00F055C8" w:rsidP="0027136B">
      <w:pPr>
        <w:pStyle w:val="FootnoteText"/>
        <w:rPr>
          <w:rtl/>
        </w:rPr>
      </w:pPr>
      <w:r>
        <w:rPr>
          <w:rtl/>
        </w:rPr>
        <w:t>"</w:t>
      </w:r>
      <w:r w:rsidR="0027136B">
        <w:rPr>
          <w:rtl/>
        </w:rPr>
        <w:t>כל המשתנה הוא בעל חומר, אולם</w:t>
      </w:r>
      <w:r w:rsidR="0027136B">
        <w:rPr>
          <w:rFonts w:hint="cs"/>
          <w:rtl/>
        </w:rPr>
        <w:t xml:space="preserve"> </w:t>
      </w:r>
      <w:r w:rsidR="0027136B">
        <w:rPr>
          <w:rtl/>
        </w:rPr>
        <w:t>בכל מקרה ומקרה החומר הוא אחר. אפילו אלה</w:t>
      </w:r>
      <w:r w:rsidR="0027136B">
        <w:rPr>
          <w:rFonts w:hint="cs"/>
          <w:rtl/>
        </w:rPr>
        <w:t xml:space="preserve"> </w:t>
      </w:r>
      <w:r w:rsidR="0027136B">
        <w:rPr>
          <w:rtl/>
        </w:rPr>
        <w:t>מן הדברים הנצחיים שאינם מתהוים אלא מוּנעים</w:t>
      </w:r>
      <w:r w:rsidR="0027136B">
        <w:rPr>
          <w:rFonts w:hint="cs"/>
          <w:rtl/>
        </w:rPr>
        <w:t xml:space="preserve"> </w:t>
      </w:r>
      <w:r w:rsidR="0027136B">
        <w:rPr>
          <w:rtl/>
        </w:rPr>
        <w:t>על</w:t>
      </w:r>
      <w:r w:rsidR="0027136B">
        <w:rPr>
          <w:rFonts w:hint="cs"/>
          <w:rtl/>
        </w:rPr>
        <w:t xml:space="preserve"> </w:t>
      </w:r>
      <w:r w:rsidR="0027136B">
        <w:rPr>
          <w:rtl/>
        </w:rPr>
        <w:t>פי ההעתקה בלבד, הרי גם הם בעלי חומר,</w:t>
      </w:r>
      <w:r w:rsidR="0027136B">
        <w:rPr>
          <w:rFonts w:hint="cs"/>
          <w:rtl/>
        </w:rPr>
        <w:t xml:space="preserve"> </w:t>
      </w:r>
      <w:r w:rsidR="0027136B">
        <w:rPr>
          <w:rtl/>
        </w:rPr>
        <w:t>אמנם לא החומר המתהוה אלא החומר הניתן</w:t>
      </w:r>
      <w:r w:rsidR="0027136B">
        <w:rPr>
          <w:rFonts w:hint="cs"/>
          <w:rtl/>
        </w:rPr>
        <w:t xml:space="preserve"> </w:t>
      </w:r>
      <w:r w:rsidR="0027136B">
        <w:rPr>
          <w:rtl/>
        </w:rPr>
        <w:t>להטלטל ממקום למקום</w:t>
      </w:r>
      <w:r w:rsidR="0027136B">
        <w:rPr>
          <w:rFonts w:hint="cs"/>
          <w:rtl/>
        </w:rPr>
        <w:t>.</w:t>
      </w:r>
      <w:r>
        <w:rPr>
          <w:rtl/>
        </w:rPr>
        <w:t>"</w:t>
      </w:r>
    </w:p>
    <w:p w14:paraId="5DAEB552" w14:textId="153B5411" w:rsidR="005D0147" w:rsidRDefault="0027136B" w:rsidP="0027136B">
      <w:pPr>
        <w:pStyle w:val="FootnoteText"/>
        <w:rPr>
          <w:rtl/>
        </w:rPr>
      </w:pPr>
      <w:r>
        <w:rPr>
          <w:rFonts w:hint="cs"/>
          <w:rtl/>
        </w:rPr>
        <w:t>גרמי השמיים נעים ממקום למקום, זה שינוי שמחייב שיש להם חומר. כי שכל נפרד אין לו קטגוריה של מקום ואינו יכול לנוע ממקום למקום. גם הישויות המתימטיות כמו אחת ועוד אחת הן שתיים, או משפט פיתגורס, אינן יכולות לנוע ממקום למקום, כי אין להן חומר. אבל החומר הזה הוא רק לעניין שינוי המקום ולא לעניין שיש בהם התהוות, כלומר הם נצחים למרות שהם מחומר.</w:t>
      </w:r>
      <w:r w:rsidR="00F45D89">
        <w:rPr>
          <w:rFonts w:hint="cs"/>
          <w:rtl/>
        </w:rPr>
        <w:t xml:space="preserve"> זה המקור באריסטו לסוד שיש שני חומרים ראשונים, הארצי והשמיימי. </w:t>
      </w:r>
    </w:p>
    <w:p w14:paraId="7DAF6965" w14:textId="2578C5CB" w:rsidR="00E50FE3" w:rsidRDefault="005D0147" w:rsidP="0027136B">
      <w:pPr>
        <w:pStyle w:val="FootnoteText"/>
      </w:pPr>
      <w:r>
        <w:rPr>
          <w:rFonts w:hint="cs"/>
          <w:rtl/>
        </w:rPr>
        <w:t>הבאתי את כל זה כמקורות להתחלת לימוד הנושא העמוק הזה, ולא ניסיתי לבאר אותו</w:t>
      </w:r>
      <w:r w:rsidR="00E11B2E">
        <w:rPr>
          <w:rFonts w:hint="cs"/>
          <w:rtl/>
        </w:rPr>
        <w:t xml:space="preserve"> כראוי לו</w:t>
      </w:r>
      <w:r>
        <w:rPr>
          <w:rFonts w:hint="cs"/>
          <w:rtl/>
        </w:rPr>
        <w:t xml:space="preserve">. </w:t>
      </w:r>
      <w:r w:rsidR="00A86E5C">
        <w:rPr>
          <w:rFonts w:hint="cs"/>
          <w:rtl/>
        </w:rPr>
        <w:t xml:space="preserve"> </w:t>
      </w:r>
      <w:r w:rsidR="00617ED0">
        <w:rPr>
          <w:rFonts w:hint="cs"/>
          <w:rtl/>
        </w:rPr>
        <w:t xml:space="preserve"> </w:t>
      </w:r>
      <w:r w:rsidR="00E50FE3">
        <w:rPr>
          <w:rFonts w:hint="cs"/>
          <w:rtl/>
        </w:rPr>
        <w:t xml:space="preserve">  </w:t>
      </w:r>
    </w:p>
  </w:footnote>
  <w:footnote w:id="293">
    <w:p w14:paraId="32CBD103" w14:textId="1E812B80" w:rsidR="001F6FD4" w:rsidRDefault="009876CB">
      <w:pPr>
        <w:pStyle w:val="FootnoteText"/>
        <w:rPr>
          <w:rtl/>
        </w:rPr>
      </w:pPr>
      <w:r>
        <w:rPr>
          <w:rStyle w:val="FootnoteReference"/>
        </w:rPr>
        <w:footnoteRef/>
      </w:r>
      <w:r>
        <w:rPr>
          <w:rtl/>
        </w:rPr>
        <w:t xml:space="preserve"> </w:t>
      </w:r>
      <w:r>
        <w:rPr>
          <w:rFonts w:hint="cs"/>
          <w:rtl/>
        </w:rPr>
        <w:t>ארבעת היסודות</w:t>
      </w:r>
      <w:r w:rsidR="00816EF9">
        <w:rPr>
          <w:rtl/>
        </w:rPr>
        <w:fldChar w:fldCharType="begin"/>
      </w:r>
      <w:r w:rsidR="00816EF9">
        <w:instrText xml:space="preserve"> XE "</w:instrText>
      </w:r>
      <w:r w:rsidR="00816EF9" w:rsidRPr="003D72B6">
        <w:rPr>
          <w:rFonts w:hint="cs"/>
          <w:rtl/>
        </w:rPr>
        <w:instrText>אריסטו</w:instrText>
      </w:r>
      <w:r w:rsidR="00816EF9" w:rsidRPr="003D72B6">
        <w:rPr>
          <w:rtl/>
        </w:rPr>
        <w:instrText>:</w:instrText>
      </w:r>
      <w:r w:rsidR="00816EF9" w:rsidRPr="003D72B6">
        <w:rPr>
          <w:rFonts w:hint="cs"/>
          <w:rtl/>
        </w:rPr>
        <w:instrText>ארבעת היסודות משתנים מזה לזה</w:instrText>
      </w:r>
      <w:r w:rsidR="00816EF9">
        <w:instrText xml:space="preserve">" </w:instrText>
      </w:r>
      <w:r w:rsidR="00816EF9">
        <w:rPr>
          <w:rtl/>
        </w:rPr>
        <w:fldChar w:fldCharType="end"/>
      </w:r>
      <w:r w:rsidR="00A352FB">
        <w:rPr>
          <w:rtl/>
        </w:rPr>
        <w:fldChar w:fldCharType="begin"/>
      </w:r>
      <w:r w:rsidR="00A352FB">
        <w:instrText xml:space="preserve"> XE "</w:instrText>
      </w:r>
      <w:r w:rsidR="00A352FB" w:rsidRPr="001811CD">
        <w:rPr>
          <w:rFonts w:hint="cs"/>
          <w:rtl/>
        </w:rPr>
        <w:instrText>ארבעת היסודות משתנים מזה לזה</w:instrText>
      </w:r>
      <w:r w:rsidR="00A352FB">
        <w:instrText xml:space="preserve">" </w:instrText>
      </w:r>
      <w:r w:rsidR="00A352FB">
        <w:rPr>
          <w:rtl/>
        </w:rPr>
        <w:fldChar w:fldCharType="end"/>
      </w:r>
      <w:r>
        <w:rPr>
          <w:rFonts w:hint="cs"/>
          <w:rtl/>
        </w:rPr>
        <w:t xml:space="preserve"> הם אש רוח מים ועפר</w:t>
      </w:r>
      <w:r w:rsidR="006839A9">
        <w:rPr>
          <w:rFonts w:hint="cs"/>
          <w:rtl/>
        </w:rPr>
        <w:t xml:space="preserve"> (לפעמים הרוח נקרא אוויר והעפר נקרא אדמה או ארץ. היסודות נזכרים באפלטון </w:t>
      </w:r>
      <w:r w:rsidR="006839A9">
        <w:rPr>
          <w:rFonts w:hint="cs"/>
          <w:rtl/>
        </w:rPr>
        <w:t>בטימיאוס ובאריסטו בכמה מקומות, וכן גם בספר יצירה ובספר הזוהר)</w:t>
      </w:r>
      <w:r>
        <w:rPr>
          <w:rFonts w:hint="cs"/>
          <w:rtl/>
        </w:rPr>
        <w:t xml:space="preserve">. הם משתנים מזה לזה, </w:t>
      </w:r>
      <w:r w:rsidR="001F6FD4">
        <w:rPr>
          <w:rFonts w:hint="cs"/>
          <w:rtl/>
        </w:rPr>
        <w:t xml:space="preserve">מקצת מהמים משתנה להיות רוח וכן הלאה, באופן שתמיד ארבעתם קיימים. </w:t>
      </w:r>
      <w:r>
        <w:rPr>
          <w:rFonts w:hint="cs"/>
          <w:rtl/>
        </w:rPr>
        <w:t xml:space="preserve">כמו שכתב אריסטו </w:t>
      </w:r>
      <w:r w:rsidR="0086689D" w:rsidRPr="0086689D">
        <w:rPr>
          <w:rtl/>
        </w:rPr>
        <w:t>ב</w:t>
      </w:r>
      <w:r w:rsidR="00F055C8">
        <w:rPr>
          <w:rtl/>
        </w:rPr>
        <w:t>"</w:t>
      </w:r>
      <w:r w:rsidR="0086689D" w:rsidRPr="0086689D">
        <w:rPr>
          <w:rtl/>
        </w:rPr>
        <w:t>על הה</w:t>
      </w:r>
      <w:r w:rsidR="00B87241">
        <w:rPr>
          <w:rFonts w:hint="cs"/>
          <w:rtl/>
        </w:rPr>
        <w:t>תה</w:t>
      </w:r>
      <w:r w:rsidR="0086689D" w:rsidRPr="0086689D">
        <w:rPr>
          <w:rtl/>
        </w:rPr>
        <w:t>וו</w:t>
      </w:r>
      <w:r w:rsidR="00B87241">
        <w:rPr>
          <w:rFonts w:hint="cs"/>
          <w:rtl/>
        </w:rPr>
        <w:t>ת</w:t>
      </w:r>
      <w:r w:rsidR="0086689D" w:rsidRPr="0086689D">
        <w:rPr>
          <w:rtl/>
        </w:rPr>
        <w:t xml:space="preserve"> וההפסד</w:t>
      </w:r>
      <w:r w:rsidR="00F055C8">
        <w:rPr>
          <w:rtl/>
        </w:rPr>
        <w:t>"</w:t>
      </w:r>
      <w:r w:rsidR="0086689D" w:rsidRPr="0086689D">
        <w:rPr>
          <w:rtl/>
        </w:rPr>
        <w:t xml:space="preserve"> ספר ב' פרק ה'</w:t>
      </w:r>
      <w:r w:rsidR="00A352FB">
        <w:rPr>
          <w:rFonts w:hint="cs"/>
          <w:rtl/>
        </w:rPr>
        <w:t xml:space="preserve"> (ועיין שם גם בפרק ד'),</w:t>
      </w:r>
      <w:r w:rsidR="0086689D">
        <w:rPr>
          <w:rFonts w:hint="cs"/>
          <w:rtl/>
        </w:rPr>
        <w:t xml:space="preserve"> </w:t>
      </w:r>
      <w:r w:rsidR="0086689D" w:rsidRPr="0086689D">
        <w:rPr>
          <w:rtl/>
        </w:rPr>
        <w:t>ובמטארולוגיה ספר א' פרק ג'</w:t>
      </w:r>
      <w:r w:rsidR="00A352FB">
        <w:rPr>
          <w:rFonts w:hint="cs"/>
          <w:rtl/>
        </w:rPr>
        <w:t xml:space="preserve">, </w:t>
      </w:r>
      <w:r w:rsidR="0086689D" w:rsidRPr="0086689D">
        <w:rPr>
          <w:rtl/>
        </w:rPr>
        <w:t>ועיין עוד גם במטאפיזיקה ספר א' פרק ח'</w:t>
      </w:r>
      <w:r w:rsidR="00A352FB">
        <w:rPr>
          <w:rFonts w:hint="cs"/>
          <w:rtl/>
        </w:rPr>
        <w:t xml:space="preserve">. </w:t>
      </w:r>
      <w:r>
        <w:rPr>
          <w:rFonts w:hint="cs"/>
          <w:rtl/>
        </w:rPr>
        <w:t>הובא ברמב</w:t>
      </w:r>
      <w:r w:rsidR="00F055C8">
        <w:rPr>
          <w:rtl/>
        </w:rPr>
        <w:t>"</w:t>
      </w:r>
      <w:r>
        <w:rPr>
          <w:rFonts w:hint="cs"/>
          <w:rtl/>
        </w:rPr>
        <w:t xml:space="preserve">ם בהלכות יסודי התורה </w:t>
      </w:r>
      <w:r w:rsidR="00A352FB">
        <w:rPr>
          <w:rFonts w:hint="cs"/>
          <w:rtl/>
        </w:rPr>
        <w:t>ד' ה'. ובמטארולוגיה שם כתב שבכל יסוד קיימים בכח היסודות האחרים, זה הפירוש שהחומר שלהם אחד.</w:t>
      </w:r>
    </w:p>
    <w:p w14:paraId="3160886C" w14:textId="17ACD91B" w:rsidR="009876CB" w:rsidRDefault="001F6FD4">
      <w:pPr>
        <w:pStyle w:val="FootnoteText"/>
        <w:rPr>
          <w:rtl/>
        </w:rPr>
      </w:pPr>
      <w:r>
        <w:rPr>
          <w:rFonts w:hint="cs"/>
          <w:rtl/>
        </w:rPr>
        <w:t>זה מחייב שביסודות כבר יש הגדרה של 'מקום', כי מה שחלק מהמים משתנה להיות רוח וכן הלאה, הכוונה שבמקום שהייתה בו רוח עכשיו יש בו מים. אם עדיין אין הגדרה של מקום, הרי בין אם הם משתנים מזה לזה ובין שאינם משתנים, תמיד רבע ממה שיש הוא מים ורבע רוח וכן הלאה.</w:t>
      </w:r>
      <w:r w:rsidR="008A0A5F">
        <w:rPr>
          <w:rFonts w:hint="cs"/>
          <w:rtl/>
        </w:rPr>
        <w:t xml:space="preserve"> וכן הוא לשון הרמב</w:t>
      </w:r>
      <w:r w:rsidR="00F055C8">
        <w:rPr>
          <w:rtl/>
        </w:rPr>
        <w:t>"</w:t>
      </w:r>
      <w:r w:rsidR="008A0A5F">
        <w:rPr>
          <w:rFonts w:hint="cs"/>
          <w:rtl/>
        </w:rPr>
        <w:t>ם שם:</w:t>
      </w:r>
    </w:p>
    <w:p w14:paraId="3CDDB456" w14:textId="07A0589E" w:rsidR="008A0A5F" w:rsidRDefault="00F055C8" w:rsidP="008A0A5F">
      <w:pPr>
        <w:pStyle w:val="FootnoteText"/>
        <w:rPr>
          <w:rtl/>
        </w:rPr>
      </w:pPr>
      <w:r>
        <w:rPr>
          <w:rtl/>
        </w:rPr>
        <w:t>"</w:t>
      </w:r>
      <w:r w:rsidR="008A0A5F">
        <w:rPr>
          <w:rtl/>
        </w:rPr>
        <w:t xml:space="preserve">בָּרָא הָאֵל לְמַטָּה מִגַּלְגַּל הַיָּרֵחַ גֹּלֶם אֶחָד שֶׁאֵינוֹ כְּגֹלֶם הַגַּלְגַּלִּים, וּבָרָא אַרְבַּע צוּרוֹת לְגֹלֶם זֶה, וְאֵינָן כְּצוּרַת הַגַּלְגַּלִּים, </w:t>
      </w:r>
      <w:r w:rsidR="008A0A5F" w:rsidRPr="008A0A5F">
        <w:rPr>
          <w:b/>
          <w:bCs/>
          <w:rtl/>
        </w:rPr>
        <w:t>וְנִקְבְּעָה כָּל צוּרָה וְצוּרָה בְּמִקְצָת גֹּלֶם זֶה</w:t>
      </w:r>
      <w:r w:rsidR="008A0A5F">
        <w:rPr>
          <w:rtl/>
        </w:rPr>
        <w:t>.</w:t>
      </w:r>
    </w:p>
    <w:p w14:paraId="529BC9B8" w14:textId="61D60E51" w:rsidR="008A0A5F" w:rsidRDefault="008A0A5F" w:rsidP="008A0A5F">
      <w:pPr>
        <w:pStyle w:val="FootnoteText"/>
        <w:rPr>
          <w:rtl/>
        </w:rPr>
      </w:pPr>
      <w:r>
        <w:rPr>
          <w:rtl/>
        </w:rPr>
        <w:t xml:space="preserve">צוּרָה רִאשׁוֹנָה, צוּרַת הָאֵשׁ, נִתְחַבְּרָה </w:t>
      </w:r>
      <w:r w:rsidRPr="008A0A5F">
        <w:rPr>
          <w:b/>
          <w:bCs/>
          <w:rtl/>
        </w:rPr>
        <w:t>בְּמִקְצָת גֹּלֶם זֶה</w:t>
      </w:r>
      <w:r>
        <w:rPr>
          <w:rtl/>
        </w:rPr>
        <w:t>, וְנִהְיָה מִשְּׁנֵיהֶם גּוּף הָאֵשׁ.</w:t>
      </w:r>
      <w:r w:rsidR="00F055C8">
        <w:rPr>
          <w:rtl/>
        </w:rPr>
        <w:t>"</w:t>
      </w:r>
    </w:p>
    <w:p w14:paraId="7D5C45C3" w14:textId="741749C3" w:rsidR="008A0A5F" w:rsidRDefault="008A0A5F" w:rsidP="008A0A5F">
      <w:pPr>
        <w:pStyle w:val="FootnoteText"/>
        <w:rPr>
          <w:rtl/>
        </w:rPr>
      </w:pPr>
      <w:r>
        <w:rPr>
          <w:rFonts w:hint="cs"/>
          <w:rtl/>
        </w:rPr>
        <w:t>ה'מקום' שמדובר בו כאן הוא צורת התלת ממדיות</w:t>
      </w:r>
      <w:r>
        <w:rPr>
          <w:rtl/>
        </w:rPr>
        <w:fldChar w:fldCharType="begin"/>
      </w:r>
      <w:r>
        <w:instrText xml:space="preserve"> XE "</w:instrText>
      </w:r>
      <w:r w:rsidRPr="00C7496E">
        <w:rPr>
          <w:rFonts w:hint="cs"/>
          <w:rtl/>
        </w:rPr>
        <w:instrText>צורת התלת ממדיות</w:instrText>
      </w:r>
      <w:r>
        <w:instrText xml:space="preserve">" </w:instrText>
      </w:r>
      <w:r>
        <w:rPr>
          <w:rtl/>
        </w:rPr>
        <w:fldChar w:fldCharType="end"/>
      </w:r>
      <w:r>
        <w:rPr>
          <w:rFonts w:hint="cs"/>
          <w:rtl/>
        </w:rPr>
        <w:t xml:space="preserve"> שדיברנו בה לעיל בכמה מקומות (עיין באינדקס), שבה כבר יש מרחב תלת ממדי ולכן גם קואורדינטות שמגדירות מקום. אמנם צריך הרבה עיון מה פשר העניין של 'מקום' כאן, כי במרחב התלת ממדי כשלעצמו אין גופים שביחס אליהם ניתן להגדיר מקום</w:t>
      </w:r>
      <w:r w:rsidR="00D82344">
        <w:rPr>
          <w:rFonts w:hint="cs"/>
          <w:rtl/>
        </w:rPr>
        <w:t>, וגם אין לו גבולות שאינם מופשטים (הגלגל הקיצון הוא סופי בממדיו, אבל מחוץ לגבול שלו אין מקום תלת ממדי ריק אלא רק המופשט, וכבר התבאר עניין זה בכמה מקומות)</w:t>
      </w:r>
      <w:r>
        <w:rPr>
          <w:rFonts w:hint="cs"/>
          <w:rtl/>
        </w:rPr>
        <w:t>. עיין בזה ברמיזות והערות חלק א' מפרק ל</w:t>
      </w:r>
      <w:r w:rsidR="00F055C8">
        <w:rPr>
          <w:rtl/>
        </w:rPr>
        <w:t>"</w:t>
      </w:r>
      <w:r>
        <w:rPr>
          <w:rFonts w:hint="cs"/>
          <w:rtl/>
        </w:rPr>
        <w:t>ב והלאה.</w:t>
      </w:r>
    </w:p>
    <w:p w14:paraId="529D0E17" w14:textId="6E325F58" w:rsidR="00F964E0" w:rsidRDefault="00F964E0" w:rsidP="008A0A5F">
      <w:pPr>
        <w:pStyle w:val="FootnoteText"/>
        <w:rPr>
          <w:rtl/>
        </w:rPr>
      </w:pPr>
    </w:p>
    <w:p w14:paraId="1D80AEC1" w14:textId="6DAA5E93" w:rsidR="00F964E0" w:rsidRDefault="00F964E0" w:rsidP="008A0A5F">
      <w:pPr>
        <w:pStyle w:val="FootnoteText"/>
        <w:rPr>
          <w:rtl/>
        </w:rPr>
      </w:pPr>
      <w:r>
        <w:rPr>
          <w:rFonts w:hint="cs"/>
          <w:rtl/>
        </w:rPr>
        <w:t>הערה:</w:t>
      </w:r>
    </w:p>
    <w:p w14:paraId="3BFB1C12" w14:textId="68885BA5" w:rsidR="00F964E0" w:rsidRDefault="00F964E0" w:rsidP="008A0A5F">
      <w:pPr>
        <w:pStyle w:val="FootnoteText"/>
        <w:rPr>
          <w:rtl/>
        </w:rPr>
      </w:pPr>
      <w:r>
        <w:rPr>
          <w:rFonts w:hint="cs"/>
          <w:rtl/>
        </w:rPr>
        <w:t>יש שאומרים שאחרי שהתגלה שהעולם מורכב מאטומים או שאר חלקיקי יסוד, או מהמולקולות של טבלת היסודות, הוכח שהתיאוריה של אריסטו על כך שהעולם מורכב מארבעת היסודות</w:t>
      </w:r>
      <w:r w:rsidR="00F24ED6">
        <w:rPr>
          <w:rtl/>
        </w:rPr>
        <w:fldChar w:fldCharType="begin"/>
      </w:r>
      <w:r w:rsidR="00F24ED6">
        <w:instrText xml:space="preserve"> XE "</w:instrText>
      </w:r>
      <w:r w:rsidR="00F24ED6" w:rsidRPr="00D94EF6">
        <w:rPr>
          <w:rFonts w:hint="cs"/>
          <w:rtl/>
        </w:rPr>
        <w:instrText>ארבעת היסודות - לא סותרים את המדע החדש</w:instrText>
      </w:r>
      <w:r w:rsidR="00F24ED6">
        <w:instrText xml:space="preserve">" </w:instrText>
      </w:r>
      <w:r w:rsidR="00F24ED6">
        <w:rPr>
          <w:rtl/>
        </w:rPr>
        <w:fldChar w:fldCharType="end"/>
      </w:r>
      <w:r>
        <w:rPr>
          <w:rFonts w:hint="cs"/>
          <w:rtl/>
        </w:rPr>
        <w:t xml:space="preserve"> כבר אינה תקפה. </w:t>
      </w:r>
    </w:p>
    <w:p w14:paraId="1671A660" w14:textId="2E9FCBC8" w:rsidR="006569A9" w:rsidRDefault="002E4797" w:rsidP="008A0A5F">
      <w:pPr>
        <w:pStyle w:val="FootnoteText"/>
        <w:rPr>
          <w:rtl/>
        </w:rPr>
      </w:pPr>
      <w:r>
        <w:rPr>
          <w:rFonts w:hint="cs"/>
          <w:rtl/>
        </w:rPr>
        <w:t>בספרי קבלה מבואר שארבעת היסודות הם כנגד ארבע אותיות שם הוי</w:t>
      </w:r>
      <w:r w:rsidR="00F055C8">
        <w:rPr>
          <w:rtl/>
        </w:rPr>
        <w:t>"</w:t>
      </w:r>
      <w:r>
        <w:rPr>
          <w:rFonts w:hint="cs"/>
          <w:rtl/>
        </w:rPr>
        <w:t>ה (עיין גם במו</w:t>
      </w:r>
      <w:r w:rsidR="00F055C8">
        <w:rPr>
          <w:rtl/>
        </w:rPr>
        <w:t>"</w:t>
      </w:r>
      <w:r>
        <w:rPr>
          <w:rFonts w:hint="cs"/>
          <w:rtl/>
        </w:rPr>
        <w:t>נ ב' י'). היסודות כמו אותיות השם המפורש הם השורשים של המציאות מצד שהיא מושפעת מהבורא. האש היא השורש של המציאות שהיא גילוי אחדות הבורא, ולכן האש היא כליון מול האחדות המוחלטת של הבורא, וכמו שכתוב:</w:t>
      </w:r>
      <w:r w:rsidRPr="002E4797">
        <w:rPr>
          <w:rtl/>
        </w:rPr>
        <w:t xml:space="preserve"> </w:t>
      </w:r>
      <w:r w:rsidR="00F055C8">
        <w:rPr>
          <w:rtl/>
        </w:rPr>
        <w:t>"</w:t>
      </w:r>
      <w:r w:rsidRPr="002E4797">
        <w:rPr>
          <w:rtl/>
        </w:rPr>
        <w:t>וְהִנֵּה הַסְּנֶה בֹּעֵר בָּאֵשׁ וְהַסְּנֶה אֵינֶנּוּ אֻכָּל</w:t>
      </w:r>
      <w:r w:rsidR="00F055C8">
        <w:rPr>
          <w:rtl/>
        </w:rPr>
        <w:t>"</w:t>
      </w:r>
      <w:r>
        <w:rPr>
          <w:rFonts w:hint="cs"/>
          <w:rtl/>
        </w:rPr>
        <w:t>. האוויר או הרוח הוא הצד של קיום של המציאות למרות שזה נדמה כסותר את אחדות הבורא, ובתחילתה היא קיום דק מאוד כגון האוויר</w:t>
      </w:r>
      <w:r w:rsidR="00833274">
        <w:rPr>
          <w:rFonts w:hint="cs"/>
          <w:rtl/>
        </w:rPr>
        <w:t>, כי הוא התחלת הקיום הראשונה ולא סוף הקיום שהוא העפר (וברמב</w:t>
      </w:r>
      <w:r w:rsidR="00F055C8">
        <w:rPr>
          <w:rtl/>
        </w:rPr>
        <w:t>"</w:t>
      </w:r>
      <w:r w:rsidR="00833274">
        <w:rPr>
          <w:rFonts w:hint="cs"/>
          <w:rtl/>
        </w:rPr>
        <w:t xml:space="preserve">ן על בראשית א' א' כתב: </w:t>
      </w:r>
      <w:r w:rsidR="00F055C8">
        <w:rPr>
          <w:rtl/>
        </w:rPr>
        <w:t>"</w:t>
      </w:r>
      <w:r w:rsidR="00833274" w:rsidRPr="00833274">
        <w:rPr>
          <w:rtl/>
        </w:rPr>
        <w:t xml:space="preserve">וסמך </w:t>
      </w:r>
      <w:r w:rsidR="00F055C8">
        <w:rPr>
          <w:rtl/>
        </w:rPr>
        <w:t>"</w:t>
      </w:r>
      <w:r w:rsidR="00833274" w:rsidRPr="00833274">
        <w:rPr>
          <w:rtl/>
        </w:rPr>
        <w:t>הרוח</w:t>
      </w:r>
      <w:r w:rsidR="00F055C8">
        <w:rPr>
          <w:rtl/>
        </w:rPr>
        <w:t>"</w:t>
      </w:r>
      <w:r w:rsidR="00833274" w:rsidRPr="00833274">
        <w:rPr>
          <w:rtl/>
        </w:rPr>
        <w:t xml:space="preserve"> ל</w:t>
      </w:r>
      <w:r w:rsidR="00F055C8">
        <w:rPr>
          <w:rtl/>
        </w:rPr>
        <w:t>"</w:t>
      </w:r>
      <w:r w:rsidR="00833274" w:rsidRPr="00833274">
        <w:rPr>
          <w:rtl/>
        </w:rPr>
        <w:t>אלהים</w:t>
      </w:r>
      <w:r w:rsidR="00F055C8">
        <w:rPr>
          <w:rtl/>
        </w:rPr>
        <w:t>"</w:t>
      </w:r>
      <w:r w:rsidR="00833274" w:rsidRPr="00833274">
        <w:rPr>
          <w:rtl/>
        </w:rPr>
        <w:t>, בעבור שהיא דקה מכולם, ולמעלה מהם, רק שהיא מרחפת על פני המים במאמרו של הקב</w:t>
      </w:r>
      <w:r w:rsidR="00F055C8">
        <w:rPr>
          <w:rtl/>
        </w:rPr>
        <w:t>"</w:t>
      </w:r>
      <w:r w:rsidR="00833274" w:rsidRPr="00833274">
        <w:rPr>
          <w:rtl/>
        </w:rPr>
        <w:t>ה</w:t>
      </w:r>
      <w:r w:rsidR="00780A35">
        <w:rPr>
          <w:rFonts w:hint="cs"/>
          <w:rtl/>
        </w:rPr>
        <w:t>.</w:t>
      </w:r>
      <w:r w:rsidR="00F055C8">
        <w:rPr>
          <w:rtl/>
        </w:rPr>
        <w:t>"</w:t>
      </w:r>
      <w:r w:rsidR="00780A35">
        <w:rPr>
          <w:rFonts w:hint="cs"/>
          <w:rtl/>
        </w:rPr>
        <w:t xml:space="preserve"> ועיין עוד מה שכתב בזה במורה נבוכים ב' ל'</w:t>
      </w:r>
      <w:r w:rsidR="00833274">
        <w:rPr>
          <w:rFonts w:hint="cs"/>
          <w:rtl/>
        </w:rPr>
        <w:t>)</w:t>
      </w:r>
      <w:r>
        <w:rPr>
          <w:rFonts w:hint="cs"/>
          <w:rtl/>
        </w:rPr>
        <w:t>. המים הם ההשפעה של המציאות בתנועה אל ההתממשות בחומר, שזה סוף עוצם הגילוי של האחדות שאפילו בחומר הכי מת היא מתגלה, כמו שהאור מתגלה על רקע החושך וככל שהחושך עמוק כך הגילוי מבהיק יותר. העפר הוא סוף ההתממשות בחומר</w:t>
      </w:r>
      <w:r w:rsidR="006569A9">
        <w:rPr>
          <w:rFonts w:hint="cs"/>
          <w:rtl/>
        </w:rPr>
        <w:t xml:space="preserve"> של המציאות המושפעת מהבורא, שהיא נגלית למתבונן כמציאותו של הבורא לבדו, גם כשהיא נראית כמציאות עצמאית בחומר</w:t>
      </w:r>
      <w:r>
        <w:rPr>
          <w:rFonts w:hint="cs"/>
          <w:rtl/>
        </w:rPr>
        <w:t>.</w:t>
      </w:r>
    </w:p>
    <w:p w14:paraId="5F93C9EE" w14:textId="5E5D84BD" w:rsidR="002E4797" w:rsidRDefault="006569A9" w:rsidP="008A0A5F">
      <w:pPr>
        <w:pStyle w:val="FootnoteText"/>
        <w:rPr>
          <w:rtl/>
        </w:rPr>
      </w:pPr>
      <w:r>
        <w:rPr>
          <w:rFonts w:hint="cs"/>
          <w:rtl/>
        </w:rPr>
        <w:t>לכל זה אין שום שייכות כלל למדע המערבי המטריאליסטי שלא רוצה לראות שום דבר חי ועליון ומופשט בחומר, וחוקר על מולקולות ואטומים וכיו</w:t>
      </w:r>
      <w:r w:rsidR="00F055C8">
        <w:rPr>
          <w:rtl/>
        </w:rPr>
        <w:t>"</w:t>
      </w:r>
      <w:r>
        <w:rPr>
          <w:rFonts w:hint="cs"/>
          <w:rtl/>
        </w:rPr>
        <w:t xml:space="preserve">ב. </w:t>
      </w:r>
      <w:r w:rsidR="002E4797">
        <w:rPr>
          <w:rFonts w:hint="cs"/>
          <w:rtl/>
        </w:rPr>
        <w:t xml:space="preserve"> </w:t>
      </w:r>
    </w:p>
    <w:p w14:paraId="28B5C155" w14:textId="12CCAE8E" w:rsidR="00683B6A" w:rsidRDefault="00683B6A" w:rsidP="008A0A5F">
      <w:pPr>
        <w:pStyle w:val="FootnoteText"/>
        <w:rPr>
          <w:rtl/>
        </w:rPr>
      </w:pPr>
      <w:r>
        <w:rPr>
          <w:rFonts w:hint="cs"/>
          <w:rtl/>
        </w:rPr>
        <w:t xml:space="preserve">עד כאן ההערה. </w:t>
      </w:r>
    </w:p>
    <w:p w14:paraId="51512D2A" w14:textId="070195C6" w:rsidR="00683B6A" w:rsidRDefault="00683B6A" w:rsidP="008A0A5F">
      <w:pPr>
        <w:pStyle w:val="FootnoteText"/>
        <w:rPr>
          <w:rtl/>
        </w:rPr>
      </w:pPr>
    </w:p>
    <w:p w14:paraId="62DB84E6" w14:textId="146829DD" w:rsidR="006A505A" w:rsidRPr="00CD6EE0" w:rsidRDefault="003C0041" w:rsidP="008A0A5F">
      <w:pPr>
        <w:pStyle w:val="FootnoteText"/>
        <w:rPr>
          <w:b/>
          <w:bCs/>
          <w:sz w:val="28"/>
          <w:szCs w:val="28"/>
          <w:rtl/>
        </w:rPr>
      </w:pPr>
      <w:r>
        <w:rPr>
          <w:rFonts w:hint="cs"/>
          <w:b/>
          <w:bCs/>
          <w:sz w:val="28"/>
          <w:szCs w:val="28"/>
          <w:rtl/>
        </w:rPr>
        <w:t>המונחים</w:t>
      </w:r>
      <w:r w:rsidR="00177FCB">
        <w:rPr>
          <w:rFonts w:hint="cs"/>
          <w:b/>
          <w:bCs/>
          <w:sz w:val="28"/>
          <w:szCs w:val="28"/>
          <w:rtl/>
        </w:rPr>
        <w:t xml:space="preserve"> הערביים</w:t>
      </w:r>
      <w:r>
        <w:rPr>
          <w:rFonts w:hint="cs"/>
          <w:b/>
          <w:bCs/>
          <w:sz w:val="28"/>
          <w:szCs w:val="28"/>
          <w:rtl/>
        </w:rPr>
        <w:t xml:space="preserve"> </w:t>
      </w:r>
      <w:r w:rsidR="00177FCB">
        <w:rPr>
          <w:rFonts w:hint="cs"/>
          <w:b/>
          <w:bCs/>
          <w:sz w:val="28"/>
          <w:szCs w:val="28"/>
          <w:rtl/>
        </w:rPr>
        <w:t>המשמשים לארבעת היסודות</w:t>
      </w:r>
      <w:r w:rsidR="00A255FD">
        <w:rPr>
          <w:b/>
          <w:bCs/>
          <w:sz w:val="28"/>
          <w:szCs w:val="28"/>
          <w:rtl/>
        </w:rPr>
        <w:fldChar w:fldCharType="begin"/>
      </w:r>
      <w:r w:rsidR="00A255FD">
        <w:instrText xml:space="preserve"> XE "</w:instrText>
      </w:r>
      <w:r w:rsidR="00A255FD" w:rsidRPr="008268DA">
        <w:rPr>
          <w:rFonts w:hint="cs"/>
          <w:b/>
          <w:bCs/>
          <w:sz w:val="28"/>
          <w:szCs w:val="28"/>
          <w:rtl/>
        </w:rPr>
        <w:instrText>ארבעת היסודות</w:instrText>
      </w:r>
      <w:r w:rsidR="00A255FD" w:rsidRPr="008268DA">
        <w:rPr>
          <w:rFonts w:hint="cs"/>
          <w:sz w:val="28"/>
          <w:szCs w:val="28"/>
          <w:rtl/>
        </w:rPr>
        <w:instrText xml:space="preserve"> - המונחים הערביים המשמשים להם</w:instrText>
      </w:r>
      <w:r w:rsidR="00A255FD">
        <w:instrText xml:space="preserve">" </w:instrText>
      </w:r>
      <w:r w:rsidR="00A255FD">
        <w:rPr>
          <w:b/>
          <w:bCs/>
          <w:sz w:val="28"/>
          <w:szCs w:val="28"/>
          <w:rtl/>
        </w:rPr>
        <w:fldChar w:fldCharType="end"/>
      </w:r>
      <w:r w:rsidR="00177FCB">
        <w:rPr>
          <w:rFonts w:hint="cs"/>
          <w:b/>
          <w:bCs/>
          <w:sz w:val="28"/>
          <w:szCs w:val="28"/>
          <w:rtl/>
        </w:rPr>
        <w:t>.</w:t>
      </w:r>
      <w:r w:rsidR="00292037" w:rsidRPr="00CD6EE0">
        <w:rPr>
          <w:b/>
          <w:bCs/>
          <w:sz w:val="28"/>
          <w:szCs w:val="28"/>
          <w:rtl/>
        </w:rPr>
        <w:fldChar w:fldCharType="begin"/>
      </w:r>
      <w:r w:rsidR="00292037" w:rsidRPr="00CD6EE0">
        <w:rPr>
          <w:b/>
          <w:bCs/>
          <w:sz w:val="28"/>
          <w:szCs w:val="28"/>
        </w:rPr>
        <w:instrText xml:space="preserve"> XE "</w:instrText>
      </w:r>
      <w:r w:rsidR="00292037" w:rsidRPr="00CD6EE0">
        <w:rPr>
          <w:rFonts w:hint="cs"/>
          <w:b/>
          <w:bCs/>
          <w:sz w:val="28"/>
          <w:szCs w:val="28"/>
          <w:rtl/>
        </w:rPr>
        <w:instrText>מזג - תרכובת של היסודות</w:instrText>
      </w:r>
      <w:r w:rsidR="00292037" w:rsidRPr="00CD6EE0">
        <w:rPr>
          <w:b/>
          <w:bCs/>
          <w:sz w:val="28"/>
          <w:szCs w:val="28"/>
        </w:rPr>
        <w:instrText xml:space="preserve">" </w:instrText>
      </w:r>
      <w:r w:rsidR="00292037" w:rsidRPr="00CD6EE0">
        <w:rPr>
          <w:b/>
          <w:bCs/>
          <w:sz w:val="28"/>
          <w:szCs w:val="28"/>
          <w:rtl/>
        </w:rPr>
        <w:fldChar w:fldCharType="end"/>
      </w:r>
      <w:r w:rsidR="00A95C72">
        <w:rPr>
          <w:b/>
          <w:bCs/>
          <w:sz w:val="28"/>
          <w:szCs w:val="28"/>
          <w:rtl/>
        </w:rPr>
        <w:fldChar w:fldCharType="begin"/>
      </w:r>
      <w:r w:rsidR="00A95C72">
        <w:instrText xml:space="preserve"> XE "</w:instrText>
      </w:r>
      <w:r w:rsidR="00A95C72" w:rsidRPr="005F4C76">
        <w:rPr>
          <w:rFonts w:hint="cs"/>
          <w:b/>
          <w:bCs/>
          <w:sz w:val="28"/>
          <w:szCs w:val="28"/>
          <w:rtl/>
        </w:rPr>
        <w:instrText>המונחים הערביים המשמשים לארבעת היסודות</w:instrText>
      </w:r>
      <w:r w:rsidR="00A95C72">
        <w:instrText xml:space="preserve">" </w:instrText>
      </w:r>
      <w:r w:rsidR="00A95C72">
        <w:rPr>
          <w:b/>
          <w:bCs/>
          <w:sz w:val="28"/>
          <w:szCs w:val="28"/>
          <w:rtl/>
        </w:rPr>
        <w:fldChar w:fldCharType="end"/>
      </w:r>
    </w:p>
    <w:p w14:paraId="43867BCC" w14:textId="5402D5AF" w:rsidR="00683B6A" w:rsidRPr="006A505A" w:rsidRDefault="00257F39" w:rsidP="008A0A5F">
      <w:pPr>
        <w:pStyle w:val="FootnoteText"/>
        <w:rPr>
          <w:rtl/>
        </w:rPr>
      </w:pPr>
      <w:r>
        <w:rPr>
          <w:rFonts w:hint="cs"/>
          <w:rtl/>
        </w:rPr>
        <w:t xml:space="preserve">יש </w:t>
      </w:r>
      <w:r w:rsidR="00683B6A" w:rsidRPr="006A505A">
        <w:rPr>
          <w:rtl/>
        </w:rPr>
        <w:t xml:space="preserve">בערבית </w:t>
      </w:r>
      <w:r>
        <w:rPr>
          <w:rFonts w:hint="cs"/>
          <w:rtl/>
        </w:rPr>
        <w:t xml:space="preserve">לפחות </w:t>
      </w:r>
      <w:r w:rsidR="00683B6A" w:rsidRPr="006A505A">
        <w:rPr>
          <w:rtl/>
        </w:rPr>
        <w:t>שלוש מילים</w:t>
      </w:r>
      <w:r>
        <w:rPr>
          <w:rFonts w:hint="cs"/>
          <w:rtl/>
        </w:rPr>
        <w:t xml:space="preserve"> נפוצות שבהם משתמשים ליסודות</w:t>
      </w:r>
      <w:r w:rsidR="00683B6A" w:rsidRPr="006A505A">
        <w:rPr>
          <w:rtl/>
        </w:rPr>
        <w:t>. ה</w:t>
      </w:r>
      <w:r w:rsidR="00683B6A" w:rsidRPr="00474E14">
        <w:rPr>
          <w:rtl/>
        </w:rPr>
        <w:t xml:space="preserve">אחת היא </w:t>
      </w:r>
      <w:r w:rsidR="00683B6A" w:rsidRPr="00474E14">
        <w:rPr>
          <w:rFonts w:ascii="Arial" w:hAnsi="Arial" w:cs="Arial" w:hint="cs"/>
          <w:rtl/>
          <w:lang w:bidi="ar-SA"/>
        </w:rPr>
        <w:t>عـنـصـر</w:t>
      </w:r>
      <w:r w:rsidR="00683B6A" w:rsidRPr="00474E14">
        <w:rPr>
          <w:rtl/>
          <w:lang w:bidi="ar-SA"/>
        </w:rPr>
        <w:t xml:space="preserve"> </w:t>
      </w:r>
      <w:r w:rsidR="006A505A" w:rsidRPr="006A505A">
        <w:rPr>
          <w:rtl/>
        </w:rPr>
        <w:t>(</w:t>
      </w:r>
      <w:r w:rsidR="00683B6A" w:rsidRPr="006A505A">
        <w:rPr>
          <w:rtl/>
        </w:rPr>
        <w:t>א</w:t>
      </w:r>
      <w:r w:rsidR="003C51B2" w:rsidRPr="003C51B2">
        <w:rPr>
          <w:rtl/>
        </w:rPr>
        <w:t>וּ</w:t>
      </w:r>
      <w:r w:rsidR="00683B6A" w:rsidRPr="006A505A">
        <w:rPr>
          <w:rtl/>
        </w:rPr>
        <w:t>נס</w:t>
      </w:r>
      <w:r w:rsidR="003C51B2" w:rsidRPr="003C51B2">
        <w:rPr>
          <w:rtl/>
        </w:rPr>
        <w:t>וּ</w:t>
      </w:r>
      <w:r w:rsidR="00683B6A" w:rsidRPr="006A505A">
        <w:rPr>
          <w:rtl/>
        </w:rPr>
        <w:t>ר</w:t>
      </w:r>
      <w:r w:rsidR="006A505A" w:rsidRPr="006A505A">
        <w:rPr>
          <w:rtl/>
        </w:rPr>
        <w:t>)</w:t>
      </w:r>
      <w:r w:rsidR="00683B6A" w:rsidRPr="006A505A">
        <w:rPr>
          <w:rtl/>
        </w:rPr>
        <w:t xml:space="preserve">. </w:t>
      </w:r>
    </w:p>
    <w:p w14:paraId="07CB7F5C" w14:textId="3D557354" w:rsidR="00683B6A" w:rsidRPr="006A505A" w:rsidRDefault="00683B6A" w:rsidP="008A0A5F">
      <w:pPr>
        <w:pStyle w:val="FootnoteText"/>
        <w:rPr>
          <w:rtl/>
        </w:rPr>
      </w:pPr>
      <w:r w:rsidRPr="006A505A">
        <w:rPr>
          <w:rtl/>
        </w:rPr>
        <w:t xml:space="preserve">מילה שנייה היא </w:t>
      </w:r>
      <w:r w:rsidRPr="006A505A">
        <w:rPr>
          <w:rFonts w:ascii="Arial" w:hAnsi="Arial" w:cs="Arial" w:hint="cs"/>
          <w:rtl/>
          <w:lang w:bidi="ar-SA"/>
        </w:rPr>
        <w:t>أركان</w:t>
      </w:r>
      <w:r w:rsidRPr="006A505A">
        <w:rPr>
          <w:rtl/>
        </w:rPr>
        <w:t xml:space="preserve"> </w:t>
      </w:r>
      <w:r w:rsidR="006A505A" w:rsidRPr="006A505A">
        <w:rPr>
          <w:rtl/>
        </w:rPr>
        <w:t>(</w:t>
      </w:r>
      <w:r w:rsidRPr="006A505A">
        <w:rPr>
          <w:rtl/>
        </w:rPr>
        <w:t>אר</w:t>
      </w:r>
      <w:bookmarkStart w:id="177" w:name="_Hlk99379106"/>
      <w:r w:rsidR="006A505A" w:rsidRPr="006A505A">
        <w:rPr>
          <w:rtl/>
        </w:rPr>
        <w:t>כּ</w:t>
      </w:r>
      <w:bookmarkEnd w:id="177"/>
      <w:r w:rsidRPr="006A505A">
        <w:rPr>
          <w:rtl/>
        </w:rPr>
        <w:t>אן</w:t>
      </w:r>
      <w:r w:rsidR="001167DE">
        <w:rPr>
          <w:rFonts w:hint="cs"/>
          <w:rtl/>
        </w:rPr>
        <w:t>. ביחיד ר</w:t>
      </w:r>
      <w:r w:rsidR="003C51B2" w:rsidRPr="003C51B2">
        <w:rPr>
          <w:rtl/>
        </w:rPr>
        <w:t>וּ</w:t>
      </w:r>
      <w:r w:rsidR="001167DE" w:rsidRPr="001167DE">
        <w:rPr>
          <w:rtl/>
        </w:rPr>
        <w:t>כּ</w:t>
      </w:r>
      <w:r w:rsidR="001167DE">
        <w:rPr>
          <w:rFonts w:hint="cs"/>
          <w:rtl/>
        </w:rPr>
        <w:t>ן</w:t>
      </w:r>
      <w:r w:rsidR="006A505A" w:rsidRPr="006A505A">
        <w:rPr>
          <w:rtl/>
        </w:rPr>
        <w:t>)</w:t>
      </w:r>
      <w:r w:rsidRPr="006A505A">
        <w:rPr>
          <w:rtl/>
        </w:rPr>
        <w:t xml:space="preserve">. </w:t>
      </w:r>
    </w:p>
    <w:p w14:paraId="296EDAFE" w14:textId="55783EF8" w:rsidR="00683B6A" w:rsidRDefault="00683B6A" w:rsidP="008A0A5F">
      <w:pPr>
        <w:pStyle w:val="FootnoteText"/>
        <w:rPr>
          <w:rtl/>
        </w:rPr>
      </w:pPr>
      <w:r w:rsidRPr="006A505A">
        <w:rPr>
          <w:rtl/>
        </w:rPr>
        <w:t xml:space="preserve">כאן אבן סינא משתמש במילה שלישית שהיא </w:t>
      </w:r>
      <w:r w:rsidRPr="006A505A">
        <w:rPr>
          <w:rFonts w:ascii="Arial" w:hAnsi="Arial" w:cs="Arial" w:hint="cs"/>
          <w:rtl/>
          <w:lang w:bidi="ar-SA"/>
        </w:rPr>
        <w:t>أسطقسات</w:t>
      </w:r>
      <w:r w:rsidRPr="006A505A">
        <w:rPr>
          <w:rtl/>
        </w:rPr>
        <w:t xml:space="preserve"> </w:t>
      </w:r>
      <w:r w:rsidR="006A505A" w:rsidRPr="006A505A">
        <w:rPr>
          <w:rtl/>
        </w:rPr>
        <w:t>(</w:t>
      </w:r>
      <w:r w:rsidR="0092220B" w:rsidRPr="0092220B">
        <w:rPr>
          <w:rtl/>
        </w:rPr>
        <w:t>אסטקסאת</w:t>
      </w:r>
      <w:r w:rsidR="006A505A" w:rsidRPr="006A505A">
        <w:rPr>
          <w:rtl/>
        </w:rPr>
        <w:t xml:space="preserve">). היא משמשת כמונח האריסטוטלי יסודות, אבל גם כמזג, כמו במזג אוויר. </w:t>
      </w:r>
    </w:p>
    <w:p w14:paraId="22B2A32A" w14:textId="350A4E53" w:rsidR="00F746BA" w:rsidRDefault="007B4EEF" w:rsidP="00680B90">
      <w:pPr>
        <w:pStyle w:val="FootnoteText"/>
        <w:rPr>
          <w:rtl/>
        </w:rPr>
      </w:pPr>
      <w:r>
        <w:rPr>
          <w:rFonts w:hint="cs"/>
          <w:rtl/>
        </w:rPr>
        <w:t>במורה נבוכים א' ע</w:t>
      </w:r>
      <w:r w:rsidR="00F055C8">
        <w:rPr>
          <w:rtl/>
        </w:rPr>
        <w:t>"</w:t>
      </w:r>
      <w:r>
        <w:rPr>
          <w:rFonts w:hint="cs"/>
          <w:rtl/>
        </w:rPr>
        <w:t xml:space="preserve">ב </w:t>
      </w:r>
      <w:r w:rsidR="007517FA">
        <w:rPr>
          <w:rFonts w:hint="cs"/>
          <w:rtl/>
        </w:rPr>
        <w:t xml:space="preserve">גם כן </w:t>
      </w:r>
      <w:r>
        <w:rPr>
          <w:rFonts w:hint="cs"/>
          <w:rtl/>
        </w:rPr>
        <w:t xml:space="preserve">השתמש במילה </w:t>
      </w:r>
      <w:r w:rsidR="00F81C77">
        <w:rPr>
          <w:rFonts w:hint="cs"/>
          <w:rtl/>
        </w:rPr>
        <w:t>(אל)</w:t>
      </w:r>
      <w:r w:rsidRPr="007B4EEF">
        <w:rPr>
          <w:rtl/>
        </w:rPr>
        <w:t xml:space="preserve">אסטקסאת </w:t>
      </w:r>
      <w:r>
        <w:rPr>
          <w:rFonts w:hint="cs"/>
          <w:rtl/>
        </w:rPr>
        <w:t xml:space="preserve">לציין את היסודות </w:t>
      </w:r>
      <w:r w:rsidR="00871C9B">
        <w:rPr>
          <w:rFonts w:hint="cs"/>
          <w:rtl/>
        </w:rPr>
        <w:t>הטהורים לפני שהורכבו זה בזה</w:t>
      </w:r>
      <w:r w:rsidR="00233FF4">
        <w:rPr>
          <w:rFonts w:hint="cs"/>
          <w:rtl/>
        </w:rPr>
        <w:t xml:space="preserve">. </w:t>
      </w:r>
    </w:p>
    <w:p w14:paraId="00B2238F" w14:textId="1BDB03E7" w:rsidR="000C64D2" w:rsidRDefault="00F746BA" w:rsidP="00680B90">
      <w:pPr>
        <w:pStyle w:val="FootnoteText"/>
        <w:rPr>
          <w:rtl/>
        </w:rPr>
      </w:pPr>
      <w:r>
        <w:rPr>
          <w:rFonts w:hint="cs"/>
          <w:rtl/>
        </w:rPr>
        <w:t>בספר ההגדרות מאת אבן סינא (כיתאב אל חורוף)</w:t>
      </w:r>
      <w:r w:rsidR="00F81C77">
        <w:rPr>
          <w:rFonts w:hint="cs"/>
          <w:rtl/>
        </w:rPr>
        <w:t xml:space="preserve"> מבואר ש</w:t>
      </w:r>
      <w:r w:rsidR="007517FA">
        <w:rPr>
          <w:rFonts w:hint="cs"/>
          <w:rtl/>
        </w:rPr>
        <w:t xml:space="preserve">לפי הגדרותיו את המונחים </w:t>
      </w:r>
      <w:r w:rsidR="00F81C77">
        <w:rPr>
          <w:rFonts w:hint="cs"/>
          <w:rtl/>
        </w:rPr>
        <w:t xml:space="preserve">רק המונח אסטקסאת מתייחס ליסודות שהם אש רוח מים ועפר, </w:t>
      </w:r>
      <w:r w:rsidR="000C64D2">
        <w:rPr>
          <w:rFonts w:hint="cs"/>
          <w:rtl/>
        </w:rPr>
        <w:t>ולמונחים האחרים יש מובן אחר, זו לשונו</w:t>
      </w:r>
      <w:r w:rsidR="00680B90">
        <w:rPr>
          <w:rFonts w:hint="cs"/>
          <w:rtl/>
        </w:rPr>
        <w:t xml:space="preserve"> </w:t>
      </w:r>
      <w:r w:rsidR="000C64D2">
        <w:rPr>
          <w:rFonts w:hint="cs"/>
          <w:rtl/>
        </w:rPr>
        <w:t>שם</w:t>
      </w:r>
      <w:r w:rsidR="003F4D18">
        <w:rPr>
          <w:rFonts w:hint="cs"/>
          <w:rtl/>
        </w:rPr>
        <w:t xml:space="preserve"> בהגדרות </w:t>
      </w:r>
      <w:r w:rsidR="000C64D2">
        <w:rPr>
          <w:rFonts w:hint="cs"/>
          <w:rtl/>
        </w:rPr>
        <w:t>:</w:t>
      </w:r>
    </w:p>
    <w:p w14:paraId="3263AFC2" w14:textId="0C73024E" w:rsidR="00680B90" w:rsidRDefault="00AF1BDB" w:rsidP="00680B90">
      <w:pPr>
        <w:pStyle w:val="FootnoteText"/>
        <w:bidi w:val="0"/>
        <w:rPr>
          <w:rtl/>
        </w:rPr>
      </w:pPr>
      <w:r>
        <w:rPr>
          <w:rFonts w:hint="cs"/>
          <w:rtl/>
        </w:rPr>
        <w:t>:</w:t>
      </w:r>
      <w:r w:rsidRPr="00AF1BDB">
        <w:t>Kiki Kennedy-Day</w:t>
      </w:r>
      <w:r>
        <w:rPr>
          <w:rFonts w:hint="cs"/>
          <w:rtl/>
        </w:rPr>
        <w:t xml:space="preserve">הערת המתרגמת </w:t>
      </w:r>
    </w:p>
    <w:p w14:paraId="1D58FBC4" w14:textId="18B96938" w:rsidR="009369E6" w:rsidRPr="00350F8F" w:rsidRDefault="00F055C8" w:rsidP="00A54543">
      <w:pPr>
        <w:pStyle w:val="FootnoteText"/>
        <w:bidi w:val="0"/>
        <w:rPr>
          <w:rtl/>
        </w:rPr>
      </w:pPr>
      <w:r>
        <w:t>"</w:t>
      </w:r>
      <w:r w:rsidR="000C64D2" w:rsidRPr="00A54543">
        <w:t xml:space="preserve">Since both unsur and ustuqas can be translated as </w:t>
      </w:r>
      <w:r>
        <w:t>"</w:t>
      </w:r>
      <w:r w:rsidR="000C64D2" w:rsidRPr="00A54543">
        <w:t>element,</w:t>
      </w:r>
      <w:r>
        <w:t>"</w:t>
      </w:r>
      <w:r w:rsidR="000C64D2" w:rsidRPr="00A54543">
        <w:t xml:space="preserve"> I have chosen to</w:t>
      </w:r>
      <w:r w:rsidR="00A54543" w:rsidRPr="00A54543">
        <w:rPr>
          <w:rtl/>
        </w:rPr>
        <w:t xml:space="preserve"> </w:t>
      </w:r>
      <w:r w:rsidR="000C64D2" w:rsidRPr="00A54543">
        <w:t>translate unsur as element</w:t>
      </w:r>
      <w:r w:rsidR="000C64D2" w:rsidRPr="00697FEA">
        <w:t>2</w:t>
      </w:r>
      <w:r w:rsidR="000C64D2" w:rsidRPr="00A54543">
        <w:t xml:space="preserve"> and ustuqas as element</w:t>
      </w:r>
      <w:r w:rsidR="000C64D2" w:rsidRPr="003F4D18">
        <w:t>1</w:t>
      </w:r>
      <w:r w:rsidR="000C64D2" w:rsidRPr="00A54543">
        <w:t xml:space="preserve">, rather than trying to </w:t>
      </w:r>
      <w:r w:rsidR="000C64D2" w:rsidRPr="00A54543">
        <w:rPr>
          <w:rFonts w:ascii="Arial" w:hAnsi="Arial" w:cs="Arial"/>
        </w:rPr>
        <w:t>ﬁ</w:t>
      </w:r>
      <w:r w:rsidR="000C64D2" w:rsidRPr="00A54543">
        <w:t>nd an</w:t>
      </w:r>
      <w:r w:rsidR="00A54543" w:rsidRPr="00A54543">
        <w:rPr>
          <w:rtl/>
        </w:rPr>
        <w:t xml:space="preserve"> </w:t>
      </w:r>
      <w:r w:rsidR="000C64D2" w:rsidRPr="00A54543">
        <w:t>arti</w:t>
      </w:r>
      <w:r w:rsidR="000C64D2" w:rsidRPr="00A54543">
        <w:rPr>
          <w:rFonts w:ascii="Arial" w:hAnsi="Arial" w:cs="Arial"/>
        </w:rPr>
        <w:t>ﬁ</w:t>
      </w:r>
      <w:r w:rsidR="000C64D2" w:rsidRPr="00A54543">
        <w:t>cially distinctive word</w:t>
      </w:r>
      <w:r w:rsidR="000C64D2" w:rsidRPr="00A54543">
        <w:rPr>
          <w:rtl/>
        </w:rPr>
        <w:t>.</w:t>
      </w:r>
      <w:r>
        <w:rPr>
          <w:rtl/>
        </w:rPr>
        <w:t>"</w:t>
      </w:r>
      <w:r w:rsidR="009369E6" w:rsidRPr="00A54543">
        <w:rPr>
          <w:rtl/>
        </w:rPr>
        <w:t xml:space="preserve"> </w:t>
      </w:r>
    </w:p>
    <w:p w14:paraId="21A681E9" w14:textId="11BE9CBF" w:rsidR="003F4D18" w:rsidRPr="00350F8F" w:rsidRDefault="003F4D18" w:rsidP="003F4D18">
      <w:pPr>
        <w:pStyle w:val="FootnoteText"/>
        <w:bidi w:val="0"/>
        <w:rPr>
          <w:rtl/>
        </w:rPr>
      </w:pPr>
      <w:r w:rsidRPr="00350F8F">
        <w:rPr>
          <w:rtl/>
        </w:rPr>
        <w:t>לשון אבן סינא</w:t>
      </w:r>
      <w:r w:rsidR="00C7102C" w:rsidRPr="00350F8F">
        <w:rPr>
          <w:rtl/>
        </w:rPr>
        <w:t xml:space="preserve"> בהגדרות 33-35</w:t>
      </w:r>
    </w:p>
    <w:p w14:paraId="5C8DB5C1" w14:textId="59289837" w:rsidR="00B70134" w:rsidRPr="00350F8F" w:rsidRDefault="003F4D18" w:rsidP="003F4D18">
      <w:pPr>
        <w:pStyle w:val="FootnoteText"/>
        <w:bidi w:val="0"/>
        <w:rPr>
          <w:rtl/>
        </w:rPr>
      </w:pPr>
      <w:r w:rsidRPr="00350F8F">
        <w:rPr>
          <w:rtl/>
        </w:rPr>
        <w:t>33</w:t>
      </w:r>
      <w:r w:rsidR="00A82238" w:rsidRPr="00350F8F">
        <w:t xml:space="preserve"> </w:t>
      </w:r>
      <w:r w:rsidRPr="00350F8F">
        <w:t>About element2 (unsur)</w:t>
      </w:r>
      <w:r w:rsidR="00347465" w:rsidRPr="00350F8F">
        <w:rPr>
          <w:rtl/>
        </w:rPr>
        <w:t xml:space="preserve"> </w:t>
      </w:r>
      <w:r w:rsidRPr="00350F8F">
        <w:t xml:space="preserve">.Element2 is a term for the </w:t>
      </w:r>
      <w:r w:rsidRPr="00350F8F">
        <w:rPr>
          <w:rFonts w:ascii="Arial" w:hAnsi="Arial" w:cs="Arial"/>
        </w:rPr>
        <w:t>ﬁ</w:t>
      </w:r>
      <w:r w:rsidRPr="00350F8F">
        <w:t xml:space="preserve">rst origin of subjects. Next, element2 is said to belong to the </w:t>
      </w:r>
      <w:r w:rsidR="000418CA">
        <w:t>fir</w:t>
      </w:r>
      <w:r w:rsidRPr="00350F8F">
        <w:t xml:space="preserve">st substratum through whose transformation an element2 receives forms; from which beings are variegated, either absolutely (as matter1) or on condition of embodying (as the </w:t>
      </w:r>
      <w:r w:rsidRPr="00350F8F">
        <w:rPr>
          <w:rFonts w:ascii="Arial" w:hAnsi="Arial" w:cs="Arial"/>
        </w:rPr>
        <w:t>ﬁ</w:t>
      </w:r>
      <w:r w:rsidRPr="00350F8F">
        <w:t>rst substratum of bodies which the rest of generated bodies are from) by receiving their forms.</w:t>
      </w:r>
    </w:p>
    <w:p w14:paraId="34687A28" w14:textId="272314A5" w:rsidR="00574779" w:rsidRPr="00350F8F" w:rsidRDefault="003F4D18" w:rsidP="00B70134">
      <w:pPr>
        <w:pStyle w:val="FootnoteText"/>
        <w:bidi w:val="0"/>
        <w:rPr>
          <w:rtl/>
        </w:rPr>
      </w:pPr>
      <w:r w:rsidRPr="00350F8F">
        <w:t xml:space="preserve"> 34 About the element1 (ustuqas). The element1 is the primary body by whose coming together with other bodies different kinds of primary bodies are formed. Element1 is said of the </w:t>
      </w:r>
      <w:r w:rsidRPr="00350F8F">
        <w:rPr>
          <w:rFonts w:ascii="Arial" w:hAnsi="Arial" w:cs="Arial"/>
        </w:rPr>
        <w:t>ﬁ</w:t>
      </w:r>
      <w:r w:rsidRPr="00350F8F">
        <w:t xml:space="preserve">nal result after the bodies break down, where there is no further division except into similar parts. </w:t>
      </w:r>
    </w:p>
    <w:p w14:paraId="18849C21" w14:textId="3815A1EB" w:rsidR="003F4D18" w:rsidRPr="008F73E7" w:rsidRDefault="003F4D18" w:rsidP="00574779">
      <w:pPr>
        <w:pStyle w:val="FootnoteText"/>
        <w:bidi w:val="0"/>
        <w:rPr>
          <w:rFonts w:asciiTheme="majorBidi" w:hAnsiTheme="majorBidi" w:cstheme="majorBidi"/>
          <w:rtl/>
        </w:rPr>
      </w:pPr>
      <w:r w:rsidRPr="00350F8F">
        <w:t>35 About the building block (rukn) A building block is a simple body. It is an essential part of the world, such as the spheres and the elements2. A thing in relation to the world is a building block, and it is an element1 in relation to what it is compounded of; it is an element2 in relation to what it is generated from, equal to what it becomes through compounding and transformation taken together, or by its transformation. Therefore air is an element2 of clouds by condensation, but air is not an element1 of them. There is element1 and element2 of plants. The sphere is a building block, but it does not have an element1 nor an element2 belonging to form. There is a subject to its form, which subject has neither element2 nor matter1. This is the case when the substratum of something existing in actuality is what is intended by subject. We would not mean by it a substratum established in itself; but we mean by matter1 and element2 a substratum, which is a thing in potentiality from which it is. Matter1 does not mean that the actualized substance is through the perfection of its substratum. Of these things, matter1, subject, element2, matter2, element</w:t>
      </w:r>
      <w:r w:rsidR="00F055C8" w:rsidRPr="00350F8F">
        <w:t>"</w:t>
      </w:r>
    </w:p>
  </w:footnote>
  <w:footnote w:id="294">
    <w:p w14:paraId="756888C2" w14:textId="4F06471C" w:rsidR="00BF6BE5" w:rsidRDefault="00BF6BE5">
      <w:pPr>
        <w:pStyle w:val="FootnoteText"/>
      </w:pPr>
      <w:r>
        <w:rPr>
          <w:rStyle w:val="FootnoteReference"/>
        </w:rPr>
        <w:footnoteRef/>
      </w:r>
      <w:r>
        <w:rPr>
          <w:rtl/>
        </w:rPr>
        <w:t xml:space="preserve"> </w:t>
      </w:r>
      <w:r>
        <w:rPr>
          <w:rFonts w:hint="cs"/>
          <w:rtl/>
        </w:rPr>
        <w:t>הגלגלים שהם מהחומר החמישי והם נצחיים.</w:t>
      </w:r>
    </w:p>
  </w:footnote>
  <w:footnote w:id="295">
    <w:p w14:paraId="0C27C835" w14:textId="049593CA" w:rsidR="00135AFD" w:rsidRDefault="002C45E4">
      <w:pPr>
        <w:pStyle w:val="FootnoteText"/>
        <w:rPr>
          <w:rtl/>
        </w:rPr>
      </w:pPr>
      <w:r>
        <w:rPr>
          <w:rStyle w:val="FootnoteReference"/>
        </w:rPr>
        <w:footnoteRef/>
      </w:r>
      <w:r>
        <w:rPr>
          <w:rtl/>
        </w:rPr>
        <w:t xml:space="preserve"> </w:t>
      </w:r>
      <w:r w:rsidR="00135AFD" w:rsidRPr="00E6505F">
        <w:rPr>
          <w:rFonts w:hint="cs"/>
          <w:sz w:val="28"/>
          <w:szCs w:val="28"/>
          <w:rtl/>
        </w:rPr>
        <w:t>החומר הראשון של הגופים הארציים</w:t>
      </w:r>
      <w:r w:rsidR="00135AFD" w:rsidRPr="00E6505F">
        <w:rPr>
          <w:sz w:val="28"/>
          <w:szCs w:val="28"/>
          <w:rtl/>
        </w:rPr>
        <w:fldChar w:fldCharType="begin"/>
      </w:r>
      <w:r w:rsidR="00135AFD" w:rsidRPr="00E6505F">
        <w:rPr>
          <w:sz w:val="28"/>
          <w:szCs w:val="28"/>
        </w:rPr>
        <w:instrText xml:space="preserve"> XE "</w:instrText>
      </w:r>
      <w:r w:rsidR="00135AFD" w:rsidRPr="00E6505F">
        <w:rPr>
          <w:rFonts w:hint="cs"/>
          <w:sz w:val="28"/>
          <w:szCs w:val="28"/>
          <w:rtl/>
        </w:rPr>
        <w:instrText>מאמר</w:instrText>
      </w:r>
      <w:r w:rsidR="00135AFD" w:rsidRPr="00E6505F">
        <w:rPr>
          <w:sz w:val="28"/>
          <w:szCs w:val="28"/>
          <w:rtl/>
        </w:rPr>
        <w:instrText>:</w:instrText>
      </w:r>
      <w:r w:rsidR="00135AFD" w:rsidRPr="00E6505F">
        <w:rPr>
          <w:rFonts w:hint="cs"/>
          <w:sz w:val="28"/>
          <w:szCs w:val="28"/>
          <w:rtl/>
        </w:rPr>
        <w:instrText>החומר הראשון של הגופים הארציים והיסוד החמישי הוא החומר הראשון השמיימי</w:instrText>
      </w:r>
      <w:r w:rsidR="00135AFD" w:rsidRPr="00E6505F">
        <w:rPr>
          <w:sz w:val="28"/>
          <w:szCs w:val="28"/>
        </w:rPr>
        <w:instrText xml:space="preserve">" </w:instrText>
      </w:r>
      <w:r w:rsidR="00135AFD" w:rsidRPr="00E6505F">
        <w:rPr>
          <w:sz w:val="28"/>
          <w:szCs w:val="28"/>
          <w:rtl/>
        </w:rPr>
        <w:fldChar w:fldCharType="end"/>
      </w:r>
      <w:r w:rsidR="00135AFD" w:rsidRPr="00E6505F">
        <w:rPr>
          <w:rFonts w:hint="cs"/>
          <w:sz w:val="28"/>
          <w:szCs w:val="28"/>
          <w:rtl/>
        </w:rPr>
        <w:t xml:space="preserve"> והיסוד החמישי</w:t>
      </w:r>
      <w:r w:rsidR="00135AFD">
        <w:rPr>
          <w:rFonts w:hint="cs"/>
          <w:sz w:val="28"/>
          <w:szCs w:val="28"/>
          <w:rtl/>
        </w:rPr>
        <w:t xml:space="preserve"> השמיימי</w:t>
      </w:r>
      <w:r w:rsidR="00135AFD">
        <w:rPr>
          <w:sz w:val="28"/>
          <w:szCs w:val="28"/>
          <w:rtl/>
        </w:rPr>
        <w:fldChar w:fldCharType="begin"/>
      </w:r>
      <w:r w:rsidR="00135AFD">
        <w:instrText xml:space="preserve"> XE "</w:instrText>
      </w:r>
      <w:r w:rsidR="00135AFD" w:rsidRPr="003A3F32">
        <w:rPr>
          <w:rFonts w:hint="cs"/>
          <w:sz w:val="28"/>
          <w:szCs w:val="28"/>
          <w:rtl/>
        </w:rPr>
        <w:instrText>החומר הראשון של הגופים הארציים והיסוד החמישי השמיימי</w:instrText>
      </w:r>
      <w:r w:rsidR="00135AFD">
        <w:instrText xml:space="preserve">" </w:instrText>
      </w:r>
      <w:r w:rsidR="00135AFD">
        <w:rPr>
          <w:sz w:val="28"/>
          <w:szCs w:val="28"/>
          <w:rtl/>
        </w:rPr>
        <w:fldChar w:fldCharType="end"/>
      </w:r>
      <w:r w:rsidR="00135AFD">
        <w:rPr>
          <w:rFonts w:hint="cs"/>
          <w:sz w:val="28"/>
          <w:szCs w:val="28"/>
          <w:rtl/>
        </w:rPr>
        <w:t>.</w:t>
      </w:r>
    </w:p>
    <w:p w14:paraId="2A297255" w14:textId="6272FDEA" w:rsidR="002C45E4" w:rsidRDefault="002C45E4">
      <w:pPr>
        <w:pStyle w:val="FootnoteText"/>
        <w:rPr>
          <w:rtl/>
        </w:rPr>
      </w:pPr>
      <w:r w:rsidRPr="002C45E4">
        <w:rPr>
          <w:rtl/>
        </w:rPr>
        <w:t>יש חומר ראשון</w:t>
      </w:r>
      <w:r w:rsidR="004E20A1">
        <w:rPr>
          <w:rtl/>
        </w:rPr>
        <w:fldChar w:fldCharType="begin"/>
      </w:r>
      <w:r w:rsidR="004E20A1">
        <w:instrText xml:space="preserve"> XE "</w:instrText>
      </w:r>
      <w:r w:rsidR="004E20A1" w:rsidRPr="00A72446">
        <w:rPr>
          <w:rFonts w:hint="cs"/>
          <w:rtl/>
        </w:rPr>
        <w:instrText>מאמר</w:instrText>
      </w:r>
      <w:r w:rsidR="004E20A1" w:rsidRPr="00A72446">
        <w:rPr>
          <w:rtl/>
        </w:rPr>
        <w:instrText>:החומר הראשון של הגופים הארציים והיסוד החמישי הוא החומר הראשון השמיימי</w:instrText>
      </w:r>
      <w:r w:rsidR="004E20A1">
        <w:instrText xml:space="preserve">" </w:instrText>
      </w:r>
      <w:r w:rsidR="004E20A1">
        <w:rPr>
          <w:rtl/>
        </w:rPr>
        <w:fldChar w:fldCharType="end"/>
      </w:r>
      <w:r w:rsidR="004E20A1">
        <w:rPr>
          <w:rtl/>
        </w:rPr>
        <w:fldChar w:fldCharType="begin"/>
      </w:r>
      <w:r w:rsidR="004E20A1">
        <w:instrText xml:space="preserve"> XE "</w:instrText>
      </w:r>
      <w:r w:rsidR="004E20A1" w:rsidRPr="00846ED9">
        <w:rPr>
          <w:rtl/>
        </w:rPr>
        <w:instrText>החומר הראשון של הגופים הארציים והיסוד החמישי השמיימי</w:instrText>
      </w:r>
      <w:r w:rsidR="004E20A1">
        <w:instrText xml:space="preserve">" </w:instrText>
      </w:r>
      <w:r w:rsidR="004E20A1">
        <w:rPr>
          <w:rtl/>
        </w:rPr>
        <w:fldChar w:fldCharType="end"/>
      </w:r>
      <w:r w:rsidRPr="002C45E4">
        <w:rPr>
          <w:rtl/>
        </w:rPr>
        <w:t xml:space="preserve"> אחד שמשותף גם לגופים הארציים וגם לגופים השמיימיים. </w:t>
      </w:r>
      <w:r w:rsidR="00E70545">
        <w:rPr>
          <w:rFonts w:hint="cs"/>
          <w:rtl/>
        </w:rPr>
        <w:t>האר</w:t>
      </w:r>
      <w:r w:rsidR="00F055C8">
        <w:rPr>
          <w:rtl/>
        </w:rPr>
        <w:t>"</w:t>
      </w:r>
      <w:r w:rsidR="00E70545">
        <w:rPr>
          <w:rFonts w:hint="cs"/>
          <w:rtl/>
        </w:rPr>
        <w:t>י בספר עץ חיים שער א' ענף ב' כתב שתחילת המציאות היא שהיה אור אין סוף פשוט ומוחלט, והתהווה בו עיגול פנוי ריק. מדובר על עיגול אחד, שהוא החומר הראשון האחד. זהו התוהו הגמור, הכאוס. הוא רק העדר ורק גבול כמושג מופשט של גבול (לא שהוא גובל בין משהו למשהו), והוא מה שכתב הרמב</w:t>
      </w:r>
      <w:r w:rsidR="00F055C8">
        <w:rPr>
          <w:rtl/>
        </w:rPr>
        <w:t>"</w:t>
      </w:r>
      <w:r w:rsidR="00E70545">
        <w:rPr>
          <w:rFonts w:hint="cs"/>
          <w:rtl/>
        </w:rPr>
        <w:t>ן על בראשית א' א'</w:t>
      </w:r>
      <w:r w:rsidR="0034119E">
        <w:rPr>
          <w:rtl/>
        </w:rPr>
        <w:fldChar w:fldCharType="begin"/>
      </w:r>
      <w:r w:rsidR="0034119E">
        <w:instrText xml:space="preserve"> XE "</w:instrText>
      </w:r>
      <w:r w:rsidR="0034119E" w:rsidRPr="00B748D5">
        <w:rPr>
          <w:rFonts w:hint="cs"/>
          <w:rtl/>
        </w:rPr>
        <w:instrText>הרמב</w:instrText>
      </w:r>
      <w:r w:rsidR="0034119E">
        <w:rPr>
          <w:b/>
          <w:bCs/>
          <w:sz w:val="20"/>
          <w:szCs w:val="20"/>
        </w:rPr>
        <w:instrText>\</w:instrText>
      </w:r>
      <w:r w:rsidR="0034119E" w:rsidRPr="00B748D5">
        <w:rPr>
          <w:rFonts w:hint="cs"/>
          <w:rtl/>
        </w:rPr>
        <w:instrText>"ן על בראשית א' א'</w:instrText>
      </w:r>
      <w:r w:rsidR="0034119E">
        <w:instrText xml:space="preserve">" </w:instrText>
      </w:r>
      <w:r w:rsidR="0034119E">
        <w:rPr>
          <w:rtl/>
        </w:rPr>
        <w:fldChar w:fldCharType="end"/>
      </w:r>
      <w:r w:rsidR="00E70545">
        <w:rPr>
          <w:rFonts w:hint="cs"/>
          <w:rtl/>
        </w:rPr>
        <w:t xml:space="preserve"> שהבריאה הייתה רק של נקודה אחת שהיא ההיולי, ולא היו שתי נקודות. </w:t>
      </w:r>
    </w:p>
    <w:p w14:paraId="24C4C679" w14:textId="10B5ABB7" w:rsidR="00BA057E" w:rsidRDefault="00BA057E">
      <w:pPr>
        <w:pStyle w:val="FootnoteText"/>
        <w:rPr>
          <w:rtl/>
        </w:rPr>
      </w:pPr>
      <w:r>
        <w:rPr>
          <w:rFonts w:hint="cs"/>
          <w:rtl/>
        </w:rPr>
        <w:t>אמנם לשון הרמב</w:t>
      </w:r>
      <w:r w:rsidR="00F055C8">
        <w:rPr>
          <w:rtl/>
        </w:rPr>
        <w:t>"</w:t>
      </w:r>
      <w:r>
        <w:rPr>
          <w:rFonts w:hint="cs"/>
          <w:rtl/>
        </w:rPr>
        <w:t>ן שם נראית כסותרת את עצמה, שהוא כתב:</w:t>
      </w:r>
    </w:p>
    <w:p w14:paraId="15705E11" w14:textId="20DF7E16" w:rsidR="00BA057E" w:rsidRPr="00BA057E" w:rsidRDefault="00F055C8" w:rsidP="00BA057E">
      <w:pPr>
        <w:pStyle w:val="FootnoteText"/>
        <w:rPr>
          <w:b/>
          <w:bCs/>
        </w:rPr>
      </w:pPr>
      <w:r>
        <w:rPr>
          <w:rtl/>
        </w:rPr>
        <w:t>"</w:t>
      </w:r>
      <w:r w:rsidR="00BA057E">
        <w:rPr>
          <w:rtl/>
        </w:rPr>
        <w:t>ועתה שמע פירוש המקרא על פשוטו נכון וברור. הקב</w:t>
      </w:r>
      <w:r>
        <w:rPr>
          <w:rtl/>
        </w:rPr>
        <w:t>"</w:t>
      </w:r>
      <w:r w:rsidR="00BA057E">
        <w:rPr>
          <w:rtl/>
        </w:rPr>
        <w:t xml:space="preserve">ה ברא כל הנבראים מאפיסה מוחלטת. ואין אצלנו בלשון הקדש בהוצאת היש מאין אלא לשון </w:t>
      </w:r>
      <w:r>
        <w:rPr>
          <w:rtl/>
        </w:rPr>
        <w:t>"</w:t>
      </w:r>
      <w:r w:rsidR="00BA057E">
        <w:rPr>
          <w:rtl/>
        </w:rPr>
        <w:t>ברא</w:t>
      </w:r>
      <w:r>
        <w:rPr>
          <w:rtl/>
        </w:rPr>
        <w:t>"</w:t>
      </w:r>
      <w:r w:rsidR="00BA057E">
        <w:rPr>
          <w:rtl/>
        </w:rPr>
        <w:t>; ואין כל ה</w:t>
      </w:r>
      <w:r>
        <w:rPr>
          <w:rtl/>
        </w:rPr>
        <w:t>"</w:t>
      </w:r>
      <w:r w:rsidR="00BA057E">
        <w:rPr>
          <w:rtl/>
        </w:rPr>
        <w:t>נעשה</w:t>
      </w:r>
      <w:r>
        <w:rPr>
          <w:rtl/>
        </w:rPr>
        <w:t>"</w:t>
      </w:r>
      <w:r w:rsidR="00BA057E">
        <w:rPr>
          <w:rtl/>
        </w:rPr>
        <w:t xml:space="preserve"> - תחת השמש או למעלה - הווה מן האין התחלה ראשונה. אבל הוציא מן האפס הגמור המוחלט יסוד דק מאד, אין בו ממש, אבל הוא כוח ממציא, מוכן לקבל הצורה ולצאת מן הכוח אל הפועל. והוא החומר הראשון, נקרא ליוונים </w:t>
      </w:r>
      <w:r>
        <w:rPr>
          <w:rtl/>
        </w:rPr>
        <w:t>"</w:t>
      </w:r>
      <w:r w:rsidR="00BA057E">
        <w:rPr>
          <w:rtl/>
        </w:rPr>
        <w:t>היולי</w:t>
      </w:r>
      <w:r>
        <w:rPr>
          <w:rtl/>
        </w:rPr>
        <w:t>"</w:t>
      </w:r>
      <w:r w:rsidR="00BA057E">
        <w:rPr>
          <w:rtl/>
        </w:rPr>
        <w:t>. ואחר ההיולי לא ברא דבר, אבל יצר ועשה, כי ממנו המציא הכל והלביש הצורות ותיקן אותן.</w:t>
      </w:r>
      <w:r w:rsidR="00BA057E">
        <w:rPr>
          <w:rFonts w:hint="cs"/>
          <w:rtl/>
        </w:rPr>
        <w:t xml:space="preserve"> </w:t>
      </w:r>
      <w:r w:rsidR="00BA057E" w:rsidRPr="00BA057E">
        <w:rPr>
          <w:rFonts w:hint="cs"/>
          <w:b/>
          <w:bCs/>
          <w:rtl/>
        </w:rPr>
        <w:t>[כאן משמע שההיולי הוא אחד לכל המציאות]</w:t>
      </w:r>
    </w:p>
    <w:p w14:paraId="22E843F7" w14:textId="2106413E" w:rsidR="00BA057E" w:rsidRDefault="00BA057E" w:rsidP="00BA057E">
      <w:pPr>
        <w:pStyle w:val="FootnoteText"/>
      </w:pPr>
      <w:r>
        <w:rPr>
          <w:rtl/>
        </w:rPr>
        <w:t>ודע, כי השמים וכל אשר בהם - חומר אחד, והארץ וכל אשר בה - חומר אחד. והקב</w:t>
      </w:r>
      <w:r w:rsidR="00F055C8">
        <w:rPr>
          <w:rtl/>
        </w:rPr>
        <w:t>"</w:t>
      </w:r>
      <w:r>
        <w:rPr>
          <w:rtl/>
        </w:rPr>
        <w:t>ה ברא אלו שניהם מאין, ושניהם לבדם נבראים, והכל נעשים מהם.</w:t>
      </w:r>
      <w:r w:rsidRPr="00BA057E">
        <w:rPr>
          <w:rFonts w:hint="cs"/>
          <w:b/>
          <w:bCs/>
          <w:rtl/>
        </w:rPr>
        <w:t xml:space="preserve"> [כאן כותב שיש שני היוליים]</w:t>
      </w:r>
    </w:p>
    <w:p w14:paraId="43843266" w14:textId="66F89BDE" w:rsidR="00BA057E" w:rsidRDefault="00BA057E" w:rsidP="00BA057E">
      <w:pPr>
        <w:pStyle w:val="FootnoteText"/>
      </w:pPr>
      <w:r>
        <w:rPr>
          <w:rtl/>
        </w:rPr>
        <w:t xml:space="preserve">והחומר הזה, שקראו היולי, נקרא בלשון הקדש </w:t>
      </w:r>
      <w:r w:rsidR="00F055C8">
        <w:rPr>
          <w:rtl/>
        </w:rPr>
        <w:t>"</w:t>
      </w:r>
      <w:r>
        <w:rPr>
          <w:rtl/>
        </w:rPr>
        <w:t>תֹּהוּ</w:t>
      </w:r>
      <w:r w:rsidR="00F055C8">
        <w:rPr>
          <w:rtl/>
        </w:rPr>
        <w:t>"</w:t>
      </w:r>
      <w:r>
        <w:rPr>
          <w:rtl/>
        </w:rPr>
        <w:t xml:space="preserve">, והמלה נגזרה מלשונם (קידושין מ ב): </w:t>
      </w:r>
      <w:r w:rsidR="00F055C8">
        <w:rPr>
          <w:rtl/>
        </w:rPr>
        <w:t>"</w:t>
      </w:r>
      <w:r>
        <w:rPr>
          <w:rtl/>
        </w:rPr>
        <w:t>בתוהא על הראשונות</w:t>
      </w:r>
      <w:r w:rsidR="00F055C8">
        <w:rPr>
          <w:rtl/>
        </w:rPr>
        <w:t>"</w:t>
      </w:r>
      <w:r>
        <w:rPr>
          <w:rtl/>
        </w:rPr>
        <w:t>. מפני שאם בא אדם לגזור בו שֵם, תוהא ונמלך לקוראו בשם אחר, כי לא לבש צורה שיתפש בה השם כלל</w:t>
      </w:r>
      <w:r>
        <w:rPr>
          <w:rFonts w:hint="cs"/>
          <w:rtl/>
        </w:rPr>
        <w:t xml:space="preserve"> </w:t>
      </w:r>
      <w:r w:rsidRPr="00BA057E">
        <w:rPr>
          <w:rFonts w:hint="cs"/>
          <w:b/>
          <w:bCs/>
          <w:rtl/>
        </w:rPr>
        <w:t>[כאן משמע שההיולי הוא אחד, שהרי יש רק תוהו אחד</w:t>
      </w:r>
      <w:r>
        <w:rPr>
          <w:rFonts w:hint="cs"/>
          <w:b/>
          <w:bCs/>
          <w:rtl/>
        </w:rPr>
        <w:t>.</w:t>
      </w:r>
      <w:r w:rsidRPr="00BA057E">
        <w:rPr>
          <w:rFonts w:hint="cs"/>
          <w:b/>
          <w:bCs/>
          <w:rtl/>
        </w:rPr>
        <w:t xml:space="preserve"> ו</w:t>
      </w:r>
      <w:r>
        <w:rPr>
          <w:rFonts w:hint="cs"/>
          <w:b/>
          <w:bCs/>
          <w:rtl/>
        </w:rPr>
        <w:t xml:space="preserve">בהכרח </w:t>
      </w:r>
      <w:r w:rsidRPr="00BA057E">
        <w:rPr>
          <w:rFonts w:hint="cs"/>
          <w:b/>
          <w:bCs/>
          <w:rtl/>
        </w:rPr>
        <w:t>אי אפשר שיהיו שניים כי התוהו אין בו שום הגדרה וצורה כלל ואין מה שיפריד בינו ובין התוהו השני]</w:t>
      </w:r>
      <w:r>
        <w:rPr>
          <w:rtl/>
        </w:rPr>
        <w:t xml:space="preserve">. והצורה הנלבשת לחומר הזה נקראת בלשון הקדש </w:t>
      </w:r>
      <w:r w:rsidR="00F055C8">
        <w:rPr>
          <w:rtl/>
        </w:rPr>
        <w:t>"</w:t>
      </w:r>
      <w:r>
        <w:rPr>
          <w:rtl/>
        </w:rPr>
        <w:t>בֹּהוּ</w:t>
      </w:r>
      <w:r w:rsidR="00F055C8">
        <w:rPr>
          <w:rtl/>
        </w:rPr>
        <w:t>"</w:t>
      </w:r>
      <w:r>
        <w:rPr>
          <w:rtl/>
        </w:rPr>
        <w:t xml:space="preserve">, והמלה מורכבת, כלומר </w:t>
      </w:r>
      <w:r w:rsidR="00F055C8">
        <w:rPr>
          <w:rtl/>
        </w:rPr>
        <w:t>"</w:t>
      </w:r>
      <w:r>
        <w:rPr>
          <w:rtl/>
        </w:rPr>
        <w:t>בּוֹ הוּא</w:t>
      </w:r>
      <w:r w:rsidR="00F055C8">
        <w:rPr>
          <w:rtl/>
        </w:rPr>
        <w:t>"</w:t>
      </w:r>
      <w:r>
        <w:rPr>
          <w:rtl/>
        </w:rPr>
        <w:t xml:space="preserve">, כמלת </w:t>
      </w:r>
      <w:r w:rsidR="00F055C8">
        <w:rPr>
          <w:rtl/>
        </w:rPr>
        <w:t>"</w:t>
      </w:r>
      <w:r>
        <w:rPr>
          <w:rtl/>
        </w:rPr>
        <w:t>לֹא תוּכַל עֲשֹׂהוּ</w:t>
      </w:r>
      <w:r w:rsidR="00F055C8">
        <w:rPr>
          <w:rtl/>
        </w:rPr>
        <w:t>"</w:t>
      </w:r>
      <w:r>
        <w:rPr>
          <w:rtl/>
        </w:rPr>
        <w:t xml:space="preserve"> (שמות יח יח), שמחוסר הו</w:t>
      </w:r>
      <w:r w:rsidR="00F055C8">
        <w:rPr>
          <w:rtl/>
        </w:rPr>
        <w:t>"</w:t>
      </w:r>
      <w:r>
        <w:rPr>
          <w:rtl/>
        </w:rPr>
        <w:t>ו והאל</w:t>
      </w:r>
      <w:r w:rsidR="00F055C8">
        <w:rPr>
          <w:rtl/>
        </w:rPr>
        <w:t>"</w:t>
      </w:r>
      <w:r>
        <w:rPr>
          <w:rtl/>
        </w:rPr>
        <w:t>ף, עֲשׂוֹ הוּא.</w:t>
      </w:r>
    </w:p>
    <w:p w14:paraId="418E3A76" w14:textId="7CD4381C" w:rsidR="00BA057E" w:rsidRDefault="00BA057E" w:rsidP="00BA057E">
      <w:pPr>
        <w:pStyle w:val="FootnoteText"/>
      </w:pPr>
      <w:r>
        <w:rPr>
          <w:rtl/>
        </w:rPr>
        <w:t xml:space="preserve">וזהו שאמר הכתוב (ישעיהו לד יא): </w:t>
      </w:r>
      <w:r w:rsidR="00F055C8">
        <w:rPr>
          <w:rtl/>
        </w:rPr>
        <w:t>"</w:t>
      </w:r>
      <w:r>
        <w:rPr>
          <w:rtl/>
        </w:rPr>
        <w:t>וְנָטָה עָלֶיהָ קַו תֹהוּ וְאַבְנֵי בֹהוּ</w:t>
      </w:r>
      <w:r w:rsidR="00F055C8">
        <w:rPr>
          <w:rtl/>
        </w:rPr>
        <w:t>"</w:t>
      </w:r>
      <w:r>
        <w:rPr>
          <w:rtl/>
        </w:rPr>
        <w:t xml:space="preserve">, כי הוא הקו אשר בו יתחם האומן מחשבת בניינו ומה שיקוה לעשות, נגזר מן </w:t>
      </w:r>
      <w:r w:rsidR="00F055C8">
        <w:rPr>
          <w:rtl/>
        </w:rPr>
        <w:t>"</w:t>
      </w:r>
      <w:r>
        <w:rPr>
          <w:rtl/>
        </w:rPr>
        <w:t>קַוֵּה אֶל ה'</w:t>
      </w:r>
      <w:r w:rsidR="00F055C8">
        <w:rPr>
          <w:rtl/>
        </w:rPr>
        <w:t>"</w:t>
      </w:r>
      <w:r>
        <w:rPr>
          <w:rtl/>
        </w:rPr>
        <w:t xml:space="preserve"> (תהלים כז יד), והאבנים הם צורות בבניין. וכן כתוב: </w:t>
      </w:r>
      <w:r w:rsidR="00F055C8">
        <w:rPr>
          <w:rtl/>
        </w:rPr>
        <w:t>"</w:t>
      </w:r>
      <w:r>
        <w:rPr>
          <w:rtl/>
        </w:rPr>
        <w:t>מֵאֶפֶס וָתֹהוּ נֶחְשְׁבוּ לוֹ</w:t>
      </w:r>
      <w:r w:rsidR="00F055C8">
        <w:rPr>
          <w:rtl/>
        </w:rPr>
        <w:t>"</w:t>
      </w:r>
      <w:r>
        <w:rPr>
          <w:rtl/>
        </w:rPr>
        <w:t xml:space="preserve"> (ישעיהו מ יז), כי התוהו אחר האפס, ואיננו דבר. וכך אמרו בספר יצירה: </w:t>
      </w:r>
      <w:r w:rsidR="00F055C8">
        <w:rPr>
          <w:rtl/>
        </w:rPr>
        <w:t>"</w:t>
      </w:r>
      <w:r>
        <w:rPr>
          <w:rtl/>
        </w:rPr>
        <w:t>יצר מתהו ממש ועשה אינו ישנו</w:t>
      </w:r>
      <w:r w:rsidR="00F055C8">
        <w:rPr>
          <w:rtl/>
        </w:rPr>
        <w:t>"</w:t>
      </w:r>
      <w:r>
        <w:rPr>
          <w:rtl/>
        </w:rPr>
        <w:t>.</w:t>
      </w:r>
    </w:p>
    <w:p w14:paraId="08659EAE" w14:textId="2C610B56" w:rsidR="00BA057E" w:rsidRDefault="00BA057E" w:rsidP="00BA057E">
      <w:pPr>
        <w:pStyle w:val="FootnoteText"/>
      </w:pPr>
      <w:r>
        <w:rPr>
          <w:rtl/>
        </w:rPr>
        <w:t xml:space="preserve">ועוד אמרו במדרש רבי נחוניא בן הקנה (ספר הבהיר): אמר רבי ברכיה, מאי דכתיב: </w:t>
      </w:r>
      <w:r w:rsidR="00F055C8">
        <w:rPr>
          <w:rtl/>
        </w:rPr>
        <w:t>"</w:t>
      </w:r>
      <w:r>
        <w:rPr>
          <w:rtl/>
        </w:rPr>
        <w:t>והארץ היתה תהו ובהו</w:t>
      </w:r>
      <w:r w:rsidR="00F055C8">
        <w:rPr>
          <w:rtl/>
        </w:rPr>
        <w:t>"</w:t>
      </w:r>
      <w:r>
        <w:rPr>
          <w:rtl/>
        </w:rPr>
        <w:t xml:space="preserve">? מאי משמע </w:t>
      </w:r>
      <w:r w:rsidR="00F055C8">
        <w:rPr>
          <w:rtl/>
        </w:rPr>
        <w:t>"</w:t>
      </w:r>
      <w:r>
        <w:rPr>
          <w:rtl/>
        </w:rPr>
        <w:t>היתה</w:t>
      </w:r>
      <w:r w:rsidR="00F055C8">
        <w:rPr>
          <w:rtl/>
        </w:rPr>
        <w:t>"</w:t>
      </w:r>
      <w:r>
        <w:rPr>
          <w:rtl/>
        </w:rPr>
        <w:t xml:space="preserve">? שכבר היתה תהו. ומאי </w:t>
      </w:r>
      <w:r w:rsidR="00F055C8">
        <w:rPr>
          <w:rtl/>
        </w:rPr>
        <w:t>"</w:t>
      </w:r>
      <w:r>
        <w:rPr>
          <w:rtl/>
        </w:rPr>
        <w:t>בֹהוּ</w:t>
      </w:r>
      <w:r w:rsidR="00F055C8">
        <w:rPr>
          <w:rtl/>
        </w:rPr>
        <w:t>"</w:t>
      </w:r>
      <w:r>
        <w:rPr>
          <w:rtl/>
        </w:rPr>
        <w:t xml:space="preserve">? אלא תהו היתה, ומאי </w:t>
      </w:r>
      <w:r w:rsidR="00F055C8">
        <w:rPr>
          <w:rtl/>
        </w:rPr>
        <w:t>"</w:t>
      </w:r>
      <w:r>
        <w:rPr>
          <w:rtl/>
        </w:rPr>
        <w:t>תֹהוּ</w:t>
      </w:r>
      <w:r w:rsidR="00F055C8">
        <w:rPr>
          <w:rtl/>
        </w:rPr>
        <w:t>"</w:t>
      </w:r>
      <w:r>
        <w:rPr>
          <w:rtl/>
        </w:rPr>
        <w:t xml:space="preserve">? דבר המתהא בני אדם, וחזרה לבהו. ומאי </w:t>
      </w:r>
      <w:r w:rsidR="00F055C8">
        <w:rPr>
          <w:rtl/>
        </w:rPr>
        <w:t>"</w:t>
      </w:r>
      <w:r>
        <w:rPr>
          <w:rtl/>
        </w:rPr>
        <w:t>בֹהוּ</w:t>
      </w:r>
      <w:r w:rsidR="00F055C8">
        <w:rPr>
          <w:rtl/>
        </w:rPr>
        <w:t>"</w:t>
      </w:r>
      <w:r>
        <w:rPr>
          <w:rtl/>
        </w:rPr>
        <w:t xml:space="preserve">? דבר שיש בו ממש, דכתיב </w:t>
      </w:r>
      <w:r w:rsidR="00F055C8">
        <w:rPr>
          <w:rtl/>
        </w:rPr>
        <w:t>"</w:t>
      </w:r>
      <w:r>
        <w:rPr>
          <w:rtl/>
        </w:rPr>
        <w:t>בּוֹ הוּא</w:t>
      </w:r>
      <w:r w:rsidR="00F055C8">
        <w:rPr>
          <w:rtl/>
        </w:rPr>
        <w:t>"</w:t>
      </w:r>
      <w:r>
        <w:rPr>
          <w:rtl/>
        </w:rPr>
        <w:t>.</w:t>
      </w:r>
    </w:p>
    <w:p w14:paraId="3D853C92" w14:textId="395C3768" w:rsidR="00BA057E" w:rsidRDefault="00BA057E" w:rsidP="00BA057E">
      <w:pPr>
        <w:pStyle w:val="FootnoteText"/>
      </w:pPr>
      <w:r>
        <w:rPr>
          <w:rFonts w:hint="cs"/>
          <w:rtl/>
        </w:rPr>
        <w:t>[...]</w:t>
      </w:r>
    </w:p>
    <w:p w14:paraId="64F30606" w14:textId="56BFF0CF" w:rsidR="00BA057E" w:rsidRDefault="00BA057E" w:rsidP="00BA057E">
      <w:pPr>
        <w:pStyle w:val="FootnoteText"/>
      </w:pPr>
      <w:r>
        <w:rPr>
          <w:rtl/>
        </w:rPr>
        <w:t xml:space="preserve">אם כן יהיה פשט הכתובים על נכון, משמעותו, בתחילה </w:t>
      </w:r>
      <w:r w:rsidR="00F055C8">
        <w:rPr>
          <w:rtl/>
        </w:rPr>
        <w:t>"</w:t>
      </w:r>
      <w:r>
        <w:rPr>
          <w:rtl/>
        </w:rPr>
        <w:t>בָּרָא אֱלֹהִים אֵת הַשָּׁמַיִם</w:t>
      </w:r>
      <w:r w:rsidR="00F055C8">
        <w:rPr>
          <w:rtl/>
        </w:rPr>
        <w:t>"</w:t>
      </w:r>
      <w:r>
        <w:rPr>
          <w:rtl/>
        </w:rPr>
        <w:t xml:space="preserve">, כי הוציא חומר שלהם מאין, </w:t>
      </w:r>
      <w:r w:rsidR="00F055C8">
        <w:rPr>
          <w:rtl/>
        </w:rPr>
        <w:t>"</w:t>
      </w:r>
      <w:r>
        <w:rPr>
          <w:rtl/>
        </w:rPr>
        <w:t>וְאֵת הָאָרֶץ</w:t>
      </w:r>
      <w:r w:rsidR="00F055C8">
        <w:rPr>
          <w:rtl/>
        </w:rPr>
        <w:t>"</w:t>
      </w:r>
      <w:r>
        <w:rPr>
          <w:rtl/>
        </w:rPr>
        <w:t>, שהוציא החומר שלה מאין</w:t>
      </w:r>
      <w:r>
        <w:rPr>
          <w:rFonts w:hint="cs"/>
          <w:rtl/>
        </w:rPr>
        <w:t xml:space="preserve"> </w:t>
      </w:r>
      <w:r w:rsidRPr="00BA057E">
        <w:rPr>
          <w:rFonts w:hint="cs"/>
          <w:b/>
          <w:bCs/>
          <w:rtl/>
        </w:rPr>
        <w:t>[כאן משמע שני היוליים]</w:t>
      </w:r>
      <w:r>
        <w:rPr>
          <w:rtl/>
        </w:rPr>
        <w:t xml:space="preserve">. </w:t>
      </w:r>
      <w:r w:rsidR="00F055C8">
        <w:rPr>
          <w:rtl/>
        </w:rPr>
        <w:t>"</w:t>
      </w:r>
      <w:r>
        <w:rPr>
          <w:rtl/>
        </w:rPr>
        <w:t>וְהָאָרֶץ</w:t>
      </w:r>
      <w:r w:rsidR="00F055C8">
        <w:rPr>
          <w:rtl/>
        </w:rPr>
        <w:t>"</w:t>
      </w:r>
      <w:r>
        <w:rPr>
          <w:rtl/>
        </w:rPr>
        <w:t xml:space="preserve"> תכלול ארבע היסודות כולם, כמו </w:t>
      </w:r>
      <w:r w:rsidR="00F055C8">
        <w:rPr>
          <w:rtl/>
        </w:rPr>
        <w:t>"</w:t>
      </w:r>
      <w:r>
        <w:rPr>
          <w:rtl/>
        </w:rPr>
        <w:t>וַיְכֻלּוּ הַשָּׁמַיִם וְהָאָרֶץ וְכָל צְבָאָם</w:t>
      </w:r>
      <w:r w:rsidR="00F055C8">
        <w:rPr>
          <w:rtl/>
        </w:rPr>
        <w:t>"</w:t>
      </w:r>
      <w:r>
        <w:rPr>
          <w:rtl/>
        </w:rPr>
        <w:t xml:space="preserve"> (להלן ב א), שתכלול כל הכדור התחתון. וכן </w:t>
      </w:r>
      <w:r w:rsidR="00F055C8">
        <w:rPr>
          <w:rtl/>
        </w:rPr>
        <w:t>"</w:t>
      </w:r>
      <w:r>
        <w:rPr>
          <w:rtl/>
        </w:rPr>
        <w:t>הַלְלוּ אֶת ה' מִן הָאָרֶץ תַּנִּינִים וְכָל תְּהֹמוֹת</w:t>
      </w:r>
      <w:r w:rsidR="00F055C8">
        <w:rPr>
          <w:rtl/>
        </w:rPr>
        <w:t>"</w:t>
      </w:r>
      <w:r>
        <w:rPr>
          <w:rtl/>
        </w:rPr>
        <w:t xml:space="preserve"> (תהלים קמח ז), וזולתם רבים. והנה בבריאה הזאת, שהיא כנקודה קטנה דקה ואין בה ממש, נבראו כל הנבראים בשמים ובארץ</w:t>
      </w:r>
      <w:r>
        <w:rPr>
          <w:rFonts w:hint="cs"/>
          <w:rtl/>
        </w:rPr>
        <w:t xml:space="preserve"> </w:t>
      </w:r>
      <w:r w:rsidRPr="00BA057E">
        <w:rPr>
          <w:rFonts w:hint="cs"/>
          <w:b/>
          <w:bCs/>
          <w:rtl/>
        </w:rPr>
        <w:t xml:space="preserve">[כאן כתוב בפירוש שהשמיים והארץ נבראו שניהם </w:t>
      </w:r>
      <w:r w:rsidR="005D6336">
        <w:rPr>
          <w:rFonts w:hint="cs"/>
          <w:b/>
          <w:bCs/>
          <w:rtl/>
        </w:rPr>
        <w:t>מאותה</w:t>
      </w:r>
      <w:r w:rsidRPr="00BA057E">
        <w:rPr>
          <w:rFonts w:hint="cs"/>
          <w:b/>
          <w:bCs/>
          <w:rtl/>
        </w:rPr>
        <w:t xml:space="preserve"> נקודה אחת של היולי</w:t>
      </w:r>
      <w:r w:rsidR="005D6336">
        <w:rPr>
          <w:rFonts w:hint="cs"/>
          <w:b/>
          <w:bCs/>
          <w:rtl/>
        </w:rPr>
        <w:t>, ואין שני היוליים</w:t>
      </w:r>
      <w:r w:rsidRPr="00BA057E">
        <w:rPr>
          <w:rFonts w:hint="cs"/>
          <w:b/>
          <w:bCs/>
          <w:rtl/>
        </w:rPr>
        <w:t>]</w:t>
      </w:r>
      <w:r>
        <w:rPr>
          <w:rtl/>
        </w:rPr>
        <w:t>.</w:t>
      </w:r>
    </w:p>
    <w:p w14:paraId="5A3AF49C" w14:textId="0C2CCC7F" w:rsidR="00BA057E" w:rsidRDefault="00485C46" w:rsidP="00BA057E">
      <w:pPr>
        <w:pStyle w:val="FootnoteText"/>
      </w:pPr>
      <w:r>
        <w:rPr>
          <w:rFonts w:hint="cs"/>
          <w:rtl/>
        </w:rPr>
        <w:t>[...]</w:t>
      </w:r>
    </w:p>
    <w:p w14:paraId="55DBBAEB" w14:textId="001269A4" w:rsidR="00485C46" w:rsidRDefault="00BA057E" w:rsidP="00485C46">
      <w:pPr>
        <w:pStyle w:val="FootnoteText"/>
        <w:rPr>
          <w:rtl/>
        </w:rPr>
      </w:pPr>
      <w:r>
        <w:rPr>
          <w:rtl/>
        </w:rPr>
        <w:t>ואחר שאמר כי בתחילה - במאמר אחד ברא אלהים השמים והארץ וכל צבאם</w:t>
      </w:r>
      <w:r w:rsidR="00485C46">
        <w:rPr>
          <w:rFonts w:hint="cs"/>
          <w:rtl/>
        </w:rPr>
        <w:t xml:space="preserve"> [יש רק בריאה אחת לשמיים ולארץ - משמע היולי אחד]</w:t>
      </w:r>
      <w:r>
        <w:rPr>
          <w:rtl/>
        </w:rPr>
        <w:t xml:space="preserve">, חזר ופירש, כי הארץ אחר הבריאה הזו היתה </w:t>
      </w:r>
      <w:r w:rsidR="00F055C8">
        <w:rPr>
          <w:rtl/>
        </w:rPr>
        <w:t>"</w:t>
      </w:r>
      <w:r>
        <w:rPr>
          <w:rtl/>
        </w:rPr>
        <w:t>תהו</w:t>
      </w:r>
      <w:r w:rsidR="00F055C8">
        <w:rPr>
          <w:rtl/>
        </w:rPr>
        <w:t>"</w:t>
      </w:r>
      <w:r>
        <w:rPr>
          <w:rtl/>
        </w:rPr>
        <w:t xml:space="preserve">, כלומר, חומר אין בו ממש; והיתה </w:t>
      </w:r>
      <w:r w:rsidR="00F055C8">
        <w:rPr>
          <w:rtl/>
        </w:rPr>
        <w:t>"</w:t>
      </w:r>
      <w:r>
        <w:rPr>
          <w:rtl/>
        </w:rPr>
        <w:t>בֹהוּ</w:t>
      </w:r>
      <w:r w:rsidR="00F055C8">
        <w:rPr>
          <w:rtl/>
        </w:rPr>
        <w:t>"</w:t>
      </w:r>
      <w:r>
        <w:rPr>
          <w:rtl/>
        </w:rPr>
        <w:t xml:space="preserve">, כי הלביש אותה צורה. ופירש שבצורה הזו צורת ד' יסודות, שהם האש והמים והעפר והאויר, ומלת </w:t>
      </w:r>
      <w:r w:rsidR="00F055C8">
        <w:rPr>
          <w:rtl/>
        </w:rPr>
        <w:t>"</w:t>
      </w:r>
      <w:r>
        <w:rPr>
          <w:rtl/>
        </w:rPr>
        <w:t>הָאָרֶץ</w:t>
      </w:r>
      <w:r w:rsidR="00F055C8">
        <w:rPr>
          <w:rtl/>
        </w:rPr>
        <w:t>"</w:t>
      </w:r>
      <w:r>
        <w:rPr>
          <w:rtl/>
        </w:rPr>
        <w:t xml:space="preserve"> תכלול ארבעת אלה.</w:t>
      </w:r>
    </w:p>
    <w:p w14:paraId="029EAC41" w14:textId="41307A31" w:rsidR="00BA057E" w:rsidRDefault="00485C46" w:rsidP="00485C46">
      <w:pPr>
        <w:pStyle w:val="FootnoteText"/>
      </w:pPr>
      <w:r>
        <w:rPr>
          <w:rFonts w:hint="cs"/>
          <w:rtl/>
        </w:rPr>
        <w:t>[...]</w:t>
      </w:r>
    </w:p>
    <w:p w14:paraId="1C42FB67" w14:textId="0A78DB67" w:rsidR="00BA057E" w:rsidRDefault="00BA057E" w:rsidP="00BA057E">
      <w:pPr>
        <w:pStyle w:val="FootnoteText"/>
      </w:pPr>
      <w:r>
        <w:rPr>
          <w:rtl/>
        </w:rPr>
        <w:t xml:space="preserve">ויראה לי שהנקודה הזאת, בלובשה הצורה והיתה בהו, היא שהחכמים קורין אותה </w:t>
      </w:r>
      <w:r w:rsidR="00F055C8">
        <w:rPr>
          <w:rtl/>
        </w:rPr>
        <w:t>"</w:t>
      </w:r>
      <w:r>
        <w:rPr>
          <w:rtl/>
        </w:rPr>
        <w:t>אבן שתיה</w:t>
      </w:r>
      <w:r w:rsidR="00F055C8">
        <w:rPr>
          <w:rtl/>
        </w:rPr>
        <w:t>"</w:t>
      </w:r>
      <w:r>
        <w:rPr>
          <w:rtl/>
        </w:rPr>
        <w:t xml:space="preserve"> (יומא נד ב) שממנה נשתת העולם.</w:t>
      </w:r>
    </w:p>
    <w:p w14:paraId="4F1D974D" w14:textId="6B136C75" w:rsidR="00BA057E" w:rsidRDefault="00BA057E" w:rsidP="00BA057E">
      <w:pPr>
        <w:pStyle w:val="FootnoteText"/>
        <w:rPr>
          <w:rtl/>
        </w:rPr>
      </w:pPr>
      <w:r>
        <w:rPr>
          <w:rtl/>
        </w:rPr>
        <w:t>והנה שיעור הכתובים: בתחילה ברא אלהים מאין את השמים, וברא מאין את הארץ, והארץ בהבראה היתה תהו והיתה בהו, ובהם חשך ומים ועפר, ורוח נושבת על המים. והנה הכל נברא ונעשה</w:t>
      </w:r>
      <w:r w:rsidR="00C9347D">
        <w:rPr>
          <w:rFonts w:hint="cs"/>
          <w:rtl/>
        </w:rPr>
        <w:t xml:space="preserve"> (ועיין עוד ברש</w:t>
      </w:r>
      <w:r w:rsidR="00F055C8">
        <w:rPr>
          <w:rtl/>
        </w:rPr>
        <w:t>"</w:t>
      </w:r>
      <w:r w:rsidR="00C9347D">
        <w:rPr>
          <w:rFonts w:hint="cs"/>
          <w:rtl/>
        </w:rPr>
        <w:t>י על בראשית א' י</w:t>
      </w:r>
      <w:r w:rsidR="00F055C8">
        <w:rPr>
          <w:rtl/>
        </w:rPr>
        <w:t>"</w:t>
      </w:r>
      <w:r w:rsidR="00C9347D">
        <w:rPr>
          <w:rFonts w:hint="cs"/>
          <w:rtl/>
        </w:rPr>
        <w:t>ד)</w:t>
      </w:r>
      <w:r>
        <w:rPr>
          <w:rtl/>
        </w:rPr>
        <w:t>.</w:t>
      </w:r>
      <w:r w:rsidR="00F055C8">
        <w:rPr>
          <w:rtl/>
        </w:rPr>
        <w:t>"</w:t>
      </w:r>
    </w:p>
    <w:p w14:paraId="53A64B46" w14:textId="2DA29991" w:rsidR="00C9347D" w:rsidRDefault="00C9347D" w:rsidP="00BA057E">
      <w:pPr>
        <w:pStyle w:val="FootnoteText"/>
        <w:rPr>
          <w:rtl/>
        </w:rPr>
      </w:pPr>
    </w:p>
    <w:p w14:paraId="51EA210C" w14:textId="086CC6AD" w:rsidR="00C9347D" w:rsidRDefault="00C9347D" w:rsidP="00BA057E">
      <w:pPr>
        <w:pStyle w:val="FootnoteText"/>
        <w:rPr>
          <w:rtl/>
        </w:rPr>
      </w:pPr>
      <w:r>
        <w:rPr>
          <w:rFonts w:hint="cs"/>
          <w:rtl/>
        </w:rPr>
        <w:t>במורה נבוכים ב' ל' כתב:</w:t>
      </w:r>
    </w:p>
    <w:p w14:paraId="088E4C62" w14:textId="293FC593" w:rsidR="00C9347D" w:rsidRDefault="00F055C8" w:rsidP="00BA057E">
      <w:pPr>
        <w:pStyle w:val="FootnoteText"/>
        <w:rPr>
          <w:rtl/>
        </w:rPr>
      </w:pPr>
      <w:r>
        <w:rPr>
          <w:rtl/>
        </w:rPr>
        <w:t>"</w:t>
      </w:r>
      <w:r w:rsidR="00C9347D" w:rsidRPr="00C9347D">
        <w:rPr>
          <w:rtl/>
        </w:rPr>
        <w:t xml:space="preserve">וכבר ידעתם באורם כי השמים והארץ נבראו יחד לאמרו </w:t>
      </w:r>
      <w:r>
        <w:rPr>
          <w:rtl/>
        </w:rPr>
        <w:t>"</w:t>
      </w:r>
      <w:r w:rsidR="00C9347D" w:rsidRPr="00C9347D">
        <w:rPr>
          <w:rtl/>
        </w:rPr>
        <w:t>קורא אני אליהם - יעמדו יחדיו</w:t>
      </w:r>
      <w:r>
        <w:rPr>
          <w:rtl/>
        </w:rPr>
        <w:t>"</w:t>
      </w:r>
      <w:r w:rsidR="00C9347D" w:rsidRPr="00C9347D">
        <w:rPr>
          <w:rtl/>
        </w:rPr>
        <w:t xml:space="preserve"> - אם כן הכל נברא יחד ונבדלו הדברים כולם ראשון ראשון. עד שהם המשילו זה לזורע שזרע זרעים משתנים בארץ בבת אחת וצמח קצתם אחר יום וקצתם אחר זרעים משתנים בארץ בבת אחת וצמח קצתם אחר יום וקצתם אחר שני ימים וקצתם אחר שלושה - והזריעה כולה היתה בשעה אחת. </w:t>
      </w:r>
      <w:r w:rsidR="00C9347D">
        <w:rPr>
          <w:rFonts w:hint="cs"/>
          <w:rtl/>
        </w:rPr>
        <w:t>[...]</w:t>
      </w:r>
    </w:p>
    <w:p w14:paraId="500E9212" w14:textId="6910E13F" w:rsidR="00C9347D" w:rsidRDefault="00C9347D" w:rsidP="00C9347D">
      <w:pPr>
        <w:pStyle w:val="FootnoteText"/>
        <w:rPr>
          <w:rtl/>
        </w:rPr>
      </w:pPr>
      <w:r w:rsidRPr="00C9347D">
        <w:rPr>
          <w:rtl/>
        </w:rPr>
        <w:t>ולזה</w:t>
      </w:r>
      <w:r>
        <w:rPr>
          <w:rFonts w:hint="cs"/>
          <w:rtl/>
        </w:rPr>
        <w:t xml:space="preserve"> [הכוונה אחרי שפירש ש</w:t>
      </w:r>
      <w:r w:rsidR="00F055C8">
        <w:rPr>
          <w:rtl/>
        </w:rPr>
        <w:t>"</w:t>
      </w:r>
      <w:r>
        <w:rPr>
          <w:rFonts w:hint="cs"/>
          <w:rtl/>
        </w:rPr>
        <w:t>ארץ</w:t>
      </w:r>
      <w:r w:rsidR="00F055C8">
        <w:rPr>
          <w:rtl/>
        </w:rPr>
        <w:t>"</w:t>
      </w:r>
      <w:r>
        <w:rPr>
          <w:rFonts w:hint="cs"/>
          <w:rtl/>
        </w:rPr>
        <w:t xml:space="preserve"> הנאמרת בפסוק הראשון אינה יסוד העפר בלבד אלא כל ארבעת היסודות, ונקראו כולם ארץ להבדילם מהחומר החמישי שהוא השמיי</w:t>
      </w:r>
      <w:r w:rsidR="006210F1">
        <w:rPr>
          <w:rFonts w:hint="cs"/>
          <w:rtl/>
        </w:rPr>
        <w:t>ם</w:t>
      </w:r>
      <w:r>
        <w:rPr>
          <w:rFonts w:hint="cs"/>
          <w:rtl/>
        </w:rPr>
        <w:t>]</w:t>
      </w:r>
      <w:r w:rsidRPr="00C9347D">
        <w:rPr>
          <w:rtl/>
        </w:rPr>
        <w:t xml:space="preserve"> פרשתי לך זה הפסוק בהתחלה ברא האלוה העליונים והתחתונים - ויהיה 'ארץ' הנאמר תחילה הוא התחתונים - רצוני לומר היסודות הארבע</w:t>
      </w:r>
      <w:r>
        <w:rPr>
          <w:rFonts w:hint="cs"/>
          <w:rtl/>
        </w:rPr>
        <w:t>.</w:t>
      </w:r>
      <w:r w:rsidR="00F055C8">
        <w:rPr>
          <w:rtl/>
        </w:rPr>
        <w:t>"</w:t>
      </w:r>
    </w:p>
    <w:p w14:paraId="2A2CBD96" w14:textId="18193406" w:rsidR="00C9347D" w:rsidRDefault="00354178">
      <w:pPr>
        <w:pStyle w:val="FootnoteText"/>
        <w:rPr>
          <w:rtl/>
        </w:rPr>
      </w:pPr>
      <w:r>
        <w:rPr>
          <w:rFonts w:hint="cs"/>
          <w:rtl/>
        </w:rPr>
        <w:t>ושם ב' כ</w:t>
      </w:r>
      <w:r w:rsidR="00F055C8">
        <w:rPr>
          <w:rtl/>
        </w:rPr>
        <w:t>"</w:t>
      </w:r>
      <w:r>
        <w:rPr>
          <w:rFonts w:hint="cs"/>
          <w:rtl/>
        </w:rPr>
        <w:t>ו כתב:</w:t>
      </w:r>
    </w:p>
    <w:p w14:paraId="3D424E24" w14:textId="5557289E" w:rsidR="00354178" w:rsidRDefault="00F055C8" w:rsidP="00354178">
      <w:pPr>
        <w:pStyle w:val="FootnoteText"/>
        <w:rPr>
          <w:rtl/>
        </w:rPr>
      </w:pPr>
      <w:r>
        <w:rPr>
          <w:rtl/>
        </w:rPr>
        <w:t>"</w:t>
      </w:r>
      <w:r w:rsidR="00354178">
        <w:rPr>
          <w:rtl/>
        </w:rPr>
        <w:t xml:space="preserve">אלא שעל כל פנים כבר הועילנו </w:t>
      </w:r>
      <w:r w:rsidR="00354178">
        <w:rPr>
          <w:rFonts w:hint="cs"/>
          <w:rtl/>
        </w:rPr>
        <w:t xml:space="preserve">[רבי אליעזר] </w:t>
      </w:r>
      <w:r w:rsidR="00354178">
        <w:rPr>
          <w:rtl/>
        </w:rPr>
        <w:t>בו תועלת גדולה. שהוא באר שחומר השמים - בלתי חומר הארץ</w:t>
      </w:r>
      <w:r w:rsidR="00354178">
        <w:rPr>
          <w:rFonts w:hint="cs"/>
          <w:rtl/>
        </w:rPr>
        <w:t>,</w:t>
      </w:r>
      <w:r w:rsidR="00354178">
        <w:rPr>
          <w:rtl/>
        </w:rPr>
        <w:t xml:space="preserve"> ושהם שני חמרים נבדלים מאוד</w:t>
      </w:r>
      <w:r w:rsidR="00354178">
        <w:rPr>
          <w:rFonts w:hint="cs"/>
          <w:rtl/>
        </w:rPr>
        <w:t>;</w:t>
      </w:r>
      <w:r w:rsidR="00354178">
        <w:rPr>
          <w:rtl/>
        </w:rPr>
        <w:t xml:space="preserve"> האחד מיוחס לו ית' למעלתו וגדולתו והוא 'מאור לבושו'; והחומר האחר רחוק מאורו ית' וזהרו והוא</w:t>
      </w:r>
      <w:r w:rsidR="00354178">
        <w:rPr>
          <w:rFonts w:hint="cs"/>
          <w:rtl/>
        </w:rPr>
        <w:t xml:space="preserve"> </w:t>
      </w:r>
      <w:r w:rsidR="00354178">
        <w:rPr>
          <w:rtl/>
        </w:rPr>
        <w:t xml:space="preserve">החומר התחתון ושמהו 'משלג שתחת כסא הכבוד'. וזהו אשר שמני שאפרש מאמר התורה </w:t>
      </w:r>
      <w:r>
        <w:rPr>
          <w:rtl/>
        </w:rPr>
        <w:t>"</w:t>
      </w:r>
      <w:r w:rsidR="00354178">
        <w:rPr>
          <w:rtl/>
        </w:rPr>
        <w:t>ותחת רגליו כמעשה לבנת הספיר</w:t>
      </w:r>
      <w:r>
        <w:rPr>
          <w:rtl/>
        </w:rPr>
        <w:t>"</w:t>
      </w:r>
      <w:r w:rsidR="00354178">
        <w:rPr>
          <w:rtl/>
        </w:rPr>
        <w:t xml:space="preserve"> - שהם השיגו ב'מראה הנבואה' ההוא אמיתת החומר הראשון התחתון; כי אונקלוס שם 'רגליו' שב אל ה'כסא' כמו שבארתי לך - וזה באר שהלבן ההוא שתחת ה'כסא' הוא חומר הארץ:</w:t>
      </w:r>
    </w:p>
    <w:p w14:paraId="4ACE1801" w14:textId="5E3438C8" w:rsidR="00354178" w:rsidRDefault="00354178" w:rsidP="00354178">
      <w:pPr>
        <w:pStyle w:val="FootnoteText"/>
        <w:rPr>
          <w:rtl/>
        </w:rPr>
      </w:pPr>
      <w:r>
        <w:rPr>
          <w:rtl/>
        </w:rPr>
        <w:t xml:space="preserve">וכבר שנה ר' אליעזר זה הענין בעצמו וגילה בו - רצוני לומר היותם שני חמרים עליוני ותחתוני - ושאין חומר הכל אחד. וזהו סוד גדול לא תקל בבאור גדולי חכמי ישראל בו שהוא סוד מסודות המציאות ו'סתר' מ'סתרי תורה'. ב'בראשית רבה' אמרו </w:t>
      </w:r>
      <w:r w:rsidR="00F055C8">
        <w:rPr>
          <w:rtl/>
        </w:rPr>
        <w:t>"</w:t>
      </w:r>
      <w:r>
        <w:rPr>
          <w:rtl/>
        </w:rPr>
        <w:t>ר' אליעזר אומר כל מה שיש בשמים - בריאתו מן השמים וכל מה שיש בארץ - בריאתו מן הארץ</w:t>
      </w:r>
      <w:r w:rsidR="00F055C8">
        <w:rPr>
          <w:rtl/>
        </w:rPr>
        <w:t>"</w:t>
      </w:r>
      <w:r>
        <w:rPr>
          <w:rtl/>
        </w:rPr>
        <w:t>. והתבונן איך באר לך זה החכם כי חומר כל מה שבארץ חומר אחד משותף</w:t>
      </w:r>
      <w:r>
        <w:rPr>
          <w:rFonts w:hint="cs"/>
          <w:rtl/>
        </w:rPr>
        <w:t>,</w:t>
      </w:r>
      <w:r>
        <w:rPr>
          <w:rtl/>
        </w:rPr>
        <w:t xml:space="preserve"> רצוני לומר כל מה שתחת גלגל הירח</w:t>
      </w:r>
      <w:r>
        <w:rPr>
          <w:rFonts w:hint="cs"/>
          <w:rtl/>
        </w:rPr>
        <w:t>;</w:t>
      </w:r>
      <w:r>
        <w:rPr>
          <w:rtl/>
        </w:rPr>
        <w:t xml:space="preserve"> וחומר כל השמים ומה שבהם חומר אחר אינו זה. ובאר ב'פרקיו' זה החידוש המוסף</w:t>
      </w:r>
      <w:r>
        <w:rPr>
          <w:rFonts w:hint="cs"/>
          <w:rtl/>
        </w:rPr>
        <w:t>,</w:t>
      </w:r>
      <w:r>
        <w:rPr>
          <w:rtl/>
        </w:rPr>
        <w:t xml:space="preserve"> רצוני לומר מעלת החומר ההוא וקרבתו לו וחסרון זה וגבול מקומו גם כן. ודע זה</w:t>
      </w:r>
      <w:r w:rsidR="00F055C8">
        <w:rPr>
          <w:rtl/>
        </w:rPr>
        <w:t>"</w:t>
      </w:r>
    </w:p>
    <w:p w14:paraId="5523A68B" w14:textId="53B8F2D1" w:rsidR="00220F03" w:rsidRDefault="00220F03" w:rsidP="00354178">
      <w:pPr>
        <w:pStyle w:val="FootnoteText"/>
        <w:rPr>
          <w:rtl/>
        </w:rPr>
      </w:pPr>
    </w:p>
    <w:p w14:paraId="79483156" w14:textId="24DB31A6" w:rsidR="00220F03" w:rsidRDefault="00220F03" w:rsidP="00354178">
      <w:pPr>
        <w:pStyle w:val="FootnoteText"/>
        <w:rPr>
          <w:rtl/>
        </w:rPr>
      </w:pPr>
      <w:r>
        <w:rPr>
          <w:rFonts w:hint="cs"/>
          <w:rtl/>
        </w:rPr>
        <w:t>ובהלכות יסודי התורה ג' י' כתב הרמב</w:t>
      </w:r>
      <w:r w:rsidR="00F055C8">
        <w:rPr>
          <w:rtl/>
        </w:rPr>
        <w:t>"</w:t>
      </w:r>
      <w:r>
        <w:rPr>
          <w:rFonts w:hint="cs"/>
          <w:rtl/>
        </w:rPr>
        <w:t>ם:</w:t>
      </w:r>
    </w:p>
    <w:p w14:paraId="6AD9912B" w14:textId="32BAC414" w:rsidR="00220F03" w:rsidRDefault="00F055C8" w:rsidP="00354178">
      <w:pPr>
        <w:pStyle w:val="FootnoteText"/>
        <w:rPr>
          <w:rtl/>
        </w:rPr>
      </w:pPr>
      <w:r>
        <w:rPr>
          <w:rtl/>
        </w:rPr>
        <w:t>"</w:t>
      </w:r>
      <w:r w:rsidR="00220F03" w:rsidRPr="00220F03">
        <w:rPr>
          <w:rtl/>
        </w:rPr>
        <w:t>בָּרָא הָאֵל לְמַטָּה מִגַּלְגַּל הַיָּרֵחַ גֹּלֶם אֶחָד שֶׁאֵינוֹ כְּגֹלֶם הַגַּלְגַּלִּים, וּבָרָא אַרְבַּע צוּרוֹת לְגֹלֶם זֶה, וְאֵינָן כְּצוּרַת הַגַּלְגַּלִּים, וְנִקְבְּעָה כָּל צוּרָה וְצוּרָה בְּמִקְצָת גֹּלֶם זֶה.</w:t>
      </w:r>
      <w:r>
        <w:rPr>
          <w:rtl/>
        </w:rPr>
        <w:t>"</w:t>
      </w:r>
    </w:p>
    <w:p w14:paraId="6DC69490" w14:textId="0650E4D7" w:rsidR="00485C46" w:rsidRDefault="00485C46">
      <w:pPr>
        <w:pStyle w:val="FootnoteText"/>
        <w:rPr>
          <w:rtl/>
        </w:rPr>
      </w:pPr>
    </w:p>
    <w:p w14:paraId="6867CFEA" w14:textId="5E31277D" w:rsidR="00220F03" w:rsidRDefault="00220F03">
      <w:pPr>
        <w:pStyle w:val="FootnoteText"/>
        <w:rPr>
          <w:rtl/>
        </w:rPr>
      </w:pPr>
      <w:r>
        <w:rPr>
          <w:rFonts w:hint="cs"/>
          <w:rtl/>
        </w:rPr>
        <w:t xml:space="preserve">ביאור העניין הוא שהנה בכל מקום שמבואר סדר השתלשלות הבריאה נאמר שהיה החומר הראשון ואחר כך ארבעת היסודות שהם צורות שהצטיירו בו. </w:t>
      </w:r>
      <w:r w:rsidR="006C1826">
        <w:rPr>
          <w:rFonts w:hint="cs"/>
          <w:rtl/>
        </w:rPr>
        <w:t xml:space="preserve">יש שלב שהוא אחרי החומר הראשון האחד, ולפני ארבעת היסודות. השלב הזה אין לו מציאות בטבע, ולכן הוא לא מוזכר. הוא קיים רק כרובד של עומק בטבע, מונח גנוז כסוד בגופים הטבעיים. זה מה שנקרא בתורה בוהו, והוא החומר השמיימי. </w:t>
      </w:r>
    </w:p>
    <w:p w14:paraId="494574C3" w14:textId="36148223" w:rsidR="006C1826" w:rsidRDefault="006C1826">
      <w:pPr>
        <w:pStyle w:val="FootnoteText"/>
        <w:rPr>
          <w:rtl/>
        </w:rPr>
      </w:pPr>
      <w:r>
        <w:rPr>
          <w:rFonts w:hint="cs"/>
          <w:rtl/>
        </w:rPr>
        <w:t>סוד מעשה מרכבה הוא סוד המעבר מהאין סוף הפשוט המוחלט שהוא אחד מכל צד ואין בו מורכבות כלל, אל הבריאה שהיא מתחילה מגבול, שהרי לולא היה לה גבול הייתה מתאחדת עם האין סוף ומתאיינת ולא הייתה בריאה כלל. המעבר הזה אינו יכול להיתפש בשכל אנושי, והוא נצחונו של הבורא עלינו כמו שכתב על זה במורה נבוכים א' ע</w:t>
      </w:r>
      <w:r w:rsidR="00F055C8">
        <w:rPr>
          <w:rtl/>
        </w:rPr>
        <w:t>"</w:t>
      </w:r>
      <w:r>
        <w:rPr>
          <w:rFonts w:hint="cs"/>
          <w:rtl/>
        </w:rPr>
        <w:t xml:space="preserve">ב </w:t>
      </w:r>
      <w:r w:rsidR="00F055C8">
        <w:rPr>
          <w:rtl/>
        </w:rPr>
        <w:t>"</w:t>
      </w:r>
      <w:r>
        <w:rPr>
          <w:rFonts w:hint="cs"/>
          <w:rtl/>
        </w:rPr>
        <w:t>ישתבח מי שנצחנו שלמותו</w:t>
      </w:r>
      <w:r w:rsidR="00F055C8">
        <w:rPr>
          <w:rtl/>
        </w:rPr>
        <w:t>"</w:t>
      </w:r>
      <w:r>
        <w:rPr>
          <w:rFonts w:hint="cs"/>
          <w:rtl/>
        </w:rPr>
        <w:t>.</w:t>
      </w:r>
    </w:p>
    <w:p w14:paraId="17D8F5D3" w14:textId="77777777" w:rsidR="00751F92" w:rsidRDefault="006C1826">
      <w:pPr>
        <w:pStyle w:val="FootnoteText"/>
        <w:rPr>
          <w:rtl/>
        </w:rPr>
      </w:pPr>
      <w:r>
        <w:rPr>
          <w:rFonts w:hint="cs"/>
          <w:rtl/>
        </w:rPr>
        <w:t xml:space="preserve">ההתחלה של המעבר הוא המספר. האין סוף אינו מספר, הוא לא כמות אין סופית אלא הוא נעלה מכל הגדרה וגבול ולכן לא יתכן למדוד ולספור אותו כלל. הספירות הן מספרים, יש להן הגדרה וכמות, המעבר מהאין סוף לנבראים הוא המעבר מהאין סוף לעשר הספירות. </w:t>
      </w:r>
    </w:p>
    <w:p w14:paraId="1EC4C26D" w14:textId="39E1BDC2" w:rsidR="006C1826" w:rsidRDefault="00751F92">
      <w:pPr>
        <w:pStyle w:val="FootnoteText"/>
        <w:rPr>
          <w:rtl/>
        </w:rPr>
      </w:pPr>
      <w:r>
        <w:rPr>
          <w:rFonts w:hint="cs"/>
          <w:rtl/>
        </w:rPr>
        <w:t xml:space="preserve">עיין </w:t>
      </w:r>
      <w:r w:rsidR="00E577AC">
        <w:rPr>
          <w:rFonts w:hint="cs"/>
          <w:rtl/>
        </w:rPr>
        <w:t xml:space="preserve">המקור לזה </w:t>
      </w:r>
      <w:r w:rsidR="00134788">
        <w:rPr>
          <w:rFonts w:hint="cs"/>
          <w:rtl/>
        </w:rPr>
        <w:t>ב</w:t>
      </w:r>
      <w:bookmarkStart w:id="178" w:name="_Hlk98634214"/>
      <w:r w:rsidR="00134788">
        <w:rPr>
          <w:rFonts w:hint="cs"/>
          <w:rtl/>
        </w:rPr>
        <w:t>מטאפיזיקה</w:t>
      </w:r>
      <w:r w:rsidR="00E577AC">
        <w:rPr>
          <w:rFonts w:hint="cs"/>
          <w:rtl/>
        </w:rPr>
        <w:t xml:space="preserve"> ספר נ'</w:t>
      </w:r>
      <w:r w:rsidR="00134788">
        <w:rPr>
          <w:rFonts w:hint="cs"/>
          <w:rtl/>
        </w:rPr>
        <w:t xml:space="preserve"> (1092ב משורה 7</w:t>
      </w:r>
      <w:bookmarkEnd w:id="178"/>
      <w:r w:rsidR="00134788">
        <w:rPr>
          <w:rFonts w:hint="cs"/>
          <w:rtl/>
        </w:rPr>
        <w:t>,</w:t>
      </w:r>
      <w:r w:rsidR="00E577AC">
        <w:rPr>
          <w:rFonts w:hint="cs"/>
          <w:rtl/>
        </w:rPr>
        <w:t xml:space="preserve"> </w:t>
      </w:r>
      <w:r w:rsidR="00134788">
        <w:rPr>
          <w:rFonts w:hint="cs"/>
          <w:rtl/>
        </w:rPr>
        <w:t xml:space="preserve">ושם </w:t>
      </w:r>
      <w:r w:rsidR="00E577AC">
        <w:rPr>
          <w:rFonts w:hint="cs"/>
          <w:rtl/>
        </w:rPr>
        <w:t xml:space="preserve">1090א </w:t>
      </w:r>
      <w:r w:rsidR="00134788">
        <w:rPr>
          <w:rFonts w:hint="cs"/>
          <w:rtl/>
        </w:rPr>
        <w:t>מ</w:t>
      </w:r>
      <w:r w:rsidR="00E577AC">
        <w:rPr>
          <w:rFonts w:hint="cs"/>
          <w:rtl/>
        </w:rPr>
        <w:t xml:space="preserve">שורה 2), </w:t>
      </w:r>
      <w:r w:rsidR="00134788">
        <w:rPr>
          <w:rFonts w:hint="cs"/>
          <w:rtl/>
        </w:rPr>
        <w:t>ו</w:t>
      </w:r>
      <w:r w:rsidR="00134788" w:rsidRPr="00134788">
        <w:rPr>
          <w:rtl/>
        </w:rPr>
        <w:t>במטאפיזיקה ספר מ' פרק ח' (1083א שורה 18)</w:t>
      </w:r>
      <w:r w:rsidR="00134788">
        <w:rPr>
          <w:rFonts w:hint="cs"/>
          <w:rtl/>
        </w:rPr>
        <w:t xml:space="preserve">, </w:t>
      </w:r>
      <w:r w:rsidR="00134788" w:rsidRPr="00134788">
        <w:rPr>
          <w:rtl/>
        </w:rPr>
        <w:t xml:space="preserve">ועוד בספר נ' פרק א' (1087ב שורה 5), </w:t>
      </w:r>
      <w:r w:rsidR="00E577AC">
        <w:rPr>
          <w:rFonts w:hint="cs"/>
          <w:rtl/>
        </w:rPr>
        <w:t xml:space="preserve">ושם ספר כפא (1067א שורה 5), ובעוד מקומות. </w:t>
      </w:r>
    </w:p>
    <w:p w14:paraId="269B01B6" w14:textId="208D94DB" w:rsidR="00511538" w:rsidRDefault="00511538">
      <w:pPr>
        <w:pStyle w:val="FootnoteText"/>
        <w:rPr>
          <w:rtl/>
        </w:rPr>
      </w:pPr>
      <w:r>
        <w:rPr>
          <w:rFonts w:hint="cs"/>
          <w:rtl/>
        </w:rPr>
        <w:t>הניגוד הראשוני לאין סוף הוא הכמות</w:t>
      </w:r>
      <w:r w:rsidR="00EF1B67">
        <w:rPr>
          <w:rtl/>
        </w:rPr>
        <w:fldChar w:fldCharType="begin"/>
      </w:r>
      <w:r w:rsidR="00EF1B67">
        <w:instrText xml:space="preserve"> XE "</w:instrText>
      </w:r>
      <w:r w:rsidR="00EF1B67" w:rsidRPr="00DD218D">
        <w:rPr>
          <w:rFonts w:hint="cs"/>
          <w:rtl/>
        </w:rPr>
        <w:instrText>הכמות</w:instrText>
      </w:r>
      <w:r w:rsidR="00EF1B67">
        <w:instrText xml:space="preserve">" </w:instrText>
      </w:r>
      <w:r w:rsidR="00EF1B67">
        <w:rPr>
          <w:rtl/>
        </w:rPr>
        <w:fldChar w:fldCharType="end"/>
      </w:r>
      <w:r>
        <w:rPr>
          <w:rFonts w:hint="cs"/>
          <w:rtl/>
        </w:rPr>
        <w:t>. התוהו, העיגול הריק, ההיולי הראשון האחד, הוא בריאת הכמות. לא כמות של משהו, רק כמות ככמות, כמושג מופשט, לפי שיש משהו שזו הכמות שלו. הכמות</w:t>
      </w:r>
      <w:r w:rsidR="00ED3D7B">
        <w:rPr>
          <w:rFonts w:hint="cs"/>
          <w:rtl/>
        </w:rPr>
        <w:t xml:space="preserve"> המופשטת</w:t>
      </w:r>
      <w:r>
        <w:rPr>
          <w:rFonts w:hint="cs"/>
          <w:rtl/>
        </w:rPr>
        <w:t xml:space="preserve"> קודמת ל'משהו'</w:t>
      </w:r>
      <w:r w:rsidR="00EF1B67">
        <w:rPr>
          <w:rFonts w:hint="cs"/>
          <w:rtl/>
        </w:rPr>
        <w:t xml:space="preserve"> (קשה לנו לתפוש דברים מופשטים כמציאות, אנו תופשים מציאות רק בחומר, כלומר ב'משהו' שיש לו הגדרה, כמו שכתב המורה נבוכים א' כ</w:t>
      </w:r>
      <w:r w:rsidR="00F055C8">
        <w:rPr>
          <w:rtl/>
        </w:rPr>
        <w:t>"</w:t>
      </w:r>
      <w:r w:rsidR="00EF1B67">
        <w:rPr>
          <w:rFonts w:hint="cs"/>
          <w:rtl/>
        </w:rPr>
        <w:t>ו ושם מ</w:t>
      </w:r>
      <w:r w:rsidR="00F055C8">
        <w:rPr>
          <w:rtl/>
        </w:rPr>
        <w:t>"</w:t>
      </w:r>
      <w:r w:rsidR="00EF1B67">
        <w:rPr>
          <w:rFonts w:hint="cs"/>
          <w:rtl/>
        </w:rPr>
        <w:t xml:space="preserve">ט </w:t>
      </w:r>
      <w:r w:rsidR="00947657">
        <w:rPr>
          <w:rFonts w:hint="cs"/>
          <w:rtl/>
        </w:rPr>
        <w:t xml:space="preserve">ובאגרת תחיית המתים </w:t>
      </w:r>
      <w:r w:rsidR="00EF1B67">
        <w:rPr>
          <w:rFonts w:hint="cs"/>
          <w:rtl/>
        </w:rPr>
        <w:t>ועוד)</w:t>
      </w:r>
      <w:r>
        <w:rPr>
          <w:rFonts w:hint="cs"/>
          <w:rtl/>
        </w:rPr>
        <w:t xml:space="preserve">. </w:t>
      </w:r>
      <w:r w:rsidR="00ED3D7B">
        <w:rPr>
          <w:rFonts w:hint="cs"/>
          <w:rtl/>
        </w:rPr>
        <w:t xml:space="preserve">הכמות המופשטת היא החלל התלת ממדי הריק האין סופי, כי הוא ניתן לחלוקה מחמת תלת ממדיותו ואם יחולק תהיה כמות, יש בו כמות בכח כיוון שיש בו אפשרות להתחלק גם לפני שהתחלק. החלל הריק הוא אין סופי בהכרח כי אין בו שום 'משהו' שיכול לתת בו גבול כלשהו. זה מה שכתב אריסטו </w:t>
      </w:r>
      <w:r w:rsidR="0055514C">
        <w:rPr>
          <w:rFonts w:hint="cs"/>
          <w:rtl/>
        </w:rPr>
        <w:t>ב</w:t>
      </w:r>
      <w:r w:rsidR="0055514C" w:rsidRPr="0055514C">
        <w:rPr>
          <w:rtl/>
        </w:rPr>
        <w:t>מטאפיזיקה ספר נ' (1092ב משורה 7</w:t>
      </w:r>
      <w:r w:rsidR="0055514C">
        <w:rPr>
          <w:rFonts w:hint="cs"/>
          <w:rtl/>
        </w:rPr>
        <w:t>)</w:t>
      </w:r>
      <w:r w:rsidR="00ED3D7B">
        <w:rPr>
          <w:rFonts w:hint="cs"/>
          <w:rtl/>
        </w:rPr>
        <w:t xml:space="preserve"> על העניין של אפשרות החלוקה של ה</w:t>
      </w:r>
      <w:r w:rsidR="0055514C">
        <w:rPr>
          <w:rFonts w:hint="cs"/>
          <w:rtl/>
        </w:rPr>
        <w:t>בלתי מתחלק, הוא האחד הוא ה</w:t>
      </w:r>
      <w:r w:rsidR="00ED3D7B">
        <w:rPr>
          <w:rFonts w:hint="cs"/>
          <w:rtl/>
        </w:rPr>
        <w:t>אין סו</w:t>
      </w:r>
      <w:r w:rsidR="0055514C">
        <w:rPr>
          <w:rFonts w:hint="cs"/>
          <w:rtl/>
        </w:rPr>
        <w:t>פי, ששם בחלוקה הזו הבלתי אפשרית הוא הסוד של מעשה מרכבה, שם מחסר הכמות נוצרה הכמות, המספר, שהוא תחילת המציאות (עיין עוד על האחד שהוא השלם והכל לעומת האין סוף שהוא המרובה והאחד מכיל אותו ולא להיפך, בפיזיקה ג' ו')</w:t>
      </w:r>
      <w:r w:rsidR="00ED3D7B">
        <w:rPr>
          <w:rFonts w:hint="cs"/>
          <w:rtl/>
        </w:rPr>
        <w:t xml:space="preserve">. </w:t>
      </w:r>
    </w:p>
    <w:p w14:paraId="5E6511D1" w14:textId="3EB14535" w:rsidR="006D3C0C" w:rsidRDefault="0055514C" w:rsidP="00087BBD">
      <w:pPr>
        <w:pStyle w:val="FootnoteText"/>
        <w:rPr>
          <w:rtl/>
        </w:rPr>
      </w:pPr>
      <w:r>
        <w:rPr>
          <w:rFonts w:hint="cs"/>
          <w:rtl/>
        </w:rPr>
        <w:t>ההיולי הראשון הוא אחד במובן דומה למה שהבורא עצמו אחד. אין בו שום צורה ולא שייך שתחול בו שום הגדרה, ולכן לא שייך בו שום גבול ושום ריבוי או מורכבות, אלא הוא אחדות פשוטה מוחלטת. החילוק היחיד בינו ובין הבורא הוא שהוא נמצא לא מסיבת עצמו אלא מכח שהבורא ממציא אותו. ועל זה נאמר שהאחד ברא אחד (עי' מורה נבוכים א' ע</w:t>
      </w:r>
      <w:r w:rsidR="00F055C8">
        <w:rPr>
          <w:rtl/>
        </w:rPr>
        <w:t>"</w:t>
      </w:r>
      <w:r>
        <w:rPr>
          <w:rFonts w:hint="cs"/>
          <w:rtl/>
        </w:rPr>
        <w:t>ב). ההיולי הראשון האחד, התוהו, אינו תלת ממדי, כי זו גם צורה, היא צורת התלת ממדיות, ובו אין שום צורה. החלל הריק האין סופי התלת ממדי הוא שלב יותר מגושם מהתוהו הראשון, כי יש בו צורת התלת ממדיות</w:t>
      </w:r>
      <w:r w:rsidR="002A1F07">
        <w:rPr>
          <w:rFonts w:hint="cs"/>
          <w:rtl/>
        </w:rPr>
        <w:t>, בעוד שבחומר הראשון המוחלט האחד אין שום צורה כלל</w:t>
      </w:r>
      <w:r>
        <w:rPr>
          <w:rFonts w:hint="cs"/>
          <w:rtl/>
        </w:rPr>
        <w:t xml:space="preserve">. אבל </w:t>
      </w:r>
      <w:r w:rsidR="00647A73">
        <w:rPr>
          <w:rFonts w:hint="cs"/>
          <w:rtl/>
        </w:rPr>
        <w:t>עדיין הוא גם בבחינת אחד ועוד לא הגיע למדרגת הריבוי שלא נבראה ישירות מהבורא יש מאין אלא יצאה מההיולי כיצירת יש מיש, יציאה מהכח אל הפועל.</w:t>
      </w:r>
      <w:r w:rsidR="002A1F07">
        <w:rPr>
          <w:rFonts w:hint="cs"/>
          <w:rtl/>
        </w:rPr>
        <w:t xml:space="preserve"> צורת התלת ממדיות דבקה באחד שנברא על ידי האחד, והיא עדיין אחת איתו ולא נעשתה ריבוי. התוהו, ההיולי הראשון המוחלט האחד, אין בו שום תפישה כלל. לכן נאמר בספר הזוהר שחכמה ובינה הם שני חברים שלא נפרדים, כי לא ייתכן כלל לתפוש את ספירת החכמה שהיא ההיולי הראשון האחד, בלי הבינה, שהיא צורת התלת ממדיות.</w:t>
      </w:r>
      <w:r w:rsidR="009C54FE">
        <w:rPr>
          <w:rFonts w:hint="cs"/>
          <w:rtl/>
        </w:rPr>
        <w:t xml:space="preserve"> </w:t>
      </w:r>
    </w:p>
    <w:p w14:paraId="0C95A436" w14:textId="63C95F17" w:rsidR="009C54FE" w:rsidRDefault="009C54FE">
      <w:pPr>
        <w:pStyle w:val="FootnoteText"/>
        <w:rPr>
          <w:rtl/>
        </w:rPr>
      </w:pPr>
    </w:p>
    <w:p w14:paraId="3F51ED64" w14:textId="1C4D917B" w:rsidR="009C54FE" w:rsidRDefault="009C54FE" w:rsidP="009C54FE">
      <w:pPr>
        <w:pStyle w:val="FootnoteText"/>
        <w:rPr>
          <w:rtl/>
        </w:rPr>
      </w:pPr>
      <w:r>
        <w:rPr>
          <w:rFonts w:hint="cs"/>
          <w:rtl/>
        </w:rPr>
        <w:t>במורה נבוכים א' ע</w:t>
      </w:r>
      <w:r w:rsidR="00F055C8">
        <w:rPr>
          <w:rtl/>
        </w:rPr>
        <w:t>"</w:t>
      </w:r>
      <w:r>
        <w:rPr>
          <w:rFonts w:hint="cs"/>
          <w:rtl/>
        </w:rPr>
        <w:t>ב</w:t>
      </w:r>
      <w:r>
        <w:rPr>
          <w:rtl/>
        </w:rPr>
        <w:fldChar w:fldCharType="begin"/>
      </w:r>
      <w:r>
        <w:instrText xml:space="preserve"> XE "</w:instrText>
      </w:r>
      <w:r w:rsidRPr="00CB44FF">
        <w:rPr>
          <w:rFonts w:hint="cs"/>
          <w:rtl/>
        </w:rPr>
        <w:instrText>מורה נבוכים א' ע</w:instrText>
      </w:r>
      <w:r>
        <w:rPr>
          <w:b/>
          <w:bCs/>
          <w:sz w:val="20"/>
          <w:szCs w:val="20"/>
        </w:rPr>
        <w:instrText>\</w:instrText>
      </w:r>
      <w:r w:rsidRPr="00CB44FF">
        <w:rPr>
          <w:rFonts w:hint="cs"/>
          <w:rtl/>
        </w:rPr>
        <w:instrText>"ב - האחד ברא אחד</w:instrText>
      </w:r>
      <w:r>
        <w:instrText xml:space="preserve">" </w:instrText>
      </w:r>
      <w:r>
        <w:rPr>
          <w:rtl/>
        </w:rPr>
        <w:fldChar w:fldCharType="end"/>
      </w:r>
      <w:r>
        <w:rPr>
          <w:rFonts w:hint="cs"/>
          <w:rtl/>
        </w:rPr>
        <w:t xml:space="preserve"> כתב:</w:t>
      </w:r>
    </w:p>
    <w:p w14:paraId="497E2147" w14:textId="169F45AC" w:rsidR="009C54FE" w:rsidRDefault="00F055C8">
      <w:pPr>
        <w:pStyle w:val="FootnoteText"/>
        <w:rPr>
          <w:rtl/>
        </w:rPr>
      </w:pPr>
      <w:r>
        <w:rPr>
          <w:rtl/>
        </w:rPr>
        <w:t>"</w:t>
      </w:r>
      <w:r w:rsidR="009C54FE" w:rsidRPr="009C54FE">
        <w:rPr>
          <w:rtl/>
        </w:rPr>
        <w:t>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 כן אי אפשר שימצאו חלקי העולם קצתם מבלתי קצתם בזה המציאות המיושב אשר דברינו בו, עד שימצא אש מבלתי ארץ, או ארץ מבלתי שמים, או שמים מבלתי ארץ.</w:t>
      </w:r>
      <w:r>
        <w:rPr>
          <w:rtl/>
        </w:rPr>
        <w:t>"</w:t>
      </w:r>
    </w:p>
    <w:p w14:paraId="728B7A57" w14:textId="656D90F9" w:rsidR="009C54FE" w:rsidRDefault="009C54FE">
      <w:pPr>
        <w:pStyle w:val="FootnoteText"/>
        <w:rPr>
          <w:rtl/>
        </w:rPr>
      </w:pPr>
      <w:r>
        <w:rPr>
          <w:rFonts w:hint="cs"/>
          <w:rtl/>
        </w:rPr>
        <w:t xml:space="preserve">האחדות שמדובר בה כאן היא של החומר הראשון האחד שממנו נבראו גם השמיים וגם הארץ, כי באחדות שנובעת מכך שהכל שרשו בחומר הראשון כתב שלא יתכן שיהיו שמיים בלי ארץ, והרי השמיים והארץ הם אחדות כי הם מאותו חומר ראשון שממנו העניין שכל המציאות היא איש אחד חי. </w:t>
      </w:r>
    </w:p>
    <w:p w14:paraId="7F16976E" w14:textId="02594E75" w:rsidR="00087BBD" w:rsidRDefault="00087BBD" w:rsidP="00087BBD">
      <w:pPr>
        <w:pStyle w:val="FootnoteText"/>
        <w:rPr>
          <w:rtl/>
        </w:rPr>
      </w:pPr>
      <w:r>
        <w:rPr>
          <w:rtl/>
        </w:rPr>
        <w:t>(במהר</w:t>
      </w:r>
      <w:r w:rsidR="00F055C8">
        <w:rPr>
          <w:rtl/>
        </w:rPr>
        <w:t>"</w:t>
      </w:r>
      <w:r>
        <w:rPr>
          <w:rtl/>
        </w:rPr>
        <w:t>ל נצח ישראל פרק ג' כתב:</w:t>
      </w:r>
    </w:p>
    <w:p w14:paraId="375F9FC3" w14:textId="69BE2634" w:rsidR="00087BBD" w:rsidRDefault="00F055C8" w:rsidP="00087BBD">
      <w:pPr>
        <w:pStyle w:val="FootnoteText"/>
        <w:rPr>
          <w:rtl/>
        </w:rPr>
      </w:pPr>
      <w:r>
        <w:rPr>
          <w:rtl/>
        </w:rPr>
        <w:t>"</w:t>
      </w:r>
      <w:r w:rsidR="00087BBD">
        <w:rPr>
          <w:rtl/>
        </w:rPr>
        <w:t xml:space="preserve">והקושיא איך יבוא הריבוי מן האחד הפשוט, אנו אומרים כי מן השם יתברך אשר הוא אחד [נשפע ממנו דבר אחד], והוא ראשית הבריאה. ואחר כך הושפע עוד על הראשית. וחילוק גדול יש, כי כאשר הראשית כבר נמצא, אז יושפע על זה עוד. שאילו הושפע מאיתו שני דברים כל אחד בפני עצמו, היה קשה איך יושפע מן האחד שני דברים מחולקים. אבל יושפע ממנו דבר אחד, והוא ראשית הבריאה, ואחר כך הושפע על הראשית.) </w:t>
      </w:r>
    </w:p>
    <w:p w14:paraId="46A25EC0" w14:textId="1883E5AA" w:rsidR="00087BBD" w:rsidRDefault="00087BBD" w:rsidP="00087BBD">
      <w:pPr>
        <w:pStyle w:val="FootnoteText"/>
        <w:rPr>
          <w:rtl/>
        </w:rPr>
      </w:pPr>
      <w:r>
        <w:rPr>
          <w:rFonts w:hint="cs"/>
          <w:rtl/>
        </w:rPr>
        <w:t xml:space="preserve">האחדות הזו מתגלה בכך שכל הנמצאים החומריים, כולל הגלגלים, נמצאים במרחב התלת ממדי האחד. אם גוף נע ממקומו, הוא לא לוקח את המקום שהוא תפש, את הנפח שלו, למקום החדש שאליו הוא נע, כי אז לא יוכל גוף אחר להיכנס למקומו הראשון. והוא גם לא משאיר אחריו את המקום שהוא תפש, כי אז להיכן יכנס אחרי התנועה. אלא פשוט שהמקום שהגוף תופש, הנפח שלו, התלת ממדיות שלו, היא אינה שלו. התלת ממדיות היא אחד פשוט ומוחלט לכל מה שנמצא (מלבד השכלים הנפרדים ולא כאן המקום לדון בזה), וכל מה שנמצא נמצא בה, כמו איבר של גוף שחיי האיבר הם חיי הגוף ולא חיים משל עצמו. בלי התלת ממדיות לא הייתה מתגלה האחדות שיש בכל הבריאה, כי החומר הראשון המוחלט שאין בו צורת התלת ממדיות ולא שום צורה כלל, אין בו שום תפישה בפני עצמו.  </w:t>
      </w:r>
    </w:p>
    <w:p w14:paraId="170E69DA" w14:textId="45659594" w:rsidR="00087BBD" w:rsidRDefault="00087BBD" w:rsidP="00087BBD">
      <w:pPr>
        <w:pStyle w:val="FootnoteText"/>
        <w:rPr>
          <w:rtl/>
        </w:rPr>
      </w:pPr>
      <w:r>
        <w:rPr>
          <w:rFonts w:hint="cs"/>
          <w:rtl/>
        </w:rPr>
        <w:t>זה לשון המורה נבוכים א' ע</w:t>
      </w:r>
      <w:r w:rsidR="00F055C8">
        <w:rPr>
          <w:rtl/>
        </w:rPr>
        <w:t>"</w:t>
      </w:r>
      <w:r>
        <w:rPr>
          <w:rFonts w:hint="cs"/>
          <w:rtl/>
        </w:rPr>
        <w:t>ב:</w:t>
      </w:r>
    </w:p>
    <w:p w14:paraId="6C1A4F85" w14:textId="6823CE6C" w:rsidR="00087BBD" w:rsidRDefault="00F055C8" w:rsidP="00087BBD">
      <w:pPr>
        <w:pStyle w:val="FootnoteText"/>
        <w:rPr>
          <w:rtl/>
        </w:rPr>
      </w:pPr>
      <w:r>
        <w:rPr>
          <w:rtl/>
        </w:rPr>
        <w:t>"</w:t>
      </w:r>
      <w:r w:rsidR="00087BBD" w:rsidRPr="00087BBD">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w:t>
      </w:r>
      <w:r>
        <w:rPr>
          <w:rtl/>
        </w:rPr>
        <w:t>"</w:t>
      </w:r>
    </w:p>
    <w:p w14:paraId="657722FD" w14:textId="77777777" w:rsidR="00806247" w:rsidRDefault="00087BBD" w:rsidP="00087BBD">
      <w:pPr>
        <w:pStyle w:val="FootnoteText"/>
        <w:rPr>
          <w:rtl/>
        </w:rPr>
      </w:pPr>
      <w:r>
        <w:rPr>
          <w:rFonts w:hint="cs"/>
          <w:rtl/>
        </w:rPr>
        <w:t xml:space="preserve">האחדות הזו של כל המציאות, וגם של הגלגלים עם הארץ, היא הגילוי של אחדות הבורא שיש בבריאה. החיים הם </w:t>
      </w:r>
      <w:r w:rsidR="00806247">
        <w:rPr>
          <w:rFonts w:hint="cs"/>
          <w:rtl/>
        </w:rPr>
        <w:t xml:space="preserve">לא של כל חי בפני עצמו אלא יש חיים כלליים שהם אחד פשוט וכל חי נכלל בחיים האלה, כמו שהאיבר חי מהחיות של הגוף ואין לו חיות משל עצמו. זה עניין שאפשר להתבונן בו בכל מקום ובכל פרט, גם בדברים הכי קטנים שבחיים, ואפשר לראות שהוא ניכר מכל דבר. </w:t>
      </w:r>
    </w:p>
    <w:p w14:paraId="1E76B567" w14:textId="6954636C" w:rsidR="00806247" w:rsidRDefault="00806247" w:rsidP="00087BBD">
      <w:pPr>
        <w:pStyle w:val="FootnoteText"/>
        <w:rPr>
          <w:rtl/>
        </w:rPr>
      </w:pPr>
      <w:r>
        <w:rPr>
          <w:rFonts w:hint="cs"/>
          <w:rtl/>
        </w:rPr>
        <w:t>על זה כתב בהלכות יסודי התורה ב':</w:t>
      </w:r>
    </w:p>
    <w:p w14:paraId="73F98553" w14:textId="2D4F1D99" w:rsidR="00806247" w:rsidRDefault="00F055C8" w:rsidP="00087BBD">
      <w:pPr>
        <w:pStyle w:val="FootnoteText"/>
        <w:rPr>
          <w:rtl/>
        </w:rPr>
      </w:pPr>
      <w:r>
        <w:rPr>
          <w:rtl/>
        </w:rPr>
        <w:t>"</w:t>
      </w:r>
      <w:r w:rsidR="00806247" w:rsidRPr="00806247">
        <w:rPr>
          <w:rtl/>
        </w:rPr>
        <w:t>וְהֵיאַךְ הִיא הַדֶּרֶךְ לְאַהֲבָתוֹ וְיִרְאָתוֹ? בְּשָׁעָה שֶׁיִּתְבּוֹנֵן הָאָדָם בְּמַעֲשָׂיו וּבְרוּאָיו הַנִּפְלָאִים הַגְּדוֹלִים, וְיִרְאֶה מֵהֶן חָכְמָתוֹ שֶׁאֵין לָהּ עֵרֶךְ וְלֹא קֵץ - מִיָּד הוּא אוֹהֵב וּמְשַׁבֵּחַ וּמְפָאֵר וּמִתְאַוֶּה תַּאֲוָה גְּדוֹלָה לֵידַע הַשֵּׁם הַגָּדוֹל,</w:t>
      </w:r>
      <w:r w:rsidR="00806247">
        <w:rPr>
          <w:rFonts w:hint="cs"/>
          <w:rtl/>
        </w:rPr>
        <w:t xml:space="preserve"> [...]</w:t>
      </w:r>
    </w:p>
    <w:p w14:paraId="04AB63D8" w14:textId="6033AA32" w:rsidR="00806247" w:rsidRDefault="00806247" w:rsidP="00087BBD">
      <w:pPr>
        <w:pStyle w:val="FootnoteText"/>
        <w:rPr>
          <w:rtl/>
        </w:rPr>
      </w:pPr>
      <w:r w:rsidRPr="00806247">
        <w:rPr>
          <w:rtl/>
        </w:rPr>
        <w:t>וּכְשֶׁמְּחַשֵּׁב בַּדְּבָרִים הָאֵלּוּ עַצְמָן, מִיָּד הוּא נִרְתָּע לַאֲחוֹרָיו, וְיִירָא וְיִפְחַד, וְיֵדַע שֶׁהוּא בְּרִיָּה קְטַנָּה שְׁפָלָה אֲפֵלָה, עוֹמֶדֶת בְּדַעַת קַלָּה מְעוּטָה לִפְנֵי תְּמִים דֵּעוֹת</w:t>
      </w:r>
      <w:r w:rsidR="00F055C8">
        <w:rPr>
          <w:rtl/>
        </w:rPr>
        <w:t>"</w:t>
      </w:r>
    </w:p>
    <w:p w14:paraId="7D4E9D63" w14:textId="038155B2" w:rsidR="00087BBD" w:rsidRDefault="00806247" w:rsidP="00087BBD">
      <w:pPr>
        <w:pStyle w:val="FootnoteText"/>
        <w:rPr>
          <w:rtl/>
        </w:rPr>
      </w:pPr>
      <w:r>
        <w:rPr>
          <w:rFonts w:hint="cs"/>
          <w:rtl/>
        </w:rPr>
        <w:t xml:space="preserve">ההתבוננות במעשיו וברואיו היא לראות איך הכל אחד, החיים הם אחד, המציאות היא אחד פשוט ומופשט, התלת ממדיות היא אחת, וכל הנמצאים הפרטיים נכללים בזה כאיברים בגוף ואינם חולקים לעצמם מציאות באופן שיהיה ריבוי. וזו תכלית השגת דעת אלוהים, תכלית החכמה שהיא תכלית חיי האדם. </w:t>
      </w:r>
    </w:p>
    <w:p w14:paraId="13C13348" w14:textId="63523849" w:rsidR="00806247" w:rsidRDefault="00806247" w:rsidP="00087BBD">
      <w:pPr>
        <w:pStyle w:val="FootnoteText"/>
        <w:rPr>
          <w:rtl/>
        </w:rPr>
      </w:pPr>
      <w:r>
        <w:rPr>
          <w:rFonts w:hint="cs"/>
          <w:rtl/>
        </w:rPr>
        <w:t xml:space="preserve">כיוון שצורת התלת ממדיות היא השלב הכי גבוה שאדם יכול לתפוש בעניין האחדות הזו, היא השמיים, הגילוי העליון של אחדות הבורא. השמיים הם רק צורת התלת ממדיות, הארץ היא גם צורת התלת ממדיות רק שהיא מכסה על זה בריבוי, האיברים נדמים כבעלי מציאות משל עצמם, ואלו ארבעת היסודות </w:t>
      </w:r>
      <w:r w:rsidR="0096418C">
        <w:rPr>
          <w:rFonts w:hint="cs"/>
          <w:rtl/>
        </w:rPr>
        <w:t xml:space="preserve">המורכבים למזג </w:t>
      </w:r>
      <w:r>
        <w:rPr>
          <w:rFonts w:hint="cs"/>
          <w:rtl/>
        </w:rPr>
        <w:t xml:space="preserve">שהם מצד הריבוי. </w:t>
      </w:r>
    </w:p>
    <w:p w14:paraId="51DF3594" w14:textId="61B07C7C" w:rsidR="00012401" w:rsidRDefault="0096418C" w:rsidP="00087BBD">
      <w:pPr>
        <w:pStyle w:val="FootnoteText"/>
        <w:rPr>
          <w:rtl/>
        </w:rPr>
      </w:pPr>
      <w:r>
        <w:rPr>
          <w:rFonts w:hint="cs"/>
          <w:rtl/>
        </w:rPr>
        <w:t>כמו</w:t>
      </w:r>
      <w:r w:rsidR="003F659D">
        <w:rPr>
          <w:rtl/>
        </w:rPr>
        <w:fldChar w:fldCharType="begin"/>
      </w:r>
      <w:r w:rsidR="003F659D">
        <w:instrText xml:space="preserve"> XE "</w:instrText>
      </w:r>
      <w:r w:rsidR="003F659D" w:rsidRPr="00AF4424">
        <w:rPr>
          <w:rFonts w:hint="cs"/>
          <w:rtl/>
        </w:rPr>
        <w:instrText>אריסטו</w:instrText>
      </w:r>
      <w:r w:rsidR="003F659D" w:rsidRPr="00AF4424">
        <w:rPr>
          <w:rtl/>
        </w:rPr>
        <w:instrText>:</w:instrText>
      </w:r>
      <w:r w:rsidR="003F659D" w:rsidRPr="00AF4424">
        <w:rPr>
          <w:rFonts w:hint="cs"/>
          <w:rtl/>
        </w:rPr>
        <w:instrText>אין סתירה למדע ממה שכתב אריסטו שהכוכבים הם מהיסוד החמישי ושהשמש מקיפה את הארץ</w:instrText>
      </w:r>
      <w:r w:rsidR="003F659D">
        <w:instrText xml:space="preserve">" </w:instrText>
      </w:r>
      <w:r w:rsidR="003F659D">
        <w:rPr>
          <w:rtl/>
        </w:rPr>
        <w:fldChar w:fldCharType="end"/>
      </w:r>
      <w:r>
        <w:rPr>
          <w:rFonts w:hint="cs"/>
          <w:rtl/>
        </w:rPr>
        <w:t xml:space="preserve"> שכל גוף ארצי יש בו את החומר החמישי השמיימי שהוא צורת התלת ממדיות הטהורה, כך גם בשמיים יש גופים שמורכבים מארבעת היסודות, וכמו שראינו בחוש שהירח הוא אבן. אין סתירה בין ארבעת היסודות ליסוד החמישי, זה לא 'או זה או זה', תמיד זה שניהם כאחד. רק שהשמיים הם מקום הגילוי של צורת התלת ממדיות כשמסתכלים בהם מהארץ במבט של אדם פשוט</w:t>
      </w:r>
      <w:r w:rsidR="00667A2D">
        <w:rPr>
          <w:rFonts w:hint="cs"/>
          <w:rtl/>
        </w:rPr>
        <w:t xml:space="preserve"> שלא רואה בשמיים אבנים אלא רק חלל תלת ממדי</w:t>
      </w:r>
      <w:r>
        <w:rPr>
          <w:rFonts w:hint="cs"/>
          <w:rtl/>
        </w:rPr>
        <w:t xml:space="preserve"> </w:t>
      </w:r>
      <w:r w:rsidR="00667A2D">
        <w:rPr>
          <w:rFonts w:hint="cs"/>
          <w:rtl/>
        </w:rPr>
        <w:t>ותנועה</w:t>
      </w:r>
      <w:r>
        <w:rPr>
          <w:rFonts w:hint="cs"/>
          <w:rtl/>
        </w:rPr>
        <w:t>, והארץ היא המקום שבו התלת ממדיות הטהורה מכוסה בגופים שנראים כחולקים מציאות נפרדת מהכלל האחד, והם מזג היסודות</w:t>
      </w:r>
      <w:r w:rsidR="00012401">
        <w:rPr>
          <w:rFonts w:hint="cs"/>
          <w:rtl/>
        </w:rPr>
        <w:t>.</w:t>
      </w:r>
      <w:r w:rsidR="00012401" w:rsidRPr="00012401">
        <w:rPr>
          <w:rtl/>
        </w:rPr>
        <w:t xml:space="preserve"> </w:t>
      </w:r>
    </w:p>
    <w:p w14:paraId="1A12BCA5" w14:textId="4AA487A0" w:rsidR="0096418C" w:rsidRDefault="00012401" w:rsidP="00087BBD">
      <w:pPr>
        <w:pStyle w:val="FootnoteText"/>
        <w:rPr>
          <w:rtl/>
        </w:rPr>
      </w:pPr>
      <w:r w:rsidRPr="00012401">
        <w:rPr>
          <w:rtl/>
        </w:rPr>
        <w:t>(המבט הפשוט הוא השפה שבה הבורא מדבר איתנו על ידי הבריאה שברא כמאמרות שמופנות כלפינו. המציאות היא כמו לראות סרט קולנוע, אין חשיבות לכך שבאמת זה רק פנס שמקרין על בד, אלא הטעם לזה הוא לראות כאילו הדמויות והסיפור אמיתיים. כך המציאות היא אמירה של הבורא אלינו דרך ציורים נעים וקולות דמויות ועלילות וכו'. מה שרואים בסרט הוא שהשמש מקיפה את הארץ, וכאמריה של האל אלינו כך אנו צריכים להתייחס למציאות, ואין חשיבות שהמראה נעשה על ידי שהארץ סובבת את השמש)</w:t>
      </w:r>
      <w:r w:rsidR="0096418C">
        <w:rPr>
          <w:rFonts w:hint="cs"/>
          <w:rtl/>
        </w:rPr>
        <w:t xml:space="preserve">. </w:t>
      </w:r>
    </w:p>
    <w:p w14:paraId="24F3D227" w14:textId="7CE363E1" w:rsidR="003F659D" w:rsidRDefault="003F659D" w:rsidP="00087BBD">
      <w:pPr>
        <w:pStyle w:val="FootnoteText"/>
        <w:rPr>
          <w:rtl/>
        </w:rPr>
      </w:pPr>
      <w:r>
        <w:rPr>
          <w:rFonts w:hint="cs"/>
          <w:rtl/>
        </w:rPr>
        <w:t>מה שנכתב שיש שני חומרים היוליים, שמיימי וארצי, הכוונה היא שיש שני גילויים של ההיולי האחד הכולל, גילוי אחד באופן שמגלה שהכל אחד והוא צורת התלת ממדיות שאין בה חלוקה בפועל לכמויות ואין בה 'משהו', והשני הוא כיסוי לזה על ידי ארבעת היסודות, שבמהותם הם גם מגלים את זה, רק שזה דורש עוד התבוננות</w:t>
      </w:r>
      <w:r w:rsidRPr="003F659D">
        <w:rPr>
          <w:rtl/>
        </w:rPr>
        <w:t xml:space="preserve"> (כמו שכתבתי לעיל על כך שארבעת היסודות הם עקרונות בהשפעת המציאות מהאחד, והם ארבע אותיות שם הוי</w:t>
      </w:r>
      <w:r w:rsidR="00F055C8">
        <w:rPr>
          <w:rtl/>
        </w:rPr>
        <w:t>"</w:t>
      </w:r>
      <w:r w:rsidRPr="003F659D">
        <w:rPr>
          <w:rtl/>
        </w:rPr>
        <w:t>ה)</w:t>
      </w:r>
      <w:r>
        <w:rPr>
          <w:rFonts w:hint="cs"/>
          <w:rtl/>
        </w:rPr>
        <w:t xml:space="preserve">. </w:t>
      </w:r>
    </w:p>
    <w:p w14:paraId="3D62FC5D" w14:textId="3266FBD8" w:rsidR="003F659D" w:rsidRDefault="003F659D" w:rsidP="00087BBD">
      <w:pPr>
        <w:pStyle w:val="FootnoteText"/>
        <w:rPr>
          <w:rtl/>
        </w:rPr>
      </w:pPr>
      <w:r>
        <w:rPr>
          <w:rFonts w:hint="cs"/>
          <w:rtl/>
        </w:rPr>
        <w:t xml:space="preserve">זה מה שהוכחתי בעיונים בפילוסופיה אריסטוטלית </w:t>
      </w:r>
      <w:hyperlink r:id="rId78" w:history="1">
        <w:r w:rsidRPr="00F11A13">
          <w:rPr>
            <w:rStyle w:val="Hyperlink"/>
            <w:rFonts w:hint="cs"/>
            <w:rtl/>
          </w:rPr>
          <w:t>רשימה 50</w:t>
        </w:r>
      </w:hyperlink>
      <w:r>
        <w:rPr>
          <w:rFonts w:hint="cs"/>
          <w:rtl/>
        </w:rPr>
        <w:t xml:space="preserve"> במאמר הנמשל של חכמת הקבלה</w:t>
      </w:r>
      <w:r w:rsidR="00D17207">
        <w:rPr>
          <w:rtl/>
        </w:rPr>
        <w:fldChar w:fldCharType="begin"/>
      </w:r>
      <w:r w:rsidR="00D17207">
        <w:instrText xml:space="preserve"> XE "</w:instrText>
      </w:r>
      <w:r w:rsidR="00D17207" w:rsidRPr="009414B0">
        <w:rPr>
          <w:rFonts w:hint="cs"/>
          <w:rtl/>
        </w:rPr>
        <w:instrText>הנמשל של חכמת הקבלה</w:instrText>
      </w:r>
      <w:r w:rsidR="00D17207">
        <w:instrText xml:space="preserve">" </w:instrText>
      </w:r>
      <w:r w:rsidR="00D17207">
        <w:rPr>
          <w:rtl/>
        </w:rPr>
        <w:fldChar w:fldCharType="end"/>
      </w:r>
      <w:r>
        <w:rPr>
          <w:rFonts w:hint="cs"/>
          <w:rtl/>
        </w:rPr>
        <w:t>, שלשון אריסטו מכריח</w:t>
      </w:r>
      <w:r w:rsidR="00D17207">
        <w:rPr>
          <w:rFonts w:hint="cs"/>
          <w:rtl/>
        </w:rPr>
        <w:t>ה</w:t>
      </w:r>
      <w:r>
        <w:rPr>
          <w:rFonts w:hint="cs"/>
          <w:rtl/>
        </w:rPr>
        <w:t xml:space="preserve"> שהגלגלים לפי העומק אינם חלולים כגלדי בצל אלא כולם מלאים, כלומר כל מה שבתוך גלגל הגלגל נמצא בו, כלומר החומר החמישי נמצא גם בכל גוף ארצי, ומשם ההתבוננות שכל הנמצא הוא איש אחד. </w:t>
      </w:r>
    </w:p>
    <w:p w14:paraId="7453B3CB" w14:textId="77777777" w:rsidR="006D3C0C" w:rsidRDefault="006D3C0C">
      <w:pPr>
        <w:pStyle w:val="FootnoteText"/>
        <w:rPr>
          <w:rtl/>
        </w:rPr>
      </w:pPr>
    </w:p>
    <w:p w14:paraId="0E0F121B" w14:textId="77777777" w:rsidR="006D3C0C" w:rsidRDefault="006D3C0C">
      <w:pPr>
        <w:pStyle w:val="FootnoteText"/>
        <w:rPr>
          <w:rtl/>
        </w:rPr>
      </w:pPr>
      <w:r>
        <w:rPr>
          <w:rFonts w:hint="cs"/>
          <w:rtl/>
        </w:rPr>
        <w:t>במורה נבוכים ב' ד' כתב:</w:t>
      </w:r>
    </w:p>
    <w:p w14:paraId="6583A11F" w14:textId="3EF03F69" w:rsidR="006D3C0C" w:rsidRDefault="00F055C8">
      <w:pPr>
        <w:pStyle w:val="FootnoteText"/>
        <w:rPr>
          <w:rtl/>
        </w:rPr>
      </w:pPr>
      <w:r>
        <w:rPr>
          <w:rtl/>
        </w:rPr>
        <w:t>"</w:t>
      </w:r>
      <w:r w:rsidR="006D3C0C" w:rsidRPr="006D3C0C">
        <w:rPr>
          <w:rtl/>
        </w:rPr>
        <w:t xml:space="preserve">וימשך לו גם כן העניין אשר כבר התבאר, והוא, </w:t>
      </w:r>
      <w:r w:rsidR="006D3C0C" w:rsidRPr="006D3C0C">
        <w:rPr>
          <w:b/>
          <w:bCs/>
          <w:rtl/>
        </w:rPr>
        <w:t>שהשם יתברך לא יעשה הדברים בקריבה</w:t>
      </w:r>
      <w:r w:rsidR="006D3C0C" w:rsidRPr="006D3C0C">
        <w:rPr>
          <w:rtl/>
        </w:rPr>
        <w:t>, כי כמו שהוא שורף באמצעות האש, והאש יתנועע באמצעות תנועת הגלגל, כן הגלגל גם הוא יתנועע באמצעות שכל נבדל; ויהיו השכלים – הם המלאכים המתקרבים</w:t>
      </w:r>
      <w:r w:rsidR="006D3C0C">
        <w:rPr>
          <w:rFonts w:hint="cs"/>
          <w:rtl/>
        </w:rPr>
        <w:t xml:space="preserve"> [</w:t>
      </w:r>
      <w:r>
        <w:rPr>
          <w:rtl/>
        </w:rPr>
        <w:t>"</w:t>
      </w:r>
      <w:r w:rsidR="006D3C0C">
        <w:rPr>
          <w:rFonts w:hint="cs"/>
          <w:rtl/>
        </w:rPr>
        <w:t>מתקרבים</w:t>
      </w:r>
      <w:r>
        <w:rPr>
          <w:rtl/>
        </w:rPr>
        <w:t>"</w:t>
      </w:r>
      <w:r w:rsidR="006D3C0C">
        <w:rPr>
          <w:rFonts w:hint="cs"/>
          <w:rtl/>
        </w:rPr>
        <w:t xml:space="preserve"> הוא שבח למלאכים שהם קרובים לאל, והוא לשון שמקורו בקוראן]</w:t>
      </w:r>
      <w:r w:rsidR="006D3C0C" w:rsidRPr="006D3C0C">
        <w:rPr>
          <w:rtl/>
        </w:rPr>
        <w:t>, אשר באמצעותם יתנועעו הגלגלים</w:t>
      </w:r>
      <w:r w:rsidR="006D3C0C">
        <w:rPr>
          <w:rFonts w:hint="cs"/>
          <w:rtl/>
        </w:rPr>
        <w:t xml:space="preserve"> [המלאכים הם השכלים הנפרדים כמו שכתב במורה נבוכים ב' ו']</w:t>
      </w:r>
      <w:r w:rsidR="006D3C0C" w:rsidRPr="006D3C0C">
        <w:rPr>
          <w:rtl/>
        </w:rPr>
        <w:t>. ומפני שאי אפשר בנבדלים המניין בשום פנים מצד התחלף עצמיהם, שהם לא גוף, התחייב לפי זה אצלו, שיהיה השם יתברך הוא אשר המציא השכל הראשון, אשר השכל ההוא מניע הגלגל הראשון, על הצד אשר בארנו; והשכל אשר יניע הגלגל השני – אמנם עילתו והתחלתו השכל הראשון, וכן עד שיהיה השכל אשר יניע הגלגל הסמוך לנו הוא עילת השכל הפועל והתחלתו. ואצלו תכלה מציאות הנבדלים, כמו שהגשמים גם כן יתחילו מן הגלגל העליון, ויכלו אצל היסודות ומה שהורכב מהם</w:t>
      </w:r>
      <w:r w:rsidR="006D3C0C">
        <w:rPr>
          <w:rFonts w:hint="cs"/>
          <w:rtl/>
        </w:rPr>
        <w:t xml:space="preserve"> [אגב, מבואר גם כאן מה שכתבתי לעיל על ההשפעה הזכרית שהיא דרך השכלים הנפרדים וההשפעה הנקבית שהיא דרך הגלגלים שהם חומר]</w:t>
      </w:r>
      <w:r w:rsidR="006D3C0C" w:rsidRPr="006D3C0C">
        <w:rPr>
          <w:rtl/>
        </w:rPr>
        <w:t>. ולא יתכן שיהיה השכל המניע הגלגל העליון – הוא המחויב המציאות, שכבר השתתף עם השכלים האחרים בעניין אחד, והוא הנעת הגשמים, ונבדל כל אחד מן האחר בעניין, והיה כל אחד מן העשרה בעל שני ענינים; אם כן אי אפשר מבלתי סיבה ראשונה לכל.</w:t>
      </w:r>
      <w:r>
        <w:rPr>
          <w:rtl/>
        </w:rPr>
        <w:t>"</w:t>
      </w:r>
    </w:p>
    <w:p w14:paraId="1DF86DAE" w14:textId="7CDA0D16" w:rsidR="0055514C" w:rsidRPr="00FE66AE" w:rsidRDefault="006D3C0C">
      <w:pPr>
        <w:pStyle w:val="FootnoteText"/>
      </w:pPr>
      <w:r>
        <w:rPr>
          <w:rFonts w:hint="cs"/>
          <w:rtl/>
        </w:rPr>
        <w:t>כל הנבראים לא נבראו בקריבה (בערבית בריאה בקריבה היא 'איבדע', וכמו שהתבאר לעיל), כלומר לא נבראו בבריאה ישירה מהבורא עצמו, שאין בה שום חוקיות ולא יציאה מהכח אל הפועל ולא תקף בה שום שכל שאנו מכירים מאחרי הבריאה (כמו שכתב במורה נבוכים ב' י</w:t>
      </w:r>
      <w:r w:rsidR="00F055C8">
        <w:rPr>
          <w:rtl/>
        </w:rPr>
        <w:t>"</w:t>
      </w:r>
      <w:r>
        <w:rPr>
          <w:rFonts w:hint="cs"/>
          <w:rtl/>
        </w:rPr>
        <w:t>ז). רק הנברא הראשון לבדו נברא בקריבה, והוא ההיולי הראשון האחד. ורק עליו נאמ</w:t>
      </w:r>
      <w:r w:rsidRPr="00FE66AE">
        <w:rPr>
          <w:rtl/>
        </w:rPr>
        <w:t xml:space="preserve">ר שהאחד ברא אחד.  </w:t>
      </w:r>
      <w:r w:rsidR="00647A73" w:rsidRPr="00FE66AE">
        <w:rPr>
          <w:rtl/>
        </w:rPr>
        <w:t xml:space="preserve"> </w:t>
      </w:r>
    </w:p>
  </w:footnote>
  <w:footnote w:id="296">
    <w:p w14:paraId="55BDB77F" w14:textId="77777777" w:rsidR="00BE6020" w:rsidRDefault="00E1277A">
      <w:pPr>
        <w:pStyle w:val="FootnoteText"/>
        <w:rPr>
          <w:rtl/>
        </w:rPr>
      </w:pPr>
      <w:r>
        <w:rPr>
          <w:rStyle w:val="FootnoteReference"/>
        </w:rPr>
        <w:footnoteRef/>
      </w:r>
      <w:r>
        <w:rPr>
          <w:rtl/>
        </w:rPr>
        <w:t xml:space="preserve"> </w:t>
      </w:r>
      <w:r>
        <w:rPr>
          <w:rFonts w:hint="cs"/>
          <w:rtl/>
        </w:rPr>
        <w:t>על כל פנים נצרף לטבע האחד של ההיולי שראוי לקבל את כל הצורות, את ההיולי שבו מתגלה הצורה שאין לה היפך, כי היא בדמיון הבורא, והיא הגלגל שהוא מהחומר החמישי. לפני כן כנראה היינו חושבים שאפילו הצורות המופשטות לגמרי כמו השכלים הנפרדים יש להן היולי שבו הן מצטיירות וההיולי שלהן הוא בטבע אחד עם ההיולי של הגופים החומריים. זה וודאי לא ייתכן, לכן אבן סינא מוציא כאן את הצורות המופשטות מהדיון ומשאיר רק את הגלגל, שרק בו אנו מחדשים שההיולי שלו הוא בטבע אחד עם ההיולי של הגופים הארציים.</w:t>
      </w:r>
      <w:r w:rsidR="00BE6020">
        <w:rPr>
          <w:rFonts w:hint="cs"/>
          <w:rtl/>
        </w:rPr>
        <w:t xml:space="preserve"> </w:t>
      </w:r>
    </w:p>
    <w:p w14:paraId="525B8969" w14:textId="3E279080" w:rsidR="00E1277A" w:rsidRDefault="00BE6020">
      <w:pPr>
        <w:pStyle w:val="FootnoteText"/>
      </w:pPr>
      <w:r>
        <w:rPr>
          <w:rFonts w:hint="cs"/>
          <w:rtl/>
        </w:rPr>
        <w:t>השכלים הנפרדים הם הספירות של חכמת הקבלה</w:t>
      </w:r>
      <w:r w:rsidR="00C51213">
        <w:rPr>
          <w:rtl/>
        </w:rPr>
        <w:fldChar w:fldCharType="begin"/>
      </w:r>
      <w:r w:rsidR="00C51213">
        <w:instrText xml:space="preserve"> XE "</w:instrText>
      </w:r>
      <w:r w:rsidR="00C51213" w:rsidRPr="00C67E02">
        <w:rPr>
          <w:rFonts w:hint="cs"/>
          <w:rtl/>
        </w:rPr>
        <w:instrText>השכלים הנפרדים הם הספירות של חכמת הקבלה - מקורות לזה</w:instrText>
      </w:r>
      <w:r w:rsidR="00C51213">
        <w:instrText xml:space="preserve">" </w:instrText>
      </w:r>
      <w:r w:rsidR="00C51213">
        <w:rPr>
          <w:rtl/>
        </w:rPr>
        <w:fldChar w:fldCharType="end"/>
      </w:r>
      <w:r>
        <w:rPr>
          <w:rFonts w:hint="cs"/>
          <w:rtl/>
        </w:rPr>
        <w:t xml:space="preserve"> </w:t>
      </w:r>
      <w:r w:rsidR="00F450AC">
        <w:rPr>
          <w:rFonts w:hint="cs"/>
          <w:rtl/>
        </w:rPr>
        <w:t>(</w:t>
      </w:r>
      <w:r>
        <w:rPr>
          <w:rFonts w:hint="cs"/>
          <w:rtl/>
        </w:rPr>
        <w:t xml:space="preserve">כמו שכתב </w:t>
      </w:r>
      <w:r>
        <w:rPr>
          <w:rFonts w:hint="cs"/>
          <w:rtl/>
        </w:rPr>
        <w:t>הרמ</w:t>
      </w:r>
      <w:r w:rsidR="00F055C8">
        <w:rPr>
          <w:rtl/>
        </w:rPr>
        <w:t>"</w:t>
      </w:r>
      <w:r>
        <w:rPr>
          <w:rFonts w:hint="cs"/>
          <w:rtl/>
        </w:rPr>
        <w:t>ק בפרדס רימונים שהשכל הפועל הוא ספירת מלכות</w:t>
      </w:r>
      <w:r w:rsidR="00F450AC">
        <w:rPr>
          <w:rFonts w:hint="cs"/>
          <w:rtl/>
        </w:rPr>
        <w:t>,</w:t>
      </w:r>
      <w:r w:rsidR="004E6385">
        <w:rPr>
          <w:rFonts w:hint="cs"/>
          <w:rtl/>
        </w:rPr>
        <w:t xml:space="preserve"> וכ</w:t>
      </w:r>
      <w:r w:rsidR="00C84F51">
        <w:rPr>
          <w:rFonts w:hint="cs"/>
          <w:rtl/>
        </w:rPr>
        <w:t>ן</w:t>
      </w:r>
      <w:r w:rsidR="004E6385">
        <w:rPr>
          <w:rFonts w:hint="cs"/>
          <w:rtl/>
        </w:rPr>
        <w:t xml:space="preserve"> </w:t>
      </w:r>
      <w:r w:rsidR="00C84F51">
        <w:rPr>
          <w:rFonts w:hint="cs"/>
          <w:rtl/>
        </w:rPr>
        <w:t xml:space="preserve">כתב בעל העיקרים, וזה גם </w:t>
      </w:r>
      <w:r w:rsidR="004E6385">
        <w:rPr>
          <w:rFonts w:hint="cs"/>
          <w:rtl/>
        </w:rPr>
        <w:t xml:space="preserve">מתבאר מכך שכל שכל נפרד הוא כנגד גלגל מגלגלי </w:t>
      </w:r>
      <w:r w:rsidR="00C84F51">
        <w:rPr>
          <w:rFonts w:hint="cs"/>
          <w:rtl/>
        </w:rPr>
        <w:t>ה</w:t>
      </w:r>
      <w:r w:rsidR="004E6385">
        <w:rPr>
          <w:rFonts w:hint="cs"/>
          <w:rtl/>
        </w:rPr>
        <w:t>כוכב</w:t>
      </w:r>
      <w:r w:rsidR="00C84F51">
        <w:rPr>
          <w:rFonts w:hint="cs"/>
          <w:rtl/>
        </w:rPr>
        <w:t>ים שהם כנגד הספירות של חכמת הקבלה כמו שמבואר בספרי קבלה</w:t>
      </w:r>
      <w:r w:rsidR="00793E2C">
        <w:rPr>
          <w:rFonts w:hint="cs"/>
          <w:rtl/>
        </w:rPr>
        <w:t xml:space="preserve">, עיין ספר יצירה ד' ד', </w:t>
      </w:r>
      <w:r w:rsidR="003D6BD3">
        <w:rPr>
          <w:rFonts w:hint="cs"/>
          <w:rtl/>
        </w:rPr>
        <w:t>וב</w:t>
      </w:r>
      <w:hyperlink r:id="rId79" w:history="1">
        <w:r w:rsidR="003D6BD3" w:rsidRPr="00056D25">
          <w:rPr>
            <w:rStyle w:val="Hyperlink"/>
            <w:rFonts w:hint="cs"/>
            <w:rtl/>
          </w:rPr>
          <w:t>שיעור קומה מהרמ</w:t>
        </w:r>
        <w:r w:rsidR="00CD0491" w:rsidRPr="00056D25">
          <w:rPr>
            <w:rStyle w:val="Hyperlink"/>
            <w:rFonts w:hint="cs"/>
            <w:rtl/>
          </w:rPr>
          <w:t>"</w:t>
        </w:r>
        <w:r w:rsidR="003D6BD3" w:rsidRPr="00056D25">
          <w:rPr>
            <w:rStyle w:val="Hyperlink"/>
            <w:rFonts w:hint="cs"/>
            <w:rtl/>
          </w:rPr>
          <w:t>ק</w:t>
        </w:r>
      </w:hyperlink>
      <w:r w:rsidR="003D6BD3">
        <w:rPr>
          <w:rFonts w:hint="cs"/>
          <w:rtl/>
        </w:rPr>
        <w:t xml:space="preserve">, </w:t>
      </w:r>
      <w:r w:rsidR="00CD0491">
        <w:rPr>
          <w:rFonts w:hint="cs"/>
          <w:rtl/>
        </w:rPr>
        <w:t>אות ט"ו, אדם, עמ' 57</w:t>
      </w:r>
      <w:r w:rsidR="00F450AC">
        <w:rPr>
          <w:rFonts w:hint="cs"/>
          <w:rtl/>
        </w:rPr>
        <w:t>, ובעץ חיים מהאר"י שער א' ענף ב' כתב: "</w:t>
      </w:r>
      <w:r w:rsidR="00F450AC" w:rsidRPr="00F450AC">
        <w:rPr>
          <w:rtl/>
        </w:rPr>
        <w:t xml:space="preserve"> והנה כל עולם ועולם יש בו י</w:t>
      </w:r>
      <w:r w:rsidR="007D3DF1">
        <w:rPr>
          <w:rFonts w:hint="cs"/>
          <w:rtl/>
        </w:rPr>
        <w:t>' ספירות</w:t>
      </w:r>
      <w:r w:rsidR="00F450AC" w:rsidRPr="00F450AC">
        <w:rPr>
          <w:rtl/>
        </w:rPr>
        <w:t xml:space="preserve"> פרטית וכל ספי</w:t>
      </w:r>
      <w:r w:rsidR="007D3DF1">
        <w:rPr>
          <w:rFonts w:hint="cs"/>
          <w:rtl/>
        </w:rPr>
        <w:t>רה</w:t>
      </w:r>
      <w:r w:rsidR="00F450AC" w:rsidRPr="00F450AC">
        <w:rPr>
          <w:rtl/>
        </w:rPr>
        <w:t xml:space="preserve"> וספי</w:t>
      </w:r>
      <w:r w:rsidR="007D3DF1">
        <w:rPr>
          <w:rFonts w:hint="cs"/>
          <w:rtl/>
        </w:rPr>
        <w:t>רה</w:t>
      </w:r>
      <w:r w:rsidR="00F450AC" w:rsidRPr="00F450AC">
        <w:rPr>
          <w:rtl/>
        </w:rPr>
        <w:t xml:space="preserve"> פרטית שבכל עולם ועולם כלול מי' ספי</w:t>
      </w:r>
      <w:r w:rsidR="007D3DF1">
        <w:rPr>
          <w:rFonts w:hint="cs"/>
          <w:rtl/>
        </w:rPr>
        <w:t>רות</w:t>
      </w:r>
      <w:r w:rsidR="00F450AC" w:rsidRPr="00F450AC">
        <w:rPr>
          <w:rtl/>
        </w:rPr>
        <w:t xml:space="preserve"> פרטי פרטית וכולם הם בצורת עיגולים זה תוך זה וזה לפנים מזה עד אין קץ ומספר</w:t>
      </w:r>
      <w:r w:rsidR="007D3DF1">
        <w:rPr>
          <w:rFonts w:hint="cs"/>
          <w:rtl/>
        </w:rPr>
        <w:t>,</w:t>
      </w:r>
      <w:r w:rsidR="00F450AC" w:rsidRPr="00F450AC">
        <w:rPr>
          <w:rtl/>
        </w:rPr>
        <w:t xml:space="preserve"> וכולם כגלדי בצלים זה תוך זה ע</w:t>
      </w:r>
      <w:r w:rsidR="007D3DF1">
        <w:rPr>
          <w:rFonts w:hint="cs"/>
          <w:rtl/>
        </w:rPr>
        <w:t>ל דרך</w:t>
      </w:r>
      <w:r w:rsidR="00F450AC" w:rsidRPr="00F450AC">
        <w:rPr>
          <w:rtl/>
        </w:rPr>
        <w:t xml:space="preserve"> </w:t>
      </w:r>
      <w:r w:rsidR="00F450AC" w:rsidRPr="007D3DF1">
        <w:rPr>
          <w:b/>
          <w:bCs/>
          <w:rtl/>
        </w:rPr>
        <w:t>תמונת הגלגלים כנזכר בספרי תוכניים</w:t>
      </w:r>
      <w:r w:rsidR="00A336BD">
        <w:rPr>
          <w:rFonts w:hint="cs"/>
          <w:b/>
          <w:bCs/>
          <w:rtl/>
        </w:rPr>
        <w:t xml:space="preserve"> (ועיין כעין זה ב</w:t>
      </w:r>
      <w:r w:rsidR="00D91AF5">
        <w:rPr>
          <w:rFonts w:hint="cs"/>
          <w:b/>
          <w:bCs/>
          <w:rtl/>
        </w:rPr>
        <w:t>יתר פירוט ב</w:t>
      </w:r>
      <w:r w:rsidR="00A336BD">
        <w:rPr>
          <w:rFonts w:hint="cs"/>
          <w:b/>
          <w:bCs/>
          <w:rtl/>
        </w:rPr>
        <w:t>שערי קדושה לרבי חיים ויטאל ג' א')</w:t>
      </w:r>
      <w:r w:rsidR="00F450AC" w:rsidRPr="00F450AC">
        <w:rPr>
          <w:rtl/>
        </w:rPr>
        <w:t>.</w:t>
      </w:r>
      <w:r w:rsidR="00F450AC">
        <w:rPr>
          <w:rFonts w:hint="cs"/>
          <w:rtl/>
        </w:rPr>
        <w:t>"</w:t>
      </w:r>
      <w:r w:rsidR="00DA70D1">
        <w:rPr>
          <w:rFonts w:hint="cs"/>
          <w:rtl/>
        </w:rPr>
        <w:t>, ועיין גם במורה נבוכים א' ע'</w:t>
      </w:r>
      <w:r w:rsidR="005177B8">
        <w:rPr>
          <w:rFonts w:hint="cs"/>
          <w:rtl/>
        </w:rPr>
        <w:t xml:space="preserve"> ושם ב' ד'</w:t>
      </w:r>
      <w:r w:rsidR="00A3460F">
        <w:rPr>
          <w:rFonts w:hint="cs"/>
          <w:rtl/>
        </w:rPr>
        <w:t>. ומה שכתב הרמב"ם בהלכות יסודי התורה פרק ב' לקרוא לשכלים הנבדלים בשמות המלאכים, אין מקור בחז"ל</w:t>
      </w:r>
      <w:r w:rsidR="00BE51D7">
        <w:rPr>
          <w:rFonts w:hint="cs"/>
          <w:rtl/>
        </w:rPr>
        <w:t xml:space="preserve"> לסדר הזה של המלאכים</w:t>
      </w:r>
      <w:r w:rsidR="001338FB">
        <w:rPr>
          <w:rFonts w:hint="cs"/>
          <w:rtl/>
        </w:rPr>
        <w:t xml:space="preserve">, </w:t>
      </w:r>
      <w:r w:rsidR="003A6B39" w:rsidRPr="003A6B39">
        <w:rPr>
          <w:rtl/>
        </w:rPr>
        <w:t>עיין בזה בספר אוצר המלך</w:t>
      </w:r>
      <w:r w:rsidR="003A6B39">
        <w:rPr>
          <w:rFonts w:hint="cs"/>
          <w:rtl/>
        </w:rPr>
        <w:t xml:space="preserve">, </w:t>
      </w:r>
      <w:r w:rsidR="001338FB">
        <w:rPr>
          <w:rFonts w:hint="cs"/>
          <w:rtl/>
        </w:rPr>
        <w:t>ולמה טרח להזכיר שמותם</w:t>
      </w:r>
      <w:r w:rsidR="003A6B39">
        <w:rPr>
          <w:rFonts w:hint="cs"/>
          <w:rtl/>
        </w:rPr>
        <w:t xml:space="preserve"> וכי יחסר לנו </w:t>
      </w:r>
      <w:r w:rsidR="00720EE6">
        <w:rPr>
          <w:rFonts w:hint="cs"/>
          <w:rtl/>
        </w:rPr>
        <w:t>בידיעת יסודי התורה אם לא נדע שמותם</w:t>
      </w:r>
      <w:r w:rsidR="003A6B39">
        <w:rPr>
          <w:rFonts w:hint="cs"/>
          <w:rtl/>
        </w:rPr>
        <w:t xml:space="preserve">, </w:t>
      </w:r>
      <w:r w:rsidR="00720EE6">
        <w:rPr>
          <w:rFonts w:hint="cs"/>
          <w:rtl/>
        </w:rPr>
        <w:t xml:space="preserve">אלא </w:t>
      </w:r>
      <w:r w:rsidR="00A3460F">
        <w:rPr>
          <w:rFonts w:hint="cs"/>
          <w:rtl/>
        </w:rPr>
        <w:t>הוא רמז</w:t>
      </w:r>
      <w:r w:rsidR="004E6385">
        <w:rPr>
          <w:rFonts w:hint="cs"/>
          <w:rtl/>
        </w:rPr>
        <w:t>)</w:t>
      </w:r>
      <w:r>
        <w:rPr>
          <w:rFonts w:hint="cs"/>
          <w:rtl/>
        </w:rPr>
        <w:t xml:space="preserve">. </w:t>
      </w:r>
      <w:r w:rsidR="00AC1A64">
        <w:rPr>
          <w:rFonts w:hint="cs"/>
          <w:rtl/>
        </w:rPr>
        <w:t>יש מחלוקת לכאורה בין חכמי הקבלה האם הספירות הן מחוץ לאלוהות או לא. באמת אין זו מחלוקת אלא שני הצדדים אמת, לפי הצד של ספירת כתר, שהאלוה מופשט לחלוטין, אין סוף שהוא אחד פשוט ואין בו מורכבות כלל, אז אין לספירות מציאות מחודשת כנבראים ואין בכלל נבראים כי מציאותם היא סתירה לאחדות הפשוטה של האין סוף שממלא את הכל, ולפי הצד של בריאה מצומצמת שהיא בספירת חכמה, שיש בה הגדרות ומורכבות ומספר, הספירות הן עצמים נבראים. ושני הצדדים אמת, כמוש כתב המורה נבוכים שהצד שהעולם מחודש (כתר), והצד שהוא קדמון (חכמה), הם מעמד שכלי, כי בידוע ששני הצדדים אמת ולא ייתכן לעולם שתהיה הכרעה ביניהם (אם לא כן היה מקום לחשוב שאולי בעתיד תימצא הוכחה שמכריעה לאחד מהצדדים). אם השכלים הנפרדים נמצאים, יש גם בהם בחינת חומר. כי כל מה שאינו מופשט לחלוטין יש בו אפשרות להיות שונה ממה שהוא, כי אם הוא מוגדר אפשר שיהיה לא לפי אותה הגדרה. למשל ספירת חסד יש לה הגדרה שונה מספירת הגבורה היא מידת הדין, לכן ספירת החסד מונחת בה האפשרות להשתנות לספירת הדין, וההגדרה של חומר היא האפשרות</w:t>
      </w:r>
      <w:r w:rsidR="003A3A8F">
        <w:rPr>
          <w:rFonts w:hint="cs"/>
          <w:rtl/>
        </w:rPr>
        <w:t>, כמו שכתב אריסטו במטאפיזיקה זטא ז',</w:t>
      </w:r>
      <w:r w:rsidR="00AC1A64">
        <w:rPr>
          <w:rFonts w:hint="cs"/>
          <w:rtl/>
        </w:rPr>
        <w:t xml:space="preserve"> </w:t>
      </w:r>
      <w:r w:rsidR="003A3A8F">
        <w:rPr>
          <w:rFonts w:hint="cs"/>
          <w:rtl/>
        </w:rPr>
        <w:t>לכן כל מה שיש לו הגדרה ואינו מופשט לחלוטין, כל מה שאינו הבורא עצמו כאין סוף, הוא שייך לבחינה של חומר</w:t>
      </w:r>
      <w:r w:rsidR="00AC1A64">
        <w:rPr>
          <w:rFonts w:hint="cs"/>
          <w:rtl/>
        </w:rPr>
        <w:t xml:space="preserve">. </w:t>
      </w:r>
      <w:r w:rsidR="003A3A8F">
        <w:rPr>
          <w:rFonts w:hint="cs"/>
          <w:rtl/>
        </w:rPr>
        <w:t xml:space="preserve">החומר הזה אינו היולי כמו של הגופים הגשמיים וגם לא היולי שמיימי כלומר החומר החמישי שהוא החומר של הגלגלים, אלא הוא זך עוד יותר, ועליו אומר אבן סינא שאפשר שהוא לא נכלל באמירה שנעשה את כל מדרגות ההיולי לטבע אחד שמקבל כל צורה. </w:t>
      </w:r>
      <w:r w:rsidR="00590682">
        <w:rPr>
          <w:rFonts w:hint="cs"/>
          <w:rtl/>
        </w:rPr>
        <w:t>הבריאה של ההיולי יש מאין, שהיא ישירות מהרצון של הבורא שהוא מעל לשכל ולסיבתיות ולצורך באפשרות לפני היציאה אל הפועל וכל כיו</w:t>
      </w:r>
      <w:r w:rsidR="00F055C8">
        <w:rPr>
          <w:rtl/>
        </w:rPr>
        <w:t>"</w:t>
      </w:r>
      <w:r w:rsidR="00590682">
        <w:rPr>
          <w:rFonts w:hint="cs"/>
          <w:rtl/>
        </w:rPr>
        <w:t>ב, וכמו שכתב במורה נבוכים ב' י</w:t>
      </w:r>
      <w:r w:rsidR="00F055C8">
        <w:rPr>
          <w:rtl/>
        </w:rPr>
        <w:t>"</w:t>
      </w:r>
      <w:r w:rsidR="00590682">
        <w:rPr>
          <w:rFonts w:hint="cs"/>
          <w:rtl/>
        </w:rPr>
        <w:t>ז, נקראת בלשון בריאה, ובערבית</w:t>
      </w:r>
      <w:r w:rsidR="00590682" w:rsidRPr="00590682">
        <w:rPr>
          <w:rtl/>
        </w:rPr>
        <w:t xml:space="preserve"> </w:t>
      </w:r>
      <w:r w:rsidR="00590682" w:rsidRPr="00590682">
        <w:rPr>
          <w:rFonts w:ascii="Arial" w:hAnsi="Arial" w:cs="Arial" w:hint="cs"/>
          <w:rtl/>
          <w:lang w:bidi="ar-SA"/>
        </w:rPr>
        <w:t>إبداع</w:t>
      </w:r>
      <w:r w:rsidR="00590682" w:rsidRPr="00590682">
        <w:rPr>
          <w:rtl/>
        </w:rPr>
        <w:t xml:space="preserve"> (איבדע), וכל מה שיוצא </w:t>
      </w:r>
      <w:r w:rsidR="00590682">
        <w:rPr>
          <w:rFonts w:hint="cs"/>
          <w:rtl/>
        </w:rPr>
        <w:t>אל</w:t>
      </w:r>
      <w:r w:rsidR="00590682" w:rsidRPr="00590682">
        <w:rPr>
          <w:rtl/>
        </w:rPr>
        <w:t xml:space="preserve"> הפועל מההיולי אחר כך נקרא בלשון יצי</w:t>
      </w:r>
      <w:r w:rsidR="00590682">
        <w:rPr>
          <w:rFonts w:hint="cs"/>
          <w:rtl/>
        </w:rPr>
        <w:t>ר</w:t>
      </w:r>
      <w:r w:rsidR="00590682" w:rsidRPr="00590682">
        <w:rPr>
          <w:rtl/>
        </w:rPr>
        <w:t>ה ועשייה ולא</w:t>
      </w:r>
      <w:r w:rsidR="00590682">
        <w:rPr>
          <w:rFonts w:hint="cs"/>
          <w:rtl/>
        </w:rPr>
        <w:t xml:space="preserve"> </w:t>
      </w:r>
      <w:r w:rsidR="00590682" w:rsidRPr="00590682">
        <w:rPr>
          <w:rtl/>
        </w:rPr>
        <w:t>בלשון בריאה</w:t>
      </w:r>
      <w:r w:rsidR="00590682">
        <w:rPr>
          <w:rFonts w:hint="cs"/>
          <w:rtl/>
        </w:rPr>
        <w:t>, וכמו שכתב הרמב</w:t>
      </w:r>
      <w:r w:rsidR="00F055C8">
        <w:rPr>
          <w:rtl/>
        </w:rPr>
        <w:t>"</w:t>
      </w:r>
      <w:r w:rsidR="00590682">
        <w:rPr>
          <w:rFonts w:hint="cs"/>
          <w:rtl/>
        </w:rPr>
        <w:t>ן על בראשית א' א'</w:t>
      </w:r>
      <w:r w:rsidR="00590682" w:rsidRPr="00590682">
        <w:rPr>
          <w:rtl/>
        </w:rPr>
        <w:t>.</w:t>
      </w:r>
      <w:r w:rsidR="00590682">
        <w:rPr>
          <w:rFonts w:hint="cs"/>
          <w:rtl/>
        </w:rPr>
        <w:t xml:space="preserve"> אמנם בחכמת הקבלה מבואר שיש ארבעה עולמות, עולם האצילות, עולם הבריאה, עולם היצירה ועולם העשייה, החומר של השכלים הנפרדים הוא עולם האצילות שהוא לפני הבריאה הראשונה של ההיולי שהיא עולם הבריאה, הלשון להמצאת הנמצאים שבעולם האצילות היא שפע לפי תרגום המורה נבוכים</w:t>
      </w:r>
      <w:r w:rsidR="0031300E">
        <w:rPr>
          <w:rFonts w:hint="cs"/>
          <w:rtl/>
        </w:rPr>
        <w:t xml:space="preserve"> (עי' מורה נבוכים ב' י</w:t>
      </w:r>
      <w:r w:rsidR="00F055C8">
        <w:rPr>
          <w:rtl/>
        </w:rPr>
        <w:t>"</w:t>
      </w:r>
      <w:r w:rsidR="0031300E">
        <w:rPr>
          <w:rFonts w:hint="cs"/>
          <w:rtl/>
        </w:rPr>
        <w:t>ב</w:t>
      </w:r>
      <w:r w:rsidR="00541BFB">
        <w:rPr>
          <w:rFonts w:hint="cs"/>
          <w:rtl/>
        </w:rPr>
        <w:t>, שם א' ס</w:t>
      </w:r>
      <w:r w:rsidR="00F055C8">
        <w:rPr>
          <w:rtl/>
        </w:rPr>
        <w:t>"</w:t>
      </w:r>
      <w:r w:rsidR="00541BFB">
        <w:rPr>
          <w:rFonts w:hint="cs"/>
          <w:rtl/>
        </w:rPr>
        <w:t xml:space="preserve">ט, </w:t>
      </w:r>
      <w:r w:rsidR="0031300E">
        <w:rPr>
          <w:rFonts w:hint="cs"/>
          <w:rtl/>
        </w:rPr>
        <w:t>ו</w:t>
      </w:r>
      <w:r w:rsidR="00541BFB">
        <w:rPr>
          <w:rFonts w:hint="cs"/>
          <w:rtl/>
        </w:rPr>
        <w:t>ב</w:t>
      </w:r>
      <w:r w:rsidR="0031300E">
        <w:rPr>
          <w:rFonts w:hint="cs"/>
          <w:rtl/>
        </w:rPr>
        <w:t>עוד מקומות)</w:t>
      </w:r>
      <w:r w:rsidR="00590682">
        <w:rPr>
          <w:rFonts w:hint="cs"/>
          <w:rtl/>
        </w:rPr>
        <w:t xml:space="preserve">, </w:t>
      </w:r>
      <w:r w:rsidR="0031300E">
        <w:rPr>
          <w:rFonts w:hint="cs"/>
          <w:rtl/>
        </w:rPr>
        <w:t xml:space="preserve">ונקרא גם האצלה, </w:t>
      </w:r>
      <w:r w:rsidR="00590682">
        <w:rPr>
          <w:rFonts w:hint="cs"/>
          <w:rtl/>
        </w:rPr>
        <w:t xml:space="preserve">ובערבית פיץ'. </w:t>
      </w:r>
      <w:r w:rsidR="003A3A8F">
        <w:rPr>
          <w:rFonts w:hint="cs"/>
          <w:rtl/>
        </w:rPr>
        <w:t xml:space="preserve">העניין הזה הוא סוגייה עמוקה וארוכה וכאן רק עוררתי שיש מקום לעיון בזה ולא באתי לבאר את העניין. </w:t>
      </w:r>
      <w:r w:rsidR="00AC1A64">
        <w:rPr>
          <w:rFonts w:hint="cs"/>
          <w:rtl/>
        </w:rPr>
        <w:t xml:space="preserve">  </w:t>
      </w:r>
      <w:r w:rsidR="00E1277A">
        <w:rPr>
          <w:rFonts w:hint="cs"/>
          <w:rtl/>
        </w:rPr>
        <w:t xml:space="preserve">    </w:t>
      </w:r>
    </w:p>
  </w:footnote>
  <w:footnote w:id="297">
    <w:p w14:paraId="69357CB7" w14:textId="4B201BD6" w:rsidR="00FE66AE" w:rsidRDefault="00FE66AE">
      <w:pPr>
        <w:pStyle w:val="FootnoteText"/>
      </w:pPr>
      <w:r w:rsidRPr="00FE66AE">
        <w:rPr>
          <w:rStyle w:val="FootnoteReference"/>
        </w:rPr>
        <w:footnoteRef/>
      </w:r>
      <w:r w:rsidRPr="00FE66AE">
        <w:rPr>
          <w:rtl/>
        </w:rPr>
        <w:t xml:space="preserve"> במקור </w:t>
      </w:r>
      <w:r w:rsidRPr="00FE66AE">
        <w:rPr>
          <w:rFonts w:ascii="Arial" w:hAnsi="Arial" w:cs="Arial" w:hint="cs"/>
          <w:rtl/>
          <w:lang w:bidi="ar-SA"/>
        </w:rPr>
        <w:t>قد</w:t>
      </w:r>
      <w:r w:rsidRPr="00FE66AE">
        <w:rPr>
          <w:rtl/>
          <w:lang w:bidi="ar-SA"/>
        </w:rPr>
        <w:t xml:space="preserve"> </w:t>
      </w:r>
      <w:r w:rsidRPr="00FE66AE">
        <w:rPr>
          <w:rFonts w:ascii="Arial" w:hAnsi="Arial" w:cs="Arial" w:hint="cs"/>
          <w:rtl/>
          <w:lang w:bidi="ar-SA"/>
        </w:rPr>
        <w:t>عرض</w:t>
      </w:r>
      <w:r w:rsidRPr="00FE66AE">
        <w:rPr>
          <w:rtl/>
        </w:rPr>
        <w:t xml:space="preserve">. בטקסטים אריסטוטליים זהו מונח שמשמש ל'מקרה' בניגוד לעצם, וכך תרגם כאן מקגיניס. כאן לא מצאתי פשר למשמעות כזו, ותרגמתי כפי המשמעות המקובלת למילה הזו כשהיא לא מונח פילוסופי, שהיא הופעה או התגלות.  </w:t>
      </w:r>
    </w:p>
  </w:footnote>
  <w:footnote w:id="298">
    <w:p w14:paraId="7C0F0829" w14:textId="77777777" w:rsidR="0024047F" w:rsidRDefault="0024047F" w:rsidP="0024047F">
      <w:pPr>
        <w:pStyle w:val="FootnoteText"/>
        <w:rPr>
          <w:rtl/>
        </w:rPr>
      </w:pPr>
      <w:r>
        <w:rPr>
          <w:rStyle w:val="FootnoteReference"/>
        </w:rPr>
        <w:footnoteRef/>
      </w:r>
      <w:r>
        <w:rPr>
          <w:rtl/>
        </w:rPr>
        <w:t xml:space="preserve"> </w:t>
      </w:r>
      <w:r>
        <w:rPr>
          <w:rFonts w:hint="cs"/>
          <w:rtl/>
        </w:rPr>
        <w:t>במק</w:t>
      </w:r>
      <w:r w:rsidRPr="0024047F">
        <w:rPr>
          <w:rtl/>
        </w:rPr>
        <w:t xml:space="preserve">ור </w:t>
      </w:r>
      <w:r w:rsidRPr="0024047F">
        <w:rPr>
          <w:rFonts w:ascii="Arial" w:hAnsi="Arial" w:cs="Arial" w:hint="cs"/>
          <w:rtl/>
          <w:lang w:bidi="ar-SA"/>
        </w:rPr>
        <w:t>ان</w:t>
      </w:r>
      <w:r w:rsidRPr="0024047F">
        <w:rPr>
          <w:rtl/>
          <w:lang w:bidi="ar-SA"/>
        </w:rPr>
        <w:t xml:space="preserve"> </w:t>
      </w:r>
      <w:r w:rsidRPr="0024047F">
        <w:rPr>
          <w:rFonts w:ascii="Arial" w:hAnsi="Arial" w:cs="Arial" w:hint="cs"/>
          <w:rtl/>
          <w:lang w:bidi="ar-SA"/>
        </w:rPr>
        <w:t>قارنته</w:t>
      </w:r>
      <w:r w:rsidRPr="0024047F">
        <w:rPr>
          <w:rtl/>
        </w:rPr>
        <w:t>. משמעותו הרגילה היא 'בהשוואה' (בהשוואה אל משהו), כאן תרגמתי לפי ההבנה שמדובר בתנועת הגלגל שהיא דמיון לצורה שהוא משיג בבורא, כמו שכתב במורה נבוכים ב' ד' וכמו שיתבאר לקמן בסמוך. מקגיניס תרגם כאן שהכוונה לחיבור, וכתב:</w:t>
      </w:r>
    </w:p>
    <w:p w14:paraId="0999784B" w14:textId="67D5806A" w:rsidR="0024047F" w:rsidRDefault="00F055C8" w:rsidP="0024047F">
      <w:pPr>
        <w:pStyle w:val="FootnoteText"/>
        <w:bidi w:val="0"/>
      </w:pPr>
      <w:r>
        <w:t>"</w:t>
      </w:r>
      <w:r w:rsidR="0024047F" w:rsidRPr="0024047F">
        <w:t>that what is</w:t>
      </w:r>
      <w:r w:rsidR="0024047F">
        <w:rPr>
          <w:rFonts w:hint="cs"/>
          <w:rtl/>
        </w:rPr>
        <w:t xml:space="preserve"> </w:t>
      </w:r>
      <w:r w:rsidR="0024047F" w:rsidRPr="0024047F">
        <w:t>incorruptible was accidentally joined with a form that has no contrary</w:t>
      </w:r>
      <w:r>
        <w:t>"</w:t>
      </w:r>
    </w:p>
  </w:footnote>
  <w:footnote w:id="299">
    <w:p w14:paraId="7A46CCC7" w14:textId="62E98215" w:rsidR="00785790" w:rsidRDefault="00FE007D">
      <w:pPr>
        <w:pStyle w:val="FootnoteText"/>
        <w:rPr>
          <w:rtl/>
        </w:rPr>
      </w:pPr>
      <w:r>
        <w:rPr>
          <w:rStyle w:val="FootnoteReference"/>
        </w:rPr>
        <w:footnoteRef/>
      </w:r>
      <w:r>
        <w:rPr>
          <w:rtl/>
        </w:rPr>
        <w:t xml:space="preserve"> </w:t>
      </w:r>
      <w:r w:rsidR="008C335F">
        <w:rPr>
          <w:rFonts w:hint="cs"/>
          <w:rtl/>
        </w:rPr>
        <w:t>הכוונה ל</w:t>
      </w:r>
      <w:r>
        <w:rPr>
          <w:rFonts w:hint="cs"/>
          <w:rtl/>
        </w:rPr>
        <w:t>מעגל</w:t>
      </w:r>
      <w:r w:rsidR="00873995">
        <w:rPr>
          <w:rtl/>
        </w:rPr>
        <w:fldChar w:fldCharType="begin"/>
      </w:r>
      <w:r w:rsidR="00873995">
        <w:instrText xml:space="preserve"> XE "</w:instrText>
      </w:r>
      <w:r w:rsidR="00873995" w:rsidRPr="00B55745">
        <w:rPr>
          <w:rFonts w:hint="cs"/>
          <w:rtl/>
        </w:rPr>
        <w:instrText>מאמר</w:instrText>
      </w:r>
      <w:r w:rsidR="00873995" w:rsidRPr="00B55745">
        <w:rPr>
          <w:rtl/>
        </w:rPr>
        <w:instrText>:</w:instrText>
      </w:r>
      <w:r w:rsidR="00873995" w:rsidRPr="00B55745">
        <w:rPr>
          <w:rFonts w:hint="cs"/>
          <w:rtl/>
        </w:rPr>
        <w:instrText>התנועה הסיבובית של הגלגל היא הידמות לבורא</w:instrText>
      </w:r>
      <w:r w:rsidR="00873995">
        <w:instrText xml:space="preserve">" </w:instrText>
      </w:r>
      <w:r w:rsidR="00873995">
        <w:rPr>
          <w:rtl/>
        </w:rPr>
        <w:fldChar w:fldCharType="end"/>
      </w:r>
      <w:r>
        <w:rPr>
          <w:rFonts w:hint="cs"/>
          <w:rtl/>
        </w:rPr>
        <w:t xml:space="preserve">, </w:t>
      </w:r>
      <w:r w:rsidR="008C335F">
        <w:rPr>
          <w:rFonts w:hint="cs"/>
          <w:rtl/>
        </w:rPr>
        <w:t>ש</w:t>
      </w:r>
      <w:r>
        <w:rPr>
          <w:rFonts w:hint="cs"/>
          <w:rtl/>
        </w:rPr>
        <w:t>הוא צורה שאין לה היפך</w:t>
      </w:r>
      <w:r w:rsidR="008C335F">
        <w:rPr>
          <w:rFonts w:hint="cs"/>
          <w:rtl/>
        </w:rPr>
        <w:t>, כמו שכתב אריסטו ב</w:t>
      </w:r>
      <w:r w:rsidR="008C335F" w:rsidRPr="008C335F">
        <w:rPr>
          <w:rtl/>
        </w:rPr>
        <w:t xml:space="preserve">על השמים, ספר א', פרק </w:t>
      </w:r>
      <w:r w:rsidR="008C335F">
        <w:rPr>
          <w:rFonts w:hint="cs"/>
          <w:rtl/>
        </w:rPr>
        <w:t>ג</w:t>
      </w:r>
      <w:r w:rsidR="008C335F" w:rsidRPr="008C335F">
        <w:rPr>
          <w:rtl/>
        </w:rPr>
        <w:t xml:space="preserve">, </w:t>
      </w:r>
      <w:r w:rsidR="008C335F" w:rsidRPr="008C335F">
        <w:rPr>
          <w:rtl/>
        </w:rPr>
        <w:t>270א 18-21 ושם</w:t>
      </w:r>
      <w:r w:rsidR="008C335F">
        <w:rPr>
          <w:rFonts w:hint="cs"/>
          <w:rtl/>
        </w:rPr>
        <w:t xml:space="preserve"> פרק ד'</w:t>
      </w:r>
      <w:r w:rsidR="008C335F" w:rsidRPr="008C335F">
        <w:rPr>
          <w:rtl/>
        </w:rPr>
        <w:t xml:space="preserve">, </w:t>
      </w:r>
      <w:r w:rsidR="008C335F">
        <w:rPr>
          <w:rFonts w:hint="cs"/>
          <w:rtl/>
        </w:rPr>
        <w:t>וב</w:t>
      </w:r>
      <w:r w:rsidR="008C335F" w:rsidRPr="008C335F">
        <w:rPr>
          <w:rtl/>
        </w:rPr>
        <w:t xml:space="preserve">פרקים </w:t>
      </w:r>
      <w:r w:rsidR="008C335F">
        <w:rPr>
          <w:rFonts w:hint="cs"/>
          <w:rtl/>
        </w:rPr>
        <w:t>י'-י</w:t>
      </w:r>
      <w:r w:rsidR="00F055C8">
        <w:rPr>
          <w:rtl/>
        </w:rPr>
        <w:t>"</w:t>
      </w:r>
      <w:r w:rsidR="008C335F">
        <w:rPr>
          <w:rFonts w:hint="cs"/>
          <w:rtl/>
        </w:rPr>
        <w:t>ב, (ועיין בזה גם בפיזיקה ספר ח' פרק ט', וגם בפרק</w:t>
      </w:r>
      <w:r w:rsidR="00785790">
        <w:rPr>
          <w:rFonts w:hint="cs"/>
          <w:rtl/>
        </w:rPr>
        <w:t>ים</w:t>
      </w:r>
      <w:r w:rsidR="008C335F">
        <w:rPr>
          <w:rFonts w:hint="cs"/>
          <w:rtl/>
        </w:rPr>
        <w:t xml:space="preserve"> </w:t>
      </w:r>
      <w:r w:rsidR="00785790">
        <w:rPr>
          <w:rFonts w:hint="cs"/>
          <w:rtl/>
        </w:rPr>
        <w:t>ז'-</w:t>
      </w:r>
      <w:r w:rsidR="008C335F">
        <w:rPr>
          <w:rFonts w:hint="cs"/>
          <w:rtl/>
        </w:rPr>
        <w:t>ח' שם,</w:t>
      </w:r>
      <w:r w:rsidR="00B9543D">
        <w:rPr>
          <w:rFonts w:hint="cs"/>
          <w:rtl/>
        </w:rPr>
        <w:t xml:space="preserve"> ובמטאפיזיקה דלתא פרק</w:t>
      </w:r>
      <w:r w:rsidR="008205C2">
        <w:rPr>
          <w:rFonts w:hint="cs"/>
          <w:rtl/>
        </w:rPr>
        <w:t xml:space="preserve"> </w:t>
      </w:r>
      <w:r w:rsidR="00B9543D">
        <w:rPr>
          <w:rFonts w:hint="cs"/>
          <w:rtl/>
        </w:rPr>
        <w:t>ו</w:t>
      </w:r>
      <w:r w:rsidR="008205C2">
        <w:rPr>
          <w:rFonts w:hint="cs"/>
          <w:rtl/>
        </w:rPr>
        <w:t>'</w:t>
      </w:r>
      <w:r w:rsidR="005C3D68">
        <w:rPr>
          <w:rFonts w:hint="cs"/>
          <w:rtl/>
        </w:rPr>
        <w:t xml:space="preserve"> (1016ב שורה </w:t>
      </w:r>
      <w:r w:rsidR="00227AD6">
        <w:rPr>
          <w:rFonts w:hint="cs"/>
          <w:rtl/>
        </w:rPr>
        <w:t>15)</w:t>
      </w:r>
      <w:r w:rsidR="00B9543D">
        <w:rPr>
          <w:rFonts w:hint="cs"/>
          <w:rtl/>
        </w:rPr>
        <w:t xml:space="preserve">, </w:t>
      </w:r>
      <w:r w:rsidR="008C335F">
        <w:rPr>
          <w:rFonts w:hint="cs"/>
          <w:rtl/>
        </w:rPr>
        <w:t xml:space="preserve">ובעל השמיים יש עוד הרבה על המעגל, ועיין גם בעיונים בפילוסופיה אריסטוטלית </w:t>
      </w:r>
      <w:hyperlink r:id="rId80" w:history="1">
        <w:r w:rsidR="008C335F" w:rsidRPr="008C335F">
          <w:rPr>
            <w:rStyle w:val="Hyperlink"/>
            <w:rFonts w:hint="cs"/>
            <w:rtl/>
          </w:rPr>
          <w:t>רשימות 43-45</w:t>
        </w:r>
      </w:hyperlink>
      <w:r w:rsidR="008C335F">
        <w:rPr>
          <w:rFonts w:hint="cs"/>
          <w:rtl/>
        </w:rPr>
        <w:t>)</w:t>
      </w:r>
      <w:r w:rsidR="00C6050B">
        <w:rPr>
          <w:rFonts w:hint="cs"/>
          <w:rtl/>
        </w:rPr>
        <w:t xml:space="preserve">. לכן התנועה המעגלית היא אין סופית כי אינה נתקלת בקצה שהוא היפך שלה, מה שאין כן תנועה בקו ישר מגיעה לסוף כיוון שאין במציאות הטבעית אורך אין סופי כמו שביאר אריסטו בפיזיקה ג' פרקים ד'-ו', וברמיזות והערות מאת אבן סינא בחלק ראשון. </w:t>
      </w:r>
    </w:p>
    <w:p w14:paraId="5859A084" w14:textId="5F1BDF9B" w:rsidR="00B717CE" w:rsidRDefault="00B717CE">
      <w:pPr>
        <w:pStyle w:val="FootnoteText"/>
        <w:rPr>
          <w:rtl/>
        </w:rPr>
      </w:pPr>
      <w:r>
        <w:rPr>
          <w:rFonts w:hint="cs"/>
          <w:rtl/>
        </w:rPr>
        <w:t>ועיין במורה נבוכים ב' י</w:t>
      </w:r>
      <w:r w:rsidR="00F055C8">
        <w:rPr>
          <w:rtl/>
        </w:rPr>
        <w:t>"</w:t>
      </w:r>
      <w:r>
        <w:rPr>
          <w:rFonts w:hint="cs"/>
          <w:rtl/>
        </w:rPr>
        <w:t>ד</w:t>
      </w:r>
      <w:r>
        <w:rPr>
          <w:rtl/>
        </w:rPr>
        <w:fldChar w:fldCharType="begin"/>
      </w:r>
      <w:r>
        <w:instrText xml:space="preserve"> XE "</w:instrText>
      </w:r>
      <w:r w:rsidRPr="005948EB">
        <w:rPr>
          <w:rFonts w:hint="cs"/>
          <w:rtl/>
        </w:rPr>
        <w:instrText>מורה נבוכים ב' י</w:instrText>
      </w:r>
      <w:r>
        <w:rPr>
          <w:b/>
          <w:bCs/>
          <w:sz w:val="20"/>
          <w:szCs w:val="20"/>
        </w:rPr>
        <w:instrText>\</w:instrText>
      </w:r>
      <w:r w:rsidRPr="005948EB">
        <w:rPr>
          <w:rFonts w:hint="cs"/>
          <w:rtl/>
        </w:rPr>
        <w:instrText>"ד - המעגל אין לו היפך ולכן הוא נצחי</w:instrText>
      </w:r>
      <w:r>
        <w:instrText xml:space="preserve">" </w:instrText>
      </w:r>
      <w:r>
        <w:rPr>
          <w:rtl/>
        </w:rPr>
        <w:fldChar w:fldCharType="end"/>
      </w:r>
      <w:r>
        <w:rPr>
          <w:rFonts w:hint="cs"/>
          <w:rtl/>
        </w:rPr>
        <w:t>, שכתב:</w:t>
      </w:r>
    </w:p>
    <w:p w14:paraId="7F8B23FF" w14:textId="7DD35419" w:rsidR="00FE007D" w:rsidRDefault="00F055C8">
      <w:pPr>
        <w:pStyle w:val="FootnoteText"/>
        <w:rPr>
          <w:rtl/>
        </w:rPr>
      </w:pPr>
      <w:r>
        <w:rPr>
          <w:rtl/>
        </w:rPr>
        <w:t>"</w:t>
      </w:r>
      <w:r w:rsidR="00B717CE" w:rsidRPr="00B717CE">
        <w:rPr>
          <w:rtl/>
        </w:rPr>
        <w:t xml:space="preserve">דרך שלישי לו יאמר </w:t>
      </w:r>
      <w:bookmarkStart w:id="179" w:name="_Hlk98624919"/>
      <w:r w:rsidR="00B717CE" w:rsidRPr="00B717CE">
        <w:rPr>
          <w:rtl/>
        </w:rPr>
        <w:t>כי חומר הגלגל בכללו אין בו דבר מן ההיפוך כי התנועה הסיבובית אין הפך לה כמו שהתבאר במופת</w:t>
      </w:r>
      <w:bookmarkEnd w:id="179"/>
      <w:r w:rsidR="00B717CE">
        <w:rPr>
          <w:rFonts w:hint="cs"/>
          <w:rtl/>
        </w:rPr>
        <w:t>,</w:t>
      </w:r>
      <w:r w:rsidR="00B717CE" w:rsidRPr="00B717CE">
        <w:rPr>
          <w:rtl/>
        </w:rPr>
        <w:t xml:space="preserve"> ואמנם ההיפוך הוא בתנועה הישרה כמו שהתבאר במופת. אמר</w:t>
      </w:r>
      <w:r w:rsidR="00B717CE">
        <w:rPr>
          <w:rFonts w:hint="cs"/>
          <w:rtl/>
        </w:rPr>
        <w:t xml:space="preserve"> </w:t>
      </w:r>
      <w:r w:rsidR="00B717CE" w:rsidRPr="00B717CE">
        <w:rPr>
          <w:rtl/>
        </w:rPr>
        <w:t>וכל מה שיפסד אמנם סיבת הפסדו - מה שבו מן ההתהפכות</w:t>
      </w:r>
      <w:r w:rsidR="00B717CE">
        <w:rPr>
          <w:rFonts w:hint="cs"/>
          <w:rtl/>
        </w:rPr>
        <w:t>,</w:t>
      </w:r>
      <w:r w:rsidR="00B717CE" w:rsidRPr="00B717CE">
        <w:rPr>
          <w:rtl/>
        </w:rPr>
        <w:t xml:space="preserve"> ואחר שהגלגל אין בו התהפכות אינו אם כן נפסד ומה שאינו נפסד אינו אם כן מתהוה</w:t>
      </w:r>
      <w:r>
        <w:rPr>
          <w:rtl/>
        </w:rPr>
        <w:t>"</w:t>
      </w:r>
      <w:r w:rsidR="00B717CE">
        <w:rPr>
          <w:rFonts w:hint="cs"/>
          <w:rtl/>
        </w:rPr>
        <w:t>.</w:t>
      </w:r>
    </w:p>
    <w:p w14:paraId="02642129" w14:textId="77777777" w:rsidR="00001963" w:rsidRDefault="00001963">
      <w:pPr>
        <w:pStyle w:val="FootnoteText"/>
        <w:rPr>
          <w:rtl/>
        </w:rPr>
      </w:pPr>
    </w:p>
    <w:p w14:paraId="3ED77CC7" w14:textId="1FED29DC" w:rsidR="00001963" w:rsidRDefault="00001963">
      <w:pPr>
        <w:pStyle w:val="FootnoteText"/>
        <w:rPr>
          <w:rtl/>
        </w:rPr>
      </w:pPr>
      <w:r>
        <w:rPr>
          <w:rFonts w:hint="cs"/>
          <w:rtl/>
        </w:rPr>
        <w:t>ושם ב' ד'</w:t>
      </w:r>
      <w:r>
        <w:rPr>
          <w:rtl/>
        </w:rPr>
        <w:fldChar w:fldCharType="begin"/>
      </w:r>
      <w:r>
        <w:instrText xml:space="preserve"> XE "</w:instrText>
      </w:r>
      <w:r w:rsidRPr="00322EB7">
        <w:rPr>
          <w:rFonts w:hint="cs"/>
          <w:rtl/>
        </w:rPr>
        <w:instrText>מורה נבוכים ב' ד' - התנועה הסיבובית</w:instrText>
      </w:r>
      <w:r>
        <w:instrText xml:space="preserve">" </w:instrText>
      </w:r>
      <w:r>
        <w:rPr>
          <w:rtl/>
        </w:rPr>
        <w:fldChar w:fldCharType="end"/>
      </w:r>
      <w:r>
        <w:rPr>
          <w:rFonts w:hint="cs"/>
          <w:rtl/>
        </w:rPr>
        <w:t xml:space="preserve"> כתב:</w:t>
      </w:r>
    </w:p>
    <w:p w14:paraId="3F6DCFC8" w14:textId="65533D7A" w:rsidR="00181863" w:rsidRDefault="00F055C8">
      <w:pPr>
        <w:pStyle w:val="FootnoteText"/>
        <w:rPr>
          <w:rtl/>
        </w:rPr>
      </w:pPr>
      <w:r>
        <w:rPr>
          <w:rtl/>
        </w:rPr>
        <w:t>"</w:t>
      </w:r>
      <w:r w:rsidR="00001963" w:rsidRPr="00001963">
        <w:rPr>
          <w:rtl/>
        </w:rPr>
        <w:t xml:space="preserve">וזה הגלגל לא יתנועע לברוח ממה שהוא כנגד או לבקש הנאות, כי מה שאליו יתנועע </w:t>
      </w:r>
      <w:r w:rsidR="00001963">
        <w:rPr>
          <w:rtl/>
        </w:rPr>
        <w:t>-</w:t>
      </w:r>
      <w:r w:rsidR="00001963" w:rsidRPr="00001963">
        <w:rPr>
          <w:rtl/>
        </w:rPr>
        <w:t xml:space="preserve"> ממנו יתנועע, וכל מה שממנו יתנועע </w:t>
      </w:r>
      <w:r w:rsidR="00001963">
        <w:rPr>
          <w:rtl/>
        </w:rPr>
        <w:t>-</w:t>
      </w:r>
      <w:r w:rsidR="00001963" w:rsidRPr="00001963">
        <w:rPr>
          <w:rtl/>
        </w:rPr>
        <w:t xml:space="preserve"> אליו יתנועע. ועוד, שאילו היתה תנועתו מפני זה, היה מתחייב שיהיה מ</w:t>
      </w:r>
      <w:r w:rsidR="00177EE1">
        <w:rPr>
          <w:rFonts w:hint="cs"/>
          <w:rtl/>
        </w:rPr>
        <w:t>ג</w:t>
      </w:r>
      <w:r w:rsidR="00001963" w:rsidRPr="00001963">
        <w:rPr>
          <w:rtl/>
        </w:rPr>
        <w:t xml:space="preserve">יע אל מה שיתנועע אליו וינוח. כי אם יתנועע לבקש דבר או לברוח מדבר, ולא יוכל למצאו לעולם, תהיה אם כן התנועה לבטלה. הנה זאת התנועה, אם כן, הסיבובית </w:t>
      </w:r>
      <w:r w:rsidR="00001963">
        <w:rPr>
          <w:rtl/>
        </w:rPr>
        <w:t>-</w:t>
      </w:r>
      <w:r w:rsidR="00001963" w:rsidRPr="00001963">
        <w:rPr>
          <w:rtl/>
        </w:rPr>
        <w:t xml:space="preserve"> תהיה בציור אחד, יחייב לו הציור ההוא שיתנועע כן. ולא יהיה ציור כי אם בשכל; אם כן הגלגל הוא בעל שכל. </w:t>
      </w:r>
    </w:p>
    <w:p w14:paraId="23D39719" w14:textId="1ED44A59" w:rsidR="00181863" w:rsidRDefault="00181863">
      <w:pPr>
        <w:pStyle w:val="FootnoteText"/>
        <w:rPr>
          <w:rtl/>
        </w:rPr>
      </w:pPr>
      <w:r>
        <w:rPr>
          <w:rFonts w:hint="cs"/>
          <w:rtl/>
        </w:rPr>
        <w:t>[...]</w:t>
      </w:r>
    </w:p>
    <w:p w14:paraId="37F6878D" w14:textId="1B3F4525" w:rsidR="00001963" w:rsidRDefault="00001963">
      <w:pPr>
        <w:pStyle w:val="FootnoteText"/>
        <w:rPr>
          <w:rtl/>
        </w:rPr>
      </w:pPr>
      <w:r w:rsidRPr="00001963">
        <w:rPr>
          <w:rtl/>
        </w:rPr>
        <w:t xml:space="preserve">הנה כבר התבאר גם כן, שאין הנפש אשר בה תהיה התנועה, ולא השכל אשר בו יצויר הדבר, מספיקים בהתחדש כמו זאת התנועה, עד שתחובר אל זה תשוקה לעניין ההוא המצויר. ויתחייב גם כן מזה שיהיה לגלגל תשוקה למה שציירהו, והוא הדבר האהוב, והוא האלוה יתעלה שמו. ובאלו הפנים אמר שיניע האלוה הגלגל; רצוני לומר, בהיות הגלגל כוסף להדמות במה שהשיג, והוא העניין ההוא המצויר, אשר הוא בתכלית הפשיטות, ואין שינוי בו כלל ולא התחדשות עניין, והטוב ממנו שופע תמיד. ואי אפשר כן לגלגל, מאשר הוא גשם, אלא אם תהיה פעולתו תנועת סיבוב, לא דבר אחר </w:t>
      </w:r>
      <w:r>
        <w:rPr>
          <w:rtl/>
        </w:rPr>
        <w:t>-</w:t>
      </w:r>
      <w:r w:rsidRPr="00001963">
        <w:rPr>
          <w:rtl/>
        </w:rPr>
        <w:t xml:space="preserve"> כי זה תכלית מה שאפשר בגשם שתתמיד פעולתו עליו, והיא הפשוטה שבתנועות ההוות בגוף, ולא יהיה בעצמו שינוי ולא בשפע מה שיתחייב מתנועתו מן הטובות.</w:t>
      </w:r>
      <w:r w:rsidR="00F055C8">
        <w:rPr>
          <w:rtl/>
        </w:rPr>
        <w:t>"</w:t>
      </w:r>
    </w:p>
    <w:p w14:paraId="571ADF8D" w14:textId="3D9F8527" w:rsidR="00BC5A04" w:rsidRDefault="00BC5A04">
      <w:pPr>
        <w:pStyle w:val="FootnoteText"/>
        <w:rPr>
          <w:rtl/>
        </w:rPr>
      </w:pPr>
      <w:r>
        <w:rPr>
          <w:rFonts w:hint="cs"/>
          <w:rtl/>
        </w:rPr>
        <w:t>הגלגל נע בתנועה סיבובית כי זו הדרך שבה הוא יכול להידמות לבוראו. יש שאלה שעסקו בה אבן רושד ואחרים, למה התשוקה אל הבורא גורמת לתנועה, למה אי אפשר להשתוקק במנוחה. התשובה של הרמב</w:t>
      </w:r>
      <w:r w:rsidR="00F055C8">
        <w:rPr>
          <w:rtl/>
        </w:rPr>
        <w:t>"</w:t>
      </w:r>
      <w:r>
        <w:rPr>
          <w:rFonts w:hint="cs"/>
          <w:rtl/>
        </w:rPr>
        <w:t xml:space="preserve">ם כאן היא שהתשוקה של הגלגל לבוראו גורמת לו לרצות להידמות לבוראו, כי דמיון הצורה הוא התאחדות ודבקות, והדמיון הגדול ביותר שייתכן לגוף חומרי להיות דומה בו </w:t>
      </w:r>
      <w:r w:rsidR="00B16221">
        <w:rPr>
          <w:rFonts w:hint="cs"/>
          <w:rtl/>
        </w:rPr>
        <w:t>אל</w:t>
      </w:r>
      <w:r>
        <w:rPr>
          <w:rFonts w:hint="cs"/>
          <w:rtl/>
        </w:rPr>
        <w:t xml:space="preserve"> הבורא</w:t>
      </w:r>
      <w:r w:rsidR="00B16221">
        <w:rPr>
          <w:rFonts w:hint="cs"/>
          <w:rtl/>
        </w:rPr>
        <w:t xml:space="preserve"> המופשט</w:t>
      </w:r>
      <w:r>
        <w:rPr>
          <w:rFonts w:hint="cs"/>
          <w:rtl/>
        </w:rPr>
        <w:t xml:space="preserve"> הוא התנועה הסיבובית, שהיא הדבר החומרי שמשתק</w:t>
      </w:r>
      <w:r w:rsidR="00B16221">
        <w:rPr>
          <w:rFonts w:hint="cs"/>
          <w:rtl/>
        </w:rPr>
        <w:t>פת</w:t>
      </w:r>
      <w:r>
        <w:rPr>
          <w:rFonts w:hint="cs"/>
          <w:rtl/>
        </w:rPr>
        <w:t xml:space="preserve"> בו </w:t>
      </w:r>
      <w:r w:rsidR="00B16221">
        <w:rPr>
          <w:rFonts w:hint="cs"/>
          <w:rtl/>
        </w:rPr>
        <w:t xml:space="preserve">אחדות ונצחיות </w:t>
      </w:r>
      <w:r>
        <w:rPr>
          <w:rFonts w:hint="cs"/>
          <w:rtl/>
        </w:rPr>
        <w:t>הבורא יותר מ</w:t>
      </w:r>
      <w:r w:rsidR="00B16221">
        <w:rPr>
          <w:rFonts w:hint="cs"/>
          <w:rtl/>
        </w:rPr>
        <w:t>ב</w:t>
      </w:r>
      <w:r>
        <w:rPr>
          <w:rFonts w:hint="cs"/>
          <w:rtl/>
        </w:rPr>
        <w:t xml:space="preserve">כל דבר טבעי אחר. </w:t>
      </w:r>
    </w:p>
    <w:p w14:paraId="782BD315" w14:textId="77777777" w:rsidR="00B16221" w:rsidRDefault="00B16221">
      <w:pPr>
        <w:pStyle w:val="FootnoteText"/>
        <w:rPr>
          <w:rtl/>
        </w:rPr>
      </w:pPr>
    </w:p>
    <w:p w14:paraId="26D09D01" w14:textId="198ED715" w:rsidR="00B16221" w:rsidRDefault="00B16221">
      <w:pPr>
        <w:pStyle w:val="FootnoteText"/>
        <w:rPr>
          <w:rtl/>
        </w:rPr>
      </w:pPr>
      <w:r>
        <w:rPr>
          <w:rFonts w:hint="cs"/>
          <w:rtl/>
        </w:rPr>
        <w:t>במורה נבוכים ב' י</w:t>
      </w:r>
      <w:r w:rsidR="00F055C8">
        <w:rPr>
          <w:rtl/>
        </w:rPr>
        <w:t>"</w:t>
      </w:r>
      <w:r>
        <w:rPr>
          <w:rFonts w:hint="cs"/>
          <w:rtl/>
        </w:rPr>
        <w:t>ד כתב:</w:t>
      </w:r>
    </w:p>
    <w:p w14:paraId="2FFE9FB4" w14:textId="3432D013" w:rsidR="00B16221" w:rsidRDefault="00F055C8">
      <w:pPr>
        <w:pStyle w:val="FootnoteText"/>
        <w:rPr>
          <w:rtl/>
        </w:rPr>
      </w:pPr>
      <w:r>
        <w:rPr>
          <w:rtl/>
        </w:rPr>
        <w:t>"</w:t>
      </w:r>
      <w:r w:rsidR="00B16221" w:rsidRPr="00B16221">
        <w:rPr>
          <w:rtl/>
        </w:rPr>
        <w:t>כי חומר הגלגל בכללו אין בו דבר מן ההיפוך כי התנועה הסיבובית אין הפך לה כמו שהתבאר במופת</w:t>
      </w:r>
      <w:r>
        <w:rPr>
          <w:rtl/>
        </w:rPr>
        <w:t>"</w:t>
      </w:r>
    </w:p>
    <w:p w14:paraId="32533663" w14:textId="3EE664B8" w:rsidR="00B717CE" w:rsidRDefault="00B16221" w:rsidP="009E65A6">
      <w:pPr>
        <w:pStyle w:val="FootnoteText"/>
        <w:rPr>
          <w:rtl/>
        </w:rPr>
      </w:pPr>
      <w:r>
        <w:rPr>
          <w:rFonts w:hint="cs"/>
          <w:rtl/>
        </w:rPr>
        <w:t>הוא מדבר על החומר, ואחר כך על התנועה, כאילו החומר והתנועה הם דבר אחד. והרי התנועה היא הצורה של החומר. זו כוונת אבן סינא כאן, שהצורה של התנועה במעגל מתייחסת לחומר של הגלגל לא כמו כל צורה שמתייחסת לחומר כמשהו שמעוצב מכח הצורה ומקבל אותה בקביעות על ידי שהוא משנה את עצמו לפי הצורה. אלא כמו שהצורה של התנועה הסיבובית אין לה ניגוד, כך גם החומר של הגלגל אין לו ניגוד, כי הוא רק מרחקים של חלל ריק, כלומר צורת התלת ממדיות שנדונה מקודם.</w:t>
      </w:r>
      <w:r w:rsidR="009E65A6">
        <w:rPr>
          <w:rFonts w:hint="cs"/>
          <w:rtl/>
        </w:rPr>
        <w:t xml:space="preserve"> החומר של הגלגל, החומר החמישי, הוא התלת ממדיות כשלעצמה, המופשטת, החלל התלת ממדי הריק האין סופי. </w:t>
      </w:r>
      <w:r w:rsidR="00E0238E">
        <w:rPr>
          <w:rFonts w:hint="cs"/>
          <w:rtl/>
        </w:rPr>
        <w:t xml:space="preserve">הצורה של הגלגל היא התנועה הסיבובית, כי בה הוא מידמה לבוראו כמו שכתב במורה נבוכים ב' ד', התנועה מחייבת תלת ממדיות שבה היא תנוע, התלת ממדיות אינה עניין נפרד מהתנועה עצמה או מתנגד לה. לכן החומר החמישי שהוא התלת ממדיות אינו מתנגד לצורה שלו שהיא התנועה, אלא מטבע הצורה הזו שמונחת בה מציאות החומר שלה כאחד איתה, מצידה היא ממציאה את החומר שלה, כי תנועה מחייבת מציאות של תלת ממדיות, ואין כאן התנגדות של החומר מול קבלת הצורה. אם הייתה תלת ממדיות מצד עצמה בלי תנועה, שזה החומר מצד עצמו, אז אפשר שהוא היה מתנגד לקבל צורה של תנועה בו. </w:t>
      </w:r>
      <w:r w:rsidR="009E65A6">
        <w:rPr>
          <w:rFonts w:hint="cs"/>
          <w:rtl/>
        </w:rPr>
        <w:t xml:space="preserve"> </w:t>
      </w:r>
    </w:p>
    <w:p w14:paraId="5EDE80CC" w14:textId="77777777" w:rsidR="009E65A6" w:rsidRDefault="009E65A6" w:rsidP="009E65A6">
      <w:pPr>
        <w:pStyle w:val="FootnoteText"/>
        <w:rPr>
          <w:rtl/>
        </w:rPr>
      </w:pPr>
    </w:p>
    <w:p w14:paraId="4B9137F9" w14:textId="26603B4B" w:rsidR="00785790" w:rsidRDefault="00785790" w:rsidP="00E70545">
      <w:pPr>
        <w:pStyle w:val="FootnoteText"/>
        <w:rPr>
          <w:rtl/>
        </w:rPr>
      </w:pPr>
      <w:r>
        <w:rPr>
          <w:rFonts w:hint="cs"/>
          <w:rtl/>
        </w:rPr>
        <w:t>רק אוסיף עוד שבהקדמות של המורה נבוכים חלק ב', הקדמה שלוש עשרה כתב:</w:t>
      </w:r>
    </w:p>
    <w:p w14:paraId="65D139EC" w14:textId="01A89477" w:rsidR="00785790" w:rsidRPr="00785790" w:rsidRDefault="00F055C8" w:rsidP="00785790">
      <w:pPr>
        <w:rPr>
          <w:b w:val="0"/>
          <w:bCs w:val="0"/>
          <w:sz w:val="26"/>
          <w:szCs w:val="26"/>
        </w:rPr>
      </w:pPr>
      <w:r>
        <w:rPr>
          <w:rtl/>
        </w:rPr>
        <w:t>"</w:t>
      </w:r>
      <w:r w:rsidR="00785790" w:rsidRPr="00785790">
        <w:rPr>
          <w:b w:val="0"/>
          <w:bCs w:val="0"/>
          <w:sz w:val="26"/>
          <w:szCs w:val="26"/>
          <w:rtl/>
        </w:rPr>
        <w:t>השלש עשרה היא שאי אפשר שיהיה דבר ממיני השינוי מדובק</w:t>
      </w:r>
      <w:r w:rsidR="00785790">
        <w:rPr>
          <w:rFonts w:hint="cs"/>
          <w:b w:val="0"/>
          <w:bCs w:val="0"/>
          <w:sz w:val="26"/>
          <w:szCs w:val="26"/>
          <w:rtl/>
        </w:rPr>
        <w:t xml:space="preserve"> [כלומר רצוף]</w:t>
      </w:r>
      <w:r w:rsidR="00785790" w:rsidRPr="00785790">
        <w:rPr>
          <w:b w:val="0"/>
          <w:bCs w:val="0"/>
          <w:sz w:val="26"/>
          <w:szCs w:val="26"/>
          <w:rtl/>
        </w:rPr>
        <w:t>, כי אם תנועת ההעתק בלבד, והסבובית ממנה</w:t>
      </w:r>
      <w:r w:rsidR="00785790">
        <w:rPr>
          <w:rFonts w:hint="cs"/>
          <w:b w:val="0"/>
          <w:bCs w:val="0"/>
          <w:sz w:val="26"/>
          <w:szCs w:val="26"/>
          <w:rtl/>
        </w:rPr>
        <w:t xml:space="preserve"> [כל תנועה של שינוי מקום שאינה סיבובית, כשהיא משנה את הכיוון שלה היא נפסקת ומתחילה מחדש, למרות שאין הפוגה בתנועה. כל תנועת שינוי מגיעה לתכליתה ושם נפסקת ומתחיל שינוי חדש. רק התנועה המקומית הסיבובית רצופה בלי הפסק</w:t>
      </w:r>
      <w:r w:rsidR="00785790" w:rsidRPr="00785790">
        <w:rPr>
          <w:rFonts w:hint="cs"/>
          <w:b w:val="0"/>
          <w:bCs w:val="0"/>
          <w:sz w:val="26"/>
          <w:szCs w:val="26"/>
          <w:rtl/>
        </w:rPr>
        <w:t>].</w:t>
      </w:r>
      <w:r>
        <w:rPr>
          <w:b w:val="0"/>
          <w:bCs w:val="0"/>
          <w:sz w:val="26"/>
          <w:szCs w:val="26"/>
          <w:rtl/>
        </w:rPr>
        <w:t>"</w:t>
      </w:r>
      <w:r w:rsidR="00785790" w:rsidRPr="00785790">
        <w:rPr>
          <w:rFonts w:hint="cs"/>
          <w:b w:val="0"/>
          <w:bCs w:val="0"/>
          <w:sz w:val="26"/>
          <w:szCs w:val="26"/>
          <w:rtl/>
        </w:rPr>
        <w:t xml:space="preserve"> עיין המקור לזה בפיזיקה ספר ה' פרק ד'</w:t>
      </w:r>
      <w:r w:rsidR="00D87FCC">
        <w:rPr>
          <w:rFonts w:hint="cs"/>
          <w:b w:val="0"/>
          <w:bCs w:val="0"/>
          <w:sz w:val="26"/>
          <w:szCs w:val="26"/>
          <w:rtl/>
        </w:rPr>
        <w:t xml:space="preserve"> </w:t>
      </w:r>
      <w:r w:rsidR="00647A73">
        <w:rPr>
          <w:rFonts w:hint="cs"/>
          <w:b w:val="0"/>
          <w:bCs w:val="0"/>
          <w:sz w:val="26"/>
          <w:szCs w:val="26"/>
          <w:rtl/>
        </w:rPr>
        <w:t>(ועיין גם במורה נבוכים א' ע</w:t>
      </w:r>
      <w:r>
        <w:rPr>
          <w:b w:val="0"/>
          <w:bCs w:val="0"/>
          <w:sz w:val="26"/>
          <w:szCs w:val="26"/>
          <w:rtl/>
        </w:rPr>
        <w:t>"</w:t>
      </w:r>
      <w:r w:rsidR="00647A73">
        <w:rPr>
          <w:rFonts w:hint="cs"/>
          <w:b w:val="0"/>
          <w:bCs w:val="0"/>
          <w:sz w:val="26"/>
          <w:szCs w:val="26"/>
          <w:rtl/>
        </w:rPr>
        <w:t>ד הדרך הרביעי)</w:t>
      </w:r>
      <w:r w:rsidR="00D87FCC">
        <w:rPr>
          <w:rFonts w:hint="cs"/>
          <w:b w:val="0"/>
          <w:bCs w:val="0"/>
          <w:sz w:val="26"/>
          <w:szCs w:val="26"/>
          <w:rtl/>
        </w:rPr>
        <w:t>.</w:t>
      </w:r>
    </w:p>
  </w:footnote>
  <w:footnote w:id="300">
    <w:p w14:paraId="660F97D2" w14:textId="386F4136" w:rsidR="00741CA8" w:rsidRDefault="00741CA8">
      <w:pPr>
        <w:pStyle w:val="FootnoteText"/>
      </w:pPr>
      <w:r>
        <w:rPr>
          <w:rStyle w:val="FootnoteReference"/>
        </w:rPr>
        <w:footnoteRef/>
      </w:r>
      <w:r>
        <w:rPr>
          <w:rtl/>
        </w:rPr>
        <w:t xml:space="preserve"> </w:t>
      </w:r>
      <w:r w:rsidR="00D94CC8">
        <w:rPr>
          <w:rFonts w:hint="cs"/>
          <w:rtl/>
        </w:rPr>
        <w:t>במ</w:t>
      </w:r>
      <w:r w:rsidR="00D94CC8" w:rsidRPr="00D94CC8">
        <w:rPr>
          <w:rtl/>
        </w:rPr>
        <w:t xml:space="preserve">קור </w:t>
      </w:r>
      <w:r w:rsidR="00D94CC8" w:rsidRPr="00D94CC8">
        <w:rPr>
          <w:rFonts w:ascii="Arial" w:hAnsi="Arial" w:cs="Arial" w:hint="cs"/>
          <w:rtl/>
          <w:lang w:bidi="ar-SA"/>
        </w:rPr>
        <w:t>لمادتها</w:t>
      </w:r>
      <w:r w:rsidR="00D94CC8" w:rsidRPr="00D94CC8">
        <w:rPr>
          <w:rtl/>
        </w:rPr>
        <w:t>. זו המילה לכל חומר</w:t>
      </w:r>
      <w:r w:rsidR="00D94CC8">
        <w:rPr>
          <w:rFonts w:hint="cs"/>
          <w:rtl/>
        </w:rPr>
        <w:t>,</w:t>
      </w:r>
      <w:r w:rsidR="00D94CC8" w:rsidRPr="00D94CC8">
        <w:rPr>
          <w:rtl/>
        </w:rPr>
        <w:t xml:space="preserve"> לא דווקא להיולי.</w:t>
      </w:r>
      <w:r w:rsidR="00D94CC8" w:rsidRPr="004118C5">
        <w:rPr>
          <w:rtl/>
        </w:rPr>
        <w:t xml:space="preserve"> </w:t>
      </w:r>
      <w:r w:rsidR="004118C5" w:rsidRPr="004118C5">
        <w:rPr>
          <w:rtl/>
        </w:rPr>
        <w:t xml:space="preserve">וכן </w:t>
      </w:r>
      <w:r w:rsidR="004118C5">
        <w:rPr>
          <w:rFonts w:hint="cs"/>
          <w:rtl/>
        </w:rPr>
        <w:t>ב</w:t>
      </w:r>
      <w:r w:rsidR="004118C5" w:rsidRPr="004118C5">
        <w:rPr>
          <w:rtl/>
        </w:rPr>
        <w:t>מיל</w:t>
      </w:r>
      <w:r w:rsidR="004118C5">
        <w:rPr>
          <w:rFonts w:hint="cs"/>
          <w:rtl/>
        </w:rPr>
        <w:t>ה</w:t>
      </w:r>
      <w:r w:rsidR="004118C5" w:rsidRPr="004118C5">
        <w:rPr>
          <w:rtl/>
        </w:rPr>
        <w:t xml:space="preserve"> </w:t>
      </w:r>
      <w:r w:rsidR="00F055C8">
        <w:rPr>
          <w:rtl/>
        </w:rPr>
        <w:t>"</w:t>
      </w:r>
      <w:r w:rsidR="004118C5" w:rsidRPr="004118C5">
        <w:rPr>
          <w:rtl/>
        </w:rPr>
        <w:t>חומר</w:t>
      </w:r>
      <w:r w:rsidR="00F055C8">
        <w:rPr>
          <w:rtl/>
        </w:rPr>
        <w:t>"</w:t>
      </w:r>
      <w:r w:rsidR="004118C5" w:rsidRPr="004118C5">
        <w:rPr>
          <w:rtl/>
        </w:rPr>
        <w:t xml:space="preserve"> שבאה מייד בסמוך. </w:t>
      </w:r>
    </w:p>
  </w:footnote>
  <w:footnote w:id="301">
    <w:p w14:paraId="6ECD69E0" w14:textId="6A98882E" w:rsidR="003466F7" w:rsidRDefault="003466F7">
      <w:pPr>
        <w:pStyle w:val="FootnoteText"/>
      </w:pPr>
      <w:r>
        <w:rPr>
          <w:rStyle w:val="FootnoteReference"/>
        </w:rPr>
        <w:footnoteRef/>
      </w:r>
      <w:r>
        <w:rPr>
          <w:rtl/>
        </w:rPr>
        <w:t xml:space="preserve"> </w:t>
      </w:r>
      <w:r w:rsidR="009E65A6">
        <w:rPr>
          <w:rFonts w:hint="cs"/>
          <w:rtl/>
        </w:rPr>
        <w:t>ארבע</w:t>
      </w:r>
      <w:r>
        <w:rPr>
          <w:rFonts w:hint="cs"/>
          <w:rtl/>
        </w:rPr>
        <w:t>ת המילים האלה, הענות</w:t>
      </w:r>
      <w:r w:rsidR="009E65A6">
        <w:rPr>
          <w:rFonts w:hint="cs"/>
          <w:rtl/>
        </w:rPr>
        <w:t xml:space="preserve"> סבילות</w:t>
      </w:r>
      <w:r w:rsidRPr="003466F7">
        <w:rPr>
          <w:rtl/>
        </w:rPr>
        <w:t xml:space="preserve"> גמישות והתאמה כתבתי כתרגום למילה </w:t>
      </w:r>
      <w:r w:rsidRPr="003466F7">
        <w:rPr>
          <w:rFonts w:ascii="Arial" w:hAnsi="Arial" w:cs="Arial" w:hint="cs"/>
          <w:rtl/>
          <w:lang w:bidi="ar-SA"/>
        </w:rPr>
        <w:t>المطاوعة</w:t>
      </w:r>
      <w:r w:rsidRPr="003466F7">
        <w:rPr>
          <w:rtl/>
        </w:rPr>
        <w:t xml:space="preserve"> שמופיעה במקור ויש בה את המשמעויות האלה. </w:t>
      </w:r>
    </w:p>
  </w:footnote>
  <w:footnote w:id="302">
    <w:p w14:paraId="58E3D2BA" w14:textId="7D888B9F" w:rsidR="00FE007D" w:rsidRDefault="00FE007D">
      <w:pPr>
        <w:pStyle w:val="FootnoteText"/>
      </w:pPr>
      <w:r>
        <w:rPr>
          <w:rStyle w:val="FootnoteReference"/>
        </w:rPr>
        <w:footnoteRef/>
      </w:r>
      <w:r>
        <w:rPr>
          <w:rtl/>
        </w:rPr>
        <w:t xml:space="preserve"> </w:t>
      </w:r>
      <w:r>
        <w:rPr>
          <w:rFonts w:hint="cs"/>
          <w:rtl/>
        </w:rPr>
        <w:t xml:space="preserve">את הפסקה הזו תרגמתי מהמקור באופן שונה לגמרי מההבנה של מקגיניס. </w:t>
      </w:r>
    </w:p>
  </w:footnote>
  <w:footnote w:id="303">
    <w:p w14:paraId="3EFE50C3" w14:textId="7E1378F7" w:rsidR="008372F9" w:rsidRDefault="008372F9">
      <w:pPr>
        <w:pStyle w:val="FootnoteText"/>
      </w:pPr>
      <w:r>
        <w:rPr>
          <w:rStyle w:val="FootnoteReference"/>
        </w:rPr>
        <w:footnoteRef/>
      </w:r>
      <w:r>
        <w:rPr>
          <w:rtl/>
        </w:rPr>
        <w:t xml:space="preserve"> </w:t>
      </w:r>
      <w:r w:rsidR="00622D66">
        <w:rPr>
          <w:rFonts w:hint="cs"/>
          <w:rtl/>
        </w:rPr>
        <w:t>מקגיניס כתב ש</w:t>
      </w:r>
      <w:r>
        <w:rPr>
          <w:rFonts w:hint="cs"/>
          <w:rtl/>
        </w:rPr>
        <w:t xml:space="preserve">לא ברור </w:t>
      </w:r>
      <w:r w:rsidR="00622D66">
        <w:rPr>
          <w:rFonts w:hint="cs"/>
          <w:rtl/>
        </w:rPr>
        <w:t>ל</w:t>
      </w:r>
      <w:r>
        <w:rPr>
          <w:rFonts w:hint="cs"/>
          <w:rtl/>
        </w:rPr>
        <w:t>היכן</w:t>
      </w:r>
      <w:r w:rsidR="00622D66">
        <w:rPr>
          <w:rFonts w:hint="cs"/>
          <w:rtl/>
        </w:rPr>
        <w:t xml:space="preserve"> כוונתו של אבן סינא. לדעתי אין מקום כזה ואבן סינא רק מסווה את העניין כי הוא סוד, ועל דרך זו גם כותבים אפלטון אריסטו והרמב</w:t>
      </w:r>
      <w:r w:rsidR="00F055C8">
        <w:rPr>
          <w:rtl/>
        </w:rPr>
        <w:t>"</w:t>
      </w:r>
      <w:r w:rsidR="00622D66">
        <w:rPr>
          <w:rFonts w:hint="cs"/>
          <w:rtl/>
        </w:rPr>
        <w:t>ם</w:t>
      </w:r>
      <w:r>
        <w:rPr>
          <w:rFonts w:hint="cs"/>
          <w:rtl/>
        </w:rPr>
        <w:t>.</w:t>
      </w:r>
    </w:p>
  </w:footnote>
  <w:footnote w:id="304">
    <w:p w14:paraId="29435E4A" w14:textId="04D0A1CD" w:rsidR="00E85E8A" w:rsidRDefault="00E85E8A">
      <w:pPr>
        <w:pStyle w:val="FootnoteText"/>
      </w:pPr>
      <w:r>
        <w:rPr>
          <w:rStyle w:val="FootnoteReference"/>
        </w:rPr>
        <w:footnoteRef/>
      </w:r>
      <w:r>
        <w:rPr>
          <w:rtl/>
        </w:rPr>
        <w:t xml:space="preserve"> </w:t>
      </w:r>
      <w:r>
        <w:rPr>
          <w:rFonts w:hint="cs"/>
          <w:rtl/>
        </w:rPr>
        <w:t>ההיולי הראשון האחד שמשותף לשמיים ולארץ.</w:t>
      </w:r>
    </w:p>
  </w:footnote>
  <w:footnote w:id="305">
    <w:p w14:paraId="2141C8EC" w14:textId="03616794" w:rsidR="00E85E8A" w:rsidRDefault="00E85E8A">
      <w:pPr>
        <w:pStyle w:val="FootnoteText"/>
      </w:pPr>
      <w:r>
        <w:rPr>
          <w:rStyle w:val="FootnoteReference"/>
        </w:rPr>
        <w:footnoteRef/>
      </w:r>
      <w:r>
        <w:rPr>
          <w:rtl/>
        </w:rPr>
        <w:t xml:space="preserve"> </w:t>
      </w:r>
      <w:r w:rsidR="003B2AF9">
        <w:rPr>
          <w:rFonts w:hint="cs"/>
          <w:rtl/>
        </w:rPr>
        <w:t xml:space="preserve">אם מדובר </w:t>
      </w:r>
      <w:r>
        <w:rPr>
          <w:rFonts w:hint="cs"/>
          <w:rtl/>
        </w:rPr>
        <w:t xml:space="preserve">במדרגה שבה יש שני היוליים, האחד לשמיים והשני לארץ, </w:t>
      </w:r>
      <w:r w:rsidR="003B2AF9">
        <w:rPr>
          <w:rFonts w:hint="cs"/>
          <w:rtl/>
        </w:rPr>
        <w:t>נתייחס</w:t>
      </w:r>
      <w:r>
        <w:rPr>
          <w:rFonts w:hint="cs"/>
          <w:rtl/>
        </w:rPr>
        <w:t xml:space="preserve"> כאן רק להיולי של הארץ שממנו ארבעת היסודות שמהם הורכבו הגופים הנפסדים (בניגוד לגופים השמיימיים שהם נצחיים, וכמו שהתבאר כל זה לעיל ב</w:t>
      </w:r>
      <w:r w:rsidR="005F5831">
        <w:rPr>
          <w:rFonts w:hint="cs"/>
          <w:rtl/>
        </w:rPr>
        <w:t xml:space="preserve">שני מקומות </w:t>
      </w:r>
      <w:r w:rsidR="001644A5">
        <w:rPr>
          <w:rFonts w:hint="cs"/>
          <w:rtl/>
        </w:rPr>
        <w:t xml:space="preserve">שהם שני מאמרים שכותרתם: </w:t>
      </w:r>
      <w:r w:rsidR="00F055C8">
        <w:rPr>
          <w:rtl/>
        </w:rPr>
        <w:t>"</w:t>
      </w:r>
      <w:r w:rsidR="001644A5" w:rsidRPr="001644A5">
        <w:rPr>
          <w:rtl/>
        </w:rPr>
        <w:t>החומר הראשון של הגופים הארציים והיסוד החמישי הוא החומר הראשון השמיימי</w:t>
      </w:r>
      <w:r w:rsidR="00F055C8">
        <w:rPr>
          <w:rtl/>
        </w:rPr>
        <w:t>"</w:t>
      </w:r>
      <w:r w:rsidR="001644A5">
        <w:rPr>
          <w:rFonts w:hint="cs"/>
          <w:rtl/>
        </w:rPr>
        <w:t xml:space="preserve">. </w:t>
      </w:r>
      <w:r w:rsidR="005F5831">
        <w:rPr>
          <w:rFonts w:hint="cs"/>
          <w:rtl/>
        </w:rPr>
        <w:t>עיין באינדקס</w:t>
      </w:r>
      <w:r w:rsidR="001644A5">
        <w:rPr>
          <w:rFonts w:hint="cs"/>
          <w:rtl/>
        </w:rPr>
        <w:t xml:space="preserve"> היכן הם</w:t>
      </w:r>
      <w:r>
        <w:rPr>
          <w:rFonts w:hint="cs"/>
          <w:rtl/>
        </w:rPr>
        <w:t xml:space="preserve">). </w:t>
      </w:r>
    </w:p>
  </w:footnote>
  <w:footnote w:id="306">
    <w:p w14:paraId="6305F1D6" w14:textId="616CCAFB" w:rsidR="00EA3515" w:rsidRDefault="00A40B18">
      <w:pPr>
        <w:pStyle w:val="FootnoteText"/>
        <w:rPr>
          <w:rtl/>
        </w:rPr>
      </w:pPr>
      <w:r>
        <w:rPr>
          <w:rStyle w:val="FootnoteReference"/>
        </w:rPr>
        <w:footnoteRef/>
      </w:r>
      <w:r>
        <w:rPr>
          <w:rtl/>
        </w:rPr>
        <w:t xml:space="preserve"> </w:t>
      </w:r>
      <w:r>
        <w:rPr>
          <w:rFonts w:hint="cs"/>
          <w:rtl/>
        </w:rPr>
        <w:t xml:space="preserve">במקור </w:t>
      </w:r>
      <w:r w:rsidR="0002542B" w:rsidRPr="0002542B">
        <w:rPr>
          <w:rFonts w:cs="Times New Roman" w:hint="eastAsia"/>
          <w:rtl/>
          <w:lang w:bidi="ar-SA"/>
        </w:rPr>
        <w:t>إبداع</w:t>
      </w:r>
      <w:r>
        <w:rPr>
          <w:rFonts w:hint="cs"/>
          <w:rtl/>
        </w:rPr>
        <w:t xml:space="preserve"> (</w:t>
      </w:r>
      <w:r>
        <w:rPr>
          <w:rFonts w:hint="cs"/>
          <w:rtl/>
        </w:rPr>
        <w:t xml:space="preserve">איבדע), </w:t>
      </w:r>
      <w:r w:rsidR="0002542B">
        <w:rPr>
          <w:rFonts w:hint="cs"/>
          <w:rtl/>
        </w:rPr>
        <w:t>הכוונה לבריאה הראשונה שהיא יש מאין, שבה נברא ההיולי הראשון, ולא קדם לה מאומה, לכן היא נקראת לא זמנית (עיין ברמב</w:t>
      </w:r>
      <w:r w:rsidR="00F055C8">
        <w:rPr>
          <w:rtl/>
        </w:rPr>
        <w:t>"</w:t>
      </w:r>
      <w:r w:rsidR="0002542B">
        <w:rPr>
          <w:rFonts w:hint="cs"/>
          <w:rtl/>
        </w:rPr>
        <w:t>ן על בראשית א' א' שרק על זה נופל לשון בריאה, ועל מה שיצא לפועל אחר כך מההיולי נופל לשון יצירה ועשייה). כלומר היא לא התממשות של אפשרות שהיתה בכח, כי מה שיציאה לפועל דורשת שתהיה מקודם אפשרות ליציאה הזו, זה</w:t>
      </w:r>
      <w:r w:rsidR="00EA3515">
        <w:rPr>
          <w:rFonts w:hint="cs"/>
          <w:rtl/>
        </w:rPr>
        <w:t xml:space="preserve"> </w:t>
      </w:r>
      <w:r w:rsidR="0002542B">
        <w:rPr>
          <w:rFonts w:hint="cs"/>
          <w:rtl/>
        </w:rPr>
        <w:t xml:space="preserve">מגזרת השכל, והבריאה הראשונה היא בריאת </w:t>
      </w:r>
      <w:r w:rsidR="00EA3515">
        <w:rPr>
          <w:rFonts w:hint="cs"/>
          <w:rtl/>
        </w:rPr>
        <w:t xml:space="preserve">של </w:t>
      </w:r>
      <w:r w:rsidR="0002542B">
        <w:rPr>
          <w:rFonts w:hint="cs"/>
          <w:rtl/>
        </w:rPr>
        <w:t xml:space="preserve">השכל, והיא נובעת מהאין סוף שהוא מעל השכל, ואין שום הבנה איך ממנו יצאה הבריאה, ואין קשר סיבתי או אחר שנאמר שמקודם היה הבורא ורק אחר כך נבראה ממנו הבריאה, כי לפני ואחרי, גם כשהם מבחינת סדר </w:t>
      </w:r>
      <w:r w:rsidR="009C463A">
        <w:rPr>
          <w:rFonts w:hint="cs"/>
          <w:rtl/>
        </w:rPr>
        <w:t>ההוויה</w:t>
      </w:r>
      <w:r w:rsidR="0002542B">
        <w:rPr>
          <w:rFonts w:hint="cs"/>
          <w:rtl/>
        </w:rPr>
        <w:t xml:space="preserve"> ולא מבחינה זמנית, הם תקפים רק אחרי הבריאה ולא על הבריאה בעצמה. וכמו שכתב במורה נבוכים ב' י</w:t>
      </w:r>
      <w:r w:rsidR="00F055C8">
        <w:rPr>
          <w:rtl/>
        </w:rPr>
        <w:t>"</w:t>
      </w:r>
      <w:r w:rsidR="0002542B">
        <w:rPr>
          <w:rFonts w:hint="cs"/>
          <w:rtl/>
        </w:rPr>
        <w:t>ז.</w:t>
      </w:r>
    </w:p>
    <w:p w14:paraId="5BD9BE73" w14:textId="0970157D" w:rsidR="00A40B18" w:rsidRDefault="00761314" w:rsidP="00FF3B88">
      <w:pPr>
        <w:pStyle w:val="FootnoteText"/>
      </w:pPr>
      <w:r>
        <w:rPr>
          <w:rFonts w:hint="cs"/>
          <w:rtl/>
        </w:rPr>
        <w:t>מה שאנו אומרים שההיולי הארצי נברא בבריאה הראשונה, אין זו סתירה לכך שבבריאה הראשונה הכל נברא כאחד גמור, שמיים וארץ כאחד. כי בהיולי הארצי גנוז בו עצמו ההיולי השמיימי ואינם שני דברים נפרדים אלא שני אופני התגלות של אותו הדבר, כמו שהתבאר לעיל במאמרים על ההיולי הארצי והשמיימי. וכמו שהראיתי שברמב</w:t>
      </w:r>
      <w:r w:rsidR="00F055C8">
        <w:rPr>
          <w:rtl/>
        </w:rPr>
        <w:t>"</w:t>
      </w:r>
      <w:r>
        <w:rPr>
          <w:rFonts w:hint="cs"/>
          <w:rtl/>
        </w:rPr>
        <w:t xml:space="preserve">ן על בראשית א' א' מדבר פעם על ההיולי האחד הכולל שמיים וארץ, ופעם על שני היוליים, האחד ארצי והשני שמיימי, ונראה מלשונו שהוא לא מבחין, ומחליף ביניהם, כאילו מדובר באותו עניין עצמו. </w:t>
      </w:r>
    </w:p>
  </w:footnote>
  <w:footnote w:id="307">
    <w:p w14:paraId="3CA6E5AF" w14:textId="30401376" w:rsidR="00FF3B88" w:rsidRDefault="00FF3B88">
      <w:pPr>
        <w:pStyle w:val="FootnoteText"/>
      </w:pPr>
      <w:r>
        <w:rPr>
          <w:rStyle w:val="FootnoteReference"/>
        </w:rPr>
        <w:footnoteRef/>
      </w:r>
      <w:r>
        <w:rPr>
          <w:rtl/>
        </w:rPr>
        <w:t xml:space="preserve"> </w:t>
      </w:r>
      <w:r>
        <w:rPr>
          <w:rFonts w:hint="cs"/>
          <w:rtl/>
        </w:rPr>
        <w:t xml:space="preserve">להתהוות ממנו </w:t>
      </w:r>
      <w:r>
        <w:rPr>
          <w:rFonts w:hint="cs"/>
          <w:rtl/>
        </w:rPr>
        <w:t>ולהיפסד אליו.</w:t>
      </w:r>
    </w:p>
  </w:footnote>
  <w:footnote w:id="308">
    <w:p w14:paraId="232C1DB5" w14:textId="77777777" w:rsidR="00541BFB" w:rsidRDefault="00B36A56">
      <w:pPr>
        <w:pStyle w:val="FootnoteText"/>
        <w:rPr>
          <w:rtl/>
        </w:rPr>
      </w:pPr>
      <w:r>
        <w:rPr>
          <w:rStyle w:val="FootnoteReference"/>
        </w:rPr>
        <w:footnoteRef/>
      </w:r>
      <w:r>
        <w:rPr>
          <w:rtl/>
        </w:rPr>
        <w:t xml:space="preserve"> </w:t>
      </w:r>
      <w:r>
        <w:rPr>
          <w:rFonts w:hint="cs"/>
          <w:rtl/>
        </w:rPr>
        <w:t>שהתבארו לעיל 1.2.8</w:t>
      </w:r>
      <w:r w:rsidR="0052628A">
        <w:rPr>
          <w:rFonts w:hint="cs"/>
          <w:rtl/>
        </w:rPr>
        <w:t xml:space="preserve"> עד 1.2.11 ובהערות שם</w:t>
      </w:r>
      <w:r>
        <w:rPr>
          <w:rFonts w:hint="cs"/>
          <w:rtl/>
        </w:rPr>
        <w:t>.</w:t>
      </w:r>
      <w:r w:rsidR="00FF6676">
        <w:rPr>
          <w:rFonts w:hint="cs"/>
          <w:rtl/>
        </w:rPr>
        <w:t xml:space="preserve"> עד כאן הדיון היה על הנברא הראשון האחד מצד החומר שלו, ההיולי, שממילא נעשה משותף לכל הנבראים מכיוון שהם נובעים מאותו נברא ראשון אחד וכלולים בו. כעת השאלה היא לגבי הצורה של אותו נברא ראשון אחד. </w:t>
      </w:r>
    </w:p>
    <w:p w14:paraId="292F9C96" w14:textId="4B6946E4" w:rsidR="00B36A56" w:rsidRDefault="00541BFB">
      <w:pPr>
        <w:pStyle w:val="FootnoteText"/>
        <w:rPr>
          <w:rtl/>
        </w:rPr>
      </w:pPr>
      <w:r>
        <w:rPr>
          <w:rFonts w:hint="cs"/>
          <w:rtl/>
        </w:rPr>
        <w:t xml:space="preserve">להיולי אין צורה, החיים שלו, מה שמעליו, הסיבה למציאותו, הוא הבורא בעצמו. </w:t>
      </w:r>
      <w:r w:rsidR="00FF6676">
        <w:rPr>
          <w:rFonts w:hint="cs"/>
          <w:rtl/>
        </w:rPr>
        <w:t xml:space="preserve"> </w:t>
      </w:r>
    </w:p>
    <w:p w14:paraId="20D17332" w14:textId="737DA87D" w:rsidR="00902382" w:rsidRDefault="00902382">
      <w:pPr>
        <w:pStyle w:val="FootnoteText"/>
        <w:rPr>
          <w:rtl/>
        </w:rPr>
      </w:pPr>
      <w:r>
        <w:rPr>
          <w:rFonts w:hint="cs"/>
          <w:rtl/>
        </w:rPr>
        <w:t>וכן כתב במורה נבוכים ס</w:t>
      </w:r>
      <w:r w:rsidR="00F055C8">
        <w:rPr>
          <w:rtl/>
        </w:rPr>
        <w:t>"</w:t>
      </w:r>
      <w:r>
        <w:rPr>
          <w:rFonts w:hint="cs"/>
          <w:rtl/>
        </w:rPr>
        <w:t>ט א':</w:t>
      </w:r>
    </w:p>
    <w:p w14:paraId="3360CE5C" w14:textId="3CBC809F" w:rsidR="00902382" w:rsidRDefault="00F055C8">
      <w:pPr>
        <w:pStyle w:val="FootnoteText"/>
        <w:rPr>
          <w:rtl/>
        </w:rPr>
      </w:pPr>
      <w:r>
        <w:rPr>
          <w:rtl/>
        </w:rPr>
        <w:t>"</w:t>
      </w:r>
      <w:r w:rsidR="00902382" w:rsidRPr="00902382">
        <w:rPr>
          <w:rtl/>
        </w:rPr>
        <w:t xml:space="preserve">וכן הצורות הטבעיות </w:t>
      </w:r>
      <w:r w:rsidR="00902382" w:rsidRPr="00902382">
        <w:rPr>
          <w:rtl/>
        </w:rPr>
        <w:t>ההוות הנפסדות נמצאם כשנחפשם כולם שאי אפשר שלא תקדם להם צורה אחרת תכין החומר הזה לקבלת זו הצורה והצורה השנית ההיא תקדם לה גם כן אחרת עד שנגיע לצורה האחרונה אשר היא הכרחית במציאות אלו הצורות האמצעיות אשר האמצעיות ההם הם סיבת זאת הצורה הקרובה - והצורה האחרונה ההיא בכל המציאות הוא האלוה ית' ולא תחשוב שאמרנו בו - שהוא הצורה האחרונה לכל העולם הוא רמז לצורה האחרונה אשר יאמר אריסטו עליה בספר הנקרא מה שאחר הטבע שהיא בלתי הוה ולא נפסדת - כי הצורה ההיא הנזכרת שם טבעית לא שכל נפרד. כי אין אמרנו עליו ית' שהוא צורת העולם האחרונה על דמיון היות הצורה בעלת החומר צורה לחומר ההוא עד שיהיה הוא ית' צורה לגשם. לא על אלו הפנים נאמר! אבל כמו שכל נמצא בעל צורה אמנם הוא מה שהוא בצורתו וכשתפסד צורתו - תפסד הויתו ותבטל כן כמו זה היחס בעצמו יחס האלוה לכל התחלות המציאות הרחוקות; כי במציאות הבורא - הכל נמצא והוא מתמיד עמידתו בענין אשר יכונה ב'שפע' כמו שנבאר בקצת פרקי זה המאמר; ואילו היה אפשר העדר הבורא היה נעדר המציאות כולו ותבטל מהות הסיבות הרחוקות ממנו והמסובבות האחרונות ומה שביניהן. אם כן הוא לו כדמות הצורה לדבר אשר יש לו צורה אשר בה הוא מה שהוא ובצורה תתקים אמיתתו ומהותו - כן יחס האלוה לעולם. ובזה הצד נאמר בו שהוא הצורה האחרונה' ושהוא 'צורת הצורות' - כלומר שהוא אשר מציאות כל צורה בעולם וקיומה נסמך באחרונה אליו ובו קיומה כמו שהדברים בעלי הצורות מתקיימים בצורתם. ומפני זה הענין נקרא בלשוננו 'חי העולם' - ענינו שהוא חיי העולם כמו שיתבאר</w:t>
      </w:r>
      <w:r w:rsidR="00EE35ED">
        <w:rPr>
          <w:rFonts w:hint="cs"/>
          <w:rtl/>
        </w:rPr>
        <w:t>.</w:t>
      </w:r>
      <w:r>
        <w:rPr>
          <w:rtl/>
        </w:rPr>
        <w:t>"</w:t>
      </w:r>
    </w:p>
    <w:p w14:paraId="4DD02BB1" w14:textId="44976A7F" w:rsidR="00EE35ED" w:rsidRDefault="00EE35ED">
      <w:pPr>
        <w:pStyle w:val="FootnoteText"/>
      </w:pPr>
      <w:r>
        <w:rPr>
          <w:rFonts w:hint="cs"/>
          <w:rtl/>
        </w:rPr>
        <w:t xml:space="preserve">הבורא מאציל את העולם, האצלה היא מעל השכל ומעל הצורות שהן מה שהשכל רואה, והן גם הסדר של גזרת החכמה. מבחינה אחת זה דומה לצורה במה שהבורא הוא מקור ההוויה והחיים, כמו שהצורה היא מקור ההוויה והחיים של העצם הטבעי, אבל זה לא צורה כי זה מופשט לחלוטין. צורה פרטית מסויימת היא מקור </w:t>
      </w:r>
      <w:r w:rsidR="009C463A">
        <w:rPr>
          <w:rFonts w:hint="cs"/>
          <w:rtl/>
        </w:rPr>
        <w:t>ההוויה</w:t>
      </w:r>
      <w:r>
        <w:rPr>
          <w:rFonts w:hint="cs"/>
          <w:rtl/>
        </w:rPr>
        <w:t xml:space="preserve"> של עצם פרטי </w:t>
      </w:r>
      <w:r w:rsidR="009C463A">
        <w:rPr>
          <w:rFonts w:hint="cs"/>
          <w:rtl/>
        </w:rPr>
        <w:t>מסוים</w:t>
      </w:r>
      <w:r>
        <w:rPr>
          <w:rFonts w:hint="cs"/>
          <w:rtl/>
        </w:rPr>
        <w:t xml:space="preserve">. ההיולי הכולל האחד מקור הווייתו היא הבריאה העל זמנית הישירה מהבורא, והוא, למרות היותו חומר והעדר, הוא מקור </w:t>
      </w:r>
      <w:r w:rsidR="009C463A">
        <w:rPr>
          <w:rFonts w:hint="cs"/>
          <w:rtl/>
        </w:rPr>
        <w:t>ההוויה</w:t>
      </w:r>
      <w:r>
        <w:rPr>
          <w:rFonts w:hint="cs"/>
          <w:rtl/>
        </w:rPr>
        <w:t xml:space="preserve"> של כל הצורות הפרטיות. כמו שהגעגוע וההעדר הם מקור </w:t>
      </w:r>
      <w:r w:rsidR="009C463A">
        <w:rPr>
          <w:rFonts w:hint="cs"/>
          <w:rtl/>
        </w:rPr>
        <w:t>ההוויה</w:t>
      </w:r>
      <w:r>
        <w:rPr>
          <w:rFonts w:hint="cs"/>
          <w:rtl/>
        </w:rPr>
        <w:t xml:space="preserve"> של הילד שמצוייר בשיר.   </w:t>
      </w:r>
    </w:p>
  </w:footnote>
  <w:footnote w:id="309">
    <w:p w14:paraId="60185FAB" w14:textId="7CF55236" w:rsidR="0033648F" w:rsidRDefault="0033648F">
      <w:pPr>
        <w:pStyle w:val="FootnoteText"/>
      </w:pPr>
      <w:r>
        <w:rPr>
          <w:rStyle w:val="FootnoteReference"/>
        </w:rPr>
        <w:footnoteRef/>
      </w:r>
      <w:r>
        <w:rPr>
          <w:rtl/>
        </w:rPr>
        <w:t xml:space="preserve"> </w:t>
      </w:r>
      <w:r>
        <w:rPr>
          <w:rFonts w:hint="cs"/>
          <w:rtl/>
        </w:rPr>
        <w:t>עיין לעיל בהערה על הסעיף הקודם</w:t>
      </w:r>
      <w:r w:rsidR="00615846">
        <w:rPr>
          <w:rFonts w:hint="cs"/>
          <w:rtl/>
        </w:rPr>
        <w:t>, שם התבאר החילוק בין הבחינה של ההיולי הראשון המשותף לכל שהוא התוהו, שאין בו שום צורה כלל, גם לא צורת התלת ממדיות, ובין ההיולי כשהוא בבחינת 'בוהו' ששם יש שני היוליים, אחד שמיימי ואחד ארצי, ושם הוא צורת התלת מממדיות</w:t>
      </w:r>
      <w:r>
        <w:rPr>
          <w:rFonts w:hint="cs"/>
          <w:rtl/>
        </w:rPr>
        <w:t>.</w:t>
      </w:r>
    </w:p>
  </w:footnote>
  <w:footnote w:id="310">
    <w:p w14:paraId="389154D5" w14:textId="42914B08" w:rsidR="00826546" w:rsidRDefault="0080571C">
      <w:pPr>
        <w:pStyle w:val="FootnoteText"/>
        <w:rPr>
          <w:rtl/>
        </w:rPr>
      </w:pPr>
      <w:r>
        <w:rPr>
          <w:rStyle w:val="FootnoteReference"/>
        </w:rPr>
        <w:footnoteRef/>
      </w:r>
      <w:r>
        <w:rPr>
          <w:rtl/>
        </w:rPr>
        <w:t xml:space="preserve"> </w:t>
      </w:r>
      <w:r w:rsidR="00944FF7">
        <w:rPr>
          <w:rFonts w:hint="cs"/>
          <w:rtl/>
        </w:rPr>
        <w:t xml:space="preserve">במקור </w:t>
      </w:r>
      <w:r w:rsidR="00944FF7" w:rsidRPr="00944FF7">
        <w:rPr>
          <w:rFonts w:cs="Times New Roman" w:hint="eastAsia"/>
          <w:rtl/>
          <w:lang w:bidi="ar-SA"/>
        </w:rPr>
        <w:t>بعينها</w:t>
      </w:r>
      <w:r w:rsidR="00944FF7" w:rsidRPr="00944FF7">
        <w:rPr>
          <w:rtl/>
        </w:rPr>
        <w:t xml:space="preserve">. בעינה. </w:t>
      </w:r>
      <w:r w:rsidR="008C09BF">
        <w:rPr>
          <w:rFonts w:hint="cs"/>
          <w:rtl/>
        </w:rPr>
        <w:t>הכוונה כמו שהיא</w:t>
      </w:r>
      <w:r w:rsidR="00A935DB">
        <w:rPr>
          <w:rFonts w:hint="cs"/>
          <w:rtl/>
        </w:rPr>
        <w:t xml:space="preserve"> בלי שינוי</w:t>
      </w:r>
      <w:r w:rsidR="008C09BF">
        <w:rPr>
          <w:rFonts w:hint="cs"/>
          <w:rtl/>
        </w:rPr>
        <w:t xml:space="preserve">, רק שהיא מילה ארכאית ולכן שיניתי את התרגום </w:t>
      </w:r>
      <w:r w:rsidR="008C09BF">
        <w:rPr>
          <w:rFonts w:hint="cs"/>
          <w:rtl/>
        </w:rPr>
        <w:t>המדוייק</w:t>
      </w:r>
      <w:r w:rsidR="006E083F">
        <w:rPr>
          <w:rFonts w:hint="cs"/>
          <w:rtl/>
        </w:rPr>
        <w:t xml:space="preserve"> (למשל </w:t>
      </w:r>
      <w:r w:rsidR="00826546">
        <w:rPr>
          <w:rFonts w:hint="cs"/>
          <w:rtl/>
        </w:rPr>
        <w:t>באגרת תימן מהרמב</w:t>
      </w:r>
      <w:r w:rsidR="00F055C8">
        <w:rPr>
          <w:rtl/>
        </w:rPr>
        <w:t>"</w:t>
      </w:r>
      <w:r w:rsidR="00826546">
        <w:rPr>
          <w:rFonts w:hint="cs"/>
          <w:rtl/>
        </w:rPr>
        <w:t>ם:</w:t>
      </w:r>
    </w:p>
    <w:p w14:paraId="12CC59B3" w14:textId="1646F342" w:rsidR="00826546" w:rsidRDefault="00F055C8">
      <w:pPr>
        <w:pStyle w:val="FootnoteText"/>
        <w:rPr>
          <w:rtl/>
        </w:rPr>
      </w:pPr>
      <w:r>
        <w:rPr>
          <w:rtl/>
        </w:rPr>
        <w:t>"</w:t>
      </w:r>
      <w:r w:rsidR="00826546" w:rsidRPr="00826546">
        <w:rPr>
          <w:rtl/>
        </w:rPr>
        <w:t>שכן כתוב (ירמיה ל</w:t>
      </w:r>
      <w:r>
        <w:rPr>
          <w:rtl/>
        </w:rPr>
        <w:t>"</w:t>
      </w:r>
      <w:r w:rsidR="00826546" w:rsidRPr="00826546">
        <w:rPr>
          <w:rtl/>
        </w:rPr>
        <w:t>א ל</w:t>
      </w:r>
      <w:r>
        <w:rPr>
          <w:rtl/>
        </w:rPr>
        <w:t>"</w:t>
      </w:r>
      <w:r w:rsidR="00826546" w:rsidRPr="00826546">
        <w:rPr>
          <w:rtl/>
        </w:rPr>
        <w:t xml:space="preserve">ו): </w:t>
      </w:r>
      <w:r>
        <w:rPr>
          <w:rtl/>
        </w:rPr>
        <w:t>"</w:t>
      </w:r>
      <w:r w:rsidR="00826546" w:rsidRPr="00826546">
        <w:rPr>
          <w:rtl/>
        </w:rPr>
        <w:t>כה אמר ה' אם ימדו שמים מלמעלה ויחקרו מוסדי הארץ למטה גם אני אמאס בכל זרע ישראל על כל אשר עשו נאם ה'</w:t>
      </w:r>
      <w:r>
        <w:rPr>
          <w:rtl/>
        </w:rPr>
        <w:t>"</w:t>
      </w:r>
      <w:r w:rsidR="00826546" w:rsidRPr="00826546">
        <w:rPr>
          <w:rtl/>
        </w:rPr>
        <w:t xml:space="preserve">. וכענין זה </w:t>
      </w:r>
      <w:r w:rsidR="00826546" w:rsidRPr="005F0298">
        <w:rPr>
          <w:b/>
          <w:bCs/>
          <w:rtl/>
        </w:rPr>
        <w:t>בעינו</w:t>
      </w:r>
      <w:r w:rsidR="00826546" w:rsidRPr="00826546">
        <w:rPr>
          <w:rtl/>
        </w:rPr>
        <w:t xml:space="preserve"> הבטיחנו בתורה על ידי משה רבינו עליו השלום, שכן כתוב (ויקרא כ</w:t>
      </w:r>
      <w:r>
        <w:rPr>
          <w:rtl/>
        </w:rPr>
        <w:t>"</w:t>
      </w:r>
      <w:r w:rsidR="00826546" w:rsidRPr="00826546">
        <w:rPr>
          <w:rtl/>
        </w:rPr>
        <w:t>ו מ</w:t>
      </w:r>
      <w:r>
        <w:rPr>
          <w:rtl/>
        </w:rPr>
        <w:t>"</w:t>
      </w:r>
      <w:r w:rsidR="00826546" w:rsidRPr="00826546">
        <w:rPr>
          <w:rtl/>
        </w:rPr>
        <w:t xml:space="preserve">ד): </w:t>
      </w:r>
      <w:r>
        <w:rPr>
          <w:rtl/>
        </w:rPr>
        <w:t>"</w:t>
      </w:r>
      <w:r w:rsidR="00826546" w:rsidRPr="00826546">
        <w:rPr>
          <w:rtl/>
        </w:rPr>
        <w:t>ואף גם זאת בהיותם בארץ אויביהם לא מאסתים ולא געלתים לכלתם להפר בריתי אתם כי אני ה' אלהיהם</w:t>
      </w:r>
      <w:r>
        <w:rPr>
          <w:rtl/>
        </w:rPr>
        <w:t>"</w:t>
      </w:r>
      <w:r w:rsidR="00780A6A">
        <w:rPr>
          <w:rFonts w:hint="cs"/>
          <w:rtl/>
        </w:rPr>
        <w:t>.</w:t>
      </w:r>
      <w:r>
        <w:rPr>
          <w:rtl/>
        </w:rPr>
        <w:t>"</w:t>
      </w:r>
      <w:r w:rsidR="00780A6A">
        <w:rPr>
          <w:rFonts w:hint="cs"/>
          <w:rtl/>
        </w:rPr>
        <w:t>)</w:t>
      </w:r>
    </w:p>
    <w:p w14:paraId="665E7B64" w14:textId="4E687243" w:rsidR="0080571C" w:rsidRDefault="005F0298">
      <w:pPr>
        <w:pStyle w:val="FootnoteText"/>
      </w:pPr>
      <w:r>
        <w:rPr>
          <w:rFonts w:hint="cs"/>
          <w:rtl/>
        </w:rPr>
        <w:t>ו</w:t>
      </w:r>
      <w:r w:rsidR="006E083F">
        <w:rPr>
          <w:rFonts w:hint="cs"/>
          <w:rtl/>
        </w:rPr>
        <w:t xml:space="preserve">בכוזרי מאמר ה' כתב </w:t>
      </w:r>
      <w:r w:rsidR="00F055C8">
        <w:rPr>
          <w:rtl/>
        </w:rPr>
        <w:t>"</w:t>
      </w:r>
      <w:r w:rsidR="002C0A0D" w:rsidRPr="002C0A0D">
        <w:rPr>
          <w:rtl/>
        </w:rPr>
        <w:t>ומה אשר נגזר על מי שהגיע לקצה מחכמת הפילוסופיא, וקרהו בלבול שחורי</w:t>
      </w:r>
      <w:r w:rsidR="00780A6A">
        <w:rPr>
          <w:rFonts w:hint="cs"/>
          <w:rtl/>
        </w:rPr>
        <w:t xml:space="preserve"> </w:t>
      </w:r>
      <w:r w:rsidR="002C0A0D" w:rsidRPr="002C0A0D">
        <w:rPr>
          <w:rtl/>
        </w:rPr>
        <w:t xml:space="preserve">ושכח כל חכמתו, האם אין זה הוא </w:t>
      </w:r>
      <w:r w:rsidR="002C0A0D" w:rsidRPr="002C0A0D">
        <w:rPr>
          <w:b/>
          <w:bCs/>
          <w:rtl/>
        </w:rPr>
        <w:t>בעינו</w:t>
      </w:r>
      <w:r w:rsidR="002C0A0D" w:rsidRPr="002C0A0D">
        <w:rPr>
          <w:rtl/>
        </w:rPr>
        <w:t>, או נאמר שהוא זולתו</w:t>
      </w:r>
      <w:r w:rsidR="00780A6A">
        <w:rPr>
          <w:rFonts w:hint="cs"/>
          <w:rtl/>
        </w:rPr>
        <w:t>.</w:t>
      </w:r>
      <w:r w:rsidR="00F055C8">
        <w:rPr>
          <w:rtl/>
        </w:rPr>
        <w:t>"</w:t>
      </w:r>
      <w:r w:rsidR="008C09BF">
        <w:rPr>
          <w:rFonts w:hint="cs"/>
          <w:rtl/>
        </w:rPr>
        <w:t xml:space="preserve"> </w:t>
      </w:r>
    </w:p>
  </w:footnote>
  <w:footnote w:id="311">
    <w:p w14:paraId="63B76844" w14:textId="52D51300" w:rsidR="00581376" w:rsidRDefault="00581376">
      <w:pPr>
        <w:pStyle w:val="FootnoteText"/>
        <w:rPr>
          <w:rtl/>
        </w:rPr>
      </w:pPr>
      <w:r>
        <w:rPr>
          <w:rStyle w:val="FootnoteReference"/>
        </w:rPr>
        <w:footnoteRef/>
      </w:r>
      <w:r>
        <w:rPr>
          <w:rtl/>
        </w:rPr>
        <w:t xml:space="preserve"> </w:t>
      </w:r>
      <w:r w:rsidR="00E2102F">
        <w:rPr>
          <w:rFonts w:hint="cs"/>
          <w:rtl/>
        </w:rPr>
        <w:t xml:space="preserve">תרגמתי כאן באופן מילולי, כי הנוסח דורש פרשנות, ולא פירשתי כמו מקגיניס, לכן העדפתי לכתוב את הנוסח באופן מילולי כמו שהוא במקור, ואת הפרשנות לכתוב בהערה. </w:t>
      </w:r>
    </w:p>
    <w:p w14:paraId="7259E279" w14:textId="098FB3D0" w:rsidR="00735EB1" w:rsidRDefault="00717741">
      <w:pPr>
        <w:pStyle w:val="FootnoteText"/>
        <w:rPr>
          <w:rtl/>
        </w:rPr>
      </w:pPr>
      <w:r>
        <w:rPr>
          <w:rFonts w:hint="cs"/>
          <w:rtl/>
        </w:rPr>
        <w:t>ביאור כוונת אבן סינא כאן לפי הבנתי</w:t>
      </w:r>
      <w:r w:rsidR="00637BB0">
        <w:rPr>
          <w:rFonts w:hint="cs"/>
          <w:rtl/>
        </w:rPr>
        <w:t>:</w:t>
      </w:r>
      <w:r w:rsidR="00846D54">
        <w:rPr>
          <w:rFonts w:hint="cs"/>
          <w:rtl/>
        </w:rPr>
        <w:t xml:space="preserve"> אריסטו כתב שהיסודות משתנים מזה לזה. </w:t>
      </w:r>
      <w:r w:rsidR="00501991">
        <w:rPr>
          <w:rFonts w:hint="cs"/>
          <w:rtl/>
        </w:rPr>
        <w:t xml:space="preserve">לעולם אין זה שיסוד אחד כולו משתנה ליסוד אחר, כי בהכרח תמיד צריך שיהיו </w:t>
      </w:r>
      <w:r w:rsidR="009F76A8">
        <w:rPr>
          <w:rFonts w:hint="cs"/>
          <w:rtl/>
        </w:rPr>
        <w:t xml:space="preserve">במציאות </w:t>
      </w:r>
      <w:r w:rsidR="00501991">
        <w:rPr>
          <w:rFonts w:hint="cs"/>
          <w:rtl/>
        </w:rPr>
        <w:t>ארבעת היסודות</w:t>
      </w:r>
      <w:r w:rsidR="009F76A8">
        <w:rPr>
          <w:rFonts w:hint="cs"/>
          <w:rtl/>
        </w:rPr>
        <w:t xml:space="preserve"> (וכמו כן גם הכמות שיש מכל יסוד צריכה להיות כמו שהיא כי זה משורש הוויית המציאות והסדר שלה)</w:t>
      </w:r>
      <w:r w:rsidR="000E0380">
        <w:rPr>
          <w:rFonts w:hint="cs"/>
          <w:rtl/>
        </w:rPr>
        <w:t>. אם אין ליסודות מקום מוגדר בחלל (לכאורה קשה להבין שיהיה</w:t>
      </w:r>
      <w:r w:rsidR="00BF1A3C">
        <w:rPr>
          <w:rFonts w:hint="cs"/>
          <w:rtl/>
        </w:rPr>
        <w:t xml:space="preserve"> </w:t>
      </w:r>
      <w:r w:rsidR="000E0380">
        <w:rPr>
          <w:rFonts w:hint="cs"/>
          <w:rtl/>
        </w:rPr>
        <w:t>להם מקום</w:t>
      </w:r>
      <w:r w:rsidR="009F76A8">
        <w:rPr>
          <w:rFonts w:hint="cs"/>
          <w:rtl/>
        </w:rPr>
        <w:t>,</w:t>
      </w:r>
      <w:r w:rsidR="000E0380">
        <w:rPr>
          <w:rFonts w:hint="cs"/>
          <w:rtl/>
        </w:rPr>
        <w:t xml:space="preserve"> כי החלל עדיין ל</w:t>
      </w:r>
      <w:r w:rsidR="00BF1A3C">
        <w:rPr>
          <w:rFonts w:hint="cs"/>
          <w:rtl/>
        </w:rPr>
        <w:t>א</w:t>
      </w:r>
      <w:r w:rsidR="000E0380">
        <w:rPr>
          <w:rFonts w:hint="cs"/>
          <w:rtl/>
        </w:rPr>
        <w:t xml:space="preserve"> מוגדר </w:t>
      </w:r>
      <w:r w:rsidR="00104ED5">
        <w:rPr>
          <w:rFonts w:hint="cs"/>
          <w:rtl/>
        </w:rPr>
        <w:t xml:space="preserve">ואין </w:t>
      </w:r>
      <w:r w:rsidR="00BF1A3C">
        <w:rPr>
          <w:rFonts w:hint="cs"/>
          <w:rtl/>
        </w:rPr>
        <w:t xml:space="preserve">מקום מוגדר שאפשר </w:t>
      </w:r>
      <w:r w:rsidR="00BF1A3C">
        <w:rPr>
          <w:rFonts w:hint="cs"/>
          <w:rtl/>
        </w:rPr>
        <w:t xml:space="preserve">להאחז בו ולקבוע לפיו מקומות </w:t>
      </w:r>
      <w:r w:rsidR="009C463A">
        <w:rPr>
          <w:rFonts w:hint="cs"/>
          <w:rtl/>
        </w:rPr>
        <w:t>מסוימים</w:t>
      </w:r>
      <w:r w:rsidR="00BF1A3C">
        <w:rPr>
          <w:rFonts w:hint="cs"/>
          <w:rtl/>
        </w:rPr>
        <w:t xml:space="preserve">, </w:t>
      </w:r>
      <w:r w:rsidR="00104ED5">
        <w:rPr>
          <w:rFonts w:hint="cs"/>
          <w:rtl/>
        </w:rPr>
        <w:t xml:space="preserve">אבל בכל זאת יש </w:t>
      </w:r>
      <w:r w:rsidR="009F76A8">
        <w:rPr>
          <w:rFonts w:hint="cs"/>
          <w:rtl/>
        </w:rPr>
        <w:t xml:space="preserve">ליסודות </w:t>
      </w:r>
      <w:r w:rsidR="00104ED5">
        <w:rPr>
          <w:rFonts w:hint="cs"/>
          <w:rtl/>
        </w:rPr>
        <w:t>מקום</w:t>
      </w:r>
      <w:r w:rsidR="009F76A8">
        <w:rPr>
          <w:rFonts w:hint="cs"/>
          <w:rtl/>
        </w:rPr>
        <w:t xml:space="preserve"> בחלל</w:t>
      </w:r>
      <w:r w:rsidR="00BF1A3C">
        <w:rPr>
          <w:rFonts w:hint="cs"/>
          <w:rtl/>
        </w:rPr>
        <w:t>,</w:t>
      </w:r>
      <w:r w:rsidR="00104ED5">
        <w:rPr>
          <w:rFonts w:hint="cs"/>
          <w:rtl/>
        </w:rPr>
        <w:t xml:space="preserve"> וכבר ביארתי זאת במקום אחר ועיין גם ברמיזות והערות </w:t>
      </w:r>
      <w:r w:rsidR="00C53248">
        <w:rPr>
          <w:rFonts w:hint="cs"/>
          <w:rtl/>
        </w:rPr>
        <w:t>חלק א' בפרקים של למעלה ולמטה)</w:t>
      </w:r>
      <w:r w:rsidR="000E0380">
        <w:rPr>
          <w:rFonts w:hint="cs"/>
          <w:rtl/>
        </w:rPr>
        <w:t xml:space="preserve">, </w:t>
      </w:r>
      <w:r w:rsidR="003E5E8D">
        <w:rPr>
          <w:rFonts w:hint="cs"/>
          <w:rtl/>
        </w:rPr>
        <w:t xml:space="preserve">אז אם נשאר </w:t>
      </w:r>
      <w:r w:rsidR="00DB6CDD">
        <w:rPr>
          <w:rFonts w:hint="cs"/>
          <w:rtl/>
        </w:rPr>
        <w:t xml:space="preserve">אחרי השינוי </w:t>
      </w:r>
      <w:r w:rsidR="003E5E8D">
        <w:rPr>
          <w:rFonts w:hint="cs"/>
          <w:rtl/>
        </w:rPr>
        <w:t>שרבע מ</w:t>
      </w:r>
      <w:r w:rsidR="00DB6CDD">
        <w:rPr>
          <w:rFonts w:hint="cs"/>
          <w:rtl/>
        </w:rPr>
        <w:t>המ</w:t>
      </w:r>
      <w:r w:rsidR="003E5E8D">
        <w:rPr>
          <w:rFonts w:hint="cs"/>
          <w:rtl/>
        </w:rPr>
        <w:t>ציאות היא אש ורבע אווי</w:t>
      </w:r>
      <w:r w:rsidR="00DB6CDD">
        <w:rPr>
          <w:rFonts w:hint="cs"/>
          <w:rtl/>
        </w:rPr>
        <w:t>ר</w:t>
      </w:r>
      <w:r w:rsidR="003E5E8D">
        <w:rPr>
          <w:rFonts w:hint="cs"/>
          <w:rtl/>
        </w:rPr>
        <w:t xml:space="preserve"> ורבע</w:t>
      </w:r>
      <w:r w:rsidR="00DB6CDD">
        <w:rPr>
          <w:rFonts w:hint="cs"/>
          <w:rtl/>
        </w:rPr>
        <w:t xml:space="preserve"> </w:t>
      </w:r>
      <w:r w:rsidR="003E5E8D">
        <w:rPr>
          <w:rFonts w:hint="cs"/>
          <w:rtl/>
        </w:rPr>
        <w:t xml:space="preserve">מים ורבע עפר, </w:t>
      </w:r>
      <w:r w:rsidR="00DB6CDD">
        <w:rPr>
          <w:rFonts w:hint="cs"/>
          <w:rtl/>
        </w:rPr>
        <w:t>כמו שהיה לפני השינוי, הרי שלא קרה שינוי.</w:t>
      </w:r>
      <w:r w:rsidR="00501991">
        <w:rPr>
          <w:rFonts w:hint="cs"/>
          <w:rtl/>
        </w:rPr>
        <w:t xml:space="preserve"> אלא השינוי הוא </w:t>
      </w:r>
      <w:r w:rsidR="00473D4B">
        <w:rPr>
          <w:rFonts w:hint="cs"/>
          <w:rtl/>
        </w:rPr>
        <w:t xml:space="preserve">בהכרח </w:t>
      </w:r>
      <w:r w:rsidR="00501991">
        <w:rPr>
          <w:rFonts w:hint="cs"/>
          <w:rtl/>
        </w:rPr>
        <w:t>במקום</w:t>
      </w:r>
      <w:r w:rsidR="00473D4B">
        <w:rPr>
          <w:rFonts w:hint="cs"/>
          <w:rtl/>
        </w:rPr>
        <w:t xml:space="preserve"> של היסודות</w:t>
      </w:r>
      <w:r w:rsidR="00501991">
        <w:rPr>
          <w:rFonts w:hint="cs"/>
          <w:rtl/>
        </w:rPr>
        <w:t xml:space="preserve">. </w:t>
      </w:r>
      <w:r w:rsidR="00473D4B">
        <w:rPr>
          <w:rFonts w:hint="cs"/>
          <w:rtl/>
        </w:rPr>
        <w:t>כלומר במקום שהי</w:t>
      </w:r>
      <w:r w:rsidR="000C3C5C">
        <w:rPr>
          <w:rFonts w:hint="cs"/>
          <w:rtl/>
        </w:rPr>
        <w:t>ה כולו</w:t>
      </w:r>
      <w:r w:rsidR="00473D4B">
        <w:rPr>
          <w:rFonts w:hint="cs"/>
          <w:rtl/>
        </w:rPr>
        <w:t xml:space="preserve"> מים</w:t>
      </w:r>
      <w:r w:rsidR="000C3C5C">
        <w:rPr>
          <w:rFonts w:hint="cs"/>
          <w:rtl/>
        </w:rPr>
        <w:t>,</w:t>
      </w:r>
      <w:r w:rsidR="00473D4B">
        <w:rPr>
          <w:rFonts w:hint="cs"/>
          <w:rtl/>
        </w:rPr>
        <w:t xml:space="preserve"> </w:t>
      </w:r>
      <w:r w:rsidR="000C3C5C">
        <w:rPr>
          <w:rFonts w:hint="cs"/>
          <w:rtl/>
        </w:rPr>
        <w:t xml:space="preserve">אחרי השינוי </w:t>
      </w:r>
      <w:r w:rsidR="00473D4B">
        <w:rPr>
          <w:rFonts w:hint="cs"/>
          <w:rtl/>
        </w:rPr>
        <w:t xml:space="preserve">בחלק ממנו </w:t>
      </w:r>
      <w:r w:rsidR="000C3C5C">
        <w:rPr>
          <w:rFonts w:hint="cs"/>
          <w:rtl/>
        </w:rPr>
        <w:t xml:space="preserve">יש אוויר, ובמקום שהיה בו </w:t>
      </w:r>
      <w:r w:rsidR="00B33F3C">
        <w:rPr>
          <w:rFonts w:hint="cs"/>
          <w:rtl/>
        </w:rPr>
        <w:t xml:space="preserve">כולו </w:t>
      </w:r>
      <w:r w:rsidR="000C3C5C">
        <w:rPr>
          <w:rFonts w:hint="cs"/>
          <w:rtl/>
        </w:rPr>
        <w:t>אוויר אחרי השינוי יש</w:t>
      </w:r>
      <w:r w:rsidR="00B33F3C">
        <w:rPr>
          <w:rFonts w:hint="cs"/>
          <w:rtl/>
        </w:rPr>
        <w:t xml:space="preserve"> בחל</w:t>
      </w:r>
      <w:r w:rsidR="00735EB1">
        <w:rPr>
          <w:rFonts w:hint="cs"/>
          <w:rtl/>
        </w:rPr>
        <w:t>ק</w:t>
      </w:r>
      <w:r w:rsidR="00B33F3C">
        <w:rPr>
          <w:rFonts w:hint="cs"/>
          <w:rtl/>
        </w:rPr>
        <w:t xml:space="preserve"> ממנו אש, וכן הלאה.</w:t>
      </w:r>
    </w:p>
    <w:p w14:paraId="0F26F48E" w14:textId="1311A4C1" w:rsidR="00AC6243" w:rsidRDefault="00DE3222">
      <w:pPr>
        <w:pStyle w:val="FootnoteText"/>
        <w:rPr>
          <w:rtl/>
        </w:rPr>
      </w:pPr>
      <w:r>
        <w:rPr>
          <w:rFonts w:hint="cs"/>
          <w:rtl/>
        </w:rPr>
        <w:t>ב</w:t>
      </w:r>
      <w:r w:rsidR="00AC6243" w:rsidRPr="00AC6243">
        <w:rPr>
          <w:rtl/>
        </w:rPr>
        <w:t>לשון הרמב</w:t>
      </w:r>
      <w:r w:rsidR="00F055C8">
        <w:rPr>
          <w:rtl/>
        </w:rPr>
        <w:t>"</w:t>
      </w:r>
      <w:r w:rsidR="00AC6243" w:rsidRPr="00AC6243">
        <w:rPr>
          <w:rtl/>
        </w:rPr>
        <w:t>ם בהלכות יסודי התורה ד' ה'</w:t>
      </w:r>
      <w:r>
        <w:rPr>
          <w:rFonts w:hint="cs"/>
          <w:rtl/>
        </w:rPr>
        <w:t xml:space="preserve"> מבואר שהשינוי הוא במקום, שכתב שהשינוי הוא במה שקרוב ליסוד האחר</w:t>
      </w:r>
      <w:r w:rsidR="001C528E">
        <w:rPr>
          <w:rFonts w:hint="cs"/>
          <w:rtl/>
        </w:rPr>
        <w:t>, וזו הגדרת מקום</w:t>
      </w:r>
      <w:r w:rsidR="00AC6243" w:rsidRPr="00AC6243">
        <w:rPr>
          <w:rtl/>
        </w:rPr>
        <w:t>:</w:t>
      </w:r>
    </w:p>
    <w:p w14:paraId="163634C2" w14:textId="05872E77" w:rsidR="006A4581" w:rsidRDefault="00F055C8" w:rsidP="006A4581">
      <w:pPr>
        <w:pStyle w:val="FootnoteText"/>
        <w:rPr>
          <w:rtl/>
        </w:rPr>
      </w:pPr>
      <w:r>
        <w:rPr>
          <w:rtl/>
        </w:rPr>
        <w:t>"</w:t>
      </w:r>
      <w:r w:rsidR="006A4581">
        <w:rPr>
          <w:rtl/>
        </w:rPr>
        <w:t xml:space="preserve">אַרְבָּעָה יְסוֹדוֹת אֵלּוּ מִשְׁתַּנִּים זֶה לָזֶה תָּמִיד בְּכָל יוֹם וּבְכָל שָׁעָה; מִקְצָתָן, לֹא כָּל גּוּפָן. כֵּיצַד? מִקְצָת הָאָרֶץ </w:t>
      </w:r>
      <w:r w:rsidR="006A4581" w:rsidRPr="00DE3222">
        <w:rPr>
          <w:b/>
          <w:bCs/>
          <w:rtl/>
        </w:rPr>
        <w:t>הַקְּרוֹבָה מִן הַמַּיִם</w:t>
      </w:r>
      <w:r w:rsidR="006A4581">
        <w:rPr>
          <w:rtl/>
        </w:rPr>
        <w:t xml:space="preserve"> מִשְׁתַּנֵּית וּמִתְפּוֹרֶרֶת וְנַעֲשֵׂית מַיִם; וְכֵן מִקְצָת הַמַּיִם הַסְּמוּכִין לָרוּחַ מִשְׁתַּנִּין וּמִתְמַסְמְסִין וְהוֹוִין רוּחַ; וְכֵן הָרוּחַ - מִקְצָתוֹ הַסָּמוּךְ לָאֵשׁ מִשְׁתַּנֶּה וּמִתְחוֹלֵל וְנַעֲשֶׂה אֵשׁ; וְכֵן הָאֵשׁ - מִקְצָתָהּ הַסָּמוּךְ לָרוּחַ מִשְׁתַּנֶּה וּמִתְכַּנֵּס וְנַעֲשֶׂה רוּחַ. וְכֵן הָרוּחַ - מִקְצָתוֹ הַסָּמוּךְ לַמַּיִם מִשְׁתַּנֶּה וּמִתְכַּנֵּס וְנַעֲשֶׂה מַיִם. וְכֵן הַמַּיִם - מִקְצָתוֹ הַסָּמוּךְ לָאָרֶץ מִשְׁתַּנֶּה וּמִתְכַּנֵּס וְנַעֲשֶׂה אֶרֶץ.</w:t>
      </w:r>
    </w:p>
    <w:p w14:paraId="5C554A4B" w14:textId="74C78911" w:rsidR="00E2102F" w:rsidRDefault="006A4581" w:rsidP="006A4581">
      <w:pPr>
        <w:pStyle w:val="FootnoteText"/>
        <w:rPr>
          <w:rtl/>
        </w:rPr>
      </w:pPr>
      <w:r>
        <w:rPr>
          <w:rtl/>
        </w:rPr>
        <w:t>וְשִׁנּוּי זֶה - מְעַט מְעַט, וּלְפִי אֹרֶךְ הַיָּמִים. וְאֵין כָּל הַיְּסוֹד מִשְׁתַּנֶּה עַד שֶׁיֵּעָשֶׂה כָּל הַמַּיִם רוּחַ אוֹ כָּל הָרוּחַ אֵשׁ, שֶׁאִי אֶפְשָׁר שֶׁיִּבְטַל אֶחָד מִן הַיְּסוֹדוֹת הָאַרְבָּעָה, אֶלָּא מִקְצָת יִשְׁתַּנֶּה מֵאֵשׁ לְרוּחַ, וּמִקְצָת - מֵרוּחַ לְאֵשׁ. וְכֵן בֵּין כָּל אֶחָד וַחֲבֵרוֹ יִמָּצֵא הַשִּׁנּוּי בֵּין אַרְבַּעְתָּן, וְחוֹזְרוֹת חֲלִילָה.</w:t>
      </w:r>
      <w:r w:rsidR="00F055C8">
        <w:rPr>
          <w:rtl/>
        </w:rPr>
        <w:t>"</w:t>
      </w:r>
      <w:r w:rsidR="00B33F3C">
        <w:rPr>
          <w:rFonts w:hint="cs"/>
          <w:rtl/>
        </w:rPr>
        <w:t xml:space="preserve"> </w:t>
      </w:r>
      <w:r w:rsidR="000C3C5C">
        <w:rPr>
          <w:rFonts w:hint="cs"/>
          <w:rtl/>
        </w:rPr>
        <w:t xml:space="preserve"> </w:t>
      </w:r>
    </w:p>
    <w:p w14:paraId="1811F4BD" w14:textId="77777777" w:rsidR="00FE0C4C" w:rsidRDefault="000E0FFE" w:rsidP="006A4581">
      <w:pPr>
        <w:pStyle w:val="FootnoteText"/>
        <w:rPr>
          <w:rtl/>
        </w:rPr>
      </w:pPr>
      <w:r>
        <w:rPr>
          <w:rFonts w:hint="cs"/>
          <w:rtl/>
        </w:rPr>
        <w:t xml:space="preserve">צורת התלת ממדיות </w:t>
      </w:r>
      <w:r w:rsidR="0005790C">
        <w:rPr>
          <w:rFonts w:hint="cs"/>
          <w:rtl/>
        </w:rPr>
        <w:t>היא המידות של אורך רוחב וגובה של עצם</w:t>
      </w:r>
      <w:r w:rsidR="00063286">
        <w:rPr>
          <w:rFonts w:hint="cs"/>
          <w:rtl/>
        </w:rPr>
        <w:t>, הנפח שלו, המקום שהוא תופש (זה רק תיאור מתימטי של מידות הממדים של העצם ולא שום דבר ממהות העצם ואיכויותיו</w:t>
      </w:r>
      <w:r w:rsidR="00881018">
        <w:rPr>
          <w:rFonts w:hint="cs"/>
          <w:rtl/>
        </w:rPr>
        <w:t xml:space="preserve"> ומאפייניו</w:t>
      </w:r>
      <w:r w:rsidR="00063286">
        <w:rPr>
          <w:rFonts w:hint="cs"/>
          <w:rtl/>
        </w:rPr>
        <w:t>)</w:t>
      </w:r>
      <w:r w:rsidR="0005790C">
        <w:rPr>
          <w:rFonts w:hint="cs"/>
          <w:rtl/>
        </w:rPr>
        <w:t xml:space="preserve">. </w:t>
      </w:r>
      <w:r w:rsidR="00881018">
        <w:rPr>
          <w:rFonts w:hint="cs"/>
          <w:rtl/>
        </w:rPr>
        <w:t xml:space="preserve">אם צורת התלת ממדיות של עצם </w:t>
      </w:r>
      <w:r>
        <w:rPr>
          <w:rFonts w:hint="cs"/>
          <w:rtl/>
        </w:rPr>
        <w:t xml:space="preserve">שייכת </w:t>
      </w:r>
      <w:r w:rsidR="00881018">
        <w:rPr>
          <w:rFonts w:hint="cs"/>
          <w:rtl/>
        </w:rPr>
        <w:t xml:space="preserve">באופן מהותי </w:t>
      </w:r>
      <w:r>
        <w:rPr>
          <w:rFonts w:hint="cs"/>
          <w:rtl/>
        </w:rPr>
        <w:t>לכל עצם בפני עצמו, שיש לו את המקום שלו שהוא תו</w:t>
      </w:r>
      <w:r w:rsidR="004E3390">
        <w:rPr>
          <w:rFonts w:hint="cs"/>
          <w:rtl/>
        </w:rPr>
        <w:t>פ</w:t>
      </w:r>
      <w:r>
        <w:rPr>
          <w:rFonts w:hint="cs"/>
          <w:rtl/>
        </w:rPr>
        <w:t>ש בחלל</w:t>
      </w:r>
      <w:r w:rsidR="00881018">
        <w:rPr>
          <w:rFonts w:hint="cs"/>
          <w:rtl/>
        </w:rPr>
        <w:t xml:space="preserve"> כחלק ממהות</w:t>
      </w:r>
      <w:r w:rsidR="00FE0C4C">
        <w:rPr>
          <w:rFonts w:hint="cs"/>
          <w:rtl/>
        </w:rPr>
        <w:t>ו</w:t>
      </w:r>
      <w:r>
        <w:rPr>
          <w:rFonts w:hint="cs"/>
          <w:rtl/>
        </w:rPr>
        <w:t>, ובמקרה שלנו העצ</w:t>
      </w:r>
      <w:r w:rsidR="007E75D6">
        <w:rPr>
          <w:rFonts w:hint="cs"/>
          <w:rtl/>
        </w:rPr>
        <w:t>מי</w:t>
      </w:r>
      <w:r>
        <w:rPr>
          <w:rFonts w:hint="cs"/>
          <w:rtl/>
        </w:rPr>
        <w:t>ם ה</w:t>
      </w:r>
      <w:r w:rsidR="007E75D6">
        <w:rPr>
          <w:rFonts w:hint="cs"/>
          <w:rtl/>
        </w:rPr>
        <w:t>ם</w:t>
      </w:r>
      <w:r>
        <w:rPr>
          <w:rFonts w:hint="cs"/>
          <w:rtl/>
        </w:rPr>
        <w:t xml:space="preserve"> המים והאוויר, </w:t>
      </w:r>
      <w:r w:rsidR="00FE0C4C">
        <w:rPr>
          <w:rFonts w:hint="cs"/>
          <w:rtl/>
        </w:rPr>
        <w:t xml:space="preserve">אז </w:t>
      </w:r>
      <w:r w:rsidR="00707CEB">
        <w:rPr>
          <w:rFonts w:hint="cs"/>
          <w:rtl/>
        </w:rPr>
        <w:t>כשחלק מהמקום של המים כבר אין בו מים</w:t>
      </w:r>
      <w:r w:rsidR="007E75D6">
        <w:rPr>
          <w:rFonts w:hint="cs"/>
          <w:rtl/>
        </w:rPr>
        <w:t xml:space="preserve"> כי הם השתנו</w:t>
      </w:r>
      <w:r w:rsidR="00707CEB">
        <w:rPr>
          <w:rFonts w:hint="cs"/>
          <w:rtl/>
        </w:rPr>
        <w:t>, וצריך להיכנס לתוכו אוויר</w:t>
      </w:r>
      <w:r w:rsidR="007E75D6">
        <w:rPr>
          <w:rFonts w:hint="cs"/>
          <w:rtl/>
        </w:rPr>
        <w:t xml:space="preserve"> כי הם השתנו לאוויר</w:t>
      </w:r>
      <w:r w:rsidR="00707CEB">
        <w:rPr>
          <w:rFonts w:hint="cs"/>
          <w:rtl/>
        </w:rPr>
        <w:t>, האוויר לא יוכל להי</w:t>
      </w:r>
      <w:r w:rsidR="007E75D6">
        <w:rPr>
          <w:rFonts w:hint="cs"/>
          <w:rtl/>
        </w:rPr>
        <w:t>ות</w:t>
      </w:r>
      <w:r w:rsidR="00707CEB">
        <w:rPr>
          <w:rFonts w:hint="cs"/>
          <w:rtl/>
        </w:rPr>
        <w:t xml:space="preserve"> </w:t>
      </w:r>
      <w:r w:rsidR="007E75D6">
        <w:rPr>
          <w:rFonts w:hint="cs"/>
          <w:rtl/>
        </w:rPr>
        <w:t>ב</w:t>
      </w:r>
      <w:r w:rsidR="00707CEB">
        <w:rPr>
          <w:rFonts w:hint="cs"/>
          <w:rtl/>
        </w:rPr>
        <w:t xml:space="preserve">מקום ההוא, כי המקום הוא מקום </w:t>
      </w:r>
      <w:r w:rsidR="00FE0C4C">
        <w:rPr>
          <w:rFonts w:hint="cs"/>
          <w:rtl/>
        </w:rPr>
        <w:t xml:space="preserve">שבמהותו הוא מקום </w:t>
      </w:r>
      <w:r w:rsidR="00707CEB">
        <w:rPr>
          <w:rFonts w:hint="cs"/>
          <w:rtl/>
        </w:rPr>
        <w:t>של מים ולא מקום של אוויר</w:t>
      </w:r>
      <w:r w:rsidR="00FE0C4C">
        <w:rPr>
          <w:rFonts w:hint="cs"/>
          <w:rtl/>
        </w:rPr>
        <w:t xml:space="preserve"> (שהרי המקום של המים הוא ממהות המים)</w:t>
      </w:r>
      <w:r w:rsidR="00707CEB">
        <w:rPr>
          <w:rFonts w:hint="cs"/>
          <w:rtl/>
        </w:rPr>
        <w:t>.</w:t>
      </w:r>
      <w:r w:rsidR="007E75D6">
        <w:rPr>
          <w:rFonts w:hint="cs"/>
          <w:rtl/>
        </w:rPr>
        <w:t xml:space="preserve"> </w:t>
      </w:r>
    </w:p>
    <w:p w14:paraId="4FD6435E" w14:textId="77777777" w:rsidR="00820BAD" w:rsidRDefault="007E75D6" w:rsidP="006A4581">
      <w:pPr>
        <w:pStyle w:val="FootnoteText"/>
        <w:rPr>
          <w:rtl/>
        </w:rPr>
      </w:pPr>
      <w:r>
        <w:rPr>
          <w:rFonts w:hint="cs"/>
          <w:rtl/>
        </w:rPr>
        <w:t xml:space="preserve">אוויר לא יכול </w:t>
      </w:r>
      <w:r w:rsidR="00FE0C4C">
        <w:rPr>
          <w:rFonts w:hint="cs"/>
          <w:rtl/>
        </w:rPr>
        <w:t>ל</w:t>
      </w:r>
      <w:r>
        <w:rPr>
          <w:rFonts w:hint="cs"/>
          <w:rtl/>
        </w:rPr>
        <w:t xml:space="preserve">היות מים, כי למים יש צורת מים ולאוויר </w:t>
      </w:r>
      <w:r w:rsidR="00820BAD">
        <w:rPr>
          <w:rFonts w:hint="cs"/>
          <w:rtl/>
        </w:rPr>
        <w:t xml:space="preserve">יש </w:t>
      </w:r>
      <w:r w:rsidR="0052273C">
        <w:rPr>
          <w:rFonts w:hint="cs"/>
          <w:rtl/>
        </w:rPr>
        <w:t>צורת</w:t>
      </w:r>
      <w:r>
        <w:rPr>
          <w:rFonts w:hint="cs"/>
          <w:rtl/>
        </w:rPr>
        <w:t xml:space="preserve"> אוויר</w:t>
      </w:r>
      <w:r w:rsidR="0052273C">
        <w:rPr>
          <w:rFonts w:hint="cs"/>
          <w:rtl/>
        </w:rPr>
        <w:t>, אם תהיה ל</w:t>
      </w:r>
      <w:r w:rsidR="00820BAD">
        <w:rPr>
          <w:rFonts w:hint="cs"/>
          <w:rtl/>
        </w:rPr>
        <w:t>אוויר</w:t>
      </w:r>
      <w:r w:rsidR="0052273C">
        <w:rPr>
          <w:rFonts w:hint="cs"/>
          <w:rtl/>
        </w:rPr>
        <w:t xml:space="preserve"> צורת אוויר הוא יהיה אווי</w:t>
      </w:r>
      <w:r w:rsidR="00B46DAF">
        <w:rPr>
          <w:rFonts w:hint="cs"/>
          <w:rtl/>
        </w:rPr>
        <w:t>ר</w:t>
      </w:r>
      <w:r w:rsidR="0052273C">
        <w:rPr>
          <w:rFonts w:hint="cs"/>
          <w:rtl/>
        </w:rPr>
        <w:t xml:space="preserve"> ולא מים, </w:t>
      </w:r>
      <w:r w:rsidR="00B46DAF">
        <w:rPr>
          <w:rFonts w:hint="cs"/>
          <w:rtl/>
        </w:rPr>
        <w:t xml:space="preserve">ואם תהיה לו צורת מים הוא יהיה מים גמורים באופן פשוט ולא אוויר שהוא מים. </w:t>
      </w:r>
      <w:r w:rsidR="00820BAD">
        <w:rPr>
          <w:rFonts w:hint="cs"/>
          <w:rtl/>
        </w:rPr>
        <w:t xml:space="preserve">באותו אופן </w:t>
      </w:r>
      <w:r w:rsidR="00637BB0">
        <w:rPr>
          <w:rFonts w:hint="cs"/>
          <w:rtl/>
        </w:rPr>
        <w:t>אם למ</w:t>
      </w:r>
      <w:r w:rsidR="00820BAD">
        <w:rPr>
          <w:rFonts w:hint="cs"/>
          <w:rtl/>
        </w:rPr>
        <w:t>י</w:t>
      </w:r>
      <w:r w:rsidR="00637BB0">
        <w:rPr>
          <w:rFonts w:hint="cs"/>
          <w:rtl/>
        </w:rPr>
        <w:t>ם יש צור</w:t>
      </w:r>
      <w:r w:rsidR="00820BAD">
        <w:rPr>
          <w:rFonts w:hint="cs"/>
          <w:rtl/>
        </w:rPr>
        <w:t>ת</w:t>
      </w:r>
      <w:r w:rsidR="00637BB0">
        <w:rPr>
          <w:rFonts w:hint="cs"/>
          <w:rtl/>
        </w:rPr>
        <w:t xml:space="preserve"> מקום של מים ולאווי</w:t>
      </w:r>
      <w:r w:rsidR="00820BAD">
        <w:rPr>
          <w:rFonts w:hint="cs"/>
          <w:rtl/>
        </w:rPr>
        <w:t>ר</w:t>
      </w:r>
      <w:r w:rsidR="00637BB0">
        <w:rPr>
          <w:rFonts w:hint="cs"/>
          <w:rtl/>
        </w:rPr>
        <w:t xml:space="preserve"> צורת מקום של אוויר, </w:t>
      </w:r>
      <w:r w:rsidR="00820BAD">
        <w:rPr>
          <w:rFonts w:hint="cs"/>
          <w:rtl/>
        </w:rPr>
        <w:t>אז אי אפשר שהאוויר יהיה במקום של המים</w:t>
      </w:r>
      <w:r>
        <w:rPr>
          <w:rFonts w:hint="cs"/>
          <w:rtl/>
        </w:rPr>
        <w:t>.</w:t>
      </w:r>
    </w:p>
    <w:p w14:paraId="69303FFE" w14:textId="77777777" w:rsidR="00322B63" w:rsidRDefault="00820BAD" w:rsidP="006A4581">
      <w:pPr>
        <w:pStyle w:val="FootnoteText"/>
        <w:rPr>
          <w:rtl/>
        </w:rPr>
      </w:pPr>
      <w:r>
        <w:rPr>
          <w:rFonts w:hint="cs"/>
          <w:rtl/>
        </w:rPr>
        <w:t xml:space="preserve">מזה מוכרח מה שכתב אבן סינא, שהצורה הפרטית </w:t>
      </w:r>
      <w:r w:rsidR="00D03B8F">
        <w:rPr>
          <w:rFonts w:hint="cs"/>
          <w:rtl/>
        </w:rPr>
        <w:t xml:space="preserve">של הגוף, שהיא מהות הגוף והגדרתו, </w:t>
      </w:r>
      <w:r w:rsidR="00322B63">
        <w:rPr>
          <w:rFonts w:hint="cs"/>
          <w:rtl/>
        </w:rPr>
        <w:t xml:space="preserve">מאוחרת לצורת התלת ממדיות. </w:t>
      </w:r>
    </w:p>
    <w:p w14:paraId="6C6556AC" w14:textId="77777777" w:rsidR="008B3F38" w:rsidRDefault="00322B63" w:rsidP="006A4581">
      <w:pPr>
        <w:pStyle w:val="FootnoteText"/>
        <w:rPr>
          <w:rtl/>
        </w:rPr>
      </w:pPr>
      <w:r>
        <w:rPr>
          <w:rFonts w:hint="cs"/>
          <w:rtl/>
        </w:rPr>
        <w:t>כלומר צורת התלת ממדיות</w:t>
      </w:r>
      <w:r w:rsidR="00B2696E">
        <w:rPr>
          <w:rtl/>
        </w:rPr>
        <w:fldChar w:fldCharType="begin"/>
      </w:r>
      <w:r w:rsidR="00B2696E">
        <w:instrText xml:space="preserve"> XE "</w:instrText>
      </w:r>
      <w:r w:rsidR="00B2696E" w:rsidRPr="00857861">
        <w:rPr>
          <w:rFonts w:hint="cs"/>
          <w:rtl/>
        </w:rPr>
        <w:instrText>צורת התלת ממדיות</w:instrText>
      </w:r>
      <w:r w:rsidR="00B2696E">
        <w:instrText xml:space="preserve">" </w:instrText>
      </w:r>
      <w:r w:rsidR="00B2696E">
        <w:rPr>
          <w:rtl/>
        </w:rPr>
        <w:fldChar w:fldCharType="end"/>
      </w:r>
      <w:r>
        <w:rPr>
          <w:rFonts w:hint="cs"/>
          <w:rtl/>
        </w:rPr>
        <w:t xml:space="preserve"> של המים, </w:t>
      </w:r>
      <w:r w:rsidR="00B2696E">
        <w:rPr>
          <w:rFonts w:hint="cs"/>
          <w:rtl/>
        </w:rPr>
        <w:t xml:space="preserve">קיימת לפני שקיימת הגדרת העצם שהוא 'מים'. </w:t>
      </w:r>
      <w:r w:rsidR="00491590">
        <w:rPr>
          <w:rFonts w:hint="cs"/>
          <w:rtl/>
        </w:rPr>
        <w:t>לכן המקום, הנפח, לא שייך דווקא למים כמים</w:t>
      </w:r>
      <w:r w:rsidR="008B3F38">
        <w:rPr>
          <w:rFonts w:hint="cs"/>
          <w:rtl/>
        </w:rPr>
        <w:t xml:space="preserve">, שהרי הוא קודם למה שהמים הוגדרו כמים, </w:t>
      </w:r>
      <w:r w:rsidR="00491590">
        <w:rPr>
          <w:rFonts w:hint="cs"/>
          <w:rtl/>
        </w:rPr>
        <w:t xml:space="preserve">ולכן הוא יכול להיות שייך לאוויר אם המים השתנו להיות אוויר. </w:t>
      </w:r>
    </w:p>
    <w:p w14:paraId="65850399" w14:textId="76B7A3A4" w:rsidR="00C55DE6" w:rsidRDefault="00B86DA4" w:rsidP="006A4581">
      <w:pPr>
        <w:pStyle w:val="FootnoteText"/>
        <w:rPr>
          <w:rtl/>
        </w:rPr>
      </w:pPr>
      <w:r>
        <w:rPr>
          <w:rFonts w:hint="cs"/>
          <w:rtl/>
        </w:rPr>
        <w:t>רואים כאן את סוד האחדות האלוהית שבבריאה, כמו שכתב במורה נבוכים א' תחילת פרק ע</w:t>
      </w:r>
      <w:r w:rsidR="00F055C8">
        <w:rPr>
          <w:rtl/>
        </w:rPr>
        <w:t>"</w:t>
      </w:r>
      <w:r>
        <w:rPr>
          <w:rFonts w:hint="cs"/>
          <w:rtl/>
        </w:rPr>
        <w:t xml:space="preserve">ב. </w:t>
      </w:r>
      <w:r w:rsidR="00C55DE6">
        <w:rPr>
          <w:rFonts w:hint="cs"/>
          <w:rtl/>
        </w:rPr>
        <w:t>המציאות של המים כעצם בטבע מתחילה מכך שהם תופשים מקום, שיש להם מידות אורך רוחב וגובה. כל מה שמייחד אותם כמהות העצם מים, בנוי על היסוד שיש להם מקום שהם בו. אחרי שהם שם אנו נשאל מה נמצא שם והתשובה תהיה עצם שהגדרתו מים, אי אפר לדבר על עצם שהגדרתו מים אם אין לפני כן מקום שהעצם שם.</w:t>
      </w:r>
    </w:p>
    <w:p w14:paraId="3AB0D0EC" w14:textId="77777777" w:rsidR="001D644F" w:rsidRDefault="00355596" w:rsidP="006A4581">
      <w:pPr>
        <w:pStyle w:val="FootnoteText"/>
        <w:rPr>
          <w:rtl/>
        </w:rPr>
      </w:pPr>
      <w:r>
        <w:rPr>
          <w:rFonts w:hint="cs"/>
          <w:rtl/>
        </w:rPr>
        <w:t>המקום הוא אחד כללי לכל המציאות כאחת. אין מקום מיוחד שהוא של העצם מים בפני עצמו. כשעצם נע</w:t>
      </w:r>
      <w:r w:rsidR="00AE72A1">
        <w:rPr>
          <w:rFonts w:hint="cs"/>
          <w:rtl/>
        </w:rPr>
        <w:t xml:space="preserve">, הוא לא משאיר את מקומו אחריו כי אז איך יכנס למקום החדש, ולא לוקח את מקומו איתו כי אז לא יוכל עצם אחר להיכנס למקום שהיה בו לפני התנועה, אלא הכל הוא מקום אחד, העצמים נמצאים במקום על דרך שאיברים נמצאים בגוף. </w:t>
      </w:r>
    </w:p>
    <w:p w14:paraId="75CC77B4" w14:textId="31FA5C87" w:rsidR="00F4004D" w:rsidRDefault="001D644F" w:rsidP="006A4581">
      <w:pPr>
        <w:pStyle w:val="FootnoteText"/>
        <w:rPr>
          <w:rtl/>
        </w:rPr>
      </w:pPr>
      <w:r>
        <w:rPr>
          <w:rFonts w:hint="cs"/>
          <w:rtl/>
        </w:rPr>
        <w:t>יחס בין גוף לאיברים שייך לסוד מעשה מרכבה. איבר חי בחיים הכלליים של הגוף, אם נעקור איבר אחד הוא מייד יחדל מלהתקיים</w:t>
      </w:r>
      <w:r w:rsidR="003F0A00">
        <w:rPr>
          <w:rFonts w:hint="cs"/>
          <w:rtl/>
        </w:rPr>
        <w:t xml:space="preserve"> (לב שנעקר ומונח על הארץ, הוא כבר לא לב אלא רק צורת לב מפוסלת בבשר כמו פסל שיש שמגולפת בו דמות איש. הפסל אינו איש והלב העקור אינו לב (כמו שביאר אריסטו ב</w:t>
      </w:r>
      <w:r w:rsidR="00F055C8">
        <w:rPr>
          <w:rtl/>
        </w:rPr>
        <w:t>"</w:t>
      </w:r>
      <w:r w:rsidR="003F0A00">
        <w:rPr>
          <w:rFonts w:hint="cs"/>
          <w:rtl/>
        </w:rPr>
        <w:t>על הנפש</w:t>
      </w:r>
      <w:r w:rsidR="00F055C8">
        <w:rPr>
          <w:rtl/>
        </w:rPr>
        <w:t>"</w:t>
      </w:r>
      <w:r w:rsidR="009B7BE7">
        <w:rPr>
          <w:rFonts w:hint="cs"/>
          <w:rtl/>
        </w:rPr>
        <w:t xml:space="preserve"> ב' א' </w:t>
      </w:r>
      <w:r w:rsidR="009B7BE7" w:rsidRPr="009B7BE7">
        <w:rPr>
          <w:rtl/>
        </w:rPr>
        <w:t>412</w:t>
      </w:r>
      <w:r w:rsidR="00777E7A">
        <w:rPr>
          <w:rFonts w:hint="cs"/>
          <w:rtl/>
        </w:rPr>
        <w:t>ב שורה 22</w:t>
      </w:r>
      <w:r w:rsidR="00EF5F6E">
        <w:rPr>
          <w:rFonts w:hint="cs"/>
          <w:rtl/>
        </w:rPr>
        <w:t>, וכן כתב במורה נבוכים א' ע</w:t>
      </w:r>
      <w:r w:rsidR="00F055C8">
        <w:rPr>
          <w:rtl/>
        </w:rPr>
        <w:t>"</w:t>
      </w:r>
      <w:r w:rsidR="00EF5F6E">
        <w:rPr>
          <w:rFonts w:hint="cs"/>
          <w:rtl/>
        </w:rPr>
        <w:t>ב</w:t>
      </w:r>
      <w:r w:rsidR="003F0A00">
        <w:rPr>
          <w:rFonts w:hint="cs"/>
          <w:rtl/>
        </w:rPr>
        <w:t>)</w:t>
      </w:r>
      <w:r w:rsidR="00EF5F6E">
        <w:rPr>
          <w:rFonts w:hint="cs"/>
          <w:rtl/>
        </w:rPr>
        <w:t>)</w:t>
      </w:r>
      <w:r w:rsidR="003F0A00">
        <w:rPr>
          <w:rFonts w:hint="cs"/>
          <w:rtl/>
        </w:rPr>
        <w:t xml:space="preserve">. </w:t>
      </w:r>
    </w:p>
    <w:p w14:paraId="41F2998B" w14:textId="02EDC40C" w:rsidR="00A05F3F" w:rsidRDefault="00F4004D" w:rsidP="006A4581">
      <w:pPr>
        <w:pStyle w:val="FootnoteText"/>
        <w:rPr>
          <w:rtl/>
        </w:rPr>
      </w:pPr>
      <w:r>
        <w:rPr>
          <w:rFonts w:hint="cs"/>
          <w:rtl/>
        </w:rPr>
        <w:t>החיים הכלליים של הגוף שווים בכל האיברים</w:t>
      </w:r>
      <w:r w:rsidR="0049287C">
        <w:rPr>
          <w:rFonts w:hint="cs"/>
          <w:rtl/>
        </w:rPr>
        <w:t xml:space="preserve"> (לשון התלמוד ברכות י' א': </w:t>
      </w:r>
      <w:r w:rsidR="00F055C8">
        <w:rPr>
          <w:rtl/>
        </w:rPr>
        <w:t>"</w:t>
      </w:r>
      <w:r w:rsidR="0049287C" w:rsidRPr="0049287C">
        <w:rPr>
          <w:rtl/>
        </w:rPr>
        <w:t>מה הקב</w:t>
      </w:r>
      <w:r w:rsidR="00F055C8">
        <w:rPr>
          <w:rtl/>
        </w:rPr>
        <w:t>"</w:t>
      </w:r>
      <w:r w:rsidR="0049287C" w:rsidRPr="0049287C">
        <w:rPr>
          <w:rtl/>
        </w:rPr>
        <w:t>ה מלא כל העולם אף נשמה מלאה את כל הגוף</w:t>
      </w:r>
      <w:r w:rsidR="00F055C8">
        <w:rPr>
          <w:rtl/>
        </w:rPr>
        <w:t>"</w:t>
      </w:r>
      <w:r w:rsidR="0049287C">
        <w:rPr>
          <w:rFonts w:hint="cs"/>
          <w:rtl/>
        </w:rPr>
        <w:t>)</w:t>
      </w:r>
      <w:r w:rsidR="00E91AB0">
        <w:rPr>
          <w:rFonts w:hint="cs"/>
          <w:rtl/>
        </w:rPr>
        <w:t>, הם מעל הגבולות הפרטיים של האיברים</w:t>
      </w:r>
      <w:r w:rsidR="00AB459B">
        <w:rPr>
          <w:rFonts w:hint="cs"/>
          <w:rtl/>
        </w:rPr>
        <w:t xml:space="preserve"> וחייהם הפרטיים (העין רואה מכח שיש בה נפש רואה, כח חיים של ראיה שהעין היא גוף שלו</w:t>
      </w:r>
      <w:r w:rsidR="00F510E9">
        <w:rPr>
          <w:rFonts w:hint="cs"/>
          <w:rtl/>
        </w:rPr>
        <w:t>. כח החיים הזה פרטי לעין, ומצד שני הוא אחד עם כח החיים הכללי של כל הגוף ששווה בכל הגוף)</w:t>
      </w:r>
      <w:r w:rsidR="00E91AB0">
        <w:rPr>
          <w:rFonts w:hint="cs"/>
          <w:rtl/>
        </w:rPr>
        <w:t xml:space="preserve">, הם דומים לאין סוף הפשוט שהוא מעל הגבולות של הנבראים המוגבלים. </w:t>
      </w:r>
      <w:r w:rsidR="00BB7D60">
        <w:rPr>
          <w:rFonts w:hint="cs"/>
          <w:rtl/>
        </w:rPr>
        <w:t>וי</w:t>
      </w:r>
      <w:r w:rsidR="00507C4F">
        <w:rPr>
          <w:rFonts w:hint="cs"/>
          <w:rtl/>
        </w:rPr>
        <w:t>ש</w:t>
      </w:r>
      <w:r w:rsidR="00BB7D60">
        <w:rPr>
          <w:rFonts w:hint="cs"/>
          <w:rtl/>
        </w:rPr>
        <w:t xml:space="preserve"> כא</w:t>
      </w:r>
      <w:r w:rsidR="00507C4F">
        <w:rPr>
          <w:rFonts w:hint="cs"/>
          <w:rtl/>
        </w:rPr>
        <w:t>ן</w:t>
      </w:r>
      <w:r w:rsidR="00BB7D60">
        <w:rPr>
          <w:rFonts w:hint="cs"/>
          <w:rtl/>
        </w:rPr>
        <w:t xml:space="preserve"> אחדות בין הפרטי לכללי שהיא לא נתפשת בשכל והיא אותו סו</w:t>
      </w:r>
      <w:r w:rsidR="00805E3C">
        <w:rPr>
          <w:rFonts w:hint="cs"/>
          <w:rtl/>
        </w:rPr>
        <w:t>ד</w:t>
      </w:r>
      <w:r w:rsidR="00BB7D60">
        <w:rPr>
          <w:rFonts w:hint="cs"/>
          <w:rtl/>
        </w:rPr>
        <w:t xml:space="preserve"> של האחדות בין הבורא כאין סוף לבריאה שהיא סופית</w:t>
      </w:r>
      <w:r w:rsidR="00805E3C">
        <w:rPr>
          <w:rFonts w:hint="cs"/>
          <w:rtl/>
        </w:rPr>
        <w:t xml:space="preserve">. </w:t>
      </w:r>
      <w:r w:rsidR="001D644F">
        <w:rPr>
          <w:rFonts w:hint="cs"/>
          <w:rtl/>
        </w:rPr>
        <w:t xml:space="preserve"> </w:t>
      </w:r>
      <w:r w:rsidR="00C55DE6">
        <w:rPr>
          <w:rFonts w:hint="cs"/>
          <w:rtl/>
        </w:rPr>
        <w:t xml:space="preserve"> </w:t>
      </w:r>
      <w:r w:rsidR="007E75D6">
        <w:rPr>
          <w:rFonts w:hint="cs"/>
          <w:rtl/>
        </w:rPr>
        <w:t xml:space="preserve"> </w:t>
      </w:r>
    </w:p>
    <w:p w14:paraId="52A5CF0D" w14:textId="0C0BC538" w:rsidR="00F53B97" w:rsidRDefault="002547F8" w:rsidP="006A4581">
      <w:pPr>
        <w:pStyle w:val="FootnoteText"/>
        <w:rPr>
          <w:rtl/>
        </w:rPr>
      </w:pPr>
      <w:r>
        <w:rPr>
          <w:rFonts w:hint="cs"/>
          <w:rtl/>
        </w:rPr>
        <w:t>אם מסתכלים על איבר אחד רואים שיש בו את החיים הכלליים של הגוף ששווים בכל הגוף, והוא כאיבר פרטי מוגדר נוט</w:t>
      </w:r>
      <w:r w:rsidR="00012277">
        <w:rPr>
          <w:rFonts w:hint="cs"/>
          <w:rtl/>
        </w:rPr>
        <w:t>ל</w:t>
      </w:r>
      <w:r>
        <w:rPr>
          <w:rFonts w:hint="cs"/>
          <w:rtl/>
        </w:rPr>
        <w:t xml:space="preserve"> חלק בכללי ומציאותו מושרשת בכללי, נובעת מהכללי, אין לו חיים</w:t>
      </w:r>
      <w:r w:rsidR="00012277">
        <w:rPr>
          <w:rFonts w:hint="cs"/>
          <w:rtl/>
        </w:rPr>
        <w:t xml:space="preserve"> ומציאות</w:t>
      </w:r>
      <w:r>
        <w:rPr>
          <w:rFonts w:hint="cs"/>
          <w:rtl/>
        </w:rPr>
        <w:t xml:space="preserve"> בלי חיי הכללי </w:t>
      </w:r>
      <w:r w:rsidR="00012277">
        <w:rPr>
          <w:rFonts w:hint="cs"/>
          <w:rtl/>
        </w:rPr>
        <w:t xml:space="preserve">והמציאות הכללית </w:t>
      </w:r>
      <w:r>
        <w:rPr>
          <w:rFonts w:hint="cs"/>
          <w:rtl/>
        </w:rPr>
        <w:t>ש</w:t>
      </w:r>
      <w:r w:rsidR="00FD2DDE">
        <w:rPr>
          <w:rFonts w:hint="cs"/>
          <w:rtl/>
        </w:rPr>
        <w:t>ל</w:t>
      </w:r>
      <w:r>
        <w:rPr>
          <w:rFonts w:hint="cs"/>
          <w:rtl/>
        </w:rPr>
        <w:t xml:space="preserve">ו. </w:t>
      </w:r>
    </w:p>
    <w:p w14:paraId="38B73BC8" w14:textId="03126426" w:rsidR="00C77802" w:rsidRDefault="00012277" w:rsidP="00D161AA">
      <w:pPr>
        <w:pStyle w:val="FootnoteText"/>
        <w:rPr>
          <w:rtl/>
        </w:rPr>
      </w:pPr>
      <w:r>
        <w:rPr>
          <w:rFonts w:hint="cs"/>
          <w:rtl/>
        </w:rPr>
        <w:t xml:space="preserve">זה מה שכתב בתחילת הלכות יסודי התורה שיש שם מצוי ראשון שהוא ממציא כל נמצא, ואין </w:t>
      </w:r>
      <w:r w:rsidR="0030246A">
        <w:rPr>
          <w:rFonts w:hint="cs"/>
          <w:rtl/>
        </w:rPr>
        <w:t>הנמצאים נמצאים אלא מאמיתת הימצאו, ואם הוא יבטל מייד הם יבטלו. הכוונה למציאות</w:t>
      </w:r>
      <w:r w:rsidR="001363B0">
        <w:rPr>
          <w:rFonts w:hint="cs"/>
          <w:rtl/>
        </w:rPr>
        <w:t xml:space="preserve"> </w:t>
      </w:r>
      <w:r w:rsidR="0030246A">
        <w:rPr>
          <w:rFonts w:hint="cs"/>
          <w:rtl/>
        </w:rPr>
        <w:t>הכללית שהכל נוטלים בה חלק ורק היא מציאותם</w:t>
      </w:r>
      <w:r w:rsidR="00242E48">
        <w:rPr>
          <w:rFonts w:hint="cs"/>
          <w:rtl/>
        </w:rPr>
        <w:t xml:space="preserve"> ואין להם כלל מציאות משל עצמם</w:t>
      </w:r>
      <w:r w:rsidR="001363B0">
        <w:rPr>
          <w:rFonts w:hint="cs"/>
          <w:rtl/>
        </w:rPr>
        <w:t xml:space="preserve"> (וכמו שכתב המו</w:t>
      </w:r>
      <w:r w:rsidR="00DB128D">
        <w:rPr>
          <w:rFonts w:hint="cs"/>
          <w:rtl/>
        </w:rPr>
        <w:t>ר</w:t>
      </w:r>
      <w:r w:rsidR="001363B0">
        <w:rPr>
          <w:rFonts w:hint="cs"/>
          <w:rtl/>
        </w:rPr>
        <w:t>ה נבוכים א' נ</w:t>
      </w:r>
      <w:r w:rsidR="00F055C8">
        <w:rPr>
          <w:rtl/>
        </w:rPr>
        <w:t>"</w:t>
      </w:r>
      <w:r w:rsidR="001363B0">
        <w:rPr>
          <w:rFonts w:hint="cs"/>
          <w:rtl/>
        </w:rPr>
        <w:t>ז שהמציאות היא מקרה ל</w:t>
      </w:r>
      <w:r w:rsidR="005A64AE">
        <w:rPr>
          <w:rFonts w:hint="cs"/>
          <w:rtl/>
        </w:rPr>
        <w:t>נמצא</w:t>
      </w:r>
      <w:r w:rsidR="005A64AE">
        <w:rPr>
          <w:rtl/>
        </w:rPr>
        <w:fldChar w:fldCharType="begin"/>
      </w:r>
      <w:r w:rsidR="005A64AE">
        <w:instrText xml:space="preserve"> XE "</w:instrText>
      </w:r>
      <w:r w:rsidR="005A64AE" w:rsidRPr="00DC1F53">
        <w:rPr>
          <w:rFonts w:hint="cs"/>
          <w:rtl/>
        </w:rPr>
        <w:instrText>מורה נבוכים א' נ</w:instrText>
      </w:r>
      <w:r w:rsidR="005A64AE">
        <w:rPr>
          <w:b/>
          <w:bCs/>
          <w:sz w:val="20"/>
          <w:szCs w:val="20"/>
        </w:rPr>
        <w:instrText>\</w:instrText>
      </w:r>
      <w:r w:rsidR="005A64AE" w:rsidRPr="00DC1F53">
        <w:rPr>
          <w:rFonts w:hint="cs"/>
          <w:rtl/>
        </w:rPr>
        <w:instrText>"ז - המציאות היא מקרה לנמצא</w:instrText>
      </w:r>
      <w:r w:rsidR="005A64AE">
        <w:instrText xml:space="preserve">" </w:instrText>
      </w:r>
      <w:r w:rsidR="005A64AE">
        <w:rPr>
          <w:rtl/>
        </w:rPr>
        <w:fldChar w:fldCharType="end"/>
      </w:r>
      <w:r w:rsidR="001363B0">
        <w:rPr>
          <w:rFonts w:hint="cs"/>
          <w:rtl/>
        </w:rPr>
        <w:t xml:space="preserve">, כי היא אינה שלו מצד </w:t>
      </w:r>
      <w:r w:rsidR="007D33C4">
        <w:rPr>
          <w:rFonts w:hint="cs"/>
          <w:rtl/>
        </w:rPr>
        <w:t>עצמו ו</w:t>
      </w:r>
      <w:r w:rsidR="001363B0">
        <w:rPr>
          <w:rFonts w:hint="cs"/>
          <w:rtl/>
        </w:rPr>
        <w:t xml:space="preserve">מהותו, </w:t>
      </w:r>
      <w:r w:rsidR="007D33C4">
        <w:rPr>
          <w:rFonts w:hint="cs"/>
          <w:rtl/>
        </w:rPr>
        <w:t xml:space="preserve">עצמו ומהותו נמצאים רק כי </w:t>
      </w:r>
      <w:r w:rsidR="00DB128D">
        <w:rPr>
          <w:rFonts w:hint="cs"/>
          <w:rtl/>
        </w:rPr>
        <w:t xml:space="preserve">הוא </w:t>
      </w:r>
      <w:r w:rsidR="007D33C4">
        <w:rPr>
          <w:rFonts w:hint="cs"/>
          <w:rtl/>
        </w:rPr>
        <w:t>נוטל חלק במציאות שהיא כללית ולא שייכת למהות הפרטית שמגדירה את ה</w:t>
      </w:r>
      <w:r w:rsidR="00DB128D">
        <w:rPr>
          <w:rFonts w:hint="cs"/>
          <w:rtl/>
        </w:rPr>
        <w:t>ע</w:t>
      </w:r>
      <w:r w:rsidR="007D33C4">
        <w:rPr>
          <w:rFonts w:hint="cs"/>
          <w:rtl/>
        </w:rPr>
        <w:t>צם, ולכן היא</w:t>
      </w:r>
      <w:r w:rsidR="00DB128D">
        <w:rPr>
          <w:rFonts w:hint="cs"/>
          <w:rtl/>
        </w:rPr>
        <w:t xml:space="preserve"> נחשבת</w:t>
      </w:r>
      <w:r w:rsidR="007D33C4">
        <w:rPr>
          <w:rFonts w:hint="cs"/>
          <w:rtl/>
        </w:rPr>
        <w:t xml:space="preserve"> מקרית לעצם</w:t>
      </w:r>
      <w:r w:rsidR="00DB128D">
        <w:rPr>
          <w:rFonts w:hint="cs"/>
          <w:rtl/>
        </w:rPr>
        <w:t>)</w:t>
      </w:r>
      <w:r w:rsidR="007D33C4">
        <w:rPr>
          <w:rFonts w:hint="cs"/>
          <w:rtl/>
        </w:rPr>
        <w:t>.</w:t>
      </w:r>
      <w:r w:rsidR="00242E48">
        <w:rPr>
          <w:rFonts w:hint="cs"/>
          <w:rtl/>
        </w:rPr>
        <w:t xml:space="preserve"> מזה רואים בעליל </w:t>
      </w:r>
      <w:r w:rsidR="00C77802">
        <w:rPr>
          <w:rFonts w:hint="cs"/>
          <w:rtl/>
        </w:rPr>
        <w:t>מה שכתב המורה נבוכים א' ע</w:t>
      </w:r>
      <w:r w:rsidR="00F055C8">
        <w:rPr>
          <w:rtl/>
        </w:rPr>
        <w:t>"</w:t>
      </w:r>
      <w:r w:rsidR="00C77802">
        <w:rPr>
          <w:rFonts w:hint="cs"/>
          <w:rtl/>
        </w:rPr>
        <w:t>ב:</w:t>
      </w:r>
    </w:p>
    <w:p w14:paraId="6D4C7D17" w14:textId="2CCB143E" w:rsidR="00CF0139" w:rsidRDefault="00F055C8" w:rsidP="00CF0139">
      <w:pPr>
        <w:pStyle w:val="FootnoteText"/>
        <w:rPr>
          <w:rtl/>
        </w:rPr>
      </w:pPr>
      <w:r>
        <w:rPr>
          <w:rtl/>
        </w:rPr>
        <w:t>"</w:t>
      </w:r>
      <w:r w:rsidR="0087337C" w:rsidRPr="0087337C">
        <w:rPr>
          <w:rtl/>
        </w:rPr>
        <w:t>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 כן אי אפשר שימצאו חלקי העולם קצתם מבלתי קצתם בזה המציאות המיושב אשר דברינו בו, עד שימצא אש מבלתי ארץ, או ארץ מבלתי שמים, או שמים מבלתי ארץ. וכמו שבאדם כח אחד יקשור אבריו קצתם בקצתם וינהיגם, ויתן לכל אבר מה שצריך שישמור עליו תקונו וידחה ממנו מה שיזיקהו; והוא אשר בארו אותו הרופאים ואמרו: הכח המנהיג גוף החי, והרבה פעמים יקראוהו טבע – כן בעולם בכללו כח יקשור קצתו בקצתו, וישמור מיניו שלא יאבדו, וישמור אישי מיניו גם כן מדת מה שאפשר לשמרם, וישמור גם כן קצת אישי העולם.</w:t>
      </w:r>
      <w:r>
        <w:rPr>
          <w:rtl/>
        </w:rPr>
        <w:t>"</w:t>
      </w:r>
    </w:p>
    <w:p w14:paraId="1052DB06" w14:textId="0395E18F" w:rsidR="00012277" w:rsidRDefault="00CF0139" w:rsidP="00CF0139">
      <w:pPr>
        <w:pStyle w:val="FootnoteText"/>
      </w:pPr>
      <w:r>
        <w:rPr>
          <w:rFonts w:hint="cs"/>
          <w:rtl/>
        </w:rPr>
        <w:t xml:space="preserve">לכן עניין זה של צורת התלת ממדיות שהיא קודמת לכל שאר הצורות הפרטיות הוא כל כך חשוב והוא מסודות המציאות. </w:t>
      </w:r>
      <w:r w:rsidR="0030246A">
        <w:rPr>
          <w:rFonts w:hint="cs"/>
          <w:rtl/>
        </w:rPr>
        <w:t xml:space="preserve"> </w:t>
      </w:r>
      <w:r w:rsidR="00012277">
        <w:rPr>
          <w:rFonts w:hint="cs"/>
          <w:rtl/>
        </w:rPr>
        <w:t xml:space="preserve"> </w:t>
      </w:r>
    </w:p>
  </w:footnote>
  <w:footnote w:id="312">
    <w:p w14:paraId="4438C31C" w14:textId="7A6B6B05" w:rsidR="006C310C" w:rsidRDefault="0074556C" w:rsidP="007F79C0">
      <w:pPr>
        <w:pStyle w:val="FootnoteText"/>
        <w:rPr>
          <w:rtl/>
        </w:rPr>
      </w:pPr>
      <w:r>
        <w:rPr>
          <w:rStyle w:val="FootnoteReference"/>
        </w:rPr>
        <w:footnoteRef/>
      </w:r>
      <w:r>
        <w:rPr>
          <w:rtl/>
        </w:rPr>
        <w:t xml:space="preserve"> </w:t>
      </w:r>
      <w:r w:rsidR="006C310C">
        <w:rPr>
          <w:rFonts w:hint="cs"/>
          <w:rtl/>
        </w:rPr>
        <w:t>בעניין השיתוף במספר:</w:t>
      </w:r>
    </w:p>
    <w:p w14:paraId="0476F452" w14:textId="3BACC365" w:rsidR="00530BA0" w:rsidRDefault="00530BA0">
      <w:pPr>
        <w:pStyle w:val="FootnoteText"/>
        <w:rPr>
          <w:rtl/>
        </w:rPr>
      </w:pPr>
      <w:r>
        <w:rPr>
          <w:rFonts w:hint="cs"/>
          <w:rtl/>
        </w:rPr>
        <w:t>הרמב</w:t>
      </w:r>
      <w:r w:rsidR="00F055C8">
        <w:rPr>
          <w:rtl/>
        </w:rPr>
        <w:t>"</w:t>
      </w:r>
      <w:r>
        <w:rPr>
          <w:rFonts w:hint="cs"/>
          <w:rtl/>
        </w:rPr>
        <w:t>ם בהקדמת פרק חלק:</w:t>
      </w:r>
    </w:p>
    <w:p w14:paraId="5670E4E7" w14:textId="18E5C918" w:rsidR="0074556C" w:rsidRDefault="00F055C8">
      <w:pPr>
        <w:pStyle w:val="FootnoteText"/>
        <w:rPr>
          <w:rtl/>
        </w:rPr>
      </w:pPr>
      <w:r>
        <w:rPr>
          <w:rtl/>
        </w:rPr>
        <w:t>"</w:t>
      </w:r>
      <w:r w:rsidR="00DE530C">
        <w:rPr>
          <w:rFonts w:hint="cs"/>
          <w:rtl/>
        </w:rPr>
        <w:t xml:space="preserve">והיסוד השני - </w:t>
      </w:r>
      <w:r w:rsidR="0074556C" w:rsidRPr="0074556C">
        <w:rPr>
          <w:rtl/>
        </w:rPr>
        <w:t xml:space="preserve">אחדותו יתעלה. והוא, שזה </w:t>
      </w:r>
      <w:r w:rsidR="0074556C" w:rsidRPr="0074556C">
        <w:rPr>
          <w:rtl/>
        </w:rPr>
        <w:t>עלת הכל אחד, לא כאחדות המין ולא כאחדות הסוג, ולא כדבר האחד המורכב שהוא מתחלק לאחדים רבים, ולא אחד כגוף הפשוט שהוא</w:t>
      </w:r>
      <w:r w:rsidR="0074556C" w:rsidRPr="00756860">
        <w:rPr>
          <w:b/>
          <w:bCs/>
          <w:rtl/>
        </w:rPr>
        <w:t xml:space="preserve"> אחד במספר</w:t>
      </w:r>
      <w:r w:rsidR="0074556C" w:rsidRPr="0074556C">
        <w:rPr>
          <w:rtl/>
        </w:rPr>
        <w:t xml:space="preserve"> אבל מקבל החלוקה והפיצול עד בלי סוף, אלא הוא יתעלה אחד, אחדות שאין אחדות כמוה בשום פנים</w:t>
      </w:r>
      <w:r>
        <w:rPr>
          <w:rtl/>
        </w:rPr>
        <w:t>"</w:t>
      </w:r>
    </w:p>
    <w:p w14:paraId="70837B33" w14:textId="77777777" w:rsidR="00483E2C" w:rsidRDefault="00483E2C">
      <w:pPr>
        <w:pStyle w:val="FootnoteText"/>
        <w:rPr>
          <w:rtl/>
        </w:rPr>
      </w:pPr>
    </w:p>
    <w:p w14:paraId="2E4A92DB" w14:textId="06E93C61" w:rsidR="00483E2C" w:rsidRDefault="00483E2C">
      <w:pPr>
        <w:pStyle w:val="FootnoteText"/>
        <w:rPr>
          <w:rtl/>
        </w:rPr>
      </w:pPr>
      <w:r>
        <w:rPr>
          <w:rFonts w:hint="cs"/>
          <w:rtl/>
        </w:rPr>
        <w:t>מורה נבוכים א' ס</w:t>
      </w:r>
      <w:r w:rsidR="00F055C8">
        <w:rPr>
          <w:rtl/>
        </w:rPr>
        <w:t>"</w:t>
      </w:r>
      <w:r>
        <w:rPr>
          <w:rFonts w:hint="cs"/>
          <w:rtl/>
        </w:rPr>
        <w:t>ח:</w:t>
      </w:r>
    </w:p>
    <w:p w14:paraId="1201EFCE" w14:textId="3843DBAC" w:rsidR="00483E2C" w:rsidRDefault="00F055C8">
      <w:pPr>
        <w:pStyle w:val="FootnoteText"/>
        <w:rPr>
          <w:rtl/>
        </w:rPr>
      </w:pPr>
      <w:r>
        <w:rPr>
          <w:rtl/>
        </w:rPr>
        <w:t>"</w:t>
      </w:r>
      <w:r w:rsidR="00483E2C" w:rsidRPr="00483E2C">
        <w:rPr>
          <w:rtl/>
        </w:rPr>
        <w:t xml:space="preserve">הנה כבר התבאר כי היות השכל והמשכיל והמושכל </w:t>
      </w:r>
      <w:r w:rsidR="00483E2C" w:rsidRPr="00756860">
        <w:rPr>
          <w:b/>
          <w:bCs/>
          <w:rtl/>
        </w:rPr>
        <w:t>אחד במספר</w:t>
      </w:r>
      <w:r w:rsidR="00483E2C" w:rsidRPr="00483E2C">
        <w:rPr>
          <w:rtl/>
        </w:rPr>
        <w:t>, אינו בחק הבורא לבד, אבל בחק כל שכל, ובנו ג</w:t>
      </w:r>
      <w:r>
        <w:rPr>
          <w:rtl/>
        </w:rPr>
        <w:t>"</w:t>
      </w:r>
      <w:r w:rsidR="00483E2C" w:rsidRPr="00483E2C">
        <w:rPr>
          <w:rtl/>
        </w:rPr>
        <w:t>כ המשכיל והשכל והמושכל דבר אחד, כשיהיה לנו שכל בפעל</w:t>
      </w:r>
      <w:r>
        <w:rPr>
          <w:rtl/>
        </w:rPr>
        <w:t>"</w:t>
      </w:r>
    </w:p>
    <w:p w14:paraId="3FAC6C5C" w14:textId="77777777" w:rsidR="00046EBE" w:rsidRDefault="00046EBE">
      <w:pPr>
        <w:pStyle w:val="FootnoteText"/>
        <w:rPr>
          <w:rtl/>
        </w:rPr>
      </w:pPr>
    </w:p>
    <w:p w14:paraId="46F0350E" w14:textId="5C986EB0" w:rsidR="00046EBE" w:rsidRDefault="00046EBE">
      <w:pPr>
        <w:pStyle w:val="FootnoteText"/>
        <w:rPr>
          <w:rtl/>
        </w:rPr>
      </w:pPr>
      <w:r>
        <w:rPr>
          <w:rFonts w:hint="cs"/>
          <w:rtl/>
        </w:rPr>
        <w:t>שם א' ע</w:t>
      </w:r>
      <w:r w:rsidR="00F055C8">
        <w:rPr>
          <w:rtl/>
        </w:rPr>
        <w:t>"</w:t>
      </w:r>
      <w:r>
        <w:rPr>
          <w:rFonts w:hint="cs"/>
          <w:rtl/>
        </w:rPr>
        <w:t>ד:</w:t>
      </w:r>
    </w:p>
    <w:p w14:paraId="2E58CC9A" w14:textId="164A9399" w:rsidR="00046EBE" w:rsidRDefault="00F055C8">
      <w:pPr>
        <w:pStyle w:val="FootnoteText"/>
        <w:rPr>
          <w:rtl/>
        </w:rPr>
      </w:pPr>
      <w:r>
        <w:rPr>
          <w:rtl/>
        </w:rPr>
        <w:t>"</w:t>
      </w:r>
      <w:r w:rsidR="00046EBE" w:rsidRPr="00046EBE">
        <w:rPr>
          <w:rtl/>
        </w:rPr>
        <w:t>אמנם קצת אחרוני הפילוסופים התירו זה הספק בשאמרו, הנפשות הנשארות אינם גשמים שיהיה להם מקום והנחה שימנע במציאותם האין תכלית. ואשר תדעהו כי אלו הענינים הנבדלים, ר</w:t>
      </w:r>
      <w:r>
        <w:rPr>
          <w:rtl/>
        </w:rPr>
        <w:t>"</w:t>
      </w:r>
      <w:r w:rsidR="00046EBE" w:rsidRPr="00046EBE">
        <w:rPr>
          <w:rtl/>
        </w:rPr>
        <w:t xml:space="preserve">ל שאינם גשמים ולא כח בגשם, אבל הם שכלים, לא יצוייר בהם רבוי כלל ולא בשום פנים, אלא אם יהיו קצתם סבת מציאות קצתם ויפול זה ההפרש בהיות זה עלה וזה עלול. ואין הדבר הנשאר מראובן עלה ולא עלול לנשאר משמעון, ולזה יהיה הכל </w:t>
      </w:r>
      <w:r w:rsidR="00046EBE" w:rsidRPr="00756860">
        <w:rPr>
          <w:b/>
          <w:bCs/>
          <w:rtl/>
        </w:rPr>
        <w:t>אחד במספר</w:t>
      </w:r>
      <w:r>
        <w:rPr>
          <w:rtl/>
        </w:rPr>
        <w:t>"</w:t>
      </w:r>
    </w:p>
    <w:p w14:paraId="1B4B94A7" w14:textId="77777777" w:rsidR="00590296" w:rsidRDefault="00590296">
      <w:pPr>
        <w:pStyle w:val="FootnoteText"/>
        <w:rPr>
          <w:rtl/>
        </w:rPr>
      </w:pPr>
    </w:p>
    <w:p w14:paraId="3B457D5A" w14:textId="7CFAF91E" w:rsidR="00590296" w:rsidRDefault="00590296">
      <w:pPr>
        <w:pStyle w:val="FootnoteText"/>
        <w:rPr>
          <w:rtl/>
        </w:rPr>
      </w:pPr>
      <w:r>
        <w:rPr>
          <w:rFonts w:hint="cs"/>
          <w:rtl/>
        </w:rPr>
        <w:t>ובספר האמונה הרמה להראב</w:t>
      </w:r>
      <w:r w:rsidR="00F055C8">
        <w:rPr>
          <w:rtl/>
        </w:rPr>
        <w:t>"</w:t>
      </w:r>
      <w:r>
        <w:rPr>
          <w:rFonts w:hint="cs"/>
          <w:rtl/>
        </w:rPr>
        <w:t>ד ב' ב':</w:t>
      </w:r>
    </w:p>
    <w:p w14:paraId="0847A71B" w14:textId="71056202" w:rsidR="00590296" w:rsidRDefault="00F055C8">
      <w:pPr>
        <w:pStyle w:val="FootnoteText"/>
        <w:rPr>
          <w:rtl/>
        </w:rPr>
      </w:pPr>
      <w:r>
        <w:rPr>
          <w:rtl/>
        </w:rPr>
        <w:t>"</w:t>
      </w:r>
      <w:r w:rsidR="00590296" w:rsidRPr="00590296">
        <w:rPr>
          <w:rtl/>
        </w:rPr>
        <w:t>שהאדם והאבן אחד בגשמיות, וממנה קרובה, שראובן ושמעון אחד באנושות, ואלה כולם אחדיות כוזבות, כי ראובן איננו שמעון ואם כלל</w:t>
      </w:r>
      <w:r w:rsidR="00756860">
        <w:rPr>
          <w:rFonts w:hint="cs"/>
          <w:rtl/>
        </w:rPr>
        <w:t xml:space="preserve"> [ואע</w:t>
      </w:r>
      <w:r>
        <w:rPr>
          <w:rtl/>
        </w:rPr>
        <w:t>"</w:t>
      </w:r>
      <w:r w:rsidR="00756860">
        <w:rPr>
          <w:rFonts w:hint="cs"/>
          <w:rtl/>
        </w:rPr>
        <w:t>פ שכלל]</w:t>
      </w:r>
      <w:r w:rsidR="00590296" w:rsidRPr="00590296">
        <w:rPr>
          <w:rtl/>
        </w:rPr>
        <w:t xml:space="preserve"> אותם האנושות. ויאמר אחד ל</w:t>
      </w:r>
      <w:r w:rsidR="00590296" w:rsidRPr="00756860">
        <w:rPr>
          <w:b/>
          <w:bCs/>
          <w:rtl/>
        </w:rPr>
        <w:t>אחד במספר</w:t>
      </w:r>
      <w:r w:rsidR="00590296" w:rsidRPr="00590296">
        <w:rPr>
          <w:rtl/>
        </w:rPr>
        <w:t>, וזה האחדות יותר אמתי מן האחדיות אשר קדמו. ומהם האחד בדביק הטבעי, כגשם אדם, וזה אחדות כזב ג</w:t>
      </w:r>
      <w:r>
        <w:rPr>
          <w:rtl/>
        </w:rPr>
        <w:t>"</w:t>
      </w:r>
      <w:r w:rsidR="00590296" w:rsidRPr="00590296">
        <w:rPr>
          <w:rtl/>
        </w:rPr>
        <w:t>כ, לראותינו אותו מחובר מאיברים רבים כליים, והכלים מן המתדמי החלקים. ויותר כזב מזה האחדות, אחדות הקבוץ, כמו שיאמר: חיל אחד וקהל אחד.</w:t>
      </w:r>
      <w:r>
        <w:rPr>
          <w:rtl/>
        </w:rPr>
        <w:t>"</w:t>
      </w:r>
    </w:p>
    <w:p w14:paraId="2F8799A9" w14:textId="77777777" w:rsidR="0059766F" w:rsidRDefault="0059766F">
      <w:pPr>
        <w:pStyle w:val="FootnoteText"/>
        <w:rPr>
          <w:rtl/>
        </w:rPr>
      </w:pPr>
    </w:p>
    <w:p w14:paraId="27CEF2CD" w14:textId="62C4F507" w:rsidR="009A36C7" w:rsidRDefault="009A36C7">
      <w:pPr>
        <w:pStyle w:val="FootnoteText"/>
        <w:rPr>
          <w:rtl/>
        </w:rPr>
      </w:pPr>
      <w:r>
        <w:rPr>
          <w:rFonts w:hint="cs"/>
          <w:rtl/>
        </w:rPr>
        <w:t>עיין במטאפיזיקה דלתא</w:t>
      </w:r>
      <w:r w:rsidR="00227AD6">
        <w:rPr>
          <w:rFonts w:hint="cs"/>
          <w:rtl/>
        </w:rPr>
        <w:t xml:space="preserve"> פרק ו'</w:t>
      </w:r>
      <w:r>
        <w:rPr>
          <w:rFonts w:hint="cs"/>
          <w:rtl/>
        </w:rPr>
        <w:t xml:space="preserve"> על המובנים</w:t>
      </w:r>
      <w:r w:rsidR="00227AD6">
        <w:rPr>
          <w:rFonts w:hint="cs"/>
          <w:rtl/>
        </w:rPr>
        <w:t xml:space="preserve"> השונים</w:t>
      </w:r>
      <w:r>
        <w:rPr>
          <w:rFonts w:hint="cs"/>
          <w:rtl/>
        </w:rPr>
        <w:t xml:space="preserve"> של 'אחד'. </w:t>
      </w:r>
      <w:r w:rsidR="00235109">
        <w:rPr>
          <w:rFonts w:hint="cs"/>
          <w:rtl/>
        </w:rPr>
        <w:t>ועיין שם 1016ב שורה 17</w:t>
      </w:r>
      <w:r w:rsidR="00D46962">
        <w:rPr>
          <w:rFonts w:hint="cs"/>
          <w:rtl/>
        </w:rPr>
        <w:t>, שכתב (תרגום דיבואה וולמן):</w:t>
      </w:r>
    </w:p>
    <w:p w14:paraId="07E1CF6D" w14:textId="6C98F0BF" w:rsidR="00510C99" w:rsidRDefault="00F055C8">
      <w:pPr>
        <w:pStyle w:val="FootnoteText"/>
        <w:rPr>
          <w:rtl/>
        </w:rPr>
      </w:pPr>
      <w:r>
        <w:rPr>
          <w:rtl/>
        </w:rPr>
        <w:t>"</w:t>
      </w:r>
      <w:r w:rsidR="00D46962">
        <w:rPr>
          <w:rFonts w:hint="cs"/>
          <w:rtl/>
        </w:rPr>
        <w:t xml:space="preserve">מהותו של אחד </w:t>
      </w:r>
      <w:r w:rsidR="00891372">
        <w:rPr>
          <w:rFonts w:hint="cs"/>
          <w:rtl/>
        </w:rPr>
        <w:t>שהוא מעין ראשית של  מספר</w:t>
      </w:r>
      <w:r w:rsidR="001B79EF">
        <w:rPr>
          <w:rFonts w:hint="cs"/>
          <w:rtl/>
        </w:rPr>
        <w:t>;</w:t>
      </w:r>
      <w:r w:rsidR="00761D94">
        <w:rPr>
          <w:rFonts w:hint="cs"/>
          <w:rtl/>
        </w:rPr>
        <w:t xml:space="preserve"> שהרי אמת המידה היא ראשית, </w:t>
      </w:r>
      <w:r w:rsidR="001B79EF">
        <w:rPr>
          <w:rFonts w:hint="cs"/>
          <w:rtl/>
        </w:rPr>
        <w:t xml:space="preserve">שכן זה שלפיו אנו מכירים </w:t>
      </w:r>
      <w:r w:rsidR="00224454">
        <w:rPr>
          <w:rFonts w:hint="cs"/>
          <w:rtl/>
        </w:rPr>
        <w:t xml:space="preserve">לראשונה כל סוג וסוג הוא אמת המידה לאותו הסוג, </w:t>
      </w:r>
      <w:r w:rsidR="00EF7507">
        <w:rPr>
          <w:rFonts w:hint="cs"/>
          <w:rtl/>
        </w:rPr>
        <w:t xml:space="preserve">ה'אחד' הוא </w:t>
      </w:r>
      <w:r w:rsidR="00C96597">
        <w:rPr>
          <w:rFonts w:hint="cs"/>
          <w:rtl/>
        </w:rPr>
        <w:t xml:space="preserve">אפוא ראשית של מה שניתן לידיעה </w:t>
      </w:r>
      <w:r w:rsidR="000E0D28">
        <w:rPr>
          <w:rFonts w:hint="cs"/>
          <w:rtl/>
        </w:rPr>
        <w:t xml:space="preserve">בכל סוג וסוג, </w:t>
      </w:r>
      <w:r w:rsidR="00312C54">
        <w:rPr>
          <w:rFonts w:hint="cs"/>
          <w:rtl/>
        </w:rPr>
        <w:t xml:space="preserve">אך אין ה'אחד' אותו הדבר עצמו בכל </w:t>
      </w:r>
      <w:r w:rsidR="009A0450">
        <w:rPr>
          <w:rFonts w:hint="cs"/>
          <w:rtl/>
        </w:rPr>
        <w:t>הסוגים</w:t>
      </w:r>
      <w:r w:rsidR="00297121">
        <w:rPr>
          <w:rFonts w:hint="cs"/>
          <w:rtl/>
        </w:rPr>
        <w:t>. כאן זה רבע טון, ושם עיצור או תנועה</w:t>
      </w:r>
      <w:r w:rsidR="00EC5804">
        <w:rPr>
          <w:rFonts w:hint="cs"/>
          <w:rtl/>
        </w:rPr>
        <w:t xml:space="preserve">; ויחידה אחת </w:t>
      </w:r>
      <w:r w:rsidR="00426B98">
        <w:rPr>
          <w:rFonts w:hint="cs"/>
          <w:rtl/>
        </w:rPr>
        <w:t xml:space="preserve">למשקל ויחידה שונה לתנועה, אך בכל מקום </w:t>
      </w:r>
      <w:r w:rsidR="00F458AF">
        <w:rPr>
          <w:rFonts w:hint="cs"/>
          <w:rtl/>
        </w:rPr>
        <w:t>ה'אחד' אינו ניתן לחלוקה לא מבחינת הכמות ולא מבחינת המין</w:t>
      </w:r>
      <w:r w:rsidR="00D263AE">
        <w:rPr>
          <w:rFonts w:hint="cs"/>
          <w:rtl/>
        </w:rPr>
        <w:t xml:space="preserve">. מה שאינו ניתן לחלוקה מבחינת הכמות </w:t>
      </w:r>
      <w:r w:rsidR="0002006A">
        <w:rPr>
          <w:rFonts w:hint="cs"/>
          <w:rtl/>
        </w:rPr>
        <w:t xml:space="preserve">- אם אינו מתחלק לפי שום ממד ואינו נמצא בשום מצב </w:t>
      </w:r>
      <w:r w:rsidR="0071666E">
        <w:rPr>
          <w:rFonts w:hint="cs"/>
          <w:rtl/>
        </w:rPr>
        <w:t>- קרוי יחידה</w:t>
      </w:r>
      <w:r w:rsidR="00206B8D">
        <w:t xml:space="preserve"> </w:t>
      </w:r>
      <w:r w:rsidR="00B92963">
        <w:rPr>
          <w:rFonts w:hint="cs"/>
          <w:rtl/>
        </w:rPr>
        <w:t>(תומאס טיילור תרגם כאן מונ</w:t>
      </w:r>
      <w:r w:rsidR="00E340E5">
        <w:rPr>
          <w:rFonts w:hint="cs"/>
          <w:rtl/>
        </w:rPr>
        <w:t>א</w:t>
      </w:r>
      <w:r w:rsidR="00B92963">
        <w:rPr>
          <w:rFonts w:hint="cs"/>
          <w:rtl/>
        </w:rPr>
        <w:t xml:space="preserve">דה, </w:t>
      </w:r>
      <w:r w:rsidR="00B92963">
        <w:t>monad</w:t>
      </w:r>
      <w:r w:rsidR="009F48F2">
        <w:rPr>
          <w:rFonts w:hint="cs"/>
          <w:rtl/>
        </w:rPr>
        <w:t xml:space="preserve">, </w:t>
      </w:r>
      <w:r w:rsidR="00E7445E">
        <w:rPr>
          <w:rFonts w:hint="cs"/>
          <w:rtl/>
        </w:rPr>
        <w:t>שמקורה מהמילה היוונית מונוס שפירושה אחד</w:t>
      </w:r>
      <w:r w:rsidR="006633FD">
        <w:rPr>
          <w:rFonts w:hint="cs"/>
          <w:rtl/>
        </w:rPr>
        <w:t xml:space="preserve"> או לבד</w:t>
      </w:r>
      <w:r w:rsidR="00C97DEE">
        <w:rPr>
          <w:rFonts w:hint="cs"/>
          <w:rtl/>
        </w:rPr>
        <w:t>,</w:t>
      </w:r>
      <w:r w:rsidR="00E7445E">
        <w:rPr>
          <w:rFonts w:hint="cs"/>
          <w:rtl/>
        </w:rPr>
        <w:t xml:space="preserve"> </w:t>
      </w:r>
      <w:r w:rsidR="009F48F2">
        <w:rPr>
          <w:rFonts w:hint="cs"/>
          <w:rtl/>
        </w:rPr>
        <w:t xml:space="preserve">שלא כמו רוס שתרגם </w:t>
      </w:r>
      <w:r w:rsidR="009F48F2">
        <w:t>unit</w:t>
      </w:r>
      <w:r w:rsidR="009F48F2">
        <w:rPr>
          <w:rFonts w:hint="cs"/>
          <w:rtl/>
        </w:rPr>
        <w:t>, והוא תרגום יותר נכון</w:t>
      </w:r>
      <w:r w:rsidR="00224B9E">
        <w:rPr>
          <w:rFonts w:hint="cs"/>
          <w:rtl/>
        </w:rPr>
        <w:t xml:space="preserve"> אע</w:t>
      </w:r>
      <w:r>
        <w:rPr>
          <w:rtl/>
        </w:rPr>
        <w:t>"</w:t>
      </w:r>
      <w:r w:rsidR="00224B9E">
        <w:rPr>
          <w:rFonts w:hint="cs"/>
          <w:rtl/>
        </w:rPr>
        <w:t xml:space="preserve">פ שהמשמעות המילולית זהה, כי </w:t>
      </w:r>
      <w:r w:rsidR="00653C2C">
        <w:rPr>
          <w:rFonts w:hint="cs"/>
          <w:rtl/>
        </w:rPr>
        <w:t>'</w:t>
      </w:r>
      <w:r w:rsidR="00224B9E">
        <w:rPr>
          <w:rFonts w:hint="cs"/>
          <w:rtl/>
        </w:rPr>
        <w:t>מונאדה</w:t>
      </w:r>
      <w:r w:rsidR="00653C2C">
        <w:rPr>
          <w:rFonts w:hint="cs"/>
          <w:rtl/>
        </w:rPr>
        <w:t>'</w:t>
      </w:r>
      <w:r w:rsidR="00224B9E">
        <w:rPr>
          <w:rFonts w:hint="cs"/>
          <w:rtl/>
        </w:rPr>
        <w:t xml:space="preserve"> היא מונח</w:t>
      </w:r>
      <w:r w:rsidR="0004353F">
        <w:rPr>
          <w:rFonts w:hint="cs"/>
          <w:rtl/>
        </w:rPr>
        <w:t xml:space="preserve"> </w:t>
      </w:r>
      <w:r w:rsidR="00AD7A4F">
        <w:rPr>
          <w:rFonts w:hint="cs"/>
          <w:rtl/>
        </w:rPr>
        <w:t xml:space="preserve">שמקורו באפלטון בפילבוס </w:t>
      </w:r>
      <w:r w:rsidR="008B4633">
        <w:rPr>
          <w:rFonts w:hint="cs"/>
          <w:rtl/>
        </w:rPr>
        <w:t>(מעמ' 16 והלאה</w:t>
      </w:r>
      <w:r w:rsidR="00FE786C">
        <w:rPr>
          <w:rFonts w:hint="cs"/>
          <w:rtl/>
        </w:rPr>
        <w:t>. והתבאר ביאמבליכוס ופרוקלוס ו</w:t>
      </w:r>
      <w:r w:rsidR="00BE74DB">
        <w:rPr>
          <w:rFonts w:hint="cs"/>
          <w:rtl/>
        </w:rPr>
        <w:t>סיריאנוס</w:t>
      </w:r>
      <w:r w:rsidR="006C5061">
        <w:rPr>
          <w:rFonts w:hint="cs"/>
          <w:rtl/>
        </w:rPr>
        <w:t xml:space="preserve">, והוא שייך למונח </w:t>
      </w:r>
      <w:r w:rsidR="006C5061">
        <w:t>henad</w:t>
      </w:r>
      <w:r w:rsidR="00E340E5">
        <w:rPr>
          <w:rFonts w:hint="cs"/>
          <w:rtl/>
        </w:rPr>
        <w:t>, והוא מונח מרכזי בתורה שבעל פה ש</w:t>
      </w:r>
      <w:r w:rsidR="009B6565">
        <w:rPr>
          <w:rFonts w:hint="cs"/>
          <w:rtl/>
        </w:rPr>
        <w:t xml:space="preserve">מסר אפלטון וכתב אותה ברמזים אריסטו במטאפיזיקה ספרים מ' נ', ועיקרה הוא ששרשי המציאות הם האחד, </w:t>
      </w:r>
      <w:r w:rsidR="007F63C4">
        <w:rPr>
          <w:rFonts w:hint="cs"/>
          <w:rtl/>
        </w:rPr>
        <w:t>המונאד, והדיאד שהם השתיים הלא מוגדר</w:t>
      </w:r>
      <w:r w:rsidR="0004353F">
        <w:rPr>
          <w:rFonts w:hint="cs"/>
          <w:rtl/>
        </w:rPr>
        <w:t>)</w:t>
      </w:r>
      <w:r w:rsidR="007F63C4">
        <w:rPr>
          <w:rFonts w:hint="cs"/>
          <w:rtl/>
        </w:rPr>
        <w:t>. אפשר שרוס סבר שאריסטו לא מחויב לפילוסופי</w:t>
      </w:r>
      <w:r w:rsidR="00066EC1">
        <w:rPr>
          <w:rFonts w:hint="cs"/>
          <w:rtl/>
        </w:rPr>
        <w:t>ה</w:t>
      </w:r>
      <w:r w:rsidR="007F63C4">
        <w:rPr>
          <w:rFonts w:hint="cs"/>
          <w:rtl/>
        </w:rPr>
        <w:t xml:space="preserve"> המכונה ניאו</w:t>
      </w:r>
      <w:r w:rsidR="00066EC1">
        <w:rPr>
          <w:rFonts w:hint="cs"/>
          <w:rtl/>
        </w:rPr>
        <w:t>-</w:t>
      </w:r>
      <w:r w:rsidR="007F63C4">
        <w:rPr>
          <w:rFonts w:hint="cs"/>
          <w:rtl/>
        </w:rPr>
        <w:t>פלטונית, אבל האמת היא וודאי כטיילור ש</w:t>
      </w:r>
      <w:r w:rsidR="00535FC1">
        <w:rPr>
          <w:rFonts w:hint="cs"/>
          <w:rtl/>
        </w:rPr>
        <w:t>הנאו</w:t>
      </w:r>
      <w:r w:rsidR="00066EC1">
        <w:rPr>
          <w:rFonts w:hint="cs"/>
          <w:rtl/>
        </w:rPr>
        <w:t>-</w:t>
      </w:r>
      <w:r w:rsidR="00535FC1">
        <w:rPr>
          <w:rFonts w:hint="cs"/>
          <w:rtl/>
        </w:rPr>
        <w:t>פלטוניזם</w:t>
      </w:r>
      <w:r w:rsidR="00920C54">
        <w:rPr>
          <w:rFonts w:hint="cs"/>
          <w:rtl/>
        </w:rPr>
        <w:t xml:space="preserve"> בזרם המרכזי שלו</w:t>
      </w:r>
      <w:r w:rsidR="00535FC1">
        <w:rPr>
          <w:rFonts w:hint="cs"/>
          <w:rtl/>
        </w:rPr>
        <w:t xml:space="preserve"> הוא פנימיות תורת אריסטו שהיה פרשן של אפלטון ומוסר תורת הסוד של אפלטון, והוא לא שיטה שונה</w:t>
      </w:r>
      <w:r w:rsidR="00920C54">
        <w:rPr>
          <w:rFonts w:hint="cs"/>
          <w:rtl/>
        </w:rPr>
        <w:t>.</w:t>
      </w:r>
      <w:r w:rsidR="0004353F">
        <w:rPr>
          <w:rFonts w:hint="cs"/>
          <w:rtl/>
        </w:rPr>
        <w:t xml:space="preserve"> </w:t>
      </w:r>
      <w:r w:rsidR="00411A33">
        <w:rPr>
          <w:rFonts w:hint="cs"/>
          <w:rtl/>
        </w:rPr>
        <w:t xml:space="preserve">כמונח </w:t>
      </w:r>
      <w:r w:rsidR="00224B9E">
        <w:rPr>
          <w:rFonts w:hint="cs"/>
          <w:rtl/>
        </w:rPr>
        <w:t>יש ל</w:t>
      </w:r>
      <w:r w:rsidR="001B1D2D">
        <w:rPr>
          <w:rFonts w:hint="cs"/>
          <w:rtl/>
        </w:rPr>
        <w:t>מונאדה</w:t>
      </w:r>
      <w:r w:rsidR="00224B9E">
        <w:rPr>
          <w:rFonts w:hint="cs"/>
          <w:rtl/>
        </w:rPr>
        <w:t xml:space="preserve"> משמעויות מעבר למ</w:t>
      </w:r>
      <w:r w:rsidR="00411A33">
        <w:rPr>
          <w:rFonts w:hint="cs"/>
          <w:rtl/>
        </w:rPr>
        <w:t>שמעות</w:t>
      </w:r>
      <w:r w:rsidR="00653C2C">
        <w:rPr>
          <w:rFonts w:hint="cs"/>
          <w:rtl/>
        </w:rPr>
        <w:t xml:space="preserve"> </w:t>
      </w:r>
      <w:r w:rsidR="00411A33">
        <w:rPr>
          <w:rFonts w:hint="cs"/>
          <w:rtl/>
        </w:rPr>
        <w:t xml:space="preserve">המילולית של </w:t>
      </w:r>
      <w:r w:rsidR="00653C2C">
        <w:rPr>
          <w:rFonts w:hint="cs"/>
          <w:rtl/>
        </w:rPr>
        <w:t>מה</w:t>
      </w:r>
      <w:r w:rsidR="00224B9E">
        <w:rPr>
          <w:rFonts w:hint="cs"/>
          <w:rtl/>
        </w:rPr>
        <w:t xml:space="preserve"> ש</w:t>
      </w:r>
      <w:r w:rsidR="00411A33">
        <w:rPr>
          <w:rFonts w:hint="cs"/>
          <w:rtl/>
        </w:rPr>
        <w:t>א</w:t>
      </w:r>
      <w:r w:rsidR="00224B9E">
        <w:rPr>
          <w:rFonts w:hint="cs"/>
          <w:rtl/>
        </w:rPr>
        <w:t>ינו מתחלק</w:t>
      </w:r>
      <w:r w:rsidR="009F48F2">
        <w:rPr>
          <w:rFonts w:hint="cs"/>
          <w:rtl/>
        </w:rPr>
        <w:t>)</w:t>
      </w:r>
      <w:r w:rsidR="0071666E">
        <w:rPr>
          <w:rFonts w:hint="cs"/>
          <w:rtl/>
        </w:rPr>
        <w:t xml:space="preserve">; אם אינו מתחלק לפי שום ממד </w:t>
      </w:r>
      <w:r w:rsidR="005F63ED">
        <w:rPr>
          <w:rFonts w:hint="cs"/>
          <w:rtl/>
        </w:rPr>
        <w:t xml:space="preserve">אך נמצא במצב </w:t>
      </w:r>
      <w:r w:rsidR="009C463A">
        <w:rPr>
          <w:rFonts w:hint="cs"/>
          <w:rtl/>
        </w:rPr>
        <w:t>מסוים</w:t>
      </w:r>
      <w:r w:rsidR="005F63ED">
        <w:rPr>
          <w:rFonts w:hint="cs"/>
          <w:rtl/>
        </w:rPr>
        <w:t xml:space="preserve"> - הוא קרוי נקודה;</w:t>
      </w:r>
      <w:r w:rsidR="00E13881">
        <w:rPr>
          <w:rFonts w:hint="cs"/>
          <w:rtl/>
        </w:rPr>
        <w:t xml:space="preserve"> אם הוא מתחלק לפי ממד אחד -</w:t>
      </w:r>
      <w:r w:rsidR="00A33473">
        <w:rPr>
          <w:rFonts w:hint="cs"/>
          <w:rtl/>
        </w:rPr>
        <w:t xml:space="preserve"> קו</w:t>
      </w:r>
      <w:r w:rsidR="00E13881">
        <w:rPr>
          <w:rFonts w:hint="cs"/>
          <w:rtl/>
        </w:rPr>
        <w:t>; אם לפי שניים</w:t>
      </w:r>
      <w:r w:rsidR="00A33473">
        <w:rPr>
          <w:rFonts w:hint="cs"/>
          <w:rtl/>
        </w:rPr>
        <w:t xml:space="preserve"> - </w:t>
      </w:r>
      <w:r w:rsidR="00E13881">
        <w:rPr>
          <w:rFonts w:hint="cs"/>
          <w:rtl/>
        </w:rPr>
        <w:t xml:space="preserve"> מישור</w:t>
      </w:r>
      <w:r w:rsidR="00EE3DAC">
        <w:rPr>
          <w:rFonts w:hint="cs"/>
          <w:rtl/>
        </w:rPr>
        <w:t>; אם הוא מתחלק בכמותו ובכל שלושת הממדים - גוף</w:t>
      </w:r>
      <w:r w:rsidR="00510C99">
        <w:rPr>
          <w:rFonts w:hint="cs"/>
          <w:rtl/>
        </w:rPr>
        <w:t xml:space="preserve"> כו'.</w:t>
      </w:r>
    </w:p>
    <w:p w14:paraId="22A100CF" w14:textId="5561582D" w:rsidR="00D46962" w:rsidRDefault="00510C99">
      <w:pPr>
        <w:pStyle w:val="FootnoteText"/>
        <w:rPr>
          <w:rtl/>
        </w:rPr>
      </w:pPr>
      <w:r>
        <w:rPr>
          <w:rFonts w:hint="cs"/>
          <w:rtl/>
        </w:rPr>
        <w:t xml:space="preserve">ועוד, ישנם דברים שהם </w:t>
      </w:r>
      <w:r w:rsidRPr="00F11AC2">
        <w:rPr>
          <w:rFonts w:hint="cs"/>
          <w:b/>
          <w:bCs/>
          <w:rtl/>
        </w:rPr>
        <w:t>אחד מבחינת המספר</w:t>
      </w:r>
      <w:r>
        <w:rPr>
          <w:rFonts w:hint="cs"/>
          <w:rtl/>
        </w:rPr>
        <w:t xml:space="preserve">, </w:t>
      </w:r>
      <w:r w:rsidR="0066440C">
        <w:rPr>
          <w:rFonts w:hint="cs"/>
          <w:rtl/>
        </w:rPr>
        <w:t xml:space="preserve">וישנם מבחינת המין או הסוג, או האנלוגיה. </w:t>
      </w:r>
      <w:r w:rsidR="0066440C" w:rsidRPr="004A4794">
        <w:rPr>
          <w:rFonts w:hint="cs"/>
          <w:b/>
          <w:bCs/>
          <w:rtl/>
        </w:rPr>
        <w:t xml:space="preserve">במספר </w:t>
      </w:r>
      <w:r w:rsidR="00393F68" w:rsidRPr="004A4794">
        <w:rPr>
          <w:rFonts w:hint="cs"/>
          <w:b/>
          <w:bCs/>
          <w:rtl/>
        </w:rPr>
        <w:t xml:space="preserve">- </w:t>
      </w:r>
      <w:r w:rsidR="0066440C" w:rsidRPr="004A4794">
        <w:rPr>
          <w:rFonts w:hint="cs"/>
          <w:b/>
          <w:bCs/>
          <w:rtl/>
        </w:rPr>
        <w:t>אלה שהחומר שלהם אחד</w:t>
      </w:r>
      <w:r w:rsidR="00393F68">
        <w:rPr>
          <w:rFonts w:hint="cs"/>
          <w:rtl/>
        </w:rPr>
        <w:t xml:space="preserve">; במין - אלה שההגדרה שלהם אחת; </w:t>
      </w:r>
      <w:r w:rsidR="00376DAB">
        <w:rPr>
          <w:rFonts w:hint="cs"/>
          <w:rtl/>
        </w:rPr>
        <w:t>בסוג - אלה שיש להם אותה צו</w:t>
      </w:r>
      <w:r w:rsidR="0043795C">
        <w:rPr>
          <w:rFonts w:hint="cs"/>
          <w:rtl/>
        </w:rPr>
        <w:t>ר</w:t>
      </w:r>
      <w:r w:rsidR="00376DAB">
        <w:rPr>
          <w:rFonts w:hint="cs"/>
          <w:rtl/>
        </w:rPr>
        <w:t>ה שבקטגוריות</w:t>
      </w:r>
      <w:r w:rsidR="0043795C">
        <w:rPr>
          <w:rFonts w:hint="cs"/>
          <w:rtl/>
        </w:rPr>
        <w:t xml:space="preserve">; </w:t>
      </w:r>
      <w:r w:rsidR="00783207">
        <w:rPr>
          <w:rFonts w:hint="cs"/>
          <w:rtl/>
        </w:rPr>
        <w:t>ובאנלוגיה - אלה המתייחסים זה לזה כמו דבר אחד לדבר מה אחר</w:t>
      </w:r>
      <w:r w:rsidR="00BF0CA5">
        <w:rPr>
          <w:rFonts w:hint="cs"/>
          <w:rtl/>
        </w:rPr>
        <w:t>. סוגי האחדות האחרונים תמיד באים בעקבות הראשונים</w:t>
      </w:r>
      <w:r w:rsidR="00CD243E">
        <w:rPr>
          <w:rFonts w:hint="cs"/>
          <w:rtl/>
        </w:rPr>
        <w:t>:</w:t>
      </w:r>
      <w:r w:rsidR="00CD243E">
        <w:rPr>
          <w:rFonts w:hint="cs"/>
        </w:rPr>
        <w:t xml:space="preserve"> </w:t>
      </w:r>
      <w:r w:rsidR="00CD243E">
        <w:rPr>
          <w:rFonts w:hint="cs"/>
          <w:rtl/>
        </w:rPr>
        <w:t>למשל מה שהוא</w:t>
      </w:r>
      <w:r w:rsidR="00CD243E" w:rsidRPr="00F11AC2">
        <w:rPr>
          <w:rFonts w:hint="cs"/>
          <w:b/>
          <w:bCs/>
          <w:rtl/>
        </w:rPr>
        <w:t xml:space="preserve"> אחד במספר</w:t>
      </w:r>
      <w:r w:rsidR="00CD243E">
        <w:rPr>
          <w:rFonts w:hint="cs"/>
          <w:rtl/>
        </w:rPr>
        <w:t xml:space="preserve"> הוא גם אחד במין; ואילו מה שהוא אחד במין אינו </w:t>
      </w:r>
      <w:r w:rsidR="003E2498">
        <w:rPr>
          <w:rFonts w:hint="cs"/>
          <w:rtl/>
        </w:rPr>
        <w:t>תמיד אחד במספר; כו'</w:t>
      </w:r>
      <w:r w:rsidR="00F055C8">
        <w:rPr>
          <w:rtl/>
        </w:rPr>
        <w:t>"</w:t>
      </w:r>
    </w:p>
    <w:p w14:paraId="77EA019A" w14:textId="3C28A59A" w:rsidR="00526C51" w:rsidRDefault="004B0825">
      <w:pPr>
        <w:pStyle w:val="FootnoteText"/>
        <w:rPr>
          <w:rtl/>
        </w:rPr>
      </w:pPr>
      <w:r>
        <w:rPr>
          <w:rFonts w:hint="cs"/>
          <w:rtl/>
        </w:rPr>
        <w:t xml:space="preserve">מבואר כאן שהמונח 'אחד במספר' פירושו אחדות מצד החומר. </w:t>
      </w:r>
      <w:r w:rsidR="007E2C05">
        <w:rPr>
          <w:rFonts w:hint="cs"/>
          <w:rtl/>
        </w:rPr>
        <w:t>השורש של האחדות ש</w:t>
      </w:r>
      <w:r w:rsidR="004470C6">
        <w:rPr>
          <w:rFonts w:hint="cs"/>
          <w:rtl/>
        </w:rPr>
        <w:t>ב</w:t>
      </w:r>
      <w:r w:rsidR="007E2C05">
        <w:rPr>
          <w:rFonts w:hint="cs"/>
          <w:rtl/>
        </w:rPr>
        <w:t>כל המציאות הוא שהיא כולה מהחומר הראשון</w:t>
      </w:r>
      <w:r w:rsidR="00E20C0F">
        <w:rPr>
          <w:rFonts w:hint="cs"/>
          <w:rtl/>
        </w:rPr>
        <w:t>, והאחדות של טיפת מים שורשה הראשון הוא שהיא מאותו חומר שהוא מים</w:t>
      </w:r>
      <w:r w:rsidR="007E2C05">
        <w:rPr>
          <w:rFonts w:hint="cs"/>
          <w:rtl/>
        </w:rPr>
        <w:t xml:space="preserve">. </w:t>
      </w:r>
      <w:r w:rsidR="004470C6">
        <w:rPr>
          <w:rFonts w:hint="cs"/>
          <w:rtl/>
        </w:rPr>
        <w:t>ה</w:t>
      </w:r>
      <w:r w:rsidR="001A5FC0">
        <w:rPr>
          <w:rFonts w:hint="cs"/>
          <w:rtl/>
        </w:rPr>
        <w:t xml:space="preserve">אחדות שמקורה בצורה לא תיתכן בה חלוקה, המין 'אדם' לא נחלק מצד היותו מין, ההגדרה של 'חי מדבר' היא אחת ולא ניתנת לחלוקה. החלוקה </w:t>
      </w:r>
      <w:r w:rsidR="000A7077">
        <w:rPr>
          <w:rFonts w:hint="cs"/>
          <w:rtl/>
        </w:rPr>
        <w:t>ל</w:t>
      </w:r>
      <w:r w:rsidR="001A5FC0">
        <w:rPr>
          <w:rFonts w:hint="cs"/>
          <w:rtl/>
        </w:rPr>
        <w:t>ראובן ושמעון היא רק מצד החומר (</w:t>
      </w:r>
      <w:r w:rsidR="000A7077">
        <w:rPr>
          <w:rFonts w:hint="cs"/>
          <w:rtl/>
        </w:rPr>
        <w:t>עיין מאטאפיזיקה זטא סוף פרק ח')</w:t>
      </w:r>
      <w:r w:rsidR="001A5FC0">
        <w:rPr>
          <w:rFonts w:hint="cs"/>
          <w:rtl/>
        </w:rPr>
        <w:t xml:space="preserve">. </w:t>
      </w:r>
      <w:r w:rsidR="00E95AB5">
        <w:rPr>
          <w:rFonts w:hint="cs"/>
          <w:rtl/>
        </w:rPr>
        <w:t xml:space="preserve">דברים שהם מאותו חומר הם אחד, ובכל זאת ניתנים לחלוקה בלי לאבד את היותם אחד, כמו שהאריך בזה אפלטון בפילבוס. </w:t>
      </w:r>
      <w:r w:rsidR="00F34BC4">
        <w:rPr>
          <w:rFonts w:hint="cs"/>
          <w:rtl/>
        </w:rPr>
        <w:t xml:space="preserve">הטיפה יכולה להחלק לשתי טיפות, ולפני שנחלקה היא אחת כי החומר של כל הטיפה הוא אחד, וכך אחרי החלוקה כל חצי טיפה יהיה אחד, וגם </w:t>
      </w:r>
      <w:r w:rsidR="009C020E">
        <w:rPr>
          <w:rFonts w:hint="cs"/>
          <w:rtl/>
        </w:rPr>
        <w:t>כל הטיפות והים וכל המי</w:t>
      </w:r>
      <w:r w:rsidR="00526C51">
        <w:rPr>
          <w:rFonts w:hint="cs"/>
          <w:rtl/>
        </w:rPr>
        <w:t xml:space="preserve">ם </w:t>
      </w:r>
      <w:r w:rsidR="009C020E">
        <w:rPr>
          <w:rFonts w:hint="cs"/>
          <w:rtl/>
        </w:rPr>
        <w:t>שבעולם כולם 'אחד' כיוון שהם כולם מים. אחדות כזו נקראת אחדות מבחינת המספר.</w:t>
      </w:r>
    </w:p>
    <w:p w14:paraId="483C0399" w14:textId="03F64955" w:rsidR="00257F4F" w:rsidRDefault="00257F4F">
      <w:pPr>
        <w:pStyle w:val="FootnoteText"/>
        <w:rPr>
          <w:rtl/>
        </w:rPr>
      </w:pPr>
      <w:r>
        <w:rPr>
          <w:rFonts w:hint="cs"/>
          <w:rtl/>
        </w:rPr>
        <w:t>וכתב ב</w:t>
      </w:r>
      <w:r w:rsidR="001235B8">
        <w:rPr>
          <w:rFonts w:hint="cs"/>
          <w:rtl/>
        </w:rPr>
        <w:t>ספר האמונה הרמה ב' א':</w:t>
      </w:r>
    </w:p>
    <w:p w14:paraId="51C135DD" w14:textId="6A89E333" w:rsidR="00BF0E9A" w:rsidRDefault="00F055C8">
      <w:pPr>
        <w:pStyle w:val="FootnoteText"/>
        <w:rPr>
          <w:rtl/>
        </w:rPr>
      </w:pPr>
      <w:r>
        <w:rPr>
          <w:rtl/>
        </w:rPr>
        <w:t>"</w:t>
      </w:r>
      <w:r w:rsidR="001235B8" w:rsidRPr="001235B8">
        <w:rPr>
          <w:rtl/>
        </w:rPr>
        <w:t>ומה שזה תארו</w:t>
      </w:r>
      <w:r w:rsidR="00BF0E9A">
        <w:rPr>
          <w:rFonts w:hint="cs"/>
          <w:rtl/>
        </w:rPr>
        <w:t xml:space="preserve"> [הכרחי המציאות]</w:t>
      </w:r>
      <w:r w:rsidR="001235B8" w:rsidRPr="001235B8">
        <w:rPr>
          <w:rtl/>
        </w:rPr>
        <w:t xml:space="preserve">, הוא אשר לא יקנה המציאות מזולתו, ואשר כל נמצא שנקראהו אפשר המציאות כפי המינים השלשה, ממנו יקנה המציאות, אם ראשונה, ואם באמצעות. </w:t>
      </w:r>
    </w:p>
    <w:p w14:paraId="4237693E" w14:textId="5090157A" w:rsidR="001235B8" w:rsidRDefault="001235B8">
      <w:pPr>
        <w:pStyle w:val="FootnoteText"/>
        <w:rPr>
          <w:rtl/>
        </w:rPr>
      </w:pPr>
      <w:r w:rsidRPr="001235B8">
        <w:rPr>
          <w:rtl/>
        </w:rPr>
        <w:t>ויהיה המשל בזה כמו האחד במספר. כי אחד לא יוכל להסתלק ויהיה מספר נמצא, ויוכל הסתלק כל מספר והוא נשאר. עוד, הדברים הנמנים, השלשה, ואחר ארבעה, ואחר אלה, אלפים אלפי אלפים, ויותר רב מזה. רק שהמספר הוא דבר מציאותו בכח, ואין לו תכלית, אמנם הנמצאים בפועל הם בעלי תכלית, כפי מה שהתבאר במופת.</w:t>
      </w:r>
      <w:r w:rsidR="00F055C8">
        <w:rPr>
          <w:rtl/>
        </w:rPr>
        <w:t>"</w:t>
      </w:r>
    </w:p>
    <w:p w14:paraId="1D2BC15A" w14:textId="6206D6EF" w:rsidR="00A03108" w:rsidRDefault="00B4172D" w:rsidP="00B4172D">
      <w:pPr>
        <w:pStyle w:val="FootnoteText"/>
        <w:rPr>
          <w:rtl/>
        </w:rPr>
      </w:pPr>
      <w:r>
        <w:rPr>
          <w:rFonts w:hint="cs"/>
          <w:rtl/>
        </w:rPr>
        <w:t xml:space="preserve">פירוש דבריו: המספר 'אחד' בהכרח קיים בכל המספרים, כי כולם סופרים כמה אחדים יש, אם אין את ה'אחד' שאותו סופרים אין מה לספור ובטלים כל המספרים. </w:t>
      </w:r>
      <w:r w:rsidR="006B4AC9">
        <w:rPr>
          <w:rFonts w:hint="cs"/>
          <w:rtl/>
        </w:rPr>
        <w:t xml:space="preserve">העומק הוא שכל המספרים למרות שהם ריבוי אינם סתירה לאחדות, </w:t>
      </w:r>
      <w:r w:rsidR="00044FAB">
        <w:rPr>
          <w:rFonts w:hint="cs"/>
          <w:rtl/>
        </w:rPr>
        <w:t xml:space="preserve">כמו שמה שכל הנמצאים </w:t>
      </w:r>
      <w:r w:rsidR="00F41BE5">
        <w:rPr>
          <w:rFonts w:hint="cs"/>
          <w:rtl/>
        </w:rPr>
        <w:t xml:space="preserve">המרובים </w:t>
      </w:r>
      <w:r w:rsidR="00044FAB">
        <w:rPr>
          <w:rFonts w:hint="cs"/>
          <w:rtl/>
        </w:rPr>
        <w:t>אינם סתירה לאחדות כיוון שהם רק כמו איברים בגוף האחד (</w:t>
      </w:r>
      <w:r w:rsidR="00F41BE5">
        <w:rPr>
          <w:rFonts w:hint="cs"/>
          <w:rtl/>
        </w:rPr>
        <w:t>כמו שכתב המורה נבוכים א' ע</w:t>
      </w:r>
      <w:r w:rsidR="00F055C8">
        <w:rPr>
          <w:rtl/>
        </w:rPr>
        <w:t>"</w:t>
      </w:r>
      <w:r w:rsidR="00F41BE5">
        <w:rPr>
          <w:rFonts w:hint="cs"/>
          <w:rtl/>
        </w:rPr>
        <w:t>ב</w:t>
      </w:r>
      <w:r w:rsidR="00044FAB">
        <w:rPr>
          <w:rFonts w:hint="cs"/>
          <w:rtl/>
        </w:rPr>
        <w:t>)</w:t>
      </w:r>
      <w:r w:rsidR="00F41BE5">
        <w:rPr>
          <w:rFonts w:hint="cs"/>
          <w:rtl/>
        </w:rPr>
        <w:t xml:space="preserve">, והאחדות של האיברים היא שהם עשויים מאותו חומר, ובדומה לזה המספרים כולם </w:t>
      </w:r>
      <w:r w:rsidR="00DD2D21">
        <w:rPr>
          <w:rFonts w:hint="cs"/>
          <w:rtl/>
        </w:rPr>
        <w:t xml:space="preserve">כאילו הם </w:t>
      </w:r>
      <w:r w:rsidR="00F41BE5">
        <w:rPr>
          <w:rFonts w:hint="cs"/>
          <w:rtl/>
        </w:rPr>
        <w:t>עשויים מ</w:t>
      </w:r>
      <w:r w:rsidR="00DD2D21">
        <w:rPr>
          <w:rFonts w:hint="cs"/>
          <w:rtl/>
        </w:rPr>
        <w:t>'</w:t>
      </w:r>
      <w:r w:rsidR="00F41BE5">
        <w:rPr>
          <w:rFonts w:hint="cs"/>
          <w:rtl/>
        </w:rPr>
        <w:t>אחד</w:t>
      </w:r>
      <w:r w:rsidR="00DD2D21">
        <w:rPr>
          <w:rFonts w:hint="cs"/>
          <w:rtl/>
        </w:rPr>
        <w:t xml:space="preserve">'. שניים הוא פעמיים אחד, שלוש הוא שלוש פעמים אחד וכן הלאה, וללא האחד לא היה המספר שתיים כמו שהעצם לא היה נמצא ללא החומר שלו. </w:t>
      </w:r>
    </w:p>
    <w:p w14:paraId="0DA7BEF7" w14:textId="0858108E" w:rsidR="00A03108" w:rsidRDefault="00A03108" w:rsidP="00B4172D">
      <w:pPr>
        <w:pStyle w:val="FootnoteText"/>
        <w:rPr>
          <w:rtl/>
        </w:rPr>
      </w:pPr>
    </w:p>
    <w:p w14:paraId="3AC36023" w14:textId="5E3F29CF" w:rsidR="003E2498" w:rsidRDefault="00A03108" w:rsidP="00630965">
      <w:pPr>
        <w:pStyle w:val="FootnoteText"/>
      </w:pPr>
      <w:r>
        <w:rPr>
          <w:rFonts w:hint="cs"/>
          <w:rtl/>
        </w:rPr>
        <w:t xml:space="preserve">זה ביאור המונח האריסטוטלי 'אחד במספר'. אבן סינא כאן אומר </w:t>
      </w:r>
      <w:r w:rsidR="001C4622">
        <w:rPr>
          <w:rFonts w:hint="cs"/>
          <w:rtl/>
        </w:rPr>
        <w:t xml:space="preserve">שצורת התלת ממדיות מאחדת את כל העצמים באופן שבשורש מהותם כולם אחד כי </w:t>
      </w:r>
      <w:r w:rsidR="00F230EB">
        <w:rPr>
          <w:rFonts w:hint="cs"/>
          <w:rtl/>
        </w:rPr>
        <w:t xml:space="preserve">צורת התלת ממדיות </w:t>
      </w:r>
      <w:r w:rsidR="001C4622">
        <w:rPr>
          <w:rFonts w:hint="cs"/>
          <w:rtl/>
        </w:rPr>
        <w:t xml:space="preserve">היא בחינה של ההיולי, היא החומר </w:t>
      </w:r>
      <w:r w:rsidR="00560D99">
        <w:rPr>
          <w:rFonts w:hint="cs"/>
          <w:rtl/>
        </w:rPr>
        <w:t xml:space="preserve">הראשון </w:t>
      </w:r>
      <w:r w:rsidR="001C4622">
        <w:rPr>
          <w:rFonts w:hint="cs"/>
          <w:rtl/>
        </w:rPr>
        <w:t xml:space="preserve">שממנו </w:t>
      </w:r>
      <w:r w:rsidR="00560D99">
        <w:rPr>
          <w:rFonts w:hint="cs"/>
          <w:rtl/>
        </w:rPr>
        <w:t>עשויים כל הנמצאים. אבל זו אחדות שמאפשרת ריבוי שבנוי על היסוד שלה</w:t>
      </w:r>
      <w:r w:rsidR="00F230EB">
        <w:rPr>
          <w:rFonts w:hint="cs"/>
          <w:rtl/>
        </w:rPr>
        <w:t xml:space="preserve"> ולא שולל אותה</w:t>
      </w:r>
      <w:r w:rsidR="00560D99">
        <w:rPr>
          <w:rFonts w:hint="cs"/>
          <w:rtl/>
        </w:rPr>
        <w:t xml:space="preserve">. כמו הגוף </w:t>
      </w:r>
      <w:r w:rsidR="00F230EB">
        <w:rPr>
          <w:rFonts w:hint="cs"/>
          <w:rtl/>
        </w:rPr>
        <w:t>- ש</w:t>
      </w:r>
      <w:r w:rsidR="00560D99">
        <w:rPr>
          <w:rFonts w:hint="cs"/>
          <w:rtl/>
        </w:rPr>
        <w:t>חייו הם חיים אחדים, כי אין חילוק בין חיות העין לחיות הלב וחיות הרגל, הכל היא חיות הגוף האחת</w:t>
      </w:r>
      <w:r w:rsidR="00F230EB">
        <w:rPr>
          <w:rFonts w:hint="cs"/>
          <w:rtl/>
        </w:rPr>
        <w:t xml:space="preserve"> (ולכן אם עין נעקרה מייד היא חדלה מלהיות עין)</w:t>
      </w:r>
      <w:r w:rsidR="00560D99">
        <w:rPr>
          <w:rFonts w:hint="cs"/>
          <w:rtl/>
        </w:rPr>
        <w:t xml:space="preserve">, עדיין היא מאפשרת חלוקה לאיברים וגם חיים של איברים, העין רואה מכח שיש בה נפש, כלומר כח חיים, שמיוחדת לעין והיא הנפש הרואה.   </w:t>
      </w:r>
      <w:r w:rsidR="009C020E">
        <w:rPr>
          <w:rFonts w:hint="cs"/>
          <w:rtl/>
        </w:rPr>
        <w:t xml:space="preserve"> </w:t>
      </w:r>
      <w:r w:rsidR="001A5FC0">
        <w:rPr>
          <w:rFonts w:hint="cs"/>
          <w:rtl/>
        </w:rPr>
        <w:t xml:space="preserve"> </w:t>
      </w:r>
    </w:p>
  </w:footnote>
  <w:footnote w:id="313">
    <w:p w14:paraId="200C3D48" w14:textId="2763D564" w:rsidR="002A5A9F" w:rsidRDefault="002A5A9F">
      <w:pPr>
        <w:pStyle w:val="FootnoteText"/>
        <w:rPr>
          <w:rtl/>
        </w:rPr>
      </w:pPr>
      <w:r>
        <w:rPr>
          <w:rStyle w:val="FootnoteReference"/>
        </w:rPr>
        <w:footnoteRef/>
      </w:r>
      <w:r>
        <w:rPr>
          <w:rtl/>
        </w:rPr>
        <w:t xml:space="preserve"> </w:t>
      </w:r>
      <w:r w:rsidR="00B7531F">
        <w:rPr>
          <w:rFonts w:hint="cs"/>
          <w:rtl/>
        </w:rPr>
        <w:t>ההתחלה</w:t>
      </w:r>
      <w:r w:rsidR="003B42A1">
        <w:rPr>
          <w:rFonts w:hint="cs"/>
          <w:rtl/>
        </w:rPr>
        <w:t xml:space="preserve"> הצורנית </w:t>
      </w:r>
      <w:r w:rsidR="00B7531F">
        <w:rPr>
          <w:rFonts w:hint="cs"/>
          <w:rtl/>
        </w:rPr>
        <w:t xml:space="preserve">של צורת התלת ממדיות לא מחלקת את המציאות לגופים נפרדים, </w:t>
      </w:r>
      <w:r w:rsidR="003B42A1">
        <w:rPr>
          <w:rFonts w:hint="cs"/>
          <w:rtl/>
        </w:rPr>
        <w:t xml:space="preserve">ולכן נמצא את הגופים רק אחרי ההתחלה הזו, כשהם מתחילים לקבל צורות </w:t>
      </w:r>
      <w:r w:rsidR="003B42A1">
        <w:rPr>
          <w:rFonts w:hint="cs"/>
          <w:rtl/>
        </w:rPr>
        <w:t>מ</w:t>
      </w:r>
      <w:r w:rsidR="00844C9D">
        <w:rPr>
          <w:rFonts w:hint="cs"/>
          <w:rtl/>
        </w:rPr>
        <w:t>י</w:t>
      </w:r>
      <w:r w:rsidR="003B42A1">
        <w:rPr>
          <w:rFonts w:hint="cs"/>
          <w:rtl/>
        </w:rPr>
        <w:t xml:space="preserve">שניות פרטיות של אש רוח מים ועפר וכן הלאה. </w:t>
      </w:r>
      <w:r w:rsidR="00844C9D">
        <w:rPr>
          <w:rFonts w:hint="cs"/>
          <w:rtl/>
        </w:rPr>
        <w:t>ועיין עוד בזה בדברי אבן סינא לעיל 1.2.4</w:t>
      </w:r>
    </w:p>
  </w:footnote>
  <w:footnote w:id="314">
    <w:p w14:paraId="2F2C2A34" w14:textId="07D02376" w:rsidR="00A63FD6" w:rsidRPr="00277B1A" w:rsidRDefault="00A63FD6">
      <w:pPr>
        <w:pStyle w:val="FootnoteText"/>
        <w:rPr>
          <w:rtl/>
          <w:lang w:bidi="ar-SA"/>
        </w:rPr>
      </w:pPr>
      <w:r>
        <w:rPr>
          <w:rStyle w:val="FootnoteReference"/>
        </w:rPr>
        <w:footnoteRef/>
      </w:r>
      <w:r>
        <w:rPr>
          <w:rtl/>
        </w:rPr>
        <w:t xml:space="preserve"> </w:t>
      </w:r>
      <w:r>
        <w:rPr>
          <w:rFonts w:hint="cs"/>
          <w:rtl/>
        </w:rPr>
        <w:t xml:space="preserve">במקור: </w:t>
      </w:r>
      <w:r w:rsidRPr="00A63FD6">
        <w:rPr>
          <w:rFonts w:cs="Times New Roman" w:hint="eastAsia"/>
          <w:rtl/>
          <w:lang w:bidi="ar-SA"/>
        </w:rPr>
        <w:t>مخالفة</w:t>
      </w:r>
      <w:r w:rsidRPr="00A63FD6">
        <w:rPr>
          <w:rFonts w:cs="Times New Roman"/>
          <w:rtl/>
          <w:lang w:bidi="ar-SA"/>
        </w:rPr>
        <w:t xml:space="preserve"> </w:t>
      </w:r>
      <w:r w:rsidRPr="00A63FD6">
        <w:rPr>
          <w:rFonts w:cs="Times New Roman" w:hint="eastAsia"/>
          <w:rtl/>
          <w:lang w:bidi="ar-SA"/>
        </w:rPr>
        <w:t>بالعدد</w:t>
      </w:r>
      <w:r w:rsidRPr="00A63FD6">
        <w:rPr>
          <w:rFonts w:cs="Times New Roman"/>
          <w:rtl/>
          <w:lang w:bidi="ar-SA"/>
        </w:rPr>
        <w:t xml:space="preserve"> </w:t>
      </w:r>
      <w:r w:rsidRPr="00A63FD6">
        <w:rPr>
          <w:rFonts w:cs="Times New Roman" w:hint="eastAsia"/>
          <w:rtl/>
          <w:lang w:bidi="ar-SA"/>
        </w:rPr>
        <w:t>مواف</w:t>
      </w:r>
      <w:r w:rsidRPr="00277B1A">
        <w:rPr>
          <w:rFonts w:ascii="Arial" w:hAnsi="Arial" w:cs="Arial" w:hint="cs"/>
          <w:rtl/>
          <w:lang w:bidi="ar-SA"/>
        </w:rPr>
        <w:t>قة</w:t>
      </w:r>
      <w:r w:rsidRPr="00277B1A">
        <w:rPr>
          <w:rtl/>
          <w:lang w:bidi="ar-SA"/>
        </w:rPr>
        <w:t xml:space="preserve"> </w:t>
      </w:r>
      <w:r w:rsidRPr="00277B1A">
        <w:rPr>
          <w:rFonts w:ascii="Arial" w:hAnsi="Arial" w:cs="Arial" w:hint="cs"/>
          <w:rtl/>
          <w:lang w:bidi="ar-SA"/>
        </w:rPr>
        <w:t>في</w:t>
      </w:r>
      <w:r w:rsidRPr="00277B1A">
        <w:rPr>
          <w:rtl/>
          <w:lang w:bidi="ar-SA"/>
        </w:rPr>
        <w:t xml:space="preserve"> </w:t>
      </w:r>
      <w:bookmarkStart w:id="181" w:name="_Hlk99203200"/>
      <w:r w:rsidRPr="00277B1A">
        <w:rPr>
          <w:rFonts w:ascii="Arial" w:hAnsi="Arial" w:cs="Arial" w:hint="cs"/>
          <w:rtl/>
          <w:lang w:bidi="ar-SA"/>
        </w:rPr>
        <w:t>النوع</w:t>
      </w:r>
      <w:bookmarkEnd w:id="181"/>
      <w:r w:rsidRPr="00277B1A">
        <w:rPr>
          <w:rtl/>
        </w:rPr>
        <w:t>.</w:t>
      </w:r>
      <w:r>
        <w:rPr>
          <w:rFonts w:cs="Times New Roman"/>
          <w:lang w:bidi="ar-SA"/>
        </w:rPr>
        <w:t xml:space="preserve"> </w:t>
      </w:r>
    </w:p>
    <w:p w14:paraId="6A7D7DE2" w14:textId="21CBB254" w:rsidR="00674646" w:rsidRDefault="00674646">
      <w:pPr>
        <w:pStyle w:val="FootnoteText"/>
      </w:pPr>
      <w:r w:rsidRPr="00277B1A">
        <w:rPr>
          <w:rtl/>
        </w:rPr>
        <w:t>כוונת אבן סינא כאן</w:t>
      </w:r>
      <w:r w:rsidR="00277B1A" w:rsidRPr="00277B1A">
        <w:rPr>
          <w:rtl/>
        </w:rPr>
        <w:t xml:space="preserve">, </w:t>
      </w:r>
      <w:r w:rsidR="00603ABC">
        <w:rPr>
          <w:rFonts w:hint="cs"/>
          <w:rtl/>
        </w:rPr>
        <w:t xml:space="preserve">שאם לא כדבריו שההתחלה הצורנית של צורת התלת ממדיות היא לא הצורה של הגופים הפרטיים, אז אם </w:t>
      </w:r>
      <w:r w:rsidR="00386053">
        <w:rPr>
          <w:rFonts w:hint="cs"/>
          <w:rtl/>
        </w:rPr>
        <w:t xml:space="preserve">חלק מהאוויר השתנה להיות מים, </w:t>
      </w:r>
      <w:r w:rsidR="00B01B17">
        <w:rPr>
          <w:rFonts w:hint="cs"/>
          <w:rtl/>
        </w:rPr>
        <w:t xml:space="preserve">כלומר חלק מהמקום שהיו בו מים כעת נעשה שיש בו אוויר (כמו שהתבאר לעיל שהשינוי הזה הוא שינוי של מקום), </w:t>
      </w:r>
      <w:r w:rsidR="008C2E60">
        <w:rPr>
          <w:rFonts w:hint="cs"/>
          <w:rtl/>
        </w:rPr>
        <w:t xml:space="preserve">הרי במקום שהיו בו מים וכעת אין בו מים, המקום עצמו נפסד ביחד עם הפסד המים, </w:t>
      </w:r>
      <w:r w:rsidR="00D9198A">
        <w:rPr>
          <w:rFonts w:hint="cs"/>
          <w:rtl/>
        </w:rPr>
        <w:t xml:space="preserve">כי המקום הוא צורת התלת ממדיות, ואם לא נאמר שיש מקום אחד משותף לכל הגופים שתופשים מקום, אז למים יש מקום שהוא במהותו מקום של מים, </w:t>
      </w:r>
      <w:r w:rsidR="00D9198A">
        <w:rPr>
          <w:rFonts w:hint="cs"/>
          <w:rtl/>
        </w:rPr>
        <w:t xml:space="preserve">ובהיפסד המים נפסד אותו מקום. </w:t>
      </w:r>
      <w:r w:rsidR="001F112C">
        <w:rPr>
          <w:rFonts w:hint="cs"/>
          <w:rtl/>
        </w:rPr>
        <w:t xml:space="preserve">וכשהאוויר נכנס לשם מתחדש מקום חדש שם, שהוא המקום של האוויר. </w:t>
      </w:r>
      <w:r w:rsidR="00E70561">
        <w:rPr>
          <w:rFonts w:hint="cs"/>
          <w:rtl/>
        </w:rPr>
        <w:t>כיוון שהאוויר לא היה שם אלא התחדש להיות שם</w:t>
      </w:r>
      <w:r w:rsidR="00F97136">
        <w:rPr>
          <w:rFonts w:hint="cs"/>
          <w:rtl/>
        </w:rPr>
        <w:t xml:space="preserve">, בהכרח מקומו שהוא ממהותו הפרטית ומיוחד לו, גם כן התחדש איתו. </w:t>
      </w:r>
      <w:r w:rsidR="00A82782">
        <w:rPr>
          <w:rFonts w:hint="cs"/>
          <w:rtl/>
        </w:rPr>
        <w:t xml:space="preserve">התחדשות </w:t>
      </w:r>
      <w:r w:rsidR="00E70561">
        <w:rPr>
          <w:rFonts w:hint="cs"/>
          <w:rtl/>
        </w:rPr>
        <w:t>המקום החדש הוא סתירה למה</w:t>
      </w:r>
      <w:r w:rsidR="00A82782">
        <w:rPr>
          <w:rFonts w:hint="cs"/>
          <w:rtl/>
        </w:rPr>
        <w:t xml:space="preserve"> שהוסכם במין, כלומר אותו מקום חדש </w:t>
      </w:r>
      <w:r w:rsidR="00D73EFA">
        <w:rPr>
          <w:rFonts w:hint="cs"/>
          <w:rtl/>
        </w:rPr>
        <w:t xml:space="preserve">לא יהיה שייך לאותו </w:t>
      </w:r>
      <w:r w:rsidR="00A82782">
        <w:rPr>
          <w:rFonts w:hint="cs"/>
          <w:rtl/>
        </w:rPr>
        <w:t xml:space="preserve">מין של המקומות האחרים, </w:t>
      </w:r>
      <w:r w:rsidR="00D73EFA">
        <w:rPr>
          <w:rFonts w:hint="cs"/>
          <w:rtl/>
        </w:rPr>
        <w:t xml:space="preserve">כי הוא </w:t>
      </w:r>
      <w:r w:rsidR="0037372E">
        <w:rPr>
          <w:rFonts w:hint="cs"/>
          <w:rtl/>
        </w:rPr>
        <w:t xml:space="preserve">התחדש להיות </w:t>
      </w:r>
      <w:r w:rsidR="00D73EFA">
        <w:rPr>
          <w:rFonts w:hint="cs"/>
          <w:rtl/>
        </w:rPr>
        <w:t xml:space="preserve">מקום של אוויר </w:t>
      </w:r>
      <w:r w:rsidR="0037372E">
        <w:rPr>
          <w:rFonts w:hint="cs"/>
          <w:rtl/>
        </w:rPr>
        <w:t xml:space="preserve">כי אוויר לא יכול להיכנס למקום של מים. </w:t>
      </w:r>
      <w:r w:rsidR="00887DC4">
        <w:rPr>
          <w:rFonts w:hint="cs"/>
          <w:rtl/>
        </w:rPr>
        <w:t xml:space="preserve">המושג של </w:t>
      </w:r>
      <w:r w:rsidR="00574E4B">
        <w:rPr>
          <w:rFonts w:hint="cs"/>
          <w:rtl/>
        </w:rPr>
        <w:t xml:space="preserve">ההתחלה שהיא </w:t>
      </w:r>
      <w:r w:rsidR="00887DC4">
        <w:rPr>
          <w:rFonts w:hint="cs"/>
          <w:rtl/>
        </w:rPr>
        <w:t xml:space="preserve">צורת </w:t>
      </w:r>
      <w:r w:rsidR="00574E4B">
        <w:rPr>
          <w:rFonts w:hint="cs"/>
          <w:rtl/>
        </w:rPr>
        <w:t>ה</w:t>
      </w:r>
      <w:r w:rsidR="00887DC4">
        <w:rPr>
          <w:rFonts w:hint="cs"/>
          <w:rtl/>
        </w:rPr>
        <w:t>תלת ממדיות</w:t>
      </w:r>
      <w:r w:rsidR="00574E4B">
        <w:rPr>
          <w:rFonts w:hint="cs"/>
          <w:rtl/>
        </w:rPr>
        <w:t xml:space="preserve"> </w:t>
      </w:r>
      <w:r w:rsidR="00CF23F5">
        <w:rPr>
          <w:rFonts w:hint="cs"/>
          <w:rtl/>
        </w:rPr>
        <w:t xml:space="preserve">מונח בהכרח בהגדרתו </w:t>
      </w:r>
      <w:r w:rsidR="00574E4B">
        <w:rPr>
          <w:rFonts w:hint="cs"/>
          <w:rtl/>
        </w:rPr>
        <w:t>ש</w:t>
      </w:r>
      <w:r w:rsidR="0066786F">
        <w:rPr>
          <w:rFonts w:hint="cs"/>
          <w:rtl/>
        </w:rPr>
        <w:t>תלת ממדיות ה</w:t>
      </w:r>
      <w:r w:rsidR="00CF23F5">
        <w:rPr>
          <w:rFonts w:hint="cs"/>
          <w:rtl/>
        </w:rPr>
        <w:t>י</w:t>
      </w:r>
      <w:r w:rsidR="0066786F">
        <w:rPr>
          <w:rFonts w:hint="cs"/>
          <w:rtl/>
        </w:rPr>
        <w:t>א מין אחד</w:t>
      </w:r>
      <w:r w:rsidR="004A2F85">
        <w:rPr>
          <w:rFonts w:hint="cs"/>
          <w:rtl/>
        </w:rPr>
        <w:t>, לכן יש סתירה אם נאמר שכל פעם שמים משתנים לאוויר או כל גוף לכל גוף, יש התחדשות של היולי ממין חדש</w:t>
      </w:r>
      <w:r w:rsidR="0066786F">
        <w:rPr>
          <w:rFonts w:hint="cs"/>
          <w:rtl/>
        </w:rPr>
        <w:t>.</w:t>
      </w:r>
      <w:r w:rsidR="00887DC4">
        <w:rPr>
          <w:rFonts w:hint="cs"/>
          <w:rtl/>
        </w:rPr>
        <w:t xml:space="preserve"> </w:t>
      </w:r>
    </w:p>
  </w:footnote>
  <w:footnote w:id="315">
    <w:p w14:paraId="6DB06218" w14:textId="6382E6E2" w:rsidR="00D05EDE" w:rsidRDefault="00D05EDE">
      <w:pPr>
        <w:pStyle w:val="FootnoteText"/>
        <w:rPr>
          <w:rtl/>
        </w:rPr>
      </w:pPr>
      <w:r>
        <w:rPr>
          <w:rStyle w:val="FootnoteReference"/>
        </w:rPr>
        <w:footnoteRef/>
      </w:r>
      <w:r>
        <w:rPr>
          <w:rtl/>
        </w:rPr>
        <w:t xml:space="preserve"> </w:t>
      </w:r>
      <w:r w:rsidR="001A04A2">
        <w:rPr>
          <w:rFonts w:hint="cs"/>
          <w:rtl/>
        </w:rPr>
        <w:t xml:space="preserve">המונח </w:t>
      </w:r>
      <w:r w:rsidR="001A04A2">
        <w:rPr>
          <w:rFonts w:hint="cs"/>
          <w:rtl/>
        </w:rPr>
        <w:t xml:space="preserve">איבדע </w:t>
      </w:r>
      <w:r w:rsidR="00630965">
        <w:rPr>
          <w:rFonts w:hint="cs"/>
          <w:rtl/>
        </w:rPr>
        <w:t xml:space="preserve">התבאר בהערות שבסעיף הקודם, 1.3.2. </w:t>
      </w:r>
      <w:r w:rsidR="001A04A2">
        <w:rPr>
          <w:rFonts w:hint="cs"/>
          <w:rtl/>
        </w:rPr>
        <w:t>הכוונה בקיצור היא ל</w:t>
      </w:r>
      <w:r w:rsidR="00DB1F7E">
        <w:rPr>
          <w:rFonts w:hint="cs"/>
          <w:rtl/>
        </w:rPr>
        <w:t>בריאה</w:t>
      </w:r>
      <w:r w:rsidR="00497925">
        <w:rPr>
          <w:rFonts w:hint="cs"/>
          <w:rtl/>
        </w:rPr>
        <w:t xml:space="preserve"> יש מאין באופן ישיר מהרצון האלוהי המופשט לגמרי</w:t>
      </w:r>
      <w:r w:rsidR="00DB1F7E">
        <w:rPr>
          <w:rFonts w:hint="cs"/>
          <w:rtl/>
        </w:rPr>
        <w:t xml:space="preserve">, </w:t>
      </w:r>
      <w:r w:rsidR="00497925">
        <w:rPr>
          <w:rFonts w:hint="cs"/>
          <w:rtl/>
        </w:rPr>
        <w:t>ו</w:t>
      </w:r>
      <w:r w:rsidR="00DB1F7E">
        <w:rPr>
          <w:rFonts w:hint="cs"/>
          <w:rtl/>
        </w:rPr>
        <w:t>כמו</w:t>
      </w:r>
      <w:r w:rsidR="00497925">
        <w:rPr>
          <w:rFonts w:hint="cs"/>
          <w:rtl/>
        </w:rPr>
        <w:t xml:space="preserve"> </w:t>
      </w:r>
      <w:r w:rsidR="00DB1F7E">
        <w:rPr>
          <w:rFonts w:hint="cs"/>
          <w:rtl/>
        </w:rPr>
        <w:t>שביאר הרמב</w:t>
      </w:r>
      <w:r w:rsidR="00F055C8">
        <w:rPr>
          <w:rtl/>
        </w:rPr>
        <w:t>"</w:t>
      </w:r>
      <w:r w:rsidR="00DB1F7E">
        <w:rPr>
          <w:rFonts w:hint="cs"/>
          <w:rtl/>
        </w:rPr>
        <w:t xml:space="preserve">ן על בראשית א' א' שרק על ההיולי נאמר בריאה, ועל כל מה שיצא לפועל ממנו נאמר רק יצירה ועשייה. </w:t>
      </w:r>
    </w:p>
    <w:p w14:paraId="6942B6A3" w14:textId="577793FA" w:rsidR="00CD5B55" w:rsidRDefault="00CD5B55">
      <w:pPr>
        <w:pStyle w:val="FootnoteText"/>
      </w:pPr>
      <w:r>
        <w:rPr>
          <w:rFonts w:hint="cs"/>
          <w:rtl/>
        </w:rPr>
        <w:t>כמו שהתבאר לעיל האחד ברא אחד, והאחד הנברא הוא ההיולי שהוא אחד. ההיולי יש בו שתי בחינות שאינן נפרדות</w:t>
      </w:r>
      <w:r w:rsidR="00D8030E">
        <w:rPr>
          <w:rFonts w:hint="cs"/>
          <w:rtl/>
        </w:rPr>
        <w:t xml:space="preserve"> ואין חילוק ביניה</w:t>
      </w:r>
      <w:r w:rsidR="00E81BB9">
        <w:rPr>
          <w:rFonts w:hint="cs"/>
          <w:rtl/>
        </w:rPr>
        <w:t>ן</w:t>
      </w:r>
      <w:r>
        <w:rPr>
          <w:rFonts w:hint="cs"/>
          <w:rtl/>
        </w:rPr>
        <w:t xml:space="preserve">, התוהו והבוהו, </w:t>
      </w:r>
      <w:r w:rsidR="00D8030E">
        <w:rPr>
          <w:rFonts w:hint="cs"/>
          <w:rtl/>
        </w:rPr>
        <w:t xml:space="preserve">או בלשון חכמת הקבלה ספירת חכמה וספירת בינה. </w:t>
      </w:r>
      <w:r w:rsidR="00E81BB9">
        <w:rPr>
          <w:rFonts w:hint="cs"/>
          <w:rtl/>
        </w:rPr>
        <w:t>הבינה היא החכמה עצמה רק באופן שאפשר לתפוש</w:t>
      </w:r>
      <w:r w:rsidR="00426D87">
        <w:rPr>
          <w:rFonts w:hint="cs"/>
          <w:rtl/>
        </w:rPr>
        <w:t xml:space="preserve"> </w:t>
      </w:r>
      <w:r w:rsidR="00E81BB9">
        <w:rPr>
          <w:rFonts w:hint="cs"/>
          <w:rtl/>
        </w:rPr>
        <w:t xml:space="preserve">לכל הפחות </w:t>
      </w:r>
      <w:r w:rsidR="00426D87">
        <w:rPr>
          <w:rFonts w:hint="cs"/>
          <w:rtl/>
        </w:rPr>
        <w:t xml:space="preserve">מקצת ממנו, והחכמה לחוד אין בה תפישה כלל. </w:t>
      </w:r>
      <w:r w:rsidR="00D8030E">
        <w:rPr>
          <w:rFonts w:hint="cs"/>
          <w:rtl/>
        </w:rPr>
        <w:t xml:space="preserve">צורת התלת ממדיות היא </w:t>
      </w:r>
      <w:r w:rsidR="00426D87">
        <w:rPr>
          <w:rFonts w:hint="cs"/>
          <w:rtl/>
        </w:rPr>
        <w:t>הבוהו, והוא עניין אחד עם התוהו שהוא</w:t>
      </w:r>
      <w:r w:rsidR="00A02732">
        <w:rPr>
          <w:rFonts w:hint="cs"/>
          <w:rtl/>
        </w:rPr>
        <w:t xml:space="preserve"> השורש הראשון האחד של </w:t>
      </w:r>
      <w:r w:rsidR="00426D87">
        <w:rPr>
          <w:rFonts w:hint="cs"/>
          <w:rtl/>
        </w:rPr>
        <w:t xml:space="preserve"> ההיולי</w:t>
      </w:r>
      <w:r w:rsidR="00A02732">
        <w:rPr>
          <w:rFonts w:hint="cs"/>
          <w:rtl/>
        </w:rPr>
        <w:t xml:space="preserve"> המשותף לשמיים ולארץ ואין בו שום צורה כלל ולכן גם שום תפישה. </w:t>
      </w:r>
      <w:r w:rsidR="00C66727">
        <w:rPr>
          <w:rFonts w:hint="cs"/>
          <w:rtl/>
        </w:rPr>
        <w:t xml:space="preserve">התוהו והבוהו הם אחדות פשוטה והם נבראו בבריאה ישירה מהאין סוף ברוך הוא. </w:t>
      </w:r>
      <w:r w:rsidR="00426D87">
        <w:rPr>
          <w:rFonts w:hint="cs"/>
          <w:rtl/>
        </w:rPr>
        <w:t xml:space="preserve"> </w:t>
      </w:r>
    </w:p>
  </w:footnote>
  <w:footnote w:id="316">
    <w:p w14:paraId="3AD47CFB" w14:textId="4D2C7A97" w:rsidR="006D3947" w:rsidRDefault="006D3947">
      <w:pPr>
        <w:pStyle w:val="FootnoteText"/>
      </w:pPr>
      <w:r>
        <w:rPr>
          <w:rStyle w:val="FootnoteReference"/>
        </w:rPr>
        <w:footnoteRef/>
      </w:r>
      <w:r>
        <w:rPr>
          <w:rtl/>
        </w:rPr>
        <w:t xml:space="preserve"> </w:t>
      </w:r>
      <w:r>
        <w:rPr>
          <w:rFonts w:hint="cs"/>
          <w:rtl/>
        </w:rPr>
        <w:t xml:space="preserve">הדיון היה על חומר משותף לכל הנבראים, הוא ההיולי, אחר כך על צורה משותפת היא צורת התלת ממדיות, </w:t>
      </w:r>
      <w:r w:rsidR="00BB0001">
        <w:rPr>
          <w:rFonts w:hint="cs"/>
          <w:rtl/>
        </w:rPr>
        <w:t>וכעת בא לדון בהתחלה השלישית שאחרי חומר וצורה, והיא ההעדר, כמו ש</w:t>
      </w:r>
      <w:r w:rsidR="00DC528A">
        <w:rPr>
          <w:rFonts w:hint="cs"/>
          <w:rtl/>
        </w:rPr>
        <w:t xml:space="preserve">כתב אריסטו במטאפיזיקה למבדא </w:t>
      </w:r>
      <w:r w:rsidR="002037F8">
        <w:rPr>
          <w:rFonts w:hint="cs"/>
          <w:rtl/>
        </w:rPr>
        <w:t xml:space="preserve">סוף </w:t>
      </w:r>
      <w:r w:rsidR="00DC528A">
        <w:rPr>
          <w:rFonts w:hint="cs"/>
          <w:rtl/>
        </w:rPr>
        <w:t>פרק ב',</w:t>
      </w:r>
      <w:r w:rsidR="002037F8">
        <w:rPr>
          <w:rFonts w:hint="cs"/>
          <w:rtl/>
        </w:rPr>
        <w:t xml:space="preserve"> הובא במורה נבוכים א' י</w:t>
      </w:r>
      <w:r w:rsidR="00F055C8">
        <w:rPr>
          <w:rtl/>
        </w:rPr>
        <w:t>"</w:t>
      </w:r>
      <w:r w:rsidR="002037F8">
        <w:rPr>
          <w:rFonts w:hint="cs"/>
          <w:rtl/>
        </w:rPr>
        <w:t>ז</w:t>
      </w:r>
      <w:r w:rsidR="00AC070E">
        <w:rPr>
          <w:rFonts w:hint="cs"/>
          <w:rtl/>
        </w:rPr>
        <w:t>, והתבאר לעיל</w:t>
      </w:r>
      <w:r w:rsidR="002037F8">
        <w:rPr>
          <w:rFonts w:hint="cs"/>
          <w:rtl/>
        </w:rPr>
        <w:t xml:space="preserve">. </w:t>
      </w:r>
      <w:r w:rsidR="00DC528A">
        <w:rPr>
          <w:rFonts w:hint="cs"/>
          <w:rtl/>
        </w:rPr>
        <w:t xml:space="preserve"> </w:t>
      </w:r>
    </w:p>
  </w:footnote>
  <w:footnote w:id="317">
    <w:p w14:paraId="7AA81B6D" w14:textId="12E6124B" w:rsidR="00323377" w:rsidRDefault="00323377">
      <w:pPr>
        <w:pStyle w:val="FootnoteText"/>
      </w:pPr>
      <w:r>
        <w:rPr>
          <w:rStyle w:val="FootnoteReference"/>
        </w:rPr>
        <w:footnoteRef/>
      </w:r>
      <w:r>
        <w:rPr>
          <w:rtl/>
        </w:rPr>
        <w:t xml:space="preserve"> </w:t>
      </w:r>
      <w:r w:rsidR="00712894">
        <w:rPr>
          <w:rFonts w:hint="cs"/>
          <w:rtl/>
        </w:rPr>
        <w:t>מש</w:t>
      </w:r>
      <w:r w:rsidR="00594B6D">
        <w:rPr>
          <w:rFonts w:hint="cs"/>
          <w:rtl/>
        </w:rPr>
        <w:t>ת</w:t>
      </w:r>
      <w:r w:rsidR="00712894">
        <w:rPr>
          <w:rFonts w:hint="cs"/>
          <w:rtl/>
        </w:rPr>
        <w:t>י ה</w:t>
      </w:r>
      <w:r w:rsidR="00594B6D">
        <w:rPr>
          <w:rFonts w:hint="cs"/>
          <w:rtl/>
        </w:rPr>
        <w:t>דרכ</w:t>
      </w:r>
      <w:r w:rsidR="00712894">
        <w:rPr>
          <w:rFonts w:hint="cs"/>
          <w:rtl/>
        </w:rPr>
        <w:t xml:space="preserve">ים שהתבארו לעיל 1.2.8. </w:t>
      </w:r>
    </w:p>
  </w:footnote>
  <w:footnote w:id="318">
    <w:p w14:paraId="44FE9E41" w14:textId="6A65BEE4" w:rsidR="00540219" w:rsidRDefault="0015559C">
      <w:pPr>
        <w:pStyle w:val="FootnoteText"/>
        <w:rPr>
          <w:rtl/>
        </w:rPr>
      </w:pPr>
      <w:r>
        <w:rPr>
          <w:rStyle w:val="FootnoteReference"/>
        </w:rPr>
        <w:footnoteRef/>
      </w:r>
      <w:r>
        <w:rPr>
          <w:rtl/>
        </w:rPr>
        <w:t xml:space="preserve"> </w:t>
      </w:r>
      <w:r w:rsidR="00DE4090">
        <w:rPr>
          <w:rFonts w:hint="cs"/>
          <w:rtl/>
        </w:rPr>
        <w:t>ההעדר כהתחלה בפני עצמה הוא החומר הראשון, ההיולי. וכמו שכתב עליו האר</w:t>
      </w:r>
      <w:r w:rsidR="00F055C8">
        <w:rPr>
          <w:rtl/>
        </w:rPr>
        <w:t>"</w:t>
      </w:r>
      <w:r w:rsidR="00DE4090">
        <w:rPr>
          <w:rFonts w:hint="cs"/>
          <w:rtl/>
        </w:rPr>
        <w:t>י בספר עץ חיים שער א' ענף ב' שהוא מקום חלל ריק ופנוי באמצע אור אין סוף</w:t>
      </w:r>
      <w:r w:rsidR="009C215D">
        <w:rPr>
          <w:rFonts w:hint="cs"/>
          <w:rtl/>
        </w:rPr>
        <w:t>. וברמב</w:t>
      </w:r>
      <w:r w:rsidR="00F055C8">
        <w:rPr>
          <w:rtl/>
        </w:rPr>
        <w:t>"</w:t>
      </w:r>
      <w:r w:rsidR="009C215D">
        <w:rPr>
          <w:rFonts w:hint="cs"/>
          <w:rtl/>
        </w:rPr>
        <w:t xml:space="preserve">ן על בראשית א' א' כתב שאין בו ממש, וכן התבאר עניינו </w:t>
      </w:r>
      <w:r w:rsidR="009C215D">
        <w:rPr>
          <w:rFonts w:hint="cs"/>
          <w:rtl/>
        </w:rPr>
        <w:t xml:space="preserve">בטימיאוס מאת אפלטון מעמ' 49, ובאריסטו בכמה מקומות. </w:t>
      </w:r>
      <w:r w:rsidR="001629E0">
        <w:rPr>
          <w:rFonts w:hint="cs"/>
          <w:rtl/>
        </w:rPr>
        <w:t>הוא העדר של אור אין סוף, ומחמת ההעדר מצטיירות בו הצורות</w:t>
      </w:r>
      <w:r w:rsidR="00540219">
        <w:rPr>
          <w:rFonts w:hint="cs"/>
          <w:rtl/>
        </w:rPr>
        <w:t>, על דרך שמצטיירות הצורות של מי שמתגעגעים אליו והוא נעדר. ההעדר שעליו מדבר כאן אבן סינא, הוא צד שבו החומר מגלה את עצמו בתנועה ושינוי של גופים</w:t>
      </w:r>
      <w:r w:rsidR="00364B1F">
        <w:rPr>
          <w:rFonts w:hint="cs"/>
          <w:rtl/>
        </w:rPr>
        <w:t xml:space="preserve"> (תנועה היא גם שינוי, תנועה ממקום למקום, תנועה מקומית, היא אחד ממיני השינוי. תנועה סתם היא מילה נרדפת לשינוי</w:t>
      </w:r>
      <w:r w:rsidR="00DB1F70">
        <w:rPr>
          <w:rFonts w:hint="cs"/>
          <w:rtl/>
        </w:rPr>
        <w:t>, כאן אין הבדל בין אם אומרים שינוי או אומרים תנועה. יש בחינות בהן יש מונחים מיוחדים למינים של שינוי, אבל כאן זה לא הנושא וכאן אין הבחנה והכל נקרא גם תנועה וגם שינוי</w:t>
      </w:r>
      <w:r w:rsidR="00F03F17">
        <w:rPr>
          <w:rFonts w:hint="cs"/>
          <w:rtl/>
        </w:rPr>
        <w:t>, והשתמשתי בשתי המילים לפי הרגל הלשון ולא בכוונה מיוחדת</w:t>
      </w:r>
      <w:r w:rsidR="00DB1F70">
        <w:rPr>
          <w:rFonts w:hint="cs"/>
          <w:rtl/>
        </w:rPr>
        <w:t>)</w:t>
      </w:r>
      <w:r w:rsidR="001629E0">
        <w:rPr>
          <w:rFonts w:hint="cs"/>
          <w:rtl/>
        </w:rPr>
        <w:t>.</w:t>
      </w:r>
    </w:p>
    <w:p w14:paraId="39E095C1" w14:textId="1A1C01B3" w:rsidR="009501D7" w:rsidRDefault="003A107E">
      <w:pPr>
        <w:pStyle w:val="FootnoteText"/>
        <w:rPr>
          <w:rtl/>
        </w:rPr>
      </w:pPr>
      <w:r>
        <w:rPr>
          <w:rFonts w:hint="cs"/>
          <w:rtl/>
        </w:rPr>
        <w:t xml:space="preserve">בלי תנועה </w:t>
      </w:r>
      <w:r w:rsidR="00FB743E">
        <w:rPr>
          <w:rFonts w:hint="cs"/>
          <w:rtl/>
        </w:rPr>
        <w:t>מה שה</w:t>
      </w:r>
      <w:r>
        <w:rPr>
          <w:rFonts w:hint="cs"/>
          <w:rtl/>
        </w:rPr>
        <w:t xml:space="preserve">חומר </w:t>
      </w:r>
      <w:r w:rsidR="00FB743E">
        <w:rPr>
          <w:rFonts w:hint="cs"/>
          <w:rtl/>
        </w:rPr>
        <w:t xml:space="preserve">באמת הוא העדר </w:t>
      </w:r>
      <w:r>
        <w:rPr>
          <w:rFonts w:hint="cs"/>
          <w:rtl/>
        </w:rPr>
        <w:t>לא מתגלה, אלא להיפך, ה</w:t>
      </w:r>
      <w:r w:rsidR="00FB743E">
        <w:rPr>
          <w:rFonts w:hint="cs"/>
          <w:rtl/>
        </w:rPr>
        <w:t>חומר</w:t>
      </w:r>
      <w:r>
        <w:rPr>
          <w:rFonts w:hint="cs"/>
          <w:rtl/>
        </w:rPr>
        <w:t xml:space="preserve"> מציג את עצמו שהוא המציאות האמיתית במובן הראשוני והמוחלט והאמיתי ביותר. </w:t>
      </w:r>
      <w:r w:rsidR="00FB743E">
        <w:rPr>
          <w:rFonts w:hint="cs"/>
          <w:rtl/>
        </w:rPr>
        <w:t>וכמו שכתב המורה נבוכים שההמון תופש מציאות רק בחומר, עיין שם א' כ</w:t>
      </w:r>
      <w:r w:rsidR="00F055C8">
        <w:rPr>
          <w:rtl/>
        </w:rPr>
        <w:t>"</w:t>
      </w:r>
      <w:r w:rsidR="00FB743E">
        <w:rPr>
          <w:rFonts w:hint="cs"/>
          <w:rtl/>
        </w:rPr>
        <w:t>ו, א' מ</w:t>
      </w:r>
      <w:r w:rsidR="00F055C8">
        <w:rPr>
          <w:rtl/>
        </w:rPr>
        <w:t>"</w:t>
      </w:r>
      <w:r w:rsidR="00FB743E">
        <w:rPr>
          <w:rFonts w:hint="cs"/>
          <w:rtl/>
        </w:rPr>
        <w:t xml:space="preserve">ט, ובאגרת תחיית המתים ועוד מקומות. </w:t>
      </w:r>
      <w:r w:rsidR="007504BF">
        <w:rPr>
          <w:rFonts w:hint="cs"/>
          <w:rtl/>
        </w:rPr>
        <w:t xml:space="preserve">ועיין בזה בעיונים בפילוסופיה אריסטוטלית </w:t>
      </w:r>
      <w:hyperlink r:id="rId81" w:history="1">
        <w:r w:rsidR="007504BF" w:rsidRPr="00AA387B">
          <w:rPr>
            <w:rStyle w:val="Hyperlink"/>
            <w:rFonts w:hint="cs"/>
            <w:rtl/>
          </w:rPr>
          <w:t>רשימה 55</w:t>
        </w:r>
      </w:hyperlink>
      <w:r w:rsidR="007504BF">
        <w:rPr>
          <w:rFonts w:hint="cs"/>
          <w:rtl/>
        </w:rPr>
        <w:t>.</w:t>
      </w:r>
      <w:r w:rsidR="00395EE7">
        <w:rPr>
          <w:rFonts w:hint="cs"/>
          <w:rtl/>
        </w:rPr>
        <w:t xml:space="preserve"> </w:t>
      </w:r>
    </w:p>
    <w:p w14:paraId="120015E6" w14:textId="4474795C" w:rsidR="00A8628F" w:rsidRDefault="00395EE7">
      <w:pPr>
        <w:pStyle w:val="FootnoteText"/>
        <w:rPr>
          <w:rtl/>
        </w:rPr>
      </w:pPr>
      <w:r>
        <w:rPr>
          <w:rFonts w:hint="cs"/>
          <w:rtl/>
        </w:rPr>
        <w:t>ועיין במורה נבוכים ג' ח'</w:t>
      </w:r>
      <w:r w:rsidR="009501D7">
        <w:rPr>
          <w:rFonts w:hint="cs"/>
          <w:rtl/>
        </w:rPr>
        <w:t xml:space="preserve"> שכתב:</w:t>
      </w:r>
    </w:p>
    <w:p w14:paraId="6ACC9EDF" w14:textId="12A3E82F" w:rsidR="009501D7" w:rsidRDefault="00F055C8">
      <w:pPr>
        <w:pStyle w:val="FootnoteText"/>
        <w:rPr>
          <w:rtl/>
        </w:rPr>
      </w:pPr>
      <w:r>
        <w:rPr>
          <w:rtl/>
        </w:rPr>
        <w:t>"</w:t>
      </w:r>
      <w:r w:rsidR="009501D7" w:rsidRPr="009501D7">
        <w:rPr>
          <w:rtl/>
        </w:rPr>
        <w:t>כל הגשמים ההווים הנפסדים לא ישיגם ההפסד רק מצד החומר שלהם לא זולת זה. אבל מצד הצורה ובבחינת עצם הצורה לא ישיגם הפסד רק הם עומדים. הלא תראה שהצורות המיניות כולם מתמידות עומדות ואמנם ישיג הפסד לצורה במקרה - רצוני לומר מפני התחברה לחומר וטבע החומר ואמיתתו - שהוא לעולם לא ימלט מחברת ההעדר ומפני זה לא תתקים בו צורה אבל יפשיט צורה וילבש צורה אחרת תמיד</w:t>
      </w:r>
      <w:r>
        <w:rPr>
          <w:rtl/>
        </w:rPr>
        <w:t>"</w:t>
      </w:r>
    </w:p>
    <w:p w14:paraId="280FB8DE" w14:textId="77777777" w:rsidR="00497443" w:rsidRDefault="00497443">
      <w:pPr>
        <w:pStyle w:val="FootnoteText"/>
        <w:rPr>
          <w:rtl/>
        </w:rPr>
      </w:pPr>
    </w:p>
    <w:p w14:paraId="6696FA3D" w14:textId="1C80E0A3" w:rsidR="00174212" w:rsidRDefault="00497443">
      <w:pPr>
        <w:pStyle w:val="FootnoteText"/>
        <w:rPr>
          <w:rtl/>
        </w:rPr>
      </w:pPr>
      <w:r>
        <w:rPr>
          <w:rFonts w:hint="cs"/>
          <w:rtl/>
        </w:rPr>
        <w:t xml:space="preserve">מה שהחומר הוא באמיתתו העדר מתגלה בתנועה </w:t>
      </w:r>
      <w:r w:rsidR="00E66514">
        <w:rPr>
          <w:rFonts w:hint="cs"/>
          <w:rtl/>
        </w:rPr>
        <w:t>ו</w:t>
      </w:r>
      <w:r>
        <w:rPr>
          <w:rFonts w:hint="cs"/>
          <w:rtl/>
        </w:rPr>
        <w:t>שינוי</w:t>
      </w:r>
      <w:r w:rsidR="00E66514">
        <w:rPr>
          <w:rFonts w:hint="cs"/>
          <w:rtl/>
        </w:rPr>
        <w:t xml:space="preserve">. </w:t>
      </w:r>
      <w:r w:rsidR="00FD358A">
        <w:rPr>
          <w:rFonts w:hint="cs"/>
          <w:rtl/>
        </w:rPr>
        <w:t xml:space="preserve">לפי מה שנדמה שהמציאות היא בחומר, </w:t>
      </w:r>
      <w:r w:rsidR="00E66514">
        <w:rPr>
          <w:rFonts w:hint="cs"/>
          <w:rtl/>
        </w:rPr>
        <w:t>אם יש בד בצבע שחור, וצובעים אותו בלבן</w:t>
      </w:r>
      <w:r w:rsidR="004E20DA">
        <w:rPr>
          <w:rFonts w:hint="cs"/>
          <w:rtl/>
        </w:rPr>
        <w:t xml:space="preserve"> (הכוונה המדוייקת היא כל מה שאינו שחור, וכתבתי לבן רק להקל על ה</w:t>
      </w:r>
      <w:r w:rsidR="00CF449D">
        <w:rPr>
          <w:rFonts w:hint="cs"/>
          <w:rtl/>
        </w:rPr>
        <w:t>הסברה</w:t>
      </w:r>
      <w:r w:rsidR="004E20DA">
        <w:rPr>
          <w:rFonts w:hint="cs"/>
          <w:rtl/>
        </w:rPr>
        <w:t>)</w:t>
      </w:r>
      <w:r w:rsidR="00E66514">
        <w:rPr>
          <w:rFonts w:hint="cs"/>
          <w:rtl/>
        </w:rPr>
        <w:t xml:space="preserve">, הרי </w:t>
      </w:r>
      <w:r w:rsidR="00D3618C">
        <w:rPr>
          <w:rFonts w:hint="cs"/>
          <w:rtl/>
        </w:rPr>
        <w:t xml:space="preserve">אם כבר חלה בו צורת השחור הרי שהוא שחור, </w:t>
      </w:r>
      <w:r w:rsidR="00CC7ACC">
        <w:rPr>
          <w:rFonts w:hint="cs"/>
          <w:rtl/>
        </w:rPr>
        <w:t>ו</w:t>
      </w:r>
      <w:r w:rsidR="00D3618C">
        <w:rPr>
          <w:rFonts w:hint="cs"/>
          <w:rtl/>
        </w:rPr>
        <w:t>לא יתכן שישתנה ללבן</w:t>
      </w:r>
      <w:r w:rsidR="00CC7ACC">
        <w:rPr>
          <w:rFonts w:hint="cs"/>
          <w:rtl/>
        </w:rPr>
        <w:t xml:space="preserve"> כי המציאות היא שהוא שחור ואיך אפשר לשנות את המציאות. למשל המציאות היא שאחת ועוד אחת הם שתיים, ואי אפשר לשנות את זה שיהיו שלוש כיוון שזו המציאות</w:t>
      </w:r>
      <w:r w:rsidR="00D3618C">
        <w:rPr>
          <w:rFonts w:hint="cs"/>
          <w:rtl/>
        </w:rPr>
        <w:t>. או אם חלה בעצם צורת ביצה לא ייתכן שישתנה העצם ויהיה אפרוח</w:t>
      </w:r>
      <w:r w:rsidR="00174212">
        <w:rPr>
          <w:rFonts w:hint="cs"/>
          <w:rtl/>
        </w:rPr>
        <w:t>, וכל כיו</w:t>
      </w:r>
      <w:r w:rsidR="00F055C8">
        <w:rPr>
          <w:rtl/>
        </w:rPr>
        <w:t>"</w:t>
      </w:r>
      <w:r w:rsidR="00174212">
        <w:rPr>
          <w:rFonts w:hint="cs"/>
          <w:rtl/>
        </w:rPr>
        <w:t>ב</w:t>
      </w:r>
      <w:r w:rsidR="00D3618C">
        <w:rPr>
          <w:rFonts w:hint="cs"/>
          <w:rtl/>
        </w:rPr>
        <w:t>.</w:t>
      </w:r>
    </w:p>
    <w:p w14:paraId="7C5A222A" w14:textId="27CCC017" w:rsidR="007C74C3" w:rsidRDefault="00174212">
      <w:pPr>
        <w:pStyle w:val="FootnoteText"/>
        <w:rPr>
          <w:rtl/>
        </w:rPr>
      </w:pPr>
      <w:r>
        <w:rPr>
          <w:rFonts w:hint="cs"/>
          <w:rtl/>
        </w:rPr>
        <w:t xml:space="preserve">אלא השינוי מעיד שהמציאות של עצם אינה כמו המציאות של המשפט אחת ועוד אחת הם שתיים. אלא משום שבעצם יש חומר החומר הוא </w:t>
      </w:r>
      <w:r w:rsidR="00185E30">
        <w:rPr>
          <w:rFonts w:hint="cs"/>
          <w:rtl/>
        </w:rPr>
        <w:t>באמיתתו</w:t>
      </w:r>
      <w:r>
        <w:rPr>
          <w:rFonts w:hint="cs"/>
          <w:rtl/>
        </w:rPr>
        <w:t xml:space="preserve"> העדר והוא גורם להיפסדות הצורה שבחומר ומתלבשת בו צורה חדשה ומכח ההעדר שיש בחומר</w:t>
      </w:r>
      <w:r w:rsidR="00185E30">
        <w:rPr>
          <w:rFonts w:hint="cs"/>
          <w:rtl/>
        </w:rPr>
        <w:t xml:space="preserve"> יתכן השינוי. מה שאין כן במשפט </w:t>
      </w:r>
      <w:r w:rsidR="00087493">
        <w:rPr>
          <w:rFonts w:hint="cs"/>
          <w:rtl/>
        </w:rPr>
        <w:t>מתמטי</w:t>
      </w:r>
      <w:r w:rsidR="00185E30">
        <w:rPr>
          <w:rFonts w:hint="cs"/>
          <w:rtl/>
        </w:rPr>
        <w:t xml:space="preserve"> שאין בו חומר ולכן אי אפשר</w:t>
      </w:r>
      <w:r w:rsidR="007C74C3">
        <w:rPr>
          <w:rFonts w:hint="cs"/>
          <w:rtl/>
        </w:rPr>
        <w:t xml:space="preserve"> </w:t>
      </w:r>
      <w:r w:rsidR="00185E30">
        <w:rPr>
          <w:rFonts w:hint="cs"/>
          <w:rtl/>
        </w:rPr>
        <w:t xml:space="preserve">שישתנה. </w:t>
      </w:r>
    </w:p>
    <w:p w14:paraId="565A80BE" w14:textId="404FDD7F" w:rsidR="00BD68FF" w:rsidRDefault="007C74C3">
      <w:pPr>
        <w:pStyle w:val="FootnoteText"/>
        <w:rPr>
          <w:rtl/>
        </w:rPr>
      </w:pPr>
      <w:r>
        <w:rPr>
          <w:rFonts w:hint="cs"/>
          <w:rtl/>
        </w:rPr>
        <w:t>התנועה לא רק מתאפשרת מכח ההעדר שבאמיתת החומר, אלא היא עצמה ההעדר</w:t>
      </w:r>
      <w:r w:rsidR="002437F0">
        <w:rPr>
          <w:rFonts w:hint="cs"/>
          <w:rtl/>
        </w:rPr>
        <w:t xml:space="preserve">. שהרי הזמן הוא רצף, הוא לא אוסף נקודות, ומה שמשתנה אין לו כלל </w:t>
      </w:r>
      <w:r w:rsidR="00BD68FF">
        <w:rPr>
          <w:rFonts w:hint="cs"/>
          <w:rtl/>
        </w:rPr>
        <w:t xml:space="preserve">נקודה אחת ולו הקטנה ביותר של </w:t>
      </w:r>
      <w:r w:rsidR="002437F0">
        <w:rPr>
          <w:rFonts w:hint="cs"/>
          <w:rtl/>
        </w:rPr>
        <w:t xml:space="preserve">עמידה במקום בלי שינוי, והרי שאין לו מציאות. </w:t>
      </w:r>
      <w:r w:rsidR="00087493">
        <w:rPr>
          <w:rFonts w:hint="cs"/>
          <w:rtl/>
        </w:rPr>
        <w:t xml:space="preserve">וכל קיום העולם של ארבעת היסודות הוא תנועה, כי הכל הוא רק העדר (עיין בעיונים בפילוסופיה אריסטוטלית רשימה 35 במאמר על התנועה יסוד </w:t>
      </w:r>
      <w:r w:rsidR="009C463A">
        <w:rPr>
          <w:rFonts w:hint="cs"/>
          <w:rtl/>
        </w:rPr>
        <w:t>ההוויה</w:t>
      </w:r>
      <w:r w:rsidR="00087493">
        <w:rPr>
          <w:rFonts w:hint="cs"/>
          <w:rtl/>
        </w:rPr>
        <w:t xml:space="preserve">). </w:t>
      </w:r>
    </w:p>
    <w:p w14:paraId="28DD6C7B" w14:textId="14939C6B" w:rsidR="00497443" w:rsidRDefault="00E64F25">
      <w:pPr>
        <w:pStyle w:val="FootnoteText"/>
        <w:rPr>
          <w:rtl/>
        </w:rPr>
      </w:pPr>
      <w:r>
        <w:rPr>
          <w:rFonts w:hint="cs"/>
          <w:rtl/>
        </w:rPr>
        <w:t xml:space="preserve">התנועה היא שבד שחור משתנה ללבן מכח העדר הלבן שיש בו, ההעדר הוא אפשרות </w:t>
      </w:r>
      <w:r w:rsidR="00FC3D1C">
        <w:rPr>
          <w:rFonts w:hint="cs"/>
          <w:rtl/>
        </w:rPr>
        <w:t>השינוי משחור למה שאינו שחור</w:t>
      </w:r>
      <w:r w:rsidR="00047BCB">
        <w:rPr>
          <w:rFonts w:hint="cs"/>
          <w:rtl/>
        </w:rPr>
        <w:t>, הוא ה'בכח' של לבן שקיים בבד גם כשבפועל הוא שחור. לעומת זאת במשפט אחת ועוד אחת הן שתיים אין 'בכח' שיהיה מ</w:t>
      </w:r>
      <w:r w:rsidR="00DA6149">
        <w:rPr>
          <w:rFonts w:hint="cs"/>
          <w:rtl/>
        </w:rPr>
        <w:t>ש</w:t>
      </w:r>
      <w:r w:rsidR="00921357">
        <w:rPr>
          <w:rFonts w:hint="cs"/>
          <w:rtl/>
        </w:rPr>
        <w:t>פ</w:t>
      </w:r>
      <w:r w:rsidR="00047BCB">
        <w:rPr>
          <w:rFonts w:hint="cs"/>
          <w:rtl/>
        </w:rPr>
        <w:t xml:space="preserve">ט </w:t>
      </w:r>
      <w:r w:rsidR="00921357">
        <w:rPr>
          <w:rFonts w:hint="cs"/>
          <w:rtl/>
        </w:rPr>
        <w:t>'</w:t>
      </w:r>
      <w:r w:rsidR="00047BCB">
        <w:rPr>
          <w:rFonts w:hint="cs"/>
          <w:rtl/>
        </w:rPr>
        <w:t>אחת ועוד אחת הן שלוש</w:t>
      </w:r>
      <w:r w:rsidR="00921357">
        <w:rPr>
          <w:rFonts w:hint="cs"/>
          <w:rtl/>
        </w:rPr>
        <w:t>'</w:t>
      </w:r>
      <w:r w:rsidR="00047BCB">
        <w:rPr>
          <w:rFonts w:hint="cs"/>
          <w:rtl/>
        </w:rPr>
        <w:t>, ו</w:t>
      </w:r>
      <w:r w:rsidR="00921357">
        <w:rPr>
          <w:rFonts w:hint="cs"/>
          <w:rtl/>
        </w:rPr>
        <w:t xml:space="preserve">לכן </w:t>
      </w:r>
      <w:r w:rsidR="00047BCB">
        <w:rPr>
          <w:rFonts w:hint="cs"/>
          <w:rtl/>
        </w:rPr>
        <w:t>אי</w:t>
      </w:r>
      <w:r w:rsidR="00921357">
        <w:rPr>
          <w:rFonts w:hint="cs"/>
          <w:rtl/>
        </w:rPr>
        <w:t xml:space="preserve">ן </w:t>
      </w:r>
      <w:r w:rsidR="00047BCB">
        <w:rPr>
          <w:rFonts w:hint="cs"/>
          <w:rtl/>
        </w:rPr>
        <w:t xml:space="preserve">העדר </w:t>
      </w:r>
      <w:r w:rsidR="00921357">
        <w:rPr>
          <w:rFonts w:hint="cs"/>
          <w:rtl/>
        </w:rPr>
        <w:t>של משפט כזה, ולכן אי אפשר שהמשפט 'אחת ועוד אחת הן שתיים' ישתנה למשפט 'אחת ועוד אחת הן שלוש'</w:t>
      </w:r>
      <w:r>
        <w:rPr>
          <w:rFonts w:hint="cs"/>
          <w:rtl/>
        </w:rPr>
        <w:t xml:space="preserve">. </w:t>
      </w:r>
      <w:r w:rsidR="00D3618C">
        <w:rPr>
          <w:rFonts w:hint="cs"/>
          <w:rtl/>
        </w:rPr>
        <w:t xml:space="preserve"> </w:t>
      </w:r>
    </w:p>
    <w:p w14:paraId="76437781" w14:textId="77777777" w:rsidR="00572611" w:rsidRDefault="00572611">
      <w:pPr>
        <w:pStyle w:val="FootnoteText"/>
        <w:rPr>
          <w:rtl/>
        </w:rPr>
      </w:pPr>
    </w:p>
    <w:p w14:paraId="21FDD21B" w14:textId="56D0884A" w:rsidR="00572611" w:rsidRDefault="00572611" w:rsidP="00572611">
      <w:pPr>
        <w:pStyle w:val="FootnoteText"/>
        <w:rPr>
          <w:rtl/>
        </w:rPr>
      </w:pPr>
      <w:r>
        <w:rPr>
          <w:rtl/>
        </w:rPr>
        <w:t xml:space="preserve">ספר חובות הלבבות שער ב </w:t>
      </w:r>
      <w:r>
        <w:rPr>
          <w:rFonts w:hint="cs"/>
          <w:rtl/>
        </w:rPr>
        <w:t>-</w:t>
      </w:r>
      <w:r>
        <w:rPr>
          <w:rtl/>
        </w:rPr>
        <w:t xml:space="preserve"> שער הבחינה פרק ה:</w:t>
      </w:r>
    </w:p>
    <w:p w14:paraId="3303A796" w14:textId="56B7175A" w:rsidR="00572611" w:rsidRDefault="00F055C8" w:rsidP="00572611">
      <w:pPr>
        <w:pStyle w:val="FootnoteText"/>
        <w:rPr>
          <w:rtl/>
        </w:rPr>
      </w:pPr>
      <w:r>
        <w:rPr>
          <w:rtl/>
        </w:rPr>
        <w:t>"</w:t>
      </w:r>
      <w:r w:rsidR="00572611">
        <w:rPr>
          <w:rtl/>
        </w:rPr>
        <w:t>וממה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הוית שום דבר מן הנמצאות ולא הפסדם. ואמר אחד מן הפילוסופים: רוח הטבעים התנועה. וכשתבין סוד התנועה ותשכיל ענין אמתתה ורוחניותה, ותדע, כי היא מפלאי החכמה האלהית ותכיר רוב חמלת הבורא על ברואיו, אז יתברר לך, כי כל תנועותיך נקשרות בחפץ הבורא יתעלה והנהגתו ורצונו, הקטנה והגדולה שבהם והגלויה והנסתרת, חוץ ממה ששם ברשותך מבחירת הטוב והרע. וכאשר יתברר לך זה, תפקד עצמך בכל תנועה שתנוע, וזכר הקשר אשר קשרך הבורא בו והתבושש ממנו תמיד, ותירא אותו ותמסר לדינו ורצה בגזרותיו</w:t>
      </w:r>
      <w:r>
        <w:rPr>
          <w:rtl/>
        </w:rPr>
        <w:t>"</w:t>
      </w:r>
    </w:p>
    <w:p w14:paraId="1983D904" w14:textId="60DED879" w:rsidR="00572611" w:rsidRDefault="00084016" w:rsidP="00572611">
      <w:pPr>
        <w:pStyle w:val="FootnoteText"/>
        <w:rPr>
          <w:rtl/>
        </w:rPr>
      </w:pPr>
      <w:r>
        <w:rPr>
          <w:rFonts w:hint="cs"/>
          <w:rtl/>
        </w:rPr>
        <w:t xml:space="preserve">התנועה </w:t>
      </w:r>
      <w:r w:rsidR="00F055C8">
        <w:rPr>
          <w:rtl/>
        </w:rPr>
        <w:t>"</w:t>
      </w:r>
      <w:r>
        <w:rPr>
          <w:rFonts w:hint="cs"/>
          <w:rtl/>
        </w:rPr>
        <w:t>דבקה לכל מחובר</w:t>
      </w:r>
      <w:r w:rsidR="00F055C8">
        <w:rPr>
          <w:rtl/>
        </w:rPr>
        <w:t>"</w:t>
      </w:r>
      <w:r>
        <w:rPr>
          <w:rFonts w:hint="cs"/>
          <w:rtl/>
        </w:rPr>
        <w:t xml:space="preserve">, כלומר היא שייכת רק במה שמחובר מחומר וצורה. </w:t>
      </w:r>
      <w:r w:rsidR="00E82806">
        <w:rPr>
          <w:rFonts w:hint="cs"/>
          <w:rtl/>
        </w:rPr>
        <w:t xml:space="preserve">החוש רואה את התוצאות של התנועה, הוא רואה שמה שהיה שחור עכשיו הוא לבן, אבל אינו רואה את עצם התנועה, </w:t>
      </w:r>
      <w:r w:rsidR="00B2133C">
        <w:rPr>
          <w:rFonts w:hint="cs"/>
          <w:rtl/>
        </w:rPr>
        <w:t>השינוי כשלעצמו. אלא זו השגה שכלית שמשיגה את היות המציאות החמרית העדר, ונשאר שהכל הוא רק מציאותו של הכרחי המציאות והאדם משיג את ביטול מציאותו כפרט</w:t>
      </w:r>
      <w:r w:rsidR="003F7339">
        <w:rPr>
          <w:rFonts w:hint="cs"/>
          <w:rtl/>
        </w:rPr>
        <w:t xml:space="preserve"> (שזה משקר החומר שבו)</w:t>
      </w:r>
      <w:r w:rsidR="00B2133C">
        <w:rPr>
          <w:rFonts w:hint="cs"/>
          <w:rtl/>
        </w:rPr>
        <w:t xml:space="preserve"> מול מציאותו של הכללי</w:t>
      </w:r>
      <w:r w:rsidR="003F7339">
        <w:rPr>
          <w:rFonts w:hint="cs"/>
          <w:rtl/>
        </w:rPr>
        <w:t xml:space="preserve"> ומפקיד את עצמו</w:t>
      </w:r>
      <w:r w:rsidR="00B2133C">
        <w:rPr>
          <w:rFonts w:hint="cs"/>
          <w:rtl/>
        </w:rPr>
        <w:t xml:space="preserve">. </w:t>
      </w:r>
    </w:p>
    <w:p w14:paraId="4CF47D34" w14:textId="664FAB40" w:rsidR="003069BF" w:rsidRDefault="003069BF" w:rsidP="00572611">
      <w:pPr>
        <w:pStyle w:val="FootnoteText"/>
        <w:rPr>
          <w:rtl/>
        </w:rPr>
      </w:pPr>
      <w:r>
        <w:rPr>
          <w:rFonts w:hint="cs"/>
          <w:rtl/>
        </w:rPr>
        <w:t>והתנועה היא החיים שבטבע, כי החיים הם מה שהטבע הוא כמו שלהבת הקשורה בגחלת, הוא מתכלה מול האחדות הא</w:t>
      </w:r>
      <w:r w:rsidR="0031065C">
        <w:rPr>
          <w:rFonts w:hint="cs"/>
          <w:rtl/>
        </w:rPr>
        <w:t>ל</w:t>
      </w:r>
      <w:r>
        <w:rPr>
          <w:rFonts w:hint="cs"/>
          <w:rtl/>
        </w:rPr>
        <w:t>והית הפשוטה המוחלטת וחוזר</w:t>
      </w:r>
      <w:r w:rsidR="0031065C">
        <w:rPr>
          <w:rFonts w:hint="cs"/>
          <w:rtl/>
        </w:rPr>
        <w:t xml:space="preserve"> </w:t>
      </w:r>
      <w:r>
        <w:rPr>
          <w:rFonts w:hint="cs"/>
          <w:rtl/>
        </w:rPr>
        <w:t>להיות קיים בכליונו, כמו הסנה שבוער באש ואיננו אוכל</w:t>
      </w:r>
      <w:r w:rsidR="0031065C">
        <w:rPr>
          <w:rFonts w:hint="cs"/>
          <w:rtl/>
        </w:rPr>
        <w:t>, כי כליונו הוא מציאותו</w:t>
      </w:r>
      <w:r>
        <w:rPr>
          <w:rFonts w:hint="cs"/>
          <w:rtl/>
        </w:rPr>
        <w:t xml:space="preserve">. </w:t>
      </w:r>
      <w:r w:rsidR="0031065C">
        <w:rPr>
          <w:rFonts w:hint="cs"/>
          <w:rtl/>
        </w:rPr>
        <w:t xml:space="preserve">החיים הם הבעירה של החום הטבעי, שהיא כבערת הסנה, והפעימה הזו, שבין המציאות וההעדר, כמו הלב </w:t>
      </w:r>
      <w:r w:rsidR="00F16DD2">
        <w:rPr>
          <w:rFonts w:hint="cs"/>
          <w:rtl/>
        </w:rPr>
        <w:t xml:space="preserve">שפועם ומחזור החיים של יום ולילה קיץ וחורף וכן הלאה. </w:t>
      </w:r>
      <w:r>
        <w:rPr>
          <w:rFonts w:hint="cs"/>
          <w:rtl/>
        </w:rPr>
        <w:t xml:space="preserve"> </w:t>
      </w:r>
    </w:p>
    <w:p w14:paraId="71360526" w14:textId="77777777" w:rsidR="00DB5317" w:rsidRDefault="004C751E">
      <w:pPr>
        <w:pStyle w:val="FootnoteText"/>
        <w:rPr>
          <w:rtl/>
        </w:rPr>
      </w:pPr>
      <w:r>
        <w:rPr>
          <w:rFonts w:hint="cs"/>
          <w:rtl/>
        </w:rPr>
        <w:t xml:space="preserve">אחרי שאמרנו שההיולי, החומר הראשון, הוא התחלה משותפת לכל המציאות, אין מקום לומר שההעדר הוא התחלה משותפת, </w:t>
      </w:r>
      <w:r w:rsidR="004869EF">
        <w:rPr>
          <w:rFonts w:hint="cs"/>
          <w:rtl/>
        </w:rPr>
        <w:t>אלא ההעדר הוא הגילוי של מהות החומר כהעדר במהלך ההתהוות וההפסד של כל עצם פרטי בפני עצמו</w:t>
      </w:r>
      <w:r w:rsidR="00DF2859">
        <w:rPr>
          <w:rFonts w:hint="cs"/>
          <w:rtl/>
        </w:rPr>
        <w:t>, ההעדר הוא התנועה</w:t>
      </w:r>
      <w:r w:rsidR="004869EF">
        <w:rPr>
          <w:rFonts w:hint="cs"/>
          <w:rtl/>
        </w:rPr>
        <w:t>.</w:t>
      </w:r>
    </w:p>
    <w:p w14:paraId="7AF91A3C" w14:textId="4D7F8F5D" w:rsidR="00537E75" w:rsidRDefault="00537E75">
      <w:pPr>
        <w:pStyle w:val="FootnoteText"/>
        <w:rPr>
          <w:rtl/>
        </w:rPr>
      </w:pPr>
      <w:r>
        <w:rPr>
          <w:rFonts w:hint="cs"/>
          <w:rtl/>
        </w:rPr>
        <w:t>ובמורה נבוכים א' י</w:t>
      </w:r>
      <w:r w:rsidR="00F055C8">
        <w:rPr>
          <w:rtl/>
        </w:rPr>
        <w:t>"</w:t>
      </w:r>
      <w:r>
        <w:rPr>
          <w:rFonts w:hint="cs"/>
          <w:rtl/>
        </w:rPr>
        <w:t>ז</w:t>
      </w:r>
      <w:r w:rsidR="00B4012B">
        <w:rPr>
          <w:rtl/>
        </w:rPr>
        <w:fldChar w:fldCharType="begin"/>
      </w:r>
      <w:r w:rsidR="00B4012B">
        <w:instrText xml:space="preserve"> XE "</w:instrText>
      </w:r>
      <w:r w:rsidR="00B4012B" w:rsidRPr="000B144A">
        <w:rPr>
          <w:rFonts w:hint="cs"/>
          <w:rtl/>
        </w:rPr>
        <w:instrText>מורה נבוכים א' י</w:instrText>
      </w:r>
      <w:r w:rsidR="00B4012B">
        <w:rPr>
          <w:b/>
          <w:bCs/>
          <w:sz w:val="20"/>
          <w:szCs w:val="20"/>
        </w:rPr>
        <w:instrText>\</w:instrText>
      </w:r>
      <w:r w:rsidR="00B4012B" w:rsidRPr="000B144A">
        <w:rPr>
          <w:rFonts w:hint="cs"/>
          <w:rtl/>
        </w:rPr>
        <w:instrText>"ז - ההעדר המיוחד</w:instrText>
      </w:r>
      <w:r w:rsidR="00B4012B">
        <w:instrText xml:space="preserve">" </w:instrText>
      </w:r>
      <w:r w:rsidR="00B4012B">
        <w:rPr>
          <w:rtl/>
        </w:rPr>
        <w:fldChar w:fldCharType="end"/>
      </w:r>
      <w:r>
        <w:rPr>
          <w:rFonts w:hint="cs"/>
          <w:rtl/>
        </w:rPr>
        <w:t xml:space="preserve"> כתב:</w:t>
      </w:r>
    </w:p>
    <w:p w14:paraId="766E0AD4" w14:textId="09BB1D1B" w:rsidR="00B24B0B" w:rsidRDefault="00F055C8">
      <w:pPr>
        <w:pStyle w:val="FootnoteText"/>
        <w:rPr>
          <w:rtl/>
        </w:rPr>
      </w:pPr>
      <w:r>
        <w:rPr>
          <w:rtl/>
        </w:rPr>
        <w:t>"</w:t>
      </w:r>
      <w:r w:rsidR="00537E75" w:rsidRPr="00537E75">
        <w:rPr>
          <w:rtl/>
        </w:rPr>
        <w:t>ואתה יודע כי התחלות הנמצאות ההוות הנפסדות – שלושה: החומר, והצורה, וההעדר המיוחד, אשר הוא מחובר לחומר לעולם. ולולא התחברות ההעדר לחומר, לא הגיע אליו הצורה, ובזה הצד היה העדר מן ההתחלות. ועם הגיע הצורה, יסור ההעדר ההוא, כלומר: העדר הצורה ההיא המגעת, ויחובר אליו העדר אחר, וכן לעולם, כמו שהתבאר בחכמת הטבע.</w:t>
      </w:r>
      <w:r>
        <w:rPr>
          <w:rtl/>
        </w:rPr>
        <w:t>"</w:t>
      </w:r>
      <w:r w:rsidR="00B9225A">
        <w:rPr>
          <w:rFonts w:hint="cs"/>
          <w:rtl/>
        </w:rPr>
        <w:t xml:space="preserve"> (הרמב</w:t>
      </w:r>
      <w:r>
        <w:rPr>
          <w:rtl/>
        </w:rPr>
        <w:t>"</w:t>
      </w:r>
      <w:r w:rsidR="00B9225A">
        <w:rPr>
          <w:rFonts w:hint="cs"/>
          <w:rtl/>
        </w:rPr>
        <w:t xml:space="preserve">ם כתב </w:t>
      </w:r>
      <w:r>
        <w:rPr>
          <w:rtl/>
        </w:rPr>
        <w:t>"</w:t>
      </w:r>
      <w:r w:rsidR="004B4CE8">
        <w:rPr>
          <w:rFonts w:hint="cs"/>
          <w:rtl/>
        </w:rPr>
        <w:t>מאדא</w:t>
      </w:r>
      <w:r>
        <w:rPr>
          <w:rtl/>
        </w:rPr>
        <w:t>"</w:t>
      </w:r>
      <w:r w:rsidR="00B9225A">
        <w:rPr>
          <w:rFonts w:hint="cs"/>
          <w:rtl/>
        </w:rPr>
        <w:t xml:space="preserve"> </w:t>
      </w:r>
      <w:r w:rsidR="006A3848">
        <w:rPr>
          <w:rFonts w:hint="cs"/>
          <w:rtl/>
        </w:rPr>
        <w:t>לציין חומר, והכוונה</w:t>
      </w:r>
      <w:r w:rsidR="002A2D1F">
        <w:rPr>
          <w:rFonts w:hint="cs"/>
          <w:rtl/>
        </w:rPr>
        <w:t xml:space="preserve"> </w:t>
      </w:r>
      <w:r w:rsidR="006A3848">
        <w:rPr>
          <w:rFonts w:hint="cs"/>
          <w:rtl/>
        </w:rPr>
        <w:t>לכל חומר, גם של עצם פרטי, ולא דווקא להיולי</w:t>
      </w:r>
      <w:r w:rsidR="00185E7F">
        <w:rPr>
          <w:rFonts w:hint="cs"/>
          <w:rtl/>
        </w:rPr>
        <w:t xml:space="preserve">, ואבן סינא כאן כתב </w:t>
      </w:r>
      <w:r>
        <w:rPr>
          <w:rtl/>
        </w:rPr>
        <w:t>"</w:t>
      </w:r>
      <w:r w:rsidR="00185E7F">
        <w:rPr>
          <w:rFonts w:hint="cs"/>
          <w:rtl/>
        </w:rPr>
        <w:t>היולי</w:t>
      </w:r>
      <w:r>
        <w:rPr>
          <w:rtl/>
        </w:rPr>
        <w:t>"</w:t>
      </w:r>
      <w:r w:rsidR="00E86AE0">
        <w:rPr>
          <w:rFonts w:hint="cs"/>
          <w:rtl/>
        </w:rPr>
        <w:t xml:space="preserve"> ולא כמו שהוא לפעמים כותב '</w:t>
      </w:r>
      <w:r w:rsidR="004B4CE8">
        <w:rPr>
          <w:rFonts w:hint="cs"/>
          <w:rtl/>
        </w:rPr>
        <w:t>מאדא</w:t>
      </w:r>
      <w:r w:rsidR="00E86AE0">
        <w:rPr>
          <w:rFonts w:hint="cs"/>
          <w:rtl/>
        </w:rPr>
        <w:t>' במובן כללי של חומר.</w:t>
      </w:r>
      <w:r w:rsidR="00B9225A">
        <w:rPr>
          <w:rFonts w:hint="cs"/>
          <w:rtl/>
        </w:rPr>
        <w:t>)</w:t>
      </w:r>
    </w:p>
    <w:p w14:paraId="4E2ECABF" w14:textId="1612200A" w:rsidR="0015559C" w:rsidRDefault="00B24B0B">
      <w:pPr>
        <w:pStyle w:val="FootnoteText"/>
      </w:pPr>
      <w:r>
        <w:rPr>
          <w:rFonts w:hint="cs"/>
          <w:rtl/>
        </w:rPr>
        <w:t xml:space="preserve">מה שההעדר הוא 'מיוחד', כי לא מדובר בהעדר הכללי המשותף שהוא החומר, אלא בהעדר המתגלה בכל גוף מיוחד בפני עצמו כשהוא משתנה. </w:t>
      </w:r>
      <w:r w:rsidR="004869EF">
        <w:rPr>
          <w:rFonts w:hint="cs"/>
          <w:rtl/>
        </w:rPr>
        <w:t xml:space="preserve"> </w:t>
      </w:r>
      <w:r w:rsidR="00395EE7">
        <w:rPr>
          <w:rFonts w:hint="cs"/>
          <w:rtl/>
        </w:rPr>
        <w:t xml:space="preserve"> </w:t>
      </w:r>
      <w:r w:rsidR="00DE4090">
        <w:rPr>
          <w:rFonts w:hint="cs"/>
          <w:rtl/>
        </w:rPr>
        <w:t xml:space="preserve"> </w:t>
      </w:r>
    </w:p>
  </w:footnote>
  <w:footnote w:id="319">
    <w:p w14:paraId="3C4F51DC" w14:textId="223B4F20" w:rsidR="00DC5E0C" w:rsidRDefault="00DC5E0C">
      <w:pPr>
        <w:pStyle w:val="FootnoteText"/>
      </w:pPr>
      <w:r>
        <w:rPr>
          <w:rStyle w:val="FootnoteReference"/>
        </w:rPr>
        <w:footnoteRef/>
      </w:r>
      <w:r>
        <w:rPr>
          <w:rtl/>
        </w:rPr>
        <w:t xml:space="preserve"> </w:t>
      </w:r>
      <w:r w:rsidR="00B83DB4">
        <w:rPr>
          <w:rFonts w:hint="cs"/>
          <w:rtl/>
        </w:rPr>
        <w:t xml:space="preserve">הדרך שהתבארה לעיל </w:t>
      </w:r>
      <w:r w:rsidR="0081518B">
        <w:rPr>
          <w:rFonts w:hint="cs"/>
          <w:rtl/>
        </w:rPr>
        <w:t>1.2.8</w:t>
      </w:r>
      <w:r w:rsidR="00B83DB4">
        <w:rPr>
          <w:rFonts w:hint="cs"/>
          <w:rtl/>
        </w:rPr>
        <w:t xml:space="preserve">. </w:t>
      </w:r>
      <w:r w:rsidR="009A5EE0">
        <w:rPr>
          <w:rFonts w:hint="cs"/>
          <w:rtl/>
        </w:rPr>
        <w:t xml:space="preserve">לפיה המשותף שבעולם הוא </w:t>
      </w:r>
      <w:r w:rsidR="00BC27BB">
        <w:rPr>
          <w:rFonts w:hint="cs"/>
          <w:rtl/>
        </w:rPr>
        <w:t xml:space="preserve">מאפיין מהותי של העצמים הפרטיים שגורם להם כפרטיים לשיתוף מכח שהוא שייך בכולם, ולא מהבחינה שיש מציאות </w:t>
      </w:r>
      <w:r w:rsidR="009A5EE0">
        <w:rPr>
          <w:rFonts w:hint="cs"/>
          <w:rtl/>
        </w:rPr>
        <w:t xml:space="preserve">בפני עצמה </w:t>
      </w:r>
      <w:r w:rsidR="00BC27BB">
        <w:rPr>
          <w:rFonts w:hint="cs"/>
          <w:rtl/>
        </w:rPr>
        <w:t xml:space="preserve">של עצם אחד שכל שאר העצמים הם כמו איברים שלו. </w:t>
      </w:r>
    </w:p>
  </w:footnote>
  <w:footnote w:id="320">
    <w:p w14:paraId="7AA73DD6" w14:textId="77777777" w:rsidR="00F3209B" w:rsidRDefault="00F3209B" w:rsidP="00F3209B">
      <w:pPr>
        <w:pStyle w:val="FootnoteText"/>
      </w:pPr>
      <w:r>
        <w:rPr>
          <w:rStyle w:val="FootnoteReference"/>
        </w:rPr>
        <w:footnoteRef/>
      </w:r>
      <w:r>
        <w:rPr>
          <w:rtl/>
        </w:rPr>
        <w:t xml:space="preserve"> </w:t>
      </w:r>
      <w:r>
        <w:rPr>
          <w:rFonts w:hint="cs"/>
          <w:rtl/>
        </w:rPr>
        <w:t>צורה חומר והעדר.</w:t>
      </w:r>
    </w:p>
  </w:footnote>
  <w:footnote w:id="321">
    <w:p w14:paraId="006A3201" w14:textId="77777777" w:rsidR="00B64126" w:rsidRDefault="00ED6501">
      <w:pPr>
        <w:pStyle w:val="FootnoteText"/>
        <w:rPr>
          <w:rtl/>
        </w:rPr>
      </w:pPr>
      <w:r>
        <w:rPr>
          <w:rStyle w:val="FootnoteReference"/>
        </w:rPr>
        <w:footnoteRef/>
      </w:r>
      <w:r>
        <w:rPr>
          <w:rtl/>
        </w:rPr>
        <w:t xml:space="preserve"> </w:t>
      </w:r>
      <w:r w:rsidR="00430C6E" w:rsidRPr="00877177">
        <w:rPr>
          <w:rtl/>
        </w:rPr>
        <w:t xml:space="preserve">במקור </w:t>
      </w:r>
      <w:r w:rsidR="00430C6E" w:rsidRPr="00877177">
        <w:rPr>
          <w:rtl/>
          <w:lang w:bidi="ar-SA"/>
        </w:rPr>
        <w:t xml:space="preserve"> </w:t>
      </w:r>
      <w:r w:rsidR="00430C6E" w:rsidRPr="00877177">
        <w:rPr>
          <w:rFonts w:ascii="Arial" w:hAnsi="Arial" w:cs="Arial" w:hint="cs"/>
          <w:rtl/>
          <w:lang w:bidi="ar-SA"/>
        </w:rPr>
        <w:t>للكائنات</w:t>
      </w:r>
      <w:r w:rsidR="00430C6E" w:rsidRPr="00877177">
        <w:rPr>
          <w:rtl/>
          <w:lang w:bidi="ar-SA"/>
        </w:rPr>
        <w:t xml:space="preserve"> </w:t>
      </w:r>
      <w:r w:rsidR="00430C6E" w:rsidRPr="00877177">
        <w:rPr>
          <w:rFonts w:ascii="Arial" w:hAnsi="Arial" w:cs="Arial" w:hint="cs"/>
          <w:rtl/>
          <w:lang w:bidi="ar-SA"/>
        </w:rPr>
        <w:t>والمتغيرات</w:t>
      </w:r>
      <w:r w:rsidR="00430C6E" w:rsidRPr="00877177">
        <w:rPr>
          <w:rtl/>
        </w:rPr>
        <w:t>. מקגיניס תרגם כאן</w:t>
      </w:r>
      <w:r w:rsidR="00877177">
        <w:rPr>
          <w:rFonts w:hint="cs"/>
          <w:rtl/>
        </w:rPr>
        <w:t>:</w:t>
      </w:r>
      <w:r w:rsidR="00430C6E" w:rsidRPr="00877177">
        <w:rPr>
          <w:rtl/>
        </w:rPr>
        <w:t xml:space="preserve"> מה שיש ב</w:t>
      </w:r>
      <w:r w:rsidR="00877177">
        <w:rPr>
          <w:rFonts w:hint="cs"/>
          <w:rtl/>
        </w:rPr>
        <w:t>ו</w:t>
      </w:r>
      <w:r w:rsidR="00430C6E" w:rsidRPr="00877177">
        <w:rPr>
          <w:rtl/>
        </w:rPr>
        <w:t xml:space="preserve"> התהוות והפסד</w:t>
      </w:r>
      <w:r w:rsidR="00B64126">
        <w:rPr>
          <w:rFonts w:hint="cs"/>
          <w:rtl/>
        </w:rPr>
        <w:t>:</w:t>
      </w:r>
    </w:p>
    <w:p w14:paraId="2303151C" w14:textId="4795AD5B" w:rsidR="00B64126" w:rsidRDefault="00F055C8" w:rsidP="00B64126">
      <w:pPr>
        <w:pStyle w:val="FootnoteText"/>
        <w:bidi w:val="0"/>
      </w:pPr>
      <w:r>
        <w:t>"</w:t>
      </w:r>
      <w:r w:rsidR="00B64126">
        <w:t>the</w:t>
      </w:r>
      <w:r w:rsidR="00B64126">
        <w:rPr>
          <w:rtl/>
        </w:rPr>
        <w:t xml:space="preserve"> </w:t>
      </w:r>
    </w:p>
    <w:p w14:paraId="484D9F99" w14:textId="77777777" w:rsidR="00B64126" w:rsidRDefault="00B64126" w:rsidP="00B64126">
      <w:pPr>
        <w:pStyle w:val="FootnoteText"/>
        <w:bidi w:val="0"/>
      </w:pPr>
      <w:r>
        <w:t>three principles are common to what is subject to generation and</w:t>
      </w:r>
      <w:r>
        <w:rPr>
          <w:rtl/>
        </w:rPr>
        <w:t xml:space="preserve"> </w:t>
      </w:r>
    </w:p>
    <w:p w14:paraId="1CDF6AA4" w14:textId="29409811" w:rsidR="00B64126" w:rsidRDefault="00B64126" w:rsidP="00B64126">
      <w:pPr>
        <w:pStyle w:val="FootnoteText"/>
        <w:bidi w:val="0"/>
        <w:rPr>
          <w:rtl/>
        </w:rPr>
      </w:pPr>
      <w:r>
        <w:t>change</w:t>
      </w:r>
      <w:r w:rsidR="00F055C8">
        <w:t>"</w:t>
      </w:r>
      <w:r w:rsidR="00430C6E" w:rsidRPr="00877177">
        <w:rPr>
          <w:rtl/>
        </w:rPr>
        <w:t xml:space="preserve"> </w:t>
      </w:r>
    </w:p>
    <w:p w14:paraId="2B2FC359" w14:textId="6BE132E4" w:rsidR="00ED6501" w:rsidRPr="00877177" w:rsidRDefault="00430C6E">
      <w:pPr>
        <w:pStyle w:val="FootnoteText"/>
        <w:rPr>
          <w:rtl/>
        </w:rPr>
      </w:pPr>
      <w:r w:rsidRPr="00877177">
        <w:rPr>
          <w:rtl/>
        </w:rPr>
        <w:t>זה א</w:t>
      </w:r>
      <w:r w:rsidR="00B64126">
        <w:rPr>
          <w:rFonts w:hint="cs"/>
          <w:rtl/>
        </w:rPr>
        <w:t>פ</w:t>
      </w:r>
      <w:r w:rsidRPr="00877177">
        <w:rPr>
          <w:rtl/>
        </w:rPr>
        <w:t>שר אבל ז</w:t>
      </w:r>
      <w:r w:rsidR="00E41295">
        <w:rPr>
          <w:rFonts w:hint="cs"/>
          <w:rtl/>
        </w:rPr>
        <w:t>ו</w:t>
      </w:r>
      <w:r w:rsidR="00F520D6" w:rsidRPr="00877177">
        <w:rPr>
          <w:rtl/>
        </w:rPr>
        <w:t xml:space="preserve"> </w:t>
      </w:r>
      <w:r w:rsidRPr="00877177">
        <w:rPr>
          <w:rtl/>
        </w:rPr>
        <w:t>לא הלשון השגורה לזה. לדע</w:t>
      </w:r>
      <w:r w:rsidR="00F520D6" w:rsidRPr="00877177">
        <w:rPr>
          <w:rtl/>
        </w:rPr>
        <w:t>תי מסתבר יותר</w:t>
      </w:r>
      <w:r w:rsidR="00E41295">
        <w:rPr>
          <w:rFonts w:hint="cs"/>
          <w:rtl/>
        </w:rPr>
        <w:t>, גם מבחינת הלשון וגם מבחינת התוכן,</w:t>
      </w:r>
      <w:r w:rsidR="00F520D6" w:rsidRPr="00877177">
        <w:rPr>
          <w:rtl/>
        </w:rPr>
        <w:t xml:space="preserve"> שהכוונה כאן היא ל</w:t>
      </w:r>
      <w:r w:rsidR="00F055C8">
        <w:rPr>
          <w:rtl/>
        </w:rPr>
        <w:t>"</w:t>
      </w:r>
      <w:r w:rsidR="00F520D6" w:rsidRPr="00877177">
        <w:rPr>
          <w:rtl/>
        </w:rPr>
        <w:t>נמצאים</w:t>
      </w:r>
      <w:r w:rsidR="00F055C8">
        <w:rPr>
          <w:rtl/>
        </w:rPr>
        <w:t>"</w:t>
      </w:r>
      <w:r w:rsidR="008B0411" w:rsidRPr="00877177">
        <w:rPr>
          <w:rtl/>
        </w:rPr>
        <w:t xml:space="preserve"> - </w:t>
      </w:r>
      <w:r w:rsidR="00F520D6" w:rsidRPr="00877177">
        <w:rPr>
          <w:rtl/>
        </w:rPr>
        <w:t xml:space="preserve">כלומר היסודות הפשוטים, שהשינוי בהם הוא רק במה שבמקום שהיה מים נעשה ששם יש אוויר, אבל מה שיש </w:t>
      </w:r>
      <w:r w:rsidR="00DD4865" w:rsidRPr="00877177">
        <w:rPr>
          <w:rtl/>
        </w:rPr>
        <w:t xml:space="preserve">במציאות תמיד אש רוח מים ועפר זה לא משתנה. </w:t>
      </w:r>
      <w:r w:rsidR="00F520D6" w:rsidRPr="00877177">
        <w:rPr>
          <w:rtl/>
        </w:rPr>
        <w:t>ול</w:t>
      </w:r>
      <w:r w:rsidR="00F055C8">
        <w:rPr>
          <w:rtl/>
        </w:rPr>
        <w:t>"</w:t>
      </w:r>
      <w:r w:rsidR="00F520D6" w:rsidRPr="00877177">
        <w:rPr>
          <w:rtl/>
        </w:rPr>
        <w:t>משתנים</w:t>
      </w:r>
      <w:r w:rsidR="00F055C8">
        <w:rPr>
          <w:rtl/>
        </w:rPr>
        <w:t>"</w:t>
      </w:r>
      <w:r w:rsidR="00F520D6" w:rsidRPr="00877177">
        <w:rPr>
          <w:rtl/>
        </w:rPr>
        <w:t xml:space="preserve"> הם הגופים </w:t>
      </w:r>
      <w:r w:rsidR="008B0411" w:rsidRPr="00877177">
        <w:rPr>
          <w:rtl/>
        </w:rPr>
        <w:t>שהחו</w:t>
      </w:r>
      <w:r w:rsidR="00A14097">
        <w:rPr>
          <w:rFonts w:hint="cs"/>
          <w:rtl/>
        </w:rPr>
        <w:t>מ</w:t>
      </w:r>
      <w:r w:rsidR="008B0411" w:rsidRPr="00877177">
        <w:rPr>
          <w:rtl/>
        </w:rPr>
        <w:t>ר שלהם הוא תרכובת ארבעת היסודות והם בתנ</w:t>
      </w:r>
      <w:r w:rsidR="00662057" w:rsidRPr="00877177">
        <w:rPr>
          <w:rtl/>
        </w:rPr>
        <w:t>ו</w:t>
      </w:r>
      <w:r w:rsidR="008B0411" w:rsidRPr="00877177">
        <w:rPr>
          <w:rtl/>
        </w:rPr>
        <w:t>עת התהוות והפסד</w:t>
      </w:r>
      <w:r w:rsidR="00A14097">
        <w:rPr>
          <w:rFonts w:hint="cs"/>
          <w:rtl/>
        </w:rPr>
        <w:t>,</w:t>
      </w:r>
      <w:r w:rsidR="008B0411" w:rsidRPr="00877177">
        <w:rPr>
          <w:rtl/>
        </w:rPr>
        <w:t xml:space="preserve"> וההפסד שלהם גמור ולא רק </w:t>
      </w:r>
      <w:r w:rsidR="009E3B46">
        <w:rPr>
          <w:rFonts w:hint="cs"/>
          <w:rtl/>
        </w:rPr>
        <w:t>מבחינת ה</w:t>
      </w:r>
      <w:r w:rsidR="008B0411" w:rsidRPr="00877177">
        <w:rPr>
          <w:rtl/>
        </w:rPr>
        <w:t>מקום</w:t>
      </w:r>
      <w:r w:rsidR="009E3B46">
        <w:rPr>
          <w:rFonts w:hint="cs"/>
          <w:rtl/>
        </w:rPr>
        <w:t>,</w:t>
      </w:r>
      <w:r w:rsidR="008B0411" w:rsidRPr="00877177">
        <w:rPr>
          <w:rtl/>
        </w:rPr>
        <w:t xml:space="preserve"> ולכן הם לא נמצאים בהווייה מתמדת מצד עצמם כמו מציאות היסודות אלא הם נמצאים כמשתנים בלבד. </w:t>
      </w:r>
    </w:p>
    <w:p w14:paraId="5C112F50" w14:textId="67E0D1AC" w:rsidR="00662057" w:rsidRPr="004E7F10" w:rsidRDefault="00662057">
      <w:pPr>
        <w:pStyle w:val="FootnoteText"/>
      </w:pPr>
      <w:r w:rsidRPr="00877177">
        <w:rPr>
          <w:rtl/>
        </w:rPr>
        <w:t>או שהכוונה ב</w:t>
      </w:r>
      <w:r w:rsidR="00F055C8">
        <w:rPr>
          <w:rtl/>
        </w:rPr>
        <w:t>"</w:t>
      </w:r>
      <w:r w:rsidRPr="00877177">
        <w:rPr>
          <w:rtl/>
        </w:rPr>
        <w:t>נמצאים</w:t>
      </w:r>
      <w:r w:rsidR="00F055C8">
        <w:rPr>
          <w:rtl/>
        </w:rPr>
        <w:t>"</w:t>
      </w:r>
      <w:r w:rsidRPr="00877177">
        <w:rPr>
          <w:rtl/>
        </w:rPr>
        <w:t xml:space="preserve"> היא לגלגלים שיש </w:t>
      </w:r>
      <w:r w:rsidR="00A14097">
        <w:rPr>
          <w:rFonts w:hint="cs"/>
          <w:rtl/>
        </w:rPr>
        <w:t>ב</w:t>
      </w:r>
      <w:r w:rsidRPr="00877177">
        <w:rPr>
          <w:rtl/>
        </w:rPr>
        <w:t xml:space="preserve">הם העדר </w:t>
      </w:r>
      <w:r w:rsidR="00A14097">
        <w:rPr>
          <w:rFonts w:hint="cs"/>
          <w:rtl/>
        </w:rPr>
        <w:t xml:space="preserve">מיוחד </w:t>
      </w:r>
      <w:r w:rsidRPr="00877177">
        <w:rPr>
          <w:rtl/>
        </w:rPr>
        <w:t xml:space="preserve">רק מבחינת המקום, שיש בהם אפשרות רק לתנועה מקומית וההעדר </w:t>
      </w:r>
      <w:r w:rsidR="00A14097">
        <w:rPr>
          <w:rFonts w:hint="cs"/>
          <w:rtl/>
        </w:rPr>
        <w:t xml:space="preserve">שיש בהם כהתחלה </w:t>
      </w:r>
      <w:r w:rsidRPr="00877177">
        <w:rPr>
          <w:rtl/>
        </w:rPr>
        <w:t xml:space="preserve">הוא </w:t>
      </w:r>
      <w:r w:rsidR="00B4178B">
        <w:rPr>
          <w:rFonts w:hint="cs"/>
          <w:rtl/>
        </w:rPr>
        <w:t xml:space="preserve">רק </w:t>
      </w:r>
      <w:r w:rsidRPr="00877177">
        <w:rPr>
          <w:rtl/>
        </w:rPr>
        <w:t>שאינם במקום שאליו עדיין לא הגיעו בתנועתם</w:t>
      </w:r>
      <w:r w:rsidR="00B4178B">
        <w:rPr>
          <w:rFonts w:hint="cs"/>
          <w:rtl/>
        </w:rPr>
        <w:t xml:space="preserve"> ולא על עצם מציאותם</w:t>
      </w:r>
      <w:r w:rsidR="005612F1" w:rsidRPr="00877177">
        <w:rPr>
          <w:rtl/>
        </w:rPr>
        <w:t>, וה</w:t>
      </w:r>
      <w:r w:rsidR="00F055C8">
        <w:rPr>
          <w:rtl/>
        </w:rPr>
        <w:t>"</w:t>
      </w:r>
      <w:r w:rsidR="005612F1" w:rsidRPr="00877177">
        <w:rPr>
          <w:rtl/>
        </w:rPr>
        <w:t>משתנים</w:t>
      </w:r>
      <w:r w:rsidR="00F055C8">
        <w:rPr>
          <w:rtl/>
        </w:rPr>
        <w:t>"</w:t>
      </w:r>
      <w:r w:rsidR="005612F1" w:rsidRPr="00877177">
        <w:rPr>
          <w:rtl/>
        </w:rPr>
        <w:t xml:space="preserve"> הם היסודות ומה שמורכב מהם שהם נפסדים לגמרי בהש</w:t>
      </w:r>
      <w:r w:rsidR="005612F1" w:rsidRPr="004E7F10">
        <w:rPr>
          <w:rtl/>
        </w:rPr>
        <w:t>תנותם.</w:t>
      </w:r>
      <w:r w:rsidR="00653C5B">
        <w:rPr>
          <w:rFonts w:hint="cs"/>
          <w:rtl/>
        </w:rPr>
        <w:t xml:space="preserve"> (אני מאריך כי ככל האפשר אני משתדל ללכת בעקבות מקגיניס שהוא </w:t>
      </w:r>
      <w:r w:rsidR="00445BB6">
        <w:rPr>
          <w:rFonts w:hint="cs"/>
          <w:rtl/>
        </w:rPr>
        <w:t>ידען גדול, ורק אם יש סיבה חשובה אני נוטה מדעתו ומבאר למה נטיתי)</w:t>
      </w:r>
      <w:r w:rsidR="00653C5B">
        <w:rPr>
          <w:rFonts w:hint="cs"/>
          <w:rtl/>
        </w:rPr>
        <w:t xml:space="preserve"> </w:t>
      </w:r>
    </w:p>
  </w:footnote>
  <w:footnote w:id="322">
    <w:p w14:paraId="48EF9568" w14:textId="55F29858" w:rsidR="00233BAB" w:rsidRDefault="00233BAB">
      <w:pPr>
        <w:pStyle w:val="FootnoteText"/>
      </w:pPr>
      <w:r w:rsidRPr="004E7F10">
        <w:rPr>
          <w:rStyle w:val="FootnoteReference"/>
        </w:rPr>
        <w:footnoteRef/>
      </w:r>
      <w:r w:rsidRPr="004E7F10">
        <w:rPr>
          <w:rtl/>
        </w:rPr>
        <w:t xml:space="preserve"> לא כתוב לכל, אלא לכולם (</w:t>
      </w:r>
      <w:r w:rsidR="00130B88" w:rsidRPr="004E7F10">
        <w:rPr>
          <w:rFonts w:ascii="Arial" w:hAnsi="Arial" w:cs="Arial" w:hint="cs"/>
          <w:rtl/>
          <w:lang w:bidi="ar-SA"/>
        </w:rPr>
        <w:t>لكل</w:t>
      </w:r>
      <w:r w:rsidR="00130B88" w:rsidRPr="004E7F10">
        <w:rPr>
          <w:rtl/>
          <w:lang w:bidi="ar-SA"/>
        </w:rPr>
        <w:t xml:space="preserve"> </w:t>
      </w:r>
      <w:r w:rsidR="00130B88" w:rsidRPr="004E7F10">
        <w:rPr>
          <w:rFonts w:ascii="Arial" w:hAnsi="Arial" w:cs="Arial" w:hint="cs"/>
          <w:rtl/>
          <w:lang w:bidi="ar-SA"/>
        </w:rPr>
        <w:t>منها</w:t>
      </w:r>
      <w:r w:rsidR="00130B88" w:rsidRPr="004E7F10">
        <w:rPr>
          <w:rtl/>
        </w:rPr>
        <w:t>),</w:t>
      </w:r>
      <w:r w:rsidR="004E7F10">
        <w:rPr>
          <w:rFonts w:hint="cs"/>
          <w:rtl/>
        </w:rPr>
        <w:t xml:space="preserve"> כלומר לא הכל באופן מוחלט שלא משייר מאומה, אלא כל אלה שדיברנו בהם, ויש גם מה שלא נכלל ב'כל' הזה. </w:t>
      </w:r>
      <w:r w:rsidR="00130B88" w:rsidRPr="004E7F10">
        <w:rPr>
          <w:rtl/>
        </w:rPr>
        <w:t>והכוונה לכל מה ש</w:t>
      </w:r>
      <w:r w:rsidR="004E7F10" w:rsidRPr="004E7F10">
        <w:rPr>
          <w:rtl/>
        </w:rPr>
        <w:t>יש</w:t>
      </w:r>
      <w:r w:rsidR="00130B88" w:rsidRPr="004E7F10">
        <w:rPr>
          <w:rtl/>
        </w:rPr>
        <w:t xml:space="preserve"> </w:t>
      </w:r>
      <w:r w:rsidR="004E7F10" w:rsidRPr="004E7F10">
        <w:rPr>
          <w:rtl/>
        </w:rPr>
        <w:t xml:space="preserve">בו </w:t>
      </w:r>
      <w:r w:rsidR="00130B88" w:rsidRPr="004E7F10">
        <w:rPr>
          <w:rtl/>
        </w:rPr>
        <w:t>חומר</w:t>
      </w:r>
      <w:r w:rsidR="004E7F10" w:rsidRPr="004E7F10">
        <w:rPr>
          <w:rtl/>
        </w:rPr>
        <w:t xml:space="preserve"> והוא תחת ההתהוות וההפסד</w:t>
      </w:r>
      <w:r w:rsidR="00130B88" w:rsidRPr="004E7F10">
        <w:rPr>
          <w:rtl/>
        </w:rPr>
        <w:t xml:space="preserve">. </w:t>
      </w:r>
      <w:r w:rsidR="004E7F10" w:rsidRPr="004E7F10">
        <w:rPr>
          <w:rtl/>
        </w:rPr>
        <w:t>לפי מה שכתבתי בהערה הקודמת החידוש כאן לכלול בזה את היסודות או את הגלגלים כיוון שגם להם יש חומר</w:t>
      </w:r>
      <w:r w:rsidR="004E7F10">
        <w:rPr>
          <w:rFonts w:hint="cs"/>
          <w:rtl/>
        </w:rPr>
        <w:t>, ולא היה מובן מאליו ששייך בהם ההעדר המיוחד</w:t>
      </w:r>
      <w:r w:rsidR="004E7F10" w:rsidRPr="004E7F10">
        <w:rPr>
          <w:rtl/>
        </w:rPr>
        <w:t>.</w:t>
      </w:r>
    </w:p>
  </w:footnote>
  <w:footnote w:id="323">
    <w:p w14:paraId="3E104B7E" w14:textId="2A776231" w:rsidR="001379D4" w:rsidRDefault="001379D4">
      <w:pPr>
        <w:pStyle w:val="FootnoteText"/>
      </w:pPr>
      <w:r>
        <w:rPr>
          <w:rStyle w:val="FootnoteReference"/>
        </w:rPr>
        <w:footnoteRef/>
      </w:r>
      <w:r>
        <w:rPr>
          <w:rtl/>
        </w:rPr>
        <w:t xml:space="preserve"> </w:t>
      </w:r>
      <w:r w:rsidR="00432C0E" w:rsidRPr="00432C0E">
        <w:t>universals</w:t>
      </w:r>
      <w:r w:rsidR="00432C0E">
        <w:rPr>
          <w:rFonts w:hint="cs"/>
          <w:rtl/>
        </w:rPr>
        <w:t>, כלומר המין והסוג, שנקראים 'כוללים' כיוון שהם כוללים את הפרטים החומריים. המין 'אדם' כולל את ראובן ושמעון, וכן ה</w:t>
      </w:r>
      <w:r w:rsidR="00336D4B">
        <w:rPr>
          <w:rFonts w:hint="cs"/>
          <w:rtl/>
        </w:rPr>
        <w:t>ס</w:t>
      </w:r>
      <w:r w:rsidR="00432C0E">
        <w:rPr>
          <w:rFonts w:hint="cs"/>
          <w:rtl/>
        </w:rPr>
        <w:t xml:space="preserve">וג 'חי' כולל אותם. </w:t>
      </w:r>
      <w:r w:rsidR="00D64F6E">
        <w:rPr>
          <w:rFonts w:hint="cs"/>
          <w:rtl/>
        </w:rPr>
        <w:t>המין והסוג הם הצורה הטבעית (כלשון המורה נבוכים א' א', ונקראת גם הצורה המהותית, כלומר לא התואר החיצוני של הגוף החומרי)</w:t>
      </w:r>
      <w:r w:rsidR="002C43D6">
        <w:rPr>
          <w:rFonts w:hint="cs"/>
          <w:rtl/>
        </w:rPr>
        <w:t>, כלומר האידיאה האפלטונית, והם המהות והחיים של הפרט החומרי</w:t>
      </w:r>
      <w:r w:rsidR="00432C0E">
        <w:rPr>
          <w:rFonts w:hint="cs"/>
          <w:rtl/>
        </w:rPr>
        <w:t xml:space="preserve">. </w:t>
      </w:r>
      <w:r w:rsidR="002C43D6">
        <w:rPr>
          <w:rFonts w:hint="cs"/>
          <w:rtl/>
        </w:rPr>
        <w:t>לכן יש לכוללים מציאות בפני עצמם</w:t>
      </w:r>
      <w:r w:rsidR="00A675CB">
        <w:rPr>
          <w:rFonts w:hint="cs"/>
          <w:rtl/>
        </w:rPr>
        <w:t xml:space="preserve"> לא רק כמאפיינים של הפרטים אלא כישויות לא חומריות</w:t>
      </w:r>
      <w:r w:rsidR="002C43D6">
        <w:rPr>
          <w:rFonts w:hint="cs"/>
          <w:rtl/>
        </w:rPr>
        <w:t xml:space="preserve"> </w:t>
      </w:r>
      <w:r w:rsidR="00A675CB">
        <w:rPr>
          <w:rFonts w:hint="cs"/>
          <w:rtl/>
        </w:rPr>
        <w:t>(</w:t>
      </w:r>
      <w:r w:rsidR="0016604D">
        <w:rPr>
          <w:rFonts w:hint="cs"/>
          <w:rtl/>
        </w:rPr>
        <w:t>ומה שכתב אריסטו בקטגוריות פרק ה' שמציאות הכוללים משנית ונשענת על מציאות הפרטים (</w:t>
      </w:r>
      <w:r w:rsidR="0016604D">
        <w:rPr>
          <w:rFonts w:hint="cs"/>
          <w:rtl/>
        </w:rPr>
        <w:t>האידיבידואלים), זה רק מבחינת המבט הארצי, עיין בזה לעיל</w:t>
      </w:r>
      <w:r w:rsidR="004F0028">
        <w:rPr>
          <w:rFonts w:hint="cs"/>
          <w:rtl/>
        </w:rPr>
        <w:t xml:space="preserve"> בהערה על 1.2.9</w:t>
      </w:r>
      <w:r w:rsidR="008D6E3E">
        <w:rPr>
          <w:rFonts w:hint="cs"/>
          <w:rtl/>
        </w:rPr>
        <w:t xml:space="preserve">, וגם לעיל בהערה על </w:t>
      </w:r>
      <w:r w:rsidR="00E71B49">
        <w:rPr>
          <w:rFonts w:hint="cs"/>
          <w:rtl/>
        </w:rPr>
        <w:t>1.1.6</w:t>
      </w:r>
      <w:r w:rsidR="00A675CB">
        <w:rPr>
          <w:rFonts w:hint="cs"/>
          <w:rtl/>
        </w:rPr>
        <w:t>)</w:t>
      </w:r>
      <w:r w:rsidR="0016604D">
        <w:rPr>
          <w:rFonts w:hint="cs"/>
          <w:rtl/>
        </w:rPr>
        <w:t xml:space="preserve">. </w:t>
      </w:r>
      <w:r w:rsidR="00FC2B77">
        <w:rPr>
          <w:rFonts w:hint="cs"/>
          <w:rtl/>
        </w:rPr>
        <w:t xml:space="preserve">ראובן ושמעון יש בהם התהוות והפסד, אבל הכוללים, המין 'אדם' והסוג 'חי', אינם הווים ונפסדים. </w:t>
      </w:r>
    </w:p>
  </w:footnote>
  <w:footnote w:id="324">
    <w:p w14:paraId="0E975DF7" w14:textId="77777777" w:rsidR="00345828" w:rsidRDefault="00EA3709">
      <w:pPr>
        <w:pStyle w:val="FootnoteText"/>
        <w:rPr>
          <w:rtl/>
        </w:rPr>
      </w:pPr>
      <w:r>
        <w:rPr>
          <w:rStyle w:val="FootnoteReference"/>
        </w:rPr>
        <w:footnoteRef/>
      </w:r>
      <w:r>
        <w:rPr>
          <w:rtl/>
        </w:rPr>
        <w:t xml:space="preserve"> </w:t>
      </w:r>
      <w:r w:rsidR="006C7D39">
        <w:rPr>
          <w:rFonts w:hint="cs"/>
          <w:rtl/>
        </w:rPr>
        <w:t xml:space="preserve">הכולל 'אדם' נאמר על הפרט ראובן. </w:t>
      </w:r>
      <w:r w:rsidR="0023187A">
        <w:rPr>
          <w:rFonts w:hint="cs"/>
          <w:rtl/>
        </w:rPr>
        <w:t xml:space="preserve">המינוח לזה הוא שהכולל 'אדם' הוא פרדיקט </w:t>
      </w:r>
      <w:r w:rsidR="003A18DE">
        <w:rPr>
          <w:rFonts w:hint="cs"/>
          <w:rtl/>
        </w:rPr>
        <w:t>(</w:t>
      </w:r>
      <w:r w:rsidR="003A18DE" w:rsidRPr="003A18DE">
        <w:t>Predicate</w:t>
      </w:r>
      <w:r w:rsidR="003A18DE">
        <w:rPr>
          <w:rFonts w:hint="cs"/>
          <w:rtl/>
        </w:rPr>
        <w:t xml:space="preserve">) </w:t>
      </w:r>
      <w:r w:rsidR="0023187A">
        <w:rPr>
          <w:rFonts w:hint="cs"/>
          <w:rtl/>
        </w:rPr>
        <w:t xml:space="preserve">של ראובן, כלומר אנו אומרים </w:t>
      </w:r>
      <w:r w:rsidR="00345828">
        <w:rPr>
          <w:rFonts w:hint="cs"/>
          <w:rtl/>
        </w:rPr>
        <w:t>'</w:t>
      </w:r>
      <w:r w:rsidR="0023187A">
        <w:rPr>
          <w:rFonts w:hint="cs"/>
          <w:rtl/>
        </w:rPr>
        <w:t>ראובן הוא אדם</w:t>
      </w:r>
      <w:r w:rsidR="00345828">
        <w:rPr>
          <w:rFonts w:hint="cs"/>
          <w:rtl/>
        </w:rPr>
        <w:t>'</w:t>
      </w:r>
      <w:r w:rsidR="0023187A">
        <w:rPr>
          <w:rFonts w:hint="cs"/>
          <w:rtl/>
        </w:rPr>
        <w:t>.</w:t>
      </w:r>
    </w:p>
    <w:p w14:paraId="306BF752" w14:textId="6064149E" w:rsidR="005F3C8D" w:rsidRDefault="00345828">
      <w:pPr>
        <w:pStyle w:val="FootnoteText"/>
        <w:rPr>
          <w:rtl/>
        </w:rPr>
      </w:pPr>
      <w:r>
        <w:rPr>
          <w:rFonts w:hint="cs"/>
          <w:rtl/>
        </w:rPr>
        <w:t xml:space="preserve">לא היה מעולם רגע שבו לא היה שום אדם נמצא ואז התחדש שיימצא האדם הראשון, </w:t>
      </w:r>
      <w:r w:rsidR="00CD5782">
        <w:rPr>
          <w:rFonts w:hint="cs"/>
          <w:rtl/>
        </w:rPr>
        <w:t>כי אע</w:t>
      </w:r>
      <w:r w:rsidR="00F055C8">
        <w:rPr>
          <w:rtl/>
        </w:rPr>
        <w:t>"</w:t>
      </w:r>
      <w:r w:rsidR="00CD5782">
        <w:rPr>
          <w:rFonts w:hint="cs"/>
          <w:rtl/>
        </w:rPr>
        <w:t xml:space="preserve">פ שהפרטים הווים ונפסדים, הכולל 'אדם' הוא נצחי ולכן תמיד היו בני אדם פרטיים. </w:t>
      </w:r>
      <w:r w:rsidR="00D1457E">
        <w:rPr>
          <w:rFonts w:hint="cs"/>
          <w:rtl/>
        </w:rPr>
        <w:t>לפי דרך זו צריך לומר שאין מציאות לכולל אם לא נמצא בעולם שום פרט שעליו הכולל נאמר. כך כתב אריסטו בקטגוריות פרק ה', הובא במורה נבוכים ג' י</w:t>
      </w:r>
      <w:r w:rsidR="00F055C8">
        <w:rPr>
          <w:rtl/>
        </w:rPr>
        <w:t>"</w:t>
      </w:r>
      <w:r w:rsidR="00D1457E">
        <w:rPr>
          <w:rFonts w:hint="cs"/>
          <w:rtl/>
        </w:rPr>
        <w:t xml:space="preserve">ח. </w:t>
      </w:r>
    </w:p>
    <w:p w14:paraId="0EFD06B3" w14:textId="7A6DF501" w:rsidR="00EA3709" w:rsidRDefault="005F3C8D">
      <w:pPr>
        <w:pStyle w:val="FootnoteText"/>
        <w:rPr>
          <w:rtl/>
        </w:rPr>
      </w:pPr>
      <w:r>
        <w:rPr>
          <w:rFonts w:hint="cs"/>
          <w:rtl/>
        </w:rPr>
        <w:t xml:space="preserve">על דרך זו נאמר גם </w:t>
      </w:r>
      <w:r w:rsidR="00F14AE1">
        <w:rPr>
          <w:rFonts w:hint="cs"/>
          <w:rtl/>
        </w:rPr>
        <w:t xml:space="preserve">ההיפך המקביל </w:t>
      </w:r>
      <w:r w:rsidR="00EB2BDD">
        <w:rPr>
          <w:rFonts w:hint="cs"/>
          <w:rtl/>
        </w:rPr>
        <w:t xml:space="preserve">לגבי הפסד, כלומר </w:t>
      </w:r>
      <w:r>
        <w:rPr>
          <w:rFonts w:hint="cs"/>
          <w:rtl/>
        </w:rPr>
        <w:t xml:space="preserve">שלא ייתכן שיהיה רגע שבו </w:t>
      </w:r>
      <w:r w:rsidR="00EB2BDD">
        <w:rPr>
          <w:rFonts w:hint="cs"/>
          <w:rtl/>
        </w:rPr>
        <w:t xml:space="preserve">יחדל מלהימצא </w:t>
      </w:r>
      <w:r>
        <w:rPr>
          <w:rFonts w:hint="cs"/>
          <w:rtl/>
        </w:rPr>
        <w:t>שום אדם פרטי</w:t>
      </w:r>
      <w:r w:rsidR="0075506A">
        <w:rPr>
          <w:rFonts w:hint="cs"/>
          <w:rtl/>
        </w:rPr>
        <w:t>, כי אז לא תהיה מציאות לכולל 'אדם' והכולל לא נפסד</w:t>
      </w:r>
      <w:r>
        <w:rPr>
          <w:rFonts w:hint="cs"/>
          <w:rtl/>
        </w:rPr>
        <w:t xml:space="preserve">. </w:t>
      </w:r>
      <w:r w:rsidR="0023187A">
        <w:rPr>
          <w:rFonts w:hint="cs"/>
          <w:rtl/>
        </w:rPr>
        <w:t xml:space="preserve"> </w:t>
      </w:r>
    </w:p>
  </w:footnote>
  <w:footnote w:id="325">
    <w:p w14:paraId="5D784D3A" w14:textId="382EE0CD" w:rsidR="00CD12B1" w:rsidRDefault="00CD12B1">
      <w:pPr>
        <w:pStyle w:val="FootnoteText"/>
        <w:rPr>
          <w:rtl/>
        </w:rPr>
      </w:pPr>
      <w:r>
        <w:rPr>
          <w:rStyle w:val="FootnoteReference"/>
        </w:rPr>
        <w:footnoteRef/>
      </w:r>
      <w:r>
        <w:rPr>
          <w:rtl/>
        </w:rPr>
        <w:t xml:space="preserve"> </w:t>
      </w:r>
      <w:r w:rsidR="00813D69">
        <w:rPr>
          <w:rFonts w:hint="cs"/>
          <w:rtl/>
        </w:rPr>
        <w:t xml:space="preserve">עיין לעיל 1.1.4 שהמכוון בטבע הוא </w:t>
      </w:r>
      <w:r w:rsidR="00686430">
        <w:rPr>
          <w:rFonts w:hint="cs"/>
          <w:rtl/>
        </w:rPr>
        <w:t xml:space="preserve">הקיום והגילוי של הצורות של הדברים, האידיאות במובן האפלטוני, כלומר המהות של אדם כ'חי מדבר', שהיא הצורה, הכולל, </w:t>
      </w:r>
      <w:r w:rsidR="00264D4B">
        <w:rPr>
          <w:rFonts w:hint="cs"/>
          <w:rtl/>
        </w:rPr>
        <w:t xml:space="preserve">המין, </w:t>
      </w:r>
      <w:r w:rsidR="00686430">
        <w:rPr>
          <w:rFonts w:hint="cs"/>
          <w:rtl/>
        </w:rPr>
        <w:t xml:space="preserve">ולא הקיום הפרטי של ראובן ושמעון. </w:t>
      </w:r>
      <w:r w:rsidR="00264D4B">
        <w:rPr>
          <w:rFonts w:hint="cs"/>
          <w:rtl/>
        </w:rPr>
        <w:t>רק שמציאות הצורות, שאלי</w:t>
      </w:r>
      <w:r w:rsidR="001A01CE">
        <w:rPr>
          <w:rFonts w:hint="cs"/>
          <w:rtl/>
        </w:rPr>
        <w:t>ה</w:t>
      </w:r>
      <w:r w:rsidR="00264D4B">
        <w:rPr>
          <w:rFonts w:hint="cs"/>
          <w:rtl/>
        </w:rPr>
        <w:t xml:space="preserve"> הכוונה, היא באופן שיש להן מימוש בקיומם של הפרטים</w:t>
      </w:r>
      <w:r w:rsidR="001A01CE">
        <w:rPr>
          <w:rFonts w:hint="cs"/>
          <w:rtl/>
        </w:rPr>
        <w:t>,</w:t>
      </w:r>
      <w:r w:rsidR="00264D4B">
        <w:rPr>
          <w:rFonts w:hint="cs"/>
          <w:rtl/>
        </w:rPr>
        <w:t xml:space="preserve"> ראובן ושמעון. </w:t>
      </w:r>
      <w:r w:rsidR="001A01CE">
        <w:rPr>
          <w:rFonts w:hint="cs"/>
          <w:rtl/>
        </w:rPr>
        <w:t>כלומר לא הקיום של צורה</w:t>
      </w:r>
      <w:r w:rsidR="00180082">
        <w:rPr>
          <w:rFonts w:hint="cs"/>
          <w:rtl/>
        </w:rPr>
        <w:t xml:space="preserve"> </w:t>
      </w:r>
      <w:r w:rsidR="001A01CE">
        <w:rPr>
          <w:rFonts w:hint="cs"/>
          <w:rtl/>
        </w:rPr>
        <w:t xml:space="preserve">מופשטת מחומר הוא הכוונה, ולא קיומם של ראובן ושמעון הפרטים החומריים הוא הכוונה, אלא הכוונה היא הקיום של הצורה בתוך הכלי של החומר של ראובן ושמעון, </w:t>
      </w:r>
      <w:r w:rsidR="00F66090">
        <w:rPr>
          <w:rFonts w:hint="cs"/>
          <w:rtl/>
        </w:rPr>
        <w:t>כ</w:t>
      </w:r>
      <w:r w:rsidR="001A01CE">
        <w:rPr>
          <w:rFonts w:hint="cs"/>
          <w:rtl/>
        </w:rPr>
        <w:t>שהצורה היא ע</w:t>
      </w:r>
      <w:r w:rsidR="00F66090">
        <w:rPr>
          <w:rFonts w:hint="cs"/>
          <w:rtl/>
        </w:rPr>
        <w:t>צם הכוונה,</w:t>
      </w:r>
      <w:r w:rsidR="001A01CE">
        <w:rPr>
          <w:rFonts w:hint="cs"/>
          <w:rtl/>
        </w:rPr>
        <w:t xml:space="preserve"> והכלי רק מצע לה</w:t>
      </w:r>
      <w:r w:rsidR="00F66090">
        <w:rPr>
          <w:rFonts w:hint="cs"/>
          <w:rtl/>
        </w:rPr>
        <w:t xml:space="preserve"> שנלווה אליה בהכרח</w:t>
      </w:r>
      <w:r w:rsidR="001A01CE">
        <w:rPr>
          <w:rFonts w:hint="cs"/>
          <w:rtl/>
        </w:rPr>
        <w:t xml:space="preserve">. </w:t>
      </w:r>
    </w:p>
    <w:p w14:paraId="3A803DEE" w14:textId="536F17B2" w:rsidR="00F66090" w:rsidRDefault="004E1E7C">
      <w:pPr>
        <w:pStyle w:val="FootnoteText"/>
        <w:rPr>
          <w:rtl/>
        </w:rPr>
      </w:pPr>
      <w:r>
        <w:rPr>
          <w:rFonts w:hint="cs"/>
          <w:rtl/>
        </w:rPr>
        <w:t>הטבע הוא גילוי אלוהי וככזה הוא נצחי בהכרח, וכיוון שהגילוי הוא בצורות בהכרח הן נצחיות. כיוון שהגילוי על ידי הצורו</w:t>
      </w:r>
      <w:r w:rsidR="00025D34">
        <w:rPr>
          <w:rFonts w:hint="cs"/>
          <w:rtl/>
        </w:rPr>
        <w:t>ת</w:t>
      </w:r>
      <w:r>
        <w:rPr>
          <w:rFonts w:hint="cs"/>
          <w:rtl/>
        </w:rPr>
        <w:t xml:space="preserve"> הוא בהכרח באופן ששיש להן חומר שהוא מצע להן, ממילא מוכרח שיהיה קיום נצחי לפרטים החומריים. לא שראובן יהיה נצחי אלא שיהיה אדם אחד כלשהו בעולם שיש לו גוף חומרי זה בהכרח נצחי, כי אם לא היה שום אדם חומרי פרטי לא היינו רואים את צורת אדם המופשטת כדבר שיש לו מציאות בטבע.</w:t>
      </w:r>
      <w:r w:rsidR="004A3B58">
        <w:rPr>
          <w:rFonts w:hint="cs"/>
          <w:rtl/>
        </w:rPr>
        <w:t xml:space="preserve"> נמצא שאם יש רק ראובן אחד לבדו בעולם, לא ייתכן שהוא ימות לפני </w:t>
      </w:r>
      <w:r w:rsidR="004A3B58">
        <w:rPr>
          <w:rFonts w:hint="cs"/>
          <w:rtl/>
        </w:rPr>
        <w:t>שיוולד שמעון שיעמוד במקומו כמגלה של הצורה הנצחית 'אדם'</w:t>
      </w:r>
      <w:r w:rsidR="00D97C56">
        <w:rPr>
          <w:rFonts w:hint="cs"/>
          <w:rtl/>
        </w:rPr>
        <w:t xml:space="preserve"> (מה שיש כידוע מינים נכחדים, לפי אריסטו בהכרח אלה אינם מינים אלא זנים. </w:t>
      </w:r>
      <w:r w:rsidR="00CE5093">
        <w:rPr>
          <w:rFonts w:hint="cs"/>
          <w:rtl/>
        </w:rPr>
        <w:t>זן של כלב למשל, כמו כלב פודל, אין לו צורה משל עצמו שהיא שונה במהותה מזן אחר של כלב, אלא יש בו רק הצטרפות</w:t>
      </w:r>
      <w:r w:rsidR="00AC557C">
        <w:rPr>
          <w:rFonts w:hint="cs"/>
          <w:rtl/>
        </w:rPr>
        <w:t xml:space="preserve"> </w:t>
      </w:r>
      <w:r w:rsidR="00CE5093">
        <w:rPr>
          <w:rFonts w:hint="cs"/>
          <w:rtl/>
        </w:rPr>
        <w:t>של מקרים שמאפיינת את הזן המסוים הזה, ומצ</w:t>
      </w:r>
      <w:r w:rsidR="00AC557C">
        <w:rPr>
          <w:rFonts w:hint="cs"/>
          <w:rtl/>
        </w:rPr>
        <w:t>ד</w:t>
      </w:r>
      <w:r w:rsidR="00CE5093">
        <w:rPr>
          <w:rFonts w:hint="cs"/>
          <w:rtl/>
        </w:rPr>
        <w:t xml:space="preserve"> המהות </w:t>
      </w:r>
      <w:r w:rsidR="00AC557C">
        <w:rPr>
          <w:rFonts w:hint="cs"/>
          <w:rtl/>
        </w:rPr>
        <w:t xml:space="preserve">והעצם הוא </w:t>
      </w:r>
      <w:r w:rsidR="00CE5093">
        <w:rPr>
          <w:rFonts w:hint="cs"/>
          <w:rtl/>
        </w:rPr>
        <w:t xml:space="preserve">אינו שונה משאר זני הכלבים. </w:t>
      </w:r>
      <w:r w:rsidR="00AC557C">
        <w:rPr>
          <w:rFonts w:hint="cs"/>
          <w:rtl/>
        </w:rPr>
        <w:t xml:space="preserve">כלומר אם הדינוזאורים נכחדו אריסטו יראה בהם זן של </w:t>
      </w:r>
      <w:r w:rsidR="00823CB9">
        <w:rPr>
          <w:rFonts w:hint="cs"/>
          <w:rtl/>
        </w:rPr>
        <w:t>המין לטאה, שנשארו בזמננו זנים אחרים שלו, ולא מין בפני עצמו. עיין עוד בזה לעיל</w:t>
      </w:r>
      <w:r w:rsidR="004C43CF">
        <w:rPr>
          <w:rFonts w:hint="cs"/>
          <w:rtl/>
        </w:rPr>
        <w:t xml:space="preserve"> בהערה על 1.1.4</w:t>
      </w:r>
      <w:r w:rsidR="004A3B58">
        <w:rPr>
          <w:rFonts w:hint="cs"/>
          <w:rtl/>
        </w:rPr>
        <w:t xml:space="preserve">.  </w:t>
      </w:r>
    </w:p>
    <w:p w14:paraId="6EDA56F2" w14:textId="62F3D39F" w:rsidR="00953196" w:rsidRDefault="007F6ACD">
      <w:pPr>
        <w:pStyle w:val="FootnoteText"/>
        <w:rPr>
          <w:rtl/>
        </w:rPr>
      </w:pPr>
      <w:r>
        <w:rPr>
          <w:rFonts w:hint="cs"/>
          <w:rtl/>
        </w:rPr>
        <w:t>ה</w:t>
      </w:r>
      <w:r w:rsidR="00953196">
        <w:rPr>
          <w:rFonts w:hint="cs"/>
          <w:rtl/>
        </w:rPr>
        <w:t>בחינה</w:t>
      </w:r>
      <w:r>
        <w:rPr>
          <w:rFonts w:hint="cs"/>
          <w:rtl/>
        </w:rPr>
        <w:t xml:space="preserve"> הזו </w:t>
      </w:r>
      <w:r w:rsidR="00473C64">
        <w:rPr>
          <w:rFonts w:hint="cs"/>
          <w:rtl/>
        </w:rPr>
        <w:t>היא מכח</w:t>
      </w:r>
      <w:r>
        <w:rPr>
          <w:rFonts w:hint="cs"/>
          <w:rtl/>
        </w:rPr>
        <w:t xml:space="preserve"> הסתכלות על הצורות המופשטות בפני עצמן, </w:t>
      </w:r>
      <w:r w:rsidR="00F81F54">
        <w:rPr>
          <w:rFonts w:hint="cs"/>
          <w:rtl/>
        </w:rPr>
        <w:t>ו</w:t>
      </w:r>
      <w:r w:rsidR="006C606C">
        <w:rPr>
          <w:rFonts w:hint="cs"/>
          <w:rtl/>
        </w:rPr>
        <w:t>נובע מ</w:t>
      </w:r>
      <w:r w:rsidR="00473C64">
        <w:rPr>
          <w:rFonts w:hint="cs"/>
          <w:rtl/>
        </w:rPr>
        <w:t>ההסתכלות</w:t>
      </w:r>
      <w:r w:rsidR="00F81F54">
        <w:rPr>
          <w:rFonts w:hint="cs"/>
          <w:rtl/>
        </w:rPr>
        <w:t xml:space="preserve"> שהן בהכרח נצחיות, כי הן הכוונה של הטבע, וכדי שייחשבו קיימות צריך שיהיה להן גם </w:t>
      </w:r>
      <w:r w:rsidR="006C606C">
        <w:rPr>
          <w:rFonts w:hint="cs"/>
          <w:rtl/>
        </w:rPr>
        <w:t>הצטיירות על מצע של חומר.</w:t>
      </w:r>
    </w:p>
    <w:p w14:paraId="087BAD9D" w14:textId="77777777" w:rsidR="00866508" w:rsidRDefault="00953196">
      <w:pPr>
        <w:pStyle w:val="FootnoteText"/>
        <w:rPr>
          <w:rtl/>
        </w:rPr>
      </w:pPr>
      <w:r>
        <w:rPr>
          <w:rFonts w:hint="cs"/>
          <w:rtl/>
        </w:rPr>
        <w:t>הבחינה השנייה הי</w:t>
      </w:r>
      <w:r w:rsidR="00473C64">
        <w:rPr>
          <w:rFonts w:hint="cs"/>
          <w:rtl/>
        </w:rPr>
        <w:t xml:space="preserve">א </w:t>
      </w:r>
      <w:r w:rsidR="002343BD">
        <w:rPr>
          <w:rFonts w:hint="cs"/>
          <w:rtl/>
        </w:rPr>
        <w:t xml:space="preserve">לא מבוססת על הסתכלות שמתחילה מהצורות המופשטות, אלא מתחילה מהסתכלות על הגופים הטבעיים. </w:t>
      </w:r>
    </w:p>
    <w:p w14:paraId="07B3AA96" w14:textId="61692D12" w:rsidR="00866508" w:rsidRDefault="00866508">
      <w:pPr>
        <w:pStyle w:val="FootnoteText"/>
        <w:rPr>
          <w:rtl/>
        </w:rPr>
      </w:pPr>
      <w:r>
        <w:rPr>
          <w:rFonts w:hint="cs"/>
          <w:rtl/>
        </w:rPr>
        <w:t>שתי הבחינות מבוארות ברמב</w:t>
      </w:r>
      <w:r w:rsidR="00F055C8">
        <w:rPr>
          <w:rtl/>
        </w:rPr>
        <w:t>"</w:t>
      </w:r>
      <w:r>
        <w:rPr>
          <w:rFonts w:hint="cs"/>
          <w:rtl/>
        </w:rPr>
        <w:t>ם במשנה תורה הלכות יסודי התורה ד' ז':</w:t>
      </w:r>
    </w:p>
    <w:p w14:paraId="3B8BEE6A" w14:textId="767B67B2" w:rsidR="00183E6F" w:rsidRDefault="00F055C8">
      <w:pPr>
        <w:pStyle w:val="FootnoteText"/>
        <w:rPr>
          <w:rtl/>
        </w:rPr>
      </w:pPr>
      <w:r>
        <w:rPr>
          <w:rtl/>
        </w:rPr>
        <w:t>"</w:t>
      </w:r>
      <w:r w:rsidR="009F3C46">
        <w:rPr>
          <w:rtl/>
        </w:rPr>
        <w:t>לְעוֹלָם אֵין אַתָּה רוֹאֶה גֹּלֶם בְּלֹא צוּרָה אוֹ צוּרָה בְּלֹא גֹּלֶם, אֶלָּא לֵב הָאָדָם הוּא שֶׁמְּחַלֵּק הַגּוּף הַנִּמְצָא בְּדַעְתּוֹ, וְיוֹדֵעַ שֶׁהוּא מְחֻבָּר מִגֹּלֶם וְצוּרָה</w:t>
      </w:r>
      <w:r w:rsidR="00183E6F">
        <w:rPr>
          <w:rFonts w:hint="cs"/>
          <w:rtl/>
        </w:rPr>
        <w:t xml:space="preserve"> [...]</w:t>
      </w:r>
      <w:r w:rsidR="009F3C46">
        <w:rPr>
          <w:rtl/>
        </w:rPr>
        <w:t xml:space="preserve"> </w:t>
      </w:r>
    </w:p>
    <w:p w14:paraId="60C97516" w14:textId="568A3758" w:rsidR="00183E6F" w:rsidRDefault="009F3C46">
      <w:pPr>
        <w:pStyle w:val="FootnoteText"/>
        <w:rPr>
          <w:rtl/>
        </w:rPr>
      </w:pPr>
      <w:r>
        <w:rPr>
          <w:rtl/>
        </w:rPr>
        <w:t>וְהַצּוּרוֹת שֶׁאֵין לָהֶן גֹּלֶם אֵינָן נִרְאִין לָעַיִן, אֶלָּא בְּעֵין הַלֵּב הֵן יְדוּעִין, כְּמוֹ שֶׁיָּדַעְנוּ אֲדוֹן הַכֹּל בְּלֹא רְאִיַּת עַיִן.</w:t>
      </w:r>
      <w:r w:rsidR="00F055C8">
        <w:rPr>
          <w:rtl/>
        </w:rPr>
        <w:t>"</w:t>
      </w:r>
    </w:p>
    <w:p w14:paraId="35DA2DC1" w14:textId="77777777" w:rsidR="00BE71C3" w:rsidRDefault="00183E6F">
      <w:pPr>
        <w:pStyle w:val="FootnoteText"/>
        <w:rPr>
          <w:rtl/>
        </w:rPr>
      </w:pPr>
      <w:r>
        <w:rPr>
          <w:rFonts w:hint="cs"/>
          <w:rtl/>
        </w:rPr>
        <w:t xml:space="preserve">יש סתירה בין תחילת ההלכה הזו לסופה. </w:t>
      </w:r>
      <w:r w:rsidR="00601E64">
        <w:rPr>
          <w:rFonts w:hint="cs"/>
          <w:rtl/>
        </w:rPr>
        <w:t>סוף ההלכה</w:t>
      </w:r>
      <w:r w:rsidR="00A27AA9">
        <w:rPr>
          <w:rFonts w:hint="cs"/>
          <w:rtl/>
        </w:rPr>
        <w:t xml:space="preserve"> </w:t>
      </w:r>
      <w:r w:rsidR="00601E64">
        <w:rPr>
          <w:rFonts w:hint="cs"/>
          <w:rtl/>
        </w:rPr>
        <w:t>הוא הבחינה של היכולת לראות צורות מופשטות באופן ישיר, בלתי אמצעי, כמו</w:t>
      </w:r>
      <w:r w:rsidR="00A27AA9">
        <w:rPr>
          <w:rFonts w:hint="cs"/>
          <w:rtl/>
        </w:rPr>
        <w:t xml:space="preserve"> </w:t>
      </w:r>
      <w:r w:rsidR="00601E64">
        <w:rPr>
          <w:rFonts w:hint="cs"/>
          <w:rtl/>
        </w:rPr>
        <w:t>שהעין רואה מה שלפניה, וזה השכל העיוני אחרי שהשלים את ה</w:t>
      </w:r>
      <w:r w:rsidR="00A27AA9">
        <w:rPr>
          <w:rFonts w:hint="cs"/>
          <w:rtl/>
        </w:rPr>
        <w:t>פשטתו מהחומריות.</w:t>
      </w:r>
      <w:r w:rsidR="00601E64">
        <w:rPr>
          <w:rFonts w:hint="cs"/>
          <w:rtl/>
        </w:rPr>
        <w:t xml:space="preserve"> </w:t>
      </w:r>
      <w:r w:rsidR="003C4930">
        <w:rPr>
          <w:rFonts w:hint="cs"/>
          <w:rtl/>
        </w:rPr>
        <w:t>אמנם האדם נולד עם שכל שימושי, או דברי, הוא הכח המדבר, שמשתמש במילים וחשבונות, והוא</w:t>
      </w:r>
      <w:r w:rsidR="007F4269">
        <w:rPr>
          <w:rFonts w:hint="cs"/>
          <w:rtl/>
        </w:rPr>
        <w:t xml:space="preserve"> </w:t>
      </w:r>
      <w:r w:rsidR="003C4930">
        <w:rPr>
          <w:rFonts w:hint="cs"/>
          <w:rtl/>
        </w:rPr>
        <w:t>ל</w:t>
      </w:r>
      <w:r w:rsidR="007F4269">
        <w:rPr>
          <w:rFonts w:hint="cs"/>
          <w:rtl/>
        </w:rPr>
        <w:t>א</w:t>
      </w:r>
      <w:r w:rsidR="003C4930">
        <w:rPr>
          <w:rFonts w:hint="cs"/>
          <w:rtl/>
        </w:rPr>
        <w:t xml:space="preserve"> רואה את הצורות </w:t>
      </w:r>
      <w:r w:rsidR="00743A4F">
        <w:rPr>
          <w:rFonts w:hint="cs"/>
          <w:rtl/>
        </w:rPr>
        <w:t>המופשטות כי הוא קשור לדמיון ולחושים, ולכן לעולם אינו רואה גולם בלא צורה או צורה בלא גולם</w:t>
      </w:r>
      <w:r w:rsidR="00F11663">
        <w:rPr>
          <w:rFonts w:hint="cs"/>
          <w:rtl/>
        </w:rPr>
        <w:t xml:space="preserve">, אלא הוא רואה עצם </w:t>
      </w:r>
      <w:r w:rsidR="007F4269">
        <w:rPr>
          <w:rFonts w:hint="cs"/>
          <w:rtl/>
        </w:rPr>
        <w:t>ו</w:t>
      </w:r>
      <w:r w:rsidR="00F11663">
        <w:rPr>
          <w:rFonts w:hint="cs"/>
          <w:rtl/>
        </w:rPr>
        <w:t>גולם</w:t>
      </w:r>
      <w:r w:rsidR="007F4269">
        <w:rPr>
          <w:rFonts w:hint="cs"/>
          <w:rtl/>
        </w:rPr>
        <w:t xml:space="preserve"> ביחד כאחד</w:t>
      </w:r>
      <w:r w:rsidR="00F11663">
        <w:rPr>
          <w:rFonts w:hint="cs"/>
          <w:rtl/>
        </w:rPr>
        <w:t>, ובעמל המחשבה לומ</w:t>
      </w:r>
      <w:r w:rsidR="007F4269">
        <w:rPr>
          <w:rFonts w:hint="cs"/>
          <w:rtl/>
        </w:rPr>
        <w:t>ד</w:t>
      </w:r>
      <w:r w:rsidR="00F11663">
        <w:rPr>
          <w:rFonts w:hint="cs"/>
          <w:rtl/>
        </w:rPr>
        <w:t xml:space="preserve"> להפשיט את הצורה מ</w:t>
      </w:r>
      <w:r w:rsidR="00167F35">
        <w:rPr>
          <w:rFonts w:hint="cs"/>
          <w:rtl/>
        </w:rPr>
        <w:t>העצם החומרי</w:t>
      </w:r>
      <w:r w:rsidR="007F4269">
        <w:rPr>
          <w:rFonts w:hint="cs"/>
          <w:rtl/>
        </w:rPr>
        <w:t>, ומפשיט אותה מעט מעט כמו בשלבי סולם, עד שמגיע למדרגת שכל עיוני מופשט שרואה צורה בלא גולם</w:t>
      </w:r>
      <w:r w:rsidR="00743A4F">
        <w:rPr>
          <w:rFonts w:hint="cs"/>
          <w:rtl/>
        </w:rPr>
        <w:t xml:space="preserve">. </w:t>
      </w:r>
      <w:r w:rsidR="00167F35">
        <w:rPr>
          <w:rFonts w:hint="cs"/>
          <w:rtl/>
        </w:rPr>
        <w:t xml:space="preserve">על זה </w:t>
      </w:r>
      <w:r w:rsidR="00A27AA9">
        <w:rPr>
          <w:rFonts w:hint="cs"/>
          <w:rtl/>
        </w:rPr>
        <w:t>תחילת ההלכה מדברת</w:t>
      </w:r>
      <w:r w:rsidR="00167F35">
        <w:rPr>
          <w:rFonts w:hint="cs"/>
          <w:rtl/>
        </w:rPr>
        <w:t>.</w:t>
      </w:r>
    </w:p>
    <w:p w14:paraId="12DCAA0B" w14:textId="77777777" w:rsidR="00E93E47" w:rsidRDefault="00BE71C3">
      <w:pPr>
        <w:pStyle w:val="FootnoteText"/>
        <w:rPr>
          <w:rtl/>
        </w:rPr>
      </w:pPr>
      <w:r>
        <w:rPr>
          <w:rFonts w:hint="cs"/>
          <w:rtl/>
        </w:rPr>
        <w:t>אפלטון לרוב מדבר לפי הדרך של שכל עיוני מופשט, שמתחילה מתפישת הצורות שאין להן גולם ומשם גוזרת את ההשתלשלות שלהן אל החומר. היא דרך ההסתכלות הנקראת מעשה מרכבה. במקומות שאריסטו חול</w:t>
      </w:r>
      <w:r w:rsidR="00516B63">
        <w:rPr>
          <w:rFonts w:hint="cs"/>
          <w:rtl/>
        </w:rPr>
        <w:t>ק</w:t>
      </w:r>
      <w:r>
        <w:rPr>
          <w:rFonts w:hint="cs"/>
          <w:rtl/>
        </w:rPr>
        <w:t xml:space="preserve"> עליו, כוונתו </w:t>
      </w:r>
      <w:r w:rsidR="00516B63">
        <w:rPr>
          <w:rFonts w:hint="cs"/>
          <w:rtl/>
        </w:rPr>
        <w:t xml:space="preserve">ללמד להסתכל לפי הדרך שבה האדם עדיין לא זכה לשכל מופשט, והוא מתבונן במציאות החומרית ולומד ממנה עצמה, מעט מעט, לראות את מה שמעל החומר. </w:t>
      </w:r>
      <w:r w:rsidR="00E93E47">
        <w:rPr>
          <w:rFonts w:hint="cs"/>
          <w:rtl/>
        </w:rPr>
        <w:t>דרך זו היא הסתכלות על אותה מציאות עצמה, רק מצד אחר, והיא נקראת מעשה בראשית.</w:t>
      </w:r>
    </w:p>
    <w:p w14:paraId="1BB62445" w14:textId="680B724C" w:rsidR="007F6ACD" w:rsidRDefault="00E93E47">
      <w:pPr>
        <w:pStyle w:val="FootnoteText"/>
        <w:rPr>
          <w:rtl/>
        </w:rPr>
      </w:pPr>
      <w:r>
        <w:rPr>
          <w:rFonts w:hint="cs"/>
          <w:rtl/>
        </w:rPr>
        <w:t xml:space="preserve">מעשה מרכבה עניינו להתבונן בסוד איך הרוכב רוכב על הסוס, כלומר איך הבורא מנהיג ומשגיח בעולם, וזה קשה להבין כי הבורא מופשט לחלוטין והעולם סופי. </w:t>
      </w:r>
      <w:r w:rsidR="00E85132">
        <w:rPr>
          <w:rFonts w:hint="cs"/>
          <w:rtl/>
        </w:rPr>
        <w:t xml:space="preserve">מעשה בראשית גם הוא התבוננות בסוד איך מהמופשט נברא המוגבל. מושא ההתבוננות זהה, רק שמעשה בראשית הוא לימוד העניין </w:t>
      </w:r>
      <w:r w:rsidR="00D1381A">
        <w:rPr>
          <w:rFonts w:hint="cs"/>
          <w:rtl/>
        </w:rPr>
        <w:t>על ידי התחלה בה</w:t>
      </w:r>
      <w:r w:rsidR="00E85132">
        <w:rPr>
          <w:rFonts w:hint="cs"/>
          <w:rtl/>
        </w:rPr>
        <w:t>תבוננות בחומר והסקה ממנו על המופשט ש</w:t>
      </w:r>
      <w:r w:rsidR="00D1381A">
        <w:rPr>
          <w:rFonts w:hint="cs"/>
          <w:rtl/>
        </w:rPr>
        <w:t>משפיע עליו את מציאותו בהכרח, שהרי האדם בתחילת דרכו כשעומד על דעתו רואה רק חומר ומשם מתקדם.</w:t>
      </w:r>
      <w:r w:rsidR="008B72D6">
        <w:rPr>
          <w:rFonts w:hint="cs"/>
          <w:rtl/>
        </w:rPr>
        <w:t xml:space="preserve"> ומעשה מרכבה הוא ההתבוננות של מי שכבר השלים את התעלות שכלו להיות שכל עיוני מופשט ומתחיל מהתבוננות במופשט. </w:t>
      </w:r>
      <w:r w:rsidR="006C606C">
        <w:rPr>
          <w:rFonts w:hint="cs"/>
          <w:rtl/>
        </w:rPr>
        <w:t xml:space="preserve"> </w:t>
      </w:r>
      <w:r w:rsidR="00F81F54">
        <w:rPr>
          <w:rFonts w:hint="cs"/>
          <w:rtl/>
        </w:rPr>
        <w:t xml:space="preserve"> </w:t>
      </w:r>
    </w:p>
    <w:p w14:paraId="1A74D737" w14:textId="57BE035E" w:rsidR="0015405A" w:rsidRDefault="00063334">
      <w:pPr>
        <w:pStyle w:val="FootnoteText"/>
        <w:rPr>
          <w:rtl/>
        </w:rPr>
      </w:pPr>
      <w:r>
        <w:rPr>
          <w:rFonts w:hint="cs"/>
          <w:rtl/>
        </w:rPr>
        <w:t xml:space="preserve">מצד מעשה בראשית </w:t>
      </w:r>
      <w:r w:rsidR="001959DA">
        <w:rPr>
          <w:rFonts w:hint="cs"/>
          <w:rtl/>
        </w:rPr>
        <w:t>איננו רואים שקיום הפרטים של המין נצחי מכח הסתכלות על המין כיישות שקיימת בפני עצמה</w:t>
      </w:r>
      <w:r w:rsidR="00B905A2">
        <w:rPr>
          <w:rFonts w:hint="cs"/>
          <w:rtl/>
        </w:rPr>
        <w:t xml:space="preserve">, וממנה נגזר שהפרטים מוכרחים תמיד להיות. אלא ההסתכלות מתחילה מהפרט החומרי. אם מתבוננים על ראובן רואים שיש כאן </w:t>
      </w:r>
      <w:r w:rsidR="00DA023E">
        <w:rPr>
          <w:rFonts w:hint="cs"/>
          <w:rtl/>
        </w:rPr>
        <w:t xml:space="preserve">עצם עם הרבה </w:t>
      </w:r>
      <w:r w:rsidR="00667B7F">
        <w:rPr>
          <w:rFonts w:hint="cs"/>
          <w:rtl/>
        </w:rPr>
        <w:t>מ</w:t>
      </w:r>
      <w:r w:rsidR="00DA023E">
        <w:rPr>
          <w:rFonts w:hint="cs"/>
          <w:rtl/>
        </w:rPr>
        <w:t>אפיינים. יש לו גובה, צבע שיער, אולי הוא יודע</w:t>
      </w:r>
      <w:r w:rsidR="00667B7F">
        <w:rPr>
          <w:rFonts w:hint="cs"/>
          <w:rtl/>
        </w:rPr>
        <w:t xml:space="preserve"> </w:t>
      </w:r>
      <w:r w:rsidR="00DA023E">
        <w:rPr>
          <w:rFonts w:hint="cs"/>
          <w:rtl/>
        </w:rPr>
        <w:t>לרוץ מהר וכיו</w:t>
      </w:r>
      <w:r w:rsidR="00F055C8">
        <w:rPr>
          <w:rtl/>
        </w:rPr>
        <w:t>"</w:t>
      </w:r>
      <w:r w:rsidR="00667B7F">
        <w:rPr>
          <w:rFonts w:hint="cs"/>
          <w:rtl/>
        </w:rPr>
        <w:t>ב</w:t>
      </w:r>
      <w:r w:rsidR="00DA023E">
        <w:rPr>
          <w:rFonts w:hint="cs"/>
          <w:rtl/>
        </w:rPr>
        <w:t xml:space="preserve">. </w:t>
      </w:r>
      <w:r w:rsidR="00B92741">
        <w:rPr>
          <w:rFonts w:hint="cs"/>
          <w:rtl/>
        </w:rPr>
        <w:t>ההתבוננות הזו מובילה לתפישה שצבע השיער אינו המהות של ראובן כפרט, כי גם אם ילבין שיערו הוא יישאר אותו ראובן, וגם אם יחלה ולא יוכל לרוץ יישאר אותו ראובן שהיה. אחרי הרבה חקי</w:t>
      </w:r>
      <w:r w:rsidR="00356001">
        <w:rPr>
          <w:rFonts w:hint="cs"/>
          <w:rtl/>
        </w:rPr>
        <w:t>ר</w:t>
      </w:r>
      <w:r w:rsidR="00B92741">
        <w:rPr>
          <w:rFonts w:hint="cs"/>
          <w:rtl/>
        </w:rPr>
        <w:t xml:space="preserve">ה </w:t>
      </w:r>
      <w:r w:rsidR="00356001">
        <w:rPr>
          <w:rFonts w:hint="cs"/>
          <w:rtl/>
        </w:rPr>
        <w:t xml:space="preserve">ועמל </w:t>
      </w:r>
      <w:r w:rsidR="00B92741">
        <w:rPr>
          <w:rFonts w:hint="cs"/>
          <w:rtl/>
        </w:rPr>
        <w:t>יתגלה שהמהות של ראובן מתחילה מכך שבעצמותו הוא חי ומדבר</w:t>
      </w:r>
      <w:r w:rsidR="00356001">
        <w:rPr>
          <w:rFonts w:hint="cs"/>
          <w:rtl/>
        </w:rPr>
        <w:t>, וכל שאר הדברים לא מהותיים בו, הוא יישאר מי שהוא גם אם הם ישתנו</w:t>
      </w:r>
      <w:r w:rsidR="00B92741">
        <w:rPr>
          <w:rFonts w:hint="cs"/>
          <w:rtl/>
        </w:rPr>
        <w:t xml:space="preserve">. </w:t>
      </w:r>
      <w:r w:rsidR="004A4A87">
        <w:rPr>
          <w:rFonts w:hint="cs"/>
          <w:rtl/>
        </w:rPr>
        <w:t xml:space="preserve">רק אם יאבד את דעתו לגמרי בלי אפשרות תיקון, או ימות, הוא יחדל </w:t>
      </w:r>
      <w:r w:rsidR="00005B34">
        <w:rPr>
          <w:rFonts w:hint="cs"/>
          <w:rtl/>
        </w:rPr>
        <w:t xml:space="preserve">באופן מהותי ומוחלט </w:t>
      </w:r>
      <w:r w:rsidR="004A4A87">
        <w:rPr>
          <w:rFonts w:hint="cs"/>
          <w:rtl/>
        </w:rPr>
        <w:t>להיות ראובן. אם נחקור לגבי שמעון נמצא</w:t>
      </w:r>
      <w:r w:rsidR="00005B34">
        <w:rPr>
          <w:rFonts w:hint="cs"/>
          <w:rtl/>
        </w:rPr>
        <w:t xml:space="preserve"> גם כן</w:t>
      </w:r>
      <w:r w:rsidR="004A4A87">
        <w:rPr>
          <w:rFonts w:hint="cs"/>
          <w:rtl/>
        </w:rPr>
        <w:t xml:space="preserve"> שמהותו היא חי מדבר. </w:t>
      </w:r>
      <w:r w:rsidR="00721342">
        <w:rPr>
          <w:rFonts w:hint="cs"/>
          <w:rtl/>
        </w:rPr>
        <w:t xml:space="preserve">וכך גם נגלה אצל לוי ויהודה, ולבסוף נבין שלהיות חי מדבר הוא עניין שמשותף לכל בני האדם באשר הם בני אדם. </w:t>
      </w:r>
      <w:r w:rsidR="00B905A2">
        <w:rPr>
          <w:rFonts w:hint="cs"/>
          <w:rtl/>
        </w:rPr>
        <w:t xml:space="preserve"> </w:t>
      </w:r>
    </w:p>
    <w:p w14:paraId="6263E7A3" w14:textId="728C83AC" w:rsidR="00C61A83" w:rsidRDefault="00576525">
      <w:pPr>
        <w:pStyle w:val="FootnoteText"/>
        <w:rPr>
          <w:rtl/>
        </w:rPr>
      </w:pPr>
      <w:r>
        <w:rPr>
          <w:rFonts w:hint="cs"/>
          <w:rtl/>
        </w:rPr>
        <w:t>המהות של להיות</w:t>
      </w:r>
      <w:r w:rsidR="00C61A83">
        <w:rPr>
          <w:rFonts w:hint="cs"/>
          <w:rtl/>
        </w:rPr>
        <w:t xml:space="preserve"> חי מדבר </w:t>
      </w:r>
      <w:r>
        <w:rPr>
          <w:rFonts w:hint="cs"/>
          <w:rtl/>
        </w:rPr>
        <w:t xml:space="preserve">היא </w:t>
      </w:r>
      <w:r w:rsidR="00C61A83">
        <w:rPr>
          <w:rFonts w:hint="cs"/>
          <w:rtl/>
        </w:rPr>
        <w:t xml:space="preserve">לא דבר ששייך בו </w:t>
      </w:r>
      <w:r w:rsidR="008559C9">
        <w:rPr>
          <w:rFonts w:hint="cs"/>
          <w:rtl/>
        </w:rPr>
        <w:t xml:space="preserve">מצד מהותו </w:t>
      </w:r>
      <w:r w:rsidR="00C61A83">
        <w:rPr>
          <w:rFonts w:hint="cs"/>
          <w:rtl/>
        </w:rPr>
        <w:t>התהוות והפסד.</w:t>
      </w:r>
      <w:r w:rsidR="008559C9">
        <w:rPr>
          <w:rFonts w:hint="cs"/>
          <w:rtl/>
        </w:rPr>
        <w:t xml:space="preserve"> מוות הוא היפרדות של הגוף המסוים הזה מהחיים, לא שהחיים עצמם חדלים. </w:t>
      </w:r>
      <w:r w:rsidR="0012548D">
        <w:rPr>
          <w:rFonts w:hint="cs"/>
          <w:rtl/>
        </w:rPr>
        <w:t xml:space="preserve">החיים הם דבר כללי מופשט שבעלי החיים </w:t>
      </w:r>
      <w:r w:rsidR="009C463A">
        <w:rPr>
          <w:rFonts w:hint="cs"/>
          <w:rtl/>
        </w:rPr>
        <w:t>המסוימים</w:t>
      </w:r>
      <w:r w:rsidR="0012548D">
        <w:rPr>
          <w:rFonts w:hint="cs"/>
          <w:rtl/>
        </w:rPr>
        <w:t xml:space="preserve"> נוטלים בו חלק, והמוות הוא הפסקת נטילת החלק מצד שגם הגוף נוטל חלק בחיים, אבל אין הפסד מציאות של החיים עצמם. וכמו כן גם בכח השכלי. </w:t>
      </w:r>
      <w:r w:rsidR="007B0873">
        <w:rPr>
          <w:rFonts w:hint="cs"/>
          <w:rtl/>
        </w:rPr>
        <w:t>לכן גם אם מחויב שראובן ימות, אין ללמוד מזה שהמוות נכנס למהות האמיתית שלו</w:t>
      </w:r>
      <w:r w:rsidR="0012548D">
        <w:rPr>
          <w:rFonts w:hint="cs"/>
          <w:rtl/>
        </w:rPr>
        <w:t xml:space="preserve">. </w:t>
      </w:r>
      <w:r w:rsidR="00BB1367">
        <w:rPr>
          <w:rFonts w:hint="cs"/>
          <w:rtl/>
        </w:rPr>
        <w:t xml:space="preserve">מכאן ההתבוננות בדרך של מעשה בראשית מתאחדת עם ההתבוננות של מעשה מרכבה, שתיהן רואות </w:t>
      </w:r>
      <w:r w:rsidR="004A3CBF">
        <w:rPr>
          <w:rFonts w:hint="cs"/>
          <w:rtl/>
        </w:rPr>
        <w:t>שהצורה של 'אדם' היא כללית והיא בעצמה אין בה התהוות והפסד, ומה ש</w:t>
      </w:r>
      <w:r w:rsidR="00861F75">
        <w:rPr>
          <w:rFonts w:hint="cs"/>
          <w:rtl/>
        </w:rPr>
        <w:t>י</w:t>
      </w:r>
      <w:r w:rsidR="004A3CBF">
        <w:rPr>
          <w:rFonts w:hint="cs"/>
          <w:rtl/>
        </w:rPr>
        <w:t>ש התהוות והפסד אצל בני אדם פרטיים זה מצד החומר שלהם</w:t>
      </w:r>
      <w:r w:rsidR="00861F75">
        <w:rPr>
          <w:rFonts w:hint="cs"/>
          <w:rtl/>
        </w:rPr>
        <w:t xml:space="preserve"> </w:t>
      </w:r>
      <w:r w:rsidR="004A3CBF">
        <w:rPr>
          <w:rFonts w:hint="cs"/>
          <w:rtl/>
        </w:rPr>
        <w:t>שנוטל חלק בצורה או שחדל מל</w:t>
      </w:r>
      <w:r w:rsidR="00861F75">
        <w:rPr>
          <w:rFonts w:hint="cs"/>
          <w:rtl/>
        </w:rPr>
        <w:t>י</w:t>
      </w:r>
      <w:r w:rsidR="004A3CBF">
        <w:rPr>
          <w:rFonts w:hint="cs"/>
          <w:rtl/>
        </w:rPr>
        <w:t>טול</w:t>
      </w:r>
      <w:r w:rsidR="00861F75">
        <w:rPr>
          <w:rFonts w:hint="cs"/>
          <w:rtl/>
        </w:rPr>
        <w:t>, והצורה לעולם בעינה עומדת</w:t>
      </w:r>
      <w:r w:rsidR="004A3CBF">
        <w:rPr>
          <w:rFonts w:hint="cs"/>
          <w:rtl/>
        </w:rPr>
        <w:t xml:space="preserve">. </w:t>
      </w:r>
      <w:r w:rsidR="00C61A83">
        <w:rPr>
          <w:rFonts w:hint="cs"/>
          <w:rtl/>
        </w:rPr>
        <w:t xml:space="preserve"> </w:t>
      </w:r>
    </w:p>
    <w:p w14:paraId="630AA3FC" w14:textId="7C2AF600" w:rsidR="00810919" w:rsidRDefault="001011CE">
      <w:pPr>
        <w:pStyle w:val="FootnoteText"/>
      </w:pPr>
      <w:r>
        <w:rPr>
          <w:rFonts w:hint="cs"/>
          <w:rtl/>
        </w:rPr>
        <w:t xml:space="preserve">אבן סינא הזכיר כאן את </w:t>
      </w:r>
      <w:r w:rsidR="00810919">
        <w:rPr>
          <w:rFonts w:hint="cs"/>
          <w:rtl/>
        </w:rPr>
        <w:t>האנשים שמ</w:t>
      </w:r>
      <w:r w:rsidR="003A1E1F">
        <w:rPr>
          <w:rFonts w:hint="cs"/>
          <w:rtl/>
        </w:rPr>
        <w:t>תבוננים</w:t>
      </w:r>
      <w:r w:rsidR="00810919">
        <w:rPr>
          <w:rFonts w:hint="cs"/>
          <w:rtl/>
        </w:rPr>
        <w:t xml:space="preserve"> </w:t>
      </w:r>
      <w:r w:rsidR="003A1E1F">
        <w:rPr>
          <w:rFonts w:hint="cs"/>
          <w:rtl/>
        </w:rPr>
        <w:t>לפי</w:t>
      </w:r>
      <w:r w:rsidR="00810919">
        <w:rPr>
          <w:rFonts w:hint="cs"/>
          <w:rtl/>
        </w:rPr>
        <w:t xml:space="preserve"> הבחינה הראשונה</w:t>
      </w:r>
      <w:r w:rsidR="003A1E1F">
        <w:rPr>
          <w:rFonts w:hint="cs"/>
          <w:rtl/>
        </w:rPr>
        <w:t xml:space="preserve">, שמתחילה מראיית הצורה, </w:t>
      </w:r>
      <w:r>
        <w:rPr>
          <w:rFonts w:hint="cs"/>
          <w:rtl/>
        </w:rPr>
        <w:t>וכוונתו ל</w:t>
      </w:r>
      <w:r w:rsidR="003A1E1F">
        <w:rPr>
          <w:rFonts w:hint="cs"/>
          <w:rtl/>
        </w:rPr>
        <w:t xml:space="preserve">אפלטון. </w:t>
      </w:r>
      <w:r w:rsidR="00064201">
        <w:rPr>
          <w:rFonts w:hint="cs"/>
          <w:rtl/>
        </w:rPr>
        <w:t xml:space="preserve">למרות שאפלטון רואה את האידיאות המופשטות כשלעצמן, גם בלי הגוף, הוא </w:t>
      </w:r>
      <w:r w:rsidR="0019178D">
        <w:rPr>
          <w:rFonts w:hint="cs"/>
          <w:rtl/>
        </w:rPr>
        <w:t>רואה גם</w:t>
      </w:r>
      <w:r w:rsidR="00064201">
        <w:rPr>
          <w:rFonts w:hint="cs"/>
          <w:rtl/>
        </w:rPr>
        <w:t xml:space="preserve"> שבמציאות תמיד יהיה</w:t>
      </w:r>
      <w:r>
        <w:rPr>
          <w:rFonts w:hint="cs"/>
          <w:rtl/>
        </w:rPr>
        <w:t xml:space="preserve"> </w:t>
      </w:r>
      <w:r w:rsidR="00064201">
        <w:rPr>
          <w:rFonts w:hint="cs"/>
          <w:rtl/>
        </w:rPr>
        <w:t>להן לבוש של חומר והחומר הזה תמיד ילבש צורה ויפשוט צורה, וכיוון שהצורות לא חדלות, גם תנוע</w:t>
      </w:r>
      <w:r w:rsidR="0019178D">
        <w:rPr>
          <w:rFonts w:hint="cs"/>
          <w:rtl/>
        </w:rPr>
        <w:t>ת ההתהוות וההפסד</w:t>
      </w:r>
      <w:r w:rsidR="00064201">
        <w:rPr>
          <w:rFonts w:hint="cs"/>
          <w:rtl/>
        </w:rPr>
        <w:t xml:space="preserve"> של החומר תהיה תמיד. </w:t>
      </w:r>
      <w:r w:rsidR="006A18C6">
        <w:rPr>
          <w:rFonts w:hint="cs"/>
          <w:rtl/>
        </w:rPr>
        <w:t xml:space="preserve">הבחינה השנייה היא הדרך של אריסטו. </w:t>
      </w:r>
      <w:r w:rsidR="00810919">
        <w:rPr>
          <w:rFonts w:hint="cs"/>
          <w:rtl/>
        </w:rPr>
        <w:t xml:space="preserve"> </w:t>
      </w:r>
    </w:p>
  </w:footnote>
  <w:footnote w:id="326">
    <w:p w14:paraId="71781CEA" w14:textId="77777777" w:rsidR="00340EA6" w:rsidRDefault="00275021">
      <w:pPr>
        <w:pStyle w:val="FootnoteText"/>
        <w:rPr>
          <w:rtl/>
        </w:rPr>
      </w:pPr>
      <w:r>
        <w:rPr>
          <w:rStyle w:val="FootnoteReference"/>
        </w:rPr>
        <w:footnoteRef/>
      </w:r>
      <w:r>
        <w:rPr>
          <w:rtl/>
        </w:rPr>
        <w:t xml:space="preserve"> </w:t>
      </w:r>
      <w:r w:rsidR="00C80EB4">
        <w:rPr>
          <w:rFonts w:hint="cs"/>
          <w:rtl/>
        </w:rPr>
        <w:t xml:space="preserve">שתי הדרכים התבארו לעיל </w:t>
      </w:r>
      <w:r>
        <w:rPr>
          <w:rFonts w:hint="cs"/>
          <w:rtl/>
        </w:rPr>
        <w:t>1.2.8</w:t>
      </w:r>
      <w:r w:rsidR="0032153F">
        <w:rPr>
          <w:rFonts w:hint="cs"/>
          <w:rtl/>
        </w:rPr>
        <w:t xml:space="preserve"> (ספר 1, פרק 2, סעיף 8)</w:t>
      </w:r>
      <w:r w:rsidR="001A7F9C">
        <w:rPr>
          <w:rFonts w:hint="cs"/>
          <w:rtl/>
        </w:rPr>
        <w:t>. הדרך הראשונה רואה</w:t>
      </w:r>
      <w:r w:rsidR="00506C82">
        <w:rPr>
          <w:rFonts w:hint="cs"/>
          <w:rtl/>
        </w:rPr>
        <w:t xml:space="preserve"> שהאחדות שיש בעולם היא מכיוון</w:t>
      </w:r>
      <w:r w:rsidR="001A7F9C">
        <w:rPr>
          <w:rFonts w:hint="cs"/>
          <w:rtl/>
        </w:rPr>
        <w:t xml:space="preserve"> שיש מ</w:t>
      </w:r>
      <w:r w:rsidR="00506C82">
        <w:rPr>
          <w:rFonts w:hint="cs"/>
          <w:rtl/>
        </w:rPr>
        <w:t>צ</w:t>
      </w:r>
      <w:r w:rsidR="001A7F9C">
        <w:rPr>
          <w:rFonts w:hint="cs"/>
          <w:rtl/>
        </w:rPr>
        <w:t>יאות</w:t>
      </w:r>
      <w:r w:rsidR="00506C82">
        <w:rPr>
          <w:rFonts w:hint="cs"/>
          <w:rtl/>
        </w:rPr>
        <w:t xml:space="preserve"> של חי אחד שהוא כל המציאות כולה, ומציאותו גמורה ושלמה, וכל הנמצאים הם כמו איברים שלו. הסתכלות כזו יכולה להיות רק מצד מעשה מרכבה, </w:t>
      </w:r>
      <w:r w:rsidR="000207CB">
        <w:rPr>
          <w:rFonts w:hint="cs"/>
          <w:rtl/>
        </w:rPr>
        <w:t xml:space="preserve">בהתבוננות שהשתחררה מהתפישה של העצמים החומריים הפרטיים. אפלטון מדבר בזה הרבה </w:t>
      </w:r>
      <w:r w:rsidR="000207CB">
        <w:rPr>
          <w:rFonts w:hint="cs"/>
          <w:rtl/>
        </w:rPr>
        <w:t>בטימיאוס</w:t>
      </w:r>
      <w:r w:rsidR="00340EA6">
        <w:rPr>
          <w:rFonts w:hint="cs"/>
          <w:rtl/>
        </w:rPr>
        <w:t xml:space="preserve"> ומפתח את הנושא</w:t>
      </w:r>
      <w:r w:rsidR="000207CB">
        <w:rPr>
          <w:rFonts w:hint="cs"/>
          <w:rtl/>
        </w:rPr>
        <w:t xml:space="preserve">. אריסטו </w:t>
      </w:r>
      <w:r w:rsidR="004F54B4">
        <w:rPr>
          <w:rFonts w:hint="cs"/>
          <w:rtl/>
        </w:rPr>
        <w:t>כמעט לא מזכיר את זה, מלבד בקיצור במטאפיזיקה למבדא, בעיקר בסוף פרק ט' ובסוף פרק י'</w:t>
      </w:r>
      <w:r w:rsidR="00340EA6">
        <w:rPr>
          <w:rFonts w:hint="cs"/>
          <w:rtl/>
        </w:rPr>
        <w:t>, ובעוד מקצת מקומות מרומזים</w:t>
      </w:r>
      <w:r w:rsidR="004F54B4">
        <w:rPr>
          <w:rFonts w:hint="cs"/>
          <w:rtl/>
        </w:rPr>
        <w:t>.</w:t>
      </w:r>
    </w:p>
    <w:p w14:paraId="6224C93B" w14:textId="064CDEAD" w:rsidR="00275021" w:rsidRDefault="00340EA6" w:rsidP="00C02076">
      <w:pPr>
        <w:pStyle w:val="FootnoteText"/>
      </w:pPr>
      <w:r>
        <w:rPr>
          <w:rFonts w:hint="cs"/>
          <w:rtl/>
        </w:rPr>
        <w:t>הרמב</w:t>
      </w:r>
      <w:r w:rsidR="00F055C8">
        <w:rPr>
          <w:rtl/>
        </w:rPr>
        <w:t>"</w:t>
      </w:r>
      <w:r>
        <w:rPr>
          <w:rFonts w:hint="cs"/>
          <w:rtl/>
        </w:rPr>
        <w:t xml:space="preserve">ם מבאר את מה שכל המציאות היא איש אחד באישות כמו ראובן, בפרק </w:t>
      </w:r>
      <w:r w:rsidR="00E5744D">
        <w:rPr>
          <w:rFonts w:hint="cs"/>
          <w:rtl/>
        </w:rPr>
        <w:t>ע</w:t>
      </w:r>
      <w:r w:rsidR="00F055C8">
        <w:rPr>
          <w:rtl/>
        </w:rPr>
        <w:t>"</w:t>
      </w:r>
      <w:r w:rsidR="00E5744D">
        <w:rPr>
          <w:rFonts w:hint="cs"/>
          <w:rtl/>
        </w:rPr>
        <w:t xml:space="preserve">ב של חלק א' מהמורה נבוכים. </w:t>
      </w:r>
      <w:r w:rsidR="00DE4C4E">
        <w:rPr>
          <w:rFonts w:hint="cs"/>
          <w:rtl/>
        </w:rPr>
        <w:t>ו</w:t>
      </w:r>
      <w:r w:rsidR="00E5744D">
        <w:rPr>
          <w:rFonts w:hint="cs"/>
          <w:rtl/>
        </w:rPr>
        <w:t>בסוף פרק ע</w:t>
      </w:r>
      <w:r w:rsidR="00F055C8">
        <w:rPr>
          <w:rtl/>
        </w:rPr>
        <w:t>"</w:t>
      </w:r>
      <w:r w:rsidR="00E5744D">
        <w:rPr>
          <w:rFonts w:hint="cs"/>
          <w:rtl/>
        </w:rPr>
        <w:t xml:space="preserve">א </w:t>
      </w:r>
      <w:r w:rsidR="00DE4C4E">
        <w:rPr>
          <w:rFonts w:hint="cs"/>
          <w:rtl/>
        </w:rPr>
        <w:t>ב</w:t>
      </w:r>
      <w:r w:rsidR="00E5744D">
        <w:rPr>
          <w:rFonts w:hint="cs"/>
          <w:rtl/>
        </w:rPr>
        <w:t>הקדמה לפרק ע</w:t>
      </w:r>
      <w:r w:rsidR="00F055C8">
        <w:rPr>
          <w:rtl/>
        </w:rPr>
        <w:t>"</w:t>
      </w:r>
      <w:r w:rsidR="00E5744D">
        <w:rPr>
          <w:rFonts w:hint="cs"/>
          <w:rtl/>
        </w:rPr>
        <w:t>ב</w:t>
      </w:r>
      <w:r w:rsidR="00A469CD">
        <w:rPr>
          <w:rFonts w:hint="cs"/>
          <w:rtl/>
        </w:rPr>
        <w:t xml:space="preserve"> ולשאר המשך מהלך הספר</w:t>
      </w:r>
      <w:r w:rsidR="00E5744D">
        <w:rPr>
          <w:rFonts w:hint="cs"/>
          <w:rtl/>
        </w:rPr>
        <w:t xml:space="preserve">, </w:t>
      </w:r>
      <w:r w:rsidR="00DE4C4E">
        <w:rPr>
          <w:rFonts w:hint="cs"/>
          <w:rtl/>
        </w:rPr>
        <w:t>כותב שפרק ע</w:t>
      </w:r>
      <w:r w:rsidR="00F055C8">
        <w:rPr>
          <w:rtl/>
        </w:rPr>
        <w:t>"</w:t>
      </w:r>
      <w:r w:rsidR="00DE4C4E">
        <w:rPr>
          <w:rFonts w:hint="cs"/>
          <w:rtl/>
        </w:rPr>
        <w:t>ב הוא על דרך ההגדה, ושהדרך להגי</w:t>
      </w:r>
      <w:r w:rsidR="00120DEC">
        <w:rPr>
          <w:rFonts w:hint="cs"/>
          <w:rtl/>
        </w:rPr>
        <w:t xml:space="preserve">ע </w:t>
      </w:r>
      <w:r w:rsidR="00DE4C4E">
        <w:rPr>
          <w:rFonts w:hint="cs"/>
          <w:rtl/>
        </w:rPr>
        <w:t xml:space="preserve">לחכמה היא לעמול בלימוד הטבע כדי </w:t>
      </w:r>
      <w:r w:rsidR="00120DEC">
        <w:rPr>
          <w:rFonts w:hint="cs"/>
          <w:rtl/>
        </w:rPr>
        <w:t xml:space="preserve">לראות ממנו עצמו את גילוי בוראו, וזו הדרך של אריסטו, של מעשה בראשית. </w:t>
      </w:r>
    </w:p>
  </w:footnote>
  <w:footnote w:id="327">
    <w:p w14:paraId="449C042F" w14:textId="10F0942C" w:rsidR="008277B4" w:rsidRDefault="0087465C" w:rsidP="005F5D59">
      <w:pPr>
        <w:pStyle w:val="FootnoteText"/>
      </w:pPr>
      <w:r>
        <w:rPr>
          <w:rStyle w:val="FootnoteReference"/>
        </w:rPr>
        <w:footnoteRef/>
      </w:r>
      <w:r>
        <w:rPr>
          <w:rtl/>
        </w:rPr>
        <w:t xml:space="preserve"> </w:t>
      </w:r>
      <w:r>
        <w:rPr>
          <w:rFonts w:hint="cs"/>
          <w:rtl/>
        </w:rPr>
        <w:t xml:space="preserve">במקור </w:t>
      </w:r>
      <w:r w:rsidR="00E12294" w:rsidRPr="00A554EE">
        <w:rPr>
          <w:rFonts w:ascii="Arial" w:hAnsi="Arial" w:cs="Arial" w:hint="cs"/>
          <w:rtl/>
          <w:lang w:bidi="ar-SA"/>
        </w:rPr>
        <w:t>الاعيان</w:t>
      </w:r>
      <w:r w:rsidR="00441A86" w:rsidRPr="00A554EE">
        <w:rPr>
          <w:rtl/>
        </w:rPr>
        <w:t xml:space="preserve">. מה שהוא </w:t>
      </w:r>
      <w:r w:rsidR="00175516" w:rsidRPr="00175516">
        <w:rPr>
          <w:rtl/>
        </w:rPr>
        <w:t>בְּעֵין</w:t>
      </w:r>
      <w:r w:rsidR="00441A86" w:rsidRPr="00A554EE">
        <w:rPr>
          <w:rtl/>
        </w:rPr>
        <w:t xml:space="preserve">, כלומר ניכר כגוף שעומד בפני עצמו. </w:t>
      </w:r>
      <w:r w:rsidR="008B5829">
        <w:rPr>
          <w:rFonts w:hint="cs"/>
          <w:rtl/>
        </w:rPr>
        <w:t>ו</w:t>
      </w:r>
      <w:r w:rsidR="00441A86" w:rsidRPr="00A554EE">
        <w:rPr>
          <w:rtl/>
        </w:rPr>
        <w:t>כשימו</w:t>
      </w:r>
      <w:r w:rsidR="00A554EE" w:rsidRPr="00A554EE">
        <w:rPr>
          <w:rtl/>
        </w:rPr>
        <w:t>ש</w:t>
      </w:r>
      <w:r w:rsidR="00441A86" w:rsidRPr="00A554EE">
        <w:rPr>
          <w:rtl/>
        </w:rPr>
        <w:t xml:space="preserve"> הלשון </w:t>
      </w:r>
      <w:r w:rsidR="00A554EE" w:rsidRPr="00A554EE">
        <w:rPr>
          <w:rtl/>
        </w:rPr>
        <w:t>שכתב ב</w:t>
      </w:r>
      <w:r w:rsidR="008277B4" w:rsidRPr="00A554EE">
        <w:rPr>
          <w:rtl/>
        </w:rPr>
        <w:t>מגיד משנה הלכות מאכלות אסורות ב' ט</w:t>
      </w:r>
      <w:r w:rsidR="00F055C8">
        <w:rPr>
          <w:rtl/>
        </w:rPr>
        <w:t>"</w:t>
      </w:r>
      <w:r w:rsidR="008277B4" w:rsidRPr="00A554EE">
        <w:rPr>
          <w:rtl/>
        </w:rPr>
        <w:t>ו</w:t>
      </w:r>
      <w:r w:rsidR="00A554EE" w:rsidRPr="00A554EE">
        <w:rPr>
          <w:rtl/>
        </w:rPr>
        <w:t xml:space="preserve"> (וכן מקובל בלשון חכמי ההלכה)</w:t>
      </w:r>
      <w:r w:rsidR="008277B4" w:rsidRPr="00A554EE">
        <w:rPr>
          <w:rtl/>
        </w:rPr>
        <w:t>:</w:t>
      </w:r>
      <w:r w:rsidR="005F5D59">
        <w:rPr>
          <w:rFonts w:hint="cs"/>
          <w:rtl/>
        </w:rPr>
        <w:t xml:space="preserve"> </w:t>
      </w:r>
      <w:r w:rsidR="00F055C8">
        <w:rPr>
          <w:rtl/>
        </w:rPr>
        <w:t>"</w:t>
      </w:r>
      <w:r w:rsidR="008277B4" w:rsidRPr="008277B4">
        <w:rPr>
          <w:rtl/>
        </w:rPr>
        <w:t>אם נ</w:t>
      </w:r>
      <w:r w:rsidR="00633A3F">
        <w:rPr>
          <w:rFonts w:hint="cs"/>
          <w:rtl/>
        </w:rPr>
        <w:t>י</w:t>
      </w:r>
      <w:r w:rsidR="008277B4" w:rsidRPr="008277B4">
        <w:rPr>
          <w:rtl/>
        </w:rPr>
        <w:t>מוח בטל הוא בששים</w:t>
      </w:r>
      <w:r w:rsidR="005F5D59">
        <w:rPr>
          <w:rFonts w:hint="cs"/>
          <w:rtl/>
        </w:rPr>
        <w:t>,</w:t>
      </w:r>
      <w:r w:rsidR="008277B4" w:rsidRPr="008277B4">
        <w:rPr>
          <w:rtl/>
        </w:rPr>
        <w:t xml:space="preserve"> ואם הוא </w:t>
      </w:r>
      <w:r w:rsidR="008277B4" w:rsidRPr="00A554EE">
        <w:rPr>
          <w:b/>
          <w:bCs/>
          <w:rtl/>
        </w:rPr>
        <w:t>בעין</w:t>
      </w:r>
      <w:r w:rsidR="008277B4" w:rsidRPr="008277B4">
        <w:rPr>
          <w:rtl/>
        </w:rPr>
        <w:t xml:space="preserve"> זורקו</w:t>
      </w:r>
      <w:r w:rsidR="00F055C8">
        <w:rPr>
          <w:rtl/>
        </w:rPr>
        <w:t>"</w:t>
      </w:r>
      <w:r w:rsidR="005F5D59">
        <w:rPr>
          <w:rFonts w:hint="cs"/>
          <w:rtl/>
        </w:rPr>
        <w:t xml:space="preserve"> ("בעין" הוא ההיפך מנימוח</w:t>
      </w:r>
      <w:r w:rsidR="00E957FF">
        <w:rPr>
          <w:rFonts w:hint="cs"/>
          <w:rtl/>
        </w:rPr>
        <w:t>)</w:t>
      </w:r>
    </w:p>
  </w:footnote>
  <w:footnote w:id="328">
    <w:p w14:paraId="70510D0C" w14:textId="4F11D390" w:rsidR="00E0223D" w:rsidRDefault="00B2338C">
      <w:pPr>
        <w:pStyle w:val="FootnoteText"/>
        <w:rPr>
          <w:rtl/>
        </w:rPr>
      </w:pPr>
      <w:r>
        <w:rPr>
          <w:rStyle w:val="FootnoteReference"/>
        </w:rPr>
        <w:footnoteRef/>
      </w:r>
      <w:r>
        <w:rPr>
          <w:rtl/>
        </w:rPr>
        <w:t xml:space="preserve"> </w:t>
      </w:r>
      <w:r w:rsidR="00F055C8">
        <w:rPr>
          <w:rtl/>
        </w:rPr>
        <w:t>"</w:t>
      </w:r>
      <w:r w:rsidR="004407F7">
        <w:rPr>
          <w:rFonts w:hint="cs"/>
          <w:rtl/>
        </w:rPr>
        <w:t>היולי</w:t>
      </w:r>
      <w:r w:rsidR="00F055C8">
        <w:rPr>
          <w:rtl/>
        </w:rPr>
        <w:t>"</w:t>
      </w:r>
      <w:r w:rsidR="004407F7">
        <w:rPr>
          <w:rFonts w:hint="cs"/>
        </w:rPr>
        <w:t xml:space="preserve"> </w:t>
      </w:r>
      <w:r w:rsidR="004407F7">
        <w:rPr>
          <w:rFonts w:hint="cs"/>
          <w:rtl/>
        </w:rPr>
        <w:t>הוא מונח שמציין דווקא את החומר הראשון, ולא כל חומר.</w:t>
      </w:r>
      <w:r w:rsidR="00C37F6F">
        <w:rPr>
          <w:rFonts w:hint="cs"/>
          <w:rtl/>
        </w:rPr>
        <w:t xml:space="preserve"> עץ של מיטה לא נקרא היולי אלא חומר. כאן הוא קורא </w:t>
      </w:r>
      <w:r w:rsidR="00CB0391">
        <w:rPr>
          <w:rFonts w:hint="cs"/>
          <w:rtl/>
        </w:rPr>
        <w:t xml:space="preserve">לעץ של המיטה היולי, </w:t>
      </w:r>
      <w:r w:rsidR="00084BB0">
        <w:rPr>
          <w:rFonts w:hint="cs"/>
          <w:rtl/>
        </w:rPr>
        <w:t xml:space="preserve">כי עומק </w:t>
      </w:r>
      <w:r w:rsidR="004877D3">
        <w:rPr>
          <w:rFonts w:hint="cs"/>
          <w:rtl/>
        </w:rPr>
        <w:t xml:space="preserve">המושג של חומר הוא האפשרות כמו שכתב אריסטו במטאפיזיקה </w:t>
      </w:r>
      <w:r w:rsidR="004877D3">
        <w:rPr>
          <w:rFonts w:hint="cs"/>
          <w:rtl/>
        </w:rPr>
        <w:t>זטא</w:t>
      </w:r>
      <w:r w:rsidR="004407F7">
        <w:rPr>
          <w:rFonts w:hint="cs"/>
          <w:rtl/>
        </w:rPr>
        <w:t xml:space="preserve"> </w:t>
      </w:r>
      <w:r w:rsidR="004877D3">
        <w:rPr>
          <w:rFonts w:hint="cs"/>
          <w:rtl/>
        </w:rPr>
        <w:t xml:space="preserve">ועוד מקומות. החומר הוא מה שנמצא </w:t>
      </w:r>
      <w:r w:rsidR="00623FA1">
        <w:rPr>
          <w:rFonts w:hint="cs"/>
          <w:rtl/>
        </w:rPr>
        <w:t>כולו רק בכח</w:t>
      </w:r>
      <w:r w:rsidR="00E765A4">
        <w:rPr>
          <w:rFonts w:hint="cs"/>
          <w:rtl/>
        </w:rPr>
        <w:t>, הבכח הגמור</w:t>
      </w:r>
      <w:r w:rsidR="00623FA1">
        <w:rPr>
          <w:rFonts w:hint="cs"/>
          <w:rtl/>
        </w:rPr>
        <w:t>. החומר הוא העדר כי אין בו שום דבר בפועל, אי שום מימוש</w:t>
      </w:r>
      <w:r w:rsidR="00E765A4">
        <w:rPr>
          <w:rFonts w:hint="cs"/>
          <w:rtl/>
        </w:rPr>
        <w:t xml:space="preserve"> </w:t>
      </w:r>
      <w:r w:rsidR="00623FA1">
        <w:rPr>
          <w:rFonts w:hint="cs"/>
          <w:rtl/>
        </w:rPr>
        <w:t>ש</w:t>
      </w:r>
      <w:r w:rsidR="00E765A4">
        <w:rPr>
          <w:rFonts w:hint="cs"/>
          <w:rtl/>
        </w:rPr>
        <w:t>ל</w:t>
      </w:r>
      <w:r w:rsidR="00623FA1">
        <w:rPr>
          <w:rFonts w:hint="cs"/>
          <w:rtl/>
        </w:rPr>
        <w:t xml:space="preserve"> אפשרות, יש רק את סך האפשרויות. </w:t>
      </w:r>
      <w:r w:rsidR="00123720">
        <w:rPr>
          <w:rFonts w:hint="cs"/>
          <w:rtl/>
        </w:rPr>
        <w:t xml:space="preserve">לכן החומר הראשון לא יכול להיפסד, כי רק מה שבפועל יכול להיפסד, האפשרות תמיד נשארת קיימת. </w:t>
      </w:r>
      <w:r w:rsidR="005F73DF">
        <w:rPr>
          <w:rFonts w:hint="cs"/>
          <w:rtl/>
        </w:rPr>
        <w:t>למשל אם נחשוב שבטלו כל הגופים, יישאר במחשבתנו חלל תלת ממדי ריק, החלל הזה אי</w:t>
      </w:r>
      <w:r w:rsidR="00F016D2">
        <w:rPr>
          <w:rFonts w:hint="cs"/>
          <w:rtl/>
        </w:rPr>
        <w:t xml:space="preserve"> </w:t>
      </w:r>
      <w:r w:rsidR="005F73DF">
        <w:rPr>
          <w:rFonts w:hint="cs"/>
          <w:rtl/>
        </w:rPr>
        <w:t>אפ</w:t>
      </w:r>
      <w:r w:rsidR="00F016D2">
        <w:rPr>
          <w:rFonts w:hint="cs"/>
          <w:rtl/>
        </w:rPr>
        <w:t>ש</w:t>
      </w:r>
      <w:r w:rsidR="005F73DF">
        <w:rPr>
          <w:rFonts w:hint="cs"/>
          <w:rtl/>
        </w:rPr>
        <w:t xml:space="preserve">ר לחשוב על הפסדו כי אין בו שום דבר. הוא רק </w:t>
      </w:r>
      <w:r w:rsidR="00F016D2">
        <w:rPr>
          <w:rFonts w:hint="cs"/>
          <w:rtl/>
        </w:rPr>
        <w:t xml:space="preserve">סך כל </w:t>
      </w:r>
      <w:r w:rsidR="005F73DF">
        <w:rPr>
          <w:rFonts w:hint="cs"/>
          <w:rtl/>
        </w:rPr>
        <w:t>האפשרו</w:t>
      </w:r>
      <w:r w:rsidR="00F016D2">
        <w:rPr>
          <w:rFonts w:hint="cs"/>
          <w:rtl/>
        </w:rPr>
        <w:t>יו</w:t>
      </w:r>
      <w:r w:rsidR="005F73DF">
        <w:rPr>
          <w:rFonts w:hint="cs"/>
          <w:rtl/>
        </w:rPr>
        <w:t>ת שיהיו גופים תלת ממדיים</w:t>
      </w:r>
      <w:r w:rsidR="00E470E7">
        <w:rPr>
          <w:rFonts w:hint="cs"/>
          <w:rtl/>
        </w:rPr>
        <w:t>, ואפשר לחשוב על הפסד גוף ולא על הפסד האפשרות שיהיה גוף</w:t>
      </w:r>
      <w:r w:rsidR="005F73DF">
        <w:rPr>
          <w:rFonts w:hint="cs"/>
          <w:rtl/>
        </w:rPr>
        <w:t>.</w:t>
      </w:r>
    </w:p>
    <w:p w14:paraId="1477841A" w14:textId="04ACFF66" w:rsidR="00B2338C" w:rsidRDefault="00E0223D">
      <w:pPr>
        <w:pStyle w:val="FootnoteText"/>
      </w:pPr>
      <w:r>
        <w:rPr>
          <w:rFonts w:hint="cs"/>
          <w:rtl/>
        </w:rPr>
        <w:t>אבן סינא עושה כאן השוואה בין חומר המיטה לחומר הראשון הכללי. השוואה יש לה תוכן רק א</w:t>
      </w:r>
      <w:r w:rsidR="00F278FE">
        <w:rPr>
          <w:rFonts w:hint="cs"/>
          <w:rtl/>
        </w:rPr>
        <w:t>ם</w:t>
      </w:r>
      <w:r>
        <w:rPr>
          <w:rFonts w:hint="cs"/>
          <w:rtl/>
        </w:rPr>
        <w:t xml:space="preserve"> </w:t>
      </w:r>
      <w:r w:rsidR="00F278FE">
        <w:rPr>
          <w:rFonts w:hint="cs"/>
          <w:rtl/>
        </w:rPr>
        <w:t xml:space="preserve">היא בין שני דברים ששייכים לאותו עניין. הוא מתייחס כאן לחומר של המיטה לא כעל גוף שהוא הקרש, </w:t>
      </w:r>
      <w:r w:rsidR="00DA3A35">
        <w:rPr>
          <w:rFonts w:hint="cs"/>
          <w:rtl/>
        </w:rPr>
        <w:t xml:space="preserve">אלא </w:t>
      </w:r>
      <w:r w:rsidR="00F278FE">
        <w:rPr>
          <w:rFonts w:hint="cs"/>
          <w:rtl/>
        </w:rPr>
        <w:t xml:space="preserve">כעל האפשרות שתהיה מיטה. </w:t>
      </w:r>
      <w:r w:rsidR="00DA3A35">
        <w:rPr>
          <w:rFonts w:hint="cs"/>
          <w:rtl/>
        </w:rPr>
        <w:t xml:space="preserve">הקרש הוא אפשרות למיטה על דרך שההיולי הוא אפשרות לכל הצורות. </w:t>
      </w:r>
      <w:r w:rsidR="00691CDE">
        <w:rPr>
          <w:rFonts w:hint="cs"/>
          <w:rtl/>
        </w:rPr>
        <w:t xml:space="preserve">על זה הוא אומר שאפשר שהקרש ייפסד ואיתו תיפסד האפשרות שתהיה מיטה. </w:t>
      </w:r>
      <w:r w:rsidR="00E81F5D">
        <w:rPr>
          <w:rFonts w:hint="cs"/>
          <w:rtl/>
        </w:rPr>
        <w:t>באמת האפשרות לא נפסדה לגמרי כי עדיין אפשר שיהיה קרש אחר ואז תהיה מיטה</w:t>
      </w:r>
      <w:r w:rsidR="004C39EE">
        <w:rPr>
          <w:rFonts w:hint="cs"/>
          <w:rtl/>
        </w:rPr>
        <w:t>, אבל כך אנו נצרכים ללכת אחו</w:t>
      </w:r>
      <w:r w:rsidR="00904CC1">
        <w:rPr>
          <w:rFonts w:hint="cs"/>
          <w:rtl/>
        </w:rPr>
        <w:t>ר</w:t>
      </w:r>
      <w:r w:rsidR="004C39EE">
        <w:rPr>
          <w:rFonts w:hint="cs"/>
          <w:rtl/>
        </w:rPr>
        <w:t xml:space="preserve">ה לשלב קודם של 'בכח', וכדי שנאמר שהבכח הוא נצחי צריך ללכת עד </w:t>
      </w:r>
      <w:r w:rsidR="00904CC1">
        <w:rPr>
          <w:rFonts w:hint="cs"/>
          <w:rtl/>
        </w:rPr>
        <w:t>החומר הראשון שנברא יש מאין ואין חומר לפניו</w:t>
      </w:r>
      <w:r w:rsidR="00E81F5D">
        <w:rPr>
          <w:rFonts w:hint="cs"/>
          <w:rtl/>
        </w:rPr>
        <w:t xml:space="preserve">. </w:t>
      </w:r>
      <w:r w:rsidR="0083129A">
        <w:rPr>
          <w:rFonts w:hint="cs"/>
          <w:rtl/>
        </w:rPr>
        <w:t xml:space="preserve">כיוון שהעץ של המיטה נדון כאן </w:t>
      </w:r>
      <w:r w:rsidR="00BF3D00">
        <w:rPr>
          <w:rFonts w:hint="cs"/>
          <w:rtl/>
        </w:rPr>
        <w:t xml:space="preserve">מצד שהוא </w:t>
      </w:r>
      <w:r w:rsidR="0083129A">
        <w:rPr>
          <w:rFonts w:hint="cs"/>
          <w:rtl/>
        </w:rPr>
        <w:t xml:space="preserve">אפשרות, והוא שלב בשרשרת האפשרויות שמגיעה עד החומר הראשון, </w:t>
      </w:r>
      <w:r w:rsidR="00BF3D00">
        <w:rPr>
          <w:rFonts w:hint="cs"/>
          <w:rtl/>
        </w:rPr>
        <w:t>העץ נקרא כאן היולי.</w:t>
      </w:r>
      <w:r w:rsidR="00211AD8">
        <w:rPr>
          <w:rFonts w:hint="cs"/>
          <w:rtl/>
        </w:rPr>
        <w:t xml:space="preserve"> אבל אם נשאל מאיזה חומר </w:t>
      </w:r>
      <w:r w:rsidR="00DD2B5D">
        <w:rPr>
          <w:rFonts w:hint="cs"/>
          <w:rtl/>
        </w:rPr>
        <w:t>כדאי</w:t>
      </w:r>
      <w:r w:rsidR="00211AD8">
        <w:rPr>
          <w:rFonts w:hint="cs"/>
          <w:rtl/>
        </w:rPr>
        <w:t xml:space="preserve"> לעשות את המיטה, מעץ כזה או אחר, לא נאמר היולי אלא חומר. </w:t>
      </w:r>
      <w:r w:rsidR="00BF3D00">
        <w:rPr>
          <w:rFonts w:hint="cs"/>
          <w:rtl/>
        </w:rPr>
        <w:t xml:space="preserve"> </w:t>
      </w:r>
      <w:r w:rsidR="005F73DF">
        <w:rPr>
          <w:rFonts w:hint="cs"/>
          <w:rtl/>
        </w:rPr>
        <w:t xml:space="preserve"> </w:t>
      </w:r>
    </w:p>
  </w:footnote>
  <w:footnote w:id="329">
    <w:p w14:paraId="6E3AE8D5" w14:textId="62A536AC" w:rsidR="00B37097" w:rsidRDefault="00B37097">
      <w:pPr>
        <w:pStyle w:val="FootnoteText"/>
      </w:pPr>
      <w:r>
        <w:rPr>
          <w:rStyle w:val="FootnoteReference"/>
        </w:rPr>
        <w:footnoteRef/>
      </w:r>
      <w:r>
        <w:rPr>
          <w:rtl/>
        </w:rPr>
        <w:t xml:space="preserve"> </w:t>
      </w:r>
      <w:r>
        <w:rPr>
          <w:rFonts w:hint="cs"/>
          <w:rtl/>
        </w:rPr>
        <w:t xml:space="preserve">לעיל 1.2.8 ו 1.3.2. </w:t>
      </w:r>
      <w:r w:rsidR="000B017E">
        <w:rPr>
          <w:rFonts w:hint="cs"/>
          <w:rtl/>
        </w:rPr>
        <w:t>לגבי לשון היישרה</w:t>
      </w:r>
      <w:r w:rsidR="007B6A3E">
        <w:rPr>
          <w:rFonts w:hint="cs"/>
          <w:rtl/>
        </w:rPr>
        <w:t xml:space="preserve">, הכוונה היא כמו להצביע באצבע לכיוון </w:t>
      </w:r>
      <w:r w:rsidR="009C463A">
        <w:rPr>
          <w:rFonts w:hint="cs"/>
          <w:rtl/>
        </w:rPr>
        <w:t>מסוים</w:t>
      </w:r>
      <w:r w:rsidR="007B6A3E">
        <w:rPr>
          <w:rFonts w:hint="cs"/>
          <w:rtl/>
        </w:rPr>
        <w:t>,</w:t>
      </w:r>
      <w:r w:rsidR="000B017E">
        <w:rPr>
          <w:rFonts w:hint="cs"/>
          <w:rtl/>
        </w:rPr>
        <w:t xml:space="preserve"> עיין מורה נבוכים א' מ</w:t>
      </w:r>
      <w:r w:rsidR="00F055C8">
        <w:rPr>
          <w:rtl/>
        </w:rPr>
        <w:t>"</w:t>
      </w:r>
      <w:r w:rsidR="000B017E">
        <w:rPr>
          <w:rFonts w:hint="cs"/>
          <w:rtl/>
        </w:rPr>
        <w:t xml:space="preserve">ו. </w:t>
      </w:r>
    </w:p>
  </w:footnote>
  <w:footnote w:id="330">
    <w:p w14:paraId="19FDD475" w14:textId="548B9AF2" w:rsidR="00404B21" w:rsidRDefault="00404B21">
      <w:pPr>
        <w:pStyle w:val="FootnoteText"/>
      </w:pPr>
      <w:r>
        <w:rPr>
          <w:rStyle w:val="FootnoteReference"/>
        </w:rPr>
        <w:footnoteRef/>
      </w:r>
      <w:r>
        <w:rPr>
          <w:rtl/>
        </w:rPr>
        <w:t xml:space="preserve"> </w:t>
      </w:r>
      <w:r w:rsidR="00F17B3E">
        <w:rPr>
          <w:rFonts w:hint="cs"/>
          <w:rtl/>
        </w:rPr>
        <w:t xml:space="preserve">הבריאה הראשונה יש מאין, </w:t>
      </w:r>
      <w:r w:rsidR="00F17B3E">
        <w:rPr>
          <w:rFonts w:hint="cs"/>
          <w:rtl/>
        </w:rPr>
        <w:t xml:space="preserve">איבדע. </w:t>
      </w:r>
      <w:r w:rsidR="003727FF">
        <w:rPr>
          <w:rFonts w:hint="cs"/>
          <w:rtl/>
        </w:rPr>
        <w:t>עיין בזה לעיל</w:t>
      </w:r>
      <w:r w:rsidR="004647C7">
        <w:rPr>
          <w:rFonts w:hint="cs"/>
          <w:rtl/>
        </w:rPr>
        <w:t xml:space="preserve"> בשתי הערות על 1.3.2</w:t>
      </w:r>
      <w:r w:rsidR="003727FF">
        <w:rPr>
          <w:rFonts w:hint="cs"/>
          <w:rtl/>
        </w:rPr>
        <w:t xml:space="preserve">. </w:t>
      </w:r>
    </w:p>
  </w:footnote>
  <w:footnote w:id="331">
    <w:p w14:paraId="13D5FD03" w14:textId="70D47BEC" w:rsidR="00F1161C" w:rsidRDefault="0068336B">
      <w:pPr>
        <w:pStyle w:val="FootnoteText"/>
        <w:rPr>
          <w:rtl/>
        </w:rPr>
      </w:pPr>
      <w:r>
        <w:rPr>
          <w:rStyle w:val="FootnoteReference"/>
        </w:rPr>
        <w:footnoteRef/>
      </w:r>
      <w:r>
        <w:rPr>
          <w:rtl/>
        </w:rPr>
        <w:t xml:space="preserve"> </w:t>
      </w:r>
      <w:r>
        <w:rPr>
          <w:rFonts w:hint="cs"/>
          <w:rtl/>
        </w:rPr>
        <w:t>מה שנברא יש מאין בבריאה הראשונה הישירה הלא זמנית (</w:t>
      </w:r>
      <w:r>
        <w:rPr>
          <w:rFonts w:hint="cs"/>
          <w:rtl/>
        </w:rPr>
        <w:t xml:space="preserve">איבדע), הוא </w:t>
      </w:r>
      <w:r w:rsidR="00A07640">
        <w:rPr>
          <w:rFonts w:hint="cs"/>
          <w:rtl/>
        </w:rPr>
        <w:t xml:space="preserve">רק </w:t>
      </w:r>
      <w:r>
        <w:rPr>
          <w:rFonts w:hint="cs"/>
          <w:rtl/>
        </w:rPr>
        <w:t>החומר הראשון, שאין בו שום צורה כלל</w:t>
      </w:r>
      <w:r w:rsidR="00A07640">
        <w:rPr>
          <w:rFonts w:hint="cs"/>
          <w:rtl/>
        </w:rPr>
        <w:t xml:space="preserve"> (התוהו. ספירת חכמה)</w:t>
      </w:r>
      <w:r>
        <w:rPr>
          <w:rFonts w:hint="cs"/>
          <w:rtl/>
        </w:rPr>
        <w:t xml:space="preserve">. </w:t>
      </w:r>
      <w:r w:rsidR="00A07640">
        <w:rPr>
          <w:rFonts w:hint="cs"/>
          <w:rtl/>
        </w:rPr>
        <w:t xml:space="preserve">אמנם צורת התלת ממדיות (הבוהו. ספירת בינה) נחשבת כאחד עם החומר הראשון, </w:t>
      </w:r>
      <w:r w:rsidR="006927AF">
        <w:rPr>
          <w:rFonts w:hint="cs"/>
          <w:rtl/>
        </w:rPr>
        <w:t xml:space="preserve">ואין אלה שני דברים מחולקים, ולכן גם לפעמים מדברים על האחד וכלול בזה משנהו </w:t>
      </w:r>
      <w:r w:rsidR="00FC0B9E">
        <w:rPr>
          <w:rFonts w:hint="cs"/>
          <w:rtl/>
        </w:rPr>
        <w:t>(כמו שברמב</w:t>
      </w:r>
      <w:r w:rsidR="00F055C8">
        <w:rPr>
          <w:rtl/>
        </w:rPr>
        <w:t>"</w:t>
      </w:r>
      <w:r w:rsidR="00FC0B9E">
        <w:rPr>
          <w:rFonts w:hint="cs"/>
          <w:rtl/>
        </w:rPr>
        <w:t>ן על בראשית א' א' לפעמים מדבר על היולי אחד</w:t>
      </w:r>
      <w:r w:rsidR="004449AA">
        <w:rPr>
          <w:rFonts w:hint="cs"/>
          <w:rtl/>
        </w:rPr>
        <w:t xml:space="preserve"> (התוהו)</w:t>
      </w:r>
      <w:r w:rsidR="00FC0B9E">
        <w:rPr>
          <w:rFonts w:hint="cs"/>
          <w:rtl/>
        </w:rPr>
        <w:t xml:space="preserve"> ולפעמים </w:t>
      </w:r>
      <w:r w:rsidR="004449AA">
        <w:rPr>
          <w:rFonts w:hint="cs"/>
          <w:rtl/>
        </w:rPr>
        <w:t>ע</w:t>
      </w:r>
      <w:r w:rsidR="00FC0B9E">
        <w:rPr>
          <w:rFonts w:hint="cs"/>
          <w:rtl/>
        </w:rPr>
        <w:t>ל שניים, ההיולי השמיימי וההיולי הארצי</w:t>
      </w:r>
      <w:r w:rsidR="004449AA">
        <w:rPr>
          <w:rFonts w:hint="cs"/>
          <w:rtl/>
        </w:rPr>
        <w:t xml:space="preserve"> (הכפילות הזו שייכת רק בבוהו</w:t>
      </w:r>
      <w:r w:rsidR="0076282F">
        <w:rPr>
          <w:rFonts w:hint="cs"/>
          <w:rtl/>
        </w:rPr>
        <w:t>. כמו שהתבאר לעיל</w:t>
      </w:r>
      <w:r w:rsidR="004449AA">
        <w:rPr>
          <w:rFonts w:hint="cs"/>
          <w:rtl/>
        </w:rPr>
        <w:t>), ונראה שהוא לא מבחין ביניהם)</w:t>
      </w:r>
      <w:r w:rsidR="00FC0B9E">
        <w:rPr>
          <w:rFonts w:hint="cs"/>
          <w:rtl/>
        </w:rPr>
        <w:t>.</w:t>
      </w:r>
    </w:p>
    <w:p w14:paraId="7C09E817" w14:textId="35E08E9F" w:rsidR="000E6D99" w:rsidRDefault="00F1161C">
      <w:pPr>
        <w:pStyle w:val="FootnoteText"/>
        <w:rPr>
          <w:rtl/>
        </w:rPr>
      </w:pPr>
      <w:r>
        <w:rPr>
          <w:rFonts w:hint="cs"/>
          <w:rtl/>
        </w:rPr>
        <w:t>מה שמוכרח שכל ארבעת היסודות</w:t>
      </w:r>
      <w:r w:rsidR="000F59E4">
        <w:rPr>
          <w:rFonts w:hint="cs"/>
          <w:rtl/>
        </w:rPr>
        <w:t xml:space="preserve"> (שהם צורות)</w:t>
      </w:r>
      <w:r>
        <w:rPr>
          <w:rFonts w:hint="cs"/>
          <w:rtl/>
        </w:rPr>
        <w:t xml:space="preserve"> יתקיימו ואע</w:t>
      </w:r>
      <w:r w:rsidR="00F055C8">
        <w:rPr>
          <w:rtl/>
        </w:rPr>
        <w:t>"</w:t>
      </w:r>
      <w:r>
        <w:rPr>
          <w:rFonts w:hint="cs"/>
          <w:rtl/>
        </w:rPr>
        <w:t>פ שהם משתנים מזה</w:t>
      </w:r>
      <w:r w:rsidR="000F59E4">
        <w:rPr>
          <w:rFonts w:hint="cs"/>
          <w:rtl/>
        </w:rPr>
        <w:t xml:space="preserve"> </w:t>
      </w:r>
      <w:r>
        <w:rPr>
          <w:rFonts w:hint="cs"/>
          <w:rtl/>
        </w:rPr>
        <w:t xml:space="preserve">לזה </w:t>
      </w:r>
      <w:r w:rsidR="008D0009">
        <w:rPr>
          <w:rFonts w:hint="cs"/>
          <w:rtl/>
        </w:rPr>
        <w:t xml:space="preserve">- </w:t>
      </w:r>
      <w:r>
        <w:rPr>
          <w:rFonts w:hint="cs"/>
          <w:rtl/>
        </w:rPr>
        <w:t xml:space="preserve">תמיד כל הארבעה נשארים קיימים, </w:t>
      </w:r>
      <w:r w:rsidR="000F59E4">
        <w:rPr>
          <w:rFonts w:hint="cs"/>
          <w:rtl/>
        </w:rPr>
        <w:t xml:space="preserve">גם זה ביטוי לצד החומר הראשון שמתגלה מהם. </w:t>
      </w:r>
      <w:r w:rsidR="00030FA4">
        <w:rPr>
          <w:rFonts w:hint="cs"/>
          <w:rtl/>
        </w:rPr>
        <w:t>החומר הראשון לבדו לא נתפש כלל ואינו גילוי אלוהות ולכן גם לא נחשב קיים</w:t>
      </w:r>
      <w:r w:rsidR="00DE4428">
        <w:rPr>
          <w:rFonts w:hint="cs"/>
          <w:rtl/>
        </w:rPr>
        <w:t>,</w:t>
      </w:r>
      <w:r w:rsidR="00030FA4">
        <w:rPr>
          <w:rFonts w:hint="cs"/>
          <w:rtl/>
        </w:rPr>
        <w:t xml:space="preserve"> </w:t>
      </w:r>
      <w:r w:rsidR="00633591">
        <w:rPr>
          <w:rFonts w:hint="cs"/>
          <w:rtl/>
        </w:rPr>
        <w:t>מציאותו היא רק בצירוף צורת התלת ממדיות שהיא החומר ה</w:t>
      </w:r>
      <w:r w:rsidR="00DE4428">
        <w:rPr>
          <w:rFonts w:hint="cs"/>
          <w:rtl/>
        </w:rPr>
        <w:t>ראשון</w:t>
      </w:r>
      <w:r w:rsidR="00633591">
        <w:rPr>
          <w:rFonts w:hint="cs"/>
          <w:rtl/>
        </w:rPr>
        <w:t xml:space="preserve"> השמיימי </w:t>
      </w:r>
      <w:r w:rsidR="00DE4428">
        <w:rPr>
          <w:rFonts w:hint="cs"/>
          <w:rtl/>
        </w:rPr>
        <w:t>(ו</w:t>
      </w:r>
      <w:r w:rsidR="00633591">
        <w:rPr>
          <w:rFonts w:hint="cs"/>
          <w:rtl/>
        </w:rPr>
        <w:t>גם בגופים הארציים הוא נמצא בשורש הווייתם</w:t>
      </w:r>
      <w:r w:rsidR="00DE4428">
        <w:rPr>
          <w:rFonts w:hint="cs"/>
          <w:rtl/>
        </w:rPr>
        <w:t xml:space="preserve"> ולכן נקרא מבחינתם החומר החמישי)</w:t>
      </w:r>
      <w:r w:rsidR="00633591">
        <w:rPr>
          <w:rFonts w:hint="cs"/>
          <w:rtl/>
        </w:rPr>
        <w:t xml:space="preserve">, וגם </w:t>
      </w:r>
      <w:r w:rsidR="00DE4428">
        <w:rPr>
          <w:rFonts w:hint="cs"/>
          <w:rtl/>
        </w:rPr>
        <w:t xml:space="preserve">בצירוף </w:t>
      </w:r>
      <w:r w:rsidR="00633591">
        <w:rPr>
          <w:rFonts w:hint="cs"/>
          <w:rtl/>
        </w:rPr>
        <w:t>צורת ארבעת היסודות</w:t>
      </w:r>
      <w:r w:rsidR="00DE4428">
        <w:rPr>
          <w:rFonts w:hint="cs"/>
          <w:rtl/>
        </w:rPr>
        <w:t xml:space="preserve"> ש</w:t>
      </w:r>
      <w:r w:rsidR="00480A04">
        <w:rPr>
          <w:rFonts w:hint="cs"/>
          <w:rtl/>
        </w:rPr>
        <w:t xml:space="preserve">כיסוד להם החומר הראשון הוא </w:t>
      </w:r>
      <w:r w:rsidR="00DE4428">
        <w:rPr>
          <w:rFonts w:hint="cs"/>
          <w:rtl/>
        </w:rPr>
        <w:t xml:space="preserve">החומר </w:t>
      </w:r>
      <w:r w:rsidR="00480A04">
        <w:rPr>
          <w:rFonts w:hint="cs"/>
          <w:rtl/>
        </w:rPr>
        <w:t xml:space="preserve">הראשון </w:t>
      </w:r>
      <w:r w:rsidR="00DE4428">
        <w:rPr>
          <w:rFonts w:hint="cs"/>
          <w:rtl/>
        </w:rPr>
        <w:t>הארצי</w:t>
      </w:r>
      <w:r w:rsidR="00480A04">
        <w:rPr>
          <w:rFonts w:hint="cs"/>
          <w:rtl/>
        </w:rPr>
        <w:t xml:space="preserve"> (וכמו שכתב המורה נבוכים ב' כ</w:t>
      </w:r>
      <w:r w:rsidR="00F055C8">
        <w:rPr>
          <w:rtl/>
        </w:rPr>
        <w:t>"</w:t>
      </w:r>
      <w:r w:rsidR="00480A04">
        <w:rPr>
          <w:rFonts w:hint="cs"/>
          <w:rtl/>
        </w:rPr>
        <w:t>ו שיש חומר ראשון שמיימי וחומר ראשון ארצי</w:t>
      </w:r>
      <w:r w:rsidR="000E6D99">
        <w:rPr>
          <w:rFonts w:hint="cs"/>
          <w:rtl/>
        </w:rPr>
        <w:t>, והארכתי בזה לעיל)</w:t>
      </w:r>
      <w:r w:rsidR="00633591">
        <w:rPr>
          <w:rFonts w:hint="cs"/>
          <w:rtl/>
        </w:rPr>
        <w:t>.</w:t>
      </w:r>
    </w:p>
    <w:p w14:paraId="508FD25F" w14:textId="701C6A32" w:rsidR="0068336B" w:rsidRDefault="000E6D99">
      <w:pPr>
        <w:pStyle w:val="FootnoteText"/>
      </w:pPr>
      <w:r>
        <w:rPr>
          <w:rFonts w:hint="cs"/>
          <w:rtl/>
        </w:rPr>
        <w:t>לכן אע</w:t>
      </w:r>
      <w:r w:rsidR="00F055C8">
        <w:rPr>
          <w:rtl/>
        </w:rPr>
        <w:t>"</w:t>
      </w:r>
      <w:r>
        <w:rPr>
          <w:rFonts w:hint="cs"/>
          <w:rtl/>
        </w:rPr>
        <w:t>פ שהנברא בבריאה הראשונה יש מאין הוא רק החומר הראשון, אפשר</w:t>
      </w:r>
      <w:r w:rsidR="00555932">
        <w:rPr>
          <w:rFonts w:hint="cs"/>
          <w:rtl/>
        </w:rPr>
        <w:t xml:space="preserve"> </w:t>
      </w:r>
      <w:r>
        <w:rPr>
          <w:rFonts w:hint="cs"/>
          <w:rtl/>
        </w:rPr>
        <w:t>לומר גם על צורת התלת ממדיות, ו</w:t>
      </w:r>
      <w:r w:rsidR="00555932">
        <w:rPr>
          <w:rFonts w:hint="cs"/>
          <w:rtl/>
        </w:rPr>
        <w:t xml:space="preserve">גם </w:t>
      </w:r>
      <w:r>
        <w:rPr>
          <w:rFonts w:hint="cs"/>
          <w:rtl/>
        </w:rPr>
        <w:t>על מה שקיימים תמיד כל ארבעת היסודות</w:t>
      </w:r>
      <w:r w:rsidR="00555932">
        <w:rPr>
          <w:rFonts w:hint="cs"/>
          <w:rtl/>
        </w:rPr>
        <w:t>, שזה נברא בבריאה הראשונה יש מאין כבחינות של החומר הראשון, ולא כצורות מאוחרות פרטיות שמצטיירות בחומר הראשון מכח שהוא העדר</w:t>
      </w:r>
      <w:r w:rsidR="00B828C0">
        <w:rPr>
          <w:rFonts w:hint="cs"/>
          <w:rtl/>
        </w:rPr>
        <w:t>, והן מימוש</w:t>
      </w:r>
      <w:r w:rsidR="00D43E98">
        <w:rPr>
          <w:rFonts w:hint="cs"/>
          <w:rtl/>
        </w:rPr>
        <w:t xml:space="preserve"> </w:t>
      </w:r>
      <w:r w:rsidR="00B828C0">
        <w:rPr>
          <w:rFonts w:hint="cs"/>
          <w:rtl/>
        </w:rPr>
        <w:t>אפשרויות</w:t>
      </w:r>
      <w:r w:rsidR="00D43E98">
        <w:rPr>
          <w:rFonts w:hint="cs"/>
          <w:rtl/>
        </w:rPr>
        <w:t xml:space="preserve"> </w:t>
      </w:r>
      <w:r w:rsidR="00B828C0">
        <w:rPr>
          <w:rFonts w:hint="cs"/>
          <w:rtl/>
        </w:rPr>
        <w:t>שנ</w:t>
      </w:r>
      <w:r w:rsidR="00D43E98">
        <w:rPr>
          <w:rFonts w:hint="cs"/>
          <w:rtl/>
        </w:rPr>
        <w:t>ב</w:t>
      </w:r>
      <w:r w:rsidR="00B828C0">
        <w:rPr>
          <w:rFonts w:hint="cs"/>
          <w:rtl/>
        </w:rPr>
        <w:t>ראו כ</w:t>
      </w:r>
      <w:r w:rsidR="00D43E98">
        <w:rPr>
          <w:rFonts w:hint="cs"/>
          <w:rtl/>
        </w:rPr>
        <w:t>'בכח' בהעדר</w:t>
      </w:r>
      <w:r w:rsidR="004F1FA2">
        <w:rPr>
          <w:rFonts w:hint="cs"/>
          <w:rtl/>
        </w:rPr>
        <w:t>,</w:t>
      </w:r>
      <w:r w:rsidR="00F102A8">
        <w:rPr>
          <w:rFonts w:hint="cs"/>
          <w:rtl/>
        </w:rPr>
        <w:t xml:space="preserve"> </w:t>
      </w:r>
      <w:r w:rsidR="004F1FA2">
        <w:rPr>
          <w:rFonts w:hint="cs"/>
          <w:rtl/>
        </w:rPr>
        <w:t>ומוציאה אותן א</w:t>
      </w:r>
      <w:r w:rsidR="00D411F1">
        <w:rPr>
          <w:rFonts w:hint="cs"/>
          <w:rtl/>
        </w:rPr>
        <w:t>ל הפועל</w:t>
      </w:r>
      <w:r w:rsidR="004F1FA2">
        <w:rPr>
          <w:rFonts w:hint="cs"/>
          <w:rtl/>
        </w:rPr>
        <w:t xml:space="preserve"> </w:t>
      </w:r>
      <w:r w:rsidR="00D411F1">
        <w:rPr>
          <w:rFonts w:hint="cs"/>
          <w:rtl/>
        </w:rPr>
        <w:t xml:space="preserve">צורה שמעליהן לפי כללי השכל ולא בריאה שהיא ישירות מהבורא והיא מעל השכל, </w:t>
      </w:r>
      <w:r w:rsidR="00F102A8">
        <w:rPr>
          <w:rFonts w:hint="cs"/>
          <w:rtl/>
        </w:rPr>
        <w:t>ו</w:t>
      </w:r>
      <w:r w:rsidR="004F1FA2">
        <w:rPr>
          <w:rFonts w:hint="cs"/>
          <w:rtl/>
        </w:rPr>
        <w:t xml:space="preserve">נופל בהן לשון יצירה ועשייה ולא לשון בריאה. </w:t>
      </w:r>
      <w:r w:rsidR="00D43E98">
        <w:rPr>
          <w:rFonts w:hint="cs"/>
          <w:rtl/>
        </w:rPr>
        <w:t xml:space="preserve"> </w:t>
      </w:r>
      <w:r w:rsidR="00555932">
        <w:rPr>
          <w:rFonts w:hint="cs"/>
          <w:rtl/>
        </w:rPr>
        <w:t xml:space="preserve"> </w:t>
      </w:r>
      <w:r w:rsidR="00633591">
        <w:rPr>
          <w:rFonts w:hint="cs"/>
          <w:rtl/>
        </w:rPr>
        <w:t xml:space="preserve"> </w:t>
      </w:r>
      <w:r w:rsidR="00FC0B9E">
        <w:rPr>
          <w:rFonts w:hint="cs"/>
          <w:rtl/>
        </w:rPr>
        <w:t xml:space="preserve"> </w:t>
      </w:r>
    </w:p>
  </w:footnote>
  <w:footnote w:id="332">
    <w:p w14:paraId="20000A20" w14:textId="03A3EA2D" w:rsidR="007C1293" w:rsidRDefault="007C1293">
      <w:pPr>
        <w:pStyle w:val="FootnoteText"/>
        <w:rPr>
          <w:rtl/>
        </w:rPr>
      </w:pPr>
      <w:r>
        <w:rPr>
          <w:rStyle w:val="FootnoteReference"/>
        </w:rPr>
        <w:footnoteRef/>
      </w:r>
      <w:r>
        <w:rPr>
          <w:rtl/>
        </w:rPr>
        <w:t xml:space="preserve"> </w:t>
      </w:r>
      <w:r w:rsidR="00125829">
        <w:rPr>
          <w:rFonts w:hint="cs"/>
          <w:rtl/>
        </w:rPr>
        <w:t xml:space="preserve">צורה של תפוח, אפשר לומר </w:t>
      </w:r>
      <w:r w:rsidR="003A1C52">
        <w:rPr>
          <w:rFonts w:hint="cs"/>
          <w:rtl/>
        </w:rPr>
        <w:t xml:space="preserve">לפי צד זה </w:t>
      </w:r>
      <w:r w:rsidR="00125829">
        <w:rPr>
          <w:rFonts w:hint="cs"/>
          <w:rtl/>
        </w:rPr>
        <w:t xml:space="preserve">שאינה מתהווה ואינה נפסדת, כי ההתהוות של תפוח היא התחברות הצורה שלו לחומר שלו, וההפסד הוא היפרדות הצורה והחומר, ולא שהצורה מצד עצמה מתחדשת להיות קיימת או נפסדת מלהיות קיימת. </w:t>
      </w:r>
    </w:p>
    <w:p w14:paraId="3DD20E1D" w14:textId="6C7950AC" w:rsidR="003A1C52" w:rsidRDefault="003A1C52">
      <w:pPr>
        <w:pStyle w:val="FootnoteText"/>
        <w:rPr>
          <w:rtl/>
        </w:rPr>
      </w:pPr>
      <w:r>
        <w:rPr>
          <w:rFonts w:hint="cs"/>
          <w:rtl/>
        </w:rPr>
        <w:t xml:space="preserve">אמנם לפי הצד הראשון </w:t>
      </w:r>
      <w:r w:rsidR="00581447">
        <w:rPr>
          <w:rFonts w:hint="cs"/>
          <w:rtl/>
        </w:rPr>
        <w:t>רק החומר הראשון הוא הנברא שאינו תחת הת</w:t>
      </w:r>
      <w:r w:rsidR="00BD3753">
        <w:rPr>
          <w:rFonts w:hint="cs"/>
          <w:rtl/>
        </w:rPr>
        <w:t xml:space="preserve">הוות והפסד (ונכלל בזה בחינות ראשוניות שבו שהן התחלה כללית של צורות ולא הצורות עצמן, היינו צורת התלת ממדיות ובמובן </w:t>
      </w:r>
      <w:r w:rsidR="009C463A">
        <w:rPr>
          <w:rFonts w:hint="cs"/>
          <w:rtl/>
        </w:rPr>
        <w:t>מסוים</w:t>
      </w:r>
      <w:r w:rsidR="00BD3753">
        <w:rPr>
          <w:rFonts w:hint="cs"/>
          <w:rtl/>
        </w:rPr>
        <w:t xml:space="preserve"> אפשר שגם בחינה בארבעת היסודות, כמו שהתבאר)</w:t>
      </w:r>
      <w:r w:rsidR="00D41978">
        <w:rPr>
          <w:rFonts w:hint="cs"/>
          <w:rtl/>
        </w:rPr>
        <w:t>. הטעם בזה הוא ש</w:t>
      </w:r>
      <w:r w:rsidR="00D70E0A">
        <w:rPr>
          <w:rFonts w:hint="cs"/>
          <w:rtl/>
        </w:rPr>
        <w:t xml:space="preserve">רק </w:t>
      </w:r>
      <w:r w:rsidR="00D41978">
        <w:rPr>
          <w:rFonts w:hint="cs"/>
          <w:rtl/>
        </w:rPr>
        <w:t>מה שאין בו שום הגדרה, לא ייתכן שלא יהיה קיים</w:t>
      </w:r>
      <w:r w:rsidR="00D70E0A">
        <w:rPr>
          <w:rFonts w:hint="cs"/>
          <w:rtl/>
        </w:rPr>
        <w:t>, כי אי אפשר להגדיר מה לא קיים</w:t>
      </w:r>
      <w:r w:rsidR="00D41978">
        <w:rPr>
          <w:rFonts w:hint="cs"/>
          <w:rtl/>
        </w:rPr>
        <w:t xml:space="preserve">. </w:t>
      </w:r>
      <w:r w:rsidR="00D70E0A">
        <w:rPr>
          <w:rFonts w:hint="cs"/>
          <w:rtl/>
        </w:rPr>
        <w:t xml:space="preserve">זו הסיבה שהבורא עצמו הוא הכרחי המציאות, כי אינו משהו מוגדר, וגם החומר הראשון אינו מוגדר. </w:t>
      </w:r>
      <w:r w:rsidR="00B54168">
        <w:rPr>
          <w:rFonts w:hint="cs"/>
          <w:rtl/>
        </w:rPr>
        <w:t>גם צורת התלת ממדיות, שהיא החלל התלת ממדי הריק אי אפשר</w:t>
      </w:r>
      <w:r w:rsidR="00E02F05">
        <w:rPr>
          <w:rFonts w:hint="cs"/>
          <w:rtl/>
        </w:rPr>
        <w:t xml:space="preserve"> </w:t>
      </w:r>
      <w:r w:rsidR="00B54168">
        <w:rPr>
          <w:rFonts w:hint="cs"/>
          <w:rtl/>
        </w:rPr>
        <w:t>לחשוב עליה כ</w:t>
      </w:r>
      <w:r w:rsidR="00E02F05">
        <w:rPr>
          <w:rFonts w:hint="cs"/>
          <w:rtl/>
        </w:rPr>
        <w:t xml:space="preserve">אינה קיימת אלא אם נעבור לתפישת מציאות מופשטת לחלוטין שאין בה תלת ממדיות כלל, ואיננו יכולים לתפוש באופן כזה. </w:t>
      </w:r>
    </w:p>
    <w:p w14:paraId="06CD2352" w14:textId="32A6FCC5" w:rsidR="009E7B9B" w:rsidRDefault="009E7B9B">
      <w:pPr>
        <w:pStyle w:val="FootnoteText"/>
        <w:rPr>
          <w:rtl/>
        </w:rPr>
      </w:pPr>
      <w:r>
        <w:rPr>
          <w:rFonts w:hint="cs"/>
          <w:rtl/>
        </w:rPr>
        <w:t xml:space="preserve">החומר הראשון אינו הכרחי מציאות באופן מוחלט כמו הבורא, כי הוא תלוי בבורא שיברא אותו, אבל </w:t>
      </w:r>
      <w:r w:rsidR="0006573C">
        <w:rPr>
          <w:rFonts w:hint="cs"/>
          <w:rtl/>
        </w:rPr>
        <w:t xml:space="preserve">מכשנברא, </w:t>
      </w:r>
      <w:r>
        <w:rPr>
          <w:rFonts w:hint="cs"/>
          <w:rtl/>
        </w:rPr>
        <w:t xml:space="preserve">הוא </w:t>
      </w:r>
      <w:r w:rsidR="0006573C">
        <w:rPr>
          <w:rFonts w:hint="cs"/>
          <w:rtl/>
        </w:rPr>
        <w:t xml:space="preserve">נברא כהכרחי מציאות. </w:t>
      </w:r>
      <w:r w:rsidR="00874B13">
        <w:rPr>
          <w:rFonts w:hint="cs"/>
          <w:rtl/>
        </w:rPr>
        <w:t xml:space="preserve">יש </w:t>
      </w:r>
      <w:r w:rsidR="00C23965">
        <w:rPr>
          <w:rFonts w:hint="cs"/>
          <w:rtl/>
        </w:rPr>
        <w:t xml:space="preserve">שלוש חלוקות: (1) </w:t>
      </w:r>
      <w:r w:rsidR="00874B13">
        <w:rPr>
          <w:rFonts w:hint="cs"/>
          <w:rtl/>
        </w:rPr>
        <w:t>הכרחי מציאות מצד עצמו וזהו הבורא</w:t>
      </w:r>
      <w:r w:rsidR="00423B61">
        <w:rPr>
          <w:rFonts w:hint="cs"/>
          <w:rtl/>
        </w:rPr>
        <w:t>; (2)</w:t>
      </w:r>
      <w:r w:rsidR="00874B13">
        <w:rPr>
          <w:rFonts w:hint="cs"/>
          <w:rtl/>
        </w:rPr>
        <w:t xml:space="preserve"> אפשרי מציאות ואלה כל הדברים שבטבע</w:t>
      </w:r>
      <w:r w:rsidR="00423B61">
        <w:rPr>
          <w:rFonts w:hint="cs"/>
          <w:rtl/>
        </w:rPr>
        <w:t xml:space="preserve">; (3) </w:t>
      </w:r>
      <w:r w:rsidR="00874B13">
        <w:rPr>
          <w:rFonts w:hint="cs"/>
          <w:rtl/>
        </w:rPr>
        <w:t xml:space="preserve">הכרחי מציאות מצד אחר, שזהו החומר הראשון </w:t>
      </w:r>
      <w:r w:rsidR="00C23965">
        <w:rPr>
          <w:rFonts w:hint="cs"/>
          <w:rtl/>
        </w:rPr>
        <w:t>שמציאותו מושפעת עליו מהבורא והוא אינו סיבת מציאו</w:t>
      </w:r>
      <w:r w:rsidR="00CE33C0">
        <w:rPr>
          <w:rFonts w:hint="cs"/>
          <w:rtl/>
        </w:rPr>
        <w:t>ת</w:t>
      </w:r>
      <w:r w:rsidR="00C23965">
        <w:rPr>
          <w:rFonts w:hint="cs"/>
          <w:rtl/>
        </w:rPr>
        <w:t xml:space="preserve"> עצמו, אבל הבורא מהווה אותו כמוכרח</w:t>
      </w:r>
      <w:r w:rsidR="00CE33C0">
        <w:rPr>
          <w:rFonts w:hint="cs"/>
          <w:rtl/>
        </w:rPr>
        <w:t xml:space="preserve">, כלומר חסר הגדרה, והיינו אין סוף (החומר החמישי הוא צורת התלת ממדיות והוא אחד עם החומר הראשון, וכל גרמי השמיים הם גילויים של החומר החמישי ומבחינה זו </w:t>
      </w:r>
      <w:r w:rsidR="00DA0B5D">
        <w:rPr>
          <w:rFonts w:hint="cs"/>
          <w:rtl/>
        </w:rPr>
        <w:t>גם הם נחשבים מהכרחי מציאות מצד אחר)</w:t>
      </w:r>
      <w:r w:rsidR="00C23965">
        <w:rPr>
          <w:rFonts w:hint="cs"/>
          <w:rtl/>
        </w:rPr>
        <w:t xml:space="preserve">. </w:t>
      </w:r>
    </w:p>
    <w:p w14:paraId="41ACF778" w14:textId="0AE4D528" w:rsidR="004A24AA" w:rsidRDefault="00EA4614">
      <w:pPr>
        <w:pStyle w:val="FootnoteText"/>
      </w:pPr>
      <w:r>
        <w:rPr>
          <w:rFonts w:hint="cs"/>
          <w:rtl/>
        </w:rPr>
        <w:t xml:space="preserve">כל מה שיש לו הגדרה, הרי על כל </w:t>
      </w:r>
      <w:r>
        <w:rPr>
          <w:rFonts w:hint="cs"/>
        </w:rPr>
        <w:t xml:space="preserve">A </w:t>
      </w:r>
      <w:r>
        <w:rPr>
          <w:rFonts w:hint="cs"/>
          <w:rtl/>
        </w:rPr>
        <w:t xml:space="preserve"> אפשר לנסח משפט לוגי </w:t>
      </w:r>
      <w:r w:rsidR="00F055C8">
        <w:rPr>
          <w:rtl/>
        </w:rPr>
        <w:t>"</w:t>
      </w:r>
      <w:r>
        <w:rPr>
          <w:rFonts w:hint="cs"/>
          <w:rtl/>
        </w:rPr>
        <w:t>לא-</w:t>
      </w:r>
      <w:r>
        <w:rPr>
          <w:rFonts w:hint="cs"/>
        </w:rPr>
        <w:t>A</w:t>
      </w:r>
      <w:r w:rsidR="00F055C8">
        <w:rPr>
          <w:rtl/>
        </w:rPr>
        <w:t>"</w:t>
      </w:r>
      <w:r>
        <w:rPr>
          <w:rFonts w:hint="cs"/>
          <w:rtl/>
        </w:rPr>
        <w:t xml:space="preserve"> ולכן אפשר שלא יהיה קיים. </w:t>
      </w:r>
      <w:r w:rsidR="007909DD">
        <w:rPr>
          <w:rFonts w:hint="cs"/>
          <w:rtl/>
        </w:rPr>
        <w:t xml:space="preserve">מבחינה זו צורת התפוח היא תחת </w:t>
      </w:r>
      <w:r w:rsidR="009C463A">
        <w:rPr>
          <w:rFonts w:hint="cs"/>
          <w:rtl/>
        </w:rPr>
        <w:t>ההוויה</w:t>
      </w:r>
      <w:r w:rsidR="007909DD">
        <w:rPr>
          <w:rFonts w:hint="cs"/>
          <w:rtl/>
        </w:rPr>
        <w:t xml:space="preserve"> וההפסד, כי יש לה הגדרה.</w:t>
      </w:r>
    </w:p>
    <w:p w14:paraId="2D3C768A" w14:textId="77777777" w:rsidR="004A24AA" w:rsidRDefault="004A24AA">
      <w:pPr>
        <w:pStyle w:val="FootnoteText"/>
        <w:rPr>
          <w:rtl/>
        </w:rPr>
      </w:pPr>
      <w:r>
        <w:rPr>
          <w:rFonts w:hint="cs"/>
          <w:rtl/>
        </w:rPr>
        <w:t>אבן סינא כתב כאן:</w:t>
      </w:r>
    </w:p>
    <w:p w14:paraId="0574F4E6" w14:textId="18ED1887" w:rsidR="00D65C55" w:rsidRDefault="00F055C8">
      <w:pPr>
        <w:pStyle w:val="FootnoteText"/>
        <w:rPr>
          <w:rtl/>
        </w:rPr>
      </w:pPr>
      <w:r>
        <w:rPr>
          <w:rtl/>
        </w:rPr>
        <w:t>"</w:t>
      </w:r>
      <w:r w:rsidR="004A24AA" w:rsidRPr="004A24AA">
        <w:rPr>
          <w:rtl/>
        </w:rPr>
        <w:t>באשר לצורות, מקצתן יתהוו ויפסדו, הן אלה שתחת ההתהוות וההפסד</w:t>
      </w:r>
      <w:r>
        <w:rPr>
          <w:rtl/>
        </w:rPr>
        <w:t>"</w:t>
      </w:r>
      <w:r w:rsidR="0052369B">
        <w:rPr>
          <w:rFonts w:hint="cs"/>
          <w:rtl/>
        </w:rPr>
        <w:t xml:space="preserve">, זו אינה אריכות לשון מיותרת, אלא כוונתו שאיננו רואים שהצורות מתהוות ונפסדות, </w:t>
      </w:r>
      <w:r w:rsidR="00926CBC">
        <w:rPr>
          <w:rFonts w:hint="cs"/>
          <w:rtl/>
        </w:rPr>
        <w:t xml:space="preserve">כי </w:t>
      </w:r>
      <w:r w:rsidR="0052369B">
        <w:rPr>
          <w:rFonts w:hint="cs"/>
          <w:rtl/>
        </w:rPr>
        <w:t>מה ש</w:t>
      </w:r>
      <w:r w:rsidR="00834A0F">
        <w:rPr>
          <w:rFonts w:hint="cs"/>
          <w:rtl/>
        </w:rPr>
        <w:t>תפוח</w:t>
      </w:r>
      <w:r w:rsidR="0052369B">
        <w:rPr>
          <w:rFonts w:hint="cs"/>
          <w:rtl/>
        </w:rPr>
        <w:t xml:space="preserve"> </w:t>
      </w:r>
      <w:r w:rsidR="00834A0F">
        <w:rPr>
          <w:rFonts w:hint="cs"/>
          <w:rtl/>
        </w:rPr>
        <w:t>צומח</w:t>
      </w:r>
      <w:r w:rsidR="0052369B">
        <w:rPr>
          <w:rFonts w:hint="cs"/>
          <w:rtl/>
        </w:rPr>
        <w:t xml:space="preserve"> או מת זהו רק שינויים בחיבור צורת </w:t>
      </w:r>
      <w:r w:rsidR="00834A0F">
        <w:rPr>
          <w:rFonts w:hint="cs"/>
          <w:rtl/>
        </w:rPr>
        <w:t>תפוח</w:t>
      </w:r>
      <w:r w:rsidR="0052369B">
        <w:rPr>
          <w:rFonts w:hint="cs"/>
          <w:rtl/>
        </w:rPr>
        <w:t xml:space="preserve"> לחומר ולא התהוות או הפסד של צורת ה</w:t>
      </w:r>
      <w:r w:rsidR="00834A0F">
        <w:rPr>
          <w:rFonts w:hint="cs"/>
          <w:rtl/>
        </w:rPr>
        <w:t>תפוח</w:t>
      </w:r>
      <w:r w:rsidR="0052369B">
        <w:rPr>
          <w:rFonts w:hint="cs"/>
          <w:rtl/>
        </w:rPr>
        <w:t xml:space="preserve"> מצד עצמה. </w:t>
      </w:r>
      <w:r w:rsidR="00834A0F">
        <w:rPr>
          <w:rFonts w:hint="cs"/>
          <w:rtl/>
        </w:rPr>
        <w:t>וביותר, כיוון שהטבע נצחי גם צורת תפוח נצחית כי היא חלק ממנו</w:t>
      </w:r>
      <w:r w:rsidR="006B0122">
        <w:rPr>
          <w:rFonts w:hint="cs"/>
          <w:rtl/>
        </w:rPr>
        <w:t>, ואפילו כמלובשת בחומר היא נצחית כי הטבע הוא הצורות כשהן בחומר</w:t>
      </w:r>
      <w:r w:rsidR="00834A0F">
        <w:rPr>
          <w:rFonts w:hint="cs"/>
          <w:rtl/>
        </w:rPr>
        <w:t xml:space="preserve">. </w:t>
      </w:r>
      <w:r w:rsidR="006B0122">
        <w:rPr>
          <w:rFonts w:hint="cs"/>
          <w:rtl/>
        </w:rPr>
        <w:t xml:space="preserve">וכמו שהתבאר לעיל, שאם יישאר תפוח אחד אחרון אי אפשר שהוא ייפסד לפני שיצמח תפוח אחר. </w:t>
      </w:r>
      <w:r w:rsidR="00DA23E6">
        <w:rPr>
          <w:rFonts w:hint="cs"/>
          <w:rtl/>
        </w:rPr>
        <w:t>אמנם זה מכח נצחיות הטבע בכללותו, ומצד עצמו הטבע הוא הכרחי</w:t>
      </w:r>
      <w:r w:rsidR="00874B13">
        <w:rPr>
          <w:rFonts w:hint="cs"/>
          <w:rtl/>
        </w:rPr>
        <w:t xml:space="preserve"> מציאות</w:t>
      </w:r>
      <w:r w:rsidR="00DA23E6">
        <w:rPr>
          <w:rFonts w:hint="cs"/>
          <w:rtl/>
        </w:rPr>
        <w:t xml:space="preserve"> רק </w:t>
      </w:r>
      <w:r w:rsidR="00FC6CD3">
        <w:rPr>
          <w:rFonts w:hint="cs"/>
          <w:rtl/>
        </w:rPr>
        <w:t xml:space="preserve">מצד </w:t>
      </w:r>
      <w:r w:rsidR="00DA23E6">
        <w:rPr>
          <w:rFonts w:hint="cs"/>
          <w:rtl/>
        </w:rPr>
        <w:t xml:space="preserve">ה'בכח' </w:t>
      </w:r>
      <w:r w:rsidR="00FC6CD3">
        <w:rPr>
          <w:rFonts w:hint="cs"/>
          <w:rtl/>
        </w:rPr>
        <w:t xml:space="preserve">שבו </w:t>
      </w:r>
      <w:r w:rsidR="00DA23E6">
        <w:rPr>
          <w:rFonts w:hint="cs"/>
          <w:rtl/>
        </w:rPr>
        <w:t xml:space="preserve">ולא </w:t>
      </w:r>
      <w:r w:rsidR="00FC6CD3">
        <w:rPr>
          <w:rFonts w:hint="cs"/>
          <w:rtl/>
        </w:rPr>
        <w:t>מבחינת</w:t>
      </w:r>
      <w:r w:rsidR="004D2C27">
        <w:rPr>
          <w:rFonts w:hint="cs"/>
          <w:rtl/>
        </w:rPr>
        <w:t xml:space="preserve"> </w:t>
      </w:r>
      <w:r w:rsidR="00DA23E6">
        <w:rPr>
          <w:rFonts w:hint="cs"/>
          <w:rtl/>
        </w:rPr>
        <w:t>מה שיוצא א</w:t>
      </w:r>
      <w:r w:rsidR="00D65C55">
        <w:rPr>
          <w:rFonts w:hint="cs"/>
          <w:rtl/>
        </w:rPr>
        <w:t>ל</w:t>
      </w:r>
      <w:r w:rsidR="00DA23E6">
        <w:rPr>
          <w:rFonts w:hint="cs"/>
          <w:rtl/>
        </w:rPr>
        <w:t xml:space="preserve"> הפועל</w:t>
      </w:r>
      <w:r w:rsidR="00D65C55">
        <w:rPr>
          <w:rFonts w:hint="cs"/>
          <w:rtl/>
        </w:rPr>
        <w:t xml:space="preserve"> ממנו</w:t>
      </w:r>
      <w:r w:rsidR="00DA23E6">
        <w:rPr>
          <w:rFonts w:hint="cs"/>
          <w:rtl/>
        </w:rPr>
        <w:t>.</w:t>
      </w:r>
    </w:p>
    <w:p w14:paraId="40E79076" w14:textId="251E32DB" w:rsidR="00EA4614" w:rsidRDefault="00D65C55">
      <w:pPr>
        <w:pStyle w:val="FootnoteText"/>
      </w:pPr>
      <w:r>
        <w:rPr>
          <w:rFonts w:hint="cs"/>
          <w:rtl/>
        </w:rPr>
        <w:t xml:space="preserve">עיין מטאפיזיקה תטא </w:t>
      </w:r>
      <w:r w:rsidR="00735A4F">
        <w:rPr>
          <w:rFonts w:hint="cs"/>
          <w:rtl/>
        </w:rPr>
        <w:t>פרק ח' (1050ב משורה 7), שמה שמציאותו הכרחית הוא תמיד בפועל גמור</w:t>
      </w:r>
      <w:r w:rsidR="00FC2010">
        <w:rPr>
          <w:rFonts w:hint="cs"/>
          <w:rtl/>
        </w:rPr>
        <w:t xml:space="preserve"> (שם כתב שיש גם דברים שהם הכרחי מציאות לא מסיבת עצמם, וכמו התנועה</w:t>
      </w:r>
      <w:r w:rsidR="004D2C27">
        <w:rPr>
          <w:rFonts w:hint="cs"/>
          <w:rtl/>
        </w:rPr>
        <w:t xml:space="preserve"> הנצחית, ומשם מקור למה שכתב המורה נבוכים </w:t>
      </w:r>
      <w:r w:rsidR="00933286">
        <w:rPr>
          <w:rFonts w:hint="cs"/>
          <w:rtl/>
        </w:rPr>
        <w:t>ב' א' בעיון השלישי, שכתבו החוקרים שמקורו מאבן סינא והרמב</w:t>
      </w:r>
      <w:r w:rsidR="00F055C8">
        <w:rPr>
          <w:rtl/>
        </w:rPr>
        <w:t>"</w:t>
      </w:r>
      <w:r w:rsidR="00933286">
        <w:rPr>
          <w:rFonts w:hint="cs"/>
          <w:rtl/>
        </w:rPr>
        <w:t xml:space="preserve">ם עצמו כתב שם שמקורו מאריסטו אם כי אריסטו </w:t>
      </w:r>
      <w:r w:rsidR="005675E3">
        <w:rPr>
          <w:rFonts w:hint="cs"/>
          <w:rtl/>
        </w:rPr>
        <w:t>הביאו</w:t>
      </w:r>
      <w:r w:rsidR="00933286">
        <w:rPr>
          <w:rFonts w:hint="cs"/>
          <w:rtl/>
        </w:rPr>
        <w:t xml:space="preserve"> בעניין אחר</w:t>
      </w:r>
      <w:r w:rsidR="00FC2010">
        <w:rPr>
          <w:rFonts w:hint="cs"/>
          <w:rtl/>
        </w:rPr>
        <w:t>)</w:t>
      </w:r>
      <w:r w:rsidR="00773D9D">
        <w:rPr>
          <w:rFonts w:hint="cs"/>
          <w:rtl/>
        </w:rPr>
        <w:t>.</w:t>
      </w:r>
      <w:r w:rsidR="00735A4F">
        <w:rPr>
          <w:rFonts w:hint="cs"/>
          <w:rtl/>
        </w:rPr>
        <w:t xml:space="preserve"> </w:t>
      </w:r>
      <w:r w:rsidR="00643405">
        <w:rPr>
          <w:rFonts w:hint="cs"/>
          <w:rtl/>
        </w:rPr>
        <w:t xml:space="preserve">החומר הוא </w:t>
      </w:r>
      <w:r w:rsidR="00F26643">
        <w:rPr>
          <w:rFonts w:hint="cs"/>
          <w:rtl/>
        </w:rPr>
        <w:t>'</w:t>
      </w:r>
      <w:r w:rsidR="00643405">
        <w:rPr>
          <w:rFonts w:hint="cs"/>
          <w:rtl/>
        </w:rPr>
        <w:t>בכח</w:t>
      </w:r>
      <w:r w:rsidR="00F26643">
        <w:rPr>
          <w:rFonts w:hint="cs"/>
          <w:rtl/>
        </w:rPr>
        <w:t>'</w:t>
      </w:r>
      <w:r w:rsidR="00643405">
        <w:rPr>
          <w:rFonts w:hint="cs"/>
          <w:rtl/>
        </w:rPr>
        <w:t xml:space="preserve"> ביחס לצורות שאפשר שיצטיירו בו. אמנם </w:t>
      </w:r>
      <w:r w:rsidR="00233008">
        <w:rPr>
          <w:rFonts w:hint="cs"/>
          <w:rtl/>
        </w:rPr>
        <w:t>מצד קיומו כשלעצמו הרי הוא קיים באופן מוחלט ובלי ספק, ואף אם לא יצטיירו בו שום צורות הוא קיים, והרי שמצד עצמו הוא קיים בפועל אע</w:t>
      </w:r>
      <w:r w:rsidR="00F055C8">
        <w:rPr>
          <w:rtl/>
        </w:rPr>
        <w:t>"</w:t>
      </w:r>
      <w:r w:rsidR="00233008">
        <w:rPr>
          <w:rFonts w:hint="cs"/>
          <w:rtl/>
        </w:rPr>
        <w:t>פ שהוא העדר. ההעדר עצמו קיים בפועל</w:t>
      </w:r>
      <w:r w:rsidR="00F26643">
        <w:rPr>
          <w:rFonts w:hint="cs"/>
          <w:rtl/>
        </w:rPr>
        <w:t xml:space="preserve"> כהעדר</w:t>
      </w:r>
      <w:r w:rsidR="00233008">
        <w:rPr>
          <w:rFonts w:hint="cs"/>
          <w:rtl/>
        </w:rPr>
        <w:t>, רק שאנו מגדירים את הצורות כ</w:t>
      </w:r>
      <w:r w:rsidR="00F26643">
        <w:rPr>
          <w:rFonts w:hint="cs"/>
          <w:rtl/>
        </w:rPr>
        <w:t>'</w:t>
      </w:r>
      <w:r w:rsidR="00233008">
        <w:rPr>
          <w:rFonts w:hint="cs"/>
          <w:rtl/>
        </w:rPr>
        <w:t>יש</w:t>
      </w:r>
      <w:r w:rsidR="00F26643">
        <w:rPr>
          <w:rFonts w:hint="cs"/>
          <w:rtl/>
        </w:rPr>
        <w:t>'</w:t>
      </w:r>
      <w:r w:rsidR="00233008">
        <w:rPr>
          <w:rFonts w:hint="cs"/>
          <w:rtl/>
        </w:rPr>
        <w:t xml:space="preserve"> כ</w:t>
      </w:r>
      <w:r w:rsidR="00F26643">
        <w:rPr>
          <w:rFonts w:hint="cs"/>
          <w:rtl/>
        </w:rPr>
        <w:t>י</w:t>
      </w:r>
      <w:r w:rsidR="00233008">
        <w:rPr>
          <w:rFonts w:hint="cs"/>
          <w:rtl/>
        </w:rPr>
        <w:t xml:space="preserve"> הן גילוי והחומר אינו גילוי, </w:t>
      </w:r>
      <w:r w:rsidR="00F26643">
        <w:rPr>
          <w:rFonts w:hint="cs"/>
          <w:rtl/>
        </w:rPr>
        <w:t>וביחס אליהן החומר הוא רק אפשרות שיימצא 'יש'', ומצד עצמו אינו יש, ולכן אמר עליו אריסטו שאינו בפועל, והבן.</w:t>
      </w:r>
      <w:r w:rsidR="00233008">
        <w:rPr>
          <w:rFonts w:hint="cs"/>
          <w:rtl/>
        </w:rPr>
        <w:t xml:space="preserve"> </w:t>
      </w:r>
      <w:r w:rsidR="00DA23E6">
        <w:rPr>
          <w:rFonts w:hint="cs"/>
          <w:rtl/>
        </w:rPr>
        <w:t xml:space="preserve"> </w:t>
      </w:r>
      <w:r w:rsidR="007909DD">
        <w:rPr>
          <w:rFonts w:hint="cs"/>
          <w:rtl/>
        </w:rPr>
        <w:t xml:space="preserve">  </w:t>
      </w:r>
    </w:p>
  </w:footnote>
  <w:footnote w:id="333">
    <w:p w14:paraId="4281DF07" w14:textId="11BA6103" w:rsidR="00147D42" w:rsidRPr="008620EE" w:rsidRDefault="00296D30" w:rsidP="00147D42">
      <w:pPr>
        <w:pStyle w:val="FootnoteText"/>
        <w:rPr>
          <w:rtl/>
        </w:rPr>
      </w:pPr>
      <w:r>
        <w:rPr>
          <w:rStyle w:val="FootnoteReference"/>
        </w:rPr>
        <w:footnoteRef/>
      </w:r>
      <w:r>
        <w:rPr>
          <w:rtl/>
        </w:rPr>
        <w:t xml:space="preserve"> </w:t>
      </w:r>
      <w:r w:rsidRPr="00296D30">
        <w:rPr>
          <w:rFonts w:cs="Times New Roman" w:hint="eastAsia"/>
          <w:rtl/>
          <w:lang w:bidi="ar-SA"/>
        </w:rPr>
        <w:t>ما</w:t>
      </w:r>
      <w:r w:rsidRPr="00296D30">
        <w:rPr>
          <w:rFonts w:cs="Times New Roman"/>
          <w:rtl/>
          <w:lang w:bidi="ar-SA"/>
        </w:rPr>
        <w:t xml:space="preserve"> </w:t>
      </w:r>
      <w:r w:rsidRPr="00296D30">
        <w:rPr>
          <w:rFonts w:cs="Times New Roman" w:hint="eastAsia"/>
          <w:rtl/>
          <w:lang w:bidi="ar-SA"/>
        </w:rPr>
        <w:t>له</w:t>
      </w:r>
      <w:r w:rsidRPr="00296D30">
        <w:rPr>
          <w:rFonts w:cs="Times New Roman"/>
          <w:rtl/>
          <w:lang w:bidi="ar-SA"/>
        </w:rPr>
        <w:t xml:space="preserve"> </w:t>
      </w:r>
      <w:r w:rsidRPr="00296D30">
        <w:rPr>
          <w:rFonts w:cs="Times New Roman" w:hint="eastAsia"/>
          <w:rtl/>
          <w:lang w:bidi="ar-SA"/>
        </w:rPr>
        <w:t>ذات</w:t>
      </w:r>
      <w:r w:rsidRPr="00296D30">
        <w:rPr>
          <w:rFonts w:cs="Times New Roman"/>
          <w:rtl/>
          <w:lang w:bidi="ar-SA"/>
        </w:rPr>
        <w:t xml:space="preserve"> </w:t>
      </w:r>
      <w:r w:rsidRPr="00296D30">
        <w:rPr>
          <w:rFonts w:cs="Times New Roman" w:hint="eastAsia"/>
          <w:rtl/>
          <w:lang w:bidi="ar-SA"/>
        </w:rPr>
        <w:t>حاصلة</w:t>
      </w:r>
      <w:r w:rsidRPr="00296D30">
        <w:rPr>
          <w:rFonts w:cs="Times New Roman"/>
          <w:rtl/>
          <w:lang w:bidi="ar-SA"/>
        </w:rPr>
        <w:t xml:space="preserve"> </w:t>
      </w:r>
      <w:r w:rsidR="00311E33" w:rsidRPr="00311E33">
        <w:rPr>
          <w:rFonts w:cs="Times New Roman" w:hint="eastAsia"/>
          <w:rtl/>
          <w:lang w:bidi="ar-SA"/>
        </w:rPr>
        <w:t>بنفسه</w:t>
      </w:r>
      <w:r w:rsidR="00147D42" w:rsidRPr="008620EE">
        <w:rPr>
          <w:rtl/>
        </w:rPr>
        <w:t>. מקגיניס תרגם:</w:t>
      </w:r>
    </w:p>
    <w:p w14:paraId="5C6D1482" w14:textId="3E43D66B" w:rsidR="00296D30" w:rsidRPr="008620EE" w:rsidRDefault="00F055C8" w:rsidP="008620EE">
      <w:pPr>
        <w:pStyle w:val="FootnoteText"/>
        <w:bidi w:val="0"/>
        <w:rPr>
          <w:rFonts w:cs="Times New Roman"/>
        </w:rPr>
      </w:pPr>
      <w:r>
        <w:t>"</w:t>
      </w:r>
      <w:r w:rsidR="00147D42" w:rsidRPr="008620EE">
        <w:t>its being present and existing cannot be as some</w:t>
      </w:r>
      <w:r w:rsidR="00147D42" w:rsidRPr="008620EE">
        <w:rPr>
          <w:rtl/>
        </w:rPr>
        <w:t xml:space="preserve"> </w:t>
      </w:r>
      <w:r w:rsidR="00147D42" w:rsidRPr="008620EE">
        <w:t>presently existing determinate entity in itself</w:t>
      </w:r>
      <w:r>
        <w:t>"</w:t>
      </w:r>
      <w:r w:rsidR="008620EE" w:rsidRPr="008620EE">
        <w:rPr>
          <w:rtl/>
        </w:rPr>
        <w:t>.</w:t>
      </w:r>
    </w:p>
  </w:footnote>
  <w:footnote w:id="334">
    <w:p w14:paraId="6A730F40" w14:textId="665B1E30" w:rsidR="00212EC1" w:rsidRDefault="00212EC1">
      <w:pPr>
        <w:pStyle w:val="FootnoteText"/>
      </w:pPr>
      <w:r>
        <w:rPr>
          <w:rStyle w:val="FootnoteReference"/>
        </w:rPr>
        <w:footnoteRef/>
      </w:r>
      <w:r>
        <w:rPr>
          <w:rtl/>
        </w:rPr>
        <w:t xml:space="preserve"> </w:t>
      </w:r>
      <w:r w:rsidR="00BA3EC0">
        <w:rPr>
          <w:rFonts w:hint="cs"/>
          <w:rtl/>
        </w:rPr>
        <w:t>למשל העדר צבע לבן (ליתר דיוק לא-שחור) בקיר שחור, או העדר אפרוח בביצה</w:t>
      </w:r>
      <w:r w:rsidR="004F59F4">
        <w:rPr>
          <w:rFonts w:hint="cs"/>
          <w:rtl/>
        </w:rPr>
        <w:t xml:space="preserve">, אלה העדר של דבר </w:t>
      </w:r>
      <w:r w:rsidR="009C463A">
        <w:rPr>
          <w:rFonts w:hint="cs"/>
          <w:rtl/>
        </w:rPr>
        <w:t>מסוים</w:t>
      </w:r>
      <w:r w:rsidR="004F59F4">
        <w:rPr>
          <w:rFonts w:hint="cs"/>
          <w:rtl/>
        </w:rPr>
        <w:t xml:space="preserve"> בדבר </w:t>
      </w:r>
      <w:r w:rsidR="009C463A">
        <w:rPr>
          <w:rFonts w:hint="cs"/>
          <w:rtl/>
        </w:rPr>
        <w:t>מסוים</w:t>
      </w:r>
      <w:r w:rsidR="004F59F4">
        <w:rPr>
          <w:rFonts w:hint="cs"/>
          <w:rtl/>
        </w:rPr>
        <w:t xml:space="preserve">. </w:t>
      </w:r>
      <w:r w:rsidR="00BA3EC0">
        <w:rPr>
          <w:rFonts w:hint="cs"/>
          <w:rtl/>
        </w:rPr>
        <w:t xml:space="preserve">בהעדר נמצא ה'בכח' של הקיר להתהוות להיות לבן כי קיר לבן לא יכול להתהוות לקיר לבן, </w:t>
      </w:r>
      <w:r w:rsidR="00BA3EC0">
        <w:rPr>
          <w:rFonts w:hint="cs"/>
          <w:rtl/>
        </w:rPr>
        <w:t xml:space="preserve">וה'בכח' של הביצה להתהוות להיות אפרוח, שהרי אפרוח לא יכול להתהוות להיות אפרוח.  </w:t>
      </w:r>
    </w:p>
  </w:footnote>
  <w:footnote w:id="335">
    <w:p w14:paraId="4F223594" w14:textId="4FF485E3" w:rsidR="00826A8A" w:rsidRDefault="003A26B5" w:rsidP="00B70A54">
      <w:pPr>
        <w:pStyle w:val="FootnoteText"/>
        <w:rPr>
          <w:rtl/>
        </w:rPr>
      </w:pPr>
      <w:r>
        <w:rPr>
          <w:rStyle w:val="FootnoteReference"/>
        </w:rPr>
        <w:footnoteRef/>
      </w:r>
      <w:r>
        <w:rPr>
          <w:rtl/>
        </w:rPr>
        <w:t xml:space="preserve"> </w:t>
      </w:r>
      <w:r w:rsidR="007C45BB">
        <w:rPr>
          <w:rFonts w:hint="cs"/>
          <w:rtl/>
        </w:rPr>
        <w:t>ההעדר</w:t>
      </w:r>
      <w:r w:rsidR="00FA7955">
        <w:rPr>
          <w:rtl/>
        </w:rPr>
        <w:fldChar w:fldCharType="begin"/>
      </w:r>
      <w:r w:rsidR="00FA7955">
        <w:instrText xml:space="preserve"> XE "</w:instrText>
      </w:r>
      <w:r w:rsidR="00FA7955" w:rsidRPr="0081648F">
        <w:rPr>
          <w:rFonts w:hint="cs"/>
          <w:rtl/>
        </w:rPr>
        <w:instrText>ההעדר</w:instrText>
      </w:r>
      <w:r w:rsidR="00FA7955">
        <w:instrText xml:space="preserve">" </w:instrText>
      </w:r>
      <w:r w:rsidR="00FA7955">
        <w:rPr>
          <w:rtl/>
        </w:rPr>
        <w:fldChar w:fldCharType="end"/>
      </w:r>
      <w:r w:rsidR="007C45BB">
        <w:rPr>
          <w:rFonts w:hint="cs"/>
          <w:rtl/>
        </w:rPr>
        <w:t xml:space="preserve"> שהוא ההיולי</w:t>
      </w:r>
      <w:r w:rsidR="002429B1">
        <w:rPr>
          <w:rtl/>
        </w:rPr>
        <w:fldChar w:fldCharType="begin"/>
      </w:r>
      <w:r w:rsidR="002429B1">
        <w:instrText xml:space="preserve"> XE "</w:instrText>
      </w:r>
      <w:r w:rsidR="002429B1" w:rsidRPr="00823AB1">
        <w:rPr>
          <w:rFonts w:hint="cs"/>
          <w:rtl/>
        </w:rPr>
        <w:instrText>ההיולי</w:instrText>
      </w:r>
      <w:r w:rsidR="002429B1">
        <w:instrText xml:space="preserve">" </w:instrText>
      </w:r>
      <w:r w:rsidR="002429B1">
        <w:rPr>
          <w:rtl/>
        </w:rPr>
        <w:fldChar w:fldCharType="end"/>
      </w:r>
      <w:r w:rsidR="007C45BB">
        <w:rPr>
          <w:rFonts w:hint="cs"/>
          <w:rtl/>
        </w:rPr>
        <w:t xml:space="preserve">, הנברא הראשון, הבלתי מוגדר, שעליו נאמר שהאחד ברא אחד, </w:t>
      </w:r>
      <w:r w:rsidR="00A233D9">
        <w:rPr>
          <w:rFonts w:hint="cs"/>
          <w:rtl/>
        </w:rPr>
        <w:t>דובר בו בסעיף הקודם. כאן הכוונה לאופן שבו ההיולי מתגלה בתנועת ההתהוות וההפסד</w:t>
      </w:r>
      <w:r w:rsidR="002429B1">
        <w:rPr>
          <w:rtl/>
        </w:rPr>
        <w:fldChar w:fldCharType="begin"/>
      </w:r>
      <w:r w:rsidR="002429B1">
        <w:instrText xml:space="preserve"> XE "</w:instrText>
      </w:r>
      <w:r w:rsidR="002429B1" w:rsidRPr="00A85C92">
        <w:rPr>
          <w:rFonts w:hint="cs"/>
          <w:rtl/>
        </w:rPr>
        <w:instrText>תנועת ההתהוות וההפסד</w:instrText>
      </w:r>
      <w:r w:rsidR="002429B1">
        <w:instrText xml:space="preserve">" </w:instrText>
      </w:r>
      <w:r w:rsidR="002429B1">
        <w:rPr>
          <w:rtl/>
        </w:rPr>
        <w:fldChar w:fldCharType="end"/>
      </w:r>
      <w:r w:rsidR="00A233D9">
        <w:rPr>
          <w:rFonts w:hint="cs"/>
          <w:rtl/>
        </w:rPr>
        <w:t xml:space="preserve"> שמתמדת בעולם</w:t>
      </w:r>
      <w:r w:rsidR="00B70A54">
        <w:rPr>
          <w:rFonts w:hint="cs"/>
          <w:rtl/>
        </w:rPr>
        <w:t>, שהשינוי מצריך שיהיה העדר שאליו יהיה השינוי, והוא ה'בכח' של מה שמשתנה. למשל קי</w:t>
      </w:r>
      <w:r w:rsidR="0026501C">
        <w:rPr>
          <w:rFonts w:hint="cs"/>
          <w:rtl/>
        </w:rPr>
        <w:t>ר</w:t>
      </w:r>
      <w:r w:rsidR="00B70A54">
        <w:rPr>
          <w:rFonts w:hint="cs"/>
          <w:rtl/>
        </w:rPr>
        <w:t xml:space="preserve"> שחור יכול להשתנות</w:t>
      </w:r>
      <w:r w:rsidR="0026501C">
        <w:rPr>
          <w:rFonts w:hint="cs"/>
          <w:rtl/>
        </w:rPr>
        <w:t xml:space="preserve"> </w:t>
      </w:r>
      <w:r w:rsidR="00B70A54">
        <w:rPr>
          <w:rFonts w:hint="cs"/>
          <w:rtl/>
        </w:rPr>
        <w:t>ל</w:t>
      </w:r>
      <w:r w:rsidR="0026501C">
        <w:rPr>
          <w:rFonts w:hint="cs"/>
          <w:rtl/>
        </w:rPr>
        <w:t>קיר לבן כי בקיר יש העדר לבן, וביצה יכולה להפוך לאפרוח כי יש בה העדר אפרוח, כלומר יש בה אפרוח בכח, יש בה פוטנציאל לאפרוח, ו</w:t>
      </w:r>
      <w:r w:rsidR="00143E81">
        <w:rPr>
          <w:rFonts w:hint="cs"/>
          <w:rtl/>
        </w:rPr>
        <w:t>אל</w:t>
      </w:r>
      <w:r w:rsidR="0026501C">
        <w:rPr>
          <w:rFonts w:hint="cs"/>
          <w:rtl/>
        </w:rPr>
        <w:t xml:space="preserve"> תוך זה מש</w:t>
      </w:r>
      <w:r w:rsidR="00143E81">
        <w:rPr>
          <w:rFonts w:hint="cs"/>
          <w:rtl/>
        </w:rPr>
        <w:t>ת</w:t>
      </w:r>
      <w:r w:rsidR="0026501C">
        <w:rPr>
          <w:rFonts w:hint="cs"/>
          <w:rtl/>
        </w:rPr>
        <w:t>נה</w:t>
      </w:r>
      <w:r w:rsidR="00143E81">
        <w:rPr>
          <w:rFonts w:hint="cs"/>
          <w:rtl/>
        </w:rPr>
        <w:t xml:space="preserve"> ה</w:t>
      </w:r>
      <w:r w:rsidR="0026501C">
        <w:rPr>
          <w:rFonts w:hint="cs"/>
          <w:rtl/>
        </w:rPr>
        <w:t>ביצה להיות אפרוח בפועל.</w:t>
      </w:r>
      <w:r w:rsidR="00143E81">
        <w:rPr>
          <w:rFonts w:hint="cs"/>
          <w:rtl/>
        </w:rPr>
        <w:t xml:space="preserve"> אחרי שיש אפרוח הוא </w:t>
      </w:r>
      <w:r w:rsidR="00826A8A">
        <w:rPr>
          <w:rFonts w:hint="cs"/>
          <w:rtl/>
        </w:rPr>
        <w:t xml:space="preserve">כבר </w:t>
      </w:r>
      <w:r w:rsidR="00143E81">
        <w:rPr>
          <w:rFonts w:hint="cs"/>
          <w:rtl/>
        </w:rPr>
        <w:t>לא יכול להשתנות לאפרוח כי אין העדר אפרוח אלא אפרוח שנמצא בפועל.</w:t>
      </w:r>
    </w:p>
    <w:p w14:paraId="3945DC75" w14:textId="672A3E73" w:rsidR="0016465A" w:rsidRDefault="00826A8A" w:rsidP="00B70A54">
      <w:pPr>
        <w:pStyle w:val="FootnoteText"/>
        <w:rPr>
          <w:rtl/>
        </w:rPr>
      </w:pPr>
      <w:r>
        <w:rPr>
          <w:rFonts w:hint="cs"/>
          <w:rtl/>
        </w:rPr>
        <w:t>ההעדר שנמצא בכל דבר שהוא בתנועת ההתהוות וההפסד המתמדת, שהוא עניין התנועה והשינוי</w:t>
      </w:r>
      <w:r w:rsidR="00B443AA">
        <w:rPr>
          <w:rFonts w:hint="cs"/>
          <w:rtl/>
        </w:rPr>
        <w:t>, החיים</w:t>
      </w:r>
      <w:r>
        <w:rPr>
          <w:rFonts w:hint="cs"/>
          <w:rtl/>
        </w:rPr>
        <w:t xml:space="preserve">, </w:t>
      </w:r>
      <w:r w:rsidR="003B290C">
        <w:rPr>
          <w:rFonts w:hint="cs"/>
          <w:rtl/>
        </w:rPr>
        <w:t xml:space="preserve">מציאותו מקרית, כי </w:t>
      </w:r>
      <w:r w:rsidR="00EE36D4">
        <w:rPr>
          <w:rFonts w:hint="cs"/>
          <w:rtl/>
        </w:rPr>
        <w:t xml:space="preserve">כשהקיר לבן אין בו העדר לבן, </w:t>
      </w:r>
      <w:r w:rsidR="00B1413E">
        <w:rPr>
          <w:rFonts w:hint="cs"/>
          <w:rtl/>
        </w:rPr>
        <w:t>וכשהוא משתנה לשחור נהיה בו העדר לבן אחרי שלא היה</w:t>
      </w:r>
      <w:r w:rsidR="00CD2B8C">
        <w:rPr>
          <w:rFonts w:hint="cs"/>
          <w:rtl/>
        </w:rPr>
        <w:t xml:space="preserve"> העדר לבן</w:t>
      </w:r>
      <w:r w:rsidR="00B1413E">
        <w:rPr>
          <w:rFonts w:hint="cs"/>
          <w:rtl/>
        </w:rPr>
        <w:t xml:space="preserve">. </w:t>
      </w:r>
      <w:r w:rsidR="002D3AE3">
        <w:rPr>
          <w:rFonts w:hint="cs"/>
          <w:rtl/>
        </w:rPr>
        <w:t xml:space="preserve">מציאותו של </w:t>
      </w:r>
      <w:r w:rsidR="004426AB">
        <w:rPr>
          <w:rFonts w:hint="cs"/>
          <w:rtl/>
        </w:rPr>
        <w:t>העדר הלבן הוא תוצאה של מציאותו של השחור ובאה אחריה</w:t>
      </w:r>
      <w:r w:rsidR="00B443AA">
        <w:rPr>
          <w:rFonts w:hint="cs"/>
          <w:rtl/>
        </w:rPr>
        <w:t xml:space="preserve"> ותלויה בה</w:t>
      </w:r>
      <w:r w:rsidR="006B1D02">
        <w:rPr>
          <w:rFonts w:hint="cs"/>
          <w:rtl/>
        </w:rPr>
        <w:t xml:space="preserve">, ולא שיש לו מציאות עצמאית. </w:t>
      </w:r>
      <w:r w:rsidR="002D3AE3">
        <w:rPr>
          <w:rFonts w:hint="cs"/>
          <w:rtl/>
        </w:rPr>
        <w:t xml:space="preserve">הכוונה ב'מקרה' כאן היא </w:t>
      </w:r>
      <w:r w:rsidR="00DE1C17">
        <w:rPr>
          <w:rFonts w:hint="cs"/>
          <w:rtl/>
        </w:rPr>
        <w:t xml:space="preserve">שמציאותו אינה בעצמותו אלא ממקור חיצוני לו, ועל דרך שהשתמש בלשון זה </w:t>
      </w:r>
      <w:r w:rsidR="002D3AE3">
        <w:rPr>
          <w:rFonts w:hint="cs"/>
          <w:rtl/>
        </w:rPr>
        <w:t>במורה נבוכים א' נ</w:t>
      </w:r>
      <w:r w:rsidR="00F055C8">
        <w:rPr>
          <w:rtl/>
        </w:rPr>
        <w:t>"</w:t>
      </w:r>
      <w:r w:rsidR="002D3AE3">
        <w:rPr>
          <w:rFonts w:hint="cs"/>
          <w:rtl/>
        </w:rPr>
        <w:t>ז</w:t>
      </w:r>
      <w:r w:rsidR="0016465A">
        <w:rPr>
          <w:rFonts w:hint="cs"/>
          <w:rtl/>
        </w:rPr>
        <w:t>:</w:t>
      </w:r>
      <w:r w:rsidR="002D3AE3">
        <w:rPr>
          <w:rFonts w:hint="cs"/>
          <w:rtl/>
        </w:rPr>
        <w:t xml:space="preserve"> </w:t>
      </w:r>
    </w:p>
    <w:p w14:paraId="1B71B841" w14:textId="405CC040" w:rsidR="003A26B5" w:rsidRDefault="00F055C8" w:rsidP="00B70A54">
      <w:pPr>
        <w:pStyle w:val="FootnoteText"/>
        <w:rPr>
          <w:rtl/>
        </w:rPr>
      </w:pPr>
      <w:r>
        <w:rPr>
          <w:rtl/>
        </w:rPr>
        <w:t>"</w:t>
      </w:r>
      <w:r w:rsidR="0016465A" w:rsidRPr="0016465A">
        <w:rPr>
          <w:rtl/>
        </w:rPr>
        <w:t>ידוע כי המציאות הוא מקרה קרה לנמצא</w:t>
      </w:r>
      <w:r w:rsidR="00606AEB">
        <w:rPr>
          <w:rFonts w:hint="cs"/>
          <w:rtl/>
        </w:rPr>
        <w:t>,</w:t>
      </w:r>
      <w:r w:rsidR="0016465A" w:rsidRPr="0016465A">
        <w:rPr>
          <w:rtl/>
        </w:rPr>
        <w:t xml:space="preserve"> ולזה הוא ענין נוסף על מהות הנמצא. זהו הדבר המבואר הראוי לכל מה שלמציאותו סיבה</w:t>
      </w:r>
      <w:r w:rsidR="00606AEB">
        <w:rPr>
          <w:rFonts w:hint="cs"/>
          <w:rtl/>
        </w:rPr>
        <w:t>,</w:t>
      </w:r>
      <w:r w:rsidR="0016465A" w:rsidRPr="0016465A">
        <w:rPr>
          <w:rtl/>
        </w:rPr>
        <w:t xml:space="preserve"> שמציאותו ענין נוסף על מהותו. אמנם מי שאין סיבה למציאותו</w:t>
      </w:r>
      <w:r w:rsidR="00606AEB">
        <w:rPr>
          <w:rFonts w:hint="cs"/>
          <w:rtl/>
        </w:rPr>
        <w:t>,</w:t>
      </w:r>
      <w:r w:rsidR="0016465A" w:rsidRPr="0016465A">
        <w:rPr>
          <w:rtl/>
        </w:rPr>
        <w:t xml:space="preserve"> והוא </w:t>
      </w:r>
      <w:r w:rsidR="0016465A" w:rsidRPr="0016465A">
        <w:rPr>
          <w:rtl/>
        </w:rPr>
        <w:t>האלוה ית' וית' לבדו</w:t>
      </w:r>
      <w:r w:rsidR="00606AEB">
        <w:rPr>
          <w:rFonts w:hint="cs"/>
          <w:rtl/>
        </w:rPr>
        <w:t>,</w:t>
      </w:r>
      <w:r w:rsidR="0016465A" w:rsidRPr="0016465A">
        <w:rPr>
          <w:rtl/>
        </w:rPr>
        <w:t xml:space="preserve"> כי זה הוא ענין אמרנו עליו ית' שהוא מחויב המציאות</w:t>
      </w:r>
      <w:r w:rsidR="00606AEB">
        <w:rPr>
          <w:rFonts w:hint="cs"/>
          <w:rtl/>
        </w:rPr>
        <w:t>,</w:t>
      </w:r>
      <w:r w:rsidR="0016465A" w:rsidRPr="0016465A">
        <w:rPr>
          <w:rtl/>
        </w:rPr>
        <w:t xml:space="preserve"> תהיה מציאותו עצמו ואמתתו</w:t>
      </w:r>
      <w:r w:rsidR="009F4663">
        <w:rPr>
          <w:rFonts w:hint="cs"/>
          <w:rtl/>
        </w:rPr>
        <w:t>,</w:t>
      </w:r>
      <w:r w:rsidR="0016465A" w:rsidRPr="0016465A">
        <w:rPr>
          <w:rtl/>
        </w:rPr>
        <w:t xml:space="preserve"> ועצמו מציאותו</w:t>
      </w:r>
      <w:r w:rsidR="009F4663">
        <w:rPr>
          <w:rFonts w:hint="cs"/>
          <w:rtl/>
        </w:rPr>
        <w:t>,</w:t>
      </w:r>
      <w:r w:rsidR="0016465A" w:rsidRPr="0016465A">
        <w:rPr>
          <w:rtl/>
        </w:rPr>
        <w:t xml:space="preserve"> ואינו עצם קרה לו שנמצא ותהיה מציאותו ענין נוסף עליו</w:t>
      </w:r>
      <w:r w:rsidR="009F4663">
        <w:rPr>
          <w:rFonts w:hint="cs"/>
          <w:rtl/>
        </w:rPr>
        <w:t>.</w:t>
      </w:r>
      <w:r w:rsidR="0016465A" w:rsidRPr="0016465A">
        <w:rPr>
          <w:rtl/>
        </w:rPr>
        <w:t xml:space="preserve"> שהוא מחויב המציאה תמיד אין מתחדש עליו ולא מקרה קרה לו.</w:t>
      </w:r>
      <w:r>
        <w:rPr>
          <w:rtl/>
        </w:rPr>
        <w:t>"</w:t>
      </w:r>
      <w:r w:rsidR="00143E81">
        <w:rPr>
          <w:rFonts w:hint="cs"/>
          <w:rtl/>
        </w:rPr>
        <w:t xml:space="preserve"> </w:t>
      </w:r>
      <w:r w:rsidR="00A233D9">
        <w:rPr>
          <w:rFonts w:hint="cs"/>
          <w:rtl/>
        </w:rPr>
        <w:t xml:space="preserve"> </w:t>
      </w:r>
    </w:p>
    <w:p w14:paraId="0AE4A97D" w14:textId="34095EA9" w:rsidR="009F4663" w:rsidRDefault="006B047E" w:rsidP="00B70A54">
      <w:pPr>
        <w:pStyle w:val="FootnoteText"/>
        <w:rPr>
          <w:rtl/>
        </w:rPr>
      </w:pPr>
      <w:r>
        <w:rPr>
          <w:rFonts w:hint="cs"/>
          <w:rtl/>
        </w:rPr>
        <w:t>הדברים כולם הם הצטיירות צורות בהיולי שהוא כולו רק העדר</w:t>
      </w:r>
      <w:r w:rsidR="008A1962">
        <w:rPr>
          <w:rFonts w:hint="cs"/>
          <w:rtl/>
        </w:rPr>
        <w:t xml:space="preserve"> (וכמו שהילד</w:t>
      </w:r>
      <w:r w:rsidR="004C63E0">
        <w:rPr>
          <w:rFonts w:hint="cs"/>
          <w:rtl/>
        </w:rPr>
        <w:t xml:space="preserve"> אורי,</w:t>
      </w:r>
      <w:r w:rsidR="008A1962">
        <w:rPr>
          <w:rFonts w:hint="cs"/>
          <w:rtl/>
        </w:rPr>
        <w:t xml:space="preserve"> שרחל </w:t>
      </w:r>
      <w:r w:rsidR="004C63E0">
        <w:rPr>
          <w:rFonts w:hint="cs"/>
          <w:rtl/>
        </w:rPr>
        <w:t xml:space="preserve">המשוררת </w:t>
      </w:r>
      <w:r w:rsidR="008A1962">
        <w:rPr>
          <w:rFonts w:hint="cs"/>
          <w:rtl/>
        </w:rPr>
        <w:t>כתבה עליו בשיר 'עקרה'</w:t>
      </w:r>
      <w:r w:rsidR="004C63E0">
        <w:rPr>
          <w:rFonts w:hint="cs"/>
          <w:rtl/>
        </w:rPr>
        <w:t>,</w:t>
      </w:r>
      <w:r w:rsidR="008A1962">
        <w:rPr>
          <w:rFonts w:hint="cs"/>
          <w:rtl/>
        </w:rPr>
        <w:t xml:space="preserve"> </w:t>
      </w:r>
      <w:r w:rsidR="004C63E0">
        <w:rPr>
          <w:rFonts w:hint="cs"/>
          <w:rtl/>
        </w:rPr>
        <w:t>הוא מצוייר בהעדר שלה, הגעגוע שלה לילד, והגעגוע הזה, ההעדר, הוא שורש מציאותו ומהות הווייתו)</w:t>
      </w:r>
      <w:r>
        <w:rPr>
          <w:rFonts w:hint="cs"/>
          <w:rtl/>
        </w:rPr>
        <w:t>, וההעדר הוא שורש מציאותם</w:t>
      </w:r>
      <w:r w:rsidR="004619A1">
        <w:rPr>
          <w:rFonts w:hint="cs"/>
          <w:rtl/>
        </w:rPr>
        <w:t xml:space="preserve"> (השורש הראשון הוא מה שאליו מתגעגעים, מה שנעדר, והוא הבורא עצמו</w:t>
      </w:r>
      <w:r w:rsidR="004F0396">
        <w:rPr>
          <w:rFonts w:hint="cs"/>
          <w:rtl/>
        </w:rPr>
        <w:t>, אבל הגילוי שלו דרך הצורות יוצא אל הפועל בתיווך ההעדר)</w:t>
      </w:r>
      <w:r>
        <w:rPr>
          <w:rFonts w:hint="cs"/>
          <w:rtl/>
        </w:rPr>
        <w:t xml:space="preserve">, </w:t>
      </w:r>
      <w:r w:rsidR="006761C0">
        <w:rPr>
          <w:rFonts w:hint="cs"/>
          <w:rtl/>
        </w:rPr>
        <w:t xml:space="preserve">ומציאותם אינה בעצמותם, לא בסיבת עצמם, ולכם היא נקראת מקרית להם. </w:t>
      </w:r>
    </w:p>
    <w:p w14:paraId="7983AE14" w14:textId="2AC2C9B3" w:rsidR="00897CFF" w:rsidRDefault="00897CFF" w:rsidP="00B70A54">
      <w:pPr>
        <w:pStyle w:val="FootnoteText"/>
        <w:rPr>
          <w:rtl/>
        </w:rPr>
      </w:pPr>
      <w:r>
        <w:rPr>
          <w:rFonts w:hint="cs"/>
          <w:rtl/>
        </w:rPr>
        <w:t xml:space="preserve">בהסתכלות על מדרגה יותר נמוכה של העולם אנו אומרים שהדברים יש להם מציאות מצד עצמם, אבל ההעדר שמעורב בשינוי שלהם מציאותו אינה מצד עצמו אלא </w:t>
      </w:r>
      <w:r w:rsidR="00252CAA">
        <w:rPr>
          <w:rFonts w:hint="cs"/>
          <w:rtl/>
        </w:rPr>
        <w:t xml:space="preserve">הוא מקבל אותה מהדברים שמשתנים, ולכן היא עוד יותר מקרית מקיומם של הדברים בעצמם. </w:t>
      </w:r>
    </w:p>
    <w:p w14:paraId="46D1D8A3" w14:textId="7488EAB9" w:rsidR="008A4E4F" w:rsidRDefault="008A4E4F" w:rsidP="00B70A54">
      <w:pPr>
        <w:pStyle w:val="FootnoteText"/>
        <w:rPr>
          <w:rtl/>
        </w:rPr>
      </w:pPr>
      <w:r>
        <w:rPr>
          <w:rFonts w:hint="cs"/>
          <w:rtl/>
        </w:rPr>
        <w:t xml:space="preserve">ההיולי הוא ההעדר </w:t>
      </w:r>
      <w:r w:rsidR="00067430">
        <w:rPr>
          <w:rFonts w:hint="cs"/>
          <w:rtl/>
        </w:rPr>
        <w:t>ש</w:t>
      </w:r>
      <w:r>
        <w:rPr>
          <w:rFonts w:hint="cs"/>
          <w:rtl/>
        </w:rPr>
        <w:t xml:space="preserve">הוא יסוד </w:t>
      </w:r>
      <w:r w:rsidR="009C463A">
        <w:rPr>
          <w:rFonts w:hint="cs"/>
          <w:rtl/>
        </w:rPr>
        <w:t>ההוויה</w:t>
      </w:r>
      <w:r>
        <w:rPr>
          <w:rFonts w:hint="cs"/>
          <w:rtl/>
        </w:rPr>
        <w:t xml:space="preserve"> כולה, וכמו שכתב האר</w:t>
      </w:r>
      <w:r w:rsidR="00F055C8">
        <w:rPr>
          <w:rtl/>
        </w:rPr>
        <w:t>"</w:t>
      </w:r>
      <w:r>
        <w:rPr>
          <w:rFonts w:hint="cs"/>
          <w:rtl/>
        </w:rPr>
        <w:t xml:space="preserve">י בספר עץ חיים שער א' ענף ב' שנעשה מקום </w:t>
      </w:r>
      <w:r w:rsidR="00067430">
        <w:rPr>
          <w:rFonts w:hint="cs"/>
          <w:rtl/>
        </w:rPr>
        <w:t xml:space="preserve">חלל פנוי וריק באמצע אור אין סוף והוא המקום לנבראים. </w:t>
      </w:r>
      <w:r w:rsidR="00360F70">
        <w:rPr>
          <w:rFonts w:hint="cs"/>
          <w:rtl/>
        </w:rPr>
        <w:t xml:space="preserve">ההעדר הוא היסוד של החיים של </w:t>
      </w:r>
      <w:r w:rsidR="009C463A">
        <w:rPr>
          <w:rFonts w:hint="cs"/>
          <w:rtl/>
        </w:rPr>
        <w:t>ההוויה</w:t>
      </w:r>
      <w:r w:rsidR="00360F70">
        <w:rPr>
          <w:rFonts w:hint="cs"/>
          <w:rtl/>
        </w:rPr>
        <w:t xml:space="preserve"> הזו, החיים הם הההשתנות המתמדת, והיא תמיד ממצב של קיום גוף </w:t>
      </w:r>
      <w:r w:rsidR="009C463A">
        <w:rPr>
          <w:rFonts w:hint="cs"/>
          <w:rtl/>
        </w:rPr>
        <w:t>מסוים</w:t>
      </w:r>
      <w:r w:rsidR="00360F70">
        <w:rPr>
          <w:rFonts w:hint="cs"/>
          <w:rtl/>
        </w:rPr>
        <w:t xml:space="preserve"> בכח ואחר כך התממשות האפשרות הזו</w:t>
      </w:r>
      <w:r w:rsidR="00BC6D63">
        <w:rPr>
          <w:rFonts w:hint="cs"/>
          <w:rtl/>
        </w:rPr>
        <w:t xml:space="preserve"> ואז שוב הפסדה וכן הלאה. חיים פירושם אש, כמו הסנה שבוער באש ואיננו אוכל, </w:t>
      </w:r>
      <w:r w:rsidR="00612CD4">
        <w:rPr>
          <w:rFonts w:hint="cs"/>
          <w:rtl/>
        </w:rPr>
        <w:t>תנועה של התבטלות המציאות, היינו אל המקור שלה, וההתבטלות לא מסתיימת באין גמור אלא בתנועת התבטלות מתמדת שלא מסתיימת להתבטל כל</w:t>
      </w:r>
      <w:r w:rsidR="006A661A">
        <w:rPr>
          <w:rFonts w:hint="cs"/>
          <w:rtl/>
        </w:rPr>
        <w:t>פ</w:t>
      </w:r>
      <w:r w:rsidR="00612CD4">
        <w:rPr>
          <w:rFonts w:hint="cs"/>
          <w:rtl/>
        </w:rPr>
        <w:t>י מקורה</w:t>
      </w:r>
      <w:r w:rsidR="006A661A">
        <w:rPr>
          <w:rFonts w:hint="cs"/>
          <w:rtl/>
        </w:rPr>
        <w:t>, ועדיין ללא הרף היא בטלה אליו</w:t>
      </w:r>
      <w:r w:rsidR="00612CD4">
        <w:rPr>
          <w:rFonts w:hint="cs"/>
          <w:rtl/>
        </w:rPr>
        <w:t>.</w:t>
      </w:r>
    </w:p>
    <w:p w14:paraId="685DDE6C" w14:textId="212157EA" w:rsidR="00F114B1" w:rsidRDefault="00F114B1" w:rsidP="00B70A54">
      <w:pPr>
        <w:pStyle w:val="FootnoteText"/>
      </w:pPr>
      <w:r>
        <w:rPr>
          <w:rFonts w:hint="cs"/>
          <w:rtl/>
        </w:rPr>
        <w:t>במורה נבוכים א' ע</w:t>
      </w:r>
      <w:r w:rsidR="00F055C8">
        <w:rPr>
          <w:rtl/>
        </w:rPr>
        <w:t>"</w:t>
      </w:r>
      <w:r>
        <w:rPr>
          <w:rFonts w:hint="cs"/>
          <w:rtl/>
        </w:rPr>
        <w:t xml:space="preserve">ב כתב שתנועת ההתהוות וההפסד של הדברים </w:t>
      </w:r>
      <w:r w:rsidR="009C463A">
        <w:rPr>
          <w:rFonts w:hint="cs"/>
          <w:rtl/>
        </w:rPr>
        <w:t>המסוימים</w:t>
      </w:r>
      <w:r>
        <w:rPr>
          <w:rFonts w:hint="cs"/>
          <w:rtl/>
        </w:rPr>
        <w:t xml:space="preserve"> היא כמו תנועת הגלגל המקיף בסיבובו. </w:t>
      </w:r>
      <w:r w:rsidR="00E1615C">
        <w:rPr>
          <w:rFonts w:hint="cs"/>
          <w:rtl/>
        </w:rPr>
        <w:t xml:space="preserve">כלומר תנועה שהיא חיים והיא מכח הכיסופים לבורא. </w:t>
      </w:r>
    </w:p>
  </w:footnote>
  <w:footnote w:id="336">
    <w:p w14:paraId="1993D34F" w14:textId="59DC730A" w:rsidR="001808BC" w:rsidRPr="00367163" w:rsidRDefault="001808BC">
      <w:pPr>
        <w:pStyle w:val="FootnoteText"/>
      </w:pPr>
      <w:r>
        <w:rPr>
          <w:rStyle w:val="FootnoteReference"/>
        </w:rPr>
        <w:footnoteRef/>
      </w:r>
      <w:r>
        <w:rPr>
          <w:rtl/>
        </w:rPr>
        <w:t xml:space="preserve"> </w:t>
      </w:r>
      <w:r w:rsidR="00367163">
        <w:rPr>
          <w:rFonts w:hint="cs"/>
          <w:rtl/>
        </w:rPr>
        <w:t xml:space="preserve">כאן כתב </w:t>
      </w:r>
      <w:r w:rsidR="00367163" w:rsidRPr="00367163">
        <w:rPr>
          <w:rtl/>
        </w:rPr>
        <w:t xml:space="preserve">במקור </w:t>
      </w:r>
      <w:r w:rsidR="00367163" w:rsidRPr="00367163">
        <w:rPr>
          <w:rFonts w:ascii="Arial" w:hAnsi="Arial" w:cs="Arial" w:hint="cs"/>
          <w:rtl/>
          <w:lang w:bidi="ar-SA"/>
        </w:rPr>
        <w:t>المادة</w:t>
      </w:r>
      <w:r w:rsidR="00367163" w:rsidRPr="00367163">
        <w:rPr>
          <w:rtl/>
        </w:rPr>
        <w:t xml:space="preserve">. </w:t>
      </w:r>
      <w:r w:rsidR="004B4CE8">
        <w:rPr>
          <w:rtl/>
        </w:rPr>
        <w:t>מאדא</w:t>
      </w:r>
      <w:r w:rsidR="00367163">
        <w:rPr>
          <w:rFonts w:hint="cs"/>
          <w:rtl/>
        </w:rPr>
        <w:t>.</w:t>
      </w:r>
      <w:r w:rsidR="00367163" w:rsidRPr="00367163">
        <w:rPr>
          <w:rtl/>
        </w:rPr>
        <w:t xml:space="preserve"> ה</w:t>
      </w:r>
      <w:r w:rsidR="00367163">
        <w:rPr>
          <w:rFonts w:hint="cs"/>
          <w:rtl/>
        </w:rPr>
        <w:t>יינו</w:t>
      </w:r>
      <w:r w:rsidR="00367163" w:rsidRPr="00367163">
        <w:rPr>
          <w:rtl/>
        </w:rPr>
        <w:t xml:space="preserve"> חומר סתם, ולא </w:t>
      </w:r>
      <w:r w:rsidR="00E734B2">
        <w:rPr>
          <w:rFonts w:hint="cs"/>
          <w:rtl/>
        </w:rPr>
        <w:t>'</w:t>
      </w:r>
      <w:r w:rsidR="00367163" w:rsidRPr="00367163">
        <w:rPr>
          <w:rtl/>
        </w:rPr>
        <w:t>היולי</w:t>
      </w:r>
      <w:r w:rsidR="00E734B2">
        <w:rPr>
          <w:rFonts w:hint="cs"/>
          <w:rtl/>
        </w:rPr>
        <w:t>'</w:t>
      </w:r>
      <w:r w:rsidR="00367163" w:rsidRPr="00367163">
        <w:rPr>
          <w:rtl/>
        </w:rPr>
        <w:t xml:space="preserve"> שהוא החומר הראשון. </w:t>
      </w:r>
    </w:p>
  </w:footnote>
  <w:footnote w:id="337">
    <w:p w14:paraId="3AA1FB6F" w14:textId="4A62A470" w:rsidR="00D440D1" w:rsidRPr="00354F4E" w:rsidRDefault="00D440D1">
      <w:pPr>
        <w:pStyle w:val="FootnoteText"/>
      </w:pPr>
      <w:r>
        <w:rPr>
          <w:rStyle w:val="FootnoteReference"/>
        </w:rPr>
        <w:footnoteRef/>
      </w:r>
      <w:r>
        <w:rPr>
          <w:rtl/>
        </w:rPr>
        <w:t xml:space="preserve"> </w:t>
      </w:r>
      <w:r>
        <w:rPr>
          <w:rFonts w:hint="cs"/>
          <w:rtl/>
        </w:rPr>
        <w:t>של ההעדר.</w:t>
      </w:r>
    </w:p>
  </w:footnote>
  <w:footnote w:id="338">
    <w:p w14:paraId="74E03571" w14:textId="3F7DBB06" w:rsidR="009802BB" w:rsidRDefault="009802BB">
      <w:pPr>
        <w:pStyle w:val="FootnoteText"/>
      </w:pPr>
      <w:r>
        <w:rPr>
          <w:rStyle w:val="FootnoteReference"/>
        </w:rPr>
        <w:footnoteRef/>
      </w:r>
      <w:r>
        <w:rPr>
          <w:rtl/>
        </w:rPr>
        <w:t xml:space="preserve"> </w:t>
      </w:r>
      <w:r w:rsidR="004A1E82">
        <w:rPr>
          <w:rFonts w:hint="cs"/>
          <w:rtl/>
        </w:rPr>
        <w:t xml:space="preserve">אחרי שהחומר מקבל צורה עדיין הוא נמצא כחומר גם בעצם המורכב, </w:t>
      </w:r>
      <w:r w:rsidR="00491DB5">
        <w:rPr>
          <w:rFonts w:hint="cs"/>
          <w:rtl/>
        </w:rPr>
        <w:t>לעומת זאת</w:t>
      </w:r>
      <w:r w:rsidR="004A1E82">
        <w:rPr>
          <w:rFonts w:hint="cs"/>
          <w:rtl/>
        </w:rPr>
        <w:t xml:space="preserve"> אחרי קבלת הצורה</w:t>
      </w:r>
      <w:r w:rsidR="00FB1970">
        <w:rPr>
          <w:rFonts w:hint="cs"/>
          <w:rtl/>
        </w:rPr>
        <w:t>,</w:t>
      </w:r>
      <w:r w:rsidR="004A1E82">
        <w:rPr>
          <w:rFonts w:hint="cs"/>
          <w:rtl/>
        </w:rPr>
        <w:t xml:space="preserve"> ההעדר </w:t>
      </w:r>
      <w:r w:rsidR="00491DB5">
        <w:rPr>
          <w:rFonts w:hint="cs"/>
          <w:rtl/>
        </w:rPr>
        <w:t>של</w:t>
      </w:r>
      <w:r w:rsidR="00FB1970">
        <w:rPr>
          <w:rFonts w:hint="cs"/>
          <w:rtl/>
        </w:rPr>
        <w:t xml:space="preserve"> </w:t>
      </w:r>
      <w:r w:rsidR="00491DB5">
        <w:rPr>
          <w:rFonts w:hint="cs"/>
          <w:rtl/>
        </w:rPr>
        <w:t>אות</w:t>
      </w:r>
      <w:r w:rsidR="00FB1970">
        <w:rPr>
          <w:rFonts w:hint="cs"/>
          <w:rtl/>
        </w:rPr>
        <w:t>ה</w:t>
      </w:r>
      <w:r w:rsidR="00491DB5">
        <w:rPr>
          <w:rFonts w:hint="cs"/>
          <w:rtl/>
        </w:rPr>
        <w:t xml:space="preserve"> צורה, שהיה</w:t>
      </w:r>
      <w:r w:rsidR="00FB1970">
        <w:rPr>
          <w:rFonts w:hint="cs"/>
          <w:rtl/>
        </w:rPr>
        <w:t xml:space="preserve"> </w:t>
      </w:r>
      <w:r w:rsidR="00491DB5">
        <w:rPr>
          <w:rFonts w:hint="cs"/>
          <w:rtl/>
        </w:rPr>
        <w:t xml:space="preserve">מקודם </w:t>
      </w:r>
      <w:r w:rsidR="00FB1970">
        <w:rPr>
          <w:rFonts w:hint="cs"/>
          <w:rtl/>
        </w:rPr>
        <w:t xml:space="preserve">בעצם </w:t>
      </w:r>
      <w:r w:rsidR="00491DB5">
        <w:rPr>
          <w:rFonts w:hint="cs"/>
          <w:rtl/>
        </w:rPr>
        <w:t>ו</w:t>
      </w:r>
      <w:r w:rsidR="00FB1970">
        <w:rPr>
          <w:rFonts w:hint="cs"/>
          <w:rtl/>
        </w:rPr>
        <w:t xml:space="preserve">היה ה'בכח' לקבל את הצורה, </w:t>
      </w:r>
      <w:r w:rsidR="004A1E82">
        <w:rPr>
          <w:rFonts w:hint="cs"/>
          <w:rtl/>
        </w:rPr>
        <w:t xml:space="preserve">כבר לא נמצא כלל בעצם המורכב. </w:t>
      </w:r>
      <w:r w:rsidR="00B81650">
        <w:rPr>
          <w:rFonts w:hint="cs"/>
          <w:rtl/>
        </w:rPr>
        <w:t xml:space="preserve">למשל </w:t>
      </w:r>
      <w:r w:rsidR="001B0E1B">
        <w:rPr>
          <w:rFonts w:hint="cs"/>
          <w:rtl/>
        </w:rPr>
        <w:t xml:space="preserve">אם היה קיר שחור שנצבע בלבן, </w:t>
      </w:r>
      <w:r w:rsidR="00121846">
        <w:rPr>
          <w:rFonts w:hint="cs"/>
          <w:rtl/>
        </w:rPr>
        <w:t xml:space="preserve">האפשרות שישתנה להיות לבן הייתה מונחת בכח במה שהיה שחור, כלומר </w:t>
      </w:r>
      <w:r w:rsidR="00B81650">
        <w:rPr>
          <w:rFonts w:hint="cs"/>
          <w:rtl/>
        </w:rPr>
        <w:t>ב</w:t>
      </w:r>
      <w:r w:rsidR="00D2078F">
        <w:rPr>
          <w:rFonts w:hint="cs"/>
          <w:rtl/>
        </w:rPr>
        <w:t>ה</w:t>
      </w:r>
      <w:r w:rsidR="00121846">
        <w:rPr>
          <w:rFonts w:hint="cs"/>
          <w:rtl/>
        </w:rPr>
        <w:t xml:space="preserve">עדר צורת </w:t>
      </w:r>
      <w:r w:rsidR="00B81650">
        <w:rPr>
          <w:rFonts w:hint="cs"/>
          <w:rtl/>
        </w:rPr>
        <w:t>ה</w:t>
      </w:r>
      <w:r w:rsidR="00121846">
        <w:rPr>
          <w:rFonts w:hint="cs"/>
          <w:rtl/>
        </w:rPr>
        <w:t>לבן</w:t>
      </w:r>
      <w:r w:rsidR="00B81650">
        <w:rPr>
          <w:rFonts w:hint="cs"/>
          <w:rtl/>
        </w:rPr>
        <w:t>,</w:t>
      </w:r>
      <w:r w:rsidR="00121846">
        <w:rPr>
          <w:rFonts w:hint="cs"/>
          <w:rtl/>
        </w:rPr>
        <w:t xml:space="preserve"> </w:t>
      </w:r>
      <w:r w:rsidR="00D2078F">
        <w:rPr>
          <w:rFonts w:hint="cs"/>
          <w:rtl/>
        </w:rPr>
        <w:t xml:space="preserve">אבל אחרי שהוא לבן כבר אין בו 'בכח' להשתנות ללבן, ואין בו כלל העדר צורת לבן. </w:t>
      </w:r>
      <w:r w:rsidR="00B81650">
        <w:rPr>
          <w:rFonts w:hint="cs"/>
          <w:rtl/>
        </w:rPr>
        <w:t xml:space="preserve">לעומת זאת הקיר שאן בו צבע כלל, החומר, נשאר קיים </w:t>
      </w:r>
      <w:r w:rsidR="00083D04">
        <w:rPr>
          <w:rFonts w:hint="cs"/>
          <w:rtl/>
        </w:rPr>
        <w:t>כחומר לקיר הצבוע, גם אחרי צביעת הקיר (שחור ולבן אינם צורת עצם אלא מאפיין איכות</w:t>
      </w:r>
      <w:r w:rsidR="002671EB">
        <w:rPr>
          <w:rFonts w:hint="cs"/>
          <w:rtl/>
        </w:rPr>
        <w:t xml:space="preserve"> של העצם, ולענייננו אין הבדל)</w:t>
      </w:r>
    </w:p>
  </w:footnote>
  <w:footnote w:id="339">
    <w:p w14:paraId="058CAD2D" w14:textId="62F4DBD2" w:rsidR="00E71A00" w:rsidRPr="00354F4E" w:rsidRDefault="00E71A00">
      <w:pPr>
        <w:pStyle w:val="FootnoteText"/>
        <w:rPr>
          <w:rtl/>
        </w:rPr>
      </w:pPr>
      <w:r w:rsidRPr="00354F4E">
        <w:rPr>
          <w:rStyle w:val="FootnoteReference"/>
        </w:rPr>
        <w:footnoteRef/>
      </w:r>
      <w:r w:rsidRPr="00354F4E">
        <w:rPr>
          <w:rtl/>
        </w:rPr>
        <w:t xml:space="preserve"> במקור </w:t>
      </w:r>
      <w:r w:rsidRPr="00354F4E">
        <w:rPr>
          <w:rFonts w:ascii="Arial" w:hAnsi="Arial" w:cs="Arial" w:hint="cs"/>
          <w:rtl/>
          <w:lang w:bidi="ar-SA"/>
        </w:rPr>
        <w:t>قوام</w:t>
      </w:r>
      <w:r w:rsidRPr="00354F4E">
        <w:rPr>
          <w:rtl/>
        </w:rPr>
        <w:t xml:space="preserve">. יש למילה הזו כמה מובנים שיכולים להתאים כאן. </w:t>
      </w:r>
      <w:r w:rsidR="003B3DF9" w:rsidRPr="00354F4E">
        <w:rPr>
          <w:rtl/>
        </w:rPr>
        <w:t xml:space="preserve">בחרתי קרוב לתרגום של מקגיניס </w:t>
      </w:r>
      <w:r w:rsidR="005305BD" w:rsidRPr="00354F4E">
        <w:rPr>
          <w:rtl/>
        </w:rPr>
        <w:t>שכתב:</w:t>
      </w:r>
    </w:p>
    <w:p w14:paraId="6BED3928" w14:textId="23C05B88" w:rsidR="005305BD" w:rsidRPr="00354F4E" w:rsidRDefault="00F055C8" w:rsidP="005305BD">
      <w:pPr>
        <w:pStyle w:val="FootnoteText"/>
        <w:rPr>
          <w:rtl/>
        </w:rPr>
      </w:pPr>
      <w:r>
        <w:rPr>
          <w:rtl/>
        </w:rPr>
        <w:t>"</w:t>
      </w:r>
      <w:r w:rsidR="005305BD" w:rsidRPr="00354F4E">
        <w:t>the form’s subsistence and existence</w:t>
      </w:r>
      <w:r>
        <w:rPr>
          <w:rtl/>
        </w:rPr>
        <w:t>"</w:t>
      </w:r>
    </w:p>
    <w:p w14:paraId="4A131AF0" w14:textId="1CBBA1D1" w:rsidR="005305BD" w:rsidRPr="005305BD" w:rsidRDefault="005305BD" w:rsidP="005305BD">
      <w:pPr>
        <w:pStyle w:val="FootnoteText"/>
        <w:rPr>
          <w:rFonts w:cs="Times New Roman"/>
        </w:rPr>
      </w:pPr>
      <w:r w:rsidRPr="00354F4E">
        <w:rPr>
          <w:rtl/>
        </w:rPr>
        <w:t xml:space="preserve">לפי הבנתי הכוונה כאן היא </w:t>
      </w:r>
      <w:r w:rsidR="00024707" w:rsidRPr="00354F4E">
        <w:rPr>
          <w:rtl/>
        </w:rPr>
        <w:t>עצמות הצורה היינו האופן שבו היא נקשרת למציאות החומרית על ידי התלבשותה בחומר, וממילא מזה</w:t>
      </w:r>
      <w:r w:rsidR="00CD250F" w:rsidRPr="00354F4E">
        <w:rPr>
          <w:rtl/>
        </w:rPr>
        <w:t xml:space="preserve"> </w:t>
      </w:r>
      <w:r w:rsidR="00024707" w:rsidRPr="00354F4E">
        <w:rPr>
          <w:rtl/>
        </w:rPr>
        <w:t>נובעת מציאות</w:t>
      </w:r>
      <w:r w:rsidR="00CD250F" w:rsidRPr="00354F4E">
        <w:rPr>
          <w:rtl/>
        </w:rPr>
        <w:t>ה</w:t>
      </w:r>
      <w:r w:rsidR="00024707" w:rsidRPr="00354F4E">
        <w:rPr>
          <w:rtl/>
        </w:rPr>
        <w:t xml:space="preserve"> כחלק מהרכבת הגוף שמחובר מחומר וצורה. </w:t>
      </w:r>
      <w:r w:rsidR="00CD250F" w:rsidRPr="00354F4E">
        <w:rPr>
          <w:rtl/>
        </w:rPr>
        <w:t>וכן ההעדר יש לו עצמות שהיא האופן שבו הוא נקשר למציאות, כהעדר של משהו בתוך משהו, ומזה הוא נמצא</w:t>
      </w:r>
      <w:r w:rsidR="00354F4E" w:rsidRPr="00354F4E">
        <w:rPr>
          <w:rtl/>
        </w:rPr>
        <w:t>.</w:t>
      </w:r>
      <w:r w:rsidR="00354F4E">
        <w:rPr>
          <w:rFonts w:hint="cs"/>
          <w:rtl/>
        </w:rPr>
        <w:t xml:space="preserve"> בכל אופן נראה שיש כאן קצת כפילות מיותרת וצריך עוד עיון. </w:t>
      </w:r>
    </w:p>
  </w:footnote>
  <w:footnote w:id="340">
    <w:p w14:paraId="1AB2C0D6" w14:textId="56DF9CFF" w:rsidR="002E1381" w:rsidRDefault="0031370E">
      <w:pPr>
        <w:pStyle w:val="FootnoteText"/>
        <w:rPr>
          <w:rtl/>
        </w:rPr>
      </w:pPr>
      <w:r>
        <w:rPr>
          <w:rStyle w:val="FootnoteReference"/>
        </w:rPr>
        <w:footnoteRef/>
      </w:r>
      <w:r w:rsidR="00FC0CF8">
        <w:rPr>
          <w:rtl/>
        </w:rPr>
        <w:t xml:space="preserve"> </w:t>
      </w:r>
      <w:r w:rsidR="003C119D" w:rsidRPr="003C119D">
        <w:rPr>
          <w:rFonts w:cs="Times New Roman" w:hint="eastAsia"/>
          <w:rtl/>
          <w:lang w:bidi="ar-SA"/>
        </w:rPr>
        <w:t>بالقياس</w:t>
      </w:r>
      <w:r w:rsidR="00370B3C" w:rsidRPr="00370B3C">
        <w:rPr>
          <w:rtl/>
        </w:rPr>
        <w:t xml:space="preserve"> (</w:t>
      </w:r>
      <w:r w:rsidR="00370B3C" w:rsidRPr="00370B3C">
        <w:rPr>
          <w:rtl/>
        </w:rPr>
        <w:t>קיאס)</w:t>
      </w:r>
      <w:r w:rsidR="003C119D" w:rsidRPr="003C119D">
        <w:rPr>
          <w:rFonts w:cs="Times New Roman"/>
          <w:rtl/>
          <w:lang w:bidi="ar-SA"/>
        </w:rPr>
        <w:t xml:space="preserve"> </w:t>
      </w:r>
      <w:r w:rsidR="003C119D" w:rsidRPr="003C119D">
        <w:rPr>
          <w:rFonts w:cs="Times New Roman" w:hint="eastAsia"/>
          <w:rtl/>
          <w:lang w:bidi="ar-SA"/>
        </w:rPr>
        <w:t>إليه</w:t>
      </w:r>
      <w:r w:rsidR="003C119D">
        <w:rPr>
          <w:rFonts w:cs="Times New Roman" w:hint="cs"/>
          <w:rtl/>
        </w:rPr>
        <w:t>.</w:t>
      </w:r>
      <w:r w:rsidR="002E1381">
        <w:rPr>
          <w:rFonts w:hint="cs"/>
          <w:rtl/>
        </w:rPr>
        <w:t xml:space="preserve"> מקגיניס תרגם כאן:</w:t>
      </w:r>
    </w:p>
    <w:p w14:paraId="1881FD28" w14:textId="1FAD9837" w:rsidR="00FC0CF8" w:rsidRDefault="00F055C8" w:rsidP="006A569F">
      <w:pPr>
        <w:pStyle w:val="FootnoteText"/>
        <w:bidi w:val="0"/>
        <w:rPr>
          <w:rtl/>
        </w:rPr>
      </w:pPr>
      <w:r>
        <w:t>"</w:t>
      </w:r>
      <w:r w:rsidR="002E1381">
        <w:t>the form’s subsistence and existence are not relative to it</w:t>
      </w:r>
      <w:r>
        <w:t>"</w:t>
      </w:r>
    </w:p>
    <w:p w14:paraId="0CBD5B93" w14:textId="5B96D6ED" w:rsidR="001F6D44" w:rsidRDefault="001F6D44" w:rsidP="00370B3C">
      <w:pPr>
        <w:pStyle w:val="FootnoteText"/>
        <w:bidi w:val="0"/>
        <w:jc w:val="right"/>
        <w:rPr>
          <w:rtl/>
        </w:rPr>
      </w:pPr>
      <w:r>
        <w:rPr>
          <w:rFonts w:hint="cs"/>
          <w:rtl/>
        </w:rPr>
        <w:t xml:space="preserve">אבן תיבון בתרגום המורה נבוכים מתרגם את המילה קיאס "היקש". </w:t>
      </w:r>
    </w:p>
    <w:p w14:paraId="7BAC1BD8" w14:textId="00DB7E76" w:rsidR="00D10B44" w:rsidRDefault="007B2C23" w:rsidP="007B2C23">
      <w:pPr>
        <w:pStyle w:val="FootnoteText"/>
        <w:rPr>
          <w:rtl/>
        </w:rPr>
      </w:pPr>
      <w:r>
        <w:rPr>
          <w:rFonts w:hint="cs"/>
          <w:rtl/>
        </w:rPr>
        <w:t xml:space="preserve">הכוונה היא למשל שבביצה יש העדר אפרוח, </w:t>
      </w:r>
      <w:r w:rsidR="00982C83">
        <w:rPr>
          <w:rFonts w:hint="cs"/>
          <w:rtl/>
        </w:rPr>
        <w:t>ולכן יכול להתהוות ממנה אפרוח. מה שמפעיל את התהוות האפרוח הוא צורת אביו, לאפרוח יש צורת תרנגול</w:t>
      </w:r>
      <w:r w:rsidR="004B699A">
        <w:rPr>
          <w:rFonts w:hint="cs"/>
          <w:rtl/>
        </w:rPr>
        <w:t xml:space="preserve"> או תרנגולת, כי צורת התרנגול בזמן ההפריה חיממה את הביצית של הנקבה והפעילה בה את צורת התרנגול. </w:t>
      </w:r>
      <w:r w:rsidR="00241830">
        <w:rPr>
          <w:rFonts w:hint="cs"/>
          <w:rtl/>
        </w:rPr>
        <w:t xml:space="preserve">וצורת התרנגול הזו קשורה בזרע והיא חיה והיא המניע שפועל את התהוות האפרוח וקובע את צורתו. </w:t>
      </w:r>
      <w:r w:rsidR="001F3E8A">
        <w:rPr>
          <w:rFonts w:hint="cs"/>
          <w:rtl/>
        </w:rPr>
        <w:t xml:space="preserve">גם אם יש קיר שחור מי שקובע את צבעו החדש הוא הצבע הלבן שנמרח עליו והפעולה של מי שצובע, ולא העדר הלובן שבקיר. </w:t>
      </w:r>
      <w:r w:rsidR="001A5A2D">
        <w:rPr>
          <w:rFonts w:hint="cs"/>
          <w:rtl/>
        </w:rPr>
        <w:t>העדר הלובן יכול להיות אפשרות לכל מה שאינו לבן, והעדר האפרוח שבביצה יכול להיות אפשרות ל</w:t>
      </w:r>
      <w:r w:rsidR="00D10B44">
        <w:rPr>
          <w:rFonts w:hint="cs"/>
          <w:rtl/>
        </w:rPr>
        <w:t>א דווקא לאפרוח שהוא בנו של אותו תרנגול ששייך לזן שלו, לצבעים שלו וכיו</w:t>
      </w:r>
      <w:r w:rsidR="00F055C8">
        <w:rPr>
          <w:rtl/>
        </w:rPr>
        <w:t>"</w:t>
      </w:r>
      <w:r w:rsidR="00D10B44">
        <w:rPr>
          <w:rFonts w:hint="cs"/>
          <w:rtl/>
        </w:rPr>
        <w:t>ב.</w:t>
      </w:r>
    </w:p>
    <w:p w14:paraId="073FD14B" w14:textId="30F4B630" w:rsidR="00D624FA" w:rsidRDefault="00D10B44" w:rsidP="007B2C23">
      <w:pPr>
        <w:pStyle w:val="FootnoteText"/>
        <w:rPr>
          <w:rtl/>
        </w:rPr>
      </w:pPr>
      <w:r>
        <w:rPr>
          <w:rFonts w:hint="cs"/>
          <w:rtl/>
        </w:rPr>
        <w:t>זה משום שהצורה היא מציאות מסויימת בפועל, ולכן יש לה מהות עצמית ו</w:t>
      </w:r>
      <w:r w:rsidR="006629D7">
        <w:rPr>
          <w:rFonts w:hint="cs"/>
          <w:rtl/>
        </w:rPr>
        <w:t>היא יכולה להעביר את המהות הזו הלאה. מבחינה זו אנו אומרים שהמציאות של הצורה היא עצמית לה ולא מקרית (רק ביחס לבורא היא מקרית כמו שכתב במורה נבוכים א' נ</w:t>
      </w:r>
      <w:r w:rsidR="00F055C8">
        <w:rPr>
          <w:rtl/>
        </w:rPr>
        <w:t>"</w:t>
      </w:r>
      <w:r w:rsidR="006629D7">
        <w:rPr>
          <w:rFonts w:hint="cs"/>
          <w:rtl/>
        </w:rPr>
        <w:t xml:space="preserve">ז, אבל במבט הארצי בתוך הטבע היא </w:t>
      </w:r>
      <w:r w:rsidR="009E7AFD">
        <w:rPr>
          <w:rFonts w:hint="cs"/>
          <w:rtl/>
        </w:rPr>
        <w:t>מציאות עצמית)</w:t>
      </w:r>
      <w:r w:rsidR="006629D7">
        <w:rPr>
          <w:rFonts w:hint="cs"/>
          <w:rtl/>
        </w:rPr>
        <w:t xml:space="preserve">. </w:t>
      </w:r>
    </w:p>
    <w:p w14:paraId="5A4364D9" w14:textId="77777777" w:rsidR="008D6C05" w:rsidRDefault="00A15D08" w:rsidP="007B2C23">
      <w:pPr>
        <w:pStyle w:val="FootnoteText"/>
        <w:rPr>
          <w:rtl/>
        </w:rPr>
      </w:pPr>
      <w:r>
        <w:rPr>
          <w:rFonts w:hint="cs"/>
          <w:rtl/>
        </w:rPr>
        <w:t>אבל</w:t>
      </w:r>
      <w:r w:rsidR="009E7AFD">
        <w:rPr>
          <w:rFonts w:hint="cs"/>
          <w:rtl/>
        </w:rPr>
        <w:t xml:space="preserve"> ההעדר אין לו מציאות עצמית, אין בו מהות, </w:t>
      </w:r>
      <w:r>
        <w:rPr>
          <w:rFonts w:hint="cs"/>
          <w:rtl/>
        </w:rPr>
        <w:t xml:space="preserve">זה הפירוש כאן שמציאותו מקרית, לכן </w:t>
      </w:r>
      <w:r w:rsidR="009E7AFD">
        <w:rPr>
          <w:rFonts w:hint="cs"/>
          <w:rtl/>
        </w:rPr>
        <w:t>הוא</w:t>
      </w:r>
      <w:r>
        <w:rPr>
          <w:rFonts w:hint="cs"/>
          <w:rtl/>
        </w:rPr>
        <w:t xml:space="preserve"> </w:t>
      </w:r>
      <w:r w:rsidR="009E7AFD">
        <w:rPr>
          <w:rFonts w:hint="cs"/>
          <w:rtl/>
        </w:rPr>
        <w:t xml:space="preserve">לא קובע שום דבר על המהות. </w:t>
      </w:r>
      <w:r w:rsidR="0014207F">
        <w:rPr>
          <w:rFonts w:hint="cs"/>
          <w:rtl/>
        </w:rPr>
        <w:t xml:space="preserve">הוא מצידו שותף להנעת ההתהוות, התרנגול הוא הסיבה הפועלת של צורת האפרוח, </w:t>
      </w:r>
      <w:r w:rsidR="00F634BE">
        <w:rPr>
          <w:rFonts w:hint="cs"/>
          <w:rtl/>
        </w:rPr>
        <w:t>אבל פעולתו לא רק מתאפשרת מכך שאין אפרוח בפועל,</w:t>
      </w:r>
      <w:r w:rsidR="00D10B44">
        <w:rPr>
          <w:rFonts w:hint="cs"/>
          <w:rtl/>
        </w:rPr>
        <w:t xml:space="preserve"> </w:t>
      </w:r>
      <w:r w:rsidR="00F972D3">
        <w:rPr>
          <w:rFonts w:hint="cs"/>
          <w:rtl/>
        </w:rPr>
        <w:t xml:space="preserve">אלא ההעדר של אפרוח הוא שותף בהנעה, הוא חלק ממה שמניע את התרנגול לפעול. גם בקיר, הסיבה הפועלת את הלובן היא הצבע ופעולת האדם שצובע, אבל מה שהקיר לא לבן </w:t>
      </w:r>
      <w:r w:rsidR="000C7D43">
        <w:rPr>
          <w:rFonts w:hint="cs"/>
          <w:rtl/>
        </w:rPr>
        <w:t xml:space="preserve">הוא חלק מהמניע של האדם להתעורר לרצות לצבוע את הקיר, ולא רק מה שמאפשר את התהוות הקיר ללבן. מכל מקום השותפות של ההעדר בסיבה הפועלת היא </w:t>
      </w:r>
      <w:r w:rsidR="00FD7A4F">
        <w:rPr>
          <w:rFonts w:hint="cs"/>
          <w:rtl/>
        </w:rPr>
        <w:t>נעלמת ואינה העיקר, לפחות לא העיקר הגלוי. ואנו אומרים שהפועל הוא התרנגול או האדם הצובע, והמציאות של ההעדר כיוון שאין בה מהות ומציאות משל עצמה אינה קובעת את המהות של מה שייכנס להיות נמצא באותו העדר.</w:t>
      </w:r>
      <w:r w:rsidR="00EB54FF">
        <w:rPr>
          <w:rFonts w:hint="cs"/>
          <w:rtl/>
        </w:rPr>
        <w:t xml:space="preserve"> זה הפירוש שהצורה לא נמדדת לפי ההעדר או לא נגזרת ממנו, כיוון שהוא מקרי, כלומר חסר מהות</w:t>
      </w:r>
      <w:r w:rsidR="00987536">
        <w:rPr>
          <w:rFonts w:hint="cs"/>
          <w:rtl/>
        </w:rPr>
        <w:t xml:space="preserve"> והגדרה</w:t>
      </w:r>
      <w:r w:rsidR="00EB54FF">
        <w:rPr>
          <w:rFonts w:hint="cs"/>
          <w:rtl/>
        </w:rPr>
        <w:t>.</w:t>
      </w:r>
    </w:p>
    <w:p w14:paraId="5F24FF19" w14:textId="59E51C69" w:rsidR="001D07C3" w:rsidRDefault="002E45AD" w:rsidP="00B53268">
      <w:pPr>
        <w:pStyle w:val="FootnoteText"/>
      </w:pPr>
      <w:r>
        <w:rPr>
          <w:rFonts w:hint="cs"/>
          <w:rtl/>
        </w:rPr>
        <w:t>יש אופן של העדר שקובע את הצורה שמתחדשת באמצעותו, למשל תבנית שמשוקעות בה צורות של אותיות</w:t>
      </w:r>
      <w:r w:rsidR="003355C7">
        <w:rPr>
          <w:rFonts w:hint="cs"/>
          <w:rtl/>
        </w:rPr>
        <w:t xml:space="preserve"> שחרוטות או מגולפות בה</w:t>
      </w:r>
      <w:r>
        <w:rPr>
          <w:rFonts w:hint="cs"/>
          <w:rtl/>
        </w:rPr>
        <w:t>, ו</w:t>
      </w:r>
      <w:r w:rsidR="003355C7">
        <w:rPr>
          <w:rFonts w:hint="cs"/>
          <w:rtl/>
        </w:rPr>
        <w:t xml:space="preserve">יוצקים את </w:t>
      </w:r>
      <w:r>
        <w:rPr>
          <w:rFonts w:hint="cs"/>
          <w:rtl/>
        </w:rPr>
        <w:t>העו</w:t>
      </w:r>
      <w:r w:rsidR="00F25823">
        <w:rPr>
          <w:rFonts w:hint="cs"/>
          <w:rtl/>
        </w:rPr>
        <w:t xml:space="preserve">פרת לתוך </w:t>
      </w:r>
      <w:r w:rsidR="00E31EFF">
        <w:rPr>
          <w:rFonts w:hint="cs"/>
          <w:rtl/>
        </w:rPr>
        <w:t>השקעים שב</w:t>
      </w:r>
      <w:r w:rsidR="00F25823">
        <w:rPr>
          <w:rFonts w:hint="cs"/>
          <w:rtl/>
        </w:rPr>
        <w:t>תבנית ו</w:t>
      </w:r>
      <w:r w:rsidR="00E31EFF">
        <w:rPr>
          <w:rFonts w:hint="cs"/>
          <w:rtl/>
        </w:rPr>
        <w:t xml:space="preserve">העופרת </w:t>
      </w:r>
      <w:r w:rsidR="00F25823">
        <w:rPr>
          <w:rFonts w:hint="cs"/>
          <w:rtl/>
        </w:rPr>
        <w:t xml:space="preserve">מתקשה להיות לאותיות שהן בצורת השקע שהיה בתבנית. </w:t>
      </w:r>
      <w:r w:rsidR="00303F77">
        <w:rPr>
          <w:rFonts w:hint="cs"/>
          <w:rtl/>
        </w:rPr>
        <w:t>ההעדר של החיסרון, השקע, ש</w:t>
      </w:r>
      <w:r w:rsidR="00AD7953">
        <w:rPr>
          <w:rFonts w:hint="cs"/>
          <w:rtl/>
        </w:rPr>
        <w:t xml:space="preserve">שיש </w:t>
      </w:r>
      <w:r w:rsidR="00303F77">
        <w:rPr>
          <w:rFonts w:hint="cs"/>
          <w:rtl/>
        </w:rPr>
        <w:t>בתבנית</w:t>
      </w:r>
      <w:r w:rsidR="00AD7953">
        <w:rPr>
          <w:rFonts w:hint="cs"/>
          <w:rtl/>
        </w:rPr>
        <w:t>,</w:t>
      </w:r>
      <w:r w:rsidR="00303F77">
        <w:rPr>
          <w:rFonts w:hint="cs"/>
          <w:rtl/>
        </w:rPr>
        <w:t xml:space="preserve"> יש לו צורה</w:t>
      </w:r>
      <w:r w:rsidR="00B64C21">
        <w:rPr>
          <w:rFonts w:hint="cs"/>
          <w:rtl/>
        </w:rPr>
        <w:t xml:space="preserve"> עצמית</w:t>
      </w:r>
      <w:r w:rsidR="00303F77">
        <w:rPr>
          <w:rFonts w:hint="cs"/>
          <w:rtl/>
        </w:rPr>
        <w:t>, וממנה נגזרת הצורה של</w:t>
      </w:r>
      <w:r w:rsidR="00AD7953">
        <w:rPr>
          <w:rFonts w:hint="cs"/>
          <w:rtl/>
        </w:rPr>
        <w:t xml:space="preserve"> האות עצמה</w:t>
      </w:r>
      <w:r w:rsidR="00B64C21">
        <w:rPr>
          <w:rFonts w:hint="cs"/>
          <w:rtl/>
        </w:rPr>
        <w:t xml:space="preserve"> שנכנסת לתוך ההעדר הזה</w:t>
      </w:r>
      <w:r w:rsidR="00AD7953">
        <w:rPr>
          <w:rFonts w:hint="cs"/>
          <w:rtl/>
        </w:rPr>
        <w:t xml:space="preserve">. </w:t>
      </w:r>
      <w:r w:rsidR="00B64C21">
        <w:rPr>
          <w:rFonts w:hint="cs"/>
          <w:rtl/>
        </w:rPr>
        <w:t xml:space="preserve">ההעדר שאנו מדברים בו כאן אינו על דרך זו, כי אין לו צורה עצמית, זה כמו שעל נייר חלק יש העדר ציור של אותיות, ולהעדר הזה </w:t>
      </w:r>
      <w:r w:rsidR="00900E94">
        <w:rPr>
          <w:rFonts w:hint="cs"/>
          <w:rtl/>
        </w:rPr>
        <w:t xml:space="preserve">כיוון שאין לו צורה עצמית </w:t>
      </w:r>
      <w:r w:rsidR="00B64C21">
        <w:rPr>
          <w:rFonts w:hint="cs"/>
          <w:rtl/>
        </w:rPr>
        <w:t xml:space="preserve">יכולות להיכנס כל האותיות וכל קו אפשרי. </w:t>
      </w:r>
      <w:r w:rsidR="00900E94">
        <w:rPr>
          <w:rFonts w:hint="cs"/>
          <w:rtl/>
        </w:rPr>
        <w:t xml:space="preserve">הנייר החלק בכללותו הוא החומר, שהוא ה'בכח' של כל הדברים וזו מציאותו והיא עצמית לו, אבל </w:t>
      </w:r>
      <w:r w:rsidR="0011792D">
        <w:rPr>
          <w:rFonts w:hint="cs"/>
          <w:rtl/>
        </w:rPr>
        <w:t xml:space="preserve">אם אנו מסתכלים לא על כל הנייר בכללותו אלא על אותו לבן </w:t>
      </w:r>
      <w:r w:rsidR="009C463A">
        <w:rPr>
          <w:rFonts w:hint="cs"/>
          <w:rtl/>
        </w:rPr>
        <w:t>מסוים</w:t>
      </w:r>
      <w:r w:rsidR="00587E25">
        <w:rPr>
          <w:rFonts w:hint="cs"/>
          <w:rtl/>
        </w:rPr>
        <w:t xml:space="preserve"> פרטי </w:t>
      </w:r>
      <w:r w:rsidR="0011792D">
        <w:rPr>
          <w:rFonts w:hint="cs"/>
          <w:rtl/>
        </w:rPr>
        <w:t>שאליו נכתב</w:t>
      </w:r>
      <w:r w:rsidR="00587E25">
        <w:rPr>
          <w:rFonts w:hint="cs"/>
          <w:rtl/>
        </w:rPr>
        <w:t xml:space="preserve"> קו </w:t>
      </w:r>
      <w:r w:rsidR="009C463A">
        <w:rPr>
          <w:rFonts w:hint="cs"/>
          <w:rtl/>
        </w:rPr>
        <w:t>מסוים</w:t>
      </w:r>
      <w:r w:rsidR="00587E25">
        <w:rPr>
          <w:rFonts w:hint="cs"/>
          <w:rtl/>
        </w:rPr>
        <w:t xml:space="preserve"> של</w:t>
      </w:r>
      <w:r w:rsidR="0011792D">
        <w:rPr>
          <w:rFonts w:hint="cs"/>
          <w:rtl/>
        </w:rPr>
        <w:t xml:space="preserve"> אות מסויימת בשעת כתיבתה, אותו לבן מאפשר את הכתיבה, את השינוי, </w:t>
      </w:r>
      <w:r w:rsidR="00587E25">
        <w:rPr>
          <w:rFonts w:hint="cs"/>
          <w:rtl/>
        </w:rPr>
        <w:t xml:space="preserve">אבל הכתיבה יכולה להיות של כל דבר ואינה נגזרת מהלבן של העדר הקו. זה המובן של 'העדר </w:t>
      </w:r>
      <w:r w:rsidR="00F84A21">
        <w:rPr>
          <w:rFonts w:hint="cs"/>
          <w:rtl/>
        </w:rPr>
        <w:t>מיוחד (או פרטי)</w:t>
      </w:r>
      <w:r w:rsidR="00587E25">
        <w:rPr>
          <w:rFonts w:hint="cs"/>
          <w:rtl/>
        </w:rPr>
        <w:t>' ביחס למובן של חומר שגם הוא העדר.</w:t>
      </w:r>
      <w:r w:rsidR="00982C83">
        <w:rPr>
          <w:rFonts w:hint="cs"/>
          <w:rtl/>
        </w:rPr>
        <w:t xml:space="preserve"> </w:t>
      </w:r>
      <w:r w:rsidR="00F84A21">
        <w:rPr>
          <w:rFonts w:hint="cs"/>
          <w:rtl/>
        </w:rPr>
        <w:t>וכמו שכתב במורה נבוכים א' י</w:t>
      </w:r>
      <w:r w:rsidR="00F055C8">
        <w:rPr>
          <w:rtl/>
        </w:rPr>
        <w:t>"</w:t>
      </w:r>
      <w:r w:rsidR="00F84A21">
        <w:rPr>
          <w:rFonts w:hint="cs"/>
          <w:rtl/>
        </w:rPr>
        <w:t>ז</w:t>
      </w:r>
      <w:r w:rsidR="005A1AB4">
        <w:rPr>
          <w:rtl/>
        </w:rPr>
        <w:fldChar w:fldCharType="begin"/>
      </w:r>
      <w:r w:rsidR="005A1AB4">
        <w:instrText xml:space="preserve"> XE "</w:instrText>
      </w:r>
      <w:r w:rsidR="005A1AB4" w:rsidRPr="007E420B">
        <w:rPr>
          <w:rFonts w:hint="cs"/>
          <w:rtl/>
        </w:rPr>
        <w:instrText>מורה נבוכים א' י</w:instrText>
      </w:r>
      <w:r w:rsidR="005A1AB4">
        <w:rPr>
          <w:b/>
          <w:bCs/>
          <w:sz w:val="20"/>
          <w:szCs w:val="20"/>
        </w:rPr>
        <w:instrText>\</w:instrText>
      </w:r>
      <w:r w:rsidR="005A1AB4" w:rsidRPr="007E420B">
        <w:rPr>
          <w:rFonts w:hint="cs"/>
          <w:rtl/>
        </w:rPr>
        <w:instrText>"ז - ההעדר המיוחד</w:instrText>
      </w:r>
      <w:r w:rsidR="005A1AB4">
        <w:instrText xml:space="preserve">" </w:instrText>
      </w:r>
      <w:r w:rsidR="005A1AB4">
        <w:rPr>
          <w:rtl/>
        </w:rPr>
        <w:fldChar w:fldCharType="end"/>
      </w:r>
      <w:r w:rsidR="00F84A21">
        <w:rPr>
          <w:rFonts w:hint="cs"/>
          <w:rtl/>
        </w:rPr>
        <w:t>:</w:t>
      </w:r>
    </w:p>
    <w:p w14:paraId="6E6AFADA" w14:textId="271BA1A9" w:rsidR="005A1AB4" w:rsidRDefault="00F055C8" w:rsidP="005A1AB4">
      <w:pPr>
        <w:pStyle w:val="FootnoteText"/>
      </w:pPr>
      <w:r>
        <w:rPr>
          <w:rtl/>
        </w:rPr>
        <w:t>"</w:t>
      </w:r>
      <w:r w:rsidR="005A1AB4" w:rsidRPr="005A1AB4">
        <w:rPr>
          <w:rtl/>
        </w:rPr>
        <w:t>אתה יודע כי התחלות הנמצאות ההוות הנפסדות</w:t>
      </w:r>
      <w:r w:rsidR="005A1AB4">
        <w:rPr>
          <w:rFonts w:hint="cs"/>
          <w:rtl/>
        </w:rPr>
        <w:t xml:space="preserve"> </w:t>
      </w:r>
      <w:r w:rsidR="005A1AB4" w:rsidRPr="005A1AB4">
        <w:rPr>
          <w:rtl/>
        </w:rPr>
        <w:t>שלושה: החומר, והצורה, וההעדר המיוחד</w:t>
      </w:r>
      <w:r>
        <w:rPr>
          <w:rtl/>
        </w:rPr>
        <w:t>"</w:t>
      </w:r>
    </w:p>
  </w:footnote>
  <w:footnote w:id="341">
    <w:p w14:paraId="6CD83B07" w14:textId="573CEA80" w:rsidR="001749E5" w:rsidRDefault="00817D5B">
      <w:pPr>
        <w:pStyle w:val="FootnoteText"/>
        <w:rPr>
          <w:rtl/>
        </w:rPr>
      </w:pPr>
      <w:r>
        <w:rPr>
          <w:rStyle w:val="FootnoteReference"/>
        </w:rPr>
        <w:footnoteRef/>
      </w:r>
      <w:r>
        <w:rPr>
          <w:rtl/>
        </w:rPr>
        <w:t xml:space="preserve"> </w:t>
      </w:r>
      <w:r>
        <w:rPr>
          <w:rFonts w:hint="cs"/>
          <w:rtl/>
        </w:rPr>
        <w:t>עצמות ההעדר ומציאותו הכוונה להיולי. ההעדר המיוחד הא גילוי פרטי של מציאות ההיולי</w:t>
      </w:r>
      <w:r w:rsidR="00965F66">
        <w:rPr>
          <w:rFonts w:hint="cs"/>
          <w:rtl/>
        </w:rPr>
        <w:t>.</w:t>
      </w:r>
      <w:r w:rsidR="00406E04">
        <w:rPr>
          <w:rFonts w:hint="cs"/>
          <w:rtl/>
        </w:rPr>
        <w:t xml:space="preserve"> להיולי אין שום צורה ושום מהות, וככזה הוא נמצא, הוא הנברא הראשון. ההעדר המיוחד </w:t>
      </w:r>
      <w:r w:rsidR="00643A8C">
        <w:rPr>
          <w:rFonts w:hint="cs"/>
          <w:rtl/>
        </w:rPr>
        <w:t>הוא גילוי של מה שההיולי נמצא בכל, ו</w:t>
      </w:r>
      <w:r w:rsidR="000047F3">
        <w:rPr>
          <w:rFonts w:hint="cs"/>
          <w:rtl/>
        </w:rPr>
        <w:t xml:space="preserve">האופן הפרטי של העצמים שמושפע מההיולי, שהם לא קיימים באופן גמור אלא באופן של בעירה, כמו הסנה שבוער באש ואיננו אוכל, כמו </w:t>
      </w:r>
      <w:r w:rsidR="001749E5">
        <w:rPr>
          <w:rFonts w:hint="cs"/>
          <w:rtl/>
        </w:rPr>
        <w:t>שכתב במורה נבוכים א' ע</w:t>
      </w:r>
      <w:r w:rsidR="00F055C8">
        <w:rPr>
          <w:rtl/>
        </w:rPr>
        <w:t>"</w:t>
      </w:r>
      <w:r w:rsidR="001749E5">
        <w:rPr>
          <w:rFonts w:hint="cs"/>
          <w:rtl/>
        </w:rPr>
        <w:t>ב</w:t>
      </w:r>
      <w:r w:rsidR="007B44C1">
        <w:rPr>
          <w:rtl/>
        </w:rPr>
        <w:fldChar w:fldCharType="begin"/>
      </w:r>
      <w:r w:rsidR="007B44C1">
        <w:instrText xml:space="preserve"> XE "</w:instrText>
      </w:r>
      <w:r w:rsidR="007B44C1" w:rsidRPr="0008512F">
        <w:rPr>
          <w:rFonts w:hint="cs"/>
          <w:rtl/>
        </w:rPr>
        <w:instrText>מורה נבוכים א' ע</w:instrText>
      </w:r>
      <w:r w:rsidR="007B44C1">
        <w:rPr>
          <w:b/>
          <w:bCs/>
          <w:sz w:val="20"/>
          <w:szCs w:val="20"/>
        </w:rPr>
        <w:instrText>\</w:instrText>
      </w:r>
      <w:r w:rsidR="007B44C1" w:rsidRPr="0008512F">
        <w:rPr>
          <w:rFonts w:hint="cs"/>
          <w:rtl/>
        </w:rPr>
        <w:instrText>"ב - ההעדר המיוחד</w:instrText>
      </w:r>
      <w:r w:rsidR="007B44C1">
        <w:instrText xml:space="preserve">" </w:instrText>
      </w:r>
      <w:r w:rsidR="007B44C1">
        <w:rPr>
          <w:rtl/>
        </w:rPr>
        <w:fldChar w:fldCharType="end"/>
      </w:r>
      <w:r w:rsidR="001749E5">
        <w:rPr>
          <w:rFonts w:hint="cs"/>
          <w:rtl/>
        </w:rPr>
        <w:t>:</w:t>
      </w:r>
    </w:p>
    <w:p w14:paraId="6D63E118" w14:textId="350D5CD0" w:rsidR="00817D5B" w:rsidRDefault="00F055C8">
      <w:pPr>
        <w:pStyle w:val="FootnoteText"/>
        <w:rPr>
          <w:rtl/>
        </w:rPr>
      </w:pPr>
      <w:r>
        <w:rPr>
          <w:rtl/>
        </w:rPr>
        <w:t>"</w:t>
      </w:r>
      <w:r w:rsidR="00392824" w:rsidRPr="00392824">
        <w:rPr>
          <w:rtl/>
        </w:rPr>
        <w:t xml:space="preserve">וכל </w:t>
      </w:r>
      <w:r w:rsidR="00392824" w:rsidRPr="00392824">
        <w:rPr>
          <w:rtl/>
        </w:rPr>
        <w:t>הוה נפסד, אמנם יתהוה מן היסודות ואליהם יפסד, ומן היסודות יתהוו קצתם מקצתם ויפסדו קצתם אל קצתם, שחומר הכל אחד. ואי-אפשר הימצא חומר מבלי צורה, ולא תימצא צורה טבעית מאלו ההויים הנפסדים מבלי חומר; יהיה הענין אם-כן בהויות והפסדות, והיות כל מה שיתהוה מהם ויפסיד אליהם חוזר חלילה, כדמות סיבוב הגלגל, עד שתהיה תנועת החומר הזה בעל הצורה בבא בו הצורות זו אחר זו כתנועת הגלגל באנה, כהשתנות ההנחות בעצמם לכל חלק ממנו.</w:t>
      </w:r>
      <w:r>
        <w:rPr>
          <w:rtl/>
        </w:rPr>
        <w:t>"</w:t>
      </w:r>
    </w:p>
    <w:p w14:paraId="0AF48647" w14:textId="44E6FA2E" w:rsidR="00891DA9" w:rsidRDefault="00891DA9">
      <w:pPr>
        <w:pStyle w:val="FootnoteText"/>
        <w:rPr>
          <w:rtl/>
        </w:rPr>
      </w:pPr>
      <w:r>
        <w:rPr>
          <w:rFonts w:hint="cs"/>
          <w:rtl/>
        </w:rPr>
        <w:t>ושם ג' ח'</w:t>
      </w:r>
      <w:r w:rsidR="00B237FF">
        <w:rPr>
          <w:rtl/>
        </w:rPr>
        <w:fldChar w:fldCharType="begin"/>
      </w:r>
      <w:r w:rsidR="00B237FF">
        <w:instrText xml:space="preserve"> XE "</w:instrText>
      </w:r>
      <w:r w:rsidR="00B237FF" w:rsidRPr="00CD1F77">
        <w:rPr>
          <w:rFonts w:hint="cs"/>
          <w:rtl/>
        </w:rPr>
        <w:instrText>מורה נבוכים ג ח - ההעדר המיוחד</w:instrText>
      </w:r>
      <w:r w:rsidR="00B237FF">
        <w:instrText xml:space="preserve">" </w:instrText>
      </w:r>
      <w:r w:rsidR="00B237FF">
        <w:rPr>
          <w:rtl/>
        </w:rPr>
        <w:fldChar w:fldCharType="end"/>
      </w:r>
      <w:r>
        <w:rPr>
          <w:rFonts w:hint="cs"/>
          <w:rtl/>
        </w:rPr>
        <w:t>:</w:t>
      </w:r>
    </w:p>
    <w:p w14:paraId="4AE0F13D" w14:textId="6BB6D650" w:rsidR="00392824" w:rsidRDefault="00F055C8" w:rsidP="007B44C1">
      <w:pPr>
        <w:pStyle w:val="FootnoteText"/>
      </w:pPr>
      <w:r>
        <w:rPr>
          <w:rtl/>
        </w:rPr>
        <w:t>"</w:t>
      </w:r>
      <w:r w:rsidR="00891DA9" w:rsidRPr="00891DA9">
        <w:rPr>
          <w:rtl/>
        </w:rPr>
        <w:t>כל הגשמים ההווים הנפסדים לא ישיגם ההפסד רק מצד החומר שלהם לא זולת זה. אבל מצד הצורה ובבחינת עצם הצורה לא ישיגם הפסד רק הם עומדים. הלא תראה שהצורות המיניות כולם מתמידות עומדות ואמנם ישיג הפסד לצורה במקרה - רצוני לומר מפני התחברה לחומר וטבע החומר ואמיתתו - שהוא לעולם לא ימלט מחברת ההעדר ומפני זה לא תתקים בו צורה אבל יפשיט צורה וילבש צורה אחרת תמיד</w:t>
      </w:r>
      <w:r>
        <w:rPr>
          <w:rtl/>
        </w:rPr>
        <w:t>"</w:t>
      </w:r>
    </w:p>
  </w:footnote>
  <w:footnote w:id="342">
    <w:p w14:paraId="55C540C7" w14:textId="3F7EF4ED" w:rsidR="009F3692" w:rsidRDefault="009F3692">
      <w:pPr>
        <w:pStyle w:val="FootnoteText"/>
      </w:pPr>
      <w:r>
        <w:rPr>
          <w:rStyle w:val="FootnoteReference"/>
        </w:rPr>
        <w:footnoteRef/>
      </w:r>
      <w:r>
        <w:rPr>
          <w:rtl/>
        </w:rPr>
        <w:t xml:space="preserve"> </w:t>
      </w:r>
      <w:r>
        <w:rPr>
          <w:rFonts w:hint="cs"/>
          <w:rtl/>
        </w:rPr>
        <w:t xml:space="preserve">ה'בכח' הוא האפשרות, שהמימוש שלה הוא היציאה אל הפועל, ההשלמה של הדבר. </w:t>
      </w:r>
      <w:r w:rsidR="00723CC2">
        <w:rPr>
          <w:rFonts w:hint="cs"/>
          <w:rtl/>
        </w:rPr>
        <w:t xml:space="preserve">למשל מה שאין צבע לבן בקיר, הוא 'בכח' </w:t>
      </w:r>
      <w:r w:rsidR="00984C87">
        <w:rPr>
          <w:rFonts w:hint="cs"/>
          <w:rtl/>
        </w:rPr>
        <w:t>לצבע לבן, אפשרות שהקיר יהיה לבן, ו</w:t>
      </w:r>
      <w:r w:rsidR="00723CC2">
        <w:rPr>
          <w:rFonts w:hint="cs"/>
          <w:rtl/>
        </w:rPr>
        <w:t>המימוש של</w:t>
      </w:r>
      <w:r w:rsidR="00984C87">
        <w:rPr>
          <w:rFonts w:hint="cs"/>
          <w:rtl/>
        </w:rPr>
        <w:t xml:space="preserve"> האפשרות</w:t>
      </w:r>
      <w:r w:rsidR="00723CC2">
        <w:rPr>
          <w:rFonts w:hint="cs"/>
          <w:rtl/>
        </w:rPr>
        <w:t xml:space="preserve"> הוא שהקיר נצבע בלבן. </w:t>
      </w:r>
      <w:r w:rsidR="00B163BD">
        <w:rPr>
          <w:rFonts w:hint="cs"/>
          <w:rtl/>
        </w:rPr>
        <w:t xml:space="preserve">על דרך זו צריך </w:t>
      </w:r>
      <w:r w:rsidR="00C461B8">
        <w:rPr>
          <w:rFonts w:hint="cs"/>
          <w:rtl/>
        </w:rPr>
        <w:t xml:space="preserve">היה </w:t>
      </w:r>
      <w:r w:rsidR="00B163BD">
        <w:rPr>
          <w:rFonts w:hint="cs"/>
          <w:rtl/>
        </w:rPr>
        <w:t xml:space="preserve">לומר שמציאות הצורה היא </w:t>
      </w:r>
      <w:r w:rsidR="00984C87">
        <w:rPr>
          <w:rFonts w:hint="cs"/>
          <w:rtl/>
        </w:rPr>
        <w:t>'</w:t>
      </w:r>
      <w:r w:rsidR="00B163BD">
        <w:rPr>
          <w:rFonts w:hint="cs"/>
          <w:rtl/>
        </w:rPr>
        <w:t>בכח</w:t>
      </w:r>
      <w:r w:rsidR="00984C87">
        <w:rPr>
          <w:rFonts w:hint="cs"/>
          <w:rtl/>
        </w:rPr>
        <w:t>'</w:t>
      </w:r>
      <w:r w:rsidR="00B163BD">
        <w:rPr>
          <w:rFonts w:hint="cs"/>
          <w:rtl/>
        </w:rPr>
        <w:t xml:space="preserve"> להתהוות ההעדר ויצ</w:t>
      </w:r>
      <w:r w:rsidR="00984C87">
        <w:rPr>
          <w:rFonts w:hint="cs"/>
          <w:rtl/>
        </w:rPr>
        <w:t>י</w:t>
      </w:r>
      <w:r w:rsidR="00B163BD">
        <w:rPr>
          <w:rFonts w:hint="cs"/>
          <w:rtl/>
        </w:rPr>
        <w:t xml:space="preserve">אתו </w:t>
      </w:r>
      <w:r w:rsidR="00984C87">
        <w:rPr>
          <w:rFonts w:hint="cs"/>
          <w:rtl/>
        </w:rPr>
        <w:t>אל</w:t>
      </w:r>
      <w:r w:rsidR="00B163BD">
        <w:rPr>
          <w:rFonts w:hint="cs"/>
          <w:rtl/>
        </w:rPr>
        <w:t xml:space="preserve"> הפועל, כי יש אפשרות שהצורה </w:t>
      </w:r>
      <w:r w:rsidR="00B163BD">
        <w:rPr>
          <w:rFonts w:hint="cs"/>
          <w:rtl/>
        </w:rPr>
        <w:t xml:space="preserve">תיפסד ואז ייצא לפועל ההעדר שהיה 'בכח' </w:t>
      </w:r>
      <w:r w:rsidR="00984C87">
        <w:rPr>
          <w:rFonts w:hint="cs"/>
          <w:rtl/>
        </w:rPr>
        <w:t xml:space="preserve">בצורה </w:t>
      </w:r>
      <w:r w:rsidR="00B163BD">
        <w:rPr>
          <w:rFonts w:hint="cs"/>
          <w:rtl/>
        </w:rPr>
        <w:t xml:space="preserve">בזמן שהצורה הייתה קיימת. </w:t>
      </w:r>
      <w:r w:rsidR="00A76F0A">
        <w:rPr>
          <w:rFonts w:hint="cs"/>
          <w:rtl/>
        </w:rPr>
        <w:t xml:space="preserve">אבל </w:t>
      </w:r>
      <w:r w:rsidR="00C461B8">
        <w:rPr>
          <w:rFonts w:hint="cs"/>
          <w:rtl/>
        </w:rPr>
        <w:t xml:space="preserve">לפי האמת </w:t>
      </w:r>
      <w:r w:rsidR="00A76F0A">
        <w:rPr>
          <w:rFonts w:hint="cs"/>
          <w:rtl/>
        </w:rPr>
        <w:t xml:space="preserve">כשהצורה נפסדת ההעדר לא יצא אל הפועל ונשלמה הווייתו, כי אין לו הווייה באופן כזה. </w:t>
      </w:r>
    </w:p>
  </w:footnote>
  <w:footnote w:id="343">
    <w:p w14:paraId="779DC204" w14:textId="331BDFDE" w:rsidR="00A92D98" w:rsidRDefault="00A92D98">
      <w:pPr>
        <w:pStyle w:val="FootnoteText"/>
      </w:pPr>
      <w:r>
        <w:rPr>
          <w:rStyle w:val="FootnoteReference"/>
        </w:rPr>
        <w:footnoteRef/>
      </w:r>
      <w:r>
        <w:rPr>
          <w:rtl/>
        </w:rPr>
        <w:t xml:space="preserve"> </w:t>
      </w:r>
      <w:r>
        <w:rPr>
          <w:rFonts w:hint="cs"/>
          <w:rtl/>
        </w:rPr>
        <w:t>ההיולי, הצורה וההעדר.</w:t>
      </w:r>
    </w:p>
  </w:footnote>
  <w:footnote w:id="344">
    <w:p w14:paraId="0F1D54D5" w14:textId="5559543E" w:rsidR="00DD7DCA" w:rsidRDefault="00DD7DCA">
      <w:pPr>
        <w:pStyle w:val="FootnoteText"/>
      </w:pPr>
      <w:r>
        <w:rPr>
          <w:rStyle w:val="FootnoteReference"/>
        </w:rPr>
        <w:footnoteRef/>
      </w:r>
      <w:r>
        <w:rPr>
          <w:rtl/>
        </w:rPr>
        <w:t xml:space="preserve"> </w:t>
      </w:r>
      <w:r w:rsidR="00B524A5" w:rsidRPr="00263A85">
        <w:rPr>
          <w:rtl/>
        </w:rPr>
        <w:t xml:space="preserve">במקור </w:t>
      </w:r>
      <w:r w:rsidR="00FD4D1D" w:rsidRPr="00263A85">
        <w:rPr>
          <w:rFonts w:ascii="Arial" w:hAnsi="Arial" w:cs="Arial" w:hint="cs"/>
          <w:rtl/>
          <w:lang w:bidi="ar-SA"/>
        </w:rPr>
        <w:t>ب</w:t>
      </w:r>
      <w:r w:rsidR="00B524A5" w:rsidRPr="00263A85">
        <w:rPr>
          <w:rFonts w:ascii="Arial" w:hAnsi="Arial" w:cs="Arial" w:hint="cs"/>
          <w:rtl/>
          <w:lang w:bidi="ar-SA"/>
        </w:rPr>
        <w:t>القياس</w:t>
      </w:r>
      <w:r w:rsidR="002818C3" w:rsidRPr="00263A85">
        <w:rPr>
          <w:rtl/>
        </w:rPr>
        <w:t xml:space="preserve"> (</w:t>
      </w:r>
      <w:r w:rsidR="002818C3" w:rsidRPr="00263A85">
        <w:rPr>
          <w:rtl/>
        </w:rPr>
        <w:t>קיאס)</w:t>
      </w:r>
      <w:r w:rsidR="00B524A5" w:rsidRPr="00263A85">
        <w:rPr>
          <w:rtl/>
        </w:rPr>
        <w:t xml:space="preserve">. </w:t>
      </w:r>
      <w:r w:rsidR="002818C3" w:rsidRPr="00263A85">
        <w:rPr>
          <w:rtl/>
        </w:rPr>
        <w:t xml:space="preserve">אבן תיבון בתרגום המורה נבוכים מתרגם מילה זו "היקש". </w:t>
      </w:r>
      <w:r w:rsidR="00B524A5" w:rsidRPr="005D24D2">
        <w:rPr>
          <w:rtl/>
        </w:rPr>
        <w:t xml:space="preserve"> </w:t>
      </w:r>
    </w:p>
  </w:footnote>
  <w:footnote w:id="345">
    <w:p w14:paraId="5AF4534C" w14:textId="489E5D01" w:rsidR="00044E9F" w:rsidRDefault="00044E9F">
      <w:pPr>
        <w:pStyle w:val="FootnoteText"/>
      </w:pPr>
      <w:r>
        <w:rPr>
          <w:rStyle w:val="FootnoteReference"/>
        </w:rPr>
        <w:footnoteRef/>
      </w:r>
      <w:r>
        <w:rPr>
          <w:rtl/>
        </w:rPr>
        <w:t xml:space="preserve"> </w:t>
      </w:r>
      <w:r w:rsidR="00733964" w:rsidRPr="00733964">
        <w:rPr>
          <w:rFonts w:cs="Times New Roman" w:hint="eastAsia"/>
          <w:rtl/>
          <w:lang w:bidi="ar-SA"/>
        </w:rPr>
        <w:t>اسم</w:t>
      </w:r>
      <w:r w:rsidR="00A67E19">
        <w:rPr>
          <w:rFonts w:cs="Times New Roman" w:hint="cs"/>
          <w:rtl/>
        </w:rPr>
        <w:t xml:space="preserve"> -</w:t>
      </w:r>
      <w:r w:rsidR="00733964">
        <w:rPr>
          <w:rFonts w:cs="Times New Roman" w:hint="cs"/>
          <w:rtl/>
        </w:rPr>
        <w:t xml:space="preserve"> </w:t>
      </w:r>
      <w:r w:rsidR="0070770F">
        <w:rPr>
          <w:rFonts w:hint="cs"/>
          <w:rtl/>
        </w:rPr>
        <w:t>שם</w:t>
      </w:r>
      <w:r w:rsidR="00A67E19">
        <w:rPr>
          <w:rFonts w:hint="cs"/>
          <w:rtl/>
        </w:rPr>
        <w:t>.</w:t>
      </w:r>
      <w:r w:rsidR="0070770F">
        <w:rPr>
          <w:rFonts w:hint="cs"/>
          <w:rtl/>
        </w:rPr>
        <w:t xml:space="preserve"> </w:t>
      </w:r>
      <w:r w:rsidR="00A67E19">
        <w:rPr>
          <w:rFonts w:hint="cs"/>
          <w:rtl/>
        </w:rPr>
        <w:t xml:space="preserve">"שם" </w:t>
      </w:r>
      <w:r w:rsidR="0070770F">
        <w:rPr>
          <w:rFonts w:hint="cs"/>
          <w:rtl/>
        </w:rPr>
        <w:t>פירושו בעברית של ימי הביניים</w:t>
      </w:r>
      <w:r w:rsidR="00B4006F">
        <w:rPr>
          <w:rFonts w:hint="cs"/>
          <w:rtl/>
        </w:rPr>
        <w:t xml:space="preserve"> (תרגומי שמואל אבן תיבון)</w:t>
      </w:r>
      <w:r w:rsidR="0070770F">
        <w:rPr>
          <w:rFonts w:hint="cs"/>
          <w:rtl/>
        </w:rPr>
        <w:t xml:space="preserve"> </w:t>
      </w:r>
      <w:r w:rsidR="00BD5FF4">
        <w:rPr>
          <w:rFonts w:hint="cs"/>
          <w:rtl/>
        </w:rPr>
        <w:t xml:space="preserve">כמו בערבית, והוא </w:t>
      </w:r>
      <w:r w:rsidR="0070770F">
        <w:rPr>
          <w:rFonts w:hint="cs"/>
          <w:rtl/>
        </w:rPr>
        <w:t xml:space="preserve">מה שאנו קוראים לו "מילה". </w:t>
      </w:r>
      <w:r w:rsidR="00A67E19">
        <w:rPr>
          <w:rFonts w:hint="cs"/>
          <w:rtl/>
        </w:rPr>
        <w:t xml:space="preserve">"מילה" בלשון ימי הביניים היא מה שאנו קוראים לו אות. </w:t>
      </w:r>
      <w:r w:rsidR="00A73B88">
        <w:rPr>
          <w:rFonts w:hint="cs"/>
          <w:rtl/>
        </w:rPr>
        <w:t xml:space="preserve">עיין מילות </w:t>
      </w:r>
      <w:r w:rsidR="00A73B88">
        <w:rPr>
          <w:rFonts w:hint="cs"/>
          <w:rtl/>
        </w:rPr>
        <w:t xml:space="preserve">ההגיון לרמב"ם שער י"ג. </w:t>
      </w:r>
    </w:p>
  </w:footnote>
  <w:footnote w:id="346">
    <w:p w14:paraId="50F5770B" w14:textId="3BD9415F" w:rsidR="00A23D66" w:rsidRDefault="00A23D66">
      <w:pPr>
        <w:pStyle w:val="FootnoteText"/>
      </w:pPr>
      <w:r>
        <w:rPr>
          <w:rStyle w:val="FootnoteReference"/>
        </w:rPr>
        <w:footnoteRef/>
      </w:r>
      <w:r>
        <w:rPr>
          <w:rtl/>
        </w:rPr>
        <w:t xml:space="preserve"> </w:t>
      </w:r>
      <w:r w:rsidR="00044E9F" w:rsidRPr="00044E9F">
        <w:rPr>
          <w:rFonts w:cs="Times New Roman" w:hint="eastAsia"/>
          <w:rtl/>
          <w:lang w:bidi="ar-SA"/>
        </w:rPr>
        <w:t>يعم</w:t>
      </w:r>
      <w:r w:rsidR="00044E9F">
        <w:rPr>
          <w:rFonts w:cs="Times New Roman" w:hint="cs"/>
          <w:rtl/>
        </w:rPr>
        <w:t>.</w:t>
      </w:r>
    </w:p>
  </w:footnote>
  <w:footnote w:id="347">
    <w:p w14:paraId="2DE43C04" w14:textId="6F6CEE9E" w:rsidR="00B41A6C" w:rsidRDefault="00B41A6C">
      <w:pPr>
        <w:pStyle w:val="FootnoteText"/>
      </w:pPr>
      <w:r>
        <w:rPr>
          <w:rStyle w:val="FootnoteReference"/>
        </w:rPr>
        <w:footnoteRef/>
      </w:r>
      <w:r>
        <w:rPr>
          <w:rtl/>
        </w:rPr>
        <w:t xml:space="preserve"> </w:t>
      </w:r>
      <w:r>
        <w:rPr>
          <w:rFonts w:hint="cs"/>
          <w:rtl/>
        </w:rPr>
        <w:t xml:space="preserve">מקגיניס כתב שנראה שהכוונה ל </w:t>
      </w:r>
      <w:r w:rsidRPr="00B41A6C">
        <w:rPr>
          <w:rtl/>
        </w:rPr>
        <w:t xml:space="preserve"> </w:t>
      </w:r>
      <w:r w:rsidRPr="00B41A6C">
        <w:t>Kit</w:t>
      </w:r>
      <w:r w:rsidRPr="00B41A6C">
        <w:rPr>
          <w:rFonts w:ascii="Calibri" w:hAnsi="Calibri" w:cs="Calibri"/>
        </w:rPr>
        <w:t>ā</w:t>
      </w:r>
      <w:r w:rsidRPr="00B41A6C">
        <w:t>b al-jadal 2.2</w:t>
      </w:r>
      <w:r w:rsidRPr="00B41A6C">
        <w:rPr>
          <w:rtl/>
        </w:rPr>
        <w:t>.</w:t>
      </w:r>
    </w:p>
  </w:footnote>
  <w:footnote w:id="348">
    <w:p w14:paraId="0331BE92" w14:textId="057DFDA2" w:rsidR="002374B9" w:rsidRDefault="002374B9">
      <w:pPr>
        <w:pStyle w:val="FootnoteText"/>
        <w:rPr>
          <w:rtl/>
        </w:rPr>
      </w:pPr>
      <w:r>
        <w:rPr>
          <w:rStyle w:val="FootnoteReference"/>
        </w:rPr>
        <w:footnoteRef/>
      </w:r>
      <w:r>
        <w:rPr>
          <w:rtl/>
        </w:rPr>
        <w:t xml:space="preserve"> </w:t>
      </w:r>
      <w:r w:rsidR="003C4D9D">
        <w:rPr>
          <w:rFonts w:hint="cs"/>
          <w:rtl/>
        </w:rPr>
        <w:t xml:space="preserve">עיין בזה </w:t>
      </w:r>
      <w:hyperlink r:id="rId82" w:history="1">
        <w:r w:rsidR="003C4D9D" w:rsidRPr="0083108A">
          <w:rPr>
            <w:rStyle w:val="Hyperlink"/>
            <w:rFonts w:hint="cs"/>
            <w:rtl/>
          </w:rPr>
          <w:t xml:space="preserve">מילות </w:t>
        </w:r>
        <w:r w:rsidR="003C4D9D" w:rsidRPr="0083108A">
          <w:rPr>
            <w:rStyle w:val="Hyperlink"/>
            <w:rFonts w:hint="cs"/>
            <w:rtl/>
          </w:rPr>
          <w:t>ההגיון לרמב</w:t>
        </w:r>
        <w:r w:rsidR="00F055C8" w:rsidRPr="0083108A">
          <w:rPr>
            <w:rStyle w:val="Hyperlink"/>
            <w:rtl/>
          </w:rPr>
          <w:t>"</w:t>
        </w:r>
        <w:r w:rsidR="003C4D9D" w:rsidRPr="0083108A">
          <w:rPr>
            <w:rStyle w:val="Hyperlink"/>
            <w:rFonts w:hint="cs"/>
            <w:rtl/>
          </w:rPr>
          <w:t>ם שער י</w:t>
        </w:r>
        <w:r w:rsidR="00F055C8" w:rsidRPr="0083108A">
          <w:rPr>
            <w:rStyle w:val="Hyperlink"/>
            <w:rtl/>
          </w:rPr>
          <w:t>"</w:t>
        </w:r>
        <w:r w:rsidR="003C4D9D" w:rsidRPr="0083108A">
          <w:rPr>
            <w:rStyle w:val="Hyperlink"/>
            <w:rFonts w:hint="cs"/>
            <w:rtl/>
          </w:rPr>
          <w:t>ג</w:t>
        </w:r>
      </w:hyperlink>
      <w:r w:rsidR="00C01DAD">
        <w:rPr>
          <w:rFonts w:hint="cs"/>
          <w:rtl/>
        </w:rPr>
        <w:t>:</w:t>
      </w:r>
    </w:p>
    <w:p w14:paraId="47C84F90" w14:textId="1791F4AE" w:rsidR="00F055C8" w:rsidRDefault="00F055C8" w:rsidP="00C01DAD">
      <w:pPr>
        <w:pStyle w:val="FootnoteText"/>
        <w:rPr>
          <w:rtl/>
        </w:rPr>
      </w:pPr>
      <w:r>
        <w:rPr>
          <w:rtl/>
        </w:rPr>
        <w:t>"</w:t>
      </w:r>
      <w:r w:rsidR="00C01DAD">
        <w:rPr>
          <w:rtl/>
        </w:rPr>
        <w:t>וכאשר יהיה שם אחד לענינים רבים הנה</w:t>
      </w:r>
      <w:r w:rsidR="00C01DAD" w:rsidRPr="00106D07">
        <w:rPr>
          <w:b/>
          <w:bCs/>
          <w:rtl/>
        </w:rPr>
        <w:t xml:space="preserve"> שם משותף</w:t>
      </w:r>
      <w:r w:rsidR="00C01DAD">
        <w:rPr>
          <w:rtl/>
        </w:rPr>
        <w:t xml:space="preserve">; וכאשר יהיו שמות משונים לענינים שונים, שכל אחד יש לו שם מיוחד, הנה אלו השמות </w:t>
      </w:r>
      <w:r w:rsidR="00C01DAD" w:rsidRPr="00106D07">
        <w:rPr>
          <w:b/>
          <w:bCs/>
          <w:rtl/>
        </w:rPr>
        <w:t>נבדלים</w:t>
      </w:r>
      <w:r w:rsidR="00106D07" w:rsidRPr="00961F42">
        <w:rPr>
          <w:rFonts w:hint="cs"/>
          <w:rtl/>
        </w:rPr>
        <w:t xml:space="preserve"> [זה מה שכתב כאן אבן סינא </w:t>
      </w:r>
      <w:r w:rsidR="00830996">
        <w:rPr>
          <w:rFonts w:hint="cs"/>
          <w:rtl/>
        </w:rPr>
        <w:t>"</w:t>
      </w:r>
      <w:r w:rsidR="00106D07" w:rsidRPr="00961F42">
        <w:rPr>
          <w:rFonts w:hint="cs"/>
          <w:rtl/>
        </w:rPr>
        <w:t>השמות שהם אחדים במשמעות</w:t>
      </w:r>
      <w:r w:rsidR="00830996">
        <w:rPr>
          <w:rFonts w:hint="cs"/>
          <w:rtl/>
        </w:rPr>
        <w:t>"</w:t>
      </w:r>
      <w:r w:rsidR="00106D07" w:rsidRPr="00961F42">
        <w:rPr>
          <w:rFonts w:hint="cs"/>
          <w:rtl/>
        </w:rPr>
        <w:t>, כלומר לכל מילה יש משמעות אחת בלבד]</w:t>
      </w:r>
      <w:r w:rsidR="00C01DAD" w:rsidRPr="00961F42">
        <w:rPr>
          <w:rtl/>
        </w:rPr>
        <w:t xml:space="preserve">. </w:t>
      </w:r>
      <w:r>
        <w:rPr>
          <w:rFonts w:hint="cs"/>
          <w:rtl/>
        </w:rPr>
        <w:t>...</w:t>
      </w:r>
    </w:p>
    <w:p w14:paraId="76D9444F" w14:textId="15151424" w:rsidR="00C01DAD" w:rsidRDefault="00C01DAD" w:rsidP="00C01DAD">
      <w:pPr>
        <w:pStyle w:val="FootnoteText"/>
        <w:rPr>
          <w:rtl/>
        </w:rPr>
      </w:pPr>
      <w:r>
        <w:rPr>
          <w:rtl/>
        </w:rPr>
        <w:t xml:space="preserve">והיותם קוראים </w:t>
      </w:r>
      <w:r w:rsidR="00F055C8">
        <w:rPr>
          <w:rtl/>
        </w:rPr>
        <w:t>"</w:t>
      </w:r>
      <w:r>
        <w:rPr>
          <w:rtl/>
        </w:rPr>
        <w:t>עין</w:t>
      </w:r>
      <w:r w:rsidR="00F055C8">
        <w:rPr>
          <w:rtl/>
        </w:rPr>
        <w:t>"</w:t>
      </w:r>
      <w:r>
        <w:rPr>
          <w:rtl/>
        </w:rPr>
        <w:t xml:space="preserve"> את העין הרואה ואת מבוע המים הנה אלו השמות </w:t>
      </w:r>
      <w:r w:rsidRPr="00335FAE">
        <w:rPr>
          <w:b/>
          <w:bCs/>
          <w:rtl/>
        </w:rPr>
        <w:t>משותפים</w:t>
      </w:r>
      <w:r w:rsidR="00335FAE">
        <w:rPr>
          <w:rFonts w:hint="cs"/>
          <w:rtl/>
        </w:rPr>
        <w:t xml:space="preserve"> </w:t>
      </w:r>
      <w:r w:rsidR="00335FAE" w:rsidRPr="00335FAE">
        <w:rPr>
          <w:rFonts w:hint="cs"/>
          <w:rtl/>
        </w:rPr>
        <w:t xml:space="preserve">[המילה </w:t>
      </w:r>
      <w:r w:rsidR="00830996">
        <w:rPr>
          <w:rFonts w:hint="cs"/>
          <w:rtl/>
        </w:rPr>
        <w:t>'</w:t>
      </w:r>
      <w:r w:rsidR="00335FAE" w:rsidRPr="00335FAE">
        <w:rPr>
          <w:rFonts w:hint="cs"/>
          <w:rtl/>
        </w:rPr>
        <w:t>עין</w:t>
      </w:r>
      <w:r w:rsidR="00830996">
        <w:rPr>
          <w:rFonts w:hint="cs"/>
          <w:rtl/>
        </w:rPr>
        <w:t>'</w:t>
      </w:r>
      <w:r w:rsidR="00335FAE" w:rsidRPr="00335FAE">
        <w:rPr>
          <w:rFonts w:hint="cs"/>
          <w:rtl/>
        </w:rPr>
        <w:t xml:space="preserve"> משותפת לשני מובנים נפרדים לגמרי]</w:t>
      </w:r>
      <w:r>
        <w:rPr>
          <w:rtl/>
        </w:rPr>
        <w:t xml:space="preserve">. ואמנם </w:t>
      </w:r>
      <w:r w:rsidR="00F055C8">
        <w:rPr>
          <w:rtl/>
        </w:rPr>
        <w:t>"</w:t>
      </w:r>
      <w:r>
        <w:rPr>
          <w:rtl/>
        </w:rPr>
        <w:t>המים</w:t>
      </w:r>
      <w:r w:rsidR="00F055C8">
        <w:rPr>
          <w:rtl/>
        </w:rPr>
        <w:t>"</w:t>
      </w:r>
      <w:r>
        <w:rPr>
          <w:rtl/>
        </w:rPr>
        <w:t xml:space="preserve"> </w:t>
      </w:r>
      <w:r w:rsidR="00F055C8">
        <w:rPr>
          <w:rtl/>
        </w:rPr>
        <w:t>"</w:t>
      </w:r>
      <w:r>
        <w:rPr>
          <w:rtl/>
        </w:rPr>
        <w:t>האש</w:t>
      </w:r>
      <w:r w:rsidR="00F055C8">
        <w:rPr>
          <w:rtl/>
        </w:rPr>
        <w:t>"</w:t>
      </w:r>
      <w:r>
        <w:rPr>
          <w:rtl/>
        </w:rPr>
        <w:t xml:space="preserve"> ו</w:t>
      </w:r>
      <w:r w:rsidR="00F055C8">
        <w:rPr>
          <w:rtl/>
        </w:rPr>
        <w:t>"</w:t>
      </w:r>
      <w:r>
        <w:rPr>
          <w:rtl/>
        </w:rPr>
        <w:t>האילן</w:t>
      </w:r>
      <w:r w:rsidR="00F055C8">
        <w:rPr>
          <w:rtl/>
        </w:rPr>
        <w:t>"</w:t>
      </w:r>
      <w:r>
        <w:rPr>
          <w:rtl/>
        </w:rPr>
        <w:t xml:space="preserve"> הנם שמות נבדלים וכן כל השמות הדומים לאלו.</w:t>
      </w:r>
    </w:p>
    <w:p w14:paraId="224CED89" w14:textId="4E4AA0EA" w:rsidR="006340E4" w:rsidRDefault="00C01DAD" w:rsidP="00C01DAD">
      <w:pPr>
        <w:pStyle w:val="FootnoteText"/>
        <w:rPr>
          <w:rtl/>
        </w:rPr>
      </w:pPr>
      <w:r>
        <w:rPr>
          <w:rtl/>
        </w:rPr>
        <w:t xml:space="preserve">והשמות המשותפים יחלקו לששה חלקים: מהם משותפים שתוף גמור, מהם מוסכמים, </w:t>
      </w:r>
      <w:r w:rsidR="006340E4">
        <w:rPr>
          <w:rFonts w:hint="cs"/>
          <w:rtl/>
        </w:rPr>
        <w:t>...</w:t>
      </w:r>
    </w:p>
    <w:p w14:paraId="6543C156" w14:textId="6F43E2C5" w:rsidR="00C01DAD" w:rsidRDefault="00C01DAD" w:rsidP="009C0CCB">
      <w:pPr>
        <w:pStyle w:val="FootnoteText"/>
      </w:pPr>
      <w:r>
        <w:rPr>
          <w:rtl/>
        </w:rPr>
        <w:t>והשם הנאמר בהסכמה</w:t>
      </w:r>
      <w:r w:rsidR="00130779">
        <w:rPr>
          <w:rFonts w:hint="cs"/>
          <w:rtl/>
        </w:rPr>
        <w:t>...</w:t>
      </w:r>
      <w:r>
        <w:rPr>
          <w:rtl/>
        </w:rPr>
        <w:t xml:space="preserve"> כשם </w:t>
      </w:r>
      <w:r w:rsidR="00F055C8">
        <w:rPr>
          <w:rtl/>
        </w:rPr>
        <w:t>"</w:t>
      </w:r>
      <w:r>
        <w:rPr>
          <w:rtl/>
        </w:rPr>
        <w:t>חי</w:t>
      </w:r>
      <w:r w:rsidR="00F055C8">
        <w:rPr>
          <w:rtl/>
        </w:rPr>
        <w:t>"</w:t>
      </w:r>
      <w:r>
        <w:rPr>
          <w:rtl/>
        </w:rPr>
        <w:t xml:space="preserve"> הנאמר על האדם, הסוס, העקרב והדג, כי ענין החיות, אשר היא ההזנה וההרגש, נמצא בכל אלו המינים ומעמידם.</w:t>
      </w:r>
      <w:r w:rsidR="00F055C8">
        <w:rPr>
          <w:rtl/>
        </w:rPr>
        <w:t>"</w:t>
      </w:r>
      <w:r w:rsidR="00104A91">
        <w:rPr>
          <w:rFonts w:hint="cs"/>
          <w:rtl/>
        </w:rPr>
        <w:t xml:space="preserve"> ועיין עוד שם. </w:t>
      </w:r>
    </w:p>
  </w:footnote>
  <w:footnote w:id="349">
    <w:p w14:paraId="1E71C915" w14:textId="407F4683" w:rsidR="0063756D" w:rsidRDefault="0063756D">
      <w:pPr>
        <w:pStyle w:val="FootnoteText"/>
        <w:rPr>
          <w:rtl/>
        </w:rPr>
      </w:pPr>
      <w:r>
        <w:rPr>
          <w:rStyle w:val="FootnoteReference"/>
        </w:rPr>
        <w:footnoteRef/>
      </w:r>
      <w:r>
        <w:rPr>
          <w:rtl/>
        </w:rPr>
        <w:t xml:space="preserve"> </w:t>
      </w:r>
      <w:r>
        <w:rPr>
          <w:rFonts w:hint="cs"/>
          <w:rtl/>
        </w:rPr>
        <w:t>תוכן הפרק:</w:t>
      </w:r>
    </w:p>
    <w:p w14:paraId="1A440F9B" w14:textId="1DE712D1" w:rsidR="0063756D" w:rsidRDefault="00342E80">
      <w:pPr>
        <w:pStyle w:val="FootnoteText"/>
        <w:rPr>
          <w:rtl/>
        </w:rPr>
      </w:pPr>
      <w:r>
        <w:rPr>
          <w:rFonts w:hint="cs"/>
          <w:rtl/>
        </w:rPr>
        <w:t xml:space="preserve">לראובן ולשמעון יש אותה צורה, היא צורת אדם, שהיא 'חי מדבר'. אם אומרים על ראובן 'אדם' ועל שמעון 'אדם', המילה </w:t>
      </w:r>
      <w:r w:rsidR="00053F10">
        <w:rPr>
          <w:rFonts w:hint="cs"/>
          <w:rtl/>
        </w:rPr>
        <w:t>'</w:t>
      </w:r>
      <w:r>
        <w:rPr>
          <w:rFonts w:hint="cs"/>
          <w:rtl/>
        </w:rPr>
        <w:t>אדם</w:t>
      </w:r>
      <w:r w:rsidR="00053F10">
        <w:rPr>
          <w:rFonts w:hint="cs"/>
          <w:rtl/>
        </w:rPr>
        <w:t>'</w:t>
      </w:r>
      <w:r>
        <w:rPr>
          <w:rFonts w:hint="cs"/>
          <w:rtl/>
        </w:rPr>
        <w:t xml:space="preserve"> יש לה אותו מובן עצמו, </w:t>
      </w:r>
      <w:r w:rsidR="00053F10">
        <w:rPr>
          <w:rFonts w:hint="cs"/>
          <w:rtl/>
        </w:rPr>
        <w:t xml:space="preserve">מובן אחד, והיא שם נבדל. כי המילה מציינת </w:t>
      </w:r>
      <w:r w:rsidR="00240BB6">
        <w:rPr>
          <w:rFonts w:hint="cs"/>
          <w:rtl/>
        </w:rPr>
        <w:t xml:space="preserve">צורה שהיא אותה צורה עצמה. </w:t>
      </w:r>
    </w:p>
    <w:p w14:paraId="3DC1CD7F" w14:textId="0AA6594E" w:rsidR="00B00F20" w:rsidRDefault="00240BB6">
      <w:pPr>
        <w:pStyle w:val="FootnoteText"/>
        <w:rPr>
          <w:rtl/>
        </w:rPr>
      </w:pPr>
      <w:r>
        <w:rPr>
          <w:rFonts w:hint="cs"/>
          <w:rtl/>
        </w:rPr>
        <w:t>לעומת זאת אם אומרים על ראובן זקן ועל שמעון זקן, המילה זקן יש לה מובן שונה</w:t>
      </w:r>
      <w:r w:rsidR="00BA0292">
        <w:rPr>
          <w:rFonts w:hint="cs"/>
          <w:rtl/>
        </w:rPr>
        <w:t xml:space="preserve"> בשתי הפעמים</w:t>
      </w:r>
      <w:r>
        <w:rPr>
          <w:rFonts w:hint="cs"/>
          <w:rtl/>
        </w:rPr>
        <w:t xml:space="preserve">, </w:t>
      </w:r>
      <w:r w:rsidR="00BA0292">
        <w:rPr>
          <w:rFonts w:hint="cs"/>
          <w:rtl/>
        </w:rPr>
        <w:t>כי זקנתו של ראובן היא עניין נפרד מזקנתו של שמעון, ובשנ</w:t>
      </w:r>
      <w:r w:rsidR="00032A46">
        <w:rPr>
          <w:rFonts w:hint="cs"/>
          <w:rtl/>
        </w:rPr>
        <w:t>י</w:t>
      </w:r>
      <w:r w:rsidR="00BA0292">
        <w:rPr>
          <w:rFonts w:hint="cs"/>
          <w:rtl/>
        </w:rPr>
        <w:t xml:space="preserve"> המקרים המילה 'זקן' מציינת עניין אחר. לכן </w:t>
      </w:r>
      <w:r w:rsidR="009514FF">
        <w:rPr>
          <w:rFonts w:hint="cs"/>
          <w:rtl/>
        </w:rPr>
        <w:t>'זקן' היא שם משתתף, כלומר מילה אחת שמשותפת לשני מובנים שונים. כמו</w:t>
      </w:r>
      <w:r w:rsidR="00044A80">
        <w:rPr>
          <w:rFonts w:hint="cs"/>
          <w:rtl/>
        </w:rPr>
        <w:t xml:space="preserve"> </w:t>
      </w:r>
      <w:r w:rsidR="009514FF">
        <w:rPr>
          <w:rFonts w:hint="cs"/>
          <w:rtl/>
        </w:rPr>
        <w:t xml:space="preserve">שהמילה 'עין' משותפת למובן של מבוע המים (מעיין) ולמובן של איבר הראייה. </w:t>
      </w:r>
      <w:r w:rsidR="00044A80">
        <w:rPr>
          <w:rFonts w:hint="cs"/>
          <w:rtl/>
        </w:rPr>
        <w:t xml:space="preserve">במקרה של 'עין' אין שום קשר בין שני העניינים, המעיין ואיבר הראיה. יש אופנים של מילים משתתפות </w:t>
      </w:r>
      <w:r w:rsidR="00803AE5">
        <w:rPr>
          <w:rFonts w:hint="cs"/>
          <w:rtl/>
        </w:rPr>
        <w:t xml:space="preserve">שבהן יש קשר בין המובנים. יש שמות מוסכמים, והם המילה 'חי' שנאמרת על סוס ועל אדם. מבחינה </w:t>
      </w:r>
      <w:r w:rsidR="00803AE5">
        <w:rPr>
          <w:rFonts w:hint="cs"/>
          <w:rtl/>
        </w:rPr>
        <w:t xml:space="preserve">מסויימת המילה 'חי' יש לה מובן אחד </w:t>
      </w:r>
      <w:r w:rsidR="00F378AF">
        <w:rPr>
          <w:rFonts w:hint="cs"/>
          <w:rtl/>
        </w:rPr>
        <w:t>בשני המקרים כי גם האדם חי וגם הסוס חי, וחיים הם התחלה אחת שמשותפת לאדם ולסוס. אבל מצד שני חיי האדם הם חיים אחרים באופן מהותי, בעצמותם, מחיי סוס (עיין שמונה פרקים לרמב"ם פרק ראשון)</w:t>
      </w:r>
      <w:r w:rsidR="00AE1E7D">
        <w:rPr>
          <w:rFonts w:hint="cs"/>
          <w:rtl/>
        </w:rPr>
        <w:t xml:space="preserve">, ומבחינה זו המילה 'חי' כאן משמשת לשני מובנים משתתפים. הדמיון בין אדם לסוס כאן הוא מהותי, אם כי הוא רק מבחינת הסוג </w:t>
      </w:r>
      <w:r w:rsidR="00380808">
        <w:rPr>
          <w:rFonts w:hint="cs"/>
          <w:rtl/>
        </w:rPr>
        <w:t>ולא מבחינת המין.</w:t>
      </w:r>
    </w:p>
    <w:p w14:paraId="1034BF15" w14:textId="77777777" w:rsidR="00C07DD1" w:rsidRDefault="00B00F20">
      <w:pPr>
        <w:pStyle w:val="FootnoteText"/>
        <w:rPr>
          <w:rtl/>
        </w:rPr>
      </w:pPr>
      <w:r>
        <w:rPr>
          <w:rFonts w:hint="cs"/>
          <w:rtl/>
        </w:rPr>
        <w:t>יש שמות משותפים שנקראים שמות מסופקים, כמו למשל שאדם חי נקרא וגם פסל בדמות אדם או גוויית אדם מת נקראים אדם, למרות שמהותם אין להם שום שייכות לעצם 'אדם', והדמיון הוא רק מצד התואר החיצוני שהוא מקרי</w:t>
      </w:r>
      <w:r w:rsidR="00ED198F">
        <w:rPr>
          <w:rFonts w:hint="cs"/>
          <w:rtl/>
        </w:rPr>
        <w:t xml:space="preserve"> (עיין בזה </w:t>
      </w:r>
      <w:r w:rsidR="00C07DD1">
        <w:rPr>
          <w:rFonts w:hint="cs"/>
          <w:rtl/>
        </w:rPr>
        <w:t>מילות ההגיון שער י"ג)</w:t>
      </w:r>
      <w:r>
        <w:rPr>
          <w:rFonts w:hint="cs"/>
          <w:rtl/>
        </w:rPr>
        <w:t>.</w:t>
      </w:r>
    </w:p>
    <w:p w14:paraId="2964DB44" w14:textId="77777777" w:rsidR="002A258D" w:rsidRDefault="00032A46">
      <w:pPr>
        <w:pStyle w:val="FootnoteText"/>
        <w:rPr>
          <w:rtl/>
        </w:rPr>
      </w:pPr>
      <w:r>
        <w:rPr>
          <w:rFonts w:hint="cs"/>
          <w:rtl/>
        </w:rPr>
        <w:t xml:space="preserve">אפשר שהמילה 'זקן' שנאמרת על ראובן ועל שמעון היא שם מסופק, המילה מציינת לעניין שונה מבחינת המציאות (מבחינה אונטולוגית), </w:t>
      </w:r>
      <w:r w:rsidR="002A258D">
        <w:rPr>
          <w:rFonts w:hint="cs"/>
          <w:rtl/>
        </w:rPr>
        <w:t>כי במציאות זקנתו של ראובן היא עניין שונה מזקנתו של שמעון, אבל שתי הזיקנות דומות בעניין לא מהותי להן, וזה כמו שפסל בדמות אדם נקרא גם הוא 'אדם'.</w:t>
      </w:r>
    </w:p>
    <w:p w14:paraId="269A6343" w14:textId="730B2891" w:rsidR="00032A46" w:rsidRDefault="002A258D">
      <w:pPr>
        <w:pStyle w:val="FootnoteText"/>
        <w:rPr>
          <w:rtl/>
        </w:rPr>
      </w:pPr>
      <w:r>
        <w:rPr>
          <w:rFonts w:hint="cs"/>
          <w:rtl/>
        </w:rPr>
        <w:t>כעת יש לשאול</w:t>
      </w:r>
      <w:r w:rsidR="00A405CA">
        <w:rPr>
          <w:rFonts w:hint="cs"/>
          <w:rtl/>
        </w:rPr>
        <w:t xml:space="preserve"> לגבי</w:t>
      </w:r>
      <w:r>
        <w:rPr>
          <w:rFonts w:hint="cs"/>
          <w:rtl/>
        </w:rPr>
        <w:t xml:space="preserve"> שלושת ההתחלות שהן חומר צורה והעדר מיוחד, </w:t>
      </w:r>
      <w:r w:rsidR="00A405CA">
        <w:rPr>
          <w:rFonts w:hint="cs"/>
          <w:rtl/>
        </w:rPr>
        <w:t>האם כשאנו אומרים 'העדר מיוחד' אצל שראובן ו'העדר מיוחד' אצל שמעון, שתי האמירות מציינות לאותו עניין עצמו שקיים במציאות, ולכן המילה 'העדר מיוחד' כאן היא מילה פשוטה</w:t>
      </w:r>
      <w:r w:rsidR="008029F5">
        <w:rPr>
          <w:rFonts w:hint="cs"/>
          <w:rtl/>
        </w:rPr>
        <w:t xml:space="preserve"> כלומר מילה אחת שיש לה מובן אחד, שמציינת לעניין אחד במציאות</w:t>
      </w:r>
      <w:r w:rsidR="00A405CA">
        <w:rPr>
          <w:rFonts w:hint="cs"/>
          <w:rtl/>
        </w:rPr>
        <w:t xml:space="preserve">, </w:t>
      </w:r>
      <w:r w:rsidR="008029F5">
        <w:rPr>
          <w:rFonts w:hint="cs"/>
          <w:rtl/>
        </w:rPr>
        <w:t xml:space="preserve">"שם נבדל" בלשון הרמב"ם, </w:t>
      </w:r>
      <w:r w:rsidR="00BE3B18">
        <w:rPr>
          <w:rFonts w:hint="cs"/>
          <w:rtl/>
        </w:rPr>
        <w:t xml:space="preserve">או שם "אחד במשמעות" לפי התרגום המילולי של אבן סינא כאן. או שלומר 'העדר מיוחד' יהיה דומה לאמירה 'זקן', </w:t>
      </w:r>
      <w:r w:rsidR="00605A1F">
        <w:rPr>
          <w:rFonts w:hint="cs"/>
          <w:rtl/>
        </w:rPr>
        <w:t xml:space="preserve">כלומר ההעדר המיוחד אצל ראובן הוא עניין אחר במציאות מאשר ההעדר המיוחד אצל שמעון. </w:t>
      </w:r>
      <w:r w:rsidR="00A405CA">
        <w:rPr>
          <w:rFonts w:hint="cs"/>
          <w:rtl/>
        </w:rPr>
        <w:t xml:space="preserve"> </w:t>
      </w:r>
      <w:r>
        <w:rPr>
          <w:rFonts w:hint="cs"/>
          <w:rtl/>
        </w:rPr>
        <w:t xml:space="preserve"> </w:t>
      </w:r>
    </w:p>
    <w:p w14:paraId="10178A45" w14:textId="77777777" w:rsidR="00CD7A85" w:rsidRDefault="0067229B">
      <w:pPr>
        <w:pStyle w:val="FootnoteText"/>
        <w:rPr>
          <w:rtl/>
        </w:rPr>
      </w:pPr>
      <w:r>
        <w:rPr>
          <w:rFonts w:hint="cs"/>
          <w:rtl/>
        </w:rPr>
        <w:t>כשאנו אומרים ששלושת ההתחלות הן חומר צורה והעדר, המילים חומר וצורה כאן יש להם מובן שונה מהמובן ה</w:t>
      </w:r>
      <w:r w:rsidR="00C07AAC">
        <w:rPr>
          <w:rFonts w:hint="cs"/>
          <w:rtl/>
        </w:rPr>
        <w:t xml:space="preserve">רגיל. בפיזיקה ספר ב' פרק </w:t>
      </w:r>
      <w:r w:rsidR="004724B7">
        <w:rPr>
          <w:rFonts w:hint="cs"/>
          <w:rtl/>
        </w:rPr>
        <w:t>ג</w:t>
      </w:r>
      <w:r w:rsidR="00C07AAC">
        <w:rPr>
          <w:rFonts w:hint="cs"/>
          <w:rtl/>
        </w:rPr>
        <w:t xml:space="preserve">' </w:t>
      </w:r>
      <w:r w:rsidR="0075242E">
        <w:rPr>
          <w:rFonts w:hint="cs"/>
          <w:rtl/>
        </w:rPr>
        <w:t xml:space="preserve">אריסטו מבאר את ארבע הסיבות המפורסמות שלו למציאות העצם. </w:t>
      </w:r>
      <w:r w:rsidR="00AB017F">
        <w:rPr>
          <w:rFonts w:hint="cs"/>
          <w:rtl/>
        </w:rPr>
        <w:t>הסיבות למהות העצם הן החומר והצורה, והסיבות למציאות העצם הן הפו</w:t>
      </w:r>
      <w:r w:rsidR="00FE71C2" w:rsidRPr="00FE71C2">
        <w:rPr>
          <w:rtl/>
        </w:rPr>
        <w:t>עֵ</w:t>
      </w:r>
      <w:r w:rsidR="00AB017F">
        <w:rPr>
          <w:rFonts w:hint="cs"/>
          <w:rtl/>
        </w:rPr>
        <w:t>ל והתכלית</w:t>
      </w:r>
      <w:r w:rsidR="00356DB2">
        <w:rPr>
          <w:rFonts w:hint="cs"/>
          <w:rtl/>
        </w:rPr>
        <w:t>, עיין בזה לעיל</w:t>
      </w:r>
      <w:r w:rsidR="00AB017F">
        <w:rPr>
          <w:rFonts w:hint="cs"/>
          <w:rtl/>
        </w:rPr>
        <w:t xml:space="preserve">. </w:t>
      </w:r>
      <w:r w:rsidR="00FA2DBA">
        <w:rPr>
          <w:rFonts w:hint="cs"/>
          <w:rtl/>
        </w:rPr>
        <w:t xml:space="preserve">ההעדר לא נמנה בין ארבעת הסיבות אלה. </w:t>
      </w:r>
    </w:p>
    <w:p w14:paraId="79D04504" w14:textId="115F3F0F" w:rsidR="00203205" w:rsidRDefault="00203205">
      <w:pPr>
        <w:pStyle w:val="FootnoteText"/>
        <w:rPr>
          <w:rtl/>
        </w:rPr>
      </w:pPr>
      <w:r>
        <w:rPr>
          <w:rFonts w:hint="cs"/>
          <w:rtl/>
        </w:rPr>
        <w:t xml:space="preserve">מצד שני במטאפיזיקה </w:t>
      </w:r>
      <w:r w:rsidR="008917A6">
        <w:rPr>
          <w:rFonts w:hint="cs"/>
          <w:rtl/>
        </w:rPr>
        <w:t>למבדא</w:t>
      </w:r>
      <w:r>
        <w:rPr>
          <w:rFonts w:hint="cs"/>
          <w:rtl/>
        </w:rPr>
        <w:t xml:space="preserve"> סוף פרק ב', </w:t>
      </w:r>
      <w:r w:rsidR="00C260F9">
        <w:rPr>
          <w:rFonts w:hint="cs"/>
          <w:rtl/>
        </w:rPr>
        <w:t xml:space="preserve">שם אריסטו אומר ששלושת ההתחלות הן הצורה, החומר וההעדר (כלומר ההעדר המיוחד כמו שפירש במורה נבוכים א' י"ז, והתבאר לעיל), </w:t>
      </w:r>
      <w:r w:rsidR="0080506D">
        <w:rPr>
          <w:rFonts w:hint="cs"/>
          <w:rtl/>
        </w:rPr>
        <w:t>הוא לא מונה את הפועל והתכלית כהתחלות או סיבות. כי הנושא</w:t>
      </w:r>
      <w:r w:rsidR="00607DAE">
        <w:rPr>
          <w:rFonts w:hint="cs"/>
          <w:rtl/>
        </w:rPr>
        <w:t xml:space="preserve"> אינו הסיבות להוויית העצם מצד עצמה, אלא לתנועה, שבשרשה התנועה המתמדת של התהוות והפסד,  שהיא החיים, הבעירה, של המציאות, ולא עצם הוויית המציאות באופן סטטי. </w:t>
      </w:r>
    </w:p>
    <w:p w14:paraId="14044E6C" w14:textId="7C192E18" w:rsidR="0067229B" w:rsidRDefault="006F5C88">
      <w:pPr>
        <w:pStyle w:val="FootnoteText"/>
        <w:rPr>
          <w:rtl/>
        </w:rPr>
      </w:pPr>
      <w:r>
        <w:rPr>
          <w:rFonts w:hint="cs"/>
          <w:rtl/>
        </w:rPr>
        <w:t xml:space="preserve">ארבעת הסיבות הידועות של אריסטו הן סיבות </w:t>
      </w:r>
      <w:r w:rsidR="009C463A">
        <w:rPr>
          <w:rFonts w:hint="cs"/>
          <w:rtl/>
        </w:rPr>
        <w:t>ההוויה</w:t>
      </w:r>
      <w:r>
        <w:rPr>
          <w:rFonts w:hint="cs"/>
          <w:rtl/>
        </w:rPr>
        <w:t xml:space="preserve">. </w:t>
      </w:r>
      <w:r w:rsidR="006F5D0F">
        <w:rPr>
          <w:rFonts w:hint="cs"/>
          <w:rtl/>
        </w:rPr>
        <w:t>צד בהוויית העצם היא מהותו שהיא החומר והצורה שלו, וצד נוסף הוא מציאותו שנובעת מהפו</w:t>
      </w:r>
      <w:r w:rsidR="00FE71C2" w:rsidRPr="00FE71C2">
        <w:rPr>
          <w:rtl/>
        </w:rPr>
        <w:t>עֵ</w:t>
      </w:r>
      <w:r w:rsidR="006F5D0F">
        <w:rPr>
          <w:rFonts w:hint="cs"/>
          <w:rtl/>
        </w:rPr>
        <w:t>ל והתכלית</w:t>
      </w:r>
      <w:r w:rsidR="00832806">
        <w:rPr>
          <w:rFonts w:hint="cs"/>
          <w:rtl/>
        </w:rPr>
        <w:t xml:space="preserve"> (זה מה שכתב במורה נבוכים א' נ"ז שהמציאות היא מקרה למהות,</w:t>
      </w:r>
      <w:r w:rsidR="00FE71C2">
        <w:rPr>
          <w:rFonts w:hint="cs"/>
          <w:rtl/>
        </w:rPr>
        <w:t xml:space="preserve"> </w:t>
      </w:r>
      <w:r w:rsidR="001626DB">
        <w:rPr>
          <w:rFonts w:hint="cs"/>
          <w:rtl/>
        </w:rPr>
        <w:t>כלומר שסיבות המציאות מחולקות מסיבות המהות</w:t>
      </w:r>
      <w:r w:rsidR="00E22738">
        <w:rPr>
          <w:rFonts w:hint="cs"/>
          <w:rtl/>
        </w:rPr>
        <w:t>, ואין הכרח מהותי שכל מהות תהיה נמצאת בהכרח מסיבת עצמה</w:t>
      </w:r>
      <w:r w:rsidR="001626DB">
        <w:rPr>
          <w:rFonts w:hint="cs"/>
          <w:rtl/>
        </w:rPr>
        <w:t>)</w:t>
      </w:r>
      <w:r w:rsidR="006F5D0F">
        <w:rPr>
          <w:rFonts w:hint="cs"/>
          <w:rtl/>
        </w:rPr>
        <w:t xml:space="preserve">. </w:t>
      </w:r>
      <w:r w:rsidR="00CD7A85">
        <w:rPr>
          <w:rFonts w:hint="cs"/>
          <w:rtl/>
        </w:rPr>
        <w:t>ההעדר המיוחד אינו סיבה להוויית העצם</w:t>
      </w:r>
      <w:r w:rsidR="00203205">
        <w:rPr>
          <w:rFonts w:hint="cs"/>
          <w:rtl/>
        </w:rPr>
        <w:t>,</w:t>
      </w:r>
      <w:r w:rsidR="00CD7A85">
        <w:rPr>
          <w:rFonts w:hint="cs"/>
          <w:rtl/>
        </w:rPr>
        <w:t xml:space="preserve"> ההעדר הוא סיבה לשינוי (ולתנועה שהיא אחד מסוגי השינוי)</w:t>
      </w:r>
      <w:r w:rsidR="00203205">
        <w:rPr>
          <w:rFonts w:hint="cs"/>
          <w:rtl/>
        </w:rPr>
        <w:t>, כלומר לתנועה המתמדת של התהוות והפסד</w:t>
      </w:r>
      <w:r w:rsidR="00CD7A85">
        <w:rPr>
          <w:rFonts w:hint="cs"/>
          <w:rtl/>
        </w:rPr>
        <w:t xml:space="preserve">. </w:t>
      </w:r>
    </w:p>
    <w:p w14:paraId="31989003" w14:textId="3D99DB78" w:rsidR="006F5C88" w:rsidRDefault="008A0E02">
      <w:pPr>
        <w:pStyle w:val="FootnoteText"/>
        <w:rPr>
          <w:rtl/>
        </w:rPr>
      </w:pPr>
      <w:r>
        <w:rPr>
          <w:rFonts w:hint="cs"/>
          <w:rtl/>
        </w:rPr>
        <w:t>כשאריסטו מונה את החומר והצורה כהתחלות במטאפיזיקה למבדא, הוא מתכוון לחומר כמצע לתנועה וכ</w:t>
      </w:r>
      <w:r w:rsidR="005469FD">
        <w:rPr>
          <w:rFonts w:hint="cs"/>
          <w:rtl/>
        </w:rPr>
        <w:t>שורש</w:t>
      </w:r>
      <w:r>
        <w:rPr>
          <w:rFonts w:hint="cs"/>
          <w:rtl/>
        </w:rPr>
        <w:t xml:space="preserve"> </w:t>
      </w:r>
      <w:r w:rsidR="005469FD">
        <w:rPr>
          <w:rFonts w:hint="cs"/>
          <w:rtl/>
        </w:rPr>
        <w:t>ה</w:t>
      </w:r>
      <w:r>
        <w:rPr>
          <w:rFonts w:hint="cs"/>
          <w:rtl/>
        </w:rPr>
        <w:t>העדר</w:t>
      </w:r>
      <w:r w:rsidR="009A4FCA">
        <w:rPr>
          <w:rFonts w:hint="cs"/>
          <w:rtl/>
        </w:rPr>
        <w:t xml:space="preserve"> המיוחד</w:t>
      </w:r>
      <w:r w:rsidR="005469FD">
        <w:rPr>
          <w:rFonts w:hint="cs"/>
          <w:rtl/>
        </w:rPr>
        <w:t xml:space="preserve"> (כמו שכתב במורה נבוכים ג' ח' ושם י"ב</w:t>
      </w:r>
      <w:r w:rsidR="001A3837">
        <w:rPr>
          <w:rFonts w:hint="cs"/>
          <w:rtl/>
        </w:rPr>
        <w:t>)</w:t>
      </w:r>
      <w:r>
        <w:rPr>
          <w:rFonts w:hint="cs"/>
          <w:rtl/>
        </w:rPr>
        <w:t xml:space="preserve">, ולצורה כמה שעובר מחומר לחומר </w:t>
      </w:r>
      <w:r w:rsidR="006346F7">
        <w:rPr>
          <w:rFonts w:hint="cs"/>
          <w:rtl/>
        </w:rPr>
        <w:t xml:space="preserve">בתנועת </w:t>
      </w:r>
      <w:r w:rsidR="007C4E6D">
        <w:rPr>
          <w:rFonts w:hint="cs"/>
          <w:rtl/>
        </w:rPr>
        <w:t>ההתהוות</w:t>
      </w:r>
      <w:r w:rsidR="006346F7">
        <w:rPr>
          <w:rFonts w:hint="cs"/>
          <w:rtl/>
        </w:rPr>
        <w:t xml:space="preserve"> וההפסד. וכמו שהבאתי לעיל מהמורה נבוכים א' ע"ב שתנועת ההתהוות וההפסד היא כמו התנועה המקומית הסיבובית של הגלגל (שתי תנועות אלה הן </w:t>
      </w:r>
      <w:r w:rsidR="009C463A">
        <w:rPr>
          <w:rFonts w:hint="cs"/>
          <w:rtl/>
        </w:rPr>
        <w:t>ההוויה</w:t>
      </w:r>
      <w:r w:rsidR="006346F7">
        <w:rPr>
          <w:rFonts w:hint="cs"/>
          <w:rtl/>
        </w:rPr>
        <w:t xml:space="preserve"> כ</w:t>
      </w:r>
      <w:r w:rsidR="00123AC2">
        <w:rPr>
          <w:rFonts w:hint="cs"/>
          <w:rtl/>
        </w:rPr>
        <w:t>גילוי של</w:t>
      </w:r>
      <w:r w:rsidR="006346F7">
        <w:rPr>
          <w:rFonts w:hint="cs"/>
          <w:rtl/>
        </w:rPr>
        <w:t xml:space="preserve"> אחדות הבורא על ידי שהיא </w:t>
      </w:r>
      <w:r w:rsidR="00E353D3">
        <w:rPr>
          <w:rFonts w:hint="cs"/>
          <w:rtl/>
        </w:rPr>
        <w:t>תמיד בהתבטלות המציאות, כי האחדות לא מאפשרת מציאות מלבד מציאותו של הבורא</w:t>
      </w:r>
      <w:r w:rsidR="00123AC2">
        <w:rPr>
          <w:rFonts w:hint="cs"/>
          <w:rtl/>
        </w:rPr>
        <w:t xml:space="preserve"> והאחדות היא סיבת הכליה של הנבראים, אבל הגילוי כגילוי לא כלה ולכן הסנה בוער באש ואיננו אוכל</w:t>
      </w:r>
      <w:r w:rsidR="005469FD">
        <w:rPr>
          <w:rFonts w:hint="cs"/>
          <w:rtl/>
        </w:rPr>
        <w:t xml:space="preserve">). </w:t>
      </w:r>
      <w:r w:rsidR="007C4E6D">
        <w:rPr>
          <w:rFonts w:hint="cs"/>
          <w:rtl/>
        </w:rPr>
        <w:t>לכן ארבעת הסיבות של הוויית העצם מצד עצמה, שייכות ל</w:t>
      </w:r>
      <w:r w:rsidR="00AB4573">
        <w:rPr>
          <w:rFonts w:hint="cs"/>
          <w:rtl/>
        </w:rPr>
        <w:t xml:space="preserve">מדע הטבע ונכתבו בפיזיקה (במטאפיזיקה דלתא פרק ב' הוא העתק של הפרק בפיזיקה). </w:t>
      </w:r>
      <w:r w:rsidR="001C2B0B">
        <w:rPr>
          <w:rFonts w:hint="cs"/>
          <w:rtl/>
        </w:rPr>
        <w:t>לעומת זאת ההתחלות של התנועה</w:t>
      </w:r>
      <w:r w:rsidR="00E507C5">
        <w:rPr>
          <w:rFonts w:hint="cs"/>
          <w:rtl/>
        </w:rPr>
        <w:t>, שהיא סוד של התבטלות המציאות א</w:t>
      </w:r>
      <w:r w:rsidR="00312097">
        <w:rPr>
          <w:rFonts w:hint="cs"/>
          <w:rtl/>
        </w:rPr>
        <w:t>ל</w:t>
      </w:r>
      <w:r w:rsidR="00E507C5">
        <w:rPr>
          <w:rFonts w:hint="cs"/>
          <w:rtl/>
        </w:rPr>
        <w:t xml:space="preserve"> הבורא</w:t>
      </w:r>
      <w:r w:rsidR="001C2B0B">
        <w:rPr>
          <w:rFonts w:hint="cs"/>
          <w:rtl/>
        </w:rPr>
        <w:t xml:space="preserve"> היא מסודות המציאות ו</w:t>
      </w:r>
      <w:r w:rsidR="00E507C5">
        <w:rPr>
          <w:rFonts w:hint="cs"/>
          <w:rtl/>
        </w:rPr>
        <w:t xml:space="preserve">ככאלה הן </w:t>
      </w:r>
      <w:r w:rsidR="001C2B0B">
        <w:rPr>
          <w:rFonts w:hint="cs"/>
          <w:rtl/>
        </w:rPr>
        <w:t>שייכ</w:t>
      </w:r>
      <w:r w:rsidR="00E507C5">
        <w:rPr>
          <w:rFonts w:hint="cs"/>
          <w:rtl/>
        </w:rPr>
        <w:t>ו</w:t>
      </w:r>
      <w:r w:rsidR="001C2B0B">
        <w:rPr>
          <w:rFonts w:hint="cs"/>
          <w:rtl/>
        </w:rPr>
        <w:t xml:space="preserve">ת ל"תיאולוגיה" שהוא השם שאריסטו </w:t>
      </w:r>
      <w:r w:rsidR="00E507C5">
        <w:rPr>
          <w:rFonts w:hint="cs"/>
          <w:rtl/>
        </w:rPr>
        <w:t xml:space="preserve">עצמו </w:t>
      </w:r>
      <w:r w:rsidR="001C2B0B">
        <w:rPr>
          <w:rFonts w:hint="cs"/>
          <w:rtl/>
        </w:rPr>
        <w:t>קרא בו למטאפיזיקה</w:t>
      </w:r>
      <w:r w:rsidR="00E507C5">
        <w:rPr>
          <w:rFonts w:hint="cs"/>
          <w:rtl/>
        </w:rPr>
        <w:t xml:space="preserve">, </w:t>
      </w:r>
      <w:r w:rsidR="001C2B0B">
        <w:rPr>
          <w:rFonts w:hint="cs"/>
          <w:rtl/>
        </w:rPr>
        <w:t>ומקומה במטאפיזיקה למבדא</w:t>
      </w:r>
      <w:r w:rsidR="00312097">
        <w:rPr>
          <w:rFonts w:hint="cs"/>
          <w:rtl/>
        </w:rPr>
        <w:t xml:space="preserve">, שהיא סוף המטאפיזיקה הנגלית (אחריה רק ספר מ' ונ' שהם סודות </w:t>
      </w:r>
      <w:r w:rsidR="009976BF">
        <w:rPr>
          <w:rFonts w:hint="cs"/>
          <w:rtl/>
        </w:rPr>
        <w:t>שנמסרו בעל פה מאפלטון ואריסטו רק רמז להם ולא גילה אותם)</w:t>
      </w:r>
      <w:r w:rsidR="001C2B0B">
        <w:rPr>
          <w:rFonts w:hint="cs"/>
          <w:rtl/>
        </w:rPr>
        <w:t xml:space="preserve">. </w:t>
      </w:r>
      <w:r w:rsidR="00E353D3">
        <w:rPr>
          <w:rFonts w:hint="cs"/>
          <w:rtl/>
        </w:rPr>
        <w:t xml:space="preserve"> </w:t>
      </w:r>
      <w:r>
        <w:rPr>
          <w:rFonts w:hint="cs"/>
          <w:rtl/>
        </w:rPr>
        <w:t xml:space="preserve"> </w:t>
      </w:r>
    </w:p>
    <w:p w14:paraId="7EE95709" w14:textId="49DA0397" w:rsidR="00E56466" w:rsidRDefault="00E56466">
      <w:pPr>
        <w:pStyle w:val="FootnoteText"/>
        <w:rPr>
          <w:rtl/>
        </w:rPr>
      </w:pPr>
      <w:r>
        <w:rPr>
          <w:rFonts w:hint="cs"/>
          <w:rtl/>
        </w:rPr>
        <w:t>לשון חובות הלבבות על התנועה</w:t>
      </w:r>
      <w:r w:rsidR="00972040">
        <w:rPr>
          <w:rFonts w:hint="cs"/>
          <w:rtl/>
        </w:rPr>
        <w:t xml:space="preserve"> </w:t>
      </w:r>
      <w:r w:rsidR="00E3533D">
        <w:rPr>
          <w:rFonts w:hint="cs"/>
          <w:rtl/>
        </w:rPr>
        <w:t>(שער הבחינה פרק ה'</w:t>
      </w:r>
      <w:r w:rsidR="00972040">
        <w:rPr>
          <w:rFonts w:hint="cs"/>
          <w:rtl/>
        </w:rPr>
        <w:t>)</w:t>
      </w:r>
      <w:r>
        <w:rPr>
          <w:rFonts w:hint="cs"/>
          <w:rtl/>
        </w:rPr>
        <w:t>:</w:t>
      </w:r>
    </w:p>
    <w:p w14:paraId="6E68DE2D" w14:textId="1E2D4F03" w:rsidR="00E56466" w:rsidRDefault="00972040" w:rsidP="00972040">
      <w:pPr>
        <w:pStyle w:val="FootnoteText"/>
        <w:rPr>
          <w:rtl/>
        </w:rPr>
      </w:pPr>
      <w:r>
        <w:rPr>
          <w:rtl/>
        </w:rPr>
        <w:t>"וממה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הוית שום דבר מן הנמצאות ולא הפסדם. ואמר אחד מן הפילוסופים: רוח הטבעים התנועה. וכשתבין סוד התנועה ותשכיל ענין אמתתה ורוחניותה, ותדע, כי היא מפלאי החכמה האלהית ותכיר רוב חמלת הבורא על ברואיו, אז יתברר לך, כי כל תנועותיך נקשרות בחפץ הבורא יתעלה והנהגתו ורצונו, הקטנה והגדולה שבהם והגלויה והנסתרת, חוץ ממה ששם ברשותך מבחירת הטוב והרע. וכאשר יתברר לך זה, תפקד עצמך בכל תנועה שתנוע, וזכר הקשר אשר קשרך הבורא בו והתבושש ממנו תמיד, ותירא אותו ותמסר לדינו ורצה בגזרותיו, תגיע אל רצונו ותהיה אחריתך לטוב, כמ"ש הכתוב</w:t>
      </w:r>
      <w:r w:rsidR="00E3533D">
        <w:rPr>
          <w:rFonts w:hint="cs"/>
          <w:rtl/>
        </w:rPr>
        <w:t>:</w:t>
      </w:r>
      <w:r>
        <w:rPr>
          <w:rtl/>
        </w:rPr>
        <w:t xml:space="preserve"> </w:t>
      </w:r>
      <w:r w:rsidR="00E3533D">
        <w:rPr>
          <w:rFonts w:hint="cs"/>
          <w:rtl/>
        </w:rPr>
        <w:t>"</w:t>
      </w:r>
      <w:r>
        <w:rPr>
          <w:rtl/>
        </w:rPr>
        <w:t>והבוטח בה' חסד יסובבנו."</w:t>
      </w:r>
      <w:r w:rsidR="00E56466">
        <w:rPr>
          <w:rFonts w:hint="cs"/>
          <w:rtl/>
        </w:rPr>
        <w:t>"</w:t>
      </w:r>
    </w:p>
    <w:p w14:paraId="08747BB5" w14:textId="2BD9F5E6" w:rsidR="00240BB6" w:rsidRDefault="00240BB6">
      <w:pPr>
        <w:pStyle w:val="FootnoteText"/>
        <w:rPr>
          <w:rtl/>
        </w:rPr>
      </w:pPr>
    </w:p>
    <w:p w14:paraId="3DCE2A0E" w14:textId="5F292D80" w:rsidR="002B42B8" w:rsidRDefault="002B42B8">
      <w:pPr>
        <w:pStyle w:val="FootnoteText"/>
        <w:rPr>
          <w:rtl/>
        </w:rPr>
      </w:pPr>
      <w:r>
        <w:rPr>
          <w:rFonts w:hint="cs"/>
          <w:rtl/>
        </w:rPr>
        <w:t xml:space="preserve">כאן הנושא של אבן סינא הוא התחלות התנועה, ולכן אע"פ שהצורה כסיבת הוויית העצם היא בוודאי שם </w:t>
      </w:r>
      <w:r w:rsidR="00EE78DB">
        <w:rPr>
          <w:rFonts w:hint="cs"/>
          <w:rtl/>
        </w:rPr>
        <w:t xml:space="preserve">נבדל או "אחד במשמעות", כי הצורה </w:t>
      </w:r>
      <w:r w:rsidR="00FA3DE1">
        <w:rPr>
          <w:rFonts w:hint="cs"/>
          <w:rtl/>
        </w:rPr>
        <w:t xml:space="preserve">קיימת במציאות כצורה (גם לפי הצד שקיומה הוא רק באופן שיש פרטים חומריים שנוטלים בה חלק, עדיין על ידי קיומם יש קיום </w:t>
      </w:r>
      <w:r w:rsidR="006E7456">
        <w:rPr>
          <w:rFonts w:hint="cs"/>
          <w:rtl/>
        </w:rPr>
        <w:t>ריאל</w:t>
      </w:r>
      <w:r w:rsidR="00FA3DE1">
        <w:rPr>
          <w:rFonts w:hint="cs"/>
          <w:rtl/>
        </w:rPr>
        <w:t>י לצורה כלש</w:t>
      </w:r>
      <w:r w:rsidR="006E7456">
        <w:rPr>
          <w:rFonts w:hint="cs"/>
          <w:rtl/>
        </w:rPr>
        <w:t>עצמה</w:t>
      </w:r>
      <w:r w:rsidR="00FA3DE1">
        <w:rPr>
          <w:rFonts w:hint="cs"/>
          <w:rtl/>
        </w:rPr>
        <w:t>, והיא אותה צורה עצמה אצל כל הפרטים שנוטלים בה חלק</w:t>
      </w:r>
      <w:r w:rsidR="007719B2">
        <w:rPr>
          <w:rFonts w:hint="cs"/>
          <w:rtl/>
        </w:rPr>
        <w:t>)</w:t>
      </w:r>
      <w:r w:rsidR="00FA3DE1">
        <w:rPr>
          <w:rFonts w:hint="cs"/>
          <w:rtl/>
        </w:rPr>
        <w:t xml:space="preserve">. </w:t>
      </w:r>
      <w:r w:rsidR="007719B2">
        <w:rPr>
          <w:rFonts w:hint="cs"/>
          <w:rtl/>
        </w:rPr>
        <w:t xml:space="preserve">מכל מקום הצורה כמה שנע בתנועת </w:t>
      </w:r>
      <w:r w:rsidR="009C463A">
        <w:rPr>
          <w:rFonts w:hint="cs"/>
          <w:rtl/>
        </w:rPr>
        <w:t>ההוויה</w:t>
      </w:r>
      <w:r w:rsidR="007719B2">
        <w:rPr>
          <w:rFonts w:hint="cs"/>
          <w:rtl/>
        </w:rPr>
        <w:t xml:space="preserve"> וההפסד מעצם לעצם</w:t>
      </w:r>
      <w:r w:rsidR="00F87988">
        <w:rPr>
          <w:rFonts w:hint="cs"/>
          <w:rtl/>
        </w:rPr>
        <w:t xml:space="preserve"> היא </w:t>
      </w:r>
      <w:r w:rsidR="005B112D">
        <w:rPr>
          <w:rFonts w:hint="cs"/>
          <w:rtl/>
        </w:rPr>
        <w:t>'</w:t>
      </w:r>
      <w:r w:rsidR="00F87988">
        <w:rPr>
          <w:rFonts w:hint="cs"/>
          <w:rtl/>
        </w:rPr>
        <w:t>התחל</w:t>
      </w:r>
      <w:r w:rsidR="005B112D">
        <w:rPr>
          <w:rFonts w:hint="cs"/>
          <w:rtl/>
        </w:rPr>
        <w:t>ה' של</w:t>
      </w:r>
      <w:r w:rsidR="00F87988">
        <w:rPr>
          <w:rFonts w:hint="cs"/>
          <w:rtl/>
        </w:rPr>
        <w:t xml:space="preserve"> תנועה ולא הווייה שקיימת כשלעצמה</w:t>
      </w:r>
      <w:r w:rsidR="00D318AC">
        <w:rPr>
          <w:rFonts w:hint="cs"/>
          <w:rtl/>
        </w:rPr>
        <w:t xml:space="preserve"> כעצם</w:t>
      </w:r>
      <w:r w:rsidR="00F87988">
        <w:rPr>
          <w:rFonts w:hint="cs"/>
          <w:rtl/>
        </w:rPr>
        <w:t xml:space="preserve"> (</w:t>
      </w:r>
      <w:r w:rsidR="0096530C">
        <w:rPr>
          <w:rFonts w:hint="cs"/>
          <w:rtl/>
        </w:rPr>
        <w:t xml:space="preserve">החקירה של הטבע מתחילה מהאופן השטחי החיצוני של הטבע שנראה שהעצמים בו הוויים מצד עצמם, והחקירה מובילה להסתכלות של מטאפיזיקה או </w:t>
      </w:r>
      <w:r w:rsidR="0057367F">
        <w:rPr>
          <w:rFonts w:hint="cs"/>
          <w:rtl/>
        </w:rPr>
        <w:t>תיאולוגיה שמגיעה מתוך חקירת הטבע להסתכלות  שאין לעצמים קיום עצמאי ובאמת הכל הוא רק המציאות האלוהית</w:t>
      </w:r>
      <w:r w:rsidR="00F87988">
        <w:rPr>
          <w:rFonts w:hint="cs"/>
          <w:rtl/>
        </w:rPr>
        <w:t>).</w:t>
      </w:r>
    </w:p>
    <w:p w14:paraId="4C5A8416" w14:textId="11C15EE6" w:rsidR="00D318AC" w:rsidRDefault="00D318AC">
      <w:pPr>
        <w:pStyle w:val="FootnoteText"/>
      </w:pPr>
      <w:r>
        <w:rPr>
          <w:rFonts w:hint="cs"/>
          <w:rtl/>
        </w:rPr>
        <w:t>עין לקמן 1.3.11 שם אבן סינא עושה את ההבחנה בין צורה כהתחלת תנועה</w:t>
      </w:r>
      <w:r w:rsidR="002C4974">
        <w:rPr>
          <w:rFonts w:hint="cs"/>
          <w:rtl/>
        </w:rPr>
        <w:t>,</w:t>
      </w:r>
      <w:r>
        <w:rPr>
          <w:rFonts w:hint="cs"/>
          <w:rtl/>
        </w:rPr>
        <w:t xml:space="preserve"> ובין צורה כמהות של עצם וסיבה להוויית העצם וכח פעיל של חיי העצם</w:t>
      </w:r>
      <w:r w:rsidR="002C4974">
        <w:rPr>
          <w:rFonts w:hint="cs"/>
          <w:rtl/>
        </w:rPr>
        <w:t xml:space="preserve"> (שזה המובן הרגיל לפי ארבעת הסיבות שבפיזיקה ספר ב').</w:t>
      </w:r>
    </w:p>
    <w:p w14:paraId="60AF3E28" w14:textId="77777777" w:rsidR="00B5261B" w:rsidRDefault="00FC393E">
      <w:pPr>
        <w:pStyle w:val="FootnoteText"/>
        <w:rPr>
          <w:rtl/>
        </w:rPr>
      </w:pPr>
      <w:r>
        <w:rPr>
          <w:rFonts w:hint="cs"/>
          <w:rtl/>
        </w:rPr>
        <w:t xml:space="preserve">התנועה </w:t>
      </w:r>
      <w:r w:rsidR="008F65E5">
        <w:rPr>
          <w:rFonts w:hint="cs"/>
          <w:rtl/>
        </w:rPr>
        <w:t xml:space="preserve">(היינו כל אופן של שינוי) </w:t>
      </w:r>
      <w:r>
        <w:rPr>
          <w:rFonts w:hint="cs"/>
          <w:rtl/>
        </w:rPr>
        <w:t>היא ההיפך מהמציאות העומדת שנראית בתחילת ההתבוננות בטבע</w:t>
      </w:r>
      <w:r w:rsidR="00E370C2">
        <w:rPr>
          <w:rFonts w:hint="cs"/>
          <w:rtl/>
        </w:rPr>
        <w:t>, היא בעיקר הפסד, כליה, התבטלות המציאות כלפי הבורא</w:t>
      </w:r>
      <w:r>
        <w:rPr>
          <w:rFonts w:hint="cs"/>
          <w:rtl/>
        </w:rPr>
        <w:t xml:space="preserve">. </w:t>
      </w:r>
      <w:r w:rsidR="00E370C2">
        <w:rPr>
          <w:rFonts w:hint="cs"/>
          <w:rtl/>
        </w:rPr>
        <w:t xml:space="preserve">מבחינה זו </w:t>
      </w:r>
      <w:r w:rsidR="008F65E5">
        <w:rPr>
          <w:rFonts w:hint="cs"/>
          <w:rtl/>
        </w:rPr>
        <w:t xml:space="preserve">אין להתחלות התנועה מציאות עצמית </w:t>
      </w:r>
      <w:r w:rsidR="00EF182D">
        <w:rPr>
          <w:rFonts w:hint="cs"/>
          <w:rtl/>
        </w:rPr>
        <w:t xml:space="preserve">בעלת מהות מוגדרת, אלא הן כולן שייכות לתחום המקרה (אע"פ שמצד ארבע הסיבות של הפיזיקה של אריסטו הצורה היא עצם ולא מקרה, ובמידת מה גם החומר). </w:t>
      </w:r>
    </w:p>
    <w:p w14:paraId="23BADEAD" w14:textId="77777777" w:rsidR="00410E50" w:rsidRDefault="00B5261B">
      <w:pPr>
        <w:pStyle w:val="FootnoteText"/>
        <w:rPr>
          <w:rtl/>
        </w:rPr>
      </w:pPr>
      <w:r>
        <w:rPr>
          <w:rFonts w:hint="cs"/>
          <w:rtl/>
        </w:rPr>
        <w:t xml:space="preserve">מצד שההתחלות האלה שייכות לתחום המקרה, הן כולן שמות משתתפים, כמו שהזיקנה </w:t>
      </w:r>
      <w:r w:rsidR="00410E50">
        <w:rPr>
          <w:rFonts w:hint="cs"/>
          <w:rtl/>
        </w:rPr>
        <w:t>אצל</w:t>
      </w:r>
      <w:r>
        <w:rPr>
          <w:rFonts w:hint="cs"/>
          <w:rtl/>
        </w:rPr>
        <w:t xml:space="preserve"> ראובן והזיקנה </w:t>
      </w:r>
      <w:r w:rsidR="00410E50">
        <w:rPr>
          <w:rFonts w:hint="cs"/>
          <w:rtl/>
        </w:rPr>
        <w:t>אצ</w:t>
      </w:r>
      <w:r>
        <w:rPr>
          <w:rFonts w:hint="cs"/>
          <w:rtl/>
        </w:rPr>
        <w:t>ל שמעון הן שמות משתתפים כי אין מציאו</w:t>
      </w:r>
      <w:r w:rsidR="00410E50">
        <w:rPr>
          <w:rFonts w:hint="cs"/>
          <w:rtl/>
        </w:rPr>
        <w:t>ת</w:t>
      </w:r>
      <w:r>
        <w:rPr>
          <w:rFonts w:hint="cs"/>
          <w:rtl/>
        </w:rPr>
        <w:t xml:space="preserve"> מו</w:t>
      </w:r>
      <w:r w:rsidR="00410E50">
        <w:rPr>
          <w:rFonts w:hint="cs"/>
          <w:rtl/>
        </w:rPr>
        <w:t>ג</w:t>
      </w:r>
      <w:r>
        <w:rPr>
          <w:rFonts w:hint="cs"/>
          <w:rtl/>
        </w:rPr>
        <w:t>דרת עומדת אחת של זיקנה שאליה המילה מציינת גם אצל ראובן וגם אצל שמעון.</w:t>
      </w:r>
    </w:p>
    <w:p w14:paraId="64956270" w14:textId="77777777" w:rsidR="001614BE" w:rsidRDefault="00185012">
      <w:pPr>
        <w:pStyle w:val="FootnoteText"/>
        <w:rPr>
          <w:rtl/>
        </w:rPr>
      </w:pPr>
      <w:r>
        <w:rPr>
          <w:rFonts w:hint="cs"/>
          <w:rtl/>
        </w:rPr>
        <w:t xml:space="preserve">אבל אין לומר שההתחלות הן שמות משתתפים באופן גמור, כי אז אין מציאות אחת של תנועה בעולם אלא לכל עצם פרטי יש את התנועה שלו. </w:t>
      </w:r>
      <w:r w:rsidR="00BB3300">
        <w:rPr>
          <w:rFonts w:hint="cs"/>
          <w:rtl/>
        </w:rPr>
        <w:t xml:space="preserve">ואז הצורה החומר וההעדר המיוחד איבדו את משמעותם כהתחלות והם נעשו רק מקרים פרטיים של כל עצם בפני עצמו. ואומלל מי שבוחר לתפוש כך את הדברים כי זו התפישה המטריאליסטית, שלא </w:t>
      </w:r>
      <w:r w:rsidR="001614BE">
        <w:rPr>
          <w:rFonts w:hint="cs"/>
          <w:rtl/>
        </w:rPr>
        <w:t>מובילה</w:t>
      </w:r>
      <w:r w:rsidR="00BB3300">
        <w:rPr>
          <w:rFonts w:hint="cs"/>
          <w:rtl/>
        </w:rPr>
        <w:t xml:space="preserve"> לראות את האלוהות ב</w:t>
      </w:r>
      <w:r w:rsidR="001614BE">
        <w:rPr>
          <w:rFonts w:hint="cs"/>
          <w:rtl/>
        </w:rPr>
        <w:t>תוך ה</w:t>
      </w:r>
      <w:r w:rsidR="00BB3300">
        <w:rPr>
          <w:rFonts w:hint="cs"/>
          <w:rtl/>
        </w:rPr>
        <w:t>מציאות.</w:t>
      </w:r>
    </w:p>
    <w:p w14:paraId="35445172" w14:textId="4AF6E1CE" w:rsidR="00B53D89" w:rsidRDefault="00B53D89">
      <w:pPr>
        <w:pStyle w:val="FootnoteText"/>
        <w:rPr>
          <w:rtl/>
        </w:rPr>
      </w:pPr>
      <w:r>
        <w:rPr>
          <w:rFonts w:hint="cs"/>
          <w:rtl/>
        </w:rPr>
        <w:t>מה שכתב אבן סינא כאן:</w:t>
      </w:r>
    </w:p>
    <w:p w14:paraId="79099FF6" w14:textId="1B41C98A" w:rsidR="00B53D89" w:rsidRDefault="00B53D89">
      <w:pPr>
        <w:pStyle w:val="FootnoteText"/>
        <w:rPr>
          <w:rtl/>
        </w:rPr>
      </w:pPr>
      <w:r>
        <w:rPr>
          <w:rFonts w:hint="cs"/>
          <w:rtl/>
        </w:rPr>
        <w:t>"</w:t>
      </w:r>
      <w:r w:rsidR="00D1786B" w:rsidRPr="00D1786B">
        <w:rPr>
          <w:rtl/>
        </w:rPr>
        <w:t>יחדרו</w:t>
      </w:r>
      <w:r w:rsidR="00D1786B">
        <w:rPr>
          <w:rFonts w:hint="cs"/>
          <w:rtl/>
        </w:rPr>
        <w:t xml:space="preserve"> </w:t>
      </w:r>
      <w:r w:rsidR="00D1786B" w:rsidRPr="00D1786B">
        <w:rPr>
          <w:rtl/>
        </w:rPr>
        <w:t>לכל שם מהם קבוצה מההתחלות ויכילו שלושת השמות את הכל.</w:t>
      </w:r>
      <w:r>
        <w:rPr>
          <w:rFonts w:hint="cs"/>
          <w:rtl/>
        </w:rPr>
        <w:t>"</w:t>
      </w:r>
      <w:r w:rsidR="00D1786B">
        <w:rPr>
          <w:rFonts w:hint="cs"/>
          <w:rtl/>
        </w:rPr>
        <w:t xml:space="preserve"> </w:t>
      </w:r>
      <w:r w:rsidR="003F5BE5">
        <w:rPr>
          <w:rFonts w:hint="cs"/>
          <w:rtl/>
        </w:rPr>
        <w:t xml:space="preserve">כלומר לחומר </w:t>
      </w:r>
      <w:r w:rsidR="00DF691E">
        <w:rPr>
          <w:rFonts w:hint="cs"/>
          <w:rtl/>
        </w:rPr>
        <w:t>ל</w:t>
      </w:r>
      <w:r w:rsidR="003F5BE5">
        <w:rPr>
          <w:rFonts w:hint="cs"/>
          <w:rtl/>
        </w:rPr>
        <w:t>צורה ו</w:t>
      </w:r>
      <w:r w:rsidR="00DF691E">
        <w:rPr>
          <w:rFonts w:hint="cs"/>
          <w:rtl/>
        </w:rPr>
        <w:t>ל</w:t>
      </w:r>
      <w:r w:rsidR="003F5BE5">
        <w:rPr>
          <w:rFonts w:hint="cs"/>
          <w:rtl/>
        </w:rPr>
        <w:t xml:space="preserve">העדר מיוחד הפרטיים של ראובן יחדרו </w:t>
      </w:r>
      <w:r w:rsidR="00DF691E">
        <w:rPr>
          <w:rFonts w:hint="cs"/>
          <w:rtl/>
        </w:rPr>
        <w:t xml:space="preserve">אופנים שונים ששייכים להתחלות התנועה, כי מדובר בכל העצמים שבעולם ההתהוות וההפסד ויש אצלם מינים שונים </w:t>
      </w:r>
      <w:r w:rsidR="0027532A">
        <w:rPr>
          <w:rFonts w:hint="cs"/>
          <w:rtl/>
        </w:rPr>
        <w:t xml:space="preserve">ורבים </w:t>
      </w:r>
      <w:r w:rsidR="00DF691E">
        <w:rPr>
          <w:rFonts w:hint="cs"/>
          <w:rtl/>
        </w:rPr>
        <w:t xml:space="preserve">של תנועות והתהוויות והפסדים, </w:t>
      </w:r>
      <w:r w:rsidR="00912CB2">
        <w:rPr>
          <w:rFonts w:hint="cs"/>
          <w:rtl/>
        </w:rPr>
        <w:t xml:space="preserve">וכל המינים האלה לא נאמר שהם התחלות כלליות אלא ייכנסו לחומר צורה והעדר של </w:t>
      </w:r>
      <w:r w:rsidR="0027532A">
        <w:rPr>
          <w:rFonts w:hint="cs"/>
          <w:rtl/>
        </w:rPr>
        <w:t xml:space="preserve">העצם </w:t>
      </w:r>
      <w:r w:rsidR="004A7D92">
        <w:rPr>
          <w:rFonts w:hint="cs"/>
          <w:rtl/>
        </w:rPr>
        <w:t>המסוים</w:t>
      </w:r>
      <w:r w:rsidR="00912CB2">
        <w:rPr>
          <w:rFonts w:hint="cs"/>
          <w:rtl/>
        </w:rPr>
        <w:t xml:space="preserve"> הפרטי ו</w:t>
      </w:r>
      <w:r w:rsidR="0027532A">
        <w:rPr>
          <w:rFonts w:hint="cs"/>
          <w:rtl/>
        </w:rPr>
        <w:t>י</w:t>
      </w:r>
      <w:r w:rsidR="00912CB2">
        <w:rPr>
          <w:rFonts w:hint="cs"/>
          <w:rtl/>
        </w:rPr>
        <w:t>היו כולם פרטיים לעצם</w:t>
      </w:r>
      <w:r w:rsidR="0027532A">
        <w:rPr>
          <w:rFonts w:hint="cs"/>
          <w:rtl/>
        </w:rPr>
        <w:t>, בלי מציאות כללית משום צד ועניין</w:t>
      </w:r>
      <w:r w:rsidR="00912CB2">
        <w:rPr>
          <w:rFonts w:hint="cs"/>
          <w:rtl/>
        </w:rPr>
        <w:t xml:space="preserve">. </w:t>
      </w:r>
    </w:p>
    <w:p w14:paraId="0F00FDDF" w14:textId="77777777" w:rsidR="00BB69CC" w:rsidRDefault="001614BE">
      <w:pPr>
        <w:pStyle w:val="FootnoteText"/>
        <w:rPr>
          <w:rtl/>
        </w:rPr>
      </w:pPr>
      <w:r>
        <w:rPr>
          <w:rFonts w:hint="cs"/>
          <w:rtl/>
        </w:rPr>
        <w:t xml:space="preserve">החידוש העמוק של הפרק שלנו הוא שההתחלות של התנועה, החומר והצורה מבחינת השתתפותם בתנועה, וכן ההעדר המיוחד שהוא חלק הכרחי מהתחלות התנועה, הם מקרה ביניים בין שמות משתתפים ובין שמות נבדלים בעלי משמעות אחת. </w:t>
      </w:r>
      <w:r w:rsidR="0015259F">
        <w:rPr>
          <w:rFonts w:hint="cs"/>
          <w:rtl/>
        </w:rPr>
        <w:t>זה דומה למה שכתב</w:t>
      </w:r>
      <w:r w:rsidR="00F546F0">
        <w:rPr>
          <w:rFonts w:hint="cs"/>
          <w:rtl/>
        </w:rPr>
        <w:t xml:space="preserve"> כאן</w:t>
      </w:r>
      <w:r w:rsidR="0015259F">
        <w:rPr>
          <w:rFonts w:hint="cs"/>
          <w:rtl/>
        </w:rPr>
        <w:t xml:space="preserve"> שההעדר המיוחד אין לו מציאות גמורה</w:t>
      </w:r>
      <w:r w:rsidR="00F546F0">
        <w:rPr>
          <w:rFonts w:hint="cs"/>
          <w:rtl/>
        </w:rPr>
        <w:t xml:space="preserve">, עצמית </w:t>
      </w:r>
      <w:r w:rsidR="004A7D92">
        <w:rPr>
          <w:rFonts w:hint="cs"/>
          <w:rtl/>
        </w:rPr>
        <w:t>ומסוימת</w:t>
      </w:r>
      <w:r w:rsidR="00F546F0">
        <w:rPr>
          <w:rFonts w:hint="cs"/>
          <w:rtl/>
        </w:rPr>
        <w:t>,</w:t>
      </w:r>
      <w:r w:rsidR="0015259F">
        <w:rPr>
          <w:rFonts w:hint="cs"/>
          <w:rtl/>
        </w:rPr>
        <w:t xml:space="preserve"> והוא לא גוזר את הצורה שהוא מאפשר את תנועתה</w:t>
      </w:r>
      <w:r w:rsidR="007F5862">
        <w:rPr>
          <w:rFonts w:hint="cs"/>
          <w:rtl/>
        </w:rPr>
        <w:t xml:space="preserve">, </w:t>
      </w:r>
      <w:r w:rsidR="004A7D92">
        <w:rPr>
          <w:rFonts w:hint="cs"/>
          <w:rtl/>
        </w:rPr>
        <w:t>ובכל</w:t>
      </w:r>
      <w:r w:rsidR="007F5862">
        <w:rPr>
          <w:rFonts w:hint="cs"/>
          <w:rtl/>
        </w:rPr>
        <w:t xml:space="preserve"> זאת הוא נמצא כדבר שקיים במציאות שהשם שלו יכול להתייחס אליו עצמו גם כשנאמר על ראובן וגם כשנאמר על שמעון</w:t>
      </w:r>
      <w:r w:rsidR="00F546F0">
        <w:rPr>
          <w:rFonts w:hint="cs"/>
          <w:rtl/>
        </w:rPr>
        <w:t>.</w:t>
      </w:r>
    </w:p>
    <w:p w14:paraId="6BC523A1" w14:textId="69E7FDB6" w:rsidR="00F831E9" w:rsidRDefault="00BB69CC">
      <w:pPr>
        <w:pStyle w:val="FootnoteText"/>
        <w:rPr>
          <w:rtl/>
        </w:rPr>
      </w:pPr>
      <w:r>
        <w:rPr>
          <w:rFonts w:hint="cs"/>
          <w:rtl/>
        </w:rPr>
        <w:t xml:space="preserve">ההעדר המסוים הוא גילוי פרטי של ההיולי הכללי. על ההיולי הכללי כתב אפלטון בטימיאוס </w:t>
      </w:r>
      <w:r w:rsidR="00617CE4">
        <w:rPr>
          <w:rFonts w:hint="cs"/>
          <w:rtl/>
        </w:rPr>
        <w:t>מ</w:t>
      </w:r>
      <w:r w:rsidR="00981B50">
        <w:rPr>
          <w:rFonts w:hint="cs"/>
          <w:rtl/>
        </w:rPr>
        <w:t>דף</w:t>
      </w:r>
      <w:r w:rsidR="00617CE4">
        <w:rPr>
          <w:rFonts w:hint="cs"/>
          <w:rtl/>
        </w:rPr>
        <w:t xml:space="preserve"> </w:t>
      </w:r>
      <w:r w:rsidR="005A2771">
        <w:rPr>
          <w:rFonts w:hint="cs"/>
          <w:rtl/>
        </w:rPr>
        <w:t>48</w:t>
      </w:r>
      <w:r w:rsidR="00617CE4">
        <w:rPr>
          <w:rFonts w:hint="cs"/>
          <w:rtl/>
        </w:rPr>
        <w:t xml:space="preserve"> והלאה</w:t>
      </w:r>
      <w:r w:rsidR="005A2771">
        <w:rPr>
          <w:rFonts w:hint="cs"/>
          <w:rtl/>
        </w:rPr>
        <w:t xml:space="preserve"> (סיפור הבריאה השני, שמקביל לסיפור הבריאה השני בספר בראשית פרק ב')</w:t>
      </w:r>
      <w:r w:rsidR="00617CE4">
        <w:rPr>
          <w:rFonts w:hint="cs"/>
          <w:rtl/>
        </w:rPr>
        <w:t xml:space="preserve"> </w:t>
      </w:r>
      <w:r>
        <w:rPr>
          <w:rFonts w:hint="cs"/>
          <w:rtl/>
        </w:rPr>
        <w:t xml:space="preserve">שאין לו מציאות מוגדרת, </w:t>
      </w:r>
      <w:r w:rsidR="005A0BD8">
        <w:rPr>
          <w:rFonts w:hint="cs"/>
          <w:rtl/>
        </w:rPr>
        <w:t xml:space="preserve">והשכל </w:t>
      </w:r>
      <w:r w:rsidR="00617CE4">
        <w:rPr>
          <w:rFonts w:hint="cs"/>
          <w:rtl/>
        </w:rPr>
        <w:t xml:space="preserve">לא יכול לתפוש אותו, ואנו יודעים עליו בכח השגה </w:t>
      </w:r>
      <w:r w:rsidR="005A0BD8">
        <w:rPr>
          <w:rFonts w:hint="cs"/>
          <w:rtl/>
        </w:rPr>
        <w:t>שדומה</w:t>
      </w:r>
      <w:r w:rsidR="00617CE4">
        <w:rPr>
          <w:rFonts w:hint="cs"/>
          <w:rtl/>
        </w:rPr>
        <w:t xml:space="preserve"> לחלום, </w:t>
      </w:r>
      <w:r>
        <w:rPr>
          <w:rFonts w:hint="cs"/>
          <w:rtl/>
        </w:rPr>
        <w:t xml:space="preserve">וכל שכן שזה נאמר על ההתגלות הפרטית שלו בתנועת ההתהוות וההפסד של העצם הפרטי. </w:t>
      </w:r>
      <w:r w:rsidR="005342B6">
        <w:rPr>
          <w:rFonts w:hint="cs"/>
          <w:rtl/>
        </w:rPr>
        <w:t>הקושי ודו המשמעות בתפישת מציאותו של ההיולי, בזה דן כאן אבן סינא כשזה מתבטא בהעדר המיוחד, שהוא כוחו של ההיולי כהעדר שמבעיר את המציאות</w:t>
      </w:r>
      <w:r w:rsidR="00440773">
        <w:rPr>
          <w:rFonts w:hint="cs"/>
          <w:rtl/>
        </w:rPr>
        <w:t xml:space="preserve"> (וכמו שכתב בספר יצירה כשלהבת ה</w:t>
      </w:r>
      <w:r w:rsidR="00AA742D">
        <w:rPr>
          <w:rFonts w:hint="cs"/>
          <w:rtl/>
        </w:rPr>
        <w:t>קשורה</w:t>
      </w:r>
      <w:r w:rsidR="00440773">
        <w:rPr>
          <w:rFonts w:hint="cs"/>
          <w:rtl/>
        </w:rPr>
        <w:t xml:space="preserve"> בגחלת)</w:t>
      </w:r>
      <w:r w:rsidR="005342B6">
        <w:rPr>
          <w:rFonts w:hint="cs"/>
          <w:rtl/>
        </w:rPr>
        <w:t xml:space="preserve">, ולא רק כמצע להצטיירות הצורות.  </w:t>
      </w:r>
      <w:r>
        <w:rPr>
          <w:rFonts w:hint="cs"/>
          <w:rtl/>
        </w:rPr>
        <w:t xml:space="preserve"> </w:t>
      </w:r>
      <w:r w:rsidR="00F546F0">
        <w:rPr>
          <w:rFonts w:hint="cs"/>
          <w:rtl/>
        </w:rPr>
        <w:t xml:space="preserve"> </w:t>
      </w:r>
      <w:r w:rsidR="0015259F">
        <w:rPr>
          <w:rFonts w:hint="cs"/>
          <w:rtl/>
        </w:rPr>
        <w:t xml:space="preserve"> </w:t>
      </w:r>
      <w:r w:rsidR="00BB3300">
        <w:rPr>
          <w:rFonts w:hint="cs"/>
          <w:rtl/>
        </w:rPr>
        <w:t xml:space="preserve"> </w:t>
      </w:r>
      <w:r w:rsidR="00B5261B">
        <w:rPr>
          <w:rFonts w:hint="cs"/>
          <w:rtl/>
        </w:rPr>
        <w:t xml:space="preserve">  </w:t>
      </w:r>
      <w:r w:rsidR="00EF182D">
        <w:rPr>
          <w:rFonts w:hint="cs"/>
          <w:rtl/>
        </w:rPr>
        <w:t xml:space="preserve"> </w:t>
      </w:r>
      <w:r w:rsidR="00E370C2">
        <w:rPr>
          <w:rFonts w:hint="cs"/>
          <w:rtl/>
        </w:rPr>
        <w:t xml:space="preserve"> </w:t>
      </w:r>
    </w:p>
    <w:p w14:paraId="0372F0C2" w14:textId="77777777" w:rsidR="0057367F" w:rsidRDefault="0057367F">
      <w:pPr>
        <w:pStyle w:val="FootnoteText"/>
        <w:rPr>
          <w:rtl/>
        </w:rPr>
      </w:pPr>
    </w:p>
    <w:p w14:paraId="2E649124" w14:textId="17838B91" w:rsidR="00AE3E85" w:rsidRDefault="00AE3E85">
      <w:pPr>
        <w:pStyle w:val="FootnoteText"/>
        <w:rPr>
          <w:rtl/>
        </w:rPr>
      </w:pPr>
      <w:r>
        <w:rPr>
          <w:rFonts w:hint="cs"/>
          <w:rtl/>
        </w:rPr>
        <w:t>קצת מלשון טימיאוס שם:</w:t>
      </w:r>
    </w:p>
    <w:p w14:paraId="4C39A084" w14:textId="5AAB5EBF" w:rsidR="00AE3E85" w:rsidRDefault="00AE3E85" w:rsidP="00AA6A91">
      <w:pPr>
        <w:pStyle w:val="FootnoteText"/>
        <w:rPr>
          <w:rtl/>
        </w:rPr>
      </w:pPr>
      <w:r>
        <w:rPr>
          <w:rFonts w:hint="cs"/>
          <w:rtl/>
        </w:rPr>
        <w:t>"</w:t>
      </w:r>
      <w:r>
        <w:rPr>
          <w:rtl/>
        </w:rPr>
        <w:t xml:space="preserve">וכדי לתאר בתיאור של אמת, כיצד נתהווה העולם על פי אותו כלל, יש לערבב בסיפור המעשה גם את הסיבה הפועלת מתוך תעייה, ולהתוות כיצד היא </w:t>
      </w:r>
      <w:r w:rsidRPr="00AA6A91">
        <w:rPr>
          <w:b/>
          <w:bCs/>
          <w:rtl/>
        </w:rPr>
        <w:t>עשויה להניע</w:t>
      </w:r>
      <w:r>
        <w:rPr>
          <w:rtl/>
        </w:rPr>
        <w:t xml:space="preserve">. </w:t>
      </w:r>
      <w:r w:rsidR="008413D5">
        <w:rPr>
          <w:rFonts w:hint="cs"/>
          <w:rtl/>
        </w:rPr>
        <w:t>[...]</w:t>
      </w:r>
      <w:r>
        <w:rPr>
          <w:rtl/>
        </w:rPr>
        <w:t xml:space="preserve"> </w:t>
      </w:r>
    </w:p>
    <w:p w14:paraId="342F1B81" w14:textId="3C0859E6" w:rsidR="00AE3E85" w:rsidRDefault="00AE3E85" w:rsidP="007231A0">
      <w:pPr>
        <w:pStyle w:val="FootnoteText"/>
        <w:rPr>
          <w:rtl/>
        </w:rPr>
      </w:pPr>
      <w:r>
        <w:rPr>
          <w:rtl/>
        </w:rPr>
        <w:t>אולם עכשיו, כנראה, מכריחנו הגיון הדברים שנשתדל לגלות בדברינו מין נוסף, מוקשה</w:t>
      </w:r>
      <w:r w:rsidR="007231A0">
        <w:rPr>
          <w:rFonts w:hint="cs"/>
          <w:rtl/>
        </w:rPr>
        <w:t xml:space="preserve"> </w:t>
      </w:r>
      <w:r>
        <w:rPr>
          <w:rtl/>
        </w:rPr>
        <w:t>ומעומעם. מה הוא, אפוא, כוח הפעולה, ואיזה הוא הטבע שיש לייחסו למין ההוא? מכל וכל טבעו הוא כדלהלן: להיות בית קיבול, וכביכול אומנת, של כל התולדה.</w:t>
      </w:r>
    </w:p>
    <w:p w14:paraId="4A86B7B5" w14:textId="77777777" w:rsidR="00CD056A" w:rsidRDefault="00CD056A" w:rsidP="00CD056A">
      <w:pPr>
        <w:pStyle w:val="FootnoteText"/>
        <w:rPr>
          <w:rtl/>
        </w:rPr>
      </w:pPr>
      <w:r>
        <w:rPr>
          <w:rFonts w:hint="cs"/>
          <w:rtl/>
        </w:rPr>
        <w:t>[...]</w:t>
      </w:r>
    </w:p>
    <w:p w14:paraId="5C7C3B14" w14:textId="52920316" w:rsidR="00AE3E85" w:rsidRDefault="00AE3E85" w:rsidP="00CD056A">
      <w:pPr>
        <w:pStyle w:val="FootnoteText"/>
        <w:rPr>
          <w:rtl/>
        </w:rPr>
      </w:pPr>
      <w:r>
        <w:rPr>
          <w:rtl/>
        </w:rPr>
        <w:t xml:space="preserve">שלישי הוא החלל אשר קיים לעולם ונמנע ממנו כליון; הוא ממציא משכן לכל המתהווה ; ואותו משיג </w:t>
      </w:r>
      <w:r w:rsidR="00CD056A">
        <w:rPr>
          <w:rFonts w:hint="cs"/>
          <w:rtl/>
        </w:rPr>
        <w:t>-</w:t>
      </w:r>
      <w:r>
        <w:rPr>
          <w:rtl/>
        </w:rPr>
        <w:t xml:space="preserve"> בלא תחושה </w:t>
      </w:r>
      <w:r w:rsidR="00CD056A">
        <w:rPr>
          <w:rFonts w:hint="cs"/>
          <w:rtl/>
        </w:rPr>
        <w:t>-</w:t>
      </w:r>
      <w:r>
        <w:rPr>
          <w:rtl/>
        </w:rPr>
        <w:t xml:space="preserve"> שיקול דעת </w:t>
      </w:r>
      <w:r w:rsidR="009C463A">
        <w:rPr>
          <w:rFonts w:hint="cs"/>
          <w:rtl/>
        </w:rPr>
        <w:t>מסוים</w:t>
      </w:r>
      <w:r>
        <w:rPr>
          <w:rtl/>
        </w:rPr>
        <w:t xml:space="preserve"> שאינו כשר מלידה</w:t>
      </w:r>
      <w:r w:rsidR="00CD056A">
        <w:rPr>
          <w:rFonts w:hint="cs"/>
          <w:rtl/>
        </w:rPr>
        <w:t xml:space="preserve"> [כלומר ממזר]</w:t>
      </w:r>
      <w:r>
        <w:rPr>
          <w:rtl/>
        </w:rPr>
        <w:t xml:space="preserve">; אך כמעט לא ייתכן לראות בו ענין לאמונה. והוא הדבר שאנו מביטים אלין כבחלום, ואומרים שכל מה שישנו צריך שיהא במקום כלשהו, ומה שאיננו עלי אדמות, ולא באיזה שהוא מקום בשמיים, </w:t>
      </w:r>
      <w:r w:rsidRPr="009E537C">
        <w:rPr>
          <w:b/>
          <w:bCs/>
          <w:rtl/>
        </w:rPr>
        <w:t>אינו דבר</w:t>
      </w:r>
      <w:r>
        <w:rPr>
          <w:rtl/>
        </w:rPr>
        <w:t>. ומהיותנו נתונים במצב זה של חלום, אין ביכולתנו להתעורר ולהבחין את ההבחנות האלה ושכמותן, אף לא לגבי אותו טבע שאינו אחוז שינה והקיים קיום אמיתי, ולהגיד את האמת, כדלהלן: מאחר שעצם היסוד שמכוחו נתהווה הצלם</w:t>
      </w:r>
      <w:r w:rsidR="009E537C">
        <w:rPr>
          <w:rFonts w:hint="cs"/>
          <w:rtl/>
        </w:rPr>
        <w:t xml:space="preserve"> [הכוונה לעצם שמורכב מחומר וצורה, ואפלטון קורא לו כאן צלם כי הוא כדמות </w:t>
      </w:r>
      <w:r w:rsidR="00DE4DCA">
        <w:rPr>
          <w:rFonts w:hint="cs"/>
          <w:rtl/>
        </w:rPr>
        <w:t>ה</w:t>
      </w:r>
      <w:r w:rsidR="009E537C">
        <w:rPr>
          <w:rFonts w:hint="cs"/>
          <w:rtl/>
        </w:rPr>
        <w:t>אידיאות המופשטות</w:t>
      </w:r>
      <w:r w:rsidR="00DE4DCA">
        <w:rPr>
          <w:rFonts w:hint="cs"/>
          <w:rtl/>
        </w:rPr>
        <w:t>, ומציאותו נובעת מהן</w:t>
      </w:r>
      <w:r w:rsidR="009E537C">
        <w:rPr>
          <w:rFonts w:hint="cs"/>
          <w:rtl/>
        </w:rPr>
        <w:t>]</w:t>
      </w:r>
      <w:r>
        <w:rPr>
          <w:rtl/>
        </w:rPr>
        <w:t xml:space="preserve"> אינו שייך לצלם עצמו, והוא תמונתו של מה שהוא אחר</w:t>
      </w:r>
      <w:r w:rsidR="00DE4DCA">
        <w:rPr>
          <w:rFonts w:hint="cs"/>
          <w:rtl/>
        </w:rPr>
        <w:t xml:space="preserve"> [האידיאה המופשטת]</w:t>
      </w:r>
      <w:r>
        <w:rPr>
          <w:rtl/>
        </w:rPr>
        <w:t xml:space="preserve"> המתנועעת תמיד אנה ואנה, </w:t>
      </w:r>
      <w:r w:rsidR="009E537C">
        <w:rPr>
          <w:rFonts w:hint="cs"/>
          <w:rtl/>
        </w:rPr>
        <w:t>-</w:t>
      </w:r>
      <w:r>
        <w:rPr>
          <w:rtl/>
        </w:rPr>
        <w:t xml:space="preserve"> משום כך דינו של הצלם הוא, שיתהווה בתוך מה שהוא אחר</w:t>
      </w:r>
      <w:r w:rsidR="00DE4DCA">
        <w:rPr>
          <w:rFonts w:hint="cs"/>
          <w:rtl/>
        </w:rPr>
        <w:t xml:space="preserve"> [בהיולי]</w:t>
      </w:r>
      <w:r>
        <w:rPr>
          <w:rtl/>
        </w:rPr>
        <w:t xml:space="preserve">, </w:t>
      </w:r>
      <w:r w:rsidRPr="00DE4DCA">
        <w:rPr>
          <w:b/>
          <w:bCs/>
          <w:rtl/>
        </w:rPr>
        <w:t>כשבדרך מה הוא נאחז במה שקיים</w:t>
      </w:r>
      <w:r w:rsidR="00DE4DCA">
        <w:rPr>
          <w:rFonts w:hint="cs"/>
          <w:b/>
          <w:bCs/>
          <w:rtl/>
        </w:rPr>
        <w:t xml:space="preserve"> </w:t>
      </w:r>
      <w:r w:rsidR="00DE4DCA" w:rsidRPr="00DE4DCA">
        <w:rPr>
          <w:rFonts w:hint="cs"/>
          <w:rtl/>
        </w:rPr>
        <w:t>[זה אופן הקיום המוקשה שהסעיף כאן עוסק בו]</w:t>
      </w:r>
      <w:r>
        <w:rPr>
          <w:rtl/>
        </w:rPr>
        <w:t>, ולא</w:t>
      </w:r>
      <w:r w:rsidR="00DE4DCA">
        <w:rPr>
          <w:rFonts w:hint="cs"/>
          <w:rtl/>
        </w:rPr>
        <w:t xml:space="preserve"> -</w:t>
      </w:r>
      <w:r>
        <w:rPr>
          <w:rtl/>
        </w:rPr>
        <w:t xml:space="preserve"> כלל לא יהיה הצלם בגדר </w:t>
      </w:r>
      <w:r w:rsidR="00DE4DCA">
        <w:rPr>
          <w:rFonts w:hint="cs"/>
          <w:rtl/>
        </w:rPr>
        <w:t>'</w:t>
      </w:r>
      <w:r>
        <w:rPr>
          <w:rtl/>
        </w:rPr>
        <w:t>דבר</w:t>
      </w:r>
      <w:r w:rsidR="00DE4DCA">
        <w:rPr>
          <w:rFonts w:hint="cs"/>
          <w:rtl/>
        </w:rPr>
        <w:t>' [כלומר יישאר</w:t>
      </w:r>
      <w:r w:rsidR="0055121E">
        <w:rPr>
          <w:rFonts w:hint="cs"/>
          <w:rtl/>
        </w:rPr>
        <w:t xml:space="preserve"> </w:t>
      </w:r>
      <w:r w:rsidR="00DE4DCA">
        <w:rPr>
          <w:rFonts w:hint="cs"/>
          <w:rtl/>
        </w:rPr>
        <w:t>אידיאה מופשטת ש</w:t>
      </w:r>
      <w:r w:rsidR="0055121E">
        <w:rPr>
          <w:rFonts w:hint="cs"/>
          <w:rtl/>
        </w:rPr>
        <w:t>נ</w:t>
      </w:r>
      <w:r w:rsidR="00DE4DCA">
        <w:rPr>
          <w:rFonts w:hint="cs"/>
          <w:rtl/>
        </w:rPr>
        <w:t>חשבת כקיימת רק בעולם המופשט ולא בעולם הארצי</w:t>
      </w:r>
      <w:r w:rsidR="0055121E">
        <w:rPr>
          <w:rFonts w:hint="cs"/>
          <w:rtl/>
        </w:rPr>
        <w:t>, הטבע,</w:t>
      </w:r>
      <w:r w:rsidR="00DE4DCA">
        <w:rPr>
          <w:rFonts w:hint="cs"/>
          <w:rtl/>
        </w:rPr>
        <w:t xml:space="preserve"> שבו ההגדרה של קיום היא להיות עצם שהוא צורה מורכבת </w:t>
      </w:r>
      <w:r w:rsidR="0055121E">
        <w:rPr>
          <w:rFonts w:hint="cs"/>
          <w:rtl/>
        </w:rPr>
        <w:t>עם ה</w:t>
      </w:r>
      <w:r w:rsidR="00DE4DCA">
        <w:rPr>
          <w:rFonts w:hint="cs"/>
          <w:rtl/>
        </w:rPr>
        <w:t>חומר]</w:t>
      </w:r>
      <w:r>
        <w:rPr>
          <w:rFonts w:hint="cs"/>
          <w:rtl/>
        </w:rPr>
        <w:t>"</w:t>
      </w:r>
    </w:p>
    <w:p w14:paraId="0E1C773E" w14:textId="77777777" w:rsidR="00F40CC3" w:rsidRDefault="00F40CC3" w:rsidP="00CD056A">
      <w:pPr>
        <w:pStyle w:val="FootnoteText"/>
        <w:rPr>
          <w:rtl/>
        </w:rPr>
      </w:pPr>
    </w:p>
    <w:p w14:paraId="1828F8B5" w14:textId="03D13476" w:rsidR="00F40CC3" w:rsidRDefault="00F40CC3" w:rsidP="00CD056A">
      <w:pPr>
        <w:pStyle w:val="FootnoteText"/>
        <w:rPr>
          <w:rtl/>
        </w:rPr>
      </w:pPr>
      <w:r>
        <w:rPr>
          <w:rFonts w:hint="cs"/>
          <w:rtl/>
        </w:rPr>
        <w:t xml:space="preserve">אבן סינא כאן מביא </w:t>
      </w:r>
      <w:r w:rsidR="00422007">
        <w:rPr>
          <w:rFonts w:hint="cs"/>
          <w:rtl/>
        </w:rPr>
        <w:t xml:space="preserve">עוד </w:t>
      </w:r>
      <w:r>
        <w:rPr>
          <w:rFonts w:hint="cs"/>
          <w:rtl/>
        </w:rPr>
        <w:t xml:space="preserve">שלוש דוגמאות </w:t>
      </w:r>
      <w:r w:rsidR="00422007">
        <w:rPr>
          <w:rFonts w:hint="cs"/>
          <w:rtl/>
        </w:rPr>
        <w:t xml:space="preserve">של שמות שהם מצד אחד משותפים ומצד שני אינם משותפים. </w:t>
      </w:r>
      <w:r w:rsidR="00A43B26">
        <w:rPr>
          <w:rFonts w:hint="cs"/>
          <w:rtl/>
        </w:rPr>
        <w:t>והן: "</w:t>
      </w:r>
      <w:r w:rsidR="00A43B26" w:rsidRPr="00A43B26">
        <w:rPr>
          <w:rtl/>
        </w:rPr>
        <w:t>מציאות, התחלה ואחדות</w:t>
      </w:r>
      <w:r w:rsidR="008A4970">
        <w:rPr>
          <w:rFonts w:hint="cs"/>
          <w:rtl/>
        </w:rPr>
        <w:t>.</w:t>
      </w:r>
      <w:r w:rsidR="00A43B26">
        <w:rPr>
          <w:rFonts w:hint="cs"/>
          <w:rtl/>
        </w:rPr>
        <w:t>"</w:t>
      </w:r>
    </w:p>
    <w:p w14:paraId="386EF775" w14:textId="35CD8D3F" w:rsidR="008A4970" w:rsidRDefault="008A4970" w:rsidP="00CD056A">
      <w:pPr>
        <w:pStyle w:val="FootnoteText"/>
        <w:rPr>
          <w:rtl/>
        </w:rPr>
      </w:pPr>
      <w:r>
        <w:rPr>
          <w:rFonts w:hint="cs"/>
          <w:rtl/>
        </w:rPr>
        <w:t>כמו שהתבאר לעיל בכמה מקומות (מופיע באינדקס שבתחילת הספר)</w:t>
      </w:r>
      <w:r w:rsidR="00BF09BA">
        <w:rPr>
          <w:rFonts w:hint="cs"/>
          <w:rtl/>
        </w:rPr>
        <w:t xml:space="preserve"> החילוק בין התחלה לצורה</w:t>
      </w:r>
      <w:r w:rsidR="006762FF">
        <w:rPr>
          <w:rFonts w:hint="cs"/>
          <w:rtl/>
        </w:rPr>
        <w:t>;</w:t>
      </w:r>
      <w:r>
        <w:rPr>
          <w:rFonts w:hint="cs"/>
          <w:rtl/>
        </w:rPr>
        <w:t xml:space="preserve"> </w:t>
      </w:r>
      <w:r w:rsidR="00BF09BA">
        <w:rPr>
          <w:rFonts w:hint="cs"/>
          <w:rtl/>
        </w:rPr>
        <w:t xml:space="preserve">למשל </w:t>
      </w:r>
      <w:r w:rsidR="006762FF">
        <w:rPr>
          <w:rFonts w:hint="cs"/>
          <w:rtl/>
        </w:rPr>
        <w:t xml:space="preserve">- </w:t>
      </w:r>
      <w:r w:rsidR="00BF09BA">
        <w:rPr>
          <w:rFonts w:hint="cs"/>
          <w:rtl/>
        </w:rPr>
        <w:t>צורת האדם היא 'חי מדבר'</w:t>
      </w:r>
      <w:r w:rsidR="002974E4">
        <w:rPr>
          <w:rFonts w:hint="cs"/>
          <w:rtl/>
        </w:rPr>
        <w:t xml:space="preserve">, כדי שנוכל לומר על האדם </w:t>
      </w:r>
      <w:r w:rsidR="006762FF">
        <w:rPr>
          <w:rFonts w:hint="cs"/>
          <w:rtl/>
        </w:rPr>
        <w:t>'</w:t>
      </w:r>
      <w:r w:rsidR="002974E4">
        <w:rPr>
          <w:rFonts w:hint="cs"/>
          <w:rtl/>
        </w:rPr>
        <w:t>חי</w:t>
      </w:r>
      <w:r w:rsidR="006762FF">
        <w:rPr>
          <w:rFonts w:hint="cs"/>
          <w:rtl/>
        </w:rPr>
        <w:t>'</w:t>
      </w:r>
      <w:r w:rsidR="002974E4">
        <w:rPr>
          <w:rFonts w:hint="cs"/>
          <w:rtl/>
        </w:rPr>
        <w:t xml:space="preserve">, בהכרח יש לתפוש שיש חיים באופן כללי לגמרי, מופשט, שאינם חיים של משהו </w:t>
      </w:r>
      <w:r w:rsidR="009C463A">
        <w:rPr>
          <w:rFonts w:hint="cs"/>
          <w:rtl/>
        </w:rPr>
        <w:t>מסוים</w:t>
      </w:r>
      <w:r w:rsidR="002974E4">
        <w:rPr>
          <w:rFonts w:hint="cs"/>
          <w:rtl/>
        </w:rPr>
        <w:t xml:space="preserve"> אלא חיים כחיים, שהם מילה נרדפת למציאות כמציאות, ולאחדות כאחדות, </w:t>
      </w:r>
      <w:r w:rsidR="00046B53">
        <w:rPr>
          <w:rFonts w:hint="cs"/>
          <w:rtl/>
        </w:rPr>
        <w:t xml:space="preserve">ולחכמה כחכמה, </w:t>
      </w:r>
      <w:r w:rsidR="002974E4">
        <w:rPr>
          <w:rFonts w:hint="cs"/>
          <w:rtl/>
        </w:rPr>
        <w:t>שכולם הם שמות נרדפים ל</w:t>
      </w:r>
      <w:r w:rsidR="006762FF">
        <w:rPr>
          <w:rFonts w:hint="cs"/>
          <w:rtl/>
        </w:rPr>
        <w:t>מציאות ה</w:t>
      </w:r>
      <w:r w:rsidR="003B5D7F">
        <w:rPr>
          <w:rFonts w:hint="cs"/>
          <w:rtl/>
        </w:rPr>
        <w:t>בורא עצמו (עיין מורה נבוכים א' סוף פרק נ"ג), והם עניין שהוא מעל כל הגדרה</w:t>
      </w:r>
      <w:r w:rsidR="006762FF">
        <w:rPr>
          <w:rFonts w:hint="cs"/>
          <w:rtl/>
        </w:rPr>
        <w:t xml:space="preserve"> </w:t>
      </w:r>
      <w:r w:rsidR="003B5D7F">
        <w:rPr>
          <w:rFonts w:hint="cs"/>
          <w:rtl/>
        </w:rPr>
        <w:t>וגבול ומהות</w:t>
      </w:r>
      <w:r w:rsidR="00BF09BA">
        <w:rPr>
          <w:rFonts w:hint="cs"/>
          <w:rtl/>
        </w:rPr>
        <w:t xml:space="preserve">. </w:t>
      </w:r>
      <w:r w:rsidR="00046B53">
        <w:rPr>
          <w:rFonts w:hint="cs"/>
          <w:rtl/>
        </w:rPr>
        <w:t xml:space="preserve">רק אחרי שיש תפישה כזו אפשר לתפוש מציאות של חיים בבעלי החיים. </w:t>
      </w:r>
      <w:r w:rsidR="00097978">
        <w:rPr>
          <w:rFonts w:hint="cs"/>
          <w:rtl/>
        </w:rPr>
        <w:t xml:space="preserve">החיים הם צורה כשהם מתגלים בפרט החי המסוים, או במין של בעלי חיים, או בסוג שכולל את כל בעלי החיים, והם התחלה כשהם בגילוי שלהם בשרשם כאין סופיים וכגילוי מציאות האלוה עצמו לא רק מצד ספירת חכמה ששם יש גבולות והגדרות אלא מצד האין סוף. </w:t>
      </w:r>
    </w:p>
    <w:p w14:paraId="27A20F24" w14:textId="77777777" w:rsidR="00BE718B" w:rsidRDefault="0036191C" w:rsidP="00CD056A">
      <w:pPr>
        <w:pStyle w:val="FootnoteText"/>
        <w:rPr>
          <w:rtl/>
        </w:rPr>
      </w:pPr>
      <w:r>
        <w:rPr>
          <w:rFonts w:hint="cs"/>
          <w:rtl/>
        </w:rPr>
        <w:t xml:space="preserve">מצד שהחיים הם התחלה כללית מופשטת לגמרי, שהנבראים רק נוטלים בה חלק, המילה 'חיים' כשנאמרת על ראובן או על שמעון, על מין האדם או מין הסוס, יש לה משמעות אחת. היא לא שם משתתף אלא שם נבדל, בעל משמעות אחת, כי המציאות של 'חיים' כהתחלה היא אחת לגמרי מבחינה אונטולוגית, במציאות, וחיי ראובן הם הם חיי שמעון עצמם. אבל ההתחלה אין לה קיום כהתחלה בתוך הטבע, </w:t>
      </w:r>
      <w:r w:rsidR="00376A2B">
        <w:rPr>
          <w:rFonts w:hint="cs"/>
          <w:rtl/>
        </w:rPr>
        <w:t>היא זיו של הנבדל המופשט לחלוטין, שמאיר מהמקור של המציאות אל הטבע בדרך של זיו, כלומר אור שרואים אותו מוטל על משהו ולא רואים את מקורו</w:t>
      </w:r>
      <w:r w:rsidR="008603D9">
        <w:rPr>
          <w:rFonts w:hint="cs"/>
          <w:rtl/>
        </w:rPr>
        <w:t xml:space="preserve">, כמו הלשון "זיו קלסתר" </w:t>
      </w:r>
      <w:r w:rsidR="0013432D">
        <w:rPr>
          <w:rFonts w:hint="cs"/>
          <w:rtl/>
        </w:rPr>
        <w:t>שכתב</w:t>
      </w:r>
      <w:r w:rsidR="008603D9">
        <w:rPr>
          <w:rFonts w:hint="cs"/>
          <w:rtl/>
        </w:rPr>
        <w:t xml:space="preserve"> רש"י בבראשית </w:t>
      </w:r>
      <w:r w:rsidR="00D13C36">
        <w:rPr>
          <w:rFonts w:hint="cs"/>
          <w:rtl/>
        </w:rPr>
        <w:t>כ"ט י"ז</w:t>
      </w:r>
      <w:r w:rsidR="00376A2B">
        <w:rPr>
          <w:rFonts w:hint="cs"/>
          <w:rtl/>
        </w:rPr>
        <w:t xml:space="preserve">. </w:t>
      </w:r>
      <w:r w:rsidR="00D13C36">
        <w:rPr>
          <w:rFonts w:hint="cs"/>
          <w:rtl/>
        </w:rPr>
        <w:t xml:space="preserve">לכן מה שההתחלות הן </w:t>
      </w:r>
      <w:r w:rsidR="00F658BC">
        <w:rPr>
          <w:rFonts w:hint="cs"/>
          <w:rtl/>
        </w:rPr>
        <w:t xml:space="preserve">שם נבדל, בעל משמעות אחת, זה לא עניין שנמצא בתוך הטבע ומושג באופן ברור לשכל, אלא זה מצד הסוד </w:t>
      </w:r>
      <w:r w:rsidR="00BE718B">
        <w:rPr>
          <w:rFonts w:hint="cs"/>
          <w:rtl/>
        </w:rPr>
        <w:t xml:space="preserve">העליון הנעלם </w:t>
      </w:r>
      <w:r w:rsidR="00F658BC">
        <w:rPr>
          <w:rFonts w:hint="cs"/>
          <w:rtl/>
        </w:rPr>
        <w:t xml:space="preserve">שבו הכל הוא אחדות אלוהית פשוטה אחת בלי מורכבות כלל, </w:t>
      </w:r>
      <w:r w:rsidR="00BE718B">
        <w:rPr>
          <w:rFonts w:hint="cs"/>
          <w:rtl/>
        </w:rPr>
        <w:t>הוא הצד בסתירה של מעשה מרכבה שלפיו אין מציאות לעולם כלל.</w:t>
      </w:r>
    </w:p>
    <w:p w14:paraId="29AC97DF" w14:textId="731C2F5A" w:rsidR="00376A2B" w:rsidRDefault="00BE718B" w:rsidP="00AB7715">
      <w:pPr>
        <w:pStyle w:val="FootnoteText"/>
        <w:rPr>
          <w:rtl/>
        </w:rPr>
      </w:pPr>
      <w:r>
        <w:rPr>
          <w:rFonts w:hint="cs"/>
          <w:rtl/>
        </w:rPr>
        <w:t xml:space="preserve">מצד הטבע המציאות, </w:t>
      </w:r>
      <w:r w:rsidR="00B36027">
        <w:rPr>
          <w:rFonts w:hint="cs"/>
          <w:rtl/>
        </w:rPr>
        <w:t xml:space="preserve">ההתחלות, </w:t>
      </w:r>
      <w:r>
        <w:rPr>
          <w:rFonts w:hint="cs"/>
          <w:rtl/>
        </w:rPr>
        <w:t xml:space="preserve">האחדות, </w:t>
      </w:r>
      <w:r w:rsidR="00B36027">
        <w:rPr>
          <w:rFonts w:hint="cs"/>
          <w:rtl/>
        </w:rPr>
        <w:t xml:space="preserve">של ראובן, הם עניין </w:t>
      </w:r>
      <w:r w:rsidR="009C463A">
        <w:rPr>
          <w:rFonts w:hint="cs"/>
          <w:rtl/>
        </w:rPr>
        <w:t>מסוים</w:t>
      </w:r>
      <w:r w:rsidR="00B36027">
        <w:rPr>
          <w:rFonts w:hint="cs"/>
          <w:rtl/>
        </w:rPr>
        <w:t xml:space="preserve"> פרטי שנמצא רק אצל ראובן. אין בתוך הטבע דרך התגלות אחרת של המופשט הנעלם אלא רק באופן כזה. </w:t>
      </w:r>
      <w:r w:rsidR="00F91AD1">
        <w:rPr>
          <w:rFonts w:hint="cs"/>
          <w:rtl/>
        </w:rPr>
        <w:t xml:space="preserve">מצד זה המציאות ההתחלות והאחדות של ראובן שונה במציאותה מזו של שמעון, ולכן מה שנאמר על ראובן ומה שנאמר על שמעון מציינים עניינים שונים במציאות ומצד זה הם שמות משתתפים. </w:t>
      </w:r>
      <w:r w:rsidR="00CE7289">
        <w:rPr>
          <w:rFonts w:hint="cs"/>
          <w:rtl/>
        </w:rPr>
        <w:t xml:space="preserve">שני צדדי השאלה האם מצתיאות התחלות ואחדות הם שמות משתתפים או לא, הם שני צדדי הסתירה של </w:t>
      </w:r>
      <w:r w:rsidR="004E1D23">
        <w:rPr>
          <w:rFonts w:hint="cs"/>
          <w:rtl/>
        </w:rPr>
        <w:t xml:space="preserve">סוד </w:t>
      </w:r>
      <w:r w:rsidR="00CE7289">
        <w:rPr>
          <w:rFonts w:hint="cs"/>
          <w:rtl/>
        </w:rPr>
        <w:t xml:space="preserve">מעשה מרכבה, שמצד אחד </w:t>
      </w:r>
      <w:r w:rsidR="00A65127">
        <w:rPr>
          <w:rFonts w:hint="cs"/>
          <w:rtl/>
        </w:rPr>
        <w:t>האלוה נבדל ונקי מהעולם לחלוטין, והוא אחדות פשוטה מוחלטת בלי מורכבות כלל, ולפי זה אין עולם (כי אם הבורא רצה לברוא אדם ורצה לברוא סוס הרי יש בו שני רצונות והוא כבר לא אחדות פשוטה מוחלטת בלי מורכבות</w:t>
      </w:r>
      <w:r w:rsidR="004E1D23">
        <w:rPr>
          <w:rFonts w:hint="cs"/>
          <w:rtl/>
        </w:rPr>
        <w:t>), ולפי זה אינם שמות משתתפים, והצד השני שיש עולם, והבורא הוא שכל ושייך בו גבולות והגדרות ומצד זה השמות משתתפים (בצדדי הסתירה עיין מורה נבוכים א' ע"ב במקום שכתב "ישתבח מי שנצחנו שלמותו").</w:t>
      </w:r>
    </w:p>
    <w:p w14:paraId="2B34CA82" w14:textId="65279083" w:rsidR="00E2543A" w:rsidRDefault="00E2543A" w:rsidP="00AB7715">
      <w:pPr>
        <w:pStyle w:val="FootnoteText"/>
      </w:pPr>
      <w:r>
        <w:rPr>
          <w:rFonts w:hint="cs"/>
          <w:rtl/>
        </w:rPr>
        <w:t>מה שכתבתי על ההתחלות</w:t>
      </w:r>
      <w:r w:rsidR="009276C3">
        <w:rPr>
          <w:rtl/>
        </w:rPr>
        <w:fldChar w:fldCharType="begin"/>
      </w:r>
      <w:r w:rsidR="009276C3">
        <w:instrText xml:space="preserve"> XE "</w:instrText>
      </w:r>
      <w:r w:rsidR="009276C3" w:rsidRPr="009F1FDC">
        <w:rPr>
          <w:rFonts w:hint="cs"/>
          <w:rtl/>
        </w:rPr>
        <w:instrText>ההתחלות נצחיות וכלליות - מקור מאריסטו לזה</w:instrText>
      </w:r>
      <w:r w:rsidR="009276C3">
        <w:instrText xml:space="preserve">" </w:instrText>
      </w:r>
      <w:r w:rsidR="009276C3">
        <w:rPr>
          <w:rtl/>
        </w:rPr>
        <w:fldChar w:fldCharType="end"/>
      </w:r>
      <w:r>
        <w:rPr>
          <w:rFonts w:hint="cs"/>
          <w:rtl/>
        </w:rPr>
        <w:t xml:space="preserve"> שהן מצד אחד </w:t>
      </w:r>
      <w:r w:rsidR="00BE6AC8">
        <w:rPr>
          <w:rFonts w:hint="cs"/>
          <w:rtl/>
        </w:rPr>
        <w:t xml:space="preserve">נצחיות, כלומר מופשטות וכלליות לחלוטין כמו הבורא שהוא נצחי, דהיינו הכרחי המציאות, ומצד שני הן </w:t>
      </w:r>
      <w:r w:rsidR="00A2052E">
        <w:rPr>
          <w:rFonts w:hint="cs"/>
          <w:rtl/>
        </w:rPr>
        <w:t xml:space="preserve">שורש הוויית העצם המסוים, אריסטו כתב עניין זה במטאפיזיקה כפא, </w:t>
      </w:r>
      <w:r w:rsidR="00563733">
        <w:rPr>
          <w:rFonts w:hint="cs"/>
          <w:rtl/>
        </w:rPr>
        <w:t>פרק ב', (1060ב משורה 10 והלאה</w:t>
      </w:r>
      <w:r w:rsidR="006D5DE5">
        <w:rPr>
          <w:rFonts w:hint="cs"/>
          <w:rtl/>
        </w:rPr>
        <w:t xml:space="preserve"> עיין שם</w:t>
      </w:r>
      <w:r w:rsidR="00D32FF8">
        <w:rPr>
          <w:rFonts w:hint="cs"/>
          <w:rtl/>
        </w:rPr>
        <w:t xml:space="preserve"> בכל הפרק</w:t>
      </w:r>
      <w:r w:rsidR="00563733">
        <w:rPr>
          <w:rFonts w:hint="cs"/>
          <w:rtl/>
        </w:rPr>
        <w:t>)</w:t>
      </w:r>
      <w:r>
        <w:rPr>
          <w:rFonts w:hint="cs"/>
          <w:rtl/>
        </w:rPr>
        <w:t xml:space="preserve"> </w:t>
      </w:r>
    </w:p>
  </w:footnote>
  <w:footnote w:id="350">
    <w:p w14:paraId="04386B15" w14:textId="39C66BB6" w:rsidR="00C42BC5" w:rsidRDefault="00C42BC5">
      <w:pPr>
        <w:pStyle w:val="FootnoteText"/>
        <w:rPr>
          <w:rtl/>
        </w:rPr>
      </w:pPr>
      <w:r>
        <w:rPr>
          <w:rStyle w:val="FootnoteReference"/>
        </w:rPr>
        <w:footnoteRef/>
      </w:r>
      <w:r>
        <w:rPr>
          <w:rtl/>
        </w:rPr>
        <w:t xml:space="preserve"> </w:t>
      </w:r>
      <w:r w:rsidR="008E1BE6">
        <w:rPr>
          <w:rFonts w:hint="cs"/>
          <w:rtl/>
        </w:rPr>
        <w:t>"והוא" יכול לרמוז ל"עניין האחר המסוים"</w:t>
      </w:r>
      <w:r w:rsidR="008E1BE6">
        <w:rPr>
          <w:rFonts w:hint="cs"/>
        </w:rPr>
        <w:t xml:space="preserve"> </w:t>
      </w:r>
      <w:r w:rsidR="008E1BE6">
        <w:rPr>
          <w:rFonts w:hint="cs"/>
          <w:rtl/>
        </w:rPr>
        <w:t>דהיינו הצורה, ש</w:t>
      </w:r>
      <w:r w:rsidR="00D222AF">
        <w:rPr>
          <w:rFonts w:hint="cs"/>
          <w:rtl/>
        </w:rPr>
        <w:t xml:space="preserve">ממנה הוויית העצם ומהותו העצמית במובחן מהמקרים שחלים בו מצד החומר. </w:t>
      </w:r>
      <w:r w:rsidR="0066354E">
        <w:rPr>
          <w:rFonts w:hint="cs"/>
          <w:rtl/>
        </w:rPr>
        <w:t>אבל משמע</w:t>
      </w:r>
      <w:r w:rsidR="00D222AF">
        <w:rPr>
          <w:rFonts w:hint="cs"/>
          <w:rtl/>
        </w:rPr>
        <w:t xml:space="preserve"> שהוא חוזר לדבר על ההיולי ואומר שמההיולי התהוות העצם ועצמותו, כלומר שאין זה מקרי לעצם שהווייתו היא הצטיירותו בהיולי</w:t>
      </w:r>
      <w:r w:rsidR="003A7655">
        <w:rPr>
          <w:rFonts w:hint="cs"/>
          <w:rtl/>
        </w:rPr>
        <w:t>, וההיולי הוא מעצמות העצם</w:t>
      </w:r>
      <w:r w:rsidR="00D222AF">
        <w:rPr>
          <w:rFonts w:hint="cs"/>
          <w:rtl/>
        </w:rPr>
        <w:t>.</w:t>
      </w:r>
    </w:p>
    <w:p w14:paraId="1DDA8A49" w14:textId="59FE7370" w:rsidR="008D7837" w:rsidRDefault="003A7655">
      <w:pPr>
        <w:pStyle w:val="FootnoteText"/>
        <w:rPr>
          <w:rtl/>
        </w:rPr>
      </w:pPr>
      <w:r>
        <w:rPr>
          <w:rFonts w:hint="cs"/>
          <w:rtl/>
        </w:rPr>
        <w:t xml:space="preserve">החומר והצורה שניהם סיבות להוויית </w:t>
      </w:r>
      <w:r w:rsidR="00983458">
        <w:rPr>
          <w:rFonts w:hint="cs"/>
          <w:rtl/>
        </w:rPr>
        <w:t xml:space="preserve">מהות </w:t>
      </w:r>
      <w:r>
        <w:rPr>
          <w:rFonts w:hint="cs"/>
          <w:rtl/>
        </w:rPr>
        <w:t xml:space="preserve">העצם, </w:t>
      </w:r>
      <w:r w:rsidR="00CE3071">
        <w:rPr>
          <w:rFonts w:hint="cs"/>
          <w:rtl/>
        </w:rPr>
        <w:t>ואפשר לומר על כל אחד מהם שממנו מתהווה העצם</w:t>
      </w:r>
      <w:r w:rsidR="00AF797F">
        <w:rPr>
          <w:rFonts w:hint="cs"/>
          <w:rtl/>
        </w:rPr>
        <w:t>, ושניהם לא מקריים לעצם כי הם חלק מההגדרה של להיות נמצא.</w:t>
      </w:r>
      <w:r w:rsidR="00B468BA">
        <w:rPr>
          <w:rFonts w:hint="cs"/>
          <w:rtl/>
        </w:rPr>
        <w:t xml:space="preserve"> בעולם הארצי, בטבע, להיות</w:t>
      </w:r>
      <w:r w:rsidR="00AF797F">
        <w:rPr>
          <w:rFonts w:hint="cs"/>
          <w:rtl/>
        </w:rPr>
        <w:t xml:space="preserve"> נמצא</w:t>
      </w:r>
      <w:r w:rsidR="00B468BA">
        <w:rPr>
          <w:rFonts w:hint="cs"/>
          <w:rtl/>
        </w:rPr>
        <w:t xml:space="preserve"> מוגדר כלהיות עצם</w:t>
      </w:r>
      <w:r w:rsidR="000D1332">
        <w:rPr>
          <w:rFonts w:hint="cs"/>
          <w:rtl/>
        </w:rPr>
        <w:t xml:space="preserve"> (עיין בזה אריסטו </w:t>
      </w:r>
      <w:r w:rsidR="003B57B3">
        <w:rPr>
          <w:rFonts w:hint="cs"/>
          <w:rtl/>
        </w:rPr>
        <w:t xml:space="preserve">מטאפיזיקה זטא פרק א', </w:t>
      </w:r>
      <w:r w:rsidR="00A62BF2">
        <w:rPr>
          <w:rFonts w:hint="cs"/>
          <w:rtl/>
        </w:rPr>
        <w:t>ו</w:t>
      </w:r>
      <w:r w:rsidR="00A62BF2" w:rsidRPr="00A62BF2">
        <w:rPr>
          <w:rtl/>
        </w:rPr>
        <w:t>מטאפיזיקה גמא פרק א'</w:t>
      </w:r>
      <w:r w:rsidR="000D1332">
        <w:rPr>
          <w:rFonts w:hint="cs"/>
          <w:rtl/>
        </w:rPr>
        <w:t>)</w:t>
      </w:r>
      <w:r w:rsidR="00B468BA">
        <w:rPr>
          <w:rFonts w:hint="cs"/>
          <w:rtl/>
        </w:rPr>
        <w:t>, והפירוש הוא להיות מורכב מחומר וצורה מאוחדים לגמרי באחדות שלמה</w:t>
      </w:r>
      <w:r w:rsidR="00714BB1">
        <w:rPr>
          <w:rFonts w:hint="cs"/>
          <w:rtl/>
        </w:rPr>
        <w:t xml:space="preserve"> (עיין </w:t>
      </w:r>
      <w:r w:rsidR="007408F3">
        <w:rPr>
          <w:rFonts w:hint="cs"/>
          <w:rtl/>
        </w:rPr>
        <w:t>אריסטו "על הנפש" ב' א', ו</w:t>
      </w:r>
      <w:r w:rsidR="00FC2C29">
        <w:rPr>
          <w:rFonts w:hint="cs"/>
          <w:rtl/>
        </w:rPr>
        <w:t>בסוף מטאפיזיקה ספר אטא</w:t>
      </w:r>
      <w:r w:rsidR="00714BB1">
        <w:rPr>
          <w:rFonts w:hint="cs"/>
          <w:rtl/>
        </w:rPr>
        <w:t>)</w:t>
      </w:r>
      <w:r w:rsidR="00CE3071">
        <w:rPr>
          <w:rFonts w:hint="cs"/>
          <w:rtl/>
        </w:rPr>
        <w:t xml:space="preserve">. </w:t>
      </w:r>
      <w:r w:rsidR="002B54E2">
        <w:rPr>
          <w:rFonts w:hint="cs"/>
          <w:rtl/>
        </w:rPr>
        <w:t>מה שהוא ב</w:t>
      </w:r>
      <w:r w:rsidR="002D6950">
        <w:rPr>
          <w:rFonts w:hint="cs"/>
          <w:rtl/>
        </w:rPr>
        <w:t xml:space="preserve">תוך </w:t>
      </w:r>
      <w:r w:rsidR="002B54E2">
        <w:rPr>
          <w:rFonts w:hint="cs"/>
          <w:rtl/>
        </w:rPr>
        <w:t>הגדרת המציאות או הגדרת המהות</w:t>
      </w:r>
      <w:r w:rsidR="002D6950">
        <w:rPr>
          <w:rFonts w:hint="cs"/>
          <w:rtl/>
        </w:rPr>
        <w:t xml:space="preserve"> (כלומר ההגדרה תלויה בו)</w:t>
      </w:r>
      <w:r w:rsidR="002B54E2">
        <w:rPr>
          <w:rFonts w:hint="cs"/>
          <w:rtl/>
        </w:rPr>
        <w:t xml:space="preserve"> הוא עצמי לעצם ולא מקר</w:t>
      </w:r>
      <w:r w:rsidR="002D6950">
        <w:rPr>
          <w:rFonts w:hint="cs"/>
          <w:rtl/>
        </w:rPr>
        <w:t>י</w:t>
      </w:r>
      <w:r w:rsidR="002B54E2">
        <w:rPr>
          <w:rFonts w:hint="cs"/>
          <w:rtl/>
        </w:rPr>
        <w:t xml:space="preserve"> לו.</w:t>
      </w:r>
      <w:r w:rsidR="002D6950">
        <w:rPr>
          <w:rFonts w:hint="cs"/>
          <w:rtl/>
        </w:rPr>
        <w:t xml:space="preserve"> זה בניגוד להעדר המיוחד, שהוא מקרי לעצם. </w:t>
      </w:r>
    </w:p>
    <w:p w14:paraId="595A766F" w14:textId="20058702" w:rsidR="003A7655" w:rsidRDefault="002D6950">
      <w:pPr>
        <w:pStyle w:val="FootnoteText"/>
      </w:pPr>
      <w:r>
        <w:rPr>
          <w:rFonts w:hint="cs"/>
          <w:rtl/>
        </w:rPr>
        <w:t xml:space="preserve">וכמו שכתבתי לעיל, </w:t>
      </w:r>
      <w:r w:rsidR="00155944">
        <w:rPr>
          <w:rFonts w:hint="cs"/>
          <w:rtl/>
        </w:rPr>
        <w:t xml:space="preserve">מה שאפרוח הוא צורה שמצטיירת בהיולי זה עצמי למציאותו, </w:t>
      </w:r>
      <w:r w:rsidR="00F27C0D">
        <w:rPr>
          <w:rFonts w:hint="cs"/>
          <w:rtl/>
        </w:rPr>
        <w:t>כי היולי</w:t>
      </w:r>
      <w:r w:rsidR="00580720">
        <w:rPr>
          <w:rtl/>
        </w:rPr>
        <w:fldChar w:fldCharType="begin"/>
      </w:r>
      <w:r w:rsidR="00580720">
        <w:instrText xml:space="preserve"> XE "</w:instrText>
      </w:r>
      <w:r w:rsidR="00580720" w:rsidRPr="009E3E05">
        <w:rPr>
          <w:rFonts w:hint="cs"/>
          <w:rtl/>
        </w:rPr>
        <w:instrText>היולי</w:instrText>
      </w:r>
      <w:r w:rsidR="00580720">
        <w:instrText xml:space="preserve">" </w:instrText>
      </w:r>
      <w:r w:rsidR="00580720">
        <w:rPr>
          <w:rtl/>
        </w:rPr>
        <w:fldChar w:fldCharType="end"/>
      </w:r>
      <w:r w:rsidR="00F27C0D">
        <w:rPr>
          <w:rFonts w:hint="cs"/>
          <w:rtl/>
        </w:rPr>
        <w:t xml:space="preserve"> הוא חלק מהגדר המציאות בכלל, </w:t>
      </w:r>
      <w:r w:rsidR="00155944">
        <w:rPr>
          <w:rFonts w:hint="cs"/>
          <w:rtl/>
        </w:rPr>
        <w:t xml:space="preserve">אבל מה שיש בביצה העדר </w:t>
      </w:r>
      <w:r w:rsidR="00F27C0D">
        <w:rPr>
          <w:rFonts w:hint="cs"/>
          <w:rtl/>
        </w:rPr>
        <w:t xml:space="preserve">מיוחד של צורת </w:t>
      </w:r>
      <w:r w:rsidR="00155944">
        <w:rPr>
          <w:rFonts w:hint="cs"/>
          <w:rtl/>
        </w:rPr>
        <w:t>אפרוח</w:t>
      </w:r>
      <w:r w:rsidR="00F27C0D">
        <w:rPr>
          <w:rFonts w:hint="cs"/>
          <w:rtl/>
        </w:rPr>
        <w:t xml:space="preserve"> בפועל</w:t>
      </w:r>
      <w:r w:rsidR="00155944">
        <w:rPr>
          <w:rFonts w:hint="cs"/>
          <w:rtl/>
        </w:rPr>
        <w:t xml:space="preserve">, שזה מה שמאפשר את </w:t>
      </w:r>
      <w:r w:rsidR="00BC38FA">
        <w:rPr>
          <w:rFonts w:hint="cs"/>
          <w:rtl/>
        </w:rPr>
        <w:t xml:space="preserve">התנועה של שינוי </w:t>
      </w:r>
      <w:r w:rsidR="00155944">
        <w:rPr>
          <w:rFonts w:hint="cs"/>
          <w:rtl/>
        </w:rPr>
        <w:t>מביצה לאפרוח</w:t>
      </w:r>
      <w:r w:rsidR="00BC38FA">
        <w:rPr>
          <w:rFonts w:hint="cs"/>
          <w:rtl/>
        </w:rPr>
        <w:t xml:space="preserve">, מה שהופך את הביצה והאפרוח לעצמים שהם בתנועה מתמדת של התהוות והפסד ולא עצמים שקיימים באופן נח (סטטי), </w:t>
      </w:r>
      <w:r w:rsidR="00155944">
        <w:rPr>
          <w:rFonts w:hint="cs"/>
          <w:rtl/>
        </w:rPr>
        <w:t xml:space="preserve">כי </w:t>
      </w:r>
      <w:r w:rsidR="008D7837">
        <w:rPr>
          <w:rFonts w:hint="cs"/>
          <w:rtl/>
        </w:rPr>
        <w:t>ביצה</w:t>
      </w:r>
      <w:r w:rsidR="00155944">
        <w:rPr>
          <w:rFonts w:hint="cs"/>
          <w:rtl/>
        </w:rPr>
        <w:t xml:space="preserve"> לא יכול</w:t>
      </w:r>
      <w:r w:rsidR="001200D4">
        <w:rPr>
          <w:rFonts w:hint="cs"/>
          <w:rtl/>
        </w:rPr>
        <w:t>ה</w:t>
      </w:r>
      <w:r w:rsidR="00155944">
        <w:rPr>
          <w:rFonts w:hint="cs"/>
          <w:rtl/>
        </w:rPr>
        <w:t xml:space="preserve"> </w:t>
      </w:r>
      <w:r w:rsidR="00BF6186">
        <w:rPr>
          <w:rFonts w:hint="cs"/>
          <w:rtl/>
        </w:rPr>
        <w:t xml:space="preserve">להיות בתנועת השתנות </w:t>
      </w:r>
      <w:r w:rsidR="00155944">
        <w:rPr>
          <w:rFonts w:hint="cs"/>
          <w:rtl/>
        </w:rPr>
        <w:t>לאפרוח</w:t>
      </w:r>
      <w:r w:rsidR="00BF6186">
        <w:rPr>
          <w:rFonts w:hint="cs"/>
          <w:rtl/>
        </w:rPr>
        <w:t xml:space="preserve"> </w:t>
      </w:r>
      <w:r w:rsidR="001200D4">
        <w:rPr>
          <w:rFonts w:hint="cs"/>
          <w:rtl/>
        </w:rPr>
        <w:t xml:space="preserve">אם אין בה העדר מיוחד של להיות אפרוח בפועל, </w:t>
      </w:r>
      <w:r w:rsidR="00BF6186">
        <w:rPr>
          <w:rFonts w:hint="cs"/>
          <w:rtl/>
        </w:rPr>
        <w:t>ה</w:t>
      </w:r>
      <w:r w:rsidR="0010439E">
        <w:rPr>
          <w:rFonts w:hint="cs"/>
          <w:rtl/>
        </w:rPr>
        <w:t>י</w:t>
      </w:r>
      <w:r w:rsidR="00BF6186">
        <w:rPr>
          <w:rFonts w:hint="cs"/>
          <w:rtl/>
        </w:rPr>
        <w:t>א יכול</w:t>
      </w:r>
      <w:r w:rsidR="0010439E">
        <w:rPr>
          <w:rFonts w:hint="cs"/>
          <w:rtl/>
        </w:rPr>
        <w:t>ה</w:t>
      </w:r>
      <w:r w:rsidR="00BF6186">
        <w:rPr>
          <w:rFonts w:hint="cs"/>
          <w:rtl/>
        </w:rPr>
        <w:t xml:space="preserve"> להשתנות רק למה </w:t>
      </w:r>
      <w:r w:rsidR="0010439E">
        <w:rPr>
          <w:rFonts w:hint="cs"/>
          <w:rtl/>
        </w:rPr>
        <w:t>שהיא עדיין לא</w:t>
      </w:r>
      <w:r w:rsidR="00DF571D">
        <w:rPr>
          <w:rFonts w:hint="cs"/>
          <w:rtl/>
        </w:rPr>
        <w:t>, ההעדר המיוחד של אפרוח הוא מקרי, כי מה שביצה אין בה צורת אפרוח בפועל לא מחייב</w:t>
      </w:r>
      <w:r w:rsidR="00A85C2E">
        <w:rPr>
          <w:rFonts w:hint="cs"/>
          <w:rtl/>
        </w:rPr>
        <w:t xml:space="preserve"> בהכרח</w:t>
      </w:r>
      <w:r w:rsidR="00DF571D">
        <w:rPr>
          <w:rFonts w:hint="cs"/>
          <w:rtl/>
        </w:rPr>
        <w:t xml:space="preserve"> שהיא תשתנה להיות אפרוח בדווקא, היא יכולה להרקב או </w:t>
      </w:r>
      <w:r w:rsidR="00A85C2E">
        <w:rPr>
          <w:rFonts w:hint="cs"/>
          <w:rtl/>
        </w:rPr>
        <w:t xml:space="preserve">להתייבש או </w:t>
      </w:r>
      <w:r w:rsidR="00DF571D">
        <w:rPr>
          <w:rFonts w:hint="cs"/>
          <w:rtl/>
        </w:rPr>
        <w:t xml:space="preserve">להפוך </w:t>
      </w:r>
      <w:r w:rsidR="00490293">
        <w:rPr>
          <w:rFonts w:hint="cs"/>
          <w:rtl/>
        </w:rPr>
        <w:t xml:space="preserve">לאבקת ביצים תעשייתית או </w:t>
      </w:r>
      <w:r w:rsidR="00DF571D">
        <w:rPr>
          <w:rFonts w:hint="cs"/>
          <w:rtl/>
        </w:rPr>
        <w:t>לכל עצם</w:t>
      </w:r>
      <w:r w:rsidR="00A85C2E">
        <w:rPr>
          <w:rFonts w:hint="cs"/>
          <w:rtl/>
        </w:rPr>
        <w:t xml:space="preserve"> אחר מתוך אין סוף אפשרויות</w:t>
      </w:r>
      <w:r w:rsidR="0010439E">
        <w:rPr>
          <w:rFonts w:hint="cs"/>
          <w:rtl/>
        </w:rPr>
        <w:t xml:space="preserve">. </w:t>
      </w:r>
      <w:r w:rsidR="00490293">
        <w:rPr>
          <w:rFonts w:hint="cs"/>
          <w:rtl/>
        </w:rPr>
        <w:t>לכן 'העדר האפרוח' שיש בביצה (כלומר שהיא לא אפרוח) רק מאפשר את התהוות האפרוח מהביצה אבל לא מחייב אות</w:t>
      </w:r>
      <w:r w:rsidR="0052347E">
        <w:rPr>
          <w:rFonts w:hint="cs"/>
          <w:rtl/>
        </w:rPr>
        <w:t>ה</w:t>
      </w:r>
      <w:r w:rsidR="00490293">
        <w:rPr>
          <w:rFonts w:hint="cs"/>
          <w:rtl/>
        </w:rPr>
        <w:t xml:space="preserve"> ולכן </w:t>
      </w:r>
      <w:r w:rsidR="0052347E">
        <w:rPr>
          <w:rFonts w:hint="cs"/>
          <w:rtl/>
        </w:rPr>
        <w:t>ההעדר המיוחד אינו</w:t>
      </w:r>
      <w:r w:rsidR="00490293">
        <w:rPr>
          <w:rFonts w:hint="cs"/>
          <w:rtl/>
        </w:rPr>
        <w:t xml:space="preserve"> עצמי ל</w:t>
      </w:r>
      <w:r w:rsidR="0052347E">
        <w:rPr>
          <w:rFonts w:hint="cs"/>
          <w:rtl/>
        </w:rPr>
        <w:t>הוויית האפרוח</w:t>
      </w:r>
      <w:r w:rsidR="00490293">
        <w:rPr>
          <w:rFonts w:hint="cs"/>
          <w:rtl/>
        </w:rPr>
        <w:t xml:space="preserve"> אלא רק מקר</w:t>
      </w:r>
      <w:r w:rsidR="0052347E">
        <w:rPr>
          <w:rFonts w:hint="cs"/>
          <w:rtl/>
        </w:rPr>
        <w:t>ה שאיפשר אותה ולא קבע אותה ולא ממנו היא נגזרת</w:t>
      </w:r>
      <w:r w:rsidR="00490293">
        <w:rPr>
          <w:rFonts w:hint="cs"/>
          <w:rtl/>
        </w:rPr>
        <w:t xml:space="preserve">. </w:t>
      </w:r>
    </w:p>
  </w:footnote>
  <w:footnote w:id="351">
    <w:p w14:paraId="49BE26FB" w14:textId="04F0700C" w:rsidR="00955329" w:rsidRDefault="00955329">
      <w:pPr>
        <w:pStyle w:val="FootnoteText"/>
      </w:pPr>
      <w:r>
        <w:rPr>
          <w:rStyle w:val="FootnoteReference"/>
        </w:rPr>
        <w:footnoteRef/>
      </w:r>
      <w:r>
        <w:rPr>
          <w:rtl/>
        </w:rPr>
        <w:t xml:space="preserve"> </w:t>
      </w:r>
      <w:r w:rsidR="00AB7715">
        <w:rPr>
          <w:rFonts w:hint="cs"/>
          <w:rtl/>
        </w:rPr>
        <w:t>ה</w:t>
      </w:r>
      <w:r w:rsidR="003D639A">
        <w:rPr>
          <w:rFonts w:hint="cs"/>
          <w:rtl/>
        </w:rPr>
        <w:t>"</w:t>
      </w:r>
      <w:r w:rsidR="00AB7715">
        <w:rPr>
          <w:rFonts w:hint="cs"/>
          <w:rtl/>
        </w:rPr>
        <w:t>עניין בפני עצמו</w:t>
      </w:r>
      <w:r w:rsidR="003D639A">
        <w:rPr>
          <w:rFonts w:hint="cs"/>
          <w:rtl/>
        </w:rPr>
        <w:t>"</w:t>
      </w:r>
      <w:r w:rsidR="00AB7715">
        <w:rPr>
          <w:rFonts w:hint="cs"/>
          <w:rtl/>
        </w:rPr>
        <w:t xml:space="preserve"> שיש בהיולי הוא היותו 'בכח', שיש בו פוטנציאל שיתהווה ממנו עצם. </w:t>
      </w:r>
      <w:r w:rsidR="003D639A">
        <w:rPr>
          <w:rFonts w:hint="cs"/>
          <w:rtl/>
        </w:rPr>
        <w:t>העצם המורכב מחומר וצורה</w:t>
      </w:r>
      <w:r w:rsidR="00234666">
        <w:rPr>
          <w:rFonts w:hint="cs"/>
          <w:rtl/>
        </w:rPr>
        <w:t xml:space="preserve"> </w:t>
      </w:r>
      <w:r w:rsidR="003D639A">
        <w:rPr>
          <w:rFonts w:hint="cs"/>
          <w:rtl/>
        </w:rPr>
        <w:t>הוא ה</w:t>
      </w:r>
      <w:r w:rsidR="00F93E71">
        <w:rPr>
          <w:rFonts w:hint="cs"/>
          <w:rtl/>
        </w:rPr>
        <w:t>"</w:t>
      </w:r>
      <w:r w:rsidR="003D639A">
        <w:rPr>
          <w:rFonts w:hint="cs"/>
          <w:rtl/>
        </w:rPr>
        <w:t xml:space="preserve">עניין האחר </w:t>
      </w:r>
      <w:r w:rsidR="00234666">
        <w:rPr>
          <w:rFonts w:hint="cs"/>
          <w:rtl/>
        </w:rPr>
        <w:t>המסוים</w:t>
      </w:r>
      <w:r w:rsidR="00F93E71">
        <w:rPr>
          <w:rFonts w:hint="cs"/>
          <w:rtl/>
        </w:rPr>
        <w:t>"</w:t>
      </w:r>
      <w:r w:rsidR="00234666">
        <w:rPr>
          <w:rFonts w:hint="cs"/>
          <w:rtl/>
        </w:rPr>
        <w:t xml:space="preserve"> שמתחדש (כלומר חל באופן מחודש בחומר המסוים הזה, דהיינו במקום הזה שבחומר שמקודם הייתה בו צורה אחרת</w:t>
      </w:r>
      <w:r w:rsidR="00FA7EC0">
        <w:rPr>
          <w:rFonts w:hint="cs"/>
          <w:rtl/>
        </w:rPr>
        <w:t>. לגבי השאלה האם ההיולי ו</w:t>
      </w:r>
      <w:r w:rsidR="00120811">
        <w:rPr>
          <w:rFonts w:hint="cs"/>
          <w:rtl/>
        </w:rPr>
        <w:t>ארבע</w:t>
      </w:r>
      <w:r w:rsidR="00FA7EC0">
        <w:rPr>
          <w:rFonts w:hint="cs"/>
          <w:rtl/>
        </w:rPr>
        <w:t xml:space="preserve">ת היסודות היו נמצאים תמיד או שהם נבראים מחודשים </w:t>
      </w:r>
      <w:r w:rsidR="009D409D">
        <w:rPr>
          <w:rFonts w:hint="cs"/>
          <w:rtl/>
        </w:rPr>
        <w:t>(</w:t>
      </w:r>
      <w:r w:rsidR="00FA7EC0">
        <w:rPr>
          <w:rFonts w:hint="cs"/>
          <w:rtl/>
        </w:rPr>
        <w:t>בשני שלבי בריאה, האחד בריאה לא זמנית ישירה מהבורא עצמו שברא את ההיולי בלבד באופן כזה, והשני מה ש</w:t>
      </w:r>
      <w:r w:rsidR="00EE1835">
        <w:rPr>
          <w:rFonts w:hint="cs"/>
          <w:rtl/>
        </w:rPr>
        <w:t xml:space="preserve">יצאו הצורות </w:t>
      </w:r>
      <w:r w:rsidR="009D409D">
        <w:rPr>
          <w:rFonts w:hint="cs"/>
          <w:rtl/>
        </w:rPr>
        <w:t>אל</w:t>
      </w:r>
      <w:r w:rsidR="00EE1835">
        <w:rPr>
          <w:rFonts w:hint="cs"/>
          <w:rtl/>
        </w:rPr>
        <w:t xml:space="preserve"> הפועל </w:t>
      </w:r>
      <w:r w:rsidR="00EE1835">
        <w:rPr>
          <w:rFonts w:hint="cs"/>
          <w:rtl/>
        </w:rPr>
        <w:t>מה'בכח' שגנוז בהיולי</w:t>
      </w:r>
      <w:r w:rsidR="009D409D">
        <w:rPr>
          <w:rFonts w:hint="cs"/>
          <w:rtl/>
        </w:rPr>
        <w:t>)</w:t>
      </w:r>
      <w:r w:rsidR="00EE1835">
        <w:rPr>
          <w:rFonts w:hint="cs"/>
          <w:rtl/>
        </w:rPr>
        <w:t xml:space="preserve"> </w:t>
      </w:r>
      <w:r w:rsidR="009D409D">
        <w:rPr>
          <w:rFonts w:hint="cs"/>
          <w:rtl/>
        </w:rPr>
        <w:t>השאלה הזו לא נדונה כאן</w:t>
      </w:r>
      <w:r w:rsidR="00526D0E">
        <w:rPr>
          <w:rFonts w:hint="cs"/>
          <w:rtl/>
        </w:rPr>
        <w:t>. אמנם ממקומות רבים אחרים ברור בלי ספק שדעת אבן סינא היא שהעולם מחודש, על דרך שמבואר במורה נבוכים חלק שני</w:t>
      </w:r>
      <w:r w:rsidR="00D10A95">
        <w:rPr>
          <w:rFonts w:hint="cs"/>
          <w:rtl/>
        </w:rPr>
        <w:t xml:space="preserve"> פרקים א'-כ"ה</w:t>
      </w:r>
      <w:r w:rsidR="00234666">
        <w:rPr>
          <w:rFonts w:hint="cs"/>
          <w:rtl/>
        </w:rPr>
        <w:t xml:space="preserve">) </w:t>
      </w:r>
    </w:p>
  </w:footnote>
  <w:footnote w:id="352">
    <w:p w14:paraId="75CD81ED" w14:textId="086C1D78" w:rsidR="00B84043" w:rsidRDefault="00B84043">
      <w:pPr>
        <w:pStyle w:val="FootnoteText"/>
      </w:pPr>
      <w:r>
        <w:rPr>
          <w:rStyle w:val="FootnoteReference"/>
        </w:rPr>
        <w:footnoteRef/>
      </w:r>
      <w:r>
        <w:rPr>
          <w:rtl/>
        </w:rPr>
        <w:t xml:space="preserve"> </w:t>
      </w:r>
      <w:r>
        <w:rPr>
          <w:rFonts w:hint="cs"/>
          <w:rtl/>
        </w:rPr>
        <w:t>ה</w:t>
      </w:r>
      <w:r w:rsidR="00D84A69">
        <w:rPr>
          <w:rFonts w:hint="cs"/>
          <w:rtl/>
        </w:rPr>
        <w:t>עניין</w:t>
      </w:r>
      <w:r w:rsidR="00D50173">
        <w:rPr>
          <w:rFonts w:hint="cs"/>
          <w:rtl/>
        </w:rPr>
        <w:t xml:space="preserve"> המסוים</w:t>
      </w:r>
      <w:r>
        <w:rPr>
          <w:rFonts w:hint="cs"/>
          <w:rtl/>
        </w:rPr>
        <w:t xml:space="preserve"> שמת</w:t>
      </w:r>
      <w:r w:rsidR="002A7912">
        <w:rPr>
          <w:rFonts w:hint="cs"/>
          <w:rtl/>
        </w:rPr>
        <w:t>הווה בהיולי</w:t>
      </w:r>
      <w:r w:rsidR="001E5850">
        <w:rPr>
          <w:rFonts w:hint="cs"/>
          <w:rtl/>
        </w:rPr>
        <w:t xml:space="preserve"> אחרי שלא היה, הוא העצם המורכב מחומר וצורה, אפשר שיהיה פשוט והיינו ארבעת היסודות, אש רוח מים ועפר</w:t>
      </w:r>
      <w:r w:rsidR="00D81AB3">
        <w:rPr>
          <w:rFonts w:hint="cs"/>
          <w:rtl/>
        </w:rPr>
        <w:t xml:space="preserve">. </w:t>
      </w:r>
      <w:r>
        <w:rPr>
          <w:rFonts w:hint="cs"/>
          <w:rtl/>
        </w:rPr>
        <w:t xml:space="preserve"> </w:t>
      </w:r>
    </w:p>
  </w:footnote>
  <w:footnote w:id="353">
    <w:p w14:paraId="6DEB84A7" w14:textId="33AC9BE4" w:rsidR="00EE745D" w:rsidRDefault="00EE745D">
      <w:pPr>
        <w:pStyle w:val="FootnoteText"/>
      </w:pPr>
      <w:r>
        <w:rPr>
          <w:rStyle w:val="FootnoteReference"/>
        </w:rPr>
        <w:footnoteRef/>
      </w:r>
      <w:r>
        <w:rPr>
          <w:rtl/>
        </w:rPr>
        <w:t xml:space="preserve"> </w:t>
      </w:r>
      <w:r w:rsidR="00EC5389">
        <w:rPr>
          <w:rFonts w:hint="cs"/>
          <w:rtl/>
        </w:rPr>
        <w:t>בהיולי לא מצטיירות צורות מורכבות, אלא רק צורות היסודות יכולות להצטייר בו</w:t>
      </w:r>
      <w:r w:rsidR="00555C63">
        <w:rPr>
          <w:rFonts w:hint="cs"/>
          <w:rtl/>
        </w:rPr>
        <w:t xml:space="preserve"> באופן ישיר</w:t>
      </w:r>
      <w:r w:rsidR="00EC5389">
        <w:rPr>
          <w:rFonts w:hint="cs"/>
          <w:rtl/>
        </w:rPr>
        <w:t xml:space="preserve">, והאופן שהן מצטיירות בו שונה מהאופן שעצמים מורכבים מתאחדים עם החומר שלהם המורכב מארבעת היסודות. </w:t>
      </w:r>
      <w:r w:rsidR="00555C63">
        <w:rPr>
          <w:rFonts w:hint="cs"/>
          <w:rtl/>
        </w:rPr>
        <w:t xml:space="preserve">עיין בזה בעיונים בפילוסופיה אריסטוטלית </w:t>
      </w:r>
      <w:hyperlink r:id="rId83" w:history="1">
        <w:r w:rsidR="00555C63" w:rsidRPr="001E2BD0">
          <w:rPr>
            <w:rStyle w:val="Hyperlink"/>
            <w:rFonts w:hint="cs"/>
            <w:rtl/>
          </w:rPr>
          <w:t>רשימה 35</w:t>
        </w:r>
      </w:hyperlink>
      <w:r w:rsidR="00555C63">
        <w:rPr>
          <w:rFonts w:hint="cs"/>
          <w:rtl/>
        </w:rPr>
        <w:t xml:space="preserve"> במאמר התנועה יסוד ההוויה. </w:t>
      </w:r>
    </w:p>
  </w:footnote>
  <w:footnote w:id="354">
    <w:p w14:paraId="2F3896F9" w14:textId="68490EF7" w:rsidR="000C1AAF" w:rsidRDefault="000C1AAF">
      <w:pPr>
        <w:pStyle w:val="FootnoteText"/>
      </w:pPr>
      <w:r>
        <w:rPr>
          <w:rStyle w:val="FootnoteReference"/>
        </w:rPr>
        <w:footnoteRef/>
      </w:r>
      <w:r>
        <w:rPr>
          <w:rtl/>
        </w:rPr>
        <w:t xml:space="preserve"> </w:t>
      </w:r>
      <w:r w:rsidR="006A0B6E">
        <w:rPr>
          <w:rFonts w:hint="cs"/>
          <w:rtl/>
        </w:rPr>
        <w:t>'</w:t>
      </w:r>
      <w:r w:rsidR="00413029">
        <w:rPr>
          <w:rFonts w:hint="cs"/>
          <w:rtl/>
        </w:rPr>
        <w:t>היולי</w:t>
      </w:r>
      <w:r w:rsidR="006A0B6E">
        <w:rPr>
          <w:rFonts w:hint="cs"/>
          <w:rtl/>
        </w:rPr>
        <w:t>'</w:t>
      </w:r>
      <w:r w:rsidR="00413029">
        <w:rPr>
          <w:rFonts w:hint="cs"/>
          <w:rtl/>
        </w:rPr>
        <w:t xml:space="preserve"> פירושו החומר הראשון</w:t>
      </w:r>
      <w:r w:rsidR="00CB0E5E">
        <w:rPr>
          <w:rtl/>
        </w:rPr>
        <w:fldChar w:fldCharType="begin"/>
      </w:r>
      <w:r w:rsidR="00CB0E5E">
        <w:instrText xml:space="preserve"> XE "</w:instrText>
      </w:r>
      <w:r w:rsidR="00CB0E5E" w:rsidRPr="00DD582B">
        <w:rPr>
          <w:rFonts w:hint="cs"/>
          <w:rtl/>
        </w:rPr>
        <w:instrText>החומר הראשון - גם חומר מורכב רואים בעדו את החומר הראשון</w:instrText>
      </w:r>
      <w:r w:rsidR="00CB0E5E">
        <w:instrText xml:space="preserve">" </w:instrText>
      </w:r>
      <w:r w:rsidR="00CB0E5E">
        <w:rPr>
          <w:rtl/>
        </w:rPr>
        <w:fldChar w:fldCharType="end"/>
      </w:r>
      <w:r w:rsidR="00413029">
        <w:rPr>
          <w:rFonts w:hint="cs"/>
          <w:rtl/>
        </w:rPr>
        <w:t>, שהוא החומר של ארבעת היסודות והוא הנברא הראשון. כשמדובר על חומר מורכב כמו עץ של מיטה המונח הוא 'חומר' ('</w:t>
      </w:r>
      <w:r w:rsidR="004B4CE8">
        <w:rPr>
          <w:rFonts w:hint="cs"/>
          <w:rtl/>
        </w:rPr>
        <w:t>מאדא</w:t>
      </w:r>
      <w:r w:rsidR="00413029">
        <w:rPr>
          <w:rFonts w:hint="cs"/>
          <w:rtl/>
        </w:rPr>
        <w:t xml:space="preserve">' בערבית) ולא היולי. לכן כתב כאן </w:t>
      </w:r>
      <w:r w:rsidR="00674647">
        <w:rPr>
          <w:rFonts w:hint="cs"/>
          <w:rtl/>
        </w:rPr>
        <w:t>שחומר</w:t>
      </w:r>
      <w:r w:rsidR="00413029">
        <w:rPr>
          <w:rFonts w:hint="cs"/>
          <w:rtl/>
        </w:rPr>
        <w:t xml:space="preserve"> המיטה </w:t>
      </w:r>
      <w:r w:rsidR="00674647">
        <w:rPr>
          <w:rFonts w:hint="cs"/>
          <w:rtl/>
        </w:rPr>
        <w:t>"</w:t>
      </w:r>
      <w:r w:rsidR="00413029">
        <w:rPr>
          <w:rFonts w:hint="cs"/>
          <w:rtl/>
        </w:rPr>
        <w:t>מורכב אחרי הפשטות</w:t>
      </w:r>
      <w:r w:rsidR="00674647">
        <w:rPr>
          <w:rFonts w:hint="cs"/>
          <w:rtl/>
        </w:rPr>
        <w:t>"</w:t>
      </w:r>
      <w:r w:rsidR="00413029">
        <w:rPr>
          <w:rFonts w:hint="cs"/>
          <w:rtl/>
        </w:rPr>
        <w:t xml:space="preserve">, </w:t>
      </w:r>
      <w:r w:rsidR="0012271B">
        <w:rPr>
          <w:rFonts w:hint="cs"/>
          <w:rtl/>
        </w:rPr>
        <w:t>כלומר</w:t>
      </w:r>
      <w:r w:rsidR="00674647">
        <w:rPr>
          <w:rFonts w:hint="cs"/>
          <w:rtl/>
        </w:rPr>
        <w:t xml:space="preserve"> אנו מסתכלים מעבר למה שהחומר הוא עץ שהוא חומר מורכב (כלומר העץ עצמו מורכב מאש רוח מים ועפר, ורק כלפי המיטה הוא נחשב חומר אבל כשלעצמו הוא עצם בעל חומר וצורה משלו)</w:t>
      </w:r>
      <w:r w:rsidR="008D57F3">
        <w:rPr>
          <w:rFonts w:hint="cs"/>
          <w:rtl/>
        </w:rPr>
        <w:t xml:space="preserve"> ורואים שההרכבה שלו היא אחרי הפשטות, כלומר רואים מבעדה את הפשטות, את </w:t>
      </w:r>
      <w:r w:rsidR="001836C2">
        <w:rPr>
          <w:rFonts w:hint="cs"/>
          <w:rtl/>
        </w:rPr>
        <w:t>ארבעת היסודות שהן הצורות שבהיולי</w:t>
      </w:r>
      <w:r w:rsidR="00430A15">
        <w:rPr>
          <w:rFonts w:hint="cs"/>
          <w:rtl/>
        </w:rPr>
        <w:t>,</w:t>
      </w:r>
      <w:r w:rsidR="008D57F3">
        <w:rPr>
          <w:rFonts w:hint="cs"/>
          <w:rtl/>
        </w:rPr>
        <w:t xml:space="preserve"> שמ</w:t>
      </w:r>
      <w:r w:rsidR="00430A15">
        <w:rPr>
          <w:rFonts w:hint="cs"/>
          <w:rtl/>
        </w:rPr>
        <w:t>הם</w:t>
      </w:r>
      <w:r w:rsidR="008D57F3">
        <w:rPr>
          <w:rFonts w:hint="cs"/>
          <w:rtl/>
        </w:rPr>
        <w:t xml:space="preserve"> מורכב העץ שממנו מורכבת המיטה. </w:t>
      </w:r>
      <w:r w:rsidR="0052161E">
        <w:rPr>
          <w:rFonts w:hint="cs"/>
          <w:rtl/>
        </w:rPr>
        <w:t xml:space="preserve">אם בוחנים אילו קרשים מתאימים למיטה וודאי שמדובר על חומר ולא על היולי, אבל אם רואים בקרשים את חוסר הצורה שגורם </w:t>
      </w:r>
      <w:r w:rsidR="008D663C">
        <w:rPr>
          <w:rFonts w:hint="cs"/>
          <w:rtl/>
        </w:rPr>
        <w:t xml:space="preserve">שיש בהם 'בכח', כלומר אפשרויות לצורות כגון מיטה, ושהבכח הזה </w:t>
      </w:r>
      <w:r w:rsidR="00E30BEE">
        <w:rPr>
          <w:rFonts w:hint="cs"/>
          <w:rtl/>
        </w:rPr>
        <w:t xml:space="preserve">הוא העדר שהחסרון שבו גורם להצטיירות הצורות, </w:t>
      </w:r>
      <w:r w:rsidR="00D31865">
        <w:rPr>
          <w:rFonts w:hint="cs"/>
          <w:rtl/>
        </w:rPr>
        <w:t>מתוך הכיסופים ליש, שמהם נולד הרצון של הנגר לבנות רהיטים מקרשים, אז רואים גם ב</w:t>
      </w:r>
      <w:r w:rsidR="00D159FB">
        <w:rPr>
          <w:rFonts w:hint="cs"/>
          <w:rtl/>
        </w:rPr>
        <w:t>קרשים</w:t>
      </w:r>
      <w:r w:rsidR="00D31865">
        <w:rPr>
          <w:rFonts w:hint="cs"/>
          <w:rtl/>
        </w:rPr>
        <w:t xml:space="preserve"> את היסוד של היולי, שמונח בעצמיות</w:t>
      </w:r>
      <w:r w:rsidR="00D159FB">
        <w:rPr>
          <w:rFonts w:hint="cs"/>
          <w:rtl/>
        </w:rPr>
        <w:t>ם</w:t>
      </w:r>
      <w:r w:rsidR="00D31865">
        <w:rPr>
          <w:rFonts w:hint="cs"/>
          <w:rtl/>
        </w:rPr>
        <w:t xml:space="preserve"> שהרי ה</w:t>
      </w:r>
      <w:r w:rsidR="00D159FB">
        <w:rPr>
          <w:rFonts w:hint="cs"/>
          <w:rtl/>
        </w:rPr>
        <w:t xml:space="preserve">קרשים עצמם הם מחומר שמורכב </w:t>
      </w:r>
      <w:r w:rsidR="009414F8">
        <w:rPr>
          <w:rFonts w:hint="cs"/>
          <w:rtl/>
        </w:rPr>
        <w:t xml:space="preserve">מהיסודות ולבסוף התחלת </w:t>
      </w:r>
      <w:r w:rsidR="009C463A">
        <w:rPr>
          <w:rFonts w:hint="cs"/>
          <w:rtl/>
        </w:rPr>
        <w:t>ההוויה</w:t>
      </w:r>
      <w:r w:rsidR="009414F8">
        <w:rPr>
          <w:rFonts w:hint="cs"/>
          <w:rtl/>
        </w:rPr>
        <w:t xml:space="preserve"> החומרית של הכל הוא היולי הראשון, ולכן יש בחינה שבה כל חומר הוא התגלות של ההיולי הראשון ונקרא על שמו. </w:t>
      </w:r>
    </w:p>
  </w:footnote>
  <w:footnote w:id="355">
    <w:p w14:paraId="6239FE55" w14:textId="77777777" w:rsidR="00FF0493" w:rsidRDefault="0023749E">
      <w:pPr>
        <w:pStyle w:val="FootnoteText"/>
        <w:rPr>
          <w:rtl/>
        </w:rPr>
      </w:pPr>
      <w:r>
        <w:rPr>
          <w:rStyle w:val="FootnoteReference"/>
        </w:rPr>
        <w:footnoteRef/>
      </w:r>
      <w:r>
        <w:rPr>
          <w:rtl/>
        </w:rPr>
        <w:t xml:space="preserve"> </w:t>
      </w:r>
      <w:r>
        <w:rPr>
          <w:rFonts w:hint="cs"/>
          <w:rtl/>
        </w:rPr>
        <w:t xml:space="preserve">זו חזרה על עניין הפשוט והמורכב. היסודות הן צורות עצמיות בהיולי, כיוון שלא ייתכן כלל שיישאר ההיולי חסר צורה, ומעצם הווייתו </w:t>
      </w:r>
      <w:r w:rsidR="00B159C3">
        <w:rPr>
          <w:rFonts w:hint="cs"/>
          <w:rtl/>
        </w:rPr>
        <w:t xml:space="preserve">בהכרח מייד מצטיירת בו צורה שנובעת מעצמותו כהעדר, </w:t>
      </w:r>
      <w:r>
        <w:rPr>
          <w:rFonts w:hint="cs"/>
          <w:rtl/>
        </w:rPr>
        <w:t>הצורה ש</w:t>
      </w:r>
      <w:r w:rsidR="007475F0">
        <w:rPr>
          <w:rFonts w:hint="cs"/>
          <w:rtl/>
        </w:rPr>
        <w:t>מצטיירת בו היא צורת התלת ממדיות שהיא קטגוריית הכמות, המידות התלת ממדיות, וכמו שהתבאר לעיל</w:t>
      </w:r>
      <w:r w:rsidR="007671E3">
        <w:rPr>
          <w:rFonts w:hint="cs"/>
          <w:rtl/>
        </w:rPr>
        <w:t xml:space="preserve"> (החומר הראשון נקרא תוהו וצורת התלת ממדיות בוהו, עיין לפי האינדקס במקומות שהתבאר עניין זה)</w:t>
      </w:r>
      <w:r w:rsidR="007475F0">
        <w:rPr>
          <w:rFonts w:hint="cs"/>
          <w:rtl/>
        </w:rPr>
        <w:t>, וצורת התלת ממדיות אינה עומדת לעצמה אלא בהכרח היא מגיעה לצורות ארבעת היסודות</w:t>
      </w:r>
      <w:r w:rsidR="00960F32">
        <w:rPr>
          <w:rFonts w:hint="cs"/>
          <w:rtl/>
        </w:rPr>
        <w:t xml:space="preserve"> (שהם ספירת בינה ואמרו בספרי קבלה על ספירת חכמה (שהיא החומר הראשון) שהיא וספירת בינה (שהיא צורת התלת ממדיות וארבעת היסודות שנובעים ממנה בהכרח</w:t>
      </w:r>
      <w:r w:rsidR="002D0FCE">
        <w:rPr>
          <w:rFonts w:hint="cs"/>
          <w:rtl/>
        </w:rPr>
        <w:t>)</w:t>
      </w:r>
      <w:r w:rsidR="00960F32">
        <w:rPr>
          <w:rFonts w:hint="cs"/>
          <w:rtl/>
        </w:rPr>
        <w:t xml:space="preserve"> הם שני רעים שלא נפרדים)</w:t>
      </w:r>
      <w:r w:rsidR="00274CCA">
        <w:rPr>
          <w:rFonts w:hint="cs"/>
          <w:rtl/>
        </w:rPr>
        <w:t xml:space="preserve">. ארבעת היסודות הם עולמות אצילות בריאה יצירה ועשייה, והם ארבע אותיות השם המפורש, כמו שהתבאר בספרי הקבלה, כלומר הם מעצם המציאות. </w:t>
      </w:r>
      <w:r w:rsidR="001D3E67">
        <w:rPr>
          <w:rFonts w:hint="cs"/>
          <w:rtl/>
        </w:rPr>
        <w:t>לעומת זאת הצורות שמצטיירות בחומר המורכב מארבעת היסודות, וכמו המחצבים והצמחים ובעלי החיים והאדם</w:t>
      </w:r>
      <w:r w:rsidR="00000280">
        <w:rPr>
          <w:rFonts w:hint="cs"/>
          <w:rtl/>
        </w:rPr>
        <w:t>, אין הכרח</w:t>
      </w:r>
      <w:r w:rsidR="003B7575">
        <w:rPr>
          <w:rFonts w:hint="cs"/>
          <w:rtl/>
        </w:rPr>
        <w:t xml:space="preserve"> שמונח בחומר הראשון </w:t>
      </w:r>
      <w:r w:rsidR="002458C1">
        <w:rPr>
          <w:rFonts w:hint="cs"/>
          <w:rtl/>
        </w:rPr>
        <w:t xml:space="preserve">בעצמותו </w:t>
      </w:r>
      <w:r w:rsidR="00000280">
        <w:rPr>
          <w:rFonts w:hint="cs"/>
          <w:rtl/>
        </w:rPr>
        <w:t>שיצטיירו</w:t>
      </w:r>
      <w:r w:rsidR="003B7575">
        <w:rPr>
          <w:rFonts w:hint="cs"/>
          <w:rtl/>
        </w:rPr>
        <w:t>,</w:t>
      </w:r>
      <w:r w:rsidR="00000280">
        <w:rPr>
          <w:rFonts w:hint="cs"/>
          <w:rtl/>
        </w:rPr>
        <w:t xml:space="preserve"> ולכן הן </w:t>
      </w:r>
      <w:r w:rsidR="003B7575">
        <w:rPr>
          <w:rFonts w:hint="cs"/>
          <w:rtl/>
        </w:rPr>
        <w:t xml:space="preserve">נקראות </w:t>
      </w:r>
      <w:r w:rsidR="00000280">
        <w:rPr>
          <w:rFonts w:hint="cs"/>
          <w:rtl/>
        </w:rPr>
        <w:t>מקריות.</w:t>
      </w:r>
    </w:p>
    <w:p w14:paraId="24ED23A6" w14:textId="77777777" w:rsidR="00E65200" w:rsidRDefault="00FF0493">
      <w:pPr>
        <w:pStyle w:val="FootnoteText"/>
        <w:rPr>
          <w:rtl/>
        </w:rPr>
      </w:pPr>
      <w:r>
        <w:rPr>
          <w:rFonts w:hint="cs"/>
          <w:rtl/>
        </w:rPr>
        <w:t xml:space="preserve">מקגיניס הבין כאן שהצורות המקריות פירושן המקרים שקורים </w:t>
      </w:r>
      <w:r w:rsidR="0073560B">
        <w:rPr>
          <w:rFonts w:hint="cs"/>
          <w:rtl/>
        </w:rPr>
        <w:t>ל</w:t>
      </w:r>
      <w:r>
        <w:rPr>
          <w:rFonts w:hint="cs"/>
          <w:rtl/>
        </w:rPr>
        <w:t xml:space="preserve">עצמים, </w:t>
      </w:r>
      <w:r w:rsidR="0073560B">
        <w:rPr>
          <w:rFonts w:hint="cs"/>
          <w:rtl/>
        </w:rPr>
        <w:t>למשל מה שאדם הוא 'חי מדבר' זו צורה עצמית, ומה שעורו כהה זו צורה מקרית</w:t>
      </w:r>
      <w:r w:rsidR="0057170A">
        <w:rPr>
          <w:rFonts w:hint="cs"/>
          <w:rtl/>
        </w:rPr>
        <w:t xml:space="preserve"> שחלה בו באופן לא עצמי ואינה קובעת את מהותו</w:t>
      </w:r>
      <w:r w:rsidR="0073560B">
        <w:rPr>
          <w:rFonts w:hint="cs"/>
          <w:rtl/>
        </w:rPr>
        <w:t xml:space="preserve">. </w:t>
      </w:r>
      <w:r w:rsidR="00F66468">
        <w:rPr>
          <w:rFonts w:hint="cs"/>
          <w:rtl/>
        </w:rPr>
        <w:t>לעניות דעתי הלשון 'צורה' לא נאמר על מקרים</w:t>
      </w:r>
      <w:r w:rsidR="0077748D">
        <w:rPr>
          <w:rFonts w:hint="cs"/>
          <w:rtl/>
        </w:rPr>
        <w:t xml:space="preserve">. צורה היא דבר שקיים באופן ריאלי, אונטולוגי, גם כשהיא ללא החומר. גם מי שיאמר שלפי אריסטו צורה לא יכולה להיות נמצאת בלי חומר, עדיין אחרי שהיא בחומר, יש לה קיום ריאלי במציאות באופן מובחן מקיומו של החומר. </w:t>
      </w:r>
      <w:r w:rsidR="00E630B5">
        <w:rPr>
          <w:rFonts w:hint="cs"/>
          <w:rtl/>
        </w:rPr>
        <w:t>היא החיים של העצם</w:t>
      </w:r>
      <w:r w:rsidR="00D33EE7">
        <w:rPr>
          <w:rFonts w:hint="cs"/>
          <w:rtl/>
        </w:rPr>
        <w:t>, הנפש החי</w:t>
      </w:r>
      <w:r w:rsidR="003B7381">
        <w:rPr>
          <w:rFonts w:hint="cs"/>
          <w:rtl/>
        </w:rPr>
        <w:t>ה</w:t>
      </w:r>
      <w:r w:rsidR="00D33EE7">
        <w:rPr>
          <w:rFonts w:hint="cs"/>
          <w:rtl/>
        </w:rPr>
        <w:t xml:space="preserve"> היא צורת הגוף</w:t>
      </w:r>
      <w:r w:rsidR="003B7381">
        <w:rPr>
          <w:rFonts w:hint="cs"/>
          <w:rtl/>
        </w:rPr>
        <w:t>, ועל דרך זו כל צורה, כי הכל חי, וחיותו היא צורתו</w:t>
      </w:r>
      <w:r w:rsidR="00E630B5">
        <w:rPr>
          <w:rFonts w:hint="cs"/>
          <w:rtl/>
        </w:rPr>
        <w:t xml:space="preserve">. לעומת זאת צבע עור כהה אינו דבר שקיים במציאות הריאלית באופן מובחן, כלומר שיש לו קיום גם בלי בני אדם שצבע עורם כהה, או שגם אם מציאותו </w:t>
      </w:r>
      <w:r w:rsidR="00AC23B3">
        <w:rPr>
          <w:rFonts w:hint="cs"/>
          <w:rtl/>
        </w:rPr>
        <w:t>ת</w:t>
      </w:r>
      <w:r w:rsidR="00E630B5">
        <w:rPr>
          <w:rFonts w:hint="cs"/>
          <w:rtl/>
        </w:rPr>
        <w:t xml:space="preserve">לויה בהם, עדיין יש לצבע העור הכהה מציאות נפרדת מובחנת </w:t>
      </w:r>
      <w:r w:rsidR="0073591E">
        <w:rPr>
          <w:rFonts w:hint="cs"/>
          <w:rtl/>
        </w:rPr>
        <w:t>ממציאות האדם כהה העור</w:t>
      </w:r>
      <w:r w:rsidR="00AC23B3">
        <w:rPr>
          <w:rFonts w:hint="cs"/>
          <w:rtl/>
        </w:rPr>
        <w:t xml:space="preserve">. איננו אומרים זאת על צבע עור ולא על שום מקרה, אלא רק על צורה מהותית שהיא קובעת את מהות העצם ובה הוא </w:t>
      </w:r>
      <w:r w:rsidR="00DC1F19">
        <w:rPr>
          <w:rFonts w:hint="cs"/>
          <w:rtl/>
        </w:rPr>
        <w:t>מתעצם, כלומר ממנה מציאותו</w:t>
      </w:r>
      <w:r w:rsidR="002C49EA">
        <w:rPr>
          <w:rFonts w:hint="cs"/>
          <w:rtl/>
        </w:rPr>
        <w:t xml:space="preserve"> (המציאות של עצם נובעת גם מהחומר שלו אבל יש גם בחינה שהיא נובעת רק מהצורה. עיין בזה אלפראבי התחלות הנמצאות ועוד</w:t>
      </w:r>
      <w:r w:rsidR="000F4326">
        <w:rPr>
          <w:rFonts w:hint="cs"/>
          <w:rtl/>
        </w:rPr>
        <w:t xml:space="preserve"> מקומות</w:t>
      </w:r>
      <w:r w:rsidR="00864176">
        <w:rPr>
          <w:rFonts w:hint="cs"/>
          <w:rtl/>
        </w:rPr>
        <w:t>. לשון המורה נבוכים א' א':</w:t>
      </w:r>
    </w:p>
    <w:p w14:paraId="5CE85E06" w14:textId="77777777" w:rsidR="007A054F" w:rsidRDefault="00E65200" w:rsidP="0008009B">
      <w:pPr>
        <w:pStyle w:val="FootnoteText"/>
        <w:rPr>
          <w:rtl/>
        </w:rPr>
      </w:pPr>
      <w:r>
        <w:rPr>
          <w:rFonts w:hint="cs"/>
          <w:rtl/>
        </w:rPr>
        <w:t>"</w:t>
      </w:r>
      <w:r w:rsidRPr="00E65200">
        <w:rPr>
          <w:rtl/>
        </w:rPr>
        <w:t>אמנם צלם הוא נופל על הצורה הטבעית, ר</w:t>
      </w:r>
      <w:r>
        <w:rPr>
          <w:rFonts w:hint="cs"/>
          <w:rtl/>
        </w:rPr>
        <w:t xml:space="preserve">וצה </w:t>
      </w:r>
      <w:r w:rsidRPr="00E65200">
        <w:rPr>
          <w:rtl/>
        </w:rPr>
        <w:t>ל</w:t>
      </w:r>
      <w:r>
        <w:rPr>
          <w:rFonts w:hint="cs"/>
          <w:rtl/>
        </w:rPr>
        <w:t>ומר</w:t>
      </w:r>
      <w:r w:rsidRPr="00E65200">
        <w:rPr>
          <w:rtl/>
        </w:rPr>
        <w:t xml:space="preserve"> על העניין אשר בו נתעצם הדבר והיה מה שהוא, והוא </w:t>
      </w:r>
      <w:r w:rsidRPr="00E65200">
        <w:rPr>
          <w:rtl/>
        </w:rPr>
        <w:t>אמתתו מאשר הוא הנמצא ההוא, אשר העניין ההוא באדם הוא אש</w:t>
      </w:r>
      <w:r w:rsidRPr="003C47B8">
        <w:rPr>
          <w:rtl/>
        </w:rPr>
        <w:t>ר בעבורו תהיה ההשגה האנושית."</w:t>
      </w:r>
      <w:r w:rsidR="00005C02" w:rsidRPr="003C47B8">
        <w:rPr>
          <w:rtl/>
        </w:rPr>
        <w:t>)</w:t>
      </w:r>
      <w:r w:rsidR="002C49EA" w:rsidRPr="003C47B8">
        <w:rPr>
          <w:rtl/>
        </w:rPr>
        <w:t>.</w:t>
      </w:r>
      <w:r w:rsidR="0073560B" w:rsidRPr="003C47B8">
        <w:rPr>
          <w:rtl/>
        </w:rPr>
        <w:t xml:space="preserve"> </w:t>
      </w:r>
      <w:r w:rsidR="00000280" w:rsidRPr="003C47B8">
        <w:rPr>
          <w:rtl/>
        </w:rPr>
        <w:t xml:space="preserve"> </w:t>
      </w:r>
    </w:p>
    <w:p w14:paraId="1C33162E" w14:textId="77777777" w:rsidR="007A054F" w:rsidRDefault="007A054F" w:rsidP="0008009B">
      <w:pPr>
        <w:pStyle w:val="FootnoteText"/>
        <w:rPr>
          <w:rtl/>
        </w:rPr>
      </w:pPr>
    </w:p>
    <w:p w14:paraId="6E74C56F" w14:textId="7F324C42" w:rsidR="0008009B" w:rsidRPr="0008009B" w:rsidRDefault="0008009B" w:rsidP="0008009B">
      <w:pPr>
        <w:pStyle w:val="FootnoteText"/>
        <w:rPr>
          <w:rtl/>
        </w:rPr>
      </w:pPr>
      <w:r w:rsidRPr="0008009B">
        <w:rPr>
          <w:rFonts w:hint="cs"/>
          <w:b/>
          <w:bCs/>
          <w:rtl/>
        </w:rPr>
        <w:t>ביאור ב</w:t>
      </w:r>
      <w:r w:rsidR="00232AC8">
        <w:rPr>
          <w:rFonts w:hint="cs"/>
          <w:b/>
          <w:bCs/>
          <w:rtl/>
        </w:rPr>
        <w:t xml:space="preserve">סוד אופן </w:t>
      </w:r>
      <w:r w:rsidRPr="0008009B">
        <w:rPr>
          <w:rFonts w:hint="cs"/>
          <w:b/>
          <w:bCs/>
          <w:rtl/>
        </w:rPr>
        <w:t>מציאותו של המקרה</w:t>
      </w:r>
      <w:r w:rsidR="007A054F">
        <w:rPr>
          <w:b/>
          <w:bCs/>
          <w:rtl/>
        </w:rPr>
        <w:fldChar w:fldCharType="begin"/>
      </w:r>
      <w:r w:rsidR="007A054F">
        <w:instrText xml:space="preserve"> XE "</w:instrText>
      </w:r>
      <w:r w:rsidR="007A054F" w:rsidRPr="00535C53">
        <w:rPr>
          <w:rFonts w:hint="cs"/>
          <w:b/>
          <w:bCs/>
          <w:rtl/>
        </w:rPr>
        <w:instrText xml:space="preserve">המקרה - </w:instrText>
      </w:r>
      <w:r w:rsidR="009624C1">
        <w:rPr>
          <w:rFonts w:hint="cs"/>
          <w:b/>
          <w:bCs/>
          <w:rtl/>
        </w:rPr>
        <w:instrText>סוד</w:instrText>
      </w:r>
      <w:r w:rsidR="007A054F" w:rsidRPr="00535C53">
        <w:rPr>
          <w:rFonts w:hint="cs"/>
          <w:b/>
          <w:bCs/>
          <w:rtl/>
        </w:rPr>
        <w:instrText xml:space="preserve"> אופן מציאותו</w:instrText>
      </w:r>
      <w:r w:rsidR="007A054F">
        <w:instrText xml:space="preserve">" </w:instrText>
      </w:r>
      <w:r w:rsidR="007A054F">
        <w:rPr>
          <w:b/>
          <w:bCs/>
          <w:rtl/>
        </w:rPr>
        <w:fldChar w:fldCharType="end"/>
      </w:r>
    </w:p>
    <w:p w14:paraId="154E5970" w14:textId="77777777" w:rsidR="009A1A80" w:rsidRDefault="009A0A5A">
      <w:pPr>
        <w:pStyle w:val="FootnoteText"/>
        <w:rPr>
          <w:rtl/>
        </w:rPr>
      </w:pPr>
      <w:r>
        <w:rPr>
          <w:rFonts w:hint="cs"/>
          <w:rtl/>
        </w:rPr>
        <w:t xml:space="preserve">המקרה הרי קיים במציאות, כלומר </w:t>
      </w:r>
      <w:r w:rsidR="00CC0967">
        <w:rPr>
          <w:rFonts w:hint="cs"/>
          <w:rtl/>
        </w:rPr>
        <w:t xml:space="preserve">כיוון שיש אנשים עם צבע עור כהה, הרי 'צבע עור כהה' הוא עניין שקיים במציאות, </w:t>
      </w:r>
      <w:r w:rsidR="007D5D48">
        <w:rPr>
          <w:rFonts w:hint="cs"/>
          <w:rtl/>
        </w:rPr>
        <w:t xml:space="preserve">ואפשר לתפוש אותו במובחן מקיום האנשים שהם בעלי עור כהה. אמנם </w:t>
      </w:r>
      <w:r w:rsidR="009A1A80">
        <w:rPr>
          <w:rFonts w:hint="cs"/>
          <w:rtl/>
        </w:rPr>
        <w:t>באמת אין זה כך.</w:t>
      </w:r>
    </w:p>
    <w:p w14:paraId="75D060E4" w14:textId="77777777" w:rsidR="005C5B71" w:rsidRDefault="00510038">
      <w:pPr>
        <w:pStyle w:val="FootnoteText"/>
        <w:rPr>
          <w:rtl/>
        </w:rPr>
      </w:pPr>
      <w:r>
        <w:rPr>
          <w:rFonts w:hint="cs"/>
          <w:rtl/>
        </w:rPr>
        <w:t xml:space="preserve">במורה נבוכים ב' י"ט </w:t>
      </w:r>
      <w:r w:rsidR="00C36EBC">
        <w:rPr>
          <w:rFonts w:hint="cs"/>
          <w:rtl/>
        </w:rPr>
        <w:t xml:space="preserve">וא' ע"ב </w:t>
      </w:r>
      <w:r w:rsidR="00304809">
        <w:rPr>
          <w:rFonts w:hint="cs"/>
          <w:rtl/>
        </w:rPr>
        <w:t xml:space="preserve">כתב בעניין ה"רוחב". זה אחד מהסודות העמוקים והקשים, הכוונה היא שיש קשר נעלם בין הצורה הטבעית, הגדרת המין, ובין תואר הגוף. למשל </w:t>
      </w:r>
      <w:r w:rsidR="009601E5">
        <w:rPr>
          <w:rFonts w:hint="cs"/>
          <w:rtl/>
        </w:rPr>
        <w:t xml:space="preserve">צבע שיער האדם יכול להשתנות מפרט לפרט להרבה מאוד גוונים, </w:t>
      </w:r>
      <w:r w:rsidR="00AC059C">
        <w:rPr>
          <w:rFonts w:hint="cs"/>
          <w:rtl/>
        </w:rPr>
        <w:t xml:space="preserve">וייתכן שיער כתום אבל לא ייתכן שיער ירוק כמו דשא. מה שאין בני אדם עם שיער ירוק כמו דשא, או בגובה קילומטר או </w:t>
      </w:r>
      <w:r w:rsidR="00BC2076">
        <w:rPr>
          <w:rFonts w:hint="cs"/>
          <w:rtl/>
        </w:rPr>
        <w:t xml:space="preserve">בגובה </w:t>
      </w:r>
      <w:r w:rsidR="00AC059C">
        <w:rPr>
          <w:rFonts w:hint="cs"/>
          <w:rtl/>
        </w:rPr>
        <w:t xml:space="preserve">מילימטר, </w:t>
      </w:r>
      <w:r w:rsidR="00BC2076">
        <w:rPr>
          <w:rFonts w:hint="cs"/>
          <w:rtl/>
        </w:rPr>
        <w:t>זה לא רק שזה מקרה נדיר שעוד לא ראינו אותו וייתכן שיקרה, אלא זה נגזר בהכרח מצורת האדם המהותית, ולכן אנו יודעים בוודאות שלעולם לא יהיה אדם עם מקרים כאלה. הצורה המה</w:t>
      </w:r>
      <w:r w:rsidR="005C5B71">
        <w:rPr>
          <w:rFonts w:hint="cs"/>
          <w:rtl/>
        </w:rPr>
        <w:t>ו</w:t>
      </w:r>
      <w:r w:rsidR="00BC2076">
        <w:rPr>
          <w:rFonts w:hint="cs"/>
          <w:rtl/>
        </w:rPr>
        <w:t xml:space="preserve">תית מכתיבה את רוחב המקרים האפשרי, למשל רוחב מקרי הגובה יכול להיות אולי בין שלושים סנטימטר לחמשה מטרים, </w:t>
      </w:r>
      <w:r w:rsidR="00AB3DB2">
        <w:rPr>
          <w:rFonts w:hint="cs"/>
          <w:rtl/>
        </w:rPr>
        <w:t xml:space="preserve">אבל גובה של קילומטר או מילימטר הם מחוץ לרוחב האפשרויות, </w:t>
      </w:r>
      <w:r w:rsidR="005C5B71">
        <w:rPr>
          <w:rFonts w:hint="cs"/>
          <w:rtl/>
        </w:rPr>
        <w:t>'</w:t>
      </w:r>
      <w:r w:rsidR="00AB3DB2">
        <w:rPr>
          <w:rFonts w:hint="cs"/>
          <w:rtl/>
        </w:rPr>
        <w:t>רוחב</w:t>
      </w:r>
      <w:r w:rsidR="005C5B71">
        <w:rPr>
          <w:rFonts w:hint="cs"/>
          <w:rtl/>
        </w:rPr>
        <w:t>'</w:t>
      </w:r>
      <w:r w:rsidR="00AB3DB2">
        <w:rPr>
          <w:rFonts w:hint="cs"/>
          <w:rtl/>
        </w:rPr>
        <w:t xml:space="preserve"> הוא מה שנקרא ספקטרום</w:t>
      </w:r>
      <w:r w:rsidR="005C5B71">
        <w:rPr>
          <w:rFonts w:hint="cs"/>
          <w:rtl/>
        </w:rPr>
        <w:t>, טווח כל האפשרויות שייתכנו</w:t>
      </w:r>
      <w:r w:rsidR="00AB3DB2">
        <w:rPr>
          <w:rFonts w:hint="cs"/>
          <w:rtl/>
        </w:rPr>
        <w:t>.</w:t>
      </w:r>
    </w:p>
    <w:p w14:paraId="056849BD" w14:textId="1BF85C85" w:rsidR="00510038" w:rsidRDefault="005C5B71">
      <w:pPr>
        <w:pStyle w:val="FootnoteText"/>
        <w:rPr>
          <w:rtl/>
        </w:rPr>
      </w:pPr>
      <w:r>
        <w:rPr>
          <w:rFonts w:hint="cs"/>
          <w:rtl/>
        </w:rPr>
        <w:t xml:space="preserve">אין לנו הבנה למה הצורה המהותית של 'חי מדבר' </w:t>
      </w:r>
      <w:r w:rsidR="00437FCA">
        <w:rPr>
          <w:rFonts w:hint="cs"/>
          <w:rtl/>
        </w:rPr>
        <w:t xml:space="preserve">מכתיבה שצבע שיער כתום הוא אפשרי אבל צבע שיער ירוק אינו אפשרי. איזה קשר יכול להיות בין המהות של 'חי מדבר' לגווני שיער שונים או לגבהים שונים של הגוף וכל כיו"ב. אבל לפי האמת זה כך, ונובעים מזה עניינים עמוקים וגדולים, </w:t>
      </w:r>
      <w:r w:rsidR="005858E4">
        <w:rPr>
          <w:rFonts w:hint="cs"/>
          <w:rtl/>
        </w:rPr>
        <w:t>של אחדות פנימית נעלמה בין הגוף ותואר הגוף ובין הצורה המהותית</w:t>
      </w:r>
      <w:r w:rsidR="00700174">
        <w:rPr>
          <w:rtl/>
        </w:rPr>
        <w:fldChar w:fldCharType="begin"/>
      </w:r>
      <w:r w:rsidR="00700174">
        <w:instrText xml:space="preserve"> XE "</w:instrText>
      </w:r>
      <w:r w:rsidR="00700174" w:rsidRPr="000A0C3F">
        <w:rPr>
          <w:rFonts w:hint="cs"/>
          <w:rtl/>
        </w:rPr>
        <w:instrText>אחדות נעלמה בין תואר הגוף ובין הצורה המהותית</w:instrText>
      </w:r>
      <w:r w:rsidR="00700174">
        <w:instrText xml:space="preserve">" </w:instrText>
      </w:r>
      <w:r w:rsidR="00700174">
        <w:rPr>
          <w:rtl/>
        </w:rPr>
        <w:fldChar w:fldCharType="end"/>
      </w:r>
      <w:r w:rsidR="005858E4">
        <w:rPr>
          <w:rFonts w:hint="cs"/>
          <w:rtl/>
        </w:rPr>
        <w:t>. מכאן נובע</w:t>
      </w:r>
      <w:r w:rsidR="0028303B">
        <w:rPr>
          <w:rFonts w:hint="cs"/>
          <w:rtl/>
        </w:rPr>
        <w:t>ת</w:t>
      </w:r>
      <w:r w:rsidR="005858E4">
        <w:rPr>
          <w:rFonts w:hint="cs"/>
          <w:rtl/>
        </w:rPr>
        <w:t xml:space="preserve"> </w:t>
      </w:r>
      <w:r w:rsidR="006943E5">
        <w:rPr>
          <w:rFonts w:hint="cs"/>
          <w:rtl/>
        </w:rPr>
        <w:t>גם</w:t>
      </w:r>
      <w:r w:rsidR="0028303B">
        <w:rPr>
          <w:rFonts w:hint="cs"/>
          <w:rtl/>
        </w:rPr>
        <w:t xml:space="preserve"> האפשרות</w:t>
      </w:r>
      <w:r w:rsidR="006943E5">
        <w:rPr>
          <w:rFonts w:hint="cs"/>
          <w:rtl/>
        </w:rPr>
        <w:t xml:space="preserve"> שתואר האדם שיש לו ראש גוף ידיים ורגליים שייך לעניינים מופשטים של שרשי ההתגלות האלוהית</w:t>
      </w:r>
      <w:r w:rsidR="00E41C0A">
        <w:rPr>
          <w:rFonts w:hint="cs"/>
          <w:rtl/>
        </w:rPr>
        <w:t xml:space="preserve"> (עייין רש"י על בראשית א' כ"ו-כ"ז, </w:t>
      </w:r>
      <w:r w:rsidR="001B441C">
        <w:rPr>
          <w:rFonts w:hint="cs"/>
          <w:rtl/>
        </w:rPr>
        <w:t>ורש"י ע</w:t>
      </w:r>
      <w:r w:rsidR="0028303B">
        <w:rPr>
          <w:rFonts w:hint="cs"/>
          <w:rtl/>
        </w:rPr>
        <w:t>ל דברים כ"א כ"ג</w:t>
      </w:r>
      <w:r w:rsidR="00E41C0A">
        <w:rPr>
          <w:rFonts w:hint="cs"/>
          <w:rtl/>
        </w:rPr>
        <w:t>)</w:t>
      </w:r>
      <w:r w:rsidR="006943E5">
        <w:rPr>
          <w:rFonts w:hint="cs"/>
          <w:rtl/>
        </w:rPr>
        <w:t>.</w:t>
      </w:r>
      <w:r w:rsidR="0028303B">
        <w:rPr>
          <w:rFonts w:hint="cs"/>
          <w:rtl/>
        </w:rPr>
        <w:t xml:space="preserve"> </w:t>
      </w:r>
    </w:p>
    <w:p w14:paraId="7CCCABFC" w14:textId="2271E33C" w:rsidR="00C4614A" w:rsidRDefault="00C4614A">
      <w:pPr>
        <w:pStyle w:val="FootnoteText"/>
        <w:rPr>
          <w:rtl/>
        </w:rPr>
      </w:pPr>
      <w:r>
        <w:rPr>
          <w:rFonts w:hint="cs"/>
          <w:rtl/>
        </w:rPr>
        <w:t xml:space="preserve">כל רוחב האפשרויות שמוכתבות מכח הצורה המהותית </w:t>
      </w:r>
      <w:r w:rsidR="00B7751D">
        <w:rPr>
          <w:rFonts w:hint="cs"/>
          <w:rtl/>
        </w:rPr>
        <w:t xml:space="preserve">ביחד </w:t>
      </w:r>
      <w:r>
        <w:rPr>
          <w:rFonts w:hint="cs"/>
          <w:rtl/>
        </w:rPr>
        <w:t xml:space="preserve">הוא </w:t>
      </w:r>
      <w:r w:rsidR="009F2491">
        <w:rPr>
          <w:rFonts w:hint="cs"/>
          <w:rtl/>
        </w:rPr>
        <w:t xml:space="preserve">הציור החומרי של הצורה, כלומר אם נבנה דמות אדם חומרית שיש לו את כל הצבעים שהרוחב מאפשר וכל הגבהים שהרוחב מאפשר וכן הלאה, הוא יהיה </w:t>
      </w:r>
      <w:r w:rsidR="003E6197">
        <w:rPr>
          <w:rFonts w:hint="cs"/>
          <w:rtl/>
        </w:rPr>
        <w:t>ציור חומרי של הצורה המה</w:t>
      </w:r>
      <w:r w:rsidR="00B7751D">
        <w:rPr>
          <w:rFonts w:hint="cs"/>
          <w:rtl/>
        </w:rPr>
        <w:t>ו</w:t>
      </w:r>
      <w:r w:rsidR="003E6197">
        <w:rPr>
          <w:rFonts w:hint="cs"/>
          <w:rtl/>
        </w:rPr>
        <w:t xml:space="preserve">תית 'חי מדבר'. </w:t>
      </w:r>
      <w:r w:rsidR="00B7751D">
        <w:rPr>
          <w:rFonts w:hint="cs"/>
          <w:rtl/>
        </w:rPr>
        <w:t xml:space="preserve">הוא יהיה ציור בגלל שהצורה המהותית לא מאפשרת כל גובה ולא כל גוון, ואם נוציא את הצבעים והגבהים הלא אפשריים ונשאיר רק את האפשריים ההגבלה הזו תגרום לציור </w:t>
      </w:r>
      <w:r w:rsidR="009C463A">
        <w:rPr>
          <w:rFonts w:hint="cs"/>
          <w:rtl/>
        </w:rPr>
        <w:t>מסוים</w:t>
      </w:r>
      <w:r w:rsidR="00B7751D">
        <w:rPr>
          <w:rFonts w:hint="cs"/>
          <w:rtl/>
        </w:rPr>
        <w:t xml:space="preserve"> גופני. </w:t>
      </w:r>
    </w:p>
    <w:p w14:paraId="3C257B01" w14:textId="2782F421" w:rsidR="009A0A5A" w:rsidRPr="003C47B8" w:rsidRDefault="00B33466" w:rsidP="00621E0D">
      <w:pPr>
        <w:pStyle w:val="FootnoteText"/>
      </w:pPr>
      <w:r>
        <w:rPr>
          <w:rFonts w:hint="cs"/>
          <w:rtl/>
        </w:rPr>
        <w:t xml:space="preserve">אם החומר היה יכול לקבל צורה על כל רוחב האפשרויות שבה, </w:t>
      </w:r>
      <w:r w:rsidR="005C0E66">
        <w:rPr>
          <w:rFonts w:hint="cs"/>
          <w:rtl/>
        </w:rPr>
        <w:t xml:space="preserve">שכולן כאחד יתגלו בחומר, </w:t>
      </w:r>
      <w:r>
        <w:rPr>
          <w:rFonts w:hint="cs"/>
          <w:rtl/>
        </w:rPr>
        <w:t xml:space="preserve">הוא היה מגלה צורה </w:t>
      </w:r>
      <w:r w:rsidR="00BF7DE3">
        <w:rPr>
          <w:rFonts w:hint="cs"/>
          <w:rtl/>
        </w:rPr>
        <w:t>בגילוי שלם ומלא.</w:t>
      </w:r>
      <w:r w:rsidR="005C0E66">
        <w:rPr>
          <w:rFonts w:hint="cs"/>
          <w:rtl/>
        </w:rPr>
        <w:t xml:space="preserve"> רק לחומר אין אפשרות כזו, </w:t>
      </w:r>
      <w:r w:rsidR="00231266">
        <w:rPr>
          <w:rFonts w:hint="cs"/>
          <w:rtl/>
        </w:rPr>
        <w:t xml:space="preserve">אם הוא מגלה אפשרות של גובה מטר ושמונים, הוא לא יכול באותה עת לגלות גם את אפשרות הגובה של מטר ותשעים. </w:t>
      </w:r>
      <w:r w:rsidR="00FF2645">
        <w:rPr>
          <w:rFonts w:hint="cs"/>
          <w:rtl/>
        </w:rPr>
        <w:t xml:space="preserve">לכן בפרט חומרי אחד </w:t>
      </w:r>
      <w:r w:rsidR="009C463A">
        <w:rPr>
          <w:rFonts w:hint="cs"/>
          <w:rtl/>
        </w:rPr>
        <w:t>מסוים</w:t>
      </w:r>
      <w:r w:rsidR="00FF2645">
        <w:rPr>
          <w:rFonts w:hint="cs"/>
          <w:rtl/>
        </w:rPr>
        <w:t xml:space="preserve"> חלק מהאפשרויות שגנוזות ברוח</w:t>
      </w:r>
      <w:r w:rsidR="000643EE">
        <w:rPr>
          <w:rFonts w:hint="cs"/>
          <w:rtl/>
        </w:rPr>
        <w:t>ב שהמהות מכתיבה</w:t>
      </w:r>
      <w:r w:rsidR="00FF2645">
        <w:rPr>
          <w:rFonts w:hint="cs"/>
          <w:rtl/>
        </w:rPr>
        <w:t xml:space="preserve"> לא מתגלות וחלק כן מתגלות. </w:t>
      </w:r>
      <w:r w:rsidR="000643EE">
        <w:rPr>
          <w:rFonts w:hint="cs"/>
          <w:rtl/>
        </w:rPr>
        <w:t>מה שמתגלה הוא גילוי חלקי של הציור החומרי של הצורה המהותית</w:t>
      </w:r>
      <w:r w:rsidR="008A2953">
        <w:rPr>
          <w:rFonts w:hint="cs"/>
          <w:rtl/>
        </w:rPr>
        <w:t xml:space="preserve">. יש רוחב של הרבה צבעי עור אפשריים שמוכתבים מהצורה המהותית של 'חי מדבר'. </w:t>
      </w:r>
      <w:r w:rsidR="00EA1B39">
        <w:rPr>
          <w:rFonts w:hint="cs"/>
          <w:rtl/>
        </w:rPr>
        <w:t>כל הצבעים</w:t>
      </w:r>
      <w:r w:rsidR="00E40A6F">
        <w:rPr>
          <w:rFonts w:hint="cs"/>
          <w:rtl/>
        </w:rPr>
        <w:t xml:space="preserve"> שבתוך הרוחב</w:t>
      </w:r>
      <w:r w:rsidR="00EA1B39">
        <w:rPr>
          <w:rFonts w:hint="cs"/>
          <w:rtl/>
        </w:rPr>
        <w:t xml:space="preserve"> כאחד הם הצבע האמיתי שראוי לראובן מצד שהוא אדם</w:t>
      </w:r>
      <w:r w:rsidR="00E40A6F">
        <w:rPr>
          <w:rFonts w:hint="cs"/>
          <w:rtl/>
        </w:rPr>
        <w:t xml:space="preserve">, כי הם כולם כאחד הציור </w:t>
      </w:r>
      <w:r w:rsidR="00124763">
        <w:rPr>
          <w:rFonts w:hint="cs"/>
          <w:rtl/>
        </w:rPr>
        <w:t>החומרי של צורתו המהותית</w:t>
      </w:r>
      <w:r w:rsidR="00EA1B39">
        <w:rPr>
          <w:rFonts w:hint="cs"/>
          <w:rtl/>
        </w:rPr>
        <w:t xml:space="preserve">. כיוון שהחומר מוגבל </w:t>
      </w:r>
      <w:r w:rsidR="00124763">
        <w:rPr>
          <w:rFonts w:hint="cs"/>
          <w:rtl/>
        </w:rPr>
        <w:t xml:space="preserve">ולא יכול להיות צבוע בצבעים רבים בבת אחת, נחסרים חלק מהגוונים, </w:t>
      </w:r>
      <w:r w:rsidR="001103B0">
        <w:rPr>
          <w:rFonts w:hint="cs"/>
          <w:rtl/>
        </w:rPr>
        <w:t xml:space="preserve">ומה שנשאר </w:t>
      </w:r>
      <w:r w:rsidR="005A4491">
        <w:rPr>
          <w:rFonts w:hint="cs"/>
          <w:rtl/>
        </w:rPr>
        <w:t xml:space="preserve">אחרי ההחסרה </w:t>
      </w:r>
      <w:r w:rsidR="001103B0">
        <w:rPr>
          <w:rFonts w:hint="cs"/>
          <w:rtl/>
        </w:rPr>
        <w:t xml:space="preserve">אצל ראובן הוא הצבע הכהה, ואצל שמעון הצבע הלבן ואצל לוי הצהוב ואצל יהודה האדום. </w:t>
      </w:r>
      <w:r w:rsidR="005A4491">
        <w:rPr>
          <w:rFonts w:hint="cs"/>
          <w:rtl/>
        </w:rPr>
        <w:t xml:space="preserve">המציאות האמיתית של צבע עורו של כל אדם פרטי היא הצבע של כל הגוונים שבתוך הרוחב </w:t>
      </w:r>
      <w:r w:rsidR="001C6C5B">
        <w:rPr>
          <w:rFonts w:hint="cs"/>
          <w:rtl/>
        </w:rPr>
        <w:t xml:space="preserve">כולם </w:t>
      </w:r>
      <w:r w:rsidR="005A4491">
        <w:rPr>
          <w:rFonts w:hint="cs"/>
          <w:rtl/>
        </w:rPr>
        <w:t xml:space="preserve">כאחד. </w:t>
      </w:r>
      <w:r w:rsidR="001C6C5B">
        <w:rPr>
          <w:rFonts w:hint="cs"/>
          <w:rtl/>
        </w:rPr>
        <w:t xml:space="preserve">כי המציאות האמית של אדם היא הצורה המהותית שלו כ'חי מדבר', והציור החומרי של האמת הזו הוא גוף בעל כל הצבעים </w:t>
      </w:r>
      <w:r w:rsidR="00A051A5">
        <w:rPr>
          <w:rFonts w:hint="cs"/>
          <w:rtl/>
        </w:rPr>
        <w:t>ו</w:t>
      </w:r>
      <w:r w:rsidR="001C6C5B">
        <w:rPr>
          <w:rFonts w:hint="cs"/>
          <w:rtl/>
        </w:rPr>
        <w:t>ה</w:t>
      </w:r>
      <w:r w:rsidR="00A051A5">
        <w:rPr>
          <w:rFonts w:hint="cs"/>
          <w:rtl/>
        </w:rPr>
        <w:t>ג</w:t>
      </w:r>
      <w:r w:rsidR="001C6C5B">
        <w:rPr>
          <w:rFonts w:hint="cs"/>
          <w:rtl/>
        </w:rPr>
        <w:t xml:space="preserve">בהים </w:t>
      </w:r>
      <w:r w:rsidR="00A051A5">
        <w:rPr>
          <w:rFonts w:hint="cs"/>
          <w:rtl/>
        </w:rPr>
        <w:t xml:space="preserve">וכן הלאה, </w:t>
      </w:r>
      <w:r w:rsidR="001C6C5B">
        <w:rPr>
          <w:rFonts w:hint="cs"/>
          <w:rtl/>
        </w:rPr>
        <w:t>שבתוך הרוחב</w:t>
      </w:r>
      <w:r w:rsidR="00A051A5">
        <w:rPr>
          <w:rFonts w:hint="cs"/>
          <w:rtl/>
        </w:rPr>
        <w:t>, ולכן זה הציור החומרי שקיים באמת במציאות</w:t>
      </w:r>
      <w:r w:rsidR="001C6C5B">
        <w:rPr>
          <w:rFonts w:hint="cs"/>
          <w:rtl/>
        </w:rPr>
        <w:t xml:space="preserve">. </w:t>
      </w:r>
      <w:r w:rsidR="00A051A5">
        <w:rPr>
          <w:rFonts w:hint="cs"/>
          <w:rtl/>
        </w:rPr>
        <w:t xml:space="preserve">והוא באמת קיים רק שאיננו רואים את כולו. </w:t>
      </w:r>
      <w:r w:rsidR="00AE3AC9">
        <w:rPr>
          <w:rFonts w:hint="cs"/>
          <w:rtl/>
        </w:rPr>
        <w:t xml:space="preserve">העובדה של הרוב קיים בראובן היא העובדה שלפעמים צבע עורו משתנה, </w:t>
      </w:r>
      <w:r w:rsidR="00462BFB">
        <w:rPr>
          <w:rFonts w:hint="cs"/>
          <w:rtl/>
        </w:rPr>
        <w:t>שאם היה לבן ונשזף בשמש נעשה כהה, וכיוון שנעשה כהה מוכרח שהיתה בו אפשרות להיות כהה</w:t>
      </w:r>
      <w:r w:rsidR="00A01BFD">
        <w:rPr>
          <w:rFonts w:hint="cs"/>
          <w:rtl/>
        </w:rPr>
        <w:t>, כלומר יש בו את הצבע הכהה רק לא ראינו אותו עד שנשזף. כי השיזוף גרם שינוי בחומר וכעת הוא מחסיר את הצבע הלבן ומגלה את הכהה, בעוד שמקודם גילה את הלבן וה</w:t>
      </w:r>
      <w:r w:rsidR="00B10F16">
        <w:rPr>
          <w:rFonts w:hint="cs"/>
          <w:rtl/>
        </w:rPr>
        <w:t>חס</w:t>
      </w:r>
      <w:r w:rsidR="00A01BFD">
        <w:rPr>
          <w:rFonts w:hint="cs"/>
          <w:rtl/>
        </w:rPr>
        <w:t xml:space="preserve">יר את הכהה. </w:t>
      </w:r>
      <w:r w:rsidR="00B10F16">
        <w:rPr>
          <w:rFonts w:hint="cs"/>
          <w:rtl/>
        </w:rPr>
        <w:t xml:space="preserve">השינוי מוכיח שהאפשרות קיימת, והיא קיימת כי זה כלול בצבעו האמיתי. שום שיזוף לא יהפוך את עורו לירוק או סגול, כי </w:t>
      </w:r>
      <w:r w:rsidR="007C6FBB">
        <w:rPr>
          <w:rFonts w:hint="cs"/>
          <w:rtl/>
        </w:rPr>
        <w:t>הצורה המהותית לא כוללת את זה ברוחב האפשרויות ולכן אין בו צבע כזה ושום דבר לא יוכל לגלות בו צבע כזה. אם השיזו</w:t>
      </w:r>
      <w:r w:rsidR="00B73E6B">
        <w:rPr>
          <w:rFonts w:hint="cs"/>
          <w:rtl/>
        </w:rPr>
        <w:t>ף</w:t>
      </w:r>
      <w:r w:rsidR="007C6FBB">
        <w:rPr>
          <w:rFonts w:hint="cs"/>
          <w:rtl/>
        </w:rPr>
        <w:t xml:space="preserve"> יכול לגלות את הכהה מוכרח שזה מונח בו בתוך רוחב האפשרויות שצורתו המהותית מכתיבה, </w:t>
      </w:r>
      <w:r w:rsidR="00B73E6B">
        <w:rPr>
          <w:rFonts w:hint="cs"/>
          <w:rtl/>
        </w:rPr>
        <w:t>ואם יש בו את הצורה המהותית הרי שיש בו את כל הצבעים שהיא צבועה בהם בגילויה בחומר</w:t>
      </w:r>
      <w:r w:rsidR="00462BFB">
        <w:rPr>
          <w:rFonts w:hint="cs"/>
          <w:rtl/>
        </w:rPr>
        <w:t xml:space="preserve">. </w:t>
      </w:r>
      <w:r w:rsidR="00957381">
        <w:rPr>
          <w:rFonts w:hint="cs"/>
          <w:rtl/>
        </w:rPr>
        <w:t xml:space="preserve">מעתה מובן שהצבע הכהה אינו מציאות אמיתית, אלא המציאות האמיתית היא צירוף כל הצבעים שברוחב, והצבע הכהה </w:t>
      </w:r>
      <w:r w:rsidR="0005034E">
        <w:rPr>
          <w:rFonts w:hint="cs"/>
          <w:rtl/>
        </w:rPr>
        <w:t xml:space="preserve">הוא מה שרואים אחרי הסתרת חלק מהאפשרויות. זה כמו שמסתכלים על המציאות דרך משקפי שמש חומים, שמראים שכל המציאות היא בגוונים של חום. הצבע החום אינו מציאות אמיתית, אלא הוא מה שנשאר אחרי שהמשקפיים הסתירו את שאר הגוונים שקיימים. </w:t>
      </w:r>
      <w:r w:rsidR="00BC2860">
        <w:rPr>
          <w:rFonts w:hint="cs"/>
          <w:rtl/>
        </w:rPr>
        <w:t xml:space="preserve">לכן המקרה נקרא מקרה הגוף ולכן הוא אינו גילוי של צורה, כי צורה היא מציאות אמיתית והמקרה הוא רק אשלייה שנובעת מצמצום יכולת הראייה של המציאות.  </w:t>
      </w:r>
      <w:r w:rsidR="00957381">
        <w:rPr>
          <w:rFonts w:hint="cs"/>
          <w:rtl/>
        </w:rPr>
        <w:t xml:space="preserve"> </w:t>
      </w:r>
      <w:r w:rsidR="00BF7DE3">
        <w:rPr>
          <w:rFonts w:hint="cs"/>
          <w:rtl/>
        </w:rPr>
        <w:t xml:space="preserve"> </w:t>
      </w:r>
    </w:p>
  </w:footnote>
  <w:footnote w:id="356">
    <w:p w14:paraId="450CD831" w14:textId="3044734E" w:rsidR="00E625C4" w:rsidRPr="003C47B8" w:rsidRDefault="00E625C4">
      <w:pPr>
        <w:pStyle w:val="FootnoteText"/>
      </w:pPr>
      <w:r w:rsidRPr="003C47B8">
        <w:rPr>
          <w:rStyle w:val="FootnoteReference"/>
        </w:rPr>
        <w:footnoteRef/>
      </w:r>
      <w:r w:rsidRPr="003C47B8">
        <w:rPr>
          <w:rtl/>
        </w:rPr>
        <w:t xml:space="preserve"> </w:t>
      </w:r>
      <w:r w:rsidR="00410A82" w:rsidRPr="003C47B8">
        <w:rPr>
          <w:rFonts w:ascii="Arial" w:hAnsi="Arial" w:cs="Arial" w:hint="cs"/>
          <w:rtl/>
          <w:lang w:bidi="ar-SA"/>
        </w:rPr>
        <w:t>الهيئة</w:t>
      </w:r>
      <w:r w:rsidR="00F338ED" w:rsidRPr="003C47B8">
        <w:rPr>
          <w:rtl/>
        </w:rPr>
        <w:t xml:space="preserve">. </w:t>
      </w:r>
      <w:r w:rsidR="004B2493" w:rsidRPr="003C47B8">
        <w:rPr>
          <w:rtl/>
        </w:rPr>
        <w:t xml:space="preserve">אפשר לתרגם </w:t>
      </w:r>
      <w:r w:rsidR="003C47B8">
        <w:rPr>
          <w:rFonts w:hint="cs"/>
          <w:rtl/>
        </w:rPr>
        <w:t xml:space="preserve">גם </w:t>
      </w:r>
      <w:r w:rsidR="004B2493" w:rsidRPr="003C47B8">
        <w:rPr>
          <w:rtl/>
        </w:rPr>
        <w:t>תואר</w:t>
      </w:r>
      <w:r w:rsidR="00367793" w:rsidRPr="003C47B8">
        <w:rPr>
          <w:rtl/>
        </w:rPr>
        <w:t xml:space="preserve"> או תבנית</w:t>
      </w:r>
      <w:r w:rsidR="004B2493" w:rsidRPr="003C47B8">
        <w:rPr>
          <w:rtl/>
        </w:rPr>
        <w:t xml:space="preserve">, ונראה שזו הכוונה בקוראן </w:t>
      </w:r>
      <w:r w:rsidR="00C332E8" w:rsidRPr="003C47B8">
        <w:rPr>
          <w:rtl/>
        </w:rPr>
        <w:t>סורת א</w:t>
      </w:r>
      <w:r w:rsidR="001757B7" w:rsidRPr="003C47B8">
        <w:rPr>
          <w:rtl/>
        </w:rPr>
        <w:t>ל</w:t>
      </w:r>
      <w:r w:rsidR="00C332E8" w:rsidRPr="003C47B8">
        <w:rPr>
          <w:rtl/>
        </w:rPr>
        <w:t xml:space="preserve"> עמראן 49, וסורת א</w:t>
      </w:r>
      <w:r w:rsidR="001757B7" w:rsidRPr="003C47B8">
        <w:rPr>
          <w:rtl/>
        </w:rPr>
        <w:t>ל</w:t>
      </w:r>
      <w:r w:rsidR="00C332E8" w:rsidRPr="003C47B8">
        <w:rPr>
          <w:rtl/>
        </w:rPr>
        <w:t xml:space="preserve"> מאאידה 11</w:t>
      </w:r>
      <w:r w:rsidR="001757B7" w:rsidRPr="003C47B8">
        <w:rPr>
          <w:rtl/>
        </w:rPr>
        <w:t xml:space="preserve">0, </w:t>
      </w:r>
      <w:r w:rsidR="00036BE4" w:rsidRPr="003C47B8">
        <w:rPr>
          <w:rtl/>
        </w:rPr>
        <w:t>שכתוב עיצבתי אותכם מהעפר הרטוב כתבנית ציפור</w:t>
      </w:r>
      <w:r w:rsidR="002C4781" w:rsidRPr="003C47B8">
        <w:rPr>
          <w:rtl/>
        </w:rPr>
        <w:t xml:space="preserve"> (או כדמות ציפור)</w:t>
      </w:r>
      <w:r w:rsidR="00036BE4" w:rsidRPr="003C47B8">
        <w:rPr>
          <w:rtl/>
        </w:rPr>
        <w:t xml:space="preserve">. </w:t>
      </w:r>
      <w:r w:rsidR="002C4781" w:rsidRPr="003C47B8">
        <w:rPr>
          <w:rtl/>
        </w:rPr>
        <w:t>מקגיניס תרגם</w:t>
      </w:r>
      <w:r w:rsidR="004D4E6A" w:rsidRPr="003C47B8">
        <w:rPr>
          <w:rtl/>
        </w:rPr>
        <w:t xml:space="preserve"> "</w:t>
      </w:r>
      <w:r w:rsidR="00180EF3">
        <w:rPr>
          <w:rFonts w:cs="Times New Roman"/>
        </w:rPr>
        <w:t>disposition</w:t>
      </w:r>
      <w:r w:rsidR="004D4E6A" w:rsidRPr="003C47B8">
        <w:rPr>
          <w:rtl/>
        </w:rPr>
        <w:t>"</w:t>
      </w:r>
      <w:r w:rsidR="00625DC5">
        <w:rPr>
          <w:rFonts w:hint="cs"/>
          <w:rtl/>
        </w:rPr>
        <w:t xml:space="preserve">. לא כתבתי תואר או תבנית כי מדובר </w:t>
      </w:r>
      <w:r w:rsidR="001C736B">
        <w:rPr>
          <w:rFonts w:hint="cs"/>
          <w:rtl/>
        </w:rPr>
        <w:t xml:space="preserve">כאן </w:t>
      </w:r>
      <w:r w:rsidR="00625DC5">
        <w:rPr>
          <w:rFonts w:hint="cs"/>
          <w:rtl/>
        </w:rPr>
        <w:t>גם בצורה טבעית</w:t>
      </w:r>
      <w:r w:rsidR="001C736B">
        <w:rPr>
          <w:rFonts w:hint="cs"/>
          <w:rtl/>
        </w:rPr>
        <w:t>,</w:t>
      </w:r>
      <w:r w:rsidR="00625DC5">
        <w:rPr>
          <w:rFonts w:hint="cs"/>
          <w:rtl/>
        </w:rPr>
        <w:t xml:space="preserve"> כמו שביאר במורה נבוכים א' א' את החילוק</w:t>
      </w:r>
      <w:r w:rsidR="001C736B">
        <w:rPr>
          <w:rFonts w:hint="cs"/>
          <w:rtl/>
        </w:rPr>
        <w:t xml:space="preserve"> </w:t>
      </w:r>
      <w:r w:rsidR="00625DC5">
        <w:rPr>
          <w:rFonts w:hint="cs"/>
          <w:rtl/>
        </w:rPr>
        <w:t>ביניהם</w:t>
      </w:r>
      <w:r w:rsidR="001C736B">
        <w:rPr>
          <w:rFonts w:hint="cs"/>
          <w:rtl/>
        </w:rPr>
        <w:t>, והלשון 'סדר' נופלת על ש</w:t>
      </w:r>
      <w:r w:rsidR="004A301E">
        <w:rPr>
          <w:rFonts w:hint="cs"/>
          <w:rtl/>
        </w:rPr>
        <w:t>נ</w:t>
      </w:r>
      <w:r w:rsidR="001C736B">
        <w:rPr>
          <w:rFonts w:hint="cs"/>
          <w:rtl/>
        </w:rPr>
        <w:t>יה</w:t>
      </w:r>
      <w:r w:rsidR="004A301E">
        <w:rPr>
          <w:rFonts w:hint="cs"/>
          <w:rtl/>
        </w:rPr>
        <w:t>ם</w:t>
      </w:r>
      <w:r w:rsidR="00FC5ECE" w:rsidRPr="00FC5ECE">
        <w:rPr>
          <w:rtl/>
        </w:rPr>
        <w:t xml:space="preserve"> (במובן של ארגון כלשהו, חיצוני או מהותי)</w:t>
      </w:r>
      <w:r w:rsidR="001C736B">
        <w:rPr>
          <w:rFonts w:hint="cs"/>
          <w:rtl/>
        </w:rPr>
        <w:t>.</w:t>
      </w:r>
      <w:r w:rsidR="00626108" w:rsidRPr="003C47B8">
        <w:rPr>
          <w:rtl/>
        </w:rPr>
        <w:t xml:space="preserve"> </w:t>
      </w:r>
    </w:p>
  </w:footnote>
  <w:footnote w:id="357">
    <w:p w14:paraId="489DD293" w14:textId="21863AA0" w:rsidR="00B33C33" w:rsidRDefault="00B33C33">
      <w:pPr>
        <w:pStyle w:val="FootnoteText"/>
      </w:pPr>
      <w:r>
        <w:rPr>
          <w:rStyle w:val="FootnoteReference"/>
        </w:rPr>
        <w:footnoteRef/>
      </w:r>
      <w:r>
        <w:rPr>
          <w:rtl/>
        </w:rPr>
        <w:t xml:space="preserve"> </w:t>
      </w:r>
      <w:r w:rsidR="000C3A33" w:rsidRPr="000C3A33">
        <w:rPr>
          <w:rFonts w:cs="Times New Roman" w:hint="eastAsia"/>
          <w:rtl/>
          <w:lang w:bidi="ar-SA"/>
        </w:rPr>
        <w:t>الحاصلة</w:t>
      </w:r>
      <w:r w:rsidR="000C3A33">
        <w:rPr>
          <w:rFonts w:cs="Times New Roman" w:hint="cs"/>
          <w:rtl/>
        </w:rPr>
        <w:t>.</w:t>
      </w:r>
    </w:p>
  </w:footnote>
  <w:footnote w:id="358">
    <w:p w14:paraId="731478B7" w14:textId="4BE82088" w:rsidR="008C052D" w:rsidRDefault="008C052D">
      <w:pPr>
        <w:pStyle w:val="FootnoteText"/>
      </w:pPr>
      <w:r>
        <w:rPr>
          <w:rStyle w:val="FootnoteReference"/>
        </w:rPr>
        <w:footnoteRef/>
      </w:r>
      <w:r>
        <w:rPr>
          <w:rtl/>
        </w:rPr>
        <w:t xml:space="preserve"> </w:t>
      </w:r>
      <w:r>
        <w:rPr>
          <w:rFonts w:hint="cs"/>
          <w:rtl/>
        </w:rPr>
        <w:t>ההיולי.</w:t>
      </w:r>
    </w:p>
  </w:footnote>
  <w:footnote w:id="359">
    <w:p w14:paraId="25060FEA" w14:textId="54EC1930" w:rsidR="00A90F54" w:rsidRDefault="00A90F54">
      <w:pPr>
        <w:pStyle w:val="FootnoteText"/>
      </w:pPr>
      <w:r>
        <w:rPr>
          <w:rStyle w:val="FootnoteReference"/>
        </w:rPr>
        <w:footnoteRef/>
      </w:r>
      <w:r>
        <w:rPr>
          <w:rtl/>
        </w:rPr>
        <w:t xml:space="preserve"> </w:t>
      </w:r>
      <w:r>
        <w:rPr>
          <w:rFonts w:hint="cs"/>
          <w:rtl/>
        </w:rPr>
        <w:t xml:space="preserve">בחומר שמורכב מהיסודות ואינו ההיולי הראשון אבל </w:t>
      </w:r>
      <w:r w:rsidR="000274E6">
        <w:rPr>
          <w:rFonts w:hint="cs"/>
          <w:rtl/>
        </w:rPr>
        <w:t>הוא דומה ל</w:t>
      </w:r>
      <w:r>
        <w:rPr>
          <w:rFonts w:hint="cs"/>
          <w:rtl/>
        </w:rPr>
        <w:t>היולי וכמו שהתבאר לעיל.</w:t>
      </w:r>
    </w:p>
  </w:footnote>
  <w:footnote w:id="360">
    <w:p w14:paraId="591DE017" w14:textId="3B6446FC" w:rsidR="00B97B58" w:rsidRDefault="00B97B58">
      <w:pPr>
        <w:pStyle w:val="FootnoteText"/>
      </w:pPr>
      <w:r>
        <w:rPr>
          <w:rStyle w:val="FootnoteReference"/>
        </w:rPr>
        <w:footnoteRef/>
      </w:r>
      <w:r>
        <w:rPr>
          <w:rtl/>
        </w:rPr>
        <w:t xml:space="preserve"> </w:t>
      </w:r>
      <w:r w:rsidR="00163B2A">
        <w:rPr>
          <w:rFonts w:hint="cs"/>
          <w:rtl/>
        </w:rPr>
        <w:t>עצם.</w:t>
      </w:r>
    </w:p>
  </w:footnote>
  <w:footnote w:id="361">
    <w:p w14:paraId="6138F487" w14:textId="1D3D74C7" w:rsidR="00163B2A" w:rsidRDefault="00163B2A">
      <w:pPr>
        <w:pStyle w:val="FootnoteText"/>
      </w:pPr>
      <w:r>
        <w:rPr>
          <w:rStyle w:val="FootnoteReference"/>
        </w:rPr>
        <w:footnoteRef/>
      </w:r>
      <w:r>
        <w:rPr>
          <w:rtl/>
        </w:rPr>
        <w:t xml:space="preserve"> </w:t>
      </w:r>
      <w:r>
        <w:rPr>
          <w:rFonts w:hint="cs"/>
          <w:rtl/>
        </w:rPr>
        <w:t xml:space="preserve">הרכבת הצורה בחומר. צורת היסודות מורכבת בהיולי להיות העצם שהוא היסוד, </w:t>
      </w:r>
      <w:r w:rsidR="007A4122">
        <w:rPr>
          <w:rFonts w:hint="cs"/>
          <w:rtl/>
        </w:rPr>
        <w:t xml:space="preserve">שהוא עצם מורכב מחומר וצורה, </w:t>
      </w:r>
      <w:r>
        <w:rPr>
          <w:rFonts w:hint="cs"/>
          <w:rtl/>
        </w:rPr>
        <w:t>ו</w:t>
      </w:r>
      <w:r w:rsidR="007A4122">
        <w:rPr>
          <w:rFonts w:hint="cs"/>
          <w:rtl/>
        </w:rPr>
        <w:t>כל שכן בעצמים שהחומר שלהם מורכב מכל ארבעת היסודות</w:t>
      </w:r>
      <w:r w:rsidR="00E62417">
        <w:rPr>
          <w:rFonts w:hint="cs"/>
          <w:rtl/>
        </w:rPr>
        <w:t xml:space="preserve">, שצורתם היא הרכבה בחומר שלהם. </w:t>
      </w:r>
    </w:p>
  </w:footnote>
  <w:footnote w:id="362">
    <w:p w14:paraId="379EB733" w14:textId="37CD7BAB" w:rsidR="00BB222A" w:rsidRDefault="00BB222A">
      <w:pPr>
        <w:pStyle w:val="FootnoteText"/>
        <w:rPr>
          <w:rtl/>
        </w:rPr>
      </w:pPr>
      <w:r>
        <w:rPr>
          <w:rStyle w:val="FootnoteReference"/>
        </w:rPr>
        <w:footnoteRef/>
      </w:r>
      <w:r>
        <w:rPr>
          <w:rtl/>
        </w:rPr>
        <w:t xml:space="preserve"> </w:t>
      </w:r>
      <w:r>
        <w:rPr>
          <w:rFonts w:hint="cs"/>
          <w:rtl/>
        </w:rPr>
        <w:t xml:space="preserve">כמו שכתב לעיל 1.3.8 שההעדר קיים לא מצד עצמו אלא מציאותו מקרית. </w:t>
      </w:r>
    </w:p>
    <w:p w14:paraId="26E857FD" w14:textId="4D69A8F2" w:rsidR="00EA36D2" w:rsidRDefault="00EA36D2">
      <w:pPr>
        <w:pStyle w:val="FootnoteText"/>
        <w:rPr>
          <w:rtl/>
        </w:rPr>
      </w:pPr>
      <w:r>
        <w:rPr>
          <w:rFonts w:hint="cs"/>
          <w:rtl/>
        </w:rPr>
        <w:t>מקגיניס תרגם כאן אחרת וכתב:</w:t>
      </w:r>
    </w:p>
    <w:p w14:paraId="3AC47A71" w14:textId="15C637A7" w:rsidR="00EA36D2" w:rsidRDefault="00EA36D2" w:rsidP="008D0380">
      <w:pPr>
        <w:pStyle w:val="FootnoteText"/>
        <w:bidi w:val="0"/>
        <w:rPr>
          <w:rtl/>
        </w:rPr>
      </w:pPr>
      <w:r>
        <w:rPr>
          <w:rFonts w:hint="cs"/>
          <w:rtl/>
        </w:rPr>
        <w:t>"</w:t>
      </w:r>
      <w:r>
        <w:t>Everything of which privation is predicated is the nonexistence of some</w:t>
      </w:r>
      <w:r>
        <w:rPr>
          <w:rtl/>
        </w:rPr>
        <w:t xml:space="preserve"> </w:t>
      </w:r>
      <w:r>
        <w:t>instance of what we have called  form in that which is capable of acquiring</w:t>
      </w:r>
      <w:r>
        <w:rPr>
          <w:rtl/>
        </w:rPr>
        <w:t xml:space="preserve"> </w:t>
      </w:r>
      <w:r>
        <w:t>it [that is, in the material]</w:t>
      </w:r>
      <w:r>
        <w:rPr>
          <w:rtl/>
        </w:rPr>
        <w:t>.</w:t>
      </w:r>
      <w:r>
        <w:rPr>
          <w:rFonts w:hint="cs"/>
          <w:rtl/>
        </w:rPr>
        <w:t>"</w:t>
      </w:r>
    </w:p>
    <w:p w14:paraId="09A1FDFD" w14:textId="35A752E7" w:rsidR="008D0380" w:rsidRDefault="00E474ED" w:rsidP="00F62F53">
      <w:pPr>
        <w:pStyle w:val="FootnoteText"/>
        <w:rPr>
          <w:rtl/>
        </w:rPr>
      </w:pPr>
      <w:r>
        <w:rPr>
          <w:rFonts w:hint="cs"/>
          <w:rtl/>
        </w:rPr>
        <w:t>מבחינת התוכן הדברים נכונים והתבארו גם כן שם</w:t>
      </w:r>
      <w:r w:rsidR="00F62F53">
        <w:rPr>
          <w:rFonts w:hint="cs"/>
          <w:rtl/>
        </w:rPr>
        <w:t>, השאלה רק על הקריאה של הטקסט</w:t>
      </w:r>
      <w:r>
        <w:rPr>
          <w:rFonts w:hint="cs"/>
          <w:rtl/>
        </w:rPr>
        <w:t xml:space="preserve">. </w:t>
      </w:r>
    </w:p>
  </w:footnote>
  <w:footnote w:id="363">
    <w:p w14:paraId="1419D5D5" w14:textId="7F84E7E1" w:rsidR="00CA03E3" w:rsidRDefault="00CA03E3">
      <w:pPr>
        <w:pStyle w:val="FootnoteText"/>
      </w:pPr>
      <w:r>
        <w:rPr>
          <w:rStyle w:val="FootnoteReference"/>
        </w:rPr>
        <w:footnoteRef/>
      </w:r>
      <w:r>
        <w:rPr>
          <w:rtl/>
        </w:rPr>
        <w:t xml:space="preserve"> </w:t>
      </w:r>
      <w:r w:rsidR="00C420F5" w:rsidRPr="00950366">
        <w:rPr>
          <w:rFonts w:ascii="Arial" w:hAnsi="Arial" w:cs="Arial" w:hint="cs"/>
          <w:rtl/>
          <w:lang w:bidi="ar-SA"/>
        </w:rPr>
        <w:t>مصروف</w:t>
      </w:r>
      <w:r w:rsidR="00B4799B" w:rsidRPr="00950366">
        <w:rPr>
          <w:rtl/>
        </w:rPr>
        <w:t xml:space="preserve">. תרגמתי לפי הקוראן סורה חוד 8. </w:t>
      </w:r>
      <w:r w:rsidR="00B4799B">
        <w:rPr>
          <w:rFonts w:cs="Times New Roman" w:hint="cs"/>
          <w:rtl/>
        </w:rPr>
        <w:t xml:space="preserve"> </w:t>
      </w:r>
    </w:p>
  </w:footnote>
  <w:footnote w:id="364">
    <w:p w14:paraId="5D1C36BA" w14:textId="51F4E9A1" w:rsidR="00C30416" w:rsidRDefault="00C30416">
      <w:pPr>
        <w:pStyle w:val="FootnoteText"/>
      </w:pPr>
      <w:r>
        <w:rPr>
          <w:rStyle w:val="FootnoteReference"/>
        </w:rPr>
        <w:footnoteRef/>
      </w:r>
      <w:r>
        <w:rPr>
          <w:rtl/>
        </w:rPr>
        <w:t xml:space="preserve"> </w:t>
      </w:r>
      <w:r w:rsidR="000E560F">
        <w:rPr>
          <w:rFonts w:hint="cs"/>
          <w:rtl/>
        </w:rPr>
        <w:t>ההתהוות</w:t>
      </w:r>
      <w:r w:rsidR="00534BE0">
        <w:rPr>
          <w:rtl/>
        </w:rPr>
        <w:fldChar w:fldCharType="begin"/>
      </w:r>
      <w:r w:rsidR="00534BE0">
        <w:instrText xml:space="preserve"> XE "</w:instrText>
      </w:r>
      <w:r w:rsidR="00534BE0" w:rsidRPr="00BF59C4">
        <w:rPr>
          <w:rFonts w:hint="cs"/>
          <w:rtl/>
        </w:rPr>
        <w:instrText>צורה - מבחינת היותה מרכיב סביל של השינוי</w:instrText>
      </w:r>
      <w:r w:rsidR="00534BE0">
        <w:instrText xml:space="preserve">" </w:instrText>
      </w:r>
      <w:r w:rsidR="00534BE0">
        <w:rPr>
          <w:rtl/>
        </w:rPr>
        <w:fldChar w:fldCharType="end"/>
      </w:r>
      <w:r w:rsidR="000E560F">
        <w:rPr>
          <w:rFonts w:hint="cs"/>
          <w:rtl/>
        </w:rPr>
        <w:t xml:space="preserve"> היא השינוי שנעשה על ידי החומר והצורה</w:t>
      </w:r>
      <w:r w:rsidR="00DF33F0">
        <w:rPr>
          <w:rFonts w:hint="cs"/>
          <w:rtl/>
        </w:rPr>
        <w:t xml:space="preserve"> ביחד</w:t>
      </w:r>
      <w:r w:rsidR="000E560F">
        <w:rPr>
          <w:rFonts w:hint="cs"/>
          <w:rtl/>
        </w:rPr>
        <w:t xml:space="preserve">, </w:t>
      </w:r>
      <w:r w:rsidR="00DF33F0">
        <w:rPr>
          <w:rFonts w:hint="cs"/>
          <w:rtl/>
        </w:rPr>
        <w:t>כ</w:t>
      </w:r>
      <w:r w:rsidR="000E560F">
        <w:rPr>
          <w:rFonts w:hint="cs"/>
          <w:rtl/>
        </w:rPr>
        <w:t xml:space="preserve">שהצורה נפרדת מחומר </w:t>
      </w:r>
      <w:r w:rsidR="009C463A">
        <w:rPr>
          <w:rFonts w:hint="cs"/>
          <w:rtl/>
        </w:rPr>
        <w:t>מסוים</w:t>
      </w:r>
      <w:r w:rsidR="000E560F">
        <w:rPr>
          <w:rFonts w:hint="cs"/>
          <w:rtl/>
        </w:rPr>
        <w:t xml:space="preserve"> ועוברת לחומר אחר</w:t>
      </w:r>
      <w:r w:rsidR="00163A8E">
        <w:rPr>
          <w:rFonts w:hint="cs"/>
          <w:rtl/>
        </w:rPr>
        <w:t>.</w:t>
      </w:r>
      <w:r w:rsidR="000E560F">
        <w:rPr>
          <w:rFonts w:hint="cs"/>
          <w:rtl/>
        </w:rPr>
        <w:t xml:space="preserve"> </w:t>
      </w:r>
      <w:r w:rsidR="00DF33F0">
        <w:rPr>
          <w:rFonts w:hint="cs"/>
          <w:rtl/>
        </w:rPr>
        <w:t xml:space="preserve">כאן מדובר לא על הצורה ככח פעיל שיש בו חיים והוא </w:t>
      </w:r>
      <w:r w:rsidR="00163A8E">
        <w:rPr>
          <w:rFonts w:hint="cs"/>
          <w:rtl/>
        </w:rPr>
        <w:t>קובע מהות ו</w:t>
      </w:r>
      <w:r w:rsidR="00DF33F0">
        <w:rPr>
          <w:rFonts w:hint="cs"/>
          <w:rtl/>
        </w:rPr>
        <w:t>מניע שינוי, אלא כ</w:t>
      </w:r>
      <w:r w:rsidR="000E4409">
        <w:rPr>
          <w:rFonts w:hint="cs"/>
          <w:rtl/>
        </w:rPr>
        <w:t>דבר</w:t>
      </w:r>
      <w:r w:rsidR="00DF33F0">
        <w:rPr>
          <w:rFonts w:hint="cs"/>
          <w:rtl/>
        </w:rPr>
        <w:t xml:space="preserve"> שהוא באופן סביל משתתף ב</w:t>
      </w:r>
      <w:r w:rsidR="00163A8E">
        <w:rPr>
          <w:rFonts w:hint="cs"/>
          <w:rtl/>
        </w:rPr>
        <w:t>תהליך השינוי</w:t>
      </w:r>
      <w:r w:rsidR="009F4073">
        <w:rPr>
          <w:rFonts w:hint="cs"/>
          <w:rtl/>
        </w:rPr>
        <w:t xml:space="preserve">, שהוא </w:t>
      </w:r>
      <w:r w:rsidR="00B941A3">
        <w:rPr>
          <w:rFonts w:hint="cs"/>
          <w:rtl/>
        </w:rPr>
        <w:t xml:space="preserve">שינוי </w:t>
      </w:r>
      <w:r w:rsidR="009F4073">
        <w:rPr>
          <w:rFonts w:hint="cs"/>
          <w:rtl/>
        </w:rPr>
        <w:t>שקורה כולו רק בחיבור הצורה והחומר (ולא בחומר עצמו ולא</w:t>
      </w:r>
      <w:r w:rsidR="00BB02CA">
        <w:rPr>
          <w:rFonts w:hint="cs"/>
          <w:rtl/>
        </w:rPr>
        <w:t xml:space="preserve"> </w:t>
      </w:r>
      <w:r w:rsidR="009F4073">
        <w:rPr>
          <w:rFonts w:hint="cs"/>
          <w:rtl/>
        </w:rPr>
        <w:t>בצורה בעצמה</w:t>
      </w:r>
      <w:r w:rsidR="00BB02CA">
        <w:rPr>
          <w:rFonts w:hint="cs"/>
          <w:rtl/>
        </w:rPr>
        <w:t>)</w:t>
      </w:r>
      <w:r w:rsidR="00B941A3">
        <w:rPr>
          <w:rFonts w:hint="cs"/>
          <w:rtl/>
        </w:rPr>
        <w:t xml:space="preserve">, </w:t>
      </w:r>
      <w:r w:rsidR="000E4409">
        <w:rPr>
          <w:rFonts w:hint="cs"/>
          <w:rtl/>
        </w:rPr>
        <w:t xml:space="preserve">ואין כאן דיון מה </w:t>
      </w:r>
      <w:r w:rsidR="000E4409">
        <w:rPr>
          <w:rFonts w:hint="cs"/>
          <w:rtl/>
        </w:rPr>
        <w:t>הכח הפעיל שמניע את השינוי הזה.</w:t>
      </w:r>
      <w:r w:rsidR="002F43B7">
        <w:rPr>
          <w:rFonts w:hint="cs"/>
          <w:rtl/>
        </w:rPr>
        <w:t xml:space="preserve"> עיין לעיל בהערה על סעיף 1.3.9</w:t>
      </w:r>
      <w:r w:rsidR="0034426D">
        <w:rPr>
          <w:rFonts w:hint="cs"/>
          <w:rtl/>
        </w:rPr>
        <w:t xml:space="preserve"> (שם הפניתי לכאן), שם התבאר באורך החילוק בין צורה כהתחלת תנועה, </w:t>
      </w:r>
      <w:r w:rsidR="002A0DAB">
        <w:rPr>
          <w:rFonts w:hint="cs"/>
          <w:rtl/>
        </w:rPr>
        <w:t>כאחת משלושת ההתחלות שבמטאפיזיקה למבדא סוף פרק ב' (צורה</w:t>
      </w:r>
      <w:r w:rsidR="003E5277">
        <w:rPr>
          <w:rFonts w:hint="cs"/>
          <w:rtl/>
        </w:rPr>
        <w:t xml:space="preserve">, </w:t>
      </w:r>
      <w:r w:rsidR="002A0DAB">
        <w:rPr>
          <w:rFonts w:hint="cs"/>
          <w:rtl/>
        </w:rPr>
        <w:t xml:space="preserve">חומר והעדר מיוחד), </w:t>
      </w:r>
      <w:r w:rsidR="00AD2FB2">
        <w:rPr>
          <w:rFonts w:hint="cs"/>
          <w:rtl/>
        </w:rPr>
        <w:t xml:space="preserve">ובין המובן הרגיל של צורה כסיבת הוויית העצם לפי ארבעת הסיבות לעצם שהתבארו בפיזיקה ספר ב' פרק ג'. </w:t>
      </w:r>
      <w:r w:rsidR="007702EE">
        <w:rPr>
          <w:rFonts w:hint="cs"/>
          <w:rtl/>
        </w:rPr>
        <w:t xml:space="preserve">כאן מדובר על הצורה כאחת משלושת ההתחלות שיוצרות את התנועה, ולא ככח פעיל של חיי העצם ומניע לתנועה. </w:t>
      </w:r>
      <w:r w:rsidR="002A0DAB">
        <w:rPr>
          <w:rFonts w:hint="cs"/>
          <w:rtl/>
        </w:rPr>
        <w:t xml:space="preserve"> </w:t>
      </w:r>
      <w:r w:rsidR="0034426D">
        <w:rPr>
          <w:rFonts w:hint="cs"/>
          <w:rtl/>
        </w:rPr>
        <w:t xml:space="preserve"> </w:t>
      </w:r>
      <w:r w:rsidR="000E4409">
        <w:rPr>
          <w:rFonts w:hint="cs"/>
          <w:rtl/>
        </w:rPr>
        <w:t xml:space="preserve"> </w:t>
      </w:r>
    </w:p>
  </w:footnote>
  <w:footnote w:id="365">
    <w:p w14:paraId="03C74711" w14:textId="2431C92A" w:rsidR="00B809CD" w:rsidRDefault="00B809CD">
      <w:pPr>
        <w:pStyle w:val="FootnoteText"/>
      </w:pPr>
      <w:r>
        <w:rPr>
          <w:rStyle w:val="FootnoteReference"/>
        </w:rPr>
        <w:footnoteRef/>
      </w:r>
      <w:r>
        <w:rPr>
          <w:rtl/>
        </w:rPr>
        <w:t xml:space="preserve"> </w:t>
      </w:r>
      <w:r>
        <w:rPr>
          <w:rFonts w:hint="cs"/>
          <w:rtl/>
        </w:rPr>
        <w:t>משתי הדרכים שהתבארו לעיל 1.2.8</w:t>
      </w:r>
      <w:r w:rsidR="008E43EE">
        <w:rPr>
          <w:rFonts w:hint="cs"/>
          <w:rtl/>
        </w:rPr>
        <w:t>, ועיין שם בהערות</w:t>
      </w:r>
      <w:r w:rsidR="0088689D">
        <w:rPr>
          <w:rFonts w:hint="cs"/>
          <w:rtl/>
        </w:rPr>
        <w:t xml:space="preserve">. </w:t>
      </w:r>
    </w:p>
  </w:footnote>
  <w:footnote w:id="366">
    <w:p w14:paraId="2DAF62D3" w14:textId="77777777" w:rsidR="001B0340" w:rsidRDefault="00A72647">
      <w:pPr>
        <w:pStyle w:val="FootnoteText"/>
        <w:rPr>
          <w:rtl/>
        </w:rPr>
      </w:pPr>
      <w:r>
        <w:rPr>
          <w:rStyle w:val="FootnoteReference"/>
        </w:rPr>
        <w:footnoteRef/>
      </w:r>
      <w:r>
        <w:rPr>
          <w:rtl/>
        </w:rPr>
        <w:t xml:space="preserve"> </w:t>
      </w:r>
      <w:r w:rsidR="00C84A66">
        <w:rPr>
          <w:rFonts w:hint="cs"/>
          <w:rtl/>
        </w:rPr>
        <w:t>הדרך הראשונה שהתבארה לעיל 1.2.8 היא שיש נמצא</w:t>
      </w:r>
      <w:r w:rsidR="00893919">
        <w:rPr>
          <w:rFonts w:hint="cs"/>
          <w:rtl/>
        </w:rPr>
        <w:t xml:space="preserve"> </w:t>
      </w:r>
      <w:r w:rsidR="001E53C6">
        <w:rPr>
          <w:rFonts w:hint="cs"/>
          <w:rtl/>
        </w:rPr>
        <w:t xml:space="preserve">שהוא גוף </w:t>
      </w:r>
      <w:r w:rsidR="00893919">
        <w:rPr>
          <w:rFonts w:hint="cs"/>
          <w:rtl/>
        </w:rPr>
        <w:t xml:space="preserve">חי </w:t>
      </w:r>
      <w:r w:rsidR="00C84A66">
        <w:rPr>
          <w:rFonts w:hint="cs"/>
          <w:rtl/>
        </w:rPr>
        <w:t xml:space="preserve">אחד </w:t>
      </w:r>
      <w:r w:rsidR="00893919">
        <w:rPr>
          <w:rFonts w:hint="cs"/>
          <w:rtl/>
        </w:rPr>
        <w:t>שהוא כל המציאות</w:t>
      </w:r>
      <w:r w:rsidR="001E53C6">
        <w:rPr>
          <w:rFonts w:hint="cs"/>
          <w:rtl/>
        </w:rPr>
        <w:t xml:space="preserve"> כאחד</w:t>
      </w:r>
      <w:r w:rsidR="00893919">
        <w:rPr>
          <w:rFonts w:hint="cs"/>
          <w:rtl/>
        </w:rPr>
        <w:t>, וכל הדברים הפרטיים הם כמו איברים בו</w:t>
      </w:r>
      <w:r w:rsidR="001E53C6">
        <w:rPr>
          <w:rFonts w:hint="cs"/>
          <w:rtl/>
        </w:rPr>
        <w:t xml:space="preserve">, וההתחלה היא בגוף הכללי, והיא משותפת לאיברים כיוון שהם איברים של הגוף הכללי. </w:t>
      </w:r>
      <w:r w:rsidR="001B0340">
        <w:rPr>
          <w:rFonts w:hint="cs"/>
          <w:rtl/>
        </w:rPr>
        <w:t>וכמו שכתב במורה נבוכים א' ע"ב:</w:t>
      </w:r>
    </w:p>
    <w:p w14:paraId="32F97024" w14:textId="77777777" w:rsidR="00AC28C8" w:rsidRDefault="001B0340">
      <w:pPr>
        <w:pStyle w:val="FootnoteText"/>
        <w:rPr>
          <w:rtl/>
        </w:rPr>
      </w:pPr>
      <w:r>
        <w:rPr>
          <w:rFonts w:hint="cs"/>
          <w:rtl/>
        </w:rPr>
        <w:t>"</w:t>
      </w:r>
      <w:r w:rsidR="00AC28C8" w:rsidRPr="00AC28C8">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w:t>
      </w:r>
      <w:r w:rsidR="00AC28C8">
        <w:rPr>
          <w:rFonts w:hint="cs"/>
          <w:rtl/>
        </w:rPr>
        <w:t xml:space="preserve"> [...]</w:t>
      </w:r>
    </w:p>
    <w:p w14:paraId="0FCDC708" w14:textId="77777777" w:rsidR="00987EC0" w:rsidRDefault="00F6534D">
      <w:pPr>
        <w:pStyle w:val="FootnoteText"/>
        <w:rPr>
          <w:rtl/>
        </w:rPr>
      </w:pPr>
      <w:r w:rsidRPr="00F6534D">
        <w:rPr>
          <w:rtl/>
        </w:rPr>
        <w:t xml:space="preserve">הנה כן צריך לך שתצייר כל זה הכדור איש אחד, חי מתנועע בעל נפש, כי זה המין מן הציור הכרחי מאד, כלומר מועיל מאד במופת על היות </w:t>
      </w:r>
      <w:r w:rsidRPr="00F6534D">
        <w:rPr>
          <w:rtl/>
        </w:rPr>
        <w:t>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 כן אי אפשר שימצאו חלקי העולם קצתם מבלתי קצתם בזה המציאות המיושב אשר דברינו בו, עד שימצא אש מבלתי ארץ, או ארץ מבלתי שמים, או שמים מבלתי ארץ.</w:t>
      </w:r>
      <w:r w:rsidR="001B0340">
        <w:rPr>
          <w:rFonts w:hint="cs"/>
          <w:rtl/>
        </w:rPr>
        <w:t>"</w:t>
      </w:r>
      <w:r w:rsidR="00A90844">
        <w:rPr>
          <w:rFonts w:hint="cs"/>
          <w:rtl/>
        </w:rPr>
        <w:t xml:space="preserve"> </w:t>
      </w:r>
      <w:r w:rsidR="00E500B6">
        <w:rPr>
          <w:rFonts w:hint="cs"/>
          <w:rtl/>
        </w:rPr>
        <w:t>ועיין גם מורה נבוכים ב' תחילת פרק כ"ב</w:t>
      </w:r>
      <w:r w:rsidR="000C23B2">
        <w:rPr>
          <w:rFonts w:hint="cs"/>
          <w:rtl/>
        </w:rPr>
        <w:t>, וזה מבואר בטימיאוס מאת אפלטון</w:t>
      </w:r>
      <w:r w:rsidR="00E500B6">
        <w:rPr>
          <w:rFonts w:hint="cs"/>
          <w:rtl/>
        </w:rPr>
        <w:t>.</w:t>
      </w:r>
    </w:p>
    <w:p w14:paraId="7E483688" w14:textId="07C6CA58" w:rsidR="001142F0" w:rsidRDefault="004C5DC7">
      <w:pPr>
        <w:pStyle w:val="FootnoteText"/>
        <w:rPr>
          <w:rtl/>
        </w:rPr>
      </w:pPr>
      <w:r>
        <w:rPr>
          <w:rFonts w:hint="cs"/>
          <w:rtl/>
        </w:rPr>
        <w:t>ההתבוננות הזו שהכל ה</w:t>
      </w:r>
      <w:r w:rsidR="001142F0">
        <w:rPr>
          <w:rFonts w:hint="cs"/>
          <w:rtl/>
        </w:rPr>
        <w:t>ו</w:t>
      </w:r>
      <w:r>
        <w:rPr>
          <w:rFonts w:hint="cs"/>
          <w:rtl/>
        </w:rPr>
        <w:t>א גוף אחד שייכת לתיאולוגיה או בשמ</w:t>
      </w:r>
      <w:r w:rsidR="00D13177">
        <w:rPr>
          <w:rFonts w:hint="cs"/>
          <w:rtl/>
        </w:rPr>
        <w:t>ה</w:t>
      </w:r>
      <w:r>
        <w:rPr>
          <w:rFonts w:hint="cs"/>
          <w:rtl/>
        </w:rPr>
        <w:t xml:space="preserve"> המאוחר מטאפיזיקה, ולא לחכמת הטבע</w:t>
      </w:r>
      <w:r w:rsidR="00D73B54">
        <w:rPr>
          <w:rFonts w:hint="cs"/>
          <w:rtl/>
        </w:rPr>
        <w:t>, וזו הדרך הראשונה, היא הפילוסופיה הראשונה שהיא המטאפיזיקה</w:t>
      </w:r>
      <w:r>
        <w:rPr>
          <w:rFonts w:hint="cs"/>
          <w:rtl/>
        </w:rPr>
        <w:t>. בחכמת הטבע</w:t>
      </w:r>
      <w:r w:rsidR="00D73B54">
        <w:rPr>
          <w:rFonts w:hint="cs"/>
          <w:rtl/>
        </w:rPr>
        <w:t xml:space="preserve"> שהיא הפילוסופיה השנייה (מעשה בראשית ולא מעשה מרכבה)</w:t>
      </w:r>
      <w:r>
        <w:rPr>
          <w:rFonts w:hint="cs"/>
          <w:rtl/>
        </w:rPr>
        <w:t xml:space="preserve"> מסתכלים על העצמים הפרטיים, ובכל אחד מהם </w:t>
      </w:r>
      <w:r w:rsidR="00692C23">
        <w:rPr>
          <w:rFonts w:hint="cs"/>
          <w:rtl/>
        </w:rPr>
        <w:t xml:space="preserve">מוצאים עניין </w:t>
      </w:r>
      <w:r w:rsidR="001142F0">
        <w:rPr>
          <w:rFonts w:hint="cs"/>
          <w:rtl/>
        </w:rPr>
        <w:t xml:space="preserve">עצמי לו </w:t>
      </w:r>
      <w:r w:rsidR="00692C23">
        <w:rPr>
          <w:rFonts w:hint="cs"/>
          <w:rtl/>
        </w:rPr>
        <w:t xml:space="preserve">שהוא מאותו סוג של עניין דומה </w:t>
      </w:r>
      <w:r w:rsidR="001142F0">
        <w:rPr>
          <w:rFonts w:hint="cs"/>
          <w:rtl/>
        </w:rPr>
        <w:t xml:space="preserve">שנמצא </w:t>
      </w:r>
      <w:r w:rsidR="00692C23">
        <w:rPr>
          <w:rFonts w:hint="cs"/>
          <w:rtl/>
        </w:rPr>
        <w:t>בעצמים האחרים</w:t>
      </w:r>
      <w:r w:rsidR="001142F0">
        <w:rPr>
          <w:rFonts w:hint="cs"/>
          <w:rtl/>
        </w:rPr>
        <w:t>,</w:t>
      </w:r>
      <w:r w:rsidR="00692C23">
        <w:rPr>
          <w:rFonts w:hint="cs"/>
          <w:rtl/>
        </w:rPr>
        <w:t xml:space="preserve"> ומזה רואים את המאחד אותם.</w:t>
      </w:r>
    </w:p>
    <w:p w14:paraId="43AE43C0" w14:textId="2735A8E6" w:rsidR="00F34548" w:rsidRDefault="001142F0" w:rsidP="00F34548">
      <w:pPr>
        <w:pStyle w:val="FootnoteText"/>
      </w:pPr>
      <w:r>
        <w:rPr>
          <w:rFonts w:hint="cs"/>
          <w:rtl/>
        </w:rPr>
        <w:t xml:space="preserve">הגוף האחד הכללי השלם הוא נצחי, </w:t>
      </w:r>
      <w:r w:rsidR="000B7F12">
        <w:rPr>
          <w:rFonts w:hint="cs"/>
          <w:rtl/>
        </w:rPr>
        <w:t xml:space="preserve">בו עצמו </w:t>
      </w:r>
      <w:r>
        <w:rPr>
          <w:rFonts w:hint="cs"/>
          <w:rtl/>
        </w:rPr>
        <w:t>אין</w:t>
      </w:r>
      <w:r w:rsidR="000B7F12">
        <w:rPr>
          <w:rFonts w:hint="cs"/>
          <w:rtl/>
        </w:rPr>
        <w:t xml:space="preserve"> </w:t>
      </w:r>
      <w:r>
        <w:rPr>
          <w:rFonts w:hint="cs"/>
          <w:rtl/>
        </w:rPr>
        <w:t>שינוי</w:t>
      </w:r>
      <w:r w:rsidR="000B7F12">
        <w:rPr>
          <w:rFonts w:hint="cs"/>
          <w:rtl/>
        </w:rPr>
        <w:t xml:space="preserve">, השינוי הוא רק באיבריו, העצמים הפרטיים שתחת </w:t>
      </w:r>
      <w:r w:rsidR="009C463A">
        <w:rPr>
          <w:rFonts w:hint="cs"/>
          <w:rtl/>
        </w:rPr>
        <w:t>ההוויה</w:t>
      </w:r>
      <w:r w:rsidR="000B7F12">
        <w:rPr>
          <w:rFonts w:hint="cs"/>
          <w:rtl/>
        </w:rPr>
        <w:t xml:space="preserve"> וההפסד</w:t>
      </w:r>
      <w:r>
        <w:rPr>
          <w:rFonts w:hint="cs"/>
          <w:rtl/>
        </w:rPr>
        <w:t xml:space="preserve">. </w:t>
      </w:r>
      <w:r w:rsidR="003F283B">
        <w:rPr>
          <w:rFonts w:hint="cs"/>
          <w:rtl/>
        </w:rPr>
        <w:t>השינוי בהם הוא תנועת התלבשות הצורה ממקום אחד בחומר הראשון למקום אחר (מה שיש מקומות בחומר הראשון הוא צורת התלת ממדיות שהיא חלק מההיולי עצמו ולא צורה נפרדת שמ</w:t>
      </w:r>
      <w:r w:rsidR="00A4724C">
        <w:rPr>
          <w:rFonts w:hint="cs"/>
          <w:rtl/>
        </w:rPr>
        <w:t>ת</w:t>
      </w:r>
      <w:r w:rsidR="003F283B">
        <w:rPr>
          <w:rFonts w:hint="cs"/>
          <w:rtl/>
        </w:rPr>
        <w:t>לבשת בו</w:t>
      </w:r>
      <w:r w:rsidR="00A4724C">
        <w:rPr>
          <w:rFonts w:hint="cs"/>
          <w:rtl/>
        </w:rPr>
        <w:t>, וכמו שהתבאר כל זה באריכות לעיל בכמה מקומות)</w:t>
      </w:r>
      <w:r w:rsidR="003F283B">
        <w:rPr>
          <w:rFonts w:hint="cs"/>
          <w:rtl/>
        </w:rPr>
        <w:t xml:space="preserve">, והגוף האחד הוא ההיולי הכללי </w:t>
      </w:r>
      <w:r w:rsidR="00F00021">
        <w:rPr>
          <w:rFonts w:hint="cs"/>
          <w:rtl/>
        </w:rPr>
        <w:t xml:space="preserve"> - </w:t>
      </w:r>
      <w:r w:rsidR="003F283B">
        <w:rPr>
          <w:rFonts w:hint="cs"/>
          <w:rtl/>
        </w:rPr>
        <w:t xml:space="preserve">השינוי בצורות </w:t>
      </w:r>
      <w:r w:rsidR="00D57B4A">
        <w:rPr>
          <w:rFonts w:hint="cs"/>
          <w:rtl/>
        </w:rPr>
        <w:t>המסוימות</w:t>
      </w:r>
      <w:r w:rsidR="003F283B">
        <w:rPr>
          <w:rFonts w:hint="cs"/>
          <w:rtl/>
        </w:rPr>
        <w:t xml:space="preserve"> אינו שינוי בו עצמו. </w:t>
      </w:r>
      <w:r w:rsidR="000B7F12">
        <w:rPr>
          <w:rFonts w:hint="cs"/>
          <w:rtl/>
        </w:rPr>
        <w:t>התחלות השינוי שהן צורה חומר והעדר מיוחד</w:t>
      </w:r>
      <w:r w:rsidR="00F00021">
        <w:rPr>
          <w:rFonts w:hint="cs"/>
          <w:rtl/>
        </w:rPr>
        <w:t xml:space="preserve"> שייכות רק בעצמים הפרטיים</w:t>
      </w:r>
      <w:r w:rsidR="0090229A">
        <w:rPr>
          <w:rFonts w:hint="cs"/>
          <w:rtl/>
        </w:rPr>
        <w:t xml:space="preserve">, </w:t>
      </w:r>
      <w:r w:rsidR="005E7D3D">
        <w:rPr>
          <w:rFonts w:hint="cs"/>
          <w:rtl/>
        </w:rPr>
        <w:t xml:space="preserve">כי רק הם משתנים, </w:t>
      </w:r>
      <w:r w:rsidR="0090229A">
        <w:rPr>
          <w:rFonts w:hint="cs"/>
          <w:rtl/>
        </w:rPr>
        <w:t>ולכן אבן סינא כא</w:t>
      </w:r>
      <w:r w:rsidR="00D57B4A">
        <w:rPr>
          <w:rFonts w:hint="cs"/>
          <w:rtl/>
        </w:rPr>
        <w:t>ן</w:t>
      </w:r>
      <w:r w:rsidR="0090229A">
        <w:rPr>
          <w:rFonts w:hint="cs"/>
          <w:rtl/>
        </w:rPr>
        <w:t xml:space="preserve"> מבאר שהדיון כאן הוא רק לפני הדרך השנייה</w:t>
      </w:r>
      <w:r w:rsidR="00F00021">
        <w:rPr>
          <w:rFonts w:hint="cs"/>
          <w:rtl/>
        </w:rPr>
        <w:t>.</w:t>
      </w:r>
    </w:p>
    <w:p w14:paraId="733F9CBD" w14:textId="55EA8963" w:rsidR="001C54E7" w:rsidRDefault="0091227F" w:rsidP="001C54E7">
      <w:pPr>
        <w:pStyle w:val="FootnoteText"/>
        <w:rPr>
          <w:rtl/>
        </w:rPr>
      </w:pPr>
      <w:r>
        <w:rPr>
          <w:rFonts w:hint="cs"/>
          <w:rtl/>
        </w:rPr>
        <w:t>ועי' פיזיקה ספר א' פרק ב' (</w:t>
      </w:r>
      <w:r w:rsidR="001C54E7">
        <w:rPr>
          <w:rFonts w:hint="cs"/>
          <w:rtl/>
        </w:rPr>
        <w:t>תרגום יהודה לנדא</w:t>
      </w:r>
      <w:r>
        <w:rPr>
          <w:rFonts w:hint="cs"/>
          <w:rtl/>
        </w:rPr>
        <w:t>)</w:t>
      </w:r>
      <w:r w:rsidR="001C54E7">
        <w:rPr>
          <w:rFonts w:hint="cs"/>
          <w:rtl/>
        </w:rPr>
        <w:t>:</w:t>
      </w:r>
    </w:p>
    <w:p w14:paraId="662AF5BA" w14:textId="05DCCFCB" w:rsidR="001C54E7" w:rsidRPr="005206BA" w:rsidRDefault="001C54E7" w:rsidP="001C54E7">
      <w:pPr>
        <w:pStyle w:val="FootnoteText"/>
        <w:rPr>
          <w:rtl/>
        </w:rPr>
      </w:pPr>
      <w:r>
        <w:rPr>
          <w:rFonts w:hint="cs"/>
          <w:rtl/>
        </w:rPr>
        <w:t>"</w:t>
      </w:r>
      <w:r w:rsidRPr="001C54E7">
        <w:rPr>
          <w:rtl/>
        </w:rPr>
        <w:t>להתבונן אם היש אחד ולא נע אינו התבוננות בטבע. כי כשם שהגאומטריקון אינו מתדיין עוד עִם מי ששולל את ההתחלות [של הגאומטריה], אלא עניין הוא או למדע אחר או למדע משותף לכולם, הוא הדין לגבי המתבונן בהתחלות [של הטבע</w:t>
      </w:r>
      <w:r w:rsidR="0046702C">
        <w:rPr>
          <w:rFonts w:hint="cs"/>
          <w:rtl/>
        </w:rPr>
        <w:t>]</w:t>
      </w:r>
      <w:r w:rsidRPr="001C54E7">
        <w:rPr>
          <w:rtl/>
        </w:rPr>
        <w:t xml:space="preserve">, שהרי אין התחלה, אם רק אחד קיים ואחד באופן זה, כי התחלה היא </w:t>
      </w:r>
      <w:r w:rsidRPr="001C54E7">
        <w:rPr>
          <w:rtl/>
        </w:rPr>
        <w:br w:type="page"/>
      </w:r>
      <w:r w:rsidR="00100186">
        <w:rPr>
          <w:rFonts w:hint="cs"/>
          <w:rtl/>
        </w:rPr>
        <w:t>[</w:t>
      </w:r>
      <w:r w:rsidRPr="001C54E7">
        <w:rPr>
          <w:rtl/>
        </w:rPr>
        <w:t>התחלה] או של דבר אחד כלשהו או של דברים אחדים כלשהם.</w:t>
      </w:r>
      <w:r>
        <w:rPr>
          <w:rFonts w:hint="cs"/>
          <w:rtl/>
        </w:rPr>
        <w:t>"</w:t>
      </w:r>
    </w:p>
  </w:footnote>
  <w:footnote w:id="367">
    <w:p w14:paraId="7F85BD12" w14:textId="1462010D" w:rsidR="00F33702" w:rsidRDefault="00A22631">
      <w:pPr>
        <w:pStyle w:val="FootnoteText"/>
        <w:rPr>
          <w:rtl/>
        </w:rPr>
      </w:pPr>
      <w:r>
        <w:rPr>
          <w:rStyle w:val="FootnoteReference"/>
        </w:rPr>
        <w:footnoteRef/>
      </w:r>
      <w:r>
        <w:rPr>
          <w:rtl/>
        </w:rPr>
        <w:t xml:space="preserve"> </w:t>
      </w:r>
      <w:r w:rsidR="00F0004A" w:rsidRPr="00F0004A">
        <w:rPr>
          <w:rFonts w:cs="Times New Roman" w:hint="eastAsia"/>
          <w:rtl/>
          <w:lang w:bidi="ar-SA"/>
        </w:rPr>
        <w:t>أي</w:t>
      </w:r>
      <w:r w:rsidR="00F0004A" w:rsidRPr="00F0004A">
        <w:rPr>
          <w:rFonts w:cs="Times New Roman"/>
          <w:rtl/>
          <w:lang w:bidi="ar-SA"/>
        </w:rPr>
        <w:t xml:space="preserve"> </w:t>
      </w:r>
      <w:r w:rsidR="00F0004A" w:rsidRPr="00F0004A">
        <w:rPr>
          <w:rFonts w:cs="Times New Roman" w:hint="eastAsia"/>
          <w:rtl/>
          <w:lang w:bidi="ar-SA"/>
        </w:rPr>
        <w:t>المقومة</w:t>
      </w:r>
      <w:r w:rsidR="00F0004A" w:rsidRPr="00F0004A">
        <w:rPr>
          <w:rFonts w:cs="Times New Roman"/>
          <w:rtl/>
          <w:lang w:bidi="ar-SA"/>
        </w:rPr>
        <w:t xml:space="preserve"> </w:t>
      </w:r>
      <w:r w:rsidR="00F0004A" w:rsidRPr="00F0004A">
        <w:rPr>
          <w:rFonts w:cs="Times New Roman" w:hint="eastAsia"/>
          <w:rtl/>
          <w:lang w:bidi="ar-SA"/>
        </w:rPr>
        <w:t>للكائن</w:t>
      </w:r>
      <w:r w:rsidR="00F0004A">
        <w:rPr>
          <w:rFonts w:cs="Times New Roman" w:hint="cs"/>
          <w:rtl/>
        </w:rPr>
        <w:t>.</w:t>
      </w:r>
      <w:r w:rsidR="007E62EE">
        <w:rPr>
          <w:rFonts w:hint="cs"/>
          <w:rtl/>
        </w:rPr>
        <w:t xml:space="preserve"> מקגיניס תרגם כאן:</w:t>
      </w:r>
    </w:p>
    <w:p w14:paraId="48CDCAE7" w14:textId="592BD308" w:rsidR="00A22631" w:rsidRDefault="007E62EE">
      <w:pPr>
        <w:pStyle w:val="FootnoteText"/>
        <w:rPr>
          <w:rtl/>
        </w:rPr>
      </w:pPr>
      <w:r>
        <w:rPr>
          <w:rFonts w:hint="cs"/>
          <w:rtl/>
        </w:rPr>
        <w:t>"</w:t>
      </w:r>
      <w:r w:rsidR="00F33702" w:rsidRPr="00F33702">
        <w:t>constitutive of what is subject to generation</w:t>
      </w:r>
      <w:r>
        <w:rPr>
          <w:rFonts w:hint="cs"/>
          <w:rtl/>
        </w:rPr>
        <w:t>"</w:t>
      </w:r>
    </w:p>
    <w:p w14:paraId="37FC7EB7" w14:textId="4CAF24E1" w:rsidR="002D646D" w:rsidRDefault="002D646D">
      <w:pPr>
        <w:pStyle w:val="FootnoteText"/>
      </w:pPr>
      <w:r>
        <w:rPr>
          <w:rFonts w:hint="cs"/>
          <w:rtl/>
        </w:rPr>
        <w:t>תרגמתי בעקבותיו כי זה</w:t>
      </w:r>
      <w:r w:rsidR="00AA1D9F">
        <w:rPr>
          <w:rFonts w:hint="cs"/>
          <w:rtl/>
        </w:rPr>
        <w:t xml:space="preserve"> </w:t>
      </w:r>
      <w:r>
        <w:rPr>
          <w:rFonts w:hint="cs"/>
          <w:rtl/>
        </w:rPr>
        <w:t xml:space="preserve">מתאים לתוכן, </w:t>
      </w:r>
      <w:r w:rsidR="00B04266">
        <w:rPr>
          <w:rFonts w:hint="cs"/>
          <w:rtl/>
        </w:rPr>
        <w:t xml:space="preserve">וסמכתי על ידיעתו העצומה בלשון הערבית, </w:t>
      </w:r>
      <w:r>
        <w:rPr>
          <w:rFonts w:hint="cs"/>
          <w:rtl/>
        </w:rPr>
        <w:t xml:space="preserve">אבל </w:t>
      </w:r>
      <w:r w:rsidR="00AA1D9F">
        <w:rPr>
          <w:rFonts w:hint="cs"/>
          <w:rtl/>
        </w:rPr>
        <w:t>השימוש במילה</w:t>
      </w:r>
      <w:r w:rsidR="00176D66">
        <w:rPr>
          <w:rFonts w:hint="cs"/>
          <w:rtl/>
        </w:rPr>
        <w:t xml:space="preserve"> בכל מקום שמוכר לי</w:t>
      </w:r>
      <w:r w:rsidR="00AA1D9F">
        <w:rPr>
          <w:rFonts w:hint="cs"/>
          <w:rtl/>
        </w:rPr>
        <w:t xml:space="preserve"> תרגומו הוא מכונן להוויה</w:t>
      </w:r>
      <w:r w:rsidR="00823EBB">
        <w:rPr>
          <w:rFonts w:hint="cs"/>
          <w:rtl/>
        </w:rPr>
        <w:t xml:space="preserve"> (</w:t>
      </w:r>
      <w:r w:rsidR="00823EBB">
        <w:t>existence</w:t>
      </w:r>
      <w:r w:rsidR="00823EBB">
        <w:rPr>
          <w:rFonts w:hint="cs"/>
          <w:rtl/>
        </w:rPr>
        <w:t>)</w:t>
      </w:r>
      <w:r w:rsidR="00AA1D9F">
        <w:rPr>
          <w:rFonts w:hint="cs"/>
          <w:rtl/>
        </w:rPr>
        <w:t xml:space="preserve"> ולא מכונן להת</w:t>
      </w:r>
      <w:r w:rsidR="00E7117E">
        <w:rPr>
          <w:rFonts w:hint="cs"/>
          <w:rtl/>
        </w:rPr>
        <w:t>ה</w:t>
      </w:r>
      <w:r w:rsidR="00AA1D9F">
        <w:rPr>
          <w:rFonts w:hint="cs"/>
          <w:rtl/>
        </w:rPr>
        <w:t>וות</w:t>
      </w:r>
      <w:r w:rsidR="00630378">
        <w:rPr>
          <w:rFonts w:hint="cs"/>
          <w:rtl/>
        </w:rPr>
        <w:t xml:space="preserve"> (</w:t>
      </w:r>
      <w:r w:rsidR="005B7E45" w:rsidRPr="005B7E45">
        <w:t>generation</w:t>
      </w:r>
      <w:r w:rsidR="00630378">
        <w:rPr>
          <w:rFonts w:hint="cs"/>
          <w:rtl/>
        </w:rPr>
        <w:t>)</w:t>
      </w:r>
      <w:r w:rsidR="00AA1D9F">
        <w:rPr>
          <w:rFonts w:hint="cs"/>
          <w:rtl/>
        </w:rPr>
        <w:t>.</w:t>
      </w:r>
    </w:p>
  </w:footnote>
  <w:footnote w:id="368">
    <w:p w14:paraId="1B779111" w14:textId="34E8293E" w:rsidR="001B5F47" w:rsidRDefault="001B5F47">
      <w:pPr>
        <w:pStyle w:val="FootnoteText"/>
      </w:pPr>
      <w:r>
        <w:rPr>
          <w:rStyle w:val="FootnoteReference"/>
        </w:rPr>
        <w:footnoteRef/>
      </w:r>
      <w:r>
        <w:rPr>
          <w:rtl/>
        </w:rPr>
        <w:t xml:space="preserve"> </w:t>
      </w:r>
      <w:r w:rsidR="00E87023">
        <w:rPr>
          <w:rFonts w:hint="cs"/>
          <w:rtl/>
        </w:rPr>
        <w:t xml:space="preserve">לעיל התבאר בכמה מקומות ההבדל בין התחלות ובין סיבות, עיין באינדקס.  </w:t>
      </w:r>
    </w:p>
  </w:footnote>
  <w:footnote w:id="369">
    <w:p w14:paraId="3068CBD0" w14:textId="11468BD7" w:rsidR="004429DA" w:rsidRDefault="004429DA">
      <w:pPr>
        <w:pStyle w:val="FootnoteText"/>
      </w:pPr>
      <w:r>
        <w:rPr>
          <w:rStyle w:val="FootnoteReference"/>
        </w:rPr>
        <w:footnoteRef/>
      </w:r>
      <w:r>
        <w:rPr>
          <w:rtl/>
        </w:rPr>
        <w:t xml:space="preserve"> </w:t>
      </w:r>
      <w:r w:rsidR="00B555D5">
        <w:rPr>
          <w:rFonts w:hint="cs"/>
          <w:rtl/>
        </w:rPr>
        <w:t xml:space="preserve">עיין בזה פיזיקה לאריסטו </w:t>
      </w:r>
      <w:r w:rsidR="00B555DB">
        <w:rPr>
          <w:rFonts w:hint="cs"/>
          <w:rtl/>
        </w:rPr>
        <w:t xml:space="preserve">ספר </w:t>
      </w:r>
      <w:r w:rsidR="00B555D5">
        <w:rPr>
          <w:rFonts w:hint="cs"/>
          <w:rtl/>
        </w:rPr>
        <w:t xml:space="preserve">ב' </w:t>
      </w:r>
      <w:r w:rsidR="00B555DB">
        <w:rPr>
          <w:rFonts w:hint="cs"/>
          <w:rtl/>
        </w:rPr>
        <w:t xml:space="preserve">פרקים </w:t>
      </w:r>
      <w:r w:rsidR="00B555D5">
        <w:rPr>
          <w:rFonts w:hint="cs"/>
          <w:rtl/>
        </w:rPr>
        <w:t>א'</w:t>
      </w:r>
      <w:r w:rsidR="00B555DB">
        <w:rPr>
          <w:rFonts w:hint="cs"/>
          <w:rtl/>
        </w:rPr>
        <w:t>-ב'</w:t>
      </w:r>
      <w:r w:rsidR="00B555D5">
        <w:rPr>
          <w:rFonts w:hint="cs"/>
          <w:rtl/>
        </w:rPr>
        <w:t>.</w:t>
      </w:r>
    </w:p>
  </w:footnote>
  <w:footnote w:id="370">
    <w:p w14:paraId="1DB74AE1" w14:textId="72F950EC" w:rsidR="00256089" w:rsidRDefault="002901DE" w:rsidP="001E748D">
      <w:pPr>
        <w:pStyle w:val="FootnoteText"/>
        <w:rPr>
          <w:rtl/>
        </w:rPr>
      </w:pPr>
      <w:r>
        <w:rPr>
          <w:rStyle w:val="FootnoteReference"/>
        </w:rPr>
        <w:footnoteRef/>
      </w:r>
      <w:r>
        <w:rPr>
          <w:rtl/>
        </w:rPr>
        <w:t xml:space="preserve"> </w:t>
      </w:r>
      <w:r w:rsidR="00E16821">
        <w:rPr>
          <w:rFonts w:hint="cs"/>
          <w:rtl/>
        </w:rPr>
        <w:t>דברי אבן סינא כאן נסמכים לדברי אריסטו ב</w:t>
      </w:r>
      <w:r>
        <w:rPr>
          <w:rFonts w:hint="cs"/>
          <w:rtl/>
        </w:rPr>
        <w:t>פיזיקה ספר א' פרקים ב'-ג'</w:t>
      </w:r>
      <w:r w:rsidR="00656418">
        <w:rPr>
          <w:rFonts w:hint="cs"/>
          <w:rtl/>
        </w:rPr>
        <w:t xml:space="preserve"> ובהמשך שם</w:t>
      </w:r>
      <w:r>
        <w:rPr>
          <w:rFonts w:hint="cs"/>
          <w:rtl/>
        </w:rPr>
        <w:t>.</w:t>
      </w:r>
      <w:r w:rsidR="00AD5F4D">
        <w:rPr>
          <w:rFonts w:hint="cs"/>
          <w:rtl/>
        </w:rPr>
        <w:t xml:space="preserve"> </w:t>
      </w:r>
      <w:r w:rsidR="008D5364">
        <w:rPr>
          <w:rFonts w:hint="cs"/>
          <w:rtl/>
        </w:rPr>
        <w:t>פרמנידס היה מגדולי הפילוסופים שלפני אפלטון, ומליסוס הוא תלמידו.</w:t>
      </w:r>
      <w:r w:rsidR="008B6927">
        <w:rPr>
          <w:rFonts w:hint="cs"/>
          <w:rtl/>
        </w:rPr>
        <w:t xml:space="preserve"> אפלטון מ</w:t>
      </w:r>
      <w:r w:rsidR="00447B6B">
        <w:rPr>
          <w:rFonts w:hint="cs"/>
          <w:rtl/>
        </w:rPr>
        <w:t>זכיר</w:t>
      </w:r>
      <w:r w:rsidR="008B6927">
        <w:rPr>
          <w:rFonts w:hint="cs"/>
          <w:rtl/>
        </w:rPr>
        <w:t xml:space="preserve"> את פרמנידס פעמים רבות ובכבוד גדול, עיין למשל תא</w:t>
      </w:r>
      <w:r w:rsidR="002314E1">
        <w:rPr>
          <w:rFonts w:hint="cs"/>
          <w:rtl/>
        </w:rPr>
        <w:t>י</w:t>
      </w:r>
      <w:r w:rsidR="008B6927">
        <w:rPr>
          <w:rFonts w:hint="cs"/>
          <w:rtl/>
        </w:rPr>
        <w:t xml:space="preserve">טיטוס </w:t>
      </w:r>
      <w:r w:rsidR="00306793">
        <w:t>183</w:t>
      </w:r>
      <w:r w:rsidR="00B73632">
        <w:t>e</w:t>
      </w:r>
      <w:r w:rsidR="00447B6B">
        <w:rPr>
          <w:rFonts w:hint="cs"/>
          <w:rtl/>
        </w:rPr>
        <w:t>.</w:t>
      </w:r>
      <w:r w:rsidR="00B06E0A">
        <w:rPr>
          <w:rFonts w:hint="cs"/>
          <w:rtl/>
        </w:rPr>
        <w:t xml:space="preserve"> </w:t>
      </w:r>
      <w:r w:rsidR="00B057E7">
        <w:rPr>
          <w:rFonts w:hint="cs"/>
          <w:rtl/>
        </w:rPr>
        <w:t>פרמנידס ומליסוס, ביחד ע</w:t>
      </w:r>
      <w:r w:rsidR="00B06E0A">
        <w:rPr>
          <w:rFonts w:hint="cs"/>
          <w:rtl/>
        </w:rPr>
        <w:t>ם</w:t>
      </w:r>
      <w:r w:rsidR="00B057E7">
        <w:rPr>
          <w:rFonts w:hint="cs"/>
          <w:rtl/>
        </w:rPr>
        <w:t xml:space="preserve"> זנון, נקראים לפעמים האסכולה האלאטית, על שם</w:t>
      </w:r>
      <w:r w:rsidR="00B06E0A">
        <w:rPr>
          <w:rFonts w:hint="cs"/>
          <w:rtl/>
        </w:rPr>
        <w:t xml:space="preserve"> </w:t>
      </w:r>
      <w:r w:rsidR="00B057E7">
        <w:rPr>
          <w:rFonts w:hint="cs"/>
          <w:rtl/>
        </w:rPr>
        <w:t>העיר אליאה שבאיטליה</w:t>
      </w:r>
      <w:r w:rsidR="00B06E0A">
        <w:rPr>
          <w:rFonts w:hint="cs"/>
          <w:rtl/>
        </w:rPr>
        <w:t>.</w:t>
      </w:r>
    </w:p>
    <w:p w14:paraId="2A2E490A" w14:textId="451F098C" w:rsidR="002901DE" w:rsidRDefault="00D47DDE" w:rsidP="001E748D">
      <w:pPr>
        <w:pStyle w:val="FootnoteText"/>
      </w:pPr>
      <w:r>
        <w:rPr>
          <w:rFonts w:hint="cs"/>
          <w:rtl/>
        </w:rPr>
        <w:t xml:space="preserve">החוקרים העירו שהמובאות שיש באריסטו של דברי קודמיו </w:t>
      </w:r>
      <w:r w:rsidR="00196157">
        <w:rPr>
          <w:rFonts w:hint="cs"/>
          <w:rtl/>
        </w:rPr>
        <w:t>מתאימות רק למסקנות שלהם</w:t>
      </w:r>
      <w:r w:rsidR="00571A62">
        <w:rPr>
          <w:rFonts w:hint="cs"/>
          <w:rtl/>
        </w:rPr>
        <w:t xml:space="preserve"> (וגם זה לא תמיד </w:t>
      </w:r>
      <w:r w:rsidR="009C463A">
        <w:rPr>
          <w:rFonts w:hint="cs"/>
          <w:rtl/>
        </w:rPr>
        <w:t>מדויק</w:t>
      </w:r>
      <w:r w:rsidR="00571A62">
        <w:rPr>
          <w:rFonts w:hint="cs"/>
          <w:rtl/>
        </w:rPr>
        <w:t>)</w:t>
      </w:r>
      <w:r w:rsidR="00196157">
        <w:rPr>
          <w:rFonts w:hint="cs"/>
          <w:rtl/>
        </w:rPr>
        <w:t xml:space="preserve">, אבל לא לדיון שלהם. </w:t>
      </w:r>
      <w:r w:rsidR="00B73858">
        <w:rPr>
          <w:rFonts w:hint="cs"/>
          <w:rtl/>
        </w:rPr>
        <w:t>אריסטו לא התכוון ל</w:t>
      </w:r>
      <w:r w:rsidR="00196157">
        <w:rPr>
          <w:rFonts w:hint="cs"/>
          <w:rtl/>
        </w:rPr>
        <w:t>הביא</w:t>
      </w:r>
      <w:r w:rsidR="00B73858">
        <w:rPr>
          <w:rFonts w:hint="cs"/>
          <w:rtl/>
        </w:rPr>
        <w:t xml:space="preserve"> את מה שאמרו קודמיו לפי שיטתם</w:t>
      </w:r>
      <w:r w:rsidR="00196157">
        <w:rPr>
          <w:rFonts w:hint="cs"/>
          <w:rtl/>
        </w:rPr>
        <w:t xml:space="preserve"> והבנתם</w:t>
      </w:r>
      <w:r w:rsidR="00B73858">
        <w:rPr>
          <w:rFonts w:hint="cs"/>
          <w:rtl/>
        </w:rPr>
        <w:t xml:space="preserve">, </w:t>
      </w:r>
      <w:r>
        <w:rPr>
          <w:rFonts w:hint="cs"/>
          <w:rtl/>
        </w:rPr>
        <w:t xml:space="preserve">כי הוא לא היה היסטוריון של הפילוסופיה, </w:t>
      </w:r>
      <w:r w:rsidR="00A86122">
        <w:rPr>
          <w:rFonts w:hint="cs"/>
          <w:rtl/>
        </w:rPr>
        <w:t>אלא הוא התכוון רק לחקר האמת</w:t>
      </w:r>
      <w:r w:rsidR="004A3A3D">
        <w:rPr>
          <w:rFonts w:hint="cs"/>
          <w:rtl/>
        </w:rPr>
        <w:t xml:space="preserve"> עצמה</w:t>
      </w:r>
      <w:r w:rsidR="00A86122">
        <w:rPr>
          <w:rFonts w:hint="cs"/>
          <w:rtl/>
        </w:rPr>
        <w:t xml:space="preserve"> לפי דעתו, והשתמש במסקנותיהם של קודמיו לצרכי החקירה שלו</w:t>
      </w:r>
      <w:r w:rsidR="00C26340">
        <w:rPr>
          <w:rFonts w:hint="cs"/>
          <w:rtl/>
        </w:rPr>
        <w:t xml:space="preserve"> עצמו</w:t>
      </w:r>
      <w:r w:rsidR="00A86122">
        <w:rPr>
          <w:rFonts w:hint="cs"/>
          <w:rtl/>
        </w:rPr>
        <w:t xml:space="preserve">, </w:t>
      </w:r>
      <w:r w:rsidR="00571A62">
        <w:rPr>
          <w:rFonts w:hint="cs"/>
          <w:rtl/>
        </w:rPr>
        <w:t xml:space="preserve">גם אם </w:t>
      </w:r>
      <w:r w:rsidR="00F805EA">
        <w:rPr>
          <w:rFonts w:hint="cs"/>
          <w:rtl/>
        </w:rPr>
        <w:t>ידע ש</w:t>
      </w:r>
      <w:r w:rsidR="00571A62">
        <w:rPr>
          <w:rFonts w:hint="cs"/>
          <w:rtl/>
        </w:rPr>
        <w:t>לא לזה הם התכוונו בעצמם</w:t>
      </w:r>
      <w:r w:rsidR="00A86122">
        <w:rPr>
          <w:rFonts w:hint="cs"/>
          <w:rtl/>
        </w:rPr>
        <w:t>.</w:t>
      </w:r>
      <w:r w:rsidR="00321F61">
        <w:rPr>
          <w:rFonts w:hint="cs"/>
          <w:rtl/>
        </w:rPr>
        <w:t xml:space="preserve"> אבן סינא כמובן מביא את דעות הקדמונים מאריסטו</w:t>
      </w:r>
      <w:r w:rsidR="00B9782F">
        <w:rPr>
          <w:rFonts w:hint="cs"/>
          <w:rtl/>
        </w:rPr>
        <w:t>, ורק משו</w:t>
      </w:r>
      <w:r w:rsidR="00FC41A1">
        <w:rPr>
          <w:rFonts w:hint="cs"/>
          <w:rtl/>
        </w:rPr>
        <w:t>ם</w:t>
      </w:r>
      <w:r w:rsidR="00B9782F">
        <w:rPr>
          <w:rFonts w:hint="cs"/>
          <w:rtl/>
        </w:rPr>
        <w:t xml:space="preserve"> שאריסטו הביאם, </w:t>
      </w:r>
      <w:r w:rsidR="00FC41A1">
        <w:rPr>
          <w:rFonts w:hint="cs"/>
          <w:rtl/>
        </w:rPr>
        <w:t xml:space="preserve">כי </w:t>
      </w:r>
      <w:r w:rsidR="00B9782F">
        <w:rPr>
          <w:rFonts w:hint="cs"/>
          <w:rtl/>
        </w:rPr>
        <w:t xml:space="preserve">הוא עוסק </w:t>
      </w:r>
      <w:r w:rsidR="00FC41A1">
        <w:rPr>
          <w:rFonts w:hint="cs"/>
          <w:rtl/>
        </w:rPr>
        <w:t xml:space="preserve">רק </w:t>
      </w:r>
      <w:r w:rsidR="00B9782F">
        <w:rPr>
          <w:rFonts w:hint="cs"/>
          <w:rtl/>
        </w:rPr>
        <w:t>בלימוד אריסטו ולא בלימוד פרמנידס או מליסוס</w:t>
      </w:r>
      <w:r w:rsidR="00321F61">
        <w:rPr>
          <w:rFonts w:hint="cs"/>
          <w:rtl/>
        </w:rPr>
        <w:t xml:space="preserve">. </w:t>
      </w:r>
    </w:p>
  </w:footnote>
  <w:footnote w:id="371">
    <w:p w14:paraId="12DCFFCF" w14:textId="77777777" w:rsidR="00616062" w:rsidRDefault="00B76F16">
      <w:pPr>
        <w:pStyle w:val="FootnoteText"/>
        <w:rPr>
          <w:rtl/>
        </w:rPr>
      </w:pPr>
      <w:r>
        <w:rPr>
          <w:rStyle w:val="FootnoteReference"/>
        </w:rPr>
        <w:footnoteRef/>
      </w:r>
      <w:r>
        <w:rPr>
          <w:rtl/>
        </w:rPr>
        <w:t xml:space="preserve"> </w:t>
      </w:r>
      <w:r>
        <w:rPr>
          <w:rFonts w:hint="cs"/>
          <w:rtl/>
        </w:rPr>
        <w:t>עד כאן השתמשתי בנוסח הערבי שנמצא במהדורת התרגום לאנגלית של מקגיניס.</w:t>
      </w:r>
      <w:r w:rsidR="00716970">
        <w:rPr>
          <w:rFonts w:hint="cs"/>
          <w:rtl/>
        </w:rPr>
        <w:t xml:space="preserve"> כאן ראיתי שהנוסח שם משובש והוא עצמו לא תרגם לפיו, והתחלתי להשתמש בנוסח הערבי שנמצא </w:t>
      </w:r>
      <w:hyperlink r:id="rId84" w:history="1">
        <w:r w:rsidR="00716970" w:rsidRPr="00DE0A30">
          <w:rPr>
            <w:rStyle w:val="Hyperlink"/>
            <w:rFonts w:hint="cs"/>
            <w:rtl/>
          </w:rPr>
          <w:t>כאן</w:t>
        </w:r>
      </w:hyperlink>
      <w:r w:rsidR="00906F39">
        <w:rPr>
          <w:rFonts w:hint="cs"/>
          <w:rtl/>
        </w:rPr>
        <w:t>, והוא מוגה</w:t>
      </w:r>
      <w:r w:rsidR="00F45A8D">
        <w:rPr>
          <w:rFonts w:hint="cs"/>
          <w:rtl/>
        </w:rPr>
        <w:t xml:space="preserve"> </w:t>
      </w:r>
      <w:r w:rsidR="00906F39">
        <w:rPr>
          <w:rFonts w:hint="cs"/>
          <w:rtl/>
        </w:rPr>
        <w:t>לפי כמה כתבי יד</w:t>
      </w:r>
      <w:r w:rsidR="00F45A8D">
        <w:rPr>
          <w:rFonts w:hint="cs"/>
          <w:rtl/>
        </w:rPr>
        <w:t>,</w:t>
      </w:r>
      <w:r w:rsidR="00906F39">
        <w:rPr>
          <w:rFonts w:hint="cs"/>
          <w:rtl/>
        </w:rPr>
        <w:t xml:space="preserve"> ומדויק יותר מ</w:t>
      </w:r>
      <w:r w:rsidR="00F45A8D">
        <w:rPr>
          <w:rFonts w:hint="cs"/>
          <w:rtl/>
        </w:rPr>
        <w:t>ה</w:t>
      </w:r>
      <w:r w:rsidR="00906F39">
        <w:rPr>
          <w:rFonts w:hint="cs"/>
          <w:rtl/>
        </w:rPr>
        <w:t xml:space="preserve">נוסח </w:t>
      </w:r>
      <w:r w:rsidR="00906F39">
        <w:rPr>
          <w:rFonts w:hint="cs"/>
          <w:rtl/>
        </w:rPr>
        <w:t xml:space="preserve">שמקגיניס </w:t>
      </w:r>
      <w:r w:rsidR="00F45A8D">
        <w:rPr>
          <w:rFonts w:hint="cs"/>
          <w:rtl/>
        </w:rPr>
        <w:t>תרגם לפיו</w:t>
      </w:r>
      <w:r w:rsidR="00906F39">
        <w:rPr>
          <w:rFonts w:hint="cs"/>
          <w:rtl/>
        </w:rPr>
        <w:t>.</w:t>
      </w:r>
      <w:r w:rsidR="00716970">
        <w:rPr>
          <w:rFonts w:hint="cs"/>
          <w:rtl/>
        </w:rPr>
        <w:t xml:space="preserve"> </w:t>
      </w:r>
      <w:r w:rsidR="004C201D">
        <w:rPr>
          <w:rFonts w:hint="cs"/>
          <w:rtl/>
        </w:rPr>
        <w:t>עיין בהקדמת התרגום של מקגיניס על המהדורות של ספר הריפוי בערבית</w:t>
      </w:r>
      <w:r w:rsidR="000C1824">
        <w:rPr>
          <w:rFonts w:hint="cs"/>
          <w:rtl/>
        </w:rPr>
        <w:t xml:space="preserve"> (למשל כאן מקגיניס כתב</w:t>
      </w:r>
      <w:r w:rsidR="00624707">
        <w:rPr>
          <w:rFonts w:hint="cs"/>
          <w:rtl/>
        </w:rPr>
        <w:t>:</w:t>
      </w:r>
    </w:p>
    <w:p w14:paraId="718BB319" w14:textId="0019B4F8" w:rsidR="00B76F16" w:rsidRDefault="00AB3D2C" w:rsidP="00616062">
      <w:pPr>
        <w:pStyle w:val="FootnoteText"/>
        <w:bidi w:val="0"/>
        <w:rPr>
          <w:rtl/>
        </w:rPr>
      </w:pPr>
      <w:r>
        <w:rPr>
          <w:rFonts w:hint="cs"/>
          <w:rtl/>
        </w:rPr>
        <w:t>"</w:t>
      </w:r>
      <w:r w:rsidR="00624707" w:rsidRPr="00624707">
        <w:t>either atoms dispersed in the void or small bodies, whether water, flesh, air, or the like</w:t>
      </w:r>
      <w:r>
        <w:rPr>
          <w:rFonts w:hint="cs"/>
          <w:rtl/>
        </w:rPr>
        <w:t>"</w:t>
      </w:r>
    </w:p>
    <w:p w14:paraId="3A7FADFA" w14:textId="5740CD11" w:rsidR="00AB3D2C" w:rsidRDefault="00AB3D2C" w:rsidP="00255C03">
      <w:pPr>
        <w:pStyle w:val="FootnoteText"/>
        <w:rPr>
          <w:rtl/>
        </w:rPr>
      </w:pPr>
      <w:r>
        <w:rPr>
          <w:rFonts w:hint="cs"/>
          <w:rtl/>
        </w:rPr>
        <w:t>ובנוסח</w:t>
      </w:r>
      <w:r w:rsidR="00255C03">
        <w:rPr>
          <w:rFonts w:hint="cs"/>
          <w:rtl/>
        </w:rPr>
        <w:t xml:space="preserve"> שהתחלתי לתרגם לפיו, לא </w:t>
      </w:r>
      <w:r w:rsidR="002F00E5">
        <w:rPr>
          <w:rFonts w:hint="cs"/>
          <w:rtl/>
        </w:rPr>
        <w:t>נמצא כאן</w:t>
      </w:r>
      <w:r w:rsidR="00255C03">
        <w:rPr>
          <w:rFonts w:hint="cs"/>
          <w:rtl/>
        </w:rPr>
        <w:t xml:space="preserve"> </w:t>
      </w:r>
      <w:r w:rsidR="00255C03">
        <w:t>flesh</w:t>
      </w:r>
      <w:r w:rsidR="00A37C09">
        <w:rPr>
          <w:rFonts w:hint="cs"/>
          <w:rtl/>
        </w:rPr>
        <w:t xml:space="preserve"> (</w:t>
      </w:r>
      <w:r w:rsidR="00FD6978" w:rsidRPr="00FD6978">
        <w:rPr>
          <w:rFonts w:cs="Times New Roman" w:hint="eastAsia"/>
          <w:rtl/>
          <w:lang w:bidi="ar-SA"/>
        </w:rPr>
        <w:t>ا</w:t>
      </w:r>
      <w:r w:rsidR="00A37C09" w:rsidRPr="00A37C09">
        <w:rPr>
          <w:rFonts w:cs="Times New Roman" w:hint="eastAsia"/>
          <w:rtl/>
          <w:lang w:bidi="ar-SA"/>
        </w:rPr>
        <w:t>لحمية</w:t>
      </w:r>
      <w:r w:rsidR="00A37C09">
        <w:rPr>
          <w:rFonts w:hint="cs"/>
          <w:rtl/>
        </w:rPr>
        <w:t>)</w:t>
      </w:r>
      <w:r w:rsidR="00255C03">
        <w:rPr>
          <w:rFonts w:hint="cs"/>
          <w:rtl/>
        </w:rPr>
        <w:t xml:space="preserve">, וזה הנכון, כי בשר אינו </w:t>
      </w:r>
      <w:r w:rsidR="00E96113">
        <w:rPr>
          <w:rFonts w:hint="cs"/>
          <w:rtl/>
        </w:rPr>
        <w:t>שייך לכאן</w:t>
      </w:r>
      <w:r w:rsidR="00C10F1E">
        <w:rPr>
          <w:rFonts w:hint="cs"/>
          <w:rtl/>
        </w:rPr>
        <w:t>, שהרי מדובר על הגופים</w:t>
      </w:r>
      <w:r w:rsidR="0061060C">
        <w:rPr>
          <w:rFonts w:hint="cs"/>
          <w:rtl/>
        </w:rPr>
        <w:t xml:space="preserve"> הזעירים</w:t>
      </w:r>
      <w:r w:rsidR="00C10F1E">
        <w:rPr>
          <w:rFonts w:hint="cs"/>
          <w:rtl/>
        </w:rPr>
        <w:t xml:space="preserve"> הגיאומטריים שאפלטון כתב בטימיאוס</w:t>
      </w:r>
      <w:r w:rsidR="0061060C">
        <w:rPr>
          <w:rFonts w:hint="cs"/>
          <w:rtl/>
        </w:rPr>
        <w:t>,</w:t>
      </w:r>
      <w:r w:rsidR="00C10F1E">
        <w:rPr>
          <w:rFonts w:hint="cs"/>
          <w:rtl/>
        </w:rPr>
        <w:t xml:space="preserve"> </w:t>
      </w:r>
      <w:r w:rsidR="0061060C">
        <w:rPr>
          <w:rFonts w:hint="cs"/>
          <w:rtl/>
        </w:rPr>
        <w:t>ו</w:t>
      </w:r>
      <w:r w:rsidR="00C10F1E">
        <w:rPr>
          <w:rFonts w:hint="cs"/>
          <w:rtl/>
        </w:rPr>
        <w:t xml:space="preserve">הם המרכיבים את ארבעת היסודות </w:t>
      </w:r>
      <w:r w:rsidR="000D3F86">
        <w:rPr>
          <w:rFonts w:hint="cs"/>
          <w:rtl/>
        </w:rPr>
        <w:t xml:space="preserve">שהם שרשי המציאות </w:t>
      </w:r>
      <w:r w:rsidR="00C10F1E">
        <w:rPr>
          <w:rFonts w:hint="cs"/>
          <w:rtl/>
        </w:rPr>
        <w:t>וקובעים את טבעם</w:t>
      </w:r>
      <w:r w:rsidR="0061060C">
        <w:rPr>
          <w:rFonts w:hint="cs"/>
          <w:rtl/>
        </w:rPr>
        <w:t>, ובשר אינו מ</w:t>
      </w:r>
      <w:r w:rsidR="000D3F86">
        <w:rPr>
          <w:rFonts w:hint="cs"/>
          <w:rtl/>
        </w:rPr>
        <w:t xml:space="preserve">ארבעת </w:t>
      </w:r>
      <w:r w:rsidR="0061060C">
        <w:rPr>
          <w:rFonts w:hint="cs"/>
          <w:rtl/>
        </w:rPr>
        <w:t>היסודות</w:t>
      </w:r>
      <w:r w:rsidR="00E96113">
        <w:rPr>
          <w:rFonts w:hint="cs"/>
          <w:rtl/>
        </w:rPr>
        <w:t>)</w:t>
      </w:r>
      <w:r w:rsidR="00255C03">
        <w:rPr>
          <w:rFonts w:hint="cs"/>
          <w:rtl/>
        </w:rPr>
        <w:t>.</w:t>
      </w:r>
    </w:p>
    <w:p w14:paraId="47FAB060" w14:textId="62CA0FBD" w:rsidR="00C24122" w:rsidRDefault="00C24122" w:rsidP="00255C03">
      <w:pPr>
        <w:pStyle w:val="FootnoteText"/>
        <w:rPr>
          <w:rtl/>
        </w:rPr>
      </w:pPr>
      <w:r>
        <w:rPr>
          <w:rFonts w:hint="cs"/>
          <w:rtl/>
        </w:rPr>
        <w:t>מכאן והלאה התחלתי לתרגם באופן יותר מילולי</w:t>
      </w:r>
      <w:r w:rsidR="00831FFA">
        <w:rPr>
          <w:rFonts w:hint="cs"/>
          <w:rtl/>
        </w:rPr>
        <w:t xml:space="preserve">, כמעט </w:t>
      </w:r>
      <w:r w:rsidR="006F4227">
        <w:rPr>
          <w:rFonts w:hint="cs"/>
          <w:rtl/>
        </w:rPr>
        <w:t xml:space="preserve">בדיוק </w:t>
      </w:r>
      <w:r w:rsidR="00831FFA">
        <w:rPr>
          <w:rFonts w:hint="cs"/>
          <w:rtl/>
        </w:rPr>
        <w:t>מילה מול מילה</w:t>
      </w:r>
      <w:r w:rsidR="00E25049">
        <w:rPr>
          <w:rFonts w:hint="cs"/>
          <w:rtl/>
        </w:rPr>
        <w:t xml:space="preserve"> ולא התחשבתי במבנה המשפט ובשימושי לשון הנהוגים בעברית</w:t>
      </w:r>
      <w:r w:rsidR="00831FFA">
        <w:rPr>
          <w:rFonts w:hint="cs"/>
          <w:rtl/>
        </w:rPr>
        <w:t xml:space="preserve">, ומשום כך הסגנון העברי יהיה </w:t>
      </w:r>
      <w:r w:rsidR="006F4227">
        <w:rPr>
          <w:rFonts w:hint="cs"/>
          <w:rtl/>
        </w:rPr>
        <w:t xml:space="preserve">מכאן והלאה </w:t>
      </w:r>
      <w:r w:rsidR="00831FFA">
        <w:rPr>
          <w:rFonts w:hint="cs"/>
          <w:rtl/>
        </w:rPr>
        <w:t>יותר מסורבל</w:t>
      </w:r>
      <w:r w:rsidR="00DC23A3">
        <w:rPr>
          <w:rFonts w:hint="cs"/>
          <w:rtl/>
        </w:rPr>
        <w:t xml:space="preserve"> ולפעמים עילג</w:t>
      </w:r>
      <w:r w:rsidR="00831FFA">
        <w:rPr>
          <w:rFonts w:hint="cs"/>
          <w:rtl/>
        </w:rPr>
        <w:t xml:space="preserve">, אבל </w:t>
      </w:r>
      <w:r w:rsidR="00DC23A3">
        <w:rPr>
          <w:rFonts w:hint="cs"/>
          <w:rtl/>
        </w:rPr>
        <w:t>הוא יעביר את ה</w:t>
      </w:r>
      <w:r w:rsidR="006F4227">
        <w:rPr>
          <w:rFonts w:hint="cs"/>
          <w:rtl/>
        </w:rPr>
        <w:t>כתיבה של אבן סינא</w:t>
      </w:r>
      <w:r w:rsidR="00DC23A3">
        <w:rPr>
          <w:rFonts w:hint="cs"/>
          <w:rtl/>
        </w:rPr>
        <w:t xml:space="preserve"> באופן </w:t>
      </w:r>
      <w:r w:rsidR="00831FFA">
        <w:rPr>
          <w:rFonts w:hint="cs"/>
          <w:rtl/>
        </w:rPr>
        <w:t xml:space="preserve">יותר </w:t>
      </w:r>
      <w:r w:rsidR="009C463A">
        <w:rPr>
          <w:rFonts w:hint="cs"/>
          <w:rtl/>
        </w:rPr>
        <w:t>מדויק</w:t>
      </w:r>
      <w:r w:rsidR="00831FFA">
        <w:rPr>
          <w:rFonts w:hint="cs"/>
          <w:rtl/>
        </w:rPr>
        <w:t>.</w:t>
      </w:r>
      <w:r w:rsidR="006F4227">
        <w:rPr>
          <w:rFonts w:hint="cs"/>
          <w:rtl/>
        </w:rPr>
        <w:t xml:space="preserve"> </w:t>
      </w:r>
      <w:r w:rsidR="00B004BC">
        <w:rPr>
          <w:rFonts w:hint="cs"/>
          <w:rtl/>
        </w:rPr>
        <w:t>לאבן סינא יש סגנון כתיבה</w:t>
      </w:r>
      <w:r w:rsidR="003D70D7">
        <w:rPr>
          <w:rFonts w:hint="cs"/>
          <w:rtl/>
        </w:rPr>
        <w:t xml:space="preserve"> ערבי</w:t>
      </w:r>
      <w:r w:rsidR="00B004BC">
        <w:rPr>
          <w:rFonts w:hint="cs"/>
          <w:rtl/>
        </w:rPr>
        <w:t xml:space="preserve"> פשוט אבל נאה וצלול, </w:t>
      </w:r>
      <w:r w:rsidR="002F21D1">
        <w:rPr>
          <w:rFonts w:hint="cs"/>
          <w:rtl/>
        </w:rPr>
        <w:t>התרגום לא בא לנסות לתת את אבן סינא בעברית עם סגנו</w:t>
      </w:r>
      <w:r w:rsidR="003D70D7">
        <w:rPr>
          <w:rFonts w:hint="cs"/>
          <w:rtl/>
        </w:rPr>
        <w:t>ן עברי דומה לשלו</w:t>
      </w:r>
      <w:r w:rsidR="002F21D1">
        <w:rPr>
          <w:rFonts w:hint="cs"/>
          <w:rtl/>
        </w:rPr>
        <w:t xml:space="preserve">, אלא </w:t>
      </w:r>
      <w:r w:rsidR="002B2994">
        <w:rPr>
          <w:rFonts w:hint="cs"/>
          <w:rtl/>
        </w:rPr>
        <w:t xml:space="preserve">לתת לקורא אפשרות לשער מה אבן סינא כתב בערבית, וככל שהוא מילה מול מילה הוא יותר נותן אפשרות כזו. </w:t>
      </w:r>
    </w:p>
  </w:footnote>
  <w:footnote w:id="372">
    <w:p w14:paraId="009277E4" w14:textId="1C7D6717" w:rsidR="008B3999" w:rsidRDefault="008B3999">
      <w:pPr>
        <w:pStyle w:val="FootnoteText"/>
      </w:pPr>
      <w:r>
        <w:rPr>
          <w:rStyle w:val="FootnoteReference"/>
        </w:rPr>
        <w:footnoteRef/>
      </w:r>
      <w:r>
        <w:rPr>
          <w:rtl/>
        </w:rPr>
        <w:t xml:space="preserve"> </w:t>
      </w:r>
      <w:r>
        <w:rPr>
          <w:rFonts w:hint="cs"/>
          <w:rtl/>
        </w:rPr>
        <w:t xml:space="preserve">כך עשה אריסטו בפיזיקה </w:t>
      </w:r>
      <w:r w:rsidR="007A15C2">
        <w:rPr>
          <w:rFonts w:hint="cs"/>
          <w:rtl/>
        </w:rPr>
        <w:t xml:space="preserve">ספר א' מפרק </w:t>
      </w:r>
      <w:r w:rsidR="00BB7786">
        <w:rPr>
          <w:rFonts w:hint="cs"/>
          <w:rtl/>
        </w:rPr>
        <w:t>ב</w:t>
      </w:r>
      <w:r>
        <w:rPr>
          <w:rFonts w:hint="cs"/>
          <w:rtl/>
        </w:rPr>
        <w:t>'</w:t>
      </w:r>
      <w:r w:rsidR="006D3C31">
        <w:rPr>
          <w:rFonts w:hint="cs"/>
          <w:rtl/>
        </w:rPr>
        <w:t>, שדן בדברי כמה מהקודמים לו</w:t>
      </w:r>
      <w:r w:rsidR="00B75D12">
        <w:rPr>
          <w:rFonts w:hint="cs"/>
          <w:rtl/>
        </w:rPr>
        <w:t xml:space="preserve">, לפני שהתחיל להרצות את דבריו, והראשונים שהזכיר הם </w:t>
      </w:r>
      <w:r w:rsidR="00B75D12">
        <w:rPr>
          <w:rFonts w:hint="cs"/>
          <w:rtl/>
        </w:rPr>
        <w:t>פרמנידס ומליסוס</w:t>
      </w:r>
      <w:r w:rsidR="00494A25">
        <w:rPr>
          <w:rFonts w:hint="cs"/>
          <w:rtl/>
        </w:rPr>
        <w:t>,</w:t>
      </w:r>
      <w:r w:rsidR="005E24B4">
        <w:rPr>
          <w:rFonts w:hint="cs"/>
          <w:rtl/>
        </w:rPr>
        <w:t xml:space="preserve"> ועיין גם בשיטתם </w:t>
      </w:r>
      <w:r w:rsidR="005E24B4" w:rsidRPr="005E24B4">
        <w:rPr>
          <w:rtl/>
        </w:rPr>
        <w:t>במטאפיזיקה ספר א' פרקים ג'-ד'</w:t>
      </w:r>
      <w:r w:rsidR="00BB7786">
        <w:rPr>
          <w:rFonts w:hint="cs"/>
          <w:rtl/>
        </w:rPr>
        <w:t>, ויש עוד מקומות רבים שאריסטו מזכיר אותם</w:t>
      </w:r>
      <w:r w:rsidR="007A15C2">
        <w:rPr>
          <w:rFonts w:hint="cs"/>
          <w:rtl/>
        </w:rPr>
        <w:t xml:space="preserve">. </w:t>
      </w:r>
      <w:r w:rsidR="00494A25">
        <w:rPr>
          <w:rFonts w:hint="cs"/>
          <w:rtl/>
        </w:rPr>
        <w:t xml:space="preserve">במקומות רבים, אולי ברוב המקומות, אריסטו מתחיל דיון בנושא כלשהו בהבאת דברי קודמיו בעניין. </w:t>
      </w:r>
      <w:r>
        <w:rPr>
          <w:rFonts w:hint="cs"/>
          <w:rtl/>
        </w:rPr>
        <w:t xml:space="preserve"> </w:t>
      </w:r>
    </w:p>
  </w:footnote>
  <w:footnote w:id="373">
    <w:p w14:paraId="54835879" w14:textId="7A5F0B76" w:rsidR="00665BAC" w:rsidRDefault="00665BAC">
      <w:pPr>
        <w:pStyle w:val="FootnoteText"/>
      </w:pPr>
      <w:r>
        <w:rPr>
          <w:rStyle w:val="FootnoteReference"/>
        </w:rPr>
        <w:footnoteRef/>
      </w:r>
      <w:r>
        <w:rPr>
          <w:rtl/>
        </w:rPr>
        <w:t xml:space="preserve"> </w:t>
      </w:r>
      <w:r w:rsidR="000C5473">
        <w:rPr>
          <w:rFonts w:hint="cs"/>
          <w:rtl/>
        </w:rPr>
        <w:t xml:space="preserve">אריסטו עצמו הוכיח שהעולם סופי, בפיזיקה ג' פרקים ד'-ו', </w:t>
      </w:r>
      <w:r w:rsidR="00BB7786">
        <w:rPr>
          <w:rFonts w:hint="cs"/>
          <w:rtl/>
        </w:rPr>
        <w:t>וכ</w:t>
      </w:r>
      <w:r w:rsidR="000C5473">
        <w:rPr>
          <w:rFonts w:hint="cs"/>
          <w:rtl/>
        </w:rPr>
        <w:t xml:space="preserve">שהוא מביא </w:t>
      </w:r>
      <w:r w:rsidR="00A17243">
        <w:rPr>
          <w:rFonts w:hint="cs"/>
          <w:rtl/>
        </w:rPr>
        <w:t>בפיזיק</w:t>
      </w:r>
      <w:r w:rsidR="00BB7786">
        <w:rPr>
          <w:rFonts w:hint="cs"/>
          <w:rtl/>
        </w:rPr>
        <w:t>ה</w:t>
      </w:r>
      <w:r w:rsidR="00A17243">
        <w:rPr>
          <w:rFonts w:hint="cs"/>
          <w:rtl/>
        </w:rPr>
        <w:t xml:space="preserve"> א' </w:t>
      </w:r>
      <w:r w:rsidR="00BB7786">
        <w:rPr>
          <w:rFonts w:hint="cs"/>
          <w:rtl/>
        </w:rPr>
        <w:t xml:space="preserve">ב' </w:t>
      </w:r>
      <w:r w:rsidR="00723322">
        <w:rPr>
          <w:rFonts w:hint="cs"/>
          <w:rtl/>
        </w:rPr>
        <w:t xml:space="preserve">את </w:t>
      </w:r>
      <w:r w:rsidR="000C5473">
        <w:rPr>
          <w:rFonts w:hint="cs"/>
          <w:rtl/>
        </w:rPr>
        <w:t>דע</w:t>
      </w:r>
      <w:r w:rsidR="00723322">
        <w:rPr>
          <w:rFonts w:hint="cs"/>
          <w:rtl/>
        </w:rPr>
        <w:t>ו</w:t>
      </w:r>
      <w:r w:rsidR="000C5473">
        <w:rPr>
          <w:rFonts w:hint="cs"/>
          <w:rtl/>
        </w:rPr>
        <w:t xml:space="preserve">ת </w:t>
      </w:r>
      <w:r w:rsidR="000C5473">
        <w:rPr>
          <w:rFonts w:hint="cs"/>
          <w:rtl/>
        </w:rPr>
        <w:t xml:space="preserve">מליסוס ופרמנידס, הוא </w:t>
      </w:r>
      <w:r w:rsidR="00065767">
        <w:rPr>
          <w:rFonts w:hint="cs"/>
          <w:rtl/>
        </w:rPr>
        <w:t xml:space="preserve">משום כך מכבד יותר </w:t>
      </w:r>
      <w:r w:rsidR="000C5473">
        <w:rPr>
          <w:rFonts w:hint="cs"/>
          <w:rtl/>
        </w:rPr>
        <w:t xml:space="preserve">את שיטת פרמנידס. </w:t>
      </w:r>
      <w:r w:rsidR="00CD305D">
        <w:rPr>
          <w:rFonts w:hint="cs"/>
          <w:rtl/>
        </w:rPr>
        <w:t xml:space="preserve">גם אבן סינא הוכיח זאת בשכלול של הוכחת אריסטו, עיין </w:t>
      </w:r>
      <w:r w:rsidR="007D24F0">
        <w:rPr>
          <w:rFonts w:hint="cs"/>
          <w:rtl/>
        </w:rPr>
        <w:t>ב</w:t>
      </w:r>
      <w:r w:rsidR="00CD305D">
        <w:rPr>
          <w:rFonts w:hint="cs"/>
          <w:rtl/>
        </w:rPr>
        <w:t xml:space="preserve">רמיזות והערות א' י"א. </w:t>
      </w:r>
    </w:p>
  </w:footnote>
  <w:footnote w:id="374">
    <w:p w14:paraId="6F0B9762" w14:textId="3F9DC7D0" w:rsidR="00FC0A49" w:rsidRDefault="00FC0A49">
      <w:pPr>
        <w:pStyle w:val="FootnoteText"/>
      </w:pPr>
      <w:r>
        <w:rPr>
          <w:rStyle w:val="FootnoteReference"/>
        </w:rPr>
        <w:footnoteRef/>
      </w:r>
      <w:r>
        <w:rPr>
          <w:rtl/>
        </w:rPr>
        <w:t xml:space="preserve"> </w:t>
      </w:r>
      <w:r>
        <w:rPr>
          <w:rFonts w:hint="cs"/>
          <w:rtl/>
        </w:rPr>
        <w:t xml:space="preserve">הלשון "מקבל תנועה" פירושו שהוא לא מופשט מכל הגדרות </w:t>
      </w:r>
      <w:r w:rsidR="00711971">
        <w:rPr>
          <w:rFonts w:hint="cs"/>
          <w:rtl/>
        </w:rPr>
        <w:t xml:space="preserve">מקום </w:t>
      </w:r>
      <w:r>
        <w:rPr>
          <w:rFonts w:hint="cs"/>
          <w:rtl/>
        </w:rPr>
        <w:t>אורך</w:t>
      </w:r>
      <w:r w:rsidR="00711971">
        <w:rPr>
          <w:rFonts w:hint="cs"/>
          <w:rtl/>
        </w:rPr>
        <w:t xml:space="preserve"> וזמן, ולכן אפשר שינוע,</w:t>
      </w:r>
      <w:r w:rsidR="00086FB7">
        <w:rPr>
          <w:rFonts w:hint="cs"/>
          <w:rtl/>
        </w:rPr>
        <w:t xml:space="preserve"> ולא מדובר כאן אם הוא למעשה נע או לא. לפי האמת </w:t>
      </w:r>
      <w:r w:rsidR="00BD46BF">
        <w:rPr>
          <w:rFonts w:hint="cs"/>
          <w:rtl/>
        </w:rPr>
        <w:t xml:space="preserve">כל מה שאינו מוט מהגדרות מקום אורך וזמן בהכרח מציאותו היא </w:t>
      </w:r>
      <w:r w:rsidR="00BD46BF">
        <w:rPr>
          <w:rFonts w:hint="cs"/>
          <w:rtl/>
        </w:rPr>
        <w:t xml:space="preserve">היא תנועתו, כמו שביארתי בעיונים בפילוסופיה אריסטוטלית רשימה 35 במאמר התנועה יסוד </w:t>
      </w:r>
      <w:r w:rsidR="009C463A">
        <w:rPr>
          <w:rFonts w:hint="cs"/>
          <w:rtl/>
        </w:rPr>
        <w:t>ההוויה</w:t>
      </w:r>
      <w:r w:rsidR="00BD46BF">
        <w:rPr>
          <w:rFonts w:hint="cs"/>
          <w:rtl/>
        </w:rPr>
        <w:t xml:space="preserve">, ולכן הלשון </w:t>
      </w:r>
      <w:r w:rsidR="00D8648A">
        <w:rPr>
          <w:rFonts w:hint="cs"/>
          <w:rtl/>
        </w:rPr>
        <w:t>"</w:t>
      </w:r>
      <w:r w:rsidR="00BD46BF">
        <w:rPr>
          <w:rFonts w:hint="cs"/>
          <w:rtl/>
        </w:rPr>
        <w:t>מתנועע</w:t>
      </w:r>
      <w:r w:rsidR="00D8648A">
        <w:rPr>
          <w:rFonts w:hint="cs"/>
          <w:rtl/>
        </w:rPr>
        <w:t xml:space="preserve">", כפי השגור אצל מתרגמי ימי הביניים התיבונים, </w:t>
      </w:r>
      <w:r w:rsidR="00BD46BF">
        <w:rPr>
          <w:rFonts w:hint="cs"/>
          <w:rtl/>
        </w:rPr>
        <w:t xml:space="preserve">כולל </w:t>
      </w:r>
      <w:r w:rsidR="00D8648A">
        <w:rPr>
          <w:rFonts w:hint="cs"/>
          <w:rtl/>
        </w:rPr>
        <w:t>גם שהוא יכול לנוע וגם שהוא נע.</w:t>
      </w:r>
      <w:r w:rsidR="00BD46BF">
        <w:rPr>
          <w:rFonts w:hint="cs"/>
          <w:rtl/>
        </w:rPr>
        <w:t xml:space="preserve">  </w:t>
      </w:r>
      <w:r w:rsidR="00711971">
        <w:rPr>
          <w:rFonts w:hint="cs"/>
          <w:rtl/>
        </w:rPr>
        <w:t xml:space="preserve">  </w:t>
      </w:r>
      <w:r>
        <w:rPr>
          <w:rFonts w:hint="cs"/>
          <w:rtl/>
        </w:rPr>
        <w:t xml:space="preserve"> </w:t>
      </w:r>
    </w:p>
  </w:footnote>
  <w:footnote w:id="375">
    <w:p w14:paraId="42875BBF" w14:textId="7623E6FA" w:rsidR="000E0CFB" w:rsidRDefault="000E0CFB">
      <w:pPr>
        <w:pStyle w:val="FootnoteText"/>
      </w:pPr>
      <w:r>
        <w:rPr>
          <w:rStyle w:val="FootnoteReference"/>
        </w:rPr>
        <w:footnoteRef/>
      </w:r>
      <w:r>
        <w:rPr>
          <w:rtl/>
        </w:rPr>
        <w:t xml:space="preserve"> </w:t>
      </w:r>
      <w:r w:rsidR="009C1872">
        <w:rPr>
          <w:rFonts w:hint="cs"/>
          <w:rtl/>
        </w:rPr>
        <w:t xml:space="preserve">במטאפיזיקה ספר א' </w:t>
      </w:r>
      <w:r w:rsidR="00B550D7">
        <w:rPr>
          <w:rFonts w:hint="cs"/>
          <w:rtl/>
        </w:rPr>
        <w:t xml:space="preserve">פרקים ג'-ד' </w:t>
      </w:r>
      <w:r w:rsidR="00F67F56">
        <w:rPr>
          <w:rFonts w:hint="cs"/>
          <w:rtl/>
        </w:rPr>
        <w:t>כתב</w:t>
      </w:r>
      <w:r w:rsidR="009C1872">
        <w:rPr>
          <w:rFonts w:hint="cs"/>
          <w:rtl/>
        </w:rPr>
        <w:t xml:space="preserve"> אריסטו ב</w:t>
      </w:r>
      <w:r w:rsidR="00B82711">
        <w:rPr>
          <w:rFonts w:hint="cs"/>
          <w:rtl/>
        </w:rPr>
        <w:t>דע</w:t>
      </w:r>
      <w:r w:rsidR="009C1872">
        <w:rPr>
          <w:rFonts w:hint="cs"/>
          <w:rtl/>
        </w:rPr>
        <w:t xml:space="preserve">ת </w:t>
      </w:r>
      <w:r w:rsidR="00F67F56">
        <w:rPr>
          <w:rFonts w:hint="cs"/>
          <w:rtl/>
        </w:rPr>
        <w:t>פרמנידס ואחרים</w:t>
      </w:r>
      <w:r w:rsidR="009C1872">
        <w:rPr>
          <w:rFonts w:hint="cs"/>
          <w:rtl/>
        </w:rPr>
        <w:t>.</w:t>
      </w:r>
    </w:p>
  </w:footnote>
  <w:footnote w:id="376">
    <w:p w14:paraId="68AA8BE1" w14:textId="77777777" w:rsidR="00641095" w:rsidRDefault="00D53715">
      <w:pPr>
        <w:pStyle w:val="FootnoteText"/>
        <w:rPr>
          <w:rtl/>
        </w:rPr>
      </w:pPr>
      <w:r>
        <w:rPr>
          <w:rStyle w:val="FootnoteReference"/>
        </w:rPr>
        <w:footnoteRef/>
      </w:r>
      <w:r>
        <w:rPr>
          <w:rtl/>
        </w:rPr>
        <w:t xml:space="preserve"> </w:t>
      </w:r>
      <w:r w:rsidR="005212A8">
        <w:rPr>
          <w:rFonts w:hint="cs"/>
          <w:rtl/>
        </w:rPr>
        <w:t xml:space="preserve">דבר שהוא אין סופי, אינו מתנועע. כי להיות אין סופי אין פירושו להיות בכמות רבה, אלא להיות מעל ההגדרה של מספר או כל אופן של סוף (כלומר </w:t>
      </w:r>
      <w:r w:rsidR="00510918">
        <w:rPr>
          <w:rFonts w:hint="cs"/>
          <w:rtl/>
        </w:rPr>
        <w:t>גבול, הגדרה)</w:t>
      </w:r>
      <w:r w:rsidR="005212A8">
        <w:rPr>
          <w:rFonts w:hint="cs"/>
          <w:rtl/>
        </w:rPr>
        <w:t xml:space="preserve">, כמו שהמספר שלוש הוא מעל ההגדרה של חם או קר. </w:t>
      </w:r>
      <w:r w:rsidR="00510918">
        <w:rPr>
          <w:rFonts w:hint="cs"/>
          <w:rtl/>
        </w:rPr>
        <w:t>זה מה שנקרא נצחי, כמו שהוא מעל הגדרות של זמן הוא מעל הגדרות של כמות. מה שאינו מעל ההגדרה של מספר אינו יכול להיות חסר כל סוף גבול והגדרה, ואינו מעל הגדרות המספר, אלא מידותיו יש להן מספר סופי, רק שהמספר הזה הוא תמיד יותר גדול מכל מספר שנחשו</w:t>
      </w:r>
      <w:r w:rsidR="00AE408C">
        <w:rPr>
          <w:rFonts w:hint="cs"/>
          <w:rtl/>
        </w:rPr>
        <w:t>ב</w:t>
      </w:r>
      <w:r w:rsidR="00510918">
        <w:rPr>
          <w:rFonts w:hint="cs"/>
          <w:rtl/>
        </w:rPr>
        <w:t xml:space="preserve"> עליו, ולכן אי אפשר</w:t>
      </w:r>
      <w:r w:rsidR="00AE408C">
        <w:rPr>
          <w:rFonts w:hint="cs"/>
          <w:rtl/>
        </w:rPr>
        <w:t xml:space="preserve"> </w:t>
      </w:r>
      <w:r w:rsidR="00510918">
        <w:rPr>
          <w:rFonts w:hint="cs"/>
          <w:rtl/>
        </w:rPr>
        <w:t>לעמוד עליו ולומר כמ</w:t>
      </w:r>
      <w:r w:rsidR="00AE408C">
        <w:rPr>
          <w:rFonts w:hint="cs"/>
          <w:rtl/>
        </w:rPr>
        <w:t xml:space="preserve">ה הוא, ועדיין במהותו הוא סופי. </w:t>
      </w:r>
      <w:r w:rsidR="009601E3">
        <w:rPr>
          <w:rFonts w:hint="cs"/>
          <w:rtl/>
        </w:rPr>
        <w:t xml:space="preserve">הדעה שהובאה מקודם שאומרת שהמציאות היא אין סופית ומתנועעת, וכן הדעה שכאן שיש מספר אין סופי של חלקיקים, </w:t>
      </w:r>
      <w:r w:rsidR="007D46B8">
        <w:rPr>
          <w:rFonts w:hint="cs"/>
          <w:rtl/>
        </w:rPr>
        <w:t xml:space="preserve">לא ייתכן שכוונתם לאין סוף ממש </w:t>
      </w:r>
      <w:r w:rsidR="009947AF">
        <w:rPr>
          <w:rFonts w:hint="cs"/>
          <w:rtl/>
        </w:rPr>
        <w:t>(</w:t>
      </w:r>
      <w:r w:rsidR="00E44212">
        <w:rPr>
          <w:rFonts w:hint="cs"/>
          <w:rtl/>
        </w:rPr>
        <w:t>'</w:t>
      </w:r>
      <w:r w:rsidR="007D46B8">
        <w:rPr>
          <w:rFonts w:hint="cs"/>
          <w:rtl/>
        </w:rPr>
        <w:t>אין סוף בפועל</w:t>
      </w:r>
      <w:r w:rsidR="00E44212">
        <w:rPr>
          <w:rFonts w:hint="cs"/>
          <w:rtl/>
        </w:rPr>
        <w:t>'</w:t>
      </w:r>
      <w:r w:rsidR="007D46B8">
        <w:rPr>
          <w:rFonts w:hint="cs"/>
          <w:rtl/>
        </w:rPr>
        <w:t xml:space="preserve"> לפי המונחים של אריסטו בפיזיקה ג' פרקים ד'</w:t>
      </w:r>
      <w:r w:rsidR="009947AF">
        <w:rPr>
          <w:rFonts w:hint="cs"/>
          <w:rtl/>
        </w:rPr>
        <w:t>-ו'</w:t>
      </w:r>
      <w:r w:rsidR="00E44212">
        <w:rPr>
          <w:rFonts w:hint="cs"/>
          <w:rtl/>
        </w:rPr>
        <w:t>)</w:t>
      </w:r>
      <w:r w:rsidR="009947AF">
        <w:rPr>
          <w:rFonts w:hint="cs"/>
          <w:rtl/>
        </w:rPr>
        <w:t>, אלא למספר סופי שכמותו רבה עד כדי כך שכל כמות</w:t>
      </w:r>
      <w:r w:rsidR="00F66EB4">
        <w:rPr>
          <w:rFonts w:hint="cs"/>
          <w:rtl/>
        </w:rPr>
        <w:t xml:space="preserve"> </w:t>
      </w:r>
      <w:r w:rsidR="009947AF">
        <w:rPr>
          <w:rFonts w:hint="cs"/>
          <w:rtl/>
        </w:rPr>
        <w:t xml:space="preserve">שנחשוב עליה תמיד כמותו תהיה </w:t>
      </w:r>
      <w:r w:rsidR="00F66EB4">
        <w:rPr>
          <w:rFonts w:hint="cs"/>
          <w:rtl/>
        </w:rPr>
        <w:t>גדולה</w:t>
      </w:r>
      <w:r w:rsidR="009947AF">
        <w:rPr>
          <w:rFonts w:hint="cs"/>
          <w:rtl/>
        </w:rPr>
        <w:t xml:space="preserve"> יותר</w:t>
      </w:r>
      <w:r w:rsidR="00F66EB4">
        <w:rPr>
          <w:rFonts w:hint="cs"/>
          <w:rtl/>
        </w:rPr>
        <w:t xml:space="preserve">, ועדיין גם הכמות הגדולה היא סופית, </w:t>
      </w:r>
      <w:r w:rsidR="002210CB">
        <w:rPr>
          <w:rFonts w:hint="cs"/>
          <w:rtl/>
        </w:rPr>
        <w:t>בלי תלות בגודל שלה</w:t>
      </w:r>
      <w:r w:rsidR="00F66EB4">
        <w:rPr>
          <w:rFonts w:hint="cs"/>
          <w:rtl/>
        </w:rPr>
        <w:t>.</w:t>
      </w:r>
      <w:r w:rsidR="002210CB">
        <w:rPr>
          <w:rFonts w:hint="cs"/>
          <w:rtl/>
        </w:rPr>
        <w:t xml:space="preserve"> למשל אם אדם סופר את המספרים ולעולם לא עוצר, יש מספיק מספרים כדי שיוכל לספור בלי לעצור לעולם, אבל בכל רגע המספר שהוא סופר הוא סופי.</w:t>
      </w:r>
      <w:r w:rsidR="00F66EB4">
        <w:rPr>
          <w:rFonts w:hint="cs"/>
          <w:rtl/>
        </w:rPr>
        <w:t xml:space="preserve"> </w:t>
      </w:r>
      <w:r w:rsidR="00E44212">
        <w:rPr>
          <w:rFonts w:hint="cs"/>
          <w:rtl/>
        </w:rPr>
        <w:t xml:space="preserve">לכמות כזו שהיא גדולה מכל כמות שנחשוב עליה, קורא כאן אבן סינא "אין סוף במספר", בניגוד לאין סוף ממש. </w:t>
      </w:r>
    </w:p>
    <w:p w14:paraId="7E2D1CEC" w14:textId="279E334B" w:rsidR="00D53715" w:rsidRDefault="00641095">
      <w:pPr>
        <w:pStyle w:val="FootnoteText"/>
      </w:pPr>
      <w:r>
        <w:rPr>
          <w:rFonts w:hint="cs"/>
          <w:rtl/>
        </w:rPr>
        <w:t xml:space="preserve">מציאות שהיא אין סופית באמת, בפועל, היא מעל כל הגדרה וגבול, ולכן </w:t>
      </w:r>
      <w:r w:rsidR="009A5331">
        <w:rPr>
          <w:rFonts w:hint="cs"/>
          <w:rtl/>
        </w:rPr>
        <w:t>ל</w:t>
      </w:r>
      <w:r>
        <w:rPr>
          <w:rFonts w:hint="cs"/>
          <w:rtl/>
        </w:rPr>
        <w:t>א תיתכן בה תנועה, כי אין הגדר</w:t>
      </w:r>
      <w:r w:rsidR="009A5331">
        <w:rPr>
          <w:rFonts w:hint="cs"/>
          <w:rtl/>
        </w:rPr>
        <w:t>ות מקום</w:t>
      </w:r>
      <w:r>
        <w:rPr>
          <w:rFonts w:hint="cs"/>
          <w:rtl/>
        </w:rPr>
        <w:t xml:space="preserve"> מניין ולאן התנועה</w:t>
      </w:r>
      <w:r w:rsidR="009A5331">
        <w:rPr>
          <w:rFonts w:hint="cs"/>
          <w:rtl/>
        </w:rPr>
        <w:t>, ואי</w:t>
      </w:r>
      <w:r w:rsidR="00D72C6D">
        <w:rPr>
          <w:rFonts w:hint="cs"/>
          <w:rtl/>
        </w:rPr>
        <w:t>ן</w:t>
      </w:r>
      <w:r w:rsidR="009A5331">
        <w:rPr>
          <w:rFonts w:hint="cs"/>
          <w:rtl/>
        </w:rPr>
        <w:t xml:space="preserve"> הגדרות עצם לומר מה הוא זה שנע, וגם אין הגדרות זמן לומר שיש </w:t>
      </w:r>
      <w:r w:rsidR="00D72C6D">
        <w:rPr>
          <w:rFonts w:hint="cs"/>
          <w:rtl/>
        </w:rPr>
        <w:t>'ל</w:t>
      </w:r>
      <w:r w:rsidR="009A5331">
        <w:rPr>
          <w:rFonts w:hint="cs"/>
          <w:rtl/>
        </w:rPr>
        <w:t>פני</w:t>
      </w:r>
      <w:r w:rsidR="00D72C6D">
        <w:rPr>
          <w:rFonts w:hint="cs"/>
          <w:rtl/>
        </w:rPr>
        <w:t>'</w:t>
      </w:r>
      <w:r w:rsidR="009A5331">
        <w:rPr>
          <w:rFonts w:hint="cs"/>
          <w:rtl/>
        </w:rPr>
        <w:t xml:space="preserve"> התנועה</w:t>
      </w:r>
      <w:r w:rsidR="00D72C6D">
        <w:rPr>
          <w:rFonts w:hint="cs"/>
          <w:rtl/>
        </w:rPr>
        <w:t xml:space="preserve"> </w:t>
      </w:r>
      <w:r w:rsidR="009A5331">
        <w:rPr>
          <w:rFonts w:hint="cs"/>
          <w:rtl/>
        </w:rPr>
        <w:t>ו</w:t>
      </w:r>
      <w:r w:rsidR="00D72C6D">
        <w:rPr>
          <w:rFonts w:hint="cs"/>
          <w:rtl/>
        </w:rPr>
        <w:t>'</w:t>
      </w:r>
      <w:r w:rsidR="009A5331">
        <w:rPr>
          <w:rFonts w:hint="cs"/>
          <w:rtl/>
        </w:rPr>
        <w:t>אחרי</w:t>
      </w:r>
      <w:r w:rsidR="00D72C6D">
        <w:rPr>
          <w:rFonts w:hint="cs"/>
          <w:rtl/>
        </w:rPr>
        <w:t>'</w:t>
      </w:r>
      <w:r w:rsidR="009A5331">
        <w:rPr>
          <w:rFonts w:hint="cs"/>
          <w:rtl/>
        </w:rPr>
        <w:t xml:space="preserve"> התנועה. </w:t>
      </w:r>
      <w:r w:rsidR="00D72C6D">
        <w:rPr>
          <w:rFonts w:hint="cs"/>
          <w:rtl/>
        </w:rPr>
        <w:t>אלא מדובר על עצם נצחי שהוא אחדות פשוטה ומוחלטת</w:t>
      </w:r>
      <w:r w:rsidR="00DB58CC">
        <w:rPr>
          <w:rFonts w:hint="cs"/>
          <w:rtl/>
        </w:rPr>
        <w:t xml:space="preserve"> (שעליו כתב במורה נבוכים א' ע"ב שהאחד ברא אחד)</w:t>
      </w:r>
      <w:r w:rsidR="00D72C6D">
        <w:rPr>
          <w:rFonts w:hint="cs"/>
          <w:rtl/>
        </w:rPr>
        <w:t>.</w:t>
      </w:r>
      <w:r w:rsidR="009601E3">
        <w:rPr>
          <w:rFonts w:hint="cs"/>
          <w:rtl/>
        </w:rPr>
        <w:t xml:space="preserve"> </w:t>
      </w:r>
      <w:r w:rsidR="00510918">
        <w:rPr>
          <w:rFonts w:hint="cs"/>
          <w:rtl/>
        </w:rPr>
        <w:t xml:space="preserve"> </w:t>
      </w:r>
    </w:p>
  </w:footnote>
  <w:footnote w:id="377">
    <w:p w14:paraId="7111925A" w14:textId="2967BD45" w:rsidR="00A56A54" w:rsidRDefault="00A56A54" w:rsidP="008A54D3">
      <w:pPr>
        <w:pStyle w:val="FootnoteText"/>
      </w:pPr>
      <w:r>
        <w:rPr>
          <w:rStyle w:val="FootnoteReference"/>
        </w:rPr>
        <w:footnoteRef/>
      </w:r>
      <w:r>
        <w:rPr>
          <w:rtl/>
        </w:rPr>
        <w:t xml:space="preserve"> </w:t>
      </w:r>
      <w:r w:rsidR="00C06A38">
        <w:rPr>
          <w:rFonts w:hint="cs"/>
          <w:rtl/>
        </w:rPr>
        <w:t>כלומר אטומים.</w:t>
      </w:r>
      <w:r w:rsidR="0023713A">
        <w:rPr>
          <w:rFonts w:hint="cs"/>
          <w:rtl/>
        </w:rPr>
        <w:t xml:space="preserve"> בעלי שיטה זו הם </w:t>
      </w:r>
      <w:r w:rsidR="0023713A">
        <w:rPr>
          <w:rFonts w:hint="cs"/>
          <w:rtl/>
        </w:rPr>
        <w:t>האטומיסטים</w:t>
      </w:r>
      <w:r w:rsidR="005039F1">
        <w:rPr>
          <w:rFonts w:hint="cs"/>
          <w:rtl/>
        </w:rPr>
        <w:t xml:space="preserve">, </w:t>
      </w:r>
      <w:r w:rsidR="00786BF1">
        <w:rPr>
          <w:rFonts w:hint="cs"/>
          <w:rtl/>
        </w:rPr>
        <w:t xml:space="preserve">לויקיפוס </w:t>
      </w:r>
      <w:r w:rsidR="00ED12BB">
        <w:rPr>
          <w:rFonts w:hint="cs"/>
          <w:rtl/>
        </w:rPr>
        <w:t xml:space="preserve">ותלמידו </w:t>
      </w:r>
      <w:r w:rsidR="005039F1">
        <w:rPr>
          <w:rFonts w:hint="cs"/>
          <w:rtl/>
        </w:rPr>
        <w:t>דמוקריטוס</w:t>
      </w:r>
      <w:r w:rsidR="00786BF1">
        <w:rPr>
          <w:rFonts w:hint="cs"/>
          <w:rtl/>
        </w:rPr>
        <w:t>. עיין</w:t>
      </w:r>
      <w:r w:rsidR="000F777F">
        <w:rPr>
          <w:rFonts w:hint="cs"/>
          <w:rtl/>
        </w:rPr>
        <w:t xml:space="preserve"> עוד</w:t>
      </w:r>
      <w:r w:rsidR="001601F9">
        <w:rPr>
          <w:rFonts w:hint="cs"/>
          <w:rtl/>
        </w:rPr>
        <w:t xml:space="preserve"> ב</w:t>
      </w:r>
      <w:r w:rsidR="006516EA">
        <w:rPr>
          <w:rFonts w:hint="cs"/>
          <w:rtl/>
        </w:rPr>
        <w:t>שיטתם ב</w:t>
      </w:r>
      <w:r w:rsidR="00786BF1">
        <w:rPr>
          <w:rFonts w:hint="cs"/>
          <w:rtl/>
        </w:rPr>
        <w:t xml:space="preserve">אריסטו </w:t>
      </w:r>
      <w:r w:rsidR="00D246D3">
        <w:rPr>
          <w:rFonts w:hint="cs"/>
          <w:rtl/>
        </w:rPr>
        <w:t xml:space="preserve">על ההתהוות וההפסד א' </w:t>
      </w:r>
      <w:r w:rsidR="008A54D3">
        <w:rPr>
          <w:rFonts w:hint="cs"/>
          <w:rtl/>
        </w:rPr>
        <w:t>ח' (</w:t>
      </w:r>
      <w:r w:rsidR="008A54D3" w:rsidRPr="008A54D3">
        <w:rPr>
          <w:rtl/>
        </w:rPr>
        <w:t>325</w:t>
      </w:r>
      <w:r w:rsidR="008A54D3">
        <w:rPr>
          <w:rFonts w:hint="cs"/>
          <w:rtl/>
        </w:rPr>
        <w:t>א שורה 23)</w:t>
      </w:r>
      <w:r w:rsidR="001601F9">
        <w:rPr>
          <w:rFonts w:hint="cs"/>
          <w:rtl/>
        </w:rPr>
        <w:t xml:space="preserve">, </w:t>
      </w:r>
      <w:r w:rsidR="00E428AF">
        <w:rPr>
          <w:rFonts w:hint="cs"/>
          <w:rtl/>
        </w:rPr>
        <w:t xml:space="preserve">במטאפיזיקה א' פרקים ג' ד', </w:t>
      </w:r>
      <w:r w:rsidR="00995756">
        <w:rPr>
          <w:rFonts w:hint="cs"/>
          <w:rtl/>
        </w:rPr>
        <w:t>בפיזיקה</w:t>
      </w:r>
      <w:r w:rsidR="008F11AE">
        <w:rPr>
          <w:rFonts w:hint="cs"/>
          <w:rtl/>
        </w:rPr>
        <w:t xml:space="preserve"> א' ה' </w:t>
      </w:r>
      <w:r w:rsidR="001601F9">
        <w:rPr>
          <w:rFonts w:hint="cs"/>
          <w:rtl/>
        </w:rPr>
        <w:t>וב</w:t>
      </w:r>
      <w:r w:rsidR="00E428AF">
        <w:rPr>
          <w:rFonts w:hint="cs"/>
          <w:rtl/>
        </w:rPr>
        <w:t xml:space="preserve">עוד </w:t>
      </w:r>
      <w:r w:rsidR="001601F9">
        <w:rPr>
          <w:rFonts w:hint="cs"/>
          <w:rtl/>
        </w:rPr>
        <w:t>מקומות רבים, בעיקר בפיזיקה</w:t>
      </w:r>
      <w:r w:rsidR="00873A33">
        <w:rPr>
          <w:rFonts w:hint="cs"/>
          <w:rtl/>
        </w:rPr>
        <w:t>.</w:t>
      </w:r>
      <w:r w:rsidR="001601F9">
        <w:rPr>
          <w:rFonts w:hint="cs"/>
          <w:rtl/>
        </w:rPr>
        <w:t xml:space="preserve"> הם </w:t>
      </w:r>
      <w:r w:rsidR="00E20B47">
        <w:rPr>
          <w:rFonts w:hint="cs"/>
          <w:rtl/>
        </w:rPr>
        <w:t>אלה ש</w:t>
      </w:r>
      <w:r w:rsidR="00873A33">
        <w:rPr>
          <w:rFonts w:hint="cs"/>
          <w:rtl/>
        </w:rPr>
        <w:t xml:space="preserve">עיקר דיונו של </w:t>
      </w:r>
      <w:r w:rsidR="00E20B47">
        <w:rPr>
          <w:rFonts w:hint="cs"/>
          <w:rtl/>
        </w:rPr>
        <w:t xml:space="preserve">אריסטו </w:t>
      </w:r>
      <w:r w:rsidR="00873A33">
        <w:rPr>
          <w:rFonts w:hint="cs"/>
          <w:rtl/>
        </w:rPr>
        <w:t>הוא</w:t>
      </w:r>
      <w:r w:rsidR="00D50C42">
        <w:rPr>
          <w:rFonts w:hint="cs"/>
          <w:rtl/>
        </w:rPr>
        <w:t xml:space="preserve"> כנגדם, כיוון שהם </w:t>
      </w:r>
      <w:r w:rsidR="0040619C">
        <w:rPr>
          <w:rFonts w:hint="cs"/>
          <w:rtl/>
        </w:rPr>
        <w:t>המסקנה ההכרחית</w:t>
      </w:r>
      <w:r w:rsidR="004C61B0">
        <w:rPr>
          <w:rFonts w:hint="cs"/>
          <w:rtl/>
        </w:rPr>
        <w:t xml:space="preserve"> והשלמה</w:t>
      </w:r>
      <w:r w:rsidR="0040619C">
        <w:rPr>
          <w:rFonts w:hint="cs"/>
          <w:rtl/>
        </w:rPr>
        <w:t xml:space="preserve"> של המטריאליזם שהוא בעל דינו של אריסטו, </w:t>
      </w:r>
      <w:r w:rsidR="00873A33">
        <w:rPr>
          <w:rFonts w:hint="cs"/>
          <w:rtl/>
        </w:rPr>
        <w:t>הרי</w:t>
      </w:r>
      <w:r w:rsidR="00BB3CBB">
        <w:rPr>
          <w:rFonts w:hint="cs"/>
          <w:rtl/>
        </w:rPr>
        <w:t xml:space="preserve"> </w:t>
      </w:r>
      <w:r w:rsidR="0040619C">
        <w:rPr>
          <w:rFonts w:hint="cs"/>
          <w:rtl/>
        </w:rPr>
        <w:t>עיקר משנתו של אריסטו ה</w:t>
      </w:r>
      <w:r w:rsidR="00087142">
        <w:rPr>
          <w:rFonts w:hint="cs"/>
          <w:rtl/>
        </w:rPr>
        <w:t>ו</w:t>
      </w:r>
      <w:r w:rsidR="0040619C">
        <w:rPr>
          <w:rFonts w:hint="cs"/>
          <w:rtl/>
        </w:rPr>
        <w:t>א להוציא מה</w:t>
      </w:r>
      <w:r w:rsidR="00BB3CBB">
        <w:rPr>
          <w:rFonts w:hint="cs"/>
          <w:rtl/>
        </w:rPr>
        <w:t>מ</w:t>
      </w:r>
      <w:r w:rsidR="0040619C">
        <w:rPr>
          <w:rFonts w:hint="cs"/>
          <w:rtl/>
        </w:rPr>
        <w:t>טריאליזם</w:t>
      </w:r>
      <w:r w:rsidR="005039F1">
        <w:rPr>
          <w:rFonts w:hint="cs"/>
          <w:rtl/>
        </w:rPr>
        <w:t xml:space="preserve">. </w:t>
      </w:r>
    </w:p>
  </w:footnote>
  <w:footnote w:id="378">
    <w:p w14:paraId="7FBD568E" w14:textId="05BD6477" w:rsidR="00866224" w:rsidRDefault="00866224">
      <w:pPr>
        <w:pStyle w:val="FootnoteText"/>
      </w:pPr>
      <w:r>
        <w:rPr>
          <w:rStyle w:val="FootnoteReference"/>
        </w:rPr>
        <w:footnoteRef/>
      </w:r>
      <w:r>
        <w:rPr>
          <w:rtl/>
        </w:rPr>
        <w:t xml:space="preserve"> </w:t>
      </w:r>
      <w:r w:rsidR="00C06A38" w:rsidRPr="00C06A38">
        <w:rPr>
          <w:rFonts w:cs="Times New Roman" w:hint="eastAsia"/>
          <w:rtl/>
          <w:lang w:bidi="ar-SA"/>
        </w:rPr>
        <w:t>مبثوثة</w:t>
      </w:r>
      <w:r w:rsidR="00C06A38">
        <w:rPr>
          <w:rFonts w:cs="Times New Roman" w:hint="cs"/>
          <w:rtl/>
        </w:rPr>
        <w:t xml:space="preserve">. </w:t>
      </w:r>
      <w:r>
        <w:rPr>
          <w:rFonts w:hint="cs"/>
          <w:rtl/>
        </w:rPr>
        <w:t xml:space="preserve">בקוראן בסורה </w:t>
      </w:r>
      <w:r w:rsidR="00FE1AB6">
        <w:rPr>
          <w:rFonts w:hint="cs"/>
          <w:rtl/>
        </w:rPr>
        <w:t>אל</w:t>
      </w:r>
      <w:r w:rsidR="00130A7C">
        <w:rPr>
          <w:rFonts w:hint="cs"/>
          <w:rtl/>
        </w:rPr>
        <w:t>ע'</w:t>
      </w:r>
      <w:r w:rsidR="0089025E">
        <w:rPr>
          <w:rFonts w:hint="cs"/>
          <w:rtl/>
        </w:rPr>
        <w:t>א</w:t>
      </w:r>
      <w:r>
        <w:rPr>
          <w:rFonts w:hint="cs"/>
          <w:rtl/>
        </w:rPr>
        <w:t>שיה 16 המילה משמשת ל</w:t>
      </w:r>
      <w:r w:rsidR="00FE1AB6">
        <w:rPr>
          <w:rFonts w:hint="cs"/>
          <w:rtl/>
        </w:rPr>
        <w:t xml:space="preserve">ומר </w:t>
      </w:r>
      <w:r w:rsidR="00020282">
        <w:rPr>
          <w:rFonts w:hint="cs"/>
          <w:rtl/>
        </w:rPr>
        <w:t xml:space="preserve">על </w:t>
      </w:r>
      <w:r w:rsidR="00FE1AB6">
        <w:rPr>
          <w:rFonts w:hint="cs"/>
          <w:rtl/>
        </w:rPr>
        <w:t>שט</w:t>
      </w:r>
      <w:r w:rsidR="00020282">
        <w:rPr>
          <w:rFonts w:hint="cs"/>
          <w:rtl/>
        </w:rPr>
        <w:t>י</w:t>
      </w:r>
      <w:r w:rsidR="00FE1AB6">
        <w:rPr>
          <w:rFonts w:hint="cs"/>
          <w:rtl/>
        </w:rPr>
        <w:t xml:space="preserve">חים </w:t>
      </w:r>
      <w:r w:rsidR="00020282">
        <w:rPr>
          <w:rFonts w:hint="cs"/>
          <w:rtl/>
        </w:rPr>
        <w:t xml:space="preserve">בגן נאה </w:t>
      </w:r>
      <w:r w:rsidR="008F12B1">
        <w:rPr>
          <w:rFonts w:hint="cs"/>
          <w:rtl/>
        </w:rPr>
        <w:t xml:space="preserve">שהם </w:t>
      </w:r>
      <w:r w:rsidR="00FE1AB6">
        <w:rPr>
          <w:rFonts w:hint="cs"/>
          <w:rtl/>
        </w:rPr>
        <w:t>מפוזרים</w:t>
      </w:r>
      <w:r w:rsidR="008F12B1">
        <w:rPr>
          <w:rFonts w:hint="cs"/>
          <w:rtl/>
        </w:rPr>
        <w:t xml:space="preserve"> בג</w:t>
      </w:r>
      <w:r w:rsidR="00E87DFA">
        <w:rPr>
          <w:rFonts w:hint="cs"/>
          <w:rtl/>
        </w:rPr>
        <w:t xml:space="preserve">ן. </w:t>
      </w:r>
      <w:r w:rsidR="00C84180">
        <w:rPr>
          <w:rFonts w:hint="cs"/>
          <w:rtl/>
        </w:rPr>
        <w:t xml:space="preserve">חלק מהמתרגמים החשובים תרגמו </w:t>
      </w:r>
      <w:r w:rsidR="00916504">
        <w:rPr>
          <w:rFonts w:hint="cs"/>
          <w:rtl/>
        </w:rPr>
        <w:t>"</w:t>
      </w:r>
      <w:r w:rsidR="00916504" w:rsidRPr="00916504">
        <w:t>spread</w:t>
      </w:r>
      <w:r w:rsidR="00916504">
        <w:rPr>
          <w:rFonts w:hint="cs"/>
          <w:rtl/>
        </w:rPr>
        <w:t xml:space="preserve">" כלומר מפוזרים, </w:t>
      </w:r>
      <w:r w:rsidR="005F31B6">
        <w:rPr>
          <w:rFonts w:hint="cs"/>
          <w:rtl/>
        </w:rPr>
        <w:t xml:space="preserve">וחלק תרגמו </w:t>
      </w:r>
      <w:r w:rsidR="00B80AAE" w:rsidRPr="00B80AAE">
        <w:rPr>
          <w:rtl/>
        </w:rPr>
        <w:t>"</w:t>
      </w:r>
      <w:r w:rsidR="00B80AAE" w:rsidRPr="00B80AAE">
        <w:t>spread</w:t>
      </w:r>
      <w:r w:rsidR="00B80AAE">
        <w:t xml:space="preserve"> out</w:t>
      </w:r>
      <w:r w:rsidR="00B80AAE" w:rsidRPr="00B80AAE">
        <w:rPr>
          <w:rtl/>
        </w:rPr>
        <w:t>"</w:t>
      </w:r>
      <w:r w:rsidR="00B80AAE">
        <w:rPr>
          <w:rFonts w:hint="cs"/>
          <w:rtl/>
        </w:rPr>
        <w:t xml:space="preserve"> כלומר התפשטות השטיח</w:t>
      </w:r>
      <w:r w:rsidR="0057573D">
        <w:rPr>
          <w:rFonts w:hint="cs"/>
          <w:rtl/>
        </w:rPr>
        <w:t xml:space="preserve">ים אל המצב של להיות מפוזרים בגן, </w:t>
      </w:r>
      <w:r w:rsidR="009F6C1E">
        <w:rPr>
          <w:rFonts w:hint="cs"/>
          <w:rtl/>
        </w:rPr>
        <w:t>ועל דרך זו המילה</w:t>
      </w:r>
      <w:r w:rsidR="0057573D">
        <w:rPr>
          <w:rFonts w:hint="cs"/>
          <w:rtl/>
        </w:rPr>
        <w:t xml:space="preserve"> הזו משמשת גם במובן של שידור.</w:t>
      </w:r>
      <w:r w:rsidR="00551017">
        <w:rPr>
          <w:rFonts w:hint="cs"/>
          <w:rtl/>
        </w:rPr>
        <w:t xml:space="preserve"> תרגמתי מפוזרים ולא מתפזרים לפי האפשרות הראשונה, כי התנועה היא מקרה שחל בחלקיקים האלה כמו כל שאר המקרים שגור</w:t>
      </w:r>
      <w:r w:rsidR="00C6769B">
        <w:rPr>
          <w:rFonts w:hint="cs"/>
          <w:rtl/>
        </w:rPr>
        <w:t xml:space="preserve">מים למציאות להיות מורכבת מעצמים שונים, </w:t>
      </w:r>
      <w:r w:rsidR="00551017">
        <w:rPr>
          <w:rFonts w:hint="cs"/>
          <w:rtl/>
        </w:rPr>
        <w:t xml:space="preserve">ואינה מעיקר עצמותם.  </w:t>
      </w:r>
    </w:p>
  </w:footnote>
  <w:footnote w:id="379">
    <w:p w14:paraId="126E7687" w14:textId="5BDBDF40" w:rsidR="00C005AA" w:rsidRDefault="00C005AA">
      <w:pPr>
        <w:pStyle w:val="FootnoteText"/>
        <w:rPr>
          <w:rtl/>
        </w:rPr>
      </w:pPr>
      <w:r>
        <w:rPr>
          <w:rStyle w:val="FootnoteReference"/>
        </w:rPr>
        <w:footnoteRef/>
      </w:r>
      <w:r>
        <w:rPr>
          <w:rtl/>
        </w:rPr>
        <w:t xml:space="preserve"> </w:t>
      </w:r>
      <w:r w:rsidR="00E13CFA">
        <w:rPr>
          <w:rFonts w:hint="cs"/>
          <w:rtl/>
        </w:rPr>
        <w:t>"</w:t>
      </w:r>
      <w:r w:rsidR="002F70B5">
        <w:rPr>
          <w:rFonts w:hint="cs"/>
          <w:rtl/>
        </w:rPr>
        <w:t>החלקים שאינם מתחלקים</w:t>
      </w:r>
      <w:r w:rsidR="00E13CFA">
        <w:rPr>
          <w:rFonts w:hint="cs"/>
          <w:rtl/>
        </w:rPr>
        <w:t>"</w:t>
      </w:r>
      <w:r w:rsidR="002F70B5">
        <w:rPr>
          <w:rFonts w:hint="cs"/>
          <w:rtl/>
        </w:rPr>
        <w:t xml:space="preserve">, האטומים, בהכרח המידות שלהן הן אפס. כי אם יש להם אורך כלשהו שנמדד במספר כלשהו, הרי כל מספר גדול מאפס יכול להתחלק הלאה. </w:t>
      </w:r>
      <w:r w:rsidR="00311DC9">
        <w:rPr>
          <w:rFonts w:hint="cs"/>
          <w:rtl/>
        </w:rPr>
        <w:t xml:space="preserve">מדובר כאן על חוסר אפשרות להתחלק מבחינה פילוסופית, לוגית. מה שלא יכול להתחלק בגלל חוקי הטבע, וכגון יהלום שאין חומר קשה יותר ממנו שיכול לשבור אותו, זה לא נחשב </w:t>
      </w:r>
      <w:r w:rsidR="004E5F10">
        <w:rPr>
          <w:rFonts w:hint="cs"/>
          <w:rtl/>
        </w:rPr>
        <w:t xml:space="preserve">אטום, חלק שאינו יכול להתחלק. האטומים של הפיזיקה המודרנית, וכן גם הקוונטים, הם כמו יהלום מבחינה זו, יש חוק טבע שמונע </w:t>
      </w:r>
      <w:r w:rsidR="00F11F3D">
        <w:rPr>
          <w:rFonts w:hint="cs"/>
          <w:rtl/>
        </w:rPr>
        <w:t xml:space="preserve">את חלוקתם, </w:t>
      </w:r>
      <w:r w:rsidR="004E5F10">
        <w:rPr>
          <w:rFonts w:hint="cs"/>
          <w:rtl/>
        </w:rPr>
        <w:t>אבל מבחינה פילוסופית אם</w:t>
      </w:r>
      <w:r w:rsidR="00F11F3D">
        <w:rPr>
          <w:rFonts w:hint="cs"/>
          <w:rtl/>
        </w:rPr>
        <w:t xml:space="preserve"> </w:t>
      </w:r>
      <w:r w:rsidR="004E5F10">
        <w:rPr>
          <w:rFonts w:hint="cs"/>
          <w:rtl/>
        </w:rPr>
        <w:t>יש לה</w:t>
      </w:r>
      <w:r w:rsidR="00F11F3D">
        <w:rPr>
          <w:rFonts w:hint="cs"/>
          <w:rtl/>
        </w:rPr>
        <w:t>ם</w:t>
      </w:r>
      <w:r w:rsidR="004E5F10">
        <w:rPr>
          <w:rFonts w:hint="cs"/>
          <w:rtl/>
        </w:rPr>
        <w:t xml:space="preserve"> מידות אורך מספריות הם יכולים להתחלק. </w:t>
      </w:r>
      <w:r w:rsidR="00580DBE">
        <w:rPr>
          <w:rFonts w:hint="cs"/>
          <w:rtl/>
        </w:rPr>
        <w:t>לומר שהחלקים שאינם מתחלקים אין להם מידות אורך רוחב וגובה מעורר בעיות בלתי ניתנות לפתרון בשיטה הזו, ו</w:t>
      </w:r>
      <w:r w:rsidR="00AC6327">
        <w:rPr>
          <w:rFonts w:hint="cs"/>
          <w:rtl/>
        </w:rPr>
        <w:t>כמו שמבואר ב</w:t>
      </w:r>
      <w:hyperlink r:id="rId85" w:history="1">
        <w:r w:rsidR="00AC6327" w:rsidRPr="00FC5858">
          <w:rPr>
            <w:rStyle w:val="Hyperlink"/>
            <w:rFonts w:hint="cs"/>
            <w:rtl/>
          </w:rPr>
          <w:t>הערות ורמיזות</w:t>
        </w:r>
      </w:hyperlink>
      <w:r w:rsidR="00AC6327">
        <w:rPr>
          <w:rFonts w:hint="cs"/>
          <w:rtl/>
        </w:rPr>
        <w:t xml:space="preserve"> פיזיקה א' פרקים </w:t>
      </w:r>
      <w:r w:rsidR="00FC5858">
        <w:rPr>
          <w:rFonts w:hint="cs"/>
          <w:rtl/>
        </w:rPr>
        <w:t>א'-</w:t>
      </w:r>
      <w:r w:rsidR="00D3370A">
        <w:rPr>
          <w:rFonts w:hint="cs"/>
          <w:rtl/>
        </w:rPr>
        <w:t>ז</w:t>
      </w:r>
      <w:r w:rsidR="00FC5858">
        <w:rPr>
          <w:rFonts w:hint="cs"/>
          <w:rtl/>
        </w:rPr>
        <w:t>'</w:t>
      </w:r>
      <w:r w:rsidR="00AC6327">
        <w:rPr>
          <w:rFonts w:hint="cs"/>
          <w:rtl/>
        </w:rPr>
        <w:t>, עיין שם, והארכתי שם בהערות וגם ב</w:t>
      </w:r>
      <w:r w:rsidR="00FC5858">
        <w:rPr>
          <w:rFonts w:hint="cs"/>
          <w:rtl/>
        </w:rPr>
        <w:t>מאמרים ומקורות נלווים שבסוף הספר</w:t>
      </w:r>
      <w:r w:rsidR="00A6595F">
        <w:rPr>
          <w:rFonts w:hint="cs"/>
          <w:rtl/>
        </w:rPr>
        <w:t>,</w:t>
      </w:r>
      <w:r w:rsidR="00AC6327">
        <w:rPr>
          <w:rFonts w:hint="cs"/>
          <w:rtl/>
        </w:rPr>
        <w:t xml:space="preserve"> בביאור עומק המחלוקת עם </w:t>
      </w:r>
      <w:r w:rsidR="00AC6327">
        <w:rPr>
          <w:rFonts w:hint="cs"/>
          <w:rtl/>
        </w:rPr>
        <w:t xml:space="preserve">האטומיסטים. </w:t>
      </w:r>
    </w:p>
    <w:p w14:paraId="3C03F03F" w14:textId="21BCF750" w:rsidR="00F11F3D" w:rsidRDefault="00F11F3D" w:rsidP="00E277AD">
      <w:pPr>
        <w:pStyle w:val="FootnoteText"/>
      </w:pPr>
      <w:r>
        <w:rPr>
          <w:rFonts w:hint="cs"/>
          <w:rtl/>
        </w:rPr>
        <w:t>לעומת</w:t>
      </w:r>
      <w:r w:rsidR="00E44CFD">
        <w:rPr>
          <w:rFonts w:hint="cs"/>
          <w:rtl/>
        </w:rPr>
        <w:t xml:space="preserve"> "החלקים שאינם מתחלקים",</w:t>
      </w:r>
      <w:r>
        <w:rPr>
          <w:rFonts w:hint="cs"/>
          <w:rtl/>
        </w:rPr>
        <w:t xml:space="preserve"> </w:t>
      </w:r>
      <w:r w:rsidR="00E44CFD">
        <w:rPr>
          <w:rFonts w:hint="cs"/>
          <w:rtl/>
        </w:rPr>
        <w:t>"</w:t>
      </w:r>
      <w:r>
        <w:rPr>
          <w:rFonts w:hint="cs"/>
          <w:rtl/>
        </w:rPr>
        <w:t>הג</w:t>
      </w:r>
      <w:r w:rsidR="006C1D05">
        <w:rPr>
          <w:rFonts w:hint="cs"/>
          <w:rtl/>
        </w:rPr>
        <w:t>ופ</w:t>
      </w:r>
      <w:r>
        <w:rPr>
          <w:rFonts w:hint="cs"/>
          <w:rtl/>
        </w:rPr>
        <w:t>ים הזעירים</w:t>
      </w:r>
      <w:r w:rsidR="00E44CFD">
        <w:rPr>
          <w:rFonts w:hint="cs"/>
          <w:rtl/>
        </w:rPr>
        <w:t>"</w:t>
      </w:r>
      <w:r w:rsidR="006A5613">
        <w:rPr>
          <w:rFonts w:hint="cs"/>
          <w:rtl/>
        </w:rPr>
        <w:t xml:space="preserve"> </w:t>
      </w:r>
      <w:r w:rsidR="005E74D9">
        <w:rPr>
          <w:rFonts w:hint="cs"/>
          <w:rtl/>
        </w:rPr>
        <w:t>שכותב כאן אבן</w:t>
      </w:r>
      <w:r w:rsidR="005E74D9" w:rsidRPr="001B0372">
        <w:rPr>
          <w:rtl/>
        </w:rPr>
        <w:t xml:space="preserve"> סינא </w:t>
      </w:r>
      <w:r w:rsidRPr="001B0372">
        <w:rPr>
          <w:rtl/>
        </w:rPr>
        <w:t>הם גופים</w:t>
      </w:r>
      <w:r w:rsidR="006A5613" w:rsidRPr="001B0372">
        <w:rPr>
          <w:rtl/>
        </w:rPr>
        <w:t xml:space="preserve"> (בערבית </w:t>
      </w:r>
      <w:r w:rsidR="006A5613" w:rsidRPr="001B0372">
        <w:rPr>
          <w:rtl/>
          <w:lang w:bidi="ar-SA"/>
        </w:rPr>
        <w:t xml:space="preserve"> </w:t>
      </w:r>
      <w:r w:rsidR="006A5613" w:rsidRPr="001B0372">
        <w:rPr>
          <w:rFonts w:ascii="Arial" w:hAnsi="Arial" w:cs="Arial" w:hint="cs"/>
          <w:rtl/>
          <w:lang w:bidi="ar-SA"/>
        </w:rPr>
        <w:t>أجساما</w:t>
      </w:r>
      <w:r w:rsidR="006A5613" w:rsidRPr="001B0372">
        <w:rPr>
          <w:rtl/>
        </w:rPr>
        <w:t xml:space="preserve">, מה שנקרא בתרגומי ימי הביניים </w:t>
      </w:r>
      <w:r w:rsidR="001B0372" w:rsidRPr="001B0372">
        <w:rPr>
          <w:rtl/>
        </w:rPr>
        <w:t>'</w:t>
      </w:r>
      <w:r w:rsidR="006A5613" w:rsidRPr="001B0372">
        <w:rPr>
          <w:rtl/>
        </w:rPr>
        <w:t>גשמים</w:t>
      </w:r>
      <w:r w:rsidR="001B0372" w:rsidRPr="001B0372">
        <w:rPr>
          <w:rtl/>
        </w:rPr>
        <w:t>'</w:t>
      </w:r>
      <w:r w:rsidR="006A5613" w:rsidRPr="001B0372">
        <w:rPr>
          <w:rtl/>
        </w:rPr>
        <w:t xml:space="preserve">) </w:t>
      </w:r>
      <w:r w:rsidR="006C1D05" w:rsidRPr="001B0372">
        <w:rPr>
          <w:rtl/>
        </w:rPr>
        <w:t xml:space="preserve"> </w:t>
      </w:r>
      <w:r w:rsidR="006C1D05">
        <w:rPr>
          <w:rFonts w:hint="cs"/>
          <w:rtl/>
        </w:rPr>
        <w:t>ש</w:t>
      </w:r>
      <w:r>
        <w:rPr>
          <w:rFonts w:hint="cs"/>
          <w:rtl/>
        </w:rPr>
        <w:t>יש להם מידות אורך ורוחב</w:t>
      </w:r>
      <w:r w:rsidR="006C1D05">
        <w:rPr>
          <w:rFonts w:hint="cs"/>
          <w:rtl/>
        </w:rPr>
        <w:t>, ו</w:t>
      </w:r>
      <w:r w:rsidR="00096D01">
        <w:rPr>
          <w:rFonts w:hint="cs"/>
          <w:rtl/>
        </w:rPr>
        <w:t xml:space="preserve">משום כך הם </w:t>
      </w:r>
      <w:r w:rsidR="00D71EFF">
        <w:rPr>
          <w:rFonts w:hint="cs"/>
          <w:rtl/>
        </w:rPr>
        <w:t xml:space="preserve">בהכרח </w:t>
      </w:r>
      <w:r w:rsidR="00096D01">
        <w:rPr>
          <w:rFonts w:hint="cs"/>
          <w:rtl/>
        </w:rPr>
        <w:t>יכולים להתחלק</w:t>
      </w:r>
      <w:r w:rsidR="004C5744">
        <w:rPr>
          <w:rFonts w:hint="cs"/>
          <w:rtl/>
        </w:rPr>
        <w:t xml:space="preserve"> (ולכן לא נקראים </w:t>
      </w:r>
      <w:r w:rsidR="0026478F">
        <w:rPr>
          <w:rFonts w:hint="cs"/>
          <w:rtl/>
        </w:rPr>
        <w:t>"</w:t>
      </w:r>
      <w:r w:rsidR="004C5744">
        <w:rPr>
          <w:rFonts w:hint="cs"/>
          <w:rtl/>
        </w:rPr>
        <w:t>בלתי מתחלקים</w:t>
      </w:r>
      <w:r w:rsidR="0026478F">
        <w:rPr>
          <w:rFonts w:hint="cs"/>
          <w:rtl/>
        </w:rPr>
        <w:t>",</w:t>
      </w:r>
      <w:r w:rsidR="004C5744">
        <w:rPr>
          <w:rFonts w:hint="cs"/>
          <w:rtl/>
        </w:rPr>
        <w:t xml:space="preserve"> אלא </w:t>
      </w:r>
      <w:r w:rsidR="0026478F">
        <w:rPr>
          <w:rFonts w:hint="cs"/>
          <w:rtl/>
        </w:rPr>
        <w:t>"</w:t>
      </w:r>
      <w:r w:rsidR="004C5744">
        <w:rPr>
          <w:rFonts w:hint="cs"/>
          <w:rtl/>
        </w:rPr>
        <w:t>זעירים</w:t>
      </w:r>
      <w:r w:rsidR="0026478F">
        <w:rPr>
          <w:rFonts w:hint="cs"/>
          <w:rtl/>
        </w:rPr>
        <w:t>", כלומר שזעירותם מונעת את החלוקה ולא שאין אפשרות כלל לחלק אותם כמו</w:t>
      </w:r>
      <w:r w:rsidR="0000276E">
        <w:rPr>
          <w:rFonts w:hint="cs"/>
          <w:rtl/>
        </w:rPr>
        <w:t xml:space="preserve"> </w:t>
      </w:r>
      <w:r w:rsidR="0026478F">
        <w:rPr>
          <w:rFonts w:hint="cs"/>
          <w:rtl/>
        </w:rPr>
        <w:t>שאין אפשרות לחלק דבר שאין לו מידות</w:t>
      </w:r>
      <w:r w:rsidR="0000276E">
        <w:rPr>
          <w:rFonts w:hint="cs"/>
          <w:rtl/>
        </w:rPr>
        <w:t>, משום שאפס אינו מספר שמתחלק</w:t>
      </w:r>
      <w:r w:rsidR="004C5744">
        <w:rPr>
          <w:rFonts w:hint="cs"/>
          <w:rtl/>
        </w:rPr>
        <w:t>)</w:t>
      </w:r>
      <w:r w:rsidR="00C51325">
        <w:rPr>
          <w:rFonts w:hint="cs"/>
          <w:rtl/>
        </w:rPr>
        <w:t>.</w:t>
      </w:r>
      <w:r w:rsidR="005E74D9">
        <w:rPr>
          <w:rFonts w:hint="cs"/>
          <w:rtl/>
        </w:rPr>
        <w:t xml:space="preserve"> </w:t>
      </w:r>
      <w:r w:rsidR="00096D01">
        <w:rPr>
          <w:rFonts w:hint="cs"/>
          <w:rtl/>
        </w:rPr>
        <w:t xml:space="preserve">בעלי שיטה זו </w:t>
      </w:r>
      <w:r w:rsidR="0068445F">
        <w:rPr>
          <w:rFonts w:hint="cs"/>
          <w:rtl/>
        </w:rPr>
        <w:t xml:space="preserve">כדי להתחמק מהקושיות על השיטה שלחלקיק היסודי אין מידות, </w:t>
      </w:r>
      <w:r w:rsidR="00096D01">
        <w:rPr>
          <w:rFonts w:hint="cs"/>
          <w:rtl/>
        </w:rPr>
        <w:t>סמכו דבריהם על אפלטון בטימיאוס שאמר שיש גופיפים זעירים בעלי מבנה גיאומטרי</w:t>
      </w:r>
      <w:r w:rsidR="001D33BE">
        <w:rPr>
          <w:rFonts w:hint="cs"/>
          <w:rtl/>
        </w:rPr>
        <w:t>, ובעלי מידות קטנות מאוד,</w:t>
      </w:r>
      <w:r w:rsidR="00096D01">
        <w:rPr>
          <w:rFonts w:hint="cs"/>
          <w:rtl/>
        </w:rPr>
        <w:t xml:space="preserve"> שמהם מורכבים היסודות. </w:t>
      </w:r>
      <w:r w:rsidR="006C1D05">
        <w:rPr>
          <w:rFonts w:hint="cs"/>
          <w:rtl/>
        </w:rPr>
        <w:t xml:space="preserve">עיין בזה ברמיזות והערות חלק א' פרק ז'. </w:t>
      </w:r>
      <w:r w:rsidR="00A902B9">
        <w:rPr>
          <w:rFonts w:hint="cs"/>
          <w:rtl/>
        </w:rPr>
        <w:t xml:space="preserve">זו טעות, כי אפלטון לא דיבר על גופים בעלי נפח כלשהו אלא על עקרונות רוחניים מופשטים, הוא לא היה פילוסוף של טבע אלא תיאולוג. </w:t>
      </w:r>
      <w:r w:rsidR="006852BC">
        <w:rPr>
          <w:rFonts w:hint="cs"/>
          <w:rtl/>
        </w:rPr>
        <w:t>עיין בטימיאוס מעמ' 5</w:t>
      </w:r>
      <w:r w:rsidR="00475A65">
        <w:rPr>
          <w:rFonts w:hint="cs"/>
          <w:rtl/>
        </w:rPr>
        <w:t>2</w:t>
      </w:r>
      <w:r w:rsidR="006852BC">
        <w:rPr>
          <w:rFonts w:hint="cs"/>
          <w:rtl/>
        </w:rPr>
        <w:t xml:space="preserve">, שם כתב על אותם גופים גיאומטריים זעירים שהם היו עוד לפני </w:t>
      </w:r>
      <w:r w:rsidR="00B441EE">
        <w:rPr>
          <w:rFonts w:hint="cs"/>
          <w:rtl/>
        </w:rPr>
        <w:t xml:space="preserve">שהגיעו היסודות </w:t>
      </w:r>
      <w:r w:rsidR="00475A65">
        <w:rPr>
          <w:rFonts w:hint="cs"/>
          <w:rtl/>
        </w:rPr>
        <w:t>אל</w:t>
      </w:r>
      <w:r w:rsidR="00B441EE">
        <w:rPr>
          <w:rFonts w:hint="cs"/>
          <w:rtl/>
        </w:rPr>
        <w:t xml:space="preserve"> מקומם וזה הי</w:t>
      </w:r>
      <w:r w:rsidR="00475A65">
        <w:rPr>
          <w:rFonts w:hint="cs"/>
          <w:rtl/>
        </w:rPr>
        <w:t>ה</w:t>
      </w:r>
      <w:r w:rsidR="00B441EE">
        <w:rPr>
          <w:rFonts w:hint="cs"/>
          <w:rtl/>
        </w:rPr>
        <w:t xml:space="preserve"> </w:t>
      </w:r>
      <w:r w:rsidR="00D56790">
        <w:rPr>
          <w:rFonts w:hint="cs"/>
          <w:rtl/>
        </w:rPr>
        <w:t>"</w:t>
      </w:r>
      <w:r w:rsidR="00B441EE">
        <w:rPr>
          <w:rFonts w:hint="cs"/>
          <w:rtl/>
        </w:rPr>
        <w:t>ב</w:t>
      </w:r>
      <w:r w:rsidR="00D56790">
        <w:rPr>
          <w:rFonts w:hint="cs"/>
          <w:rtl/>
        </w:rPr>
        <w:t xml:space="preserve">אותו </w:t>
      </w:r>
      <w:r w:rsidR="00B441EE">
        <w:rPr>
          <w:rFonts w:hint="cs"/>
          <w:rtl/>
        </w:rPr>
        <w:t>מצב של העדר אלוה</w:t>
      </w:r>
      <w:r w:rsidR="00D56790">
        <w:rPr>
          <w:rFonts w:hint="cs"/>
          <w:rtl/>
        </w:rPr>
        <w:t>"</w:t>
      </w:r>
      <w:r w:rsidR="00B441EE">
        <w:rPr>
          <w:rFonts w:hint="cs"/>
          <w:rtl/>
        </w:rPr>
        <w:t xml:space="preserve">, </w:t>
      </w:r>
      <w:r w:rsidR="00475A65">
        <w:rPr>
          <w:rFonts w:hint="cs"/>
          <w:rtl/>
        </w:rPr>
        <w:t>ומציאותם הי</w:t>
      </w:r>
      <w:r w:rsidR="00D56790">
        <w:rPr>
          <w:rFonts w:hint="cs"/>
          <w:rtl/>
        </w:rPr>
        <w:t>ת</w:t>
      </w:r>
      <w:r w:rsidR="00475A65">
        <w:rPr>
          <w:rFonts w:hint="cs"/>
          <w:rtl/>
        </w:rPr>
        <w:t xml:space="preserve">ה על ידי צורות ומספרים. </w:t>
      </w:r>
      <w:r w:rsidR="00D56790">
        <w:rPr>
          <w:rFonts w:hint="cs"/>
          <w:rtl/>
        </w:rPr>
        <w:t>והכוונה שהמציאות הייתה באופן של מציאות מתימטית לפני שנעשתה חומרית</w:t>
      </w:r>
      <w:r w:rsidR="00A6741E">
        <w:rPr>
          <w:rFonts w:hint="cs"/>
          <w:rtl/>
        </w:rPr>
        <w:t xml:space="preserve"> ושם בהערות על הרמיזות וההערות ובעוד מקומות הארכתי בזה הרבה</w:t>
      </w:r>
      <w:r w:rsidR="007D671D">
        <w:rPr>
          <w:rFonts w:hint="cs"/>
          <w:rtl/>
        </w:rPr>
        <w:t>, וכן בספר זה לעיל במקומות שדובר על ה"בוהו"</w:t>
      </w:r>
      <w:r w:rsidR="003F6B0A">
        <w:rPr>
          <w:rFonts w:hint="cs"/>
          <w:rtl/>
        </w:rPr>
        <w:t xml:space="preserve">. וכתב בטימיאוס שם: </w:t>
      </w:r>
      <w:r w:rsidR="00E277AD">
        <w:rPr>
          <w:rFonts w:hint="cs"/>
          <w:rtl/>
        </w:rPr>
        <w:t>"</w:t>
      </w:r>
      <w:r w:rsidR="003F6B0A">
        <w:rPr>
          <w:rtl/>
        </w:rPr>
        <w:t>כך היה, אפוא, טיבם, בשעה שהוחל בתיקון העולם, ואותה שעה נתן להם האל בתחילה תבנית נפרדת, על ידי צורות ומספרים</w:t>
      </w:r>
      <w:r w:rsidR="00E277AD">
        <w:rPr>
          <w:rFonts w:hint="cs"/>
          <w:rtl/>
        </w:rPr>
        <w:t>".</w:t>
      </w:r>
    </w:p>
  </w:footnote>
  <w:footnote w:id="380">
    <w:p w14:paraId="0099A291" w14:textId="11EA7819" w:rsidR="00604A81" w:rsidRDefault="00604A81">
      <w:pPr>
        <w:pStyle w:val="FootnoteText"/>
      </w:pPr>
      <w:r>
        <w:rPr>
          <w:rStyle w:val="FootnoteReference"/>
        </w:rPr>
        <w:footnoteRef/>
      </w:r>
      <w:r>
        <w:rPr>
          <w:rtl/>
        </w:rPr>
        <w:t xml:space="preserve"> </w:t>
      </w:r>
      <w:r w:rsidR="00614F32">
        <w:rPr>
          <w:rFonts w:hint="cs"/>
          <w:rtl/>
        </w:rPr>
        <w:t xml:space="preserve">מלבד המים והאוויר גם האש והעפר, </w:t>
      </w:r>
      <w:r w:rsidR="001C1EF7">
        <w:rPr>
          <w:rFonts w:hint="cs"/>
          <w:rtl/>
        </w:rPr>
        <w:t>ו</w:t>
      </w:r>
      <w:r w:rsidR="00B90E2D">
        <w:rPr>
          <w:rFonts w:hint="cs"/>
          <w:rtl/>
        </w:rPr>
        <w:t xml:space="preserve">הכל הוא </w:t>
      </w:r>
      <w:r w:rsidR="001C1EF7">
        <w:rPr>
          <w:rFonts w:hint="cs"/>
          <w:rtl/>
        </w:rPr>
        <w:t>תרכובת ארבעת אלה</w:t>
      </w:r>
      <w:r w:rsidR="00B90E2D">
        <w:rPr>
          <w:rFonts w:hint="cs"/>
          <w:rtl/>
        </w:rPr>
        <w:t>.</w:t>
      </w:r>
    </w:p>
  </w:footnote>
  <w:footnote w:id="381">
    <w:p w14:paraId="42088E04" w14:textId="08084FD9" w:rsidR="00947CDE" w:rsidRDefault="00947CDE">
      <w:pPr>
        <w:pStyle w:val="FootnoteText"/>
      </w:pPr>
      <w:r>
        <w:rPr>
          <w:rStyle w:val="FootnoteReference"/>
        </w:rPr>
        <w:footnoteRef/>
      </w:r>
      <w:r>
        <w:rPr>
          <w:rtl/>
        </w:rPr>
        <w:t xml:space="preserve"> </w:t>
      </w:r>
      <w:r>
        <w:rPr>
          <w:rFonts w:hint="cs"/>
          <w:rtl/>
        </w:rPr>
        <w:t xml:space="preserve">הפריפטטים, </w:t>
      </w:r>
      <w:r w:rsidR="00EE6FBF">
        <w:rPr>
          <w:rFonts w:hint="cs"/>
          <w:rtl/>
        </w:rPr>
        <w:t xml:space="preserve">כך נקראת </w:t>
      </w:r>
      <w:r>
        <w:rPr>
          <w:rFonts w:hint="cs"/>
          <w:rtl/>
        </w:rPr>
        <w:t>אסכולת אריסטו</w:t>
      </w:r>
      <w:r w:rsidR="00EE6FBF">
        <w:rPr>
          <w:rFonts w:hint="cs"/>
          <w:rtl/>
        </w:rPr>
        <w:t xml:space="preserve"> משום שהיו מהלכים תוך לימודם</w:t>
      </w:r>
      <w:r>
        <w:rPr>
          <w:rFonts w:hint="cs"/>
          <w:rtl/>
        </w:rPr>
        <w:t xml:space="preserve">. </w:t>
      </w:r>
      <w:r w:rsidR="006B0C33">
        <w:rPr>
          <w:rFonts w:hint="cs"/>
          <w:rtl/>
        </w:rPr>
        <w:t xml:space="preserve">הכוונה למה שאריסטו מביא מדברי קודמיו. </w:t>
      </w:r>
    </w:p>
  </w:footnote>
  <w:footnote w:id="382">
    <w:p w14:paraId="0EF513A3" w14:textId="77777777" w:rsidR="00262501" w:rsidRDefault="00257251">
      <w:pPr>
        <w:pStyle w:val="FootnoteText"/>
        <w:rPr>
          <w:rtl/>
        </w:rPr>
      </w:pPr>
      <w:r>
        <w:rPr>
          <w:rStyle w:val="FootnoteReference"/>
        </w:rPr>
        <w:footnoteRef/>
      </w:r>
      <w:r>
        <w:rPr>
          <w:rtl/>
        </w:rPr>
        <w:t xml:space="preserve"> </w:t>
      </w:r>
      <w:r w:rsidR="00053D00">
        <w:rPr>
          <w:rFonts w:hint="cs"/>
          <w:rtl/>
        </w:rPr>
        <w:t xml:space="preserve">זה מבואר בפיזיקה א' </w:t>
      </w:r>
      <w:r w:rsidR="001E4791">
        <w:rPr>
          <w:rFonts w:hint="cs"/>
          <w:rtl/>
        </w:rPr>
        <w:t xml:space="preserve">תחילת פרק </w:t>
      </w:r>
      <w:r w:rsidR="00053D00">
        <w:rPr>
          <w:rFonts w:hint="cs"/>
          <w:rtl/>
        </w:rPr>
        <w:t>ה'.</w:t>
      </w:r>
      <w:r w:rsidR="00262501">
        <w:rPr>
          <w:rFonts w:hint="cs"/>
          <w:rtl/>
        </w:rPr>
        <w:t xml:space="preserve"> לשון אריסטו שם (תרגום י. </w:t>
      </w:r>
      <w:r w:rsidR="00262501">
        <w:rPr>
          <w:rFonts w:hint="cs"/>
          <w:rtl/>
        </w:rPr>
        <w:t>לנדא):</w:t>
      </w:r>
    </w:p>
    <w:p w14:paraId="3F9FCC46" w14:textId="7A392F49" w:rsidR="00257251" w:rsidRDefault="00262501">
      <w:pPr>
        <w:pStyle w:val="FootnoteText"/>
      </w:pPr>
      <w:r>
        <w:rPr>
          <w:rFonts w:hint="cs"/>
          <w:rtl/>
        </w:rPr>
        <w:t>"</w:t>
      </w:r>
      <w:r w:rsidR="00691702">
        <w:rPr>
          <w:rFonts w:hint="cs"/>
          <w:rtl/>
        </w:rPr>
        <w:t>כולם</w:t>
      </w:r>
      <w:r w:rsidR="00C77B91">
        <w:rPr>
          <w:rFonts w:hint="cs"/>
          <w:rtl/>
        </w:rPr>
        <w:t xml:space="preserve"> אפוא</w:t>
      </w:r>
      <w:r w:rsidR="00691702">
        <w:rPr>
          <w:rFonts w:hint="cs"/>
          <w:rtl/>
        </w:rPr>
        <w:t xml:space="preserve"> עושים את המנוגדים התחלות - </w:t>
      </w:r>
      <w:r w:rsidR="00494E46">
        <w:rPr>
          <w:rFonts w:hint="cs"/>
          <w:rtl/>
        </w:rPr>
        <w:t>גם אלה האומרים שהכל אחד ולא נע, שהרי גם פרמנידס עושה את החם והקר התחלות, ואת אלה הוא מכנה אש ועפר</w:t>
      </w:r>
      <w:r w:rsidR="00EF4D79">
        <w:rPr>
          <w:rFonts w:hint="cs"/>
          <w:rtl/>
        </w:rPr>
        <w:t>. וגם אלה הגורסים דליל וצפוף, וגם דמוקריטוס המניח את המלא והריק</w:t>
      </w:r>
      <w:r w:rsidR="00202E65">
        <w:rPr>
          <w:rFonts w:hint="cs"/>
          <w:rtl/>
        </w:rPr>
        <w:t>.</w:t>
      </w:r>
      <w:r>
        <w:rPr>
          <w:rFonts w:hint="cs"/>
          <w:rtl/>
        </w:rPr>
        <w:t>"</w:t>
      </w:r>
      <w:r w:rsidR="00202E65">
        <w:rPr>
          <w:rFonts w:hint="cs"/>
          <w:rtl/>
        </w:rPr>
        <w:t xml:space="preserve">     </w:t>
      </w:r>
    </w:p>
  </w:footnote>
  <w:footnote w:id="383">
    <w:p w14:paraId="17CC073E" w14:textId="225FB863" w:rsidR="00435AE0" w:rsidRDefault="00435AE0">
      <w:pPr>
        <w:pStyle w:val="FootnoteText"/>
      </w:pPr>
      <w:r>
        <w:rPr>
          <w:rStyle w:val="FootnoteReference"/>
        </w:rPr>
        <w:footnoteRef/>
      </w:r>
      <w:r>
        <w:rPr>
          <w:rtl/>
        </w:rPr>
        <w:t xml:space="preserve"> </w:t>
      </w:r>
      <w:r w:rsidR="007008F0">
        <w:rPr>
          <w:rFonts w:hint="cs"/>
          <w:rtl/>
        </w:rPr>
        <w:t xml:space="preserve">הכרחי מכח העיון המטאפיזי הטהור, ולא מכח מה שרואים במציאות על ידי החושים. </w:t>
      </w:r>
      <w:r w:rsidR="00A61099">
        <w:rPr>
          <w:rFonts w:hint="cs"/>
          <w:rtl/>
        </w:rPr>
        <w:t xml:space="preserve">לכן מדובר על קיום מטאפיזי מופשט </w:t>
      </w:r>
      <w:r w:rsidR="008A6071">
        <w:rPr>
          <w:rFonts w:hint="cs"/>
          <w:rtl/>
        </w:rPr>
        <w:t xml:space="preserve">של כלל המציאות, </w:t>
      </w:r>
      <w:r w:rsidR="00A61099">
        <w:rPr>
          <w:rFonts w:hint="cs"/>
          <w:rtl/>
        </w:rPr>
        <w:t xml:space="preserve">שהוא ברובד אחר מהרובד הטבעי. </w:t>
      </w:r>
      <w:r w:rsidR="008A6071">
        <w:rPr>
          <w:rFonts w:hint="cs"/>
          <w:rtl/>
        </w:rPr>
        <w:t>רק כך נוכל ליישב שמה שאמרו על הטבע שהוא מורכב מ</w:t>
      </w:r>
      <w:r w:rsidR="00C33868">
        <w:rPr>
          <w:rFonts w:hint="cs"/>
          <w:rtl/>
        </w:rPr>
        <w:t xml:space="preserve">האש והעפר, ואילו המציאות </w:t>
      </w:r>
      <w:r w:rsidR="003041B6">
        <w:rPr>
          <w:rFonts w:hint="cs"/>
          <w:rtl/>
        </w:rPr>
        <w:t xml:space="preserve">האמיתית </w:t>
      </w:r>
      <w:r w:rsidR="00C33868">
        <w:rPr>
          <w:rFonts w:hint="cs"/>
          <w:rtl/>
        </w:rPr>
        <w:t>היא אח</w:t>
      </w:r>
      <w:r w:rsidR="003041B6">
        <w:rPr>
          <w:rFonts w:hint="cs"/>
          <w:rtl/>
        </w:rPr>
        <w:t>דו</w:t>
      </w:r>
      <w:r w:rsidR="00C33868">
        <w:rPr>
          <w:rFonts w:hint="cs"/>
          <w:rtl/>
        </w:rPr>
        <w:t xml:space="preserve">ת פשוטה מוחלטת ונצחית ללא </w:t>
      </w:r>
      <w:r w:rsidR="003041B6">
        <w:rPr>
          <w:rFonts w:hint="cs"/>
          <w:rtl/>
        </w:rPr>
        <w:t>תנועה ו</w:t>
      </w:r>
      <w:r w:rsidR="00C33868">
        <w:rPr>
          <w:rFonts w:hint="cs"/>
          <w:rtl/>
        </w:rPr>
        <w:t xml:space="preserve">מורכבות והגדרות. </w:t>
      </w:r>
    </w:p>
  </w:footnote>
  <w:footnote w:id="384">
    <w:p w14:paraId="02C003AF" w14:textId="46F632BB" w:rsidR="000211BD" w:rsidRDefault="000211BD">
      <w:pPr>
        <w:pStyle w:val="FootnoteText"/>
      </w:pPr>
      <w:r>
        <w:rPr>
          <w:rStyle w:val="FootnoteReference"/>
        </w:rPr>
        <w:footnoteRef/>
      </w:r>
      <w:r>
        <w:rPr>
          <w:rtl/>
        </w:rPr>
        <w:t xml:space="preserve"> </w:t>
      </w:r>
      <w:r w:rsidR="00C57EC2">
        <w:rPr>
          <w:rFonts w:hint="cs"/>
          <w:rtl/>
        </w:rPr>
        <w:t>מקגיניס ציין לאלוהיות</w:t>
      </w:r>
      <w:r w:rsidR="00AD5811">
        <w:rPr>
          <w:rFonts w:hint="cs"/>
          <w:rtl/>
        </w:rPr>
        <w:t xml:space="preserve"> 8</w:t>
      </w:r>
      <w:r w:rsidR="00C57EC2">
        <w:rPr>
          <w:rFonts w:hint="cs"/>
          <w:rtl/>
        </w:rPr>
        <w:t xml:space="preserve"> (</w:t>
      </w:r>
      <w:r w:rsidR="00AD5811">
        <w:rPr>
          <w:rFonts w:hint="cs"/>
          <w:rtl/>
        </w:rPr>
        <w:t xml:space="preserve">כך התרגום של </w:t>
      </w:r>
      <w:r w:rsidR="00AD5811">
        <w:rPr>
          <w:rFonts w:hint="cs"/>
          <w:rtl/>
        </w:rPr>
        <w:t>מטאפיזיקה בערבית, והכוונה כאן לחלק המטאפיזיקה בספר הריפוי</w:t>
      </w:r>
      <w:r w:rsidR="000209F8">
        <w:rPr>
          <w:rFonts w:hint="cs"/>
          <w:rtl/>
        </w:rPr>
        <w:t xml:space="preserve"> של אבן סינא</w:t>
      </w:r>
      <w:r w:rsidR="00C57EC2">
        <w:rPr>
          <w:rFonts w:hint="cs"/>
          <w:rtl/>
        </w:rPr>
        <w:t>)</w:t>
      </w:r>
      <w:r w:rsidR="00AD5811">
        <w:rPr>
          <w:rFonts w:hint="cs"/>
          <w:rtl/>
        </w:rPr>
        <w:t>.</w:t>
      </w:r>
      <w:r w:rsidR="00C57EC2">
        <w:rPr>
          <w:rFonts w:hint="cs"/>
          <w:rtl/>
        </w:rPr>
        <w:t xml:space="preserve"> </w:t>
      </w:r>
    </w:p>
  </w:footnote>
  <w:footnote w:id="385">
    <w:p w14:paraId="215292C4" w14:textId="77777777" w:rsidR="003C4DC3" w:rsidRDefault="000D7246">
      <w:pPr>
        <w:pStyle w:val="FootnoteText"/>
        <w:rPr>
          <w:rtl/>
        </w:rPr>
      </w:pPr>
      <w:r>
        <w:rPr>
          <w:rStyle w:val="FootnoteReference"/>
        </w:rPr>
        <w:footnoteRef/>
      </w:r>
      <w:r>
        <w:rPr>
          <w:rtl/>
        </w:rPr>
        <w:t xml:space="preserve"> </w:t>
      </w:r>
      <w:r w:rsidR="0005329E">
        <w:rPr>
          <w:rFonts w:hint="cs"/>
          <w:rtl/>
        </w:rPr>
        <w:t xml:space="preserve">לעיל ביארתי שאנו חיים בעולם שיש בו סתירה יסודית, מצד אחד הבורא הוא אחד פשוט ומוחלט בלי מורכבות כלל, אין סוף, ולפי הצד הזה אין נבראים כלל כי הם סתירה לאחדות הפשוטה הזו. </w:t>
      </w:r>
      <w:r w:rsidR="00814DAD">
        <w:rPr>
          <w:rFonts w:hint="cs"/>
          <w:rtl/>
        </w:rPr>
        <w:t xml:space="preserve">ויש צד אחר של הסתירה שבו יש מציאות לנבראים אבל לפי הצד הזה הבורא בעצמו אינו מעלה מעל כל גבול והגדרה, ואינו אחדות פשוטה. </w:t>
      </w:r>
      <w:r w:rsidR="00E419D9">
        <w:rPr>
          <w:rFonts w:hint="cs"/>
          <w:rtl/>
        </w:rPr>
        <w:t xml:space="preserve">ושני הצדדים אמת גמורה ואיננו יכולים לפתור את הסתירה אלא רק לחיות מולה כמנוצחים. </w:t>
      </w:r>
    </w:p>
    <w:p w14:paraId="13AD935A" w14:textId="77777777" w:rsidR="00AD1DB8" w:rsidRDefault="003C4DC3">
      <w:pPr>
        <w:pStyle w:val="FootnoteText"/>
        <w:rPr>
          <w:rtl/>
        </w:rPr>
      </w:pPr>
      <w:r>
        <w:rPr>
          <w:rFonts w:hint="cs"/>
          <w:rtl/>
        </w:rPr>
        <w:t xml:space="preserve">לפי הצד הראשון האל הוא טרנסצנדנטי לגמרי, ולפי הצד השני הוא אימננטי, אחד לגמרי עם הנבראים. </w:t>
      </w:r>
      <w:r w:rsidR="00D8049B">
        <w:rPr>
          <w:rFonts w:hint="cs"/>
          <w:rtl/>
        </w:rPr>
        <w:t xml:space="preserve">הצד הראשון נקרא אצל חכמי הקבלה ספירת כתר, והשני ספירת חכמה. הבריאה מתחילה מספירת חכמה כמו שכתב הרמב"ן על בראשית א' א' בסוף דבריו, כלומר מה שמעל הבריאה, הכתר, שם אין בריאה כלל. </w:t>
      </w:r>
    </w:p>
    <w:p w14:paraId="111F7FEC" w14:textId="1862CEAE" w:rsidR="00BC1A7B" w:rsidRDefault="00BC1A7B">
      <w:pPr>
        <w:pStyle w:val="FootnoteText"/>
        <w:rPr>
          <w:rtl/>
        </w:rPr>
      </w:pPr>
      <w:r>
        <w:rPr>
          <w:rFonts w:hint="cs"/>
          <w:rtl/>
        </w:rPr>
        <w:t>זה גם מה שכתב אריסטו במטאפיזיקה למבדא בהתחלת פרק י', לגבי הצבא והמצביא</w:t>
      </w:r>
      <w:r w:rsidR="005315B6">
        <w:rPr>
          <w:rFonts w:hint="cs"/>
          <w:rtl/>
        </w:rPr>
        <w:t>.</w:t>
      </w:r>
    </w:p>
    <w:p w14:paraId="469BE2EC" w14:textId="77777777" w:rsidR="005315B6" w:rsidRDefault="005315B6">
      <w:pPr>
        <w:pStyle w:val="FootnoteText"/>
        <w:rPr>
          <w:rtl/>
        </w:rPr>
      </w:pPr>
    </w:p>
    <w:p w14:paraId="39A4510C" w14:textId="3191EF73" w:rsidR="00664FA0" w:rsidRDefault="00AD1DB8">
      <w:pPr>
        <w:pStyle w:val="FootnoteText"/>
        <w:rPr>
          <w:rtl/>
        </w:rPr>
      </w:pPr>
      <w:r>
        <w:rPr>
          <w:rFonts w:hint="cs"/>
          <w:rtl/>
        </w:rPr>
        <w:t>מהצד הראשון של הכתר</w:t>
      </w:r>
      <w:r w:rsidR="009A59D7">
        <w:rPr>
          <w:rtl/>
        </w:rPr>
        <w:fldChar w:fldCharType="begin"/>
      </w:r>
      <w:r w:rsidR="009A59D7">
        <w:instrText xml:space="preserve"> XE "</w:instrText>
      </w:r>
      <w:r w:rsidR="009A59D7" w:rsidRPr="00A54BC6">
        <w:rPr>
          <w:rFonts w:hint="cs"/>
          <w:rtl/>
        </w:rPr>
        <w:instrText>ספירת כתר וספירת חכמה</w:instrText>
      </w:r>
      <w:r w:rsidR="009A59D7">
        <w:instrText xml:space="preserve">" </w:instrText>
      </w:r>
      <w:r w:rsidR="009A59D7">
        <w:rPr>
          <w:rtl/>
        </w:rPr>
        <w:fldChar w:fldCharType="end"/>
      </w:r>
      <w:r>
        <w:rPr>
          <w:rFonts w:hint="cs"/>
          <w:rtl/>
        </w:rPr>
        <w:t xml:space="preserve">, כתב כאן אבן סינא </w:t>
      </w:r>
      <w:r w:rsidR="0088250F">
        <w:rPr>
          <w:rFonts w:hint="cs"/>
          <w:rtl/>
        </w:rPr>
        <w:t>שהמציאות לפי אמיתתה ההכרחית, כלומר הבורא, היא אין סוף. מהצד ה</w:t>
      </w:r>
      <w:r w:rsidR="004B377D">
        <w:rPr>
          <w:rFonts w:hint="cs"/>
          <w:rtl/>
        </w:rPr>
        <w:t>שני</w:t>
      </w:r>
      <w:r w:rsidR="0088250F">
        <w:rPr>
          <w:rFonts w:hint="cs"/>
          <w:rtl/>
        </w:rPr>
        <w:t xml:space="preserve"> כתב שהיא סופית במה שהיא התכלית של כל הנבראים והם </w:t>
      </w:r>
      <w:r w:rsidR="003931F8" w:rsidRPr="003931F8">
        <w:rPr>
          <w:rtl/>
        </w:rPr>
        <w:t>כָּלִים</w:t>
      </w:r>
      <w:r w:rsidR="0088250F">
        <w:rPr>
          <w:rFonts w:hint="cs"/>
          <w:rtl/>
        </w:rPr>
        <w:t xml:space="preserve"> אליה. </w:t>
      </w:r>
      <w:r w:rsidR="004B377D">
        <w:rPr>
          <w:rFonts w:hint="cs"/>
          <w:rtl/>
        </w:rPr>
        <w:t xml:space="preserve">אופן הקיום של הנבראים הוא </w:t>
      </w:r>
      <w:r w:rsidR="004B377D">
        <w:rPr>
          <w:rFonts w:hint="cs"/>
          <w:rtl/>
        </w:rPr>
        <w:t xml:space="preserve">בכליונם כלפי האחדות האלוהית המוחלטת, בתשוקתם להתבטל כלפיה. </w:t>
      </w:r>
      <w:r w:rsidR="00DC4EFF">
        <w:rPr>
          <w:rFonts w:hint="cs"/>
          <w:rtl/>
        </w:rPr>
        <w:t>כמו שכתוב: "</w:t>
      </w:r>
      <w:r w:rsidR="00093751" w:rsidRPr="00093751">
        <w:rPr>
          <w:rtl/>
        </w:rPr>
        <w:t>וְהִנֵּה הַסְּנֶה בֹּעֵר בָּאֵשׁ וְהַסְּנֶה אֵינֶנּוּ אֻכָּל</w:t>
      </w:r>
      <w:r w:rsidR="00DC4EFF">
        <w:rPr>
          <w:rFonts w:hint="cs"/>
          <w:rtl/>
        </w:rPr>
        <w:t>"</w:t>
      </w:r>
      <w:r w:rsidR="00F73AC7">
        <w:rPr>
          <w:rFonts w:hint="cs"/>
          <w:rtl/>
        </w:rPr>
        <w:t xml:space="preserve">, הבעירה היא התבטלות הנבראים כלפי תכליתם, בתשוקתם, והבערה אמורה להביא לכליון גמור אבל היא נמשכת כבעירה בלי להפסיק, זה אופן הוויית המציאות. עצם העובדה שיש נבראים והם כלים אל הבורא שהוא תכליתם, </w:t>
      </w:r>
      <w:r w:rsidR="008F29AD">
        <w:rPr>
          <w:rFonts w:hint="cs"/>
          <w:rtl/>
        </w:rPr>
        <w:t>זה מטיל גבול בבורא, זה הצד של ספירת חכמה שלפיה הבורא מוגבל, כי בלי שהיה בו גבול לא היה אפשר שיימצאו נבראים</w:t>
      </w:r>
      <w:r w:rsidR="006D712B">
        <w:rPr>
          <w:rFonts w:hint="cs"/>
          <w:rtl/>
        </w:rPr>
        <w:t xml:space="preserve"> כלל</w:t>
      </w:r>
      <w:r w:rsidR="008F29AD">
        <w:rPr>
          <w:rFonts w:hint="cs"/>
          <w:rtl/>
        </w:rPr>
        <w:t xml:space="preserve">, גם לא כבוערים וכלים. </w:t>
      </w:r>
    </w:p>
    <w:p w14:paraId="69207AE3" w14:textId="77777777" w:rsidR="00CC55BA" w:rsidRDefault="00CC55BA">
      <w:pPr>
        <w:pStyle w:val="FootnoteText"/>
        <w:rPr>
          <w:rtl/>
        </w:rPr>
      </w:pPr>
    </w:p>
    <w:p w14:paraId="7B26DC59" w14:textId="746175F4" w:rsidR="00664FA0" w:rsidRDefault="00664FA0">
      <w:pPr>
        <w:pStyle w:val="FootnoteText"/>
        <w:rPr>
          <w:rtl/>
        </w:rPr>
      </w:pPr>
      <w:r>
        <w:rPr>
          <w:rFonts w:hint="cs"/>
          <w:rtl/>
        </w:rPr>
        <w:t>בספר עץ חיים מהאר"י</w:t>
      </w:r>
      <w:r w:rsidR="00F4066B">
        <w:rPr>
          <w:rtl/>
        </w:rPr>
        <w:fldChar w:fldCharType="begin"/>
      </w:r>
      <w:r w:rsidR="00F4066B">
        <w:instrText xml:space="preserve"> XE "</w:instrText>
      </w:r>
      <w:r w:rsidR="00F4066B" w:rsidRPr="00A45F32">
        <w:rPr>
          <w:rFonts w:hint="cs"/>
          <w:rtl/>
        </w:rPr>
        <w:instrText>האר</w:instrText>
      </w:r>
      <w:r w:rsidR="00F4066B">
        <w:rPr>
          <w:b/>
          <w:bCs/>
          <w:sz w:val="20"/>
          <w:szCs w:val="20"/>
        </w:rPr>
        <w:instrText>\</w:instrText>
      </w:r>
      <w:r w:rsidR="00F4066B" w:rsidRPr="00A45F32">
        <w:rPr>
          <w:rFonts w:hint="cs"/>
          <w:rtl/>
        </w:rPr>
        <w:instrText>"י</w:instrText>
      </w:r>
      <w:r w:rsidR="00F4066B">
        <w:instrText xml:space="preserve">" </w:instrText>
      </w:r>
      <w:r w:rsidR="00F4066B">
        <w:rPr>
          <w:rtl/>
        </w:rPr>
        <w:fldChar w:fldCharType="end"/>
      </w:r>
      <w:r w:rsidR="00E619F9">
        <w:rPr>
          <w:rFonts w:hint="cs"/>
          <w:rtl/>
        </w:rPr>
        <w:t>, שער א' ענף ב'</w:t>
      </w:r>
      <w:r w:rsidR="00257B28">
        <w:rPr>
          <w:rFonts w:hint="cs"/>
          <w:rtl/>
        </w:rPr>
        <w:t>,</w:t>
      </w:r>
      <w:r>
        <w:rPr>
          <w:rFonts w:hint="cs"/>
          <w:rtl/>
        </w:rPr>
        <w:t xml:space="preserve"> כתב:</w:t>
      </w:r>
    </w:p>
    <w:p w14:paraId="382A30F6" w14:textId="77777777" w:rsidR="00257B28" w:rsidRDefault="00664FA0" w:rsidP="00E619F9">
      <w:pPr>
        <w:pStyle w:val="FootnoteText"/>
        <w:rPr>
          <w:rtl/>
        </w:rPr>
      </w:pPr>
      <w:r>
        <w:rPr>
          <w:rFonts w:hint="cs"/>
          <w:rtl/>
        </w:rPr>
        <w:t>"</w:t>
      </w:r>
      <w:r w:rsidR="00E619F9">
        <w:rPr>
          <w:rtl/>
        </w:rPr>
        <w:t>דע כי טרם שנאצלו הנאצלים ונבראו הנבראים היה אור עליון פשוט ממלא כל המציאות ולא היה שום מקום פנוי בבחינת אויר ריקני וחלל</w:t>
      </w:r>
      <w:r w:rsidR="00257B28">
        <w:rPr>
          <w:rFonts w:hint="cs"/>
          <w:rtl/>
        </w:rPr>
        <w:t>,</w:t>
      </w:r>
      <w:r w:rsidR="00E619F9">
        <w:rPr>
          <w:rtl/>
        </w:rPr>
        <w:t xml:space="preserve"> אלא הכל היה ממולא מן אור אין סוף פשוט ההוא ולא היה לו בחינת ראש ולא בחינת סוף אלא הכל היה אור אחד פשוט שו</w:t>
      </w:r>
      <w:r w:rsidR="00257B28">
        <w:rPr>
          <w:rFonts w:hint="cs"/>
          <w:rtl/>
        </w:rPr>
        <w:t>ו</w:t>
      </w:r>
      <w:r w:rsidR="00E619F9">
        <w:rPr>
          <w:rtl/>
        </w:rPr>
        <w:t xml:space="preserve">ה בהשוואה אחת והוא הנקרא אור אין סוף. וכאשר עלה ברצונו הפשוט לברוא העולמות ולהאציל הנאצלים </w:t>
      </w:r>
      <w:r w:rsidR="00257B28">
        <w:rPr>
          <w:rFonts w:hint="cs"/>
          <w:rtl/>
        </w:rPr>
        <w:t>[...]</w:t>
      </w:r>
      <w:r w:rsidR="00E619F9">
        <w:rPr>
          <w:rtl/>
        </w:rPr>
        <w:t xml:space="preserve"> והנה אז צמצם את עצמו אין סוף בנקודה האמצעית אשר בו באמצע אורו ממש וצמצם האור ההוא ונתרחק אל צדדי סביבות הנקודה האמצעית ואז נשאר מקום פנוי ואויר וחלל ר</w:t>
      </w:r>
      <w:r w:rsidR="00257B28">
        <w:rPr>
          <w:rFonts w:hint="cs"/>
          <w:rtl/>
        </w:rPr>
        <w:t>י</w:t>
      </w:r>
      <w:r w:rsidR="00E619F9">
        <w:rPr>
          <w:rtl/>
        </w:rPr>
        <w:t>קני מנקודה אמצעית</w:t>
      </w:r>
      <w:r w:rsidR="00257B28">
        <w:rPr>
          <w:rFonts w:hint="cs"/>
          <w:rtl/>
        </w:rPr>
        <w:t>. [...]</w:t>
      </w:r>
      <w:r w:rsidR="00E619F9">
        <w:rPr>
          <w:rtl/>
        </w:rPr>
        <w:t xml:space="preserve"> </w:t>
      </w:r>
    </w:p>
    <w:p w14:paraId="2F8CA2E1" w14:textId="77777777" w:rsidR="00CC55BA" w:rsidRDefault="00E619F9" w:rsidP="00E619F9">
      <w:pPr>
        <w:pStyle w:val="FootnoteText"/>
        <w:rPr>
          <w:rtl/>
        </w:rPr>
      </w:pPr>
      <w:r>
        <w:rPr>
          <w:rtl/>
        </w:rPr>
        <w:t>והנה אחר הצמצום הנ"ל אשר אז נשאר מקום החלל ואויר פנוי וריקני באמצע אור הא</w:t>
      </w:r>
      <w:r w:rsidR="00162D68">
        <w:rPr>
          <w:rFonts w:hint="cs"/>
          <w:rtl/>
        </w:rPr>
        <w:t>ין סוף</w:t>
      </w:r>
      <w:r>
        <w:rPr>
          <w:rtl/>
        </w:rPr>
        <w:t xml:space="preserve"> ממש כנ"ל הנה כבר היה מקום שיוכלו להיות שם הנאצלים והנבראים ויצורים והנעשים</w:t>
      </w:r>
      <w:r w:rsidR="00162D68">
        <w:rPr>
          <w:rFonts w:hint="cs"/>
          <w:rtl/>
        </w:rPr>
        <w:t>,</w:t>
      </w:r>
      <w:r>
        <w:rPr>
          <w:rtl/>
        </w:rPr>
        <w:t xml:space="preserve"> ואז המשיך מן אור א</w:t>
      </w:r>
      <w:r w:rsidR="00162D68">
        <w:rPr>
          <w:rFonts w:hint="cs"/>
          <w:rtl/>
        </w:rPr>
        <w:t>ין סוף</w:t>
      </w:r>
      <w:r>
        <w:rPr>
          <w:rtl/>
        </w:rPr>
        <w:t xml:space="preserve"> קו א</w:t>
      </w:r>
      <w:r w:rsidR="00162D68">
        <w:rPr>
          <w:rFonts w:hint="cs"/>
          <w:rtl/>
        </w:rPr>
        <w:t>חד</w:t>
      </w:r>
      <w:r>
        <w:rPr>
          <w:rtl/>
        </w:rPr>
        <w:t xml:space="preserve"> ישר מן האור העגול שלו מלמעלה למטה ומשתלשל ויורד תוך החלל ההוא. וראש העליון של הקו נמשך מן ה</w:t>
      </w:r>
      <w:r w:rsidR="00162D68">
        <w:rPr>
          <w:rFonts w:hint="cs"/>
          <w:rtl/>
        </w:rPr>
        <w:t>אין סוף</w:t>
      </w:r>
      <w:r>
        <w:rPr>
          <w:rtl/>
        </w:rPr>
        <w:t xml:space="preserve"> עצמו ונוגע בו. אמנם סיום הקו הזה למטה בסופו אינו נוגע באור </w:t>
      </w:r>
      <w:r w:rsidR="005F18F2">
        <w:rPr>
          <w:rtl/>
        </w:rPr>
        <w:t>אין סוף</w:t>
      </w:r>
      <w:r>
        <w:rPr>
          <w:rtl/>
        </w:rPr>
        <w:t xml:space="preserve"> ודרך הקו הזה נמשך ונתפשט אור </w:t>
      </w:r>
      <w:r w:rsidR="005F18F2">
        <w:rPr>
          <w:rtl/>
        </w:rPr>
        <w:t>אין סוף</w:t>
      </w:r>
      <w:r>
        <w:rPr>
          <w:rtl/>
        </w:rPr>
        <w:t xml:space="preserve"> למטה. ובמקום החלל ההוא האציל וברא ויצר ועשה כל העולמות כולם וקו זה כעין צ</w:t>
      </w:r>
      <w:r w:rsidR="003A2DF5">
        <w:rPr>
          <w:rFonts w:hint="cs"/>
          <w:rtl/>
        </w:rPr>
        <w:t>י</w:t>
      </w:r>
      <w:r>
        <w:rPr>
          <w:rtl/>
        </w:rPr>
        <w:t>נור דק א</w:t>
      </w:r>
      <w:r w:rsidR="003A2DF5">
        <w:rPr>
          <w:rFonts w:hint="cs"/>
          <w:rtl/>
        </w:rPr>
        <w:t>חד</w:t>
      </w:r>
      <w:r>
        <w:rPr>
          <w:rtl/>
        </w:rPr>
        <w:t xml:space="preserve"> אשר בו מתפשט ונמשך מימי אור העליון של </w:t>
      </w:r>
      <w:r w:rsidR="005F18F2">
        <w:rPr>
          <w:rtl/>
        </w:rPr>
        <w:t>אין סוף</w:t>
      </w:r>
      <w:r>
        <w:rPr>
          <w:rtl/>
        </w:rPr>
        <w:t xml:space="preserve"> אל העולמות אשר במקום האויר והחלל ההוא.</w:t>
      </w:r>
      <w:r w:rsidR="00664FA0">
        <w:rPr>
          <w:rFonts w:hint="cs"/>
          <w:rtl/>
        </w:rPr>
        <w:t>"</w:t>
      </w:r>
    </w:p>
    <w:p w14:paraId="7E3708E1" w14:textId="54C7799B" w:rsidR="00CC55BA" w:rsidRDefault="00CC55BA" w:rsidP="00E619F9">
      <w:pPr>
        <w:pStyle w:val="FootnoteText"/>
        <w:rPr>
          <w:rtl/>
        </w:rPr>
      </w:pPr>
      <w:r>
        <w:rPr>
          <w:rFonts w:hint="cs"/>
          <w:rtl/>
        </w:rPr>
        <w:t xml:space="preserve">האין סוף הוא נעלה מכל גבול וסוף, </w:t>
      </w:r>
      <w:r w:rsidR="00AB4558">
        <w:rPr>
          <w:rFonts w:hint="cs"/>
          <w:rtl/>
        </w:rPr>
        <w:t xml:space="preserve">כשאורו מגיע לעיגול של הצמצום, הפנוי מהאור, הוא לא נעצר בגבול של העיגול אלא חודר לתוכו וממלא אותו, שהרי אין לו גבול וסוף. שום דבר לא יכול לעצור אותו כי הוא אחדות פשוטה. </w:t>
      </w:r>
      <w:r w:rsidR="00FC4EDF">
        <w:rPr>
          <w:rFonts w:hint="cs"/>
          <w:rtl/>
        </w:rPr>
        <w:t xml:space="preserve">הגבול של העיגול הוא רק כלפי הצד הפנימי שלו, מהצד החיצוני אין גבול כלל. הגבול של העיגול הוא גבול מופשט, כגבול, הוא לא גובל בין שני דברים. </w:t>
      </w:r>
      <w:r w:rsidR="00B47289">
        <w:rPr>
          <w:rFonts w:hint="cs"/>
          <w:rtl/>
        </w:rPr>
        <w:t>זו הסתירה של מעשה מרכבה או סוד הצמצום, שכתב עליה המורה נבוכים א' ע"ב במקום שכתב ישתבח מי שנצחנו שלמותו.</w:t>
      </w:r>
    </w:p>
    <w:p w14:paraId="6F71B8F4" w14:textId="4F95F260" w:rsidR="00920DFD" w:rsidRDefault="00920DFD" w:rsidP="00E619F9">
      <w:pPr>
        <w:pStyle w:val="FootnoteText"/>
        <w:rPr>
          <w:rtl/>
        </w:rPr>
      </w:pPr>
      <w:r>
        <w:rPr>
          <w:rFonts w:hint="cs"/>
          <w:rtl/>
        </w:rPr>
        <w:t xml:space="preserve">לתוך העיגול חודר קו </w:t>
      </w:r>
      <w:r w:rsidR="00050A8C">
        <w:rPr>
          <w:rFonts w:hint="cs"/>
          <w:rtl/>
        </w:rPr>
        <w:t>"</w:t>
      </w:r>
      <w:r>
        <w:rPr>
          <w:rFonts w:hint="cs"/>
          <w:rtl/>
        </w:rPr>
        <w:t>אור אין סוף</w:t>
      </w:r>
      <w:r w:rsidR="00050A8C">
        <w:rPr>
          <w:rFonts w:hint="cs"/>
          <w:rtl/>
        </w:rPr>
        <w:t>"</w:t>
      </w:r>
      <w:r>
        <w:rPr>
          <w:rFonts w:hint="cs"/>
          <w:rtl/>
        </w:rPr>
        <w:t xml:space="preserve">. והרי אם הוא אין סוף לא ייתכן שיהיה קו, כי קו הוא מוגבל, יש לו הגדרה. </w:t>
      </w:r>
      <w:r w:rsidR="00050A8C">
        <w:rPr>
          <w:rFonts w:hint="cs"/>
          <w:rtl/>
        </w:rPr>
        <w:t xml:space="preserve">האין סוף מתפשט בלי שום גבולות ולא יכול להישאר בגדר קו בלבד. </w:t>
      </w:r>
      <w:r w:rsidR="00A9519D">
        <w:rPr>
          <w:rFonts w:hint="cs"/>
          <w:rtl/>
        </w:rPr>
        <w:t xml:space="preserve">זו שוב הסתירה. זה מה שכתב הרמב"ם בהלכות יסודי התורה ב', שמתוך התבוננות במעשיו, שיש להם קץ, הם מוגבלים ומוגדרים, רואים את חכמתו שאין לה </w:t>
      </w:r>
      <w:r w:rsidR="00B74C5E">
        <w:rPr>
          <w:rFonts w:hint="cs"/>
          <w:rtl/>
        </w:rPr>
        <w:t xml:space="preserve">ערך ולא </w:t>
      </w:r>
      <w:r w:rsidR="00A9519D">
        <w:rPr>
          <w:rFonts w:hint="cs"/>
          <w:rtl/>
        </w:rPr>
        <w:t>קץ, האין סוף מטיל זיו על העולם הסופי</w:t>
      </w:r>
      <w:r w:rsidR="00280A65">
        <w:rPr>
          <w:rFonts w:hint="cs"/>
          <w:rtl/>
        </w:rPr>
        <w:t>, מה שלא ייתכן על פי השכל, כי אין שום חיבור ודמיון וערך בין האין סוף לסופי, וזהו הסוד</w:t>
      </w:r>
      <w:r w:rsidR="00A9519D">
        <w:rPr>
          <w:rFonts w:hint="cs"/>
          <w:rtl/>
        </w:rPr>
        <w:t xml:space="preserve">. </w:t>
      </w:r>
    </w:p>
    <w:p w14:paraId="35068F7C" w14:textId="35D59572" w:rsidR="000D7246" w:rsidRDefault="00B74C5E" w:rsidP="00E619F9">
      <w:pPr>
        <w:pStyle w:val="FootnoteText"/>
      </w:pPr>
      <w:r>
        <w:rPr>
          <w:rFonts w:hint="cs"/>
          <w:rtl/>
        </w:rPr>
        <w:t xml:space="preserve">כאמור, </w:t>
      </w:r>
      <w:r w:rsidR="007860AE">
        <w:rPr>
          <w:rFonts w:hint="cs"/>
          <w:rtl/>
        </w:rPr>
        <w:t xml:space="preserve">אבן סינא כתב כאן שיש בחינה בה יש גבול לאחד הפשוט, </w:t>
      </w:r>
      <w:r>
        <w:rPr>
          <w:rFonts w:hint="cs"/>
          <w:rtl/>
        </w:rPr>
        <w:t xml:space="preserve">כדי להשלים את הצד של הסתירה לפיו יש גבול בבורא, הוא </w:t>
      </w:r>
      <w:r w:rsidR="007860AE">
        <w:rPr>
          <w:rFonts w:hint="cs"/>
          <w:rtl/>
        </w:rPr>
        <w:t>ה</w:t>
      </w:r>
      <w:r>
        <w:rPr>
          <w:rFonts w:hint="cs"/>
          <w:rtl/>
        </w:rPr>
        <w:t>גבול</w:t>
      </w:r>
      <w:r w:rsidR="007860AE">
        <w:rPr>
          <w:rFonts w:hint="cs"/>
          <w:rtl/>
        </w:rPr>
        <w:t xml:space="preserve"> של</w:t>
      </w:r>
      <w:r>
        <w:rPr>
          <w:rFonts w:hint="cs"/>
          <w:rtl/>
        </w:rPr>
        <w:t xml:space="preserve"> אותו עיגול ריק של צמצום, כלומר העובדה שיש נבראים</w:t>
      </w:r>
      <w:r w:rsidR="007860AE">
        <w:rPr>
          <w:rFonts w:hint="cs"/>
          <w:rtl/>
        </w:rPr>
        <w:t>. וכתב שהוא קץ תכליתם</w:t>
      </w:r>
      <w:r w:rsidR="00F941A8">
        <w:rPr>
          <w:rFonts w:hint="cs"/>
          <w:rtl/>
        </w:rPr>
        <w:t xml:space="preserve">, הכוונה </w:t>
      </w:r>
      <w:r w:rsidR="00871D38">
        <w:rPr>
          <w:rFonts w:hint="cs"/>
          <w:rtl/>
        </w:rPr>
        <w:t>שמציאות הנבראים היא גבול למציאות הבורא כאחדות פשוטה ללא סוף וגבול, אבל הגבול הז</w:t>
      </w:r>
      <w:r w:rsidR="00EC21B0">
        <w:rPr>
          <w:rFonts w:hint="cs"/>
          <w:rtl/>
        </w:rPr>
        <w:t>ה הוא באופן של היות הנבראים כלים אליו,</w:t>
      </w:r>
      <w:r w:rsidR="007860AE">
        <w:rPr>
          <w:rFonts w:hint="cs"/>
          <w:rtl/>
        </w:rPr>
        <w:t xml:space="preserve"> כי כך ה</w:t>
      </w:r>
      <w:r w:rsidR="00EC21B0">
        <w:rPr>
          <w:rFonts w:hint="cs"/>
          <w:rtl/>
        </w:rPr>
        <w:t xml:space="preserve">וא האופן שבו הם </w:t>
      </w:r>
      <w:r w:rsidR="007860AE">
        <w:rPr>
          <w:rFonts w:hint="cs"/>
          <w:rtl/>
        </w:rPr>
        <w:t xml:space="preserve">נמצאים. </w:t>
      </w:r>
      <w:r w:rsidR="00EC21B0">
        <w:rPr>
          <w:rFonts w:hint="cs"/>
          <w:rtl/>
        </w:rPr>
        <w:t xml:space="preserve">ועיין במטאפיזיקה למבדא פרקים ו' ז' שביאר שהבורא הוא תכלית הנבראים וכך הוא מניע אותם, כלומר משפיע עליהם מציאות. </w:t>
      </w:r>
      <w:r>
        <w:rPr>
          <w:rFonts w:hint="cs"/>
          <w:rtl/>
        </w:rPr>
        <w:t xml:space="preserve"> </w:t>
      </w:r>
      <w:r w:rsidR="0005329E">
        <w:rPr>
          <w:rFonts w:hint="cs"/>
          <w:rtl/>
        </w:rPr>
        <w:t xml:space="preserve"> </w:t>
      </w:r>
    </w:p>
  </w:footnote>
  <w:footnote w:id="386">
    <w:p w14:paraId="0F31E460" w14:textId="77777777" w:rsidR="00812027" w:rsidRDefault="00D21DA7">
      <w:pPr>
        <w:pStyle w:val="FootnoteText"/>
        <w:rPr>
          <w:rtl/>
        </w:rPr>
      </w:pPr>
      <w:r>
        <w:rPr>
          <w:rStyle w:val="FootnoteReference"/>
        </w:rPr>
        <w:footnoteRef/>
      </w:r>
      <w:r>
        <w:rPr>
          <w:rtl/>
        </w:rPr>
        <w:t xml:space="preserve"> </w:t>
      </w:r>
      <w:r w:rsidR="008936DA">
        <w:rPr>
          <w:rFonts w:hint="cs"/>
          <w:rtl/>
        </w:rPr>
        <w:t xml:space="preserve">האדם מתחיל מתפישה </w:t>
      </w:r>
      <w:r w:rsidR="00046A4B">
        <w:rPr>
          <w:rFonts w:hint="cs"/>
          <w:rtl/>
        </w:rPr>
        <w:t xml:space="preserve">שמציאותו, ומציאות כל העולם שסביבו, היא מציאות עצמאית. גם אם נבראה, </w:t>
      </w:r>
      <w:r w:rsidR="0053694F">
        <w:rPr>
          <w:rFonts w:hint="cs"/>
          <w:rtl/>
        </w:rPr>
        <w:t xml:space="preserve">זה כמו נגר שעשה מיטה, שכעת בהווה המיטה קיימת </w:t>
      </w:r>
      <w:r w:rsidR="00812027">
        <w:rPr>
          <w:rFonts w:hint="cs"/>
          <w:rtl/>
        </w:rPr>
        <w:t xml:space="preserve">בכח </w:t>
      </w:r>
      <w:r w:rsidR="0053694F">
        <w:rPr>
          <w:rFonts w:hint="cs"/>
          <w:rtl/>
        </w:rPr>
        <w:t xml:space="preserve">עצמה ואינה צריכה את הנגר כדי להתקיים. </w:t>
      </w:r>
    </w:p>
    <w:p w14:paraId="3BDCD441" w14:textId="0C571C67" w:rsidR="003D69A9" w:rsidRDefault="00812027">
      <w:pPr>
        <w:pStyle w:val="FootnoteText"/>
        <w:rPr>
          <w:rtl/>
        </w:rPr>
      </w:pPr>
      <w:r>
        <w:rPr>
          <w:rFonts w:hint="cs"/>
          <w:rtl/>
        </w:rPr>
        <w:t xml:space="preserve">החקירה מתחילה מהשאלה </w:t>
      </w:r>
      <w:r w:rsidR="00AB5E4E">
        <w:rPr>
          <w:rFonts w:hint="cs"/>
          <w:rtl/>
        </w:rPr>
        <w:t xml:space="preserve">על הקיום, אם </w:t>
      </w:r>
      <w:r w:rsidR="003E35D3">
        <w:rPr>
          <w:rFonts w:hint="cs"/>
          <w:rtl/>
        </w:rPr>
        <w:t>אין הכרח שמחייב ש</w:t>
      </w:r>
      <w:r w:rsidR="00AB5E4E">
        <w:rPr>
          <w:rFonts w:hint="cs"/>
          <w:rtl/>
        </w:rPr>
        <w:t>הדברים</w:t>
      </w:r>
      <w:r w:rsidR="003E35D3">
        <w:rPr>
          <w:rFonts w:hint="cs"/>
          <w:rtl/>
        </w:rPr>
        <w:t xml:space="preserve"> יהיו </w:t>
      </w:r>
      <w:r w:rsidR="00AB5E4E">
        <w:rPr>
          <w:rFonts w:hint="cs"/>
          <w:rtl/>
        </w:rPr>
        <w:t>קיימים</w:t>
      </w:r>
      <w:r w:rsidR="003E35D3">
        <w:rPr>
          <w:rFonts w:hint="cs"/>
          <w:rtl/>
        </w:rPr>
        <w:t>, אז</w:t>
      </w:r>
      <w:r w:rsidR="00AB5E4E">
        <w:rPr>
          <w:rFonts w:hint="cs"/>
          <w:rtl/>
        </w:rPr>
        <w:t xml:space="preserve"> למה הם קיימים. </w:t>
      </w:r>
      <w:r w:rsidR="003E35D3">
        <w:rPr>
          <w:rFonts w:hint="cs"/>
          <w:rtl/>
        </w:rPr>
        <w:t xml:space="preserve">מהו קיום. </w:t>
      </w:r>
      <w:r w:rsidR="00511BBD">
        <w:rPr>
          <w:rFonts w:hint="cs"/>
          <w:rtl/>
        </w:rPr>
        <w:t>מה קובע את מהותם של הדברים, הרי החומר שלהם שווה. משאלות כאלה אחרי עמל העיון מגיעים לתפישה שהמציאות אינה שייכת באופן עצמי ל</w:t>
      </w:r>
      <w:r w:rsidR="00B35D4E">
        <w:rPr>
          <w:rFonts w:hint="cs"/>
          <w:rtl/>
        </w:rPr>
        <w:t>שום נברא, אלא כל נברא נמצא במציאות כללית של הכרחי המציאות האחד הפשוט</w:t>
      </w:r>
      <w:r w:rsidR="00A106E7">
        <w:rPr>
          <w:rFonts w:hint="cs"/>
          <w:rtl/>
        </w:rPr>
        <w:t>, שהוא המציאות כשלעצמה</w:t>
      </w:r>
      <w:r w:rsidR="0021653A">
        <w:rPr>
          <w:rFonts w:hint="cs"/>
          <w:rtl/>
        </w:rPr>
        <w:t xml:space="preserve"> (עיין מורה נבוכים ב' א' בעיון השלישי</w:t>
      </w:r>
      <w:r w:rsidR="003D69A9">
        <w:rPr>
          <w:rtl/>
        </w:rPr>
        <w:fldChar w:fldCharType="begin"/>
      </w:r>
      <w:r w:rsidR="003D69A9">
        <w:instrText xml:space="preserve"> XE "</w:instrText>
      </w:r>
      <w:r w:rsidR="003D69A9" w:rsidRPr="00991272">
        <w:rPr>
          <w:rFonts w:hint="cs"/>
          <w:rtl/>
        </w:rPr>
        <w:instrText>מורה נבוכים ב' א' בעיון השלישי</w:instrText>
      </w:r>
      <w:r w:rsidR="003D69A9">
        <w:instrText xml:space="preserve">" </w:instrText>
      </w:r>
      <w:r w:rsidR="003D69A9">
        <w:rPr>
          <w:rtl/>
        </w:rPr>
        <w:fldChar w:fldCharType="end"/>
      </w:r>
      <w:r w:rsidR="0021653A">
        <w:rPr>
          <w:rFonts w:hint="cs"/>
          <w:rtl/>
        </w:rPr>
        <w:t>)</w:t>
      </w:r>
      <w:r w:rsidR="00B35D4E">
        <w:rPr>
          <w:rFonts w:hint="cs"/>
          <w:rtl/>
        </w:rPr>
        <w:t>.</w:t>
      </w:r>
    </w:p>
    <w:p w14:paraId="436897BD" w14:textId="0C571C67" w:rsidR="00D21DA7" w:rsidRDefault="003D69A9">
      <w:pPr>
        <w:pStyle w:val="FootnoteText"/>
        <w:rPr>
          <w:rtl/>
        </w:rPr>
      </w:pPr>
      <w:r>
        <w:rPr>
          <w:rFonts w:hint="cs"/>
          <w:rtl/>
        </w:rPr>
        <w:t xml:space="preserve">מעתה מציאותו הפרטית של הנברא, </w:t>
      </w:r>
      <w:r w:rsidR="00F733AD">
        <w:rPr>
          <w:rFonts w:hint="cs"/>
          <w:rtl/>
        </w:rPr>
        <w:t xml:space="preserve">הוטל בה יסוד </w:t>
      </w:r>
      <w:r w:rsidR="00F733AD">
        <w:rPr>
          <w:rFonts w:hint="cs"/>
          <w:rtl/>
        </w:rPr>
        <w:t>הכליון, היא</w:t>
      </w:r>
      <w:r w:rsidR="0033279F">
        <w:rPr>
          <w:rFonts w:hint="cs"/>
          <w:rtl/>
        </w:rPr>
        <w:t xml:space="preserve"> נעשית</w:t>
      </w:r>
      <w:r w:rsidR="00F733AD">
        <w:rPr>
          <w:rFonts w:hint="cs"/>
          <w:rtl/>
        </w:rPr>
        <w:t xml:space="preserve"> אש בוערת, הוא בטל בעצם מציאותו  אל מקור מציאותו</w:t>
      </w:r>
      <w:r w:rsidR="0033279F">
        <w:rPr>
          <w:rFonts w:hint="cs"/>
          <w:rtl/>
        </w:rPr>
        <w:t>, הוא התהוות והפסד תמידיים</w:t>
      </w:r>
      <w:r w:rsidR="00C06492">
        <w:rPr>
          <w:rFonts w:hint="cs"/>
          <w:rtl/>
        </w:rPr>
        <w:t xml:space="preserve">, הוא מוליד ללא הרף מחשבות חדשות ומעשים חדשים, מציאות חדשה של </w:t>
      </w:r>
      <w:r w:rsidR="00113C99">
        <w:rPr>
          <w:rFonts w:hint="cs"/>
          <w:rtl/>
        </w:rPr>
        <w:t>עצמו</w:t>
      </w:r>
      <w:r w:rsidR="00C06492">
        <w:rPr>
          <w:rFonts w:hint="cs"/>
          <w:rtl/>
        </w:rPr>
        <w:t>, והוא מת ללא הרף</w:t>
      </w:r>
      <w:r w:rsidR="005C4698">
        <w:rPr>
          <w:rFonts w:hint="cs"/>
          <w:rtl/>
        </w:rPr>
        <w:t>, בבחינת עזה כמוות אהבה</w:t>
      </w:r>
      <w:r w:rsidR="00C06492">
        <w:rPr>
          <w:rFonts w:hint="cs"/>
          <w:rtl/>
        </w:rPr>
        <w:t>.</w:t>
      </w:r>
    </w:p>
    <w:p w14:paraId="6BEE30FA" w14:textId="77777777" w:rsidR="009B0CE7" w:rsidRDefault="005C4698">
      <w:pPr>
        <w:pStyle w:val="FootnoteText"/>
        <w:rPr>
          <w:rtl/>
        </w:rPr>
      </w:pPr>
      <w:r>
        <w:rPr>
          <w:rFonts w:hint="cs"/>
          <w:rtl/>
        </w:rPr>
        <w:t>ביטול המציאות הזה יכול להיות כלפי מקור המציאות הראשון העליון הוא הכרחי המציאות</w:t>
      </w:r>
      <w:r w:rsidR="008950E0">
        <w:rPr>
          <w:rFonts w:hint="cs"/>
          <w:rtl/>
        </w:rPr>
        <w:t xml:space="preserve"> (ספירת כתר)</w:t>
      </w:r>
      <w:r>
        <w:rPr>
          <w:rFonts w:hint="cs"/>
          <w:rtl/>
        </w:rPr>
        <w:t>, במידה שהאדם משיג אותו, ויכול להיות גם כלפי העובדה שהמציאות עצמה</w:t>
      </w:r>
      <w:r w:rsidR="008950E0">
        <w:rPr>
          <w:rFonts w:hint="cs"/>
          <w:rtl/>
        </w:rPr>
        <w:t xml:space="preserve"> (ספירת חכמה)</w:t>
      </w:r>
      <w:r>
        <w:rPr>
          <w:rFonts w:hint="cs"/>
          <w:rtl/>
        </w:rPr>
        <w:t xml:space="preserve"> היא אחת</w:t>
      </w:r>
      <w:r w:rsidR="008950E0">
        <w:rPr>
          <w:rFonts w:hint="cs"/>
          <w:rtl/>
        </w:rPr>
        <w:t>, על דרך שכתב במורה נבוכים א' ע"ב</w:t>
      </w:r>
      <w:r w:rsidR="009B0CE7">
        <w:rPr>
          <w:rtl/>
        </w:rPr>
        <w:fldChar w:fldCharType="begin"/>
      </w:r>
      <w:r w:rsidR="009B0CE7">
        <w:instrText xml:space="preserve"> XE "</w:instrText>
      </w:r>
      <w:r w:rsidR="009B0CE7" w:rsidRPr="00CB2470">
        <w:rPr>
          <w:rFonts w:hint="cs"/>
          <w:rtl/>
        </w:rPr>
        <w:instrText>מורה נבוכים א' ע</w:instrText>
      </w:r>
      <w:r w:rsidR="009B0CE7">
        <w:rPr>
          <w:b/>
          <w:bCs/>
          <w:sz w:val="20"/>
          <w:szCs w:val="20"/>
        </w:rPr>
        <w:instrText>\</w:instrText>
      </w:r>
      <w:r w:rsidR="009B0CE7" w:rsidRPr="00CB2470">
        <w:rPr>
          <w:rFonts w:hint="cs"/>
          <w:rtl/>
        </w:rPr>
        <w:instrText>"ב - אחדות הבורא ואחדות המציאות</w:instrText>
      </w:r>
      <w:r w:rsidR="009B0CE7">
        <w:instrText xml:space="preserve">" </w:instrText>
      </w:r>
      <w:r w:rsidR="009B0CE7">
        <w:rPr>
          <w:rtl/>
        </w:rPr>
        <w:fldChar w:fldCharType="end"/>
      </w:r>
      <w:r>
        <w:rPr>
          <w:rFonts w:hint="cs"/>
          <w:rtl/>
        </w:rPr>
        <w:t>.</w:t>
      </w:r>
    </w:p>
    <w:p w14:paraId="5F5BF2D4" w14:textId="77777777" w:rsidR="005A5F57" w:rsidRDefault="005A5F57">
      <w:pPr>
        <w:pStyle w:val="FootnoteText"/>
        <w:rPr>
          <w:rtl/>
        </w:rPr>
      </w:pPr>
      <w:r>
        <w:rPr>
          <w:rFonts w:hint="cs"/>
          <w:rtl/>
        </w:rPr>
        <w:t>וכתב שם המורה נבוכים:</w:t>
      </w:r>
    </w:p>
    <w:p w14:paraId="77D2E140" w14:textId="77777777" w:rsidR="00DE3FD3" w:rsidRDefault="005A5F57">
      <w:pPr>
        <w:pStyle w:val="FootnoteText"/>
        <w:rPr>
          <w:rtl/>
        </w:rPr>
      </w:pPr>
      <w:r>
        <w:rPr>
          <w:rFonts w:hint="cs"/>
          <w:rtl/>
        </w:rPr>
        <w:t>"</w:t>
      </w:r>
      <w:r w:rsidR="00DE3FD3" w:rsidRPr="00DE3FD3">
        <w:rPr>
          <w:rtl/>
        </w:rPr>
        <w:t>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 כן אי אפשר שימצאו חלקי העולם קצתם מבלתי קצתם בזה המציאות המיושב אשר דברינו בו, עד שימצא אש מבלתי ארץ, או ארץ מבלתי שמים, או שמים מבלתי ארץ.</w:t>
      </w:r>
      <w:r>
        <w:rPr>
          <w:rFonts w:hint="cs"/>
          <w:rtl/>
        </w:rPr>
        <w:t>"</w:t>
      </w:r>
    </w:p>
    <w:p w14:paraId="5B075B05" w14:textId="77777777" w:rsidR="00117532" w:rsidRDefault="00DE3FD3">
      <w:pPr>
        <w:pStyle w:val="FootnoteText"/>
        <w:rPr>
          <w:rtl/>
        </w:rPr>
      </w:pPr>
      <w:r>
        <w:rPr>
          <w:rFonts w:hint="cs"/>
          <w:rtl/>
        </w:rPr>
        <w:t xml:space="preserve">הנברא האחד הוא החומר הראשון, הוא הגלגל הקיצון או העיגול של הצמצום שכתב האר"י. </w:t>
      </w:r>
      <w:r w:rsidR="001A15AA">
        <w:rPr>
          <w:rFonts w:hint="cs"/>
          <w:rtl/>
        </w:rPr>
        <w:t>הוא מחוסר כל צורה וכל הגדרה, ולכן הוא אחדות פשוטה כמו הבורא. ההבדל הוא רק שהבורא הוא סיבת עצמו והחומר הראשון נמצא מסיבת הבורא שברא</w:t>
      </w:r>
      <w:r w:rsidR="00597F03">
        <w:rPr>
          <w:rFonts w:hint="cs"/>
          <w:rtl/>
        </w:rPr>
        <w:t xml:space="preserve"> </w:t>
      </w:r>
      <w:r w:rsidR="001A15AA">
        <w:rPr>
          <w:rFonts w:hint="cs"/>
          <w:rtl/>
        </w:rPr>
        <w:t>אותו.</w:t>
      </w:r>
    </w:p>
    <w:p w14:paraId="722739E4" w14:textId="1C3E4740" w:rsidR="00317C66" w:rsidRDefault="00117532">
      <w:pPr>
        <w:pStyle w:val="FootnoteText"/>
        <w:rPr>
          <w:rtl/>
        </w:rPr>
      </w:pPr>
      <w:r>
        <w:rPr>
          <w:rFonts w:hint="cs"/>
          <w:rtl/>
        </w:rPr>
        <w:t xml:space="preserve">על הנברא האחד הזה </w:t>
      </w:r>
      <w:r w:rsidR="00BE344A">
        <w:rPr>
          <w:rFonts w:hint="cs"/>
          <w:rtl/>
        </w:rPr>
        <w:t>ועל בוראו האחד (</w:t>
      </w:r>
      <w:r w:rsidR="00D85480">
        <w:rPr>
          <w:rFonts w:hint="cs"/>
          <w:rtl/>
        </w:rPr>
        <w:t>אין בדברי פרמנידס חילוק ביניהם)</w:t>
      </w:r>
      <w:r w:rsidR="006C5FB3">
        <w:rPr>
          <w:rFonts w:hint="cs"/>
          <w:rtl/>
        </w:rPr>
        <w:t xml:space="preserve"> </w:t>
      </w:r>
      <w:r>
        <w:rPr>
          <w:rFonts w:hint="cs"/>
          <w:rtl/>
        </w:rPr>
        <w:t>דיבר פרמנידס שהוא בלתי מתנועע, כי כיוון</w:t>
      </w:r>
      <w:r w:rsidR="00175BB1">
        <w:rPr>
          <w:rFonts w:hint="cs"/>
          <w:rtl/>
        </w:rPr>
        <w:t xml:space="preserve"> </w:t>
      </w:r>
      <w:r>
        <w:rPr>
          <w:rFonts w:hint="cs"/>
          <w:rtl/>
        </w:rPr>
        <w:t>שאין בו שום צורות והגדרות אין</w:t>
      </w:r>
      <w:r w:rsidR="00175BB1">
        <w:rPr>
          <w:rFonts w:hint="cs"/>
          <w:rtl/>
        </w:rPr>
        <w:t xml:space="preserve"> בו</w:t>
      </w:r>
      <w:r>
        <w:rPr>
          <w:rFonts w:hint="cs"/>
          <w:rtl/>
        </w:rPr>
        <w:t xml:space="preserve"> </w:t>
      </w:r>
      <w:r w:rsidR="00175BB1">
        <w:rPr>
          <w:rFonts w:hint="cs"/>
          <w:rtl/>
        </w:rPr>
        <w:t>הגדרות של מניין הוא נע ולאן הוא נע וכמה זמן ארכה התנועה וכיו"ב.</w:t>
      </w:r>
      <w:r w:rsidR="00176F61">
        <w:rPr>
          <w:rFonts w:hint="cs"/>
          <w:rtl/>
        </w:rPr>
        <w:t xml:space="preserve"> ומה שדיבר פרמנידס על </w:t>
      </w:r>
      <w:r w:rsidR="00317C66">
        <w:rPr>
          <w:rFonts w:hint="cs"/>
          <w:rtl/>
        </w:rPr>
        <w:t>האדמה והאש הכוונה לאיברים שבאותו אחד פשוט שהוא המציאות.</w:t>
      </w:r>
    </w:p>
    <w:p w14:paraId="11076E7A" w14:textId="5018C82C" w:rsidR="00317C66" w:rsidRDefault="00317C66">
      <w:pPr>
        <w:pStyle w:val="FootnoteText"/>
        <w:rPr>
          <w:rtl/>
        </w:rPr>
      </w:pPr>
      <w:r>
        <w:rPr>
          <w:rFonts w:hint="cs"/>
          <w:rtl/>
        </w:rPr>
        <w:t>וכמו שכתב המורה נבוכים א' תחילת פרק ע"ב</w:t>
      </w:r>
      <w:r w:rsidR="00BE0BB3">
        <w:rPr>
          <w:rFonts w:hint="cs"/>
          <w:rtl/>
        </w:rPr>
        <w:t xml:space="preserve"> (מקור הדברים באפלטון בטימיאוס וגם אצל אריסטו הם נאמרים במטאפיזיקה למבדא פרקים ט'-י'</w:t>
      </w:r>
      <w:r w:rsidR="00843309">
        <w:rPr>
          <w:rFonts w:hint="cs"/>
          <w:rtl/>
        </w:rPr>
        <w:t>. אנ</w:t>
      </w:r>
      <w:r w:rsidR="001B22A2">
        <w:rPr>
          <w:rFonts w:hint="cs"/>
          <w:rtl/>
        </w:rPr>
        <w:t>י</w:t>
      </w:r>
      <w:r w:rsidR="00843309">
        <w:rPr>
          <w:rFonts w:hint="cs"/>
          <w:rtl/>
        </w:rPr>
        <w:t xml:space="preserve"> מביא מהרמב"ם כי נוח לי להביא ממנו, ולא</w:t>
      </w:r>
      <w:r w:rsidR="001B22A2">
        <w:rPr>
          <w:rFonts w:hint="cs"/>
          <w:rtl/>
        </w:rPr>
        <w:t xml:space="preserve"> </w:t>
      </w:r>
      <w:r w:rsidR="00843309">
        <w:rPr>
          <w:rFonts w:hint="cs"/>
          <w:rtl/>
        </w:rPr>
        <w:t>בגלל שאבן סינא מחויב לסבור כמו הרמב"ם. הרמב"ם הוא תלמי</w:t>
      </w:r>
      <w:r w:rsidR="001B22A2">
        <w:rPr>
          <w:rFonts w:hint="cs"/>
          <w:rtl/>
        </w:rPr>
        <w:t>ד</w:t>
      </w:r>
      <w:r w:rsidR="00843309">
        <w:rPr>
          <w:rFonts w:hint="cs"/>
          <w:rtl/>
        </w:rPr>
        <w:t xml:space="preserve"> מובהק </w:t>
      </w:r>
      <w:r w:rsidR="008011E8">
        <w:rPr>
          <w:rFonts w:hint="cs"/>
          <w:rtl/>
        </w:rPr>
        <w:t xml:space="preserve">ומדויק </w:t>
      </w:r>
      <w:r w:rsidR="00843309">
        <w:rPr>
          <w:rFonts w:hint="cs"/>
          <w:rtl/>
        </w:rPr>
        <w:t>של אבן סינא ולכן אפשר</w:t>
      </w:r>
      <w:r w:rsidR="001B22A2">
        <w:rPr>
          <w:rFonts w:hint="cs"/>
          <w:rtl/>
        </w:rPr>
        <w:t xml:space="preserve"> </w:t>
      </w:r>
      <w:r w:rsidR="00843309">
        <w:rPr>
          <w:rFonts w:hint="cs"/>
          <w:rtl/>
        </w:rPr>
        <w:t>ללמ</w:t>
      </w:r>
      <w:r w:rsidR="008011E8">
        <w:rPr>
          <w:rFonts w:hint="cs"/>
          <w:rtl/>
        </w:rPr>
        <w:t>ו</w:t>
      </w:r>
      <w:r w:rsidR="00671179">
        <w:rPr>
          <w:rFonts w:hint="cs"/>
          <w:rtl/>
        </w:rPr>
        <w:t>ד</w:t>
      </w:r>
      <w:r w:rsidR="00843309">
        <w:rPr>
          <w:rFonts w:hint="cs"/>
          <w:rtl/>
        </w:rPr>
        <w:t xml:space="preserve"> מדברי הרמב"ם על דעתו של אבן סינא)</w:t>
      </w:r>
      <w:r>
        <w:rPr>
          <w:rFonts w:hint="cs"/>
          <w:rtl/>
        </w:rPr>
        <w:t>:</w:t>
      </w:r>
    </w:p>
    <w:p w14:paraId="69A21026" w14:textId="77777777" w:rsidR="000626F8" w:rsidRDefault="000626F8" w:rsidP="000626F8">
      <w:pPr>
        <w:pStyle w:val="FootnoteText"/>
        <w:rPr>
          <w:rtl/>
        </w:rPr>
      </w:pPr>
      <w:r>
        <w:rPr>
          <w:rFonts w:hint="cs"/>
          <w:rtl/>
        </w:rPr>
        <w:t>"</w:t>
      </w:r>
      <w:r w:rsidRPr="000626F8">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w:t>
      </w:r>
      <w:r>
        <w:rPr>
          <w:rFonts w:hint="cs"/>
          <w:rtl/>
        </w:rPr>
        <w:t>"</w:t>
      </w:r>
    </w:p>
    <w:p w14:paraId="245B3EE3" w14:textId="649C93DF" w:rsidR="00ED1B7A" w:rsidRDefault="000626F8" w:rsidP="000626F8">
      <w:pPr>
        <w:pStyle w:val="FootnoteText"/>
      </w:pPr>
      <w:r>
        <w:rPr>
          <w:rFonts w:hint="cs"/>
          <w:rtl/>
        </w:rPr>
        <w:t xml:space="preserve">(היחס בין הגוף הכללי שיש לו חיות אחת פשוטה כללית שווה בכולו, ובין ההתפלגות לאיברים שונים, הוא חזרה על סוד מעשה מרכבה, </w:t>
      </w:r>
      <w:r w:rsidR="00E42F18">
        <w:rPr>
          <w:rFonts w:hint="cs"/>
          <w:rtl/>
        </w:rPr>
        <w:t xml:space="preserve">סוד </w:t>
      </w:r>
      <w:r>
        <w:rPr>
          <w:rFonts w:hint="cs"/>
          <w:rtl/>
        </w:rPr>
        <w:t>הסתירה שבין האחדות לריבוי</w:t>
      </w:r>
      <w:r w:rsidR="00EC3638">
        <w:rPr>
          <w:rFonts w:hint="cs"/>
          <w:rtl/>
        </w:rPr>
        <w:t>. החומר הראשון האחד נברא באופן ישיר מהבורא, באופן שמעל השכל והזמן, ללא סיבתיות או יציאה מהכח אל הפועל או כל חוקיות שכלית אחרת,</w:t>
      </w:r>
      <w:r w:rsidR="00EB6E1C">
        <w:rPr>
          <w:rFonts w:hint="cs"/>
          <w:rtl/>
        </w:rPr>
        <w:t xml:space="preserve"> </w:t>
      </w:r>
      <w:r w:rsidR="00EC3638">
        <w:rPr>
          <w:rFonts w:hint="cs"/>
          <w:rtl/>
        </w:rPr>
        <w:t>והוא הדבר היחיד שנברא כך</w:t>
      </w:r>
      <w:r w:rsidR="005704F6">
        <w:rPr>
          <w:rFonts w:hint="cs"/>
          <w:rtl/>
        </w:rPr>
        <w:t>, והיחיד ששייכת בו לשון 'בריאה' (בערבית איבדע)</w:t>
      </w:r>
      <w:r w:rsidR="00EB6E1C">
        <w:rPr>
          <w:rFonts w:hint="cs"/>
          <w:rtl/>
        </w:rPr>
        <w:t xml:space="preserve">. שאר הדברים נוצרו ונעשו כיציאה אל הפועל של מה שהיה כבר בכח בחומר הראשון, שבו נבראו כל האפשרויות, ואחר כך </w:t>
      </w:r>
      <w:r w:rsidR="002D289A">
        <w:rPr>
          <w:rFonts w:hint="cs"/>
          <w:rtl/>
        </w:rPr>
        <w:t xml:space="preserve">האפשרויות שכבר נבראו מראש </w:t>
      </w:r>
      <w:r w:rsidR="00EB6E1C">
        <w:rPr>
          <w:rFonts w:hint="cs"/>
          <w:rtl/>
        </w:rPr>
        <w:t xml:space="preserve">מתממשות על ידי יציאה </w:t>
      </w:r>
      <w:r w:rsidR="002D289A">
        <w:rPr>
          <w:rFonts w:hint="cs"/>
          <w:rtl/>
        </w:rPr>
        <w:t>אל</w:t>
      </w:r>
      <w:r w:rsidR="00EB6E1C">
        <w:rPr>
          <w:rFonts w:hint="cs"/>
          <w:rtl/>
        </w:rPr>
        <w:t xml:space="preserve"> הפועל של הצורות המסוימות</w:t>
      </w:r>
      <w:r w:rsidR="00FB4AEB">
        <w:rPr>
          <w:rFonts w:hint="cs"/>
          <w:rtl/>
        </w:rPr>
        <w:t>, הן האיברים</w:t>
      </w:r>
      <w:r w:rsidR="00E42F18">
        <w:rPr>
          <w:rFonts w:hint="cs"/>
          <w:rtl/>
        </w:rPr>
        <w:t>)</w:t>
      </w:r>
    </w:p>
    <w:p w14:paraId="2F70D2E5" w14:textId="77777777" w:rsidR="007B3307" w:rsidRDefault="00FB4AEB" w:rsidP="000626F8">
      <w:pPr>
        <w:pStyle w:val="FootnoteText"/>
        <w:rPr>
          <w:rtl/>
        </w:rPr>
      </w:pPr>
      <w:r>
        <w:rPr>
          <w:rFonts w:hint="cs"/>
          <w:rtl/>
        </w:rPr>
        <w:t xml:space="preserve">ביטול המציאות של הנברא הפרטי כלפי גילוי האחדות האלוהית בטבע, שהוא מה שהטבע כולו הוא אופני התגלות של החומר הראשון, </w:t>
      </w:r>
      <w:r w:rsidR="00B120E8">
        <w:rPr>
          <w:rFonts w:hint="cs"/>
          <w:rtl/>
        </w:rPr>
        <w:t xml:space="preserve">שווה לביטול המציאות כלפי מי שברא את החומר הראשון. </w:t>
      </w:r>
      <w:r w:rsidR="006C5FB3">
        <w:rPr>
          <w:rFonts w:hint="cs"/>
          <w:rtl/>
        </w:rPr>
        <w:t>האחד ברא אחד, הנברא האחד הוא החומר הראשון, מתגלה כמציאות של הטבע, שבו כל הדברים משתנים מזה לזה כי כולם הם מהחומר הראשון האחד ולכן כולם אחדים</w:t>
      </w:r>
      <w:r w:rsidR="0076431E">
        <w:rPr>
          <w:rFonts w:hint="cs"/>
          <w:rtl/>
        </w:rPr>
        <w:t>, והאחדות הזו היא השגת אחדות הבורא עצמו ולכן אין חילוק</w:t>
      </w:r>
      <w:r w:rsidR="006C5FB3">
        <w:rPr>
          <w:rFonts w:hint="cs"/>
          <w:rtl/>
        </w:rPr>
        <w:t xml:space="preserve">. </w:t>
      </w:r>
      <w:r w:rsidR="007B3307">
        <w:rPr>
          <w:rFonts w:hint="cs"/>
          <w:rtl/>
        </w:rPr>
        <w:t>זה שכתב כאן אבן סינא שההתבטלות אל התכלית העליונה שווה להתבטלות לטבע.</w:t>
      </w:r>
    </w:p>
    <w:p w14:paraId="1556DB40" w14:textId="77777777" w:rsidR="00C66634" w:rsidRDefault="00C66634" w:rsidP="000626F8">
      <w:pPr>
        <w:pStyle w:val="FootnoteText"/>
        <w:rPr>
          <w:rtl/>
        </w:rPr>
      </w:pPr>
    </w:p>
    <w:p w14:paraId="3F8A3254" w14:textId="6D1DE646" w:rsidR="003B49D6" w:rsidRDefault="003B49D6" w:rsidP="000626F8">
      <w:pPr>
        <w:pStyle w:val="FootnoteText"/>
        <w:rPr>
          <w:rtl/>
        </w:rPr>
      </w:pPr>
      <w:r>
        <w:rPr>
          <w:rFonts w:hint="cs"/>
          <w:rtl/>
        </w:rPr>
        <w:t>במסכת שבת ל"א א'</w:t>
      </w:r>
      <w:r w:rsidR="008D4C67">
        <w:rPr>
          <w:rtl/>
        </w:rPr>
        <w:fldChar w:fldCharType="begin"/>
      </w:r>
      <w:r w:rsidR="008D4C67">
        <w:instrText xml:space="preserve"> XE "</w:instrText>
      </w:r>
      <w:r w:rsidR="008D4C67" w:rsidRPr="00175775">
        <w:rPr>
          <w:rFonts w:hint="cs"/>
          <w:rtl/>
        </w:rPr>
        <w:instrText>'בין אדם לחברו' ו'בין אדם למקום' הם אחד - מסכת שבת ל</w:instrText>
      </w:r>
      <w:r w:rsidR="008D4C67">
        <w:rPr>
          <w:b/>
          <w:bCs/>
          <w:sz w:val="20"/>
          <w:szCs w:val="20"/>
        </w:rPr>
        <w:instrText>\</w:instrText>
      </w:r>
      <w:r w:rsidR="008D4C67" w:rsidRPr="00175775">
        <w:rPr>
          <w:rFonts w:hint="cs"/>
          <w:rtl/>
        </w:rPr>
        <w:instrText>"א א'</w:instrText>
      </w:r>
      <w:r w:rsidR="008D4C67">
        <w:instrText xml:space="preserve">" </w:instrText>
      </w:r>
      <w:r w:rsidR="008D4C67">
        <w:rPr>
          <w:rtl/>
        </w:rPr>
        <w:fldChar w:fldCharType="end"/>
      </w:r>
      <w:r>
        <w:rPr>
          <w:rFonts w:hint="cs"/>
          <w:rtl/>
        </w:rPr>
        <w:t xml:space="preserve"> כתוב (מתורגם ומקוצר):</w:t>
      </w:r>
    </w:p>
    <w:p w14:paraId="2DEA9D5C" w14:textId="77777777" w:rsidR="00947B65" w:rsidRDefault="003B49D6" w:rsidP="000626F8">
      <w:pPr>
        <w:pStyle w:val="FootnoteText"/>
        <w:rPr>
          <w:rtl/>
        </w:rPr>
      </w:pPr>
      <w:r>
        <w:rPr>
          <w:rFonts w:hint="cs"/>
          <w:rtl/>
        </w:rPr>
        <w:t xml:space="preserve">"מעשה בנכרי שבא להתגייר, ואמר גיירני על מנת שתלמדני כל התורה כולה כשאני עומד על רגל אחת. </w:t>
      </w:r>
      <w:r w:rsidR="006E2DD0">
        <w:rPr>
          <w:rFonts w:hint="cs"/>
          <w:rtl/>
        </w:rPr>
        <w:t>הלל גייר אותו ואמר לו:</w:t>
      </w:r>
      <w:r w:rsidR="006E2DD0">
        <w:rPr>
          <w:rFonts w:hint="cs"/>
        </w:rPr>
        <w:t xml:space="preserve"> </w:t>
      </w:r>
      <w:r w:rsidR="006E2DD0">
        <w:rPr>
          <w:rFonts w:hint="cs"/>
          <w:rtl/>
        </w:rPr>
        <w:t>מה ששנוא עליך לא תעשה לחברך, וכל השאר הוא פירוש של זה</w:t>
      </w:r>
      <w:r w:rsidR="00947B65">
        <w:rPr>
          <w:rFonts w:hint="cs"/>
          <w:rtl/>
        </w:rPr>
        <w:t>,</w:t>
      </w:r>
      <w:r w:rsidR="006E2DD0">
        <w:rPr>
          <w:rFonts w:hint="cs"/>
          <w:rtl/>
        </w:rPr>
        <w:t xml:space="preserve"> לך ולמד</w:t>
      </w:r>
      <w:r>
        <w:rPr>
          <w:rFonts w:hint="cs"/>
          <w:rtl/>
        </w:rPr>
        <w:t>"</w:t>
      </w:r>
    </w:p>
    <w:p w14:paraId="58FF41E1" w14:textId="77777777" w:rsidR="00947B65" w:rsidRDefault="00947B65" w:rsidP="000626F8">
      <w:pPr>
        <w:pStyle w:val="FootnoteText"/>
        <w:rPr>
          <w:rtl/>
        </w:rPr>
      </w:pPr>
      <w:r>
        <w:rPr>
          <w:rFonts w:hint="cs"/>
          <w:rtl/>
        </w:rPr>
        <w:t>ורש"י כתב שם:</w:t>
      </w:r>
    </w:p>
    <w:p w14:paraId="50BA2822" w14:textId="7BB6CB9B" w:rsidR="00FB3AD0" w:rsidRDefault="00947B65" w:rsidP="00D94D77">
      <w:pPr>
        <w:pStyle w:val="FootnoteText"/>
        <w:rPr>
          <w:rtl/>
        </w:rPr>
      </w:pPr>
      <w:r>
        <w:rPr>
          <w:rFonts w:hint="cs"/>
          <w:rtl/>
        </w:rPr>
        <w:t>"</w:t>
      </w:r>
      <w:r w:rsidR="00FB3AD0">
        <w:rPr>
          <w:rFonts w:hint="cs"/>
          <w:rtl/>
        </w:rPr>
        <w:t>מה ששנוא עליך לא תעשה לחברך</w:t>
      </w:r>
      <w:r w:rsidR="00FB3AD0">
        <w:rPr>
          <w:rtl/>
        </w:rPr>
        <w:t xml:space="preserve"> - </w:t>
      </w:r>
      <w:r w:rsidR="00FB3AD0">
        <w:rPr>
          <w:rFonts w:hint="cs"/>
          <w:rtl/>
        </w:rPr>
        <w:t>"</w:t>
      </w:r>
      <w:r w:rsidR="00FB3AD0">
        <w:rPr>
          <w:rtl/>
        </w:rPr>
        <w:t>ריעך וריע אביך אל תעזוב</w:t>
      </w:r>
      <w:r w:rsidR="00FB3AD0">
        <w:rPr>
          <w:rFonts w:hint="cs"/>
          <w:rtl/>
        </w:rPr>
        <w:t>"</w:t>
      </w:r>
      <w:r w:rsidR="00FB3AD0">
        <w:rPr>
          <w:rtl/>
        </w:rPr>
        <w:t xml:space="preserve"> (משלי כז) זה הק</w:t>
      </w:r>
      <w:r w:rsidR="000619A0">
        <w:rPr>
          <w:rFonts w:hint="cs"/>
          <w:rtl/>
        </w:rPr>
        <w:t>דוש ברוך הוא,</w:t>
      </w:r>
      <w:r w:rsidR="00FB3AD0">
        <w:rPr>
          <w:rtl/>
        </w:rPr>
        <w:t xml:space="preserve"> אל תעבור על דבריו שהרי עליך שנו</w:t>
      </w:r>
      <w:r w:rsidR="000619A0">
        <w:rPr>
          <w:rFonts w:hint="cs"/>
          <w:rtl/>
        </w:rPr>
        <w:t>א</w:t>
      </w:r>
      <w:r w:rsidR="00FB3AD0">
        <w:rPr>
          <w:rtl/>
        </w:rPr>
        <w:t xml:space="preserve"> שיעבור חבירך על דבריך</w:t>
      </w:r>
      <w:r w:rsidR="000619A0">
        <w:rPr>
          <w:rFonts w:hint="cs"/>
          <w:rtl/>
        </w:rPr>
        <w:t>. לשון אחר</w:t>
      </w:r>
      <w:r w:rsidR="00FB3AD0">
        <w:rPr>
          <w:rtl/>
        </w:rPr>
        <w:t xml:space="preserve"> חבירך ממש כגון גזלה גנבה ניאוף ורוב המצות</w:t>
      </w:r>
      <w:r w:rsidR="00D94D77">
        <w:rPr>
          <w:rFonts w:hint="cs"/>
          <w:rtl/>
        </w:rPr>
        <w:t>.</w:t>
      </w:r>
    </w:p>
    <w:p w14:paraId="3CD42DC6" w14:textId="77777777" w:rsidR="00D94D77" w:rsidRDefault="00FB3AD0" w:rsidP="004106C9">
      <w:pPr>
        <w:pStyle w:val="FootnoteText"/>
        <w:rPr>
          <w:rtl/>
        </w:rPr>
      </w:pPr>
      <w:r>
        <w:rPr>
          <w:rtl/>
        </w:rPr>
        <w:t>שאר דברי תורה</w:t>
      </w:r>
      <w:r w:rsidR="004106C9">
        <w:rPr>
          <w:rFonts w:hint="cs"/>
          <w:rtl/>
        </w:rPr>
        <w:t xml:space="preserve"> </w:t>
      </w:r>
      <w:r>
        <w:rPr>
          <w:rtl/>
        </w:rPr>
        <w:t>פירוש</w:t>
      </w:r>
      <w:r w:rsidR="004106C9">
        <w:rPr>
          <w:rFonts w:hint="cs"/>
          <w:rtl/>
        </w:rPr>
        <w:t>ו</w:t>
      </w:r>
      <w:r>
        <w:rPr>
          <w:rtl/>
        </w:rPr>
        <w:t xml:space="preserve"> </w:t>
      </w:r>
      <w:r w:rsidR="004106C9">
        <w:rPr>
          <w:rFonts w:hint="cs"/>
          <w:rtl/>
        </w:rPr>
        <w:t>של דבר זה</w:t>
      </w:r>
      <w:r>
        <w:rPr>
          <w:rtl/>
        </w:rPr>
        <w:t xml:space="preserve"> הוא</w:t>
      </w:r>
      <w:r w:rsidR="00D94D77">
        <w:rPr>
          <w:rFonts w:hint="cs"/>
          <w:rtl/>
        </w:rPr>
        <w:t>,</w:t>
      </w:r>
      <w:r>
        <w:rPr>
          <w:rtl/>
        </w:rPr>
        <w:t xml:space="preserve"> לדעת איזה דבר שנ</w:t>
      </w:r>
      <w:r w:rsidR="00D94D77">
        <w:rPr>
          <w:rFonts w:hint="cs"/>
          <w:rtl/>
        </w:rPr>
        <w:t>וא</w:t>
      </w:r>
      <w:r>
        <w:rPr>
          <w:rtl/>
        </w:rPr>
        <w:t xml:space="preserve"> </w:t>
      </w:r>
      <w:r w:rsidR="00D94D77">
        <w:rPr>
          <w:rFonts w:hint="cs"/>
          <w:rtl/>
        </w:rPr>
        <w:t>לך ולמד</w:t>
      </w:r>
      <w:r>
        <w:rPr>
          <w:rtl/>
        </w:rPr>
        <w:t xml:space="preserve"> ותדע</w:t>
      </w:r>
      <w:r w:rsidR="00947B65">
        <w:rPr>
          <w:rFonts w:hint="cs"/>
          <w:rtl/>
        </w:rPr>
        <w:t>"</w:t>
      </w:r>
    </w:p>
    <w:p w14:paraId="42370BD0" w14:textId="77777777" w:rsidR="00466D1D" w:rsidRDefault="00D94D77" w:rsidP="004106C9">
      <w:pPr>
        <w:pStyle w:val="FootnoteText"/>
        <w:rPr>
          <w:rtl/>
        </w:rPr>
      </w:pPr>
      <w:r>
        <w:rPr>
          <w:rFonts w:hint="cs"/>
          <w:rtl/>
        </w:rPr>
        <w:t>כתוב כאן ש</w:t>
      </w:r>
      <w:r w:rsidR="00230586">
        <w:rPr>
          <w:rFonts w:hint="cs"/>
          <w:rtl/>
        </w:rPr>
        <w:t>'</w:t>
      </w:r>
      <w:r>
        <w:rPr>
          <w:rFonts w:hint="cs"/>
          <w:rtl/>
        </w:rPr>
        <w:t>בין אדם לחברו</w:t>
      </w:r>
      <w:r w:rsidR="00230586">
        <w:rPr>
          <w:rFonts w:hint="cs"/>
          <w:rtl/>
        </w:rPr>
        <w:t>'</w:t>
      </w:r>
      <w:r>
        <w:rPr>
          <w:rFonts w:hint="cs"/>
          <w:rtl/>
        </w:rPr>
        <w:t xml:space="preserve"> ו</w:t>
      </w:r>
      <w:r w:rsidR="00230586">
        <w:rPr>
          <w:rFonts w:hint="cs"/>
          <w:rtl/>
        </w:rPr>
        <w:t>'</w:t>
      </w:r>
      <w:r>
        <w:rPr>
          <w:rFonts w:hint="cs"/>
          <w:rtl/>
        </w:rPr>
        <w:t>בין אדם למקום</w:t>
      </w:r>
      <w:r w:rsidR="00230586">
        <w:rPr>
          <w:rFonts w:hint="cs"/>
          <w:rtl/>
        </w:rPr>
        <w:t>'</w:t>
      </w:r>
      <w:r>
        <w:rPr>
          <w:rFonts w:hint="cs"/>
          <w:rtl/>
        </w:rPr>
        <w:t xml:space="preserve"> הם אותו הדבר עצמו. </w:t>
      </w:r>
      <w:r w:rsidR="004F4073">
        <w:rPr>
          <w:rFonts w:hint="cs"/>
          <w:rtl/>
        </w:rPr>
        <w:t>זה</w:t>
      </w:r>
      <w:r w:rsidR="00DC55B2">
        <w:rPr>
          <w:rFonts w:hint="cs"/>
          <w:rtl/>
        </w:rPr>
        <w:t xml:space="preserve"> </w:t>
      </w:r>
      <w:r w:rsidR="004F4073">
        <w:rPr>
          <w:rFonts w:hint="cs"/>
          <w:rtl/>
        </w:rPr>
        <w:t>מה שכותב כאן אבן סינא שההתבטלות לבורא היא שווה להתבטלות אל המציאות הכללית של הטבע, שהיא חברך. כי בלי שמציאות הטבע היא אחת וכללית</w:t>
      </w:r>
      <w:r w:rsidR="009C1E21">
        <w:rPr>
          <w:rFonts w:hint="cs"/>
          <w:rtl/>
        </w:rPr>
        <w:t xml:space="preserve"> וכולנו איברים בה,</w:t>
      </w:r>
      <w:r w:rsidR="004F4073">
        <w:rPr>
          <w:rFonts w:hint="cs"/>
          <w:rtl/>
        </w:rPr>
        <w:t xml:space="preserve"> האדם האחר אינו חברי אלא זר</w:t>
      </w:r>
      <w:r w:rsidR="00B6317A">
        <w:rPr>
          <w:rFonts w:hint="cs"/>
          <w:rtl/>
        </w:rPr>
        <w:t>, ולמה שלא אפגע בו.</w:t>
      </w:r>
      <w:r w:rsidR="007B3307">
        <w:rPr>
          <w:rFonts w:hint="cs"/>
          <w:rtl/>
        </w:rPr>
        <w:t xml:space="preserve"> </w:t>
      </w:r>
      <w:r w:rsidR="009C1E21">
        <w:rPr>
          <w:rFonts w:hint="cs"/>
          <w:rtl/>
        </w:rPr>
        <w:t xml:space="preserve">וכמו שנאמר בירושלמי שהמצווה של התורה </w:t>
      </w:r>
      <w:r w:rsidR="004B6B06">
        <w:rPr>
          <w:rFonts w:hint="cs"/>
          <w:rtl/>
        </w:rPr>
        <w:t>ש</w:t>
      </w:r>
      <w:r w:rsidR="009C1E21">
        <w:rPr>
          <w:rFonts w:hint="cs"/>
          <w:rtl/>
        </w:rPr>
        <w:t>לא לנקום, פירושה הוא כמו שאם יד ימין פגעה ביד שמאל, יד שמאל לא תנקום בה</w:t>
      </w:r>
      <w:r w:rsidR="00864D74">
        <w:rPr>
          <w:rFonts w:hint="cs"/>
          <w:rtl/>
        </w:rPr>
        <w:t>, וזה כמו שכתב במורה נבוכים שכל הנמצאים הם כמו איברים של המציאות האחת.</w:t>
      </w:r>
      <w:r w:rsidR="000626F8">
        <w:rPr>
          <w:rFonts w:hint="cs"/>
          <w:rtl/>
        </w:rPr>
        <w:t xml:space="preserve"> </w:t>
      </w:r>
    </w:p>
    <w:p w14:paraId="35EF6B9D" w14:textId="77777777" w:rsidR="00A3503A" w:rsidRDefault="00A3503A" w:rsidP="004106C9">
      <w:pPr>
        <w:pStyle w:val="FootnoteText"/>
        <w:rPr>
          <w:rtl/>
        </w:rPr>
      </w:pPr>
    </w:p>
    <w:p w14:paraId="0359B1D4" w14:textId="63C4761E" w:rsidR="005C4698" w:rsidRPr="004D5B95" w:rsidRDefault="00466D1D" w:rsidP="004106C9">
      <w:pPr>
        <w:pStyle w:val="FootnoteText"/>
        <w:rPr>
          <w:rtl/>
        </w:rPr>
      </w:pPr>
      <w:r>
        <w:rPr>
          <w:rFonts w:hint="cs"/>
          <w:rtl/>
        </w:rPr>
        <w:t>מה שכתב אבן סינא</w:t>
      </w:r>
      <w:r w:rsidR="00A3503A">
        <w:rPr>
          <w:rFonts w:hint="cs"/>
          <w:rtl/>
        </w:rPr>
        <w:t xml:space="preserve"> כאן</w:t>
      </w:r>
      <w:r>
        <w:rPr>
          <w:rFonts w:hint="cs"/>
          <w:rtl/>
        </w:rPr>
        <w:t xml:space="preserve"> "בהגדרה ותיאור", </w:t>
      </w:r>
      <w:r w:rsidR="00666A19">
        <w:rPr>
          <w:rFonts w:hint="cs"/>
          <w:rtl/>
        </w:rPr>
        <w:t>"</w:t>
      </w:r>
      <w:r w:rsidR="00A3503A">
        <w:rPr>
          <w:rFonts w:hint="cs"/>
          <w:rtl/>
        </w:rPr>
        <w:t>הגדרה</w:t>
      </w:r>
      <w:r w:rsidR="00666A19">
        <w:rPr>
          <w:rFonts w:hint="cs"/>
          <w:rtl/>
        </w:rPr>
        <w:t>"</w:t>
      </w:r>
      <w:r w:rsidR="00A3503A">
        <w:rPr>
          <w:rFonts w:hint="cs"/>
          <w:rtl/>
        </w:rPr>
        <w:t xml:space="preserve"> היינו מצד השכל העיוני המופשט שגוזר את הדבר מהשגה מופשטת במושכלות ההכרחיים, </w:t>
      </w:r>
      <w:r w:rsidR="00CC3685">
        <w:rPr>
          <w:rFonts w:hint="cs"/>
          <w:rtl/>
        </w:rPr>
        <w:t>זוהי דרך המטאפיזיקה, או מעשה מרכבה</w:t>
      </w:r>
      <w:r w:rsidR="00666A19">
        <w:rPr>
          <w:rFonts w:hint="cs"/>
          <w:rtl/>
        </w:rPr>
        <w:t xml:space="preserve">, </w:t>
      </w:r>
      <w:r w:rsidR="00CC3685">
        <w:rPr>
          <w:rFonts w:hint="cs"/>
          <w:rtl/>
        </w:rPr>
        <w:t>ו</w:t>
      </w:r>
      <w:r w:rsidR="00666A19">
        <w:rPr>
          <w:rFonts w:hint="cs"/>
          <w:rtl/>
        </w:rPr>
        <w:t>"</w:t>
      </w:r>
      <w:r w:rsidR="00CC3685">
        <w:rPr>
          <w:rFonts w:hint="cs"/>
          <w:rtl/>
        </w:rPr>
        <w:t>תיאור</w:t>
      </w:r>
      <w:r w:rsidR="00666A19">
        <w:rPr>
          <w:rFonts w:hint="cs"/>
          <w:rtl/>
        </w:rPr>
        <w:t>"</w:t>
      </w:r>
      <w:r w:rsidR="00CC3685">
        <w:rPr>
          <w:rFonts w:hint="cs"/>
          <w:rtl/>
        </w:rPr>
        <w:t xml:space="preserve"> הוא</w:t>
      </w:r>
      <w:r w:rsidR="00666A19">
        <w:rPr>
          <w:rFonts w:hint="cs"/>
          <w:rtl/>
        </w:rPr>
        <w:t xml:space="preserve"> מצד חקירת הטבע שמתחילה מבחינת </w:t>
      </w:r>
      <w:r w:rsidR="001214E8">
        <w:rPr>
          <w:rFonts w:hint="cs"/>
          <w:rtl/>
        </w:rPr>
        <w:t>הדברים הטבעיים, המושגים בחוש, ומשם עמלה להבין את תוכם וסודם, וז</w:t>
      </w:r>
      <w:r w:rsidR="0080769A">
        <w:rPr>
          <w:rFonts w:hint="cs"/>
          <w:rtl/>
        </w:rPr>
        <w:t>והי דרך הפיזיקה, או מעשה בראשית (כמו שכתב הרמב"ם בפתיחת המו</w:t>
      </w:r>
      <w:r w:rsidR="00097EF6">
        <w:rPr>
          <w:rFonts w:hint="cs"/>
          <w:rtl/>
        </w:rPr>
        <w:t>ר</w:t>
      </w:r>
      <w:r w:rsidR="0080769A">
        <w:rPr>
          <w:rFonts w:hint="cs"/>
          <w:rtl/>
        </w:rPr>
        <w:t>ה נבוכים, ו</w:t>
      </w:r>
      <w:r w:rsidR="00097EF6">
        <w:rPr>
          <w:rFonts w:hint="cs"/>
          <w:rtl/>
        </w:rPr>
        <w:t>ב</w:t>
      </w:r>
      <w:r w:rsidR="0080769A">
        <w:rPr>
          <w:rFonts w:hint="cs"/>
          <w:rtl/>
        </w:rPr>
        <w:t xml:space="preserve">פירוש המשנה חגיגה ב' א', </w:t>
      </w:r>
      <w:r w:rsidR="00097EF6">
        <w:rPr>
          <w:rFonts w:hint="cs"/>
          <w:rtl/>
        </w:rPr>
        <w:t>ש</w:t>
      </w:r>
      <w:r w:rsidR="0080769A">
        <w:rPr>
          <w:rFonts w:hint="cs"/>
          <w:rtl/>
        </w:rPr>
        <w:t>מעש</w:t>
      </w:r>
      <w:r w:rsidR="00097EF6">
        <w:rPr>
          <w:rFonts w:hint="cs"/>
          <w:rtl/>
        </w:rPr>
        <w:t>ה</w:t>
      </w:r>
      <w:r w:rsidR="0080769A">
        <w:rPr>
          <w:rFonts w:hint="cs"/>
          <w:rtl/>
        </w:rPr>
        <w:t xml:space="preserve"> מרכבה הוא המטאפיזיקה של אריסטו, ומעשה בראשית הוא הפיזיקה</w:t>
      </w:r>
      <w:r w:rsidR="00097EF6">
        <w:rPr>
          <w:rFonts w:hint="cs"/>
          <w:rtl/>
        </w:rPr>
        <w:t xml:space="preserve"> </w:t>
      </w:r>
      <w:r w:rsidR="0080769A">
        <w:rPr>
          <w:rFonts w:hint="cs"/>
          <w:rtl/>
        </w:rPr>
        <w:t xml:space="preserve">של אריסטו). </w:t>
      </w:r>
      <w:r w:rsidR="00666A19">
        <w:rPr>
          <w:rFonts w:hint="cs"/>
          <w:rtl/>
        </w:rPr>
        <w:t xml:space="preserve"> </w:t>
      </w:r>
      <w:r w:rsidR="00CC3685">
        <w:rPr>
          <w:rFonts w:hint="cs"/>
          <w:rtl/>
        </w:rPr>
        <w:t xml:space="preserve"> </w:t>
      </w:r>
      <w:r w:rsidR="00BE0BB3">
        <w:rPr>
          <w:rFonts w:hint="cs"/>
          <w:rtl/>
        </w:rPr>
        <w:t xml:space="preserve"> </w:t>
      </w:r>
      <w:r w:rsidR="00317C66">
        <w:rPr>
          <w:rFonts w:hint="cs"/>
          <w:rtl/>
        </w:rPr>
        <w:t xml:space="preserve"> </w:t>
      </w:r>
      <w:r w:rsidR="00175BB1">
        <w:rPr>
          <w:rFonts w:hint="cs"/>
          <w:rtl/>
        </w:rPr>
        <w:t xml:space="preserve"> </w:t>
      </w:r>
      <w:r w:rsidR="001A15AA">
        <w:rPr>
          <w:rFonts w:hint="cs"/>
          <w:rtl/>
        </w:rPr>
        <w:t xml:space="preserve"> </w:t>
      </w:r>
      <w:r w:rsidR="005C4698">
        <w:rPr>
          <w:rFonts w:hint="cs"/>
          <w:rtl/>
        </w:rPr>
        <w:t xml:space="preserve">  </w:t>
      </w:r>
    </w:p>
  </w:footnote>
  <w:footnote w:id="387">
    <w:p w14:paraId="591EB4A9" w14:textId="5E9D0789" w:rsidR="00D1244D" w:rsidRDefault="00D1244D">
      <w:pPr>
        <w:pStyle w:val="FootnoteText"/>
        <w:rPr>
          <w:rtl/>
        </w:rPr>
      </w:pPr>
      <w:r w:rsidRPr="004D5B95">
        <w:rPr>
          <w:rStyle w:val="FootnoteReference"/>
        </w:rPr>
        <w:footnoteRef/>
      </w:r>
      <w:r w:rsidRPr="004D5B95">
        <w:rPr>
          <w:rtl/>
        </w:rPr>
        <w:t xml:space="preserve"> </w:t>
      </w:r>
      <w:r w:rsidR="000E37DB" w:rsidRPr="004D5B95">
        <w:rPr>
          <w:rFonts w:ascii="Arial" w:hAnsi="Arial" w:cs="Arial" w:hint="cs"/>
          <w:rtl/>
          <w:lang w:bidi="ar-SA"/>
        </w:rPr>
        <w:t>نفس</w:t>
      </w:r>
      <w:r w:rsidR="000E37DB" w:rsidRPr="004D5B95">
        <w:rPr>
          <w:rtl/>
        </w:rPr>
        <w:t xml:space="preserve">. בתרגום מילולי נפש. </w:t>
      </w:r>
      <w:r w:rsidR="009E5123">
        <w:rPr>
          <w:rFonts w:hint="cs"/>
          <w:rtl/>
        </w:rPr>
        <w:t xml:space="preserve">בערבית יש מובן של </w:t>
      </w:r>
      <w:r w:rsidR="00B42E38">
        <w:rPr>
          <w:rFonts w:hint="cs"/>
          <w:rtl/>
        </w:rPr>
        <w:t>'</w:t>
      </w:r>
      <w:r w:rsidR="009E5123">
        <w:rPr>
          <w:rFonts w:hint="cs"/>
          <w:rtl/>
        </w:rPr>
        <w:t>בנפשו</w:t>
      </w:r>
      <w:r w:rsidR="00B42E38">
        <w:rPr>
          <w:rFonts w:hint="cs"/>
          <w:rtl/>
        </w:rPr>
        <w:t>'</w:t>
      </w:r>
      <w:r w:rsidR="009E5123">
        <w:rPr>
          <w:rFonts w:hint="cs"/>
          <w:rtl/>
        </w:rPr>
        <w:t xml:space="preserve"> </w:t>
      </w:r>
      <w:r w:rsidR="00B42E38">
        <w:rPr>
          <w:rFonts w:hint="cs"/>
          <w:rtl/>
        </w:rPr>
        <w:t xml:space="preserve">כלומר </w:t>
      </w:r>
      <w:r w:rsidR="009E5123">
        <w:rPr>
          <w:rFonts w:hint="cs"/>
          <w:rtl/>
        </w:rPr>
        <w:t>לבדו, בעצמו, ולפי זה תרגמתי</w:t>
      </w:r>
      <w:r w:rsidR="00D06975">
        <w:rPr>
          <w:rFonts w:hint="cs"/>
          <w:rtl/>
        </w:rPr>
        <w:t xml:space="preserve">, </w:t>
      </w:r>
      <w:r w:rsidR="00B9043B">
        <w:rPr>
          <w:rFonts w:hint="cs"/>
          <w:rtl/>
        </w:rPr>
        <w:t xml:space="preserve">והכוונה </w:t>
      </w:r>
      <w:r w:rsidR="00D06975">
        <w:rPr>
          <w:rFonts w:hint="cs"/>
          <w:rtl/>
        </w:rPr>
        <w:t>המציאות בעצמה בנבדל מהריבוי</w:t>
      </w:r>
      <w:r w:rsidR="009E5123">
        <w:rPr>
          <w:rFonts w:hint="cs"/>
          <w:rtl/>
        </w:rPr>
        <w:t xml:space="preserve">. </w:t>
      </w:r>
      <w:r w:rsidR="004B0A39" w:rsidRPr="004D5B95">
        <w:rPr>
          <w:rtl/>
        </w:rPr>
        <w:t xml:space="preserve">ואולי הכוונה לנפש ממש, כלומר חיים, </w:t>
      </w:r>
      <w:r w:rsidR="00591022" w:rsidRPr="004D5B95">
        <w:rPr>
          <w:rtl/>
        </w:rPr>
        <w:t>כי החיים של כל המציאות נמצאים באותו חומר ראשון שהוא הטבע האחד</w:t>
      </w:r>
      <w:r w:rsidR="004D5B95" w:rsidRPr="004D5B95">
        <w:rPr>
          <w:rtl/>
        </w:rPr>
        <w:t>, והאיברים רק נוטלים בהם חלק כמו</w:t>
      </w:r>
      <w:r w:rsidR="00EB007B">
        <w:rPr>
          <w:rFonts w:hint="cs"/>
          <w:rtl/>
        </w:rPr>
        <w:t xml:space="preserve"> </w:t>
      </w:r>
      <w:r w:rsidR="004D5B95" w:rsidRPr="004D5B95">
        <w:rPr>
          <w:rtl/>
        </w:rPr>
        <w:t>שאיברי הגוף נוטלים חלק בחיות הכללית של הגוף</w:t>
      </w:r>
      <w:r w:rsidR="00591022" w:rsidRPr="004D5B95">
        <w:rPr>
          <w:rtl/>
        </w:rPr>
        <w:t>.</w:t>
      </w:r>
      <w:r w:rsidR="00EB007B">
        <w:rPr>
          <w:rFonts w:hint="cs"/>
          <w:rtl/>
        </w:rPr>
        <w:t xml:space="preserve"> שעליה נאמר במסכת ברכות י' א'</w:t>
      </w:r>
      <w:r w:rsidR="00486057">
        <w:rPr>
          <w:rFonts w:hint="cs"/>
          <w:rtl/>
        </w:rPr>
        <w:t>:</w:t>
      </w:r>
    </w:p>
    <w:p w14:paraId="42AB2C29" w14:textId="7C7949D1" w:rsidR="00486057" w:rsidRPr="003A2686" w:rsidRDefault="00486057">
      <w:pPr>
        <w:pStyle w:val="FootnoteText"/>
      </w:pPr>
      <w:r>
        <w:rPr>
          <w:rFonts w:hint="cs"/>
          <w:rtl/>
        </w:rPr>
        <w:t>"</w:t>
      </w:r>
      <w:r w:rsidR="002A5FBA" w:rsidRPr="002A5FBA">
        <w:rPr>
          <w:rtl/>
        </w:rPr>
        <w:t>מה הקב"ה מלא כל העולם אף נשמה מלאה את כל הגוף</w:t>
      </w:r>
      <w:r>
        <w:rPr>
          <w:rFonts w:hint="cs"/>
          <w:rtl/>
        </w:rPr>
        <w:t>"</w:t>
      </w:r>
    </w:p>
  </w:footnote>
  <w:footnote w:id="388">
    <w:p w14:paraId="6A83426B" w14:textId="06E61B2C" w:rsidR="00304BEF" w:rsidRDefault="00304BEF">
      <w:pPr>
        <w:pStyle w:val="FootnoteText"/>
      </w:pPr>
      <w:r>
        <w:rPr>
          <w:rStyle w:val="FootnoteReference"/>
        </w:rPr>
        <w:footnoteRef/>
      </w:r>
      <w:r>
        <w:rPr>
          <w:rtl/>
        </w:rPr>
        <w:t xml:space="preserve"> </w:t>
      </w:r>
      <w:r w:rsidR="00D74511">
        <w:rPr>
          <w:rFonts w:hint="cs"/>
          <w:rtl/>
        </w:rPr>
        <w:t>הם צריכים את המציאות כי אין להם אותה מצד עצמם, לכן הם נזקקים לקבל אותה ממקור חיצוני להם.</w:t>
      </w:r>
    </w:p>
  </w:footnote>
  <w:footnote w:id="389">
    <w:p w14:paraId="36318C95" w14:textId="0C5C0C8C" w:rsidR="00E03D3B" w:rsidRPr="003A2686" w:rsidRDefault="00E03D3B">
      <w:pPr>
        <w:pStyle w:val="FootnoteText"/>
      </w:pPr>
      <w:r w:rsidRPr="003A2686">
        <w:rPr>
          <w:rStyle w:val="FootnoteReference"/>
        </w:rPr>
        <w:footnoteRef/>
      </w:r>
      <w:r w:rsidRPr="003A2686">
        <w:rPr>
          <w:rtl/>
        </w:rPr>
        <w:t xml:space="preserve"> </w:t>
      </w:r>
      <w:r w:rsidRPr="003A2686">
        <w:rPr>
          <w:rFonts w:ascii="Arial" w:hAnsi="Arial" w:cs="Arial" w:hint="cs"/>
          <w:rtl/>
          <w:lang w:bidi="ar-SA"/>
        </w:rPr>
        <w:t>حدهما</w:t>
      </w:r>
      <w:r w:rsidR="008F63C5" w:rsidRPr="003A2686">
        <w:rPr>
          <w:rtl/>
        </w:rPr>
        <w:t xml:space="preserve">. מקגיניס תרגם 'הגדרתה' </w:t>
      </w:r>
      <w:r w:rsidR="003A2686" w:rsidRPr="003A2686">
        <w:rPr>
          <w:rtl/>
        </w:rPr>
        <w:t>(</w:t>
      </w:r>
      <w:r w:rsidR="003A2686" w:rsidRPr="003A2686">
        <w:t>outside of the definition</w:t>
      </w:r>
      <w:r w:rsidR="003A2686" w:rsidRPr="003A2686">
        <w:rPr>
          <w:rtl/>
        </w:rPr>
        <w:t xml:space="preserve">) ואינו טועה. </w:t>
      </w:r>
    </w:p>
  </w:footnote>
  <w:footnote w:id="390">
    <w:p w14:paraId="3D1173E1" w14:textId="0AB70E6C" w:rsidR="00294710" w:rsidRDefault="00294710">
      <w:pPr>
        <w:pStyle w:val="FootnoteText"/>
        <w:rPr>
          <w:rtl/>
        </w:rPr>
      </w:pPr>
      <w:r>
        <w:rPr>
          <w:rStyle w:val="FootnoteReference"/>
        </w:rPr>
        <w:footnoteRef/>
      </w:r>
      <w:r>
        <w:rPr>
          <w:rtl/>
        </w:rPr>
        <w:t xml:space="preserve"> </w:t>
      </w:r>
      <w:r w:rsidR="00887F3A">
        <w:rPr>
          <w:rFonts w:hint="cs"/>
          <w:rtl/>
        </w:rPr>
        <w:t>מקגיניס ציין</w:t>
      </w:r>
      <w:r w:rsidR="004B1121">
        <w:rPr>
          <w:rFonts w:hint="cs"/>
          <w:rtl/>
        </w:rPr>
        <w:t xml:space="preserve"> כאן למשל</w:t>
      </w:r>
      <w:r w:rsidR="00887F3A">
        <w:rPr>
          <w:rFonts w:hint="cs"/>
          <w:rtl/>
        </w:rPr>
        <w:t xml:space="preserve"> לאלוהיות (</w:t>
      </w:r>
      <w:r w:rsidR="00887F3A">
        <w:rPr>
          <w:rFonts w:hint="cs"/>
          <w:rtl/>
        </w:rPr>
        <w:t>מטאפיזיקה) 1.5</w:t>
      </w:r>
      <w:r w:rsidR="00AE768C">
        <w:rPr>
          <w:rFonts w:hint="cs"/>
          <w:rtl/>
        </w:rPr>
        <w:t>;</w:t>
      </w:r>
      <w:r w:rsidR="000B73FF">
        <w:rPr>
          <w:rFonts w:hint="cs"/>
          <w:rtl/>
        </w:rPr>
        <w:t xml:space="preserve"> ולחלק מספר הריפוי שעוסק בלוגיקה, והוא החלק שעוסק בהקדמת פורפיריוס לאורגנון, ו</w:t>
      </w:r>
      <w:r w:rsidR="00C44336">
        <w:rPr>
          <w:rFonts w:hint="cs"/>
          <w:rtl/>
        </w:rPr>
        <w:t>נ</w:t>
      </w:r>
      <w:r w:rsidR="000B73FF">
        <w:rPr>
          <w:rFonts w:hint="cs"/>
          <w:rtl/>
        </w:rPr>
        <w:t xml:space="preserve">קרא כיתאב </w:t>
      </w:r>
      <w:r w:rsidR="00AE768C">
        <w:rPr>
          <w:rFonts w:hint="cs"/>
          <w:rtl/>
        </w:rPr>
        <w:t>אל</w:t>
      </w:r>
      <w:r w:rsidR="000B73FF">
        <w:rPr>
          <w:rFonts w:hint="cs"/>
          <w:rtl/>
        </w:rPr>
        <w:t xml:space="preserve"> מדחל</w:t>
      </w:r>
      <w:r w:rsidR="00AE768C">
        <w:rPr>
          <w:rFonts w:hint="cs"/>
          <w:rtl/>
        </w:rPr>
        <w:t xml:space="preserve"> 1.2. </w:t>
      </w:r>
    </w:p>
  </w:footnote>
  <w:footnote w:id="391">
    <w:p w14:paraId="095A8B01" w14:textId="7F34EE86" w:rsidR="00C575E7" w:rsidRDefault="00C575E7">
      <w:pPr>
        <w:pStyle w:val="FootnoteText"/>
      </w:pPr>
      <w:r>
        <w:rPr>
          <w:rStyle w:val="FootnoteReference"/>
        </w:rPr>
        <w:footnoteRef/>
      </w:r>
      <w:r>
        <w:rPr>
          <w:rtl/>
        </w:rPr>
        <w:t xml:space="preserve"> </w:t>
      </w:r>
      <w:r w:rsidR="00694049">
        <w:rPr>
          <w:rFonts w:hint="cs"/>
          <w:rtl/>
        </w:rPr>
        <w:t>עשר הקטגוריות הידועות של אריסטו, העצם וכל המאפיינים האפשריים שלו.</w:t>
      </w:r>
    </w:p>
  </w:footnote>
  <w:footnote w:id="392">
    <w:p w14:paraId="0841AB51" w14:textId="272B2F27" w:rsidR="00B75A72" w:rsidRDefault="00B75A72">
      <w:pPr>
        <w:pStyle w:val="FootnoteText"/>
        <w:rPr>
          <w:rtl/>
        </w:rPr>
      </w:pPr>
      <w:r>
        <w:rPr>
          <w:rStyle w:val="FootnoteReference"/>
        </w:rPr>
        <w:footnoteRef/>
      </w:r>
      <w:r>
        <w:rPr>
          <w:rtl/>
        </w:rPr>
        <w:t xml:space="preserve"> </w:t>
      </w:r>
      <w:r w:rsidR="00237FB7">
        <w:rPr>
          <w:rFonts w:hint="cs"/>
          <w:rtl/>
        </w:rPr>
        <w:t>המציאות היא מקרה למהות</w:t>
      </w:r>
      <w:r w:rsidR="00237FB7">
        <w:rPr>
          <w:rtl/>
        </w:rPr>
        <w:fldChar w:fldCharType="begin"/>
      </w:r>
      <w:r w:rsidR="00237FB7">
        <w:instrText xml:space="preserve"> XE "</w:instrText>
      </w:r>
      <w:r w:rsidR="00237FB7" w:rsidRPr="00FF35EE">
        <w:rPr>
          <w:rFonts w:hint="cs"/>
          <w:rtl/>
        </w:rPr>
        <w:instrText>מורה נבוכים א' נ</w:instrText>
      </w:r>
      <w:r w:rsidR="00237FB7">
        <w:rPr>
          <w:b/>
          <w:bCs/>
          <w:sz w:val="20"/>
          <w:szCs w:val="20"/>
        </w:rPr>
        <w:instrText>\</w:instrText>
      </w:r>
      <w:r w:rsidR="00237FB7" w:rsidRPr="00FF35EE">
        <w:rPr>
          <w:rFonts w:hint="cs"/>
          <w:rtl/>
        </w:rPr>
        <w:instrText>"ז - המציאות היא מקרה למהות</w:instrText>
      </w:r>
      <w:r w:rsidR="00237FB7">
        <w:instrText xml:space="preserve">" </w:instrText>
      </w:r>
      <w:r w:rsidR="00237FB7">
        <w:rPr>
          <w:rtl/>
        </w:rPr>
        <w:fldChar w:fldCharType="end"/>
      </w:r>
      <w:r w:rsidR="00B359DC">
        <w:rPr>
          <w:rFonts w:hint="cs"/>
          <w:rtl/>
        </w:rPr>
        <w:t>.</w:t>
      </w:r>
    </w:p>
    <w:p w14:paraId="2A62CDC2" w14:textId="77777777" w:rsidR="004263EA" w:rsidRDefault="00AF175E">
      <w:pPr>
        <w:pStyle w:val="FootnoteText"/>
        <w:rPr>
          <w:rtl/>
        </w:rPr>
      </w:pPr>
      <w:r>
        <w:rPr>
          <w:rFonts w:hint="cs"/>
          <w:rtl/>
        </w:rPr>
        <w:t>במ</w:t>
      </w:r>
      <w:r w:rsidR="009E6ABC">
        <w:rPr>
          <w:rFonts w:hint="cs"/>
          <w:rtl/>
        </w:rPr>
        <w:t xml:space="preserve">ורה נבוכים א' נ"ז הביא את דעת אבן סינא </w:t>
      </w:r>
      <w:r w:rsidR="004263EA">
        <w:rPr>
          <w:rFonts w:hint="cs"/>
          <w:rtl/>
        </w:rPr>
        <w:t>האמורה</w:t>
      </w:r>
      <w:r w:rsidR="009E6ABC">
        <w:rPr>
          <w:rFonts w:hint="cs"/>
          <w:rtl/>
        </w:rPr>
        <w:t xml:space="preserve"> כאן</w:t>
      </w:r>
      <w:r w:rsidR="004263EA">
        <w:rPr>
          <w:rFonts w:hint="cs"/>
          <w:rtl/>
        </w:rPr>
        <w:t>:</w:t>
      </w:r>
    </w:p>
    <w:p w14:paraId="1F6A7AD5" w14:textId="77777777" w:rsidR="00445837" w:rsidRDefault="004263EA">
      <w:pPr>
        <w:pStyle w:val="FootnoteText"/>
        <w:rPr>
          <w:rtl/>
        </w:rPr>
      </w:pPr>
      <w:r>
        <w:rPr>
          <w:rFonts w:hint="cs"/>
          <w:rtl/>
        </w:rPr>
        <w:t>"</w:t>
      </w:r>
      <w:r w:rsidRPr="004263EA">
        <w:rPr>
          <w:rtl/>
        </w:rPr>
        <w:t xml:space="preserve">ידוע כי המציאות הוא מקרה קרה לנמצא ולזה הוא ענין נוסף על מהות הנמצא. זהו הדבר המבואר הראוי לכל מה שלמציאותו סיבה שמציאותו - ענין נוסף על מהותו. </w:t>
      </w:r>
    </w:p>
    <w:p w14:paraId="52592DB3" w14:textId="77777777" w:rsidR="00B5232F" w:rsidRDefault="004263EA" w:rsidP="00B5232F">
      <w:pPr>
        <w:pStyle w:val="FootnoteText"/>
        <w:rPr>
          <w:rtl/>
        </w:rPr>
      </w:pPr>
      <w:r w:rsidRPr="004263EA">
        <w:rPr>
          <w:rtl/>
        </w:rPr>
        <w:t xml:space="preserve">אמנם מי שאין סיבה למציאותו והוא </w:t>
      </w:r>
      <w:r w:rsidRPr="004263EA">
        <w:rPr>
          <w:rtl/>
        </w:rPr>
        <w:t>האלוה ית' וית' לבדו</w:t>
      </w:r>
      <w:r w:rsidR="00445837">
        <w:rPr>
          <w:rFonts w:hint="cs"/>
          <w:rtl/>
        </w:rPr>
        <w:t>,</w:t>
      </w:r>
      <w:r w:rsidRPr="004263EA">
        <w:rPr>
          <w:rtl/>
        </w:rPr>
        <w:t xml:space="preserve"> כי זה הוא ענין אמרנו עליו ית' שהוא מחויב המציאות</w:t>
      </w:r>
      <w:r w:rsidR="00445837">
        <w:rPr>
          <w:rFonts w:hint="cs"/>
          <w:rtl/>
        </w:rPr>
        <w:t>,</w:t>
      </w:r>
      <w:r w:rsidRPr="004263EA">
        <w:rPr>
          <w:rtl/>
        </w:rPr>
        <w:t xml:space="preserve"> תהיה מציאותו עצמו ואמתתו</w:t>
      </w:r>
      <w:r w:rsidR="00445837">
        <w:rPr>
          <w:rFonts w:hint="cs"/>
          <w:rtl/>
        </w:rPr>
        <w:t>,</w:t>
      </w:r>
      <w:r w:rsidRPr="004263EA">
        <w:rPr>
          <w:rtl/>
        </w:rPr>
        <w:t xml:space="preserve"> ועצמו מציאותו</w:t>
      </w:r>
      <w:r w:rsidR="007B40E2">
        <w:rPr>
          <w:rFonts w:hint="cs"/>
          <w:rtl/>
        </w:rPr>
        <w:t>,</w:t>
      </w:r>
      <w:r w:rsidRPr="004263EA">
        <w:rPr>
          <w:rtl/>
        </w:rPr>
        <w:t xml:space="preserve"> ואינו עצם קרה לו שנמצא ותהיה מציאותו ענין נוסף עליו</w:t>
      </w:r>
      <w:r w:rsidR="007B40E2">
        <w:rPr>
          <w:rFonts w:hint="cs"/>
          <w:rtl/>
        </w:rPr>
        <w:t>.</w:t>
      </w:r>
      <w:r w:rsidRPr="004263EA">
        <w:rPr>
          <w:rtl/>
        </w:rPr>
        <w:t xml:space="preserve"> שהוא מחויב המציאה תמיד אין מתחדש עליו ולא מקרה קרה לו. ואם כן הוא נמצא לא במציאות</w:t>
      </w:r>
      <w:r w:rsidR="000367B2">
        <w:rPr>
          <w:rFonts w:hint="cs"/>
          <w:rtl/>
        </w:rPr>
        <w:t>,</w:t>
      </w:r>
      <w:r w:rsidRPr="004263EA">
        <w:rPr>
          <w:rtl/>
        </w:rPr>
        <w:t xml:space="preserve"> וכן חי לא בחיים</w:t>
      </w:r>
      <w:r w:rsidR="000367B2">
        <w:rPr>
          <w:rFonts w:hint="cs"/>
          <w:rtl/>
        </w:rPr>
        <w:t>,</w:t>
      </w:r>
      <w:r w:rsidRPr="004263EA">
        <w:rPr>
          <w:rtl/>
        </w:rPr>
        <w:t xml:space="preserve"> ויכול לא ביכולת</w:t>
      </w:r>
      <w:r w:rsidR="000367B2">
        <w:rPr>
          <w:rFonts w:hint="cs"/>
          <w:rtl/>
        </w:rPr>
        <w:t>,</w:t>
      </w:r>
      <w:r w:rsidRPr="004263EA">
        <w:rPr>
          <w:rtl/>
        </w:rPr>
        <w:t xml:space="preserve"> וחכם לא בחכמה; אבל הכל שב לענין אחד אין ריבוי בו כמו שיתבאר</w:t>
      </w:r>
      <w:r w:rsidR="00B5232F">
        <w:rPr>
          <w:rFonts w:hint="cs"/>
          <w:rtl/>
        </w:rPr>
        <w:t>"</w:t>
      </w:r>
    </w:p>
    <w:p w14:paraId="03EA5A60" w14:textId="372BB561" w:rsidR="004C1EA4" w:rsidRDefault="00B5232F" w:rsidP="008E11EC">
      <w:pPr>
        <w:pStyle w:val="FootnoteText"/>
        <w:rPr>
          <w:rtl/>
        </w:rPr>
      </w:pPr>
      <w:r>
        <w:rPr>
          <w:rFonts w:hint="cs"/>
          <w:rtl/>
        </w:rPr>
        <w:t>יש לשאול</w:t>
      </w:r>
      <w:r w:rsidR="004C1EA4">
        <w:rPr>
          <w:rFonts w:hint="cs"/>
          <w:rtl/>
        </w:rPr>
        <w:t xml:space="preserve"> על לשונו של הרמב"ם </w:t>
      </w:r>
      <w:r w:rsidR="003559E3">
        <w:rPr>
          <w:rFonts w:hint="cs"/>
          <w:rtl/>
        </w:rPr>
        <w:t>שהמציאות היא עניין נוסף על מהות הנמצא.</w:t>
      </w:r>
      <w:r>
        <w:rPr>
          <w:rFonts w:hint="cs"/>
          <w:rtl/>
        </w:rPr>
        <w:t xml:space="preserve"> </w:t>
      </w:r>
    </w:p>
    <w:p w14:paraId="6ACD702C" w14:textId="047F910C" w:rsidR="00B359DC" w:rsidRDefault="00B5232F" w:rsidP="00B5232F">
      <w:pPr>
        <w:pStyle w:val="FootnoteText"/>
        <w:rPr>
          <w:rtl/>
        </w:rPr>
      </w:pPr>
      <w:r>
        <w:rPr>
          <w:rFonts w:hint="cs"/>
          <w:rtl/>
        </w:rPr>
        <w:t xml:space="preserve">אם המציאות היא מקרה לנמצא, כיוון שאין לו מציאות מסיבת עצמו והוא יכול גם שלא להימצא, </w:t>
      </w:r>
      <w:r w:rsidR="00FC36D5">
        <w:rPr>
          <w:rFonts w:hint="cs"/>
          <w:rtl/>
        </w:rPr>
        <w:t>ומה שהבורא המציא אותו זה מקרה שקרה לו כ</w:t>
      </w:r>
      <w:r w:rsidR="00C95A6F">
        <w:rPr>
          <w:rFonts w:hint="cs"/>
          <w:rtl/>
        </w:rPr>
        <w:t>דבר נבר</w:t>
      </w:r>
      <w:r w:rsidR="004344AD">
        <w:rPr>
          <w:rFonts w:hint="cs"/>
          <w:rtl/>
        </w:rPr>
        <w:t xml:space="preserve">א, </w:t>
      </w:r>
      <w:r w:rsidR="00E9061C">
        <w:rPr>
          <w:rFonts w:hint="cs"/>
          <w:rtl/>
        </w:rPr>
        <w:t>אז</w:t>
      </w:r>
      <w:r w:rsidR="00346075">
        <w:rPr>
          <w:rFonts w:hint="cs"/>
          <w:rtl/>
        </w:rPr>
        <w:t xml:space="preserve"> הרי המהות עצמה גם היא קיבלה מציאות מהבורא</w:t>
      </w:r>
      <w:r w:rsidR="005B1600">
        <w:rPr>
          <w:rFonts w:hint="cs"/>
          <w:rtl/>
        </w:rPr>
        <w:t>,</w:t>
      </w:r>
      <w:r w:rsidR="00346075">
        <w:rPr>
          <w:rFonts w:hint="cs"/>
          <w:rtl/>
        </w:rPr>
        <w:t xml:space="preserve"> וגם </w:t>
      </w:r>
      <w:r w:rsidR="005B1600">
        <w:rPr>
          <w:rFonts w:hint="cs"/>
          <w:rtl/>
        </w:rPr>
        <w:t>על המהות יש לומר ש</w:t>
      </w:r>
      <w:r w:rsidR="00543C83">
        <w:rPr>
          <w:rFonts w:hint="cs"/>
          <w:rtl/>
        </w:rPr>
        <w:t xml:space="preserve">מציאותה כמהות </w:t>
      </w:r>
      <w:r w:rsidR="005B1600">
        <w:rPr>
          <w:rFonts w:hint="cs"/>
          <w:rtl/>
        </w:rPr>
        <w:t xml:space="preserve">מקרית לה, שהרי היה אפשר שלא תיברא המהות. </w:t>
      </w:r>
    </w:p>
    <w:p w14:paraId="07F2D441" w14:textId="77F3A8A8" w:rsidR="002448D6" w:rsidRDefault="00686D0C" w:rsidP="002448D6">
      <w:pPr>
        <w:pStyle w:val="FootnoteText"/>
        <w:rPr>
          <w:rtl/>
        </w:rPr>
      </w:pPr>
      <w:r>
        <w:rPr>
          <w:rFonts w:hint="cs"/>
          <w:rtl/>
        </w:rPr>
        <w:t xml:space="preserve">אם למשל אנו אומרים שמציאותו של ראובן כפרט </w:t>
      </w:r>
      <w:r w:rsidR="009C463A">
        <w:rPr>
          <w:rFonts w:hint="cs"/>
          <w:rtl/>
        </w:rPr>
        <w:t>מסוים</w:t>
      </w:r>
      <w:r>
        <w:rPr>
          <w:rFonts w:hint="cs"/>
          <w:rtl/>
        </w:rPr>
        <w:t xml:space="preserve"> היא מקרית, כי היה אפשר </w:t>
      </w:r>
      <w:r w:rsidR="00572079">
        <w:rPr>
          <w:rFonts w:hint="cs"/>
          <w:rtl/>
        </w:rPr>
        <w:t>שלא יימצא ראובן, הרי גם מהותו שהיא צורת אדם המהותית, שהוא 'חי מדבר'</w:t>
      </w:r>
      <w:r w:rsidR="00E8184D">
        <w:rPr>
          <w:rFonts w:hint="cs"/>
          <w:rtl/>
        </w:rPr>
        <w:t>,</w:t>
      </w:r>
      <w:r w:rsidR="00572079">
        <w:rPr>
          <w:rFonts w:hint="cs"/>
          <w:rtl/>
        </w:rPr>
        <w:t xml:space="preserve"> גם</w:t>
      </w:r>
      <w:r w:rsidR="00E8184D">
        <w:rPr>
          <w:rFonts w:hint="cs"/>
          <w:rtl/>
        </w:rPr>
        <w:t xml:space="preserve"> מהותו</w:t>
      </w:r>
      <w:r w:rsidR="00572079">
        <w:rPr>
          <w:rFonts w:hint="cs"/>
          <w:rtl/>
        </w:rPr>
        <w:t xml:space="preserve"> הייתה יכולה שלא להיברא, </w:t>
      </w:r>
      <w:r w:rsidR="00E8184D">
        <w:rPr>
          <w:rFonts w:hint="cs"/>
          <w:rtl/>
        </w:rPr>
        <w:t xml:space="preserve">ולא הייתה נמצאת כלל מהות של צורת האדם. </w:t>
      </w:r>
      <w:r w:rsidR="00543C83">
        <w:rPr>
          <w:rFonts w:hint="cs"/>
          <w:rtl/>
        </w:rPr>
        <w:t xml:space="preserve">לכן אין כלל הבדל בין </w:t>
      </w:r>
      <w:r w:rsidR="00F45020">
        <w:rPr>
          <w:rFonts w:hint="cs"/>
          <w:rtl/>
        </w:rPr>
        <w:t xml:space="preserve">מהות ובין עצם פרטי, שניהם בשווה יכולים להימצא ויכולים שלא להימצא, ושניהם אם נמצאו מציאותם היא מקרה להם. </w:t>
      </w:r>
      <w:r w:rsidR="008F6B27">
        <w:rPr>
          <w:rFonts w:hint="cs"/>
          <w:rtl/>
        </w:rPr>
        <w:t>לכן הנוסח שלכאורה הוא הנכון צריך לומר שבין העצם הפרטי החומרי ובין הצורה הכללית המופשטת, ובין השכלים הנפרדים מחומר שהם רק מהות, כולם נמ</w:t>
      </w:r>
      <w:r w:rsidR="00816CF8">
        <w:rPr>
          <w:rFonts w:hint="cs"/>
          <w:rtl/>
        </w:rPr>
        <w:t xml:space="preserve">צאים </w:t>
      </w:r>
      <w:r w:rsidR="008F6B27">
        <w:rPr>
          <w:rFonts w:hint="cs"/>
          <w:rtl/>
        </w:rPr>
        <w:t>וכולם מציאותם היא מקרה להם, כי רק האלוה נמצא מסיבת עצמו</w:t>
      </w:r>
      <w:r w:rsidR="00816CF8">
        <w:rPr>
          <w:rFonts w:hint="cs"/>
          <w:rtl/>
        </w:rPr>
        <w:t>, וכל זולתו</w:t>
      </w:r>
      <w:r w:rsidR="002448D6">
        <w:rPr>
          <w:rFonts w:hint="cs"/>
          <w:rtl/>
        </w:rPr>
        <w:t xml:space="preserve"> (עצם או מהות)</w:t>
      </w:r>
      <w:r w:rsidR="00816CF8">
        <w:rPr>
          <w:rFonts w:hint="cs"/>
          <w:rtl/>
        </w:rPr>
        <w:t xml:space="preserve"> היה יכול שלא להיברא אם הבו</w:t>
      </w:r>
      <w:r w:rsidR="002448D6">
        <w:rPr>
          <w:rFonts w:hint="cs"/>
          <w:rtl/>
        </w:rPr>
        <w:t>ר</w:t>
      </w:r>
      <w:r w:rsidR="00816CF8">
        <w:rPr>
          <w:rFonts w:hint="cs"/>
          <w:rtl/>
        </w:rPr>
        <w:t>א לא היה חפץ לברוא אותו</w:t>
      </w:r>
      <w:r w:rsidR="008F6B27">
        <w:rPr>
          <w:rFonts w:hint="cs"/>
          <w:rtl/>
        </w:rPr>
        <w:t xml:space="preserve">. </w:t>
      </w:r>
    </w:p>
    <w:p w14:paraId="30830593" w14:textId="77777777" w:rsidR="00EA1FD9" w:rsidRDefault="00263AF4" w:rsidP="002448D6">
      <w:pPr>
        <w:pStyle w:val="FootnoteText"/>
        <w:rPr>
          <w:rtl/>
        </w:rPr>
      </w:pPr>
      <w:r>
        <w:rPr>
          <w:rFonts w:hint="cs"/>
          <w:rtl/>
        </w:rPr>
        <w:t xml:space="preserve">בלשון אבן סינא </w:t>
      </w:r>
      <w:r w:rsidR="008648DE">
        <w:rPr>
          <w:rFonts w:hint="cs"/>
          <w:rtl/>
        </w:rPr>
        <w:t xml:space="preserve">כאן </w:t>
      </w:r>
      <w:r>
        <w:rPr>
          <w:rFonts w:hint="cs"/>
          <w:rtl/>
        </w:rPr>
        <w:t xml:space="preserve">אין את הקושיא הזו, כי הוא כתב </w:t>
      </w:r>
      <w:r w:rsidR="002448D6">
        <w:rPr>
          <w:rFonts w:hint="cs"/>
          <w:rtl/>
        </w:rPr>
        <w:t xml:space="preserve">על </w:t>
      </w:r>
      <w:r>
        <w:rPr>
          <w:rFonts w:hint="cs"/>
          <w:rtl/>
        </w:rPr>
        <w:t xml:space="preserve">כל המהויות </w:t>
      </w:r>
      <w:r w:rsidR="002448D6">
        <w:rPr>
          <w:rFonts w:hint="cs"/>
          <w:rtl/>
        </w:rPr>
        <w:t>ש</w:t>
      </w:r>
      <w:r>
        <w:rPr>
          <w:rFonts w:hint="cs"/>
          <w:rtl/>
        </w:rPr>
        <w:t>המציאות היא מקרית להן</w:t>
      </w:r>
      <w:r w:rsidR="00200BD5">
        <w:rPr>
          <w:rFonts w:hint="cs"/>
          <w:rtl/>
        </w:rPr>
        <w:t>,</w:t>
      </w:r>
      <w:r>
        <w:rPr>
          <w:rFonts w:hint="cs"/>
          <w:rtl/>
        </w:rPr>
        <w:t xml:space="preserve"> </w:t>
      </w:r>
      <w:r w:rsidR="00200BD5">
        <w:rPr>
          <w:rFonts w:hint="cs"/>
          <w:rtl/>
        </w:rPr>
        <w:t xml:space="preserve">כי </w:t>
      </w:r>
      <w:r>
        <w:rPr>
          <w:rFonts w:hint="cs"/>
          <w:rtl/>
        </w:rPr>
        <w:t>אין לה</w:t>
      </w:r>
      <w:r w:rsidR="00200BD5">
        <w:rPr>
          <w:rFonts w:hint="cs"/>
          <w:rtl/>
        </w:rPr>
        <w:t>ן</w:t>
      </w:r>
      <w:r>
        <w:rPr>
          <w:rFonts w:hint="cs"/>
          <w:rtl/>
        </w:rPr>
        <w:t xml:space="preserve"> מציאות מסיבת עצמ</w:t>
      </w:r>
      <w:r w:rsidR="00200BD5">
        <w:rPr>
          <w:rFonts w:hint="cs"/>
          <w:rtl/>
        </w:rPr>
        <w:t>ן, אלא ה</w:t>
      </w:r>
      <w:r w:rsidR="008648DE">
        <w:rPr>
          <w:rFonts w:hint="cs"/>
          <w:rtl/>
        </w:rPr>
        <w:t>ן</w:t>
      </w:r>
      <w:r w:rsidR="00200BD5">
        <w:rPr>
          <w:rFonts w:hint="cs"/>
          <w:rtl/>
        </w:rPr>
        <w:t xml:space="preserve"> נצרכ</w:t>
      </w:r>
      <w:r w:rsidR="008648DE">
        <w:rPr>
          <w:rFonts w:hint="cs"/>
          <w:rtl/>
        </w:rPr>
        <w:t>ות</w:t>
      </w:r>
      <w:r w:rsidR="00200BD5">
        <w:rPr>
          <w:rFonts w:hint="cs"/>
          <w:rtl/>
        </w:rPr>
        <w:t xml:space="preserve"> לקבל אותה מ</w:t>
      </w:r>
      <w:r w:rsidR="008648DE">
        <w:rPr>
          <w:rFonts w:hint="cs"/>
          <w:rtl/>
        </w:rPr>
        <w:t>מקור חיצוני</w:t>
      </w:r>
      <w:r w:rsidR="00200BD5">
        <w:rPr>
          <w:rFonts w:hint="cs"/>
          <w:rtl/>
        </w:rPr>
        <w:t xml:space="preserve"> לה</w:t>
      </w:r>
      <w:r w:rsidR="008648DE">
        <w:rPr>
          <w:rFonts w:hint="cs"/>
          <w:rtl/>
        </w:rPr>
        <w:t>ן</w:t>
      </w:r>
      <w:r w:rsidR="00200BD5">
        <w:rPr>
          <w:rFonts w:hint="cs"/>
          <w:rtl/>
        </w:rPr>
        <w:t xml:space="preserve">. </w:t>
      </w:r>
      <w:r w:rsidR="008648DE">
        <w:rPr>
          <w:rFonts w:hint="cs"/>
          <w:rtl/>
        </w:rPr>
        <w:t xml:space="preserve">יש מקור אחד שהוא המציאות כשלעצמה, שהוא נמצא מסיבת עצמו, זהו הכרחי המציאות, </w:t>
      </w:r>
      <w:r w:rsidR="00A25101">
        <w:rPr>
          <w:rFonts w:hint="cs"/>
          <w:rtl/>
        </w:rPr>
        <w:t>והמהויות כולן הן מחוץ לאותה מציאות של הכרחי המציאות, ולכן המציאות שלהן היא מקרה להן</w:t>
      </w:r>
      <w:r>
        <w:rPr>
          <w:rFonts w:hint="cs"/>
          <w:rtl/>
        </w:rPr>
        <w:t xml:space="preserve">. </w:t>
      </w:r>
      <w:r w:rsidR="009E4A98">
        <w:rPr>
          <w:rFonts w:hint="cs"/>
          <w:rtl/>
        </w:rPr>
        <w:t xml:space="preserve">אבן סינא לא אמר שהמציאות היא </w:t>
      </w:r>
      <w:r w:rsidR="005E6AC6">
        <w:rPr>
          <w:rFonts w:hint="cs"/>
          <w:rtl/>
        </w:rPr>
        <w:t>עניין נוסף</w:t>
      </w:r>
      <w:r w:rsidR="009E4A98">
        <w:rPr>
          <w:rFonts w:hint="cs"/>
          <w:rtl/>
        </w:rPr>
        <w:t xml:space="preserve"> למהות</w:t>
      </w:r>
      <w:r w:rsidR="005E6AC6">
        <w:rPr>
          <w:rFonts w:hint="cs"/>
          <w:rtl/>
        </w:rPr>
        <w:t xml:space="preserve"> הנמצא</w:t>
      </w:r>
      <w:r w:rsidR="009E4A98">
        <w:rPr>
          <w:rFonts w:hint="cs"/>
          <w:rtl/>
        </w:rPr>
        <w:t xml:space="preserve">, </w:t>
      </w:r>
      <w:r w:rsidR="005E6AC6">
        <w:rPr>
          <w:rFonts w:hint="cs"/>
          <w:rtl/>
        </w:rPr>
        <w:t>אלא שמציאותה של המהות היא מקרית לה</w:t>
      </w:r>
      <w:r w:rsidR="006928F1">
        <w:rPr>
          <w:rFonts w:hint="cs"/>
          <w:rtl/>
        </w:rPr>
        <w:t>, כי המהות היא גם 'נמצא' וכל הנמצאים מציאותם מקרית להם</w:t>
      </w:r>
      <w:r w:rsidR="00EA1FD9">
        <w:rPr>
          <w:rFonts w:hint="cs"/>
          <w:rtl/>
        </w:rPr>
        <w:t>.</w:t>
      </w:r>
      <w:r w:rsidR="006928F1">
        <w:rPr>
          <w:rFonts w:hint="cs"/>
          <w:rtl/>
        </w:rPr>
        <w:t xml:space="preserve"> </w:t>
      </w:r>
    </w:p>
    <w:p w14:paraId="44FBC195" w14:textId="77777777" w:rsidR="0057109D" w:rsidRDefault="00EA1FD9" w:rsidP="002448D6">
      <w:pPr>
        <w:pStyle w:val="FootnoteText"/>
        <w:rPr>
          <w:rtl/>
        </w:rPr>
      </w:pPr>
      <w:r>
        <w:rPr>
          <w:rFonts w:hint="cs"/>
          <w:rtl/>
        </w:rPr>
        <w:t xml:space="preserve">לשון הרמב"ם שהמציאות היא </w:t>
      </w:r>
      <w:r w:rsidR="00AD7085">
        <w:rPr>
          <w:rFonts w:hint="cs"/>
          <w:rtl/>
        </w:rPr>
        <w:t xml:space="preserve">עניין נוסף על מהות הנמצא, משמע ממנה </w:t>
      </w:r>
      <w:r w:rsidR="00066680">
        <w:rPr>
          <w:rFonts w:hint="cs"/>
          <w:rtl/>
        </w:rPr>
        <w:t xml:space="preserve">שהמהות כמהות תמיד קיימת, השאלה רק האם המהות הזו תקבל מציאות או לא. </w:t>
      </w:r>
      <w:r w:rsidR="0038232A">
        <w:rPr>
          <w:rFonts w:hint="cs"/>
          <w:rtl/>
        </w:rPr>
        <w:t xml:space="preserve">משטחיות לשון הרמב"ם המובן שלה הוא שצורת </w:t>
      </w:r>
      <w:r w:rsidR="00853AFE">
        <w:rPr>
          <w:rFonts w:hint="cs"/>
          <w:rtl/>
        </w:rPr>
        <w:t>'</w:t>
      </w:r>
      <w:r w:rsidR="0038232A">
        <w:rPr>
          <w:rFonts w:hint="cs"/>
          <w:rtl/>
        </w:rPr>
        <w:t>אדם</w:t>
      </w:r>
      <w:r w:rsidR="00853AFE">
        <w:rPr>
          <w:rFonts w:hint="cs"/>
          <w:rtl/>
        </w:rPr>
        <w:t>'</w:t>
      </w:r>
      <w:r w:rsidR="0038232A">
        <w:rPr>
          <w:rFonts w:hint="cs"/>
          <w:rtl/>
        </w:rPr>
        <w:t xml:space="preserve"> כצורה מופשטת </w:t>
      </w:r>
      <w:r w:rsidR="00853AFE">
        <w:rPr>
          <w:rFonts w:hint="cs"/>
          <w:rtl/>
        </w:rPr>
        <w:t xml:space="preserve">תמיד קיימת, אם במקרה נברא ראובן אז המהות </w:t>
      </w:r>
      <w:r w:rsidR="00EA4254">
        <w:rPr>
          <w:rFonts w:hint="cs"/>
          <w:rtl/>
        </w:rPr>
        <w:t xml:space="preserve">המופשטת </w:t>
      </w:r>
      <w:r w:rsidR="00853AFE">
        <w:rPr>
          <w:rFonts w:hint="cs"/>
          <w:rtl/>
        </w:rPr>
        <w:t xml:space="preserve">של 'אדם' </w:t>
      </w:r>
      <w:r w:rsidR="006F7A1C">
        <w:rPr>
          <w:rFonts w:hint="cs"/>
          <w:rtl/>
        </w:rPr>
        <w:t>(</w:t>
      </w:r>
      <w:r w:rsidR="00EA4254">
        <w:rPr>
          <w:rFonts w:hint="cs"/>
          <w:rtl/>
        </w:rPr>
        <w:t>כהגדרה בלבד</w:t>
      </w:r>
      <w:r w:rsidR="006F7A1C">
        <w:rPr>
          <w:rFonts w:hint="cs"/>
          <w:rtl/>
        </w:rPr>
        <w:t>)</w:t>
      </w:r>
      <w:r w:rsidR="00EA4254">
        <w:rPr>
          <w:rFonts w:hint="cs"/>
          <w:rtl/>
        </w:rPr>
        <w:t xml:space="preserve"> </w:t>
      </w:r>
      <w:r w:rsidR="00853AFE">
        <w:rPr>
          <w:rFonts w:hint="cs"/>
          <w:rtl/>
        </w:rPr>
        <w:t xml:space="preserve">קיבלה במקרה מציאות, ואם במקרה </w:t>
      </w:r>
      <w:r w:rsidR="00EA4254">
        <w:rPr>
          <w:rFonts w:hint="cs"/>
          <w:rtl/>
        </w:rPr>
        <w:t xml:space="preserve">לא נברא ראובן אז המהות שהיא צורת אדם המופשטת </w:t>
      </w:r>
      <w:r w:rsidR="006F7A1C">
        <w:rPr>
          <w:rFonts w:hint="cs"/>
          <w:rtl/>
        </w:rPr>
        <w:t>קרה לה ש</w:t>
      </w:r>
      <w:r w:rsidR="00EA4254">
        <w:rPr>
          <w:rFonts w:hint="cs"/>
          <w:rtl/>
        </w:rPr>
        <w:t xml:space="preserve">לא קיבלה מציאות. </w:t>
      </w:r>
      <w:r w:rsidR="006F7A1C">
        <w:rPr>
          <w:rFonts w:hint="cs"/>
          <w:rtl/>
        </w:rPr>
        <w:t xml:space="preserve">וכל ז היש קושיא עצומה, שההגדרה 'אדם' כמהות מופשטת גם היא הייתה יכולה שלא להיות קיימת והיא עצמה מציאותה מקרית באופן שווה למקריות מציאותו של ראובן הפרטי. </w:t>
      </w:r>
    </w:p>
    <w:p w14:paraId="05A96EAE" w14:textId="77777777" w:rsidR="005655E0" w:rsidRDefault="0057109D" w:rsidP="002448D6">
      <w:pPr>
        <w:pStyle w:val="FootnoteText"/>
        <w:rPr>
          <w:rtl/>
        </w:rPr>
      </w:pPr>
      <w:r>
        <w:rPr>
          <w:rFonts w:hint="cs"/>
          <w:rtl/>
        </w:rPr>
        <w:t xml:space="preserve">אני עוסק כאן </w:t>
      </w:r>
      <w:r w:rsidR="002B62EA">
        <w:rPr>
          <w:rFonts w:hint="cs"/>
          <w:rtl/>
        </w:rPr>
        <w:t>בקושייה</w:t>
      </w:r>
      <w:r>
        <w:rPr>
          <w:rFonts w:hint="cs"/>
          <w:rtl/>
        </w:rPr>
        <w:t xml:space="preserve"> על לשון הרמב"ם, למרות שבלשונו של אבן סינא כאן אין את הקושיא הזו, כי הרמב"ם היה תלמיד מובהק ומדויק של אבן סינא</w:t>
      </w:r>
      <w:r w:rsidR="00046270">
        <w:rPr>
          <w:rFonts w:hint="cs"/>
          <w:rtl/>
        </w:rPr>
        <w:t xml:space="preserve"> ולא חלק עליו בשום מקום, </w:t>
      </w:r>
      <w:r w:rsidR="002B62EA">
        <w:rPr>
          <w:rFonts w:hint="cs"/>
          <w:rtl/>
        </w:rPr>
        <w:t>וממילא יש להניח ש</w:t>
      </w:r>
      <w:r w:rsidR="00B70C35">
        <w:rPr>
          <w:rFonts w:hint="cs"/>
          <w:rtl/>
        </w:rPr>
        <w:t>אם נבין את כוונת הרמב"ם זו תהיה פרשנות על דעת אבן סינא.</w:t>
      </w:r>
    </w:p>
    <w:p w14:paraId="3450B35D" w14:textId="77777777" w:rsidR="00370FEA" w:rsidRDefault="00D53A64" w:rsidP="002448D6">
      <w:pPr>
        <w:pStyle w:val="FootnoteText"/>
        <w:rPr>
          <w:rtl/>
        </w:rPr>
      </w:pPr>
      <w:r>
        <w:rPr>
          <w:rFonts w:hint="cs"/>
          <w:rtl/>
        </w:rPr>
        <w:t xml:space="preserve">תוכן דברי אבן סינא יש בו </w:t>
      </w:r>
      <w:r w:rsidR="00FB5289">
        <w:rPr>
          <w:rFonts w:hint="cs"/>
          <w:rtl/>
        </w:rPr>
        <w:t>עניי</w:t>
      </w:r>
      <w:r>
        <w:rPr>
          <w:rFonts w:hint="cs"/>
          <w:rtl/>
        </w:rPr>
        <w:t xml:space="preserve">ן עמוק מאוד. </w:t>
      </w:r>
      <w:r w:rsidR="00EF4FA7">
        <w:rPr>
          <w:rFonts w:hint="cs"/>
          <w:rtl/>
        </w:rPr>
        <w:t>אנו אומרים שכל מה שייתכן שלא יהיה נמצא</w:t>
      </w:r>
      <w:r w:rsidR="00FB5289">
        <w:rPr>
          <w:rFonts w:hint="cs"/>
          <w:rtl/>
        </w:rPr>
        <w:t xml:space="preserve"> (כלומר אפשר שיימצא ואפשר שלא יימצא, המונח לזה הוא שמציאותו קונטינגנטית</w:t>
      </w:r>
      <w:r w:rsidR="00680614">
        <w:rPr>
          <w:rFonts w:hint="cs"/>
          <w:rtl/>
        </w:rPr>
        <w:t>, ובלשון ימי הביניים שהוא אפשרי המציאות)</w:t>
      </w:r>
      <w:r w:rsidR="00117104">
        <w:rPr>
          <w:rFonts w:hint="cs"/>
          <w:rtl/>
        </w:rPr>
        <w:t>,</w:t>
      </w:r>
      <w:r w:rsidR="00EF4FA7">
        <w:rPr>
          <w:rFonts w:hint="cs"/>
          <w:rtl/>
        </w:rPr>
        <w:t xml:space="preserve"> באמת לא ייתכן שיהיה נמצא</w:t>
      </w:r>
      <w:r w:rsidR="00117104">
        <w:rPr>
          <w:rFonts w:hint="cs"/>
          <w:rtl/>
        </w:rPr>
        <w:t xml:space="preserve">. כי </w:t>
      </w:r>
      <w:r w:rsidR="005A5FB0">
        <w:rPr>
          <w:rFonts w:hint="cs"/>
          <w:rtl/>
        </w:rPr>
        <w:t>אם אפשר שהוא לא יימצא, הרי אין הוא סיבת המציאות של עצמו, ולא ייתכן שיהיה נמצא בלי סיבה</w:t>
      </w:r>
      <w:r w:rsidR="00680614">
        <w:rPr>
          <w:rFonts w:hint="cs"/>
          <w:rtl/>
        </w:rPr>
        <w:t xml:space="preserve"> למציאותו</w:t>
      </w:r>
      <w:r w:rsidR="005A5FB0">
        <w:rPr>
          <w:rFonts w:hint="cs"/>
          <w:rtl/>
        </w:rPr>
        <w:t xml:space="preserve">. </w:t>
      </w:r>
      <w:r w:rsidR="00AF061E">
        <w:rPr>
          <w:rFonts w:hint="cs"/>
          <w:rtl/>
        </w:rPr>
        <w:t>כיוון שאין הוא עצמו סיבה למציאותו, הוא צריך את מקור המציאות, הכרחי המציאות, שישפיע עליו מציאות, שימציא אותו.</w:t>
      </w:r>
      <w:r w:rsidR="00EF4FA7">
        <w:rPr>
          <w:rFonts w:hint="cs"/>
          <w:rtl/>
        </w:rPr>
        <w:t xml:space="preserve"> </w:t>
      </w:r>
      <w:r w:rsidR="00AF061E">
        <w:rPr>
          <w:rFonts w:hint="cs"/>
          <w:rtl/>
        </w:rPr>
        <w:t>וכלשון הרמב"ם בתחילת הלכות יסודי התורה שיש מצוי ראשון שה</w:t>
      </w:r>
      <w:r w:rsidR="00AA240E">
        <w:rPr>
          <w:rFonts w:hint="cs"/>
          <w:rtl/>
        </w:rPr>
        <w:t>ו</w:t>
      </w:r>
      <w:r w:rsidR="00AF061E">
        <w:rPr>
          <w:rFonts w:hint="cs"/>
          <w:rtl/>
        </w:rPr>
        <w:t>א ממציא כל נמצא</w:t>
      </w:r>
      <w:r w:rsidR="00604A3B">
        <w:rPr>
          <w:rFonts w:hint="cs"/>
          <w:rtl/>
        </w:rPr>
        <w:t xml:space="preserve"> (עיין היטב בזה בלשון המורה נבוכים ב' א' בעיון השלישי</w:t>
      </w:r>
      <w:r w:rsidR="000300C3">
        <w:rPr>
          <w:rFonts w:hint="cs"/>
          <w:rtl/>
        </w:rPr>
        <w:t>)</w:t>
      </w:r>
      <w:r w:rsidR="00AF061E">
        <w:rPr>
          <w:rFonts w:hint="cs"/>
          <w:rtl/>
        </w:rPr>
        <w:t xml:space="preserve">. </w:t>
      </w:r>
    </w:p>
    <w:p w14:paraId="567339DE" w14:textId="77777777" w:rsidR="0095430D" w:rsidRDefault="000300C3" w:rsidP="002448D6">
      <w:pPr>
        <w:pStyle w:val="FootnoteText"/>
        <w:rPr>
          <w:rtl/>
        </w:rPr>
      </w:pPr>
      <w:r>
        <w:rPr>
          <w:rFonts w:hint="cs"/>
          <w:rtl/>
        </w:rPr>
        <w:t xml:space="preserve">יש לשאול איך היא השפעת המציאות הזו מהבורא לנברא, </w:t>
      </w:r>
      <w:r w:rsidR="00370FEA">
        <w:rPr>
          <w:rFonts w:hint="cs"/>
          <w:rtl/>
        </w:rPr>
        <w:t>הרי הבורא לא יכול לעשות שלנברא תהיה מציאות מסיבת עצמו</w:t>
      </w:r>
      <w:r w:rsidR="00A51F25">
        <w:rPr>
          <w:rFonts w:hint="cs"/>
          <w:rtl/>
        </w:rPr>
        <w:t>, ואז הנברא יהיה הכרחי המציאות</w:t>
      </w:r>
      <w:r w:rsidR="00370FEA">
        <w:rPr>
          <w:rFonts w:hint="cs"/>
          <w:rtl/>
        </w:rPr>
        <w:t>, כי זה כמו שהבורא יברא עוד אלוה</w:t>
      </w:r>
      <w:r w:rsidR="000D59E0">
        <w:rPr>
          <w:rFonts w:hint="cs"/>
          <w:rtl/>
        </w:rPr>
        <w:t xml:space="preserve"> כמותו</w:t>
      </w:r>
      <w:r w:rsidR="00370FEA">
        <w:rPr>
          <w:rFonts w:hint="cs"/>
          <w:rtl/>
        </w:rPr>
        <w:t xml:space="preserve"> בנוסף לו, או שימית את עצמו. </w:t>
      </w:r>
      <w:r w:rsidR="00A51F25">
        <w:rPr>
          <w:rFonts w:hint="cs"/>
          <w:rtl/>
        </w:rPr>
        <w:t xml:space="preserve">אם נשאר </w:t>
      </w:r>
      <w:r w:rsidR="000D59E0">
        <w:rPr>
          <w:rFonts w:hint="cs"/>
          <w:rtl/>
        </w:rPr>
        <w:t xml:space="preserve">גם אחרי הבריאה </w:t>
      </w:r>
      <w:r w:rsidR="00A51F25">
        <w:rPr>
          <w:rFonts w:hint="cs"/>
          <w:rtl/>
        </w:rPr>
        <w:t xml:space="preserve">שלנברא אין מציאות מסיבת עצמו, </w:t>
      </w:r>
      <w:r w:rsidR="000D59E0">
        <w:rPr>
          <w:rFonts w:hint="cs"/>
          <w:rtl/>
        </w:rPr>
        <w:t>אם כן גם אחרי הבריאה הנברא לא נמצא כלל</w:t>
      </w:r>
      <w:r w:rsidR="002048B8">
        <w:rPr>
          <w:rFonts w:hint="cs"/>
          <w:rtl/>
        </w:rPr>
        <w:t>;</w:t>
      </w:r>
      <w:r w:rsidR="000D59E0">
        <w:rPr>
          <w:rFonts w:hint="cs"/>
          <w:rtl/>
        </w:rPr>
        <w:t xml:space="preserve"> כי </w:t>
      </w:r>
      <w:r w:rsidR="002048B8">
        <w:rPr>
          <w:rFonts w:hint="cs"/>
          <w:rtl/>
        </w:rPr>
        <w:t>אם רק לבורא יש מציאות</w:t>
      </w:r>
      <w:r w:rsidR="00AA245D">
        <w:rPr>
          <w:rFonts w:hint="cs"/>
          <w:rtl/>
        </w:rPr>
        <w:t xml:space="preserve"> הכרחית אז רק הוא נמצא, ואיך אפשר</w:t>
      </w:r>
      <w:r w:rsidR="00871185">
        <w:rPr>
          <w:rFonts w:hint="cs"/>
          <w:rtl/>
        </w:rPr>
        <w:t xml:space="preserve"> </w:t>
      </w:r>
      <w:r w:rsidR="00AA245D">
        <w:rPr>
          <w:rFonts w:hint="cs"/>
          <w:rtl/>
        </w:rPr>
        <w:t>לגרום למשהו להיות נמצא בלי</w:t>
      </w:r>
      <w:r w:rsidR="00871185">
        <w:rPr>
          <w:rFonts w:hint="cs"/>
          <w:rtl/>
        </w:rPr>
        <w:t xml:space="preserve"> לעשות שתהיה</w:t>
      </w:r>
      <w:r w:rsidR="00AA245D">
        <w:rPr>
          <w:rFonts w:hint="cs"/>
          <w:rtl/>
        </w:rPr>
        <w:t xml:space="preserve"> לו מציאות</w:t>
      </w:r>
      <w:r w:rsidR="00871185">
        <w:rPr>
          <w:rFonts w:hint="cs"/>
          <w:rtl/>
        </w:rPr>
        <w:t xml:space="preserve"> מצד עצמו</w:t>
      </w:r>
      <w:r w:rsidR="000D59E0">
        <w:rPr>
          <w:rFonts w:hint="cs"/>
          <w:rtl/>
        </w:rPr>
        <w:t xml:space="preserve">. </w:t>
      </w:r>
      <w:r w:rsidR="00DB27FA">
        <w:rPr>
          <w:rFonts w:hint="cs"/>
          <w:rtl/>
        </w:rPr>
        <w:t>שוב, יש רק שתי אפשרויות, או שמשהו נמצא או שאינו נמצא</w:t>
      </w:r>
      <w:r w:rsidR="009B026C">
        <w:rPr>
          <w:rFonts w:hint="cs"/>
          <w:rtl/>
        </w:rPr>
        <w:t>, אין אפשרות אמצעית</w:t>
      </w:r>
      <w:r w:rsidR="009B026C" w:rsidRPr="009B026C">
        <w:rPr>
          <w:rtl/>
        </w:rPr>
        <w:t xml:space="preserve"> (כמו שכתב במורה נבוכים א' נ"א)</w:t>
      </w:r>
      <w:r w:rsidR="009B026C">
        <w:rPr>
          <w:rFonts w:hint="cs"/>
          <w:rtl/>
        </w:rPr>
        <w:t xml:space="preserve">. </w:t>
      </w:r>
      <w:r w:rsidR="0046212C">
        <w:rPr>
          <w:rFonts w:hint="cs"/>
          <w:rtl/>
        </w:rPr>
        <w:t>הבורא נמצא, וכל מה שנמצא אמו</w:t>
      </w:r>
      <w:r w:rsidR="0095430D">
        <w:rPr>
          <w:rFonts w:hint="cs"/>
          <w:rtl/>
        </w:rPr>
        <w:t>ר</w:t>
      </w:r>
      <w:r w:rsidR="0046212C">
        <w:rPr>
          <w:rFonts w:hint="cs"/>
          <w:rtl/>
        </w:rPr>
        <w:t xml:space="preserve"> להיות שנמצא באותו מובן כמו שהבורא נמצא, וזה אי אפשר כי הבורא אחד ורק הוא לבדו מציאותו היא עצמותו. לכן האפשרות שנותרה היא חוסר מציאות </w:t>
      </w:r>
      <w:r w:rsidR="0095430D">
        <w:rPr>
          <w:rFonts w:hint="cs"/>
          <w:rtl/>
        </w:rPr>
        <w:t xml:space="preserve">של </w:t>
      </w:r>
      <w:r w:rsidR="0046212C">
        <w:rPr>
          <w:rFonts w:hint="cs"/>
          <w:rtl/>
        </w:rPr>
        <w:t>הנבראים</w:t>
      </w:r>
      <w:r w:rsidR="00DB27FA">
        <w:rPr>
          <w:rFonts w:hint="cs"/>
          <w:rtl/>
        </w:rPr>
        <w:t>.</w:t>
      </w:r>
    </w:p>
    <w:p w14:paraId="0BC94F97" w14:textId="49E8B749" w:rsidR="00D53A64" w:rsidRDefault="0095430D" w:rsidP="002448D6">
      <w:pPr>
        <w:pStyle w:val="FootnoteText"/>
        <w:rPr>
          <w:rtl/>
        </w:rPr>
      </w:pPr>
      <w:r>
        <w:rPr>
          <w:rFonts w:hint="cs"/>
          <w:rtl/>
        </w:rPr>
        <w:t xml:space="preserve">התשובה העמוקה לזה היא שבאמת גם אחרי הבריאה הנבראים לא קיבלו מציאות כלל, לא עצמית וגם לא מקרית. אלא נשאר שרק הבורא לבדו נמצא, והנבראים הם צמצום שחל בבורא עצמו, ומציאותם היא </w:t>
      </w:r>
      <w:r w:rsidR="00AB5B3C">
        <w:rPr>
          <w:rFonts w:hint="cs"/>
          <w:rtl/>
        </w:rPr>
        <w:t xml:space="preserve">תמיד רק </w:t>
      </w:r>
      <w:r>
        <w:rPr>
          <w:rFonts w:hint="cs"/>
          <w:rtl/>
        </w:rPr>
        <w:t xml:space="preserve">מציאותו של הבורא עצמו. </w:t>
      </w:r>
      <w:r w:rsidR="00AB5B3C">
        <w:rPr>
          <w:rFonts w:hint="cs"/>
          <w:rtl/>
        </w:rPr>
        <w:t>אם הבורא מתגלה כפשוט לחלוטין אז אין מציאותו כוללת מציאות נבראים שנוטלת בה חלק, ואם הבורא מתגלה כעניין מוגבל, דהיינו ספירת ח</w:t>
      </w:r>
      <w:r w:rsidR="002F675D">
        <w:rPr>
          <w:rFonts w:hint="cs"/>
          <w:rtl/>
        </w:rPr>
        <w:t>כ</w:t>
      </w:r>
      <w:r w:rsidR="00AB5B3C">
        <w:rPr>
          <w:rFonts w:hint="cs"/>
          <w:rtl/>
        </w:rPr>
        <w:t xml:space="preserve">מה, </w:t>
      </w:r>
      <w:r w:rsidR="002F675D">
        <w:rPr>
          <w:rFonts w:hint="cs"/>
          <w:rtl/>
        </w:rPr>
        <w:t xml:space="preserve">החכמה האלוהית, שבחכמה יש גבולות כי עניינה הוא הגדרות וסדר וחוק הסתירה, </w:t>
      </w:r>
      <w:r w:rsidR="008B6296">
        <w:rPr>
          <w:rFonts w:hint="cs"/>
          <w:rtl/>
        </w:rPr>
        <w:t xml:space="preserve">אז במציאותו עצמו יש מציאות של נבראים. ולעולם אין לנבראים מציאות מחוץ לבורא. </w:t>
      </w:r>
      <w:r w:rsidR="00DB27FA">
        <w:rPr>
          <w:rFonts w:hint="cs"/>
          <w:rtl/>
        </w:rPr>
        <w:t xml:space="preserve"> </w:t>
      </w:r>
      <w:r w:rsidR="00EF4FA7">
        <w:rPr>
          <w:rFonts w:hint="cs"/>
          <w:rtl/>
        </w:rPr>
        <w:t xml:space="preserve"> </w:t>
      </w:r>
      <w:r w:rsidR="00D53A64">
        <w:rPr>
          <w:rFonts w:hint="cs"/>
          <w:rtl/>
        </w:rPr>
        <w:t xml:space="preserve"> </w:t>
      </w:r>
    </w:p>
    <w:p w14:paraId="366139F2" w14:textId="77777777" w:rsidR="0035706E" w:rsidRDefault="008B6296" w:rsidP="0035706E">
      <w:pPr>
        <w:pStyle w:val="FootnoteText"/>
        <w:rPr>
          <w:rtl/>
        </w:rPr>
      </w:pPr>
      <w:r>
        <w:rPr>
          <w:rFonts w:hint="cs"/>
          <w:rtl/>
        </w:rPr>
        <w:t xml:space="preserve">בהלכות יסודי התורה פרק ב' הלכות ט'-י' כתב הרמב"ם את העניין הזה. </w:t>
      </w:r>
      <w:r w:rsidR="00011CE8">
        <w:rPr>
          <w:rFonts w:hint="cs"/>
          <w:rtl/>
        </w:rPr>
        <w:t>הוא מבאר שם שהבורא יודע רק את עצמו</w:t>
      </w:r>
      <w:r w:rsidR="00103D1C">
        <w:rPr>
          <w:rFonts w:hint="cs"/>
          <w:rtl/>
        </w:rPr>
        <w:t xml:space="preserve"> ולא שום דבר מחוץ לעצמו</w:t>
      </w:r>
      <w:r w:rsidR="00011CE8">
        <w:rPr>
          <w:rFonts w:hint="cs"/>
          <w:rtl/>
        </w:rPr>
        <w:t xml:space="preserve">, </w:t>
      </w:r>
      <w:r w:rsidR="009065F7">
        <w:rPr>
          <w:rFonts w:hint="cs"/>
          <w:rtl/>
        </w:rPr>
        <w:t>"</w:t>
      </w:r>
      <w:r w:rsidR="0035706E">
        <w:rPr>
          <w:rtl/>
        </w:rPr>
        <w:t>כָּל הַנִּמְצָאִין חוּץ מִן הַבּוֹרֵא, מִצּוּרָה הָרִאשׁוֹנָה עַד יַתּוּשׁ קָטָן שֶׁיִּהְיֶה בְּטַבּוּר הָאָרֶץ - הַכֹּל מִכֹּחַ אֲמִתּוֹ נִמְצְאוּ. וּלְפִי שֶׁהוּא יוֹדֵעַ עַצְמוֹ וּמַכִּיר גָּדְלוֹ וְתִפְאַרְתּוֹ וַאֲמִתּוֹ - הוּא יוֹדֵעַ הַכֹּל, וְאֵין דָּבָר נֶעְלָם מִמֶּנּוּ.</w:t>
      </w:r>
    </w:p>
    <w:p w14:paraId="2B3FA091" w14:textId="77777777" w:rsidR="00B12A18" w:rsidRDefault="0035706E" w:rsidP="00B12A18">
      <w:pPr>
        <w:pStyle w:val="FootnoteText"/>
        <w:rPr>
          <w:rtl/>
        </w:rPr>
      </w:pPr>
      <w:r>
        <w:rPr>
          <w:rtl/>
        </w:rPr>
        <w:t xml:space="preserve">(י) הַקָּדוֹשׁ בָּרוּךְ הוּא מַכִּיר אֲמִתּוֹ וְיוֹדֵעַ אוֹתָהּ כְּמוֹת שֶׁהִיא. וְאֵינוֹ יוֹדֵעַ בְּדֵעָה שֶׁהִיא חוּץ מִמֶּנּוּ, כְּמוֹ שֶׁאָנוּ יוֹדְעִין, שֶׁאֵין אָנוּ וְדַעְתֵּנוּ אֶחָד. אֲבָל הַבּוֹרֵא, הוּא וְדַעְתּוֹ וְחַיָּיו אֶחָד מִכָּל צַד וּמִכָּל פִּנָּה; </w:t>
      </w:r>
      <w:r w:rsidR="00B12A18">
        <w:rPr>
          <w:rFonts w:hint="cs"/>
          <w:rtl/>
        </w:rPr>
        <w:t>[...]</w:t>
      </w:r>
    </w:p>
    <w:p w14:paraId="49DF35D5" w14:textId="04C59707" w:rsidR="00544FBA" w:rsidRDefault="0035706E" w:rsidP="00B12A18">
      <w:pPr>
        <w:pStyle w:val="FootnoteText"/>
        <w:rPr>
          <w:rtl/>
        </w:rPr>
      </w:pPr>
      <w:r>
        <w:rPr>
          <w:rtl/>
        </w:rPr>
        <w:t>נִמְצֵאתָ אוֹמֵר: הוּא הַיּוֹדֵעַ, וְהוּא הַיָּדוּעַ, וְהוּא הַדֵּעָה עַצְמָהּ - הַכֹּל אֶחָד. וְדָבָר זֶה אֵין כֹּחַ בַּפֶּה לְאָמְרוֹ, וְלֹא בָּאֹזֶן לְשָׁמְעוֹ, וְלֹא בְּלֵב הָאָדָם לְהַכִּירוֹ עַל בֻּרְיוֹ.</w:t>
      </w:r>
    </w:p>
    <w:p w14:paraId="707647EC" w14:textId="6A43E619" w:rsidR="00DF032B" w:rsidRDefault="009065F7" w:rsidP="002448D6">
      <w:pPr>
        <w:pStyle w:val="FootnoteText"/>
        <w:rPr>
          <w:rtl/>
        </w:rPr>
      </w:pPr>
      <w:r w:rsidRPr="009065F7">
        <w:rPr>
          <w:rtl/>
        </w:rPr>
        <w:t>לְפִיכָךְ אֵינוֹ מַכִּיר הַבְּרוּאִים וְיוֹדְעָם מֵחֲמַת הַבְּרוּאִים, כְּמוֹת שֶׁאָנוּ יוֹדְעִין אוֹתָם, אֶלָּא מֵחֲמַת עַצְמוֹ יֵדָעֵם. לְפִיכָךְ, מִפְּנֵי שֶׁהוּא יוֹדֵעַ עַצְמוֹ - יוֹדֵעַ הַכֹּל, שֶׁהַכֹּל נִסְמָךְ בַּהֲוָיָתוֹ לוֹ.</w:t>
      </w:r>
      <w:r>
        <w:rPr>
          <w:rFonts w:hint="cs"/>
          <w:rtl/>
        </w:rPr>
        <w:t>"</w:t>
      </w:r>
    </w:p>
    <w:p w14:paraId="6057DF55" w14:textId="77777777" w:rsidR="00683F04" w:rsidRDefault="00C051DA" w:rsidP="002448D6">
      <w:pPr>
        <w:pStyle w:val="FootnoteText"/>
        <w:rPr>
          <w:rtl/>
        </w:rPr>
      </w:pPr>
      <w:r>
        <w:rPr>
          <w:rFonts w:hint="cs"/>
          <w:rtl/>
        </w:rPr>
        <w:t xml:space="preserve">זה סוף ביאור סוד מעשה מרכבה שכתב בהלכות יסודי התורה בשני הפרקים הראשונים. נאמר כאן שהאחדות שבין הבורא והנבראים היא מוחלטת. </w:t>
      </w:r>
      <w:r w:rsidR="00D00313">
        <w:rPr>
          <w:rFonts w:hint="cs"/>
          <w:rtl/>
        </w:rPr>
        <w:t xml:space="preserve">מעשה מרכבה הוא סתירה, קושייה, איך יתכן שמצד אחד האלוה אחד באופן פשוט ומוחלט בלי מורכבות, מופשט לחלוטין, ומצד שני יש נבראים שהם </w:t>
      </w:r>
      <w:r w:rsidR="00A43C9C">
        <w:rPr>
          <w:rFonts w:hint="cs"/>
          <w:rtl/>
        </w:rPr>
        <w:t xml:space="preserve">מרובים ומוגבלים ומשתנים, איך יוצא מהאחדות הפשוטה המוחלטת ריבוי ומורכבות. והתשובה היא שאין כאן שני דברים, אין </w:t>
      </w:r>
      <w:r w:rsidR="007009B8">
        <w:rPr>
          <w:rFonts w:hint="cs"/>
          <w:rtl/>
        </w:rPr>
        <w:t xml:space="preserve">מצד אחד </w:t>
      </w:r>
      <w:r w:rsidR="00A43C9C">
        <w:rPr>
          <w:rFonts w:hint="cs"/>
          <w:rtl/>
        </w:rPr>
        <w:t>בורא ו</w:t>
      </w:r>
      <w:r w:rsidR="007009B8">
        <w:rPr>
          <w:rFonts w:hint="cs"/>
          <w:rtl/>
        </w:rPr>
        <w:t xml:space="preserve">מצד שני </w:t>
      </w:r>
      <w:r w:rsidR="00A43C9C">
        <w:rPr>
          <w:rFonts w:hint="cs"/>
          <w:rtl/>
        </w:rPr>
        <w:t xml:space="preserve">נבראים, ואין </w:t>
      </w:r>
      <w:r w:rsidR="007009B8">
        <w:rPr>
          <w:rFonts w:hint="cs"/>
          <w:rtl/>
        </w:rPr>
        <w:t xml:space="preserve">מצד אחד </w:t>
      </w:r>
      <w:r w:rsidR="00A43C9C">
        <w:rPr>
          <w:rFonts w:hint="cs"/>
          <w:rtl/>
        </w:rPr>
        <w:t>אחדות פשוטה ו</w:t>
      </w:r>
      <w:r w:rsidR="007009B8">
        <w:rPr>
          <w:rFonts w:hint="cs"/>
          <w:rtl/>
        </w:rPr>
        <w:t xml:space="preserve">מצד שני </w:t>
      </w:r>
      <w:r w:rsidR="00A43C9C">
        <w:rPr>
          <w:rFonts w:hint="cs"/>
          <w:rtl/>
        </w:rPr>
        <w:t>מוגבלות וריבוי, אלא</w:t>
      </w:r>
      <w:r w:rsidR="007009B8">
        <w:rPr>
          <w:rFonts w:hint="cs"/>
          <w:rtl/>
        </w:rPr>
        <w:t xml:space="preserve"> הכל אחד מוחלט, </w:t>
      </w:r>
      <w:r w:rsidR="00D32BEC">
        <w:rPr>
          <w:rFonts w:hint="cs"/>
          <w:rtl/>
        </w:rPr>
        <w:t xml:space="preserve">זה סוד האהבה שבה יש שני אוהבים אבל באמת שניהם אחד באופן מוחלט ופשוט. </w:t>
      </w:r>
      <w:r w:rsidR="00D91A38">
        <w:rPr>
          <w:rFonts w:hint="cs"/>
          <w:rtl/>
        </w:rPr>
        <w:t xml:space="preserve">ודבר זה אין כח בפה לאמרו ולא באוזן לשמעו. </w:t>
      </w:r>
    </w:p>
    <w:p w14:paraId="78B69F9E" w14:textId="77777777" w:rsidR="00106A33" w:rsidRDefault="00683F04" w:rsidP="002448D6">
      <w:pPr>
        <w:pStyle w:val="FootnoteText"/>
        <w:rPr>
          <w:rtl/>
        </w:rPr>
      </w:pPr>
      <w:r>
        <w:rPr>
          <w:rFonts w:hint="cs"/>
          <w:rtl/>
        </w:rPr>
        <w:t>אם האדם משיג שכך היא מציאותו, הוא נעשה אדם אחר לגמרי. אין לו מציאות כלל כראובן או כאדם, מה שהוא נמצא זו המציאות האלוהית.</w:t>
      </w:r>
    </w:p>
    <w:p w14:paraId="624D90B5" w14:textId="72868E3A" w:rsidR="00B12A18" w:rsidRDefault="00F73349" w:rsidP="002448D6">
      <w:pPr>
        <w:pStyle w:val="FootnoteText"/>
        <w:rPr>
          <w:rtl/>
        </w:rPr>
      </w:pPr>
      <w:r>
        <w:rPr>
          <w:rFonts w:hint="cs"/>
          <w:rtl/>
        </w:rPr>
        <w:t>"</w:t>
      </w:r>
      <w:r w:rsidRPr="00F73349">
        <w:rPr>
          <w:rtl/>
        </w:rPr>
        <w:t>כִּי הַמִּצְוָה הַזֹּאת אֲשֶׁר אָנֹכִי מְצַוְּךָ הַיּוֹם לֹא נִפְלֵאת הִוא מִמְּךָ וְלֹא רְחֹקָה הִוא. לֹא בַשָּׁמַיִם הִוא לֵאמֹר מִי יַעֲלֶה לָּנוּ הַשָּׁמַיְמָה וְיִקָּחֶהָ לָּנוּ וְיַשְׁמִעֵנוּ אֹתָהּ וְנַעֲשֶׂנָּה. וְלֹא מֵעֵבֶר לַיָּם הִוא לֵאמֹר מִי יַעֲבָר לָנוּ אֶל עֵבֶר הַיָּם וְיִקָּחֶהָ לָּנוּ וְיַשְׁמִעֵנוּ אֹתָהּ וְנַעֲשֶׂנָּה. כִּי קָרוֹב אֵלֶיךָ הַדָּבָר מְאֹד בְּפִיךָ וּבִלְבָבְךָ לַעֲשֹׂתוֹ.</w:t>
      </w:r>
      <w:r w:rsidR="004308C3">
        <w:rPr>
          <w:rFonts w:hint="cs"/>
          <w:rtl/>
        </w:rPr>
        <w:t>" הקירבה הזו, שדבר האלוהים הוא בפיך ובלבבך</w:t>
      </w:r>
      <w:r w:rsidR="00545D87">
        <w:rPr>
          <w:rFonts w:hint="cs"/>
          <w:rtl/>
        </w:rPr>
        <w:t xml:space="preserve"> לעשותו</w:t>
      </w:r>
      <w:r w:rsidR="004308C3">
        <w:rPr>
          <w:rFonts w:hint="cs"/>
          <w:rtl/>
        </w:rPr>
        <w:t xml:space="preserve">, מצד מציאותך, לא בעקבות לימוד, </w:t>
      </w:r>
      <w:r w:rsidR="00545D87">
        <w:rPr>
          <w:rFonts w:hint="cs"/>
          <w:rtl/>
        </w:rPr>
        <w:t>זה נובע מכך שאתה נוטל חלק במציאות האלוהים ולא שהוא נתן לך במתנה מציאו</w:t>
      </w:r>
      <w:r w:rsidR="0022148E">
        <w:rPr>
          <w:rFonts w:hint="cs"/>
          <w:rtl/>
        </w:rPr>
        <w:t>ת</w:t>
      </w:r>
      <w:r w:rsidR="00545D87">
        <w:rPr>
          <w:rFonts w:hint="cs"/>
          <w:rtl/>
        </w:rPr>
        <w:t xml:space="preserve"> נפרדת משלך</w:t>
      </w:r>
      <w:r w:rsidR="0022148E">
        <w:rPr>
          <w:rFonts w:hint="cs"/>
          <w:rtl/>
        </w:rPr>
        <w:t xml:space="preserve">. לא צריך לחפש את האלוהים </w:t>
      </w:r>
      <w:r w:rsidR="000075C2">
        <w:rPr>
          <w:rFonts w:hint="cs"/>
          <w:rtl/>
        </w:rPr>
        <w:t xml:space="preserve">כי </w:t>
      </w:r>
      <w:r w:rsidR="0022148E">
        <w:rPr>
          <w:rFonts w:hint="cs"/>
          <w:rtl/>
        </w:rPr>
        <w:t xml:space="preserve">הוא כבר אתה בעצמך, צריך רק להסיר את העיוורון שמונע מלראות את זה. </w:t>
      </w:r>
    </w:p>
    <w:p w14:paraId="5DA346CB" w14:textId="7FFA0E4B" w:rsidR="000075C2" w:rsidRDefault="000075C2" w:rsidP="002448D6">
      <w:pPr>
        <w:pStyle w:val="FootnoteText"/>
        <w:rPr>
          <w:rtl/>
        </w:rPr>
      </w:pPr>
      <w:r>
        <w:rPr>
          <w:rFonts w:hint="cs"/>
          <w:rtl/>
        </w:rPr>
        <w:t xml:space="preserve">ויש עוד פסוקים וכמו "רוחי אשר עליך ודברי אשר שמתי בפיך", ועוד כיו"ב. מכח זה משה רבינו השיג את הבורא בלי תיווך של צורות דמיון ומשלי נבואה אלא פה אל פה, פנים אל פנים, בלי חציצה. </w:t>
      </w:r>
    </w:p>
    <w:p w14:paraId="31976C38" w14:textId="1AB1614F" w:rsidR="0022148E" w:rsidRDefault="005367B2" w:rsidP="00B973B0">
      <w:pPr>
        <w:pStyle w:val="FootnoteText"/>
        <w:rPr>
          <w:rtl/>
        </w:rPr>
      </w:pPr>
      <w:r>
        <w:rPr>
          <w:rFonts w:hint="cs"/>
          <w:rtl/>
        </w:rPr>
        <w:t xml:space="preserve">וכמו שאמרו במדרש על הפסוק "אני ישנה וליבי ער", זהו הקב"ה שהוא ליבן של ישראל. </w:t>
      </w:r>
      <w:r w:rsidR="00EA7B55">
        <w:rPr>
          <w:rFonts w:hint="cs"/>
          <w:rtl/>
        </w:rPr>
        <w:t>ובספר שערי אורה כתב ששמות הבורא הם "אני" "אתה" ו"הוא". וקיבלתי מרבותי שיש כאן מהלך, ההתחלה היא להשיג ש"אני" זה שם של הבורא, גילוי של מציאותו שלו, לא שהוא נתן לי מציאות אלא שאני נכלל במציאותו שלו, נוטל בה חלק. ומזה מגיעים לראיית ה</w:t>
      </w:r>
      <w:r w:rsidR="00432EE5">
        <w:rPr>
          <w:rFonts w:hint="cs"/>
          <w:rtl/>
        </w:rPr>
        <w:t>אחדות</w:t>
      </w:r>
      <w:r w:rsidR="00EA7B55">
        <w:rPr>
          <w:rFonts w:hint="cs"/>
          <w:rtl/>
        </w:rPr>
        <w:t xml:space="preserve"> של אני </w:t>
      </w:r>
      <w:r w:rsidR="00432EE5">
        <w:rPr>
          <w:rFonts w:hint="cs"/>
          <w:rtl/>
        </w:rPr>
        <w:t xml:space="preserve">עם </w:t>
      </w:r>
      <w:r w:rsidR="00EA7B55">
        <w:rPr>
          <w:rFonts w:hint="cs"/>
          <w:rtl/>
        </w:rPr>
        <w:t>מה שמחוץ לי וזה "אתה"</w:t>
      </w:r>
      <w:r w:rsidR="00432EE5">
        <w:rPr>
          <w:rFonts w:hint="cs"/>
          <w:rtl/>
        </w:rPr>
        <w:t>, "אתה" זה מה שמחוץ לי שהוא גם אלוהות כמו האני שלי,</w:t>
      </w:r>
      <w:r w:rsidR="00EA7B55">
        <w:rPr>
          <w:rFonts w:hint="cs"/>
          <w:rtl/>
        </w:rPr>
        <w:t xml:space="preserve"> ואחר כך </w:t>
      </w:r>
      <w:r w:rsidR="00432EE5">
        <w:rPr>
          <w:rFonts w:hint="cs"/>
          <w:rtl/>
        </w:rPr>
        <w:t xml:space="preserve">שלמות השגת מעשה מרכבה, שהיא </w:t>
      </w:r>
      <w:r w:rsidR="00EA7B55">
        <w:rPr>
          <w:rFonts w:hint="cs"/>
          <w:rtl/>
        </w:rPr>
        <w:t>אחדות של הבורא המופשט לחלוטין</w:t>
      </w:r>
      <w:r w:rsidR="00432EE5">
        <w:rPr>
          <w:rFonts w:hint="cs"/>
          <w:rtl/>
        </w:rPr>
        <w:t xml:space="preserve"> (שנקרא "הוא"</w:t>
      </w:r>
      <w:r w:rsidR="00432EE5">
        <w:rPr>
          <w:rFonts w:hint="cs"/>
        </w:rPr>
        <w:t xml:space="preserve"> </w:t>
      </w:r>
      <w:r w:rsidR="00432EE5">
        <w:rPr>
          <w:rFonts w:hint="cs"/>
          <w:rtl/>
        </w:rPr>
        <w:t xml:space="preserve">כי אינו מושג בהשגה ישרה, כמו שכתב בהלכות יסודי התורה א' י')  עם המוגבל. </w:t>
      </w:r>
      <w:r w:rsidR="00EA7B55">
        <w:rPr>
          <w:rFonts w:hint="cs"/>
          <w:rtl/>
        </w:rPr>
        <w:t xml:space="preserve"> </w:t>
      </w:r>
      <w:r w:rsidR="0022148E">
        <w:rPr>
          <w:rFonts w:hint="cs"/>
          <w:rtl/>
        </w:rPr>
        <w:t xml:space="preserve"> </w:t>
      </w:r>
    </w:p>
    <w:p w14:paraId="5840669B" w14:textId="25F7E9EE" w:rsidR="008B6296" w:rsidRDefault="00B973B0" w:rsidP="002448D6">
      <w:pPr>
        <w:pStyle w:val="FootnoteText"/>
        <w:rPr>
          <w:rtl/>
        </w:rPr>
      </w:pPr>
      <w:r>
        <w:rPr>
          <w:rFonts w:hint="cs"/>
          <w:rtl/>
        </w:rPr>
        <w:t xml:space="preserve">זה פירוש דברי אבן סינא כאן שהמהויות אין להן מציאות משל עצמן, והן נצרכות למציאות חיצונית לעצמותן, כדי להימצא בה. </w:t>
      </w:r>
    </w:p>
    <w:p w14:paraId="5FC9419D" w14:textId="77777777" w:rsidR="00B973B0" w:rsidRDefault="00B973B0" w:rsidP="002448D6">
      <w:pPr>
        <w:pStyle w:val="FootnoteText"/>
        <w:rPr>
          <w:rtl/>
        </w:rPr>
      </w:pPr>
    </w:p>
    <w:p w14:paraId="56F05C35" w14:textId="26A1BF3B" w:rsidR="00052C70" w:rsidRDefault="00052C70" w:rsidP="002448D6">
      <w:pPr>
        <w:pStyle w:val="FootnoteText"/>
        <w:rPr>
          <w:rtl/>
        </w:rPr>
      </w:pPr>
      <w:r>
        <w:rPr>
          <w:rFonts w:hint="cs"/>
          <w:rtl/>
        </w:rPr>
        <w:t>במורה נבוכים א' נ"ח כתב</w:t>
      </w:r>
      <w:r w:rsidR="004A5438">
        <w:rPr>
          <w:rFonts w:hint="cs"/>
          <w:rtl/>
        </w:rPr>
        <w:t xml:space="preserve"> שלבורא אין מהות אלא הוא מציאות בלבד</w:t>
      </w:r>
      <w:r>
        <w:rPr>
          <w:rFonts w:hint="cs"/>
          <w:rtl/>
        </w:rPr>
        <w:t>:</w:t>
      </w:r>
    </w:p>
    <w:p w14:paraId="78D75B20" w14:textId="77777777" w:rsidR="004A5438" w:rsidRDefault="00052C70" w:rsidP="002448D6">
      <w:pPr>
        <w:pStyle w:val="FootnoteText"/>
        <w:rPr>
          <w:rtl/>
        </w:rPr>
      </w:pPr>
      <w:r>
        <w:rPr>
          <w:rFonts w:hint="cs"/>
          <w:rtl/>
        </w:rPr>
        <w:t>"</w:t>
      </w:r>
      <w:r w:rsidRPr="00052C70">
        <w:rPr>
          <w:rtl/>
        </w:rPr>
        <w:t xml:space="preserve">אומר שהשם יתברך כבר בא המופת שהוא מחויב המציאה אין ההרכבה בו, כמו שנעשה עליו מופת, ולא נשיג אלא ישותו לבד לא מהותו, אם כן מן השקר שיהיה לו תאר חיוב, מפני שאין לו מהות חוץ לישותו ויורה התאר על אחת מהם, </w:t>
      </w:r>
      <w:r w:rsidR="004A5438">
        <w:rPr>
          <w:rFonts w:hint="cs"/>
          <w:rtl/>
        </w:rPr>
        <w:t>[...]</w:t>
      </w:r>
    </w:p>
    <w:p w14:paraId="5E5E52FF" w14:textId="7DDB1C93" w:rsidR="005B4CF5" w:rsidRDefault="00AF38BA" w:rsidP="007F0150">
      <w:pPr>
        <w:pStyle w:val="FootnoteText"/>
        <w:rPr>
          <w:rtl/>
        </w:rPr>
      </w:pPr>
      <w:r w:rsidRPr="00AF38BA">
        <w:rPr>
          <w:rtl/>
        </w:rPr>
        <w:t>ואיך יהיה ענין דעותינו כשישתדלו להשיג הנקי מהחמר הפשוט בתכלית הפשיטות המחוייב המציאות אשר אין עלה לו, ולא ישיגהו ענין מוסף על עצמו, השלם אשר ענין שלמותו שלילת החסרונות ממנו כמו שבארנו, שאנחנו לא נשיג זולתי ישותו לבד, שיש נמצא לא ידמה לו דבר מכל הנמצאות אשר המציאם ולא ישתתף להם בענין בשום פנים, ואין רבוי בו ולא לאות להמציא מה שזולתו, ושיחסו לעולם יחס רב החובל לספינה, ואין זה גם כן יחס אמתי ולא דמיון אמתי, אבל הוא להיישיר השכל שהוא יתעלה מנהיג הנמצאות, הענין שהוא יתמידם וישמור סדורם כמו שצריך</w:t>
      </w:r>
      <w:r w:rsidR="00052C70">
        <w:rPr>
          <w:rFonts w:hint="cs"/>
          <w:rtl/>
        </w:rPr>
        <w:t>"</w:t>
      </w:r>
      <w:r w:rsidR="00B70C35">
        <w:rPr>
          <w:rFonts w:hint="cs"/>
          <w:rtl/>
        </w:rPr>
        <w:t xml:space="preserve"> </w:t>
      </w:r>
    </w:p>
    <w:p w14:paraId="58390661" w14:textId="683F5E15" w:rsidR="0020547C" w:rsidRDefault="00F8646D" w:rsidP="002448D6">
      <w:pPr>
        <w:pStyle w:val="FootnoteText"/>
        <w:rPr>
          <w:rtl/>
        </w:rPr>
      </w:pPr>
      <w:r>
        <w:rPr>
          <w:rFonts w:hint="cs"/>
          <w:rtl/>
        </w:rPr>
        <w:t>(בסיום הפרק כתב:</w:t>
      </w:r>
    </w:p>
    <w:p w14:paraId="16F47B7B" w14:textId="7CBADE0B" w:rsidR="00F8646D" w:rsidRDefault="00F8646D" w:rsidP="002448D6">
      <w:pPr>
        <w:pStyle w:val="FootnoteText"/>
        <w:rPr>
          <w:rtl/>
        </w:rPr>
      </w:pPr>
      <w:r>
        <w:rPr>
          <w:rFonts w:hint="cs"/>
          <w:rtl/>
        </w:rPr>
        <w:t>"</w:t>
      </w:r>
      <w:r w:rsidRPr="00F8646D">
        <w:rPr>
          <w:rtl/>
        </w:rPr>
        <w:t>השבח למי אשר השׂכלים - בנסותם להתבונן בו - השׂגתם הופכת לקוצר השׂגה ובראותם כיצד מעשׂיו מתחייבים מרצונו, הופכת ידיעתם לאי-ידיעה</w:t>
      </w:r>
      <w:r>
        <w:rPr>
          <w:rFonts w:hint="cs"/>
          <w:rtl/>
        </w:rPr>
        <w:t>"</w:t>
      </w:r>
    </w:p>
    <w:p w14:paraId="4DF56A3A" w14:textId="31919CEC" w:rsidR="00D60A9F" w:rsidRDefault="00D60A9F" w:rsidP="002448D6">
      <w:pPr>
        <w:pStyle w:val="FootnoteText"/>
        <w:rPr>
          <w:rtl/>
        </w:rPr>
      </w:pPr>
      <w:r>
        <w:rPr>
          <w:rFonts w:hint="cs"/>
          <w:rtl/>
        </w:rPr>
        <w:t>הכוונה היא שיש כאן עניין של סוד מעשה מרכבה, כי דובר על היותו מופשט לחלוטין עד שאין לו שום מהות</w:t>
      </w:r>
      <w:r w:rsidR="001708C4">
        <w:rPr>
          <w:rFonts w:hint="cs"/>
          <w:rtl/>
        </w:rPr>
        <w:t xml:space="preserve"> והוא נבדל ונקי מהעולם </w:t>
      </w:r>
      <w:r w:rsidR="00640DD0">
        <w:rPr>
          <w:rFonts w:hint="cs"/>
          <w:rtl/>
        </w:rPr>
        <w:t>באופן מוחלט</w:t>
      </w:r>
      <w:r w:rsidR="001708C4">
        <w:rPr>
          <w:rFonts w:hint="cs"/>
          <w:rtl/>
        </w:rPr>
        <w:t>, וביחד עם זה הוא מנהיג ומשגיח</w:t>
      </w:r>
      <w:r w:rsidR="00640DD0">
        <w:rPr>
          <w:rFonts w:hint="cs"/>
          <w:rtl/>
        </w:rPr>
        <w:t xml:space="preserve"> ויש לו רצון במעשיו, וזו סתירה שאין לה יישוב והיא הסוד של מעשה מרכבה</w:t>
      </w:r>
      <w:r w:rsidR="00F37E9B">
        <w:rPr>
          <w:rFonts w:hint="cs"/>
          <w:rtl/>
        </w:rPr>
        <w:t>. שהרי אם יש לו רצון בראובן ובשמעון, באדם ובסוס, יש בו משהו מורכב ומשתנה, וזו סתירה לאחדותו</w:t>
      </w:r>
      <w:r w:rsidR="00640DD0">
        <w:rPr>
          <w:rFonts w:hint="cs"/>
          <w:rtl/>
        </w:rPr>
        <w:t>)</w:t>
      </w:r>
      <w:r>
        <w:rPr>
          <w:rFonts w:hint="cs"/>
          <w:rtl/>
        </w:rPr>
        <w:t xml:space="preserve"> </w:t>
      </w:r>
    </w:p>
    <w:p w14:paraId="420FEE8D" w14:textId="32AE8820" w:rsidR="00DF032B" w:rsidRDefault="00962DFD" w:rsidP="002448D6">
      <w:pPr>
        <w:pStyle w:val="FootnoteText"/>
        <w:rPr>
          <w:rtl/>
        </w:rPr>
      </w:pPr>
      <w:r>
        <w:rPr>
          <w:rFonts w:hint="cs"/>
          <w:rtl/>
        </w:rPr>
        <w:t xml:space="preserve">זה כמובן מחזק את הקושיא, כי לפי זה כל המהויות נבראות ואין </w:t>
      </w:r>
      <w:r w:rsidR="00D53A64">
        <w:rPr>
          <w:rFonts w:hint="cs"/>
          <w:rtl/>
        </w:rPr>
        <w:t>להן מציאות מצד עצמן</w:t>
      </w:r>
      <w:r w:rsidR="00E36329">
        <w:rPr>
          <w:rFonts w:hint="cs"/>
          <w:rtl/>
        </w:rPr>
        <w:t>, וגם המהויות מציאותן מקרית</w:t>
      </w:r>
      <w:r w:rsidR="00D1550F">
        <w:rPr>
          <w:rFonts w:hint="cs"/>
          <w:rtl/>
        </w:rPr>
        <w:t>, ולמה כתב ש</w:t>
      </w:r>
      <w:r w:rsidR="001818A5">
        <w:rPr>
          <w:rFonts w:hint="cs"/>
          <w:rtl/>
        </w:rPr>
        <w:t>"</w:t>
      </w:r>
      <w:r w:rsidR="00D1550F">
        <w:rPr>
          <w:rFonts w:hint="cs"/>
          <w:rtl/>
        </w:rPr>
        <w:t xml:space="preserve">המציאות היא </w:t>
      </w:r>
      <w:r w:rsidR="00413C15">
        <w:rPr>
          <w:rFonts w:hint="cs"/>
          <w:rtl/>
        </w:rPr>
        <w:t>עניין נוסף על מהות הנמצא</w:t>
      </w:r>
      <w:r w:rsidR="001818A5">
        <w:rPr>
          <w:rFonts w:hint="cs"/>
          <w:rtl/>
        </w:rPr>
        <w:t>"</w:t>
      </w:r>
      <w:r w:rsidR="00D53A64">
        <w:rPr>
          <w:rFonts w:hint="cs"/>
          <w:rtl/>
        </w:rPr>
        <w:t xml:space="preserve">. </w:t>
      </w:r>
      <w:r w:rsidR="00413C15">
        <w:rPr>
          <w:rFonts w:hint="cs"/>
          <w:rtl/>
        </w:rPr>
        <w:t>ש</w:t>
      </w:r>
      <w:r w:rsidR="001818A5">
        <w:rPr>
          <w:rFonts w:hint="cs"/>
          <w:rtl/>
        </w:rPr>
        <w:t xml:space="preserve">לכאורה </w:t>
      </w:r>
      <w:r w:rsidR="00413C15">
        <w:rPr>
          <w:rFonts w:hint="cs"/>
          <w:rtl/>
        </w:rPr>
        <w:t xml:space="preserve">היה לו לכתוב שבין המציאות ובין המהות שתיהן </w:t>
      </w:r>
      <w:r w:rsidR="001818A5">
        <w:rPr>
          <w:rFonts w:hint="cs"/>
          <w:rtl/>
        </w:rPr>
        <w:t xml:space="preserve">בשווה </w:t>
      </w:r>
      <w:r w:rsidR="00413C15">
        <w:rPr>
          <w:rFonts w:hint="cs"/>
          <w:rtl/>
        </w:rPr>
        <w:t xml:space="preserve">מציאותן מקרית להן כי היא לא מסיבת עצמן. </w:t>
      </w:r>
    </w:p>
    <w:p w14:paraId="4B761194" w14:textId="77777777" w:rsidR="00004EFA" w:rsidRDefault="00004EFA" w:rsidP="002448D6">
      <w:pPr>
        <w:pStyle w:val="FootnoteText"/>
        <w:rPr>
          <w:rtl/>
        </w:rPr>
      </w:pPr>
    </w:p>
    <w:p w14:paraId="283BE922" w14:textId="29BF73AF" w:rsidR="00651604" w:rsidRDefault="00004EFA" w:rsidP="00651604">
      <w:pPr>
        <w:pStyle w:val="FootnoteText"/>
        <w:rPr>
          <w:rtl/>
        </w:rPr>
      </w:pPr>
      <w:r>
        <w:rPr>
          <w:rFonts w:hint="cs"/>
          <w:rtl/>
        </w:rPr>
        <w:t xml:space="preserve">הביאור בזה הוא </w:t>
      </w:r>
      <w:r w:rsidR="00AD0E3D">
        <w:rPr>
          <w:rFonts w:hint="cs"/>
          <w:rtl/>
        </w:rPr>
        <w:t xml:space="preserve">שיש שני ענייני בריאה. </w:t>
      </w:r>
      <w:r w:rsidR="00651604">
        <w:rPr>
          <w:rFonts w:hint="cs"/>
          <w:rtl/>
        </w:rPr>
        <w:t xml:space="preserve">כמו שכתב </w:t>
      </w:r>
      <w:r w:rsidR="00651604">
        <w:rPr>
          <w:rtl/>
        </w:rPr>
        <w:t>במהר"ל נצח ישראל פרק ג':</w:t>
      </w:r>
    </w:p>
    <w:p w14:paraId="1D6B8A3B" w14:textId="3036933E" w:rsidR="00651604" w:rsidRDefault="00651604" w:rsidP="00651604">
      <w:pPr>
        <w:pStyle w:val="FootnoteText"/>
        <w:rPr>
          <w:rtl/>
        </w:rPr>
      </w:pPr>
      <w:r>
        <w:rPr>
          <w:rtl/>
        </w:rPr>
        <w:t>"והקושיא איך יבוא הריבוי מן האחד הפשוט, אנו אומרים כי מן השם יתברך אשר הוא אחד נשפע ממנו דבר אחד, והוא ראשית הבריאה. ואחר כך הושפע עוד על הראשית. וחילוק גדול יש, כי כאשר הראשית כבר נמצא, אז יושפע על זה עוד. שאילו הושפע מאיתו שני דברים כל אחד בפני עצמו, היה קשה איך יושפע מן האחד שני דברים מחולקים. אבל יושפע ממנו דבר אחד, והוא ראשית הבריאה, ואחר כך הושפע על הראשית. והרי חילוף וריבוי הנמצאים הם מצד המקבל. כי אף כי מן האחד לא יושפע רק אחד, מכל מקום כאשר נמצא האחד אשר הוא אחד, אז מצד המקבל אשר הוא נמצא עתה שייך תוספת, כאשר המקבל ראוי אל מה שיתוסף עליו, ולכך הכל הוא מצד המקבל.</w:t>
      </w:r>
    </w:p>
    <w:p w14:paraId="41A2BAD9" w14:textId="77777777" w:rsidR="00651604" w:rsidRDefault="00651604" w:rsidP="00651604">
      <w:pPr>
        <w:pStyle w:val="FootnoteText"/>
        <w:rPr>
          <w:rtl/>
        </w:rPr>
      </w:pPr>
    </w:p>
    <w:p w14:paraId="36AA4FEC" w14:textId="1AE6E044" w:rsidR="00DF032B" w:rsidRDefault="00651604" w:rsidP="00651604">
      <w:pPr>
        <w:pStyle w:val="FootnoteText"/>
        <w:rPr>
          <w:rtl/>
        </w:rPr>
      </w:pPr>
      <w:r>
        <w:rPr>
          <w:rtl/>
        </w:rPr>
        <w:t>וזה כי הנברא מצד שהוא עלול, הוא חסר, וצריך השלמה. כי האדם נברא וצריך אליו השלמה, היא האשה. ודבר זה אי אפשר שיהיה נברא השלמתו עמו, ולא יהיה חסר, אם כך היה העלול שלם בעצמו, ודבר זה אי אפשר. רק שנברא חסר, והושלם על ידי דבר שהוא עזר, כי הוא חסר בעצמו כמו שראוי אל העלול. ודבר זה רמזו חכמי אמת במדרש באמרם על בריאת האשה "לא טוב היות האדם לבדו" (בראשית ב יח), ופירשו ז"ל שאם נברא אדם בלא עזר היו אומרים כי הוא אלוה. והדברים כמו שאמרנו, כי העלול במה שהוא עלול יש בו חסרון, ודבר זה נתבאר בכמה מקומות, ואם לא היה האדם צריך לעזר, אם כך לא היה עליו דין עלול. ולפיכך כאשר נברא ראשונה דבר אחד, יש כאן תוספת עליו מה שהוא השלמתו, כי לא נברא דבר שלא יהיה צריך אליו השלמה, ודבר זה הוא הריבוי, אשר הוא מצד המקבל."</w:t>
      </w:r>
    </w:p>
    <w:p w14:paraId="2EC5E839" w14:textId="2A9A0874" w:rsidR="00C8571A" w:rsidRDefault="00DC5929" w:rsidP="00651604">
      <w:pPr>
        <w:pStyle w:val="FootnoteText"/>
        <w:rPr>
          <w:rtl/>
        </w:rPr>
      </w:pPr>
      <w:r>
        <w:rPr>
          <w:rFonts w:hint="cs"/>
          <w:rtl/>
        </w:rPr>
        <w:t>יש בריאת יש מאין, שהיא בריאת החומר הראשון</w:t>
      </w:r>
      <w:r w:rsidR="004E70AE">
        <w:rPr>
          <w:rFonts w:hint="cs"/>
          <w:rtl/>
        </w:rPr>
        <w:t xml:space="preserve"> (הוא הגלגל הקיצון)</w:t>
      </w:r>
      <w:r>
        <w:rPr>
          <w:rFonts w:hint="cs"/>
          <w:rtl/>
        </w:rPr>
        <w:t xml:space="preserve">, ושם האחד ברא אחד. </w:t>
      </w:r>
      <w:r w:rsidR="0092790E">
        <w:rPr>
          <w:rFonts w:hint="cs"/>
          <w:rtl/>
        </w:rPr>
        <w:t xml:space="preserve">וכמו שביאר הרמב"ן על בראשית א' א', שהבריאה הייתה של הכל כאחד, ורק על זה נאמר בריאה, וזה ההיולי שהוא החומר הראשון. </w:t>
      </w:r>
      <w:r w:rsidR="007F59DD">
        <w:rPr>
          <w:rFonts w:hint="cs"/>
          <w:rtl/>
        </w:rPr>
        <w:t>ואחר כך מה שהיה בכח בהיולי יצא אל הפועל בזה אחר זה, ועל היציאה אל הפועל זה נופלת הלשון יצירה ועשייה ולא לשון בריאה.</w:t>
      </w:r>
    </w:p>
    <w:p w14:paraId="39607B6A" w14:textId="1500EABB" w:rsidR="00BA30E4" w:rsidRDefault="00C8571A" w:rsidP="00651604">
      <w:pPr>
        <w:pStyle w:val="FootnoteText"/>
        <w:rPr>
          <w:rtl/>
        </w:rPr>
      </w:pPr>
      <w:r>
        <w:rPr>
          <w:rFonts w:hint="cs"/>
          <w:rtl/>
        </w:rPr>
        <w:t>ובאמת לשון בריאה היא העדר, כמו ל</w:t>
      </w:r>
      <w:r w:rsidR="005871FE" w:rsidRPr="005871FE">
        <w:rPr>
          <w:rtl/>
        </w:rPr>
        <w:t>בָרֵא</w:t>
      </w:r>
      <w:r>
        <w:rPr>
          <w:rFonts w:hint="cs"/>
          <w:rtl/>
        </w:rPr>
        <w:t xml:space="preserve"> יער כלומר לכרות אותו, ולעשות בו קרחות יער. </w:t>
      </w:r>
      <w:r w:rsidR="005871FE">
        <w:rPr>
          <w:rFonts w:hint="cs"/>
          <w:rtl/>
        </w:rPr>
        <w:t xml:space="preserve">וכמו שכתב המורה נבוכים ג' </w:t>
      </w:r>
      <w:r w:rsidR="003D77E2">
        <w:rPr>
          <w:rFonts w:hint="cs"/>
          <w:rtl/>
        </w:rPr>
        <w:t xml:space="preserve">י'. </w:t>
      </w:r>
      <w:r w:rsidR="00BB714A">
        <w:rPr>
          <w:rFonts w:hint="cs"/>
          <w:rtl/>
        </w:rPr>
        <w:t>כי החומר הראשון הוא העדר, וכמו שכתב האר"י ב</w:t>
      </w:r>
      <w:r w:rsidR="006B21FE">
        <w:rPr>
          <w:rFonts w:hint="cs"/>
          <w:rtl/>
        </w:rPr>
        <w:t xml:space="preserve">ספר </w:t>
      </w:r>
      <w:r w:rsidR="00BB714A">
        <w:rPr>
          <w:rFonts w:hint="cs"/>
          <w:rtl/>
        </w:rPr>
        <w:t xml:space="preserve">עץ חיים </w:t>
      </w:r>
      <w:r w:rsidR="006B21FE">
        <w:rPr>
          <w:rFonts w:hint="cs"/>
          <w:rtl/>
        </w:rPr>
        <w:t xml:space="preserve">שער א' ענף ב', </w:t>
      </w:r>
      <w:r w:rsidR="00BB714A">
        <w:rPr>
          <w:rFonts w:hint="cs"/>
          <w:rtl/>
        </w:rPr>
        <w:t>שנעשה באמצע האין סוף חלל ריק פנוי</w:t>
      </w:r>
      <w:r w:rsidR="006B21FE">
        <w:rPr>
          <w:rFonts w:hint="cs"/>
          <w:rtl/>
        </w:rPr>
        <w:t>, וזה כמו לכרות קרחת יער</w:t>
      </w:r>
      <w:r w:rsidR="00BB714A">
        <w:rPr>
          <w:rFonts w:hint="cs"/>
          <w:rtl/>
        </w:rPr>
        <w:t xml:space="preserve">. </w:t>
      </w:r>
      <w:r w:rsidR="007F59DD">
        <w:rPr>
          <w:rFonts w:hint="cs"/>
          <w:rtl/>
        </w:rPr>
        <w:t xml:space="preserve"> </w:t>
      </w:r>
    </w:p>
    <w:p w14:paraId="0D19E09B" w14:textId="77777777" w:rsidR="00F03EF3" w:rsidRDefault="005B7744" w:rsidP="002448D6">
      <w:pPr>
        <w:pStyle w:val="FootnoteText"/>
        <w:rPr>
          <w:rtl/>
        </w:rPr>
      </w:pPr>
      <w:r>
        <w:rPr>
          <w:rFonts w:hint="cs"/>
          <w:rtl/>
        </w:rPr>
        <w:t xml:space="preserve">על הבריאה (המונח הערבי הוא איבדע), </w:t>
      </w:r>
      <w:r w:rsidR="00824E20">
        <w:rPr>
          <w:rFonts w:hint="cs"/>
          <w:rtl/>
        </w:rPr>
        <w:t xml:space="preserve">אין לנו שום שאלה. החכמה, השכל, חוק הסתירה, מה שיש מציאות של הגדרות, של חוקיות שכלית, גזירת החכמה שהיא מחייבת את מה ששכלי, כל זה </w:t>
      </w:r>
      <w:r w:rsidR="005D315C">
        <w:rPr>
          <w:rFonts w:hint="cs"/>
          <w:rtl/>
        </w:rPr>
        <w:t>הוא בחומר הראשון, שהוא ספירת החכמה, ומשם ומטה</w:t>
      </w:r>
      <w:r w:rsidR="004E782D">
        <w:rPr>
          <w:rFonts w:hint="cs"/>
          <w:rtl/>
        </w:rPr>
        <w:t xml:space="preserve"> ביצירה ובעשייה</w:t>
      </w:r>
      <w:r w:rsidR="005D315C">
        <w:rPr>
          <w:rFonts w:hint="cs"/>
          <w:rtl/>
        </w:rPr>
        <w:t xml:space="preserve">. </w:t>
      </w:r>
      <w:r w:rsidR="00B20126">
        <w:rPr>
          <w:rFonts w:hint="cs"/>
          <w:rtl/>
        </w:rPr>
        <w:t>שם יש גבול, מה שמעל זה הוא האין סוף, שספירת הכתר מורה לכיוונו, ואין בו שום גבול ולכן גם שום חכמה. החכמה מחייבת שכל מה ש</w:t>
      </w:r>
      <w:r w:rsidR="00304C44">
        <w:rPr>
          <w:rFonts w:hint="cs"/>
          <w:rtl/>
        </w:rPr>
        <w:t xml:space="preserve">יוצא אל הפועל להיות נמצא, בהכרח קדמה לו אפשרות שייצא אל הפועל, והאפשרות היא ה'בכח'. המורה נבוכים ב' </w:t>
      </w:r>
      <w:r w:rsidR="00327E65">
        <w:rPr>
          <w:rFonts w:hint="cs"/>
          <w:rtl/>
        </w:rPr>
        <w:t xml:space="preserve">פרקים </w:t>
      </w:r>
      <w:r w:rsidR="00304C44">
        <w:rPr>
          <w:rFonts w:hint="cs"/>
          <w:rtl/>
        </w:rPr>
        <w:t>י"ז</w:t>
      </w:r>
      <w:r w:rsidR="00327E65">
        <w:rPr>
          <w:rFonts w:hint="cs"/>
          <w:rtl/>
        </w:rPr>
        <w:t>-</w:t>
      </w:r>
      <w:r w:rsidR="00304C44">
        <w:rPr>
          <w:rFonts w:hint="cs"/>
          <w:rtl/>
        </w:rPr>
        <w:t xml:space="preserve">י"ח </w:t>
      </w:r>
      <w:r w:rsidR="00327E65">
        <w:rPr>
          <w:rFonts w:hint="cs"/>
          <w:rtl/>
        </w:rPr>
        <w:t>ששיקולים מעין אלה מחוייבים מצד גזירת החכמה, אבל איננו יכולים להפעיל אותם על הבריאה הראשונה, כי היא מ</w:t>
      </w:r>
      <w:r w:rsidR="009C3C56">
        <w:rPr>
          <w:rFonts w:hint="cs"/>
          <w:rtl/>
        </w:rPr>
        <w:t xml:space="preserve">על </w:t>
      </w:r>
      <w:r w:rsidR="00327E65">
        <w:rPr>
          <w:rFonts w:hint="cs"/>
          <w:rtl/>
        </w:rPr>
        <w:t xml:space="preserve">גדרי </w:t>
      </w:r>
      <w:r w:rsidR="00CA6193">
        <w:rPr>
          <w:rFonts w:hint="cs"/>
          <w:rtl/>
        </w:rPr>
        <w:t xml:space="preserve">גזירת </w:t>
      </w:r>
      <w:r w:rsidR="00327E65">
        <w:rPr>
          <w:rFonts w:hint="cs"/>
          <w:rtl/>
        </w:rPr>
        <w:t>החכמה</w:t>
      </w:r>
      <w:r w:rsidR="009C3C56">
        <w:rPr>
          <w:rFonts w:hint="cs"/>
          <w:rtl/>
        </w:rPr>
        <w:t xml:space="preserve">, וכל גזירת החכמה לא תקפה בהם, כלומר אין לנו שום דרך לומר על זה מאומה. </w:t>
      </w:r>
      <w:r w:rsidR="002E189D">
        <w:rPr>
          <w:rFonts w:hint="cs"/>
          <w:rtl/>
        </w:rPr>
        <w:t>זה רצון ראשון חופשי לחלוטין שהוא העצם והשייכות שלנו אליו היא מכח שיש בנו גם כן רצון ראשון כזה, והרצון משיג רצון כמו שהשכל משיג מושכלות והרגש משיג רגשות והבשר משיג דברים בשריים. עשה רצונו כרצונך</w:t>
      </w:r>
      <w:r w:rsidR="006B63F0">
        <w:rPr>
          <w:rFonts w:hint="cs"/>
          <w:rtl/>
        </w:rPr>
        <w:t xml:space="preserve">, מכח זה אנו משיגים שיש בבריאה חידה </w:t>
      </w:r>
      <w:r w:rsidR="001E5819">
        <w:rPr>
          <w:rFonts w:hint="cs"/>
          <w:rtl/>
        </w:rPr>
        <w:t xml:space="preserve">וסוד, </w:t>
      </w:r>
      <w:r w:rsidR="006B63F0">
        <w:rPr>
          <w:rFonts w:hint="cs"/>
          <w:rtl/>
        </w:rPr>
        <w:t xml:space="preserve">שהדברים הם לא רק כמו שהם נראים, בלי שעדיין יש לנו שום השגה </w:t>
      </w:r>
      <w:r w:rsidR="001E5819">
        <w:rPr>
          <w:rFonts w:hint="cs"/>
          <w:rtl/>
        </w:rPr>
        <w:t xml:space="preserve">שכלית </w:t>
      </w:r>
      <w:r w:rsidR="006B63F0">
        <w:rPr>
          <w:rFonts w:hint="cs"/>
          <w:rtl/>
        </w:rPr>
        <w:t>על הסוד הזה</w:t>
      </w:r>
      <w:r w:rsidR="00327E65">
        <w:rPr>
          <w:rFonts w:hint="cs"/>
          <w:rtl/>
        </w:rPr>
        <w:t xml:space="preserve">. </w:t>
      </w:r>
      <w:r w:rsidR="001E5819">
        <w:rPr>
          <w:rFonts w:hint="cs"/>
          <w:rtl/>
        </w:rPr>
        <w:t xml:space="preserve">ההשגה הראשונית שהבריאה והמציאות היא חידה, כתב החזון איש בתחילת אמונה ובטחון שהיא נובעת מעדינות הנפש ולא  מפעילות של עיון שכלי. </w:t>
      </w:r>
      <w:r w:rsidR="00DF4792">
        <w:rPr>
          <w:rFonts w:hint="cs"/>
          <w:rtl/>
        </w:rPr>
        <w:t xml:space="preserve">זו השגת הרצון הראשון. </w:t>
      </w:r>
    </w:p>
    <w:p w14:paraId="09DB0855" w14:textId="77777777" w:rsidR="00194397" w:rsidRDefault="00DA33B0" w:rsidP="002448D6">
      <w:pPr>
        <w:pStyle w:val="FootnoteText"/>
        <w:rPr>
          <w:rtl/>
        </w:rPr>
      </w:pPr>
      <w:r>
        <w:rPr>
          <w:rFonts w:hint="cs"/>
          <w:rtl/>
        </w:rPr>
        <w:t>החומר הראשון הוא מושג הגבול כשלעצמו, לפני שיש משהו שנגבל בגבול הזה. כמו שביחס לנייר יש ע</w:t>
      </w:r>
      <w:r w:rsidR="00BA013A">
        <w:rPr>
          <w:rFonts w:hint="cs"/>
          <w:rtl/>
        </w:rPr>
        <w:t>י</w:t>
      </w:r>
      <w:r>
        <w:rPr>
          <w:rFonts w:hint="cs"/>
          <w:rtl/>
        </w:rPr>
        <w:t>פרון שהוא ה'בכח' של כל הציורים, וה'בכח' קיים עוד לפני שיש ציור כלשהו שהע</w:t>
      </w:r>
      <w:r w:rsidR="00BA013A">
        <w:rPr>
          <w:rFonts w:hint="cs"/>
          <w:rtl/>
        </w:rPr>
        <w:t>י</w:t>
      </w:r>
      <w:r>
        <w:rPr>
          <w:rFonts w:hint="cs"/>
          <w:rtl/>
        </w:rPr>
        <w:t>פרון צייר. מושג הגבול הוא כמו הע</w:t>
      </w:r>
      <w:r w:rsidR="00BA013A">
        <w:rPr>
          <w:rFonts w:hint="cs"/>
          <w:rtl/>
        </w:rPr>
        <w:t>י</w:t>
      </w:r>
      <w:r>
        <w:rPr>
          <w:rFonts w:hint="cs"/>
          <w:rtl/>
        </w:rPr>
        <w:t>פרון שמכוחו מצטיירות הצורות שמהות</w:t>
      </w:r>
      <w:r w:rsidR="00BA013A">
        <w:rPr>
          <w:rFonts w:hint="cs"/>
          <w:rtl/>
        </w:rPr>
        <w:t>ן</w:t>
      </w:r>
      <w:r>
        <w:rPr>
          <w:rFonts w:hint="cs"/>
          <w:rtl/>
        </w:rPr>
        <w:t xml:space="preserve"> היא</w:t>
      </w:r>
      <w:r w:rsidR="00BA013A">
        <w:rPr>
          <w:rFonts w:hint="cs"/>
          <w:rtl/>
        </w:rPr>
        <w:t xml:space="preserve"> היא עצם </w:t>
      </w:r>
      <w:r>
        <w:rPr>
          <w:rFonts w:hint="cs"/>
          <w:rtl/>
        </w:rPr>
        <w:t xml:space="preserve"> הגבול</w:t>
      </w:r>
      <w:r w:rsidR="00BA013A">
        <w:rPr>
          <w:rFonts w:hint="cs"/>
          <w:rtl/>
        </w:rPr>
        <w:t xml:space="preserve"> (ההגדרה), כי הוא ה</w:t>
      </w:r>
      <w:r>
        <w:rPr>
          <w:rFonts w:hint="cs"/>
          <w:rtl/>
        </w:rPr>
        <w:t xml:space="preserve">מבחין בינן </w:t>
      </w:r>
      <w:r w:rsidR="00BA013A">
        <w:rPr>
          <w:rFonts w:hint="cs"/>
          <w:rtl/>
        </w:rPr>
        <w:t xml:space="preserve">ובין </w:t>
      </w:r>
      <w:r>
        <w:rPr>
          <w:rFonts w:hint="cs"/>
          <w:rtl/>
        </w:rPr>
        <w:t xml:space="preserve">צורות אחרות, </w:t>
      </w:r>
      <w:r w:rsidR="00D075B4">
        <w:rPr>
          <w:rFonts w:hint="cs"/>
          <w:rtl/>
        </w:rPr>
        <w:t xml:space="preserve">הבחנה זו היא </w:t>
      </w:r>
      <w:r>
        <w:rPr>
          <w:rFonts w:hint="cs"/>
          <w:rtl/>
        </w:rPr>
        <w:t>ה</w:t>
      </w:r>
      <w:r w:rsidR="00D075B4">
        <w:rPr>
          <w:rFonts w:hint="cs"/>
          <w:rtl/>
        </w:rPr>
        <w:t>'</w:t>
      </w:r>
      <w:r>
        <w:rPr>
          <w:rFonts w:hint="cs"/>
          <w:rtl/>
        </w:rPr>
        <w:t>מהות</w:t>
      </w:r>
      <w:r w:rsidR="00D075B4">
        <w:rPr>
          <w:rFonts w:hint="cs"/>
          <w:rtl/>
        </w:rPr>
        <w:t>'</w:t>
      </w:r>
      <w:r>
        <w:rPr>
          <w:rFonts w:hint="cs"/>
          <w:rtl/>
        </w:rPr>
        <w:t xml:space="preserve">. </w:t>
      </w:r>
      <w:r w:rsidR="00D075B4">
        <w:rPr>
          <w:rFonts w:hint="cs"/>
          <w:rtl/>
        </w:rPr>
        <w:t xml:space="preserve">התשובה לשאלה מהו הדבר, כלומר מהותו של הדבר, היא מה מבדיל אותו מדברים אחרים מסוגו. </w:t>
      </w:r>
    </w:p>
    <w:p w14:paraId="4D488439" w14:textId="77777777" w:rsidR="00C40D98" w:rsidRDefault="00194397" w:rsidP="002448D6">
      <w:pPr>
        <w:pStyle w:val="FootnoteText"/>
        <w:rPr>
          <w:rtl/>
        </w:rPr>
      </w:pPr>
      <w:r>
        <w:rPr>
          <w:rFonts w:hint="cs"/>
          <w:rtl/>
        </w:rPr>
        <w:t xml:space="preserve">החומר הראשון הוא כמו גוש שיש, שכל הפסלים נמצאים בו בכח. </w:t>
      </w:r>
      <w:r w:rsidR="00F76F81">
        <w:rPr>
          <w:rFonts w:hint="cs"/>
          <w:rtl/>
        </w:rPr>
        <w:t>אין לנו תפישה בחומר הראשון עצמו שהוא מופשט מכל צורה והגדרה, אבל מייד הוא מתבטא בצורה הראשונית שהיא צורת התלת ממדיות</w:t>
      </w:r>
      <w:r w:rsidR="00F76F81">
        <w:rPr>
          <w:rtl/>
        </w:rPr>
        <w:fldChar w:fldCharType="begin"/>
      </w:r>
      <w:r w:rsidR="00F76F81">
        <w:instrText xml:space="preserve"> XE "</w:instrText>
      </w:r>
      <w:r w:rsidR="00F76F81" w:rsidRPr="00AD4E87">
        <w:rPr>
          <w:rFonts w:hint="cs"/>
          <w:rtl/>
        </w:rPr>
        <w:instrText>צורת התלת ממדיות</w:instrText>
      </w:r>
      <w:r w:rsidR="00F76F81">
        <w:instrText xml:space="preserve">" </w:instrText>
      </w:r>
      <w:r w:rsidR="00F76F81">
        <w:rPr>
          <w:rtl/>
        </w:rPr>
        <w:fldChar w:fldCharType="end"/>
      </w:r>
      <w:r w:rsidR="00F76F81">
        <w:rPr>
          <w:rFonts w:hint="cs"/>
          <w:rtl/>
        </w:rPr>
        <w:t xml:space="preserve">, עוד לפני שיש גוף תלת ממדי כלשהו. חלל תלת ממדי ריק. </w:t>
      </w:r>
      <w:r w:rsidR="008B7F47">
        <w:rPr>
          <w:rFonts w:hint="cs"/>
          <w:rtl/>
        </w:rPr>
        <w:t xml:space="preserve">החלל הזה מאפשר שיהיו גופים תלת ממדיים, הוא כמו גוש השיש שכל העצמים נמצאים בו בכח. </w:t>
      </w:r>
      <w:r w:rsidR="004E7426">
        <w:rPr>
          <w:rFonts w:hint="cs"/>
          <w:rtl/>
        </w:rPr>
        <w:t xml:space="preserve">כלומר החלל הוא המציאות של גבול מידותיו של עצם, עוד לפני שיש עצמים כלשהם. </w:t>
      </w:r>
      <w:r w:rsidR="0081319E">
        <w:rPr>
          <w:rFonts w:hint="cs"/>
          <w:rtl/>
        </w:rPr>
        <w:t xml:space="preserve">ומזה נעשית האפשרות שייווצרו אחר כך עצמים בעלי גבולות, בעלי מהות. </w:t>
      </w:r>
    </w:p>
    <w:p w14:paraId="7054897A" w14:textId="15D4831A" w:rsidR="00C30CD6" w:rsidRDefault="00C40D98" w:rsidP="002448D6">
      <w:pPr>
        <w:pStyle w:val="FootnoteText"/>
        <w:rPr>
          <w:rtl/>
        </w:rPr>
      </w:pPr>
      <w:r>
        <w:rPr>
          <w:rFonts w:hint="cs"/>
          <w:rtl/>
        </w:rPr>
        <w:t>המשל בזה הוא גם כמו השיר של רחל "עקרה", שהגעגוע לילד איפשר את ציור הילד שבשיר. בלי שהיה</w:t>
      </w:r>
      <w:r w:rsidR="00021732">
        <w:rPr>
          <w:rFonts w:hint="cs"/>
          <w:rtl/>
        </w:rPr>
        <w:t xml:space="preserve"> </w:t>
      </w:r>
      <w:r>
        <w:rPr>
          <w:rFonts w:hint="cs"/>
          <w:rtl/>
        </w:rPr>
        <w:t>שום מושג על ילד לא היה געגוע לילד ו</w:t>
      </w:r>
      <w:r w:rsidR="003A0CA7">
        <w:rPr>
          <w:rFonts w:hint="cs"/>
          <w:rtl/>
        </w:rPr>
        <w:t>השיר לא היה יכול להיכתב, והרי ההעדר הוא ה'בכח' של הצורות שהן המהות</w:t>
      </w:r>
      <w:r w:rsidR="00C30CD6">
        <w:rPr>
          <w:rFonts w:hint="cs"/>
          <w:rtl/>
        </w:rPr>
        <w:t>,</w:t>
      </w:r>
      <w:r w:rsidR="003A0CA7">
        <w:rPr>
          <w:rFonts w:hint="cs"/>
          <w:rtl/>
        </w:rPr>
        <w:t xml:space="preserve"> והן המציאות שאנו יכולים לתפוש בשכלנו.</w:t>
      </w:r>
    </w:p>
    <w:p w14:paraId="2D0A1D69" w14:textId="07FC9E62" w:rsidR="00A0574E" w:rsidRDefault="00C30CD6" w:rsidP="002448D6">
      <w:pPr>
        <w:pStyle w:val="FootnoteText"/>
        <w:rPr>
          <w:rtl/>
        </w:rPr>
      </w:pPr>
      <w:r>
        <w:rPr>
          <w:rFonts w:hint="cs"/>
          <w:rtl/>
        </w:rPr>
        <w:t xml:space="preserve">הדיון מתחיל רק אחרי שכבר קיים החומר הראשון, כי על מקור מציאותו של החומר הראשון, הבריאה הלא זמנית יש מאין, אין לנו דיון כלל. כל האפשרויות שגנוזות בחומר הראשון להיווצר ממנו מהויות וצורות (על ידי הגבול, שהגבול כשלעצמו כמושג מופשט, בלי שיש משהו שנגבל בגבול הזה, זהו החומר הראשון), </w:t>
      </w:r>
      <w:r w:rsidR="000E51EF">
        <w:rPr>
          <w:rFonts w:hint="cs"/>
          <w:rtl/>
        </w:rPr>
        <w:t>הן המהות כמושג כללי, לפני שמתפרט למהות של אדם או סוס או שכל נפרד, אלא עצם חידוש מושג המהות כמושג מופשט כללי וטהור, מהות כמהות</w:t>
      </w:r>
      <w:r w:rsidR="00116C60">
        <w:rPr>
          <w:rFonts w:hint="cs"/>
          <w:rtl/>
        </w:rPr>
        <w:t xml:space="preserve"> </w:t>
      </w:r>
      <w:r w:rsidR="000E51EF">
        <w:rPr>
          <w:rFonts w:hint="cs"/>
          <w:rtl/>
        </w:rPr>
        <w:t>(כי לפני החומר הראשון יש רק מציאות בלי מהות כמו שכתב המורה נבוכים א' נ"ח)</w:t>
      </w:r>
      <w:r w:rsidR="00116C60">
        <w:rPr>
          <w:rFonts w:hint="cs"/>
          <w:rtl/>
        </w:rPr>
        <w:t xml:space="preserve">. אל המהות הזו אנו מתייחסים כנתון בדיון שלנו שהוא מהחומר הראשון ומטה, </w:t>
      </w:r>
      <w:r w:rsidR="008740C9">
        <w:rPr>
          <w:rFonts w:hint="cs"/>
          <w:rtl/>
        </w:rPr>
        <w:t xml:space="preserve">ושואלים האם המהות כמושג כללי מופשט תתפרט למהות מסויימת של נברא </w:t>
      </w:r>
      <w:r w:rsidR="009C463A">
        <w:rPr>
          <w:rFonts w:hint="cs"/>
          <w:rtl/>
        </w:rPr>
        <w:t>מסוים</w:t>
      </w:r>
      <w:r w:rsidR="005912F2">
        <w:rPr>
          <w:rFonts w:hint="cs"/>
          <w:rtl/>
        </w:rPr>
        <w:t>, שאז היא יוצאת אל הפועל להיות קיימת במובן של טבע,</w:t>
      </w:r>
      <w:r w:rsidR="008740C9">
        <w:rPr>
          <w:rFonts w:hint="cs"/>
          <w:rtl/>
        </w:rPr>
        <w:t xml:space="preserve"> </w:t>
      </w:r>
      <w:r w:rsidR="00EF6CD2">
        <w:rPr>
          <w:rFonts w:hint="cs"/>
          <w:rtl/>
        </w:rPr>
        <w:t xml:space="preserve">של עצם טבעי, </w:t>
      </w:r>
      <w:r w:rsidR="008740C9">
        <w:rPr>
          <w:rFonts w:hint="cs"/>
          <w:rtl/>
        </w:rPr>
        <w:t>גם אם הוא מופשט כמו שכל נפרד או צורה מופשטת של אדם או סוס</w:t>
      </w:r>
      <w:r w:rsidR="00EF6CD2">
        <w:rPr>
          <w:rFonts w:hint="cs"/>
          <w:rtl/>
        </w:rPr>
        <w:t>;</w:t>
      </w:r>
      <w:r w:rsidR="008740C9">
        <w:rPr>
          <w:rFonts w:hint="cs"/>
          <w:rtl/>
        </w:rPr>
        <w:t xml:space="preserve"> </w:t>
      </w:r>
      <w:r w:rsidR="00EF6CD2">
        <w:rPr>
          <w:rFonts w:hint="cs"/>
          <w:rtl/>
        </w:rPr>
        <w:t xml:space="preserve">ועל זה אנו משיבים שההתפרטות של המהות הכללית המופשטת להיות מהות מסויימת שיש לה הגדרה, זהו 'מקרה' למהות המוגדרת, כי היה אפשר שהיא לא תתפרט למהות מסויימת, למציאות בטבע, בעולם, ותישאר חומר ראשון, מהות כללית לא מסויימת. </w:t>
      </w:r>
    </w:p>
    <w:p w14:paraId="2640E6EF" w14:textId="1A07C5E4" w:rsidR="00A0574E" w:rsidRDefault="00A0574E" w:rsidP="002448D6">
      <w:pPr>
        <w:pStyle w:val="FootnoteText"/>
        <w:rPr>
          <w:rtl/>
        </w:rPr>
      </w:pPr>
      <w:r>
        <w:rPr>
          <w:rFonts w:hint="cs"/>
          <w:rtl/>
        </w:rPr>
        <w:t xml:space="preserve">מעתה זה יהיה מובן לשון המורה נבוכים א' נ"ז, שה"מהות" שדיבר עליה הכוונה לחומר הראשון שהוא מושג המהות כשלעצמו בלי שיש מהות מסויימת מוגדרת בהגדרה כלשהי, </w:t>
      </w:r>
      <w:r w:rsidR="004231D1">
        <w:rPr>
          <w:rFonts w:hint="cs"/>
          <w:rtl/>
        </w:rPr>
        <w:t xml:space="preserve">המהות הזו אפשר שיקרה לה מקרה שהיא תצא אל הפועל ותקבל הגדרה מסוימת, של ראובן או של צורת אדם מופשטת או של עצם מופשט כמו שכל נפרד, וזה נקרא שקרתה לה המציאות, או שהמהות תישאר בחומר הראשון בלי שום הגדרה וצורה ואז </w:t>
      </w:r>
      <w:r w:rsidR="00B25CB5">
        <w:rPr>
          <w:rFonts w:hint="cs"/>
          <w:rtl/>
        </w:rPr>
        <w:t xml:space="preserve">אנו אומרים שלא קרה לה המקרה של מציאות. </w:t>
      </w:r>
    </w:p>
    <w:p w14:paraId="19446200" w14:textId="206883BE" w:rsidR="00B25CB5" w:rsidRDefault="00B25CB5" w:rsidP="002448D6">
      <w:pPr>
        <w:pStyle w:val="FootnoteText"/>
        <w:rPr>
          <w:rtl/>
        </w:rPr>
      </w:pPr>
      <w:r>
        <w:rPr>
          <w:rFonts w:hint="cs"/>
          <w:rtl/>
        </w:rPr>
        <w:t xml:space="preserve">על המציאות של המהות הכללית הלא מוגדרת שהיא החומר הראשון, איננו שואלים אם היא מקרה או לא, או אם היא אפשרית או הכרחית, כי החומר הראשון הוא מעל השכל ולא תיתכן שום שאלה שכלית עליו. </w:t>
      </w:r>
      <w:r w:rsidR="003158CA">
        <w:rPr>
          <w:rFonts w:hint="cs"/>
          <w:rtl/>
        </w:rPr>
        <w:t xml:space="preserve">הוא האחד שנברא על </w:t>
      </w:r>
      <w:r w:rsidR="00C5404E">
        <w:rPr>
          <w:rFonts w:hint="cs"/>
          <w:rtl/>
        </w:rPr>
        <w:t>י</w:t>
      </w:r>
      <w:r w:rsidR="003158CA">
        <w:rPr>
          <w:rFonts w:hint="cs"/>
          <w:rtl/>
        </w:rPr>
        <w:t>די האחד</w:t>
      </w:r>
      <w:r w:rsidR="00C5404E">
        <w:rPr>
          <w:rFonts w:hint="cs"/>
          <w:rtl/>
        </w:rPr>
        <w:t xml:space="preserve"> (והוא כולל את כל המציאות כיוון שהוא ה'בכח' של כל המציאות, כמו שמציאות של עיפרון כוללת את כל הציורים האפשריים שהוא יכול לצייר)</w:t>
      </w:r>
      <w:r w:rsidR="003158CA">
        <w:rPr>
          <w:rFonts w:hint="cs"/>
          <w:rtl/>
        </w:rPr>
        <w:t>, וכמו שעל הבורא האחד אין לנו דיון כך גם על הנברא האחד שנברא ממנו והוא מופשט כמוהו (רק החילוק היחיד שהחומר הראשון סיבת מצ</w:t>
      </w:r>
      <w:r w:rsidR="001A6CFD">
        <w:rPr>
          <w:rFonts w:hint="cs"/>
          <w:rtl/>
        </w:rPr>
        <w:t>י</w:t>
      </w:r>
      <w:r w:rsidR="003158CA">
        <w:rPr>
          <w:rFonts w:hint="cs"/>
          <w:rtl/>
        </w:rPr>
        <w:t>אותו היא בוראו</w:t>
      </w:r>
      <w:r w:rsidR="001A6CFD">
        <w:rPr>
          <w:rFonts w:hint="cs"/>
          <w:rtl/>
        </w:rPr>
        <w:t>, והבורא נמצא בלי סיבה, כי הוא המציאות כלשעצמה).</w:t>
      </w:r>
      <w:r>
        <w:rPr>
          <w:rFonts w:hint="cs"/>
          <w:rtl/>
        </w:rPr>
        <w:t xml:space="preserve"> </w:t>
      </w:r>
    </w:p>
    <w:p w14:paraId="44F0969F" w14:textId="77777777" w:rsidR="00A471DB" w:rsidRDefault="00A471DB" w:rsidP="002448D6">
      <w:pPr>
        <w:pStyle w:val="FootnoteText"/>
        <w:rPr>
          <w:rtl/>
        </w:rPr>
      </w:pPr>
    </w:p>
    <w:p w14:paraId="699334F2" w14:textId="17E36D25" w:rsidR="006B4941" w:rsidRDefault="00A471DB" w:rsidP="002448D6">
      <w:pPr>
        <w:pStyle w:val="FootnoteText"/>
        <w:rPr>
          <w:rtl/>
        </w:rPr>
      </w:pPr>
      <w:r>
        <w:rPr>
          <w:rFonts w:hint="cs"/>
          <w:rtl/>
        </w:rPr>
        <w:t xml:space="preserve">כאן אצלנו אבן סינא לא נכנס להבחנה הזו, </w:t>
      </w:r>
      <w:r w:rsidR="003345A2" w:rsidRPr="003345A2">
        <w:rPr>
          <w:rtl/>
        </w:rPr>
        <w:t>שלשונו מורה שהמהויות הן הנמצאות, והכל אחד</w:t>
      </w:r>
      <w:r w:rsidR="005979B0">
        <w:rPr>
          <w:rFonts w:hint="cs"/>
          <w:rtl/>
        </w:rPr>
        <w:t xml:space="preserve">, </w:t>
      </w:r>
      <w:r>
        <w:rPr>
          <w:rFonts w:hint="cs"/>
          <w:rtl/>
        </w:rPr>
        <w:t xml:space="preserve">אבל </w:t>
      </w:r>
      <w:r w:rsidR="005979B0">
        <w:rPr>
          <w:rFonts w:hint="cs"/>
          <w:rtl/>
        </w:rPr>
        <w:t xml:space="preserve">דברי הרמב"ם הם </w:t>
      </w:r>
      <w:r>
        <w:rPr>
          <w:rFonts w:hint="cs"/>
          <w:rtl/>
        </w:rPr>
        <w:t xml:space="preserve">פרשנות מוכרחת בעיקר האמירה שלו. ברמיזות והערות מבואר שכוונתו כמו לשון הרמב"ם </w:t>
      </w:r>
      <w:r w:rsidR="006B4941">
        <w:rPr>
          <w:rFonts w:hint="cs"/>
          <w:rtl/>
        </w:rPr>
        <w:t xml:space="preserve">במורה נבוכים א' נ"ז, והוא </w:t>
      </w:r>
      <w:r w:rsidR="005979B0">
        <w:rPr>
          <w:rFonts w:hint="cs"/>
          <w:rtl/>
        </w:rPr>
        <w:t>כתב שם: "</w:t>
      </w:r>
      <w:r w:rsidR="005B2708" w:rsidRPr="005B2708">
        <w:rPr>
          <w:rtl/>
        </w:rPr>
        <w:t>או כשעדיין לא הוכרחה מציאותו</w:t>
      </w:r>
      <w:r w:rsidR="005979B0">
        <w:rPr>
          <w:rFonts w:hint="cs"/>
          <w:rtl/>
        </w:rPr>
        <w:t>"</w:t>
      </w:r>
      <w:r w:rsidR="005B2708">
        <w:rPr>
          <w:rFonts w:hint="cs"/>
          <w:rtl/>
        </w:rPr>
        <w:t xml:space="preserve">, ויש לשאול מציאותו של מה עוד לא הוכרעה, </w:t>
      </w:r>
      <w:r w:rsidR="00CB665A">
        <w:rPr>
          <w:rFonts w:hint="cs"/>
          <w:rtl/>
        </w:rPr>
        <w:t xml:space="preserve">אם המהות עצמה לא הוכרעה מציאותה, אז בלי מהות אין כאן 'משהו' שיש לשאול אם מציאותו הוכרעה או לא. אלא </w:t>
      </w:r>
      <w:r w:rsidR="005B2708">
        <w:rPr>
          <w:rFonts w:hint="cs"/>
          <w:rtl/>
        </w:rPr>
        <w:t>הכוונה היא שמציאות</w:t>
      </w:r>
      <w:r w:rsidR="00CB665A">
        <w:rPr>
          <w:rFonts w:hint="cs"/>
          <w:rtl/>
        </w:rPr>
        <w:t>ה</w:t>
      </w:r>
      <w:r w:rsidR="005B2708">
        <w:rPr>
          <w:rFonts w:hint="cs"/>
          <w:rtl/>
        </w:rPr>
        <w:t xml:space="preserve"> של ה</w:t>
      </w:r>
      <w:r w:rsidR="00CB665A">
        <w:rPr>
          <w:rFonts w:hint="cs"/>
          <w:rtl/>
        </w:rPr>
        <w:t>מ</w:t>
      </w:r>
      <w:r w:rsidR="005B2708">
        <w:rPr>
          <w:rFonts w:hint="cs"/>
          <w:rtl/>
        </w:rPr>
        <w:t>הות עוד לא הוכרעה, ומבואר שיש מהות</w:t>
      </w:r>
      <w:r w:rsidR="00CB665A">
        <w:rPr>
          <w:rFonts w:hint="cs"/>
          <w:rtl/>
        </w:rPr>
        <w:t xml:space="preserve"> שהיא כמו נתון בחקירה שלנו ואיננו שואלים מניין נובעת מציאותה, ועליה שואלים הם היא קיבלה מציאות </w:t>
      </w:r>
      <w:r w:rsidR="00612B75">
        <w:rPr>
          <w:rFonts w:hint="cs"/>
          <w:rtl/>
        </w:rPr>
        <w:t xml:space="preserve">כעצם בעולם. ברור שמהות מוגדרת היא עצם שנמצא בעולם גם בלי חומר, וכגון שכל נפרד, אלא </w:t>
      </w:r>
      <w:r w:rsidR="00A038A7">
        <w:rPr>
          <w:rFonts w:hint="cs"/>
          <w:rtl/>
        </w:rPr>
        <w:t>אותה מהות שלא הוכרעה מציאותה זוהי המהות הלא מוגדרת.</w:t>
      </w:r>
      <w:r w:rsidR="005B2708">
        <w:rPr>
          <w:rFonts w:hint="cs"/>
          <w:rtl/>
        </w:rPr>
        <w:t xml:space="preserve"> </w:t>
      </w:r>
    </w:p>
    <w:p w14:paraId="11E7DC8F" w14:textId="1501B96E" w:rsidR="002F0D41" w:rsidRDefault="00A038A7" w:rsidP="002F0D41">
      <w:pPr>
        <w:pStyle w:val="FootnoteText"/>
        <w:rPr>
          <w:rtl/>
        </w:rPr>
      </w:pPr>
      <w:r>
        <w:rPr>
          <w:rFonts w:hint="cs"/>
          <w:rtl/>
        </w:rPr>
        <w:t>עניין זה מקורו ב</w:t>
      </w:r>
      <w:hyperlink r:id="rId86" w:anchor="The_two_fundamental_principles_and_their_interaction" w:history="1">
        <w:r w:rsidRPr="002D6490">
          <w:rPr>
            <w:rStyle w:val="Hyperlink"/>
            <w:rFonts w:hint="cs"/>
            <w:rtl/>
          </w:rPr>
          <w:t>תורה שבעל פה שנמסרה מאפלטו</w:t>
        </w:r>
        <w:r w:rsidR="00972B4A" w:rsidRPr="002D6490">
          <w:rPr>
            <w:rStyle w:val="Hyperlink"/>
            <w:rFonts w:hint="cs"/>
            <w:rtl/>
          </w:rPr>
          <w:t>ן</w:t>
        </w:r>
        <w:r w:rsidRPr="002D6490">
          <w:rPr>
            <w:rStyle w:val="Hyperlink"/>
            <w:rFonts w:hint="cs"/>
            <w:rtl/>
          </w:rPr>
          <w:t xml:space="preserve"> לאריסטו</w:t>
        </w:r>
      </w:hyperlink>
      <w:r>
        <w:rPr>
          <w:rFonts w:hint="cs"/>
          <w:rtl/>
        </w:rPr>
        <w:t>, ו</w:t>
      </w:r>
      <w:r w:rsidR="00CF72E7">
        <w:rPr>
          <w:rFonts w:hint="cs"/>
          <w:rtl/>
        </w:rPr>
        <w:t>מובאת בדרך של רמזים</w:t>
      </w:r>
      <w:r w:rsidR="006C02D7">
        <w:rPr>
          <w:rFonts w:hint="cs"/>
          <w:rtl/>
        </w:rPr>
        <w:t xml:space="preserve"> ליודעי חן</w:t>
      </w:r>
      <w:r>
        <w:rPr>
          <w:rFonts w:hint="cs"/>
          <w:rtl/>
        </w:rPr>
        <w:t xml:space="preserve"> באריסטו במטאפיזיקה ספרים מ' ונ'</w:t>
      </w:r>
      <w:r w:rsidR="00972B4A">
        <w:rPr>
          <w:rFonts w:hint="cs"/>
          <w:rtl/>
        </w:rPr>
        <w:t xml:space="preserve"> (שני הספרים האחרונים במטאפיזיקה). שם מדובר </w:t>
      </w:r>
      <w:r w:rsidR="00253EC9">
        <w:rPr>
          <w:rFonts w:hint="cs"/>
          <w:rtl/>
        </w:rPr>
        <w:t>על שרשי המציאות שהם ה'אחד'</w:t>
      </w:r>
      <w:r w:rsidR="005177E5">
        <w:rPr>
          <w:rFonts w:hint="cs"/>
          <w:rtl/>
        </w:rPr>
        <w:t xml:space="preserve"> (</w:t>
      </w:r>
      <w:r w:rsidR="005177E5">
        <w:rPr>
          <w:rFonts w:hint="cs"/>
        </w:rPr>
        <w:t>M</w:t>
      </w:r>
      <w:r w:rsidR="005177E5">
        <w:t>onad</w:t>
      </w:r>
      <w:r w:rsidR="005177E5">
        <w:rPr>
          <w:rFonts w:hint="cs"/>
          <w:rtl/>
        </w:rPr>
        <w:t>)</w:t>
      </w:r>
      <w:r w:rsidR="00253EC9">
        <w:rPr>
          <w:rFonts w:hint="cs"/>
          <w:rtl/>
        </w:rPr>
        <w:t xml:space="preserve"> ו'השתיים ה</w:t>
      </w:r>
      <w:r w:rsidR="007B320B">
        <w:rPr>
          <w:rFonts w:hint="cs"/>
          <w:rtl/>
        </w:rPr>
        <w:t>לא</w:t>
      </w:r>
      <w:r w:rsidR="00253EC9">
        <w:rPr>
          <w:rFonts w:hint="cs"/>
          <w:rtl/>
        </w:rPr>
        <w:t xml:space="preserve"> מוגדר'</w:t>
      </w:r>
      <w:r w:rsidR="0033715B">
        <w:t xml:space="preserve"> </w:t>
      </w:r>
      <w:r w:rsidR="001E704F">
        <w:rPr>
          <w:rFonts w:hint="cs"/>
          <w:rtl/>
        </w:rPr>
        <w:t xml:space="preserve"> (</w:t>
      </w:r>
      <w:r w:rsidR="001E704F" w:rsidRPr="001E704F">
        <w:t>The Indefinite Dyad</w:t>
      </w:r>
      <w:r w:rsidR="001E704F">
        <w:rPr>
          <w:rFonts w:hint="cs"/>
          <w:rtl/>
        </w:rPr>
        <w:t xml:space="preserve">). </w:t>
      </w:r>
      <w:r w:rsidR="006C02D7">
        <w:rPr>
          <w:rFonts w:hint="cs"/>
          <w:rtl/>
        </w:rPr>
        <w:t>ה'שתיים ה</w:t>
      </w:r>
      <w:r w:rsidR="007B320B">
        <w:rPr>
          <w:rFonts w:hint="cs"/>
          <w:rtl/>
        </w:rPr>
        <w:t>לא</w:t>
      </w:r>
      <w:r w:rsidR="006C02D7">
        <w:rPr>
          <w:rFonts w:hint="cs"/>
          <w:rtl/>
        </w:rPr>
        <w:t xml:space="preserve"> מוגדר' נקרא לפעמים גם '</w:t>
      </w:r>
      <w:r w:rsidR="00253EC9">
        <w:rPr>
          <w:rFonts w:hint="cs"/>
          <w:rtl/>
        </w:rPr>
        <w:t>הגדול והקטן</w:t>
      </w:r>
      <w:r w:rsidR="006C02D7">
        <w:rPr>
          <w:rFonts w:hint="cs"/>
          <w:rtl/>
        </w:rPr>
        <w:t>'</w:t>
      </w:r>
      <w:r w:rsidR="00253EC9">
        <w:rPr>
          <w:rFonts w:hint="cs"/>
          <w:rtl/>
        </w:rPr>
        <w:t xml:space="preserve">, והכוונה למשהו שמוגדר כגדול וקטן בעת ובעונה אחת והיינו שהוא </w:t>
      </w:r>
      <w:r w:rsidR="007B320B">
        <w:rPr>
          <w:rFonts w:hint="cs"/>
          <w:rtl/>
        </w:rPr>
        <w:t>לא</w:t>
      </w:r>
      <w:r w:rsidR="00253EC9">
        <w:rPr>
          <w:rFonts w:hint="cs"/>
          <w:rtl/>
        </w:rPr>
        <w:t xml:space="preserve"> מוגדר מצד עצמו, רק מכיל בתוכו את האפשרות שתהיה הגדרה של גדול בלבד או של קטן בלבד</w:t>
      </w:r>
      <w:r w:rsidR="00173E3B">
        <w:rPr>
          <w:rFonts w:hint="cs"/>
          <w:rtl/>
        </w:rPr>
        <w:t xml:space="preserve"> (כמובן יש הבדל מצד הבחינה אליה מתייחסים אם אומרים 'השתיים הלא מוגדר' או 'הגדול והקטן', ואין כאן המקום להאריך בזה)</w:t>
      </w:r>
      <w:r w:rsidR="007B320B">
        <w:rPr>
          <w:rFonts w:hint="cs"/>
          <w:rtl/>
        </w:rPr>
        <w:t>.</w:t>
      </w:r>
      <w:r w:rsidR="00253EC9">
        <w:rPr>
          <w:rFonts w:hint="cs"/>
          <w:rtl/>
        </w:rPr>
        <w:t xml:space="preserve"> </w:t>
      </w:r>
      <w:r w:rsidR="008C2A3A">
        <w:rPr>
          <w:rFonts w:hint="cs"/>
          <w:rtl/>
        </w:rPr>
        <w:t>ה'אחד' הוא מה שנקרא אצל האר"י אור אין סוף ברוך הוא</w:t>
      </w:r>
      <w:r w:rsidR="007B320B">
        <w:rPr>
          <w:rFonts w:hint="cs"/>
          <w:rtl/>
        </w:rPr>
        <w:t xml:space="preserve"> (עיין ב</w:t>
      </w:r>
      <w:r w:rsidR="00E96C3D">
        <w:rPr>
          <w:rFonts w:hint="cs"/>
          <w:rtl/>
        </w:rPr>
        <w:t>'אין סוף' כשם לאלוהות</w:t>
      </w:r>
      <w:r w:rsidR="007B320B">
        <w:rPr>
          <w:rFonts w:hint="cs"/>
          <w:rtl/>
        </w:rPr>
        <w:t xml:space="preserve"> </w:t>
      </w:r>
      <w:r w:rsidR="00E96C3D">
        <w:rPr>
          <w:rFonts w:hint="cs"/>
          <w:rtl/>
        </w:rPr>
        <w:t>בפיזיקה של אריסטו ספר ג' פרק ד')</w:t>
      </w:r>
      <w:r w:rsidR="008C2A3A">
        <w:rPr>
          <w:rFonts w:hint="cs"/>
          <w:rtl/>
        </w:rPr>
        <w:t>, והשתיים הבלתי מוגדר הוא העיגול של הצמצום, ההיולי, החומר הראשון, התוהו</w:t>
      </w:r>
      <w:r w:rsidR="00DB3B12">
        <w:rPr>
          <w:rFonts w:hint="cs"/>
          <w:rtl/>
        </w:rPr>
        <w:t xml:space="preserve"> (מה שנקרא אצל אריסטו בדיונו שם עד פרק ו' "האין סוף בכח"</w:t>
      </w:r>
      <w:r w:rsidR="0016286D">
        <w:rPr>
          <w:rFonts w:hint="cs"/>
          <w:rtl/>
        </w:rPr>
        <w:t xml:space="preserve">, שהוא הארת זיו האין סוף בפועל לתוך הטבע, שבטבע לא תיתכן מציאות של </w:t>
      </w:r>
      <w:r w:rsidR="0010044F">
        <w:rPr>
          <w:rFonts w:hint="cs"/>
          <w:rtl/>
        </w:rPr>
        <w:t>"</w:t>
      </w:r>
      <w:r w:rsidR="0016286D">
        <w:rPr>
          <w:rFonts w:hint="cs"/>
          <w:rtl/>
        </w:rPr>
        <w:t>אין סוף בפועל</w:t>
      </w:r>
      <w:r w:rsidR="0010044F">
        <w:rPr>
          <w:rFonts w:hint="cs"/>
          <w:rtl/>
        </w:rPr>
        <w:t>"</w:t>
      </w:r>
      <w:r w:rsidR="0016286D">
        <w:rPr>
          <w:rFonts w:hint="cs"/>
          <w:rtl/>
        </w:rPr>
        <w:t>)</w:t>
      </w:r>
      <w:r w:rsidR="00CB3482">
        <w:rPr>
          <w:rFonts w:hint="cs"/>
          <w:rtl/>
        </w:rPr>
        <w:t xml:space="preserve">; </w:t>
      </w:r>
      <w:r w:rsidR="0010044F">
        <w:rPr>
          <w:rFonts w:hint="cs"/>
          <w:rtl/>
        </w:rPr>
        <w:t xml:space="preserve">החומר הראשון </w:t>
      </w:r>
      <w:r w:rsidR="00CB3482">
        <w:rPr>
          <w:rFonts w:hint="cs"/>
          <w:rtl/>
        </w:rPr>
        <w:t>הוא חסר כל הגדרה</w:t>
      </w:r>
      <w:r w:rsidR="00346DAC">
        <w:rPr>
          <w:rFonts w:hint="cs"/>
          <w:rtl/>
        </w:rPr>
        <w:t xml:space="preserve"> וצורה</w:t>
      </w:r>
      <w:r w:rsidR="00CB3482">
        <w:rPr>
          <w:rFonts w:hint="cs"/>
          <w:rtl/>
        </w:rPr>
        <w:t>, וכמו שביאר אפלטון שהחומר הראשון אין בו שום צורה וכן כתב אריסטו</w:t>
      </w:r>
      <w:r w:rsidR="00346DAC">
        <w:rPr>
          <w:rFonts w:hint="cs"/>
          <w:rtl/>
        </w:rPr>
        <w:t xml:space="preserve"> בכמה מקומות</w:t>
      </w:r>
      <w:r w:rsidR="00CB3482">
        <w:rPr>
          <w:rFonts w:hint="cs"/>
          <w:rtl/>
        </w:rPr>
        <w:t>, אבל הוא מכיל את ה'בכח' של כל ההגדרות האפשריות</w:t>
      </w:r>
      <w:r w:rsidR="001E7350">
        <w:rPr>
          <w:rFonts w:hint="cs"/>
          <w:rtl/>
        </w:rPr>
        <w:t>. כיוון שהן עוד לא התפרטו להגדרות מסויימות אפשר שיהיה גדול וקטן כאחד, אבל מה שהוא גדול וקטן כאחד אומר שיש בו 'בכח' להתפרט לגדול או לקטן, זהו ה</w:t>
      </w:r>
      <w:r w:rsidR="00CF72E7">
        <w:rPr>
          <w:rFonts w:hint="cs"/>
          <w:rtl/>
        </w:rPr>
        <w:t>'בכח' של החומר הראשון ללבוש הגדרה מסויימת וצורה מוגבלת</w:t>
      </w:r>
      <w:r w:rsidR="008C2A3A">
        <w:rPr>
          <w:rFonts w:hint="cs"/>
          <w:rtl/>
        </w:rPr>
        <w:t xml:space="preserve">. </w:t>
      </w:r>
      <w:r w:rsidR="00253EC9">
        <w:rPr>
          <w:rFonts w:hint="cs"/>
          <w:rtl/>
        </w:rPr>
        <w:t xml:space="preserve"> </w:t>
      </w:r>
    </w:p>
    <w:p w14:paraId="615BB56E" w14:textId="77777777" w:rsidR="00972B4A" w:rsidRDefault="00972B4A" w:rsidP="002F0D41">
      <w:pPr>
        <w:pStyle w:val="FootnoteText"/>
        <w:rPr>
          <w:rtl/>
        </w:rPr>
      </w:pPr>
    </w:p>
    <w:p w14:paraId="0F9DFEC6" w14:textId="6C39B0FA" w:rsidR="002C0B99" w:rsidRDefault="002F0D41" w:rsidP="002F0D41">
      <w:pPr>
        <w:pStyle w:val="FootnoteText"/>
        <w:rPr>
          <w:rtl/>
        </w:rPr>
      </w:pPr>
      <w:r>
        <w:rPr>
          <w:rFonts w:hint="cs"/>
          <w:rtl/>
        </w:rPr>
        <w:t>עיין</w:t>
      </w:r>
      <w:r w:rsidR="002D6490">
        <w:rPr>
          <w:rFonts w:hint="cs"/>
          <w:rtl/>
        </w:rPr>
        <w:t xml:space="preserve"> לשון אבן סינא</w:t>
      </w:r>
      <w:r>
        <w:rPr>
          <w:rFonts w:hint="cs"/>
          <w:rtl/>
        </w:rPr>
        <w:t xml:space="preserve"> </w:t>
      </w:r>
      <w:r w:rsidR="002D6490">
        <w:rPr>
          <w:rFonts w:hint="cs"/>
          <w:rtl/>
        </w:rPr>
        <w:t>ב</w:t>
      </w:r>
      <w:r w:rsidR="00126397">
        <w:rPr>
          <w:rFonts w:hint="cs"/>
          <w:rtl/>
        </w:rPr>
        <w:t xml:space="preserve">רמיזות והערות </w:t>
      </w:r>
      <w:r w:rsidR="002C0B99">
        <w:rPr>
          <w:rFonts w:hint="cs"/>
          <w:rtl/>
        </w:rPr>
        <w:t>חלק ה'</w:t>
      </w:r>
      <w:r>
        <w:rPr>
          <w:rFonts w:hint="cs"/>
          <w:rtl/>
        </w:rPr>
        <w:t>,</w:t>
      </w:r>
      <w:r w:rsidR="002C0B99">
        <w:rPr>
          <w:rFonts w:hint="cs"/>
          <w:rtl/>
        </w:rPr>
        <w:t xml:space="preserve"> מפרק י' והלאה:</w:t>
      </w:r>
    </w:p>
    <w:p w14:paraId="78FE4203" w14:textId="22EAA11E" w:rsidR="002C0B99" w:rsidRDefault="002C0B99" w:rsidP="002C0B99">
      <w:pPr>
        <w:pStyle w:val="FootnoteText"/>
        <w:rPr>
          <w:rtl/>
        </w:rPr>
      </w:pPr>
      <w:r>
        <w:rPr>
          <w:rFonts w:hint="cs"/>
          <w:rtl/>
        </w:rPr>
        <w:t>"</w:t>
      </w:r>
      <w:r>
        <w:rPr>
          <w:rtl/>
        </w:rPr>
        <w:t xml:space="preserve">ברור כמושכל ראשון שההכרעה לצד אחד משני הקצוות של האפשרויות השקולות של דבר כלשהו שלא היה ואחר כך היה, מוכרע על פני הקצה השני מחמת דבר או סיבה </w:t>
      </w:r>
      <w:r w:rsidR="009C463A">
        <w:rPr>
          <w:rFonts w:hint="cs"/>
          <w:rtl/>
        </w:rPr>
        <w:t>מסוימים</w:t>
      </w:r>
      <w:r>
        <w:rPr>
          <w:rtl/>
        </w:rPr>
        <w:t>, אע"פ שאפשר לשכל האנושי לא לשים לב לדבר הברור הזה ולהיזקק למינים אחרים של הוכחה</w:t>
      </w:r>
      <w:r w:rsidR="00F82629">
        <w:rPr>
          <w:rFonts w:hint="cs"/>
          <w:rtl/>
        </w:rPr>
        <w:t xml:space="preserve"> [זו ההוכחה למציאות הבורא שכתב המורה</w:t>
      </w:r>
      <w:r w:rsidR="00705BAA">
        <w:rPr>
          <w:rFonts w:hint="cs"/>
          <w:rtl/>
        </w:rPr>
        <w:t xml:space="preserve"> </w:t>
      </w:r>
      <w:r w:rsidR="00F82629">
        <w:rPr>
          <w:rFonts w:hint="cs"/>
          <w:rtl/>
        </w:rPr>
        <w:t>נבוכים ב' א'</w:t>
      </w:r>
      <w:r w:rsidR="0016131A">
        <w:rPr>
          <w:rtl/>
        </w:rPr>
        <w:fldChar w:fldCharType="begin"/>
      </w:r>
      <w:r w:rsidR="0016131A">
        <w:instrText xml:space="preserve"> XE "</w:instrText>
      </w:r>
      <w:r w:rsidR="0016131A" w:rsidRPr="00233F7F">
        <w:rPr>
          <w:rFonts w:hint="cs"/>
          <w:rtl/>
        </w:rPr>
        <w:instrText>מורה נבוכים ב' א' - העיון השלישי, ביאור עמוק בהוכחה</w:instrText>
      </w:r>
      <w:r w:rsidR="0016131A">
        <w:instrText xml:space="preserve">" </w:instrText>
      </w:r>
      <w:r w:rsidR="0016131A">
        <w:rPr>
          <w:rtl/>
        </w:rPr>
        <w:fldChar w:fldCharType="end"/>
      </w:r>
      <w:r w:rsidR="00F82629">
        <w:rPr>
          <w:rFonts w:hint="cs"/>
          <w:rtl/>
        </w:rPr>
        <w:t xml:space="preserve"> בעיון השלישי, </w:t>
      </w:r>
      <w:r w:rsidR="00705BAA">
        <w:rPr>
          <w:rFonts w:hint="cs"/>
          <w:rtl/>
        </w:rPr>
        <w:t>שאם יש נמצאים שמציאותם לא הכרחית אלא אפשרית, שהיה אפשר שלא יימצאו, בהכרח יש סיבה למציאותם, משהו הכריע בין אפשרות מציאותם לאפשרות חוסר מציאותם והוא הסיבה למציאותם שהיא חיצונית להם]</w:t>
      </w:r>
      <w:r>
        <w:rPr>
          <w:rtl/>
        </w:rPr>
        <w:t>. הכרעה זו של האפשרויות השקולות, ושל הגבול השייך לדבר זה, מוכרעת או אחרי שכבר הוכרחה מציאות הדבר על ידי הסיבה,</w:t>
      </w:r>
      <w:r w:rsidRPr="00B54668">
        <w:rPr>
          <w:b/>
          <w:bCs/>
          <w:rtl/>
        </w:rPr>
        <w:t xml:space="preserve"> או כשעדיין לא הוכרחה מציאותו</w:t>
      </w:r>
      <w:r w:rsidR="00B116D2">
        <w:rPr>
          <w:rFonts w:hint="cs"/>
          <w:b/>
          <w:bCs/>
          <w:rtl/>
        </w:rPr>
        <w:t xml:space="preserve"> [של הדבר, מבואר שיש לדבר מהות גם בלי מציאות, וכלשון המורה נבוכים]</w:t>
      </w:r>
      <w:r>
        <w:rPr>
          <w:rtl/>
        </w:rPr>
        <w:t xml:space="preserve">, אלא מכח הסיבה נעשה נמצא כקיום בכח, כיוון שבשום פנים ההכרעה של השקילות של האפשרויות אינה נמלטת מלהיות מסובבת על ידי הסיבה. כך ששוב אנו חוזרים למצב הראשון של חיפוש הסיבה להכרעת האפשרויות השקולות, ולזה לא יהיה שום המשך. לכן האמת היא שהכרעת האפשרויות השקולות מוכרחת על ידי הסיבה. </w:t>
      </w:r>
    </w:p>
    <w:p w14:paraId="6186B079" w14:textId="77777777" w:rsidR="002577EC" w:rsidRDefault="002C0B99" w:rsidP="002577EC">
      <w:pPr>
        <w:pStyle w:val="FootnoteText"/>
        <w:rPr>
          <w:rtl/>
        </w:rPr>
      </w:pPr>
      <w:r>
        <w:rPr>
          <w:rtl/>
        </w:rPr>
        <w:t>פרק יא</w:t>
      </w:r>
    </w:p>
    <w:p w14:paraId="21877CBB" w14:textId="68E9A501" w:rsidR="002C0B99" w:rsidRDefault="002C0B99" w:rsidP="002577EC">
      <w:pPr>
        <w:pStyle w:val="FootnoteText"/>
        <w:rPr>
          <w:rtl/>
        </w:rPr>
      </w:pPr>
      <w:r>
        <w:rPr>
          <w:rtl/>
        </w:rPr>
        <w:t>ההגדרה של סיבה מסויימת במידה שא' בהכרח נובע ממנה, היא אחרת מההגדרה של סיבה מסויימת במידה שב' בהכרח נובע ממנה. אם זה שהוא אחד בהכרח נובעים ממנו שני דברים, זהו מחמת שתי בחינות שונות בהגדרה ובמציאות. שתי בחינות אלה הן או בין המרכיבים מכונני-</w:t>
      </w:r>
      <w:r w:rsidR="009C463A">
        <w:rPr>
          <w:rFonts w:hint="cs"/>
          <w:rtl/>
        </w:rPr>
        <w:t>ההוויה</w:t>
      </w:r>
      <w:r>
        <w:rPr>
          <w:rtl/>
        </w:rPr>
        <w:t xml:space="preserve"> של זה שהוא אחד, או בין הנילווים ההכרחיים שלו, או בין ההבדלים שמייחדים אותו. אם שתי בחינות אלה הן בין המאפיינים ההכרחיים של זה שהוא אחד, שוב החקירה חוזרת למקרה הראשון שלה. כך אתה מגיע לשתי בחינות שונות בין המרכיבים היסודיים של הסיבה, ששייכות או למהותו או למציאותו או להבדלים שמייחדים אותו. לכן כל יש שבהכרח בורא שני דברים בעת ובעונה אחת, שאינם מתוּוָכִים זה על ידי זה, יש לו מציאות מתחלקת. </w:t>
      </w:r>
    </w:p>
    <w:p w14:paraId="65C8C75B" w14:textId="3D90F39D" w:rsidR="002C0B99" w:rsidRDefault="002C0B99" w:rsidP="002C0B99">
      <w:pPr>
        <w:pStyle w:val="FootnoteText"/>
        <w:rPr>
          <w:rtl/>
        </w:rPr>
      </w:pPr>
      <w:r>
        <w:rPr>
          <w:rtl/>
        </w:rPr>
        <w:t>פרק יב</w:t>
      </w:r>
    </w:p>
    <w:p w14:paraId="03B3D27A" w14:textId="77777777" w:rsidR="002C0B99" w:rsidRDefault="002C0B99" w:rsidP="002C0B99">
      <w:pPr>
        <w:pStyle w:val="FootnoteText"/>
        <w:rPr>
          <w:rtl/>
        </w:rPr>
      </w:pPr>
      <w:r>
        <w:rPr>
          <w:rtl/>
        </w:rPr>
        <w:t xml:space="preserve">כת אנשים אמרה שהדברים המוחשיים נמצאים במהותם והכרחיים מצד עצמם . </w:t>
      </w:r>
    </w:p>
    <w:p w14:paraId="6F1E9466" w14:textId="2D67EDCB" w:rsidR="00A56D66" w:rsidRDefault="002C0B99" w:rsidP="002C0B99">
      <w:pPr>
        <w:pStyle w:val="FootnoteText"/>
        <w:rPr>
          <w:rtl/>
        </w:rPr>
      </w:pPr>
      <w:r>
        <w:rPr>
          <w:rtl/>
        </w:rPr>
        <w:t xml:space="preserve">אבל אם תיזכר במה שנאמר לך אודות התנאי לזה שהוא הכרחי המציאות , לא תמצא את הדבר המוחשי הכרחי ותצטט את דברי האלוהים ישתבח שמו: "איני אוהב את הדברים שנעלמים." כיוון שזה שהוא בתחתית בחינות האפשרות זהו אופן </w:t>
      </w:r>
      <w:r w:rsidR="009C463A">
        <w:rPr>
          <w:rFonts w:hint="cs"/>
          <w:rtl/>
        </w:rPr>
        <w:t>מסוים</w:t>
      </w:r>
      <w:r>
        <w:rPr>
          <w:rtl/>
        </w:rPr>
        <w:t xml:space="preserve"> של העלמות.</w:t>
      </w:r>
      <w:r w:rsidR="00B54668">
        <w:rPr>
          <w:rFonts w:hint="cs"/>
          <w:rtl/>
        </w:rPr>
        <w:t xml:space="preserve"> וכו' [עיין שם בהמשך ובהערות]</w:t>
      </w:r>
      <w:r>
        <w:rPr>
          <w:rFonts w:hint="cs"/>
          <w:rtl/>
        </w:rPr>
        <w:t>"</w:t>
      </w:r>
      <w:r w:rsidR="00126397">
        <w:rPr>
          <w:rFonts w:hint="cs"/>
          <w:rtl/>
        </w:rPr>
        <w:t xml:space="preserve"> </w:t>
      </w:r>
    </w:p>
    <w:p w14:paraId="3F8FD838" w14:textId="77777777" w:rsidR="0048154E" w:rsidRDefault="0048154E" w:rsidP="002C0B99">
      <w:pPr>
        <w:pStyle w:val="FootnoteText"/>
        <w:rPr>
          <w:rtl/>
        </w:rPr>
      </w:pPr>
    </w:p>
    <w:p w14:paraId="2FE30CA5" w14:textId="050FF66F" w:rsidR="000547B3" w:rsidRDefault="000547B3" w:rsidP="002C0B99">
      <w:pPr>
        <w:pStyle w:val="FootnoteText"/>
      </w:pPr>
      <w:r>
        <w:rPr>
          <w:rFonts w:hint="cs"/>
          <w:rtl/>
        </w:rPr>
        <w:t>ועיין ב</w:t>
      </w:r>
      <w:hyperlink r:id="rId87" w:history="1">
        <w:r w:rsidRPr="00C84000">
          <w:rPr>
            <w:rStyle w:val="Hyperlink"/>
            <w:rFonts w:hint="cs"/>
            <w:rtl/>
          </w:rPr>
          <w:t>מורה המורה</w:t>
        </w:r>
      </w:hyperlink>
      <w:r>
        <w:rPr>
          <w:rFonts w:hint="cs"/>
          <w:rtl/>
        </w:rPr>
        <w:t xml:space="preserve"> לרבי שם טוב פלקירה</w:t>
      </w:r>
      <w:r w:rsidR="0055021B">
        <w:rPr>
          <w:rFonts w:hint="cs"/>
          <w:rtl/>
        </w:rPr>
        <w:t xml:space="preserve"> (יצא גם </w:t>
      </w:r>
      <w:hyperlink r:id="rId88" w:history="1">
        <w:r w:rsidR="0055021B" w:rsidRPr="00750F19">
          <w:rPr>
            <w:rStyle w:val="Hyperlink"/>
            <w:rFonts w:hint="cs"/>
            <w:rtl/>
          </w:rPr>
          <w:t>במהדורה מדעית ע"י יאיר שיפמן</w:t>
        </w:r>
      </w:hyperlink>
      <w:r w:rsidR="0055021B">
        <w:rPr>
          <w:rFonts w:hint="cs"/>
          <w:rtl/>
        </w:rPr>
        <w:t>)</w:t>
      </w:r>
      <w:r>
        <w:rPr>
          <w:rFonts w:hint="cs"/>
          <w:rtl/>
        </w:rPr>
        <w:t xml:space="preserve">, </w:t>
      </w:r>
      <w:r w:rsidR="003B7549">
        <w:rPr>
          <w:rFonts w:hint="cs"/>
          <w:rtl/>
        </w:rPr>
        <w:t xml:space="preserve">על א' נ"ז, שהביא </w:t>
      </w:r>
      <w:r w:rsidR="00982F48">
        <w:rPr>
          <w:rFonts w:hint="cs"/>
          <w:rtl/>
        </w:rPr>
        <w:t>דברי אבן רושד מתורגמים לעברית</w:t>
      </w:r>
      <w:r w:rsidR="00B00E88">
        <w:rPr>
          <w:rFonts w:hint="cs"/>
          <w:rtl/>
        </w:rPr>
        <w:t xml:space="preserve"> (אבן רושד נקרא באופן עקבי </w:t>
      </w:r>
      <w:r w:rsidR="003E28F0">
        <w:rPr>
          <w:rFonts w:hint="cs"/>
          <w:rtl/>
        </w:rPr>
        <w:t xml:space="preserve">במורה המורה </w:t>
      </w:r>
      <w:r w:rsidR="00B00E88">
        <w:rPr>
          <w:rFonts w:hint="cs"/>
          <w:rtl/>
        </w:rPr>
        <w:t>"החכם הנזכר"</w:t>
      </w:r>
      <w:r w:rsidR="003E28F0">
        <w:rPr>
          <w:rFonts w:hint="cs"/>
          <w:rtl/>
        </w:rPr>
        <w:t>, ורק הוא מכונה כך)</w:t>
      </w:r>
      <w:r w:rsidR="00B00E88">
        <w:rPr>
          <w:rFonts w:hint="cs"/>
          <w:rtl/>
        </w:rPr>
        <w:t xml:space="preserve">, </w:t>
      </w:r>
      <w:r w:rsidR="003B7549">
        <w:rPr>
          <w:rFonts w:hint="cs"/>
          <w:rtl/>
        </w:rPr>
        <w:t xml:space="preserve">שחלק בחריפות על דברי אבן סינא כאן שהמציאות היא מקרה. אבן רושד סבור כמו השיטה שהמורה נבוכים חלק ב' קרא לה (בדרך אזוטרית של העלמה) שיטת אריסטו, </w:t>
      </w:r>
      <w:r w:rsidR="00A90360">
        <w:rPr>
          <w:rFonts w:hint="cs"/>
          <w:rtl/>
        </w:rPr>
        <w:t xml:space="preserve">היא שיטת קדמות העולם. לשיטה זו אין לבורא רצון חופשי אלא הוא שכל, </w:t>
      </w:r>
      <w:r w:rsidR="0058105A">
        <w:rPr>
          <w:rFonts w:hint="cs"/>
          <w:rtl/>
        </w:rPr>
        <w:t xml:space="preserve">והכוונה שההכרח השכלי אינו דבר שנברא מכח רצונו החופשי של הבורא אלא הוא עצמותו של הבורא. כלומר מה שאחת ועוד אחת שווים שתיים ולא שווים שלוש, זה נגזר בהכרח מהשכל האלוהי שהוא עצמות האלוה, והאלוה לא יכול לעשות שאחת ועוד אחת יהיו שווים שלוש. </w:t>
      </w:r>
      <w:r w:rsidR="00C63A8C">
        <w:rPr>
          <w:rFonts w:hint="cs"/>
          <w:rtl/>
        </w:rPr>
        <w:t xml:space="preserve">וכל הנבראים נגזרים מגזירת החכמה האלוהית, בדרך של הכרח שכלי. לכן מציאותם של הנבראים היא היא מציאותו של הבורא, </w:t>
      </w:r>
      <w:r w:rsidR="0057039F">
        <w:rPr>
          <w:rFonts w:hint="cs"/>
          <w:rtl/>
        </w:rPr>
        <w:t xml:space="preserve">ואין מציאותם מקרה להם, שהם הכרחי מציאות כמו בוראם וקדומים כמוהו, </w:t>
      </w:r>
      <w:r w:rsidR="00C63A8C">
        <w:rPr>
          <w:rFonts w:hint="cs"/>
          <w:rtl/>
        </w:rPr>
        <w:t xml:space="preserve">והבורא אין בו צד טרנסצנדנטי אלא </w:t>
      </w:r>
      <w:r w:rsidR="008B5236">
        <w:rPr>
          <w:rFonts w:hint="cs"/>
          <w:rtl/>
        </w:rPr>
        <w:t xml:space="preserve">רק </w:t>
      </w:r>
      <w:r w:rsidR="008C7E74">
        <w:rPr>
          <w:rFonts w:hint="cs"/>
          <w:rtl/>
        </w:rPr>
        <w:t>הצד שהבורא הוא הוא</w:t>
      </w:r>
      <w:r w:rsidR="008B5236">
        <w:rPr>
          <w:rFonts w:hint="cs"/>
          <w:rtl/>
        </w:rPr>
        <w:t xml:space="preserve"> המציאות של הגבולות וההגדרות והריבוי</w:t>
      </w:r>
      <w:r w:rsidR="00CB5567">
        <w:rPr>
          <w:rFonts w:hint="cs"/>
          <w:rtl/>
        </w:rPr>
        <w:t>, ובדומה לשיטת שפינוזה</w:t>
      </w:r>
      <w:r w:rsidR="00112E1B">
        <w:rPr>
          <w:rFonts w:hint="cs"/>
          <w:rtl/>
        </w:rPr>
        <w:t xml:space="preserve"> הנקראת פנתאיזם</w:t>
      </w:r>
      <w:r w:rsidR="008C7E74">
        <w:rPr>
          <w:rFonts w:hint="cs"/>
          <w:rtl/>
        </w:rPr>
        <w:t xml:space="preserve"> (לפי אבן סינ</w:t>
      </w:r>
      <w:r w:rsidR="00CB5567">
        <w:rPr>
          <w:rFonts w:hint="cs"/>
          <w:rtl/>
        </w:rPr>
        <w:t xml:space="preserve">א </w:t>
      </w:r>
      <w:r w:rsidR="008C7E74">
        <w:rPr>
          <w:rFonts w:hint="cs"/>
          <w:rtl/>
        </w:rPr>
        <w:t xml:space="preserve">והרמב"ם שני הצדדים אמת, </w:t>
      </w:r>
      <w:r w:rsidR="0081642F">
        <w:rPr>
          <w:rFonts w:hint="cs"/>
          <w:rtl/>
        </w:rPr>
        <w:t>גם הצד שהאלוה טרנסצנדנטי, נבדל מהמציאות</w:t>
      </w:r>
      <w:r w:rsidR="002B1CA4">
        <w:rPr>
          <w:rFonts w:hint="cs"/>
          <w:rtl/>
        </w:rPr>
        <w:t xml:space="preserve"> השכלית</w:t>
      </w:r>
      <w:r w:rsidR="0081642F">
        <w:rPr>
          <w:rFonts w:hint="cs"/>
          <w:rtl/>
        </w:rPr>
        <w:t xml:space="preserve"> של ההגדרות והריבוי, וגם </w:t>
      </w:r>
      <w:r w:rsidR="002B1CA4">
        <w:rPr>
          <w:rFonts w:hint="cs"/>
          <w:rtl/>
        </w:rPr>
        <w:t xml:space="preserve">הצד </w:t>
      </w:r>
      <w:r w:rsidR="0081642F">
        <w:rPr>
          <w:rFonts w:hint="cs"/>
          <w:rtl/>
        </w:rPr>
        <w:t>שהוא אחד עם המציאות</w:t>
      </w:r>
      <w:r w:rsidR="002B1CA4">
        <w:rPr>
          <w:rFonts w:hint="cs"/>
          <w:rtl/>
        </w:rPr>
        <w:t xml:space="preserve"> של ההגדרות, </w:t>
      </w:r>
      <w:r w:rsidR="008C7E74">
        <w:rPr>
          <w:rFonts w:hint="cs"/>
          <w:rtl/>
        </w:rPr>
        <w:t xml:space="preserve">על דרך שאצל חכמי הקבלה גם ספירת כתר וגם ספירת חכמה הם אמת, </w:t>
      </w:r>
      <w:r w:rsidR="002B1CA4">
        <w:rPr>
          <w:rFonts w:hint="cs"/>
          <w:rtl/>
        </w:rPr>
        <w:t>ו</w:t>
      </w:r>
      <w:r w:rsidR="00EB374B">
        <w:rPr>
          <w:rFonts w:hint="cs"/>
          <w:rtl/>
        </w:rPr>
        <w:t xml:space="preserve">ספירת </w:t>
      </w:r>
      <w:r w:rsidR="002B1CA4">
        <w:rPr>
          <w:rFonts w:hint="cs"/>
          <w:rtl/>
        </w:rPr>
        <w:t>חכמה</w:t>
      </w:r>
      <w:r w:rsidR="008C7E74">
        <w:rPr>
          <w:rFonts w:hint="cs"/>
          <w:rtl/>
        </w:rPr>
        <w:t xml:space="preserve"> היא כמו גוף ביחס ל</w:t>
      </w:r>
      <w:r w:rsidR="00EB374B">
        <w:rPr>
          <w:rFonts w:hint="cs"/>
          <w:rtl/>
        </w:rPr>
        <w:t xml:space="preserve">ספירת </w:t>
      </w:r>
      <w:r w:rsidR="008C7E74">
        <w:rPr>
          <w:rFonts w:hint="cs"/>
          <w:rtl/>
        </w:rPr>
        <w:t>כתר שהוא כמו נפש</w:t>
      </w:r>
      <w:r w:rsidR="00CB5567">
        <w:rPr>
          <w:rFonts w:hint="cs"/>
          <w:rtl/>
        </w:rPr>
        <w:t>, או יחס של אור וכלי</w:t>
      </w:r>
      <w:r w:rsidR="00BA56B8">
        <w:rPr>
          <w:rFonts w:hint="cs"/>
          <w:rtl/>
        </w:rPr>
        <w:t xml:space="preserve">, וכיו"ב, שבכל היחסים האלה נמצא סוד מעשה מרכבה או סוד הצמצום, שאבן רושד כופר בו כיוון שהוא דורש כניעה של השכל, כמו שכתב </w:t>
      </w:r>
      <w:r w:rsidR="00DC1B54">
        <w:rPr>
          <w:rFonts w:hint="cs"/>
          <w:rtl/>
        </w:rPr>
        <w:t xml:space="preserve">על זה </w:t>
      </w:r>
      <w:r w:rsidR="00BA56B8">
        <w:rPr>
          <w:rFonts w:hint="cs"/>
          <w:rtl/>
        </w:rPr>
        <w:t>המורה נבוכים א' ע"ב ישתבח מי שנצחנו שלמותו</w:t>
      </w:r>
      <w:r w:rsidR="00CB5567">
        <w:rPr>
          <w:rFonts w:hint="cs"/>
          <w:rtl/>
        </w:rPr>
        <w:t>)</w:t>
      </w:r>
      <w:r w:rsidR="00DC1B54">
        <w:rPr>
          <w:rFonts w:hint="cs"/>
          <w:rtl/>
        </w:rPr>
        <w:t>.</w:t>
      </w:r>
      <w:r w:rsidR="008B5236">
        <w:rPr>
          <w:rFonts w:hint="cs"/>
          <w:rtl/>
        </w:rPr>
        <w:t xml:space="preserve"> </w:t>
      </w:r>
      <w:r w:rsidR="0056433A">
        <w:rPr>
          <w:rFonts w:hint="cs"/>
          <w:rtl/>
        </w:rPr>
        <w:t>ועיין גם במורה המורה על ג' י"ג</w:t>
      </w:r>
      <w:r w:rsidR="00142AA8">
        <w:rPr>
          <w:rFonts w:hint="cs"/>
          <w:rtl/>
        </w:rPr>
        <w:t>.</w:t>
      </w:r>
      <w:r w:rsidR="00C63A8C">
        <w:rPr>
          <w:rFonts w:hint="cs"/>
          <w:rtl/>
        </w:rPr>
        <w:t xml:space="preserve"> </w:t>
      </w:r>
    </w:p>
  </w:footnote>
  <w:footnote w:id="393">
    <w:p w14:paraId="648695E7" w14:textId="0180098D" w:rsidR="00E7543A" w:rsidRDefault="00E7543A">
      <w:pPr>
        <w:pStyle w:val="FootnoteText"/>
      </w:pPr>
      <w:r>
        <w:rPr>
          <w:rStyle w:val="FootnoteReference"/>
        </w:rPr>
        <w:footnoteRef/>
      </w:r>
      <w:r>
        <w:rPr>
          <w:rtl/>
        </w:rPr>
        <w:t xml:space="preserve"> </w:t>
      </w:r>
      <w:r w:rsidR="00A31FF9">
        <w:rPr>
          <w:rFonts w:hint="cs"/>
          <w:rtl/>
        </w:rPr>
        <w:t>אם מסתכלים על המסקנה בלבד, לא רואים שהיא סותרת דבר מה, אבל אם מסתכלים על ה</w:t>
      </w:r>
      <w:r w:rsidR="00C655C6">
        <w:rPr>
          <w:rFonts w:hint="cs"/>
          <w:rtl/>
        </w:rPr>
        <w:t>ה</w:t>
      </w:r>
      <w:r w:rsidR="00A31FF9">
        <w:rPr>
          <w:rFonts w:hint="cs"/>
          <w:rtl/>
        </w:rPr>
        <w:t xml:space="preserve">קדמות שמהן נובעת אותה מסקנה, </w:t>
      </w:r>
      <w:r w:rsidR="00C655C6">
        <w:rPr>
          <w:rFonts w:hint="cs"/>
          <w:rtl/>
        </w:rPr>
        <w:t xml:space="preserve">אז </w:t>
      </w:r>
      <w:r w:rsidR="00A31FF9">
        <w:rPr>
          <w:rFonts w:hint="cs"/>
          <w:rtl/>
        </w:rPr>
        <w:t xml:space="preserve">מתגלה הסתירה לאותו דבר מה. </w:t>
      </w:r>
    </w:p>
  </w:footnote>
  <w:footnote w:id="394">
    <w:p w14:paraId="49F5C37A" w14:textId="54338CA4" w:rsidR="001F345D" w:rsidRPr="006536B4" w:rsidRDefault="001F345D">
      <w:pPr>
        <w:pStyle w:val="FootnoteText"/>
      </w:pPr>
      <w:r>
        <w:rPr>
          <w:rStyle w:val="FootnoteReference"/>
        </w:rPr>
        <w:footnoteRef/>
      </w:r>
      <w:r>
        <w:rPr>
          <w:rtl/>
        </w:rPr>
        <w:t xml:space="preserve"> </w:t>
      </w:r>
      <w:r w:rsidR="006536B4" w:rsidRPr="006536B4">
        <w:rPr>
          <w:rFonts w:cs="Times New Roman"/>
          <w:rtl/>
          <w:lang w:bidi="ar-SA"/>
        </w:rPr>
        <w:t xml:space="preserve"> </w:t>
      </w:r>
      <w:r w:rsidR="00D26686" w:rsidRPr="00D26686">
        <w:rPr>
          <w:rFonts w:cs="Times New Roman" w:hint="eastAsia"/>
          <w:rtl/>
          <w:lang w:bidi="ar-SA"/>
        </w:rPr>
        <w:t>جوهرا</w:t>
      </w:r>
      <w:r w:rsidR="006536B4" w:rsidRPr="006536B4">
        <w:rPr>
          <w:rtl/>
        </w:rPr>
        <w:t xml:space="preserve"> </w:t>
      </w:r>
      <w:r w:rsidR="00D26686">
        <w:rPr>
          <w:rFonts w:hint="cs"/>
          <w:rtl/>
        </w:rPr>
        <w:t>(</w:t>
      </w:r>
      <w:r w:rsidR="00464712">
        <w:rPr>
          <w:rFonts w:hint="cs"/>
          <w:rtl/>
        </w:rPr>
        <w:t>ג'ו</w:t>
      </w:r>
      <w:r w:rsidR="000443B2">
        <w:rPr>
          <w:rFonts w:hint="cs"/>
          <w:rtl/>
        </w:rPr>
        <w:t>ה</w:t>
      </w:r>
      <w:r w:rsidR="00464712">
        <w:rPr>
          <w:rFonts w:hint="cs"/>
          <w:rtl/>
        </w:rPr>
        <w:t>ר</w:t>
      </w:r>
      <w:r w:rsidR="00D26686">
        <w:rPr>
          <w:rFonts w:hint="cs"/>
          <w:rtl/>
        </w:rPr>
        <w:t>)</w:t>
      </w:r>
      <w:r w:rsidR="00464712">
        <w:rPr>
          <w:rFonts w:hint="cs"/>
          <w:rtl/>
        </w:rPr>
        <w:t xml:space="preserve">, </w:t>
      </w:r>
      <w:r w:rsidR="006536B4" w:rsidRPr="006536B4">
        <w:rPr>
          <w:rtl/>
        </w:rPr>
        <w:t xml:space="preserve">יש למילה הזו מובן גם כ'מהות'. </w:t>
      </w:r>
    </w:p>
  </w:footnote>
  <w:footnote w:id="395">
    <w:p w14:paraId="3385A4A4" w14:textId="559CDCB9" w:rsidR="00C7702E" w:rsidRDefault="006B3E5E">
      <w:pPr>
        <w:pStyle w:val="FootnoteText"/>
        <w:rPr>
          <w:rtl/>
        </w:rPr>
      </w:pPr>
      <w:r>
        <w:rPr>
          <w:rStyle w:val="FootnoteReference"/>
        </w:rPr>
        <w:footnoteRef/>
      </w:r>
      <w:r>
        <w:rPr>
          <w:rtl/>
        </w:rPr>
        <w:t xml:space="preserve"> </w:t>
      </w:r>
      <w:r>
        <w:rPr>
          <w:rFonts w:hint="cs"/>
          <w:rtl/>
        </w:rPr>
        <w:t>סופי ואין סופי שניהם מקרים של כמות</w:t>
      </w:r>
      <w:r w:rsidR="00B108CE">
        <w:rPr>
          <w:rFonts w:hint="cs"/>
          <w:rtl/>
        </w:rPr>
        <w:t xml:space="preserve">, כמו לומר ששלוש וחמש הם שני מקרים של כמות, </w:t>
      </w:r>
      <w:r w:rsidR="00156358">
        <w:rPr>
          <w:rFonts w:hint="cs"/>
          <w:rtl/>
        </w:rPr>
        <w:t xml:space="preserve">כך יש כמות סופית וכמות שאינה סופית ושתי הכמויות האלה הן </w:t>
      </w:r>
      <w:r w:rsidR="00BC1E4E">
        <w:rPr>
          <w:rFonts w:hint="cs"/>
          <w:rtl/>
        </w:rPr>
        <w:t xml:space="preserve">שני </w:t>
      </w:r>
      <w:r w:rsidR="00156358">
        <w:rPr>
          <w:rFonts w:hint="cs"/>
          <w:rtl/>
        </w:rPr>
        <w:t>מקרים של כמות</w:t>
      </w:r>
      <w:r>
        <w:rPr>
          <w:rFonts w:hint="cs"/>
          <w:rtl/>
        </w:rPr>
        <w:t xml:space="preserve">. </w:t>
      </w:r>
      <w:r w:rsidR="00C96E07">
        <w:rPr>
          <w:rFonts w:hint="cs"/>
          <w:rtl/>
        </w:rPr>
        <w:t>לפי ה</w:t>
      </w:r>
      <w:r w:rsidR="00C7702E">
        <w:rPr>
          <w:rFonts w:hint="cs"/>
          <w:rtl/>
        </w:rPr>
        <w:t xml:space="preserve">אמת העצם אינו נמצא באותו מובן שמקרה הכמות שלו נמצא, למשל </w:t>
      </w:r>
      <w:r w:rsidR="00C07F6E">
        <w:rPr>
          <w:rFonts w:hint="cs"/>
          <w:rtl/>
        </w:rPr>
        <w:t xml:space="preserve">העצם מצד עצמו אין אורכו חמישה סנטימטר ולא שלושה סנטימטר, </w:t>
      </w:r>
      <w:r w:rsidR="004E1197">
        <w:rPr>
          <w:rFonts w:hint="cs"/>
          <w:rtl/>
        </w:rPr>
        <w:t xml:space="preserve">אלא למשל אנו אומרים שראובן נמצא כעצם, והעצם שהוא ראובן הוא </w:t>
      </w:r>
      <w:r w:rsidR="005518CA">
        <w:rPr>
          <w:rFonts w:hint="cs"/>
          <w:rtl/>
        </w:rPr>
        <w:t>'</w:t>
      </w:r>
      <w:r w:rsidR="004E1197">
        <w:rPr>
          <w:rFonts w:hint="cs"/>
          <w:rtl/>
        </w:rPr>
        <w:t>אדם</w:t>
      </w:r>
      <w:r w:rsidR="005518CA">
        <w:rPr>
          <w:rFonts w:hint="cs"/>
          <w:rtl/>
        </w:rPr>
        <w:t>'</w:t>
      </w:r>
      <w:r w:rsidR="004E1197">
        <w:rPr>
          <w:rFonts w:hint="cs"/>
          <w:rtl/>
        </w:rPr>
        <w:t>, כלומר חי מדבר</w:t>
      </w:r>
      <w:r w:rsidR="00C7702E">
        <w:rPr>
          <w:rFonts w:hint="cs"/>
          <w:rtl/>
        </w:rPr>
        <w:t xml:space="preserve">. </w:t>
      </w:r>
      <w:r w:rsidR="005518CA">
        <w:rPr>
          <w:rFonts w:hint="cs"/>
          <w:rtl/>
        </w:rPr>
        <w:t>לא אומרים שהעצם ש</w:t>
      </w:r>
      <w:r w:rsidR="001510AC">
        <w:rPr>
          <w:rFonts w:hint="cs"/>
          <w:rtl/>
        </w:rPr>
        <w:t>הוא</w:t>
      </w:r>
      <w:r w:rsidR="005518CA">
        <w:rPr>
          <w:rFonts w:hint="cs"/>
          <w:rtl/>
        </w:rPr>
        <w:t xml:space="preserve"> ראובן הוא חי מדבר </w:t>
      </w:r>
      <w:r w:rsidR="00F1698A">
        <w:rPr>
          <w:rFonts w:hint="cs"/>
          <w:rtl/>
        </w:rPr>
        <w:t>קטן או חי מדבר כפול בגדלו ו</w:t>
      </w:r>
      <w:r w:rsidR="001510AC">
        <w:rPr>
          <w:rFonts w:hint="cs"/>
          <w:rtl/>
        </w:rPr>
        <w:t xml:space="preserve">כל </w:t>
      </w:r>
      <w:r w:rsidR="00F1698A">
        <w:rPr>
          <w:rFonts w:hint="cs"/>
          <w:rtl/>
        </w:rPr>
        <w:t>כיו"ב, אלא הוא חי מדבר ותו לא</w:t>
      </w:r>
      <w:r w:rsidR="001510AC">
        <w:rPr>
          <w:rFonts w:hint="cs"/>
          <w:rtl/>
        </w:rPr>
        <w:t xml:space="preserve">, </w:t>
      </w:r>
      <w:r w:rsidR="000734C5">
        <w:rPr>
          <w:rFonts w:hint="cs"/>
          <w:rtl/>
        </w:rPr>
        <w:t xml:space="preserve">ואין מי שהוא 'חי מדבר' יותר מאדם אחר, </w:t>
      </w:r>
      <w:r w:rsidR="00A600CB">
        <w:rPr>
          <w:rFonts w:hint="cs"/>
          <w:rtl/>
        </w:rPr>
        <w:t>א</w:t>
      </w:r>
      <w:r w:rsidR="000734C5">
        <w:rPr>
          <w:rFonts w:hint="cs"/>
          <w:rtl/>
        </w:rPr>
        <w:t>לא</w:t>
      </w:r>
      <w:r w:rsidR="00A600CB">
        <w:rPr>
          <w:rFonts w:hint="cs"/>
          <w:rtl/>
        </w:rPr>
        <w:t xml:space="preserve"> </w:t>
      </w:r>
      <w:r w:rsidR="000734C5">
        <w:rPr>
          <w:rFonts w:hint="cs"/>
          <w:rtl/>
        </w:rPr>
        <w:t>כל בני האדם שווים בהיותם חי מדבר,</w:t>
      </w:r>
      <w:r w:rsidR="00A600CB">
        <w:rPr>
          <w:rFonts w:hint="cs"/>
          <w:rtl/>
        </w:rPr>
        <w:t xml:space="preserve"> </w:t>
      </w:r>
      <w:r w:rsidR="000734C5">
        <w:rPr>
          <w:rFonts w:hint="cs"/>
          <w:rtl/>
        </w:rPr>
        <w:t>כי זה העצם</w:t>
      </w:r>
      <w:r w:rsidR="00A600CB">
        <w:rPr>
          <w:rFonts w:hint="cs"/>
          <w:rtl/>
        </w:rPr>
        <w:t>,</w:t>
      </w:r>
      <w:r w:rsidR="000734C5">
        <w:rPr>
          <w:rFonts w:hint="cs"/>
          <w:rtl/>
        </w:rPr>
        <w:t xml:space="preserve"> והשוני הוא רק במקרים</w:t>
      </w:r>
      <w:r w:rsidR="00F1698A">
        <w:rPr>
          <w:rFonts w:hint="cs"/>
          <w:rtl/>
        </w:rPr>
        <w:t xml:space="preserve">. </w:t>
      </w:r>
      <w:r w:rsidR="00A600CB">
        <w:rPr>
          <w:rFonts w:hint="cs"/>
          <w:rtl/>
        </w:rPr>
        <w:t xml:space="preserve">אין סוס שהוא יותר סוס מסוס אחר וכן הלאה, </w:t>
      </w:r>
      <w:r w:rsidR="00EE50D6">
        <w:rPr>
          <w:rFonts w:hint="cs"/>
          <w:rtl/>
        </w:rPr>
        <w:t xml:space="preserve">רק במקרים יש שוני. </w:t>
      </w:r>
      <w:r w:rsidR="00F1698A">
        <w:rPr>
          <w:rFonts w:hint="cs"/>
          <w:rtl/>
        </w:rPr>
        <w:t xml:space="preserve">קטן או גדול הם מקרים של כמות, ואחרי שהעצם </w:t>
      </w:r>
      <w:r w:rsidR="00EE50D6">
        <w:rPr>
          <w:rFonts w:hint="cs"/>
          <w:rtl/>
        </w:rPr>
        <w:t>נמצא ו</w:t>
      </w:r>
      <w:r w:rsidR="00F1698A">
        <w:rPr>
          <w:rFonts w:hint="cs"/>
          <w:rtl/>
        </w:rPr>
        <w:t xml:space="preserve">מצד עצמו אין בו מקרים של כמות, </w:t>
      </w:r>
      <w:r w:rsidR="00367EF2">
        <w:rPr>
          <w:rFonts w:hint="cs"/>
          <w:rtl/>
        </w:rPr>
        <w:t>קורים</w:t>
      </w:r>
      <w:r w:rsidR="00F1698A">
        <w:rPr>
          <w:rFonts w:hint="cs"/>
          <w:rtl/>
        </w:rPr>
        <w:t xml:space="preserve"> </w:t>
      </w:r>
      <w:r w:rsidR="00367EF2">
        <w:rPr>
          <w:rFonts w:hint="cs"/>
          <w:rtl/>
        </w:rPr>
        <w:t>ב</w:t>
      </w:r>
      <w:r w:rsidR="00F1698A">
        <w:rPr>
          <w:rFonts w:hint="cs"/>
          <w:rtl/>
        </w:rPr>
        <w:t>עצם הזה, על</w:t>
      </w:r>
      <w:r w:rsidR="00367EF2">
        <w:rPr>
          <w:rFonts w:hint="cs"/>
          <w:rtl/>
        </w:rPr>
        <w:t xml:space="preserve"> גבי מציאותו כעצם,</w:t>
      </w:r>
      <w:r w:rsidR="00F1698A">
        <w:rPr>
          <w:rFonts w:hint="cs"/>
          <w:rtl/>
        </w:rPr>
        <w:t xml:space="preserve"> מקרים של כמות, ומציאותם של המקרים אינה באותו מובן כמו המציאות של העצם</w:t>
      </w:r>
      <w:r w:rsidR="00367EF2">
        <w:rPr>
          <w:rFonts w:hint="cs"/>
          <w:rtl/>
        </w:rPr>
        <w:t>,</w:t>
      </w:r>
      <w:r w:rsidR="00F1698A">
        <w:rPr>
          <w:rFonts w:hint="cs"/>
          <w:rtl/>
        </w:rPr>
        <w:t xml:space="preserve"> אלא היא מציאות משנית שנשענת על מציאותו של העצם</w:t>
      </w:r>
      <w:r w:rsidR="00C96E07">
        <w:rPr>
          <w:rFonts w:hint="cs"/>
          <w:rtl/>
        </w:rPr>
        <w:t>.</w:t>
      </w:r>
    </w:p>
    <w:p w14:paraId="0E23C617" w14:textId="6627685B" w:rsidR="000F4647" w:rsidRDefault="000F4647">
      <w:pPr>
        <w:pStyle w:val="FootnoteText"/>
        <w:rPr>
          <w:rtl/>
        </w:rPr>
      </w:pPr>
      <w:r>
        <w:rPr>
          <w:rFonts w:hint="cs"/>
          <w:rtl/>
        </w:rPr>
        <w:t xml:space="preserve">כך אומרים גם שכמו שהעצם אינו בגודל שלוש או חמש, אלא הוא מחוסר גודל כי הוא העצם ולא המקרים, כך גם אין גדלו סופי או אין סופי, כי אלה שתי כמויות. </w:t>
      </w:r>
    </w:p>
    <w:p w14:paraId="4BF6DBBB" w14:textId="22B2EC6B" w:rsidR="006B3E5E" w:rsidRDefault="00D91710">
      <w:pPr>
        <w:pStyle w:val="FootnoteText"/>
        <w:rPr>
          <w:rtl/>
        </w:rPr>
      </w:pPr>
      <w:r>
        <w:rPr>
          <w:rFonts w:hint="cs"/>
          <w:rtl/>
        </w:rPr>
        <w:t>זו טעות שטועים בה גם המתמטיקאים של זמננו, שמגדירים את האין סוף כמספר, ככמות, רק שהי</w:t>
      </w:r>
      <w:r w:rsidR="00517627">
        <w:rPr>
          <w:rFonts w:hint="cs"/>
          <w:rtl/>
        </w:rPr>
        <w:t>א</w:t>
      </w:r>
      <w:r>
        <w:rPr>
          <w:rFonts w:hint="cs"/>
          <w:rtl/>
        </w:rPr>
        <w:t xml:space="preserve"> כמות </w:t>
      </w:r>
      <w:r w:rsidR="00A85BCA">
        <w:rPr>
          <w:rFonts w:hint="cs"/>
          <w:rtl/>
        </w:rPr>
        <w:t>שיכולה להיות גדולה יותר מכל כמות שנחשוב עליה</w:t>
      </w:r>
      <w:r>
        <w:rPr>
          <w:rFonts w:hint="cs"/>
          <w:rtl/>
        </w:rPr>
        <w:t xml:space="preserve">. </w:t>
      </w:r>
      <w:r w:rsidR="00A85BCA">
        <w:rPr>
          <w:rFonts w:hint="cs"/>
          <w:rtl/>
        </w:rPr>
        <w:t>אבל לפי ה</w:t>
      </w:r>
      <w:r w:rsidR="00517627">
        <w:rPr>
          <w:rFonts w:hint="cs"/>
          <w:rtl/>
        </w:rPr>
        <w:t>אמת להיות לא מוגבל סותר מהיסוד את המושג של 'כמות' ואינו יכול להיחשב כאופן של כמות</w:t>
      </w:r>
      <w:r w:rsidR="007F7825">
        <w:rPr>
          <w:rFonts w:hint="cs"/>
          <w:rtl/>
        </w:rPr>
        <w:t xml:space="preserve">, אלא הכוונה שהוא מעל כל הגדרת כמות, כמו שהמספר שלוש הוא מעל הגדרות של חום וקור. </w:t>
      </w:r>
      <w:r w:rsidR="00226E2B">
        <w:rPr>
          <w:rFonts w:hint="cs"/>
          <w:rtl/>
        </w:rPr>
        <w:t>אי אפשר כלל לדבר על הטמפרטורה של המספר שלוש ולומר עליה שהיא לא יכולה להימדד</w:t>
      </w:r>
      <w:r w:rsidR="00C4650D">
        <w:rPr>
          <w:rFonts w:hint="cs"/>
          <w:rtl/>
        </w:rPr>
        <w:t xml:space="preserve"> כי המספר הוא מחוץ להגדרות טמפרטורה כלל ועיקר</w:t>
      </w:r>
      <w:r w:rsidR="00226E2B">
        <w:rPr>
          <w:rFonts w:hint="cs"/>
          <w:rtl/>
        </w:rPr>
        <w:t>, כך אי אפשר לדבר על כמות ש</w:t>
      </w:r>
      <w:r w:rsidR="00C4650D">
        <w:rPr>
          <w:rFonts w:hint="cs"/>
          <w:rtl/>
        </w:rPr>
        <w:t>היא</w:t>
      </w:r>
      <w:r w:rsidR="00226E2B">
        <w:rPr>
          <w:rFonts w:hint="cs"/>
          <w:rtl/>
        </w:rPr>
        <w:t xml:space="preserve"> אין סוף</w:t>
      </w:r>
      <w:r w:rsidR="00C03D28">
        <w:rPr>
          <w:rFonts w:hint="cs"/>
          <w:rtl/>
        </w:rPr>
        <w:t xml:space="preserve"> כי אין סוף הוא מחוץ להגדרת כמות כלל ועיקר</w:t>
      </w:r>
      <w:r w:rsidR="00A6213C">
        <w:rPr>
          <w:rFonts w:hint="cs"/>
          <w:rtl/>
        </w:rPr>
        <w:t xml:space="preserve"> (שלילה קטגורית)</w:t>
      </w:r>
      <w:r w:rsidR="00517627">
        <w:rPr>
          <w:rFonts w:hint="cs"/>
          <w:rtl/>
        </w:rPr>
        <w:t xml:space="preserve">. </w:t>
      </w:r>
      <w:r w:rsidR="00C03D28">
        <w:rPr>
          <w:rFonts w:hint="cs"/>
          <w:rtl/>
        </w:rPr>
        <w:t>אם אין גבולות</w:t>
      </w:r>
      <w:r w:rsidR="00A6213C">
        <w:rPr>
          <w:rFonts w:hint="cs"/>
          <w:rtl/>
        </w:rPr>
        <w:t xml:space="preserve"> (אין סוף פירושו אין גבולות)</w:t>
      </w:r>
      <w:r w:rsidR="00C03D28">
        <w:rPr>
          <w:rFonts w:hint="cs"/>
          <w:rtl/>
        </w:rPr>
        <w:t xml:space="preserve"> אין </w:t>
      </w:r>
      <w:r w:rsidR="004A3C8B">
        <w:rPr>
          <w:rFonts w:hint="cs"/>
          <w:rtl/>
        </w:rPr>
        <w:t>יחידות</w:t>
      </w:r>
      <w:r w:rsidR="00C03D28">
        <w:rPr>
          <w:rFonts w:hint="cs"/>
          <w:rtl/>
        </w:rPr>
        <w:t xml:space="preserve"> ואין את מה לספור ואין למה לתת כמות. </w:t>
      </w:r>
      <w:r w:rsidR="009643A0">
        <w:rPr>
          <w:rFonts w:hint="cs"/>
          <w:rtl/>
        </w:rPr>
        <w:t>לכן להיות אין סופי הוא לא מקרה לעצם אלא זה שייך למהות העצם, לעצמותו</w:t>
      </w:r>
      <w:r w:rsidR="00B053FA">
        <w:rPr>
          <w:rFonts w:hint="cs"/>
          <w:rtl/>
        </w:rPr>
        <w:t xml:space="preserve">, לאופן קיומו כעצם, ולכן לפי האמת יש מקום להגדיר עצם כסופי או אין סופי. </w:t>
      </w:r>
      <w:r w:rsidR="00F00573">
        <w:rPr>
          <w:rFonts w:hint="cs"/>
          <w:rtl/>
        </w:rPr>
        <w:t xml:space="preserve">זו דוגמה </w:t>
      </w:r>
      <w:r w:rsidR="00D607EF">
        <w:rPr>
          <w:rFonts w:hint="cs"/>
          <w:rtl/>
        </w:rPr>
        <w:t>למה שכתב</w:t>
      </w:r>
      <w:r w:rsidR="001155C2">
        <w:rPr>
          <w:rFonts w:hint="cs"/>
          <w:rtl/>
        </w:rPr>
        <w:t xml:space="preserve"> אבן סינא כאן</w:t>
      </w:r>
      <w:r w:rsidR="00D607EF">
        <w:rPr>
          <w:rFonts w:hint="cs"/>
          <w:rtl/>
        </w:rPr>
        <w:t xml:space="preserve"> שלפעמים </w:t>
      </w:r>
      <w:r w:rsidR="00D607EF">
        <w:rPr>
          <w:rFonts w:hint="cs"/>
          <w:rtl/>
        </w:rPr>
        <w:t>הפ</w:t>
      </w:r>
      <w:r w:rsidR="001155C2">
        <w:rPr>
          <w:rFonts w:hint="cs"/>
          <w:rtl/>
        </w:rPr>
        <w:t>י</w:t>
      </w:r>
      <w:r w:rsidR="00D607EF">
        <w:rPr>
          <w:rFonts w:hint="cs"/>
          <w:rtl/>
        </w:rPr>
        <w:t>רכה מתגלית דווקא בהקדמות ובמסקנות</w:t>
      </w:r>
      <w:r w:rsidR="001155C2">
        <w:rPr>
          <w:rFonts w:hint="cs"/>
          <w:rtl/>
        </w:rPr>
        <w:t xml:space="preserve"> היא נסתרת</w:t>
      </w:r>
      <w:r w:rsidR="00D607EF">
        <w:rPr>
          <w:rFonts w:hint="cs"/>
          <w:rtl/>
        </w:rPr>
        <w:t xml:space="preserve">. </w:t>
      </w:r>
      <w:r w:rsidR="001155C2">
        <w:rPr>
          <w:rFonts w:hint="cs"/>
          <w:rtl/>
        </w:rPr>
        <w:t>המסקנה</w:t>
      </w:r>
      <w:r w:rsidR="00572F2B">
        <w:rPr>
          <w:rFonts w:hint="cs"/>
          <w:rtl/>
        </w:rPr>
        <w:t xml:space="preserve"> של הטועים</w:t>
      </w:r>
      <w:r w:rsidR="001155C2">
        <w:rPr>
          <w:rFonts w:hint="cs"/>
          <w:rtl/>
        </w:rPr>
        <w:t xml:space="preserve"> היא </w:t>
      </w:r>
      <w:r w:rsidR="00572F2B">
        <w:rPr>
          <w:rFonts w:hint="cs"/>
          <w:rtl/>
        </w:rPr>
        <w:t>שכמות אינה שייכת להגדרת מציאות העצם כעצם, ומכח זה אמרו ש</w:t>
      </w:r>
      <w:r w:rsidR="00A240B6">
        <w:rPr>
          <w:rFonts w:hint="cs"/>
          <w:rtl/>
        </w:rPr>
        <w:t>אין מקום לומר על עצם סופי או אין סופי</w:t>
      </w:r>
      <w:r w:rsidR="00572F2B">
        <w:rPr>
          <w:rFonts w:hint="cs"/>
          <w:rtl/>
        </w:rPr>
        <w:t xml:space="preserve">. </w:t>
      </w:r>
      <w:r w:rsidR="00A240B6">
        <w:rPr>
          <w:rFonts w:hint="cs"/>
          <w:rtl/>
        </w:rPr>
        <w:t xml:space="preserve">לפי האמת המסקנה </w:t>
      </w:r>
      <w:r w:rsidR="00344FE0">
        <w:rPr>
          <w:rFonts w:hint="cs"/>
          <w:rtl/>
        </w:rPr>
        <w:t xml:space="preserve">היא גם כן שכמות אינה מעיקר הגדרת מציאות העצם, כלומר מסקנת האמת לא נגלה ממנה סתירה למסקנת הטועים. </w:t>
      </w:r>
      <w:r w:rsidR="00094A8A">
        <w:rPr>
          <w:rFonts w:hint="cs"/>
          <w:rtl/>
        </w:rPr>
        <w:t>אבל אם אנו הולכים להקדמות של אותה מסקנה, שהן ההסתכלות מהו סופי ומהו אין סופי, שם נגלה היטב טעותם של הטועים, כי הם הגדירו את ההקדמה ש</w:t>
      </w:r>
      <w:r w:rsidR="000D1873">
        <w:rPr>
          <w:rFonts w:hint="cs"/>
          <w:rtl/>
        </w:rPr>
        <w:t>היא</w:t>
      </w:r>
      <w:r w:rsidR="00094A8A">
        <w:rPr>
          <w:rFonts w:hint="cs"/>
          <w:rtl/>
        </w:rPr>
        <w:t xml:space="preserve"> המושג </w:t>
      </w:r>
      <w:r w:rsidR="000D1873">
        <w:rPr>
          <w:rFonts w:hint="cs"/>
          <w:rtl/>
        </w:rPr>
        <w:t>'</w:t>
      </w:r>
      <w:r w:rsidR="00094A8A">
        <w:rPr>
          <w:rFonts w:hint="cs"/>
          <w:rtl/>
        </w:rPr>
        <w:t>אין סופי</w:t>
      </w:r>
      <w:r w:rsidR="000D1873">
        <w:rPr>
          <w:rFonts w:hint="cs"/>
          <w:rtl/>
        </w:rPr>
        <w:t>'</w:t>
      </w:r>
      <w:r w:rsidR="00094A8A">
        <w:rPr>
          <w:rFonts w:hint="cs"/>
          <w:rtl/>
        </w:rPr>
        <w:t xml:space="preserve"> ככמות ובאמת פשוט שזו לא כמות. </w:t>
      </w:r>
    </w:p>
    <w:p w14:paraId="23F2F6F4" w14:textId="55DAC4EB" w:rsidR="000D1873" w:rsidRDefault="000D1873">
      <w:pPr>
        <w:pStyle w:val="FootnoteText"/>
        <w:rPr>
          <w:rtl/>
        </w:rPr>
      </w:pPr>
      <w:r>
        <w:rPr>
          <w:rFonts w:hint="cs"/>
          <w:rtl/>
        </w:rPr>
        <w:t>בפיזיקה ספר א' פרק ב' מדבר אריסטו בעניין זה ובעוד עניינים קרובים אליו.</w:t>
      </w:r>
    </w:p>
    <w:p w14:paraId="30E977D4" w14:textId="1E168304" w:rsidR="00887444" w:rsidRDefault="00887444">
      <w:pPr>
        <w:pStyle w:val="FootnoteText"/>
        <w:rPr>
          <w:rtl/>
        </w:rPr>
      </w:pPr>
      <w:r>
        <w:rPr>
          <w:rFonts w:hint="cs"/>
          <w:rtl/>
        </w:rPr>
        <w:t>אבן סינא כתב שהוא מביא את העניין של המציאות כרצף רק כדוגמה לכך שאי אפשר להפרי</w:t>
      </w:r>
      <w:r w:rsidR="00DA5D38">
        <w:rPr>
          <w:rFonts w:hint="cs"/>
          <w:rtl/>
        </w:rPr>
        <w:t>ך</w:t>
      </w:r>
      <w:r>
        <w:rPr>
          <w:rFonts w:hint="cs"/>
          <w:rtl/>
        </w:rPr>
        <w:t xml:space="preserve"> מסקנה של פלוני מכח מסקנות שלי, כי ההקדמות</w:t>
      </w:r>
      <w:r w:rsidR="00DA5D38">
        <w:rPr>
          <w:rFonts w:hint="cs"/>
          <w:rtl/>
        </w:rPr>
        <w:t xml:space="preserve"> </w:t>
      </w:r>
      <w:r>
        <w:rPr>
          <w:rFonts w:hint="cs"/>
          <w:rtl/>
        </w:rPr>
        <w:t xml:space="preserve">שונות. </w:t>
      </w:r>
    </w:p>
    <w:p w14:paraId="6344EE51" w14:textId="77777777" w:rsidR="004C5BA4" w:rsidRDefault="008B77D8">
      <w:pPr>
        <w:pStyle w:val="FootnoteText"/>
        <w:rPr>
          <w:rtl/>
        </w:rPr>
      </w:pPr>
      <w:r>
        <w:rPr>
          <w:rFonts w:hint="cs"/>
          <w:rtl/>
        </w:rPr>
        <w:t>יש שכל שמסתכל רק על מה שהחוש רואה, זוהי התפישה המטריאליסטית, לפיה יש רק חומר ופירוד ומקריות וחוסר פשר, זו תפישת המדע המערבי ורוב המחשבה המערבית מאחרי ימי הביניים.</w:t>
      </w:r>
      <w:r w:rsidR="004A2961">
        <w:rPr>
          <w:rFonts w:hint="cs"/>
          <w:rtl/>
        </w:rPr>
        <w:t xml:space="preserve"> יש אופן אחר של שימוש בשכל, והוא הסתכלות שנובעת מכח של השתאות, של תפישה שיש חידה.</w:t>
      </w:r>
      <w:r w:rsidR="004C5BA4">
        <w:rPr>
          <w:rFonts w:hint="cs"/>
          <w:rtl/>
        </w:rPr>
        <w:t xml:space="preserve"> אני מעתיק שוב את לשון החזון איש בעניין זה מרוב חביבותה:</w:t>
      </w:r>
    </w:p>
    <w:p w14:paraId="183D867B" w14:textId="77777777" w:rsidR="00883143" w:rsidRDefault="004C5BA4">
      <w:pPr>
        <w:pStyle w:val="FootnoteText"/>
        <w:rPr>
          <w:rtl/>
        </w:rPr>
      </w:pPr>
      <w:r>
        <w:rPr>
          <w:rFonts w:hint="cs"/>
          <w:rtl/>
        </w:rPr>
        <w:t>"</w:t>
      </w:r>
      <w:r w:rsidR="00D75863" w:rsidRPr="00D75863">
        <w:rPr>
          <w:rtl/>
        </w:rPr>
        <w:t>מדת אמונה היא נטיה דקה מעדינות הנפש: אם האדם הוא בעל נפש, ושעתו שעת השקט, חפשי מרעבון תאוני, ועינו מרהיבה ממחזה שמים לרום, והארץ לעומק, הוא נרגש ונדהם, כי העולם נדמה לפניו כחידה סתומה, כמוסה ונפלאה, והחידה הזאת מלפפת את לבבו ומוחו, והוא כמתעלף, לא נשאר בו רוח חיים, בלתי אל החידה כל מעינו ומגמתו, ודעת פתרונה כלתה נפשו, ונבחר לו לבוא באש ובמים בשבילה, כי מה לו ולחיים, אם החיים הנעימים האלו נעלמים ממנו תכלית ההעלם, ונפשו סחרחרה ואבלה וכמהה להבין סודה ולדעת שרשה</w:t>
      </w:r>
      <w:r>
        <w:rPr>
          <w:rFonts w:hint="cs"/>
          <w:rtl/>
        </w:rPr>
        <w:t>"</w:t>
      </w:r>
    </w:p>
    <w:p w14:paraId="03769D63" w14:textId="77777777" w:rsidR="00883143" w:rsidRDefault="00883143">
      <w:pPr>
        <w:pStyle w:val="FootnoteText"/>
        <w:rPr>
          <w:rtl/>
        </w:rPr>
      </w:pPr>
    </w:p>
    <w:p w14:paraId="24613938" w14:textId="0E1F1DCF" w:rsidR="00883143" w:rsidRDefault="00883143">
      <w:pPr>
        <w:pStyle w:val="FootnoteText"/>
        <w:rPr>
          <w:rtl/>
        </w:rPr>
      </w:pPr>
      <w:r>
        <w:rPr>
          <w:rFonts w:hint="cs"/>
          <w:rtl/>
        </w:rPr>
        <w:t xml:space="preserve">וכעין זה לשון המורה נבוכים ב' </w:t>
      </w:r>
      <w:r w:rsidR="00843202">
        <w:rPr>
          <w:rFonts w:hint="cs"/>
          <w:rtl/>
        </w:rPr>
        <w:t>ל"ו</w:t>
      </w:r>
      <w:r>
        <w:rPr>
          <w:rFonts w:hint="cs"/>
          <w:rtl/>
        </w:rPr>
        <w:t>:</w:t>
      </w:r>
    </w:p>
    <w:p w14:paraId="57BBDD79" w14:textId="086691C9" w:rsidR="00F8267C" w:rsidRDefault="00883143">
      <w:pPr>
        <w:pStyle w:val="FootnoteText"/>
        <w:rPr>
          <w:rtl/>
        </w:rPr>
      </w:pPr>
      <w:r>
        <w:rPr>
          <w:rFonts w:hint="cs"/>
          <w:rtl/>
        </w:rPr>
        <w:t>"</w:t>
      </w:r>
      <w:r w:rsidR="00843202" w:rsidRPr="00843202">
        <w:rPr>
          <w:rtl/>
        </w:rPr>
        <w:t>והיו תשוקותיו כולם לדעת סודות זה המציאות</w:t>
      </w:r>
      <w:r>
        <w:rPr>
          <w:rFonts w:hint="cs"/>
          <w:rtl/>
        </w:rPr>
        <w:t>"</w:t>
      </w:r>
      <w:r w:rsidR="00843202">
        <w:rPr>
          <w:rFonts w:hint="cs"/>
          <w:rtl/>
        </w:rPr>
        <w:t xml:space="preserve"> וכעין זה גם בתיאור של הנבוך בתחילת הפתיחה למורה נבוכים, ובמכתב לתלמיד שלפני הפתיחה</w:t>
      </w:r>
      <w:r w:rsidR="00F8267C">
        <w:rPr>
          <w:rFonts w:hint="cs"/>
          <w:rtl/>
        </w:rPr>
        <w:t xml:space="preserve"> ועוד</w:t>
      </w:r>
      <w:r w:rsidR="00843202">
        <w:rPr>
          <w:rFonts w:hint="cs"/>
          <w:rtl/>
        </w:rPr>
        <w:t xml:space="preserve">. </w:t>
      </w:r>
    </w:p>
    <w:p w14:paraId="2B3D539F" w14:textId="47BDB86F" w:rsidR="00AA7CB6" w:rsidRDefault="00F8267C">
      <w:pPr>
        <w:pStyle w:val="FootnoteText"/>
        <w:rPr>
          <w:rtl/>
        </w:rPr>
      </w:pPr>
      <w:r>
        <w:rPr>
          <w:rFonts w:hint="cs"/>
          <w:rtl/>
        </w:rPr>
        <w:t xml:space="preserve">הכמיהה להבין את החידה היא לא תוצאה של שימוש בשכל, אלא נובעת מעדינות הנפש. </w:t>
      </w:r>
      <w:r w:rsidR="00E408BE">
        <w:rPr>
          <w:rFonts w:hint="cs"/>
          <w:rtl/>
        </w:rPr>
        <w:t>הכמיהה הזו מכוונת את השכל להביט למעלה, אל הנשגב, אל שרשי המציאות</w:t>
      </w:r>
      <w:r w:rsidR="00700F1F">
        <w:rPr>
          <w:rFonts w:hint="cs"/>
          <w:rtl/>
        </w:rPr>
        <w:t>,</w:t>
      </w:r>
      <w:r w:rsidR="00442DA9">
        <w:rPr>
          <w:rFonts w:hint="cs"/>
          <w:rtl/>
        </w:rPr>
        <w:t xml:space="preserve"> אל המופשט</w:t>
      </w:r>
      <w:r w:rsidR="00E408BE">
        <w:rPr>
          <w:rFonts w:hint="cs"/>
          <w:rtl/>
        </w:rPr>
        <w:t xml:space="preserve">. </w:t>
      </w:r>
      <w:r w:rsidR="00442DA9">
        <w:rPr>
          <w:rFonts w:hint="cs"/>
          <w:rtl/>
        </w:rPr>
        <w:t>זה הרצון הראשון, והוא תלוי בבחירה.</w:t>
      </w:r>
      <w:r w:rsidR="00D818A7">
        <w:rPr>
          <w:rFonts w:hint="cs"/>
          <w:rtl/>
        </w:rPr>
        <w:t xml:space="preserve"> מי שמסתכל למטה, רק על המציאות של החוש והדמיון, ולא נושא עיניו למעלה בהשתאות, לא יוכל לראות שאין סוף ב</w:t>
      </w:r>
      <w:r w:rsidR="00AA7CB6">
        <w:rPr>
          <w:rFonts w:hint="cs"/>
          <w:rtl/>
        </w:rPr>
        <w:t>פ</w:t>
      </w:r>
      <w:r w:rsidR="00D818A7">
        <w:rPr>
          <w:rFonts w:hint="cs"/>
          <w:rtl/>
        </w:rPr>
        <w:t>ועל הוא עניין שלא קיים בטבע</w:t>
      </w:r>
      <w:r w:rsidR="00AA7CB6">
        <w:rPr>
          <w:rFonts w:hint="cs"/>
          <w:rtl/>
        </w:rPr>
        <w:t>, והוא לא כמות גדולה עד בלי גבול אלא משהו שנשגב מהגדרות הכמות.</w:t>
      </w:r>
    </w:p>
    <w:p w14:paraId="388C205D" w14:textId="77777777" w:rsidR="00875D7C" w:rsidRDefault="00514396" w:rsidP="007519CB">
      <w:pPr>
        <w:pStyle w:val="FootnoteText"/>
        <w:rPr>
          <w:rtl/>
        </w:rPr>
      </w:pPr>
      <w:r>
        <w:rPr>
          <w:rFonts w:hint="cs"/>
          <w:rtl/>
        </w:rPr>
        <w:t>השוני בהקדמות בין בני האדם נובע משוני בבחירה שלהם איך להשתמש בשכל,</w:t>
      </w:r>
      <w:r w:rsidR="007519CB">
        <w:rPr>
          <w:rFonts w:hint="cs"/>
          <w:rtl/>
        </w:rPr>
        <w:t xml:space="preserve"> </w:t>
      </w:r>
      <w:r>
        <w:rPr>
          <w:rFonts w:hint="cs"/>
          <w:rtl/>
        </w:rPr>
        <w:t>לאיזה כיוון להפנות אותו, האם ל</w:t>
      </w:r>
      <w:r w:rsidR="007519CB">
        <w:rPr>
          <w:rFonts w:hint="cs"/>
          <w:rtl/>
        </w:rPr>
        <w:t>בחור ללכת אחרי הכמיהה שנובעת מעדינות הנפש או לא. לכן לא יתכן כאן ויכוח פורה</w:t>
      </w:r>
      <w:r w:rsidR="00167D02">
        <w:rPr>
          <w:rFonts w:hint="cs"/>
          <w:rtl/>
        </w:rPr>
        <w:t>.</w:t>
      </w:r>
      <w:r w:rsidR="007519CB">
        <w:rPr>
          <w:rFonts w:hint="cs"/>
          <w:rtl/>
        </w:rPr>
        <w:t xml:space="preserve"> כל טיעון </w:t>
      </w:r>
      <w:r w:rsidR="00AC6D34">
        <w:rPr>
          <w:rFonts w:hint="cs"/>
          <w:rtl/>
        </w:rPr>
        <w:t>הכרחי ובהיר</w:t>
      </w:r>
      <w:r w:rsidR="007519CB">
        <w:rPr>
          <w:rFonts w:hint="cs"/>
          <w:rtl/>
        </w:rPr>
        <w:t xml:space="preserve"> לא י</w:t>
      </w:r>
      <w:r w:rsidR="00AC6D34">
        <w:rPr>
          <w:rFonts w:hint="cs"/>
          <w:rtl/>
        </w:rPr>
        <w:t>וכל לה</w:t>
      </w:r>
      <w:r w:rsidR="007519CB">
        <w:rPr>
          <w:rFonts w:hint="cs"/>
          <w:rtl/>
        </w:rPr>
        <w:t>תקבל אצל הצד המתנגד כי ההקדמות שלו אחרות</w:t>
      </w:r>
      <w:r w:rsidR="00AC6D34">
        <w:rPr>
          <w:rFonts w:hint="cs"/>
          <w:rtl/>
        </w:rPr>
        <w:t xml:space="preserve">. </w:t>
      </w:r>
    </w:p>
    <w:p w14:paraId="68319F45" w14:textId="2FD28618" w:rsidR="00DA5D38" w:rsidRDefault="00C25C7A" w:rsidP="007519CB">
      <w:pPr>
        <w:pStyle w:val="FootnoteText"/>
      </w:pPr>
      <w:r>
        <w:rPr>
          <w:rFonts w:hint="cs"/>
          <w:rtl/>
        </w:rPr>
        <w:t>במורה נבוכים א' ז' כתב שמי שיש לו שכל מפותח כמו לכל אדם, אבל לא משתמש בו להשיג דעת אלוהים אלא להסתכל רק על המציאות שמול עיניו, כמו בעלי החיים, הוא בהמה בדמות אדם, וכ</w:t>
      </w:r>
      <w:r w:rsidR="00875D7C">
        <w:rPr>
          <w:rFonts w:hint="cs"/>
          <w:rtl/>
        </w:rPr>
        <w:t>ח</w:t>
      </w:r>
      <w:r>
        <w:rPr>
          <w:rFonts w:hint="cs"/>
          <w:rtl/>
        </w:rPr>
        <w:t xml:space="preserve"> השכל העודף שלו </w:t>
      </w:r>
      <w:r w:rsidR="00875D7C">
        <w:rPr>
          <w:rFonts w:hint="cs"/>
          <w:rtl/>
        </w:rPr>
        <w:t xml:space="preserve">(שהוא </w:t>
      </w:r>
      <w:r>
        <w:rPr>
          <w:rFonts w:hint="cs"/>
          <w:rtl/>
        </w:rPr>
        <w:t xml:space="preserve">שווה </w:t>
      </w:r>
      <w:r w:rsidR="00875D7C">
        <w:rPr>
          <w:rFonts w:hint="cs"/>
          <w:rtl/>
        </w:rPr>
        <w:t>לשכלו</w:t>
      </w:r>
      <w:r>
        <w:rPr>
          <w:rFonts w:hint="cs"/>
          <w:rtl/>
        </w:rPr>
        <w:t xml:space="preserve"> של מי שמשיג דעת אלוהים ורק שונה בכיוון שאליו הוא מסתכל</w:t>
      </w:r>
      <w:r w:rsidR="00EB19C4">
        <w:rPr>
          <w:rFonts w:hint="cs"/>
          <w:rtl/>
        </w:rPr>
        <w:t>)</w:t>
      </w:r>
      <w:r>
        <w:rPr>
          <w:rFonts w:hint="cs"/>
          <w:rtl/>
        </w:rPr>
        <w:t xml:space="preserve">, גורם לו להיקרא שד ולהיות </w:t>
      </w:r>
      <w:r w:rsidR="00875D7C">
        <w:rPr>
          <w:rFonts w:hint="cs"/>
          <w:rtl/>
        </w:rPr>
        <w:t xml:space="preserve">אב נזיקין. </w:t>
      </w:r>
      <w:r w:rsidR="00AA7CB6">
        <w:rPr>
          <w:rFonts w:hint="cs"/>
          <w:rtl/>
        </w:rPr>
        <w:t xml:space="preserve"> </w:t>
      </w:r>
      <w:r w:rsidR="008B77D8">
        <w:rPr>
          <w:rFonts w:hint="cs"/>
          <w:rtl/>
        </w:rPr>
        <w:t xml:space="preserve"> </w:t>
      </w:r>
    </w:p>
  </w:footnote>
  <w:footnote w:id="396">
    <w:p w14:paraId="63C30FB2" w14:textId="1E5BF91F" w:rsidR="00866FFC" w:rsidRDefault="00EC1E29">
      <w:pPr>
        <w:pStyle w:val="FootnoteText"/>
        <w:rPr>
          <w:rtl/>
        </w:rPr>
      </w:pPr>
      <w:r>
        <w:rPr>
          <w:rStyle w:val="FootnoteReference"/>
        </w:rPr>
        <w:footnoteRef/>
      </w:r>
      <w:r>
        <w:rPr>
          <w:rtl/>
        </w:rPr>
        <w:t xml:space="preserve"> </w:t>
      </w:r>
      <w:r>
        <w:rPr>
          <w:rFonts w:hint="cs"/>
          <w:rtl/>
        </w:rPr>
        <w:t>כלומר רצף</w:t>
      </w:r>
      <w:r w:rsidR="00CC28E2">
        <w:rPr>
          <w:rFonts w:hint="cs"/>
          <w:rtl/>
        </w:rPr>
        <w:t>. רצף</w:t>
      </w:r>
      <w:r>
        <w:rPr>
          <w:rFonts w:hint="cs"/>
          <w:rtl/>
        </w:rPr>
        <w:t xml:space="preserve"> </w:t>
      </w:r>
      <w:r w:rsidR="00CC28E2">
        <w:rPr>
          <w:rFonts w:hint="cs"/>
          <w:rtl/>
        </w:rPr>
        <w:t xml:space="preserve">הוא </w:t>
      </w:r>
      <w:r w:rsidR="00AB7A5A">
        <w:rPr>
          <w:rFonts w:hint="cs"/>
          <w:rtl/>
        </w:rPr>
        <w:t xml:space="preserve">קו שאינו </w:t>
      </w:r>
      <w:r>
        <w:rPr>
          <w:rFonts w:hint="cs"/>
          <w:rtl/>
        </w:rPr>
        <w:t>אוסף של חלקיקים אלא משך אחד רצוף שבפועל אין בו נקודות חלוקה</w:t>
      </w:r>
      <w:r w:rsidR="00CC28E2">
        <w:rPr>
          <w:rFonts w:hint="cs"/>
          <w:rtl/>
        </w:rPr>
        <w:t xml:space="preserve"> (רק אחרי שיחולק יתגלה שהייתה בו בכח האפשרות להתחלק)</w:t>
      </w:r>
      <w:r>
        <w:rPr>
          <w:rFonts w:hint="cs"/>
          <w:rtl/>
        </w:rPr>
        <w:t xml:space="preserve"> </w:t>
      </w:r>
      <w:r w:rsidR="00AB7A5A">
        <w:rPr>
          <w:rFonts w:hint="cs"/>
          <w:rtl/>
        </w:rPr>
        <w:t>ו</w:t>
      </w:r>
      <w:r>
        <w:rPr>
          <w:rFonts w:hint="cs"/>
          <w:rtl/>
        </w:rPr>
        <w:t xml:space="preserve">הוא אחד באותו מובן שנקודה היא אחת. </w:t>
      </w:r>
      <w:r w:rsidR="00AB7A5A">
        <w:rPr>
          <w:rFonts w:hint="cs"/>
          <w:rtl/>
        </w:rPr>
        <w:t>אם היינו מעמידים נקודה אחת מול ראי מרחיב, היא הייתה נראית כמו קו, והקו הזה הוא אחד כמו הנקודה האחת, הוא רק דרך התגלות שלה, ואינו אוסף של נקודות רבות.</w:t>
      </w:r>
      <w:r>
        <w:rPr>
          <w:rFonts w:hint="cs"/>
          <w:rtl/>
        </w:rPr>
        <w:t xml:space="preserve"> </w:t>
      </w:r>
      <w:r w:rsidR="00AB7A5A">
        <w:rPr>
          <w:rFonts w:hint="cs"/>
          <w:rtl/>
        </w:rPr>
        <w:t xml:space="preserve">אחרי שהקו מתחלק, </w:t>
      </w:r>
      <w:r w:rsidR="00452461">
        <w:rPr>
          <w:rFonts w:hint="cs"/>
          <w:rtl/>
        </w:rPr>
        <w:t xml:space="preserve">זה כמו שהראי נשבר, ובכל רסיס של ראי רואים קו אחר, ועדיין הכל באמת אחד. זה </w:t>
      </w:r>
      <w:r w:rsidR="00204DB1">
        <w:rPr>
          <w:rFonts w:hint="cs"/>
          <w:rtl/>
        </w:rPr>
        <w:t>מ</w:t>
      </w:r>
      <w:r w:rsidR="00452461">
        <w:rPr>
          <w:rFonts w:hint="cs"/>
          <w:rtl/>
        </w:rPr>
        <w:t xml:space="preserve">הלך עמוק מאוד של השתלשלות העולם מהנקודה הראשונה שהיא החומר הראשון, ההיולי, כמו שכתב הרמב"ן על בראשית א' א', </w:t>
      </w:r>
      <w:r w:rsidR="00204DB1">
        <w:rPr>
          <w:rFonts w:hint="cs"/>
          <w:rtl/>
        </w:rPr>
        <w:t xml:space="preserve">עד צורת התלת ממדיות. הנקודה נעשית קו, הקו שטח והשטח מעוקב והוא החלל התלת ממדי. </w:t>
      </w:r>
      <w:r w:rsidR="00C150AD">
        <w:rPr>
          <w:rFonts w:hint="cs"/>
          <w:rtl/>
        </w:rPr>
        <w:t xml:space="preserve">עיין בזה </w:t>
      </w:r>
      <w:r w:rsidR="00C150AD">
        <w:rPr>
          <w:rFonts w:hint="cs"/>
          <w:rtl/>
        </w:rPr>
        <w:t>מטאפיזיקה דלתא פרק ו', ובמטאפיזיקה מ' ונ' בכמה מקומות.</w:t>
      </w:r>
    </w:p>
    <w:p w14:paraId="3F020236" w14:textId="77777777" w:rsidR="00866FFC" w:rsidRDefault="00866FFC">
      <w:pPr>
        <w:pStyle w:val="FootnoteText"/>
        <w:rPr>
          <w:rtl/>
        </w:rPr>
      </w:pPr>
      <w:r>
        <w:rPr>
          <w:rFonts w:hint="cs"/>
          <w:rtl/>
        </w:rPr>
        <w:t>לשון המורה נבוכים א' ע"ו:</w:t>
      </w:r>
    </w:p>
    <w:p w14:paraId="3A956CD2" w14:textId="77777777" w:rsidR="00D016DE" w:rsidRDefault="00866FFC">
      <w:pPr>
        <w:pStyle w:val="FootnoteText"/>
        <w:rPr>
          <w:rtl/>
        </w:rPr>
      </w:pPr>
      <w:r>
        <w:rPr>
          <w:rFonts w:hint="cs"/>
          <w:rtl/>
        </w:rPr>
        <w:t>"</w:t>
      </w:r>
      <w:r w:rsidR="00D75EDB">
        <w:rPr>
          <w:rFonts w:hint="cs"/>
          <w:rtl/>
        </w:rPr>
        <w:t>ו</w:t>
      </w:r>
      <w:r w:rsidR="00AD609E" w:rsidRPr="00AD609E">
        <w:rPr>
          <w:rtl/>
        </w:rPr>
        <w:t>אילו יאמר להם שגשם האל אינו מחובר מחלקים לא יחלקו</w:t>
      </w:r>
      <w:r w:rsidR="00D75EDB">
        <w:rPr>
          <w:rFonts w:hint="cs"/>
          <w:rtl/>
        </w:rPr>
        <w:t xml:space="preserve"> [</w:t>
      </w:r>
      <w:r w:rsidR="00662518">
        <w:rPr>
          <w:rFonts w:hint="cs"/>
          <w:rtl/>
        </w:rPr>
        <w:t>כלומר אטומים, חלקיקי יסוד בלתי מתחלקים (</w:t>
      </w:r>
      <w:r w:rsidR="00D75EDB">
        <w:rPr>
          <w:rFonts w:hint="cs"/>
          <w:rtl/>
        </w:rPr>
        <w:t xml:space="preserve">מדברים </w:t>
      </w:r>
      <w:r w:rsidR="00662518">
        <w:rPr>
          <w:rFonts w:hint="cs"/>
          <w:rtl/>
        </w:rPr>
        <w:t>כאן לפי</w:t>
      </w:r>
      <w:r w:rsidR="00D75EDB">
        <w:rPr>
          <w:rFonts w:hint="cs"/>
          <w:rtl/>
        </w:rPr>
        <w:t xml:space="preserve"> הצד שיש לאלוה גוף, כדי לנסות לפרוך את האפשרות הזו</w:t>
      </w:r>
      <w:r w:rsidR="00662518">
        <w:rPr>
          <w:rFonts w:hint="cs"/>
          <w:rtl/>
        </w:rPr>
        <w:t>)</w:t>
      </w:r>
      <w:r w:rsidR="00D75EDB">
        <w:rPr>
          <w:rFonts w:hint="cs"/>
          <w:rtl/>
        </w:rPr>
        <w:t>]</w:t>
      </w:r>
      <w:r w:rsidR="00AD609E" w:rsidRPr="00AD609E">
        <w:rPr>
          <w:rtl/>
        </w:rPr>
        <w:t>, ר</w:t>
      </w:r>
      <w:r w:rsidR="00D75EDB">
        <w:rPr>
          <w:rFonts w:hint="cs"/>
          <w:rtl/>
        </w:rPr>
        <w:t>וצה לומר</w:t>
      </w:r>
      <w:r w:rsidR="00AD609E" w:rsidRPr="00AD609E">
        <w:rPr>
          <w:rtl/>
        </w:rPr>
        <w:t xml:space="preserve"> שאינו מחובר מכמות העצמים אשר יבראם כמו שאמרתם, אבל הוא גשם אחד </w:t>
      </w:r>
      <w:r w:rsidR="00AD609E" w:rsidRPr="00A32DA4">
        <w:rPr>
          <w:b/>
          <w:bCs/>
          <w:rtl/>
        </w:rPr>
        <w:t>מדובק</w:t>
      </w:r>
      <w:r w:rsidR="00AD609E" w:rsidRPr="00AD609E">
        <w:rPr>
          <w:rtl/>
        </w:rPr>
        <w:t xml:space="preserve"> לא יקבל החלוקה אלא במחשבה</w:t>
      </w:r>
      <w:r w:rsidR="00A144F2">
        <w:rPr>
          <w:rFonts w:hint="cs"/>
          <w:rtl/>
        </w:rPr>
        <w:t xml:space="preserve"> [הכוונה</w:t>
      </w:r>
      <w:r w:rsidR="008904B4">
        <w:rPr>
          <w:rFonts w:hint="cs"/>
          <w:rtl/>
        </w:rPr>
        <w:t xml:space="preserve"> כאן</w:t>
      </w:r>
      <w:r w:rsidR="00A144F2">
        <w:rPr>
          <w:rFonts w:hint="cs"/>
          <w:rtl/>
        </w:rPr>
        <w:t xml:space="preserve"> </w:t>
      </w:r>
      <w:r w:rsidR="008904B4">
        <w:rPr>
          <w:rFonts w:hint="cs"/>
          <w:rtl/>
        </w:rPr>
        <w:t>ל</w:t>
      </w:r>
      <w:r w:rsidR="00A144F2">
        <w:rPr>
          <w:rFonts w:hint="cs"/>
          <w:rtl/>
        </w:rPr>
        <w:t>דמיון, בערבית 'והם']</w:t>
      </w:r>
      <w:r w:rsidR="00AD609E" w:rsidRPr="00AD609E">
        <w:rPr>
          <w:rtl/>
        </w:rPr>
        <w:t>, ואין בחינה במחשבה</w:t>
      </w:r>
      <w:r w:rsidR="009A5591">
        <w:rPr>
          <w:rFonts w:hint="cs"/>
          <w:rtl/>
        </w:rPr>
        <w:t xml:space="preserve"> [כלומר כ</w:t>
      </w:r>
      <w:r w:rsidR="009955B7">
        <w:rPr>
          <w:rFonts w:hint="cs"/>
          <w:rtl/>
        </w:rPr>
        <w:t>ח</w:t>
      </w:r>
      <w:r w:rsidR="009A5591">
        <w:rPr>
          <w:rFonts w:hint="cs"/>
          <w:rtl/>
        </w:rPr>
        <w:t xml:space="preserve"> </w:t>
      </w:r>
      <w:r w:rsidR="007701EF">
        <w:rPr>
          <w:rFonts w:hint="cs"/>
          <w:rtl/>
        </w:rPr>
        <w:t>ה</w:t>
      </w:r>
      <w:r w:rsidR="009A5591">
        <w:rPr>
          <w:rFonts w:hint="cs"/>
          <w:rtl/>
        </w:rPr>
        <w:t>דמיון הוא לא עיון שכלי שיכול ל</w:t>
      </w:r>
      <w:r w:rsidR="007701EF">
        <w:rPr>
          <w:rFonts w:hint="cs"/>
          <w:rtl/>
        </w:rPr>
        <w:t>נתח ול</w:t>
      </w:r>
      <w:r w:rsidR="009A5591">
        <w:rPr>
          <w:rFonts w:hint="cs"/>
          <w:rtl/>
        </w:rPr>
        <w:t>הביא למסקנת אמת]</w:t>
      </w:r>
      <w:r w:rsidR="00AD609E" w:rsidRPr="00AD609E">
        <w:rPr>
          <w:rtl/>
        </w:rPr>
        <w:t>, שאתה כן תדמה שגשם השמים יקבל הקרע והבקוע, והפילוסוף יאמר שזה פעל הדמיון והקש מן הנראה</w:t>
      </w:r>
      <w:r w:rsidR="007701EF">
        <w:rPr>
          <w:rFonts w:hint="cs"/>
          <w:rtl/>
        </w:rPr>
        <w:t>,</w:t>
      </w:r>
      <w:r w:rsidR="00AD609E" w:rsidRPr="00AD609E">
        <w:rPr>
          <w:rtl/>
        </w:rPr>
        <w:t xml:space="preserve"> והם הגשמים הנמצאים אתנו</w:t>
      </w:r>
      <w:r w:rsidR="007701EF">
        <w:rPr>
          <w:rFonts w:hint="cs"/>
          <w:rtl/>
        </w:rPr>
        <w:t>,</w:t>
      </w:r>
      <w:r w:rsidR="00AD609E" w:rsidRPr="00AD609E">
        <w:rPr>
          <w:rtl/>
        </w:rPr>
        <w:t xml:space="preserve"> על הנסתר</w:t>
      </w:r>
      <w:r w:rsidR="00D016DE">
        <w:rPr>
          <w:rFonts w:hint="cs"/>
          <w:rtl/>
        </w:rPr>
        <w:t>."</w:t>
      </w:r>
      <w:r w:rsidR="00A32DA4">
        <w:rPr>
          <w:rFonts w:hint="cs"/>
          <w:rtl/>
        </w:rPr>
        <w:t xml:space="preserve"> </w:t>
      </w:r>
    </w:p>
    <w:p w14:paraId="7771122D" w14:textId="77777777" w:rsidR="002A46CA" w:rsidRDefault="00EF0F46">
      <w:pPr>
        <w:pStyle w:val="FootnoteText"/>
        <w:rPr>
          <w:rtl/>
        </w:rPr>
      </w:pPr>
      <w:r>
        <w:rPr>
          <w:rFonts w:hint="cs"/>
          <w:rtl/>
        </w:rPr>
        <w:t>"</w:t>
      </w:r>
      <w:r w:rsidR="00A32DA4">
        <w:rPr>
          <w:rFonts w:hint="cs"/>
          <w:rtl/>
        </w:rPr>
        <w:t>הנראה</w:t>
      </w:r>
      <w:r>
        <w:rPr>
          <w:rFonts w:hint="cs"/>
          <w:rtl/>
        </w:rPr>
        <w:t>"</w:t>
      </w:r>
      <w:r w:rsidR="00A32DA4">
        <w:rPr>
          <w:rFonts w:hint="cs"/>
          <w:rtl/>
        </w:rPr>
        <w:t xml:space="preserve"> הוא לפי החושים וכח הדמיון, ו</w:t>
      </w:r>
      <w:r>
        <w:rPr>
          <w:rFonts w:hint="cs"/>
          <w:rtl/>
        </w:rPr>
        <w:t>"</w:t>
      </w:r>
      <w:r w:rsidR="00A32DA4">
        <w:rPr>
          <w:rFonts w:hint="cs"/>
          <w:rtl/>
        </w:rPr>
        <w:t>הנסתר</w:t>
      </w:r>
      <w:r>
        <w:rPr>
          <w:rFonts w:hint="cs"/>
          <w:rtl/>
        </w:rPr>
        <w:t>"</w:t>
      </w:r>
      <w:r w:rsidR="00A32DA4">
        <w:rPr>
          <w:rFonts w:hint="cs"/>
          <w:rtl/>
        </w:rPr>
        <w:t xml:space="preserve"> הוא אמיתת מציאות הדברים לפי העיון השכלי</w:t>
      </w:r>
      <w:r w:rsidR="003F17E8">
        <w:rPr>
          <w:rFonts w:hint="cs"/>
          <w:rtl/>
        </w:rPr>
        <w:t>. ואמיתת מציאותם היא כרצף ולא כאוסף של חלקים. הפרדוקסים של זנון על אכילס והצב ואחרים, מוכיחים שאמיתת המציאות היא רצף ולא חלקיקים</w:t>
      </w:r>
      <w:r w:rsidR="00335292">
        <w:rPr>
          <w:rFonts w:hint="cs"/>
          <w:rtl/>
        </w:rPr>
        <w:t xml:space="preserve"> שאפשר לעמוד עליהם בעיון השכלי. </w:t>
      </w:r>
      <w:r w:rsidR="00930F06">
        <w:rPr>
          <w:rFonts w:hint="cs"/>
          <w:rtl/>
        </w:rPr>
        <w:t xml:space="preserve">לפי זה קשה איך אפשר למדוד אורך של קו, </w:t>
      </w:r>
      <w:r w:rsidR="0038563C">
        <w:rPr>
          <w:rFonts w:hint="cs"/>
          <w:rtl/>
        </w:rPr>
        <w:t>ובאמת אין לקו אורך שנמדד במספרים</w:t>
      </w:r>
      <w:r w:rsidR="00FB7DEE">
        <w:rPr>
          <w:rFonts w:hint="cs"/>
          <w:rtl/>
        </w:rPr>
        <w:t>,</w:t>
      </w:r>
      <w:r w:rsidR="0038563C">
        <w:rPr>
          <w:rFonts w:hint="cs"/>
          <w:rtl/>
        </w:rPr>
        <w:t xml:space="preserve"> והאורך שאנו מודדים הוא לא של עצם הקו, </w:t>
      </w:r>
      <w:r w:rsidR="00930F06">
        <w:rPr>
          <w:rFonts w:hint="cs"/>
          <w:rtl/>
        </w:rPr>
        <w:t>אריסטו דן בזה בפיזיקה</w:t>
      </w:r>
      <w:r w:rsidR="0019699F">
        <w:rPr>
          <w:rFonts w:hint="cs"/>
          <w:rtl/>
        </w:rPr>
        <w:t xml:space="preserve"> בעיקר בספר ו' וגם בספר ח', ועיין </w:t>
      </w:r>
      <w:r w:rsidR="005139E3">
        <w:rPr>
          <w:rFonts w:hint="cs"/>
          <w:rtl/>
        </w:rPr>
        <w:t xml:space="preserve">עוד בזה </w:t>
      </w:r>
      <w:r w:rsidR="0019699F">
        <w:rPr>
          <w:rFonts w:hint="cs"/>
          <w:rtl/>
        </w:rPr>
        <w:t xml:space="preserve">בעיונים בפילוסופיה אריסטוטלית על </w:t>
      </w:r>
      <w:hyperlink r:id="rId89" w:history="1">
        <w:r w:rsidR="0019699F" w:rsidRPr="00611DB1">
          <w:rPr>
            <w:rStyle w:val="Hyperlink"/>
            <w:rFonts w:hint="cs"/>
            <w:rtl/>
          </w:rPr>
          <w:t>פיזיקה ספר ו'</w:t>
        </w:r>
      </w:hyperlink>
      <w:r w:rsidR="005139E3">
        <w:rPr>
          <w:rFonts w:hint="cs"/>
          <w:rtl/>
        </w:rPr>
        <w:t>, וב</w:t>
      </w:r>
      <w:hyperlink r:id="rId90" w:history="1">
        <w:r w:rsidR="005139E3" w:rsidRPr="00C06CAB">
          <w:rPr>
            <w:rStyle w:val="Hyperlink"/>
            <w:rFonts w:hint="cs"/>
            <w:rtl/>
          </w:rPr>
          <w:t>ביאור על מורה נבוכים</w:t>
        </w:r>
      </w:hyperlink>
      <w:r w:rsidR="005139E3">
        <w:rPr>
          <w:rFonts w:hint="cs"/>
          <w:rtl/>
        </w:rPr>
        <w:t xml:space="preserve"> בביאור על </w:t>
      </w:r>
      <w:r w:rsidR="00D63FD0">
        <w:rPr>
          <w:rFonts w:hint="cs"/>
          <w:rtl/>
        </w:rPr>
        <w:t>הקדמת הרמב"ם למורה נבוכים חלק ב', הקדמה כ"ו, שם יש ארבע רשימות על פיזיקה ספר ח' ובתוכן יש דיו</w:t>
      </w:r>
      <w:r w:rsidR="00934763">
        <w:rPr>
          <w:rFonts w:hint="cs"/>
          <w:rtl/>
        </w:rPr>
        <w:t>נים</w:t>
      </w:r>
      <w:r w:rsidR="00D63FD0">
        <w:rPr>
          <w:rFonts w:hint="cs"/>
          <w:rtl/>
        </w:rPr>
        <w:t xml:space="preserve"> גם בנושא שכאן</w:t>
      </w:r>
      <w:r w:rsidR="00FB7DEE">
        <w:rPr>
          <w:rFonts w:hint="cs"/>
          <w:rtl/>
        </w:rPr>
        <w:t>.</w:t>
      </w:r>
      <w:r w:rsidR="00D4218E">
        <w:rPr>
          <w:rFonts w:hint="cs"/>
          <w:rtl/>
        </w:rPr>
        <w:t xml:space="preserve"> כתבתי עוד הרבה בנושא ה'רצף', אפשר לחפש ב</w:t>
      </w:r>
      <w:r w:rsidR="00C35E2B">
        <w:rPr>
          <w:rFonts w:hint="cs"/>
          <w:rtl/>
        </w:rPr>
        <w:t>עיקר ב</w:t>
      </w:r>
      <w:r w:rsidR="00367209">
        <w:rPr>
          <w:rFonts w:hint="cs"/>
          <w:rtl/>
        </w:rPr>
        <w:t>עיונים בפילוסופיה אריסטוטלית ו</w:t>
      </w:r>
      <w:r w:rsidR="00C35E2B">
        <w:rPr>
          <w:rFonts w:hint="cs"/>
          <w:rtl/>
        </w:rPr>
        <w:t xml:space="preserve">גם </w:t>
      </w:r>
      <w:r w:rsidR="00367209">
        <w:rPr>
          <w:rFonts w:hint="cs"/>
          <w:rtl/>
        </w:rPr>
        <w:t>בביאור על מורה נבוכים, לפי התגיות</w:t>
      </w:r>
      <w:r w:rsidR="00D84BDB">
        <w:rPr>
          <w:rFonts w:hint="cs"/>
          <w:rtl/>
        </w:rPr>
        <w:t xml:space="preserve"> שיש שם,</w:t>
      </w:r>
      <w:r w:rsidR="00367209">
        <w:rPr>
          <w:rFonts w:hint="cs"/>
          <w:rtl/>
        </w:rPr>
        <w:t xml:space="preserve"> 'רצף' ו'אכילס והצב'</w:t>
      </w:r>
      <w:r w:rsidR="00D84BDB">
        <w:rPr>
          <w:rFonts w:hint="cs"/>
          <w:rtl/>
        </w:rPr>
        <w:t xml:space="preserve">. </w:t>
      </w:r>
      <w:r w:rsidR="00C35E2B">
        <w:rPr>
          <w:rFonts w:hint="cs"/>
          <w:rtl/>
        </w:rPr>
        <w:t>וכן בביאור</w:t>
      </w:r>
      <w:r w:rsidR="002F24AF">
        <w:rPr>
          <w:rFonts w:hint="cs"/>
          <w:rtl/>
        </w:rPr>
        <w:t xml:space="preserve"> </w:t>
      </w:r>
      <w:r w:rsidR="00C35E2B">
        <w:rPr>
          <w:rFonts w:hint="cs"/>
          <w:rtl/>
        </w:rPr>
        <w:t xml:space="preserve">על הרמיזות </w:t>
      </w:r>
      <w:r w:rsidR="002F24AF">
        <w:rPr>
          <w:rFonts w:hint="cs"/>
          <w:rtl/>
        </w:rPr>
        <w:t xml:space="preserve">וההערות. </w:t>
      </w:r>
    </w:p>
    <w:p w14:paraId="0CD5BA87" w14:textId="77777777" w:rsidR="002A46CA" w:rsidRDefault="002A46CA">
      <w:pPr>
        <w:pStyle w:val="FootnoteText"/>
        <w:rPr>
          <w:rtl/>
        </w:rPr>
      </w:pPr>
    </w:p>
    <w:p w14:paraId="34711BF2" w14:textId="78185A80" w:rsidR="00EC1E29" w:rsidRDefault="002A46CA">
      <w:pPr>
        <w:pStyle w:val="FootnoteText"/>
        <w:rPr>
          <w:rtl/>
        </w:rPr>
      </w:pPr>
      <w:r>
        <w:rPr>
          <w:rFonts w:hint="cs"/>
          <w:rtl/>
        </w:rPr>
        <w:t>"הכמות הנ</w:t>
      </w:r>
      <w:r w:rsidR="00547E09">
        <w:rPr>
          <w:rFonts w:hint="cs"/>
          <w:rtl/>
        </w:rPr>
        <w:t>ראי</w:t>
      </w:r>
      <w:r>
        <w:rPr>
          <w:rFonts w:hint="cs"/>
          <w:rtl/>
        </w:rPr>
        <w:t>ת"</w:t>
      </w:r>
      <w:r>
        <w:rPr>
          <w:rFonts w:hint="cs"/>
        </w:rPr>
        <w:t xml:space="preserve"> </w:t>
      </w:r>
      <w:r>
        <w:rPr>
          <w:rFonts w:hint="cs"/>
          <w:rtl/>
        </w:rPr>
        <w:t>שכתב כאן אבן סינא הכוונה לצפייה בעיון השכל, כי בחושים ובדמיון ה</w:t>
      </w:r>
      <w:r w:rsidR="007F50AB">
        <w:rPr>
          <w:rFonts w:hint="cs"/>
          <w:rtl/>
        </w:rPr>
        <w:t>עניין של ה'רצף' נסתר. אם מתבוננים בעין השכל, שרואה שאפשר</w:t>
      </w:r>
      <w:r w:rsidR="00917154">
        <w:rPr>
          <w:rFonts w:hint="cs"/>
          <w:rtl/>
        </w:rPr>
        <w:t xml:space="preserve"> </w:t>
      </w:r>
      <w:r w:rsidR="007F50AB">
        <w:rPr>
          <w:rFonts w:hint="cs"/>
          <w:rtl/>
        </w:rPr>
        <w:t xml:space="preserve">לחלק חומר ללא סוף, ולעולם לא מגיעים לחלקיק יסודי שלא יכול להתחלק יותר, </w:t>
      </w:r>
      <w:r w:rsidR="00917154">
        <w:rPr>
          <w:rFonts w:hint="cs"/>
          <w:rtl/>
        </w:rPr>
        <w:t xml:space="preserve">ומגלים שהמציאות היא רצף, זה מבטל את השאלה על האין סופיות של המציאות. </w:t>
      </w:r>
      <w:r w:rsidR="009C0917">
        <w:rPr>
          <w:rFonts w:hint="cs"/>
          <w:rtl/>
        </w:rPr>
        <w:t>הוויכוח</w:t>
      </w:r>
      <w:r w:rsidR="00B3541B">
        <w:rPr>
          <w:rFonts w:hint="cs"/>
          <w:rtl/>
        </w:rPr>
        <w:t xml:space="preserve"> </w:t>
      </w:r>
      <w:r w:rsidR="002A4BA6">
        <w:rPr>
          <w:rFonts w:hint="cs"/>
          <w:rtl/>
        </w:rPr>
        <w:t>מול האטומיסטים, הוא ויכוח על השאלה היסודית האם לחומר יש קיום ממשי. אם לחומר יש קיום משלו, ממשי, לא ייתכן שיהיה</w:t>
      </w:r>
      <w:r w:rsidR="00BB7426">
        <w:rPr>
          <w:rFonts w:hint="cs"/>
          <w:rtl/>
        </w:rPr>
        <w:t xml:space="preserve"> </w:t>
      </w:r>
      <w:r w:rsidR="002A4BA6">
        <w:rPr>
          <w:rFonts w:hint="cs"/>
          <w:rtl/>
        </w:rPr>
        <w:t>אפשר</w:t>
      </w:r>
      <w:r w:rsidR="00BB7426">
        <w:rPr>
          <w:rFonts w:hint="cs"/>
          <w:rtl/>
        </w:rPr>
        <w:t xml:space="preserve"> </w:t>
      </w:r>
      <w:r w:rsidR="002A4BA6">
        <w:rPr>
          <w:rFonts w:hint="cs"/>
          <w:rtl/>
        </w:rPr>
        <w:t xml:space="preserve">לחלק אותו בלי סוף, כי </w:t>
      </w:r>
      <w:r w:rsidR="00BB7426">
        <w:rPr>
          <w:rFonts w:hint="cs"/>
          <w:rtl/>
        </w:rPr>
        <w:t>חלוקה אין סופית גורמת להגיע לכך שלא יישאר שום דבר</w:t>
      </w:r>
      <w:r w:rsidR="00837047">
        <w:rPr>
          <w:rFonts w:hint="cs"/>
          <w:rtl/>
        </w:rPr>
        <w:t>. כשאנו מדברים על חלוקה ללא סוף חושבים על כך שמספר החלוקות שוא</w:t>
      </w:r>
      <w:r w:rsidR="009C0917">
        <w:rPr>
          <w:rFonts w:hint="cs"/>
          <w:rtl/>
        </w:rPr>
        <w:t>ף</w:t>
      </w:r>
      <w:r w:rsidR="00837047">
        <w:rPr>
          <w:rFonts w:hint="cs"/>
          <w:rtl/>
        </w:rPr>
        <w:t xml:space="preserve"> לאין סוף, וגודל כל חלק שואף לאפס. וזה כמו אסימפטוטה</w:t>
      </w:r>
      <w:r w:rsidR="00D160C1">
        <w:rPr>
          <w:rFonts w:hint="cs"/>
          <w:rtl/>
        </w:rPr>
        <w:t xml:space="preserve"> (במורה נבוכים </w:t>
      </w:r>
      <w:r w:rsidR="000404B9">
        <w:rPr>
          <w:rFonts w:hint="cs"/>
          <w:rtl/>
        </w:rPr>
        <w:t>א' ע"ג</w:t>
      </w:r>
      <w:r w:rsidR="00AF2590">
        <w:rPr>
          <w:rFonts w:hint="cs"/>
          <w:rtl/>
        </w:rPr>
        <w:t xml:space="preserve"> הביא את עניין האסימפטוטה מהמאמר השני </w:t>
      </w:r>
      <w:r w:rsidR="00581E8F">
        <w:rPr>
          <w:rFonts w:hint="cs"/>
          <w:rtl/>
        </w:rPr>
        <w:t>מ</w:t>
      </w:r>
      <w:r w:rsidR="00AF2590">
        <w:rPr>
          <w:rFonts w:hint="cs"/>
          <w:rtl/>
        </w:rPr>
        <w:t>ספר החרוטים</w:t>
      </w:r>
      <w:r w:rsidR="000404B9">
        <w:rPr>
          <w:rFonts w:hint="cs"/>
          <w:rtl/>
        </w:rPr>
        <w:t>)</w:t>
      </w:r>
      <w:r w:rsidR="009C0917">
        <w:rPr>
          <w:rFonts w:hint="cs"/>
          <w:rtl/>
        </w:rPr>
        <w:t>,</w:t>
      </w:r>
      <w:r w:rsidR="00837047">
        <w:rPr>
          <w:rFonts w:hint="cs"/>
          <w:rtl/>
        </w:rPr>
        <w:t xml:space="preserve"> שלעולם לא יהיה אין סוף בפועל של חלוקות ולעולם גודל החלקיק לא יגיע לאפס ממש</w:t>
      </w:r>
      <w:r w:rsidR="00D30C84">
        <w:rPr>
          <w:rFonts w:hint="cs"/>
          <w:rtl/>
        </w:rPr>
        <w:t>, אלא תהיה רק שאיפה אין סופית לאין סוף ולאפס בלי להגיע לשם בפועל</w:t>
      </w:r>
      <w:r w:rsidR="00837047">
        <w:rPr>
          <w:rFonts w:hint="cs"/>
          <w:rtl/>
        </w:rPr>
        <w:t>.</w:t>
      </w:r>
      <w:r w:rsidR="00F96C0C">
        <w:rPr>
          <w:rFonts w:hint="cs"/>
          <w:rtl/>
        </w:rPr>
        <w:t xml:space="preserve"> </w:t>
      </w:r>
      <w:r w:rsidR="0014135D">
        <w:rPr>
          <w:rFonts w:hint="cs"/>
          <w:rtl/>
        </w:rPr>
        <w:t>"</w:t>
      </w:r>
      <w:r w:rsidR="00F96C0C">
        <w:rPr>
          <w:rFonts w:hint="cs"/>
          <w:rtl/>
        </w:rPr>
        <w:t>שואף לאין סוף</w:t>
      </w:r>
      <w:r w:rsidR="0014135D">
        <w:rPr>
          <w:rFonts w:hint="cs"/>
          <w:rtl/>
        </w:rPr>
        <w:t>"</w:t>
      </w:r>
      <w:r w:rsidR="00F96C0C">
        <w:rPr>
          <w:rFonts w:hint="cs"/>
          <w:rtl/>
        </w:rPr>
        <w:t xml:space="preserve"> פירושו שהוא מספר סופי בכל רגע נתון, רק כיוון שאין רגע שהוא כמו אטום לא מתחלק של זמן, אלא משך הזמן הוא רצף, </w:t>
      </w:r>
      <w:r w:rsidR="0014135D">
        <w:rPr>
          <w:rFonts w:hint="cs"/>
          <w:rtl/>
        </w:rPr>
        <w:t xml:space="preserve">והמספר בתנועת גדילה ואין לו </w:t>
      </w:r>
      <w:r w:rsidR="0078702A">
        <w:rPr>
          <w:rFonts w:hint="cs"/>
          <w:rtl/>
        </w:rPr>
        <w:t>רגע מנוחה למדוד כמה הוא, לכן אין לנו מספר רגיל שמציין את האורך ומשתמשים במספר שנקבע ל</w:t>
      </w:r>
      <w:r w:rsidR="001C3912">
        <w:rPr>
          <w:rFonts w:hint="cs"/>
          <w:rtl/>
        </w:rPr>
        <w:t>'</w:t>
      </w:r>
      <w:r w:rsidR="0078702A">
        <w:rPr>
          <w:rFonts w:hint="cs"/>
          <w:rtl/>
        </w:rPr>
        <w:t>אין סוף</w:t>
      </w:r>
      <w:r w:rsidR="001C3912">
        <w:rPr>
          <w:rFonts w:hint="cs"/>
          <w:rtl/>
        </w:rPr>
        <w:t xml:space="preserve">' שהוא כמו שמונה מאוזן, </w:t>
      </w:r>
      <w:r w:rsidR="00AB624D">
        <w:rPr>
          <w:rFonts w:hint="cs"/>
          <w:rtl/>
        </w:rPr>
        <w:t>שהוא מציין כמות סופית שלא נמדדת מחמת שהיא תמיד גדולה יותר מכל מספר סופי שנחשוב עליו.</w:t>
      </w:r>
      <w:r w:rsidR="0078702A">
        <w:rPr>
          <w:rFonts w:hint="cs"/>
          <w:rtl/>
        </w:rPr>
        <w:t xml:space="preserve"> </w:t>
      </w:r>
      <w:r w:rsidR="007557FE">
        <w:rPr>
          <w:rFonts w:hint="cs"/>
          <w:rtl/>
        </w:rPr>
        <w:t>זה לא באמת אין סוף אלא מכסה א</w:t>
      </w:r>
      <w:r w:rsidR="007C6265">
        <w:rPr>
          <w:rFonts w:hint="cs"/>
          <w:rtl/>
        </w:rPr>
        <w:t>ת</w:t>
      </w:r>
      <w:r w:rsidR="007557FE">
        <w:rPr>
          <w:rFonts w:hint="cs"/>
          <w:rtl/>
        </w:rPr>
        <w:t xml:space="preserve"> העובדה שקשה לנו לתפוש אין סוף בפועל לאמיתתו, </w:t>
      </w:r>
      <w:r w:rsidR="007C6265">
        <w:rPr>
          <w:rFonts w:hint="cs"/>
          <w:rtl/>
        </w:rPr>
        <w:t xml:space="preserve">כי זה כרוך במעבר לתחום המופשט של המציאות. </w:t>
      </w:r>
    </w:p>
    <w:p w14:paraId="66E60F06" w14:textId="52D57B38" w:rsidR="007C6265" w:rsidRDefault="007C6265">
      <w:pPr>
        <w:pStyle w:val="FootnoteText"/>
        <w:rPr>
          <w:rtl/>
        </w:rPr>
      </w:pPr>
      <w:r>
        <w:rPr>
          <w:rFonts w:hint="cs"/>
          <w:rtl/>
        </w:rPr>
        <w:t xml:space="preserve">אם נחשוב על מספר חלוקות שהוא אין סוף בפועל, </w:t>
      </w:r>
      <w:r w:rsidR="00756087">
        <w:rPr>
          <w:rFonts w:hint="cs"/>
          <w:rtl/>
        </w:rPr>
        <w:t>י</w:t>
      </w:r>
      <w:r w:rsidR="00761147">
        <w:rPr>
          <w:rFonts w:hint="cs"/>
          <w:rtl/>
        </w:rPr>
        <w:t>היה</w:t>
      </w:r>
      <w:r w:rsidR="00756087">
        <w:rPr>
          <w:rFonts w:hint="cs"/>
          <w:rtl/>
        </w:rPr>
        <w:t xml:space="preserve"> שחלקיק החומר שנשאר אחרי כל החלוקות הוא אפס גמור, </w:t>
      </w:r>
      <w:r w:rsidR="00761147">
        <w:rPr>
          <w:rFonts w:hint="cs"/>
          <w:rtl/>
        </w:rPr>
        <w:t xml:space="preserve">כלומר לא תהיה מציאות חומרית כלל. </w:t>
      </w:r>
      <w:r w:rsidR="002D64C1">
        <w:rPr>
          <w:rFonts w:hint="cs"/>
          <w:rtl/>
        </w:rPr>
        <w:t xml:space="preserve">כיוון שהאפשרות לחלוקה אין סופית נמצאת תמיד, הרי תמיד מציאות החומר אינה מציאות של ממש. מה שנמצא </w:t>
      </w:r>
      <w:r w:rsidR="00E37BAE">
        <w:rPr>
          <w:rFonts w:hint="cs"/>
          <w:rtl/>
        </w:rPr>
        <w:t xml:space="preserve">במציאות אמיתית </w:t>
      </w:r>
      <w:r w:rsidR="002D64C1">
        <w:rPr>
          <w:rFonts w:hint="cs"/>
          <w:rtl/>
        </w:rPr>
        <w:t xml:space="preserve">הוא רק הצורה, המופשט, והחומר הוא </w:t>
      </w:r>
      <w:r w:rsidR="00E37BAE">
        <w:rPr>
          <w:rFonts w:hint="cs"/>
          <w:rtl/>
        </w:rPr>
        <w:t xml:space="preserve">כמו צל של הצורה ולא דבר בעל ממשות. </w:t>
      </w:r>
    </w:p>
    <w:p w14:paraId="1C10DB16" w14:textId="77777777" w:rsidR="00590126" w:rsidRDefault="001019FB">
      <w:pPr>
        <w:pStyle w:val="FootnoteText"/>
        <w:rPr>
          <w:rtl/>
        </w:rPr>
      </w:pPr>
      <w:r>
        <w:rPr>
          <w:rFonts w:hint="cs"/>
          <w:rtl/>
        </w:rPr>
        <w:t>אם אנו אומרים שאורך קו הוא לפי האמת רצף, אז באמת המציאות של הקו היא רק צורה ולא חומר</w:t>
      </w:r>
      <w:r w:rsidR="00C97C24">
        <w:rPr>
          <w:rFonts w:hint="cs"/>
          <w:rtl/>
        </w:rPr>
        <w:t>, והוא לא נמדד במספרים כי הוא מציאות מופשטת</w:t>
      </w:r>
      <w:r>
        <w:rPr>
          <w:rFonts w:hint="cs"/>
          <w:rtl/>
        </w:rPr>
        <w:t>.</w:t>
      </w:r>
      <w:r w:rsidR="00E91E52">
        <w:rPr>
          <w:rFonts w:hint="cs"/>
          <w:rtl/>
        </w:rPr>
        <w:t xml:space="preserve"> </w:t>
      </w:r>
    </w:p>
    <w:p w14:paraId="2C76ACD9" w14:textId="33073C15" w:rsidR="00C200D0" w:rsidRDefault="00590126">
      <w:pPr>
        <w:pStyle w:val="FootnoteText"/>
        <w:rPr>
          <w:rtl/>
        </w:rPr>
      </w:pPr>
      <w:r>
        <w:rPr>
          <w:rFonts w:hint="cs"/>
          <w:rtl/>
        </w:rPr>
        <w:t>עולה מכל זה שהשאלה האם המציאות אין סופית או סופית, איננה שאלה של כמות, ו</w:t>
      </w:r>
      <w:r w:rsidR="002324CD">
        <w:rPr>
          <w:rFonts w:hint="cs"/>
          <w:rtl/>
        </w:rPr>
        <w:t xml:space="preserve">לכן גם </w:t>
      </w:r>
      <w:r>
        <w:rPr>
          <w:rFonts w:hint="cs"/>
          <w:rtl/>
        </w:rPr>
        <w:t xml:space="preserve">אינה שאלה של </w:t>
      </w:r>
      <w:r w:rsidR="00930B6E">
        <w:rPr>
          <w:rFonts w:hint="cs"/>
          <w:rtl/>
        </w:rPr>
        <w:t>חקירת הטבע. כי אין סוף הוא לא כמות כלל אלא הוא המופשט</w:t>
      </w:r>
      <w:r w:rsidR="00FD6CC9">
        <w:rPr>
          <w:rFonts w:hint="cs"/>
          <w:rtl/>
        </w:rPr>
        <w:t xml:space="preserve">. במופשט יש גם עניינים סופיים וכגון הצורה 'אדם' שהיא סופית כי יש לה הגדרה שמחלקת אותה מ'סוס'. </w:t>
      </w:r>
      <w:r w:rsidR="009D5595">
        <w:rPr>
          <w:rFonts w:hint="cs"/>
          <w:rtl/>
        </w:rPr>
        <w:t xml:space="preserve">השאלה על צורה </w:t>
      </w:r>
      <w:r w:rsidR="00616666">
        <w:rPr>
          <w:rFonts w:hint="cs"/>
          <w:rtl/>
        </w:rPr>
        <w:t xml:space="preserve">מופשטת </w:t>
      </w:r>
      <w:r w:rsidR="009D5595">
        <w:rPr>
          <w:rFonts w:hint="cs"/>
          <w:rtl/>
        </w:rPr>
        <w:t>האם היא סופית או אין סופית, אינה שייכת כלל לכמות או לחומר</w:t>
      </w:r>
      <w:r w:rsidR="00616666">
        <w:rPr>
          <w:rFonts w:hint="cs"/>
          <w:rtl/>
        </w:rPr>
        <w:t xml:space="preserve"> או לטבע, אלא זה שייך לחקירה המטאפיזית, ובלשון אריסטו תיאולוגית. </w:t>
      </w:r>
      <w:r w:rsidR="008F6E9D">
        <w:rPr>
          <w:rFonts w:hint="cs"/>
          <w:rtl/>
        </w:rPr>
        <w:t xml:space="preserve">השאלה הזו שייכת לסוד מעשה מרכבה. </w:t>
      </w:r>
      <w:r w:rsidR="00821DB1">
        <w:rPr>
          <w:rFonts w:hint="cs"/>
          <w:rtl/>
        </w:rPr>
        <w:t>אם יש מציאות מופשטת שהיא אין סופית, בהכרח אין עוד מציאות מלבדה, כי כדי שתהיה מציאות מלבדה צריך שהמציאות האין סופית לא תחדור למצ</w:t>
      </w:r>
      <w:r w:rsidR="00740EEC">
        <w:rPr>
          <w:rFonts w:hint="cs"/>
          <w:rtl/>
        </w:rPr>
        <w:t xml:space="preserve">יאות הסופית, שתעצור בגבול של אותו יש מופשט סופי. אבל אין סוף פירושו שאין גבול ואין מעצור ואין שום יש סופי </w:t>
      </w:r>
      <w:r w:rsidR="001025A2">
        <w:rPr>
          <w:rFonts w:hint="cs"/>
          <w:rtl/>
        </w:rPr>
        <w:t xml:space="preserve">שיש הגדרה שגובלת אותו מהאין סוף. לכן הכל נכלל באין סוף, והכל אחדות פשוטה בלי מורכבות כלל, ויש רק אלוה ואין נבראים. </w:t>
      </w:r>
      <w:r w:rsidR="00DE261E">
        <w:rPr>
          <w:rFonts w:hint="cs"/>
          <w:rtl/>
        </w:rPr>
        <w:t>זה הצד שהאלוה טרנסצנדנטי, נבדל ונקי מהעולם, מופשט לגמרי ו</w:t>
      </w:r>
      <w:r w:rsidR="00010742">
        <w:rPr>
          <w:rFonts w:hint="cs"/>
          <w:rtl/>
        </w:rPr>
        <w:t>ה</w:t>
      </w:r>
      <w:r w:rsidR="00DE261E">
        <w:rPr>
          <w:rFonts w:hint="cs"/>
          <w:rtl/>
        </w:rPr>
        <w:t xml:space="preserve">כרחי מציאות. </w:t>
      </w:r>
      <w:r w:rsidR="003119D1">
        <w:rPr>
          <w:rFonts w:hint="cs"/>
          <w:rtl/>
        </w:rPr>
        <w:t xml:space="preserve">השאלה של מעשה מרכבה היא איך לפי זה ייתכן שיש נבראים מוגבלים. שזה מכריח שיש התגלות של הבורא לא </w:t>
      </w:r>
      <w:r w:rsidR="00655768">
        <w:rPr>
          <w:rFonts w:hint="cs"/>
          <w:rtl/>
        </w:rPr>
        <w:t>כ</w:t>
      </w:r>
      <w:r w:rsidR="003119D1">
        <w:rPr>
          <w:rFonts w:hint="cs"/>
          <w:rtl/>
        </w:rPr>
        <w:t>אחד פשוט אין סופי</w:t>
      </w:r>
      <w:r w:rsidR="00655768">
        <w:rPr>
          <w:rFonts w:hint="cs"/>
          <w:rtl/>
        </w:rPr>
        <w:t>, אלא ד</w:t>
      </w:r>
      <w:r w:rsidR="0083462E">
        <w:rPr>
          <w:rFonts w:hint="cs"/>
          <w:rtl/>
        </w:rPr>
        <w:t xml:space="preserve">מות כמראה </w:t>
      </w:r>
      <w:r w:rsidR="00655768">
        <w:rPr>
          <w:rFonts w:hint="cs"/>
          <w:rtl/>
        </w:rPr>
        <w:t>אדם שיושב על</w:t>
      </w:r>
      <w:r w:rsidR="00881D81">
        <w:rPr>
          <w:rFonts w:hint="cs"/>
          <w:rtl/>
        </w:rPr>
        <w:t xml:space="preserve"> דמות</w:t>
      </w:r>
      <w:r w:rsidR="00655768">
        <w:rPr>
          <w:rFonts w:hint="cs"/>
          <w:rtl/>
        </w:rPr>
        <w:t xml:space="preserve"> הכסא כמו שכתב יחזקאל בחזון המרכבה. </w:t>
      </w:r>
      <w:r w:rsidR="006D2FB9">
        <w:rPr>
          <w:rFonts w:hint="cs"/>
          <w:rtl/>
        </w:rPr>
        <w:t>"</w:t>
      </w:r>
      <w:r w:rsidR="00655768">
        <w:rPr>
          <w:rFonts w:hint="cs"/>
          <w:rtl/>
        </w:rPr>
        <w:t>דמות</w:t>
      </w:r>
      <w:r w:rsidR="00881D81">
        <w:rPr>
          <w:rFonts w:hint="cs"/>
          <w:rtl/>
        </w:rPr>
        <w:t xml:space="preserve"> כמראה</w:t>
      </w:r>
      <w:r w:rsidR="00655768">
        <w:rPr>
          <w:rFonts w:hint="cs"/>
          <w:rtl/>
        </w:rPr>
        <w:t xml:space="preserve"> אדם</w:t>
      </w:r>
      <w:r w:rsidR="006D2FB9">
        <w:rPr>
          <w:rFonts w:hint="cs"/>
          <w:rtl/>
        </w:rPr>
        <w:t>"</w:t>
      </w:r>
      <w:r w:rsidR="00655768">
        <w:rPr>
          <w:rFonts w:hint="cs"/>
          <w:rtl/>
        </w:rPr>
        <w:t xml:space="preserve"> פירושו סדר המציאות המוגבלת, </w:t>
      </w:r>
      <w:r w:rsidR="00EF7C09">
        <w:rPr>
          <w:rFonts w:hint="cs"/>
          <w:rtl/>
        </w:rPr>
        <w:t>שהאדם נקרא עולם קטן, כמו שכתב המורה נבוכים א' ע"ב</w:t>
      </w:r>
      <w:r w:rsidR="0092396E">
        <w:rPr>
          <w:rtl/>
        </w:rPr>
        <w:fldChar w:fldCharType="begin"/>
      </w:r>
      <w:r w:rsidR="0092396E">
        <w:instrText xml:space="preserve"> XE "</w:instrText>
      </w:r>
      <w:r w:rsidR="0092396E" w:rsidRPr="006A4D36">
        <w:rPr>
          <w:rFonts w:hint="cs"/>
          <w:rtl/>
        </w:rPr>
        <w:instrText>מורה נבוכים א' ע</w:instrText>
      </w:r>
      <w:r w:rsidR="0092396E">
        <w:rPr>
          <w:b/>
          <w:bCs/>
          <w:sz w:val="20"/>
          <w:szCs w:val="20"/>
        </w:rPr>
        <w:instrText>\</w:instrText>
      </w:r>
      <w:r w:rsidR="0092396E" w:rsidRPr="006A4D36">
        <w:rPr>
          <w:rFonts w:hint="cs"/>
          <w:rtl/>
        </w:rPr>
        <w:instrText>"ב - גילוי האל כדמות אדם שהוא עולם קטן</w:instrText>
      </w:r>
      <w:r w:rsidR="0092396E">
        <w:instrText xml:space="preserve">" </w:instrText>
      </w:r>
      <w:r w:rsidR="0092396E">
        <w:rPr>
          <w:rtl/>
        </w:rPr>
        <w:fldChar w:fldCharType="end"/>
      </w:r>
      <w:r w:rsidR="00EF7C09">
        <w:rPr>
          <w:rFonts w:hint="cs"/>
          <w:rtl/>
        </w:rPr>
        <w:t xml:space="preserve">. </w:t>
      </w:r>
      <w:r w:rsidR="000B424B">
        <w:rPr>
          <w:rFonts w:hint="cs"/>
          <w:rtl/>
        </w:rPr>
        <w:t>ועיין גם במורה נבוכים א' סוף פרק מ"ו על "דמות</w:t>
      </w:r>
      <w:r w:rsidR="00D568B4">
        <w:rPr>
          <w:rFonts w:hint="cs"/>
          <w:rtl/>
        </w:rPr>
        <w:t xml:space="preserve"> כמראה</w:t>
      </w:r>
      <w:r w:rsidR="000B424B">
        <w:rPr>
          <w:rFonts w:hint="cs"/>
          <w:rtl/>
        </w:rPr>
        <w:t xml:space="preserve"> אדם". </w:t>
      </w:r>
      <w:r w:rsidR="00E23944">
        <w:rPr>
          <w:rFonts w:hint="cs"/>
          <w:rtl/>
        </w:rPr>
        <w:t xml:space="preserve">וזו כוונת האר"י ז"ל בעניין של 'אדם קדמון' שהוא התחלת המציאות העליונה ביותר. </w:t>
      </w:r>
      <w:r w:rsidR="002945EA">
        <w:rPr>
          <w:rFonts w:hint="cs"/>
          <w:rtl/>
        </w:rPr>
        <w:t>מה שכתב שם שהתגלות האל כ</w:t>
      </w:r>
      <w:r w:rsidR="0083462E">
        <w:rPr>
          <w:rFonts w:hint="cs"/>
          <w:rtl/>
        </w:rPr>
        <w:t>דמות מראה</w:t>
      </w:r>
      <w:r w:rsidR="002945EA">
        <w:rPr>
          <w:rFonts w:hint="cs"/>
          <w:rtl/>
        </w:rPr>
        <w:t xml:space="preserve"> אדם היא משל, </w:t>
      </w:r>
      <w:r w:rsidR="00C3214E">
        <w:rPr>
          <w:rFonts w:hint="cs"/>
          <w:rtl/>
        </w:rPr>
        <w:t xml:space="preserve">הרי גם המשל הוא אמת, כמו שכתב בפתיחה על תפוחי זהב במשכיות כסף. </w:t>
      </w:r>
      <w:r w:rsidR="00D01135">
        <w:rPr>
          <w:rFonts w:hint="cs"/>
          <w:rtl/>
        </w:rPr>
        <w:t>האל מתגלה גם כאין סוף מוחלט ומופשט, וגם כסדר של חכמה שהוא "דמות</w:t>
      </w:r>
      <w:r w:rsidR="004C61DD">
        <w:rPr>
          <w:rFonts w:hint="cs"/>
          <w:rtl/>
        </w:rPr>
        <w:t xml:space="preserve"> כמראה</w:t>
      </w:r>
      <w:r w:rsidR="00D01135">
        <w:rPr>
          <w:rFonts w:hint="cs"/>
          <w:rtl/>
        </w:rPr>
        <w:t xml:space="preserve"> אדם". </w:t>
      </w:r>
      <w:r w:rsidR="00EA5315">
        <w:rPr>
          <w:rFonts w:hint="cs"/>
          <w:rtl/>
        </w:rPr>
        <w:t xml:space="preserve">אלה הספירות כתר וחכמה שבחכמת הקבלה, ושתיהן אמת. מה שהחכמה היא משל ביחס לכתר, </w:t>
      </w:r>
      <w:r w:rsidR="001D5236">
        <w:rPr>
          <w:rFonts w:hint="cs"/>
          <w:rtl/>
        </w:rPr>
        <w:t xml:space="preserve">זה כמו שהגוף הוא משל לנפש. </w:t>
      </w:r>
      <w:r w:rsidR="0051632F">
        <w:rPr>
          <w:rFonts w:hint="cs"/>
          <w:rtl/>
        </w:rPr>
        <w:t>אלא שני הצדדים של התגלות האל, כאין סוף וכמצומצם לגבול וסדר וחכמה, שניהם באמת התגלות האל, שניהם אמת, וכתב על זה המורה נבוכים א' ע"ב שאנו מנוצחים מו</w:t>
      </w:r>
      <w:r w:rsidR="00C200D0">
        <w:rPr>
          <w:rFonts w:hint="cs"/>
          <w:rtl/>
        </w:rPr>
        <w:t>ל</w:t>
      </w:r>
      <w:r w:rsidR="0051632F">
        <w:rPr>
          <w:rFonts w:hint="cs"/>
          <w:rtl/>
        </w:rPr>
        <w:t xml:space="preserve"> הסתירה הזו ו</w:t>
      </w:r>
      <w:r w:rsidR="00C200D0">
        <w:rPr>
          <w:rFonts w:hint="cs"/>
          <w:rtl/>
        </w:rPr>
        <w:t>עלינו ללמוד לחשוב ולחיות כמנוצחים ולא להסתער על הקושיא בניסיון לפתור אותה. זו לשונו שם:</w:t>
      </w:r>
    </w:p>
    <w:p w14:paraId="29311B42" w14:textId="6EB9AF3D" w:rsidR="00E67C11" w:rsidRDefault="00C200D0">
      <w:pPr>
        <w:pStyle w:val="FootnoteText"/>
        <w:rPr>
          <w:rtl/>
        </w:rPr>
      </w:pPr>
      <w:r>
        <w:rPr>
          <w:rFonts w:hint="cs"/>
          <w:rtl/>
        </w:rPr>
        <w:t>"</w:t>
      </w:r>
      <w:r w:rsidR="00DE2359" w:rsidRPr="00DE2359">
        <w:rPr>
          <w:rtl/>
        </w:rPr>
        <w:t>והנהגתו יתעלה והשגחתו מחוברת לעולם בכללו חיבור נעלם ממנו תכליתו, וכוחות בני אדם מקצרות לדעתו; כי המופת יעמוד על הבדלו יתעלה מן העולם והנקותו ממנו, והמופת יעמוד על מציאות מעשה הנהגתו והשגחתו בכל חלק מחלקיו, ואפילו הדק הפחות; ישתבח מי שנצְחָנו שלמותו</w:t>
      </w:r>
      <w:r>
        <w:rPr>
          <w:rFonts w:hint="cs"/>
          <w:rtl/>
        </w:rPr>
        <w:t>"</w:t>
      </w:r>
    </w:p>
    <w:p w14:paraId="0DFAA1B9" w14:textId="108065B8" w:rsidR="001019FB" w:rsidRDefault="00E67C11">
      <w:pPr>
        <w:pStyle w:val="FootnoteText"/>
        <w:rPr>
          <w:rtl/>
        </w:rPr>
      </w:pPr>
      <w:r>
        <w:rPr>
          <w:rFonts w:hint="cs"/>
          <w:rtl/>
        </w:rPr>
        <w:t>וכן אריסטו ניסח את שני הצדדים האלה</w:t>
      </w:r>
      <w:r w:rsidR="00FD2073">
        <w:rPr>
          <w:rFonts w:hint="cs"/>
          <w:rtl/>
        </w:rPr>
        <w:t xml:space="preserve"> כסתירה ששני הצדדים שלה נכונים,</w:t>
      </w:r>
      <w:r>
        <w:rPr>
          <w:rFonts w:hint="cs"/>
          <w:rtl/>
        </w:rPr>
        <w:t xml:space="preserve"> </w:t>
      </w:r>
      <w:r w:rsidR="00FD2073">
        <w:rPr>
          <w:rFonts w:hint="cs"/>
          <w:rtl/>
        </w:rPr>
        <w:t xml:space="preserve">עיין </w:t>
      </w:r>
      <w:r>
        <w:rPr>
          <w:rFonts w:hint="cs"/>
          <w:rtl/>
        </w:rPr>
        <w:t>במטאפיזיקה למבדא תחילת פרק י'.</w:t>
      </w:r>
    </w:p>
    <w:p w14:paraId="2780DEE4" w14:textId="77777777" w:rsidR="00FA42CB" w:rsidRDefault="00165A6A">
      <w:pPr>
        <w:pStyle w:val="FootnoteText"/>
        <w:rPr>
          <w:rtl/>
        </w:rPr>
      </w:pPr>
      <w:r>
        <w:rPr>
          <w:rFonts w:hint="cs"/>
          <w:rtl/>
        </w:rPr>
        <w:t xml:space="preserve">כשההתבוננות היא במופשט, השאלה האם המציאות אין סופית או סופית, היא </w:t>
      </w:r>
      <w:r w:rsidR="00F30C94">
        <w:rPr>
          <w:rFonts w:hint="cs"/>
          <w:rtl/>
        </w:rPr>
        <w:t xml:space="preserve">אותה </w:t>
      </w:r>
      <w:r>
        <w:rPr>
          <w:rFonts w:hint="cs"/>
          <w:rtl/>
        </w:rPr>
        <w:t xml:space="preserve">שאלה </w:t>
      </w:r>
      <w:r w:rsidR="00F30C94">
        <w:rPr>
          <w:rFonts w:hint="cs"/>
          <w:rtl/>
        </w:rPr>
        <w:t xml:space="preserve">של מעשה מרכבה, ואין לה פתרון ושני הצדדים אמת. </w:t>
      </w:r>
      <w:r w:rsidR="009E6614">
        <w:rPr>
          <w:rFonts w:hint="cs"/>
          <w:rtl/>
        </w:rPr>
        <w:t xml:space="preserve">כשמדובר על הטבע הארצי, זה מתבטא בכך שהמציאות היא רצף, שאין לו כמות מספרית, </w:t>
      </w:r>
      <w:r w:rsidR="002F6632">
        <w:rPr>
          <w:rFonts w:hint="cs"/>
          <w:rtl/>
        </w:rPr>
        <w:t xml:space="preserve">וזו דרך מציאות שמכילה בתוכה את הסתירה של מעשה מרכבה, כי בלי החלוקה עד אין סוף החומר קיים וקיומו אמיתי, </w:t>
      </w:r>
      <w:r w:rsidR="00720469">
        <w:rPr>
          <w:rFonts w:hint="cs"/>
          <w:rtl/>
        </w:rPr>
        <w:t xml:space="preserve">וזה אומר שהגילוי האלוהי סופי, </w:t>
      </w:r>
      <w:r w:rsidR="002F6632">
        <w:rPr>
          <w:rFonts w:hint="cs"/>
          <w:rtl/>
        </w:rPr>
        <w:t>ומצד שהוא מתחלק עד אין סוף הוא לא קיים כלל</w:t>
      </w:r>
      <w:r w:rsidR="00720469">
        <w:rPr>
          <w:rFonts w:hint="cs"/>
          <w:rtl/>
        </w:rPr>
        <w:t xml:space="preserve"> והגילוי האלוהי הוא אין סופי</w:t>
      </w:r>
      <w:r w:rsidR="00FA42CB">
        <w:rPr>
          <w:rFonts w:hint="cs"/>
          <w:rtl/>
        </w:rPr>
        <w:t xml:space="preserve"> ואין מציאות מלבדו</w:t>
      </w:r>
      <w:r w:rsidR="002F6632">
        <w:rPr>
          <w:rFonts w:hint="cs"/>
          <w:rtl/>
        </w:rPr>
        <w:t>.</w:t>
      </w:r>
    </w:p>
    <w:p w14:paraId="0737C913" w14:textId="62530ACA" w:rsidR="00165A6A" w:rsidRDefault="00FA42CB">
      <w:pPr>
        <w:pStyle w:val="FootnoteText"/>
      </w:pPr>
      <w:r>
        <w:rPr>
          <w:rFonts w:hint="cs"/>
          <w:rtl/>
        </w:rPr>
        <w:t xml:space="preserve">כאן אנו מדברים על חקירת הטבע, </w:t>
      </w:r>
      <w:r w:rsidR="00CF53BF">
        <w:rPr>
          <w:rFonts w:hint="cs"/>
          <w:rtl/>
        </w:rPr>
        <w:t xml:space="preserve">ועל זה אומר כאן אבן סינא שהעיון השכלי רואה שהמציאות הטבעית היא רצף, ובתוך חקירת הטבע אנו מסתפקים בזה, כי זה מה שרואים, והמשמעות של זה לעניין סוד מעשה מרכבה </w:t>
      </w:r>
      <w:r w:rsidR="00A91B6D">
        <w:rPr>
          <w:rFonts w:hint="cs"/>
          <w:rtl/>
        </w:rPr>
        <w:t xml:space="preserve">והסתירה לגבי השאלה האם המציאות קיימת, </w:t>
      </w:r>
      <w:r w:rsidR="00CF53BF">
        <w:rPr>
          <w:rFonts w:hint="cs"/>
          <w:rtl/>
        </w:rPr>
        <w:t>ה</w:t>
      </w:r>
      <w:r w:rsidR="00A91B6D">
        <w:rPr>
          <w:rFonts w:hint="cs"/>
          <w:rtl/>
        </w:rPr>
        <w:t>יא מחוץ לחקר הטבע ואין כאן המקום לדון בה.</w:t>
      </w:r>
    </w:p>
  </w:footnote>
  <w:footnote w:id="397">
    <w:p w14:paraId="51DEDDD3" w14:textId="44CAB26B" w:rsidR="001E3611" w:rsidRPr="006E7A46" w:rsidRDefault="001E3611">
      <w:pPr>
        <w:pStyle w:val="FootnoteText"/>
      </w:pPr>
      <w:r>
        <w:rPr>
          <w:rStyle w:val="FootnoteReference"/>
        </w:rPr>
        <w:footnoteRef/>
      </w:r>
      <w:r w:rsidRPr="004B4CE8">
        <w:rPr>
          <w:rtl/>
        </w:rPr>
        <w:t xml:space="preserve"> במקור </w:t>
      </w:r>
      <w:r w:rsidR="009B669E" w:rsidRPr="004B4CE8">
        <w:rPr>
          <w:rFonts w:ascii="Arial" w:hAnsi="Arial" w:cs="Arial" w:hint="cs"/>
          <w:rtl/>
          <w:lang w:bidi="ar-SA"/>
        </w:rPr>
        <w:t>مادة</w:t>
      </w:r>
      <w:r w:rsidR="009B669E" w:rsidRPr="004B4CE8">
        <w:rPr>
          <w:rtl/>
        </w:rPr>
        <w:t xml:space="preserve">. </w:t>
      </w:r>
      <w:r w:rsidR="009B669E" w:rsidRPr="004B4CE8">
        <w:rPr>
          <w:rtl/>
        </w:rPr>
        <w:t xml:space="preserve">מאדא. הכוונה חומר במובן של </w:t>
      </w:r>
      <w:r w:rsidR="00CF12CA" w:rsidRPr="004B4CE8">
        <w:rPr>
          <w:rtl/>
        </w:rPr>
        <w:t xml:space="preserve">כל </w:t>
      </w:r>
      <w:r w:rsidR="009B669E" w:rsidRPr="004B4CE8">
        <w:rPr>
          <w:rtl/>
        </w:rPr>
        <w:t>משהו שנושא צורה</w:t>
      </w:r>
      <w:r w:rsidR="00CF12CA" w:rsidRPr="004B4CE8">
        <w:rPr>
          <w:rtl/>
        </w:rPr>
        <w:t>, שהוא</w:t>
      </w:r>
      <w:r w:rsidR="006E7A46" w:rsidRPr="004B4CE8">
        <w:rPr>
          <w:rtl/>
        </w:rPr>
        <w:t xml:space="preserve"> </w:t>
      </w:r>
      <w:r w:rsidR="00CF12CA" w:rsidRPr="004B4CE8">
        <w:rPr>
          <w:rtl/>
        </w:rPr>
        <w:t>מצע לצורה,</w:t>
      </w:r>
      <w:r w:rsidR="009B669E" w:rsidRPr="004B4CE8">
        <w:rPr>
          <w:rtl/>
        </w:rPr>
        <w:t xml:space="preserve"> ולא </w:t>
      </w:r>
      <w:r w:rsidR="00CF12CA" w:rsidRPr="004B4CE8">
        <w:rPr>
          <w:rtl/>
        </w:rPr>
        <w:t>דווקא</w:t>
      </w:r>
      <w:r w:rsidR="009B669E" w:rsidRPr="004B4CE8">
        <w:rPr>
          <w:rtl/>
        </w:rPr>
        <w:t xml:space="preserve"> ההיולי</w:t>
      </w:r>
      <w:r w:rsidR="00CF12CA" w:rsidRPr="004B4CE8">
        <w:rPr>
          <w:rtl/>
        </w:rPr>
        <w:t xml:space="preserve"> שהוא ההתחלה הראשונה של </w:t>
      </w:r>
      <w:r w:rsidR="006E7A46" w:rsidRPr="004B4CE8">
        <w:rPr>
          <w:rtl/>
        </w:rPr>
        <w:t>החומריות</w:t>
      </w:r>
      <w:r w:rsidR="00EF421C" w:rsidRPr="004B4CE8">
        <w:rPr>
          <w:rtl/>
        </w:rPr>
        <w:t>, במה שהוא ה'בכח' שהמימוש שלו בפועל הוא הצורה</w:t>
      </w:r>
      <w:r w:rsidR="00CF12CA" w:rsidRPr="004B4CE8">
        <w:rPr>
          <w:rtl/>
        </w:rPr>
        <w:t>.</w:t>
      </w:r>
      <w:r w:rsidR="00CF12CA" w:rsidRPr="006E7A46">
        <w:rPr>
          <w:rtl/>
        </w:rPr>
        <w:t xml:space="preserve"> </w:t>
      </w:r>
    </w:p>
  </w:footnote>
  <w:footnote w:id="398">
    <w:p w14:paraId="4E085D9D" w14:textId="77777777" w:rsidR="0068591C" w:rsidRDefault="00071176">
      <w:pPr>
        <w:pStyle w:val="FootnoteText"/>
        <w:rPr>
          <w:rtl/>
        </w:rPr>
      </w:pPr>
      <w:r>
        <w:rPr>
          <w:rStyle w:val="FootnoteReference"/>
        </w:rPr>
        <w:footnoteRef/>
      </w:r>
      <w:r w:rsidR="00EB2BFD">
        <w:rPr>
          <w:rFonts w:hint="cs"/>
          <w:rtl/>
        </w:rPr>
        <w:t xml:space="preserve"> </w:t>
      </w:r>
      <w:r w:rsidR="00C75FC3">
        <w:rPr>
          <w:rFonts w:hint="cs"/>
          <w:rtl/>
        </w:rPr>
        <w:t xml:space="preserve">אנו רואים בקו שהאורך שלו היא הכמות הנראית, כלומר </w:t>
      </w:r>
      <w:r w:rsidR="0071199F">
        <w:rPr>
          <w:rFonts w:hint="cs"/>
          <w:rtl/>
        </w:rPr>
        <w:t xml:space="preserve">הרצף, כי האורך שלו יכול להתחלק עד אין סוף ואז הוא מתאיין, כי האין סוף הוא </w:t>
      </w:r>
      <w:r w:rsidR="0083538E" w:rsidRPr="0083538E">
        <w:rPr>
          <w:rtl/>
        </w:rPr>
        <w:t>אָיִּן</w:t>
      </w:r>
      <w:r w:rsidR="0083538E">
        <w:rPr>
          <w:rFonts w:hint="cs"/>
          <w:rtl/>
        </w:rPr>
        <w:t xml:space="preserve"> (הוא ה</w:t>
      </w:r>
      <w:r w:rsidR="006E1DC1" w:rsidRPr="006E1DC1">
        <w:rPr>
          <w:rtl/>
        </w:rPr>
        <w:t>אָיִּן</w:t>
      </w:r>
      <w:r w:rsidR="006E1DC1">
        <w:rPr>
          <w:rFonts w:hint="cs"/>
          <w:rtl/>
        </w:rPr>
        <w:t xml:space="preserve"> באמרה שהעולם נברא יש מאין. 'יש' היא ספירת החכמה ו'אין' הוא הכתר)</w:t>
      </w:r>
      <w:r w:rsidR="0071199F">
        <w:rPr>
          <w:rFonts w:hint="cs"/>
          <w:rtl/>
        </w:rPr>
        <w:t xml:space="preserve">, אינו 'משהו', </w:t>
      </w:r>
      <w:r w:rsidR="00AE7FC4">
        <w:rPr>
          <w:rFonts w:hint="cs"/>
          <w:rtl/>
        </w:rPr>
        <w:t xml:space="preserve">ובשורש המציאות כולה </w:t>
      </w:r>
      <w:r w:rsidR="00486E87">
        <w:rPr>
          <w:rFonts w:hint="cs"/>
          <w:rtl/>
        </w:rPr>
        <w:t>נמצא</w:t>
      </w:r>
      <w:r w:rsidR="00AE7FC4">
        <w:rPr>
          <w:rFonts w:hint="cs"/>
          <w:rtl/>
        </w:rPr>
        <w:t xml:space="preserve"> </w:t>
      </w:r>
      <w:r w:rsidR="00AE7FC4">
        <w:rPr>
          <w:rFonts w:hint="cs"/>
          <w:rtl/>
        </w:rPr>
        <w:t>ה</w:t>
      </w:r>
      <w:r w:rsidR="00486E87">
        <w:rPr>
          <w:rFonts w:hint="cs"/>
          <w:rtl/>
        </w:rPr>
        <w:t>'</w:t>
      </w:r>
      <w:r w:rsidR="00AE7FC4" w:rsidRPr="00AE7FC4">
        <w:rPr>
          <w:rtl/>
        </w:rPr>
        <w:t>אָיִּן</w:t>
      </w:r>
      <w:r w:rsidR="00486E87">
        <w:rPr>
          <w:rFonts w:hint="cs"/>
          <w:rtl/>
        </w:rPr>
        <w:t>'</w:t>
      </w:r>
      <w:r w:rsidR="00AE7FC4">
        <w:rPr>
          <w:rFonts w:hint="cs"/>
          <w:rtl/>
        </w:rPr>
        <w:t xml:space="preserve">, כי האין סופיות האלוהית לא בטלה עם בריאת העולם, והיא </w:t>
      </w:r>
      <w:r w:rsidR="00486E87">
        <w:rPr>
          <w:rFonts w:hint="cs"/>
          <w:rtl/>
        </w:rPr>
        <w:t>ל</w:t>
      </w:r>
      <w:r w:rsidR="00AE7FC4">
        <w:rPr>
          <w:rFonts w:hint="cs"/>
          <w:rtl/>
        </w:rPr>
        <w:t>א מותירה</w:t>
      </w:r>
      <w:r w:rsidR="00486E87">
        <w:rPr>
          <w:rFonts w:hint="cs"/>
          <w:rtl/>
        </w:rPr>
        <w:t xml:space="preserve"> </w:t>
      </w:r>
      <w:r w:rsidR="00AE7FC4">
        <w:rPr>
          <w:rFonts w:hint="cs"/>
          <w:rtl/>
        </w:rPr>
        <w:t xml:space="preserve">מקום לנבראים. </w:t>
      </w:r>
      <w:r w:rsidR="00486E87">
        <w:rPr>
          <w:rFonts w:hint="cs"/>
          <w:rtl/>
        </w:rPr>
        <w:t>העולם עומד על תהום, שהוא כ</w:t>
      </w:r>
      <w:r w:rsidR="00E744C5">
        <w:rPr>
          <w:rFonts w:hint="cs"/>
          <w:rtl/>
        </w:rPr>
        <w:t>י</w:t>
      </w:r>
      <w:r w:rsidR="00486E87">
        <w:rPr>
          <w:rFonts w:hint="cs"/>
          <w:rtl/>
        </w:rPr>
        <w:t>ליון, מים בעומ</w:t>
      </w:r>
      <w:r w:rsidR="00E744C5">
        <w:rPr>
          <w:rFonts w:hint="cs"/>
          <w:rtl/>
        </w:rPr>
        <w:t>ק</w:t>
      </w:r>
      <w:r w:rsidR="00486E87">
        <w:rPr>
          <w:rFonts w:hint="cs"/>
          <w:rtl/>
        </w:rPr>
        <w:t xml:space="preserve"> אין סופי </w:t>
      </w:r>
      <w:r w:rsidR="00567F13">
        <w:rPr>
          <w:rFonts w:hint="cs"/>
          <w:rtl/>
        </w:rPr>
        <w:t xml:space="preserve">והם נקראים מים על דרך משל כי המים מוחקים את הצורות. </w:t>
      </w:r>
      <w:r w:rsidR="00463070">
        <w:rPr>
          <w:rFonts w:hint="cs"/>
          <w:rtl/>
        </w:rPr>
        <w:t xml:space="preserve">ומעל הרקיע גם יש מים שיכולים גם משם להטביע את העולם, </w:t>
      </w:r>
      <w:r w:rsidR="00964624">
        <w:rPr>
          <w:rFonts w:hint="cs"/>
          <w:rtl/>
        </w:rPr>
        <w:t>ו</w:t>
      </w:r>
      <w:r w:rsidR="00964624" w:rsidRPr="00964624">
        <w:rPr>
          <w:rtl/>
        </w:rPr>
        <w:t xml:space="preserve">אין שום דבר שמחזיק אותם </w:t>
      </w:r>
      <w:r w:rsidR="00463070">
        <w:rPr>
          <w:rFonts w:hint="cs"/>
          <w:rtl/>
        </w:rPr>
        <w:t>מלבד גערתו של הבורא</w:t>
      </w:r>
      <w:r w:rsidR="00044BEC">
        <w:rPr>
          <w:rFonts w:hint="cs"/>
          <w:rtl/>
        </w:rPr>
        <w:t xml:space="preserve"> והם תלויים מכח מאמרו של מלך כמו שכתב רש"י</w:t>
      </w:r>
      <w:r w:rsidR="00463070">
        <w:rPr>
          <w:rFonts w:hint="cs"/>
          <w:rtl/>
        </w:rPr>
        <w:t>.</w:t>
      </w:r>
      <w:r w:rsidR="00341EC9">
        <w:rPr>
          <w:rFonts w:hint="cs"/>
          <w:rtl/>
        </w:rPr>
        <w:t xml:space="preserve"> </w:t>
      </w:r>
    </w:p>
    <w:p w14:paraId="368EF83B" w14:textId="77777777" w:rsidR="00876542" w:rsidRDefault="00341EC9">
      <w:pPr>
        <w:pStyle w:val="FootnoteText"/>
        <w:rPr>
          <w:rtl/>
        </w:rPr>
      </w:pPr>
      <w:r>
        <w:rPr>
          <w:rFonts w:hint="cs"/>
          <w:rtl/>
        </w:rPr>
        <w:t>וכן האפשרות להתחלק עד אין סוף הוא תהום של כיליון ש</w:t>
      </w:r>
      <w:r w:rsidR="003C1DB6">
        <w:rPr>
          <w:rFonts w:hint="cs"/>
          <w:rtl/>
        </w:rPr>
        <w:t>המציאות רק נראית מעליו מכח מאמרו של מלך בלבד, ואין לה מציאות ממשית גמורה</w:t>
      </w:r>
      <w:r w:rsidR="0051186B">
        <w:rPr>
          <w:rFonts w:hint="cs"/>
          <w:rtl/>
        </w:rPr>
        <w:t>, ולכן קורא לזה אבן סינא הכמות הנראית, שהיא רק נראית ולא קיימת ממש</w:t>
      </w:r>
      <w:r w:rsidR="003C1DB6">
        <w:rPr>
          <w:rFonts w:hint="cs"/>
          <w:rtl/>
        </w:rPr>
        <w:t>. זה עוד אופן של הסתכלות על סוד מעשה מרכבה</w:t>
      </w:r>
      <w:r w:rsidR="00876542">
        <w:rPr>
          <w:rFonts w:hint="cs"/>
          <w:rtl/>
        </w:rPr>
        <w:t>, שהוא הסתירה בין האין סוף לנמצאים המוגבלים</w:t>
      </w:r>
      <w:r w:rsidR="003C1DB6">
        <w:rPr>
          <w:rFonts w:hint="cs"/>
          <w:rtl/>
        </w:rPr>
        <w:t>.</w:t>
      </w:r>
    </w:p>
    <w:p w14:paraId="00762169" w14:textId="02C58C86" w:rsidR="0051186B" w:rsidRDefault="003962CC">
      <w:pPr>
        <w:pStyle w:val="FootnoteText"/>
        <w:rPr>
          <w:rtl/>
        </w:rPr>
      </w:pPr>
      <w:r>
        <w:rPr>
          <w:rFonts w:hint="cs"/>
          <w:rtl/>
        </w:rPr>
        <w:t xml:space="preserve">האין סופיות </w:t>
      </w:r>
      <w:r w:rsidR="00E36DC1">
        <w:rPr>
          <w:rFonts w:hint="cs"/>
          <w:rtl/>
        </w:rPr>
        <w:t xml:space="preserve">כשלעצמה, </w:t>
      </w:r>
      <w:r>
        <w:rPr>
          <w:rFonts w:hint="cs"/>
          <w:rtl/>
        </w:rPr>
        <w:t>באופן שהיא 'אין'</w:t>
      </w:r>
      <w:r w:rsidR="00E36DC1">
        <w:rPr>
          <w:rFonts w:hint="cs"/>
          <w:rtl/>
        </w:rPr>
        <w:t>,</w:t>
      </w:r>
      <w:r>
        <w:rPr>
          <w:rFonts w:hint="cs"/>
          <w:rtl/>
        </w:rPr>
        <w:t xml:space="preserve"> </w:t>
      </w:r>
      <w:r w:rsidR="00E36DC1">
        <w:rPr>
          <w:rFonts w:hint="cs"/>
          <w:rtl/>
        </w:rPr>
        <w:t xml:space="preserve">בעירומה, </w:t>
      </w:r>
      <w:r>
        <w:rPr>
          <w:rFonts w:hint="cs"/>
          <w:rtl/>
        </w:rPr>
        <w:t>לא נראית לנו</w:t>
      </w:r>
      <w:r w:rsidR="00626317">
        <w:rPr>
          <w:rFonts w:hint="cs"/>
          <w:rtl/>
        </w:rPr>
        <w:t>, שכלנו קצר מלהשיגה (כמו שכתב הרמב"ם בהלכות יסודי התורה א' י')</w:t>
      </w:r>
      <w:r w:rsidR="00E36DC1">
        <w:rPr>
          <w:rFonts w:hint="cs"/>
          <w:rtl/>
        </w:rPr>
        <w:t>.</w:t>
      </w:r>
      <w:r>
        <w:rPr>
          <w:rFonts w:hint="cs"/>
          <w:rtl/>
        </w:rPr>
        <w:t xml:space="preserve"> אנו יכולים לראות אותה רק כשהיא מלובשת בכלי של הנמצאים המוגבלים (במה שהם מתחלקים לאין סוף</w:t>
      </w:r>
      <w:r w:rsidR="00A956D4">
        <w:rPr>
          <w:rFonts w:hint="cs"/>
          <w:rtl/>
        </w:rPr>
        <w:t>. כלומר מציאותם מתחילה מהכמות, והכמות היא מספר, וכל מספר יכול להתחלק בלי סוף</w:t>
      </w:r>
      <w:r>
        <w:rPr>
          <w:rFonts w:hint="cs"/>
          <w:rtl/>
        </w:rPr>
        <w:t xml:space="preserve">). </w:t>
      </w:r>
      <w:r w:rsidR="00001FDB">
        <w:rPr>
          <w:rFonts w:hint="cs"/>
          <w:rtl/>
        </w:rPr>
        <w:t>היכולת לראות את האין סוף היא רק באופן של לכוון את השכל כלפי מעלה, אל החידה</w:t>
      </w:r>
      <w:r w:rsidR="0015619E">
        <w:rPr>
          <w:rFonts w:hint="cs"/>
          <w:rtl/>
        </w:rPr>
        <w:t xml:space="preserve">, ורק </w:t>
      </w:r>
      <w:r w:rsidR="006A024F">
        <w:rPr>
          <w:rFonts w:hint="cs"/>
          <w:rtl/>
        </w:rPr>
        <w:t>להצביע לכיוון החידה בלי להשיג את פשרה</w:t>
      </w:r>
      <w:r w:rsidR="00001FDB">
        <w:rPr>
          <w:rFonts w:hint="cs"/>
          <w:rtl/>
        </w:rPr>
        <w:t xml:space="preserve">. </w:t>
      </w:r>
      <w:r w:rsidR="006A024F">
        <w:rPr>
          <w:rFonts w:hint="cs"/>
          <w:rtl/>
        </w:rPr>
        <w:t>מי שבחר שלא להשתמש בשכלו באופן כזה לא יכול לראות את מה שמדובר כאן</w:t>
      </w:r>
      <w:r w:rsidR="00183898">
        <w:rPr>
          <w:rFonts w:hint="cs"/>
          <w:rtl/>
        </w:rPr>
        <w:t>, ולכן אי אפשר לפרוך את דבריו או להוכיח לו דברים שלא ידע</w:t>
      </w:r>
      <w:r w:rsidR="006A024F">
        <w:rPr>
          <w:rFonts w:hint="cs"/>
          <w:rtl/>
        </w:rPr>
        <w:t xml:space="preserve">. </w:t>
      </w:r>
      <w:r w:rsidR="003C1DB6">
        <w:rPr>
          <w:rFonts w:hint="cs"/>
          <w:rtl/>
        </w:rPr>
        <w:t xml:space="preserve"> </w:t>
      </w:r>
    </w:p>
    <w:p w14:paraId="66EB0AB2" w14:textId="20359446" w:rsidR="00071176" w:rsidRDefault="00A204F1" w:rsidP="00256CC9">
      <w:pPr>
        <w:pStyle w:val="FootnoteText"/>
      </w:pPr>
      <w:r>
        <w:rPr>
          <w:rFonts w:hint="cs"/>
          <w:rtl/>
        </w:rPr>
        <w:t xml:space="preserve">לראות בקו רצף, פירושו לראות שאין לו אורך. </w:t>
      </w:r>
      <w:r w:rsidR="00AC2005">
        <w:rPr>
          <w:rFonts w:hint="cs"/>
          <w:rtl/>
        </w:rPr>
        <w:t>כי רצף הוא 'אחד' כמו שנקודה היא אחת, וכמו שלנקודה אין מידת אורך כך ממילא גם לקו שהוא רצף.</w:t>
      </w:r>
      <w:r w:rsidR="00A551C3">
        <w:rPr>
          <w:rFonts w:hint="cs"/>
          <w:rtl/>
        </w:rPr>
        <w:t xml:space="preserve"> אם אין לו אורך, אם אינו קיים ככמות, אז מה יש כאן שאנו קוראים לו קו? התשובה היא שבאמת אין כאן שם דבר, </w:t>
      </w:r>
      <w:r w:rsidR="00FF3DDF">
        <w:rPr>
          <w:rFonts w:hint="cs"/>
          <w:rtl/>
        </w:rPr>
        <w:t>יש רק גילוי של מראה</w:t>
      </w:r>
      <w:r w:rsidR="001835EF">
        <w:rPr>
          <w:rFonts w:hint="cs"/>
          <w:rtl/>
        </w:rPr>
        <w:t xml:space="preserve"> ("הכמות הנראית" בלשון אבן סינא)</w:t>
      </w:r>
      <w:r w:rsidR="00FF3DDF">
        <w:rPr>
          <w:rFonts w:hint="cs"/>
          <w:rtl/>
        </w:rPr>
        <w:t xml:space="preserve">, שהוא משל, כמו האורים הנבראים שרואים אותם הנביאים בחלום הנבואי (הנרבוני על מורה נבוכים ב' מ"ב </w:t>
      </w:r>
      <w:r w:rsidR="0044302D">
        <w:rPr>
          <w:rFonts w:hint="cs"/>
          <w:rtl/>
        </w:rPr>
        <w:t>פירש בכוונת הרמב"ם</w:t>
      </w:r>
      <w:r w:rsidR="00FF3DDF">
        <w:rPr>
          <w:rFonts w:hint="cs"/>
          <w:rtl/>
        </w:rPr>
        <w:t xml:space="preserve"> </w:t>
      </w:r>
      <w:r w:rsidR="007F3C22">
        <w:rPr>
          <w:rFonts w:hint="cs"/>
          <w:rtl/>
        </w:rPr>
        <w:t>שהאמת היא שהמציאות כולה היא כמו הצורות הנבראות שרואים במראה הנבואי והן משל, ומה שאנו תופשים שיש מציאות אובייקטיבית טבעית זה רק חיקוי למציאות של מראה הנבואה</w:t>
      </w:r>
      <w:r w:rsidR="00D515A2">
        <w:rPr>
          <w:rFonts w:hint="cs"/>
          <w:rtl/>
        </w:rPr>
        <w:t>. בחלום רואים גילוי חושי של מציאות שקיימת רק כמראה ולא יותר מזה</w:t>
      </w:r>
      <w:r w:rsidR="009F741A">
        <w:rPr>
          <w:rFonts w:hint="cs"/>
          <w:rtl/>
        </w:rPr>
        <w:t>, אם אני חולם על ראובן שלא קיים, יש מציאות של מראהו של ראובן בלי שיש ראובן, זה</w:t>
      </w:r>
      <w:r w:rsidR="003331DA">
        <w:rPr>
          <w:rFonts w:hint="cs"/>
          <w:rtl/>
        </w:rPr>
        <w:t xml:space="preserve"> </w:t>
      </w:r>
      <w:r w:rsidR="009F741A">
        <w:rPr>
          <w:rFonts w:hint="cs"/>
          <w:rtl/>
        </w:rPr>
        <w:t>הפירוש של אורים נבראים, יש אור</w:t>
      </w:r>
      <w:r w:rsidR="003331DA">
        <w:rPr>
          <w:rFonts w:hint="cs"/>
          <w:rtl/>
        </w:rPr>
        <w:t xml:space="preserve"> (כלומר תפישה, ראייה)</w:t>
      </w:r>
      <w:r w:rsidR="009F741A">
        <w:rPr>
          <w:rFonts w:hint="cs"/>
          <w:rtl/>
        </w:rPr>
        <w:t xml:space="preserve"> של ראובן בלי שיהיה ראובן שהוא עצם ש</w:t>
      </w:r>
      <w:r w:rsidR="003331DA">
        <w:rPr>
          <w:rFonts w:hint="cs"/>
          <w:rtl/>
        </w:rPr>
        <w:t>ממנו נוצר האור הזה. בהכרח המציאות היא ביסודה כך, כי היא משל על האין סוף שהוא 'אין'</w:t>
      </w:r>
      <w:r w:rsidR="00B370A0">
        <w:rPr>
          <w:rFonts w:hint="cs"/>
          <w:rtl/>
        </w:rPr>
        <w:t xml:space="preserve">. </w:t>
      </w:r>
      <w:r w:rsidR="005F5285">
        <w:rPr>
          <w:rFonts w:hint="cs"/>
          <w:rtl/>
        </w:rPr>
        <w:t>אם יש רק חלום שבו רואים מראה של ראובן, איננו יכולים למדוד את משקלו של ראובן וגם לא את גובהו ורוחבו במידה מספרית. זה הפירוש שאין מידה לרצף</w:t>
      </w:r>
      <w:r w:rsidR="00860CB6">
        <w:rPr>
          <w:rFonts w:hint="cs"/>
          <w:rtl/>
        </w:rPr>
        <w:t xml:space="preserve">. המדידה של כמויות </w:t>
      </w:r>
      <w:r w:rsidR="001823EB">
        <w:rPr>
          <w:rFonts w:hint="cs"/>
          <w:rtl/>
        </w:rPr>
        <w:t>אורך היא לא מדידה של הקו עצמו אלא יש בנו תפישה חיצונית שלפיה המציאות החומרית קיימת ממש, ואז יש לה מידה, ואנו מעמידים את סרגל השקר הזה ליד בקו שלאמיתו אין לו אורך, ועל הסרגל שאינו עצם הקו אנו סופרים את מידותיו</w:t>
      </w:r>
      <w:r w:rsidR="00A51F6E">
        <w:rPr>
          <w:rFonts w:hint="cs"/>
          <w:rtl/>
        </w:rPr>
        <w:t xml:space="preserve">. כך ביאר אריסטו בפיזיקה, וגם לגבי הזמן כתב אריסטו בכמה מקומות שהזמן הוא התנועה עצמה ויש מקומות שכתב שהוא התנועה או המודד של התנועה, והכוונה שלתנועה אין מידה, אין מרחק ומהירות, </w:t>
      </w:r>
      <w:r w:rsidR="00A84AB4">
        <w:rPr>
          <w:rFonts w:hint="cs"/>
          <w:rtl/>
        </w:rPr>
        <w:t>רק המצאנו את המושג החומרי זמן מכח התפישה החומרית שלנו ואנו משתמשים בו למדוד אותו ומעמיסים את המידה הזו על התנועה</w:t>
      </w:r>
      <w:r w:rsidR="005E4678">
        <w:rPr>
          <w:rFonts w:hint="cs"/>
          <w:rtl/>
        </w:rPr>
        <w:t>. זה הצד שהזמן הוא המודד של התנועה, והצד שהזמן הוא התנועה עצמה וגם לו אין מידה, הוא מצד אמיתת מציאות הזמן</w:t>
      </w:r>
      <w:r w:rsidR="007F3C22">
        <w:rPr>
          <w:rFonts w:hint="cs"/>
          <w:rtl/>
        </w:rPr>
        <w:t>)</w:t>
      </w:r>
      <w:r w:rsidR="00FF3DDF">
        <w:rPr>
          <w:rFonts w:hint="cs"/>
          <w:rtl/>
        </w:rPr>
        <w:t xml:space="preserve">. </w:t>
      </w:r>
      <w:r w:rsidR="00AC2005">
        <w:rPr>
          <w:rFonts w:hint="cs"/>
          <w:rtl/>
        </w:rPr>
        <w:t xml:space="preserve"> </w:t>
      </w:r>
    </w:p>
  </w:footnote>
  <w:footnote w:id="399">
    <w:p w14:paraId="3A0930B7" w14:textId="38BC6475" w:rsidR="007109A5" w:rsidRDefault="00715E17">
      <w:pPr>
        <w:pStyle w:val="FootnoteText"/>
        <w:rPr>
          <w:rtl/>
        </w:rPr>
      </w:pPr>
      <w:r>
        <w:rPr>
          <w:rStyle w:val="FootnoteReference"/>
        </w:rPr>
        <w:footnoteRef/>
      </w:r>
      <w:r>
        <w:rPr>
          <w:rtl/>
        </w:rPr>
        <w:t xml:space="preserve"> </w:t>
      </w:r>
      <w:r w:rsidR="00256CC9">
        <w:rPr>
          <w:rFonts w:hint="cs"/>
          <w:rtl/>
        </w:rPr>
        <w:t xml:space="preserve">זו טענת </w:t>
      </w:r>
      <w:r w:rsidR="00256CC9">
        <w:rPr>
          <w:rFonts w:hint="cs"/>
          <w:rtl/>
        </w:rPr>
        <w:t>האטומיסטים, בזמן אריסטו דמוקריטוס ובימי הביניים כת המדברים</w:t>
      </w:r>
      <w:r w:rsidR="00ED41F4">
        <w:rPr>
          <w:rFonts w:hint="cs"/>
          <w:rtl/>
        </w:rPr>
        <w:t xml:space="preserve"> (יש חוקרים שעמדו על הבדלים בין סברות כת המדברים ובין האטומיסטים בימי אריסטו, </w:t>
      </w:r>
      <w:r w:rsidR="00F3164F">
        <w:rPr>
          <w:rFonts w:hint="cs"/>
          <w:rtl/>
        </w:rPr>
        <w:t>אלה לא הבדלים שיש להם חשיבות מבחינה פילוסופית</w:t>
      </w:r>
      <w:r w:rsidR="00ED41F4">
        <w:rPr>
          <w:rFonts w:hint="cs"/>
          <w:rtl/>
        </w:rPr>
        <w:t>)</w:t>
      </w:r>
      <w:r w:rsidR="00197FF6">
        <w:rPr>
          <w:rFonts w:hint="cs"/>
          <w:rtl/>
        </w:rPr>
        <w:t>, ש</w:t>
      </w:r>
      <w:r w:rsidR="00ED41F4">
        <w:rPr>
          <w:rFonts w:hint="cs"/>
          <w:rtl/>
        </w:rPr>
        <w:t xml:space="preserve">לשיטתם </w:t>
      </w:r>
      <w:r w:rsidR="00197FF6">
        <w:rPr>
          <w:rFonts w:hint="cs"/>
          <w:rtl/>
        </w:rPr>
        <w:t xml:space="preserve">החלקיק היסודי של החומר, המוגבל, שלא יכול להתחלק יותר, הוא מוגבל, כלומר יש לו מידות כלשהן גדולות מאפס. עם כל האבסורדיות </w:t>
      </w:r>
      <w:r w:rsidR="001E70C3">
        <w:rPr>
          <w:rFonts w:hint="cs"/>
          <w:rtl/>
        </w:rPr>
        <w:t>המתמיהה ואף הנלעגת ששיטה זו מחייבת להגיע אליה,</w:t>
      </w:r>
      <w:r w:rsidR="00FC2F1F">
        <w:rPr>
          <w:rFonts w:hint="cs"/>
          <w:rtl/>
        </w:rPr>
        <w:t xml:space="preserve"> </w:t>
      </w:r>
      <w:r w:rsidR="001E70C3">
        <w:rPr>
          <w:rFonts w:hint="cs"/>
          <w:rtl/>
        </w:rPr>
        <w:t xml:space="preserve">וכמו שהאריך אבן סינא בכמה מקומות וגם המורה נבוכים א' ע"ג-ע"ו, </w:t>
      </w:r>
      <w:r w:rsidR="00FC2F1F">
        <w:rPr>
          <w:rFonts w:hint="cs"/>
          <w:rtl/>
        </w:rPr>
        <w:t xml:space="preserve">האטומיסטים היו מוכרחים לסבור כך כי אחרת אין אפשרות לקיים את התפישה המטריאליסטית לפיה החומר יש לו מציאות ממשית גמורה. האטומיסטים בימי אריסטו לא היו אנשי דת אלא להיפך, וכת המדברים היו קנאים דתיים. אבל הקנאות הדתית היא </w:t>
      </w:r>
      <w:r w:rsidR="00EA4A18">
        <w:rPr>
          <w:rFonts w:hint="cs"/>
          <w:rtl/>
        </w:rPr>
        <w:t>דומ</w:t>
      </w:r>
      <w:r w:rsidR="00FC2F1F">
        <w:rPr>
          <w:rFonts w:hint="cs"/>
          <w:rtl/>
        </w:rPr>
        <w:t xml:space="preserve">ה לתפישה המטריאליסטית בכך שלפיה האלוה לא מתגלה בעולם אלא הוא נשאר נסתר מחוץ לעולם ורק הנביא יכול לומר על אודותיו והעם צריך להאמין לנביא </w:t>
      </w:r>
      <w:r w:rsidR="004A28E0">
        <w:rPr>
          <w:rFonts w:hint="cs"/>
          <w:rtl/>
        </w:rPr>
        <w:t>ו</w:t>
      </w:r>
      <w:r w:rsidR="00E76353">
        <w:rPr>
          <w:rFonts w:hint="cs"/>
          <w:rtl/>
        </w:rPr>
        <w:t xml:space="preserve">לא </w:t>
      </w:r>
      <w:r w:rsidR="00FC2F1F">
        <w:rPr>
          <w:rFonts w:hint="cs"/>
          <w:rtl/>
        </w:rPr>
        <w:t xml:space="preserve"> יכול לראות בעיני שכלו שום דבר. ונמצא שהעולם עצמו ריק מאלוה ו</w:t>
      </w:r>
      <w:r w:rsidR="000547F5">
        <w:rPr>
          <w:rFonts w:hint="cs"/>
          <w:rtl/>
        </w:rPr>
        <w:t>אם לא מאמינים לנביא נשאר שרואים בעולם את</w:t>
      </w:r>
      <w:r w:rsidR="00FC2F1F">
        <w:rPr>
          <w:rFonts w:hint="cs"/>
          <w:rtl/>
        </w:rPr>
        <w:t xml:space="preserve"> שיטת המטריאליזם האתיאיסטי</w:t>
      </w:r>
      <w:r w:rsidR="00256CC9">
        <w:rPr>
          <w:rFonts w:hint="cs"/>
          <w:rtl/>
        </w:rPr>
        <w:t>.</w:t>
      </w:r>
      <w:r w:rsidR="001C7E24">
        <w:rPr>
          <w:rFonts w:hint="cs"/>
          <w:rtl/>
        </w:rPr>
        <w:t xml:space="preserve"> </w:t>
      </w:r>
      <w:r w:rsidR="00603281">
        <w:rPr>
          <w:rFonts w:hint="cs"/>
          <w:rtl/>
        </w:rPr>
        <w:t>וגם זה מכח הבחירה שלא להשתמש בשכל למבט כלפי מעלה, אל המציאות כמציאות</w:t>
      </w:r>
      <w:r w:rsidR="00546D2A">
        <w:rPr>
          <w:rFonts w:hint="cs"/>
          <w:rtl/>
        </w:rPr>
        <w:t xml:space="preserve"> באופן מופשט, לפני שיש משהו שהוא זה שנמצא. וכיוון שזו בחירה אין כאן מקום לדיון.</w:t>
      </w:r>
      <w:r w:rsidR="00603281">
        <w:rPr>
          <w:rFonts w:hint="cs"/>
          <w:rtl/>
        </w:rPr>
        <w:t xml:space="preserve"> </w:t>
      </w:r>
    </w:p>
    <w:p w14:paraId="7FE997C1" w14:textId="591F0662" w:rsidR="00715E17" w:rsidRDefault="007109A5">
      <w:pPr>
        <w:pStyle w:val="FootnoteText"/>
      </w:pPr>
      <w:r>
        <w:rPr>
          <w:rFonts w:hint="cs"/>
          <w:rtl/>
        </w:rPr>
        <w:t>הפיזיקה המודרנית גם היא מטריאליסטית ולכן גם היא מאמינה בהכרח שיש חלקיקים יסודיים שלא מתחלקים יותר</w:t>
      </w:r>
      <w:r w:rsidR="00A671E1">
        <w:rPr>
          <w:rFonts w:hint="cs"/>
          <w:rtl/>
        </w:rPr>
        <w:t>, וגם היא מגיעה מכח זה לאבסורדים תמוהים מאוד</w:t>
      </w:r>
      <w:r w:rsidR="00081DC4">
        <w:rPr>
          <w:rFonts w:hint="cs"/>
          <w:rtl/>
        </w:rPr>
        <w:t xml:space="preserve"> (למשל מדברים על חלקיקים שהמסה שלהם היא אפס, </w:t>
      </w:r>
      <w:r w:rsidR="00B01946">
        <w:rPr>
          <w:rFonts w:hint="cs"/>
          <w:rtl/>
        </w:rPr>
        <w:t xml:space="preserve">פוטונים, </w:t>
      </w:r>
      <w:r w:rsidR="00081DC4">
        <w:rPr>
          <w:rFonts w:hint="cs"/>
          <w:rtl/>
        </w:rPr>
        <w:t>ולפי המשוואה של מסה ואנרגיה גם האנרגיה שלהם אפס, והם רק תנועה בלי שיש משהו ש</w:t>
      </w:r>
      <w:r w:rsidR="00D945D7">
        <w:rPr>
          <w:rFonts w:hint="cs"/>
          <w:rtl/>
        </w:rPr>
        <w:t>הוא זה ש</w:t>
      </w:r>
      <w:r w:rsidR="00081DC4">
        <w:rPr>
          <w:rFonts w:hint="cs"/>
          <w:rtl/>
        </w:rPr>
        <w:t>נע</w:t>
      </w:r>
      <w:r w:rsidR="00D945D7">
        <w:rPr>
          <w:rFonts w:hint="cs"/>
          <w:rtl/>
        </w:rPr>
        <w:t>,</w:t>
      </w:r>
      <w:r w:rsidR="00081DC4">
        <w:rPr>
          <w:rFonts w:hint="cs"/>
          <w:rtl/>
        </w:rPr>
        <w:t xml:space="preserve"> ולכן התנועה אינה אנרגיה כי היא לא תנועה של משהו ש</w:t>
      </w:r>
      <w:r w:rsidR="00D945D7">
        <w:rPr>
          <w:rFonts w:hint="cs"/>
          <w:rtl/>
        </w:rPr>
        <w:t>נ</w:t>
      </w:r>
      <w:r w:rsidR="00081DC4">
        <w:rPr>
          <w:rFonts w:hint="cs"/>
          <w:rtl/>
        </w:rPr>
        <w:t>דרשת אנרגיה להניע אותו</w:t>
      </w:r>
      <w:r w:rsidR="00D945D7">
        <w:rPr>
          <w:rFonts w:hint="cs"/>
          <w:rtl/>
        </w:rPr>
        <w:t xml:space="preserve"> (זה קרוב לתפישה</w:t>
      </w:r>
      <w:r w:rsidR="00D03BAC">
        <w:rPr>
          <w:rFonts w:hint="cs"/>
          <w:rtl/>
        </w:rPr>
        <w:t xml:space="preserve"> </w:t>
      </w:r>
      <w:r w:rsidR="00D945D7">
        <w:rPr>
          <w:rFonts w:hint="cs"/>
          <w:rtl/>
        </w:rPr>
        <w:t>של אפלטון שהתנועה היא לבדה הוויית הנבראים</w:t>
      </w:r>
      <w:r w:rsidR="00D03BAC">
        <w:rPr>
          <w:rFonts w:hint="cs"/>
          <w:rtl/>
        </w:rPr>
        <w:t xml:space="preserve">, לא תנועה של משהו אלא התנועה כשלעצמה, כמו שביארתי בעיונים בפילוסופיה אריסטוטלית רשימה 35 במאמר התנועה יסוד </w:t>
      </w:r>
      <w:r w:rsidR="009C463A">
        <w:rPr>
          <w:rFonts w:hint="cs"/>
          <w:rtl/>
        </w:rPr>
        <w:t>ההוויה</w:t>
      </w:r>
      <w:r w:rsidR="00D03BAC">
        <w:rPr>
          <w:rFonts w:hint="cs"/>
          <w:rtl/>
        </w:rPr>
        <w:t>. ובכל אופן זה סותר את המדע כי זה לא מטריאליזם</w:t>
      </w:r>
      <w:r w:rsidR="00D945D7">
        <w:rPr>
          <w:rFonts w:hint="cs"/>
          <w:rtl/>
        </w:rPr>
        <w:t>), ויש עוד הרבה להאריך בזה ולא כאן המקום)</w:t>
      </w:r>
      <w:r>
        <w:rPr>
          <w:rFonts w:hint="cs"/>
          <w:rtl/>
        </w:rPr>
        <w:t xml:space="preserve">. </w:t>
      </w:r>
      <w:r w:rsidR="00256CC9">
        <w:rPr>
          <w:rFonts w:hint="cs"/>
          <w:rtl/>
        </w:rPr>
        <w:t xml:space="preserve"> </w:t>
      </w:r>
    </w:p>
  </w:footnote>
  <w:footnote w:id="400">
    <w:p w14:paraId="08A5D486" w14:textId="6BCFA0A7" w:rsidR="00F81E7E" w:rsidRDefault="00F81E7E">
      <w:pPr>
        <w:pStyle w:val="FootnoteText"/>
      </w:pPr>
      <w:r>
        <w:rPr>
          <w:rStyle w:val="FootnoteReference"/>
        </w:rPr>
        <w:footnoteRef/>
      </w:r>
      <w:r>
        <w:rPr>
          <w:rtl/>
        </w:rPr>
        <w:t xml:space="preserve"> </w:t>
      </w:r>
      <w:r w:rsidR="00612CC1">
        <w:rPr>
          <w:rFonts w:hint="cs"/>
          <w:rtl/>
        </w:rPr>
        <w:t xml:space="preserve">של הקדמונים שהובאו באריסטו בפיזיקה ספר א'.  </w:t>
      </w:r>
    </w:p>
  </w:footnote>
  <w:footnote w:id="401">
    <w:p w14:paraId="08ADE32B" w14:textId="22DF6755" w:rsidR="00AB64F7" w:rsidRDefault="00AB64F7">
      <w:pPr>
        <w:pStyle w:val="FootnoteText"/>
      </w:pPr>
      <w:r>
        <w:rPr>
          <w:rStyle w:val="FootnoteReference"/>
        </w:rPr>
        <w:footnoteRef/>
      </w:r>
      <w:r>
        <w:rPr>
          <w:rtl/>
        </w:rPr>
        <w:t xml:space="preserve"> </w:t>
      </w:r>
      <w:r w:rsidR="00190712">
        <w:rPr>
          <w:rFonts w:hint="cs"/>
          <w:rtl/>
        </w:rPr>
        <w:t>שאריסטו הביא דעותיהם בפיזיקה ספר א'.</w:t>
      </w:r>
    </w:p>
  </w:footnote>
  <w:footnote w:id="402">
    <w:p w14:paraId="04C8A644" w14:textId="4A5E949E" w:rsidR="00702F54" w:rsidRDefault="00702F54">
      <w:pPr>
        <w:pStyle w:val="FootnoteText"/>
        <w:rPr>
          <w:rtl/>
        </w:rPr>
      </w:pPr>
      <w:r>
        <w:rPr>
          <w:rStyle w:val="FootnoteReference"/>
        </w:rPr>
        <w:footnoteRef/>
      </w:r>
      <w:r>
        <w:rPr>
          <w:rtl/>
        </w:rPr>
        <w:t xml:space="preserve"> </w:t>
      </w:r>
      <w:r w:rsidR="00820A45">
        <w:rPr>
          <w:rFonts w:hint="cs"/>
          <w:rtl/>
        </w:rPr>
        <w:t>מקגיניס הפנה ל</w:t>
      </w:r>
      <w:r w:rsidR="00820A45" w:rsidRPr="00950008">
        <w:rPr>
          <w:rFonts w:asciiTheme="majorBidi" w:hAnsiTheme="majorBidi" w:cstheme="majorBidi"/>
          <w:rtl/>
        </w:rPr>
        <w:t xml:space="preserve"> </w:t>
      </w:r>
      <w:r w:rsidR="00820A45" w:rsidRPr="00950008">
        <w:rPr>
          <w:rFonts w:asciiTheme="majorBidi" w:hAnsiTheme="majorBidi" w:cstheme="majorBidi"/>
        </w:rPr>
        <w:t>Kitāb fī al-kawn wa-l-fasād 3</w:t>
      </w:r>
      <w:r w:rsidR="00820A45" w:rsidRPr="003F26E7">
        <w:rPr>
          <w:rtl/>
        </w:rPr>
        <w:t xml:space="preserve"> הוא ספר ההתהוות וההפסד של אבן סינא שנכלל בסדרת הספרים שנקראת </w:t>
      </w:r>
      <w:r w:rsidR="00950008" w:rsidRPr="003F26E7">
        <w:rPr>
          <w:rtl/>
        </w:rPr>
        <w:t xml:space="preserve">ספר </w:t>
      </w:r>
      <w:r w:rsidR="00820A45" w:rsidRPr="003F26E7">
        <w:rPr>
          <w:rtl/>
        </w:rPr>
        <w:t xml:space="preserve">הריפוי (הספר </w:t>
      </w:r>
      <w:r w:rsidR="00950008" w:rsidRPr="003F26E7">
        <w:rPr>
          <w:rtl/>
        </w:rPr>
        <w:t xml:space="preserve">שלנו גם הוא חלק מספר הריפוי). להבדיל מספרו של אריסטו שנקרא באותו שם. </w:t>
      </w:r>
      <w:r w:rsidR="004A1DBA">
        <w:rPr>
          <w:rFonts w:hint="cs"/>
          <w:rtl/>
        </w:rPr>
        <w:t>ספר זה</w:t>
      </w:r>
      <w:r w:rsidR="00C5120E">
        <w:rPr>
          <w:rFonts w:hint="cs"/>
          <w:rtl/>
        </w:rPr>
        <w:t xml:space="preserve"> </w:t>
      </w:r>
      <w:r w:rsidR="004A1DBA">
        <w:rPr>
          <w:rFonts w:hint="cs"/>
          <w:rtl/>
        </w:rPr>
        <w:t>תורגם על ידי מקגיניס לאנגלית, בתרגום ראשוני לא מוגה</w:t>
      </w:r>
      <w:r w:rsidR="006C2A9C">
        <w:rPr>
          <w:rFonts w:hint="cs"/>
          <w:rtl/>
        </w:rPr>
        <w:t xml:space="preserve"> שעדיין לא נערך סופית ו</w:t>
      </w:r>
      <w:r w:rsidR="003E0F67">
        <w:rPr>
          <w:rFonts w:hint="cs"/>
          <w:rtl/>
        </w:rPr>
        <w:t xml:space="preserve">לא </w:t>
      </w:r>
      <w:r w:rsidR="006C2A9C">
        <w:rPr>
          <w:rFonts w:hint="cs"/>
          <w:rtl/>
        </w:rPr>
        <w:t>יצא לאור</w:t>
      </w:r>
      <w:r w:rsidR="004A1DBA">
        <w:rPr>
          <w:rFonts w:hint="cs"/>
          <w:rtl/>
        </w:rPr>
        <w:t xml:space="preserve">, </w:t>
      </w:r>
      <w:r w:rsidR="00C5120E">
        <w:rPr>
          <w:rFonts w:hint="cs"/>
          <w:rtl/>
        </w:rPr>
        <w:t>אפשר</w:t>
      </w:r>
      <w:r w:rsidR="00D717AC">
        <w:rPr>
          <w:rFonts w:hint="cs"/>
          <w:rtl/>
        </w:rPr>
        <w:t xml:space="preserve"> </w:t>
      </w:r>
      <w:r w:rsidR="00C5120E">
        <w:rPr>
          <w:rFonts w:hint="cs"/>
          <w:rtl/>
        </w:rPr>
        <w:t>לראות את התרגום (וגם את תרגום מקגיניס ל</w:t>
      </w:r>
      <w:r w:rsidR="00D717AC">
        <w:rPr>
          <w:rFonts w:hint="cs"/>
          <w:rtl/>
        </w:rPr>
        <w:t>עוד שני ספרים של אבן סינא</w:t>
      </w:r>
      <w:r w:rsidR="007529FA">
        <w:rPr>
          <w:rFonts w:hint="cs"/>
          <w:rtl/>
        </w:rPr>
        <w:t>:</w:t>
      </w:r>
      <w:r w:rsidR="00D717AC">
        <w:rPr>
          <w:rFonts w:hint="cs"/>
          <w:rtl/>
        </w:rPr>
        <w:t xml:space="preserve"> </w:t>
      </w:r>
      <w:r w:rsidR="006C2A9C">
        <w:rPr>
          <w:rFonts w:hint="cs"/>
          <w:rtl/>
        </w:rPr>
        <w:t>"</w:t>
      </w:r>
      <w:r w:rsidR="00D717AC">
        <w:rPr>
          <w:rFonts w:hint="cs"/>
          <w:rtl/>
        </w:rPr>
        <w:t>על ה</w:t>
      </w:r>
      <w:r w:rsidR="007529FA">
        <w:rPr>
          <w:rFonts w:hint="cs"/>
          <w:rtl/>
        </w:rPr>
        <w:t>שמיים</w:t>
      </w:r>
      <w:r w:rsidR="006C2A9C">
        <w:rPr>
          <w:rFonts w:hint="cs"/>
          <w:rtl/>
        </w:rPr>
        <w:t>"</w:t>
      </w:r>
      <w:r w:rsidR="007529FA">
        <w:rPr>
          <w:rFonts w:hint="cs"/>
          <w:rtl/>
        </w:rPr>
        <w:t xml:space="preserve"> ו</w:t>
      </w:r>
      <w:r w:rsidR="006C2A9C">
        <w:rPr>
          <w:rFonts w:hint="cs"/>
          <w:rtl/>
        </w:rPr>
        <w:t>"</w:t>
      </w:r>
      <w:r w:rsidR="007529FA">
        <w:rPr>
          <w:rFonts w:hint="cs"/>
          <w:rtl/>
        </w:rPr>
        <w:t>ע</w:t>
      </w:r>
      <w:r w:rsidR="006C2A9C">
        <w:rPr>
          <w:rFonts w:hint="cs"/>
          <w:rtl/>
        </w:rPr>
        <w:t>ל</w:t>
      </w:r>
      <w:r w:rsidR="007529FA">
        <w:rPr>
          <w:rFonts w:hint="cs"/>
          <w:rtl/>
        </w:rPr>
        <w:t xml:space="preserve"> הפעיל</w:t>
      </w:r>
      <w:r w:rsidR="00F0159C">
        <w:rPr>
          <w:rFonts w:hint="cs"/>
          <w:rtl/>
        </w:rPr>
        <w:t>ויות</w:t>
      </w:r>
      <w:r w:rsidR="007529FA">
        <w:rPr>
          <w:rFonts w:hint="cs"/>
          <w:rtl/>
        </w:rPr>
        <w:t xml:space="preserve"> והנפעל</w:t>
      </w:r>
      <w:r w:rsidR="00F0159C">
        <w:rPr>
          <w:rFonts w:hint="cs"/>
          <w:rtl/>
        </w:rPr>
        <w:t>ויות</w:t>
      </w:r>
      <w:r w:rsidR="006C2A9C">
        <w:rPr>
          <w:rFonts w:hint="cs"/>
          <w:rtl/>
        </w:rPr>
        <w:t>"</w:t>
      </w:r>
      <w:r w:rsidR="00D717AC">
        <w:rPr>
          <w:rFonts w:hint="cs"/>
          <w:rtl/>
        </w:rPr>
        <w:t>, מתוך הריפוי)</w:t>
      </w:r>
      <w:r w:rsidR="00C5120E">
        <w:rPr>
          <w:rFonts w:hint="cs"/>
          <w:rtl/>
        </w:rPr>
        <w:t xml:space="preserve"> </w:t>
      </w:r>
      <w:hyperlink r:id="rId91" w:history="1">
        <w:r w:rsidR="003E0F67" w:rsidRPr="003E0F67">
          <w:rPr>
            <w:rStyle w:val="Hyperlink"/>
            <w:rFonts w:hint="cs"/>
            <w:rtl/>
          </w:rPr>
          <w:t>כאן</w:t>
        </w:r>
      </w:hyperlink>
    </w:p>
    <w:p w14:paraId="3E710A8A" w14:textId="6DEB6E76" w:rsidR="00845812" w:rsidRPr="00C217B0" w:rsidRDefault="005A2FE3">
      <w:pPr>
        <w:pStyle w:val="FootnoteText"/>
      </w:pPr>
      <w:r>
        <w:rPr>
          <w:rFonts w:hint="cs"/>
          <w:rtl/>
        </w:rPr>
        <w:t>במקור</w:t>
      </w:r>
      <w:r w:rsidR="00A2400C">
        <w:rPr>
          <w:rFonts w:hint="cs"/>
          <w:rtl/>
        </w:rPr>
        <w:t xml:space="preserve"> </w:t>
      </w:r>
      <w:r w:rsidR="00A2400C" w:rsidRPr="00A2400C">
        <w:rPr>
          <w:rFonts w:cs="Times New Roman" w:hint="eastAsia"/>
          <w:rtl/>
          <w:lang w:bidi="ar-SA"/>
        </w:rPr>
        <w:t>الك</w:t>
      </w:r>
      <w:bookmarkStart w:id="198" w:name="_Hlk101212196"/>
      <w:r w:rsidR="00A2400C" w:rsidRPr="00A2400C">
        <w:rPr>
          <w:rFonts w:cs="Times New Roman" w:hint="eastAsia"/>
          <w:rtl/>
          <w:lang w:bidi="ar-SA"/>
        </w:rPr>
        <w:t>ا</w:t>
      </w:r>
      <w:bookmarkEnd w:id="198"/>
      <w:r w:rsidR="00A2400C" w:rsidRPr="00A2400C">
        <w:rPr>
          <w:rFonts w:cs="Times New Roman" w:hint="eastAsia"/>
          <w:rtl/>
          <w:lang w:bidi="ar-SA"/>
        </w:rPr>
        <w:t>ئنات</w:t>
      </w:r>
      <w:r w:rsidR="00A2400C" w:rsidRPr="00A2400C">
        <w:rPr>
          <w:rFonts w:cs="Times New Roman"/>
          <w:rtl/>
          <w:lang w:bidi="ar-SA"/>
        </w:rPr>
        <w:t xml:space="preserve"> </w:t>
      </w:r>
      <w:r w:rsidR="00A2400C" w:rsidRPr="00A2400C">
        <w:rPr>
          <w:rFonts w:cs="Times New Roman" w:hint="eastAsia"/>
          <w:rtl/>
          <w:lang w:bidi="ar-SA"/>
        </w:rPr>
        <w:t>الفاسدات</w:t>
      </w:r>
      <w:r w:rsidR="00A2400C" w:rsidRPr="00C217B0">
        <w:rPr>
          <w:rtl/>
        </w:rPr>
        <w:t>. הקרוב יותר</w:t>
      </w:r>
      <w:r w:rsidR="0030206A">
        <w:rPr>
          <w:rFonts w:hint="cs"/>
          <w:rtl/>
        </w:rPr>
        <w:t xml:space="preserve"> מבחינה מילולית</w:t>
      </w:r>
      <w:r w:rsidR="00A2400C" w:rsidRPr="00C217B0">
        <w:rPr>
          <w:rtl/>
        </w:rPr>
        <w:t xml:space="preserve"> הוא לתרגם </w:t>
      </w:r>
      <w:r w:rsidR="00B94585" w:rsidRPr="00C217B0">
        <w:rPr>
          <w:rtl/>
        </w:rPr>
        <w:t>כאן ובעוד מקומות רבים בהם חוזר הביטוי הזה:</w:t>
      </w:r>
      <w:r w:rsidR="00845812" w:rsidRPr="00C217B0">
        <w:rPr>
          <w:rtl/>
        </w:rPr>
        <w:t xml:space="preserve"> </w:t>
      </w:r>
      <w:r w:rsidR="00F42514" w:rsidRPr="00C217B0">
        <w:rPr>
          <w:rtl/>
        </w:rPr>
        <w:t>'</w:t>
      </w:r>
      <w:r w:rsidR="00845812" w:rsidRPr="00C217B0">
        <w:rPr>
          <w:rtl/>
        </w:rPr>
        <w:t>הדברים הנפסדים</w:t>
      </w:r>
      <w:r w:rsidR="00F42514" w:rsidRPr="00C217B0">
        <w:rPr>
          <w:rtl/>
        </w:rPr>
        <w:t xml:space="preserve">' במקום </w:t>
      </w:r>
      <w:r w:rsidR="00B94585" w:rsidRPr="00C217B0">
        <w:rPr>
          <w:rtl/>
        </w:rPr>
        <w:t>'</w:t>
      </w:r>
      <w:r w:rsidR="00F42514" w:rsidRPr="00C217B0">
        <w:rPr>
          <w:rtl/>
        </w:rPr>
        <w:t>ההתהוות והפסד</w:t>
      </w:r>
      <w:r w:rsidR="00B94585" w:rsidRPr="00C217B0">
        <w:rPr>
          <w:rtl/>
        </w:rPr>
        <w:t xml:space="preserve">' או </w:t>
      </w:r>
      <w:r w:rsidR="00755354">
        <w:rPr>
          <w:rFonts w:hint="cs"/>
          <w:rtl/>
        </w:rPr>
        <w:t>'</w:t>
      </w:r>
      <w:r w:rsidR="00B94585" w:rsidRPr="00C217B0">
        <w:rPr>
          <w:rtl/>
        </w:rPr>
        <w:t>המתהווים והנפסדים</w:t>
      </w:r>
      <w:r w:rsidR="00755354">
        <w:rPr>
          <w:rFonts w:hint="cs"/>
          <w:rtl/>
        </w:rPr>
        <w:t>' אבל הלכתי בזה בעקבות מקגיניס</w:t>
      </w:r>
      <w:r w:rsidR="003448ED">
        <w:rPr>
          <w:rFonts w:hint="cs"/>
          <w:rtl/>
        </w:rPr>
        <w:t>, ואין הבדל מבחינת התוכן</w:t>
      </w:r>
      <w:r w:rsidR="00845812" w:rsidRPr="00C217B0">
        <w:rPr>
          <w:rtl/>
        </w:rPr>
        <w:t>.</w:t>
      </w:r>
      <w:r w:rsidR="00F42514" w:rsidRPr="00C217B0">
        <w:rPr>
          <w:rtl/>
        </w:rPr>
        <w:t xml:space="preserve"> </w:t>
      </w:r>
      <w:r w:rsidR="00845812" w:rsidRPr="00C217B0">
        <w:rPr>
          <w:rtl/>
        </w:rPr>
        <w:t xml:space="preserve"> </w:t>
      </w:r>
    </w:p>
  </w:footnote>
  <w:footnote w:id="403">
    <w:p w14:paraId="61B92B8A" w14:textId="5BDB0146" w:rsidR="00DB3B40" w:rsidRDefault="00DB3B40">
      <w:pPr>
        <w:pStyle w:val="FootnoteText"/>
      </w:pPr>
      <w:r>
        <w:rPr>
          <w:rStyle w:val="FootnoteReference"/>
        </w:rPr>
        <w:footnoteRef/>
      </w:r>
      <w:r>
        <w:rPr>
          <w:rtl/>
        </w:rPr>
        <w:t xml:space="preserve"> </w:t>
      </w:r>
      <w:r w:rsidR="00492118">
        <w:rPr>
          <w:rFonts w:hint="cs"/>
          <w:rtl/>
        </w:rPr>
        <w:t>למשל ראובן ושמעון שניהם אותו עצם</w:t>
      </w:r>
      <w:r w:rsidR="00C17BDB">
        <w:rPr>
          <w:rFonts w:hint="cs"/>
          <w:rtl/>
        </w:rPr>
        <w:t>, דהיינו אותו מין</w:t>
      </w:r>
      <w:r w:rsidR="00492118">
        <w:rPr>
          <w:rFonts w:hint="cs"/>
          <w:rtl/>
        </w:rPr>
        <w:t xml:space="preserve">, </w:t>
      </w:r>
      <w:r w:rsidR="00C17BDB">
        <w:rPr>
          <w:rFonts w:hint="cs"/>
          <w:rtl/>
        </w:rPr>
        <w:t>'</w:t>
      </w:r>
      <w:r w:rsidR="00492118">
        <w:rPr>
          <w:rFonts w:hint="cs"/>
          <w:rtl/>
        </w:rPr>
        <w:t>אדם</w:t>
      </w:r>
      <w:r w:rsidR="00C17BDB">
        <w:rPr>
          <w:rFonts w:hint="cs"/>
          <w:rtl/>
        </w:rPr>
        <w:t>'</w:t>
      </w:r>
      <w:r w:rsidR="00492118">
        <w:rPr>
          <w:rFonts w:hint="cs"/>
          <w:rtl/>
        </w:rPr>
        <w:t>, והתחלפותם להיות שני אנשים נפרדים היא בגלל המקרים השונים שקרו בעצם הזה.</w:t>
      </w:r>
      <w:r w:rsidR="00AB2FB6">
        <w:rPr>
          <w:rFonts w:hint="cs"/>
          <w:rtl/>
        </w:rPr>
        <w:t xml:space="preserve"> גם זני כלבים הם אותו עצם שהוא 'כלב' וזן הפודל וזן הרועה הגרמני נבדלים רק בחי</w:t>
      </w:r>
      <w:r w:rsidR="00D27577">
        <w:rPr>
          <w:rFonts w:hint="cs"/>
          <w:rtl/>
        </w:rPr>
        <w:t>ל</w:t>
      </w:r>
      <w:r w:rsidR="00AB2FB6">
        <w:rPr>
          <w:rFonts w:hint="cs"/>
          <w:rtl/>
        </w:rPr>
        <w:t>ו</w:t>
      </w:r>
      <w:r w:rsidR="00D27577">
        <w:rPr>
          <w:rFonts w:hint="cs"/>
          <w:rtl/>
        </w:rPr>
        <w:t>פ</w:t>
      </w:r>
      <w:r w:rsidR="00AB2FB6">
        <w:rPr>
          <w:rFonts w:hint="cs"/>
          <w:rtl/>
        </w:rPr>
        <w:t>י מקרים כגון גודל צבע וכיו"ב,</w:t>
      </w:r>
      <w:r w:rsidR="00492118">
        <w:rPr>
          <w:rFonts w:hint="cs"/>
          <w:rtl/>
        </w:rPr>
        <w:t xml:space="preserve"> </w:t>
      </w:r>
      <w:r w:rsidR="002F7245">
        <w:rPr>
          <w:rFonts w:hint="cs"/>
          <w:rtl/>
        </w:rPr>
        <w:t xml:space="preserve">כך גם </w:t>
      </w:r>
      <w:r w:rsidR="0026287B">
        <w:rPr>
          <w:rFonts w:hint="cs"/>
          <w:rtl/>
        </w:rPr>
        <w:t xml:space="preserve">מים </w:t>
      </w:r>
      <w:r w:rsidR="00406223">
        <w:rPr>
          <w:rFonts w:hint="cs"/>
          <w:rtl/>
        </w:rPr>
        <w:t xml:space="preserve">שיכולים להיות </w:t>
      </w:r>
      <w:r w:rsidR="0026287B">
        <w:rPr>
          <w:rFonts w:hint="cs"/>
          <w:rtl/>
        </w:rPr>
        <w:t>קרים, חמים, מלוחים</w:t>
      </w:r>
      <w:r w:rsidR="002F7245">
        <w:rPr>
          <w:rFonts w:hint="cs"/>
          <w:rtl/>
        </w:rPr>
        <w:t xml:space="preserve"> וכיו"ב, כולם עצם אחד שהוא מים, והשינוי הוא רק במקרים השונים שקרו לאותו עצם. </w:t>
      </w:r>
      <w:r w:rsidR="00446455">
        <w:rPr>
          <w:rFonts w:hint="cs"/>
          <w:rtl/>
        </w:rPr>
        <w:t>אם המים הם ההתחלה האחת של כל הדברים הנפסדים</w:t>
      </w:r>
      <w:r w:rsidR="00E27D30">
        <w:rPr>
          <w:rFonts w:hint="cs"/>
          <w:rtl/>
        </w:rPr>
        <w:t xml:space="preserve">, הרי כל הדברים בעולם הם </w:t>
      </w:r>
      <w:r w:rsidR="006F6DF2">
        <w:rPr>
          <w:rFonts w:hint="cs"/>
          <w:rtl/>
        </w:rPr>
        <w:t>עצם אחד</w:t>
      </w:r>
      <w:r w:rsidR="00BA2438">
        <w:rPr>
          <w:rFonts w:hint="cs"/>
          <w:rtl/>
        </w:rPr>
        <w:t xml:space="preserve">, </w:t>
      </w:r>
      <w:r w:rsidR="00017CAB">
        <w:rPr>
          <w:rFonts w:hint="cs"/>
          <w:rtl/>
        </w:rPr>
        <w:t>דהיינו מין אחד,</w:t>
      </w:r>
      <w:r w:rsidR="006F6DF2">
        <w:rPr>
          <w:rFonts w:hint="cs"/>
          <w:rtl/>
        </w:rPr>
        <w:t xml:space="preserve"> שהוא 'מים' וההבדלים ביניהם הם רק מכח המקרים השונים. </w:t>
      </w:r>
      <w:r w:rsidR="002A13B7">
        <w:rPr>
          <w:rFonts w:hint="cs"/>
          <w:rtl/>
        </w:rPr>
        <w:t>סוס יהיה</w:t>
      </w:r>
      <w:r w:rsidR="00937696">
        <w:rPr>
          <w:rFonts w:hint="cs"/>
          <w:rtl/>
        </w:rPr>
        <w:t xml:space="preserve"> </w:t>
      </w:r>
      <w:r w:rsidR="002A13B7">
        <w:rPr>
          <w:rFonts w:hint="cs"/>
          <w:rtl/>
        </w:rPr>
        <w:t xml:space="preserve">מים עם מקרים של </w:t>
      </w:r>
      <w:r w:rsidR="00937696">
        <w:rPr>
          <w:rFonts w:hint="cs"/>
          <w:rtl/>
        </w:rPr>
        <w:t>מאפייני</w:t>
      </w:r>
      <w:r w:rsidR="002A13B7">
        <w:rPr>
          <w:rFonts w:hint="cs"/>
          <w:rtl/>
        </w:rPr>
        <w:t xml:space="preserve"> סוס, </w:t>
      </w:r>
      <w:r w:rsidR="00937696">
        <w:rPr>
          <w:rFonts w:hint="cs"/>
          <w:rtl/>
        </w:rPr>
        <w:t xml:space="preserve">כמו מים </w:t>
      </w:r>
      <w:r w:rsidR="00923A91">
        <w:rPr>
          <w:rFonts w:hint="cs"/>
          <w:rtl/>
        </w:rPr>
        <w:t>חמים שה</w:t>
      </w:r>
      <w:r w:rsidR="00532625">
        <w:rPr>
          <w:rFonts w:hint="cs"/>
          <w:rtl/>
        </w:rPr>
        <w:t>ם</w:t>
      </w:r>
      <w:r w:rsidR="00923A91">
        <w:rPr>
          <w:rFonts w:hint="cs"/>
          <w:rtl/>
        </w:rPr>
        <w:t xml:space="preserve"> מים עם מקרה של המאפיין חום.</w:t>
      </w:r>
      <w:r w:rsidR="00F13BD7">
        <w:rPr>
          <w:rFonts w:hint="cs"/>
          <w:rtl/>
        </w:rPr>
        <w:t xml:space="preserve"> והוא הדין אם הכל הוא עצם אחד שהוא רוח, הכל יהיו זנים או פרטים של רוח. </w:t>
      </w:r>
    </w:p>
  </w:footnote>
  <w:footnote w:id="404">
    <w:p w14:paraId="51396AB9" w14:textId="1A2A22D1" w:rsidR="003F329D" w:rsidRPr="00DD204A" w:rsidRDefault="003F329D">
      <w:pPr>
        <w:pStyle w:val="FootnoteText"/>
      </w:pPr>
      <w:r>
        <w:rPr>
          <w:rStyle w:val="FootnoteReference"/>
        </w:rPr>
        <w:footnoteRef/>
      </w:r>
      <w:r>
        <w:rPr>
          <w:rtl/>
        </w:rPr>
        <w:t xml:space="preserve"> </w:t>
      </w:r>
      <w:r>
        <w:rPr>
          <w:rFonts w:hint="cs"/>
          <w:rtl/>
        </w:rPr>
        <w:t xml:space="preserve">בערבית </w:t>
      </w:r>
      <w:r w:rsidR="00604FFA" w:rsidRPr="00604FFA">
        <w:rPr>
          <w:rFonts w:cs="Times New Roman"/>
          <w:rtl/>
          <w:lang w:bidi="ar-SA"/>
        </w:rPr>
        <w:t xml:space="preserve"> </w:t>
      </w:r>
      <w:r w:rsidR="00604FFA" w:rsidRPr="00604FFA">
        <w:rPr>
          <w:rFonts w:cs="Times New Roman" w:hint="eastAsia"/>
          <w:rtl/>
          <w:lang w:bidi="ar-SA"/>
        </w:rPr>
        <w:t>الأجسام</w:t>
      </w:r>
      <w:r w:rsidR="00604FFA">
        <w:rPr>
          <w:rFonts w:cs="Times New Roman" w:hint="cs"/>
          <w:rtl/>
        </w:rPr>
        <w:t>,</w:t>
      </w:r>
      <w:r w:rsidR="00604FFA" w:rsidRPr="00DD204A">
        <w:rPr>
          <w:rtl/>
        </w:rPr>
        <w:t xml:space="preserve"> אל </w:t>
      </w:r>
      <w:r w:rsidR="00604FFA" w:rsidRPr="00DD204A">
        <w:rPr>
          <w:rtl/>
        </w:rPr>
        <w:t xml:space="preserve">אג'סאם, ובימי הביניים תרגמו </w:t>
      </w:r>
      <w:r w:rsidR="000F71A3" w:rsidRPr="00DD204A">
        <w:rPr>
          <w:rtl/>
        </w:rPr>
        <w:t>לפי אותו שורש 'הגשמים'. עד עכשיו תרגמתי כמעט תמיד 'הגופים' כי המילה 'גשמים' לא מ</w:t>
      </w:r>
      <w:r w:rsidR="003B1821" w:rsidRPr="00DD204A">
        <w:rPr>
          <w:rtl/>
        </w:rPr>
        <w:t>ו</w:t>
      </w:r>
      <w:r w:rsidR="000F71A3" w:rsidRPr="00DD204A">
        <w:rPr>
          <w:rtl/>
        </w:rPr>
        <w:t xml:space="preserve">כרת </w:t>
      </w:r>
      <w:r w:rsidR="003B1821" w:rsidRPr="00DD204A">
        <w:rPr>
          <w:rtl/>
        </w:rPr>
        <w:t xml:space="preserve">כל כך </w:t>
      </w:r>
      <w:r w:rsidR="000F71A3" w:rsidRPr="00DD204A">
        <w:rPr>
          <w:rtl/>
        </w:rPr>
        <w:t>לקו</w:t>
      </w:r>
      <w:r w:rsidR="003B1821" w:rsidRPr="00DD204A">
        <w:rPr>
          <w:rtl/>
        </w:rPr>
        <w:t>ר</w:t>
      </w:r>
      <w:r w:rsidR="000F71A3" w:rsidRPr="00DD204A">
        <w:rPr>
          <w:rtl/>
        </w:rPr>
        <w:t xml:space="preserve">א העברי. </w:t>
      </w:r>
      <w:r w:rsidR="003B1821" w:rsidRPr="00DD204A">
        <w:rPr>
          <w:rtl/>
        </w:rPr>
        <w:t>אבל ביחד עם זה לא בהיר אצל הקורא העברי שהלשון גוף הוא בהכר</w:t>
      </w:r>
      <w:r w:rsidR="00534423" w:rsidRPr="00DD204A">
        <w:rPr>
          <w:rtl/>
        </w:rPr>
        <w:t>ח דבר חומרי, ולכן מכאן</w:t>
      </w:r>
      <w:r w:rsidR="00336B99" w:rsidRPr="00DD204A">
        <w:rPr>
          <w:rtl/>
        </w:rPr>
        <w:t xml:space="preserve"> והלאה</w:t>
      </w:r>
      <w:r w:rsidR="00534423" w:rsidRPr="00DD204A">
        <w:rPr>
          <w:rtl/>
        </w:rPr>
        <w:t xml:space="preserve"> אתרגם </w:t>
      </w:r>
      <w:r w:rsidR="00336B99" w:rsidRPr="00DD204A">
        <w:rPr>
          <w:rtl/>
        </w:rPr>
        <w:t>'</w:t>
      </w:r>
      <w:r w:rsidR="00534423" w:rsidRPr="00DD204A">
        <w:rPr>
          <w:rtl/>
        </w:rPr>
        <w:t>הגשמים</w:t>
      </w:r>
      <w:r w:rsidR="00336B99" w:rsidRPr="00DD204A">
        <w:rPr>
          <w:rtl/>
        </w:rPr>
        <w:t>'</w:t>
      </w:r>
      <w:r w:rsidR="00534423" w:rsidRPr="00DD204A">
        <w:rPr>
          <w:rtl/>
        </w:rPr>
        <w:t xml:space="preserve">, והכוונה שהם גשמיים, בעלי גשמיות, כלומר </w:t>
      </w:r>
      <w:r w:rsidR="00336B99" w:rsidRPr="00DD204A">
        <w:rPr>
          <w:rtl/>
        </w:rPr>
        <w:t>הדברים ה</w:t>
      </w:r>
      <w:r w:rsidR="00534423" w:rsidRPr="00DD204A">
        <w:rPr>
          <w:rtl/>
        </w:rPr>
        <w:t>חומריים</w:t>
      </w:r>
      <w:r w:rsidR="00124DC3" w:rsidRPr="00DD204A">
        <w:rPr>
          <w:rtl/>
        </w:rPr>
        <w:t xml:space="preserve"> (כאן הג</w:t>
      </w:r>
      <w:r w:rsidR="00A0653B" w:rsidRPr="00DD204A">
        <w:rPr>
          <w:rtl/>
        </w:rPr>
        <w:t>ד</w:t>
      </w:r>
      <w:r w:rsidR="00E339AB" w:rsidRPr="00DD204A">
        <w:rPr>
          <w:rtl/>
        </w:rPr>
        <w:t>רת חומר היא מה שנתפש בחושים</w:t>
      </w:r>
      <w:r w:rsidR="00DD204A" w:rsidRPr="00DD204A">
        <w:rPr>
          <w:rtl/>
        </w:rPr>
        <w:t xml:space="preserve"> ובדמיון</w:t>
      </w:r>
      <w:r w:rsidR="00E339AB" w:rsidRPr="00DD204A">
        <w:rPr>
          <w:rtl/>
        </w:rPr>
        <w:t>, ולא כמו ההגדרה הרחבה של אריסטו שכל מה שהוא בכח או אפשרות הוא חומר)</w:t>
      </w:r>
      <w:r w:rsidR="00336B99" w:rsidRPr="00DD204A">
        <w:rPr>
          <w:rtl/>
        </w:rPr>
        <w:t>, להוציא דברים מופשטים ש</w:t>
      </w:r>
      <w:r w:rsidR="00124DC3" w:rsidRPr="00DD204A">
        <w:rPr>
          <w:rtl/>
        </w:rPr>
        <w:t>ב</w:t>
      </w:r>
      <w:r w:rsidR="00336B99" w:rsidRPr="00DD204A">
        <w:rPr>
          <w:rtl/>
        </w:rPr>
        <w:t xml:space="preserve">הם אין התהוות והפסד </w:t>
      </w:r>
      <w:r w:rsidR="007B0688" w:rsidRPr="00DD204A">
        <w:rPr>
          <w:rtl/>
        </w:rPr>
        <w:t>אלא הם נצחיים, לא משתנים ו</w:t>
      </w:r>
      <w:r w:rsidR="00C56912" w:rsidRPr="00DD204A">
        <w:rPr>
          <w:rtl/>
        </w:rPr>
        <w:t>לא נעים</w:t>
      </w:r>
      <w:r w:rsidR="007B0688" w:rsidRPr="00DD204A">
        <w:rPr>
          <w:rtl/>
        </w:rPr>
        <w:t xml:space="preserve">, </w:t>
      </w:r>
      <w:r w:rsidR="00336B99" w:rsidRPr="00DD204A">
        <w:rPr>
          <w:rtl/>
        </w:rPr>
        <w:t xml:space="preserve">וכגון הישויות </w:t>
      </w:r>
      <w:r w:rsidR="00C56912" w:rsidRPr="00DD204A">
        <w:rPr>
          <w:rtl/>
        </w:rPr>
        <w:t>המתמטיות</w:t>
      </w:r>
      <w:r w:rsidR="00336B99" w:rsidRPr="00DD204A">
        <w:rPr>
          <w:rtl/>
        </w:rPr>
        <w:t xml:space="preserve"> או השכלים הנפרדים וכיו"ב</w:t>
      </w:r>
      <w:r w:rsidR="00E339AB" w:rsidRPr="00DD204A">
        <w:rPr>
          <w:rtl/>
        </w:rPr>
        <w:t>, שהם נחשבים חומריים</w:t>
      </w:r>
      <w:r w:rsidR="00C56912" w:rsidRPr="00DD204A">
        <w:rPr>
          <w:rtl/>
        </w:rPr>
        <w:t xml:space="preserve"> מבחינה מסויימת</w:t>
      </w:r>
      <w:r w:rsidR="00E339AB" w:rsidRPr="00DD204A">
        <w:rPr>
          <w:rtl/>
        </w:rPr>
        <w:t xml:space="preserve"> ביחס לבורא שהוא היחיד שמופשט לחלוטין, כי יש להם הגדרות, אבל אינם </w:t>
      </w:r>
      <w:r w:rsidR="00A0653B" w:rsidRPr="00DD204A">
        <w:rPr>
          <w:rtl/>
        </w:rPr>
        <w:t>'</w:t>
      </w:r>
      <w:r w:rsidR="00E339AB" w:rsidRPr="00DD204A">
        <w:rPr>
          <w:rtl/>
        </w:rPr>
        <w:t>גשמים</w:t>
      </w:r>
      <w:r w:rsidR="00A0653B" w:rsidRPr="00DD204A">
        <w:rPr>
          <w:rtl/>
        </w:rPr>
        <w:t>'</w:t>
      </w:r>
      <w:r w:rsidR="00E339AB" w:rsidRPr="00DD204A">
        <w:rPr>
          <w:rtl/>
        </w:rPr>
        <w:t xml:space="preserve"> כי אין להם חומר נתפש בחושים ואינם נתונים להתהוות והפסד</w:t>
      </w:r>
      <w:r w:rsidR="00336B99" w:rsidRPr="00DD204A">
        <w:rPr>
          <w:rtl/>
        </w:rPr>
        <w:t>.</w:t>
      </w:r>
      <w:r w:rsidR="00534423" w:rsidRPr="00DD204A">
        <w:rPr>
          <w:rtl/>
        </w:rPr>
        <w:t xml:space="preserve"> </w:t>
      </w:r>
    </w:p>
  </w:footnote>
  <w:footnote w:id="405">
    <w:p w14:paraId="3C4BC60E" w14:textId="287BAC4F" w:rsidR="005F5B98" w:rsidRPr="00D55A3F" w:rsidRDefault="005F5B98">
      <w:pPr>
        <w:pStyle w:val="FootnoteText"/>
      </w:pPr>
      <w:r>
        <w:rPr>
          <w:rStyle w:val="FootnoteReference"/>
        </w:rPr>
        <w:footnoteRef/>
      </w:r>
      <w:r>
        <w:rPr>
          <w:rtl/>
        </w:rPr>
        <w:t xml:space="preserve"> </w:t>
      </w:r>
      <w:r w:rsidR="004A29BC" w:rsidRPr="004A29BC">
        <w:rPr>
          <w:rFonts w:cs="Times New Roman" w:hint="eastAsia"/>
          <w:rtl/>
          <w:lang w:bidi="ar-SA"/>
        </w:rPr>
        <w:t>الكائنات</w:t>
      </w:r>
      <w:r w:rsidR="004A29BC">
        <w:rPr>
          <w:rFonts w:cs="Times New Roman" w:hint="cs"/>
          <w:rtl/>
        </w:rPr>
        <w:t>.</w:t>
      </w:r>
      <w:r w:rsidR="004A29BC" w:rsidRPr="00D55A3F">
        <w:rPr>
          <w:rtl/>
        </w:rPr>
        <w:t xml:space="preserve"> התרגום המילולי הוא </w:t>
      </w:r>
      <w:r w:rsidR="00865E27" w:rsidRPr="00D55A3F">
        <w:rPr>
          <w:rtl/>
        </w:rPr>
        <w:t>'</w:t>
      </w:r>
      <w:r w:rsidR="004A29BC" w:rsidRPr="00D55A3F">
        <w:rPr>
          <w:rtl/>
        </w:rPr>
        <w:t>הנוצרים</w:t>
      </w:r>
      <w:r w:rsidR="00865E27" w:rsidRPr="00D55A3F">
        <w:rPr>
          <w:rtl/>
        </w:rPr>
        <w:t>'</w:t>
      </w:r>
      <w:r w:rsidR="004A29BC" w:rsidRPr="00D55A3F">
        <w:rPr>
          <w:rtl/>
        </w:rPr>
        <w:t xml:space="preserve"> או </w:t>
      </w:r>
      <w:r w:rsidR="00865E27" w:rsidRPr="00D55A3F">
        <w:rPr>
          <w:rtl/>
        </w:rPr>
        <w:t>'</w:t>
      </w:r>
      <w:r w:rsidR="004A29BC" w:rsidRPr="00D55A3F">
        <w:rPr>
          <w:rtl/>
        </w:rPr>
        <w:t>המתהווים</w:t>
      </w:r>
      <w:r w:rsidR="00865E27" w:rsidRPr="00D55A3F">
        <w:rPr>
          <w:rtl/>
        </w:rPr>
        <w:t>'</w:t>
      </w:r>
      <w:r w:rsidR="004A29BC" w:rsidRPr="00D55A3F">
        <w:rPr>
          <w:rtl/>
        </w:rPr>
        <w:t xml:space="preserve">. הכוונה היא לדברים שיש בהם התהוות והפסד, </w:t>
      </w:r>
      <w:r w:rsidR="00EB19BF" w:rsidRPr="00D55A3F">
        <w:rPr>
          <w:rtl/>
        </w:rPr>
        <w:t xml:space="preserve">כלומר בעלי חומר, </w:t>
      </w:r>
      <w:r w:rsidR="00865E27" w:rsidRPr="00D55A3F">
        <w:rPr>
          <w:rtl/>
        </w:rPr>
        <w:t>ולא ל</w:t>
      </w:r>
      <w:r w:rsidR="00EB19BF" w:rsidRPr="00D55A3F">
        <w:rPr>
          <w:rtl/>
        </w:rPr>
        <w:t>דברים</w:t>
      </w:r>
      <w:r w:rsidR="00865E27" w:rsidRPr="00D55A3F">
        <w:rPr>
          <w:rtl/>
        </w:rPr>
        <w:t xml:space="preserve"> מופשטים נצחיים. </w:t>
      </w:r>
      <w:r w:rsidR="00D55A3F" w:rsidRPr="00D55A3F">
        <w:rPr>
          <w:rtl/>
        </w:rPr>
        <w:t xml:space="preserve">לא מצאתי </w:t>
      </w:r>
      <w:r w:rsidR="00936772">
        <w:rPr>
          <w:rFonts w:hint="cs"/>
          <w:rtl/>
        </w:rPr>
        <w:t xml:space="preserve">עדיין </w:t>
      </w:r>
      <w:r w:rsidR="00D55A3F" w:rsidRPr="00D55A3F">
        <w:rPr>
          <w:rtl/>
        </w:rPr>
        <w:t>תרגום שמניח את דעתי באופן שלם, ו</w:t>
      </w:r>
      <w:r w:rsidR="00936772">
        <w:rPr>
          <w:rFonts w:hint="cs"/>
          <w:rtl/>
        </w:rPr>
        <w:t>ל</w:t>
      </w:r>
      <w:r w:rsidR="00D55A3F" w:rsidRPr="00D55A3F">
        <w:rPr>
          <w:rtl/>
        </w:rPr>
        <w:t xml:space="preserve">עת עתה אתרגם 'הדברים הטבעיים'. </w:t>
      </w:r>
    </w:p>
  </w:footnote>
  <w:footnote w:id="406">
    <w:p w14:paraId="2AC81413" w14:textId="1AB4E926" w:rsidR="00F128FE" w:rsidRDefault="00F128FE">
      <w:pPr>
        <w:pStyle w:val="FootnoteText"/>
      </w:pPr>
      <w:r>
        <w:rPr>
          <w:rStyle w:val="FootnoteReference"/>
        </w:rPr>
        <w:footnoteRef/>
      </w:r>
      <w:r>
        <w:rPr>
          <w:rtl/>
        </w:rPr>
        <w:t xml:space="preserve"> </w:t>
      </w:r>
      <w:r>
        <w:rPr>
          <w:rFonts w:hint="cs"/>
          <w:rtl/>
        </w:rPr>
        <w:t>הכוונה</w:t>
      </w:r>
      <w:r w:rsidR="00FD4F8A">
        <w:rPr>
          <w:rFonts w:hint="cs"/>
          <w:rtl/>
        </w:rPr>
        <w:t xml:space="preserve"> כאן </w:t>
      </w:r>
      <w:r>
        <w:rPr>
          <w:rFonts w:hint="cs"/>
          <w:rtl/>
        </w:rPr>
        <w:t xml:space="preserve">לתיאוריה </w:t>
      </w:r>
      <w:r>
        <w:rPr>
          <w:rFonts w:hint="cs"/>
          <w:rtl/>
        </w:rPr>
        <w:t>האטומיסטית של דמוקריטוס, שלפיה יש אין סוף חלקיקים זעירים בלתי מתחלקים (אטומים)</w:t>
      </w:r>
      <w:r w:rsidR="00FD4F8A">
        <w:rPr>
          <w:rFonts w:hint="cs"/>
          <w:rtl/>
        </w:rPr>
        <w:t xml:space="preserve">, ומהם מורכבים כל הדברים. </w:t>
      </w:r>
    </w:p>
  </w:footnote>
  <w:footnote w:id="407">
    <w:p w14:paraId="53DA3043" w14:textId="1BD738A6" w:rsidR="00E76FC8" w:rsidRDefault="003E5E52" w:rsidP="00080FD4">
      <w:pPr>
        <w:pStyle w:val="FootnoteText"/>
        <w:rPr>
          <w:rtl/>
        </w:rPr>
      </w:pPr>
      <w:r>
        <w:rPr>
          <w:rStyle w:val="FootnoteReference"/>
        </w:rPr>
        <w:footnoteRef/>
      </w:r>
      <w:r>
        <w:rPr>
          <w:rtl/>
        </w:rPr>
        <w:t xml:space="preserve"> </w:t>
      </w:r>
      <w:r w:rsidR="00D47092">
        <w:rPr>
          <w:rFonts w:hint="cs"/>
          <w:rtl/>
        </w:rPr>
        <w:t xml:space="preserve">ואריסטו הוכיח בפיזיקה ג' ה' (ואבן סינא חזר על זה ברמיזות והערות א' י"א ועוד מקומות) שלא יתכן שתהיה מציאות של </w:t>
      </w:r>
      <w:r w:rsidR="00080FD4">
        <w:rPr>
          <w:rFonts w:hint="cs"/>
          <w:rtl/>
        </w:rPr>
        <w:t>מידה אין סופית</w:t>
      </w:r>
      <w:r w:rsidR="00D47092">
        <w:rPr>
          <w:rFonts w:hint="cs"/>
          <w:rtl/>
        </w:rPr>
        <w:t xml:space="preserve"> בפועל בתוך הטבע. </w:t>
      </w:r>
    </w:p>
    <w:p w14:paraId="13F62955" w14:textId="3974225C" w:rsidR="00080FD4" w:rsidRDefault="00080FD4" w:rsidP="00080FD4">
      <w:pPr>
        <w:pStyle w:val="FootnoteText"/>
        <w:rPr>
          <w:rtl/>
        </w:rPr>
      </w:pPr>
      <w:r>
        <w:rPr>
          <w:rFonts w:hint="cs"/>
          <w:rtl/>
        </w:rPr>
        <w:t>במורה נבוכים בהקדמות לחלק ב' הקדמה שנייה כתב:</w:t>
      </w:r>
    </w:p>
    <w:p w14:paraId="20C5B36D" w14:textId="4D4B7EB9" w:rsidR="00080FD4" w:rsidRDefault="00080FD4" w:rsidP="00080FD4">
      <w:pPr>
        <w:pStyle w:val="FootnoteText"/>
        <w:rPr>
          <w:rtl/>
        </w:rPr>
      </w:pPr>
      <w:r>
        <w:rPr>
          <w:rFonts w:hint="cs"/>
          <w:rtl/>
        </w:rPr>
        <w:t>"</w:t>
      </w:r>
      <w:r w:rsidRPr="00080FD4">
        <w:rPr>
          <w:rtl/>
        </w:rPr>
        <w:t>השנית, שמציאות בעלי שיעור אין תכלית למספרם – שקר, והוא שיהיו נמצאים יחד</w:t>
      </w:r>
      <w:r w:rsidR="00767843">
        <w:rPr>
          <w:rFonts w:hint="cs"/>
          <w:rtl/>
        </w:rPr>
        <w:t>.</w:t>
      </w:r>
      <w:r>
        <w:rPr>
          <w:rFonts w:hint="cs"/>
          <w:rtl/>
        </w:rPr>
        <w:t>"</w:t>
      </w:r>
    </w:p>
    <w:p w14:paraId="6627ECC7" w14:textId="0200CB4F" w:rsidR="00767843" w:rsidRDefault="00767843" w:rsidP="00767843">
      <w:pPr>
        <w:pStyle w:val="FootnoteText"/>
        <w:rPr>
          <w:rtl/>
        </w:rPr>
      </w:pPr>
      <w:r>
        <w:rPr>
          <w:rFonts w:hint="cs"/>
          <w:rtl/>
        </w:rPr>
        <w:t>דבר זה לא מפורש באריסטו</w:t>
      </w:r>
      <w:r w:rsidR="005707D7">
        <w:rPr>
          <w:rFonts w:hint="cs"/>
          <w:rtl/>
        </w:rPr>
        <w:t xml:space="preserve"> (שכתב רק שדבר בעל מידה אין סופית לא יתכן שיימצא בטבע (אם מידתו אין סופית זה מעביר אותו למישור המציאות המופשט</w:t>
      </w:r>
      <w:r w:rsidR="001C6500">
        <w:rPr>
          <w:rFonts w:hint="cs"/>
          <w:rtl/>
        </w:rPr>
        <w:t>)</w:t>
      </w:r>
      <w:r w:rsidR="005707D7">
        <w:rPr>
          <w:rFonts w:hint="cs"/>
          <w:rtl/>
        </w:rPr>
        <w:t>) אבל לא אמר בפירוש שגם מספר אין סופי של דברים סופיים לא יתכן.</w:t>
      </w:r>
      <w:r>
        <w:rPr>
          <w:rtl/>
        </w:rPr>
        <w:t xml:space="preserve"> </w:t>
      </w:r>
      <w:r>
        <w:rPr>
          <w:rtl/>
        </w:rPr>
        <w:t>הנרבוני</w:t>
      </w:r>
      <w:r w:rsidR="001C6500">
        <w:rPr>
          <w:rFonts w:hint="cs"/>
          <w:rtl/>
        </w:rPr>
        <w:t xml:space="preserve"> ביאר</w:t>
      </w:r>
      <w:r>
        <w:rPr>
          <w:rtl/>
        </w:rPr>
        <w:t xml:space="preserve"> שאם היינו מדביקים זה לזה את אינסוף הגופים הסופיים, ומסירים את הגבולות שמפרידים ביניהם, היה נעשה מזה גוף אחד אינסופי. ואת זה הרי כבר שללנו.</w:t>
      </w:r>
    </w:p>
    <w:p w14:paraId="39236B46" w14:textId="77777777" w:rsidR="00631ABB" w:rsidRDefault="00767843" w:rsidP="00767843">
      <w:pPr>
        <w:pStyle w:val="FootnoteText"/>
        <w:rPr>
          <w:rtl/>
        </w:rPr>
      </w:pPr>
      <w:r>
        <w:rPr>
          <w:rtl/>
        </w:rPr>
        <w:t xml:space="preserve">אמנם אין צורך לבסס את ההקדמה השנייה על הראשונה. </w:t>
      </w:r>
      <w:r w:rsidR="001C6500">
        <w:rPr>
          <w:rFonts w:hint="cs"/>
          <w:rtl/>
        </w:rPr>
        <w:t>כי</w:t>
      </w:r>
      <w:r>
        <w:rPr>
          <w:rtl/>
        </w:rPr>
        <w:t xml:space="preserve"> אין </w:t>
      </w:r>
      <w:r w:rsidR="004E0732">
        <w:rPr>
          <w:rFonts w:hint="cs"/>
          <w:rtl/>
        </w:rPr>
        <w:t>'</w:t>
      </w:r>
      <w:r>
        <w:rPr>
          <w:rtl/>
        </w:rPr>
        <w:t>מספר</w:t>
      </w:r>
      <w:r w:rsidR="004E0732">
        <w:rPr>
          <w:rFonts w:hint="cs"/>
          <w:rtl/>
        </w:rPr>
        <w:t>' כלשהו</w:t>
      </w:r>
      <w:r>
        <w:rPr>
          <w:rtl/>
        </w:rPr>
        <w:t xml:space="preserve"> שהוא אי</w:t>
      </w:r>
      <w:r w:rsidR="004E0732">
        <w:rPr>
          <w:rFonts w:hint="cs"/>
          <w:rtl/>
        </w:rPr>
        <w:t xml:space="preserve">ן </w:t>
      </w:r>
      <w:r>
        <w:rPr>
          <w:rtl/>
        </w:rPr>
        <w:t>סוף</w:t>
      </w:r>
      <w:r w:rsidR="001C6500">
        <w:rPr>
          <w:rFonts w:hint="cs"/>
          <w:rtl/>
        </w:rPr>
        <w:t xml:space="preserve"> בפועל, כי </w:t>
      </w:r>
      <w:r w:rsidR="00F90368">
        <w:rPr>
          <w:rFonts w:hint="cs"/>
          <w:rtl/>
        </w:rPr>
        <w:t>'</w:t>
      </w:r>
      <w:r w:rsidR="001C6500">
        <w:rPr>
          <w:rFonts w:hint="cs"/>
          <w:rtl/>
        </w:rPr>
        <w:t>אין סוף</w:t>
      </w:r>
      <w:r w:rsidR="00F90368">
        <w:rPr>
          <w:rFonts w:hint="cs"/>
          <w:rtl/>
        </w:rPr>
        <w:t>'</w:t>
      </w:r>
      <w:r w:rsidR="001C6500">
        <w:rPr>
          <w:rFonts w:hint="cs"/>
          <w:rtl/>
        </w:rPr>
        <w:t xml:space="preserve"> אינו שום כמות, </w:t>
      </w:r>
      <w:r w:rsidR="00F90368">
        <w:rPr>
          <w:rFonts w:hint="cs"/>
          <w:rtl/>
        </w:rPr>
        <w:t xml:space="preserve">מה שאנו אומרים שהוא המספר 'אין סוף' או 'כמות אין סופית' </w:t>
      </w:r>
      <w:r w:rsidR="00C04F07">
        <w:rPr>
          <w:rFonts w:hint="cs"/>
          <w:rtl/>
        </w:rPr>
        <w:t xml:space="preserve">זה יכול להיאמר רק על 'שואף לאין סוף' </w:t>
      </w:r>
      <w:r w:rsidR="00A40B42">
        <w:rPr>
          <w:rFonts w:hint="cs"/>
          <w:rtl/>
        </w:rPr>
        <w:t xml:space="preserve">דהיינו </w:t>
      </w:r>
      <w:r w:rsidR="00C04F07">
        <w:rPr>
          <w:rFonts w:hint="cs"/>
          <w:rtl/>
        </w:rPr>
        <w:t xml:space="preserve">כמות סופית שכל רגע נתון היא סופית למרות שהיא גדלה ללא מעצור, כלומר מספר שגדול מכל מספר שנחשוב עליו. </w:t>
      </w:r>
      <w:r w:rsidR="00A40B42">
        <w:rPr>
          <w:rFonts w:hint="cs"/>
          <w:rtl/>
        </w:rPr>
        <w:t xml:space="preserve">'אין סוף' בפועל </w:t>
      </w:r>
      <w:r w:rsidR="00063550">
        <w:rPr>
          <w:rFonts w:hint="cs"/>
          <w:rtl/>
        </w:rPr>
        <w:t xml:space="preserve">הוא מעל ההגדרות של כמות, כמו שהמספר שלוש הוא מעל ההגדרות של חם או קר, </w:t>
      </w:r>
      <w:r w:rsidR="00F90368">
        <w:rPr>
          <w:rFonts w:hint="cs"/>
          <w:rtl/>
        </w:rPr>
        <w:t xml:space="preserve">ולכן בהכרח </w:t>
      </w:r>
      <w:r w:rsidR="00631ABB">
        <w:rPr>
          <w:rFonts w:hint="cs"/>
          <w:rtl/>
        </w:rPr>
        <w:t xml:space="preserve">אין סוף בפועל </w:t>
      </w:r>
      <w:r w:rsidR="00F90368">
        <w:rPr>
          <w:rFonts w:hint="cs"/>
          <w:rtl/>
        </w:rPr>
        <w:t xml:space="preserve">לא נמצא בטבע </w:t>
      </w:r>
      <w:r w:rsidR="00063550">
        <w:rPr>
          <w:rFonts w:hint="cs"/>
          <w:rtl/>
        </w:rPr>
        <w:t xml:space="preserve">כי יסוד מציאות הטבע היא הכמות. </w:t>
      </w:r>
    </w:p>
    <w:p w14:paraId="6CF85262" w14:textId="66535E42" w:rsidR="00767843" w:rsidRDefault="00767843" w:rsidP="00767843">
      <w:pPr>
        <w:pStyle w:val="FootnoteText"/>
      </w:pPr>
      <w:r>
        <w:rPr>
          <w:rtl/>
        </w:rPr>
        <w:t>מזה נובע ש</w:t>
      </w:r>
      <w:r w:rsidR="00A17A51">
        <w:rPr>
          <w:rFonts w:hint="cs"/>
          <w:rtl/>
        </w:rPr>
        <w:t>לא יתכן</w:t>
      </w:r>
      <w:r>
        <w:rPr>
          <w:rtl/>
        </w:rPr>
        <w:t xml:space="preserve"> </w:t>
      </w:r>
      <w:r w:rsidR="00A17A51">
        <w:rPr>
          <w:rFonts w:hint="cs"/>
          <w:rtl/>
        </w:rPr>
        <w:t xml:space="preserve">שיהיו </w:t>
      </w:r>
      <w:r>
        <w:rPr>
          <w:rtl/>
        </w:rPr>
        <w:t>אי</w:t>
      </w:r>
      <w:r w:rsidR="00A17A51">
        <w:rPr>
          <w:rFonts w:hint="cs"/>
          <w:rtl/>
        </w:rPr>
        <w:t xml:space="preserve">ן </w:t>
      </w:r>
      <w:r>
        <w:rPr>
          <w:rtl/>
        </w:rPr>
        <w:t>סוף גופים סופיים</w:t>
      </w:r>
      <w:r w:rsidR="00A17A51">
        <w:rPr>
          <w:rFonts w:hint="cs"/>
          <w:rtl/>
        </w:rPr>
        <w:t xml:space="preserve"> </w:t>
      </w:r>
      <w:r w:rsidR="005E7B8F">
        <w:rPr>
          <w:rFonts w:hint="cs"/>
          <w:rtl/>
        </w:rPr>
        <w:t xml:space="preserve">כי לא יתכן שיתקיימו בלי להיות שום כמות כלל אלא יימצאו </w:t>
      </w:r>
      <w:r w:rsidR="003A1D93">
        <w:rPr>
          <w:rFonts w:hint="cs"/>
          <w:rtl/>
        </w:rPr>
        <w:t xml:space="preserve">כשהם </w:t>
      </w:r>
      <w:r w:rsidR="005E7B8F">
        <w:rPr>
          <w:rFonts w:hint="cs"/>
          <w:rtl/>
        </w:rPr>
        <w:t>מעל הגדרת הכמות, מה שהופך אותם למציאות מופשטת.</w:t>
      </w:r>
      <w:r w:rsidR="003A1D93">
        <w:rPr>
          <w:rtl/>
        </w:rPr>
        <w:br/>
      </w:r>
      <w:r w:rsidR="003A1D93" w:rsidRPr="003A1D93">
        <w:rPr>
          <w:rtl/>
        </w:rPr>
        <w:t>(אין סוף בפועל הוא מה שקורה אחרי שהמספר כבר גדל עד מלוא הפוטנציאל שלו לגדול, ואם מדובר במספר שגדול מכל כמות שנחשוב עליה, לעולם לא נסיים לחשוב על כמות יותר גדולה ועל עוד כמות שיותר גדולה ממנה ולא נגיע לסוף התנועה לכיוון האין סוף; ואילו אין סוף בפועל הוא אחרי שהגענו לסוף החיפוש אחרי המספר הכי גדול, מה שסותר את עצמו כי אין מספר שהוא הכי גדול ואין גדול ממנו, כי תמיד אפשר להמשיך הלאה לחשוב על מספר שגדול ממנו. אלא באמת אין סוף בפועל לא יכול להיתפש בתוך הטבע כלל, והוא מושא לתפישה עיונית במציאות המופשטת, שם פירושו של האין סוף הוא האלוה, והוא לא נתפש לגמרי לעולם כמו שכתב הרמב"ם בהלכות יסודי התורה א' י')</w:t>
      </w:r>
    </w:p>
  </w:footnote>
  <w:footnote w:id="408">
    <w:p w14:paraId="0AFC170A" w14:textId="60789698" w:rsidR="000773A8" w:rsidRDefault="000773A8">
      <w:pPr>
        <w:pStyle w:val="FootnoteText"/>
      </w:pPr>
      <w:r>
        <w:rPr>
          <w:rStyle w:val="FootnoteReference"/>
        </w:rPr>
        <w:footnoteRef/>
      </w:r>
      <w:r>
        <w:rPr>
          <w:rtl/>
        </w:rPr>
        <w:t xml:space="preserve"> </w:t>
      </w:r>
      <w:r>
        <w:rPr>
          <w:rFonts w:hint="cs"/>
          <w:rtl/>
        </w:rPr>
        <w:t xml:space="preserve">הכוונה אי אפשר שיתפוש אותן השכל, אבל אבן סינא השתמש כאן בלשון </w:t>
      </w:r>
      <w:r w:rsidR="00474DCD">
        <w:rPr>
          <w:rFonts w:hint="cs"/>
          <w:rtl/>
        </w:rPr>
        <w:t>'להקיף'</w:t>
      </w:r>
      <w:r w:rsidR="00481161">
        <w:rPr>
          <w:rFonts w:hint="cs"/>
          <w:rtl/>
        </w:rPr>
        <w:t xml:space="preserve"> (</w:t>
      </w:r>
      <w:r w:rsidR="00481161" w:rsidRPr="00481161">
        <w:rPr>
          <w:rFonts w:cs="Times New Roman" w:hint="eastAsia"/>
          <w:rtl/>
          <w:lang w:bidi="ar-SA"/>
        </w:rPr>
        <w:t>يحاط</w:t>
      </w:r>
      <w:r w:rsidR="00481161">
        <w:rPr>
          <w:rFonts w:hint="cs"/>
          <w:rtl/>
        </w:rPr>
        <w:t>)</w:t>
      </w:r>
      <w:r w:rsidR="00474DCD">
        <w:rPr>
          <w:rFonts w:hint="cs"/>
          <w:rtl/>
        </w:rPr>
        <w:t xml:space="preserve">, כדי להסביר למה השכל לא יכול לתפוש אותן, כי השכל מיסודו מוגבל, ספירת החכמה כל עניינה הוא הגבול, חוק הסתירה, </w:t>
      </w:r>
      <w:r w:rsidR="001C0292">
        <w:rPr>
          <w:rFonts w:hint="cs"/>
          <w:rtl/>
        </w:rPr>
        <w:t>והשכל הוא הביטוי של ספירת החכמה באדם</w:t>
      </w:r>
      <w:r w:rsidR="00474DCD">
        <w:rPr>
          <w:rFonts w:hint="cs"/>
          <w:rtl/>
        </w:rPr>
        <w:t>, ולמוגבל אין יכולת להקיף את הלא מוגבל.</w:t>
      </w:r>
    </w:p>
  </w:footnote>
  <w:footnote w:id="409">
    <w:p w14:paraId="623B2D41" w14:textId="4F9FF214" w:rsidR="0017785D" w:rsidRDefault="0017785D">
      <w:pPr>
        <w:pStyle w:val="FootnoteText"/>
      </w:pPr>
      <w:r>
        <w:rPr>
          <w:rStyle w:val="FootnoteReference"/>
        </w:rPr>
        <w:footnoteRef/>
      </w:r>
      <w:r>
        <w:rPr>
          <w:rtl/>
        </w:rPr>
        <w:t xml:space="preserve"> </w:t>
      </w:r>
      <w:r w:rsidR="00DC56AE">
        <w:rPr>
          <w:rFonts w:hint="cs"/>
          <w:rtl/>
        </w:rPr>
        <w:t>לפי שיטתם.</w:t>
      </w:r>
    </w:p>
  </w:footnote>
  <w:footnote w:id="410">
    <w:p w14:paraId="55202D27" w14:textId="498E3D62" w:rsidR="005E3D18" w:rsidRDefault="005E3D18">
      <w:pPr>
        <w:pStyle w:val="FootnoteText"/>
      </w:pPr>
      <w:r>
        <w:rPr>
          <w:rStyle w:val="FootnoteReference"/>
        </w:rPr>
        <w:footnoteRef/>
      </w:r>
      <w:r>
        <w:rPr>
          <w:rtl/>
        </w:rPr>
        <w:t xml:space="preserve"> </w:t>
      </w:r>
      <w:r w:rsidR="001055C9">
        <w:rPr>
          <w:rFonts w:hint="cs"/>
          <w:rtl/>
        </w:rPr>
        <w:t>כמו שביאר ברמיזות והערות חלק א' (ובמורה נבוכים א' ע"ג) מידות האטום הן אפס</w:t>
      </w:r>
      <w:r w:rsidR="005F0A29">
        <w:rPr>
          <w:rFonts w:hint="cs"/>
          <w:rtl/>
        </w:rPr>
        <w:t xml:space="preserve"> (זה מוכרח כי מספר שגדול מאפס יכול להתחלק, וכדי שהחלקיק לא יתחלק מוכרח שמידותיו אינן גדולות מאפס)</w:t>
      </w:r>
      <w:r w:rsidR="001055C9">
        <w:rPr>
          <w:rFonts w:hint="cs"/>
          <w:rtl/>
        </w:rPr>
        <w:t xml:space="preserve">. ואז יש לשאול איך מצירוף אטומים נעשה גוף שמידותיו גדולות מאפס, </w:t>
      </w:r>
      <w:r w:rsidR="000351DE">
        <w:rPr>
          <w:rFonts w:hint="cs"/>
          <w:rtl/>
        </w:rPr>
        <w:t>שהרי ככל שנחבר אפס עם אפס תמיד יישאר אפס, תשובתם היא שאחרי שהאטומים מתחברים אז מתחדשות להם מידות גדולות מאפס</w:t>
      </w:r>
      <w:r w:rsidR="003E3E9D">
        <w:rPr>
          <w:rFonts w:hint="cs"/>
          <w:rtl/>
        </w:rPr>
        <w:t xml:space="preserve"> (היו כבר מי שאמרו שהסברים כאלה הם תועבה אינטלקטואלית, והרמב"ם כתב במורה נבוכים שהם לא באמת התפלספו אלא רק ביקשו לתת </w:t>
      </w:r>
      <w:r w:rsidR="006502DF">
        <w:rPr>
          <w:rFonts w:hint="cs"/>
          <w:rtl/>
        </w:rPr>
        <w:t>הסבר</w:t>
      </w:r>
      <w:r w:rsidR="003E3E9D">
        <w:rPr>
          <w:rFonts w:hint="cs"/>
          <w:rtl/>
        </w:rPr>
        <w:t>ים ש</w:t>
      </w:r>
      <w:r w:rsidR="006502DF">
        <w:rPr>
          <w:rFonts w:hint="cs"/>
          <w:rtl/>
        </w:rPr>
        <w:t>מצלצ</w:t>
      </w:r>
      <w:r w:rsidR="002A0F71">
        <w:rPr>
          <w:rFonts w:hint="cs"/>
          <w:rtl/>
        </w:rPr>
        <w:t>ל</w:t>
      </w:r>
      <w:r w:rsidR="003E3E9D">
        <w:rPr>
          <w:rFonts w:hint="cs"/>
          <w:rtl/>
        </w:rPr>
        <w:t xml:space="preserve">ים כאילו </w:t>
      </w:r>
      <w:r w:rsidR="006502DF">
        <w:rPr>
          <w:rFonts w:hint="cs"/>
          <w:rtl/>
        </w:rPr>
        <w:t>ה</w:t>
      </w:r>
      <w:r w:rsidR="002A0F71">
        <w:rPr>
          <w:rFonts w:hint="cs"/>
          <w:rtl/>
        </w:rPr>
        <w:t>יו</w:t>
      </w:r>
      <w:r w:rsidR="006502DF">
        <w:rPr>
          <w:rFonts w:hint="cs"/>
          <w:rtl/>
        </w:rPr>
        <w:t xml:space="preserve"> </w:t>
      </w:r>
      <w:r w:rsidR="003E3E9D">
        <w:rPr>
          <w:rFonts w:hint="cs"/>
          <w:rtl/>
        </w:rPr>
        <w:t>שכלים לאמונות הדתיות שלהם (וגם המטריאליזם</w:t>
      </w:r>
      <w:r w:rsidR="00884FDA">
        <w:rPr>
          <w:rFonts w:hint="cs"/>
          <w:rtl/>
        </w:rPr>
        <w:t xml:space="preserve"> המדעי חילוני</w:t>
      </w:r>
      <w:r w:rsidR="003E3E9D">
        <w:rPr>
          <w:rFonts w:hint="cs"/>
          <w:rtl/>
        </w:rPr>
        <w:t xml:space="preserve"> שמאמין באטו</w:t>
      </w:r>
      <w:r w:rsidR="00A36798">
        <w:rPr>
          <w:rFonts w:hint="cs"/>
          <w:rtl/>
        </w:rPr>
        <w:t>ם</w:t>
      </w:r>
      <w:r w:rsidR="003E3E9D">
        <w:rPr>
          <w:rFonts w:hint="cs"/>
          <w:rtl/>
        </w:rPr>
        <w:t xml:space="preserve"> הוא </w:t>
      </w:r>
      <w:r w:rsidR="00A36798">
        <w:rPr>
          <w:rFonts w:hint="cs"/>
          <w:rtl/>
        </w:rPr>
        <w:t xml:space="preserve">קנאות דתית, כי אינו מוכן להתייחס </w:t>
      </w:r>
      <w:r w:rsidR="00884FDA">
        <w:rPr>
          <w:rFonts w:hint="cs"/>
          <w:rtl/>
        </w:rPr>
        <w:t xml:space="preserve">בענייניות </w:t>
      </w:r>
      <w:r w:rsidR="00A36798">
        <w:rPr>
          <w:rFonts w:hint="cs"/>
          <w:rtl/>
        </w:rPr>
        <w:t xml:space="preserve">לשום הערה על אודות חוסר </w:t>
      </w:r>
      <w:r w:rsidR="00A36798">
        <w:rPr>
          <w:rFonts w:hint="cs"/>
          <w:rtl/>
        </w:rPr>
        <w:t>ההגיון שבשיטתו</w:t>
      </w:r>
      <w:r w:rsidR="003E3E9D">
        <w:rPr>
          <w:rFonts w:hint="cs"/>
          <w:rtl/>
        </w:rPr>
        <w:t>))</w:t>
      </w:r>
      <w:r w:rsidR="000351DE">
        <w:rPr>
          <w:rFonts w:hint="cs"/>
          <w:rtl/>
        </w:rPr>
        <w:t xml:space="preserve">. </w:t>
      </w:r>
      <w:r w:rsidR="00884FDA">
        <w:rPr>
          <w:rFonts w:hint="cs"/>
          <w:rtl/>
        </w:rPr>
        <w:t xml:space="preserve">כיוון שמצבו של האטום כפול, כשלעצמו הוא במידות אפס ובתערובת הוא הופך לבעל מידות, פירט כאן אבן סינא שהחלקיק </w:t>
      </w:r>
      <w:r w:rsidR="002A0F71">
        <w:rPr>
          <w:rFonts w:hint="cs"/>
          <w:rtl/>
        </w:rPr>
        <w:t>מפו</w:t>
      </w:r>
      <w:r w:rsidR="00884FDA">
        <w:rPr>
          <w:rFonts w:hint="cs"/>
          <w:rtl/>
        </w:rPr>
        <w:t>זר בחלל, כלומר ואז מידותיו אפס, או מוטמע בתערו</w:t>
      </w:r>
      <w:r w:rsidR="00B427D8">
        <w:rPr>
          <w:rFonts w:hint="cs"/>
          <w:rtl/>
        </w:rPr>
        <w:t>ב</w:t>
      </w:r>
      <w:r w:rsidR="00884FDA">
        <w:rPr>
          <w:rFonts w:hint="cs"/>
          <w:rtl/>
        </w:rPr>
        <w:t>ת</w:t>
      </w:r>
      <w:r w:rsidR="00B427D8">
        <w:rPr>
          <w:rFonts w:hint="cs"/>
          <w:rtl/>
        </w:rPr>
        <w:t>, שם הוא מאבד את התכונה של להיות בעל מידה שהיא אפס ומקבל מידות</w:t>
      </w:r>
      <w:r w:rsidR="00413656">
        <w:rPr>
          <w:rFonts w:hint="cs"/>
          <w:rtl/>
        </w:rPr>
        <w:t xml:space="preserve"> גדולות מאפס</w:t>
      </w:r>
      <w:r w:rsidR="00B427D8">
        <w:rPr>
          <w:rFonts w:hint="cs"/>
          <w:rtl/>
        </w:rPr>
        <w:t xml:space="preserve">. </w:t>
      </w:r>
      <w:r w:rsidR="00884FDA">
        <w:rPr>
          <w:rFonts w:hint="cs"/>
          <w:rtl/>
        </w:rPr>
        <w:t xml:space="preserve"> </w:t>
      </w:r>
      <w:r w:rsidR="001055C9">
        <w:rPr>
          <w:rFonts w:hint="cs"/>
          <w:rtl/>
        </w:rPr>
        <w:t xml:space="preserve"> </w:t>
      </w:r>
    </w:p>
  </w:footnote>
  <w:footnote w:id="411">
    <w:p w14:paraId="3C279850" w14:textId="01AF52DE" w:rsidR="00CA6AC7" w:rsidRDefault="00CA6AC7">
      <w:pPr>
        <w:pStyle w:val="FootnoteText"/>
      </w:pPr>
      <w:r>
        <w:rPr>
          <w:rStyle w:val="FootnoteReference"/>
        </w:rPr>
        <w:footnoteRef/>
      </w:r>
      <w:r>
        <w:rPr>
          <w:rtl/>
        </w:rPr>
        <w:t xml:space="preserve"> </w:t>
      </w:r>
      <w:r w:rsidR="00294723">
        <w:rPr>
          <w:rFonts w:hint="cs"/>
          <w:rtl/>
        </w:rPr>
        <w:t xml:space="preserve">מקגיניס ציין כאן לספר ההתהוות וההפסד של אבן סינא פרק 4, ולקמן 3.3-5. </w:t>
      </w:r>
      <w:r w:rsidR="00933BFC">
        <w:rPr>
          <w:rFonts w:hint="cs"/>
          <w:rtl/>
        </w:rPr>
        <w:t>ולגבי השיטה שמספר החלקיקים אין סופי ציין מקגיניס ל</w:t>
      </w:r>
      <w:r w:rsidR="008113D5">
        <w:rPr>
          <w:rFonts w:hint="cs"/>
          <w:rtl/>
        </w:rPr>
        <w:t xml:space="preserve"> </w:t>
      </w:r>
      <w:r w:rsidR="00933BFC" w:rsidRPr="00933BFC">
        <w:t xml:space="preserve">Aristotle, On Generation and Corruption </w:t>
      </w:r>
      <w:r w:rsidR="00933BFC" w:rsidRPr="00933BFC">
        <w:t>1.1.314a20ff</w:t>
      </w:r>
      <w:r w:rsidR="001F397C">
        <w:rPr>
          <w:rFonts w:hint="cs"/>
          <w:rtl/>
        </w:rPr>
        <w:t>.</w:t>
      </w:r>
    </w:p>
  </w:footnote>
  <w:footnote w:id="412">
    <w:p w14:paraId="35DEAE0B" w14:textId="470F9CC2" w:rsidR="00B44B7E" w:rsidRDefault="00B44B7E">
      <w:pPr>
        <w:pStyle w:val="FootnoteText"/>
      </w:pPr>
      <w:r>
        <w:rPr>
          <w:rStyle w:val="FootnoteReference"/>
        </w:rPr>
        <w:footnoteRef/>
      </w:r>
      <w:r>
        <w:rPr>
          <w:rtl/>
        </w:rPr>
        <w:t xml:space="preserve"> </w:t>
      </w:r>
      <w:r w:rsidR="00D4436B">
        <w:rPr>
          <w:rFonts w:hint="cs"/>
          <w:rtl/>
        </w:rPr>
        <w:t xml:space="preserve">גופים. </w:t>
      </w:r>
      <w:r w:rsidR="00D4436B" w:rsidRPr="00D4436B">
        <w:rPr>
          <w:rFonts w:cs="Times New Roman" w:hint="eastAsia"/>
          <w:rtl/>
          <w:lang w:bidi="ar-SA"/>
        </w:rPr>
        <w:t>الأجسام</w:t>
      </w:r>
      <w:r w:rsidR="00D4436B">
        <w:rPr>
          <w:rFonts w:cs="Times New Roman" w:hint="cs"/>
          <w:rtl/>
        </w:rPr>
        <w:t xml:space="preserve">. </w:t>
      </w:r>
    </w:p>
  </w:footnote>
  <w:footnote w:id="413">
    <w:p w14:paraId="7BFE91E1" w14:textId="77777777" w:rsidR="00F76349" w:rsidRDefault="00605ED3">
      <w:pPr>
        <w:pStyle w:val="FootnoteText"/>
        <w:rPr>
          <w:rtl/>
        </w:rPr>
      </w:pPr>
      <w:r>
        <w:rPr>
          <w:rStyle w:val="FootnoteReference"/>
        </w:rPr>
        <w:footnoteRef/>
      </w:r>
      <w:r>
        <w:rPr>
          <w:rtl/>
        </w:rPr>
        <w:t xml:space="preserve"> </w:t>
      </w:r>
      <w:r w:rsidR="003D3F21">
        <w:rPr>
          <w:rFonts w:hint="cs"/>
          <w:rtl/>
        </w:rPr>
        <w:t>אבן סינא הצביע על שלושה אופנים של תנועות שלא נובעות מסיבה חיצונית זרה שמאלצת אותן, א</w:t>
      </w:r>
      <w:r w:rsidR="00FE73D6">
        <w:rPr>
          <w:rFonts w:hint="cs"/>
          <w:rtl/>
        </w:rPr>
        <w:t>ל</w:t>
      </w:r>
      <w:r w:rsidR="003D3F21">
        <w:rPr>
          <w:rFonts w:hint="cs"/>
          <w:rtl/>
        </w:rPr>
        <w:t xml:space="preserve">א </w:t>
      </w:r>
      <w:r w:rsidR="00FE73D6">
        <w:rPr>
          <w:rFonts w:hint="cs"/>
          <w:rtl/>
        </w:rPr>
        <w:t xml:space="preserve">נובעות </w:t>
      </w:r>
      <w:r w:rsidR="003D3F21">
        <w:rPr>
          <w:rFonts w:hint="cs"/>
          <w:rtl/>
        </w:rPr>
        <w:t>מטבעם של הנעים</w:t>
      </w:r>
      <w:r w:rsidR="00FE73D6">
        <w:rPr>
          <w:rFonts w:hint="cs"/>
          <w:rtl/>
        </w:rPr>
        <w:t xml:space="preserve"> עצמם</w:t>
      </w:r>
      <w:r w:rsidR="003D3F21">
        <w:rPr>
          <w:rFonts w:hint="cs"/>
          <w:rtl/>
        </w:rPr>
        <w:t xml:space="preserve">, </w:t>
      </w:r>
      <w:r w:rsidR="00FE73D6">
        <w:rPr>
          <w:rFonts w:hint="cs"/>
          <w:rtl/>
        </w:rPr>
        <w:t xml:space="preserve">אופן אחד הוא כמו המים שמתקררים אחרי שחוממו והאבן שנעה למטה אחרי שהורמה, השני הוא </w:t>
      </w:r>
      <w:r w:rsidR="0098757E">
        <w:rPr>
          <w:rFonts w:hint="cs"/>
          <w:rtl/>
        </w:rPr>
        <w:t xml:space="preserve">כמו </w:t>
      </w:r>
      <w:r w:rsidR="00FE73D6">
        <w:rPr>
          <w:rFonts w:hint="cs"/>
          <w:rtl/>
        </w:rPr>
        <w:t xml:space="preserve">מה שזרעי </w:t>
      </w:r>
      <w:r w:rsidR="0098757E">
        <w:rPr>
          <w:rFonts w:hint="cs"/>
          <w:rtl/>
        </w:rPr>
        <w:t xml:space="preserve">הצמחים </w:t>
      </w:r>
      <w:r w:rsidR="00FE73D6">
        <w:rPr>
          <w:rFonts w:hint="cs"/>
          <w:rtl/>
        </w:rPr>
        <w:t>או הזרע של בעלי החיים מתפתחים להיות צמח או בעל חיים, וה</w:t>
      </w:r>
      <w:r w:rsidR="0098757E">
        <w:rPr>
          <w:rFonts w:hint="cs"/>
          <w:rtl/>
        </w:rPr>
        <w:t xml:space="preserve">שלישי הוא מה שבעלי החיים מתנועעים </w:t>
      </w:r>
      <w:r w:rsidR="00351E3F">
        <w:rPr>
          <w:rFonts w:hint="cs"/>
          <w:rtl/>
        </w:rPr>
        <w:t xml:space="preserve">תנועות שונות לפי </w:t>
      </w:r>
      <w:r w:rsidR="0098757E">
        <w:rPr>
          <w:rFonts w:hint="cs"/>
          <w:rtl/>
        </w:rPr>
        <w:t>רצונם החופ</w:t>
      </w:r>
      <w:r w:rsidR="00351E3F">
        <w:rPr>
          <w:rFonts w:hint="cs"/>
          <w:rtl/>
        </w:rPr>
        <w:t>ש</w:t>
      </w:r>
      <w:r w:rsidR="0098757E">
        <w:rPr>
          <w:rFonts w:hint="cs"/>
          <w:rtl/>
        </w:rPr>
        <w:t>י ו</w:t>
      </w:r>
      <w:r w:rsidR="00351E3F">
        <w:rPr>
          <w:rFonts w:hint="cs"/>
          <w:rtl/>
        </w:rPr>
        <w:t>לא</w:t>
      </w:r>
      <w:r w:rsidR="0098757E">
        <w:rPr>
          <w:rFonts w:hint="cs"/>
          <w:rtl/>
        </w:rPr>
        <w:t xml:space="preserve">  מכח אילוץ של סיב</w:t>
      </w:r>
      <w:r w:rsidR="00351E3F">
        <w:rPr>
          <w:rFonts w:hint="cs"/>
          <w:rtl/>
        </w:rPr>
        <w:t>ות</w:t>
      </w:r>
      <w:r w:rsidR="0098757E">
        <w:rPr>
          <w:rFonts w:hint="cs"/>
          <w:rtl/>
        </w:rPr>
        <w:t xml:space="preserve"> חיצוני</w:t>
      </w:r>
      <w:r w:rsidR="00351E3F">
        <w:rPr>
          <w:rFonts w:hint="cs"/>
          <w:rtl/>
        </w:rPr>
        <w:t>ו</w:t>
      </w:r>
      <w:r w:rsidR="0098757E">
        <w:rPr>
          <w:rFonts w:hint="cs"/>
          <w:rtl/>
        </w:rPr>
        <w:t>ת זר</w:t>
      </w:r>
      <w:r w:rsidR="00351E3F">
        <w:rPr>
          <w:rFonts w:hint="cs"/>
          <w:rtl/>
        </w:rPr>
        <w:t>ות</w:t>
      </w:r>
      <w:r w:rsidR="0098757E">
        <w:rPr>
          <w:rFonts w:hint="cs"/>
          <w:rtl/>
        </w:rPr>
        <w:t>.</w:t>
      </w:r>
    </w:p>
    <w:p w14:paraId="30F67852" w14:textId="6ADD5B48" w:rsidR="00605ED3" w:rsidRDefault="00F76349">
      <w:pPr>
        <w:pStyle w:val="FootnoteText"/>
        <w:rPr>
          <w:rtl/>
        </w:rPr>
      </w:pPr>
      <w:r>
        <w:rPr>
          <w:rFonts w:hint="cs"/>
          <w:rtl/>
        </w:rPr>
        <w:t xml:space="preserve">יש כאן מקום </w:t>
      </w:r>
      <w:r w:rsidR="00F56481">
        <w:rPr>
          <w:rFonts w:hint="cs"/>
          <w:rtl/>
        </w:rPr>
        <w:t>התבוננות</w:t>
      </w:r>
      <w:r>
        <w:rPr>
          <w:rFonts w:hint="cs"/>
          <w:rtl/>
        </w:rPr>
        <w:t>, שאבן סינא לא עומד עליו</w:t>
      </w:r>
      <w:r w:rsidR="008A5D8E">
        <w:rPr>
          <w:rFonts w:hint="cs"/>
          <w:rtl/>
        </w:rPr>
        <w:t xml:space="preserve"> כאן</w:t>
      </w:r>
      <w:r>
        <w:rPr>
          <w:rFonts w:hint="cs"/>
          <w:rtl/>
        </w:rPr>
        <w:t xml:space="preserve"> בפירוש</w:t>
      </w:r>
      <w:r w:rsidR="00F56481">
        <w:rPr>
          <w:rFonts w:hint="cs"/>
          <w:rtl/>
        </w:rPr>
        <w:t>;</w:t>
      </w:r>
      <w:r>
        <w:rPr>
          <w:rFonts w:hint="cs"/>
          <w:rtl/>
        </w:rPr>
        <w:t xml:space="preserve"> אם אנו מרימים צמח או בעל חיים ועוזבים אותו והוא נופל</w:t>
      </w:r>
      <w:r w:rsidR="00BC1936">
        <w:rPr>
          <w:rFonts w:hint="cs"/>
          <w:rtl/>
        </w:rPr>
        <w:t xml:space="preserve"> מעצמו</w:t>
      </w:r>
      <w:r>
        <w:rPr>
          <w:rFonts w:hint="cs"/>
          <w:rtl/>
        </w:rPr>
        <w:t>, או שמחממים צמח או בעל ח</w:t>
      </w:r>
      <w:r w:rsidR="00E12713">
        <w:rPr>
          <w:rFonts w:hint="cs"/>
          <w:rtl/>
        </w:rPr>
        <w:t>יי</w:t>
      </w:r>
      <w:r>
        <w:rPr>
          <w:rFonts w:hint="cs"/>
          <w:rtl/>
        </w:rPr>
        <w:t>ם והוא מתקרר</w:t>
      </w:r>
      <w:r w:rsidR="00BC1936">
        <w:rPr>
          <w:rFonts w:hint="cs"/>
          <w:rtl/>
        </w:rPr>
        <w:t xml:space="preserve"> מעצמו</w:t>
      </w:r>
      <w:r>
        <w:rPr>
          <w:rFonts w:hint="cs"/>
          <w:rtl/>
        </w:rPr>
        <w:t xml:space="preserve">, </w:t>
      </w:r>
      <w:r w:rsidR="00BC1936">
        <w:rPr>
          <w:rFonts w:hint="cs"/>
          <w:rtl/>
        </w:rPr>
        <w:t xml:space="preserve">הנפילה וההתקררות של הצמח או בעל החיים, הם מצד שכל צמח או בעל חיים הוא גם דומם, ופעולות אלה הן </w:t>
      </w:r>
      <w:r w:rsidR="0075135F">
        <w:rPr>
          <w:rFonts w:hint="cs"/>
          <w:rtl/>
        </w:rPr>
        <w:t>מצד הדומם שבו</w:t>
      </w:r>
      <w:r w:rsidR="00540B21">
        <w:rPr>
          <w:rFonts w:hint="cs"/>
          <w:rtl/>
        </w:rPr>
        <w:t>, ולעניין זה מה שהוא צמח או בעל חיים הוא רק מקרה</w:t>
      </w:r>
      <w:r w:rsidR="00540867">
        <w:rPr>
          <w:rFonts w:hint="cs"/>
          <w:rtl/>
        </w:rPr>
        <w:t xml:space="preserve"> (לזה רמז אריסטו בפיזיקה ב' א' לגבי הרופא שמה שהוא רופא זה מקרה</w:t>
      </w:r>
      <w:r w:rsidR="00AD090A">
        <w:rPr>
          <w:rFonts w:hint="cs"/>
          <w:rtl/>
        </w:rPr>
        <w:t xml:space="preserve"> (דילגתי על שורות אלה במה שהבאתי לשונו לקמן)</w:t>
      </w:r>
      <w:r w:rsidR="00DF0805">
        <w:rPr>
          <w:rFonts w:hint="cs"/>
          <w:rtl/>
        </w:rPr>
        <w:t>)</w:t>
      </w:r>
      <w:r w:rsidR="00BC1936">
        <w:rPr>
          <w:rFonts w:hint="cs"/>
          <w:rtl/>
        </w:rPr>
        <w:t xml:space="preserve">. </w:t>
      </w:r>
      <w:r w:rsidR="0075135F">
        <w:rPr>
          <w:rFonts w:hint="cs"/>
          <w:rtl/>
        </w:rPr>
        <w:t xml:space="preserve">אדם הוא גם דומם וגם צמח וגם בעל חיים וגם </w:t>
      </w:r>
      <w:r w:rsidR="00540B21">
        <w:rPr>
          <w:rFonts w:hint="cs"/>
          <w:rtl/>
        </w:rPr>
        <w:t>מדבר</w:t>
      </w:r>
      <w:r w:rsidR="0075135F">
        <w:rPr>
          <w:rFonts w:hint="cs"/>
          <w:rtl/>
        </w:rPr>
        <w:t xml:space="preserve"> מה שהוא </w:t>
      </w:r>
      <w:r w:rsidR="009324B6">
        <w:rPr>
          <w:rFonts w:hint="cs"/>
          <w:rtl/>
        </w:rPr>
        <w:t>מדבר</w:t>
      </w:r>
      <w:r w:rsidR="0075135F">
        <w:rPr>
          <w:rFonts w:hint="cs"/>
          <w:rtl/>
        </w:rPr>
        <w:t xml:space="preserve"> לא מבטל את היותו חומר דומם או צמח או בעל חיים</w:t>
      </w:r>
      <w:r w:rsidR="009324B6">
        <w:rPr>
          <w:rFonts w:hint="cs"/>
          <w:rtl/>
        </w:rPr>
        <w:t>, אלא רק נוסף עליו</w:t>
      </w:r>
      <w:r w:rsidR="0075135F">
        <w:rPr>
          <w:rFonts w:hint="cs"/>
          <w:rtl/>
        </w:rPr>
        <w:t xml:space="preserve">. </w:t>
      </w:r>
      <w:r w:rsidR="00A86663">
        <w:rPr>
          <w:rFonts w:hint="cs"/>
          <w:rtl/>
        </w:rPr>
        <w:t xml:space="preserve">למשל נוהגים לקרוא לאדם שאיבד את הכרתו באופן קבוע שהוא "צמח", זה משום שבמצב כזה צד הצמח שלו מתבטא בפועל יותר מצד בעל החיים או האדם שיש בו שהם במצבו רק בכח. </w:t>
      </w:r>
      <w:r w:rsidR="009324B6">
        <w:rPr>
          <w:rFonts w:hint="cs"/>
          <w:rtl/>
        </w:rPr>
        <w:t xml:space="preserve">התוספת שיש בצמח על דומם, או בחי על צומח או באדם על חי, היא שינוי של כלל מהותו, </w:t>
      </w:r>
      <w:r w:rsidR="007D766F">
        <w:rPr>
          <w:rFonts w:hint="cs"/>
          <w:rtl/>
        </w:rPr>
        <w:t>זה לא שהצד הדומם של אדם, או צד הצומח או החי שבו, שווים במהותם לצד הדומם של אבן או ל</w:t>
      </w:r>
      <w:r w:rsidR="00BF2848">
        <w:rPr>
          <w:rFonts w:hint="cs"/>
          <w:rtl/>
        </w:rPr>
        <w:t>צ</w:t>
      </w:r>
      <w:r w:rsidR="007D766F">
        <w:rPr>
          <w:rFonts w:hint="cs"/>
          <w:rtl/>
        </w:rPr>
        <w:t xml:space="preserve">ד הצומח של עץ או לצד החי של בעל חיים. </w:t>
      </w:r>
      <w:r w:rsidR="00BF2848">
        <w:rPr>
          <w:rFonts w:hint="cs"/>
          <w:rtl/>
        </w:rPr>
        <w:t xml:space="preserve">אבל עדיין יש באדם צד דומם אנושי וצמח אנושי וחי אנושי, שכולם מיוחדים במהותם רק לאדם ובכל זאת יש לה הקבלה ודמיון לדוממים וצמחים ובעלי החיים. וכמו שביאר הרמב"ם בשמונה פרקים </w:t>
      </w:r>
      <w:r w:rsidR="00B4359E">
        <w:rPr>
          <w:rFonts w:hint="cs"/>
          <w:rtl/>
        </w:rPr>
        <w:t xml:space="preserve">פרק א' </w:t>
      </w:r>
      <w:r w:rsidR="00BF2848">
        <w:rPr>
          <w:rFonts w:hint="cs"/>
          <w:rtl/>
        </w:rPr>
        <w:t xml:space="preserve">שנראה שצד </w:t>
      </w:r>
      <w:r w:rsidR="00D416DB">
        <w:rPr>
          <w:rFonts w:hint="cs"/>
          <w:rtl/>
        </w:rPr>
        <w:t>ה</w:t>
      </w:r>
      <w:r w:rsidR="00BF2848">
        <w:rPr>
          <w:rFonts w:hint="cs"/>
          <w:rtl/>
        </w:rPr>
        <w:t>חי שיש באדם שווה לצד החי שיש בחמור, מבחינה זו ששניהם ניזונים וגדלים ו</w:t>
      </w:r>
      <w:r w:rsidR="00D416DB">
        <w:rPr>
          <w:rFonts w:hint="cs"/>
          <w:rtl/>
        </w:rPr>
        <w:t xml:space="preserve">נושמים ויש בהם חום טבעי וכל כיו"ב, </w:t>
      </w:r>
      <w:r w:rsidR="0061032C">
        <w:rPr>
          <w:rFonts w:hint="cs"/>
          <w:rtl/>
        </w:rPr>
        <w:t xml:space="preserve">ובאמת יש דמיון אבל במהות צד החי שיש באדם שונה במהותו מצד החי של חמור. </w:t>
      </w:r>
      <w:r w:rsidR="00FE73D6">
        <w:rPr>
          <w:rFonts w:hint="cs"/>
          <w:rtl/>
        </w:rPr>
        <w:t xml:space="preserve"> </w:t>
      </w:r>
    </w:p>
    <w:p w14:paraId="64854F5D" w14:textId="4212CDEE" w:rsidR="00B4359E" w:rsidRDefault="00B4359E">
      <w:pPr>
        <w:pStyle w:val="FootnoteText"/>
        <w:rPr>
          <w:rtl/>
        </w:rPr>
      </w:pPr>
      <w:r>
        <w:rPr>
          <w:rFonts w:hint="cs"/>
          <w:rtl/>
        </w:rPr>
        <w:t>אמנם הרמב"ם כתב שם שמה שבמהות האמיתית צד</w:t>
      </w:r>
      <w:r w:rsidR="009021A9">
        <w:rPr>
          <w:rFonts w:hint="cs"/>
          <w:rtl/>
        </w:rPr>
        <w:t>די</w:t>
      </w:r>
      <w:r>
        <w:rPr>
          <w:rFonts w:hint="cs"/>
          <w:rtl/>
        </w:rPr>
        <w:t xml:space="preserve"> הדומם הצומח והחי של האדם, שונים במהותם לגמרי </w:t>
      </w:r>
      <w:r w:rsidR="0024557A">
        <w:rPr>
          <w:rFonts w:hint="cs"/>
          <w:rtl/>
        </w:rPr>
        <w:t>מהצדדים הדומים שיש בדוממים בצמחים ובבעלי החיים (וכן צד הצומח שבחמור, למשל הגדילה שלו, שונה במהותו מצד הצומח של עץ, וצד הדומם של עץ</w:t>
      </w:r>
      <w:r w:rsidR="00BC5223">
        <w:rPr>
          <w:rFonts w:hint="cs"/>
          <w:rtl/>
        </w:rPr>
        <w:t xml:space="preserve"> (למשל שיש לו משקל)</w:t>
      </w:r>
      <w:r w:rsidR="0024557A">
        <w:rPr>
          <w:rFonts w:hint="cs"/>
          <w:rtl/>
        </w:rPr>
        <w:t xml:space="preserve"> שונה במהותו מצד הדומם של אבן</w:t>
      </w:r>
      <w:r w:rsidR="009021A9">
        <w:rPr>
          <w:rFonts w:hint="cs"/>
          <w:rtl/>
        </w:rPr>
        <w:t>)</w:t>
      </w:r>
      <w:r w:rsidR="00BC5223">
        <w:rPr>
          <w:rFonts w:hint="cs"/>
          <w:rtl/>
        </w:rPr>
        <w:t xml:space="preserve">, </w:t>
      </w:r>
      <w:r w:rsidR="009021A9">
        <w:rPr>
          <w:rFonts w:hint="cs"/>
          <w:rtl/>
        </w:rPr>
        <w:t>זה סוד ששייך לעומק המציאות ועל פני השטח לא נראה שיש הבדל</w:t>
      </w:r>
      <w:r w:rsidR="0036085E">
        <w:rPr>
          <w:rFonts w:hint="cs"/>
          <w:rtl/>
        </w:rPr>
        <w:t xml:space="preserve">. לפי זה אין הבדל בין צד הדומם של אבן עץ חי או אדם, </w:t>
      </w:r>
      <w:r w:rsidR="00D51FF2">
        <w:rPr>
          <w:rFonts w:hint="cs"/>
          <w:rtl/>
        </w:rPr>
        <w:t xml:space="preserve">ומה שהם נופלים אחרי שהרימו אותם או מתקררים אחרי שחיממו אותם זה אותו עניין. </w:t>
      </w:r>
    </w:p>
    <w:p w14:paraId="295F8540" w14:textId="0EB92245" w:rsidR="00A25B58" w:rsidRDefault="00D51FF2">
      <w:pPr>
        <w:pStyle w:val="FootnoteText"/>
        <w:rPr>
          <w:rtl/>
        </w:rPr>
      </w:pPr>
      <w:r>
        <w:rPr>
          <w:rFonts w:hint="cs"/>
          <w:rtl/>
        </w:rPr>
        <w:t xml:space="preserve">לפי זה </w:t>
      </w:r>
      <w:r w:rsidR="00E73E9B">
        <w:rPr>
          <w:rFonts w:hint="cs"/>
          <w:rtl/>
        </w:rPr>
        <w:t>אבן סינא כ</w:t>
      </w:r>
      <w:r w:rsidR="000F4E68">
        <w:rPr>
          <w:rFonts w:hint="cs"/>
          <w:rtl/>
        </w:rPr>
        <w:t>א</w:t>
      </w:r>
      <w:r w:rsidR="00E73E9B">
        <w:rPr>
          <w:rFonts w:hint="cs"/>
          <w:rtl/>
        </w:rPr>
        <w:t xml:space="preserve">ן נקט בדוגמאות שלו לפי סדר הנמצאים. הוא דן בדומם, בצומח ובחי. הנפילה אחרי ההרמה, וההתקררות אחרי החימום, אלא הן תנועות </w:t>
      </w:r>
      <w:r w:rsidR="009B0A5C">
        <w:rPr>
          <w:rFonts w:hint="cs"/>
          <w:rtl/>
        </w:rPr>
        <w:t>חסרות</w:t>
      </w:r>
      <w:r w:rsidR="00E73E9B">
        <w:rPr>
          <w:rFonts w:hint="cs"/>
          <w:rtl/>
        </w:rPr>
        <w:t xml:space="preserve"> סיבה חיצונית אלא נובעות מהטבע</w:t>
      </w:r>
      <w:r w:rsidR="009B0A5C">
        <w:rPr>
          <w:rFonts w:hint="cs"/>
          <w:rtl/>
        </w:rPr>
        <w:t xml:space="preserve">, דהיינו מהטבע של הדומם, וגם בצמחים ובעלי חיים הן נובעות מטבע הדומם שבהן. הגדילה של זרע </w:t>
      </w:r>
      <w:r w:rsidR="00250986">
        <w:rPr>
          <w:rFonts w:hint="cs"/>
          <w:rtl/>
        </w:rPr>
        <w:t>לצמח או מזרע של בעל חיים לבעל חיים, זו תנועה מכח הטבע העצמי שהוא</w:t>
      </w:r>
      <w:r w:rsidR="00D553F3">
        <w:rPr>
          <w:rFonts w:hint="cs"/>
          <w:rtl/>
        </w:rPr>
        <w:t xml:space="preserve"> </w:t>
      </w:r>
      <w:r w:rsidR="00250986">
        <w:rPr>
          <w:rFonts w:hint="cs"/>
          <w:rtl/>
        </w:rPr>
        <w:t xml:space="preserve">טבע הצומח, וגם מה שתינוק גדל מהזרע </w:t>
      </w:r>
      <w:r w:rsidR="00D553F3">
        <w:rPr>
          <w:rFonts w:hint="cs"/>
          <w:rtl/>
        </w:rPr>
        <w:t xml:space="preserve">בתוך רחם </w:t>
      </w:r>
      <w:r w:rsidR="00D553F3">
        <w:rPr>
          <w:rFonts w:hint="cs"/>
          <w:rtl/>
        </w:rPr>
        <w:t>אמו זה מצד טבע הצומח שבו</w:t>
      </w:r>
      <w:r w:rsidR="009B0A5C">
        <w:rPr>
          <w:rFonts w:hint="cs"/>
          <w:rtl/>
        </w:rPr>
        <w:t xml:space="preserve">. </w:t>
      </w:r>
      <w:r w:rsidR="00D553F3">
        <w:rPr>
          <w:rFonts w:hint="cs"/>
          <w:rtl/>
        </w:rPr>
        <w:t xml:space="preserve">ומה שיש לבעלי חיים תנועות </w:t>
      </w:r>
      <w:r w:rsidR="00A62C15">
        <w:rPr>
          <w:rFonts w:hint="cs"/>
          <w:rtl/>
        </w:rPr>
        <w:t xml:space="preserve">מכח רצונם החופשי זו תנועה בלי סיבה מאלצת מבחוץ אלא היא מהטבע, והיינו טבע החי. </w:t>
      </w:r>
      <w:r w:rsidR="004E737F">
        <w:rPr>
          <w:rFonts w:hint="cs"/>
          <w:rtl/>
        </w:rPr>
        <w:t xml:space="preserve">ולפי זה יש לומר גם שמה שלאדם יש השגות שכליות שנובעות מטבעו העצמי ולא מכח סיבה חיצונית שמאלצת אותן, זה מצד טבע האדם שבו. </w:t>
      </w:r>
      <w:r w:rsidR="00426E8E">
        <w:rPr>
          <w:rFonts w:hint="cs"/>
          <w:rtl/>
        </w:rPr>
        <w:t>אנו עוסקים כאן בהגדרת הטבע, ואם טבע פירושו תנועות והיפעלויות שאין לה</w:t>
      </w:r>
      <w:r w:rsidR="00FE1D96">
        <w:rPr>
          <w:rFonts w:hint="cs"/>
          <w:rtl/>
        </w:rPr>
        <w:t>ן</w:t>
      </w:r>
      <w:r w:rsidR="00426E8E">
        <w:rPr>
          <w:rFonts w:hint="cs"/>
          <w:rtl/>
        </w:rPr>
        <w:t xml:space="preserve"> סיבה זרה חיצונית אלא </w:t>
      </w:r>
      <w:r w:rsidR="00FE1D96">
        <w:rPr>
          <w:rFonts w:hint="cs"/>
          <w:rtl/>
        </w:rPr>
        <w:t xml:space="preserve">הן מכח הטבע, </w:t>
      </w:r>
      <w:r w:rsidR="00426E8E">
        <w:rPr>
          <w:rFonts w:hint="cs"/>
          <w:rtl/>
        </w:rPr>
        <w:t xml:space="preserve">אנו מתבוננים שיש </w:t>
      </w:r>
      <w:r w:rsidR="00FE1D96">
        <w:rPr>
          <w:rFonts w:hint="cs"/>
          <w:rtl/>
        </w:rPr>
        <w:t>ארבע דרכים של טבע, שהן דומם צומח חי ומדבר.</w:t>
      </w:r>
    </w:p>
    <w:p w14:paraId="0045C6A5" w14:textId="77777777" w:rsidR="005C6765" w:rsidRDefault="005C6765">
      <w:pPr>
        <w:pStyle w:val="FootnoteText"/>
      </w:pPr>
    </w:p>
    <w:p w14:paraId="04E0B447" w14:textId="69AAC8C4" w:rsidR="00BA768B" w:rsidRDefault="003F0F6D" w:rsidP="000A4615">
      <w:pPr>
        <w:pStyle w:val="FootnoteText"/>
        <w:rPr>
          <w:rtl/>
        </w:rPr>
      </w:pPr>
      <w:r>
        <w:rPr>
          <w:rFonts w:hint="cs"/>
          <w:rtl/>
        </w:rPr>
        <w:t xml:space="preserve">העקרון של ארבעת היסודות, אש רוח מים ועפר, הוא כנגד ארבע אותיות של שם הוי"ה, שהוא שורש הוויית הנמצאים, כמהלך ההתגלות של המופשט </w:t>
      </w:r>
      <w:r w:rsidR="00D71950">
        <w:rPr>
          <w:rFonts w:hint="cs"/>
          <w:rtl/>
        </w:rPr>
        <w:t xml:space="preserve">שברא בריאה ואיפשר לה להתקיים והיא חוזרת אל אחדותו המוחלטת, וקיומה בחזרה זו כמו הסנה שבוער באש ואיננו אוכל, </w:t>
      </w:r>
      <w:r w:rsidR="000A4615">
        <w:rPr>
          <w:rFonts w:hint="cs"/>
          <w:rtl/>
        </w:rPr>
        <w:t xml:space="preserve">בשלב מאוחר יותר של השתלשלות </w:t>
      </w:r>
      <w:r w:rsidR="009C463A">
        <w:rPr>
          <w:rFonts w:hint="cs"/>
          <w:rtl/>
        </w:rPr>
        <w:t>ההוויה</w:t>
      </w:r>
      <w:r w:rsidR="000A4615">
        <w:rPr>
          <w:rFonts w:hint="cs"/>
          <w:rtl/>
        </w:rPr>
        <w:t xml:space="preserve"> ארבעת היסודות הופכים לטבע, וכנגד היסודות נעשים ארבעת אופני הטבע שהם דומם כנגד העפר, </w:t>
      </w:r>
      <w:r w:rsidR="000D2C7C">
        <w:rPr>
          <w:rFonts w:hint="cs"/>
          <w:rtl/>
        </w:rPr>
        <w:t>צומח כנגד המים, חי כנגד האש, ומדבר כנגד הרוח</w:t>
      </w:r>
      <w:r w:rsidR="00BA768B">
        <w:rPr>
          <w:rFonts w:hint="cs"/>
          <w:rtl/>
        </w:rPr>
        <w:t>.</w:t>
      </w:r>
    </w:p>
    <w:p w14:paraId="76C197F1" w14:textId="6BED38D8" w:rsidR="00BA768B" w:rsidRDefault="00BA768B" w:rsidP="000A4615">
      <w:pPr>
        <w:pStyle w:val="FootnoteText"/>
        <w:rPr>
          <w:rtl/>
        </w:rPr>
      </w:pPr>
      <w:r>
        <w:rPr>
          <w:rFonts w:hint="cs"/>
          <w:rtl/>
        </w:rPr>
        <w:t>וברמב"ן על בראשית א' א':</w:t>
      </w:r>
    </w:p>
    <w:p w14:paraId="7186C850" w14:textId="2FC61011" w:rsidR="00AF0113" w:rsidRDefault="00BA768B" w:rsidP="00F756C7">
      <w:pPr>
        <w:pStyle w:val="FootnoteText"/>
        <w:rPr>
          <w:rtl/>
        </w:rPr>
      </w:pPr>
      <w:r>
        <w:rPr>
          <w:rFonts w:hint="cs"/>
          <w:rtl/>
        </w:rPr>
        <w:t>"</w:t>
      </w:r>
      <w:r w:rsidR="00F756C7">
        <w:rPr>
          <w:rtl/>
        </w:rPr>
        <w:t>והנה שיעור הכתובים: בתחילה ברא אלהים מאין את השמים, וברא מאין את הארץ, והארץ בהבראה ה</w:t>
      </w:r>
      <w:r w:rsidR="009B3E4F">
        <w:rPr>
          <w:rFonts w:hint="cs"/>
          <w:rtl/>
        </w:rPr>
        <w:t>י</w:t>
      </w:r>
      <w:r w:rsidR="00F756C7">
        <w:rPr>
          <w:rtl/>
        </w:rPr>
        <w:t>יתה תהו וה</w:t>
      </w:r>
      <w:r w:rsidR="009B3E4F">
        <w:rPr>
          <w:rFonts w:hint="cs"/>
          <w:rtl/>
        </w:rPr>
        <w:t>י</w:t>
      </w:r>
      <w:r w:rsidR="00F756C7">
        <w:rPr>
          <w:rtl/>
        </w:rPr>
        <w:t>יתה בהו, ובהם חשך</w:t>
      </w:r>
      <w:r w:rsidR="00F756C7">
        <w:rPr>
          <w:rFonts w:hint="cs"/>
          <w:rtl/>
        </w:rPr>
        <w:t xml:space="preserve"> [הוא יסוד האש]</w:t>
      </w:r>
      <w:r w:rsidR="00F756C7">
        <w:rPr>
          <w:rtl/>
        </w:rPr>
        <w:t xml:space="preserve"> ומים ועפר, ורוח נושבת על המים. והנה הכל נברא ונעשה.</w:t>
      </w:r>
      <w:r w:rsidR="00F756C7">
        <w:rPr>
          <w:rFonts w:hint="cs"/>
          <w:rtl/>
        </w:rPr>
        <w:t xml:space="preserve"> </w:t>
      </w:r>
      <w:r w:rsidR="00F756C7">
        <w:rPr>
          <w:rtl/>
        </w:rPr>
        <w:t>וסמך "הרוח" ל"אלהים", בעבור שהיא דקה מכולם, ולמעלה מהם, רק שהיא מרחפת על פני המים במאמרו של הקב"ה</w:t>
      </w:r>
      <w:r>
        <w:rPr>
          <w:rFonts w:hint="cs"/>
          <w:rtl/>
        </w:rPr>
        <w:t>"</w:t>
      </w:r>
      <w:r w:rsidR="000D2C7C">
        <w:rPr>
          <w:rFonts w:hint="cs"/>
          <w:rtl/>
        </w:rPr>
        <w:t xml:space="preserve">. </w:t>
      </w:r>
    </w:p>
    <w:p w14:paraId="309C46F5" w14:textId="77777777" w:rsidR="00AF0113" w:rsidRDefault="00AF0113" w:rsidP="00F756C7">
      <w:pPr>
        <w:pStyle w:val="FootnoteText"/>
        <w:rPr>
          <w:rtl/>
        </w:rPr>
      </w:pPr>
      <w:r>
        <w:rPr>
          <w:rFonts w:hint="cs"/>
          <w:rtl/>
        </w:rPr>
        <w:t>ובמורה נבוכים ל' ב' כתב:</w:t>
      </w:r>
    </w:p>
    <w:p w14:paraId="2A964B8C" w14:textId="18206ADA" w:rsidR="00BE2EE0" w:rsidRDefault="00AF0113" w:rsidP="00F756C7">
      <w:pPr>
        <w:pStyle w:val="FootnoteText"/>
        <w:rPr>
          <w:rtl/>
        </w:rPr>
      </w:pPr>
      <w:r>
        <w:rPr>
          <w:rFonts w:hint="cs"/>
          <w:rtl/>
        </w:rPr>
        <w:t>"</w:t>
      </w:r>
      <w:r w:rsidRPr="00AF0113">
        <w:rPr>
          <w:rtl/>
        </w:rPr>
        <w:t>ואשר ח</w:t>
      </w:r>
      <w:r w:rsidR="009B3E4F">
        <w:rPr>
          <w:rFonts w:hint="cs"/>
          <w:rtl/>
        </w:rPr>
        <w:t>י</w:t>
      </w:r>
      <w:r w:rsidRPr="00AF0113">
        <w:rPr>
          <w:rtl/>
        </w:rPr>
        <w:t>יב שיאמר 'רוח אלוקים' - בעבור ששמה מתנועעת - רצוני לומר 'מרחפת' - ותנועת הרוח לעולם מיוחסת לאלוה "ורוח נסע מאת יי" "נשפת ברוחך" "ויהפוך יי רוח ים" - וזה הרבה.</w:t>
      </w:r>
      <w:r>
        <w:rPr>
          <w:rFonts w:hint="cs"/>
          <w:rtl/>
        </w:rPr>
        <w:t>"</w:t>
      </w:r>
      <w:r w:rsidR="003F0F6D">
        <w:rPr>
          <w:rFonts w:hint="cs"/>
          <w:rtl/>
        </w:rPr>
        <w:t xml:space="preserve"> </w:t>
      </w:r>
    </w:p>
    <w:p w14:paraId="01E60CC6" w14:textId="61399FD5" w:rsidR="00A25B58" w:rsidRDefault="004E1841">
      <w:pPr>
        <w:pStyle w:val="FootnoteText"/>
        <w:rPr>
          <w:rtl/>
        </w:rPr>
      </w:pPr>
      <w:r>
        <w:rPr>
          <w:rFonts w:hint="cs"/>
          <w:rtl/>
        </w:rPr>
        <w:t>ובהלכות יסודי התורה ד' כתב:</w:t>
      </w:r>
    </w:p>
    <w:p w14:paraId="157E98CC" w14:textId="69C94E54" w:rsidR="00136EAD" w:rsidRDefault="004E1841">
      <w:pPr>
        <w:pStyle w:val="FootnoteText"/>
        <w:rPr>
          <w:rtl/>
        </w:rPr>
      </w:pPr>
      <w:r>
        <w:rPr>
          <w:rFonts w:hint="cs"/>
          <w:rtl/>
        </w:rPr>
        <w:t>"</w:t>
      </w:r>
      <w:r w:rsidRPr="004E1841">
        <w:rPr>
          <w:rtl/>
        </w:rPr>
        <w:t>ארבעה גופים הללו שהם אש ורוח ומים וארץ הם יסודות לכל הנבראים למטה מן הרקיע, וכל שיהיה מאדם ומבהמה ועוף ורמש ודג וצמח ומתכת ואבנים טובות ומרגליות ושאר אבני בנין והרים וגושי עפר הכל גולמן מחובר מארבעה יסודות הללו.</w:t>
      </w:r>
      <w:r>
        <w:rPr>
          <w:rFonts w:hint="cs"/>
          <w:rtl/>
        </w:rPr>
        <w:t>"</w:t>
      </w:r>
      <w:r w:rsidR="005C6765">
        <w:rPr>
          <w:rFonts w:hint="cs"/>
          <w:rtl/>
        </w:rPr>
        <w:t xml:space="preserve"> הוא קשר כאן את ארבעת היסודות</w:t>
      </w:r>
      <w:r w:rsidR="000C64C4">
        <w:rPr>
          <w:rtl/>
        </w:rPr>
        <w:fldChar w:fldCharType="begin"/>
      </w:r>
      <w:r w:rsidR="000C64C4">
        <w:instrText xml:space="preserve"> XE "</w:instrText>
      </w:r>
      <w:r w:rsidR="000C64C4" w:rsidRPr="006755DC">
        <w:rPr>
          <w:rFonts w:hint="cs"/>
          <w:rtl/>
        </w:rPr>
        <w:instrText>ארבעת היסודות - הקשר בינם ובין דומם צומח חי</w:instrText>
      </w:r>
      <w:r w:rsidR="000C64C4">
        <w:instrText xml:space="preserve">" </w:instrText>
      </w:r>
      <w:r w:rsidR="000C64C4">
        <w:rPr>
          <w:rtl/>
        </w:rPr>
        <w:fldChar w:fldCharType="end"/>
      </w:r>
      <w:r w:rsidR="005C6765">
        <w:rPr>
          <w:rFonts w:hint="cs"/>
          <w:rtl/>
        </w:rPr>
        <w:t xml:space="preserve"> לארבעת אופני הטבע שהם דומם צומח חי ומדבר, </w:t>
      </w:r>
      <w:r w:rsidR="003A76BD">
        <w:rPr>
          <w:rFonts w:hint="cs"/>
          <w:rtl/>
        </w:rPr>
        <w:t>והעומק הוא שארבעת היסודות הן יסוד לארבעת אופני הטבע מצד פנימיות העקרון</w:t>
      </w:r>
      <w:r w:rsidR="00334D0E">
        <w:rPr>
          <w:rFonts w:hint="cs"/>
          <w:rtl/>
        </w:rPr>
        <w:t>. שהוא האופן המופשט שלו המספר ארבע. וכמו שהפירוש "שם בן ארבע אותיות" ה</w:t>
      </w:r>
      <w:r w:rsidR="00880A4B">
        <w:rPr>
          <w:rFonts w:hint="cs"/>
          <w:rtl/>
        </w:rPr>
        <w:t>מילה "בן"</w:t>
      </w:r>
      <w:r w:rsidR="00880A4B">
        <w:rPr>
          <w:rFonts w:hint="cs"/>
        </w:rPr>
        <w:t xml:space="preserve"> </w:t>
      </w:r>
      <w:r w:rsidR="00880A4B">
        <w:rPr>
          <w:rFonts w:hint="cs"/>
          <w:rtl/>
        </w:rPr>
        <w:t xml:space="preserve">היא מלשון בינה, ו"שם בן ארבע אותיות" פירושו התבוננות במספר ארבע שהוא גם המספר עשר (כי הרביעי מתפרט לשבע, הן שבע הספירות התחתונות). </w:t>
      </w:r>
      <w:r w:rsidR="00136EAD">
        <w:rPr>
          <w:rFonts w:hint="cs"/>
          <w:rtl/>
        </w:rPr>
        <w:t>וכמו שכתב המורה נבוכים ב' י':</w:t>
      </w:r>
    </w:p>
    <w:p w14:paraId="118CFD01" w14:textId="68D2BD24" w:rsidR="009C3AF7" w:rsidRDefault="00136EAD">
      <w:pPr>
        <w:pStyle w:val="FootnoteText"/>
        <w:rPr>
          <w:rtl/>
        </w:rPr>
      </w:pPr>
      <w:r>
        <w:rPr>
          <w:rFonts w:hint="cs"/>
          <w:rtl/>
        </w:rPr>
        <w:t>"</w:t>
      </w:r>
      <w:r w:rsidR="00EB5F5C" w:rsidRPr="00EB5F5C">
        <w:rPr>
          <w:rtl/>
        </w:rPr>
        <w:t>ומספר הארבעה הזה הוא נפלא ומקום התבוננות</w:t>
      </w:r>
      <w:r w:rsidR="009C3AF7">
        <w:rPr>
          <w:rFonts w:hint="cs"/>
          <w:rtl/>
        </w:rPr>
        <w:t>.</w:t>
      </w:r>
      <w:r>
        <w:rPr>
          <w:rFonts w:hint="cs"/>
          <w:rtl/>
        </w:rPr>
        <w:t>"</w:t>
      </w:r>
    </w:p>
    <w:p w14:paraId="11A9D2FF" w14:textId="549DE2D9" w:rsidR="009C3AF7" w:rsidRDefault="005114A7">
      <w:pPr>
        <w:pStyle w:val="FootnoteText"/>
        <w:rPr>
          <w:rtl/>
        </w:rPr>
      </w:pPr>
      <w:r>
        <w:rPr>
          <w:rFonts w:hint="cs"/>
          <w:rtl/>
        </w:rPr>
        <w:t xml:space="preserve">משמע שהסוד מונח במספר ארבע </w:t>
      </w:r>
      <w:r w:rsidR="00D6751B">
        <w:rPr>
          <w:rFonts w:hint="cs"/>
          <w:rtl/>
        </w:rPr>
        <w:t xml:space="preserve">עצמו, </w:t>
      </w:r>
      <w:r>
        <w:rPr>
          <w:rFonts w:hint="cs"/>
          <w:rtl/>
        </w:rPr>
        <w:t xml:space="preserve">וכל הדברים שמניינם ארבע הם בחינות בסוד המספר. </w:t>
      </w:r>
      <w:r w:rsidR="009C3AF7">
        <w:rPr>
          <w:rFonts w:hint="cs"/>
          <w:rtl/>
        </w:rPr>
        <w:t xml:space="preserve">המספר ארבע מתחיל מהאחד, שהוא הבורא, האין סוף ברוך הוא שהיה הווה ויהיה התמיד רק אחד, וכל הבריאה היא גילוי אחדותו. </w:t>
      </w:r>
      <w:r w:rsidR="00D2457B">
        <w:rPr>
          <w:rFonts w:hint="cs"/>
          <w:rtl/>
        </w:rPr>
        <w:t>אחר כך השתיים הוא השניות, מה שיש גם נבראים בנפרד מהבורא, שלכאורה זה סותר את האחדות, ואחר כך המ</w:t>
      </w:r>
      <w:r w:rsidR="007B4D27">
        <w:rPr>
          <w:rFonts w:hint="cs"/>
          <w:rtl/>
        </w:rPr>
        <w:t>ס</w:t>
      </w:r>
      <w:r w:rsidR="00D2457B">
        <w:rPr>
          <w:rFonts w:hint="cs"/>
          <w:rtl/>
        </w:rPr>
        <w:t xml:space="preserve">פר שלוש שהוא </w:t>
      </w:r>
      <w:r w:rsidR="007B4D27">
        <w:rPr>
          <w:rFonts w:hint="cs"/>
          <w:rtl/>
        </w:rPr>
        <w:t xml:space="preserve">מלשון שלשלת </w:t>
      </w:r>
      <w:r w:rsidR="002A7D87">
        <w:rPr>
          <w:rFonts w:hint="cs"/>
          <w:rtl/>
        </w:rPr>
        <w:t xml:space="preserve">ועניינו </w:t>
      </w:r>
      <w:r w:rsidR="007B4D27">
        <w:rPr>
          <w:rFonts w:hint="cs"/>
          <w:rtl/>
        </w:rPr>
        <w:t>שהבורא והנבראים מחוברים</w:t>
      </w:r>
      <w:r w:rsidR="002A7D87">
        <w:rPr>
          <w:rFonts w:hint="cs"/>
          <w:rtl/>
        </w:rPr>
        <w:t>,</w:t>
      </w:r>
      <w:r w:rsidR="007B4D27">
        <w:rPr>
          <w:rFonts w:hint="cs"/>
          <w:rtl/>
        </w:rPr>
        <w:t xml:space="preserve"> </w:t>
      </w:r>
      <w:r w:rsidR="002A7D87">
        <w:rPr>
          <w:rFonts w:hint="cs"/>
          <w:rtl/>
        </w:rPr>
        <w:t>והסתירה בין האחדות הפשטוה המוחלטת למציאות השתיים, הנבראים, אינה מחריבה את אחדות האחד הפשוטה שאין בה מורכבות כלל, וגם לא את מציאות השתיים (וכמו שכתב על זה המורה נבוכים א' ע"ב "ישתבח מי שנצחנו שלמותו"), והארבע הוא לשון רביעה, דה</w:t>
      </w:r>
      <w:r w:rsidR="00FA0F1C">
        <w:rPr>
          <w:rFonts w:hint="cs"/>
          <w:rtl/>
        </w:rPr>
        <w:t>י</w:t>
      </w:r>
      <w:r w:rsidR="002A7D87">
        <w:rPr>
          <w:rFonts w:hint="cs"/>
          <w:rtl/>
        </w:rPr>
        <w:t>ינו זיווג, שבאש הזיווג וה</w:t>
      </w:r>
      <w:r w:rsidR="002154C6">
        <w:rPr>
          <w:rFonts w:hint="cs"/>
          <w:rtl/>
        </w:rPr>
        <w:t>חשק (שכתב המורה נבוכים ג' נ"א עיין שם)</w:t>
      </w:r>
      <w:r w:rsidR="002A7D87">
        <w:rPr>
          <w:rFonts w:hint="cs"/>
          <w:rtl/>
        </w:rPr>
        <w:t xml:space="preserve"> </w:t>
      </w:r>
      <w:r w:rsidR="00F61BC8">
        <w:rPr>
          <w:rFonts w:hint="cs"/>
          <w:rtl/>
        </w:rPr>
        <w:t>שהוא מיתת נשיקה</w:t>
      </w:r>
      <w:r w:rsidR="002154C6">
        <w:rPr>
          <w:rFonts w:hint="cs"/>
          <w:rtl/>
        </w:rPr>
        <w:t>,</w:t>
      </w:r>
      <w:r w:rsidR="00F61BC8">
        <w:rPr>
          <w:rFonts w:hint="cs"/>
          <w:rtl/>
        </w:rPr>
        <w:t xml:space="preserve"> </w:t>
      </w:r>
      <w:r w:rsidR="002A7D87">
        <w:rPr>
          <w:rFonts w:hint="cs"/>
          <w:rtl/>
        </w:rPr>
        <w:t>נשר</w:t>
      </w:r>
      <w:r w:rsidR="00FA0F1C">
        <w:rPr>
          <w:rFonts w:hint="cs"/>
          <w:rtl/>
        </w:rPr>
        <w:t>פת הסתירה ונפתרת והכל חוזר לאחדות פשוטה מוחלטת כמו שהיה בתחילה.</w:t>
      </w:r>
      <w:r w:rsidR="002154C6">
        <w:rPr>
          <w:rFonts w:hint="cs"/>
          <w:rtl/>
        </w:rPr>
        <w:t xml:space="preserve"> וכל הטבע הוא </w:t>
      </w:r>
      <w:r w:rsidR="005C3864">
        <w:rPr>
          <w:rFonts w:hint="cs"/>
          <w:rtl/>
        </w:rPr>
        <w:t xml:space="preserve">התגלות ולימוד של אותו עניין נפלא של הארבע. </w:t>
      </w:r>
      <w:r w:rsidR="00FA0F1C">
        <w:rPr>
          <w:rFonts w:hint="cs"/>
          <w:rtl/>
        </w:rPr>
        <w:t xml:space="preserve"> </w:t>
      </w:r>
    </w:p>
    <w:p w14:paraId="3ED2F610" w14:textId="7601E71F" w:rsidR="00F8787B" w:rsidRDefault="00F8787B">
      <w:pPr>
        <w:pStyle w:val="FootnoteText"/>
        <w:rPr>
          <w:rtl/>
        </w:rPr>
      </w:pPr>
      <w:r>
        <w:rPr>
          <w:rFonts w:hint="cs"/>
          <w:rtl/>
        </w:rPr>
        <w:t>עיין עוד בזה בספר הנפלא</w:t>
      </w:r>
      <w:r w:rsidR="00FB380A">
        <w:rPr>
          <w:rFonts w:hint="cs"/>
          <w:rtl/>
        </w:rPr>
        <w:t xml:space="preserve"> "</w:t>
      </w:r>
      <w:r w:rsidR="00A61358">
        <w:rPr>
          <w:rFonts w:hint="cs"/>
          <w:rtl/>
        </w:rPr>
        <w:t>זיו משנה</w:t>
      </w:r>
      <w:r w:rsidR="00FB380A">
        <w:rPr>
          <w:rFonts w:hint="cs"/>
          <w:rtl/>
        </w:rPr>
        <w:t xml:space="preserve">" </w:t>
      </w:r>
      <w:r w:rsidR="00921463">
        <w:rPr>
          <w:rFonts w:hint="cs"/>
          <w:rtl/>
        </w:rPr>
        <w:t>(</w:t>
      </w:r>
      <w:r w:rsidR="00A61358">
        <w:rPr>
          <w:rFonts w:hint="cs"/>
          <w:rtl/>
        </w:rPr>
        <w:t xml:space="preserve">נמצא </w:t>
      </w:r>
      <w:hyperlink r:id="rId92" w:history="1">
        <w:r w:rsidR="00A61358" w:rsidRPr="00A61358">
          <w:rPr>
            <w:rStyle w:val="Hyperlink"/>
            <w:rFonts w:hint="cs"/>
            <w:rtl/>
          </w:rPr>
          <w:t>כאן</w:t>
        </w:r>
      </w:hyperlink>
      <w:r w:rsidR="00A61358">
        <w:rPr>
          <w:rFonts w:hint="cs"/>
          <w:rtl/>
        </w:rPr>
        <w:t xml:space="preserve"> </w:t>
      </w:r>
      <w:r w:rsidR="00921463">
        <w:rPr>
          <w:rFonts w:hint="cs"/>
          <w:rtl/>
        </w:rPr>
        <w:t>וגם</w:t>
      </w:r>
      <w:hyperlink r:id="rId93" w:history="1">
        <w:r w:rsidR="00F9623F">
          <w:rPr>
            <w:rFonts w:hint="cs"/>
            <w:rtl/>
          </w:rPr>
          <w:t xml:space="preserve"> </w:t>
        </w:r>
        <w:r w:rsidR="00921463" w:rsidRPr="00921463">
          <w:rPr>
            <w:rStyle w:val="Hyperlink"/>
            <w:rFonts w:hint="cs"/>
            <w:rtl/>
          </w:rPr>
          <w:t>כאן</w:t>
        </w:r>
      </w:hyperlink>
      <w:r w:rsidR="00921463">
        <w:rPr>
          <w:rFonts w:hint="cs"/>
          <w:rtl/>
        </w:rPr>
        <w:t>)</w:t>
      </w:r>
      <w:r>
        <w:rPr>
          <w:rFonts w:hint="cs"/>
          <w:rtl/>
        </w:rPr>
        <w:t xml:space="preserve">, </w:t>
      </w:r>
      <w:r w:rsidR="00B74C63">
        <w:rPr>
          <w:rFonts w:hint="cs"/>
          <w:rtl/>
        </w:rPr>
        <w:t>על פרק א' מהלכות יסודי התורה.</w:t>
      </w:r>
    </w:p>
    <w:p w14:paraId="760962AB" w14:textId="77777777" w:rsidR="00DF0805" w:rsidRDefault="00DF0805">
      <w:pPr>
        <w:pStyle w:val="FootnoteText"/>
        <w:rPr>
          <w:rtl/>
        </w:rPr>
      </w:pPr>
    </w:p>
    <w:p w14:paraId="49A4173F" w14:textId="6555F81A" w:rsidR="00286677" w:rsidRPr="00286677" w:rsidRDefault="00286677">
      <w:pPr>
        <w:pStyle w:val="FootnoteText"/>
        <w:rPr>
          <w:b/>
          <w:bCs/>
          <w:rtl/>
        </w:rPr>
      </w:pPr>
      <w:r w:rsidRPr="00286677">
        <w:rPr>
          <w:b/>
          <w:bCs/>
          <w:rtl/>
        </w:rPr>
        <w:t>פיזיקה ספר ב' פרק א'</w:t>
      </w:r>
      <w:r w:rsidRPr="00286677">
        <w:rPr>
          <w:rFonts w:hint="cs"/>
          <w:b/>
          <w:bCs/>
          <w:rtl/>
        </w:rPr>
        <w:t xml:space="preserve"> </w:t>
      </w:r>
      <w:r w:rsidR="00247B61">
        <w:rPr>
          <w:rFonts w:hint="cs"/>
          <w:b/>
          <w:bCs/>
          <w:rtl/>
        </w:rPr>
        <w:t xml:space="preserve">כמעט </w:t>
      </w:r>
      <w:r w:rsidRPr="00286677">
        <w:rPr>
          <w:rFonts w:hint="cs"/>
          <w:b/>
          <w:bCs/>
          <w:rtl/>
        </w:rPr>
        <w:t>בשלמותו</w:t>
      </w:r>
    </w:p>
    <w:p w14:paraId="133F2B4A" w14:textId="289A7C6D" w:rsidR="00F46E7F" w:rsidRDefault="00DF0805">
      <w:pPr>
        <w:pStyle w:val="FootnoteText"/>
        <w:rPr>
          <w:rtl/>
        </w:rPr>
      </w:pPr>
      <w:r>
        <w:rPr>
          <w:rFonts w:hint="cs"/>
          <w:rtl/>
        </w:rPr>
        <w:t>דברי אבן סינא כאן מתייחסים לדברי אריסטו</w:t>
      </w:r>
      <w:r w:rsidRPr="00954486">
        <w:rPr>
          <w:rFonts w:hint="cs"/>
          <w:rtl/>
        </w:rPr>
        <w:t xml:space="preserve"> ב</w:t>
      </w:r>
      <w:bookmarkStart w:id="203" w:name="_Hlk105959510"/>
      <w:r w:rsidRPr="00954486">
        <w:rPr>
          <w:rFonts w:hint="cs"/>
          <w:rtl/>
        </w:rPr>
        <w:t xml:space="preserve">פיזיקה ספר </w:t>
      </w:r>
      <w:r w:rsidR="00F46E7F" w:rsidRPr="00954486">
        <w:rPr>
          <w:rFonts w:hint="cs"/>
          <w:rtl/>
        </w:rPr>
        <w:t>ב</w:t>
      </w:r>
      <w:r w:rsidRPr="00954486">
        <w:rPr>
          <w:rFonts w:hint="cs"/>
          <w:rtl/>
        </w:rPr>
        <w:t xml:space="preserve">' פרק </w:t>
      </w:r>
      <w:r w:rsidR="00F46E7F" w:rsidRPr="00954486">
        <w:rPr>
          <w:rFonts w:hint="cs"/>
          <w:rtl/>
        </w:rPr>
        <w:t>א</w:t>
      </w:r>
      <w:r w:rsidRPr="00954486">
        <w:rPr>
          <w:rFonts w:hint="cs"/>
          <w:rtl/>
        </w:rPr>
        <w:t>'</w:t>
      </w:r>
      <w:bookmarkEnd w:id="203"/>
      <w:r w:rsidR="00660B64" w:rsidRPr="00954486">
        <w:rPr>
          <w:rtl/>
        </w:rPr>
        <w:fldChar w:fldCharType="begin"/>
      </w:r>
      <w:r w:rsidR="00660B64" w:rsidRPr="00954486">
        <w:instrText xml:space="preserve"> XE "</w:instrText>
      </w:r>
      <w:r w:rsidR="00660B64" w:rsidRPr="00954486">
        <w:rPr>
          <w:rFonts w:hint="cs"/>
          <w:rtl/>
        </w:rPr>
        <w:instrText>פיזיקה ב' א' ומטאפיזיקה ד' ד', בהגדרת 'טבע', מועתקים במלואם</w:instrText>
      </w:r>
      <w:r w:rsidR="00660B64" w:rsidRPr="00954486">
        <w:instrText xml:space="preserve">" </w:instrText>
      </w:r>
      <w:r w:rsidR="00660B64" w:rsidRPr="00954486">
        <w:rPr>
          <w:rtl/>
        </w:rPr>
        <w:fldChar w:fldCharType="end"/>
      </w:r>
      <w:r w:rsidR="00F46E7F" w:rsidRPr="00954486">
        <w:rPr>
          <w:rFonts w:hint="cs"/>
          <w:rtl/>
        </w:rPr>
        <w:t>, וזה לש</w:t>
      </w:r>
      <w:r w:rsidR="00F46E7F">
        <w:rPr>
          <w:rFonts w:hint="cs"/>
          <w:rtl/>
        </w:rPr>
        <w:t>ון אריסטו שם</w:t>
      </w:r>
      <w:r w:rsidR="006B5F93">
        <w:rPr>
          <w:rFonts w:hint="cs"/>
          <w:rtl/>
        </w:rPr>
        <w:t xml:space="preserve"> (בתרגום י. לנדא)</w:t>
      </w:r>
      <w:r w:rsidR="00F46E7F">
        <w:rPr>
          <w:rFonts w:hint="cs"/>
          <w:rtl/>
        </w:rPr>
        <w:t>:</w:t>
      </w:r>
    </w:p>
    <w:p w14:paraId="77AB512B" w14:textId="3B009061" w:rsidR="005D4B7E" w:rsidRDefault="00F46E7F" w:rsidP="007436A2">
      <w:pPr>
        <w:pStyle w:val="FootnoteText"/>
        <w:rPr>
          <w:rtl/>
        </w:rPr>
      </w:pPr>
      <w:r>
        <w:rPr>
          <w:rFonts w:hint="cs"/>
          <w:rtl/>
        </w:rPr>
        <w:t>"</w:t>
      </w:r>
      <w:r w:rsidR="00AD2294">
        <w:rPr>
          <w:rFonts w:hint="cs"/>
          <w:rtl/>
        </w:rPr>
        <w:t>מב</w:t>
      </w:r>
      <w:r w:rsidR="005D4B7E">
        <w:rPr>
          <w:rtl/>
        </w:rPr>
        <w:t>ין הנמצאים אחדים הם על פי הטבע, ואחרים בשל סיבות אחרות. על פי הטבע - בעלי החיים וחלקיהם, הצמחים והפשוטים שבין הגופים, כגון עפר, אש, אוויר ומים</w:t>
      </w:r>
      <w:r w:rsidR="00900FA0">
        <w:rPr>
          <w:rFonts w:hint="cs"/>
          <w:rtl/>
        </w:rPr>
        <w:t xml:space="preserve"> [רואים כאן את החלוקה לארבעת היסודות הפשוטים, ולארבעת האופנים </w:t>
      </w:r>
      <w:r w:rsidR="00D061A4">
        <w:rPr>
          <w:rFonts w:hint="cs"/>
          <w:rtl/>
        </w:rPr>
        <w:t>שנובעים מהם במדרגה השנייה של ההשתלשלות</w:t>
      </w:r>
      <w:r w:rsidR="00DD0EE7">
        <w:rPr>
          <w:rFonts w:hint="cs"/>
          <w:rtl/>
        </w:rPr>
        <w:t>, היינו הטבע שמיוסד על חומר שהוא</w:t>
      </w:r>
      <w:r w:rsidR="00900FA0">
        <w:rPr>
          <w:rFonts w:hint="cs"/>
          <w:rtl/>
        </w:rPr>
        <w:t xml:space="preserve"> </w:t>
      </w:r>
      <w:r w:rsidR="00D061A4">
        <w:rPr>
          <w:rFonts w:hint="cs"/>
          <w:rtl/>
        </w:rPr>
        <w:t>תרכובת ארבעת היסודות</w:t>
      </w:r>
      <w:r w:rsidR="00DD0EE7">
        <w:rPr>
          <w:rFonts w:hint="cs"/>
          <w:rtl/>
        </w:rPr>
        <w:t>.</w:t>
      </w:r>
      <w:r w:rsidR="00D061A4">
        <w:rPr>
          <w:rFonts w:hint="cs"/>
          <w:rtl/>
        </w:rPr>
        <w:t xml:space="preserve"> </w:t>
      </w:r>
      <w:r w:rsidR="00923C2B">
        <w:rPr>
          <w:rFonts w:hint="cs"/>
          <w:rtl/>
        </w:rPr>
        <w:t>וזהו</w:t>
      </w:r>
      <w:r w:rsidR="00D061A4">
        <w:rPr>
          <w:rFonts w:hint="cs"/>
          <w:rtl/>
        </w:rPr>
        <w:t xml:space="preserve"> הדומם הצומח החי והמדבר</w:t>
      </w:r>
      <w:r w:rsidR="00923C2B">
        <w:rPr>
          <w:rFonts w:hint="cs"/>
          <w:rtl/>
        </w:rPr>
        <w:t>. הדומם לא נזכר כאן כי הוא לא</w:t>
      </w:r>
      <w:r w:rsidR="005B63D2">
        <w:rPr>
          <w:rFonts w:hint="cs"/>
          <w:rtl/>
        </w:rPr>
        <w:t xml:space="preserve"> </w:t>
      </w:r>
      <w:r w:rsidR="00923C2B">
        <w:rPr>
          <w:rFonts w:hint="cs"/>
          <w:rtl/>
        </w:rPr>
        <w:t xml:space="preserve">מגלה את ההבדל בינו ובין היסודות הפשוטים, </w:t>
      </w:r>
      <w:r w:rsidR="0070436B">
        <w:rPr>
          <w:rFonts w:hint="cs"/>
          <w:rtl/>
        </w:rPr>
        <w:t xml:space="preserve">וההבדל בין חי למדבר לא נזכר כאן כיוון שאינו נוגע לטבע כשלעצמו, כי מה שמיוחד </w:t>
      </w:r>
      <w:r w:rsidR="001162CA">
        <w:rPr>
          <w:rFonts w:hint="cs"/>
          <w:rtl/>
        </w:rPr>
        <w:t>ל</w:t>
      </w:r>
      <w:r w:rsidR="0070436B">
        <w:rPr>
          <w:rFonts w:hint="cs"/>
          <w:rtl/>
        </w:rPr>
        <w:t>אדם אינו השכל הטבעי אלא מה ששכלו הטבעי יכול ל</w:t>
      </w:r>
      <w:r w:rsidR="005B63D2">
        <w:rPr>
          <w:rFonts w:hint="cs"/>
          <w:rtl/>
        </w:rPr>
        <w:t>ה</w:t>
      </w:r>
      <w:r w:rsidR="001162CA">
        <w:rPr>
          <w:rFonts w:hint="cs"/>
          <w:rtl/>
        </w:rPr>
        <w:t>י</w:t>
      </w:r>
      <w:r w:rsidR="005B63D2">
        <w:rPr>
          <w:rFonts w:hint="cs"/>
          <w:rtl/>
        </w:rPr>
        <w:t>עשות שכל עיוני שמשיג את המושכלות האלוהיים שמעל הטבע</w:t>
      </w:r>
      <w:r w:rsidR="00900FA0">
        <w:rPr>
          <w:rFonts w:hint="cs"/>
          <w:rtl/>
        </w:rPr>
        <w:t>]</w:t>
      </w:r>
      <w:r w:rsidR="005D4B7E">
        <w:rPr>
          <w:rtl/>
        </w:rPr>
        <w:t xml:space="preserve">. שהרי על אלה ועל כיוצא באלה אומרים אנו שהם על פי הטבע. כל אלה שונים בבירור מהדברים שהרכבם לא על פי הטבע. כי כל אחד ואחד </w:t>
      </w:r>
      <w:r w:rsidR="005D4B7E" w:rsidRPr="001162CA">
        <w:rPr>
          <w:b/>
          <w:bCs/>
          <w:rtl/>
        </w:rPr>
        <w:t>יש לו בתוך עצמו התחלה של תנועה ומנוחה</w:t>
      </w:r>
      <w:r w:rsidR="005D4B7E">
        <w:rPr>
          <w:rtl/>
        </w:rPr>
        <w:t xml:space="preserve"> - או מבחינת המקום, או מבחינת הגדילה וההידלדלות, או מבחינת שינויי איכות. בעוד שמיטה, בגד או איזה סוג אחר מעין זה </w:t>
      </w:r>
      <w:r w:rsidR="00C72D94">
        <w:rPr>
          <w:rFonts w:hint="cs"/>
          <w:rtl/>
        </w:rPr>
        <w:t>-</w:t>
      </w:r>
      <w:r w:rsidR="005D4B7E">
        <w:rPr>
          <w:rtl/>
        </w:rPr>
        <w:t xml:space="preserve"> בתור המתוארים על ידי כל אחד מהתיאורים האלה ובמידה שהם תוצר של המלאכה - אין להם שום דחף טבוע בהם של שינוי. אך במידה שנזדמן להם להיות עשויים מאבן או מעפר או מעורבים מאלה </w:t>
      </w:r>
      <w:r w:rsidR="00DC692B">
        <w:rPr>
          <w:rFonts w:hint="cs"/>
          <w:rtl/>
        </w:rPr>
        <w:t>-</w:t>
      </w:r>
      <w:r w:rsidR="005D4B7E">
        <w:rPr>
          <w:rtl/>
        </w:rPr>
        <w:t xml:space="preserve"> יש להם [דחף כזה], אך רק במידה ז</w:t>
      </w:r>
      <w:r w:rsidR="00DC692B">
        <w:rPr>
          <w:rFonts w:hint="cs"/>
          <w:rtl/>
        </w:rPr>
        <w:t>ו</w:t>
      </w:r>
      <w:r w:rsidR="005D4B7E">
        <w:rPr>
          <w:rtl/>
        </w:rPr>
        <w:t xml:space="preserve"> - מאחר </w:t>
      </w:r>
      <w:r w:rsidR="005D4B7E" w:rsidRPr="004F6A57">
        <w:rPr>
          <w:b/>
          <w:bCs/>
          <w:rtl/>
        </w:rPr>
        <w:t>שאין הטבע אלא איזו התחלה וסיבה של היות נע והיות נח הנמצאת בדבר באופן ראשוני וכשלעצמו</w:t>
      </w:r>
      <w:r w:rsidR="005D4B7E">
        <w:rPr>
          <w:rtl/>
        </w:rPr>
        <w:t xml:space="preserve"> ולא על פי המקרה.</w:t>
      </w:r>
      <w:r w:rsidR="007436A2">
        <w:rPr>
          <w:rFonts w:hint="cs"/>
          <w:rtl/>
        </w:rPr>
        <w:t xml:space="preserve"> [...]</w:t>
      </w:r>
    </w:p>
    <w:p w14:paraId="5F7E7B08" w14:textId="77777777" w:rsidR="007670A5" w:rsidRDefault="007670A5" w:rsidP="005D4B7E">
      <w:pPr>
        <w:pStyle w:val="FootnoteText"/>
        <w:rPr>
          <w:rtl/>
        </w:rPr>
      </w:pPr>
    </w:p>
    <w:p w14:paraId="457939D9" w14:textId="25E3DFE3" w:rsidR="00A13B02" w:rsidRDefault="005D4B7E" w:rsidP="005D4B7E">
      <w:pPr>
        <w:pStyle w:val="FootnoteText"/>
        <w:rPr>
          <w:rtl/>
        </w:rPr>
      </w:pPr>
      <w:r>
        <w:rPr>
          <w:rtl/>
        </w:rPr>
        <w:t>טבע הוא אפוא מה שנאמר; ואותם דברים שיש להם התחלה כזאת יש להם טבע. וכל הדברים הללו הם עצם, שהרי העצם הוא איזה מצע, ולעולם נמצא הטבע במצע</w:t>
      </w:r>
      <w:r w:rsidR="001902D3">
        <w:rPr>
          <w:rFonts w:hint="cs"/>
          <w:rtl/>
        </w:rPr>
        <w:t xml:space="preserve"> </w:t>
      </w:r>
      <w:r w:rsidR="00550DA1">
        <w:rPr>
          <w:rFonts w:hint="cs"/>
          <w:rtl/>
        </w:rPr>
        <w:t xml:space="preserve">[האבן נופלת למטה </w:t>
      </w:r>
      <w:r w:rsidR="0013701C">
        <w:rPr>
          <w:rFonts w:hint="cs"/>
          <w:rtl/>
        </w:rPr>
        <w:t xml:space="preserve">מטבעה </w:t>
      </w:r>
      <w:r w:rsidR="00550DA1">
        <w:rPr>
          <w:rFonts w:hint="cs"/>
          <w:rtl/>
        </w:rPr>
        <w:t xml:space="preserve">מצד החומר שלה ולא מצד הצורה שלה. </w:t>
      </w:r>
      <w:r w:rsidR="0013701C">
        <w:rPr>
          <w:rFonts w:hint="cs"/>
          <w:rtl/>
        </w:rPr>
        <w:t xml:space="preserve">וכן כל בעלי החיים נופלים למטה מטבעם מצד החומר שלהם  </w:t>
      </w:r>
      <w:r w:rsidR="00372E19">
        <w:rPr>
          <w:rFonts w:hint="cs"/>
          <w:rtl/>
        </w:rPr>
        <w:t>ולא</w:t>
      </w:r>
      <w:r w:rsidR="0013701C">
        <w:rPr>
          <w:rFonts w:hint="cs"/>
          <w:rtl/>
        </w:rPr>
        <w:t xml:space="preserve"> מצד צורתם</w:t>
      </w:r>
      <w:r w:rsidR="00550DA1">
        <w:rPr>
          <w:rFonts w:hint="cs"/>
          <w:rtl/>
        </w:rPr>
        <w:t>]</w:t>
      </w:r>
      <w:r>
        <w:rPr>
          <w:rtl/>
        </w:rPr>
        <w:t xml:space="preserve">. לפי הטבע הם דברים אלה וכל מה ששייך להם כשלעצמם, למשל: התנועה כלפי מעלה </w:t>
      </w:r>
      <w:r w:rsidR="00ED5763">
        <w:rPr>
          <w:rFonts w:hint="cs"/>
          <w:rtl/>
        </w:rPr>
        <w:t>-</w:t>
      </w:r>
      <w:r>
        <w:rPr>
          <w:rtl/>
        </w:rPr>
        <w:t xml:space="preserve"> לאש. שהרי זה אינו טבע ואף אין לו טבע, אך הוא על פי הטבע או לפי הטבע</w:t>
      </w:r>
      <w:r w:rsidR="00665207" w:rsidRPr="00665207">
        <w:rPr>
          <w:rtl/>
        </w:rPr>
        <w:t xml:space="preserve"> [התנועה כלפי מטה מצד עצמה אינה עצם, ולכן היא לא טבע ואין לה טבע</w:t>
      </w:r>
      <w:r w:rsidR="00665207">
        <w:rPr>
          <w:rFonts w:hint="cs"/>
          <w:rtl/>
        </w:rPr>
        <w:t>, ואינה כמו אבן שהיא טבע</w:t>
      </w:r>
      <w:r w:rsidR="00874520">
        <w:rPr>
          <w:rFonts w:hint="cs"/>
          <w:rtl/>
        </w:rPr>
        <w:t>, כלומר יש בה התחלת תנועה ומנוחה,</w:t>
      </w:r>
      <w:r w:rsidR="00665207">
        <w:rPr>
          <w:rFonts w:hint="cs"/>
          <w:rtl/>
        </w:rPr>
        <w:t xml:space="preserve"> ויש לה טבע ליפול, או בעל חיים שהוא טבע ויש לו טבע לנוע מרצונו</w:t>
      </w:r>
      <w:r w:rsidR="00665207" w:rsidRPr="00665207">
        <w:rPr>
          <w:rtl/>
        </w:rPr>
        <w:t>]</w:t>
      </w:r>
      <w:r>
        <w:rPr>
          <w:rtl/>
        </w:rPr>
        <w:t>. מהו אפוא הטבע נאמר, וכמו כן מהו 'על פי הטבע</w:t>
      </w:r>
      <w:r w:rsidR="00044232">
        <w:rPr>
          <w:rFonts w:hint="cs"/>
          <w:rtl/>
        </w:rPr>
        <w:t>'</w:t>
      </w:r>
      <w:r>
        <w:rPr>
          <w:rtl/>
        </w:rPr>
        <w:t xml:space="preserve"> ו</w:t>
      </w:r>
      <w:r w:rsidR="00044232">
        <w:rPr>
          <w:rFonts w:hint="cs"/>
          <w:rtl/>
        </w:rPr>
        <w:t>'</w:t>
      </w:r>
      <w:r>
        <w:rPr>
          <w:rtl/>
        </w:rPr>
        <w:t xml:space="preserve">לפי הטבע'. </w:t>
      </w:r>
      <w:bookmarkStart w:id="204" w:name="_Hlk101459653"/>
      <w:r w:rsidR="00A13B02">
        <w:rPr>
          <w:rFonts w:hint="cs"/>
          <w:rtl/>
        </w:rPr>
        <w:t>[...]</w:t>
      </w:r>
    </w:p>
    <w:bookmarkEnd w:id="204"/>
    <w:p w14:paraId="246F89FF" w14:textId="77777777" w:rsidR="001D0CAB" w:rsidRDefault="00A13B02" w:rsidP="00ED4340">
      <w:pPr>
        <w:pStyle w:val="FootnoteText"/>
        <w:rPr>
          <w:rtl/>
        </w:rPr>
      </w:pPr>
      <w:r>
        <w:rPr>
          <w:rFonts w:hint="cs"/>
          <w:rtl/>
        </w:rPr>
        <w:t>לאחדים</w:t>
      </w:r>
      <w:r w:rsidR="005D4B7E">
        <w:rPr>
          <w:rtl/>
        </w:rPr>
        <w:t xml:space="preserve"> נראה שהטבע או ההוויה של הנמצאים על פי הטבע </w:t>
      </w:r>
      <w:r w:rsidR="00A900F6">
        <w:rPr>
          <w:rFonts w:hint="cs"/>
          <w:rtl/>
        </w:rPr>
        <w:t xml:space="preserve">היא המרכיב הקרוב </w:t>
      </w:r>
      <w:r w:rsidR="006A0CA2">
        <w:rPr>
          <w:rFonts w:hint="cs"/>
          <w:rtl/>
        </w:rPr>
        <w:t xml:space="preserve">- חסר עיצוב כשלעצמו - </w:t>
      </w:r>
      <w:r w:rsidR="00D10441">
        <w:rPr>
          <w:rFonts w:hint="cs"/>
          <w:rtl/>
        </w:rPr>
        <w:t xml:space="preserve">בכל דבר ודבר. </w:t>
      </w:r>
      <w:r w:rsidR="005D4B7E">
        <w:rPr>
          <w:rtl/>
        </w:rPr>
        <w:t>למשל; הע</w:t>
      </w:r>
      <w:r w:rsidR="00CC1F96">
        <w:rPr>
          <w:rFonts w:hint="cs"/>
          <w:rtl/>
        </w:rPr>
        <w:t>ץ</w:t>
      </w:r>
      <w:r w:rsidR="005D4B7E">
        <w:rPr>
          <w:rtl/>
        </w:rPr>
        <w:t xml:space="preserve"> הוא טבע המיטה והנחושת של הפסל. (סימן לכך,</w:t>
      </w:r>
      <w:r w:rsidR="00A076AC">
        <w:rPr>
          <w:rFonts w:hint="cs"/>
          <w:rtl/>
        </w:rPr>
        <w:t xml:space="preserve"> </w:t>
      </w:r>
      <w:r w:rsidR="005D4B7E">
        <w:rPr>
          <w:rtl/>
        </w:rPr>
        <w:t>אומר אנטיפון, ה</w:t>
      </w:r>
      <w:r w:rsidR="00A076AC">
        <w:rPr>
          <w:rFonts w:hint="cs"/>
          <w:rtl/>
        </w:rPr>
        <w:t xml:space="preserve">וא שאם </w:t>
      </w:r>
      <w:r w:rsidR="005D4B7E">
        <w:rPr>
          <w:rtl/>
        </w:rPr>
        <w:t xml:space="preserve">יקבור אדם מיטה באדמה וברקב תיווצר </w:t>
      </w:r>
      <w:r w:rsidR="00F94BD6">
        <w:rPr>
          <w:rFonts w:hint="cs"/>
          <w:rtl/>
        </w:rPr>
        <w:t>יכולת ללבלב</w:t>
      </w:r>
      <w:r w:rsidR="005D4B7E">
        <w:rPr>
          <w:rtl/>
        </w:rPr>
        <w:t xml:space="preserve">, לא תיווצר אז מיטה אלא עץ, כך שהאחד </w:t>
      </w:r>
      <w:r w:rsidR="00ED4340">
        <w:rPr>
          <w:rFonts w:hint="cs"/>
          <w:rtl/>
        </w:rPr>
        <w:t>ש</w:t>
      </w:r>
      <w:r w:rsidR="005D4B7E">
        <w:rPr>
          <w:rtl/>
        </w:rPr>
        <w:t>ייך לדבר</w:t>
      </w:r>
      <w:r w:rsidR="00ED4340">
        <w:rPr>
          <w:rFonts w:hint="cs"/>
          <w:rtl/>
        </w:rPr>
        <w:t xml:space="preserve"> על פי </w:t>
      </w:r>
      <w:r w:rsidR="005D4B7E">
        <w:rPr>
          <w:rtl/>
        </w:rPr>
        <w:t xml:space="preserve">המקרה </w:t>
      </w:r>
      <w:r w:rsidR="00ED4340">
        <w:rPr>
          <w:rFonts w:hint="cs"/>
          <w:rtl/>
        </w:rPr>
        <w:t>-</w:t>
      </w:r>
      <w:r w:rsidR="005D4B7E">
        <w:rPr>
          <w:rtl/>
        </w:rPr>
        <w:t xml:space="preserve"> עיצוב שעל פי הסכם והאומנות - בעוד שההוויה ה</w:t>
      </w:r>
      <w:r w:rsidR="001D0CAB">
        <w:rPr>
          <w:rFonts w:hint="cs"/>
          <w:rtl/>
        </w:rPr>
        <w:t>יא</w:t>
      </w:r>
      <w:r w:rsidR="005D4B7E">
        <w:rPr>
          <w:rtl/>
        </w:rPr>
        <w:t xml:space="preserve"> אותו דבר שמתמיד ונושא את העיצובים האלה ברציפות.). </w:t>
      </w:r>
    </w:p>
    <w:p w14:paraId="4569AB96" w14:textId="77777777" w:rsidR="00855A24" w:rsidRDefault="005D4B7E" w:rsidP="00ED4340">
      <w:pPr>
        <w:pStyle w:val="FootnoteText"/>
        <w:rPr>
          <w:rtl/>
        </w:rPr>
      </w:pPr>
      <w:r>
        <w:rPr>
          <w:rtl/>
        </w:rPr>
        <w:t xml:space="preserve">גם כל אחד מאלה עומד באותו יחס לדבר מה אחר </w:t>
      </w:r>
      <w:r w:rsidR="009B68DC">
        <w:rPr>
          <w:rFonts w:hint="cs"/>
          <w:rtl/>
        </w:rPr>
        <w:t>-</w:t>
      </w:r>
      <w:r>
        <w:rPr>
          <w:rtl/>
        </w:rPr>
        <w:t xml:space="preserve"> כנחושת </w:t>
      </w:r>
      <w:r w:rsidR="009B68DC">
        <w:rPr>
          <w:rFonts w:hint="cs"/>
          <w:rtl/>
        </w:rPr>
        <w:t>וכ</w:t>
      </w:r>
      <w:r>
        <w:rPr>
          <w:rtl/>
        </w:rPr>
        <w:t>זהב, למשל, ביחס למים</w:t>
      </w:r>
      <w:r w:rsidR="00B62A2F">
        <w:rPr>
          <w:rFonts w:hint="cs"/>
          <w:rtl/>
        </w:rPr>
        <w:t xml:space="preserve"> [</w:t>
      </w:r>
      <w:r w:rsidR="00A3154E">
        <w:rPr>
          <w:rFonts w:hint="cs"/>
          <w:rtl/>
        </w:rPr>
        <w:t>כל דבר שהוא חומר</w:t>
      </w:r>
      <w:r w:rsidR="005F0FBF">
        <w:rPr>
          <w:rFonts w:hint="cs"/>
          <w:rtl/>
        </w:rPr>
        <w:t xml:space="preserve"> למשהו אחר</w:t>
      </w:r>
      <w:r w:rsidR="00A3154E">
        <w:rPr>
          <w:rFonts w:hint="cs"/>
          <w:rtl/>
        </w:rPr>
        <w:t xml:space="preserve">, הוא גם עצם בעל צורה שיש לו חומר </w:t>
      </w:r>
      <w:r w:rsidR="005F0FBF">
        <w:rPr>
          <w:rFonts w:hint="cs"/>
          <w:rtl/>
        </w:rPr>
        <w:t xml:space="preserve">משלו, וכך </w:t>
      </w:r>
      <w:r w:rsidR="00A3154E">
        <w:rPr>
          <w:rFonts w:hint="cs"/>
          <w:rtl/>
        </w:rPr>
        <w:t xml:space="preserve">עד החומר הראשון. </w:t>
      </w:r>
      <w:r w:rsidR="000A0D80">
        <w:rPr>
          <w:rFonts w:hint="cs"/>
          <w:rtl/>
        </w:rPr>
        <w:t>למשל בשר הוא החומ</w:t>
      </w:r>
      <w:r w:rsidR="00892ED7">
        <w:rPr>
          <w:rFonts w:hint="cs"/>
          <w:rtl/>
        </w:rPr>
        <w:t>ר</w:t>
      </w:r>
      <w:r w:rsidR="000A0D80">
        <w:rPr>
          <w:rFonts w:hint="cs"/>
          <w:rtl/>
        </w:rPr>
        <w:t xml:space="preserve"> של בעל החיים, והוא גם עצם שהחומר שלו הוא עפר</w:t>
      </w:r>
      <w:r w:rsidR="00892ED7">
        <w:rPr>
          <w:rFonts w:hint="cs"/>
          <w:rtl/>
        </w:rPr>
        <w:t xml:space="preserve"> ואש, וכן הלאה</w:t>
      </w:r>
      <w:r w:rsidR="00FF2EE8">
        <w:rPr>
          <w:rFonts w:hint="cs"/>
          <w:rtl/>
        </w:rPr>
        <w:t>. לפי אריסטו זהב</w:t>
      </w:r>
      <w:r w:rsidR="000B1D5B">
        <w:rPr>
          <w:rFonts w:hint="cs"/>
          <w:rtl/>
        </w:rPr>
        <w:t xml:space="preserve"> </w:t>
      </w:r>
      <w:r w:rsidR="00FF2EE8">
        <w:rPr>
          <w:rFonts w:hint="cs"/>
          <w:rtl/>
        </w:rPr>
        <w:t>ונחושת החומר שלהם הוא מים, ולא כאן המקום להאריך בביאור דבר זה</w:t>
      </w:r>
      <w:r w:rsidR="00B62A2F">
        <w:rPr>
          <w:rFonts w:hint="cs"/>
          <w:rtl/>
        </w:rPr>
        <w:t>]</w:t>
      </w:r>
      <w:r>
        <w:rPr>
          <w:rtl/>
        </w:rPr>
        <w:t>, העצמות והעצים ביחס לעפר, ובדומה ל</w:t>
      </w:r>
      <w:r w:rsidR="00D34244">
        <w:rPr>
          <w:rFonts w:hint="cs"/>
          <w:rtl/>
        </w:rPr>
        <w:t>כך דבר</w:t>
      </w:r>
      <w:r>
        <w:rPr>
          <w:rtl/>
        </w:rPr>
        <w:t xml:space="preserve"> כלשהו מבין שאר הדברים - יהיו האחרונים הטבע וההוויה של אלה. לכן אומרים אחדים שהטבע של הנמצאים ה</w:t>
      </w:r>
      <w:r w:rsidR="00D93988">
        <w:rPr>
          <w:rFonts w:hint="cs"/>
          <w:rtl/>
        </w:rPr>
        <w:t>ו</w:t>
      </w:r>
      <w:r>
        <w:rPr>
          <w:rtl/>
        </w:rPr>
        <w:t xml:space="preserve">א אש, אחרים </w:t>
      </w:r>
      <w:r w:rsidR="00D93988">
        <w:rPr>
          <w:rFonts w:hint="cs"/>
          <w:rtl/>
        </w:rPr>
        <w:t>-</w:t>
      </w:r>
      <w:r>
        <w:rPr>
          <w:rtl/>
        </w:rPr>
        <w:t xml:space="preserve"> עפר, אחדים </w:t>
      </w:r>
      <w:r w:rsidR="00D93988">
        <w:rPr>
          <w:rFonts w:hint="cs"/>
          <w:rtl/>
        </w:rPr>
        <w:t>-</w:t>
      </w:r>
      <w:r>
        <w:rPr>
          <w:rtl/>
        </w:rPr>
        <w:t xml:space="preserve"> אוויר, אחדים - מים, אחדים </w:t>
      </w:r>
      <w:r w:rsidR="00E5552E">
        <w:rPr>
          <w:rFonts w:hint="cs"/>
          <w:rtl/>
        </w:rPr>
        <w:t xml:space="preserve">- </w:t>
      </w:r>
      <w:r w:rsidR="00D93988">
        <w:rPr>
          <w:rFonts w:hint="cs"/>
          <w:rtl/>
        </w:rPr>
        <w:t>כ</w:t>
      </w:r>
      <w:r>
        <w:rPr>
          <w:rtl/>
        </w:rPr>
        <w:t xml:space="preserve">מה מאלה, ואחדים </w:t>
      </w:r>
      <w:r w:rsidR="00E5552E">
        <w:rPr>
          <w:rFonts w:hint="cs"/>
          <w:rtl/>
        </w:rPr>
        <w:t>-</w:t>
      </w:r>
      <w:r>
        <w:rPr>
          <w:rtl/>
        </w:rPr>
        <w:t xml:space="preserve"> כל אלה. כי את מה שמישהו מהם הניח </w:t>
      </w:r>
      <w:r w:rsidR="00832891">
        <w:rPr>
          <w:rFonts w:hint="cs"/>
          <w:rtl/>
        </w:rPr>
        <w:t>כ</w:t>
      </w:r>
      <w:r>
        <w:rPr>
          <w:rtl/>
        </w:rPr>
        <w:t>כזה (בין אם אחד בין אם יותר) הוא מעמיד כהוויה כולה ואת כל השאר כתכונות, מצבים או עיצובים שלו, ובעד שהוא עצמו נצחי (שהרי אין לו שינוי אל מחוץ לעצמו), שאר הדברים מתהווים וכלים עד אי</w:t>
      </w:r>
      <w:r w:rsidR="00855A24">
        <w:rPr>
          <w:rFonts w:hint="cs"/>
          <w:rtl/>
        </w:rPr>
        <w:t xml:space="preserve">ן </w:t>
      </w:r>
      <w:r>
        <w:rPr>
          <w:rtl/>
        </w:rPr>
        <w:t xml:space="preserve">סוף. </w:t>
      </w:r>
    </w:p>
    <w:p w14:paraId="4D3591F1" w14:textId="091C084A" w:rsidR="005D4B7E" w:rsidRDefault="005D4B7E" w:rsidP="006C57DC">
      <w:pPr>
        <w:pStyle w:val="FootnoteText"/>
        <w:rPr>
          <w:rtl/>
        </w:rPr>
      </w:pPr>
      <w:r>
        <w:rPr>
          <w:rtl/>
        </w:rPr>
        <w:t xml:space="preserve">באופן אחד מכונה הטבע כך: החומר הראשוני המשמש כמצע לכל דבר מן הדברים שיש להם התחלה של תנועה ושל שינוי בהם </w:t>
      </w:r>
      <w:r w:rsidR="002019FF">
        <w:rPr>
          <w:rFonts w:hint="cs"/>
          <w:rtl/>
        </w:rPr>
        <w:t>עצ</w:t>
      </w:r>
      <w:r>
        <w:rPr>
          <w:rtl/>
        </w:rPr>
        <w:t>מם; אך באופן אחר - התבנית והצורה שעל פי ההגדרה. כי כשם שמה שעל פי האומנות ומה שאומנותי נקרא 'אומנות', כך מה שלפי הטבע וטבעי הוא '</w:t>
      </w:r>
      <w:r w:rsidR="006F4D37">
        <w:rPr>
          <w:rFonts w:hint="cs"/>
          <w:rtl/>
        </w:rPr>
        <w:t>ט</w:t>
      </w:r>
      <w:r>
        <w:rPr>
          <w:rtl/>
        </w:rPr>
        <w:t>בע</w:t>
      </w:r>
      <w:r w:rsidR="006F4D37">
        <w:rPr>
          <w:rFonts w:hint="cs"/>
          <w:rtl/>
        </w:rPr>
        <w:t>'</w:t>
      </w:r>
      <w:r>
        <w:rPr>
          <w:rtl/>
        </w:rPr>
        <w:t>. ואם שם לא נאמר עדיין, שמשהו הוא על פ</w:t>
      </w:r>
      <w:r w:rsidR="007C5254">
        <w:rPr>
          <w:rFonts w:hint="cs"/>
          <w:rtl/>
        </w:rPr>
        <w:t>י</w:t>
      </w:r>
      <w:r>
        <w:rPr>
          <w:rtl/>
        </w:rPr>
        <w:t xml:space="preserve"> האומנות - ואף לא שהוא אומנות - אם הוא מיטה רק בכוח </w:t>
      </w:r>
      <w:r w:rsidR="00AB3252">
        <w:rPr>
          <w:rFonts w:hint="cs"/>
          <w:rtl/>
        </w:rPr>
        <w:t>והו</w:t>
      </w:r>
      <w:r>
        <w:rPr>
          <w:rtl/>
        </w:rPr>
        <w:t xml:space="preserve">א חסר עדיין את צורת המיטה, הוא הדין בדברים המורכבים </w:t>
      </w:r>
      <w:r w:rsidR="00AB3252">
        <w:rPr>
          <w:rFonts w:hint="cs"/>
          <w:rtl/>
        </w:rPr>
        <w:t>ב</w:t>
      </w:r>
      <w:r>
        <w:rPr>
          <w:rtl/>
        </w:rPr>
        <w:t>אופן טבעי. העצמות או הבשר בכוח, לפני שיקבלו את הצורה ל</w:t>
      </w:r>
      <w:r w:rsidR="005A45F1">
        <w:rPr>
          <w:rFonts w:hint="cs"/>
          <w:rtl/>
        </w:rPr>
        <w:t>שעל</w:t>
      </w:r>
      <w:r>
        <w:rPr>
          <w:rtl/>
        </w:rPr>
        <w:t xml:space="preserve"> פי ההגדרה - אשר בהגדירנו אותה אומרים אנו מה הוא בשר </w:t>
      </w:r>
      <w:r w:rsidR="000E74E1">
        <w:rPr>
          <w:rFonts w:hint="cs"/>
          <w:rtl/>
        </w:rPr>
        <w:t>או עצם -</w:t>
      </w:r>
      <w:r>
        <w:rPr>
          <w:rtl/>
        </w:rPr>
        <w:t xml:space="preserve"> עדיין חסרים את הטבע שלהם עצמם ואף אין הם על פי</w:t>
      </w:r>
      <w:r w:rsidR="0030032F">
        <w:rPr>
          <w:rFonts w:hint="cs"/>
          <w:rtl/>
        </w:rPr>
        <w:t xml:space="preserve"> הטבע.</w:t>
      </w:r>
      <w:r>
        <w:rPr>
          <w:rtl/>
        </w:rPr>
        <w:t xml:space="preserve"> כך שבאופן אחר יהיה הטבע: התבנית והצורה של הדברים </w:t>
      </w:r>
      <w:r w:rsidR="006511BF">
        <w:rPr>
          <w:rFonts w:hint="cs"/>
          <w:rtl/>
        </w:rPr>
        <w:t xml:space="preserve">שיש להם בהם </w:t>
      </w:r>
      <w:r>
        <w:rPr>
          <w:rtl/>
        </w:rPr>
        <w:t xml:space="preserve">עצמם התחלה של תנועה, כשהצורה אינה נפרדת, </w:t>
      </w:r>
      <w:r w:rsidR="006C57DC">
        <w:rPr>
          <w:rFonts w:hint="cs"/>
          <w:rtl/>
        </w:rPr>
        <w:t>אלא אם כן מבחינת ההגדרה</w:t>
      </w:r>
      <w:r w:rsidR="003B0B40">
        <w:rPr>
          <w:rFonts w:hint="cs"/>
          <w:rtl/>
        </w:rPr>
        <w:t>.</w:t>
      </w:r>
      <w:r w:rsidR="006C57DC">
        <w:rPr>
          <w:rFonts w:hint="cs"/>
          <w:rtl/>
        </w:rPr>
        <w:t xml:space="preserve"> </w:t>
      </w:r>
      <w:r>
        <w:rPr>
          <w:rtl/>
        </w:rPr>
        <w:t>(מה שמורכב מהצורה והחומר אינו טבע אלא על פי הטבע, אדם למשל.</w:t>
      </w:r>
      <w:r w:rsidR="00770B56">
        <w:rPr>
          <w:rFonts w:hint="cs"/>
          <w:rtl/>
        </w:rPr>
        <w:t xml:space="preserve"> [ההתחלה של תנועה</w:t>
      </w:r>
      <w:r w:rsidR="004609FA">
        <w:rPr>
          <w:rFonts w:hint="cs"/>
          <w:rtl/>
        </w:rPr>
        <w:t xml:space="preserve"> ומנוחה,</w:t>
      </w:r>
      <w:r w:rsidR="00770B56">
        <w:rPr>
          <w:rFonts w:hint="cs"/>
          <w:rtl/>
        </w:rPr>
        <w:t xml:space="preserve"> שהיא ההגדרה</w:t>
      </w:r>
      <w:r w:rsidR="004609FA">
        <w:rPr>
          <w:rFonts w:hint="cs"/>
          <w:rtl/>
        </w:rPr>
        <w:t xml:space="preserve"> </w:t>
      </w:r>
      <w:r w:rsidR="00770B56">
        <w:rPr>
          <w:rFonts w:hint="cs"/>
          <w:rtl/>
        </w:rPr>
        <w:t>של 'טבע'</w:t>
      </w:r>
      <w:r w:rsidR="004609FA">
        <w:rPr>
          <w:rFonts w:hint="cs"/>
          <w:rtl/>
        </w:rPr>
        <w:t>,</w:t>
      </w:r>
      <w:r w:rsidR="00770B56">
        <w:rPr>
          <w:rFonts w:hint="cs"/>
          <w:rtl/>
        </w:rPr>
        <w:t xml:space="preserve"> נמצאת בצורת האדם, בנפשו החיה, ו</w:t>
      </w:r>
      <w:r w:rsidR="00335990">
        <w:rPr>
          <w:rFonts w:hint="cs"/>
          <w:rtl/>
        </w:rPr>
        <w:t>לא</w:t>
      </w:r>
      <w:r w:rsidR="00770B56">
        <w:rPr>
          <w:rFonts w:hint="cs"/>
          <w:rtl/>
        </w:rPr>
        <w:t xml:space="preserve"> בחומר הדומם שממנו הוא עשוי דהיינו הבשר</w:t>
      </w:r>
      <w:r w:rsidR="00335990">
        <w:rPr>
          <w:rFonts w:hint="cs"/>
          <w:rtl/>
        </w:rPr>
        <w:t>. לכן צורתו היא ה</w:t>
      </w:r>
      <w:r w:rsidR="006A096C">
        <w:rPr>
          <w:rFonts w:hint="cs"/>
          <w:rtl/>
        </w:rPr>
        <w:t>'</w:t>
      </w:r>
      <w:r w:rsidR="00335990">
        <w:rPr>
          <w:rFonts w:hint="cs"/>
          <w:rtl/>
        </w:rPr>
        <w:t>טבע</w:t>
      </w:r>
      <w:r w:rsidR="006A096C">
        <w:rPr>
          <w:rFonts w:hint="cs"/>
          <w:rtl/>
        </w:rPr>
        <w:t>'</w:t>
      </w:r>
      <w:r w:rsidR="00335990">
        <w:rPr>
          <w:rFonts w:hint="cs"/>
          <w:rtl/>
        </w:rPr>
        <w:t>, ומה שהוא פו</w:t>
      </w:r>
      <w:r w:rsidR="006A096C">
        <w:rPr>
          <w:rFonts w:hint="cs"/>
          <w:rtl/>
        </w:rPr>
        <w:t>ע</w:t>
      </w:r>
      <w:r w:rsidR="00335990">
        <w:rPr>
          <w:rFonts w:hint="cs"/>
          <w:rtl/>
        </w:rPr>
        <w:t xml:space="preserve">ל או נח כעצם שיש בו גם חומר, זה רק </w:t>
      </w:r>
      <w:r w:rsidR="006A096C">
        <w:rPr>
          <w:rFonts w:hint="cs"/>
          <w:rtl/>
        </w:rPr>
        <w:t>'</w:t>
      </w:r>
      <w:r w:rsidR="00335990">
        <w:rPr>
          <w:rFonts w:hint="cs"/>
          <w:rtl/>
        </w:rPr>
        <w:t>על פי הטבע</w:t>
      </w:r>
      <w:r w:rsidR="006A096C">
        <w:rPr>
          <w:rFonts w:hint="cs"/>
          <w:rtl/>
        </w:rPr>
        <w:t>'</w:t>
      </w:r>
      <w:r w:rsidR="00335990">
        <w:rPr>
          <w:rFonts w:hint="cs"/>
          <w:rtl/>
        </w:rPr>
        <w:t xml:space="preserve"> </w:t>
      </w:r>
      <w:r w:rsidR="006A096C">
        <w:rPr>
          <w:rFonts w:hint="cs"/>
          <w:rtl/>
        </w:rPr>
        <w:t>ולא מציאות</w:t>
      </w:r>
      <w:r w:rsidR="00335990">
        <w:rPr>
          <w:rFonts w:hint="cs"/>
          <w:rtl/>
        </w:rPr>
        <w:t xml:space="preserve"> הטבע עצמו, כי החומר אינו הטבע אלא מתנה</w:t>
      </w:r>
      <w:r w:rsidR="006A096C">
        <w:rPr>
          <w:rFonts w:hint="cs"/>
          <w:rtl/>
        </w:rPr>
        <w:t>ג</w:t>
      </w:r>
      <w:r w:rsidR="00335990">
        <w:rPr>
          <w:rFonts w:hint="cs"/>
          <w:rtl/>
        </w:rPr>
        <w:t xml:space="preserve"> על פי הטבע, בכך שהוא מתנה</w:t>
      </w:r>
      <w:r w:rsidR="006A096C">
        <w:rPr>
          <w:rFonts w:hint="cs"/>
          <w:rtl/>
        </w:rPr>
        <w:t>ג</w:t>
      </w:r>
      <w:r w:rsidR="00335990">
        <w:rPr>
          <w:rFonts w:hint="cs"/>
          <w:rtl/>
        </w:rPr>
        <w:t xml:space="preserve"> ל</w:t>
      </w:r>
      <w:r w:rsidR="006A096C">
        <w:rPr>
          <w:rFonts w:hint="cs"/>
          <w:rtl/>
        </w:rPr>
        <w:t>פ</w:t>
      </w:r>
      <w:r w:rsidR="00335990">
        <w:rPr>
          <w:rFonts w:hint="cs"/>
          <w:rtl/>
        </w:rPr>
        <w:t>י הצורה, הנפש החיה</w:t>
      </w:r>
      <w:r w:rsidR="00770B56">
        <w:rPr>
          <w:rFonts w:hint="cs"/>
          <w:rtl/>
        </w:rPr>
        <w:t>]</w:t>
      </w:r>
      <w:r>
        <w:rPr>
          <w:rtl/>
        </w:rPr>
        <w:t>) והצורה היא יותר טבע מן החומר, שהרי על כל דבר אומרים שהוא משהו מסוים כאשר הוא בפועל יותר מאשר בשעה שהוא בכוח.</w:t>
      </w:r>
      <w:r w:rsidR="008D4050">
        <w:rPr>
          <w:rFonts w:hint="cs"/>
          <w:rtl/>
        </w:rPr>
        <w:t>"</w:t>
      </w:r>
    </w:p>
    <w:p w14:paraId="491909E2" w14:textId="77777777" w:rsidR="00594916" w:rsidRDefault="008D4050" w:rsidP="00AD2294">
      <w:pPr>
        <w:pStyle w:val="FootnoteText"/>
        <w:rPr>
          <w:rtl/>
        </w:rPr>
      </w:pPr>
      <w:r>
        <w:rPr>
          <w:rFonts w:hint="cs"/>
          <w:rtl/>
        </w:rPr>
        <w:t xml:space="preserve">עד כאן לשון אריסטו בפיזיקה ב' א' </w:t>
      </w:r>
      <w:r w:rsidR="00EA7E11">
        <w:rPr>
          <w:rFonts w:hint="cs"/>
          <w:rtl/>
        </w:rPr>
        <w:t>ועיין עוד שם</w:t>
      </w:r>
      <w:r>
        <w:rPr>
          <w:rFonts w:hint="cs"/>
          <w:rtl/>
        </w:rPr>
        <w:t xml:space="preserve"> בכל הפרק ובכל המשך הדברים.</w:t>
      </w:r>
    </w:p>
    <w:p w14:paraId="4D640CA0" w14:textId="77777777" w:rsidR="00F32050" w:rsidRDefault="00F32050" w:rsidP="00AD2294">
      <w:pPr>
        <w:pStyle w:val="FootnoteText"/>
        <w:rPr>
          <w:rtl/>
        </w:rPr>
      </w:pPr>
    </w:p>
    <w:p w14:paraId="2A94645F" w14:textId="3E7EE952" w:rsidR="00495958" w:rsidRDefault="00495958" w:rsidP="00AD2294">
      <w:pPr>
        <w:pStyle w:val="FootnoteText"/>
        <w:rPr>
          <w:rtl/>
        </w:rPr>
      </w:pPr>
      <w:r>
        <w:rPr>
          <w:rFonts w:hint="cs"/>
          <w:rtl/>
        </w:rPr>
        <w:t xml:space="preserve">אריסטו כתב במטאפיזיקה </w:t>
      </w:r>
      <w:r w:rsidR="006B2551">
        <w:rPr>
          <w:rFonts w:hint="cs"/>
          <w:rtl/>
        </w:rPr>
        <w:t xml:space="preserve">ספר </w:t>
      </w:r>
      <w:r>
        <w:rPr>
          <w:rFonts w:hint="cs"/>
          <w:rtl/>
        </w:rPr>
        <w:t>דלתא פרק ד' פרק מקביל, ואני מעתיק לכאן גם אותו במלואו, משום השינויים, ובעיקר כי הוא מתורגם על ידי מרסל דיבואה ואביטל וולמן</w:t>
      </w:r>
      <w:r w:rsidR="0070700A">
        <w:rPr>
          <w:rFonts w:hint="cs"/>
          <w:rtl/>
        </w:rPr>
        <w:t>.</w:t>
      </w:r>
    </w:p>
    <w:p w14:paraId="27E9FFE7" w14:textId="77777777" w:rsidR="00E70280" w:rsidRDefault="00E70280" w:rsidP="00AD2294">
      <w:pPr>
        <w:pStyle w:val="FootnoteText"/>
        <w:rPr>
          <w:rtl/>
        </w:rPr>
      </w:pPr>
    </w:p>
    <w:p w14:paraId="0E139855" w14:textId="1AFCF040" w:rsidR="00495958" w:rsidRPr="00420710" w:rsidRDefault="006B2551" w:rsidP="00AD2294">
      <w:pPr>
        <w:pStyle w:val="FootnoteText"/>
        <w:rPr>
          <w:b/>
          <w:bCs/>
          <w:rtl/>
        </w:rPr>
      </w:pPr>
      <w:r w:rsidRPr="0070700A">
        <w:rPr>
          <w:rFonts w:hint="cs"/>
          <w:b/>
          <w:bCs/>
          <w:rtl/>
        </w:rPr>
        <w:t>מטאפיזיקה דלתא פרק ד'</w:t>
      </w:r>
      <w:r w:rsidR="0070700A" w:rsidRPr="0070700A">
        <w:rPr>
          <w:rFonts w:hint="cs"/>
          <w:b/>
          <w:bCs/>
          <w:rtl/>
        </w:rPr>
        <w:t xml:space="preserve"> בשלמותו</w:t>
      </w:r>
      <w:r w:rsidRPr="00420710">
        <w:rPr>
          <w:rFonts w:hint="cs"/>
          <w:b/>
          <w:bCs/>
          <w:rtl/>
        </w:rPr>
        <w:t>:</w:t>
      </w:r>
    </w:p>
    <w:p w14:paraId="4F89A377" w14:textId="292E13AF" w:rsidR="00905559" w:rsidRDefault="00E05A45" w:rsidP="00B06E6D">
      <w:pPr>
        <w:pStyle w:val="FootnoteText"/>
        <w:rPr>
          <w:rtl/>
        </w:rPr>
      </w:pPr>
      <w:r>
        <w:rPr>
          <w:rFonts w:hint="cs"/>
          <w:rtl/>
        </w:rPr>
        <w:t>'</w:t>
      </w:r>
      <w:r w:rsidR="00B06E6D">
        <w:rPr>
          <w:rtl/>
        </w:rPr>
        <w:t>טבע</w:t>
      </w:r>
      <w:r>
        <w:rPr>
          <w:rFonts w:hint="cs"/>
          <w:rtl/>
        </w:rPr>
        <w:t>'</w:t>
      </w:r>
      <w:r w:rsidR="00B06E6D">
        <w:rPr>
          <w:rtl/>
        </w:rPr>
        <w:t xml:space="preserve"> משמש לציון</w:t>
      </w:r>
      <w:r w:rsidR="00815789">
        <w:rPr>
          <w:rFonts w:hint="cs"/>
          <w:rtl/>
        </w:rPr>
        <w:t xml:space="preserve"> [</w:t>
      </w:r>
      <w:r w:rsidR="00166A85">
        <w:rPr>
          <w:rFonts w:hint="cs"/>
          <w:rtl/>
        </w:rPr>
        <w:t>שי</w:t>
      </w:r>
      <w:r w:rsidR="00941A6D">
        <w:rPr>
          <w:rFonts w:hint="cs"/>
          <w:rtl/>
        </w:rPr>
        <w:t>ש</w:t>
      </w:r>
      <w:r w:rsidR="00815789">
        <w:rPr>
          <w:rFonts w:hint="cs"/>
          <w:rtl/>
        </w:rPr>
        <w:t>ה דברים]</w:t>
      </w:r>
      <w:r>
        <w:rPr>
          <w:rFonts w:hint="cs"/>
          <w:rtl/>
        </w:rPr>
        <w:t>:</w:t>
      </w:r>
      <w:r w:rsidR="00B06E6D">
        <w:rPr>
          <w:rtl/>
        </w:rPr>
        <w:t xml:space="preserve"> [א] במובן אחד התהוות המתפתחים</w:t>
      </w:r>
      <w:r w:rsidR="00E727F1">
        <w:rPr>
          <w:rFonts w:hint="cs"/>
          <w:rtl/>
        </w:rPr>
        <w:t>,</w:t>
      </w:r>
      <w:r w:rsidR="00B06E6D">
        <w:rPr>
          <w:rtl/>
        </w:rPr>
        <w:t xml:space="preserve"> משל היה מישהו מאריך בהגיית תנועת הפתח בסופה של התיבה "מתפת</w:t>
      </w:r>
      <w:r w:rsidR="00E727F1">
        <w:rPr>
          <w:rFonts w:hint="cs"/>
          <w:rtl/>
        </w:rPr>
        <w:t>ח</w:t>
      </w:r>
      <w:r w:rsidR="00B06E6D">
        <w:rPr>
          <w:rtl/>
        </w:rPr>
        <w:t>" [ב] במובן אחר, זה שממנו מתפתח המתפתח באופן ראשוני ופנימי; ועוד [ג] זה שממנו נובעת התנועה הראשונה בכל נתון טבעי, כלומר מתוכו כשהוא לעצמו</w:t>
      </w:r>
      <w:r w:rsidR="00905559">
        <w:rPr>
          <w:rFonts w:hint="cs"/>
          <w:rtl/>
        </w:rPr>
        <w:t>.</w:t>
      </w:r>
      <w:r w:rsidR="00B06E6D">
        <w:rPr>
          <w:rtl/>
        </w:rPr>
        <w:t xml:space="preserve"> </w:t>
      </w:r>
    </w:p>
    <w:p w14:paraId="7D7784A6" w14:textId="77777777" w:rsidR="00D97D4A" w:rsidRDefault="00B06E6D" w:rsidP="00B06E6D">
      <w:pPr>
        <w:pStyle w:val="FootnoteText"/>
        <w:rPr>
          <w:rtl/>
        </w:rPr>
      </w:pPr>
      <w:r>
        <w:rPr>
          <w:rtl/>
        </w:rPr>
        <w:t xml:space="preserve">'מתפתחים' מכונים כל הדברים שגדילתם באה בשל מגע עם משהו אחר, בין על ידי איחוד עמו ובין מחמת </w:t>
      </w:r>
      <w:r w:rsidR="003537A6">
        <w:rPr>
          <w:rFonts w:hint="cs"/>
          <w:rtl/>
        </w:rPr>
        <w:t>דב</w:t>
      </w:r>
      <w:r>
        <w:rPr>
          <w:rtl/>
        </w:rPr>
        <w:t>קות בו, כמו העוּבּרים. איחוד [אורגני] נבדל ממגע [גרידא], הואיל ובמגע לא נחוץ דבר אלא המגע, אך במבנים [אורגניים] מצוי משהו המשותף לשניהם, והוא גורם, להבדיל ממגע, שיתפתחו במשותף ושיהיו לדבר אחד מבחינת הרצף והכמות, אך לא מבחינת האיכות.</w:t>
      </w:r>
    </w:p>
    <w:p w14:paraId="3AD87625" w14:textId="77777777" w:rsidR="00941A6D" w:rsidRDefault="00B06E6D" w:rsidP="00941A6D">
      <w:pPr>
        <w:pStyle w:val="FootnoteText"/>
        <w:rPr>
          <w:rtl/>
        </w:rPr>
      </w:pPr>
      <w:r>
        <w:rPr>
          <w:rtl/>
        </w:rPr>
        <w:t>ועוד [ד] 'טבע</w:t>
      </w:r>
      <w:r w:rsidR="001A15C7">
        <w:rPr>
          <w:rFonts w:hint="cs"/>
          <w:rtl/>
        </w:rPr>
        <w:t>'</w:t>
      </w:r>
      <w:r>
        <w:rPr>
          <w:rtl/>
        </w:rPr>
        <w:t xml:space="preserve"> משמש לציון מה שממנו נוצר דבר לראשונה, או מתהווה דבר מן הקיימים [שלא] בדרך הטבע, בהיותו חסר צורה ואיננו משתנה מכוחו שלו; למשל, הברונזה מכונה ה'טבע' של הפסל ושל כלי הברונזה, והעץ - של כלי העץ, והוא הדין באחרים. כאשר נוצר מהללו דבר</w:t>
      </w:r>
      <w:r w:rsidR="00941A6D">
        <w:rPr>
          <w:rFonts w:hint="cs"/>
          <w:rtl/>
        </w:rPr>
        <w:t>-</w:t>
      </w:r>
      <w:r>
        <w:rPr>
          <w:rtl/>
        </w:rPr>
        <w:t>מה, החומ</w:t>
      </w:r>
      <w:r w:rsidR="00941A6D">
        <w:rPr>
          <w:rFonts w:hint="cs"/>
          <w:rtl/>
        </w:rPr>
        <w:t>ר</w:t>
      </w:r>
      <w:r>
        <w:rPr>
          <w:rtl/>
        </w:rPr>
        <w:t xml:space="preserve"> הראשון משתמר בו. במובן זה אומרים גם שהיסודות של הדברים הקיימים בטבע הם טבעם; מקצתם מכנים זאת אש, מקצתם - אדמה, מקצתם - אוויר, מקצתם - מים, ומקצתם משהו אחר ממין זה; לפי קצתם - [רק] אחד מאלו, לפי אחרים - כולם. </w:t>
      </w:r>
    </w:p>
    <w:p w14:paraId="091E83FE" w14:textId="0DD02077" w:rsidR="00B06E6D" w:rsidRDefault="00B06E6D" w:rsidP="007272BD">
      <w:pPr>
        <w:pStyle w:val="FootnoteText"/>
        <w:rPr>
          <w:rtl/>
        </w:rPr>
      </w:pPr>
      <w:r>
        <w:rPr>
          <w:rtl/>
        </w:rPr>
        <w:t>ובמובן נוסף [ה] 'טבע' מכונה העצ</w:t>
      </w:r>
      <w:r w:rsidR="00941A6D">
        <w:rPr>
          <w:rFonts w:hint="cs"/>
          <w:rtl/>
        </w:rPr>
        <w:t>ם</w:t>
      </w:r>
      <w:r>
        <w:rPr>
          <w:rtl/>
        </w:rPr>
        <w:t xml:space="preserve"> של נתוני הטבע, כמו מי שאומרים שה'טבע' הוא האופן הראשוני של ההרכבה, או כדברי אמפדוקלס, האומר</w:t>
      </w:r>
      <w:r w:rsidR="007272BD">
        <w:rPr>
          <w:rFonts w:hint="cs"/>
          <w:rtl/>
        </w:rPr>
        <w:t>:</w:t>
      </w:r>
    </w:p>
    <w:p w14:paraId="6FCB655B" w14:textId="5A0B8A5D" w:rsidR="00B06E6D" w:rsidRDefault="00B06E6D" w:rsidP="007272BD">
      <w:pPr>
        <w:pStyle w:val="FootnoteText"/>
        <w:ind w:left="720"/>
        <w:rPr>
          <w:rtl/>
        </w:rPr>
      </w:pPr>
      <w:r>
        <w:rPr>
          <w:rtl/>
        </w:rPr>
        <w:t>שום נמצא אין לו טבע/אלא רק מיזוג או פירוד של הממוזג/ 'ו'טבע' אינו אלא כינוי בפי בני- אדם.</w:t>
      </w:r>
    </w:p>
    <w:p w14:paraId="68FC3563" w14:textId="09087CC4" w:rsidR="00B06E6D" w:rsidRDefault="00B06E6D" w:rsidP="00B06E6D">
      <w:pPr>
        <w:pStyle w:val="FootnoteText"/>
        <w:rPr>
          <w:rtl/>
        </w:rPr>
      </w:pPr>
      <w:r>
        <w:rPr>
          <w:rtl/>
        </w:rPr>
        <w:t xml:space="preserve">ולכן, כל הקיימים בטבע או המתהווים בו, למרות שכבר מצוי בהם זה שממנו הם מתהווים או קיימים באופן טבעי, עדיין איננו אומרים שהם בעלי טבע, כל עוד אינם בעלי צורה ודמות. ובכן, מה שיש לו שניים אלו הוא הקיים בטבע, למשל, בעלי החיים ואבריהם. ולא זו בלבד שהחומר הראשוני הוא טבע ('ראשוני' בשני מובנים: או ראשון ביחס לדבר, או ראשון בכלל; למשל, כלי הנחושת </w:t>
      </w:r>
      <w:r w:rsidR="008B4C43">
        <w:rPr>
          <w:rFonts w:hint="cs"/>
          <w:rtl/>
        </w:rPr>
        <w:t>-</w:t>
      </w:r>
      <w:r>
        <w:rPr>
          <w:rtl/>
        </w:rPr>
        <w:t xml:space="preserve"> הנחושת היא ראשונית ביחס לכלים, ובאופן כללי - אולי המים, אם כל המותכים הם מים), אלא גם הצורה או העצם,</w:t>
      </w:r>
      <w:r w:rsidR="00ED4232">
        <w:rPr>
          <w:rFonts w:hint="cs"/>
          <w:rtl/>
        </w:rPr>
        <w:t xml:space="preserve"> </w:t>
      </w:r>
      <w:r>
        <w:rPr>
          <w:rtl/>
        </w:rPr>
        <w:t>שהם תכלית ההתהוות. [ו] ועל ידי הרחבה של מובן זה, כל עצם מכונה 'טבע', הואיל וטבע הדבר הוא עצם כלשהו</w:t>
      </w:r>
      <w:r w:rsidR="00F94338">
        <w:rPr>
          <w:rFonts w:hint="cs"/>
          <w:rtl/>
        </w:rPr>
        <w:t>.</w:t>
      </w:r>
    </w:p>
    <w:p w14:paraId="1C234454" w14:textId="54F14349" w:rsidR="00B06E6D" w:rsidRDefault="00B06E6D" w:rsidP="005654B6">
      <w:pPr>
        <w:pStyle w:val="FootnoteText"/>
        <w:rPr>
          <w:rtl/>
        </w:rPr>
      </w:pPr>
      <w:r>
        <w:rPr>
          <w:rtl/>
        </w:rPr>
        <w:t>מן האמור, ה</w:t>
      </w:r>
      <w:r w:rsidR="00166A85">
        <w:rPr>
          <w:rFonts w:hint="cs"/>
          <w:rtl/>
        </w:rPr>
        <w:t>'</w:t>
      </w:r>
      <w:r>
        <w:rPr>
          <w:rtl/>
        </w:rPr>
        <w:t>טבע' במובנו הראשוני והמובהק הוא העצם של הדברים המכילים, בתוכם וכשהם</w:t>
      </w:r>
      <w:r w:rsidR="005654B6">
        <w:rPr>
          <w:rFonts w:hint="cs"/>
          <w:rtl/>
        </w:rPr>
        <w:t xml:space="preserve"> </w:t>
      </w:r>
      <w:r>
        <w:rPr>
          <w:rtl/>
        </w:rPr>
        <w:t xml:space="preserve">לעצמם, </w:t>
      </w:r>
    </w:p>
    <w:p w14:paraId="3B9D8F43" w14:textId="77777777" w:rsidR="00B06E6D" w:rsidRDefault="00B06E6D" w:rsidP="00B06E6D">
      <w:pPr>
        <w:pStyle w:val="FootnoteText"/>
        <w:rPr>
          <w:rtl/>
        </w:rPr>
      </w:pPr>
    </w:p>
    <w:p w14:paraId="268DC293" w14:textId="77777777" w:rsidR="00B06E6D" w:rsidRDefault="00B06E6D" w:rsidP="00B06E6D">
      <w:pPr>
        <w:pStyle w:val="FootnoteText"/>
        <w:rPr>
          <w:rtl/>
        </w:rPr>
      </w:pPr>
    </w:p>
    <w:p w14:paraId="07B72BBA" w14:textId="3B658B99" w:rsidR="00B06E6D" w:rsidRDefault="00B06E6D" w:rsidP="00B06E6D">
      <w:pPr>
        <w:pStyle w:val="FootnoteText"/>
        <w:rPr>
          <w:rtl/>
        </w:rPr>
      </w:pPr>
      <w:r>
        <w:rPr>
          <w:rtl/>
        </w:rPr>
        <w:t>את ראשית תנועתם. שכן החומר מכונה 'טבע', משום שהוא מוכשר לקבל [את ראשית התנועה], וההתהוויות וההתפתחויות מכונות 'טבע' משום שהן תנועות שמקורן בו. וראשית התנועה של הקיימים בטבע היא פנימית במובן מסוים, אם בכוח, אם בפועל</w:t>
      </w:r>
      <w:r w:rsidR="00E43C29">
        <w:rPr>
          <w:rFonts w:hint="cs"/>
          <w:rtl/>
        </w:rPr>
        <w:t>.</w:t>
      </w:r>
      <w:r w:rsidR="00001E6D">
        <w:rPr>
          <w:rFonts w:hint="cs"/>
          <w:rtl/>
        </w:rPr>
        <w:t>"</w:t>
      </w:r>
      <w:r>
        <w:rPr>
          <w:rtl/>
        </w:rPr>
        <w:t xml:space="preserve"> ‏ </w:t>
      </w:r>
    </w:p>
    <w:p w14:paraId="276E54F3" w14:textId="191539F4" w:rsidR="00D86EAF" w:rsidRDefault="00D86EAF" w:rsidP="00B06E6D">
      <w:pPr>
        <w:pStyle w:val="FootnoteText"/>
        <w:rPr>
          <w:rtl/>
        </w:rPr>
      </w:pPr>
      <w:r>
        <w:br w:type="page"/>
      </w:r>
      <w:r>
        <w:rPr>
          <w:rFonts w:hint="cs"/>
          <w:rtl/>
        </w:rPr>
        <w:t>(בהערות של דיבואה וולמן שם הוסיפו:</w:t>
      </w:r>
    </w:p>
    <w:p w14:paraId="08996136" w14:textId="5730A132" w:rsidR="006B2551" w:rsidRDefault="00B06E6D" w:rsidP="00B06E6D">
      <w:pPr>
        <w:pStyle w:val="FootnoteText"/>
        <w:rPr>
          <w:rtl/>
        </w:rPr>
      </w:pPr>
      <w:r>
        <w:rPr>
          <w:rtl/>
        </w:rPr>
        <w:t>במקום אחר אריסטו מגדיר את המושגים שבהם הוא משתמש: מגע; איחוד אורגני; סמיכות;</w:t>
      </w:r>
      <w:r w:rsidR="00001E6D">
        <w:rPr>
          <w:rFonts w:hint="cs"/>
          <w:rtl/>
        </w:rPr>
        <w:t xml:space="preserve"> </w:t>
      </w:r>
      <w:r>
        <w:rPr>
          <w:rtl/>
        </w:rPr>
        <w:t>רציפות</w:t>
      </w:r>
      <w:r w:rsidR="003A6634">
        <w:rPr>
          <w:rFonts w:hint="cs"/>
          <w:rtl/>
        </w:rPr>
        <w:t>.</w:t>
      </w:r>
      <w:r>
        <w:rPr>
          <w:rtl/>
        </w:rPr>
        <w:t xml:space="preserve"> </w:t>
      </w:r>
      <w:r w:rsidR="003A6634">
        <w:rPr>
          <w:rFonts w:hint="cs"/>
          <w:rtl/>
        </w:rPr>
        <w:t xml:space="preserve"> עיין </w:t>
      </w:r>
      <w:r>
        <w:rPr>
          <w:rtl/>
        </w:rPr>
        <w:t>'מטפי</w:t>
      </w:r>
      <w:r w:rsidR="003A6634">
        <w:rPr>
          <w:rFonts w:hint="cs"/>
          <w:rtl/>
        </w:rPr>
        <w:t>ז</w:t>
      </w:r>
      <w:r>
        <w:rPr>
          <w:rtl/>
        </w:rPr>
        <w:t>יקה' 11.12</w:t>
      </w:r>
      <w:r w:rsidR="00EF28BD">
        <w:rPr>
          <w:rFonts w:hint="cs"/>
          <w:rtl/>
        </w:rPr>
        <w:t xml:space="preserve"> </w:t>
      </w:r>
      <w:r w:rsidR="000F36B2">
        <w:rPr>
          <w:rFonts w:hint="cs"/>
          <w:rtl/>
        </w:rPr>
        <w:t>דף 1060 א שורות</w:t>
      </w:r>
      <w:r w:rsidR="00EF28BD">
        <w:rPr>
          <w:rFonts w:hint="cs"/>
          <w:rtl/>
        </w:rPr>
        <w:t xml:space="preserve"> </w:t>
      </w:r>
      <w:r>
        <w:rPr>
          <w:rtl/>
        </w:rPr>
        <w:t>5-12)</w:t>
      </w:r>
      <w:r w:rsidR="006B2551">
        <w:rPr>
          <w:rFonts w:hint="cs"/>
          <w:rtl/>
        </w:rPr>
        <w:t>"</w:t>
      </w:r>
    </w:p>
    <w:p w14:paraId="6E4D07E8" w14:textId="77777777" w:rsidR="00EB7082" w:rsidRDefault="00EB7082" w:rsidP="00AD2294">
      <w:pPr>
        <w:pStyle w:val="FootnoteText"/>
        <w:rPr>
          <w:rtl/>
        </w:rPr>
      </w:pPr>
    </w:p>
    <w:p w14:paraId="3A41FC0A" w14:textId="329B1001" w:rsidR="00594916" w:rsidRDefault="00594916" w:rsidP="00AD2294">
      <w:pPr>
        <w:pStyle w:val="FootnoteText"/>
        <w:rPr>
          <w:rtl/>
        </w:rPr>
      </w:pPr>
      <w:r>
        <w:rPr>
          <w:rFonts w:hint="cs"/>
          <w:rtl/>
        </w:rPr>
        <w:t>(אגב, אריסטו כתב בפ</w:t>
      </w:r>
      <w:r w:rsidR="007318A0">
        <w:rPr>
          <w:rFonts w:hint="cs"/>
          <w:rtl/>
        </w:rPr>
        <w:t>יזיקה ב' א'</w:t>
      </w:r>
      <w:r>
        <w:rPr>
          <w:rFonts w:hint="cs"/>
          <w:rtl/>
        </w:rPr>
        <w:t xml:space="preserve"> לגבי דרך העיון:</w:t>
      </w:r>
    </w:p>
    <w:p w14:paraId="6B3D839F" w14:textId="15A9FE22" w:rsidR="00DF0805" w:rsidRDefault="00594916" w:rsidP="00AD2294">
      <w:pPr>
        <w:pStyle w:val="FootnoteText"/>
        <w:rPr>
          <w:rtl/>
        </w:rPr>
      </w:pPr>
      <w:r>
        <w:rPr>
          <w:rFonts w:hint="cs"/>
          <w:rtl/>
        </w:rPr>
        <w:t>"</w:t>
      </w:r>
      <w:r w:rsidR="00A41AFC" w:rsidRPr="00A41AFC">
        <w:rPr>
          <w:rtl/>
        </w:rPr>
        <w:t xml:space="preserve">"לנסות להוכיח שהטבע נמצא מגוחך הוא, שהרי ברור, שרבים מן הנמצאים הם כאלה. להוכיח את מה שברור על ידי שאינו ברור הוא חלקו של מי שאינו מסוגל להבחין בין מה שמוכר מעצמו למה שמוכר שלא מעצמו. שזאת יכול לקרות ברור מאוד </w:t>
      </w:r>
      <w:r w:rsidR="003A1F4E">
        <w:rPr>
          <w:rFonts w:hint="cs"/>
          <w:rtl/>
        </w:rPr>
        <w:t>-</w:t>
      </w:r>
      <w:r w:rsidR="00A41AFC" w:rsidRPr="00A41AFC">
        <w:rPr>
          <w:rtl/>
        </w:rPr>
        <w:t xml:space="preserve"> אם יסיק אדם שהוא עיוור מלידה על צבעים; שהרי מן ההכרח שלאנשים כאלה יסוב הדיון על מילים, אך לא יבינו דבר.</w:t>
      </w:r>
      <w:r>
        <w:rPr>
          <w:rFonts w:hint="cs"/>
          <w:rtl/>
        </w:rPr>
        <w:t>"</w:t>
      </w:r>
      <w:r w:rsidR="00DF0805">
        <w:rPr>
          <w:rFonts w:hint="cs"/>
          <w:rtl/>
        </w:rPr>
        <w:t xml:space="preserve"> </w:t>
      </w:r>
    </w:p>
    <w:p w14:paraId="219F195D" w14:textId="0124364C" w:rsidR="004E1841" w:rsidRDefault="00F32050">
      <w:pPr>
        <w:pStyle w:val="FootnoteText"/>
        <w:rPr>
          <w:rtl/>
        </w:rPr>
      </w:pPr>
      <w:r>
        <w:rPr>
          <w:rFonts w:hint="cs"/>
          <w:rtl/>
        </w:rPr>
        <w:t>עיין באדם חי רשימה 2</w:t>
      </w:r>
      <w:r w:rsidR="00B86AE8">
        <w:rPr>
          <w:rFonts w:hint="cs"/>
          <w:rtl/>
        </w:rPr>
        <w:t xml:space="preserve">49 בתגובות, בתגובות אל חיים, שם כתבתי בביאור כוונת אריסטו בזה. </w:t>
      </w:r>
      <w:r w:rsidR="00334D0E">
        <w:rPr>
          <w:rFonts w:hint="cs"/>
          <w:rtl/>
        </w:rPr>
        <w:t xml:space="preserve"> </w:t>
      </w:r>
    </w:p>
    <w:p w14:paraId="66355014" w14:textId="5087B98C" w:rsidR="00D51FF2" w:rsidRDefault="00FE1D96">
      <w:pPr>
        <w:pStyle w:val="FootnoteText"/>
      </w:pPr>
      <w:r>
        <w:rPr>
          <w:rFonts w:hint="cs"/>
          <w:rtl/>
        </w:rPr>
        <w:t xml:space="preserve"> </w:t>
      </w:r>
    </w:p>
  </w:footnote>
  <w:footnote w:id="414">
    <w:p w14:paraId="29DBB493" w14:textId="77777777" w:rsidR="007A4B61" w:rsidRPr="00DA0FEE" w:rsidRDefault="007A4B61" w:rsidP="007A4B61">
      <w:pPr>
        <w:pStyle w:val="FootnoteText"/>
      </w:pPr>
      <w:r w:rsidRPr="005265A7">
        <w:rPr>
          <w:rStyle w:val="FootnoteReference"/>
        </w:rPr>
        <w:footnoteRef/>
      </w:r>
      <w:r w:rsidRPr="00DA0FEE">
        <w:rPr>
          <w:rtl/>
        </w:rPr>
        <w:t xml:space="preserve"> </w:t>
      </w:r>
      <w:r w:rsidRPr="00DA0FEE">
        <w:rPr>
          <w:rFonts w:hint="cs"/>
          <w:rtl/>
        </w:rPr>
        <w:t xml:space="preserve">מקצת מהפעולות והתנועות שנובעות מטבע הדברים עצמם ולא מכח </w:t>
      </w:r>
      <w:r w:rsidRPr="00DA0FEE">
        <w:rPr>
          <w:rtl/>
        </w:rPr>
        <w:t>פּוֹעֵל</w:t>
      </w:r>
      <w:r w:rsidRPr="00DA0FEE">
        <w:rPr>
          <w:rFonts w:hint="cs"/>
          <w:rtl/>
        </w:rPr>
        <w:t xml:space="preserve"> חיצוני. </w:t>
      </w:r>
    </w:p>
  </w:footnote>
  <w:footnote w:id="415">
    <w:p w14:paraId="6CAB2924" w14:textId="77777777" w:rsidR="007A4B61" w:rsidRPr="00DA0FEE" w:rsidRDefault="007A4B61" w:rsidP="007A4B61">
      <w:pPr>
        <w:pStyle w:val="FootnoteText"/>
      </w:pPr>
      <w:r w:rsidRPr="00465FB6">
        <w:rPr>
          <w:rStyle w:val="FootnoteReference"/>
        </w:rPr>
        <w:footnoteRef/>
      </w:r>
      <w:r w:rsidRPr="00DA0FEE">
        <w:rPr>
          <w:rtl/>
        </w:rPr>
        <w:t xml:space="preserve"> </w:t>
      </w:r>
      <w:r w:rsidRPr="00DA0FEE">
        <w:rPr>
          <w:rFonts w:hint="cs"/>
          <w:rtl/>
        </w:rPr>
        <w:t xml:space="preserve">דבר מוחשי שולט בו המקרה, כי החומר הוא על פי המקרה ולא על פי גזרת השכל, והמקרה אין בו הכרח, הוא יכול להיות פעם כך ופעם אחרת בלי שנדע למה, כי המקרה הוא על פי הרצון האלוהי החופשי שמעל השכל ואין לנו השגה בו. דבר שאינו מחשי הוא מצד המושכלות המופשטות שהן סדר העולם השכלי, והן מושגות בשכל העיוני והחכמה היא באופן של הכרח, אם מתקיימות ההנחות בהכרח תהיה תמיד אותה המסקנה. </w:t>
      </w:r>
    </w:p>
  </w:footnote>
  <w:footnote w:id="416">
    <w:p w14:paraId="7D563DB0" w14:textId="77777777" w:rsidR="007A4B61" w:rsidRPr="00DA0FEE" w:rsidRDefault="007A4B61" w:rsidP="007A4B61">
      <w:pPr>
        <w:pStyle w:val="FootnoteText"/>
      </w:pPr>
      <w:r w:rsidRPr="00465FB6">
        <w:rPr>
          <w:rStyle w:val="FootnoteReference"/>
        </w:rPr>
        <w:footnoteRef/>
      </w:r>
      <w:r w:rsidRPr="00DA0FEE">
        <w:rPr>
          <w:rtl/>
        </w:rPr>
        <w:t xml:space="preserve"> </w:t>
      </w:r>
      <w:r w:rsidRPr="00DA0FEE">
        <w:rPr>
          <w:rFonts w:hint="cs"/>
          <w:rtl/>
        </w:rPr>
        <w:t>אל המגנט.</w:t>
      </w:r>
    </w:p>
  </w:footnote>
  <w:footnote w:id="417">
    <w:p w14:paraId="708993A1" w14:textId="77777777" w:rsidR="007A4B61" w:rsidRPr="00DA0FEE" w:rsidRDefault="007A4B61" w:rsidP="007A4B61">
      <w:pPr>
        <w:pStyle w:val="FootnoteText"/>
      </w:pPr>
      <w:r w:rsidRPr="000145BE">
        <w:rPr>
          <w:rStyle w:val="FootnoteReference"/>
        </w:rPr>
        <w:footnoteRef/>
      </w:r>
      <w:r w:rsidRPr="00DA0FEE">
        <w:rPr>
          <w:rtl/>
        </w:rPr>
        <w:t xml:space="preserve"> </w:t>
      </w:r>
      <w:r w:rsidRPr="00DA0FEE">
        <w:rPr>
          <w:rFonts w:hint="cs"/>
          <w:rtl/>
        </w:rPr>
        <w:t>הברזל</w:t>
      </w:r>
    </w:p>
  </w:footnote>
  <w:footnote w:id="418">
    <w:p w14:paraId="68F169B8" w14:textId="77777777" w:rsidR="007A4B61" w:rsidRPr="00DA0FEE" w:rsidRDefault="007A4B61" w:rsidP="007A4B61">
      <w:pPr>
        <w:pStyle w:val="FootnoteText"/>
      </w:pPr>
      <w:r w:rsidRPr="000145BE">
        <w:rPr>
          <w:rStyle w:val="FootnoteReference"/>
        </w:rPr>
        <w:footnoteRef/>
      </w:r>
      <w:r w:rsidRPr="00DA0FEE">
        <w:rPr>
          <w:rtl/>
        </w:rPr>
        <w:t xml:space="preserve"> </w:t>
      </w:r>
      <w:r w:rsidRPr="00DA0FEE">
        <w:rPr>
          <w:rFonts w:hint="cs"/>
          <w:rtl/>
        </w:rPr>
        <w:t>אל המגנט.</w:t>
      </w:r>
    </w:p>
  </w:footnote>
  <w:footnote w:id="419">
    <w:p w14:paraId="107196C8" w14:textId="77777777" w:rsidR="007A4B61" w:rsidRPr="00DA0FEE" w:rsidRDefault="007A4B61" w:rsidP="007A4B61">
      <w:pPr>
        <w:pStyle w:val="FootnoteText"/>
        <w:rPr>
          <w:rtl/>
        </w:rPr>
      </w:pPr>
      <w:r w:rsidRPr="000145BE">
        <w:rPr>
          <w:rStyle w:val="FootnoteReference"/>
        </w:rPr>
        <w:footnoteRef/>
      </w:r>
      <w:r w:rsidRPr="00DA0FEE">
        <w:rPr>
          <w:rtl/>
        </w:rPr>
        <w:t xml:space="preserve"> </w:t>
      </w:r>
      <w:r w:rsidRPr="00DA0FEE">
        <w:rPr>
          <w:rFonts w:hint="cs"/>
          <w:rtl/>
        </w:rPr>
        <w:t xml:space="preserve">למשל במבט שטחי אפשר לטעות שאם כדור אחד נע ופוגע בכדור שני ודוחף אותו, הכדור השני </w:t>
      </w:r>
      <w:r w:rsidRPr="00DA0FEE">
        <w:rPr>
          <w:rtl/>
        </w:rPr>
        <w:t>מוּנָע</w:t>
      </w:r>
      <w:r w:rsidRPr="00DA0FEE">
        <w:rPr>
          <w:rFonts w:hint="cs"/>
          <w:rtl/>
        </w:rPr>
        <w:t xml:space="preserve"> מכח המסה החומרית של הכדור הראשון, אבל באמת פשוט שהכדור הראשון מניע את הכדור השני על ידי כח התנועה שיש בו במה שהוא נע, ולא בעצם המסה החומרית שלו. </w:t>
      </w:r>
    </w:p>
    <w:p w14:paraId="70B22F73" w14:textId="77777777" w:rsidR="007A4B61" w:rsidRPr="00DA0FEE" w:rsidRDefault="007A4B61" w:rsidP="007A4B61">
      <w:pPr>
        <w:pStyle w:val="FootnoteText"/>
        <w:rPr>
          <w:rtl/>
        </w:rPr>
      </w:pPr>
    </w:p>
    <w:p w14:paraId="7ED342D6" w14:textId="3A03FFD5" w:rsidR="007A4B61" w:rsidRPr="00DA0FEE" w:rsidRDefault="007A4B61" w:rsidP="007A4B61">
      <w:pPr>
        <w:pStyle w:val="FootnoteText"/>
        <w:rPr>
          <w:rtl/>
        </w:rPr>
      </w:pPr>
      <w:r w:rsidRPr="00DA0FEE">
        <w:rPr>
          <w:rFonts w:hint="cs"/>
          <w:rtl/>
        </w:rPr>
        <w:t>ההגדרה העמוקה המטאפיזית של 'טבע'</w:t>
      </w:r>
      <w:r w:rsidR="000145BE">
        <w:rPr>
          <w:rtl/>
        </w:rPr>
        <w:fldChar w:fldCharType="begin"/>
      </w:r>
      <w:r w:rsidR="000145BE">
        <w:instrText xml:space="preserve"> XE "</w:instrText>
      </w:r>
      <w:r w:rsidR="000145BE" w:rsidRPr="00DF4C09">
        <w:rPr>
          <w:rFonts w:hint="cs"/>
          <w:rtl/>
        </w:rPr>
        <w:instrText>מאמר</w:instrText>
      </w:r>
      <w:r w:rsidR="000145BE" w:rsidRPr="00DF4C09">
        <w:rPr>
          <w:rtl/>
        </w:rPr>
        <w:instrText>:ההגדרה העמוקה המטאפיזית של 'טבע'</w:instrText>
      </w:r>
      <w:r w:rsidR="000145BE">
        <w:instrText xml:space="preserve">" </w:instrText>
      </w:r>
      <w:r w:rsidR="000145BE">
        <w:rPr>
          <w:rtl/>
        </w:rPr>
        <w:fldChar w:fldCharType="end"/>
      </w:r>
    </w:p>
    <w:p w14:paraId="09B819E3" w14:textId="77777777" w:rsidR="007A4B61" w:rsidRPr="00DA0FEE" w:rsidRDefault="007A4B61" w:rsidP="007A4B61">
      <w:pPr>
        <w:pStyle w:val="FootnoteText"/>
        <w:rPr>
          <w:rtl/>
        </w:rPr>
      </w:pPr>
      <w:r w:rsidRPr="00DA0FEE">
        <w:rPr>
          <w:rFonts w:hint="cs"/>
          <w:rtl/>
        </w:rPr>
        <w:t>כוונת</w:t>
      </w:r>
      <w:r w:rsidRPr="00DA0FEE">
        <w:rPr>
          <w:rtl/>
        </w:rPr>
        <w:fldChar w:fldCharType="begin"/>
      </w:r>
      <w:r w:rsidRPr="00DA0FEE">
        <w:instrText xml:space="preserve"> XE "</w:instrText>
      </w:r>
      <w:r w:rsidRPr="00DA0FEE">
        <w:rPr>
          <w:rFonts w:hint="cs"/>
          <w:rtl/>
        </w:rPr>
        <w:instrText>טבע - הגדרתו העמוקה מבחינה מטאפיזית</w:instrText>
      </w:r>
      <w:r w:rsidRPr="00DA0FEE">
        <w:instrText xml:space="preserve">" </w:instrText>
      </w:r>
      <w:r w:rsidRPr="00DA0FEE">
        <w:rPr>
          <w:rtl/>
        </w:rPr>
        <w:fldChar w:fldCharType="end"/>
      </w:r>
      <w:r w:rsidRPr="00DA0FEE">
        <w:rPr>
          <w:rFonts w:hint="cs"/>
          <w:rtl/>
        </w:rPr>
        <w:t xml:space="preserve"> אבן סינא בסעיף זה, ובדבריו על המגנט, היא כך (על פי תלמידו הרמב"ם במורה נבוכים א' ע"ב</w:t>
      </w:r>
      <w:r w:rsidRPr="00DA0FEE">
        <w:rPr>
          <w:rtl/>
        </w:rPr>
        <w:fldChar w:fldCharType="begin"/>
      </w:r>
      <w:r w:rsidRPr="00DA0FEE">
        <w:instrText xml:space="preserve"> XE "</w:instrText>
      </w:r>
      <w:r w:rsidRPr="00DA0FEE">
        <w:rPr>
          <w:rFonts w:hint="cs"/>
          <w:rtl/>
        </w:rPr>
        <w:instrText>מורה נבוכים א' ע</w:instrText>
      </w:r>
      <w:r w:rsidRPr="00DA0FEE">
        <w:instrText>\</w:instrText>
      </w:r>
      <w:r w:rsidRPr="00DA0FEE">
        <w:rPr>
          <w:rFonts w:hint="cs"/>
          <w:rtl/>
        </w:rPr>
        <w:instrText>"ב - הגדרה מהו טבע</w:instrText>
      </w:r>
      <w:r w:rsidRPr="00DA0FEE">
        <w:instrText xml:space="preserve">" </w:instrText>
      </w:r>
      <w:r w:rsidRPr="00DA0FEE">
        <w:rPr>
          <w:rtl/>
        </w:rPr>
        <w:fldChar w:fldCharType="end"/>
      </w:r>
      <w:r w:rsidRPr="00DA0FEE">
        <w:rPr>
          <w:rtl/>
        </w:rPr>
        <w:fldChar w:fldCharType="begin"/>
      </w:r>
      <w:r w:rsidRPr="00DA0FEE">
        <w:instrText xml:space="preserve"> XE "</w:instrText>
      </w:r>
      <w:r w:rsidRPr="00DA0FEE">
        <w:rPr>
          <w:rFonts w:hint="cs"/>
          <w:rtl/>
        </w:rPr>
        <w:instrText>מורה נבוכים א' ע</w:instrText>
      </w:r>
      <w:r w:rsidRPr="00DA0FEE">
        <w:instrText>\</w:instrText>
      </w:r>
      <w:r w:rsidRPr="00DA0FEE">
        <w:rPr>
          <w:rFonts w:hint="cs"/>
          <w:rtl/>
        </w:rPr>
        <w:instrText>"ב - הגדרה מהו טבע</w:instrText>
      </w:r>
      <w:r w:rsidRPr="00DA0FEE">
        <w:instrText xml:space="preserve">" </w:instrText>
      </w:r>
      <w:r w:rsidRPr="00DA0FEE">
        <w:rPr>
          <w:rtl/>
        </w:rPr>
        <w:fldChar w:fldCharType="end"/>
      </w:r>
      <w:r w:rsidRPr="00DA0FEE">
        <w:rPr>
          <w:rFonts w:hint="cs"/>
          <w:rtl/>
        </w:rPr>
        <w:t>):</w:t>
      </w:r>
    </w:p>
    <w:p w14:paraId="76C5BC9A" w14:textId="77777777" w:rsidR="007A4B61" w:rsidRPr="00DA0FEE" w:rsidRDefault="007A4B61" w:rsidP="007A4B61">
      <w:pPr>
        <w:pStyle w:val="FootnoteText"/>
        <w:rPr>
          <w:rtl/>
        </w:rPr>
      </w:pPr>
      <w:r w:rsidRPr="00DA0FEE">
        <w:rPr>
          <w:rFonts w:hint="cs"/>
          <w:rtl/>
        </w:rPr>
        <w:t xml:space="preserve">מבואר במורה נבוכים (בעקבות אפלטון </w:t>
      </w:r>
      <w:r w:rsidRPr="00DA0FEE">
        <w:rPr>
          <w:rFonts w:hint="cs"/>
          <w:rtl/>
        </w:rPr>
        <w:t>בטימיאוס ואריסטו במטאפיזיקה למבדא) שהמציאות כולה היא איש אחד חי כמו ראובן, וכל הנמצאים הם כמו איברים. איבר כמו עין למשל, יש לו מבנה משלו, צורה מהותית משלו, חיים ונפש משלו שהם הנפש הרואה, או כח הראייה, שהוא כח חי שמארגן את הבשר לפי צורתו וחי בעין כמו נפש בגוף. היחס בין הנפש והחיים הפרטיים של העין ובין החיים הכלליים של הגוף, הוא אופן של סוד מעשה בראשית שעוסק בסתירה בין האין סוף למוגבל. החיים הכלליים של הגוף דומים לאין סוף במה שהם כלליים יותר ואחדים יותר מהאיבר הפרטי (וכלשון חז"ל בברכות י' א' "</w:t>
      </w:r>
      <w:r w:rsidRPr="00DA0FEE">
        <w:rPr>
          <w:rtl/>
        </w:rPr>
        <w:t xml:space="preserve"> מה הקב"ה מלא כל העולם אף נשמה מלאה את כל הגוף מה הקדוש ברוך הוא רואה ואינו נראה אף נשמה רואה ואינה נראית מה הקב"ה זן את כל העולם כלו אף נשמה זנה את כל הגוף מה הקב"ה טהור אף נשמה טהורה מה הקב"ה יושב בחדרי חדרים אף נשמה יושבת בחדרי חדרים</w:t>
      </w:r>
      <w:r w:rsidRPr="00DA0FEE">
        <w:rPr>
          <w:rFonts w:hint="cs"/>
          <w:rtl/>
        </w:rPr>
        <w:t>").</w:t>
      </w:r>
    </w:p>
    <w:p w14:paraId="1AE1676B" w14:textId="77777777" w:rsidR="007A4B61" w:rsidRPr="00DA0FEE" w:rsidRDefault="007A4B61" w:rsidP="007A4B61">
      <w:pPr>
        <w:pStyle w:val="FootnoteText"/>
        <w:rPr>
          <w:rtl/>
        </w:rPr>
      </w:pPr>
      <w:r w:rsidRPr="00DA0FEE">
        <w:rPr>
          <w:rFonts w:hint="cs"/>
          <w:rtl/>
        </w:rPr>
        <w:t>באיברים כמו עין רואים את הכפילות שיש בהם, של חיי האיבר הפרטי מצד אחד, והחיות הכללית האחת של כל הגוף מצד שני, וכמו שרואים כפילות בעולם בין האין סוף למוגבל. למשל אם עוקרים את העין מייד היא חדלה להיות עין (אלא מייד היא נעשית חתיכת בשר בצורת עין, שאינה עין כמו שפסל בדמות אדם אינו אדם, וכמו שכתב אריסטו בעל הנפש ספר ב'), וזה משום שחיותה העצמאית אינה עומדת בפני עצמה אלא היא חלק מהחיים הכלליים של הגוף.</w:t>
      </w:r>
    </w:p>
    <w:p w14:paraId="544936EE" w14:textId="77777777" w:rsidR="007A4B61" w:rsidRPr="00DA0FEE" w:rsidRDefault="007A4B61" w:rsidP="007A4B61">
      <w:pPr>
        <w:pStyle w:val="FootnoteText"/>
        <w:rPr>
          <w:rtl/>
        </w:rPr>
      </w:pPr>
      <w:r w:rsidRPr="00DA0FEE">
        <w:rPr>
          <w:rFonts w:hint="cs"/>
          <w:rtl/>
        </w:rPr>
        <w:t>החיות הכללית של האין סוף בעולם ושל החיים הכלליים בגוף, היא נסתרת, היא בחדרי חדרים. החיות הפרטית נגלית, ונראה שהעין פועלת מכח נפש הראיה ולא מכח החיות הכללית של הגוף ששווה לכל האיברים. בעולם הדברים שיש להם חיות פרטית משל עצמם, שנראה שהם פועלים מכוחה, הם בעלי החיים, שנראה שתנועתם היא לפי רצונם ובחירתם החופשיים, מכח התחלת תנועה ומנוחה שיש בהם.</w:t>
      </w:r>
    </w:p>
    <w:p w14:paraId="17CD381B" w14:textId="77777777" w:rsidR="007A4B61" w:rsidRPr="00DA0FEE" w:rsidRDefault="007A4B61" w:rsidP="007A4B61">
      <w:pPr>
        <w:pStyle w:val="FootnoteText"/>
        <w:rPr>
          <w:rtl/>
        </w:rPr>
      </w:pPr>
      <w:r w:rsidRPr="00DA0FEE">
        <w:rPr>
          <w:rFonts w:hint="cs"/>
          <w:rtl/>
        </w:rPr>
        <w:t xml:space="preserve">נראה שהעין מסתכלת ימין ושמאל לפי רצונה החופשי, וגם פעולות לא רצוניות כגון להתאים את קימור העדשה למרחק מהדבר שעליו מסתכלים נראה שהן מכח הנפש של העין עצמה, אבל באמת כל זה סיבת פעולתו היא החיים הכלליים של הגוף. כי העין מביטה ימין ושמאל לפי הצורך של הגוף הכללי ללכת למקום כלשהו וכיו"ב צרכים שלו, וקימור העדשה הרי נפסק כשהעין נעקרת מהגוף, ומוכח שגם הוא מכח החיות הכללית של הגוף. החיות הכללית של הגוף שווה בכל האיברים, היא אחת, ולכן לא מובן למה רק העין עושה את הפעולה של קימור העדשה ולא כל האיברים עושים זאת בשווה. זהו סוד מעשה מרכבה שהאין סוף שהוא האחדות הפשוטה השווה בכל, הוא אחד עם הריבוי של הפרטים השונים. </w:t>
      </w:r>
    </w:p>
    <w:p w14:paraId="36EE3003" w14:textId="77777777" w:rsidR="007A4B61" w:rsidRPr="00DA0FEE" w:rsidRDefault="007A4B61" w:rsidP="007A4B61">
      <w:pPr>
        <w:pStyle w:val="FootnoteText"/>
        <w:rPr>
          <w:rtl/>
        </w:rPr>
      </w:pPr>
      <w:r w:rsidRPr="00DA0FEE">
        <w:rPr>
          <w:rFonts w:hint="cs"/>
          <w:rtl/>
        </w:rPr>
        <w:t>יש איברים בגוף כמו העצמות והסחוסים שנראה שאין להם חיות כלל. אבל באמת יש להם חיות, שהרי העצמות של תינוק גדלות איתו, ועצם שנשברה מתאחה, ועצמות וסחוסים של גווייה מתה מתייבשים ומתפוררים. איננו רואים שיש בעצמות כח חי ונפש משלהן, ולכן אנו נוטים לחשוב שהן דומם. אבל באמת החיות והתנועה שלהם הם מכח החיים הכלליים של הגוף, ולכן נראה שמצד פרטיותם אין להם רצון במה שהם פועלים, וכמו האבן שנופלת. 'טבע' פירושו כח הגוף הכללי שמפעיל את העצם הפרטי בעל כרחו של העצם הפרטי מצד פרטיותו (מצד שהוא 'איבר' הוא תמיד רוצה את הפעולה הזו. זה מה שכתוב בהלכה שמי שמחוייב על פי ההלכה לתת גט לאשתו, ומסרב, מכים אותו (או שאר עונשים) עד שיאמר רוצה אני, ואז יש לגט דין של גט שניתן מרצון (גט שלא ניתן מרצון אינו כשר). כי החלישו בו בעזרת המכות את הצד של הרצון הפרטי, ומאליו הוא חזר לצד של הרצון הכללי שדיני התורה הם ביטוי של הסדר שלו).</w:t>
      </w:r>
    </w:p>
    <w:p w14:paraId="6AB4B283" w14:textId="77777777" w:rsidR="007A4B61" w:rsidRPr="00DA0FEE" w:rsidRDefault="007A4B61" w:rsidP="007A4B61">
      <w:pPr>
        <w:pStyle w:val="FootnoteText"/>
        <w:rPr>
          <w:rtl/>
        </w:rPr>
      </w:pPr>
    </w:p>
    <w:p w14:paraId="31313A1C" w14:textId="77777777" w:rsidR="007A4B61" w:rsidRPr="00DA0FEE" w:rsidRDefault="007A4B61" w:rsidP="007A4B61">
      <w:pPr>
        <w:pStyle w:val="FootnoteText"/>
        <w:rPr>
          <w:rtl/>
        </w:rPr>
      </w:pPr>
      <w:r w:rsidRPr="00DA0FEE">
        <w:rPr>
          <w:rFonts w:hint="cs"/>
          <w:rtl/>
        </w:rPr>
        <w:t>לשון המורה נבוכים ב' א':</w:t>
      </w:r>
    </w:p>
    <w:p w14:paraId="488F1AF0" w14:textId="77777777" w:rsidR="007A4B61" w:rsidRPr="00DA0FEE" w:rsidRDefault="007A4B61" w:rsidP="007A4B61">
      <w:pPr>
        <w:pStyle w:val="FootnoteText"/>
        <w:rPr>
          <w:rtl/>
        </w:rPr>
      </w:pPr>
      <w:r w:rsidRPr="00DA0FEE">
        <w:rPr>
          <w:rFonts w:hint="cs"/>
          <w:rtl/>
        </w:rPr>
        <w:t>"</w:t>
      </w:r>
      <w:r w:rsidRPr="00DA0FEE">
        <w:rPr>
          <w:rtl/>
        </w:rPr>
        <w:t>והגלגל מתנועע תנועת העתקה, והיא הקודמת שבתנועות, כמו שזכרנו בהקדמה הארבע עשרה. וכן עוד כל תנועת העתקה אמנם תגיע בסוף לתנועת הגלגל. כאילו אמרת, שזאת האבן אשר התנועעה - הניעה המקל, והמקל - הניעתו היד, והיד - הניעוה המיתרים, והמיתרים - הניעום העורקים, והעורקים - הניעום העצבים, והעצבים - הניעם החום הטבעי, והחום הטבעי - הניעתו הצורה אשר בו, והוא המניע הראשון בלא ספק, והמניע ההוא - חיבתו להניע עצה, על דרך משל, והוא: שיביא האבן ההיא, בהכות המקל לה, אל חור, כדי לסתמו, עד שלא תכנס לו ממנו זו הרוח הנושבת, ומניע הרוח ההיא ומוליד נשיבתה היא תנועת הגלגל. וכן תמצא כל סבת הויה והפסד מגעת בסוף לתנועת הגלגל</w:t>
      </w:r>
      <w:r w:rsidRPr="00DA0FEE">
        <w:rPr>
          <w:rFonts w:hint="cs"/>
          <w:rtl/>
        </w:rPr>
        <w:t>" (ועיין שם גם בהקדמות לחלק ב' הקדמה כ"ו).</w:t>
      </w:r>
    </w:p>
    <w:p w14:paraId="35095011" w14:textId="77777777" w:rsidR="007A4B61" w:rsidRPr="00DA0FEE" w:rsidRDefault="007A4B61" w:rsidP="007A4B61">
      <w:pPr>
        <w:pStyle w:val="FootnoteText"/>
        <w:rPr>
          <w:rtl/>
        </w:rPr>
      </w:pPr>
      <w:r w:rsidRPr="00DA0FEE">
        <w:rPr>
          <w:rFonts w:hint="cs"/>
          <w:rtl/>
        </w:rPr>
        <w:t xml:space="preserve">יש לבעלי החיים בחירה חופשית וכח תנועה לפי רצונם, אבל זה רק מצד הפרטיות שלהם. ביחד עם הפרטיות, באופן שמכיל סתירה שלא יתכן לה פתרון, יש גם הנעה מכח הגלגל, שהוא החיים הכלליים (הבחירה של האדם מצד הרצון הראשון היא עניין שונה, ואינה נכללת בטבע, ולא כאן המקום להאריך בזה). </w:t>
      </w:r>
    </w:p>
    <w:p w14:paraId="41515EB6" w14:textId="77777777" w:rsidR="007A4B61" w:rsidRPr="00DA0FEE" w:rsidRDefault="007A4B61" w:rsidP="007A4B61">
      <w:pPr>
        <w:pStyle w:val="FootnoteText"/>
        <w:rPr>
          <w:rtl/>
        </w:rPr>
      </w:pPr>
      <w:r w:rsidRPr="00DA0FEE">
        <w:rPr>
          <w:rFonts w:hint="cs"/>
          <w:rtl/>
        </w:rPr>
        <w:t>ובמורה נבוכים א' ע"ב כתב:</w:t>
      </w:r>
    </w:p>
    <w:p w14:paraId="69AB5158" w14:textId="77777777" w:rsidR="007A4B61" w:rsidRPr="00DA0FEE" w:rsidRDefault="007A4B61" w:rsidP="007A4B61">
      <w:pPr>
        <w:pStyle w:val="FootnoteText"/>
        <w:rPr>
          <w:rtl/>
        </w:rPr>
      </w:pPr>
      <w:r w:rsidRPr="00DA0FEE">
        <w:rPr>
          <w:rFonts w:hint="cs"/>
          <w:rtl/>
        </w:rPr>
        <w:t>"</w:t>
      </w:r>
      <w:r w:rsidRPr="00DA0FEE">
        <w:rPr>
          <w:rtl/>
        </w:rPr>
        <w:t>[כמו שבאדם הכח המדבר מנהיג כל ענייניו]</w:t>
      </w:r>
      <w:r w:rsidRPr="00DA0FEE">
        <w:rPr>
          <w:rFonts w:hint="cs"/>
          <w:rtl/>
        </w:rPr>
        <w:t xml:space="preserve"> </w:t>
      </w:r>
      <w:r w:rsidRPr="00DA0FEE">
        <w:rPr>
          <w:rtl/>
        </w:rPr>
        <w:t>כן במציאות, דבר אחד הוא המנהיג לכללו המניע לאבריו, הראש הראשון אשר נתן לו כוח ההנעה, עד שהנהיג מה שזולתו. ואילו ידמה האדם בנפשו ביטול הענין ההוא, בטל מציאות זה הכדור בעצמו, הראש ממנו ואשר תחת יד הראש; ובדבר ההוא ימשך מציאות הכדור בכל חלק ממנו. והדבר ההוא, האלוה יתעלה שמו. ולפי זה הענין לבד נאמר באדם לבדו שהוא עולם קטן, מפני שבו התחלה אחת היא המנהיגה לכולו. ומפני זה הענין נקרא השם יתברך בלשוננו חֵי העולם</w:t>
      </w:r>
      <w:r w:rsidRPr="00DA0FEE">
        <w:rPr>
          <w:rFonts w:hint="cs"/>
          <w:rtl/>
        </w:rPr>
        <w:t>"</w:t>
      </w:r>
    </w:p>
    <w:p w14:paraId="6C5C8604" w14:textId="77777777" w:rsidR="007A4B61" w:rsidRPr="00DA0FEE" w:rsidRDefault="007A4B61" w:rsidP="007A4B61">
      <w:pPr>
        <w:pStyle w:val="FootnoteText"/>
        <w:rPr>
          <w:rtl/>
        </w:rPr>
      </w:pPr>
    </w:p>
    <w:p w14:paraId="348E3A9E" w14:textId="77777777" w:rsidR="007A4B61" w:rsidRPr="00DA0FEE" w:rsidRDefault="007A4B61" w:rsidP="007A4B61">
      <w:pPr>
        <w:pStyle w:val="FootnoteText"/>
        <w:rPr>
          <w:rtl/>
        </w:rPr>
      </w:pPr>
      <w:r w:rsidRPr="00DA0FEE">
        <w:rPr>
          <w:rFonts w:hint="cs"/>
          <w:rtl/>
        </w:rPr>
        <w:t>ושם ב' י':</w:t>
      </w:r>
    </w:p>
    <w:p w14:paraId="4F6BA048" w14:textId="77777777" w:rsidR="007A4B61" w:rsidRPr="00DA0FEE" w:rsidRDefault="007A4B61" w:rsidP="007A4B61">
      <w:pPr>
        <w:pStyle w:val="FootnoteText"/>
        <w:rPr>
          <w:rtl/>
        </w:rPr>
      </w:pPr>
      <w:r w:rsidRPr="00DA0FEE">
        <w:rPr>
          <w:rFonts w:hint="cs"/>
          <w:rtl/>
        </w:rPr>
        <w:t>"</w:t>
      </w:r>
      <w:r w:rsidRPr="00DA0FEE">
        <w:rPr>
          <w:rtl/>
        </w:rPr>
        <w:t>ידוע מפורסם בכל ספרי הפילוסופים, כשידברו בהנהגה, אמרו כי הנהגת זה העולם התחתון, רוצה לומר: עולם ההוויה וההפסד, אמנם הוא בכחות השופעות מן הגלגלים; וכבר זכרנו זה פעמים. וכן תמצא החכמים ז"ל אומרים: אין לך כל עשב ועשב מלמטה שאין לו מזל ברקיע מכה אותו ואומר לו "גדל", שנאמר (איוב לח לג): "הידעת חקות שמים, אם תשים משטרו בארץ?" ומזל יקראו גם כן הכוכב, תמצא זה מבואר בראש בראשית רבה, אמרו: יש מזל שהוא גומר הילוכו לשלושים יום, ויש מזל שהוא גומר הילוכו לשלושים שנה.</w:t>
      </w:r>
    </w:p>
    <w:p w14:paraId="6EF0BEAC" w14:textId="77777777" w:rsidR="007A4B61" w:rsidRPr="00DA0FEE" w:rsidRDefault="007A4B61" w:rsidP="007A4B61">
      <w:pPr>
        <w:pStyle w:val="FootnoteText"/>
        <w:rPr>
          <w:rtl/>
        </w:rPr>
      </w:pPr>
      <w:r w:rsidRPr="00DA0FEE">
        <w:rPr>
          <w:rtl/>
        </w:rPr>
        <w:t xml:space="preserve">הנה כבר בארו בזה המאמר, שאפילו אישי ההוויה יש להם כחות כוכבים מיוחדים להם. ואף על פי שכחות הגלגל מתפשטות בכל הנמצאות, אבל יהיה גם כן כח כוכב אחד מיוחד במין אחד, כעניין בכחות הגשם האחד; כי המציאות כולו איש אחד, כמו שזכרנו </w:t>
      </w:r>
      <w:r w:rsidRPr="00DA0FEE">
        <w:rPr>
          <w:rFonts w:hint="cs"/>
          <w:rtl/>
        </w:rPr>
        <w:t>(בחלק א' פרק ע"ב)</w:t>
      </w:r>
      <w:r w:rsidRPr="00DA0FEE">
        <w:rPr>
          <w:rtl/>
        </w:rPr>
        <w:t>.</w:t>
      </w:r>
      <w:r w:rsidRPr="00DA0FEE">
        <w:rPr>
          <w:rFonts w:hint="cs"/>
          <w:rtl/>
        </w:rPr>
        <w:t>" עיין בזה גם בדעותיהם של אנשי העיר המעולה מאת אלפראבי פרק י"ח, ויש עוד מקומות רבים שדנו בזה הקדמונים. עיין בזה גם במורה נבוכים חלק ב' פרקים י"א י"ב; ושם מ"ח כתב שעניין זה הוא הפתח לדבקות נבואית באלוה, שמגיעה מלימוד הטבע, דהיינו מה שהאלוה הוא הסיבה לכל ואחרי העיון היטב בטבע מתגלה שהוא הוא הטבע.</w:t>
      </w:r>
    </w:p>
    <w:p w14:paraId="24CFC87E" w14:textId="77777777" w:rsidR="007A4B61" w:rsidRPr="00DA0FEE" w:rsidRDefault="007A4B61" w:rsidP="007A4B61">
      <w:pPr>
        <w:pStyle w:val="FootnoteText"/>
      </w:pPr>
      <w:r w:rsidRPr="00DA0FEE">
        <w:rPr>
          <w:rFonts w:hint="cs"/>
          <w:rtl/>
        </w:rPr>
        <w:t xml:space="preserve">זה מה שכתב כאן אבן סינא במשל המגנט, שהסיבה המניעה את הגופים הטבעיים נסתרת. וכתב שאפשר שהסיבה המניעה היא מוחשית מצד עצמה, כי כדור המציאות כולו כאחד הוא מוחשי, יש לו גוף חומרי שהוא הגלגל שחומרו הוא החומר החמישי, וכל המציאות היא התפרטות של המציאות האחת של הגלגל. אבל כח ההנעה של הגלגל להניע את הגופים הפרטיים הוא כח חיים וככזה אינו מוחשי. בכח החיים הזה יש צד מופשט שהוא השכלים הנפרדים שהם נותן הצורות שהם סדר החכמה המופשט, ויש גם כח של חיים חומריים, ושניהם נמצאים כאחד, כנפש בגוף, עיין אריכות בזה במורה נבוכים א' ע"ב ובמה שכתבתי על זה בביאור על מורה נבוכים </w:t>
      </w:r>
      <w:hyperlink r:id="rId94" w:history="1">
        <w:r w:rsidRPr="00DA0FEE">
          <w:rPr>
            <w:rStyle w:val="Hyperlink"/>
            <w:rFonts w:hint="cs"/>
            <w:color w:val="auto"/>
            <w:u w:val="none"/>
            <w:rtl/>
          </w:rPr>
          <w:t>רשימה 33</w:t>
        </w:r>
      </w:hyperlink>
      <w:r w:rsidRPr="00DA0FEE">
        <w:rPr>
          <w:rFonts w:hint="cs"/>
          <w:rtl/>
        </w:rPr>
        <w:t xml:space="preserve">.   </w:t>
      </w:r>
    </w:p>
  </w:footnote>
  <w:footnote w:id="420">
    <w:p w14:paraId="524B54ED" w14:textId="77777777" w:rsidR="007A4B61" w:rsidRPr="00DA0FEE" w:rsidRDefault="007A4B61" w:rsidP="007A4B61">
      <w:pPr>
        <w:pStyle w:val="FootnoteText"/>
        <w:rPr>
          <w:rtl/>
        </w:rPr>
      </w:pPr>
      <w:r w:rsidRPr="00EE0F22">
        <w:rPr>
          <w:rStyle w:val="FootnoteReference"/>
        </w:rPr>
        <w:footnoteRef/>
      </w:r>
      <w:r w:rsidRPr="00DA0FEE">
        <w:rPr>
          <w:rtl/>
        </w:rPr>
        <w:t xml:space="preserve"> </w:t>
      </w:r>
      <w:r w:rsidRPr="00DA0FEE">
        <w:rPr>
          <w:rFonts w:hint="cs"/>
          <w:rtl/>
        </w:rPr>
        <w:t xml:space="preserve">הפירוש המילולי הוא 'הוכחה' כמו הוכחה לוגית, אבל כאן הכוונה לא להוכיח למישהו שכך האמת, וגם לא לעשות מהלך לוגי שמוביל מהנחות למסקנות, אלא להבין את העניין בעצמו ולא רק לקבל אותו כהנחת מוצא, ועל דרך זו הוא רוב השימוש במונח זה במורה נבוכים ועיין למשל מורה נבוכים ג' נ"ד. </w:t>
      </w:r>
    </w:p>
    <w:p w14:paraId="2F05E90E" w14:textId="77777777" w:rsidR="007A4B61" w:rsidRPr="00DA0FEE" w:rsidRDefault="007A4B61" w:rsidP="007A4B61">
      <w:pPr>
        <w:pStyle w:val="FootnoteText"/>
      </w:pPr>
      <w:r w:rsidRPr="00DA0FEE">
        <w:rPr>
          <w:rFonts w:hint="cs"/>
          <w:rtl/>
        </w:rPr>
        <w:t xml:space="preserve">כל מדע מקבל הנחות מוצא מהמדע שמעליו בסדר מדרגות המדעים, והמדע שמעליו מבין וחוקר ומגיע לאותן מסקנות שהמדע התחתון מקבל אותן כנתון. למשל הביולוגיה מקבלת מהכימיה את חוקי הכימיה ומתייחסת אליהם כנתון, ואילו הכימיה שואלת עליהם שאלות ומבררת אותם, או מדע האימון הספורטיבי מקבל מהרפואה נתונים שאצלו הם נקודות מוצא ואצל הרפואה הן נשא לבירור וחקירה. כך גם הפילוסוף הטבעי מקבל מהפילוסוף האלוהי כנתון (או 'התחלה'), דברים שאצל הפילוסוף האלוהי התגלו על ידי בירור של חקירה ועיון.  </w:t>
      </w:r>
    </w:p>
  </w:footnote>
  <w:footnote w:id="421">
    <w:p w14:paraId="10CA9994" w14:textId="77777777" w:rsidR="007A4B61" w:rsidRPr="00DA0FEE" w:rsidRDefault="007A4B61" w:rsidP="007A4B61">
      <w:pPr>
        <w:pStyle w:val="FootnoteText"/>
        <w:rPr>
          <w:rtl/>
        </w:rPr>
      </w:pPr>
      <w:r w:rsidRPr="00EE0F22">
        <w:rPr>
          <w:rStyle w:val="FootnoteReference"/>
        </w:rPr>
        <w:footnoteRef/>
      </w:r>
      <w:r w:rsidRPr="00DA0FEE">
        <w:rPr>
          <w:rtl/>
        </w:rPr>
        <w:t xml:space="preserve"> </w:t>
      </w:r>
      <w:r w:rsidRPr="00DA0FEE">
        <w:rPr>
          <w:rFonts w:hint="cs"/>
          <w:rtl/>
        </w:rPr>
        <w:t>"</w:t>
      </w:r>
      <w:r w:rsidRPr="00DA0FEE">
        <w:rPr>
          <w:rFonts w:hint="cs"/>
          <w:rtl/>
        </w:rPr>
        <w:t>מטאפיזיקה</w:t>
      </w:r>
      <w:r w:rsidRPr="00DA0FEE">
        <w:rPr>
          <w:rtl/>
        </w:rPr>
        <w:fldChar w:fldCharType="begin"/>
      </w:r>
      <w:r w:rsidRPr="00DA0FEE">
        <w:instrText xml:space="preserve"> XE "</w:instrText>
      </w:r>
      <w:r w:rsidRPr="00DA0FEE">
        <w:rPr>
          <w:rFonts w:hint="cs"/>
          <w:rtl/>
        </w:rPr>
        <w:instrText>מטאפיזיקה - למה נקראת חכמת האלוהות</w:instrText>
      </w:r>
      <w:r w:rsidRPr="00DA0FEE">
        <w:instrText xml:space="preserve">" </w:instrText>
      </w:r>
      <w:r w:rsidRPr="00DA0FEE">
        <w:rPr>
          <w:rtl/>
        </w:rPr>
        <w:fldChar w:fldCharType="end"/>
      </w:r>
      <w:r w:rsidRPr="00DA0FEE">
        <w:rPr>
          <w:rFonts w:hint="cs"/>
          <w:rtl/>
        </w:rPr>
        <w:t xml:space="preserve">" הוא מונח שהתחדש בדורות שאחרי אריסטו. אריסטו בעצמו קרא לספר שאנו קוראים לו מטאפיזיקה - התיאולוגיה, ולחוקר המטאפיזיקה קרא אריסטו חוקר האלוהות, או הפילוסוף האלוהי. בערבית שמו של הספר שאנו קוראים לו מטאפיזיקה תורגם ל"אלוהיות", ובתרגומי ימי הביניים נקרא חכמת האלוהות (כגון בפתיחת המורה נבוכים שתורגם על ידי שמואל אבן תיבון, וכן בפירוש המשנה לרמב"ם חגיגה ב' א' שתורגם </w:t>
      </w:r>
      <w:r w:rsidRPr="00DA0FEE">
        <w:rPr>
          <w:rtl/>
        </w:rPr>
        <w:t xml:space="preserve"> </w:t>
      </w:r>
      <w:r w:rsidRPr="00DA0FEE">
        <w:rPr>
          <w:rFonts w:hint="cs"/>
          <w:rtl/>
        </w:rPr>
        <w:t xml:space="preserve">ע"י </w:t>
      </w:r>
      <w:r w:rsidRPr="00DA0FEE">
        <w:rPr>
          <w:rtl/>
        </w:rPr>
        <w:t>רבי יוסף ב"ר יצחק אלפואל</w:t>
      </w:r>
      <w:r w:rsidRPr="00DA0FEE">
        <w:rPr>
          <w:rFonts w:hint="cs"/>
          <w:rtl/>
        </w:rPr>
        <w:t>, ועוד הרבה).</w:t>
      </w:r>
    </w:p>
    <w:p w14:paraId="47726DED" w14:textId="77777777" w:rsidR="007A4B61" w:rsidRPr="00DA0FEE" w:rsidRDefault="007A4B61" w:rsidP="007A4B61">
      <w:pPr>
        <w:pStyle w:val="FootnoteText"/>
        <w:rPr>
          <w:rtl/>
        </w:rPr>
      </w:pPr>
      <w:r w:rsidRPr="00DA0FEE">
        <w:rPr>
          <w:rFonts w:hint="cs"/>
          <w:rtl/>
        </w:rPr>
        <w:t xml:space="preserve">אצל אריסטו האלוהות היא המציאות כשלעצמה, מופשטת לחלוטין, ולכן כל עיסוק במופשט, הוא עיסוק באלוהות, כי כל מה שמופשט לחלוטין הוא תואר של האלוהות, לא תואר נוסף על האלוהות אלא גילוי שלה עצמה. וכמו שביאר המורה נבוכים א' נ"ג, שלומר על הבורא שהוא חי או נמצא או יכול או חכם וכיו"ב, זה כמו לומר על מים שהם לחים, שזה כמו שם נרדף להם עצמם, ולא תואר חיצוני כמו לומר שהם חמים. לומר על מים שהם חמים, זה לומר שיש מציאות חיצונית של הגדרת חום, והמים נכללים בהגדרה הזו, ונמצא שההגדרה של חום קודמת למציאות המים, אבל לומר שהם לחים זה הם עצמם ולא שום הגדרה חיצונית להם. וכן אין לומר שהבורא חי או נמצא באופן שיש הגדרה חיצונית לו של חיים או מציאות או יכולת או חכמה וכו', שהוא נכלל בה (ואז ההגדרה קיימת בקיום קודם לבורא או שווה לו בקדמותו), אלא ששם נרדף לו הוא המציאות המופשטת, שהיא גם החיים כעניין מופשט, לא משהו שהוא זה שנמצא או הוא זה שחי או הוא זה שחכם, אלא המציאות כמציאות כלומר כמושג מופשט נקי מדבר מוגדר שהוא זה שנמצא, החיים כחיים כמושג מופשט שנקי ממשהו שהוא זה שחי, וכן הלאה. זו הדרך שבה מותר ונכון לומר תארים חיוביים על האלוה, ועל זה כתב הרמב"ם שהוא תאריו ותאריו הוא. המטאפיזיקה עוסקת בדברים המופשטים לגמרי, מציאות כמציאות כמו שכתב במטאפיזיקה גמא פרק א', וממילא כולם תארים של האלוהות על דרך זו, והמטאפיזיקה היא חכמת האלוהות. </w:t>
      </w:r>
    </w:p>
    <w:p w14:paraId="0BEFE88E" w14:textId="066B88B3" w:rsidR="007A4B61" w:rsidRPr="00DA0FEE" w:rsidRDefault="007A4B61" w:rsidP="007A4B61">
      <w:pPr>
        <w:pStyle w:val="FootnoteText"/>
      </w:pPr>
      <w:r w:rsidRPr="00DA0FEE">
        <w:rPr>
          <w:rFonts w:hint="cs"/>
          <w:rtl/>
        </w:rPr>
        <w:t xml:space="preserve">במורה נבוכים א' כ"ו (ועוד כמה מקומות) כתב שההמון, כלומר אנחנו, לא יכול לתפוש את המופשט כמציאות. אנחנו יכולים לתפוש כמציאות רק דבר מוגדר, אם יש משהו מוגדר, אז ניתן לתפוש שהוא זה שנמצא, הוא החי, החכם, היכול וכו'. אבל אם אין שום דבר מוגדר, שום 'משהו', שום מהות, איננו יכולים לתפוש מציאות או חיים או חכמה או יכולת ללא שום דבר שהוא בעל התכונות האלה, אלא התכונות כמציאות לא מוגדרת, כגילוי מופשט לחלוטין של </w:t>
      </w:r>
      <w:r w:rsidR="009C463A" w:rsidRPr="00DA0FEE">
        <w:rPr>
          <w:rFonts w:hint="cs"/>
          <w:rtl/>
        </w:rPr>
        <w:t>ההוויה</w:t>
      </w:r>
      <w:r w:rsidRPr="00DA0FEE">
        <w:rPr>
          <w:rFonts w:hint="cs"/>
          <w:rtl/>
        </w:rPr>
        <w:t xml:space="preserve"> האין סופית של הבורא, שאינו בעל מהות ואינו 'משהו'. לכן מעטים תפשו מה הוא הנושא של המטאפיזיקה של אריסטו ולא הבינו מה השייכות בינה ובין חכמת האלוהות. </w:t>
      </w:r>
    </w:p>
  </w:footnote>
  <w:footnote w:id="422">
    <w:p w14:paraId="0DB93FB1" w14:textId="77777777" w:rsidR="007A4B61" w:rsidRPr="00DA0FEE" w:rsidRDefault="007A4B61" w:rsidP="007A4B61">
      <w:pPr>
        <w:pStyle w:val="FootnoteText"/>
        <w:rPr>
          <w:rtl/>
        </w:rPr>
      </w:pPr>
      <w:r w:rsidRPr="00EE0F22">
        <w:rPr>
          <w:rStyle w:val="FootnoteReference"/>
        </w:rPr>
        <w:footnoteRef/>
      </w:r>
      <w:r w:rsidRPr="00DA0FEE">
        <w:rPr>
          <w:rtl/>
        </w:rPr>
        <w:t xml:space="preserve"> </w:t>
      </w:r>
      <w:r w:rsidRPr="00DA0FEE">
        <w:rPr>
          <w:rFonts w:hint="cs"/>
          <w:rtl/>
        </w:rPr>
        <w:t xml:space="preserve">מקגיניס הפנה כאן לחלק </w:t>
      </w:r>
      <w:r w:rsidRPr="00DA0FEE">
        <w:rPr>
          <w:rFonts w:hint="cs"/>
          <w:rtl/>
        </w:rPr>
        <w:t xml:space="preserve">המטאפיזיקה (שבספר הריפוי) 9.2. </w:t>
      </w:r>
    </w:p>
    <w:p w14:paraId="16CD344F" w14:textId="77777777" w:rsidR="007A4B61" w:rsidRPr="00DA0FEE" w:rsidRDefault="007A4B61" w:rsidP="007A4B61">
      <w:pPr>
        <w:pStyle w:val="FootnoteText"/>
        <w:rPr>
          <w:rtl/>
        </w:rPr>
      </w:pPr>
      <w:r w:rsidRPr="00DA0FEE">
        <w:rPr>
          <w:rFonts w:hint="cs"/>
          <w:rtl/>
        </w:rPr>
        <w:t xml:space="preserve">תמצית הדברים במה שנוגע לענייננו: אבן, למשל, התנועה אינה טבעית לה באופן מוחלט. אלא המצב הטבעי שלה הוא מה שנפרד מהתנועות הטבעיות שלה, כלומר המצב הטבעי שלה הוא שהיא נחה על הקרקע ולא נעה, ונפרדת מהתנועה הטבעית שלה שהיא נפילה כלפי מטה. התנועה הטבעית של האבן נובעת ממצב לא טבעי והוא שהאבן מורמת מעל הקרקע. </w:t>
      </w:r>
    </w:p>
    <w:p w14:paraId="595C675B" w14:textId="77777777" w:rsidR="007A4B61" w:rsidRPr="00DA0FEE" w:rsidRDefault="007A4B61" w:rsidP="007A4B61">
      <w:pPr>
        <w:pStyle w:val="FootnoteText"/>
        <w:rPr>
          <w:rtl/>
        </w:rPr>
      </w:pPr>
      <w:r w:rsidRPr="00DA0FEE">
        <w:rPr>
          <w:rFonts w:hint="cs"/>
          <w:rtl/>
        </w:rPr>
        <w:t xml:space="preserve">לכן לא תיתכן שתהיה נובעת מהטבע תנועה מעגלית, כי אם היא הייתה מהטבע, היא הייתה תנועה ממקום לא טבעי אל מקום טבעי, ובמקום הטבעי הייתה נחה (כמו האבן שנחה אחרי שהגיעה לקרקע). לא ייתכן שתהיה בטבעו נטיה לנוע למקום הלא טבעי. זהו משום שטבע אינו </w:t>
      </w:r>
      <w:r w:rsidRPr="00DA0FEE">
        <w:rPr>
          <w:rtl/>
        </w:rPr>
        <w:t>מוּנָע</w:t>
      </w:r>
      <w:r w:rsidRPr="00DA0FEE">
        <w:rPr>
          <w:rFonts w:hint="cs"/>
          <w:rtl/>
        </w:rPr>
        <w:t xml:space="preserve"> על ידי בחירה, אלא על ידי דרך של אילוץ, ובדרך של מה שנובע בהכרח באופן מהותי.  </w:t>
      </w:r>
    </w:p>
    <w:p w14:paraId="48F5F1CA" w14:textId="77777777" w:rsidR="007A4B61" w:rsidRPr="00DA0FEE" w:rsidRDefault="007A4B61" w:rsidP="007A4B61">
      <w:pPr>
        <w:pStyle w:val="FootnoteText"/>
        <w:rPr>
          <w:rtl/>
        </w:rPr>
      </w:pPr>
      <w:r w:rsidRPr="00DA0FEE">
        <w:rPr>
          <w:rFonts w:hint="cs"/>
          <w:rtl/>
        </w:rPr>
        <w:t>זה לשונו שם מתחילת פרק 2 (בתרגום מיכאל מרמורה):</w:t>
      </w:r>
    </w:p>
    <w:p w14:paraId="1E49A328" w14:textId="77777777" w:rsidR="007A4B61" w:rsidRPr="00DA0FEE" w:rsidRDefault="007A4B61" w:rsidP="007A4B61">
      <w:pPr>
        <w:pStyle w:val="FootnoteText"/>
        <w:bidi w:val="0"/>
        <w:rPr>
          <w:rtl/>
        </w:rPr>
      </w:pPr>
      <w:r w:rsidRPr="00DA0FEE">
        <w:rPr>
          <w:rFonts w:hint="cs"/>
          <w:rtl/>
        </w:rPr>
        <w:t>"</w:t>
      </w:r>
      <w:r w:rsidRPr="00DA0FEE">
        <w:t>(1) We say: We have shown in the Physics that motion is not natural to the body in an absolute [sense]. The body is in its natural state if every motion is by nature separated from that which is natural because of a state. The state that is separable by nature is necessarily not a natural state. It is obvious that every motion that proceeds from a nature [proceeds] from a state that is not natural. If, among motions, there 1s something that is the consequence of a thing’s nature, then not [one] thing of the relations of motions [is such] that its essence would cease to be while the nature endures. Rather, motion is only consequential on the nature because of the existence of a non-natural state: either [(a)] in quality, as when water is forcefully heated;? [(b)] in quantity, when the healthy body withers through disease;? or [(c)] in place, as when a clod of earth is transported to the space of air. The same applies if the motion happens to belong to another category. The cause for the renewal of one motion after another is the renewal of the non-natural state and [the renewal] of the estimation of the distance from the goal</w:t>
      </w:r>
    </w:p>
    <w:p w14:paraId="0A050808" w14:textId="77777777" w:rsidR="007A4B61" w:rsidRPr="00DA0FEE" w:rsidRDefault="007A4B61" w:rsidP="007A4B61">
      <w:pPr>
        <w:pStyle w:val="FootnoteText"/>
        <w:bidi w:val="0"/>
        <w:rPr>
          <w:rtl/>
        </w:rPr>
      </w:pPr>
      <w:r w:rsidRPr="00DA0FEE">
        <w:t>(2) If the state of affairs is of this description, then no circular motion would [proceed] from a nature. Otherwise, it would [proceed] from a non- natural state to a natural state, and when it arrives at [the latter] it would come to rest. It is impossible that there would be in itself an intention [to move] toward that non-natural state. [This is] because nature does not act by choice, but by way of enforcement,</w:t>
      </w:r>
      <w:r w:rsidRPr="00DA0FEE">
        <w:rPr>
          <w:rFonts w:hint="cs"/>
          <w:rtl/>
        </w:rPr>
        <w:t xml:space="preserve"> </w:t>
      </w:r>
      <w:r w:rsidRPr="00DA0FEE">
        <w:t>and by way of what necessarily follows it essentially. For, if the [thing’s] nature were to impart motion in a circular manner, then it would necessarily move another either from a non-natural place or a non-natural position, escaping from it in a natural manner. But every escape from a thing that is natural in itself cannot itself be a natural seeking for it. [Now,] the circular motion separates from every point, leaving it, but seeks in its departure [from it] that [very] point. Thus, it does not escape from a thing but to seek it [again]. Hence, circular motion is not natural.</w:t>
      </w:r>
      <w:r w:rsidRPr="00DA0FEE">
        <w:rPr>
          <w:rFonts w:hint="cs"/>
          <w:rtl/>
        </w:rPr>
        <w:t>"</w:t>
      </w:r>
    </w:p>
    <w:p w14:paraId="7E11CDDB" w14:textId="77777777" w:rsidR="007A4B61" w:rsidRPr="00DA0FEE" w:rsidRDefault="007A4B61" w:rsidP="007A4B61">
      <w:pPr>
        <w:pStyle w:val="FootnoteText"/>
        <w:bidi w:val="0"/>
        <w:rPr>
          <w:rtl/>
        </w:rPr>
      </w:pPr>
    </w:p>
    <w:p w14:paraId="0C13382F" w14:textId="77777777" w:rsidR="007A4B61" w:rsidRPr="00DA0FEE" w:rsidRDefault="007A4B61" w:rsidP="007A4B61">
      <w:pPr>
        <w:pStyle w:val="FootnoteText"/>
        <w:rPr>
          <w:rtl/>
        </w:rPr>
      </w:pPr>
      <w:r w:rsidRPr="00DA0FEE">
        <w:rPr>
          <w:rFonts w:hint="cs"/>
          <w:rtl/>
        </w:rPr>
        <w:t>לשון המורה נבוכים ב' ד'</w:t>
      </w:r>
      <w:r w:rsidRPr="00DA0FEE">
        <w:rPr>
          <w:rtl/>
        </w:rPr>
        <w:fldChar w:fldCharType="begin"/>
      </w:r>
      <w:r w:rsidRPr="00DA0FEE">
        <w:instrText xml:space="preserve"> XE "</w:instrText>
      </w:r>
      <w:r w:rsidRPr="00DA0FEE">
        <w:rPr>
          <w:rFonts w:hint="cs"/>
          <w:rtl/>
        </w:rPr>
        <w:instrText>מורה נבוכים ב' ד' - הוכחה שתנועת הגלגל אינה טבעית</w:instrText>
      </w:r>
      <w:r w:rsidRPr="00DA0FEE">
        <w:instrText xml:space="preserve">" </w:instrText>
      </w:r>
      <w:r w:rsidRPr="00DA0FEE">
        <w:rPr>
          <w:rtl/>
        </w:rPr>
        <w:fldChar w:fldCharType="end"/>
      </w:r>
      <w:r w:rsidRPr="00DA0FEE">
        <w:rPr>
          <w:rFonts w:hint="cs"/>
          <w:rtl/>
        </w:rPr>
        <w:t>:</w:t>
      </w:r>
    </w:p>
    <w:p w14:paraId="585F0CA9" w14:textId="77777777" w:rsidR="007A4B61" w:rsidRPr="00DA0FEE" w:rsidRDefault="007A4B61" w:rsidP="007A4B61">
      <w:pPr>
        <w:pStyle w:val="FootnoteText"/>
      </w:pPr>
      <w:r w:rsidRPr="00DA0FEE">
        <w:rPr>
          <w:rFonts w:hint="cs"/>
          <w:rtl/>
        </w:rPr>
        <w:t>"</w:t>
      </w:r>
      <w:r w:rsidRPr="00DA0FEE">
        <w:rPr>
          <w:rtl/>
        </w:rPr>
        <w:t xml:space="preserve">אמנם היות הגלגל בעל נפש הוא מבואר עם ההשתכלות. אבל יחשוב השומע שזה עניין קשה להשיג, או ירחיקהו גם כן, להיות מדמה שאמרנו שהוא בעל נפש - שהוא כנפש האדם או החמור והשור. ואין זה עניין המאמר; אבל עניין המאמר, שתנועתו המקומית מורה על היות בו התחלה, בה יתנועע בלא ספק, וההתחלה ההיא היא נפש בלא ספק. ובאור זה, כי מן השקר שתהיה תנועתו הסיבובית כתנועת האבן הישרה למטה, או כתנועת האש למעלה, עד שתהיה התחלת התנועה ההיא טבע, לא נפש; כי אשר יתנועע זאת התנועה הטבעית, אמנם תניעהו ההתחלה ההיא אשר בו כשיהיה בזולת מקומו </w:t>
      </w:r>
      <w:r w:rsidRPr="00DA0FEE">
        <w:rPr>
          <w:rFonts w:hint="cs"/>
          <w:rtl/>
        </w:rPr>
        <w:t>-</w:t>
      </w:r>
      <w:r w:rsidRPr="00DA0FEE">
        <w:rPr>
          <w:rtl/>
        </w:rPr>
        <w:t xml:space="preserve"> לבקש מקומו, וכשיגיע למקומו ינוח; וזה הגלגל מתנועע במקומו בסיבוב.</w:t>
      </w:r>
      <w:r w:rsidRPr="00DA0FEE">
        <w:rPr>
          <w:rFonts w:hint="cs"/>
          <w:rtl/>
        </w:rPr>
        <w:t>"</w:t>
      </w:r>
    </w:p>
  </w:footnote>
  <w:footnote w:id="423">
    <w:p w14:paraId="517581F7" w14:textId="0874B3B7" w:rsidR="007A4B61" w:rsidRPr="00DA0FEE" w:rsidRDefault="007A4B61" w:rsidP="007A4B61">
      <w:pPr>
        <w:pStyle w:val="FootnoteText"/>
      </w:pPr>
      <w:r w:rsidRPr="00EE0F22">
        <w:rPr>
          <w:rStyle w:val="FootnoteReference"/>
        </w:rPr>
        <w:footnoteRef/>
      </w:r>
      <w:r w:rsidRPr="00DA0FEE">
        <w:rPr>
          <w:rtl/>
        </w:rPr>
        <w:t xml:space="preserve"> </w:t>
      </w:r>
      <w:r w:rsidRPr="00DA0FEE">
        <w:rPr>
          <w:rFonts w:ascii="Arial" w:hAnsi="Arial" w:cs="Arial" w:hint="cs"/>
          <w:rtl/>
        </w:rPr>
        <w:t>قوة</w:t>
      </w:r>
      <w:r w:rsidRPr="00DA0FEE">
        <w:rPr>
          <w:rtl/>
        </w:rPr>
        <w:t xml:space="preserve"> </w:t>
      </w:r>
      <w:r w:rsidRPr="00DA0FEE">
        <w:rPr>
          <w:rFonts w:ascii="Arial" w:hAnsi="Arial" w:cs="Arial" w:hint="cs"/>
          <w:rtl/>
        </w:rPr>
        <w:t>تحرك</w:t>
      </w:r>
      <w:r w:rsidRPr="00DA0FEE">
        <w:rPr>
          <w:rtl/>
        </w:rPr>
        <w:t xml:space="preserve"> </w:t>
      </w:r>
      <w:r w:rsidRPr="00DA0FEE">
        <w:rPr>
          <w:rFonts w:ascii="Arial" w:hAnsi="Arial" w:cs="Arial" w:hint="cs"/>
          <w:rtl/>
        </w:rPr>
        <w:t>و</w:t>
      </w:r>
      <w:r w:rsidRPr="00DA0FEE">
        <w:rPr>
          <w:rtl/>
        </w:rPr>
        <w:t xml:space="preserve"> </w:t>
      </w:r>
      <w:r w:rsidRPr="00DA0FEE">
        <w:rPr>
          <w:rFonts w:ascii="Arial" w:hAnsi="Arial" w:cs="Arial" w:hint="cs"/>
          <w:rtl/>
        </w:rPr>
        <w:t>تغير</w:t>
      </w:r>
      <w:r w:rsidRPr="00DA0FEE">
        <w:rPr>
          <w:rtl/>
        </w:rPr>
        <w:t xml:space="preserve"> אפשר גם</w:t>
      </w:r>
      <w:r w:rsidRPr="00DA0FEE">
        <w:rPr>
          <w:rFonts w:hint="cs"/>
          <w:rtl/>
        </w:rPr>
        <w:t xml:space="preserve"> כמו מקגיניס</w:t>
      </w:r>
      <w:r w:rsidRPr="00DA0FEE">
        <w:rPr>
          <w:rtl/>
        </w:rPr>
        <w:t>: 'כח הנעה'</w:t>
      </w:r>
      <w:r w:rsidRPr="00DA0FEE">
        <w:rPr>
          <w:rFonts w:hint="cs"/>
          <w:rtl/>
        </w:rPr>
        <w:t xml:space="preserve"> (ואז 'שינוי' לא יתפרש כהשתנות אלא ככח שמשנה את מה שנפעל על ידו.)</w:t>
      </w:r>
      <w:r w:rsidRPr="00DA0FEE">
        <w:rPr>
          <w:rtl/>
        </w:rPr>
        <w:t xml:space="preserve">. </w:t>
      </w:r>
      <w:r w:rsidRPr="00DA0FEE">
        <w:rPr>
          <w:rFonts w:hint="cs"/>
          <w:rtl/>
        </w:rPr>
        <w:t xml:space="preserve">לפי תרגום מקגיניס לא </w:t>
      </w:r>
      <w:r w:rsidR="009C463A" w:rsidRPr="00DA0FEE">
        <w:rPr>
          <w:rFonts w:hint="cs"/>
          <w:rtl/>
        </w:rPr>
        <w:t>מדויק</w:t>
      </w:r>
      <w:r w:rsidRPr="00DA0FEE">
        <w:rPr>
          <w:rFonts w:hint="cs"/>
          <w:rtl/>
        </w:rPr>
        <w:t xml:space="preserve"> לומר שמהכח 'נובעות' (</w:t>
      </w:r>
      <w:r w:rsidRPr="00DA0FEE">
        <w:rPr>
          <w:rFonts w:ascii="Arial" w:hAnsi="Arial" w:cs="Arial" w:hint="cs"/>
          <w:rtl/>
        </w:rPr>
        <w:t>يصدر</w:t>
      </w:r>
      <w:r w:rsidRPr="00DA0FEE">
        <w:rPr>
          <w:rtl/>
        </w:rPr>
        <w:t xml:space="preserve"> </w:t>
      </w:r>
      <w:r w:rsidRPr="00DA0FEE">
        <w:rPr>
          <w:rFonts w:ascii="Arial" w:hAnsi="Arial" w:cs="Arial" w:hint="cs"/>
          <w:rtl/>
        </w:rPr>
        <w:t>عنها</w:t>
      </w:r>
      <w:r w:rsidRPr="00DA0FEE">
        <w:rPr>
          <w:rFonts w:hint="cs"/>
          <w:rtl/>
        </w:rPr>
        <w:t xml:space="preserve">) התנועות אלא הן נפעלות ממנו. </w:t>
      </w:r>
    </w:p>
  </w:footnote>
  <w:footnote w:id="424">
    <w:p w14:paraId="2407C104" w14:textId="77777777" w:rsidR="007A4B61" w:rsidRPr="00DA0FEE" w:rsidRDefault="007A4B61" w:rsidP="007A4B61">
      <w:pPr>
        <w:pStyle w:val="FootnoteText"/>
      </w:pPr>
      <w:r w:rsidRPr="00EE0F22">
        <w:rPr>
          <w:rStyle w:val="FootnoteReference"/>
        </w:rPr>
        <w:footnoteRef/>
      </w:r>
      <w:r w:rsidRPr="00DA0FEE">
        <w:rPr>
          <w:rtl/>
        </w:rPr>
        <w:t xml:space="preserve"> </w:t>
      </w:r>
      <w:r w:rsidRPr="00DA0FEE">
        <w:rPr>
          <w:rFonts w:hint="cs"/>
          <w:rtl/>
        </w:rPr>
        <w:t xml:space="preserve">כמו העקבות שהאבן מותירה בנפילתה והבערה שהאש גורמת. </w:t>
      </w:r>
    </w:p>
  </w:footnote>
  <w:footnote w:id="425">
    <w:p w14:paraId="58847996" w14:textId="77777777" w:rsidR="007A4B61" w:rsidRPr="00DA0FEE" w:rsidRDefault="007A4B61" w:rsidP="007A4B61">
      <w:pPr>
        <w:pStyle w:val="FootnoteText"/>
      </w:pPr>
      <w:r w:rsidRPr="00EE0F22">
        <w:rPr>
          <w:rStyle w:val="FootnoteReference"/>
        </w:rPr>
        <w:footnoteRef/>
      </w:r>
      <w:r w:rsidRPr="00DA0FEE">
        <w:rPr>
          <w:rtl/>
        </w:rPr>
        <w:t xml:space="preserve"> </w:t>
      </w:r>
      <w:r w:rsidRPr="00DA0FEE">
        <w:rPr>
          <w:rFonts w:hint="cs"/>
          <w:rtl/>
        </w:rPr>
        <w:t xml:space="preserve">מקומה הטבעי של האבן, הוא מרכז כדור הארץ, כמו מקומו הטבעי של יסוד העפר שתכונותיו שולטות באבן (שלפי האמת מורכבת מכל ארבעת היסודות). האבן נופלת עד שמגיעה אל הקרקע, והקרקע מונעת אותה מלהגיע אל מרכז הכדור, לכן נראה שמקומה הטבעי של האבן הוא על גבי הקרקע, וכן אומרים לפעמים כשאין צורך לדייק בזה. </w:t>
      </w:r>
    </w:p>
  </w:footnote>
  <w:footnote w:id="426">
    <w:p w14:paraId="6D39661A" w14:textId="77777777" w:rsidR="007A4B61" w:rsidRPr="00DA0FEE" w:rsidRDefault="007A4B61" w:rsidP="007A4B61">
      <w:pPr>
        <w:pStyle w:val="FootnoteText"/>
      </w:pPr>
      <w:r w:rsidRPr="00EE0F22">
        <w:rPr>
          <w:rStyle w:val="FootnoteReference"/>
        </w:rPr>
        <w:footnoteRef/>
      </w:r>
      <w:r w:rsidRPr="00DA0FEE">
        <w:rPr>
          <w:rtl/>
        </w:rPr>
        <w:t xml:space="preserve"> </w:t>
      </w:r>
      <w:r w:rsidRPr="00DA0FEE">
        <w:rPr>
          <w:rFonts w:hint="cs"/>
          <w:rtl/>
        </w:rPr>
        <w:t xml:space="preserve">שהגלגלים והכוכבים נעים מרצונם (אבל רק בדרך אחת קבועה). </w:t>
      </w:r>
    </w:p>
  </w:footnote>
  <w:footnote w:id="427">
    <w:p w14:paraId="4E0EE1E4" w14:textId="4CAAA518" w:rsidR="007A4B61" w:rsidRPr="00DA0FEE" w:rsidRDefault="007A4B61" w:rsidP="007A4B61">
      <w:pPr>
        <w:pStyle w:val="FootnoteText"/>
      </w:pPr>
      <w:r w:rsidRPr="00EE0F22">
        <w:rPr>
          <w:rStyle w:val="FootnoteReference"/>
        </w:rPr>
        <w:footnoteRef/>
      </w:r>
      <w:r w:rsidRPr="00DA0FEE">
        <w:rPr>
          <w:rtl/>
        </w:rPr>
        <w:t xml:space="preserve"> </w:t>
      </w:r>
      <w:r w:rsidRPr="00DA0FEE">
        <w:rPr>
          <w:rFonts w:hint="cs"/>
          <w:rtl/>
        </w:rPr>
        <w:t xml:space="preserve">הפעולות של הצמח דומות לנפילת האבן, כי אין בהן רצון, ותיקראנה 'טבע' כמו הטבע שבאבן שמכוחו היא נופלת, ולא תיקראנה </w:t>
      </w:r>
      <w:r w:rsidR="00732DDE">
        <w:rPr>
          <w:rFonts w:hint="cs"/>
          <w:rtl/>
        </w:rPr>
        <w:t>'</w:t>
      </w:r>
      <w:r w:rsidRPr="00DA0FEE">
        <w:rPr>
          <w:rFonts w:hint="cs"/>
          <w:rtl/>
        </w:rPr>
        <w:t>נפש הצומח</w:t>
      </w:r>
      <w:r w:rsidR="00732DDE">
        <w:rPr>
          <w:rFonts w:hint="cs"/>
          <w:rtl/>
        </w:rPr>
        <w:t>'</w:t>
      </w:r>
      <w:r w:rsidRPr="00DA0FEE">
        <w:rPr>
          <w:rFonts w:hint="cs"/>
          <w:rtl/>
        </w:rPr>
        <w:t xml:space="preserve"> כי יש במילה 'נפש' משמעות של חיים בעלי רצון. </w:t>
      </w:r>
    </w:p>
  </w:footnote>
  <w:footnote w:id="428">
    <w:p w14:paraId="2BFCB7C7" w14:textId="77777777" w:rsidR="007A4B61" w:rsidRPr="00DA0FEE" w:rsidRDefault="007A4B61" w:rsidP="007A4B61">
      <w:pPr>
        <w:pStyle w:val="FootnoteText"/>
        <w:rPr>
          <w:rtl/>
        </w:rPr>
      </w:pPr>
      <w:r w:rsidRPr="00AA389A">
        <w:rPr>
          <w:rStyle w:val="FootnoteReference"/>
        </w:rPr>
        <w:footnoteRef/>
      </w:r>
      <w:r w:rsidRPr="00DA0FEE">
        <w:rPr>
          <w:rtl/>
        </w:rPr>
        <w:t xml:space="preserve"> </w:t>
      </w:r>
      <w:r w:rsidRPr="00DA0FEE">
        <w:rPr>
          <w:rFonts w:hint="cs"/>
          <w:rtl/>
        </w:rPr>
        <w:t>בפיזיקה ב' א' כתב אריסטו:</w:t>
      </w:r>
    </w:p>
    <w:p w14:paraId="19231FDE" w14:textId="77777777" w:rsidR="007A4B61" w:rsidRPr="00DA0FEE" w:rsidRDefault="007A4B61" w:rsidP="007A4B61">
      <w:pPr>
        <w:pStyle w:val="FootnoteText"/>
      </w:pPr>
      <w:r w:rsidRPr="00DA0FEE">
        <w:rPr>
          <w:rFonts w:hint="cs"/>
          <w:rtl/>
        </w:rPr>
        <w:t>"</w:t>
      </w:r>
      <w:r w:rsidRPr="00DA0FEE">
        <w:rPr>
          <w:rtl/>
        </w:rPr>
        <w:t xml:space="preserve">לנסות להוכיח שהטבע נמצא מגוחך הוא, שהרי ברור, שרבים מן הנמצאים הם כאלה. להוכיח את מה שברור על ידי שאינו ברור הוא חלקו של מי שאינו מסוגל להבחין בין מה שמוכר מעצמו למה שמוכר שלא מעצמו. שזאת יכול לקרות ברור מאוד - אם יסיק אדם שהוא עיוור מלידה על צבעים; שהרי מן ההכרח שלאנשים כאלה </w:t>
      </w:r>
      <w:r w:rsidRPr="00DA0FEE">
        <w:rPr>
          <w:rtl/>
        </w:rPr>
        <w:t>יסוב הדיון על מילים, אך לא יבינו דבר.</w:t>
      </w:r>
      <w:r w:rsidRPr="00DA0FEE">
        <w:rPr>
          <w:rFonts w:hint="cs"/>
          <w:rtl/>
        </w:rPr>
        <w:t>"</w:t>
      </w:r>
    </w:p>
  </w:footnote>
  <w:footnote w:id="429">
    <w:p w14:paraId="6A3130BE" w14:textId="15309145" w:rsidR="003E3DC0" w:rsidRDefault="00FB5D76">
      <w:pPr>
        <w:pStyle w:val="FootnoteText"/>
        <w:rPr>
          <w:rtl/>
        </w:rPr>
      </w:pPr>
      <w:r>
        <w:rPr>
          <w:rStyle w:val="FootnoteReference"/>
        </w:rPr>
        <w:footnoteRef/>
      </w:r>
      <w:r>
        <w:rPr>
          <w:rtl/>
        </w:rPr>
        <w:t xml:space="preserve"> </w:t>
      </w:r>
      <w:r w:rsidR="00EB5173">
        <w:rPr>
          <w:rFonts w:hint="cs"/>
          <w:rtl/>
        </w:rPr>
        <w:t xml:space="preserve">מובן מאליו שתנועה לא תתחיל מעצמה בלי שום מניע. אם נראה אבן על הקרקע שמתחילה לנוע, ונוודא שאין לזה שום מניע, שום סיבה שפועלת את התנועה, זה ייחשב לנס </w:t>
      </w:r>
      <w:r w:rsidR="0065431B">
        <w:rPr>
          <w:rFonts w:hint="cs"/>
          <w:rtl/>
        </w:rPr>
        <w:t xml:space="preserve">על-טבעי. </w:t>
      </w:r>
      <w:r w:rsidR="006F76C3">
        <w:rPr>
          <w:rFonts w:hint="cs"/>
          <w:rtl/>
        </w:rPr>
        <w:t xml:space="preserve">אם יש מניע לתנועה, בהכרח הוא מאלץ אותה לאופן </w:t>
      </w:r>
      <w:r w:rsidR="009C463A">
        <w:rPr>
          <w:rFonts w:hint="cs"/>
          <w:rtl/>
        </w:rPr>
        <w:t>מסוים</w:t>
      </w:r>
      <w:r w:rsidR="006F76C3">
        <w:rPr>
          <w:rFonts w:hint="cs"/>
          <w:rtl/>
        </w:rPr>
        <w:t xml:space="preserve">, שהרי הוא יוצר אותה ולכן הוא גם קובע אותה. </w:t>
      </w:r>
      <w:r w:rsidR="00D13F0F">
        <w:rPr>
          <w:rFonts w:hint="cs"/>
          <w:rtl/>
        </w:rPr>
        <w:t xml:space="preserve">גם תנועות שיש בהן ריבוי דרכים, כמו תנועות בעלי החיים, </w:t>
      </w:r>
      <w:r w:rsidR="00EA0ACA">
        <w:rPr>
          <w:rFonts w:hint="cs"/>
          <w:rtl/>
        </w:rPr>
        <w:t>יש בהן בהכרח אילוץ, במה שלא כל תנועה אפשרית אלא רק חלק מהתנועות אפשריות. למשל סוס לא יכול לעוף, וזה מכח ש</w:t>
      </w:r>
      <w:r w:rsidR="00B7733B">
        <w:rPr>
          <w:rFonts w:hint="cs"/>
          <w:rtl/>
        </w:rPr>
        <w:t>המניע של תנועתו</w:t>
      </w:r>
      <w:r w:rsidR="004E3DC8">
        <w:rPr>
          <w:rFonts w:hint="cs"/>
          <w:rtl/>
        </w:rPr>
        <w:t>, כלומר נפשו שממנה באה בחירתו לנוע,</w:t>
      </w:r>
      <w:r w:rsidR="00B7733B">
        <w:rPr>
          <w:rFonts w:hint="cs"/>
          <w:rtl/>
        </w:rPr>
        <w:t xml:space="preserve"> אי</w:t>
      </w:r>
      <w:r w:rsidR="00CB48E6">
        <w:rPr>
          <w:rFonts w:hint="cs"/>
          <w:rtl/>
        </w:rPr>
        <w:t>ן ב</w:t>
      </w:r>
      <w:r w:rsidR="00537A52">
        <w:rPr>
          <w:rFonts w:hint="cs"/>
          <w:rtl/>
        </w:rPr>
        <w:t>ו</w:t>
      </w:r>
      <w:r w:rsidR="00B7733B">
        <w:rPr>
          <w:rFonts w:hint="cs"/>
          <w:rtl/>
        </w:rPr>
        <w:t xml:space="preserve"> את האפשרות הזו</w:t>
      </w:r>
      <w:r w:rsidR="00EE5E7C">
        <w:rPr>
          <w:rFonts w:hint="cs"/>
          <w:rtl/>
        </w:rPr>
        <w:t xml:space="preserve"> (עיין לעיל ב</w:t>
      </w:r>
      <w:r w:rsidR="002A14C0">
        <w:rPr>
          <w:rFonts w:hint="cs"/>
          <w:rtl/>
        </w:rPr>
        <w:t>הערה על 1.2.17 בעניין 'רוחב' ושיעור קומה</w:t>
      </w:r>
      <w:r w:rsidR="00FD70EC">
        <w:rPr>
          <w:rFonts w:hint="cs"/>
          <w:rtl/>
        </w:rPr>
        <w:t>)</w:t>
      </w:r>
      <w:r w:rsidR="00CB48E6">
        <w:rPr>
          <w:rFonts w:hint="cs"/>
          <w:rtl/>
        </w:rPr>
        <w:t>, ומ</w:t>
      </w:r>
      <w:r w:rsidR="00BB74F4">
        <w:rPr>
          <w:rFonts w:hint="cs"/>
          <w:rtl/>
        </w:rPr>
        <w:t>כח מהותו ה</w:t>
      </w:r>
      <w:r w:rsidR="00537A52">
        <w:rPr>
          <w:rFonts w:hint="cs"/>
          <w:rtl/>
        </w:rPr>
        <w:t>מניע</w:t>
      </w:r>
      <w:r w:rsidR="00BB74F4">
        <w:rPr>
          <w:rFonts w:hint="cs"/>
          <w:rtl/>
        </w:rPr>
        <w:t xml:space="preserve"> מאלץ את תנועת החומר שלא לעוף</w:t>
      </w:r>
      <w:r w:rsidR="00B7733B">
        <w:rPr>
          <w:rFonts w:hint="cs"/>
          <w:rtl/>
        </w:rPr>
        <w:t>.</w:t>
      </w:r>
      <w:r w:rsidR="006F76C3">
        <w:rPr>
          <w:rFonts w:hint="cs"/>
          <w:rtl/>
        </w:rPr>
        <w:t xml:space="preserve"> </w:t>
      </w:r>
      <w:r w:rsidR="00522125">
        <w:rPr>
          <w:rFonts w:hint="cs"/>
          <w:rtl/>
        </w:rPr>
        <w:t>האילוץ הזה בהכרח יש בו חוקיות כלשהי</w:t>
      </w:r>
      <w:r w:rsidR="00A2271B">
        <w:rPr>
          <w:rFonts w:hint="cs"/>
          <w:rtl/>
        </w:rPr>
        <w:t xml:space="preserve">, </w:t>
      </w:r>
      <w:r w:rsidR="00E74BF6">
        <w:rPr>
          <w:rFonts w:hint="cs"/>
          <w:rtl/>
        </w:rPr>
        <w:t>למשל החוק ש</w:t>
      </w:r>
      <w:r w:rsidR="00A2271B">
        <w:rPr>
          <w:rFonts w:hint="cs"/>
          <w:rtl/>
        </w:rPr>
        <w:t>כל הסוסים לא יכולים לעוף</w:t>
      </w:r>
      <w:r w:rsidR="00E74BF6">
        <w:rPr>
          <w:rFonts w:hint="cs"/>
          <w:rtl/>
        </w:rPr>
        <w:t xml:space="preserve"> ואם יודעי</w:t>
      </w:r>
      <w:r w:rsidR="00834711">
        <w:rPr>
          <w:rFonts w:hint="cs"/>
          <w:rtl/>
        </w:rPr>
        <w:t>ם</w:t>
      </w:r>
      <w:r w:rsidR="00E74BF6">
        <w:rPr>
          <w:rFonts w:hint="cs"/>
          <w:rtl/>
        </w:rPr>
        <w:t xml:space="preserve"> על </w:t>
      </w:r>
      <w:r w:rsidR="00834711">
        <w:rPr>
          <w:rFonts w:hint="cs"/>
          <w:rtl/>
        </w:rPr>
        <w:t>גוף</w:t>
      </w:r>
      <w:r w:rsidR="00E74BF6">
        <w:rPr>
          <w:rFonts w:hint="cs"/>
          <w:rtl/>
        </w:rPr>
        <w:t xml:space="preserve"> שהוא סוס </w:t>
      </w:r>
      <w:r w:rsidR="00834711">
        <w:rPr>
          <w:rFonts w:hint="cs"/>
          <w:rtl/>
        </w:rPr>
        <w:t xml:space="preserve">אז </w:t>
      </w:r>
      <w:r w:rsidR="00E74BF6">
        <w:rPr>
          <w:rFonts w:hint="cs"/>
          <w:rtl/>
        </w:rPr>
        <w:t xml:space="preserve">ידוע </w:t>
      </w:r>
      <w:r w:rsidR="00834711">
        <w:rPr>
          <w:rFonts w:hint="cs"/>
          <w:rtl/>
        </w:rPr>
        <w:t>מ</w:t>
      </w:r>
      <w:r w:rsidR="00E74BF6">
        <w:rPr>
          <w:rFonts w:hint="cs"/>
          <w:rtl/>
        </w:rPr>
        <w:t>ראש שלא יו</w:t>
      </w:r>
      <w:r w:rsidR="00834711">
        <w:rPr>
          <w:rFonts w:hint="cs"/>
          <w:rtl/>
        </w:rPr>
        <w:t>כ</w:t>
      </w:r>
      <w:r w:rsidR="00E74BF6">
        <w:rPr>
          <w:rFonts w:hint="cs"/>
          <w:rtl/>
        </w:rPr>
        <w:t>ל לעוף כי זה חוק הסוסים</w:t>
      </w:r>
      <w:r w:rsidR="007B7CB9">
        <w:rPr>
          <w:rFonts w:hint="cs"/>
          <w:rtl/>
        </w:rPr>
        <w:t>, וכל בעל חיים שאין לו איבר תעופה לא יכול לעוף</w:t>
      </w:r>
      <w:r w:rsidR="00834711">
        <w:rPr>
          <w:rFonts w:hint="cs"/>
          <w:rtl/>
        </w:rPr>
        <w:t xml:space="preserve"> וכן הלאה</w:t>
      </w:r>
      <w:r w:rsidR="00522125">
        <w:rPr>
          <w:rFonts w:hint="cs"/>
          <w:rtl/>
        </w:rPr>
        <w:t xml:space="preserve">. </w:t>
      </w:r>
      <w:r w:rsidR="007A1ABE">
        <w:rPr>
          <w:rFonts w:hint="cs"/>
          <w:rtl/>
        </w:rPr>
        <w:t xml:space="preserve">אם אין </w:t>
      </w:r>
      <w:r w:rsidR="0086548F">
        <w:rPr>
          <w:rFonts w:hint="cs"/>
          <w:rtl/>
        </w:rPr>
        <w:t>חוקיות באילוץ של המניע על התנועה, אין כאן אילוץ כלל כי אז יהיה באופן מקרי כל קשר (אפשרי ולא אפשרי מצד החוקיות המוכרת לנו</w:t>
      </w:r>
      <w:r w:rsidR="009554F0">
        <w:rPr>
          <w:rFonts w:hint="cs"/>
          <w:rtl/>
        </w:rPr>
        <w:t>)</w:t>
      </w:r>
      <w:r w:rsidR="0086548F">
        <w:rPr>
          <w:rFonts w:hint="cs"/>
          <w:rtl/>
        </w:rPr>
        <w:t xml:space="preserve"> בין המניע לתנועה שמסובבת ממנו.</w:t>
      </w:r>
      <w:r w:rsidR="004819DA">
        <w:rPr>
          <w:rFonts w:hint="cs"/>
          <w:rtl/>
        </w:rPr>
        <w:t xml:space="preserve"> החוקיות שיש בקשר שבין המניע לתנועה היא מה שאנו קוראים 'טבע'. </w:t>
      </w:r>
      <w:r w:rsidR="00814B2F">
        <w:rPr>
          <w:rFonts w:hint="cs"/>
          <w:rtl/>
        </w:rPr>
        <w:t>אריסטו אומר שיש בעצמים הטבעיים 'התחלת תנועה'</w:t>
      </w:r>
      <w:r w:rsidR="003E5B4A">
        <w:rPr>
          <w:rFonts w:hint="cs"/>
          <w:rtl/>
        </w:rPr>
        <w:t xml:space="preserve">, כלומר יש במהותם קשר עם מניע שהוא מחוץ למהות העצם מצד עצמה, אלא הוא 'התחלה' של העצם, שורש שלו, מקור של מציאותו ותנועתו, ולא משהו שנמצא כולו בתוך העצם. כמו שהתחלה של מדע </w:t>
      </w:r>
      <w:r w:rsidR="000B43B5">
        <w:rPr>
          <w:rFonts w:hint="cs"/>
          <w:rtl/>
        </w:rPr>
        <w:t>נובעת מהמדע שמעליו</w:t>
      </w:r>
      <w:r w:rsidR="00814B2F">
        <w:rPr>
          <w:rFonts w:hint="cs"/>
          <w:rtl/>
        </w:rPr>
        <w:t>.</w:t>
      </w:r>
      <w:r w:rsidR="003A56BB">
        <w:rPr>
          <w:rFonts w:hint="cs"/>
          <w:rtl/>
        </w:rPr>
        <w:t xml:space="preserve"> </w:t>
      </w:r>
    </w:p>
    <w:p w14:paraId="1D17E233" w14:textId="622F7D13" w:rsidR="003E3DC0" w:rsidRDefault="003A56BB">
      <w:pPr>
        <w:pStyle w:val="FootnoteText"/>
        <w:rPr>
          <w:rtl/>
        </w:rPr>
      </w:pPr>
      <w:r>
        <w:rPr>
          <w:rFonts w:hint="cs"/>
          <w:rtl/>
        </w:rPr>
        <w:t xml:space="preserve">לפי זה לא יתכן כלל לחשוב שאין מציאות של </w:t>
      </w:r>
      <w:r w:rsidR="00AA6AC8">
        <w:rPr>
          <w:rFonts w:hint="cs"/>
          <w:rtl/>
        </w:rPr>
        <w:t>'</w:t>
      </w:r>
      <w:r>
        <w:rPr>
          <w:rFonts w:hint="cs"/>
          <w:rtl/>
        </w:rPr>
        <w:t>טבע</w:t>
      </w:r>
      <w:r w:rsidR="00AA6AC8">
        <w:rPr>
          <w:rFonts w:hint="cs"/>
          <w:rtl/>
        </w:rPr>
        <w:t>'</w:t>
      </w:r>
      <w:r>
        <w:rPr>
          <w:rFonts w:hint="cs"/>
          <w:rtl/>
        </w:rPr>
        <w:t>, וכל התנועות אין להן שום מניע. כי א</w:t>
      </w:r>
      <w:r w:rsidR="007E54AC">
        <w:rPr>
          <w:rFonts w:hint="cs"/>
          <w:rtl/>
        </w:rPr>
        <w:t>ם</w:t>
      </w:r>
      <w:r>
        <w:rPr>
          <w:rFonts w:hint="cs"/>
          <w:rtl/>
        </w:rPr>
        <w:t xml:space="preserve"> התנועה ספונטנית </w:t>
      </w:r>
      <w:r w:rsidR="00A57E3A">
        <w:rPr>
          <w:rFonts w:hint="cs"/>
          <w:rtl/>
        </w:rPr>
        <w:t>וקורה מעצמה</w:t>
      </w:r>
      <w:r>
        <w:rPr>
          <w:rFonts w:hint="cs"/>
          <w:rtl/>
        </w:rPr>
        <w:t xml:space="preserve"> היא מקרית, אין סיבה</w:t>
      </w:r>
      <w:r w:rsidR="007E54AC">
        <w:rPr>
          <w:rFonts w:hint="cs"/>
          <w:rtl/>
        </w:rPr>
        <w:t xml:space="preserve"> </w:t>
      </w:r>
      <w:r>
        <w:rPr>
          <w:rFonts w:hint="cs"/>
          <w:rtl/>
        </w:rPr>
        <w:t>להניח חוקיות לתנ</w:t>
      </w:r>
      <w:r w:rsidR="007E54AC">
        <w:rPr>
          <w:rFonts w:hint="cs"/>
          <w:rtl/>
        </w:rPr>
        <w:t>ו</w:t>
      </w:r>
      <w:r>
        <w:rPr>
          <w:rFonts w:hint="cs"/>
          <w:rtl/>
        </w:rPr>
        <w:t>עה כזו (כי החוקיות היא הקשר בין התנועה למניע)</w:t>
      </w:r>
      <w:r w:rsidR="00AA6AC8">
        <w:rPr>
          <w:rFonts w:hint="cs"/>
          <w:rtl/>
        </w:rPr>
        <w:t xml:space="preserve">, ופשוט לכל אדם שיש חוקיות בתנועות של הגופים הטבעיים, אף אחד לא סבור שאם הוא ירים אבן ויעזוב אותה, אפשר שהיא תיפול לכל כיוון או שתישאר תלויה באוויר, אלא פשוט לכל אדם שיש חוק שמגדיר את תנועתה (במקרה של אבן החוק ידוע </w:t>
      </w:r>
      <w:r w:rsidR="009D3CB1">
        <w:rPr>
          <w:rFonts w:hint="cs"/>
          <w:rtl/>
        </w:rPr>
        <w:t>מהניסיו</w:t>
      </w:r>
      <w:r w:rsidR="009D3CB1">
        <w:rPr>
          <w:rFonts w:hint="eastAsia"/>
          <w:rtl/>
        </w:rPr>
        <w:t>ן</w:t>
      </w:r>
      <w:r w:rsidR="00AA6AC8">
        <w:rPr>
          <w:rFonts w:hint="cs"/>
          <w:rtl/>
        </w:rPr>
        <w:t xml:space="preserve">, אבל גם אם יש תנועות שאין לנו ניסיון לגביהן, אנו בטוחים שאם </w:t>
      </w:r>
      <w:r w:rsidR="00627A59">
        <w:rPr>
          <w:rFonts w:hint="cs"/>
          <w:rtl/>
        </w:rPr>
        <w:t>נ</w:t>
      </w:r>
      <w:r w:rsidR="00AA6AC8">
        <w:rPr>
          <w:rFonts w:hint="cs"/>
          <w:rtl/>
        </w:rPr>
        <w:t>כיר אותן נגלה את החוקיות</w:t>
      </w:r>
      <w:r w:rsidR="00627A59">
        <w:rPr>
          <w:rFonts w:hint="cs"/>
          <w:rtl/>
        </w:rPr>
        <w:t xml:space="preserve"> </w:t>
      </w:r>
      <w:r w:rsidR="00AA6AC8">
        <w:rPr>
          <w:rFonts w:hint="cs"/>
          <w:rtl/>
        </w:rPr>
        <w:t>שבהן</w:t>
      </w:r>
      <w:r w:rsidR="008D10A8">
        <w:rPr>
          <w:rFonts w:hint="cs"/>
          <w:rtl/>
        </w:rPr>
        <w:t>)</w:t>
      </w:r>
      <w:r w:rsidR="00AA6AC8">
        <w:rPr>
          <w:rFonts w:hint="cs"/>
          <w:rtl/>
        </w:rPr>
        <w:t>.</w:t>
      </w:r>
    </w:p>
    <w:p w14:paraId="568EAA6A" w14:textId="77777777" w:rsidR="003826D5" w:rsidRDefault="003E3DC0">
      <w:pPr>
        <w:pStyle w:val="FootnoteText"/>
        <w:rPr>
          <w:rtl/>
        </w:rPr>
      </w:pPr>
      <w:r>
        <w:rPr>
          <w:rFonts w:hint="cs"/>
          <w:rtl/>
        </w:rPr>
        <w:t xml:space="preserve">יש למתימטיקה וללוגיקה אקסיומות, מושכלות ראשונות, </w:t>
      </w:r>
      <w:r w:rsidR="006343E5">
        <w:rPr>
          <w:rFonts w:hint="cs"/>
          <w:rtl/>
        </w:rPr>
        <w:t xml:space="preserve">שעליהן הן עומדות. למשל הקביעה שאם א' שווה ב', וב' שווה ג', אז א' שווה ג'. </w:t>
      </w:r>
      <w:r w:rsidR="009D3CB1">
        <w:rPr>
          <w:rFonts w:hint="cs"/>
          <w:rtl/>
        </w:rPr>
        <w:t xml:space="preserve">אי אפשר להוכיח את הקביעה הזו בהוכחות לוגיות או מתמטיות, </w:t>
      </w:r>
      <w:r w:rsidR="00CD3B5F">
        <w:rPr>
          <w:rFonts w:hint="cs"/>
          <w:rtl/>
        </w:rPr>
        <w:t xml:space="preserve">אלא זה נחשב לאמת כי זה מובן מאליו. לכאורה אפשר לומר שאנו מרגישים שזה אמת, יש לנו חוויה שזה אמת, </w:t>
      </w:r>
      <w:r w:rsidR="009F2DBD">
        <w:rPr>
          <w:rFonts w:hint="cs"/>
          <w:rtl/>
        </w:rPr>
        <w:t xml:space="preserve">אבל זה עניין רגשי סובייקטיבי, איך נשלול דברי מי שאומר </w:t>
      </w:r>
      <w:r w:rsidR="009F2DBD">
        <w:rPr>
          <w:rFonts w:hint="cs"/>
          <w:rtl/>
        </w:rPr>
        <w:t xml:space="preserve">שבחווייה שלו זה לא אמת, והאם הלוגיקה והמתמטיקה מבוססות על רגש וחוויה בלבד. </w:t>
      </w:r>
      <w:r w:rsidR="001C58C0">
        <w:rPr>
          <w:rFonts w:hint="cs"/>
          <w:rtl/>
        </w:rPr>
        <w:t>אלא עיני השכל רואות שזה אמת כמו שעיני הבשר רואות שכעת צהרי היום ו</w:t>
      </w:r>
      <w:r w:rsidR="00AA6E83">
        <w:rPr>
          <w:rFonts w:hint="cs"/>
          <w:rtl/>
        </w:rPr>
        <w:t>לא</w:t>
      </w:r>
      <w:r w:rsidR="001C58C0">
        <w:rPr>
          <w:rFonts w:hint="cs"/>
          <w:rtl/>
        </w:rPr>
        <w:t xml:space="preserve"> לילה, </w:t>
      </w:r>
      <w:r w:rsidR="00AA6E83">
        <w:rPr>
          <w:rFonts w:hint="cs"/>
          <w:rtl/>
        </w:rPr>
        <w:t xml:space="preserve">זה השכל העיוני שנקרא כך מלשון עין, כי הוא כמו עין שרואה את המושכלות באופן ישר, בלתי אמצעי, ואינו צריך מילים וחישובים וניתוחים. </w:t>
      </w:r>
      <w:r w:rsidR="00C1741B">
        <w:rPr>
          <w:rFonts w:hint="cs"/>
          <w:rtl/>
        </w:rPr>
        <w:t>באופן כזה השכל העיוני רואה שיש לכל תנועה מניע ויש חוקיות בתנועות שנובעת מהקשר שלהן עם המניע</w:t>
      </w:r>
      <w:r w:rsidR="00C93CDF">
        <w:rPr>
          <w:rFonts w:hint="cs"/>
          <w:rtl/>
        </w:rPr>
        <w:t xml:space="preserve"> (ולא שכל התנועות קורות בלי מניע ובלי חוקיות והכל מקרי והכל אפשרי)</w:t>
      </w:r>
      <w:r w:rsidR="00C1741B">
        <w:rPr>
          <w:rFonts w:hint="cs"/>
          <w:rtl/>
        </w:rPr>
        <w:t xml:space="preserve">. </w:t>
      </w:r>
      <w:r w:rsidR="004C7058">
        <w:rPr>
          <w:rFonts w:hint="cs"/>
          <w:rtl/>
        </w:rPr>
        <w:t xml:space="preserve">על זה הלעג של אריסטו, שמדובר באנשים </w:t>
      </w:r>
      <w:r w:rsidR="008F6E0F">
        <w:rPr>
          <w:rFonts w:hint="cs"/>
          <w:rtl/>
        </w:rPr>
        <w:t>שלא מבחינים בין מה שמוכר</w:t>
      </w:r>
      <w:r w:rsidR="00E02FF1">
        <w:rPr>
          <w:rFonts w:hint="cs"/>
          <w:rtl/>
        </w:rPr>
        <w:t xml:space="preserve"> </w:t>
      </w:r>
      <w:r w:rsidR="008F6E0F">
        <w:rPr>
          <w:rFonts w:hint="cs"/>
          <w:rtl/>
        </w:rPr>
        <w:t>מעצמו למה שאינו מו</w:t>
      </w:r>
      <w:r w:rsidR="00E02FF1">
        <w:rPr>
          <w:rFonts w:hint="cs"/>
          <w:rtl/>
        </w:rPr>
        <w:t>כ</w:t>
      </w:r>
      <w:r w:rsidR="008F6E0F">
        <w:rPr>
          <w:rFonts w:hint="cs"/>
          <w:rtl/>
        </w:rPr>
        <w:t xml:space="preserve">ר מעצמו, </w:t>
      </w:r>
      <w:r w:rsidR="004C7058">
        <w:rPr>
          <w:rFonts w:hint="cs"/>
          <w:rtl/>
        </w:rPr>
        <w:t xml:space="preserve">שהם כמו עיוורים שמדברים על הצבעים, </w:t>
      </w:r>
      <w:r w:rsidR="00CA41A1">
        <w:rPr>
          <w:rFonts w:hint="cs"/>
          <w:rtl/>
        </w:rPr>
        <w:t xml:space="preserve">כי </w:t>
      </w:r>
      <w:r w:rsidR="004C7058">
        <w:rPr>
          <w:rFonts w:hint="cs"/>
          <w:rtl/>
        </w:rPr>
        <w:t xml:space="preserve">עין השכל העיוני שלהם עיוורת </w:t>
      </w:r>
      <w:r w:rsidR="00E22928">
        <w:rPr>
          <w:rFonts w:hint="cs"/>
          <w:rtl/>
        </w:rPr>
        <w:t>והם לא רואים את המציאות העיו</w:t>
      </w:r>
      <w:r w:rsidR="00771F9F">
        <w:rPr>
          <w:rFonts w:hint="cs"/>
          <w:rtl/>
        </w:rPr>
        <w:t>נ</w:t>
      </w:r>
      <w:r w:rsidR="00E22928">
        <w:rPr>
          <w:rFonts w:hint="cs"/>
          <w:rtl/>
        </w:rPr>
        <w:t xml:space="preserve">ית, </w:t>
      </w:r>
      <w:r w:rsidR="00771F9F">
        <w:rPr>
          <w:rFonts w:hint="cs"/>
          <w:rtl/>
        </w:rPr>
        <w:t xml:space="preserve">וכל דבריהם הם מילים ללא </w:t>
      </w:r>
      <w:r w:rsidR="00CA41A1">
        <w:rPr>
          <w:rFonts w:hint="cs"/>
          <w:rtl/>
        </w:rPr>
        <w:t>הבנה</w:t>
      </w:r>
      <w:r w:rsidR="00771F9F">
        <w:rPr>
          <w:rFonts w:hint="cs"/>
          <w:rtl/>
        </w:rPr>
        <w:t xml:space="preserve">, </w:t>
      </w:r>
      <w:r w:rsidR="006E4052">
        <w:rPr>
          <w:rFonts w:hint="cs"/>
          <w:rtl/>
        </w:rPr>
        <w:t xml:space="preserve">כלומר </w:t>
      </w:r>
      <w:r w:rsidR="00771F9F">
        <w:rPr>
          <w:rFonts w:hint="cs"/>
          <w:rtl/>
        </w:rPr>
        <w:t xml:space="preserve">ללא שהמילים מצביעות על מציאות של מושכלות שאותה השכל העיוני שלהם רואה. </w:t>
      </w:r>
      <w:r w:rsidR="003826D5">
        <w:rPr>
          <w:rFonts w:hint="cs"/>
          <w:rtl/>
        </w:rPr>
        <w:t>הבנת מילה היא לראות את מה שהיא מצביעה עליו, מי שראה סוס מבין את המילה סוס, כלומר הוא מסתכל על מה שהמילה מצביעה עליו. אם מימיו לא ראה סוס הוא כמו עיוור שמדבר על צבעים, אין כאן הבנה של המילים כי לא רואים אותן כאצבע שמצביעה על מציאות אלא כעניין שעומד בזכות עצמו, וזה שקר.</w:t>
      </w:r>
    </w:p>
    <w:p w14:paraId="5F6633E5" w14:textId="77777777" w:rsidR="00297FF9" w:rsidRDefault="001061FA">
      <w:pPr>
        <w:pStyle w:val="FootnoteText"/>
        <w:rPr>
          <w:rtl/>
        </w:rPr>
      </w:pPr>
      <w:r>
        <w:rPr>
          <w:rFonts w:hint="cs"/>
          <w:rtl/>
        </w:rPr>
        <w:t>אלא בהכרח כוונת אבן סינא כאן היא שהמניע</w:t>
      </w:r>
      <w:r w:rsidR="00C74CD2">
        <w:rPr>
          <w:rFonts w:hint="cs"/>
          <w:rtl/>
        </w:rPr>
        <w:t xml:space="preserve"> שרואים בחכמת הטבע</w:t>
      </w:r>
      <w:r>
        <w:rPr>
          <w:rFonts w:hint="cs"/>
          <w:rtl/>
        </w:rPr>
        <w:t xml:space="preserve"> </w:t>
      </w:r>
      <w:r w:rsidR="00C74CD2">
        <w:rPr>
          <w:rFonts w:hint="cs"/>
          <w:rtl/>
        </w:rPr>
        <w:t>הוא נע בעצמו, ובאמת הוא רק מעביר את תנועתו הלאה ו</w:t>
      </w:r>
      <w:r w:rsidR="002C6D5C">
        <w:rPr>
          <w:rFonts w:hint="cs"/>
          <w:rtl/>
        </w:rPr>
        <w:t>אינו</w:t>
      </w:r>
      <w:r w:rsidR="00C74CD2">
        <w:rPr>
          <w:rFonts w:hint="cs"/>
          <w:rtl/>
        </w:rPr>
        <w:t xml:space="preserve"> מניע אמיתי, כלומר אינו מניע מכח עצמו. אם </w:t>
      </w:r>
      <w:r w:rsidR="003C583D">
        <w:rPr>
          <w:rFonts w:hint="cs"/>
          <w:rtl/>
        </w:rPr>
        <w:t>ענף נע ו</w:t>
      </w:r>
      <w:r w:rsidR="000B6BFA">
        <w:rPr>
          <w:rFonts w:hint="cs"/>
          <w:rtl/>
        </w:rPr>
        <w:t>פגע באבן והניע אותה, הענף אינו המניע של האבן, כי הרוח שהניעה את הענף היא המניע של האבן</w:t>
      </w:r>
      <w:r w:rsidR="00DD2AA4">
        <w:rPr>
          <w:rFonts w:hint="cs"/>
          <w:rtl/>
        </w:rPr>
        <w:t xml:space="preserve">, ובאמת מי שהניע את הרוח הוא המניע של האבן וכן הלאה עד המניע הראשון שצריך להיות בהכרח שאינו נע, כי אם הוא נע מי </w:t>
      </w:r>
      <w:r w:rsidR="00C13171">
        <w:rPr>
          <w:rFonts w:hint="cs"/>
          <w:rtl/>
        </w:rPr>
        <w:t>ש</w:t>
      </w:r>
      <w:r w:rsidR="00DD2AA4">
        <w:rPr>
          <w:rFonts w:hint="cs"/>
          <w:rtl/>
        </w:rPr>
        <w:t>הניע אותו</w:t>
      </w:r>
      <w:r w:rsidR="00C13171">
        <w:rPr>
          <w:rFonts w:hint="cs"/>
          <w:rtl/>
        </w:rPr>
        <w:t xml:space="preserve"> הוא המניע הראשון</w:t>
      </w:r>
      <w:r w:rsidR="000B6BFA">
        <w:rPr>
          <w:rFonts w:hint="cs"/>
          <w:rtl/>
        </w:rPr>
        <w:t>. אם אדם מכה משהו עם מקל, לא המקל הניע אלא האדם הניע (הגמרא מחדשת שגם אם האדם זרק אבן והאבן שברה כד, לא האבן שברה אלא האדם שבר</w:t>
      </w:r>
      <w:r w:rsidR="00FD03C2">
        <w:rPr>
          <w:rFonts w:hint="cs"/>
          <w:rtl/>
        </w:rPr>
        <w:t xml:space="preserve"> אע"פ שהוא כבר </w:t>
      </w:r>
      <w:r w:rsidR="00F2788B">
        <w:rPr>
          <w:rFonts w:hint="cs"/>
          <w:rtl/>
        </w:rPr>
        <w:t>לא</w:t>
      </w:r>
      <w:r w:rsidR="00FD03C2">
        <w:rPr>
          <w:rFonts w:hint="cs"/>
          <w:rtl/>
        </w:rPr>
        <w:t xml:space="preserve"> דחף את האבן כששברה</w:t>
      </w:r>
      <w:r w:rsidR="000B6BFA">
        <w:rPr>
          <w:rFonts w:hint="cs"/>
          <w:rtl/>
        </w:rPr>
        <w:t>, זהו המונח ההלכתי 'גיריה דיליה</w:t>
      </w:r>
      <w:r w:rsidR="00F2788B">
        <w:rPr>
          <w:rFonts w:hint="cs"/>
          <w:rtl/>
        </w:rPr>
        <w:t xml:space="preserve">' (חץ שלו). </w:t>
      </w:r>
      <w:r w:rsidR="00C56B99">
        <w:rPr>
          <w:rFonts w:hint="cs"/>
          <w:rtl/>
        </w:rPr>
        <w:t>גם את האדם משהו הניע וגרם לו מבחינה נפשית או מחשבתית להחליט לזרוק את האבן</w:t>
      </w:r>
      <w:r w:rsidR="00DC0CEF">
        <w:rPr>
          <w:rFonts w:hint="cs"/>
          <w:rtl/>
        </w:rPr>
        <w:t xml:space="preserve"> (הבחירה החופשית שיש לאדם בלבד אינה כמו הבחירה החופשית של בעלי החיים והיא עניי</w:t>
      </w:r>
      <w:r w:rsidR="006A4F0E">
        <w:rPr>
          <w:rFonts w:hint="cs"/>
          <w:rtl/>
        </w:rPr>
        <w:t>ן</w:t>
      </w:r>
      <w:r w:rsidR="00DC0CEF">
        <w:rPr>
          <w:rFonts w:hint="cs"/>
          <w:rtl/>
        </w:rPr>
        <w:t xml:space="preserve"> בפני עצמו ולא כאן המקום להאריך בו</w:t>
      </w:r>
      <w:r w:rsidR="006A4F0E">
        <w:rPr>
          <w:rFonts w:hint="cs"/>
          <w:rtl/>
        </w:rPr>
        <w:t>, ואין ממנו סתירה לדברינו</w:t>
      </w:r>
      <w:r w:rsidR="00DC0CEF">
        <w:rPr>
          <w:rFonts w:hint="cs"/>
          <w:rtl/>
        </w:rPr>
        <w:t>)</w:t>
      </w:r>
      <w:r w:rsidR="000B6BFA">
        <w:rPr>
          <w:rFonts w:hint="cs"/>
          <w:rtl/>
        </w:rPr>
        <w:t xml:space="preserve">. </w:t>
      </w:r>
      <w:r w:rsidR="003D501B">
        <w:rPr>
          <w:rFonts w:hint="cs"/>
          <w:rtl/>
        </w:rPr>
        <w:t xml:space="preserve">לפי זה המניע האמיתי של כל תנועה הוא המניע הראשון, שהוא האלוה. </w:t>
      </w:r>
      <w:r w:rsidR="0094218F">
        <w:rPr>
          <w:rFonts w:hint="cs"/>
          <w:rtl/>
        </w:rPr>
        <w:t xml:space="preserve">ובאמת אין שום מניע </w:t>
      </w:r>
      <w:r w:rsidR="007C1BFF">
        <w:rPr>
          <w:rFonts w:hint="cs"/>
          <w:rtl/>
        </w:rPr>
        <w:t>זולתו כי הכל הוא כמו מקל שהניע אותו אדם, ובאמת לא המקל מניע (עיין בזה מורה נבוכים ב' מ"ח).</w:t>
      </w:r>
      <w:r w:rsidR="009749F1">
        <w:rPr>
          <w:rFonts w:hint="cs"/>
          <w:rtl/>
        </w:rPr>
        <w:t xml:space="preserve"> </w:t>
      </w:r>
      <w:r w:rsidR="006F4F27">
        <w:rPr>
          <w:rFonts w:hint="cs"/>
          <w:rtl/>
        </w:rPr>
        <w:t>לגלות שהמניע האמיתי היחיד הוא המניע הראשון שהוא אחד לכל</w:t>
      </w:r>
      <w:r w:rsidR="009A5007">
        <w:rPr>
          <w:rFonts w:hint="cs"/>
          <w:rtl/>
        </w:rPr>
        <w:t xml:space="preserve"> התנועות שבמציאות</w:t>
      </w:r>
      <w:r w:rsidR="006F4F27">
        <w:rPr>
          <w:rFonts w:hint="cs"/>
          <w:rtl/>
        </w:rPr>
        <w:t xml:space="preserve"> והוא בעצמו אינו נע, </w:t>
      </w:r>
      <w:r w:rsidR="00042041">
        <w:rPr>
          <w:rFonts w:hint="cs"/>
          <w:rtl/>
        </w:rPr>
        <w:t xml:space="preserve">על זה אפשר לומר שזה דורש עמל גדול להוכיח את זה. </w:t>
      </w:r>
      <w:r w:rsidR="0014322F">
        <w:rPr>
          <w:rFonts w:hint="cs"/>
          <w:rtl/>
        </w:rPr>
        <w:t xml:space="preserve">אבן סינא רומז לזה, כשכתב </w:t>
      </w:r>
      <w:r w:rsidR="009B5032">
        <w:rPr>
          <w:rFonts w:hint="cs"/>
          <w:rtl/>
        </w:rPr>
        <w:t>"</w:t>
      </w:r>
      <w:r w:rsidR="009B5032" w:rsidRPr="009B5032">
        <w:rPr>
          <w:rtl/>
        </w:rPr>
        <w:t>ובפרט למי שיהיה שלם בהוכחת המניע ויעשה אותו חיצוני</w:t>
      </w:r>
      <w:r w:rsidR="00754A37">
        <w:rPr>
          <w:rFonts w:hint="cs"/>
          <w:rtl/>
        </w:rPr>
        <w:t xml:space="preserve">". הרי כל מניע הוא חיצוני למונע, כל סיבה היא חיצונית לתוצאה שמסובבת ממנה, </w:t>
      </w:r>
      <w:r w:rsidR="00276024">
        <w:rPr>
          <w:rFonts w:hint="cs"/>
          <w:rtl/>
        </w:rPr>
        <w:t xml:space="preserve">וזה אין צריך לומר, </w:t>
      </w:r>
      <w:r w:rsidR="00C510BD">
        <w:rPr>
          <w:rFonts w:hint="cs"/>
          <w:rtl/>
        </w:rPr>
        <w:t xml:space="preserve">ואין רבותא בכך שאותו שלם עשה את המניע חיצוני. אלא הכוונה שהוא הוכיח שהמניע הוא האלוה והוא </w:t>
      </w:r>
      <w:r w:rsidR="001F338E">
        <w:rPr>
          <w:rFonts w:hint="cs"/>
          <w:rtl/>
        </w:rPr>
        <w:t>מניע ראשון שאינו נע בעצמו כי אינו בתוך סדר הטבע אלא חיצוני לו, כי הוא לא מקבל תנועה ממניע אלא הוא המקור הראשון, ו</w:t>
      </w:r>
      <w:r w:rsidR="005325E8">
        <w:rPr>
          <w:rFonts w:hint="cs"/>
          <w:rtl/>
        </w:rPr>
        <w:t>'</w:t>
      </w:r>
      <w:r w:rsidR="001F338E">
        <w:rPr>
          <w:rFonts w:hint="cs"/>
          <w:rtl/>
        </w:rPr>
        <w:t>טבע</w:t>
      </w:r>
      <w:r w:rsidR="005325E8">
        <w:rPr>
          <w:rFonts w:hint="cs"/>
          <w:rtl/>
        </w:rPr>
        <w:t>'</w:t>
      </w:r>
      <w:r w:rsidR="001F338E">
        <w:rPr>
          <w:rFonts w:hint="cs"/>
          <w:rtl/>
        </w:rPr>
        <w:t xml:space="preserve"> הוא מה שנובע ממקור ולכן יש בו חוקיות, ובמקור עצמו אין שום חוקיות כי אין לו מקור שיאלץ אותו</w:t>
      </w:r>
      <w:r w:rsidR="005325E8">
        <w:rPr>
          <w:rFonts w:hint="cs"/>
          <w:rtl/>
        </w:rPr>
        <w:t>,</w:t>
      </w:r>
      <w:r w:rsidR="001F338E">
        <w:rPr>
          <w:rFonts w:hint="cs"/>
          <w:rtl/>
        </w:rPr>
        <w:t xml:space="preserve"> הוא חופשי לחלוטין. </w:t>
      </w:r>
    </w:p>
    <w:p w14:paraId="58622B9C" w14:textId="47DC956F" w:rsidR="00FB5D76" w:rsidRDefault="00297FF9">
      <w:pPr>
        <w:pStyle w:val="FootnoteText"/>
        <w:rPr>
          <w:rtl/>
        </w:rPr>
      </w:pPr>
      <w:r>
        <w:rPr>
          <w:rFonts w:hint="cs"/>
          <w:rtl/>
        </w:rPr>
        <w:t>בהמשך כתב שאין מי שיכחיש את הטבע, וזה לכאורה סותר את מה שאמר שצריך עמל כדי להוכיח שיש טבע, אלא הפילוסוף הטבעי מסתכל במה שלפניו, ורואה שיש טבע</w:t>
      </w:r>
      <w:r w:rsidR="00EE27AD">
        <w:rPr>
          <w:rFonts w:hint="cs"/>
          <w:rtl/>
        </w:rPr>
        <w:t>, כלומר חוקיות בתנועת הגופים,</w:t>
      </w:r>
      <w:r w:rsidR="005A11BE">
        <w:rPr>
          <w:rFonts w:hint="cs"/>
          <w:rtl/>
        </w:rPr>
        <w:t xml:space="preserve"> והחוקיות הזו היא 'התחלה', התחלת תנועה ומנוחה כמו שכתב אריסטו, כי </w:t>
      </w:r>
      <w:r w:rsidR="003E4563">
        <w:rPr>
          <w:rFonts w:hint="cs"/>
          <w:rtl/>
        </w:rPr>
        <w:t>מה שנובע מהגוף הנע עצמו ול</w:t>
      </w:r>
      <w:r w:rsidR="00D84265">
        <w:rPr>
          <w:rFonts w:hint="cs"/>
          <w:rtl/>
        </w:rPr>
        <w:t>א</w:t>
      </w:r>
      <w:r w:rsidR="003E4563">
        <w:rPr>
          <w:rFonts w:hint="cs"/>
          <w:rtl/>
        </w:rPr>
        <w:t xml:space="preserve"> התחל</w:t>
      </w:r>
      <w:r w:rsidR="00D84265">
        <w:rPr>
          <w:rFonts w:hint="cs"/>
          <w:rtl/>
        </w:rPr>
        <w:t>ה</w:t>
      </w:r>
      <w:r w:rsidR="003E4563">
        <w:rPr>
          <w:rFonts w:hint="cs"/>
          <w:rtl/>
        </w:rPr>
        <w:t xml:space="preserve"> שלו יהיה מקרי</w:t>
      </w:r>
      <w:r w:rsidR="00A642E6">
        <w:rPr>
          <w:rFonts w:hint="cs"/>
          <w:rtl/>
        </w:rPr>
        <w:t xml:space="preserve">, </w:t>
      </w:r>
      <w:r>
        <w:rPr>
          <w:rFonts w:hint="cs"/>
          <w:rtl/>
        </w:rPr>
        <w:t>וזה</w:t>
      </w:r>
      <w:r w:rsidR="00EE27AD">
        <w:rPr>
          <w:rFonts w:hint="cs"/>
          <w:rtl/>
        </w:rPr>
        <w:t xml:space="preserve"> </w:t>
      </w:r>
      <w:r>
        <w:rPr>
          <w:rFonts w:hint="cs"/>
          <w:rtl/>
        </w:rPr>
        <w:t xml:space="preserve">מובן מאליו ויש ללעוג למי שמבקש הוכחה לזה. </w:t>
      </w:r>
      <w:r w:rsidR="00C90081">
        <w:rPr>
          <w:rFonts w:hint="cs"/>
          <w:rtl/>
        </w:rPr>
        <w:t xml:space="preserve">וכאן הוא </w:t>
      </w:r>
      <w:r w:rsidR="00E214F1">
        <w:rPr>
          <w:rFonts w:hint="cs"/>
          <w:rtl/>
        </w:rPr>
        <w:t>אומר</w:t>
      </w:r>
      <w:r w:rsidR="00C90081">
        <w:rPr>
          <w:rFonts w:hint="cs"/>
          <w:rtl/>
        </w:rPr>
        <w:t xml:space="preserve"> ב</w:t>
      </w:r>
      <w:r w:rsidR="00E214F1">
        <w:rPr>
          <w:rFonts w:hint="cs"/>
          <w:rtl/>
        </w:rPr>
        <w:t xml:space="preserve">דרך </w:t>
      </w:r>
      <w:r w:rsidR="00C90081">
        <w:rPr>
          <w:rFonts w:hint="cs"/>
          <w:rtl/>
        </w:rPr>
        <w:t>רמז</w:t>
      </w:r>
      <w:r w:rsidR="00E214F1">
        <w:rPr>
          <w:rFonts w:hint="cs"/>
          <w:rtl/>
        </w:rPr>
        <w:t xml:space="preserve"> למבין,</w:t>
      </w:r>
      <w:r w:rsidR="00C90081">
        <w:rPr>
          <w:rFonts w:hint="cs"/>
          <w:rtl/>
        </w:rPr>
        <w:t xml:space="preserve"> את העיון של הפילוסופיה הראשונה בעניי</w:t>
      </w:r>
      <w:r w:rsidR="00E214F1">
        <w:rPr>
          <w:rFonts w:hint="cs"/>
          <w:rtl/>
        </w:rPr>
        <w:t>ן</w:t>
      </w:r>
      <w:r w:rsidR="00C90081">
        <w:rPr>
          <w:rFonts w:hint="cs"/>
          <w:rtl/>
        </w:rPr>
        <w:t xml:space="preserve"> המניע של התנועות</w:t>
      </w:r>
      <w:r w:rsidR="00E214F1">
        <w:rPr>
          <w:rFonts w:hint="cs"/>
          <w:rtl/>
        </w:rPr>
        <w:t>.</w:t>
      </w:r>
    </w:p>
  </w:footnote>
  <w:footnote w:id="430">
    <w:p w14:paraId="271F752C" w14:textId="2909794F" w:rsidR="004F6737" w:rsidRDefault="004F6737">
      <w:pPr>
        <w:pStyle w:val="FootnoteText"/>
      </w:pPr>
      <w:r>
        <w:rPr>
          <w:rStyle w:val="FootnoteReference"/>
        </w:rPr>
        <w:footnoteRef/>
      </w:r>
      <w:r>
        <w:rPr>
          <w:rtl/>
        </w:rPr>
        <w:t xml:space="preserve"> </w:t>
      </w:r>
      <w:r w:rsidR="0047250C">
        <w:rPr>
          <w:rFonts w:hint="cs"/>
          <w:rtl/>
        </w:rPr>
        <w:t>מקגיניס ציין כאן לח</w:t>
      </w:r>
      <w:r w:rsidR="00ED0907">
        <w:rPr>
          <w:rFonts w:hint="cs"/>
          <w:rtl/>
        </w:rPr>
        <w:t>ל</w:t>
      </w:r>
      <w:r w:rsidR="0047250C">
        <w:rPr>
          <w:rFonts w:hint="cs"/>
          <w:rtl/>
        </w:rPr>
        <w:t xml:space="preserve">ק </w:t>
      </w:r>
      <w:r w:rsidR="0047250C">
        <w:rPr>
          <w:rFonts w:hint="cs"/>
          <w:rtl/>
        </w:rPr>
        <w:t>המטאפיזיקה מהריפוי (</w:t>
      </w:r>
      <w:r w:rsidR="00ED0907">
        <w:rPr>
          <w:rFonts w:hint="cs"/>
          <w:rtl/>
        </w:rPr>
        <w:t xml:space="preserve">האלוהיות </w:t>
      </w:r>
      <w:r w:rsidR="00ED0907" w:rsidRPr="00ED0907">
        <w:rPr>
          <w:rFonts w:asciiTheme="majorBidi" w:hAnsiTheme="majorBidi" w:cstheme="majorBidi"/>
        </w:rPr>
        <w:t>Ilāhīyāt</w:t>
      </w:r>
      <w:r w:rsidR="0047250C">
        <w:rPr>
          <w:rFonts w:hint="cs"/>
          <w:rtl/>
        </w:rPr>
        <w:t xml:space="preserve">) </w:t>
      </w:r>
      <w:r w:rsidR="00ED0907">
        <w:rPr>
          <w:rFonts w:hint="cs"/>
          <w:rtl/>
        </w:rPr>
        <w:t>ס</w:t>
      </w:r>
      <w:r w:rsidR="0047250C">
        <w:rPr>
          <w:rFonts w:hint="cs"/>
          <w:rtl/>
        </w:rPr>
        <w:t xml:space="preserve">פר 9 פרק 5. </w:t>
      </w:r>
    </w:p>
  </w:footnote>
  <w:footnote w:id="431">
    <w:p w14:paraId="3D0D67C0" w14:textId="77777777" w:rsidR="00D93EDA" w:rsidRDefault="000418A2">
      <w:pPr>
        <w:pStyle w:val="FootnoteText"/>
        <w:rPr>
          <w:rtl/>
        </w:rPr>
      </w:pPr>
      <w:r>
        <w:rPr>
          <w:rStyle w:val="FootnoteReference"/>
        </w:rPr>
        <w:footnoteRef/>
      </w:r>
      <w:r>
        <w:rPr>
          <w:rtl/>
        </w:rPr>
        <w:t xml:space="preserve"> </w:t>
      </w:r>
      <w:r>
        <w:rPr>
          <w:rFonts w:hint="cs"/>
          <w:rtl/>
        </w:rPr>
        <w:t xml:space="preserve">אבן סינא חוזר </w:t>
      </w:r>
      <w:r w:rsidR="00B442F2">
        <w:rPr>
          <w:rFonts w:hint="cs"/>
          <w:rtl/>
        </w:rPr>
        <w:t xml:space="preserve">על היסוד שיש סדר למדעים, וכל מדע מקבל את מסקנות המדע שמעליו כהתחלות, כלומר נתונים שמהם מתחילים ועליהם עצמם לא שואלים. למשל מודדי קרקע מקבלים את משפט פיתגורס כנתון שממנו מתחילים לפתח את המקצוע שלהם, ואילו המתמטיקאי חוקר האם משפט פיתגורס נכון, מה הוכחות שלו ומה ההבנה שלו. </w:t>
      </w:r>
      <w:r w:rsidR="00DC4D99">
        <w:rPr>
          <w:rFonts w:hint="cs"/>
          <w:rtl/>
        </w:rPr>
        <w:t xml:space="preserve">כך חוקר הטבע מקבל כנתון התחלתי שיש טבע, ואילו הפילוסוף של </w:t>
      </w:r>
      <w:r w:rsidR="00276AFA">
        <w:rPr>
          <w:rFonts w:hint="cs"/>
          <w:rtl/>
        </w:rPr>
        <w:t xml:space="preserve">הפילוסופיה </w:t>
      </w:r>
      <w:r w:rsidR="00DC4D99">
        <w:rPr>
          <w:rFonts w:hint="cs"/>
          <w:rtl/>
        </w:rPr>
        <w:t xml:space="preserve"> הראשונה, </w:t>
      </w:r>
      <w:r w:rsidR="00DC4D99">
        <w:rPr>
          <w:rFonts w:hint="cs"/>
          <w:rtl/>
        </w:rPr>
        <w:t>המטאפיזיקה, שואל וחוקר ומבקש להוכיח את מציאות הטבע</w:t>
      </w:r>
      <w:r w:rsidR="00276AFA">
        <w:rPr>
          <w:rFonts w:hint="cs"/>
          <w:rtl/>
        </w:rPr>
        <w:t xml:space="preserve"> </w:t>
      </w:r>
      <w:r w:rsidR="00DC4D99">
        <w:rPr>
          <w:rFonts w:hint="cs"/>
          <w:rtl/>
        </w:rPr>
        <w:t>ולהבין אותה.</w:t>
      </w:r>
      <w:r w:rsidR="00776BCA">
        <w:rPr>
          <w:rFonts w:hint="cs"/>
          <w:rtl/>
        </w:rPr>
        <w:t xml:space="preserve"> 'הבנה' יש לה שני אופנים, אופן אחד הוא כמו שהמתמטיקאי מנסה</w:t>
      </w:r>
      <w:r w:rsidR="00DC4709">
        <w:rPr>
          <w:rFonts w:hint="cs"/>
          <w:rtl/>
        </w:rPr>
        <w:t xml:space="preserve"> </w:t>
      </w:r>
      <w:r w:rsidR="00776BCA">
        <w:rPr>
          <w:rFonts w:hint="cs"/>
          <w:rtl/>
        </w:rPr>
        <w:t>להב</w:t>
      </w:r>
      <w:r w:rsidR="00DC4709">
        <w:rPr>
          <w:rFonts w:hint="cs"/>
          <w:rtl/>
        </w:rPr>
        <w:t>י</w:t>
      </w:r>
      <w:r w:rsidR="00776BCA">
        <w:rPr>
          <w:rFonts w:hint="cs"/>
          <w:rtl/>
        </w:rPr>
        <w:t xml:space="preserve">ן את משפט פיתגורס, או </w:t>
      </w:r>
      <w:r w:rsidR="005E679D">
        <w:rPr>
          <w:rFonts w:hint="cs"/>
          <w:rtl/>
        </w:rPr>
        <w:t>המטאפיזיקאי מנ</w:t>
      </w:r>
      <w:r w:rsidR="00DC4709">
        <w:rPr>
          <w:rFonts w:hint="cs"/>
          <w:rtl/>
        </w:rPr>
        <w:t>ס</w:t>
      </w:r>
      <w:r w:rsidR="005E679D">
        <w:rPr>
          <w:rFonts w:hint="cs"/>
          <w:rtl/>
        </w:rPr>
        <w:t xml:space="preserve">ה להבין את הטבע, זה אופן של הבנה </w:t>
      </w:r>
      <w:r w:rsidR="00DC4709">
        <w:rPr>
          <w:rFonts w:hint="cs"/>
          <w:rtl/>
        </w:rPr>
        <w:t>של ראייה שחודרת לתוך הדבר, מפרקת אותו לגורמיו</w:t>
      </w:r>
      <w:r w:rsidR="00EF45C8">
        <w:rPr>
          <w:rFonts w:hint="cs"/>
          <w:rtl/>
        </w:rPr>
        <w:t xml:space="preserve"> ומסתכלת על שורשו שממנו הגיע</w:t>
      </w:r>
      <w:r w:rsidR="00DC4709">
        <w:rPr>
          <w:rFonts w:hint="cs"/>
          <w:rtl/>
        </w:rPr>
        <w:t>, וממנה</w:t>
      </w:r>
      <w:r w:rsidR="005E679D">
        <w:rPr>
          <w:rFonts w:hint="cs"/>
          <w:rtl/>
        </w:rPr>
        <w:t xml:space="preserve"> אפשר להגיע להוכחה על הדבר. </w:t>
      </w:r>
      <w:r w:rsidR="00EF45C8">
        <w:rPr>
          <w:rFonts w:hint="cs"/>
          <w:rtl/>
        </w:rPr>
        <w:t xml:space="preserve">יש הבנה אחרת והיא כמו שהפילוסוף של הטבע מבין את הטבע, </w:t>
      </w:r>
      <w:r w:rsidR="00F66C58">
        <w:rPr>
          <w:rFonts w:hint="cs"/>
          <w:rtl/>
        </w:rPr>
        <w:t>על ידי שהוא מתבונן במהויות של הטבע בלי לשאול על מציאותו של הטבע כשלעצמו.</w:t>
      </w:r>
      <w:r w:rsidR="00DC4D99">
        <w:rPr>
          <w:rFonts w:hint="cs"/>
          <w:rtl/>
        </w:rPr>
        <w:t xml:space="preserve"> </w:t>
      </w:r>
      <w:r w:rsidR="00F66C58">
        <w:rPr>
          <w:rFonts w:hint="cs"/>
          <w:rtl/>
        </w:rPr>
        <w:t>למשל מאלף כלבים מבין כלבים, אבל הוא אינו מבין למה יש כלבים, אינו יכול להוכיח שיש כלבים, אינו יודע מניין הגיע</w:t>
      </w:r>
      <w:r w:rsidR="00D845CF">
        <w:rPr>
          <w:rFonts w:hint="cs"/>
          <w:rtl/>
        </w:rPr>
        <w:t>ה המציאות שיש כלבים ומה המרכיבים המופשטים של העניין. הוא</w:t>
      </w:r>
      <w:r w:rsidR="000B3C61">
        <w:rPr>
          <w:rFonts w:hint="cs"/>
          <w:rtl/>
        </w:rPr>
        <w:t xml:space="preserve"> </w:t>
      </w:r>
      <w:r w:rsidR="00D845CF">
        <w:rPr>
          <w:rFonts w:hint="cs"/>
          <w:rtl/>
        </w:rPr>
        <w:t>לא יודע שיש אידיאות ושכלב הוא אידיאה</w:t>
      </w:r>
      <w:r w:rsidR="008E673A">
        <w:rPr>
          <w:rFonts w:hint="cs"/>
          <w:rtl/>
        </w:rPr>
        <w:t xml:space="preserve"> כללית</w:t>
      </w:r>
      <w:r w:rsidR="00D845CF">
        <w:rPr>
          <w:rFonts w:hint="cs"/>
          <w:rtl/>
        </w:rPr>
        <w:t xml:space="preserve"> שבעלי חיים פרטיים נוטלים בה חלק</w:t>
      </w:r>
      <w:r w:rsidR="008E673A">
        <w:rPr>
          <w:rFonts w:hint="cs"/>
          <w:rtl/>
        </w:rPr>
        <w:t xml:space="preserve"> וממנה מהותם וממהותם נגזרים המאפיינים והתכונות שלהם</w:t>
      </w:r>
      <w:r w:rsidR="00D845CF">
        <w:rPr>
          <w:rFonts w:hint="cs"/>
          <w:rtl/>
        </w:rPr>
        <w:t xml:space="preserve">, </w:t>
      </w:r>
      <w:r w:rsidR="008E673A">
        <w:rPr>
          <w:rFonts w:hint="cs"/>
          <w:rtl/>
        </w:rPr>
        <w:t xml:space="preserve">הוא אינו יודע </w:t>
      </w:r>
      <w:r w:rsidR="00D845CF">
        <w:rPr>
          <w:rFonts w:hint="cs"/>
          <w:rtl/>
        </w:rPr>
        <w:t>ש</w:t>
      </w:r>
      <w:r w:rsidR="000B3C61">
        <w:rPr>
          <w:rFonts w:hint="cs"/>
          <w:rtl/>
        </w:rPr>
        <w:t>מה ש</w:t>
      </w:r>
      <w:r w:rsidR="00D845CF">
        <w:rPr>
          <w:rFonts w:hint="cs"/>
          <w:rtl/>
        </w:rPr>
        <w:t xml:space="preserve">הכלב </w:t>
      </w:r>
      <w:r w:rsidR="000B3C61">
        <w:rPr>
          <w:rFonts w:hint="cs"/>
          <w:rtl/>
        </w:rPr>
        <w:t xml:space="preserve">חי זו </w:t>
      </w:r>
      <w:r w:rsidR="00D845CF">
        <w:rPr>
          <w:rFonts w:hint="cs"/>
          <w:rtl/>
        </w:rPr>
        <w:t>בחינה באידאת החיים הכללית, וכ</w:t>
      </w:r>
      <w:r w:rsidR="000B3C61">
        <w:rPr>
          <w:rFonts w:hint="cs"/>
          <w:rtl/>
        </w:rPr>
        <w:t xml:space="preserve">ל כיו"ב. </w:t>
      </w:r>
      <w:r w:rsidR="008E673A">
        <w:rPr>
          <w:rFonts w:hint="cs"/>
          <w:rtl/>
        </w:rPr>
        <w:t xml:space="preserve">אבל אי אפשר לומר שאינו מבין כלבים, כי הוא מתבונן בתכונות שלהם ובמאפיינים ובתופעות שמתגלים בהם, ומוצא בהם </w:t>
      </w:r>
      <w:r w:rsidR="009A0417">
        <w:rPr>
          <w:rFonts w:hint="cs"/>
          <w:rtl/>
        </w:rPr>
        <w:t xml:space="preserve">חוקיות וקשרים והוא יכול לדעת מראש אילו תכונות תהיינה לכלב לפי גזעו וגם לפי מה שעבר עליו והחינוך שקיבל וכל כיו"ב. </w:t>
      </w:r>
      <w:r w:rsidR="00391580">
        <w:rPr>
          <w:rFonts w:hint="cs"/>
          <w:rtl/>
        </w:rPr>
        <w:t xml:space="preserve">ההבנה של המאלף היא </w:t>
      </w:r>
      <w:r w:rsidR="00C91153">
        <w:rPr>
          <w:rFonts w:hint="cs"/>
          <w:rtl/>
        </w:rPr>
        <w:t xml:space="preserve">הבנה, ויכולה להיות בה חכמה מרובה, אבל היא </w:t>
      </w:r>
      <w:r w:rsidR="00391580">
        <w:rPr>
          <w:rFonts w:hint="cs"/>
          <w:rtl/>
        </w:rPr>
        <w:t>בתוך המהות של כלב, ו</w:t>
      </w:r>
      <w:r w:rsidR="00C91153">
        <w:rPr>
          <w:rFonts w:hint="cs"/>
          <w:rtl/>
        </w:rPr>
        <w:t>לא</w:t>
      </w:r>
      <w:r w:rsidR="00391580">
        <w:rPr>
          <w:rFonts w:hint="cs"/>
          <w:rtl/>
        </w:rPr>
        <w:t xml:space="preserve"> מתרוממת אל מעל המהות של כלב כמו</w:t>
      </w:r>
      <w:r w:rsidR="00C91153">
        <w:rPr>
          <w:rFonts w:hint="cs"/>
          <w:rtl/>
        </w:rPr>
        <w:t xml:space="preserve"> </w:t>
      </w:r>
      <w:r w:rsidR="00391580">
        <w:rPr>
          <w:rFonts w:hint="cs"/>
          <w:rtl/>
        </w:rPr>
        <w:t xml:space="preserve">שמתרומם פילוסוף הטבע, וכמו שמתרומם עוד יותר המטאפיזיקאי. </w:t>
      </w:r>
    </w:p>
    <w:p w14:paraId="1EA5C0B4" w14:textId="4620FE15" w:rsidR="000418A2" w:rsidRDefault="00B97EEB">
      <w:pPr>
        <w:pStyle w:val="FootnoteText"/>
      </w:pPr>
      <w:r>
        <w:rPr>
          <w:rFonts w:hint="cs"/>
          <w:rtl/>
        </w:rPr>
        <w:t xml:space="preserve">המאלף הוא מעל המדע של אדם פרטי שמגדל כלב, שהאדם שומע מהמאלף שפעולת חינוך מסויימת תביא לתוצאות </w:t>
      </w:r>
      <w:r w:rsidR="00D93EDA">
        <w:rPr>
          <w:rFonts w:hint="cs"/>
          <w:rtl/>
        </w:rPr>
        <w:t xml:space="preserve">התנהגותיות </w:t>
      </w:r>
      <w:r>
        <w:rPr>
          <w:rFonts w:hint="cs"/>
          <w:rtl/>
        </w:rPr>
        <w:t>מסויימות ומקבל את זה כעו</w:t>
      </w:r>
      <w:r w:rsidR="00D93EDA">
        <w:rPr>
          <w:rFonts w:hint="cs"/>
          <w:rtl/>
        </w:rPr>
        <w:t>ב</w:t>
      </w:r>
      <w:r>
        <w:rPr>
          <w:rFonts w:hint="cs"/>
          <w:rtl/>
        </w:rPr>
        <w:t>דה התחלתית שממנה</w:t>
      </w:r>
      <w:r w:rsidR="00D93EDA">
        <w:rPr>
          <w:rFonts w:hint="cs"/>
          <w:rtl/>
        </w:rPr>
        <w:t xml:space="preserve"> </w:t>
      </w:r>
      <w:r>
        <w:rPr>
          <w:rFonts w:hint="cs"/>
          <w:rtl/>
        </w:rPr>
        <w:t>הוא</w:t>
      </w:r>
      <w:r w:rsidR="00D93EDA">
        <w:rPr>
          <w:rFonts w:hint="cs"/>
          <w:rtl/>
        </w:rPr>
        <w:t xml:space="preserve"> </w:t>
      </w:r>
      <w:r>
        <w:rPr>
          <w:rFonts w:hint="cs"/>
          <w:rtl/>
        </w:rPr>
        <w:t>מתחיל לעבוד בהתנהגות עם הכלב שלו, ו</w:t>
      </w:r>
      <w:r w:rsidR="00D93EDA">
        <w:rPr>
          <w:rFonts w:hint="cs"/>
          <w:rtl/>
        </w:rPr>
        <w:t>לא</w:t>
      </w:r>
      <w:r>
        <w:rPr>
          <w:rFonts w:hint="cs"/>
          <w:rtl/>
        </w:rPr>
        <w:t xml:space="preserve"> חוקר </w:t>
      </w:r>
      <w:r w:rsidR="00D93EDA">
        <w:rPr>
          <w:rFonts w:hint="cs"/>
          <w:rtl/>
        </w:rPr>
        <w:t xml:space="preserve">למה חינוך כזה מביא לתוצאות התנהגותיות כאלה. </w:t>
      </w:r>
      <w:r w:rsidR="009D184A">
        <w:rPr>
          <w:rFonts w:hint="cs"/>
          <w:rtl/>
        </w:rPr>
        <w:t>ואפשר שהאדם הפרטי הגיע מתוך נסיונות שקרו לו והתבוננות שאין לגעת בכלב בזמן שהוא אוכל, והוא אומר לילדו</w:t>
      </w:r>
      <w:r w:rsidR="00476640">
        <w:rPr>
          <w:rFonts w:hint="cs"/>
          <w:rtl/>
        </w:rPr>
        <w:t>,</w:t>
      </w:r>
      <w:r w:rsidR="009D184A">
        <w:rPr>
          <w:rFonts w:hint="cs"/>
          <w:rtl/>
        </w:rPr>
        <w:t xml:space="preserve"> וילדו מקבל זאת כנתון</w:t>
      </w:r>
      <w:r w:rsidR="00476640">
        <w:rPr>
          <w:rFonts w:hint="cs"/>
          <w:rtl/>
        </w:rPr>
        <w:t xml:space="preserve"> ראשוני מכח שכך האב אומר, </w:t>
      </w:r>
      <w:r w:rsidR="009D184A">
        <w:rPr>
          <w:rFonts w:hint="cs"/>
          <w:rtl/>
        </w:rPr>
        <w:t>בלי שבעצמו חקר</w:t>
      </w:r>
      <w:r w:rsidR="00476640">
        <w:rPr>
          <w:rFonts w:hint="cs"/>
          <w:rtl/>
        </w:rPr>
        <w:t xml:space="preserve"> </w:t>
      </w:r>
      <w:r w:rsidR="00AE2820">
        <w:rPr>
          <w:rFonts w:hint="cs"/>
          <w:rtl/>
        </w:rPr>
        <w:t xml:space="preserve">והתנסה </w:t>
      </w:r>
      <w:r w:rsidR="00476640">
        <w:rPr>
          <w:rFonts w:hint="cs"/>
          <w:rtl/>
        </w:rPr>
        <w:t xml:space="preserve">האם זה כך. </w:t>
      </w:r>
    </w:p>
  </w:footnote>
  <w:footnote w:id="432">
    <w:p w14:paraId="2183A057" w14:textId="3A80909D" w:rsidR="007C3DD6" w:rsidRDefault="007C3DD6">
      <w:pPr>
        <w:pStyle w:val="FootnoteText"/>
      </w:pPr>
      <w:r>
        <w:rPr>
          <w:rStyle w:val="FootnoteReference"/>
        </w:rPr>
        <w:footnoteRef/>
      </w:r>
      <w:r>
        <w:rPr>
          <w:rtl/>
        </w:rPr>
        <w:t xml:space="preserve"> </w:t>
      </w:r>
      <w:r w:rsidR="00490498">
        <w:rPr>
          <w:rFonts w:hint="cs"/>
          <w:rtl/>
        </w:rPr>
        <w:t>בגוף הטבעי.</w:t>
      </w:r>
    </w:p>
  </w:footnote>
  <w:footnote w:id="433">
    <w:p w14:paraId="581AC28D" w14:textId="1DEFC7E7" w:rsidR="00FD20F3" w:rsidRDefault="00FD20F3">
      <w:pPr>
        <w:pStyle w:val="FootnoteText"/>
        <w:rPr>
          <w:rtl/>
        </w:rPr>
      </w:pPr>
      <w:r>
        <w:rPr>
          <w:rStyle w:val="FootnoteReference"/>
        </w:rPr>
        <w:footnoteRef/>
      </w:r>
      <w:r>
        <w:rPr>
          <w:rtl/>
        </w:rPr>
        <w:t xml:space="preserve"> </w:t>
      </w:r>
      <w:r w:rsidR="00757FDB">
        <w:rPr>
          <w:rFonts w:hint="cs"/>
          <w:rtl/>
        </w:rPr>
        <w:t>לשון אריסטו בפיזיקה ב' א'</w:t>
      </w:r>
      <w:r w:rsidR="005527A7">
        <w:rPr>
          <w:rFonts w:hint="cs"/>
          <w:rtl/>
        </w:rPr>
        <w:t xml:space="preserve"> (תרגום י. </w:t>
      </w:r>
      <w:r w:rsidR="005527A7">
        <w:rPr>
          <w:rFonts w:hint="cs"/>
          <w:rtl/>
        </w:rPr>
        <w:t>לנדא</w:t>
      </w:r>
      <w:r w:rsidR="00AB12C7">
        <w:rPr>
          <w:rFonts w:hint="cs"/>
          <w:rtl/>
        </w:rPr>
        <w:t>)</w:t>
      </w:r>
      <w:r w:rsidR="00757FDB">
        <w:rPr>
          <w:rFonts w:hint="cs"/>
          <w:rtl/>
        </w:rPr>
        <w:t>:</w:t>
      </w:r>
    </w:p>
    <w:p w14:paraId="34061602" w14:textId="18D13EAE" w:rsidR="00757FDB" w:rsidRDefault="00757FDB" w:rsidP="00313661">
      <w:pPr>
        <w:pStyle w:val="FootnoteText"/>
      </w:pPr>
      <w:r>
        <w:rPr>
          <w:rFonts w:hint="cs"/>
          <w:rtl/>
        </w:rPr>
        <w:t>"</w:t>
      </w:r>
      <w:r>
        <w:rPr>
          <w:rtl/>
        </w:rPr>
        <w:t xml:space="preserve">מבין הנמצאים אחדים הם על פי הטבע, ואחרים בשל סיבות אחרות. על פי הטבע - בעלי החיים וחלקיהם, הצמחים והפשוטים שבין הגופים, כגון עפר, אש, אוויר ומים. שהרי על אלה ועל כיוצא באלה אומרים אנו שהם על פי הטבע. כל אלה שונים בבירור מהדברים שהרכבם לא על פי הטבע. כי כל אחד ואחד יש לו בתוך עצמו התחלה של תנועה ומנוחה </w:t>
      </w:r>
      <w:r w:rsidR="00C079F0">
        <w:rPr>
          <w:rFonts w:hint="cs"/>
          <w:rtl/>
        </w:rPr>
        <w:t>-</w:t>
      </w:r>
      <w:r>
        <w:rPr>
          <w:rtl/>
        </w:rPr>
        <w:t xml:space="preserve"> או מבחינת המקום, או מבחינת הגדילה וההידלדלות, או מבחינת שינויי איכות. בעוד שמיטה, בגד או איזה סוג אחר מעין זה </w:t>
      </w:r>
      <w:r w:rsidR="00C079F0">
        <w:rPr>
          <w:rFonts w:hint="cs"/>
          <w:rtl/>
        </w:rPr>
        <w:t>-</w:t>
      </w:r>
      <w:r>
        <w:rPr>
          <w:rtl/>
        </w:rPr>
        <w:t xml:space="preserve"> בתור המתוארים על ידי כל אחד מהתיאורים האלה ובמידה שהם תוצר של המלאכה - אין להם שום דחף טבוע בהם של שינוי. אך במידה שנזדמן להם להיות עשויים מאבן או מעפר או מעורבים מאלה </w:t>
      </w:r>
      <w:r w:rsidR="00C079F0">
        <w:rPr>
          <w:rFonts w:hint="cs"/>
          <w:rtl/>
        </w:rPr>
        <w:t>-</w:t>
      </w:r>
      <w:r>
        <w:rPr>
          <w:rtl/>
        </w:rPr>
        <w:t xml:space="preserve"> יש להם דחף כזה, אך רק במידה זו</w:t>
      </w:r>
      <w:r w:rsidR="00651FC1">
        <w:rPr>
          <w:rFonts w:hint="cs"/>
          <w:rtl/>
        </w:rPr>
        <w:t xml:space="preserve"> [במיטה יהיו רק אותם שינויי שחלים בקרשים שמהם היא </w:t>
      </w:r>
      <w:r w:rsidR="0041452E">
        <w:rPr>
          <w:rFonts w:hint="cs"/>
          <w:rtl/>
        </w:rPr>
        <w:t>עשויה</w:t>
      </w:r>
      <w:r w:rsidR="00651FC1">
        <w:rPr>
          <w:rFonts w:hint="cs"/>
          <w:rtl/>
        </w:rPr>
        <w:t xml:space="preserve">, ולא שינוי </w:t>
      </w:r>
      <w:r w:rsidR="005527A7">
        <w:rPr>
          <w:rFonts w:hint="cs"/>
          <w:rtl/>
        </w:rPr>
        <w:t xml:space="preserve">מצד </w:t>
      </w:r>
      <w:r w:rsidR="00651FC1">
        <w:rPr>
          <w:rFonts w:hint="cs"/>
          <w:rtl/>
        </w:rPr>
        <w:t>מה שהיא מיטה]</w:t>
      </w:r>
      <w:r>
        <w:rPr>
          <w:rtl/>
        </w:rPr>
        <w:t xml:space="preserve"> </w:t>
      </w:r>
      <w:r w:rsidR="00C079F0">
        <w:rPr>
          <w:rFonts w:hint="cs"/>
          <w:rtl/>
        </w:rPr>
        <w:t>-</w:t>
      </w:r>
      <w:r>
        <w:rPr>
          <w:rtl/>
        </w:rPr>
        <w:t xml:space="preserve"> </w:t>
      </w:r>
      <w:bookmarkStart w:id="210" w:name="_Hlk102816326"/>
      <w:r w:rsidRPr="00E908AC">
        <w:rPr>
          <w:b/>
          <w:bCs/>
          <w:rtl/>
        </w:rPr>
        <w:t>מאחר שאין הטבע אלא איזו התחלה וסיבה של היות נע והיות נח הנמצאת בדבר באופן ראשוני וכשלעצמו ולא על פי המקרה</w:t>
      </w:r>
      <w:r>
        <w:rPr>
          <w:rtl/>
        </w:rPr>
        <w:t>.</w:t>
      </w:r>
      <w:bookmarkEnd w:id="210"/>
      <w:r>
        <w:rPr>
          <w:rFonts w:hint="cs"/>
          <w:rtl/>
        </w:rPr>
        <w:t>"</w:t>
      </w:r>
    </w:p>
  </w:footnote>
  <w:footnote w:id="434">
    <w:p w14:paraId="711BE11A" w14:textId="3CA65754" w:rsidR="00771E4C" w:rsidRDefault="00771E4C">
      <w:pPr>
        <w:pStyle w:val="FootnoteText"/>
      </w:pPr>
      <w:r>
        <w:rPr>
          <w:rStyle w:val="FootnoteReference"/>
        </w:rPr>
        <w:footnoteRef/>
      </w:r>
      <w:r>
        <w:rPr>
          <w:rtl/>
        </w:rPr>
        <w:t xml:space="preserve"> </w:t>
      </w:r>
      <w:r w:rsidR="00DD58E1">
        <w:rPr>
          <w:rFonts w:hint="cs"/>
          <w:rtl/>
        </w:rPr>
        <w:t xml:space="preserve">הגלגל נע תמיד ולעולם לא נח, ויש בו רק התחלת תנועה ולא התחלת מנוחה. </w:t>
      </w:r>
      <w:r w:rsidR="009325A9">
        <w:rPr>
          <w:rFonts w:hint="cs"/>
          <w:rtl/>
        </w:rPr>
        <w:t xml:space="preserve">מרכז הכדור לעולם נח ואין בו התחלת תנועה. </w:t>
      </w:r>
      <w:r w:rsidR="00412F4C">
        <w:rPr>
          <w:rFonts w:hint="cs"/>
          <w:rtl/>
        </w:rPr>
        <w:t xml:space="preserve">שאר הגופים בעולם הם נעים ונחים. </w:t>
      </w:r>
      <w:r w:rsidR="00811B47">
        <w:rPr>
          <w:rFonts w:hint="cs"/>
          <w:rtl/>
        </w:rPr>
        <w:t xml:space="preserve">בשאלה </w:t>
      </w:r>
      <w:r w:rsidR="00E85684">
        <w:rPr>
          <w:rFonts w:hint="cs"/>
          <w:rtl/>
        </w:rPr>
        <w:t xml:space="preserve">על מהות הקשר בין התחלת תנועה להתחלת מנוחה, </w:t>
      </w:r>
      <w:r w:rsidR="001C2B4A">
        <w:rPr>
          <w:rFonts w:hint="cs"/>
          <w:rtl/>
        </w:rPr>
        <w:t xml:space="preserve">ואם יש קשר, </w:t>
      </w:r>
      <w:r w:rsidR="00E85684">
        <w:rPr>
          <w:rFonts w:hint="cs"/>
          <w:rtl/>
        </w:rPr>
        <w:t>והאם בהכרח כל מתנועע נח ולהיפך, יש להאריך ו</w:t>
      </w:r>
      <w:r w:rsidR="001C2B4A">
        <w:rPr>
          <w:rFonts w:hint="cs"/>
          <w:rtl/>
        </w:rPr>
        <w:t>נאמרו בזה דעות ולא</w:t>
      </w:r>
      <w:r w:rsidR="00E85684">
        <w:rPr>
          <w:rFonts w:hint="cs"/>
          <w:rtl/>
        </w:rPr>
        <w:t xml:space="preserve"> כאן מקומו.</w:t>
      </w:r>
    </w:p>
  </w:footnote>
  <w:footnote w:id="435">
    <w:p w14:paraId="364B9744" w14:textId="50E25800" w:rsidR="00230564" w:rsidRDefault="00230564">
      <w:pPr>
        <w:pStyle w:val="FootnoteText"/>
        <w:rPr>
          <w:rtl/>
        </w:rPr>
      </w:pPr>
      <w:r>
        <w:rPr>
          <w:rStyle w:val="FootnoteReference"/>
        </w:rPr>
        <w:footnoteRef/>
      </w:r>
      <w:r>
        <w:rPr>
          <w:rtl/>
        </w:rPr>
        <w:t xml:space="preserve"> </w:t>
      </w:r>
      <w:r w:rsidR="00F7632B">
        <w:rPr>
          <w:rFonts w:hint="cs"/>
          <w:rtl/>
        </w:rPr>
        <w:t xml:space="preserve">ההגדרה שהבאתי מקודם </w:t>
      </w:r>
      <w:r w:rsidR="00DC2CD5">
        <w:rPr>
          <w:rFonts w:hint="cs"/>
          <w:rtl/>
        </w:rPr>
        <w:t>של אריסטו בפיזיקה ב' א' שכתב:</w:t>
      </w:r>
    </w:p>
    <w:p w14:paraId="0C35C941" w14:textId="4DBCD3B2" w:rsidR="00DC2CD5" w:rsidRDefault="00DC2CD5">
      <w:pPr>
        <w:pStyle w:val="FootnoteText"/>
        <w:rPr>
          <w:rtl/>
        </w:rPr>
      </w:pPr>
      <w:r>
        <w:rPr>
          <w:rFonts w:hint="cs"/>
          <w:rtl/>
        </w:rPr>
        <w:t>"</w:t>
      </w:r>
      <w:r w:rsidRPr="00DC2CD5">
        <w:rPr>
          <w:rtl/>
        </w:rPr>
        <w:t>מאחר שאין הטבע אלא איזו התחלה וסיבה של היות נע והיות נח הנמצאת בדבר באופן ראשוני וכשלעצמו ולא על פי המקרה.</w:t>
      </w:r>
      <w:r>
        <w:rPr>
          <w:rFonts w:hint="cs"/>
          <w:rtl/>
        </w:rPr>
        <w:t>"</w:t>
      </w:r>
    </w:p>
    <w:p w14:paraId="457D6B25" w14:textId="77777777" w:rsidR="000E6404" w:rsidRDefault="000E6404">
      <w:pPr>
        <w:pStyle w:val="FootnoteText"/>
        <w:rPr>
          <w:rtl/>
        </w:rPr>
      </w:pPr>
    </w:p>
    <w:p w14:paraId="5577A332" w14:textId="180BFA52" w:rsidR="00944AE4" w:rsidRDefault="000E6404" w:rsidP="00944AE4">
      <w:pPr>
        <w:pStyle w:val="FootnoteText"/>
        <w:rPr>
          <w:rtl/>
        </w:rPr>
      </w:pPr>
      <w:r>
        <w:rPr>
          <w:rFonts w:hint="cs"/>
          <w:rtl/>
        </w:rPr>
        <w:t>כ</w:t>
      </w:r>
      <w:r w:rsidR="00944AE4">
        <w:rPr>
          <w:rtl/>
        </w:rPr>
        <w:t>וונת אבן סינא כאן היא לפילוסוף הנוצרי החשוב</w:t>
      </w:r>
      <w:r>
        <w:rPr>
          <w:rFonts w:hint="cs"/>
          <w:rtl/>
        </w:rPr>
        <w:t xml:space="preserve"> </w:t>
      </w:r>
      <w:r w:rsidR="00944AE4">
        <w:rPr>
          <w:rtl/>
        </w:rPr>
        <w:t>פילופונוס (</w:t>
      </w:r>
      <w:r w:rsidR="00944AE4">
        <w:t>John Philoponus, 490-570</w:t>
      </w:r>
      <w:r w:rsidR="00944AE4">
        <w:rPr>
          <w:rtl/>
        </w:rPr>
        <w:t xml:space="preserve"> לספירה)</w:t>
      </w:r>
      <w:r w:rsidR="00202CD4">
        <w:rPr>
          <w:rFonts w:hint="cs"/>
          <w:rtl/>
        </w:rPr>
        <w:t>, מפרש</w:t>
      </w:r>
      <w:r w:rsidR="00FC31EC">
        <w:rPr>
          <w:rFonts w:hint="cs"/>
          <w:rtl/>
        </w:rPr>
        <w:t>נ</w:t>
      </w:r>
      <w:r w:rsidR="00202CD4">
        <w:rPr>
          <w:rFonts w:hint="cs"/>
          <w:rtl/>
        </w:rPr>
        <w:t>י אריסטו</w:t>
      </w:r>
      <w:r w:rsidR="00FC31EC">
        <w:rPr>
          <w:rFonts w:hint="cs"/>
          <w:rtl/>
        </w:rPr>
        <w:t xml:space="preserve"> הגדולים ביותר</w:t>
      </w:r>
      <w:r w:rsidR="00202CD4">
        <w:rPr>
          <w:rFonts w:hint="cs"/>
          <w:rtl/>
        </w:rPr>
        <w:t xml:space="preserve"> </w:t>
      </w:r>
      <w:r w:rsidR="00FC31EC">
        <w:rPr>
          <w:rFonts w:hint="cs"/>
          <w:rtl/>
        </w:rPr>
        <w:t>ש</w:t>
      </w:r>
      <w:r w:rsidR="00202CD4">
        <w:rPr>
          <w:rFonts w:hint="cs"/>
          <w:rtl/>
        </w:rPr>
        <w:t>בכל הדורות,</w:t>
      </w:r>
      <w:r w:rsidR="00944AE4">
        <w:rPr>
          <w:rtl/>
        </w:rPr>
        <w:t xml:space="preserve"> בפירושו על הפיזיקה של אריסטו (197,34-198,1). פילופונוס כותב על ההגדרה של אריסטו לטבע</w:t>
      </w:r>
      <w:r w:rsidR="00E5361E">
        <w:rPr>
          <w:rFonts w:hint="cs"/>
          <w:rtl/>
        </w:rPr>
        <w:t xml:space="preserve"> שהעקתי מפיזיקה ב' א':</w:t>
      </w:r>
      <w:r w:rsidR="00944AE4">
        <w:rPr>
          <w:rtl/>
        </w:rPr>
        <w:t xml:space="preserve"> </w:t>
      </w:r>
    </w:p>
    <w:p w14:paraId="1903BDA5" w14:textId="170E6619" w:rsidR="00944AE4" w:rsidRDefault="00944AE4" w:rsidP="00944AE4">
      <w:pPr>
        <w:pStyle w:val="FootnoteText"/>
        <w:rPr>
          <w:rtl/>
        </w:rPr>
      </w:pPr>
      <w:r>
        <w:rPr>
          <w:rtl/>
        </w:rPr>
        <w:t xml:space="preserve">"זו, ובכן, ההגדרה של אריסטו ל'טבע'. כעת, ראוי לעצור כדי להתבונן שהגדרה זו אינה מבטאת את מה שהטבע הינו, אלא את הפעילות של הטבע. כי כשאנו לומדים שהוא התחלה של תנועה ומנוחה איננו לומדים מה הטבע הינו, אלא מה הטבע פועל. לכן, כדי שנוכל גם להציג את ההגדרה של העצם בעצמו, הכרחי לומר כך [הוא מוסיף כעת על לשונו של אריסטו כדי להשלים את ההגדרה]: ה'טבע' הוא חיים </w:t>
      </w:r>
      <w:r w:rsidR="00B87A98">
        <w:rPr>
          <w:rFonts w:hint="cs"/>
          <w:rtl/>
        </w:rPr>
        <w:t>כלומר</w:t>
      </w:r>
      <w:r>
        <w:rPr>
          <w:rtl/>
        </w:rPr>
        <w:t xml:space="preserve"> כח [</w:t>
      </w:r>
      <w:r>
        <w:t xml:space="preserve">greek: </w:t>
      </w:r>
      <w:r w:rsidR="00EC118F">
        <w:rPr>
          <w:rFonts w:hint="cs"/>
          <w:rtl/>
        </w:rPr>
        <w:t>'</w:t>
      </w:r>
      <w:r>
        <w:t>dunamis</w:t>
      </w:r>
      <w:r w:rsidR="00EC118F">
        <w:rPr>
          <w:rFonts w:hint="cs"/>
          <w:rtl/>
        </w:rPr>
        <w:t>'</w:t>
      </w:r>
      <w:r>
        <w:rPr>
          <w:rtl/>
        </w:rPr>
        <w:t xml:space="preserve">] </w:t>
      </w:r>
      <w:r w:rsidR="00FC2CAD">
        <w:rPr>
          <w:rFonts w:hint="cs"/>
          <w:rtl/>
        </w:rPr>
        <w:t>ששורים</w:t>
      </w:r>
      <w:r>
        <w:rPr>
          <w:rtl/>
        </w:rPr>
        <w:t xml:space="preserve"> </w:t>
      </w:r>
      <w:r w:rsidR="00FC2CAD">
        <w:rPr>
          <w:rFonts w:hint="cs"/>
          <w:rtl/>
        </w:rPr>
        <w:t>ב</w:t>
      </w:r>
      <w:r>
        <w:rPr>
          <w:rtl/>
        </w:rPr>
        <w:t xml:space="preserve">גופים, מעצבים ומנהיגים אותם, והם התחלה של תנועה ומנוחה בהם שהיא ראשונית, מהותית ולא מקרית." </w:t>
      </w:r>
      <w:r w:rsidR="001578DB">
        <w:rPr>
          <w:rFonts w:hint="cs"/>
          <w:rtl/>
        </w:rPr>
        <w:t xml:space="preserve">(אבן סינא השמיט את המילה "חיים" וכתב רק "כח". עיין לקמן 1.5.7) </w:t>
      </w:r>
      <w:r>
        <w:rPr>
          <w:rtl/>
        </w:rPr>
        <w:t xml:space="preserve"> </w:t>
      </w:r>
    </w:p>
    <w:p w14:paraId="695F75BD" w14:textId="77777777" w:rsidR="007C14BF" w:rsidRDefault="00944AE4" w:rsidP="007C14BF">
      <w:pPr>
        <w:pStyle w:val="FootnoteText"/>
        <w:rPr>
          <w:sz w:val="18"/>
          <w:szCs w:val="18"/>
          <w:rtl/>
        </w:rPr>
      </w:pPr>
      <w:r w:rsidRPr="007C14BF">
        <w:rPr>
          <w:sz w:val="18"/>
          <w:szCs w:val="18"/>
          <w:rtl/>
        </w:rPr>
        <w:t>(</w:t>
      </w:r>
      <w:r w:rsidR="00EB266C" w:rsidRPr="00234F3F">
        <w:rPr>
          <w:b/>
          <w:bCs/>
          <w:sz w:val="18"/>
          <w:szCs w:val="18"/>
          <w:rtl/>
        </w:rPr>
        <w:t>המקור היווני של פילופונוס</w:t>
      </w:r>
      <w:r w:rsidR="00EB266C" w:rsidRPr="007C14BF">
        <w:rPr>
          <w:sz w:val="18"/>
          <w:szCs w:val="18"/>
          <w:rtl/>
        </w:rPr>
        <w:t xml:space="preserve"> נמצא ב</w:t>
      </w:r>
      <w:r w:rsidR="00EB266C" w:rsidRPr="007C14BF">
        <w:rPr>
          <w:sz w:val="18"/>
          <w:szCs w:val="18"/>
        </w:rPr>
        <w:t>Ioannis Philoponi in Aristotelis Physicorum libros tres priores commentaria</w:t>
      </w:r>
      <w:r w:rsidR="00EB266C" w:rsidRPr="007C14BF">
        <w:rPr>
          <w:sz w:val="18"/>
          <w:szCs w:val="18"/>
          <w:rtl/>
        </w:rPr>
        <w:t xml:space="preserve"> בעריכת </w:t>
      </w:r>
      <w:r w:rsidR="00EB266C" w:rsidRPr="007C14BF">
        <w:rPr>
          <w:sz w:val="18"/>
          <w:szCs w:val="18"/>
        </w:rPr>
        <w:t>Hieronymus Vitelli</w:t>
      </w:r>
      <w:r w:rsidR="00EB266C" w:rsidRPr="007C14BF">
        <w:rPr>
          <w:sz w:val="18"/>
          <w:szCs w:val="18"/>
          <w:rtl/>
        </w:rPr>
        <w:t>. נמצא ברשת ‏</w:t>
      </w:r>
      <w:r w:rsidR="00FD649E" w:rsidRPr="007C14BF">
        <w:rPr>
          <w:rFonts w:hint="cs"/>
          <w:sz w:val="18"/>
          <w:szCs w:val="18"/>
          <w:rtl/>
        </w:rPr>
        <w:t xml:space="preserve"> </w:t>
      </w:r>
      <w:r w:rsidR="00FD649E" w:rsidRPr="007C14BF">
        <w:rPr>
          <w:sz w:val="18"/>
          <w:szCs w:val="18"/>
          <w:rtl/>
        </w:rPr>
        <w:t>‏</w:t>
      </w:r>
      <w:hyperlink r:id="rId95" w:history="1">
        <w:r w:rsidR="00FD649E" w:rsidRPr="007C14BF">
          <w:rPr>
            <w:rStyle w:val="Hyperlink"/>
            <w:rFonts w:hint="cs"/>
            <w:sz w:val="18"/>
            <w:szCs w:val="18"/>
            <w:rtl/>
          </w:rPr>
          <w:t>כאן</w:t>
        </w:r>
      </w:hyperlink>
      <w:r w:rsidR="00FD649E" w:rsidRPr="007C14BF">
        <w:rPr>
          <w:rFonts w:hint="cs"/>
          <w:sz w:val="18"/>
          <w:szCs w:val="18"/>
          <w:rtl/>
        </w:rPr>
        <w:t xml:space="preserve">, </w:t>
      </w:r>
      <w:hyperlink r:id="rId96" w:anchor="v=onepage&amp;q=%22%CE%AD%CF%83%CF%84%CE%AF%CE%BD%20%CE%AE%20%CF%86%CF%85%CF%83%CE%B9%CF%82%20%CE%B6%CF%89%CE%AE%20%CE%AE%CF%84%CE%BF%CE%B9%20%CE%B4%CF%8D%CE%BD%CE%B1%CE%BC%CE%B9%CF%82%22&amp;f=false" w:history="1">
        <w:r w:rsidR="00FD649E" w:rsidRPr="007C14BF">
          <w:rPr>
            <w:rStyle w:val="Hyperlink"/>
            <w:rFonts w:hint="cs"/>
            <w:sz w:val="18"/>
            <w:szCs w:val="18"/>
            <w:rtl/>
          </w:rPr>
          <w:t>וכאן</w:t>
        </w:r>
      </w:hyperlink>
      <w:r w:rsidR="00FD649E" w:rsidRPr="007C14BF">
        <w:rPr>
          <w:rFonts w:hint="cs"/>
          <w:sz w:val="18"/>
          <w:szCs w:val="18"/>
          <w:rtl/>
        </w:rPr>
        <w:t xml:space="preserve">, </w:t>
      </w:r>
      <w:r w:rsidR="00EB266C" w:rsidRPr="007C14BF">
        <w:rPr>
          <w:sz w:val="18"/>
          <w:szCs w:val="18"/>
          <w:rtl/>
        </w:rPr>
        <w:t xml:space="preserve"> עמ' 197, שורה 34 (שנייה מלמטה)</w:t>
      </w:r>
    </w:p>
    <w:p w14:paraId="3F8F2CF9" w14:textId="0240A694" w:rsidR="00944AE4" w:rsidRPr="007C14BF" w:rsidRDefault="007C14BF" w:rsidP="007C14BF">
      <w:pPr>
        <w:pStyle w:val="FootnoteText"/>
        <w:rPr>
          <w:sz w:val="18"/>
          <w:szCs w:val="18"/>
          <w:rtl/>
        </w:rPr>
      </w:pPr>
      <w:r w:rsidRPr="007C14BF">
        <w:rPr>
          <w:sz w:val="18"/>
          <w:szCs w:val="18"/>
          <w:rtl/>
        </w:rPr>
        <w:t>יש תרגום לאנגלית מהמקור היווני:</w:t>
      </w:r>
      <w:r w:rsidRPr="007C14BF">
        <w:rPr>
          <w:sz w:val="18"/>
          <w:szCs w:val="18"/>
        </w:rPr>
        <w:t>E. M. Macierowski and R.  F. Hassing, “John Philoponus on Aristotle’s Definition of Nature: A translation from the Greek with Introduction and Notes,” Ancient Philosophy 8 (1988): 73–100</w:t>
      </w:r>
      <w:r w:rsidRPr="007C14BF">
        <w:rPr>
          <w:sz w:val="18"/>
          <w:szCs w:val="18"/>
          <w:rtl/>
        </w:rPr>
        <w:t>.</w:t>
      </w:r>
      <w:r w:rsidR="00944AE4" w:rsidRPr="007C14BF">
        <w:rPr>
          <w:sz w:val="18"/>
          <w:szCs w:val="18"/>
          <w:rtl/>
        </w:rPr>
        <w:t>)</w:t>
      </w:r>
    </w:p>
    <w:p w14:paraId="72BD119D" w14:textId="77777777" w:rsidR="00944AE4" w:rsidRDefault="00944AE4" w:rsidP="00944AE4">
      <w:pPr>
        <w:pStyle w:val="FootnoteText"/>
        <w:rPr>
          <w:rtl/>
        </w:rPr>
      </w:pPr>
    </w:p>
    <w:p w14:paraId="5A59A6F9" w14:textId="77777777" w:rsidR="00944AE4" w:rsidRDefault="00944AE4" w:rsidP="00944AE4">
      <w:pPr>
        <w:pStyle w:val="FootnoteText"/>
        <w:rPr>
          <w:rtl/>
        </w:rPr>
      </w:pPr>
      <w:r>
        <w:rPr>
          <w:rtl/>
        </w:rPr>
        <w:t>אפלטון בפידרוס עמ' 245 כתב גם כן לזהות את התנועה עם חיים:</w:t>
      </w:r>
    </w:p>
    <w:p w14:paraId="7FE5F23B" w14:textId="1E6AD897" w:rsidR="00944AE4" w:rsidRDefault="00944AE4" w:rsidP="00EF03EA">
      <w:pPr>
        <w:pStyle w:val="FootnoteText"/>
      </w:pPr>
      <w:r>
        <w:rPr>
          <w:rtl/>
        </w:rPr>
        <w:t>"כל מה שנשמה הוא, הרי הוא בן אלמוות. שכן מה שתמיד שרוי בתנועה, בן אלמוות הוא. ואילו המניע זולתו מהיותו מונע בידי זולתו - באשר נפסקת תנועתו, אף ייפסקו חייו. רק המניע את עצמו - שהרי את עצמו לא יחסר - אף לא יחדל, אפוא, מהתנועע; יתירה מזו: הוא גם מקור ויסוד ראשון לתנועת כל שאר המונעים." (ועיין עוד שם).</w:t>
      </w:r>
    </w:p>
  </w:footnote>
  <w:footnote w:id="436">
    <w:p w14:paraId="7C25BAD3" w14:textId="2B2D3B7A" w:rsidR="00BD6492" w:rsidRDefault="00B75425">
      <w:pPr>
        <w:pStyle w:val="FootnoteText"/>
        <w:rPr>
          <w:rtl/>
        </w:rPr>
      </w:pPr>
      <w:r>
        <w:rPr>
          <w:rStyle w:val="FootnoteReference"/>
        </w:rPr>
        <w:footnoteRef/>
      </w:r>
      <w:bookmarkStart w:id="211" w:name="_Hlk106731198"/>
      <w:r>
        <w:rPr>
          <w:rtl/>
        </w:rPr>
        <w:t xml:space="preserve"> </w:t>
      </w:r>
      <w:r w:rsidR="00446501" w:rsidRPr="00446501">
        <w:rPr>
          <w:rFonts w:cs="Times New Roman" w:hint="eastAsia"/>
          <w:rtl/>
          <w:lang w:bidi="ar-SA"/>
        </w:rPr>
        <w:t>سارية</w:t>
      </w:r>
      <w:r w:rsidR="009459F8">
        <w:rPr>
          <w:rFonts w:cs="Times New Roman" w:hint="cs"/>
          <w:rtl/>
        </w:rPr>
        <w:t>.</w:t>
      </w:r>
      <w:r w:rsidR="000E3C7F" w:rsidRPr="00125843">
        <w:rPr>
          <w:rtl/>
        </w:rPr>
        <w:t xml:space="preserve"> </w:t>
      </w:r>
      <w:r w:rsidR="001D3BD4" w:rsidRPr="00125843">
        <w:rPr>
          <w:rtl/>
        </w:rPr>
        <w:t xml:space="preserve">השורש הוא </w:t>
      </w:r>
      <w:r w:rsidR="001D3BD4" w:rsidRPr="00125843">
        <w:rPr>
          <w:rFonts w:ascii="Arial" w:hAnsi="Arial" w:cs="Arial" w:hint="cs"/>
          <w:rtl/>
          <w:lang w:bidi="ar-SA"/>
        </w:rPr>
        <w:t>سرى</w:t>
      </w:r>
      <w:r w:rsidR="001D3BD4" w:rsidRPr="00125843">
        <w:rPr>
          <w:rtl/>
        </w:rPr>
        <w:t xml:space="preserve"> (ד"ר מיכאל </w:t>
      </w:r>
      <w:r w:rsidR="001D3BD4" w:rsidRPr="00125843">
        <w:rPr>
          <w:rtl/>
        </w:rPr>
        <w:t xml:space="preserve">וייכנהאן כתב לי שהשורש הוא </w:t>
      </w:r>
      <w:r w:rsidR="00585B2C" w:rsidRPr="00125843">
        <w:rPr>
          <w:rFonts w:ascii="Arial" w:hAnsi="Arial" w:cs="Arial" w:hint="cs"/>
          <w:rtl/>
          <w:lang w:bidi="ar-SA"/>
        </w:rPr>
        <w:t>سار</w:t>
      </w:r>
      <w:r w:rsidR="00585B2C" w:rsidRPr="00125843">
        <w:rPr>
          <w:rtl/>
        </w:rPr>
        <w:t>, אבל לענ"ד הוא כמו שכתבתי</w:t>
      </w:r>
      <w:r w:rsidR="00125843" w:rsidRPr="00125843">
        <w:rPr>
          <w:rtl/>
        </w:rPr>
        <w:t>)</w:t>
      </w:r>
      <w:r w:rsidR="001D3BD4" w:rsidRPr="00125843">
        <w:rPr>
          <w:rtl/>
        </w:rPr>
        <w:t>.</w:t>
      </w:r>
      <w:r w:rsidR="00711C51" w:rsidRPr="0042760F">
        <w:rPr>
          <w:rtl/>
        </w:rPr>
        <w:t xml:space="preserve"> </w:t>
      </w:r>
    </w:p>
    <w:p w14:paraId="6433070E" w14:textId="051B126A" w:rsidR="00893B4A" w:rsidRDefault="00893B4A">
      <w:pPr>
        <w:pStyle w:val="FootnoteText"/>
        <w:rPr>
          <w:rtl/>
        </w:rPr>
      </w:pPr>
      <w:r w:rsidRPr="00893B4A">
        <w:rPr>
          <w:rtl/>
        </w:rPr>
        <w:t xml:space="preserve">לפי לקסיקון </w:t>
      </w:r>
      <w:r w:rsidRPr="00893B4A">
        <w:t>Lane</w:t>
      </w:r>
      <w:r w:rsidRPr="00893B4A">
        <w:rPr>
          <w:rtl/>
        </w:rPr>
        <w:t xml:space="preserve"> (שהוא הלקסיקון המדעי המעמיק ביותר ללשון הערבית, שהתקבל כסמכות הקלסית לערבית, נדפס באמצע המאה התשע עשרה בשמונה כרכים) השורש </w:t>
      </w:r>
      <w:r w:rsidRPr="00893B4A">
        <w:rPr>
          <w:rFonts w:cs="Times New Roman" w:hint="eastAsia"/>
          <w:rtl/>
          <w:lang w:bidi="ar-SA"/>
        </w:rPr>
        <w:t>سرى</w:t>
      </w:r>
      <w:r w:rsidRPr="00893B4A">
        <w:rPr>
          <w:rFonts w:cs="Times New Roman"/>
          <w:rtl/>
          <w:lang w:bidi="ar-SA"/>
        </w:rPr>
        <w:t xml:space="preserve"> </w:t>
      </w:r>
      <w:r w:rsidRPr="00893B4A">
        <w:rPr>
          <w:rtl/>
        </w:rPr>
        <w:t>פירושו 'להימצא' באופן של התפשטות או חילחול, כמו שכאב מתפשט בגוף מהפצע לשאר הגוף, או כאב שמתפשט מהגוף אל הנפש, א</w:t>
      </w:r>
      <w:r w:rsidRPr="00893B4A">
        <w:rPr>
          <w:rFonts w:hint="eastAsia"/>
          <w:rtl/>
        </w:rPr>
        <w:t>ו</w:t>
      </w:r>
      <w:r w:rsidRPr="00893B4A">
        <w:rPr>
          <w:rtl/>
        </w:rPr>
        <w:t xml:space="preserve"> רעל שמתפשט בגוף, או בהלה ששורה בגוף. וכך תרגם מקגיניס שהוא לשון חלחול (ובאנגלית </w:t>
      </w:r>
      <w:r w:rsidRPr="00893B4A">
        <w:t>permeate</w:t>
      </w:r>
      <w:r w:rsidRPr="00893B4A">
        <w:rPr>
          <w:rtl/>
        </w:rPr>
        <w:t>)</w:t>
      </w:r>
      <w:r w:rsidR="00CD32D9">
        <w:rPr>
          <w:rFonts w:hint="cs"/>
          <w:rtl/>
        </w:rPr>
        <w:t>.</w:t>
      </w:r>
    </w:p>
    <w:p w14:paraId="15D80A41" w14:textId="320532CE" w:rsidR="00554579" w:rsidRDefault="00CD32D9">
      <w:pPr>
        <w:pStyle w:val="FootnoteText"/>
        <w:rPr>
          <w:rtl/>
        </w:rPr>
      </w:pPr>
      <w:r>
        <w:rPr>
          <w:rFonts w:hint="cs"/>
          <w:rtl/>
        </w:rPr>
        <w:t>ו</w:t>
      </w:r>
      <w:r w:rsidR="00376A80">
        <w:rPr>
          <w:rFonts w:hint="cs"/>
          <w:rtl/>
        </w:rPr>
        <w:t xml:space="preserve">עיין לקמן 1.5.7 שם </w:t>
      </w:r>
      <w:r w:rsidR="00AE6221">
        <w:rPr>
          <w:rFonts w:hint="cs"/>
          <w:rtl/>
        </w:rPr>
        <w:t>אבן סינא דן במילה הזו ומשמעותה</w:t>
      </w:r>
      <w:r w:rsidR="00877BD8">
        <w:rPr>
          <w:rFonts w:hint="cs"/>
          <w:rtl/>
        </w:rPr>
        <w:t>.</w:t>
      </w:r>
      <w:r w:rsidR="00BA5653">
        <w:rPr>
          <w:rFonts w:hint="cs"/>
          <w:rtl/>
        </w:rPr>
        <w:t xml:space="preserve"> </w:t>
      </w:r>
      <w:r w:rsidR="001247B2">
        <w:rPr>
          <w:rFonts w:hint="cs"/>
          <w:rtl/>
        </w:rPr>
        <w:t xml:space="preserve">ועיין עוד לקמן 1.7.3 </w:t>
      </w:r>
      <w:r w:rsidR="00847149">
        <w:rPr>
          <w:rFonts w:hint="cs"/>
          <w:rtl/>
        </w:rPr>
        <w:t xml:space="preserve">שם אבן סינא משתמש במילה זו לתאר את מציאות הצורות בגופים. </w:t>
      </w:r>
    </w:p>
    <w:bookmarkEnd w:id="211"/>
    <w:p w14:paraId="2C2111AA" w14:textId="350A39E6" w:rsidR="00E459E5" w:rsidRDefault="00FA2E91">
      <w:pPr>
        <w:pStyle w:val="FootnoteText"/>
        <w:rPr>
          <w:rtl/>
        </w:rPr>
      </w:pPr>
      <w:r>
        <w:rPr>
          <w:rFonts w:hint="cs"/>
          <w:rtl/>
        </w:rPr>
        <w:t>ב</w:t>
      </w:r>
      <w:r w:rsidR="00C65FFB">
        <w:rPr>
          <w:rFonts w:hint="cs"/>
          <w:rtl/>
        </w:rPr>
        <w:t>מק</w:t>
      </w:r>
      <w:r>
        <w:rPr>
          <w:rFonts w:hint="cs"/>
          <w:rtl/>
        </w:rPr>
        <w:t xml:space="preserve">ור היווני של פילופונוס המילה שהוא משתמש בה לתאר את הימצאות הכח בגופים היא </w:t>
      </w:r>
      <w:r w:rsidRPr="001454C1">
        <w:rPr>
          <w:rFonts w:asciiTheme="majorBidi" w:hAnsiTheme="majorBidi" w:cstheme="majorBidi"/>
        </w:rPr>
        <w:t>καταδεδυκυία</w:t>
      </w:r>
      <w:r w:rsidR="00314505">
        <w:rPr>
          <w:rFonts w:hint="cs"/>
          <w:rtl/>
        </w:rPr>
        <w:t>, והיא מהשורש</w:t>
      </w:r>
      <w:r>
        <w:rPr>
          <w:rFonts w:hint="cs"/>
          <w:rtl/>
        </w:rPr>
        <w:t xml:space="preserve"> </w:t>
      </w:r>
      <w:r w:rsidRPr="001454C1">
        <w:rPr>
          <w:rFonts w:asciiTheme="majorBidi" w:hAnsiTheme="majorBidi" w:cstheme="majorBidi"/>
        </w:rPr>
        <w:t>καταδύω</w:t>
      </w:r>
      <w:r w:rsidR="00314505">
        <w:rPr>
          <w:rFonts w:hint="cs"/>
          <w:rtl/>
        </w:rPr>
        <w:t xml:space="preserve"> שתרגומו לצלול. </w:t>
      </w:r>
      <w:r w:rsidR="00E459E5">
        <w:rPr>
          <w:rFonts w:hint="cs"/>
          <w:rtl/>
        </w:rPr>
        <w:t xml:space="preserve">אבן סינא הבין שלצלול כאן פירושו כמו המים שנמצאים בספוג, כאילו הם צוללים בו, וכמו שתרגם מקגיניס חילחול. </w:t>
      </w:r>
    </w:p>
    <w:p w14:paraId="64D209AE" w14:textId="77777777" w:rsidR="00EB1164" w:rsidRDefault="00EB1164">
      <w:pPr>
        <w:pStyle w:val="FootnoteText"/>
        <w:rPr>
          <w:rtl/>
        </w:rPr>
      </w:pPr>
    </w:p>
    <w:p w14:paraId="7272A85D" w14:textId="4715F8BC" w:rsidR="00FA2E91" w:rsidRDefault="00EB1164">
      <w:pPr>
        <w:pStyle w:val="FootnoteText"/>
        <w:rPr>
          <w:rtl/>
        </w:rPr>
      </w:pPr>
      <w:r>
        <w:rPr>
          <w:rFonts w:hint="cs"/>
          <w:rtl/>
        </w:rPr>
        <w:t>(</w:t>
      </w:r>
      <w:r w:rsidR="00E459E5">
        <w:rPr>
          <w:rFonts w:hint="cs"/>
          <w:rtl/>
        </w:rPr>
        <w:t xml:space="preserve">יש שפירשו את המילה </w:t>
      </w:r>
      <w:r w:rsidR="001454C1">
        <w:rPr>
          <w:rFonts w:hint="cs"/>
          <w:rtl/>
        </w:rPr>
        <w:t>'</w:t>
      </w:r>
      <w:r w:rsidR="00E459E5">
        <w:rPr>
          <w:rFonts w:hint="cs"/>
          <w:rtl/>
        </w:rPr>
        <w:t>לצלול</w:t>
      </w:r>
      <w:r w:rsidR="001454C1">
        <w:rPr>
          <w:rFonts w:hint="cs"/>
          <w:rtl/>
        </w:rPr>
        <w:t>'</w:t>
      </w:r>
      <w:r w:rsidR="00E459E5">
        <w:rPr>
          <w:rFonts w:hint="cs"/>
          <w:rtl/>
        </w:rPr>
        <w:t xml:space="preserve"> שכתב</w:t>
      </w:r>
      <w:r w:rsidR="001454C1">
        <w:rPr>
          <w:rFonts w:hint="cs"/>
          <w:rtl/>
        </w:rPr>
        <w:t xml:space="preserve"> </w:t>
      </w:r>
      <w:r w:rsidR="00E459E5">
        <w:rPr>
          <w:rFonts w:hint="cs"/>
          <w:rtl/>
        </w:rPr>
        <w:t xml:space="preserve">פילופונוס שכוונה היא ירידה מלמעלה למטה. </w:t>
      </w:r>
    </w:p>
    <w:p w14:paraId="5B0E9CC2" w14:textId="1BB0E171" w:rsidR="00752828" w:rsidRDefault="00752828" w:rsidP="00EB1164">
      <w:pPr>
        <w:pStyle w:val="FootnoteText"/>
        <w:rPr>
          <w:rtl/>
        </w:rPr>
      </w:pPr>
      <w:r>
        <w:rPr>
          <w:rFonts w:hint="cs"/>
          <w:rtl/>
        </w:rPr>
        <w:t>בספר</w:t>
      </w:r>
      <w:r w:rsidRPr="007B7A96">
        <w:rPr>
          <w:rtl/>
        </w:rPr>
        <w:t xml:space="preserve"> </w:t>
      </w:r>
      <w:hyperlink r:id="rId97" w:anchor="v=snippet&amp;q=philoponus&amp;f=false" w:history="1">
        <w:r w:rsidRPr="007B7A96">
          <w:rPr>
            <w:rStyle w:val="Hyperlink"/>
          </w:rPr>
          <w:t xml:space="preserve">A Scientific Theology: Nature </w:t>
        </w:r>
        <w:r w:rsidR="007B7A96" w:rsidRPr="007B7A96">
          <w:rPr>
            <w:rStyle w:val="Hyperlink"/>
          </w:rPr>
          <w:t xml:space="preserve">- </w:t>
        </w:r>
        <w:r w:rsidRPr="007B7A96">
          <w:rPr>
            <w:rStyle w:val="Hyperlink"/>
          </w:rPr>
          <w:t>By Alister E. McGrath</w:t>
        </w:r>
      </w:hyperlink>
      <w:r w:rsidRPr="007B7A96">
        <w:rPr>
          <w:rtl/>
        </w:rPr>
        <w:t xml:space="preserve">, </w:t>
      </w:r>
      <w:r w:rsidR="001C0CD8" w:rsidRPr="007B7A96">
        <w:rPr>
          <w:rtl/>
        </w:rPr>
        <w:t xml:space="preserve">עמ' 95, </w:t>
      </w:r>
      <w:r w:rsidRPr="007B7A96">
        <w:rPr>
          <w:rtl/>
        </w:rPr>
        <w:t>הביא את התרגום</w:t>
      </w:r>
      <w:r w:rsidR="0097179C" w:rsidRPr="007B7A96">
        <w:rPr>
          <w:rtl/>
        </w:rPr>
        <w:t xml:space="preserve"> האנגלי</w:t>
      </w:r>
      <w:r w:rsidR="00A2043A" w:rsidRPr="007B7A96">
        <w:rPr>
          <w:rtl/>
        </w:rPr>
        <w:t xml:space="preserve"> </w:t>
      </w:r>
      <w:r w:rsidR="0097179C" w:rsidRPr="007B7A96">
        <w:rPr>
          <w:rtl/>
        </w:rPr>
        <w:t>מאת</w:t>
      </w:r>
      <w:r w:rsidR="00926396" w:rsidRPr="007B7A96">
        <w:rPr>
          <w:rtl/>
        </w:rPr>
        <w:t xml:space="preserve"> </w:t>
      </w:r>
      <w:r w:rsidR="00926396" w:rsidRPr="007B7A96">
        <w:t>Macierowski and Hassing</w:t>
      </w:r>
      <w:r w:rsidRPr="007B7A96">
        <w:rPr>
          <w:rtl/>
        </w:rPr>
        <w:t xml:space="preserve"> של </w:t>
      </w:r>
      <w:r w:rsidR="00926396" w:rsidRPr="007B7A96">
        <w:rPr>
          <w:rtl/>
        </w:rPr>
        <w:t>המקור היווני של</w:t>
      </w:r>
      <w:r w:rsidRPr="007B7A96">
        <w:rPr>
          <w:rtl/>
        </w:rPr>
        <w:t xml:space="preserve"> פילופונוס בקט</w:t>
      </w:r>
      <w:r w:rsidR="000E0B7B" w:rsidRPr="007B7A96">
        <w:rPr>
          <w:rtl/>
        </w:rPr>
        <w:t>ע זה</w:t>
      </w:r>
      <w:r w:rsidR="001C0CD8">
        <w:rPr>
          <w:rFonts w:hint="cs"/>
          <w:rtl/>
        </w:rPr>
        <w:t>:</w:t>
      </w:r>
    </w:p>
    <w:p w14:paraId="1AD29AF4" w14:textId="41C1DC38" w:rsidR="001C0CD8" w:rsidRPr="00DE5ADB" w:rsidRDefault="004412DF" w:rsidP="006B4D3E">
      <w:pPr>
        <w:pStyle w:val="FootnoteText"/>
        <w:bidi w:val="0"/>
        <w:rPr>
          <w:sz w:val="18"/>
          <w:szCs w:val="18"/>
          <w:rtl/>
        </w:rPr>
      </w:pPr>
      <w:r w:rsidRPr="00FE416E">
        <w:rPr>
          <w:rFonts w:asciiTheme="majorBidi" w:hAnsiTheme="majorBidi" w:cstheme="majorBidi"/>
          <w:rtl/>
        </w:rPr>
        <w:t>"</w:t>
      </w:r>
      <w:r w:rsidR="009721D5" w:rsidRPr="00FE416E">
        <w:rPr>
          <w:rFonts w:asciiTheme="majorBidi" w:hAnsiTheme="majorBidi" w:cstheme="majorBidi"/>
        </w:rPr>
        <w:t>This, therefore, is the definition of nature. Now it is worth stopping to consider that this definition does not express what nature is, but rather the activity of nature. For by learning that it is a principle of motion and rest, we did not learn what nature is, but rather what it does. Therefore, so that we may also present the definition of the substance itself (</w:t>
      </w:r>
      <w:r w:rsidR="00E9104D" w:rsidRPr="00FE416E">
        <w:rPr>
          <w:rFonts w:asciiTheme="majorBidi" w:hAnsiTheme="majorBidi" w:cstheme="majorBidi"/>
        </w:rPr>
        <w:t>Της  ουσίας αυτής)</w:t>
      </w:r>
      <w:r w:rsidR="009721D5" w:rsidRPr="00FE416E">
        <w:rPr>
          <w:rFonts w:asciiTheme="majorBidi" w:hAnsiTheme="majorBidi" w:cstheme="majorBidi"/>
        </w:rPr>
        <w:t xml:space="preserve">, it is necessary to speak in this way: nature is a life or power </w:t>
      </w:r>
      <w:r w:rsidR="002A36B4" w:rsidRPr="00FE416E">
        <w:rPr>
          <w:rFonts w:asciiTheme="majorBidi" w:hAnsiTheme="majorBidi" w:cstheme="majorBidi"/>
        </w:rPr>
        <w:t>(έστίν ή φύσις ζωή ήτοι δύναμις)</w:t>
      </w:r>
      <w:r w:rsidR="009721D5" w:rsidRPr="00FE416E">
        <w:rPr>
          <w:rFonts w:asciiTheme="majorBidi" w:hAnsiTheme="majorBidi" w:cstheme="majorBidi"/>
        </w:rPr>
        <w:t xml:space="preserve"> </w:t>
      </w:r>
      <w:r w:rsidR="009721D5" w:rsidRPr="00FE416E">
        <w:rPr>
          <w:rFonts w:asciiTheme="majorBidi" w:hAnsiTheme="majorBidi" w:cstheme="majorBidi"/>
          <w:b/>
          <w:bCs/>
        </w:rPr>
        <w:t xml:space="preserve">having </w:t>
      </w:r>
      <w:bookmarkStart w:id="212" w:name="_Hlk102826201"/>
      <w:r w:rsidR="009721D5" w:rsidRPr="00FE416E">
        <w:rPr>
          <w:rFonts w:asciiTheme="majorBidi" w:hAnsiTheme="majorBidi" w:cstheme="majorBidi"/>
          <w:b/>
          <w:bCs/>
        </w:rPr>
        <w:t>descended through bodies</w:t>
      </w:r>
      <w:bookmarkEnd w:id="212"/>
      <w:r w:rsidR="009721D5" w:rsidRPr="00FE416E">
        <w:rPr>
          <w:rFonts w:asciiTheme="majorBidi" w:hAnsiTheme="majorBidi" w:cstheme="majorBidi"/>
        </w:rPr>
        <w:t>, shaping them and governing them, being a principle of motion and rest in that in which it is primarily, per se and not per accidens</w:t>
      </w:r>
      <w:r w:rsidR="009721D5" w:rsidRPr="00FE416E">
        <w:rPr>
          <w:rFonts w:asciiTheme="majorBidi" w:hAnsiTheme="majorBidi" w:cstheme="majorBidi"/>
          <w:rtl/>
        </w:rPr>
        <w:t>.</w:t>
      </w:r>
      <w:r w:rsidRPr="00FE416E">
        <w:rPr>
          <w:rFonts w:asciiTheme="majorBidi" w:hAnsiTheme="majorBidi" w:cstheme="majorBidi"/>
          <w:rtl/>
        </w:rPr>
        <w:t>"</w:t>
      </w:r>
      <w:r w:rsidR="006B4D3E" w:rsidRPr="006B4D3E">
        <w:rPr>
          <w:rFonts w:asciiTheme="majorBidi" w:hAnsiTheme="majorBidi" w:cstheme="majorBidi"/>
          <w:sz w:val="24"/>
          <w:szCs w:val="24"/>
        </w:rPr>
        <w:t xml:space="preserve"> </w:t>
      </w:r>
      <w:r w:rsidR="006B4D3E">
        <w:t>(</w:t>
      </w:r>
      <w:r w:rsidR="00FE7AB7" w:rsidRPr="00DE5ADB">
        <w:rPr>
          <w:sz w:val="18"/>
          <w:szCs w:val="18"/>
        </w:rPr>
        <w:t xml:space="preserve">We here follow </w:t>
      </w:r>
      <w:bookmarkStart w:id="213" w:name="_Hlk102825633"/>
      <w:r w:rsidR="00FE7AB7" w:rsidRPr="00DE5ADB">
        <w:rPr>
          <w:sz w:val="18"/>
          <w:szCs w:val="18"/>
        </w:rPr>
        <w:t>E. M. Macierowski and R. F. Hassing</w:t>
      </w:r>
      <w:bookmarkEnd w:id="213"/>
      <w:r w:rsidR="00FE7AB7" w:rsidRPr="00DE5ADB">
        <w:rPr>
          <w:sz w:val="18"/>
          <w:szCs w:val="18"/>
        </w:rPr>
        <w:t>, 'John Philoponus on Aristotle's</w:t>
      </w:r>
      <w:r w:rsidR="002C5497" w:rsidRPr="00DE5ADB">
        <w:rPr>
          <w:rFonts w:hint="cs"/>
          <w:sz w:val="18"/>
          <w:szCs w:val="18"/>
          <w:rtl/>
        </w:rPr>
        <w:t xml:space="preserve"> </w:t>
      </w:r>
      <w:r w:rsidR="00FE7AB7" w:rsidRPr="00DE5ADB">
        <w:rPr>
          <w:sz w:val="18"/>
          <w:szCs w:val="18"/>
        </w:rPr>
        <w:t>Definition of Nature: A Translation from the Greek with Introduction and Notes', Ancient</w:t>
      </w:r>
      <w:r w:rsidR="002C5497" w:rsidRPr="00DE5ADB">
        <w:rPr>
          <w:rFonts w:hint="cs"/>
          <w:sz w:val="18"/>
          <w:szCs w:val="18"/>
          <w:rtl/>
        </w:rPr>
        <w:t xml:space="preserve"> </w:t>
      </w:r>
      <w:r w:rsidR="00FE7AB7" w:rsidRPr="00DE5ADB">
        <w:rPr>
          <w:sz w:val="18"/>
          <w:szCs w:val="18"/>
        </w:rPr>
        <w:t>Philosophy 8 (1988),</w:t>
      </w:r>
      <w:r w:rsidR="002769C3" w:rsidRPr="00DE5ADB">
        <w:rPr>
          <w:rFonts w:hint="cs"/>
          <w:sz w:val="18"/>
          <w:szCs w:val="18"/>
          <w:rtl/>
        </w:rPr>
        <w:t xml:space="preserve"> </w:t>
      </w:r>
      <w:r w:rsidR="00FE7AB7" w:rsidRPr="00DE5ADB">
        <w:rPr>
          <w:sz w:val="18"/>
          <w:szCs w:val="18"/>
        </w:rPr>
        <w:t>81</w:t>
      </w:r>
      <w:r w:rsidR="00A43F09">
        <w:rPr>
          <w:sz w:val="18"/>
          <w:szCs w:val="18"/>
        </w:rPr>
        <w:t>-</w:t>
      </w:r>
      <w:r w:rsidR="00FE7AB7" w:rsidRPr="00DE5ADB">
        <w:rPr>
          <w:sz w:val="18"/>
          <w:szCs w:val="18"/>
        </w:rPr>
        <w:t>2</w:t>
      </w:r>
      <w:r w:rsidR="00FE7AB7" w:rsidRPr="00DE5ADB">
        <w:rPr>
          <w:sz w:val="18"/>
          <w:szCs w:val="18"/>
          <w:rtl/>
        </w:rPr>
        <w:t>.</w:t>
      </w:r>
      <w:r w:rsidR="00A2043A" w:rsidRPr="00DE5ADB">
        <w:rPr>
          <w:sz w:val="18"/>
          <w:szCs w:val="18"/>
        </w:rPr>
        <w:t>)</w:t>
      </w:r>
    </w:p>
    <w:p w14:paraId="063EC7B0" w14:textId="32F140AB" w:rsidR="00B5292A" w:rsidRPr="00040FA6" w:rsidRDefault="00147BD3">
      <w:pPr>
        <w:pStyle w:val="FootnoteText"/>
        <w:rPr>
          <w:rtl/>
        </w:rPr>
      </w:pPr>
      <w:r>
        <w:rPr>
          <w:rFonts w:hint="cs"/>
          <w:rtl/>
        </w:rPr>
        <w:t xml:space="preserve">התרגום </w:t>
      </w:r>
      <w:r w:rsidR="00851516">
        <w:rPr>
          <w:rFonts w:hint="cs"/>
          <w:rtl/>
        </w:rPr>
        <w:t xml:space="preserve">שלהם </w:t>
      </w:r>
      <w:r>
        <w:rPr>
          <w:rFonts w:hint="cs"/>
          <w:rtl/>
        </w:rPr>
        <w:t>הוא שהכח "יורד דרך גופים"</w:t>
      </w:r>
      <w:r w:rsidR="0062730C">
        <w:rPr>
          <w:rFonts w:hint="cs"/>
          <w:rtl/>
        </w:rPr>
        <w:t xml:space="preserve"> (</w:t>
      </w:r>
      <w:r w:rsidR="0062730C" w:rsidRPr="0062730C">
        <w:t>descended through bodies</w:t>
      </w:r>
      <w:r w:rsidR="0062730C">
        <w:rPr>
          <w:rFonts w:hint="cs"/>
          <w:rtl/>
        </w:rPr>
        <w:t xml:space="preserve">) הוא לפי המקור היווני של פילופונוס </w:t>
      </w:r>
      <w:r w:rsidR="00EB1164">
        <w:rPr>
          <w:rFonts w:hint="cs"/>
          <w:rtl/>
        </w:rPr>
        <w:t>ולפי הבנתם את המילה "לצלול"</w:t>
      </w:r>
      <w:r w:rsidR="0062730C">
        <w:rPr>
          <w:rFonts w:hint="cs"/>
          <w:rtl/>
        </w:rPr>
        <w:t xml:space="preserve"> </w:t>
      </w:r>
      <w:bookmarkStart w:id="214" w:name="_Hlk103086496"/>
      <w:r w:rsidR="00776AEE">
        <w:rPr>
          <w:rFonts w:hint="cs"/>
          <w:rtl/>
        </w:rPr>
        <w:t>(</w:t>
      </w:r>
      <w:r w:rsidR="009E5EAF" w:rsidRPr="009E5EAF">
        <w:rPr>
          <w:rFonts w:asciiTheme="majorBidi" w:hAnsiTheme="majorBidi" w:cstheme="majorBidi"/>
        </w:rPr>
        <w:t>καταδεδυκυία</w:t>
      </w:r>
      <w:bookmarkEnd w:id="214"/>
      <w:r w:rsidR="00776AEE">
        <w:rPr>
          <w:rFonts w:asciiTheme="majorBidi" w:hAnsiTheme="majorBidi" w:cstheme="majorBidi" w:hint="cs"/>
          <w:rtl/>
        </w:rPr>
        <w:t>)</w:t>
      </w:r>
      <w:r w:rsidR="009E5EAF">
        <w:rPr>
          <w:rFonts w:asciiTheme="majorBidi" w:hAnsiTheme="majorBidi" w:cstheme="majorBidi" w:hint="cs"/>
          <w:rtl/>
        </w:rPr>
        <w:t>,</w:t>
      </w:r>
      <w:r w:rsidR="009E5EAF" w:rsidRPr="00040FA6">
        <w:rPr>
          <w:rtl/>
        </w:rPr>
        <w:t xml:space="preserve"> </w:t>
      </w:r>
      <w:r w:rsidR="00BB3BB1" w:rsidRPr="00040FA6">
        <w:rPr>
          <w:rtl/>
        </w:rPr>
        <w:t xml:space="preserve">(ההקשר </w:t>
      </w:r>
      <w:r w:rsidR="00776AEE">
        <w:rPr>
          <w:rFonts w:hint="cs"/>
          <w:rtl/>
        </w:rPr>
        <w:t xml:space="preserve">במקור של פילופונוס </w:t>
      </w:r>
      <w:r w:rsidR="00BB3BB1" w:rsidRPr="00040FA6">
        <w:rPr>
          <w:rtl/>
        </w:rPr>
        <w:t>הוא:</w:t>
      </w:r>
      <w:r w:rsidR="00BB3BB1" w:rsidRPr="00040FA6">
        <w:t xml:space="preserve"> </w:t>
      </w:r>
    </w:p>
    <w:p w14:paraId="0544C656" w14:textId="3E712FF0" w:rsidR="0062117B" w:rsidRPr="00746661" w:rsidRDefault="00AE4E5A" w:rsidP="00746661">
      <w:pPr>
        <w:pStyle w:val="FootnoteText"/>
        <w:bidi w:val="0"/>
        <w:rPr>
          <w:rFonts w:asciiTheme="majorBidi" w:hAnsiTheme="majorBidi" w:cstheme="majorBidi"/>
          <w:rtl/>
        </w:rPr>
      </w:pPr>
      <w:r w:rsidRPr="00FA7D82">
        <w:rPr>
          <w:rFonts w:asciiTheme="majorBidi" w:hAnsiTheme="majorBidi" w:cstheme="majorBidi"/>
        </w:rPr>
        <w:t>ο</w:t>
      </w:r>
      <w:r w:rsidR="00B5292A" w:rsidRPr="00FA7D82">
        <w:rPr>
          <w:rFonts w:asciiTheme="majorBidi" w:hAnsiTheme="majorBidi" w:cstheme="majorBidi"/>
        </w:rPr>
        <w:t>τι</w:t>
      </w:r>
      <w:r w:rsidR="00B5292A" w:rsidRPr="006F3C38">
        <w:rPr>
          <w:rFonts w:asciiTheme="majorBidi" w:hAnsiTheme="majorBidi" w:cstheme="majorBidi"/>
        </w:rPr>
        <w:t xml:space="preserve"> έστιν ή φύσις ζωή ητοι δ</w:t>
      </w:r>
      <w:r w:rsidR="00B5292A" w:rsidRPr="00B8509D">
        <w:rPr>
          <w:rFonts w:asciiTheme="majorBidi" w:hAnsiTheme="majorBidi" w:cstheme="majorBidi"/>
        </w:rPr>
        <w:t xml:space="preserve">ύναμις </w:t>
      </w:r>
      <w:r w:rsidR="00B8509D" w:rsidRPr="00B8509D">
        <w:rPr>
          <w:rFonts w:asciiTheme="majorBidi" w:hAnsiTheme="majorBidi" w:cstheme="majorBidi"/>
        </w:rPr>
        <w:t>καταδεδυκυία</w:t>
      </w:r>
      <w:r w:rsidR="00B5292A" w:rsidRPr="006F3C38">
        <w:rPr>
          <w:rFonts w:asciiTheme="majorBidi" w:hAnsiTheme="majorBidi" w:cstheme="majorBidi"/>
        </w:rPr>
        <w:t xml:space="preserve"> διά τών σωμάτων</w:t>
      </w:r>
      <w:r w:rsidR="0017548D">
        <w:rPr>
          <w:rFonts w:asciiTheme="majorBidi" w:hAnsiTheme="majorBidi" w:cstheme="majorBidi"/>
        </w:rPr>
        <w:t>)</w:t>
      </w:r>
      <w:r w:rsidR="00736CB1">
        <w:rPr>
          <w:rFonts w:hint="cs"/>
          <w:rtl/>
        </w:rPr>
        <w:t xml:space="preserve"> </w:t>
      </w:r>
    </w:p>
    <w:p w14:paraId="3FE36905" w14:textId="77777777" w:rsidR="0062117B" w:rsidRDefault="0062117B" w:rsidP="0062117B">
      <w:pPr>
        <w:pStyle w:val="FootnoteText"/>
        <w:rPr>
          <w:rtl/>
        </w:rPr>
      </w:pPr>
    </w:p>
    <w:p w14:paraId="2D2E32CA" w14:textId="748E8175" w:rsidR="00A77B67" w:rsidRDefault="00EC334D" w:rsidP="00EC334D">
      <w:pPr>
        <w:pStyle w:val="FootnoteText"/>
        <w:rPr>
          <w:rtl/>
        </w:rPr>
      </w:pPr>
      <w:r>
        <w:rPr>
          <w:rFonts w:hint="cs"/>
          <w:rtl/>
        </w:rPr>
        <w:t>בספר</w:t>
      </w:r>
      <w:r w:rsidR="00230FCE">
        <w:rPr>
          <w:rFonts w:hint="cs"/>
          <w:rtl/>
        </w:rPr>
        <w:t xml:space="preserve"> הזה של מקגרט</w:t>
      </w:r>
      <w:r>
        <w:rPr>
          <w:rFonts w:hint="cs"/>
          <w:rtl/>
        </w:rPr>
        <w:t xml:space="preserve"> </w:t>
      </w:r>
      <w:r w:rsidR="003218E6">
        <w:rPr>
          <w:rFonts w:hint="cs"/>
          <w:rtl/>
        </w:rPr>
        <w:t>ב</w:t>
      </w:r>
      <w:r w:rsidR="000B62F5">
        <w:rPr>
          <w:rFonts w:hint="cs"/>
          <w:rtl/>
        </w:rPr>
        <w:t>עמ' 95</w:t>
      </w:r>
      <w:r w:rsidR="003218E6">
        <w:rPr>
          <w:rFonts w:hint="cs"/>
          <w:rtl/>
        </w:rPr>
        <w:t>,</w:t>
      </w:r>
      <w:r w:rsidR="00FD7BE8">
        <w:rPr>
          <w:rFonts w:hint="cs"/>
          <w:rtl/>
        </w:rPr>
        <w:t xml:space="preserve"> </w:t>
      </w:r>
      <w:r w:rsidR="00103986">
        <w:rPr>
          <w:rFonts w:hint="cs"/>
          <w:rtl/>
        </w:rPr>
        <w:t>בנה תיאוריה המבוססת על ההבנה שלפי פילופונוס כתוב כאן שהכח</w:t>
      </w:r>
      <w:r w:rsidR="00632DE4">
        <w:rPr>
          <w:rFonts w:hint="cs"/>
          <w:rtl/>
        </w:rPr>
        <w:t xml:space="preserve"> דווקא</w:t>
      </w:r>
      <w:r w:rsidR="00103986">
        <w:rPr>
          <w:rFonts w:hint="cs"/>
          <w:rtl/>
        </w:rPr>
        <w:t xml:space="preserve"> יורד דרך הגופים</w:t>
      </w:r>
      <w:r w:rsidR="000C4015">
        <w:rPr>
          <w:rFonts w:hint="cs"/>
          <w:rtl/>
        </w:rPr>
        <w:t xml:space="preserve">. </w:t>
      </w:r>
      <w:r w:rsidR="00656949">
        <w:rPr>
          <w:rFonts w:hint="cs"/>
          <w:rtl/>
        </w:rPr>
        <w:t xml:space="preserve">לעניות דעתי אין </w:t>
      </w:r>
      <w:r w:rsidR="00472933">
        <w:rPr>
          <w:rFonts w:hint="cs"/>
          <w:rtl/>
        </w:rPr>
        <w:t xml:space="preserve">לדברים יסוד ואין </w:t>
      </w:r>
      <w:r w:rsidR="00656949">
        <w:rPr>
          <w:rFonts w:hint="cs"/>
          <w:rtl/>
        </w:rPr>
        <w:t xml:space="preserve">מחלוקת אונטולוגית בין פילופונוס לאריסטו לגבי </w:t>
      </w:r>
      <w:r w:rsidR="00632DE4">
        <w:rPr>
          <w:rFonts w:hint="cs"/>
          <w:rtl/>
        </w:rPr>
        <w:t xml:space="preserve">מהות </w:t>
      </w:r>
      <w:r w:rsidR="00656949">
        <w:rPr>
          <w:rFonts w:hint="cs"/>
          <w:rtl/>
        </w:rPr>
        <w:t>הכח שהוא הטבע</w:t>
      </w:r>
      <w:r w:rsidR="00632DE4">
        <w:rPr>
          <w:rFonts w:hint="cs"/>
          <w:rtl/>
        </w:rPr>
        <w:t>,</w:t>
      </w:r>
      <w:r w:rsidR="00656949">
        <w:rPr>
          <w:rFonts w:hint="cs"/>
          <w:rtl/>
        </w:rPr>
        <w:t xml:space="preserve"> ואופן מציאותו בגופים</w:t>
      </w:r>
      <w:r w:rsidR="00472933">
        <w:rPr>
          <w:rFonts w:hint="cs"/>
          <w:rtl/>
        </w:rPr>
        <w:t xml:space="preserve">. </w:t>
      </w:r>
      <w:r w:rsidR="000C4015">
        <w:rPr>
          <w:rFonts w:hint="cs"/>
          <w:rtl/>
        </w:rPr>
        <w:t xml:space="preserve">לפי ד"ר מיכאל </w:t>
      </w:r>
      <w:r w:rsidR="00FE3AC4">
        <w:rPr>
          <w:rFonts w:hint="cs"/>
          <w:rtl/>
        </w:rPr>
        <w:t>וו</w:t>
      </w:r>
      <w:r w:rsidR="000C4015">
        <w:rPr>
          <w:rFonts w:hint="cs"/>
          <w:rtl/>
        </w:rPr>
        <w:t xml:space="preserve">ייכנהאן שהוא מומחה ליוונית עתיקה אין שום הכרח לפרש בכוונת פילופונוס שהתכוון לצלילה באופן המדוייק הפשטני, כלומר לירידה למטה, אלא בהחלט אפשר לקרוא את המילה היוונית </w:t>
      </w:r>
      <w:r w:rsidR="00B975FB">
        <w:rPr>
          <w:rFonts w:hint="cs"/>
          <w:rtl/>
        </w:rPr>
        <w:t>במובן</w:t>
      </w:r>
      <w:r w:rsidR="000C4015">
        <w:rPr>
          <w:rFonts w:hint="cs"/>
          <w:rtl/>
        </w:rPr>
        <w:t xml:space="preserve"> </w:t>
      </w:r>
      <w:r w:rsidR="00B975FB">
        <w:rPr>
          <w:rFonts w:hint="cs"/>
          <w:rtl/>
        </w:rPr>
        <w:t>ש</w:t>
      </w:r>
      <w:r w:rsidR="000C4015">
        <w:rPr>
          <w:rFonts w:hint="cs"/>
          <w:rtl/>
        </w:rPr>
        <w:t>ל הימצאות על דרך חילחול כמו של מים בספוג</w:t>
      </w:r>
      <w:r w:rsidR="00B975FB">
        <w:rPr>
          <w:rFonts w:hint="cs"/>
          <w:rtl/>
        </w:rPr>
        <w:t xml:space="preserve">. </w:t>
      </w:r>
      <w:r w:rsidR="00D053CD">
        <w:rPr>
          <w:rFonts w:hint="cs"/>
          <w:rtl/>
        </w:rPr>
        <w:t xml:space="preserve">בכל אופן אני מביא דברי מקגרט בזה </w:t>
      </w:r>
      <w:r w:rsidR="002B65F7">
        <w:rPr>
          <w:rFonts w:hint="cs"/>
          <w:rtl/>
        </w:rPr>
        <w:t xml:space="preserve">כי </w:t>
      </w:r>
      <w:r w:rsidR="00D053CD">
        <w:rPr>
          <w:rFonts w:hint="cs"/>
          <w:rtl/>
        </w:rPr>
        <w:t xml:space="preserve">הוא מייצג את דעת </w:t>
      </w:r>
      <w:r w:rsidR="00F50467">
        <w:rPr>
          <w:rFonts w:hint="cs"/>
          <w:rtl/>
        </w:rPr>
        <w:t>הרבה מ</w:t>
      </w:r>
      <w:r w:rsidR="00D053CD">
        <w:rPr>
          <w:rFonts w:hint="cs"/>
          <w:rtl/>
        </w:rPr>
        <w:t>החוקרים</w:t>
      </w:r>
      <w:r w:rsidR="002B65F7">
        <w:rPr>
          <w:rFonts w:hint="cs"/>
          <w:rtl/>
        </w:rPr>
        <w:t>, והקורא ישפוט</w:t>
      </w:r>
      <w:r w:rsidR="00FD7BE8">
        <w:rPr>
          <w:rFonts w:hint="cs"/>
          <w:rtl/>
        </w:rPr>
        <w:t>:</w:t>
      </w:r>
    </w:p>
    <w:p w14:paraId="5CBCE56F" w14:textId="6BBD9626" w:rsidR="0087759A" w:rsidRDefault="004805D6" w:rsidP="00581834">
      <w:pPr>
        <w:pStyle w:val="FootnoteText"/>
        <w:bidi w:val="0"/>
        <w:rPr>
          <w:rtl/>
        </w:rPr>
      </w:pPr>
      <w:r>
        <w:rPr>
          <w:rFonts w:hint="cs"/>
          <w:rtl/>
        </w:rPr>
        <w:t>"</w:t>
      </w:r>
      <w:r>
        <w:t>Philoponus' position is distinguished from that of Stoicism by his insistence that nature is something which 'descends through' things, rather than something which is 'diffused within' them. It is also distinguished from Aristode's position through its ontological identity</w:t>
      </w:r>
      <w:r>
        <w:rPr>
          <w:rFonts w:hint="eastAsia"/>
        </w:rPr>
        <w:t xml:space="preserve"> </w:t>
      </w:r>
      <w:r>
        <w:t xml:space="preserve"> distinct from those bodies in which it operates. Philoponus clearly regards nature</w:t>
      </w:r>
      <w:r w:rsidR="00905201">
        <w:rPr>
          <w:rFonts w:hint="eastAsia"/>
        </w:rPr>
        <w:t xml:space="preserve"> </w:t>
      </w:r>
      <w:r w:rsidR="0035427C">
        <w:t xml:space="preserve">as </w:t>
      </w:r>
      <w:r>
        <w:t>having existence prior to and independently of</w:t>
      </w:r>
      <w:r w:rsidR="0035427C">
        <w:t xml:space="preserve"> </w:t>
      </w:r>
      <w:r>
        <w:t>that in which it works</w:t>
      </w:r>
      <w:r w:rsidR="0035427C">
        <w:t xml:space="preserve"> -</w:t>
      </w:r>
      <w:r>
        <w:t xml:space="preserve"> hence the language of 'descending through' things</w:t>
      </w:r>
      <w:r>
        <w:rPr>
          <w:rtl/>
        </w:rPr>
        <w:t>.</w:t>
      </w:r>
      <w:r w:rsidR="00FC1437">
        <w:t>"</w:t>
      </w:r>
    </w:p>
    <w:p w14:paraId="6DE578AB" w14:textId="77777777" w:rsidR="00872DE8" w:rsidRDefault="00872DE8" w:rsidP="00872DE8">
      <w:pPr>
        <w:pStyle w:val="FootnoteText"/>
      </w:pPr>
    </w:p>
    <w:p w14:paraId="3924C36B" w14:textId="678A91E3" w:rsidR="00DB6A4E" w:rsidRDefault="006343E2" w:rsidP="009E071C">
      <w:pPr>
        <w:pStyle w:val="FootnoteText"/>
        <w:rPr>
          <w:rtl/>
        </w:rPr>
      </w:pPr>
      <w:r>
        <w:rPr>
          <w:rFonts w:hint="cs"/>
          <w:rtl/>
        </w:rPr>
        <w:t>בספר</w:t>
      </w:r>
      <w:r w:rsidR="00872DE8">
        <w:t xml:space="preserve">: </w:t>
      </w:r>
      <w:hyperlink r:id="rId98" w:anchor="v=onepage&amp;q=%CE%BA%CE%B1%CF%84%CE%B1%CE%B4%CE%B5%CE%B4%CF%85%CE%BA%CF%85%CE%AF%CE%B1&amp;f=false" w:history="1">
        <w:r w:rsidR="004327B1" w:rsidRPr="006215AB">
          <w:rPr>
            <w:rStyle w:val="Hyperlink"/>
            <w:rtl/>
          </w:rPr>
          <w:t>"</w:t>
        </w:r>
        <w:r w:rsidR="004327B1" w:rsidRPr="006215AB">
          <w:rPr>
            <w:rStyle w:val="Hyperlink"/>
          </w:rPr>
          <w:t>Ergo perit coelum</w:t>
        </w:r>
        <w:r w:rsidR="006215AB" w:rsidRPr="006215AB">
          <w:rPr>
            <w:rStyle w:val="Hyperlink"/>
            <w:rFonts w:hint="cs"/>
            <w:rtl/>
          </w:rPr>
          <w:t>...</w:t>
        </w:r>
        <w:r w:rsidR="004327B1" w:rsidRPr="006215AB">
          <w:rPr>
            <w:rStyle w:val="Hyperlink"/>
          </w:rPr>
          <w:t>"</w:t>
        </w:r>
      </w:hyperlink>
      <w:r w:rsidR="004327B1">
        <w:rPr>
          <w:rtl/>
        </w:rPr>
        <w:t>מאת</w:t>
      </w:r>
      <w:r w:rsidR="006215AB">
        <w:rPr>
          <w:rFonts w:hint="cs"/>
          <w:rtl/>
        </w:rPr>
        <w:t xml:space="preserve"> </w:t>
      </w:r>
      <w:r w:rsidR="004327B1">
        <w:t xml:space="preserve"> Michael Weichenhan</w:t>
      </w:r>
      <w:r w:rsidR="004327B1">
        <w:rPr>
          <w:rtl/>
        </w:rPr>
        <w:t>‏</w:t>
      </w:r>
      <w:r w:rsidR="00F673D0">
        <w:rPr>
          <w:rFonts w:hint="cs"/>
          <w:rtl/>
        </w:rPr>
        <w:t xml:space="preserve"> </w:t>
      </w:r>
      <w:r w:rsidR="004327B1">
        <w:rPr>
          <w:rFonts w:hint="cs"/>
          <w:rtl/>
        </w:rPr>
        <w:t xml:space="preserve">שנמצא </w:t>
      </w:r>
      <w:hyperlink r:id="rId99" w:anchor="v=onepage&amp;q=%CE%BA%CE%B1%CF%84%CE%B1%CE%B4%CE%B5%CE%B4%CF%85%CE%BA%CF%85%CE%AF%CE%B1&amp;f=false" w:history="1">
        <w:r w:rsidR="004327B1" w:rsidRPr="00F673D0">
          <w:rPr>
            <w:rStyle w:val="Hyperlink"/>
            <w:rFonts w:hint="cs"/>
            <w:rtl/>
          </w:rPr>
          <w:t>כאן</w:t>
        </w:r>
      </w:hyperlink>
      <w:r w:rsidR="004327B1">
        <w:rPr>
          <w:rFonts w:hint="cs"/>
          <w:rtl/>
        </w:rPr>
        <w:t xml:space="preserve">, </w:t>
      </w:r>
      <w:r w:rsidR="005D4264" w:rsidRPr="005D4264">
        <w:rPr>
          <w:rtl/>
        </w:rPr>
        <w:t xml:space="preserve"> (עמ' 290 הערה 99</w:t>
      </w:r>
      <w:r w:rsidR="00757C41">
        <w:rPr>
          <w:rFonts w:hint="cs"/>
          <w:rtl/>
        </w:rPr>
        <w:t>)</w:t>
      </w:r>
      <w:r w:rsidR="00572551">
        <w:rPr>
          <w:rFonts w:hint="cs"/>
          <w:rtl/>
        </w:rPr>
        <w:t xml:space="preserve"> תרגם את המילה היוונית של פילופונוס (שהיא </w:t>
      </w:r>
      <w:r w:rsidR="00572551">
        <w:rPr>
          <w:rtl/>
        </w:rPr>
        <w:br/>
      </w:r>
      <w:r w:rsidR="00572551">
        <w:rPr>
          <w:rFonts w:hint="cs"/>
          <w:rtl/>
        </w:rPr>
        <w:t>"לצלול") למילה הגרמנית '</w:t>
      </w:r>
      <w:r w:rsidR="00572551" w:rsidRPr="00572551">
        <w:t>durchdringt</w:t>
      </w:r>
      <w:r w:rsidR="00572551">
        <w:rPr>
          <w:rFonts w:hint="cs"/>
          <w:rtl/>
        </w:rPr>
        <w:t xml:space="preserve">' שפירושה </w:t>
      </w:r>
      <w:r w:rsidR="001B1979">
        <w:rPr>
          <w:rFonts w:hint="cs"/>
          <w:rtl/>
        </w:rPr>
        <w:t>חילחול כמו מציאות של מים בספוג, והוא הבין כך את לשון פילופונוס מהיוונית של פילופונוס בלבד, בלי להסתייע מכך שגם אבן סינא הבין כך.</w:t>
      </w:r>
      <w:r w:rsidR="00F16CEC">
        <w:rPr>
          <w:rFonts w:hint="cs"/>
          <w:rtl/>
        </w:rPr>
        <w:t>)</w:t>
      </w:r>
    </w:p>
    <w:p w14:paraId="01936BB1" w14:textId="0AA4EE96" w:rsidR="00BC2B13" w:rsidRPr="002C45CB" w:rsidRDefault="003125FB" w:rsidP="009E071C">
      <w:pPr>
        <w:pStyle w:val="FootnoteText"/>
        <w:rPr>
          <w:rtl/>
        </w:rPr>
      </w:pPr>
      <w:r>
        <w:rPr>
          <w:rFonts w:hint="cs"/>
          <w:rtl/>
        </w:rPr>
        <w:t xml:space="preserve">לקמן 1.5.7 אבן סינא מפרש </w:t>
      </w:r>
      <w:r w:rsidR="00580534">
        <w:rPr>
          <w:rFonts w:hint="cs"/>
          <w:rtl/>
        </w:rPr>
        <w:t xml:space="preserve">מילה במילה </w:t>
      </w:r>
      <w:r>
        <w:rPr>
          <w:rFonts w:hint="cs"/>
          <w:rtl/>
        </w:rPr>
        <w:t xml:space="preserve">את לשון </w:t>
      </w:r>
      <w:r w:rsidR="0012469D">
        <w:rPr>
          <w:rFonts w:hint="cs"/>
          <w:rtl/>
        </w:rPr>
        <w:t xml:space="preserve">פילופונוס </w:t>
      </w:r>
      <w:r w:rsidR="009E071C">
        <w:rPr>
          <w:rFonts w:hint="cs"/>
          <w:rtl/>
        </w:rPr>
        <w:t>שהוא מביא כאן, עיין בזה עוד שם.</w:t>
      </w:r>
    </w:p>
    <w:p w14:paraId="0EEFE8DA" w14:textId="77777777" w:rsidR="001E596F" w:rsidRPr="002C45CB" w:rsidRDefault="001E596F" w:rsidP="001E596F">
      <w:pPr>
        <w:pStyle w:val="FootnoteText"/>
        <w:rPr>
          <w:rtl/>
        </w:rPr>
      </w:pPr>
    </w:p>
    <w:p w14:paraId="7B142958" w14:textId="5A7CB25E" w:rsidR="00581834" w:rsidRPr="00DB6A4E" w:rsidRDefault="00581834" w:rsidP="00581834">
      <w:pPr>
        <w:pStyle w:val="FootnoteText"/>
        <w:rPr>
          <w:b/>
          <w:bCs/>
          <w:sz w:val="28"/>
          <w:szCs w:val="28"/>
          <w:rtl/>
        </w:rPr>
      </w:pPr>
      <w:r w:rsidRPr="00DB6A4E">
        <w:rPr>
          <w:b/>
          <w:bCs/>
          <w:sz w:val="28"/>
          <w:szCs w:val="28"/>
          <w:rtl/>
        </w:rPr>
        <w:t>בעניין "כח"</w:t>
      </w:r>
      <w:r w:rsidRPr="00DB6A4E">
        <w:rPr>
          <w:rFonts w:hint="cs"/>
          <w:b/>
          <w:bCs/>
          <w:sz w:val="28"/>
          <w:szCs w:val="28"/>
          <w:rtl/>
        </w:rPr>
        <w:t>:</w:t>
      </w:r>
    </w:p>
    <w:p w14:paraId="6E9C2E05" w14:textId="56FD89BF" w:rsidR="00B561E1" w:rsidRDefault="00304857">
      <w:pPr>
        <w:pStyle w:val="FootnoteText"/>
        <w:rPr>
          <w:rtl/>
        </w:rPr>
      </w:pPr>
      <w:r w:rsidRPr="009E0B1C">
        <w:rPr>
          <w:rFonts w:hint="cs"/>
          <w:rtl/>
        </w:rPr>
        <w:t xml:space="preserve">לשון </w:t>
      </w:r>
      <w:r w:rsidR="008E4401">
        <w:rPr>
          <w:rFonts w:hint="cs"/>
          <w:rtl/>
        </w:rPr>
        <w:t>פילופונוס</w:t>
      </w:r>
      <w:r w:rsidRPr="009E0B1C">
        <w:rPr>
          <w:rFonts w:hint="cs"/>
          <w:rtl/>
        </w:rPr>
        <w:t xml:space="preserve"> במקור היווני היא: </w:t>
      </w:r>
      <w:r w:rsidR="00E67E98" w:rsidRPr="009E0B1C">
        <w:rPr>
          <w:rFonts w:asciiTheme="majorBidi" w:hAnsiTheme="majorBidi" w:cstheme="majorBidi"/>
        </w:rPr>
        <w:t>έστίν ή φυσις ζωή ήτοι δύναμις</w:t>
      </w:r>
      <w:r w:rsidR="002058D9" w:rsidRPr="009E0B1C">
        <w:rPr>
          <w:rFonts w:hint="cs"/>
          <w:rtl/>
        </w:rPr>
        <w:t xml:space="preserve">. </w:t>
      </w:r>
      <w:r w:rsidR="0041537F">
        <w:rPr>
          <w:rFonts w:hint="cs"/>
          <w:rtl/>
        </w:rPr>
        <w:t>בעברית</w:t>
      </w:r>
      <w:r w:rsidR="00B561E1">
        <w:rPr>
          <w:rFonts w:hint="cs"/>
          <w:rtl/>
        </w:rPr>
        <w:t>:</w:t>
      </w:r>
      <w:r w:rsidR="0041537F">
        <w:rPr>
          <w:rFonts w:hint="cs"/>
          <w:rtl/>
        </w:rPr>
        <w:t xml:space="preserve"> </w:t>
      </w:r>
      <w:r w:rsidR="00B561E1">
        <w:rPr>
          <w:rFonts w:hint="cs"/>
          <w:rtl/>
        </w:rPr>
        <w:t>"</w:t>
      </w:r>
      <w:r w:rsidR="00B561E1" w:rsidRPr="00B561E1">
        <w:rPr>
          <w:rtl/>
        </w:rPr>
        <w:t>ה'טבע' הוא חיים</w:t>
      </w:r>
      <w:r w:rsidR="0026226F">
        <w:rPr>
          <w:rFonts w:hint="cs"/>
          <w:rtl/>
        </w:rPr>
        <w:t>, כלומר</w:t>
      </w:r>
      <w:r w:rsidR="00B561E1" w:rsidRPr="00B561E1">
        <w:rPr>
          <w:rtl/>
        </w:rPr>
        <w:t xml:space="preserve"> כח</w:t>
      </w:r>
      <w:r w:rsidR="0026226F">
        <w:rPr>
          <w:rFonts w:hint="cs"/>
          <w:rtl/>
        </w:rPr>
        <w:t>,</w:t>
      </w:r>
      <w:r w:rsidR="00B561E1" w:rsidRPr="00B561E1">
        <w:rPr>
          <w:rtl/>
        </w:rPr>
        <w:t xml:space="preserve"> ששורים בגופים, מעצבים ומנהיגים אותם</w:t>
      </w:r>
      <w:r w:rsidR="00B561E1">
        <w:rPr>
          <w:rFonts w:hint="cs"/>
          <w:rtl/>
        </w:rPr>
        <w:t>"</w:t>
      </w:r>
      <w:r w:rsidR="009C0FB5">
        <w:rPr>
          <w:rFonts w:hint="cs"/>
          <w:rtl/>
        </w:rPr>
        <w:t xml:space="preserve"> </w:t>
      </w:r>
      <w:r w:rsidR="007C342D">
        <w:rPr>
          <w:rFonts w:hint="cs"/>
          <w:rtl/>
        </w:rPr>
        <w:t>(אבן סינא השמיט את המילה חיים וכתב רק כח. עיין בזה לקמן 1.5.7</w:t>
      </w:r>
      <w:r w:rsidR="0026226F">
        <w:rPr>
          <w:rFonts w:hint="cs"/>
          <w:rtl/>
        </w:rPr>
        <w:t>. בתרגו</w:t>
      </w:r>
      <w:r w:rsidR="00AA36A4">
        <w:rPr>
          <w:rFonts w:hint="cs"/>
          <w:rtl/>
        </w:rPr>
        <w:t>ם האנגלי תרגמו "חיים או כח", אבל במקור היווני כתוב: "חיים, כלומר כח"</w:t>
      </w:r>
      <w:r w:rsidR="004518D0">
        <w:rPr>
          <w:rFonts w:hint="cs"/>
          <w:rtl/>
        </w:rPr>
        <w:t xml:space="preserve"> </w:t>
      </w:r>
      <w:r w:rsidR="00AA36A4">
        <w:rPr>
          <w:rFonts w:hint="cs"/>
          <w:rtl/>
        </w:rPr>
        <w:t>וזה הבדל גדול</w:t>
      </w:r>
      <w:r w:rsidR="004518D0">
        <w:rPr>
          <w:rFonts w:hint="cs"/>
          <w:rtl/>
        </w:rPr>
        <w:t>,</w:t>
      </w:r>
      <w:r w:rsidR="00AA36A4">
        <w:rPr>
          <w:rFonts w:hint="cs"/>
          <w:rtl/>
        </w:rPr>
        <w:t xml:space="preserve"> ותמהני על המתרגמים לאנגלית</w:t>
      </w:r>
      <w:r w:rsidR="007C342D">
        <w:rPr>
          <w:rFonts w:hint="cs"/>
          <w:rtl/>
        </w:rPr>
        <w:t>)</w:t>
      </w:r>
    </w:p>
    <w:p w14:paraId="0DF189A9" w14:textId="17032481" w:rsidR="00B75425" w:rsidRPr="00E47651" w:rsidRDefault="00B7743D">
      <w:pPr>
        <w:pStyle w:val="FootnoteText"/>
        <w:rPr>
          <w:rtl/>
        </w:rPr>
      </w:pPr>
      <w:r w:rsidRPr="009E0B1C">
        <w:rPr>
          <w:rFonts w:hint="cs"/>
          <w:rtl/>
        </w:rPr>
        <w:t xml:space="preserve">'כח' כאן הוא במקור של </w:t>
      </w:r>
      <w:r w:rsidR="008E4401">
        <w:rPr>
          <w:rFonts w:hint="cs"/>
          <w:rtl/>
        </w:rPr>
        <w:t>פילופונוס</w:t>
      </w:r>
      <w:r w:rsidRPr="009E0B1C">
        <w:rPr>
          <w:rFonts w:hint="cs"/>
          <w:rtl/>
        </w:rPr>
        <w:t xml:space="preserve"> המילה היוונית </w:t>
      </w:r>
      <w:r w:rsidR="007F04A9" w:rsidRPr="009E0B1C">
        <w:rPr>
          <w:rFonts w:hint="cs"/>
          <w:rtl/>
        </w:rPr>
        <w:t>דונאמיס</w:t>
      </w:r>
      <w:r w:rsidR="00CE63D4" w:rsidRPr="009E0B1C">
        <w:rPr>
          <w:rFonts w:hint="cs"/>
          <w:rtl/>
        </w:rPr>
        <w:t xml:space="preserve"> </w:t>
      </w:r>
      <w:r w:rsidR="00CE63D4" w:rsidRPr="009E0B1C">
        <w:rPr>
          <w:rFonts w:asciiTheme="majorBidi" w:hAnsiTheme="majorBidi" w:cstheme="majorBidi"/>
          <w:rtl/>
        </w:rPr>
        <w:t>(</w:t>
      </w:r>
      <w:r w:rsidR="00CE63D4" w:rsidRPr="009E0B1C">
        <w:rPr>
          <w:rFonts w:asciiTheme="majorBidi" w:hAnsiTheme="majorBidi" w:cstheme="majorBidi"/>
        </w:rPr>
        <w:t>δύναμις</w:t>
      </w:r>
      <w:r w:rsidR="00CE63D4" w:rsidRPr="009E0B1C">
        <w:rPr>
          <w:rFonts w:hint="cs"/>
          <w:rtl/>
        </w:rPr>
        <w:t>)</w:t>
      </w:r>
      <w:r w:rsidR="00EA6745" w:rsidRPr="009E0B1C">
        <w:rPr>
          <w:rFonts w:hint="cs"/>
          <w:rtl/>
        </w:rPr>
        <w:t xml:space="preserve"> </w:t>
      </w:r>
      <w:r w:rsidR="007B5162" w:rsidRPr="009E0B1C">
        <w:rPr>
          <w:rFonts w:hint="cs"/>
          <w:rtl/>
        </w:rPr>
        <w:t>ש</w:t>
      </w:r>
      <w:r w:rsidR="00EA6745" w:rsidRPr="009E0B1C">
        <w:rPr>
          <w:rFonts w:hint="cs"/>
          <w:rtl/>
        </w:rPr>
        <w:t>תירגומה ללטיני</w:t>
      </w:r>
      <w:r w:rsidR="008813B3" w:rsidRPr="009E0B1C">
        <w:rPr>
          <w:rFonts w:hint="cs"/>
          <w:rtl/>
        </w:rPr>
        <w:t xml:space="preserve">ת הוא </w:t>
      </w:r>
      <w:r w:rsidR="008813B3" w:rsidRPr="009E0B1C">
        <w:t>potentia</w:t>
      </w:r>
      <w:r w:rsidR="008813B3" w:rsidRPr="009E0B1C">
        <w:rPr>
          <w:rFonts w:hint="cs"/>
          <w:rtl/>
        </w:rPr>
        <w:t>.</w:t>
      </w:r>
      <w:r w:rsidR="007F04A9" w:rsidRPr="009E0B1C">
        <w:rPr>
          <w:rFonts w:hint="cs"/>
          <w:rtl/>
        </w:rPr>
        <w:t xml:space="preserve"> </w:t>
      </w:r>
      <w:r w:rsidR="00D833A5" w:rsidRPr="009E0B1C">
        <w:rPr>
          <w:rFonts w:hint="cs"/>
          <w:rtl/>
        </w:rPr>
        <w:t>השימוש הלשונ</w:t>
      </w:r>
      <w:r w:rsidR="00BA29FB" w:rsidRPr="009E0B1C">
        <w:rPr>
          <w:rFonts w:hint="cs"/>
          <w:rtl/>
        </w:rPr>
        <w:t>י</w:t>
      </w:r>
      <w:r w:rsidR="00D833A5" w:rsidRPr="009E0B1C">
        <w:rPr>
          <w:rFonts w:hint="cs"/>
          <w:rtl/>
        </w:rPr>
        <w:t xml:space="preserve"> הרגיל במילה, שנמצא גם אצל אריסט</w:t>
      </w:r>
      <w:r w:rsidR="00BA29FB" w:rsidRPr="009E0B1C">
        <w:rPr>
          <w:rFonts w:hint="cs"/>
          <w:rtl/>
        </w:rPr>
        <w:t xml:space="preserve">ו, הוא </w:t>
      </w:r>
      <w:r w:rsidR="007B5162" w:rsidRPr="009E0B1C">
        <w:rPr>
          <w:rFonts w:hint="cs"/>
          <w:rtl/>
        </w:rPr>
        <w:t>'</w:t>
      </w:r>
      <w:r w:rsidR="00BA29FB" w:rsidRPr="009E0B1C">
        <w:rPr>
          <w:rFonts w:hint="cs"/>
          <w:rtl/>
        </w:rPr>
        <w:t>כח'</w:t>
      </w:r>
      <w:r w:rsidR="007B5162" w:rsidRPr="009E0B1C">
        <w:rPr>
          <w:rFonts w:hint="cs"/>
          <w:rtl/>
        </w:rPr>
        <w:t xml:space="preserve"> במובן היומיומי הפשוט</w:t>
      </w:r>
      <w:r w:rsidR="000404B2" w:rsidRPr="009E0B1C">
        <w:rPr>
          <w:rFonts w:hint="cs"/>
          <w:rtl/>
        </w:rPr>
        <w:t>, וכמו במילה האנגלית שנגזרה ממנה</w:t>
      </w:r>
      <w:r w:rsidR="00145E8A" w:rsidRPr="009E0B1C">
        <w:rPr>
          <w:rFonts w:hint="cs"/>
          <w:rtl/>
        </w:rPr>
        <w:t xml:space="preserve"> -</w:t>
      </w:r>
      <w:r w:rsidR="000404B2" w:rsidRPr="009E0B1C">
        <w:rPr>
          <w:rFonts w:hint="cs"/>
          <w:rtl/>
        </w:rPr>
        <w:t xml:space="preserve"> דינמי, </w:t>
      </w:r>
      <w:r w:rsidR="004D03AD" w:rsidRPr="009E0B1C">
        <w:rPr>
          <w:rFonts w:hint="cs"/>
          <w:rtl/>
        </w:rPr>
        <w:t>דינמיקה וכיו"ב</w:t>
      </w:r>
      <w:r w:rsidR="00BA29FB" w:rsidRPr="009E0B1C">
        <w:rPr>
          <w:rFonts w:hint="cs"/>
          <w:rtl/>
        </w:rPr>
        <w:t xml:space="preserve">. </w:t>
      </w:r>
      <w:r w:rsidR="004D03AD" w:rsidRPr="009E0B1C">
        <w:rPr>
          <w:rFonts w:hint="cs"/>
          <w:rtl/>
        </w:rPr>
        <w:t xml:space="preserve">אמנם </w:t>
      </w:r>
      <w:r w:rsidR="00D833A5" w:rsidRPr="009E0B1C">
        <w:rPr>
          <w:rFonts w:hint="cs"/>
          <w:rtl/>
        </w:rPr>
        <w:t xml:space="preserve">בהקשר של פילוסופיית הטבע והמטאפיזיקה </w:t>
      </w:r>
      <w:r w:rsidR="004D03AD" w:rsidRPr="009E0B1C">
        <w:rPr>
          <w:rFonts w:hint="cs"/>
          <w:rtl/>
        </w:rPr>
        <w:t xml:space="preserve">מילה זו </w:t>
      </w:r>
      <w:r w:rsidR="00007748" w:rsidRPr="009E0B1C">
        <w:rPr>
          <w:rFonts w:hint="cs"/>
          <w:rtl/>
        </w:rPr>
        <w:t>היא מונח אריסטוטלי ש</w:t>
      </w:r>
      <w:r w:rsidR="007F04A9" w:rsidRPr="009E0B1C">
        <w:rPr>
          <w:rFonts w:hint="cs"/>
          <w:rtl/>
        </w:rPr>
        <w:t>פירוש</w:t>
      </w:r>
      <w:r w:rsidR="00007748" w:rsidRPr="009E0B1C">
        <w:rPr>
          <w:rFonts w:hint="cs"/>
          <w:rtl/>
        </w:rPr>
        <w:t>ו</w:t>
      </w:r>
      <w:r w:rsidR="007F04A9" w:rsidRPr="009E0B1C">
        <w:rPr>
          <w:rFonts w:hint="cs"/>
          <w:rtl/>
        </w:rPr>
        <w:t xml:space="preserve"> </w:t>
      </w:r>
      <w:r w:rsidRPr="009E0B1C">
        <w:rPr>
          <w:rFonts w:hint="cs"/>
          <w:rtl/>
        </w:rPr>
        <w:t xml:space="preserve">כמו </w:t>
      </w:r>
      <w:r w:rsidR="0073176F" w:rsidRPr="009E0B1C">
        <w:rPr>
          <w:rFonts w:hint="cs"/>
          <w:rtl/>
        </w:rPr>
        <w:t>המונח</w:t>
      </w:r>
      <w:r w:rsidR="007B5162" w:rsidRPr="009E0B1C">
        <w:rPr>
          <w:rFonts w:hint="cs"/>
          <w:rtl/>
        </w:rPr>
        <w:t xml:space="preserve"> המתורגם בעברית של ימי הביניים </w:t>
      </w:r>
      <w:r w:rsidRPr="009E0B1C">
        <w:rPr>
          <w:rFonts w:hint="cs"/>
          <w:rtl/>
        </w:rPr>
        <w:t>'בכח'</w:t>
      </w:r>
      <w:r w:rsidR="007B5162" w:rsidRPr="009E0B1C">
        <w:rPr>
          <w:rFonts w:hint="cs"/>
          <w:rtl/>
        </w:rPr>
        <w:t xml:space="preserve"> (בניגוד ל'בפועל')</w:t>
      </w:r>
      <w:r w:rsidRPr="009E0B1C">
        <w:rPr>
          <w:rFonts w:hint="cs"/>
          <w:rtl/>
        </w:rPr>
        <w:t xml:space="preserve">, </w:t>
      </w:r>
      <w:r w:rsidR="007F04A9" w:rsidRPr="009E0B1C">
        <w:rPr>
          <w:rFonts w:hint="cs"/>
          <w:rtl/>
        </w:rPr>
        <w:t>כלומר אפשרות ופ</w:t>
      </w:r>
      <w:r w:rsidR="001F3CA6" w:rsidRPr="009E0B1C">
        <w:rPr>
          <w:rFonts w:hint="cs"/>
          <w:rtl/>
        </w:rPr>
        <w:t>ו</w:t>
      </w:r>
      <w:r w:rsidR="007F04A9" w:rsidRPr="009E0B1C">
        <w:rPr>
          <w:rFonts w:hint="cs"/>
          <w:rtl/>
        </w:rPr>
        <w:t xml:space="preserve">טנציאל. </w:t>
      </w:r>
      <w:r w:rsidR="0073176F" w:rsidRPr="009E0B1C">
        <w:rPr>
          <w:rFonts w:hint="cs"/>
          <w:rtl/>
        </w:rPr>
        <w:t>זה מציין את החומר שההעדר שבו גורם לאפשרויות</w:t>
      </w:r>
      <w:r w:rsidR="007C483D" w:rsidRPr="009E0B1C">
        <w:rPr>
          <w:rFonts w:hint="cs"/>
          <w:rtl/>
        </w:rPr>
        <w:t xml:space="preserve"> לגבי הקיום</w:t>
      </w:r>
      <w:r w:rsidR="0073176F" w:rsidRPr="009E0B1C">
        <w:rPr>
          <w:rFonts w:hint="cs"/>
          <w:rtl/>
        </w:rPr>
        <w:t>, לעומת הצורה שה</w:t>
      </w:r>
      <w:r w:rsidR="007C483D" w:rsidRPr="009E0B1C">
        <w:rPr>
          <w:rFonts w:hint="cs"/>
          <w:rtl/>
        </w:rPr>
        <w:t>י</w:t>
      </w:r>
      <w:r w:rsidR="0073176F" w:rsidRPr="009E0B1C">
        <w:rPr>
          <w:rFonts w:hint="cs"/>
          <w:rtl/>
        </w:rPr>
        <w:t xml:space="preserve">א נצחית ותמיד </w:t>
      </w:r>
      <w:r w:rsidR="007C483D" w:rsidRPr="009E0B1C">
        <w:rPr>
          <w:rFonts w:hint="cs"/>
          <w:rtl/>
        </w:rPr>
        <w:t xml:space="preserve">ובהכרח </w:t>
      </w:r>
      <w:r w:rsidR="0073176F" w:rsidRPr="009E0B1C">
        <w:rPr>
          <w:rFonts w:hint="cs"/>
          <w:rtl/>
        </w:rPr>
        <w:t>נמ</w:t>
      </w:r>
      <w:r w:rsidR="007C483D" w:rsidRPr="009E0B1C">
        <w:rPr>
          <w:rFonts w:hint="cs"/>
          <w:rtl/>
        </w:rPr>
        <w:t xml:space="preserve">צאת בפועל. </w:t>
      </w:r>
      <w:r w:rsidR="00C332EA" w:rsidRPr="009E0B1C">
        <w:rPr>
          <w:rFonts w:hint="cs"/>
          <w:rtl/>
        </w:rPr>
        <w:t>ההעדר גורם לתנועה, כמו למשל בשיר "עקרה"</w:t>
      </w:r>
      <w:r w:rsidR="00C332EA" w:rsidRPr="009E0B1C">
        <w:rPr>
          <w:rFonts w:hint="cs"/>
        </w:rPr>
        <w:t xml:space="preserve"> </w:t>
      </w:r>
      <w:r w:rsidR="00C332EA" w:rsidRPr="009E0B1C">
        <w:rPr>
          <w:rFonts w:hint="cs"/>
          <w:rtl/>
        </w:rPr>
        <w:t>של רחל שהגעגוע לילד גרם לתנועת יצירת דמות הילד שבשיר</w:t>
      </w:r>
      <w:r w:rsidR="006C539B" w:rsidRPr="009E0B1C">
        <w:rPr>
          <w:rFonts w:hint="cs"/>
          <w:rtl/>
        </w:rPr>
        <w:t xml:space="preserve">, כך ההעדר גורם להצטיירות כל הצורות שהן המהויות של הטבע. </w:t>
      </w:r>
      <w:r w:rsidR="00383E40" w:rsidRPr="009E0B1C">
        <w:rPr>
          <w:rFonts w:hint="cs"/>
          <w:rtl/>
        </w:rPr>
        <w:t>כיוון שהמהויות הן ציור שנובע מהעדר הן יכולות להיות או לא להיות, ולהיות באופנים שונים. מה שאין כן מה שנמצא בפועל שאין בו אפשרויות</w:t>
      </w:r>
      <w:r w:rsidR="005B688E" w:rsidRPr="009E0B1C">
        <w:rPr>
          <w:rFonts w:hint="cs"/>
          <w:rtl/>
        </w:rPr>
        <w:t xml:space="preserve">. </w:t>
      </w:r>
      <w:r w:rsidR="00EE18A5" w:rsidRPr="009E0B1C">
        <w:rPr>
          <w:rFonts w:hint="cs"/>
          <w:rtl/>
        </w:rPr>
        <w:t>למשל</w:t>
      </w:r>
      <w:r w:rsidR="00A83610" w:rsidRPr="009E0B1C">
        <w:rPr>
          <w:rFonts w:hint="cs"/>
          <w:rtl/>
        </w:rPr>
        <w:t xml:space="preserve"> יישות מתימטית כמו מספר או משוואה אין כמעט מקום לאפשרויות </w:t>
      </w:r>
      <w:r w:rsidR="005B688E" w:rsidRPr="009E0B1C">
        <w:rPr>
          <w:rFonts w:hint="cs"/>
          <w:rtl/>
        </w:rPr>
        <w:t xml:space="preserve">ותנועות </w:t>
      </w:r>
      <w:r w:rsidR="004D78EA" w:rsidRPr="009E0B1C">
        <w:rPr>
          <w:rFonts w:hint="cs"/>
          <w:rtl/>
        </w:rPr>
        <w:t>לגבי קיומ</w:t>
      </w:r>
      <w:r w:rsidR="00EE18A5" w:rsidRPr="009E0B1C">
        <w:rPr>
          <w:rFonts w:hint="cs"/>
          <w:rtl/>
        </w:rPr>
        <w:t>ה</w:t>
      </w:r>
      <w:r w:rsidR="004D78EA" w:rsidRPr="009E0B1C">
        <w:rPr>
          <w:rFonts w:hint="cs"/>
          <w:rtl/>
        </w:rPr>
        <w:t>, לעומת מלפפון שיכול להיות או לא, ובכ</w:t>
      </w:r>
      <w:r w:rsidR="00EE18A5" w:rsidRPr="009E0B1C">
        <w:rPr>
          <w:rFonts w:hint="cs"/>
          <w:rtl/>
        </w:rPr>
        <w:t>ל</w:t>
      </w:r>
      <w:r w:rsidR="004D78EA" w:rsidRPr="009E0B1C">
        <w:rPr>
          <w:rFonts w:hint="cs"/>
          <w:rtl/>
        </w:rPr>
        <w:t xml:space="preserve"> מיני אופנים</w:t>
      </w:r>
      <w:r w:rsidR="005B688E" w:rsidRPr="009E0B1C">
        <w:rPr>
          <w:rFonts w:hint="cs"/>
          <w:rtl/>
        </w:rPr>
        <w:t>, ויש בו תנועת שינוי רבה</w:t>
      </w:r>
      <w:r w:rsidR="004D78EA" w:rsidRPr="009E0B1C">
        <w:rPr>
          <w:rFonts w:hint="cs"/>
          <w:rtl/>
        </w:rPr>
        <w:t>. ה</w:t>
      </w:r>
      <w:r w:rsidR="00EE18A5" w:rsidRPr="009E0B1C">
        <w:rPr>
          <w:rFonts w:hint="cs"/>
          <w:rtl/>
        </w:rPr>
        <w:t>מלפפון</w:t>
      </w:r>
      <w:r w:rsidR="004D78EA" w:rsidRPr="009E0B1C">
        <w:rPr>
          <w:rFonts w:hint="cs"/>
          <w:rtl/>
        </w:rPr>
        <w:t xml:space="preserve"> יותר חומרי ולכן יותר שולט בו ההעדר</w:t>
      </w:r>
      <w:r w:rsidR="00EE18A5" w:rsidRPr="009E0B1C">
        <w:rPr>
          <w:rFonts w:hint="cs"/>
          <w:rtl/>
        </w:rPr>
        <w:t xml:space="preserve"> </w:t>
      </w:r>
      <w:r w:rsidR="004D78EA" w:rsidRPr="009E0B1C">
        <w:rPr>
          <w:rFonts w:hint="cs"/>
          <w:rtl/>
        </w:rPr>
        <w:t>ולכן יש בו יותר אפשרויות</w:t>
      </w:r>
      <w:r w:rsidR="00027A63">
        <w:rPr>
          <w:rFonts w:hint="cs"/>
          <w:rtl/>
        </w:rPr>
        <w:t xml:space="preserve"> ו</w:t>
      </w:r>
      <w:r w:rsidR="00B61CCA">
        <w:rPr>
          <w:rFonts w:hint="cs"/>
          <w:rtl/>
        </w:rPr>
        <w:t xml:space="preserve">לכן יותר </w:t>
      </w:r>
      <w:r w:rsidR="00027A63">
        <w:rPr>
          <w:rFonts w:hint="cs"/>
          <w:rtl/>
        </w:rPr>
        <w:t>תנועה</w:t>
      </w:r>
      <w:r w:rsidR="00B61CCA">
        <w:rPr>
          <w:rFonts w:hint="cs"/>
          <w:rtl/>
        </w:rPr>
        <w:t xml:space="preserve"> ושינוי</w:t>
      </w:r>
      <w:r w:rsidR="004D78EA" w:rsidRPr="009E0B1C">
        <w:rPr>
          <w:rFonts w:hint="cs"/>
          <w:rtl/>
        </w:rPr>
        <w:t xml:space="preserve">. </w:t>
      </w:r>
      <w:r w:rsidR="00B12CFD" w:rsidRPr="009E0B1C">
        <w:rPr>
          <w:rFonts w:hint="cs"/>
          <w:rtl/>
        </w:rPr>
        <w:t xml:space="preserve">לפי המונח האריסטוטלי במלפפון יש יותר </w:t>
      </w:r>
      <w:r w:rsidR="00725AD7" w:rsidRPr="009E0B1C">
        <w:rPr>
          <w:rFonts w:hint="cs"/>
          <w:rtl/>
        </w:rPr>
        <w:t>'</w:t>
      </w:r>
      <w:r w:rsidR="00B12CFD" w:rsidRPr="009E0B1C">
        <w:rPr>
          <w:rFonts w:hint="cs"/>
          <w:rtl/>
        </w:rPr>
        <w:t>כח</w:t>
      </w:r>
      <w:r w:rsidR="00725AD7" w:rsidRPr="009E0B1C">
        <w:rPr>
          <w:rFonts w:hint="cs"/>
          <w:rtl/>
        </w:rPr>
        <w:t>'</w:t>
      </w:r>
      <w:r w:rsidR="00B12CFD" w:rsidRPr="009E0B1C">
        <w:rPr>
          <w:rFonts w:hint="cs"/>
          <w:rtl/>
        </w:rPr>
        <w:t xml:space="preserve"> מאשר ביישות מתימטית, כי יש בו יותר תנועה בלתי נמנעת</w:t>
      </w:r>
      <w:r w:rsidR="00383E40" w:rsidRPr="009E0B1C">
        <w:rPr>
          <w:rFonts w:hint="cs"/>
          <w:rtl/>
        </w:rPr>
        <w:t>.</w:t>
      </w:r>
      <w:r w:rsidR="00F42E5D">
        <w:rPr>
          <w:rFonts w:hint="cs"/>
          <w:rtl/>
        </w:rPr>
        <w:t xml:space="preserve"> </w:t>
      </w:r>
    </w:p>
  </w:footnote>
  <w:footnote w:id="437">
    <w:p w14:paraId="5BB2FEE7" w14:textId="2914B5B2" w:rsidR="007D42D9" w:rsidRPr="005E1671" w:rsidRDefault="00263C16">
      <w:pPr>
        <w:pStyle w:val="FootnoteText"/>
        <w:rPr>
          <w:rtl/>
        </w:rPr>
      </w:pPr>
      <w:r>
        <w:rPr>
          <w:rStyle w:val="FootnoteReference"/>
        </w:rPr>
        <w:footnoteRef/>
      </w:r>
      <w:r>
        <w:rPr>
          <w:rtl/>
        </w:rPr>
        <w:t xml:space="preserve"> </w:t>
      </w:r>
      <w:r w:rsidR="00395180" w:rsidRPr="00395180">
        <w:rPr>
          <w:rFonts w:cs="Times New Roman" w:hint="eastAsia"/>
          <w:rtl/>
          <w:lang w:bidi="ar-SA"/>
        </w:rPr>
        <w:t>الصور</w:t>
      </w:r>
      <w:r w:rsidR="00395180" w:rsidRPr="00395180">
        <w:rPr>
          <w:rFonts w:cs="Times New Roman"/>
          <w:rtl/>
          <w:lang w:bidi="ar-SA"/>
        </w:rPr>
        <w:t xml:space="preserve"> </w:t>
      </w:r>
      <w:r w:rsidR="00395180" w:rsidRPr="00395180">
        <w:rPr>
          <w:rFonts w:cs="Times New Roman" w:hint="eastAsia"/>
          <w:rtl/>
          <w:lang w:bidi="ar-SA"/>
        </w:rPr>
        <w:t>و</w:t>
      </w:r>
      <w:r w:rsidR="00395180" w:rsidRPr="00395180">
        <w:rPr>
          <w:rFonts w:cs="Times New Roman"/>
          <w:rtl/>
          <w:lang w:bidi="ar-SA"/>
        </w:rPr>
        <w:t xml:space="preserve"> </w:t>
      </w:r>
      <w:bookmarkStart w:id="215" w:name="_Hlk103182958"/>
      <w:r w:rsidR="00395180" w:rsidRPr="00395180">
        <w:rPr>
          <w:rFonts w:cs="Times New Roman" w:hint="eastAsia"/>
          <w:rtl/>
          <w:lang w:bidi="ar-SA"/>
        </w:rPr>
        <w:t>الخلق</w:t>
      </w:r>
      <w:bookmarkEnd w:id="215"/>
      <w:r w:rsidR="00DF7477">
        <w:rPr>
          <w:rFonts w:cs="Times New Roman" w:hint="cs"/>
          <w:rtl/>
        </w:rPr>
        <w:t>.</w:t>
      </w:r>
      <w:r w:rsidR="00DF7477" w:rsidRPr="005E1671">
        <w:rPr>
          <w:rtl/>
        </w:rPr>
        <w:t xml:space="preserve"> "הצורות" </w:t>
      </w:r>
      <w:r w:rsidR="009A7C1F" w:rsidRPr="005E1671">
        <w:rPr>
          <w:rtl/>
        </w:rPr>
        <w:t xml:space="preserve">שכתב כאן אבן סינא </w:t>
      </w:r>
      <w:r w:rsidR="00DF7477" w:rsidRPr="005E1671">
        <w:rPr>
          <w:rtl/>
        </w:rPr>
        <w:t>היא</w:t>
      </w:r>
      <w:r w:rsidR="00B80AEA" w:rsidRPr="005E1671">
        <w:rPr>
          <w:rtl/>
        </w:rPr>
        <w:t xml:space="preserve"> כמו צורות בעברית, לרוב המובן הוא הצורה המהותית, וכמו שצורת האדם היא 'חי מדב</w:t>
      </w:r>
      <w:r w:rsidR="00681C43" w:rsidRPr="005E1671">
        <w:rPr>
          <w:rtl/>
        </w:rPr>
        <w:t>ר', אבל לפעמים המובן הוא התואר החיצוני של הגוף, כמו תואר או תבני</w:t>
      </w:r>
      <w:r w:rsidR="00067AC3" w:rsidRPr="005E1671">
        <w:rPr>
          <w:rtl/>
        </w:rPr>
        <w:t>ת</w:t>
      </w:r>
      <w:r w:rsidR="00DF7477" w:rsidRPr="005E1671">
        <w:rPr>
          <w:rtl/>
        </w:rPr>
        <w:t>.</w:t>
      </w:r>
      <w:r w:rsidR="005C1256" w:rsidRPr="005E1671">
        <w:rPr>
          <w:rtl/>
        </w:rPr>
        <w:t xml:space="preserve"> במקור היווני של </w:t>
      </w:r>
      <w:r w:rsidR="005C1256" w:rsidRPr="005E1671">
        <w:rPr>
          <w:rtl/>
        </w:rPr>
        <w:t xml:space="preserve">פילופונוס כתוב העיצוב, </w:t>
      </w:r>
      <w:r w:rsidR="00162254" w:rsidRPr="005E1671">
        <w:rPr>
          <w:rFonts w:asciiTheme="majorBidi" w:hAnsiTheme="majorBidi" w:cstheme="majorBidi"/>
        </w:rPr>
        <w:t>διαπλαστική</w:t>
      </w:r>
      <w:r w:rsidR="00162254" w:rsidRPr="005E1671">
        <w:rPr>
          <w:rtl/>
        </w:rPr>
        <w:t xml:space="preserve"> , </w:t>
      </w:r>
      <w:r w:rsidR="005C1256" w:rsidRPr="005E1671">
        <w:rPr>
          <w:rtl/>
        </w:rPr>
        <w:t>כלומר התואר החיצוני ולא הצורה המהותית</w:t>
      </w:r>
      <w:r w:rsidR="00067AC3" w:rsidRPr="005E1671">
        <w:rPr>
          <w:rtl/>
        </w:rPr>
        <w:t xml:space="preserve">, וכן אבן סינא בעצמו לקמן 1.5.7 כשהביא את לשון פילופונוס </w:t>
      </w:r>
      <w:r w:rsidR="00C15600">
        <w:rPr>
          <w:rFonts w:hint="cs"/>
          <w:rtl/>
        </w:rPr>
        <w:t>השתמש ל'צורה' לא במילה הערבית 'צורה' שנקט כאן, אלא ב</w:t>
      </w:r>
      <w:r w:rsidR="00B664F7" w:rsidRPr="005E1671">
        <w:rPr>
          <w:rtl/>
        </w:rPr>
        <w:t xml:space="preserve">מילה הערבית </w:t>
      </w:r>
      <w:r w:rsidR="00884A0B" w:rsidRPr="005E1671">
        <w:rPr>
          <w:rFonts w:ascii="Arial" w:hAnsi="Arial" w:cs="Arial" w:hint="cs"/>
          <w:rtl/>
          <w:lang w:bidi="ar-SA"/>
        </w:rPr>
        <w:t>الت</w:t>
      </w:r>
      <w:bookmarkStart w:id="216" w:name="_Hlk103176763"/>
      <w:r w:rsidR="00884A0B" w:rsidRPr="005E1671">
        <w:rPr>
          <w:rFonts w:ascii="Arial" w:hAnsi="Arial" w:cs="Arial" w:hint="cs"/>
          <w:rtl/>
          <w:lang w:bidi="ar-SA"/>
        </w:rPr>
        <w:t>شكيل</w:t>
      </w:r>
      <w:bookmarkEnd w:id="216"/>
      <w:r w:rsidR="00884A0B" w:rsidRPr="005E1671">
        <w:rPr>
          <w:rFonts w:ascii="Arial" w:hAnsi="Arial" w:cs="Arial" w:hint="cs"/>
          <w:rtl/>
          <w:lang w:bidi="ar-SA"/>
        </w:rPr>
        <w:t>‌</w:t>
      </w:r>
      <w:r w:rsidR="00FF05EB" w:rsidRPr="005E1671">
        <w:rPr>
          <w:rtl/>
        </w:rPr>
        <w:t xml:space="preserve">, מהשורש </w:t>
      </w:r>
      <w:r w:rsidR="00FF05EB" w:rsidRPr="005E1671">
        <w:rPr>
          <w:rFonts w:ascii="Arial" w:hAnsi="Arial" w:cs="Arial" w:hint="cs"/>
          <w:rtl/>
          <w:lang w:bidi="ar-SA"/>
        </w:rPr>
        <w:t>شكل</w:t>
      </w:r>
      <w:r w:rsidR="00FF05EB" w:rsidRPr="005E1671">
        <w:rPr>
          <w:rtl/>
        </w:rPr>
        <w:t>, שפירושה התואר או התבנית החיצוניים ולא הצורה המהותית</w:t>
      </w:r>
      <w:r w:rsidR="005C1256" w:rsidRPr="005E1671">
        <w:rPr>
          <w:rtl/>
        </w:rPr>
        <w:t>.</w:t>
      </w:r>
      <w:r w:rsidR="0029650C">
        <w:rPr>
          <w:rFonts w:hint="cs"/>
          <w:rtl/>
        </w:rPr>
        <w:t xml:space="preserve"> ועמד על זה שם מקגיניס בהערה. </w:t>
      </w:r>
      <w:r w:rsidR="005C1256" w:rsidRPr="005E1671">
        <w:rPr>
          <w:rtl/>
        </w:rPr>
        <w:t xml:space="preserve"> </w:t>
      </w:r>
    </w:p>
    <w:p w14:paraId="4FC356B3" w14:textId="6812EA4C" w:rsidR="00EB1033" w:rsidRDefault="00217A8C" w:rsidP="005E4D35">
      <w:pPr>
        <w:pStyle w:val="FootnoteText"/>
        <w:rPr>
          <w:rtl/>
        </w:rPr>
      </w:pPr>
      <w:r w:rsidRPr="00217A8C">
        <w:rPr>
          <w:rFonts w:cs="Times New Roman" w:hint="eastAsia"/>
          <w:rtl/>
          <w:lang w:bidi="ar-SA"/>
        </w:rPr>
        <w:t>الخلق‌</w:t>
      </w:r>
      <w:r w:rsidR="0058152E">
        <w:rPr>
          <w:rFonts w:hint="cs"/>
          <w:rtl/>
        </w:rPr>
        <w:t>.</w:t>
      </w:r>
      <w:r w:rsidR="00593F18">
        <w:rPr>
          <w:rFonts w:hint="cs"/>
          <w:rtl/>
        </w:rPr>
        <w:t xml:space="preserve"> הפירוש המילולי</w:t>
      </w:r>
      <w:r w:rsidR="006118B4">
        <w:rPr>
          <w:rFonts w:hint="cs"/>
          <w:rtl/>
        </w:rPr>
        <w:t xml:space="preserve"> הוא לחלק, כמו בעברית, והכוונה לחלק לפי מ</w:t>
      </w:r>
      <w:r w:rsidR="004B58BF">
        <w:rPr>
          <w:rFonts w:hint="cs"/>
          <w:rtl/>
        </w:rPr>
        <w:t>ד</w:t>
      </w:r>
      <w:r w:rsidR="006118B4">
        <w:rPr>
          <w:rFonts w:hint="cs"/>
          <w:rtl/>
        </w:rPr>
        <w:t xml:space="preserve">ידה, וכמו שגוזרים בד לפי גזרת הבגד. </w:t>
      </w:r>
      <w:r w:rsidR="001D37ED">
        <w:rPr>
          <w:rFonts w:hint="cs"/>
          <w:rtl/>
        </w:rPr>
        <w:t xml:space="preserve">המשמעות התרחבה גם ללהביא דבר לידי קיום לפי המידה שבה נחתך, והושאל לשימוש הידוע ביותר שהוא </w:t>
      </w:r>
      <w:r w:rsidR="00623DA2">
        <w:rPr>
          <w:rFonts w:hint="cs"/>
          <w:rtl/>
        </w:rPr>
        <w:t>'</w:t>
      </w:r>
      <w:r w:rsidR="001D37ED">
        <w:rPr>
          <w:rFonts w:hint="cs"/>
          <w:rtl/>
        </w:rPr>
        <w:t>בריאה</w:t>
      </w:r>
      <w:r w:rsidR="00623DA2">
        <w:rPr>
          <w:rFonts w:hint="cs"/>
          <w:rtl/>
        </w:rPr>
        <w:t>'</w:t>
      </w:r>
      <w:r w:rsidR="001D37ED">
        <w:rPr>
          <w:rFonts w:hint="cs"/>
          <w:rtl/>
        </w:rPr>
        <w:t>, במובן של בריאת האלוה את העולם</w:t>
      </w:r>
      <w:r w:rsidR="00623DA2">
        <w:rPr>
          <w:rFonts w:hint="cs"/>
          <w:rtl/>
        </w:rPr>
        <w:t xml:space="preserve"> וכך הוא משמש בקוראן</w:t>
      </w:r>
      <w:r w:rsidR="00CC4833">
        <w:rPr>
          <w:rFonts w:hint="cs"/>
          <w:rtl/>
        </w:rPr>
        <w:t xml:space="preserve">. בלקסיקון </w:t>
      </w:r>
      <w:r w:rsidR="00CC4833">
        <w:t>Lane</w:t>
      </w:r>
      <w:r w:rsidR="003E4291">
        <w:rPr>
          <w:rFonts w:hint="cs"/>
          <w:rtl/>
        </w:rPr>
        <w:t xml:space="preserve"> בערכים 5 ובעיקר 12 כתב שיש לשורש זה גם משמעות של אופי או מזג </w:t>
      </w:r>
      <w:r w:rsidR="00FF35AD">
        <w:rPr>
          <w:rFonts w:hint="cs"/>
          <w:rtl/>
        </w:rPr>
        <w:t xml:space="preserve">או מבנה </w:t>
      </w:r>
      <w:r w:rsidR="003E4291">
        <w:rPr>
          <w:rFonts w:hint="cs"/>
          <w:rtl/>
        </w:rPr>
        <w:t>או טבע של דבר</w:t>
      </w:r>
      <w:r w:rsidR="00094815">
        <w:rPr>
          <w:rFonts w:hint="cs"/>
          <w:rtl/>
        </w:rPr>
        <w:t xml:space="preserve"> (לשונו שם בערך 12:</w:t>
      </w:r>
      <w:r w:rsidR="00FF35AD">
        <w:rPr>
          <w:rFonts w:hint="cs"/>
          <w:rtl/>
        </w:rPr>
        <w:t xml:space="preserve"> </w:t>
      </w:r>
      <w:r w:rsidR="00FF35AD" w:rsidRPr="00FF35AD">
        <w:t>A nature; or a natural, a native, or an innate, disposition or temper or the like</w:t>
      </w:r>
      <w:r w:rsidR="00FF35AD">
        <w:rPr>
          <w:rFonts w:hint="cs"/>
          <w:rtl/>
        </w:rPr>
        <w:t>)</w:t>
      </w:r>
      <w:r w:rsidR="00A86CB8">
        <w:rPr>
          <w:rFonts w:hint="cs"/>
          <w:rtl/>
        </w:rPr>
        <w:t xml:space="preserve">, נראה שזו הרחבה של אותה משמעות, </w:t>
      </w:r>
      <w:r w:rsidR="00C80B42">
        <w:rPr>
          <w:rFonts w:hint="cs"/>
          <w:rtl/>
        </w:rPr>
        <w:t>כמו שאומרים על מזג של אדם שכך הוא מברייתו</w:t>
      </w:r>
      <w:r w:rsidR="001D37ED">
        <w:rPr>
          <w:rFonts w:hint="cs"/>
          <w:rtl/>
        </w:rPr>
        <w:t>.</w:t>
      </w:r>
      <w:r w:rsidR="007C1B26">
        <w:rPr>
          <w:rFonts w:hint="cs"/>
          <w:rtl/>
        </w:rPr>
        <w:t xml:space="preserve"> מקגיניס תרגם לפי משמעות זו</w:t>
      </w:r>
      <w:r w:rsidR="00B66BB7">
        <w:rPr>
          <w:rFonts w:hint="cs"/>
          <w:rtl/>
        </w:rPr>
        <w:t>,</w:t>
      </w:r>
      <w:r w:rsidR="007C1B26">
        <w:rPr>
          <w:rFonts w:hint="cs"/>
          <w:rtl/>
        </w:rPr>
        <w:t xml:space="preserve"> ו</w:t>
      </w:r>
      <w:r w:rsidR="001E6AF7">
        <w:rPr>
          <w:rFonts w:hint="cs"/>
          <w:rtl/>
        </w:rPr>
        <w:t>תרגם כאן</w:t>
      </w:r>
      <w:r w:rsidR="007C1B26">
        <w:rPr>
          <w:rFonts w:hint="cs"/>
          <w:rtl/>
        </w:rPr>
        <w:t xml:space="preserve"> "מזג" </w:t>
      </w:r>
      <w:r w:rsidR="001E6AF7">
        <w:rPr>
          <w:rFonts w:hint="cs"/>
          <w:rtl/>
        </w:rPr>
        <w:t>(</w:t>
      </w:r>
      <w:r w:rsidR="005E4D35">
        <w:t>temperament</w:t>
      </w:r>
      <w:r w:rsidR="001E6AF7">
        <w:rPr>
          <w:rFonts w:hint="cs"/>
          <w:rtl/>
        </w:rPr>
        <w:t>)</w:t>
      </w:r>
      <w:r w:rsidR="00EB1033">
        <w:rPr>
          <w:rFonts w:hint="cs"/>
          <w:rtl/>
        </w:rPr>
        <w:t>.</w:t>
      </w:r>
      <w:r w:rsidR="001D37ED">
        <w:rPr>
          <w:rFonts w:hint="cs"/>
          <w:rtl/>
        </w:rPr>
        <w:t xml:space="preserve"> </w:t>
      </w:r>
      <w:r w:rsidR="006863E8">
        <w:rPr>
          <w:rFonts w:hint="cs"/>
          <w:rtl/>
        </w:rPr>
        <w:t xml:space="preserve">לקמן 1.5.7 </w:t>
      </w:r>
      <w:r w:rsidR="00F44E1E">
        <w:rPr>
          <w:rFonts w:hint="cs"/>
          <w:rtl/>
        </w:rPr>
        <w:t xml:space="preserve">כשאבן סינא מביא שוב את פילופונוס שהביא כאן, כשהוא לא מקפיד על שינויי לשון קלים, </w:t>
      </w:r>
      <w:r w:rsidR="00F248D2">
        <w:rPr>
          <w:rFonts w:hint="cs"/>
          <w:rtl/>
        </w:rPr>
        <w:t xml:space="preserve">הוא השתמש </w:t>
      </w:r>
      <w:r w:rsidR="00F248D2" w:rsidRPr="00ED1C53">
        <w:rPr>
          <w:rtl/>
        </w:rPr>
        <w:t xml:space="preserve">במילה </w:t>
      </w:r>
      <w:r w:rsidR="00F248D2" w:rsidRPr="00ED1C53">
        <w:rPr>
          <w:rFonts w:ascii="Arial" w:hAnsi="Arial" w:cs="Arial" w:hint="cs"/>
          <w:rtl/>
          <w:lang w:bidi="ar-SA"/>
        </w:rPr>
        <w:t>التخليق</w:t>
      </w:r>
      <w:r w:rsidR="00F248D2" w:rsidRPr="00ED1C53">
        <w:rPr>
          <w:rtl/>
        </w:rPr>
        <w:t>, שהיא מאותו שורש, ויש לה משמעות של הרכבה</w:t>
      </w:r>
      <w:r w:rsidR="00887EDD" w:rsidRPr="00ED1C53">
        <w:rPr>
          <w:rtl/>
        </w:rPr>
        <w:t xml:space="preserve"> או הרכב, כלומר מבנה</w:t>
      </w:r>
      <w:r w:rsidR="00F248D2" w:rsidRPr="00ED1C53">
        <w:rPr>
          <w:rtl/>
        </w:rPr>
        <w:t xml:space="preserve">, </w:t>
      </w:r>
      <w:r w:rsidR="00887EDD" w:rsidRPr="00ED1C53">
        <w:rPr>
          <w:rtl/>
        </w:rPr>
        <w:t>ו</w:t>
      </w:r>
      <w:r w:rsidR="00F248D2" w:rsidRPr="00ED1C53">
        <w:rPr>
          <w:rtl/>
        </w:rPr>
        <w:t xml:space="preserve">היא </w:t>
      </w:r>
      <w:r w:rsidR="00887EDD" w:rsidRPr="00ED1C53">
        <w:rPr>
          <w:rtl/>
        </w:rPr>
        <w:t>במשמעות קרובה ל'</w:t>
      </w:r>
      <w:r w:rsidR="00F248D2" w:rsidRPr="00ED1C53">
        <w:rPr>
          <w:rtl/>
        </w:rPr>
        <w:t>מזג</w:t>
      </w:r>
      <w:r w:rsidR="00887EDD" w:rsidRPr="00ED1C53">
        <w:rPr>
          <w:rtl/>
        </w:rPr>
        <w:t>'</w:t>
      </w:r>
      <w:r w:rsidR="00F248D2" w:rsidRPr="00ED1C53">
        <w:rPr>
          <w:rtl/>
        </w:rPr>
        <w:t>.</w:t>
      </w:r>
      <w:r w:rsidR="00F248D2">
        <w:rPr>
          <w:rFonts w:cs="Times New Roman" w:hint="cs"/>
          <w:rtl/>
        </w:rPr>
        <w:t xml:space="preserve"> </w:t>
      </w:r>
    </w:p>
    <w:p w14:paraId="0B5729B0" w14:textId="41AC08CB" w:rsidR="00263C16" w:rsidRDefault="00E448B8" w:rsidP="005E4D35">
      <w:pPr>
        <w:pStyle w:val="FootnoteText"/>
        <w:rPr>
          <w:rtl/>
        </w:rPr>
      </w:pPr>
      <w:r>
        <w:rPr>
          <w:rFonts w:hint="cs"/>
          <w:rtl/>
        </w:rPr>
        <w:t xml:space="preserve">במקור </w:t>
      </w:r>
      <w:r w:rsidR="00EB1033">
        <w:rPr>
          <w:rFonts w:hint="cs"/>
          <w:rtl/>
        </w:rPr>
        <w:t xml:space="preserve">היווני </w:t>
      </w:r>
      <w:r w:rsidR="00DD690B">
        <w:rPr>
          <w:rFonts w:hint="cs"/>
          <w:rtl/>
        </w:rPr>
        <w:t xml:space="preserve">אצל </w:t>
      </w:r>
      <w:r w:rsidR="008E4401">
        <w:rPr>
          <w:rFonts w:hint="cs"/>
          <w:rtl/>
        </w:rPr>
        <w:t>פילופונוס</w:t>
      </w:r>
      <w:r w:rsidR="00DD690B">
        <w:rPr>
          <w:rFonts w:hint="cs"/>
          <w:rtl/>
        </w:rPr>
        <w:t xml:space="preserve"> משמעות המילה היוונית </w:t>
      </w:r>
      <w:r w:rsidR="004B58BF">
        <w:rPr>
          <w:rFonts w:hint="cs"/>
          <w:rtl/>
        </w:rPr>
        <w:t>כאן (</w:t>
      </w:r>
      <w:r w:rsidR="00F8464E" w:rsidRPr="00421122">
        <w:rPr>
          <w:rFonts w:asciiTheme="majorBidi" w:hAnsiTheme="majorBidi" w:cstheme="majorBidi"/>
        </w:rPr>
        <w:t>διοικητική</w:t>
      </w:r>
      <w:r w:rsidR="004B58BF">
        <w:rPr>
          <w:rFonts w:hint="cs"/>
          <w:rtl/>
        </w:rPr>
        <w:t xml:space="preserve">) </w:t>
      </w:r>
      <w:r w:rsidR="00DD690B">
        <w:rPr>
          <w:rFonts w:hint="cs"/>
          <w:rtl/>
        </w:rPr>
        <w:t>היא</w:t>
      </w:r>
      <w:r w:rsidR="004B58BF">
        <w:rPr>
          <w:rFonts w:hint="cs"/>
          <w:rtl/>
        </w:rPr>
        <w:t xml:space="preserve"> לנהל,</w:t>
      </w:r>
      <w:r w:rsidR="00DD690B">
        <w:rPr>
          <w:rFonts w:hint="cs"/>
          <w:rtl/>
        </w:rPr>
        <w:t xml:space="preserve"> לשלוט או להנהיג</w:t>
      </w:r>
      <w:r w:rsidR="00F8464E">
        <w:rPr>
          <w:rFonts w:hint="cs"/>
          <w:rtl/>
        </w:rPr>
        <w:t xml:space="preserve">. </w:t>
      </w:r>
      <w:r w:rsidR="001F78F9">
        <w:rPr>
          <w:rFonts w:hint="cs"/>
          <w:rtl/>
        </w:rPr>
        <w:t>ובעברית לשון פילופונוס</w:t>
      </w:r>
      <w:r w:rsidR="00154FA1">
        <w:rPr>
          <w:rFonts w:hint="cs"/>
          <w:rtl/>
        </w:rPr>
        <w:t>:</w:t>
      </w:r>
      <w:r w:rsidR="00F8464E">
        <w:rPr>
          <w:rFonts w:hint="cs"/>
          <w:rtl/>
        </w:rPr>
        <w:t xml:space="preserve"> הטבע הוא </w:t>
      </w:r>
      <w:r w:rsidR="001F78F9">
        <w:rPr>
          <w:rFonts w:hint="cs"/>
          <w:rtl/>
        </w:rPr>
        <w:t>חיים</w:t>
      </w:r>
      <w:r w:rsidR="00C71D75">
        <w:rPr>
          <w:rFonts w:hint="cs"/>
          <w:rtl/>
        </w:rPr>
        <w:t>,</w:t>
      </w:r>
      <w:r w:rsidR="001F78F9">
        <w:rPr>
          <w:rFonts w:hint="cs"/>
          <w:rtl/>
        </w:rPr>
        <w:t xml:space="preserve"> </w:t>
      </w:r>
      <w:r w:rsidR="00247FAB">
        <w:rPr>
          <w:rFonts w:hint="cs"/>
          <w:rtl/>
        </w:rPr>
        <w:t xml:space="preserve">כלומר </w:t>
      </w:r>
      <w:r w:rsidR="001F78F9">
        <w:rPr>
          <w:rFonts w:hint="cs"/>
          <w:rtl/>
        </w:rPr>
        <w:t>כח</w:t>
      </w:r>
      <w:r w:rsidR="00C71D75">
        <w:rPr>
          <w:rFonts w:hint="cs"/>
          <w:rtl/>
        </w:rPr>
        <w:t>,</w:t>
      </w:r>
      <w:r w:rsidR="001F78F9">
        <w:rPr>
          <w:rFonts w:hint="cs"/>
          <w:rtl/>
        </w:rPr>
        <w:t xml:space="preserve"> שמספ</w:t>
      </w:r>
      <w:r w:rsidR="00C71D75">
        <w:rPr>
          <w:rFonts w:hint="cs"/>
          <w:rtl/>
        </w:rPr>
        <w:t>ק</w:t>
      </w:r>
      <w:r w:rsidR="001F78F9">
        <w:rPr>
          <w:rFonts w:hint="cs"/>
          <w:rtl/>
        </w:rPr>
        <w:t xml:space="preserve">ים לגופים עיצוב והנהגה. </w:t>
      </w:r>
      <w:r w:rsidR="00EB1033" w:rsidRPr="00EC5462">
        <w:rPr>
          <w:rtl/>
        </w:rPr>
        <w:t xml:space="preserve">לא מצאתי איך המילה הערבית </w:t>
      </w:r>
      <w:r w:rsidR="0058152E" w:rsidRPr="00EC5462">
        <w:rPr>
          <w:rtl/>
        </w:rPr>
        <w:t xml:space="preserve"> </w:t>
      </w:r>
      <w:r w:rsidR="00EB1033" w:rsidRPr="00EC5462">
        <w:rPr>
          <w:rFonts w:ascii="Arial" w:hAnsi="Arial" w:cs="Arial" w:hint="cs"/>
          <w:rtl/>
          <w:lang w:bidi="ar-SA"/>
        </w:rPr>
        <w:t>الخلق</w:t>
      </w:r>
      <w:r w:rsidR="00EB1033" w:rsidRPr="00EC5462">
        <w:rPr>
          <w:rtl/>
        </w:rPr>
        <w:t xml:space="preserve"> שהשתמש בה אבן סינא כאן כתרגום לערבית של דברי פילופונוס </w:t>
      </w:r>
      <w:r w:rsidR="005C7DFE" w:rsidRPr="00EC5462">
        <w:rPr>
          <w:rtl/>
        </w:rPr>
        <w:t>תתאים למילה היוונית של פילופונוס שמשמעותה לנהל או להנהיג</w:t>
      </w:r>
      <w:r w:rsidR="00B66BB7" w:rsidRPr="00EC5462">
        <w:rPr>
          <w:rtl/>
        </w:rPr>
        <w:t xml:space="preserve"> (גם אם אבן סינא השתמש בתרגום ערבי של פילופונוס </w:t>
      </w:r>
      <w:r w:rsidR="00CC7795" w:rsidRPr="00EC5462">
        <w:rPr>
          <w:rtl/>
        </w:rPr>
        <w:t>השאלה תהיה על אותו מתרגם של פילופונוס לערבית)</w:t>
      </w:r>
      <w:r w:rsidR="005C7DFE" w:rsidRPr="00EC5462">
        <w:rPr>
          <w:rtl/>
        </w:rPr>
        <w:t xml:space="preserve">. </w:t>
      </w:r>
      <w:r w:rsidR="00FD709E">
        <w:rPr>
          <w:rFonts w:hint="cs"/>
          <w:rtl/>
        </w:rPr>
        <w:t xml:space="preserve">למעשה תרגמתי כמו מקגיניס. </w:t>
      </w:r>
    </w:p>
  </w:footnote>
  <w:footnote w:id="438">
    <w:p w14:paraId="0E02F639" w14:textId="2569CE7E" w:rsidR="00E43817" w:rsidRDefault="00B0675E" w:rsidP="00595A5E">
      <w:pPr>
        <w:pStyle w:val="FootnoteText"/>
        <w:rPr>
          <w:rtl/>
        </w:rPr>
      </w:pPr>
      <w:r>
        <w:rPr>
          <w:rStyle w:val="FootnoteReference"/>
        </w:rPr>
        <w:footnoteRef/>
      </w:r>
      <w:r>
        <w:rPr>
          <w:rtl/>
        </w:rPr>
        <w:t xml:space="preserve"> </w:t>
      </w:r>
      <w:r w:rsidR="00417580" w:rsidRPr="00474C2D">
        <w:rPr>
          <w:rFonts w:hint="cs"/>
          <w:b/>
          <w:bCs/>
          <w:sz w:val="28"/>
          <w:szCs w:val="28"/>
          <w:rtl/>
        </w:rPr>
        <w:t xml:space="preserve">עיין בנספח </w:t>
      </w:r>
      <w:r w:rsidR="00023669" w:rsidRPr="00474C2D">
        <w:rPr>
          <w:rFonts w:hint="cs"/>
          <w:b/>
          <w:bCs/>
          <w:sz w:val="28"/>
          <w:szCs w:val="28"/>
          <w:rtl/>
        </w:rPr>
        <w:t>א' שבסוף הספר</w:t>
      </w:r>
      <w:r w:rsidR="00023669">
        <w:rPr>
          <w:rFonts w:hint="cs"/>
          <w:rtl/>
        </w:rPr>
        <w:t xml:space="preserve">, </w:t>
      </w:r>
    </w:p>
    <w:p w14:paraId="323E474C" w14:textId="01AD5953" w:rsidR="00417580" w:rsidRDefault="00023669" w:rsidP="0085466C">
      <w:pPr>
        <w:pStyle w:val="FootnoteText"/>
      </w:pPr>
      <w:r>
        <w:rPr>
          <w:rFonts w:hint="cs"/>
          <w:rtl/>
        </w:rPr>
        <w:t xml:space="preserve">שם ביארתי היטב את שיטת אריסטו בהבנת התנועה בכלל והתנועה הטבעית בפרט, ואת דבריו על תנועת הקליע (אריסטו </w:t>
      </w:r>
      <w:r w:rsidR="003635D2">
        <w:rPr>
          <w:rFonts w:hint="cs"/>
          <w:rtl/>
        </w:rPr>
        <w:t xml:space="preserve">בפיזיקה ח' י' </w:t>
      </w:r>
      <w:r>
        <w:rPr>
          <w:rFonts w:hint="cs"/>
          <w:rtl/>
        </w:rPr>
        <w:t>דן בשאלה למה אחרי שהאבן מתנתקת מהיד של הזורק היא ממשיכה לנוע בכיוון הזריקה ולא נופלת מייד ישר למטה בגלל שכעת אין לה מניע</w:t>
      </w:r>
      <w:r w:rsidR="003635D2">
        <w:rPr>
          <w:rFonts w:hint="cs"/>
          <w:rtl/>
        </w:rPr>
        <w:t>. דבריו שם מובנים רק על רקע הבנתו בעניין התנועה באופן כללי</w:t>
      </w:r>
      <w:r w:rsidR="00474C2D">
        <w:rPr>
          <w:rFonts w:hint="cs"/>
          <w:rtl/>
        </w:rPr>
        <w:t>)</w:t>
      </w:r>
      <w:r>
        <w:rPr>
          <w:rFonts w:hint="cs"/>
          <w:rtl/>
        </w:rPr>
        <w:t xml:space="preserve">. </w:t>
      </w:r>
      <w:r w:rsidR="00433A76">
        <w:rPr>
          <w:rFonts w:hint="cs"/>
          <w:rtl/>
        </w:rPr>
        <w:t xml:space="preserve">מתוך זה מתבארת גם שיטתו בהבנה מה הוא 'טבע'. אני מפנה את הקורא לנספח וסומך על מה שהתבאר שם, שמבאר את הדברים שהביא אבן סינא כאן </w:t>
      </w:r>
      <w:r w:rsidR="00433A76">
        <w:rPr>
          <w:rFonts w:hint="cs"/>
          <w:rtl/>
        </w:rPr>
        <w:t xml:space="preserve">מפילופונוס ואת </w:t>
      </w:r>
      <w:r w:rsidR="004A0C19">
        <w:rPr>
          <w:rFonts w:hint="cs"/>
          <w:rtl/>
        </w:rPr>
        <w:t>מה שאבן סינא חולק על פילופונוס.</w:t>
      </w:r>
      <w:r w:rsidR="00433A76">
        <w:rPr>
          <w:rFonts w:hint="cs"/>
          <w:rtl/>
        </w:rPr>
        <w:t xml:space="preserve"> </w:t>
      </w:r>
      <w:r w:rsidR="001F4F45">
        <w:rPr>
          <w:rFonts w:hint="cs"/>
          <w:rtl/>
        </w:rPr>
        <w:t xml:space="preserve">מה שאכתוב כאן </w:t>
      </w:r>
      <w:r w:rsidR="00574122">
        <w:rPr>
          <w:rFonts w:hint="cs"/>
          <w:rtl/>
        </w:rPr>
        <w:t xml:space="preserve">על דברי אבן סינא מבוסס על מה שכתבתי בנספח ויובן רק אחרי לימוד הנספח. </w:t>
      </w:r>
    </w:p>
  </w:footnote>
  <w:footnote w:id="439">
    <w:p w14:paraId="1BD1D113" w14:textId="54A146C0" w:rsidR="0052247C" w:rsidRDefault="0052247C">
      <w:pPr>
        <w:pStyle w:val="FootnoteText"/>
      </w:pPr>
      <w:r>
        <w:rPr>
          <w:rStyle w:val="FootnoteReference"/>
        </w:rPr>
        <w:footnoteRef/>
      </w:r>
      <w:r>
        <w:rPr>
          <w:rtl/>
        </w:rPr>
        <w:t xml:space="preserve"> </w:t>
      </w:r>
      <w:r w:rsidR="00027D02">
        <w:rPr>
          <w:rFonts w:hint="cs"/>
          <w:rtl/>
        </w:rPr>
        <w:t>אריסטו.</w:t>
      </w:r>
    </w:p>
  </w:footnote>
  <w:footnote w:id="440">
    <w:p w14:paraId="27744F29" w14:textId="545C1F48" w:rsidR="003B7A4E" w:rsidRDefault="00917D63" w:rsidP="00864AEF">
      <w:pPr>
        <w:pStyle w:val="FootnoteText"/>
        <w:rPr>
          <w:rtl/>
        </w:rPr>
      </w:pPr>
      <w:r>
        <w:rPr>
          <w:rStyle w:val="FootnoteReference"/>
        </w:rPr>
        <w:footnoteRef/>
      </w:r>
      <w:r>
        <w:rPr>
          <w:rtl/>
        </w:rPr>
        <w:t xml:space="preserve"> </w:t>
      </w:r>
      <w:r w:rsidR="000F0C54">
        <w:rPr>
          <w:rFonts w:hint="cs"/>
          <w:rtl/>
        </w:rPr>
        <w:t>הלשון "ראשו</w:t>
      </w:r>
      <w:r w:rsidR="000645BA">
        <w:rPr>
          <w:rFonts w:hint="cs"/>
          <w:rtl/>
        </w:rPr>
        <w:t>ני</w:t>
      </w:r>
      <w:r w:rsidR="000F0C54">
        <w:rPr>
          <w:rFonts w:hint="cs"/>
          <w:rtl/>
        </w:rPr>
        <w:t>" שאבן סינא מפרש אותה כאן, מתייחסת ללשונו של אריסטו בפיזיקה ב' א':</w:t>
      </w:r>
    </w:p>
    <w:p w14:paraId="4240C356" w14:textId="188C1473" w:rsidR="009130F9" w:rsidRDefault="009130F9" w:rsidP="00864AEF">
      <w:pPr>
        <w:pStyle w:val="FootnoteText"/>
      </w:pPr>
      <w:r>
        <w:rPr>
          <w:rFonts w:hint="cs"/>
          <w:rtl/>
        </w:rPr>
        <w:t>"</w:t>
      </w:r>
      <w:r w:rsidRPr="009130F9">
        <w:rPr>
          <w:rtl/>
        </w:rPr>
        <w:t xml:space="preserve">מאחר שאין הטבע אלא איזו התחלה וסיבה של היות נע והיות נח הנמצאת בדבר באופן </w:t>
      </w:r>
      <w:r w:rsidRPr="009130F9">
        <w:rPr>
          <w:b/>
          <w:bCs/>
          <w:rtl/>
        </w:rPr>
        <w:t>ראשוני</w:t>
      </w:r>
      <w:r w:rsidRPr="009130F9">
        <w:rPr>
          <w:rtl/>
        </w:rPr>
        <w:t xml:space="preserve"> וכשלעצמו ולא על פי המקרה.</w:t>
      </w:r>
      <w:r>
        <w:rPr>
          <w:rFonts w:hint="cs"/>
          <w:rtl/>
        </w:rPr>
        <w:t>"</w:t>
      </w:r>
    </w:p>
    <w:p w14:paraId="47520C93" w14:textId="06E20206" w:rsidR="007E32C5" w:rsidRDefault="00F630FD" w:rsidP="00864AEF">
      <w:pPr>
        <w:pStyle w:val="FootnoteText"/>
        <w:rPr>
          <w:rtl/>
        </w:rPr>
      </w:pPr>
      <w:r>
        <w:rPr>
          <w:rFonts w:hint="cs"/>
          <w:rtl/>
        </w:rPr>
        <w:t xml:space="preserve">הכח שמניע את האבן </w:t>
      </w:r>
      <w:r w:rsidR="00864AEF">
        <w:rPr>
          <w:rFonts w:hint="cs"/>
          <w:rtl/>
        </w:rPr>
        <w:t xml:space="preserve">הנופלת </w:t>
      </w:r>
      <w:r>
        <w:rPr>
          <w:rFonts w:hint="cs"/>
          <w:rtl/>
        </w:rPr>
        <w:t xml:space="preserve">למטה פועל עליה באופן ישיר בלתי אמצעי, וכן הכח של נפש בעל החיים פועלת על גופו ומניעה אותו בלי אמצעי ביניהם. </w:t>
      </w:r>
      <w:r w:rsidR="00106C30">
        <w:rPr>
          <w:rFonts w:hint="cs"/>
          <w:rtl/>
        </w:rPr>
        <w:t>הכח הבלתי אמצעי הזה</w:t>
      </w:r>
      <w:r w:rsidR="00264339">
        <w:rPr>
          <w:rFonts w:hint="cs"/>
          <w:rtl/>
        </w:rPr>
        <w:t xml:space="preserve"> </w:t>
      </w:r>
      <w:r w:rsidR="00106C30">
        <w:rPr>
          <w:rFonts w:hint="cs"/>
          <w:rtl/>
        </w:rPr>
        <w:t>הוא הטבע שאנו עוסקים בו. אם אבן אחת נעה ודח</w:t>
      </w:r>
      <w:r w:rsidR="00E41BC5">
        <w:rPr>
          <w:rFonts w:hint="cs"/>
          <w:rtl/>
        </w:rPr>
        <w:t>פ</w:t>
      </w:r>
      <w:r w:rsidR="00106C30">
        <w:rPr>
          <w:rFonts w:hint="cs"/>
          <w:rtl/>
        </w:rPr>
        <w:t xml:space="preserve">ה אבן שנייה, תנועת האבן השנייה שהיא על ידי האמצעי של תנועת האבן הראשונה, אינה </w:t>
      </w:r>
      <w:r w:rsidR="00E41BC5">
        <w:rPr>
          <w:rFonts w:hint="cs"/>
          <w:rtl/>
        </w:rPr>
        <w:t xml:space="preserve">תנועה על פי הטבע </w:t>
      </w:r>
      <w:r w:rsidR="00106C30">
        <w:rPr>
          <w:rFonts w:hint="cs"/>
          <w:rtl/>
        </w:rPr>
        <w:t>ואיננו עוסקים בה כאן.</w:t>
      </w:r>
    </w:p>
    <w:p w14:paraId="2A7C6D5E" w14:textId="4F6E0963" w:rsidR="003F254F" w:rsidRDefault="00A45CCD" w:rsidP="00864AEF">
      <w:pPr>
        <w:pStyle w:val="FootnoteText"/>
        <w:rPr>
          <w:rtl/>
        </w:rPr>
      </w:pPr>
      <w:r>
        <w:rPr>
          <w:rFonts w:hint="cs"/>
          <w:rtl/>
        </w:rPr>
        <w:t>החלטה נפשית של בעל חיים יכולה להניע את גופו</w:t>
      </w:r>
      <w:r w:rsidR="00187174">
        <w:rPr>
          <w:rFonts w:hint="cs"/>
          <w:rtl/>
        </w:rPr>
        <w:t xml:space="preserve"> בלי תיווך</w:t>
      </w:r>
      <w:r>
        <w:rPr>
          <w:rFonts w:hint="cs"/>
          <w:rtl/>
        </w:rPr>
        <w:t xml:space="preserve">. אם לנפש, כלומר </w:t>
      </w:r>
      <w:r w:rsidR="007F4CF7">
        <w:rPr>
          <w:rFonts w:hint="cs"/>
          <w:rtl/>
        </w:rPr>
        <w:t xml:space="preserve">החיים </w:t>
      </w:r>
      <w:r w:rsidR="00D37ECF">
        <w:rPr>
          <w:rFonts w:hint="cs"/>
          <w:rtl/>
        </w:rPr>
        <w:t xml:space="preserve">כשאנו מסתכלים עליהם </w:t>
      </w:r>
      <w:r>
        <w:rPr>
          <w:rFonts w:hint="cs"/>
          <w:rtl/>
        </w:rPr>
        <w:t>מופשט</w:t>
      </w:r>
      <w:r w:rsidR="00D37ECF">
        <w:rPr>
          <w:rFonts w:hint="cs"/>
          <w:rtl/>
        </w:rPr>
        <w:t>ים</w:t>
      </w:r>
      <w:r>
        <w:rPr>
          <w:rFonts w:hint="cs"/>
          <w:rtl/>
        </w:rPr>
        <w:t xml:space="preserve"> מחומר, יש מציאות משלה, ולחומר מציאות משלו, ושתיהן מציאויות שעומדות בפני עצמן באופן לא תלוי, </w:t>
      </w:r>
      <w:r w:rsidR="00187174">
        <w:rPr>
          <w:rFonts w:hint="cs"/>
          <w:rtl/>
        </w:rPr>
        <w:t xml:space="preserve">יש קושי להבין איך מישור מציאות אחד </w:t>
      </w:r>
      <w:r w:rsidR="00C435E2">
        <w:rPr>
          <w:rFonts w:hint="cs"/>
          <w:rtl/>
        </w:rPr>
        <w:t xml:space="preserve">פועל תנועה או שינוי במישור מציאות שונה. למשל אם אדם יניע אבן שמונחת על הקרקע בכח מחשבתו בלבד, הדבר ייראה </w:t>
      </w:r>
      <w:r w:rsidR="000B1B36">
        <w:rPr>
          <w:rFonts w:hint="cs"/>
          <w:rtl/>
        </w:rPr>
        <w:t>כסותר את חוקי הטבע שאומרים שתנועת גוף מצריכה</w:t>
      </w:r>
      <w:r w:rsidR="00C4502D">
        <w:rPr>
          <w:rFonts w:hint="cs"/>
          <w:rtl/>
        </w:rPr>
        <w:t xml:space="preserve"> </w:t>
      </w:r>
      <w:r w:rsidR="000B1B36">
        <w:rPr>
          <w:rFonts w:hint="cs"/>
          <w:rtl/>
        </w:rPr>
        <w:t>מניע, והכוונה</w:t>
      </w:r>
      <w:r w:rsidR="00C4502D">
        <w:rPr>
          <w:rFonts w:hint="cs"/>
          <w:rtl/>
        </w:rPr>
        <w:t xml:space="preserve"> </w:t>
      </w:r>
      <w:r w:rsidR="000B1B36">
        <w:rPr>
          <w:rFonts w:hint="cs"/>
          <w:rtl/>
        </w:rPr>
        <w:t>למניע גופני, כי גוף יכול להניע גו</w:t>
      </w:r>
      <w:r w:rsidR="00C4502D">
        <w:rPr>
          <w:rFonts w:hint="cs"/>
          <w:rtl/>
        </w:rPr>
        <w:t>ף,</w:t>
      </w:r>
      <w:r w:rsidR="000B1B36">
        <w:rPr>
          <w:rFonts w:hint="cs"/>
          <w:rtl/>
        </w:rPr>
        <w:t xml:space="preserve"> נפש בלי גוף אי</w:t>
      </w:r>
      <w:r w:rsidR="00C4502D">
        <w:rPr>
          <w:rFonts w:hint="cs"/>
          <w:rtl/>
        </w:rPr>
        <w:t>ן בה ממשות שתוכל</w:t>
      </w:r>
      <w:r w:rsidR="000B1B36">
        <w:rPr>
          <w:rFonts w:hint="cs"/>
          <w:rtl/>
        </w:rPr>
        <w:t xml:space="preserve"> </w:t>
      </w:r>
      <w:r w:rsidR="00C4502D">
        <w:rPr>
          <w:rFonts w:hint="cs"/>
          <w:rtl/>
        </w:rPr>
        <w:t>לה</w:t>
      </w:r>
      <w:r w:rsidR="000B1B36">
        <w:rPr>
          <w:rFonts w:hint="cs"/>
          <w:rtl/>
        </w:rPr>
        <w:t>ניע גוף</w:t>
      </w:r>
      <w:r w:rsidR="00477254">
        <w:rPr>
          <w:rFonts w:hint="cs"/>
          <w:rtl/>
        </w:rPr>
        <w:t xml:space="preserve"> (לפי ההגדרה של אריסטו, המובן של המושג 'נמצא' בעולם </w:t>
      </w:r>
      <w:r w:rsidR="009202BA">
        <w:rPr>
          <w:rFonts w:hint="cs"/>
          <w:rtl/>
        </w:rPr>
        <w:t>הטבעי, הארצי, שתחת גלגל הירח, היא להיות 'עצם'</w:t>
      </w:r>
      <w:r w:rsidR="005B388B">
        <w:rPr>
          <w:rFonts w:hint="cs"/>
          <w:rtl/>
        </w:rPr>
        <w:t>,</w:t>
      </w:r>
      <w:r w:rsidR="009202BA">
        <w:rPr>
          <w:rFonts w:hint="cs"/>
          <w:rtl/>
        </w:rPr>
        <w:t xml:space="preserve"> </w:t>
      </w:r>
      <w:r w:rsidR="005B388B">
        <w:rPr>
          <w:rFonts w:hint="cs"/>
          <w:rtl/>
        </w:rPr>
        <w:t>ו</w:t>
      </w:r>
      <w:r w:rsidR="009202BA">
        <w:rPr>
          <w:rFonts w:hint="cs"/>
          <w:rtl/>
        </w:rPr>
        <w:t xml:space="preserve">עצם פירושו צורה בחומר. ליישים מופשטים שאין להם חומר יש מציאות, אבל </w:t>
      </w:r>
      <w:r w:rsidR="005B388B">
        <w:rPr>
          <w:rFonts w:hint="cs"/>
          <w:rtl/>
        </w:rPr>
        <w:t>במובן מציאות שונה, מטאפיזי, מופשט, לא במובן של הפיזיקה</w:t>
      </w:r>
      <w:r w:rsidR="00FB120D">
        <w:rPr>
          <w:rFonts w:hint="cs"/>
          <w:rtl/>
        </w:rPr>
        <w:t xml:space="preserve"> (עיין היטב ברמב"ם בהלכות יסודי התורה ד' ז')</w:t>
      </w:r>
      <w:r w:rsidR="00C435E2">
        <w:rPr>
          <w:rFonts w:hint="cs"/>
          <w:rtl/>
        </w:rPr>
        <w:t>. לכאורה אם אדם יכול להניע את ידו החומרית בכ</w:t>
      </w:r>
      <w:r w:rsidR="00DE7284">
        <w:rPr>
          <w:rFonts w:hint="cs"/>
          <w:rtl/>
        </w:rPr>
        <w:t>ח</w:t>
      </w:r>
      <w:r w:rsidR="00C435E2">
        <w:rPr>
          <w:rFonts w:hint="cs"/>
          <w:rtl/>
        </w:rPr>
        <w:t xml:space="preserve"> מחשבתו המופשטת, </w:t>
      </w:r>
      <w:r w:rsidR="00DE7284">
        <w:rPr>
          <w:rFonts w:hint="cs"/>
          <w:rtl/>
        </w:rPr>
        <w:t>ב</w:t>
      </w:r>
      <w:r w:rsidR="00C435E2">
        <w:rPr>
          <w:rFonts w:hint="cs"/>
          <w:rtl/>
        </w:rPr>
        <w:t xml:space="preserve">אותו אופן הוא יוכל </w:t>
      </w:r>
      <w:r w:rsidR="00DE7284">
        <w:rPr>
          <w:rFonts w:hint="cs"/>
          <w:rtl/>
        </w:rPr>
        <w:t>ל</w:t>
      </w:r>
      <w:r w:rsidR="00C435E2">
        <w:rPr>
          <w:rFonts w:hint="cs"/>
          <w:rtl/>
        </w:rPr>
        <w:t xml:space="preserve">הניע </w:t>
      </w:r>
      <w:r w:rsidR="00DE7284">
        <w:rPr>
          <w:rFonts w:hint="cs"/>
          <w:rtl/>
        </w:rPr>
        <w:t>יד כרותה שמונחת על השולחן או כל חפץ חומרי אחר. השאלה הזו, שזכתה לכינוי השאלה הפסיכו</w:t>
      </w:r>
      <w:r w:rsidR="00243BC0">
        <w:rPr>
          <w:rFonts w:hint="cs"/>
          <w:rtl/>
        </w:rPr>
        <w:t>-פיזית, מבוססת על ההסתכלות של דקארט שהחומר והמופשט לכל אחד מהם יש מציאות גמורה עצמאית משלו</w:t>
      </w:r>
      <w:r w:rsidR="00890B3A">
        <w:rPr>
          <w:rFonts w:hint="cs"/>
          <w:rtl/>
        </w:rPr>
        <w:t xml:space="preserve">, והם שני מישורי </w:t>
      </w:r>
      <w:r w:rsidR="00FC3463">
        <w:rPr>
          <w:rFonts w:hint="cs"/>
          <w:rtl/>
        </w:rPr>
        <w:t>מציאות שאין ביניהם מן המשותף, ולכן לא</w:t>
      </w:r>
      <w:r w:rsidR="00A40CD6">
        <w:rPr>
          <w:rFonts w:hint="cs"/>
          <w:rtl/>
        </w:rPr>
        <w:t xml:space="preserve"> </w:t>
      </w:r>
      <w:r w:rsidR="00FC3463">
        <w:rPr>
          <w:rFonts w:hint="cs"/>
          <w:rtl/>
        </w:rPr>
        <w:t>ייתכן שמה שנמצא באחד מהם יניע מה שנמצא במשנהו</w:t>
      </w:r>
      <w:r w:rsidR="00243BC0">
        <w:rPr>
          <w:rFonts w:hint="cs"/>
          <w:rtl/>
        </w:rPr>
        <w:t xml:space="preserve">. </w:t>
      </w:r>
      <w:r w:rsidR="00AF0E8E">
        <w:rPr>
          <w:rFonts w:hint="cs"/>
          <w:rtl/>
        </w:rPr>
        <w:t xml:space="preserve">זו כמובן הסתכלות שטחית מופרכת מאוד ואין כאן מקום להאריך בתמיהות עליה. </w:t>
      </w:r>
      <w:r w:rsidR="006A4206">
        <w:rPr>
          <w:rFonts w:hint="cs"/>
          <w:rtl/>
        </w:rPr>
        <w:t>מב</w:t>
      </w:r>
      <w:r w:rsidR="00116156">
        <w:rPr>
          <w:rFonts w:hint="cs"/>
          <w:rtl/>
        </w:rPr>
        <w:t>ח</w:t>
      </w:r>
      <w:r w:rsidR="006A4206">
        <w:rPr>
          <w:rFonts w:hint="cs"/>
          <w:rtl/>
        </w:rPr>
        <w:t>ינה פילוסופית כבר עדיפה ממנה ההסתכלות המטריאליסטית שרק החומר נמצא, וה</w:t>
      </w:r>
      <w:r w:rsidR="00116156">
        <w:rPr>
          <w:rFonts w:hint="cs"/>
          <w:rtl/>
        </w:rPr>
        <w:t xml:space="preserve">נפש והרצון והמחשבות והרגשות הכל הוא רק תופעות לוואי שוליות של החומר עצמו. </w:t>
      </w:r>
      <w:r w:rsidR="000552B8">
        <w:rPr>
          <w:rFonts w:hint="cs"/>
          <w:rtl/>
        </w:rPr>
        <w:t xml:space="preserve">לפי דקארט יש מטריאליזם שהוא מופרך בפני עצמו, ועוד תוספת שמניחה מציאות מופשטת </w:t>
      </w:r>
      <w:r w:rsidR="00613871">
        <w:rPr>
          <w:rFonts w:hint="cs"/>
          <w:rtl/>
        </w:rPr>
        <w:t xml:space="preserve">אחרת </w:t>
      </w:r>
      <w:r w:rsidR="000552B8">
        <w:rPr>
          <w:rFonts w:hint="cs"/>
          <w:rtl/>
        </w:rPr>
        <w:t>שאינה קשורה כלל עם מציאות החומר, וזו תוספת של תמיהה על תמיהה.</w:t>
      </w:r>
    </w:p>
    <w:p w14:paraId="7E5CBDB0" w14:textId="671880D4" w:rsidR="00C233EE" w:rsidRDefault="003F254F" w:rsidP="00864AEF">
      <w:pPr>
        <w:pStyle w:val="FootnoteText"/>
        <w:rPr>
          <w:rtl/>
        </w:rPr>
      </w:pPr>
      <w:r>
        <w:rPr>
          <w:rFonts w:hint="cs"/>
          <w:rtl/>
        </w:rPr>
        <w:t xml:space="preserve">לפי אפלטון ואריסטו יש קשר בין המציאות המופשטת למציאות החומרית, אלה כמו שתי בחינות או שתי התגלויות של מציאות אחת. החיבור הזה קשה מאוד להבנה, ודורש יכולת עיון מטאפיזית כדי לעסוק בו, אבל וודאי </w:t>
      </w:r>
      <w:r w:rsidR="0080116D">
        <w:rPr>
          <w:rFonts w:hint="cs"/>
          <w:rtl/>
        </w:rPr>
        <w:t>לא</w:t>
      </w:r>
      <w:r>
        <w:rPr>
          <w:rFonts w:hint="cs"/>
          <w:rtl/>
        </w:rPr>
        <w:t xml:space="preserve"> יתכן להתעלם מהחיבור ולטעון שאין כלל חיבור כזה.</w:t>
      </w:r>
    </w:p>
    <w:p w14:paraId="64ED3E7B" w14:textId="1ADB947E" w:rsidR="00270B94" w:rsidRDefault="008C66AF" w:rsidP="00864AEF">
      <w:pPr>
        <w:pStyle w:val="FootnoteText"/>
        <w:rPr>
          <w:rtl/>
        </w:rPr>
      </w:pPr>
      <w:r>
        <w:rPr>
          <w:rFonts w:hint="cs"/>
          <w:rtl/>
        </w:rPr>
        <w:t>לפי דעת אריסטו רק המציאות המופשטת נמצאת במובן האמיתי הראשוני והמוחלט</w:t>
      </w:r>
      <w:r w:rsidR="00270B94">
        <w:rPr>
          <w:rFonts w:hint="cs"/>
          <w:rtl/>
        </w:rPr>
        <w:t xml:space="preserve"> (היפך ממה שכתב בקטגוריות פרק ה'</w:t>
      </w:r>
      <w:r w:rsidR="0080116D">
        <w:rPr>
          <w:rFonts w:hint="cs"/>
          <w:rtl/>
        </w:rPr>
        <w:t>,</w:t>
      </w:r>
      <w:r w:rsidR="00270B94">
        <w:rPr>
          <w:rFonts w:hint="cs"/>
          <w:rtl/>
        </w:rPr>
        <w:t xml:space="preserve"> ובמקומות אחרים הארכתי בזה</w:t>
      </w:r>
      <w:r w:rsidR="00473C91">
        <w:rPr>
          <w:rFonts w:hint="cs"/>
          <w:rtl/>
        </w:rPr>
        <w:t xml:space="preserve">. הכוונה באופן כללי </w:t>
      </w:r>
      <w:r w:rsidR="00182F4D">
        <w:rPr>
          <w:rFonts w:hint="cs"/>
          <w:rtl/>
        </w:rPr>
        <w:t xml:space="preserve">היא </w:t>
      </w:r>
      <w:r w:rsidR="00473C91">
        <w:rPr>
          <w:rFonts w:hint="cs"/>
          <w:rtl/>
        </w:rPr>
        <w:t>שיש הסתכלות של חקר הטבע והסתכלות מטאפיזית, האמת היותר מוחלטת</w:t>
      </w:r>
      <w:r w:rsidR="00182F4D">
        <w:rPr>
          <w:rFonts w:hint="cs"/>
          <w:rtl/>
        </w:rPr>
        <w:t xml:space="preserve"> וראשונית ואמיתית</w:t>
      </w:r>
      <w:r w:rsidR="00473C91">
        <w:rPr>
          <w:rFonts w:hint="cs"/>
          <w:rtl/>
        </w:rPr>
        <w:t xml:space="preserve"> היא ההסתכלות המטאפיזית, אבל אין לבטל מפניה את ההסתכלות של חקר הטבע לפיה המציאות מתחילה מהפרט החומרי</w:t>
      </w:r>
      <w:r w:rsidR="00182F4D">
        <w:rPr>
          <w:rFonts w:hint="cs"/>
          <w:rtl/>
        </w:rPr>
        <w:t>, וה</w:t>
      </w:r>
      <w:r w:rsidR="00297BBA">
        <w:rPr>
          <w:rFonts w:hint="cs"/>
          <w:rtl/>
        </w:rPr>
        <w:t>צורות יש להן מציאות משנית בלבד</w:t>
      </w:r>
      <w:r w:rsidR="00270B94">
        <w:rPr>
          <w:rFonts w:hint="cs"/>
          <w:rtl/>
        </w:rPr>
        <w:t>)</w:t>
      </w:r>
      <w:r>
        <w:rPr>
          <w:rFonts w:hint="cs"/>
          <w:rtl/>
        </w:rPr>
        <w:t>. המציאות החומרית היא כמו צל של המציאות המופשטת</w:t>
      </w:r>
      <w:r w:rsidR="00845501">
        <w:rPr>
          <w:rFonts w:hint="cs"/>
          <w:rtl/>
        </w:rPr>
        <w:t>, היא נובעת ממנה ומשנית לה</w:t>
      </w:r>
      <w:r w:rsidR="00B63D1F">
        <w:rPr>
          <w:rFonts w:hint="cs"/>
          <w:rtl/>
        </w:rPr>
        <w:t>. העצם החומרי הוא צורת</w:t>
      </w:r>
      <w:r w:rsidR="00BB5494">
        <w:rPr>
          <w:rFonts w:hint="cs"/>
          <w:rtl/>
        </w:rPr>
        <w:t>-</w:t>
      </w:r>
      <w:r w:rsidR="00B63D1F">
        <w:rPr>
          <w:rFonts w:hint="cs"/>
          <w:rtl/>
        </w:rPr>
        <w:t>העדר של היש המופשט הצורני, כמו</w:t>
      </w:r>
      <w:r w:rsidR="00BB5494">
        <w:rPr>
          <w:rFonts w:hint="cs"/>
          <w:rtl/>
        </w:rPr>
        <w:t xml:space="preserve"> </w:t>
      </w:r>
      <w:r w:rsidR="00B63D1F">
        <w:rPr>
          <w:rFonts w:hint="cs"/>
          <w:rtl/>
        </w:rPr>
        <w:t>שהצל הוא צורת</w:t>
      </w:r>
      <w:r w:rsidR="00BB5494">
        <w:rPr>
          <w:rFonts w:hint="cs"/>
          <w:rtl/>
        </w:rPr>
        <w:t>-</w:t>
      </w:r>
      <w:r w:rsidR="00B63D1F">
        <w:rPr>
          <w:rFonts w:hint="cs"/>
          <w:rtl/>
        </w:rPr>
        <w:t>העדר ש</w:t>
      </w:r>
      <w:r w:rsidR="00BB5494">
        <w:rPr>
          <w:rFonts w:hint="cs"/>
          <w:rtl/>
        </w:rPr>
        <w:t>ל הגוף שמטיל אותו</w:t>
      </w:r>
      <w:r w:rsidR="004F49B7">
        <w:rPr>
          <w:rFonts w:hint="cs"/>
          <w:rtl/>
        </w:rPr>
        <w:t xml:space="preserve">, על דרך צורת פרח במגזרת נייר שהעדר הנייר באותו מקום הוא </w:t>
      </w:r>
      <w:r w:rsidR="00357560">
        <w:rPr>
          <w:rFonts w:hint="cs"/>
          <w:rtl/>
        </w:rPr>
        <w:t xml:space="preserve">כמו צל של </w:t>
      </w:r>
      <w:r w:rsidR="004F49B7">
        <w:rPr>
          <w:rFonts w:hint="cs"/>
          <w:rtl/>
        </w:rPr>
        <w:t>צורת הפרח מנייר שנעדר</w:t>
      </w:r>
      <w:r w:rsidR="00357560">
        <w:rPr>
          <w:rFonts w:hint="cs"/>
          <w:rtl/>
        </w:rPr>
        <w:t xml:space="preserve"> </w:t>
      </w:r>
      <w:r w:rsidR="004F49B7">
        <w:rPr>
          <w:rFonts w:hint="cs"/>
          <w:rtl/>
        </w:rPr>
        <w:t>משם</w:t>
      </w:r>
      <w:r>
        <w:rPr>
          <w:rFonts w:hint="cs"/>
          <w:rtl/>
        </w:rPr>
        <w:t xml:space="preserve">. </w:t>
      </w:r>
      <w:r w:rsidR="00845501">
        <w:rPr>
          <w:rFonts w:hint="cs"/>
          <w:rtl/>
        </w:rPr>
        <w:t xml:space="preserve">כמו שאדם יכול להניע את </w:t>
      </w:r>
      <w:r w:rsidR="00357560">
        <w:rPr>
          <w:rFonts w:hint="cs"/>
          <w:rtl/>
        </w:rPr>
        <w:t xml:space="preserve">רק את </w:t>
      </w:r>
      <w:r w:rsidR="00845501">
        <w:rPr>
          <w:rFonts w:hint="cs"/>
          <w:rtl/>
        </w:rPr>
        <w:t xml:space="preserve">הצל שלו ולא </w:t>
      </w:r>
      <w:r w:rsidR="007708A6">
        <w:rPr>
          <w:rFonts w:hint="cs"/>
          <w:rtl/>
        </w:rPr>
        <w:t xml:space="preserve">צל של מישהו אחר, כך הוא יכול להניע </w:t>
      </w:r>
      <w:r w:rsidR="00357560">
        <w:rPr>
          <w:rFonts w:hint="cs"/>
          <w:rtl/>
        </w:rPr>
        <w:t xml:space="preserve">רק </w:t>
      </w:r>
      <w:r w:rsidR="007708A6">
        <w:rPr>
          <w:rFonts w:hint="cs"/>
          <w:rtl/>
        </w:rPr>
        <w:t xml:space="preserve">את גופו </w:t>
      </w:r>
      <w:r w:rsidR="00357560">
        <w:rPr>
          <w:rFonts w:hint="cs"/>
          <w:rtl/>
        </w:rPr>
        <w:t xml:space="preserve">שלו </w:t>
      </w:r>
      <w:r w:rsidR="007708A6">
        <w:rPr>
          <w:rFonts w:hint="cs"/>
          <w:rtl/>
        </w:rPr>
        <w:t xml:space="preserve">ולא את </w:t>
      </w:r>
      <w:r w:rsidR="00B63D1F">
        <w:rPr>
          <w:rFonts w:hint="cs"/>
          <w:rtl/>
        </w:rPr>
        <w:t>גופו</w:t>
      </w:r>
      <w:r w:rsidR="007708A6">
        <w:rPr>
          <w:rFonts w:hint="cs"/>
          <w:rtl/>
        </w:rPr>
        <w:t xml:space="preserve"> של מישהו אחר</w:t>
      </w:r>
      <w:r w:rsidR="00270B94">
        <w:rPr>
          <w:rFonts w:hint="cs"/>
          <w:rtl/>
        </w:rPr>
        <w:t>.</w:t>
      </w:r>
    </w:p>
    <w:p w14:paraId="3B7DE4E4" w14:textId="77777777" w:rsidR="006B6931" w:rsidRDefault="00EF4997" w:rsidP="00A128FB">
      <w:pPr>
        <w:pStyle w:val="FootnoteText"/>
        <w:rPr>
          <w:rtl/>
        </w:rPr>
      </w:pPr>
      <w:r>
        <w:rPr>
          <w:rFonts w:hint="cs"/>
          <w:rtl/>
        </w:rPr>
        <w:t xml:space="preserve">הכח שמניע את האבן ליפול כששומטים אותה מגובה, אם נתבונן בו ככח בלבד, כשלעצמו, </w:t>
      </w:r>
      <w:r w:rsidR="00D73E22">
        <w:rPr>
          <w:rFonts w:hint="cs"/>
          <w:rtl/>
        </w:rPr>
        <w:t xml:space="preserve">כתנועה בלי שיש גוף שהוא זה שנע, </w:t>
      </w:r>
      <w:r>
        <w:rPr>
          <w:rFonts w:hint="cs"/>
          <w:rtl/>
        </w:rPr>
        <w:t xml:space="preserve">כתנועה </w:t>
      </w:r>
      <w:r w:rsidR="00EA09B6">
        <w:rPr>
          <w:rFonts w:hint="cs"/>
          <w:rtl/>
        </w:rPr>
        <w:t xml:space="preserve">ערטילאית אחרי שהפשטנו אותה מהגוף הנע, היא לא עצם טבעי. אין לה </w:t>
      </w:r>
      <w:r w:rsidR="00E0622C">
        <w:rPr>
          <w:rFonts w:hint="cs"/>
          <w:rtl/>
        </w:rPr>
        <w:t xml:space="preserve">כשלעצמה </w:t>
      </w:r>
      <w:r w:rsidR="00EA09B6">
        <w:rPr>
          <w:rFonts w:hint="cs"/>
          <w:rtl/>
        </w:rPr>
        <w:t>גוף חומרי</w:t>
      </w:r>
      <w:r w:rsidR="00E0622C">
        <w:rPr>
          <w:rFonts w:hint="cs"/>
          <w:rtl/>
        </w:rPr>
        <w:t>, היא רק שוכנת בגוף חומרי</w:t>
      </w:r>
      <w:r w:rsidR="00A51B17">
        <w:t xml:space="preserve"> </w:t>
      </w:r>
      <w:r w:rsidR="00A51B17">
        <w:rPr>
          <w:rFonts w:hint="cs"/>
          <w:rtl/>
        </w:rPr>
        <w:t>שהוא עבורה</w:t>
      </w:r>
      <w:r w:rsidR="00E0622C">
        <w:rPr>
          <w:rFonts w:hint="cs"/>
          <w:rtl/>
        </w:rPr>
        <w:t xml:space="preserve"> ככלי חומרי ליישות המופשטת שקודמת למציאות החומר. </w:t>
      </w:r>
      <w:r w:rsidR="00431562">
        <w:rPr>
          <w:rFonts w:hint="cs"/>
          <w:rtl/>
        </w:rPr>
        <w:t>אריסטו אומר על</w:t>
      </w:r>
      <w:r w:rsidR="00E0622C">
        <w:rPr>
          <w:rFonts w:hint="cs"/>
          <w:rtl/>
        </w:rPr>
        <w:t xml:space="preserve"> התנועה</w:t>
      </w:r>
      <w:r w:rsidR="00431562">
        <w:rPr>
          <w:rFonts w:hint="cs"/>
          <w:rtl/>
        </w:rPr>
        <w:t xml:space="preserve"> שהיא </w:t>
      </w:r>
      <w:r w:rsidR="00745812">
        <w:rPr>
          <w:rFonts w:hint="cs"/>
          <w:rtl/>
        </w:rPr>
        <w:t>'</w:t>
      </w:r>
      <w:r w:rsidR="00431562">
        <w:rPr>
          <w:rFonts w:hint="cs"/>
          <w:rtl/>
        </w:rPr>
        <w:t>על פי הטבע</w:t>
      </w:r>
      <w:r w:rsidR="00745812">
        <w:rPr>
          <w:rFonts w:hint="cs"/>
          <w:rtl/>
        </w:rPr>
        <w:t>'</w:t>
      </w:r>
      <w:r w:rsidR="00431562">
        <w:rPr>
          <w:rFonts w:hint="cs"/>
          <w:rtl/>
        </w:rPr>
        <w:t xml:space="preserve"> ולא שהיא בעצמה טבע</w:t>
      </w:r>
      <w:r w:rsidR="00745812">
        <w:rPr>
          <w:rFonts w:hint="cs"/>
          <w:rtl/>
        </w:rPr>
        <w:t>,</w:t>
      </w:r>
      <w:r w:rsidR="00431562">
        <w:rPr>
          <w:rFonts w:hint="cs"/>
          <w:rtl/>
        </w:rPr>
        <w:t xml:space="preserve"> כי טבע הוא מה שיש לו גוף חומרי. </w:t>
      </w:r>
    </w:p>
    <w:p w14:paraId="09DF48C4" w14:textId="43A83363" w:rsidR="009226F2" w:rsidRDefault="003F3C46" w:rsidP="00A128FB">
      <w:pPr>
        <w:pStyle w:val="FootnoteText"/>
        <w:rPr>
          <w:rtl/>
        </w:rPr>
      </w:pPr>
      <w:r>
        <w:rPr>
          <w:rFonts w:hint="cs"/>
          <w:rtl/>
        </w:rPr>
        <w:t>אם התנועה כשהיא לעצמה, בלי הגוף הנע אלא התנועה לבד, היא לא גוף חומרי, בהכרח מציאותה שייכת למופשט</w:t>
      </w:r>
      <w:r w:rsidR="00045839">
        <w:rPr>
          <w:rFonts w:hint="cs"/>
          <w:rtl/>
        </w:rPr>
        <w:t>, לגילוי האלוהות לפני שהתלבש בחומר (וכמו שכתב הר</w:t>
      </w:r>
      <w:r w:rsidR="003549EC">
        <w:rPr>
          <w:rFonts w:hint="cs"/>
          <w:rtl/>
        </w:rPr>
        <w:t>מב"ם בהלכות יסודי התורה ד' ז' "</w:t>
      </w:r>
      <w:r w:rsidR="002E1288" w:rsidRPr="002E1288">
        <w:rPr>
          <w:rtl/>
        </w:rPr>
        <w:t>וְהַצּוּרוֹת שֶׁאֵין לָהֶן גֹּלֶם אֵינָן נִרְאִין לָעַיִן, אֶלָּא בְּעֵין הַלֵּב הֵן יְדוּעִין, כְּמוֹ שֶׁיָּדַעְנוּ אֲדוֹן הַכֹּל בְּלֹא רְאִיַּת עַיִן</w:t>
      </w:r>
      <w:r w:rsidR="00536656">
        <w:rPr>
          <w:rFonts w:hint="cs"/>
          <w:rtl/>
        </w:rPr>
        <w:t>"</w:t>
      </w:r>
      <w:r>
        <w:rPr>
          <w:rFonts w:hint="cs"/>
          <w:rtl/>
        </w:rPr>
        <w:t xml:space="preserve">. </w:t>
      </w:r>
      <w:r w:rsidR="006B4049">
        <w:rPr>
          <w:rFonts w:hint="cs"/>
          <w:rtl/>
        </w:rPr>
        <w:t>כשהתנועה מתלבשת בגוף ונעשה גוף נע, יש כאן עצם טבעי, אבל התנועה כשאינה מלובשת בגוף, היא יש שנמצא, ואינו חומרי, ובהכרח הוא יש מופשט</w:t>
      </w:r>
      <w:r w:rsidR="00317D6C">
        <w:rPr>
          <w:rFonts w:hint="cs"/>
          <w:rtl/>
        </w:rPr>
        <w:t xml:space="preserve"> (עיין לעיל</w:t>
      </w:r>
      <w:r w:rsidR="002662D2">
        <w:rPr>
          <w:rFonts w:hint="cs"/>
          <w:rtl/>
        </w:rPr>
        <w:t xml:space="preserve">, אפשר למצוא לפי האינדקס, שהתבאר ההבדל בין 'התחלה' לסיבה. 'התחלה' הוא הדבר המופשט הכללי, </w:t>
      </w:r>
      <w:r w:rsidR="00F038E8">
        <w:rPr>
          <w:rFonts w:hint="cs"/>
          <w:rtl/>
        </w:rPr>
        <w:t xml:space="preserve">תואר של האל על דרך התארים שמותר לומר עליו כמו שכתב במורה נבוכים א' סוף פרק נ"ג) </w:t>
      </w:r>
      <w:r w:rsidR="0050508F">
        <w:rPr>
          <w:rFonts w:hint="cs"/>
          <w:rtl/>
        </w:rPr>
        <w:t>ו</w:t>
      </w:r>
      <w:r w:rsidR="00F038E8">
        <w:rPr>
          <w:rFonts w:hint="cs"/>
          <w:rtl/>
        </w:rPr>
        <w:t>'</w:t>
      </w:r>
      <w:r w:rsidR="0050508F">
        <w:rPr>
          <w:rFonts w:hint="cs"/>
          <w:rtl/>
        </w:rPr>
        <w:t>סיבה</w:t>
      </w:r>
      <w:r w:rsidR="00F038E8">
        <w:rPr>
          <w:rFonts w:hint="cs"/>
          <w:rtl/>
        </w:rPr>
        <w:t>'</w:t>
      </w:r>
      <w:r w:rsidR="0050508F">
        <w:rPr>
          <w:rFonts w:hint="cs"/>
          <w:rtl/>
        </w:rPr>
        <w:t xml:space="preserve"> היא </w:t>
      </w:r>
      <w:r w:rsidR="00784711">
        <w:rPr>
          <w:rFonts w:hint="cs"/>
          <w:rtl/>
        </w:rPr>
        <w:t>כשהוא התלבש בחומר</w:t>
      </w:r>
      <w:r w:rsidR="00F038E8">
        <w:rPr>
          <w:rFonts w:hint="cs"/>
          <w:rtl/>
        </w:rPr>
        <w:t xml:space="preserve"> כמניע שלו</w:t>
      </w:r>
      <w:r w:rsidR="00784711">
        <w:rPr>
          <w:rFonts w:hint="cs"/>
          <w:rtl/>
        </w:rPr>
        <w:t>)</w:t>
      </w:r>
      <w:r w:rsidR="006B4049">
        <w:rPr>
          <w:rFonts w:hint="cs"/>
          <w:rtl/>
        </w:rPr>
        <w:t xml:space="preserve">. </w:t>
      </w:r>
      <w:r w:rsidR="009F1522">
        <w:rPr>
          <w:rFonts w:hint="cs"/>
          <w:rtl/>
        </w:rPr>
        <w:t xml:space="preserve">יותר </w:t>
      </w:r>
      <w:r w:rsidR="009C463A">
        <w:rPr>
          <w:rFonts w:hint="cs"/>
          <w:rtl/>
        </w:rPr>
        <w:t>מדויק</w:t>
      </w:r>
      <w:r w:rsidR="009F1522">
        <w:rPr>
          <w:rFonts w:hint="cs"/>
          <w:rtl/>
        </w:rPr>
        <w:t xml:space="preserve"> ה</w:t>
      </w:r>
      <w:r w:rsidR="00784711">
        <w:rPr>
          <w:rFonts w:hint="cs"/>
          <w:rtl/>
        </w:rPr>
        <w:t>תנוע</w:t>
      </w:r>
      <w:r w:rsidR="00536656">
        <w:rPr>
          <w:rFonts w:hint="cs"/>
          <w:rtl/>
        </w:rPr>
        <w:t>ה</w:t>
      </w:r>
      <w:r w:rsidR="00784711">
        <w:rPr>
          <w:rFonts w:hint="cs"/>
          <w:rtl/>
        </w:rPr>
        <w:t xml:space="preserve"> היא לא יש מופשט שעומד לעצמו</w:t>
      </w:r>
      <w:r w:rsidR="00772E80">
        <w:rPr>
          <w:rFonts w:hint="cs"/>
          <w:rtl/>
        </w:rPr>
        <w:t xml:space="preserve"> (המופשט בעצמו אינו משתנה ולא מתנועע והוא נצחי, והוא היפך התנועה)</w:t>
      </w:r>
      <w:r w:rsidR="00784711">
        <w:rPr>
          <w:rFonts w:hint="cs"/>
          <w:rtl/>
        </w:rPr>
        <w:t>, אלא היא</w:t>
      </w:r>
      <w:r w:rsidR="009F1522">
        <w:rPr>
          <w:rFonts w:hint="cs"/>
          <w:rtl/>
        </w:rPr>
        <w:t xml:space="preserve"> השפעת המופשט על החומר, </w:t>
      </w:r>
      <w:r w:rsidR="00772E80">
        <w:rPr>
          <w:rFonts w:hint="cs"/>
          <w:rtl/>
        </w:rPr>
        <w:t xml:space="preserve">הסוד של הקשר בין האין סוף למוגבל, </w:t>
      </w:r>
      <w:r w:rsidR="009F1522">
        <w:rPr>
          <w:rFonts w:hint="cs"/>
          <w:rtl/>
        </w:rPr>
        <w:t xml:space="preserve">מציאות התנועה כשלעצמה מתחילה מהמופשט, והתנועה עצמה היא </w:t>
      </w:r>
      <w:r w:rsidR="00BD669A">
        <w:rPr>
          <w:rFonts w:hint="cs"/>
          <w:rtl/>
        </w:rPr>
        <w:t>ה</w:t>
      </w:r>
      <w:r w:rsidR="009F1522">
        <w:rPr>
          <w:rFonts w:hint="cs"/>
          <w:rtl/>
        </w:rPr>
        <w:t>יחס שבין המופשט לחומרי</w:t>
      </w:r>
      <w:r w:rsidR="000C5207">
        <w:rPr>
          <w:rFonts w:hint="cs"/>
          <w:rtl/>
        </w:rPr>
        <w:t xml:space="preserve"> (כלשון אפלטון בטימיאוס שהזמן הוא צלם נע של הנצח)</w:t>
      </w:r>
      <w:r w:rsidR="009F1522">
        <w:rPr>
          <w:rFonts w:hint="cs"/>
          <w:rtl/>
        </w:rPr>
        <w:t xml:space="preserve">. </w:t>
      </w:r>
      <w:r w:rsidR="001F40B7">
        <w:rPr>
          <w:rFonts w:hint="cs"/>
          <w:rtl/>
        </w:rPr>
        <w:t>כמו</w:t>
      </w:r>
      <w:r w:rsidR="00A128FB">
        <w:rPr>
          <w:rFonts w:hint="cs"/>
          <w:rtl/>
        </w:rPr>
        <w:t xml:space="preserve"> </w:t>
      </w:r>
      <w:r w:rsidR="001F40B7">
        <w:rPr>
          <w:rFonts w:hint="cs"/>
          <w:rtl/>
        </w:rPr>
        <w:t>שנפש בעל החיים מניעה את גופו ו</w:t>
      </w:r>
      <w:r w:rsidR="00A128FB">
        <w:rPr>
          <w:rFonts w:hint="cs"/>
          <w:rtl/>
        </w:rPr>
        <w:t>לא</w:t>
      </w:r>
      <w:r w:rsidR="001F40B7">
        <w:rPr>
          <w:rFonts w:hint="cs"/>
          <w:rtl/>
        </w:rPr>
        <w:t xml:space="preserve"> גוף</w:t>
      </w:r>
      <w:r w:rsidR="00A128FB">
        <w:rPr>
          <w:rFonts w:hint="cs"/>
          <w:rtl/>
        </w:rPr>
        <w:t xml:space="preserve"> </w:t>
      </w:r>
      <w:r w:rsidR="001F40B7">
        <w:rPr>
          <w:rFonts w:hint="cs"/>
          <w:rtl/>
        </w:rPr>
        <w:t>אחר מכח שהיא אחת במציאות עם גופו,</w:t>
      </w:r>
      <w:r w:rsidR="00A128FB">
        <w:rPr>
          <w:rFonts w:hint="cs"/>
          <w:rtl/>
        </w:rPr>
        <w:t xml:space="preserve"> </w:t>
      </w:r>
      <w:r w:rsidR="001F40B7">
        <w:rPr>
          <w:rFonts w:hint="cs"/>
          <w:rtl/>
        </w:rPr>
        <w:t xml:space="preserve">כך גם מה שאנו קוראים בזמננו 'כח הכובד' </w:t>
      </w:r>
      <w:r w:rsidR="00A128FB">
        <w:rPr>
          <w:rFonts w:hint="cs"/>
          <w:rtl/>
        </w:rPr>
        <w:t>מניע את האבן הנופלת באופן בלתי אמצעי כי הוא אחד עם האבן, כלומר הוא נובע ממציאו</w:t>
      </w:r>
      <w:r w:rsidR="004F0EA6">
        <w:rPr>
          <w:rFonts w:hint="cs"/>
          <w:rtl/>
        </w:rPr>
        <w:t>ת</w:t>
      </w:r>
      <w:r w:rsidR="00A128FB">
        <w:rPr>
          <w:rFonts w:hint="cs"/>
          <w:rtl/>
        </w:rPr>
        <w:t xml:space="preserve"> מופשטת שהיא אחת עם האבן ומתגלה באבן כמו</w:t>
      </w:r>
      <w:r w:rsidR="004F0EA6">
        <w:rPr>
          <w:rFonts w:hint="cs"/>
          <w:rtl/>
        </w:rPr>
        <w:t xml:space="preserve"> </w:t>
      </w:r>
      <w:r w:rsidR="00A128FB">
        <w:rPr>
          <w:rFonts w:hint="cs"/>
          <w:rtl/>
        </w:rPr>
        <w:t>שנפש מתגלה בגוף</w:t>
      </w:r>
      <w:r w:rsidR="00BD669A">
        <w:rPr>
          <w:rFonts w:hint="cs"/>
          <w:rtl/>
        </w:rPr>
        <w:t>,</w:t>
      </w:r>
      <w:r w:rsidR="00A128FB">
        <w:rPr>
          <w:rFonts w:hint="cs"/>
          <w:rtl/>
        </w:rPr>
        <w:t xml:space="preserve"> </w:t>
      </w:r>
      <w:r w:rsidR="004F0EA6">
        <w:rPr>
          <w:rFonts w:hint="cs"/>
          <w:rtl/>
        </w:rPr>
        <w:t xml:space="preserve">והגילוי של המופשט בחומר הוא התנועה. </w:t>
      </w:r>
      <w:r w:rsidR="00E21B90">
        <w:rPr>
          <w:rFonts w:hint="cs"/>
          <w:rtl/>
        </w:rPr>
        <w:t>עולה מזה שהטבע הוא הגילוי של המופשט בחומרי</w:t>
      </w:r>
      <w:r w:rsidR="005F23D0">
        <w:rPr>
          <w:rFonts w:hint="cs"/>
          <w:rtl/>
        </w:rPr>
        <w:t>, שמגלה שהתחלת ועיקר המציאות היא המופשט ושאין חילוק במציאות בין המופשט לחומרי</w:t>
      </w:r>
      <w:r w:rsidR="00E21B90">
        <w:rPr>
          <w:rFonts w:hint="cs"/>
          <w:rtl/>
        </w:rPr>
        <w:t>.</w:t>
      </w:r>
      <w:r w:rsidR="00656A72">
        <w:rPr>
          <w:rFonts w:hint="cs"/>
          <w:rtl/>
        </w:rPr>
        <w:t xml:space="preserve"> בזה אין מחלוקת בין אבן סינא ופילופונוס וזו בלי ספק דעת אר</w:t>
      </w:r>
      <w:r w:rsidR="0047029A">
        <w:rPr>
          <w:rFonts w:hint="cs"/>
          <w:rtl/>
        </w:rPr>
        <w:t>יסטו לפי כל מפרשיו הקדמונים.</w:t>
      </w:r>
    </w:p>
    <w:p w14:paraId="397432E1" w14:textId="3EE1BDC2" w:rsidR="0047029A" w:rsidRDefault="0047029A" w:rsidP="00A128FB">
      <w:pPr>
        <w:pStyle w:val="FootnoteText"/>
        <w:rPr>
          <w:rtl/>
        </w:rPr>
      </w:pPr>
      <w:r>
        <w:rPr>
          <w:rFonts w:hint="cs"/>
          <w:rtl/>
        </w:rPr>
        <w:t>בזה יש לפרש גם את הבנת המתרגמים של פילופונוס ש</w:t>
      </w:r>
      <w:r w:rsidR="00B77279">
        <w:rPr>
          <w:rFonts w:hint="cs"/>
          <w:rtl/>
        </w:rPr>
        <w:t xml:space="preserve">פירשו שהכח "יורד" לגופים, וכמשמעות הפשוטה של המילה היוונית שפירושה המילולי צלילה. הירידה שמדובר בה אינה ירידה </w:t>
      </w:r>
      <w:r w:rsidR="00425D6E">
        <w:rPr>
          <w:rFonts w:hint="cs"/>
          <w:rtl/>
        </w:rPr>
        <w:t xml:space="preserve">מבחינה פיזית, מלמעלה למטה, אלא מבחינת סדר המציאות. וכמו שכתב הרמב"ם בהלכות יסודי התורה ב' א', </w:t>
      </w:r>
      <w:r w:rsidR="00D11449">
        <w:rPr>
          <w:rFonts w:hint="cs"/>
          <w:rtl/>
        </w:rPr>
        <w:t xml:space="preserve">שהדברים שאין להם גוף </w:t>
      </w:r>
      <w:r w:rsidR="00B96E47">
        <w:rPr>
          <w:rFonts w:hint="cs"/>
          <w:rtl/>
        </w:rPr>
        <w:t xml:space="preserve">מה שהוא סיבת מציאותו של חברו הוא למעלה ממנו. וכל המופשט מחברו הוא למעלה ממנו. לכן התנועה בעצמה </w:t>
      </w:r>
      <w:r w:rsidR="001636F2">
        <w:rPr>
          <w:rFonts w:hint="cs"/>
          <w:rtl/>
        </w:rPr>
        <w:t xml:space="preserve">כהשפעה לא חומרית מהמופשט היא למעלה מהגופים הטבעיים החומריים, וכשהיא נכנסת לשרות בהם ולהניע אותם היא </w:t>
      </w:r>
      <w:r w:rsidR="00EA1F8A">
        <w:rPr>
          <w:rFonts w:hint="cs"/>
          <w:rtl/>
        </w:rPr>
        <w:t>'</w:t>
      </w:r>
      <w:r w:rsidR="001636F2">
        <w:rPr>
          <w:rFonts w:hint="cs"/>
          <w:rtl/>
        </w:rPr>
        <w:t>יורדת</w:t>
      </w:r>
      <w:r w:rsidR="00EA1F8A">
        <w:rPr>
          <w:rFonts w:hint="cs"/>
          <w:rtl/>
        </w:rPr>
        <w:t>'</w:t>
      </w:r>
      <w:r w:rsidR="001636F2">
        <w:rPr>
          <w:rFonts w:hint="cs"/>
          <w:rtl/>
        </w:rPr>
        <w:t xml:space="preserve"> ממדרגתה למדרגתם</w:t>
      </w:r>
      <w:r w:rsidR="00EA1F8A">
        <w:rPr>
          <w:rFonts w:hint="cs"/>
          <w:rtl/>
        </w:rPr>
        <w:t xml:space="preserve"> (עיין עוד בזה בעיונים בפילוסופיה אריסטוטלית רשימה 35 במאמר התנועה יסוד </w:t>
      </w:r>
      <w:r w:rsidR="009C463A">
        <w:rPr>
          <w:rFonts w:hint="cs"/>
          <w:rtl/>
        </w:rPr>
        <w:t>ההוויה</w:t>
      </w:r>
      <w:r w:rsidR="00EA1F8A">
        <w:rPr>
          <w:rFonts w:hint="cs"/>
          <w:rtl/>
        </w:rPr>
        <w:t>)</w:t>
      </w:r>
      <w:r w:rsidR="001636F2">
        <w:rPr>
          <w:rFonts w:hint="cs"/>
          <w:rtl/>
        </w:rPr>
        <w:t xml:space="preserve">. </w:t>
      </w:r>
      <w:r w:rsidR="00D11449">
        <w:rPr>
          <w:rFonts w:hint="cs"/>
          <w:rtl/>
        </w:rPr>
        <w:t xml:space="preserve"> </w:t>
      </w:r>
      <w:r w:rsidR="00425D6E">
        <w:rPr>
          <w:rFonts w:hint="cs"/>
          <w:rtl/>
        </w:rPr>
        <w:t xml:space="preserve"> </w:t>
      </w:r>
    </w:p>
    <w:p w14:paraId="21CE7D76" w14:textId="77777777" w:rsidR="003C2199" w:rsidRDefault="003C2199" w:rsidP="003C2199">
      <w:pPr>
        <w:pStyle w:val="FootnoteText"/>
        <w:rPr>
          <w:rtl/>
        </w:rPr>
      </w:pPr>
    </w:p>
    <w:p w14:paraId="0DE3704B" w14:textId="66344F56" w:rsidR="003C2199" w:rsidRDefault="003C2199" w:rsidP="003C2199">
      <w:pPr>
        <w:pStyle w:val="FootnoteText"/>
        <w:rPr>
          <w:rtl/>
        </w:rPr>
      </w:pPr>
      <w:r>
        <w:rPr>
          <w:rFonts w:hint="cs"/>
          <w:rtl/>
        </w:rPr>
        <w:t xml:space="preserve">זה התוכן המדוייק של דברי </w:t>
      </w:r>
      <w:r>
        <w:rPr>
          <w:rtl/>
        </w:rPr>
        <w:t>ספר חובות הלבבות שער ב</w:t>
      </w:r>
      <w:r w:rsidR="00823406">
        <w:rPr>
          <w:rFonts w:hint="cs"/>
          <w:rtl/>
        </w:rPr>
        <w:t>'</w:t>
      </w:r>
      <w:r w:rsidR="00837FC0">
        <w:rPr>
          <w:rFonts w:hint="cs"/>
          <w:rtl/>
        </w:rPr>
        <w:t xml:space="preserve"> </w:t>
      </w:r>
      <w:r w:rsidR="00556461">
        <w:rPr>
          <w:rFonts w:hint="cs"/>
          <w:rtl/>
        </w:rPr>
        <w:t>(</w:t>
      </w:r>
      <w:r>
        <w:rPr>
          <w:rtl/>
        </w:rPr>
        <w:t>שער הבחינה</w:t>
      </w:r>
      <w:r w:rsidR="00556461">
        <w:rPr>
          <w:rFonts w:hint="cs"/>
          <w:rtl/>
        </w:rPr>
        <w:t>)</w:t>
      </w:r>
      <w:r>
        <w:rPr>
          <w:rFonts w:hint="cs"/>
          <w:rtl/>
        </w:rPr>
        <w:t>,</w:t>
      </w:r>
      <w:r>
        <w:rPr>
          <w:rtl/>
        </w:rPr>
        <w:t xml:space="preserve"> פרק ה</w:t>
      </w:r>
      <w:r w:rsidR="00556461">
        <w:rPr>
          <w:rFonts w:hint="cs"/>
          <w:rtl/>
        </w:rPr>
        <w:t>'</w:t>
      </w:r>
      <w:r w:rsidR="00914B2C">
        <w:rPr>
          <w:rFonts w:hint="cs"/>
          <w:rtl/>
        </w:rPr>
        <w:t xml:space="preserve"> (מאת רבינו בחיי </w:t>
      </w:r>
      <w:r w:rsidR="00752893">
        <w:rPr>
          <w:rFonts w:hint="cs"/>
          <w:rtl/>
        </w:rPr>
        <w:t>אבן פקוד</w:t>
      </w:r>
      <w:r w:rsidR="00837FC0">
        <w:rPr>
          <w:rFonts w:hint="cs"/>
          <w:rtl/>
        </w:rPr>
        <w:t>ה,</w:t>
      </w:r>
      <w:r w:rsidR="00752893" w:rsidRPr="00752893">
        <w:rPr>
          <w:rtl/>
        </w:rPr>
        <w:t xml:space="preserve"> 1050</w:t>
      </w:r>
      <w:r w:rsidR="00837FC0">
        <w:rPr>
          <w:rFonts w:hint="cs"/>
          <w:rtl/>
        </w:rPr>
        <w:t xml:space="preserve"> - </w:t>
      </w:r>
      <w:r w:rsidR="00752893" w:rsidRPr="00752893">
        <w:rPr>
          <w:rtl/>
        </w:rPr>
        <w:t>1120)</w:t>
      </w:r>
      <w:r>
        <w:rPr>
          <w:rtl/>
        </w:rPr>
        <w:t>:</w:t>
      </w:r>
    </w:p>
    <w:p w14:paraId="316D2E8F" w14:textId="50152ED3" w:rsidR="00F71EDB" w:rsidRDefault="003C2199" w:rsidP="003C2199">
      <w:pPr>
        <w:pStyle w:val="FootnoteText"/>
        <w:rPr>
          <w:rtl/>
        </w:rPr>
      </w:pPr>
      <w:r>
        <w:rPr>
          <w:rtl/>
        </w:rPr>
        <w:t>"וממה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w:t>
      </w:r>
      <w:r>
        <w:rPr>
          <w:rFonts w:hint="cs"/>
          <w:rtl/>
        </w:rPr>
        <w:t>ו</w:t>
      </w:r>
      <w:r>
        <w:rPr>
          <w:rtl/>
        </w:rPr>
        <w:t>וית שום דבר מן הנמצאות ולא הפסדם. ואמר אחד מן הפילוסופים: רוח הטבעים התנועה. וכשתבין סוד התנועה ותשכיל ענין אמתתה ורוחניותה, ותדע, כי היא מפלאי החכמה האלהית ותכיר רוב חמלת הבורא על ברואיו, אז יתברר לך, כי כל תנועותיך נקשרות בחפץ הבורא יתעלה והנהגתו ורצונו, הקטנה והגדולה שבהם והגלויה והנסתרת, חוץ ממה ששם ברשותך מבחירת הטוב והרע. וכאשר יתברר לך זה, תפקד עצמך בכל תנועה שתנוע, וזכר הקשר אשר קשרך הבורא בו והתבושש ממנו תמיד, ותירא אותו ותמסר לדינו ורצה בגזרותיו, תגיע אל רצונו ותהיה אחריתך לטוב, כמ"ש הכתוב והבוטח בה' חסד יסובבנו."</w:t>
      </w:r>
      <w:r w:rsidR="007708A6">
        <w:rPr>
          <w:rFonts w:hint="cs"/>
          <w:rtl/>
        </w:rPr>
        <w:t xml:space="preserve"> </w:t>
      </w:r>
    </w:p>
    <w:p w14:paraId="6AF33AD4" w14:textId="50D3541D" w:rsidR="00C80CAB" w:rsidRDefault="00AE44F9" w:rsidP="00456263">
      <w:pPr>
        <w:pStyle w:val="FootnoteText"/>
      </w:pPr>
      <w:r>
        <w:rPr>
          <w:rFonts w:hint="cs"/>
          <w:rtl/>
        </w:rPr>
        <w:t xml:space="preserve">מה שכתבתי כאן הוא </w:t>
      </w:r>
      <w:r w:rsidR="004E14DB">
        <w:rPr>
          <w:rFonts w:hint="cs"/>
          <w:rtl/>
        </w:rPr>
        <w:t>מה ש</w:t>
      </w:r>
      <w:r w:rsidR="008E4401">
        <w:rPr>
          <w:rFonts w:hint="cs"/>
          <w:rtl/>
        </w:rPr>
        <w:t>פילופונוס</w:t>
      </w:r>
      <w:r w:rsidR="004E14DB">
        <w:rPr>
          <w:rFonts w:hint="cs"/>
          <w:rtl/>
        </w:rPr>
        <w:t xml:space="preserve"> כתב, שהטבע הוא מקור המציאות של הדברים </w:t>
      </w:r>
      <w:r w:rsidR="00A04F82">
        <w:rPr>
          <w:rFonts w:hint="cs"/>
          <w:rtl/>
        </w:rPr>
        <w:t xml:space="preserve">בעצמם </w:t>
      </w:r>
      <w:r w:rsidR="004E14DB">
        <w:rPr>
          <w:rFonts w:hint="cs"/>
          <w:rtl/>
        </w:rPr>
        <w:t>והוא חיים שמושפעים עליהם מלמעלה</w:t>
      </w:r>
      <w:r w:rsidR="00180FA5">
        <w:rPr>
          <w:rFonts w:hint="cs"/>
          <w:rtl/>
        </w:rPr>
        <w:t>, הוא המקור המופשט של המציאות החומרית, וכוחות הטבע של המציאות הם הגילוי שהיא לא קיימת מצד עצמה אלא נובעת ממקור מופשט.</w:t>
      </w:r>
      <w:r w:rsidR="006B13F2">
        <w:rPr>
          <w:rFonts w:hint="cs"/>
          <w:rtl/>
        </w:rPr>
        <w:t xml:space="preserve"> כמו למשל תנועת הצל, אי אפשר להבין שהצל נע מכוחו העצמי, אלא ברור ש</w:t>
      </w:r>
      <w:r w:rsidR="008C67D6">
        <w:rPr>
          <w:rFonts w:hint="cs"/>
          <w:rtl/>
        </w:rPr>
        <w:t>הוא בתולדה ממשהו אחר שמתגלה דרכו</w:t>
      </w:r>
      <w:r w:rsidR="006B13F2">
        <w:rPr>
          <w:rFonts w:hint="cs"/>
          <w:rtl/>
        </w:rPr>
        <w:t xml:space="preserve">. אם מסתכלים יותר לעומק רואים שהסיבה </w:t>
      </w:r>
      <w:r w:rsidR="00F16785">
        <w:rPr>
          <w:rFonts w:hint="cs"/>
          <w:rtl/>
        </w:rPr>
        <w:t xml:space="preserve">המניעה </w:t>
      </w:r>
      <w:r w:rsidR="006B13F2">
        <w:rPr>
          <w:rFonts w:hint="cs"/>
          <w:rtl/>
        </w:rPr>
        <w:t>היא לא רק מניעה את הצל</w:t>
      </w:r>
      <w:r w:rsidR="003A51CD">
        <w:rPr>
          <w:rFonts w:hint="cs"/>
          <w:rtl/>
        </w:rPr>
        <w:t xml:space="preserve"> (ו</w:t>
      </w:r>
      <w:r w:rsidR="00362CDB">
        <w:rPr>
          <w:rFonts w:hint="cs"/>
          <w:rtl/>
        </w:rPr>
        <w:t xml:space="preserve">אז </w:t>
      </w:r>
      <w:r w:rsidR="003A51CD">
        <w:rPr>
          <w:rFonts w:hint="cs"/>
          <w:rtl/>
        </w:rPr>
        <w:t>יש חלוקה שהצל קיים כשלעצמו בלי שהוא נע ובלי קשר לכח שמניע אותו, ויש משהו אחר שרק מניע את הצל ולא קשור לעיקר הווייתו)</w:t>
      </w:r>
      <w:r w:rsidR="00572F67">
        <w:rPr>
          <w:rFonts w:hint="cs"/>
          <w:rtl/>
        </w:rPr>
        <w:t>,</w:t>
      </w:r>
      <w:r w:rsidR="006B13F2">
        <w:rPr>
          <w:rFonts w:hint="cs"/>
          <w:rtl/>
        </w:rPr>
        <w:t xml:space="preserve"> אלא </w:t>
      </w:r>
      <w:r w:rsidR="00572F67">
        <w:rPr>
          <w:rFonts w:hint="cs"/>
          <w:rtl/>
        </w:rPr>
        <w:t xml:space="preserve">הסיבה שמניעה את הצל </w:t>
      </w:r>
      <w:r w:rsidR="006B13F2">
        <w:rPr>
          <w:rFonts w:hint="cs"/>
          <w:rtl/>
        </w:rPr>
        <w:t xml:space="preserve">היא </w:t>
      </w:r>
      <w:r w:rsidR="00572F67">
        <w:rPr>
          <w:rFonts w:hint="cs"/>
          <w:rtl/>
        </w:rPr>
        <w:t>ה</w:t>
      </w:r>
      <w:r w:rsidR="00362CDB">
        <w:rPr>
          <w:rFonts w:hint="cs"/>
          <w:rtl/>
        </w:rPr>
        <w:t>סיבה לעצם</w:t>
      </w:r>
      <w:r w:rsidR="006B13F2">
        <w:rPr>
          <w:rFonts w:hint="cs"/>
          <w:rtl/>
        </w:rPr>
        <w:t xml:space="preserve"> הווייתו של הצל, </w:t>
      </w:r>
      <w:r w:rsidR="00F16785">
        <w:rPr>
          <w:rFonts w:hint="cs"/>
          <w:rtl/>
        </w:rPr>
        <w:t xml:space="preserve">היא שורש מציאותו </w:t>
      </w:r>
      <w:r w:rsidR="00572F67">
        <w:rPr>
          <w:rFonts w:hint="cs"/>
          <w:rtl/>
        </w:rPr>
        <w:t>כהתחל</w:t>
      </w:r>
      <w:r w:rsidR="00362CDB">
        <w:rPr>
          <w:rFonts w:hint="cs"/>
          <w:rtl/>
        </w:rPr>
        <w:t>ת מציאות</w:t>
      </w:r>
      <w:r w:rsidR="00572F67">
        <w:rPr>
          <w:rFonts w:hint="cs"/>
          <w:rtl/>
        </w:rPr>
        <w:t xml:space="preserve"> </w:t>
      </w:r>
      <w:r w:rsidR="00F16785">
        <w:rPr>
          <w:rFonts w:hint="cs"/>
          <w:rtl/>
        </w:rPr>
        <w:t xml:space="preserve">והיא גם </w:t>
      </w:r>
      <w:r w:rsidR="00572F67">
        <w:rPr>
          <w:rFonts w:hint="cs"/>
          <w:rtl/>
        </w:rPr>
        <w:t xml:space="preserve">בהמשך תמיד </w:t>
      </w:r>
      <w:r w:rsidR="004F5B86">
        <w:rPr>
          <w:rFonts w:hint="cs"/>
          <w:rtl/>
        </w:rPr>
        <w:t xml:space="preserve">הוויית </w:t>
      </w:r>
      <w:r w:rsidR="0044076C">
        <w:rPr>
          <w:rFonts w:hint="cs"/>
          <w:rtl/>
        </w:rPr>
        <w:t>המציאות שלו בפועל כל רגע ורגע</w:t>
      </w:r>
      <w:r w:rsidR="004F5B86">
        <w:rPr>
          <w:rFonts w:hint="cs"/>
          <w:rtl/>
        </w:rPr>
        <w:t>, וכלול בהשפעת המציאות שהיא גם מעצבת ומניעה אותו</w:t>
      </w:r>
      <w:r w:rsidR="00221E15">
        <w:rPr>
          <w:rFonts w:hint="cs"/>
          <w:rtl/>
        </w:rPr>
        <w:t>, היא מניעה ומעצבת על ידי שכך היא יוצרת את עיקר הווייתו, כמעוצב ונע כך. לא שיש כאן הנעה של דבר אחד שמניע דבר שונה ממנו</w:t>
      </w:r>
      <w:r w:rsidR="0044076C">
        <w:rPr>
          <w:rFonts w:hint="cs"/>
          <w:rtl/>
        </w:rPr>
        <w:t xml:space="preserve">. </w:t>
      </w:r>
      <w:r w:rsidR="00456263">
        <w:rPr>
          <w:rFonts w:hint="cs"/>
          <w:rtl/>
        </w:rPr>
        <w:t xml:space="preserve">דבר זה הוא דעת אפלטון, אריסטו, פילופונוס ואבן סינא, ועל זה לא נחלקו. וכמו שמבואר היטב בנספח. </w:t>
      </w:r>
      <w:r w:rsidR="004E14DB">
        <w:rPr>
          <w:rFonts w:hint="cs"/>
          <w:rtl/>
        </w:rPr>
        <w:t xml:space="preserve"> </w:t>
      </w:r>
    </w:p>
  </w:footnote>
  <w:footnote w:id="441">
    <w:p w14:paraId="6FD40337" w14:textId="05BD7170" w:rsidR="00AB2AD2" w:rsidRDefault="000412D6" w:rsidP="00AB2AD2">
      <w:pPr>
        <w:pStyle w:val="FootnoteText"/>
        <w:rPr>
          <w:rtl/>
        </w:rPr>
      </w:pPr>
      <w:r>
        <w:rPr>
          <w:rStyle w:val="FootnoteReference"/>
        </w:rPr>
        <w:footnoteRef/>
      </w:r>
      <w:r>
        <w:rPr>
          <w:rtl/>
        </w:rPr>
        <w:t xml:space="preserve"> </w:t>
      </w:r>
      <w:r w:rsidR="00370E83">
        <w:rPr>
          <w:rFonts w:hint="cs"/>
          <w:rtl/>
        </w:rPr>
        <w:t xml:space="preserve">ההתייחסות כאן היא </w:t>
      </w:r>
      <w:r w:rsidR="00370E83">
        <w:rPr>
          <w:rFonts w:hint="cs"/>
          <w:rtl/>
        </w:rPr>
        <w:t>ל</w:t>
      </w:r>
      <w:r w:rsidR="008E4401">
        <w:rPr>
          <w:rFonts w:hint="cs"/>
          <w:rtl/>
        </w:rPr>
        <w:t>פילופונוס</w:t>
      </w:r>
      <w:r w:rsidR="00370E83">
        <w:rPr>
          <w:rFonts w:hint="cs"/>
          <w:rtl/>
        </w:rPr>
        <w:t xml:space="preserve">. זה הקטע של </w:t>
      </w:r>
      <w:r w:rsidR="008E4401">
        <w:rPr>
          <w:rFonts w:hint="cs"/>
          <w:rtl/>
        </w:rPr>
        <w:t>פילופונוס</w:t>
      </w:r>
      <w:r w:rsidR="00370E83">
        <w:rPr>
          <w:rFonts w:hint="cs"/>
          <w:rtl/>
        </w:rPr>
        <w:t xml:space="preserve"> שאליו מתייחס אבן סינא</w:t>
      </w:r>
      <w:r w:rsidR="00D32A7F">
        <w:rPr>
          <w:rFonts w:hint="cs"/>
          <w:rtl/>
        </w:rPr>
        <w:t xml:space="preserve">, בפירושו של </w:t>
      </w:r>
      <w:r w:rsidR="008E4401">
        <w:rPr>
          <w:rFonts w:hint="cs"/>
          <w:rtl/>
        </w:rPr>
        <w:t>פילופונוס</w:t>
      </w:r>
      <w:r w:rsidR="00D32A7F">
        <w:rPr>
          <w:rFonts w:hint="cs"/>
          <w:rtl/>
        </w:rPr>
        <w:t xml:space="preserve"> לפיזיקה, ב</w:t>
      </w:r>
      <w:r w:rsidR="00683BB6">
        <w:rPr>
          <w:rFonts w:hint="cs"/>
          <w:rtl/>
        </w:rPr>
        <w:t xml:space="preserve">אותו </w:t>
      </w:r>
      <w:r w:rsidR="00D32A7F">
        <w:rPr>
          <w:rFonts w:hint="cs"/>
          <w:rtl/>
        </w:rPr>
        <w:t xml:space="preserve">מקום שאריסטו כותב </w:t>
      </w:r>
      <w:r w:rsidR="00AB2AD2">
        <w:rPr>
          <w:rtl/>
        </w:rPr>
        <w:t>בפיזיקה ב' א':</w:t>
      </w:r>
    </w:p>
    <w:p w14:paraId="51C8A470" w14:textId="77777777" w:rsidR="00683BB6" w:rsidRDefault="00AB2AD2" w:rsidP="00AB2AD2">
      <w:pPr>
        <w:pStyle w:val="FootnoteText"/>
        <w:rPr>
          <w:rtl/>
        </w:rPr>
      </w:pPr>
      <w:r>
        <w:rPr>
          <w:rtl/>
        </w:rPr>
        <w:t xml:space="preserve">"מאחר שאין הטבע אלא איזו התחלה וסיבה של היות נע והיות נח הנמצאת בדבר באופן </w:t>
      </w:r>
      <w:r w:rsidRPr="00683BB6">
        <w:rPr>
          <w:b/>
          <w:bCs/>
          <w:rtl/>
        </w:rPr>
        <w:t>ראשוני</w:t>
      </w:r>
      <w:r>
        <w:rPr>
          <w:rtl/>
        </w:rPr>
        <w:t xml:space="preserve"> וכשלעצמו ולא על פי המקרה.</w:t>
      </w:r>
      <w:r w:rsidR="00550618">
        <w:rPr>
          <w:rFonts w:hint="cs"/>
          <w:rtl/>
        </w:rPr>
        <w:t xml:space="preserve">" </w:t>
      </w:r>
    </w:p>
    <w:p w14:paraId="0F02013C" w14:textId="7DE4E8EC" w:rsidR="00AB2AD2" w:rsidRDefault="00550618" w:rsidP="00AB2AD2">
      <w:pPr>
        <w:pStyle w:val="FootnoteText"/>
        <w:rPr>
          <w:rtl/>
        </w:rPr>
      </w:pPr>
      <w:r>
        <w:rPr>
          <w:rFonts w:hint="cs"/>
          <w:rtl/>
        </w:rPr>
        <w:t>הדיון כאן הוא על המשמעות של המילה "ראשוני"</w:t>
      </w:r>
      <w:r w:rsidR="002F1837">
        <w:rPr>
          <w:rFonts w:hint="cs"/>
          <w:rtl/>
        </w:rPr>
        <w:t xml:space="preserve">, ועליה נסובים דברי </w:t>
      </w:r>
      <w:r w:rsidR="008E4401">
        <w:rPr>
          <w:rFonts w:hint="cs"/>
          <w:rtl/>
        </w:rPr>
        <w:t>פילופונוס</w:t>
      </w:r>
      <w:r w:rsidR="002F1837">
        <w:rPr>
          <w:rFonts w:hint="cs"/>
          <w:rtl/>
        </w:rPr>
        <w:t>.</w:t>
      </w:r>
      <w:r w:rsidR="0082520E">
        <w:rPr>
          <w:rFonts w:hint="cs"/>
          <w:rtl/>
        </w:rPr>
        <w:t xml:space="preserve"> </w:t>
      </w:r>
    </w:p>
    <w:p w14:paraId="2687211A" w14:textId="326D7CD9" w:rsidR="00847465" w:rsidRPr="00792A9A" w:rsidRDefault="004C264D" w:rsidP="005673FE">
      <w:pPr>
        <w:pStyle w:val="FootnoteText"/>
        <w:rPr>
          <w:rtl/>
        </w:rPr>
      </w:pPr>
      <w:r>
        <w:rPr>
          <w:rFonts w:hint="cs"/>
          <w:rtl/>
        </w:rPr>
        <w:t xml:space="preserve">לשון פילופונוס </w:t>
      </w:r>
      <w:r w:rsidR="00510B18" w:rsidRPr="00510B18">
        <w:rPr>
          <w:rtl/>
        </w:rPr>
        <w:t>(</w:t>
      </w:r>
      <w:r w:rsidR="00510B18" w:rsidRPr="00510B18">
        <w:t xml:space="preserve">Philoponus, In Phys.196.28 </w:t>
      </w:r>
      <w:r w:rsidR="008518EC">
        <w:t>–</w:t>
      </w:r>
      <w:r w:rsidR="00510B18" w:rsidRPr="00510B18">
        <w:t xml:space="preserve"> 30</w:t>
      </w:r>
      <w:r>
        <w:rPr>
          <w:rFonts w:hint="cs"/>
          <w:rtl/>
        </w:rPr>
        <w:t>.</w:t>
      </w:r>
      <w:r w:rsidR="00970E5D">
        <w:rPr>
          <w:rFonts w:hint="cs"/>
          <w:rtl/>
        </w:rPr>
        <w:t xml:space="preserve"> </w:t>
      </w:r>
      <w:r w:rsidR="00847465" w:rsidRPr="00792A9A">
        <w:rPr>
          <w:rtl/>
        </w:rPr>
        <w:t>בתרגום</w:t>
      </w:r>
      <w:r>
        <w:rPr>
          <w:rFonts w:hint="cs"/>
          <w:rtl/>
        </w:rPr>
        <w:t xml:space="preserve"> שלי)</w:t>
      </w:r>
      <w:r w:rsidR="00847465" w:rsidRPr="00792A9A">
        <w:rPr>
          <w:rtl/>
        </w:rPr>
        <w:t>:</w:t>
      </w:r>
    </w:p>
    <w:p w14:paraId="52F43717" w14:textId="59982FC7" w:rsidR="00FA16D0" w:rsidRPr="0030366B" w:rsidRDefault="00AA57B0" w:rsidP="0030366B">
      <w:pPr>
        <w:pStyle w:val="FootnoteText"/>
      </w:pPr>
      <w:r w:rsidRPr="00792A9A">
        <w:rPr>
          <w:rtl/>
        </w:rPr>
        <w:t xml:space="preserve">"אריסטו הוסיף "ראשוני" בגלל שהנפש השכלית גם היא </w:t>
      </w:r>
      <w:r w:rsidR="005D2F00" w:rsidRPr="00792A9A">
        <w:rPr>
          <w:rtl/>
        </w:rPr>
        <w:t xml:space="preserve">מניעה את בעל החיים והיא התחלת תנועה כזו </w:t>
      </w:r>
      <w:r w:rsidR="00971528" w:rsidRPr="00792A9A">
        <w:rPr>
          <w:rtl/>
        </w:rPr>
        <w:t>שאינה מבחוץ, אלא במונע עצמו. הנפש השכלית, על כל פנים,</w:t>
      </w:r>
      <w:r w:rsidR="00DB4147" w:rsidRPr="00792A9A">
        <w:rPr>
          <w:rtl/>
        </w:rPr>
        <w:t xml:space="preserve"> אינה מניעה </w:t>
      </w:r>
      <w:r w:rsidR="005A19CF" w:rsidRPr="00792A9A">
        <w:rPr>
          <w:rtl/>
        </w:rPr>
        <w:t xml:space="preserve">באופן ראשוני אלא דרך מה שאינו שכלי, </w:t>
      </w:r>
      <w:r w:rsidR="00D463CC" w:rsidRPr="00792A9A">
        <w:rPr>
          <w:rtl/>
        </w:rPr>
        <w:t>ו</w:t>
      </w:r>
      <w:r w:rsidR="005A2134" w:rsidRPr="00792A9A">
        <w:rPr>
          <w:rtl/>
        </w:rPr>
        <w:t>היא והלא</w:t>
      </w:r>
      <w:r w:rsidR="00512E7F" w:rsidRPr="00792A9A">
        <w:rPr>
          <w:rtl/>
        </w:rPr>
        <w:t>-</w:t>
      </w:r>
      <w:r w:rsidR="005A2134" w:rsidRPr="00792A9A">
        <w:rPr>
          <w:rtl/>
        </w:rPr>
        <w:t xml:space="preserve">שכלי </w:t>
      </w:r>
      <w:r w:rsidR="00D463CC" w:rsidRPr="00792A9A">
        <w:rPr>
          <w:rtl/>
        </w:rPr>
        <w:t>אינ</w:t>
      </w:r>
      <w:r w:rsidR="00512E7F" w:rsidRPr="00792A9A">
        <w:rPr>
          <w:rtl/>
        </w:rPr>
        <w:t>ם</w:t>
      </w:r>
      <w:r w:rsidR="00D463CC" w:rsidRPr="00792A9A">
        <w:rPr>
          <w:rtl/>
        </w:rPr>
        <w:t xml:space="preserve"> מניעה את בעל החיים </w:t>
      </w:r>
      <w:r w:rsidR="00512E7F" w:rsidRPr="00792A9A">
        <w:rPr>
          <w:rtl/>
        </w:rPr>
        <w:t>באופן ראשוני אלא על ידי שהם מניעים את טבעו</w:t>
      </w:r>
      <w:r w:rsidR="00971528" w:rsidRPr="00792A9A">
        <w:rPr>
          <w:rtl/>
        </w:rPr>
        <w:t xml:space="preserve"> </w:t>
      </w:r>
      <w:r w:rsidR="006948B8" w:rsidRPr="00792A9A">
        <w:rPr>
          <w:rtl/>
        </w:rPr>
        <w:t>(את ה</w:t>
      </w:r>
      <w:r w:rsidR="00D67F23">
        <w:rPr>
          <w:rFonts w:hint="cs"/>
          <w:rtl/>
        </w:rPr>
        <w:t>'</w:t>
      </w:r>
      <w:r w:rsidR="006948B8" w:rsidRPr="00792A9A">
        <w:rPr>
          <w:rtl/>
        </w:rPr>
        <w:t>פיזיות</w:t>
      </w:r>
      <w:r w:rsidR="00D67F23">
        <w:rPr>
          <w:rFonts w:hint="cs"/>
          <w:rtl/>
        </w:rPr>
        <w:t>'</w:t>
      </w:r>
      <w:r w:rsidR="006948B8" w:rsidRPr="00792A9A">
        <w:rPr>
          <w:rtl/>
        </w:rPr>
        <w:t xml:space="preserve"> של</w:t>
      </w:r>
      <w:r w:rsidR="006948B8" w:rsidRPr="00D422AF">
        <w:rPr>
          <w:rtl/>
        </w:rPr>
        <w:t>ו</w:t>
      </w:r>
      <w:r w:rsidR="00792A9A" w:rsidRPr="00D422AF">
        <w:rPr>
          <w:rtl/>
        </w:rPr>
        <w:t xml:space="preserve"> </w:t>
      </w:r>
      <w:r w:rsidR="00D422AF">
        <w:rPr>
          <w:rFonts w:hint="cs"/>
          <w:rtl/>
        </w:rPr>
        <w:t>-</w:t>
      </w:r>
      <w:r w:rsidR="00D422AF" w:rsidRPr="00D422AF">
        <w:rPr>
          <w:rtl/>
        </w:rPr>
        <w:t xml:space="preserve"> במקור</w:t>
      </w:r>
      <w:r w:rsidR="00D422AF">
        <w:rPr>
          <w:rFonts w:asciiTheme="majorBidi" w:hAnsiTheme="majorBidi" w:cstheme="majorBidi" w:hint="cs"/>
          <w:rtl/>
        </w:rPr>
        <w:t xml:space="preserve">: </w:t>
      </w:r>
      <w:r w:rsidR="00D422AF" w:rsidRPr="00D422AF">
        <w:rPr>
          <w:rFonts w:asciiTheme="majorBidi" w:hAnsiTheme="majorBidi" w:cstheme="majorBidi"/>
        </w:rPr>
        <w:t>τώ Τήν φύσιν κινεϊν</w:t>
      </w:r>
      <w:r w:rsidR="006948B8">
        <w:rPr>
          <w:rFonts w:asciiTheme="majorBidi" w:hAnsiTheme="majorBidi" w:cstheme="majorBidi" w:hint="cs"/>
          <w:rtl/>
        </w:rPr>
        <w:t>)</w:t>
      </w:r>
      <w:r w:rsidR="00D67F23">
        <w:rPr>
          <w:rFonts w:asciiTheme="majorBidi" w:hAnsiTheme="majorBidi" w:cstheme="majorBidi" w:hint="cs"/>
          <w:rtl/>
        </w:rPr>
        <w:t>.</w:t>
      </w:r>
      <w:r w:rsidR="00D67F23" w:rsidRPr="00311A51">
        <w:rPr>
          <w:rtl/>
        </w:rPr>
        <w:t xml:space="preserve"> כך </w:t>
      </w:r>
      <w:r w:rsidR="004276CF" w:rsidRPr="00311A51">
        <w:rPr>
          <w:rtl/>
        </w:rPr>
        <w:t xml:space="preserve">הטבע הוא מה שבאופן ראשוני גורם לתנועה. </w:t>
      </w:r>
    </w:p>
  </w:footnote>
  <w:footnote w:id="442">
    <w:p w14:paraId="2450BDD4" w14:textId="4FD899E6" w:rsidR="00540A32" w:rsidRDefault="00540A32">
      <w:pPr>
        <w:pStyle w:val="FootnoteText"/>
      </w:pPr>
      <w:r>
        <w:rPr>
          <w:rStyle w:val="FootnoteReference"/>
        </w:rPr>
        <w:footnoteRef/>
      </w:r>
      <w:r>
        <w:rPr>
          <w:rtl/>
        </w:rPr>
        <w:t xml:space="preserve"> </w:t>
      </w:r>
      <w:r w:rsidR="008E59BA" w:rsidRPr="008E59BA">
        <w:rPr>
          <w:rFonts w:cs="Times New Roman" w:hint="eastAsia"/>
          <w:rtl/>
          <w:lang w:bidi="ar-SA"/>
        </w:rPr>
        <w:t>الميل</w:t>
      </w:r>
      <w:r w:rsidR="00455E15">
        <w:rPr>
          <w:rFonts w:cs="Times New Roman" w:hint="cs"/>
          <w:rtl/>
        </w:rPr>
        <w:t xml:space="preserve"> </w:t>
      </w:r>
      <w:r w:rsidR="00505BAF">
        <w:rPr>
          <w:rFonts w:cs="Times New Roman" w:hint="cs"/>
          <w:rtl/>
        </w:rPr>
        <w:t>(</w:t>
      </w:r>
      <w:r w:rsidR="00455E15">
        <w:rPr>
          <w:rFonts w:cs="Times New Roman" w:hint="cs"/>
          <w:rtl/>
        </w:rPr>
        <w:t>מי</w:t>
      </w:r>
      <w:r w:rsidR="00EF36D5">
        <w:rPr>
          <w:rFonts w:cs="Times New Roman" w:hint="cs"/>
          <w:rtl/>
        </w:rPr>
        <w:t>י</w:t>
      </w:r>
      <w:r w:rsidR="00455E15">
        <w:rPr>
          <w:rFonts w:cs="Times New Roman" w:hint="cs"/>
          <w:rtl/>
        </w:rPr>
        <w:t xml:space="preserve">ל </w:t>
      </w:r>
      <w:r w:rsidR="00455E15">
        <w:rPr>
          <w:rFonts w:cs="Times New Roman"/>
        </w:rPr>
        <w:t>ma</w:t>
      </w:r>
      <w:r w:rsidR="003A52A3">
        <w:rPr>
          <w:rFonts w:cs="Times New Roman"/>
        </w:rPr>
        <w:t>y</w:t>
      </w:r>
      <w:r w:rsidR="00455E15">
        <w:rPr>
          <w:rFonts w:cs="Times New Roman"/>
        </w:rPr>
        <w:t>l</w:t>
      </w:r>
      <w:r w:rsidR="00505BAF">
        <w:rPr>
          <w:rFonts w:cs="Times New Roman" w:hint="cs"/>
          <w:rtl/>
        </w:rPr>
        <w:t>)</w:t>
      </w:r>
      <w:r w:rsidR="008E59BA" w:rsidRPr="008E59BA">
        <w:rPr>
          <w:rtl/>
        </w:rPr>
        <w:t xml:space="preserve">. </w:t>
      </w:r>
      <w:r w:rsidR="00505BAF">
        <w:rPr>
          <w:rFonts w:hint="cs"/>
          <w:rtl/>
        </w:rPr>
        <w:t>זה תרגום למונח היוונ</w:t>
      </w:r>
      <w:r w:rsidR="00D83ECF">
        <w:rPr>
          <w:rFonts w:hint="cs"/>
          <w:rtl/>
        </w:rPr>
        <w:t>י</w:t>
      </w:r>
      <w:r w:rsidR="00747963">
        <w:rPr>
          <w:rFonts w:hint="cs"/>
          <w:rtl/>
        </w:rPr>
        <w:t xml:space="preserve"> </w:t>
      </w:r>
      <w:r w:rsidR="00747963" w:rsidRPr="0027202B">
        <w:rPr>
          <w:rFonts w:asciiTheme="majorBidi" w:hAnsiTheme="majorBidi" w:cstheme="majorBidi"/>
        </w:rPr>
        <w:t>ροπή</w:t>
      </w:r>
      <w:r w:rsidR="00747963">
        <w:rPr>
          <w:rFonts w:hint="cs"/>
          <w:rtl/>
        </w:rPr>
        <w:t xml:space="preserve"> </w:t>
      </w:r>
      <w:r w:rsidR="00AE4EE7" w:rsidRPr="00AE4EE7">
        <w:t>rhopê</w:t>
      </w:r>
      <w:r w:rsidR="00A31B88">
        <w:t>)</w:t>
      </w:r>
      <w:r w:rsidR="0027202B">
        <w:rPr>
          <w:rFonts w:hint="cs"/>
          <w:rtl/>
        </w:rPr>
        <w:t>)</w:t>
      </w:r>
      <w:r w:rsidR="00D83ECF">
        <w:rPr>
          <w:rFonts w:hint="cs"/>
          <w:rtl/>
        </w:rPr>
        <w:t xml:space="preserve">, </w:t>
      </w:r>
      <w:r w:rsidR="00505BAF">
        <w:rPr>
          <w:rFonts w:hint="cs"/>
          <w:rtl/>
        </w:rPr>
        <w:t xml:space="preserve">ובלטינית ואנגלית </w:t>
      </w:r>
      <w:r w:rsidR="00505BAF">
        <w:t>impetus</w:t>
      </w:r>
      <w:r w:rsidR="00200333">
        <w:rPr>
          <w:rFonts w:hint="cs"/>
          <w:rtl/>
        </w:rPr>
        <w:t xml:space="preserve"> (</w:t>
      </w:r>
      <w:r w:rsidR="0030366B">
        <w:rPr>
          <w:rFonts w:hint="cs"/>
          <w:rtl/>
        </w:rPr>
        <w:t>'</w:t>
      </w:r>
      <w:r w:rsidR="00200333">
        <w:rPr>
          <w:rFonts w:hint="cs"/>
          <w:rtl/>
        </w:rPr>
        <w:t>אימפטוס</w:t>
      </w:r>
      <w:r w:rsidR="0030366B">
        <w:rPr>
          <w:rFonts w:hint="cs"/>
          <w:rtl/>
        </w:rPr>
        <w:t>'</w:t>
      </w:r>
      <w:r w:rsidR="00200333">
        <w:rPr>
          <w:rFonts w:hint="cs"/>
          <w:rtl/>
        </w:rPr>
        <w:t>. בשם זה מפורסמת הסוגיה הזו)</w:t>
      </w:r>
      <w:r w:rsidR="009B1821">
        <w:fldChar w:fldCharType="begin"/>
      </w:r>
      <w:r w:rsidR="009B1821">
        <w:instrText xml:space="preserve"> XE "</w:instrText>
      </w:r>
      <w:r w:rsidR="009B1821" w:rsidRPr="003E4224">
        <w:instrText>impetus</w:instrText>
      </w:r>
      <w:r w:rsidR="009B1821">
        <w:instrText xml:space="preserve">" </w:instrText>
      </w:r>
      <w:r w:rsidR="009B1821">
        <w:fldChar w:fldCharType="end"/>
      </w:r>
      <w:r w:rsidR="00505BAF">
        <w:rPr>
          <w:rFonts w:hint="cs"/>
          <w:rtl/>
        </w:rPr>
        <w:t xml:space="preserve">. </w:t>
      </w:r>
      <w:r w:rsidR="008E59BA" w:rsidRPr="008E59BA">
        <w:rPr>
          <w:rtl/>
        </w:rPr>
        <w:t>אפשר לתרגם גם '</w:t>
      </w:r>
      <w:r w:rsidR="00F812E0">
        <w:rPr>
          <w:rFonts w:hint="cs"/>
          <w:rtl/>
        </w:rPr>
        <w:t>נטייה</w:t>
      </w:r>
      <w:r w:rsidR="008E59BA" w:rsidRPr="008E59BA">
        <w:rPr>
          <w:rtl/>
        </w:rPr>
        <w:t>'</w:t>
      </w:r>
      <w:r w:rsidR="009231F1">
        <w:t xml:space="preserve"> </w:t>
      </w:r>
      <w:r w:rsidR="00455E15">
        <w:rPr>
          <w:rFonts w:hint="cs"/>
          <w:rtl/>
        </w:rPr>
        <w:t>או 'תנופה'</w:t>
      </w:r>
      <w:r w:rsidR="008E59BA" w:rsidRPr="008E59BA">
        <w:rPr>
          <w:rtl/>
        </w:rPr>
        <w:t>.</w:t>
      </w:r>
      <w:r w:rsidR="008E59BA">
        <w:rPr>
          <w:rFonts w:hint="cs"/>
          <w:rtl/>
        </w:rPr>
        <w:t xml:space="preserve"> </w:t>
      </w:r>
      <w:r w:rsidR="003D64FD">
        <w:rPr>
          <w:rFonts w:hint="cs"/>
          <w:rtl/>
        </w:rPr>
        <w:t>מקגיניס תרגם</w:t>
      </w:r>
      <w:r w:rsidR="00D05F7F">
        <w:rPr>
          <w:rFonts w:hint="cs"/>
          <w:rtl/>
        </w:rPr>
        <w:t xml:space="preserve"> </w:t>
      </w:r>
      <w:r w:rsidR="00C84D9D">
        <w:t xml:space="preserve"> </w:t>
      </w:r>
      <w:r w:rsidR="003D64FD">
        <w:t>inc</w:t>
      </w:r>
      <w:r w:rsidR="00184282">
        <w:t>l</w:t>
      </w:r>
      <w:r w:rsidR="003D64FD">
        <w:t>ination</w:t>
      </w:r>
      <w:r w:rsidR="0030366B">
        <w:rPr>
          <w:rFonts w:hint="cs"/>
          <w:rtl/>
        </w:rPr>
        <w:t>ו</w:t>
      </w:r>
      <w:r w:rsidR="00F75160">
        <w:rPr>
          <w:rFonts w:hint="cs"/>
          <w:rtl/>
        </w:rPr>
        <w:t xml:space="preserve">ענאתי בתרגומה </w:t>
      </w:r>
      <w:r w:rsidR="00C45FDC">
        <w:rPr>
          <w:rFonts w:hint="cs"/>
          <w:rtl/>
        </w:rPr>
        <w:t xml:space="preserve">לרמיזות והערות תרגמה </w:t>
      </w:r>
      <w:r w:rsidR="00824185" w:rsidRPr="00824185">
        <w:t>propensity</w:t>
      </w:r>
      <w:r w:rsidR="00F75160">
        <w:rPr>
          <w:rFonts w:hint="cs"/>
          <w:rtl/>
        </w:rPr>
        <w:t>)</w:t>
      </w:r>
      <w:r w:rsidR="00D05F7F">
        <w:rPr>
          <w:rFonts w:hint="cs"/>
          <w:rtl/>
        </w:rPr>
        <w:t>.</w:t>
      </w:r>
      <w:r w:rsidR="008E59BA" w:rsidRPr="008E59BA">
        <w:rPr>
          <w:rtl/>
        </w:rPr>
        <w:t xml:space="preserve"> </w:t>
      </w:r>
      <w:r w:rsidR="008E4401">
        <w:rPr>
          <w:rFonts w:hint="cs"/>
          <w:rtl/>
        </w:rPr>
        <w:t>פילופונוס</w:t>
      </w:r>
      <w:r w:rsidR="00890244">
        <w:rPr>
          <w:rFonts w:hint="cs"/>
          <w:rtl/>
        </w:rPr>
        <w:t xml:space="preserve"> במקומות אחרים מכתביו</w:t>
      </w:r>
      <w:r w:rsidR="00C964FF">
        <w:rPr>
          <w:rFonts w:hint="cs"/>
          <w:rtl/>
        </w:rPr>
        <w:t xml:space="preserve"> (עי' למשל ב</w:t>
      </w:r>
      <w:r w:rsidR="008E4401">
        <w:rPr>
          <w:rFonts w:hint="cs"/>
          <w:rtl/>
        </w:rPr>
        <w:t>פירוש פילופונוס ל</w:t>
      </w:r>
      <w:r w:rsidR="00C964FF">
        <w:rPr>
          <w:rFonts w:hint="cs"/>
          <w:rtl/>
        </w:rPr>
        <w:t>פיזיקה</w:t>
      </w:r>
      <w:bookmarkStart w:id="219" w:name="_Hlk101955476"/>
      <w:r w:rsidR="00C964FF">
        <w:rPr>
          <w:rFonts w:hint="cs"/>
          <w:rtl/>
        </w:rPr>
        <w:t xml:space="preserve"> </w:t>
      </w:r>
      <w:hyperlink r:id="rId100" w:history="1">
        <w:r w:rsidR="00952B53" w:rsidRPr="008E4401">
          <w:rPr>
            <w:rStyle w:val="Hyperlink"/>
          </w:rPr>
          <w:t>CAG</w:t>
        </w:r>
      </w:hyperlink>
      <w:r w:rsidR="00952B53">
        <w:t xml:space="preserve"> XVI</w:t>
      </w:r>
      <w:r w:rsidR="000B0D68">
        <w:rPr>
          <w:rFonts w:hint="cs"/>
          <w:rtl/>
        </w:rPr>
        <w:t xml:space="preserve"> 195,29</w:t>
      </w:r>
      <w:bookmarkEnd w:id="219"/>
      <w:r w:rsidR="00C964FF">
        <w:rPr>
          <w:rFonts w:hint="cs"/>
          <w:rtl/>
        </w:rPr>
        <w:t>)</w:t>
      </w:r>
      <w:r w:rsidR="0084382B">
        <w:rPr>
          <w:rFonts w:hint="cs"/>
          <w:rtl/>
        </w:rPr>
        <w:t xml:space="preserve"> משתמש במונח הזה</w:t>
      </w:r>
      <w:r w:rsidR="00890244">
        <w:rPr>
          <w:rFonts w:hint="cs"/>
          <w:rtl/>
        </w:rPr>
        <w:t xml:space="preserve"> </w:t>
      </w:r>
      <w:r w:rsidR="0084382B">
        <w:rPr>
          <w:rFonts w:hint="cs"/>
          <w:rtl/>
        </w:rPr>
        <w:t>לציין את הדחף או הנטייה שיש לאבן ליפול למטה ולאש לנוע למעלה</w:t>
      </w:r>
      <w:r w:rsidR="00910EE3">
        <w:rPr>
          <w:rFonts w:hint="cs"/>
          <w:rtl/>
        </w:rPr>
        <w:t xml:space="preserve">, שזה הטבע במובן הפשוט המוסכם. </w:t>
      </w:r>
      <w:r w:rsidR="004D1F04">
        <w:rPr>
          <w:rFonts w:hint="cs"/>
          <w:rtl/>
        </w:rPr>
        <w:t>עיי</w:t>
      </w:r>
      <w:r w:rsidR="000A7EEA">
        <w:rPr>
          <w:rFonts w:hint="cs"/>
          <w:rtl/>
        </w:rPr>
        <w:t>ן</w:t>
      </w:r>
      <w:r w:rsidR="004D1F04">
        <w:rPr>
          <w:rFonts w:hint="cs"/>
          <w:rtl/>
        </w:rPr>
        <w:t xml:space="preserve"> בכל זה בנספ</w:t>
      </w:r>
      <w:r w:rsidR="00F00B7D">
        <w:rPr>
          <w:rFonts w:hint="cs"/>
          <w:rtl/>
        </w:rPr>
        <w:t xml:space="preserve">ח. </w:t>
      </w:r>
      <w:r w:rsidR="00910EE3">
        <w:rPr>
          <w:rFonts w:hint="cs"/>
          <w:rtl/>
        </w:rPr>
        <w:t xml:space="preserve">כאן מדובר שהנפש גורמת להשפיע טבע על הגוף </w:t>
      </w:r>
      <w:r w:rsidR="008F138C">
        <w:rPr>
          <w:rFonts w:hint="cs"/>
          <w:rtl/>
        </w:rPr>
        <w:t>אע"פ שמצד הגוף אין טבע כזה</w:t>
      </w:r>
      <w:r w:rsidR="002D3ABC">
        <w:rPr>
          <w:rFonts w:hint="cs"/>
          <w:rtl/>
        </w:rPr>
        <w:t xml:space="preserve"> (</w:t>
      </w:r>
      <w:r w:rsidR="00F00B7D">
        <w:rPr>
          <w:rFonts w:hint="cs"/>
          <w:rtl/>
        </w:rPr>
        <w:t>למשל החלטה להרים את היד כשטבע היד מצד עצמה כגוף חומרי הוא לרדת למטה</w:t>
      </w:r>
      <w:r w:rsidR="002D3ABC">
        <w:rPr>
          <w:rFonts w:hint="cs"/>
          <w:rtl/>
        </w:rPr>
        <w:t>)</w:t>
      </w:r>
      <w:r w:rsidR="008F138C">
        <w:rPr>
          <w:rFonts w:hint="cs"/>
          <w:rtl/>
        </w:rPr>
        <w:t xml:space="preserve">, </w:t>
      </w:r>
      <w:r w:rsidR="00DF0048">
        <w:rPr>
          <w:rFonts w:hint="cs"/>
          <w:rtl/>
        </w:rPr>
        <w:t xml:space="preserve">היד עצמה, מצד שהיא חומר, בשר, פועלת לפי הטבע החומרי לרדת למטה. </w:t>
      </w:r>
      <w:r w:rsidR="008F138C">
        <w:rPr>
          <w:rFonts w:hint="cs"/>
          <w:rtl/>
        </w:rPr>
        <w:t xml:space="preserve">הנפש גורמת </w:t>
      </w:r>
      <w:r w:rsidR="009F5887">
        <w:rPr>
          <w:rFonts w:hint="cs"/>
          <w:rtl/>
        </w:rPr>
        <w:t>להשפעה על אותו טבע חומרי של היד, וגורמת לו להניע את היד למעלה. הנפש בפני עצמה אין לה חיבור עם הבשר להניע אותו באופן בלתי אמצעי</w:t>
      </w:r>
      <w:r w:rsidR="00571C7E">
        <w:rPr>
          <w:rFonts w:hint="cs"/>
          <w:rtl/>
        </w:rPr>
        <w:t>, היא הרי לא יכולה לשחרר את הבשר מהכובד שמושך אותו למטה מטבעו. אלא המניע הראשוני, הבלתי אמצעי, של הבשר של היד</w:t>
      </w:r>
      <w:r w:rsidR="005903AE">
        <w:rPr>
          <w:rFonts w:hint="cs"/>
          <w:rtl/>
        </w:rPr>
        <w:t>,</w:t>
      </w:r>
      <w:r w:rsidR="00571C7E">
        <w:rPr>
          <w:rFonts w:hint="cs"/>
          <w:rtl/>
        </w:rPr>
        <w:t xml:space="preserve"> נשאר </w:t>
      </w:r>
      <w:r w:rsidR="005903AE">
        <w:rPr>
          <w:rFonts w:hint="cs"/>
          <w:rtl/>
        </w:rPr>
        <w:t>תמיד</w:t>
      </w:r>
      <w:r w:rsidR="00571C7E">
        <w:rPr>
          <w:rFonts w:hint="cs"/>
          <w:rtl/>
        </w:rPr>
        <w:t xml:space="preserve"> אותו טבע שנמצא בה עצמה שהוא הטבע </w:t>
      </w:r>
      <w:r w:rsidR="005903AE">
        <w:rPr>
          <w:rFonts w:hint="cs"/>
          <w:rtl/>
        </w:rPr>
        <w:t>החומרי</w:t>
      </w:r>
      <w:r w:rsidR="00571C7E">
        <w:rPr>
          <w:rFonts w:hint="cs"/>
          <w:rtl/>
        </w:rPr>
        <w:t xml:space="preserve"> שמושך אותה למטה באותו או</w:t>
      </w:r>
      <w:r w:rsidR="005903AE">
        <w:rPr>
          <w:rFonts w:hint="cs"/>
          <w:rtl/>
        </w:rPr>
        <w:t>פ</w:t>
      </w:r>
      <w:r w:rsidR="00571C7E">
        <w:rPr>
          <w:rFonts w:hint="cs"/>
          <w:rtl/>
        </w:rPr>
        <w:t>ן ש</w:t>
      </w:r>
      <w:r w:rsidR="005903AE">
        <w:rPr>
          <w:rFonts w:hint="cs"/>
          <w:rtl/>
        </w:rPr>
        <w:t xml:space="preserve">הוא </w:t>
      </w:r>
      <w:r w:rsidR="00571C7E">
        <w:rPr>
          <w:rFonts w:hint="cs"/>
          <w:rtl/>
        </w:rPr>
        <w:t xml:space="preserve">מושך אבן למטה. </w:t>
      </w:r>
      <w:r w:rsidR="005903AE">
        <w:rPr>
          <w:rFonts w:hint="cs"/>
          <w:rtl/>
        </w:rPr>
        <w:t>וצריך בהכרח לומר שהנפש משפיעה על הטבע החומרי</w:t>
      </w:r>
      <w:r w:rsidR="00F3028B">
        <w:rPr>
          <w:rFonts w:hint="cs"/>
          <w:rtl/>
        </w:rPr>
        <w:t>,</w:t>
      </w:r>
      <w:r w:rsidR="005903AE">
        <w:rPr>
          <w:rFonts w:hint="cs"/>
          <w:rtl/>
        </w:rPr>
        <w:t xml:space="preserve"> והטבע החומרי </w:t>
      </w:r>
      <w:r w:rsidR="00F3028B">
        <w:rPr>
          <w:rFonts w:hint="cs"/>
          <w:rtl/>
        </w:rPr>
        <w:t>מעביר את ההשפעה שקיבל אל בשר היד, ולכן הנפש אינה מניע ראשוני של הגוף</w:t>
      </w:r>
      <w:r w:rsidR="00AF18E8">
        <w:rPr>
          <w:rFonts w:hint="cs"/>
          <w:rtl/>
        </w:rPr>
        <w:t>, אלא מניעה רק בתיווך הטבע החומרי של הגוף</w:t>
      </w:r>
      <w:r w:rsidR="009F5887">
        <w:rPr>
          <w:rFonts w:hint="cs"/>
          <w:rtl/>
        </w:rPr>
        <w:t>.</w:t>
      </w:r>
      <w:r w:rsidR="0084382B">
        <w:rPr>
          <w:rFonts w:hint="cs"/>
          <w:rtl/>
        </w:rPr>
        <w:t xml:space="preserve"> </w:t>
      </w:r>
    </w:p>
  </w:footnote>
  <w:footnote w:id="443">
    <w:p w14:paraId="32D43DB2" w14:textId="0A9B240F" w:rsidR="00AB6FA5" w:rsidRDefault="00E32779">
      <w:pPr>
        <w:pStyle w:val="FootnoteText"/>
        <w:rPr>
          <w:rtl/>
        </w:rPr>
      </w:pPr>
      <w:r>
        <w:rPr>
          <w:rStyle w:val="FootnoteReference"/>
        </w:rPr>
        <w:footnoteRef/>
      </w:r>
      <w:r>
        <w:rPr>
          <w:rtl/>
        </w:rPr>
        <w:t xml:space="preserve"> </w:t>
      </w:r>
      <w:r w:rsidR="00897762">
        <w:rPr>
          <w:rFonts w:hint="cs"/>
          <w:rtl/>
        </w:rPr>
        <w:t>מקגיניס ציין ש</w:t>
      </w:r>
      <w:r w:rsidR="002122B3">
        <w:rPr>
          <w:rFonts w:hint="cs"/>
          <w:rtl/>
        </w:rPr>
        <w:t>זו הטענה הכללית</w:t>
      </w:r>
      <w:r w:rsidR="00897762">
        <w:rPr>
          <w:rFonts w:hint="cs"/>
          <w:rtl/>
        </w:rPr>
        <w:t xml:space="preserve"> להלן</w:t>
      </w:r>
      <w:r w:rsidR="004A21BF">
        <w:rPr>
          <w:rFonts w:hint="cs"/>
          <w:rtl/>
        </w:rPr>
        <w:t xml:space="preserve"> ספר 4 מהפיזיקה של הריפוי, פרק 1</w:t>
      </w:r>
      <w:r w:rsidR="0000041B">
        <w:rPr>
          <w:rFonts w:hint="cs"/>
          <w:rtl/>
        </w:rPr>
        <w:t>4</w:t>
      </w:r>
      <w:r w:rsidR="004A21BF">
        <w:rPr>
          <w:rFonts w:hint="cs"/>
          <w:rtl/>
        </w:rPr>
        <w:t>.</w:t>
      </w:r>
      <w:r w:rsidR="00AB6FA5">
        <w:rPr>
          <w:rFonts w:hint="cs"/>
          <w:rtl/>
        </w:rPr>
        <w:t xml:space="preserve"> </w:t>
      </w:r>
    </w:p>
    <w:p w14:paraId="57606D22" w14:textId="63B94391" w:rsidR="00250A2A" w:rsidRDefault="00AB6FA5" w:rsidP="00525919">
      <w:pPr>
        <w:pStyle w:val="FootnoteText"/>
        <w:rPr>
          <w:rtl/>
        </w:rPr>
      </w:pPr>
      <w:r>
        <w:rPr>
          <w:rFonts w:hint="cs"/>
          <w:rtl/>
        </w:rPr>
        <w:t>עיין ב</w:t>
      </w:r>
      <w:r w:rsidR="00922DF0">
        <w:rPr>
          <w:rFonts w:hint="cs"/>
          <w:rtl/>
        </w:rPr>
        <w:t xml:space="preserve">נספח בביאור היטב מה שכתב אבן סינא לקמן </w:t>
      </w:r>
      <w:r w:rsidR="00C322C1">
        <w:rPr>
          <w:rFonts w:hint="cs"/>
          <w:rtl/>
        </w:rPr>
        <w:t>ספר 4 פרק 1</w:t>
      </w:r>
      <w:r w:rsidR="0000041B">
        <w:rPr>
          <w:rFonts w:hint="cs"/>
          <w:rtl/>
        </w:rPr>
        <w:t>4</w:t>
      </w:r>
      <w:r w:rsidR="00F308CE">
        <w:rPr>
          <w:rFonts w:hint="cs"/>
          <w:rtl/>
        </w:rPr>
        <w:t>.</w:t>
      </w:r>
      <w:r w:rsidR="00C322C1">
        <w:rPr>
          <w:rFonts w:hint="cs"/>
          <w:rtl/>
        </w:rPr>
        <w:t xml:space="preserve"> </w:t>
      </w:r>
      <w:r w:rsidR="00F308CE">
        <w:rPr>
          <w:rFonts w:hint="cs"/>
          <w:rtl/>
        </w:rPr>
        <w:t xml:space="preserve">שם </w:t>
      </w:r>
      <w:r w:rsidR="00250A2A">
        <w:rPr>
          <w:rFonts w:hint="cs"/>
          <w:rtl/>
        </w:rPr>
        <w:t>מדובר על השאלה של אינרציה. למשל אם אדם זורק אבן</w:t>
      </w:r>
      <w:r w:rsidR="00866554">
        <w:rPr>
          <w:rFonts w:hint="cs"/>
          <w:rtl/>
        </w:rPr>
        <w:t xml:space="preserve"> (באופן כללי מדובר</w:t>
      </w:r>
      <w:r w:rsidR="00725E19">
        <w:rPr>
          <w:rFonts w:hint="cs"/>
          <w:rtl/>
        </w:rPr>
        <w:t xml:space="preserve"> </w:t>
      </w:r>
      <w:r w:rsidR="00866554">
        <w:rPr>
          <w:rFonts w:hint="cs"/>
          <w:rtl/>
        </w:rPr>
        <w:t>על 'קליע'</w:t>
      </w:r>
      <w:r w:rsidR="00725E19">
        <w:rPr>
          <w:rFonts w:hint="cs"/>
          <w:rtl/>
        </w:rPr>
        <w:t>)</w:t>
      </w:r>
      <w:r w:rsidR="00250A2A">
        <w:rPr>
          <w:rFonts w:hint="cs"/>
          <w:rtl/>
        </w:rPr>
        <w:t xml:space="preserve">, היה ראוי להיות שמייד ברגע שהאבן ניתקת ממגע ידו, היא תיפול ישר למטה. השאלה היא למה היא ממשיכה לנוע בכיוון הדחיפה ורק אחר כך בהדרגה נופלת. </w:t>
      </w:r>
    </w:p>
    <w:p w14:paraId="432180CF" w14:textId="48BD02A0" w:rsidR="00124B43" w:rsidRDefault="00866554" w:rsidP="00FA0796">
      <w:pPr>
        <w:pStyle w:val="FootnoteText"/>
        <w:rPr>
          <w:rtl/>
        </w:rPr>
      </w:pPr>
      <w:r>
        <w:rPr>
          <w:rFonts w:hint="cs"/>
          <w:rtl/>
        </w:rPr>
        <w:t xml:space="preserve">ברור שכל גוף נח עד שגוף אחר </w:t>
      </w:r>
      <w:r>
        <w:rPr>
          <w:rFonts w:hint="cs"/>
          <w:rtl/>
        </w:rPr>
        <w:t>ידחף אותו ויניע אותו. אחרי שהאבן</w:t>
      </w:r>
      <w:r w:rsidR="00725E19">
        <w:rPr>
          <w:rFonts w:hint="cs"/>
          <w:rtl/>
        </w:rPr>
        <w:t xml:space="preserve"> ניתקה מגע עם היד של הזורק, כעת אין שום דחיפה של גוף אחר שמניע אותה, כלומר היד של הזורק, והיא צריכה ליפול ישר למטה כי כעת רק הטבע שלה ליפול מניע אותה.</w:t>
      </w:r>
      <w:r w:rsidR="00955DED">
        <w:rPr>
          <w:rFonts w:hint="cs"/>
          <w:rtl/>
        </w:rPr>
        <w:t xml:space="preserve"> </w:t>
      </w:r>
      <w:r w:rsidR="007507D3">
        <w:rPr>
          <w:rFonts w:hint="cs"/>
          <w:rtl/>
        </w:rPr>
        <w:t>(לפי הפיזיקה המודרנית יש חוק ההתמדה</w:t>
      </w:r>
      <w:r w:rsidR="005F1496">
        <w:rPr>
          <w:rFonts w:hint="cs"/>
          <w:rtl/>
        </w:rPr>
        <w:t>, הראשון מחוקי התנועה של ניוטון,</w:t>
      </w:r>
      <w:r w:rsidR="007507D3">
        <w:rPr>
          <w:rFonts w:hint="cs"/>
          <w:rtl/>
        </w:rPr>
        <w:t xml:space="preserve"> שאומר שגוף נע </w:t>
      </w:r>
      <w:r w:rsidR="005F1496">
        <w:rPr>
          <w:rFonts w:hint="cs"/>
          <w:rtl/>
        </w:rPr>
        <w:t xml:space="preserve">שלא מופעל עליו שום כח </w:t>
      </w:r>
      <w:r w:rsidR="007507D3">
        <w:rPr>
          <w:rFonts w:hint="cs"/>
          <w:rtl/>
        </w:rPr>
        <w:t>ימשיך בתנועה קצובה</w:t>
      </w:r>
      <w:r w:rsidR="005F1496">
        <w:rPr>
          <w:rFonts w:hint="cs"/>
          <w:rtl/>
        </w:rPr>
        <w:t xml:space="preserve">. </w:t>
      </w:r>
      <w:r w:rsidR="00876B17">
        <w:rPr>
          <w:rFonts w:hint="cs"/>
          <w:rtl/>
        </w:rPr>
        <w:t>בנספח דנתי בביאור הדעה הזו וב</w:t>
      </w:r>
      <w:r w:rsidR="00DB5484">
        <w:rPr>
          <w:rFonts w:hint="cs"/>
          <w:rtl/>
        </w:rPr>
        <w:t>מ</w:t>
      </w:r>
      <w:r w:rsidR="00876B17">
        <w:rPr>
          <w:rFonts w:hint="cs"/>
          <w:rtl/>
        </w:rPr>
        <w:t>ה היא דומה לדעת אריסטו ובמה היא שונה, והבאתי הערות איינש</w:t>
      </w:r>
      <w:r w:rsidR="00DB5484">
        <w:rPr>
          <w:rFonts w:hint="cs"/>
          <w:rtl/>
        </w:rPr>
        <w:t>ט</w:t>
      </w:r>
      <w:r w:rsidR="00876B17">
        <w:rPr>
          <w:rFonts w:hint="cs"/>
          <w:rtl/>
        </w:rPr>
        <w:t>יין ואדינגטון על זה)</w:t>
      </w:r>
      <w:r w:rsidR="007507D3">
        <w:rPr>
          <w:rFonts w:hint="cs"/>
          <w:rtl/>
        </w:rPr>
        <w:t xml:space="preserve"> </w:t>
      </w:r>
    </w:p>
    <w:p w14:paraId="5FCF0888" w14:textId="1BC3D726" w:rsidR="0035579C" w:rsidRDefault="0052695C" w:rsidP="00124B43">
      <w:pPr>
        <w:pStyle w:val="FootnoteText"/>
        <w:bidi w:val="0"/>
        <w:rPr>
          <w:rtl/>
        </w:rPr>
      </w:pPr>
      <w:r>
        <w:t xml:space="preserve"> </w:t>
      </w:r>
    </w:p>
    <w:p w14:paraId="5965948E" w14:textId="33AD8E4A" w:rsidR="00C54392" w:rsidRDefault="008860B3" w:rsidP="00436923">
      <w:pPr>
        <w:pStyle w:val="FootnoteText"/>
        <w:rPr>
          <w:rtl/>
        </w:rPr>
      </w:pPr>
      <w:r>
        <w:rPr>
          <w:rFonts w:hint="cs"/>
          <w:rtl/>
        </w:rPr>
        <w:t xml:space="preserve">לגבי שאלה זו חידש פילופונוס </w:t>
      </w:r>
      <w:r w:rsidR="00BA4436">
        <w:rPr>
          <w:rFonts w:hint="cs"/>
          <w:rtl/>
        </w:rPr>
        <w:t xml:space="preserve">על סמך אריסטו </w:t>
      </w:r>
      <w:r>
        <w:rPr>
          <w:rFonts w:hint="cs"/>
          <w:rtl/>
        </w:rPr>
        <w:t>שהגוף המניע השרה 'דחף'</w:t>
      </w:r>
      <w:r w:rsidR="005B623A">
        <w:rPr>
          <w:rFonts w:hint="cs"/>
          <w:rtl/>
        </w:rPr>
        <w:t xml:space="preserve"> בגוף הנדחף, והדחף הזה הוא כח מניע והוא מניע את הגוף הנדחף גם אחר כך. הגוף ייעצר לבסוף כי כוחות החיכוך וכח הכובד יתנגדו ל</w:t>
      </w:r>
      <w:r w:rsidR="00124B43">
        <w:rPr>
          <w:rFonts w:hint="cs"/>
          <w:rtl/>
        </w:rPr>
        <w:t>כח ה</w:t>
      </w:r>
      <w:r w:rsidR="005B623A">
        <w:rPr>
          <w:rFonts w:hint="cs"/>
          <w:rtl/>
        </w:rPr>
        <w:t xml:space="preserve">דחף ובהדרגה יבטלו אותו. </w:t>
      </w:r>
      <w:r w:rsidR="00C06DFD">
        <w:rPr>
          <w:rFonts w:hint="cs"/>
          <w:rtl/>
        </w:rPr>
        <w:t>הה</w:t>
      </w:r>
      <w:r w:rsidR="00BA4436">
        <w:rPr>
          <w:rFonts w:hint="cs"/>
          <w:rtl/>
        </w:rPr>
        <w:t>ב</w:t>
      </w:r>
      <w:r w:rsidR="00C06DFD">
        <w:rPr>
          <w:rFonts w:hint="cs"/>
          <w:rtl/>
        </w:rPr>
        <w:t xml:space="preserve">דל בין ה'דחף' של אריסטו ופילופונוס </w:t>
      </w:r>
      <w:r w:rsidR="00BA4436">
        <w:rPr>
          <w:rFonts w:hint="cs"/>
          <w:rtl/>
        </w:rPr>
        <w:t xml:space="preserve">ובין </w:t>
      </w:r>
      <w:r w:rsidR="00C06DFD">
        <w:rPr>
          <w:rFonts w:hint="cs"/>
          <w:rtl/>
        </w:rPr>
        <w:t>חוק האינרציה של ניוטון הוא שלפי אריסטו</w:t>
      </w:r>
      <w:r w:rsidR="00BA4436">
        <w:rPr>
          <w:rFonts w:hint="cs"/>
          <w:rtl/>
        </w:rPr>
        <w:t xml:space="preserve"> </w:t>
      </w:r>
      <w:r w:rsidR="005B623A">
        <w:rPr>
          <w:rFonts w:hint="cs"/>
          <w:rtl/>
        </w:rPr>
        <w:t>אותו דחף הוא מצ</w:t>
      </w:r>
      <w:r w:rsidR="0028666C">
        <w:rPr>
          <w:rFonts w:hint="cs"/>
          <w:rtl/>
        </w:rPr>
        <w:t>יאות מופשטת</w:t>
      </w:r>
      <w:r w:rsidR="00BA4436">
        <w:rPr>
          <w:rFonts w:hint="cs"/>
          <w:rtl/>
        </w:rPr>
        <w:t xml:space="preserve"> חיה</w:t>
      </w:r>
      <w:r w:rsidR="0028666C">
        <w:rPr>
          <w:rFonts w:hint="cs"/>
          <w:rtl/>
        </w:rPr>
        <w:t>, יש מופשט</w:t>
      </w:r>
      <w:r w:rsidR="001C39F0">
        <w:rPr>
          <w:rFonts w:hint="cs"/>
          <w:rtl/>
        </w:rPr>
        <w:t xml:space="preserve"> שהוא כמו למשל נפש של אדם שנשארה אחריו אחרי המוות, </w:t>
      </w:r>
      <w:r w:rsidR="0028666C">
        <w:rPr>
          <w:rFonts w:hint="cs"/>
          <w:rtl/>
        </w:rPr>
        <w:t xml:space="preserve">שנמצא במקום שבו נמצאות הצורות המופשטות, </w:t>
      </w:r>
      <w:r w:rsidR="001C39F0">
        <w:rPr>
          <w:rFonts w:hint="cs"/>
          <w:rtl/>
        </w:rPr>
        <w:t xml:space="preserve">עולם האידיאות האפלטוניות שהן נפשות חיות בעלות שכל ורצון ותשוקה, </w:t>
      </w:r>
      <w:r w:rsidR="00194D03">
        <w:rPr>
          <w:rFonts w:hint="cs"/>
          <w:rtl/>
        </w:rPr>
        <w:t xml:space="preserve">הוא </w:t>
      </w:r>
      <w:r w:rsidR="0028666C">
        <w:rPr>
          <w:rFonts w:hint="cs"/>
          <w:rtl/>
        </w:rPr>
        <w:t>העולם המופשט שקובע את מציאותו וטבעו ותנועתו של העולם החומרי</w:t>
      </w:r>
      <w:r w:rsidR="00194D03">
        <w:rPr>
          <w:rFonts w:hint="cs"/>
          <w:rtl/>
        </w:rPr>
        <w:t xml:space="preserve"> שנגזר</w:t>
      </w:r>
      <w:r w:rsidR="00D346D2">
        <w:rPr>
          <w:rFonts w:hint="cs"/>
          <w:rtl/>
        </w:rPr>
        <w:t xml:space="preserve"> </w:t>
      </w:r>
      <w:r w:rsidR="00194D03">
        <w:rPr>
          <w:rFonts w:hint="cs"/>
          <w:rtl/>
        </w:rPr>
        <w:t>ממנו כמו צל שלו</w:t>
      </w:r>
      <w:r w:rsidR="0028666C">
        <w:rPr>
          <w:rFonts w:hint="cs"/>
          <w:rtl/>
        </w:rPr>
        <w:t xml:space="preserve">. </w:t>
      </w:r>
      <w:r w:rsidR="00387674">
        <w:rPr>
          <w:rFonts w:hint="cs"/>
          <w:rtl/>
        </w:rPr>
        <w:t>וזה לפי תפישתו המבוארת כאן ש</w:t>
      </w:r>
      <w:r w:rsidR="00194D03">
        <w:rPr>
          <w:rFonts w:hint="cs"/>
          <w:rtl/>
        </w:rPr>
        <w:t xml:space="preserve">גם הטבע של אבן ליפול למטה </w:t>
      </w:r>
      <w:r w:rsidR="00665686">
        <w:rPr>
          <w:rFonts w:hint="cs"/>
          <w:rtl/>
        </w:rPr>
        <w:t xml:space="preserve">(וכיו"ב כל כוחות הטבע) </w:t>
      </w:r>
      <w:r w:rsidR="00387674">
        <w:rPr>
          <w:rFonts w:hint="cs"/>
          <w:rtl/>
        </w:rPr>
        <w:t>ה</w:t>
      </w:r>
      <w:r w:rsidR="00665686">
        <w:rPr>
          <w:rFonts w:hint="cs"/>
          <w:rtl/>
        </w:rPr>
        <w:t>ו</w:t>
      </w:r>
      <w:r w:rsidR="00387674">
        <w:rPr>
          <w:rFonts w:hint="cs"/>
          <w:rtl/>
        </w:rPr>
        <w:t>א יש רוחני מופשט שקודם במציאותו למצי</w:t>
      </w:r>
      <w:r w:rsidR="00B547AF">
        <w:rPr>
          <w:rFonts w:hint="cs"/>
          <w:rtl/>
        </w:rPr>
        <w:t>א</w:t>
      </w:r>
      <w:r w:rsidR="00387674">
        <w:rPr>
          <w:rFonts w:hint="cs"/>
          <w:rtl/>
        </w:rPr>
        <w:t>ות הגוף, ו</w:t>
      </w:r>
      <w:r w:rsidR="00B547AF">
        <w:rPr>
          <w:rFonts w:hint="cs"/>
          <w:rtl/>
        </w:rPr>
        <w:t xml:space="preserve">לכן הוא קובע את מציאות הגוף. </w:t>
      </w:r>
      <w:r w:rsidR="00E1108E">
        <w:rPr>
          <w:rFonts w:hint="cs"/>
          <w:rtl/>
        </w:rPr>
        <w:t>את הכח שבאבן מרגישים כשאוחזים אותה ביד ולא שומטים אותה, האבן נ</w:t>
      </w:r>
      <w:r w:rsidR="00B43505">
        <w:rPr>
          <w:rFonts w:hint="cs"/>
          <w:rtl/>
        </w:rPr>
        <w:t>ח</w:t>
      </w:r>
      <w:r w:rsidR="00E1108E">
        <w:rPr>
          <w:rFonts w:hint="cs"/>
          <w:rtl/>
        </w:rPr>
        <w:t xml:space="preserve">ה אבל הכח שבה </w:t>
      </w:r>
      <w:r w:rsidR="00B43505">
        <w:rPr>
          <w:rFonts w:hint="cs"/>
          <w:rtl/>
        </w:rPr>
        <w:t xml:space="preserve">בכל זאת </w:t>
      </w:r>
      <w:r w:rsidR="00E1108E">
        <w:rPr>
          <w:rFonts w:hint="cs"/>
          <w:rtl/>
        </w:rPr>
        <w:t xml:space="preserve">פועל על היד האוחזת, </w:t>
      </w:r>
      <w:r w:rsidR="00B43505">
        <w:rPr>
          <w:rFonts w:hint="cs"/>
          <w:rtl/>
        </w:rPr>
        <w:t xml:space="preserve">כי יש לו מציאות מצד עצמו גם בלי תנועת האבן, </w:t>
      </w:r>
      <w:r w:rsidR="00004BEC">
        <w:rPr>
          <w:rFonts w:hint="cs"/>
          <w:rtl/>
        </w:rPr>
        <w:t xml:space="preserve">כלומר כח התנועה אינו רק עצם העובדה שהאבן נעה, אלא אם הוא מורגש גם בלי שהאבן נעה הרי יש לו מציאות מצד עצמו, </w:t>
      </w:r>
      <w:r w:rsidR="00E1108E">
        <w:rPr>
          <w:rFonts w:hint="cs"/>
          <w:rtl/>
        </w:rPr>
        <w:t>כך כתב אבן סינא לקמן 4.14</w:t>
      </w:r>
      <w:r w:rsidR="00B43505">
        <w:rPr>
          <w:rFonts w:hint="cs"/>
          <w:rtl/>
        </w:rPr>
        <w:t xml:space="preserve">. </w:t>
      </w:r>
    </w:p>
    <w:p w14:paraId="63284404" w14:textId="552E148F" w:rsidR="006D4D31" w:rsidRDefault="006D4D31" w:rsidP="00436923">
      <w:pPr>
        <w:pStyle w:val="FootnoteText"/>
        <w:rPr>
          <w:rtl/>
        </w:rPr>
      </w:pPr>
    </w:p>
    <w:p w14:paraId="48C83456" w14:textId="6140CBAF" w:rsidR="000328F8" w:rsidRDefault="00B547AF" w:rsidP="00436923">
      <w:pPr>
        <w:pStyle w:val="FootnoteText"/>
        <w:rPr>
          <w:rtl/>
        </w:rPr>
      </w:pPr>
      <w:r>
        <w:rPr>
          <w:rFonts w:hint="cs"/>
          <w:rtl/>
        </w:rPr>
        <w:t>כאן אבן סי</w:t>
      </w:r>
      <w:r w:rsidR="005C53CE">
        <w:rPr>
          <w:rFonts w:hint="cs"/>
          <w:rtl/>
        </w:rPr>
        <w:t>נא חולק על פילופונוס, ולקמן ד' י"</w:t>
      </w:r>
      <w:r w:rsidR="002A4E4C">
        <w:rPr>
          <w:rFonts w:hint="cs"/>
          <w:rtl/>
        </w:rPr>
        <w:t>ד</w:t>
      </w:r>
      <w:r w:rsidR="005C53CE">
        <w:rPr>
          <w:rFonts w:hint="cs"/>
          <w:rtl/>
        </w:rPr>
        <w:t xml:space="preserve"> מסכים איתו. </w:t>
      </w:r>
    </w:p>
    <w:p w14:paraId="6C2AAAFD" w14:textId="0DE56CDE" w:rsidR="003F79AE" w:rsidRDefault="000328F8" w:rsidP="00F13D2C">
      <w:pPr>
        <w:pStyle w:val="FootnoteText"/>
        <w:rPr>
          <w:rtl/>
        </w:rPr>
      </w:pPr>
      <w:r>
        <w:rPr>
          <w:rFonts w:hint="cs"/>
          <w:rtl/>
        </w:rPr>
        <w:t xml:space="preserve">לקמן מדובר על דחף שגוף חומרי יצר בגוף חומרי אחר, </w:t>
      </w:r>
      <w:r w:rsidR="00B54106">
        <w:rPr>
          <w:rFonts w:hint="cs"/>
          <w:rtl/>
        </w:rPr>
        <w:t>התנועה שבגוף הדוחף היא ישות מופשטת</w:t>
      </w:r>
      <w:r w:rsidR="00042CA5">
        <w:rPr>
          <w:rFonts w:hint="cs"/>
          <w:rtl/>
        </w:rPr>
        <w:t xml:space="preserve"> חיה ומטאפיזית</w:t>
      </w:r>
      <w:r w:rsidR="00377E3D">
        <w:rPr>
          <w:rFonts w:hint="cs"/>
          <w:rtl/>
        </w:rPr>
        <w:t xml:space="preserve"> </w:t>
      </w:r>
      <w:r w:rsidR="0067525B">
        <w:rPr>
          <w:rFonts w:hint="cs"/>
          <w:rtl/>
        </w:rPr>
        <w:t>והיא מועברת לגוף הנדחף</w:t>
      </w:r>
      <w:r w:rsidR="00B50470">
        <w:rPr>
          <w:rFonts w:hint="cs"/>
          <w:rtl/>
        </w:rPr>
        <w:t xml:space="preserve"> </w:t>
      </w:r>
      <w:r w:rsidR="00184692">
        <w:rPr>
          <w:rFonts w:hint="cs"/>
          <w:rtl/>
        </w:rPr>
        <w:t xml:space="preserve"> (כך פילופונוס גם מבין את התופעה של 'אנרגיה' ולמשל האור, וכמו שהבאתי מדבריו ב"</w:t>
      </w:r>
      <w:hyperlink r:id="rId101" w:history="1">
        <w:r w:rsidR="00184692" w:rsidRPr="008C7D3F">
          <w:rPr>
            <w:rStyle w:val="Hyperlink"/>
            <w:rFonts w:hint="cs"/>
            <w:rtl/>
          </w:rPr>
          <w:t>ביאור על מורה נבוכים</w:t>
        </w:r>
      </w:hyperlink>
      <w:r w:rsidR="00184692">
        <w:rPr>
          <w:rFonts w:hint="cs"/>
          <w:rtl/>
        </w:rPr>
        <w:t>". פילופונוס מאיר את דעת אריסטו בעניין אנרגיית האור, ויש לזה שייכות רבה עם ביאורו בעניין כח התנועה. בביאור על מורה נבוכים שם כתבתי קצת חוסר דיוקים בנושא של תנועת הקליע לפי אריסטו, אבל עצם הביאור באנרגיה ובאור ולפי זה בתנועה, הוא נכון ויסודי)</w:t>
      </w:r>
      <w:r w:rsidR="0067525B">
        <w:rPr>
          <w:rFonts w:hint="cs"/>
          <w:rtl/>
        </w:rPr>
        <w:t xml:space="preserve">. </w:t>
      </w:r>
      <w:r w:rsidR="00517DA7">
        <w:rPr>
          <w:rFonts w:hint="cs"/>
          <w:rtl/>
        </w:rPr>
        <w:t>זה דומה למה</w:t>
      </w:r>
      <w:r w:rsidR="0067525B">
        <w:rPr>
          <w:rFonts w:hint="cs"/>
          <w:rtl/>
        </w:rPr>
        <w:t xml:space="preserve"> שהאב מעביר את חייו וצורתו המופשטת לולד</w:t>
      </w:r>
      <w:r w:rsidR="00517DA7">
        <w:rPr>
          <w:rFonts w:hint="cs"/>
          <w:rtl/>
        </w:rPr>
        <w:t xml:space="preserve"> על ידי שהוא</w:t>
      </w:r>
      <w:r w:rsidR="00CD4B1D">
        <w:rPr>
          <w:rFonts w:hint="cs"/>
          <w:rtl/>
        </w:rPr>
        <w:t xml:space="preserve"> </w:t>
      </w:r>
      <w:r w:rsidR="00517DA7">
        <w:rPr>
          <w:rFonts w:hint="cs"/>
          <w:rtl/>
        </w:rPr>
        <w:t>מנענע ומחמם את ה</w:t>
      </w:r>
      <w:r w:rsidR="00CD4B1D">
        <w:rPr>
          <w:rFonts w:hint="cs"/>
          <w:rtl/>
        </w:rPr>
        <w:t>ביצית</w:t>
      </w:r>
      <w:r w:rsidR="00517DA7">
        <w:rPr>
          <w:rFonts w:hint="cs"/>
          <w:rtl/>
        </w:rPr>
        <w:t xml:space="preserve"> שברחם </w:t>
      </w:r>
      <w:r w:rsidR="00CD4B1D">
        <w:rPr>
          <w:rFonts w:hint="cs"/>
          <w:rtl/>
        </w:rPr>
        <w:t>האישה</w:t>
      </w:r>
      <w:r w:rsidR="00905F06">
        <w:rPr>
          <w:rFonts w:hint="cs"/>
          <w:rtl/>
        </w:rPr>
        <w:t>, או למה שמנגן מעביר תחושה נפשית לשומע</w:t>
      </w:r>
      <w:r w:rsidR="00141A4A">
        <w:rPr>
          <w:rFonts w:hint="cs"/>
          <w:rtl/>
        </w:rPr>
        <w:t>, או למה שאדם מעורר תנועה רגשית במגע של חיבוק עם זולתו</w:t>
      </w:r>
      <w:r w:rsidR="00B54106">
        <w:rPr>
          <w:rFonts w:hint="cs"/>
          <w:rtl/>
        </w:rPr>
        <w:t>.</w:t>
      </w:r>
    </w:p>
    <w:p w14:paraId="55E8938B" w14:textId="5D985CDC" w:rsidR="007B5E95" w:rsidRDefault="003F79AE" w:rsidP="00F13D2C">
      <w:pPr>
        <w:pStyle w:val="FootnoteText"/>
        <w:rPr>
          <w:rtl/>
        </w:rPr>
      </w:pPr>
      <w:r>
        <w:rPr>
          <w:rFonts w:hint="cs"/>
          <w:rtl/>
        </w:rPr>
        <w:t>כאן מדובר על עניין שונה, כאן מדובר לא על גוף חומרי שמעביר 'דחף'</w:t>
      </w:r>
      <w:r w:rsidR="00D60FA3">
        <w:rPr>
          <w:rFonts w:hint="cs"/>
          <w:rtl/>
        </w:rPr>
        <w:t xml:space="preserve"> לגוף חומרי אחר, כמו יד שזורקת אבן ומעבירה אליה מציאות של 'דחף'. </w:t>
      </w:r>
      <w:r>
        <w:rPr>
          <w:rFonts w:hint="cs"/>
          <w:rtl/>
        </w:rPr>
        <w:t>אלא</w:t>
      </w:r>
      <w:r w:rsidR="00D60FA3">
        <w:rPr>
          <w:rFonts w:hint="cs"/>
          <w:rtl/>
        </w:rPr>
        <w:t xml:space="preserve"> </w:t>
      </w:r>
      <w:r w:rsidR="00D82F7F">
        <w:rPr>
          <w:rFonts w:hint="cs"/>
          <w:rtl/>
        </w:rPr>
        <w:t xml:space="preserve">מדובר כאן </w:t>
      </w:r>
      <w:r>
        <w:rPr>
          <w:rFonts w:hint="cs"/>
          <w:rtl/>
        </w:rPr>
        <w:t>על 'דחף' שהנפש יוצרת</w:t>
      </w:r>
      <w:r w:rsidR="00184692">
        <w:rPr>
          <w:rFonts w:hint="cs"/>
          <w:rtl/>
        </w:rPr>
        <w:t xml:space="preserve"> </w:t>
      </w:r>
      <w:r w:rsidR="00D82F7F">
        <w:rPr>
          <w:rFonts w:hint="cs"/>
          <w:rtl/>
        </w:rPr>
        <w:t>מכח חיותה הנפשית</w:t>
      </w:r>
      <w:r w:rsidR="00C253DA">
        <w:rPr>
          <w:rFonts w:hint="cs"/>
          <w:rtl/>
        </w:rPr>
        <w:t xml:space="preserve"> לחוד</w:t>
      </w:r>
      <w:r w:rsidR="00D82F7F">
        <w:rPr>
          <w:rFonts w:hint="cs"/>
          <w:rtl/>
        </w:rPr>
        <w:t xml:space="preserve">, </w:t>
      </w:r>
      <w:r>
        <w:rPr>
          <w:rFonts w:hint="cs"/>
          <w:rtl/>
        </w:rPr>
        <w:t>ומעבירה אותו לגוף, והדחף הזה</w:t>
      </w:r>
      <w:r w:rsidR="00D82F7F">
        <w:rPr>
          <w:rFonts w:hint="cs"/>
          <w:rtl/>
        </w:rPr>
        <w:t xml:space="preserve"> </w:t>
      </w:r>
      <w:r>
        <w:rPr>
          <w:rFonts w:hint="cs"/>
          <w:rtl/>
        </w:rPr>
        <w:t>משתלט על הטבע של הגוף ומפעיל אות</w:t>
      </w:r>
      <w:r w:rsidR="00431644">
        <w:rPr>
          <w:rFonts w:hint="cs"/>
          <w:rtl/>
        </w:rPr>
        <w:t>ו</w:t>
      </w:r>
      <w:r>
        <w:rPr>
          <w:rFonts w:hint="cs"/>
          <w:rtl/>
        </w:rPr>
        <w:t>.</w:t>
      </w:r>
      <w:r w:rsidR="00431644">
        <w:rPr>
          <w:rFonts w:hint="cs"/>
          <w:rtl/>
        </w:rPr>
        <w:t xml:space="preserve"> לקמן מדובר על דחיפה של היד את האבן שהתחילה להניע את האבן באופן פשוט כל זמן שהאבן נגעה ביד, </w:t>
      </w:r>
      <w:r w:rsidR="006A286E">
        <w:rPr>
          <w:rFonts w:hint="cs"/>
          <w:rtl/>
        </w:rPr>
        <w:t xml:space="preserve">בדרך של גוף דוחף גוף כשהוא נוגע בו. ההנעה </w:t>
      </w:r>
      <w:r w:rsidR="003450A5">
        <w:rPr>
          <w:rFonts w:hint="cs"/>
          <w:rtl/>
        </w:rPr>
        <w:t xml:space="preserve">הפשוטה </w:t>
      </w:r>
      <w:r w:rsidR="006A286E">
        <w:rPr>
          <w:rFonts w:hint="cs"/>
          <w:rtl/>
        </w:rPr>
        <w:t>הזו הכניסה באבן</w:t>
      </w:r>
      <w:r w:rsidR="003450A5">
        <w:rPr>
          <w:rFonts w:hint="cs"/>
          <w:rtl/>
        </w:rPr>
        <w:t xml:space="preserve"> מציאות של</w:t>
      </w:r>
      <w:r w:rsidR="006A286E">
        <w:rPr>
          <w:rFonts w:hint="cs"/>
          <w:rtl/>
        </w:rPr>
        <w:t xml:space="preserve"> 'דחף' מופשט שממשיך להיות כח מניע גם אחרי שהאבן ניתקה ממגעה ביד. </w:t>
      </w:r>
      <w:r w:rsidR="003450A5">
        <w:rPr>
          <w:rFonts w:hint="cs"/>
          <w:rtl/>
        </w:rPr>
        <w:t xml:space="preserve">כאן הדחף שהנפש מעבירה לגוף לא התחיל מהנעה פשוטה על ידי דחיפה של גוף חומרי את הגוף החומרי האחר. </w:t>
      </w:r>
      <w:r w:rsidR="007329CF">
        <w:rPr>
          <w:rFonts w:hint="cs"/>
          <w:rtl/>
        </w:rPr>
        <w:t>אלא הוא התחיל כ'דחף' מראשיתו ונוצר כ'דחף' על ידי הנפש ומשם מועבר לגוף בלי שהיה בשום שלב מגע חומרי של גוף בגוף.</w:t>
      </w:r>
    </w:p>
    <w:p w14:paraId="287A7065" w14:textId="548A3A3A" w:rsidR="000F50B4" w:rsidRDefault="007329CF" w:rsidP="00F13D2C">
      <w:pPr>
        <w:pStyle w:val="FootnoteText"/>
        <w:rPr>
          <w:rtl/>
        </w:rPr>
      </w:pPr>
      <w:r>
        <w:rPr>
          <w:rFonts w:hint="cs"/>
          <w:rtl/>
        </w:rPr>
        <w:t xml:space="preserve"> </w:t>
      </w:r>
    </w:p>
    <w:p w14:paraId="574FC7BF" w14:textId="6E37D74E" w:rsidR="00783D93" w:rsidRDefault="00E7005D" w:rsidP="00F13D2C">
      <w:pPr>
        <w:pStyle w:val="FootnoteText"/>
        <w:rPr>
          <w:rtl/>
        </w:rPr>
      </w:pPr>
      <w:r>
        <w:rPr>
          <w:rFonts w:hint="cs"/>
          <w:rtl/>
        </w:rPr>
        <w:t xml:space="preserve">הקושיא של אבן סינא כאן על פילופונוס היא </w:t>
      </w:r>
      <w:r w:rsidR="007B5E95">
        <w:rPr>
          <w:rFonts w:hint="cs"/>
          <w:rtl/>
        </w:rPr>
        <w:t>כך,</w:t>
      </w:r>
      <w:r>
        <w:rPr>
          <w:rFonts w:hint="cs"/>
          <w:rtl/>
        </w:rPr>
        <w:t xml:space="preserve"> </w:t>
      </w:r>
      <w:r w:rsidR="001425B6">
        <w:rPr>
          <w:rFonts w:hint="cs"/>
          <w:rtl/>
        </w:rPr>
        <w:t xml:space="preserve">לפי פילופונוס יש דמיון בין מה שאבן שנעה דוחפת אבן אחרת ומעבירה אליה את הישות הרוחנית החיה שהיא ה'דחף', ובין מה שהנפש של ראובן מעבירה </w:t>
      </w:r>
      <w:r w:rsidR="002E2853">
        <w:rPr>
          <w:rFonts w:hint="cs"/>
          <w:rtl/>
        </w:rPr>
        <w:t>'</w:t>
      </w:r>
      <w:r w:rsidR="001425B6">
        <w:rPr>
          <w:rFonts w:hint="cs"/>
          <w:rtl/>
        </w:rPr>
        <w:t>דחף</w:t>
      </w:r>
      <w:r w:rsidR="002E2853">
        <w:rPr>
          <w:rFonts w:hint="cs"/>
          <w:rtl/>
        </w:rPr>
        <w:t>' שנובע ממנה</w:t>
      </w:r>
      <w:r w:rsidR="001425B6">
        <w:rPr>
          <w:rFonts w:hint="cs"/>
          <w:rtl/>
        </w:rPr>
        <w:t xml:space="preserve"> לגוף של ראובן שהיא שורה בו וכך מניעה את איבריו החומריים.</w:t>
      </w:r>
    </w:p>
    <w:p w14:paraId="0B7304D1" w14:textId="1AF3CD4A" w:rsidR="00B70A13" w:rsidRDefault="002E2853" w:rsidP="00F13D2C">
      <w:pPr>
        <w:pStyle w:val="FootnoteText"/>
        <w:rPr>
          <w:rtl/>
        </w:rPr>
      </w:pPr>
      <w:r>
        <w:rPr>
          <w:rFonts w:hint="cs"/>
          <w:rtl/>
        </w:rPr>
        <w:t>אריסטו דיבר על הטבע שהוא התחלת תנועה שנמצאת בגוף במהותו</w:t>
      </w:r>
      <w:r w:rsidR="009E0565">
        <w:rPr>
          <w:rFonts w:hint="cs"/>
          <w:rtl/>
        </w:rPr>
        <w:t xml:space="preserve"> ולא במקרה,</w:t>
      </w:r>
      <w:r>
        <w:rPr>
          <w:rFonts w:hint="cs"/>
          <w:rtl/>
        </w:rPr>
        <w:t xml:space="preserve"> והיא ראשונית. </w:t>
      </w:r>
      <w:r w:rsidR="009E0565">
        <w:rPr>
          <w:rFonts w:hint="cs"/>
          <w:rtl/>
        </w:rPr>
        <w:t xml:space="preserve">כשאבן נעה דוחפת אבן אחרת, האבן הנדחפת נעה שלא לפי טבעה המהותי הראשוני. </w:t>
      </w:r>
      <w:r w:rsidR="00567150">
        <w:rPr>
          <w:rFonts w:hint="cs"/>
          <w:rtl/>
        </w:rPr>
        <w:t>טבעה הנמצא במהותה ו</w:t>
      </w:r>
      <w:r w:rsidR="00A46C49">
        <w:rPr>
          <w:rFonts w:hint="cs"/>
          <w:rtl/>
        </w:rPr>
        <w:t>לא</w:t>
      </w:r>
      <w:r w:rsidR="00567150">
        <w:rPr>
          <w:rFonts w:hint="cs"/>
          <w:rtl/>
        </w:rPr>
        <w:t xml:space="preserve"> באופן מקרי לה, שמניע אותה בלי אמצעי </w:t>
      </w:r>
      <w:r w:rsidR="00AD3E72">
        <w:rPr>
          <w:rFonts w:hint="cs"/>
          <w:rtl/>
        </w:rPr>
        <w:t xml:space="preserve">המתווך </w:t>
      </w:r>
      <w:r w:rsidR="00567150">
        <w:rPr>
          <w:rFonts w:hint="cs"/>
          <w:rtl/>
        </w:rPr>
        <w:t xml:space="preserve">בין הדחף לבינה, הוא לנוח </w:t>
      </w:r>
      <w:r w:rsidR="00821E46">
        <w:t>)</w:t>
      </w:r>
      <w:r w:rsidR="00567150">
        <w:rPr>
          <w:rFonts w:hint="cs"/>
          <w:rtl/>
        </w:rPr>
        <w:t xml:space="preserve">או לפול בקו ישר לכיוון מרכז הארץ </w:t>
      </w:r>
      <w:r w:rsidR="00AD3E72">
        <w:rPr>
          <w:rFonts w:hint="cs"/>
          <w:rtl/>
        </w:rPr>
        <w:t xml:space="preserve">אל </w:t>
      </w:r>
      <w:r w:rsidR="00567150">
        <w:rPr>
          <w:rFonts w:hint="cs"/>
          <w:rtl/>
        </w:rPr>
        <w:t>מקום מנוחתה</w:t>
      </w:r>
      <w:r w:rsidR="00821E46">
        <w:t>(</w:t>
      </w:r>
      <w:r w:rsidR="00567150">
        <w:rPr>
          <w:rFonts w:hint="cs"/>
          <w:rtl/>
        </w:rPr>
        <w:t xml:space="preserve">. </w:t>
      </w:r>
      <w:r w:rsidR="00AD3E72">
        <w:rPr>
          <w:rFonts w:hint="cs"/>
          <w:rtl/>
        </w:rPr>
        <w:t>כשהאבן הדוחפת מניעה אותה לכיוון אחר, ההנעה הזו היא על ידי שהאבן הדוחפת מתחברת אית</w:t>
      </w:r>
      <w:r w:rsidR="001F32A3">
        <w:rPr>
          <w:rFonts w:hint="cs"/>
          <w:rtl/>
        </w:rPr>
        <w:t>ה</w:t>
      </w:r>
      <w:r w:rsidR="00AD3E72">
        <w:rPr>
          <w:rFonts w:hint="cs"/>
          <w:rtl/>
        </w:rPr>
        <w:t xml:space="preserve"> ו</w:t>
      </w:r>
      <w:r w:rsidR="007D795D">
        <w:rPr>
          <w:rFonts w:hint="cs"/>
          <w:rtl/>
        </w:rPr>
        <w:t>לעניין תנועה נעשית אחד איתה</w:t>
      </w:r>
      <w:r w:rsidR="001F32A3">
        <w:rPr>
          <w:rFonts w:hint="cs"/>
          <w:rtl/>
        </w:rPr>
        <w:t>, כאילו</w:t>
      </w:r>
      <w:r w:rsidR="002049D8">
        <w:t xml:space="preserve"> </w:t>
      </w:r>
      <w:r w:rsidR="002049D8">
        <w:rPr>
          <w:rFonts w:hint="cs"/>
          <w:rtl/>
        </w:rPr>
        <w:t>נקשרה בחבלים</w:t>
      </w:r>
      <w:r w:rsidR="001F32A3">
        <w:rPr>
          <w:rFonts w:hint="cs"/>
          <w:rtl/>
        </w:rPr>
        <w:t xml:space="preserve"> להיות אחד איתה, כמו</w:t>
      </w:r>
      <w:r w:rsidR="00863D67">
        <w:rPr>
          <w:rFonts w:hint="cs"/>
          <w:rtl/>
        </w:rPr>
        <w:t xml:space="preserve"> </w:t>
      </w:r>
      <w:r w:rsidR="001F32A3">
        <w:rPr>
          <w:rFonts w:hint="cs"/>
          <w:rtl/>
        </w:rPr>
        <w:t xml:space="preserve">שמבואר באריסטו במטפיזיקה דלתא </w:t>
      </w:r>
      <w:r w:rsidR="002049D8">
        <w:rPr>
          <w:rFonts w:hint="cs"/>
          <w:rtl/>
        </w:rPr>
        <w:t>פרק ו' (עיין בנספח ביאור בזה</w:t>
      </w:r>
      <w:r w:rsidR="00E165F2">
        <w:rPr>
          <w:rFonts w:hint="cs"/>
          <w:rtl/>
        </w:rPr>
        <w:t>)</w:t>
      </w:r>
      <w:r w:rsidR="001F32A3">
        <w:rPr>
          <w:rFonts w:hint="cs"/>
          <w:rtl/>
        </w:rPr>
        <w:t xml:space="preserve">. </w:t>
      </w:r>
      <w:r w:rsidR="00863D67">
        <w:rPr>
          <w:rFonts w:hint="cs"/>
          <w:rtl/>
        </w:rPr>
        <w:t xml:space="preserve">וכעת האבן הנדחפת היא אחד מבחינה חומרית עם האבן הדוחפת ולכן נעה איתה. </w:t>
      </w:r>
      <w:r w:rsidR="00BA49D2">
        <w:rPr>
          <w:rFonts w:hint="cs"/>
          <w:rtl/>
        </w:rPr>
        <w:t>למשל אם ראובן לוקח את שמעון וקושר אותו</w:t>
      </w:r>
      <w:r w:rsidR="00D11BCC">
        <w:rPr>
          <w:rFonts w:hint="cs"/>
          <w:rtl/>
        </w:rPr>
        <w:t xml:space="preserve"> היטב</w:t>
      </w:r>
      <w:r w:rsidR="00BA49D2">
        <w:rPr>
          <w:rFonts w:hint="cs"/>
          <w:rtl/>
        </w:rPr>
        <w:t xml:space="preserve"> בחבלים</w:t>
      </w:r>
      <w:r w:rsidR="00D11BCC">
        <w:rPr>
          <w:rFonts w:hint="cs"/>
          <w:rtl/>
        </w:rPr>
        <w:t xml:space="preserve"> עד שאינו יכול לנוע,</w:t>
      </w:r>
      <w:r w:rsidR="00BA49D2">
        <w:rPr>
          <w:rFonts w:hint="cs"/>
          <w:rtl/>
        </w:rPr>
        <w:t xml:space="preserve"> ו</w:t>
      </w:r>
      <w:r w:rsidR="00D11BCC">
        <w:rPr>
          <w:rFonts w:hint="cs"/>
          <w:rtl/>
        </w:rPr>
        <w:t>אוחז בגופו כמו במקל ומכה בו את הכד והכד נשבר, ודאי ראובן שבר את הכד ו</w:t>
      </w:r>
      <w:r w:rsidR="00B70A13">
        <w:rPr>
          <w:rFonts w:hint="cs"/>
          <w:rtl/>
        </w:rPr>
        <w:t>לא</w:t>
      </w:r>
      <w:r w:rsidR="00D11BCC">
        <w:rPr>
          <w:rFonts w:hint="cs"/>
          <w:rtl/>
        </w:rPr>
        <w:t xml:space="preserve"> שמעון. </w:t>
      </w:r>
      <w:r w:rsidR="00B70A13">
        <w:rPr>
          <w:rFonts w:hint="cs"/>
          <w:rtl/>
        </w:rPr>
        <w:t>הטעם הוא שהגוף של שמעון בטל מלהיות גוף עצמאי שנע לפי טבעו או לפי נפשו, ומתאחד</w:t>
      </w:r>
      <w:r w:rsidR="00E165F2">
        <w:rPr>
          <w:rFonts w:hint="cs"/>
          <w:rtl/>
        </w:rPr>
        <w:t xml:space="preserve"> עד כמה שזה נוגע לתנועה</w:t>
      </w:r>
      <w:r w:rsidR="00B70A13">
        <w:rPr>
          <w:rFonts w:hint="cs"/>
          <w:rtl/>
        </w:rPr>
        <w:t xml:space="preserve"> עם הגוף של ראובן ונע מכח תנועת הגוף של ראובן, והרי הוא נעשה גופו של ראובן</w:t>
      </w:r>
      <w:r w:rsidR="007D795D">
        <w:rPr>
          <w:rFonts w:hint="cs"/>
          <w:rtl/>
        </w:rPr>
        <w:t xml:space="preserve"> ממש, כי ראובן הוא האחראי לתוצאות של ההנעה וכגון שאחז בשמעון והכה עם גופו של שמעון בכד ושבר אותו, ראובן משלם את דמי הכד, </w:t>
      </w:r>
      <w:r w:rsidR="00816707">
        <w:rPr>
          <w:rFonts w:hint="cs"/>
          <w:rtl/>
        </w:rPr>
        <w:t>כי גופו של שמעון הוא אחד עם גופו של ראובן לעניין תנועה</w:t>
      </w:r>
      <w:r w:rsidR="00B70A13">
        <w:rPr>
          <w:rFonts w:hint="cs"/>
          <w:rtl/>
        </w:rPr>
        <w:t>.</w:t>
      </w:r>
      <w:r w:rsidR="009D1989">
        <w:rPr>
          <w:rFonts w:hint="cs"/>
          <w:rtl/>
        </w:rPr>
        <w:t xml:space="preserve"> וזה מכח החבל הקושר, ותנועת הדחיפה פועלת באותו אופן כמו החבל. </w:t>
      </w:r>
      <w:r w:rsidR="00E97796">
        <w:rPr>
          <w:rFonts w:hint="cs"/>
          <w:rtl/>
        </w:rPr>
        <w:t xml:space="preserve">היא מכריחה את הנדחף לנוע לפי הדוחף כאילו קשרה אותו לידו של הדוחף. </w:t>
      </w:r>
    </w:p>
    <w:p w14:paraId="6264C85F" w14:textId="66D78E5D" w:rsidR="005835F7" w:rsidRDefault="005C4DD6" w:rsidP="007E3D75">
      <w:pPr>
        <w:pStyle w:val="FootnoteText"/>
        <w:rPr>
          <w:rtl/>
        </w:rPr>
      </w:pPr>
      <w:r>
        <w:rPr>
          <w:rFonts w:hint="cs"/>
          <w:rtl/>
        </w:rPr>
        <w:t>תנועה כזו היא מקרית לגבי שמעון, היא לא נובעת ממהותו וטבעו ונפשו, ולכן גם לא נחשבת תנועה שמניעה אותו באופן בלתי אמצעי</w:t>
      </w:r>
      <w:r w:rsidR="00A51867">
        <w:rPr>
          <w:rFonts w:hint="cs"/>
          <w:rtl/>
        </w:rPr>
        <w:t xml:space="preserve"> (אם </w:t>
      </w:r>
      <w:r w:rsidR="009D11AF">
        <w:rPr>
          <w:rFonts w:hint="cs"/>
          <w:rtl/>
        </w:rPr>
        <w:t>ראובן מניע את שמעון הקשור, הוא אוחז בו ישירות ואין אמצעי ביניהם, הכוונה ב"בלתי אמצעי" כאן היא שתנועת ראובן היא האמצעי להניע את שמעון, כי התחלת התנועה אינה מטבעו העצמי של שמעון</w:t>
      </w:r>
      <w:r>
        <w:rPr>
          <w:rFonts w:hint="cs"/>
          <w:rtl/>
        </w:rPr>
        <w:t xml:space="preserve">. </w:t>
      </w:r>
      <w:r w:rsidR="003D3391">
        <w:rPr>
          <w:rFonts w:hint="cs"/>
          <w:rtl/>
        </w:rPr>
        <w:t xml:space="preserve">כשהאבן נופלת זו תנועה בלתי אמצעית, כי ה'דחף' של אבן ליפול, שזה כח החיים שבה, נפשה, </w:t>
      </w:r>
      <w:r w:rsidR="00E06BFF">
        <w:rPr>
          <w:rFonts w:hint="cs"/>
          <w:rtl/>
        </w:rPr>
        <w:t>עצם הווייתה</w:t>
      </w:r>
      <w:r w:rsidR="003F1A0A">
        <w:rPr>
          <w:rFonts w:hint="cs"/>
          <w:rtl/>
        </w:rPr>
        <w:t xml:space="preserve"> (זו הווייתה המטפיזית שהיא שורש הווייתה החומרית), </w:t>
      </w:r>
      <w:r w:rsidR="00300171">
        <w:rPr>
          <w:rFonts w:hint="cs"/>
          <w:rtl/>
        </w:rPr>
        <w:t>הוא זה שמניע אותה</w:t>
      </w:r>
      <w:r w:rsidR="009C7E60">
        <w:rPr>
          <w:rFonts w:hint="cs"/>
          <w:rtl/>
        </w:rPr>
        <w:t xml:space="preserve">, </w:t>
      </w:r>
      <w:r w:rsidR="00300171">
        <w:rPr>
          <w:rFonts w:hint="cs"/>
          <w:rtl/>
        </w:rPr>
        <w:t>לכן המניע והמונע אינם דברים נפרדים כלל ו</w:t>
      </w:r>
      <w:r w:rsidR="007E3D75">
        <w:rPr>
          <w:rFonts w:hint="cs"/>
          <w:rtl/>
        </w:rPr>
        <w:t xml:space="preserve">לכן </w:t>
      </w:r>
      <w:r w:rsidR="00300171">
        <w:rPr>
          <w:rFonts w:hint="cs"/>
          <w:rtl/>
        </w:rPr>
        <w:t>זה</w:t>
      </w:r>
      <w:r w:rsidR="007E3D75">
        <w:rPr>
          <w:rFonts w:hint="cs"/>
        </w:rPr>
        <w:t xml:space="preserve"> </w:t>
      </w:r>
      <w:r w:rsidR="00300171">
        <w:rPr>
          <w:rFonts w:hint="cs"/>
          <w:rtl/>
        </w:rPr>
        <w:t>נקרא תנועה בלתי אמצעית</w:t>
      </w:r>
      <w:r w:rsidR="00192220">
        <w:rPr>
          <w:rFonts w:hint="cs"/>
          <w:rtl/>
        </w:rPr>
        <w:t xml:space="preserve"> (לכן נפשו, רצונו ומחשבתו, של </w:t>
      </w:r>
      <w:r w:rsidR="00290144">
        <w:rPr>
          <w:rFonts w:hint="cs"/>
          <w:rtl/>
        </w:rPr>
        <w:t>שמעו</w:t>
      </w:r>
      <w:r w:rsidR="00192220">
        <w:rPr>
          <w:rFonts w:hint="cs"/>
          <w:rtl/>
        </w:rPr>
        <w:t>ן יכולים להניע את בשרו ואינם יכולים להניע בכח המחשבה חפץ אחר שמונח על הקרקע. כי נפשו וגופו של ראובן הם בחינות של אותה הווייה עצמה</w:t>
      </w:r>
      <w:r w:rsidR="006474FD">
        <w:rPr>
          <w:rFonts w:hint="cs"/>
          <w:rtl/>
        </w:rPr>
        <w:t xml:space="preserve"> והוא מניע את עצמו ולא משהו שונה מעצמו</w:t>
      </w:r>
      <w:r w:rsidR="00192220">
        <w:rPr>
          <w:rFonts w:hint="cs"/>
          <w:rtl/>
        </w:rPr>
        <w:t>).</w:t>
      </w:r>
    </w:p>
    <w:p w14:paraId="1A3356AB" w14:textId="5A2C63B3" w:rsidR="000A6C1C" w:rsidRDefault="001C5086" w:rsidP="007E3D75">
      <w:pPr>
        <w:pStyle w:val="FootnoteText"/>
        <w:rPr>
          <w:rtl/>
        </w:rPr>
      </w:pPr>
      <w:r>
        <w:rPr>
          <w:rFonts w:hint="cs"/>
          <w:rtl/>
        </w:rPr>
        <w:t xml:space="preserve">אם הנפש </w:t>
      </w:r>
      <w:r w:rsidR="00A91101">
        <w:rPr>
          <w:rFonts w:hint="cs"/>
          <w:rtl/>
        </w:rPr>
        <w:t xml:space="preserve">של שמעון </w:t>
      </w:r>
      <w:r>
        <w:rPr>
          <w:rFonts w:hint="cs"/>
          <w:rtl/>
        </w:rPr>
        <w:t xml:space="preserve">יוצרת 'דחף' ומכח זה היא מניעה את הגוף </w:t>
      </w:r>
      <w:r w:rsidR="00A91101">
        <w:rPr>
          <w:rFonts w:hint="cs"/>
          <w:rtl/>
        </w:rPr>
        <w:t xml:space="preserve">של שמעון </w:t>
      </w:r>
      <w:r>
        <w:rPr>
          <w:rFonts w:hint="cs"/>
          <w:rtl/>
        </w:rPr>
        <w:t>שהיא שורה בו, זה</w:t>
      </w:r>
      <w:r w:rsidR="00A91101">
        <w:rPr>
          <w:rFonts w:hint="cs"/>
          <w:rtl/>
        </w:rPr>
        <w:t xml:space="preserve"> לפי ההסבר של פילופונוס כאן</w:t>
      </w:r>
      <w:r>
        <w:rPr>
          <w:rFonts w:hint="cs"/>
          <w:rtl/>
        </w:rPr>
        <w:t xml:space="preserve"> כמו שאבן א' דוחפת את אבן ב', </w:t>
      </w:r>
      <w:r w:rsidR="00A91101">
        <w:rPr>
          <w:rFonts w:hint="cs"/>
          <w:rtl/>
        </w:rPr>
        <w:t>ו</w:t>
      </w:r>
      <w:r>
        <w:rPr>
          <w:rFonts w:hint="cs"/>
          <w:rtl/>
        </w:rPr>
        <w:t>מעבירה אליה דחף. זו לא התחלת תנועה מהותית ראשונית של אבן ב' שיכול</w:t>
      </w:r>
      <w:r w:rsidR="00A91101">
        <w:rPr>
          <w:rFonts w:hint="cs"/>
          <w:rtl/>
        </w:rPr>
        <w:t>ה</w:t>
      </w:r>
      <w:r>
        <w:rPr>
          <w:rFonts w:hint="cs"/>
          <w:rtl/>
        </w:rPr>
        <w:t xml:space="preserve"> להיחשב כטבע של אבן ב'</w:t>
      </w:r>
      <w:r w:rsidR="009D4150">
        <w:rPr>
          <w:rFonts w:hint="cs"/>
          <w:rtl/>
        </w:rPr>
        <w:t>, כך גם הנפש לא יכולה להיחשב כהתחלת תנועה מהותית וראשונית, כלומר בלתי אמצעית, של הגוף שהיא עצמה שורה בו</w:t>
      </w:r>
      <w:r>
        <w:rPr>
          <w:rFonts w:hint="cs"/>
          <w:rtl/>
        </w:rPr>
        <w:t>.</w:t>
      </w:r>
      <w:r w:rsidR="00DD680C">
        <w:rPr>
          <w:rFonts w:hint="cs"/>
          <w:rtl/>
        </w:rPr>
        <w:t xml:space="preserve"> שהרי היד רוצה ליפול מטבעה והנפש מאלצת אותה להישאר מורמת. </w:t>
      </w:r>
    </w:p>
    <w:p w14:paraId="3193C17D" w14:textId="77777777" w:rsidR="000A6C1C" w:rsidRDefault="000A6C1C" w:rsidP="00F13D2C">
      <w:pPr>
        <w:pStyle w:val="FootnoteText"/>
        <w:rPr>
          <w:rtl/>
        </w:rPr>
      </w:pPr>
      <w:r>
        <w:rPr>
          <w:rFonts w:hint="cs"/>
          <w:rtl/>
        </w:rPr>
        <w:t>זה תוכן לשונו של אבן סינא כאן שכתב:</w:t>
      </w:r>
    </w:p>
    <w:p w14:paraId="73D725F2" w14:textId="262A27C1" w:rsidR="00CF3F1B" w:rsidRDefault="000A6C1C" w:rsidP="00F13D2C">
      <w:pPr>
        <w:pStyle w:val="FootnoteText"/>
        <w:rPr>
          <w:rtl/>
        </w:rPr>
      </w:pPr>
      <w:r>
        <w:rPr>
          <w:rFonts w:hint="cs"/>
          <w:rtl/>
        </w:rPr>
        <w:t>"</w:t>
      </w:r>
      <w:r w:rsidR="00A66216" w:rsidRPr="00A66216">
        <w:rPr>
          <w:rtl/>
        </w:rPr>
        <w:t>ובכן הטבע גם הוא יעשה כך, כמו שנבהיר לך</w:t>
      </w:r>
      <w:r>
        <w:rPr>
          <w:rFonts w:hint="cs"/>
          <w:rtl/>
        </w:rPr>
        <w:t>"</w:t>
      </w:r>
      <w:r w:rsidR="00A66216">
        <w:rPr>
          <w:rFonts w:hint="cs"/>
          <w:rtl/>
        </w:rPr>
        <w:t>, כלומר גם האבן הדוחפת תעביר 'דחף' לאבן הנדחפת, כמו שהנפש מעבירה 'דחף' לגוף לפי דברי פילופונוס.</w:t>
      </w:r>
      <w:r w:rsidR="001B164C">
        <w:rPr>
          <w:rFonts w:hint="cs"/>
          <w:rtl/>
        </w:rPr>
        <w:t xml:space="preserve"> הוא מקשה על דברי פילופונוס שנאמרו </w:t>
      </w:r>
      <w:r w:rsidR="00A41F9A">
        <w:rPr>
          <w:rFonts w:hint="cs"/>
          <w:rtl/>
        </w:rPr>
        <w:t xml:space="preserve">בעניין מיוחד בנפש, ואומר שאין הבדל כאן בין הנעת הנפש את היד למעלה, שזה נגד טבעה, ובין אדם שמרים אבן למעלה. </w:t>
      </w:r>
    </w:p>
    <w:p w14:paraId="0E6684F1" w14:textId="0C7FC1D9" w:rsidR="006413AA" w:rsidRDefault="00CF3F1B" w:rsidP="00F13D2C">
      <w:pPr>
        <w:pStyle w:val="FootnoteText"/>
        <w:rPr>
          <w:rtl/>
        </w:rPr>
      </w:pPr>
      <w:r>
        <w:rPr>
          <w:rFonts w:hint="cs"/>
          <w:rtl/>
        </w:rPr>
        <w:t>הדיון כאן מבוסס על כ</w:t>
      </w:r>
      <w:r w:rsidR="005835F7">
        <w:rPr>
          <w:rFonts w:hint="cs"/>
          <w:rtl/>
        </w:rPr>
        <w:t>ך</w:t>
      </w:r>
      <w:r>
        <w:rPr>
          <w:rFonts w:hint="cs"/>
          <w:rtl/>
        </w:rPr>
        <w:t xml:space="preserve"> שיש שני כוחות טבעיים שונים ואף סותרים שפועלים על אותו גוף חומרי, ושניהם אמורים להיחשב 'טבע' של הגוף. </w:t>
      </w:r>
      <w:r w:rsidR="00F60361">
        <w:rPr>
          <w:rFonts w:hint="cs"/>
          <w:rtl/>
        </w:rPr>
        <w:t>למשל אם ראובן מרים את ידיו, יש טבע אחד שלפי</w:t>
      </w:r>
      <w:r w:rsidR="00662DC3">
        <w:rPr>
          <w:rFonts w:hint="cs"/>
          <w:rtl/>
        </w:rPr>
        <w:t>ו</w:t>
      </w:r>
      <w:r w:rsidR="00F60361">
        <w:rPr>
          <w:rFonts w:hint="cs"/>
          <w:rtl/>
        </w:rPr>
        <w:t xml:space="preserve"> היד רוצה לרדת למטה. היא עייפה מההרמה והטבע שלה מושך אותה למטה כמו שטבע של אבן מושך אותה למטה. ויש כח אחר שמקורו בנפש שבחרה להרים את היד ולהחזיק אותה מורמת</w:t>
      </w:r>
      <w:r>
        <w:rPr>
          <w:rFonts w:hint="cs"/>
          <w:rtl/>
        </w:rPr>
        <w:t xml:space="preserve">. </w:t>
      </w:r>
      <w:r w:rsidR="00D23FA7">
        <w:rPr>
          <w:rFonts w:hint="cs"/>
          <w:rtl/>
        </w:rPr>
        <w:t>הנפש היא כח רוחני ששורה בגוף, והוא שורש הווייתו של הגוף ולכן ה</w:t>
      </w:r>
      <w:r w:rsidR="009C423E">
        <w:rPr>
          <w:rFonts w:hint="cs"/>
          <w:rtl/>
        </w:rPr>
        <w:t>י</w:t>
      </w:r>
      <w:r w:rsidR="00D23FA7">
        <w:rPr>
          <w:rFonts w:hint="cs"/>
          <w:rtl/>
        </w:rPr>
        <w:t xml:space="preserve">א </w:t>
      </w:r>
      <w:r w:rsidR="009C423E">
        <w:rPr>
          <w:rFonts w:hint="cs"/>
          <w:rtl/>
        </w:rPr>
        <w:t xml:space="preserve">טבעו והיא </w:t>
      </w:r>
      <w:r w:rsidR="00D23FA7">
        <w:rPr>
          <w:rFonts w:hint="cs"/>
          <w:rtl/>
        </w:rPr>
        <w:t>קובע</w:t>
      </w:r>
      <w:r w:rsidR="009C423E">
        <w:rPr>
          <w:rFonts w:hint="cs"/>
          <w:rtl/>
        </w:rPr>
        <w:t>ת</w:t>
      </w:r>
      <w:r w:rsidR="00D23FA7">
        <w:rPr>
          <w:rFonts w:hint="cs"/>
          <w:rtl/>
        </w:rPr>
        <w:t xml:space="preserve"> את הווייתו צורתו </w:t>
      </w:r>
      <w:r w:rsidR="00C2602A">
        <w:rPr>
          <w:rFonts w:hint="cs"/>
          <w:rtl/>
        </w:rPr>
        <w:t xml:space="preserve">תנועותיו וטבעו, טבעו כלומר </w:t>
      </w:r>
      <w:r w:rsidR="009C423E">
        <w:rPr>
          <w:rFonts w:hint="cs"/>
          <w:rtl/>
        </w:rPr>
        <w:t xml:space="preserve">צורת </w:t>
      </w:r>
      <w:r w:rsidR="00C2602A">
        <w:rPr>
          <w:rFonts w:hint="cs"/>
          <w:rtl/>
        </w:rPr>
        <w:t xml:space="preserve">הכח המונח בהוייתו עצמה לנוע בדרך מסויימת דווקא (או במגוון </w:t>
      </w:r>
      <w:r w:rsidR="009C463A">
        <w:rPr>
          <w:rFonts w:hint="cs"/>
          <w:rtl/>
        </w:rPr>
        <w:t>מסוים</w:t>
      </w:r>
      <w:r w:rsidR="00C2602A">
        <w:rPr>
          <w:rFonts w:hint="cs"/>
          <w:rtl/>
        </w:rPr>
        <w:t xml:space="preserve"> </w:t>
      </w:r>
      <w:r w:rsidR="009C423E">
        <w:rPr>
          <w:rFonts w:hint="cs"/>
          <w:rtl/>
        </w:rPr>
        <w:t>ומוגבל של דרכים)</w:t>
      </w:r>
      <w:r w:rsidR="002619D5">
        <w:rPr>
          <w:rFonts w:hint="cs"/>
          <w:rtl/>
        </w:rPr>
        <w:t>, לפי חוקיות מסויימת</w:t>
      </w:r>
      <w:r w:rsidR="00C2602A">
        <w:rPr>
          <w:rFonts w:hint="cs"/>
          <w:rtl/>
        </w:rPr>
        <w:t>.</w:t>
      </w:r>
      <w:r w:rsidR="002619D5">
        <w:rPr>
          <w:rFonts w:hint="cs"/>
          <w:rtl/>
        </w:rPr>
        <w:t xml:space="preserve"> אם הנפש היא הטבע, הרי שהטבע הוא שהיד תהיה מורמת למעלה, ואם כח הכבידה של הבשר הוא הטבע אז הטבע הוא שהיד </w:t>
      </w:r>
      <w:r w:rsidR="008C01F1">
        <w:rPr>
          <w:rFonts w:hint="cs"/>
          <w:rtl/>
        </w:rPr>
        <w:t>תרד, וההרמה היא הנעה מאולצת מקרית של טבע שונה</w:t>
      </w:r>
      <w:r w:rsidR="006413AA">
        <w:rPr>
          <w:rFonts w:hint="cs"/>
          <w:rtl/>
        </w:rPr>
        <w:t>,</w:t>
      </w:r>
      <w:r w:rsidR="008C01F1">
        <w:rPr>
          <w:rFonts w:hint="cs"/>
          <w:rtl/>
        </w:rPr>
        <w:t xml:space="preserve"> ואינה טבעו של אותו בשר.</w:t>
      </w:r>
    </w:p>
    <w:p w14:paraId="23439653" w14:textId="6A19047F" w:rsidR="007C74B5" w:rsidRDefault="006413AA" w:rsidP="00F13D2C">
      <w:pPr>
        <w:pStyle w:val="FootnoteText"/>
        <w:rPr>
          <w:rtl/>
        </w:rPr>
      </w:pPr>
      <w:r>
        <w:rPr>
          <w:rFonts w:hint="cs"/>
          <w:rtl/>
        </w:rPr>
        <w:t>באבן יש רק טבע אחד, ליפול למטה. הטבע הזה הוא נפשה החיה</w:t>
      </w:r>
      <w:r w:rsidR="003A1D7B">
        <w:rPr>
          <w:rFonts w:hint="cs"/>
          <w:rtl/>
        </w:rPr>
        <w:t>,</w:t>
      </w:r>
      <w:r>
        <w:rPr>
          <w:rFonts w:hint="cs"/>
          <w:rtl/>
        </w:rPr>
        <w:t xml:space="preserve"> והטבע הגשמי והטבע שנובע מהנפש הם אחד, ואין כאן שאלה. </w:t>
      </w:r>
      <w:r w:rsidR="00211D8D">
        <w:rPr>
          <w:rFonts w:hint="cs"/>
          <w:rtl/>
        </w:rPr>
        <w:t xml:space="preserve">בבעל חיים יש שני טבעים לבשר, האחד כאילו היה אבן, הוא גם נוטה לנוע כלפי מטה כמו אבן, כי יש בו צד שהוא דומם, בנוסף ובמקביל לצד שהוא חי. כל חי הוא דומם-חי וצומח-חי, נוסף בו הטבע החי </w:t>
      </w:r>
      <w:r w:rsidR="004D013D">
        <w:rPr>
          <w:rFonts w:hint="cs"/>
          <w:rtl/>
        </w:rPr>
        <w:t>על הטבע של דומם וצומח, ולא נעלם הטבע של דומם וצומח (אדם מחוסר הכרה באופן קבוע נקרא "צמח", כי נגלה בו במצב הזה טבע הצומח שבו, הוא ניזון וגדל ולא יותר. ומה שיש ל</w:t>
      </w:r>
      <w:r w:rsidR="007D2CE4">
        <w:rPr>
          <w:rFonts w:hint="cs"/>
          <w:rtl/>
        </w:rPr>
        <w:t>אדם</w:t>
      </w:r>
      <w:r w:rsidR="004D013D">
        <w:rPr>
          <w:rFonts w:hint="cs"/>
          <w:rtl/>
        </w:rPr>
        <w:t xml:space="preserve"> משקל והוא נופל למטה זה מצד טבע הדומם שבו. יש טבעים סותרים שמניעים את הגוף הגשמי של האדם, והשאלה שאבן סינא ופילופונוס עוסקים בה כאן איזה מהם </w:t>
      </w:r>
      <w:r w:rsidR="00436044">
        <w:rPr>
          <w:rFonts w:hint="cs"/>
          <w:rtl/>
        </w:rPr>
        <w:t xml:space="preserve">ראוי </w:t>
      </w:r>
      <w:r w:rsidR="009035E4">
        <w:rPr>
          <w:rFonts w:hint="cs"/>
          <w:rtl/>
        </w:rPr>
        <w:t>להיחש</w:t>
      </w:r>
      <w:r w:rsidR="009035E4">
        <w:rPr>
          <w:rFonts w:hint="eastAsia"/>
          <w:rtl/>
        </w:rPr>
        <w:t>ב</w:t>
      </w:r>
      <w:r w:rsidR="004D013D">
        <w:rPr>
          <w:rFonts w:hint="cs"/>
          <w:rtl/>
        </w:rPr>
        <w:t xml:space="preserve"> הטבע של גוף האדם, לפי ההגדרה של אריסטו שטבע הוא התחלת תנועה שהיא במהות והיא ראשונית כלומר בלתי אמצעית. </w:t>
      </w:r>
    </w:p>
    <w:p w14:paraId="0A768E49" w14:textId="77777777" w:rsidR="002F60EA" w:rsidRDefault="00082288" w:rsidP="00F13D2C">
      <w:pPr>
        <w:pStyle w:val="FootnoteText"/>
        <w:rPr>
          <w:rtl/>
        </w:rPr>
      </w:pPr>
      <w:r>
        <w:rPr>
          <w:rFonts w:hint="cs"/>
          <w:rtl/>
        </w:rPr>
        <w:t>ההסבר הראשון שהעלה אבן סינא כאפשרות להבין את פילופונוס היה</w:t>
      </w:r>
      <w:r w:rsidR="005A6A36">
        <w:rPr>
          <w:rFonts w:hint="cs"/>
          <w:rtl/>
        </w:rPr>
        <w:t xml:space="preserve"> שהטבע של הנפש משנה את הטבע הגופני ומתאים אותו לנפש. על ז</w:t>
      </w:r>
      <w:r w:rsidR="002F60EA">
        <w:rPr>
          <w:rFonts w:hint="cs"/>
          <w:rtl/>
        </w:rPr>
        <w:t>ה</w:t>
      </w:r>
      <w:r w:rsidR="005A6A36">
        <w:rPr>
          <w:rFonts w:hint="cs"/>
          <w:rtl/>
        </w:rPr>
        <w:t xml:space="preserve"> </w:t>
      </w:r>
      <w:r w:rsidR="002F60EA">
        <w:rPr>
          <w:rFonts w:hint="cs"/>
          <w:rtl/>
        </w:rPr>
        <w:t>ה</w:t>
      </w:r>
      <w:r w:rsidR="005A6A36">
        <w:rPr>
          <w:rFonts w:hint="cs"/>
          <w:rtl/>
        </w:rPr>
        <w:t xml:space="preserve">קשה אבן סינא שאם כך אז כשאדם רוצה להרים את ידו, ישתנה הטבע הגופני ובמקום להיות טבע </w:t>
      </w:r>
      <w:r w:rsidR="002F60EA">
        <w:rPr>
          <w:rFonts w:hint="cs"/>
          <w:rtl/>
        </w:rPr>
        <w:t>גופני ליפול למטה, להוריד את היד, יהיה הטבע הגופני להחזיק את היד מורמת, ואם זה כך אז לא הייתה נוצרת עייפות להשאיר את היד מורמת לאורך זמן, כי לא הייתה כאן התנגשות של כוחות מניעים סותרים.</w:t>
      </w:r>
    </w:p>
    <w:p w14:paraId="4DD436B0" w14:textId="57C93A28" w:rsidR="002E2853" w:rsidRDefault="00C21CD4" w:rsidP="00C77B5B">
      <w:pPr>
        <w:pStyle w:val="FootnoteText"/>
        <w:rPr>
          <w:rtl/>
        </w:rPr>
      </w:pPr>
      <w:r>
        <w:rPr>
          <w:rFonts w:hint="cs"/>
          <w:rtl/>
        </w:rPr>
        <w:t xml:space="preserve">כעת אנו נשארים </w:t>
      </w:r>
      <w:r w:rsidR="00AC7DF2">
        <w:rPr>
          <w:rFonts w:hint="cs"/>
          <w:rtl/>
        </w:rPr>
        <w:t xml:space="preserve">עם ההבנה </w:t>
      </w:r>
      <w:r>
        <w:rPr>
          <w:rFonts w:hint="cs"/>
          <w:rtl/>
        </w:rPr>
        <w:t>שהטבע הנפשי לא עושה שינוי בטבע הגשמי, ולכן</w:t>
      </w:r>
      <w:r w:rsidR="00930B48">
        <w:rPr>
          <w:rFonts w:hint="cs"/>
          <w:rtl/>
        </w:rPr>
        <w:t xml:space="preserve"> </w:t>
      </w:r>
      <w:r>
        <w:rPr>
          <w:rFonts w:hint="cs"/>
          <w:rtl/>
        </w:rPr>
        <w:t>יש כאן שני כוחות מניעים סותרים</w:t>
      </w:r>
      <w:r w:rsidR="00930B48">
        <w:rPr>
          <w:rFonts w:hint="cs"/>
          <w:rtl/>
        </w:rPr>
        <w:t>, כח הנפש</w:t>
      </w:r>
      <w:r w:rsidR="003D762A">
        <w:rPr>
          <w:rFonts w:hint="cs"/>
          <w:rtl/>
        </w:rPr>
        <w:t xml:space="preserve"> שרוצה להרים את היד</w:t>
      </w:r>
      <w:r w:rsidR="00930B48">
        <w:rPr>
          <w:rFonts w:hint="cs"/>
          <w:rtl/>
        </w:rPr>
        <w:t xml:space="preserve"> וכח הטבע הגופני כמו של אבן</w:t>
      </w:r>
      <w:r w:rsidR="003D762A">
        <w:rPr>
          <w:rFonts w:hint="cs"/>
          <w:rtl/>
        </w:rPr>
        <w:t xml:space="preserve"> שרוצה להוריד אותה</w:t>
      </w:r>
      <w:r>
        <w:rPr>
          <w:rFonts w:hint="cs"/>
          <w:rtl/>
        </w:rPr>
        <w:t xml:space="preserve">. ההסבר השני </w:t>
      </w:r>
      <w:r w:rsidR="00F116F4">
        <w:rPr>
          <w:rFonts w:hint="cs"/>
          <w:rtl/>
        </w:rPr>
        <w:t xml:space="preserve">בדעת פילופונוס </w:t>
      </w:r>
      <w:r>
        <w:rPr>
          <w:rFonts w:hint="cs"/>
          <w:rtl/>
        </w:rPr>
        <w:t xml:space="preserve">הוא שכמו שאם אבן א' נופלת למטה בקו ישר, ואז </w:t>
      </w:r>
      <w:r w:rsidR="00930B48">
        <w:rPr>
          <w:rFonts w:hint="cs"/>
          <w:rtl/>
        </w:rPr>
        <w:t>באמצע הנפילה זורקים עליה את אבן ב'</w:t>
      </w:r>
      <w:r w:rsidR="00F116F4">
        <w:rPr>
          <w:rFonts w:hint="cs"/>
          <w:rtl/>
        </w:rPr>
        <w:t>,</w:t>
      </w:r>
      <w:r w:rsidR="00930B48">
        <w:rPr>
          <w:rFonts w:hint="cs"/>
          <w:rtl/>
        </w:rPr>
        <w:t xml:space="preserve"> </w:t>
      </w:r>
      <w:r w:rsidR="005F3EEB">
        <w:rPr>
          <w:rFonts w:hint="cs"/>
          <w:rtl/>
        </w:rPr>
        <w:t>ו</w:t>
      </w:r>
      <w:r w:rsidR="00930B48">
        <w:rPr>
          <w:rFonts w:hint="cs"/>
          <w:rtl/>
        </w:rPr>
        <w:t>אבן ב' דוחפת אותה לנוע בכיוון אחר</w:t>
      </w:r>
      <w:r w:rsidR="005F3EEB">
        <w:rPr>
          <w:rFonts w:hint="cs"/>
          <w:rtl/>
        </w:rPr>
        <w:t xml:space="preserve"> כי היא מעבירה אליה 'דחף' </w:t>
      </w:r>
      <w:r w:rsidR="00C61668">
        <w:rPr>
          <w:rFonts w:hint="cs"/>
          <w:rtl/>
        </w:rPr>
        <w:t>(</w:t>
      </w:r>
      <w:r w:rsidR="005F3EEB">
        <w:rPr>
          <w:rFonts w:hint="cs"/>
          <w:rtl/>
        </w:rPr>
        <w:t>שהוא טבע תנועה רוחני מופשט</w:t>
      </w:r>
      <w:r w:rsidR="00C61668">
        <w:rPr>
          <w:rFonts w:hint="cs"/>
          <w:rtl/>
        </w:rPr>
        <w:t>)</w:t>
      </w:r>
      <w:r w:rsidR="005F3EEB">
        <w:rPr>
          <w:rFonts w:hint="cs"/>
          <w:rtl/>
        </w:rPr>
        <w:t>, כ</w:t>
      </w:r>
      <w:r w:rsidR="00C61668">
        <w:rPr>
          <w:rFonts w:hint="cs"/>
          <w:rtl/>
        </w:rPr>
        <w:t>ך</w:t>
      </w:r>
      <w:r w:rsidR="005F3EEB">
        <w:rPr>
          <w:rFonts w:hint="cs"/>
          <w:rtl/>
        </w:rPr>
        <w:t xml:space="preserve"> הנפש</w:t>
      </w:r>
      <w:r w:rsidR="00C61668">
        <w:rPr>
          <w:rFonts w:hint="cs"/>
          <w:rtl/>
        </w:rPr>
        <w:t xml:space="preserve"> של ראובן מעבירה 'דחף' אל הגוף של ראובן</w:t>
      </w:r>
      <w:r w:rsidR="00934EF6">
        <w:rPr>
          <w:rFonts w:hint="cs"/>
          <w:rtl/>
        </w:rPr>
        <w:t xml:space="preserve"> </w:t>
      </w:r>
      <w:r w:rsidR="00252D54">
        <w:rPr>
          <w:rFonts w:hint="cs"/>
          <w:rtl/>
        </w:rPr>
        <w:t xml:space="preserve">שמתנגד לדחף החומרי שלו </w:t>
      </w:r>
      <w:r w:rsidR="00934EF6">
        <w:rPr>
          <w:rFonts w:hint="cs"/>
          <w:rtl/>
        </w:rPr>
        <w:t>ושני הדחפים סותרים והחזק מנצח</w:t>
      </w:r>
      <w:r w:rsidR="00146BBE">
        <w:rPr>
          <w:rFonts w:hint="cs"/>
          <w:rtl/>
        </w:rPr>
        <w:t>. כך מי שהרים את ידו יש לו דחף להוריד אותה כי היא כבדה ודחף אחר להשאיר אותה למעלה לפי הרצון הנפשי, ויש מ</w:t>
      </w:r>
      <w:r w:rsidR="000025F1">
        <w:rPr>
          <w:rFonts w:hint="cs"/>
          <w:rtl/>
        </w:rPr>
        <w:t>ל</w:t>
      </w:r>
      <w:r w:rsidR="00146BBE">
        <w:rPr>
          <w:rFonts w:hint="cs"/>
          <w:rtl/>
        </w:rPr>
        <w:t>חמה בין כח הנפש לכח החומר והחזק מנצח</w:t>
      </w:r>
      <w:r w:rsidR="008D6170">
        <w:rPr>
          <w:rFonts w:hint="cs"/>
          <w:rtl/>
        </w:rPr>
        <w:t>. על זה אבן סינא מקשה שכמו שהנפש מעבירה דחף, כך גם גוף נע מעביר בדרך דומה דחף לגוף אחר כמו שיבואר לקמן ספר ד' פרק י"ב, ו</w:t>
      </w:r>
      <w:r w:rsidR="001D790D">
        <w:rPr>
          <w:rFonts w:hint="cs"/>
          <w:rtl/>
        </w:rPr>
        <w:t>באבן שדוחפת אבן ברור שהדחף שעבר לאב</w:t>
      </w:r>
      <w:r w:rsidR="00B2077F">
        <w:rPr>
          <w:rFonts w:hint="cs"/>
          <w:rtl/>
        </w:rPr>
        <w:t>ן</w:t>
      </w:r>
      <w:r w:rsidR="001D790D">
        <w:rPr>
          <w:rFonts w:hint="cs"/>
          <w:rtl/>
        </w:rPr>
        <w:t xml:space="preserve"> הנדחפת הוא </w:t>
      </w:r>
      <w:r w:rsidR="00B2077F">
        <w:rPr>
          <w:rFonts w:hint="cs"/>
          <w:rtl/>
        </w:rPr>
        <w:t>לא</w:t>
      </w:r>
      <w:r w:rsidR="001D790D">
        <w:rPr>
          <w:rFonts w:hint="cs"/>
          <w:rtl/>
        </w:rPr>
        <w:t xml:space="preserve"> טבע </w:t>
      </w:r>
      <w:r w:rsidR="00B2077F">
        <w:rPr>
          <w:rFonts w:hint="cs"/>
          <w:rtl/>
        </w:rPr>
        <w:t xml:space="preserve">של האבן הנדחפת </w:t>
      </w:r>
      <w:r w:rsidR="001D790D">
        <w:rPr>
          <w:rFonts w:hint="cs"/>
          <w:rtl/>
        </w:rPr>
        <w:t>אלא</w:t>
      </w:r>
      <w:r w:rsidR="00B2077F">
        <w:rPr>
          <w:rFonts w:hint="cs"/>
          <w:rtl/>
        </w:rPr>
        <w:t xml:space="preserve"> </w:t>
      </w:r>
      <w:r w:rsidR="001D790D">
        <w:rPr>
          <w:rFonts w:hint="cs"/>
          <w:rtl/>
        </w:rPr>
        <w:t xml:space="preserve">כח זר מקרי </w:t>
      </w:r>
      <w:r w:rsidR="00F779B6">
        <w:rPr>
          <w:rFonts w:hint="cs"/>
          <w:rtl/>
        </w:rPr>
        <w:t xml:space="preserve">ולא ראשוני, כלומר על ידי </w:t>
      </w:r>
      <w:r w:rsidR="001D790D">
        <w:rPr>
          <w:rFonts w:hint="cs"/>
          <w:rtl/>
        </w:rPr>
        <w:t>אמצעי</w:t>
      </w:r>
      <w:r w:rsidR="00DC40C0">
        <w:rPr>
          <w:rFonts w:hint="cs"/>
          <w:rtl/>
        </w:rPr>
        <w:t xml:space="preserve"> (כל כח שאינו מתוך</w:t>
      </w:r>
      <w:r w:rsidR="00C77B5B">
        <w:rPr>
          <w:rFonts w:hint="cs"/>
          <w:rtl/>
        </w:rPr>
        <w:t xml:space="preserve"> מהות</w:t>
      </w:r>
      <w:r w:rsidR="00DC40C0">
        <w:rPr>
          <w:rFonts w:hint="cs"/>
          <w:rtl/>
        </w:rPr>
        <w:t xml:space="preserve"> הגוף הנע עצמו נחשב כתנועה על ידי אמצעי, האמצעי הוא הכח</w:t>
      </w:r>
      <w:r w:rsidR="00C77B5B">
        <w:rPr>
          <w:rFonts w:hint="cs"/>
          <w:rtl/>
        </w:rPr>
        <w:t>)</w:t>
      </w:r>
      <w:r w:rsidR="001D790D">
        <w:rPr>
          <w:rFonts w:hint="cs"/>
          <w:rtl/>
        </w:rPr>
        <w:t xml:space="preserve">, כך גם כאן מה שהנפש מעבירה דחף </w:t>
      </w:r>
      <w:r w:rsidR="00B2077F">
        <w:rPr>
          <w:rFonts w:hint="cs"/>
          <w:rtl/>
        </w:rPr>
        <w:t xml:space="preserve">לבשר </w:t>
      </w:r>
      <w:r w:rsidR="001D790D">
        <w:rPr>
          <w:rFonts w:hint="cs"/>
          <w:rtl/>
        </w:rPr>
        <w:t>להרים את היד הוא דחף שאינו טבע היד</w:t>
      </w:r>
      <w:r w:rsidR="00B2077F">
        <w:rPr>
          <w:rFonts w:hint="cs"/>
          <w:rtl/>
        </w:rPr>
        <w:t xml:space="preserve"> הבשרית</w:t>
      </w:r>
      <w:r w:rsidR="001D790D">
        <w:rPr>
          <w:rFonts w:hint="cs"/>
          <w:rtl/>
        </w:rPr>
        <w:t xml:space="preserve"> והוא מקרי ו</w:t>
      </w:r>
      <w:r w:rsidR="00B2077F">
        <w:rPr>
          <w:rFonts w:hint="cs"/>
          <w:rtl/>
        </w:rPr>
        <w:t>אמצעי לה, ולכן הנפש של בעל חיים אינה יכולה להיחשב כהתחלת תנועה וכטבע</w:t>
      </w:r>
      <w:r w:rsidR="006F6C2A">
        <w:rPr>
          <w:rFonts w:hint="cs"/>
          <w:rtl/>
        </w:rPr>
        <w:t>, גם לא במקביל לטבע החומרי</w:t>
      </w:r>
      <w:r w:rsidR="00B2077F">
        <w:rPr>
          <w:rFonts w:hint="cs"/>
          <w:rtl/>
        </w:rPr>
        <w:t>.</w:t>
      </w:r>
    </w:p>
    <w:p w14:paraId="622B9269" w14:textId="28290E15" w:rsidR="001F4AB0" w:rsidRDefault="00892CD8" w:rsidP="00A36440">
      <w:pPr>
        <w:pStyle w:val="FootnoteText"/>
        <w:rPr>
          <w:rtl/>
        </w:rPr>
      </w:pPr>
      <w:r>
        <w:rPr>
          <w:rFonts w:hint="cs"/>
          <w:rtl/>
        </w:rPr>
        <w:t xml:space="preserve">כאן מתגלה נקודת המחלוקת העמוקה. החוקרים פירשו שאבן סינא מבין את אריסטו בדרך מדעית </w:t>
      </w:r>
      <w:r w:rsidR="000A5037">
        <w:rPr>
          <w:rFonts w:hint="cs"/>
          <w:rtl/>
        </w:rPr>
        <w:t xml:space="preserve">מודרנית </w:t>
      </w:r>
      <w:r>
        <w:rPr>
          <w:rFonts w:hint="cs"/>
          <w:rtl/>
        </w:rPr>
        <w:t>כמו הפיזיקה ש</w:t>
      </w:r>
      <w:r w:rsidR="000A5037">
        <w:rPr>
          <w:rFonts w:hint="cs"/>
          <w:rtl/>
        </w:rPr>
        <w:t>ל</w:t>
      </w:r>
      <w:r>
        <w:rPr>
          <w:rFonts w:hint="cs"/>
          <w:rtl/>
        </w:rPr>
        <w:t xml:space="preserve"> ניוטון, שרואה </w:t>
      </w:r>
      <w:r w:rsidR="000A5037">
        <w:rPr>
          <w:rFonts w:hint="cs"/>
          <w:rtl/>
        </w:rPr>
        <w:t xml:space="preserve">בטבע </w:t>
      </w:r>
      <w:r>
        <w:rPr>
          <w:rFonts w:hint="cs"/>
          <w:rtl/>
        </w:rPr>
        <w:t xml:space="preserve">כוחות תנועה </w:t>
      </w:r>
      <w:r w:rsidR="000A5037">
        <w:rPr>
          <w:rFonts w:hint="cs"/>
          <w:rtl/>
        </w:rPr>
        <w:t xml:space="preserve">שהם כוחות תנועה חיצוניים לגופים, </w:t>
      </w:r>
      <w:r>
        <w:rPr>
          <w:rFonts w:hint="cs"/>
          <w:rtl/>
        </w:rPr>
        <w:t>בלי קשר ל</w:t>
      </w:r>
      <w:r w:rsidR="000A5037">
        <w:rPr>
          <w:rFonts w:hint="cs"/>
          <w:rtl/>
        </w:rPr>
        <w:t>עצם ה</w:t>
      </w:r>
      <w:r>
        <w:rPr>
          <w:rFonts w:hint="cs"/>
          <w:rtl/>
        </w:rPr>
        <w:t>גוף של העצ</w:t>
      </w:r>
      <w:r w:rsidR="000A5037">
        <w:rPr>
          <w:rFonts w:hint="cs"/>
          <w:rtl/>
        </w:rPr>
        <w:t>מ</w:t>
      </w:r>
      <w:r>
        <w:rPr>
          <w:rFonts w:hint="cs"/>
          <w:rtl/>
        </w:rPr>
        <w:t>ים הנעים</w:t>
      </w:r>
      <w:r w:rsidR="000A5037">
        <w:rPr>
          <w:rFonts w:hint="cs"/>
          <w:rtl/>
        </w:rPr>
        <w:t>, אלא גופם עצמו</w:t>
      </w:r>
      <w:r>
        <w:rPr>
          <w:rFonts w:hint="cs"/>
          <w:rtl/>
        </w:rPr>
        <w:t xml:space="preserve"> הוא חומר דומם מת שאין בו עצמו במהותו </w:t>
      </w:r>
      <w:r w:rsidR="000A5037">
        <w:rPr>
          <w:rFonts w:hint="cs"/>
          <w:rtl/>
        </w:rPr>
        <w:t xml:space="preserve">שום </w:t>
      </w:r>
      <w:r>
        <w:rPr>
          <w:rFonts w:hint="cs"/>
          <w:rtl/>
        </w:rPr>
        <w:t>התחלת תנועה</w:t>
      </w:r>
      <w:r w:rsidR="000A5037">
        <w:rPr>
          <w:rFonts w:hint="cs"/>
          <w:rtl/>
        </w:rPr>
        <w:t xml:space="preserve"> מהותית ראשונית</w:t>
      </w:r>
      <w:r>
        <w:rPr>
          <w:rFonts w:hint="cs"/>
          <w:rtl/>
        </w:rPr>
        <w:t xml:space="preserve">, </w:t>
      </w:r>
      <w:r w:rsidR="000D4192">
        <w:rPr>
          <w:rFonts w:hint="cs"/>
          <w:rtl/>
        </w:rPr>
        <w:t>ו</w:t>
      </w:r>
      <w:r>
        <w:rPr>
          <w:rFonts w:hint="cs"/>
          <w:rtl/>
        </w:rPr>
        <w:t xml:space="preserve">כל התנועות של הגופים כולן </w:t>
      </w:r>
      <w:r w:rsidR="000A5037">
        <w:rPr>
          <w:rFonts w:hint="cs"/>
          <w:rtl/>
        </w:rPr>
        <w:t>דחיפות חיצוניות</w:t>
      </w:r>
      <w:r w:rsidR="008220BA">
        <w:rPr>
          <w:rFonts w:hint="cs"/>
          <w:rtl/>
        </w:rPr>
        <w:t xml:space="preserve"> שמאלצות אותם לנוע, ה'טבע' הוא רק החוקיות של הדחיפות האלה</w:t>
      </w:r>
      <w:r w:rsidR="00D26FE3">
        <w:rPr>
          <w:rFonts w:hint="cs"/>
          <w:rtl/>
        </w:rPr>
        <w:t>, שפועלים לפי משוואות מתמטיות ולא באופן מקרי (ולכן אלה נקראים חוקי טבע)</w:t>
      </w:r>
      <w:r w:rsidR="008220BA">
        <w:rPr>
          <w:rFonts w:hint="cs"/>
          <w:rtl/>
        </w:rPr>
        <w:t xml:space="preserve">. </w:t>
      </w:r>
      <w:r w:rsidR="00A36440">
        <w:rPr>
          <w:rFonts w:hint="cs"/>
          <w:rtl/>
        </w:rPr>
        <w:t xml:space="preserve">ואילו פילופונוס היה נוצרי ונטה למטאפיזיקה ותיאולוגיה ולראות את האלוהים בכל דבר ולכן רצה לראות את הטבע כחוקי תנועה שנובעים </w:t>
      </w:r>
      <w:r w:rsidR="001F4AB0">
        <w:rPr>
          <w:rFonts w:hint="cs"/>
          <w:rtl/>
        </w:rPr>
        <w:t>מ</w:t>
      </w:r>
      <w:r w:rsidR="00A36440">
        <w:rPr>
          <w:rFonts w:hint="cs"/>
          <w:rtl/>
        </w:rPr>
        <w:t>הוויית הגופים בעצמה, כי מקור הווייתם</w:t>
      </w:r>
      <w:r w:rsidR="001F4AB0">
        <w:rPr>
          <w:rFonts w:hint="cs"/>
          <w:rtl/>
        </w:rPr>
        <w:t xml:space="preserve"> חי</w:t>
      </w:r>
      <w:r w:rsidR="00A36440">
        <w:rPr>
          <w:rFonts w:hint="cs"/>
          <w:rtl/>
        </w:rPr>
        <w:t xml:space="preserve"> רוחני והאלוה מניע אותם</w:t>
      </w:r>
      <w:r w:rsidR="001F4AB0">
        <w:rPr>
          <w:rFonts w:hint="cs"/>
          <w:rtl/>
        </w:rPr>
        <w:t xml:space="preserve"> ביחד עם מה שהוא משפיע עליהם הווייה</w:t>
      </w:r>
      <w:r w:rsidR="00A36440">
        <w:rPr>
          <w:rFonts w:hint="cs"/>
          <w:rtl/>
        </w:rPr>
        <w:t>.</w:t>
      </w:r>
    </w:p>
    <w:p w14:paraId="0A83482F" w14:textId="7E1A97AE" w:rsidR="00C07073" w:rsidRDefault="001F4AB0" w:rsidP="00A36440">
      <w:pPr>
        <w:pStyle w:val="FootnoteText"/>
        <w:rPr>
          <w:rtl/>
        </w:rPr>
      </w:pPr>
      <w:r>
        <w:rPr>
          <w:rFonts w:hint="cs"/>
          <w:rtl/>
        </w:rPr>
        <w:t xml:space="preserve">לפי האמת המבט של אבן סינא </w:t>
      </w:r>
      <w:r w:rsidR="00787D63">
        <w:rPr>
          <w:rFonts w:hint="cs"/>
          <w:rtl/>
        </w:rPr>
        <w:t xml:space="preserve">גם </w:t>
      </w:r>
      <w:r>
        <w:rPr>
          <w:rFonts w:hint="cs"/>
          <w:rtl/>
        </w:rPr>
        <w:t xml:space="preserve">הוא רוחני ומטפיזי </w:t>
      </w:r>
      <w:r w:rsidR="00787D63">
        <w:rPr>
          <w:rFonts w:hint="cs"/>
          <w:rtl/>
        </w:rPr>
        <w:t xml:space="preserve">כמו של כל </w:t>
      </w:r>
      <w:r w:rsidR="00154032">
        <w:rPr>
          <w:rFonts w:hint="cs"/>
          <w:rtl/>
        </w:rPr>
        <w:t>בני</w:t>
      </w:r>
      <w:r w:rsidR="00787D63">
        <w:rPr>
          <w:rFonts w:hint="cs"/>
          <w:rtl/>
        </w:rPr>
        <w:t xml:space="preserve"> העולם העתיק ללא יוצא מהכלל</w:t>
      </w:r>
      <w:r w:rsidR="009E2D47">
        <w:rPr>
          <w:rFonts w:hint="cs"/>
          <w:rtl/>
        </w:rPr>
        <w:t xml:space="preserve"> </w:t>
      </w:r>
      <w:r w:rsidR="004615BC">
        <w:rPr>
          <w:rFonts w:hint="cs"/>
          <w:rtl/>
        </w:rPr>
        <w:t xml:space="preserve">מבריאת העולם </w:t>
      </w:r>
      <w:r w:rsidR="009E2D47">
        <w:rPr>
          <w:rFonts w:hint="cs"/>
          <w:rtl/>
        </w:rPr>
        <w:t>עד סוף ימי הביניים</w:t>
      </w:r>
      <w:r w:rsidR="00787D63">
        <w:rPr>
          <w:rFonts w:hint="cs"/>
          <w:rtl/>
        </w:rPr>
        <w:t xml:space="preserve">, </w:t>
      </w:r>
      <w:r w:rsidR="001C4D53">
        <w:rPr>
          <w:rFonts w:hint="cs"/>
          <w:rtl/>
        </w:rPr>
        <w:t>חכמיו והמוניו</w:t>
      </w:r>
      <w:r w:rsidR="000A5ABF">
        <w:rPr>
          <w:rFonts w:hint="cs"/>
          <w:rtl/>
        </w:rPr>
        <w:t xml:space="preserve"> (גם עבודה זרה היא דרך של התייחסות למופשט)</w:t>
      </w:r>
      <w:r w:rsidR="001C4D53">
        <w:rPr>
          <w:rFonts w:hint="cs"/>
          <w:rtl/>
        </w:rPr>
        <w:t xml:space="preserve">, </w:t>
      </w:r>
      <w:r w:rsidR="00704AE6">
        <w:rPr>
          <w:rFonts w:hint="cs"/>
          <w:rtl/>
        </w:rPr>
        <w:t>וגם הוא רואה את התנועה כנובעת ממקור חי אלוהי מופשט. המחלוקת היא שלפי אבן סינא יש הכרח לראות את המדרגות שבהן משתלשל השפע האלוהי עד שהוא מגיע למצב של טבע גשמי. סדר המדרגות הזה הוא החכמה האלוהית של המציאות. החכמה היא שר</w:t>
      </w:r>
      <w:r w:rsidR="004B25F7">
        <w:rPr>
          <w:rFonts w:hint="cs"/>
          <w:rtl/>
        </w:rPr>
        <w:t>שרת מדרגות הצורות, זו למעלה מזו, שהיא לפי סדר שבו יש יופי והוא לפי קומות של התגלות שמתאימות לקומות השונות של תודעת האדם, מהקומה של שכל מופשט שמשיג הווייה מופשטת עד הקומה החומרית שמשיגה את החומר. וכמו שכתב</w:t>
      </w:r>
      <w:r w:rsidR="00C07073">
        <w:rPr>
          <w:rFonts w:hint="cs"/>
          <w:rtl/>
        </w:rPr>
        <w:t xml:space="preserve"> </w:t>
      </w:r>
      <w:r w:rsidR="004B25F7">
        <w:rPr>
          <w:rFonts w:hint="cs"/>
          <w:rtl/>
        </w:rPr>
        <w:t>הרמב"ם בהלכות יסודי התורה פרק ב' שאהבת האלוהים שהיא ידיעתו היא על ידי שמתבוננים במעשיו וברואיו הנפלאים הגדולים, וממשיך לבאר שם שהתבוננות הזו היא בסדר ההשתלשלות של השכלים הנפרדים הם המלאכים, שהם מסודרים בסדר זה מעל זה,</w:t>
      </w:r>
      <w:r w:rsidR="00E25019">
        <w:rPr>
          <w:rFonts w:hint="cs"/>
          <w:rtl/>
        </w:rPr>
        <w:t xml:space="preserve"> "כי</w:t>
      </w:r>
      <w:r w:rsidR="004B25F7">
        <w:rPr>
          <w:rFonts w:hint="cs"/>
          <w:rtl/>
        </w:rPr>
        <w:t xml:space="preserve"> גבוה מעל גבוה שומר וגבוהים עליהם</w:t>
      </w:r>
      <w:r w:rsidR="00E25019">
        <w:rPr>
          <w:rFonts w:hint="cs"/>
          <w:rtl/>
        </w:rPr>
        <w:t>", יעויין שם</w:t>
      </w:r>
      <w:r w:rsidR="004B25F7">
        <w:rPr>
          <w:rFonts w:hint="cs"/>
          <w:rtl/>
        </w:rPr>
        <w:t>.</w:t>
      </w:r>
      <w:r w:rsidR="00C07073">
        <w:rPr>
          <w:rFonts w:hint="cs"/>
          <w:rtl/>
        </w:rPr>
        <w:t xml:space="preserve"> הסדר הוא חכמה והוא מה שהשכל משיג מהאלוהות, </w:t>
      </w:r>
      <w:r w:rsidR="002655C1">
        <w:rPr>
          <w:rFonts w:hint="cs"/>
          <w:rtl/>
        </w:rPr>
        <w:t xml:space="preserve">הוא השפה שבה מתגלה האלוהים; </w:t>
      </w:r>
      <w:r w:rsidR="00C07073">
        <w:rPr>
          <w:rFonts w:hint="cs"/>
          <w:rtl/>
        </w:rPr>
        <w:t>ואותה השגת חכמה, השגת דעת אלוהים, היא הדיבוק האמיתי של האדם בבוראו והוא אהבת הבורא, שהאהבה היא כפי ההשגה כמו שכתב הרמב"ם בסוף הלכות תשובה. השכל הוא המדבק אותנו בבורא, כמו שכתב במורה נבוכים ג' נ"ב, ועיין גם שם נ"א.</w:t>
      </w:r>
    </w:p>
    <w:p w14:paraId="61F5C375" w14:textId="730F2765" w:rsidR="00CB3D6E" w:rsidRDefault="002711F0" w:rsidP="00A36440">
      <w:pPr>
        <w:pStyle w:val="FootnoteText"/>
        <w:rPr>
          <w:rtl/>
        </w:rPr>
      </w:pPr>
      <w:r>
        <w:rPr>
          <w:rFonts w:hint="cs"/>
          <w:rtl/>
        </w:rPr>
        <w:t xml:space="preserve">אם מוחקים את סדר המדרגות וההשתלשלות, מהמופשט עד הגשמי, </w:t>
      </w:r>
      <w:r w:rsidR="00E46212">
        <w:rPr>
          <w:rFonts w:hint="cs"/>
          <w:rtl/>
        </w:rPr>
        <w:t>ולא נותנים מציאות גמורה לכל מדרגה,</w:t>
      </w:r>
      <w:r w:rsidR="00A3532A">
        <w:rPr>
          <w:rFonts w:hint="cs"/>
          <w:rtl/>
        </w:rPr>
        <w:t xml:space="preserve"> ולא</w:t>
      </w:r>
      <w:r>
        <w:rPr>
          <w:rFonts w:hint="cs"/>
          <w:rtl/>
        </w:rPr>
        <w:t xml:space="preserve"> רואים שיש קומה </w:t>
      </w:r>
      <w:r w:rsidR="004856B3">
        <w:rPr>
          <w:rFonts w:hint="cs"/>
          <w:rtl/>
        </w:rPr>
        <w:t>ומעליה</w:t>
      </w:r>
      <w:r>
        <w:rPr>
          <w:rFonts w:hint="cs"/>
          <w:rtl/>
        </w:rPr>
        <w:t xml:space="preserve"> עוד קומה וכן הלאה, אלא רואים בכל אור אלוהי שמציף את כל ה</w:t>
      </w:r>
      <w:r w:rsidR="003D14B0">
        <w:rPr>
          <w:rFonts w:hint="cs"/>
          <w:rtl/>
        </w:rPr>
        <w:t>הפרדות שבין המדרגות ומאיר הכל באור אחד, אז כבר אין חכמה, ואז אין באמת הבנה</w:t>
      </w:r>
      <w:r w:rsidR="00AA15FA">
        <w:rPr>
          <w:rFonts w:hint="cs"/>
          <w:rtl/>
        </w:rPr>
        <w:t xml:space="preserve"> </w:t>
      </w:r>
      <w:r w:rsidR="003D14B0">
        <w:rPr>
          <w:rFonts w:hint="cs"/>
          <w:rtl/>
        </w:rPr>
        <w:t>של האלוהות ודיבוק אמיתי בו דרך השכל. זה כח הקנאות הדתית שלא שומר על החלוקה למדרגות והורס את הכל ומנ</w:t>
      </w:r>
      <w:r w:rsidR="009D34BD">
        <w:rPr>
          <w:rFonts w:hint="cs"/>
          <w:rtl/>
        </w:rPr>
        <w:t>ת</w:t>
      </w:r>
      <w:r w:rsidR="003D14B0">
        <w:rPr>
          <w:rFonts w:hint="cs"/>
          <w:rtl/>
        </w:rPr>
        <w:t>ק את האדם מהאלוה</w:t>
      </w:r>
      <w:r w:rsidR="009D34BD">
        <w:rPr>
          <w:rFonts w:hint="cs"/>
          <w:rtl/>
        </w:rPr>
        <w:t xml:space="preserve"> ומחריב את האדם והעולם והגילוי האלוהי</w:t>
      </w:r>
      <w:r w:rsidR="00D27D72">
        <w:rPr>
          <w:rFonts w:hint="cs"/>
          <w:rtl/>
        </w:rPr>
        <w:t xml:space="preserve"> (זו דעת המדברים, </w:t>
      </w:r>
      <w:r w:rsidR="00497689">
        <w:rPr>
          <w:rFonts w:hint="cs"/>
          <w:rtl/>
        </w:rPr>
        <w:t>אנשי הכלאם, שלא רואים טבע וסדר וצורות</w:t>
      </w:r>
      <w:r w:rsidR="00E04889">
        <w:rPr>
          <w:rFonts w:hint="cs"/>
          <w:rtl/>
        </w:rPr>
        <w:t xml:space="preserve">, אלא אצלם הכל הוא בריאה ישירה מהבורא ברצונו החופשי שהוא מעל השכל ומבחינתנו הוא מקרה. </w:t>
      </w:r>
      <w:r w:rsidR="00F246C2">
        <w:rPr>
          <w:rFonts w:hint="cs"/>
          <w:rtl/>
        </w:rPr>
        <w:t xml:space="preserve">ולפי זה המציאות לא מובנת ואין </w:t>
      </w:r>
      <w:r w:rsidR="00577952">
        <w:rPr>
          <w:rFonts w:hint="cs"/>
          <w:rtl/>
        </w:rPr>
        <w:t xml:space="preserve">התגלות </w:t>
      </w:r>
      <w:r w:rsidR="0003049D">
        <w:rPr>
          <w:rFonts w:hint="cs"/>
          <w:rtl/>
        </w:rPr>
        <w:t xml:space="preserve">חכמת </w:t>
      </w:r>
      <w:r w:rsidR="00F246C2">
        <w:rPr>
          <w:rFonts w:hint="cs"/>
          <w:rtl/>
        </w:rPr>
        <w:t xml:space="preserve">אלוהים בעולם </w:t>
      </w:r>
      <w:r w:rsidR="00835693">
        <w:rPr>
          <w:rFonts w:hint="cs"/>
          <w:rtl/>
        </w:rPr>
        <w:t>ואין לנו שום שייכות עם הבורא מלבד כניעה לכח עודף ופחד וציות עיוור לנביא)</w:t>
      </w:r>
      <w:r w:rsidR="003D14B0">
        <w:rPr>
          <w:rFonts w:hint="cs"/>
          <w:rtl/>
        </w:rPr>
        <w:t xml:space="preserve">. </w:t>
      </w:r>
      <w:r w:rsidR="00061349">
        <w:rPr>
          <w:rFonts w:hint="cs"/>
          <w:rtl/>
        </w:rPr>
        <w:t>ניכר שיש א</w:t>
      </w:r>
      <w:r w:rsidR="00F246C2">
        <w:rPr>
          <w:rFonts w:hint="cs"/>
          <w:rtl/>
        </w:rPr>
        <w:t>צ</w:t>
      </w:r>
      <w:r w:rsidR="00061349">
        <w:rPr>
          <w:rFonts w:hint="cs"/>
          <w:rtl/>
        </w:rPr>
        <w:t>ל פילופונוס, לפי הפרשנות של אבן סינא כאן, מאמץ להתעלם מההפרדה שבין הגוף לנפש. לפי הדרך הראשונה זה נעשה על ידי האמירה שהטבע הנפשי עושה שינוי בטבע הגשמי ומתאים את הטבע הגשמי לט</w:t>
      </w:r>
      <w:r w:rsidR="00AA15FA">
        <w:rPr>
          <w:rFonts w:hint="cs"/>
          <w:rtl/>
        </w:rPr>
        <w:t>ב</w:t>
      </w:r>
      <w:r w:rsidR="00061349">
        <w:rPr>
          <w:rFonts w:hint="cs"/>
          <w:rtl/>
        </w:rPr>
        <w:t xml:space="preserve">ע הנפשי. </w:t>
      </w:r>
      <w:r w:rsidR="008B20FE">
        <w:rPr>
          <w:rFonts w:hint="cs"/>
          <w:rtl/>
        </w:rPr>
        <w:t xml:space="preserve">זו </w:t>
      </w:r>
      <w:r w:rsidR="00061349">
        <w:rPr>
          <w:rFonts w:hint="cs"/>
          <w:rtl/>
        </w:rPr>
        <w:t>מדרגת משה רבינו שהרים את ידיו במשך כל מלחמת עמלק והיו ידיו אמונה עד בוא השמש, כי הוא פעל רק לפי הטבע הנפשי והטבע הגשמי בטל כלפי הנפש ולא הייתה אצלו עייפות של נטייה להוריד את הידיים. לכן ידיו היו 'אמונה' כלומר מורמות בוודאות גמורה, כי הוא לא היה צריך להילחם נגד הכח של המשיכה למטה (אם הייתה לו מלחמה לא הייתה וודאות שינצח). ולפי אבן סינא והרמב"ם זה</w:t>
      </w:r>
      <w:r w:rsidR="0048715C">
        <w:rPr>
          <w:rFonts w:hint="cs"/>
          <w:rtl/>
        </w:rPr>
        <w:t xml:space="preserve"> </w:t>
      </w:r>
      <w:r w:rsidR="00061349">
        <w:rPr>
          <w:rFonts w:hint="cs"/>
          <w:rtl/>
        </w:rPr>
        <w:t xml:space="preserve">עניין </w:t>
      </w:r>
      <w:r w:rsidR="0048715C">
        <w:rPr>
          <w:rFonts w:hint="cs"/>
          <w:rtl/>
        </w:rPr>
        <w:t xml:space="preserve">מיוחד </w:t>
      </w:r>
      <w:r w:rsidR="00061349">
        <w:rPr>
          <w:rFonts w:hint="cs"/>
          <w:rtl/>
        </w:rPr>
        <w:t xml:space="preserve"> במשה, שדיבר עם האלוהים כדבר</w:t>
      </w:r>
      <w:r w:rsidR="00BD7E48">
        <w:rPr>
          <w:rFonts w:hint="cs"/>
          <w:rtl/>
        </w:rPr>
        <w:t xml:space="preserve"> </w:t>
      </w:r>
      <w:r w:rsidR="00061349">
        <w:rPr>
          <w:rFonts w:hint="cs"/>
          <w:rtl/>
        </w:rPr>
        <w:t>איש עם חברו ו</w:t>
      </w:r>
      <w:r w:rsidR="00BD7E48">
        <w:rPr>
          <w:rFonts w:hint="cs"/>
          <w:rtl/>
        </w:rPr>
        <w:t>לא</w:t>
      </w:r>
      <w:r w:rsidR="00061349">
        <w:rPr>
          <w:rFonts w:hint="cs"/>
          <w:rtl/>
        </w:rPr>
        <w:t xml:space="preserve"> דרך מחיצות, ופר</w:t>
      </w:r>
      <w:r w:rsidR="00BD7E48">
        <w:rPr>
          <w:rFonts w:hint="cs"/>
          <w:rtl/>
        </w:rPr>
        <w:t xml:space="preserve">ש </w:t>
      </w:r>
      <w:r w:rsidR="00061349">
        <w:rPr>
          <w:rFonts w:hint="cs"/>
          <w:rtl/>
        </w:rPr>
        <w:t xml:space="preserve">מהאשה, והתעלה מעל מדרגת הטבע הגשמי, </w:t>
      </w:r>
      <w:r w:rsidR="00BD7E48">
        <w:rPr>
          <w:rFonts w:hint="cs"/>
          <w:rtl/>
        </w:rPr>
        <w:t>ו</w:t>
      </w:r>
      <w:r w:rsidR="0048715C">
        <w:rPr>
          <w:rFonts w:hint="cs"/>
          <w:rtl/>
        </w:rPr>
        <w:t>גם עליו באו בטענה על זה</w:t>
      </w:r>
      <w:r w:rsidR="00BD7E48">
        <w:rPr>
          <w:rFonts w:hint="cs"/>
          <w:rtl/>
        </w:rPr>
        <w:t xml:space="preserve"> ובוודאי רק למשה הייתה שייכות למדרגה כזו וכל בני האדם וכל הטבע אסור להם לנסות להעפיל ל</w:t>
      </w:r>
      <w:r w:rsidR="00797B5A">
        <w:rPr>
          <w:rFonts w:hint="cs"/>
          <w:rtl/>
        </w:rPr>
        <w:t>מדרגת 'מעל הטבע'</w:t>
      </w:r>
      <w:r w:rsidR="00BD7E48">
        <w:rPr>
          <w:rFonts w:hint="cs"/>
          <w:rtl/>
        </w:rPr>
        <w:t xml:space="preserve">, ובני אהרן שניסו נשרפו. </w:t>
      </w:r>
      <w:r w:rsidR="00797B5A">
        <w:rPr>
          <w:rFonts w:hint="cs"/>
          <w:rtl/>
        </w:rPr>
        <w:t xml:space="preserve">כי הטבע </w:t>
      </w:r>
      <w:r w:rsidR="00274C33">
        <w:rPr>
          <w:rFonts w:hint="cs"/>
          <w:rtl/>
        </w:rPr>
        <w:t xml:space="preserve">דווקא בגלל חומריותו והמדרגות שבו שהן כלי וצמצום לאור האחדות האלוהית, </w:t>
      </w:r>
      <w:r w:rsidR="000753E7">
        <w:rPr>
          <w:rFonts w:hint="cs"/>
          <w:rtl/>
        </w:rPr>
        <w:t xml:space="preserve">הוא </w:t>
      </w:r>
      <w:r w:rsidR="00797B5A">
        <w:rPr>
          <w:rFonts w:hint="cs"/>
          <w:rtl/>
        </w:rPr>
        <w:t xml:space="preserve">קדוש, הוא עצם הגילוי האלוהי על ידי גילוי החכמה האלוהית שהיא הסדר והיופי שבטבע. </w:t>
      </w:r>
      <w:r w:rsidR="00434DA9">
        <w:rPr>
          <w:rFonts w:hint="cs"/>
          <w:rtl/>
        </w:rPr>
        <w:t>וכ</w:t>
      </w:r>
      <w:r w:rsidR="00E44AA7">
        <w:rPr>
          <w:rFonts w:hint="cs"/>
          <w:rtl/>
        </w:rPr>
        <w:t>מ</w:t>
      </w:r>
      <w:r w:rsidR="00434DA9">
        <w:rPr>
          <w:rFonts w:hint="cs"/>
          <w:rtl/>
        </w:rPr>
        <w:t>ו שכתב</w:t>
      </w:r>
      <w:r w:rsidR="00E44AA7">
        <w:rPr>
          <w:rFonts w:hint="cs"/>
          <w:rtl/>
        </w:rPr>
        <w:t xml:space="preserve"> </w:t>
      </w:r>
      <w:r w:rsidR="00434DA9">
        <w:rPr>
          <w:rFonts w:hint="cs"/>
          <w:rtl/>
        </w:rPr>
        <w:t>בהלכות יסודי התורה ב' "</w:t>
      </w:r>
      <w:r w:rsidR="00E44AA7" w:rsidRPr="00E44AA7">
        <w:rPr>
          <w:rtl/>
        </w:rPr>
        <w:t>וְהֵיאַךְ הִיא הַדֶּרֶךְ לְאַהֲבָתוֹ וְיִרְאָתוֹ? בְּשָׁעָה שֶׁיִּתְבּוֹנֵן הָאָדָם בְּמַעֲשָׂיו וּבְרוּאָיו הַנִּפְלָאִים הַגְּדוֹלִים, וְיִרְאֶה מֵהֶן</w:t>
      </w:r>
      <w:r w:rsidR="00E44AA7" w:rsidRPr="000753E7">
        <w:rPr>
          <w:b/>
          <w:bCs/>
          <w:rtl/>
        </w:rPr>
        <w:t xml:space="preserve"> חָכְמָתוֹ </w:t>
      </w:r>
      <w:r w:rsidR="00E44AA7" w:rsidRPr="00E44AA7">
        <w:rPr>
          <w:rtl/>
        </w:rPr>
        <w:t>שֶׁאֵין לָהּ עֵרֶךְ וְלֹא קֵץ - מִיָּד הוּא אוֹהֵב וּמְשַׁבֵּחַ וּמְפָאֵר וּמִתְאַוֶּה תַּאֲוָה גְּדוֹלָה לֵידַע הַשֵּׁם הַגָּדוֹל</w:t>
      </w:r>
      <w:r w:rsidR="00434DA9">
        <w:rPr>
          <w:rFonts w:hint="cs"/>
          <w:rtl/>
        </w:rPr>
        <w:t>"</w:t>
      </w:r>
      <w:r w:rsidR="002E1AE5">
        <w:rPr>
          <w:rFonts w:hint="cs"/>
          <w:rtl/>
        </w:rPr>
        <w:t>, ולפי פילופונוס אין במה להתבונן, כי הכל הוא רק אלוהות ותו לא</w:t>
      </w:r>
      <w:r w:rsidR="005100C1">
        <w:rPr>
          <w:rFonts w:hint="cs"/>
          <w:rtl/>
        </w:rPr>
        <w:t>, וזו לא חכמה שהשכל יכול להתבונן ולהשיג</w:t>
      </w:r>
      <w:r w:rsidR="002E1AE5">
        <w:rPr>
          <w:rFonts w:hint="cs"/>
          <w:rtl/>
        </w:rPr>
        <w:t xml:space="preserve">, אין סולם שרגליו מונחות ארצה וראשו מגיע השמיימה, אלא הכל רק שמיים. </w:t>
      </w:r>
      <w:r w:rsidR="005100C1">
        <w:rPr>
          <w:rFonts w:hint="cs"/>
          <w:rtl/>
        </w:rPr>
        <w:t>מההתבוננות בברואיו שהם מו</w:t>
      </w:r>
      <w:r w:rsidR="00124E8C">
        <w:rPr>
          <w:rFonts w:hint="cs"/>
          <w:rtl/>
        </w:rPr>
        <w:t>ג</w:t>
      </w:r>
      <w:r w:rsidR="005100C1">
        <w:rPr>
          <w:rFonts w:hint="cs"/>
          <w:rtl/>
        </w:rPr>
        <w:t>בלים</w:t>
      </w:r>
      <w:r w:rsidR="00124E8C">
        <w:rPr>
          <w:rFonts w:hint="cs"/>
          <w:rtl/>
        </w:rPr>
        <w:t xml:space="preserve"> וגשמיים לפי מדרגותיהם, מגיעים לבסוף לראיית חכמתו שאין לה ערך ולא קץ, היא </w:t>
      </w:r>
      <w:r w:rsidR="00863BB2">
        <w:rPr>
          <w:rFonts w:hint="cs"/>
          <w:rtl/>
        </w:rPr>
        <w:t xml:space="preserve">השגת </w:t>
      </w:r>
      <w:r w:rsidR="00124E8C">
        <w:rPr>
          <w:rFonts w:hint="cs"/>
          <w:rtl/>
        </w:rPr>
        <w:t xml:space="preserve">האלוהות המופשטת שהיא אחדות פשוטה ומוחלטת. </w:t>
      </w:r>
      <w:r w:rsidR="00863BB2">
        <w:rPr>
          <w:rFonts w:hint="cs"/>
          <w:rtl/>
        </w:rPr>
        <w:t>אבל אי אפשר להתחיל מ"האין קץ", הוא האין סופיות הא</w:t>
      </w:r>
      <w:r w:rsidR="00CB3D6E">
        <w:rPr>
          <w:rFonts w:hint="cs"/>
          <w:rtl/>
        </w:rPr>
        <w:t>ל</w:t>
      </w:r>
      <w:r w:rsidR="00863BB2">
        <w:rPr>
          <w:rFonts w:hint="cs"/>
          <w:rtl/>
        </w:rPr>
        <w:t>והית.</w:t>
      </w:r>
    </w:p>
    <w:p w14:paraId="4FCDA9F9" w14:textId="79CC4828" w:rsidR="00CF76CD" w:rsidRDefault="00470C19" w:rsidP="00A36440">
      <w:pPr>
        <w:pStyle w:val="FootnoteText"/>
        <w:rPr>
          <w:rtl/>
        </w:rPr>
      </w:pPr>
      <w:r>
        <w:rPr>
          <w:rFonts w:hint="cs"/>
          <w:rtl/>
        </w:rPr>
        <w:t xml:space="preserve">יש קושי </w:t>
      </w:r>
      <w:r w:rsidR="00563F96">
        <w:rPr>
          <w:rFonts w:hint="cs"/>
          <w:rtl/>
        </w:rPr>
        <w:t>עצום</w:t>
      </w:r>
      <w:r>
        <w:rPr>
          <w:rFonts w:hint="cs"/>
          <w:rtl/>
        </w:rPr>
        <w:t xml:space="preserve"> לראות שכל מדרגה בהשתלשלות המציאות יש לה מציאות גמורה ואמיתית</w:t>
      </w:r>
      <w:r w:rsidR="00C15A0E">
        <w:rPr>
          <w:rFonts w:hint="cs"/>
          <w:rtl/>
        </w:rPr>
        <w:t xml:space="preserve"> ומוחלטת, וגם לגוף יש מציאות כזו ולא רק לנפש, ואמיתת מציאות הגוף לא מתער</w:t>
      </w:r>
      <w:r w:rsidR="007D69B1">
        <w:rPr>
          <w:rFonts w:hint="cs"/>
          <w:rtl/>
        </w:rPr>
        <w:t>ער</w:t>
      </w:r>
      <w:r w:rsidR="00C15A0E">
        <w:rPr>
          <w:rFonts w:hint="cs"/>
          <w:rtl/>
        </w:rPr>
        <w:t xml:space="preserve">ת מכח אמיתת מציאותה נפש. </w:t>
      </w:r>
      <w:r w:rsidR="007D69B1">
        <w:rPr>
          <w:rFonts w:hint="cs"/>
          <w:rtl/>
        </w:rPr>
        <w:t xml:space="preserve">זו הסתירה שהיא סוד מעשה מרכבה, ובלשון האר"י סוד הצמצום, </w:t>
      </w:r>
      <w:r w:rsidR="00DD6C91">
        <w:rPr>
          <w:rFonts w:hint="cs"/>
          <w:rtl/>
        </w:rPr>
        <w:t>וכמו שכתב במורה נבוכים א' ע"ב במקום שכתב ישתבח מי שנצחנו שלמותו", ובמטאפיזיקה</w:t>
      </w:r>
      <w:r w:rsidR="005434CB">
        <w:rPr>
          <w:rFonts w:hint="cs"/>
          <w:rtl/>
        </w:rPr>
        <w:t xml:space="preserve"> </w:t>
      </w:r>
      <w:r w:rsidR="00DD6C91">
        <w:rPr>
          <w:rFonts w:hint="cs"/>
          <w:rtl/>
        </w:rPr>
        <w:t xml:space="preserve">למבדא תחילת פרק י'. </w:t>
      </w:r>
      <w:r w:rsidR="001C64D5">
        <w:rPr>
          <w:rFonts w:hint="cs"/>
          <w:rtl/>
        </w:rPr>
        <w:t xml:space="preserve">הסתירה הזו אומרת שמצד אחד רק הבורא נמצא, כי הוא אחדות פשוטה </w:t>
      </w:r>
      <w:r w:rsidR="00C907EA">
        <w:rPr>
          <w:rFonts w:hint="cs"/>
          <w:rtl/>
        </w:rPr>
        <w:t>של אין סוף</w:t>
      </w:r>
      <w:r w:rsidR="00AE06E9">
        <w:rPr>
          <w:rFonts w:hint="cs"/>
          <w:rtl/>
        </w:rPr>
        <w:t xml:space="preserve"> מוחלט</w:t>
      </w:r>
      <w:r w:rsidR="00C907EA">
        <w:rPr>
          <w:rFonts w:hint="cs"/>
          <w:rtl/>
        </w:rPr>
        <w:t xml:space="preserve">, שלא ייתכן שיש בה גבול שמאפשר מציאות של </w:t>
      </w:r>
      <w:r w:rsidR="00AE06E9">
        <w:rPr>
          <w:rFonts w:hint="cs"/>
          <w:rtl/>
        </w:rPr>
        <w:t>נבראים כלשהם. ומצד שני יש מציאות לנבראים. ושני הצדדים הם אמת גמורה</w:t>
      </w:r>
      <w:r w:rsidR="00C523C0">
        <w:rPr>
          <w:rFonts w:hint="cs"/>
          <w:rtl/>
        </w:rPr>
        <w:t xml:space="preserve"> לחלוטין,</w:t>
      </w:r>
      <w:r w:rsidR="00AE06E9">
        <w:rPr>
          <w:rFonts w:hint="cs"/>
          <w:rtl/>
        </w:rPr>
        <w:t xml:space="preserve"> ואינם מערערים זה את זה</w:t>
      </w:r>
      <w:r w:rsidR="00C523C0">
        <w:rPr>
          <w:rFonts w:hint="cs"/>
          <w:rtl/>
        </w:rPr>
        <w:t xml:space="preserve">, </w:t>
      </w:r>
      <w:r w:rsidR="006330AF">
        <w:rPr>
          <w:rFonts w:hint="cs"/>
          <w:rtl/>
        </w:rPr>
        <w:t>ואיננו מוותרים על המוחלטות של כל צד למרות הצד הסותר לו</w:t>
      </w:r>
      <w:r w:rsidR="00C57E60">
        <w:rPr>
          <w:rFonts w:hint="cs"/>
          <w:rtl/>
        </w:rPr>
        <w:t xml:space="preserve">, </w:t>
      </w:r>
      <w:r w:rsidR="00C523C0">
        <w:rPr>
          <w:rFonts w:hint="cs"/>
          <w:rtl/>
        </w:rPr>
        <w:t xml:space="preserve">ואין שום דרך ליישב את הסתירה הזו, אלא אנו חיים עמה כמנוצחים. </w:t>
      </w:r>
      <w:r w:rsidR="006330AF">
        <w:rPr>
          <w:rFonts w:hint="cs"/>
          <w:rtl/>
        </w:rPr>
        <w:t>רק מכח זה אפשר לומר שבאמת יש לגוף מציאות גמורה אמיתית ומוחלטת, ו</w:t>
      </w:r>
      <w:r w:rsidR="00945BB2">
        <w:rPr>
          <w:rFonts w:hint="cs"/>
          <w:rtl/>
        </w:rPr>
        <w:t>אמיתת מציאות</w:t>
      </w:r>
      <w:r w:rsidR="004D062D">
        <w:rPr>
          <w:rFonts w:hint="cs"/>
          <w:rtl/>
        </w:rPr>
        <w:t xml:space="preserve"> החומר והגוף</w:t>
      </w:r>
      <w:r w:rsidR="006330AF">
        <w:rPr>
          <w:rFonts w:hint="cs"/>
          <w:rtl/>
        </w:rPr>
        <w:t xml:space="preserve"> לא </w:t>
      </w:r>
      <w:r w:rsidR="00C57E60">
        <w:rPr>
          <w:rFonts w:hint="cs"/>
          <w:rtl/>
        </w:rPr>
        <w:t>נחלש</w:t>
      </w:r>
      <w:r w:rsidR="004D062D">
        <w:rPr>
          <w:rFonts w:hint="cs"/>
          <w:rtl/>
        </w:rPr>
        <w:t>ת</w:t>
      </w:r>
      <w:r w:rsidR="006330AF">
        <w:rPr>
          <w:rFonts w:hint="cs"/>
          <w:rtl/>
        </w:rPr>
        <w:t xml:space="preserve"> </w:t>
      </w:r>
      <w:r w:rsidR="00C57E60">
        <w:rPr>
          <w:rFonts w:hint="cs"/>
          <w:rtl/>
        </w:rPr>
        <w:t>מכח</w:t>
      </w:r>
      <w:r w:rsidR="006330AF">
        <w:rPr>
          <w:rFonts w:hint="cs"/>
          <w:rtl/>
        </w:rPr>
        <w:t xml:space="preserve"> האחדות האלוהית</w:t>
      </w:r>
      <w:r w:rsidR="00C57E60">
        <w:rPr>
          <w:rFonts w:hint="cs"/>
          <w:rtl/>
        </w:rPr>
        <w:t>, אע"פ שהא</w:t>
      </w:r>
      <w:r w:rsidR="004D062D">
        <w:rPr>
          <w:rFonts w:hint="cs"/>
          <w:rtl/>
        </w:rPr>
        <w:t>חדות האלוהית אכן</w:t>
      </w:r>
      <w:r w:rsidR="00C57E60">
        <w:rPr>
          <w:rFonts w:hint="cs"/>
          <w:rtl/>
        </w:rPr>
        <w:t xml:space="preserve"> סותרת למציאות</w:t>
      </w:r>
      <w:r w:rsidR="00945BB2">
        <w:rPr>
          <w:rFonts w:hint="cs"/>
          <w:rtl/>
        </w:rPr>
        <w:t xml:space="preserve"> </w:t>
      </w:r>
      <w:r w:rsidR="00C57E60">
        <w:rPr>
          <w:rFonts w:hint="cs"/>
          <w:rtl/>
        </w:rPr>
        <w:t>המוחלטת של חומר</w:t>
      </w:r>
      <w:r w:rsidR="006330AF">
        <w:rPr>
          <w:rFonts w:hint="cs"/>
          <w:rtl/>
        </w:rPr>
        <w:t xml:space="preserve">. </w:t>
      </w:r>
      <w:r w:rsidR="00130FC8">
        <w:rPr>
          <w:rFonts w:hint="cs"/>
          <w:rtl/>
        </w:rPr>
        <w:t xml:space="preserve">יש הוגים וכגון שיטת אבן רושד, שמכח שלא יכלו לקבל את הסתירה הזו </w:t>
      </w:r>
      <w:r w:rsidR="00C424C1">
        <w:rPr>
          <w:rFonts w:hint="cs"/>
          <w:rtl/>
        </w:rPr>
        <w:t>ולחיות כמנוצחים, סברו שהאל לא באמת אחד פשוט ונבדל מהחומר (זו השיטה שהמורה נבוכים חל</w:t>
      </w:r>
      <w:r w:rsidR="002A28AC">
        <w:rPr>
          <w:rFonts w:hint="cs"/>
          <w:rtl/>
        </w:rPr>
        <w:t>ק</w:t>
      </w:r>
      <w:r w:rsidR="00C424C1">
        <w:rPr>
          <w:rFonts w:hint="cs"/>
          <w:rtl/>
        </w:rPr>
        <w:t xml:space="preserve"> ב' </w:t>
      </w:r>
      <w:r w:rsidR="002A28AC">
        <w:rPr>
          <w:rFonts w:hint="cs"/>
          <w:rtl/>
        </w:rPr>
        <w:t xml:space="preserve">עד פרק כ"ה </w:t>
      </w:r>
      <w:r w:rsidR="00C424C1">
        <w:rPr>
          <w:rFonts w:hint="cs"/>
          <w:rtl/>
        </w:rPr>
        <w:t xml:space="preserve">קורא לה </w:t>
      </w:r>
      <w:r w:rsidR="002A28AC">
        <w:rPr>
          <w:rFonts w:hint="cs"/>
          <w:rtl/>
        </w:rPr>
        <w:t>'</w:t>
      </w:r>
      <w:r w:rsidR="00C424C1">
        <w:rPr>
          <w:rFonts w:hint="cs"/>
          <w:rtl/>
        </w:rPr>
        <w:t>קדמות העולם</w:t>
      </w:r>
      <w:r w:rsidR="002A28AC">
        <w:rPr>
          <w:rFonts w:hint="cs"/>
          <w:rtl/>
        </w:rPr>
        <w:t>'</w:t>
      </w:r>
      <w:r w:rsidR="00C424C1">
        <w:rPr>
          <w:rFonts w:hint="cs"/>
          <w:rtl/>
        </w:rPr>
        <w:t xml:space="preserve"> ומייחס אותה לאריסטו, למרות שבלי ספק הוא </w:t>
      </w:r>
      <w:r w:rsidR="002A28AC">
        <w:rPr>
          <w:rFonts w:hint="cs"/>
          <w:rtl/>
        </w:rPr>
        <w:t>סבר שאריסטו בעצמו לא סבר כך</w:t>
      </w:r>
      <w:r w:rsidR="00340E9B">
        <w:rPr>
          <w:rFonts w:hint="cs"/>
          <w:rtl/>
        </w:rPr>
        <w:t xml:space="preserve">, אלא הוא סבר גם את שיטת קדמות העולם וגם את שיטת חידוש העולם, וזה אופן של </w:t>
      </w:r>
      <w:r w:rsidR="00775D94">
        <w:rPr>
          <w:rFonts w:hint="cs"/>
          <w:rtl/>
        </w:rPr>
        <w:t xml:space="preserve">אותה </w:t>
      </w:r>
      <w:r w:rsidR="00340E9B">
        <w:rPr>
          <w:rFonts w:hint="cs"/>
          <w:rtl/>
        </w:rPr>
        <w:t>סתירה</w:t>
      </w:r>
      <w:r w:rsidR="00775D94">
        <w:rPr>
          <w:rFonts w:hint="cs"/>
          <w:rtl/>
        </w:rPr>
        <w:t xml:space="preserve"> יסודית שבשורש המציאות</w:t>
      </w:r>
      <w:r w:rsidR="002A28AC">
        <w:rPr>
          <w:rFonts w:hint="cs"/>
          <w:rtl/>
        </w:rPr>
        <w:t>)</w:t>
      </w:r>
      <w:r w:rsidR="0027085C">
        <w:rPr>
          <w:rFonts w:hint="cs"/>
          <w:rtl/>
        </w:rPr>
        <w:t>. ויש הוגים שסברו שהכל רק אלוהות ואין כלל טבע, ובאמת גם אין מציאות גמורה</w:t>
      </w:r>
      <w:r w:rsidR="005E1C10">
        <w:rPr>
          <w:rFonts w:hint="cs"/>
          <w:rtl/>
        </w:rPr>
        <w:t xml:space="preserve"> </w:t>
      </w:r>
      <w:r w:rsidR="0027085C">
        <w:rPr>
          <w:rFonts w:hint="cs"/>
          <w:rtl/>
        </w:rPr>
        <w:t>לחומר,</w:t>
      </w:r>
      <w:r w:rsidR="005E1C10">
        <w:rPr>
          <w:rFonts w:hint="cs"/>
          <w:rtl/>
        </w:rPr>
        <w:t xml:space="preserve"> זו שיטת הקנאות הדתית שהמורה נבוכים מביא בשם כת המדברים, או הכלאם.</w:t>
      </w:r>
    </w:p>
    <w:p w14:paraId="0DF7EB2C" w14:textId="77777777" w:rsidR="00313EC0" w:rsidRDefault="00CF76CD" w:rsidP="00A36440">
      <w:pPr>
        <w:pStyle w:val="FootnoteText"/>
        <w:rPr>
          <w:rtl/>
        </w:rPr>
      </w:pPr>
      <w:r>
        <w:rPr>
          <w:rFonts w:hint="cs"/>
          <w:rtl/>
        </w:rPr>
        <w:t xml:space="preserve">לפי שיטות הקנאות הדתית, שנמצאת הרבה מאוד גם ביהדות, </w:t>
      </w:r>
      <w:r w:rsidR="00D830D2">
        <w:rPr>
          <w:rFonts w:hint="cs"/>
          <w:rtl/>
        </w:rPr>
        <w:t xml:space="preserve">מוצדק להרוג אנשים בשם הג'יהאד או האינקוויזיציה, כי </w:t>
      </w:r>
      <w:r w:rsidR="00021929">
        <w:rPr>
          <w:rFonts w:hint="cs"/>
          <w:rtl/>
        </w:rPr>
        <w:t xml:space="preserve">הורגים רק את גופם ומועילים לנשמתם, שהיא לבדה המציאות האמיתית שלהם. </w:t>
      </w:r>
      <w:r w:rsidR="00741183">
        <w:rPr>
          <w:rFonts w:hint="cs"/>
          <w:rtl/>
        </w:rPr>
        <w:t xml:space="preserve">שאלו את אחד מגדולי הפוסקים בהלכה האם נכון לנתק ילדים מאביהם שחדל מלהיות חרדי </w:t>
      </w:r>
      <w:r w:rsidR="002B1F64">
        <w:rPr>
          <w:rFonts w:hint="cs"/>
          <w:rtl/>
        </w:rPr>
        <w:t>משום החשש שיושפעו ממנו, ואע"פ שבלי ספק זה גורם להם נזק נפשי חמור מאוד. והוא השיב שאם יש חשש קטן שיטלטלו פעם אחת מוקצה בשבת, זה מכריע</w:t>
      </w:r>
      <w:r w:rsidR="00060219">
        <w:rPr>
          <w:rFonts w:hint="cs"/>
          <w:rtl/>
        </w:rPr>
        <w:t xml:space="preserve"> שיש</w:t>
      </w:r>
      <w:r w:rsidR="00912E04">
        <w:rPr>
          <w:rFonts w:hint="cs"/>
          <w:rtl/>
        </w:rPr>
        <w:t xml:space="preserve"> </w:t>
      </w:r>
      <w:r w:rsidR="00060219">
        <w:rPr>
          <w:rFonts w:hint="cs"/>
          <w:rtl/>
        </w:rPr>
        <w:t>לנתק את הקשר,</w:t>
      </w:r>
      <w:r w:rsidR="002B1F64">
        <w:rPr>
          <w:rFonts w:hint="cs"/>
          <w:rtl/>
        </w:rPr>
        <w:t xml:space="preserve"> </w:t>
      </w:r>
      <w:r w:rsidR="00060219">
        <w:rPr>
          <w:rFonts w:hint="cs"/>
          <w:rtl/>
        </w:rPr>
        <w:t>ולא אכפת כלל כמה נזק נפשי יהיה,</w:t>
      </w:r>
      <w:r w:rsidR="002B1F64">
        <w:rPr>
          <w:rFonts w:hint="cs"/>
          <w:rtl/>
        </w:rPr>
        <w:t xml:space="preserve"> כי </w:t>
      </w:r>
      <w:r w:rsidR="00060219">
        <w:rPr>
          <w:rFonts w:hint="cs"/>
          <w:rtl/>
        </w:rPr>
        <w:t xml:space="preserve">הלכה </w:t>
      </w:r>
      <w:r w:rsidR="002B1F64">
        <w:rPr>
          <w:rFonts w:hint="cs"/>
          <w:rtl/>
        </w:rPr>
        <w:t xml:space="preserve">זה רוחניות </w:t>
      </w:r>
      <w:r w:rsidR="00060219">
        <w:rPr>
          <w:rFonts w:hint="cs"/>
          <w:rtl/>
        </w:rPr>
        <w:t xml:space="preserve">ואלוהות </w:t>
      </w:r>
      <w:r w:rsidR="002B1F64">
        <w:rPr>
          <w:rFonts w:hint="cs"/>
          <w:rtl/>
        </w:rPr>
        <w:t>ו</w:t>
      </w:r>
      <w:r w:rsidR="00060219">
        <w:rPr>
          <w:rFonts w:hint="cs"/>
          <w:rtl/>
        </w:rPr>
        <w:t xml:space="preserve">לכן זה </w:t>
      </w:r>
      <w:r w:rsidR="002B1F64">
        <w:rPr>
          <w:rFonts w:hint="cs"/>
          <w:rtl/>
        </w:rPr>
        <w:t xml:space="preserve">יותר חשוב. </w:t>
      </w:r>
      <w:r w:rsidR="00821B1F">
        <w:rPr>
          <w:rFonts w:hint="cs"/>
          <w:rtl/>
        </w:rPr>
        <w:t xml:space="preserve">גם ברמב"ם בהלכות יסודי התורה כתב שהדרך לאהבתו ויראתו היא שיתבונן במעשיו וברואיו הנפלאים הגדולים. </w:t>
      </w:r>
      <w:r w:rsidR="006768B4">
        <w:rPr>
          <w:rFonts w:hint="cs"/>
          <w:rtl/>
        </w:rPr>
        <w:t>וביהדות מתבוננים רק בספר התורה ולא במעשיו וברואיו, כי לדעתם ברובד הרוחני</w:t>
      </w:r>
      <w:r w:rsidR="00EE0A1F">
        <w:rPr>
          <w:rFonts w:hint="cs"/>
          <w:rtl/>
        </w:rPr>
        <w:t>, בספר,</w:t>
      </w:r>
      <w:r w:rsidR="006768B4">
        <w:rPr>
          <w:rFonts w:hint="cs"/>
          <w:rtl/>
        </w:rPr>
        <w:t xml:space="preserve"> שם האמת והמציאות ול</w:t>
      </w:r>
      <w:r w:rsidR="00EE0A1F">
        <w:rPr>
          <w:rFonts w:hint="cs"/>
          <w:rtl/>
        </w:rPr>
        <w:t>א</w:t>
      </w:r>
      <w:r w:rsidR="006768B4">
        <w:rPr>
          <w:rFonts w:hint="cs"/>
          <w:rtl/>
        </w:rPr>
        <w:t xml:space="preserve"> בנבראים החומריים. </w:t>
      </w:r>
      <w:r w:rsidR="003951CE">
        <w:rPr>
          <w:rFonts w:hint="cs"/>
          <w:rtl/>
        </w:rPr>
        <w:t>הנזק הנורא של קנאות דתית לא מחייב הריגת אנשים בג'יהאד או אינקוויזיציה, והיהדות לא נקייה ממנו.</w:t>
      </w:r>
    </w:p>
    <w:p w14:paraId="590B0C3F" w14:textId="1A6ACAEF" w:rsidR="0054646D" w:rsidRDefault="003951CE" w:rsidP="00A36440">
      <w:pPr>
        <w:pStyle w:val="FootnoteText"/>
        <w:rPr>
          <w:rtl/>
        </w:rPr>
      </w:pPr>
      <w:r>
        <w:rPr>
          <w:rFonts w:hint="cs"/>
          <w:rtl/>
        </w:rPr>
        <w:t xml:space="preserve"> </w:t>
      </w:r>
      <w:r w:rsidR="002B1F64">
        <w:rPr>
          <w:rFonts w:hint="cs"/>
          <w:rtl/>
        </w:rPr>
        <w:t xml:space="preserve"> </w:t>
      </w:r>
      <w:r w:rsidR="00021929">
        <w:rPr>
          <w:rFonts w:hint="cs"/>
          <w:rtl/>
        </w:rPr>
        <w:t xml:space="preserve"> </w:t>
      </w:r>
      <w:r w:rsidR="0027085C">
        <w:rPr>
          <w:rFonts w:hint="cs"/>
          <w:rtl/>
        </w:rPr>
        <w:t xml:space="preserve"> </w:t>
      </w:r>
      <w:r w:rsidR="00470C19">
        <w:rPr>
          <w:rFonts w:hint="cs"/>
          <w:rtl/>
        </w:rPr>
        <w:t xml:space="preserve"> </w:t>
      </w:r>
    </w:p>
    <w:p w14:paraId="25D4D259" w14:textId="77777777" w:rsidR="00FC35F1" w:rsidRDefault="00CB3D6E" w:rsidP="00FC35F1">
      <w:pPr>
        <w:pStyle w:val="FootnoteText"/>
        <w:rPr>
          <w:rtl/>
        </w:rPr>
      </w:pPr>
      <w:r>
        <w:rPr>
          <w:rFonts w:hint="cs"/>
          <w:rtl/>
        </w:rPr>
        <w:t xml:space="preserve">בעניין הדחף, מה שפילופונוס מתעלם מכך שגם גוף יכול </w:t>
      </w:r>
      <w:r w:rsidR="005D38C4">
        <w:rPr>
          <w:rFonts w:hint="cs"/>
          <w:rtl/>
        </w:rPr>
        <w:t>ל</w:t>
      </w:r>
      <w:r>
        <w:rPr>
          <w:rFonts w:hint="cs"/>
          <w:rtl/>
        </w:rPr>
        <w:t>השרות דחף ולא רק נפש</w:t>
      </w:r>
      <w:r w:rsidR="005D38C4">
        <w:rPr>
          <w:rFonts w:hint="cs"/>
          <w:rtl/>
        </w:rPr>
        <w:t xml:space="preserve"> (וגם אם מקור הדחף ומהותו רוחניים, עדיין הגוף עושה זאת כגוף ולא כרוח)</w:t>
      </w:r>
      <w:r>
        <w:rPr>
          <w:rFonts w:hint="cs"/>
          <w:rtl/>
        </w:rPr>
        <w:t>, זו ה</w:t>
      </w:r>
      <w:r w:rsidR="00313EC0">
        <w:rPr>
          <w:rFonts w:hint="cs"/>
          <w:rtl/>
        </w:rPr>
        <w:t>חלשה</w:t>
      </w:r>
      <w:r>
        <w:rPr>
          <w:rFonts w:hint="cs"/>
          <w:rtl/>
        </w:rPr>
        <w:t xml:space="preserve"> </w:t>
      </w:r>
      <w:r w:rsidR="00984CD3">
        <w:rPr>
          <w:rFonts w:hint="cs"/>
          <w:rtl/>
        </w:rPr>
        <w:t xml:space="preserve">של </w:t>
      </w:r>
      <w:r>
        <w:rPr>
          <w:rFonts w:hint="cs"/>
          <w:rtl/>
        </w:rPr>
        <w:t>ה</w:t>
      </w:r>
      <w:r w:rsidR="00056D94">
        <w:rPr>
          <w:rFonts w:hint="cs"/>
          <w:rtl/>
        </w:rPr>
        <w:t>מ</w:t>
      </w:r>
      <w:r>
        <w:rPr>
          <w:rFonts w:hint="cs"/>
          <w:rtl/>
        </w:rPr>
        <w:t xml:space="preserve">קום של הגוף בהווייה. </w:t>
      </w:r>
      <w:r w:rsidR="00056D94">
        <w:rPr>
          <w:rFonts w:hint="cs"/>
          <w:rtl/>
        </w:rPr>
        <w:t xml:space="preserve">אחרי שמגיעים לראות את האלוהות המוחלטת המופשטת אז רואים שהגוף אין לו מציאות, אבל </w:t>
      </w:r>
      <w:r w:rsidR="009153C6">
        <w:rPr>
          <w:rFonts w:hint="cs"/>
          <w:rtl/>
        </w:rPr>
        <w:t xml:space="preserve">זה המבט המטאפיזי, והוא לא שולל את כל דרכי המבט שלמטה ממנו. לכן אצל אריסטו </w:t>
      </w:r>
      <w:r w:rsidR="000E5EDB">
        <w:rPr>
          <w:rFonts w:hint="cs"/>
          <w:rtl/>
        </w:rPr>
        <w:t>נשאר ספר</w:t>
      </w:r>
      <w:r w:rsidR="009153C6">
        <w:rPr>
          <w:rFonts w:hint="cs"/>
          <w:rtl/>
        </w:rPr>
        <w:t xml:space="preserve"> </w:t>
      </w:r>
      <w:r w:rsidR="000E5EDB">
        <w:rPr>
          <w:rFonts w:hint="cs"/>
          <w:rtl/>
        </w:rPr>
        <w:t>ה</w:t>
      </w:r>
      <w:r w:rsidR="009153C6">
        <w:rPr>
          <w:rFonts w:hint="cs"/>
          <w:rtl/>
        </w:rPr>
        <w:t xml:space="preserve">פיזיקה </w:t>
      </w:r>
      <w:r w:rsidR="000E5EDB">
        <w:rPr>
          <w:rFonts w:hint="cs"/>
          <w:rtl/>
        </w:rPr>
        <w:t>גם אחרי שהגענו ל</w:t>
      </w:r>
      <w:r w:rsidR="009153C6">
        <w:rPr>
          <w:rFonts w:hint="cs"/>
          <w:rtl/>
        </w:rPr>
        <w:t xml:space="preserve">מטאפיזיקה. </w:t>
      </w:r>
      <w:r w:rsidR="00162325">
        <w:rPr>
          <w:rFonts w:hint="cs"/>
          <w:rtl/>
        </w:rPr>
        <w:t>הגוף</w:t>
      </w:r>
      <w:r w:rsidR="00056D94">
        <w:rPr>
          <w:rFonts w:hint="cs"/>
          <w:rtl/>
        </w:rPr>
        <w:t xml:space="preserve"> הוא</w:t>
      </w:r>
      <w:r w:rsidR="00D51DD2">
        <w:rPr>
          <w:rFonts w:hint="cs"/>
          <w:rtl/>
        </w:rPr>
        <w:t xml:space="preserve"> </w:t>
      </w:r>
      <w:r w:rsidR="00056D94">
        <w:rPr>
          <w:rFonts w:hint="cs"/>
          <w:rtl/>
        </w:rPr>
        <w:t>לא שקר</w:t>
      </w:r>
      <w:r w:rsidR="00D51DD2">
        <w:rPr>
          <w:rFonts w:hint="cs"/>
          <w:rtl/>
        </w:rPr>
        <w:t xml:space="preserve"> </w:t>
      </w:r>
      <w:r w:rsidR="00162325">
        <w:rPr>
          <w:rFonts w:hint="cs"/>
          <w:rtl/>
        </w:rPr>
        <w:t>ו</w:t>
      </w:r>
      <w:r w:rsidR="00D51DD2">
        <w:rPr>
          <w:rFonts w:hint="cs"/>
          <w:rtl/>
        </w:rPr>
        <w:t xml:space="preserve">לכן גם אין מקום לסיגופים, </w:t>
      </w:r>
      <w:r w:rsidR="009D38B7">
        <w:rPr>
          <w:rFonts w:hint="cs"/>
          <w:rtl/>
        </w:rPr>
        <w:t xml:space="preserve">כי </w:t>
      </w:r>
      <w:r w:rsidR="00D51DD2">
        <w:rPr>
          <w:rFonts w:hint="cs"/>
          <w:rtl/>
        </w:rPr>
        <w:t>הבורא</w:t>
      </w:r>
      <w:r w:rsidR="009D38B7">
        <w:rPr>
          <w:rFonts w:hint="cs"/>
          <w:rtl/>
        </w:rPr>
        <w:t xml:space="preserve"> </w:t>
      </w:r>
      <w:r w:rsidR="00D51DD2">
        <w:rPr>
          <w:rFonts w:hint="cs"/>
          <w:rtl/>
        </w:rPr>
        <w:t>לא שונא את הגוף</w:t>
      </w:r>
      <w:r w:rsidR="00162325">
        <w:rPr>
          <w:rFonts w:hint="cs"/>
          <w:rtl/>
        </w:rPr>
        <w:t>,</w:t>
      </w:r>
      <w:r w:rsidR="00D51DD2">
        <w:rPr>
          <w:rFonts w:hint="cs"/>
          <w:rtl/>
        </w:rPr>
        <w:t xml:space="preserve"> </w:t>
      </w:r>
      <w:r w:rsidR="00162325">
        <w:rPr>
          <w:rFonts w:hint="cs"/>
          <w:rtl/>
        </w:rPr>
        <w:t>ו</w:t>
      </w:r>
      <w:r w:rsidR="00D51DD2">
        <w:rPr>
          <w:rFonts w:hint="cs"/>
          <w:rtl/>
        </w:rPr>
        <w:t>כמו</w:t>
      </w:r>
      <w:r w:rsidR="009D38B7">
        <w:rPr>
          <w:rFonts w:hint="cs"/>
          <w:rtl/>
        </w:rPr>
        <w:t xml:space="preserve"> </w:t>
      </w:r>
      <w:r w:rsidR="00D51DD2">
        <w:rPr>
          <w:rFonts w:hint="cs"/>
          <w:rtl/>
        </w:rPr>
        <w:t>ש</w:t>
      </w:r>
      <w:r w:rsidR="009D38B7">
        <w:rPr>
          <w:rFonts w:hint="cs"/>
          <w:rtl/>
        </w:rPr>
        <w:t>כ</w:t>
      </w:r>
      <w:r w:rsidR="00D51DD2">
        <w:rPr>
          <w:rFonts w:hint="cs"/>
          <w:rtl/>
        </w:rPr>
        <w:t>תב הרמב"ם בשמונה פרקים</w:t>
      </w:r>
      <w:r w:rsidR="009D38B7">
        <w:rPr>
          <w:rFonts w:hint="cs"/>
          <w:rtl/>
        </w:rPr>
        <w:t>. הגוף החומרי הוא לא שקר שמסתיר את האלהות אלא הוא כלי הכרחי לגילוי של האלוהות</w:t>
      </w:r>
      <w:r w:rsidR="001576CE">
        <w:rPr>
          <w:rFonts w:hint="cs"/>
          <w:rtl/>
        </w:rPr>
        <w:t xml:space="preserve">, </w:t>
      </w:r>
      <w:r w:rsidR="00713ACE">
        <w:rPr>
          <w:rFonts w:hint="cs"/>
          <w:rtl/>
        </w:rPr>
        <w:t xml:space="preserve">כי בלי חומר אין סדר ואין גילוי חכמה, </w:t>
      </w:r>
      <w:r w:rsidR="001576CE">
        <w:rPr>
          <w:rFonts w:hint="cs"/>
          <w:rtl/>
        </w:rPr>
        <w:t>ולכן יש לטפח אותו ולא לסגפו</w:t>
      </w:r>
      <w:r w:rsidR="00056D94">
        <w:rPr>
          <w:rFonts w:hint="cs"/>
          <w:rtl/>
        </w:rPr>
        <w:t>.</w:t>
      </w:r>
      <w:r w:rsidR="00FC35F1">
        <w:rPr>
          <w:rFonts w:hint="cs"/>
          <w:rtl/>
        </w:rPr>
        <w:t xml:space="preserve"> </w:t>
      </w:r>
    </w:p>
    <w:p w14:paraId="4D7B3F69" w14:textId="326B69AC" w:rsidR="003E71C9" w:rsidRDefault="00087286" w:rsidP="00FC35F1">
      <w:pPr>
        <w:pStyle w:val="FootnoteText"/>
        <w:rPr>
          <w:rtl/>
        </w:rPr>
      </w:pPr>
      <w:r>
        <w:rPr>
          <w:rFonts w:hint="cs"/>
          <w:rtl/>
        </w:rPr>
        <w:t>לכן יש באמת בחומר בעצמו יכולת להעביר 'דחף' של תנועה</w:t>
      </w:r>
      <w:r w:rsidR="00B266D6">
        <w:rPr>
          <w:rFonts w:hint="cs"/>
          <w:rtl/>
        </w:rPr>
        <w:t xml:space="preserve"> גם מבחינת חומריותו</w:t>
      </w:r>
      <w:r>
        <w:rPr>
          <w:rFonts w:hint="cs"/>
          <w:rtl/>
        </w:rPr>
        <w:t xml:space="preserve">, </w:t>
      </w:r>
      <w:r w:rsidR="00FC35F1">
        <w:rPr>
          <w:rFonts w:hint="cs"/>
          <w:rtl/>
        </w:rPr>
        <w:t>כי יש ל</w:t>
      </w:r>
      <w:r w:rsidR="00B266D6">
        <w:rPr>
          <w:rFonts w:hint="cs"/>
          <w:rtl/>
        </w:rPr>
        <w:t>ו</w:t>
      </w:r>
      <w:r w:rsidR="00FC35F1">
        <w:rPr>
          <w:rFonts w:hint="cs"/>
          <w:rtl/>
        </w:rPr>
        <w:t xml:space="preserve"> מציאות</w:t>
      </w:r>
      <w:r w:rsidR="00B266D6">
        <w:rPr>
          <w:rFonts w:hint="cs"/>
          <w:rtl/>
        </w:rPr>
        <w:t xml:space="preserve"> גמורה</w:t>
      </w:r>
      <w:r w:rsidR="00FC35F1">
        <w:rPr>
          <w:rFonts w:hint="cs"/>
          <w:rtl/>
        </w:rPr>
        <w:t xml:space="preserve">, והנפש </w:t>
      </w:r>
      <w:r w:rsidR="00B266D6">
        <w:rPr>
          <w:rFonts w:hint="cs"/>
          <w:rtl/>
        </w:rPr>
        <w:t>לא</w:t>
      </w:r>
      <w:r w:rsidR="00FC35F1">
        <w:rPr>
          <w:rFonts w:hint="cs"/>
          <w:rtl/>
        </w:rPr>
        <w:t xml:space="preserve"> מבטלת אותה, </w:t>
      </w:r>
      <w:r>
        <w:rPr>
          <w:rFonts w:hint="cs"/>
          <w:rtl/>
        </w:rPr>
        <w:t xml:space="preserve">ולכן </w:t>
      </w:r>
      <w:r w:rsidR="004771C8">
        <w:rPr>
          <w:rFonts w:hint="cs"/>
          <w:rtl/>
        </w:rPr>
        <w:t>אי אפשר</w:t>
      </w:r>
      <w:r w:rsidR="00C157DC">
        <w:rPr>
          <w:rFonts w:hint="cs"/>
          <w:rtl/>
        </w:rPr>
        <w:t xml:space="preserve"> </w:t>
      </w:r>
      <w:r w:rsidR="004771C8">
        <w:rPr>
          <w:rFonts w:hint="cs"/>
          <w:rtl/>
        </w:rPr>
        <w:t xml:space="preserve">לראות בדחף שנובע מהנפש להרים את היד </w:t>
      </w:r>
      <w:r w:rsidR="005A7E72">
        <w:rPr>
          <w:rFonts w:hint="cs"/>
          <w:rtl/>
        </w:rPr>
        <w:t xml:space="preserve">דחף </w:t>
      </w:r>
      <w:r w:rsidR="00174E61">
        <w:rPr>
          <w:rFonts w:hint="cs"/>
          <w:rtl/>
        </w:rPr>
        <w:t>שמבטל את ה</w:t>
      </w:r>
      <w:r w:rsidR="004771C8">
        <w:rPr>
          <w:rFonts w:hint="cs"/>
          <w:rtl/>
        </w:rPr>
        <w:t>טבע של הגוף</w:t>
      </w:r>
      <w:r w:rsidR="00174E61">
        <w:rPr>
          <w:rFonts w:hint="cs"/>
          <w:rtl/>
        </w:rPr>
        <w:t xml:space="preserve">, ואת מה שהתחלת התנועה של הגוף הקרובה והראשונה היא </w:t>
      </w:r>
      <w:r w:rsidR="0063253D">
        <w:rPr>
          <w:rFonts w:hint="cs"/>
          <w:rtl/>
        </w:rPr>
        <w:t>מהצד החומרי, כלומר הטבע של היד ליפול</w:t>
      </w:r>
      <w:r w:rsidR="00BA57EB">
        <w:rPr>
          <w:rFonts w:hint="cs"/>
          <w:rtl/>
        </w:rPr>
        <w:t xml:space="preserve"> </w:t>
      </w:r>
      <w:r w:rsidR="0063253D">
        <w:rPr>
          <w:rFonts w:hint="cs"/>
          <w:rtl/>
        </w:rPr>
        <w:t>ו</w:t>
      </w:r>
      <w:r w:rsidR="00793E88">
        <w:rPr>
          <w:rFonts w:hint="cs"/>
          <w:rtl/>
        </w:rPr>
        <w:t>לא</w:t>
      </w:r>
      <w:r w:rsidR="0063253D">
        <w:rPr>
          <w:rFonts w:hint="cs"/>
          <w:rtl/>
        </w:rPr>
        <w:t xml:space="preserve"> להיו</w:t>
      </w:r>
      <w:r w:rsidR="00793E88">
        <w:rPr>
          <w:rFonts w:hint="cs"/>
          <w:rtl/>
        </w:rPr>
        <w:t xml:space="preserve">ת </w:t>
      </w:r>
      <w:r w:rsidR="0063253D">
        <w:rPr>
          <w:rFonts w:hint="cs"/>
          <w:rtl/>
        </w:rPr>
        <w:t>מורמת</w:t>
      </w:r>
      <w:r w:rsidR="004771C8">
        <w:rPr>
          <w:rFonts w:hint="cs"/>
          <w:rtl/>
        </w:rPr>
        <w:t xml:space="preserve"> שמניע אותו באופן מהותי ובלתי אמצעי.</w:t>
      </w:r>
    </w:p>
    <w:p w14:paraId="1E347E62" w14:textId="14C87DCA" w:rsidR="006D5A4D" w:rsidRDefault="00096533" w:rsidP="00A36440">
      <w:pPr>
        <w:pStyle w:val="FootnoteText"/>
        <w:rPr>
          <w:rtl/>
        </w:rPr>
      </w:pPr>
      <w:r>
        <w:rPr>
          <w:rFonts w:hint="cs"/>
          <w:rtl/>
        </w:rPr>
        <w:t>שיטת אבן סינא היא ש</w:t>
      </w:r>
      <w:r w:rsidR="003E71C9">
        <w:rPr>
          <w:rFonts w:hint="cs"/>
          <w:rtl/>
        </w:rPr>
        <w:t xml:space="preserve">הדחף המהותי והראשוני שהוא בלתי אמצעי הוא הדחף שנובע מהחומר והוא הדחף של היד כלפי מטה. </w:t>
      </w:r>
      <w:r w:rsidR="000E117C">
        <w:rPr>
          <w:rFonts w:hint="cs"/>
          <w:rtl/>
        </w:rPr>
        <w:t xml:space="preserve">אם הנפש מניעה את הגוף, זה על ידי שהיא מפעילה כח </w:t>
      </w:r>
      <w:r w:rsidR="00551898">
        <w:rPr>
          <w:rFonts w:hint="cs"/>
          <w:rtl/>
        </w:rPr>
        <w:t>שאינו לפי טבעו של הגוף. כמו שראובן דוחף את שמעון</w:t>
      </w:r>
      <w:r w:rsidR="00ED0F01">
        <w:rPr>
          <w:rFonts w:hint="cs"/>
          <w:rtl/>
        </w:rPr>
        <w:t>,</w:t>
      </w:r>
      <w:r w:rsidR="00551898">
        <w:rPr>
          <w:rFonts w:hint="cs"/>
          <w:rtl/>
        </w:rPr>
        <w:t xml:space="preserve"> פעולה כזו אינה </w:t>
      </w:r>
      <w:r w:rsidR="00ED0F01">
        <w:rPr>
          <w:rFonts w:hint="cs"/>
          <w:rtl/>
        </w:rPr>
        <w:t>נובעת</w:t>
      </w:r>
      <w:r w:rsidR="00551898">
        <w:rPr>
          <w:rFonts w:hint="cs"/>
          <w:rtl/>
        </w:rPr>
        <w:t xml:space="preserve"> </w:t>
      </w:r>
      <w:r w:rsidR="00ED0F01">
        <w:rPr>
          <w:rFonts w:hint="cs"/>
          <w:rtl/>
        </w:rPr>
        <w:t>מ</w:t>
      </w:r>
      <w:r w:rsidR="00551898">
        <w:rPr>
          <w:rFonts w:hint="cs"/>
          <w:rtl/>
        </w:rPr>
        <w:t>טבעו המהותי של שמעון שמניע את עצמו, אלא נקראת פעולה על ידי אמצעי</w:t>
      </w:r>
      <w:r w:rsidR="00ED0F01">
        <w:rPr>
          <w:rFonts w:hint="cs"/>
          <w:rtl/>
        </w:rPr>
        <w:t>, כלומר יש כאן כח מניע שהוא האמצעי לפעול באמצעותו את התנועה והוא דחיפת ראובן</w:t>
      </w:r>
      <w:r w:rsidR="00141DE6">
        <w:rPr>
          <w:rFonts w:hint="cs"/>
          <w:rtl/>
        </w:rPr>
        <w:t xml:space="preserve">, ועל דרך זו היא הנעת הנפש את הבשר לפי דעת אבן סינא שכתב שהנפש מניעה על ידי אמצעי. </w:t>
      </w:r>
      <w:r w:rsidR="000019C3">
        <w:rPr>
          <w:rFonts w:hint="cs"/>
          <w:rtl/>
        </w:rPr>
        <w:t xml:space="preserve">כך אבן סינא לא מבטל את מקומו של החומר כיש אמיתי שפועל לפי עצמותו וטבעו. זה לא מכריח להגדיר את הנפש כדבר שאינו טבעי לבעל החיים, אלא היא טבע שמניע </w:t>
      </w:r>
      <w:r w:rsidR="00714A57">
        <w:rPr>
          <w:rFonts w:hint="cs"/>
          <w:rtl/>
        </w:rPr>
        <w:t>והוא במהותו של בעל החיים</w:t>
      </w:r>
      <w:r w:rsidR="00744C6B">
        <w:rPr>
          <w:rFonts w:hint="cs"/>
          <w:rtl/>
        </w:rPr>
        <w:t>.</w:t>
      </w:r>
      <w:r w:rsidR="00714A57">
        <w:rPr>
          <w:rFonts w:hint="cs"/>
          <w:rtl/>
        </w:rPr>
        <w:t xml:space="preserve"> הרי ההבדל בין בעל חיים לדומם וצומח הוא שבמהותו הוא חי כלומר בעל נפש שיכול</w:t>
      </w:r>
      <w:r w:rsidR="004D1853">
        <w:rPr>
          <w:rFonts w:hint="cs"/>
          <w:rtl/>
        </w:rPr>
        <w:t>ה</w:t>
      </w:r>
      <w:r w:rsidR="00714A57">
        <w:rPr>
          <w:rFonts w:hint="cs"/>
          <w:rtl/>
        </w:rPr>
        <w:t xml:space="preserve"> לחדש תנועה עצמית מצד הנפש ול</w:t>
      </w:r>
      <w:r w:rsidR="004D1853">
        <w:rPr>
          <w:rFonts w:hint="cs"/>
          <w:rtl/>
        </w:rPr>
        <w:t>א</w:t>
      </w:r>
      <w:r w:rsidR="00714A57">
        <w:rPr>
          <w:rFonts w:hint="cs"/>
          <w:rtl/>
        </w:rPr>
        <w:t xml:space="preserve"> רק מצד מה שהו</w:t>
      </w:r>
      <w:r w:rsidR="004D1853">
        <w:rPr>
          <w:rFonts w:hint="cs"/>
          <w:rtl/>
        </w:rPr>
        <w:t xml:space="preserve">א בעל משקל ונוטה ליפול למטה. </w:t>
      </w:r>
      <w:r w:rsidR="000019C3">
        <w:rPr>
          <w:rFonts w:hint="cs"/>
          <w:rtl/>
        </w:rPr>
        <w:t>אבל כיוון שהגוף ל</w:t>
      </w:r>
      <w:r w:rsidR="00744C6B">
        <w:rPr>
          <w:rFonts w:hint="cs"/>
          <w:rtl/>
        </w:rPr>
        <w:t>א</w:t>
      </w:r>
      <w:r w:rsidR="000019C3">
        <w:rPr>
          <w:rFonts w:hint="cs"/>
          <w:rtl/>
        </w:rPr>
        <w:t xml:space="preserve"> בטל לגבי הנפש</w:t>
      </w:r>
      <w:r w:rsidR="00744C6B">
        <w:rPr>
          <w:rFonts w:hint="cs"/>
          <w:rtl/>
        </w:rPr>
        <w:t>,</w:t>
      </w:r>
      <w:r w:rsidR="000019C3">
        <w:rPr>
          <w:rFonts w:hint="cs"/>
          <w:rtl/>
        </w:rPr>
        <w:t xml:space="preserve"> </w:t>
      </w:r>
      <w:r w:rsidR="00714A57">
        <w:rPr>
          <w:rFonts w:hint="cs"/>
          <w:rtl/>
        </w:rPr>
        <w:t>ההנעה של הנפש היא על ידי אמצעי</w:t>
      </w:r>
      <w:r w:rsidR="00FB03F9">
        <w:rPr>
          <w:rFonts w:hint="cs"/>
          <w:rtl/>
        </w:rPr>
        <w:t>. הנפש הייתה יכולה</w:t>
      </w:r>
      <w:r w:rsidR="0095525E">
        <w:rPr>
          <w:rFonts w:hint="cs"/>
          <w:rtl/>
        </w:rPr>
        <w:t xml:space="preserve"> </w:t>
      </w:r>
      <w:r w:rsidR="00FB03F9">
        <w:rPr>
          <w:rFonts w:hint="cs"/>
          <w:rtl/>
        </w:rPr>
        <w:t>להיות הט</w:t>
      </w:r>
      <w:r w:rsidR="0095525E">
        <w:rPr>
          <w:rFonts w:hint="cs"/>
          <w:rtl/>
        </w:rPr>
        <w:t>ב</w:t>
      </w:r>
      <w:r w:rsidR="00FB03F9">
        <w:rPr>
          <w:rFonts w:hint="cs"/>
          <w:rtl/>
        </w:rPr>
        <w:t>ע של הגוף, רק שהטבע החומרי חוסם אותה, הוא נמצא בינה ובין הגוף והוא הקרוב יותר לגוף</w:t>
      </w:r>
      <w:r w:rsidR="00F73DCB">
        <w:rPr>
          <w:rFonts w:hint="cs"/>
          <w:rtl/>
        </w:rPr>
        <w:t xml:space="preserve">. אצל מלאכים שהם בעלי חיים הטבע שמקורו הנפש הוא טבעם המהותי </w:t>
      </w:r>
      <w:r w:rsidR="00B4416C">
        <w:rPr>
          <w:rFonts w:hint="cs"/>
          <w:rtl/>
        </w:rPr>
        <w:t>שמניע אותם באופן ראשוני</w:t>
      </w:r>
      <w:r w:rsidR="00141DE6">
        <w:rPr>
          <w:rFonts w:hint="cs"/>
          <w:rtl/>
        </w:rPr>
        <w:t xml:space="preserve">. </w:t>
      </w:r>
      <w:r w:rsidR="00744C6B">
        <w:rPr>
          <w:rFonts w:hint="cs"/>
          <w:rtl/>
        </w:rPr>
        <w:t xml:space="preserve">זה כמו טבע על גבי טבע, יש טבע של החומר עצמו שנוטה ליפול למטה, ויש </w:t>
      </w:r>
      <w:r w:rsidR="00EE5EA5">
        <w:rPr>
          <w:rFonts w:hint="cs"/>
          <w:rtl/>
        </w:rPr>
        <w:t xml:space="preserve">מעליו עוד </w:t>
      </w:r>
      <w:r w:rsidR="00744C6B">
        <w:rPr>
          <w:rFonts w:hint="cs"/>
          <w:rtl/>
        </w:rPr>
        <w:t xml:space="preserve">טבע שהוא חי ופועל לפי הרצון הנפשי ומשם </w:t>
      </w:r>
      <w:r w:rsidR="00EE5EA5">
        <w:rPr>
          <w:rFonts w:hint="cs"/>
          <w:rtl/>
        </w:rPr>
        <w:t>נובעת הנעה להרים את היד. שניהם טבע, רק מכיוון ששתי הקומות עומדות במקומן והקומה של החומר לא בטלה לגבי הנפש, נשאר שהנעת הנפש</w:t>
      </w:r>
      <w:r w:rsidR="00184F8C">
        <w:rPr>
          <w:rFonts w:hint="cs"/>
          <w:rtl/>
        </w:rPr>
        <w:t xml:space="preserve"> </w:t>
      </w:r>
      <w:r w:rsidR="00EE5EA5">
        <w:rPr>
          <w:rFonts w:hint="cs"/>
          <w:rtl/>
        </w:rPr>
        <w:t>למרות שהיא טבעית היא על ידי אמצעי</w:t>
      </w:r>
      <w:r w:rsidR="009019CF">
        <w:rPr>
          <w:rFonts w:hint="cs"/>
          <w:rtl/>
        </w:rPr>
        <w:t xml:space="preserve"> (זה כתוב בפיזיקה ח' פרק ד', </w:t>
      </w:r>
      <w:r w:rsidR="00412735">
        <w:rPr>
          <w:rFonts w:hint="cs"/>
          <w:rtl/>
        </w:rPr>
        <w:t xml:space="preserve">בחלק הראשון של הפרק, </w:t>
      </w:r>
      <w:r w:rsidR="009019CF">
        <w:rPr>
          <w:rFonts w:hint="cs"/>
          <w:rtl/>
        </w:rPr>
        <w:t>עיין שם היטב</w:t>
      </w:r>
      <w:r w:rsidR="00412735">
        <w:rPr>
          <w:rFonts w:hint="cs"/>
          <w:rtl/>
        </w:rPr>
        <w:t>)</w:t>
      </w:r>
      <w:r w:rsidR="00EE5EA5">
        <w:rPr>
          <w:rFonts w:hint="cs"/>
          <w:rtl/>
        </w:rPr>
        <w:t>. זו לכאורה סתירה</w:t>
      </w:r>
      <w:r w:rsidR="00184F8C">
        <w:rPr>
          <w:rFonts w:hint="cs"/>
          <w:rtl/>
        </w:rPr>
        <w:t xml:space="preserve"> </w:t>
      </w:r>
      <w:r w:rsidR="00EE5EA5">
        <w:rPr>
          <w:rFonts w:hint="cs"/>
          <w:rtl/>
        </w:rPr>
        <w:t>לקביעה של אריסטו שטבע הוא מה שמניע באופן לא אמצעי, אבל באמת אין כאן סתירה, כי אריסטו דיבר רק במקום שיש קומה אחת של טבע, וכשיש שתי קומות שמניעות באופן סותר, אי אפשר ששתיהן תהיינה בלי אמצעי, למרות ששתיהן במהות ובטבע של הגוף החי</w:t>
      </w:r>
      <w:r w:rsidR="00184F8C">
        <w:rPr>
          <w:rFonts w:hint="cs"/>
          <w:rtl/>
        </w:rPr>
        <w:t>, והקומה התחתונה של החומר היא הלא אמצעית כי היא הקרו</w:t>
      </w:r>
      <w:r w:rsidR="004C33F9">
        <w:rPr>
          <w:rFonts w:hint="cs"/>
          <w:rtl/>
        </w:rPr>
        <w:t>ב</w:t>
      </w:r>
      <w:r w:rsidR="00184F8C">
        <w:rPr>
          <w:rFonts w:hint="cs"/>
          <w:rtl/>
        </w:rPr>
        <w:t>ה יותר לבשר.</w:t>
      </w:r>
    </w:p>
    <w:p w14:paraId="1E8AFFDC" w14:textId="6303359E" w:rsidR="00333E71" w:rsidRDefault="00333E71" w:rsidP="00A36440">
      <w:pPr>
        <w:pStyle w:val="FootnoteText"/>
        <w:rPr>
          <w:rtl/>
        </w:rPr>
      </w:pPr>
      <w:r>
        <w:rPr>
          <w:rFonts w:hint="cs"/>
          <w:rtl/>
        </w:rPr>
        <w:t xml:space="preserve">עיין לקמן 1.6.3 שם ביאר אבן סינא עניין זה </w:t>
      </w:r>
      <w:r w:rsidR="002320F9">
        <w:rPr>
          <w:rFonts w:hint="cs"/>
          <w:rtl/>
        </w:rPr>
        <w:t xml:space="preserve">היטב. </w:t>
      </w:r>
    </w:p>
    <w:p w14:paraId="0A583A58" w14:textId="77777777" w:rsidR="002320F9" w:rsidRDefault="002320F9" w:rsidP="00A36440">
      <w:pPr>
        <w:pStyle w:val="FootnoteText"/>
        <w:rPr>
          <w:rtl/>
        </w:rPr>
      </w:pPr>
    </w:p>
    <w:p w14:paraId="726CD0AE" w14:textId="1A8AE5FC" w:rsidR="00FE146C" w:rsidRDefault="00FE146C" w:rsidP="00A36440">
      <w:pPr>
        <w:pStyle w:val="FootnoteText"/>
        <w:rPr>
          <w:rtl/>
        </w:rPr>
      </w:pPr>
      <w:r w:rsidRPr="00FE146C">
        <w:rPr>
          <w:rtl/>
        </w:rPr>
        <w:t>(בשמונה פרקים כתב הרמב"ם</w:t>
      </w:r>
      <w:r w:rsidR="00B232CF">
        <w:rPr>
          <w:rFonts w:hint="cs"/>
          <w:rtl/>
        </w:rPr>
        <w:t>:</w:t>
      </w:r>
      <w:r w:rsidR="00B232CF">
        <w:rPr>
          <w:rFonts w:hint="cs"/>
        </w:rPr>
        <w:t xml:space="preserve"> </w:t>
      </w:r>
      <w:r w:rsidR="00B232CF">
        <w:rPr>
          <w:rFonts w:hint="cs"/>
          <w:rtl/>
        </w:rPr>
        <w:t>"</w:t>
      </w:r>
      <w:r w:rsidR="00B232CF" w:rsidRPr="00B232CF">
        <w:rPr>
          <w:rtl/>
        </w:rPr>
        <w:t>ודע, שזאת הנפש האחת, אשר קדם סיפור כוחותיה, או חלקיה, היא כחומר, והשכל לה צורה. ואם לא תיקנה לה הצורה - תהיה מציאות ההכנה שבה לקיבול הצורה ההיא לבטלה, וכאילו היא מציאות הבל.</w:t>
      </w:r>
      <w:r w:rsidR="00B232CF">
        <w:rPr>
          <w:rFonts w:hint="cs"/>
          <w:rtl/>
        </w:rPr>
        <w:t>"</w:t>
      </w:r>
      <w:r w:rsidRPr="00FE146C">
        <w:rPr>
          <w:rtl/>
        </w:rPr>
        <w:t xml:space="preserve"> </w:t>
      </w:r>
      <w:r w:rsidR="004178DB">
        <w:rPr>
          <w:rFonts w:hint="cs"/>
          <w:rtl/>
        </w:rPr>
        <w:t xml:space="preserve">ובאנשי העיר המעולה מאת אלפראבי כתב שכל נפש היא בבחינת צורה לנפש שתחתיה, </w:t>
      </w:r>
      <w:r w:rsidR="00E15A58">
        <w:rPr>
          <w:rFonts w:hint="cs"/>
          <w:rtl/>
        </w:rPr>
        <w:t xml:space="preserve">וחומר ביחס לנפש שמעליה. </w:t>
      </w:r>
      <w:r w:rsidR="00D779C8">
        <w:rPr>
          <w:rFonts w:hint="cs"/>
          <w:rtl/>
        </w:rPr>
        <w:t>זו דרך עמוקה יותר לראות את אחדות הנפש והגוף בסוד האחדות של צורה</w:t>
      </w:r>
      <w:r w:rsidR="00E40BE6">
        <w:rPr>
          <w:rFonts w:hint="cs"/>
          <w:rtl/>
        </w:rPr>
        <w:t xml:space="preserve"> </w:t>
      </w:r>
      <w:r w:rsidR="00D779C8">
        <w:rPr>
          <w:rFonts w:hint="cs"/>
          <w:rtl/>
        </w:rPr>
        <w:t xml:space="preserve">וחומר שהיא מסוד מעשה מרכבה. </w:t>
      </w:r>
      <w:r w:rsidRPr="00FE146C">
        <w:rPr>
          <w:rtl/>
        </w:rPr>
        <w:t>זה שייך לשאלה הכללית של היחס בין הפרט לכלל, עד כמה הם משאירים מקום זה לזה, עד כמה הם יכולים לשאת את הסתירה שיש ביניהם בלי להחריב את אחד מצדדי הסתירה הזו מכח הצד המנוגד לו)</w:t>
      </w:r>
    </w:p>
    <w:p w14:paraId="59ED4535" w14:textId="17EC3E5F" w:rsidR="001C4F13" w:rsidRDefault="001C4F13" w:rsidP="00A36440">
      <w:pPr>
        <w:pStyle w:val="FootnoteText"/>
        <w:rPr>
          <w:rtl/>
        </w:rPr>
      </w:pPr>
    </w:p>
    <w:p w14:paraId="082CD9B2" w14:textId="3E92EB84" w:rsidR="00E433FF" w:rsidRDefault="00A35E05" w:rsidP="001C0578">
      <w:pPr>
        <w:pStyle w:val="FootnoteText"/>
        <w:rPr>
          <w:rtl/>
        </w:rPr>
      </w:pPr>
      <w:r>
        <w:rPr>
          <w:rFonts w:hint="cs"/>
          <w:rtl/>
        </w:rPr>
        <w:t xml:space="preserve">אפלטון כתב שהמציאות כולה היא איש אחד חי, וכמו שכתב </w:t>
      </w:r>
      <w:r w:rsidR="009C6D87">
        <w:rPr>
          <w:rFonts w:hint="cs"/>
          <w:rtl/>
        </w:rPr>
        <w:t xml:space="preserve">בעקבותיו אריסטו במטפיזיקה למבדא פרק </w:t>
      </w:r>
      <w:r w:rsidR="00F824E4">
        <w:rPr>
          <w:rFonts w:hint="cs"/>
          <w:rtl/>
        </w:rPr>
        <w:t>י</w:t>
      </w:r>
      <w:r w:rsidR="009C6D87">
        <w:rPr>
          <w:rFonts w:hint="cs"/>
          <w:rtl/>
        </w:rPr>
        <w:t xml:space="preserve">' ומובא במורה נבוכים א' ע"ב. </w:t>
      </w:r>
      <w:r w:rsidR="009D72AB">
        <w:rPr>
          <w:rFonts w:hint="cs"/>
          <w:rtl/>
        </w:rPr>
        <w:t>לפי זה גם כל הדוממים חיים. אמנם אריסטו כתב על הדוממים שהם מתים</w:t>
      </w:r>
      <w:r w:rsidR="001B1EDD">
        <w:rPr>
          <w:rFonts w:hint="cs"/>
          <w:rtl/>
        </w:rPr>
        <w:t>, וזה הרי ההבדל המהותי בינם ובין בעלי החיים ו</w:t>
      </w:r>
      <w:r w:rsidR="00C75F87">
        <w:rPr>
          <w:rFonts w:hint="cs"/>
          <w:rtl/>
        </w:rPr>
        <w:t>ה</w:t>
      </w:r>
      <w:r w:rsidR="001B1EDD">
        <w:rPr>
          <w:rFonts w:hint="cs"/>
          <w:rtl/>
        </w:rPr>
        <w:t xml:space="preserve">צמחים. </w:t>
      </w:r>
      <w:r w:rsidR="00ED7E7C">
        <w:rPr>
          <w:rFonts w:hint="cs"/>
          <w:rtl/>
        </w:rPr>
        <w:t xml:space="preserve">המורה נבוכים שם מסביר עניין זה, שזה כמו שיש בגוף עצמות וסחוסים. העין, הלב, הריאות הידיים והרגליים, </w:t>
      </w:r>
      <w:r w:rsidR="00641B69">
        <w:rPr>
          <w:rFonts w:hint="cs"/>
          <w:rtl/>
        </w:rPr>
        <w:t xml:space="preserve">וכיו"ב, </w:t>
      </w:r>
      <w:r w:rsidR="00ED7E7C">
        <w:rPr>
          <w:rFonts w:hint="cs"/>
          <w:rtl/>
        </w:rPr>
        <w:t>יש להם תנועה שבאה מכוחם שלהם, שהיא לפי טבעם</w:t>
      </w:r>
      <w:r w:rsidR="00641B69">
        <w:rPr>
          <w:rFonts w:hint="cs"/>
          <w:rtl/>
        </w:rPr>
        <w:t xml:space="preserve"> וצורתם ומהותם</w:t>
      </w:r>
      <w:r w:rsidR="00ED7E7C">
        <w:rPr>
          <w:rFonts w:hint="cs"/>
          <w:rtl/>
        </w:rPr>
        <w:t>, אע"פ שהמניע הקודם ל</w:t>
      </w:r>
      <w:r w:rsidR="00641B69">
        <w:rPr>
          <w:rFonts w:hint="cs"/>
          <w:rtl/>
        </w:rPr>
        <w:t>תנועתם העצמית</w:t>
      </w:r>
      <w:r w:rsidR="00ED7E7C">
        <w:rPr>
          <w:rFonts w:hint="cs"/>
          <w:rtl/>
        </w:rPr>
        <w:t xml:space="preserve"> הוא החיות הכללית של הנפש של כל הגוף כאחד</w:t>
      </w:r>
      <w:r w:rsidR="00641B69">
        <w:rPr>
          <w:rFonts w:hint="cs"/>
          <w:rtl/>
        </w:rPr>
        <w:t>, בכל אופן החיות הכללית של הגוף הכללי מניעה אותם באופן אמצעי, כי יש להן טבע עצמי משלהם שמכוחו יש להם תנועה משלהם והוא המניע הראשוני הלא אמצעי שלהם</w:t>
      </w:r>
      <w:r w:rsidR="001C0578">
        <w:rPr>
          <w:rFonts w:hint="cs"/>
          <w:rtl/>
        </w:rPr>
        <w:t>, ואע"פ שהכל נובע מהחיות הכללית של כל הגוף ונקבע רק על ידו, עדיין הנעת החיות הכללית היא הנעה על ידי אמצעי. לעומת זאת העצמות והסחוסים הם לפי המשל הזה הדוממים שבעולם, אין להם תנועה עצמית שנובעת מטבע עצמי שלהם. הם חיים</w:t>
      </w:r>
      <w:r w:rsidR="007303E9">
        <w:rPr>
          <w:rFonts w:hint="cs"/>
          <w:rtl/>
        </w:rPr>
        <w:t xml:space="preserve"> </w:t>
      </w:r>
      <w:r w:rsidR="001C0578">
        <w:rPr>
          <w:rFonts w:hint="cs"/>
          <w:rtl/>
        </w:rPr>
        <w:t xml:space="preserve">וגם נעים, למשל העצמות גדלות </w:t>
      </w:r>
      <w:r w:rsidR="007303E9">
        <w:rPr>
          <w:rFonts w:hint="cs"/>
          <w:rtl/>
        </w:rPr>
        <w:t>ביחד עם הילד, אבל זו לא תנועה שנובע</w:t>
      </w:r>
      <w:r w:rsidR="005811DC">
        <w:rPr>
          <w:rFonts w:hint="cs"/>
          <w:rtl/>
        </w:rPr>
        <w:t>ת</w:t>
      </w:r>
      <w:r w:rsidR="007303E9">
        <w:rPr>
          <w:rFonts w:hint="cs"/>
          <w:rtl/>
        </w:rPr>
        <w:t xml:space="preserve"> מטבע עצמי של העצמות כגוף חי נפרד, אלא זו תנועה של העצמות שבאה באופן בלתי אמצעי מהחיות הכללית של הגוף כולו. </w:t>
      </w:r>
      <w:r w:rsidR="005811DC">
        <w:rPr>
          <w:rFonts w:hint="cs"/>
          <w:rtl/>
        </w:rPr>
        <w:t>העצמות נקראות מתות ביחס לעין או ללב או לרגל, כי אינן נעות תנועה עצמית, ואין להן נפש עצמית ותנועה עצמית ולכן אין להן חיים כשמדובר מצד חיים של איבר. מצד חיי האיבר</w:t>
      </w:r>
      <w:r w:rsidR="00D25704">
        <w:rPr>
          <w:rFonts w:hint="cs"/>
          <w:rtl/>
        </w:rPr>
        <w:t xml:space="preserve"> הפרטי</w:t>
      </w:r>
      <w:r w:rsidR="0055451A">
        <w:rPr>
          <w:rFonts w:hint="cs"/>
          <w:rtl/>
        </w:rPr>
        <w:t>ים</w:t>
      </w:r>
      <w:r w:rsidR="005811DC">
        <w:rPr>
          <w:rFonts w:hint="cs"/>
          <w:rtl/>
        </w:rPr>
        <w:t xml:space="preserve"> העצם היא דבר מת. אבל עדיין העצמות חיות בחיות הכללית של כל הגוף כאחד, והן לא כמו עצמות של גווייה בקבר שלא גדלות עם הגוף ומתייבשות ומתפוררות.</w:t>
      </w:r>
    </w:p>
    <w:p w14:paraId="2325E1D0" w14:textId="03CECB57" w:rsidR="004F1D90" w:rsidRDefault="00E433FF" w:rsidP="001C0578">
      <w:pPr>
        <w:pStyle w:val="FootnoteText"/>
        <w:rPr>
          <w:rtl/>
        </w:rPr>
      </w:pPr>
      <w:r>
        <w:rPr>
          <w:rFonts w:hint="cs"/>
          <w:rtl/>
        </w:rPr>
        <w:t>בדוממים יש רק את החיים הכלליים של כל הגוף, וזה טבע אחד שמניע אותן באופן בלתי אמצעי, והמשל לזה בעולם הוא הדוממים שיסוד העפר נופל למטה בהנעה לא אמצעית מטבעו שהוא</w:t>
      </w:r>
      <w:r w:rsidR="00F00FED">
        <w:rPr>
          <w:rFonts w:hint="cs"/>
          <w:rtl/>
        </w:rPr>
        <w:t xml:space="preserve"> החיות של הנפש הכללית. זה כח ה'דחף' (או ה </w:t>
      </w:r>
      <w:r w:rsidR="00F00FED">
        <w:t>impetus</w:t>
      </w:r>
      <w:r w:rsidR="00F00FED">
        <w:rPr>
          <w:rFonts w:hint="cs"/>
          <w:rtl/>
        </w:rPr>
        <w:t xml:space="preserve"> בשמו הלט</w:t>
      </w:r>
      <w:r w:rsidR="00204BFD">
        <w:rPr>
          <w:rFonts w:hint="cs"/>
          <w:rtl/>
        </w:rPr>
        <w:t>י</w:t>
      </w:r>
      <w:r w:rsidR="00F00FED">
        <w:rPr>
          <w:rFonts w:hint="cs"/>
          <w:rtl/>
        </w:rPr>
        <w:t>ני</w:t>
      </w:r>
      <w:r w:rsidR="00204BFD">
        <w:rPr>
          <w:rFonts w:hint="cs"/>
          <w:rtl/>
        </w:rPr>
        <w:t>)</w:t>
      </w:r>
      <w:r w:rsidR="00F00FED">
        <w:rPr>
          <w:rFonts w:hint="cs"/>
          <w:rtl/>
        </w:rPr>
        <w:t xml:space="preserve">, שהוא חיים שגורמים לאבן ליפול למטה ונקראים טבע כי הם חוק תנועה קבוע. </w:t>
      </w:r>
      <w:r w:rsidR="004065A6">
        <w:rPr>
          <w:rFonts w:hint="cs"/>
          <w:rtl/>
        </w:rPr>
        <w:t xml:space="preserve">התנועה הזו היא מכח הכיסופים החיים לבורא כמו תנועת כל הבריאה, וכמו שכתב המורה נבוכים ב' ד' שעולם ארבעת היסודות מתייחס לשכל הפועל כמו שהגלגלים מתייחסים לשכלים שמעל השכל הפועל. היחס של הגלגלים אל השכלים הוא יחס של כיסופים של הבורא </w:t>
      </w:r>
      <w:r w:rsidR="000C7D34">
        <w:rPr>
          <w:rFonts w:hint="cs"/>
          <w:rtl/>
        </w:rPr>
        <w:t>(</w:t>
      </w:r>
      <w:r w:rsidR="004065A6">
        <w:rPr>
          <w:rFonts w:hint="cs"/>
          <w:rtl/>
        </w:rPr>
        <w:t>שמתגלה באותם שכלים</w:t>
      </w:r>
      <w:r w:rsidR="000C7D34">
        <w:rPr>
          <w:rFonts w:hint="cs"/>
          <w:rtl/>
        </w:rPr>
        <w:t xml:space="preserve">, שהם הספירות שדיברו עליהן חכמי הקבלה, וכמו שכתבו הרמ"ק והאר"י והארכתי בזה במקומות אחרים) </w:t>
      </w:r>
      <w:r w:rsidR="004065A6">
        <w:rPr>
          <w:rFonts w:hint="cs"/>
          <w:rtl/>
        </w:rPr>
        <w:t>והתנועה היא מכ</w:t>
      </w:r>
      <w:r w:rsidR="000C7D34">
        <w:rPr>
          <w:rFonts w:hint="cs"/>
          <w:rtl/>
        </w:rPr>
        <w:t>ח</w:t>
      </w:r>
      <w:r w:rsidR="004065A6">
        <w:rPr>
          <w:rFonts w:hint="cs"/>
          <w:rtl/>
        </w:rPr>
        <w:t xml:space="preserve"> הכיסופים אליו. </w:t>
      </w:r>
      <w:r w:rsidR="00331AE1">
        <w:rPr>
          <w:rFonts w:hint="cs"/>
          <w:rtl/>
        </w:rPr>
        <w:t xml:space="preserve">הקשר בין תנועה סיבובית לכיסופים מבואר במורה נבוכים שם (ויש בזה עוד אופנים של ביאור והארכתי במקום אחר). </w:t>
      </w:r>
      <w:r w:rsidR="00AE463A">
        <w:rPr>
          <w:rFonts w:hint="cs"/>
          <w:rtl/>
        </w:rPr>
        <w:t>בעולם של ארבעת היסודות יש סדר של חכמה אלוהית במבנה שלו, ועל ידי זה מתגלה בו האחדות האלוהית והיופי האלוהי. הסדר הזה הוא מה שהנבראים רוצים להידמות אליו, לסדר את עצמם לפיו, כדי לדבוק בבוראם. הסדר הוא שיסוד העפר למטה ויסוד האש למעלה</w:t>
      </w:r>
      <w:r w:rsidR="00641388">
        <w:rPr>
          <w:rFonts w:hint="cs"/>
          <w:rtl/>
        </w:rPr>
        <w:t xml:space="preserve"> (בטימיאוס מאת אפלטון יש דיון במשלים עמוקים מה היא החכמה המיוחדת דווקא בסדר המסוים הזה, ומה שרשו מצד מהלך גילוי האלוהות)</w:t>
      </w:r>
      <w:r w:rsidR="00AE463A">
        <w:rPr>
          <w:rFonts w:hint="cs"/>
          <w:rtl/>
        </w:rPr>
        <w:t xml:space="preserve">, </w:t>
      </w:r>
      <w:r w:rsidR="001B74EF">
        <w:rPr>
          <w:rFonts w:hint="cs"/>
          <w:rtl/>
        </w:rPr>
        <w:t xml:space="preserve">והנבראים רוצים לנוע למקומם הטבעי כדי להעמיד את הסדר הזה. הכיסופים החיים האלה הם הטבע החי של העפר ליפול למטה ושל האש לעלות למעלה וכן הלאה. רק שכמו בעצמות </w:t>
      </w:r>
      <w:r w:rsidR="00406B89">
        <w:rPr>
          <w:rFonts w:hint="cs"/>
          <w:rtl/>
        </w:rPr>
        <w:t xml:space="preserve">ביחס לגוף, </w:t>
      </w:r>
      <w:r w:rsidR="001B74EF">
        <w:rPr>
          <w:rFonts w:hint="cs"/>
          <w:rtl/>
        </w:rPr>
        <w:t xml:space="preserve">לא מתגלה באבנים </w:t>
      </w:r>
      <w:r w:rsidR="000236F2">
        <w:rPr>
          <w:rFonts w:hint="cs"/>
          <w:rtl/>
        </w:rPr>
        <w:t>כיסופים מצד עצמם וחיים מצד עצמם, הם לא בוחרים לפי עצמם, אלא מסתדרים לפי הסדר הכללי של כל המציאות</w:t>
      </w:r>
      <w:r w:rsidR="0090552A">
        <w:rPr>
          <w:rFonts w:hint="cs"/>
          <w:rtl/>
        </w:rPr>
        <w:t>.</w:t>
      </w:r>
      <w:r w:rsidR="000236F2">
        <w:rPr>
          <w:rFonts w:hint="cs"/>
          <w:rtl/>
        </w:rPr>
        <w:t xml:space="preserve"> הם </w:t>
      </w:r>
      <w:r w:rsidR="003A0712">
        <w:rPr>
          <w:rFonts w:hint="cs"/>
          <w:rtl/>
        </w:rPr>
        <w:t xml:space="preserve">בטלים כלפי החיות הכללית של כל הבריאה </w:t>
      </w:r>
      <w:r w:rsidR="0090552A">
        <w:rPr>
          <w:rFonts w:hint="cs"/>
          <w:rtl/>
        </w:rPr>
        <w:t xml:space="preserve">ולא הווים וחיים כחי עצמאי, </w:t>
      </w:r>
      <w:r w:rsidR="003A0712">
        <w:rPr>
          <w:rFonts w:hint="cs"/>
          <w:rtl/>
        </w:rPr>
        <w:t>ולכן תנועתם היא רק לפי הסדר הכללי של הבריאה ואין בו בחירות עצמאיות משלהם. זה</w:t>
      </w:r>
      <w:r w:rsidR="0090552A">
        <w:rPr>
          <w:rFonts w:hint="cs"/>
          <w:rtl/>
        </w:rPr>
        <w:t xml:space="preserve"> </w:t>
      </w:r>
      <w:r w:rsidR="003A0712">
        <w:rPr>
          <w:rFonts w:hint="cs"/>
          <w:rtl/>
        </w:rPr>
        <w:t xml:space="preserve">מה שגורם להגדיר אותם כמתים ביחס לבעלי החיים שנעים מכח עצמם </w:t>
      </w:r>
      <w:r w:rsidR="0090552A">
        <w:rPr>
          <w:rFonts w:hint="cs"/>
          <w:rtl/>
        </w:rPr>
        <w:t>(</w:t>
      </w:r>
      <w:r w:rsidR="003A0712">
        <w:rPr>
          <w:rFonts w:hint="cs"/>
          <w:rtl/>
        </w:rPr>
        <w:t>וגם הצמחים גדלים מכח עצמם</w:t>
      </w:r>
      <w:r w:rsidR="0090552A">
        <w:rPr>
          <w:rFonts w:hint="cs"/>
          <w:rtl/>
        </w:rPr>
        <w:t>)</w:t>
      </w:r>
      <w:r w:rsidR="003A0712">
        <w:rPr>
          <w:rFonts w:hint="cs"/>
          <w:rtl/>
        </w:rPr>
        <w:t>.</w:t>
      </w:r>
      <w:r w:rsidR="006B79B8">
        <w:rPr>
          <w:rFonts w:hint="cs"/>
          <w:rtl/>
        </w:rPr>
        <w:t xml:space="preserve"> כאמור כח החיים של המציאות הכללית שמתגלה בגופים המתים הוא הטבע, והוא מה שנקרא 'דחף'. גם נטיית האבן ליפול נקראת אצל פילופונוס 'דחף'</w:t>
      </w:r>
      <w:r w:rsidR="00D14FE4">
        <w:rPr>
          <w:rFonts w:hint="cs"/>
          <w:rtl/>
        </w:rPr>
        <w:t xml:space="preserve"> (ולא רק תנועת האינרציה</w:t>
      </w:r>
      <w:r w:rsidR="00BD30CF">
        <w:rPr>
          <w:rFonts w:hint="cs"/>
          <w:rtl/>
        </w:rPr>
        <w:t xml:space="preserve">. וזה </w:t>
      </w:r>
      <w:r w:rsidR="006E7C94">
        <w:rPr>
          <w:rFonts w:hint="cs"/>
          <w:rtl/>
        </w:rPr>
        <w:t>לא</w:t>
      </w:r>
      <w:r w:rsidR="00BD30CF">
        <w:rPr>
          <w:rFonts w:hint="cs"/>
          <w:rtl/>
        </w:rPr>
        <w:t xml:space="preserve"> חידוש אלא זו גם דעת א</w:t>
      </w:r>
      <w:r w:rsidR="006E7C94">
        <w:rPr>
          <w:rFonts w:hint="cs"/>
          <w:rtl/>
        </w:rPr>
        <w:t>בן סינא ואריסטו עצמו</w:t>
      </w:r>
      <w:r w:rsidR="00D14FE4">
        <w:rPr>
          <w:rFonts w:hint="cs"/>
          <w:rtl/>
        </w:rPr>
        <w:t>)</w:t>
      </w:r>
      <w:r w:rsidR="006B79B8">
        <w:rPr>
          <w:rFonts w:hint="cs"/>
          <w:rtl/>
        </w:rPr>
        <w:t xml:space="preserve">. </w:t>
      </w:r>
    </w:p>
    <w:p w14:paraId="6CB7AE4A" w14:textId="5D7DEB7A" w:rsidR="00A425F3" w:rsidRDefault="00BF21F6" w:rsidP="001C0578">
      <w:pPr>
        <w:pStyle w:val="FootnoteText"/>
      </w:pPr>
      <w:r>
        <w:rPr>
          <w:rFonts w:hint="cs"/>
          <w:rtl/>
        </w:rPr>
        <w:t xml:space="preserve">לגבי ההסבר לאינרציה, </w:t>
      </w:r>
      <w:r w:rsidR="004F1D90">
        <w:rPr>
          <w:rFonts w:hint="cs"/>
          <w:rtl/>
        </w:rPr>
        <w:t xml:space="preserve">שהיא </w:t>
      </w:r>
      <w:r>
        <w:rPr>
          <w:rFonts w:hint="cs"/>
          <w:rtl/>
        </w:rPr>
        <w:t>כח התמד</w:t>
      </w:r>
      <w:r w:rsidR="004F1D90">
        <w:rPr>
          <w:rFonts w:hint="cs"/>
          <w:rtl/>
        </w:rPr>
        <w:t>ת התנועה</w:t>
      </w:r>
      <w:r>
        <w:rPr>
          <w:rFonts w:hint="cs"/>
          <w:rtl/>
        </w:rPr>
        <w:t xml:space="preserve"> של אבן שנזרקה וממשיכה לנוע בכיוון הזריקה, הוא מסביר שהיד של הזורק עוררה חיים באבן הנזרקת, כמו שאב מעורר חיים בביצית, </w:t>
      </w:r>
      <w:r w:rsidR="00E715DF">
        <w:rPr>
          <w:rFonts w:hint="cs"/>
          <w:rtl/>
        </w:rPr>
        <w:t xml:space="preserve">או שמגע אוהב מעורר חיים במי שנגעו בו, או שמיעת ניגון נפלא מרומם נפש מעוררת חיים בשומע, וכיוצא בזה, </w:t>
      </w:r>
      <w:r>
        <w:rPr>
          <w:rFonts w:hint="cs"/>
          <w:rtl/>
        </w:rPr>
        <w:t>וה</w:t>
      </w:r>
      <w:r w:rsidR="00E715DF">
        <w:rPr>
          <w:rFonts w:hint="cs"/>
          <w:rtl/>
        </w:rPr>
        <w:t>חיי</w:t>
      </w:r>
      <w:r>
        <w:rPr>
          <w:rFonts w:hint="cs"/>
          <w:rtl/>
        </w:rPr>
        <w:t xml:space="preserve">ם </w:t>
      </w:r>
      <w:r w:rsidR="00E715DF">
        <w:rPr>
          <w:rFonts w:hint="cs"/>
          <w:rtl/>
        </w:rPr>
        <w:t xml:space="preserve">שהתעוררו באבן </w:t>
      </w:r>
      <w:r>
        <w:rPr>
          <w:rFonts w:hint="cs"/>
          <w:rtl/>
        </w:rPr>
        <w:t>מ</w:t>
      </w:r>
      <w:r w:rsidR="00E715DF">
        <w:rPr>
          <w:rFonts w:hint="cs"/>
          <w:rtl/>
        </w:rPr>
        <w:t>מ</w:t>
      </w:r>
      <w:r>
        <w:rPr>
          <w:rFonts w:hint="cs"/>
          <w:rtl/>
        </w:rPr>
        <w:t>שיכים להניע אותה עד שההתנגדות של טבעה העצמי ושל החי</w:t>
      </w:r>
      <w:r w:rsidR="00E715DF">
        <w:rPr>
          <w:rFonts w:hint="cs"/>
          <w:rtl/>
        </w:rPr>
        <w:t>כ</w:t>
      </w:r>
      <w:r>
        <w:rPr>
          <w:rFonts w:hint="cs"/>
          <w:rtl/>
        </w:rPr>
        <w:t>וך מפרידים את הנפש הזו מהאבן.</w:t>
      </w:r>
      <w:r w:rsidR="00E715DF">
        <w:rPr>
          <w:rFonts w:hint="cs"/>
          <w:rtl/>
        </w:rPr>
        <w:t xml:space="preserve"> כמו שהשגרה מפרידה את החיים שהניגון עורר ומחזירה את האדם לטבעו העצמי הטבוע בו. </w:t>
      </w:r>
      <w:r w:rsidR="00DF1E27">
        <w:rPr>
          <w:rFonts w:hint="cs"/>
          <w:rtl/>
        </w:rPr>
        <w:t xml:space="preserve">כאמור זה כתוב כבר באריסטו, ואבן סינא מסכים לזה לקמן </w:t>
      </w:r>
      <w:r w:rsidR="00F71518">
        <w:rPr>
          <w:rFonts w:hint="cs"/>
          <w:rtl/>
        </w:rPr>
        <w:t>4.14</w:t>
      </w:r>
      <w:r w:rsidR="00DF1E27">
        <w:rPr>
          <w:rFonts w:hint="cs"/>
          <w:rtl/>
        </w:rPr>
        <w:t xml:space="preserve">, </w:t>
      </w:r>
      <w:r w:rsidR="00F7563E">
        <w:rPr>
          <w:rFonts w:hint="cs"/>
          <w:rtl/>
        </w:rPr>
        <w:t xml:space="preserve">השאלה היא רק איך להסתכל על אותו דחף חי שהתעורר באבן שנזרקה, או </w:t>
      </w:r>
      <w:r w:rsidR="00EA5434">
        <w:rPr>
          <w:rFonts w:hint="cs"/>
          <w:rtl/>
        </w:rPr>
        <w:t xml:space="preserve">בדחף </w:t>
      </w:r>
      <w:r w:rsidR="00F7563E">
        <w:rPr>
          <w:rFonts w:hint="cs"/>
          <w:rtl/>
        </w:rPr>
        <w:t xml:space="preserve">שהנפש </w:t>
      </w:r>
      <w:r w:rsidR="001061D8">
        <w:rPr>
          <w:rFonts w:hint="cs"/>
          <w:rtl/>
        </w:rPr>
        <w:t xml:space="preserve">בבחירתה לנוע </w:t>
      </w:r>
      <w:r w:rsidR="00F7563E">
        <w:rPr>
          <w:rFonts w:hint="cs"/>
          <w:rtl/>
        </w:rPr>
        <w:t xml:space="preserve">עוררה בגוף האדם הבשרי. </w:t>
      </w:r>
      <w:r w:rsidR="001061D8">
        <w:rPr>
          <w:rFonts w:hint="cs"/>
          <w:rtl/>
        </w:rPr>
        <w:t>לפי אבן סינא זו הנעה דרך אמצעי, כלומר היא לא מבטלת את הטבע העצמי של הדבר</w:t>
      </w:r>
      <w:r w:rsidR="00EA5434">
        <w:rPr>
          <w:rFonts w:hint="cs"/>
          <w:rtl/>
        </w:rPr>
        <w:t xml:space="preserve"> </w:t>
      </w:r>
      <w:r w:rsidR="0054570C">
        <w:rPr>
          <w:rFonts w:hint="cs"/>
          <w:rtl/>
        </w:rPr>
        <w:t>כלומר הטבע שהכי קרוב במדרגתו לגוף החומרי שלו</w:t>
      </w:r>
      <w:r w:rsidR="001061D8">
        <w:rPr>
          <w:rFonts w:hint="cs"/>
          <w:rtl/>
        </w:rPr>
        <w:t xml:space="preserve">, אלא </w:t>
      </w:r>
      <w:r w:rsidR="0054570C">
        <w:rPr>
          <w:rFonts w:hint="cs"/>
          <w:rtl/>
        </w:rPr>
        <w:t xml:space="preserve">זה </w:t>
      </w:r>
      <w:r w:rsidR="001061D8">
        <w:rPr>
          <w:rFonts w:hint="cs"/>
          <w:rtl/>
        </w:rPr>
        <w:t>דומה לכח אחר שמופעל עליו, אע"פ שהיא במהות ובטבע של העצם הנע.</w:t>
      </w:r>
      <w:r w:rsidR="0054570C">
        <w:rPr>
          <w:rFonts w:hint="cs"/>
          <w:rtl/>
        </w:rPr>
        <w:t xml:space="preserve"> באבן שנזרקה פילופונוס מודה שהדחף שהועבר אליה מהיד של הזורק </w:t>
      </w:r>
      <w:r w:rsidR="009C3CAC">
        <w:rPr>
          <w:rFonts w:hint="cs"/>
          <w:rtl/>
        </w:rPr>
        <w:t>הוא</w:t>
      </w:r>
      <w:r w:rsidR="0054570C">
        <w:rPr>
          <w:rFonts w:hint="cs"/>
          <w:rtl/>
        </w:rPr>
        <w:t xml:space="preserve"> כח </w:t>
      </w:r>
      <w:r w:rsidR="00FA267D">
        <w:rPr>
          <w:rFonts w:hint="cs"/>
          <w:rtl/>
        </w:rPr>
        <w:t>ח</w:t>
      </w:r>
      <w:r w:rsidR="0054570C">
        <w:rPr>
          <w:rFonts w:hint="cs"/>
          <w:rtl/>
        </w:rPr>
        <w:t xml:space="preserve">יצוני שהוא דרך אמצעי, </w:t>
      </w:r>
      <w:r w:rsidR="00FA267D">
        <w:rPr>
          <w:rFonts w:hint="cs"/>
          <w:rtl/>
        </w:rPr>
        <w:t xml:space="preserve">ושם הוא </w:t>
      </w:r>
      <w:r w:rsidR="00A978CA">
        <w:rPr>
          <w:rFonts w:hint="cs"/>
          <w:rtl/>
        </w:rPr>
        <w:t>בלי ספק</w:t>
      </w:r>
      <w:r w:rsidR="00FA267D">
        <w:rPr>
          <w:rFonts w:hint="cs"/>
          <w:rtl/>
        </w:rPr>
        <w:t xml:space="preserve"> לא מהותי ולא טבעי. הוויכוח הוא רק בדחף שהנפש מעוררת על הגוף, שם פילופונוס רוצה לראות שהנפש פועלת ישירות על הבשר, כי היא הדבר הקרוב אליו ביותר, כי הבשר צריך להתבטל מ</w:t>
      </w:r>
      <w:r w:rsidR="00A978CA">
        <w:rPr>
          <w:rFonts w:hint="cs"/>
          <w:rtl/>
        </w:rPr>
        <w:t>חומריו</w:t>
      </w:r>
      <w:r w:rsidR="00FA267D">
        <w:rPr>
          <w:rFonts w:hint="cs"/>
          <w:rtl/>
        </w:rPr>
        <w:t>תו כלפי הנפש</w:t>
      </w:r>
      <w:r w:rsidR="00A978CA">
        <w:rPr>
          <w:rFonts w:hint="cs"/>
          <w:rtl/>
        </w:rPr>
        <w:t>, כאן מתבטאת הנצרות שלו</w:t>
      </w:r>
      <w:r w:rsidR="00FA267D">
        <w:rPr>
          <w:rFonts w:hint="cs"/>
          <w:rtl/>
        </w:rPr>
        <w:t>. ולכן פילופונוס מחפש דרך להעלים את מציאות הבשר וטבעו כשמדובר בתנועות ממקור נפשי. ועל זה אבן סינא</w:t>
      </w:r>
      <w:r w:rsidR="00994C40">
        <w:rPr>
          <w:rFonts w:hint="cs"/>
          <w:rtl/>
        </w:rPr>
        <w:t xml:space="preserve"> </w:t>
      </w:r>
      <w:r w:rsidR="00FA267D">
        <w:rPr>
          <w:rFonts w:hint="cs"/>
          <w:rtl/>
        </w:rPr>
        <w:t xml:space="preserve">חולק </w:t>
      </w:r>
      <w:r w:rsidR="009C560C">
        <w:rPr>
          <w:rFonts w:hint="cs"/>
          <w:rtl/>
        </w:rPr>
        <w:t xml:space="preserve">בחריפות רבה </w:t>
      </w:r>
      <w:r w:rsidR="00FA267D">
        <w:rPr>
          <w:rFonts w:hint="cs"/>
          <w:rtl/>
        </w:rPr>
        <w:t xml:space="preserve">ואומר שהבשר לא בטל, והנפש מניעה </w:t>
      </w:r>
      <w:r w:rsidR="00994C40">
        <w:rPr>
          <w:rFonts w:hint="cs"/>
          <w:rtl/>
        </w:rPr>
        <w:t>כמו בהנעה דרך אמצעי, כמו יד שדוחפת אבן ומניעה אותה לא לפי טבעה העצמי. לכן הוא מציין לדבריו לקמן 4.1</w:t>
      </w:r>
      <w:r w:rsidR="00F71518">
        <w:rPr>
          <w:rFonts w:hint="cs"/>
          <w:rtl/>
        </w:rPr>
        <w:t>4</w:t>
      </w:r>
      <w:r w:rsidR="00994C40">
        <w:rPr>
          <w:rFonts w:hint="cs"/>
          <w:rtl/>
        </w:rPr>
        <w:t xml:space="preserve"> לומר שכאן זה אותו העניין</w:t>
      </w:r>
      <w:r w:rsidR="00824743">
        <w:rPr>
          <w:rFonts w:hint="cs"/>
          <w:rtl/>
        </w:rPr>
        <w:t xml:space="preserve">, וזה כוונת לשונו </w:t>
      </w:r>
      <w:r w:rsidR="009613B8">
        <w:rPr>
          <w:rFonts w:hint="cs"/>
          <w:rtl/>
        </w:rPr>
        <w:t>"</w:t>
      </w:r>
      <w:r w:rsidR="00824743">
        <w:rPr>
          <w:rFonts w:hint="cs"/>
          <w:rtl/>
        </w:rPr>
        <w:t>הטבע</w:t>
      </w:r>
      <w:r w:rsidR="009613B8">
        <w:rPr>
          <w:rFonts w:hint="cs"/>
          <w:rtl/>
        </w:rPr>
        <w:t xml:space="preserve"> גם הוא יעשה כך"</w:t>
      </w:r>
      <w:r w:rsidR="004943D2">
        <w:rPr>
          <w:rFonts w:hint="cs"/>
          <w:rtl/>
        </w:rPr>
        <w:t>, כלומר לדחוף נגד מהותו של הגוף ולהפעיל עליו כח לא ראשוני אלא על ידי אמצעי</w:t>
      </w:r>
      <w:r w:rsidR="00994C40">
        <w:rPr>
          <w:rFonts w:hint="cs"/>
          <w:rtl/>
        </w:rPr>
        <w:t xml:space="preserve">. </w:t>
      </w:r>
      <w:r w:rsidR="00C157DC">
        <w:rPr>
          <w:rFonts w:hint="cs"/>
          <w:rtl/>
        </w:rPr>
        <w:t xml:space="preserve"> </w:t>
      </w:r>
    </w:p>
    <w:p w14:paraId="437A5845" w14:textId="77777777" w:rsidR="006E3E62" w:rsidRDefault="00C157DC" w:rsidP="00A36440">
      <w:pPr>
        <w:pStyle w:val="FootnoteText"/>
        <w:rPr>
          <w:rtl/>
        </w:rPr>
      </w:pPr>
      <w:r>
        <w:rPr>
          <w:rFonts w:hint="cs"/>
          <w:rtl/>
        </w:rPr>
        <w:t>לכאורה המחלוקת היא ב</w:t>
      </w:r>
      <w:r w:rsidR="00115890">
        <w:rPr>
          <w:rFonts w:hint="cs"/>
          <w:rtl/>
        </w:rPr>
        <w:t xml:space="preserve">בת גוון קל ודק </w:t>
      </w:r>
      <w:r w:rsidR="000A799A">
        <w:rPr>
          <w:rFonts w:hint="cs"/>
          <w:rtl/>
        </w:rPr>
        <w:t>איך לדייק את ה</w:t>
      </w:r>
      <w:r w:rsidR="00115890">
        <w:rPr>
          <w:rFonts w:hint="cs"/>
          <w:rtl/>
        </w:rPr>
        <w:t xml:space="preserve">הגדרה, </w:t>
      </w:r>
      <w:r w:rsidR="000A799A">
        <w:rPr>
          <w:rFonts w:hint="cs"/>
          <w:rtl/>
        </w:rPr>
        <w:t xml:space="preserve">ויש הסכמה על העקרון היסודי שהדחף הוא כח מטאפיזי חי, </w:t>
      </w:r>
      <w:r w:rsidR="00115890">
        <w:rPr>
          <w:rFonts w:hint="cs"/>
          <w:rtl/>
        </w:rPr>
        <w:t>ו</w:t>
      </w:r>
      <w:r w:rsidR="0095459B">
        <w:rPr>
          <w:rFonts w:hint="cs"/>
          <w:rtl/>
        </w:rPr>
        <w:t xml:space="preserve">לכאורה </w:t>
      </w:r>
      <w:r w:rsidR="00115890">
        <w:rPr>
          <w:rFonts w:hint="cs"/>
          <w:rtl/>
        </w:rPr>
        <w:t>ל</w:t>
      </w:r>
      <w:r w:rsidR="000A799A">
        <w:rPr>
          <w:rFonts w:hint="cs"/>
          <w:rtl/>
        </w:rPr>
        <w:t>א</w:t>
      </w:r>
      <w:r w:rsidR="00115890">
        <w:rPr>
          <w:rFonts w:hint="cs"/>
          <w:rtl/>
        </w:rPr>
        <w:t xml:space="preserve"> מובן למה אב</w:t>
      </w:r>
      <w:r w:rsidR="0095459B">
        <w:rPr>
          <w:rFonts w:hint="cs"/>
          <w:rtl/>
        </w:rPr>
        <w:t>ן</w:t>
      </w:r>
      <w:r w:rsidR="00115890">
        <w:rPr>
          <w:rFonts w:hint="cs"/>
          <w:rtl/>
        </w:rPr>
        <w:t xml:space="preserve"> סינא תוקף את פילופונוס </w:t>
      </w:r>
      <w:r w:rsidR="0095459B">
        <w:rPr>
          <w:rFonts w:hint="cs"/>
          <w:rtl/>
        </w:rPr>
        <w:t xml:space="preserve">ואומר </w:t>
      </w:r>
      <w:r w:rsidR="00115890">
        <w:rPr>
          <w:rFonts w:hint="cs"/>
          <w:rtl/>
        </w:rPr>
        <w:t>שדעתו היא אסון הרסני</w:t>
      </w:r>
      <w:r w:rsidR="0095459B">
        <w:rPr>
          <w:rFonts w:hint="cs"/>
          <w:rtl/>
        </w:rPr>
        <w:t>, ולמה אבן סינא מקדיש כל כך הרבה אריכות לעסוק בעניין שולי כזה</w:t>
      </w:r>
      <w:r w:rsidR="00115890">
        <w:rPr>
          <w:rFonts w:hint="cs"/>
          <w:rtl/>
        </w:rPr>
        <w:t xml:space="preserve">. </w:t>
      </w:r>
      <w:r w:rsidR="0095459B">
        <w:rPr>
          <w:rFonts w:hint="cs"/>
          <w:rtl/>
        </w:rPr>
        <w:t>ולפי מה שביארתי חשיבות העניין מובנת.</w:t>
      </w:r>
      <w:r w:rsidR="006E3E62">
        <w:rPr>
          <w:rFonts w:hint="cs"/>
          <w:rtl/>
        </w:rPr>
        <w:t xml:space="preserve"> </w:t>
      </w:r>
    </w:p>
    <w:p w14:paraId="6BFBA703" w14:textId="342F8CEB" w:rsidR="000855E7" w:rsidRDefault="00DF3A93" w:rsidP="00A36440">
      <w:pPr>
        <w:pStyle w:val="FootnoteText"/>
        <w:rPr>
          <w:rtl/>
        </w:rPr>
      </w:pPr>
      <w:r>
        <w:rPr>
          <w:rFonts w:hint="cs"/>
          <w:rtl/>
        </w:rPr>
        <w:t>בתקופת ראשית הנצרות, הפילוסופים הפג</w:t>
      </w:r>
      <w:r w:rsidR="009C6C93">
        <w:rPr>
          <w:rFonts w:hint="cs"/>
          <w:rtl/>
        </w:rPr>
        <w:t>א</w:t>
      </w:r>
      <w:r>
        <w:rPr>
          <w:rFonts w:hint="cs"/>
          <w:rtl/>
        </w:rPr>
        <w:t>ניים, ממשיכ</w:t>
      </w:r>
      <w:r w:rsidR="008C11BA">
        <w:rPr>
          <w:rFonts w:hint="cs"/>
          <w:rtl/>
        </w:rPr>
        <w:t xml:space="preserve">י אריסטו ואפלטון ופלוטינוס, חלקו בחריפות על הנצרות בטענה שהיא דת לא שכלית. התוכן העמוק הוא שדת שכלית פירושה דת שלומדת על הבורא מהבריאה, </w:t>
      </w:r>
      <w:r w:rsidR="0029615D">
        <w:rPr>
          <w:rFonts w:hint="cs"/>
          <w:rtl/>
        </w:rPr>
        <w:t xml:space="preserve">האלוה נודע על ידי מעשיו. וזה תלוי בראיית הסדר שבבריאה שהוא גילוי החכמה האלוהית </w:t>
      </w:r>
      <w:r w:rsidR="00B63BBE">
        <w:rPr>
          <w:rFonts w:hint="cs"/>
          <w:rtl/>
        </w:rPr>
        <w:t xml:space="preserve">וצריך עיון של חכמה להשיג את הסדר הזה. הסדר מתחיל מהביולוגיה, לכן אריסטו כתב הרבה ספרים על </w:t>
      </w:r>
      <w:r w:rsidR="00F2295F">
        <w:rPr>
          <w:rFonts w:hint="cs"/>
          <w:rtl/>
        </w:rPr>
        <w:t xml:space="preserve">הביולוגיה של בעלי החיים, על המטארולוגיה, וכיוצא בזה הסתכלות על הטבע שמתחילה מהבחינות הכי חומריות שלו. מספרים שבאקדמיה של אריסטו התלמידים היו עסוקים בלאסוף עלים וחרקים וכיו"ב. </w:t>
      </w:r>
      <w:r w:rsidR="001E2B76">
        <w:rPr>
          <w:rFonts w:hint="cs"/>
          <w:rtl/>
        </w:rPr>
        <w:t>ומשם עולים בסדר המדרגות עד העניינים הכלליים שבטבע כמו תנועה מקום זמן וכיו"ב שבספר הפיזיקה, ומשם למטאפיזיקה ש</w:t>
      </w:r>
      <w:r w:rsidR="00737904">
        <w:rPr>
          <w:rFonts w:hint="cs"/>
          <w:rtl/>
        </w:rPr>
        <w:t>אריסטו קרא לה התיאולוגיה כי היא עוסקת במופשט והמופשט הוא האל.</w:t>
      </w:r>
      <w:r w:rsidR="009912E7">
        <w:rPr>
          <w:rFonts w:hint="cs"/>
          <w:rtl/>
        </w:rPr>
        <w:t xml:space="preserve"> כאמור לראות את הסדר מצריך קבלה של המציאות החומרית כמציאות גמורה, גם אחרי שרואים את האחדות האלהית המטאפיזית. </w:t>
      </w:r>
      <w:r w:rsidR="00294B16">
        <w:rPr>
          <w:rFonts w:hint="cs"/>
          <w:rtl/>
        </w:rPr>
        <w:t xml:space="preserve">כל דת שמבקשת קשר כלשהו עם הבורא שלא באמצעות התבוננות </w:t>
      </w:r>
      <w:r w:rsidR="000855E7">
        <w:rPr>
          <w:rFonts w:hint="cs"/>
          <w:rtl/>
        </w:rPr>
        <w:t xml:space="preserve">עיונית </w:t>
      </w:r>
      <w:r w:rsidR="00294B16">
        <w:rPr>
          <w:rFonts w:hint="cs"/>
          <w:rtl/>
        </w:rPr>
        <w:t xml:space="preserve">בחכמה שבבריאה נחשבת אצל תלמידי אריסטו כדת לא שכלית. </w:t>
      </w:r>
      <w:r w:rsidR="000855E7">
        <w:rPr>
          <w:rFonts w:hint="cs"/>
          <w:rtl/>
        </w:rPr>
        <w:t>במורה נבוכים ג' נ"א כתב על זה:</w:t>
      </w:r>
    </w:p>
    <w:p w14:paraId="2028C6DF" w14:textId="77777777" w:rsidR="00DC1AC2" w:rsidRDefault="000855E7" w:rsidP="00A36440">
      <w:pPr>
        <w:pStyle w:val="FootnoteText"/>
        <w:rPr>
          <w:rtl/>
        </w:rPr>
      </w:pPr>
      <w:r>
        <w:rPr>
          <w:rFonts w:hint="cs"/>
          <w:rtl/>
        </w:rPr>
        <w:t>"</w:t>
      </w:r>
      <w:r w:rsidR="00DC1AC2" w:rsidRPr="00DC1AC2">
        <w:rPr>
          <w:rtl/>
        </w:rPr>
        <w:t>אבל מי שיחשוב בה׳ וירבה לזכרו מבלי חכמה, אבל הוא נמשך אחר קצת דמיון לבד, או נמשך אחר אמונה שנמסרה לו מזולתו, הוא אצלי, עם היותו חוץ לבית ורחוק ממנו, בלתי זוכר השם באמת ולא חושב בו, כי הדבר ההוא אשר בדמיונו ואשר יזכור בפיו, אינו נאוה לנמצא כלל, אבל הוא דבר בדוי שבדהו דמיונו כמו שבארנו בדברנו על התארים. ואמנם ראוי להתחיל בזה המין מן העבודה אחר הציור השכלי; והיה כאשר תשיג השם ומעשיו כפי מה שישכלהו השכל, אחר כן תתחיל להמסר אליו</w:t>
      </w:r>
      <w:r>
        <w:rPr>
          <w:rFonts w:hint="cs"/>
          <w:rtl/>
        </w:rPr>
        <w:t>"</w:t>
      </w:r>
    </w:p>
    <w:p w14:paraId="747F44F2" w14:textId="7B9BC38F" w:rsidR="0011253E" w:rsidRDefault="00DC1AC2" w:rsidP="00A36440">
      <w:pPr>
        <w:pStyle w:val="FootnoteText"/>
        <w:rPr>
          <w:rtl/>
        </w:rPr>
      </w:pPr>
      <w:r>
        <w:rPr>
          <w:rFonts w:hint="cs"/>
          <w:rtl/>
        </w:rPr>
        <w:t xml:space="preserve">בדברים החריפים שכותב כאן אבן סינא נגד פילופונוס, </w:t>
      </w:r>
      <w:r w:rsidR="009C6C93">
        <w:rPr>
          <w:rFonts w:hint="cs"/>
          <w:rtl/>
        </w:rPr>
        <w:t xml:space="preserve">יש הד לאותה מחלוקת קשה של הפגאנים נגד הנצרות. </w:t>
      </w:r>
      <w:r w:rsidR="005135B4">
        <w:rPr>
          <w:rFonts w:hint="cs"/>
          <w:rtl/>
        </w:rPr>
        <w:t xml:space="preserve">פילופונוס הי החכם גדול מאוד ומהגדולים שבמפרשי אריסטו, ועדיין </w:t>
      </w:r>
      <w:r w:rsidR="004E7CF0">
        <w:rPr>
          <w:rFonts w:hint="cs"/>
          <w:rtl/>
        </w:rPr>
        <w:t>כ</w:t>
      </w:r>
      <w:r w:rsidR="005135B4">
        <w:rPr>
          <w:rFonts w:hint="cs"/>
          <w:rtl/>
        </w:rPr>
        <w:t xml:space="preserve">ל ניד קטן </w:t>
      </w:r>
      <w:r w:rsidR="004E7CF0">
        <w:rPr>
          <w:rFonts w:hint="cs"/>
          <w:rtl/>
        </w:rPr>
        <w:t xml:space="preserve">ודק </w:t>
      </w:r>
      <w:r w:rsidR="005135B4">
        <w:rPr>
          <w:rFonts w:hint="cs"/>
          <w:rtl/>
        </w:rPr>
        <w:t>של סטייה מ</w:t>
      </w:r>
      <w:r w:rsidR="004E7CF0">
        <w:rPr>
          <w:rFonts w:hint="cs"/>
          <w:rtl/>
        </w:rPr>
        <w:t>הדרך של החכמה הוא סיבה למחאה חריפה, כי אצל החכם הגדול הנטייה הכי קלה מ</w:t>
      </w:r>
      <w:r w:rsidR="005E2E4C">
        <w:rPr>
          <w:rFonts w:hint="cs"/>
          <w:rtl/>
        </w:rPr>
        <w:t>ה</w:t>
      </w:r>
      <w:r w:rsidR="004E7CF0">
        <w:rPr>
          <w:rFonts w:hint="cs"/>
          <w:rtl/>
        </w:rPr>
        <w:t xml:space="preserve">אמת מביאה לנטייה </w:t>
      </w:r>
      <w:r w:rsidR="005E2E4C">
        <w:rPr>
          <w:rFonts w:hint="cs"/>
          <w:rtl/>
        </w:rPr>
        <w:t>ג</w:t>
      </w:r>
      <w:r w:rsidR="004E7CF0">
        <w:rPr>
          <w:rFonts w:hint="cs"/>
          <w:rtl/>
        </w:rPr>
        <w:t>דולה מאוד אצל ההמון</w:t>
      </w:r>
      <w:r w:rsidR="002E2085">
        <w:rPr>
          <w:rFonts w:hint="cs"/>
          <w:rtl/>
        </w:rPr>
        <w:t>, כי החכם הוא הראש והמקור</w:t>
      </w:r>
      <w:r w:rsidR="004E7CF0">
        <w:rPr>
          <w:rFonts w:hint="cs"/>
          <w:rtl/>
        </w:rPr>
        <w:t xml:space="preserve">. </w:t>
      </w:r>
      <w:r w:rsidR="005E2E4C">
        <w:rPr>
          <w:rFonts w:hint="cs"/>
          <w:rtl/>
        </w:rPr>
        <w:t>פילופונוס יכול ל</w:t>
      </w:r>
      <w:r w:rsidR="002E2085">
        <w:rPr>
          <w:rFonts w:hint="cs"/>
          <w:rtl/>
        </w:rPr>
        <w:t>ומר מילה לא לגמרי מדוייקת על חוסר האמצעיות של הנעת הנפש את הגוף, ו</w:t>
      </w:r>
      <w:r w:rsidR="00822111">
        <w:rPr>
          <w:rFonts w:hint="cs"/>
          <w:rtl/>
        </w:rPr>
        <w:t>מזה צומח ש</w:t>
      </w:r>
      <w:r w:rsidR="002E2085">
        <w:rPr>
          <w:rFonts w:hint="cs"/>
          <w:rtl/>
        </w:rPr>
        <w:t>אצל ההמון יעשו אינקו</w:t>
      </w:r>
      <w:r w:rsidR="00822111">
        <w:rPr>
          <w:rFonts w:hint="cs"/>
          <w:rtl/>
        </w:rPr>
        <w:t>ו</w:t>
      </w:r>
      <w:r w:rsidR="002E2085">
        <w:rPr>
          <w:rFonts w:hint="cs"/>
          <w:rtl/>
        </w:rPr>
        <w:t>יזי</w:t>
      </w:r>
      <w:r w:rsidR="00822111">
        <w:rPr>
          <w:rFonts w:hint="cs"/>
          <w:rtl/>
        </w:rPr>
        <w:t>צי</w:t>
      </w:r>
      <w:r w:rsidR="002E2085">
        <w:rPr>
          <w:rFonts w:hint="cs"/>
          <w:rtl/>
        </w:rPr>
        <w:t>ה ומסעי צלב נגד הכופרים, כי נשמתם יותר חשובה מגופם</w:t>
      </w:r>
      <w:r w:rsidR="00822111">
        <w:rPr>
          <w:rFonts w:hint="cs"/>
          <w:rtl/>
        </w:rPr>
        <w:t>, ו</w:t>
      </w:r>
      <w:r w:rsidR="00261B49">
        <w:rPr>
          <w:rFonts w:hint="cs"/>
          <w:rtl/>
        </w:rPr>
        <w:t>כל הרשע שבטבע האנושי נכנס בדלת הזו ומקבל אישור של קדושה</w:t>
      </w:r>
      <w:r w:rsidR="002E2085">
        <w:rPr>
          <w:rFonts w:hint="cs"/>
          <w:rtl/>
        </w:rPr>
        <w:t xml:space="preserve">. </w:t>
      </w:r>
      <w:r w:rsidR="006A7603">
        <w:rPr>
          <w:rFonts w:hint="cs"/>
          <w:rtl/>
        </w:rPr>
        <w:t>אבן סינא היה איש דת מוסלמי שהאמין בקוראן</w:t>
      </w:r>
      <w:r w:rsidR="00B048DE">
        <w:rPr>
          <w:rFonts w:hint="cs"/>
          <w:rtl/>
        </w:rPr>
        <w:t xml:space="preserve"> והעמיק בלימודו</w:t>
      </w:r>
      <w:r w:rsidR="006A7603">
        <w:rPr>
          <w:rFonts w:hint="cs"/>
          <w:rtl/>
        </w:rPr>
        <w:t>, והרמב"ם היה איש דת יהודי שהאמין בתורת משה</w:t>
      </w:r>
      <w:r w:rsidR="00B048DE">
        <w:rPr>
          <w:rFonts w:hint="cs"/>
          <w:rtl/>
        </w:rPr>
        <w:t xml:space="preserve"> והעמיק בלימודה</w:t>
      </w:r>
      <w:r w:rsidR="006A7603">
        <w:rPr>
          <w:rFonts w:hint="cs"/>
          <w:rtl/>
        </w:rPr>
        <w:t xml:space="preserve">, </w:t>
      </w:r>
      <w:r w:rsidR="00C06A6C">
        <w:rPr>
          <w:rFonts w:hint="cs"/>
          <w:rtl/>
        </w:rPr>
        <w:t>והם התאמצו לעשות שלום בין הצד הדתי לצד השכלי</w:t>
      </w:r>
      <w:r w:rsidR="00B048DE">
        <w:rPr>
          <w:rFonts w:hint="cs"/>
          <w:rtl/>
        </w:rPr>
        <w:t xml:space="preserve"> שלומדים מאריסטו</w:t>
      </w:r>
      <w:r w:rsidR="00C06A6C">
        <w:rPr>
          <w:rFonts w:hint="cs"/>
          <w:rtl/>
        </w:rPr>
        <w:t>, כמו שכותב הרמב"ם בהתחלת הפתיחה למורה נבוכים</w:t>
      </w:r>
      <w:r w:rsidR="00B048DE">
        <w:rPr>
          <w:rFonts w:hint="cs"/>
          <w:rtl/>
        </w:rPr>
        <w:t>.</w:t>
      </w:r>
      <w:r w:rsidR="00F2295F">
        <w:rPr>
          <w:rFonts w:hint="cs"/>
          <w:rtl/>
        </w:rPr>
        <w:t xml:space="preserve"> </w:t>
      </w:r>
      <w:r w:rsidR="00B048DE">
        <w:rPr>
          <w:rFonts w:hint="cs"/>
          <w:rtl/>
        </w:rPr>
        <w:t>ותבעו מפילופונוס גם כן את הנאמנות הזו לשכל.</w:t>
      </w:r>
      <w:r w:rsidR="0095459B">
        <w:rPr>
          <w:rFonts w:hint="cs"/>
          <w:rtl/>
        </w:rPr>
        <w:t xml:space="preserve"> </w:t>
      </w:r>
      <w:r w:rsidR="00B232C7">
        <w:rPr>
          <w:rFonts w:hint="cs"/>
          <w:rtl/>
        </w:rPr>
        <w:t xml:space="preserve">אין כאן שאלה על גודל חכמתו של פילופונוס, אלא זה עניין של בחירת דרך באופן </w:t>
      </w:r>
      <w:r w:rsidR="00DF30C6">
        <w:rPr>
          <w:rFonts w:hint="cs"/>
          <w:rtl/>
        </w:rPr>
        <w:t>מודע</w:t>
      </w:r>
      <w:r w:rsidR="00231C14">
        <w:rPr>
          <w:rFonts w:hint="cs"/>
          <w:rtl/>
        </w:rPr>
        <w:t>.</w:t>
      </w:r>
      <w:r w:rsidR="00DF30C6">
        <w:rPr>
          <w:rFonts w:hint="cs"/>
          <w:rtl/>
        </w:rPr>
        <w:t xml:space="preserve"> פילופונוס ידע באופן שלם את דרך החכמה של אריסטו, רק שהוא חלק על </w:t>
      </w:r>
      <w:r w:rsidR="002D3371">
        <w:rPr>
          <w:rFonts w:hint="cs"/>
          <w:rtl/>
        </w:rPr>
        <w:t>זה, וסבר שהדרך</w:t>
      </w:r>
      <w:r w:rsidR="00417325">
        <w:rPr>
          <w:rFonts w:hint="cs"/>
          <w:rtl/>
        </w:rPr>
        <w:t xml:space="preserve"> הנכונה</w:t>
      </w:r>
      <w:r w:rsidR="002D3371">
        <w:rPr>
          <w:rFonts w:hint="cs"/>
          <w:rtl/>
        </w:rPr>
        <w:t xml:space="preserve"> ליצור קשר עם האלוה היא לא רק על ידי עיון בחכמה אלא </w:t>
      </w:r>
      <w:r w:rsidR="002B0786">
        <w:rPr>
          <w:rFonts w:hint="cs"/>
          <w:rtl/>
        </w:rPr>
        <w:t>יש הכרח גם</w:t>
      </w:r>
      <w:r w:rsidR="002D3371">
        <w:rPr>
          <w:rFonts w:hint="cs"/>
          <w:rtl/>
        </w:rPr>
        <w:t xml:space="preserve"> </w:t>
      </w:r>
      <w:r w:rsidR="002B0786">
        <w:rPr>
          <w:rFonts w:hint="cs"/>
          <w:rtl/>
        </w:rPr>
        <w:t>ל</w:t>
      </w:r>
      <w:r w:rsidR="002D3371">
        <w:rPr>
          <w:rFonts w:hint="cs"/>
          <w:rtl/>
        </w:rPr>
        <w:t>התמסרות של ביטול החומר כלפי הרוח</w:t>
      </w:r>
      <w:r w:rsidR="00417325">
        <w:rPr>
          <w:rFonts w:hint="cs"/>
          <w:rtl/>
        </w:rPr>
        <w:t xml:space="preserve">. </w:t>
      </w:r>
      <w:r w:rsidR="00BA5473">
        <w:rPr>
          <w:rFonts w:hint="cs"/>
          <w:rtl/>
        </w:rPr>
        <w:t>זה נובע מחוסר נתינת משקל מספיק לסתירה של סוד מעשה מרכבה</w:t>
      </w:r>
      <w:r w:rsidR="00231C14">
        <w:rPr>
          <w:rFonts w:hint="cs"/>
          <w:rtl/>
        </w:rPr>
        <w:t xml:space="preserve"> ולעמידה שלנו מולו כמנוצחים</w:t>
      </w:r>
      <w:r w:rsidR="00BA5473">
        <w:rPr>
          <w:rFonts w:hint="cs"/>
          <w:rtl/>
        </w:rPr>
        <w:t>, ומזה הגעה למסקנה ש</w:t>
      </w:r>
      <w:r w:rsidR="00807A62">
        <w:rPr>
          <w:rFonts w:hint="cs"/>
          <w:rtl/>
        </w:rPr>
        <w:t xml:space="preserve">צריך לפתור את הסתירה בין האחדות המופשטת לחומר על ידי ביטול של החומר, לפחות במידת מה. </w:t>
      </w:r>
      <w:r w:rsidR="0095459B">
        <w:rPr>
          <w:rFonts w:hint="cs"/>
          <w:rtl/>
        </w:rPr>
        <w:t xml:space="preserve"> </w:t>
      </w:r>
      <w:r w:rsidR="00CB3D6E">
        <w:rPr>
          <w:rFonts w:hint="cs"/>
          <w:rtl/>
        </w:rPr>
        <w:t xml:space="preserve"> </w:t>
      </w:r>
    </w:p>
    <w:p w14:paraId="1B260DB3" w14:textId="68F9E7C1" w:rsidR="00D27323" w:rsidRDefault="00661F57" w:rsidP="00E260BA">
      <w:pPr>
        <w:pStyle w:val="FootnoteText"/>
      </w:pPr>
      <w:r>
        <w:rPr>
          <w:rFonts w:hint="cs"/>
          <w:rtl/>
        </w:rPr>
        <w:t>(ידיד</w:t>
      </w:r>
      <w:r w:rsidR="001032C7">
        <w:rPr>
          <w:rFonts w:hint="cs"/>
          <w:rtl/>
        </w:rPr>
        <w:t xml:space="preserve"> </w:t>
      </w:r>
      <w:r>
        <w:rPr>
          <w:rFonts w:hint="cs"/>
          <w:rtl/>
        </w:rPr>
        <w:t>שהוא חוקר אק</w:t>
      </w:r>
      <w:r w:rsidR="001032C7">
        <w:rPr>
          <w:rFonts w:hint="cs"/>
          <w:rtl/>
        </w:rPr>
        <w:t xml:space="preserve">דמי של פילוסופיה עתיקה שאל </w:t>
      </w:r>
      <w:r w:rsidR="00605463">
        <w:rPr>
          <w:rFonts w:hint="cs"/>
          <w:rtl/>
        </w:rPr>
        <w:t>למה אבן סינא כל כך התרגז על פילופונוס. ההסבר שלו ה</w:t>
      </w:r>
      <w:r w:rsidR="00004554">
        <w:rPr>
          <w:rFonts w:hint="cs"/>
          <w:rtl/>
        </w:rPr>
        <w:t>ו</w:t>
      </w:r>
      <w:r w:rsidR="00605463">
        <w:rPr>
          <w:rFonts w:hint="cs"/>
          <w:rtl/>
        </w:rPr>
        <w:t xml:space="preserve">א שזה כמו שבטהובן ישמע תו לא </w:t>
      </w:r>
      <w:r w:rsidR="009C463A">
        <w:rPr>
          <w:rFonts w:hint="cs"/>
          <w:rtl/>
        </w:rPr>
        <w:t>מדויק</w:t>
      </w:r>
      <w:r w:rsidR="005D4760">
        <w:rPr>
          <w:rFonts w:hint="cs"/>
          <w:rtl/>
        </w:rPr>
        <w:t xml:space="preserve">, ולא יוכל לסבול. לדעתי הסברים כאלה אין להם </w:t>
      </w:r>
      <w:r w:rsidR="006F6925">
        <w:rPr>
          <w:rFonts w:hint="cs"/>
          <w:rtl/>
        </w:rPr>
        <w:t xml:space="preserve">דבר </w:t>
      </w:r>
      <w:r w:rsidR="005D4760">
        <w:rPr>
          <w:rFonts w:hint="cs"/>
          <w:rtl/>
        </w:rPr>
        <w:t>ו</w:t>
      </w:r>
      <w:r w:rsidR="006F6925">
        <w:rPr>
          <w:rFonts w:hint="cs"/>
          <w:rtl/>
        </w:rPr>
        <w:t>לא</w:t>
      </w:r>
      <w:r w:rsidR="005D4760">
        <w:rPr>
          <w:rFonts w:hint="cs"/>
          <w:rtl/>
        </w:rPr>
        <w:t xml:space="preserve"> </w:t>
      </w:r>
      <w:r w:rsidR="006F6925">
        <w:rPr>
          <w:rFonts w:hint="cs"/>
          <w:rtl/>
        </w:rPr>
        <w:t xml:space="preserve">חצי </w:t>
      </w:r>
      <w:r w:rsidR="005D4760">
        <w:rPr>
          <w:rFonts w:hint="cs"/>
          <w:rtl/>
        </w:rPr>
        <w:t>דבר עם אבן סינא</w:t>
      </w:r>
      <w:r w:rsidR="006F6925">
        <w:rPr>
          <w:rFonts w:hint="cs"/>
          <w:rtl/>
        </w:rPr>
        <w:t xml:space="preserve"> </w:t>
      </w:r>
      <w:r w:rsidR="005D4760">
        <w:rPr>
          <w:rFonts w:hint="cs"/>
          <w:rtl/>
        </w:rPr>
        <w:t>ופעלו</w:t>
      </w:r>
      <w:r w:rsidR="00B67DD9">
        <w:rPr>
          <w:rFonts w:hint="cs"/>
          <w:rtl/>
        </w:rPr>
        <w:t>. אבן סינא</w:t>
      </w:r>
      <w:r w:rsidR="0001052A">
        <w:rPr>
          <w:rFonts w:hint="cs"/>
          <w:rtl/>
        </w:rPr>
        <w:t xml:space="preserve"> הוא </w:t>
      </w:r>
      <w:r w:rsidR="001945B3">
        <w:rPr>
          <w:rFonts w:hint="cs"/>
          <w:rtl/>
        </w:rPr>
        <w:t xml:space="preserve">לא יוצר מוכשר </w:t>
      </w:r>
      <w:r w:rsidR="005F0D73">
        <w:rPr>
          <w:rFonts w:hint="cs"/>
          <w:rtl/>
        </w:rPr>
        <w:t xml:space="preserve">כמו אמן גדול </w:t>
      </w:r>
      <w:r w:rsidR="001945B3">
        <w:rPr>
          <w:rFonts w:hint="cs"/>
          <w:rtl/>
        </w:rPr>
        <w:t>בתחום הפילוסו</w:t>
      </w:r>
      <w:r w:rsidR="006267CF">
        <w:rPr>
          <w:rFonts w:hint="cs"/>
          <w:rtl/>
        </w:rPr>
        <w:t>פ</w:t>
      </w:r>
      <w:r w:rsidR="001945B3">
        <w:rPr>
          <w:rFonts w:hint="cs"/>
          <w:rtl/>
        </w:rPr>
        <w:t>יה</w:t>
      </w:r>
      <w:r w:rsidR="005F0D73">
        <w:rPr>
          <w:rFonts w:hint="cs"/>
          <w:rtl/>
        </w:rPr>
        <w:t>,</w:t>
      </w:r>
      <w:r w:rsidR="001945B3">
        <w:rPr>
          <w:rFonts w:hint="cs"/>
          <w:rtl/>
        </w:rPr>
        <w:t xml:space="preserve"> </w:t>
      </w:r>
      <w:r w:rsidR="006267CF">
        <w:rPr>
          <w:rFonts w:hint="cs"/>
          <w:rtl/>
        </w:rPr>
        <w:t xml:space="preserve">אלא הוא </w:t>
      </w:r>
      <w:r w:rsidR="0001052A">
        <w:rPr>
          <w:rFonts w:hint="cs"/>
          <w:rtl/>
        </w:rPr>
        <w:t>איש האלוהים</w:t>
      </w:r>
      <w:r w:rsidR="00B67DD9">
        <w:rPr>
          <w:rFonts w:hint="cs"/>
          <w:rtl/>
        </w:rPr>
        <w:t xml:space="preserve"> </w:t>
      </w:r>
      <w:r w:rsidR="0001052A">
        <w:rPr>
          <w:rFonts w:hint="cs"/>
          <w:rtl/>
        </w:rPr>
        <w:t>ו</w:t>
      </w:r>
      <w:r w:rsidR="00B67DD9">
        <w:rPr>
          <w:rFonts w:hint="cs"/>
          <w:rtl/>
        </w:rPr>
        <w:t>כותב בדיוק את מה שמי שמבקש דעת אלוהים צריך</w:t>
      </w:r>
      <w:r w:rsidR="00B97C06">
        <w:rPr>
          <w:rFonts w:hint="cs"/>
          <w:rtl/>
        </w:rPr>
        <w:t xml:space="preserve"> לדעת</w:t>
      </w:r>
      <w:r w:rsidR="00B67DD9">
        <w:rPr>
          <w:rFonts w:hint="cs"/>
          <w:rtl/>
        </w:rPr>
        <w:t xml:space="preserve">, </w:t>
      </w:r>
      <w:r w:rsidR="00B97C06">
        <w:rPr>
          <w:rFonts w:hint="cs"/>
          <w:rtl/>
        </w:rPr>
        <w:t>ורק את זה</w:t>
      </w:r>
      <w:r w:rsidR="005F0D73">
        <w:rPr>
          <w:rFonts w:hint="cs"/>
          <w:rtl/>
        </w:rPr>
        <w:t xml:space="preserve">. כך גם התייחסו </w:t>
      </w:r>
      <w:r w:rsidR="00AB0439">
        <w:rPr>
          <w:rFonts w:hint="cs"/>
          <w:rtl/>
        </w:rPr>
        <w:t>הקדמונים לאבן סינא, כנביא ואיש האלוהים</w:t>
      </w:r>
      <w:r w:rsidR="00680D3C">
        <w:rPr>
          <w:rFonts w:hint="cs"/>
          <w:rtl/>
        </w:rPr>
        <w:t>,</w:t>
      </w:r>
      <w:r w:rsidR="00AB0439">
        <w:rPr>
          <w:rFonts w:hint="cs"/>
          <w:rtl/>
        </w:rPr>
        <w:t xml:space="preserve"> כמו שרו</w:t>
      </w:r>
      <w:r w:rsidR="00680D3C">
        <w:rPr>
          <w:rFonts w:hint="cs"/>
          <w:rtl/>
        </w:rPr>
        <w:t>א</w:t>
      </w:r>
      <w:r w:rsidR="00AB0439">
        <w:rPr>
          <w:rFonts w:hint="cs"/>
          <w:rtl/>
        </w:rPr>
        <w:t>ים אצל אבן טופייל ואחרים</w:t>
      </w:r>
      <w:r w:rsidR="006F6925">
        <w:rPr>
          <w:rFonts w:hint="cs"/>
          <w:rtl/>
        </w:rPr>
        <w:t>)</w:t>
      </w:r>
    </w:p>
  </w:footnote>
  <w:footnote w:id="444">
    <w:p w14:paraId="60ADAC1D" w14:textId="76765798" w:rsidR="009E5FC6" w:rsidRDefault="002F574B">
      <w:pPr>
        <w:pStyle w:val="FootnoteText"/>
        <w:rPr>
          <w:rtl/>
        </w:rPr>
      </w:pPr>
      <w:r>
        <w:rPr>
          <w:rStyle w:val="FootnoteReference"/>
        </w:rPr>
        <w:footnoteRef/>
      </w:r>
      <w:r>
        <w:rPr>
          <w:rtl/>
        </w:rPr>
        <w:t xml:space="preserve"> </w:t>
      </w:r>
      <w:r w:rsidR="00E260BA">
        <w:rPr>
          <w:rFonts w:hint="cs"/>
          <w:rtl/>
        </w:rPr>
        <w:t xml:space="preserve">ה'דחף' שמוזכר כאן הוא הטבע של מי שהרים יד שמניע אותו להוריד את היד כמו הטבע של אבן שנופלת. </w:t>
      </w:r>
      <w:r w:rsidR="00E71E94">
        <w:rPr>
          <w:rFonts w:hint="cs"/>
          <w:rtl/>
        </w:rPr>
        <w:t xml:space="preserve">ואבן סינא כאן מסביר את שיטתו שלו, שזה כמו שהדחף אינו המניע אלא משהו בו הוא המניע, המשהו הזה הוא כח אחר </w:t>
      </w:r>
      <w:r w:rsidR="0053549C">
        <w:rPr>
          <w:rFonts w:hint="cs"/>
          <w:rtl/>
        </w:rPr>
        <w:t xml:space="preserve">שמופעל עליו </w:t>
      </w:r>
      <w:r w:rsidR="00E71E94">
        <w:rPr>
          <w:rFonts w:hint="cs"/>
          <w:rtl/>
        </w:rPr>
        <w:t>ששונה מהדחף</w:t>
      </w:r>
      <w:r w:rsidR="0053549C">
        <w:rPr>
          <w:rFonts w:hint="cs"/>
          <w:rtl/>
        </w:rPr>
        <w:t xml:space="preserve"> עצמו</w:t>
      </w:r>
      <w:r w:rsidR="00E71E94">
        <w:rPr>
          <w:rFonts w:hint="cs"/>
          <w:rtl/>
        </w:rPr>
        <w:t xml:space="preserve">. </w:t>
      </w:r>
      <w:r w:rsidR="0053549C">
        <w:rPr>
          <w:rFonts w:hint="cs"/>
          <w:rtl/>
        </w:rPr>
        <w:t xml:space="preserve">זה כמו לומר שאם ראובן דוחף את שמעון, הטבע </w:t>
      </w:r>
      <w:r w:rsidR="00033BB0">
        <w:rPr>
          <w:rFonts w:hint="cs"/>
          <w:rtl/>
        </w:rPr>
        <w:t xml:space="preserve">העצמי </w:t>
      </w:r>
      <w:r w:rsidR="0053549C">
        <w:rPr>
          <w:rFonts w:hint="cs"/>
          <w:rtl/>
        </w:rPr>
        <w:t xml:space="preserve">של שמעון אינו המניע </w:t>
      </w:r>
      <w:r w:rsidR="00033BB0">
        <w:rPr>
          <w:rFonts w:hint="cs"/>
          <w:rtl/>
        </w:rPr>
        <w:t xml:space="preserve">של תנועה זו, אלא משהו בו הוא המניע. המשהו ש"בו" הוא </w:t>
      </w:r>
      <w:r w:rsidR="00033BB0">
        <w:rPr>
          <w:rFonts w:hint="cs"/>
          <w:rtl/>
        </w:rPr>
        <w:t xml:space="preserve">הכח של דחיפת ראובן אותו. </w:t>
      </w:r>
      <w:r w:rsidR="0069379C">
        <w:rPr>
          <w:rFonts w:hint="cs"/>
          <w:rtl/>
        </w:rPr>
        <w:t>אפשר לומר שכשראובן דוחף את שמעון</w:t>
      </w:r>
      <w:r w:rsidR="00C5050A">
        <w:rPr>
          <w:rFonts w:hint="cs"/>
          <w:rtl/>
        </w:rPr>
        <w:t xml:space="preserve"> אז</w:t>
      </w:r>
      <w:r w:rsidR="0069379C">
        <w:rPr>
          <w:rFonts w:hint="cs"/>
          <w:rtl/>
        </w:rPr>
        <w:t xml:space="preserve"> הדחף של טבעו העצמי של שמעון</w:t>
      </w:r>
      <w:r w:rsidR="00C5050A">
        <w:rPr>
          <w:rFonts w:hint="cs"/>
          <w:rtl/>
        </w:rPr>
        <w:t xml:space="preserve"> הוא כמו שאינו המניע אלא </w:t>
      </w:r>
      <w:r w:rsidR="00806EA3">
        <w:rPr>
          <w:rFonts w:hint="cs"/>
          <w:rtl/>
        </w:rPr>
        <w:t>דבר בו הוא המניע, והוא הכח של דחיפת ראובן אותו. זה בדיוק המשפט שנאמר כאן לגבי הנעת הנפש את הבשר של הגוף שהיא בו</w:t>
      </w:r>
      <w:r w:rsidR="00431381">
        <w:rPr>
          <w:rFonts w:hint="cs"/>
          <w:rtl/>
        </w:rPr>
        <w:t>, שהדחף החומרי של הבשר אינו המניע אלא "משהו בו" הוא המניע וזה הכח של הנפש שמניעה אותו כמו ראובן שדוחף אותו</w:t>
      </w:r>
      <w:r w:rsidR="00806EA3">
        <w:rPr>
          <w:rFonts w:hint="cs"/>
          <w:rtl/>
        </w:rPr>
        <w:t xml:space="preserve">. </w:t>
      </w:r>
      <w:r w:rsidR="00431381">
        <w:rPr>
          <w:rFonts w:hint="cs"/>
          <w:rtl/>
        </w:rPr>
        <w:t>מקגיניס גם הוא פירש</w:t>
      </w:r>
      <w:r w:rsidR="0031227D">
        <w:rPr>
          <w:rFonts w:hint="cs"/>
          <w:rtl/>
        </w:rPr>
        <w:t xml:space="preserve"> </w:t>
      </w:r>
      <w:r w:rsidR="00431381">
        <w:rPr>
          <w:rFonts w:hint="cs"/>
          <w:rtl/>
        </w:rPr>
        <w:t>כך ושינה מעט את הנוסח של אבן סינא שיתאים לזה. העדפתי ל</w:t>
      </w:r>
      <w:r w:rsidR="009E5FC6">
        <w:rPr>
          <w:rFonts w:hint="cs"/>
          <w:rtl/>
        </w:rPr>
        <w:t>תרגם</w:t>
      </w:r>
      <w:r w:rsidR="00431381">
        <w:rPr>
          <w:rFonts w:hint="cs"/>
          <w:rtl/>
        </w:rPr>
        <w:t xml:space="preserve"> באופן מילולי לגמרי, והניסוח יצא מסורבל ומוזר, אבל זו הכוונה בו</w:t>
      </w:r>
      <w:r w:rsidR="00491EF7">
        <w:rPr>
          <w:rFonts w:hint="cs"/>
          <w:rtl/>
        </w:rPr>
        <w:t xml:space="preserve"> (מי שרוצה לי</w:t>
      </w:r>
      <w:r w:rsidR="00A92602">
        <w:rPr>
          <w:rFonts w:hint="cs"/>
          <w:rtl/>
        </w:rPr>
        <w:t>ה</w:t>
      </w:r>
      <w:r w:rsidR="00491EF7">
        <w:rPr>
          <w:rFonts w:hint="cs"/>
          <w:rtl/>
        </w:rPr>
        <w:t xml:space="preserve">נות מצחות לשונו של אבן סינא צריך ללמוד ערבית, את היופי שבלשון אי אפשר לתרגם, ואני מנסה לתרגם רק את התוכן </w:t>
      </w:r>
      <w:r w:rsidR="009C463A">
        <w:rPr>
          <w:rFonts w:hint="cs"/>
          <w:rtl/>
        </w:rPr>
        <w:t>מדויק</w:t>
      </w:r>
      <w:r w:rsidR="00A92602">
        <w:rPr>
          <w:rFonts w:hint="cs"/>
          <w:rtl/>
        </w:rPr>
        <w:t xml:space="preserve"> ככל האפשר </w:t>
      </w:r>
      <w:r w:rsidR="00491EF7">
        <w:rPr>
          <w:rFonts w:hint="cs"/>
          <w:rtl/>
        </w:rPr>
        <w:t>גם אם הלשון כעורה)</w:t>
      </w:r>
      <w:r w:rsidR="00431381">
        <w:rPr>
          <w:rFonts w:hint="cs"/>
          <w:rtl/>
        </w:rPr>
        <w:t>.</w:t>
      </w:r>
    </w:p>
    <w:p w14:paraId="23B62D21" w14:textId="77777777" w:rsidR="00CA6932" w:rsidRDefault="009E5FC6">
      <w:pPr>
        <w:pStyle w:val="FootnoteText"/>
        <w:rPr>
          <w:rtl/>
        </w:rPr>
      </w:pPr>
      <w:r>
        <w:rPr>
          <w:rFonts w:hint="cs"/>
          <w:rtl/>
        </w:rPr>
        <w:t xml:space="preserve">כשמדובר על ראובן ושמעון, צריך לומר </w:t>
      </w:r>
      <w:r w:rsidR="00133B5C">
        <w:rPr>
          <w:rFonts w:hint="cs"/>
          <w:rtl/>
        </w:rPr>
        <w:t>'</w:t>
      </w:r>
      <w:r>
        <w:rPr>
          <w:rFonts w:hint="cs"/>
          <w:rtl/>
        </w:rPr>
        <w:t>הטבע של שמעון אינו המניע</w:t>
      </w:r>
      <w:r w:rsidR="00133B5C">
        <w:rPr>
          <w:rFonts w:hint="cs"/>
          <w:rtl/>
        </w:rPr>
        <w:t>'</w:t>
      </w:r>
      <w:r>
        <w:rPr>
          <w:rFonts w:hint="cs"/>
          <w:rtl/>
        </w:rPr>
        <w:t xml:space="preserve">, ולא </w:t>
      </w:r>
      <w:r w:rsidR="00133B5C">
        <w:rPr>
          <w:rFonts w:hint="cs"/>
          <w:rtl/>
        </w:rPr>
        <w:t xml:space="preserve">'כמו </w:t>
      </w:r>
      <w:r w:rsidR="009116B8">
        <w:rPr>
          <w:rFonts w:hint="cs"/>
          <w:rtl/>
        </w:rPr>
        <w:t xml:space="preserve">שאינו </w:t>
      </w:r>
      <w:r w:rsidR="00133B5C">
        <w:rPr>
          <w:rFonts w:hint="cs"/>
          <w:rtl/>
        </w:rPr>
        <w:t xml:space="preserve">הוא </w:t>
      </w:r>
      <w:r w:rsidR="009116B8">
        <w:rPr>
          <w:rFonts w:hint="cs"/>
          <w:rtl/>
        </w:rPr>
        <w:t>המניע</w:t>
      </w:r>
      <w:r w:rsidR="00155B82">
        <w:rPr>
          <w:rFonts w:hint="cs"/>
          <w:rtl/>
        </w:rPr>
        <w:t xml:space="preserve">'. המילה "כמו" כאן מיותרת, כי באמת טבעו של שמעון הנדחף אינו מניע כלל, ולא רק "כמו" שאינו מניע. </w:t>
      </w:r>
      <w:r w:rsidR="006736CB">
        <w:rPr>
          <w:rFonts w:hint="cs"/>
          <w:rtl/>
        </w:rPr>
        <w:t>אבל בנפש זה לא כל כך פשוט, כי יש אחדות בין הנפש ובין הטבע החומרי של הבשר של בעל החיים, והיא קשורה לטבע החומרי</w:t>
      </w:r>
      <w:r w:rsidR="00CA46C1">
        <w:rPr>
          <w:rFonts w:hint="cs"/>
          <w:rtl/>
        </w:rPr>
        <w:t>, ומשם הכח שלה לאלץ את הטבע החומרי לנוע לפי רצונה. כשראובן דוחף את שמעון, הוא מאלץ את שמעון לנוע בכח הדחיפה</w:t>
      </w:r>
      <w:r w:rsidR="008620F7">
        <w:rPr>
          <w:rFonts w:hint="cs"/>
          <w:rtl/>
        </w:rPr>
        <w:t>, שהיא המבטלת את טבעו העצמי של שמעון</w:t>
      </w:r>
      <w:r w:rsidR="00CA46C1">
        <w:rPr>
          <w:rFonts w:hint="cs"/>
          <w:rtl/>
        </w:rPr>
        <w:t>. כשהנפש מאלצת את היד המורמת להישאר למעלה היא לא דוחפת, ו</w:t>
      </w:r>
      <w:r w:rsidR="008620F7">
        <w:rPr>
          <w:rFonts w:hint="cs"/>
          <w:rtl/>
        </w:rPr>
        <w:t xml:space="preserve">יש לשאול שאם אין כאן דחיפה איך הנפש יכולה להתגבר על הטבע של היד לרדת, במה היא מאלצת אותו. </w:t>
      </w:r>
      <w:r w:rsidR="00F432EA">
        <w:rPr>
          <w:rFonts w:hint="cs"/>
          <w:rtl/>
        </w:rPr>
        <w:t>התשובה לזה היא האחדות</w:t>
      </w:r>
      <w:r w:rsidR="001C7EB3">
        <w:rPr>
          <w:rFonts w:hint="cs"/>
          <w:rtl/>
        </w:rPr>
        <w:t xml:space="preserve"> </w:t>
      </w:r>
      <w:r w:rsidR="00F432EA">
        <w:rPr>
          <w:rFonts w:hint="cs"/>
          <w:rtl/>
        </w:rPr>
        <w:t>שיש לנפש עם הגוף</w:t>
      </w:r>
      <w:r w:rsidR="001C7EB3">
        <w:rPr>
          <w:rFonts w:hint="cs"/>
          <w:rtl/>
        </w:rPr>
        <w:t xml:space="preserve"> (שנסתרת בעומק הטבע)</w:t>
      </w:r>
      <w:r w:rsidR="00F432EA">
        <w:rPr>
          <w:rFonts w:hint="cs"/>
          <w:rtl/>
        </w:rPr>
        <w:t xml:space="preserve">, שמכוחה היא יכולה לאלץ את הגוף ואת טבעו הגופני. </w:t>
      </w:r>
      <w:r w:rsidR="00801592">
        <w:rPr>
          <w:rFonts w:hint="cs"/>
          <w:rtl/>
        </w:rPr>
        <w:t xml:space="preserve">זו אחדות שלא מבטלת את העובדה שיש מציאות של גוף חומרי שאינה מתבטלת, ועם זה עדיין יש אחדות פשוטה גמורה בין הנפש לחומר. זה משורש סוד הצמצום ומעשה מרכבה, שיש מציאות עצמית לעולם החומרי המוגבל, וביחד עם זה יש אחדות מוחלטת </w:t>
      </w:r>
      <w:r w:rsidR="00D751DF">
        <w:rPr>
          <w:rFonts w:hint="cs"/>
          <w:rtl/>
        </w:rPr>
        <w:t xml:space="preserve">עם האלוה שהוא אחדות פשוטה מוחלטת בלי מורכבות כלל, ושני צדדי הסתירה אמת ואין לה פתרון לפי שכלנו הקטן, ועל זה כתב המורה נבוכים א' ע"ב </w:t>
      </w:r>
      <w:r w:rsidR="000C5FC9">
        <w:rPr>
          <w:rFonts w:hint="cs"/>
          <w:rtl/>
        </w:rPr>
        <w:t>"</w:t>
      </w:r>
      <w:r w:rsidR="00D751DF">
        <w:rPr>
          <w:rFonts w:hint="cs"/>
          <w:rtl/>
        </w:rPr>
        <w:t>ישתבח מי שנצחנו שלמותו</w:t>
      </w:r>
      <w:r w:rsidR="000C5FC9">
        <w:rPr>
          <w:rFonts w:hint="cs"/>
          <w:rtl/>
        </w:rPr>
        <w:t>"</w:t>
      </w:r>
      <w:r w:rsidR="00D751DF">
        <w:rPr>
          <w:rFonts w:hint="cs"/>
          <w:rtl/>
        </w:rPr>
        <w:t>.</w:t>
      </w:r>
      <w:r w:rsidR="000C5FC9">
        <w:rPr>
          <w:rFonts w:hint="cs"/>
          <w:rtl/>
        </w:rPr>
        <w:t xml:space="preserve"> האמת היא להחזיק את שני צדדי הסתירה הזו בלי להחליש אף צד ובלי שהצדדים יבטלו זה את זה. זה המבוא לגדלות מוחין ששם מונח</w:t>
      </w:r>
      <w:r w:rsidR="0029463F">
        <w:rPr>
          <w:rFonts w:hint="cs"/>
          <w:rtl/>
        </w:rPr>
        <w:t>ת התחלת הדרך</w:t>
      </w:r>
      <w:r w:rsidR="000C5FC9">
        <w:rPr>
          <w:rFonts w:hint="cs"/>
          <w:rtl/>
        </w:rPr>
        <w:t xml:space="preserve"> </w:t>
      </w:r>
      <w:r w:rsidR="00CA6932">
        <w:rPr>
          <w:rFonts w:hint="cs"/>
          <w:rtl/>
        </w:rPr>
        <w:t>ל</w:t>
      </w:r>
      <w:r w:rsidR="000C5FC9">
        <w:rPr>
          <w:rFonts w:hint="cs"/>
          <w:rtl/>
        </w:rPr>
        <w:t xml:space="preserve">פתרון </w:t>
      </w:r>
      <w:r w:rsidR="00CA6932">
        <w:rPr>
          <w:rFonts w:hint="cs"/>
          <w:rtl/>
        </w:rPr>
        <w:t>ה</w:t>
      </w:r>
      <w:r w:rsidR="000C5FC9">
        <w:rPr>
          <w:rFonts w:hint="cs"/>
          <w:rtl/>
        </w:rPr>
        <w:t xml:space="preserve">סתירה. לכן אבן סינא מתקומם נגד פילופונוס שרוצה להגביר את הצד של האחדות האלוהית על הצד של המציאות של המוגבל החומרי. </w:t>
      </w:r>
      <w:r w:rsidR="00ED4DA6">
        <w:rPr>
          <w:rFonts w:hint="cs"/>
          <w:rtl/>
        </w:rPr>
        <w:t xml:space="preserve">אבל ביחד עם זה אבן סינא יודע שיש גם צד שני לסתירה הזו, לפיו יש אחדות פשוטה של כל המציאות, והנפש אחת לגמרי עם הגוף. </w:t>
      </w:r>
    </w:p>
    <w:p w14:paraId="3D8B6622" w14:textId="16D27A9A" w:rsidR="002F574B" w:rsidRDefault="00633283">
      <w:pPr>
        <w:pStyle w:val="FootnoteText"/>
      </w:pPr>
      <w:r>
        <w:rPr>
          <w:rFonts w:hint="cs"/>
          <w:rtl/>
        </w:rPr>
        <w:t xml:space="preserve">שואלים שאם הנפש יכולה להניע חומר, שהרי ברצונה היד הבשרית נעה, למה היא לא יכולה להניע אבן שמונחת על הקרקע. והתשובה היא שלנפש יש אחדות גמורה עם הגוף שבו היא שוכנת ומכח זה היא מניעה את החומר שלו, אבל אין לה אחדות עם האבן שעל הקרקע. </w:t>
      </w:r>
      <w:r w:rsidR="001B01FD">
        <w:rPr>
          <w:rFonts w:hint="cs"/>
          <w:rtl/>
        </w:rPr>
        <w:t xml:space="preserve">כדי לרמוז שיש כאן שני צדדים סותרים ושניהם אמת גמורה </w:t>
      </w:r>
      <w:r w:rsidR="00E40A2C">
        <w:rPr>
          <w:rFonts w:hint="cs"/>
          <w:rtl/>
        </w:rPr>
        <w:t xml:space="preserve">(כאמור, </w:t>
      </w:r>
      <w:r w:rsidR="001B01FD">
        <w:rPr>
          <w:rFonts w:hint="cs"/>
          <w:rtl/>
        </w:rPr>
        <w:t xml:space="preserve">צד אחד שהנפש אחת לגמרי עם הגוף והכל נובע רק ממנה </w:t>
      </w:r>
      <w:r w:rsidR="006B481E">
        <w:rPr>
          <w:rFonts w:hint="cs"/>
          <w:rtl/>
        </w:rPr>
        <w:t>והחומר והטבע החומרי לא באמת נמצאים, ומשם היכולת של הנפש לאלץ את החומר וטבעו החומרי בלי צורך לדחוף</w:t>
      </w:r>
      <w:r w:rsidR="00E40A2C">
        <w:rPr>
          <w:rFonts w:hint="cs"/>
          <w:rtl/>
        </w:rPr>
        <w:t>)</w:t>
      </w:r>
      <w:r w:rsidR="006B481E">
        <w:rPr>
          <w:rFonts w:hint="cs"/>
          <w:rtl/>
        </w:rPr>
        <w:t xml:space="preserve">, </w:t>
      </w:r>
      <w:r w:rsidR="00E40A2C">
        <w:rPr>
          <w:rFonts w:hint="cs"/>
          <w:rtl/>
        </w:rPr>
        <w:t xml:space="preserve">כשהוא מדבר על הצד שהטבע החומרי קיים והנפש מניעה אותו כמו שראובן דוחף את שמעון, </w:t>
      </w:r>
      <w:r w:rsidR="00DE5691">
        <w:rPr>
          <w:rFonts w:hint="cs"/>
          <w:rtl/>
        </w:rPr>
        <w:t>הוא כותב שזה רק "כמו"</w:t>
      </w:r>
      <w:r w:rsidR="00DE5691">
        <w:rPr>
          <w:rFonts w:hint="cs"/>
        </w:rPr>
        <w:t xml:space="preserve"> </w:t>
      </w:r>
      <w:r w:rsidR="00DE5691">
        <w:rPr>
          <w:rFonts w:hint="cs"/>
          <w:rtl/>
        </w:rPr>
        <w:t>שהטבע החומרי אינו המניע. כי לפי הצד של האחדות הוא בטל לנפש ונעשה אחד איתה ואז הוא כן המניע.</w:t>
      </w:r>
    </w:p>
  </w:footnote>
  <w:footnote w:id="445">
    <w:p w14:paraId="033CA7D1" w14:textId="4A4AFADC" w:rsidR="00F22ED6" w:rsidRDefault="0028581F">
      <w:pPr>
        <w:pStyle w:val="FootnoteText"/>
        <w:rPr>
          <w:rtl/>
        </w:rPr>
      </w:pPr>
      <w:r>
        <w:rPr>
          <w:rStyle w:val="FootnoteReference"/>
        </w:rPr>
        <w:footnoteRef/>
      </w:r>
      <w:r>
        <w:rPr>
          <w:rtl/>
        </w:rPr>
        <w:t xml:space="preserve"> </w:t>
      </w:r>
      <w:r w:rsidR="00662ED3">
        <w:rPr>
          <w:rFonts w:hint="cs"/>
          <w:rtl/>
        </w:rPr>
        <w:t xml:space="preserve">אבן סינא </w:t>
      </w:r>
      <w:r w:rsidR="009F475D">
        <w:rPr>
          <w:rFonts w:hint="cs"/>
          <w:rtl/>
        </w:rPr>
        <w:t>הבהיר את היחס שבין ה'דחף' שבא מהטבע החומרי ובין ה'דחף' שמקורו בנפש. היחס ש</w:t>
      </w:r>
      <w:r w:rsidR="00E6794D">
        <w:rPr>
          <w:rFonts w:hint="cs"/>
          <w:rtl/>
        </w:rPr>
        <w:t xml:space="preserve">ביניהם הוא כמו יחס של נפש לגוף שהוא כמו היחס של </w:t>
      </w:r>
      <w:r w:rsidR="00E6794D">
        <w:rPr>
          <w:rFonts w:hint="cs"/>
          <w:rtl/>
        </w:rPr>
        <w:t>האלוה עם הבריאה המוגבלת. בגוף מאירה הנפש, מתגלה דרכו, הגוף הוא כלי לאור של הנפש</w:t>
      </w:r>
      <w:r w:rsidR="00221CC6">
        <w:rPr>
          <w:rFonts w:hint="cs"/>
          <w:rtl/>
        </w:rPr>
        <w:t xml:space="preserve">. כשרואים אדם חי בעיני השכל העמוק רואים חיים, נפש אלוהות. זה לא גוש חומר. </w:t>
      </w:r>
      <w:r w:rsidR="00B201B0">
        <w:rPr>
          <w:rFonts w:hint="cs"/>
          <w:rtl/>
        </w:rPr>
        <w:t xml:space="preserve">הבשר החי אינו כמו בשר מת של גווייה. כמו שרש"י כתב על הפסוק </w:t>
      </w:r>
      <w:r w:rsidR="00FC59B2">
        <w:rPr>
          <w:rFonts w:hint="cs"/>
          <w:rtl/>
        </w:rPr>
        <w:t>"</w:t>
      </w:r>
      <w:r w:rsidR="00B201B0">
        <w:rPr>
          <w:rFonts w:hint="cs"/>
          <w:rtl/>
        </w:rPr>
        <w:t>ורחל הייתה יפת תואר ויפת מראה</w:t>
      </w:r>
      <w:r w:rsidR="00FC59B2">
        <w:rPr>
          <w:rFonts w:hint="cs"/>
          <w:rtl/>
        </w:rPr>
        <w:t>"</w:t>
      </w:r>
      <w:r w:rsidR="00B201B0">
        <w:rPr>
          <w:rFonts w:hint="cs"/>
          <w:rtl/>
        </w:rPr>
        <w:t>, ש</w:t>
      </w:r>
      <w:r w:rsidR="00FC59B2">
        <w:rPr>
          <w:rFonts w:hint="cs"/>
          <w:rtl/>
        </w:rPr>
        <w:t>י</w:t>
      </w:r>
      <w:r w:rsidR="00B201B0">
        <w:rPr>
          <w:rFonts w:hint="cs"/>
          <w:rtl/>
        </w:rPr>
        <w:t>פת תואר זה היופי של תבנית החומר, ויפת מראה זה "זיו קלסתר". אור רוחני אלוהי עליון שנהר מפניה ו</w:t>
      </w:r>
      <w:r w:rsidR="002C3BA9">
        <w:rPr>
          <w:rFonts w:hint="cs"/>
          <w:rtl/>
        </w:rPr>
        <w:t>מי שיש לו לב רואה בה את זה, והחומר הוא רק כלי לזה, כמו אספקלריא</w:t>
      </w:r>
      <w:r w:rsidR="00F540E1">
        <w:rPr>
          <w:rFonts w:hint="cs"/>
          <w:rtl/>
        </w:rPr>
        <w:t xml:space="preserve"> (זכוכית חצי שקופה שמשתקף בה האור</w:t>
      </w:r>
      <w:r w:rsidR="00F93656">
        <w:rPr>
          <w:rFonts w:hint="cs"/>
          <w:rtl/>
        </w:rPr>
        <w:t>, אבל נראה דרכה בראייה עמומה וחלקית</w:t>
      </w:r>
      <w:r w:rsidR="00DA655E">
        <w:rPr>
          <w:rFonts w:hint="cs"/>
          <w:rtl/>
        </w:rPr>
        <w:t>, ובכל אופן אם מבקשים את האור הזכוכית של האספקלריא כאילו אינה</w:t>
      </w:r>
      <w:r w:rsidR="0071666D">
        <w:rPr>
          <w:rFonts w:hint="cs"/>
          <w:rtl/>
        </w:rPr>
        <w:t xml:space="preserve"> קיימת</w:t>
      </w:r>
      <w:r w:rsidR="00B075D1">
        <w:rPr>
          <w:rFonts w:hint="cs"/>
          <w:rtl/>
        </w:rPr>
        <w:t xml:space="preserve"> ורואים רק את האור המעומעם ולא שום דבר מלבדו</w:t>
      </w:r>
      <w:r w:rsidR="0071666D">
        <w:rPr>
          <w:rFonts w:hint="cs"/>
          <w:rtl/>
        </w:rPr>
        <w:t xml:space="preserve"> (כמו מי ש</w:t>
      </w:r>
      <w:r w:rsidR="00891C3C">
        <w:rPr>
          <w:rFonts w:hint="cs"/>
          <w:rtl/>
        </w:rPr>
        <w:t>יש לו משקפי שמש והוא שוכח את הזכוכיות שיש בינו לבין המציאות למרות שהן מעמעמות את אורה</w:t>
      </w:r>
      <w:r w:rsidR="0071666D">
        <w:rPr>
          <w:rFonts w:hint="cs"/>
          <w:rtl/>
        </w:rPr>
        <w:t>)</w:t>
      </w:r>
      <w:r w:rsidR="00F540E1">
        <w:rPr>
          <w:rFonts w:hint="cs"/>
          <w:rtl/>
        </w:rPr>
        <w:t>)</w:t>
      </w:r>
      <w:r w:rsidR="002C3BA9">
        <w:rPr>
          <w:rFonts w:hint="cs"/>
          <w:rtl/>
        </w:rPr>
        <w:t xml:space="preserve">. </w:t>
      </w:r>
      <w:r w:rsidR="00FC59B2">
        <w:rPr>
          <w:rFonts w:hint="cs"/>
          <w:rtl/>
        </w:rPr>
        <w:t>כדי שיתגלה האור צריך שתהיה אספקלריא שיש לה מציאות גמורה</w:t>
      </w:r>
      <w:r w:rsidR="00F93656">
        <w:rPr>
          <w:rFonts w:hint="cs"/>
          <w:rtl/>
        </w:rPr>
        <w:t>,</w:t>
      </w:r>
      <w:r w:rsidR="00F540E1">
        <w:rPr>
          <w:rFonts w:hint="cs"/>
          <w:rtl/>
        </w:rPr>
        <w:t xml:space="preserve"> </w:t>
      </w:r>
      <w:r w:rsidR="00EA1BCE">
        <w:rPr>
          <w:rFonts w:hint="cs"/>
          <w:rtl/>
        </w:rPr>
        <w:t>ולשם כך יש להתגבר על הנטייה לראות רק את האור</w:t>
      </w:r>
      <w:r w:rsidR="009D1EE3">
        <w:rPr>
          <w:rFonts w:hint="cs"/>
          <w:rtl/>
        </w:rPr>
        <w:t xml:space="preserve">. </w:t>
      </w:r>
      <w:r w:rsidR="00FC59B2">
        <w:rPr>
          <w:rFonts w:hint="cs"/>
          <w:rtl/>
        </w:rPr>
        <w:t>אם מבטלים את המציאות העצמית הגמורה של האספקלריא לא מתגלה האור</w:t>
      </w:r>
      <w:r w:rsidR="00F93656">
        <w:rPr>
          <w:rFonts w:hint="cs"/>
          <w:rtl/>
        </w:rPr>
        <w:t>, הוא מסנוור ומעוור את העיניים, אין שום כלי שיכול לקלוט את אור האין סוף באין סופיותו, כי כל כלי מוגבל</w:t>
      </w:r>
      <w:r w:rsidR="00FC59B2">
        <w:rPr>
          <w:rFonts w:hint="cs"/>
          <w:rtl/>
        </w:rPr>
        <w:t xml:space="preserve">. </w:t>
      </w:r>
      <w:r w:rsidR="00F22ED6">
        <w:rPr>
          <w:rFonts w:hint="cs"/>
          <w:rtl/>
        </w:rPr>
        <w:t xml:space="preserve">הצמצום הכרחי והוא נעשה על ידי כלי החומר. </w:t>
      </w:r>
    </w:p>
    <w:p w14:paraId="21DCB68F" w14:textId="7925E017" w:rsidR="00285DC4" w:rsidRDefault="00F22ED6">
      <w:pPr>
        <w:pStyle w:val="FootnoteText"/>
        <w:rPr>
          <w:rtl/>
        </w:rPr>
      </w:pPr>
      <w:r>
        <w:rPr>
          <w:rFonts w:hint="cs"/>
          <w:rtl/>
        </w:rPr>
        <w:t xml:space="preserve">אבל מצד שני אין לאספקלריא מציאות גמורה משלה כי היא רק מגלה את האור ולא את עצמה. כאמור זה כדוגמת היחס בין הבורא האין סופי הפשוט לבריאה המוגבלת שיש בה ריבוי ושינוי. </w:t>
      </w:r>
      <w:r w:rsidR="0082401E">
        <w:rPr>
          <w:rFonts w:hint="cs"/>
          <w:rtl/>
        </w:rPr>
        <w:t>כל יחס בין חומר וצורה, כלומר כל עצם בעולם</w:t>
      </w:r>
      <w:r w:rsidR="007071DB">
        <w:rPr>
          <w:rFonts w:hint="cs"/>
          <w:rtl/>
        </w:rPr>
        <w:t xml:space="preserve"> (וכאן אנו לומדים שעוד יותר מזה כל תנועה שיש בעולם)</w:t>
      </w:r>
      <w:r w:rsidR="0082401E">
        <w:rPr>
          <w:rFonts w:hint="cs"/>
          <w:rtl/>
        </w:rPr>
        <w:t xml:space="preserve">, מכיל בתוכו את הסוד הזה </w:t>
      </w:r>
      <w:r w:rsidR="00622008">
        <w:rPr>
          <w:rFonts w:hint="cs"/>
          <w:rtl/>
        </w:rPr>
        <w:t>ו</w:t>
      </w:r>
      <w:r w:rsidR="0082401E">
        <w:rPr>
          <w:rFonts w:hint="cs"/>
          <w:rtl/>
        </w:rPr>
        <w:t xml:space="preserve">הוא כמו הדוגמה </w:t>
      </w:r>
      <w:r w:rsidR="00622008">
        <w:rPr>
          <w:rFonts w:hint="cs"/>
          <w:rtl/>
        </w:rPr>
        <w:t>של הבורא והנבראים</w:t>
      </w:r>
      <w:r w:rsidR="0082401E">
        <w:rPr>
          <w:rFonts w:hint="cs"/>
          <w:rtl/>
        </w:rPr>
        <w:t xml:space="preserve">. </w:t>
      </w:r>
      <w:r w:rsidR="00622008">
        <w:rPr>
          <w:rFonts w:hint="cs"/>
          <w:rtl/>
        </w:rPr>
        <w:t xml:space="preserve">כאן אנו מדברים לא על עצמים שיש להם חומר וצורה אלא על התנועה מצד עצמה, שהיא </w:t>
      </w:r>
      <w:r w:rsidR="00F07149">
        <w:rPr>
          <w:rFonts w:hint="cs"/>
          <w:rtl/>
        </w:rPr>
        <w:t xml:space="preserve">כשלעצמה </w:t>
      </w:r>
      <w:r w:rsidR="00622008">
        <w:rPr>
          <w:rFonts w:hint="cs"/>
          <w:rtl/>
        </w:rPr>
        <w:t>לא עצם, אע"פ שהיא נמצאת בטבע</w:t>
      </w:r>
      <w:r w:rsidR="009D1EE3">
        <w:rPr>
          <w:rFonts w:hint="cs"/>
          <w:rtl/>
        </w:rPr>
        <w:t xml:space="preserve"> (כמו שכתב אריסטו שהתנוע</w:t>
      </w:r>
      <w:r w:rsidR="00FF4F22">
        <w:rPr>
          <w:rFonts w:hint="cs"/>
          <w:rtl/>
        </w:rPr>
        <w:t>ה</w:t>
      </w:r>
      <w:r w:rsidR="009D1EE3">
        <w:rPr>
          <w:rFonts w:hint="cs"/>
          <w:rtl/>
        </w:rPr>
        <w:t xml:space="preserve"> היא לא טבע אלא היא </w:t>
      </w:r>
      <w:r w:rsidR="00FF4F22">
        <w:rPr>
          <w:rFonts w:hint="cs"/>
          <w:rtl/>
        </w:rPr>
        <w:t>"</w:t>
      </w:r>
      <w:r w:rsidR="009D1EE3">
        <w:rPr>
          <w:rFonts w:hint="cs"/>
          <w:rtl/>
        </w:rPr>
        <w:t>על פי הטבע</w:t>
      </w:r>
      <w:r w:rsidR="00FF4F22">
        <w:rPr>
          <w:rFonts w:hint="cs"/>
          <w:rtl/>
        </w:rPr>
        <w:t>"</w:t>
      </w:r>
      <w:r w:rsidR="009D1EE3">
        <w:rPr>
          <w:rFonts w:hint="cs"/>
          <w:rtl/>
        </w:rPr>
        <w:t>)</w:t>
      </w:r>
      <w:r w:rsidR="00F07149">
        <w:rPr>
          <w:rFonts w:hint="cs"/>
          <w:rtl/>
        </w:rPr>
        <w:t xml:space="preserve">. בתנועה עצמה אבן סינא מזהה גם כן את הסוד של חומר וצורה; </w:t>
      </w:r>
      <w:r w:rsidR="00192E52">
        <w:rPr>
          <w:rFonts w:hint="cs"/>
          <w:rtl/>
        </w:rPr>
        <w:t xml:space="preserve">בחינת </w:t>
      </w:r>
      <w:r w:rsidR="00F07149">
        <w:rPr>
          <w:rFonts w:hint="cs"/>
          <w:rtl/>
        </w:rPr>
        <w:t xml:space="preserve">החומר </w:t>
      </w:r>
      <w:r w:rsidR="00285DC4">
        <w:rPr>
          <w:rFonts w:hint="cs"/>
          <w:rtl/>
        </w:rPr>
        <w:t xml:space="preserve">כשזה נוגע לתנועה ולא לעצם, </w:t>
      </w:r>
      <w:r w:rsidR="00F07149">
        <w:rPr>
          <w:rFonts w:hint="cs"/>
          <w:rtl/>
        </w:rPr>
        <w:t>הוא הדחף הטבעי של גוף לנוע כטבעו החומרי</w:t>
      </w:r>
      <w:r w:rsidR="00D97F6A">
        <w:rPr>
          <w:rFonts w:hint="cs"/>
          <w:rtl/>
        </w:rPr>
        <w:t>,</w:t>
      </w:r>
      <w:r w:rsidR="00F07149">
        <w:rPr>
          <w:rFonts w:hint="cs"/>
          <w:rtl/>
        </w:rPr>
        <w:t xml:space="preserve"> והיינו התנועה של אבן ליפול והדחף של מי שמרים את ידו להוריד את היד. </w:t>
      </w:r>
      <w:r w:rsidR="00D97F6A">
        <w:rPr>
          <w:rFonts w:hint="cs"/>
          <w:rtl/>
        </w:rPr>
        <w:t xml:space="preserve">והצורה </w:t>
      </w:r>
      <w:r w:rsidR="00285DC4">
        <w:rPr>
          <w:rFonts w:hint="cs"/>
          <w:rtl/>
        </w:rPr>
        <w:t xml:space="preserve">לגבי התנועה </w:t>
      </w:r>
      <w:r w:rsidR="00D97F6A">
        <w:rPr>
          <w:rFonts w:hint="cs"/>
          <w:rtl/>
        </w:rPr>
        <w:t>היא הדחף שמקורו ברצון של הנפש</w:t>
      </w:r>
      <w:r w:rsidR="00DD08B1">
        <w:rPr>
          <w:rFonts w:hint="cs"/>
          <w:rtl/>
        </w:rPr>
        <w:t>, שמתגלה בדחף החומרי על ידי שהוא מקור הווייתו ומפעיל אותו כרצונו, אבל מצד שני בסוד הצמצום הוא אינו מבטל את מציאותו של הדחף החומרי.</w:t>
      </w:r>
    </w:p>
    <w:p w14:paraId="4308C0DF" w14:textId="77777777" w:rsidR="00FF4F22" w:rsidRDefault="00FF4F22">
      <w:pPr>
        <w:pStyle w:val="FootnoteText"/>
        <w:rPr>
          <w:rtl/>
        </w:rPr>
      </w:pPr>
    </w:p>
    <w:p w14:paraId="26DFC2C3" w14:textId="72976061" w:rsidR="002C614A" w:rsidRDefault="00285DC4">
      <w:pPr>
        <w:pStyle w:val="FootnoteText"/>
        <w:rPr>
          <w:rtl/>
        </w:rPr>
      </w:pPr>
      <w:r>
        <w:rPr>
          <w:rFonts w:hint="cs"/>
          <w:rtl/>
        </w:rPr>
        <w:t xml:space="preserve">כעת מסייג אבן סינא את העניין הזה, ואומר שאם מסתכלים על </w:t>
      </w:r>
      <w:r w:rsidR="00824794">
        <w:rPr>
          <w:rFonts w:hint="cs"/>
          <w:rtl/>
        </w:rPr>
        <w:t xml:space="preserve">לידה וגדילה של בעל חיים, הגדילה היא לא לפי הטבע החומרי שנוטה ליפול למטה ואין בו </w:t>
      </w:r>
      <w:r w:rsidR="004857ED">
        <w:rPr>
          <w:rFonts w:hint="cs"/>
          <w:rtl/>
        </w:rPr>
        <w:t>הנעה</w:t>
      </w:r>
      <w:r w:rsidR="00824794">
        <w:rPr>
          <w:rFonts w:hint="cs"/>
          <w:rtl/>
        </w:rPr>
        <w:t xml:space="preserve"> של ג</w:t>
      </w:r>
      <w:r w:rsidR="004857ED">
        <w:rPr>
          <w:rFonts w:hint="cs"/>
          <w:rtl/>
        </w:rPr>
        <w:t>ד</w:t>
      </w:r>
      <w:r w:rsidR="00824794">
        <w:rPr>
          <w:rFonts w:hint="cs"/>
          <w:rtl/>
        </w:rPr>
        <w:t>ילה למעלה</w:t>
      </w:r>
      <w:r w:rsidR="004857ED">
        <w:rPr>
          <w:rFonts w:hint="cs"/>
          <w:rtl/>
        </w:rPr>
        <w:t>, אלא היא לפי הטבע</w:t>
      </w:r>
      <w:r w:rsidR="00232683">
        <w:rPr>
          <w:rFonts w:hint="cs"/>
          <w:rtl/>
        </w:rPr>
        <w:t>, ה'דחף',</w:t>
      </w:r>
      <w:r w:rsidR="004857ED">
        <w:rPr>
          <w:rFonts w:hint="cs"/>
          <w:rtl/>
        </w:rPr>
        <w:t xml:space="preserve"> שמקורו בנפש, </w:t>
      </w:r>
      <w:r w:rsidR="00232683">
        <w:rPr>
          <w:rFonts w:hint="cs"/>
          <w:rtl/>
        </w:rPr>
        <w:t xml:space="preserve">והגוף פועל לפיו והתנועה הזו </w:t>
      </w:r>
      <w:r w:rsidR="003823B7">
        <w:rPr>
          <w:rFonts w:hint="cs"/>
          <w:rtl/>
        </w:rPr>
        <w:t xml:space="preserve">היא </w:t>
      </w:r>
      <w:r w:rsidR="00232683">
        <w:rPr>
          <w:rFonts w:hint="cs"/>
          <w:rtl/>
        </w:rPr>
        <w:t xml:space="preserve">כמו ביחס של </w:t>
      </w:r>
      <w:r w:rsidR="003823B7">
        <w:rPr>
          <w:rFonts w:hint="cs"/>
          <w:rtl/>
        </w:rPr>
        <w:t>נפש אל גוף</w:t>
      </w:r>
      <w:r w:rsidR="00232683">
        <w:rPr>
          <w:rFonts w:hint="cs"/>
          <w:rtl/>
        </w:rPr>
        <w:t xml:space="preserve"> או </w:t>
      </w:r>
      <w:r w:rsidR="003823B7">
        <w:rPr>
          <w:rFonts w:hint="cs"/>
          <w:rtl/>
        </w:rPr>
        <w:t xml:space="preserve">צורה אל חומר </w:t>
      </w:r>
      <w:r w:rsidR="00232683">
        <w:rPr>
          <w:rFonts w:hint="cs"/>
          <w:rtl/>
        </w:rPr>
        <w:t>בעצמים</w:t>
      </w:r>
      <w:r w:rsidR="00824794">
        <w:rPr>
          <w:rFonts w:hint="cs"/>
          <w:rtl/>
        </w:rPr>
        <w:t xml:space="preserve">. </w:t>
      </w:r>
      <w:r w:rsidR="00510AB8">
        <w:rPr>
          <w:rFonts w:hint="cs"/>
          <w:rtl/>
        </w:rPr>
        <w:t xml:space="preserve">רואים כאן אחדות פשוטה וביחד עם זה גם שונות, בין החומר לצורה. </w:t>
      </w:r>
      <w:r w:rsidR="00B06913">
        <w:rPr>
          <w:rFonts w:hint="cs"/>
          <w:rtl/>
        </w:rPr>
        <w:t>אבל זה רק בדברים כמו לידה וצמיחה</w:t>
      </w:r>
      <w:r w:rsidR="000E1F03">
        <w:rPr>
          <w:rFonts w:hint="cs"/>
          <w:rtl/>
        </w:rPr>
        <w:t xml:space="preserve"> (שיש בהם את שתי הבחינות בי</w:t>
      </w:r>
      <w:r w:rsidR="007721B0">
        <w:rPr>
          <w:rFonts w:hint="cs"/>
          <w:rtl/>
        </w:rPr>
        <w:t>ח</w:t>
      </w:r>
      <w:r w:rsidR="000E1F03">
        <w:rPr>
          <w:rFonts w:hint="cs"/>
          <w:rtl/>
        </w:rPr>
        <w:t>ד כאחת, הבחינה של הנעת הכח הנפשי לגדול והנעת הכח החומרי שהיא ליפול או להיות מונח</w:t>
      </w:r>
      <w:r w:rsidR="007721B0">
        <w:rPr>
          <w:rFonts w:hint="cs"/>
          <w:rtl/>
        </w:rPr>
        <w:t xml:space="preserve"> במקומו בלי תנועה)</w:t>
      </w:r>
      <w:r w:rsidR="00B06913">
        <w:rPr>
          <w:rFonts w:hint="cs"/>
          <w:rtl/>
        </w:rPr>
        <w:t xml:space="preserve">, אם מסתכלים על תנועה ממקום למקום, כמו אדם שהולך </w:t>
      </w:r>
      <w:r w:rsidR="003E779A">
        <w:rPr>
          <w:rFonts w:hint="cs"/>
          <w:rtl/>
        </w:rPr>
        <w:t>מטבריה לציפורי, או שמרים את ידו ומשאיר אותה מורמת, כאן לא מתגלה ה</w:t>
      </w:r>
      <w:r w:rsidR="007721B0">
        <w:rPr>
          <w:rFonts w:hint="cs"/>
          <w:rtl/>
        </w:rPr>
        <w:t xml:space="preserve">עניין של דחף הנפש ודחף החומר שקיימים שניהם במקביל </w:t>
      </w:r>
      <w:r w:rsidR="004663F3">
        <w:rPr>
          <w:rFonts w:hint="cs"/>
          <w:rtl/>
        </w:rPr>
        <w:t xml:space="preserve">כטבע הגוף במהותו, כלומר כח התנועה שמונח במהותו, </w:t>
      </w:r>
      <w:r w:rsidR="007721B0">
        <w:rPr>
          <w:rFonts w:hint="cs"/>
          <w:rtl/>
        </w:rPr>
        <w:t>ואנו דנים כאן ביחס שבי</w:t>
      </w:r>
      <w:r w:rsidR="004663F3">
        <w:rPr>
          <w:rFonts w:hint="cs"/>
          <w:rtl/>
        </w:rPr>
        <w:t>ן שני הטבעים המהותיים האלה</w:t>
      </w:r>
      <w:r w:rsidR="007721B0">
        <w:rPr>
          <w:rFonts w:hint="cs"/>
          <w:rtl/>
        </w:rPr>
        <w:t xml:space="preserve">, </w:t>
      </w:r>
      <w:r w:rsidR="003E779A">
        <w:rPr>
          <w:rFonts w:hint="cs"/>
          <w:rtl/>
        </w:rPr>
        <w:t xml:space="preserve">אלא </w:t>
      </w:r>
      <w:r w:rsidR="0042106F">
        <w:rPr>
          <w:rFonts w:hint="cs"/>
          <w:rtl/>
        </w:rPr>
        <w:t xml:space="preserve">בתנועה מקומית </w:t>
      </w:r>
      <w:r w:rsidR="003E779A">
        <w:rPr>
          <w:rFonts w:hint="cs"/>
          <w:rtl/>
        </w:rPr>
        <w:t xml:space="preserve">ההנעה שבאה מהנפש נראית כמו ראובן שדוחף את שמעון, שראובן אין לו אחדות עם שמעון והוא פועל עליו באופן חיצוני ואמצעי לגמרי. </w:t>
      </w:r>
      <w:r w:rsidR="00EA357F">
        <w:rPr>
          <w:rFonts w:hint="cs"/>
          <w:rtl/>
        </w:rPr>
        <w:t>אם מסתכלים על לידה</w:t>
      </w:r>
      <w:r w:rsidR="00007A25">
        <w:rPr>
          <w:rFonts w:hint="cs"/>
          <w:rtl/>
        </w:rPr>
        <w:t xml:space="preserve"> </w:t>
      </w:r>
      <w:r w:rsidR="00EA357F">
        <w:rPr>
          <w:rFonts w:hint="cs"/>
          <w:rtl/>
        </w:rPr>
        <w:t xml:space="preserve">וגדילה, הכל אומרים שאלה תנועות של החיים </w:t>
      </w:r>
      <w:r w:rsidR="00007A25">
        <w:rPr>
          <w:rFonts w:hint="cs"/>
          <w:rtl/>
        </w:rPr>
        <w:t xml:space="preserve">של </w:t>
      </w:r>
      <w:r w:rsidR="002B2CBE">
        <w:rPr>
          <w:rFonts w:hint="cs"/>
          <w:rtl/>
        </w:rPr>
        <w:t>בעל החיים</w:t>
      </w:r>
      <w:r w:rsidR="0042106F">
        <w:rPr>
          <w:rFonts w:hint="cs"/>
          <w:rtl/>
        </w:rPr>
        <w:t xml:space="preserve"> מצד עצמו וטבעו</w:t>
      </w:r>
      <w:r w:rsidR="00007A25">
        <w:rPr>
          <w:rFonts w:hint="cs"/>
          <w:rtl/>
        </w:rPr>
        <w:t xml:space="preserve">, </w:t>
      </w:r>
      <w:r w:rsidR="00362076">
        <w:rPr>
          <w:rFonts w:hint="cs"/>
          <w:rtl/>
        </w:rPr>
        <w:t>הן נתפשות כנובעות מעצמותו וחיותו ומהותו וצורתו</w:t>
      </w:r>
      <w:r w:rsidR="0042106F">
        <w:rPr>
          <w:rFonts w:hint="cs"/>
          <w:rtl/>
        </w:rPr>
        <w:t xml:space="preserve"> למרות שהן בסתירה לטבע ליפול כמו אבן</w:t>
      </w:r>
      <w:r w:rsidR="0095250F">
        <w:rPr>
          <w:rFonts w:hint="cs"/>
          <w:rtl/>
        </w:rPr>
        <w:t>,</w:t>
      </w:r>
      <w:r w:rsidR="00362076">
        <w:rPr>
          <w:rFonts w:hint="cs"/>
          <w:rtl/>
        </w:rPr>
        <w:t xml:space="preserve"> </w:t>
      </w:r>
      <w:r w:rsidR="00007A25">
        <w:rPr>
          <w:rFonts w:hint="cs"/>
          <w:rtl/>
        </w:rPr>
        <w:t xml:space="preserve">אבל אם האדם </w:t>
      </w:r>
      <w:r w:rsidR="009F4C5F">
        <w:rPr>
          <w:rFonts w:hint="cs"/>
          <w:rtl/>
        </w:rPr>
        <w:t>משנה את מקומו</w:t>
      </w:r>
      <w:r w:rsidR="00007A25">
        <w:rPr>
          <w:rFonts w:hint="cs"/>
          <w:rtl/>
        </w:rPr>
        <w:t xml:space="preserve"> לא אומרים ש</w:t>
      </w:r>
      <w:r w:rsidR="00F83120">
        <w:rPr>
          <w:rFonts w:hint="cs"/>
          <w:rtl/>
        </w:rPr>
        <w:t xml:space="preserve">זו </w:t>
      </w:r>
      <w:r w:rsidR="00007A25">
        <w:rPr>
          <w:rFonts w:hint="cs"/>
          <w:rtl/>
        </w:rPr>
        <w:t>תנועה של החיים שבו</w:t>
      </w:r>
      <w:r w:rsidR="0095250F">
        <w:rPr>
          <w:rFonts w:hint="cs"/>
          <w:rtl/>
        </w:rPr>
        <w:t xml:space="preserve"> </w:t>
      </w:r>
      <w:r w:rsidR="00F83120">
        <w:rPr>
          <w:rFonts w:hint="cs"/>
          <w:rtl/>
        </w:rPr>
        <w:t>במהותם העצמית</w:t>
      </w:r>
      <w:r w:rsidR="0095250F">
        <w:rPr>
          <w:rFonts w:hint="cs"/>
          <w:rtl/>
        </w:rPr>
        <w:t>. לכן אב</w:t>
      </w:r>
      <w:r w:rsidR="00547841">
        <w:rPr>
          <w:rFonts w:hint="cs"/>
          <w:rtl/>
        </w:rPr>
        <w:t>ן</w:t>
      </w:r>
      <w:r w:rsidR="0095250F">
        <w:rPr>
          <w:rFonts w:hint="cs"/>
          <w:rtl/>
        </w:rPr>
        <w:t xml:space="preserve"> סינא מחלק כאן, ואומר שכל העניין המיוחד של</w:t>
      </w:r>
      <w:r w:rsidR="00547841">
        <w:rPr>
          <w:rFonts w:hint="cs"/>
          <w:rtl/>
        </w:rPr>
        <w:t xml:space="preserve">מדנו על היחס בין </w:t>
      </w:r>
      <w:r w:rsidR="0095250F">
        <w:rPr>
          <w:rFonts w:hint="cs"/>
          <w:rtl/>
        </w:rPr>
        <w:t>דחף חומרי ו</w:t>
      </w:r>
      <w:r w:rsidR="00547841">
        <w:rPr>
          <w:rFonts w:hint="cs"/>
          <w:rtl/>
        </w:rPr>
        <w:t xml:space="preserve">בין </w:t>
      </w:r>
      <w:r w:rsidR="0095250F">
        <w:rPr>
          <w:rFonts w:hint="cs"/>
          <w:rtl/>
        </w:rPr>
        <w:t>דחף שבא מהנפש, הוא</w:t>
      </w:r>
      <w:r w:rsidR="00547841">
        <w:rPr>
          <w:rFonts w:hint="cs"/>
          <w:rtl/>
        </w:rPr>
        <w:t xml:space="preserve"> רק</w:t>
      </w:r>
      <w:r w:rsidR="0095250F">
        <w:rPr>
          <w:rFonts w:hint="cs"/>
          <w:rtl/>
        </w:rPr>
        <w:t xml:space="preserve"> בתנועות כמו לידה</w:t>
      </w:r>
      <w:r w:rsidR="00547841">
        <w:rPr>
          <w:rFonts w:hint="cs"/>
          <w:rtl/>
        </w:rPr>
        <w:t xml:space="preserve"> </w:t>
      </w:r>
      <w:r w:rsidR="0095250F">
        <w:rPr>
          <w:rFonts w:hint="cs"/>
          <w:rtl/>
        </w:rPr>
        <w:t>וגדילה, אבל בתנועה ממקום למקום לא רואים את העניין המיוחד הזה</w:t>
      </w:r>
      <w:r w:rsidR="00547841">
        <w:rPr>
          <w:rFonts w:hint="cs"/>
          <w:rtl/>
        </w:rPr>
        <w:t xml:space="preserve">, </w:t>
      </w:r>
      <w:r w:rsidR="0095250F">
        <w:rPr>
          <w:rFonts w:hint="cs"/>
          <w:rtl/>
        </w:rPr>
        <w:t xml:space="preserve">וזה נתפש כמו אילוץ חיצוני </w:t>
      </w:r>
      <w:r w:rsidR="00547841">
        <w:rPr>
          <w:rFonts w:hint="cs"/>
          <w:rtl/>
        </w:rPr>
        <w:t xml:space="preserve">ולא אומרים על זה שהמניע הוא </w:t>
      </w:r>
      <w:r w:rsidR="00F157C8">
        <w:rPr>
          <w:rFonts w:hint="cs"/>
          <w:rtl/>
        </w:rPr>
        <w:t>'</w:t>
      </w:r>
      <w:r w:rsidR="00547841">
        <w:rPr>
          <w:rFonts w:hint="cs"/>
          <w:rtl/>
        </w:rPr>
        <w:t>בתוך</w:t>
      </w:r>
      <w:r w:rsidR="00F157C8">
        <w:rPr>
          <w:rFonts w:hint="cs"/>
          <w:rtl/>
        </w:rPr>
        <w:t>'</w:t>
      </w:r>
      <w:r w:rsidR="00547841">
        <w:rPr>
          <w:rFonts w:hint="cs"/>
          <w:rtl/>
        </w:rPr>
        <w:t xml:space="preserve"> הטבע החומרי (זו הלשון</w:t>
      </w:r>
      <w:r w:rsidR="006043F4">
        <w:rPr>
          <w:rFonts w:hint="cs"/>
          <w:rtl/>
        </w:rPr>
        <w:t>:</w:t>
      </w:r>
      <w:r w:rsidR="00547841">
        <w:rPr>
          <w:rFonts w:hint="cs"/>
          <w:rtl/>
        </w:rPr>
        <w:t xml:space="preserve"> </w:t>
      </w:r>
      <w:r w:rsidR="00CE0C5F">
        <w:rPr>
          <w:rFonts w:hint="cs"/>
          <w:rtl/>
        </w:rPr>
        <w:t>"</w:t>
      </w:r>
      <w:r w:rsidR="00CE0C5F" w:rsidRPr="00CE0C5F">
        <w:rPr>
          <w:rtl/>
        </w:rPr>
        <w:t xml:space="preserve">אלא דבר </w:t>
      </w:r>
      <w:r w:rsidR="00CE0C5F" w:rsidRPr="006043F4">
        <w:rPr>
          <w:b/>
          <w:bCs/>
          <w:rtl/>
        </w:rPr>
        <w:t>בו</w:t>
      </w:r>
      <w:r w:rsidR="00CE0C5F" w:rsidRPr="00CE0C5F">
        <w:rPr>
          <w:rtl/>
        </w:rPr>
        <w:t xml:space="preserve"> הוא המניע</w:t>
      </w:r>
      <w:r w:rsidR="006043F4">
        <w:rPr>
          <w:rFonts w:hint="cs"/>
          <w:rtl/>
        </w:rPr>
        <w:t>", "בו"</w:t>
      </w:r>
      <w:r w:rsidR="006043F4">
        <w:rPr>
          <w:rFonts w:hint="cs"/>
        </w:rPr>
        <w:t xml:space="preserve"> </w:t>
      </w:r>
      <w:r w:rsidR="006043F4">
        <w:rPr>
          <w:rFonts w:hint="cs"/>
          <w:rtl/>
        </w:rPr>
        <w:t xml:space="preserve">הכוונה כמו שכינת הנפש בתוך הגוף) </w:t>
      </w:r>
      <w:r w:rsidR="00F157C8">
        <w:rPr>
          <w:rFonts w:hint="cs"/>
          <w:rtl/>
        </w:rPr>
        <w:t>ו</w:t>
      </w:r>
      <w:r w:rsidR="00547841">
        <w:rPr>
          <w:rFonts w:hint="cs"/>
          <w:rtl/>
        </w:rPr>
        <w:t>מניע משם, ממשכנו בתוכו, כמו</w:t>
      </w:r>
      <w:r w:rsidR="00F157C8">
        <w:rPr>
          <w:rFonts w:hint="cs"/>
          <w:rtl/>
        </w:rPr>
        <w:t xml:space="preserve"> </w:t>
      </w:r>
      <w:r w:rsidR="00547841">
        <w:rPr>
          <w:rFonts w:hint="cs"/>
          <w:rtl/>
        </w:rPr>
        <w:t>שהנפש</w:t>
      </w:r>
      <w:r w:rsidR="00F157C8">
        <w:rPr>
          <w:rFonts w:hint="cs"/>
          <w:rtl/>
        </w:rPr>
        <w:t xml:space="preserve"> </w:t>
      </w:r>
      <w:r w:rsidR="00547841">
        <w:rPr>
          <w:rFonts w:hint="cs"/>
          <w:rtl/>
        </w:rPr>
        <w:t xml:space="preserve">מאירה </w:t>
      </w:r>
      <w:r w:rsidR="00F157C8">
        <w:rPr>
          <w:rFonts w:hint="cs"/>
          <w:rtl/>
        </w:rPr>
        <w:t xml:space="preserve">את זיו הקלסתר מתוך </w:t>
      </w:r>
      <w:r w:rsidR="00547841">
        <w:rPr>
          <w:rFonts w:hint="cs"/>
          <w:rtl/>
        </w:rPr>
        <w:t xml:space="preserve">משכנה בגוף. </w:t>
      </w:r>
      <w:r w:rsidR="00096F7B">
        <w:rPr>
          <w:rFonts w:hint="cs"/>
          <w:rtl/>
        </w:rPr>
        <w:t xml:space="preserve">אלא המניע </w:t>
      </w:r>
      <w:r w:rsidR="0093635E">
        <w:rPr>
          <w:rFonts w:hint="cs"/>
          <w:rtl/>
        </w:rPr>
        <w:t xml:space="preserve">לריצה </w:t>
      </w:r>
      <w:r w:rsidR="0066256B">
        <w:rPr>
          <w:rFonts w:hint="cs"/>
          <w:rtl/>
        </w:rPr>
        <w:t xml:space="preserve">נדמה במבט החיצוני של </w:t>
      </w:r>
      <w:r w:rsidR="00DC419B">
        <w:rPr>
          <w:rFonts w:hint="cs"/>
          <w:rtl/>
        </w:rPr>
        <w:t xml:space="preserve">חוקר </w:t>
      </w:r>
      <w:r w:rsidR="0066256B">
        <w:rPr>
          <w:rFonts w:hint="cs"/>
          <w:rtl/>
        </w:rPr>
        <w:t>הטבע</w:t>
      </w:r>
      <w:r w:rsidR="00DC419B">
        <w:rPr>
          <w:rFonts w:hint="cs"/>
          <w:rtl/>
        </w:rPr>
        <w:t xml:space="preserve"> (ביחס למטאפיזיקאי שרואה בכל אחדות</w:t>
      </w:r>
      <w:r w:rsidR="0006725C">
        <w:rPr>
          <w:rFonts w:hint="cs"/>
          <w:rtl/>
        </w:rPr>
        <w:t>)</w:t>
      </w:r>
      <w:r w:rsidR="0066256B">
        <w:rPr>
          <w:rFonts w:hint="cs"/>
          <w:rtl/>
        </w:rPr>
        <w:t xml:space="preserve"> </w:t>
      </w:r>
      <w:r w:rsidR="00096F7B">
        <w:rPr>
          <w:rFonts w:hint="cs"/>
          <w:rtl/>
        </w:rPr>
        <w:t xml:space="preserve">כמו חיצוני </w:t>
      </w:r>
      <w:r w:rsidR="0066256B">
        <w:rPr>
          <w:rFonts w:hint="cs"/>
          <w:rtl/>
        </w:rPr>
        <w:t xml:space="preserve">לגמרי </w:t>
      </w:r>
      <w:r w:rsidR="00096F7B">
        <w:rPr>
          <w:rFonts w:hint="cs"/>
          <w:rtl/>
        </w:rPr>
        <w:t xml:space="preserve">ואע"פ שהוא נפש האדם, </w:t>
      </w:r>
      <w:r w:rsidR="0093635E">
        <w:rPr>
          <w:rFonts w:hint="cs"/>
          <w:rtl/>
        </w:rPr>
        <w:t>כי בריצה</w:t>
      </w:r>
      <w:r w:rsidR="00096F7B">
        <w:rPr>
          <w:rFonts w:hint="cs"/>
          <w:rtl/>
        </w:rPr>
        <w:t xml:space="preserve"> ה</w:t>
      </w:r>
      <w:r w:rsidR="0093635E">
        <w:rPr>
          <w:rFonts w:hint="cs"/>
          <w:rtl/>
        </w:rPr>
        <w:t>נפש</w:t>
      </w:r>
      <w:r w:rsidR="00096F7B">
        <w:rPr>
          <w:rFonts w:hint="cs"/>
          <w:rtl/>
        </w:rPr>
        <w:t xml:space="preserve"> פועלת מבחירתה שלה </w:t>
      </w:r>
      <w:r w:rsidR="0093635E">
        <w:rPr>
          <w:rFonts w:hint="cs"/>
          <w:rtl/>
        </w:rPr>
        <w:t xml:space="preserve">מתוך שהיא חי נפרד עצמאי, </w:t>
      </w:r>
      <w:r w:rsidR="00096F7B">
        <w:rPr>
          <w:rFonts w:hint="cs"/>
          <w:rtl/>
        </w:rPr>
        <w:t>מנותק מהחיות הכללית של כל הבריאה.</w:t>
      </w:r>
      <w:r w:rsidR="002F6B26">
        <w:rPr>
          <w:rFonts w:hint="cs"/>
          <w:rtl/>
        </w:rPr>
        <w:t xml:space="preserve"> עצם הניתוק מהחיים הכלליים הוא </w:t>
      </w:r>
      <w:r w:rsidR="003134DF">
        <w:rPr>
          <w:rFonts w:hint="cs"/>
          <w:rtl/>
        </w:rPr>
        <w:t>הוא ה</w:t>
      </w:r>
      <w:r w:rsidR="002F6B26">
        <w:rPr>
          <w:rFonts w:hint="cs"/>
          <w:rtl/>
        </w:rPr>
        <w:t>חיים של העצם</w:t>
      </w:r>
      <w:r w:rsidR="00C00E8D">
        <w:rPr>
          <w:rFonts w:hint="cs"/>
          <w:rtl/>
        </w:rPr>
        <w:t xml:space="preserve"> מצד היותו עצם</w:t>
      </w:r>
      <w:r w:rsidR="002F6B26">
        <w:rPr>
          <w:rFonts w:hint="cs"/>
          <w:rtl/>
        </w:rPr>
        <w:t>, כמו מה שהטיפה מנותקת מהים הניתוק הוא</w:t>
      </w:r>
      <w:r w:rsidR="00C00E8D">
        <w:rPr>
          <w:rFonts w:hint="cs"/>
          <w:rtl/>
        </w:rPr>
        <w:t xml:space="preserve"> כל</w:t>
      </w:r>
      <w:r w:rsidR="002F6B26">
        <w:rPr>
          <w:rFonts w:hint="cs"/>
          <w:rtl/>
        </w:rPr>
        <w:t xml:space="preserve"> עצם המציאות שלה </w:t>
      </w:r>
      <w:r w:rsidR="00C00E8D">
        <w:rPr>
          <w:rFonts w:hint="cs"/>
          <w:rtl/>
        </w:rPr>
        <w:t>כ</w:t>
      </w:r>
      <w:r w:rsidR="002F6B26">
        <w:rPr>
          <w:rFonts w:hint="cs"/>
          <w:rtl/>
        </w:rPr>
        <w:t xml:space="preserve">'טיפה'. </w:t>
      </w:r>
      <w:r w:rsidR="00B04047">
        <w:rPr>
          <w:rFonts w:hint="cs"/>
          <w:rtl/>
        </w:rPr>
        <w:t>הניתוק הזה של הנפש שפועלת בחי נפרד עצמאי, גורם לזרות בין הנפש לחומר, ולכן מה שהנפש מאל</w:t>
      </w:r>
      <w:r w:rsidR="002C614A">
        <w:rPr>
          <w:rFonts w:hint="cs"/>
          <w:rtl/>
        </w:rPr>
        <w:t>צ</w:t>
      </w:r>
      <w:r w:rsidR="00B04047">
        <w:rPr>
          <w:rFonts w:hint="cs"/>
          <w:rtl/>
        </w:rPr>
        <w:t>ת את החומר לנוע זה כמו שראובן דוחף את שמעון (אע"פ שב</w:t>
      </w:r>
      <w:r w:rsidR="00D4293E">
        <w:rPr>
          <w:rFonts w:hint="cs"/>
          <w:rtl/>
        </w:rPr>
        <w:t>מבט</w:t>
      </w:r>
      <w:r w:rsidR="00B04047">
        <w:rPr>
          <w:rFonts w:hint="cs"/>
          <w:rtl/>
        </w:rPr>
        <w:t xml:space="preserve"> יותר עמוק גם </w:t>
      </w:r>
      <w:r w:rsidR="002C614A">
        <w:rPr>
          <w:rFonts w:hint="cs"/>
          <w:rtl/>
        </w:rPr>
        <w:t>בתנועת ריצה (היינו "תנועה מקומית" של שינוי ממקום למקום</w:t>
      </w:r>
      <w:r w:rsidR="00D4293E">
        <w:rPr>
          <w:rFonts w:hint="cs"/>
          <w:rtl/>
        </w:rPr>
        <w:t>)</w:t>
      </w:r>
      <w:r w:rsidR="002C614A">
        <w:rPr>
          <w:rFonts w:hint="cs"/>
          <w:rtl/>
        </w:rPr>
        <w:t xml:space="preserve">, </w:t>
      </w:r>
      <w:r w:rsidR="00B04047">
        <w:rPr>
          <w:rFonts w:hint="cs"/>
          <w:rtl/>
        </w:rPr>
        <w:t>יש אחדות עם הנפש וזה</w:t>
      </w:r>
      <w:r w:rsidR="002C614A">
        <w:rPr>
          <w:rFonts w:hint="cs"/>
          <w:rtl/>
        </w:rPr>
        <w:t xml:space="preserve"> </w:t>
      </w:r>
      <w:r w:rsidR="00B04047">
        <w:rPr>
          <w:rFonts w:hint="cs"/>
          <w:rtl/>
        </w:rPr>
        <w:t xml:space="preserve">מה שגורם לדחיפה, </w:t>
      </w:r>
      <w:r w:rsidR="002C614A">
        <w:rPr>
          <w:rFonts w:hint="cs"/>
          <w:rtl/>
        </w:rPr>
        <w:t>אבל זה נסתר מכדי להיות נושא לחוקר הטבע, וזה שייך למטאפיזיקה</w:t>
      </w:r>
      <w:r w:rsidR="001A3E4A">
        <w:rPr>
          <w:rFonts w:hint="cs"/>
          <w:rtl/>
        </w:rPr>
        <w:t xml:space="preserve">. במטאפיזיקה מתחילים </w:t>
      </w:r>
      <w:r w:rsidR="00545F09">
        <w:rPr>
          <w:rFonts w:hint="cs"/>
          <w:rtl/>
        </w:rPr>
        <w:t xml:space="preserve">מראיה של האחדות הפשוטה האלוהית של כל המציאות, ומשם מסתכלים איך הבריאה משתלשלת כלפי מטה </w:t>
      </w:r>
      <w:r w:rsidR="00D4293E">
        <w:rPr>
          <w:rFonts w:hint="cs"/>
          <w:rtl/>
        </w:rPr>
        <w:t xml:space="preserve">שלב אחר שלב </w:t>
      </w:r>
      <w:r w:rsidR="00545F09">
        <w:rPr>
          <w:rFonts w:hint="cs"/>
          <w:rtl/>
        </w:rPr>
        <w:t xml:space="preserve">אל ההתגשמות, ובחכמת הטבע ההסתכלות </w:t>
      </w:r>
      <w:r w:rsidR="007D3C8B">
        <w:rPr>
          <w:rFonts w:hint="cs"/>
          <w:rtl/>
        </w:rPr>
        <w:t xml:space="preserve">מתחילה מהטבע החומרי הנפרד, ולומדים לגלות </w:t>
      </w:r>
      <w:r w:rsidR="00704EA2">
        <w:rPr>
          <w:rFonts w:hint="cs"/>
          <w:rtl/>
        </w:rPr>
        <w:t>ממנו</w:t>
      </w:r>
      <w:r w:rsidR="007D3C8B">
        <w:rPr>
          <w:rFonts w:hint="cs"/>
          <w:rtl/>
        </w:rPr>
        <w:t xml:space="preserve"> עצמו איך הוא מכריח שיש בו צד אחדות</w:t>
      </w:r>
      <w:r w:rsidR="00704EA2">
        <w:rPr>
          <w:rFonts w:hint="cs"/>
          <w:rtl/>
        </w:rPr>
        <w:t>. במדרגה מסויימת של תפישת האחדות שניכרת מהטבע החומרי עצמו</w:t>
      </w:r>
      <w:r w:rsidR="00AC45A0">
        <w:rPr>
          <w:rFonts w:hint="cs"/>
          <w:rtl/>
        </w:rPr>
        <w:t xml:space="preserve">, </w:t>
      </w:r>
      <w:r w:rsidR="00704EA2">
        <w:rPr>
          <w:rFonts w:hint="cs"/>
          <w:rtl/>
        </w:rPr>
        <w:t xml:space="preserve">חוקר הטבע מאבד את ההסתכלות על החומר כחומר, </w:t>
      </w:r>
      <w:r w:rsidR="00AC45A0">
        <w:rPr>
          <w:rFonts w:hint="cs"/>
          <w:rtl/>
        </w:rPr>
        <w:t>ומפסיק להיות חוקר את מה שהטבע בעצמו מגלה, ונעשה מטאפיזיקאי</w:t>
      </w:r>
      <w:r w:rsidR="00E91062">
        <w:rPr>
          <w:rFonts w:hint="cs"/>
          <w:rtl/>
        </w:rPr>
        <w:t xml:space="preserve">. החומר קיים כדי שנראה ממנו את גילוי האחדות שהוא מחזיק בתוך עצמו, </w:t>
      </w:r>
      <w:r w:rsidR="005D7256">
        <w:rPr>
          <w:rFonts w:hint="cs"/>
          <w:rtl/>
        </w:rPr>
        <w:t xml:space="preserve">אם חוקר הטבע מסתכל על האחדות האלוהית בעיני שכלו העיוני שרואה את המופשט בלי אמצעי, נכבה הגילוי שמונח בטבע ובטלה הסיבה לקיום הטבע ובסופו של דבר זה מביא לחורבן גמור. </w:t>
      </w:r>
      <w:r w:rsidR="004E15D9">
        <w:rPr>
          <w:rFonts w:hint="cs"/>
          <w:rtl/>
        </w:rPr>
        <w:t>לכן אבן סינא עמל להדגיש בכל מקום את החלוקה בין חקירת הטבע לעיון המטאפיזי</w:t>
      </w:r>
      <w:r w:rsidR="00F3308A">
        <w:rPr>
          <w:rFonts w:hint="cs"/>
          <w:rtl/>
        </w:rPr>
        <w:t xml:space="preserve">, ולכן כאן הנעת הנפש בתנועה מקומית נחשבת כחיצונית לגמרי כי זה המבט של הפיזיקאי וכאן אנו בחלק הפיזיקה. </w:t>
      </w:r>
      <w:r w:rsidR="001C47C2">
        <w:rPr>
          <w:rFonts w:hint="cs"/>
          <w:rtl/>
        </w:rPr>
        <w:t xml:space="preserve">הרמב"ם כתב שהפיזיקה היא מעשה בראשית, והוא אותו עניין עצמו כמו מעשה מרכבה, אותו תוכן של חכמה, רק שהמבט מתחיל מהחומר. המחלוקות </w:t>
      </w:r>
      <w:r w:rsidR="00BE246B">
        <w:rPr>
          <w:rFonts w:hint="cs"/>
          <w:rtl/>
        </w:rPr>
        <w:t xml:space="preserve">שמוצאים בין אריסטו לאפלטון, הן משום שאפלטון עסק בעיקר במעשה מרכבה, במטאפיזיקה, ואריסטו עמד על כך שאין לוותר על המבט של הפיזיקה. אבל בתוכן עצמו, מה נמצא, </w:t>
      </w:r>
      <w:r w:rsidR="00CC26EE">
        <w:rPr>
          <w:rFonts w:hint="cs"/>
          <w:rtl/>
        </w:rPr>
        <w:t>אין ביניהם שום מחלוקת</w:t>
      </w:r>
      <w:r w:rsidR="002C614A">
        <w:rPr>
          <w:rFonts w:hint="cs"/>
          <w:rtl/>
        </w:rPr>
        <w:t>).</w:t>
      </w:r>
    </w:p>
    <w:p w14:paraId="01CBA862" w14:textId="503EA056" w:rsidR="00962225" w:rsidRDefault="00D07327">
      <w:pPr>
        <w:pStyle w:val="FootnoteText"/>
        <w:rPr>
          <w:rtl/>
        </w:rPr>
      </w:pPr>
      <w:r>
        <w:rPr>
          <w:rFonts w:hint="cs"/>
          <w:rtl/>
        </w:rPr>
        <w:t xml:space="preserve">תנועות של לידה וגדילה של בעל חיים, </w:t>
      </w:r>
      <w:r w:rsidR="00203F0A">
        <w:rPr>
          <w:rFonts w:hint="cs"/>
          <w:rtl/>
        </w:rPr>
        <w:t xml:space="preserve">הן אותן תנועות שיש גם לצמח, כלומר לא מתגלה בהן הצד המיוחד של 'חי' שמפריד את מדרגת החי ממדרגות הדומם והצומח. לכן הן יותר שייכות לחיות הכללית של כל המציאות כחי אחד </w:t>
      </w:r>
      <w:r w:rsidR="00F877F1">
        <w:rPr>
          <w:rFonts w:hint="cs"/>
          <w:rtl/>
        </w:rPr>
        <w:t xml:space="preserve">באופן מוחלט ופשוט. הדומם נע רק מכח החיים הכלליים של כל המציאות ואין לו תנועה עצמאית כלל, </w:t>
      </w:r>
      <w:r w:rsidR="00E6416F">
        <w:rPr>
          <w:rFonts w:hint="cs"/>
          <w:rtl/>
        </w:rPr>
        <w:t xml:space="preserve"> הצומח נבדל מהדומם במה שיש לו תנועה שאינה מעבר ממקום למקום, כמו גדילה. יש בזה צד </w:t>
      </w:r>
      <w:r w:rsidR="009C463A">
        <w:rPr>
          <w:rFonts w:hint="cs"/>
          <w:rtl/>
        </w:rPr>
        <w:t>מסוים</w:t>
      </w:r>
      <w:r w:rsidR="00E6416F">
        <w:rPr>
          <w:rFonts w:hint="cs"/>
          <w:rtl/>
        </w:rPr>
        <w:t xml:space="preserve"> של תנועה עצמאית, אבל היא מועטה ולא מסתירה את הקשר לתנועה שבאה מהחיות הכללית. ההבדל בין צומח לחי, הוא שהחי יש לו תנועה מקומית מכח עצמו</w:t>
      </w:r>
      <w:r w:rsidR="00161460">
        <w:rPr>
          <w:rFonts w:hint="cs"/>
          <w:rtl/>
        </w:rPr>
        <w:t>, מרצונו שלו</w:t>
      </w:r>
      <w:r w:rsidR="00E6416F">
        <w:rPr>
          <w:rFonts w:hint="cs"/>
          <w:rtl/>
        </w:rPr>
        <w:t xml:space="preserve">. </w:t>
      </w:r>
      <w:r w:rsidR="00161460">
        <w:rPr>
          <w:rFonts w:hint="cs"/>
          <w:rtl/>
        </w:rPr>
        <w:t xml:space="preserve">זה בא ממקור היותו עצם עצמאי, נפרד מהחיות הכללית, שרוצה בעצמו ומבצע את רצונו לפי בחירתו החופשית שלו, </w:t>
      </w:r>
      <w:r w:rsidR="00276714">
        <w:rPr>
          <w:rFonts w:hint="cs"/>
          <w:rtl/>
        </w:rPr>
        <w:t xml:space="preserve">וזה מסתיר את השייכות למקור התנועה של החיות הכללית שבעולם. לכן כשאדם נע ממקום למקום הוא בבחינת 'חי' </w:t>
      </w:r>
      <w:r w:rsidR="001804C3">
        <w:rPr>
          <w:rFonts w:hint="cs"/>
          <w:rtl/>
        </w:rPr>
        <w:t xml:space="preserve">ואז </w:t>
      </w:r>
      <w:r w:rsidR="00276714">
        <w:rPr>
          <w:rFonts w:hint="cs"/>
          <w:rtl/>
        </w:rPr>
        <w:t>תנועתו האינדיבידואלית מסתירה את הטבע החומרי שהוא טבע הבריאה הכללית</w:t>
      </w:r>
      <w:r w:rsidR="001804C3">
        <w:rPr>
          <w:rFonts w:hint="cs"/>
          <w:rtl/>
        </w:rPr>
        <w:t xml:space="preserve">. וכשהוא נולד וגדל </w:t>
      </w:r>
      <w:r w:rsidR="00F724CE">
        <w:rPr>
          <w:rFonts w:hint="cs"/>
          <w:rtl/>
        </w:rPr>
        <w:t>תנועות אלה הן</w:t>
      </w:r>
      <w:r w:rsidR="001804C3">
        <w:rPr>
          <w:rFonts w:hint="cs"/>
          <w:rtl/>
        </w:rPr>
        <w:t xml:space="preserve"> בבחינת 'צומח' בלבד ואז התנועה שמקורה בנפש נגלית יותר.</w:t>
      </w:r>
      <w:r w:rsidR="00DE6557">
        <w:rPr>
          <w:rFonts w:hint="cs"/>
          <w:rtl/>
        </w:rPr>
        <w:t xml:space="preserve"> </w:t>
      </w:r>
    </w:p>
    <w:p w14:paraId="17011881" w14:textId="581AF50C" w:rsidR="0028581F" w:rsidRDefault="00DE6557">
      <w:pPr>
        <w:pStyle w:val="FootnoteText"/>
      </w:pPr>
      <w:r>
        <w:rPr>
          <w:rFonts w:hint="cs"/>
          <w:rtl/>
        </w:rPr>
        <w:t>(אגב, זה שייך לסוד גדול</w:t>
      </w:r>
      <w:r w:rsidR="00962225">
        <w:rPr>
          <w:rFonts w:hint="cs"/>
          <w:rtl/>
        </w:rPr>
        <w:t>,</w:t>
      </w:r>
      <w:r>
        <w:rPr>
          <w:rFonts w:hint="cs"/>
          <w:rtl/>
        </w:rPr>
        <w:t xml:space="preserve"> ש</w:t>
      </w:r>
      <w:r w:rsidR="00507FC5">
        <w:rPr>
          <w:rFonts w:hint="cs"/>
          <w:rtl/>
        </w:rPr>
        <w:t>התחתית של המדרגה החומרית, שם מתגלה דווקא הגי</w:t>
      </w:r>
      <w:r w:rsidR="00850BC9">
        <w:rPr>
          <w:rFonts w:hint="cs"/>
          <w:rtl/>
        </w:rPr>
        <w:t>ל</w:t>
      </w:r>
      <w:r w:rsidR="00507FC5">
        <w:rPr>
          <w:rFonts w:hint="cs"/>
          <w:rtl/>
        </w:rPr>
        <w:t>וי האלוהי הגבוה ביותר, כי שם מתגלים החיים הכלליים של הגוף בלי ההסתרה של חיים פרטיים של עצם נפרד</w:t>
      </w:r>
      <w:r w:rsidR="00850BC9">
        <w:rPr>
          <w:rFonts w:hint="cs"/>
          <w:rtl/>
        </w:rPr>
        <w:t xml:space="preserve">. וזה עניין ה'מקרה', שהחומר במדרגתו הכי חומרית נשלט בידי המקרה, </w:t>
      </w:r>
      <w:r w:rsidR="000E2736">
        <w:rPr>
          <w:rFonts w:hint="cs"/>
          <w:rtl/>
        </w:rPr>
        <w:t xml:space="preserve">והמקרה הוא הגילוי של הרצון האלוהי שמעל השכל (כמו שכתב במורה נבוכים ב' י"ט, ובפיזיקה של אריסטו ספר ב' פרקים </w:t>
      </w:r>
      <w:r w:rsidR="00C012B4">
        <w:rPr>
          <w:rFonts w:hint="cs"/>
          <w:rtl/>
        </w:rPr>
        <w:t>ד'-ו'</w:t>
      </w:r>
      <w:r w:rsidR="00962225">
        <w:rPr>
          <w:rFonts w:hint="cs"/>
          <w:rtl/>
        </w:rPr>
        <w:t xml:space="preserve">), וגם </w:t>
      </w:r>
      <w:r w:rsidR="00434151">
        <w:rPr>
          <w:rFonts w:hint="cs"/>
          <w:rtl/>
        </w:rPr>
        <w:t>בבשר עצמו יש את הצורה העליונה ביותר של ההתגלות האלוהית שהיא בדמות אדם וכמו הפסוק ביחזקאל א' ועל</w:t>
      </w:r>
      <w:r w:rsidR="004005B2">
        <w:rPr>
          <w:rFonts w:hint="cs"/>
          <w:rtl/>
        </w:rPr>
        <w:t xml:space="preserve"> דמות</w:t>
      </w:r>
      <w:r w:rsidR="00434151">
        <w:rPr>
          <w:rFonts w:hint="cs"/>
          <w:rtl/>
        </w:rPr>
        <w:t xml:space="preserve"> הכסא דמות</w:t>
      </w:r>
      <w:r w:rsidR="008854FC">
        <w:rPr>
          <w:rFonts w:hint="cs"/>
          <w:rtl/>
        </w:rPr>
        <w:t xml:space="preserve"> כמראה</w:t>
      </w:r>
      <w:r w:rsidR="00434151">
        <w:rPr>
          <w:rFonts w:hint="cs"/>
          <w:rtl/>
        </w:rPr>
        <w:t xml:space="preserve"> אדם, </w:t>
      </w:r>
      <w:r w:rsidR="0063672A">
        <w:rPr>
          <w:rFonts w:hint="cs"/>
          <w:rtl/>
        </w:rPr>
        <w:t xml:space="preserve">וכמו </w:t>
      </w:r>
      <w:r w:rsidR="00434151">
        <w:rPr>
          <w:rFonts w:hint="cs"/>
          <w:rtl/>
        </w:rPr>
        <w:t>שכתב במ</w:t>
      </w:r>
      <w:r w:rsidR="0063672A">
        <w:rPr>
          <w:rFonts w:hint="cs"/>
          <w:rtl/>
        </w:rPr>
        <w:t xml:space="preserve">ורה נבוכים א' ע"ב שהאדם הוא עולם קטן, וכתבו שם המפרשים שהפרק הזה הוא שיעור קומה, וכמו שכתב הרמב"ם בהקדמת פרק חלק שהוא יכתוב על שיעור קומה, </w:t>
      </w:r>
      <w:r w:rsidR="00F35E0D">
        <w:rPr>
          <w:rFonts w:hint="cs"/>
          <w:rtl/>
        </w:rPr>
        <w:t>וזה מה שכתב במורה נבוכים א' סוף פרק מ"ו, וגם בטימיאוס כתב כך. וזו כוונת האר"י בס</w:t>
      </w:r>
      <w:r w:rsidR="00FA3329">
        <w:rPr>
          <w:rFonts w:hint="cs"/>
          <w:rtl/>
        </w:rPr>
        <w:t>פ</w:t>
      </w:r>
      <w:r w:rsidR="00F35E0D">
        <w:rPr>
          <w:rFonts w:hint="cs"/>
          <w:rtl/>
        </w:rPr>
        <w:t xml:space="preserve">ר עץ חיים שהגילוי העליון הוא </w:t>
      </w:r>
      <w:r w:rsidR="00CE1A96">
        <w:rPr>
          <w:rFonts w:hint="cs"/>
          <w:rtl/>
        </w:rPr>
        <w:t>'אדם קדמון', והעניין הוא על צורת הגוף הבשרי עצמו שהוא ראש וגוף ידיים ורגליים ושאר איברים, ומזה</w:t>
      </w:r>
      <w:r w:rsidR="0057379E">
        <w:rPr>
          <w:rFonts w:hint="cs"/>
          <w:rtl/>
        </w:rPr>
        <w:t xml:space="preserve"> </w:t>
      </w:r>
      <w:r w:rsidR="00CE1A96">
        <w:rPr>
          <w:rFonts w:hint="cs"/>
          <w:rtl/>
        </w:rPr>
        <w:t>נובע גם ש</w:t>
      </w:r>
      <w:r w:rsidR="0057379E">
        <w:rPr>
          <w:rFonts w:hint="cs"/>
          <w:rtl/>
        </w:rPr>
        <w:t>מ</w:t>
      </w:r>
      <w:r w:rsidR="00CE1A96">
        <w:rPr>
          <w:rFonts w:hint="cs"/>
          <w:rtl/>
        </w:rPr>
        <w:t xml:space="preserve">הצורה </w:t>
      </w:r>
      <w:r w:rsidR="0057379E">
        <w:rPr>
          <w:rFonts w:hint="cs"/>
          <w:rtl/>
        </w:rPr>
        <w:t>יש הכרח לתואר החומרי, והיינו שצורת אדם שהיא 'חי מדבר' מחייבת שאי אפשר שהאדם</w:t>
      </w:r>
      <w:r w:rsidR="00D71A1D">
        <w:rPr>
          <w:rFonts w:hint="cs"/>
          <w:rtl/>
        </w:rPr>
        <w:t xml:space="preserve"> </w:t>
      </w:r>
      <w:r w:rsidR="0057379E">
        <w:rPr>
          <w:rFonts w:hint="cs"/>
          <w:rtl/>
        </w:rPr>
        <w:t>יהיה בעל שיער ירוק כדשא למ</w:t>
      </w:r>
      <w:r w:rsidR="00D71A1D">
        <w:rPr>
          <w:rFonts w:hint="cs"/>
          <w:rtl/>
        </w:rPr>
        <w:t>רות שכתום הוא אפשרי, וכל כיו"ב.</w:t>
      </w:r>
      <w:r w:rsidR="00AB62A5">
        <w:rPr>
          <w:rFonts w:hint="cs"/>
          <w:rtl/>
        </w:rPr>
        <w:t xml:space="preserve"> ואלה דברי רש"י על בראשית א' כ"ו</w:t>
      </w:r>
      <w:r w:rsidR="008305A4">
        <w:rPr>
          <w:rFonts w:hint="cs"/>
          <w:rtl/>
        </w:rPr>
        <w:t xml:space="preserve">-כ"ז על </w:t>
      </w:r>
      <w:r w:rsidR="00BB7A74">
        <w:rPr>
          <w:rFonts w:hint="cs"/>
          <w:rtl/>
        </w:rPr>
        <w:t>מה שצלם אלוהים הוא הדפוס,</w:t>
      </w:r>
      <w:r w:rsidR="00AB62A5">
        <w:rPr>
          <w:rFonts w:hint="cs"/>
          <w:rtl/>
        </w:rPr>
        <w:t xml:space="preserve"> ועל דברים </w:t>
      </w:r>
      <w:r w:rsidR="00BB7A74">
        <w:rPr>
          <w:rFonts w:hint="cs"/>
          <w:rtl/>
        </w:rPr>
        <w:t>כ"א כ"ג</w:t>
      </w:r>
      <w:r w:rsidR="00E55682">
        <w:rPr>
          <w:rFonts w:hint="cs"/>
          <w:rtl/>
        </w:rPr>
        <w:t xml:space="preserve"> שגם גווייה מתה היא כדמות האל, כלומר הדמיון הוא בגוף ממש ולא רק ביכולת המחשבה)</w:t>
      </w:r>
    </w:p>
    <w:p w14:paraId="09C5FA74" w14:textId="77777777" w:rsidR="00E74015" w:rsidRPr="00D71A1D" w:rsidRDefault="00E74015">
      <w:pPr>
        <w:pStyle w:val="FootnoteText"/>
      </w:pPr>
    </w:p>
    <w:p w14:paraId="4A559180" w14:textId="7B526CFB" w:rsidR="00E74015" w:rsidRDefault="00C13F1A">
      <w:pPr>
        <w:pStyle w:val="FootnoteText"/>
        <w:rPr>
          <w:rtl/>
        </w:rPr>
      </w:pPr>
      <w:r>
        <w:rPr>
          <w:rFonts w:hint="cs"/>
          <w:rtl/>
        </w:rPr>
        <w:t xml:space="preserve">באגרת על הנפש פרק א' אבן סינא מזכיר בקיצור </w:t>
      </w:r>
      <w:r w:rsidR="00D12C37">
        <w:rPr>
          <w:rFonts w:hint="cs"/>
          <w:rtl/>
        </w:rPr>
        <w:t xml:space="preserve">רב </w:t>
      </w:r>
      <w:r>
        <w:rPr>
          <w:rFonts w:hint="cs"/>
          <w:rtl/>
        </w:rPr>
        <w:t>וב</w:t>
      </w:r>
      <w:r w:rsidR="00D12C37">
        <w:rPr>
          <w:rFonts w:hint="cs"/>
          <w:rtl/>
        </w:rPr>
        <w:t xml:space="preserve">אופן </w:t>
      </w:r>
      <w:r>
        <w:rPr>
          <w:rFonts w:hint="cs"/>
          <w:rtl/>
        </w:rPr>
        <w:t xml:space="preserve">כללי את הנושאים שמדובר בהם כאן. </w:t>
      </w:r>
      <w:r w:rsidR="00D12C37">
        <w:rPr>
          <w:rFonts w:hint="cs"/>
          <w:rtl/>
        </w:rPr>
        <w:t>אין שם חידוש יותר ממה שנאמר כאן, ואדרבה, הרבה מה</w:t>
      </w:r>
      <w:r w:rsidR="001A3318">
        <w:rPr>
          <w:rFonts w:hint="cs"/>
          <w:rtl/>
        </w:rPr>
        <w:t>עיון שיש כאן ל</w:t>
      </w:r>
      <w:r w:rsidR="006019E5">
        <w:rPr>
          <w:rFonts w:hint="cs"/>
          <w:rtl/>
        </w:rPr>
        <w:t>א</w:t>
      </w:r>
      <w:r w:rsidR="001A3318">
        <w:rPr>
          <w:rFonts w:hint="cs"/>
          <w:rtl/>
        </w:rPr>
        <w:t xml:space="preserve"> נמצא שם</w:t>
      </w:r>
      <w:r w:rsidR="00F11D57">
        <w:rPr>
          <w:rFonts w:hint="cs"/>
          <w:rtl/>
        </w:rPr>
        <w:t xml:space="preserve"> (האגרת </w:t>
      </w:r>
      <w:r w:rsidR="00C117AB">
        <w:rPr>
          <w:rFonts w:hint="cs"/>
          <w:rtl/>
        </w:rPr>
        <w:t>נכתבה כמתנה</w:t>
      </w:r>
      <w:r w:rsidR="00F11D57">
        <w:rPr>
          <w:rFonts w:hint="cs"/>
          <w:rtl/>
        </w:rPr>
        <w:t xml:space="preserve"> ל</w:t>
      </w:r>
      <w:r w:rsidR="00340994">
        <w:rPr>
          <w:rFonts w:hint="cs"/>
          <w:rtl/>
        </w:rPr>
        <w:t xml:space="preserve">נסיך </w:t>
      </w:r>
      <w:r w:rsidR="00CC7AF3">
        <w:rPr>
          <w:rFonts w:hint="cs"/>
          <w:rtl/>
        </w:rPr>
        <w:t xml:space="preserve">נוח בן מנצור </w:t>
      </w:r>
      <w:r w:rsidR="00340994">
        <w:rPr>
          <w:rFonts w:hint="cs"/>
          <w:rtl/>
        </w:rPr>
        <w:t>ש</w:t>
      </w:r>
      <w:r w:rsidR="00C117AB">
        <w:rPr>
          <w:rFonts w:hint="cs"/>
          <w:rtl/>
        </w:rPr>
        <w:t>לא היה</w:t>
      </w:r>
      <w:r w:rsidR="00340994">
        <w:rPr>
          <w:rFonts w:hint="cs"/>
          <w:rtl/>
        </w:rPr>
        <w:t xml:space="preserve"> מהחכמים </w:t>
      </w:r>
      <w:r w:rsidR="005A5DD0">
        <w:rPr>
          <w:rFonts w:hint="cs"/>
          <w:rtl/>
        </w:rPr>
        <w:t>ו</w:t>
      </w:r>
      <w:r w:rsidR="00C117AB">
        <w:rPr>
          <w:rFonts w:hint="cs"/>
          <w:rtl/>
        </w:rPr>
        <w:t>אבן סינא כותב לו שהדברים שבה הם בדרך הקיצור)</w:t>
      </w:r>
      <w:r w:rsidR="001A3318">
        <w:rPr>
          <w:rFonts w:hint="cs"/>
          <w:rtl/>
        </w:rPr>
        <w:t xml:space="preserve">, ובכל זאת אביא את לשונו </w:t>
      </w:r>
      <w:r w:rsidR="006019E5">
        <w:rPr>
          <w:rFonts w:hint="cs"/>
          <w:rtl/>
        </w:rPr>
        <w:t xml:space="preserve">(בתרגום פרופ' מיכאל שוורץ) </w:t>
      </w:r>
      <w:r w:rsidR="001A3318">
        <w:rPr>
          <w:rFonts w:hint="cs"/>
          <w:rtl/>
        </w:rPr>
        <w:t>כיוון שזה</w:t>
      </w:r>
      <w:r w:rsidR="006019E5">
        <w:rPr>
          <w:rFonts w:hint="cs"/>
          <w:rtl/>
        </w:rPr>
        <w:t xml:space="preserve"> </w:t>
      </w:r>
      <w:r w:rsidR="001A3318">
        <w:rPr>
          <w:rFonts w:hint="cs"/>
          <w:rtl/>
        </w:rPr>
        <w:t>יכול להוסיף עוד קצת בהירות לעניין</w:t>
      </w:r>
      <w:r w:rsidR="006019E5">
        <w:rPr>
          <w:rFonts w:hint="cs"/>
          <w:rtl/>
        </w:rPr>
        <w:t>:</w:t>
      </w:r>
    </w:p>
    <w:p w14:paraId="1AEC9E4A" w14:textId="70B08625" w:rsidR="00BF6AD3" w:rsidRDefault="006019E5" w:rsidP="00D530F2">
      <w:pPr>
        <w:pStyle w:val="FootnoteText"/>
        <w:rPr>
          <w:rtl/>
        </w:rPr>
      </w:pPr>
      <w:r>
        <w:rPr>
          <w:rFonts w:hint="cs"/>
          <w:rtl/>
        </w:rPr>
        <w:t>"</w:t>
      </w:r>
      <w:r w:rsidR="00BF6AD3">
        <w:rPr>
          <w:rtl/>
        </w:rPr>
        <w:t>מי שמתכוון לתאר דבר מן הדברים לפני שיקדים ויוכיח תחילה את קיום ישותו נחשב בעיני החכמים סוטה מדרך ההבהרה. לכן חובה עלינו לעסוק תחילה בהוכחה שהכוחות הנפשיים נמצאים, לפני שנתחיל להגדיר את כל אחד מהם ולהבהיר את דעתנו לגביו.</w:t>
      </w:r>
    </w:p>
    <w:p w14:paraId="32EF36A9" w14:textId="57EFED8B" w:rsidR="00BF6AD3" w:rsidRDefault="00BF6AD3" w:rsidP="00BF6AD3">
      <w:pPr>
        <w:pStyle w:val="FootnoteText"/>
        <w:rPr>
          <w:rtl/>
        </w:rPr>
      </w:pPr>
      <w:r>
        <w:rPr>
          <w:rtl/>
        </w:rPr>
        <w:t>היות ששני דברים מיוחדים מאוד לכוחות הנפשיים, אחד מהם ההנעה והשני ההשגה, חובה עלינו להסביר שלכל גוף נע יש סיבה מניעה. התברר לנו שלגופים הנעים תנועות</w:t>
      </w:r>
      <w:r w:rsidR="00BE555D">
        <w:rPr>
          <w:rFonts w:hint="cs"/>
          <w:rtl/>
        </w:rPr>
        <w:t xml:space="preserve"> </w:t>
      </w:r>
      <w:r>
        <w:rPr>
          <w:rtl/>
        </w:rPr>
        <w:t>נוספות לתנועות הטבעיות, כגון נפילת הכבדים ועלית הקלים, יש סיבות מניעות שאנו קוראים "נפשות" או "כוחות נפשיים". עלינו להסביר שגוף המתואר כמשיג אין לייח</w:t>
      </w:r>
      <w:r w:rsidR="00BE555D">
        <w:rPr>
          <w:rFonts w:hint="cs"/>
          <w:rtl/>
        </w:rPr>
        <w:t>ס</w:t>
      </w:r>
      <w:r>
        <w:rPr>
          <w:rtl/>
        </w:rPr>
        <w:t xml:space="preserve"> את השגתו אלא לכוח השגה המתמקם בו.</w:t>
      </w:r>
      <w:r w:rsidR="00EA3F12">
        <w:rPr>
          <w:rFonts w:hint="cs"/>
          <w:rtl/>
        </w:rPr>
        <w:t xml:space="preserve"> [...]</w:t>
      </w:r>
    </w:p>
    <w:p w14:paraId="0568A471" w14:textId="036B0E3D" w:rsidR="00BF6AD3" w:rsidRDefault="00BF6AD3" w:rsidP="00BF6AD3">
      <w:pPr>
        <w:pStyle w:val="FootnoteText"/>
        <w:rPr>
          <w:rtl/>
        </w:rPr>
      </w:pPr>
      <w:r>
        <w:rPr>
          <w:rtl/>
        </w:rPr>
        <w:t>אנו מוצאים שמשותף לכל הגופים שהם גופים. אבל אנו מוצאים אותם שונים זה מזה בתנועתם, שאם לא כן לא הייתה המנוחה נמצאת, ואף לא התנועה מלבד הסיבובית</w:t>
      </w:r>
      <w:r w:rsidR="006014A0">
        <w:rPr>
          <w:rFonts w:hint="cs"/>
          <w:rtl/>
        </w:rPr>
        <w:t xml:space="preserve"> [תנועת הגלגל הסיבובית שאין בה מנוחה היא התנועה הראשונה בטבע, והגלגל הוא כללות כל הטבע, </w:t>
      </w:r>
      <w:r w:rsidR="00871DDE">
        <w:rPr>
          <w:rFonts w:hint="cs"/>
          <w:rtl/>
        </w:rPr>
        <w:t>על דרך שהגוף כולו כישות חיה אחת הוא כללות כל האיברים, וכמו שכתב במורה נבוכים א' ע"ב</w:t>
      </w:r>
      <w:r w:rsidR="00C5133A">
        <w:rPr>
          <w:rFonts w:hint="cs"/>
          <w:rtl/>
        </w:rPr>
        <w:t>. כיוון שכל התנועות השונ</w:t>
      </w:r>
      <w:r w:rsidR="00856CF4">
        <w:rPr>
          <w:rFonts w:hint="cs"/>
          <w:rtl/>
        </w:rPr>
        <w:t>ו</w:t>
      </w:r>
      <w:r w:rsidR="00C5133A">
        <w:rPr>
          <w:rFonts w:hint="cs"/>
          <w:rtl/>
        </w:rPr>
        <w:t>ת הן התפרטות של התנועה הכללית של הגלגל, לול</w:t>
      </w:r>
      <w:r w:rsidR="00856CF4">
        <w:rPr>
          <w:rFonts w:hint="cs"/>
          <w:rtl/>
        </w:rPr>
        <w:t>א</w:t>
      </w:r>
      <w:r w:rsidR="00C5133A">
        <w:rPr>
          <w:rFonts w:hint="cs"/>
          <w:rtl/>
        </w:rPr>
        <w:t xml:space="preserve"> היה </w:t>
      </w:r>
      <w:r w:rsidR="00856CF4">
        <w:rPr>
          <w:rFonts w:hint="cs"/>
          <w:rtl/>
        </w:rPr>
        <w:t xml:space="preserve">יסוד של </w:t>
      </w:r>
      <w:r w:rsidR="00C5133A">
        <w:rPr>
          <w:rFonts w:hint="cs"/>
          <w:rtl/>
        </w:rPr>
        <w:t>שוני בטבע שהולך ומפרט את הכללי</w:t>
      </w:r>
      <w:r w:rsidR="00856CF4">
        <w:rPr>
          <w:rFonts w:hint="cs"/>
          <w:rtl/>
        </w:rPr>
        <w:t xml:space="preserve"> מדרגה אחרי מדרגה</w:t>
      </w:r>
      <w:r w:rsidR="00C5133A">
        <w:rPr>
          <w:rFonts w:hint="cs"/>
          <w:rtl/>
        </w:rPr>
        <w:t>, כ</w:t>
      </w:r>
      <w:r w:rsidR="00856CF4">
        <w:rPr>
          <w:rFonts w:hint="cs"/>
          <w:rtl/>
        </w:rPr>
        <w:t>ל</w:t>
      </w:r>
      <w:r w:rsidR="00C5133A">
        <w:rPr>
          <w:rFonts w:hint="cs"/>
          <w:rtl/>
        </w:rPr>
        <w:t xml:space="preserve"> ה</w:t>
      </w:r>
      <w:r w:rsidR="00856CF4">
        <w:rPr>
          <w:rFonts w:hint="cs"/>
          <w:rtl/>
        </w:rPr>
        <w:t>ת</w:t>
      </w:r>
      <w:r w:rsidR="00C5133A">
        <w:rPr>
          <w:rFonts w:hint="cs"/>
          <w:rtl/>
        </w:rPr>
        <w:t>נועות הטבעיות היו כמו של הגלגל</w:t>
      </w:r>
      <w:r w:rsidR="006014A0">
        <w:rPr>
          <w:rFonts w:hint="cs"/>
          <w:rtl/>
        </w:rPr>
        <w:t>]</w:t>
      </w:r>
      <w:r>
        <w:rPr>
          <w:rtl/>
        </w:rPr>
        <w:t>, שכן התברר מצורתן של התנועות הישרות שהן מחנייה אל חנייה</w:t>
      </w:r>
      <w:r w:rsidR="00856CF4">
        <w:rPr>
          <w:rFonts w:hint="cs"/>
          <w:rtl/>
        </w:rPr>
        <w:t xml:space="preserve"> [וה</w:t>
      </w:r>
      <w:r w:rsidR="00811EBF">
        <w:rPr>
          <w:rFonts w:hint="cs"/>
          <w:rtl/>
        </w:rPr>
        <w:t>רי שהן</w:t>
      </w:r>
      <w:r w:rsidR="00856CF4">
        <w:rPr>
          <w:rFonts w:hint="cs"/>
          <w:rtl/>
        </w:rPr>
        <w:t xml:space="preserve"> </w:t>
      </w:r>
      <w:r w:rsidR="00811EBF">
        <w:rPr>
          <w:rFonts w:hint="cs"/>
          <w:rtl/>
        </w:rPr>
        <w:t>לא</w:t>
      </w:r>
      <w:r w:rsidR="00856CF4">
        <w:rPr>
          <w:rFonts w:hint="cs"/>
          <w:rtl/>
        </w:rPr>
        <w:t xml:space="preserve"> כמו תנועת הגלגל ולכ</w:t>
      </w:r>
      <w:r w:rsidR="00811EBF">
        <w:rPr>
          <w:rFonts w:hint="cs"/>
          <w:rtl/>
        </w:rPr>
        <w:t>ן</w:t>
      </w:r>
      <w:r w:rsidR="00856CF4">
        <w:rPr>
          <w:rFonts w:hint="cs"/>
          <w:rtl/>
        </w:rPr>
        <w:t xml:space="preserve"> מוכרח שיש שוני בתנועות של הגופים]</w:t>
      </w:r>
      <w:r>
        <w:rPr>
          <w:rtl/>
        </w:rPr>
        <w:t>. ברור אפוא שהגופים לא יתוארו כנעים כי הם גופים, אלא בשל סיבות הנוספות על היותם גופים אשר מהן נובעות תנועותיהם כהשפעה הנובעת מן המשפיע</w:t>
      </w:r>
      <w:r w:rsidR="00132EC0">
        <w:rPr>
          <w:rFonts w:hint="cs"/>
          <w:rtl/>
        </w:rPr>
        <w:t xml:space="preserve"> </w:t>
      </w:r>
      <w:r w:rsidR="00132EC0" w:rsidRPr="00132EC0">
        <w:rPr>
          <w:rtl/>
        </w:rPr>
        <w:t>[החומר ההיולי הוא אחד לכל המציאות, ואם התנועה הייתה מצד עצם החומר של הגופים היא הייתה אחת לכולם. לכן בהכרח המניע הוא לא רק החומר של העצם לבדו אלא יש כוחות שמניעים, ומהן נובע השוני בתנועות</w:t>
      </w:r>
      <w:r w:rsidR="0079314B">
        <w:rPr>
          <w:rFonts w:hint="cs"/>
          <w:rtl/>
        </w:rPr>
        <w:t>. אלה כוחות הצורה, היא החכמה האלוהית, שיש בה סדר והגדרות ולכן בהכרח ריבוי ושוני</w:t>
      </w:r>
      <w:r w:rsidR="00132EC0" w:rsidRPr="00132EC0">
        <w:rPr>
          <w:rtl/>
        </w:rPr>
        <w:t>]</w:t>
      </w:r>
      <w:r>
        <w:rPr>
          <w:rtl/>
        </w:rPr>
        <w:t>. מכיוון שזה התברר לנו נאמר שמצאנו באשר לגופים הנוצרים מארבעת היסודות שני מיני תנועה שיש ביניהם שוני כלשהו: האחד מתחייב מהשתלטות כוחו של אחד היסודות על הגוף המחייבת שינוע אל מקומו שנקבע לו על ידי הטבע, כגון תנועתו של בן-אדם כלפי מטה בתוקף היסוד הכב</w:t>
      </w:r>
      <w:r w:rsidR="009B0B05">
        <w:rPr>
          <w:rFonts w:hint="cs"/>
          <w:rtl/>
        </w:rPr>
        <w:t>ד</w:t>
      </w:r>
      <w:r>
        <w:rPr>
          <w:rtl/>
        </w:rPr>
        <w:t xml:space="preserve"> הגובר. מין זה של תנועה אינו נמצא אלא לכיוון אחד וברציפות.</w:t>
      </w:r>
    </w:p>
    <w:p w14:paraId="368F91D4" w14:textId="562D193F" w:rsidR="00BF6AD3" w:rsidRDefault="00BF6AD3" w:rsidP="00BF6AD3">
      <w:pPr>
        <w:pStyle w:val="FootnoteText"/>
        <w:rPr>
          <w:rtl/>
        </w:rPr>
      </w:pPr>
      <w:r>
        <w:rPr>
          <w:rtl/>
        </w:rPr>
        <w:t>המין השני אינו מה שמתחייב מן היסוד שלו. מין זה הוא העצירה במקום הטבעי במצב של דבקות בו, למשל הנעת בן-אדם את גופו על</w:t>
      </w:r>
      <w:r w:rsidR="00F247B9">
        <w:rPr>
          <w:rFonts w:hint="cs"/>
          <w:rtl/>
        </w:rPr>
        <w:t xml:space="preserve"> </w:t>
      </w:r>
      <w:r>
        <w:rPr>
          <w:rtl/>
        </w:rPr>
        <w:t>פני מושבו הטבעי שהוא פני האדמה</w:t>
      </w:r>
      <w:r w:rsidR="00C90EF4">
        <w:rPr>
          <w:rFonts w:hint="cs"/>
          <w:rtl/>
        </w:rPr>
        <w:t xml:space="preserve"> [התנועה על פני אדם ממקום א' למקום ב', היא עצירה של הכח הטבעי של יסוד העפר לנוע למטה, כי היא לא משנה את המקום ביחס לציר של למעל-למטה</w:t>
      </w:r>
      <w:r w:rsidR="00292231">
        <w:rPr>
          <w:rFonts w:hint="cs"/>
          <w:rtl/>
        </w:rPr>
        <w:t xml:space="preserve"> (כך ביאר  שוורץ</w:t>
      </w:r>
      <w:r w:rsidR="00C90EF4">
        <w:rPr>
          <w:rFonts w:hint="cs"/>
          <w:rtl/>
        </w:rPr>
        <w:t>]</w:t>
      </w:r>
      <w:r>
        <w:rPr>
          <w:rtl/>
        </w:rPr>
        <w:t>, או עזיבת המקום הטבעי, כגון תנועתו של בעל</w:t>
      </w:r>
      <w:r w:rsidR="002251DC">
        <w:rPr>
          <w:rFonts w:hint="cs"/>
          <w:rtl/>
        </w:rPr>
        <w:t xml:space="preserve"> </w:t>
      </w:r>
      <w:r>
        <w:rPr>
          <w:rtl/>
        </w:rPr>
        <w:t>חיים מעופף בגופו הכבד כלפי מעלה באוויר</w:t>
      </w:r>
      <w:r w:rsidR="00C90EF4">
        <w:rPr>
          <w:rFonts w:hint="cs"/>
          <w:rtl/>
        </w:rPr>
        <w:t>.</w:t>
      </w:r>
    </w:p>
    <w:p w14:paraId="1D048916" w14:textId="77777777" w:rsidR="00BF6AD3" w:rsidRDefault="00BF6AD3" w:rsidP="00BF6AD3">
      <w:pPr>
        <w:pStyle w:val="FootnoteText"/>
        <w:rPr>
          <w:rtl/>
        </w:rPr>
      </w:pPr>
      <w:r>
        <w:rPr>
          <w:rtl/>
        </w:rPr>
        <w:t>התברר אפוא שלשתי התנועות יש שתי סיבות, והן שונות. אחת מהן קרויה "טבעית", והשנייה "נפש" או "כוח נפשי".</w:t>
      </w:r>
    </w:p>
    <w:p w14:paraId="7FC16B30" w14:textId="668C1ED6" w:rsidR="00E07FE1" w:rsidRDefault="00BF6AD3" w:rsidP="00335D4E">
      <w:pPr>
        <w:pStyle w:val="FootnoteText"/>
        <w:rPr>
          <w:rtl/>
        </w:rPr>
      </w:pPr>
      <w:r>
        <w:rPr>
          <w:rtl/>
        </w:rPr>
        <w:t>נודע אפוא, מבחינת התנועה, שהכוחות הנפשיים נמצאים. ואלו מבחינת ההשגה - נודע שכוחות אלה נמצאים, כי משותף לגופים שהם גופים והם שונים</w:t>
      </w:r>
      <w:r w:rsidR="00E07FE1">
        <w:rPr>
          <w:rFonts w:hint="cs"/>
          <w:rtl/>
        </w:rPr>
        <w:t xml:space="preserve"> </w:t>
      </w:r>
      <w:r w:rsidR="00E07FE1">
        <w:rPr>
          <w:rtl/>
        </w:rPr>
        <w:t>זה מזה בכך שחלקם משיגים. ברור אפוא בהתבוננות ראשונית שהשוני בין הגופים</w:t>
      </w:r>
      <w:r w:rsidR="00335D4E">
        <w:rPr>
          <w:rFonts w:hint="cs"/>
          <w:rtl/>
        </w:rPr>
        <w:t xml:space="preserve"> </w:t>
      </w:r>
      <w:r w:rsidR="00E07FE1">
        <w:rPr>
          <w:rtl/>
        </w:rPr>
        <w:t>מבחינת ההשגה אינו מצד עצמותם אלא בשל הכוחות הנפשיים.</w:t>
      </w:r>
    </w:p>
    <w:p w14:paraId="3BEAF4F9" w14:textId="3D953F63" w:rsidR="006019E5" w:rsidRDefault="00E07FE1" w:rsidP="00D8492A">
      <w:pPr>
        <w:pStyle w:val="FootnoteText"/>
        <w:rPr>
          <w:rtl/>
        </w:rPr>
      </w:pPr>
      <w:r>
        <w:rPr>
          <w:rtl/>
        </w:rPr>
        <w:t>התבאר אפוא על</w:t>
      </w:r>
      <w:r w:rsidR="006A71BE">
        <w:rPr>
          <w:rFonts w:hint="cs"/>
          <w:rtl/>
        </w:rPr>
        <w:t xml:space="preserve"> </w:t>
      </w:r>
      <w:r>
        <w:rPr>
          <w:rtl/>
        </w:rPr>
        <w:t>ידי מין זה של הבהרה שהכוחות הנפשיים נמצאים. זה מה שרצינו</w:t>
      </w:r>
      <w:r w:rsidR="00D8492A">
        <w:rPr>
          <w:rFonts w:hint="cs"/>
          <w:rtl/>
        </w:rPr>
        <w:t xml:space="preserve"> </w:t>
      </w:r>
      <w:r>
        <w:rPr>
          <w:rtl/>
        </w:rPr>
        <w:t>להבהיר</w:t>
      </w:r>
      <w:r w:rsidR="006A71BE">
        <w:rPr>
          <w:rFonts w:hint="cs"/>
          <w:rtl/>
        </w:rPr>
        <w:t>.</w:t>
      </w:r>
      <w:r w:rsidR="006019E5">
        <w:rPr>
          <w:rFonts w:hint="cs"/>
          <w:rtl/>
        </w:rPr>
        <w:t>"</w:t>
      </w:r>
    </w:p>
  </w:footnote>
  <w:footnote w:id="446">
    <w:p w14:paraId="1456F824" w14:textId="5CA42B50" w:rsidR="00BC4433" w:rsidRDefault="00BC4433">
      <w:pPr>
        <w:pStyle w:val="FootnoteText"/>
        <w:rPr>
          <w:rtl/>
        </w:rPr>
      </w:pPr>
      <w:r>
        <w:rPr>
          <w:rStyle w:val="FootnoteReference"/>
        </w:rPr>
        <w:footnoteRef/>
      </w:r>
      <w:r>
        <w:rPr>
          <w:rtl/>
        </w:rPr>
        <w:t xml:space="preserve"> </w:t>
      </w:r>
      <w:r w:rsidR="001D59F7">
        <w:rPr>
          <w:rFonts w:hint="cs"/>
          <w:rtl/>
        </w:rPr>
        <w:t>מפרש את לשון</w:t>
      </w:r>
      <w:r>
        <w:rPr>
          <w:rFonts w:hint="cs"/>
          <w:rtl/>
        </w:rPr>
        <w:t xml:space="preserve"> אריסטו בפיזיקה ב' א'</w:t>
      </w:r>
      <w:r w:rsidR="00137D4E">
        <w:rPr>
          <w:rFonts w:hint="cs"/>
          <w:rtl/>
        </w:rPr>
        <w:t xml:space="preserve">, ומלשונו התחיל הדיון על הראשוניות של התחלת התנועה. </w:t>
      </w:r>
      <w:r w:rsidR="00F65FFA">
        <w:rPr>
          <w:rFonts w:hint="cs"/>
          <w:rtl/>
        </w:rPr>
        <w:t xml:space="preserve">אני </w:t>
      </w:r>
      <w:r w:rsidR="002C0A56">
        <w:rPr>
          <w:rFonts w:hint="cs"/>
          <w:rtl/>
        </w:rPr>
        <w:t>כותב</w:t>
      </w:r>
      <w:r w:rsidR="0045286E">
        <w:rPr>
          <w:rFonts w:hint="cs"/>
          <w:rtl/>
        </w:rPr>
        <w:t xml:space="preserve"> בתוך דברי אבן סינא</w:t>
      </w:r>
      <w:r w:rsidR="002C0A56">
        <w:rPr>
          <w:rFonts w:hint="cs"/>
          <w:rtl/>
        </w:rPr>
        <w:t xml:space="preserve"> </w:t>
      </w:r>
      <w:r w:rsidR="0045286E">
        <w:rPr>
          <w:rFonts w:hint="cs"/>
          <w:rtl/>
        </w:rPr>
        <w:t xml:space="preserve">את הציטוט מאריסטו </w:t>
      </w:r>
      <w:r w:rsidR="002C0A56">
        <w:rPr>
          <w:rFonts w:hint="cs"/>
          <w:rtl/>
        </w:rPr>
        <w:t xml:space="preserve">לפי הנוסח של </w:t>
      </w:r>
      <w:r w:rsidR="000A500B">
        <w:rPr>
          <w:rFonts w:hint="cs"/>
          <w:rtl/>
        </w:rPr>
        <w:t xml:space="preserve">הפרופ' י. </w:t>
      </w:r>
      <w:r w:rsidR="002C0A56">
        <w:rPr>
          <w:rFonts w:hint="cs"/>
          <w:rtl/>
        </w:rPr>
        <w:t>לנדא</w:t>
      </w:r>
      <w:r w:rsidR="000A500B">
        <w:rPr>
          <w:rFonts w:hint="cs"/>
          <w:rtl/>
        </w:rPr>
        <w:t xml:space="preserve"> שתרגם את הפיזיקה של אריסטו</w:t>
      </w:r>
      <w:r w:rsidR="003A7D40">
        <w:rPr>
          <w:rFonts w:hint="cs"/>
          <w:rtl/>
        </w:rPr>
        <w:t>.</w:t>
      </w:r>
      <w:r w:rsidR="002C0A56">
        <w:rPr>
          <w:rFonts w:hint="cs"/>
          <w:rtl/>
        </w:rPr>
        <w:t xml:space="preserve"> </w:t>
      </w:r>
      <w:r w:rsidR="003A7D40">
        <w:rPr>
          <w:rFonts w:hint="cs"/>
          <w:rtl/>
        </w:rPr>
        <w:t>א</w:t>
      </w:r>
      <w:r w:rsidR="00F65FFA">
        <w:rPr>
          <w:rFonts w:hint="cs"/>
          <w:rtl/>
        </w:rPr>
        <w:t>עתיק לכאן שוב את לשון אריסטו</w:t>
      </w:r>
      <w:r w:rsidR="00A76E20">
        <w:rPr>
          <w:rFonts w:hint="cs"/>
          <w:rtl/>
        </w:rPr>
        <w:t xml:space="preserve"> בתרגום לנדא</w:t>
      </w:r>
      <w:r w:rsidR="00F65FFA">
        <w:rPr>
          <w:rFonts w:hint="cs"/>
          <w:rtl/>
        </w:rPr>
        <w:t xml:space="preserve"> כיוון שאבן סינא הולך ומפרש אותה</w:t>
      </w:r>
      <w:r w:rsidR="00A76E20">
        <w:rPr>
          <w:rFonts w:hint="cs"/>
          <w:rtl/>
        </w:rPr>
        <w:t>:</w:t>
      </w:r>
    </w:p>
    <w:p w14:paraId="4FC05662" w14:textId="0D421A1F" w:rsidR="00A76E20" w:rsidRDefault="00A76E20">
      <w:pPr>
        <w:pStyle w:val="FootnoteText"/>
      </w:pPr>
      <w:r>
        <w:rPr>
          <w:rFonts w:hint="cs"/>
          <w:rtl/>
        </w:rPr>
        <w:t>"</w:t>
      </w:r>
      <w:r w:rsidRPr="00A76E20">
        <w:rPr>
          <w:rtl/>
        </w:rPr>
        <w:t>מאחר שאין הטבע אלא איזו התחלה וסיבה של היות נע והיות נח הנמצאת בדבר באופן ראשוני וכשלעצמו ולא על פי המקרה.</w:t>
      </w:r>
      <w:r>
        <w:rPr>
          <w:rFonts w:hint="cs"/>
          <w:rtl/>
        </w:rPr>
        <w:t>"</w:t>
      </w:r>
    </w:p>
  </w:footnote>
  <w:footnote w:id="447">
    <w:p w14:paraId="237987C6" w14:textId="474CB31D" w:rsidR="0075073F" w:rsidRDefault="0075073F">
      <w:pPr>
        <w:pStyle w:val="FootnoteText"/>
      </w:pPr>
      <w:r>
        <w:rPr>
          <w:rStyle w:val="FootnoteReference"/>
        </w:rPr>
        <w:footnoteRef/>
      </w:r>
      <w:r>
        <w:rPr>
          <w:rtl/>
        </w:rPr>
        <w:t xml:space="preserve"> </w:t>
      </w:r>
      <w:r w:rsidR="008C2724">
        <w:rPr>
          <w:rFonts w:hint="cs"/>
          <w:rtl/>
        </w:rPr>
        <w:t xml:space="preserve">הנעות של שינוי מקום וודאי אינן ראשוניות אלא הן כמו שראובן דוחף את שמעון, אבל אפילו הנעות של לידה וגדילה ושינוי שאינו שינוי מקום, </w:t>
      </w:r>
      <w:r w:rsidR="00727CCD">
        <w:rPr>
          <w:rFonts w:hint="cs"/>
          <w:rtl/>
        </w:rPr>
        <w:t>אלא כמו של צומח, גם בזה דעת אבן סינא שאין אלה הנעות ראשוניות</w:t>
      </w:r>
      <w:r w:rsidR="00EF3874">
        <w:rPr>
          <w:rFonts w:hint="cs"/>
          <w:rtl/>
        </w:rPr>
        <w:t>,</w:t>
      </w:r>
      <w:r w:rsidR="00727CCD">
        <w:rPr>
          <w:rFonts w:hint="cs"/>
          <w:rtl/>
        </w:rPr>
        <w:t xml:space="preserve"> </w:t>
      </w:r>
      <w:r w:rsidR="00EF3874">
        <w:rPr>
          <w:rFonts w:hint="cs"/>
          <w:rtl/>
        </w:rPr>
        <w:t>כי הטבע החומרי של היסוד השולט דהיינו הטבע ליפול למטה, אינו בטל, והוא יותר ראשוני מטבע תנועות הגדילה</w:t>
      </w:r>
      <w:r w:rsidR="00874676">
        <w:rPr>
          <w:rFonts w:hint="cs"/>
          <w:rtl/>
        </w:rPr>
        <w:t>, ויש כאן יחס מורכב שתנועות הגדילה שבאות מהנפש אינן בלתי ראשוניות באופן מוחלט, אבל ראשוניותן היא רק אחרי הראשוניות של הכוחות הטבעיים החומריים, וכמו שהתבאר כל זה מקודם באריכות</w:t>
      </w:r>
      <w:r w:rsidR="004502CC">
        <w:rPr>
          <w:rFonts w:hint="cs"/>
          <w:rtl/>
        </w:rPr>
        <w:t>,</w:t>
      </w:r>
      <w:r w:rsidR="00F50C37">
        <w:rPr>
          <w:rFonts w:hint="cs"/>
          <w:rtl/>
        </w:rPr>
        <w:t xml:space="preserve"> שיש צד שהחומר בטל לאחדות של המופשט ולפי זה ההנעות של הנפש ראשוניות, ויש צד שבו החומר לא בטל ולפי זה ההנעות של הנפש אינן ראשוניות</w:t>
      </w:r>
      <w:r w:rsidR="00C00AA7">
        <w:rPr>
          <w:rFonts w:hint="cs"/>
          <w:rtl/>
        </w:rPr>
        <w:t xml:space="preserve"> באופן גמור</w:t>
      </w:r>
      <w:r w:rsidR="00F50C37">
        <w:rPr>
          <w:rFonts w:hint="cs"/>
          <w:rtl/>
        </w:rPr>
        <w:t xml:space="preserve">, </w:t>
      </w:r>
      <w:r w:rsidR="00C00AA7">
        <w:rPr>
          <w:rFonts w:hint="cs"/>
          <w:rtl/>
        </w:rPr>
        <w:t>ושני הצדדים אמת</w:t>
      </w:r>
      <w:r w:rsidR="00821C60">
        <w:rPr>
          <w:rFonts w:hint="cs"/>
          <w:rtl/>
        </w:rPr>
        <w:t>. וכיוון שאנו עוסקים כאן בחקירת הטבע ו</w:t>
      </w:r>
      <w:r w:rsidR="00DC40A2">
        <w:rPr>
          <w:rFonts w:hint="cs"/>
          <w:rtl/>
        </w:rPr>
        <w:t>לא</w:t>
      </w:r>
      <w:r w:rsidR="00821C60">
        <w:rPr>
          <w:rFonts w:hint="cs"/>
          <w:rtl/>
        </w:rPr>
        <w:t xml:space="preserve"> במטאפיזיקה עלינו להגדיר שההנעות של הנפש אינן ראשוניות</w:t>
      </w:r>
      <w:r w:rsidR="00874676">
        <w:rPr>
          <w:rFonts w:hint="cs"/>
          <w:rtl/>
        </w:rPr>
        <w:t>.</w:t>
      </w:r>
      <w:r w:rsidR="00EF3874">
        <w:rPr>
          <w:rFonts w:hint="cs"/>
          <w:rtl/>
        </w:rPr>
        <w:t xml:space="preserve"> </w:t>
      </w:r>
      <w:r w:rsidR="004502CC">
        <w:rPr>
          <w:rFonts w:hint="cs"/>
          <w:rtl/>
        </w:rPr>
        <w:t>לכן עלינו להוסיף להגדרה של 'טבע'</w:t>
      </w:r>
      <w:r w:rsidR="007C24C4">
        <w:rPr>
          <w:rFonts w:hint="cs"/>
          <w:rtl/>
        </w:rPr>
        <w:t xml:space="preserve"> (שהיא התחלת תנועה) את המילה 'ראשוני'</w:t>
      </w:r>
      <w:r w:rsidR="004502CC">
        <w:rPr>
          <w:rFonts w:hint="cs"/>
          <w:rtl/>
        </w:rPr>
        <w:t>, כשאנו עוסקים בפיזיקה ו</w:t>
      </w:r>
      <w:r w:rsidR="007C24C4">
        <w:rPr>
          <w:rFonts w:hint="cs"/>
          <w:rtl/>
        </w:rPr>
        <w:t>לא</w:t>
      </w:r>
      <w:r w:rsidR="004502CC">
        <w:rPr>
          <w:rFonts w:hint="cs"/>
          <w:rtl/>
        </w:rPr>
        <w:t xml:space="preserve"> במטאפיזיקה</w:t>
      </w:r>
      <w:r w:rsidR="00CB2D94">
        <w:rPr>
          <w:rFonts w:hint="cs"/>
          <w:rtl/>
        </w:rPr>
        <w:t>, ובזה להוציא את ההנעה מהמקור הנפשי מחוץ להגדרה הפשוטה החד משמעית של 'טבע' (כי הנעה זו אינה ראשונית באופן פשוט וחד משמעי</w:t>
      </w:r>
      <w:r w:rsidR="004657B3">
        <w:rPr>
          <w:rFonts w:hint="cs"/>
          <w:rtl/>
        </w:rPr>
        <w:t>), וכך לכל הטבע</w:t>
      </w:r>
      <w:r w:rsidR="00FB1F93">
        <w:rPr>
          <w:rFonts w:hint="cs"/>
          <w:rtl/>
        </w:rPr>
        <w:t xml:space="preserve"> </w:t>
      </w:r>
      <w:r w:rsidR="004657B3">
        <w:rPr>
          <w:rFonts w:hint="cs"/>
          <w:rtl/>
        </w:rPr>
        <w:t>תהיה הגדרה כללית אחת חד משמעית</w:t>
      </w:r>
      <w:r w:rsidR="00FB1F93">
        <w:rPr>
          <w:rFonts w:hint="cs"/>
          <w:rtl/>
        </w:rPr>
        <w:t xml:space="preserve"> </w:t>
      </w:r>
      <w:r w:rsidR="00BC0B22">
        <w:rPr>
          <w:rFonts w:hint="cs"/>
          <w:rtl/>
        </w:rPr>
        <w:t>(</w:t>
      </w:r>
      <w:r w:rsidR="00FB1F93">
        <w:rPr>
          <w:rFonts w:hint="cs"/>
          <w:rtl/>
        </w:rPr>
        <w:t>שהיא 'התחלת תנועה ראשונית)</w:t>
      </w:r>
      <w:r w:rsidR="00CB2D94">
        <w:rPr>
          <w:rFonts w:hint="cs"/>
          <w:rtl/>
        </w:rPr>
        <w:t>.</w:t>
      </w:r>
    </w:p>
  </w:footnote>
  <w:footnote w:id="448">
    <w:p w14:paraId="04BC4D70" w14:textId="25BBAF25" w:rsidR="00D460B1" w:rsidRDefault="00D460B1" w:rsidP="00DB1C75">
      <w:pPr>
        <w:pStyle w:val="FootnoteText"/>
      </w:pPr>
      <w:r>
        <w:rPr>
          <w:rStyle w:val="FootnoteReference"/>
        </w:rPr>
        <w:footnoteRef/>
      </w:r>
      <w:r>
        <w:rPr>
          <w:rtl/>
        </w:rPr>
        <w:t xml:space="preserve"> </w:t>
      </w:r>
      <w:r>
        <w:rPr>
          <w:rFonts w:hint="cs"/>
          <w:rtl/>
        </w:rPr>
        <w:t>למשל אם רוח נשבה ו</w:t>
      </w:r>
      <w:r w:rsidR="00FD46C3">
        <w:rPr>
          <w:rFonts w:hint="cs"/>
          <w:rtl/>
        </w:rPr>
        <w:t>העיפה עלים</w:t>
      </w:r>
      <w:r>
        <w:rPr>
          <w:rFonts w:hint="cs"/>
          <w:rtl/>
        </w:rPr>
        <w:t xml:space="preserve">, </w:t>
      </w:r>
      <w:r w:rsidR="00854859">
        <w:rPr>
          <w:rFonts w:hint="cs"/>
          <w:rtl/>
        </w:rPr>
        <w:t>תנועת הע</w:t>
      </w:r>
      <w:r w:rsidR="00FD46C3">
        <w:rPr>
          <w:rFonts w:hint="cs"/>
          <w:rtl/>
        </w:rPr>
        <w:t xml:space="preserve">לים לרחף </w:t>
      </w:r>
      <w:r w:rsidR="00854859">
        <w:rPr>
          <w:rFonts w:hint="cs"/>
          <w:rtl/>
        </w:rPr>
        <w:t>אינה שייכת לטבע</w:t>
      </w:r>
      <w:r w:rsidR="00FD46C3">
        <w:rPr>
          <w:rFonts w:hint="cs"/>
          <w:rtl/>
        </w:rPr>
        <w:t xml:space="preserve">ם של העלים וגם אינה מלאכותית. </w:t>
      </w:r>
      <w:r w:rsidR="00D725E8">
        <w:rPr>
          <w:rFonts w:hint="cs"/>
          <w:rtl/>
        </w:rPr>
        <w:t xml:space="preserve">ההגדרה של אריסטו מוציאה פעולה כזו של הרוח מההגדרה של 'טבע' כי התחלת התנועה הזו לא </w:t>
      </w:r>
      <w:r w:rsidR="008E708A">
        <w:rPr>
          <w:rFonts w:hint="cs"/>
          <w:rtl/>
        </w:rPr>
        <w:t>"</w:t>
      </w:r>
      <w:r w:rsidR="00D725E8">
        <w:rPr>
          <w:rFonts w:hint="cs"/>
          <w:rtl/>
        </w:rPr>
        <w:t>נמצאת</w:t>
      </w:r>
      <w:r w:rsidR="008E708A">
        <w:rPr>
          <w:rFonts w:hint="cs"/>
          <w:rtl/>
        </w:rPr>
        <w:t xml:space="preserve"> בדבר"</w:t>
      </w:r>
      <w:r w:rsidR="00D725E8">
        <w:rPr>
          <w:rFonts w:hint="cs"/>
          <w:rtl/>
        </w:rPr>
        <w:t xml:space="preserve"> כלומר בעלים.</w:t>
      </w:r>
    </w:p>
  </w:footnote>
  <w:footnote w:id="449">
    <w:p w14:paraId="4138F67B" w14:textId="746ED8CD" w:rsidR="00102C74" w:rsidRDefault="00102C74">
      <w:pPr>
        <w:pStyle w:val="FootnoteText"/>
        <w:rPr>
          <w:rtl/>
        </w:rPr>
      </w:pPr>
      <w:r>
        <w:rPr>
          <w:rStyle w:val="FootnoteReference"/>
        </w:rPr>
        <w:footnoteRef/>
      </w:r>
      <w:r w:rsidR="0009487D">
        <w:rPr>
          <w:rFonts w:hint="cs"/>
          <w:rtl/>
        </w:rPr>
        <w:t xml:space="preserve"> כך </w:t>
      </w:r>
      <w:r w:rsidR="00CD32D7">
        <w:rPr>
          <w:rFonts w:hint="cs"/>
          <w:rtl/>
        </w:rPr>
        <w:t xml:space="preserve">הוא הלשון בתרגום י. </w:t>
      </w:r>
      <w:r w:rsidR="00CD32D7">
        <w:rPr>
          <w:rFonts w:hint="cs"/>
          <w:rtl/>
        </w:rPr>
        <w:t xml:space="preserve">לנדא שהעתקתי ממנו את התרגום לפיזיקה ב' א'. </w:t>
      </w:r>
      <w:r w:rsidR="0036088B">
        <w:rPr>
          <w:rFonts w:hint="cs"/>
          <w:rtl/>
        </w:rPr>
        <w:t>במקור</w:t>
      </w:r>
      <w:r w:rsidR="00A24E1F">
        <w:rPr>
          <w:rFonts w:hint="cs"/>
          <w:rtl/>
        </w:rPr>
        <w:t xml:space="preserve"> כאן</w:t>
      </w:r>
      <w:r w:rsidR="0036088B">
        <w:rPr>
          <w:rFonts w:hint="cs"/>
          <w:rtl/>
        </w:rPr>
        <w:t xml:space="preserve"> </w:t>
      </w:r>
      <w:r w:rsidR="0036088B" w:rsidRPr="0036088B">
        <w:rPr>
          <w:rFonts w:cs="Times New Roman" w:hint="eastAsia"/>
          <w:rtl/>
          <w:lang w:bidi="ar-SA"/>
        </w:rPr>
        <w:t>بالذات</w:t>
      </w:r>
      <w:r w:rsidR="0036088B">
        <w:rPr>
          <w:rFonts w:cs="Times New Roman" w:hint="cs"/>
          <w:rtl/>
        </w:rPr>
        <w:t xml:space="preserve">. </w:t>
      </w:r>
      <w:r w:rsidR="00CD32D7">
        <w:rPr>
          <w:rFonts w:hint="cs"/>
          <w:rtl/>
        </w:rPr>
        <w:t xml:space="preserve">התרגום </w:t>
      </w:r>
      <w:r w:rsidR="0036088B">
        <w:rPr>
          <w:rFonts w:hint="cs"/>
          <w:rtl/>
        </w:rPr>
        <w:t>שנראה בעיני בהיר ומדויק יותר</w:t>
      </w:r>
      <w:r w:rsidR="00CD32D7">
        <w:rPr>
          <w:rFonts w:hint="cs"/>
          <w:rtl/>
        </w:rPr>
        <w:t xml:space="preserve"> הוא </w:t>
      </w:r>
      <w:r w:rsidR="00DB1C75">
        <w:rPr>
          <w:rFonts w:hint="cs"/>
          <w:rtl/>
        </w:rPr>
        <w:t>'</w:t>
      </w:r>
      <w:r w:rsidR="00CD32D7">
        <w:rPr>
          <w:rFonts w:hint="cs"/>
          <w:rtl/>
        </w:rPr>
        <w:t>במהותו</w:t>
      </w:r>
      <w:r w:rsidR="00DB1C75">
        <w:rPr>
          <w:rFonts w:hint="cs"/>
          <w:rtl/>
        </w:rPr>
        <w:t>'</w:t>
      </w:r>
      <w:r w:rsidR="00A24E1F">
        <w:rPr>
          <w:rFonts w:hint="cs"/>
          <w:rtl/>
        </w:rPr>
        <w:t>, אבל אין הבדל מבחינת התוכן</w:t>
      </w:r>
      <w:r w:rsidR="00CD32D7">
        <w:rPr>
          <w:rFonts w:hint="cs"/>
          <w:rtl/>
        </w:rPr>
        <w:t>.</w:t>
      </w:r>
      <w:r w:rsidR="00CC7EE3">
        <w:rPr>
          <w:rFonts w:hint="cs"/>
          <w:rtl/>
        </w:rPr>
        <w:t xml:space="preserve"> מקגיניס תרגם </w:t>
      </w:r>
      <w:r w:rsidR="00CC7EE3" w:rsidRPr="00CC7EE3">
        <w:t>essentially</w:t>
      </w:r>
      <w:r w:rsidR="00CC7EE3">
        <w:rPr>
          <w:rFonts w:hint="cs"/>
          <w:rtl/>
        </w:rPr>
        <w:t xml:space="preserve">. </w:t>
      </w:r>
    </w:p>
  </w:footnote>
  <w:footnote w:id="450">
    <w:p w14:paraId="4D49D8C2" w14:textId="5D198BA8" w:rsidR="00D43258" w:rsidRDefault="00D43258">
      <w:pPr>
        <w:pStyle w:val="FootnoteText"/>
      </w:pPr>
      <w:r>
        <w:rPr>
          <w:rStyle w:val="FootnoteReference"/>
        </w:rPr>
        <w:footnoteRef/>
      </w:r>
      <w:r>
        <w:rPr>
          <w:rtl/>
        </w:rPr>
        <w:t xml:space="preserve"> </w:t>
      </w:r>
      <w:r>
        <w:rPr>
          <w:rFonts w:hint="cs"/>
          <w:rtl/>
        </w:rPr>
        <w:t>הכוונה ב"נושא עליו"</w:t>
      </w:r>
      <w:r>
        <w:rPr>
          <w:rFonts w:hint="cs"/>
        </w:rPr>
        <w:t xml:space="preserve"> </w:t>
      </w:r>
      <w:r>
        <w:rPr>
          <w:rFonts w:hint="cs"/>
          <w:rtl/>
        </w:rPr>
        <w:t>שאין אלה שתי פרשנויות או שתי הבנות, אלא האמירה מכילה את שני המובנים</w:t>
      </w:r>
      <w:r w:rsidR="005874B9">
        <w:rPr>
          <w:rFonts w:hint="cs"/>
          <w:rtl/>
        </w:rPr>
        <w:t xml:space="preserve"> כאמירה אחת ופרשנות אחת והבנה אחת, לכן הלשון היא שהאמירה נושאת עליה את שתי הדרכים ו</w:t>
      </w:r>
      <w:r w:rsidR="007C78A0">
        <w:rPr>
          <w:rFonts w:hint="cs"/>
          <w:rtl/>
        </w:rPr>
        <w:t>לא</w:t>
      </w:r>
      <w:r w:rsidR="005874B9">
        <w:rPr>
          <w:rFonts w:hint="cs"/>
          <w:rtl/>
        </w:rPr>
        <w:t xml:space="preserve"> שהיא מתפרשת בשתי דרכים</w:t>
      </w:r>
      <w:r>
        <w:rPr>
          <w:rFonts w:hint="cs"/>
          <w:rtl/>
        </w:rPr>
        <w:t xml:space="preserve">. </w:t>
      </w:r>
    </w:p>
  </w:footnote>
  <w:footnote w:id="451">
    <w:p w14:paraId="18994E0A" w14:textId="3F77A087" w:rsidR="00A02963" w:rsidRDefault="00A02963">
      <w:pPr>
        <w:pStyle w:val="FootnoteText"/>
      </w:pPr>
      <w:r>
        <w:rPr>
          <w:rStyle w:val="FootnoteReference"/>
        </w:rPr>
        <w:footnoteRef/>
      </w:r>
      <w:r>
        <w:rPr>
          <w:rtl/>
        </w:rPr>
        <w:t xml:space="preserve"> </w:t>
      </w:r>
      <w:r>
        <w:rPr>
          <w:rFonts w:hint="cs"/>
          <w:rtl/>
        </w:rPr>
        <w:t>או 'במהותו'.</w:t>
      </w:r>
    </w:p>
  </w:footnote>
  <w:footnote w:id="452">
    <w:p w14:paraId="5D961B87" w14:textId="5C3A8C18" w:rsidR="00672ED9" w:rsidRDefault="00672ED9">
      <w:pPr>
        <w:pStyle w:val="FootnoteText"/>
      </w:pPr>
      <w:r>
        <w:rPr>
          <w:rStyle w:val="FootnoteReference"/>
        </w:rPr>
        <w:footnoteRef/>
      </w:r>
      <w:r>
        <w:rPr>
          <w:rtl/>
        </w:rPr>
        <w:t xml:space="preserve"> </w:t>
      </w:r>
      <w:r w:rsidR="00B71950">
        <w:rPr>
          <w:rFonts w:hint="cs"/>
          <w:rtl/>
        </w:rPr>
        <w:t xml:space="preserve">זו הדרך שמתייחסת למניע, שהוא עצמי, כלומר שהוא תמיד מניע כל </w:t>
      </w:r>
      <w:r w:rsidR="004D566B">
        <w:rPr>
          <w:rFonts w:hint="cs"/>
          <w:rtl/>
        </w:rPr>
        <w:t>ז</w:t>
      </w:r>
      <w:r w:rsidR="00B71950">
        <w:rPr>
          <w:rFonts w:hint="cs"/>
          <w:rtl/>
        </w:rPr>
        <w:t>מן שאין לו מעצור, וכמו נפילת האבן, שהיא תמיד תיפול כל זמן שאין מה שיעצור את תנועת הנפילה, כי ה</w:t>
      </w:r>
      <w:r w:rsidR="004D566B">
        <w:rPr>
          <w:rFonts w:hint="cs"/>
          <w:rtl/>
        </w:rPr>
        <w:t>מ</w:t>
      </w:r>
      <w:r w:rsidR="00B71950">
        <w:rPr>
          <w:rFonts w:hint="cs"/>
          <w:rtl/>
        </w:rPr>
        <w:t xml:space="preserve">ניע מצד עצמו, במהותו, מניע כך. </w:t>
      </w:r>
    </w:p>
  </w:footnote>
  <w:footnote w:id="453">
    <w:p w14:paraId="6CC474EE" w14:textId="19A954B2" w:rsidR="00C8351F" w:rsidRDefault="00C8351F">
      <w:pPr>
        <w:pStyle w:val="FootnoteText"/>
      </w:pPr>
      <w:r>
        <w:rPr>
          <w:rStyle w:val="FootnoteReference"/>
        </w:rPr>
        <w:footnoteRef/>
      </w:r>
      <w:r>
        <w:rPr>
          <w:rtl/>
        </w:rPr>
        <w:t xml:space="preserve"> </w:t>
      </w:r>
      <w:r>
        <w:rPr>
          <w:rFonts w:hint="cs"/>
          <w:rtl/>
        </w:rPr>
        <w:t xml:space="preserve">זו הדרך השנייה שהיא ביחס </w:t>
      </w:r>
      <w:r w:rsidR="00A718D7" w:rsidRPr="00A718D7">
        <w:rPr>
          <w:rtl/>
        </w:rPr>
        <w:t>למוּנָע</w:t>
      </w:r>
      <w:r w:rsidR="00A718D7">
        <w:rPr>
          <w:rFonts w:hint="cs"/>
          <w:rtl/>
        </w:rPr>
        <w:t xml:space="preserve">. </w:t>
      </w:r>
    </w:p>
  </w:footnote>
  <w:footnote w:id="454">
    <w:p w14:paraId="1C6A24DF" w14:textId="1EE447C2" w:rsidR="00FC3D7E" w:rsidRDefault="00FC3D7E" w:rsidP="00974293">
      <w:pPr>
        <w:pStyle w:val="FootnoteText"/>
        <w:rPr>
          <w:rtl/>
        </w:rPr>
      </w:pPr>
      <w:r>
        <w:rPr>
          <w:rStyle w:val="FootnoteReference"/>
        </w:rPr>
        <w:footnoteRef/>
      </w:r>
      <w:r>
        <w:rPr>
          <w:rtl/>
        </w:rPr>
        <w:t xml:space="preserve"> </w:t>
      </w:r>
      <w:r w:rsidR="00597A29">
        <w:rPr>
          <w:rFonts w:hint="cs"/>
          <w:rtl/>
        </w:rPr>
        <w:t xml:space="preserve">עיין פיזיקה </w:t>
      </w:r>
      <w:r w:rsidR="00C44D84">
        <w:rPr>
          <w:rFonts w:hint="cs"/>
          <w:rtl/>
        </w:rPr>
        <w:t xml:space="preserve">ד' ד' </w:t>
      </w:r>
      <w:r w:rsidR="00C44D84">
        <w:rPr>
          <w:rFonts w:hint="cs"/>
          <w:rtl/>
        </w:rPr>
        <w:t>211א שורה 17</w:t>
      </w:r>
      <w:r w:rsidR="00DA2504">
        <w:rPr>
          <w:rFonts w:hint="cs"/>
          <w:rtl/>
        </w:rPr>
        <w:t xml:space="preserve"> שהביא משל לתנועת החלק ממסמר בספינה</w:t>
      </w:r>
      <w:r w:rsidR="00C44D84">
        <w:rPr>
          <w:rFonts w:hint="cs"/>
          <w:rtl/>
        </w:rPr>
        <w:t>, ו</w:t>
      </w:r>
      <w:r w:rsidR="00DA2504">
        <w:rPr>
          <w:rFonts w:hint="cs"/>
          <w:rtl/>
        </w:rPr>
        <w:t xml:space="preserve">עיין גם </w:t>
      </w:r>
      <w:r w:rsidR="00C44D84">
        <w:rPr>
          <w:rFonts w:hint="cs"/>
          <w:rtl/>
        </w:rPr>
        <w:t xml:space="preserve">במורה נבוכים הקדמה שישית לחלק ב'. </w:t>
      </w:r>
      <w:r w:rsidR="0039074D">
        <w:rPr>
          <w:rFonts w:hint="cs"/>
          <w:rtl/>
        </w:rPr>
        <w:t>כל תנועה שאינה מטבעו של הגוף היא תנועה מקרית, ובתנועות המקריות יש כמה חלוקות</w:t>
      </w:r>
      <w:r w:rsidR="00465136">
        <w:rPr>
          <w:rFonts w:hint="cs"/>
          <w:rtl/>
        </w:rPr>
        <w:t>:</w:t>
      </w:r>
      <w:r w:rsidR="0039074D">
        <w:rPr>
          <w:rFonts w:hint="cs"/>
          <w:rtl/>
        </w:rPr>
        <w:t xml:space="preserve"> יש תנועה </w:t>
      </w:r>
      <w:r w:rsidR="00773FD9">
        <w:rPr>
          <w:rFonts w:hint="cs"/>
          <w:rtl/>
        </w:rPr>
        <w:t>בכח כמו מי שמרים אבן למעלה</w:t>
      </w:r>
      <w:r w:rsidR="00465136">
        <w:rPr>
          <w:rFonts w:hint="cs"/>
          <w:rtl/>
        </w:rPr>
        <w:t>;</w:t>
      </w:r>
      <w:r w:rsidR="00773FD9">
        <w:rPr>
          <w:rFonts w:hint="cs"/>
          <w:rtl/>
        </w:rPr>
        <w:t xml:space="preserve"> יש תנועה בדבר שלא יכול לנוע בעצמו והוא נע רק אם מה שהוא בו נע וכגון הצבע השחור של העור, או ה</w:t>
      </w:r>
      <w:r w:rsidR="00465136">
        <w:rPr>
          <w:rFonts w:hint="cs"/>
          <w:rtl/>
        </w:rPr>
        <w:t>חכמה של האדם</w:t>
      </w:r>
      <w:r w:rsidR="006915D2">
        <w:rPr>
          <w:rFonts w:hint="cs"/>
          <w:rtl/>
        </w:rPr>
        <w:t>; ויש תנועת החלק כמו מסמר בספינה או איבר בגוף, שנע ביחד עם השלם.</w:t>
      </w:r>
      <w:r w:rsidR="00974293">
        <w:rPr>
          <w:rFonts w:hint="cs"/>
          <w:rtl/>
        </w:rPr>
        <w:t xml:space="preserve"> </w:t>
      </w:r>
      <w:r w:rsidR="002144DB">
        <w:rPr>
          <w:rFonts w:hint="cs"/>
          <w:rtl/>
        </w:rPr>
        <w:t xml:space="preserve">תנועת החלק היא תנועה מקרית </w:t>
      </w:r>
      <w:r w:rsidR="00974293">
        <w:rPr>
          <w:rFonts w:hint="cs"/>
          <w:rtl/>
        </w:rPr>
        <w:t xml:space="preserve">אפילו אם תנועת השלם היא טבעית ומהותית, </w:t>
      </w:r>
      <w:r w:rsidR="002144DB">
        <w:rPr>
          <w:rFonts w:hint="cs"/>
          <w:rtl/>
        </w:rPr>
        <w:t>כי הח</w:t>
      </w:r>
      <w:r w:rsidR="00974293">
        <w:rPr>
          <w:rFonts w:hint="cs"/>
          <w:rtl/>
        </w:rPr>
        <w:t>ל</w:t>
      </w:r>
      <w:r w:rsidR="002144DB">
        <w:rPr>
          <w:rFonts w:hint="cs"/>
          <w:rtl/>
        </w:rPr>
        <w:t xml:space="preserve">ק </w:t>
      </w:r>
      <w:r w:rsidR="00B178A9">
        <w:rPr>
          <w:rFonts w:hint="cs"/>
          <w:rtl/>
        </w:rPr>
        <w:t xml:space="preserve">מצד מהותו העצמית </w:t>
      </w:r>
      <w:r w:rsidR="002144DB">
        <w:rPr>
          <w:rFonts w:hint="cs"/>
          <w:rtl/>
        </w:rPr>
        <w:t>יכול להיפרד מהשלם ואז לא ינוע</w:t>
      </w:r>
      <w:r w:rsidR="00B178A9">
        <w:rPr>
          <w:rFonts w:hint="cs"/>
          <w:rtl/>
        </w:rPr>
        <w:t>, ומה שאינו נפרד כעת הוא מקרה ל</w:t>
      </w:r>
      <w:r w:rsidR="009E31AD">
        <w:rPr>
          <w:rFonts w:hint="cs"/>
          <w:rtl/>
        </w:rPr>
        <w:t xml:space="preserve">ו. תנועת החלק </w:t>
      </w:r>
      <w:r w:rsidR="00B6590B">
        <w:rPr>
          <w:rFonts w:hint="cs"/>
          <w:rtl/>
        </w:rPr>
        <w:t>נקראת תנועה מקרית סתם</w:t>
      </w:r>
      <w:r w:rsidR="009B0938">
        <w:rPr>
          <w:rFonts w:hint="cs"/>
          <w:rtl/>
        </w:rPr>
        <w:t>, לכן אבן סינא בחר כאן בדוג</w:t>
      </w:r>
      <w:r w:rsidR="00D76F4A">
        <w:rPr>
          <w:rFonts w:hint="cs"/>
          <w:rtl/>
        </w:rPr>
        <w:t>מ</w:t>
      </w:r>
      <w:r w:rsidR="009B0938">
        <w:rPr>
          <w:rFonts w:hint="cs"/>
          <w:rtl/>
        </w:rPr>
        <w:t>ה זו.</w:t>
      </w:r>
      <w:r w:rsidR="0021775D">
        <w:rPr>
          <w:rFonts w:hint="cs"/>
          <w:rtl/>
        </w:rPr>
        <w:t xml:space="preserve"> (בפירוש שם טוב על ההקדמה השישית לחלק ב' מהמורה נבוכים כתב שהתנועה הסיבובית של הגלגל היא תנועה טבעית שהיא בעצם, ותנועת הכוכבים הקבועים בגלגל </w:t>
      </w:r>
      <w:r w:rsidR="007227E5">
        <w:rPr>
          <w:rFonts w:hint="cs"/>
          <w:rtl/>
        </w:rPr>
        <w:t>היא תנועה מקרית כי זו תנועת החלק, כמו מסמר בספינה. ו</w:t>
      </w:r>
      <w:r w:rsidR="00912AAD">
        <w:rPr>
          <w:rFonts w:hint="cs"/>
          <w:rtl/>
        </w:rPr>
        <w:t>אע"פ ש</w:t>
      </w:r>
      <w:r w:rsidR="007227E5">
        <w:rPr>
          <w:rFonts w:hint="cs"/>
          <w:rtl/>
        </w:rPr>
        <w:t>המסמר בספינה קבוע בה במקרה</w:t>
      </w:r>
      <w:r w:rsidR="00A03179">
        <w:rPr>
          <w:rFonts w:hint="cs"/>
          <w:rtl/>
        </w:rPr>
        <w:t xml:space="preserve"> ויכול להיפרד</w:t>
      </w:r>
      <w:r w:rsidR="007227E5">
        <w:rPr>
          <w:rFonts w:hint="cs"/>
          <w:rtl/>
        </w:rPr>
        <w:t xml:space="preserve">, </w:t>
      </w:r>
      <w:r w:rsidR="00FC45B2">
        <w:rPr>
          <w:rFonts w:hint="cs"/>
          <w:rtl/>
        </w:rPr>
        <w:t>אבל חיבור הכוכבים לגלגל הוא מהותי ו</w:t>
      </w:r>
      <w:r w:rsidR="00A03179">
        <w:rPr>
          <w:rFonts w:hint="cs"/>
          <w:rtl/>
        </w:rPr>
        <w:t xml:space="preserve">מצד עצמותו </w:t>
      </w:r>
      <w:r w:rsidR="00FC45B2">
        <w:rPr>
          <w:rFonts w:hint="cs"/>
          <w:rtl/>
        </w:rPr>
        <w:t>אי אפשר שייפרד ו</w:t>
      </w:r>
      <w:r w:rsidR="00EC7041">
        <w:rPr>
          <w:rFonts w:hint="cs"/>
          <w:rtl/>
        </w:rPr>
        <w:t xml:space="preserve">היה מקום לומר שמשום כך </w:t>
      </w:r>
      <w:r w:rsidR="00FC45B2">
        <w:rPr>
          <w:rFonts w:hint="cs"/>
          <w:rtl/>
        </w:rPr>
        <w:t>תנועתם עם הגלגל היא טב</w:t>
      </w:r>
      <w:r w:rsidR="00A03179">
        <w:rPr>
          <w:rFonts w:hint="cs"/>
          <w:rtl/>
        </w:rPr>
        <w:t>ע</w:t>
      </w:r>
      <w:r w:rsidR="00FC45B2">
        <w:rPr>
          <w:rFonts w:hint="cs"/>
          <w:rtl/>
        </w:rPr>
        <w:t>ית ועצמית</w:t>
      </w:r>
      <w:r w:rsidR="009144C6">
        <w:rPr>
          <w:rFonts w:hint="cs"/>
          <w:rtl/>
        </w:rPr>
        <w:t xml:space="preserve"> לה</w:t>
      </w:r>
      <w:r w:rsidR="00EC7041">
        <w:rPr>
          <w:rFonts w:hint="cs"/>
          <w:rtl/>
        </w:rPr>
        <w:t>ם</w:t>
      </w:r>
      <w:r w:rsidR="009144C6">
        <w:rPr>
          <w:rFonts w:hint="cs"/>
          <w:rtl/>
        </w:rPr>
        <w:t xml:space="preserve"> כמו שהיא לגלגל</w:t>
      </w:r>
      <w:r w:rsidR="00A03179">
        <w:rPr>
          <w:rFonts w:hint="cs"/>
          <w:rtl/>
        </w:rPr>
        <w:t xml:space="preserve">. </w:t>
      </w:r>
      <w:r w:rsidR="00EB1F94">
        <w:rPr>
          <w:rFonts w:hint="cs"/>
          <w:rtl/>
        </w:rPr>
        <w:t xml:space="preserve">אבל אריסטו שם הביא כדוגמה לתנועת החלק גם את איברי הגוף שנעים עם הגוף, והרי החיבור שלהם לגוף הוא מהותי, להם ולגוף. </w:t>
      </w:r>
      <w:r w:rsidR="00071272">
        <w:rPr>
          <w:rFonts w:hint="cs"/>
          <w:rtl/>
        </w:rPr>
        <w:t>וכמו שכתב אריסטו ב"על הנפש" שעין שנעקרה מייד בטל ממנה שם עין והיא כעת חתיכת בשר ב</w:t>
      </w:r>
      <w:r w:rsidR="000F05B0">
        <w:rPr>
          <w:rFonts w:hint="cs"/>
          <w:rtl/>
        </w:rPr>
        <w:t xml:space="preserve">תבנית עין, כמו פסל שיש בצורת אדם שאינו אדם, והגוף בלי איברים אינו קיים כלל. ויש עוד לעיין בזה ולא כאן מקומו. </w:t>
      </w:r>
      <w:r w:rsidR="00071272">
        <w:rPr>
          <w:rFonts w:hint="cs"/>
          <w:rtl/>
        </w:rPr>
        <w:t xml:space="preserve"> </w:t>
      </w:r>
      <w:r w:rsidR="00FC45B2">
        <w:rPr>
          <w:rFonts w:hint="cs"/>
          <w:rtl/>
        </w:rPr>
        <w:t xml:space="preserve"> </w:t>
      </w:r>
    </w:p>
  </w:footnote>
  <w:footnote w:id="455">
    <w:p w14:paraId="104FC08E" w14:textId="7800B0F1" w:rsidR="006F0E28" w:rsidRDefault="006F0E28">
      <w:pPr>
        <w:pStyle w:val="FootnoteText"/>
      </w:pPr>
      <w:r>
        <w:rPr>
          <w:rStyle w:val="FootnoteReference"/>
        </w:rPr>
        <w:footnoteRef/>
      </w:r>
      <w:r>
        <w:rPr>
          <w:rtl/>
        </w:rPr>
        <w:t xml:space="preserve"> </w:t>
      </w:r>
      <w:r>
        <w:rPr>
          <w:rFonts w:hint="cs"/>
          <w:rtl/>
        </w:rPr>
        <w:t>אם פסל נופל למטה בקו ישר שזו תנועתו הטבעית, עדיין תנועת הפסל היא תנועה מקרית</w:t>
      </w:r>
      <w:r w:rsidR="00502A5D">
        <w:rPr>
          <w:rFonts w:hint="cs"/>
          <w:rtl/>
        </w:rPr>
        <w:t xml:space="preserve"> מצד ה</w:t>
      </w:r>
      <w:r w:rsidR="00CB69D9" w:rsidRPr="00CB69D9">
        <w:rPr>
          <w:rtl/>
        </w:rPr>
        <w:t>מוּנָע</w:t>
      </w:r>
      <w:r>
        <w:rPr>
          <w:rFonts w:hint="cs"/>
          <w:rtl/>
        </w:rPr>
        <w:t xml:space="preserve">. </w:t>
      </w:r>
      <w:r w:rsidR="00664DD8">
        <w:rPr>
          <w:rFonts w:hint="cs"/>
          <w:rtl/>
        </w:rPr>
        <w:t>בגלל שה</w:t>
      </w:r>
      <w:bookmarkStart w:id="221" w:name="_Hlk102739279"/>
      <w:r w:rsidR="00CB69D9" w:rsidRPr="00CB69D9">
        <w:rPr>
          <w:rtl/>
        </w:rPr>
        <w:t>מוּנָע</w:t>
      </w:r>
      <w:bookmarkEnd w:id="221"/>
      <w:r w:rsidR="00664DD8">
        <w:rPr>
          <w:rFonts w:hint="cs"/>
          <w:rtl/>
        </w:rPr>
        <w:t xml:space="preserve"> 'פסל' אינו </w:t>
      </w:r>
      <w:r w:rsidR="00502A5D">
        <w:rPr>
          <w:rFonts w:hint="cs"/>
          <w:rtl/>
        </w:rPr>
        <w:t>יכול ל</w:t>
      </w:r>
      <w:r w:rsidR="00664DD8">
        <w:rPr>
          <w:rFonts w:hint="cs"/>
          <w:rtl/>
        </w:rPr>
        <w:t>קבל תנועה מהותית</w:t>
      </w:r>
      <w:r w:rsidR="00502A5D">
        <w:rPr>
          <w:rFonts w:hint="cs"/>
          <w:rtl/>
        </w:rPr>
        <w:t>.</w:t>
      </w:r>
    </w:p>
  </w:footnote>
  <w:footnote w:id="456">
    <w:p w14:paraId="563ED560" w14:textId="15BB2D1A" w:rsidR="00741274" w:rsidRDefault="00741274">
      <w:pPr>
        <w:pStyle w:val="FootnoteText"/>
      </w:pPr>
      <w:r>
        <w:rPr>
          <w:rStyle w:val="FootnoteReference"/>
        </w:rPr>
        <w:footnoteRef/>
      </w:r>
      <w:r>
        <w:rPr>
          <w:rtl/>
        </w:rPr>
        <w:t xml:space="preserve"> </w:t>
      </w:r>
      <w:r>
        <w:rPr>
          <w:rFonts w:hint="cs"/>
          <w:rtl/>
        </w:rPr>
        <w:t xml:space="preserve">אם נשבה רוח והפילה את הפסל, </w:t>
      </w:r>
      <w:r w:rsidR="002D7FB9">
        <w:rPr>
          <w:rFonts w:hint="cs"/>
          <w:rtl/>
        </w:rPr>
        <w:t xml:space="preserve">מצד הטבע </w:t>
      </w:r>
      <w:r>
        <w:rPr>
          <w:rFonts w:hint="cs"/>
          <w:rtl/>
        </w:rPr>
        <w:t xml:space="preserve">היא הפילה גוש שיש </w:t>
      </w:r>
      <w:r w:rsidR="002D7FB9">
        <w:rPr>
          <w:rFonts w:hint="cs"/>
          <w:rtl/>
        </w:rPr>
        <w:t>בלבד, ומה שהדבר שנפל הוא פסל</w:t>
      </w:r>
      <w:r w:rsidR="00E55AD3">
        <w:rPr>
          <w:rFonts w:hint="cs"/>
          <w:rtl/>
        </w:rPr>
        <w:t xml:space="preserve"> עם צורה כזו</w:t>
      </w:r>
      <w:r w:rsidR="002D7FB9">
        <w:rPr>
          <w:rFonts w:hint="cs"/>
          <w:rtl/>
        </w:rPr>
        <w:t>, זה נפל במקרה.</w:t>
      </w:r>
      <w:r w:rsidR="00E55AD3">
        <w:rPr>
          <w:rFonts w:hint="cs"/>
          <w:rtl/>
        </w:rPr>
        <w:t xml:space="preserve"> </w:t>
      </w:r>
    </w:p>
  </w:footnote>
  <w:footnote w:id="457">
    <w:p w14:paraId="2ED2709D" w14:textId="69F67074" w:rsidR="00AD2BCE" w:rsidRDefault="00AD2BCE">
      <w:pPr>
        <w:pStyle w:val="FootnoteText"/>
      </w:pPr>
      <w:r>
        <w:rPr>
          <w:rStyle w:val="FootnoteReference"/>
        </w:rPr>
        <w:footnoteRef/>
      </w:r>
      <w:r>
        <w:rPr>
          <w:rtl/>
        </w:rPr>
        <w:t xml:space="preserve"> </w:t>
      </w:r>
      <w:r w:rsidR="009938EF">
        <w:rPr>
          <w:rFonts w:hint="cs"/>
          <w:rtl/>
        </w:rPr>
        <w:t xml:space="preserve">כשרופא מרפא את עצמו, דהיינו מניע את עצמו מחולי לבריאות (כל שינוי הוא תנועה), </w:t>
      </w:r>
      <w:r w:rsidR="007B6B26">
        <w:rPr>
          <w:rFonts w:hint="cs"/>
          <w:rtl/>
        </w:rPr>
        <w:t xml:space="preserve">היה אפשר לכאורה לומר שזו תנועה טבעית כי הוא המניע והוא המונע, </w:t>
      </w:r>
      <w:r w:rsidR="00A40ADE">
        <w:rPr>
          <w:rFonts w:hint="cs"/>
          <w:rtl/>
        </w:rPr>
        <w:t>ו</w:t>
      </w:r>
      <w:r w:rsidR="007B6B26">
        <w:rPr>
          <w:rFonts w:hint="cs"/>
          <w:rtl/>
        </w:rPr>
        <w:t xml:space="preserve">כמו </w:t>
      </w:r>
      <w:r w:rsidR="007B6B26">
        <w:rPr>
          <w:rFonts w:hint="cs"/>
          <w:rtl/>
        </w:rPr>
        <w:t xml:space="preserve">שהכח שמניע אבן ליפול הוא בה עצמה והיא </w:t>
      </w:r>
      <w:r w:rsidR="008D5534">
        <w:rPr>
          <w:rFonts w:hint="cs"/>
          <w:rtl/>
        </w:rPr>
        <w:t xml:space="preserve">מניעה את עצמה ליפול, ולכן זו תנועה טבעית ולא כמו שמשהו אחר דוחף אותה </w:t>
      </w:r>
      <w:r w:rsidR="00D11A5A">
        <w:rPr>
          <w:rFonts w:hint="cs"/>
          <w:rtl/>
        </w:rPr>
        <w:t xml:space="preserve">מבחוץ </w:t>
      </w:r>
      <w:r w:rsidR="008D5534">
        <w:rPr>
          <w:rFonts w:hint="cs"/>
          <w:rtl/>
        </w:rPr>
        <w:t xml:space="preserve">לנוע שאז היא תנועה מקרית. </w:t>
      </w:r>
    </w:p>
  </w:footnote>
  <w:footnote w:id="458">
    <w:p w14:paraId="6C3690D0" w14:textId="77777777" w:rsidR="0021687A" w:rsidRDefault="0035752C">
      <w:pPr>
        <w:pStyle w:val="FootnoteText"/>
        <w:rPr>
          <w:rtl/>
        </w:rPr>
      </w:pPr>
      <w:r>
        <w:rPr>
          <w:rStyle w:val="FootnoteReference"/>
        </w:rPr>
        <w:footnoteRef/>
      </w:r>
      <w:r>
        <w:rPr>
          <w:rtl/>
        </w:rPr>
        <w:t xml:space="preserve"> </w:t>
      </w:r>
      <w:r w:rsidR="00E25BA7">
        <w:rPr>
          <w:rFonts w:hint="cs"/>
          <w:rtl/>
        </w:rPr>
        <w:t>באבן המניע ליפול הוא באבן מצד שהיא אבן, וגם מה ש</w:t>
      </w:r>
      <w:r w:rsidR="00F479EC" w:rsidRPr="00F479EC">
        <w:rPr>
          <w:rtl/>
        </w:rPr>
        <w:t>מוּנָע</w:t>
      </w:r>
      <w:r w:rsidR="00E25BA7">
        <w:rPr>
          <w:rFonts w:hint="cs"/>
          <w:rtl/>
        </w:rPr>
        <w:t xml:space="preserve"> ליפול הוא האבן מצד שהיא אבן. </w:t>
      </w:r>
      <w:r w:rsidR="00F479EC">
        <w:rPr>
          <w:rFonts w:hint="cs"/>
          <w:rtl/>
        </w:rPr>
        <w:t xml:space="preserve">לכן אומרים שש בה התחלת תנועה טבעית שנמצאת בה ומניעה אותה באופן בלתי אמצעי, כלומר אין כאן א' שמניע את ב'. ואילו ברופא </w:t>
      </w:r>
      <w:r w:rsidR="00985093">
        <w:rPr>
          <w:rFonts w:hint="cs"/>
          <w:rtl/>
        </w:rPr>
        <w:t>מה שמרפא (הוא הידע הרפואי) ומה שמקבל ריפוי (גופו של הרופא) הם שני דברים נפרדים לגמרי, כי הידע רק במקרה נמצא בחולה</w:t>
      </w:r>
      <w:r w:rsidR="0021687A">
        <w:rPr>
          <w:rFonts w:hint="cs"/>
          <w:rtl/>
        </w:rPr>
        <w:t xml:space="preserve"> שהוא גופו של הרופא עצמו</w:t>
      </w:r>
      <w:r w:rsidR="00985093">
        <w:rPr>
          <w:rFonts w:hint="cs"/>
          <w:rtl/>
        </w:rPr>
        <w:t xml:space="preserve">, </w:t>
      </w:r>
      <w:r w:rsidR="0021687A">
        <w:rPr>
          <w:rFonts w:hint="cs"/>
          <w:rtl/>
        </w:rPr>
        <w:t xml:space="preserve">ומה שחולה רק במקרה הוא גופו של הרופא, </w:t>
      </w:r>
      <w:r w:rsidR="00985093">
        <w:rPr>
          <w:rFonts w:hint="cs"/>
          <w:rtl/>
        </w:rPr>
        <w:t>ורק במקרה ה</w:t>
      </w:r>
      <w:r w:rsidR="0021687A">
        <w:rPr>
          <w:rFonts w:hint="cs"/>
          <w:rtl/>
        </w:rPr>
        <w:t>מטפל והמטופל ה</w:t>
      </w:r>
      <w:r w:rsidR="00985093">
        <w:rPr>
          <w:rFonts w:hint="cs"/>
          <w:rtl/>
        </w:rPr>
        <w:t>צטרפו לאותו מקום.</w:t>
      </w:r>
    </w:p>
    <w:p w14:paraId="1E9A9757" w14:textId="6B490D48" w:rsidR="0035752C" w:rsidRDefault="0021687A">
      <w:pPr>
        <w:pStyle w:val="FootnoteText"/>
        <w:rPr>
          <w:rtl/>
        </w:rPr>
      </w:pPr>
      <w:r>
        <w:rPr>
          <w:rFonts w:hint="cs"/>
          <w:rtl/>
        </w:rPr>
        <w:t xml:space="preserve">גם באבן יש חילוק בין הצד שמניע לצד </w:t>
      </w:r>
      <w:r w:rsidR="0044193C" w:rsidRPr="0044193C">
        <w:rPr>
          <w:rtl/>
        </w:rPr>
        <w:t>שמוּנָע</w:t>
      </w:r>
      <w:r w:rsidR="00344D13">
        <w:rPr>
          <w:rFonts w:hint="cs"/>
          <w:rtl/>
        </w:rPr>
        <w:t xml:space="preserve">, כי המניע הוא מצד צורתה והמונע הוא מצד החומר שלה, </w:t>
      </w:r>
      <w:r w:rsidR="00662A70">
        <w:rPr>
          <w:rFonts w:hint="cs"/>
          <w:rtl/>
        </w:rPr>
        <w:t>אבל החומר והצורה שניהם של אותו עצם שהוא האבן, ויש אחדו</w:t>
      </w:r>
      <w:r w:rsidR="007D61C2">
        <w:rPr>
          <w:rFonts w:hint="cs"/>
          <w:rtl/>
        </w:rPr>
        <w:t>ת</w:t>
      </w:r>
      <w:r w:rsidR="00662A70">
        <w:rPr>
          <w:rFonts w:hint="cs"/>
          <w:rtl/>
        </w:rPr>
        <w:t xml:space="preserve"> מהותית בין צורה</w:t>
      </w:r>
      <w:r w:rsidR="007D61C2">
        <w:rPr>
          <w:rFonts w:hint="cs"/>
          <w:rtl/>
        </w:rPr>
        <w:t xml:space="preserve"> </w:t>
      </w:r>
      <w:r w:rsidR="00662A70">
        <w:rPr>
          <w:rFonts w:hint="cs"/>
          <w:rtl/>
        </w:rPr>
        <w:t xml:space="preserve">וחומר של אותו עצם. </w:t>
      </w:r>
      <w:r w:rsidR="007D61C2">
        <w:rPr>
          <w:rFonts w:hint="cs"/>
          <w:rtl/>
        </w:rPr>
        <w:t xml:space="preserve">ברופא צורת החומר של גופו היא צורת אדם שהיא 'חי מדבר', ומה שהוא יודע </w:t>
      </w:r>
      <w:r w:rsidR="00B41BA1">
        <w:rPr>
          <w:rFonts w:hint="cs"/>
          <w:rtl/>
        </w:rPr>
        <w:t>את מקצוע הרפואה זה לא מעצם צורתו כעצם, אלא מקרה בו.</w:t>
      </w:r>
    </w:p>
    <w:p w14:paraId="35ADCECC" w14:textId="77777777" w:rsidR="00432450" w:rsidRDefault="00502A92">
      <w:pPr>
        <w:pStyle w:val="FootnoteText"/>
        <w:rPr>
          <w:rtl/>
        </w:rPr>
      </w:pPr>
      <w:r>
        <w:rPr>
          <w:rFonts w:hint="cs"/>
          <w:rtl/>
        </w:rPr>
        <w:t xml:space="preserve">בעניין הרופא זו לשונו של אריסטו בפיסיקה ב' א' (בתרגום י. </w:t>
      </w:r>
      <w:r>
        <w:rPr>
          <w:rFonts w:hint="cs"/>
          <w:rtl/>
        </w:rPr>
        <w:t>לנדא)</w:t>
      </w:r>
      <w:r w:rsidR="00432450">
        <w:rPr>
          <w:rFonts w:hint="cs"/>
          <w:rtl/>
        </w:rPr>
        <w:t>:</w:t>
      </w:r>
    </w:p>
    <w:p w14:paraId="32FB5E47" w14:textId="75C5BB3A" w:rsidR="00502A92" w:rsidRDefault="00432450">
      <w:pPr>
        <w:pStyle w:val="FootnoteText"/>
      </w:pPr>
      <w:r>
        <w:rPr>
          <w:rFonts w:hint="cs"/>
          <w:rtl/>
        </w:rPr>
        <w:t xml:space="preserve">"בביטוי 'לא על פי המקרה' כוונתי שאדם, בהיותו רופא, </w:t>
      </w:r>
      <w:r w:rsidR="00800D4D">
        <w:rPr>
          <w:rFonts w:hint="cs"/>
          <w:rtl/>
        </w:rPr>
        <w:t xml:space="preserve">נעשה לסיבת הבריאות של עצמו. אך בכל זאת לא </w:t>
      </w:r>
      <w:r w:rsidR="00744316">
        <w:rPr>
          <w:rFonts w:hint="cs"/>
          <w:rtl/>
        </w:rPr>
        <w:t xml:space="preserve">בתור מי שמבריא הוא בעל מלאכת הרפואה, אלא נזדמן </w:t>
      </w:r>
      <w:r w:rsidR="00880E81">
        <w:rPr>
          <w:rFonts w:hint="cs"/>
          <w:rtl/>
        </w:rPr>
        <w:t>שאותו אדם עצמו יהיה רופא ומבריא</w:t>
      </w:r>
      <w:r w:rsidR="008D5FE6">
        <w:rPr>
          <w:rFonts w:hint="cs"/>
          <w:rtl/>
        </w:rPr>
        <w:t xml:space="preserve">. לכן הם גם נפרדים לעיתים זה מזה." </w:t>
      </w:r>
      <w:r w:rsidR="00744316">
        <w:rPr>
          <w:rFonts w:hint="cs"/>
          <w:rtl/>
        </w:rPr>
        <w:t xml:space="preserve"> </w:t>
      </w:r>
      <w:r w:rsidR="00502A92">
        <w:rPr>
          <w:rFonts w:hint="cs"/>
          <w:rtl/>
        </w:rPr>
        <w:t xml:space="preserve"> </w:t>
      </w:r>
    </w:p>
  </w:footnote>
  <w:footnote w:id="459">
    <w:p w14:paraId="30B3FCF3" w14:textId="0DAC4161" w:rsidR="00051077" w:rsidRDefault="00051077">
      <w:pPr>
        <w:pStyle w:val="FootnoteText"/>
        <w:rPr>
          <w:rtl/>
        </w:rPr>
      </w:pPr>
      <w:r>
        <w:rPr>
          <w:rStyle w:val="FootnoteReference"/>
        </w:rPr>
        <w:footnoteRef/>
      </w:r>
      <w:r>
        <w:rPr>
          <w:rtl/>
        </w:rPr>
        <w:t xml:space="preserve"> </w:t>
      </w:r>
      <w:r>
        <w:rPr>
          <w:rFonts w:hint="cs"/>
          <w:rtl/>
        </w:rPr>
        <w:t xml:space="preserve">דהיינו </w:t>
      </w:r>
      <w:r>
        <w:rPr>
          <w:rFonts w:hint="cs"/>
          <w:rtl/>
        </w:rPr>
        <w:t xml:space="preserve">פילופונוס והכוונה לתוספת שלו להגדרה של אריסטו מהו טבע, </w:t>
      </w:r>
      <w:r w:rsidR="0066443F">
        <w:rPr>
          <w:rFonts w:hint="cs"/>
          <w:rtl/>
        </w:rPr>
        <w:t xml:space="preserve">ולשונו </w:t>
      </w:r>
      <w:r>
        <w:rPr>
          <w:rFonts w:hint="cs"/>
          <w:rtl/>
        </w:rPr>
        <w:t>הו</w:t>
      </w:r>
      <w:r w:rsidR="0066443F">
        <w:rPr>
          <w:rFonts w:hint="cs"/>
          <w:rtl/>
        </w:rPr>
        <w:t>ב</w:t>
      </w:r>
      <w:r>
        <w:rPr>
          <w:rFonts w:hint="cs"/>
          <w:rtl/>
        </w:rPr>
        <w:t>א לעיל</w:t>
      </w:r>
      <w:r w:rsidR="0066443F">
        <w:rPr>
          <w:rFonts w:hint="cs"/>
          <w:rtl/>
        </w:rPr>
        <w:t xml:space="preserve"> 1.5.5 </w:t>
      </w:r>
      <w:r w:rsidR="009313D7">
        <w:rPr>
          <w:rFonts w:hint="cs"/>
          <w:rtl/>
        </w:rPr>
        <w:t>על ידי אבן סינא</w:t>
      </w:r>
      <w:r w:rsidR="00876154">
        <w:rPr>
          <w:rFonts w:hint="cs"/>
          <w:rtl/>
        </w:rPr>
        <w:t>, ועיין שם בהערות</w:t>
      </w:r>
      <w:r w:rsidR="0066443F">
        <w:rPr>
          <w:rFonts w:hint="cs"/>
          <w:rtl/>
        </w:rPr>
        <w:t>.</w:t>
      </w:r>
    </w:p>
    <w:p w14:paraId="7907313C" w14:textId="1A496D15" w:rsidR="006543F4" w:rsidRDefault="006543F4">
      <w:pPr>
        <w:pStyle w:val="FootnoteText"/>
        <w:rPr>
          <w:rtl/>
        </w:rPr>
      </w:pPr>
      <w:r>
        <w:rPr>
          <w:rFonts w:hint="cs"/>
          <w:rtl/>
        </w:rPr>
        <w:t>כאן עומד אבן סינא על הלשון של פילופונוס שה</w:t>
      </w:r>
      <w:r w:rsidR="00461D26">
        <w:rPr>
          <w:rFonts w:hint="cs"/>
          <w:rtl/>
        </w:rPr>
        <w:t xml:space="preserve">וסיף כמה מילים להגדרת הטבע של אריסטו. </w:t>
      </w:r>
      <w:r w:rsidR="009313D7">
        <w:rPr>
          <w:rFonts w:hint="cs"/>
          <w:rtl/>
        </w:rPr>
        <w:t>ואני מעתיק שוב</w:t>
      </w:r>
      <w:r w:rsidR="00876154">
        <w:rPr>
          <w:rFonts w:hint="cs"/>
          <w:rtl/>
        </w:rPr>
        <w:t xml:space="preserve"> את ההגדרה עם תוספת התיקון של פילופונוס</w:t>
      </w:r>
      <w:r w:rsidR="009313D7">
        <w:rPr>
          <w:rFonts w:hint="cs"/>
          <w:rtl/>
        </w:rPr>
        <w:t>:</w:t>
      </w:r>
    </w:p>
    <w:p w14:paraId="7A0DBA9A" w14:textId="4D800126" w:rsidR="00876154" w:rsidRDefault="00876154">
      <w:pPr>
        <w:pStyle w:val="FootnoteText"/>
      </w:pPr>
      <w:r>
        <w:rPr>
          <w:rFonts w:hint="cs"/>
          <w:rtl/>
        </w:rPr>
        <w:t>"</w:t>
      </w:r>
      <w:r w:rsidRPr="00876154">
        <w:rPr>
          <w:rtl/>
        </w:rPr>
        <w:t>הטבע הוא כח שנמצא בגשמים ומספק את הצורות והבריאה, [עד כאן לשון התוספת של פילופונוס ומכאן הוא לשון אריסטו] שהוא התחלה וסיבה של היות נע והיות נח הנמצאת בדבר באופן ראשוני וכשלעצמו ולא על פי המקרה.</w:t>
      </w:r>
      <w:r>
        <w:rPr>
          <w:rFonts w:hint="cs"/>
          <w:rtl/>
        </w:rPr>
        <w:t>"</w:t>
      </w:r>
    </w:p>
  </w:footnote>
  <w:footnote w:id="460">
    <w:p w14:paraId="6D827336" w14:textId="77777777" w:rsidR="006D50B1" w:rsidRDefault="00687DDC">
      <w:pPr>
        <w:pStyle w:val="FootnoteText"/>
        <w:rPr>
          <w:rtl/>
        </w:rPr>
      </w:pPr>
      <w:r>
        <w:rPr>
          <w:rStyle w:val="FootnoteReference"/>
        </w:rPr>
        <w:footnoteRef/>
      </w:r>
      <w:r>
        <w:rPr>
          <w:rtl/>
        </w:rPr>
        <w:t xml:space="preserve"> </w:t>
      </w:r>
      <w:r>
        <w:rPr>
          <w:rFonts w:hint="cs"/>
          <w:rtl/>
        </w:rPr>
        <w:t>התחלת התנועה שהיא ההגדרה של אריסטו לטבע, הכוונה</w:t>
      </w:r>
      <w:r w:rsidR="00660780">
        <w:rPr>
          <w:rFonts w:hint="cs"/>
          <w:rtl/>
        </w:rPr>
        <w:t xml:space="preserve"> בה</w:t>
      </w:r>
      <w:r>
        <w:rPr>
          <w:rFonts w:hint="cs"/>
          <w:rtl/>
        </w:rPr>
        <w:t xml:space="preserve"> </w:t>
      </w:r>
      <w:r w:rsidR="00660780">
        <w:rPr>
          <w:rFonts w:hint="cs"/>
          <w:rtl/>
        </w:rPr>
        <w:t>ש</w:t>
      </w:r>
      <w:r>
        <w:rPr>
          <w:rFonts w:hint="cs"/>
          <w:rtl/>
        </w:rPr>
        <w:t xml:space="preserve">היא תנועה </w:t>
      </w:r>
      <w:r w:rsidR="00B87E8D">
        <w:rPr>
          <w:rFonts w:hint="cs"/>
          <w:rtl/>
        </w:rPr>
        <w:t xml:space="preserve">מאחר בתוך אחר כאחר, כלומר המניע מניע </w:t>
      </w:r>
      <w:r w:rsidR="00582A66">
        <w:rPr>
          <w:rFonts w:hint="cs"/>
          <w:rtl/>
        </w:rPr>
        <w:t xml:space="preserve">בתוך משהו שונה ממנו, והוא מניע בתוכו כמשהו אחר ממנו. כלומר </w:t>
      </w:r>
      <w:r w:rsidR="00582A66">
        <w:rPr>
          <w:rFonts w:hint="cs"/>
          <w:rtl/>
        </w:rPr>
        <w:t>הכח הטבעי שבגללו האבן נופלת למטה, הוא אחר מהאבן, הוא פועל בתוך האבן</w:t>
      </w:r>
      <w:r w:rsidR="00F9065F">
        <w:rPr>
          <w:rFonts w:hint="cs"/>
          <w:rtl/>
        </w:rPr>
        <w:t xml:space="preserve"> שהיא אחרה ממנו,</w:t>
      </w:r>
      <w:r w:rsidR="00582A66">
        <w:rPr>
          <w:rFonts w:hint="cs"/>
          <w:rtl/>
        </w:rPr>
        <w:t xml:space="preserve"> והוא </w:t>
      </w:r>
      <w:r w:rsidR="00F9065F">
        <w:rPr>
          <w:rFonts w:hint="cs"/>
          <w:rtl/>
        </w:rPr>
        <w:t xml:space="preserve">פועל בתוך האבן כמשהו שהוא </w:t>
      </w:r>
      <w:r w:rsidR="00582A66">
        <w:rPr>
          <w:rFonts w:hint="cs"/>
          <w:rtl/>
        </w:rPr>
        <w:t>אחר ממנה</w:t>
      </w:r>
      <w:r w:rsidR="00F9065F">
        <w:rPr>
          <w:rFonts w:hint="cs"/>
          <w:rtl/>
        </w:rPr>
        <w:t>.</w:t>
      </w:r>
    </w:p>
    <w:p w14:paraId="1C4DAE65" w14:textId="77777777" w:rsidR="00CA04E3" w:rsidRDefault="00804379">
      <w:pPr>
        <w:pStyle w:val="FootnoteText"/>
        <w:rPr>
          <w:rtl/>
        </w:rPr>
      </w:pPr>
      <w:r>
        <w:rPr>
          <w:rFonts w:hint="cs"/>
          <w:rtl/>
        </w:rPr>
        <w:t xml:space="preserve">האחרות שאבן סינא מדגיש כאן, היא נגד מה שהוא הבין מפילופונוס שרוצה לאחד את הגוף החומרי עם הכח הרוחני, </w:t>
      </w:r>
      <w:r w:rsidR="006D50B1">
        <w:rPr>
          <w:rFonts w:hint="cs"/>
          <w:rtl/>
        </w:rPr>
        <w:t xml:space="preserve">ולהכחיש את המציאות הגמורה המוצקה של החומר, </w:t>
      </w:r>
      <w:r w:rsidR="00CA04E3">
        <w:rPr>
          <w:rFonts w:hint="cs"/>
          <w:rtl/>
        </w:rPr>
        <w:t>על ידי התעלמות</w:t>
      </w:r>
      <w:r>
        <w:rPr>
          <w:rFonts w:hint="cs"/>
          <w:rtl/>
        </w:rPr>
        <w:t xml:space="preserve"> מקיומו הנבדל הגמור של העצם החומרי. </w:t>
      </w:r>
    </w:p>
    <w:p w14:paraId="4F535706" w14:textId="0A074BBD" w:rsidR="00687DDC" w:rsidRDefault="002E7119">
      <w:pPr>
        <w:pStyle w:val="FootnoteText"/>
      </w:pPr>
      <w:r>
        <w:rPr>
          <w:rFonts w:hint="cs"/>
          <w:rtl/>
        </w:rPr>
        <w:t>הכח המניע בתוך האבן ביחס לכוח שדוחף מבחוץ מוגדר דווקא כ'לא אחר', אלא נמצא באבן מצד מהותה ומניע אותה באופן ראשוני</w:t>
      </w:r>
      <w:r w:rsidR="00CA04E3">
        <w:rPr>
          <w:rFonts w:hint="cs"/>
          <w:rtl/>
        </w:rPr>
        <w:t>,</w:t>
      </w:r>
      <w:r>
        <w:rPr>
          <w:rFonts w:hint="cs"/>
          <w:rtl/>
        </w:rPr>
        <w:t xml:space="preserve"> ללא אמצעי</w:t>
      </w:r>
      <w:r w:rsidR="002A5E06">
        <w:rPr>
          <w:rFonts w:hint="cs"/>
          <w:rtl/>
        </w:rPr>
        <w:t>,</w:t>
      </w:r>
      <w:r>
        <w:rPr>
          <w:rFonts w:hint="cs"/>
          <w:rtl/>
        </w:rPr>
        <w:t xml:space="preserve"> </w:t>
      </w:r>
      <w:r w:rsidR="002A5E06">
        <w:rPr>
          <w:rFonts w:hint="cs"/>
          <w:rtl/>
        </w:rPr>
        <w:t xml:space="preserve">דהיינו האבן לא מונעת על ידי כח אחר אלא </w:t>
      </w:r>
      <w:r w:rsidR="00195D16">
        <w:rPr>
          <w:rFonts w:hint="cs"/>
          <w:rtl/>
        </w:rPr>
        <w:t xml:space="preserve">מונעת בעצמה </w:t>
      </w:r>
      <w:r w:rsidR="002A5E06">
        <w:rPr>
          <w:rFonts w:hint="cs"/>
          <w:rtl/>
        </w:rPr>
        <w:t xml:space="preserve">על ידי טבעה שלה המהותי. </w:t>
      </w:r>
      <w:r w:rsidR="00CA04E3">
        <w:rPr>
          <w:rFonts w:hint="cs"/>
          <w:rtl/>
        </w:rPr>
        <w:t>ועל רקע זה אבן סינא מדגיש</w:t>
      </w:r>
      <w:r w:rsidR="00195D16">
        <w:rPr>
          <w:rFonts w:hint="cs"/>
          <w:rtl/>
        </w:rPr>
        <w:t xml:space="preserve"> </w:t>
      </w:r>
      <w:r w:rsidR="00CA04E3">
        <w:rPr>
          <w:rFonts w:hint="cs"/>
          <w:rtl/>
        </w:rPr>
        <w:t>ש</w:t>
      </w:r>
      <w:r w:rsidR="00195D16">
        <w:rPr>
          <w:rFonts w:hint="cs"/>
          <w:rtl/>
        </w:rPr>
        <w:t xml:space="preserve">עדיין נשארת ההבחנה בין גוף האבן החומרי והכח שהוא יישות מופשטת, ומבחינה זו הכח והאבן אחרים זה לזה. </w:t>
      </w:r>
    </w:p>
  </w:footnote>
  <w:footnote w:id="461">
    <w:p w14:paraId="2430FA69" w14:textId="672FAF1D" w:rsidR="00DB56DA" w:rsidRDefault="00D51897" w:rsidP="00DB56DA">
      <w:pPr>
        <w:pStyle w:val="FootnoteText"/>
      </w:pPr>
      <w:r>
        <w:rPr>
          <w:rStyle w:val="FootnoteReference"/>
        </w:rPr>
        <w:footnoteRef/>
      </w:r>
      <w:r>
        <w:rPr>
          <w:rtl/>
        </w:rPr>
        <w:t xml:space="preserve"> </w:t>
      </w:r>
      <w:r w:rsidR="009C4EBD">
        <w:rPr>
          <w:rFonts w:hint="cs"/>
          <w:rtl/>
        </w:rPr>
        <w:t>אני מעתיק שוב את לשון אריסטו בפיזיקה ב' א'</w:t>
      </w:r>
      <w:r w:rsidR="00DF443D">
        <w:rPr>
          <w:rFonts w:hint="cs"/>
          <w:rtl/>
        </w:rPr>
        <w:t>:</w:t>
      </w:r>
      <w:r w:rsidR="009C4EBD">
        <w:rPr>
          <w:rFonts w:hint="cs"/>
          <w:rtl/>
        </w:rPr>
        <w:t xml:space="preserve"> </w:t>
      </w:r>
      <w:r w:rsidR="009C4EBD" w:rsidRPr="009C4EBD">
        <w:rPr>
          <w:rtl/>
        </w:rPr>
        <w:t xml:space="preserve">"מאחר שאין הטבע אלא איזו </w:t>
      </w:r>
      <w:bookmarkStart w:id="224" w:name="_Hlk103076805"/>
      <w:r w:rsidR="009C4EBD" w:rsidRPr="009C4EBD">
        <w:rPr>
          <w:rtl/>
        </w:rPr>
        <w:t>התחלה</w:t>
      </w:r>
      <w:bookmarkStart w:id="225" w:name="_Hlk103076710"/>
      <w:r w:rsidR="009C4EBD" w:rsidRPr="009C4EBD">
        <w:rPr>
          <w:rtl/>
        </w:rPr>
        <w:t xml:space="preserve"> וסיבה של היות נע והיות נח </w:t>
      </w:r>
      <w:r w:rsidR="009C4EBD" w:rsidRPr="00A82EDF">
        <w:rPr>
          <w:b/>
          <w:bCs/>
          <w:rtl/>
        </w:rPr>
        <w:t>הנמצאת</w:t>
      </w:r>
      <w:r w:rsidR="009C4EBD" w:rsidRPr="009C4EBD">
        <w:rPr>
          <w:rtl/>
        </w:rPr>
        <w:t xml:space="preserve"> בדבר באופן ראשוני וכשלעצמו ולא על פי המקרה</w:t>
      </w:r>
      <w:bookmarkEnd w:id="225"/>
      <w:r w:rsidR="009C4EBD" w:rsidRPr="009C4EBD">
        <w:rPr>
          <w:rtl/>
        </w:rPr>
        <w:t>.</w:t>
      </w:r>
      <w:bookmarkEnd w:id="224"/>
      <w:r w:rsidR="009C4EBD" w:rsidRPr="009C4EBD">
        <w:rPr>
          <w:rtl/>
        </w:rPr>
        <w:t>"</w:t>
      </w:r>
    </w:p>
    <w:p w14:paraId="2CDA6CBA" w14:textId="130F6C84" w:rsidR="00DB56DA" w:rsidRPr="00A56045" w:rsidRDefault="00DB56DA" w:rsidP="00DB56DA">
      <w:pPr>
        <w:pStyle w:val="FootnoteText"/>
        <w:rPr>
          <w:rFonts w:asciiTheme="majorBidi" w:hAnsiTheme="majorBidi" w:cstheme="majorBidi"/>
          <w:rtl/>
        </w:rPr>
      </w:pPr>
      <w:r>
        <w:rPr>
          <w:rFonts w:hint="cs"/>
          <w:rtl/>
        </w:rPr>
        <w:t>ובמקור היווני של אריסטו:</w:t>
      </w:r>
    </w:p>
    <w:p w14:paraId="0BC6C2CD" w14:textId="3F8FB498" w:rsidR="002C346E" w:rsidRPr="00E10034" w:rsidRDefault="00DB56DA" w:rsidP="00E10034">
      <w:pPr>
        <w:pStyle w:val="FootnoteText"/>
        <w:bidi w:val="0"/>
        <w:rPr>
          <w:rFonts w:asciiTheme="majorBidi" w:hAnsiTheme="majorBidi" w:cstheme="majorBidi"/>
          <w:rtl/>
        </w:rPr>
      </w:pPr>
      <w:r w:rsidRPr="00961565">
        <w:rPr>
          <w:rFonts w:asciiTheme="majorBidi" w:hAnsiTheme="majorBidi" w:cstheme="majorBidi"/>
          <w:rtl/>
        </w:rPr>
        <w:t>"</w:t>
      </w:r>
      <w:r w:rsidR="00961565" w:rsidRPr="00961565">
        <w:rPr>
          <w:rFonts w:asciiTheme="majorBidi" w:hAnsiTheme="majorBidi" w:cstheme="majorBidi"/>
        </w:rPr>
        <w:t xml:space="preserve">ὡς οὔσης τῆς φύσεως ἀρχῆς τινὸς καὶ αἰτίας τοῦ κινεῖσθαι καὶ ἠρεμεῖν ἐν ᾧ </w:t>
      </w:r>
      <w:bookmarkStart w:id="226" w:name="_Hlk103077745"/>
      <w:r w:rsidR="00961565" w:rsidRPr="00E23DF6">
        <w:rPr>
          <w:rFonts w:asciiTheme="majorBidi" w:hAnsiTheme="majorBidi" w:cstheme="majorBidi"/>
        </w:rPr>
        <w:t xml:space="preserve">ὑπάρχει </w:t>
      </w:r>
      <w:bookmarkEnd w:id="226"/>
      <w:r w:rsidR="00961565" w:rsidRPr="00961565">
        <w:rPr>
          <w:rFonts w:asciiTheme="majorBidi" w:hAnsiTheme="majorBidi" w:cstheme="majorBidi"/>
        </w:rPr>
        <w:t>πρώτως καθ' αὑτὸ καὶ μὴ κατὰ συμβεβηκός</w:t>
      </w:r>
      <w:r w:rsidRPr="00961565">
        <w:rPr>
          <w:rFonts w:asciiTheme="majorBidi" w:hAnsiTheme="majorBidi" w:cstheme="majorBidi"/>
          <w:rtl/>
        </w:rPr>
        <w:t>"</w:t>
      </w:r>
    </w:p>
    <w:p w14:paraId="29298A08" w14:textId="2D3A1A9A" w:rsidR="002C346E" w:rsidRDefault="002C346E">
      <w:pPr>
        <w:pStyle w:val="FootnoteText"/>
        <w:rPr>
          <w:rtl/>
        </w:rPr>
      </w:pPr>
      <w:r>
        <w:rPr>
          <w:rFonts w:hint="cs"/>
          <w:rtl/>
        </w:rPr>
        <w:t>כאן אבן סינא מפרש את התוספת שהוסיף פילופונוס על ההגדרה של אריסטו.</w:t>
      </w:r>
    </w:p>
    <w:p w14:paraId="1933BF55" w14:textId="6E1B58DE" w:rsidR="002C346E" w:rsidRDefault="002C346E">
      <w:pPr>
        <w:pStyle w:val="FootnoteText"/>
        <w:rPr>
          <w:rtl/>
        </w:rPr>
      </w:pPr>
      <w:r>
        <w:rPr>
          <w:rFonts w:hint="cs"/>
          <w:rtl/>
        </w:rPr>
        <w:t>לשון פילופונוס</w:t>
      </w:r>
      <w:r w:rsidR="000A0DE9">
        <w:rPr>
          <w:rFonts w:hint="cs"/>
          <w:rtl/>
        </w:rPr>
        <w:t xml:space="preserve"> </w:t>
      </w:r>
      <w:r w:rsidR="00E10034">
        <w:rPr>
          <w:rFonts w:hint="cs"/>
          <w:rtl/>
        </w:rPr>
        <w:t xml:space="preserve">בניסוח ההגדרה המתוקנת של אריסטו </w:t>
      </w:r>
      <w:r w:rsidR="000A0DE9">
        <w:rPr>
          <w:rFonts w:hint="cs"/>
          <w:rtl/>
        </w:rPr>
        <w:t>(לעיל 1.5.5 הב</w:t>
      </w:r>
      <w:r w:rsidR="00F26A41">
        <w:rPr>
          <w:rFonts w:hint="cs"/>
          <w:rtl/>
        </w:rPr>
        <w:t xml:space="preserve">יא אותה אבן סינא </w:t>
      </w:r>
      <w:r w:rsidR="000A0DE9">
        <w:rPr>
          <w:rFonts w:hint="cs"/>
          <w:rtl/>
        </w:rPr>
        <w:t>ו</w:t>
      </w:r>
      <w:r w:rsidR="009C239E">
        <w:rPr>
          <w:rFonts w:hint="cs"/>
          <w:rtl/>
        </w:rPr>
        <w:t>עיין שם בהערות)</w:t>
      </w:r>
      <w:r>
        <w:rPr>
          <w:rFonts w:hint="cs"/>
          <w:rtl/>
        </w:rPr>
        <w:t>:</w:t>
      </w:r>
    </w:p>
    <w:p w14:paraId="36434309" w14:textId="15439331" w:rsidR="002C346E" w:rsidRDefault="002C346E">
      <w:pPr>
        <w:pStyle w:val="FootnoteText"/>
        <w:rPr>
          <w:rtl/>
        </w:rPr>
      </w:pPr>
      <w:bookmarkStart w:id="227" w:name="_Hlk103100043"/>
      <w:r>
        <w:rPr>
          <w:rFonts w:hint="cs"/>
          <w:rtl/>
        </w:rPr>
        <w:t>"</w:t>
      </w:r>
      <w:bookmarkStart w:id="228" w:name="_Hlk103077069"/>
      <w:r w:rsidR="00C17775" w:rsidRPr="00501B11">
        <w:rPr>
          <w:b/>
          <w:bCs/>
          <w:rtl/>
        </w:rPr>
        <w:t>הטבע הוא כח שנמצ</w:t>
      </w:r>
      <w:r w:rsidR="00C17775" w:rsidRPr="00501B11">
        <w:rPr>
          <w:rFonts w:hint="cs"/>
          <w:b/>
          <w:bCs/>
          <w:rtl/>
        </w:rPr>
        <w:t xml:space="preserve">א </w:t>
      </w:r>
      <w:r w:rsidR="00C17775" w:rsidRPr="00501B11">
        <w:rPr>
          <w:b/>
          <w:bCs/>
          <w:rtl/>
        </w:rPr>
        <w:t>בג</w:t>
      </w:r>
      <w:r w:rsidR="00461D26">
        <w:rPr>
          <w:rFonts w:hint="cs"/>
          <w:b/>
          <w:bCs/>
          <w:rtl/>
        </w:rPr>
        <w:t>ופ</w:t>
      </w:r>
      <w:r w:rsidR="00C17775" w:rsidRPr="00501B11">
        <w:rPr>
          <w:b/>
          <w:bCs/>
          <w:rtl/>
        </w:rPr>
        <w:t>ים ומספק את הצורות והבריא</w:t>
      </w:r>
      <w:r w:rsidR="000A0DE9" w:rsidRPr="00501B11">
        <w:rPr>
          <w:rFonts w:hint="cs"/>
          <w:b/>
          <w:bCs/>
          <w:rtl/>
        </w:rPr>
        <w:t>ה,</w:t>
      </w:r>
      <w:r w:rsidR="000A0DE9">
        <w:rPr>
          <w:rFonts w:hint="cs"/>
          <w:rtl/>
        </w:rPr>
        <w:t xml:space="preserve"> </w:t>
      </w:r>
      <w:r w:rsidR="00D74763">
        <w:rPr>
          <w:rFonts w:hint="cs"/>
          <w:rtl/>
        </w:rPr>
        <w:t xml:space="preserve">[עד כאן </w:t>
      </w:r>
      <w:r w:rsidR="00501B11">
        <w:rPr>
          <w:rFonts w:hint="cs"/>
          <w:rtl/>
        </w:rPr>
        <w:t>לשו</w:t>
      </w:r>
      <w:r w:rsidR="00F26A41">
        <w:rPr>
          <w:rFonts w:hint="cs"/>
          <w:rtl/>
        </w:rPr>
        <w:t>ן</w:t>
      </w:r>
      <w:r w:rsidR="00501B11">
        <w:rPr>
          <w:rFonts w:hint="cs"/>
          <w:rtl/>
        </w:rPr>
        <w:t xml:space="preserve"> </w:t>
      </w:r>
      <w:r w:rsidR="00D74763">
        <w:rPr>
          <w:rFonts w:hint="cs"/>
          <w:rtl/>
        </w:rPr>
        <w:t xml:space="preserve">התוספת של פילופונוס ומכאן הוא לשון אריסטו] </w:t>
      </w:r>
      <w:r w:rsidR="00501B11">
        <w:rPr>
          <w:rFonts w:hint="cs"/>
          <w:rtl/>
        </w:rPr>
        <w:t xml:space="preserve">שהוא </w:t>
      </w:r>
      <w:r w:rsidR="00501B11" w:rsidRPr="00501B11">
        <w:rPr>
          <w:rtl/>
        </w:rPr>
        <w:t>התחלה וסיבה של היות נע והיות נח הנמצאת בדבר באופן ראשוני וכשלעצמו ולא על פי המקרה.</w:t>
      </w:r>
      <w:r w:rsidR="0060315D">
        <w:rPr>
          <w:rFonts w:hint="cs"/>
          <w:rtl/>
        </w:rPr>
        <w:t>"</w:t>
      </w:r>
      <w:bookmarkEnd w:id="228"/>
    </w:p>
    <w:bookmarkEnd w:id="227"/>
    <w:p w14:paraId="781CE2F9" w14:textId="3EE07007" w:rsidR="0060315D" w:rsidRDefault="0060315D">
      <w:pPr>
        <w:pStyle w:val="FootnoteText"/>
        <w:rPr>
          <w:rtl/>
        </w:rPr>
      </w:pPr>
      <w:r>
        <w:rPr>
          <w:rFonts w:hint="cs"/>
          <w:rtl/>
        </w:rPr>
        <w:t>בהגדרה השלמה</w:t>
      </w:r>
      <w:r w:rsidR="00F26A41">
        <w:rPr>
          <w:rFonts w:hint="cs"/>
          <w:rtl/>
        </w:rPr>
        <w:t>,</w:t>
      </w:r>
      <w:r>
        <w:rPr>
          <w:rFonts w:hint="cs"/>
          <w:rtl/>
        </w:rPr>
        <w:t xml:space="preserve"> אחרי התוספת של פילופונוס</w:t>
      </w:r>
      <w:r w:rsidR="00F26A41">
        <w:rPr>
          <w:rFonts w:hint="cs"/>
          <w:rtl/>
        </w:rPr>
        <w:t>,</w:t>
      </w:r>
      <w:r>
        <w:rPr>
          <w:rFonts w:hint="cs"/>
          <w:rtl/>
        </w:rPr>
        <w:t xml:space="preserve"> המילה 'נמצא' מופיעה פעמיים</w:t>
      </w:r>
      <w:r w:rsidR="00AC1366">
        <w:rPr>
          <w:rFonts w:hint="cs"/>
          <w:rtl/>
        </w:rPr>
        <w:t xml:space="preserve"> </w:t>
      </w:r>
      <w:r w:rsidR="00C53C35">
        <w:rPr>
          <w:rtl/>
        </w:rPr>
        <w:t>–</w:t>
      </w:r>
      <w:r w:rsidR="00AC1366">
        <w:rPr>
          <w:rFonts w:hint="cs"/>
          <w:rtl/>
        </w:rPr>
        <w:t xml:space="preserve"> </w:t>
      </w:r>
      <w:r w:rsidR="00C53C35">
        <w:rPr>
          <w:rFonts w:hint="cs"/>
          <w:rtl/>
        </w:rPr>
        <w:t>"</w:t>
      </w:r>
      <w:r w:rsidR="00C53C35" w:rsidRPr="00C53C35">
        <w:rPr>
          <w:rtl/>
        </w:rPr>
        <w:t xml:space="preserve">הטבע הוא כח </w:t>
      </w:r>
      <w:bookmarkStart w:id="229" w:name="_Hlk103077107"/>
      <w:r w:rsidR="00F84D0B" w:rsidRPr="00806AEF">
        <w:rPr>
          <w:rFonts w:hint="cs"/>
          <w:u w:val="single"/>
          <w:rtl/>
        </w:rPr>
        <w:t xml:space="preserve">(1) </w:t>
      </w:r>
      <w:r w:rsidR="00C53C35" w:rsidRPr="00806AEF">
        <w:rPr>
          <w:b/>
          <w:bCs/>
          <w:u w:val="single"/>
          <w:rtl/>
        </w:rPr>
        <w:t>שנמצא</w:t>
      </w:r>
      <w:bookmarkEnd w:id="229"/>
      <w:r w:rsidR="00C53C35" w:rsidRPr="00C53C35">
        <w:rPr>
          <w:rtl/>
        </w:rPr>
        <w:t xml:space="preserve"> בגשמים ומספק את הצורות והבריאה, [עד כאן לשום התוספת של פילופונוס ומכאן הוא לשון אריסטו] שהוא התחלה וסיבה של היות נע והיות נח </w:t>
      </w:r>
      <w:r w:rsidR="00806AEF" w:rsidRPr="00806AEF">
        <w:rPr>
          <w:rFonts w:hint="cs"/>
          <w:u w:val="single"/>
          <w:rtl/>
        </w:rPr>
        <w:t xml:space="preserve">(2) </w:t>
      </w:r>
      <w:r w:rsidR="00C53C35" w:rsidRPr="00806AEF">
        <w:rPr>
          <w:u w:val="single"/>
          <w:rtl/>
        </w:rPr>
        <w:t>הנמצאת</w:t>
      </w:r>
      <w:r w:rsidR="00C53C35" w:rsidRPr="00C53C35">
        <w:rPr>
          <w:rtl/>
        </w:rPr>
        <w:t xml:space="preserve"> בדבר באופן ראשוני וכשלעצמו ולא על פי המקרה."</w:t>
      </w:r>
      <w:r>
        <w:rPr>
          <w:rFonts w:hint="cs"/>
          <w:rtl/>
        </w:rPr>
        <w:t xml:space="preserve"> </w:t>
      </w:r>
    </w:p>
    <w:p w14:paraId="7EF408BF" w14:textId="1648CF7A" w:rsidR="002127D5" w:rsidRDefault="00290F49">
      <w:pPr>
        <w:pStyle w:val="FootnoteText"/>
        <w:rPr>
          <w:rtl/>
        </w:rPr>
      </w:pPr>
      <w:r>
        <w:rPr>
          <w:rFonts w:hint="cs"/>
          <w:rtl/>
        </w:rPr>
        <w:t>ה</w:t>
      </w:r>
      <w:r w:rsidR="008245D8">
        <w:rPr>
          <w:rFonts w:hint="cs"/>
          <w:rtl/>
        </w:rPr>
        <w:t xml:space="preserve">פעם השנייה שמופיעה המילה </w:t>
      </w:r>
      <w:r w:rsidR="00C33CC5">
        <w:rPr>
          <w:rFonts w:hint="cs"/>
          <w:rtl/>
        </w:rPr>
        <w:t>'</w:t>
      </w:r>
      <w:r w:rsidR="008245D8">
        <w:rPr>
          <w:rFonts w:hint="cs"/>
          <w:rtl/>
        </w:rPr>
        <w:t>נמצא</w:t>
      </w:r>
      <w:r w:rsidR="00C33CC5">
        <w:rPr>
          <w:rFonts w:hint="cs"/>
          <w:rtl/>
        </w:rPr>
        <w:t>' (בצורה "הנמצאת")</w:t>
      </w:r>
      <w:r w:rsidR="008245D8">
        <w:rPr>
          <w:rFonts w:hint="cs"/>
          <w:rtl/>
        </w:rPr>
        <w:t xml:space="preserve">, שהיא מלשון אריסטו, </w:t>
      </w:r>
      <w:r w:rsidR="00C33CC5">
        <w:rPr>
          <w:rFonts w:hint="cs"/>
          <w:rtl/>
        </w:rPr>
        <w:t xml:space="preserve">במקור היווני של אריסטו היא </w:t>
      </w:r>
      <w:r w:rsidR="00EA5903">
        <w:rPr>
          <w:rFonts w:hint="cs"/>
          <w:rtl/>
        </w:rPr>
        <w:t>המילה</w:t>
      </w:r>
      <w:r w:rsidRPr="003754C6">
        <w:rPr>
          <w:rFonts w:asciiTheme="majorBidi" w:hAnsiTheme="majorBidi" w:cstheme="majorBidi"/>
          <w:rtl/>
        </w:rPr>
        <w:t xml:space="preserve"> </w:t>
      </w:r>
      <w:r w:rsidR="00E23DF6" w:rsidRPr="003754C6">
        <w:rPr>
          <w:rFonts w:asciiTheme="majorBidi" w:hAnsiTheme="majorBidi" w:cstheme="majorBidi"/>
        </w:rPr>
        <w:t>ὑπάρχει</w:t>
      </w:r>
      <w:r w:rsidR="00E23DF6">
        <w:rPr>
          <w:rFonts w:hint="cs"/>
          <w:rtl/>
        </w:rPr>
        <w:t xml:space="preserve">, והמובן שלה הוא להימצא במובן הפשוט השגרתי. </w:t>
      </w:r>
      <w:r w:rsidR="003754C6">
        <w:rPr>
          <w:rFonts w:hint="cs"/>
          <w:rtl/>
        </w:rPr>
        <w:t xml:space="preserve">במקור היווני של פילופונוס, </w:t>
      </w:r>
      <w:r w:rsidR="00E37587">
        <w:rPr>
          <w:rFonts w:hint="cs"/>
          <w:rtl/>
        </w:rPr>
        <w:t>ב</w:t>
      </w:r>
      <w:r w:rsidR="003754C6">
        <w:rPr>
          <w:rFonts w:hint="cs"/>
          <w:rtl/>
        </w:rPr>
        <w:t xml:space="preserve">פעם הראשונה שמופיעה המילה 'נמצא', </w:t>
      </w:r>
      <w:r w:rsidR="00A45EC5">
        <w:rPr>
          <w:rFonts w:hint="cs"/>
          <w:rtl/>
        </w:rPr>
        <w:t>שהיא מהתוספת של פילופונוס, המיל</w:t>
      </w:r>
      <w:r w:rsidR="007B2A58">
        <w:rPr>
          <w:rFonts w:hint="cs"/>
          <w:rtl/>
        </w:rPr>
        <w:t>ה</w:t>
      </w:r>
      <w:r w:rsidR="00A45EC5">
        <w:rPr>
          <w:rFonts w:hint="cs"/>
          <w:rtl/>
        </w:rPr>
        <w:t xml:space="preserve"> היוונית שהשתמש בה</w:t>
      </w:r>
      <w:r w:rsidR="007B2A58">
        <w:rPr>
          <w:rFonts w:hint="cs"/>
          <w:rtl/>
        </w:rPr>
        <w:t xml:space="preserve"> פילופונוס </w:t>
      </w:r>
      <w:r w:rsidR="00A45EC5">
        <w:rPr>
          <w:rFonts w:hint="cs"/>
          <w:rtl/>
        </w:rPr>
        <w:t>אינה אותה מילה יוונית ש</w:t>
      </w:r>
      <w:r w:rsidR="00E37587">
        <w:rPr>
          <w:rFonts w:hint="cs"/>
          <w:rtl/>
        </w:rPr>
        <w:t>השתמש בה</w:t>
      </w:r>
      <w:r w:rsidR="007B2A58">
        <w:rPr>
          <w:rFonts w:hint="cs"/>
          <w:rtl/>
        </w:rPr>
        <w:t xml:space="preserve"> אריסטו כתרגום השגור של 'נמצא', </w:t>
      </w:r>
      <w:r w:rsidR="00E37587">
        <w:rPr>
          <w:rFonts w:hint="cs"/>
          <w:rtl/>
        </w:rPr>
        <w:t>אלא</w:t>
      </w:r>
      <w:r w:rsidR="00D27241">
        <w:rPr>
          <w:rFonts w:hint="cs"/>
          <w:rtl/>
        </w:rPr>
        <w:t xml:space="preserve"> </w:t>
      </w:r>
      <w:r w:rsidR="00E37587">
        <w:rPr>
          <w:rFonts w:hint="cs"/>
          <w:rtl/>
        </w:rPr>
        <w:t xml:space="preserve">בפעם הראשונה </w:t>
      </w:r>
      <w:r w:rsidR="00D27241">
        <w:rPr>
          <w:rFonts w:hint="cs"/>
          <w:rtl/>
        </w:rPr>
        <w:t>פילופונוס לא כתב 'נמצא' במובן השגור אלא כתב מילה יוונית</w:t>
      </w:r>
      <w:r w:rsidR="003F3D8F">
        <w:rPr>
          <w:rFonts w:hint="cs"/>
          <w:rtl/>
        </w:rPr>
        <w:t xml:space="preserve"> אחרת</w:t>
      </w:r>
      <w:r w:rsidR="004F51E7">
        <w:rPr>
          <w:rFonts w:hint="cs"/>
          <w:rtl/>
        </w:rPr>
        <w:t xml:space="preserve"> (</w:t>
      </w:r>
      <w:r w:rsidR="004F51E7" w:rsidRPr="00610B20">
        <w:rPr>
          <w:rFonts w:asciiTheme="majorBidi" w:hAnsiTheme="majorBidi" w:cstheme="majorBidi"/>
        </w:rPr>
        <w:t>χαταδεδυχυια</w:t>
      </w:r>
      <w:r w:rsidR="004F51E7">
        <w:rPr>
          <w:rFonts w:hint="cs"/>
          <w:rtl/>
        </w:rPr>
        <w:t>) שהמובן המילולי שלה הוא לצלול, והכוונה</w:t>
      </w:r>
      <w:r w:rsidR="00610B20">
        <w:rPr>
          <w:rFonts w:hint="cs"/>
          <w:rtl/>
        </w:rPr>
        <w:t xml:space="preserve"> לפי </w:t>
      </w:r>
      <w:r w:rsidR="00227579">
        <w:rPr>
          <w:rFonts w:hint="cs"/>
          <w:rtl/>
        </w:rPr>
        <w:t>ד"ר מיכאל וייכנהאן</w:t>
      </w:r>
      <w:r w:rsidR="004F51E7">
        <w:rPr>
          <w:rFonts w:hint="cs"/>
          <w:rtl/>
        </w:rPr>
        <w:t xml:space="preserve"> שהכח כמו צולל בגופים, כלומר נמצא בהם כמו מים בספוג, </w:t>
      </w:r>
      <w:r w:rsidR="00074741">
        <w:rPr>
          <w:rFonts w:hint="cs"/>
          <w:rtl/>
        </w:rPr>
        <w:t>(</w:t>
      </w:r>
      <w:r w:rsidR="004F51E7">
        <w:rPr>
          <w:rFonts w:hint="cs"/>
          <w:rtl/>
        </w:rPr>
        <w:t xml:space="preserve">ויש שפירשו </w:t>
      </w:r>
      <w:r w:rsidR="00227579">
        <w:rPr>
          <w:rFonts w:hint="cs"/>
          <w:rtl/>
        </w:rPr>
        <w:t xml:space="preserve">שהכח </w:t>
      </w:r>
      <w:r w:rsidR="004F51E7">
        <w:rPr>
          <w:rFonts w:hint="cs"/>
          <w:rtl/>
        </w:rPr>
        <w:t xml:space="preserve">יורד </w:t>
      </w:r>
      <w:r w:rsidR="00227579">
        <w:rPr>
          <w:rFonts w:hint="cs"/>
          <w:rtl/>
        </w:rPr>
        <w:t>אל הגופים</w:t>
      </w:r>
      <w:r w:rsidR="00FE567C">
        <w:rPr>
          <w:rFonts w:hint="cs"/>
          <w:rtl/>
        </w:rPr>
        <w:t>)</w:t>
      </w:r>
      <w:r w:rsidR="00227579">
        <w:rPr>
          <w:rFonts w:hint="cs"/>
          <w:rtl/>
        </w:rPr>
        <w:t>, עיין בכל זה לעיל 1.5.5</w:t>
      </w:r>
      <w:r w:rsidR="002127D5">
        <w:rPr>
          <w:rFonts w:hint="cs"/>
          <w:rtl/>
        </w:rPr>
        <w:t>.</w:t>
      </w:r>
    </w:p>
    <w:p w14:paraId="32001C26" w14:textId="3E6D0823" w:rsidR="0060315D" w:rsidRPr="00C45427" w:rsidRDefault="002127D5" w:rsidP="00B4437B">
      <w:pPr>
        <w:pStyle w:val="FootnoteText"/>
        <w:rPr>
          <w:rtl/>
        </w:rPr>
      </w:pPr>
      <w:r>
        <w:rPr>
          <w:rFonts w:hint="cs"/>
          <w:rtl/>
        </w:rPr>
        <w:t xml:space="preserve">אבן סינא </w:t>
      </w:r>
      <w:r w:rsidR="005400D6">
        <w:rPr>
          <w:rFonts w:hint="cs"/>
          <w:rtl/>
        </w:rPr>
        <w:t>לעיל 1.5.5 כשהביא את לשון פילופונוס</w:t>
      </w:r>
      <w:r w:rsidR="00A842B7">
        <w:rPr>
          <w:rFonts w:hint="cs"/>
          <w:rtl/>
        </w:rPr>
        <w:t xml:space="preserve">, וגם כאן כשהוא מביא אותה, </w:t>
      </w:r>
      <w:r>
        <w:rPr>
          <w:rFonts w:hint="cs"/>
          <w:rtl/>
        </w:rPr>
        <w:t xml:space="preserve">תרגם לערבית את המילה היוונית שהשתמש בה פילופונוס </w:t>
      </w:r>
      <w:r w:rsidR="00A842B7">
        <w:rPr>
          <w:rFonts w:hint="cs"/>
          <w:rtl/>
        </w:rPr>
        <w:t>לציין 'נמצא'</w:t>
      </w:r>
      <w:r w:rsidR="00D859BA">
        <w:rPr>
          <w:rFonts w:hint="cs"/>
          <w:rtl/>
        </w:rPr>
        <w:t xml:space="preserve">, כלומר המילה היוונית לצלול, והשתמש לתרגום בשורש </w:t>
      </w:r>
      <w:r w:rsidR="00B91B74" w:rsidRPr="00B91B74">
        <w:rPr>
          <w:rFonts w:cs="Times New Roman" w:hint="eastAsia"/>
          <w:rtl/>
          <w:lang w:bidi="ar-SA"/>
        </w:rPr>
        <w:t>سرى</w:t>
      </w:r>
      <w:r w:rsidR="00B91B74">
        <w:rPr>
          <w:rFonts w:cs="Times New Roman" w:hint="cs"/>
          <w:rtl/>
        </w:rPr>
        <w:t>.</w:t>
      </w:r>
      <w:r w:rsidR="00B91B74" w:rsidRPr="00A842B7">
        <w:rPr>
          <w:rtl/>
        </w:rPr>
        <w:t xml:space="preserve"> לפי לקסיקון </w:t>
      </w:r>
      <w:r w:rsidR="00B91B74" w:rsidRPr="00A842B7">
        <w:t>Lane</w:t>
      </w:r>
      <w:r w:rsidR="00B91B74" w:rsidRPr="00A842B7">
        <w:rPr>
          <w:rtl/>
        </w:rPr>
        <w:t xml:space="preserve"> </w:t>
      </w:r>
      <w:r w:rsidR="00717F2E" w:rsidRPr="00A842B7">
        <w:rPr>
          <w:rtl/>
        </w:rPr>
        <w:t>(שהוא הלקסיקון המדעי המעמיק ביותר ללשון הערבית,</w:t>
      </w:r>
      <w:r w:rsidR="00B4437B" w:rsidRPr="00A842B7">
        <w:rPr>
          <w:rtl/>
        </w:rPr>
        <w:t xml:space="preserve"> </w:t>
      </w:r>
      <w:r w:rsidR="00717F2E" w:rsidRPr="00A842B7">
        <w:rPr>
          <w:rtl/>
        </w:rPr>
        <w:t xml:space="preserve">שהתקבל כסמכות הקלסית </w:t>
      </w:r>
      <w:r w:rsidR="00B4437B" w:rsidRPr="00A842B7">
        <w:rPr>
          <w:rtl/>
        </w:rPr>
        <w:t>לערבית</w:t>
      </w:r>
      <w:r w:rsidR="00843B34" w:rsidRPr="00A842B7">
        <w:rPr>
          <w:rtl/>
        </w:rPr>
        <w:t>, נדפס באמצע המאה התשע עשרה בשמונה כרכים</w:t>
      </w:r>
      <w:r w:rsidR="00B4437B" w:rsidRPr="00A842B7">
        <w:rPr>
          <w:rtl/>
        </w:rPr>
        <w:t>) השורש</w:t>
      </w:r>
      <w:r w:rsidR="0001187C" w:rsidRPr="00A842B7">
        <w:rPr>
          <w:rtl/>
          <w:lang w:bidi="ar-SA"/>
        </w:rPr>
        <w:t xml:space="preserve"> </w:t>
      </w:r>
      <w:r w:rsidR="0001187C" w:rsidRPr="00A842B7">
        <w:rPr>
          <w:rFonts w:ascii="Arial" w:hAnsi="Arial" w:cs="Arial" w:hint="cs"/>
          <w:rtl/>
          <w:lang w:bidi="ar-SA"/>
        </w:rPr>
        <w:t>سرى</w:t>
      </w:r>
      <w:r w:rsidR="0001187C" w:rsidRPr="00A842B7">
        <w:rPr>
          <w:rtl/>
        </w:rPr>
        <w:t xml:space="preserve"> פירושו </w:t>
      </w:r>
      <w:r w:rsidR="00D27065" w:rsidRPr="00A842B7">
        <w:rPr>
          <w:rtl/>
        </w:rPr>
        <w:t>'</w:t>
      </w:r>
      <w:r w:rsidR="0001187C" w:rsidRPr="00A842B7">
        <w:rPr>
          <w:rtl/>
        </w:rPr>
        <w:t>להימצא</w:t>
      </w:r>
      <w:r w:rsidR="00D27065" w:rsidRPr="00A842B7">
        <w:rPr>
          <w:rtl/>
        </w:rPr>
        <w:t>'</w:t>
      </w:r>
      <w:r w:rsidR="0001187C" w:rsidRPr="00A842B7">
        <w:rPr>
          <w:rtl/>
        </w:rPr>
        <w:t xml:space="preserve"> </w:t>
      </w:r>
      <w:bookmarkStart w:id="230" w:name="_Hlk106731559"/>
      <w:r w:rsidR="0060563A" w:rsidRPr="00A842B7">
        <w:rPr>
          <w:rtl/>
        </w:rPr>
        <w:t xml:space="preserve">באופן של התפשטות או חילחול, </w:t>
      </w:r>
      <w:r w:rsidR="0001187C" w:rsidRPr="00A842B7">
        <w:rPr>
          <w:rtl/>
        </w:rPr>
        <w:t>כמו שכאב מתפשט בגוף</w:t>
      </w:r>
      <w:r w:rsidR="00D27065" w:rsidRPr="00A842B7">
        <w:rPr>
          <w:rtl/>
        </w:rPr>
        <w:t xml:space="preserve"> מהפצע לשאר הגוף</w:t>
      </w:r>
      <w:r w:rsidR="0001187C" w:rsidRPr="00A842B7">
        <w:rPr>
          <w:rtl/>
        </w:rPr>
        <w:t>,</w:t>
      </w:r>
      <w:r w:rsidR="00D31DCE" w:rsidRPr="00A842B7">
        <w:rPr>
          <w:rtl/>
        </w:rPr>
        <w:t xml:space="preserve"> או כאב שמתפשט מהגוף אל הנפש, או רעל שמתפשט בגוף, או בהלה ששורה בגוף</w:t>
      </w:r>
      <w:bookmarkEnd w:id="230"/>
      <w:r w:rsidR="00B4437B" w:rsidRPr="00A842B7">
        <w:rPr>
          <w:rtl/>
        </w:rPr>
        <w:t xml:space="preserve">. </w:t>
      </w:r>
      <w:r w:rsidR="001C5573" w:rsidRPr="00A842B7">
        <w:rPr>
          <w:rtl/>
        </w:rPr>
        <w:t xml:space="preserve">וכך תרגם מקגיניס שהוא לשון חלחול </w:t>
      </w:r>
      <w:r w:rsidR="0091566F" w:rsidRPr="00A842B7">
        <w:rPr>
          <w:rtl/>
        </w:rPr>
        <w:t>(</w:t>
      </w:r>
      <w:r w:rsidR="001C5573" w:rsidRPr="00A842B7">
        <w:rPr>
          <w:rtl/>
        </w:rPr>
        <w:t xml:space="preserve">ובאנגלית </w:t>
      </w:r>
      <w:r w:rsidR="0091566F" w:rsidRPr="00A842B7">
        <w:t>permeate</w:t>
      </w:r>
      <w:r w:rsidR="0091566F" w:rsidRPr="00A842B7">
        <w:rPr>
          <w:rtl/>
        </w:rPr>
        <w:t>)</w:t>
      </w:r>
    </w:p>
    <w:p w14:paraId="77222A28" w14:textId="72BD8C8A" w:rsidR="005173ED" w:rsidRDefault="00E44668">
      <w:pPr>
        <w:pStyle w:val="FootnoteText"/>
        <w:rPr>
          <w:rtl/>
        </w:rPr>
      </w:pPr>
      <w:r>
        <w:rPr>
          <w:rFonts w:hint="cs"/>
          <w:rtl/>
        </w:rPr>
        <w:t>(</w:t>
      </w:r>
      <w:r w:rsidR="003A5186" w:rsidRPr="006645B6">
        <w:rPr>
          <w:rtl/>
        </w:rPr>
        <w:t>אבן סינא</w:t>
      </w:r>
      <w:r>
        <w:rPr>
          <w:rFonts w:hint="cs"/>
          <w:rtl/>
        </w:rPr>
        <w:t xml:space="preserve"> כתב</w:t>
      </w:r>
      <w:r w:rsidR="003A5186" w:rsidRPr="006645B6">
        <w:rPr>
          <w:rtl/>
        </w:rPr>
        <w:t xml:space="preserve"> כאן </w:t>
      </w:r>
      <w:r w:rsidR="00525318" w:rsidRPr="006645B6">
        <w:rPr>
          <w:rFonts w:ascii="Arial" w:hAnsi="Arial" w:cs="Arial" w:hint="cs"/>
          <w:rtl/>
          <w:lang w:bidi="ar-SA"/>
        </w:rPr>
        <w:t>السريان</w:t>
      </w:r>
      <w:r w:rsidR="00525318" w:rsidRPr="006645B6">
        <w:rPr>
          <w:rtl/>
        </w:rPr>
        <w:t xml:space="preserve">. </w:t>
      </w:r>
      <w:r>
        <w:rPr>
          <w:rFonts w:hint="cs"/>
          <w:rtl/>
        </w:rPr>
        <w:t>ול</w:t>
      </w:r>
      <w:r w:rsidR="00525318" w:rsidRPr="006645B6">
        <w:rPr>
          <w:rtl/>
        </w:rPr>
        <w:t>עיל 1.5.5</w:t>
      </w:r>
      <w:r w:rsidR="00D34212" w:rsidRPr="006645B6">
        <w:rPr>
          <w:rtl/>
        </w:rPr>
        <w:t xml:space="preserve"> </w:t>
      </w:r>
      <w:r>
        <w:rPr>
          <w:rFonts w:hint="cs"/>
          <w:rtl/>
        </w:rPr>
        <w:t>כתב</w:t>
      </w:r>
      <w:r w:rsidR="00D34212" w:rsidRPr="006645B6">
        <w:rPr>
          <w:rtl/>
        </w:rPr>
        <w:t xml:space="preserve"> </w:t>
      </w:r>
      <w:r w:rsidR="00C42509" w:rsidRPr="006645B6">
        <w:rPr>
          <w:rFonts w:ascii="Arial" w:hAnsi="Arial" w:cs="Arial" w:hint="cs"/>
          <w:rtl/>
          <w:lang w:bidi="ar-SA"/>
        </w:rPr>
        <w:t>سارية</w:t>
      </w:r>
      <w:r w:rsidR="00C42509" w:rsidRPr="006645B6">
        <w:rPr>
          <w:rtl/>
        </w:rPr>
        <w:t xml:space="preserve"> </w:t>
      </w:r>
      <w:r>
        <w:rPr>
          <w:rFonts w:hint="cs"/>
          <w:rtl/>
        </w:rPr>
        <w:t>וזה אותו שורש וכנראה הכוונה זהה</w:t>
      </w:r>
      <w:r w:rsidR="008A5A22">
        <w:rPr>
          <w:rFonts w:hint="cs"/>
          <w:rtl/>
        </w:rPr>
        <w:t xml:space="preserve">.) </w:t>
      </w:r>
    </w:p>
    <w:p w14:paraId="4A8321DA" w14:textId="3134908E" w:rsidR="0070760B" w:rsidRDefault="009E7252">
      <w:pPr>
        <w:pStyle w:val="FootnoteText"/>
        <w:rPr>
          <w:rtl/>
        </w:rPr>
      </w:pPr>
      <w:r>
        <w:rPr>
          <w:rFonts w:hint="cs"/>
          <w:rtl/>
        </w:rPr>
        <w:t xml:space="preserve">נראה שאבן סינא </w:t>
      </w:r>
      <w:r w:rsidR="0028213E">
        <w:rPr>
          <w:rFonts w:hint="cs"/>
          <w:rtl/>
        </w:rPr>
        <w:t>לא</w:t>
      </w:r>
      <w:r>
        <w:rPr>
          <w:rFonts w:hint="cs"/>
          <w:rtl/>
        </w:rPr>
        <w:t xml:space="preserve"> הבי</w:t>
      </w:r>
      <w:r w:rsidR="0028213E">
        <w:rPr>
          <w:rFonts w:hint="cs"/>
          <w:rtl/>
        </w:rPr>
        <w:t>ן</w:t>
      </w:r>
      <w:r>
        <w:rPr>
          <w:rFonts w:hint="cs"/>
          <w:rtl/>
        </w:rPr>
        <w:t xml:space="preserve"> את המילה היוונית</w:t>
      </w:r>
      <w:r w:rsidR="0028213E">
        <w:rPr>
          <w:rFonts w:hint="cs"/>
          <w:rtl/>
        </w:rPr>
        <w:t xml:space="preserve"> של פילופונוס</w:t>
      </w:r>
      <w:r>
        <w:rPr>
          <w:rFonts w:hint="cs"/>
          <w:rtl/>
        </w:rPr>
        <w:t xml:space="preserve"> שפירושה</w:t>
      </w:r>
      <w:r w:rsidR="0028213E">
        <w:rPr>
          <w:rFonts w:hint="cs"/>
          <w:rtl/>
        </w:rPr>
        <w:t xml:space="preserve"> </w:t>
      </w:r>
      <w:r>
        <w:rPr>
          <w:rFonts w:hint="cs"/>
          <w:rtl/>
        </w:rPr>
        <w:t>לצלול כירידה מלמעלה</w:t>
      </w:r>
      <w:r w:rsidR="0028213E">
        <w:rPr>
          <w:rFonts w:hint="cs"/>
          <w:rtl/>
        </w:rPr>
        <w:t xml:space="preserve"> (כמו שהבינו חלק מהחוקרים, שהבאתי לעיל 1.5.5</w:t>
      </w:r>
      <w:r w:rsidR="00A70993">
        <w:rPr>
          <w:rFonts w:hint="cs"/>
          <w:rtl/>
        </w:rPr>
        <w:t>)</w:t>
      </w:r>
      <w:r>
        <w:rPr>
          <w:rFonts w:hint="cs"/>
          <w:rtl/>
        </w:rPr>
        <w:t xml:space="preserve"> אלא כמשהו שהוא </w:t>
      </w:r>
      <w:r w:rsidR="00A70993">
        <w:rPr>
          <w:rFonts w:hint="cs"/>
          <w:rtl/>
        </w:rPr>
        <w:t>נמצא ב</w:t>
      </w:r>
      <w:r w:rsidR="002E732A">
        <w:rPr>
          <w:rFonts w:hint="cs"/>
          <w:rtl/>
        </w:rPr>
        <w:t xml:space="preserve">דרך חילחול </w:t>
      </w:r>
      <w:r w:rsidR="000D1837">
        <w:rPr>
          <w:rFonts w:hint="cs"/>
          <w:rtl/>
        </w:rPr>
        <w:t>ב</w:t>
      </w:r>
      <w:r w:rsidR="00A70993">
        <w:rPr>
          <w:rFonts w:hint="cs"/>
          <w:rtl/>
        </w:rPr>
        <w:t>דומה ל</w:t>
      </w:r>
      <w:r w:rsidR="0028213E">
        <w:rPr>
          <w:rFonts w:hint="cs"/>
          <w:rtl/>
        </w:rPr>
        <w:t xml:space="preserve">מים בספוג. </w:t>
      </w:r>
    </w:p>
    <w:p w14:paraId="2583F40E" w14:textId="7847BBFB" w:rsidR="003A5186" w:rsidRDefault="00A70993" w:rsidP="009C62BD">
      <w:pPr>
        <w:pStyle w:val="FootnoteText"/>
        <w:rPr>
          <w:rtl/>
        </w:rPr>
      </w:pPr>
      <w:r>
        <w:rPr>
          <w:rFonts w:hint="cs"/>
          <w:rtl/>
        </w:rPr>
        <w:t xml:space="preserve">בכל אופן כל זה שונה מהמובן הפשוט </w:t>
      </w:r>
      <w:r w:rsidR="000D1837">
        <w:rPr>
          <w:rFonts w:hint="cs"/>
          <w:rtl/>
        </w:rPr>
        <w:t xml:space="preserve">השגרתי </w:t>
      </w:r>
      <w:r>
        <w:rPr>
          <w:rFonts w:hint="cs"/>
          <w:rtl/>
        </w:rPr>
        <w:t xml:space="preserve">של </w:t>
      </w:r>
      <w:r w:rsidR="000D1837">
        <w:rPr>
          <w:rFonts w:hint="cs"/>
          <w:rtl/>
        </w:rPr>
        <w:t>'</w:t>
      </w:r>
      <w:r>
        <w:rPr>
          <w:rFonts w:hint="cs"/>
          <w:rtl/>
        </w:rPr>
        <w:t>נמצא</w:t>
      </w:r>
      <w:r w:rsidR="000D1837">
        <w:rPr>
          <w:rFonts w:hint="cs"/>
          <w:rtl/>
        </w:rPr>
        <w:t>'</w:t>
      </w:r>
      <w:r>
        <w:rPr>
          <w:rFonts w:hint="cs"/>
          <w:rtl/>
        </w:rPr>
        <w:t xml:space="preserve"> שהשתמש בו אריסטו</w:t>
      </w:r>
      <w:r w:rsidR="009C62BD">
        <w:rPr>
          <w:rFonts w:hint="cs"/>
          <w:rtl/>
        </w:rPr>
        <w:t xml:space="preserve">. </w:t>
      </w:r>
    </w:p>
    <w:p w14:paraId="02337662" w14:textId="30C98BDA" w:rsidR="00BA4782" w:rsidRPr="00572950" w:rsidRDefault="004D21A3" w:rsidP="006D5C6E">
      <w:pPr>
        <w:pStyle w:val="FootnoteText"/>
        <w:rPr>
          <w:rtl/>
        </w:rPr>
      </w:pPr>
      <w:r>
        <w:rPr>
          <w:rFonts w:hint="cs"/>
          <w:rtl/>
        </w:rPr>
        <w:t xml:space="preserve">לזה מתייחס כאן אבן סינא, </w:t>
      </w:r>
      <w:r w:rsidR="004E06DE">
        <w:rPr>
          <w:rFonts w:hint="cs"/>
          <w:rtl/>
        </w:rPr>
        <w:t xml:space="preserve">הוא אומר שמה שפילופונוס השתמש במילה מיוחדת לתאר את </w:t>
      </w:r>
      <w:r w:rsidR="00366F60">
        <w:rPr>
          <w:rFonts w:hint="cs"/>
          <w:rtl/>
        </w:rPr>
        <w:t xml:space="preserve">אופן </w:t>
      </w:r>
      <w:r w:rsidR="004E06DE">
        <w:rPr>
          <w:rFonts w:hint="cs"/>
          <w:rtl/>
        </w:rPr>
        <w:t xml:space="preserve">הימצאות הכח בגופים, הוא לא הוסיף בזה שום דבר על המילה הפשוטה שהשתמש בה אריסטו. </w:t>
      </w:r>
      <w:r w:rsidR="00366F60">
        <w:rPr>
          <w:rFonts w:hint="cs"/>
          <w:rtl/>
        </w:rPr>
        <w:t>כי לא עלה דעתנו ש</w:t>
      </w:r>
      <w:r w:rsidR="008B4A3F">
        <w:rPr>
          <w:rFonts w:hint="cs"/>
          <w:rtl/>
        </w:rPr>
        <w:t xml:space="preserve">לפי אריסטו </w:t>
      </w:r>
      <w:r w:rsidR="00366F60">
        <w:rPr>
          <w:rFonts w:hint="cs"/>
          <w:rtl/>
        </w:rPr>
        <w:t xml:space="preserve">הכח </w:t>
      </w:r>
      <w:r w:rsidR="000D1837">
        <w:rPr>
          <w:rFonts w:hint="cs"/>
          <w:rtl/>
        </w:rPr>
        <w:t>'</w:t>
      </w:r>
      <w:r w:rsidR="00366F60">
        <w:rPr>
          <w:rFonts w:hint="cs"/>
          <w:rtl/>
        </w:rPr>
        <w:t>נמצא</w:t>
      </w:r>
      <w:r w:rsidR="000D1837">
        <w:rPr>
          <w:rFonts w:hint="cs"/>
          <w:rtl/>
        </w:rPr>
        <w:t>'</w:t>
      </w:r>
      <w:r w:rsidR="00366F60">
        <w:rPr>
          <w:rFonts w:hint="cs"/>
          <w:rtl/>
        </w:rPr>
        <w:t xml:space="preserve"> בגופים כמו מטבעות </w:t>
      </w:r>
      <w:r w:rsidR="000D1837">
        <w:rPr>
          <w:rFonts w:hint="cs"/>
          <w:rtl/>
        </w:rPr>
        <w:t xml:space="preserve">שנמצאים </w:t>
      </w:r>
      <w:r w:rsidR="00366F60">
        <w:rPr>
          <w:rFonts w:hint="cs"/>
          <w:rtl/>
        </w:rPr>
        <w:t xml:space="preserve">בקופסה או מים </w:t>
      </w:r>
      <w:r w:rsidR="000D1837">
        <w:rPr>
          <w:rFonts w:hint="cs"/>
          <w:rtl/>
        </w:rPr>
        <w:t xml:space="preserve">שנמצאים </w:t>
      </w:r>
      <w:r w:rsidR="00366F60">
        <w:rPr>
          <w:rFonts w:hint="cs"/>
          <w:rtl/>
        </w:rPr>
        <w:t xml:space="preserve">בדלי, </w:t>
      </w:r>
      <w:r w:rsidR="008B4A3F">
        <w:rPr>
          <w:rFonts w:hint="cs"/>
          <w:rtl/>
        </w:rPr>
        <w:t>אלא מובן מאליו שגם לפי אריסטו ז</w:t>
      </w:r>
      <w:r w:rsidR="00484278">
        <w:rPr>
          <w:rFonts w:hint="cs"/>
          <w:rtl/>
        </w:rPr>
        <w:t>ה אופן של הימצאות</w:t>
      </w:r>
      <w:r w:rsidR="008B4A3F">
        <w:rPr>
          <w:rFonts w:hint="cs"/>
          <w:rtl/>
        </w:rPr>
        <w:t xml:space="preserve"> הדומה לנפש שנמצאת בגוף </w:t>
      </w:r>
      <w:r w:rsidR="00415AD0">
        <w:rPr>
          <w:rFonts w:hint="cs"/>
          <w:rtl/>
        </w:rPr>
        <w:t>ו</w:t>
      </w:r>
      <w:r w:rsidR="008B4A3F">
        <w:rPr>
          <w:rFonts w:hint="cs"/>
          <w:rtl/>
        </w:rPr>
        <w:t xml:space="preserve">כיוצא בזה </w:t>
      </w:r>
      <w:r w:rsidR="00FA4297">
        <w:rPr>
          <w:rFonts w:hint="cs"/>
          <w:rtl/>
        </w:rPr>
        <w:t>(</w:t>
      </w:r>
      <w:r w:rsidR="00415AD0">
        <w:rPr>
          <w:rFonts w:hint="cs"/>
          <w:rtl/>
        </w:rPr>
        <w:t xml:space="preserve">וכמו שהתבארה דעת אריסטו לגבי אנרגיה של חום ואור שהיא מציאות מופשטת ששורה בגופים </w:t>
      </w:r>
      <w:r w:rsidR="005F6D84">
        <w:rPr>
          <w:rFonts w:hint="cs"/>
          <w:rtl/>
        </w:rPr>
        <w:t xml:space="preserve">כמו נפש בגוף, עיין </w:t>
      </w:r>
      <w:r w:rsidR="00FA4297">
        <w:rPr>
          <w:rFonts w:hint="cs"/>
          <w:rtl/>
        </w:rPr>
        <w:t>ב"</w:t>
      </w:r>
      <w:hyperlink r:id="rId102" w:history="1">
        <w:r w:rsidR="00FA4297" w:rsidRPr="008C7D3F">
          <w:rPr>
            <w:rStyle w:val="Hyperlink"/>
            <w:rFonts w:hint="cs"/>
            <w:rtl/>
          </w:rPr>
          <w:t>ביאור על מורה נבוכים</w:t>
        </w:r>
      </w:hyperlink>
      <w:r w:rsidR="00FA4297">
        <w:rPr>
          <w:rFonts w:hint="cs"/>
          <w:rtl/>
        </w:rPr>
        <w:t>"</w:t>
      </w:r>
      <w:r w:rsidR="0068390C">
        <w:rPr>
          <w:rFonts w:hint="cs"/>
          <w:rtl/>
        </w:rPr>
        <w:t>)</w:t>
      </w:r>
      <w:r w:rsidR="003C2434">
        <w:rPr>
          <w:rFonts w:hint="cs"/>
          <w:rtl/>
        </w:rPr>
        <w:t>, ולכן</w:t>
      </w:r>
      <w:r w:rsidR="009828E2">
        <w:rPr>
          <w:rFonts w:hint="cs"/>
          <w:rtl/>
        </w:rPr>
        <w:t xml:space="preserve"> די לומר שהכח </w:t>
      </w:r>
      <w:r w:rsidR="003C2434">
        <w:rPr>
          <w:rFonts w:hint="cs"/>
          <w:rtl/>
        </w:rPr>
        <w:t>'</w:t>
      </w:r>
      <w:r w:rsidR="009828E2">
        <w:rPr>
          <w:rFonts w:hint="cs"/>
          <w:rtl/>
        </w:rPr>
        <w:t>נמצא</w:t>
      </w:r>
      <w:r w:rsidR="003C2434">
        <w:rPr>
          <w:rFonts w:hint="cs"/>
          <w:rtl/>
        </w:rPr>
        <w:t>'</w:t>
      </w:r>
      <w:r w:rsidR="009828E2">
        <w:rPr>
          <w:rFonts w:hint="cs"/>
          <w:rtl/>
        </w:rPr>
        <w:t xml:space="preserve"> בגופים בשימוש הפשוט של המילה נמצא</w:t>
      </w:r>
      <w:r w:rsidR="003C2434">
        <w:rPr>
          <w:rFonts w:hint="cs"/>
          <w:rtl/>
        </w:rPr>
        <w:t xml:space="preserve"> ואין כאן מקום לטעות ואין צורך בהבהרת אופן מציאות הכח בגופים </w:t>
      </w:r>
      <w:r w:rsidR="003C2434" w:rsidRPr="00572950">
        <w:rPr>
          <w:rtl/>
        </w:rPr>
        <w:t>שפילופונוס ניסה להוסיף ב</w:t>
      </w:r>
      <w:r w:rsidR="00BF77E2" w:rsidRPr="00572950">
        <w:rPr>
          <w:rtl/>
        </w:rPr>
        <w:t>בחירת המילה שלו ל'נמצא' שהיא כמו לצלול, כלומר חילחול</w:t>
      </w:r>
      <w:r w:rsidR="009828E2" w:rsidRPr="00572950">
        <w:rPr>
          <w:rtl/>
        </w:rPr>
        <w:t xml:space="preserve">. </w:t>
      </w:r>
    </w:p>
    <w:p w14:paraId="1EED38A4" w14:textId="04D05E90" w:rsidR="0036286A" w:rsidRPr="006645B6" w:rsidRDefault="0036286A" w:rsidP="006D5C6E">
      <w:pPr>
        <w:pStyle w:val="FootnoteText"/>
      </w:pPr>
      <w:r w:rsidRPr="00572950">
        <w:rPr>
          <w:rtl/>
        </w:rPr>
        <w:t xml:space="preserve">אמנם צריך לעיין למה לקמן 1.7.3 כשאבן סינא מתאר את הימצאות הצורות בגופים הוא לא אומר באופן פשוט שהצורות </w:t>
      </w:r>
      <w:r w:rsidR="007313F8" w:rsidRPr="00572950">
        <w:rPr>
          <w:rtl/>
        </w:rPr>
        <w:t>'</w:t>
      </w:r>
      <w:r w:rsidRPr="00572950">
        <w:rPr>
          <w:rtl/>
        </w:rPr>
        <w:t>נמצאות</w:t>
      </w:r>
      <w:r w:rsidR="007313F8" w:rsidRPr="00572950">
        <w:rPr>
          <w:rtl/>
        </w:rPr>
        <w:t>'</w:t>
      </w:r>
      <w:r w:rsidRPr="00572950">
        <w:rPr>
          <w:rtl/>
        </w:rPr>
        <w:t xml:space="preserve"> בגופים, אלא משתמש במילה </w:t>
      </w:r>
      <w:r w:rsidR="007313F8" w:rsidRPr="00572950">
        <w:rPr>
          <w:rFonts w:ascii="Arial" w:hAnsi="Arial" w:cs="Arial" w:hint="cs"/>
          <w:rtl/>
          <w:lang w:bidi="ar-SA"/>
        </w:rPr>
        <w:t>سارية</w:t>
      </w:r>
      <w:r w:rsidR="007313F8" w:rsidRPr="00572950">
        <w:rPr>
          <w:rtl/>
        </w:rPr>
        <w:t xml:space="preserve"> דהיינו חלחול. </w:t>
      </w:r>
    </w:p>
  </w:footnote>
  <w:footnote w:id="462">
    <w:p w14:paraId="01432611" w14:textId="77777777" w:rsidR="00863598" w:rsidRDefault="00B628A5">
      <w:pPr>
        <w:pStyle w:val="FootnoteText"/>
        <w:rPr>
          <w:rtl/>
        </w:rPr>
      </w:pPr>
      <w:r>
        <w:rPr>
          <w:rStyle w:val="FootnoteReference"/>
        </w:rPr>
        <w:footnoteRef/>
      </w:r>
      <w:r>
        <w:rPr>
          <w:rtl/>
        </w:rPr>
        <w:t xml:space="preserve"> </w:t>
      </w:r>
      <w:r w:rsidR="004046A4">
        <w:rPr>
          <w:rFonts w:hint="cs"/>
          <w:rtl/>
        </w:rPr>
        <w:t>אבן סינא כדרכו, וכן דרך אריסטו כשהביא דברי הקודמים לו, מפרש את לשון הקודמים לפי דרך ההבנה של</w:t>
      </w:r>
      <w:r w:rsidR="00614856">
        <w:rPr>
          <w:rFonts w:hint="cs"/>
          <w:rtl/>
        </w:rPr>
        <w:t xml:space="preserve"> עצמ</w:t>
      </w:r>
      <w:r w:rsidR="00863598">
        <w:rPr>
          <w:rFonts w:hint="cs"/>
          <w:rtl/>
        </w:rPr>
        <w:t>ו</w:t>
      </w:r>
      <w:r w:rsidR="004046A4">
        <w:rPr>
          <w:rFonts w:hint="cs"/>
          <w:rtl/>
        </w:rPr>
        <w:t xml:space="preserve">, ומתוך כך מקשה עליהם. </w:t>
      </w:r>
      <w:r w:rsidR="00B40923">
        <w:rPr>
          <w:rFonts w:hint="cs"/>
          <w:rtl/>
        </w:rPr>
        <w:t xml:space="preserve">לכן כתב שאין מובן למה </w:t>
      </w:r>
      <w:r w:rsidR="00B40923">
        <w:rPr>
          <w:rFonts w:hint="cs"/>
          <w:rtl/>
        </w:rPr>
        <w:t>שפילופונוס כתב שהכ</w:t>
      </w:r>
      <w:r w:rsidR="00F45444">
        <w:rPr>
          <w:rFonts w:hint="cs"/>
          <w:rtl/>
        </w:rPr>
        <w:t>ח</w:t>
      </w:r>
      <w:r w:rsidR="00B40923">
        <w:rPr>
          <w:rFonts w:hint="cs"/>
          <w:rtl/>
        </w:rPr>
        <w:t xml:space="preserve"> מחל</w:t>
      </w:r>
      <w:r w:rsidR="00F45444">
        <w:rPr>
          <w:rFonts w:hint="cs"/>
          <w:rtl/>
        </w:rPr>
        <w:t>ח</w:t>
      </w:r>
      <w:r w:rsidR="00B40923">
        <w:rPr>
          <w:rFonts w:hint="cs"/>
          <w:rtl/>
        </w:rPr>
        <w:t>ל בגופים</w:t>
      </w:r>
      <w:r w:rsidR="00F45444">
        <w:rPr>
          <w:rFonts w:hint="cs"/>
          <w:rtl/>
        </w:rPr>
        <w:t xml:space="preserve">, </w:t>
      </w:r>
      <w:r w:rsidR="00921943">
        <w:rPr>
          <w:rFonts w:hint="cs"/>
          <w:rtl/>
        </w:rPr>
        <w:t xml:space="preserve">כי </w:t>
      </w:r>
      <w:r w:rsidR="00F45444">
        <w:rPr>
          <w:rFonts w:hint="cs"/>
          <w:rtl/>
        </w:rPr>
        <w:t>הכוו</w:t>
      </w:r>
      <w:r w:rsidR="00921943">
        <w:rPr>
          <w:rFonts w:hint="cs"/>
          <w:rtl/>
        </w:rPr>
        <w:t>נה</w:t>
      </w:r>
      <w:r w:rsidR="00F45444">
        <w:rPr>
          <w:rFonts w:hint="cs"/>
          <w:rtl/>
        </w:rPr>
        <w:t xml:space="preserve"> היא פשוט </w:t>
      </w:r>
      <w:r w:rsidR="00921943">
        <w:rPr>
          <w:rFonts w:hint="cs"/>
          <w:rtl/>
        </w:rPr>
        <w:t>'</w:t>
      </w:r>
      <w:r w:rsidR="00F45444">
        <w:rPr>
          <w:rFonts w:hint="cs"/>
          <w:rtl/>
        </w:rPr>
        <w:t>נמצא</w:t>
      </w:r>
      <w:r w:rsidR="00921943">
        <w:rPr>
          <w:rFonts w:hint="cs"/>
          <w:rtl/>
        </w:rPr>
        <w:t>'</w:t>
      </w:r>
      <w:r w:rsidR="00F45444">
        <w:rPr>
          <w:rFonts w:hint="cs"/>
          <w:rtl/>
        </w:rPr>
        <w:t xml:space="preserve"> בגופים. </w:t>
      </w:r>
      <w:r w:rsidR="003B1026">
        <w:rPr>
          <w:rFonts w:hint="cs"/>
          <w:rtl/>
        </w:rPr>
        <w:t xml:space="preserve">זה לפי הבנת אבן סינא, אבל </w:t>
      </w:r>
      <w:r w:rsidR="00F45444">
        <w:rPr>
          <w:rFonts w:hint="cs"/>
          <w:rtl/>
        </w:rPr>
        <w:t xml:space="preserve">הרי אם פילופונוס </w:t>
      </w:r>
      <w:r w:rsidR="003B1026">
        <w:rPr>
          <w:rFonts w:hint="cs"/>
          <w:rtl/>
        </w:rPr>
        <w:t xml:space="preserve">לפי הבנתו שלו </w:t>
      </w:r>
      <w:r w:rsidR="00F45444">
        <w:rPr>
          <w:rFonts w:hint="cs"/>
          <w:rtl/>
        </w:rPr>
        <w:t xml:space="preserve">סבר שהכח נמצא בגופים </w:t>
      </w:r>
      <w:r w:rsidR="003B1026">
        <w:rPr>
          <w:rFonts w:hint="cs"/>
          <w:rtl/>
        </w:rPr>
        <w:t xml:space="preserve">באופן פשוט </w:t>
      </w:r>
      <w:r w:rsidR="00F45444">
        <w:rPr>
          <w:rFonts w:hint="cs"/>
          <w:rtl/>
        </w:rPr>
        <w:t xml:space="preserve">הוא היה כותב 'נמצא' </w:t>
      </w:r>
      <w:r w:rsidR="00863598">
        <w:rPr>
          <w:rFonts w:hint="cs"/>
          <w:rtl/>
        </w:rPr>
        <w:t xml:space="preserve">באופן פשוט </w:t>
      </w:r>
      <w:r w:rsidR="00F45444">
        <w:rPr>
          <w:rFonts w:hint="cs"/>
          <w:rtl/>
        </w:rPr>
        <w:t>כמו</w:t>
      </w:r>
      <w:r w:rsidR="003B1026">
        <w:rPr>
          <w:rFonts w:hint="cs"/>
          <w:rtl/>
        </w:rPr>
        <w:t xml:space="preserve"> </w:t>
      </w:r>
      <w:r w:rsidR="00F45444">
        <w:rPr>
          <w:rFonts w:hint="cs"/>
          <w:rtl/>
        </w:rPr>
        <w:t>שכתב</w:t>
      </w:r>
      <w:r w:rsidR="003B1026">
        <w:rPr>
          <w:rFonts w:hint="cs"/>
          <w:rtl/>
        </w:rPr>
        <w:t xml:space="preserve"> </w:t>
      </w:r>
      <w:r w:rsidR="00F45444">
        <w:rPr>
          <w:rFonts w:hint="cs"/>
          <w:rtl/>
        </w:rPr>
        <w:t xml:space="preserve">אריסטו, </w:t>
      </w:r>
      <w:r w:rsidR="003B1026">
        <w:rPr>
          <w:rFonts w:hint="cs"/>
          <w:rtl/>
        </w:rPr>
        <w:t xml:space="preserve">הרי מדובר בחכם מגדולי חכמי כל הדורות ולא במי שכותב בלי לשים לב למילים שהוא כותב, </w:t>
      </w:r>
      <w:r w:rsidR="00F45444">
        <w:rPr>
          <w:rFonts w:hint="cs"/>
          <w:rtl/>
        </w:rPr>
        <w:t>ומה ש</w:t>
      </w:r>
      <w:r w:rsidR="003B1026">
        <w:rPr>
          <w:rFonts w:hint="cs"/>
          <w:rtl/>
        </w:rPr>
        <w:t xml:space="preserve">פילופונוס </w:t>
      </w:r>
      <w:r w:rsidR="00F45444">
        <w:rPr>
          <w:rFonts w:hint="cs"/>
          <w:rtl/>
        </w:rPr>
        <w:t>שינה</w:t>
      </w:r>
      <w:r w:rsidR="003B1026">
        <w:rPr>
          <w:rFonts w:hint="cs"/>
          <w:rtl/>
        </w:rPr>
        <w:t xml:space="preserve"> את הלשון</w:t>
      </w:r>
      <w:r w:rsidR="00F45444">
        <w:rPr>
          <w:rFonts w:hint="cs"/>
          <w:rtl/>
        </w:rPr>
        <w:t xml:space="preserve"> ל</w:t>
      </w:r>
      <w:r w:rsidR="003B1026">
        <w:rPr>
          <w:rFonts w:hint="cs"/>
          <w:rtl/>
        </w:rPr>
        <w:t>"</w:t>
      </w:r>
      <w:r w:rsidR="00F45444">
        <w:rPr>
          <w:rFonts w:hint="cs"/>
          <w:rtl/>
        </w:rPr>
        <w:t>מחלחל</w:t>
      </w:r>
      <w:r w:rsidR="003B1026">
        <w:rPr>
          <w:rFonts w:hint="cs"/>
          <w:rtl/>
        </w:rPr>
        <w:t>"</w:t>
      </w:r>
      <w:r w:rsidR="00F45444">
        <w:rPr>
          <w:rFonts w:hint="cs"/>
          <w:rtl/>
        </w:rPr>
        <w:t xml:space="preserve"> </w:t>
      </w:r>
      <w:r w:rsidR="00863598">
        <w:rPr>
          <w:rFonts w:hint="cs"/>
          <w:rtl/>
        </w:rPr>
        <w:t xml:space="preserve">במקום רק 'נמצא' </w:t>
      </w:r>
      <w:r w:rsidR="00F45444">
        <w:rPr>
          <w:rFonts w:hint="cs"/>
          <w:rtl/>
        </w:rPr>
        <w:t>ב</w:t>
      </w:r>
      <w:r w:rsidR="00863598">
        <w:rPr>
          <w:rFonts w:hint="cs"/>
          <w:rtl/>
        </w:rPr>
        <w:t>ו</w:t>
      </w:r>
      <w:r w:rsidR="00F45444">
        <w:rPr>
          <w:rFonts w:hint="cs"/>
          <w:rtl/>
        </w:rPr>
        <w:t xml:space="preserve">ודאי </w:t>
      </w:r>
      <w:r w:rsidR="003B1026">
        <w:rPr>
          <w:rFonts w:hint="cs"/>
          <w:rtl/>
        </w:rPr>
        <w:t xml:space="preserve">לפי </w:t>
      </w:r>
      <w:r w:rsidR="00614856">
        <w:rPr>
          <w:rFonts w:hint="cs"/>
          <w:rtl/>
        </w:rPr>
        <w:t xml:space="preserve">הבנתו שלו </w:t>
      </w:r>
      <w:r w:rsidR="00F45444">
        <w:rPr>
          <w:rFonts w:hint="cs"/>
          <w:rtl/>
        </w:rPr>
        <w:t>הייתה לו כוונה</w:t>
      </w:r>
      <w:r w:rsidR="00614856">
        <w:rPr>
          <w:rFonts w:hint="cs"/>
          <w:rtl/>
        </w:rPr>
        <w:t xml:space="preserve"> </w:t>
      </w:r>
      <w:r w:rsidR="00F45444">
        <w:rPr>
          <w:rFonts w:hint="cs"/>
          <w:rtl/>
        </w:rPr>
        <w:t>בזה.</w:t>
      </w:r>
    </w:p>
    <w:p w14:paraId="6639BD7F" w14:textId="77777777" w:rsidR="006E48DE" w:rsidRDefault="00C401E2">
      <w:pPr>
        <w:pStyle w:val="FootnoteText"/>
        <w:rPr>
          <w:rtl/>
        </w:rPr>
      </w:pPr>
      <w:r>
        <w:rPr>
          <w:rFonts w:hint="cs"/>
          <w:rtl/>
        </w:rPr>
        <w:t xml:space="preserve">למשל במטאפיזיקה ספר א' אריסטו סוקר את הדעות של קודמיו בענייני המטאפיזיקה. </w:t>
      </w:r>
      <w:r w:rsidR="00650784">
        <w:rPr>
          <w:rFonts w:hint="cs"/>
          <w:rtl/>
        </w:rPr>
        <w:t>החוקרים רואים בזה את המקור החשוב שיש בידינו להכרת הפילוסופיה שלפני אריסטו, ויש להם טענה על אריסטו שלא הסביר מה אותם פילוסופים חשבו, אלא כתב את ההתייחסות שלו לדברי</w:t>
      </w:r>
      <w:r w:rsidR="00303E6D">
        <w:rPr>
          <w:rFonts w:hint="cs"/>
          <w:rtl/>
        </w:rPr>
        <w:t>ה</w:t>
      </w:r>
      <w:r w:rsidR="00650784">
        <w:rPr>
          <w:rFonts w:hint="cs"/>
          <w:rtl/>
        </w:rPr>
        <w:t xml:space="preserve">ם לפי שיטת עצמו. </w:t>
      </w:r>
      <w:r w:rsidR="00303E6D">
        <w:rPr>
          <w:rFonts w:hint="cs"/>
          <w:rtl/>
        </w:rPr>
        <w:t>באמת אריסטו לא היה חוקר, לא עניינה אותו ההיסטוריה של המחשבה המטאפיזית, ול</w:t>
      </w:r>
      <w:r w:rsidR="00AB6CF2">
        <w:rPr>
          <w:rFonts w:hint="cs"/>
          <w:rtl/>
        </w:rPr>
        <w:t>א</w:t>
      </w:r>
      <w:r w:rsidR="00303E6D">
        <w:rPr>
          <w:rFonts w:hint="cs"/>
          <w:rtl/>
        </w:rPr>
        <w:t xml:space="preserve"> עניין אותו מה</w:t>
      </w:r>
      <w:r w:rsidR="00EF02A8">
        <w:rPr>
          <w:rFonts w:hint="cs"/>
          <w:rtl/>
        </w:rPr>
        <w:t xml:space="preserve"> </w:t>
      </w:r>
      <w:r w:rsidR="00303E6D">
        <w:rPr>
          <w:rFonts w:hint="cs"/>
          <w:rtl/>
        </w:rPr>
        <w:t>אנאכ</w:t>
      </w:r>
      <w:r w:rsidR="00EF02A8">
        <w:rPr>
          <w:rFonts w:hint="cs"/>
          <w:rtl/>
        </w:rPr>
        <w:t>ס</w:t>
      </w:r>
      <w:r w:rsidR="00303E6D">
        <w:rPr>
          <w:rFonts w:hint="cs"/>
          <w:rtl/>
        </w:rPr>
        <w:t xml:space="preserve">אגורס </w:t>
      </w:r>
      <w:r w:rsidR="00EF02A8">
        <w:rPr>
          <w:rFonts w:hint="cs"/>
          <w:rtl/>
        </w:rPr>
        <w:t xml:space="preserve">או אמפדוקלס וכיו"ב </w:t>
      </w:r>
      <w:r w:rsidR="00303E6D">
        <w:rPr>
          <w:rFonts w:hint="cs"/>
          <w:rtl/>
        </w:rPr>
        <w:t>חשב</w:t>
      </w:r>
      <w:r w:rsidR="00EF02A8">
        <w:rPr>
          <w:rFonts w:hint="cs"/>
          <w:rtl/>
        </w:rPr>
        <w:t xml:space="preserve">ו. </w:t>
      </w:r>
      <w:r w:rsidR="00AB6CF2">
        <w:rPr>
          <w:rFonts w:hint="cs"/>
          <w:rtl/>
        </w:rPr>
        <w:t xml:space="preserve">זה עניין לסקרנות מדעית שהיא רק סקרנות, גם להציץ בחלון של השכנים זו סקרנות. </w:t>
      </w:r>
      <w:r w:rsidR="00142DF4">
        <w:rPr>
          <w:rFonts w:hint="cs"/>
          <w:rtl/>
        </w:rPr>
        <w:t xml:space="preserve">אריסטו התעניין רק באמת עצמה, </w:t>
      </w:r>
      <w:r w:rsidR="00583595">
        <w:rPr>
          <w:rFonts w:hint="cs"/>
          <w:rtl/>
        </w:rPr>
        <w:t xml:space="preserve">באלוה, ולא יותר. אם יש ניסוח כלשהו שיש לו מעמד של חשיבות, ולפי הבנת אריסטו לשיטת עצמו הוא </w:t>
      </w:r>
      <w:r w:rsidR="00C8202C">
        <w:rPr>
          <w:rFonts w:hint="cs"/>
          <w:rtl/>
        </w:rPr>
        <w:t>לא</w:t>
      </w:r>
      <w:r w:rsidR="00583595">
        <w:rPr>
          <w:rFonts w:hint="cs"/>
          <w:rtl/>
        </w:rPr>
        <w:t xml:space="preserve"> נכון, הוא יכתוב שהוא </w:t>
      </w:r>
      <w:r w:rsidR="00C8202C">
        <w:rPr>
          <w:rFonts w:hint="cs"/>
          <w:rtl/>
        </w:rPr>
        <w:t>לא</w:t>
      </w:r>
      <w:r w:rsidR="00583595">
        <w:rPr>
          <w:rFonts w:hint="cs"/>
          <w:rtl/>
        </w:rPr>
        <w:t xml:space="preserve"> נכון וינמק לפי שיטת עצמו, ולא יעמול לברר את שיטת אותו חכ</w:t>
      </w:r>
      <w:r w:rsidR="00C8202C">
        <w:rPr>
          <w:rFonts w:hint="cs"/>
          <w:rtl/>
        </w:rPr>
        <w:t>ם. גם אותי לא מעניין מה חשב יווני כלשהו לפני אלפיים ו</w:t>
      </w:r>
      <w:r w:rsidR="00EB36E6">
        <w:rPr>
          <w:rFonts w:hint="cs"/>
          <w:rtl/>
        </w:rPr>
        <w:t>ח</w:t>
      </w:r>
      <w:r w:rsidR="00C8202C">
        <w:rPr>
          <w:rFonts w:hint="cs"/>
          <w:rtl/>
        </w:rPr>
        <w:t>מ</w:t>
      </w:r>
      <w:r w:rsidR="00EB36E6">
        <w:rPr>
          <w:rFonts w:hint="cs"/>
          <w:rtl/>
        </w:rPr>
        <w:t>ש</w:t>
      </w:r>
      <w:r w:rsidR="00C8202C">
        <w:rPr>
          <w:rFonts w:hint="cs"/>
          <w:rtl/>
        </w:rPr>
        <w:t xml:space="preserve"> מאות שנה</w:t>
      </w:r>
      <w:r w:rsidR="00EB36E6">
        <w:rPr>
          <w:rFonts w:hint="cs"/>
          <w:rtl/>
        </w:rPr>
        <w:t>. מה זה נוגע אלי. רק אם הוא מאיר לי את הדרך שלי לאלוהי שלי, אני לומד את דבריו, ולא כדי לדעת מה הוא בעצמו חשב אלא כדי שאני אתקרב לאלוהי</w:t>
      </w:r>
      <w:r w:rsidR="006E48DE">
        <w:rPr>
          <w:rFonts w:hint="cs"/>
          <w:rtl/>
        </w:rPr>
        <w:t xml:space="preserve"> שלי לפי הבנתי שלי, הוא רק עוזר לי להגיע להבנתי שלי</w:t>
      </w:r>
      <w:r w:rsidR="00EB36E6">
        <w:rPr>
          <w:rFonts w:hint="cs"/>
          <w:rtl/>
        </w:rPr>
        <w:t>.</w:t>
      </w:r>
      <w:r w:rsidR="006E48DE">
        <w:rPr>
          <w:rFonts w:hint="cs"/>
          <w:rtl/>
        </w:rPr>
        <w:t xml:space="preserve"> וכך גם היחס של אבן סינא לפילופונוס כאן.</w:t>
      </w:r>
    </w:p>
    <w:p w14:paraId="4AE5CB5D" w14:textId="77777777" w:rsidR="004B7E46" w:rsidRDefault="006E48DE">
      <w:pPr>
        <w:pStyle w:val="FootnoteText"/>
        <w:rPr>
          <w:rtl/>
        </w:rPr>
      </w:pPr>
      <w:r>
        <w:rPr>
          <w:rFonts w:hint="cs"/>
          <w:rtl/>
        </w:rPr>
        <w:t>מכל מקום אבן סינא בכל זאת רומז מה פילופונוס בעצמו חשב</w:t>
      </w:r>
      <w:r w:rsidR="004B7E46">
        <w:rPr>
          <w:rFonts w:hint="cs"/>
          <w:rtl/>
        </w:rPr>
        <w:t>, וזה מועיל לענייננו להבהיר את תוכן העניין על ידי חידוד המחלוקת</w:t>
      </w:r>
      <w:r>
        <w:rPr>
          <w:rFonts w:hint="cs"/>
          <w:rtl/>
        </w:rPr>
        <w:t>.</w:t>
      </w:r>
    </w:p>
    <w:p w14:paraId="555E6AD3" w14:textId="77777777" w:rsidR="00862300" w:rsidRDefault="003B3DED">
      <w:pPr>
        <w:pStyle w:val="FootnoteText"/>
        <w:rPr>
          <w:rtl/>
        </w:rPr>
      </w:pPr>
      <w:r>
        <w:rPr>
          <w:rFonts w:hint="cs"/>
          <w:rtl/>
        </w:rPr>
        <w:t>אבן סינא כתב שפילופונוס עשה את הכח כמו 'סוג', והשתמש במילה היוונית גנוס</w:t>
      </w:r>
      <w:r w:rsidR="00A66668">
        <w:rPr>
          <w:rFonts w:hint="cs"/>
          <w:rtl/>
        </w:rPr>
        <w:t>, שפירושה סוג כמונח האריסטוטלי של סוג ומין.</w:t>
      </w:r>
      <w:r w:rsidR="0036546D">
        <w:rPr>
          <w:rFonts w:hint="cs"/>
          <w:rtl/>
        </w:rPr>
        <w:t xml:space="preserve"> ונגד זה כתב אבן סינא שהכח הוא מניע של הגוף והוא אחר לעצם הגוף. </w:t>
      </w:r>
      <w:r w:rsidR="003E53A6">
        <w:rPr>
          <w:rFonts w:hint="cs"/>
          <w:rtl/>
        </w:rPr>
        <w:t>מזה יובן שההסתכלות שהכח הוא 'סוג' סותרת להסתכלות שהכח ועצם הגוף הם אחרים.</w:t>
      </w:r>
    </w:p>
    <w:p w14:paraId="5851A918" w14:textId="39CF3C61" w:rsidR="004114EC" w:rsidRDefault="008B6638">
      <w:pPr>
        <w:pStyle w:val="FootnoteText"/>
        <w:rPr>
          <w:rtl/>
        </w:rPr>
      </w:pPr>
      <w:r>
        <w:rPr>
          <w:rFonts w:hint="cs"/>
          <w:rtl/>
        </w:rPr>
        <w:t>עשר הקטגוריות של אריסטו, העצם</w:t>
      </w:r>
      <w:r w:rsidR="0072555E">
        <w:rPr>
          <w:rFonts w:hint="cs"/>
          <w:rtl/>
        </w:rPr>
        <w:t>,</w:t>
      </w:r>
      <w:r>
        <w:rPr>
          <w:rFonts w:hint="cs"/>
          <w:rtl/>
        </w:rPr>
        <w:t xml:space="preserve"> הכמות</w:t>
      </w:r>
      <w:r w:rsidR="0072555E">
        <w:rPr>
          <w:rFonts w:hint="cs"/>
          <w:rtl/>
        </w:rPr>
        <w:t>,</w:t>
      </w:r>
      <w:r>
        <w:rPr>
          <w:rFonts w:hint="cs"/>
          <w:rtl/>
        </w:rPr>
        <w:t xml:space="preserve"> האיכות</w:t>
      </w:r>
      <w:r w:rsidR="0072555E">
        <w:rPr>
          <w:rFonts w:hint="cs"/>
          <w:rtl/>
        </w:rPr>
        <w:t>,</w:t>
      </w:r>
      <w:r>
        <w:rPr>
          <w:rFonts w:hint="cs"/>
          <w:rtl/>
        </w:rPr>
        <w:t xml:space="preserve"> </w:t>
      </w:r>
      <w:r w:rsidR="0072555E">
        <w:rPr>
          <w:rFonts w:hint="cs"/>
          <w:rtl/>
        </w:rPr>
        <w:t>המצב, המקום</w:t>
      </w:r>
      <w:r w:rsidR="005E4478">
        <w:rPr>
          <w:rFonts w:hint="cs"/>
          <w:rtl/>
        </w:rPr>
        <w:t>,</w:t>
      </w:r>
      <w:r w:rsidR="0072555E">
        <w:rPr>
          <w:rFonts w:hint="cs"/>
          <w:rtl/>
        </w:rPr>
        <w:t xml:space="preserve"> הזמן וכו', </w:t>
      </w:r>
      <w:r w:rsidR="005E4478">
        <w:rPr>
          <w:rFonts w:hint="cs"/>
          <w:rtl/>
        </w:rPr>
        <w:t xml:space="preserve">נקראות עשר הסוגים העליונים, כלומר אין סוג מעליהם שכולל אותם. להיות נמצא זה לא סוג כמו שביאר אריסטו במטאפיזיקה גמא ועוד. </w:t>
      </w:r>
      <w:r w:rsidR="00F765AC">
        <w:rPr>
          <w:rFonts w:hint="cs"/>
          <w:rtl/>
        </w:rPr>
        <w:t xml:space="preserve">הכוונה בזה שכל אחת מהקטגוריות היא אופן של מציאות בפני עצמו. הצבע האדום הוא 'נמצא' במובן 'מציאות' של קטגוריית איכות, המידה 'אורך מטר אחד' נמצאת במובן 'מציאות' של קטגוריית כמות. כיוון שאין סוג עליון שכולל תחתיו את הקטגוריות, אין 'מציאות' במובן אחד כולל, </w:t>
      </w:r>
      <w:r w:rsidR="006C7EA5">
        <w:rPr>
          <w:rFonts w:hint="cs"/>
          <w:rtl/>
        </w:rPr>
        <w:t xml:space="preserve">אלא יש עשרה מובנים שונים של 'להיות נמצא', וכל היא מציאות </w:t>
      </w:r>
      <w:r w:rsidR="009C463A">
        <w:rPr>
          <w:rFonts w:hint="cs"/>
          <w:rtl/>
        </w:rPr>
        <w:t>ההוויה</w:t>
      </w:r>
      <w:r w:rsidR="006C7EA5">
        <w:rPr>
          <w:rFonts w:hint="cs"/>
          <w:rtl/>
        </w:rPr>
        <w:t xml:space="preserve"> שהיא מתחלקת לעשר בחינות הווייה ואין בחינת הווייה אחת שכוללת הכל (האין סוף הוא </w:t>
      </w:r>
      <w:r w:rsidR="00722934">
        <w:rPr>
          <w:rFonts w:hint="cs"/>
          <w:rtl/>
        </w:rPr>
        <w:t xml:space="preserve">הכרחי המציאות וכולל את כל המובנים של להיות 'נמצא', </w:t>
      </w:r>
      <w:r w:rsidR="006C7EA5">
        <w:rPr>
          <w:rFonts w:hint="cs"/>
          <w:rtl/>
        </w:rPr>
        <w:t xml:space="preserve">אבל הוא </w:t>
      </w:r>
      <w:r w:rsidR="00722934">
        <w:rPr>
          <w:rFonts w:hint="cs"/>
          <w:rtl/>
        </w:rPr>
        <w:t>לא</w:t>
      </w:r>
      <w:r w:rsidR="006C7EA5">
        <w:rPr>
          <w:rFonts w:hint="cs"/>
          <w:rtl/>
        </w:rPr>
        <w:t xml:space="preserve"> נתפש ו</w:t>
      </w:r>
      <w:r w:rsidR="00722934">
        <w:rPr>
          <w:rFonts w:hint="cs"/>
          <w:rtl/>
        </w:rPr>
        <w:t>אינו חלק מהטבע, ולא כאן המקום להאריך)</w:t>
      </w:r>
      <w:r w:rsidR="006C7EA5">
        <w:rPr>
          <w:rFonts w:hint="cs"/>
          <w:rtl/>
        </w:rPr>
        <w:t xml:space="preserve">. </w:t>
      </w:r>
      <w:r w:rsidR="00D6374D">
        <w:rPr>
          <w:rFonts w:hint="cs"/>
          <w:rtl/>
        </w:rPr>
        <w:t xml:space="preserve">כל מה שנמצא, המובן של המילה 'נמצא' ביחס אליו תלויה בקטגוריה אליה הוא שייך, היא הנותנת את המובן של 'נמצא'. </w:t>
      </w:r>
      <w:r w:rsidR="004564B5">
        <w:rPr>
          <w:rFonts w:hint="cs"/>
          <w:rtl/>
        </w:rPr>
        <w:t>אם אומרים שאורך מטר או צבע אדום הם דברים</w:t>
      </w:r>
      <w:r w:rsidR="001F0742">
        <w:rPr>
          <w:rFonts w:hint="cs"/>
          <w:rtl/>
        </w:rPr>
        <w:t xml:space="preserve"> </w:t>
      </w:r>
      <w:r w:rsidR="004564B5">
        <w:rPr>
          <w:rFonts w:hint="cs"/>
          <w:rtl/>
        </w:rPr>
        <w:t>שנמצאים, אפשר</w:t>
      </w:r>
      <w:r w:rsidR="001F0742">
        <w:rPr>
          <w:rFonts w:hint="cs"/>
          <w:rtl/>
        </w:rPr>
        <w:t xml:space="preserve"> </w:t>
      </w:r>
      <w:r w:rsidR="004564B5">
        <w:rPr>
          <w:rFonts w:hint="cs"/>
          <w:rtl/>
        </w:rPr>
        <w:t xml:space="preserve">לשאול הרי אני </w:t>
      </w:r>
      <w:r w:rsidR="001F0742">
        <w:rPr>
          <w:rFonts w:hint="cs"/>
          <w:rtl/>
        </w:rPr>
        <w:t>לא</w:t>
      </w:r>
      <w:r w:rsidR="004564B5">
        <w:rPr>
          <w:rFonts w:hint="cs"/>
          <w:rtl/>
        </w:rPr>
        <w:t xml:space="preserve"> יכול לקחת </w:t>
      </w:r>
      <w:r w:rsidR="001F0742">
        <w:rPr>
          <w:rFonts w:hint="cs"/>
          <w:rtl/>
        </w:rPr>
        <w:t>חפץ שהוא הצבע האדום או האורך שמידתו מטר, ולהכניסו לביתי</w:t>
      </w:r>
      <w:r w:rsidR="003A3394">
        <w:rPr>
          <w:rFonts w:hint="cs"/>
          <w:rtl/>
        </w:rPr>
        <w:t xml:space="preserve">. הצבע או האורך או המקום של משהו או הזמן של משהו </w:t>
      </w:r>
      <w:r w:rsidR="000851CC">
        <w:rPr>
          <w:rFonts w:hint="cs"/>
          <w:rtl/>
        </w:rPr>
        <w:t>אינו דבר ש</w:t>
      </w:r>
      <w:r w:rsidR="003A3394">
        <w:rPr>
          <w:rFonts w:hint="cs"/>
          <w:rtl/>
        </w:rPr>
        <w:t xml:space="preserve">'נמצא' באותו מובן שמלפפון </w:t>
      </w:r>
      <w:r w:rsidR="000851CC">
        <w:rPr>
          <w:rFonts w:hint="cs"/>
          <w:rtl/>
        </w:rPr>
        <w:t>'</w:t>
      </w:r>
      <w:r w:rsidR="003A3394">
        <w:rPr>
          <w:rFonts w:hint="cs"/>
          <w:rtl/>
        </w:rPr>
        <w:t>נמצא</w:t>
      </w:r>
      <w:r w:rsidR="000851CC">
        <w:rPr>
          <w:rFonts w:hint="cs"/>
          <w:rtl/>
        </w:rPr>
        <w:t>', ובכל זאת אי אפשר לומר שהוא לא נמצא</w:t>
      </w:r>
      <w:r w:rsidR="003A3394">
        <w:rPr>
          <w:rFonts w:hint="cs"/>
          <w:rtl/>
        </w:rPr>
        <w:t xml:space="preserve">. </w:t>
      </w:r>
      <w:r w:rsidR="000851CC">
        <w:rPr>
          <w:rFonts w:hint="cs"/>
          <w:rtl/>
        </w:rPr>
        <w:t>התשובה היא שהצבע נמצא במובן של 'נמצא' שהוא קטגוריית האיכות, וה</w:t>
      </w:r>
      <w:r w:rsidR="004E0EC1">
        <w:rPr>
          <w:rFonts w:hint="cs"/>
          <w:rtl/>
        </w:rPr>
        <w:t>שעה</w:t>
      </w:r>
      <w:r w:rsidR="000851CC">
        <w:rPr>
          <w:rFonts w:hint="cs"/>
          <w:rtl/>
        </w:rPr>
        <w:t xml:space="preserve"> </w:t>
      </w:r>
      <w:r w:rsidR="004E0EC1">
        <w:rPr>
          <w:rFonts w:hint="cs"/>
          <w:rtl/>
        </w:rPr>
        <w:t xml:space="preserve">שבה הדבר נמצא, היא נמצאת במובן מציאות של קטגוריית הזמן, והאורך נמצא במובן מציאות של קטגוריית הכמות, וכן הלאה. </w:t>
      </w:r>
      <w:r w:rsidR="004472C9">
        <w:rPr>
          <w:rFonts w:hint="cs"/>
          <w:rtl/>
        </w:rPr>
        <w:t>והמלפפון 'נמצא' במובן של קטגוריית העצם, הוא נמצא כעצם. לכן אנו תופשים שה</w:t>
      </w:r>
      <w:r w:rsidR="004114EC">
        <w:rPr>
          <w:rFonts w:hint="cs"/>
          <w:rtl/>
        </w:rPr>
        <w:t>צבע או האורך אינם נמצאים באותו מובן שהמלפפון נמצא אע"פ שאינם בלתי נמצאים.</w:t>
      </w:r>
      <w:r w:rsidR="0000734F">
        <w:t xml:space="preserve"> </w:t>
      </w:r>
      <w:r w:rsidR="0000734F">
        <w:rPr>
          <w:rFonts w:hint="cs"/>
          <w:rtl/>
        </w:rPr>
        <w:t>עיין</w:t>
      </w:r>
      <w:r w:rsidR="001352A0">
        <w:rPr>
          <w:rFonts w:hint="cs"/>
          <w:rtl/>
        </w:rPr>
        <w:t xml:space="preserve"> בזה</w:t>
      </w:r>
      <w:r w:rsidR="005A0C34">
        <w:rPr>
          <w:rFonts w:hint="cs"/>
          <w:rtl/>
        </w:rPr>
        <w:t xml:space="preserve"> למשל</w:t>
      </w:r>
      <w:r w:rsidR="0000734F">
        <w:rPr>
          <w:rFonts w:hint="cs"/>
          <w:rtl/>
        </w:rPr>
        <w:t xml:space="preserve"> </w:t>
      </w:r>
      <w:r w:rsidR="005A0C34">
        <w:rPr>
          <w:rFonts w:hint="cs"/>
          <w:rtl/>
        </w:rPr>
        <w:t>ב</w:t>
      </w:r>
      <w:r w:rsidR="001352A0">
        <w:rPr>
          <w:rFonts w:hint="cs"/>
          <w:rtl/>
        </w:rPr>
        <w:t>פיזיקה ג' א' (200ב שורה 26</w:t>
      </w:r>
      <w:r w:rsidR="004C6856">
        <w:rPr>
          <w:rFonts w:hint="cs"/>
          <w:rtl/>
        </w:rPr>
        <w:t xml:space="preserve"> עד 201</w:t>
      </w:r>
      <w:r w:rsidR="00C366D4">
        <w:rPr>
          <w:rFonts w:hint="cs"/>
          <w:rtl/>
        </w:rPr>
        <w:t>א</w:t>
      </w:r>
      <w:r w:rsidR="004C6856">
        <w:rPr>
          <w:rFonts w:hint="cs"/>
          <w:rtl/>
        </w:rPr>
        <w:t xml:space="preserve"> שורה 10</w:t>
      </w:r>
      <w:r w:rsidR="001352A0">
        <w:rPr>
          <w:rFonts w:hint="cs"/>
          <w:rtl/>
        </w:rPr>
        <w:t>), ו</w:t>
      </w:r>
      <w:r w:rsidR="005A0C34">
        <w:rPr>
          <w:rFonts w:hint="cs"/>
          <w:rtl/>
        </w:rPr>
        <w:t xml:space="preserve">יש </w:t>
      </w:r>
      <w:r w:rsidR="001352A0">
        <w:rPr>
          <w:rFonts w:hint="cs"/>
          <w:rtl/>
        </w:rPr>
        <w:t xml:space="preserve">עוד מקומות רבים. </w:t>
      </w:r>
    </w:p>
    <w:p w14:paraId="608C9A2B" w14:textId="05A5A70A" w:rsidR="00F23047" w:rsidRDefault="00F23047">
      <w:pPr>
        <w:pStyle w:val="FootnoteText"/>
        <w:rPr>
          <w:rtl/>
        </w:rPr>
      </w:pPr>
      <w:r>
        <w:rPr>
          <w:rFonts w:hint="cs"/>
          <w:rtl/>
        </w:rPr>
        <w:t xml:space="preserve">כל הסוגים הם תחת הקטגוריות שהן הסוגים העליונים, וכל יחס של סוג למה שתחתיו הוא באופן היחס של הקטגוריות לסוגים שתחתיהן. </w:t>
      </w:r>
      <w:r w:rsidR="00790C70">
        <w:rPr>
          <w:rFonts w:hint="cs"/>
          <w:rtl/>
        </w:rPr>
        <w:t xml:space="preserve">עשר </w:t>
      </w:r>
      <w:r w:rsidR="00DC3FA9">
        <w:rPr>
          <w:rFonts w:hint="cs"/>
          <w:rtl/>
        </w:rPr>
        <w:t>הקטגוריות</w:t>
      </w:r>
      <w:r w:rsidR="00790C70">
        <w:rPr>
          <w:rFonts w:hint="cs"/>
          <w:rtl/>
        </w:rPr>
        <w:t xml:space="preserve"> </w:t>
      </w:r>
      <w:r w:rsidR="00DC3FA9">
        <w:rPr>
          <w:rFonts w:hint="cs"/>
          <w:rtl/>
        </w:rPr>
        <w:t>של אריסטו ה</w:t>
      </w:r>
      <w:r w:rsidR="00790C70">
        <w:rPr>
          <w:rFonts w:hint="cs"/>
          <w:rtl/>
        </w:rPr>
        <w:t>ן</w:t>
      </w:r>
      <w:r w:rsidR="00DC3FA9">
        <w:rPr>
          <w:rFonts w:hint="cs"/>
          <w:rtl/>
        </w:rPr>
        <w:t xml:space="preserve"> </w:t>
      </w:r>
      <w:r w:rsidR="00790C70">
        <w:rPr>
          <w:rFonts w:hint="cs"/>
          <w:rtl/>
        </w:rPr>
        <w:t xml:space="preserve">עשר הספירות של חכמי הקבלה וכמו שהארכתי בזה במקום אחר. </w:t>
      </w:r>
    </w:p>
    <w:p w14:paraId="427A1060" w14:textId="77777777" w:rsidR="000C4466" w:rsidRDefault="00F23047">
      <w:pPr>
        <w:pStyle w:val="FootnoteText"/>
        <w:rPr>
          <w:rtl/>
        </w:rPr>
      </w:pPr>
      <w:r>
        <w:rPr>
          <w:rFonts w:hint="cs"/>
          <w:rtl/>
        </w:rPr>
        <w:t xml:space="preserve">לפי זה, אדם וסוס ונשר כולם הם מינים תחת הסוג 'חי'. </w:t>
      </w:r>
      <w:r w:rsidR="003021D6">
        <w:rPr>
          <w:rFonts w:hint="cs"/>
          <w:rtl/>
        </w:rPr>
        <w:t xml:space="preserve">הפירוש הוא שמה שנמצא באדם סוס או נשר הוא 'נמצא' במובן של 'חיים'. </w:t>
      </w:r>
      <w:r w:rsidR="003467CD">
        <w:rPr>
          <w:rFonts w:hint="cs"/>
          <w:rtl/>
        </w:rPr>
        <w:t>כלומר יש כאן מציאות של חיים, והחיים יכולים להימצא במציאות של חיי אדם או חיי סוס או חיי נשר. מה שנמצא ב</w:t>
      </w:r>
      <w:r w:rsidR="0025704C">
        <w:rPr>
          <w:rFonts w:hint="cs"/>
          <w:rtl/>
        </w:rPr>
        <w:t>אמת</w:t>
      </w:r>
      <w:r w:rsidR="003467CD">
        <w:rPr>
          <w:rFonts w:hint="cs"/>
          <w:rtl/>
        </w:rPr>
        <w:t xml:space="preserve"> הוא רק </w:t>
      </w:r>
      <w:r w:rsidR="0025704C">
        <w:rPr>
          <w:rFonts w:hint="cs"/>
          <w:rtl/>
        </w:rPr>
        <w:t>'</w:t>
      </w:r>
      <w:r w:rsidR="003467CD">
        <w:rPr>
          <w:rFonts w:hint="cs"/>
          <w:rtl/>
        </w:rPr>
        <w:t>חיים</w:t>
      </w:r>
      <w:r w:rsidR="0025704C">
        <w:rPr>
          <w:rFonts w:hint="cs"/>
          <w:rtl/>
        </w:rPr>
        <w:t>'</w:t>
      </w:r>
      <w:r w:rsidR="003467CD">
        <w:rPr>
          <w:rFonts w:hint="cs"/>
          <w:rtl/>
        </w:rPr>
        <w:t>, המינים השונים שתחת הסוג 'חי' הם הופעות של אותם חיים שהם הסוג, הם מציאות ש</w:t>
      </w:r>
      <w:r w:rsidR="0025704C">
        <w:rPr>
          <w:rFonts w:hint="cs"/>
          <w:rtl/>
        </w:rPr>
        <w:t xml:space="preserve">ל הסוג כשהיא מתגלה מזוויות שונות שלה. </w:t>
      </w:r>
      <w:r w:rsidR="004C728C">
        <w:rPr>
          <w:rFonts w:hint="cs"/>
          <w:rtl/>
        </w:rPr>
        <w:t xml:space="preserve">לפי זה מה שנמצא לפני הכל הוא הסוג, הוא לבדו באמת נמצא, כל המינים שתחתיו הם </w:t>
      </w:r>
      <w:r w:rsidR="002A2D4C">
        <w:rPr>
          <w:rFonts w:hint="cs"/>
          <w:rtl/>
        </w:rPr>
        <w:t xml:space="preserve">בחינות במציאות שלו והם נולדים מהמציאות שלו ומציאותם חלק מממציאות הסוג כי הם בטלים כלפי מציאות הסוג, ואין להם מציאות עצמית. </w:t>
      </w:r>
    </w:p>
    <w:p w14:paraId="665D9F62" w14:textId="2A8071E8" w:rsidR="00665C0B" w:rsidRDefault="000C4466">
      <w:pPr>
        <w:pStyle w:val="FootnoteText"/>
        <w:rPr>
          <w:rtl/>
        </w:rPr>
      </w:pPr>
      <w:r>
        <w:rPr>
          <w:rFonts w:hint="cs"/>
          <w:rtl/>
        </w:rPr>
        <w:t>אם הכח הוא סוג בתוך הטבע, הכוונה בזה שמה שנמצא הוא הכח מצד עצמו</w:t>
      </w:r>
      <w:r w:rsidR="00062923">
        <w:rPr>
          <w:rFonts w:hint="cs"/>
          <w:rtl/>
        </w:rPr>
        <w:t xml:space="preserve">. מצד עצמו הוא מציאות מופשטות, וזה רק מה שנמצא בטבע, התנועה כשלעצמה כמציאות מופשטת, וכל הגופים הם רק </w:t>
      </w:r>
      <w:r w:rsidR="00125B1C">
        <w:rPr>
          <w:rFonts w:hint="cs"/>
          <w:rtl/>
        </w:rPr>
        <w:t>אופני התגלות של מציאות התנועה</w:t>
      </w:r>
      <w:r w:rsidR="003021D6">
        <w:rPr>
          <w:rFonts w:hint="cs"/>
          <w:rtl/>
        </w:rPr>
        <w:t xml:space="preserve"> </w:t>
      </w:r>
      <w:r w:rsidR="00125B1C">
        <w:rPr>
          <w:rFonts w:hint="cs"/>
          <w:rtl/>
        </w:rPr>
        <w:t xml:space="preserve">ואין להם מציאות משל עצמם. </w:t>
      </w:r>
      <w:r w:rsidR="00715051">
        <w:rPr>
          <w:rFonts w:hint="cs"/>
          <w:rtl/>
        </w:rPr>
        <w:t xml:space="preserve">עיין </w:t>
      </w:r>
      <w:bookmarkStart w:id="231" w:name="_Hlk103115007"/>
      <w:r w:rsidR="00715051">
        <w:rPr>
          <w:rFonts w:hint="cs"/>
          <w:rtl/>
        </w:rPr>
        <w:t>בעיונים בפילוסופיה</w:t>
      </w:r>
      <w:bookmarkEnd w:id="231"/>
      <w:r w:rsidR="00715051">
        <w:rPr>
          <w:rFonts w:hint="cs"/>
          <w:rtl/>
        </w:rPr>
        <w:t xml:space="preserve"> אריסטוטלית רשימה 35 במאמר התנועה יסוד </w:t>
      </w:r>
      <w:r w:rsidR="009C463A">
        <w:rPr>
          <w:rFonts w:hint="cs"/>
          <w:rtl/>
        </w:rPr>
        <w:t>ההוויה</w:t>
      </w:r>
      <w:r w:rsidR="00715051">
        <w:rPr>
          <w:rFonts w:hint="cs"/>
          <w:rtl/>
        </w:rPr>
        <w:t xml:space="preserve">, שם התבארו דברי אפלטון בזה, והתבאר שאכן </w:t>
      </w:r>
      <w:r w:rsidR="00892193">
        <w:rPr>
          <w:rFonts w:hint="cs"/>
          <w:rtl/>
        </w:rPr>
        <w:t xml:space="preserve">נביעת המציאות מהאין סוף מתחילה בתנועה מופשטת, תנועה לחוד בלי גוף שהוא זה שנע. </w:t>
      </w:r>
      <w:r w:rsidR="00DE21F1">
        <w:rPr>
          <w:rFonts w:hint="cs"/>
          <w:rtl/>
        </w:rPr>
        <w:t xml:space="preserve">משל לזה ממה שאומרים מדעני זמננו על </w:t>
      </w:r>
      <w:r w:rsidR="00892193">
        <w:rPr>
          <w:rFonts w:hint="cs"/>
          <w:rtl/>
        </w:rPr>
        <w:t>תנועת פוטון שהמסה שלו אפס</w:t>
      </w:r>
      <w:r w:rsidR="00DE21F1">
        <w:rPr>
          <w:rFonts w:hint="cs"/>
          <w:rtl/>
        </w:rPr>
        <w:t>,</w:t>
      </w:r>
      <w:r w:rsidR="00892193">
        <w:rPr>
          <w:rFonts w:hint="cs"/>
          <w:rtl/>
        </w:rPr>
        <w:t xml:space="preserve"> </w:t>
      </w:r>
      <w:r w:rsidR="00DE21F1">
        <w:rPr>
          <w:rFonts w:hint="cs"/>
          <w:rtl/>
        </w:rPr>
        <w:t>ו</w:t>
      </w:r>
      <w:r w:rsidR="00892193">
        <w:rPr>
          <w:rFonts w:hint="cs"/>
          <w:rtl/>
        </w:rPr>
        <w:t>היא גם תנועת גל אלקטרומגנטי שנע גם בלי תווך כי הוא תנועה לחוד, לא תנועה של משהו</w:t>
      </w:r>
      <w:r w:rsidR="00DE21F1">
        <w:rPr>
          <w:rFonts w:hint="cs"/>
          <w:rtl/>
        </w:rPr>
        <w:t xml:space="preserve"> שהוא זה שנע</w:t>
      </w:r>
      <w:r w:rsidR="00892193">
        <w:rPr>
          <w:rFonts w:hint="cs"/>
          <w:rtl/>
        </w:rPr>
        <w:t xml:space="preserve">. </w:t>
      </w:r>
      <w:r w:rsidR="00DE21F1">
        <w:rPr>
          <w:rFonts w:hint="cs"/>
          <w:rtl/>
        </w:rPr>
        <w:t xml:space="preserve">התפישה שלנו </w:t>
      </w:r>
      <w:r w:rsidR="003A4831">
        <w:rPr>
          <w:rFonts w:hint="cs"/>
          <w:rtl/>
        </w:rPr>
        <w:t>ח</w:t>
      </w:r>
      <w:r w:rsidR="00DE21F1">
        <w:rPr>
          <w:rFonts w:hint="cs"/>
          <w:rtl/>
        </w:rPr>
        <w:t xml:space="preserve">ומרית ואנחנו יכולים לייחס מציאות רק לחומר, כלומר למה שמוגדר, </w:t>
      </w:r>
      <w:r w:rsidR="00D43918">
        <w:rPr>
          <w:rFonts w:hint="cs"/>
          <w:rtl/>
        </w:rPr>
        <w:t xml:space="preserve">לגוף, </w:t>
      </w:r>
      <w:r w:rsidR="00DE21F1">
        <w:rPr>
          <w:rFonts w:hint="cs"/>
          <w:rtl/>
        </w:rPr>
        <w:t>וכמו שכתב במורה נבוכים א' פרקים כ"ו, מ"ט, ועוד מקומות,</w:t>
      </w:r>
      <w:r w:rsidR="00D43918">
        <w:rPr>
          <w:rFonts w:hint="cs"/>
          <w:rtl/>
        </w:rPr>
        <w:t xml:space="preserve"> </w:t>
      </w:r>
      <w:r w:rsidR="003A4831">
        <w:rPr>
          <w:rFonts w:hint="cs"/>
          <w:rtl/>
        </w:rPr>
        <w:t>לכן אנו יכולים לתפוש תנועה רק כתנועת גוף שהוא זה שנע, וקשה לנו לתפוש תנועה כמושג מופשט בלי גוף מוגדר שהוא</w:t>
      </w:r>
      <w:r w:rsidR="00D43918">
        <w:rPr>
          <w:rFonts w:hint="cs"/>
          <w:rtl/>
        </w:rPr>
        <w:t xml:space="preserve"> זה שנע</w:t>
      </w:r>
      <w:r w:rsidR="003A4831">
        <w:rPr>
          <w:rFonts w:hint="cs"/>
          <w:rtl/>
        </w:rPr>
        <w:t>. אבל לפי האמת המציאות מתחילה כתנועה מופשטת</w:t>
      </w:r>
      <w:r w:rsidR="00D43918">
        <w:rPr>
          <w:rFonts w:hint="cs"/>
          <w:rtl/>
        </w:rPr>
        <w:t xml:space="preserve"> בלי גוף נע</w:t>
      </w:r>
      <w:r w:rsidR="003A4831">
        <w:rPr>
          <w:rFonts w:hint="cs"/>
          <w:rtl/>
        </w:rPr>
        <w:t xml:space="preserve">, ורק אחר כך משתלשלת למציאות של גופים נעים. </w:t>
      </w:r>
      <w:r w:rsidR="007D1758">
        <w:rPr>
          <w:rFonts w:hint="cs"/>
          <w:rtl/>
        </w:rPr>
        <w:t>כך בכל עיון</w:t>
      </w:r>
      <w:r w:rsidR="00665C0B">
        <w:rPr>
          <w:rFonts w:hint="cs"/>
          <w:rtl/>
        </w:rPr>
        <w:t xml:space="preserve"> </w:t>
      </w:r>
      <w:r w:rsidR="007D1758">
        <w:rPr>
          <w:rFonts w:hint="cs"/>
          <w:rtl/>
        </w:rPr>
        <w:t>מטאפיזי איננו תופשים על מה מדובר כי במטאפיזיקה תמיד ההתחלה היא במה שאינו מוגדר בגוף ורק אחר כך נובעת מזה המציאות שלו בגוף. למשל אנו יכולים לתפוש אהבה כאהבה של א' לב', אבל במטאפיזיקה יש קודם אהבה בלי א' או ב' או שום גוף מוגדר, אהבה מופשטת, אהבה כאהבה, ורק אחר כך מתגשם מזה מציאות של גוף מוגדר שאוהב גו</w:t>
      </w:r>
      <w:r w:rsidR="00665C0B">
        <w:rPr>
          <w:rFonts w:hint="cs"/>
          <w:rtl/>
        </w:rPr>
        <w:t>ף</w:t>
      </w:r>
      <w:r w:rsidR="007D1758">
        <w:rPr>
          <w:rFonts w:hint="cs"/>
          <w:rtl/>
        </w:rPr>
        <w:t xml:space="preserve"> אחר, וכ</w:t>
      </w:r>
      <w:r w:rsidR="00665C0B">
        <w:rPr>
          <w:rFonts w:hint="cs"/>
          <w:rtl/>
        </w:rPr>
        <w:t>ן</w:t>
      </w:r>
      <w:r w:rsidR="007D1758">
        <w:rPr>
          <w:rFonts w:hint="cs"/>
          <w:rtl/>
        </w:rPr>
        <w:t xml:space="preserve"> בכל עניין.</w:t>
      </w:r>
    </w:p>
    <w:p w14:paraId="46682C1B" w14:textId="77777777" w:rsidR="00DC3FA9" w:rsidRDefault="00665C0B">
      <w:pPr>
        <w:pStyle w:val="FootnoteText"/>
        <w:rPr>
          <w:rtl/>
        </w:rPr>
      </w:pPr>
      <w:r>
        <w:rPr>
          <w:rFonts w:hint="cs"/>
          <w:rtl/>
        </w:rPr>
        <w:t xml:space="preserve">זו הכוונה במה שאבן סינא אמר כאן שפילופונוס תופש את התנועה כסוג, שבמציאות יש רק תנועה כתנועה, </w:t>
      </w:r>
      <w:r w:rsidR="008C02FB">
        <w:rPr>
          <w:rFonts w:hint="cs"/>
          <w:rtl/>
        </w:rPr>
        <w:t>כמציאות מופשטת, והמציאות של הגופים הנעים באה אחר כך והיא בטלה לגבי מציאותה של התנועה שהיא הסוג.</w:t>
      </w:r>
    </w:p>
    <w:p w14:paraId="730A4B30" w14:textId="57817F4A" w:rsidR="00CE123E" w:rsidRDefault="00601FF6">
      <w:pPr>
        <w:pStyle w:val="FootnoteText"/>
        <w:rPr>
          <w:rtl/>
        </w:rPr>
      </w:pPr>
      <w:r>
        <w:rPr>
          <w:rFonts w:hint="cs"/>
          <w:rtl/>
        </w:rPr>
        <w:t>המציאות של התנועה המופשטת היא במובן מציאות של הקטגוריות מקום וזמן</w:t>
      </w:r>
      <w:r w:rsidR="00CE123E">
        <w:rPr>
          <w:rFonts w:hint="cs"/>
          <w:rtl/>
        </w:rPr>
        <w:t xml:space="preserve">, הצירוף של מקום וזמן מונח בתוכו בהכרח גם תנועה, </w:t>
      </w:r>
      <w:r w:rsidR="00A363B4">
        <w:rPr>
          <w:rFonts w:hint="cs"/>
          <w:rtl/>
        </w:rPr>
        <w:t>ולא כאן המקום להאריך בזה</w:t>
      </w:r>
      <w:r>
        <w:rPr>
          <w:rFonts w:hint="cs"/>
          <w:rtl/>
        </w:rPr>
        <w:t xml:space="preserve">. </w:t>
      </w:r>
    </w:p>
    <w:p w14:paraId="1A99AB04" w14:textId="0BBBF118" w:rsidR="00267863" w:rsidRDefault="0002639A">
      <w:pPr>
        <w:pStyle w:val="FootnoteText"/>
        <w:rPr>
          <w:rtl/>
        </w:rPr>
      </w:pPr>
      <w:r>
        <w:rPr>
          <w:rFonts w:hint="cs"/>
          <w:rtl/>
        </w:rPr>
        <w:t xml:space="preserve">לכן כשפילופונוס אמר שהכח מחלחל בגופים, או באופן מילולי צולל בגופים או צולל אל הגופים, יש בזה כוונה מיוחדת, ולא רק שהכח נמצא בגופים, אלא שכח התנועה </w:t>
      </w:r>
      <w:r w:rsidR="000457DA">
        <w:rPr>
          <w:rFonts w:hint="cs"/>
          <w:rtl/>
        </w:rPr>
        <w:t>הוא המקור המופשט של מציאות הגופים, הוא נמצא בגופים כשורש הרוחני של הווייתם, והם התלבשות שלו, והוא יורד אליהם בירידה של סדר הווייה, מהמופשט אל הגשמי.</w:t>
      </w:r>
      <w:r w:rsidR="00B01157">
        <w:rPr>
          <w:rFonts w:hint="cs"/>
          <w:rtl/>
        </w:rPr>
        <w:t xml:space="preserve"> הכח המופשט העליון, המופשט, ירד ממעלתו בסדר </w:t>
      </w:r>
      <w:r w:rsidR="009C463A">
        <w:rPr>
          <w:rFonts w:hint="cs"/>
          <w:rtl/>
        </w:rPr>
        <w:t>ההוויה</w:t>
      </w:r>
      <w:r w:rsidR="00B01157">
        <w:rPr>
          <w:rFonts w:hint="cs"/>
          <w:rtl/>
        </w:rPr>
        <w:t xml:space="preserve"> ונמצא בתוך החומר שהוא מתחת למדרגת מציאותו, </w:t>
      </w:r>
      <w:r w:rsidR="00793176">
        <w:rPr>
          <w:rFonts w:hint="cs"/>
          <w:rtl/>
        </w:rPr>
        <w:t xml:space="preserve">שהוא זר למציאותו, </w:t>
      </w:r>
      <w:r w:rsidR="00B01157">
        <w:rPr>
          <w:rFonts w:hint="cs"/>
          <w:rtl/>
        </w:rPr>
        <w:t xml:space="preserve">ולכן פילופונוס אמר שהוא </w:t>
      </w:r>
      <w:r w:rsidR="00793176">
        <w:rPr>
          <w:rFonts w:hint="cs"/>
          <w:rtl/>
        </w:rPr>
        <w:t>"</w:t>
      </w:r>
      <w:r w:rsidR="00B01157">
        <w:rPr>
          <w:rFonts w:hint="cs"/>
          <w:rtl/>
        </w:rPr>
        <w:t>צולל</w:t>
      </w:r>
      <w:r w:rsidR="00793176">
        <w:rPr>
          <w:rFonts w:hint="cs"/>
          <w:rtl/>
        </w:rPr>
        <w:t>", כמו הצוללן שנמצא במקום שזר למהותו, ונמוך מאופן המציאות שבטבעו</w:t>
      </w:r>
      <w:r w:rsidR="00B01157">
        <w:rPr>
          <w:rFonts w:hint="cs"/>
          <w:rtl/>
        </w:rPr>
        <w:t>.</w:t>
      </w:r>
    </w:p>
    <w:p w14:paraId="36F1032E" w14:textId="44BAFE1C" w:rsidR="00DD5CDF" w:rsidRDefault="00267863">
      <w:pPr>
        <w:pStyle w:val="FootnoteText"/>
        <w:rPr>
          <w:rtl/>
        </w:rPr>
      </w:pPr>
      <w:r>
        <w:rPr>
          <w:rFonts w:hint="cs"/>
          <w:rtl/>
        </w:rPr>
        <w:t xml:space="preserve">אבן סינא לא חולק על אמיתת הדברים האלה, הוא רק </w:t>
      </w:r>
      <w:r w:rsidR="001431D6">
        <w:rPr>
          <w:rFonts w:hint="cs"/>
          <w:rtl/>
        </w:rPr>
        <w:t>מתנגד ל</w:t>
      </w:r>
      <w:r>
        <w:rPr>
          <w:rFonts w:hint="cs"/>
          <w:rtl/>
        </w:rPr>
        <w:t xml:space="preserve">כך שפילופונוס מדבר בשפה של מטאפיזיקה כשאנו עוסקים בלימוד הטבע, בפיזיקה. </w:t>
      </w:r>
      <w:r w:rsidR="00DD5CDF">
        <w:rPr>
          <w:rFonts w:hint="cs"/>
          <w:rtl/>
        </w:rPr>
        <w:t xml:space="preserve">זה דומה לכמה מחלוקות של אריסטו על אפלטון, שהן בעניין הזה. </w:t>
      </w:r>
    </w:p>
    <w:p w14:paraId="03A85F95" w14:textId="77777777" w:rsidR="00C1437D" w:rsidRDefault="00DD5CDF">
      <w:pPr>
        <w:pStyle w:val="FootnoteText"/>
        <w:rPr>
          <w:rtl/>
        </w:rPr>
      </w:pPr>
      <w:r>
        <w:rPr>
          <w:rFonts w:hint="cs"/>
          <w:rtl/>
        </w:rPr>
        <w:t xml:space="preserve">האדם מתחיל כיצור חומרי, כתינוק, כעיר פרא. הוא תופש את החומר בלבד. </w:t>
      </w:r>
      <w:r w:rsidR="006D1097">
        <w:rPr>
          <w:rFonts w:hint="cs"/>
          <w:rtl/>
        </w:rPr>
        <w:t xml:space="preserve">אחר כך מהעיון המאומץ בעומק של החומר הוא מתחיל לראות שיש בקיעים בהשקפה המטריאליסטית, שאין להם פתרון. זו העבודה של הרקליטוס שאמר שאי אפש רלבול באותו נהר פעמיים כי הכל נע ומשתנה, ותלמידו </w:t>
      </w:r>
      <w:r w:rsidR="0004341A">
        <w:rPr>
          <w:rFonts w:hint="cs"/>
          <w:rtl/>
        </w:rPr>
        <w:t xml:space="preserve">קראטילוס </w:t>
      </w:r>
      <w:r w:rsidR="006D1097">
        <w:rPr>
          <w:rFonts w:hint="cs"/>
          <w:rtl/>
        </w:rPr>
        <w:t xml:space="preserve">אמר שאין מילים </w:t>
      </w:r>
      <w:r w:rsidR="0004341A">
        <w:rPr>
          <w:rFonts w:hint="cs"/>
          <w:rtl/>
        </w:rPr>
        <w:t xml:space="preserve">כלל </w:t>
      </w:r>
      <w:r w:rsidR="006D1097">
        <w:rPr>
          <w:rFonts w:hint="cs"/>
          <w:rtl/>
        </w:rPr>
        <w:t>כי כל מיל</w:t>
      </w:r>
      <w:r w:rsidR="0004341A">
        <w:rPr>
          <w:rFonts w:hint="cs"/>
          <w:rtl/>
        </w:rPr>
        <w:t>ה</w:t>
      </w:r>
      <w:r w:rsidR="006D1097">
        <w:rPr>
          <w:rFonts w:hint="cs"/>
          <w:rtl/>
        </w:rPr>
        <w:t xml:space="preserve"> מבוססת על כך שהנהר הוא נהר, אבל הוא כל הזמן משתנה</w:t>
      </w:r>
      <w:r w:rsidR="0004341A">
        <w:rPr>
          <w:rFonts w:hint="cs"/>
          <w:rtl/>
        </w:rPr>
        <w:t>. ופרמנידס שראה את האחדות המוכרחת, אמר ש</w:t>
      </w:r>
      <w:r w:rsidR="008048D7">
        <w:rPr>
          <w:rFonts w:hint="cs"/>
          <w:rtl/>
        </w:rPr>
        <w:t>כ</w:t>
      </w:r>
      <w:r w:rsidR="0004341A">
        <w:rPr>
          <w:rFonts w:hint="cs"/>
          <w:rtl/>
        </w:rPr>
        <w:t xml:space="preserve">ל מה שמשתנה הוא אשלייה. </w:t>
      </w:r>
      <w:r w:rsidR="008048D7">
        <w:rPr>
          <w:rFonts w:hint="cs"/>
          <w:rtl/>
        </w:rPr>
        <w:t xml:space="preserve">הם גילו את הסדקים שבראייה החומרית הפשוטה, </w:t>
      </w:r>
      <w:r w:rsidR="00C1437D">
        <w:rPr>
          <w:rFonts w:hint="cs"/>
          <w:rtl/>
        </w:rPr>
        <w:t xml:space="preserve">ולא יכלו לפתור אותם, </w:t>
      </w:r>
      <w:r w:rsidR="008048D7">
        <w:rPr>
          <w:rFonts w:hint="cs"/>
          <w:rtl/>
        </w:rPr>
        <w:t>ועל יסוד עבודתם אפלטון הראה את תורת האידיאות.</w:t>
      </w:r>
    </w:p>
    <w:p w14:paraId="385FAC6E" w14:textId="1D4BCD89" w:rsidR="00C1437D" w:rsidRDefault="00C1437D">
      <w:pPr>
        <w:pStyle w:val="FootnoteText"/>
        <w:rPr>
          <w:rtl/>
        </w:rPr>
      </w:pPr>
      <w:r>
        <w:rPr>
          <w:rFonts w:hint="cs"/>
          <w:rtl/>
        </w:rPr>
        <w:t xml:space="preserve">העבודה ההדרגתית מהחומר ולמעלה בסולם, מחברת את כל כוחות האדם להשגה המטאפיזית שהוא מגיע אליה לבסוף. גם כח הדמיון שבו, גם איש ההמון שבו, הילד שבו, משתתפים בעמל העיון. </w:t>
      </w:r>
      <w:r w:rsidR="00634CD1">
        <w:rPr>
          <w:rFonts w:hint="cs"/>
          <w:rtl/>
        </w:rPr>
        <w:t>האדם מעיין ומבקש אמת מתוך הצמא הקיומי שלו, והוא עושה לשמה, את האמת משום שהיא אמת, כי הוא צמא לאמת ומחפש אותה, מהחומר כלפי מעלה. ספרי אריסטו הם במהלך כזה.</w:t>
      </w:r>
    </w:p>
    <w:p w14:paraId="2D4EF0A0" w14:textId="372EA435" w:rsidR="00D50DF8" w:rsidRDefault="00634CD1">
      <w:pPr>
        <w:pStyle w:val="FootnoteText"/>
        <w:rPr>
          <w:rtl/>
        </w:rPr>
      </w:pPr>
      <w:r>
        <w:rPr>
          <w:rFonts w:hint="cs"/>
          <w:rtl/>
        </w:rPr>
        <w:t xml:space="preserve">אם אדם מתחיל מהסוף, מהמסקנה, מהראיה המטאפיזית המופשטת, שרואה מייד שהמציאות מתחילה מהמופשט ביותר ומשם משתלשלת למטה, כמו המהלך של ספרי אפלטון, או ספרי האר"י, </w:t>
      </w:r>
      <w:r w:rsidR="00951648">
        <w:rPr>
          <w:rFonts w:hint="cs"/>
          <w:rtl/>
        </w:rPr>
        <w:t>וכיו"ב, מניין לו שכך האמת?</w:t>
      </w:r>
      <w:r w:rsidR="00951648">
        <w:rPr>
          <w:rFonts w:hint="cs"/>
        </w:rPr>
        <w:t xml:space="preserve"> </w:t>
      </w:r>
      <w:r w:rsidR="00951648">
        <w:rPr>
          <w:rFonts w:hint="cs"/>
          <w:rtl/>
        </w:rPr>
        <w:t xml:space="preserve">הוא צריך להאמין לחכמים שאמרו כך, ואז הוא מדקלם דברים שלא כל כוחות ההכרה שלו תופשים, בוודאי לא המגושמים. זה לא חיפש האמת היומי העצמי שלו, ולכן לא נובע מבקשת האמת הקיומית שלו, ולכן זו לא עבודה לשמה, לשם האמת משום שהיא אמת. </w:t>
      </w:r>
      <w:r w:rsidR="00850EC9">
        <w:rPr>
          <w:rFonts w:hint="cs"/>
          <w:rtl/>
        </w:rPr>
        <w:t xml:space="preserve">לכן יש להקפיד מאוד שכשלומדים פיזיקה לא מציצים למעלה אל מסקנות המטאפיזיקה, </w:t>
      </w:r>
      <w:r w:rsidR="005657D9">
        <w:rPr>
          <w:rFonts w:hint="cs"/>
          <w:rtl/>
        </w:rPr>
        <w:t xml:space="preserve">אלא מסתכלים במבט </w:t>
      </w:r>
      <w:r w:rsidR="008A226D">
        <w:rPr>
          <w:rFonts w:hint="cs"/>
          <w:rtl/>
        </w:rPr>
        <w:t>פ</w:t>
      </w:r>
      <w:r w:rsidR="005657D9">
        <w:rPr>
          <w:rFonts w:hint="cs"/>
          <w:rtl/>
        </w:rPr>
        <w:t>שוט על החומר באופן פשוט, ומתקשים ונאבקים ושואלים ולא עוקפים את השאלות בקפיצה של קיצור דרך אל המטאפיזיקה. זה</w:t>
      </w:r>
      <w:r w:rsidR="00D50DF8">
        <w:rPr>
          <w:rFonts w:hint="cs"/>
          <w:rtl/>
        </w:rPr>
        <w:t xml:space="preserve"> </w:t>
      </w:r>
      <w:r w:rsidR="005657D9">
        <w:rPr>
          <w:rFonts w:hint="cs"/>
          <w:rtl/>
        </w:rPr>
        <w:t>מה שכתב הרמב"ם בהלכות יסודי התורה</w:t>
      </w:r>
      <w:r w:rsidR="00D50DF8">
        <w:rPr>
          <w:rFonts w:hint="cs"/>
          <w:rtl/>
        </w:rPr>
        <w:t>,</w:t>
      </w:r>
      <w:r w:rsidR="005657D9">
        <w:rPr>
          <w:rFonts w:hint="cs"/>
          <w:rtl/>
        </w:rPr>
        <w:t xml:space="preserve"> </w:t>
      </w:r>
      <w:r w:rsidR="00D50DF8">
        <w:rPr>
          <w:rFonts w:hint="cs"/>
          <w:rtl/>
        </w:rPr>
        <w:t xml:space="preserve">סוף פרק ד', </w:t>
      </w:r>
      <w:r w:rsidR="005657D9">
        <w:rPr>
          <w:rFonts w:hint="cs"/>
          <w:rtl/>
        </w:rPr>
        <w:t xml:space="preserve">שאין לטייל בפרדס, כלומר לעסוק במעשה מרכבה, במטאפיזיקה, אלא רק אחרי שמילא את כרסו בלחם ובשר שהם הלימוד שמתחיל מהסתכלות על החומר כחומר. </w:t>
      </w:r>
    </w:p>
    <w:p w14:paraId="7AAE5B39" w14:textId="77777777" w:rsidR="00153F3D" w:rsidRDefault="00D50DF8">
      <w:pPr>
        <w:pStyle w:val="FootnoteText"/>
        <w:rPr>
          <w:rtl/>
        </w:rPr>
      </w:pPr>
      <w:r>
        <w:rPr>
          <w:rFonts w:hint="cs"/>
          <w:rtl/>
        </w:rPr>
        <w:t xml:space="preserve">בביאור שאני כותב כאן אני מסביר את דברי אבן סינא על פיזיקה בעזרת הסתכלות על המטאפיזיקה שמאירה את הדברים. </w:t>
      </w:r>
      <w:r w:rsidR="00792AA7">
        <w:rPr>
          <w:rFonts w:hint="cs"/>
          <w:rtl/>
        </w:rPr>
        <w:t>זה משום שאין לנו כח לעסוק בלימוד הטבע באופן שיוביל אותנו למטאפיזיקה, ואי</w:t>
      </w:r>
      <w:r w:rsidR="00484FDE">
        <w:rPr>
          <w:rFonts w:hint="cs"/>
          <w:rtl/>
        </w:rPr>
        <w:t>ן</w:t>
      </w:r>
      <w:r w:rsidR="00792AA7">
        <w:rPr>
          <w:rFonts w:hint="cs"/>
          <w:rtl/>
        </w:rPr>
        <w:t xml:space="preserve"> לנו כח להבין את דברי אבן סינא </w:t>
      </w:r>
      <w:r w:rsidR="00484FDE">
        <w:rPr>
          <w:rFonts w:hint="cs"/>
          <w:rtl/>
        </w:rPr>
        <w:t>שנכתבו מצד התבוננותו בטבע החומרי. לכן עלינו לוותר על המהלך הנכון ולקצר את הדרך. אבל לפי האמת אסור לעשות כך. זו הסיבה שאב סינא חולק כאן על פילופונוס ומחזיר את הדברים לאופן שבו הם נראים בעיני חוקר הטבע שמתחיל את הסתכלותו בחומר, ומבטל את מה שפילופונוס השתמש במטאפיזיקה כדי לבאר את הדברים.</w:t>
      </w:r>
      <w:r w:rsidR="00153F3D">
        <w:rPr>
          <w:rFonts w:hint="cs"/>
          <w:rtl/>
        </w:rPr>
        <w:t xml:space="preserve"> </w:t>
      </w:r>
    </w:p>
    <w:p w14:paraId="2D389C3C" w14:textId="77777777" w:rsidR="00391FA1" w:rsidRDefault="00153F3D">
      <w:pPr>
        <w:pStyle w:val="FootnoteText"/>
        <w:rPr>
          <w:rtl/>
        </w:rPr>
      </w:pPr>
      <w:r>
        <w:rPr>
          <w:rFonts w:hint="cs"/>
          <w:rtl/>
        </w:rPr>
        <w:t xml:space="preserve">הדילוג של פילופונוס על העמל של חקר הטבע בעיני החומר, שכרוך בראיית המציאות שהיא בחומר, כלומר </w:t>
      </w:r>
      <w:r w:rsidR="005A6703">
        <w:rPr>
          <w:rFonts w:hint="cs"/>
          <w:rtl/>
        </w:rPr>
        <w:t>הראייה ההתחלתית ש</w:t>
      </w:r>
      <w:r>
        <w:rPr>
          <w:rFonts w:hint="cs"/>
          <w:rtl/>
        </w:rPr>
        <w:t>החומר הוא מה שנמצא באופן הכי ראשוני מוחלט ואמיתי, כמו</w:t>
      </w:r>
      <w:r w:rsidR="005A6703">
        <w:rPr>
          <w:rFonts w:hint="cs"/>
          <w:rtl/>
        </w:rPr>
        <w:t xml:space="preserve"> </w:t>
      </w:r>
      <w:r>
        <w:rPr>
          <w:rFonts w:hint="cs"/>
          <w:rtl/>
        </w:rPr>
        <w:t xml:space="preserve">שכתב אריסטו בקטגוריות פרק </w:t>
      </w:r>
      <w:r w:rsidR="005A6703">
        <w:rPr>
          <w:rFonts w:hint="cs"/>
          <w:rtl/>
        </w:rPr>
        <w:t>ה</w:t>
      </w:r>
      <w:r>
        <w:rPr>
          <w:rFonts w:hint="cs"/>
          <w:rtl/>
        </w:rPr>
        <w:t xml:space="preserve">', </w:t>
      </w:r>
      <w:r w:rsidR="005A6703">
        <w:rPr>
          <w:rFonts w:hint="cs"/>
          <w:rtl/>
        </w:rPr>
        <w:t>זה קשור לנטייה הנוצרית למעט בחשיבות החומר ובהתייחסות אליו כאל נמצא באמת, כמו</w:t>
      </w:r>
      <w:r w:rsidR="003235DA">
        <w:rPr>
          <w:rFonts w:hint="cs"/>
          <w:rtl/>
        </w:rPr>
        <w:t xml:space="preserve"> </w:t>
      </w:r>
      <w:r w:rsidR="005A6703">
        <w:rPr>
          <w:rFonts w:hint="cs"/>
          <w:rtl/>
        </w:rPr>
        <w:t>שהתבאר לעיל</w:t>
      </w:r>
      <w:r w:rsidR="003235DA">
        <w:rPr>
          <w:rFonts w:hint="cs"/>
          <w:rtl/>
        </w:rPr>
        <w:t>, ואת זה אבן סינא תוקף בכל החריפות</w:t>
      </w:r>
      <w:r w:rsidR="005A6703">
        <w:rPr>
          <w:rFonts w:hint="cs"/>
          <w:rtl/>
        </w:rPr>
        <w:t>.</w:t>
      </w:r>
    </w:p>
    <w:p w14:paraId="07AC015C" w14:textId="77777777" w:rsidR="00A059CB" w:rsidRDefault="00391FA1" w:rsidP="00A059CB">
      <w:pPr>
        <w:pStyle w:val="FootnoteText"/>
        <w:rPr>
          <w:rtl/>
        </w:rPr>
      </w:pPr>
      <w:r>
        <w:rPr>
          <w:rFonts w:hint="cs"/>
          <w:rtl/>
        </w:rPr>
        <w:t>לכן אבן סינא כאן כותב שהכח אינו אלא התנועה של הגופים החומריים, כלומר לא מקור הווייתם</w:t>
      </w:r>
      <w:r w:rsidR="00381F0D">
        <w:rPr>
          <w:rFonts w:hint="cs"/>
          <w:rtl/>
        </w:rPr>
        <w:t>, הוא</w:t>
      </w:r>
      <w:r w:rsidR="008C4449">
        <w:rPr>
          <w:rFonts w:hint="cs"/>
          <w:rtl/>
        </w:rPr>
        <w:t xml:space="preserve"> </w:t>
      </w:r>
      <w:r w:rsidR="00381F0D">
        <w:rPr>
          <w:rFonts w:hint="cs"/>
          <w:rtl/>
        </w:rPr>
        <w:t xml:space="preserve">לא 'סוג' לפי </w:t>
      </w:r>
      <w:r w:rsidR="008C4449">
        <w:rPr>
          <w:rFonts w:hint="cs"/>
          <w:rtl/>
        </w:rPr>
        <w:t xml:space="preserve">ראיית הפילוסוף של הטבע (אלא רק לפי הראייה המטאפיזית), </w:t>
      </w:r>
      <w:r w:rsidR="00381F0D">
        <w:rPr>
          <w:rFonts w:hint="cs"/>
          <w:rtl/>
        </w:rPr>
        <w:t>וזה הפירוש של דברי אבן סינא שהכח אחר מהגופים</w:t>
      </w:r>
      <w:r w:rsidR="008C4449">
        <w:rPr>
          <w:rFonts w:hint="cs"/>
          <w:rtl/>
        </w:rPr>
        <w:t xml:space="preserve"> ואינו סוג</w:t>
      </w:r>
      <w:r>
        <w:rPr>
          <w:rFonts w:hint="cs"/>
          <w:rtl/>
        </w:rPr>
        <w:t xml:space="preserve">. </w:t>
      </w:r>
      <w:r w:rsidR="008C4449">
        <w:rPr>
          <w:rFonts w:hint="cs"/>
          <w:rtl/>
        </w:rPr>
        <w:t xml:space="preserve">וגם הלשון של פילופונוס שהכח 'צולל' בגופים אבן סינא כותב שזה מטאפיזיקה, ובחקר הטבע הכח פשוט </w:t>
      </w:r>
      <w:r w:rsidR="005E69F2">
        <w:rPr>
          <w:rFonts w:hint="cs"/>
          <w:rtl/>
        </w:rPr>
        <w:t>'</w:t>
      </w:r>
      <w:r w:rsidR="008C4449">
        <w:rPr>
          <w:rFonts w:hint="cs"/>
          <w:rtl/>
        </w:rPr>
        <w:t>נמצא</w:t>
      </w:r>
      <w:r w:rsidR="005E69F2">
        <w:rPr>
          <w:rFonts w:hint="cs"/>
          <w:rtl/>
        </w:rPr>
        <w:t>'</w:t>
      </w:r>
      <w:r w:rsidR="008C4449">
        <w:rPr>
          <w:rFonts w:hint="cs"/>
          <w:rtl/>
        </w:rPr>
        <w:t xml:space="preserve"> בגופים ואין להשתמש בראייה מטאפיזית בחקר הטבע.</w:t>
      </w:r>
    </w:p>
    <w:p w14:paraId="76D447DF" w14:textId="24EA00A0" w:rsidR="00B628A5" w:rsidRDefault="00A059CB" w:rsidP="00403416">
      <w:pPr>
        <w:pStyle w:val="FootnoteText"/>
      </w:pPr>
      <w:r>
        <w:rPr>
          <w:rFonts w:hint="cs"/>
          <w:rtl/>
        </w:rPr>
        <w:t xml:space="preserve">במקור היווני של פילופונוס </w:t>
      </w:r>
      <w:r w:rsidR="00FC5FA6">
        <w:rPr>
          <w:rFonts w:hint="cs"/>
          <w:rtl/>
        </w:rPr>
        <w:t xml:space="preserve">לא כתוב כמו שאבן סינא מביא אותו ש"הכח מחלחל בגופים", אלא כתוב </w:t>
      </w:r>
      <w:r w:rsidR="00BC16C1">
        <w:rPr>
          <w:rFonts w:hint="cs"/>
          <w:rtl/>
        </w:rPr>
        <w:t>"</w:t>
      </w:r>
      <w:r w:rsidR="00FC5FA6">
        <w:rPr>
          <w:rFonts w:hint="cs"/>
          <w:rtl/>
        </w:rPr>
        <w:t>החיים, כלומר הכח, מחלחל</w:t>
      </w:r>
      <w:r w:rsidR="00BC16C1">
        <w:rPr>
          <w:rFonts w:hint="cs"/>
          <w:rtl/>
        </w:rPr>
        <w:t>ים</w:t>
      </w:r>
      <w:r w:rsidR="00FC5FA6">
        <w:rPr>
          <w:rFonts w:hint="cs"/>
          <w:rtl/>
        </w:rPr>
        <w:t xml:space="preserve"> בגופים</w:t>
      </w:r>
      <w:r w:rsidR="00BC16C1">
        <w:rPr>
          <w:rFonts w:hint="cs"/>
          <w:rtl/>
        </w:rPr>
        <w:t xml:space="preserve"> (המשמעות המילולית </w:t>
      </w:r>
      <w:r w:rsidR="00C24845">
        <w:rPr>
          <w:rFonts w:hint="cs"/>
          <w:rtl/>
        </w:rPr>
        <w:t>'</w:t>
      </w:r>
      <w:r w:rsidR="00BC16C1">
        <w:rPr>
          <w:rFonts w:hint="cs"/>
          <w:rtl/>
        </w:rPr>
        <w:t>צולל</w:t>
      </w:r>
      <w:r w:rsidR="00417592">
        <w:rPr>
          <w:rFonts w:hint="cs"/>
          <w:rtl/>
        </w:rPr>
        <w:t>ים</w:t>
      </w:r>
      <w:r w:rsidR="00C24845">
        <w:rPr>
          <w:rFonts w:hint="cs"/>
          <w:rtl/>
        </w:rPr>
        <w:t>'</w:t>
      </w:r>
      <w:r w:rsidR="00BC16C1">
        <w:rPr>
          <w:rFonts w:hint="cs"/>
          <w:rtl/>
        </w:rPr>
        <w:t xml:space="preserve"> לגופים</w:t>
      </w:r>
      <w:r w:rsidR="00417592">
        <w:rPr>
          <w:rFonts w:hint="cs"/>
          <w:rtl/>
        </w:rPr>
        <w:t>)</w:t>
      </w:r>
      <w:r w:rsidR="00BC16C1">
        <w:rPr>
          <w:rFonts w:hint="cs"/>
          <w:rtl/>
        </w:rPr>
        <w:t>"</w:t>
      </w:r>
      <w:r w:rsidR="00FC5FA6">
        <w:rPr>
          <w:rFonts w:hint="cs"/>
          <w:rtl/>
        </w:rPr>
        <w:t xml:space="preserve">. </w:t>
      </w:r>
      <w:r w:rsidR="00B23422">
        <w:rPr>
          <w:rFonts w:hint="cs"/>
          <w:rtl/>
        </w:rPr>
        <w:t xml:space="preserve">וגם כתוב שם שהכח הזה לא רק מעצב </w:t>
      </w:r>
      <w:r w:rsidR="00B8569A">
        <w:rPr>
          <w:rFonts w:hint="cs"/>
          <w:rtl/>
        </w:rPr>
        <w:t>את הגופים</w:t>
      </w:r>
      <w:r w:rsidR="00B23422">
        <w:rPr>
          <w:rFonts w:hint="cs"/>
          <w:rtl/>
        </w:rPr>
        <w:t xml:space="preserve">, אלא שהוא </w:t>
      </w:r>
      <w:r w:rsidR="00417592">
        <w:rPr>
          <w:rFonts w:hint="cs"/>
          <w:rtl/>
        </w:rPr>
        <w:t>גם "</w:t>
      </w:r>
      <w:r w:rsidR="00B23422">
        <w:rPr>
          <w:rFonts w:hint="cs"/>
          <w:rtl/>
        </w:rPr>
        <w:t>מנהל</w:t>
      </w:r>
      <w:r w:rsidR="00417592">
        <w:rPr>
          <w:rFonts w:hint="cs"/>
          <w:rtl/>
        </w:rPr>
        <w:t>"</w:t>
      </w:r>
      <w:r w:rsidR="00B23422">
        <w:rPr>
          <w:rFonts w:hint="cs"/>
          <w:rtl/>
        </w:rPr>
        <w:t xml:space="preserve"> אותם</w:t>
      </w:r>
      <w:r w:rsidR="00417592">
        <w:rPr>
          <w:rFonts w:hint="cs"/>
          <w:rtl/>
        </w:rPr>
        <w:t xml:space="preserve"> </w:t>
      </w:r>
      <w:r w:rsidR="00697F3C">
        <w:rPr>
          <w:rFonts w:hint="cs"/>
          <w:rtl/>
        </w:rPr>
        <w:t>(</w:t>
      </w:r>
      <w:r w:rsidR="00697F3C" w:rsidRPr="00697F3C">
        <w:rPr>
          <w:rFonts w:asciiTheme="majorBidi" w:hAnsiTheme="majorBidi" w:cstheme="majorBidi"/>
        </w:rPr>
        <w:t>διοικητική</w:t>
      </w:r>
      <w:r w:rsidR="00697F3C">
        <w:rPr>
          <w:rFonts w:hint="cs"/>
          <w:rtl/>
        </w:rPr>
        <w:t>)</w:t>
      </w:r>
      <w:r w:rsidR="00B23422">
        <w:rPr>
          <w:rFonts w:hint="cs"/>
          <w:rtl/>
        </w:rPr>
        <w:t xml:space="preserve">. </w:t>
      </w:r>
      <w:r w:rsidR="00C90433">
        <w:rPr>
          <w:rFonts w:hint="cs"/>
          <w:rtl/>
        </w:rPr>
        <w:t xml:space="preserve">זה מדגיש עוד יותר את המבט המטאפיזי של פילופונוס על הכח ומקורו השמיימי ומקומו בסדר </w:t>
      </w:r>
      <w:r w:rsidR="009C463A">
        <w:rPr>
          <w:rFonts w:hint="cs"/>
          <w:rtl/>
        </w:rPr>
        <w:t>ההוויה</w:t>
      </w:r>
      <w:r w:rsidR="00C90433">
        <w:rPr>
          <w:rFonts w:hint="cs"/>
          <w:rtl/>
        </w:rPr>
        <w:t xml:space="preserve"> </w:t>
      </w:r>
      <w:r w:rsidR="00E36C02">
        <w:rPr>
          <w:rFonts w:hint="cs"/>
          <w:rtl/>
        </w:rPr>
        <w:t>כ</w:t>
      </w:r>
      <w:r w:rsidR="00C90433">
        <w:rPr>
          <w:rFonts w:hint="cs"/>
          <w:rtl/>
        </w:rPr>
        <w:t>רובד מופשט ש</w:t>
      </w:r>
      <w:r w:rsidR="00E36C02">
        <w:rPr>
          <w:rFonts w:hint="cs"/>
          <w:rtl/>
        </w:rPr>
        <w:t>ל</w:t>
      </w:r>
      <w:r w:rsidR="00C90433">
        <w:rPr>
          <w:rFonts w:hint="cs"/>
          <w:rtl/>
        </w:rPr>
        <w:t xml:space="preserve"> המציא</w:t>
      </w:r>
      <w:r w:rsidR="00E36C02">
        <w:rPr>
          <w:rFonts w:hint="cs"/>
          <w:rtl/>
        </w:rPr>
        <w:t>ו</w:t>
      </w:r>
      <w:r w:rsidR="00C90433">
        <w:rPr>
          <w:rFonts w:hint="cs"/>
          <w:rtl/>
        </w:rPr>
        <w:t>ת שמתווך בין הבורא לגופים החומריים</w:t>
      </w:r>
      <w:r w:rsidR="00E36C02">
        <w:rPr>
          <w:rFonts w:hint="cs"/>
          <w:rtl/>
        </w:rPr>
        <w:t xml:space="preserve">, </w:t>
      </w:r>
      <w:r w:rsidR="00C90433">
        <w:rPr>
          <w:rFonts w:hint="cs"/>
          <w:rtl/>
        </w:rPr>
        <w:t xml:space="preserve">וכמו שביארתי. </w:t>
      </w:r>
      <w:r w:rsidR="00B8569A">
        <w:rPr>
          <w:rFonts w:hint="cs"/>
          <w:rtl/>
        </w:rPr>
        <w:t xml:space="preserve">אבן סינא </w:t>
      </w:r>
      <w:r w:rsidR="00C24845">
        <w:rPr>
          <w:rFonts w:hint="cs"/>
          <w:rtl/>
        </w:rPr>
        <w:t>השמיט את המילה "חיים"</w:t>
      </w:r>
      <w:r w:rsidR="00403416">
        <w:rPr>
          <w:rFonts w:hint="cs"/>
          <w:rtl/>
        </w:rPr>
        <w:t xml:space="preserve"> ו</w:t>
      </w:r>
      <w:r w:rsidR="00B8569A">
        <w:rPr>
          <w:rFonts w:hint="cs"/>
          <w:rtl/>
        </w:rPr>
        <w:t xml:space="preserve">שינה את המובן של </w:t>
      </w:r>
      <w:r w:rsidR="00AE41B0">
        <w:rPr>
          <w:rFonts w:hint="cs"/>
          <w:rtl/>
        </w:rPr>
        <w:t>'</w:t>
      </w:r>
      <w:r w:rsidR="00B8569A">
        <w:rPr>
          <w:rFonts w:hint="cs"/>
          <w:rtl/>
        </w:rPr>
        <w:t>מנהל</w:t>
      </w:r>
      <w:r w:rsidR="00AE41B0">
        <w:rPr>
          <w:rFonts w:hint="cs"/>
          <w:rtl/>
        </w:rPr>
        <w:t>'</w:t>
      </w:r>
      <w:r w:rsidR="00B8569A">
        <w:rPr>
          <w:rFonts w:hint="cs"/>
          <w:rtl/>
        </w:rPr>
        <w:t xml:space="preserve"> וכתב </w:t>
      </w:r>
      <w:r w:rsidR="00AE41B0">
        <w:rPr>
          <w:rFonts w:hint="cs"/>
          <w:rtl/>
        </w:rPr>
        <w:t xml:space="preserve">במקומו שהכח </w:t>
      </w:r>
      <w:r w:rsidR="00B8569A">
        <w:rPr>
          <w:rFonts w:hint="cs"/>
          <w:rtl/>
        </w:rPr>
        <w:t>קובע את המזג או ההרכב</w:t>
      </w:r>
      <w:r w:rsidR="00AE41B0">
        <w:rPr>
          <w:rFonts w:hint="cs"/>
          <w:rtl/>
        </w:rPr>
        <w:t xml:space="preserve"> של הגופים</w:t>
      </w:r>
      <w:r w:rsidR="00B8569A">
        <w:rPr>
          <w:rFonts w:hint="cs"/>
          <w:rtl/>
        </w:rPr>
        <w:t>.</w:t>
      </w:r>
      <w:r w:rsidR="007F017D">
        <w:rPr>
          <w:rFonts w:hint="cs"/>
          <w:rtl/>
        </w:rPr>
        <w:t xml:space="preserve"> עיין מה שכתבתי בזה לעיל 1.5.5. </w:t>
      </w:r>
      <w:r w:rsidR="00CC0617">
        <w:rPr>
          <w:rFonts w:hint="cs"/>
          <w:rtl/>
        </w:rPr>
        <w:t>לפי מה שהתבאר</w:t>
      </w:r>
      <w:r w:rsidR="00C90433">
        <w:rPr>
          <w:rFonts w:hint="cs"/>
          <w:rtl/>
        </w:rPr>
        <w:t xml:space="preserve"> כאן,</w:t>
      </w:r>
      <w:r w:rsidR="00CC0617">
        <w:rPr>
          <w:rFonts w:hint="cs"/>
          <w:rtl/>
        </w:rPr>
        <w:t xml:space="preserve"> זה חלק ממה שאבן סינא רוצה להביא את הדברים להסתכלות של חוקר הטבע ולא של המטאפיזיקאי.</w:t>
      </w:r>
      <w:r w:rsidR="00A66668">
        <w:rPr>
          <w:rFonts w:hint="cs"/>
          <w:rtl/>
        </w:rPr>
        <w:t xml:space="preserve"> </w:t>
      </w:r>
      <w:r w:rsidR="006E48DE">
        <w:rPr>
          <w:rFonts w:hint="cs"/>
          <w:rtl/>
        </w:rPr>
        <w:t xml:space="preserve">  </w:t>
      </w:r>
      <w:r w:rsidR="00EB36E6">
        <w:rPr>
          <w:rFonts w:hint="cs"/>
          <w:rtl/>
        </w:rPr>
        <w:t xml:space="preserve"> </w:t>
      </w:r>
      <w:r w:rsidR="00C8202C">
        <w:rPr>
          <w:rFonts w:hint="cs"/>
          <w:rtl/>
        </w:rPr>
        <w:t xml:space="preserve"> </w:t>
      </w:r>
      <w:r w:rsidR="00F45444">
        <w:rPr>
          <w:rFonts w:hint="cs"/>
          <w:rtl/>
        </w:rPr>
        <w:t xml:space="preserve"> </w:t>
      </w:r>
      <w:r w:rsidR="00B40923">
        <w:rPr>
          <w:rFonts w:hint="cs"/>
          <w:rtl/>
        </w:rPr>
        <w:t xml:space="preserve">  </w:t>
      </w:r>
    </w:p>
  </w:footnote>
  <w:footnote w:id="463">
    <w:p w14:paraId="351A57C7" w14:textId="70CB0709" w:rsidR="006D41E5" w:rsidRDefault="006D41E5">
      <w:pPr>
        <w:pStyle w:val="FootnoteText"/>
      </w:pPr>
      <w:r>
        <w:rPr>
          <w:rStyle w:val="FootnoteReference"/>
        </w:rPr>
        <w:footnoteRef/>
      </w:r>
      <w:r>
        <w:rPr>
          <w:rtl/>
        </w:rPr>
        <w:t xml:space="preserve"> </w:t>
      </w:r>
      <w:r w:rsidR="00D444D0">
        <w:rPr>
          <w:rFonts w:hint="cs"/>
          <w:rtl/>
        </w:rPr>
        <w:t xml:space="preserve">מתייחס ללשון </w:t>
      </w:r>
      <w:r w:rsidR="00D444D0">
        <w:rPr>
          <w:rFonts w:hint="cs"/>
          <w:rtl/>
        </w:rPr>
        <w:t xml:space="preserve">פילופונוס בהוספתו על הגדרת אריסטו, שכתב שהטבע הוא כח המחלחל בגופים ומספק את </w:t>
      </w:r>
      <w:r w:rsidR="005879C0">
        <w:rPr>
          <w:rFonts w:hint="cs"/>
          <w:rtl/>
        </w:rPr>
        <w:t>הצורות ו</w:t>
      </w:r>
      <w:r w:rsidR="00960E87">
        <w:rPr>
          <w:rFonts w:hint="cs"/>
          <w:rtl/>
        </w:rPr>
        <w:t>המזג</w:t>
      </w:r>
      <w:r w:rsidR="00D444D0">
        <w:rPr>
          <w:rFonts w:hint="cs"/>
          <w:rtl/>
        </w:rPr>
        <w:t xml:space="preserve">. </w:t>
      </w:r>
      <w:r w:rsidR="005370E8">
        <w:rPr>
          <w:rFonts w:hint="cs"/>
          <w:rtl/>
        </w:rPr>
        <w:t xml:space="preserve">עיין ביאור בלשון זו של פילופונוס ובהבדל בין המקור היווני של פילופונוס לתרגום של אבן סינא את דבריו, לעיל 1.5.5. </w:t>
      </w:r>
    </w:p>
  </w:footnote>
  <w:footnote w:id="464">
    <w:p w14:paraId="63424968" w14:textId="61198350" w:rsidR="00CF25C1" w:rsidRPr="00D6106B" w:rsidRDefault="00CF25C1">
      <w:pPr>
        <w:pStyle w:val="FootnoteText"/>
        <w:rPr>
          <w:rtl/>
        </w:rPr>
      </w:pPr>
      <w:r>
        <w:rPr>
          <w:rStyle w:val="FootnoteReference"/>
        </w:rPr>
        <w:footnoteRef/>
      </w:r>
      <w:r>
        <w:rPr>
          <w:rtl/>
        </w:rPr>
        <w:t xml:space="preserve"> </w:t>
      </w:r>
      <w:r w:rsidR="005B7CF4">
        <w:rPr>
          <w:rFonts w:hint="cs"/>
          <w:rtl/>
        </w:rPr>
        <w:t xml:space="preserve">המילים האלה לא מופיעות בלשון </w:t>
      </w:r>
      <w:r w:rsidR="005B7CF4">
        <w:rPr>
          <w:rFonts w:hint="cs"/>
          <w:rtl/>
        </w:rPr>
        <w:t xml:space="preserve">פילופונוס שאבן סינא הביא לעיל 1.5.5, וגם לא במקור היווני של פילופונוס. </w:t>
      </w:r>
      <w:r w:rsidR="00F2061B">
        <w:rPr>
          <w:rFonts w:hint="cs"/>
          <w:rtl/>
        </w:rPr>
        <w:t xml:space="preserve">כנראה כיוון שאבן סינא רוצה לפרש שאין במילים של פילופונוס שום משמעות נוספת על הלשון 'התחלת תנועה' שכתב אריסטו, </w:t>
      </w:r>
      <w:r w:rsidR="00094985">
        <w:rPr>
          <w:rFonts w:hint="cs"/>
          <w:rtl/>
        </w:rPr>
        <w:t xml:space="preserve">והן זהות ל'התחלת תנועה', </w:t>
      </w:r>
      <w:r w:rsidR="00F2061B">
        <w:rPr>
          <w:rFonts w:hint="cs"/>
          <w:rtl/>
        </w:rPr>
        <w:t>לכן כיוון</w:t>
      </w:r>
      <w:r w:rsidR="00FC690F">
        <w:rPr>
          <w:rFonts w:hint="cs"/>
          <w:rtl/>
        </w:rPr>
        <w:t xml:space="preserve"> </w:t>
      </w:r>
      <w:r w:rsidR="00F2061B">
        <w:rPr>
          <w:rFonts w:hint="cs"/>
          <w:rtl/>
        </w:rPr>
        <w:t xml:space="preserve">שאריסטו כתב גם </w:t>
      </w:r>
      <w:r w:rsidR="00FC690F">
        <w:rPr>
          <w:rFonts w:hint="cs"/>
          <w:rtl/>
        </w:rPr>
        <w:t>'</w:t>
      </w:r>
      <w:r w:rsidR="00F2061B">
        <w:rPr>
          <w:rFonts w:hint="cs"/>
          <w:rtl/>
        </w:rPr>
        <w:t>התחלת מנוחה</w:t>
      </w:r>
      <w:r w:rsidR="00FC690F">
        <w:rPr>
          <w:rFonts w:hint="cs"/>
          <w:rtl/>
        </w:rPr>
        <w:t>'</w:t>
      </w:r>
      <w:r w:rsidR="00F2061B">
        <w:rPr>
          <w:rFonts w:hint="cs"/>
          <w:rtl/>
        </w:rPr>
        <w:t xml:space="preserve">, </w:t>
      </w:r>
      <w:r w:rsidR="00094985">
        <w:rPr>
          <w:rFonts w:hint="cs"/>
          <w:rtl/>
        </w:rPr>
        <w:t>צריך להיות</w:t>
      </w:r>
      <w:r w:rsidR="00FC690F">
        <w:rPr>
          <w:rFonts w:hint="cs"/>
          <w:rtl/>
        </w:rPr>
        <w:t xml:space="preserve"> גם לזה מובן </w:t>
      </w:r>
      <w:r w:rsidR="00094985">
        <w:rPr>
          <w:rFonts w:hint="cs"/>
          <w:rtl/>
        </w:rPr>
        <w:t>זהה ב</w:t>
      </w:r>
      <w:r w:rsidR="00FC690F">
        <w:rPr>
          <w:rFonts w:hint="cs"/>
          <w:rtl/>
        </w:rPr>
        <w:t>ניסוח של פילופונוס.</w:t>
      </w:r>
    </w:p>
    <w:p w14:paraId="1AB39C3F" w14:textId="69A3415F" w:rsidR="00463A15" w:rsidRDefault="001025BB">
      <w:pPr>
        <w:pStyle w:val="FootnoteText"/>
      </w:pPr>
      <w:r w:rsidRPr="00D6106B">
        <w:rPr>
          <w:rtl/>
        </w:rPr>
        <w:t>(</w:t>
      </w:r>
      <w:r w:rsidR="00463A15" w:rsidRPr="00D6106B">
        <w:rPr>
          <w:rtl/>
        </w:rPr>
        <w:t xml:space="preserve">במשפט הראשון בו אבן סינא אומר "לספק את המזג והצורות", </w:t>
      </w:r>
      <w:r w:rsidR="0043375C" w:rsidRPr="00D6106B">
        <w:rPr>
          <w:rtl/>
        </w:rPr>
        <w:t xml:space="preserve">הוא כתב </w:t>
      </w:r>
      <w:r w:rsidR="0043375C" w:rsidRPr="00D6106B">
        <w:rPr>
          <w:rFonts w:ascii="Arial" w:hAnsi="Arial" w:cs="Arial" w:hint="cs"/>
          <w:rtl/>
          <w:lang w:bidi="ar-SA"/>
        </w:rPr>
        <w:t>التخليق‌</w:t>
      </w:r>
      <w:r w:rsidR="008D0BC6" w:rsidRPr="00D6106B">
        <w:rPr>
          <w:rtl/>
        </w:rPr>
        <w:t xml:space="preserve"> </w:t>
      </w:r>
      <w:r w:rsidR="008D0BC6" w:rsidRPr="00D6106B">
        <w:rPr>
          <w:rFonts w:ascii="Arial" w:hAnsi="Arial" w:cs="Arial" w:hint="cs"/>
          <w:rtl/>
          <w:lang w:bidi="ar-SA"/>
        </w:rPr>
        <w:t>و</w:t>
      </w:r>
      <w:r w:rsidR="008D0BC6" w:rsidRPr="00D6106B">
        <w:rPr>
          <w:rtl/>
          <w:lang w:bidi="ar-SA"/>
        </w:rPr>
        <w:t xml:space="preserve"> </w:t>
      </w:r>
      <w:r w:rsidR="008D0BC6" w:rsidRPr="00D6106B">
        <w:rPr>
          <w:rFonts w:ascii="Arial" w:hAnsi="Arial" w:cs="Arial" w:hint="cs"/>
          <w:rtl/>
          <w:lang w:bidi="ar-SA"/>
        </w:rPr>
        <w:t>التشكيل</w:t>
      </w:r>
      <w:r w:rsidR="008D0BC6" w:rsidRPr="00D6106B">
        <w:rPr>
          <w:rtl/>
        </w:rPr>
        <w:t xml:space="preserve">. במשפט השני שבו כתב לשמר את המזג והצורות הוא כתב </w:t>
      </w:r>
      <w:r w:rsidR="002A57A8" w:rsidRPr="00D6106B">
        <w:rPr>
          <w:rFonts w:ascii="Arial" w:hAnsi="Arial" w:cs="Arial" w:hint="cs"/>
          <w:rtl/>
          <w:lang w:bidi="ar-SA"/>
        </w:rPr>
        <w:t>ال</w:t>
      </w:r>
      <w:bookmarkStart w:id="232" w:name="_Hlk103193719"/>
      <w:r w:rsidR="002A57A8" w:rsidRPr="00D6106B">
        <w:rPr>
          <w:rFonts w:ascii="Arial" w:hAnsi="Arial" w:cs="Arial" w:hint="cs"/>
          <w:rtl/>
          <w:lang w:bidi="ar-SA"/>
        </w:rPr>
        <w:t>خلق</w:t>
      </w:r>
      <w:bookmarkEnd w:id="232"/>
      <w:r w:rsidR="002A57A8" w:rsidRPr="00D6106B">
        <w:rPr>
          <w:rtl/>
          <w:lang w:bidi="ar-SA"/>
        </w:rPr>
        <w:t xml:space="preserve"> </w:t>
      </w:r>
      <w:r w:rsidR="002A57A8" w:rsidRPr="00D6106B">
        <w:rPr>
          <w:rFonts w:ascii="Arial" w:hAnsi="Arial" w:cs="Arial" w:hint="cs"/>
          <w:rtl/>
          <w:lang w:bidi="ar-SA"/>
        </w:rPr>
        <w:t>و</w:t>
      </w:r>
      <w:r w:rsidR="002A57A8" w:rsidRPr="00D6106B">
        <w:rPr>
          <w:rtl/>
          <w:lang w:bidi="ar-SA"/>
        </w:rPr>
        <w:t xml:space="preserve"> </w:t>
      </w:r>
      <w:r w:rsidR="002A57A8" w:rsidRPr="00D6106B">
        <w:rPr>
          <w:rFonts w:ascii="Arial" w:hAnsi="Arial" w:cs="Arial" w:hint="cs"/>
          <w:rtl/>
          <w:lang w:bidi="ar-SA"/>
        </w:rPr>
        <w:t>الأشكال</w:t>
      </w:r>
      <w:r w:rsidR="002A57A8" w:rsidRPr="00D6106B">
        <w:rPr>
          <w:rtl/>
        </w:rPr>
        <w:t xml:space="preserve">. אין הבדל </w:t>
      </w:r>
      <w:r w:rsidR="001F0F86" w:rsidRPr="00D6106B">
        <w:rPr>
          <w:rtl/>
        </w:rPr>
        <w:t xml:space="preserve">משמעות </w:t>
      </w:r>
      <w:r w:rsidR="002A57A8" w:rsidRPr="00D6106B">
        <w:rPr>
          <w:rtl/>
        </w:rPr>
        <w:t xml:space="preserve">בין הניסוחים, </w:t>
      </w:r>
      <w:r w:rsidR="00F306A1" w:rsidRPr="00D6106B">
        <w:rPr>
          <w:rtl/>
        </w:rPr>
        <w:t xml:space="preserve">אני מציין את זה </w:t>
      </w:r>
      <w:r w:rsidRPr="00D6106B">
        <w:rPr>
          <w:rtl/>
        </w:rPr>
        <w:t xml:space="preserve">כי </w:t>
      </w:r>
      <w:r w:rsidR="00F306A1" w:rsidRPr="00D6106B">
        <w:rPr>
          <w:rtl/>
        </w:rPr>
        <w:t xml:space="preserve">כמו שביארתי לעיל 1.5.5 נקטתי </w:t>
      </w:r>
      <w:r w:rsidR="00B23AE1" w:rsidRPr="00D6106B">
        <w:rPr>
          <w:rtl/>
        </w:rPr>
        <w:t xml:space="preserve">את המילה "מזג" </w:t>
      </w:r>
      <w:r w:rsidR="005728EE" w:rsidRPr="00D6106B">
        <w:rPr>
          <w:rtl/>
        </w:rPr>
        <w:t xml:space="preserve">כתרגום של המילה </w:t>
      </w:r>
      <w:r w:rsidR="005728EE" w:rsidRPr="00D6106B">
        <w:rPr>
          <w:rFonts w:ascii="Arial" w:hAnsi="Arial" w:cs="Arial" w:hint="cs"/>
          <w:rtl/>
          <w:lang w:bidi="ar-SA"/>
        </w:rPr>
        <w:t>خلق</w:t>
      </w:r>
      <w:r w:rsidR="005728EE" w:rsidRPr="00D6106B">
        <w:rPr>
          <w:rtl/>
        </w:rPr>
        <w:t xml:space="preserve"> (שיש לה עוד מובנים)</w:t>
      </w:r>
      <w:r w:rsidR="001F0F86" w:rsidRPr="00D6106B">
        <w:rPr>
          <w:rtl/>
        </w:rPr>
        <w:t>,</w:t>
      </w:r>
      <w:r w:rsidR="005728EE" w:rsidRPr="00D6106B">
        <w:rPr>
          <w:rtl/>
        </w:rPr>
        <w:t xml:space="preserve"> </w:t>
      </w:r>
      <w:r w:rsidR="00D6106B" w:rsidRPr="00D6106B">
        <w:rPr>
          <w:rtl/>
        </w:rPr>
        <w:t xml:space="preserve">גם </w:t>
      </w:r>
      <w:r w:rsidR="00B23AE1" w:rsidRPr="00D6106B">
        <w:rPr>
          <w:rtl/>
        </w:rPr>
        <w:t>בהסתייעות</w:t>
      </w:r>
      <w:r w:rsidRPr="00D6106B">
        <w:rPr>
          <w:rtl/>
        </w:rPr>
        <w:t xml:space="preserve"> </w:t>
      </w:r>
      <w:r w:rsidR="001F0F86" w:rsidRPr="00D6106B">
        <w:rPr>
          <w:rtl/>
        </w:rPr>
        <w:t>מ</w:t>
      </w:r>
      <w:r w:rsidRPr="00D6106B">
        <w:rPr>
          <w:rtl/>
        </w:rPr>
        <w:t>הזהות בין שתי הצורות שאבן סינא נוקט בהן כאן.</w:t>
      </w:r>
      <w:r w:rsidR="001F0F86" w:rsidRPr="00D6106B">
        <w:rPr>
          <w:rtl/>
        </w:rPr>
        <w:t>)</w:t>
      </w:r>
      <w:r w:rsidRPr="00D6106B">
        <w:rPr>
          <w:rtl/>
        </w:rPr>
        <w:t xml:space="preserve"> </w:t>
      </w:r>
      <w:r w:rsidR="00B23AE1">
        <w:rPr>
          <w:rFonts w:cs="Times New Roman" w:hint="cs"/>
          <w:rtl/>
        </w:rPr>
        <w:t xml:space="preserve"> </w:t>
      </w:r>
    </w:p>
  </w:footnote>
  <w:footnote w:id="465">
    <w:p w14:paraId="23F150DE" w14:textId="5E9C6FCF" w:rsidR="00260621" w:rsidRDefault="00260621">
      <w:pPr>
        <w:pStyle w:val="FootnoteText"/>
      </w:pPr>
      <w:r>
        <w:rPr>
          <w:rStyle w:val="FootnoteReference"/>
        </w:rPr>
        <w:footnoteRef/>
      </w:r>
      <w:r>
        <w:rPr>
          <w:rtl/>
        </w:rPr>
        <w:t xml:space="preserve"> </w:t>
      </w:r>
      <w:r w:rsidR="0077209A">
        <w:rPr>
          <w:rFonts w:hint="cs"/>
          <w:rtl/>
        </w:rPr>
        <w:t xml:space="preserve">בהסתכלות של אריסטו. </w:t>
      </w:r>
      <w:r>
        <w:rPr>
          <w:rFonts w:hint="cs"/>
          <w:rtl/>
        </w:rPr>
        <w:t>פילופונוס הוסיף את מילותיו כדי לתקן פגם שנמצא לפי דעתו בלשון אריסטו</w:t>
      </w:r>
      <w:r w:rsidR="00A0141B">
        <w:rPr>
          <w:rFonts w:hint="cs"/>
          <w:rtl/>
        </w:rPr>
        <w:t xml:space="preserve">, שמגדיר את הטבע ככח שהוא נפרד מהקיום של הגופים בפני עצמם. </w:t>
      </w:r>
    </w:p>
  </w:footnote>
  <w:footnote w:id="466">
    <w:p w14:paraId="4DBEB764" w14:textId="1D175048" w:rsidR="00FA0D47" w:rsidRDefault="00FA0D47">
      <w:pPr>
        <w:pStyle w:val="FootnoteText"/>
        <w:rPr>
          <w:rtl/>
        </w:rPr>
      </w:pPr>
      <w:r>
        <w:rPr>
          <w:rStyle w:val="FootnoteReference"/>
        </w:rPr>
        <w:footnoteRef/>
      </w:r>
      <w:r>
        <w:rPr>
          <w:rtl/>
        </w:rPr>
        <w:t xml:space="preserve"> </w:t>
      </w:r>
      <w:r w:rsidR="004906D2">
        <w:rPr>
          <w:rFonts w:hint="cs"/>
          <w:rtl/>
        </w:rPr>
        <w:t>לשון אריסטו בפיזיקה ג' א' (</w:t>
      </w:r>
      <w:r w:rsidR="004906D2">
        <w:rPr>
          <w:rFonts w:hint="cs"/>
          <w:rtl/>
        </w:rPr>
        <w:t>233ב שורה 33):</w:t>
      </w:r>
    </w:p>
    <w:p w14:paraId="6AF8559E" w14:textId="2942EE40" w:rsidR="004906D2" w:rsidRDefault="004906D2">
      <w:pPr>
        <w:pStyle w:val="FootnoteText"/>
        <w:rPr>
          <w:rtl/>
        </w:rPr>
      </w:pPr>
      <w:r>
        <w:rPr>
          <w:rFonts w:hint="cs"/>
          <w:rtl/>
        </w:rPr>
        <w:t>"</w:t>
      </w:r>
      <w:r w:rsidR="00C9323E" w:rsidRPr="00C9323E">
        <w:rPr>
          <w:rtl/>
        </w:rPr>
        <w:t>אין דבר כזה 'תנועה'</w:t>
      </w:r>
      <w:r w:rsidR="00C9323E">
        <w:rPr>
          <w:rFonts w:hint="cs"/>
          <w:rtl/>
        </w:rPr>
        <w:t xml:space="preserve"> </w:t>
      </w:r>
      <w:r w:rsidR="00B021CB">
        <w:rPr>
          <w:rFonts w:hint="cs"/>
          <w:rtl/>
        </w:rPr>
        <w:t>מעל ומעבר לדברים</w:t>
      </w:r>
      <w:r w:rsidR="00D723DA">
        <w:rPr>
          <w:rFonts w:hint="cs"/>
          <w:rtl/>
        </w:rPr>
        <w:t xml:space="preserve">. </w:t>
      </w:r>
      <w:r w:rsidR="00880DDA">
        <w:rPr>
          <w:rFonts w:hint="cs"/>
          <w:rtl/>
        </w:rPr>
        <w:t>מה שמשתנה משתנה</w:t>
      </w:r>
      <w:r w:rsidR="00D723DA">
        <w:rPr>
          <w:rFonts w:hint="cs"/>
          <w:rtl/>
        </w:rPr>
        <w:t xml:space="preserve"> תמיד ביחס לעצם או לכמות או לאיכות </w:t>
      </w:r>
      <w:r w:rsidR="00880DDA">
        <w:rPr>
          <w:rFonts w:hint="cs"/>
          <w:rtl/>
        </w:rPr>
        <w:t>או למקום</w:t>
      </w:r>
      <w:r w:rsidR="006C68E9">
        <w:rPr>
          <w:rFonts w:hint="cs"/>
          <w:rtl/>
        </w:rPr>
        <w:t xml:space="preserve">. אבל לא ייתכן, כמו שאנו אומרים, </w:t>
      </w:r>
      <w:r w:rsidR="0025671E">
        <w:rPr>
          <w:rFonts w:hint="cs"/>
          <w:rtl/>
        </w:rPr>
        <w:t xml:space="preserve">למצוא דבר משותף לאלה שאינו 'זה' [קטגוריית העצם], </w:t>
      </w:r>
      <w:r w:rsidR="00450B8D">
        <w:rPr>
          <w:rFonts w:hint="cs"/>
          <w:rtl/>
        </w:rPr>
        <w:t xml:space="preserve">לא כמות, לא איכות, או </w:t>
      </w:r>
      <w:r w:rsidR="00FB7385">
        <w:rPr>
          <w:rFonts w:hint="cs"/>
          <w:rtl/>
        </w:rPr>
        <w:t>אחד מהמאפיינים האחרים.</w:t>
      </w:r>
      <w:r w:rsidR="0025671E">
        <w:rPr>
          <w:rFonts w:hint="cs"/>
          <w:rtl/>
        </w:rPr>
        <w:t xml:space="preserve"> </w:t>
      </w:r>
      <w:r w:rsidR="00880DDA">
        <w:rPr>
          <w:rFonts w:hint="cs"/>
          <w:rtl/>
        </w:rPr>
        <w:t xml:space="preserve"> </w:t>
      </w:r>
      <w:r w:rsidR="0077680A">
        <w:rPr>
          <w:rFonts w:hint="cs"/>
          <w:rtl/>
        </w:rPr>
        <w:t xml:space="preserve">לכן שום תנועה או שינוי </w:t>
      </w:r>
      <w:r w:rsidR="00C1358C">
        <w:rPr>
          <w:rFonts w:hint="cs"/>
          <w:rtl/>
        </w:rPr>
        <w:t xml:space="preserve">לא </w:t>
      </w:r>
      <w:r w:rsidR="0077680A">
        <w:rPr>
          <w:rFonts w:hint="cs"/>
          <w:rtl/>
        </w:rPr>
        <w:t xml:space="preserve">יהיו מתייחסים למשהו שמעל ומעבר הדברים שהוזכרו. </w:t>
      </w:r>
      <w:r w:rsidR="00B2436E">
        <w:rPr>
          <w:rFonts w:hint="cs"/>
          <w:rtl/>
        </w:rPr>
        <w:t xml:space="preserve">כי </w:t>
      </w:r>
      <w:r w:rsidR="00D05A40">
        <w:rPr>
          <w:rFonts w:hint="cs"/>
          <w:rtl/>
        </w:rPr>
        <w:t>אין שום דבר מעל ומעבר להם</w:t>
      </w:r>
      <w:r w:rsidR="00303DB2">
        <w:rPr>
          <w:rFonts w:hint="cs"/>
          <w:rtl/>
        </w:rPr>
        <w:t>.</w:t>
      </w:r>
      <w:r>
        <w:rPr>
          <w:rFonts w:hint="cs"/>
          <w:rtl/>
        </w:rPr>
        <w:t>"</w:t>
      </w:r>
    </w:p>
    <w:p w14:paraId="26350691" w14:textId="46C1B58B" w:rsidR="00303DB2" w:rsidRDefault="00106383">
      <w:pPr>
        <w:pStyle w:val="FootnoteText"/>
        <w:rPr>
          <w:rtl/>
        </w:rPr>
      </w:pPr>
      <w:r>
        <w:rPr>
          <w:rFonts w:hint="cs"/>
          <w:rtl/>
        </w:rPr>
        <w:t>העובדה שאריסטו מתייחס לשאלה האם יש משהו שהוא מעל ומעבר לדברים היא עצמה מוכיחה שיש כאן נושא</w:t>
      </w:r>
      <w:r w:rsidR="00287D84">
        <w:rPr>
          <w:rFonts w:hint="cs"/>
          <w:rtl/>
        </w:rPr>
        <w:t xml:space="preserve"> אמיתי</w:t>
      </w:r>
      <w:r>
        <w:rPr>
          <w:rFonts w:hint="cs"/>
          <w:rtl/>
        </w:rPr>
        <w:t xml:space="preserve"> שיש להתייחס אליו. </w:t>
      </w:r>
      <w:r w:rsidR="0034247D">
        <w:rPr>
          <w:rFonts w:hint="cs"/>
          <w:rtl/>
        </w:rPr>
        <w:t>אריסטו ל</w:t>
      </w:r>
      <w:r w:rsidR="00590D2E">
        <w:rPr>
          <w:rFonts w:hint="cs"/>
          <w:rtl/>
        </w:rPr>
        <w:t>א</w:t>
      </w:r>
      <w:r w:rsidR="0034247D">
        <w:rPr>
          <w:rFonts w:hint="cs"/>
          <w:rtl/>
        </w:rPr>
        <w:t xml:space="preserve"> מתייחס לטעויות, גם לא של אפלטון, אם לדעתו הן רק טעויות. </w:t>
      </w:r>
      <w:r w:rsidR="00A40E36">
        <w:rPr>
          <w:rFonts w:hint="cs"/>
          <w:rtl/>
        </w:rPr>
        <w:t xml:space="preserve">הרי יש טעויות לאין מספר שחכמים טעו, ואין שום טעם לנסות להפריך את כולן. </w:t>
      </w:r>
      <w:r w:rsidR="00661B94">
        <w:rPr>
          <w:rFonts w:hint="cs"/>
          <w:rtl/>
        </w:rPr>
        <w:t xml:space="preserve">לא מגרשים את החושך במקלות אלא מדליקים נר. </w:t>
      </w:r>
      <w:r w:rsidR="00287D84">
        <w:rPr>
          <w:rFonts w:hint="cs"/>
          <w:rtl/>
        </w:rPr>
        <w:t xml:space="preserve">בכל מקום שאריסטו מתייחס לטעות כלשהי זה רק משום שההתייחסות מלמדת משהו על האמת. </w:t>
      </w:r>
      <w:r w:rsidR="008A631A">
        <w:rPr>
          <w:rFonts w:hint="cs"/>
          <w:rtl/>
        </w:rPr>
        <w:t>במטאפיזיקה, במיוחד בספר למבדא, אריסטו דן באריכות על מה שמעל ומעבר לדברים</w:t>
      </w:r>
      <w:r w:rsidR="000B0C3E">
        <w:rPr>
          <w:rFonts w:hint="cs"/>
          <w:rtl/>
        </w:rPr>
        <w:t>,</w:t>
      </w:r>
      <w:r w:rsidR="008A631A">
        <w:rPr>
          <w:rFonts w:hint="cs"/>
          <w:rtl/>
        </w:rPr>
        <w:t xml:space="preserve"> </w:t>
      </w:r>
      <w:r w:rsidR="00326711">
        <w:rPr>
          <w:rFonts w:hint="cs"/>
          <w:rtl/>
        </w:rPr>
        <w:t xml:space="preserve">ואומר שהוא המציאות האמיתית, </w:t>
      </w:r>
      <w:r w:rsidR="005F0B4D">
        <w:rPr>
          <w:rFonts w:hint="cs"/>
          <w:rtl/>
        </w:rPr>
        <w:t xml:space="preserve">ורק </w:t>
      </w:r>
      <w:r w:rsidR="00326711">
        <w:rPr>
          <w:rFonts w:hint="cs"/>
          <w:rtl/>
        </w:rPr>
        <w:t xml:space="preserve">הוא הכרחי המציאות. </w:t>
      </w:r>
      <w:r w:rsidR="00B41577">
        <w:rPr>
          <w:rFonts w:hint="cs"/>
          <w:rtl/>
        </w:rPr>
        <w:t>לכן</w:t>
      </w:r>
      <w:r w:rsidR="00301BB1">
        <w:rPr>
          <w:rFonts w:hint="cs"/>
          <w:rtl/>
        </w:rPr>
        <w:t xml:space="preserve"> </w:t>
      </w:r>
      <w:r w:rsidR="00B41577">
        <w:rPr>
          <w:rFonts w:hint="cs"/>
          <w:rtl/>
        </w:rPr>
        <w:t>בלי ספק</w:t>
      </w:r>
      <w:r w:rsidR="00326711">
        <w:rPr>
          <w:rFonts w:hint="cs"/>
          <w:rtl/>
        </w:rPr>
        <w:t xml:space="preserve"> כוונתו כאן למה שכתבתי מקודם שכיוון שאנו עוסקים כאן בפיזיקה יש להפריד אותה מהמבט המטאפיזי. </w:t>
      </w:r>
    </w:p>
    <w:p w14:paraId="17E01A00" w14:textId="3AF0DDF8" w:rsidR="00AE244F" w:rsidRDefault="00AE244F">
      <w:pPr>
        <w:pStyle w:val="FootnoteText"/>
        <w:rPr>
          <w:rtl/>
        </w:rPr>
      </w:pPr>
      <w:r>
        <w:rPr>
          <w:rFonts w:hint="cs"/>
          <w:rtl/>
        </w:rPr>
        <w:t xml:space="preserve">ועיין לקמן </w:t>
      </w:r>
      <w:hyperlink w:anchor="_1.7.3" w:history="1">
        <w:r w:rsidRPr="00E70EEA">
          <w:rPr>
            <w:rStyle w:val="Hyperlink"/>
            <w:rFonts w:hint="cs"/>
            <w:rtl/>
          </w:rPr>
          <w:t>1.7.3</w:t>
        </w:r>
      </w:hyperlink>
      <w:r>
        <w:rPr>
          <w:rFonts w:hint="cs"/>
          <w:rtl/>
        </w:rPr>
        <w:t xml:space="preserve"> </w:t>
      </w:r>
      <w:r w:rsidR="00D135A0">
        <w:rPr>
          <w:rFonts w:hint="cs"/>
          <w:rtl/>
        </w:rPr>
        <w:t>עוד מחלוקת, בשאלה האם לצורות המופשטות יש מציאות כשלעצמה כצורו</w:t>
      </w:r>
      <w:r w:rsidR="009357C2">
        <w:rPr>
          <w:rFonts w:hint="cs"/>
          <w:rtl/>
        </w:rPr>
        <w:t>ת</w:t>
      </w:r>
      <w:r w:rsidR="00D135A0">
        <w:rPr>
          <w:rFonts w:hint="cs"/>
          <w:rtl/>
        </w:rPr>
        <w:t xml:space="preserve"> מופשטות כלליות,</w:t>
      </w:r>
      <w:r w:rsidR="009357C2">
        <w:rPr>
          <w:rFonts w:hint="cs"/>
          <w:rtl/>
        </w:rPr>
        <w:t xml:space="preserve"> ו</w:t>
      </w:r>
      <w:r w:rsidR="00D135A0">
        <w:rPr>
          <w:rFonts w:hint="cs"/>
          <w:rtl/>
        </w:rPr>
        <w:t>ב</w:t>
      </w:r>
      <w:r w:rsidR="009357C2">
        <w:rPr>
          <w:rFonts w:hint="cs"/>
          <w:rtl/>
        </w:rPr>
        <w:t>תוכנ</w:t>
      </w:r>
      <w:r w:rsidR="00D135A0">
        <w:rPr>
          <w:rFonts w:hint="cs"/>
          <w:rtl/>
        </w:rPr>
        <w:t>ה היא או</w:t>
      </w:r>
      <w:r w:rsidR="009357C2">
        <w:rPr>
          <w:rFonts w:hint="cs"/>
          <w:rtl/>
        </w:rPr>
        <w:t>ת</w:t>
      </w:r>
      <w:r w:rsidR="00D135A0">
        <w:rPr>
          <w:rFonts w:hint="cs"/>
          <w:rtl/>
        </w:rPr>
        <w:t xml:space="preserve">ה מחלוקת </w:t>
      </w:r>
      <w:r w:rsidR="009357C2">
        <w:rPr>
          <w:rFonts w:hint="cs"/>
          <w:rtl/>
        </w:rPr>
        <w:t xml:space="preserve">עצמה </w:t>
      </w:r>
      <w:r w:rsidR="00D135A0">
        <w:rPr>
          <w:rFonts w:hint="cs"/>
          <w:rtl/>
        </w:rPr>
        <w:t xml:space="preserve">שיש כאן בין אבן סינא לפילופונוס. </w:t>
      </w:r>
    </w:p>
  </w:footnote>
  <w:footnote w:id="467">
    <w:p w14:paraId="7A8D22D1" w14:textId="46213305" w:rsidR="00512E84" w:rsidRDefault="00512E84">
      <w:pPr>
        <w:pStyle w:val="FootnoteText"/>
        <w:rPr>
          <w:rtl/>
        </w:rPr>
      </w:pPr>
      <w:r>
        <w:rPr>
          <w:rStyle w:val="FootnoteReference"/>
        </w:rPr>
        <w:footnoteRef/>
      </w:r>
      <w:r>
        <w:rPr>
          <w:rtl/>
        </w:rPr>
        <w:t xml:space="preserve"> </w:t>
      </w:r>
      <w:r w:rsidR="003639C0">
        <w:rPr>
          <w:rFonts w:hint="cs"/>
          <w:rtl/>
        </w:rPr>
        <w:t>'</w:t>
      </w:r>
      <w:r w:rsidR="001C4A14">
        <w:rPr>
          <w:rFonts w:hint="cs"/>
          <w:rtl/>
        </w:rPr>
        <w:t>תנועה</w:t>
      </w:r>
      <w:r w:rsidR="003639C0">
        <w:rPr>
          <w:rFonts w:hint="cs"/>
          <w:rtl/>
        </w:rPr>
        <w:t>'</w:t>
      </w:r>
      <w:r w:rsidR="008B4865">
        <w:rPr>
          <w:rFonts w:hint="cs"/>
          <w:rtl/>
        </w:rPr>
        <w:t xml:space="preserve"> </w:t>
      </w:r>
      <w:r w:rsidR="0088624B">
        <w:rPr>
          <w:rFonts w:hint="cs"/>
          <w:rtl/>
        </w:rPr>
        <w:t>במובן המצומצם היא תנועה ממקום למקום, במובן הרחב פירושה</w:t>
      </w:r>
      <w:r w:rsidR="003639C0">
        <w:rPr>
          <w:rFonts w:hint="cs"/>
          <w:rtl/>
        </w:rPr>
        <w:t xml:space="preserve"> </w:t>
      </w:r>
      <w:r w:rsidR="0088624B">
        <w:rPr>
          <w:rFonts w:hint="cs"/>
          <w:rtl/>
        </w:rPr>
        <w:t xml:space="preserve">כל שינוי. </w:t>
      </w:r>
      <w:r w:rsidR="001C4A14">
        <w:rPr>
          <w:rFonts w:hint="cs"/>
          <w:rtl/>
        </w:rPr>
        <w:t xml:space="preserve"> יש ארבעה אופנים של שינוי</w:t>
      </w:r>
      <w:r w:rsidR="003639C0">
        <w:rPr>
          <w:rFonts w:hint="cs"/>
          <w:rtl/>
        </w:rPr>
        <w:t>:</w:t>
      </w:r>
      <w:r w:rsidR="00D47E79">
        <w:rPr>
          <w:rFonts w:hint="cs"/>
          <w:rtl/>
        </w:rPr>
        <w:t xml:space="preserve"> שינוי בעצם כלומר הביצה משתנה להיות אפרוח</w:t>
      </w:r>
      <w:r w:rsidR="00AC3026">
        <w:rPr>
          <w:rFonts w:hint="cs"/>
          <w:rtl/>
        </w:rPr>
        <w:t xml:space="preserve"> (</w:t>
      </w:r>
      <w:r w:rsidR="00D211BC">
        <w:rPr>
          <w:rFonts w:hint="cs"/>
          <w:rtl/>
        </w:rPr>
        <w:t>ו</w:t>
      </w:r>
      <w:r w:rsidR="00AC3026">
        <w:rPr>
          <w:rFonts w:hint="cs"/>
          <w:rtl/>
        </w:rPr>
        <w:t>עיין פיזיקה  ה</w:t>
      </w:r>
      <w:r w:rsidR="00A65948">
        <w:rPr>
          <w:rFonts w:hint="cs"/>
          <w:rtl/>
        </w:rPr>
        <w:t xml:space="preserve">' א' דף </w:t>
      </w:r>
      <w:r w:rsidR="00A65948">
        <w:rPr>
          <w:rFonts w:hint="cs"/>
          <w:rtl/>
        </w:rPr>
        <w:t>225</w:t>
      </w:r>
      <w:r w:rsidR="00D211BC">
        <w:rPr>
          <w:rFonts w:hint="cs"/>
          <w:rtl/>
        </w:rPr>
        <w:t>א משורה 27</w:t>
      </w:r>
      <w:r w:rsidR="00E17798">
        <w:rPr>
          <w:rFonts w:hint="cs"/>
          <w:rtl/>
        </w:rPr>
        <w:t xml:space="preserve"> שזה רק שינוי ו</w:t>
      </w:r>
      <w:r w:rsidR="00EC1C6E">
        <w:rPr>
          <w:rFonts w:hint="cs"/>
          <w:rtl/>
        </w:rPr>
        <w:t>לא</w:t>
      </w:r>
      <w:r w:rsidR="00E17798">
        <w:rPr>
          <w:rFonts w:hint="cs"/>
          <w:rtl/>
        </w:rPr>
        <w:t xml:space="preserve"> תנועה כ</w:t>
      </w:r>
      <w:r w:rsidR="00EC1C6E">
        <w:rPr>
          <w:rFonts w:hint="cs"/>
          <w:rtl/>
        </w:rPr>
        <w:t xml:space="preserve">י העצם </w:t>
      </w:r>
      <w:r w:rsidR="00E37AC6">
        <w:rPr>
          <w:rFonts w:hint="cs"/>
          <w:rtl/>
        </w:rPr>
        <w:t xml:space="preserve">נפסד ומתהווה מחדש </w:t>
      </w:r>
      <w:r w:rsidR="00EC1C6E">
        <w:rPr>
          <w:rFonts w:hint="cs"/>
          <w:rtl/>
        </w:rPr>
        <w:t>ולא מתנועע ממצב למצב</w:t>
      </w:r>
      <w:r w:rsidR="00E32D89">
        <w:rPr>
          <w:rFonts w:hint="cs"/>
          <w:rtl/>
        </w:rPr>
        <w:t>. ועיין עוד בזה ב</w:t>
      </w:r>
      <w:r w:rsidR="00BE7BAE">
        <w:rPr>
          <w:rFonts w:hint="cs"/>
          <w:rtl/>
        </w:rPr>
        <w:t xml:space="preserve">עיונים בפילוסופיה אריסטוטלית </w:t>
      </w:r>
      <w:hyperlink r:id="rId103" w:history="1">
        <w:r w:rsidR="00BE7BAE" w:rsidRPr="00BE7BAE">
          <w:rPr>
            <w:rStyle w:val="Hyperlink"/>
            <w:rFonts w:hint="cs"/>
            <w:rtl/>
          </w:rPr>
          <w:t>רשימה 41</w:t>
        </w:r>
      </w:hyperlink>
      <w:r w:rsidR="00AC3026">
        <w:rPr>
          <w:rFonts w:hint="cs"/>
          <w:rtl/>
        </w:rPr>
        <w:t>)</w:t>
      </w:r>
      <w:r w:rsidR="00D47E79">
        <w:rPr>
          <w:rFonts w:hint="cs"/>
          <w:rtl/>
        </w:rPr>
        <w:t>, שינוי בכמות</w:t>
      </w:r>
      <w:r w:rsidR="001C4A14">
        <w:rPr>
          <w:rFonts w:hint="cs"/>
          <w:rtl/>
        </w:rPr>
        <w:t xml:space="preserve"> </w:t>
      </w:r>
      <w:r w:rsidR="00D47E79">
        <w:rPr>
          <w:rFonts w:hint="cs"/>
          <w:rtl/>
        </w:rPr>
        <w:t xml:space="preserve">כלומר דבר גדל או </w:t>
      </w:r>
      <w:r w:rsidR="00DF7ED4" w:rsidRPr="00DF7ED4">
        <w:rPr>
          <w:rtl/>
        </w:rPr>
        <w:t>קָטֵן</w:t>
      </w:r>
      <w:r w:rsidR="00D47E79">
        <w:rPr>
          <w:rFonts w:hint="cs"/>
          <w:rtl/>
        </w:rPr>
        <w:t>, שינוי באיכות כלומר האיכות של דבר משתנה</w:t>
      </w:r>
      <w:r w:rsidR="006E6058">
        <w:rPr>
          <w:rFonts w:hint="cs"/>
          <w:rtl/>
        </w:rPr>
        <w:t xml:space="preserve"> (למשל שינוי בצבע)</w:t>
      </w:r>
      <w:r w:rsidR="00D47E79">
        <w:rPr>
          <w:rFonts w:hint="cs"/>
          <w:rtl/>
        </w:rPr>
        <w:t>, ושינוי במקום</w:t>
      </w:r>
      <w:r w:rsidR="00981EEC">
        <w:rPr>
          <w:rFonts w:hint="cs"/>
          <w:rtl/>
        </w:rPr>
        <w:t xml:space="preserve"> כלומר הדבר נע ממקום זה למקום אחר. </w:t>
      </w:r>
      <w:r w:rsidR="001A777E">
        <w:rPr>
          <w:rFonts w:hint="cs"/>
          <w:rtl/>
        </w:rPr>
        <w:t>שינוי במקום נקרא תנועה מקומית, ו</w:t>
      </w:r>
      <w:r w:rsidR="000F4A39">
        <w:rPr>
          <w:rFonts w:hint="cs"/>
          <w:rtl/>
        </w:rPr>
        <w:t>שינוי ב</w:t>
      </w:r>
      <w:r w:rsidR="001A777E">
        <w:rPr>
          <w:rFonts w:hint="cs"/>
          <w:rtl/>
        </w:rPr>
        <w:t>איכות נקרא</w:t>
      </w:r>
      <w:r w:rsidR="000F4A39">
        <w:rPr>
          <w:rFonts w:hint="cs"/>
          <w:rtl/>
        </w:rPr>
        <w:t xml:space="preserve"> תנועה איכותית. </w:t>
      </w:r>
      <w:r w:rsidR="001A777E">
        <w:rPr>
          <w:rFonts w:hint="cs"/>
          <w:rtl/>
        </w:rPr>
        <w:t xml:space="preserve"> </w:t>
      </w:r>
    </w:p>
    <w:p w14:paraId="5720E9FF" w14:textId="596C9DE5" w:rsidR="00DE6178" w:rsidRDefault="007512FD">
      <w:pPr>
        <w:pStyle w:val="FootnoteText"/>
      </w:pPr>
      <w:r>
        <w:rPr>
          <w:rFonts w:hint="cs"/>
          <w:rtl/>
        </w:rPr>
        <w:t>(</w:t>
      </w:r>
      <w:r w:rsidR="00DE6178">
        <w:rPr>
          <w:rFonts w:hint="cs"/>
          <w:rtl/>
        </w:rPr>
        <w:t xml:space="preserve">מה שיש ארבע </w:t>
      </w:r>
      <w:r w:rsidR="00A66A1B">
        <w:rPr>
          <w:rFonts w:hint="cs"/>
          <w:rtl/>
        </w:rPr>
        <w:t xml:space="preserve">קטגוריות שבהן </w:t>
      </w:r>
      <w:r w:rsidR="0036692F">
        <w:rPr>
          <w:rFonts w:hint="cs"/>
          <w:rtl/>
        </w:rPr>
        <w:t xml:space="preserve">ייתכן </w:t>
      </w:r>
      <w:r w:rsidR="00A66A1B">
        <w:rPr>
          <w:rFonts w:hint="cs"/>
          <w:rtl/>
        </w:rPr>
        <w:t xml:space="preserve">השינוי, כך כתב אריסטו במטאפיזיקה </w:t>
      </w:r>
      <w:r w:rsidR="00A66A1B" w:rsidRPr="00A66A1B">
        <w:rPr>
          <w:rtl/>
        </w:rPr>
        <w:t xml:space="preserve">ספר י"ב (למבדא), פרק </w:t>
      </w:r>
      <w:r w:rsidR="00A97559">
        <w:rPr>
          <w:rFonts w:hint="cs"/>
          <w:rtl/>
        </w:rPr>
        <w:t>ב'</w:t>
      </w:r>
      <w:r w:rsidR="00A66A1B" w:rsidRPr="00A66A1B">
        <w:rPr>
          <w:rtl/>
        </w:rPr>
        <w:t xml:space="preserve">, </w:t>
      </w:r>
      <w:r w:rsidR="00A97559">
        <w:rPr>
          <w:rFonts w:hint="cs"/>
          <w:rtl/>
        </w:rPr>
        <w:t>(</w:t>
      </w:r>
      <w:r w:rsidR="00A66A1B" w:rsidRPr="00A66A1B">
        <w:rPr>
          <w:rtl/>
        </w:rPr>
        <w:t xml:space="preserve">1069ב </w:t>
      </w:r>
      <w:r w:rsidR="00A97559">
        <w:rPr>
          <w:rFonts w:hint="cs"/>
          <w:rtl/>
        </w:rPr>
        <w:t>שורות</w:t>
      </w:r>
      <w:r w:rsidR="008677F7">
        <w:rPr>
          <w:rFonts w:hint="cs"/>
          <w:rtl/>
        </w:rPr>
        <w:t xml:space="preserve"> </w:t>
      </w:r>
      <w:r w:rsidR="00A66A1B" w:rsidRPr="00A66A1B">
        <w:rPr>
          <w:rtl/>
        </w:rPr>
        <w:t>8-11</w:t>
      </w:r>
      <w:r w:rsidR="008677F7">
        <w:rPr>
          <w:rFonts w:hint="cs"/>
          <w:rtl/>
        </w:rPr>
        <w:t>)</w:t>
      </w:r>
      <w:r w:rsidR="00A66A1B">
        <w:rPr>
          <w:rFonts w:hint="cs"/>
          <w:rtl/>
        </w:rPr>
        <w:t xml:space="preserve">, </w:t>
      </w:r>
      <w:r w:rsidR="008D4E16">
        <w:rPr>
          <w:rFonts w:hint="cs"/>
          <w:rtl/>
        </w:rPr>
        <w:t xml:space="preserve">ובעקבותיו במורה נבוכים הקדמות לחלק שני בהקדמה הרביעית. </w:t>
      </w:r>
      <w:r w:rsidR="003B2A0B">
        <w:rPr>
          <w:rFonts w:hint="cs"/>
          <w:rtl/>
        </w:rPr>
        <w:t xml:space="preserve">אמנם </w:t>
      </w:r>
      <w:r w:rsidR="00797898">
        <w:rPr>
          <w:rFonts w:hint="cs"/>
          <w:rtl/>
        </w:rPr>
        <w:t>בכל קטגוריה ייתכן שינוי, למשל הקטגוריה של קניין</w:t>
      </w:r>
      <w:r w:rsidR="00CB6B31">
        <w:rPr>
          <w:rFonts w:hint="cs"/>
          <w:rtl/>
        </w:rPr>
        <w:t xml:space="preserve"> (הקטגוריה השמינית)</w:t>
      </w:r>
      <w:r w:rsidR="00797898">
        <w:rPr>
          <w:rFonts w:hint="cs"/>
          <w:rtl/>
        </w:rPr>
        <w:t>, אם לאדם יש נעליים אפש</w:t>
      </w:r>
      <w:r w:rsidR="00CB6B31">
        <w:rPr>
          <w:rFonts w:hint="cs"/>
          <w:rtl/>
        </w:rPr>
        <w:t>ר</w:t>
      </w:r>
      <w:r w:rsidR="00797898">
        <w:rPr>
          <w:rFonts w:hint="cs"/>
          <w:rtl/>
        </w:rPr>
        <w:t xml:space="preserve"> שזה ישתנה כשלא יהיו לו</w:t>
      </w:r>
      <w:r w:rsidR="00335318">
        <w:t xml:space="preserve"> </w:t>
      </w:r>
      <w:r w:rsidR="00335318">
        <w:rPr>
          <w:rFonts w:hint="cs"/>
          <w:rtl/>
        </w:rPr>
        <w:t>נעליים, וכן הקטגוריה של זמן וודאי משתנה</w:t>
      </w:r>
      <w:r w:rsidR="00AC495A">
        <w:rPr>
          <w:rFonts w:hint="cs"/>
          <w:rtl/>
        </w:rPr>
        <w:t xml:space="preserve">, וכמו שכתב </w:t>
      </w:r>
      <w:r w:rsidR="002D07CD">
        <w:rPr>
          <w:rFonts w:hint="cs"/>
          <w:rtl/>
        </w:rPr>
        <w:t xml:space="preserve">בפירוש </w:t>
      </w:r>
      <w:r w:rsidR="00AC495A">
        <w:rPr>
          <w:rFonts w:hint="cs"/>
          <w:rtl/>
        </w:rPr>
        <w:t xml:space="preserve">בפיזיקה </w:t>
      </w:r>
      <w:r w:rsidR="0064139C">
        <w:rPr>
          <w:rFonts w:hint="cs"/>
          <w:rtl/>
        </w:rPr>
        <w:t>225א משורה 37 עיין שם בהערה 35 ש</w:t>
      </w:r>
      <w:r w:rsidR="008377C8">
        <w:rPr>
          <w:rFonts w:hint="cs"/>
          <w:rtl/>
        </w:rPr>
        <w:t xml:space="preserve">במהד' </w:t>
      </w:r>
      <w:r w:rsidR="008377C8">
        <w:t>Barnes</w:t>
      </w:r>
      <w:r w:rsidR="008377C8">
        <w:rPr>
          <w:rFonts w:hint="cs"/>
          <w:rtl/>
        </w:rPr>
        <w:t>)</w:t>
      </w:r>
      <w:r w:rsidR="00797898">
        <w:rPr>
          <w:rFonts w:hint="cs"/>
          <w:rtl/>
        </w:rPr>
        <w:t xml:space="preserve">. </w:t>
      </w:r>
      <w:r w:rsidR="00BA3DFB">
        <w:rPr>
          <w:rFonts w:hint="cs"/>
          <w:rtl/>
        </w:rPr>
        <w:t xml:space="preserve">וכן נראה מלשון אבן סינא לקמן בסמוך </w:t>
      </w:r>
      <w:r w:rsidR="00206B71">
        <w:rPr>
          <w:rFonts w:hint="cs"/>
          <w:rtl/>
        </w:rPr>
        <w:t>שתנועה</w:t>
      </w:r>
      <w:r w:rsidR="00F37475">
        <w:rPr>
          <w:rFonts w:hint="cs"/>
          <w:rtl/>
        </w:rPr>
        <w:t xml:space="preserve"> </w:t>
      </w:r>
      <w:r w:rsidR="00206B71">
        <w:rPr>
          <w:rFonts w:hint="cs"/>
          <w:rtl/>
        </w:rPr>
        <w:t xml:space="preserve">תיתכן בכל קטגוריה שיכולה להשתנות, </w:t>
      </w:r>
      <w:r w:rsidR="00F37475">
        <w:rPr>
          <w:rFonts w:hint="cs"/>
          <w:rtl/>
        </w:rPr>
        <w:t xml:space="preserve">אבל </w:t>
      </w:r>
      <w:r w:rsidR="00206B71">
        <w:rPr>
          <w:rFonts w:hint="cs"/>
          <w:rtl/>
        </w:rPr>
        <w:t>מצאנו רק את ארבעת הקטגוריות</w:t>
      </w:r>
      <w:r w:rsidR="00F37475">
        <w:rPr>
          <w:rFonts w:hint="cs"/>
          <w:rtl/>
        </w:rPr>
        <w:t xml:space="preserve"> </w:t>
      </w:r>
      <w:r w:rsidR="00206B71">
        <w:rPr>
          <w:rFonts w:hint="cs"/>
          <w:rtl/>
        </w:rPr>
        <w:t xml:space="preserve">האלה. </w:t>
      </w:r>
      <w:r w:rsidR="002D07CD">
        <w:rPr>
          <w:rFonts w:hint="cs"/>
          <w:rtl/>
        </w:rPr>
        <w:t>ו</w:t>
      </w:r>
      <w:r w:rsidR="00F43532">
        <w:rPr>
          <w:rFonts w:hint="cs"/>
          <w:rtl/>
        </w:rPr>
        <w:t xml:space="preserve">עיין בזה </w:t>
      </w:r>
      <w:r w:rsidR="005229E7">
        <w:rPr>
          <w:rFonts w:hint="cs"/>
          <w:rtl/>
        </w:rPr>
        <w:t xml:space="preserve">פיזיקה ה' א' </w:t>
      </w:r>
      <w:r w:rsidR="00CB52F1">
        <w:rPr>
          <w:rFonts w:hint="cs"/>
          <w:rtl/>
        </w:rPr>
        <w:t>(</w:t>
      </w:r>
      <w:r w:rsidR="005229E7" w:rsidRPr="005229E7">
        <w:rPr>
          <w:rtl/>
        </w:rPr>
        <w:t>225א</w:t>
      </w:r>
      <w:r w:rsidR="00CB52F1">
        <w:rPr>
          <w:rFonts w:hint="cs"/>
          <w:rtl/>
        </w:rPr>
        <w:t xml:space="preserve"> משורה</w:t>
      </w:r>
      <w:r w:rsidR="005229E7" w:rsidRPr="005229E7">
        <w:rPr>
          <w:rtl/>
        </w:rPr>
        <w:t xml:space="preserve"> </w:t>
      </w:r>
      <w:r w:rsidR="00CB52F1">
        <w:rPr>
          <w:rFonts w:hint="cs"/>
          <w:rtl/>
        </w:rPr>
        <w:t>37)</w:t>
      </w:r>
      <w:r w:rsidR="00964549">
        <w:rPr>
          <w:rFonts w:hint="cs"/>
          <w:rtl/>
        </w:rPr>
        <w:t xml:space="preserve"> ושם ג' א' </w:t>
      </w:r>
      <w:r w:rsidR="00F87C06">
        <w:rPr>
          <w:rFonts w:hint="cs"/>
          <w:rtl/>
        </w:rPr>
        <w:t>(200ב משורה 33), שנראה ש</w:t>
      </w:r>
      <w:r w:rsidR="00AE47CD">
        <w:rPr>
          <w:rFonts w:hint="cs"/>
          <w:rtl/>
        </w:rPr>
        <w:t>בכל הקטגוריות ייתכן שינוי.</w:t>
      </w:r>
      <w:r w:rsidR="008A11ED">
        <w:rPr>
          <w:rFonts w:hint="cs"/>
          <w:rtl/>
        </w:rPr>
        <w:t xml:space="preserve"> </w:t>
      </w:r>
      <w:r w:rsidR="00AE47CD">
        <w:rPr>
          <w:rFonts w:hint="cs"/>
          <w:rtl/>
        </w:rPr>
        <w:t>המניין של הקטגוריות אינו אחיד במקומות שאריסטו מדבר עליהן, ויש מקומות רבים שהוא משמיט חלק מהן</w:t>
      </w:r>
      <w:r w:rsidR="00F37475">
        <w:rPr>
          <w:rFonts w:hint="cs"/>
          <w:rtl/>
        </w:rPr>
        <w:t>,</w:t>
      </w:r>
      <w:r w:rsidR="00AE47CD">
        <w:rPr>
          <w:rFonts w:hint="cs"/>
          <w:rtl/>
        </w:rPr>
        <w:t xml:space="preserve"> </w:t>
      </w:r>
      <w:r w:rsidR="008A11ED">
        <w:rPr>
          <w:rFonts w:hint="cs"/>
          <w:rtl/>
        </w:rPr>
        <w:t>ולא כאן המקום להאריך בזה</w:t>
      </w:r>
      <w:r w:rsidR="00835AE2">
        <w:rPr>
          <w:rFonts w:hint="cs"/>
          <w:rtl/>
        </w:rPr>
        <w:t xml:space="preserve">. </w:t>
      </w:r>
      <w:r w:rsidR="00207B77">
        <w:rPr>
          <w:rFonts w:hint="cs"/>
          <w:rtl/>
        </w:rPr>
        <w:t>ו</w:t>
      </w:r>
      <w:r w:rsidR="00835AE2">
        <w:rPr>
          <w:rFonts w:hint="cs"/>
          <w:rtl/>
        </w:rPr>
        <w:t>עיין באפ</w:t>
      </w:r>
      <w:r w:rsidR="00207B77">
        <w:rPr>
          <w:rFonts w:hint="cs"/>
          <w:rtl/>
        </w:rPr>
        <w:t>ודי על ההקדמה הרביעית מההקדמות של חלק ב' של המורה נבוכים</w:t>
      </w:r>
      <w:r w:rsidR="00D305C5">
        <w:rPr>
          <w:rFonts w:hint="cs"/>
          <w:rtl/>
        </w:rPr>
        <w:t>. ועיין גם בעל הנפש א' ג'</w:t>
      </w:r>
      <w:r w:rsidR="00767F81">
        <w:rPr>
          <w:rFonts w:hint="cs"/>
          <w:rtl/>
        </w:rPr>
        <w:t xml:space="preserve">, ופיזיקה ח' </w:t>
      </w:r>
      <w:r w:rsidR="00EC694A">
        <w:rPr>
          <w:rFonts w:hint="cs"/>
          <w:rtl/>
        </w:rPr>
        <w:t>ז' (260א משורה 27</w:t>
      </w:r>
      <w:r>
        <w:rPr>
          <w:rFonts w:hint="cs"/>
          <w:rtl/>
        </w:rPr>
        <w:t>)</w:t>
      </w:r>
      <w:r w:rsidR="0084634E">
        <w:rPr>
          <w:rFonts w:hint="cs"/>
          <w:rtl/>
        </w:rPr>
        <w:t xml:space="preserve">, ובעל ההתהוות וההפסד א סוף פרק ד' (319ב </w:t>
      </w:r>
      <w:r w:rsidR="00C77E82">
        <w:rPr>
          <w:rFonts w:hint="cs"/>
          <w:rtl/>
        </w:rPr>
        <w:t>מ</w:t>
      </w:r>
      <w:r w:rsidR="0084634E">
        <w:rPr>
          <w:rFonts w:hint="cs"/>
          <w:rtl/>
        </w:rPr>
        <w:t>שורה 32)</w:t>
      </w:r>
      <w:r w:rsidR="00EC694A">
        <w:rPr>
          <w:rFonts w:hint="cs"/>
          <w:rtl/>
        </w:rPr>
        <w:t>)</w:t>
      </w:r>
      <w:r w:rsidR="004F531C">
        <w:rPr>
          <w:rFonts w:hint="cs"/>
          <w:rtl/>
        </w:rPr>
        <w:t xml:space="preserve">, </w:t>
      </w:r>
      <w:r w:rsidR="003B2A0B">
        <w:rPr>
          <w:rFonts w:hint="cs"/>
          <w:rtl/>
        </w:rPr>
        <w:t xml:space="preserve"> </w:t>
      </w:r>
    </w:p>
  </w:footnote>
  <w:footnote w:id="468">
    <w:p w14:paraId="44FDBCB4" w14:textId="62EF115B" w:rsidR="00F84224" w:rsidRDefault="00F84224">
      <w:pPr>
        <w:pStyle w:val="FootnoteText"/>
      </w:pPr>
      <w:r>
        <w:rPr>
          <w:rStyle w:val="FootnoteReference"/>
        </w:rPr>
        <w:footnoteRef/>
      </w:r>
      <w:r>
        <w:rPr>
          <w:rtl/>
        </w:rPr>
        <w:t xml:space="preserve"> </w:t>
      </w:r>
      <w:r>
        <w:rPr>
          <w:rFonts w:hint="cs"/>
          <w:rtl/>
        </w:rPr>
        <w:t xml:space="preserve">מקגיניס ציין לספר ב' פרק ג'. </w:t>
      </w:r>
    </w:p>
  </w:footnote>
  <w:footnote w:id="469">
    <w:p w14:paraId="29DED4C9" w14:textId="791C96AD" w:rsidR="00656C5B" w:rsidRDefault="00656C5B">
      <w:pPr>
        <w:pStyle w:val="FootnoteText"/>
      </w:pPr>
      <w:r>
        <w:rPr>
          <w:rStyle w:val="FootnoteReference"/>
        </w:rPr>
        <w:footnoteRef/>
      </w:r>
      <w:r>
        <w:rPr>
          <w:rtl/>
        </w:rPr>
        <w:t xml:space="preserve"> </w:t>
      </w:r>
      <w:r w:rsidR="00307EA3" w:rsidRPr="00307EA3">
        <w:rPr>
          <w:rtl/>
        </w:rPr>
        <w:t>הִיקָּלְשׁוּת</w:t>
      </w:r>
      <w:r w:rsidR="00307EA3">
        <w:rPr>
          <w:rFonts w:hint="cs"/>
          <w:rtl/>
        </w:rPr>
        <w:t xml:space="preserve"> היא </w:t>
      </w:r>
      <w:r>
        <w:rPr>
          <w:rFonts w:hint="cs"/>
          <w:rtl/>
        </w:rPr>
        <w:t>ההיפך מ</w:t>
      </w:r>
      <w:r w:rsidR="006203EE">
        <w:rPr>
          <w:rFonts w:hint="cs"/>
          <w:rtl/>
        </w:rPr>
        <w:t>להיות</w:t>
      </w:r>
      <w:r w:rsidR="004A3F50">
        <w:rPr>
          <w:rFonts w:hint="cs"/>
          <w:rtl/>
        </w:rPr>
        <w:t xml:space="preserve"> </w:t>
      </w:r>
      <w:r>
        <w:rPr>
          <w:rFonts w:hint="cs"/>
          <w:rtl/>
        </w:rPr>
        <w:t>צפ</w:t>
      </w:r>
      <w:r w:rsidR="004A3F50">
        <w:rPr>
          <w:rFonts w:hint="cs"/>
          <w:rtl/>
        </w:rPr>
        <w:t>וף או דחוס</w:t>
      </w:r>
      <w:r>
        <w:rPr>
          <w:rFonts w:hint="cs"/>
          <w:rtl/>
        </w:rPr>
        <w:t>.</w:t>
      </w:r>
      <w:r w:rsidR="004A3F50">
        <w:rPr>
          <w:rFonts w:hint="cs"/>
          <w:rtl/>
        </w:rPr>
        <w:t xml:space="preserve"> </w:t>
      </w:r>
      <w:r w:rsidR="00165B04">
        <w:rPr>
          <w:rFonts w:hint="cs"/>
          <w:rtl/>
        </w:rPr>
        <w:t xml:space="preserve">כשהגוף נעשה פחות </w:t>
      </w:r>
      <w:r w:rsidR="00910603">
        <w:rPr>
          <w:rFonts w:hint="cs"/>
          <w:rtl/>
        </w:rPr>
        <w:t>צפוף או דחוס</w:t>
      </w:r>
      <w:r w:rsidR="004A3F50">
        <w:rPr>
          <w:rFonts w:hint="cs"/>
          <w:rtl/>
        </w:rPr>
        <w:t xml:space="preserve"> הנפח </w:t>
      </w:r>
      <w:r w:rsidR="006203EE">
        <w:rPr>
          <w:rFonts w:hint="cs"/>
          <w:rtl/>
        </w:rPr>
        <w:t>של</w:t>
      </w:r>
      <w:r w:rsidR="00910603">
        <w:rPr>
          <w:rFonts w:hint="cs"/>
          <w:rtl/>
        </w:rPr>
        <w:t>ו</w:t>
      </w:r>
      <w:r w:rsidR="006203EE">
        <w:rPr>
          <w:rFonts w:hint="cs"/>
          <w:rtl/>
        </w:rPr>
        <w:t xml:space="preserve"> </w:t>
      </w:r>
      <w:r w:rsidR="004A3F50">
        <w:rPr>
          <w:rFonts w:hint="cs"/>
          <w:rtl/>
        </w:rPr>
        <w:t>גדל בלי שנו</w:t>
      </w:r>
      <w:r w:rsidR="006203EE">
        <w:rPr>
          <w:rFonts w:hint="cs"/>
          <w:rtl/>
        </w:rPr>
        <w:t>ס</w:t>
      </w:r>
      <w:r w:rsidR="004A3F50">
        <w:rPr>
          <w:rFonts w:hint="cs"/>
          <w:rtl/>
        </w:rPr>
        <w:t xml:space="preserve">ף </w:t>
      </w:r>
      <w:r w:rsidR="006203EE">
        <w:rPr>
          <w:rFonts w:hint="cs"/>
          <w:rtl/>
        </w:rPr>
        <w:t xml:space="preserve">לו </w:t>
      </w:r>
      <w:r w:rsidR="004A3F50">
        <w:rPr>
          <w:rFonts w:hint="cs"/>
          <w:rtl/>
        </w:rPr>
        <w:t xml:space="preserve">חומר חדש. </w:t>
      </w:r>
      <w:r w:rsidR="003A4594">
        <w:rPr>
          <w:rFonts w:hint="cs"/>
          <w:rtl/>
        </w:rPr>
        <w:t xml:space="preserve">קטגוריית הכמות היא המידות של הגוף, וכך המידות לבדן הן שמשתנות. </w:t>
      </w:r>
      <w:r>
        <w:rPr>
          <w:rFonts w:hint="cs"/>
          <w:rtl/>
        </w:rPr>
        <w:t xml:space="preserve"> </w:t>
      </w:r>
    </w:p>
  </w:footnote>
  <w:footnote w:id="470">
    <w:p w14:paraId="30F7E46D" w14:textId="77777777" w:rsidR="00B76637" w:rsidRDefault="001D7142">
      <w:pPr>
        <w:pStyle w:val="FootnoteText"/>
        <w:rPr>
          <w:rtl/>
        </w:rPr>
      </w:pPr>
      <w:r>
        <w:rPr>
          <w:rStyle w:val="FootnoteReference"/>
        </w:rPr>
        <w:footnoteRef/>
      </w:r>
      <w:r>
        <w:rPr>
          <w:rtl/>
        </w:rPr>
        <w:t xml:space="preserve"> </w:t>
      </w:r>
      <w:r>
        <w:rPr>
          <w:rFonts w:hint="cs"/>
          <w:rtl/>
        </w:rPr>
        <w:t xml:space="preserve">למשל אם חיממו את המים, המצב של חום אינו מטבעם, והוא </w:t>
      </w:r>
      <w:r w:rsidR="00854D16" w:rsidRPr="00854D16">
        <w:rPr>
          <w:rtl/>
        </w:rPr>
        <w:t>מוֹנֵעַ</w:t>
      </w:r>
      <w:r>
        <w:rPr>
          <w:rFonts w:hint="cs"/>
          <w:rtl/>
        </w:rPr>
        <w:t xml:space="preserve"> לטבעם</w:t>
      </w:r>
      <w:r w:rsidR="00854D16">
        <w:rPr>
          <w:rFonts w:hint="cs"/>
          <w:rtl/>
        </w:rPr>
        <w:t xml:space="preserve"> על ידי שמ</w:t>
      </w:r>
      <w:r w:rsidR="00B40AE3">
        <w:rPr>
          <w:rFonts w:hint="cs"/>
          <w:rtl/>
        </w:rPr>
        <w:t>פ</w:t>
      </w:r>
      <w:r w:rsidR="00854D16">
        <w:rPr>
          <w:rFonts w:hint="cs"/>
          <w:rtl/>
        </w:rPr>
        <w:t>עיל כח שמוציא את המים מהטבע הקריר שלהם,</w:t>
      </w:r>
      <w:r w:rsidR="00B40AE3">
        <w:rPr>
          <w:rFonts w:hint="cs"/>
          <w:rtl/>
        </w:rPr>
        <w:t xml:space="preserve"> </w:t>
      </w:r>
      <w:r>
        <w:rPr>
          <w:rFonts w:hint="cs"/>
          <w:rtl/>
        </w:rPr>
        <w:t>וכש</w:t>
      </w:r>
      <w:r w:rsidR="002107D6">
        <w:rPr>
          <w:rFonts w:hint="cs"/>
          <w:rtl/>
        </w:rPr>
        <w:t>ה</w:t>
      </w:r>
      <w:r w:rsidR="006321D5" w:rsidRPr="006321D5">
        <w:rPr>
          <w:rtl/>
        </w:rPr>
        <w:t>מוֹנֵעַ</w:t>
      </w:r>
      <w:r w:rsidR="002107D6">
        <w:rPr>
          <w:rFonts w:hint="cs"/>
          <w:rtl/>
        </w:rPr>
        <w:t xml:space="preserve"> נפסק, דהיינו כשהמים מפסיקים לקבל השפע</w:t>
      </w:r>
      <w:r w:rsidR="00B40AE3">
        <w:rPr>
          <w:rFonts w:hint="cs"/>
          <w:rtl/>
        </w:rPr>
        <w:t>ת כח</w:t>
      </w:r>
      <w:r w:rsidR="002107D6">
        <w:rPr>
          <w:rFonts w:hint="cs"/>
          <w:rtl/>
        </w:rPr>
        <w:t xml:space="preserve"> של גורם מחמם, טבעם גורם להם להשתנות בחזרה למצב הטבעי שלהם ול</w:t>
      </w:r>
      <w:r w:rsidR="00B40AE3">
        <w:rPr>
          <w:rFonts w:hint="cs"/>
          <w:rtl/>
        </w:rPr>
        <w:t>נוע (כלומר להשתנות) אל הקרירות</w:t>
      </w:r>
      <w:r w:rsidR="002107D6">
        <w:rPr>
          <w:rFonts w:hint="cs"/>
          <w:rtl/>
        </w:rPr>
        <w:t xml:space="preserve">. </w:t>
      </w:r>
      <w:r w:rsidR="00C35C7D">
        <w:rPr>
          <w:rFonts w:hint="cs"/>
          <w:rtl/>
        </w:rPr>
        <w:t xml:space="preserve">וכשהם מגיעים אל הקרירות הטבעית להם הם נשארים בה לעולם כל זמן שלא יפעל עליהם </w:t>
      </w:r>
      <w:r w:rsidR="006321D5" w:rsidRPr="006321D5">
        <w:rPr>
          <w:rtl/>
        </w:rPr>
        <w:t>מוֹנֵעַ</w:t>
      </w:r>
      <w:r w:rsidR="006321D5">
        <w:rPr>
          <w:rFonts w:hint="cs"/>
          <w:rtl/>
        </w:rPr>
        <w:t xml:space="preserve"> כלשהו</w:t>
      </w:r>
      <w:r w:rsidR="00C35C7D">
        <w:rPr>
          <w:rFonts w:hint="cs"/>
          <w:rtl/>
        </w:rPr>
        <w:t xml:space="preserve">. </w:t>
      </w:r>
    </w:p>
    <w:p w14:paraId="05F44326" w14:textId="77777777" w:rsidR="007178E5" w:rsidRDefault="00E96B50">
      <w:pPr>
        <w:pStyle w:val="FootnoteText"/>
        <w:rPr>
          <w:rtl/>
        </w:rPr>
      </w:pPr>
      <w:r>
        <w:rPr>
          <w:rFonts w:hint="cs"/>
          <w:rtl/>
        </w:rPr>
        <w:t xml:space="preserve">ההגדרה של </w:t>
      </w:r>
      <w:r w:rsidR="002B3E82">
        <w:rPr>
          <w:rFonts w:hint="cs"/>
          <w:rtl/>
        </w:rPr>
        <w:t>'</w:t>
      </w:r>
      <w:r>
        <w:rPr>
          <w:rFonts w:hint="cs"/>
          <w:rtl/>
        </w:rPr>
        <w:t>קרירות</w:t>
      </w:r>
      <w:r w:rsidR="002B3E82">
        <w:rPr>
          <w:rFonts w:hint="cs"/>
          <w:rtl/>
        </w:rPr>
        <w:t>'</w:t>
      </w:r>
      <w:r>
        <w:rPr>
          <w:rFonts w:hint="cs"/>
          <w:rtl/>
        </w:rPr>
        <w:t xml:space="preserve"> כאן היא לא להיות יותר חמים מ</w:t>
      </w:r>
      <w:r w:rsidR="00215002">
        <w:rPr>
          <w:rFonts w:hint="cs"/>
          <w:rtl/>
        </w:rPr>
        <w:t>סביבתם</w:t>
      </w:r>
      <w:r w:rsidR="002B3E82">
        <w:rPr>
          <w:rFonts w:hint="cs"/>
          <w:rtl/>
        </w:rPr>
        <w:t>, לא להיות מקור שמוסיף חום</w:t>
      </w:r>
      <w:r w:rsidR="00FB4B45">
        <w:rPr>
          <w:rFonts w:hint="cs"/>
          <w:rtl/>
        </w:rPr>
        <w:t xml:space="preserve"> לטבע</w:t>
      </w:r>
      <w:r w:rsidR="000A3237">
        <w:rPr>
          <w:rFonts w:hint="cs"/>
          <w:rtl/>
        </w:rPr>
        <w:t xml:space="preserve"> (בניגוד לאש)</w:t>
      </w:r>
      <w:r w:rsidR="00B33BFF">
        <w:rPr>
          <w:rFonts w:hint="cs"/>
          <w:rtl/>
        </w:rPr>
        <w:t xml:space="preserve">, שהרי טמפרטורת המים </w:t>
      </w:r>
      <w:r w:rsidR="005B6BB2">
        <w:rPr>
          <w:rFonts w:hint="cs"/>
          <w:rtl/>
        </w:rPr>
        <w:t xml:space="preserve">כשלא מחממים אותם </w:t>
      </w:r>
      <w:r w:rsidR="00B33BFF">
        <w:rPr>
          <w:rFonts w:hint="cs"/>
          <w:rtl/>
        </w:rPr>
        <w:t>אינה קבועה</w:t>
      </w:r>
      <w:r w:rsidR="00AE28A3">
        <w:rPr>
          <w:rFonts w:hint="cs"/>
          <w:rtl/>
        </w:rPr>
        <w:t xml:space="preserve"> אלא היא לפי סביבתם</w:t>
      </w:r>
      <w:r w:rsidR="00FB4B45">
        <w:rPr>
          <w:rFonts w:hint="cs"/>
          <w:rtl/>
        </w:rPr>
        <w:t>.</w:t>
      </w:r>
      <w:r w:rsidR="00393553">
        <w:rPr>
          <w:rFonts w:hint="cs"/>
          <w:rtl/>
        </w:rPr>
        <w:t xml:space="preserve"> </w:t>
      </w:r>
    </w:p>
    <w:p w14:paraId="1721CA0E" w14:textId="1636109D" w:rsidR="00E83812" w:rsidRDefault="00B83FEA">
      <w:pPr>
        <w:pStyle w:val="FootnoteText"/>
        <w:rPr>
          <w:rtl/>
        </w:rPr>
      </w:pPr>
      <w:r>
        <w:rPr>
          <w:rFonts w:hint="cs"/>
          <w:rtl/>
        </w:rPr>
        <w:t xml:space="preserve">לפי אריסטו, האש חמה ויבשה, האוויר </w:t>
      </w:r>
      <w:r w:rsidR="00A1276A">
        <w:rPr>
          <w:rFonts w:hint="cs"/>
          <w:rtl/>
        </w:rPr>
        <w:t xml:space="preserve">חם ולח, המים קרים ולחים, והעפר קר ויבש. </w:t>
      </w:r>
      <w:r w:rsidR="00550F31">
        <w:rPr>
          <w:rFonts w:hint="cs"/>
          <w:rtl/>
        </w:rPr>
        <w:t>בועות אוויר</w:t>
      </w:r>
      <w:r w:rsidR="00C603FA">
        <w:rPr>
          <w:rFonts w:hint="cs"/>
          <w:rtl/>
        </w:rPr>
        <w:t xml:space="preserve"> (כלומר כל גז)</w:t>
      </w:r>
      <w:r w:rsidR="00550F31">
        <w:rPr>
          <w:rFonts w:hint="cs"/>
          <w:rtl/>
        </w:rPr>
        <w:t xml:space="preserve"> עולות למעלה </w:t>
      </w:r>
      <w:r w:rsidR="00A57E96">
        <w:rPr>
          <w:rFonts w:hint="cs"/>
          <w:rtl/>
        </w:rPr>
        <w:t>כשהן בתוך מים כ</w:t>
      </w:r>
      <w:r w:rsidR="00550F31">
        <w:rPr>
          <w:rFonts w:hint="cs"/>
          <w:rtl/>
        </w:rPr>
        <w:t>יוון שהא</w:t>
      </w:r>
      <w:r w:rsidR="00A57E96">
        <w:rPr>
          <w:rFonts w:hint="cs"/>
          <w:rtl/>
        </w:rPr>
        <w:t>וויר</w:t>
      </w:r>
      <w:r w:rsidR="00550F31">
        <w:rPr>
          <w:rFonts w:hint="cs"/>
          <w:rtl/>
        </w:rPr>
        <w:t xml:space="preserve"> חם יותר מהמים, אמנם במד חום לא נמצא שהטמפרטורה של בועות האוויר חמה יותר</w:t>
      </w:r>
      <w:r w:rsidR="00266FBC">
        <w:rPr>
          <w:rFonts w:hint="cs"/>
          <w:rtl/>
        </w:rPr>
        <w:t xml:space="preserve"> ואין בו תהליך אקטיבי שיוצר חום כמו שיש באש</w:t>
      </w:r>
      <w:r w:rsidR="00550F31">
        <w:rPr>
          <w:rFonts w:hint="cs"/>
          <w:rtl/>
        </w:rPr>
        <w:t xml:space="preserve">. </w:t>
      </w:r>
      <w:r w:rsidR="006D40C2">
        <w:rPr>
          <w:rFonts w:hint="cs"/>
          <w:rtl/>
        </w:rPr>
        <w:t>כנראה חום אצל אריסטו קשור לצפיפות</w:t>
      </w:r>
      <w:r w:rsidR="00F051BD">
        <w:rPr>
          <w:rFonts w:hint="cs"/>
          <w:rtl/>
        </w:rPr>
        <w:t xml:space="preserve"> החומר</w:t>
      </w:r>
      <w:r w:rsidR="006D40C2">
        <w:rPr>
          <w:rFonts w:hint="cs"/>
          <w:rtl/>
        </w:rPr>
        <w:t xml:space="preserve">, </w:t>
      </w:r>
      <w:r w:rsidR="00F051BD">
        <w:rPr>
          <w:rFonts w:hint="cs"/>
          <w:rtl/>
        </w:rPr>
        <w:t>ש</w:t>
      </w:r>
      <w:r w:rsidR="00E53662">
        <w:rPr>
          <w:rFonts w:hint="cs"/>
          <w:rtl/>
        </w:rPr>
        <w:t>יש לה קשר</w:t>
      </w:r>
      <w:r w:rsidR="00F051BD">
        <w:rPr>
          <w:rFonts w:hint="cs"/>
          <w:rtl/>
        </w:rPr>
        <w:t xml:space="preserve"> במצבים שונים </w:t>
      </w:r>
      <w:r w:rsidR="0050470E">
        <w:rPr>
          <w:rFonts w:hint="cs"/>
          <w:rtl/>
        </w:rPr>
        <w:t>ו</w:t>
      </w:r>
      <w:r w:rsidR="00F051BD">
        <w:rPr>
          <w:rFonts w:hint="cs"/>
          <w:rtl/>
        </w:rPr>
        <w:t>באופנים שונים ע</w:t>
      </w:r>
      <w:r w:rsidR="0050470E">
        <w:rPr>
          <w:rFonts w:hint="cs"/>
          <w:rtl/>
        </w:rPr>
        <w:t>ם</w:t>
      </w:r>
      <w:r w:rsidR="00F051BD">
        <w:rPr>
          <w:rFonts w:hint="cs"/>
          <w:rtl/>
        </w:rPr>
        <w:t xml:space="preserve"> מהירות תנועת המולקולות שהיא החום. </w:t>
      </w:r>
    </w:p>
    <w:p w14:paraId="6905806C" w14:textId="79FB3FDF" w:rsidR="001D7142" w:rsidRDefault="00871205">
      <w:pPr>
        <w:pStyle w:val="FootnoteText"/>
        <w:rPr>
          <w:rtl/>
        </w:rPr>
      </w:pPr>
      <w:r>
        <w:rPr>
          <w:rFonts w:hint="cs"/>
          <w:rtl/>
        </w:rPr>
        <w:t xml:space="preserve">עניינם </w:t>
      </w:r>
      <w:r w:rsidR="00E83812">
        <w:rPr>
          <w:rFonts w:hint="cs"/>
          <w:rtl/>
        </w:rPr>
        <w:t>של ארבעת היסודות מקורו</w:t>
      </w:r>
      <w:r>
        <w:rPr>
          <w:rFonts w:hint="cs"/>
          <w:rtl/>
        </w:rPr>
        <w:t xml:space="preserve"> בהסתכלות רוחנית, </w:t>
      </w:r>
      <w:r w:rsidR="00E83812">
        <w:rPr>
          <w:rFonts w:hint="cs"/>
          <w:rtl/>
        </w:rPr>
        <w:t>הוא הסדר</w:t>
      </w:r>
      <w:r w:rsidR="00757A73">
        <w:rPr>
          <w:rFonts w:hint="cs"/>
          <w:rtl/>
        </w:rPr>
        <w:t>,</w:t>
      </w:r>
      <w:r w:rsidR="00E83812">
        <w:rPr>
          <w:rFonts w:hint="cs"/>
          <w:rtl/>
        </w:rPr>
        <w:t xml:space="preserve"> </w:t>
      </w:r>
      <w:r w:rsidR="00F0606B">
        <w:rPr>
          <w:rFonts w:hint="cs"/>
          <w:rtl/>
        </w:rPr>
        <w:t>שנובע בהכרח מטאפיזי</w:t>
      </w:r>
      <w:r w:rsidR="00757A73">
        <w:rPr>
          <w:rFonts w:hint="cs"/>
          <w:rtl/>
        </w:rPr>
        <w:t>,</w:t>
      </w:r>
      <w:r w:rsidR="00F0606B">
        <w:rPr>
          <w:rFonts w:hint="cs"/>
          <w:rtl/>
        </w:rPr>
        <w:t xml:space="preserve"> </w:t>
      </w:r>
      <w:r w:rsidR="00E83812">
        <w:rPr>
          <w:rFonts w:hint="cs"/>
          <w:rtl/>
        </w:rPr>
        <w:t>של התגלות הבורא האין סופי בעולם הסופ</w:t>
      </w:r>
      <w:r w:rsidR="00757A73">
        <w:rPr>
          <w:rFonts w:hint="cs"/>
          <w:rtl/>
        </w:rPr>
        <w:t xml:space="preserve">י. </w:t>
      </w:r>
      <w:r w:rsidR="00B81703">
        <w:rPr>
          <w:rFonts w:hint="cs"/>
          <w:rtl/>
        </w:rPr>
        <w:t>במקומות אחרים הארכתי בזה, ומשום כך ארבעת היסודות הם כנגד ארבע אותיות שם הווייה, ו</w:t>
      </w:r>
      <w:r w:rsidR="00896021">
        <w:rPr>
          <w:rFonts w:hint="cs"/>
          <w:rtl/>
        </w:rPr>
        <w:t xml:space="preserve">הם עיקר סוד המספר ארבע שכתב המורה נבוכים ב' י'. </w:t>
      </w:r>
      <w:r w:rsidR="00FD720E">
        <w:rPr>
          <w:rFonts w:hint="cs"/>
          <w:rtl/>
        </w:rPr>
        <w:t>העקרון המטאפיזי מתגלה בטבע שהוא</w:t>
      </w:r>
      <w:r w:rsidR="006A2C01">
        <w:rPr>
          <w:rFonts w:hint="cs"/>
          <w:rtl/>
        </w:rPr>
        <w:t xml:space="preserve"> כעין</w:t>
      </w:r>
      <w:r w:rsidR="00FD720E">
        <w:rPr>
          <w:rFonts w:hint="cs"/>
          <w:rtl/>
        </w:rPr>
        <w:t xml:space="preserve"> צל של ה</w:t>
      </w:r>
      <w:r w:rsidR="006A2C01">
        <w:rPr>
          <w:rFonts w:hint="cs"/>
          <w:rtl/>
        </w:rPr>
        <w:t xml:space="preserve">מציאות המופשטת, והגילוי בטבע הוא עמום, כמו שצל לא מגלה באופן ברור ומפורט את הגוף שמטיל את הצל אלא מגלה רק צורה כללית סתומה שלו. </w:t>
      </w:r>
      <w:r w:rsidR="003A7323">
        <w:rPr>
          <w:rFonts w:hint="cs"/>
          <w:rtl/>
        </w:rPr>
        <w:t xml:space="preserve">לכן שאלות כמו השאלה לגבי החום של האוור אינם יכולות לקבל מענה בהיר </w:t>
      </w:r>
      <w:r w:rsidR="007C391F">
        <w:rPr>
          <w:rFonts w:hint="cs"/>
          <w:rtl/>
        </w:rPr>
        <w:t>על ידי הסתכלות בטבע לחוד</w:t>
      </w:r>
      <w:r w:rsidR="003A7323">
        <w:rPr>
          <w:rFonts w:hint="cs"/>
          <w:rtl/>
        </w:rPr>
        <w:t xml:space="preserve">. </w:t>
      </w:r>
    </w:p>
    <w:p w14:paraId="68AD529B" w14:textId="77777777" w:rsidR="00E21DF4" w:rsidRDefault="00A85564">
      <w:pPr>
        <w:pStyle w:val="FootnoteText"/>
        <w:rPr>
          <w:rtl/>
        </w:rPr>
      </w:pPr>
      <w:r>
        <w:rPr>
          <w:rFonts w:hint="cs"/>
          <w:rtl/>
        </w:rPr>
        <w:t>חוקר הטבע אמור ל</w:t>
      </w:r>
      <w:r w:rsidR="000E08D3">
        <w:rPr>
          <w:rFonts w:hint="cs"/>
          <w:rtl/>
        </w:rPr>
        <w:t>התבונן בטבע ולראות מה הוא מגלה בלי להעזר במטאפיזיקה,</w:t>
      </w:r>
      <w:r w:rsidR="00DB4594">
        <w:rPr>
          <w:rFonts w:hint="cs"/>
          <w:rtl/>
        </w:rPr>
        <w:t xml:space="preserve"> אבל גם חקר הטבע צריך להעשות על ידי השכל העיוני שחודר לראות את המהות באופן ישיר, כי </w:t>
      </w:r>
      <w:r w:rsidR="00C70071">
        <w:rPr>
          <w:rFonts w:hint="cs"/>
          <w:rtl/>
        </w:rPr>
        <w:t xml:space="preserve">גם </w:t>
      </w:r>
      <w:r w:rsidR="00DB4594">
        <w:rPr>
          <w:rFonts w:hint="cs"/>
          <w:rtl/>
        </w:rPr>
        <w:t>הוא חקר סוד העולם, שהוא האלוהות, והוא נקרא סוד מעשה בראשית</w:t>
      </w:r>
      <w:r w:rsidR="007C391F">
        <w:rPr>
          <w:rFonts w:hint="cs"/>
          <w:rtl/>
        </w:rPr>
        <w:t>.</w:t>
      </w:r>
      <w:r w:rsidR="00DB4594">
        <w:rPr>
          <w:rFonts w:hint="cs"/>
          <w:rtl/>
        </w:rPr>
        <w:t xml:space="preserve"> </w:t>
      </w:r>
      <w:r w:rsidR="00C70071">
        <w:rPr>
          <w:rFonts w:hint="cs"/>
          <w:rtl/>
        </w:rPr>
        <w:t>הפיזיקה של אריסטו</w:t>
      </w:r>
      <w:r w:rsidR="007C391F">
        <w:rPr>
          <w:rFonts w:hint="cs"/>
          <w:rtl/>
        </w:rPr>
        <w:t xml:space="preserve"> נקראת מעשה בראשית</w:t>
      </w:r>
      <w:r w:rsidR="00C70071">
        <w:rPr>
          <w:rFonts w:hint="cs"/>
          <w:rtl/>
        </w:rPr>
        <w:t xml:space="preserve"> כמו שכתב הרמב"ם, ועיין מורה נבוכים א' י"ז</w:t>
      </w:r>
      <w:r w:rsidR="007C391F">
        <w:rPr>
          <w:rFonts w:hint="cs"/>
          <w:rtl/>
        </w:rPr>
        <w:t xml:space="preserve">, כי היא חוקרת בשכל עיוני לראות את </w:t>
      </w:r>
      <w:r w:rsidR="00A621AF">
        <w:rPr>
          <w:rFonts w:hint="cs"/>
          <w:rtl/>
        </w:rPr>
        <w:t xml:space="preserve">סוד </w:t>
      </w:r>
      <w:r w:rsidR="007C391F">
        <w:rPr>
          <w:rFonts w:hint="cs"/>
          <w:rtl/>
        </w:rPr>
        <w:t>גילוי האלוהות שבטבע</w:t>
      </w:r>
      <w:r w:rsidR="00A621AF">
        <w:rPr>
          <w:rFonts w:hint="cs"/>
          <w:rtl/>
        </w:rPr>
        <w:t xml:space="preserve"> -</w:t>
      </w:r>
      <w:r w:rsidR="00C70071">
        <w:rPr>
          <w:rFonts w:hint="cs"/>
          <w:rtl/>
        </w:rPr>
        <w:t xml:space="preserve"> </w:t>
      </w:r>
      <w:r w:rsidR="00DB4594">
        <w:rPr>
          <w:rFonts w:hint="cs"/>
          <w:rtl/>
        </w:rPr>
        <w:t>ול</w:t>
      </w:r>
      <w:r w:rsidR="007C6C83">
        <w:rPr>
          <w:rFonts w:hint="cs"/>
          <w:rtl/>
        </w:rPr>
        <w:t>א</w:t>
      </w:r>
      <w:r w:rsidR="00DB4594">
        <w:rPr>
          <w:rFonts w:hint="cs"/>
          <w:rtl/>
        </w:rPr>
        <w:t xml:space="preserve"> </w:t>
      </w:r>
      <w:r w:rsidR="007C6C83">
        <w:rPr>
          <w:rFonts w:hint="cs"/>
          <w:rtl/>
        </w:rPr>
        <w:t xml:space="preserve">באופן החקירה של המדע המערבי שהוא הסתכלות שטחית על החומר כאילו הוא מת ומקרי. </w:t>
      </w:r>
      <w:r w:rsidR="003C5E94">
        <w:rPr>
          <w:rFonts w:hint="cs"/>
          <w:rtl/>
        </w:rPr>
        <w:t>כיוון שדרך המחשבה ש</w:t>
      </w:r>
      <w:r w:rsidR="00924E11">
        <w:rPr>
          <w:rFonts w:hint="cs"/>
          <w:rtl/>
        </w:rPr>
        <w:t>ל</w:t>
      </w:r>
      <w:r w:rsidR="003C5E94">
        <w:rPr>
          <w:rFonts w:hint="cs"/>
          <w:rtl/>
        </w:rPr>
        <w:t xml:space="preserve"> המדע המערבי קלקלה את יכולתנו להסתכל על המציאות </w:t>
      </w:r>
      <w:r w:rsidR="00AF22F5">
        <w:rPr>
          <w:rFonts w:hint="cs"/>
          <w:rtl/>
        </w:rPr>
        <w:t xml:space="preserve">עם לב ושכל פתוחים ועיון שחודר למהות </w:t>
      </w:r>
      <w:r w:rsidR="003C5E94">
        <w:rPr>
          <w:rFonts w:hint="cs"/>
          <w:rtl/>
        </w:rPr>
        <w:t xml:space="preserve">איננו מצליחים לראות כמעט שום דבר </w:t>
      </w:r>
      <w:r w:rsidR="00E21DF4">
        <w:rPr>
          <w:rFonts w:hint="cs"/>
          <w:rtl/>
        </w:rPr>
        <w:t xml:space="preserve">אמיתי </w:t>
      </w:r>
      <w:r w:rsidR="003C5E94">
        <w:rPr>
          <w:rFonts w:hint="cs"/>
          <w:rtl/>
        </w:rPr>
        <w:t>כשמדובר בחקר הטבע, ו</w:t>
      </w:r>
      <w:r w:rsidR="003D3423">
        <w:rPr>
          <w:rFonts w:hint="cs"/>
          <w:rtl/>
        </w:rPr>
        <w:t xml:space="preserve">אנו מוכרחים להשתמש בכתבים של המטאפיזיקה כדי לדעת מה לחפש בהסתכלותנו על הטבע. </w:t>
      </w:r>
    </w:p>
    <w:p w14:paraId="24E26437" w14:textId="2C32B34A" w:rsidR="00A85564" w:rsidRDefault="00924E11">
      <w:pPr>
        <w:pStyle w:val="FootnoteText"/>
      </w:pPr>
      <w:r>
        <w:rPr>
          <w:rFonts w:hint="cs"/>
          <w:rtl/>
        </w:rPr>
        <w:t>יש לזה</w:t>
      </w:r>
      <w:r w:rsidR="002D72F7">
        <w:rPr>
          <w:rFonts w:hint="cs"/>
          <w:rtl/>
        </w:rPr>
        <w:t xml:space="preserve"> </w:t>
      </w:r>
      <w:r>
        <w:rPr>
          <w:rFonts w:hint="cs"/>
          <w:rtl/>
        </w:rPr>
        <w:t>מחיר כבד, כשלומדים מטאפיזיקה לפני ש</w:t>
      </w:r>
      <w:r w:rsidR="002D72F7">
        <w:rPr>
          <w:rFonts w:hint="cs"/>
          <w:rtl/>
        </w:rPr>
        <w:t>רוא</w:t>
      </w:r>
      <w:r>
        <w:rPr>
          <w:rFonts w:hint="cs"/>
          <w:rtl/>
        </w:rPr>
        <w:t>ים את המציאות בהסתכלות טבעית על החומר שמולנו, המילים הופכות ל</w:t>
      </w:r>
      <w:r w:rsidR="002D72F7">
        <w:rPr>
          <w:rFonts w:hint="cs"/>
          <w:rtl/>
        </w:rPr>
        <w:t>מילים ריקות וחלולות</w:t>
      </w:r>
      <w:r>
        <w:rPr>
          <w:rFonts w:hint="cs"/>
          <w:rtl/>
        </w:rPr>
        <w:t xml:space="preserve"> </w:t>
      </w:r>
      <w:r w:rsidR="002D72F7">
        <w:rPr>
          <w:rFonts w:hint="cs"/>
          <w:rtl/>
        </w:rPr>
        <w:t>ו</w:t>
      </w:r>
      <w:r>
        <w:rPr>
          <w:rFonts w:hint="cs"/>
          <w:rtl/>
        </w:rPr>
        <w:t xml:space="preserve">אין </w:t>
      </w:r>
      <w:r w:rsidR="002D72F7">
        <w:rPr>
          <w:rFonts w:hint="cs"/>
          <w:rtl/>
        </w:rPr>
        <w:t>איתן</w:t>
      </w:r>
      <w:r>
        <w:rPr>
          <w:rFonts w:hint="cs"/>
          <w:rtl/>
        </w:rPr>
        <w:t xml:space="preserve"> הבנה אמיתית שנוגעת במציאות שהמילים מציינות אותה. </w:t>
      </w:r>
      <w:r w:rsidR="009A2321">
        <w:rPr>
          <w:rFonts w:hint="cs"/>
          <w:rtl/>
        </w:rPr>
        <w:t xml:space="preserve">הכוחות הנוטים לצד הגוף לא משתתפים במילים האלה, והאדם לא באמת מגיע לדיבוק </w:t>
      </w:r>
      <w:r w:rsidR="004E72B9">
        <w:rPr>
          <w:rFonts w:hint="cs"/>
          <w:rtl/>
        </w:rPr>
        <w:t xml:space="preserve">חי נוגע ואמיתי </w:t>
      </w:r>
      <w:r w:rsidR="009A2321">
        <w:rPr>
          <w:rFonts w:hint="cs"/>
          <w:rtl/>
        </w:rPr>
        <w:t xml:space="preserve">באלוהיו. </w:t>
      </w:r>
      <w:r w:rsidR="004E72B9">
        <w:rPr>
          <w:rFonts w:hint="cs"/>
          <w:rtl/>
        </w:rPr>
        <w:t>ובכל זאת זה מה שביכולתנו ועלי</w:t>
      </w:r>
      <w:r w:rsidR="00541AB2">
        <w:rPr>
          <w:rFonts w:hint="cs"/>
          <w:rtl/>
        </w:rPr>
        <w:t xml:space="preserve">נו להסתפק בזה ולקוות שנצליח להתקדם ולו מעט. </w:t>
      </w:r>
      <w:r w:rsidR="006917AC">
        <w:rPr>
          <w:rFonts w:hint="cs"/>
          <w:rtl/>
        </w:rPr>
        <w:t xml:space="preserve">אם מבינים היטב את הבעיה יש תקווה שהיא לא תקלקל לגמרי את הלימוד שלנו. </w:t>
      </w:r>
      <w:r w:rsidR="00486983">
        <w:rPr>
          <w:rFonts w:hint="cs"/>
          <w:rtl/>
        </w:rPr>
        <w:t>בכמה מקומות אב</w:t>
      </w:r>
      <w:r w:rsidR="0024144C">
        <w:rPr>
          <w:rFonts w:hint="cs"/>
          <w:rtl/>
        </w:rPr>
        <w:t>ן</w:t>
      </w:r>
      <w:r w:rsidR="00486983">
        <w:rPr>
          <w:rFonts w:hint="cs"/>
          <w:rtl/>
        </w:rPr>
        <w:t xml:space="preserve"> סינא מזהיר לא לערב את המטאפיזיקה עם לימו</w:t>
      </w:r>
      <w:r w:rsidR="0024144C">
        <w:rPr>
          <w:rFonts w:hint="cs"/>
          <w:rtl/>
        </w:rPr>
        <w:t>ד</w:t>
      </w:r>
      <w:r w:rsidR="00486983">
        <w:rPr>
          <w:rFonts w:hint="cs"/>
          <w:rtl/>
        </w:rPr>
        <w:t xml:space="preserve"> הטבע, למשל </w:t>
      </w:r>
      <w:r w:rsidR="0024144C">
        <w:rPr>
          <w:rFonts w:hint="cs"/>
          <w:rtl/>
        </w:rPr>
        <w:t>בוויכו</w:t>
      </w:r>
      <w:r w:rsidR="0024144C">
        <w:rPr>
          <w:rFonts w:hint="eastAsia"/>
          <w:rtl/>
        </w:rPr>
        <w:t>ח</w:t>
      </w:r>
      <w:r w:rsidR="00486983">
        <w:rPr>
          <w:rFonts w:hint="cs"/>
          <w:rtl/>
        </w:rPr>
        <w:t xml:space="preserve"> שלו עם פילופונוס לעיל בסמוך, ואני בביאור בכל זאת משתמש במטא</w:t>
      </w:r>
      <w:r w:rsidR="0024144C">
        <w:rPr>
          <w:rFonts w:hint="cs"/>
          <w:rtl/>
        </w:rPr>
        <w:t>פ</w:t>
      </w:r>
      <w:r w:rsidR="00486983">
        <w:rPr>
          <w:rFonts w:hint="cs"/>
          <w:rtl/>
        </w:rPr>
        <w:t xml:space="preserve">יזיקה לבאר את </w:t>
      </w:r>
      <w:r w:rsidR="0024144C">
        <w:rPr>
          <w:rFonts w:hint="cs"/>
          <w:rtl/>
        </w:rPr>
        <w:t xml:space="preserve">לימוד הטבע, וזה בלית ברירה ומקוצר יכולת ההשגה. </w:t>
      </w:r>
      <w:r w:rsidR="00541AB2">
        <w:rPr>
          <w:rFonts w:hint="cs"/>
          <w:rtl/>
        </w:rPr>
        <w:t xml:space="preserve"> </w:t>
      </w:r>
      <w:r w:rsidR="000E08D3">
        <w:rPr>
          <w:rFonts w:hint="cs"/>
          <w:rtl/>
        </w:rPr>
        <w:t xml:space="preserve"> </w:t>
      </w:r>
    </w:p>
  </w:footnote>
  <w:footnote w:id="471">
    <w:p w14:paraId="3C473845" w14:textId="29FC8A44" w:rsidR="0009030F" w:rsidRDefault="0009030F">
      <w:pPr>
        <w:pStyle w:val="FootnoteText"/>
        <w:rPr>
          <w:rtl/>
        </w:rPr>
      </w:pPr>
      <w:r>
        <w:rPr>
          <w:rStyle w:val="FootnoteReference"/>
        </w:rPr>
        <w:footnoteRef/>
      </w:r>
      <w:r>
        <w:rPr>
          <w:rtl/>
        </w:rPr>
        <w:t xml:space="preserve"> </w:t>
      </w:r>
      <w:r w:rsidR="00F61C8C">
        <w:rPr>
          <w:rFonts w:hint="cs"/>
          <w:rtl/>
        </w:rPr>
        <w:t xml:space="preserve">מקגיניס ציין </w:t>
      </w:r>
      <w:r w:rsidR="00F61C8C">
        <w:rPr>
          <w:rFonts w:hint="cs"/>
          <w:rtl/>
        </w:rPr>
        <w:t>ל</w:t>
      </w:r>
      <w:r w:rsidR="00504790">
        <w:rPr>
          <w:rFonts w:hint="cs"/>
          <w:rtl/>
        </w:rPr>
        <w:t xml:space="preserve">לקמן </w:t>
      </w:r>
      <w:r w:rsidR="00F61C8C">
        <w:rPr>
          <w:rFonts w:hint="cs"/>
          <w:rtl/>
        </w:rPr>
        <w:t>ספר ב' פרק ג'</w:t>
      </w:r>
      <w:r w:rsidR="00504790">
        <w:rPr>
          <w:rFonts w:hint="cs"/>
          <w:rtl/>
        </w:rPr>
        <w:t>, ול</w:t>
      </w:r>
      <w:hyperlink r:id="rId104" w:history="1">
        <w:r w:rsidR="00504790" w:rsidRPr="00274533">
          <w:rPr>
            <w:rStyle w:val="Hyperlink"/>
            <w:rFonts w:hint="cs"/>
            <w:rtl/>
          </w:rPr>
          <w:t>ספר בעלי החיים</w:t>
        </w:r>
      </w:hyperlink>
      <w:r w:rsidR="00504790">
        <w:rPr>
          <w:rFonts w:hint="cs"/>
          <w:rtl/>
        </w:rPr>
        <w:t xml:space="preserve"> </w:t>
      </w:r>
      <w:r w:rsidR="00302294">
        <w:rPr>
          <w:rFonts w:hint="cs"/>
          <w:rtl/>
        </w:rPr>
        <w:t>9.5</w:t>
      </w:r>
      <w:r w:rsidR="003934CE">
        <w:rPr>
          <w:rFonts w:hint="cs"/>
          <w:rtl/>
        </w:rPr>
        <w:t xml:space="preserve"> ('ספר בעלי החיים' הוא ליקוט של כתבי אריסטו על בעלי החיים מתורגם לערבית. אבן סינא כלל אותו בעיבוד משלו ב"אל-שיפא"</w:t>
      </w:r>
      <w:r w:rsidR="00F6361B">
        <w:rPr>
          <w:rFonts w:hint="cs"/>
          <w:rtl/>
        </w:rPr>
        <w:t>. עיין</w:t>
      </w:r>
      <w:r w:rsidR="00DB54B6">
        <w:rPr>
          <w:rFonts w:hint="cs"/>
          <w:rtl/>
        </w:rPr>
        <w:t xml:space="preserve"> על הספר</w:t>
      </w:r>
      <w:r w:rsidR="00F6361B">
        <w:rPr>
          <w:rFonts w:hint="cs"/>
          <w:rtl/>
        </w:rPr>
        <w:t xml:space="preserve"> גם </w:t>
      </w:r>
      <w:hyperlink r:id="rId105" w:history="1">
        <w:r w:rsidR="00F6361B" w:rsidRPr="00F6361B">
          <w:rPr>
            <w:rStyle w:val="Hyperlink"/>
            <w:rFonts w:hint="cs"/>
            <w:rtl/>
          </w:rPr>
          <w:t>כאן</w:t>
        </w:r>
      </w:hyperlink>
      <w:r w:rsidR="00F6361B">
        <w:rPr>
          <w:rFonts w:hint="cs"/>
          <w:rtl/>
        </w:rPr>
        <w:t>)</w:t>
      </w:r>
      <w:r w:rsidR="00F61C8C">
        <w:rPr>
          <w:rFonts w:hint="cs"/>
          <w:rtl/>
        </w:rPr>
        <w:t xml:space="preserve">. </w:t>
      </w:r>
    </w:p>
    <w:p w14:paraId="4126B2E6" w14:textId="0396706C" w:rsidR="002357D1" w:rsidRDefault="002357D1">
      <w:pPr>
        <w:pStyle w:val="FootnoteText"/>
      </w:pPr>
      <w:r>
        <w:rPr>
          <w:rFonts w:hint="cs"/>
          <w:rtl/>
        </w:rPr>
        <w:t>באופן כללי צורה רוצה תמיד להתלבש בכל חומר. מה שקובע באיזה חומר היא תתלבש הוא הכנת החומר לקבל צורה</w:t>
      </w:r>
      <w:r w:rsidR="001B2985">
        <w:rPr>
          <w:rFonts w:hint="cs"/>
          <w:rtl/>
        </w:rPr>
        <w:t xml:space="preserve"> (עיין בזה מורה נבוכים ב' י"ח</w:t>
      </w:r>
      <w:r w:rsidR="00DA7DE1">
        <w:rPr>
          <w:rFonts w:hint="cs"/>
          <w:rtl/>
        </w:rPr>
        <w:t>)</w:t>
      </w:r>
      <w:r>
        <w:rPr>
          <w:rFonts w:hint="cs"/>
          <w:rtl/>
        </w:rPr>
        <w:t xml:space="preserve">, ההכנה הזו משתנה </w:t>
      </w:r>
      <w:r w:rsidR="00E350D0">
        <w:rPr>
          <w:rFonts w:hint="cs"/>
          <w:rtl/>
        </w:rPr>
        <w:t>עם שינויים במזג החומר. למשל מה שהחומר של אדם מאבד מאיכויותיו ומידותיו</w:t>
      </w:r>
      <w:r w:rsidR="00013E73">
        <w:rPr>
          <w:rFonts w:hint="cs"/>
          <w:rtl/>
        </w:rPr>
        <w:t>, מחמת שינויים במזג החומר,</w:t>
      </w:r>
      <w:r w:rsidR="00E350D0">
        <w:rPr>
          <w:rFonts w:hint="cs"/>
          <w:rtl/>
        </w:rPr>
        <w:t xml:space="preserve"> גורם ש</w:t>
      </w:r>
      <w:r w:rsidR="00013E73">
        <w:rPr>
          <w:rFonts w:hint="cs"/>
          <w:rtl/>
        </w:rPr>
        <w:t>הוא כבר לא מוכן לקבל צורת אדם ו</w:t>
      </w:r>
      <w:r w:rsidR="00E350D0">
        <w:rPr>
          <w:rFonts w:hint="cs"/>
          <w:rtl/>
        </w:rPr>
        <w:t xml:space="preserve">צורת האדם תיפרד ממנו וזהו המוות מזקנה. </w:t>
      </w:r>
      <w:r w:rsidR="00013E73">
        <w:rPr>
          <w:rFonts w:hint="cs"/>
          <w:rtl/>
        </w:rPr>
        <w:t>וכן החומר של העובר גדל במידותיו ומשתנה באיכויותיו עד שהוא מוכן לקבל צורת אדם גמורה בפועל</w:t>
      </w:r>
      <w:r w:rsidR="00344B8C">
        <w:rPr>
          <w:rFonts w:hint="cs"/>
          <w:rtl/>
        </w:rPr>
        <w:t xml:space="preserve"> ואז הוא נולד. השינויים בחומר </w:t>
      </w:r>
      <w:r w:rsidR="009763DD">
        <w:rPr>
          <w:rFonts w:hint="cs"/>
          <w:rtl/>
        </w:rPr>
        <w:t xml:space="preserve">שגורמים תנועת הצורות </w:t>
      </w:r>
      <w:r w:rsidR="00344B8C">
        <w:rPr>
          <w:rFonts w:hint="cs"/>
          <w:rtl/>
        </w:rPr>
        <w:t>נחשבים מקריים כי אין להם הסבר שכלי</w:t>
      </w:r>
      <w:r w:rsidR="009763DD">
        <w:rPr>
          <w:rFonts w:hint="cs"/>
          <w:rtl/>
        </w:rPr>
        <w:t>, והם לא נובעים מהחיים שבצורות, שה</w:t>
      </w:r>
      <w:r w:rsidR="009A7F58">
        <w:rPr>
          <w:rFonts w:hint="cs"/>
          <w:rtl/>
        </w:rPr>
        <w:t>ם</w:t>
      </w:r>
      <w:r w:rsidR="009763DD">
        <w:rPr>
          <w:rFonts w:hint="cs"/>
          <w:rtl/>
        </w:rPr>
        <w:t xml:space="preserve"> מה שנגלה לנו כחיים, אלא מחיים של החומר מצד עצמו</w:t>
      </w:r>
      <w:r w:rsidR="009A7F58">
        <w:rPr>
          <w:rFonts w:hint="cs"/>
          <w:rtl/>
        </w:rPr>
        <w:t xml:space="preserve"> שבעיקרם הם נסתרים מיכולת תפישתנו</w:t>
      </w:r>
      <w:r w:rsidR="009763DD">
        <w:rPr>
          <w:rFonts w:hint="cs"/>
          <w:rtl/>
        </w:rPr>
        <w:t>.</w:t>
      </w:r>
      <w:r w:rsidR="008A6B4B">
        <w:rPr>
          <w:rFonts w:hint="cs"/>
          <w:rtl/>
        </w:rPr>
        <w:t xml:space="preserve"> השינויים בכמות ובאיכות של החומר שמדובר בהם כאן </w:t>
      </w:r>
      <w:r w:rsidR="00FD403F">
        <w:rPr>
          <w:rFonts w:hint="cs"/>
          <w:rtl/>
        </w:rPr>
        <w:t>הם אלה ש</w:t>
      </w:r>
      <w:r w:rsidR="008A6B4B">
        <w:rPr>
          <w:rFonts w:hint="cs"/>
          <w:rtl/>
        </w:rPr>
        <w:t>נובעים משינויי המזג</w:t>
      </w:r>
      <w:r w:rsidR="00FD403F">
        <w:rPr>
          <w:rFonts w:hint="cs"/>
          <w:rtl/>
        </w:rPr>
        <w:t xml:space="preserve"> (ולא מצד הצורה)</w:t>
      </w:r>
      <w:r w:rsidR="008A6B4B">
        <w:rPr>
          <w:rFonts w:hint="cs"/>
          <w:rtl/>
        </w:rPr>
        <w:t xml:space="preserve">, שהם מקרים של החומר ונובעים בדרך נעלמה מאיתנו מחיי החומר, והם </w:t>
      </w:r>
      <w:r w:rsidR="00FD403F">
        <w:rPr>
          <w:rFonts w:hint="cs"/>
          <w:rtl/>
        </w:rPr>
        <w:t>הסיבה ל</w:t>
      </w:r>
      <w:r w:rsidR="001031DA">
        <w:rPr>
          <w:rFonts w:hint="cs"/>
          <w:rtl/>
        </w:rPr>
        <w:t xml:space="preserve">תנועת </w:t>
      </w:r>
      <w:r w:rsidR="00FD403F">
        <w:rPr>
          <w:rFonts w:hint="cs"/>
          <w:rtl/>
        </w:rPr>
        <w:t>השתנות הצורות.</w:t>
      </w:r>
      <w:r w:rsidR="009763DD">
        <w:rPr>
          <w:rFonts w:hint="cs"/>
          <w:rtl/>
        </w:rPr>
        <w:t xml:space="preserve"> </w:t>
      </w:r>
      <w:r w:rsidR="001031DA">
        <w:rPr>
          <w:rFonts w:hint="cs"/>
          <w:rtl/>
        </w:rPr>
        <w:t xml:space="preserve">עיין היטב במורה נבוכים א' ע"ב, ובמה שכתבתי על זה </w:t>
      </w:r>
      <w:r w:rsidR="00626FE6">
        <w:rPr>
          <w:rFonts w:hint="cs"/>
          <w:rtl/>
        </w:rPr>
        <w:t xml:space="preserve">בהערות על מורה נבוכים </w:t>
      </w:r>
      <w:hyperlink r:id="rId106" w:history="1">
        <w:r w:rsidR="00626FE6" w:rsidRPr="00626FE6">
          <w:rPr>
            <w:rStyle w:val="Hyperlink"/>
            <w:rFonts w:hint="cs"/>
            <w:rtl/>
          </w:rPr>
          <w:t>רשימה 33</w:t>
        </w:r>
      </w:hyperlink>
      <w:r w:rsidR="001031DA">
        <w:rPr>
          <w:rFonts w:hint="cs"/>
          <w:rtl/>
        </w:rPr>
        <w:t>.</w:t>
      </w:r>
      <w:r w:rsidR="00013E73">
        <w:rPr>
          <w:rFonts w:hint="cs"/>
          <w:rtl/>
        </w:rPr>
        <w:t xml:space="preserve"> </w:t>
      </w:r>
    </w:p>
  </w:footnote>
  <w:footnote w:id="472">
    <w:p w14:paraId="5BDC81F9" w14:textId="3F1CFAAB" w:rsidR="001122DB" w:rsidRDefault="006C45C1" w:rsidP="00CF32F2">
      <w:pPr>
        <w:pStyle w:val="FootnoteText"/>
        <w:rPr>
          <w:rtl/>
        </w:rPr>
      </w:pPr>
      <w:r>
        <w:rPr>
          <w:rStyle w:val="FootnoteReference"/>
        </w:rPr>
        <w:footnoteRef/>
      </w:r>
      <w:r w:rsidRPr="007F258B">
        <w:rPr>
          <w:rtl/>
        </w:rPr>
        <w:t xml:space="preserve"> </w:t>
      </w:r>
      <w:r w:rsidR="00321231" w:rsidRPr="007F258B">
        <w:rPr>
          <w:rFonts w:ascii="Arial" w:hAnsi="Arial" w:cs="Arial" w:hint="cs"/>
          <w:rtl/>
          <w:lang w:bidi="ar-SA"/>
        </w:rPr>
        <w:t>حصول</w:t>
      </w:r>
      <w:r w:rsidR="00321231" w:rsidRPr="007F258B">
        <w:rPr>
          <w:rtl/>
          <w:lang w:bidi="ar-SA"/>
        </w:rPr>
        <w:t xml:space="preserve"> </w:t>
      </w:r>
      <w:r w:rsidR="00321231" w:rsidRPr="007F258B">
        <w:rPr>
          <w:rFonts w:ascii="Arial" w:hAnsi="Arial" w:cs="Arial" w:hint="cs"/>
          <w:rtl/>
          <w:lang w:bidi="ar-SA"/>
        </w:rPr>
        <w:t>الصورة</w:t>
      </w:r>
      <w:r w:rsidR="00321231" w:rsidRPr="007F258B">
        <w:rPr>
          <w:rtl/>
        </w:rPr>
        <w:t xml:space="preserve"> </w:t>
      </w:r>
      <w:r w:rsidR="00574A23">
        <w:rPr>
          <w:rFonts w:hint="cs"/>
          <w:rtl/>
        </w:rPr>
        <w:t>(</w:t>
      </w:r>
      <w:r w:rsidR="000F4F64">
        <w:rPr>
          <w:rFonts w:hint="cs"/>
          <w:rtl/>
        </w:rPr>
        <w:t>חצול אלצו</w:t>
      </w:r>
      <w:r w:rsidR="00574A23">
        <w:rPr>
          <w:rFonts w:hint="cs"/>
          <w:rtl/>
        </w:rPr>
        <w:t xml:space="preserve">רה), משורש 'חצל'. </w:t>
      </w:r>
      <w:r w:rsidR="00321231" w:rsidRPr="006F1D29">
        <w:rPr>
          <w:rtl/>
        </w:rPr>
        <w:t>אפשר</w:t>
      </w:r>
      <w:r w:rsidR="006F1D29" w:rsidRPr="006F1D29">
        <w:rPr>
          <w:rtl/>
        </w:rPr>
        <w:t xml:space="preserve"> </w:t>
      </w:r>
      <w:r w:rsidR="00321231" w:rsidRPr="006F1D29">
        <w:rPr>
          <w:rtl/>
        </w:rPr>
        <w:t xml:space="preserve">לתרגם גם </w:t>
      </w:r>
      <w:r w:rsidR="006F1D29">
        <w:rPr>
          <w:rFonts w:hint="cs"/>
          <w:rtl/>
        </w:rPr>
        <w:t>'</w:t>
      </w:r>
      <w:r w:rsidR="006F1D29" w:rsidRPr="006F1D29">
        <w:rPr>
          <w:rtl/>
        </w:rPr>
        <w:t>התממשות הצורות</w:t>
      </w:r>
      <w:r w:rsidR="006F1D29">
        <w:rPr>
          <w:rFonts w:hint="cs"/>
          <w:rtl/>
        </w:rPr>
        <w:t>'</w:t>
      </w:r>
      <w:r w:rsidR="006F1D29" w:rsidRPr="006F1D29">
        <w:rPr>
          <w:rtl/>
        </w:rPr>
        <w:t xml:space="preserve"> או </w:t>
      </w:r>
      <w:r w:rsidR="006F1D29">
        <w:rPr>
          <w:rFonts w:hint="cs"/>
          <w:rtl/>
        </w:rPr>
        <w:t>'</w:t>
      </w:r>
      <w:r w:rsidR="006F1D29" w:rsidRPr="006F1D29">
        <w:rPr>
          <w:rtl/>
        </w:rPr>
        <w:t>הופעת הצורות בפועל</w:t>
      </w:r>
      <w:r w:rsidR="006F1D29">
        <w:rPr>
          <w:rFonts w:hint="cs"/>
          <w:rtl/>
        </w:rPr>
        <w:t>'</w:t>
      </w:r>
      <w:r w:rsidR="006F1D29" w:rsidRPr="006F1D29">
        <w:rPr>
          <w:rtl/>
        </w:rPr>
        <w:t>.</w:t>
      </w:r>
      <w:r w:rsidR="006F1D29">
        <w:rPr>
          <w:rFonts w:hint="cs"/>
          <w:rtl/>
        </w:rPr>
        <w:t xml:space="preserve"> </w:t>
      </w:r>
      <w:r w:rsidR="00542199">
        <w:rPr>
          <w:rFonts w:hint="cs"/>
          <w:rtl/>
        </w:rPr>
        <w:t>לפי מקגיניס</w:t>
      </w:r>
      <w:r w:rsidR="006C251B">
        <w:rPr>
          <w:rFonts w:hint="cs"/>
          <w:rtl/>
        </w:rPr>
        <w:t xml:space="preserve"> ורייזמן</w:t>
      </w:r>
      <w:r w:rsidR="00426C3C">
        <w:rPr>
          <w:rFonts w:hint="cs"/>
          <w:rtl/>
        </w:rPr>
        <w:t xml:space="preserve"> </w:t>
      </w:r>
      <w:hyperlink r:id="rId107" w:history="1">
        <w:r w:rsidR="00426C3C" w:rsidRPr="006C251B">
          <w:rPr>
            <w:rStyle w:val="Hyperlink"/>
            <w:rFonts w:hint="cs"/>
            <w:rtl/>
          </w:rPr>
          <w:t>כאן</w:t>
        </w:r>
      </w:hyperlink>
      <w:r w:rsidR="00426C3C">
        <w:rPr>
          <w:rFonts w:hint="cs"/>
          <w:rtl/>
        </w:rPr>
        <w:t>, התרגום לאנגלית יכול להיות:</w:t>
      </w:r>
    </w:p>
    <w:p w14:paraId="707F2546" w14:textId="2766753D" w:rsidR="006C45C1" w:rsidRDefault="009D49CE" w:rsidP="009D49CE">
      <w:pPr>
        <w:pStyle w:val="FootnoteText"/>
        <w:bidi w:val="0"/>
      </w:pPr>
      <w:r>
        <w:t>"</w:t>
      </w:r>
      <w:r w:rsidR="00CF32F2">
        <w:t>occuring</w:t>
      </w:r>
      <w:r w:rsidR="00A01414">
        <w:rPr>
          <w:rFonts w:hint="cs"/>
          <w:rtl/>
        </w:rPr>
        <w:t xml:space="preserve"> </w:t>
      </w:r>
      <w:r w:rsidR="00CF32F2">
        <w:t>determinatel</w:t>
      </w:r>
      <w:r w:rsidR="00A01414">
        <w:t>y,</w:t>
      </w:r>
      <w:r w:rsidR="001122DB">
        <w:rPr>
          <w:rFonts w:hint="cs"/>
          <w:rtl/>
        </w:rPr>
        <w:t xml:space="preserve"> </w:t>
      </w:r>
      <w:r w:rsidR="00CF32F2">
        <w:t>occurring, happening; obtainment, actualisation; event</w:t>
      </w:r>
      <w:r w:rsidR="00426C3C">
        <w:rPr>
          <w:rFonts w:hint="cs"/>
          <w:rtl/>
        </w:rPr>
        <w:t>"</w:t>
      </w:r>
    </w:p>
    <w:p w14:paraId="364F2D13" w14:textId="426CB6CF" w:rsidR="002D6A7C" w:rsidRDefault="002D6A7C" w:rsidP="002D6A7C">
      <w:pPr>
        <w:pStyle w:val="FootnoteText"/>
        <w:rPr>
          <w:rtl/>
        </w:rPr>
      </w:pPr>
      <w:r>
        <w:rPr>
          <w:rFonts w:hint="cs"/>
          <w:rtl/>
        </w:rPr>
        <w:t xml:space="preserve">וכעין זה גם </w:t>
      </w:r>
      <w:hyperlink r:id="rId108" w:history="1">
        <w:r w:rsidRPr="00516D87">
          <w:rPr>
            <w:rStyle w:val="Hyperlink"/>
            <w:rFonts w:hint="cs"/>
            <w:rtl/>
          </w:rPr>
          <w:t>כאן</w:t>
        </w:r>
      </w:hyperlink>
      <w:r>
        <w:rPr>
          <w:rFonts w:hint="cs"/>
          <w:rtl/>
        </w:rPr>
        <w:t xml:space="preserve">. </w:t>
      </w:r>
    </w:p>
    <w:p w14:paraId="46825BD7" w14:textId="5AC40AE6" w:rsidR="00C009F5" w:rsidRPr="006F1D29" w:rsidRDefault="00D72E1A" w:rsidP="002D6A7C">
      <w:pPr>
        <w:pStyle w:val="FootnoteText"/>
        <w:rPr>
          <w:rtl/>
        </w:rPr>
      </w:pPr>
      <w:r>
        <w:rPr>
          <w:rFonts w:hint="cs"/>
          <w:rtl/>
        </w:rPr>
        <w:t>במורה נבוכים א' ז</w:t>
      </w:r>
      <w:r w:rsidR="00AC57C9">
        <w:rPr>
          <w:rFonts w:hint="cs"/>
          <w:rtl/>
        </w:rPr>
        <w:t>' כתב אבן תיבון: "</w:t>
      </w:r>
      <w:r w:rsidR="00AC57C9" w:rsidRPr="00AC57C9">
        <w:rPr>
          <w:rtl/>
        </w:rPr>
        <w:t xml:space="preserve">וכל מי שקדמו לו מן הבנים לא </w:t>
      </w:r>
      <w:r w:rsidR="00AC57C9" w:rsidRPr="00AC57C9">
        <w:rPr>
          <w:b/>
          <w:bCs/>
          <w:rtl/>
        </w:rPr>
        <w:t>הגיע</w:t>
      </w:r>
      <w:r w:rsidR="00AC57C9" w:rsidRPr="00AC57C9">
        <w:rPr>
          <w:rtl/>
        </w:rPr>
        <w:t xml:space="preserve"> עליהם הצורה האנושית באמת, אשר היא צלם ודמותו</w:t>
      </w:r>
      <w:r w:rsidR="00CA718F">
        <w:rPr>
          <w:rFonts w:hint="cs"/>
          <w:rtl/>
        </w:rPr>
        <w:t xml:space="preserve"> [...] </w:t>
      </w:r>
      <w:r w:rsidR="00CA718F" w:rsidRPr="00CA718F">
        <w:rPr>
          <w:rtl/>
        </w:rPr>
        <w:t xml:space="preserve">כי השכל והמחשבה שהיו מוכנים לו </w:t>
      </w:r>
      <w:r w:rsidR="00CA718F" w:rsidRPr="00A06D0A">
        <w:rPr>
          <w:b/>
          <w:bCs/>
          <w:rtl/>
        </w:rPr>
        <w:t>להגעת</w:t>
      </w:r>
      <w:r w:rsidR="00CA718F" w:rsidRPr="00CA718F">
        <w:rPr>
          <w:rtl/>
        </w:rPr>
        <w:t xml:space="preserve"> השלמות אשר לא </w:t>
      </w:r>
      <w:r w:rsidR="00CA718F" w:rsidRPr="00A06D0A">
        <w:rPr>
          <w:b/>
          <w:bCs/>
          <w:rtl/>
        </w:rPr>
        <w:t>הגיע</w:t>
      </w:r>
      <w:r w:rsidR="00AC57C9">
        <w:rPr>
          <w:rFonts w:hint="cs"/>
          <w:rtl/>
        </w:rPr>
        <w:t>"</w:t>
      </w:r>
      <w:r w:rsidR="00A06D0A">
        <w:rPr>
          <w:rFonts w:hint="cs"/>
          <w:rtl/>
        </w:rPr>
        <w:t>, הלשון "הגיע"</w:t>
      </w:r>
      <w:r w:rsidR="00A06D0A">
        <w:rPr>
          <w:rFonts w:hint="cs"/>
        </w:rPr>
        <w:t xml:space="preserve"> </w:t>
      </w:r>
      <w:r w:rsidR="00A06D0A">
        <w:rPr>
          <w:rFonts w:hint="cs"/>
          <w:rtl/>
        </w:rPr>
        <w:t>היא תרגום של ה</w:t>
      </w:r>
      <w:r w:rsidR="00574A23">
        <w:rPr>
          <w:rFonts w:hint="cs"/>
          <w:rtl/>
        </w:rPr>
        <w:t>מ</w:t>
      </w:r>
      <w:r w:rsidR="00A06D0A">
        <w:rPr>
          <w:rFonts w:hint="cs"/>
          <w:rtl/>
        </w:rPr>
        <w:t xml:space="preserve">ילה שכתב הרמב"ם </w:t>
      </w:r>
      <w:r w:rsidR="000F4F64">
        <w:rPr>
          <w:rFonts w:hint="cs"/>
          <w:rtl/>
        </w:rPr>
        <w:t>'</w:t>
      </w:r>
      <w:r w:rsidR="00A06D0A">
        <w:rPr>
          <w:rFonts w:hint="cs"/>
          <w:rtl/>
        </w:rPr>
        <w:t>חצל</w:t>
      </w:r>
      <w:r w:rsidR="000F4F64">
        <w:rPr>
          <w:rFonts w:hint="cs"/>
          <w:rtl/>
        </w:rPr>
        <w:t>'.</w:t>
      </w:r>
      <w:r w:rsidR="004067BB">
        <w:rPr>
          <w:rFonts w:hint="cs"/>
          <w:rtl/>
        </w:rPr>
        <w:t xml:space="preserve"> תרגמתי בעקבות אבן תיבון. </w:t>
      </w:r>
      <w:hyperlink r:id="rId109" w:history="1">
        <w:r w:rsidR="004067BB" w:rsidRPr="00BA3C2E">
          <w:rPr>
            <w:rStyle w:val="Hyperlink"/>
            <w:rFonts w:hint="cs"/>
            <w:rtl/>
          </w:rPr>
          <w:t>כאן</w:t>
        </w:r>
      </w:hyperlink>
      <w:r w:rsidR="004067BB">
        <w:rPr>
          <w:rFonts w:hint="cs"/>
          <w:rtl/>
        </w:rPr>
        <w:t xml:space="preserve"> יש </w:t>
      </w:r>
      <w:r w:rsidR="00856A16">
        <w:rPr>
          <w:rFonts w:hint="cs"/>
          <w:rtl/>
        </w:rPr>
        <w:t xml:space="preserve">את המורה נבוכים בערבית בקובץ שאפשר לחפש בו באותיות עבריות. </w:t>
      </w:r>
      <w:r w:rsidR="004067BB">
        <w:rPr>
          <w:rFonts w:hint="cs"/>
          <w:rtl/>
        </w:rPr>
        <w:t xml:space="preserve"> </w:t>
      </w:r>
    </w:p>
  </w:footnote>
  <w:footnote w:id="473">
    <w:p w14:paraId="6AA3E20A" w14:textId="6A5C1A10" w:rsidR="00731343" w:rsidRDefault="00731343">
      <w:pPr>
        <w:pStyle w:val="FootnoteText"/>
      </w:pPr>
      <w:r>
        <w:rPr>
          <w:rStyle w:val="FootnoteReference"/>
        </w:rPr>
        <w:footnoteRef/>
      </w:r>
      <w:r>
        <w:rPr>
          <w:rtl/>
        </w:rPr>
        <w:t xml:space="preserve"> </w:t>
      </w:r>
      <w:r w:rsidR="0049574C" w:rsidRPr="0049574C">
        <w:rPr>
          <w:rFonts w:cs="Times New Roman" w:hint="eastAsia"/>
          <w:rtl/>
          <w:lang w:bidi="ar-SA"/>
        </w:rPr>
        <w:t>مفيدتها</w:t>
      </w:r>
      <w:r w:rsidR="0049574C">
        <w:rPr>
          <w:rFonts w:cs="Times New Roman" w:hint="cs"/>
          <w:rtl/>
        </w:rPr>
        <w:t>.</w:t>
      </w:r>
      <w:r w:rsidR="0049574C" w:rsidRPr="0049574C">
        <w:rPr>
          <w:rtl/>
        </w:rPr>
        <w:t xml:space="preserve"> משמעותו בדרך כלל היא לספק, להועיל. </w:t>
      </w:r>
    </w:p>
  </w:footnote>
  <w:footnote w:id="474">
    <w:p w14:paraId="735DD2C3" w14:textId="116486D4" w:rsidR="00123F14" w:rsidRDefault="00123F14">
      <w:pPr>
        <w:pStyle w:val="FootnoteText"/>
        <w:rPr>
          <w:rtl/>
        </w:rPr>
      </w:pPr>
      <w:r>
        <w:rPr>
          <w:rStyle w:val="FootnoteReference"/>
        </w:rPr>
        <w:footnoteRef/>
      </w:r>
      <w:r>
        <w:rPr>
          <w:rtl/>
        </w:rPr>
        <w:t xml:space="preserve"> </w:t>
      </w:r>
      <w:r w:rsidR="00B33A42">
        <w:rPr>
          <w:rFonts w:hint="cs"/>
          <w:rtl/>
        </w:rPr>
        <w:t>השכל הפועל הוא נותן הצורות, והוא גילוי אלוהות מופשט מעל הטבע. הצורות מתממשות בחומר לפי ההכנה שבחומר, אבל מקורן הוא מהשכל הפועל.</w:t>
      </w:r>
    </w:p>
    <w:p w14:paraId="6C294A7F" w14:textId="7902B9FC" w:rsidR="00D25FD1" w:rsidRDefault="00D25FD1">
      <w:pPr>
        <w:pStyle w:val="FootnoteText"/>
      </w:pPr>
      <w:r>
        <w:rPr>
          <w:rFonts w:hint="cs"/>
          <w:rtl/>
        </w:rPr>
        <w:t>יש עשרה שכלים נפרדים</w:t>
      </w:r>
      <w:r w:rsidR="00AE18C7">
        <w:rPr>
          <w:rFonts w:hint="cs"/>
          <w:rtl/>
        </w:rPr>
        <w:t xml:space="preserve">, כשהתחתון שבהם הוא השכל הפועל. כולם מופשטים לגמרי, כלומר הם האלוהות עצמה, במדרגות ההתגלות שלה </w:t>
      </w:r>
      <w:r w:rsidR="00E90836">
        <w:rPr>
          <w:rFonts w:hint="cs"/>
          <w:rtl/>
        </w:rPr>
        <w:t xml:space="preserve">מצד סוד הצמצום. </w:t>
      </w:r>
      <w:r w:rsidR="00251258">
        <w:rPr>
          <w:rFonts w:hint="cs"/>
          <w:rtl/>
        </w:rPr>
        <w:t xml:space="preserve">רבי משה </w:t>
      </w:r>
      <w:r w:rsidR="00251258">
        <w:rPr>
          <w:rFonts w:hint="cs"/>
          <w:rtl/>
        </w:rPr>
        <w:t xml:space="preserve">קורדובירו בפרדס רימונים כתב שהשכל הפועל הוא ספירת מלכות, </w:t>
      </w:r>
      <w:r w:rsidR="00416BD6">
        <w:rPr>
          <w:rFonts w:hint="cs"/>
          <w:rtl/>
        </w:rPr>
        <w:t>ו</w:t>
      </w:r>
      <w:r w:rsidR="00E90836">
        <w:rPr>
          <w:rFonts w:hint="cs"/>
          <w:rtl/>
        </w:rPr>
        <w:t xml:space="preserve">האר"י בעץ חיים שער א' ענף ב' כתב שהספירות הן הגלגלים של אריסטו, וכל גלגל הוא </w:t>
      </w:r>
      <w:r w:rsidR="00251258">
        <w:rPr>
          <w:rFonts w:hint="cs"/>
          <w:rtl/>
        </w:rPr>
        <w:t xml:space="preserve">צד החומר של השכל הנפרד ששייך למדרגתו, כלומר השכלים הנפרדים הם עשר הספירות של חכמי הקבלה. </w:t>
      </w:r>
      <w:r w:rsidR="00416BD6">
        <w:rPr>
          <w:rFonts w:hint="cs"/>
          <w:rtl/>
        </w:rPr>
        <w:t xml:space="preserve">על עשר הספירות יש דיון ארוך אצל חכמי הקבלה האם הן אלוהות ממש או שהן מחוץ לאלוהות. </w:t>
      </w:r>
      <w:r w:rsidR="00AC41E3">
        <w:rPr>
          <w:rFonts w:hint="cs"/>
          <w:rtl/>
        </w:rPr>
        <w:t xml:space="preserve">אין כאן ויכוח בין שני צדדים סותרים שצריכים הכרעה, אלא מהצד שלפני הצמצום האלוהות היא אור אין סוף של אחדות פשוטה ומוחלטת בלי מורכבות כלל, ובוודאי הספירות אינן בתוך האלוהות. מצד הצמצום, </w:t>
      </w:r>
      <w:r w:rsidR="00B547E5">
        <w:rPr>
          <w:rFonts w:hint="cs"/>
          <w:rtl/>
        </w:rPr>
        <w:t xml:space="preserve">שהבורא התגלה כבעל דמות, וכמו שכתב המורה נבוכים א' סוף פרק מ"ו, </w:t>
      </w:r>
      <w:r w:rsidR="00F77BE5">
        <w:rPr>
          <w:rFonts w:hint="cs"/>
          <w:rtl/>
        </w:rPr>
        <w:t>שזה הביאור בפסוק</w:t>
      </w:r>
      <w:r w:rsidR="005E32E6">
        <w:rPr>
          <w:rFonts w:hint="cs"/>
          <w:rtl/>
        </w:rPr>
        <w:t xml:space="preserve"> ביחזקאל א'</w:t>
      </w:r>
      <w:r w:rsidR="00F77BE5">
        <w:rPr>
          <w:rFonts w:hint="cs"/>
          <w:rtl/>
        </w:rPr>
        <w:t xml:space="preserve"> </w:t>
      </w:r>
      <w:r w:rsidR="005E32E6">
        <w:rPr>
          <w:rFonts w:hint="cs"/>
          <w:rtl/>
        </w:rPr>
        <w:t>"</w:t>
      </w:r>
      <w:r w:rsidR="00F77BE5">
        <w:rPr>
          <w:rFonts w:hint="cs"/>
          <w:rtl/>
        </w:rPr>
        <w:t xml:space="preserve">ועל </w:t>
      </w:r>
      <w:r w:rsidR="00C5740D">
        <w:rPr>
          <w:rFonts w:hint="cs"/>
          <w:rtl/>
        </w:rPr>
        <w:t xml:space="preserve">דמות </w:t>
      </w:r>
      <w:r w:rsidR="00F77BE5">
        <w:rPr>
          <w:rFonts w:hint="cs"/>
          <w:rtl/>
        </w:rPr>
        <w:t>הכסא דמות</w:t>
      </w:r>
      <w:r w:rsidR="008854FC">
        <w:rPr>
          <w:rFonts w:hint="cs"/>
          <w:rtl/>
        </w:rPr>
        <w:t xml:space="preserve"> כמראה</w:t>
      </w:r>
      <w:r w:rsidR="00F77BE5">
        <w:rPr>
          <w:rFonts w:hint="cs"/>
          <w:rtl/>
        </w:rPr>
        <w:t xml:space="preserve"> אדם</w:t>
      </w:r>
      <w:r w:rsidR="005E32E6">
        <w:rPr>
          <w:rFonts w:hint="cs"/>
          <w:rtl/>
        </w:rPr>
        <w:t>"</w:t>
      </w:r>
      <w:r w:rsidR="00F77BE5">
        <w:rPr>
          <w:rFonts w:hint="cs"/>
          <w:rtl/>
        </w:rPr>
        <w:t xml:space="preserve">, אותו אדם </w:t>
      </w:r>
      <w:r w:rsidR="007D5046">
        <w:rPr>
          <w:rFonts w:hint="cs"/>
          <w:rtl/>
        </w:rPr>
        <w:t xml:space="preserve">הוא מערכת עשר הספירות, וכמו שכתב האר"י שעשר הספירות הן ציור אדם </w:t>
      </w:r>
      <w:r w:rsidR="00F77BE5">
        <w:rPr>
          <w:rFonts w:hint="cs"/>
          <w:rtl/>
        </w:rPr>
        <w:t>(</w:t>
      </w:r>
      <w:r w:rsidR="007D5046">
        <w:rPr>
          <w:rFonts w:hint="cs"/>
          <w:rtl/>
        </w:rPr>
        <w:t xml:space="preserve">זהו </w:t>
      </w:r>
      <w:r w:rsidR="00F77BE5">
        <w:rPr>
          <w:rFonts w:hint="cs"/>
          <w:rtl/>
        </w:rPr>
        <w:t>האדם שמדבר עליו במורה נבוכים א' ע"ב שה</w:t>
      </w:r>
      <w:r w:rsidR="00B25764">
        <w:rPr>
          <w:rFonts w:hint="cs"/>
          <w:rtl/>
        </w:rPr>
        <w:t>אדם הוא עולם קטן, והוא ה"אדם קדמון" שכתב האר"י, שהוא ציור כל המציאות כולה, ומהצד שהאלוה מתגלה במציאות זה גם ציורו, בבחינת שיעור קומה שכתב הרמב"ם בהקדמת פרק חלק,</w:t>
      </w:r>
      <w:r w:rsidR="007D5046">
        <w:rPr>
          <w:rFonts w:hint="cs"/>
          <w:rtl/>
        </w:rPr>
        <w:t xml:space="preserve"> וכמו שכתבו המפרשים שפרק ע"ב מחלק א' של המורה נבוכים הא פרק שיעור קומה).</w:t>
      </w:r>
      <w:r w:rsidR="00F77BE5">
        <w:rPr>
          <w:rFonts w:hint="cs"/>
          <w:rtl/>
        </w:rPr>
        <w:t xml:space="preserve"> </w:t>
      </w:r>
      <w:r w:rsidR="00602F09">
        <w:rPr>
          <w:rFonts w:hint="cs"/>
          <w:rtl/>
        </w:rPr>
        <w:t xml:space="preserve">לענייננו השכל הפועל </w:t>
      </w:r>
      <w:r w:rsidR="009F3B6D">
        <w:rPr>
          <w:rFonts w:hint="cs"/>
          <w:rtl/>
        </w:rPr>
        <w:t>הוא התגלות האלוהות עצמה, לכן הוא נקרא מופשט לגמרי, ולכן בוודאי הוא לא חלק מסדר הטבע</w:t>
      </w:r>
      <w:r w:rsidR="006169C1">
        <w:rPr>
          <w:rFonts w:hint="cs"/>
          <w:rtl/>
        </w:rPr>
        <w:t xml:space="preserve"> (וכמו שכתב המורה נבוכים א</w:t>
      </w:r>
      <w:r w:rsidR="00B63042">
        <w:rPr>
          <w:rFonts w:hint="cs"/>
          <w:rtl/>
        </w:rPr>
        <w:t>' ס"ט)</w:t>
      </w:r>
      <w:r w:rsidR="007C75C9">
        <w:rPr>
          <w:rFonts w:hint="cs"/>
          <w:rtl/>
        </w:rPr>
        <w:t>. בעניין שהשכ</w:t>
      </w:r>
      <w:r w:rsidR="00C868F3">
        <w:rPr>
          <w:rFonts w:hint="cs"/>
          <w:rtl/>
        </w:rPr>
        <w:t>ל</w:t>
      </w:r>
      <w:r w:rsidR="007C75C9">
        <w:rPr>
          <w:rFonts w:hint="cs"/>
          <w:rtl/>
        </w:rPr>
        <w:t xml:space="preserve"> ה</w:t>
      </w:r>
      <w:r w:rsidR="00C868F3">
        <w:rPr>
          <w:rFonts w:hint="cs"/>
          <w:rtl/>
        </w:rPr>
        <w:t>פ</w:t>
      </w:r>
      <w:r w:rsidR="007C75C9">
        <w:rPr>
          <w:rFonts w:hint="cs"/>
          <w:rtl/>
        </w:rPr>
        <w:t xml:space="preserve">ועל הוא </w:t>
      </w:r>
      <w:r w:rsidR="00C868F3">
        <w:rPr>
          <w:rFonts w:hint="cs"/>
          <w:rtl/>
        </w:rPr>
        <w:t>'</w:t>
      </w:r>
      <w:r w:rsidR="007C75C9">
        <w:rPr>
          <w:rFonts w:hint="cs"/>
          <w:rtl/>
        </w:rPr>
        <w:t>נותן הצורה</w:t>
      </w:r>
      <w:r w:rsidR="00C868F3">
        <w:rPr>
          <w:rFonts w:hint="cs"/>
          <w:rtl/>
        </w:rPr>
        <w:t>'</w:t>
      </w:r>
      <w:r w:rsidR="007C75C9">
        <w:rPr>
          <w:rFonts w:hint="cs"/>
          <w:rtl/>
        </w:rPr>
        <w:t xml:space="preserve"> </w:t>
      </w:r>
      <w:r w:rsidR="00C868F3">
        <w:rPr>
          <w:rFonts w:hint="cs"/>
          <w:rtl/>
        </w:rPr>
        <w:t xml:space="preserve">עיין מורה נבוכים </w:t>
      </w:r>
      <w:r w:rsidR="003F415A">
        <w:rPr>
          <w:rFonts w:hint="cs"/>
          <w:rtl/>
        </w:rPr>
        <w:t xml:space="preserve">חלק </w:t>
      </w:r>
      <w:r w:rsidR="00C868F3">
        <w:rPr>
          <w:rFonts w:hint="cs"/>
          <w:rtl/>
        </w:rPr>
        <w:t xml:space="preserve">ב' </w:t>
      </w:r>
      <w:r w:rsidR="003F415A">
        <w:rPr>
          <w:rFonts w:hint="cs"/>
          <w:rtl/>
        </w:rPr>
        <w:t xml:space="preserve">פרקים </w:t>
      </w:r>
      <w:r w:rsidR="00C868F3">
        <w:rPr>
          <w:rFonts w:hint="cs"/>
          <w:rtl/>
        </w:rPr>
        <w:t>ד'</w:t>
      </w:r>
      <w:r w:rsidR="003F415A">
        <w:rPr>
          <w:rFonts w:hint="cs"/>
          <w:rtl/>
        </w:rPr>
        <w:t>,</w:t>
      </w:r>
      <w:r w:rsidR="00C868F3">
        <w:rPr>
          <w:rFonts w:hint="cs"/>
          <w:rtl/>
        </w:rPr>
        <w:t xml:space="preserve">  י"ב, </w:t>
      </w:r>
      <w:r w:rsidR="00E01209">
        <w:rPr>
          <w:rFonts w:hint="cs"/>
          <w:rtl/>
        </w:rPr>
        <w:t>וי"ח)</w:t>
      </w:r>
      <w:r w:rsidR="009F3B6D">
        <w:rPr>
          <w:rFonts w:hint="cs"/>
          <w:rtl/>
        </w:rPr>
        <w:t>.</w:t>
      </w:r>
    </w:p>
  </w:footnote>
  <w:footnote w:id="475">
    <w:p w14:paraId="3495930D" w14:textId="2CC691E9" w:rsidR="001E2CCA" w:rsidRDefault="001E2CCA">
      <w:pPr>
        <w:pStyle w:val="FootnoteText"/>
      </w:pPr>
      <w:r>
        <w:rPr>
          <w:rStyle w:val="FootnoteReference"/>
        </w:rPr>
        <w:footnoteRef/>
      </w:r>
      <w:r>
        <w:rPr>
          <w:rtl/>
        </w:rPr>
        <w:t xml:space="preserve"> </w:t>
      </w:r>
      <w:r>
        <w:rPr>
          <w:rFonts w:hint="cs"/>
          <w:rtl/>
        </w:rPr>
        <w:t>במטאפיזיקה</w:t>
      </w:r>
      <w:r w:rsidR="003035C7">
        <w:rPr>
          <w:rFonts w:hint="cs"/>
          <w:rtl/>
        </w:rPr>
        <w:t xml:space="preserve"> (כי מדובר כאן </w:t>
      </w:r>
      <w:r w:rsidR="00DE07D0">
        <w:rPr>
          <w:rFonts w:hint="cs"/>
          <w:rtl/>
        </w:rPr>
        <w:t>בשכל הפועל שהוא שכל נפרד, כלומר נפרד מחומר, מופשט (נקרא גם שכל נבדל), שאינו חלק מהטבע אלא מהאלוהות</w:t>
      </w:r>
      <w:r w:rsidR="00B97974">
        <w:rPr>
          <w:rFonts w:hint="cs"/>
          <w:rtl/>
        </w:rPr>
        <w:t>)</w:t>
      </w:r>
      <w:r>
        <w:rPr>
          <w:rFonts w:hint="cs"/>
          <w:rtl/>
        </w:rPr>
        <w:t xml:space="preserve">. </w:t>
      </w:r>
      <w:r w:rsidR="006378F6">
        <w:rPr>
          <w:rFonts w:hint="cs"/>
          <w:rtl/>
        </w:rPr>
        <w:t xml:space="preserve">מקגיניס ציין לספר הריפוי חלק האלוהיות, כלומר </w:t>
      </w:r>
      <w:r w:rsidR="006378F6">
        <w:rPr>
          <w:rFonts w:hint="cs"/>
          <w:rtl/>
        </w:rPr>
        <w:t xml:space="preserve">מטאפיזיקה, </w:t>
      </w:r>
      <w:r w:rsidR="003035C7">
        <w:rPr>
          <w:rFonts w:hint="cs"/>
          <w:rtl/>
        </w:rPr>
        <w:t>ספר ט' פרק ה', שם נדון "נותן הצורות" (הוא השכל הפועל).</w:t>
      </w:r>
    </w:p>
  </w:footnote>
  <w:footnote w:id="476">
    <w:p w14:paraId="73973E4B" w14:textId="52FD9B77" w:rsidR="00665B29" w:rsidRDefault="00665B29">
      <w:pPr>
        <w:pStyle w:val="FootnoteText"/>
      </w:pPr>
      <w:r>
        <w:rPr>
          <w:rStyle w:val="FootnoteReference"/>
        </w:rPr>
        <w:footnoteRef/>
      </w:r>
      <w:r>
        <w:rPr>
          <w:rtl/>
        </w:rPr>
        <w:t xml:space="preserve"> </w:t>
      </w:r>
      <w:r w:rsidR="00CC1D50" w:rsidRPr="00CC1D50">
        <w:rPr>
          <w:rFonts w:cs="Times New Roman" w:hint="eastAsia"/>
          <w:rtl/>
          <w:lang w:bidi="ar-SA"/>
        </w:rPr>
        <w:t>مادة</w:t>
      </w:r>
      <w:r w:rsidR="00CC1D50">
        <w:rPr>
          <w:rFonts w:cs="Times New Roman" w:hint="cs"/>
          <w:rtl/>
        </w:rPr>
        <w:t>.</w:t>
      </w:r>
      <w:r w:rsidR="00CC1D50" w:rsidRPr="002C69B7">
        <w:rPr>
          <w:rtl/>
        </w:rPr>
        <w:t xml:space="preserve"> </w:t>
      </w:r>
      <w:r w:rsidR="00CC1D50" w:rsidRPr="002C69B7">
        <w:rPr>
          <w:rtl/>
        </w:rPr>
        <w:t>מאדא, חומר במובן הכללי, לא "היולי".</w:t>
      </w:r>
    </w:p>
  </w:footnote>
  <w:footnote w:id="477">
    <w:p w14:paraId="5756CD48" w14:textId="732BEB43" w:rsidR="004F683C" w:rsidRDefault="00BA4ED4">
      <w:pPr>
        <w:pStyle w:val="FootnoteText"/>
        <w:rPr>
          <w:rtl/>
          <w:cs/>
        </w:rPr>
      </w:pPr>
      <w:r>
        <w:rPr>
          <w:rStyle w:val="FootnoteReference"/>
        </w:rPr>
        <w:footnoteRef/>
      </w:r>
      <w:r>
        <w:rPr>
          <w:rtl/>
        </w:rPr>
        <w:t xml:space="preserve"> </w:t>
      </w:r>
      <w:r w:rsidR="002A31A7" w:rsidRPr="002A31A7">
        <w:rPr>
          <w:rFonts w:cs="Times New Roman" w:hint="eastAsia"/>
          <w:rtl/>
          <w:lang w:bidi="ar-SA"/>
        </w:rPr>
        <w:t>يَصْدُرُ</w:t>
      </w:r>
      <w:r w:rsidR="002A31A7">
        <w:rPr>
          <w:rFonts w:hint="cs"/>
          <w:rtl/>
          <w:cs/>
        </w:rPr>
        <w:t xml:space="preserve"> או</w:t>
      </w:r>
      <w:r w:rsidR="002A31A7" w:rsidRPr="002A31A7">
        <w:rPr>
          <w:rFonts w:cs="Times New Roman"/>
          <w:rtl/>
          <w:lang w:bidi="ar-SA"/>
        </w:rPr>
        <w:t xml:space="preserve"> </w:t>
      </w:r>
      <w:bookmarkStart w:id="238" w:name="_Hlk103592747"/>
      <w:r w:rsidR="002A31A7" w:rsidRPr="002A31A7">
        <w:rPr>
          <w:rFonts w:cs="Times New Roman" w:hint="eastAsia"/>
          <w:rtl/>
          <w:lang w:bidi="ar-SA"/>
        </w:rPr>
        <w:t>يَصْدِرُ</w:t>
      </w:r>
      <w:bookmarkEnd w:id="238"/>
      <w:r w:rsidR="002A31A7" w:rsidRPr="002A31A7">
        <w:rPr>
          <w:rFonts w:hint="eastAsia"/>
          <w:cs/>
        </w:rPr>
        <w:t>‎</w:t>
      </w:r>
      <w:r w:rsidR="002A31A7">
        <w:rPr>
          <w:rFonts w:hint="cs"/>
          <w:rtl/>
          <w:cs/>
        </w:rPr>
        <w:t xml:space="preserve">. </w:t>
      </w:r>
      <w:r w:rsidR="004371F4">
        <w:rPr>
          <w:rFonts w:hint="cs"/>
          <w:rtl/>
          <w:cs/>
        </w:rPr>
        <w:t>מקגיניס תרגם: "</w:t>
      </w:r>
      <w:r w:rsidR="004371F4" w:rsidRPr="004371F4">
        <w:t>gives rise</w:t>
      </w:r>
      <w:r w:rsidR="004371F4">
        <w:rPr>
          <w:rFonts w:hint="cs"/>
          <w:rtl/>
          <w:cs/>
        </w:rPr>
        <w:t xml:space="preserve">". </w:t>
      </w:r>
      <w:r w:rsidR="00703EBA">
        <w:rPr>
          <w:rFonts w:hint="cs"/>
          <w:rtl/>
          <w:cs/>
        </w:rPr>
        <w:t xml:space="preserve">עוד </w:t>
      </w:r>
      <w:r w:rsidR="004F683C">
        <w:rPr>
          <w:rFonts w:hint="cs"/>
          <w:rtl/>
          <w:cs/>
        </w:rPr>
        <w:t xml:space="preserve">תרגומים </w:t>
      </w:r>
      <w:r w:rsidR="00E8295D">
        <w:rPr>
          <w:rFonts w:hint="cs"/>
          <w:rtl/>
        </w:rPr>
        <w:t xml:space="preserve">אפשריים </w:t>
      </w:r>
      <w:r w:rsidR="004F683C">
        <w:rPr>
          <w:rFonts w:hint="cs"/>
          <w:rtl/>
          <w:cs/>
        </w:rPr>
        <w:t>לאנגלית של מילה זו</w:t>
      </w:r>
      <w:r w:rsidR="009F0482">
        <w:rPr>
          <w:rFonts w:hint="cs"/>
          <w:rtl/>
        </w:rPr>
        <w:t xml:space="preserve"> </w:t>
      </w:r>
      <w:r w:rsidR="009F0482">
        <w:rPr>
          <w:rFonts w:hint="cs"/>
          <w:rtl/>
        </w:rPr>
        <w:t>כשאחריה המילה</w:t>
      </w:r>
      <w:r w:rsidR="009F0482" w:rsidRPr="009F0482">
        <w:rPr>
          <w:rFonts w:cs="Times New Roman"/>
          <w:rtl/>
          <w:lang w:bidi="ar-SA"/>
        </w:rPr>
        <w:t xml:space="preserve"> </w:t>
      </w:r>
      <w:r w:rsidR="009F0482" w:rsidRPr="009F0482">
        <w:rPr>
          <w:rFonts w:cs="Times New Roman" w:hint="eastAsia"/>
          <w:rtl/>
          <w:lang w:bidi="ar-SA"/>
        </w:rPr>
        <w:t>عن</w:t>
      </w:r>
      <w:r w:rsidR="00A2792B" w:rsidRPr="009E04D3">
        <w:rPr>
          <w:rtl/>
        </w:rPr>
        <w:t xml:space="preserve"> (לפי מקורות קלסיים שונים)</w:t>
      </w:r>
      <w:r w:rsidR="004F683C" w:rsidRPr="009E04D3">
        <w:rPr>
          <w:rtl/>
          <w:cs/>
        </w:rPr>
        <w:t>:</w:t>
      </w:r>
    </w:p>
    <w:p w14:paraId="1785097D" w14:textId="6866C5E4" w:rsidR="00306B04" w:rsidRDefault="00232AAB" w:rsidP="00732832">
      <w:pPr>
        <w:pStyle w:val="FootnoteText"/>
        <w:bidi w:val="0"/>
        <w:rPr>
          <w:rtl/>
        </w:rPr>
      </w:pPr>
      <w:r w:rsidRPr="00232AAB">
        <w:t>arise from; emanate from; issue from; originate from; proceed from; stem from; come out of</w:t>
      </w:r>
      <w:r w:rsidR="008456CA">
        <w:rPr>
          <w:rFonts w:hint="cs"/>
          <w:rtl/>
        </w:rPr>
        <w:t xml:space="preserve"> .</w:t>
      </w:r>
      <w:r w:rsidR="00E849DF" w:rsidRPr="00E849DF">
        <w:t>emerge; spring;</w:t>
      </w:r>
    </w:p>
    <w:p w14:paraId="529A62EF" w14:textId="4040F85E" w:rsidR="00526EEC" w:rsidRDefault="00526EEC" w:rsidP="007A5609">
      <w:pPr>
        <w:pStyle w:val="FootnoteText"/>
      </w:pPr>
      <w:r>
        <w:rPr>
          <w:rFonts w:hint="cs"/>
          <w:rtl/>
        </w:rPr>
        <w:t xml:space="preserve">וב </w:t>
      </w:r>
      <w:r w:rsidR="007079C8">
        <w:t>:</w:t>
      </w:r>
      <w:r>
        <w:t>Lane</w:t>
      </w:r>
    </w:p>
    <w:p w14:paraId="611146BD" w14:textId="618322F5" w:rsidR="00526EEC" w:rsidRDefault="00550DBD" w:rsidP="00526EEC">
      <w:pPr>
        <w:pStyle w:val="FootnoteText"/>
        <w:bidi w:val="0"/>
      </w:pPr>
      <w:r>
        <w:rPr>
          <w:rFonts w:cs="Times New Roman"/>
          <w:lang w:bidi="ar-SA"/>
        </w:rPr>
        <w:t>"</w:t>
      </w:r>
      <w:r w:rsidR="00C71CCE" w:rsidRPr="00C71CCE">
        <w:rPr>
          <w:rFonts w:cs="Times New Roman" w:hint="eastAsia"/>
          <w:rtl/>
          <w:lang w:bidi="ar-SA"/>
        </w:rPr>
        <w:t>صَدَرَ</w:t>
      </w:r>
      <w:r w:rsidR="00C71CCE" w:rsidRPr="00C71CCE">
        <w:rPr>
          <w:rFonts w:cs="Times New Roman"/>
          <w:rtl/>
          <w:lang w:bidi="ar-SA"/>
        </w:rPr>
        <w:t xml:space="preserve"> </w:t>
      </w:r>
      <w:r w:rsidR="00C71CCE" w:rsidRPr="00C71CCE">
        <w:rPr>
          <w:rFonts w:cs="Times New Roman" w:hint="eastAsia"/>
          <w:rtl/>
          <w:lang w:bidi="ar-SA"/>
        </w:rPr>
        <w:t>عَنْهُ</w:t>
      </w:r>
      <w:r w:rsidR="00C71CCE" w:rsidRPr="00C71CCE">
        <w:rPr>
          <w:rFonts w:cs="Times New Roman"/>
          <w:rtl/>
          <w:lang w:bidi="ar-SA"/>
        </w:rPr>
        <w:t xml:space="preserve"> </w:t>
      </w:r>
      <w:r w:rsidR="00C71CCE" w:rsidRPr="00C71CCE">
        <w:rPr>
          <w:rFonts w:cs="Times New Roman" w:hint="eastAsia"/>
          <w:rtl/>
          <w:lang w:bidi="ar-SA"/>
        </w:rPr>
        <w:t>الفِعْلُ</w:t>
      </w:r>
      <w:r w:rsidR="00C71CCE" w:rsidRPr="00C71CCE">
        <w:t>, The action proceeded from him</w:t>
      </w:r>
      <w:r w:rsidR="007079C8">
        <w:t>"</w:t>
      </w:r>
    </w:p>
    <w:p w14:paraId="301F9690" w14:textId="65855819" w:rsidR="00077974" w:rsidRDefault="00C2022C" w:rsidP="00706E3A">
      <w:pPr>
        <w:pStyle w:val="FootnoteText"/>
        <w:rPr>
          <w:rtl/>
        </w:rPr>
      </w:pPr>
      <w:r>
        <w:rPr>
          <w:rFonts w:hint="cs"/>
          <w:rtl/>
        </w:rPr>
        <w:t>(</w:t>
      </w:r>
      <w:r w:rsidR="00077974">
        <w:rPr>
          <w:rFonts w:hint="cs"/>
          <w:rtl/>
        </w:rPr>
        <w:t>העקרון הפילוסופי</w:t>
      </w:r>
      <w:r w:rsidR="003D3200">
        <w:rPr>
          <w:rFonts w:hint="cs"/>
          <w:rtl/>
        </w:rPr>
        <w:t xml:space="preserve"> </w:t>
      </w:r>
      <w:r w:rsidR="00F34581">
        <w:rPr>
          <w:rFonts w:hint="cs"/>
          <w:rtl/>
        </w:rPr>
        <w:t>שמקורו בפרמנידס, ועיין בזה בפיזיקה א' ח',</w:t>
      </w:r>
      <w:r w:rsidR="008E51AE">
        <w:rPr>
          <w:rFonts w:hint="cs"/>
          <w:rtl/>
        </w:rPr>
        <w:t xml:space="preserve"> </w:t>
      </w:r>
      <w:r w:rsidR="003D3200" w:rsidRPr="008E51AE">
        <w:rPr>
          <w:rFonts w:asciiTheme="majorBidi" w:hAnsiTheme="majorBidi" w:cstheme="majorBidi"/>
        </w:rPr>
        <w:t>οὐδὲν ἐξ οὐδενός</w:t>
      </w:r>
      <w:r w:rsidR="00341B14">
        <w:rPr>
          <w:rFonts w:asciiTheme="majorBidi" w:hAnsiTheme="majorBidi" w:cstheme="majorBidi" w:hint="cs"/>
          <w:rtl/>
        </w:rPr>
        <w:t>,</w:t>
      </w:r>
      <w:r w:rsidR="003D3200">
        <w:rPr>
          <w:rFonts w:hint="cs"/>
          <w:rtl/>
        </w:rPr>
        <w:t xml:space="preserve"> </w:t>
      </w:r>
      <w:r w:rsidR="00341B14">
        <w:rPr>
          <w:rFonts w:hint="cs"/>
          <w:rtl/>
        </w:rPr>
        <w:t>ה</w:t>
      </w:r>
      <w:r w:rsidR="003D3200" w:rsidRPr="008E51AE">
        <w:rPr>
          <w:rtl/>
        </w:rPr>
        <w:t>מפורסם בנוס</w:t>
      </w:r>
      <w:r w:rsidR="00B859D9" w:rsidRPr="008E51AE">
        <w:rPr>
          <w:rtl/>
        </w:rPr>
        <w:t>ח</w:t>
      </w:r>
      <w:r w:rsidR="003D3200" w:rsidRPr="008E51AE">
        <w:rPr>
          <w:rtl/>
        </w:rPr>
        <w:t xml:space="preserve"> הלטיני</w:t>
      </w:r>
      <w:r w:rsidR="008E51AE">
        <w:rPr>
          <w:rFonts w:hint="cs"/>
          <w:rtl/>
        </w:rPr>
        <w:t xml:space="preserve"> </w:t>
      </w:r>
      <w:r w:rsidR="003D3200" w:rsidRPr="008E51AE">
        <w:t>ex nihilo nihil fit</w:t>
      </w:r>
      <w:r w:rsidR="00464139">
        <w:rPr>
          <w:rFonts w:hint="cs"/>
          <w:rtl/>
        </w:rPr>
        <w:t xml:space="preserve">, ובאנגלית: </w:t>
      </w:r>
      <w:r w:rsidR="00464139" w:rsidRPr="00464139">
        <w:t xml:space="preserve">nothing comes out of </w:t>
      </w:r>
      <w:r w:rsidR="00477C51">
        <w:rPr>
          <w:rFonts w:hint="cs"/>
          <w:rtl/>
        </w:rPr>
        <w:t xml:space="preserve"> </w:t>
      </w:r>
      <w:r w:rsidR="00464139" w:rsidRPr="00464139">
        <w:t>nothing</w:t>
      </w:r>
      <w:r w:rsidR="00A262FB">
        <w:rPr>
          <w:rFonts w:hint="cs"/>
          <w:rtl/>
        </w:rPr>
        <w:t xml:space="preserve">. במילונים הקלאסיים </w:t>
      </w:r>
      <w:r w:rsidR="00A262FB" w:rsidRPr="00A262FB">
        <w:rPr>
          <w:rtl/>
        </w:rPr>
        <w:t xml:space="preserve">יש תרגומים לאנגלית </w:t>
      </w:r>
      <w:r w:rsidR="00431C09">
        <w:rPr>
          <w:rFonts w:hint="cs"/>
          <w:rtl/>
        </w:rPr>
        <w:t xml:space="preserve">שמובנם שום דבר </w:t>
      </w:r>
      <w:r w:rsidR="00432E5C">
        <w:rPr>
          <w:rFonts w:hint="cs"/>
          <w:rtl/>
        </w:rPr>
        <w:t xml:space="preserve">'לא בא', 'לא יוצא', </w:t>
      </w:r>
      <w:r w:rsidR="000B1086">
        <w:rPr>
          <w:rFonts w:hint="cs"/>
          <w:rtl/>
        </w:rPr>
        <w:t xml:space="preserve">'לא מתחדש', </w:t>
      </w:r>
      <w:r w:rsidR="000E1C59">
        <w:rPr>
          <w:rFonts w:hint="cs"/>
          <w:rtl/>
        </w:rPr>
        <w:t>'</w:t>
      </w:r>
      <w:r w:rsidR="00431C09">
        <w:rPr>
          <w:rFonts w:hint="cs"/>
          <w:rtl/>
        </w:rPr>
        <w:t>לא נברא</w:t>
      </w:r>
      <w:r w:rsidR="000E1C59">
        <w:rPr>
          <w:rFonts w:hint="cs"/>
          <w:rtl/>
        </w:rPr>
        <w:t>'</w:t>
      </w:r>
      <w:r w:rsidR="00432E5C">
        <w:rPr>
          <w:rFonts w:hint="cs"/>
          <w:rtl/>
        </w:rPr>
        <w:t>,</w:t>
      </w:r>
      <w:r w:rsidR="00431C09">
        <w:rPr>
          <w:rFonts w:hint="cs"/>
          <w:rtl/>
        </w:rPr>
        <w:t xml:space="preserve"> </w:t>
      </w:r>
      <w:r w:rsidR="000E1C59">
        <w:rPr>
          <w:rFonts w:hint="cs"/>
          <w:rtl/>
        </w:rPr>
        <w:t>'</w:t>
      </w:r>
      <w:r w:rsidR="00431C09">
        <w:rPr>
          <w:rFonts w:hint="cs"/>
          <w:rtl/>
        </w:rPr>
        <w:t>לא נוצר</w:t>
      </w:r>
      <w:r w:rsidR="000E1C59">
        <w:rPr>
          <w:rFonts w:hint="cs"/>
          <w:rtl/>
        </w:rPr>
        <w:t>'</w:t>
      </w:r>
      <w:r w:rsidR="00431C09">
        <w:rPr>
          <w:rFonts w:hint="cs"/>
          <w:rtl/>
        </w:rPr>
        <w:t xml:space="preserve"> מאין</w:t>
      </w:r>
      <w:r w:rsidR="00027301">
        <w:rPr>
          <w:rFonts w:hint="cs"/>
          <w:rtl/>
        </w:rPr>
        <w:t>.</w:t>
      </w:r>
      <w:r w:rsidR="004139ED" w:rsidRPr="008E51AE">
        <w:rPr>
          <w:rtl/>
        </w:rPr>
        <w:t xml:space="preserve"> </w:t>
      </w:r>
      <w:r w:rsidR="00B244F3">
        <w:rPr>
          <w:rFonts w:hint="cs"/>
          <w:rtl/>
        </w:rPr>
        <w:t xml:space="preserve">הביטוי </w:t>
      </w:r>
      <w:r w:rsidR="00706E3A" w:rsidRPr="008E51AE">
        <w:rPr>
          <w:rtl/>
        </w:rPr>
        <w:t>מתורגם לערבית</w:t>
      </w:r>
      <w:r w:rsidR="00574FA9">
        <w:rPr>
          <w:rFonts w:hint="cs"/>
          <w:rtl/>
        </w:rPr>
        <w:t xml:space="preserve"> במקורות פילוסופיים עתיקים</w:t>
      </w:r>
      <w:r w:rsidR="00706E3A" w:rsidRPr="008E51AE">
        <w:rPr>
          <w:rtl/>
        </w:rPr>
        <w:t>: "</w:t>
      </w:r>
      <w:r w:rsidR="00077974" w:rsidRPr="008E51AE">
        <w:rPr>
          <w:rFonts w:ascii="Arial" w:hAnsi="Arial" w:cs="Arial" w:hint="cs"/>
          <w:rtl/>
          <w:lang w:bidi="ar-SA"/>
        </w:rPr>
        <w:t>لا</w:t>
      </w:r>
      <w:bookmarkStart w:id="239" w:name="_Hlk103540664"/>
      <w:r w:rsidR="00077974" w:rsidRPr="008E51AE">
        <w:rPr>
          <w:rtl/>
          <w:lang w:bidi="ar-SA"/>
        </w:rPr>
        <w:t xml:space="preserve"> </w:t>
      </w:r>
      <w:r w:rsidR="00077974" w:rsidRPr="008E51AE">
        <w:rPr>
          <w:rFonts w:ascii="Arial" w:hAnsi="Arial" w:cs="Arial" w:hint="cs"/>
          <w:b/>
          <w:bCs/>
          <w:rtl/>
          <w:lang w:bidi="ar-SA"/>
        </w:rPr>
        <w:t>يصدر</w:t>
      </w:r>
      <w:bookmarkEnd w:id="239"/>
      <w:r w:rsidR="00077974" w:rsidRPr="008E51AE">
        <w:rPr>
          <w:rtl/>
          <w:lang w:bidi="ar-SA"/>
        </w:rPr>
        <w:t xml:space="preserve"> </w:t>
      </w:r>
      <w:r w:rsidR="00077974" w:rsidRPr="008E51AE">
        <w:rPr>
          <w:rFonts w:ascii="Arial" w:hAnsi="Arial" w:cs="Arial" w:hint="cs"/>
          <w:rtl/>
          <w:lang w:bidi="ar-SA"/>
        </w:rPr>
        <w:t>شيء</w:t>
      </w:r>
      <w:r w:rsidR="00077974" w:rsidRPr="008E51AE">
        <w:rPr>
          <w:rtl/>
          <w:lang w:bidi="ar-SA"/>
        </w:rPr>
        <w:t xml:space="preserve"> </w:t>
      </w:r>
      <w:r w:rsidR="00077974" w:rsidRPr="008E51AE">
        <w:rPr>
          <w:rFonts w:ascii="Arial" w:hAnsi="Arial" w:cs="Arial" w:hint="cs"/>
          <w:rtl/>
          <w:lang w:bidi="ar-SA"/>
        </w:rPr>
        <w:t>عن</w:t>
      </w:r>
      <w:r w:rsidR="00077974" w:rsidRPr="008E51AE">
        <w:rPr>
          <w:rtl/>
          <w:lang w:bidi="ar-SA"/>
        </w:rPr>
        <w:t xml:space="preserve"> </w:t>
      </w:r>
      <w:r w:rsidR="00077974" w:rsidRPr="008E51AE">
        <w:rPr>
          <w:rFonts w:ascii="Arial" w:hAnsi="Arial" w:cs="Arial" w:hint="cs"/>
          <w:rtl/>
          <w:lang w:bidi="ar-SA"/>
        </w:rPr>
        <w:t>لا</w:t>
      </w:r>
      <w:r w:rsidR="00077974" w:rsidRPr="008E51AE">
        <w:rPr>
          <w:rtl/>
          <w:lang w:bidi="ar-SA"/>
        </w:rPr>
        <w:t xml:space="preserve"> </w:t>
      </w:r>
      <w:r w:rsidR="00077974" w:rsidRPr="008E51AE">
        <w:rPr>
          <w:rFonts w:ascii="Arial" w:hAnsi="Arial" w:cs="Arial" w:hint="cs"/>
          <w:rtl/>
          <w:lang w:bidi="ar-SA"/>
        </w:rPr>
        <w:t>شيءٍ</w:t>
      </w:r>
      <w:r w:rsidR="003216B2" w:rsidRPr="008E51AE">
        <w:rPr>
          <w:rtl/>
        </w:rPr>
        <w:t>", המילה 'בא' או '</w:t>
      </w:r>
      <w:r w:rsidR="00E424C9">
        <w:rPr>
          <w:rFonts w:hint="cs"/>
          <w:rtl/>
        </w:rPr>
        <w:t>יוצ</w:t>
      </w:r>
      <w:r w:rsidR="003216B2" w:rsidRPr="008E51AE">
        <w:rPr>
          <w:rtl/>
        </w:rPr>
        <w:t xml:space="preserve">א' </w:t>
      </w:r>
      <w:r w:rsidR="00B244F3">
        <w:rPr>
          <w:rFonts w:hint="cs"/>
          <w:rtl/>
        </w:rPr>
        <w:t xml:space="preserve">או 'נברא' </w:t>
      </w:r>
      <w:r w:rsidR="003D3200" w:rsidRPr="008E51AE">
        <w:rPr>
          <w:rtl/>
        </w:rPr>
        <w:t xml:space="preserve">בנוסח הערבי </w:t>
      </w:r>
      <w:r w:rsidR="00B37F63" w:rsidRPr="008E51AE">
        <w:rPr>
          <w:rtl/>
        </w:rPr>
        <w:t>היא</w:t>
      </w:r>
      <w:r w:rsidR="00B37F63" w:rsidRPr="008E51AE">
        <w:rPr>
          <w:rtl/>
          <w:lang w:bidi="ar-SA"/>
        </w:rPr>
        <w:t xml:space="preserve"> </w:t>
      </w:r>
      <w:r w:rsidR="00B37F63" w:rsidRPr="008E51AE">
        <w:rPr>
          <w:rFonts w:ascii="Arial" w:hAnsi="Arial" w:cs="Arial" w:hint="cs"/>
          <w:rtl/>
          <w:lang w:bidi="ar-SA"/>
        </w:rPr>
        <w:t>يصدر</w:t>
      </w:r>
      <w:r w:rsidR="00B37F63" w:rsidRPr="008E51AE">
        <w:rPr>
          <w:rtl/>
        </w:rPr>
        <w:t xml:space="preserve"> שבה משתמש כאן אבן סינא לתיאור הגעת התנועה מהכח שהוא ה'טבע'</w:t>
      </w:r>
      <w:r w:rsidR="000B1086">
        <w:rPr>
          <w:rFonts w:hint="cs"/>
          <w:rtl/>
        </w:rPr>
        <w:t xml:space="preserve"> אל הגופים</w:t>
      </w:r>
      <w:r w:rsidR="00EA458A" w:rsidRPr="008E51AE">
        <w:rPr>
          <w:rtl/>
        </w:rPr>
        <w:t>.</w:t>
      </w:r>
      <w:r w:rsidR="003B107B">
        <w:rPr>
          <w:rFonts w:hint="cs"/>
          <w:rtl/>
        </w:rPr>
        <w:t xml:space="preserve"> ועיין גם </w:t>
      </w:r>
      <w:hyperlink r:id="rId110" w:history="1">
        <w:r w:rsidR="003B107B" w:rsidRPr="00C72138">
          <w:rPr>
            <w:rStyle w:val="Hyperlink"/>
            <w:rFonts w:hint="cs"/>
            <w:rtl/>
          </w:rPr>
          <w:t>כאן</w:t>
        </w:r>
      </w:hyperlink>
      <w:r w:rsidR="00153E44">
        <w:rPr>
          <w:rFonts w:hint="cs"/>
          <w:rtl/>
        </w:rPr>
        <w:t xml:space="preserve"> </w:t>
      </w:r>
      <w:r w:rsidR="000A3B70">
        <w:rPr>
          <w:rFonts w:hint="cs"/>
          <w:rtl/>
        </w:rPr>
        <w:t>ו</w:t>
      </w:r>
      <w:hyperlink r:id="rId111" w:history="1">
        <w:r w:rsidR="000A3B70" w:rsidRPr="000A3B70">
          <w:rPr>
            <w:rStyle w:val="Hyperlink"/>
            <w:rFonts w:hint="cs"/>
            <w:rtl/>
          </w:rPr>
          <w:t>כאן</w:t>
        </w:r>
      </w:hyperlink>
      <w:r w:rsidR="000A3B70">
        <w:rPr>
          <w:rFonts w:hint="cs"/>
          <w:rtl/>
        </w:rPr>
        <w:t xml:space="preserve"> </w:t>
      </w:r>
      <w:r w:rsidR="00BA33FE">
        <w:rPr>
          <w:rFonts w:hint="cs"/>
          <w:rtl/>
        </w:rPr>
        <w:t>ו</w:t>
      </w:r>
      <w:hyperlink r:id="rId112" w:anchor="cf-42349" w:history="1">
        <w:r w:rsidR="00BA33FE" w:rsidRPr="00BA33FE">
          <w:rPr>
            <w:rStyle w:val="Hyperlink"/>
            <w:rFonts w:hint="cs"/>
            <w:rtl/>
          </w:rPr>
          <w:t>כאן</w:t>
        </w:r>
      </w:hyperlink>
      <w:r w:rsidR="00BA33FE">
        <w:rPr>
          <w:rFonts w:hint="cs"/>
          <w:rtl/>
        </w:rPr>
        <w:t xml:space="preserve"> </w:t>
      </w:r>
      <w:r w:rsidR="00153E44">
        <w:rPr>
          <w:rFonts w:hint="cs"/>
          <w:rtl/>
        </w:rPr>
        <w:t>שימושים של המילה במקורות פילוסופיים ודתיים</w:t>
      </w:r>
      <w:r w:rsidR="00B62DFF">
        <w:rPr>
          <w:rFonts w:hint="cs"/>
          <w:rtl/>
        </w:rPr>
        <w:t xml:space="preserve"> וביניהם מתקופת אבן סינא</w:t>
      </w:r>
      <w:r w:rsidR="0024347B">
        <w:rPr>
          <w:rFonts w:hint="cs"/>
          <w:rtl/>
        </w:rPr>
        <w:t xml:space="preserve"> </w:t>
      </w:r>
      <w:r w:rsidR="0024347B" w:rsidRPr="0024347B">
        <w:rPr>
          <w:rtl/>
        </w:rPr>
        <w:t>(לא מצאתי במורה נבוכים את המילה הזו)</w:t>
      </w:r>
      <w:r>
        <w:rPr>
          <w:rFonts w:hint="cs"/>
          <w:rtl/>
        </w:rPr>
        <w:t>)</w:t>
      </w:r>
      <w:r w:rsidR="003B107B">
        <w:rPr>
          <w:rFonts w:hint="cs"/>
          <w:rtl/>
        </w:rPr>
        <w:t>.</w:t>
      </w:r>
    </w:p>
    <w:p w14:paraId="5B576FAB" w14:textId="726B60D4" w:rsidR="00A06D1C" w:rsidRPr="008E51AE" w:rsidRDefault="008E2464" w:rsidP="00706E3A">
      <w:pPr>
        <w:pStyle w:val="FootnoteText"/>
        <w:rPr>
          <w:rtl/>
        </w:rPr>
      </w:pPr>
      <w:r>
        <w:rPr>
          <w:rFonts w:hint="cs"/>
          <w:rtl/>
        </w:rPr>
        <w:t>התלבט</w:t>
      </w:r>
      <w:r w:rsidR="00A06D1C">
        <w:rPr>
          <w:rFonts w:hint="cs"/>
          <w:rtl/>
        </w:rPr>
        <w:t>תי</w:t>
      </w:r>
      <w:r>
        <w:rPr>
          <w:rFonts w:hint="cs"/>
          <w:rtl/>
        </w:rPr>
        <w:t xml:space="preserve"> אם</w:t>
      </w:r>
      <w:r w:rsidR="00A06D1C">
        <w:rPr>
          <w:rFonts w:hint="cs"/>
          <w:rtl/>
        </w:rPr>
        <w:t xml:space="preserve"> לתרגם</w:t>
      </w:r>
      <w:r w:rsidR="00C0282A">
        <w:rPr>
          <w:rFonts w:hint="cs"/>
          <w:rtl/>
        </w:rPr>
        <w:t xml:space="preserve"> </w:t>
      </w:r>
      <w:r w:rsidR="004B0462">
        <w:rPr>
          <w:rFonts w:hint="cs"/>
          <w:rtl/>
        </w:rPr>
        <w:t>'</w:t>
      </w:r>
      <w:r w:rsidR="00C0282A">
        <w:rPr>
          <w:rFonts w:hint="cs"/>
          <w:rtl/>
        </w:rPr>
        <w:t xml:space="preserve">הכח שמוציא אל </w:t>
      </w:r>
      <w:r w:rsidR="004B0462" w:rsidRPr="004B0462">
        <w:rPr>
          <w:rtl/>
        </w:rPr>
        <w:t>הַפּוֹעַל</w:t>
      </w:r>
      <w:r w:rsidR="00C0282A">
        <w:rPr>
          <w:rFonts w:hint="cs"/>
          <w:rtl/>
        </w:rPr>
        <w:t xml:space="preserve"> את התנועה</w:t>
      </w:r>
      <w:r w:rsidR="004B0462">
        <w:rPr>
          <w:rFonts w:hint="cs"/>
          <w:rtl/>
        </w:rPr>
        <w:t>'</w:t>
      </w:r>
      <w:r w:rsidR="00C0282A">
        <w:rPr>
          <w:rFonts w:hint="cs"/>
          <w:rtl/>
        </w:rPr>
        <w:t xml:space="preserve">, </w:t>
      </w:r>
      <w:r w:rsidR="003959D0">
        <w:rPr>
          <w:rFonts w:hint="cs"/>
          <w:rtl/>
        </w:rPr>
        <w:t>אבל</w:t>
      </w:r>
      <w:r w:rsidR="000450A2">
        <w:rPr>
          <w:rFonts w:hint="cs"/>
          <w:rtl/>
        </w:rPr>
        <w:t xml:space="preserve"> זה לא כל כך ברור</w:t>
      </w:r>
      <w:r w:rsidR="004B0462">
        <w:rPr>
          <w:rFonts w:hint="cs"/>
          <w:rtl/>
        </w:rPr>
        <w:t xml:space="preserve">, והוצאה אל הפועל נכתבת בערבית עם המילה 'פועל' שהוא </w:t>
      </w:r>
      <w:r w:rsidR="009178A8" w:rsidRPr="009178A8">
        <w:rPr>
          <w:rFonts w:cs="Times New Roman" w:hint="eastAsia"/>
          <w:rtl/>
          <w:lang w:bidi="ar-SA"/>
        </w:rPr>
        <w:t>فعل</w:t>
      </w:r>
      <w:r w:rsidR="00AF17C0">
        <w:rPr>
          <w:rFonts w:cs="Times New Roman" w:hint="cs"/>
          <w:rtl/>
        </w:rPr>
        <w:t>.</w:t>
      </w:r>
      <w:r w:rsidR="003959D0">
        <w:rPr>
          <w:rFonts w:hint="cs"/>
          <w:rtl/>
        </w:rPr>
        <w:t xml:space="preserve"> </w:t>
      </w:r>
      <w:r w:rsidR="00062B20">
        <w:rPr>
          <w:rFonts w:hint="cs"/>
          <w:rtl/>
        </w:rPr>
        <w:t>האפשרות לתרגם: 'הכח שמגלה את התנועה' ייתכן שאינה</w:t>
      </w:r>
      <w:r w:rsidR="00021CE4">
        <w:rPr>
          <w:rFonts w:hint="cs"/>
          <w:rtl/>
        </w:rPr>
        <w:t xml:space="preserve"> </w:t>
      </w:r>
      <w:r w:rsidR="00062B20">
        <w:rPr>
          <w:rFonts w:hint="cs"/>
          <w:rtl/>
        </w:rPr>
        <w:t xml:space="preserve">פחות טובה מהאפשרות שבחרתי בה. </w:t>
      </w:r>
      <w:r w:rsidR="003E7144">
        <w:rPr>
          <w:rFonts w:hint="cs"/>
          <w:rtl/>
        </w:rPr>
        <w:t xml:space="preserve">אני מאריך כי נראה לי שלא מצאתי דרך ליצוק את משמעות המילה הערבית לעברית, וממבט על האפשרויות </w:t>
      </w:r>
      <w:r w:rsidR="00583D0D">
        <w:rPr>
          <w:rFonts w:hint="cs"/>
          <w:rtl/>
        </w:rPr>
        <w:t xml:space="preserve">השונות </w:t>
      </w:r>
      <w:r w:rsidR="003E7144">
        <w:rPr>
          <w:rFonts w:hint="cs"/>
          <w:rtl/>
        </w:rPr>
        <w:t>אפשר לקבל מושג</w:t>
      </w:r>
      <w:r w:rsidR="00583D0D">
        <w:rPr>
          <w:rFonts w:hint="cs"/>
          <w:rtl/>
        </w:rPr>
        <w:t xml:space="preserve"> נכון יותר מאשר </w:t>
      </w:r>
      <w:r w:rsidR="00117D91">
        <w:rPr>
          <w:rFonts w:hint="cs"/>
          <w:rtl/>
        </w:rPr>
        <w:t>מ</w:t>
      </w:r>
      <w:r w:rsidR="00583D0D">
        <w:rPr>
          <w:rFonts w:hint="cs"/>
          <w:rtl/>
        </w:rPr>
        <w:t xml:space="preserve">בחירה במילה אחת. </w:t>
      </w:r>
    </w:p>
    <w:p w14:paraId="2217C99E" w14:textId="31FBD0AE" w:rsidR="00BA4ED4" w:rsidRDefault="00EA458A" w:rsidP="00496376">
      <w:pPr>
        <w:pStyle w:val="FootnoteText"/>
      </w:pPr>
      <w:r w:rsidRPr="008E51AE">
        <w:rPr>
          <w:rtl/>
        </w:rPr>
        <w:t>בכל אופן שנפרש את המילה "</w:t>
      </w:r>
      <w:r w:rsidR="00930B1B">
        <w:rPr>
          <w:rFonts w:hint="cs"/>
          <w:rtl/>
        </w:rPr>
        <w:t>נובעת"</w:t>
      </w:r>
      <w:r w:rsidRPr="008E51AE">
        <w:rPr>
          <w:rtl/>
        </w:rPr>
        <w:t xml:space="preserve"> (</w:t>
      </w:r>
      <w:r w:rsidRPr="008E51AE">
        <w:rPr>
          <w:rFonts w:ascii="Arial" w:hAnsi="Arial" w:cs="Arial" w:hint="cs"/>
          <w:rtl/>
          <w:lang w:bidi="ar-SA"/>
        </w:rPr>
        <w:t>يصدر</w:t>
      </w:r>
      <w:r w:rsidRPr="008E51AE">
        <w:rPr>
          <w:rtl/>
        </w:rPr>
        <w:t xml:space="preserve">), לא כתוב כאן </w:t>
      </w:r>
      <w:r w:rsidR="000450A2">
        <w:rPr>
          <w:rFonts w:hint="cs"/>
          <w:rtl/>
        </w:rPr>
        <w:t xml:space="preserve">באופן פשוט </w:t>
      </w:r>
      <w:r w:rsidRPr="008E51AE">
        <w:rPr>
          <w:rtl/>
        </w:rPr>
        <w:t>שהטבע הוא הכח ש</w:t>
      </w:r>
      <w:r w:rsidR="00930B1B">
        <w:rPr>
          <w:rFonts w:hint="cs"/>
          <w:rtl/>
        </w:rPr>
        <w:t>'</w:t>
      </w:r>
      <w:r w:rsidRPr="008E51AE">
        <w:rPr>
          <w:rtl/>
        </w:rPr>
        <w:t>מניע</w:t>
      </w:r>
      <w:r w:rsidR="00930B1B">
        <w:rPr>
          <w:rFonts w:hint="cs"/>
          <w:rtl/>
        </w:rPr>
        <w:t>'</w:t>
      </w:r>
      <w:r w:rsidRPr="008E51AE">
        <w:rPr>
          <w:rtl/>
        </w:rPr>
        <w:t xml:space="preserve"> את הגוף. </w:t>
      </w:r>
      <w:r w:rsidR="000450A2">
        <w:rPr>
          <w:rFonts w:hint="cs"/>
          <w:rtl/>
        </w:rPr>
        <w:t>לעיל סוף פרק ה' אבן סינ</w:t>
      </w:r>
      <w:r w:rsidR="00DC7E9C">
        <w:rPr>
          <w:rFonts w:hint="cs"/>
          <w:rtl/>
        </w:rPr>
        <w:t>א הדגיש שהטבע הוא כח שמניע את הגופים</w:t>
      </w:r>
      <w:r w:rsidR="00D43E4F">
        <w:rPr>
          <w:rFonts w:hint="cs"/>
          <w:rtl/>
        </w:rPr>
        <w:t xml:space="preserve"> במובן הפשוט של הנעה ובניסוח הפשוט שלה</w:t>
      </w:r>
      <w:r w:rsidR="00DC7E9C">
        <w:rPr>
          <w:rFonts w:hint="cs"/>
          <w:rtl/>
        </w:rPr>
        <w:t xml:space="preserve">, ולא כמו שכתב פילופונוס. הלשון כאן </w:t>
      </w:r>
      <w:r w:rsidRPr="008E51AE">
        <w:rPr>
          <w:rtl/>
        </w:rPr>
        <w:t>מתאי</w:t>
      </w:r>
      <w:r w:rsidR="00D43E4F">
        <w:rPr>
          <w:rFonts w:hint="cs"/>
          <w:rtl/>
        </w:rPr>
        <w:t>מה</w:t>
      </w:r>
      <w:r w:rsidRPr="008E51AE">
        <w:rPr>
          <w:rtl/>
        </w:rPr>
        <w:t xml:space="preserve"> לדברי פילופונוס שהתבארו בסוף הפרק הקודם</w:t>
      </w:r>
      <w:r w:rsidR="00D43E4F">
        <w:rPr>
          <w:rFonts w:hint="cs"/>
          <w:rtl/>
        </w:rPr>
        <w:t xml:space="preserve"> </w:t>
      </w:r>
      <w:r w:rsidR="008F20B4">
        <w:rPr>
          <w:rFonts w:hint="cs"/>
          <w:rtl/>
        </w:rPr>
        <w:t xml:space="preserve">(וכך גם הפירוש </w:t>
      </w:r>
      <w:r w:rsidR="009C79C1">
        <w:rPr>
          <w:rFonts w:hint="cs"/>
          <w:rtl/>
        </w:rPr>
        <w:t>המדויק</w:t>
      </w:r>
      <w:r w:rsidR="008F20B4">
        <w:rPr>
          <w:rFonts w:hint="cs"/>
          <w:rtl/>
        </w:rPr>
        <w:t xml:space="preserve"> </w:t>
      </w:r>
      <w:r w:rsidR="009C79C1">
        <w:rPr>
          <w:rFonts w:hint="cs"/>
          <w:rtl/>
        </w:rPr>
        <w:t xml:space="preserve"> </w:t>
      </w:r>
      <w:r w:rsidR="008F20B4">
        <w:rPr>
          <w:rFonts w:hint="cs"/>
          <w:rtl/>
        </w:rPr>
        <w:t>של לשון אריסטו שהטבע הוא "התחלת תנועה" ולא בפשטות רק 'מניע' (ולעיל ביארתי את הלשון 'התחלה' ואת החילוק בינה ובין 'סיבה', אפשר למצוא באינדקס)</w:t>
      </w:r>
      <w:r w:rsidRPr="008E51AE">
        <w:rPr>
          <w:rtl/>
        </w:rPr>
        <w:t>, ורואים מזה שמצד האמת אבן סינא לא חולק על פיל</w:t>
      </w:r>
      <w:r w:rsidRPr="00EA458A">
        <w:rPr>
          <w:rtl/>
        </w:rPr>
        <w:t xml:space="preserve">ופונוס, ורק חלק עליו כי </w:t>
      </w:r>
      <w:r w:rsidRPr="00EA458A">
        <w:rPr>
          <w:rFonts w:hint="eastAsia"/>
          <w:rtl/>
        </w:rPr>
        <w:t>הוא</w:t>
      </w:r>
      <w:r w:rsidRPr="00EA458A">
        <w:rPr>
          <w:rtl/>
        </w:rPr>
        <w:t xml:space="preserve"> ביאר את הכח בדרך המטאפיזיקה, וכמו שהתבאר לעיל. </w:t>
      </w:r>
      <w:r w:rsidR="00DD5FF5">
        <w:rPr>
          <w:rFonts w:hint="cs"/>
          <w:rtl/>
        </w:rPr>
        <w:t>ובלימוד הטבע גם כן אנו מתבוננים במופשט</w:t>
      </w:r>
      <w:r w:rsidR="00F90F5E">
        <w:rPr>
          <w:rFonts w:hint="cs"/>
          <w:rtl/>
        </w:rPr>
        <w:t xml:space="preserve"> (לכן הוא נקרא סוד מעשה בראשית)</w:t>
      </w:r>
      <w:r w:rsidR="0073712B">
        <w:rPr>
          <w:rFonts w:hint="cs"/>
          <w:rtl/>
        </w:rPr>
        <w:t xml:space="preserve"> -</w:t>
      </w:r>
      <w:r w:rsidR="00DD5FF5">
        <w:rPr>
          <w:rFonts w:hint="cs"/>
          <w:rtl/>
        </w:rPr>
        <w:t xml:space="preserve"> אבל </w:t>
      </w:r>
      <w:r w:rsidR="00B21FD9">
        <w:rPr>
          <w:rFonts w:hint="cs"/>
          <w:rtl/>
        </w:rPr>
        <w:t xml:space="preserve">זה מותר </w:t>
      </w:r>
      <w:r w:rsidR="00DD5FF5">
        <w:rPr>
          <w:rFonts w:hint="cs"/>
          <w:rtl/>
        </w:rPr>
        <w:t>רק במידה שה</w:t>
      </w:r>
      <w:r w:rsidR="00B21FD9">
        <w:rPr>
          <w:rFonts w:hint="cs"/>
          <w:rtl/>
        </w:rPr>
        <w:t>מופשט</w:t>
      </w:r>
      <w:r w:rsidR="00DD5FF5">
        <w:rPr>
          <w:rFonts w:hint="cs"/>
          <w:rtl/>
        </w:rPr>
        <w:t xml:space="preserve"> מתגלה במציאות הטבעית של הגופים החומריים, ולא בהתבוננות ישרה על המופשט ל</w:t>
      </w:r>
      <w:r w:rsidR="0073712B">
        <w:rPr>
          <w:rFonts w:hint="cs"/>
          <w:rtl/>
        </w:rPr>
        <w:t>ל</w:t>
      </w:r>
      <w:r w:rsidR="00DD5FF5">
        <w:rPr>
          <w:rFonts w:hint="cs"/>
          <w:rtl/>
        </w:rPr>
        <w:t>א אמצעי</w:t>
      </w:r>
      <w:r w:rsidR="0073712B">
        <w:rPr>
          <w:rFonts w:hint="cs"/>
          <w:rtl/>
        </w:rPr>
        <w:t xml:space="preserve"> חומרי</w:t>
      </w:r>
      <w:r w:rsidR="00DD5FF5">
        <w:rPr>
          <w:rFonts w:hint="cs"/>
          <w:rtl/>
        </w:rPr>
        <w:t xml:space="preserve"> (וכמו שכתב המורה נבוכים א' סוף פרק א'</w:t>
      </w:r>
      <w:r w:rsidR="0073712B">
        <w:rPr>
          <w:rFonts w:hint="cs"/>
          <w:rtl/>
        </w:rPr>
        <w:t>, ובהלכות יסודי התורה ד' סוף הלכה ז'</w:t>
      </w:r>
      <w:r w:rsidR="00DD5FF5">
        <w:rPr>
          <w:rFonts w:hint="cs"/>
          <w:rtl/>
        </w:rPr>
        <w:t>)</w:t>
      </w:r>
      <w:r w:rsidR="00B21FD9">
        <w:rPr>
          <w:rFonts w:hint="cs"/>
          <w:rtl/>
        </w:rPr>
        <w:t>.</w:t>
      </w:r>
    </w:p>
  </w:footnote>
  <w:footnote w:id="478">
    <w:p w14:paraId="6F9FCF6A" w14:textId="1192A3DB" w:rsidR="00190289" w:rsidRDefault="00190289">
      <w:pPr>
        <w:pStyle w:val="FootnoteText"/>
      </w:pPr>
      <w:r>
        <w:rPr>
          <w:rStyle w:val="FootnoteReference"/>
        </w:rPr>
        <w:footnoteRef/>
      </w:r>
      <w:r>
        <w:rPr>
          <w:rtl/>
        </w:rPr>
        <w:t xml:space="preserve"> </w:t>
      </w:r>
      <w:r>
        <w:rPr>
          <w:rFonts w:hint="cs"/>
          <w:rtl/>
        </w:rPr>
        <w:t>הכח</w:t>
      </w:r>
      <w:r w:rsidR="00227C8D">
        <w:rPr>
          <w:rFonts w:hint="cs"/>
          <w:rtl/>
        </w:rPr>
        <w:t>.</w:t>
      </w:r>
    </w:p>
  </w:footnote>
  <w:footnote w:id="479">
    <w:p w14:paraId="437F77C6" w14:textId="71774279" w:rsidR="00496376" w:rsidRPr="00190289" w:rsidRDefault="00496376">
      <w:pPr>
        <w:pStyle w:val="FootnoteText"/>
        <w:rPr>
          <w:rtl/>
        </w:rPr>
      </w:pPr>
      <w:r w:rsidRPr="00190289">
        <w:rPr>
          <w:rStyle w:val="FootnoteReference"/>
        </w:rPr>
        <w:footnoteRef/>
      </w:r>
      <w:r w:rsidRPr="00190289">
        <w:rPr>
          <w:rtl/>
        </w:rPr>
        <w:t xml:space="preserve"> </w:t>
      </w:r>
      <w:r w:rsidR="00A17C0B" w:rsidRPr="00190289">
        <w:rPr>
          <w:rFonts w:ascii="Arial" w:hAnsi="Arial" w:cs="Arial" w:hint="cs"/>
          <w:rtl/>
          <w:lang w:bidi="ar-SA"/>
        </w:rPr>
        <w:t>ذاته</w:t>
      </w:r>
      <w:r w:rsidR="00A17C0B" w:rsidRPr="00190289">
        <w:rPr>
          <w:rtl/>
        </w:rPr>
        <w:t xml:space="preserve">. </w:t>
      </w:r>
      <w:r w:rsidR="00A17C0B" w:rsidRPr="00190289">
        <w:rPr>
          <w:rtl/>
        </w:rPr>
        <w:t xml:space="preserve">ד'את. </w:t>
      </w:r>
      <w:r w:rsidRPr="00190289">
        <w:rPr>
          <w:rtl/>
        </w:rPr>
        <w:t xml:space="preserve">אפשר לתרגם גם במהותו. </w:t>
      </w:r>
      <w:r w:rsidR="00A17C0B" w:rsidRPr="00190289">
        <w:rPr>
          <w:rtl/>
        </w:rPr>
        <w:t xml:space="preserve">אמנם </w:t>
      </w:r>
      <w:r w:rsidR="00604FF7" w:rsidRPr="00190289">
        <w:rPr>
          <w:rtl/>
        </w:rPr>
        <w:t>יש עוד</w:t>
      </w:r>
      <w:r w:rsidR="00A17C0B" w:rsidRPr="00190289">
        <w:rPr>
          <w:rtl/>
        </w:rPr>
        <w:t xml:space="preserve"> </w:t>
      </w:r>
      <w:r w:rsidR="00604FF7" w:rsidRPr="00190289">
        <w:rPr>
          <w:rtl/>
        </w:rPr>
        <w:t xml:space="preserve">מילה </w:t>
      </w:r>
      <w:r w:rsidR="00A17C0B" w:rsidRPr="00190289">
        <w:rPr>
          <w:rtl/>
        </w:rPr>
        <w:t xml:space="preserve">למהות בערבית </w:t>
      </w:r>
      <w:r w:rsidR="00604FF7" w:rsidRPr="00190289">
        <w:rPr>
          <w:rtl/>
        </w:rPr>
        <w:t>ו</w:t>
      </w:r>
      <w:r w:rsidR="00A17C0B" w:rsidRPr="00190289">
        <w:rPr>
          <w:rtl/>
        </w:rPr>
        <w:t>היא</w:t>
      </w:r>
      <w:r w:rsidR="002658AD" w:rsidRPr="00190289">
        <w:rPr>
          <w:rtl/>
        </w:rPr>
        <w:t xml:space="preserve"> </w:t>
      </w:r>
      <w:r w:rsidR="002658AD" w:rsidRPr="00190289">
        <w:rPr>
          <w:rFonts w:ascii="Arial" w:hAnsi="Arial" w:cs="Arial" w:hint="cs"/>
          <w:rtl/>
          <w:lang w:bidi="ar-SA"/>
        </w:rPr>
        <w:t>ماهي</w:t>
      </w:r>
      <w:r w:rsidR="002658AD" w:rsidRPr="00190289">
        <w:rPr>
          <w:rtl/>
          <w:lang w:bidi="ar-SA"/>
        </w:rPr>
        <w:t xml:space="preserve"> </w:t>
      </w:r>
      <w:r w:rsidR="00A17C0B" w:rsidRPr="00190289">
        <w:rPr>
          <w:rtl/>
        </w:rPr>
        <w:t xml:space="preserve"> </w:t>
      </w:r>
      <w:r w:rsidR="00F35CA7" w:rsidRPr="00190289">
        <w:rPr>
          <w:rtl/>
        </w:rPr>
        <w:t xml:space="preserve">מאהיה, כמו </w:t>
      </w:r>
      <w:r w:rsidR="00200566" w:rsidRPr="00190289">
        <w:rPr>
          <w:rtl/>
        </w:rPr>
        <w:t>שנלקח ל</w:t>
      </w:r>
      <w:r w:rsidR="00F35CA7" w:rsidRPr="00190289">
        <w:rPr>
          <w:rtl/>
        </w:rPr>
        <w:t>עברית</w:t>
      </w:r>
      <w:r w:rsidR="00200566" w:rsidRPr="00190289">
        <w:rPr>
          <w:rtl/>
        </w:rPr>
        <w:t xml:space="preserve"> על ידי אבן תיבון שחידש את המילה </w:t>
      </w:r>
      <w:r w:rsidR="00604FF7" w:rsidRPr="00190289">
        <w:rPr>
          <w:rtl/>
        </w:rPr>
        <w:t>'</w:t>
      </w:r>
      <w:r w:rsidR="00200566" w:rsidRPr="00190289">
        <w:rPr>
          <w:rtl/>
        </w:rPr>
        <w:t>מהות</w:t>
      </w:r>
      <w:r w:rsidR="00604FF7" w:rsidRPr="00190289">
        <w:rPr>
          <w:rtl/>
        </w:rPr>
        <w:t>'</w:t>
      </w:r>
      <w:r w:rsidR="00200566" w:rsidRPr="00190289">
        <w:rPr>
          <w:rtl/>
        </w:rPr>
        <w:t xml:space="preserve"> על יסוד המילה הערבית </w:t>
      </w:r>
      <w:r w:rsidR="00870A11" w:rsidRPr="00190289">
        <w:rPr>
          <w:rtl/>
        </w:rPr>
        <w:t>'</w:t>
      </w:r>
      <w:r w:rsidR="00200566" w:rsidRPr="00190289">
        <w:rPr>
          <w:rtl/>
        </w:rPr>
        <w:t>מ</w:t>
      </w:r>
      <w:r w:rsidR="00870A11" w:rsidRPr="00190289">
        <w:rPr>
          <w:rtl/>
        </w:rPr>
        <w:t>א</w:t>
      </w:r>
      <w:r w:rsidR="00200566" w:rsidRPr="00190289">
        <w:rPr>
          <w:rtl/>
        </w:rPr>
        <w:t>היה</w:t>
      </w:r>
      <w:r w:rsidR="00870A11" w:rsidRPr="00190289">
        <w:rPr>
          <w:rtl/>
        </w:rPr>
        <w:t>'</w:t>
      </w:r>
      <w:r w:rsidR="00200566" w:rsidRPr="00190289">
        <w:rPr>
          <w:rtl/>
        </w:rPr>
        <w:t xml:space="preserve">. </w:t>
      </w:r>
      <w:r w:rsidR="0091504E" w:rsidRPr="00190289">
        <w:rPr>
          <w:rtl/>
        </w:rPr>
        <w:t xml:space="preserve">לכן את </w:t>
      </w:r>
      <w:r w:rsidR="00DE56D9" w:rsidRPr="00190289">
        <w:rPr>
          <w:rtl/>
        </w:rPr>
        <w:t>'</w:t>
      </w:r>
      <w:r w:rsidR="0091504E" w:rsidRPr="00190289">
        <w:rPr>
          <w:rtl/>
        </w:rPr>
        <w:t>מ</w:t>
      </w:r>
      <w:r w:rsidR="009343D6" w:rsidRPr="00190289">
        <w:rPr>
          <w:rtl/>
        </w:rPr>
        <w:t>אהיה</w:t>
      </w:r>
      <w:r w:rsidR="00DE56D9" w:rsidRPr="00190289">
        <w:rPr>
          <w:rtl/>
        </w:rPr>
        <w:t>'</w:t>
      </w:r>
      <w:r w:rsidR="009343D6" w:rsidRPr="00190289">
        <w:rPr>
          <w:rtl/>
        </w:rPr>
        <w:t xml:space="preserve"> אני מתרגם לרוב כ</w:t>
      </w:r>
      <w:r w:rsidR="00870A11" w:rsidRPr="00190289">
        <w:rPr>
          <w:rtl/>
        </w:rPr>
        <w:t>'</w:t>
      </w:r>
      <w:r w:rsidR="009343D6" w:rsidRPr="00190289">
        <w:rPr>
          <w:rtl/>
        </w:rPr>
        <w:t>מהות</w:t>
      </w:r>
      <w:r w:rsidR="00870A11" w:rsidRPr="00190289">
        <w:rPr>
          <w:rtl/>
        </w:rPr>
        <w:t>'</w:t>
      </w:r>
      <w:r w:rsidR="009343D6" w:rsidRPr="00190289">
        <w:rPr>
          <w:rtl/>
        </w:rPr>
        <w:t xml:space="preserve"> ואת </w:t>
      </w:r>
      <w:r w:rsidR="00870A11" w:rsidRPr="00190289">
        <w:rPr>
          <w:rtl/>
        </w:rPr>
        <w:t>'</w:t>
      </w:r>
      <w:r w:rsidR="009343D6" w:rsidRPr="00190289">
        <w:rPr>
          <w:rtl/>
        </w:rPr>
        <w:t>ד'את</w:t>
      </w:r>
      <w:r w:rsidR="00870A11" w:rsidRPr="00190289">
        <w:rPr>
          <w:rtl/>
        </w:rPr>
        <w:t>'</w:t>
      </w:r>
      <w:r w:rsidR="009343D6" w:rsidRPr="00190289">
        <w:rPr>
          <w:rtl/>
        </w:rPr>
        <w:t xml:space="preserve"> כ'עצמו'.</w:t>
      </w:r>
      <w:r w:rsidR="00F35CA7" w:rsidRPr="00190289">
        <w:rPr>
          <w:rtl/>
        </w:rPr>
        <w:t xml:space="preserve"> באמת אין הבדל מצד התוכן בין בעצמו ובין במהותו. </w:t>
      </w:r>
      <w:r w:rsidR="009343D6" w:rsidRPr="00190289">
        <w:rPr>
          <w:rtl/>
        </w:rPr>
        <w:t>'</w:t>
      </w:r>
      <w:r w:rsidR="00F35CA7" w:rsidRPr="00190289">
        <w:rPr>
          <w:rtl/>
        </w:rPr>
        <w:t>מהות</w:t>
      </w:r>
      <w:r w:rsidR="009343D6" w:rsidRPr="00190289">
        <w:rPr>
          <w:rtl/>
        </w:rPr>
        <w:t>'</w:t>
      </w:r>
      <w:r w:rsidR="00F35CA7" w:rsidRPr="00190289">
        <w:rPr>
          <w:rtl/>
        </w:rPr>
        <w:t xml:space="preserve"> היא התשובה לשאלה מה הוא הדבר, והתשובה היא</w:t>
      </w:r>
      <w:r w:rsidR="004D6E5D" w:rsidRPr="00190289">
        <w:rPr>
          <w:rtl/>
        </w:rPr>
        <w:t xml:space="preserve"> עצם הדבר</w:t>
      </w:r>
      <w:r w:rsidR="009343D6" w:rsidRPr="00190289">
        <w:rPr>
          <w:rtl/>
        </w:rPr>
        <w:t xml:space="preserve"> ולא המקרים שלו</w:t>
      </w:r>
      <w:r w:rsidR="004D6E5D" w:rsidRPr="00190289">
        <w:rPr>
          <w:rtl/>
        </w:rPr>
        <w:t xml:space="preserve">. </w:t>
      </w:r>
      <w:r w:rsidR="00E67008" w:rsidRPr="00190289">
        <w:rPr>
          <w:rtl/>
        </w:rPr>
        <w:t xml:space="preserve">ואם כן העצם הוא המהות. </w:t>
      </w:r>
    </w:p>
    <w:p w14:paraId="6D86BDB9" w14:textId="1EA2E22E" w:rsidR="00E67008" w:rsidRPr="00190289" w:rsidRDefault="00E67008">
      <w:pPr>
        <w:pStyle w:val="FootnoteText"/>
      </w:pPr>
      <w:r w:rsidRPr="00190289">
        <w:rPr>
          <w:rtl/>
        </w:rPr>
        <w:t>יש מילה נוספת ל</w:t>
      </w:r>
      <w:r w:rsidR="0028673F" w:rsidRPr="00190289">
        <w:rPr>
          <w:rtl/>
        </w:rPr>
        <w:t>'</w:t>
      </w:r>
      <w:r w:rsidRPr="00190289">
        <w:rPr>
          <w:rtl/>
        </w:rPr>
        <w:t>עצם</w:t>
      </w:r>
      <w:r w:rsidR="0028673F" w:rsidRPr="00190289">
        <w:rPr>
          <w:rtl/>
        </w:rPr>
        <w:t>'</w:t>
      </w:r>
      <w:r w:rsidR="004878E8" w:rsidRPr="00190289">
        <w:rPr>
          <w:rtl/>
        </w:rPr>
        <w:t xml:space="preserve">, </w:t>
      </w:r>
      <w:r w:rsidR="004878E8" w:rsidRPr="00190289">
        <w:rPr>
          <w:rFonts w:ascii="Arial" w:hAnsi="Arial" w:cs="Arial" w:hint="cs"/>
          <w:rtl/>
          <w:lang w:bidi="ar-SA"/>
        </w:rPr>
        <w:t>جوهر</w:t>
      </w:r>
      <w:r w:rsidR="004878E8" w:rsidRPr="00190289">
        <w:rPr>
          <w:rtl/>
        </w:rPr>
        <w:t>, ג'וואהר</w:t>
      </w:r>
      <w:r w:rsidR="0028673F" w:rsidRPr="00190289">
        <w:rPr>
          <w:rtl/>
        </w:rPr>
        <w:t xml:space="preserve">. אבל היא משמשת </w:t>
      </w:r>
      <w:r w:rsidR="006A56AB" w:rsidRPr="00190289">
        <w:rPr>
          <w:rtl/>
        </w:rPr>
        <w:t xml:space="preserve">לרוב </w:t>
      </w:r>
      <w:r w:rsidR="0028673F" w:rsidRPr="00190289">
        <w:rPr>
          <w:rtl/>
        </w:rPr>
        <w:t>רק לומר 'עצם'</w:t>
      </w:r>
      <w:r w:rsidR="006A56AB" w:rsidRPr="00190289">
        <w:rPr>
          <w:rtl/>
        </w:rPr>
        <w:t>,</w:t>
      </w:r>
      <w:r w:rsidR="0028673F" w:rsidRPr="00190289">
        <w:rPr>
          <w:rtl/>
        </w:rPr>
        <w:t xml:space="preserve"> ולא </w:t>
      </w:r>
      <w:r w:rsidR="006A56AB" w:rsidRPr="00190289">
        <w:rPr>
          <w:rtl/>
        </w:rPr>
        <w:t>בביטויים שמשמשים לה</w:t>
      </w:r>
      <w:r w:rsidR="008B05C9" w:rsidRPr="00190289">
        <w:rPr>
          <w:rtl/>
        </w:rPr>
        <w:t xml:space="preserve">בחין בין מה שמצד העצם למה שמצד המקרים, </w:t>
      </w:r>
      <w:r w:rsidR="006A56AB" w:rsidRPr="00190289">
        <w:rPr>
          <w:rtl/>
        </w:rPr>
        <w:t xml:space="preserve">כמו </w:t>
      </w:r>
      <w:r w:rsidR="008B05C9" w:rsidRPr="00190289">
        <w:rPr>
          <w:rtl/>
        </w:rPr>
        <w:t>'</w:t>
      </w:r>
      <w:r w:rsidR="0028673F" w:rsidRPr="00190289">
        <w:rPr>
          <w:rtl/>
        </w:rPr>
        <w:t>בעצמו</w:t>
      </w:r>
      <w:r w:rsidR="008B05C9" w:rsidRPr="00190289">
        <w:rPr>
          <w:rtl/>
        </w:rPr>
        <w:t>'</w:t>
      </w:r>
      <w:r w:rsidR="0028673F" w:rsidRPr="00190289">
        <w:rPr>
          <w:rtl/>
        </w:rPr>
        <w:t xml:space="preserve"> או </w:t>
      </w:r>
      <w:r w:rsidR="008B05C9" w:rsidRPr="00190289">
        <w:rPr>
          <w:rtl/>
        </w:rPr>
        <w:t>'</w:t>
      </w:r>
      <w:r w:rsidR="0028673F" w:rsidRPr="00190289">
        <w:rPr>
          <w:rtl/>
        </w:rPr>
        <w:t>מצד עצמו</w:t>
      </w:r>
      <w:r w:rsidR="008B05C9" w:rsidRPr="00190289">
        <w:rPr>
          <w:rtl/>
        </w:rPr>
        <w:t>'</w:t>
      </w:r>
      <w:r w:rsidR="0028673F" w:rsidRPr="00190289">
        <w:rPr>
          <w:rtl/>
        </w:rPr>
        <w:t xml:space="preserve"> </w:t>
      </w:r>
      <w:r w:rsidR="008B05C9" w:rsidRPr="00190289">
        <w:rPr>
          <w:rtl/>
        </w:rPr>
        <w:t xml:space="preserve">או 'בעצמותו' </w:t>
      </w:r>
      <w:r w:rsidR="0028673F" w:rsidRPr="00190289">
        <w:rPr>
          <w:rtl/>
        </w:rPr>
        <w:t xml:space="preserve">וכיו"ב. </w:t>
      </w:r>
    </w:p>
  </w:footnote>
  <w:footnote w:id="480">
    <w:p w14:paraId="4DCAF8ED" w14:textId="5A4E7231" w:rsidR="00E5242D" w:rsidRDefault="00E5242D">
      <w:pPr>
        <w:pStyle w:val="FootnoteText"/>
      </w:pPr>
      <w:r>
        <w:rPr>
          <w:rStyle w:val="FootnoteReference"/>
        </w:rPr>
        <w:footnoteRef/>
      </w:r>
      <w:r>
        <w:rPr>
          <w:rtl/>
        </w:rPr>
        <w:t xml:space="preserve"> </w:t>
      </w:r>
      <w:r w:rsidR="00AC6CAB">
        <w:rPr>
          <w:rFonts w:hint="cs"/>
          <w:rtl/>
        </w:rPr>
        <w:t xml:space="preserve">אחרי שהגוף נח הוא מתמיד במנוחתו ועומד תמיד </w:t>
      </w:r>
      <w:r w:rsidR="002B4B4B">
        <w:rPr>
          <w:rFonts w:hint="cs"/>
          <w:rtl/>
        </w:rPr>
        <w:t>כל</w:t>
      </w:r>
      <w:r w:rsidR="00AC6CAB">
        <w:rPr>
          <w:rFonts w:hint="cs"/>
          <w:rtl/>
        </w:rPr>
        <w:t xml:space="preserve"> זמן שלא יניע אותו כח חיצוני לו. </w:t>
      </w:r>
    </w:p>
  </w:footnote>
  <w:footnote w:id="481">
    <w:p w14:paraId="3E135E24" w14:textId="120D8C80" w:rsidR="00B469A0" w:rsidRDefault="00391994" w:rsidP="00565B62">
      <w:pPr>
        <w:pStyle w:val="FootnoteText"/>
        <w:rPr>
          <w:rtl/>
        </w:rPr>
      </w:pPr>
      <w:r>
        <w:rPr>
          <w:rStyle w:val="FootnoteReference"/>
        </w:rPr>
        <w:footnoteRef/>
      </w:r>
      <w:r>
        <w:rPr>
          <w:rtl/>
        </w:rPr>
        <w:t xml:space="preserve"> </w:t>
      </w:r>
      <w:r w:rsidR="007B59A9">
        <w:rPr>
          <w:rFonts w:hint="cs"/>
          <w:rtl/>
        </w:rPr>
        <w:t xml:space="preserve">חומר בלי צורה אין לו מציאות, </w:t>
      </w:r>
      <w:r w:rsidR="00B45410">
        <w:rPr>
          <w:rFonts w:hint="cs"/>
          <w:rtl/>
        </w:rPr>
        <w:t>ו</w:t>
      </w:r>
      <w:r w:rsidR="00661FF0">
        <w:rPr>
          <w:rFonts w:hint="cs"/>
          <w:rtl/>
        </w:rPr>
        <w:t xml:space="preserve">למילה </w:t>
      </w:r>
      <w:r w:rsidR="00B967B3">
        <w:rPr>
          <w:rFonts w:hint="cs"/>
          <w:rtl/>
        </w:rPr>
        <w:t>'</w:t>
      </w:r>
      <w:r w:rsidR="00661FF0">
        <w:rPr>
          <w:rFonts w:hint="cs"/>
          <w:rtl/>
        </w:rPr>
        <w:t>חומר</w:t>
      </w:r>
      <w:r w:rsidR="00B967B3">
        <w:rPr>
          <w:rFonts w:hint="cs"/>
          <w:rtl/>
        </w:rPr>
        <w:t>'</w:t>
      </w:r>
      <w:r w:rsidR="00661FF0">
        <w:rPr>
          <w:rFonts w:hint="cs"/>
          <w:rtl/>
        </w:rPr>
        <w:t xml:space="preserve"> כשם עצם אין מובן</w:t>
      </w:r>
      <w:r w:rsidR="007348F7">
        <w:rPr>
          <w:rFonts w:hint="cs"/>
          <w:rtl/>
        </w:rPr>
        <w:t xml:space="preserve">, כי מובן של מילה הוא רק </w:t>
      </w:r>
      <w:r w:rsidR="00F976BD">
        <w:rPr>
          <w:rFonts w:hint="cs"/>
          <w:rtl/>
        </w:rPr>
        <w:t>מה שהיא מציינת</w:t>
      </w:r>
      <w:r w:rsidR="007348F7">
        <w:rPr>
          <w:rFonts w:hint="cs"/>
          <w:rtl/>
        </w:rPr>
        <w:t xml:space="preserve"> דבר מה שנמצא</w:t>
      </w:r>
      <w:r w:rsidR="00D30CD9">
        <w:rPr>
          <w:rFonts w:hint="cs"/>
          <w:rtl/>
        </w:rPr>
        <w:t>,</w:t>
      </w:r>
      <w:r w:rsidR="00661FF0">
        <w:rPr>
          <w:rFonts w:hint="cs"/>
          <w:rtl/>
        </w:rPr>
        <w:t xml:space="preserve"> </w:t>
      </w:r>
      <w:r w:rsidR="002E693B">
        <w:rPr>
          <w:rFonts w:hint="cs"/>
          <w:rtl/>
        </w:rPr>
        <w:t xml:space="preserve">לכן אי אפשר לומר </w:t>
      </w:r>
      <w:r w:rsidR="00D30CD9">
        <w:rPr>
          <w:rFonts w:hint="cs"/>
          <w:rtl/>
        </w:rPr>
        <w:t>'</w:t>
      </w:r>
      <w:r w:rsidR="002E693B">
        <w:rPr>
          <w:rFonts w:hint="cs"/>
          <w:rtl/>
        </w:rPr>
        <w:t>החומר הוא כך וכך</w:t>
      </w:r>
      <w:r w:rsidR="00D30CD9">
        <w:rPr>
          <w:rFonts w:hint="cs"/>
          <w:rtl/>
        </w:rPr>
        <w:t>'</w:t>
      </w:r>
      <w:r w:rsidR="002E693B">
        <w:rPr>
          <w:rFonts w:hint="cs"/>
          <w:rtl/>
        </w:rPr>
        <w:t>,</w:t>
      </w:r>
      <w:r w:rsidR="001E7716">
        <w:rPr>
          <w:rFonts w:hint="cs"/>
          <w:rtl/>
        </w:rPr>
        <w:t xml:space="preserve"> כמו שאמר על הטבע ועל הצורה</w:t>
      </w:r>
      <w:r w:rsidR="00B7143E">
        <w:rPr>
          <w:rFonts w:hint="cs"/>
          <w:rtl/>
        </w:rPr>
        <w:t xml:space="preserve">, כי במשפט כזה נשאל מה המובן של המילה </w:t>
      </w:r>
      <w:r w:rsidR="007532AE">
        <w:rPr>
          <w:rFonts w:hint="cs"/>
          <w:rtl/>
        </w:rPr>
        <w:t>'</w:t>
      </w:r>
      <w:r w:rsidR="00B7143E">
        <w:rPr>
          <w:rFonts w:hint="cs"/>
          <w:rtl/>
        </w:rPr>
        <w:t>חומר</w:t>
      </w:r>
      <w:r w:rsidR="007532AE">
        <w:rPr>
          <w:rFonts w:hint="cs"/>
          <w:rtl/>
        </w:rPr>
        <w:t>'</w:t>
      </w:r>
      <w:r w:rsidR="00B7143E">
        <w:rPr>
          <w:rFonts w:hint="cs"/>
          <w:rtl/>
        </w:rPr>
        <w:t xml:space="preserve"> ולא תהיה תשובה. לכן לא כתב </w:t>
      </w:r>
      <w:r w:rsidR="007120EC">
        <w:rPr>
          <w:rFonts w:hint="cs"/>
          <w:rtl/>
        </w:rPr>
        <w:t>'</w:t>
      </w:r>
      <w:r w:rsidR="00B7143E">
        <w:rPr>
          <w:rFonts w:hint="cs"/>
          <w:rtl/>
        </w:rPr>
        <w:t>החומר הוא כך וכך</w:t>
      </w:r>
      <w:r w:rsidR="007120EC">
        <w:rPr>
          <w:rFonts w:hint="cs"/>
          <w:rtl/>
        </w:rPr>
        <w:t>'</w:t>
      </w:r>
      <w:r w:rsidR="007532AE">
        <w:rPr>
          <w:rFonts w:hint="cs"/>
          <w:rtl/>
        </w:rPr>
        <w:t>.</w:t>
      </w:r>
      <w:r w:rsidR="00B7143E">
        <w:rPr>
          <w:rFonts w:hint="cs"/>
          <w:rtl/>
        </w:rPr>
        <w:t xml:space="preserve"> </w:t>
      </w:r>
      <w:r w:rsidR="007532AE">
        <w:rPr>
          <w:rFonts w:hint="cs"/>
          <w:rtl/>
        </w:rPr>
        <w:t>החומר אינו דבר שנמצא אלא הוא רק מ</w:t>
      </w:r>
      <w:r w:rsidR="00DB5134">
        <w:rPr>
          <w:rFonts w:hint="cs"/>
          <w:rtl/>
        </w:rPr>
        <w:t>ציין</w:t>
      </w:r>
      <w:r w:rsidR="00F47D9D">
        <w:rPr>
          <w:rFonts w:hint="cs"/>
          <w:rtl/>
        </w:rPr>
        <w:t xml:space="preserve"> בחינה במציאותה של המהות, </w:t>
      </w:r>
      <w:r w:rsidR="005B34F3">
        <w:rPr>
          <w:rFonts w:hint="cs"/>
          <w:rtl/>
        </w:rPr>
        <w:t>שכמהות שנמצאת יש לה כצד של מציאותה משהו שנושא אותה, ו</w:t>
      </w:r>
      <w:r w:rsidR="00893F1F">
        <w:rPr>
          <w:rFonts w:hint="cs"/>
          <w:rtl/>
        </w:rPr>
        <w:t xml:space="preserve">המילה חומר היא </w:t>
      </w:r>
      <w:r w:rsidR="00DB5134">
        <w:rPr>
          <w:rFonts w:hint="cs"/>
          <w:rtl/>
        </w:rPr>
        <w:t xml:space="preserve">המובן של הצד הזה </w:t>
      </w:r>
      <w:r w:rsidR="00893F1F">
        <w:rPr>
          <w:rFonts w:hint="cs"/>
          <w:rtl/>
        </w:rPr>
        <w:t>במציאות המהות, ול</w:t>
      </w:r>
      <w:r w:rsidR="00E95152">
        <w:rPr>
          <w:rFonts w:hint="cs"/>
          <w:rtl/>
        </w:rPr>
        <w:t>א</w:t>
      </w:r>
      <w:r w:rsidR="00893F1F">
        <w:rPr>
          <w:rFonts w:hint="cs"/>
          <w:rtl/>
        </w:rPr>
        <w:t xml:space="preserve"> שיש למילה חומר מציאות משל עצמה שאלי</w:t>
      </w:r>
      <w:r w:rsidR="00E95152">
        <w:rPr>
          <w:rFonts w:hint="cs"/>
          <w:rtl/>
        </w:rPr>
        <w:t>ה</w:t>
      </w:r>
      <w:r w:rsidR="00893F1F">
        <w:rPr>
          <w:rFonts w:hint="cs"/>
          <w:rtl/>
        </w:rPr>
        <w:t xml:space="preserve"> היא מציינת. לכן המילה חומר היא רק 'מובן' של משהו </w:t>
      </w:r>
      <w:r w:rsidR="00DF7392">
        <w:rPr>
          <w:rFonts w:hint="cs"/>
          <w:rtl/>
        </w:rPr>
        <w:t xml:space="preserve">במהות, ומה שכתב מקגיניס בתרגומו שהחומר הוא </w:t>
      </w:r>
      <w:r w:rsidR="00543560">
        <w:rPr>
          <w:rFonts w:hint="cs"/>
          <w:rtl/>
        </w:rPr>
        <w:t>ה</w:t>
      </w:r>
      <w:r w:rsidR="00DF7392">
        <w:rPr>
          <w:rFonts w:hint="cs"/>
          <w:rtl/>
        </w:rPr>
        <w:t xml:space="preserve">דבר שנושא את המהות, זה לא הלשון שכתב אבן סינא וגם אינו </w:t>
      </w:r>
      <w:r w:rsidR="009C463A">
        <w:rPr>
          <w:rFonts w:hint="cs"/>
          <w:rtl/>
        </w:rPr>
        <w:t>מדויק</w:t>
      </w:r>
      <w:r w:rsidR="00DF7392">
        <w:rPr>
          <w:rFonts w:hint="cs"/>
          <w:rtl/>
        </w:rPr>
        <w:t xml:space="preserve"> מבחינת ההבנה</w:t>
      </w:r>
      <w:r w:rsidR="00DB5134">
        <w:rPr>
          <w:rFonts w:hint="cs"/>
          <w:rtl/>
        </w:rPr>
        <w:t xml:space="preserve">. </w:t>
      </w:r>
      <w:r w:rsidR="00BA389B">
        <w:rPr>
          <w:rFonts w:hint="cs"/>
          <w:rtl/>
        </w:rPr>
        <w:t xml:space="preserve">אם החומר היה 'דבר', השכל היה יכול לתפוש אותו כמו שהוא תופש את שאר הדברים, ואפלטון </w:t>
      </w:r>
      <w:r w:rsidR="00BA389B">
        <w:rPr>
          <w:rFonts w:hint="cs"/>
          <w:rtl/>
        </w:rPr>
        <w:t xml:space="preserve">בטימיאוס כתב שהשכל לא יכול לתפוש את החומר. </w:t>
      </w:r>
      <w:r w:rsidR="00CC1A57">
        <w:rPr>
          <w:rFonts w:hint="cs"/>
          <w:rtl/>
        </w:rPr>
        <w:t>(לשון אבן סינא</w:t>
      </w:r>
      <w:r w:rsidR="001B7603">
        <w:rPr>
          <w:rFonts w:hint="cs"/>
          <w:rtl/>
        </w:rPr>
        <w:t xml:space="preserve"> כאן אינו משתמע לשתי פנים, אלא ברור שהוא לא כתב שהחומר הוא 'דבר' אלא שהחומר הוא 'מובן':</w:t>
      </w:r>
    </w:p>
    <w:p w14:paraId="7FA32821" w14:textId="7CDAAF99" w:rsidR="001B7603" w:rsidRDefault="001B7603" w:rsidP="00565B62">
      <w:pPr>
        <w:pStyle w:val="FootnoteText"/>
        <w:rPr>
          <w:rtl/>
        </w:rPr>
      </w:pPr>
      <w:r w:rsidRPr="00E97446">
        <w:rPr>
          <w:rtl/>
        </w:rPr>
        <w:t>"</w:t>
      </w:r>
      <w:r w:rsidRPr="00E97446">
        <w:rPr>
          <w:rFonts w:ascii="Arial" w:hAnsi="Arial" w:cs="Arial" w:hint="cs"/>
          <w:rtl/>
          <w:lang w:bidi="ar-SA"/>
        </w:rPr>
        <w:t>و</w:t>
      </w:r>
      <w:r w:rsidRPr="00E97446">
        <w:rPr>
          <w:rtl/>
          <w:lang w:bidi="ar-SA"/>
        </w:rPr>
        <w:t xml:space="preserve"> </w:t>
      </w:r>
      <w:r w:rsidRPr="00E97446">
        <w:rPr>
          <w:rFonts w:ascii="Arial" w:hAnsi="Arial" w:cs="Arial" w:hint="cs"/>
          <w:rtl/>
          <w:lang w:bidi="ar-SA"/>
        </w:rPr>
        <w:t>مادته</w:t>
      </w:r>
      <w:r w:rsidRPr="00E97446">
        <w:rPr>
          <w:rtl/>
          <w:lang w:bidi="ar-SA"/>
        </w:rPr>
        <w:t xml:space="preserve"> </w:t>
      </w:r>
      <w:r w:rsidRPr="00E97446">
        <w:rPr>
          <w:rFonts w:ascii="Arial" w:hAnsi="Arial" w:cs="Arial" w:hint="cs"/>
          <w:rtl/>
          <w:lang w:bidi="ar-SA"/>
        </w:rPr>
        <w:t>هى</w:t>
      </w:r>
      <w:r w:rsidRPr="00E97446">
        <w:rPr>
          <w:rtl/>
          <w:lang w:bidi="ar-SA"/>
        </w:rPr>
        <w:t xml:space="preserve"> </w:t>
      </w:r>
      <w:r w:rsidRPr="00E97446">
        <w:rPr>
          <w:rFonts w:ascii="Arial" w:hAnsi="Arial" w:cs="Arial" w:hint="cs"/>
          <w:rtl/>
          <w:lang w:bidi="ar-SA"/>
        </w:rPr>
        <w:t>المعنى</w:t>
      </w:r>
      <w:r w:rsidRPr="00E97446">
        <w:rPr>
          <w:rtl/>
          <w:lang w:bidi="ar-SA"/>
        </w:rPr>
        <w:t xml:space="preserve"> </w:t>
      </w:r>
      <w:r w:rsidRPr="00E97446">
        <w:rPr>
          <w:rFonts w:ascii="Arial" w:hAnsi="Arial" w:cs="Arial" w:hint="cs"/>
          <w:rtl/>
          <w:lang w:bidi="ar-SA"/>
        </w:rPr>
        <w:t>الحامل‌</w:t>
      </w:r>
      <w:r w:rsidRPr="00E97446">
        <w:rPr>
          <w:rtl/>
          <w:lang w:bidi="ar-SA"/>
        </w:rPr>
        <w:t xml:space="preserve"> </w:t>
      </w:r>
      <w:r w:rsidRPr="00E97446">
        <w:rPr>
          <w:rFonts w:ascii="Arial" w:hAnsi="Arial" w:cs="Arial" w:hint="cs"/>
          <w:rtl/>
          <w:lang w:bidi="ar-SA"/>
        </w:rPr>
        <w:t>لماهيته</w:t>
      </w:r>
      <w:r w:rsidRPr="00E97446">
        <w:rPr>
          <w:rtl/>
        </w:rPr>
        <w:t>"</w:t>
      </w:r>
      <w:r>
        <w:rPr>
          <w:rFonts w:hint="cs"/>
          <w:rtl/>
        </w:rPr>
        <w:t>)</w:t>
      </w:r>
    </w:p>
    <w:p w14:paraId="50746A7E" w14:textId="77777777" w:rsidR="00B469A0" w:rsidRDefault="00B469A0" w:rsidP="00565B62">
      <w:pPr>
        <w:pStyle w:val="FootnoteText"/>
        <w:rPr>
          <w:rtl/>
        </w:rPr>
      </w:pPr>
    </w:p>
    <w:p w14:paraId="3A7F752E" w14:textId="29B8710C" w:rsidR="00565B62" w:rsidRDefault="001A700A" w:rsidP="00565B62">
      <w:pPr>
        <w:pStyle w:val="FootnoteText"/>
      </w:pPr>
      <w:r>
        <w:rPr>
          <w:rFonts w:hint="cs"/>
          <w:rtl/>
        </w:rPr>
        <w:t xml:space="preserve">עיין בטימיאוס מאת אפלטון מדף </w:t>
      </w:r>
      <w:r w:rsidR="00667FE1">
        <w:rPr>
          <w:rFonts w:hint="cs"/>
          <w:rtl/>
        </w:rPr>
        <w:t>49</w:t>
      </w:r>
      <w:r w:rsidR="00F8135E">
        <w:rPr>
          <w:rFonts w:hint="cs"/>
          <w:rtl/>
        </w:rPr>
        <w:t xml:space="preserve"> בדבריו היסודיים המאל</w:t>
      </w:r>
      <w:r w:rsidR="00667FE1">
        <w:rPr>
          <w:rFonts w:hint="cs"/>
          <w:rtl/>
        </w:rPr>
        <w:t>פ</w:t>
      </w:r>
      <w:r w:rsidR="00F8135E">
        <w:rPr>
          <w:rFonts w:hint="cs"/>
          <w:rtl/>
        </w:rPr>
        <w:t xml:space="preserve">ים והידועים על החומר הראשון. </w:t>
      </w:r>
      <w:r w:rsidR="00DA4EBC">
        <w:rPr>
          <w:rFonts w:hint="cs"/>
          <w:rtl/>
        </w:rPr>
        <w:t>ושם בדף 52 כת</w:t>
      </w:r>
      <w:r w:rsidR="00341A0B">
        <w:rPr>
          <w:rFonts w:hint="cs"/>
          <w:rtl/>
        </w:rPr>
        <w:t>ב</w:t>
      </w:r>
      <w:r w:rsidR="00B469A0">
        <w:rPr>
          <w:rFonts w:hint="cs"/>
          <w:rtl/>
        </w:rPr>
        <w:t>:</w:t>
      </w:r>
    </w:p>
    <w:p w14:paraId="00BAA8BC" w14:textId="63757848" w:rsidR="00DA4EBC" w:rsidRDefault="00DA4EBC">
      <w:pPr>
        <w:pStyle w:val="FootnoteText"/>
      </w:pPr>
      <w:r>
        <w:rPr>
          <w:rFonts w:hint="cs"/>
          <w:rtl/>
        </w:rPr>
        <w:t>"</w:t>
      </w:r>
      <w:r w:rsidR="00B469A0" w:rsidRPr="00B469A0">
        <w:rPr>
          <w:rtl/>
        </w:rPr>
        <w:t>שלישי</w:t>
      </w:r>
      <w:r w:rsidR="008B6019">
        <w:rPr>
          <w:rFonts w:hint="cs"/>
          <w:rtl/>
        </w:rPr>
        <w:t xml:space="preserve"> [הראשון הוא האידיאה המופשטת הנצחית, השני הוא העצם שהוא </w:t>
      </w:r>
      <w:r w:rsidR="004011D9">
        <w:rPr>
          <w:rFonts w:hint="cs"/>
          <w:rtl/>
        </w:rPr>
        <w:t>מוחשי ונקרא בשמה של האידיאה ודומה לה</w:t>
      </w:r>
      <w:r w:rsidR="008B6019">
        <w:rPr>
          <w:rFonts w:hint="cs"/>
          <w:rtl/>
        </w:rPr>
        <w:t>]</w:t>
      </w:r>
      <w:r w:rsidR="00B469A0" w:rsidRPr="00B469A0">
        <w:rPr>
          <w:rtl/>
        </w:rPr>
        <w:t xml:space="preserve"> הוא החלל אשר קיים לעולם ונמנע ממנו כליון</w:t>
      </w:r>
      <w:r w:rsidR="0005637D">
        <w:rPr>
          <w:rFonts w:hint="cs"/>
          <w:rtl/>
        </w:rPr>
        <w:t>;</w:t>
      </w:r>
      <w:r w:rsidR="00B469A0" w:rsidRPr="00B469A0">
        <w:rPr>
          <w:rtl/>
        </w:rPr>
        <w:t xml:space="preserve"> הוא ממציא משכן לכל המתהווה</w:t>
      </w:r>
      <w:r w:rsidR="0005637D">
        <w:rPr>
          <w:rFonts w:hint="cs"/>
          <w:rtl/>
        </w:rPr>
        <w:t>;</w:t>
      </w:r>
      <w:r w:rsidR="00B469A0" w:rsidRPr="00B469A0">
        <w:rPr>
          <w:rtl/>
        </w:rPr>
        <w:t xml:space="preserve"> ואותו משיג </w:t>
      </w:r>
      <w:r w:rsidR="00794055">
        <w:rPr>
          <w:rFonts w:hint="cs"/>
          <w:rtl/>
        </w:rPr>
        <w:t>-</w:t>
      </w:r>
      <w:r w:rsidR="00B469A0" w:rsidRPr="00B469A0">
        <w:rPr>
          <w:rtl/>
        </w:rPr>
        <w:t xml:space="preserve"> בלא תחושה </w:t>
      </w:r>
      <w:r w:rsidR="00794055">
        <w:rPr>
          <w:rFonts w:hint="cs"/>
          <w:rtl/>
        </w:rPr>
        <w:t>-</w:t>
      </w:r>
      <w:r w:rsidR="00B469A0" w:rsidRPr="00B469A0">
        <w:rPr>
          <w:rtl/>
        </w:rPr>
        <w:t xml:space="preserve"> שיקול דעת </w:t>
      </w:r>
      <w:r w:rsidR="009C463A" w:rsidRPr="00B469A0">
        <w:rPr>
          <w:rFonts w:hint="cs"/>
          <w:rtl/>
        </w:rPr>
        <w:t>מסוים</w:t>
      </w:r>
      <w:r w:rsidR="00B469A0" w:rsidRPr="00B469A0">
        <w:rPr>
          <w:rtl/>
        </w:rPr>
        <w:t xml:space="preserve"> שאינו כשר מלידה </w:t>
      </w:r>
      <w:r w:rsidR="00794055">
        <w:rPr>
          <w:rFonts w:hint="cs"/>
          <w:rtl/>
        </w:rPr>
        <w:t>[כלומר ממזר</w:t>
      </w:r>
      <w:r w:rsidR="00F73EEE">
        <w:rPr>
          <w:rFonts w:hint="cs"/>
          <w:rtl/>
        </w:rPr>
        <w:t xml:space="preserve">. על השייכות של 'ממזר' לכאן כתבתי בעיונים בפילוסופיה אריסטוטלית </w:t>
      </w:r>
      <w:hyperlink r:id="rId113" w:history="1">
        <w:r w:rsidR="00F73EEE" w:rsidRPr="003A57B0">
          <w:rPr>
            <w:rStyle w:val="Hyperlink"/>
            <w:rFonts w:hint="cs"/>
            <w:rtl/>
          </w:rPr>
          <w:t>רשימה 55</w:t>
        </w:r>
      </w:hyperlink>
      <w:r w:rsidR="00794055">
        <w:rPr>
          <w:rFonts w:hint="cs"/>
          <w:rtl/>
        </w:rPr>
        <w:t>];</w:t>
      </w:r>
      <w:r w:rsidR="00B469A0" w:rsidRPr="00B469A0">
        <w:rPr>
          <w:rtl/>
        </w:rPr>
        <w:t xml:space="preserve"> אך כמעט לא ייתכן לראות בו ענין לאמונה. והוא הדבר שאנו מביטים אליו כבחלום, ואומרים שכל מה שישנו צריך שיהא במקום כלשהו, ומה שאיננו עלי אדמות, ולא באיזה שהוא מקום בשמיים, אינו דבר. ומהיותנו נתונים במצב זה של חלום, אין ביכולתנו להתעורר ולהבחין את ההבחנות האלה ושכמותן, אף לא לגבי אותו טבע שאינו אחוז שינה והקיים קיום אמיתי, ולהגיד את האמת, כדלהלן</w:t>
      </w:r>
      <w:r w:rsidR="00933C67">
        <w:rPr>
          <w:rFonts w:hint="cs"/>
          <w:rtl/>
        </w:rPr>
        <w:t>:</w:t>
      </w:r>
      <w:r w:rsidR="00B469A0" w:rsidRPr="00B469A0">
        <w:rPr>
          <w:rtl/>
        </w:rPr>
        <w:t xml:space="preserve"> מאחר שעצם היסוד</w:t>
      </w:r>
      <w:r w:rsidR="00933C67">
        <w:rPr>
          <w:rFonts w:hint="cs"/>
          <w:rtl/>
        </w:rPr>
        <w:t xml:space="preserve"> [האידיאה המופשטת]</w:t>
      </w:r>
      <w:r w:rsidR="00B469A0" w:rsidRPr="00B469A0">
        <w:rPr>
          <w:rtl/>
        </w:rPr>
        <w:t xml:space="preserve"> שמכוחו נתהווה הצלם</w:t>
      </w:r>
      <w:r w:rsidR="00933C67">
        <w:rPr>
          <w:rFonts w:hint="cs"/>
          <w:rtl/>
        </w:rPr>
        <w:t xml:space="preserve"> [הגוף שהוא הצלם של האידיאה</w:t>
      </w:r>
      <w:r w:rsidR="004612D0">
        <w:rPr>
          <w:rFonts w:hint="cs"/>
          <w:rtl/>
        </w:rPr>
        <w:t>. כמו "צלמי טחוריכם</w:t>
      </w:r>
      <w:r w:rsidR="000B61F4">
        <w:rPr>
          <w:rFonts w:hint="cs"/>
          <w:rtl/>
        </w:rPr>
        <w:t>"</w:t>
      </w:r>
      <w:r w:rsidR="004612D0">
        <w:rPr>
          <w:rFonts w:hint="cs"/>
          <w:rtl/>
        </w:rPr>
        <w:t xml:space="preserve"> שכתב במורה נבוכים א' א'</w:t>
      </w:r>
      <w:r w:rsidR="00933C67">
        <w:rPr>
          <w:rFonts w:hint="cs"/>
          <w:rtl/>
        </w:rPr>
        <w:t>]</w:t>
      </w:r>
      <w:r w:rsidR="00B469A0" w:rsidRPr="00B469A0">
        <w:rPr>
          <w:rtl/>
        </w:rPr>
        <w:t xml:space="preserve"> אינו שייך לצלם עצמו, והוא תמונתו של מה שהוא אחר המתנועעת תמיד אנה ואנה, </w:t>
      </w:r>
      <w:r w:rsidR="00833E1E">
        <w:rPr>
          <w:rFonts w:hint="cs"/>
          <w:rtl/>
        </w:rPr>
        <w:t>-</w:t>
      </w:r>
      <w:r w:rsidR="00B469A0" w:rsidRPr="00B469A0">
        <w:rPr>
          <w:rtl/>
        </w:rPr>
        <w:t xml:space="preserve"> משום כך דינו של הצלם הוא, שיתהווה בתוך מה שהוא אחר, כשבדרך מה הוא נאחז במה שקיים, ולא, כלל לא יהיה הצלם בגדר דבר</w:t>
      </w:r>
      <w:r w:rsidR="00125510">
        <w:rPr>
          <w:rFonts w:hint="cs"/>
          <w:rtl/>
        </w:rPr>
        <w:t xml:space="preserve"> [האידיאה המופשטת מתגלה בעולם החומרי בגוף. </w:t>
      </w:r>
      <w:r w:rsidR="007E12CB">
        <w:rPr>
          <w:rFonts w:hint="cs"/>
          <w:rtl/>
        </w:rPr>
        <w:t>המציאות של הגוף אינה מצד עצמו אלא היא רק בהיותו גילוי של האידיאה שאצלה בלבד המציאות. אם כן מהיכן ישאב הגוף את היותו נמצא</w:t>
      </w:r>
      <w:r w:rsidR="00490AC1">
        <w:rPr>
          <w:rFonts w:hint="cs"/>
          <w:rtl/>
        </w:rPr>
        <w:t>?</w:t>
      </w:r>
      <w:r w:rsidR="007E12CB">
        <w:rPr>
          <w:rFonts w:hint="cs"/>
          <w:rtl/>
        </w:rPr>
        <w:t xml:space="preserve"> התש</w:t>
      </w:r>
      <w:r w:rsidR="00490AC1">
        <w:rPr>
          <w:rFonts w:hint="cs"/>
          <w:rtl/>
        </w:rPr>
        <w:t>ו</w:t>
      </w:r>
      <w:r w:rsidR="007E12CB">
        <w:rPr>
          <w:rFonts w:hint="cs"/>
          <w:rtl/>
        </w:rPr>
        <w:t>בה לזה היא החומר, שאינו דבר ואינו מציאות</w:t>
      </w:r>
      <w:r w:rsidR="00490AC1">
        <w:rPr>
          <w:rFonts w:hint="cs"/>
          <w:rtl/>
        </w:rPr>
        <w:t xml:space="preserve"> מצד עצמו</w:t>
      </w:r>
      <w:r w:rsidR="007E12CB">
        <w:rPr>
          <w:rFonts w:hint="cs"/>
          <w:rtl/>
        </w:rPr>
        <w:t xml:space="preserve">, אבל הוא </w:t>
      </w:r>
      <w:r w:rsidR="00725E38">
        <w:rPr>
          <w:rFonts w:hint="cs"/>
          <w:rtl/>
        </w:rPr>
        <w:t>נותן לגוף מציאות שהיא משהו שמעבר לגילוי האידיאה בלבד (כי גילוי בלבד אינו מספיק כדי שהגוף יימצא</w:t>
      </w:r>
      <w:r w:rsidR="00490AC1">
        <w:rPr>
          <w:rFonts w:hint="cs"/>
          <w:rtl/>
        </w:rPr>
        <w:t>)</w:t>
      </w:r>
      <w:r w:rsidR="00426983">
        <w:rPr>
          <w:rFonts w:hint="cs"/>
          <w:rtl/>
        </w:rPr>
        <w:t>. אופן מציאות כזה קשה מאוד לתפישה, כי הגוף מצד עצמו אין לו מציאות (הוא רק גילוי של האידיאה שאינה גוף), והחומר מצד עצמו גם הא אין לו מציאות</w:t>
      </w:r>
      <w:r w:rsidR="00CD34D2">
        <w:rPr>
          <w:rFonts w:hint="cs"/>
          <w:rtl/>
        </w:rPr>
        <w:t xml:space="preserve">. רק שהחומר משמש כמו מצע לגוף ומכח זה יש לגוף מציאות. אמנם רק מציאות כמשהו שמגלה אידיאה ולא שנמצא מצד עצמו, ועדיין </w:t>
      </w:r>
      <w:r w:rsidR="00305A6A">
        <w:rPr>
          <w:rFonts w:hint="cs"/>
          <w:rtl/>
        </w:rPr>
        <w:t xml:space="preserve">מכח החומר </w:t>
      </w:r>
      <w:r w:rsidR="00CD34D2">
        <w:rPr>
          <w:rFonts w:hint="cs"/>
          <w:rtl/>
        </w:rPr>
        <w:t xml:space="preserve">יש מציאות לגילוי </w:t>
      </w:r>
      <w:r w:rsidR="00305A6A">
        <w:rPr>
          <w:rFonts w:hint="cs"/>
          <w:rtl/>
        </w:rPr>
        <w:t xml:space="preserve">כגילוי, והיא </w:t>
      </w:r>
      <w:r w:rsidR="00CD34D2">
        <w:rPr>
          <w:rFonts w:hint="cs"/>
          <w:rtl/>
        </w:rPr>
        <w:t>מציאות הנוספת על המציאות של האידיאה כשהיא מופשטת</w:t>
      </w:r>
      <w:r w:rsidR="00305A6A">
        <w:rPr>
          <w:rFonts w:hint="cs"/>
          <w:rtl/>
        </w:rPr>
        <w:t>. אם מתבוננים בזה רואים שהעניין לא ניתן לתפישה ברורה מצד השכל, ולכן כותב אפלטון שהוא נתפש כמו בחלום</w:t>
      </w:r>
      <w:r w:rsidR="00125510">
        <w:rPr>
          <w:rFonts w:hint="cs"/>
          <w:rtl/>
        </w:rPr>
        <w:t>];</w:t>
      </w:r>
      <w:r w:rsidR="00B469A0" w:rsidRPr="00B469A0">
        <w:rPr>
          <w:rtl/>
        </w:rPr>
        <w:t xml:space="preserve"> ואולם מה שהווה כהוויתו, מצא לו בעל ברית באותו הסבר הגיוני שאמיתותו מושתתת על דיוקו, והאומר שכל עוד שונים ש</w:t>
      </w:r>
      <w:r w:rsidR="00967ACD">
        <w:rPr>
          <w:rFonts w:hint="cs"/>
          <w:rtl/>
        </w:rPr>
        <w:t>נ</w:t>
      </w:r>
      <w:r w:rsidR="00B469A0" w:rsidRPr="00B469A0">
        <w:rPr>
          <w:rtl/>
        </w:rPr>
        <w:t>י דברים זה מזה, לא יוכל אף אחד מהשניים להיכנס לתוך השני, שמתוך כך יהיו השניים בעת ובעו</w:t>
      </w:r>
      <w:r w:rsidR="00013AAE">
        <w:rPr>
          <w:rFonts w:hint="cs"/>
          <w:rtl/>
        </w:rPr>
        <w:t>נ</w:t>
      </w:r>
      <w:r w:rsidR="00B469A0" w:rsidRPr="00B469A0">
        <w:rPr>
          <w:rtl/>
        </w:rPr>
        <w:t>ה אחת דבר אחד זהה,</w:t>
      </w:r>
      <w:r w:rsidR="00013AAE">
        <w:rPr>
          <w:rFonts w:hint="cs"/>
          <w:rtl/>
        </w:rPr>
        <w:t xml:space="preserve"> כו'</w:t>
      </w:r>
      <w:r w:rsidR="00D65BF5">
        <w:rPr>
          <w:rFonts w:hint="cs"/>
          <w:rtl/>
        </w:rPr>
        <w:t xml:space="preserve"> [האידיאה המופשטת היא אחת.</w:t>
      </w:r>
      <w:r w:rsidR="007F07DD">
        <w:rPr>
          <w:rFonts w:hint="cs"/>
          <w:rtl/>
        </w:rPr>
        <w:t xml:space="preserve"> האידיאה של 'אדם' כ'חי מדבר' היא אחת. כמו למשל שמשפ</w:t>
      </w:r>
      <w:r w:rsidR="00AF38B9">
        <w:rPr>
          <w:rFonts w:hint="cs"/>
          <w:rtl/>
        </w:rPr>
        <w:t>ט</w:t>
      </w:r>
      <w:r w:rsidR="007F07DD">
        <w:rPr>
          <w:rFonts w:hint="cs"/>
          <w:rtl/>
        </w:rPr>
        <w:t xml:space="preserve"> פיתגורס הוא אחד</w:t>
      </w:r>
      <w:r w:rsidR="00AF38B9">
        <w:rPr>
          <w:rFonts w:hint="cs"/>
          <w:rtl/>
        </w:rPr>
        <w:t>. מה שהאידיאה נחלקת לראובן ושמעון זה מצד החומר, שהוא מונע מ</w:t>
      </w:r>
      <w:r w:rsidR="005E20EB">
        <w:rPr>
          <w:rFonts w:hint="cs"/>
          <w:rtl/>
        </w:rPr>
        <w:t>ראובן להיכנס לתוך שמעון, כלומר מפריד אותם לשני בני אדם</w:t>
      </w:r>
      <w:r w:rsidR="004F5342">
        <w:rPr>
          <w:rFonts w:hint="cs"/>
          <w:rtl/>
        </w:rPr>
        <w:t xml:space="preserve">. זה </w:t>
      </w:r>
      <w:r w:rsidR="00C83E74">
        <w:rPr>
          <w:rFonts w:hint="cs"/>
          <w:rtl/>
        </w:rPr>
        <w:t>פיתוח של</w:t>
      </w:r>
      <w:r w:rsidR="004F5342">
        <w:rPr>
          <w:rFonts w:hint="cs"/>
          <w:rtl/>
        </w:rPr>
        <w:t xml:space="preserve"> </w:t>
      </w:r>
      <w:r w:rsidR="00C83E74">
        <w:rPr>
          <w:rFonts w:hint="cs"/>
          <w:rtl/>
        </w:rPr>
        <w:t>ה</w:t>
      </w:r>
      <w:r w:rsidR="004F5342">
        <w:rPr>
          <w:rFonts w:hint="cs"/>
          <w:rtl/>
        </w:rPr>
        <w:t>שיקול המגלה על  מציאות החומר</w:t>
      </w:r>
      <w:r w:rsidR="00C83E74">
        <w:rPr>
          <w:rFonts w:hint="cs"/>
          <w:rtl/>
        </w:rPr>
        <w:t xml:space="preserve"> שנאמר מקודם</w:t>
      </w:r>
      <w:r w:rsidR="004F5342">
        <w:rPr>
          <w:rFonts w:hint="cs"/>
          <w:rtl/>
        </w:rPr>
        <w:t xml:space="preserve"> </w:t>
      </w:r>
      <w:r w:rsidR="00C83E74">
        <w:rPr>
          <w:rFonts w:hint="cs"/>
          <w:rtl/>
        </w:rPr>
        <w:t>(</w:t>
      </w:r>
      <w:r w:rsidR="00A2151C">
        <w:rPr>
          <w:rFonts w:hint="cs"/>
          <w:rtl/>
        </w:rPr>
        <w:t>שגילוי האידיאה לא יכול להיות תוספת על המציאות יותר מהאידיאה לבדה (ואז לא יהיה גילוי לאידיאה) אם אין חומר</w:t>
      </w:r>
      <w:r w:rsidR="00283E49">
        <w:rPr>
          <w:rFonts w:hint="cs"/>
          <w:rtl/>
        </w:rPr>
        <w:t xml:space="preserve"> שפירושו הוא הגילוי של האידיאה כמציאות של גילוי</w:t>
      </w:r>
      <w:r w:rsidR="0004599F">
        <w:rPr>
          <w:rFonts w:hint="cs"/>
          <w:rtl/>
        </w:rPr>
        <w:t>,</w:t>
      </w:r>
      <w:r w:rsidR="00766F69">
        <w:rPr>
          <w:rFonts w:hint="cs"/>
          <w:rtl/>
        </w:rPr>
        <w:t xml:space="preserve"> דהיינו שיש מה שנושא אותה כלשונו של אבן סינא כאן,</w:t>
      </w:r>
      <w:r w:rsidR="0004599F">
        <w:rPr>
          <w:rFonts w:hint="cs"/>
          <w:rtl/>
        </w:rPr>
        <w:t xml:space="preserve"> ומה שהאידיאות יש להן גילוי הוא שיקול שמראה שיש חומר</w:t>
      </w:r>
      <w:r w:rsidR="00714813">
        <w:rPr>
          <w:rFonts w:hint="cs"/>
          <w:rtl/>
        </w:rPr>
        <w:t>, כלומר משהו שנושא את הגילוי. ומה שיש חילוק לגופים שונים שנוטלים חלק באותה אידיאה הוא המשך של העניין שלגילוי יש מציאות כגילוי, ו</w:t>
      </w:r>
      <w:r w:rsidR="00D67B50">
        <w:rPr>
          <w:rFonts w:hint="cs"/>
          <w:rtl/>
        </w:rPr>
        <w:t xml:space="preserve">מכח זה </w:t>
      </w:r>
      <w:r w:rsidR="00714813">
        <w:rPr>
          <w:rFonts w:hint="cs"/>
          <w:rtl/>
        </w:rPr>
        <w:t>היא נית</w:t>
      </w:r>
      <w:r w:rsidR="00D67B50">
        <w:rPr>
          <w:rFonts w:hint="cs"/>
          <w:rtl/>
        </w:rPr>
        <w:t>נת להפרדה לשני גילויים דהיינו ראובן ושמעון</w:t>
      </w:r>
      <w:r w:rsidR="00D65BF5">
        <w:rPr>
          <w:rFonts w:hint="cs"/>
          <w:rtl/>
        </w:rPr>
        <w:t>]</w:t>
      </w:r>
      <w:r w:rsidR="00B469A0">
        <w:rPr>
          <w:rFonts w:hint="cs"/>
          <w:rtl/>
        </w:rPr>
        <w:t>"</w:t>
      </w:r>
    </w:p>
  </w:footnote>
  <w:footnote w:id="482">
    <w:p w14:paraId="10BF69C3" w14:textId="4FB16195" w:rsidR="00CE3679" w:rsidRDefault="00CE3679">
      <w:pPr>
        <w:pStyle w:val="FootnoteText"/>
        <w:rPr>
          <w:rtl/>
        </w:rPr>
      </w:pPr>
      <w:r>
        <w:rPr>
          <w:rStyle w:val="FootnoteReference"/>
        </w:rPr>
        <w:footnoteRef/>
      </w:r>
      <w:r>
        <w:rPr>
          <w:rtl/>
        </w:rPr>
        <w:t xml:space="preserve"> </w:t>
      </w:r>
      <w:r w:rsidR="00A50A3F">
        <w:rPr>
          <w:rFonts w:hint="cs"/>
          <w:rtl/>
        </w:rPr>
        <w:t xml:space="preserve">הצורה מציירת את העצמים החומריים בצורתה. הצורה הטבעית או המהותית מציירת </w:t>
      </w:r>
      <w:r w:rsidR="009B59E0">
        <w:rPr>
          <w:rFonts w:hint="cs"/>
          <w:rtl/>
        </w:rPr>
        <w:t xml:space="preserve">את החיים והמהות בצורה </w:t>
      </w:r>
      <w:r w:rsidR="009B59E0">
        <w:rPr>
          <w:rFonts w:hint="cs"/>
          <w:rtl/>
        </w:rPr>
        <w:t xml:space="preserve">מסויימת, כמו שמציירת את העצם </w:t>
      </w:r>
      <w:r w:rsidR="001663A0">
        <w:rPr>
          <w:rFonts w:hint="cs"/>
          <w:rtl/>
        </w:rPr>
        <w:t>'</w:t>
      </w:r>
      <w:r w:rsidR="009B59E0">
        <w:rPr>
          <w:rFonts w:hint="cs"/>
          <w:rtl/>
        </w:rPr>
        <w:t>אדם</w:t>
      </w:r>
      <w:r w:rsidR="001663A0">
        <w:rPr>
          <w:rFonts w:hint="cs"/>
          <w:rtl/>
        </w:rPr>
        <w:t>'</w:t>
      </w:r>
      <w:r w:rsidR="009B59E0">
        <w:rPr>
          <w:rFonts w:hint="cs"/>
          <w:rtl/>
        </w:rPr>
        <w:t xml:space="preserve"> בצורה של </w:t>
      </w:r>
      <w:r w:rsidR="001663A0">
        <w:rPr>
          <w:rFonts w:hint="cs"/>
          <w:rtl/>
        </w:rPr>
        <w:t>'</w:t>
      </w:r>
      <w:r w:rsidR="009B59E0">
        <w:rPr>
          <w:rFonts w:hint="cs"/>
          <w:rtl/>
        </w:rPr>
        <w:t>חי מדבר</w:t>
      </w:r>
      <w:r w:rsidR="001663A0">
        <w:rPr>
          <w:rFonts w:hint="cs"/>
          <w:rtl/>
        </w:rPr>
        <w:t>'</w:t>
      </w:r>
      <w:r w:rsidR="009B59E0">
        <w:rPr>
          <w:rFonts w:hint="cs"/>
          <w:rtl/>
        </w:rPr>
        <w:t xml:space="preserve">, והתבנית החיצונית של </w:t>
      </w:r>
      <w:r w:rsidR="00CA1C48">
        <w:rPr>
          <w:rFonts w:hint="cs"/>
          <w:rtl/>
        </w:rPr>
        <w:t xml:space="preserve">תואר </w:t>
      </w:r>
      <w:r w:rsidR="009B59E0">
        <w:rPr>
          <w:rFonts w:hint="cs"/>
          <w:rtl/>
        </w:rPr>
        <w:t>החומר נובעת גם היא מ</w:t>
      </w:r>
      <w:r w:rsidR="00CA1C48">
        <w:rPr>
          <w:rFonts w:hint="cs"/>
          <w:rtl/>
        </w:rPr>
        <w:t>הצורה והמהות</w:t>
      </w:r>
      <w:r w:rsidR="009B59E0">
        <w:rPr>
          <w:rFonts w:hint="cs"/>
          <w:rtl/>
        </w:rPr>
        <w:t>, כמו שביארתי לעיל</w:t>
      </w:r>
      <w:r w:rsidR="006542F0">
        <w:rPr>
          <w:rFonts w:hint="cs"/>
          <w:rtl/>
        </w:rPr>
        <w:t xml:space="preserve"> (עיין באינדקס בערך</w:t>
      </w:r>
      <w:r w:rsidR="00CA1C48">
        <w:rPr>
          <w:rFonts w:hint="cs"/>
          <w:rtl/>
        </w:rPr>
        <w:t>:</w:t>
      </w:r>
      <w:r w:rsidR="006542F0">
        <w:rPr>
          <w:rFonts w:hint="cs"/>
          <w:rtl/>
        </w:rPr>
        <w:t xml:space="preserve"> '</w:t>
      </w:r>
      <w:r w:rsidR="006542F0" w:rsidRPr="006542F0">
        <w:rPr>
          <w:rtl/>
        </w:rPr>
        <w:t>רוחב האפשרויות - סוד שיעור קומה</w:t>
      </w:r>
      <w:r w:rsidR="006542F0">
        <w:rPr>
          <w:rFonts w:hint="cs"/>
          <w:rtl/>
        </w:rPr>
        <w:t>'</w:t>
      </w:r>
      <w:r w:rsidR="00CA1C48">
        <w:rPr>
          <w:rFonts w:hint="cs"/>
          <w:rtl/>
        </w:rPr>
        <w:t>)</w:t>
      </w:r>
      <w:r w:rsidR="00E82D5C">
        <w:rPr>
          <w:rFonts w:hint="cs"/>
          <w:rtl/>
        </w:rPr>
        <w:t xml:space="preserve">. החומר לא מגלה את הצורה בשלמותה, </w:t>
      </w:r>
      <w:r w:rsidR="00770455">
        <w:rPr>
          <w:rFonts w:hint="cs"/>
          <w:rtl/>
        </w:rPr>
        <w:t>אלא יש חסרונות בגילוי הצורה, והם המקרים. למשל מה שצבע שיערו של אדם יכול להיות כתום אבל לא ירוק כמו דשא, זה לא רק מקרה, אלא נובע מהמהות של האדם ששיערו ל</w:t>
      </w:r>
      <w:r w:rsidR="0019686E">
        <w:rPr>
          <w:rFonts w:hint="cs"/>
          <w:rtl/>
        </w:rPr>
        <w:t xml:space="preserve">א יכול להיות בצבע כמו של דשא. יש רוחב אפשרויות </w:t>
      </w:r>
      <w:r w:rsidR="009C463A">
        <w:rPr>
          <w:rFonts w:hint="cs"/>
          <w:rtl/>
        </w:rPr>
        <w:t>מסוים</w:t>
      </w:r>
      <w:r w:rsidR="0019686E">
        <w:rPr>
          <w:rFonts w:hint="cs"/>
          <w:rtl/>
        </w:rPr>
        <w:t xml:space="preserve"> שהאידיאה של 'אדם' מאפשרת </w:t>
      </w:r>
      <w:r w:rsidR="00AA0786">
        <w:rPr>
          <w:rFonts w:hint="cs"/>
          <w:rtl/>
        </w:rPr>
        <w:t>לגבי צבע שיערו, והרוחב הזה כולו כאחד הוא צבע השיער שמוכתב מכח האידיאה</w:t>
      </w:r>
      <w:r w:rsidR="001211BE">
        <w:rPr>
          <w:rFonts w:hint="cs"/>
          <w:rtl/>
        </w:rPr>
        <w:t>, כלומר הוא זה שמגלה את האידיאה</w:t>
      </w:r>
      <w:r w:rsidR="00AA0786">
        <w:rPr>
          <w:rFonts w:hint="cs"/>
          <w:rtl/>
        </w:rPr>
        <w:t xml:space="preserve">. בראובן </w:t>
      </w:r>
      <w:r w:rsidR="001211BE">
        <w:rPr>
          <w:rFonts w:hint="cs"/>
          <w:rtl/>
        </w:rPr>
        <w:t xml:space="preserve">כיוון שהוא חומרי </w:t>
      </w:r>
      <w:r w:rsidR="00AA0786">
        <w:rPr>
          <w:rFonts w:hint="cs"/>
          <w:rtl/>
        </w:rPr>
        <w:t xml:space="preserve">לא יכול </w:t>
      </w:r>
      <w:r w:rsidR="001211BE">
        <w:rPr>
          <w:rFonts w:hint="cs"/>
          <w:rtl/>
        </w:rPr>
        <w:t xml:space="preserve">להיות </w:t>
      </w:r>
      <w:r w:rsidR="00AA0786">
        <w:rPr>
          <w:rFonts w:hint="cs"/>
          <w:rtl/>
        </w:rPr>
        <w:t>שכל רוחב האפשרויות</w:t>
      </w:r>
      <w:r w:rsidR="004746FC">
        <w:rPr>
          <w:rFonts w:hint="cs"/>
          <w:rtl/>
        </w:rPr>
        <w:t xml:space="preserve"> שנובע מהאידיאה</w:t>
      </w:r>
      <w:r w:rsidR="00AA0786">
        <w:rPr>
          <w:rFonts w:hint="cs"/>
          <w:rtl/>
        </w:rPr>
        <w:t xml:space="preserve"> </w:t>
      </w:r>
      <w:r w:rsidR="001211BE">
        <w:rPr>
          <w:rFonts w:hint="cs"/>
          <w:rtl/>
        </w:rPr>
        <w:t xml:space="preserve">יתגלה </w:t>
      </w:r>
      <w:r w:rsidR="004746FC">
        <w:rPr>
          <w:rFonts w:hint="cs"/>
          <w:rtl/>
        </w:rPr>
        <w:t>ב</w:t>
      </w:r>
      <w:r w:rsidR="001211BE">
        <w:rPr>
          <w:rFonts w:hint="cs"/>
          <w:rtl/>
        </w:rPr>
        <w:t>שערו, וצבע שיערו יהיה כאחת בבת אחת גם שחור וגם חום וגם צ</w:t>
      </w:r>
      <w:r w:rsidR="004746FC">
        <w:rPr>
          <w:rFonts w:hint="cs"/>
          <w:rtl/>
        </w:rPr>
        <w:t>ה</w:t>
      </w:r>
      <w:r w:rsidR="001211BE">
        <w:rPr>
          <w:rFonts w:hint="cs"/>
          <w:rtl/>
        </w:rPr>
        <w:t>ו</w:t>
      </w:r>
      <w:r w:rsidR="004746FC">
        <w:rPr>
          <w:rFonts w:hint="cs"/>
          <w:rtl/>
        </w:rPr>
        <w:t xml:space="preserve">ב וגם כתום. עניינו של החומר שהוא מוגדר, </w:t>
      </w:r>
      <w:r w:rsidR="008D10E9">
        <w:rPr>
          <w:rFonts w:hint="cs"/>
          <w:rtl/>
        </w:rPr>
        <w:t xml:space="preserve">והוא יכול להיות רק בצבע מוגדר. לכן בהכרח החומר גורם להסתרת חלק מגילוי האידיאה, ההסתרה הזו היא המקרה. כלומר זה מקרה ששערו של ראובן הוא </w:t>
      </w:r>
      <w:r w:rsidR="00F00179">
        <w:rPr>
          <w:rFonts w:hint="cs"/>
          <w:rtl/>
        </w:rPr>
        <w:t xml:space="preserve">דווקא </w:t>
      </w:r>
      <w:r w:rsidR="008D10E9">
        <w:rPr>
          <w:rFonts w:hint="cs"/>
          <w:rtl/>
        </w:rPr>
        <w:t xml:space="preserve">שחור ולא </w:t>
      </w:r>
      <w:r w:rsidR="00F00179">
        <w:rPr>
          <w:rFonts w:hint="cs"/>
          <w:rtl/>
        </w:rPr>
        <w:t>חום או צהוב או כתום. אין הסבר שכלי למה לראובן יש שיער שחור ולא חום, כי השכל תופש צורות ומהויות ו</w:t>
      </w:r>
      <w:r w:rsidR="00FA57EA">
        <w:rPr>
          <w:rFonts w:hint="cs"/>
          <w:rtl/>
        </w:rPr>
        <w:t>עובדת ההסתרה של כל הצבעים מלבד שחור אינה מהות או צורה, אלא נובעת מהחומר</w:t>
      </w:r>
      <w:r w:rsidR="00A13005">
        <w:rPr>
          <w:rFonts w:hint="cs"/>
          <w:rtl/>
        </w:rPr>
        <w:t xml:space="preserve"> שהיה</w:t>
      </w:r>
      <w:r w:rsidR="008F6676">
        <w:rPr>
          <w:rFonts w:hint="cs"/>
          <w:rtl/>
        </w:rPr>
        <w:t xml:space="preserve"> </w:t>
      </w:r>
      <w:r w:rsidR="00A13005">
        <w:rPr>
          <w:rFonts w:hint="cs"/>
          <w:rtl/>
        </w:rPr>
        <w:t>יכול להסתיר את השחור ולגרום שצבע שיערו של ראובן יהיה</w:t>
      </w:r>
      <w:r w:rsidR="008F6676">
        <w:rPr>
          <w:rFonts w:hint="cs"/>
          <w:rtl/>
        </w:rPr>
        <w:t xml:space="preserve"> </w:t>
      </w:r>
      <w:r w:rsidR="00A13005">
        <w:rPr>
          <w:rFonts w:hint="cs"/>
          <w:rtl/>
        </w:rPr>
        <w:t>חום,</w:t>
      </w:r>
      <w:r w:rsidR="00FA57EA">
        <w:rPr>
          <w:rFonts w:hint="cs"/>
          <w:rtl/>
        </w:rPr>
        <w:t xml:space="preserve"> והחומר לא נתפש בשכל</w:t>
      </w:r>
      <w:r w:rsidR="008F6676">
        <w:rPr>
          <w:rFonts w:hint="cs"/>
          <w:rtl/>
        </w:rPr>
        <w:t xml:space="preserve">, ואיננו יכולים לתפוש בשכל למה הוסתר החום ונגלה השחור ולא </w:t>
      </w:r>
      <w:r w:rsidR="000A6E7A">
        <w:rPr>
          <w:rFonts w:hint="cs"/>
          <w:rtl/>
        </w:rPr>
        <w:t>הו</w:t>
      </w:r>
      <w:r w:rsidR="008F6676">
        <w:rPr>
          <w:rFonts w:hint="cs"/>
          <w:rtl/>
        </w:rPr>
        <w:t xml:space="preserve">סתר השחור ונגלה החום, </w:t>
      </w:r>
      <w:r w:rsidR="000A6E7A">
        <w:rPr>
          <w:rFonts w:hint="cs"/>
          <w:rtl/>
        </w:rPr>
        <w:t>ולכן זה נקרא 'מקרה', כלומר כך קרה, ואין הסבר שכלי למה</w:t>
      </w:r>
      <w:r w:rsidR="00831674">
        <w:rPr>
          <w:rFonts w:hint="cs"/>
          <w:rtl/>
        </w:rPr>
        <w:t xml:space="preserve"> (בגופים הארציים המקרה נגזר מתנועת שינויי המזג של היסודות, שהיא חיים שיש בחומר מצד חומריותו, </w:t>
      </w:r>
      <w:r w:rsidR="005B5209">
        <w:rPr>
          <w:rFonts w:hint="cs"/>
          <w:rtl/>
        </w:rPr>
        <w:t>ואילו בגופים השמיימיים שהם מהחומר החמישי שאינו מורכב ואין בו שינויי מזג, המקרה מראה שיש גילוי רצון אלוהי חופשי שקובע לפי רצונו ומעל ליכולת שכל אנושי להשיג, כמו שכתב במו"נ ב' י"ט סמוך לסוף הפרק)</w:t>
      </w:r>
      <w:r w:rsidR="00FA57EA">
        <w:rPr>
          <w:rFonts w:hint="cs"/>
          <w:rtl/>
        </w:rPr>
        <w:t>.</w:t>
      </w:r>
    </w:p>
    <w:p w14:paraId="232EBB99" w14:textId="3D94E08C" w:rsidR="00122324" w:rsidRDefault="00122324">
      <w:pPr>
        <w:pStyle w:val="FootnoteText"/>
        <w:rPr>
          <w:rtl/>
        </w:rPr>
      </w:pPr>
      <w:r>
        <w:rPr>
          <w:rFonts w:hint="cs"/>
          <w:rtl/>
        </w:rPr>
        <w:t xml:space="preserve">לשונו של אבן סינא כאן מקוצרת מאוד, הכוונה היא שכשהצורה מציירת את עצמה בחומר, יש דברים, שהם החסרונות, שהם </w:t>
      </w:r>
      <w:r w:rsidR="00671DFA">
        <w:rPr>
          <w:rFonts w:hint="cs"/>
          <w:rtl/>
        </w:rPr>
        <w:t>מצטרפים לטבעו של העצם (כמקרים של העצם, מה שנלווה להתגלות הצורה בו, ול</w:t>
      </w:r>
      <w:r w:rsidR="008A5D08">
        <w:rPr>
          <w:rFonts w:hint="cs"/>
          <w:rtl/>
        </w:rPr>
        <w:t>א</w:t>
      </w:r>
      <w:r w:rsidR="00671DFA">
        <w:rPr>
          <w:rFonts w:hint="cs"/>
          <w:rtl/>
        </w:rPr>
        <w:t xml:space="preserve"> כעצם עצמו שהוא המהות</w:t>
      </w:r>
      <w:r w:rsidR="008A5D08">
        <w:rPr>
          <w:rFonts w:hint="cs"/>
          <w:rtl/>
        </w:rPr>
        <w:t xml:space="preserve">). </w:t>
      </w:r>
    </w:p>
    <w:p w14:paraId="610ED761" w14:textId="54AB36CA" w:rsidR="00E1601B" w:rsidRDefault="004D0497" w:rsidP="00320940">
      <w:pPr>
        <w:pStyle w:val="FootnoteText"/>
        <w:rPr>
          <w:rtl/>
        </w:rPr>
      </w:pPr>
      <w:r>
        <w:rPr>
          <w:rFonts w:hint="cs"/>
          <w:rtl/>
        </w:rPr>
        <w:t xml:space="preserve">ההגדרה של מקרה היא מה שאם ישתנה לא תשתנה </w:t>
      </w:r>
      <w:r w:rsidR="00455569">
        <w:rPr>
          <w:rFonts w:hint="cs"/>
          <w:rtl/>
        </w:rPr>
        <w:t xml:space="preserve">כלל </w:t>
      </w:r>
      <w:r>
        <w:rPr>
          <w:rFonts w:hint="cs"/>
          <w:rtl/>
        </w:rPr>
        <w:t xml:space="preserve">המהות של הגוף. </w:t>
      </w:r>
      <w:r w:rsidR="00455569">
        <w:rPr>
          <w:rFonts w:hint="cs"/>
          <w:rtl/>
        </w:rPr>
        <w:t xml:space="preserve">כלומר אם צבע העור משתנה זה לא משנה מאומה בעובדה שהאדם הוא 'חי מדבר'. </w:t>
      </w:r>
      <w:r w:rsidR="00A90BC9">
        <w:rPr>
          <w:rFonts w:hint="cs"/>
          <w:rtl/>
        </w:rPr>
        <w:t>וזה מבואר ממה שכתבתי שהמקרה אינו ציור האידיאה אלא חסרונות שחלו כשצויירה האידיאה בחומר. אם יש שינוי בחסרונות, האידיאה עצמה שהתגלתה בעצם לא משתנה.</w:t>
      </w:r>
      <w:r w:rsidR="00CE6112">
        <w:rPr>
          <w:rFonts w:hint="cs"/>
          <w:rtl/>
        </w:rPr>
        <w:t xml:space="preserve"> לכן אפשר שיהיו מקרים שמחוייבים</w:t>
      </w:r>
      <w:r w:rsidR="00115E8A">
        <w:rPr>
          <w:rFonts w:hint="cs"/>
          <w:rtl/>
        </w:rPr>
        <w:t xml:space="preserve"> מצד עצמו של הדבר והם קבועים והכרחיים ואינם מקרה שסיבתו חיצונית ואפשר שיחלוף</w:t>
      </w:r>
      <w:r w:rsidR="009F35F7">
        <w:rPr>
          <w:rFonts w:hint="cs"/>
          <w:rtl/>
        </w:rPr>
        <w:t xml:space="preserve">, ועדיין הם רק מקרה כי אינם </w:t>
      </w:r>
      <w:r w:rsidR="00AC739B">
        <w:rPr>
          <w:rFonts w:hint="cs"/>
          <w:rtl/>
        </w:rPr>
        <w:t>משתתפים בגילוי המהות עצמה, והמהות לא תשתנה בחסרונם. למשל מה ש</w:t>
      </w:r>
      <w:r w:rsidR="008F534B">
        <w:rPr>
          <w:rFonts w:hint="cs"/>
          <w:rtl/>
        </w:rPr>
        <w:t>בעל חיים</w:t>
      </w:r>
      <w:r w:rsidR="00AC739B">
        <w:rPr>
          <w:rFonts w:hint="cs"/>
          <w:rtl/>
        </w:rPr>
        <w:t xml:space="preserve"> ימות אם יישחט זה מקרה בו, כי זה </w:t>
      </w:r>
      <w:r w:rsidR="008F534B">
        <w:rPr>
          <w:rFonts w:hint="cs"/>
          <w:rtl/>
        </w:rPr>
        <w:t>לא</w:t>
      </w:r>
      <w:r w:rsidR="00AC739B">
        <w:rPr>
          <w:rFonts w:hint="cs"/>
          <w:rtl/>
        </w:rPr>
        <w:t xml:space="preserve"> מגלה </w:t>
      </w:r>
      <w:r w:rsidR="008F534B">
        <w:rPr>
          <w:rFonts w:hint="cs"/>
          <w:rtl/>
        </w:rPr>
        <w:t>את המהות שה</w:t>
      </w:r>
      <w:r w:rsidR="009D6D90">
        <w:rPr>
          <w:rFonts w:hint="cs"/>
          <w:rtl/>
        </w:rPr>
        <w:t>ו</w:t>
      </w:r>
      <w:r w:rsidR="008F534B">
        <w:rPr>
          <w:rFonts w:hint="cs"/>
          <w:rtl/>
        </w:rPr>
        <w:t>א 'חי</w:t>
      </w:r>
      <w:r w:rsidR="009D6D90">
        <w:rPr>
          <w:rFonts w:hint="cs"/>
          <w:rtl/>
        </w:rPr>
        <w:t>'</w:t>
      </w:r>
      <w:r w:rsidR="008F534B">
        <w:rPr>
          <w:rFonts w:hint="cs"/>
          <w:rtl/>
        </w:rPr>
        <w:t xml:space="preserve"> </w:t>
      </w:r>
      <w:r w:rsidR="00FD2CBD">
        <w:rPr>
          <w:rFonts w:hint="cs"/>
          <w:rtl/>
        </w:rPr>
        <w:t>(</w:t>
      </w:r>
      <w:r w:rsidR="009D6D90">
        <w:rPr>
          <w:rFonts w:hint="cs"/>
          <w:rtl/>
        </w:rPr>
        <w:t>ואפשר שיהיו חיים שלא נפסקים בשחיטה, כמו אצל המלאכים או הגלגלים, ויש גם תולעת שנקראת שלשול שאם חותכים אותה שנ</w:t>
      </w:r>
      <w:r w:rsidR="00FD2CBD">
        <w:rPr>
          <w:rFonts w:hint="cs"/>
          <w:rtl/>
        </w:rPr>
        <w:t>י</w:t>
      </w:r>
      <w:r w:rsidR="009D6D90">
        <w:rPr>
          <w:rFonts w:hint="cs"/>
          <w:rtl/>
        </w:rPr>
        <w:t xml:space="preserve"> החצאים ממשיכים לחיות כשתי תולעים</w:t>
      </w:r>
      <w:r w:rsidR="00FD2CBD">
        <w:rPr>
          <w:rFonts w:hint="cs"/>
          <w:rtl/>
        </w:rPr>
        <w:t>)</w:t>
      </w:r>
      <w:r w:rsidR="009D6D90">
        <w:rPr>
          <w:rFonts w:hint="cs"/>
          <w:rtl/>
        </w:rPr>
        <w:t xml:space="preserve">. </w:t>
      </w:r>
      <w:r w:rsidR="008F534B">
        <w:rPr>
          <w:rFonts w:hint="cs"/>
          <w:rtl/>
        </w:rPr>
        <w:t>ועדיין</w:t>
      </w:r>
      <w:r w:rsidR="00FD2CBD">
        <w:rPr>
          <w:rFonts w:hint="cs"/>
          <w:rtl/>
        </w:rPr>
        <w:t xml:space="preserve"> מה ששחיטה הורגת אותו</w:t>
      </w:r>
      <w:r w:rsidR="008F534B">
        <w:rPr>
          <w:rFonts w:hint="cs"/>
          <w:rtl/>
        </w:rPr>
        <w:t xml:space="preserve"> זה מוכרח מטבעו ולא מקרה חיצוני כמו מחלה חולפת.</w:t>
      </w:r>
      <w:r w:rsidR="00FD2CBD">
        <w:rPr>
          <w:rFonts w:hint="cs"/>
          <w:rtl/>
        </w:rPr>
        <w:t xml:space="preserve"> העניין של מקרה מוכרח הוא סוגייה עמוקה וארוכה ו</w:t>
      </w:r>
      <w:r w:rsidR="00D73157">
        <w:rPr>
          <w:rFonts w:hint="cs"/>
          <w:rtl/>
        </w:rPr>
        <w:t>לא</w:t>
      </w:r>
      <w:r w:rsidR="00FD2CBD">
        <w:rPr>
          <w:rFonts w:hint="cs"/>
          <w:rtl/>
        </w:rPr>
        <w:t xml:space="preserve"> כאן המקום להאריך בזה, עיין במילות הגיון לרמב"ם שער י"א, </w:t>
      </w:r>
      <w:r w:rsidR="00D73157">
        <w:rPr>
          <w:rFonts w:hint="cs"/>
          <w:rtl/>
        </w:rPr>
        <w:t>ובהקדמת פורפיריוס לאורגנון של אריסטו</w:t>
      </w:r>
      <w:r w:rsidR="00262478">
        <w:rPr>
          <w:rFonts w:hint="cs"/>
          <w:rtl/>
        </w:rPr>
        <w:t>, והקדמונים דיברו הרבה בעניין זה בכמה מקומות</w:t>
      </w:r>
      <w:r w:rsidR="00D73157">
        <w:rPr>
          <w:rFonts w:hint="cs"/>
          <w:rtl/>
        </w:rPr>
        <w:t xml:space="preserve">. </w:t>
      </w:r>
    </w:p>
    <w:p w14:paraId="19B6FAC6" w14:textId="153341A6" w:rsidR="00C92BD3" w:rsidRDefault="00C92BD3" w:rsidP="00320940">
      <w:pPr>
        <w:pStyle w:val="FootnoteText"/>
      </w:pPr>
      <w:r>
        <w:rPr>
          <w:rFonts w:hint="cs"/>
          <w:rtl/>
        </w:rPr>
        <w:t>עיין עוד לקמן 1.6.</w:t>
      </w:r>
      <w:r w:rsidR="002A2C59">
        <w:rPr>
          <w:rFonts w:hint="cs"/>
          <w:rtl/>
        </w:rPr>
        <w:t>4 על אופן נוסף של מקרים שנובעים מהצורה, והיינו בבני אדם</w:t>
      </w:r>
      <w:r w:rsidR="00382A3B">
        <w:rPr>
          <w:rFonts w:hint="cs"/>
          <w:rtl/>
        </w:rPr>
        <w:t xml:space="preserve"> מקרים</w:t>
      </w:r>
      <w:r w:rsidR="002A2C59">
        <w:rPr>
          <w:rFonts w:hint="cs"/>
          <w:rtl/>
        </w:rPr>
        <w:t xml:space="preserve"> </w:t>
      </w:r>
      <w:r w:rsidR="006F3A57">
        <w:rPr>
          <w:rFonts w:hint="cs"/>
          <w:rtl/>
        </w:rPr>
        <w:t xml:space="preserve">כגון </w:t>
      </w:r>
      <w:r w:rsidR="002A2C59">
        <w:rPr>
          <w:rFonts w:hint="cs"/>
          <w:rtl/>
        </w:rPr>
        <w:t xml:space="preserve">חריפות שכל או שמחה או </w:t>
      </w:r>
      <w:r w:rsidR="003155DF">
        <w:rPr>
          <w:rFonts w:hint="cs"/>
          <w:rtl/>
        </w:rPr>
        <w:t xml:space="preserve">צחוק. </w:t>
      </w:r>
      <w:bookmarkStart w:id="240" w:name="_Hlk104717259"/>
      <w:r w:rsidR="003155DF">
        <w:rPr>
          <w:rFonts w:hint="cs"/>
          <w:rtl/>
        </w:rPr>
        <w:t xml:space="preserve">הצורה השלמה היא כח הדיבור, התבונה, </w:t>
      </w:r>
      <w:r w:rsidR="00727744">
        <w:rPr>
          <w:rFonts w:hint="cs"/>
          <w:rtl/>
        </w:rPr>
        <w:t>והתבונה הכללית היא גילוי של הצורה ו</w:t>
      </w:r>
      <w:r w:rsidR="00613208">
        <w:rPr>
          <w:rFonts w:hint="cs"/>
          <w:rtl/>
        </w:rPr>
        <w:t xml:space="preserve">זה </w:t>
      </w:r>
      <w:r w:rsidR="00727744">
        <w:rPr>
          <w:rFonts w:hint="cs"/>
          <w:rtl/>
        </w:rPr>
        <w:t>אינו מקרה</w:t>
      </w:r>
      <w:r w:rsidR="00613208">
        <w:rPr>
          <w:rFonts w:hint="cs"/>
          <w:rtl/>
        </w:rPr>
        <w:t xml:space="preserve"> אלא עצם</w:t>
      </w:r>
      <w:r w:rsidR="00727744">
        <w:rPr>
          <w:rFonts w:hint="cs"/>
          <w:rtl/>
        </w:rPr>
        <w:t xml:space="preserve"> (מדובר על יכולת לחשוב או לצחוק או לשמוח או להיות בעל תכונה קבועה של חריפות שכל, </w:t>
      </w:r>
      <w:r w:rsidR="00420B3E">
        <w:rPr>
          <w:rFonts w:hint="cs"/>
          <w:rtl/>
        </w:rPr>
        <w:t>גם אם יש זמנים בהם היכולות האלה נמצאות בפועל ויש זמנים שאינן, וכגון כשהאדם ישן</w:t>
      </w:r>
      <w:r w:rsidR="00613208">
        <w:rPr>
          <w:rFonts w:hint="cs"/>
          <w:rtl/>
        </w:rPr>
        <w:t>)</w:t>
      </w:r>
      <w:r w:rsidR="00727744">
        <w:rPr>
          <w:rFonts w:hint="cs"/>
          <w:rtl/>
        </w:rPr>
        <w:t xml:space="preserve">. </w:t>
      </w:r>
      <w:r w:rsidR="0056497F">
        <w:rPr>
          <w:rFonts w:hint="cs"/>
          <w:rtl/>
        </w:rPr>
        <w:t xml:space="preserve">צחוק למשל מחייב שתהיה תבונה, והוא </w:t>
      </w:r>
      <w:r w:rsidR="00382A3B">
        <w:rPr>
          <w:rFonts w:hint="cs"/>
          <w:rtl/>
        </w:rPr>
        <w:t xml:space="preserve">חלק </w:t>
      </w:r>
      <w:r w:rsidR="009C463A">
        <w:rPr>
          <w:rFonts w:hint="cs"/>
          <w:rtl/>
        </w:rPr>
        <w:t>מסוים</w:t>
      </w:r>
      <w:r w:rsidR="00382A3B">
        <w:rPr>
          <w:rFonts w:hint="cs"/>
          <w:rtl/>
        </w:rPr>
        <w:t xml:space="preserve"> מהג</w:t>
      </w:r>
      <w:r w:rsidR="00670BC3">
        <w:rPr>
          <w:rFonts w:hint="cs"/>
          <w:rtl/>
        </w:rPr>
        <w:t>י</w:t>
      </w:r>
      <w:r w:rsidR="00382A3B">
        <w:rPr>
          <w:rFonts w:hint="cs"/>
          <w:rtl/>
        </w:rPr>
        <w:t>לוי של התבונה, וכל מי שיש בו תבונה בהכרח יש בו יכולת לצחוק</w:t>
      </w:r>
      <w:r w:rsidR="00670BC3">
        <w:rPr>
          <w:rFonts w:hint="cs"/>
          <w:rtl/>
        </w:rPr>
        <w:t xml:space="preserve"> כי זה חלק שאינו ניתן להפרדה מהתבונה שיש בו</w:t>
      </w:r>
      <w:r w:rsidR="00382A3B">
        <w:rPr>
          <w:rFonts w:hint="cs"/>
          <w:rtl/>
        </w:rPr>
        <w:t xml:space="preserve">. </w:t>
      </w:r>
      <w:r w:rsidR="00670BC3">
        <w:rPr>
          <w:rFonts w:hint="cs"/>
          <w:rtl/>
        </w:rPr>
        <w:t xml:space="preserve">אבל התבונה הכללית היא מה שעושה את האדם למה שהוא, היא הגדרתו, הוא </w:t>
      </w:r>
      <w:r w:rsidR="009A43EA">
        <w:rPr>
          <w:rFonts w:hint="cs"/>
          <w:rtl/>
        </w:rPr>
        <w:t>'</w:t>
      </w:r>
      <w:r w:rsidR="00670BC3">
        <w:rPr>
          <w:rFonts w:hint="cs"/>
          <w:rtl/>
        </w:rPr>
        <w:t>חי נבון</w:t>
      </w:r>
      <w:r w:rsidR="009A43EA">
        <w:rPr>
          <w:rFonts w:hint="cs"/>
          <w:rtl/>
        </w:rPr>
        <w:t>'</w:t>
      </w:r>
      <w:r w:rsidR="00670BC3">
        <w:rPr>
          <w:rFonts w:hint="cs"/>
          <w:rtl/>
        </w:rPr>
        <w:t xml:space="preserve">. </w:t>
      </w:r>
      <w:r w:rsidR="009A43EA">
        <w:rPr>
          <w:rFonts w:hint="cs"/>
          <w:rtl/>
        </w:rPr>
        <w:t>לעומת זאת אי אפשר</w:t>
      </w:r>
      <w:r w:rsidR="00250B3B">
        <w:rPr>
          <w:rFonts w:hint="cs"/>
          <w:rtl/>
        </w:rPr>
        <w:t xml:space="preserve"> </w:t>
      </w:r>
      <w:r w:rsidR="009A43EA">
        <w:rPr>
          <w:rFonts w:hint="cs"/>
          <w:rtl/>
        </w:rPr>
        <w:t>להגדיר את האדם כ'חי צוחק', הצחוק הוא</w:t>
      </w:r>
      <w:r w:rsidR="00250B3B">
        <w:rPr>
          <w:rFonts w:hint="cs"/>
          <w:rtl/>
        </w:rPr>
        <w:t xml:space="preserve"> </w:t>
      </w:r>
      <w:r w:rsidR="009A43EA">
        <w:rPr>
          <w:rFonts w:hint="cs"/>
          <w:rtl/>
        </w:rPr>
        <w:t>לא מה שעושה אותו למה שהוא</w:t>
      </w:r>
      <w:r w:rsidR="00250B3B">
        <w:rPr>
          <w:rFonts w:hint="cs"/>
          <w:rtl/>
        </w:rPr>
        <w:t>, לכ</w:t>
      </w:r>
      <w:r w:rsidR="004F3CBB">
        <w:rPr>
          <w:rFonts w:hint="cs"/>
          <w:rtl/>
        </w:rPr>
        <w:t>ן</w:t>
      </w:r>
      <w:r w:rsidR="00250B3B">
        <w:rPr>
          <w:rFonts w:hint="cs"/>
          <w:rtl/>
        </w:rPr>
        <w:t xml:space="preserve"> הצחוק אע"פ שהוא מוכרח לאדם, ונובע מצורת האדם, נחשב רק מקרה</w:t>
      </w:r>
      <w:r w:rsidR="004F3CBB">
        <w:rPr>
          <w:rFonts w:hint="cs"/>
          <w:rtl/>
        </w:rPr>
        <w:t>.</w:t>
      </w:r>
      <w:bookmarkEnd w:id="240"/>
      <w:r w:rsidR="004F3CBB">
        <w:rPr>
          <w:rFonts w:hint="cs"/>
          <w:rtl/>
        </w:rPr>
        <w:t xml:space="preserve"> </w:t>
      </w:r>
      <w:r w:rsidR="00D4091E">
        <w:rPr>
          <w:rFonts w:hint="cs"/>
          <w:rtl/>
        </w:rPr>
        <w:t>ועיין עוד בזה לקמן 1.6.4.</w:t>
      </w:r>
      <w:r w:rsidR="00250B3B">
        <w:rPr>
          <w:rFonts w:hint="cs"/>
          <w:rtl/>
        </w:rPr>
        <w:t xml:space="preserve"> </w:t>
      </w:r>
      <w:r w:rsidR="0056497F">
        <w:rPr>
          <w:rFonts w:hint="cs"/>
          <w:rtl/>
        </w:rPr>
        <w:t xml:space="preserve"> </w:t>
      </w:r>
    </w:p>
  </w:footnote>
  <w:footnote w:id="483">
    <w:p w14:paraId="3479717F" w14:textId="7B895140" w:rsidR="00EB71BB" w:rsidRPr="006B6EF4" w:rsidRDefault="00EB71BB">
      <w:pPr>
        <w:pStyle w:val="FootnoteText"/>
      </w:pPr>
      <w:r>
        <w:rPr>
          <w:rStyle w:val="FootnoteReference"/>
        </w:rPr>
        <w:footnoteRef/>
      </w:r>
      <w:r>
        <w:rPr>
          <w:rtl/>
        </w:rPr>
        <w:t xml:space="preserve"> </w:t>
      </w:r>
      <w:r w:rsidR="00320940">
        <w:rPr>
          <w:rFonts w:hint="cs"/>
          <w:rtl/>
        </w:rPr>
        <w:t>צורתו בלבד, צורתו כמו שהיא. מילולית</w:t>
      </w:r>
      <w:r w:rsidR="00C52D23">
        <w:rPr>
          <w:rFonts w:hint="cs"/>
          <w:rtl/>
        </w:rPr>
        <w:t>:</w:t>
      </w:r>
      <w:r w:rsidR="00320940">
        <w:rPr>
          <w:rFonts w:hint="cs"/>
          <w:rtl/>
        </w:rPr>
        <w:t xml:space="preserve"> צורתו כמו שהעין רואה אותה.</w:t>
      </w:r>
      <w:r w:rsidR="000E4FA8">
        <w:rPr>
          <w:rFonts w:hint="cs"/>
          <w:rtl/>
        </w:rPr>
        <w:t xml:space="preserve"> בערבית היא אותה מיל</w:t>
      </w:r>
      <w:r w:rsidR="000E4FA8" w:rsidRPr="00C92BD3">
        <w:rPr>
          <w:rtl/>
        </w:rPr>
        <w:t>ה</w:t>
      </w:r>
      <w:r w:rsidR="00F8526F" w:rsidRPr="00C92BD3">
        <w:rPr>
          <w:rtl/>
        </w:rPr>
        <w:t xml:space="preserve"> </w:t>
      </w:r>
      <w:r w:rsidR="00C92BD3">
        <w:rPr>
          <w:rFonts w:hint="cs"/>
          <w:rtl/>
        </w:rPr>
        <w:t>-</w:t>
      </w:r>
      <w:r w:rsidR="000E4FA8" w:rsidRPr="00C92BD3">
        <w:rPr>
          <w:rtl/>
        </w:rPr>
        <w:t xml:space="preserve"> </w:t>
      </w:r>
      <w:r w:rsidR="000E4FA8" w:rsidRPr="00C92BD3">
        <w:rPr>
          <w:rFonts w:ascii="Arial" w:hAnsi="Arial" w:cs="Arial" w:hint="cs"/>
          <w:rtl/>
          <w:lang w:bidi="ar-SA"/>
        </w:rPr>
        <w:t>بعينها</w:t>
      </w:r>
      <w:r w:rsidR="0022587F" w:rsidRPr="00C92BD3">
        <w:rPr>
          <w:rtl/>
        </w:rPr>
        <w:t>, בעינה</w:t>
      </w:r>
      <w:r w:rsidR="000E4FA8" w:rsidRPr="006B6EF4">
        <w:rPr>
          <w:rtl/>
        </w:rPr>
        <w:t>.</w:t>
      </w:r>
      <w:r w:rsidR="001D1F68" w:rsidRPr="006B6EF4">
        <w:rPr>
          <w:rtl/>
        </w:rPr>
        <w:t xml:space="preserve"> (</w:t>
      </w:r>
      <w:r w:rsidR="001D1F68" w:rsidRPr="006B6EF4">
        <w:rPr>
          <w:rtl/>
        </w:rPr>
        <w:t>תוספתא בבא קמא</w:t>
      </w:r>
      <w:r w:rsidR="00502DD6" w:rsidRPr="006B6EF4">
        <w:rPr>
          <w:rtl/>
        </w:rPr>
        <w:t xml:space="preserve"> י'</w:t>
      </w:r>
      <w:r w:rsidR="001D1F68" w:rsidRPr="006B6EF4">
        <w:rPr>
          <w:rtl/>
        </w:rPr>
        <w:t>:</w:t>
      </w:r>
      <w:r w:rsidR="00502DD6" w:rsidRPr="006B6EF4">
        <w:rPr>
          <w:rtl/>
        </w:rPr>
        <w:t xml:space="preserve"> "כל גזילה שהיא בעינה ולא שינה אותה מברייתה יאמר לו הרי שלך לפניך". ירושלמי מעשר שני </w:t>
      </w:r>
      <w:r w:rsidR="006B6EF4" w:rsidRPr="006B6EF4">
        <w:rPr>
          <w:rtl/>
        </w:rPr>
        <w:t xml:space="preserve">פרק </w:t>
      </w:r>
      <w:r w:rsidR="00502DD6" w:rsidRPr="006B6EF4">
        <w:rPr>
          <w:rtl/>
        </w:rPr>
        <w:t>א'</w:t>
      </w:r>
      <w:r w:rsidR="006B6EF4" w:rsidRPr="006B6EF4">
        <w:rPr>
          <w:rtl/>
        </w:rPr>
        <w:t>: "הגונב מעשר בהמה של חבירו אם היה קיים מחזירו לו בעינו</w:t>
      </w:r>
      <w:r w:rsidR="00CA541D">
        <w:rPr>
          <w:rFonts w:hint="cs"/>
          <w:rtl/>
        </w:rPr>
        <w:t>.</w:t>
      </w:r>
      <w:r w:rsidR="006B6EF4" w:rsidRPr="006B6EF4">
        <w:rPr>
          <w:rtl/>
        </w:rPr>
        <w:t xml:space="preserve"> אכלו </w:t>
      </w:r>
      <w:r w:rsidR="00CA541D">
        <w:rPr>
          <w:rFonts w:hint="cs"/>
          <w:rtl/>
        </w:rPr>
        <w:t xml:space="preserve">- </w:t>
      </w:r>
      <w:r w:rsidR="006B6EF4" w:rsidRPr="006B6EF4">
        <w:rPr>
          <w:rtl/>
        </w:rPr>
        <w:t xml:space="preserve">מה שאכל </w:t>
      </w:r>
      <w:r w:rsidR="00CA541D">
        <w:rPr>
          <w:rFonts w:hint="cs"/>
          <w:rtl/>
        </w:rPr>
        <w:t>אכל</w:t>
      </w:r>
      <w:r w:rsidR="006B6EF4" w:rsidRPr="006B6EF4">
        <w:rPr>
          <w:rtl/>
        </w:rPr>
        <w:t>"</w:t>
      </w:r>
      <w:r w:rsidR="001D1F68" w:rsidRPr="006B6EF4">
        <w:rPr>
          <w:rtl/>
        </w:rPr>
        <w:t xml:space="preserve"> </w:t>
      </w:r>
    </w:p>
  </w:footnote>
  <w:footnote w:id="484">
    <w:p w14:paraId="1C4E4086" w14:textId="043A88D5" w:rsidR="00CB5954" w:rsidRDefault="00CB5954">
      <w:pPr>
        <w:pStyle w:val="FootnoteText"/>
      </w:pPr>
      <w:r>
        <w:rPr>
          <w:rStyle w:val="FootnoteReference"/>
        </w:rPr>
        <w:footnoteRef/>
      </w:r>
      <w:r>
        <w:rPr>
          <w:rtl/>
        </w:rPr>
        <w:t xml:space="preserve"> </w:t>
      </w:r>
      <w:r>
        <w:rPr>
          <w:rFonts w:hint="cs"/>
          <w:rtl/>
        </w:rPr>
        <w:t>ארבעת היסודות</w:t>
      </w:r>
      <w:r w:rsidR="00A158EC">
        <w:rPr>
          <w:rFonts w:hint="cs"/>
          <w:rtl/>
        </w:rPr>
        <w:t>,</w:t>
      </w:r>
      <w:r>
        <w:rPr>
          <w:rFonts w:hint="cs"/>
          <w:rtl/>
        </w:rPr>
        <w:t xml:space="preserve"> אש רוח מים ועפר</w:t>
      </w:r>
      <w:r w:rsidR="00A158EC">
        <w:rPr>
          <w:rFonts w:hint="cs"/>
          <w:rtl/>
        </w:rPr>
        <w:t>.</w:t>
      </w:r>
    </w:p>
  </w:footnote>
  <w:footnote w:id="485">
    <w:p w14:paraId="5AF21A2E" w14:textId="578E2193" w:rsidR="00983AD0" w:rsidRDefault="00983AD0">
      <w:pPr>
        <w:pStyle w:val="FootnoteText"/>
      </w:pPr>
      <w:r>
        <w:rPr>
          <w:rStyle w:val="FootnoteReference"/>
        </w:rPr>
        <w:footnoteRef/>
      </w:r>
      <w:r>
        <w:rPr>
          <w:rtl/>
        </w:rPr>
        <w:t xml:space="preserve"> </w:t>
      </w:r>
      <w:r>
        <w:rPr>
          <w:rFonts w:hint="cs"/>
          <w:rtl/>
        </w:rPr>
        <w:t xml:space="preserve">למרות שביסודות הפשוטים כמו המים הטבע הוא </w:t>
      </w:r>
      <w:r w:rsidR="00913F2E">
        <w:rPr>
          <w:rFonts w:hint="cs"/>
          <w:rtl/>
        </w:rPr>
        <w:t xml:space="preserve">רק </w:t>
      </w:r>
      <w:r>
        <w:rPr>
          <w:rFonts w:hint="cs"/>
          <w:rtl/>
        </w:rPr>
        <w:t>הצורה</w:t>
      </w:r>
      <w:r w:rsidR="00913F2E">
        <w:rPr>
          <w:rFonts w:hint="cs"/>
          <w:rtl/>
        </w:rPr>
        <w:t xml:space="preserve"> כמו שהיא</w:t>
      </w:r>
      <w:r>
        <w:rPr>
          <w:rFonts w:hint="cs"/>
          <w:rtl/>
        </w:rPr>
        <w:t xml:space="preserve">, </w:t>
      </w:r>
      <w:r w:rsidR="00913F2E">
        <w:rPr>
          <w:rFonts w:hint="cs"/>
          <w:rtl/>
        </w:rPr>
        <w:t xml:space="preserve">מכל מקום </w:t>
      </w:r>
      <w:r>
        <w:rPr>
          <w:rFonts w:hint="cs"/>
          <w:rtl/>
        </w:rPr>
        <w:t xml:space="preserve">יש חילוק </w:t>
      </w:r>
      <w:r w:rsidR="00913F2E">
        <w:rPr>
          <w:rFonts w:hint="cs"/>
          <w:rtl/>
        </w:rPr>
        <w:t xml:space="preserve">בין טבע לצורה והם שתי בחינות שונות ולא עניין אחד. </w:t>
      </w:r>
    </w:p>
  </w:footnote>
  <w:footnote w:id="486">
    <w:p w14:paraId="11595D16" w14:textId="60DA3234" w:rsidR="008D17FB" w:rsidRPr="00FC6FC6" w:rsidRDefault="008D17FB">
      <w:pPr>
        <w:pStyle w:val="FootnoteText"/>
        <w:rPr>
          <w:rtl/>
        </w:rPr>
      </w:pPr>
      <w:r>
        <w:rPr>
          <w:rStyle w:val="FootnoteReference"/>
        </w:rPr>
        <w:footnoteRef/>
      </w:r>
      <w:r>
        <w:rPr>
          <w:rtl/>
        </w:rPr>
        <w:t xml:space="preserve"> </w:t>
      </w:r>
      <w:r w:rsidR="006820DF" w:rsidRPr="00AC4331">
        <w:rPr>
          <w:rFonts w:ascii="Arial" w:hAnsi="Arial" w:cs="Arial" w:hint="cs"/>
          <w:rtl/>
          <w:lang w:bidi="ar-SA"/>
        </w:rPr>
        <w:t>قيست</w:t>
      </w:r>
      <w:r w:rsidR="00AC4331" w:rsidRPr="00AC4331">
        <w:rPr>
          <w:rtl/>
        </w:rPr>
        <w:t xml:space="preserve"> </w:t>
      </w:r>
      <w:r w:rsidR="00AC4331" w:rsidRPr="00AC4331">
        <w:rPr>
          <w:rFonts w:ascii="Arial" w:hAnsi="Arial" w:cs="Arial" w:hint="cs"/>
          <w:rtl/>
          <w:lang w:bidi="ar-SA"/>
        </w:rPr>
        <w:t>إلى</w:t>
      </w:r>
      <w:r w:rsidR="00AC4331" w:rsidRPr="00AC4331">
        <w:rPr>
          <w:rtl/>
          <w:lang w:bidi="ar-SA"/>
        </w:rPr>
        <w:t xml:space="preserve"> </w:t>
      </w:r>
      <w:r w:rsidR="00AC4331" w:rsidRPr="00AC4331">
        <w:rPr>
          <w:rFonts w:ascii="Arial" w:hAnsi="Arial" w:cs="Arial" w:hint="cs"/>
          <w:rtl/>
          <w:lang w:bidi="ar-SA"/>
        </w:rPr>
        <w:t>الحركات</w:t>
      </w:r>
      <w:r w:rsidR="006820DF" w:rsidRPr="00FC6FC6">
        <w:rPr>
          <w:rtl/>
        </w:rPr>
        <w:t>. מילולית</w:t>
      </w:r>
      <w:r w:rsidR="00E455C4" w:rsidRPr="00FC6FC6">
        <w:rPr>
          <w:rtl/>
        </w:rPr>
        <w:t xml:space="preserve">: </w:t>
      </w:r>
      <w:r w:rsidR="006820DF" w:rsidRPr="00FC6FC6">
        <w:rPr>
          <w:rtl/>
        </w:rPr>
        <w:t>בהשוואה לת</w:t>
      </w:r>
      <w:r w:rsidR="00E455C4" w:rsidRPr="00FC6FC6">
        <w:rPr>
          <w:rtl/>
        </w:rPr>
        <w:t>נ</w:t>
      </w:r>
      <w:r w:rsidR="006820DF" w:rsidRPr="00FC6FC6">
        <w:rPr>
          <w:rtl/>
        </w:rPr>
        <w:t>ועות</w:t>
      </w:r>
      <w:r w:rsidR="00E455C4" w:rsidRPr="00FC6FC6">
        <w:rPr>
          <w:rtl/>
        </w:rPr>
        <w:t xml:space="preserve">, </w:t>
      </w:r>
      <w:r w:rsidR="006820DF" w:rsidRPr="00FC6FC6">
        <w:rPr>
          <w:rtl/>
        </w:rPr>
        <w:t>או במ</w:t>
      </w:r>
      <w:r w:rsidR="00E455C4" w:rsidRPr="00FC6FC6">
        <w:rPr>
          <w:rtl/>
        </w:rPr>
        <w:t>דידת התנועות.</w:t>
      </w:r>
    </w:p>
  </w:footnote>
  <w:footnote w:id="487">
    <w:p w14:paraId="611ABC72" w14:textId="1D4863AD" w:rsidR="00F72A29" w:rsidRDefault="002A14AE" w:rsidP="00C32A9B">
      <w:pPr>
        <w:pStyle w:val="FootnoteText"/>
      </w:pPr>
      <w:r>
        <w:rPr>
          <w:rStyle w:val="FootnoteReference"/>
        </w:rPr>
        <w:footnoteRef/>
      </w:r>
      <w:r>
        <w:rPr>
          <w:rtl/>
        </w:rPr>
        <w:t xml:space="preserve"> </w:t>
      </w:r>
      <w:r w:rsidR="00F72A29">
        <w:rPr>
          <w:rFonts w:hint="cs"/>
          <w:rtl/>
        </w:rPr>
        <w:t>חוזר על הניסוח שכתב לעיל בתחילת הפרק: "</w:t>
      </w:r>
      <w:r w:rsidR="00F72A29" w:rsidRPr="00F72A29">
        <w:rPr>
          <w:rtl/>
        </w:rPr>
        <w:t xml:space="preserve">והטבע שלו הוא </w:t>
      </w:r>
      <w:r w:rsidR="00F72A29" w:rsidRPr="00F72A29">
        <w:rPr>
          <w:rtl/>
        </w:rPr>
        <w:t xml:space="preserve">הכח שממנו </w:t>
      </w:r>
      <w:r w:rsidR="00F72A29" w:rsidRPr="0072022C">
        <w:rPr>
          <w:b/>
          <w:bCs/>
          <w:rtl/>
        </w:rPr>
        <w:t>נובעים</w:t>
      </w:r>
      <w:r w:rsidR="00F72A29" w:rsidRPr="00F72A29">
        <w:rPr>
          <w:rtl/>
        </w:rPr>
        <w:t xml:space="preserve">  בו התנועה או השינוי</w:t>
      </w:r>
      <w:r w:rsidR="00F72A29">
        <w:rPr>
          <w:rFonts w:hint="cs"/>
          <w:rtl/>
        </w:rPr>
        <w:t xml:space="preserve">", שהתנועות </w:t>
      </w:r>
      <w:r w:rsidR="0072022C">
        <w:rPr>
          <w:rFonts w:hint="cs"/>
          <w:rtl/>
        </w:rPr>
        <w:t>'</w:t>
      </w:r>
      <w:r w:rsidR="00F72A29">
        <w:rPr>
          <w:rFonts w:hint="cs"/>
          <w:rtl/>
        </w:rPr>
        <w:t>נובעות</w:t>
      </w:r>
      <w:r w:rsidR="0072022C">
        <w:rPr>
          <w:rFonts w:hint="cs"/>
          <w:rtl/>
        </w:rPr>
        <w:t>'</w:t>
      </w:r>
      <w:r w:rsidR="00F72A29">
        <w:rPr>
          <w:rFonts w:hint="cs"/>
          <w:rtl/>
        </w:rPr>
        <w:t xml:space="preserve"> מהכח, ו</w:t>
      </w:r>
      <w:r w:rsidR="0072022C">
        <w:rPr>
          <w:rFonts w:hint="cs"/>
          <w:rtl/>
        </w:rPr>
        <w:t>לא</w:t>
      </w:r>
      <w:r w:rsidR="00F72A29">
        <w:rPr>
          <w:rFonts w:hint="cs"/>
          <w:rtl/>
        </w:rPr>
        <w:t xml:space="preserve"> בפש</w:t>
      </w:r>
      <w:r w:rsidR="0072022C">
        <w:rPr>
          <w:rFonts w:hint="cs"/>
          <w:rtl/>
        </w:rPr>
        <w:t>ט</w:t>
      </w:r>
      <w:r w:rsidR="00F72A29">
        <w:rPr>
          <w:rFonts w:hint="cs"/>
          <w:rtl/>
        </w:rPr>
        <w:t xml:space="preserve">ות שהכח מניע. עיין מה שכתבתי על זה שם. </w:t>
      </w:r>
    </w:p>
  </w:footnote>
  <w:footnote w:id="488">
    <w:p w14:paraId="53589262" w14:textId="3438DBDF" w:rsidR="00854B82" w:rsidRDefault="00854B82">
      <w:pPr>
        <w:pStyle w:val="FootnoteText"/>
      </w:pPr>
      <w:r>
        <w:rPr>
          <w:rStyle w:val="FootnoteReference"/>
        </w:rPr>
        <w:footnoteRef/>
      </w:r>
      <w:r>
        <w:rPr>
          <w:rtl/>
        </w:rPr>
        <w:t xml:space="preserve"> </w:t>
      </w:r>
      <w:r w:rsidR="0064362A">
        <w:rPr>
          <w:rFonts w:hint="cs"/>
          <w:rtl/>
        </w:rPr>
        <w:t>המילה כאן היא</w:t>
      </w:r>
      <w:r w:rsidR="0064362A" w:rsidRPr="0064362A">
        <w:rPr>
          <w:rtl/>
        </w:rPr>
        <w:t xml:space="preserve"> </w:t>
      </w:r>
      <w:r w:rsidR="0064362A" w:rsidRPr="0064362A">
        <w:rPr>
          <w:rFonts w:ascii="Arial" w:hAnsi="Arial" w:cs="Arial" w:hint="cs"/>
          <w:rtl/>
          <w:lang w:bidi="ar-SA"/>
        </w:rPr>
        <w:t>نوع</w:t>
      </w:r>
      <w:r w:rsidR="0064362A" w:rsidRPr="0064362A">
        <w:rPr>
          <w:rtl/>
        </w:rPr>
        <w:t xml:space="preserve"> והיא נאמרת גם על מין וגם על סוג</w:t>
      </w:r>
      <w:r w:rsidR="00F81231">
        <w:rPr>
          <w:rFonts w:hint="cs"/>
          <w:rtl/>
        </w:rPr>
        <w:t>.</w:t>
      </w:r>
    </w:p>
  </w:footnote>
  <w:footnote w:id="489">
    <w:p w14:paraId="080D2CE8" w14:textId="0E9F605F" w:rsidR="0071686F" w:rsidRDefault="0071686F">
      <w:pPr>
        <w:pStyle w:val="FootnoteText"/>
      </w:pPr>
      <w:r>
        <w:rPr>
          <w:rStyle w:val="FootnoteReference"/>
        </w:rPr>
        <w:footnoteRef/>
      </w:r>
      <w:r>
        <w:rPr>
          <w:rtl/>
        </w:rPr>
        <w:t xml:space="preserve"> </w:t>
      </w:r>
      <w:r w:rsidR="006E7C4E" w:rsidRPr="006E7C4E">
        <w:rPr>
          <w:rFonts w:cs="Times New Roman" w:hint="eastAsia"/>
          <w:rtl/>
          <w:lang w:bidi="ar-SA"/>
        </w:rPr>
        <w:t>الآثار</w:t>
      </w:r>
      <w:r w:rsidR="006E7C4E">
        <w:rPr>
          <w:rFonts w:cs="Times New Roman" w:hint="cs"/>
          <w:rtl/>
        </w:rPr>
        <w:t xml:space="preserve">. </w:t>
      </w:r>
      <w:r w:rsidR="00AF1374">
        <w:rPr>
          <w:rFonts w:hint="cs"/>
          <w:rtl/>
        </w:rPr>
        <w:t xml:space="preserve">כמו </w:t>
      </w:r>
      <w:r>
        <w:rPr>
          <w:rFonts w:hint="cs"/>
          <w:rtl/>
        </w:rPr>
        <w:t>באנגלית</w:t>
      </w:r>
      <w:r w:rsidR="00AE263E">
        <w:t>i</w:t>
      </w:r>
      <w:r w:rsidRPr="0071686F">
        <w:t>mpact</w:t>
      </w:r>
      <w:r w:rsidR="00AE263E">
        <w:t xml:space="preserve"> </w:t>
      </w:r>
      <w:r w:rsidR="00AE263E">
        <w:rPr>
          <w:rFonts w:hint="cs"/>
          <w:rtl/>
        </w:rPr>
        <w:t xml:space="preserve"> או </w:t>
      </w:r>
      <w:r w:rsidRPr="0071686F">
        <w:t>effect</w:t>
      </w:r>
      <w:r w:rsidR="00AE263E">
        <w:rPr>
          <w:rFonts w:hint="cs"/>
          <w:rtl/>
        </w:rPr>
        <w:t xml:space="preserve">.  </w:t>
      </w:r>
    </w:p>
  </w:footnote>
  <w:footnote w:id="490">
    <w:p w14:paraId="1C8406E9" w14:textId="1AE0BC9C" w:rsidR="00962EAD" w:rsidRDefault="00962EAD">
      <w:pPr>
        <w:pStyle w:val="FootnoteText"/>
        <w:rPr>
          <w:rtl/>
        </w:rPr>
      </w:pPr>
      <w:r>
        <w:rPr>
          <w:rStyle w:val="FootnoteReference"/>
        </w:rPr>
        <w:footnoteRef/>
      </w:r>
      <w:r>
        <w:rPr>
          <w:rtl/>
        </w:rPr>
        <w:t xml:space="preserve"> </w:t>
      </w:r>
      <w:r w:rsidR="00FF35EB">
        <w:rPr>
          <w:rFonts w:hint="cs"/>
          <w:rtl/>
        </w:rPr>
        <w:t xml:space="preserve">לדוגמה אדם צורתו היא 'חי מדבר', ויש בו טבע שאם שומטים אותו הוא נופל לקרקע כמו אבן. </w:t>
      </w:r>
      <w:r w:rsidR="005750F7">
        <w:rPr>
          <w:rFonts w:hint="cs"/>
          <w:rtl/>
        </w:rPr>
        <w:t xml:space="preserve">והרי כאן חילוק בין צורה לטבע, כי </w:t>
      </w:r>
      <w:r w:rsidR="00807427">
        <w:rPr>
          <w:rFonts w:hint="cs"/>
          <w:rtl/>
        </w:rPr>
        <w:t xml:space="preserve">מה שטבעו ליפול </w:t>
      </w:r>
      <w:r w:rsidR="00CC7DB1">
        <w:rPr>
          <w:rFonts w:hint="cs"/>
          <w:rtl/>
        </w:rPr>
        <w:t xml:space="preserve">אינו </w:t>
      </w:r>
      <w:r w:rsidR="00807427">
        <w:rPr>
          <w:rFonts w:hint="cs"/>
          <w:rtl/>
        </w:rPr>
        <w:t xml:space="preserve">שייך </w:t>
      </w:r>
      <w:r w:rsidR="00CC7DB1">
        <w:rPr>
          <w:rFonts w:hint="cs"/>
          <w:rtl/>
        </w:rPr>
        <w:t xml:space="preserve">כלל </w:t>
      </w:r>
      <w:r w:rsidR="00807427">
        <w:rPr>
          <w:rFonts w:hint="cs"/>
          <w:rtl/>
        </w:rPr>
        <w:t>לצורתו שהיא 'חי מדבר'</w:t>
      </w:r>
      <w:r w:rsidR="005750F7">
        <w:rPr>
          <w:rFonts w:hint="cs"/>
          <w:rtl/>
        </w:rPr>
        <w:t xml:space="preserve">. </w:t>
      </w:r>
      <w:r w:rsidR="00CC7DB1">
        <w:rPr>
          <w:rFonts w:hint="cs"/>
          <w:rtl/>
        </w:rPr>
        <w:t>זה</w:t>
      </w:r>
      <w:r w:rsidR="008D13E8">
        <w:rPr>
          <w:rFonts w:hint="cs"/>
          <w:rtl/>
        </w:rPr>
        <w:t xml:space="preserve"> </w:t>
      </w:r>
      <w:r w:rsidR="00CC7DB1">
        <w:rPr>
          <w:rFonts w:hint="cs"/>
          <w:rtl/>
        </w:rPr>
        <w:t xml:space="preserve">משום שאדם הוא מורכב, ומלבד שהוא </w:t>
      </w:r>
      <w:r w:rsidR="008D13E8">
        <w:rPr>
          <w:rFonts w:hint="cs"/>
          <w:rtl/>
        </w:rPr>
        <w:t>'</w:t>
      </w:r>
      <w:r w:rsidR="00CC7DB1">
        <w:rPr>
          <w:rFonts w:hint="cs"/>
          <w:rtl/>
        </w:rPr>
        <w:t>חי מדבר</w:t>
      </w:r>
      <w:r w:rsidR="008D13E8">
        <w:rPr>
          <w:rFonts w:hint="cs"/>
          <w:rtl/>
        </w:rPr>
        <w:t>'</w:t>
      </w:r>
      <w:r w:rsidR="00CC7DB1">
        <w:rPr>
          <w:rFonts w:hint="cs"/>
          <w:rtl/>
        </w:rPr>
        <w:t xml:space="preserve"> הוא גם </w:t>
      </w:r>
      <w:r w:rsidR="008D13E8">
        <w:rPr>
          <w:rFonts w:hint="cs"/>
          <w:rtl/>
        </w:rPr>
        <w:t>'</w:t>
      </w:r>
      <w:r w:rsidR="00CC7DB1">
        <w:rPr>
          <w:rFonts w:hint="cs"/>
          <w:rtl/>
        </w:rPr>
        <w:t>חי</w:t>
      </w:r>
      <w:r w:rsidR="008D13E8">
        <w:rPr>
          <w:rFonts w:hint="cs"/>
          <w:rtl/>
        </w:rPr>
        <w:t>'</w:t>
      </w:r>
      <w:r w:rsidR="00CC7DB1">
        <w:rPr>
          <w:rFonts w:hint="cs"/>
          <w:rtl/>
        </w:rPr>
        <w:t xml:space="preserve"> וגם </w:t>
      </w:r>
      <w:r w:rsidR="008D13E8">
        <w:rPr>
          <w:rFonts w:hint="cs"/>
          <w:rtl/>
        </w:rPr>
        <w:t>'</w:t>
      </w:r>
      <w:r w:rsidR="00CC7DB1">
        <w:rPr>
          <w:rFonts w:hint="cs"/>
          <w:rtl/>
        </w:rPr>
        <w:t>צומח</w:t>
      </w:r>
      <w:r w:rsidR="008D13E8">
        <w:rPr>
          <w:rFonts w:hint="cs"/>
          <w:rtl/>
        </w:rPr>
        <w:t>'</w:t>
      </w:r>
      <w:r w:rsidR="00CC7DB1">
        <w:rPr>
          <w:rFonts w:hint="cs"/>
          <w:rtl/>
        </w:rPr>
        <w:t xml:space="preserve"> וגם </w:t>
      </w:r>
      <w:r w:rsidR="008D13E8">
        <w:rPr>
          <w:rFonts w:hint="cs"/>
          <w:rtl/>
        </w:rPr>
        <w:t>'</w:t>
      </w:r>
      <w:r w:rsidR="00CC7DB1">
        <w:rPr>
          <w:rFonts w:hint="cs"/>
          <w:rtl/>
        </w:rPr>
        <w:t>דומם</w:t>
      </w:r>
      <w:r w:rsidR="008D13E8">
        <w:rPr>
          <w:rFonts w:hint="cs"/>
          <w:rtl/>
        </w:rPr>
        <w:t xml:space="preserve">'. טבעו הראשוני הוא הטבע שלו כדומם, </w:t>
      </w:r>
      <w:r w:rsidR="00954D33">
        <w:rPr>
          <w:rFonts w:hint="cs"/>
          <w:rtl/>
        </w:rPr>
        <w:t xml:space="preserve">כמו שהתבאר לעיל בפרק ה' בוויכוח עם </w:t>
      </w:r>
      <w:r w:rsidR="00954D33">
        <w:rPr>
          <w:rFonts w:hint="cs"/>
          <w:rtl/>
        </w:rPr>
        <w:t>פילופונוס, ולכן אנו אומרים</w:t>
      </w:r>
      <w:r w:rsidR="00CC7DB1">
        <w:rPr>
          <w:rFonts w:hint="cs"/>
          <w:rtl/>
        </w:rPr>
        <w:t xml:space="preserve"> </w:t>
      </w:r>
      <w:r w:rsidR="00954D33">
        <w:rPr>
          <w:rFonts w:hint="cs"/>
          <w:rtl/>
        </w:rPr>
        <w:t>ש</w:t>
      </w:r>
      <w:r w:rsidR="00CC7DB1">
        <w:rPr>
          <w:rFonts w:hint="cs"/>
          <w:rtl/>
        </w:rPr>
        <w:t>טבעו ליפול</w:t>
      </w:r>
      <w:r w:rsidR="00954D33">
        <w:rPr>
          <w:rFonts w:hint="cs"/>
          <w:rtl/>
        </w:rPr>
        <w:t xml:space="preserve">, ואילו צורתו </w:t>
      </w:r>
      <w:r w:rsidR="00CD09E4">
        <w:rPr>
          <w:rFonts w:hint="cs"/>
          <w:rtl/>
        </w:rPr>
        <w:t>שקובעת מה הוא היא הצורה המורכבת והגבוהה ביותר שהיא 'חי מדבר'</w:t>
      </w:r>
      <w:r w:rsidR="00855819">
        <w:rPr>
          <w:rFonts w:hint="cs"/>
          <w:rtl/>
        </w:rPr>
        <w:t xml:space="preserve"> (לגבי השאלה מה הוא ראובן, אפשר להשיב חתיכת בשר, או צמח (מה שמתגלה באדם חסר הכרה) או חי, כי ראובן הוא מין של בעל חיים, או אדם כי לראובן יש כח דיבור. התשובה הראשונית העיקרית היא שהוא אדם. ואילו לגבי טבעו התשובה לשאלה מה טבעו היא מצד שהוא בשר דומם ונופל כמו אבן. לכן באדם </w:t>
      </w:r>
      <w:r w:rsidR="00A94D98">
        <w:rPr>
          <w:rFonts w:hint="cs"/>
          <w:rtl/>
        </w:rPr>
        <w:t xml:space="preserve">או כל עצם שאינו פשוט, </w:t>
      </w:r>
      <w:r w:rsidR="00CD09E4">
        <w:rPr>
          <w:rFonts w:hint="cs"/>
          <w:rtl/>
        </w:rPr>
        <w:t>אין זהות בין צורתו ובין טבעו</w:t>
      </w:r>
      <w:r w:rsidR="00A94D98">
        <w:rPr>
          <w:rFonts w:hint="cs"/>
          <w:rtl/>
        </w:rPr>
        <w:t>.</w:t>
      </w:r>
    </w:p>
    <w:p w14:paraId="0A7B1D44" w14:textId="1DAA43FA" w:rsidR="00F1731C" w:rsidRDefault="00F1731C">
      <w:pPr>
        <w:pStyle w:val="FootnoteText"/>
      </w:pPr>
      <w:r>
        <w:rPr>
          <w:rFonts w:hint="cs"/>
          <w:rtl/>
        </w:rPr>
        <w:t>מכל מקום גם ב</w:t>
      </w:r>
      <w:r w:rsidR="008E6595">
        <w:rPr>
          <w:rFonts w:hint="cs"/>
          <w:rtl/>
        </w:rPr>
        <w:t>עצמים הפשוטים, כמו המים,</w:t>
      </w:r>
      <w:r>
        <w:rPr>
          <w:rFonts w:hint="cs"/>
          <w:rtl/>
        </w:rPr>
        <w:t xml:space="preserve"> שבהם </w:t>
      </w:r>
      <w:r w:rsidR="008E6595">
        <w:rPr>
          <w:rFonts w:hint="cs"/>
          <w:rtl/>
        </w:rPr>
        <w:t xml:space="preserve">הטבע והצורה הם אחד, </w:t>
      </w:r>
      <w:r w:rsidR="00223286">
        <w:rPr>
          <w:rFonts w:hint="cs"/>
          <w:rtl/>
        </w:rPr>
        <w:t xml:space="preserve">כלומר </w:t>
      </w:r>
      <w:bookmarkStart w:id="242" w:name="_Hlk103797950"/>
      <w:r w:rsidR="00223286">
        <w:rPr>
          <w:rFonts w:hint="cs"/>
          <w:rtl/>
        </w:rPr>
        <w:t>ה</w:t>
      </w:r>
      <w:r w:rsidR="00D6247D" w:rsidRPr="00D6247D">
        <w:rPr>
          <w:rtl/>
        </w:rPr>
        <w:t>מֵימִיּוּת</w:t>
      </w:r>
      <w:bookmarkEnd w:id="242"/>
      <w:r w:rsidR="00223286">
        <w:rPr>
          <w:rFonts w:hint="cs"/>
          <w:rtl/>
        </w:rPr>
        <w:t xml:space="preserve"> של המים, </w:t>
      </w:r>
      <w:r w:rsidR="008E6595">
        <w:rPr>
          <w:rFonts w:hint="cs"/>
          <w:rtl/>
        </w:rPr>
        <w:t xml:space="preserve">הטבע הוא בחינה נפרדת מהצורה, כי הצורה היא המהות </w:t>
      </w:r>
      <w:r w:rsidR="001944BE">
        <w:rPr>
          <w:rFonts w:hint="cs"/>
          <w:rtl/>
        </w:rPr>
        <w:t>ה</w:t>
      </w:r>
      <w:r w:rsidR="001944BE" w:rsidRPr="001944BE">
        <w:rPr>
          <w:rtl/>
        </w:rPr>
        <w:t>מֵימִית</w:t>
      </w:r>
      <w:r w:rsidR="001944BE">
        <w:rPr>
          <w:rFonts w:hint="cs"/>
          <w:rtl/>
        </w:rPr>
        <w:t xml:space="preserve"> </w:t>
      </w:r>
      <w:r w:rsidR="008E6595">
        <w:rPr>
          <w:rFonts w:hint="cs"/>
          <w:rtl/>
        </w:rPr>
        <w:t>ש</w:t>
      </w:r>
      <w:r w:rsidR="002E607D">
        <w:rPr>
          <w:rFonts w:hint="cs"/>
          <w:rtl/>
        </w:rPr>
        <w:t>מחמתה המים הם מים, והטבע הוא ההשפעות והתנועות הנובעות מ</w:t>
      </w:r>
      <w:r w:rsidR="0037627D" w:rsidRPr="0037627D">
        <w:rPr>
          <w:rtl/>
        </w:rPr>
        <w:t>המֵימִיּוּת</w:t>
      </w:r>
      <w:r w:rsidR="0037627D">
        <w:rPr>
          <w:rFonts w:hint="cs"/>
          <w:rtl/>
        </w:rPr>
        <w:t xml:space="preserve"> של</w:t>
      </w:r>
      <w:r w:rsidR="00432C9F">
        <w:rPr>
          <w:rFonts w:hint="cs"/>
          <w:rtl/>
        </w:rPr>
        <w:t xml:space="preserve"> </w:t>
      </w:r>
      <w:r w:rsidR="002E607D">
        <w:rPr>
          <w:rFonts w:hint="cs"/>
          <w:rtl/>
        </w:rPr>
        <w:t>המים.</w:t>
      </w:r>
      <w:r w:rsidR="00432C9F">
        <w:rPr>
          <w:rFonts w:hint="cs"/>
          <w:rtl/>
        </w:rPr>
        <w:t xml:space="preserve"> </w:t>
      </w:r>
      <w:r w:rsidR="002E607D">
        <w:rPr>
          <w:rFonts w:hint="cs"/>
          <w:rtl/>
        </w:rPr>
        <w:t xml:space="preserve">למשל מה שמים ממיסים </w:t>
      </w:r>
      <w:r w:rsidR="00264B24">
        <w:rPr>
          <w:rFonts w:hint="cs"/>
          <w:rtl/>
        </w:rPr>
        <w:t xml:space="preserve">את המלח </w:t>
      </w:r>
      <w:r w:rsidR="0002151C">
        <w:rPr>
          <w:rFonts w:hint="cs"/>
          <w:rtl/>
        </w:rPr>
        <w:t xml:space="preserve">או מדבקים את הקמח להיות בצק, </w:t>
      </w:r>
      <w:r w:rsidR="00264B24">
        <w:rPr>
          <w:rFonts w:hint="cs"/>
          <w:rtl/>
        </w:rPr>
        <w:t>הוא מטבעם אבל אינו צורתם</w:t>
      </w:r>
      <w:r w:rsidR="00432C9F">
        <w:rPr>
          <w:rFonts w:hint="cs"/>
          <w:rtl/>
        </w:rPr>
        <w:t xml:space="preserve">. </w:t>
      </w:r>
      <w:r w:rsidR="008E6595">
        <w:rPr>
          <w:rFonts w:hint="cs"/>
          <w:rtl/>
        </w:rPr>
        <w:t xml:space="preserve">  </w:t>
      </w:r>
    </w:p>
  </w:footnote>
  <w:footnote w:id="491">
    <w:p w14:paraId="51748021" w14:textId="7EF8C61F" w:rsidR="00AA50C2" w:rsidRDefault="00143756">
      <w:pPr>
        <w:pStyle w:val="FootnoteText"/>
        <w:rPr>
          <w:rtl/>
        </w:rPr>
      </w:pPr>
      <w:r>
        <w:rPr>
          <w:rStyle w:val="FootnoteReference"/>
        </w:rPr>
        <w:footnoteRef/>
      </w:r>
      <w:r>
        <w:rPr>
          <w:rtl/>
        </w:rPr>
        <w:t xml:space="preserve"> </w:t>
      </w:r>
      <w:r>
        <w:rPr>
          <w:rFonts w:hint="cs"/>
          <w:rtl/>
        </w:rPr>
        <w:t xml:space="preserve">עיין </w:t>
      </w:r>
      <w:r>
        <w:rPr>
          <w:rFonts w:hint="cs"/>
          <w:rtl/>
        </w:rPr>
        <w:t>מטאפיזיקה דלתא</w:t>
      </w:r>
      <w:r w:rsidR="003A3C10">
        <w:rPr>
          <w:rtl/>
        </w:rPr>
        <w:fldChar w:fldCharType="begin"/>
      </w:r>
      <w:r w:rsidR="003A3C10">
        <w:instrText xml:space="preserve"> XE "</w:instrText>
      </w:r>
      <w:r w:rsidR="003A3C10" w:rsidRPr="001921FF">
        <w:rPr>
          <w:rFonts w:hint="cs"/>
          <w:rtl/>
        </w:rPr>
        <w:instrText>סוג ומין - הסוג כמו חומר למין</w:instrText>
      </w:r>
      <w:r w:rsidR="003A3C10">
        <w:instrText xml:space="preserve">" </w:instrText>
      </w:r>
      <w:r w:rsidR="003A3C10">
        <w:rPr>
          <w:rtl/>
        </w:rPr>
        <w:fldChar w:fldCharType="end"/>
      </w:r>
      <w:r>
        <w:rPr>
          <w:rFonts w:hint="cs"/>
          <w:rtl/>
        </w:rPr>
        <w:t xml:space="preserve"> פרק כ"ח, מטאפיזיקה יוטא פרק ח' וגם שם בפרק ג', שסוג יכול להיחשב כמו חומר ביחס למינים ששייכים אליו. למשל המינים 'אדם' או 'סוס' הם מינים של הסוג 'חי'. הסוג 'חי' הוא החיים הכלליים שבעולם, שהם יישות מופשטת,</w:t>
      </w:r>
      <w:r w:rsidR="00704424">
        <w:rPr>
          <w:rFonts w:hint="cs"/>
          <w:rtl/>
        </w:rPr>
        <w:t xml:space="preserve"> חסרת הגדרה</w:t>
      </w:r>
      <w:r>
        <w:rPr>
          <w:rFonts w:hint="cs"/>
          <w:rtl/>
        </w:rPr>
        <w:t xml:space="preserve"> ו</w:t>
      </w:r>
      <w:r w:rsidR="00704424">
        <w:rPr>
          <w:rFonts w:hint="cs"/>
          <w:rtl/>
        </w:rPr>
        <w:t xml:space="preserve">לכן </w:t>
      </w:r>
      <w:r>
        <w:rPr>
          <w:rFonts w:hint="cs"/>
          <w:rtl/>
        </w:rPr>
        <w:t>אין לנו גישה אליהם</w:t>
      </w:r>
      <w:r w:rsidR="00704424">
        <w:rPr>
          <w:rFonts w:hint="cs"/>
          <w:rtl/>
        </w:rPr>
        <w:t xml:space="preserve"> כי אנו תופשים רק דברים מוגדרים</w:t>
      </w:r>
      <w:r>
        <w:rPr>
          <w:rFonts w:hint="cs"/>
          <w:rtl/>
        </w:rPr>
        <w:t xml:space="preserve">. מה שהסוג 'חי' הוא מופשט ואינו מבחין בין אדם לסוס, פירושו שחסרה בו צורה, </w:t>
      </w:r>
      <w:r w:rsidR="00704424">
        <w:rPr>
          <w:rFonts w:hint="cs"/>
          <w:rtl/>
        </w:rPr>
        <w:t xml:space="preserve">הגדרה, </w:t>
      </w:r>
      <w:r>
        <w:rPr>
          <w:rFonts w:hint="cs"/>
          <w:rtl/>
        </w:rPr>
        <w:t>ולכן איננו תופשים אותו. הוא עניין כללי ומופשט יותר מצורה במובן הטבעי המוגדר</w:t>
      </w:r>
      <w:r w:rsidR="00704424">
        <w:rPr>
          <w:rFonts w:hint="cs"/>
          <w:rtl/>
        </w:rPr>
        <w:t>, שחל בחומר</w:t>
      </w:r>
      <w:r>
        <w:rPr>
          <w:rFonts w:hint="cs"/>
          <w:rtl/>
        </w:rPr>
        <w:t xml:space="preserve">. האדם </w:t>
      </w:r>
      <w:r w:rsidR="00704424">
        <w:rPr>
          <w:rFonts w:hint="cs"/>
          <w:rtl/>
        </w:rPr>
        <w:t>או</w:t>
      </w:r>
      <w:r>
        <w:rPr>
          <w:rFonts w:hint="cs"/>
          <w:rtl/>
        </w:rPr>
        <w:t xml:space="preserve"> הסוס הם צורות</w:t>
      </w:r>
      <w:r w:rsidR="00704424">
        <w:rPr>
          <w:rFonts w:hint="cs"/>
          <w:rtl/>
        </w:rPr>
        <w:t xml:space="preserve"> מוגדרות</w:t>
      </w:r>
      <w:r>
        <w:rPr>
          <w:rFonts w:hint="cs"/>
          <w:rtl/>
        </w:rPr>
        <w:t xml:space="preserve"> שחלות בחיים הכלליים</w:t>
      </w:r>
      <w:r w:rsidR="00704424">
        <w:rPr>
          <w:rFonts w:hint="cs"/>
          <w:rtl/>
        </w:rPr>
        <w:t xml:space="preserve"> ויכולות להתממש בחומר (שמקבל רק צורות מוגדרות)</w:t>
      </w:r>
      <w:r>
        <w:rPr>
          <w:rFonts w:hint="cs"/>
          <w:rtl/>
        </w:rPr>
        <w:t xml:space="preserve">, </w:t>
      </w:r>
      <w:r w:rsidR="00704424">
        <w:rPr>
          <w:rFonts w:hint="cs"/>
          <w:rtl/>
        </w:rPr>
        <w:t>הן חלות על ה</w:t>
      </w:r>
      <w:r>
        <w:rPr>
          <w:rFonts w:hint="cs"/>
          <w:rtl/>
        </w:rPr>
        <w:t>סוג 'חי' והופכות אותו למוגדר וניתן לתפישה</w:t>
      </w:r>
      <w:r w:rsidR="00704424">
        <w:rPr>
          <w:rFonts w:hint="cs"/>
          <w:rtl/>
        </w:rPr>
        <w:t xml:space="preserve">, וביחד עם זה מפוצל לחיים שונים, חיי אדם אינם כמו חיי סוס. </w:t>
      </w:r>
      <w:r>
        <w:rPr>
          <w:rFonts w:hint="cs"/>
          <w:rtl/>
        </w:rPr>
        <w:t xml:space="preserve">מבחינה זו הצורות של המין הן כמו צורה </w:t>
      </w:r>
      <w:r w:rsidR="00111882">
        <w:rPr>
          <w:rFonts w:hint="cs"/>
          <w:rtl/>
        </w:rPr>
        <w:t xml:space="preserve">ביחס </w:t>
      </w:r>
      <w:r>
        <w:rPr>
          <w:rFonts w:hint="cs"/>
          <w:rtl/>
        </w:rPr>
        <w:t xml:space="preserve">לסוג, והוא כמו חומר ביחס אליהן. ההיולי </w:t>
      </w:r>
      <w:r w:rsidR="00704424">
        <w:rPr>
          <w:rFonts w:hint="cs"/>
          <w:rtl/>
        </w:rPr>
        <w:t xml:space="preserve">אין בו צורות כלל, </w:t>
      </w:r>
      <w:r>
        <w:rPr>
          <w:rFonts w:hint="cs"/>
          <w:rtl/>
        </w:rPr>
        <w:t>הוא כללי ומופשט ו</w:t>
      </w:r>
      <w:r w:rsidR="00704424">
        <w:rPr>
          <w:rFonts w:hint="cs"/>
          <w:rtl/>
        </w:rPr>
        <w:t xml:space="preserve">אינו ניתן לתפישה. כיוון שחסרות בו צורות שנותנות הגדרה ויכולת תפישה ומילה שיכולה </w:t>
      </w:r>
      <w:r w:rsidR="00111882">
        <w:rPr>
          <w:rFonts w:hint="cs"/>
          <w:rtl/>
        </w:rPr>
        <w:t>להיאמ</w:t>
      </w:r>
      <w:r w:rsidR="00111882">
        <w:rPr>
          <w:rFonts w:hint="eastAsia"/>
          <w:rtl/>
        </w:rPr>
        <w:t>ר</w:t>
      </w:r>
      <w:r w:rsidR="00704424">
        <w:rPr>
          <w:rFonts w:hint="cs"/>
          <w:rtl/>
        </w:rPr>
        <w:t>, הוא 'חומר'</w:t>
      </w:r>
      <w:r w:rsidR="00111882">
        <w:rPr>
          <w:rFonts w:hint="cs"/>
          <w:rtl/>
        </w:rPr>
        <w:t xml:space="preserve"> (בספר בראשית החומר הראשון נקרא תוהו, ורש"י שם כתב</w:t>
      </w:r>
      <w:r w:rsidR="00AA50C2">
        <w:rPr>
          <w:rFonts w:hint="cs"/>
          <w:rtl/>
        </w:rPr>
        <w:t>:</w:t>
      </w:r>
      <w:r w:rsidR="00111882">
        <w:rPr>
          <w:rFonts w:hint="cs"/>
          <w:rtl/>
        </w:rPr>
        <w:t xml:space="preserve"> </w:t>
      </w:r>
      <w:r w:rsidR="00AA50C2">
        <w:rPr>
          <w:rFonts w:hint="cs"/>
          <w:rtl/>
        </w:rPr>
        <w:t>"</w:t>
      </w:r>
      <w:r w:rsidR="00AA50C2" w:rsidRPr="00AA50C2">
        <w:rPr>
          <w:rtl/>
        </w:rPr>
        <w:t>לשון תימה ושיממון</w:t>
      </w:r>
      <w:r w:rsidR="00AA50C2">
        <w:rPr>
          <w:rFonts w:hint="cs"/>
          <w:rtl/>
        </w:rPr>
        <w:t>", החומר שותק, אין מילים שיכולות להיאמר עליו, כי מילים יש רק לצורות, כי רק את הצורות השכל יכול לראות</w:t>
      </w:r>
      <w:r w:rsidR="00111882">
        <w:rPr>
          <w:rFonts w:hint="cs"/>
          <w:rtl/>
        </w:rPr>
        <w:t>)</w:t>
      </w:r>
      <w:r w:rsidR="00704424">
        <w:rPr>
          <w:rFonts w:hint="cs"/>
          <w:rtl/>
        </w:rPr>
        <w:t xml:space="preserve">. כמו שאדם או סוס הם אופני הווייה וגילוי של החיים, כך </w:t>
      </w:r>
      <w:r w:rsidR="00111882">
        <w:rPr>
          <w:rFonts w:hint="cs"/>
          <w:rtl/>
        </w:rPr>
        <w:t>המים</w:t>
      </w:r>
      <w:r w:rsidR="00704424">
        <w:rPr>
          <w:rFonts w:hint="cs"/>
          <w:rtl/>
        </w:rPr>
        <w:t xml:space="preserve"> ושאר היסודות הם אופני </w:t>
      </w:r>
      <w:r w:rsidR="00AA50C2">
        <w:rPr>
          <w:rFonts w:hint="cs"/>
          <w:rtl/>
        </w:rPr>
        <w:t>הווייה ו</w:t>
      </w:r>
      <w:r w:rsidR="00704424">
        <w:rPr>
          <w:rFonts w:hint="cs"/>
          <w:rtl/>
        </w:rPr>
        <w:t xml:space="preserve">גילוי של החומר הראשון, ההיולי. </w:t>
      </w:r>
    </w:p>
    <w:p w14:paraId="20928647" w14:textId="77777777" w:rsidR="00333FC8" w:rsidRDefault="00AA50C2">
      <w:pPr>
        <w:pStyle w:val="FootnoteText"/>
        <w:rPr>
          <w:rtl/>
        </w:rPr>
      </w:pPr>
      <w:r>
        <w:rPr>
          <w:rFonts w:hint="cs"/>
          <w:rtl/>
        </w:rPr>
        <w:t>מה שאנו</w:t>
      </w:r>
      <w:r w:rsidR="00D55935">
        <w:rPr>
          <w:rtl/>
        </w:rPr>
        <w:fldChar w:fldCharType="begin"/>
      </w:r>
      <w:r w:rsidR="00D55935">
        <w:instrText xml:space="preserve"> XE "</w:instrText>
      </w:r>
      <w:r w:rsidR="00D55935" w:rsidRPr="00812AB6">
        <w:rPr>
          <w:rFonts w:hint="cs"/>
          <w:rtl/>
        </w:rPr>
        <w:instrText>שכל עיוני ושכל גשמי</w:instrText>
      </w:r>
      <w:r w:rsidR="00D55935">
        <w:instrText xml:space="preserve">" </w:instrText>
      </w:r>
      <w:r w:rsidR="00D55935">
        <w:rPr>
          <w:rtl/>
        </w:rPr>
        <w:fldChar w:fldCharType="end"/>
      </w:r>
      <w:r>
        <w:rPr>
          <w:rFonts w:hint="cs"/>
          <w:rtl/>
        </w:rPr>
        <w:t xml:space="preserve"> יכולים לתפוש רק צורות מוגדרות, זה משום שאנחנו ההמון שדיבר עליו המורה נבוכים א' כ"ו, א' מ"ט, ובאגרת תחיית המתים, שיכול להשיג מציאות רק לחומר. חומר פירושו מה שמוגדר, מה שיש לו מילה. לעומת זאת החכמים משיגים מציאות במופשט, במה שאין לו מילה. השכל שמשיג את המופשט הוא השכל העיוני שרואה את המופשט באופן ישיר, בלתי אמצעי, כמו שאנו רואים את האקסיומות של הלוגיקה והמתמטיקה. וכמו שכתב המורה נבוכים א' נ', וא' נ"ט, שהשכל האמיתי הוא בשתיקה. לכן יש לשלול מהאל תארים חיוביים כי תואר חיובי יש לו מילה והוא הגדרה, והאל הוא מעל כל ההגדרות ולכן לא יכולות להיאמר עליו מילים. ובסילוק המילים מגיעים לשכל העיוני השותק שרואה באופן בלתי אמצעי כמו שעין בשר רואה את שלפניה. וכמו שכתב במורה נבוכים א' סוף פרק א', ובהלכות יסודי התורה ד' סוף הלכה ז'. </w:t>
      </w:r>
    </w:p>
    <w:p w14:paraId="7E2168BB" w14:textId="77777777" w:rsidR="00AD0DCE" w:rsidRDefault="007711FA">
      <w:pPr>
        <w:pStyle w:val="FootnoteText"/>
        <w:rPr>
          <w:rtl/>
        </w:rPr>
      </w:pPr>
      <w:r>
        <w:rPr>
          <w:rFonts w:hint="cs"/>
          <w:rtl/>
        </w:rPr>
        <w:t xml:space="preserve">החכם לא נשאר </w:t>
      </w:r>
      <w:r w:rsidR="00333FC8">
        <w:rPr>
          <w:rFonts w:hint="cs"/>
          <w:rtl/>
        </w:rPr>
        <w:t xml:space="preserve">מוגבל להשגת </w:t>
      </w:r>
      <w:r>
        <w:rPr>
          <w:rFonts w:hint="cs"/>
          <w:rtl/>
        </w:rPr>
        <w:t>חיי האדם או הסוס המוגדרים, אלא עולה מהם ל</w:t>
      </w:r>
      <w:r w:rsidR="00AD0DCE">
        <w:rPr>
          <w:rFonts w:hint="cs"/>
          <w:rtl/>
        </w:rPr>
        <w:t>השגת ה</w:t>
      </w:r>
      <w:r>
        <w:rPr>
          <w:rFonts w:hint="cs"/>
          <w:rtl/>
        </w:rPr>
        <w:t>חיים הכלליים שמשותפים לכל מה שחי, ומזה מגיע לראיית השכל העיוני את החיים הכלליים המופשטים בלי תיווך שום עצם חומרי חי</w:t>
      </w:r>
      <w:r w:rsidR="00AD0DCE">
        <w:rPr>
          <w:rFonts w:hint="cs"/>
          <w:rtl/>
        </w:rPr>
        <w:t>, וזו השגת האלוהות</w:t>
      </w:r>
      <w:r>
        <w:rPr>
          <w:rFonts w:hint="cs"/>
          <w:rtl/>
        </w:rPr>
        <w:t xml:space="preserve">. וכמו שכתב במורה נבוכים א' סוף פרק א' שמשיג בלי שום תיווך וכלים של חומר (גם לא על ידי הפשטת הצורה מהחומר, עיין בהלכות יסודי התורה ד' ז' שהפשטת הצורה מהחומר היא רק שלב אמצעי בהשגה, והשלב העליון הוא ידיעת הצורות שאין להן גולם בעין הלב כמו שאנו יודעים את אדון הכל). </w:t>
      </w:r>
    </w:p>
    <w:p w14:paraId="65E83945" w14:textId="75BDFB72" w:rsidR="00121CDB" w:rsidRDefault="00B443AD">
      <w:pPr>
        <w:pStyle w:val="FootnoteText"/>
        <w:rPr>
          <w:rtl/>
        </w:rPr>
      </w:pPr>
      <w:r>
        <w:rPr>
          <w:rFonts w:hint="cs"/>
          <w:rtl/>
        </w:rPr>
        <w:t>גם החומר הראשון הוא אופן של השגה קרובה מאוד להשגת האלוהות, הוא ה'אחד' שעליו כתב במורה נבוכים א' ע"ב שהאח</w:t>
      </w:r>
      <w:r w:rsidR="00EB0128">
        <w:rPr>
          <w:rFonts w:hint="cs"/>
          <w:rtl/>
        </w:rPr>
        <w:t>ד</w:t>
      </w:r>
      <w:r>
        <w:rPr>
          <w:rFonts w:hint="cs"/>
          <w:rtl/>
        </w:rPr>
        <w:t xml:space="preserve"> ברא אחד</w:t>
      </w:r>
      <w:r w:rsidR="00C41AA1">
        <w:rPr>
          <w:rtl/>
        </w:rPr>
        <w:fldChar w:fldCharType="begin"/>
      </w:r>
      <w:r w:rsidR="00C41AA1">
        <w:instrText xml:space="preserve"> XE "</w:instrText>
      </w:r>
      <w:r w:rsidR="00C41AA1" w:rsidRPr="0044201A">
        <w:rPr>
          <w:rFonts w:hint="cs"/>
          <w:rtl/>
        </w:rPr>
        <w:instrText>מורה נבוכים א' ע</w:instrText>
      </w:r>
      <w:r w:rsidR="00C41AA1">
        <w:rPr>
          <w:b/>
          <w:bCs/>
          <w:sz w:val="20"/>
          <w:szCs w:val="20"/>
        </w:rPr>
        <w:instrText>\</w:instrText>
      </w:r>
      <w:r w:rsidR="00C41AA1" w:rsidRPr="0044201A">
        <w:rPr>
          <w:rFonts w:hint="cs"/>
          <w:rtl/>
        </w:rPr>
        <w:instrText>"ב - האחד ברא אחד</w:instrText>
      </w:r>
      <w:r w:rsidR="00C41AA1">
        <w:instrText xml:space="preserve">" </w:instrText>
      </w:r>
      <w:r w:rsidR="00C41AA1">
        <w:rPr>
          <w:rtl/>
        </w:rPr>
        <w:fldChar w:fldCharType="end"/>
      </w:r>
      <w:r w:rsidR="0050389B">
        <w:rPr>
          <w:rtl/>
        </w:rPr>
        <w:fldChar w:fldCharType="begin"/>
      </w:r>
      <w:r w:rsidR="0050389B">
        <w:instrText xml:space="preserve"> XE "</w:instrText>
      </w:r>
      <w:r w:rsidR="0050389B" w:rsidRPr="00112BB7">
        <w:rPr>
          <w:rFonts w:hint="cs"/>
          <w:rtl/>
        </w:rPr>
        <w:instrText>החומר הראשון - השגתו היא השגת הבורא</w:instrText>
      </w:r>
      <w:r w:rsidR="0050389B">
        <w:instrText xml:space="preserve">" </w:instrText>
      </w:r>
      <w:r w:rsidR="0050389B">
        <w:rPr>
          <w:rtl/>
        </w:rPr>
        <w:fldChar w:fldCharType="end"/>
      </w:r>
      <w:r w:rsidR="00EB0128">
        <w:rPr>
          <w:rFonts w:hint="cs"/>
          <w:rtl/>
        </w:rPr>
        <w:t xml:space="preserve">. החומר הראשון אין בו שום הגדרה והוא אחדות פשוטה שדומה לאחדות הפשוטה של האל, כשההבדל הוא רק שלחומר הראשון יש סיבת מציאות חיצונית לו שהיא האל. </w:t>
      </w:r>
      <w:r w:rsidR="00650127">
        <w:rPr>
          <w:rFonts w:hint="cs"/>
          <w:rtl/>
        </w:rPr>
        <w:t xml:space="preserve">לכן אצילי בני ישראל טעו וחשבו שהחומר הראשון הוא האל עצמו, עיין מורה נבוכים א' ה', א' </w:t>
      </w:r>
      <w:r w:rsidR="001E560C">
        <w:rPr>
          <w:rFonts w:hint="cs"/>
          <w:rtl/>
        </w:rPr>
        <w:t xml:space="preserve">כ"ח </w:t>
      </w:r>
      <w:r w:rsidR="002B29A3">
        <w:rPr>
          <w:rFonts w:hint="cs"/>
          <w:rtl/>
        </w:rPr>
        <w:t xml:space="preserve">וב' כ"ו. </w:t>
      </w:r>
    </w:p>
    <w:p w14:paraId="35EBFAED" w14:textId="0EDD5975" w:rsidR="00143756" w:rsidRDefault="00E37880">
      <w:pPr>
        <w:pStyle w:val="FootnoteText"/>
      </w:pPr>
      <w:r>
        <w:rPr>
          <w:rFonts w:hint="cs"/>
          <w:rtl/>
        </w:rPr>
        <w:t xml:space="preserve">ההתקדמות להשגת שכל עיוני היא מצד אחד </w:t>
      </w:r>
      <w:r w:rsidR="00121CDB">
        <w:rPr>
          <w:rFonts w:hint="cs"/>
          <w:rtl/>
        </w:rPr>
        <w:t xml:space="preserve">כלפי </w:t>
      </w:r>
      <w:r>
        <w:rPr>
          <w:rFonts w:hint="cs"/>
          <w:rtl/>
        </w:rPr>
        <w:t>מעלה במעלות הצורות</w:t>
      </w:r>
      <w:r w:rsidR="00121CDB">
        <w:rPr>
          <w:rFonts w:hint="cs"/>
          <w:rtl/>
        </w:rPr>
        <w:t>,</w:t>
      </w:r>
      <w:r>
        <w:rPr>
          <w:rFonts w:hint="cs"/>
          <w:rtl/>
        </w:rPr>
        <w:t xml:space="preserve"> מצורת המין</w:t>
      </w:r>
      <w:r w:rsidR="00121CDB">
        <w:rPr>
          <w:rFonts w:hint="cs"/>
          <w:rtl/>
        </w:rPr>
        <w:t xml:space="preserve"> שהיא מוגדרת ונמצאת בגופים,</w:t>
      </w:r>
      <w:r>
        <w:rPr>
          <w:rFonts w:hint="cs"/>
          <w:rtl/>
        </w:rPr>
        <w:t xml:space="preserve"> אל צורת הסוג</w:t>
      </w:r>
      <w:r w:rsidR="00121CDB">
        <w:rPr>
          <w:rFonts w:hint="cs"/>
          <w:rtl/>
        </w:rPr>
        <w:t xml:space="preserve"> שאינה מוגדרת ואינה בגופים, </w:t>
      </w:r>
      <w:r>
        <w:rPr>
          <w:rFonts w:hint="cs"/>
          <w:rtl/>
        </w:rPr>
        <w:t>וממנה</w:t>
      </w:r>
      <w:r w:rsidR="00612268">
        <w:rPr>
          <w:rFonts w:hint="cs"/>
          <w:rtl/>
        </w:rPr>
        <w:t xml:space="preserve"> </w:t>
      </w:r>
      <w:r>
        <w:rPr>
          <w:rFonts w:hint="cs"/>
          <w:rtl/>
        </w:rPr>
        <w:t>ל</w:t>
      </w:r>
      <w:r w:rsidR="00612268">
        <w:rPr>
          <w:rFonts w:hint="cs"/>
          <w:rtl/>
        </w:rPr>
        <w:t>'</w:t>
      </w:r>
      <w:r>
        <w:rPr>
          <w:rFonts w:hint="cs"/>
          <w:rtl/>
        </w:rPr>
        <w:t>התחלה</w:t>
      </w:r>
      <w:r w:rsidR="00612268">
        <w:rPr>
          <w:rFonts w:hint="cs"/>
          <w:rtl/>
        </w:rPr>
        <w:t>'</w:t>
      </w:r>
      <w:r>
        <w:rPr>
          <w:rFonts w:hint="cs"/>
          <w:rtl/>
        </w:rPr>
        <w:t xml:space="preserve"> שהיא ה</w:t>
      </w:r>
      <w:r w:rsidR="00121CDB">
        <w:rPr>
          <w:rFonts w:hint="cs"/>
          <w:rtl/>
        </w:rPr>
        <w:t>מהות המופשטת לגמרי מכל גוף</w:t>
      </w:r>
      <w:r w:rsidR="00612268">
        <w:rPr>
          <w:rFonts w:hint="cs"/>
          <w:rtl/>
        </w:rPr>
        <w:t xml:space="preserve"> שממנה שורש הסוג והמין, והיא תואר אלוהי על דרך התארים שביאר המורה נבוכים א' סוף פרק נ"ג שהוא</w:t>
      </w:r>
      <w:r w:rsidR="009E4ECD">
        <w:rPr>
          <w:rFonts w:hint="cs"/>
          <w:rtl/>
        </w:rPr>
        <w:t xml:space="preserve"> </w:t>
      </w:r>
      <w:r w:rsidR="00612268">
        <w:rPr>
          <w:rFonts w:hint="cs"/>
          <w:rtl/>
        </w:rPr>
        <w:t xml:space="preserve">תאריו ותאריו הוא. </w:t>
      </w:r>
      <w:r w:rsidR="00121CDB">
        <w:rPr>
          <w:rFonts w:hint="cs"/>
          <w:rtl/>
        </w:rPr>
        <w:t>ומצד שני לה</w:t>
      </w:r>
      <w:r w:rsidR="009E4ECD">
        <w:rPr>
          <w:rFonts w:hint="cs"/>
          <w:rtl/>
        </w:rPr>
        <w:t xml:space="preserve">תקדם כלפי החומר, להשיג את המשותף לחומר הגופים שהוא היסודות ומשם ההיולי עצמו שהוא האחדות האלוהית שהתגלתה בבריאה </w:t>
      </w:r>
      <w:r w:rsidR="00A134BB">
        <w:rPr>
          <w:rFonts w:hint="cs"/>
          <w:rtl/>
        </w:rPr>
        <w:t xml:space="preserve">הראשונה הלא זמנית (איבדע) </w:t>
      </w:r>
      <w:r w:rsidR="009E4ECD">
        <w:rPr>
          <w:rFonts w:hint="cs"/>
          <w:rtl/>
        </w:rPr>
        <w:t xml:space="preserve">כשורש כל המציאות. </w:t>
      </w:r>
      <w:r w:rsidR="007711FA">
        <w:rPr>
          <w:rFonts w:hint="cs"/>
          <w:rtl/>
        </w:rPr>
        <w:t xml:space="preserve"> </w:t>
      </w:r>
      <w:r w:rsidR="00AA50C2">
        <w:rPr>
          <w:rFonts w:hint="cs"/>
          <w:rtl/>
        </w:rPr>
        <w:t xml:space="preserve"> </w:t>
      </w:r>
      <w:r w:rsidR="00143756">
        <w:rPr>
          <w:rFonts w:hint="cs"/>
          <w:rtl/>
        </w:rPr>
        <w:t xml:space="preserve"> </w:t>
      </w:r>
    </w:p>
  </w:footnote>
  <w:footnote w:id="492">
    <w:p w14:paraId="3A9E3566" w14:textId="42AF2CC1" w:rsidR="00197F00" w:rsidRDefault="00197F00">
      <w:pPr>
        <w:pStyle w:val="FootnoteText"/>
      </w:pPr>
      <w:r>
        <w:rPr>
          <w:rStyle w:val="FootnoteReference"/>
        </w:rPr>
        <w:footnoteRef/>
      </w:r>
      <w:r>
        <w:rPr>
          <w:rtl/>
        </w:rPr>
        <w:t xml:space="preserve"> </w:t>
      </w:r>
      <w:r w:rsidR="000F1E09">
        <w:rPr>
          <w:rFonts w:hint="cs"/>
          <w:rtl/>
        </w:rPr>
        <w:t>הטבע נובע מהצורה. הטבע והצורה אינם שני עניינים נפרדים, אלא שתי בחינות של אותו עניין. הטבע הוא הגילוי המוחשי של הצורה</w:t>
      </w:r>
      <w:r w:rsidR="00D82AE8">
        <w:rPr>
          <w:rFonts w:hint="cs"/>
          <w:rtl/>
        </w:rPr>
        <w:t xml:space="preserve"> שבעצמה אינה מוחשית</w:t>
      </w:r>
      <w:r w:rsidR="000F1E09">
        <w:rPr>
          <w:rFonts w:hint="cs"/>
          <w:rtl/>
        </w:rPr>
        <w:t xml:space="preserve">. </w:t>
      </w:r>
      <w:r w:rsidR="007212CD">
        <w:rPr>
          <w:rFonts w:hint="cs"/>
          <w:rtl/>
        </w:rPr>
        <w:t>הצורה היא החיים, הכיסופים לבורא. האבן נופלת כי צורתה היא אופן של השגת הבורא וממילא</w:t>
      </w:r>
      <w:r w:rsidR="00552D8F">
        <w:rPr>
          <w:rFonts w:hint="cs"/>
          <w:rtl/>
        </w:rPr>
        <w:t xml:space="preserve"> </w:t>
      </w:r>
      <w:r w:rsidR="007212CD">
        <w:rPr>
          <w:rFonts w:hint="cs"/>
          <w:rtl/>
        </w:rPr>
        <w:t>כיסו</w:t>
      </w:r>
      <w:r w:rsidR="00552D8F">
        <w:rPr>
          <w:rFonts w:hint="cs"/>
          <w:rtl/>
        </w:rPr>
        <w:t>פ</w:t>
      </w:r>
      <w:r w:rsidR="007212CD">
        <w:rPr>
          <w:rFonts w:hint="cs"/>
          <w:rtl/>
        </w:rPr>
        <w:t>ים אליו, וזה עניין היותה חיה</w:t>
      </w:r>
      <w:r w:rsidR="00552D8F">
        <w:rPr>
          <w:rFonts w:hint="cs"/>
          <w:rtl/>
        </w:rPr>
        <w:t>, כמו שכתב במורה נבוכים א' ע"ב שכל המציאות היא איש אחד חי, וממילא גם האבנים חיות</w:t>
      </w:r>
      <w:r w:rsidR="004556FF">
        <w:rPr>
          <w:rFonts w:hint="cs"/>
          <w:rtl/>
        </w:rPr>
        <w:t xml:space="preserve"> (ונקראות מתות כי אין להם כח תנועה עצמי, וכמו שביארתי לעיל, ומה שבזמננו אנו חושבים שהאבנים מתות ממש זה לא עלה על דעת שום אדם בעולם העתיק)</w:t>
      </w:r>
      <w:r w:rsidR="00690EDB">
        <w:rPr>
          <w:rFonts w:hint="cs"/>
          <w:rtl/>
        </w:rPr>
        <w:t>. כיוון שהאבן חיה ומשיגה את הבורא ונכספת אליו, היא רוצה להגיע למקום הנכון לה מצד הסדר האלוהי של העולם שהוא גילוי כבוד האל, ולכן היא נופלת לכיוון מרכז הכדור. החיים של האבן, הכיסופים שלה, אינם מוחשיים, אבל התנועה שנולדת מהם מוחשית</w:t>
      </w:r>
      <w:r w:rsidR="003E65E1">
        <w:rPr>
          <w:rFonts w:hint="cs"/>
          <w:rtl/>
        </w:rPr>
        <w:t>. הביטוי המוחשי של הצורה הוא מה שנקרא 'טבע'</w:t>
      </w:r>
      <w:r w:rsidR="00C41AA1">
        <w:rPr>
          <w:rtl/>
        </w:rPr>
        <w:fldChar w:fldCharType="begin"/>
      </w:r>
      <w:r w:rsidR="00C41AA1">
        <w:instrText xml:space="preserve"> XE "</w:instrText>
      </w:r>
      <w:r w:rsidR="00C41AA1" w:rsidRPr="00F77C9F">
        <w:rPr>
          <w:rFonts w:hint="cs"/>
          <w:rtl/>
        </w:rPr>
        <w:instrText>צורה - ההבדל בין צורה לטבע</w:instrText>
      </w:r>
      <w:r w:rsidR="00C41AA1">
        <w:instrText xml:space="preserve">" </w:instrText>
      </w:r>
      <w:r w:rsidR="00C41AA1">
        <w:rPr>
          <w:rtl/>
        </w:rPr>
        <w:fldChar w:fldCharType="end"/>
      </w:r>
      <w:r w:rsidR="003E65E1">
        <w:rPr>
          <w:rFonts w:hint="cs"/>
          <w:rtl/>
        </w:rPr>
        <w:t xml:space="preserve">. </w:t>
      </w:r>
      <w:r w:rsidR="007212CD">
        <w:rPr>
          <w:rFonts w:hint="cs"/>
          <w:rtl/>
        </w:rPr>
        <w:t xml:space="preserve"> </w:t>
      </w:r>
    </w:p>
  </w:footnote>
  <w:footnote w:id="493">
    <w:p w14:paraId="26996A88" w14:textId="58D8A5C7" w:rsidR="009260D6" w:rsidRDefault="009260D6">
      <w:pPr>
        <w:pStyle w:val="FootnoteText"/>
      </w:pPr>
      <w:r>
        <w:rPr>
          <w:rStyle w:val="FootnoteReference"/>
        </w:rPr>
        <w:footnoteRef/>
      </w:r>
      <w:r>
        <w:rPr>
          <w:rtl/>
        </w:rPr>
        <w:t xml:space="preserve"> </w:t>
      </w:r>
      <w:r w:rsidRPr="009260D6">
        <w:rPr>
          <w:rFonts w:cs="Times New Roman" w:hint="eastAsia"/>
          <w:rtl/>
          <w:lang w:bidi="ar-SA"/>
        </w:rPr>
        <w:t>الميل</w:t>
      </w:r>
      <w:r w:rsidRPr="009260D6">
        <w:rPr>
          <w:rtl/>
        </w:rPr>
        <w:t xml:space="preserve">. </w:t>
      </w:r>
      <w:r w:rsidRPr="009260D6">
        <w:rPr>
          <w:rtl/>
        </w:rPr>
        <w:t>ה</w:t>
      </w:r>
      <w:r>
        <w:rPr>
          <w:rFonts w:hint="cs"/>
          <w:rtl/>
        </w:rPr>
        <w:t>'</w:t>
      </w:r>
      <w:r w:rsidRPr="009260D6">
        <w:rPr>
          <w:rtl/>
        </w:rPr>
        <w:t>אימפטוס</w:t>
      </w:r>
      <w:r>
        <w:rPr>
          <w:rFonts w:hint="cs"/>
          <w:rtl/>
        </w:rPr>
        <w:t>'</w:t>
      </w:r>
      <w:r w:rsidRPr="009260D6">
        <w:rPr>
          <w:rtl/>
        </w:rPr>
        <w:t xml:space="preserve">, שהתבאר בנספח א' שבסוף הספר, ולעיל פרק א' בוויכוח עם פילופונוס. </w:t>
      </w:r>
      <w:r>
        <w:rPr>
          <w:rFonts w:hint="cs"/>
          <w:rtl/>
        </w:rPr>
        <w:t>הוא הכח שנמצא בגוף בטבעו ואריסטו קורא לו התחלת תנועה.</w:t>
      </w:r>
      <w:r w:rsidR="00F91745">
        <w:rPr>
          <w:rFonts w:hint="cs"/>
          <w:rtl/>
        </w:rPr>
        <w:t xml:space="preserve"> התפישה המוחשית של הדחף, במובחן מהתנועה ממש שנובעת ממנו, היא החזקת אבן בכף היד והרגשת הכובד שהיא מפעילה גם כשאינה נעה</w:t>
      </w:r>
      <w:r w:rsidR="0061275D">
        <w:rPr>
          <w:rFonts w:hint="cs"/>
          <w:rtl/>
        </w:rPr>
        <w:t>,</w:t>
      </w:r>
      <w:r w:rsidR="00F91745">
        <w:rPr>
          <w:rFonts w:hint="cs"/>
          <w:rtl/>
        </w:rPr>
        <w:t xml:space="preserve"> </w:t>
      </w:r>
      <w:r w:rsidR="0061275D">
        <w:rPr>
          <w:rFonts w:hint="cs"/>
          <w:rtl/>
        </w:rPr>
        <w:t xml:space="preserve">וכמו שכתב אבן סינא לעיל בפרק ה'. </w:t>
      </w:r>
      <w:r>
        <w:rPr>
          <w:rFonts w:hint="cs"/>
          <w:rtl/>
        </w:rPr>
        <w:t xml:space="preserve"> </w:t>
      </w:r>
    </w:p>
  </w:footnote>
  <w:footnote w:id="494">
    <w:p w14:paraId="6851E4CF" w14:textId="3B6F3D74" w:rsidR="005A3DBD" w:rsidRDefault="005A3DBD">
      <w:pPr>
        <w:pStyle w:val="FootnoteText"/>
      </w:pPr>
      <w:r>
        <w:rPr>
          <w:rStyle w:val="FootnoteReference"/>
        </w:rPr>
        <w:footnoteRef/>
      </w:r>
      <w:r>
        <w:rPr>
          <w:rtl/>
        </w:rPr>
        <w:t xml:space="preserve"> </w:t>
      </w:r>
      <w:r>
        <w:rPr>
          <w:rFonts w:hint="cs"/>
          <w:rtl/>
        </w:rPr>
        <w:t xml:space="preserve">המקום הטבעי </w:t>
      </w:r>
      <w:r w:rsidR="00D17628">
        <w:rPr>
          <w:rFonts w:hint="cs"/>
          <w:rtl/>
        </w:rPr>
        <w:t xml:space="preserve">ליסוד העפר </w:t>
      </w:r>
      <w:r>
        <w:rPr>
          <w:rFonts w:hint="cs"/>
          <w:rtl/>
        </w:rPr>
        <w:t xml:space="preserve">הוא מרכז הכדור, וגוף שנמצא שם אין לו משקל שדוחף אותו לכיוון כלשהו. </w:t>
      </w:r>
      <w:r w:rsidR="005339B6">
        <w:rPr>
          <w:rFonts w:hint="cs"/>
          <w:rtl/>
        </w:rPr>
        <w:t>גוף שמונח על הקרקע עדיין אינו במקומו הטבעי, רק הקרקע מעכבת אותו, ולכן יש לו כובד ש</w:t>
      </w:r>
      <w:r w:rsidR="004F4F05">
        <w:rPr>
          <w:rFonts w:hint="cs"/>
          <w:rtl/>
        </w:rPr>
        <w:t>פועל על הקרקע גם כשהוא נח עליה.</w:t>
      </w:r>
      <w:r w:rsidR="00BD1D4F">
        <w:rPr>
          <w:rFonts w:hint="cs"/>
          <w:rtl/>
        </w:rPr>
        <w:t xml:space="preserve"> המקום הטבעי של האש שמשם ואילך אינה נעה כלפי מעלה </w:t>
      </w:r>
      <w:r w:rsidR="006A7CB0">
        <w:rPr>
          <w:rFonts w:hint="cs"/>
          <w:rtl/>
        </w:rPr>
        <w:t>הוא ההיקף החיצוני של העולם הטבעי (עולם ארבעת היסודות) שתחת גלגל הירח</w:t>
      </w:r>
      <w:r w:rsidR="00FC549F">
        <w:rPr>
          <w:rFonts w:hint="cs"/>
          <w:rtl/>
        </w:rPr>
        <w:t xml:space="preserve"> (מגלגל הירח ומעלה הוא העולם השמיימי שהחומר שלו הוא החומר החמישי ואין בו יסודות וגם לא אש). </w:t>
      </w:r>
      <w:r w:rsidR="00B236BB">
        <w:rPr>
          <w:rFonts w:hint="cs"/>
          <w:rtl/>
        </w:rPr>
        <w:t>החומר החמישי הוא מה שאנו מכירים כחלל הריק, וכנראה ההיקף החיצוני של העולם הטבעי הוא הקצה העליון של האטמוספ</w:t>
      </w:r>
      <w:r w:rsidR="00BC419E">
        <w:rPr>
          <w:rFonts w:hint="cs"/>
          <w:rtl/>
        </w:rPr>
        <w:t>י</w:t>
      </w:r>
      <w:r w:rsidR="00B236BB">
        <w:rPr>
          <w:rFonts w:hint="cs"/>
          <w:rtl/>
        </w:rPr>
        <w:t>רה</w:t>
      </w:r>
      <w:r w:rsidR="00BC419E">
        <w:rPr>
          <w:rFonts w:hint="cs"/>
          <w:rtl/>
        </w:rPr>
        <w:t>. יסוד האש הוא שקוף ואינו חם ואינו מאיר</w:t>
      </w:r>
      <w:r w:rsidR="006E7C2C">
        <w:rPr>
          <w:rFonts w:hint="cs"/>
          <w:rtl/>
        </w:rPr>
        <w:t xml:space="preserve"> (לכן שמי </w:t>
      </w:r>
      <w:r w:rsidR="004C368B">
        <w:rPr>
          <w:rFonts w:hint="cs"/>
          <w:rtl/>
        </w:rPr>
        <w:t>הלילה</w:t>
      </w:r>
      <w:r w:rsidR="006E7C2C">
        <w:rPr>
          <w:rFonts w:hint="cs"/>
          <w:rtl/>
        </w:rPr>
        <w:t xml:space="preserve"> חשוכים) ונקרא חושך, </w:t>
      </w:r>
      <w:r w:rsidR="004C368B">
        <w:rPr>
          <w:rFonts w:hint="cs"/>
          <w:rtl/>
        </w:rPr>
        <w:t>ו</w:t>
      </w:r>
      <w:r w:rsidR="006E7C2C">
        <w:rPr>
          <w:rFonts w:hint="cs"/>
          <w:rtl/>
        </w:rPr>
        <w:t xml:space="preserve">כמו </w:t>
      </w:r>
      <w:r w:rsidR="004C368B">
        <w:rPr>
          <w:rFonts w:hint="cs"/>
          <w:rtl/>
        </w:rPr>
        <w:t>ש</w:t>
      </w:r>
      <w:r w:rsidR="006E7C2C">
        <w:rPr>
          <w:rFonts w:hint="cs"/>
          <w:rtl/>
        </w:rPr>
        <w:t xml:space="preserve">כתב במורה נבוכים א' ל' וברמב"ן על </w:t>
      </w:r>
      <w:r w:rsidR="0028159F">
        <w:rPr>
          <w:rFonts w:hint="cs"/>
          <w:rtl/>
        </w:rPr>
        <w:t>בראשית א' א', ומקומו בטבע אינו ברור</w:t>
      </w:r>
      <w:r w:rsidR="00B05653" w:rsidRPr="00B05653">
        <w:rPr>
          <w:rtl/>
        </w:rPr>
        <w:t xml:space="preserve"> (האש המוכרת לנו מורכבת מכל היסודות)</w:t>
      </w:r>
      <w:r w:rsidR="008C5489">
        <w:rPr>
          <w:rFonts w:hint="cs"/>
          <w:rtl/>
        </w:rPr>
        <w:t xml:space="preserve">. היסודות הם עקרונות מופשטים לגמרי </w:t>
      </w:r>
      <w:r w:rsidR="001C679B">
        <w:rPr>
          <w:rFonts w:hint="cs"/>
          <w:rtl/>
        </w:rPr>
        <w:t xml:space="preserve">בסוד הבריאה מהאין סוף למוגבל, </w:t>
      </w:r>
      <w:r w:rsidR="0084613B">
        <w:rPr>
          <w:rFonts w:hint="cs"/>
          <w:rtl/>
        </w:rPr>
        <w:t>ומקומם אצל אפלטון ואריסטו הוא אותו מקום של ארבעת אותיות שם הוי"ה בתורת משה</w:t>
      </w:r>
      <w:r w:rsidR="00364530">
        <w:rPr>
          <w:rFonts w:hint="cs"/>
          <w:rtl/>
        </w:rPr>
        <w:t>, וכמו שמבואר בספר הזוהר</w:t>
      </w:r>
      <w:r w:rsidR="0084613B">
        <w:rPr>
          <w:rFonts w:hint="cs"/>
          <w:rtl/>
        </w:rPr>
        <w:t xml:space="preserve">. </w:t>
      </w:r>
      <w:r w:rsidR="00364530">
        <w:rPr>
          <w:rFonts w:hint="cs"/>
          <w:rtl/>
        </w:rPr>
        <w:t>ההתגשמות של היסודות בטבע היא כמו צל למציאותם העיקרית ולא תמיד הצל ברור</w:t>
      </w:r>
      <w:r w:rsidR="0028159F">
        <w:rPr>
          <w:rFonts w:hint="cs"/>
          <w:rtl/>
        </w:rPr>
        <w:t xml:space="preserve">. </w:t>
      </w:r>
      <w:r w:rsidR="006A7CB0">
        <w:rPr>
          <w:rFonts w:hint="cs"/>
          <w:rtl/>
        </w:rPr>
        <w:t xml:space="preserve"> </w:t>
      </w:r>
    </w:p>
  </w:footnote>
  <w:footnote w:id="495">
    <w:p w14:paraId="0139F140" w14:textId="029C46BB" w:rsidR="006A7BA9" w:rsidRDefault="006A7BA9">
      <w:pPr>
        <w:pStyle w:val="FootnoteText"/>
      </w:pPr>
      <w:r>
        <w:rPr>
          <w:rStyle w:val="FootnoteReference"/>
        </w:rPr>
        <w:footnoteRef/>
      </w:r>
      <w:r>
        <w:rPr>
          <w:rtl/>
        </w:rPr>
        <w:t xml:space="preserve"> </w:t>
      </w:r>
      <w:r w:rsidR="009D5219">
        <w:rPr>
          <w:rFonts w:hint="cs"/>
          <w:rtl/>
        </w:rPr>
        <w:t xml:space="preserve">בביטוי </w:t>
      </w:r>
      <w:r w:rsidR="009D5219" w:rsidRPr="009D5219">
        <w:rPr>
          <w:rtl/>
        </w:rPr>
        <w:t>"עצם המים"</w:t>
      </w:r>
      <w:r w:rsidR="009D5219">
        <w:rPr>
          <w:rFonts w:hint="cs"/>
          <w:rtl/>
        </w:rPr>
        <w:t xml:space="preserve">, </w:t>
      </w:r>
      <w:r w:rsidR="00D62787">
        <w:rPr>
          <w:rFonts w:hint="cs"/>
          <w:rtl/>
        </w:rPr>
        <w:t>"</w:t>
      </w:r>
      <w:r w:rsidRPr="006A7BA9">
        <w:rPr>
          <w:rtl/>
        </w:rPr>
        <w:t>עצם</w:t>
      </w:r>
      <w:r w:rsidR="00D62787">
        <w:rPr>
          <w:rFonts w:hint="cs"/>
          <w:rtl/>
        </w:rPr>
        <w:t xml:space="preserve">" </w:t>
      </w:r>
      <w:r w:rsidR="00192A38">
        <w:rPr>
          <w:rFonts w:hint="cs"/>
          <w:rtl/>
        </w:rPr>
        <w:t xml:space="preserve">הוא </w:t>
      </w:r>
      <w:r w:rsidR="001931BE">
        <w:rPr>
          <w:rFonts w:hint="cs"/>
          <w:rtl/>
        </w:rPr>
        <w:t>במקור</w:t>
      </w:r>
      <w:r w:rsidRPr="006A7BA9">
        <w:rPr>
          <w:rtl/>
        </w:rPr>
        <w:t xml:space="preserve"> </w:t>
      </w:r>
      <w:r w:rsidRPr="006A7BA9">
        <w:rPr>
          <w:rtl/>
        </w:rPr>
        <w:t xml:space="preserve">ג'והאר, </w:t>
      </w:r>
      <w:r w:rsidRPr="006A7BA9">
        <w:rPr>
          <w:rFonts w:cs="Times New Roman" w:hint="eastAsia"/>
          <w:rtl/>
          <w:lang w:bidi="ar-SA"/>
        </w:rPr>
        <w:t>جوهر</w:t>
      </w:r>
      <w:r w:rsidRPr="006A7BA9">
        <w:rPr>
          <w:rFonts w:cs="Times New Roman"/>
          <w:rtl/>
          <w:lang w:bidi="ar-SA"/>
        </w:rPr>
        <w:t xml:space="preserve">, </w:t>
      </w:r>
      <w:r w:rsidRPr="006A7BA9">
        <w:rPr>
          <w:rtl/>
        </w:rPr>
        <w:t>והכוונה למהות או הצורה המהותית (כמו למשל באדם שהצורה המהותית (או הצורה הטבעית כלשון המורה נבוכים א' א' עיין שם</w:t>
      </w:r>
      <w:r w:rsidR="00192A38">
        <w:rPr>
          <w:rFonts w:hint="cs"/>
          <w:rtl/>
        </w:rPr>
        <w:t xml:space="preserve"> היטב בהגדרת הצורה הטבעית</w:t>
      </w:r>
      <w:r w:rsidRPr="006A7BA9">
        <w:rPr>
          <w:rtl/>
        </w:rPr>
        <w:t>) היא 'חי מדבר', ו</w:t>
      </w:r>
      <w:r w:rsidR="00D57030">
        <w:rPr>
          <w:rFonts w:hint="cs"/>
          <w:rtl/>
        </w:rPr>
        <w:t>'</w:t>
      </w:r>
      <w:r w:rsidRPr="006A7BA9">
        <w:rPr>
          <w:rtl/>
        </w:rPr>
        <w:t>התואר</w:t>
      </w:r>
      <w:r w:rsidR="00D57030">
        <w:rPr>
          <w:rFonts w:hint="cs"/>
          <w:rtl/>
        </w:rPr>
        <w:t>'</w:t>
      </w:r>
      <w:r w:rsidRPr="006A7BA9">
        <w:rPr>
          <w:rtl/>
        </w:rPr>
        <w:t xml:space="preserve"> הוא שיש לו ראש וגוף, ידיים ורגליים וכן הלא</w:t>
      </w:r>
      <w:r w:rsidRPr="006A7BA9">
        <w:rPr>
          <w:rFonts w:hint="eastAsia"/>
          <w:rtl/>
        </w:rPr>
        <w:t>ה</w:t>
      </w:r>
      <w:r w:rsidRPr="006A7BA9">
        <w:rPr>
          <w:rtl/>
        </w:rPr>
        <w:t>). כשאומרים 'עצם' הכוונה לא רק לצורה או המהות, אלא לצורה כשהיא ממומשת בחומר ונעשה מהאיחוד בין הצורה לחומר 'עצם'</w:t>
      </w:r>
      <w:r w:rsidR="00AF1FAC">
        <w:rPr>
          <w:rFonts w:hint="cs"/>
          <w:rtl/>
        </w:rPr>
        <w:t>, הוא המהות כשהיא במצע חומר</w:t>
      </w:r>
      <w:r w:rsidRPr="006A7BA9">
        <w:rPr>
          <w:rtl/>
        </w:rPr>
        <w:t>. כשצורת המים מתאחדת עם החומר נוצר עצם שהוא המים, וזה מציין את המים מצד עצמם ולא מצד השפעותיהם על עצמים אחרים, או היותם מושפעים מעצמים אחרים. כו</w:t>
      </w:r>
      <w:r w:rsidRPr="006A7BA9">
        <w:rPr>
          <w:rFonts w:hint="eastAsia"/>
          <w:rtl/>
        </w:rPr>
        <w:t>ונת</w:t>
      </w:r>
      <w:r w:rsidRPr="006A7BA9">
        <w:rPr>
          <w:rtl/>
        </w:rPr>
        <w:t xml:space="preserve"> אבן סינא כאן היא להדגיש שה'טבע', שהוא הכוחות וה</w:t>
      </w:r>
      <w:r w:rsidR="00A370D3">
        <w:rPr>
          <w:rFonts w:hint="cs"/>
          <w:rtl/>
        </w:rPr>
        <w:t>ה</w:t>
      </w:r>
      <w:r w:rsidRPr="006A7BA9">
        <w:rPr>
          <w:rtl/>
        </w:rPr>
        <w:t xml:space="preserve">שפעות וכל מה שמוחשי, הוא </w:t>
      </w:r>
      <w:r w:rsidR="00A370D3">
        <w:rPr>
          <w:rFonts w:hint="cs"/>
          <w:rtl/>
        </w:rPr>
        <w:t>על דרך משל</w:t>
      </w:r>
      <w:r w:rsidRPr="006A7BA9">
        <w:rPr>
          <w:rtl/>
        </w:rPr>
        <w:t xml:space="preserve"> פועל 'בתוך' העצם</w:t>
      </w:r>
      <w:r w:rsidR="00391BD8">
        <w:rPr>
          <w:rFonts w:hint="cs"/>
          <w:rtl/>
        </w:rPr>
        <w:t>,</w:t>
      </w:r>
      <w:r w:rsidRPr="006A7BA9">
        <w:rPr>
          <w:rtl/>
        </w:rPr>
        <w:t xml:space="preserve"> כלומר מבחינת המציאות הטבע והעצם אינם שני דברים. למשל מה שאדם מוגדר כ'חי' מצד העצם שהוא, שהוא 'חי מדבר', זה אמת גם אם לא היה מתנועע, נושם, או בעל חום טבעי, או </w:t>
      </w:r>
      <w:r w:rsidRPr="006A7BA9">
        <w:rPr>
          <w:rFonts w:hint="eastAsia"/>
          <w:rtl/>
        </w:rPr>
        <w:t>ניזון</w:t>
      </w:r>
      <w:r w:rsidRPr="006A7BA9">
        <w:rPr>
          <w:rtl/>
        </w:rPr>
        <w:t xml:space="preserve"> וגדל, או מדבר, או מראה סימני חיים כלשהם. סימני החיים הם עוד עניין מלבד מה שהוא עצם חי מצד עצמו, ואפשר לומר </w:t>
      </w:r>
      <w:r w:rsidR="00492E67">
        <w:rPr>
          <w:rFonts w:hint="cs"/>
          <w:rtl/>
        </w:rPr>
        <w:t xml:space="preserve">על דר משל </w:t>
      </w:r>
      <w:r w:rsidRPr="006A7BA9">
        <w:rPr>
          <w:rtl/>
        </w:rPr>
        <w:t>שסימני החיים פועלים 'בתוך' העצם שהוא חי מצד עצמו</w:t>
      </w:r>
      <w:r w:rsidR="00492E67">
        <w:rPr>
          <w:rFonts w:hint="cs"/>
          <w:rtl/>
        </w:rPr>
        <w:t xml:space="preserve">, </w:t>
      </w:r>
      <w:r w:rsidRPr="006A7BA9">
        <w:rPr>
          <w:rtl/>
        </w:rPr>
        <w:t>מה שהטבע פעיל זה כמו שהיה פעיל ב</w:t>
      </w:r>
      <w:r w:rsidRPr="006A7BA9">
        <w:rPr>
          <w:rFonts w:hint="eastAsia"/>
          <w:rtl/>
        </w:rPr>
        <w:t>תוך</w:t>
      </w:r>
      <w:r w:rsidRPr="006A7BA9">
        <w:rPr>
          <w:rtl/>
        </w:rPr>
        <w:t xml:space="preserve"> בית שאינו פעיל והבית אחד איתו, כמו קונכייה של שבלול או מעטפה של חגב. </w:t>
      </w:r>
    </w:p>
  </w:footnote>
  <w:footnote w:id="496">
    <w:p w14:paraId="4C25AB45" w14:textId="77777777" w:rsidR="005716C8" w:rsidRDefault="00E46953">
      <w:pPr>
        <w:pStyle w:val="FootnoteText"/>
        <w:rPr>
          <w:rtl/>
        </w:rPr>
      </w:pPr>
      <w:r>
        <w:rPr>
          <w:rStyle w:val="FootnoteReference"/>
        </w:rPr>
        <w:footnoteRef/>
      </w:r>
      <w:r>
        <w:rPr>
          <w:rtl/>
        </w:rPr>
        <w:t xml:space="preserve"> </w:t>
      </w:r>
      <w:r w:rsidR="004B43EE">
        <w:rPr>
          <w:rFonts w:hint="cs"/>
          <w:rtl/>
        </w:rPr>
        <w:t>אבן סינא מונה כאן את היחסים בין העצם ובין מה שמחו</w:t>
      </w:r>
      <w:r w:rsidR="007213FD">
        <w:rPr>
          <w:rFonts w:hint="cs"/>
          <w:rtl/>
        </w:rPr>
        <w:t>ץ לו, ו</w:t>
      </w:r>
      <w:r w:rsidR="003C5382">
        <w:rPr>
          <w:rFonts w:hint="cs"/>
          <w:rtl/>
        </w:rPr>
        <w:t xml:space="preserve">כלל היחסים האלה הוא </w:t>
      </w:r>
      <w:r w:rsidR="007213FD">
        <w:rPr>
          <w:rFonts w:hint="cs"/>
          <w:rtl/>
        </w:rPr>
        <w:t xml:space="preserve">הטבע. </w:t>
      </w:r>
      <w:r w:rsidR="0086605E">
        <w:rPr>
          <w:rFonts w:hint="cs"/>
          <w:rtl/>
        </w:rPr>
        <w:t xml:space="preserve">המים לא משפיעים קור על מה שסמוך </w:t>
      </w:r>
      <w:r w:rsidR="00ED6D59">
        <w:rPr>
          <w:rFonts w:hint="cs"/>
          <w:rtl/>
        </w:rPr>
        <w:t>א</w:t>
      </w:r>
      <w:r w:rsidR="0086605E">
        <w:rPr>
          <w:rFonts w:hint="cs"/>
          <w:rtl/>
        </w:rPr>
        <w:t>ל</w:t>
      </w:r>
      <w:r w:rsidR="00ED6D59">
        <w:rPr>
          <w:rFonts w:hint="cs"/>
          <w:rtl/>
        </w:rPr>
        <w:t>י</w:t>
      </w:r>
      <w:r w:rsidR="0086605E">
        <w:rPr>
          <w:rFonts w:hint="cs"/>
          <w:rtl/>
        </w:rPr>
        <w:t>הם, אלא</w:t>
      </w:r>
      <w:r w:rsidR="00ED6D59">
        <w:rPr>
          <w:rFonts w:hint="cs"/>
          <w:rtl/>
        </w:rPr>
        <w:t xml:space="preserve"> </w:t>
      </w:r>
      <w:r w:rsidR="0086605E">
        <w:rPr>
          <w:rFonts w:hint="cs"/>
          <w:rtl/>
        </w:rPr>
        <w:t xml:space="preserve">הם קולטים את החום ממה שסמוך </w:t>
      </w:r>
      <w:r w:rsidR="00ED6D59">
        <w:rPr>
          <w:rFonts w:hint="cs"/>
          <w:rtl/>
        </w:rPr>
        <w:t>א</w:t>
      </w:r>
      <w:r w:rsidR="0086605E">
        <w:rPr>
          <w:rFonts w:hint="cs"/>
          <w:rtl/>
        </w:rPr>
        <w:t>ל</w:t>
      </w:r>
      <w:r w:rsidR="00ED6D59">
        <w:rPr>
          <w:rFonts w:hint="cs"/>
          <w:rtl/>
        </w:rPr>
        <w:t>י</w:t>
      </w:r>
      <w:r w:rsidR="0086605E">
        <w:rPr>
          <w:rFonts w:hint="cs"/>
          <w:rtl/>
        </w:rPr>
        <w:t>הם</w:t>
      </w:r>
      <w:r w:rsidR="005634EA">
        <w:rPr>
          <w:rFonts w:hint="cs"/>
          <w:rtl/>
        </w:rPr>
        <w:t>, כי הקור אינו אלא העדר חום</w:t>
      </w:r>
      <w:r w:rsidR="00052C7F">
        <w:rPr>
          <w:rFonts w:hint="cs"/>
          <w:rtl/>
        </w:rPr>
        <w:t xml:space="preserve"> (וכגון שספוג </w:t>
      </w:r>
      <w:r w:rsidR="00676E90">
        <w:rPr>
          <w:rFonts w:hint="cs"/>
          <w:rtl/>
        </w:rPr>
        <w:t>לא</w:t>
      </w:r>
      <w:r w:rsidR="00052C7F">
        <w:rPr>
          <w:rFonts w:hint="cs"/>
          <w:rtl/>
        </w:rPr>
        <w:t xml:space="preserve"> משפיע יובש אלא קולט את הרטיבות, כי יובש הוא רק העדר רטיבות </w:t>
      </w:r>
      <w:r w:rsidR="00676E90">
        <w:rPr>
          <w:rFonts w:hint="cs"/>
          <w:rtl/>
        </w:rPr>
        <w:t>ולא יש</w:t>
      </w:r>
      <w:r w:rsidR="00052C7F">
        <w:rPr>
          <w:rFonts w:hint="cs"/>
          <w:rtl/>
        </w:rPr>
        <w:t xml:space="preserve"> חיובי</w:t>
      </w:r>
      <w:r w:rsidR="00676E90">
        <w:rPr>
          <w:rFonts w:hint="cs"/>
          <w:rtl/>
        </w:rPr>
        <w:t>)</w:t>
      </w:r>
      <w:r w:rsidR="0086605E">
        <w:rPr>
          <w:rFonts w:hint="cs"/>
          <w:rtl/>
        </w:rPr>
        <w:t xml:space="preserve">. </w:t>
      </w:r>
      <w:r w:rsidR="00FB1D75">
        <w:rPr>
          <w:rFonts w:hint="cs"/>
          <w:rtl/>
        </w:rPr>
        <w:t xml:space="preserve">לעומת זאת את הרטיבות המים משפיעים על מה שסמוך אליהם. </w:t>
      </w:r>
    </w:p>
    <w:p w14:paraId="42180DC3" w14:textId="55708DD7" w:rsidR="00E46953" w:rsidRDefault="005716C8" w:rsidP="00D23F08">
      <w:pPr>
        <w:pStyle w:val="FootnoteText"/>
        <w:rPr>
          <w:rtl/>
        </w:rPr>
      </w:pPr>
      <w:r>
        <w:rPr>
          <w:rFonts w:hint="cs"/>
          <w:rtl/>
        </w:rPr>
        <w:t>המים משפיעים רטיבות על ידי שהרטיבות היא התואר שלהם והוא עובר למה שהם במגע איתו</w:t>
      </w:r>
      <w:r w:rsidR="004E12FF">
        <w:rPr>
          <w:rFonts w:hint="cs"/>
          <w:rtl/>
        </w:rPr>
        <w:t xml:space="preserve"> (זה העניין הכללי של </w:t>
      </w:r>
      <w:r w:rsidR="002957F4">
        <w:rPr>
          <w:rFonts w:hint="cs"/>
          <w:rtl/>
        </w:rPr>
        <w:t>'</w:t>
      </w:r>
      <w:r w:rsidR="004E12FF">
        <w:rPr>
          <w:rFonts w:hint="cs"/>
          <w:rtl/>
        </w:rPr>
        <w:t>טבע</w:t>
      </w:r>
      <w:r w:rsidR="002957F4">
        <w:rPr>
          <w:rFonts w:hint="cs"/>
          <w:rtl/>
        </w:rPr>
        <w:t>',</w:t>
      </w:r>
      <w:r w:rsidR="004E12FF">
        <w:rPr>
          <w:rFonts w:hint="cs"/>
          <w:rtl/>
        </w:rPr>
        <w:t xml:space="preserve"> שהוא מעבר על ידי מגע, של הנעה או השפעות שינוי</w:t>
      </w:r>
      <w:r w:rsidR="002957F4">
        <w:rPr>
          <w:rFonts w:hint="cs"/>
          <w:rtl/>
        </w:rPr>
        <w:t xml:space="preserve">. </w:t>
      </w:r>
      <w:r w:rsidR="006F01F1">
        <w:rPr>
          <w:rFonts w:hint="cs"/>
          <w:rtl/>
        </w:rPr>
        <w:t xml:space="preserve">מה שדווקא מגע יכול להעביר השפעות כאלה הוא מכח האחדות החומרית של כל העצמים החומריים, שהיא היסוד </w:t>
      </w:r>
      <w:r w:rsidR="00B7069D">
        <w:rPr>
          <w:rFonts w:hint="cs"/>
          <w:rtl/>
        </w:rPr>
        <w:t xml:space="preserve">של </w:t>
      </w:r>
      <w:r w:rsidR="006F01F1">
        <w:rPr>
          <w:rFonts w:hint="cs"/>
          <w:rtl/>
        </w:rPr>
        <w:t>ה</w:t>
      </w:r>
      <w:r w:rsidR="00B7069D">
        <w:rPr>
          <w:rFonts w:hint="cs"/>
          <w:rtl/>
        </w:rPr>
        <w:t>'</w:t>
      </w:r>
      <w:r w:rsidR="006F01F1">
        <w:rPr>
          <w:rFonts w:hint="cs"/>
          <w:rtl/>
        </w:rPr>
        <w:t>טבע</w:t>
      </w:r>
      <w:r w:rsidR="00B7069D">
        <w:rPr>
          <w:rFonts w:hint="cs"/>
          <w:rtl/>
        </w:rPr>
        <w:t>', במובחן מהצורה שהיא עניין נפרד לכל עצם. השפעה צורנית עוברת לא במגע אלא בדרך של שפע, כמו שביאר במורה נבוכים ב' י"ב</w:t>
      </w:r>
      <w:r w:rsidR="00570BD9">
        <w:rPr>
          <w:rFonts w:hint="cs"/>
          <w:rtl/>
        </w:rPr>
        <w:t>, עיין שם היטב</w:t>
      </w:r>
      <w:r w:rsidR="004F1DBF">
        <w:rPr>
          <w:rFonts w:hint="cs"/>
          <w:rtl/>
        </w:rPr>
        <w:t xml:space="preserve"> דברים עמוקים ומאירי עיניים</w:t>
      </w:r>
      <w:r w:rsidR="002957F4">
        <w:rPr>
          <w:rFonts w:hint="cs"/>
          <w:rtl/>
        </w:rPr>
        <w:t>)</w:t>
      </w:r>
      <w:r w:rsidR="00D23F08">
        <w:rPr>
          <w:rFonts w:hint="cs"/>
          <w:rtl/>
        </w:rPr>
        <w:t xml:space="preserve">. </w:t>
      </w:r>
      <w:r w:rsidR="00FB1D75">
        <w:rPr>
          <w:rFonts w:hint="cs"/>
          <w:rtl/>
        </w:rPr>
        <w:t>ה</w:t>
      </w:r>
      <w:r w:rsidR="00977DA5">
        <w:rPr>
          <w:rFonts w:hint="cs"/>
          <w:rtl/>
        </w:rPr>
        <w:t>'</w:t>
      </w:r>
      <w:r w:rsidR="00FB1D75">
        <w:rPr>
          <w:rFonts w:hint="cs"/>
          <w:rtl/>
        </w:rPr>
        <w:t>תואר</w:t>
      </w:r>
      <w:r w:rsidR="00977DA5">
        <w:rPr>
          <w:rFonts w:hint="cs"/>
          <w:rtl/>
        </w:rPr>
        <w:t>'</w:t>
      </w:r>
      <w:r w:rsidR="00FB1D75">
        <w:rPr>
          <w:rFonts w:hint="cs"/>
          <w:rtl/>
        </w:rPr>
        <w:t xml:space="preserve"> הוא הצורה החיצונית של המים, האופן בו רואה אותם העין, וזה אינו הצורה המהותית</w:t>
      </w:r>
      <w:r w:rsidR="00977DA5">
        <w:rPr>
          <w:rFonts w:hint="cs"/>
          <w:rtl/>
        </w:rPr>
        <w:t xml:space="preserve">, ולכן זה שייך לטבע ולא לעצם. </w:t>
      </w:r>
      <w:r w:rsidR="001A2B73">
        <w:rPr>
          <w:rFonts w:hint="cs"/>
          <w:rtl/>
        </w:rPr>
        <w:t xml:space="preserve">באדם נאמר שהעצם 'אדם' הוא </w:t>
      </w:r>
      <w:r w:rsidR="00FA4A23">
        <w:rPr>
          <w:rFonts w:hint="cs"/>
          <w:rtl/>
        </w:rPr>
        <w:t>'</w:t>
      </w:r>
      <w:r w:rsidR="001A2B73">
        <w:rPr>
          <w:rFonts w:hint="cs"/>
          <w:rtl/>
        </w:rPr>
        <w:t>חי מדבר</w:t>
      </w:r>
      <w:r w:rsidR="00FA4A23">
        <w:rPr>
          <w:rFonts w:hint="cs"/>
          <w:rtl/>
        </w:rPr>
        <w:t>'</w:t>
      </w:r>
      <w:r w:rsidR="001A2B73">
        <w:rPr>
          <w:rFonts w:hint="cs"/>
          <w:rtl/>
        </w:rPr>
        <w:t xml:space="preserve">, </w:t>
      </w:r>
      <w:r w:rsidR="001A2B73">
        <w:rPr>
          <w:rFonts w:hint="cs"/>
          <w:rtl/>
        </w:rPr>
        <w:t>ומ</w:t>
      </w:r>
      <w:r w:rsidR="004B7268">
        <w:rPr>
          <w:rFonts w:hint="cs"/>
          <w:rtl/>
        </w:rPr>
        <w:t>'</w:t>
      </w:r>
      <w:r w:rsidR="001A2B73">
        <w:rPr>
          <w:rFonts w:hint="cs"/>
          <w:rtl/>
        </w:rPr>
        <w:t>טבעו</w:t>
      </w:r>
      <w:r w:rsidR="004B7268">
        <w:rPr>
          <w:rFonts w:hint="cs"/>
          <w:rtl/>
        </w:rPr>
        <w:t>'</w:t>
      </w:r>
      <w:r w:rsidR="001A2B73">
        <w:rPr>
          <w:rFonts w:hint="cs"/>
          <w:rtl/>
        </w:rPr>
        <w:t xml:space="preserve"> שיהיו לו בשר ועור ו</w:t>
      </w:r>
      <w:r w:rsidR="009406BF">
        <w:rPr>
          <w:rFonts w:hint="cs"/>
          <w:rtl/>
        </w:rPr>
        <w:t>ראש וגוף ושתי ידיים וחמש אצבעות וכיו"ב. האופן ש</w:t>
      </w:r>
      <w:r w:rsidR="005C6527">
        <w:rPr>
          <w:rFonts w:hint="cs"/>
          <w:rtl/>
        </w:rPr>
        <w:t>בו</w:t>
      </w:r>
      <w:r w:rsidR="009406BF">
        <w:rPr>
          <w:rFonts w:hint="cs"/>
          <w:rtl/>
        </w:rPr>
        <w:t xml:space="preserve"> הטבע מוכתב מכח המהות, כלומר מה מחייב של'חי מדבר' תהיינה </w:t>
      </w:r>
      <w:r w:rsidR="005C6527">
        <w:rPr>
          <w:rFonts w:hint="cs"/>
          <w:rtl/>
        </w:rPr>
        <w:t xml:space="preserve">דווקא </w:t>
      </w:r>
      <w:r w:rsidR="009406BF">
        <w:rPr>
          <w:rFonts w:hint="cs"/>
          <w:rtl/>
        </w:rPr>
        <w:t>חמש אצבעות ביד ול</w:t>
      </w:r>
      <w:r w:rsidR="0035062A">
        <w:rPr>
          <w:rFonts w:hint="cs"/>
          <w:rtl/>
        </w:rPr>
        <w:t>א</w:t>
      </w:r>
      <w:r w:rsidR="009406BF">
        <w:rPr>
          <w:rFonts w:hint="cs"/>
          <w:rtl/>
        </w:rPr>
        <w:t xml:space="preserve"> שש, זה </w:t>
      </w:r>
      <w:r w:rsidR="0035062A">
        <w:rPr>
          <w:rFonts w:hint="cs"/>
          <w:rtl/>
        </w:rPr>
        <w:t>נקרא סוד שיעור קומה וכתבתי בזה לעיל</w:t>
      </w:r>
      <w:r w:rsidR="006C3A09">
        <w:rPr>
          <w:rFonts w:hint="cs"/>
          <w:rtl/>
        </w:rPr>
        <w:t>,</w:t>
      </w:r>
      <w:r w:rsidR="0035062A">
        <w:rPr>
          <w:rFonts w:hint="cs"/>
          <w:rtl/>
        </w:rPr>
        <w:t xml:space="preserve"> </w:t>
      </w:r>
      <w:r w:rsidR="005C6527">
        <w:rPr>
          <w:rFonts w:hint="cs"/>
          <w:rtl/>
        </w:rPr>
        <w:t xml:space="preserve">ועיין גם במילות הגיון לרמב"ם שער </w:t>
      </w:r>
      <w:r w:rsidR="0020087E">
        <w:rPr>
          <w:rFonts w:hint="cs"/>
          <w:rtl/>
        </w:rPr>
        <w:t>י"א</w:t>
      </w:r>
      <w:r w:rsidR="006C3A09">
        <w:rPr>
          <w:rFonts w:hint="cs"/>
          <w:rtl/>
        </w:rPr>
        <w:t xml:space="preserve"> לגבי </w:t>
      </w:r>
      <w:r w:rsidR="004F1048" w:rsidRPr="004F1048">
        <w:rPr>
          <w:rtl/>
        </w:rPr>
        <w:t>הָעֲצְמוּת</w:t>
      </w:r>
      <w:r w:rsidR="006C3A09">
        <w:rPr>
          <w:rFonts w:hint="cs"/>
          <w:rtl/>
        </w:rPr>
        <w:t xml:space="preserve"> והטבע</w:t>
      </w:r>
      <w:r w:rsidR="0020087E">
        <w:rPr>
          <w:rFonts w:hint="cs"/>
          <w:rtl/>
        </w:rPr>
        <w:t xml:space="preserve">. </w:t>
      </w:r>
      <w:r w:rsidR="003407FD">
        <w:rPr>
          <w:rFonts w:hint="cs"/>
          <w:rtl/>
        </w:rPr>
        <w:t xml:space="preserve">ובאריסטו יש הרבה מקומות בהם נדון העניין העמוק הזה מבחינות שונות ולא כאן המקום להאריך. </w:t>
      </w:r>
    </w:p>
    <w:p w14:paraId="588D612A" w14:textId="6C578FBE" w:rsidR="00A56992" w:rsidRDefault="00A56992">
      <w:pPr>
        <w:pStyle w:val="FootnoteText"/>
        <w:rPr>
          <w:rtl/>
        </w:rPr>
      </w:pPr>
      <w:r>
        <w:rPr>
          <w:rFonts w:hint="cs"/>
          <w:rtl/>
        </w:rPr>
        <w:t xml:space="preserve">היחסים של להניע ולהיות מונע הם ביחס למקום הקרוב, </w:t>
      </w:r>
      <w:r w:rsidR="007155F6">
        <w:rPr>
          <w:rFonts w:hint="cs"/>
          <w:rtl/>
        </w:rPr>
        <w:t xml:space="preserve">דהיינו </w:t>
      </w:r>
      <w:r>
        <w:rPr>
          <w:rFonts w:hint="cs"/>
          <w:rtl/>
        </w:rPr>
        <w:t xml:space="preserve">מה שהמים נוגעים בו. </w:t>
      </w:r>
      <w:r w:rsidR="007155F6">
        <w:rPr>
          <w:rFonts w:hint="cs"/>
          <w:rtl/>
        </w:rPr>
        <w:t>היחס אל המקום שבו ינוחו המים</w:t>
      </w:r>
      <w:r w:rsidR="00654D95">
        <w:rPr>
          <w:rFonts w:hint="cs"/>
          <w:rtl/>
        </w:rPr>
        <w:t xml:space="preserve"> בסוף זרימתם כלפי מטה</w:t>
      </w:r>
      <w:r w:rsidR="007155F6">
        <w:rPr>
          <w:rFonts w:hint="cs"/>
          <w:rtl/>
        </w:rPr>
        <w:t xml:space="preserve">, הוא מרכז הכדור, הוא יחס אל מקום רחוק. </w:t>
      </w:r>
      <w:r w:rsidR="00654D95">
        <w:rPr>
          <w:rFonts w:hint="cs"/>
          <w:rtl/>
        </w:rPr>
        <w:t>המקום הוא הגבולות של הגוף, מה שבינו לגופים אחרים</w:t>
      </w:r>
      <w:r w:rsidR="00A10B71">
        <w:rPr>
          <w:rFonts w:hint="cs"/>
          <w:rtl/>
        </w:rPr>
        <w:t xml:space="preserve">, </w:t>
      </w:r>
      <w:r w:rsidR="00CA7504">
        <w:rPr>
          <w:rFonts w:hint="cs"/>
          <w:rtl/>
        </w:rPr>
        <w:t xml:space="preserve">המקום הוא </w:t>
      </w:r>
      <w:r w:rsidR="00702AE5">
        <w:rPr>
          <w:rFonts w:hint="cs"/>
          <w:rtl/>
        </w:rPr>
        <w:t>חלקו</w:t>
      </w:r>
      <w:r w:rsidR="00CA7504">
        <w:rPr>
          <w:rFonts w:hint="cs"/>
          <w:rtl/>
        </w:rPr>
        <w:t xml:space="preserve"> של העצם בתוך המערכת הכללית שהוא שייך אליה, </w:t>
      </w:r>
      <w:r w:rsidR="00702AE5">
        <w:rPr>
          <w:rFonts w:hint="cs"/>
          <w:rtl/>
        </w:rPr>
        <w:t>שהיא</w:t>
      </w:r>
      <w:r w:rsidR="00CA7504">
        <w:rPr>
          <w:rFonts w:hint="cs"/>
          <w:rtl/>
        </w:rPr>
        <w:t xml:space="preserve"> המציאות</w:t>
      </w:r>
      <w:r w:rsidR="00702AE5">
        <w:rPr>
          <w:rFonts w:hint="cs"/>
          <w:rtl/>
        </w:rPr>
        <w:t xml:space="preserve"> </w:t>
      </w:r>
      <w:r w:rsidR="00CA7504">
        <w:rPr>
          <w:rFonts w:hint="cs"/>
          <w:rtl/>
        </w:rPr>
        <w:t>של הטבע כולו</w:t>
      </w:r>
      <w:r w:rsidR="00654D95">
        <w:rPr>
          <w:rFonts w:hint="cs"/>
          <w:rtl/>
        </w:rPr>
        <w:t>. ה'עצם' במובחן מה</w:t>
      </w:r>
      <w:r w:rsidR="00702AE5">
        <w:rPr>
          <w:rFonts w:hint="cs"/>
          <w:rtl/>
        </w:rPr>
        <w:t>'</w:t>
      </w:r>
      <w:r w:rsidR="00654D95">
        <w:rPr>
          <w:rFonts w:hint="cs"/>
          <w:rtl/>
        </w:rPr>
        <w:t>טבע</w:t>
      </w:r>
      <w:r w:rsidR="00702AE5">
        <w:rPr>
          <w:rFonts w:hint="cs"/>
          <w:rtl/>
        </w:rPr>
        <w:t>'</w:t>
      </w:r>
      <w:r w:rsidR="00654D95">
        <w:rPr>
          <w:rFonts w:hint="cs"/>
          <w:rtl/>
        </w:rPr>
        <w:t xml:space="preserve"> אינו מוגדר במקום כלל</w:t>
      </w:r>
      <w:r w:rsidR="00FC13AE">
        <w:rPr>
          <w:rFonts w:hint="cs"/>
          <w:rtl/>
        </w:rPr>
        <w:t xml:space="preserve"> (המקום הוא אחת מהקטגוריות והוא נפרד מקטגוריית העצם)</w:t>
      </w:r>
      <w:r w:rsidR="00654D95">
        <w:rPr>
          <w:rFonts w:hint="cs"/>
          <w:rtl/>
        </w:rPr>
        <w:t>, כל מה ש</w:t>
      </w:r>
      <w:r w:rsidR="00FC13AE">
        <w:rPr>
          <w:rFonts w:hint="cs"/>
          <w:rtl/>
        </w:rPr>
        <w:t xml:space="preserve">שייך למקום הוא מצד הטבע ולא מצד הצורה או העצם. </w:t>
      </w:r>
      <w:r w:rsidR="00994229">
        <w:rPr>
          <w:rFonts w:hint="cs"/>
          <w:rtl/>
        </w:rPr>
        <w:t>אפשר לומר שקטגוריית ה</w:t>
      </w:r>
      <w:r w:rsidR="009C0BBA">
        <w:rPr>
          <w:rFonts w:hint="cs"/>
          <w:rtl/>
        </w:rPr>
        <w:t>'</w:t>
      </w:r>
      <w:r w:rsidR="00994229">
        <w:rPr>
          <w:rFonts w:hint="cs"/>
          <w:rtl/>
        </w:rPr>
        <w:t>עצם</w:t>
      </w:r>
      <w:r w:rsidR="009C0BBA">
        <w:rPr>
          <w:rFonts w:hint="cs"/>
          <w:rtl/>
        </w:rPr>
        <w:t>'</w:t>
      </w:r>
      <w:r w:rsidR="00994229">
        <w:rPr>
          <w:rFonts w:hint="cs"/>
          <w:rtl/>
        </w:rPr>
        <w:t xml:space="preserve"> היא כמו נפש שהגו</w:t>
      </w:r>
      <w:r w:rsidR="00664224">
        <w:rPr>
          <w:rFonts w:hint="cs"/>
          <w:rtl/>
        </w:rPr>
        <w:t>ף</w:t>
      </w:r>
      <w:r w:rsidR="00994229">
        <w:rPr>
          <w:rFonts w:hint="cs"/>
          <w:rtl/>
        </w:rPr>
        <w:t xml:space="preserve"> שהיא שורה בו הוא שאר תשע הקטגוריות וכגון כמות (מידות העצם), האיכות, המקום, הזמן, וכן הלאה. </w:t>
      </w:r>
      <w:r w:rsidR="00664224">
        <w:rPr>
          <w:rFonts w:hint="cs"/>
          <w:rtl/>
        </w:rPr>
        <w:t>ה</w:t>
      </w:r>
      <w:r w:rsidR="009C0BBA">
        <w:rPr>
          <w:rFonts w:hint="cs"/>
          <w:rtl/>
        </w:rPr>
        <w:t>'</w:t>
      </w:r>
      <w:r w:rsidR="00664224">
        <w:rPr>
          <w:rFonts w:hint="cs"/>
          <w:rtl/>
        </w:rPr>
        <w:t>טבע</w:t>
      </w:r>
      <w:r w:rsidR="009C0BBA">
        <w:rPr>
          <w:rFonts w:hint="cs"/>
          <w:rtl/>
        </w:rPr>
        <w:t>'</w:t>
      </w:r>
      <w:r w:rsidR="00664224">
        <w:rPr>
          <w:rFonts w:hint="cs"/>
          <w:rtl/>
        </w:rPr>
        <w:t xml:space="preserve"> הוא ההשפעה של הנפש </w:t>
      </w:r>
      <w:r w:rsidR="009C0BBA">
        <w:rPr>
          <w:rFonts w:hint="cs"/>
          <w:rtl/>
        </w:rPr>
        <w:t>על הגוף</w:t>
      </w:r>
      <w:r w:rsidR="00664224">
        <w:rPr>
          <w:rFonts w:hint="cs"/>
          <w:rtl/>
        </w:rPr>
        <w:t xml:space="preserve">, כלומר </w:t>
      </w:r>
      <w:r w:rsidR="009C0BBA">
        <w:rPr>
          <w:rFonts w:hint="cs"/>
          <w:rtl/>
        </w:rPr>
        <w:t xml:space="preserve">ההשפעה של </w:t>
      </w:r>
      <w:r w:rsidR="00664224">
        <w:rPr>
          <w:rFonts w:hint="cs"/>
          <w:rtl/>
        </w:rPr>
        <w:t xml:space="preserve">קטגוריית העצם על </w:t>
      </w:r>
      <w:r w:rsidR="009C0BBA">
        <w:rPr>
          <w:rFonts w:hint="cs"/>
          <w:rtl/>
        </w:rPr>
        <w:t xml:space="preserve">הגדרות שאר הקטגוריות. </w:t>
      </w:r>
    </w:p>
    <w:p w14:paraId="778DC6AB" w14:textId="650A2A27" w:rsidR="00610AFE" w:rsidRDefault="00610AFE">
      <w:pPr>
        <w:pStyle w:val="FootnoteText"/>
        <w:rPr>
          <w:rtl/>
        </w:rPr>
      </w:pPr>
      <w:r>
        <w:rPr>
          <w:rFonts w:hint="cs"/>
          <w:rtl/>
        </w:rPr>
        <w:t xml:space="preserve">למשל </w:t>
      </w:r>
      <w:r w:rsidR="001C7B92">
        <w:rPr>
          <w:rFonts w:hint="cs"/>
          <w:rtl/>
        </w:rPr>
        <w:t xml:space="preserve">'עגבניה' היא עצם, קטגוריית העצם שלה היא 'עגבנייה' אבל בלי מידות ובלי טעם וצבע ובלי זמן ומקום </w:t>
      </w:r>
      <w:r w:rsidR="00EA3043">
        <w:rPr>
          <w:rFonts w:hint="cs"/>
          <w:rtl/>
        </w:rPr>
        <w:t>(</w:t>
      </w:r>
      <w:r w:rsidR="001C7B92">
        <w:rPr>
          <w:rFonts w:hint="cs"/>
          <w:rtl/>
        </w:rPr>
        <w:t>שכל אלה הם הקטגוריות האחרות</w:t>
      </w:r>
      <w:r w:rsidR="00EA3043">
        <w:rPr>
          <w:rFonts w:hint="cs"/>
          <w:rtl/>
        </w:rPr>
        <w:t>)</w:t>
      </w:r>
      <w:r w:rsidR="001C7B92">
        <w:rPr>
          <w:rFonts w:hint="cs"/>
          <w:rtl/>
        </w:rPr>
        <w:t xml:space="preserve"> </w:t>
      </w:r>
      <w:r w:rsidR="00EA3043">
        <w:rPr>
          <w:rFonts w:hint="cs"/>
          <w:rtl/>
        </w:rPr>
        <w:t xml:space="preserve">אלא </w:t>
      </w:r>
      <w:r w:rsidR="001C7B92">
        <w:rPr>
          <w:rFonts w:hint="cs"/>
          <w:rtl/>
        </w:rPr>
        <w:t xml:space="preserve">רק העצם לחוד. </w:t>
      </w:r>
      <w:r w:rsidR="006E1770">
        <w:rPr>
          <w:rFonts w:hint="cs"/>
          <w:rtl/>
        </w:rPr>
        <w:t xml:space="preserve">ברטראנד ראסל שאל על אריסטו שאם נפשיט את העגבניה מכל תשע הקטגוריות, לא יישאר שום דבר. איך תישאר כאן עגבניה כעצם אם אין לה שום מידות ושום צבע וטעם וריח ומקום וזמן, במה העצם הוא </w:t>
      </w:r>
      <w:r w:rsidR="00171A41">
        <w:rPr>
          <w:rFonts w:hint="cs"/>
          <w:rtl/>
        </w:rPr>
        <w:t xml:space="preserve">דווקא </w:t>
      </w:r>
      <w:r w:rsidR="006E1770">
        <w:rPr>
          <w:rFonts w:hint="cs"/>
          <w:rtl/>
        </w:rPr>
        <w:t xml:space="preserve">עגבניה, </w:t>
      </w:r>
      <w:r w:rsidR="00171A41">
        <w:rPr>
          <w:rFonts w:hint="cs"/>
          <w:rtl/>
        </w:rPr>
        <w:t>מה מפריד בינו ובין מלפפון, ו</w:t>
      </w:r>
      <w:r w:rsidR="006E1770">
        <w:rPr>
          <w:rFonts w:hint="cs"/>
          <w:rtl/>
        </w:rPr>
        <w:t xml:space="preserve">במה הוא בכלל קיים. </w:t>
      </w:r>
    </w:p>
    <w:p w14:paraId="4F63FD7F" w14:textId="1F65301E" w:rsidR="00815F6E" w:rsidRDefault="00EA4AE5">
      <w:pPr>
        <w:pStyle w:val="FootnoteText"/>
        <w:rPr>
          <w:rtl/>
        </w:rPr>
      </w:pPr>
      <w:r>
        <w:rPr>
          <w:rFonts w:hint="cs"/>
          <w:rtl/>
        </w:rPr>
        <w:t xml:space="preserve">התשובה היא שהמציאות מתחילה מהמופשט, </w:t>
      </w:r>
      <w:r w:rsidR="00086331">
        <w:rPr>
          <w:rFonts w:hint="cs"/>
          <w:rtl/>
        </w:rPr>
        <w:t>לא מהחומר. זו הנקודה שברטראנד ראסל לא ראה. המופשט הוא האל, והוא אחד וברא רק דבר אחד שהוא החומר הראשון, וכמו שכתב הרמב"ן על בראשית א' א' לגבי הנקודה שהיא ההיולי, והיא כל הבריאה כולה.  החומר</w:t>
      </w:r>
      <w:r w:rsidR="00266042">
        <w:rPr>
          <w:rFonts w:hint="cs"/>
          <w:rtl/>
        </w:rPr>
        <w:t xml:space="preserve"> הראשון מופשט לגמרי גם הוא, כי אין בו שום צורה. בסוד הצמצום שהמופשט </w:t>
      </w:r>
      <w:r w:rsidR="00E52CE6">
        <w:rPr>
          <w:rFonts w:hint="cs"/>
          <w:rtl/>
        </w:rPr>
        <w:t>בורא את המוגבל, מצטמצם למוגבל, למרובה המפורט. מסוד הצמצום שהמופשט שהוא אחדות פשוטה</w:t>
      </w:r>
      <w:r w:rsidR="00475DF7">
        <w:rPr>
          <w:rFonts w:hint="cs"/>
          <w:rtl/>
        </w:rPr>
        <w:t xml:space="preserve"> בלי הרכבה, מתפרט לגילויים מוגבלים שונים של אותו מופשט אחד. אחרי אותה התפרטות</w:t>
      </w:r>
      <w:r w:rsidR="00CD7788">
        <w:rPr>
          <w:rFonts w:hint="cs"/>
          <w:rtl/>
        </w:rPr>
        <w:t>,</w:t>
      </w:r>
      <w:r w:rsidR="00475DF7">
        <w:rPr>
          <w:rFonts w:hint="cs"/>
          <w:rtl/>
        </w:rPr>
        <w:t xml:space="preserve"> השוני </w:t>
      </w:r>
      <w:r w:rsidR="00782D1E">
        <w:rPr>
          <w:rFonts w:hint="cs"/>
          <w:rtl/>
        </w:rPr>
        <w:t xml:space="preserve">המופשט </w:t>
      </w:r>
      <w:r w:rsidR="00475DF7">
        <w:rPr>
          <w:rFonts w:hint="cs"/>
          <w:rtl/>
        </w:rPr>
        <w:t xml:space="preserve">של הגילויים המצומצמים </w:t>
      </w:r>
      <w:r w:rsidR="00782D1E">
        <w:rPr>
          <w:rFonts w:hint="cs"/>
          <w:rtl/>
        </w:rPr>
        <w:t xml:space="preserve">של המופשט, </w:t>
      </w:r>
      <w:r w:rsidR="00475DF7">
        <w:rPr>
          <w:rFonts w:hint="cs"/>
          <w:rtl/>
        </w:rPr>
        <w:t>לובש הגדרות ש</w:t>
      </w:r>
      <w:r w:rsidR="00782D1E">
        <w:rPr>
          <w:rFonts w:hint="cs"/>
          <w:rtl/>
        </w:rPr>
        <w:t xml:space="preserve">קובעות את השוני. </w:t>
      </w:r>
      <w:r w:rsidR="00CD7788">
        <w:rPr>
          <w:rFonts w:hint="cs"/>
          <w:rtl/>
        </w:rPr>
        <w:t xml:space="preserve">לבישת ההגדרות היא תולדה של התפרטות הגילויים של המופשט, וקודם יש את </w:t>
      </w:r>
      <w:r w:rsidR="00E53F0A">
        <w:rPr>
          <w:rFonts w:hint="cs"/>
          <w:rtl/>
        </w:rPr>
        <w:t>מה שהמופשט מצטמצם ומתפרט בלי הגד</w:t>
      </w:r>
      <w:r w:rsidR="003F5F4A">
        <w:rPr>
          <w:rFonts w:hint="cs"/>
          <w:rtl/>
        </w:rPr>
        <w:t>רה למה הוא מתפרט</w:t>
      </w:r>
      <w:r w:rsidR="00E53F0A">
        <w:rPr>
          <w:rFonts w:hint="cs"/>
          <w:rtl/>
        </w:rPr>
        <w:t xml:space="preserve">, ורק בתולדה מזה </w:t>
      </w:r>
      <w:r w:rsidR="003F5F4A">
        <w:rPr>
          <w:rFonts w:hint="cs"/>
          <w:rtl/>
        </w:rPr>
        <w:t xml:space="preserve">יש </w:t>
      </w:r>
      <w:r w:rsidR="00E53F0A">
        <w:rPr>
          <w:rFonts w:hint="cs"/>
          <w:rtl/>
        </w:rPr>
        <w:t xml:space="preserve">את המהות של מה שאליו התפרט המופשט. </w:t>
      </w:r>
      <w:r w:rsidR="003F5F4A">
        <w:rPr>
          <w:rFonts w:hint="cs"/>
          <w:rtl/>
        </w:rPr>
        <w:t xml:space="preserve">זו תפישה של החכמים </w:t>
      </w:r>
      <w:r w:rsidR="005C2C91">
        <w:rPr>
          <w:rFonts w:hint="cs"/>
          <w:rtl/>
        </w:rPr>
        <w:t xml:space="preserve">שדיבר בהם הרמב"ם </w:t>
      </w:r>
      <w:r w:rsidR="00A75AC8">
        <w:rPr>
          <w:rFonts w:hint="cs"/>
          <w:rtl/>
        </w:rPr>
        <w:t xml:space="preserve">(במורה נבוכים א' כ"ו, א' מ"ט, </w:t>
      </w:r>
      <w:r w:rsidR="005C2C91">
        <w:rPr>
          <w:rFonts w:hint="cs"/>
          <w:rtl/>
        </w:rPr>
        <w:t>באיגרת תחיית המתים</w:t>
      </w:r>
      <w:r w:rsidR="00A75AC8">
        <w:rPr>
          <w:rFonts w:hint="cs"/>
          <w:rtl/>
        </w:rPr>
        <w:t xml:space="preserve"> ובעוד מקומות)</w:t>
      </w:r>
      <w:r w:rsidR="005C2C91">
        <w:rPr>
          <w:rFonts w:hint="cs"/>
          <w:rtl/>
        </w:rPr>
        <w:t xml:space="preserve"> </w:t>
      </w:r>
      <w:r w:rsidR="003F5F4A">
        <w:rPr>
          <w:rFonts w:hint="cs"/>
          <w:rtl/>
        </w:rPr>
        <w:t xml:space="preserve">שזכו לשכל עיוני שרואה את המציאות במופשט </w:t>
      </w:r>
      <w:r w:rsidR="005C2C91">
        <w:rPr>
          <w:rFonts w:hint="cs"/>
          <w:rtl/>
        </w:rPr>
        <w:t xml:space="preserve">יותר מאשר בחומרי, כלומר בחסר ההגדרה יותר מאשר במוגדר. </w:t>
      </w:r>
      <w:r w:rsidR="00311030">
        <w:rPr>
          <w:rFonts w:hint="cs"/>
          <w:rtl/>
        </w:rPr>
        <w:t xml:space="preserve">הצורה של 'עגבניה' היא </w:t>
      </w:r>
      <w:r w:rsidR="005042EC">
        <w:rPr>
          <w:rFonts w:hint="cs"/>
          <w:rtl/>
        </w:rPr>
        <w:t>תולדה של כח ההתפרטות של המופשט, שהתפרט בשלב שני למשהו מוגדר</w:t>
      </w:r>
      <w:r w:rsidR="003262B6">
        <w:rPr>
          <w:rFonts w:hint="cs"/>
          <w:rtl/>
        </w:rPr>
        <w:t xml:space="preserve"> שהוא צורת העגבנייה ומהותה</w:t>
      </w:r>
      <w:r w:rsidR="005042EC">
        <w:rPr>
          <w:rFonts w:hint="cs"/>
          <w:rtl/>
        </w:rPr>
        <w:t xml:space="preserve"> (השלב הראשון הוא כח ה</w:t>
      </w:r>
      <w:r w:rsidR="003262B6">
        <w:rPr>
          <w:rFonts w:hint="cs"/>
          <w:rtl/>
        </w:rPr>
        <w:t>ה</w:t>
      </w:r>
      <w:r w:rsidR="005042EC">
        <w:rPr>
          <w:rFonts w:hint="cs"/>
          <w:rtl/>
        </w:rPr>
        <w:t xml:space="preserve">תפרטות למשהו </w:t>
      </w:r>
      <w:r w:rsidR="003262B6">
        <w:rPr>
          <w:rFonts w:hint="cs"/>
          <w:rtl/>
        </w:rPr>
        <w:t xml:space="preserve">שהוא </w:t>
      </w:r>
      <w:r w:rsidR="005042EC">
        <w:rPr>
          <w:rFonts w:hint="cs"/>
          <w:rtl/>
        </w:rPr>
        <w:t>שונה מדברים אחרים, בלי שהוגדר מהו אותו 'משהו'</w:t>
      </w:r>
      <w:r w:rsidR="003262B6">
        <w:rPr>
          <w:rFonts w:hint="cs"/>
          <w:rtl/>
        </w:rPr>
        <w:t xml:space="preserve"> ובמה הוא שונה</w:t>
      </w:r>
      <w:r w:rsidR="005042EC">
        <w:rPr>
          <w:rFonts w:hint="cs"/>
          <w:rtl/>
        </w:rPr>
        <w:t xml:space="preserve">). </w:t>
      </w:r>
      <w:r w:rsidR="00024CF2">
        <w:rPr>
          <w:rFonts w:hint="cs"/>
          <w:rtl/>
        </w:rPr>
        <w:t>קטגוריית ה'עצם'</w:t>
      </w:r>
      <w:r w:rsidR="00C77379">
        <w:rPr>
          <w:rtl/>
        </w:rPr>
        <w:fldChar w:fldCharType="begin"/>
      </w:r>
      <w:r w:rsidR="00C77379">
        <w:instrText xml:space="preserve"> XE "</w:instrText>
      </w:r>
      <w:r w:rsidR="00C77379" w:rsidRPr="00FC558C">
        <w:rPr>
          <w:rFonts w:hint="cs"/>
          <w:rtl/>
        </w:rPr>
        <w:instrText>קטגוריית ה'עצם' - היא נביעת המוגבל מהמופשט</w:instrText>
      </w:r>
      <w:r w:rsidR="00C77379">
        <w:instrText xml:space="preserve">" </w:instrText>
      </w:r>
      <w:r w:rsidR="00C77379">
        <w:rPr>
          <w:rtl/>
        </w:rPr>
        <w:fldChar w:fldCharType="end"/>
      </w:r>
      <w:r w:rsidR="00024CF2">
        <w:rPr>
          <w:rFonts w:hint="cs"/>
          <w:rtl/>
        </w:rPr>
        <w:t xml:space="preserve"> היא נקודת הנביעה של המהות והצורה המוגדרים של העגבנייה מכח ההתפרטות המופשט שעוד לא הוגדר שהוא דווקא עגבנייה, אבל כבר יש בו שוני וחילוק מהתפרטויות אחרות. לכן מכח ההתפרטות הזה שמונח בו רק שוני, לבסוף נולדה צורת עגבנייה, ומכח התפרטות אחר לבסוף נולדה צורת מלפפון</w:t>
      </w:r>
      <w:r w:rsidR="00D87A28">
        <w:rPr>
          <w:rtl/>
        </w:rPr>
        <w:fldChar w:fldCharType="begin"/>
      </w:r>
      <w:r w:rsidR="00D87A28">
        <w:instrText xml:space="preserve"> XE "</w:instrText>
      </w:r>
      <w:r w:rsidR="00D87A28" w:rsidRPr="00D2518E">
        <w:rPr>
          <w:rFonts w:hint="cs"/>
          <w:rtl/>
        </w:rPr>
        <w:instrText>סוד מעשה מרכבה - השתלשלות הצורות</w:instrText>
      </w:r>
      <w:r w:rsidR="00D87A28">
        <w:instrText xml:space="preserve">" </w:instrText>
      </w:r>
      <w:r w:rsidR="00D87A28">
        <w:rPr>
          <w:rtl/>
        </w:rPr>
        <w:fldChar w:fldCharType="end"/>
      </w:r>
      <w:r w:rsidR="00024CF2">
        <w:rPr>
          <w:rFonts w:hint="cs"/>
          <w:rtl/>
        </w:rPr>
        <w:t>.</w:t>
      </w:r>
    </w:p>
    <w:p w14:paraId="71850675" w14:textId="77777777" w:rsidR="00D87A28" w:rsidRDefault="00D87A28">
      <w:pPr>
        <w:pStyle w:val="FootnoteText"/>
        <w:rPr>
          <w:rtl/>
        </w:rPr>
      </w:pPr>
    </w:p>
    <w:p w14:paraId="4A1BFFDE" w14:textId="18133317" w:rsidR="00D87A28" w:rsidRDefault="00D87A28">
      <w:pPr>
        <w:pStyle w:val="FootnoteText"/>
        <w:rPr>
          <w:rtl/>
        </w:rPr>
      </w:pPr>
      <w:r>
        <w:rPr>
          <w:rFonts w:hint="cs"/>
          <w:rtl/>
        </w:rPr>
        <w:t xml:space="preserve">אפלטון בטימיאוס </w:t>
      </w:r>
      <w:r w:rsidR="00AF1B3D">
        <w:rPr>
          <w:rFonts w:hint="cs"/>
          <w:rtl/>
        </w:rPr>
        <w:t xml:space="preserve">דף 36 כתב </w:t>
      </w:r>
      <w:r w:rsidR="00A43F09">
        <w:rPr>
          <w:rFonts w:hint="cs"/>
          <w:rtl/>
        </w:rPr>
        <w:t>על המציאות של 'שוני' כיסוד של שורשי המציאות המופשטים עוד לפני התהוות העצמים השונים</w:t>
      </w:r>
      <w:r w:rsidR="00AF1B3D">
        <w:rPr>
          <w:rFonts w:hint="cs"/>
          <w:rtl/>
        </w:rPr>
        <w:t>:</w:t>
      </w:r>
    </w:p>
    <w:p w14:paraId="338DBFD0" w14:textId="77777777" w:rsidR="00A43F09" w:rsidRDefault="00AF1B3D">
      <w:pPr>
        <w:pStyle w:val="FootnoteText"/>
        <w:rPr>
          <w:rtl/>
        </w:rPr>
      </w:pPr>
      <w:r>
        <w:rPr>
          <w:rFonts w:hint="cs"/>
          <w:rtl/>
        </w:rPr>
        <w:t>"</w:t>
      </w:r>
      <w:r w:rsidRPr="00AF1B3D">
        <w:rPr>
          <w:rtl/>
        </w:rPr>
        <w:t>וה</w:t>
      </w:r>
      <w:r>
        <w:rPr>
          <w:rFonts w:hint="cs"/>
          <w:rtl/>
        </w:rPr>
        <w:t>נשמה ש</w:t>
      </w:r>
      <w:r w:rsidRPr="00AF1B3D">
        <w:rPr>
          <w:rtl/>
        </w:rPr>
        <w:t xml:space="preserve">נארגה בתוך הגוף בכל מקום ומקום, מהאמצע עד לקצוות השמיים, ואף עטפה אותו מבחוץ על פני כל היקפו, </w:t>
      </w:r>
      <w:r w:rsidR="00A43F09">
        <w:rPr>
          <w:rtl/>
        </w:rPr>
        <w:t>-</w:t>
      </w:r>
      <w:r w:rsidRPr="00AF1B3D">
        <w:rPr>
          <w:rtl/>
        </w:rPr>
        <w:t xml:space="preserve"> היא סבבה בתוך עצמה, ופתחה בראשית אלוהית של חיים נבונים שלא ייפסקו בכל הזמנים. וגוף השמיים נוצר בנראה, אך היא איננה נראית, וכיון שחלק לה, לנשמה, בשיקול דעת והארמוניה, וכיון שנוצרה בידי הטוב שבמושכלים הנצחיים, הית</w:t>
      </w:r>
      <w:r w:rsidR="00A43F09">
        <w:rPr>
          <w:rFonts w:hint="cs"/>
          <w:rtl/>
        </w:rPr>
        <w:t>ה</w:t>
      </w:r>
      <w:r w:rsidRPr="00AF1B3D">
        <w:rPr>
          <w:rtl/>
        </w:rPr>
        <w:t xml:space="preserve"> למעולה שבנוצרים. וכיון שהיא מזיגה של שלושת חלקיה, דהיינו של זהות, שוני ומציאות, וכן מחולקת לפי מתכונת ומת</w:t>
      </w:r>
      <w:r w:rsidR="00A43F09">
        <w:rPr>
          <w:rFonts w:hint="cs"/>
          <w:rtl/>
        </w:rPr>
        <w:t>וך</w:t>
      </w:r>
      <w:r w:rsidRPr="00AF1B3D">
        <w:rPr>
          <w:rtl/>
        </w:rPr>
        <w:t xml:space="preserve"> כ</w:t>
      </w:r>
      <w:r w:rsidR="00A43F09">
        <w:rPr>
          <w:rFonts w:hint="cs"/>
          <w:rtl/>
        </w:rPr>
        <w:t>ך</w:t>
      </w:r>
      <w:r w:rsidRPr="00AF1B3D">
        <w:rPr>
          <w:rtl/>
        </w:rPr>
        <w:t xml:space="preserve"> </w:t>
      </w:r>
      <w:r w:rsidR="00A43F09">
        <w:rPr>
          <w:rtl/>
        </w:rPr>
        <w:t>-</w:t>
      </w:r>
      <w:r w:rsidRPr="00AF1B3D">
        <w:rPr>
          <w:rtl/>
        </w:rPr>
        <w:t xml:space="preserve"> מקושרת בה בעצמה, וכיון שיתר על כן היא סובבת סביב עצמה</w:t>
      </w:r>
      <w:r w:rsidR="00A43F09">
        <w:rPr>
          <w:rFonts w:hint="cs"/>
          <w:rtl/>
        </w:rPr>
        <w:t>;</w:t>
      </w:r>
      <w:r w:rsidRPr="00AF1B3D">
        <w:rPr>
          <w:rtl/>
        </w:rPr>
        <w:t xml:space="preserve"> מכל הטעמים האלה, הרי כשהיא באה לידי מגע עם דבר שמציאותו מחולקת, או עם דבר שמציאותו אינה ני</w:t>
      </w:r>
      <w:r w:rsidR="00A43F09">
        <w:rPr>
          <w:rFonts w:hint="cs"/>
          <w:rtl/>
        </w:rPr>
        <w:t>ת</w:t>
      </w:r>
      <w:r w:rsidRPr="00AF1B3D">
        <w:rPr>
          <w:rtl/>
        </w:rPr>
        <w:t>נת להיחלק, הרי היא מתנועעת בכל עיצומה ואומרת: מאיזו בחינה, וכיצד, ובאיזו משמעות. ומתי תחול על דבר־מה זהות עם כל דבר אחר שעמו יזדהה, או יחול בו שוני מכל דבר שממנו שו</w:t>
      </w:r>
      <w:r w:rsidR="00A43F09">
        <w:rPr>
          <w:rFonts w:hint="cs"/>
          <w:rtl/>
        </w:rPr>
        <w:t>נ</w:t>
      </w:r>
      <w:r w:rsidRPr="00AF1B3D">
        <w:rPr>
          <w:rtl/>
        </w:rPr>
        <w:t xml:space="preserve">ה הוא, הן בתחום הדברים המתהווים והן בתחומם של אלה העומדים תמיד בעינם. </w:t>
      </w:r>
    </w:p>
    <w:p w14:paraId="189E4169" w14:textId="3251BFBD" w:rsidR="00AF1B3D" w:rsidRDefault="00AF1B3D">
      <w:pPr>
        <w:pStyle w:val="FootnoteText"/>
        <w:rPr>
          <w:rtl/>
        </w:rPr>
      </w:pPr>
      <w:r w:rsidRPr="00AF1B3D">
        <w:rPr>
          <w:rtl/>
        </w:rPr>
        <w:t>ושיח זה שהוא אמיתי במידה שווה לגבי מה שהוא שונה ולגבי מה שהוא זהה, והמתנהל בלא הגה וקול בת</w:t>
      </w:r>
      <w:r w:rsidR="00A43F09">
        <w:rPr>
          <w:rFonts w:hint="cs"/>
          <w:rtl/>
        </w:rPr>
        <w:t>וך</w:t>
      </w:r>
      <w:r w:rsidRPr="00AF1B3D">
        <w:rPr>
          <w:rtl/>
        </w:rPr>
        <w:t xml:space="preserve"> המונע מכוח עצמו, </w:t>
      </w:r>
      <w:r w:rsidR="00A43F09">
        <w:rPr>
          <w:rtl/>
        </w:rPr>
        <w:t>-</w:t>
      </w:r>
      <w:r w:rsidRPr="00AF1B3D">
        <w:rPr>
          <w:rtl/>
        </w:rPr>
        <w:t xml:space="preserve"> כשעניינו הוא המוחש, ומעגלו המישיר לכת של השונה מודיע את פסק הדין בכל רחבי נשמתו, אזי נוצרות סברות ואמונות בטוחות  </w:t>
      </w:r>
      <w:r w:rsidR="00A43F09">
        <w:rPr>
          <w:rFonts w:hint="cs"/>
          <w:rtl/>
        </w:rPr>
        <w:t>ו</w:t>
      </w:r>
      <w:r w:rsidRPr="00AF1B3D">
        <w:rPr>
          <w:rtl/>
        </w:rPr>
        <w:t>אמיתיות: אולם כשעניינו המושכל, ומעגלו המיטיב סוב של הזהה מצהיר את פסקי</w:t>
      </w:r>
      <w:r w:rsidR="00A43F09">
        <w:rPr>
          <w:rFonts w:hint="cs"/>
          <w:rtl/>
        </w:rPr>
        <w:t xml:space="preserve"> </w:t>
      </w:r>
      <w:r w:rsidRPr="00AF1B3D">
        <w:rPr>
          <w:rtl/>
        </w:rPr>
        <w:t>השיח, תקום בהכרח תבונה ודעת.</w:t>
      </w:r>
      <w:r>
        <w:rPr>
          <w:rFonts w:hint="cs"/>
          <w:rtl/>
        </w:rPr>
        <w:t>"</w:t>
      </w:r>
      <w:r w:rsidR="00A43F09">
        <w:rPr>
          <w:rFonts w:hint="cs"/>
          <w:rtl/>
        </w:rPr>
        <w:t xml:space="preserve"> (ועיין עוד שם בקישור הדברים)</w:t>
      </w:r>
    </w:p>
    <w:p w14:paraId="736FEBED" w14:textId="1449DE0C" w:rsidR="00A43F09" w:rsidRDefault="00A43F09">
      <w:pPr>
        <w:pStyle w:val="FootnoteText"/>
        <w:rPr>
          <w:rtl/>
        </w:rPr>
      </w:pPr>
      <w:r>
        <w:rPr>
          <w:rFonts w:hint="cs"/>
          <w:rtl/>
        </w:rPr>
        <w:t xml:space="preserve">הזהות היא האחדות האלוהית הפשוטה המוחלטת שאין בה הרכבה, האין סוף, </w:t>
      </w:r>
      <w:r w:rsidR="00567A6A">
        <w:rPr>
          <w:rFonts w:hint="cs"/>
          <w:rtl/>
        </w:rPr>
        <w:t>והשוני הוא העולם הנברא המוגבל שהגבולות קובעים בו דברים שונים זה מזה. שוני בלי זהות לא יביא לידי מציאות כי הכל יתפרק עד לאין, וכמו שאמר הרקליטוס שאי אפשר לטבול באותו נהר פעמיים</w:t>
      </w:r>
      <w:r w:rsidR="00A75AC8">
        <w:rPr>
          <w:rFonts w:hint="cs"/>
          <w:rtl/>
        </w:rPr>
        <w:t xml:space="preserve"> (וקרטילוס </w:t>
      </w:r>
      <w:r w:rsidR="00C2745A">
        <w:rPr>
          <w:rFonts w:hint="cs"/>
          <w:rtl/>
        </w:rPr>
        <w:t>(</w:t>
      </w:r>
      <w:r w:rsidR="00C2745A">
        <w:t>Krat</w:t>
      </w:r>
      <w:r w:rsidR="00BF096B">
        <w:t>y</w:t>
      </w:r>
      <w:r w:rsidR="00C2745A">
        <w:t>los</w:t>
      </w:r>
      <w:r w:rsidR="00C2745A">
        <w:rPr>
          <w:rFonts w:hint="cs"/>
          <w:rtl/>
        </w:rPr>
        <w:t xml:space="preserve">) </w:t>
      </w:r>
      <w:r w:rsidR="00A75AC8">
        <w:rPr>
          <w:rFonts w:hint="cs"/>
          <w:rtl/>
        </w:rPr>
        <w:t>תלמידו אמר שגם פעם אחת אי אפשר, ואין כלל מילה ומושג 'נהר', ולא שום מילה אחרת, וגזר על עצמו שתיקה</w:t>
      </w:r>
      <w:r w:rsidR="00961D26">
        <w:rPr>
          <w:rFonts w:hint="cs"/>
          <w:rtl/>
        </w:rPr>
        <w:t xml:space="preserve"> (עיין מטאפיזיקה א</w:t>
      </w:r>
      <w:r w:rsidR="005C07E8">
        <w:rPr>
          <w:rFonts w:hint="cs"/>
          <w:rtl/>
        </w:rPr>
        <w:t>'</w:t>
      </w:r>
      <w:r w:rsidR="00961D26">
        <w:rPr>
          <w:rFonts w:hint="cs"/>
          <w:rtl/>
        </w:rPr>
        <w:t xml:space="preserve"> </w:t>
      </w:r>
      <w:r w:rsidR="005C07E8">
        <w:rPr>
          <w:rFonts w:hint="cs"/>
          <w:rtl/>
        </w:rPr>
        <w:t>ו' במהד' רות בעיבוד ש</w:t>
      </w:r>
      <w:r w:rsidR="00C2745A">
        <w:rPr>
          <w:rFonts w:hint="cs"/>
          <w:rtl/>
        </w:rPr>
        <w:t>קולניקוב הערה 3 (עמ' 57)</w:t>
      </w:r>
      <w:r w:rsidR="00961D26">
        <w:rPr>
          <w:rFonts w:hint="cs"/>
          <w:rtl/>
        </w:rPr>
        <w:t>)</w:t>
      </w:r>
      <w:r w:rsidR="00A75AC8">
        <w:rPr>
          <w:rFonts w:hint="cs"/>
          <w:rtl/>
        </w:rPr>
        <w:t>)</w:t>
      </w:r>
      <w:r w:rsidR="00567A6A">
        <w:rPr>
          <w:rFonts w:hint="cs"/>
          <w:rtl/>
        </w:rPr>
        <w:t xml:space="preserve">, והיינו שאין נהר כלל ואין שום דבר כלל. וזהות בלי שוני היא אחדות אלוהית פשוטה שאינה מציאות של נבראים. אלא המציאות נובעת רק מהמזיגה של הזהות והשוני. זה סוד מעשה מרכבה איך אלה יכולים להתמזג באחדות גמורה (כמו שכתב במורה נבוכים א' ע"ב במקום שכתב "ישתבח מי שנצחנו שלמותו", ועיין שם א' ע'). </w:t>
      </w:r>
    </w:p>
    <w:p w14:paraId="34F393CD" w14:textId="77777777" w:rsidR="00AA783C" w:rsidRDefault="00567A6A">
      <w:pPr>
        <w:pStyle w:val="FootnoteText"/>
        <w:rPr>
          <w:rtl/>
        </w:rPr>
      </w:pPr>
      <w:r>
        <w:rPr>
          <w:rFonts w:hint="cs"/>
          <w:rtl/>
        </w:rPr>
        <w:t>הסתירה זו גורמת לנו להיות מנוצחים</w:t>
      </w:r>
      <w:r w:rsidR="00AA783C">
        <w:rPr>
          <w:rFonts w:hint="cs"/>
          <w:rtl/>
        </w:rPr>
        <w:t xml:space="preserve"> כלשון המורה נבוכים</w:t>
      </w:r>
      <w:r>
        <w:rPr>
          <w:rFonts w:hint="cs"/>
          <w:rtl/>
        </w:rPr>
        <w:t>, והיא האש ש</w:t>
      </w:r>
      <w:r w:rsidR="00AA783C">
        <w:rPr>
          <w:rFonts w:hint="cs"/>
          <w:rtl/>
        </w:rPr>
        <w:t>במהות הבריאה</w:t>
      </w:r>
      <w:r>
        <w:rPr>
          <w:rFonts w:hint="cs"/>
          <w:rtl/>
        </w:rPr>
        <w:t xml:space="preserve">, </w:t>
      </w:r>
      <w:r w:rsidR="00AA783C">
        <w:rPr>
          <w:rFonts w:hint="cs"/>
          <w:rtl/>
        </w:rPr>
        <w:t xml:space="preserve">שהיא </w:t>
      </w:r>
      <w:r>
        <w:rPr>
          <w:rFonts w:hint="cs"/>
          <w:rtl/>
        </w:rPr>
        <w:t xml:space="preserve">כליון שקיים ככליון, כמו הסנה שבוער באש ואינו אוכל. זה מה שכתב בטימיאוס שכשהנשמה באה לידי מגע עם דבר שמציאותו מחולקת היא מתנועעת בכל עיצומה ושואלת, כי הוא סוד </w:t>
      </w:r>
      <w:r w:rsidR="00AA783C">
        <w:rPr>
          <w:rFonts w:hint="cs"/>
          <w:rtl/>
        </w:rPr>
        <w:t xml:space="preserve">שאין לו פתרון </w:t>
      </w:r>
      <w:r>
        <w:rPr>
          <w:rFonts w:hint="cs"/>
          <w:rtl/>
        </w:rPr>
        <w:t>איך יתכן דבר מחולק אם האלוהות היא אחדות פשוטה מוחלטת, וכן כשהנשמה באה לידי מגע עם מה שמציאותו אינה נית</w:t>
      </w:r>
      <w:r w:rsidR="00AA783C">
        <w:rPr>
          <w:rFonts w:hint="cs"/>
          <w:rtl/>
        </w:rPr>
        <w:t>נת</w:t>
      </w:r>
      <w:r>
        <w:rPr>
          <w:rFonts w:hint="cs"/>
          <w:rtl/>
        </w:rPr>
        <w:t xml:space="preserve"> להחלק, </w:t>
      </w:r>
      <w:r w:rsidR="00AA783C">
        <w:rPr>
          <w:rFonts w:hint="cs"/>
          <w:rtl/>
        </w:rPr>
        <w:t>היא מתנועעת בכל עיצומה ושואלת איך יתכן שיש נבראים ומציאות אחרי שהאלוהות היא אחדות פשוטה. החיים הם אותה תנועה בכל עיצומה לכאן ולכאן, של פליאה מול הסוד, שנגרמת מהסתירה של סוד מעשה מרכבה</w:t>
      </w:r>
      <w:r w:rsidR="00AA783C">
        <w:rPr>
          <w:rtl/>
        </w:rPr>
        <w:fldChar w:fldCharType="begin"/>
      </w:r>
      <w:r w:rsidR="00AA783C">
        <w:instrText xml:space="preserve"> XE "</w:instrText>
      </w:r>
      <w:r w:rsidR="00AA783C" w:rsidRPr="00FC779C">
        <w:rPr>
          <w:rFonts w:hint="cs"/>
          <w:rtl/>
        </w:rPr>
        <w:instrText>מעשה מרכבה</w:instrText>
      </w:r>
      <w:r w:rsidR="00AA783C">
        <w:instrText xml:space="preserve">" </w:instrText>
      </w:r>
      <w:r w:rsidR="00AA783C">
        <w:rPr>
          <w:rtl/>
        </w:rPr>
        <w:fldChar w:fldCharType="end"/>
      </w:r>
      <w:r w:rsidR="00AA783C">
        <w:rPr>
          <w:rFonts w:hint="cs"/>
          <w:rtl/>
        </w:rPr>
        <w:t>.</w:t>
      </w:r>
    </w:p>
    <w:p w14:paraId="29A5212D" w14:textId="005E38D1" w:rsidR="00EA4AE5" w:rsidRDefault="00AA783C" w:rsidP="0027549C">
      <w:pPr>
        <w:pStyle w:val="FootnoteText"/>
      </w:pPr>
      <w:r>
        <w:rPr>
          <w:rFonts w:hint="cs"/>
          <w:rtl/>
        </w:rPr>
        <w:t xml:space="preserve">בכל אופן מבואר כאן שהשוני הוא עניין בפני עצמו שקיים כמופשט, והוא משורש המציאות ולכן בהכרח קיים עוד לפני המציאות של עצמים נפרדים מוגדרים. היניקה של הצורה מהשורש המופשט של השוני, אותה נקודת נביעה מדוייקת שבה עוד אין עצם אבל כבר יש את התחלת מציאותו של העצם, היא קטגוריית ה'עצם'. כשהיא הופכת למהות מוגדרת, ל'משהו', אז היא מתאחדת עם שאר הקטגוריות שהם כמו כלי להכיל את השוני ולהגדיר אותו. </w:t>
      </w:r>
      <w:r w:rsidR="00EF0D6F">
        <w:rPr>
          <w:rFonts w:hint="cs"/>
          <w:rtl/>
        </w:rPr>
        <w:t>הטבע הוא ירידת שפע המציאות משורש העצם אל הצורה המוגדרת, שהיא המהות ומשם אל מה שנובע ממנה לקבוע את התואר החיצוני, שיש לו מידות ואיכויות ומקום וזמן וכן הלאה, ואת כל היחסים בין העצם שכבר תפש מקום במערכת הטבע החומרי ובין כל שאר חלקי המערכת הזו.</w:t>
      </w:r>
      <w:r>
        <w:rPr>
          <w:rFonts w:hint="cs"/>
          <w:rtl/>
        </w:rPr>
        <w:t xml:space="preserve">  </w:t>
      </w:r>
    </w:p>
  </w:footnote>
  <w:footnote w:id="497">
    <w:p w14:paraId="111F86F0" w14:textId="5E0621FB" w:rsidR="0027549C" w:rsidRDefault="0027549C">
      <w:pPr>
        <w:pStyle w:val="FootnoteText"/>
      </w:pPr>
      <w:r>
        <w:rPr>
          <w:rStyle w:val="FootnoteReference"/>
        </w:rPr>
        <w:footnoteRef/>
      </w:r>
      <w:r>
        <w:rPr>
          <w:rtl/>
        </w:rPr>
        <w:t xml:space="preserve"> </w:t>
      </w:r>
      <w:r w:rsidR="00162BFE">
        <w:rPr>
          <w:rFonts w:hint="cs"/>
          <w:rtl/>
        </w:rPr>
        <w:t xml:space="preserve">מה שהנגר פועל על הקרשים כשהוא עושה מהם מיטה, </w:t>
      </w:r>
      <w:r w:rsidR="008F2ABA">
        <w:rPr>
          <w:rFonts w:hint="cs"/>
          <w:rtl/>
        </w:rPr>
        <w:t>אלה</w:t>
      </w:r>
      <w:r w:rsidR="00162BFE">
        <w:rPr>
          <w:rFonts w:hint="cs"/>
          <w:rtl/>
        </w:rPr>
        <w:t xml:space="preserve"> פעולות מקריות לגבי הקרשים ואינן נובעות מטבעם ובוודאי לא מצורתם, </w:t>
      </w:r>
      <w:r w:rsidR="005665FB">
        <w:rPr>
          <w:rFonts w:hint="cs"/>
          <w:rtl/>
        </w:rPr>
        <w:t xml:space="preserve">אבל הרי הנגר לא היה יכול לעשות מיטה ממים או </w:t>
      </w:r>
      <w:r w:rsidR="008F2ABA">
        <w:rPr>
          <w:rFonts w:hint="cs"/>
          <w:rtl/>
        </w:rPr>
        <w:t>מ</w:t>
      </w:r>
      <w:r w:rsidR="005665FB">
        <w:rPr>
          <w:rFonts w:hint="cs"/>
          <w:rtl/>
        </w:rPr>
        <w:t>חול ו</w:t>
      </w:r>
      <w:r w:rsidR="008F2ABA">
        <w:rPr>
          <w:rFonts w:hint="cs"/>
          <w:rtl/>
        </w:rPr>
        <w:t xml:space="preserve">כל </w:t>
      </w:r>
      <w:r w:rsidR="005665FB">
        <w:rPr>
          <w:rFonts w:hint="cs"/>
          <w:rtl/>
        </w:rPr>
        <w:t xml:space="preserve">כיו"ב, כלומר הצורה </w:t>
      </w:r>
      <w:r w:rsidR="008F2ABA">
        <w:rPr>
          <w:rFonts w:hint="cs"/>
          <w:rtl/>
        </w:rPr>
        <w:t xml:space="preserve">והטבע של הקרשים </w:t>
      </w:r>
      <w:r w:rsidR="005665FB">
        <w:rPr>
          <w:rFonts w:hint="cs"/>
          <w:rtl/>
        </w:rPr>
        <w:t>מכינ</w:t>
      </w:r>
      <w:r w:rsidR="008F2ABA">
        <w:rPr>
          <w:rFonts w:hint="cs"/>
          <w:rtl/>
        </w:rPr>
        <w:t>ים</w:t>
      </w:r>
      <w:r w:rsidR="005665FB">
        <w:rPr>
          <w:rFonts w:hint="cs"/>
          <w:rtl/>
        </w:rPr>
        <w:t xml:space="preserve"> את הגוף של הקרשים להיות </w:t>
      </w:r>
      <w:r w:rsidR="008F2ABA">
        <w:rPr>
          <w:rFonts w:hint="cs"/>
          <w:rtl/>
        </w:rPr>
        <w:t>עם טבע שמוכן ל</w:t>
      </w:r>
      <w:r w:rsidR="005665FB">
        <w:rPr>
          <w:rFonts w:hint="cs"/>
          <w:rtl/>
        </w:rPr>
        <w:t>קבל פעולות מקריות מלאכותיות</w:t>
      </w:r>
      <w:r w:rsidR="008F2ABA">
        <w:rPr>
          <w:rFonts w:hint="cs"/>
          <w:rtl/>
        </w:rPr>
        <w:t>, והפעולות המקריות קורות לחומר רק על ידי מה שהצורה מכינה אותו</w:t>
      </w:r>
      <w:r w:rsidR="005665FB">
        <w:rPr>
          <w:rFonts w:hint="cs"/>
          <w:rtl/>
        </w:rPr>
        <w:t xml:space="preserve">. </w:t>
      </w:r>
      <w:r w:rsidR="00C1494F">
        <w:rPr>
          <w:rFonts w:hint="cs"/>
          <w:rtl/>
        </w:rPr>
        <w:t xml:space="preserve">וכן גם בטבע, מה שהרוח שוברת ענף של עץ זה מקרי לעץ, אבל הרוח לא הייתה שוברת </w:t>
      </w:r>
      <w:r w:rsidR="00440CAE">
        <w:rPr>
          <w:rFonts w:hint="cs"/>
          <w:rtl/>
        </w:rPr>
        <w:t xml:space="preserve">דבר שעשוי ממתכת או ממים, כלומר צורת העץ מכינה אותו לקבל את פעולת הרוח, ולכן </w:t>
      </w:r>
      <w:r w:rsidR="00153432">
        <w:rPr>
          <w:rFonts w:hint="cs"/>
          <w:rtl/>
        </w:rPr>
        <w:t>למרות</w:t>
      </w:r>
      <w:r w:rsidR="00440CAE">
        <w:rPr>
          <w:rFonts w:hint="cs"/>
          <w:rtl/>
        </w:rPr>
        <w:t xml:space="preserve"> שהשבירה היא מקרית, זה עדיין </w:t>
      </w:r>
      <w:r w:rsidR="00153432">
        <w:rPr>
          <w:rFonts w:hint="cs"/>
          <w:rtl/>
        </w:rPr>
        <w:t>שייך לצורה</w:t>
      </w:r>
      <w:r w:rsidR="00162BFE">
        <w:rPr>
          <w:rFonts w:hint="cs"/>
          <w:rtl/>
        </w:rPr>
        <w:t>.</w:t>
      </w:r>
    </w:p>
  </w:footnote>
  <w:footnote w:id="498">
    <w:p w14:paraId="65ECF52D" w14:textId="46BD0F51" w:rsidR="0087738F" w:rsidRDefault="0087738F">
      <w:pPr>
        <w:pStyle w:val="FootnoteText"/>
      </w:pPr>
      <w:r>
        <w:rPr>
          <w:rStyle w:val="FootnoteReference"/>
        </w:rPr>
        <w:footnoteRef/>
      </w:r>
      <w:r>
        <w:rPr>
          <w:rtl/>
        </w:rPr>
        <w:t xml:space="preserve"> </w:t>
      </w:r>
      <w:r>
        <w:rPr>
          <w:rFonts w:hint="cs"/>
          <w:rtl/>
        </w:rPr>
        <w:t>מהותי להם, נובע מצורתם.</w:t>
      </w:r>
    </w:p>
  </w:footnote>
  <w:footnote w:id="499">
    <w:p w14:paraId="70F980E2" w14:textId="16DCF68D" w:rsidR="00555D2D" w:rsidRDefault="00555D2D">
      <w:pPr>
        <w:pStyle w:val="FootnoteText"/>
      </w:pPr>
      <w:r>
        <w:rPr>
          <w:rStyle w:val="FootnoteReference"/>
        </w:rPr>
        <w:footnoteRef/>
      </w:r>
      <w:r>
        <w:rPr>
          <w:rtl/>
        </w:rPr>
        <w:t xml:space="preserve"> </w:t>
      </w:r>
      <w:r w:rsidR="005C3FBC">
        <w:rPr>
          <w:rFonts w:hint="cs"/>
          <w:rtl/>
        </w:rPr>
        <w:t xml:space="preserve">כמו נפילת האבן שהיא תמיד לצד מרכז הכדור. </w:t>
      </w:r>
    </w:p>
  </w:footnote>
  <w:footnote w:id="500">
    <w:p w14:paraId="5EFC9093" w14:textId="2FA47AC5" w:rsidR="00812C29" w:rsidRDefault="00812C29" w:rsidP="00812C29">
      <w:pPr>
        <w:pStyle w:val="FootnoteText"/>
      </w:pPr>
      <w:r>
        <w:rPr>
          <w:rStyle w:val="FootnoteReference"/>
        </w:rPr>
        <w:footnoteRef/>
      </w:r>
      <w:r>
        <w:rPr>
          <w:rtl/>
        </w:rPr>
        <w:t xml:space="preserve"> </w:t>
      </w:r>
      <w:r>
        <w:rPr>
          <w:rFonts w:hint="cs"/>
          <w:rtl/>
        </w:rPr>
        <w:t xml:space="preserve">הפילוסופיה הראשונה היא </w:t>
      </w:r>
      <w:r>
        <w:rPr>
          <w:rFonts w:hint="cs"/>
          <w:rtl/>
        </w:rPr>
        <w:t xml:space="preserve">המטאפיזיקה, הנקראת בערבית בשם שאריסטו קרא לה והיא חכמת האלוהות (חכמת הטבע שבה אנו עוסקים כאן היא הפילוסופיה השנייה). מקגיניס הפנה כאן לחלק המטאפיזיקה של הריפוי, ספר ב' פרקים ב'-ד'. </w:t>
      </w:r>
    </w:p>
  </w:footnote>
  <w:footnote w:id="501">
    <w:p w14:paraId="5720072C" w14:textId="77777777" w:rsidR="00D10A3D" w:rsidRDefault="00FB3EE7" w:rsidP="00406A0C">
      <w:pPr>
        <w:pStyle w:val="FootnoteText"/>
        <w:rPr>
          <w:rtl/>
        </w:rPr>
      </w:pPr>
      <w:r>
        <w:rPr>
          <w:rStyle w:val="FootnoteReference"/>
        </w:rPr>
        <w:footnoteRef/>
      </w:r>
      <w:r>
        <w:rPr>
          <w:rtl/>
        </w:rPr>
        <w:t xml:space="preserve"> </w:t>
      </w:r>
      <w:r w:rsidR="00F94977">
        <w:rPr>
          <w:rFonts w:hint="cs"/>
          <w:rtl/>
        </w:rPr>
        <w:t xml:space="preserve">עיין בכל זה </w:t>
      </w:r>
      <w:r w:rsidR="00406A0C">
        <w:rPr>
          <w:rFonts w:hint="cs"/>
          <w:rtl/>
        </w:rPr>
        <w:t xml:space="preserve">באריכות </w:t>
      </w:r>
      <w:r w:rsidR="00F94977">
        <w:rPr>
          <w:rFonts w:hint="cs"/>
          <w:rtl/>
        </w:rPr>
        <w:t xml:space="preserve">לעיל 1.5.6 בהערות. </w:t>
      </w:r>
      <w:r w:rsidR="00406A0C">
        <w:rPr>
          <w:rFonts w:hint="cs"/>
          <w:rtl/>
        </w:rPr>
        <w:t>אחזור כאן בקיצור:</w:t>
      </w:r>
    </w:p>
    <w:p w14:paraId="2743CB9D" w14:textId="03A474C3" w:rsidR="00B5382A" w:rsidRDefault="0084742E" w:rsidP="00406A0C">
      <w:pPr>
        <w:pStyle w:val="FootnoteText"/>
        <w:rPr>
          <w:rtl/>
        </w:rPr>
      </w:pPr>
      <w:r>
        <w:rPr>
          <w:rFonts w:hint="cs"/>
          <w:rtl/>
        </w:rPr>
        <w:t>אריסטו</w:t>
      </w:r>
      <w:r w:rsidR="004700A4">
        <w:rPr>
          <w:rFonts w:hint="cs"/>
          <w:rtl/>
        </w:rPr>
        <w:t xml:space="preserve"> בפיזיקה ב' א'</w:t>
      </w:r>
      <w:r>
        <w:rPr>
          <w:rFonts w:hint="cs"/>
          <w:rtl/>
        </w:rPr>
        <w:t xml:space="preserve"> הגדיר את הטבע כהתחלת תנועה שהיא בעצמו של הדבר, כלומר במהותו</w:t>
      </w:r>
      <w:r w:rsidR="00BA101E">
        <w:rPr>
          <w:rFonts w:hint="cs"/>
          <w:rtl/>
        </w:rPr>
        <w:t>, ולא תוצאה ממקרה חיצוני שהניע אותו</w:t>
      </w:r>
      <w:r w:rsidR="004700A4">
        <w:rPr>
          <w:rFonts w:hint="cs"/>
          <w:rtl/>
        </w:rPr>
        <w:t>.</w:t>
      </w:r>
      <w:r w:rsidR="00BA101E">
        <w:rPr>
          <w:rFonts w:hint="cs"/>
          <w:rtl/>
        </w:rPr>
        <w:t xml:space="preserve"> </w:t>
      </w:r>
      <w:r w:rsidR="00E74A4C">
        <w:rPr>
          <w:rFonts w:hint="cs"/>
          <w:rtl/>
        </w:rPr>
        <w:t>מה שאבן נופלת ישר</w:t>
      </w:r>
      <w:r w:rsidR="00F37E63">
        <w:rPr>
          <w:rFonts w:hint="cs"/>
          <w:rtl/>
        </w:rPr>
        <w:t xml:space="preserve"> </w:t>
      </w:r>
      <w:r w:rsidR="00E74A4C">
        <w:rPr>
          <w:rFonts w:hint="cs"/>
          <w:rtl/>
        </w:rPr>
        <w:t xml:space="preserve">למטה כששומטים אותה </w:t>
      </w:r>
      <w:r w:rsidR="00912D8A">
        <w:rPr>
          <w:rFonts w:hint="cs"/>
          <w:rtl/>
        </w:rPr>
        <w:t xml:space="preserve">(או מה שאש עולה ישר למעלה) </w:t>
      </w:r>
      <w:r w:rsidR="00E74A4C">
        <w:rPr>
          <w:rFonts w:hint="cs"/>
          <w:rtl/>
        </w:rPr>
        <w:t xml:space="preserve">הוא תנועה שנובעת מטבעה, כלומר ממהותה, </w:t>
      </w:r>
      <w:r w:rsidR="00F37E63">
        <w:rPr>
          <w:rFonts w:hint="cs"/>
          <w:rtl/>
        </w:rPr>
        <w:t>ויש בה חוקיות</w:t>
      </w:r>
      <w:r w:rsidR="00253D78">
        <w:rPr>
          <w:rFonts w:hint="cs"/>
          <w:rtl/>
        </w:rPr>
        <w:t xml:space="preserve"> קבועה,</w:t>
      </w:r>
      <w:r w:rsidR="00F37E63">
        <w:rPr>
          <w:rFonts w:hint="cs"/>
          <w:rtl/>
        </w:rPr>
        <w:t xml:space="preserve"> היא ניתנת ל</w:t>
      </w:r>
      <w:r w:rsidR="00253D78">
        <w:rPr>
          <w:rFonts w:hint="cs"/>
          <w:rtl/>
        </w:rPr>
        <w:t xml:space="preserve">ידיעה מראש וחישוב התנועה, </w:t>
      </w:r>
      <w:r w:rsidR="00E74A4C">
        <w:rPr>
          <w:rFonts w:hint="cs"/>
          <w:rtl/>
        </w:rPr>
        <w:t>לעומת זאת אם זורקים אבן זו תנועה ש</w:t>
      </w:r>
      <w:r w:rsidR="00F37E63">
        <w:rPr>
          <w:rFonts w:hint="cs"/>
          <w:rtl/>
        </w:rPr>
        <w:t>מקורה במקרה חיצוני לאבן</w:t>
      </w:r>
      <w:r w:rsidR="00253D78">
        <w:rPr>
          <w:rFonts w:hint="cs"/>
          <w:rtl/>
        </w:rPr>
        <w:t>, ואי אפשר לצפות אותה מראש או לחשב אותה לפני שהיא קורה</w:t>
      </w:r>
      <w:r w:rsidR="00164F73">
        <w:rPr>
          <w:rFonts w:hint="cs"/>
          <w:rtl/>
        </w:rPr>
        <w:t xml:space="preserve"> (חלק ממשמעות המילה </w:t>
      </w:r>
      <w:r w:rsidR="00912D8A">
        <w:rPr>
          <w:rFonts w:hint="cs"/>
          <w:rtl/>
        </w:rPr>
        <w:t>'</w:t>
      </w:r>
      <w:r w:rsidR="00164F73">
        <w:rPr>
          <w:rFonts w:hint="cs"/>
          <w:rtl/>
        </w:rPr>
        <w:t>טבע</w:t>
      </w:r>
      <w:r w:rsidR="00912D8A">
        <w:rPr>
          <w:rFonts w:hint="cs"/>
          <w:rtl/>
        </w:rPr>
        <w:t>'</w:t>
      </w:r>
      <w:r w:rsidR="00164F73">
        <w:rPr>
          <w:rFonts w:hint="cs"/>
          <w:rtl/>
        </w:rPr>
        <w:t xml:space="preserve"> היא משהו קבוע, </w:t>
      </w:r>
      <w:r w:rsidR="00974544">
        <w:rPr>
          <w:rFonts w:hint="cs"/>
          <w:rtl/>
        </w:rPr>
        <w:t xml:space="preserve">דפוס, </w:t>
      </w:r>
      <w:r w:rsidR="00164F73">
        <w:rPr>
          <w:rFonts w:hint="cs"/>
          <w:rtl/>
        </w:rPr>
        <w:t>כמו צור</w:t>
      </w:r>
      <w:r w:rsidR="00974544">
        <w:rPr>
          <w:rFonts w:hint="cs"/>
          <w:rtl/>
        </w:rPr>
        <w:t>ת חותם</w:t>
      </w:r>
      <w:r w:rsidR="00164F73">
        <w:rPr>
          <w:rFonts w:hint="cs"/>
          <w:rtl/>
        </w:rPr>
        <w:t xml:space="preserve"> שמוטבעת ב</w:t>
      </w:r>
      <w:r w:rsidR="00974544">
        <w:rPr>
          <w:rFonts w:hint="cs"/>
          <w:rtl/>
        </w:rPr>
        <w:t>חומר ומתקבעת בו</w:t>
      </w:r>
      <w:r w:rsidR="00164F73">
        <w:rPr>
          <w:rFonts w:hint="cs"/>
          <w:rtl/>
        </w:rPr>
        <w:t>)</w:t>
      </w:r>
      <w:r w:rsidR="00F37E63">
        <w:rPr>
          <w:rFonts w:hint="cs"/>
          <w:rtl/>
        </w:rPr>
        <w:t xml:space="preserve">. </w:t>
      </w:r>
    </w:p>
    <w:p w14:paraId="481974E2" w14:textId="77777777" w:rsidR="007048CA" w:rsidRDefault="002C2475">
      <w:pPr>
        <w:pStyle w:val="FootnoteText"/>
        <w:rPr>
          <w:rtl/>
        </w:rPr>
      </w:pPr>
      <w:r>
        <w:rPr>
          <w:rFonts w:hint="cs"/>
          <w:rtl/>
        </w:rPr>
        <w:t>אבן סינא לעיל ביאר ש'צורה' היא עצם מהות הדבר כשלעצמו, ו</w:t>
      </w:r>
      <w:r w:rsidR="00FE7912">
        <w:rPr>
          <w:rFonts w:hint="cs"/>
          <w:rtl/>
        </w:rPr>
        <w:t>'</w:t>
      </w:r>
      <w:r>
        <w:rPr>
          <w:rFonts w:hint="cs"/>
          <w:rtl/>
        </w:rPr>
        <w:t>טבע</w:t>
      </w:r>
      <w:r w:rsidR="00FE7912">
        <w:rPr>
          <w:rFonts w:hint="cs"/>
          <w:rtl/>
        </w:rPr>
        <w:t>'</w:t>
      </w:r>
      <w:r>
        <w:rPr>
          <w:rFonts w:hint="cs"/>
          <w:rtl/>
        </w:rPr>
        <w:t xml:space="preserve"> הוא הפעולות </w:t>
      </w:r>
      <w:r>
        <w:rPr>
          <w:rFonts w:hint="cs"/>
          <w:rtl/>
        </w:rPr>
        <w:t>וההיפעלויות שנובעות מהצורה</w:t>
      </w:r>
      <w:r w:rsidR="00FE7912">
        <w:rPr>
          <w:rFonts w:hint="cs"/>
          <w:rtl/>
        </w:rPr>
        <w:t>, כלומר סך כל היחסים של העצם עם מה שמ</w:t>
      </w:r>
      <w:r w:rsidR="007048CA">
        <w:rPr>
          <w:rFonts w:hint="cs"/>
          <w:rtl/>
        </w:rPr>
        <w:t>ח</w:t>
      </w:r>
      <w:r w:rsidR="00FE7912">
        <w:rPr>
          <w:rFonts w:hint="cs"/>
          <w:rtl/>
        </w:rPr>
        <w:t>וץ לו, לפי מה שמוכתב מהצורה המהותית שלו ולא ממקרים חיצוניים</w:t>
      </w:r>
      <w:r>
        <w:rPr>
          <w:rFonts w:hint="cs"/>
          <w:rtl/>
        </w:rPr>
        <w:t>.</w:t>
      </w:r>
    </w:p>
    <w:p w14:paraId="18957EE7" w14:textId="529E7227" w:rsidR="00AC5D31" w:rsidRDefault="00FA2620" w:rsidP="00180E2E">
      <w:pPr>
        <w:pStyle w:val="FootnoteText"/>
        <w:rPr>
          <w:rtl/>
        </w:rPr>
      </w:pPr>
      <w:r>
        <w:rPr>
          <w:rFonts w:hint="cs"/>
          <w:rtl/>
        </w:rPr>
        <w:t xml:space="preserve">באדם יש טבע שדומה לאבן, כששומטים אותו </w:t>
      </w:r>
      <w:r w:rsidR="00CC6EB1">
        <w:rPr>
          <w:rFonts w:hint="cs"/>
          <w:rtl/>
        </w:rPr>
        <w:t xml:space="preserve">יש בו התחלת תנועה שהיא ממהותו </w:t>
      </w:r>
      <w:r w:rsidR="006542E4">
        <w:rPr>
          <w:rFonts w:hint="cs"/>
          <w:rtl/>
        </w:rPr>
        <w:t>ו</w:t>
      </w:r>
      <w:r w:rsidR="00CC6EB1">
        <w:rPr>
          <w:rFonts w:hint="cs"/>
          <w:rtl/>
        </w:rPr>
        <w:t xml:space="preserve">מכוחה </w:t>
      </w:r>
      <w:r>
        <w:rPr>
          <w:rFonts w:hint="cs"/>
          <w:rtl/>
        </w:rPr>
        <w:t xml:space="preserve">הוא נופל ישר למטה. </w:t>
      </w:r>
      <w:r w:rsidR="00CC6EB1">
        <w:rPr>
          <w:rFonts w:hint="cs"/>
          <w:rtl/>
        </w:rPr>
        <w:t xml:space="preserve">יש לו גם טבע של צמח, כלומר הוא גדל, </w:t>
      </w:r>
      <w:r w:rsidR="00B876A7">
        <w:rPr>
          <w:rFonts w:hint="cs"/>
          <w:rtl/>
        </w:rPr>
        <w:t xml:space="preserve">תנועת הגדילה היא מטבעו העצמי ולא ממקרה חיצוני ולכן זה טבע שלו. יש לאדם גם טבע של בעל חיים, </w:t>
      </w:r>
      <w:r w:rsidR="001C7E23">
        <w:rPr>
          <w:rFonts w:hint="cs"/>
          <w:rtl/>
        </w:rPr>
        <w:t xml:space="preserve">למשל </w:t>
      </w:r>
      <w:r w:rsidR="001E5AC7">
        <w:rPr>
          <w:rFonts w:hint="cs"/>
          <w:rtl/>
        </w:rPr>
        <w:t>מה ש</w:t>
      </w:r>
      <w:r w:rsidR="001C7E23">
        <w:rPr>
          <w:rFonts w:hint="cs"/>
          <w:rtl/>
        </w:rPr>
        <w:t>יש לו חום טבעי</w:t>
      </w:r>
      <w:r w:rsidR="001E5AC7">
        <w:rPr>
          <w:rFonts w:hint="cs"/>
          <w:rtl/>
        </w:rPr>
        <w:t>, זו תנועת חימום שנובעת מ</w:t>
      </w:r>
      <w:r w:rsidR="006542E4">
        <w:rPr>
          <w:rFonts w:hint="cs"/>
          <w:rtl/>
        </w:rPr>
        <w:t>טבעו המהותי. וגם מה שהוא חושב</w:t>
      </w:r>
      <w:r w:rsidR="00CF41AD">
        <w:rPr>
          <w:rFonts w:hint="cs"/>
          <w:rtl/>
        </w:rPr>
        <w:t xml:space="preserve"> </w:t>
      </w:r>
      <w:r w:rsidR="006542E4">
        <w:rPr>
          <w:rFonts w:hint="cs"/>
          <w:rtl/>
        </w:rPr>
        <w:t xml:space="preserve">מחשבות זה </w:t>
      </w:r>
      <w:r w:rsidR="00CF41AD">
        <w:rPr>
          <w:rFonts w:hint="cs"/>
          <w:rtl/>
        </w:rPr>
        <w:t xml:space="preserve">תנועה שנובעת </w:t>
      </w:r>
      <w:r w:rsidR="006542E4">
        <w:rPr>
          <w:rFonts w:hint="cs"/>
          <w:rtl/>
        </w:rPr>
        <w:t>מטבעו</w:t>
      </w:r>
      <w:r w:rsidR="00CF41AD">
        <w:rPr>
          <w:rFonts w:hint="cs"/>
          <w:rtl/>
        </w:rPr>
        <w:t xml:space="preserve"> המהותי ולא ממקרה חיצוני</w:t>
      </w:r>
      <w:r w:rsidR="006542E4">
        <w:rPr>
          <w:rFonts w:hint="cs"/>
          <w:rtl/>
        </w:rPr>
        <w:t>.</w:t>
      </w:r>
      <w:r w:rsidR="00121AE6">
        <w:rPr>
          <w:rFonts w:hint="cs"/>
          <w:rtl/>
        </w:rPr>
        <w:t xml:space="preserve"> ריבוי הטבעים האלה הוא מה שנאמר בתחילת הסעיף שהעצמים שמדובר בהם הם מורכבים. </w:t>
      </w:r>
    </w:p>
    <w:p w14:paraId="39892816" w14:textId="77777777" w:rsidR="0018218A" w:rsidRDefault="007B6337">
      <w:pPr>
        <w:pStyle w:val="FootnoteText"/>
        <w:rPr>
          <w:rtl/>
        </w:rPr>
      </w:pPr>
      <w:r>
        <w:rPr>
          <w:rFonts w:hint="cs"/>
          <w:rtl/>
        </w:rPr>
        <w:t xml:space="preserve">לפעמים הטבעים </w:t>
      </w:r>
      <w:r w:rsidR="00121AE6">
        <w:rPr>
          <w:rFonts w:hint="cs"/>
          <w:rtl/>
        </w:rPr>
        <w:t xml:space="preserve">האלה סותרים. אם אדם רוצה להרים את ידו למעלה, </w:t>
      </w:r>
      <w:r w:rsidR="005D7DBA">
        <w:rPr>
          <w:rFonts w:hint="cs"/>
          <w:rtl/>
        </w:rPr>
        <w:t>מהותו שהוא בעל חיים ולא גוף דומם, וטבעו של בעל חיים הוא לנוע באופן רצוני לפי החלטתו ורצונו</w:t>
      </w:r>
      <w:r w:rsidR="00A77E3C">
        <w:rPr>
          <w:rFonts w:hint="cs"/>
          <w:rtl/>
        </w:rPr>
        <w:t>, ומצד זה התנועה של היד למעלה היא מטבעו. אבל מצד שני היד נמשכת למטה מצד הכובד שלה כגוף דומם, וגם זה</w:t>
      </w:r>
      <w:r w:rsidR="007E355F">
        <w:rPr>
          <w:rFonts w:hint="cs"/>
          <w:rtl/>
        </w:rPr>
        <w:t xml:space="preserve"> מה</w:t>
      </w:r>
      <w:r w:rsidR="00A77E3C">
        <w:rPr>
          <w:rFonts w:hint="cs"/>
          <w:rtl/>
        </w:rPr>
        <w:t xml:space="preserve">טבע שלה. </w:t>
      </w:r>
      <w:r w:rsidR="007E355F">
        <w:rPr>
          <w:rFonts w:hint="cs"/>
          <w:rtl/>
        </w:rPr>
        <w:t>היא מורכבת מטבע דומם ומטבע חי, ולכן יש בה שני טבעים שיכולים להיות סותרים.</w:t>
      </w:r>
    </w:p>
    <w:p w14:paraId="2BBF51F9" w14:textId="77777777" w:rsidR="00FF7D88" w:rsidRDefault="00D40864">
      <w:pPr>
        <w:pStyle w:val="FootnoteText"/>
        <w:rPr>
          <w:rtl/>
        </w:rPr>
      </w:pPr>
      <w:r>
        <w:rPr>
          <w:rFonts w:hint="cs"/>
          <w:rtl/>
        </w:rPr>
        <w:t xml:space="preserve">הטבע נובע מהצורה שמכוחה הדבר הוא מה שהוא. </w:t>
      </w:r>
      <w:r w:rsidR="000329F1">
        <w:rPr>
          <w:rFonts w:hint="cs"/>
          <w:rtl/>
        </w:rPr>
        <w:t xml:space="preserve">אם באדם יש טבע של נפילה ישר למטה כמו אבן, זה נובע מצורה של דומם, ולכאורה זה יקבע שהאדם הוא במהותו עצם דומם. </w:t>
      </w:r>
      <w:r w:rsidR="007E34E7">
        <w:rPr>
          <w:rFonts w:hint="cs"/>
          <w:rtl/>
        </w:rPr>
        <w:t>אמנם צורת האדם באמת היא 'חי מדבר' וזה כולל בתוכו גם את הדומם והצומח, שנכללים תמיד ובהכרח ב'חי' (מלבד חיי המלאכים הם השכלים הנפרדים ואין זה שייך לחכמת הטבע</w:t>
      </w:r>
      <w:r w:rsidR="00EA6B84">
        <w:rPr>
          <w:rFonts w:hint="cs"/>
          <w:rtl/>
        </w:rPr>
        <w:t>)</w:t>
      </w:r>
      <w:r w:rsidR="007E34E7">
        <w:rPr>
          <w:rFonts w:hint="cs"/>
          <w:rtl/>
        </w:rPr>
        <w:t>.</w:t>
      </w:r>
      <w:r w:rsidR="00BD76A4">
        <w:rPr>
          <w:rFonts w:hint="cs"/>
          <w:rtl/>
        </w:rPr>
        <w:t xml:space="preserve"> </w:t>
      </w:r>
    </w:p>
    <w:p w14:paraId="744C3EE4" w14:textId="77942E80" w:rsidR="00FF7D88" w:rsidRDefault="00FF7D88">
      <w:pPr>
        <w:pStyle w:val="FootnoteText"/>
        <w:rPr>
          <w:rtl/>
        </w:rPr>
      </w:pPr>
      <w:r>
        <w:rPr>
          <w:rFonts w:hint="cs"/>
          <w:rtl/>
        </w:rPr>
        <w:t>העיקר</w:t>
      </w:r>
      <w:r w:rsidR="00D10A3D">
        <w:rPr>
          <w:rFonts w:hint="cs"/>
          <w:rtl/>
        </w:rPr>
        <w:t>י והמכריע</w:t>
      </w:r>
      <w:r>
        <w:rPr>
          <w:rFonts w:hint="cs"/>
          <w:rtl/>
        </w:rPr>
        <w:t xml:space="preserve"> מכל הטבעים שיש לאדם הוא הטבע </w:t>
      </w:r>
      <w:r w:rsidR="00A1142E">
        <w:rPr>
          <w:rFonts w:hint="cs"/>
          <w:rtl/>
        </w:rPr>
        <w:t xml:space="preserve">שזהה לטבע הדומם. </w:t>
      </w:r>
      <w:r w:rsidR="00BD6BA1">
        <w:rPr>
          <w:rFonts w:hint="cs"/>
          <w:rtl/>
        </w:rPr>
        <w:t>כמו שהתבאר לעיל 1.5.6, וזה נרמז כאן בלשון אבן סינא: "</w:t>
      </w:r>
      <w:r w:rsidR="00BD6BA1" w:rsidRPr="00BD6BA1">
        <w:rPr>
          <w:rtl/>
        </w:rPr>
        <w:t>שהם כוללים את כח הטבע וכח הנפש הצמחית והחיונית והשכלית</w:t>
      </w:r>
      <w:r w:rsidR="00BD6BA1">
        <w:rPr>
          <w:rFonts w:hint="cs"/>
          <w:rtl/>
        </w:rPr>
        <w:t>"</w:t>
      </w:r>
      <w:r w:rsidR="00406A0C">
        <w:rPr>
          <w:rFonts w:hint="cs"/>
          <w:rtl/>
        </w:rPr>
        <w:t xml:space="preserve">, והרי לכח הדומם לבדו קרא "טבע". </w:t>
      </w:r>
    </w:p>
    <w:p w14:paraId="6FC71AD5" w14:textId="77777777" w:rsidR="00687A37" w:rsidRDefault="00BD76A4">
      <w:pPr>
        <w:pStyle w:val="FootnoteText"/>
        <w:rPr>
          <w:rtl/>
        </w:rPr>
      </w:pPr>
      <w:r>
        <w:rPr>
          <w:rFonts w:hint="cs"/>
          <w:rtl/>
        </w:rPr>
        <w:t>זה הפירוש של מה שכתב שה</w:t>
      </w:r>
      <w:r w:rsidR="00E5645C">
        <w:rPr>
          <w:rFonts w:hint="cs"/>
          <w:rtl/>
        </w:rPr>
        <w:t xml:space="preserve">טבע שלהם הוא כמו דבר שהוא מהצורה, </w:t>
      </w:r>
      <w:r w:rsidR="00F41FCC">
        <w:rPr>
          <w:rFonts w:hint="cs"/>
          <w:rtl/>
        </w:rPr>
        <w:t>אבל אינו מעצם הצורה. הטבע הוא ביטוי של הצורה, ביחסיה עם מה שמחוץ לעצם</w:t>
      </w:r>
      <w:r w:rsidR="00A347AD">
        <w:rPr>
          <w:rFonts w:hint="cs"/>
          <w:rtl/>
        </w:rPr>
        <w:t>, והוא מלמד על הצורה, המהות</w:t>
      </w:r>
      <w:r w:rsidR="00496A5F">
        <w:rPr>
          <w:rFonts w:hint="cs"/>
          <w:rtl/>
        </w:rPr>
        <w:t xml:space="preserve"> (עיין מורה נבוכים ב</w:t>
      </w:r>
      <w:r w:rsidR="00304708">
        <w:rPr>
          <w:rFonts w:hint="cs"/>
          <w:rtl/>
        </w:rPr>
        <w:t>'</w:t>
      </w:r>
      <w:r w:rsidR="00496A5F">
        <w:rPr>
          <w:rFonts w:hint="cs"/>
          <w:rtl/>
        </w:rPr>
        <w:t xml:space="preserve"> כ"ב שצורת התנוע</w:t>
      </w:r>
      <w:r w:rsidR="00304708">
        <w:rPr>
          <w:rFonts w:hint="cs"/>
          <w:rtl/>
        </w:rPr>
        <w:t>ה</w:t>
      </w:r>
      <w:r w:rsidR="00496A5F">
        <w:rPr>
          <w:rFonts w:hint="cs"/>
          <w:rtl/>
        </w:rPr>
        <w:t xml:space="preserve"> מורה על</w:t>
      </w:r>
      <w:r w:rsidR="00304708">
        <w:rPr>
          <w:rFonts w:hint="cs"/>
          <w:rtl/>
        </w:rPr>
        <w:t xml:space="preserve"> </w:t>
      </w:r>
      <w:r w:rsidR="00496A5F">
        <w:rPr>
          <w:rFonts w:hint="cs"/>
          <w:rtl/>
        </w:rPr>
        <w:t>החומר</w:t>
      </w:r>
      <w:r w:rsidR="00304708">
        <w:rPr>
          <w:rtl/>
        </w:rPr>
        <w:fldChar w:fldCharType="begin"/>
      </w:r>
      <w:r w:rsidR="00304708">
        <w:instrText xml:space="preserve"> XE "</w:instrText>
      </w:r>
      <w:r w:rsidR="00304708" w:rsidRPr="00E17568">
        <w:rPr>
          <w:rFonts w:hint="cs"/>
          <w:rtl/>
        </w:rPr>
        <w:instrText>מורה נבוכים ב' כ</w:instrText>
      </w:r>
      <w:r w:rsidR="00304708">
        <w:rPr>
          <w:b/>
          <w:bCs/>
          <w:sz w:val="20"/>
          <w:szCs w:val="20"/>
        </w:rPr>
        <w:instrText>\</w:instrText>
      </w:r>
      <w:r w:rsidR="00304708" w:rsidRPr="00E17568">
        <w:rPr>
          <w:rFonts w:hint="cs"/>
          <w:rtl/>
        </w:rPr>
        <w:instrText>"ב - צורת התנועה מורה על החומר</w:instrText>
      </w:r>
      <w:r w:rsidR="00304708">
        <w:instrText xml:space="preserve">" </w:instrText>
      </w:r>
      <w:r w:rsidR="00304708">
        <w:rPr>
          <w:rtl/>
        </w:rPr>
        <w:fldChar w:fldCharType="end"/>
      </w:r>
      <w:r w:rsidR="00496A5F">
        <w:rPr>
          <w:rFonts w:hint="cs"/>
          <w:rtl/>
        </w:rPr>
        <w:t>, והיינו המהות)</w:t>
      </w:r>
      <w:r w:rsidR="00F41FCC">
        <w:rPr>
          <w:rFonts w:hint="cs"/>
          <w:rtl/>
        </w:rPr>
        <w:t xml:space="preserve">. </w:t>
      </w:r>
      <w:r w:rsidR="00F5332C">
        <w:rPr>
          <w:rFonts w:hint="cs"/>
          <w:rtl/>
        </w:rPr>
        <w:t xml:space="preserve">לפי זה טבע האדם שנופל כמו אבן למטה, מעיד שצורתו היא של גוף דומם ששולט בו יסוד העפר, </w:t>
      </w:r>
      <w:r w:rsidR="00236987">
        <w:rPr>
          <w:rFonts w:hint="cs"/>
          <w:rtl/>
        </w:rPr>
        <w:t xml:space="preserve">ועל זה כתב אבן סינא </w:t>
      </w:r>
      <w:r w:rsidR="0075305B">
        <w:rPr>
          <w:rFonts w:hint="cs"/>
          <w:rtl/>
        </w:rPr>
        <w:t>שהטבע ליפול הוא אכן מהצורה, כי חלק מצואת האדם היא צורת עצם דומם, אבל אין זה עצם הצורה הכוללת השלמה שהיא 'חי מדבר', אלא רק חלק ממנה.</w:t>
      </w:r>
    </w:p>
    <w:p w14:paraId="1C70BF03" w14:textId="77777777" w:rsidR="005E2E28" w:rsidRDefault="005E2E28">
      <w:pPr>
        <w:pStyle w:val="FootnoteText"/>
        <w:rPr>
          <w:rtl/>
        </w:rPr>
      </w:pPr>
    </w:p>
    <w:p w14:paraId="75838C6E" w14:textId="77777777" w:rsidR="005E2E28" w:rsidRDefault="000109A4">
      <w:pPr>
        <w:pStyle w:val="FootnoteText"/>
        <w:rPr>
          <w:rtl/>
        </w:rPr>
      </w:pPr>
      <w:r>
        <w:rPr>
          <w:rFonts w:hint="cs"/>
          <w:rtl/>
        </w:rPr>
        <w:t xml:space="preserve">חלקי הנפש הם אחד, </w:t>
      </w:r>
      <w:r w:rsidR="00025FE3">
        <w:rPr>
          <w:rFonts w:hint="cs"/>
          <w:rtl/>
        </w:rPr>
        <w:t>אע"פ שהם יכולים לסתור זה את זה. כמו איברים בגוף האחד החי שפעול</w:t>
      </w:r>
      <w:r w:rsidR="00256E28">
        <w:rPr>
          <w:rFonts w:hint="cs"/>
          <w:rtl/>
        </w:rPr>
        <w:t>ו</w:t>
      </w:r>
      <w:r w:rsidR="00025FE3">
        <w:rPr>
          <w:rFonts w:hint="cs"/>
          <w:rtl/>
        </w:rPr>
        <w:t>ת</w:t>
      </w:r>
      <w:r w:rsidR="00256E28">
        <w:rPr>
          <w:rFonts w:hint="cs"/>
          <w:rtl/>
        </w:rPr>
        <w:t>יה</w:t>
      </w:r>
      <w:r w:rsidR="00025FE3">
        <w:rPr>
          <w:rFonts w:hint="cs"/>
          <w:rtl/>
        </w:rPr>
        <w:t xml:space="preserve">ם </w:t>
      </w:r>
      <w:r w:rsidR="00256E28">
        <w:rPr>
          <w:rFonts w:hint="cs"/>
          <w:rtl/>
        </w:rPr>
        <w:t xml:space="preserve">שונות ואף יכולות לסתור זו את זו, </w:t>
      </w:r>
      <w:r w:rsidR="00025FE3">
        <w:rPr>
          <w:rFonts w:hint="cs"/>
          <w:rtl/>
        </w:rPr>
        <w:t>ועדיין הם חיים אחדים והם גוף אחד.</w:t>
      </w:r>
      <w:r w:rsidR="0075305B">
        <w:rPr>
          <w:rFonts w:hint="cs"/>
          <w:rtl/>
        </w:rPr>
        <w:t xml:space="preserve"> </w:t>
      </w:r>
      <w:r w:rsidR="00ED29F0">
        <w:rPr>
          <w:rFonts w:hint="cs"/>
          <w:rtl/>
        </w:rPr>
        <w:t xml:space="preserve">בשמונה פרקים של הרמב"ם פרק א' ביאר היטב עניין זה. </w:t>
      </w:r>
      <w:r w:rsidR="00353EDD">
        <w:rPr>
          <w:rFonts w:hint="cs"/>
          <w:rtl/>
        </w:rPr>
        <w:t>הוא כתב שהנפש המשכלת היא ביחס</w:t>
      </w:r>
      <w:r w:rsidR="000F5D17">
        <w:rPr>
          <w:rFonts w:hint="cs"/>
          <w:rtl/>
        </w:rPr>
        <w:t xml:space="preserve"> </w:t>
      </w:r>
      <w:r w:rsidR="00353EDD">
        <w:rPr>
          <w:rFonts w:hint="cs"/>
          <w:rtl/>
        </w:rPr>
        <w:t>של צורה</w:t>
      </w:r>
      <w:r w:rsidR="000F5D17">
        <w:rPr>
          <w:rFonts w:hint="cs"/>
          <w:rtl/>
        </w:rPr>
        <w:t xml:space="preserve"> </w:t>
      </w:r>
      <w:r w:rsidR="00353EDD">
        <w:rPr>
          <w:rFonts w:hint="cs"/>
          <w:rtl/>
        </w:rPr>
        <w:t xml:space="preserve">לשאר כוחות הנפש. </w:t>
      </w:r>
      <w:r w:rsidR="000F5D17">
        <w:rPr>
          <w:rFonts w:hint="cs"/>
          <w:rtl/>
        </w:rPr>
        <w:t>צורה היא הכלל שמאחד את הפרטים לעניין אחד, והיינו החיים שמאחדים את הכל</w:t>
      </w:r>
      <w:r w:rsidR="0051196F">
        <w:rPr>
          <w:rFonts w:hint="cs"/>
          <w:rtl/>
        </w:rPr>
        <w:t xml:space="preserve">, הם הגורמים שכל הגוף יתקיים ויפעל כדבר אחד, ולא יירקב אף חלק ממנו. </w:t>
      </w:r>
      <w:r w:rsidR="00A138D5">
        <w:rPr>
          <w:rFonts w:hint="cs"/>
          <w:rtl/>
        </w:rPr>
        <w:t>וכתב שם שנפש הזן של חמור אדם או נשר רק נראית אותו הדבר, ש</w:t>
      </w:r>
      <w:r w:rsidR="00921CCF">
        <w:rPr>
          <w:rFonts w:hint="cs"/>
          <w:rtl/>
        </w:rPr>
        <w:t xml:space="preserve">אצל </w:t>
      </w:r>
      <w:r w:rsidR="00A138D5">
        <w:rPr>
          <w:rFonts w:hint="cs"/>
          <w:rtl/>
        </w:rPr>
        <w:t xml:space="preserve">כולם </w:t>
      </w:r>
      <w:r w:rsidR="00921CCF">
        <w:rPr>
          <w:rFonts w:hint="cs"/>
          <w:rtl/>
        </w:rPr>
        <w:t>זהו</w:t>
      </w:r>
      <w:r w:rsidR="00A138D5">
        <w:rPr>
          <w:rFonts w:hint="cs"/>
          <w:rtl/>
        </w:rPr>
        <w:t xml:space="preserve"> בשר שיש בו חום טבעי וגדילה ותזונה, אבל באמת הם שונים במהותם לחלוטין</w:t>
      </w:r>
      <w:r w:rsidR="00921CCF">
        <w:rPr>
          <w:rFonts w:hint="cs"/>
          <w:rtl/>
        </w:rPr>
        <w:t>, וגם הבשר עצמו כשהוא חי</w:t>
      </w:r>
      <w:r w:rsidR="00F74CC6">
        <w:rPr>
          <w:rFonts w:hint="cs"/>
          <w:rtl/>
        </w:rPr>
        <w:t xml:space="preserve"> שונה לחלוטין במהותו</w:t>
      </w:r>
      <w:r w:rsidR="00921CCF">
        <w:rPr>
          <w:rFonts w:hint="cs"/>
          <w:rtl/>
        </w:rPr>
        <w:t xml:space="preserve">, </w:t>
      </w:r>
      <w:r w:rsidR="00F74CC6">
        <w:rPr>
          <w:rFonts w:hint="cs"/>
          <w:rtl/>
        </w:rPr>
        <w:t>כי כ</w:t>
      </w:r>
      <w:r w:rsidR="00875CD3">
        <w:rPr>
          <w:rFonts w:hint="cs"/>
          <w:rtl/>
        </w:rPr>
        <w:t>ל</w:t>
      </w:r>
      <w:r w:rsidR="00F74CC6">
        <w:rPr>
          <w:rFonts w:hint="cs"/>
          <w:rtl/>
        </w:rPr>
        <w:t xml:space="preserve"> חלקי הנפש אחד, וכיוון שהאדם הוא מין </w:t>
      </w:r>
      <w:r w:rsidR="00875CD3">
        <w:rPr>
          <w:rFonts w:hint="cs"/>
          <w:rtl/>
        </w:rPr>
        <w:t>שונה לחלוטין</w:t>
      </w:r>
      <w:r w:rsidR="00F74CC6">
        <w:rPr>
          <w:rFonts w:hint="cs"/>
          <w:rtl/>
        </w:rPr>
        <w:t xml:space="preserve"> מצד שהוא בעל כח המדבר זה גורם שגם נפש הזן וגם הבשר עצמו שונים</w:t>
      </w:r>
      <w:r w:rsidR="005E2C13">
        <w:rPr>
          <w:rFonts w:hint="cs"/>
          <w:rtl/>
        </w:rPr>
        <w:t xml:space="preserve"> אצל האדם</w:t>
      </w:r>
      <w:r w:rsidR="00F74CC6">
        <w:rPr>
          <w:rFonts w:hint="cs"/>
          <w:rtl/>
        </w:rPr>
        <w:t xml:space="preserve"> לגמרי </w:t>
      </w:r>
      <w:r w:rsidR="00875CD3">
        <w:rPr>
          <w:rFonts w:hint="cs"/>
          <w:rtl/>
        </w:rPr>
        <w:t xml:space="preserve">משל חמור או נשר </w:t>
      </w:r>
      <w:r w:rsidR="00F74CC6">
        <w:rPr>
          <w:rFonts w:hint="cs"/>
          <w:rtl/>
        </w:rPr>
        <w:t>כי אינם נפרדים מהנפש המשכלת שלו.</w:t>
      </w:r>
    </w:p>
    <w:p w14:paraId="1A021943" w14:textId="5F777FA3" w:rsidR="004F08FD" w:rsidRDefault="004F08FD">
      <w:pPr>
        <w:pStyle w:val="FootnoteText"/>
        <w:rPr>
          <w:rtl/>
        </w:rPr>
      </w:pPr>
      <w:r>
        <w:rPr>
          <w:rFonts w:hint="cs"/>
          <w:rtl/>
        </w:rPr>
        <w:t>על האחדות של כל כוחות הנפש כתב הרמב"ם בשמונה פרקים שם:</w:t>
      </w:r>
    </w:p>
    <w:p w14:paraId="5A268BB3" w14:textId="77777777" w:rsidR="00A20666" w:rsidRDefault="004F08FD">
      <w:pPr>
        <w:pStyle w:val="FootnoteText"/>
        <w:rPr>
          <w:rtl/>
        </w:rPr>
      </w:pPr>
      <w:r>
        <w:rPr>
          <w:rFonts w:hint="cs"/>
          <w:rtl/>
        </w:rPr>
        <w:t>"</w:t>
      </w:r>
      <w:r w:rsidR="00A20666" w:rsidRPr="00A20666">
        <w:rPr>
          <w:rtl/>
        </w:rPr>
        <w:t>והשג זה הענין, שהוא נפלא מאד, יכשלו בו הרבה מן המתפלספים, ויחייבו מזה דברים מגונים ודעות בלתי נכונות.</w:t>
      </w:r>
      <w:r>
        <w:rPr>
          <w:rFonts w:hint="cs"/>
          <w:rtl/>
        </w:rPr>
        <w:t>"</w:t>
      </w:r>
    </w:p>
    <w:p w14:paraId="39F62F76" w14:textId="7D75DA2F" w:rsidR="002C2475" w:rsidRDefault="001C6477">
      <w:pPr>
        <w:pStyle w:val="FootnoteText"/>
        <w:rPr>
          <w:rtl/>
        </w:rPr>
      </w:pPr>
      <w:r>
        <w:rPr>
          <w:rFonts w:hint="cs"/>
          <w:rtl/>
        </w:rPr>
        <w:t xml:space="preserve">מצד האחדות המהות של האדם היא לפי הצורה העליונה של כל כוחות נפשו שהיא הנפש המשכלת, וצורת האדם היא 'חי מדבר'. </w:t>
      </w:r>
      <w:r w:rsidR="00F41F8A">
        <w:rPr>
          <w:rFonts w:hint="cs"/>
          <w:rtl/>
        </w:rPr>
        <w:t>וכלול בזה הטבע הדומם, הצומח והחי של האדם, וגם אם הטבעים סותרים עדיין הם אחד והם נובעים ממהות אחת</w:t>
      </w:r>
      <w:r w:rsidR="00781A5B">
        <w:rPr>
          <w:rFonts w:hint="cs"/>
          <w:rtl/>
        </w:rPr>
        <w:t>.</w:t>
      </w:r>
      <w:r w:rsidR="003A79CD">
        <w:rPr>
          <w:rFonts w:hint="cs"/>
          <w:rtl/>
        </w:rPr>
        <w:t xml:space="preserve"> לפי זה הטבע יהיה ביטוי של הצורה האמיתית העצמית. </w:t>
      </w:r>
      <w:r w:rsidR="00655940">
        <w:rPr>
          <w:rFonts w:hint="cs"/>
          <w:rtl/>
        </w:rPr>
        <w:t>אמנם הסתכלות זו של אחדות שייכת למטאפיזיקה. כאן אנו עוסקים בחכמת הטבע ו</w:t>
      </w:r>
      <w:r w:rsidR="00B85145">
        <w:rPr>
          <w:rFonts w:hint="cs"/>
          <w:rtl/>
        </w:rPr>
        <w:t xml:space="preserve">לכן </w:t>
      </w:r>
      <w:r w:rsidR="00655940">
        <w:rPr>
          <w:rFonts w:hint="cs"/>
          <w:rtl/>
        </w:rPr>
        <w:t xml:space="preserve">כאן </w:t>
      </w:r>
      <w:r w:rsidR="00B85145">
        <w:rPr>
          <w:rFonts w:hint="cs"/>
          <w:rtl/>
        </w:rPr>
        <w:t>מטרתנו</w:t>
      </w:r>
      <w:r w:rsidR="00655940">
        <w:rPr>
          <w:rFonts w:hint="cs"/>
          <w:rtl/>
        </w:rPr>
        <w:t xml:space="preserve"> להעמיד באופן ברור שהטבע של האדם הוא</w:t>
      </w:r>
      <w:r w:rsidR="00812A52">
        <w:rPr>
          <w:rFonts w:hint="cs"/>
          <w:rtl/>
        </w:rPr>
        <w:t xml:space="preserve"> רק</w:t>
      </w:r>
      <w:r w:rsidR="00655940">
        <w:rPr>
          <w:rFonts w:hint="cs"/>
          <w:rtl/>
        </w:rPr>
        <w:t xml:space="preserve"> הצד של החומר, הדומם שבו, ואע"פ שאין זה מה שנובע מצורתו העצמית לפי מהותה. </w:t>
      </w:r>
      <w:r w:rsidR="00812A52">
        <w:rPr>
          <w:rFonts w:hint="cs"/>
          <w:rtl/>
        </w:rPr>
        <w:t xml:space="preserve">מצד חכמת הטבע כל מה שהוא חומר יותר הוא מציאות יותר, ולכן הצד של הדומם הוא עיקר המציאות של טבע האדם. </w:t>
      </w:r>
    </w:p>
    <w:p w14:paraId="560E305E" w14:textId="77777777" w:rsidR="009C2FAC" w:rsidRDefault="009C2FAC">
      <w:pPr>
        <w:pStyle w:val="FootnoteText"/>
        <w:rPr>
          <w:rtl/>
        </w:rPr>
      </w:pPr>
    </w:p>
    <w:p w14:paraId="4F53CFB5" w14:textId="037019BE" w:rsidR="009C2FAC" w:rsidRDefault="009C2FAC">
      <w:pPr>
        <w:pStyle w:val="FootnoteText"/>
      </w:pPr>
      <w:r>
        <w:rPr>
          <w:rFonts w:hint="cs"/>
          <w:rtl/>
        </w:rPr>
        <w:t>אבן סינא כתב כאן: "</w:t>
      </w:r>
      <w:r w:rsidR="00723C3E" w:rsidRPr="00723C3E">
        <w:rPr>
          <w:rtl/>
        </w:rPr>
        <w:t>יהיה לפי התנאי שהוזכר בטבע או לא יהיה</w:t>
      </w:r>
      <w:r>
        <w:rPr>
          <w:rFonts w:hint="cs"/>
          <w:rtl/>
        </w:rPr>
        <w:t>"</w:t>
      </w:r>
      <w:r w:rsidR="00723C3E">
        <w:rPr>
          <w:rFonts w:hint="cs"/>
          <w:rtl/>
        </w:rPr>
        <w:t xml:space="preserve">. התנאי </w:t>
      </w:r>
      <w:r w:rsidR="00C9025D">
        <w:rPr>
          <w:rFonts w:hint="cs"/>
          <w:rtl/>
        </w:rPr>
        <w:t>שמדובר בו</w:t>
      </w:r>
      <w:r w:rsidR="00C615C5">
        <w:rPr>
          <w:rFonts w:hint="cs"/>
          <w:rtl/>
        </w:rPr>
        <w:t xml:space="preserve"> הוא שהתחלת התנועה תהיה מעצמו של הדבר, כלומר נובעת מצורתו ומהותו</w:t>
      </w:r>
      <w:r w:rsidR="00432D39">
        <w:rPr>
          <w:rFonts w:hint="cs"/>
          <w:rtl/>
        </w:rPr>
        <w:t xml:space="preserve">. הטבע ליפול ישר למטה לפי חכמת הטבע הוא ממהותו של האדם שיש בו מצד הטבע </w:t>
      </w:r>
      <w:r w:rsidR="009238EB">
        <w:rPr>
          <w:rFonts w:hint="cs"/>
          <w:rtl/>
        </w:rPr>
        <w:t>במהותו</w:t>
      </w:r>
      <w:r w:rsidR="006A3267">
        <w:rPr>
          <w:rFonts w:hint="cs"/>
          <w:rtl/>
        </w:rPr>
        <w:t xml:space="preserve"> גם</w:t>
      </w:r>
      <w:r w:rsidR="009238EB">
        <w:rPr>
          <w:rFonts w:hint="cs"/>
          <w:rtl/>
        </w:rPr>
        <w:t xml:space="preserve"> </w:t>
      </w:r>
      <w:r w:rsidR="00432D39">
        <w:rPr>
          <w:rFonts w:hint="cs"/>
          <w:rtl/>
        </w:rPr>
        <w:t>צד של עצם דומם,</w:t>
      </w:r>
      <w:r w:rsidR="002A4F0B">
        <w:rPr>
          <w:rFonts w:hint="cs"/>
          <w:rtl/>
        </w:rPr>
        <w:t xml:space="preserve"> ואם כן </w:t>
      </w:r>
      <w:r w:rsidR="003B1FA5">
        <w:rPr>
          <w:rFonts w:hint="cs"/>
          <w:rtl/>
        </w:rPr>
        <w:t xml:space="preserve">לפי צד זה </w:t>
      </w:r>
      <w:r w:rsidR="002A4F0B">
        <w:rPr>
          <w:rFonts w:hint="cs"/>
          <w:rtl/>
        </w:rPr>
        <w:t>התקיים התנאי. לפי המטאפיזיקה אין באדם צד נפרד עם קיום עצמאי של חומר דומם</w:t>
      </w:r>
      <w:r w:rsidR="00321345">
        <w:rPr>
          <w:rFonts w:hint="cs"/>
          <w:rtl/>
        </w:rPr>
        <w:t xml:space="preserve">, כי הכל אחד ממש, ואם כן </w:t>
      </w:r>
      <w:r w:rsidR="00DE47E4">
        <w:rPr>
          <w:rFonts w:hint="cs"/>
          <w:rtl/>
        </w:rPr>
        <w:t>ל</w:t>
      </w:r>
      <w:r w:rsidR="00321345">
        <w:rPr>
          <w:rFonts w:hint="cs"/>
          <w:rtl/>
        </w:rPr>
        <w:t>א התקיים התנאי שהתחלת התנועה</w:t>
      </w:r>
      <w:r w:rsidR="003B1FA5">
        <w:rPr>
          <w:rFonts w:hint="cs"/>
          <w:rtl/>
        </w:rPr>
        <w:t xml:space="preserve"> של נפילה למטה</w:t>
      </w:r>
      <w:r w:rsidR="00321345">
        <w:rPr>
          <w:rFonts w:hint="cs"/>
          <w:rtl/>
        </w:rPr>
        <w:t xml:space="preserve"> תהיה מהמהות. </w:t>
      </w:r>
      <w:r w:rsidR="00DE47E4">
        <w:rPr>
          <w:rFonts w:hint="cs"/>
          <w:rtl/>
        </w:rPr>
        <w:t>המטאפיזיקה לא עומדת בפני עצמה אלא היא עומדת על ה</w:t>
      </w:r>
      <w:r w:rsidR="00F70177">
        <w:rPr>
          <w:rFonts w:hint="cs"/>
          <w:rtl/>
        </w:rPr>
        <w:t>יסוד</w:t>
      </w:r>
      <w:r w:rsidR="00DE47E4">
        <w:rPr>
          <w:rFonts w:hint="cs"/>
          <w:rtl/>
        </w:rPr>
        <w:t xml:space="preserve"> של </w:t>
      </w:r>
      <w:r w:rsidR="00F70177">
        <w:rPr>
          <w:rFonts w:hint="cs"/>
          <w:rtl/>
        </w:rPr>
        <w:t xml:space="preserve">חכמת </w:t>
      </w:r>
      <w:r w:rsidR="00DE47E4">
        <w:rPr>
          <w:rFonts w:hint="cs"/>
          <w:rtl/>
        </w:rPr>
        <w:t>הטבע</w:t>
      </w:r>
      <w:r w:rsidR="005A0604">
        <w:rPr>
          <w:rFonts w:hint="cs"/>
          <w:rtl/>
        </w:rPr>
        <w:t xml:space="preserve"> וכוללת אותה</w:t>
      </w:r>
      <w:r w:rsidR="00DE47E4">
        <w:rPr>
          <w:rFonts w:hint="cs"/>
          <w:rtl/>
        </w:rPr>
        <w:t xml:space="preserve">, </w:t>
      </w:r>
      <w:r w:rsidR="00321345">
        <w:rPr>
          <w:rFonts w:hint="cs"/>
          <w:rtl/>
        </w:rPr>
        <w:t>ו</w:t>
      </w:r>
      <w:r w:rsidR="00F70177">
        <w:rPr>
          <w:rFonts w:hint="cs"/>
          <w:rtl/>
        </w:rPr>
        <w:t xml:space="preserve">לכן מצד המטאפיזיקה התנאי </w:t>
      </w:r>
      <w:r w:rsidR="006A3267">
        <w:rPr>
          <w:rFonts w:hint="cs"/>
          <w:rtl/>
        </w:rPr>
        <w:t xml:space="preserve">גם התקיים וגם לא התקיים. </w:t>
      </w:r>
      <w:r w:rsidR="005A0604">
        <w:rPr>
          <w:rFonts w:hint="cs"/>
          <w:rtl/>
        </w:rPr>
        <w:t>ועל כל פנים</w:t>
      </w:r>
      <w:r w:rsidR="00E010E8">
        <w:rPr>
          <w:rFonts w:hint="cs"/>
          <w:rtl/>
        </w:rPr>
        <w:t xml:space="preserve"> במבט של המטאפיזיקה</w:t>
      </w:r>
      <w:r w:rsidR="005A0604">
        <w:rPr>
          <w:rFonts w:hint="cs"/>
          <w:rtl/>
        </w:rPr>
        <w:t xml:space="preserve"> </w:t>
      </w:r>
      <w:r w:rsidR="00E010E8">
        <w:rPr>
          <w:rFonts w:hint="cs"/>
          <w:rtl/>
        </w:rPr>
        <w:t>יש מהות אחת ומכוחה טבע אחד, והטבע הוא ביטוי של המהות בש</w:t>
      </w:r>
      <w:r w:rsidR="004131E8">
        <w:rPr>
          <w:rFonts w:hint="cs"/>
          <w:rtl/>
        </w:rPr>
        <w:t>ל</w:t>
      </w:r>
      <w:r w:rsidR="00E010E8">
        <w:rPr>
          <w:rFonts w:hint="cs"/>
          <w:rtl/>
        </w:rPr>
        <w:t>מותה</w:t>
      </w:r>
      <w:r w:rsidR="004131E8">
        <w:rPr>
          <w:rFonts w:hint="cs"/>
          <w:rtl/>
        </w:rPr>
        <w:t xml:space="preserve"> ומעיד עליה. ומה שהטבע האחד הזה יש בו צדדים סותרים</w:t>
      </w:r>
      <w:r w:rsidR="002D01FE">
        <w:rPr>
          <w:rFonts w:hint="cs"/>
          <w:rtl/>
        </w:rPr>
        <w:t>, כמו</w:t>
      </w:r>
      <w:r w:rsidR="009E2B43">
        <w:rPr>
          <w:rFonts w:hint="cs"/>
          <w:rtl/>
        </w:rPr>
        <w:t xml:space="preserve"> </w:t>
      </w:r>
      <w:r w:rsidR="002D01FE">
        <w:rPr>
          <w:rFonts w:hint="cs"/>
          <w:rtl/>
        </w:rPr>
        <w:t>שאיברי הגוף יכולים לפעול בסתירה זה לזה אע"פ שהם אחד</w:t>
      </w:r>
      <w:r w:rsidR="00BB3C8D">
        <w:rPr>
          <w:rFonts w:hint="cs"/>
          <w:rtl/>
        </w:rPr>
        <w:t xml:space="preserve"> (למשל זה מחמם וזה מצנן)</w:t>
      </w:r>
      <w:r w:rsidR="002D01FE">
        <w:rPr>
          <w:rFonts w:hint="cs"/>
          <w:rtl/>
        </w:rPr>
        <w:t xml:space="preserve">, זה שייך לסוד מעשה מרכבה שהוא הסתירה בין הכללי לפרטי. </w:t>
      </w:r>
      <w:r w:rsidR="008C3A80">
        <w:rPr>
          <w:rFonts w:hint="cs"/>
          <w:rtl/>
        </w:rPr>
        <w:t>או בניסוח אחר שהוא סוד החיים שהם המאחדים את הסתירות לעניין אחד שהוא פלא.</w:t>
      </w:r>
    </w:p>
  </w:footnote>
  <w:footnote w:id="502">
    <w:p w14:paraId="1741F419" w14:textId="26C14D25" w:rsidR="00AD018D" w:rsidRDefault="00AD018D">
      <w:pPr>
        <w:pStyle w:val="FootnoteText"/>
      </w:pPr>
      <w:r>
        <w:rPr>
          <w:rStyle w:val="FootnoteReference"/>
        </w:rPr>
        <w:footnoteRef/>
      </w:r>
      <w:r>
        <w:rPr>
          <w:rtl/>
        </w:rPr>
        <w:t xml:space="preserve"> </w:t>
      </w:r>
      <w:r>
        <w:rPr>
          <w:rFonts w:hint="cs"/>
          <w:rtl/>
        </w:rPr>
        <w:t xml:space="preserve">מגורם חיצוני שמקרי לגוף. וכגון אבן שמישהו הניע אותה </w:t>
      </w:r>
      <w:r w:rsidR="00DA76A0">
        <w:rPr>
          <w:rFonts w:hint="cs"/>
          <w:rtl/>
        </w:rPr>
        <w:t xml:space="preserve">לכיוון שונה מישר למטה. </w:t>
      </w:r>
    </w:p>
  </w:footnote>
  <w:footnote w:id="503">
    <w:p w14:paraId="1F76927A" w14:textId="71D962DE" w:rsidR="008B1A1C" w:rsidRDefault="008B1A1C">
      <w:pPr>
        <w:pStyle w:val="FootnoteText"/>
      </w:pPr>
      <w:r>
        <w:rPr>
          <w:rStyle w:val="FootnoteReference"/>
        </w:rPr>
        <w:footnoteRef/>
      </w:r>
      <w:r>
        <w:rPr>
          <w:rtl/>
        </w:rPr>
        <w:t xml:space="preserve"> </w:t>
      </w:r>
      <w:r w:rsidR="00504311">
        <w:rPr>
          <w:rFonts w:hint="cs"/>
          <w:rtl/>
        </w:rPr>
        <w:t>ממהותו וצורתו</w:t>
      </w:r>
      <w:r w:rsidR="00504311" w:rsidRPr="00504311">
        <w:rPr>
          <w:rtl/>
        </w:rPr>
        <w:t xml:space="preserve">. </w:t>
      </w:r>
      <w:r w:rsidR="00504311" w:rsidRPr="00504311">
        <w:rPr>
          <w:rFonts w:ascii="Arial" w:hAnsi="Arial" w:cs="Arial" w:hint="cs"/>
          <w:rtl/>
          <w:lang w:bidi="ar-SA"/>
        </w:rPr>
        <w:t>من</w:t>
      </w:r>
      <w:r w:rsidR="00504311" w:rsidRPr="00504311">
        <w:rPr>
          <w:rtl/>
          <w:lang w:bidi="ar-SA"/>
        </w:rPr>
        <w:t xml:space="preserve"> </w:t>
      </w:r>
      <w:r w:rsidR="00504311" w:rsidRPr="00504311">
        <w:rPr>
          <w:rFonts w:ascii="Arial" w:hAnsi="Arial" w:cs="Arial" w:hint="cs"/>
          <w:rtl/>
          <w:lang w:bidi="ar-SA"/>
        </w:rPr>
        <w:t>جوهر</w:t>
      </w:r>
      <w:r w:rsidR="00504311" w:rsidRPr="00504311">
        <w:rPr>
          <w:rtl/>
          <w:lang w:bidi="ar-SA"/>
        </w:rPr>
        <w:t xml:space="preserve"> </w:t>
      </w:r>
      <w:r w:rsidR="00504311" w:rsidRPr="00504311">
        <w:rPr>
          <w:rFonts w:ascii="Arial" w:hAnsi="Arial" w:cs="Arial" w:hint="cs"/>
          <w:rtl/>
          <w:lang w:bidi="ar-SA"/>
        </w:rPr>
        <w:t>الشى‌ء</w:t>
      </w:r>
      <w:r w:rsidR="00504311" w:rsidRPr="00504311">
        <w:rPr>
          <w:rtl/>
        </w:rPr>
        <w:t>.</w:t>
      </w:r>
    </w:p>
  </w:footnote>
  <w:footnote w:id="504">
    <w:p w14:paraId="52B688DA" w14:textId="317E7B09" w:rsidR="00D762B5" w:rsidRDefault="00D762B5">
      <w:pPr>
        <w:pStyle w:val="FootnoteText"/>
      </w:pPr>
      <w:r>
        <w:rPr>
          <w:rStyle w:val="FootnoteReference"/>
        </w:rPr>
        <w:footnoteRef/>
      </w:r>
      <w:r>
        <w:rPr>
          <w:rtl/>
        </w:rPr>
        <w:t xml:space="preserve"> </w:t>
      </w:r>
      <w:r w:rsidR="008D252F">
        <w:rPr>
          <w:rFonts w:hint="cs"/>
          <w:rtl/>
        </w:rPr>
        <w:t>הצלקות שנשארות אחרי הפצע</w:t>
      </w:r>
      <w:r w:rsidR="00BB555C">
        <w:rPr>
          <w:rFonts w:hint="cs"/>
          <w:rtl/>
        </w:rPr>
        <w:t xml:space="preserve"> כמבואר לקמן</w:t>
      </w:r>
      <w:r w:rsidR="008D252F">
        <w:rPr>
          <w:rFonts w:hint="cs"/>
          <w:rtl/>
        </w:rPr>
        <w:t xml:space="preserve">. </w:t>
      </w:r>
    </w:p>
  </w:footnote>
  <w:footnote w:id="505">
    <w:p w14:paraId="55F2FA19" w14:textId="622F6C8B" w:rsidR="00433A99" w:rsidRDefault="00433A99">
      <w:pPr>
        <w:pStyle w:val="FootnoteText"/>
      </w:pPr>
      <w:r>
        <w:rPr>
          <w:rStyle w:val="FootnoteReference"/>
        </w:rPr>
        <w:footnoteRef/>
      </w:r>
      <w:r>
        <w:rPr>
          <w:rtl/>
        </w:rPr>
        <w:t xml:space="preserve"> </w:t>
      </w:r>
      <w:r>
        <w:rPr>
          <w:rFonts w:hint="cs"/>
          <w:rtl/>
        </w:rPr>
        <w:t xml:space="preserve">הצורה השלמה </w:t>
      </w:r>
      <w:r w:rsidR="00AA7929">
        <w:rPr>
          <w:rFonts w:hint="cs"/>
          <w:rtl/>
        </w:rPr>
        <w:t xml:space="preserve">מכתיבה רוחב אפשרויות של צבעי עור, </w:t>
      </w:r>
      <w:r w:rsidR="003E40F0">
        <w:rPr>
          <w:rFonts w:hint="cs"/>
          <w:rtl/>
        </w:rPr>
        <w:t xml:space="preserve">ועור חלק בלי צלקות, ויכולת לעמוד אחרי הישיבה. </w:t>
      </w:r>
      <w:r w:rsidR="009C7B48">
        <w:rPr>
          <w:rFonts w:hint="cs"/>
          <w:rtl/>
        </w:rPr>
        <w:t xml:space="preserve">כל צורה דבקה בחומר רק לפי ההכנה שיש באותו חומר, </w:t>
      </w:r>
      <w:r w:rsidR="0009797A">
        <w:rPr>
          <w:rFonts w:hint="cs"/>
          <w:rtl/>
        </w:rPr>
        <w:t xml:space="preserve">ואם החומר הוא כזה שאין בו הכנה לשאר צבעים מלבד שחור, </w:t>
      </w:r>
      <w:r w:rsidR="00DB4AAF">
        <w:rPr>
          <w:rFonts w:hint="cs"/>
          <w:rtl/>
        </w:rPr>
        <w:t>יקרה לאדם שצבע עורו שחור כמקרה שנמשך מהחומר. וכן הפצע עושה שינוי בחומר של העור וגורם שהוא</w:t>
      </w:r>
      <w:r w:rsidR="00C40341">
        <w:rPr>
          <w:rFonts w:hint="cs"/>
          <w:rtl/>
        </w:rPr>
        <w:t xml:space="preserve"> </w:t>
      </w:r>
      <w:r w:rsidR="00DB4AAF">
        <w:rPr>
          <w:rFonts w:hint="cs"/>
          <w:rtl/>
        </w:rPr>
        <w:t>לא</w:t>
      </w:r>
      <w:r w:rsidR="00C40341">
        <w:rPr>
          <w:rFonts w:hint="cs"/>
          <w:rtl/>
        </w:rPr>
        <w:t xml:space="preserve"> </w:t>
      </w:r>
      <w:r w:rsidR="00DB4AAF">
        <w:rPr>
          <w:rFonts w:hint="cs"/>
          <w:rtl/>
        </w:rPr>
        <w:t xml:space="preserve">מוכן לקבל </w:t>
      </w:r>
      <w:r w:rsidR="00C40341">
        <w:rPr>
          <w:rFonts w:hint="cs"/>
          <w:rtl/>
        </w:rPr>
        <w:t xml:space="preserve">חלקות, וכן החומר משפיע על כך שחלק מהתנועות שמתחייבות מטבעו המהותי אינן אפשריות לאדם, ולמשל אדם זקן או חולה יקום </w:t>
      </w:r>
      <w:r w:rsidR="00C40341">
        <w:rPr>
          <w:rFonts w:hint="cs"/>
          <w:rtl/>
        </w:rPr>
        <w:t>מכסאו בתנועה מיוחדת לאנשים כאלה ולא</w:t>
      </w:r>
      <w:r w:rsidR="00C93A5F">
        <w:rPr>
          <w:rFonts w:hint="cs"/>
          <w:rtl/>
        </w:rPr>
        <w:t xml:space="preserve"> אפשרי לו כל רוחב הדרכים של תנועה שנובעים מהצורה</w:t>
      </w:r>
      <w:r w:rsidR="00B06B91">
        <w:rPr>
          <w:rFonts w:hint="cs"/>
          <w:rtl/>
        </w:rPr>
        <w:t>, בגלל שחסרה הכנה בחומר שלו לקבל חלק מאותן דרכים</w:t>
      </w:r>
      <w:r w:rsidR="00C93A5F">
        <w:rPr>
          <w:rFonts w:hint="cs"/>
          <w:rtl/>
        </w:rPr>
        <w:t xml:space="preserve">. </w:t>
      </w:r>
      <w:r w:rsidR="00C40341">
        <w:rPr>
          <w:rFonts w:hint="cs"/>
          <w:rtl/>
        </w:rPr>
        <w:t xml:space="preserve"> </w:t>
      </w:r>
    </w:p>
  </w:footnote>
  <w:footnote w:id="506">
    <w:p w14:paraId="726D5D92" w14:textId="34CEC8F6" w:rsidR="00905A3E" w:rsidRDefault="008D426E">
      <w:pPr>
        <w:pStyle w:val="FootnoteText"/>
        <w:rPr>
          <w:rtl/>
        </w:rPr>
      </w:pPr>
      <w:r>
        <w:rPr>
          <w:rStyle w:val="FootnoteReference"/>
        </w:rPr>
        <w:footnoteRef/>
      </w:r>
      <w:r>
        <w:rPr>
          <w:rtl/>
        </w:rPr>
        <w:t xml:space="preserve"> </w:t>
      </w:r>
      <w:r w:rsidR="00754CF1">
        <w:rPr>
          <w:rFonts w:hint="cs"/>
          <w:rtl/>
        </w:rPr>
        <w:t>ב</w:t>
      </w:r>
      <w:r w:rsidR="003C243A">
        <w:rPr>
          <w:rFonts w:hint="cs"/>
          <w:rtl/>
        </w:rPr>
        <w:t>ב</w:t>
      </w:r>
      <w:r w:rsidR="00754CF1">
        <w:rPr>
          <w:rFonts w:hint="cs"/>
          <w:rtl/>
        </w:rPr>
        <w:t>יאור הכפילות של "נביעתה"</w:t>
      </w:r>
      <w:r w:rsidR="00754CF1" w:rsidRPr="00FD56C9">
        <w:rPr>
          <w:rtl/>
        </w:rPr>
        <w:t xml:space="preserve"> (</w:t>
      </w:r>
      <w:r w:rsidR="00FD56C9" w:rsidRPr="00FD56C9">
        <w:rPr>
          <w:rFonts w:ascii="Arial" w:hAnsi="Arial" w:cs="Arial" w:hint="cs"/>
          <w:rtl/>
          <w:lang w:bidi="ar-SA"/>
        </w:rPr>
        <w:t>منبعثها</w:t>
      </w:r>
      <w:r w:rsidR="00754CF1" w:rsidRPr="00FD56C9">
        <w:rPr>
          <w:rtl/>
        </w:rPr>
        <w:t>) ו"התחלתה" (</w:t>
      </w:r>
      <w:r w:rsidR="00754CF1" w:rsidRPr="00FD56C9">
        <w:rPr>
          <w:rFonts w:ascii="Arial" w:hAnsi="Arial" w:cs="Arial" w:hint="cs"/>
          <w:rtl/>
          <w:lang w:bidi="ar-SA"/>
        </w:rPr>
        <w:t>مبتدأها</w:t>
      </w:r>
      <w:r w:rsidR="00754CF1" w:rsidRPr="00FD56C9">
        <w:rPr>
          <w:rtl/>
        </w:rPr>
        <w:t xml:space="preserve">) </w:t>
      </w:r>
      <w:r w:rsidR="003C243A">
        <w:rPr>
          <w:rFonts w:hint="cs"/>
          <w:rtl/>
        </w:rPr>
        <w:t xml:space="preserve">אפשר </w:t>
      </w:r>
      <w:r w:rsidR="00BD1512">
        <w:rPr>
          <w:rFonts w:hint="cs"/>
          <w:rtl/>
        </w:rPr>
        <w:t xml:space="preserve">לפרש </w:t>
      </w:r>
      <w:r w:rsidR="003C243A">
        <w:rPr>
          <w:rFonts w:hint="cs"/>
          <w:rtl/>
        </w:rPr>
        <w:t>ש</w:t>
      </w:r>
      <w:r w:rsidR="001F07F7">
        <w:rPr>
          <w:rFonts w:hint="cs"/>
          <w:rtl/>
        </w:rPr>
        <w:t>'</w:t>
      </w:r>
      <w:r w:rsidR="003C243A">
        <w:rPr>
          <w:rFonts w:hint="cs"/>
          <w:rtl/>
        </w:rPr>
        <w:t>נביעה</w:t>
      </w:r>
      <w:r w:rsidR="001F07F7">
        <w:rPr>
          <w:rFonts w:hint="cs"/>
          <w:rtl/>
        </w:rPr>
        <w:t>'</w:t>
      </w:r>
      <w:r w:rsidR="003C243A">
        <w:rPr>
          <w:rFonts w:hint="cs"/>
          <w:rtl/>
        </w:rPr>
        <w:t xml:space="preserve"> היינו מה שמגלה צד </w:t>
      </w:r>
      <w:r w:rsidR="001F07F7">
        <w:rPr>
          <w:rFonts w:hint="cs"/>
          <w:rtl/>
        </w:rPr>
        <w:t xml:space="preserve">ממהות </w:t>
      </w:r>
      <w:r w:rsidR="003C243A">
        <w:rPr>
          <w:rFonts w:hint="cs"/>
          <w:rtl/>
        </w:rPr>
        <w:t>הצורה, ו</w:t>
      </w:r>
      <w:r w:rsidR="001F07F7">
        <w:rPr>
          <w:rFonts w:hint="cs"/>
          <w:rtl/>
        </w:rPr>
        <w:t>'</w:t>
      </w:r>
      <w:r w:rsidR="003C243A">
        <w:rPr>
          <w:rFonts w:hint="cs"/>
          <w:rtl/>
        </w:rPr>
        <w:t>התחלה</w:t>
      </w:r>
      <w:r w:rsidR="001F07F7">
        <w:rPr>
          <w:rFonts w:hint="cs"/>
          <w:rtl/>
        </w:rPr>
        <w:t>'</w:t>
      </w:r>
      <w:r w:rsidR="003C243A">
        <w:rPr>
          <w:rFonts w:hint="cs"/>
          <w:rtl/>
        </w:rPr>
        <w:t xml:space="preserve"> היינו ש</w:t>
      </w:r>
      <w:r w:rsidR="001F07F7">
        <w:rPr>
          <w:rFonts w:hint="cs"/>
          <w:rtl/>
        </w:rPr>
        <w:t xml:space="preserve">עיקר </w:t>
      </w:r>
      <w:r w:rsidR="003C243A">
        <w:rPr>
          <w:rFonts w:hint="cs"/>
          <w:rtl/>
        </w:rPr>
        <w:t xml:space="preserve">המציאות של המקרים האלה </w:t>
      </w:r>
      <w:r w:rsidR="001F07F7">
        <w:rPr>
          <w:rFonts w:hint="cs"/>
          <w:rtl/>
        </w:rPr>
        <w:t>התחלתה היא הצורה</w:t>
      </w:r>
      <w:r w:rsidR="004D0FC2">
        <w:rPr>
          <w:rFonts w:hint="cs"/>
          <w:rtl/>
        </w:rPr>
        <w:t>, כלומר הצורה מחדשת שיקרו</w:t>
      </w:r>
      <w:r w:rsidR="00754CF1" w:rsidRPr="00FD56C9">
        <w:rPr>
          <w:rtl/>
        </w:rPr>
        <w:t>.</w:t>
      </w:r>
      <w:r w:rsidR="00BC7BC0">
        <w:rPr>
          <w:rFonts w:hint="cs"/>
          <w:rtl/>
        </w:rPr>
        <w:t xml:space="preserve"> מקגיניס כתב: "</w:t>
      </w:r>
      <w:r w:rsidR="00BC7BC0" w:rsidRPr="00BC7BC0">
        <w:t>it originates and begins with the form</w:t>
      </w:r>
      <w:r w:rsidR="00BC7BC0">
        <w:rPr>
          <w:rFonts w:hint="cs"/>
          <w:rtl/>
        </w:rPr>
        <w:t>"</w:t>
      </w:r>
    </w:p>
    <w:p w14:paraId="35656505" w14:textId="77777777" w:rsidR="00BC7BC0" w:rsidRDefault="00BC7BC0">
      <w:pPr>
        <w:pStyle w:val="FootnoteText"/>
      </w:pPr>
    </w:p>
    <w:p w14:paraId="0BE62C2D" w14:textId="0814AC5D" w:rsidR="00A811E5" w:rsidRPr="00FD56C9" w:rsidRDefault="00905A3E" w:rsidP="00BC452D">
      <w:pPr>
        <w:pStyle w:val="FootnoteText"/>
      </w:pPr>
      <w:r w:rsidRPr="00905A3E">
        <w:rPr>
          <w:rtl/>
        </w:rPr>
        <w:t xml:space="preserve">הצורה השלמה היא כח הדיבור, התבונה, והתבונה הכללית היא גילוי של הצורה וזה אינו מקרה אלא עצם (מדובר על יכולת לחשוב או לצחוק או לשמוח או להיות בעל תכונה קבועה של חריפות שכל, גם אם יש זמנים בהם היכולות האלה נמצאות בפועל ויש זמנים שאינן, וכגון כשהאדם ישן). צחוק למשל מחייב שתהיה תבונה, והוא חלק </w:t>
      </w:r>
      <w:r w:rsidR="009C463A" w:rsidRPr="00905A3E">
        <w:rPr>
          <w:rFonts w:hint="cs"/>
          <w:rtl/>
        </w:rPr>
        <w:t>מסוים</w:t>
      </w:r>
      <w:r w:rsidRPr="00905A3E">
        <w:rPr>
          <w:rtl/>
        </w:rPr>
        <w:t xml:space="preserve"> מהגילוי של התבונה, וכל מי שיש בו תבונה בהכרח יש בו יכולת לצחוק כי זה חלק שאינו ניתן להפרדה מהתבונה שיש בו. אבל התבונה הכללית היא מה שעושה את האדם למה שהוא, היא הגדרתו, הוא 'חי נבון'. לעומת זאת אי אפשר להגדיר את האדם כ'חי צוחק', הצחוק הוא לא מה שעושה אותו למה שהוא, לכן הצחוק אע"פ שהוא מוכרח לאדם, ונובע מצורת האדם</w:t>
      </w:r>
      <w:r w:rsidR="0024178E">
        <w:t xml:space="preserve"> </w:t>
      </w:r>
      <w:r w:rsidR="009415D0">
        <w:rPr>
          <w:rFonts w:hint="cs"/>
          <w:rtl/>
        </w:rPr>
        <w:t>שהיא העצם והמהות</w:t>
      </w:r>
      <w:r w:rsidRPr="00905A3E">
        <w:rPr>
          <w:rtl/>
        </w:rPr>
        <w:t>, נחשב רק מקרה.</w:t>
      </w:r>
      <w:r w:rsidR="00754CF1" w:rsidRPr="00FD56C9">
        <w:rPr>
          <w:rtl/>
        </w:rPr>
        <w:t xml:space="preserve"> </w:t>
      </w:r>
    </w:p>
  </w:footnote>
  <w:footnote w:id="507">
    <w:p w14:paraId="0FDE5588" w14:textId="4F4501C5" w:rsidR="002F5F54" w:rsidRDefault="00477AA6">
      <w:pPr>
        <w:pStyle w:val="FootnoteText"/>
        <w:rPr>
          <w:rtl/>
        </w:rPr>
      </w:pPr>
      <w:r>
        <w:rPr>
          <w:rStyle w:val="FootnoteReference"/>
        </w:rPr>
        <w:footnoteRef/>
      </w:r>
      <w:r>
        <w:rPr>
          <w:rtl/>
        </w:rPr>
        <w:t xml:space="preserve"> </w:t>
      </w:r>
      <w:r w:rsidR="00BA54B3">
        <w:rPr>
          <w:rFonts w:hint="cs"/>
          <w:rtl/>
        </w:rPr>
        <w:t xml:space="preserve">מקגיניס </w:t>
      </w:r>
      <w:r w:rsidR="00BA54B3" w:rsidRPr="00BA54B3">
        <w:rPr>
          <w:rtl/>
        </w:rPr>
        <w:t>כתב</w:t>
      </w:r>
      <w:r w:rsidR="006951C4">
        <w:rPr>
          <w:rFonts w:hint="cs"/>
          <w:rtl/>
        </w:rPr>
        <w:t xml:space="preserve"> כאן</w:t>
      </w:r>
      <w:r w:rsidR="00BA54B3" w:rsidRPr="00BA54B3">
        <w:rPr>
          <w:rtl/>
        </w:rPr>
        <w:t>:</w:t>
      </w:r>
    </w:p>
    <w:p w14:paraId="5C3D2B20" w14:textId="059E0FEF" w:rsidR="002F5F54" w:rsidRPr="006951C4" w:rsidRDefault="006951C4" w:rsidP="006951C4">
      <w:pPr>
        <w:pStyle w:val="FootnoteText"/>
        <w:bidi w:val="0"/>
        <w:rPr>
          <w:rFonts w:asciiTheme="majorBidi" w:hAnsiTheme="majorBidi" w:cstheme="majorBidi"/>
          <w:rtl/>
        </w:rPr>
      </w:pPr>
      <w:r w:rsidRPr="006951C4">
        <w:rPr>
          <w:rFonts w:asciiTheme="majorBidi" w:hAnsiTheme="majorBidi" w:cstheme="majorBidi"/>
          <w:rtl/>
        </w:rPr>
        <w:t>"</w:t>
      </w:r>
      <w:r w:rsidRPr="006951C4">
        <w:rPr>
          <w:rFonts w:asciiTheme="majorBidi" w:hAnsiTheme="majorBidi" w:cstheme="majorBidi"/>
        </w:rPr>
        <w:t xml:space="preserve">The reference may be to </w:t>
      </w:r>
      <w:r w:rsidRPr="006951C4">
        <w:rPr>
          <w:rFonts w:asciiTheme="majorBidi" w:hAnsiTheme="majorBidi" w:cstheme="majorBidi"/>
        </w:rPr>
        <w:t>Kitāb al-nafs 2.2, where Avicenna discusses the role of</w:t>
      </w:r>
      <w:r w:rsidRPr="006951C4">
        <w:rPr>
          <w:rFonts w:asciiTheme="majorBidi" w:hAnsiTheme="majorBidi" w:cstheme="majorBidi"/>
          <w:rtl/>
        </w:rPr>
        <w:t xml:space="preserve"> </w:t>
      </w:r>
      <w:r w:rsidRPr="006951C4">
        <w:rPr>
          <w:rFonts w:asciiTheme="majorBidi" w:hAnsiTheme="majorBidi" w:cstheme="majorBidi"/>
        </w:rPr>
        <w:t>material accidents in making things particular and then the degrees of abstraction</w:t>
      </w:r>
      <w:r w:rsidRPr="006951C4">
        <w:rPr>
          <w:rFonts w:asciiTheme="majorBidi" w:hAnsiTheme="majorBidi" w:cstheme="majorBidi"/>
          <w:rtl/>
        </w:rPr>
        <w:t xml:space="preserve"> </w:t>
      </w:r>
      <w:r w:rsidRPr="006951C4">
        <w:rPr>
          <w:rFonts w:asciiTheme="majorBidi" w:hAnsiTheme="majorBidi" w:cstheme="majorBidi"/>
        </w:rPr>
        <w:t>from matter that are involved in the various kinds of perception (idrāk)</w:t>
      </w:r>
      <w:r w:rsidRPr="006951C4">
        <w:rPr>
          <w:rFonts w:asciiTheme="majorBidi" w:hAnsiTheme="majorBidi" w:cstheme="majorBidi"/>
          <w:rtl/>
        </w:rPr>
        <w:t>"</w:t>
      </w:r>
      <w:r w:rsidR="00BA54B3" w:rsidRPr="006951C4">
        <w:rPr>
          <w:rFonts w:asciiTheme="majorBidi" w:hAnsiTheme="majorBidi" w:cstheme="majorBidi"/>
          <w:rtl/>
        </w:rPr>
        <w:t>.</w:t>
      </w:r>
    </w:p>
    <w:p w14:paraId="40C5ECE7" w14:textId="424F128B" w:rsidR="00477AA6" w:rsidRPr="00BA54B3" w:rsidRDefault="00BA54B3">
      <w:pPr>
        <w:pStyle w:val="FootnoteText"/>
      </w:pPr>
      <w:r w:rsidRPr="00BA54B3">
        <w:rPr>
          <w:rtl/>
        </w:rPr>
        <w:t>הכוונה</w:t>
      </w:r>
      <w:r>
        <w:rPr>
          <w:rFonts w:hint="cs"/>
          <w:rtl/>
        </w:rPr>
        <w:t xml:space="preserve"> </w:t>
      </w:r>
      <w:r w:rsidRPr="00BA54B3">
        <w:rPr>
          <w:rtl/>
        </w:rPr>
        <w:t xml:space="preserve">לחלק מספר הריפוי </w:t>
      </w:r>
      <w:r w:rsidR="00E27AD4">
        <w:rPr>
          <w:rFonts w:hint="cs"/>
          <w:rtl/>
        </w:rPr>
        <w:t xml:space="preserve">של אבן סינא </w:t>
      </w:r>
      <w:r w:rsidRPr="00BA54B3">
        <w:rPr>
          <w:rtl/>
        </w:rPr>
        <w:t>העוסק בנפש בעקבות "על הנפש" של אריסטו</w:t>
      </w:r>
      <w:r w:rsidR="007132D5">
        <w:rPr>
          <w:rFonts w:hint="cs"/>
          <w:rtl/>
        </w:rPr>
        <w:t xml:space="preserve"> עם פיתוח רחב של אבן סינא</w:t>
      </w:r>
      <w:r w:rsidRPr="00BA54B3">
        <w:rPr>
          <w:rtl/>
        </w:rPr>
        <w:t xml:space="preserve">. </w:t>
      </w:r>
    </w:p>
  </w:footnote>
  <w:footnote w:id="508">
    <w:p w14:paraId="5F30E034" w14:textId="235E8D14" w:rsidR="004A06C5" w:rsidRDefault="004A06C5">
      <w:pPr>
        <w:pStyle w:val="FootnoteText"/>
      </w:pPr>
      <w:r>
        <w:rPr>
          <w:rStyle w:val="FootnoteReference"/>
        </w:rPr>
        <w:footnoteRef/>
      </w:r>
      <w:r>
        <w:rPr>
          <w:rtl/>
        </w:rPr>
        <w:t xml:space="preserve"> </w:t>
      </w:r>
      <w:r w:rsidR="00DD456D">
        <w:rPr>
          <w:rFonts w:hint="cs"/>
          <w:rtl/>
        </w:rPr>
        <w:t xml:space="preserve">צורה וחומר. </w:t>
      </w:r>
    </w:p>
  </w:footnote>
  <w:footnote w:id="509">
    <w:p w14:paraId="2B43E55C" w14:textId="20BBC409" w:rsidR="00D81159" w:rsidRDefault="00D81159">
      <w:pPr>
        <w:pStyle w:val="FootnoteText"/>
      </w:pPr>
      <w:r>
        <w:rPr>
          <w:rStyle w:val="FootnoteReference"/>
        </w:rPr>
        <w:footnoteRef/>
      </w:r>
      <w:r>
        <w:rPr>
          <w:rtl/>
        </w:rPr>
        <w:t xml:space="preserve"> </w:t>
      </w:r>
      <w:r w:rsidR="00E31F73">
        <w:rPr>
          <w:rFonts w:hint="cs"/>
          <w:rtl/>
        </w:rPr>
        <w:t xml:space="preserve">לעיל 1.6.2, התבאר שהצורה היא מהות הדבר כשלעצמו והטבע הוא האופן בו המהות הזו </w:t>
      </w:r>
      <w:r w:rsidR="008146AA">
        <w:rPr>
          <w:rFonts w:hint="cs"/>
          <w:rtl/>
        </w:rPr>
        <w:t>קובעת</w:t>
      </w:r>
      <w:r w:rsidR="00E31F73">
        <w:rPr>
          <w:rFonts w:hint="cs"/>
          <w:rtl/>
        </w:rPr>
        <w:t xml:space="preserve"> אופני התייחסות, </w:t>
      </w:r>
      <w:r w:rsidR="00C64A2E">
        <w:rPr>
          <w:rFonts w:hint="cs"/>
          <w:rtl/>
        </w:rPr>
        <w:t xml:space="preserve">כגון </w:t>
      </w:r>
      <w:r w:rsidR="00E31F73">
        <w:rPr>
          <w:rFonts w:hint="cs"/>
          <w:rtl/>
        </w:rPr>
        <w:t>תנועה</w:t>
      </w:r>
      <w:r w:rsidR="00C64A2E">
        <w:rPr>
          <w:rFonts w:hint="cs"/>
          <w:rtl/>
        </w:rPr>
        <w:t xml:space="preserve"> והנעה,</w:t>
      </w:r>
      <w:r w:rsidR="00E31F73">
        <w:rPr>
          <w:rFonts w:hint="cs"/>
          <w:rtl/>
        </w:rPr>
        <w:t xml:space="preserve"> </w:t>
      </w:r>
      <w:r w:rsidR="00C64A2E">
        <w:rPr>
          <w:rFonts w:hint="cs"/>
          <w:rtl/>
        </w:rPr>
        <w:t>פעולה</w:t>
      </w:r>
      <w:r w:rsidR="00E31F73">
        <w:rPr>
          <w:rFonts w:hint="cs"/>
          <w:rtl/>
        </w:rPr>
        <w:t xml:space="preserve"> </w:t>
      </w:r>
      <w:r w:rsidR="00E31F73">
        <w:rPr>
          <w:rFonts w:hint="cs"/>
          <w:rtl/>
        </w:rPr>
        <w:t xml:space="preserve">והיפעלות, </w:t>
      </w:r>
      <w:r w:rsidR="00C64A2E">
        <w:rPr>
          <w:rFonts w:hint="cs"/>
          <w:rtl/>
        </w:rPr>
        <w:t xml:space="preserve">בין העצם </w:t>
      </w:r>
      <w:r w:rsidR="008146AA">
        <w:rPr>
          <w:rFonts w:hint="cs"/>
          <w:rtl/>
        </w:rPr>
        <w:t xml:space="preserve">ובין </w:t>
      </w:r>
      <w:r w:rsidR="00C64A2E">
        <w:rPr>
          <w:rFonts w:hint="cs"/>
          <w:rtl/>
        </w:rPr>
        <w:t xml:space="preserve">מה שמחוץ לו. </w:t>
      </w:r>
    </w:p>
  </w:footnote>
  <w:footnote w:id="510">
    <w:p w14:paraId="2F65C91C" w14:textId="2C1A425A" w:rsidR="00AB6435" w:rsidRDefault="00AB6435">
      <w:pPr>
        <w:pStyle w:val="FootnoteText"/>
      </w:pPr>
      <w:r>
        <w:rPr>
          <w:rStyle w:val="FootnoteReference"/>
        </w:rPr>
        <w:footnoteRef/>
      </w:r>
      <w:r>
        <w:rPr>
          <w:rtl/>
        </w:rPr>
        <w:t xml:space="preserve"> </w:t>
      </w:r>
      <w:r>
        <w:rPr>
          <w:rFonts w:hint="cs"/>
          <w:rtl/>
        </w:rPr>
        <w:t>התחלת התנועה באופן כללי היא במהות הצורה כשלעצמה, הצורה היא הנפש החיה שיש בכל דבר</w:t>
      </w:r>
      <w:r w:rsidR="00182451">
        <w:rPr>
          <w:rFonts w:hint="cs"/>
          <w:rtl/>
        </w:rPr>
        <w:t xml:space="preserve"> (וכמו שכתב במורה נבוכים א' ע"ב בעקבות אפלטון שכל המציאות היא איש חי אחד, ואם כן גם הדוממים שנקראים פגרים מתים כיוון שאינו נעים מכח עצמם יש בהם חיים)</w:t>
      </w:r>
      <w:r w:rsidR="007A44EF">
        <w:rPr>
          <w:rFonts w:hint="cs"/>
          <w:rtl/>
        </w:rPr>
        <w:t xml:space="preserve"> ומציאותה </w:t>
      </w:r>
      <w:r w:rsidR="00366897">
        <w:rPr>
          <w:rFonts w:hint="cs"/>
          <w:rtl/>
        </w:rPr>
        <w:t xml:space="preserve">בעצמה </w:t>
      </w:r>
      <w:r w:rsidR="007A44EF">
        <w:rPr>
          <w:rFonts w:hint="cs"/>
          <w:rtl/>
        </w:rPr>
        <w:t xml:space="preserve">היא תנועה (דומם צומח חי ומדבר הם רק אופנים של תנועות), </w:t>
      </w:r>
      <w:r w:rsidR="00366897">
        <w:rPr>
          <w:rFonts w:hint="cs"/>
          <w:rtl/>
        </w:rPr>
        <w:t xml:space="preserve">וכמו שהתבאר בעיונים בפילוסופיה אריסטוטלית </w:t>
      </w:r>
      <w:hyperlink r:id="rId114" w:history="1">
        <w:r w:rsidR="00366897" w:rsidRPr="00CC603D">
          <w:rPr>
            <w:rStyle w:val="Hyperlink"/>
            <w:rFonts w:hint="cs"/>
            <w:rtl/>
          </w:rPr>
          <w:t>רשימה 35</w:t>
        </w:r>
      </w:hyperlink>
      <w:r w:rsidR="00366897">
        <w:rPr>
          <w:rFonts w:hint="cs"/>
          <w:rtl/>
        </w:rPr>
        <w:t xml:space="preserve"> במאמר התנועה יסוד </w:t>
      </w:r>
      <w:r w:rsidR="009C463A">
        <w:rPr>
          <w:rFonts w:hint="cs"/>
          <w:rtl/>
        </w:rPr>
        <w:t>ההוויה</w:t>
      </w:r>
      <w:r w:rsidR="00366897">
        <w:rPr>
          <w:rFonts w:hint="cs"/>
          <w:rtl/>
        </w:rPr>
        <w:t>.</w:t>
      </w:r>
      <w:r w:rsidR="005E266D">
        <w:rPr>
          <w:rFonts w:hint="cs"/>
          <w:rtl/>
        </w:rPr>
        <w:t xml:space="preserve"> הטבע הוא האופנים המיוחדים והחוקיות של אותה תנועה כל</w:t>
      </w:r>
      <w:r w:rsidR="00CC603D">
        <w:rPr>
          <w:rFonts w:hint="cs"/>
          <w:rtl/>
        </w:rPr>
        <w:t>לית</w:t>
      </w:r>
      <w:r w:rsidR="005E266D">
        <w:rPr>
          <w:rFonts w:hint="cs"/>
          <w:rtl/>
        </w:rPr>
        <w:t xml:space="preserve">. </w:t>
      </w:r>
    </w:p>
  </w:footnote>
  <w:footnote w:id="511">
    <w:p w14:paraId="69762527" w14:textId="4399BFCD" w:rsidR="002F09E8" w:rsidRDefault="002F09E8">
      <w:pPr>
        <w:pStyle w:val="FootnoteText"/>
      </w:pPr>
      <w:r>
        <w:rPr>
          <w:rStyle w:val="FootnoteReference"/>
        </w:rPr>
        <w:footnoteRef/>
      </w:r>
      <w:r>
        <w:rPr>
          <w:rtl/>
        </w:rPr>
        <w:t xml:space="preserve"> </w:t>
      </w:r>
      <w:r w:rsidR="008D48E1">
        <w:rPr>
          <w:rFonts w:hint="cs"/>
          <w:rtl/>
        </w:rPr>
        <w:t xml:space="preserve">לעיל פרק 5 מסעיף 5. היא ההגדרה של אריסטו בפיזיקה ב' א' שטבע הוא התחלת תנועה ומנוחה שנמצאת בדבר מצד עצמו. </w:t>
      </w:r>
    </w:p>
  </w:footnote>
  <w:footnote w:id="512">
    <w:p w14:paraId="25FC1DCD" w14:textId="59664567" w:rsidR="001E6636" w:rsidRDefault="00DA2E0C" w:rsidP="000E2F4C">
      <w:pPr>
        <w:pStyle w:val="FootnoteText"/>
      </w:pPr>
      <w:r>
        <w:rPr>
          <w:rStyle w:val="FootnoteReference"/>
        </w:rPr>
        <w:footnoteRef/>
      </w:r>
      <w:r>
        <w:rPr>
          <w:rtl/>
        </w:rPr>
        <w:t xml:space="preserve"> </w:t>
      </w:r>
      <w:r w:rsidR="009904E0">
        <w:rPr>
          <w:rFonts w:hint="cs"/>
          <w:rtl/>
        </w:rPr>
        <w:t xml:space="preserve">לפי המובן הזה 'טבע' הוא </w:t>
      </w:r>
      <w:r w:rsidR="002E0DF7">
        <w:rPr>
          <w:rFonts w:hint="cs"/>
          <w:rtl/>
        </w:rPr>
        <w:t>ה</w:t>
      </w:r>
      <w:r w:rsidR="00144AEB">
        <w:rPr>
          <w:rFonts w:hint="cs"/>
          <w:rtl/>
        </w:rPr>
        <w:t>היולי</w:t>
      </w:r>
      <w:r w:rsidR="000E2F4C">
        <w:rPr>
          <w:rFonts w:hint="cs"/>
          <w:rtl/>
        </w:rPr>
        <w:t xml:space="preserve"> (החומר הראשון של כל המציאות, או מה שמתייחס </w:t>
      </w:r>
      <w:r w:rsidR="0000237E">
        <w:rPr>
          <w:rFonts w:hint="cs"/>
          <w:rtl/>
        </w:rPr>
        <w:t xml:space="preserve">בתפקיד של </w:t>
      </w:r>
      <w:r w:rsidR="000E2F4C">
        <w:rPr>
          <w:rFonts w:hint="cs"/>
          <w:rtl/>
        </w:rPr>
        <w:t>חומ</w:t>
      </w:r>
      <w:r w:rsidR="00921ED4">
        <w:rPr>
          <w:rFonts w:hint="cs"/>
          <w:rtl/>
        </w:rPr>
        <w:t>ר</w:t>
      </w:r>
      <w:r w:rsidR="000E2F4C">
        <w:rPr>
          <w:rFonts w:hint="cs"/>
          <w:rtl/>
        </w:rPr>
        <w:t xml:space="preserve"> ראשון לכל עצם</w:t>
      </w:r>
      <w:r w:rsidR="0000237E">
        <w:rPr>
          <w:rFonts w:hint="cs"/>
          <w:rtl/>
        </w:rPr>
        <w:t xml:space="preserve"> </w:t>
      </w:r>
      <w:r w:rsidR="009C463A">
        <w:rPr>
          <w:rFonts w:hint="cs"/>
          <w:rtl/>
        </w:rPr>
        <w:t>מסוים</w:t>
      </w:r>
      <w:r w:rsidR="00921ED4">
        <w:rPr>
          <w:rFonts w:hint="cs"/>
          <w:rtl/>
        </w:rPr>
        <w:t>. למשל הצומח והחי ש</w:t>
      </w:r>
      <w:r w:rsidR="00D12F36">
        <w:rPr>
          <w:rFonts w:hint="cs"/>
          <w:rtl/>
        </w:rPr>
        <w:t>נאמרו בפרשת בראשית כולם הם מהארץ</w:t>
      </w:r>
      <w:r w:rsidR="0004404B">
        <w:rPr>
          <w:rFonts w:hint="cs"/>
          <w:rtl/>
        </w:rPr>
        <w:t xml:space="preserve"> (</w:t>
      </w:r>
      <w:r w:rsidR="00F004DE">
        <w:rPr>
          <w:rFonts w:hint="cs"/>
          <w:rtl/>
        </w:rPr>
        <w:t>"</w:t>
      </w:r>
      <w:r w:rsidR="00911812" w:rsidRPr="00911812">
        <w:rPr>
          <w:rtl/>
        </w:rPr>
        <w:t>תַּדְשֵׁא הָאָרֶץ</w:t>
      </w:r>
      <w:r w:rsidR="00F004DE">
        <w:rPr>
          <w:rFonts w:hint="cs"/>
          <w:rtl/>
        </w:rPr>
        <w:t>"</w:t>
      </w:r>
      <w:r w:rsidR="00911812">
        <w:rPr>
          <w:rFonts w:hint="cs"/>
          <w:rtl/>
        </w:rPr>
        <w:t xml:space="preserve">, </w:t>
      </w:r>
      <w:r w:rsidR="00F004DE">
        <w:rPr>
          <w:rFonts w:hint="cs"/>
          <w:rtl/>
        </w:rPr>
        <w:t>"</w:t>
      </w:r>
      <w:r w:rsidR="00F004DE" w:rsidRPr="00F004DE">
        <w:rPr>
          <w:rtl/>
        </w:rPr>
        <w:t>תּוֹצֵא הָאָרֶץ</w:t>
      </w:r>
      <w:r w:rsidR="00F004DE">
        <w:rPr>
          <w:rFonts w:hint="cs"/>
          <w:rtl/>
        </w:rPr>
        <w:t>"</w:t>
      </w:r>
      <w:r w:rsidR="003D5D1A">
        <w:rPr>
          <w:rFonts w:hint="cs"/>
          <w:rtl/>
        </w:rPr>
        <w:t xml:space="preserve">, </w:t>
      </w:r>
      <w:r w:rsidR="0039429F">
        <w:rPr>
          <w:rFonts w:hint="cs"/>
          <w:rtl/>
        </w:rPr>
        <w:t>"</w:t>
      </w:r>
      <w:r w:rsidR="003D5D1A" w:rsidRPr="003D5D1A">
        <w:rPr>
          <w:rtl/>
        </w:rPr>
        <w:t>אֶת הָאָדָם עָפָר מִן הָאֲדָמָה</w:t>
      </w:r>
      <w:r w:rsidR="0039429F">
        <w:rPr>
          <w:rFonts w:hint="cs"/>
          <w:rtl/>
        </w:rPr>
        <w:t>"</w:t>
      </w:r>
      <w:r w:rsidR="00D12F36">
        <w:rPr>
          <w:rFonts w:hint="cs"/>
          <w:rtl/>
        </w:rPr>
        <w:t xml:space="preserve">, </w:t>
      </w:r>
      <w:r w:rsidR="0039429F">
        <w:rPr>
          <w:rFonts w:hint="cs"/>
          <w:rtl/>
        </w:rPr>
        <w:t xml:space="preserve">הארץ </w:t>
      </w:r>
      <w:r w:rsidR="00A52617">
        <w:rPr>
          <w:rFonts w:hint="cs"/>
          <w:rtl/>
        </w:rPr>
        <w:t>(</w:t>
      </w:r>
      <w:r w:rsidR="0039429F">
        <w:rPr>
          <w:rFonts w:hint="cs"/>
          <w:rtl/>
        </w:rPr>
        <w:t>והים</w:t>
      </w:r>
      <w:r w:rsidR="00A52617">
        <w:rPr>
          <w:rFonts w:hint="cs"/>
          <w:rtl/>
        </w:rPr>
        <w:t xml:space="preserve"> בכלל זה)</w:t>
      </w:r>
      <w:r w:rsidR="0039429F">
        <w:rPr>
          <w:rFonts w:hint="cs"/>
          <w:rtl/>
        </w:rPr>
        <w:t xml:space="preserve"> הם הגיבורים של הסיפור מהבחינה הספרותית) </w:t>
      </w:r>
      <w:r w:rsidR="00D12F36">
        <w:rPr>
          <w:rFonts w:hint="cs"/>
          <w:rtl/>
        </w:rPr>
        <w:t xml:space="preserve">כלומר כולם אופנים של </w:t>
      </w:r>
      <w:r w:rsidR="000D7180">
        <w:rPr>
          <w:rFonts w:hint="cs"/>
          <w:rtl/>
        </w:rPr>
        <w:t xml:space="preserve">קיומה של הארץ, הארץ מוציאה אותם </w:t>
      </w:r>
      <w:r w:rsidR="000D7180">
        <w:rPr>
          <w:rFonts w:hint="cs"/>
          <w:rtl/>
        </w:rPr>
        <w:t xml:space="preserve">כהתפרטות הגילוי של מה שהיא, והיא בבחינת החומר הראשון </w:t>
      </w:r>
      <w:r w:rsidR="00541FC9">
        <w:rPr>
          <w:rFonts w:hint="cs"/>
          <w:rtl/>
        </w:rPr>
        <w:t>כלפיהם</w:t>
      </w:r>
      <w:r w:rsidR="00921ED4">
        <w:rPr>
          <w:rFonts w:hint="cs"/>
          <w:rtl/>
        </w:rPr>
        <w:t>)</w:t>
      </w:r>
      <w:r w:rsidR="00144AEB">
        <w:rPr>
          <w:rFonts w:hint="cs"/>
          <w:rtl/>
        </w:rPr>
        <w:t xml:space="preserve">. </w:t>
      </w:r>
    </w:p>
  </w:footnote>
  <w:footnote w:id="513">
    <w:p w14:paraId="474FEA14" w14:textId="738B03D8" w:rsidR="00BF173E" w:rsidRDefault="000C1CC9" w:rsidP="00BF173E">
      <w:pPr>
        <w:pStyle w:val="FootnoteText"/>
        <w:rPr>
          <w:rtl/>
        </w:rPr>
      </w:pPr>
      <w:r>
        <w:rPr>
          <w:rStyle w:val="FootnoteReference"/>
        </w:rPr>
        <w:footnoteRef/>
      </w:r>
      <w:r>
        <w:rPr>
          <w:rtl/>
        </w:rPr>
        <w:t xml:space="preserve"> </w:t>
      </w:r>
      <w:r w:rsidR="00BF173E">
        <w:rPr>
          <w:rtl/>
        </w:rPr>
        <w:t>לפי המובן הזה 'טבע' הוא הצו</w:t>
      </w:r>
      <w:r w:rsidR="00BF173E" w:rsidRPr="0069528E">
        <w:rPr>
          <w:rtl/>
        </w:rPr>
        <w:t>רה או המהות</w:t>
      </w:r>
      <w:r w:rsidR="00E030DB">
        <w:rPr>
          <w:rFonts w:hint="cs"/>
          <w:rtl/>
        </w:rPr>
        <w:t>.</w:t>
      </w:r>
      <w:r w:rsidR="00BF173E">
        <w:rPr>
          <w:rtl/>
        </w:rPr>
        <w:t xml:space="preserve"> לפי המובן הראשון התחלת התנועה שבאדם היא אותה התחלת תנועה שיש באבן, ליפול ישר למטה, וזה לא קובע את מה שהוא, וזה לא באמת צורתו, וכמו שהתבאר לעיל בסמוך.  </w:t>
      </w:r>
    </w:p>
    <w:p w14:paraId="5FD3DAE1" w14:textId="77777777" w:rsidR="00BF173E" w:rsidRDefault="00BF173E" w:rsidP="00BF173E">
      <w:pPr>
        <w:pStyle w:val="FootnoteText"/>
        <w:rPr>
          <w:rtl/>
        </w:rPr>
      </w:pPr>
      <w:r>
        <w:rPr>
          <w:rtl/>
        </w:rPr>
        <w:t>לשון המורה נבוכים א' א':</w:t>
      </w:r>
    </w:p>
    <w:p w14:paraId="5D80CCDE" w14:textId="77777777" w:rsidR="00BF173E" w:rsidRDefault="00BF173E" w:rsidP="00BF173E">
      <w:pPr>
        <w:pStyle w:val="FootnoteText"/>
        <w:rPr>
          <w:rtl/>
        </w:rPr>
      </w:pPr>
      <w:r>
        <w:rPr>
          <w:rtl/>
        </w:rPr>
        <w:t xml:space="preserve">"אמנם צֶלֶם הוא נופל על הצורה הטבעית, רוצה לומר על העניין אשר בו נתעצם הדבר והיה מה שהוא, והוא </w:t>
      </w:r>
      <w:r>
        <w:rPr>
          <w:rtl/>
        </w:rPr>
        <w:t>אמתתו מאשר הוא הנמצא ההוא, אשר העניין ההוא באדם הוא אשר בעבורו תהיה ההשגה האנושית."</w:t>
      </w:r>
    </w:p>
    <w:p w14:paraId="3C3901D7" w14:textId="6BE41A53" w:rsidR="000C1CC9" w:rsidRDefault="00BF173E" w:rsidP="00BF173E">
      <w:pPr>
        <w:pStyle w:val="FootnoteText"/>
        <w:rPr>
          <w:rtl/>
        </w:rPr>
      </w:pPr>
      <w:r>
        <w:rPr>
          <w:rtl/>
        </w:rPr>
        <w:t>והרי קשר את ה</w:t>
      </w:r>
      <w:r w:rsidR="004B06C6">
        <w:rPr>
          <w:rFonts w:hint="cs"/>
          <w:rtl/>
        </w:rPr>
        <w:t>טבע</w:t>
      </w:r>
      <w:r>
        <w:rPr>
          <w:rtl/>
        </w:rPr>
        <w:t xml:space="preserve"> (לפי המובן הש</w:t>
      </w:r>
      <w:r w:rsidR="00B30A64">
        <w:rPr>
          <w:rFonts w:hint="cs"/>
          <w:rtl/>
        </w:rPr>
        <w:t>ל</w:t>
      </w:r>
      <w:r>
        <w:rPr>
          <w:rtl/>
        </w:rPr>
        <w:t>י</w:t>
      </w:r>
      <w:r w:rsidR="00B30A64">
        <w:rPr>
          <w:rFonts w:hint="cs"/>
          <w:rtl/>
        </w:rPr>
        <w:t>שי</w:t>
      </w:r>
      <w:r>
        <w:rPr>
          <w:rtl/>
        </w:rPr>
        <w:t xml:space="preserve"> של אבן סינא כאן) ל</w:t>
      </w:r>
      <w:r w:rsidR="004B06C6">
        <w:rPr>
          <w:rFonts w:hint="cs"/>
          <w:rtl/>
        </w:rPr>
        <w:t>צורה</w:t>
      </w:r>
      <w:r>
        <w:rPr>
          <w:rtl/>
        </w:rPr>
        <w:t xml:space="preserve">, וקרא לה הצורה הטבעית. </w:t>
      </w:r>
    </w:p>
    <w:p w14:paraId="3504C0A9" w14:textId="77777777" w:rsidR="003C0D61" w:rsidRDefault="003C0D61" w:rsidP="00BF173E">
      <w:pPr>
        <w:pStyle w:val="FootnoteText"/>
        <w:rPr>
          <w:rtl/>
        </w:rPr>
      </w:pPr>
    </w:p>
    <w:p w14:paraId="0356BCE8" w14:textId="61A97695" w:rsidR="003C0D61" w:rsidRDefault="00F165AE" w:rsidP="00BF173E">
      <w:pPr>
        <w:pStyle w:val="FootnoteText"/>
        <w:rPr>
          <w:rtl/>
        </w:rPr>
      </w:pPr>
      <w:r>
        <w:rPr>
          <w:rFonts w:hint="cs"/>
          <w:rtl/>
        </w:rPr>
        <w:t>המובנים של הטבע שדן בהם אבן סינא כאן, הם פרשנות לדברי אריסטו בפיזיקה ספר ב' פרק א':</w:t>
      </w:r>
    </w:p>
    <w:p w14:paraId="0EC2D2DA" w14:textId="16C5A2F6" w:rsidR="005A3FEC" w:rsidRDefault="00F165AE" w:rsidP="005A3FEC">
      <w:pPr>
        <w:pStyle w:val="FootnoteText"/>
        <w:rPr>
          <w:rtl/>
        </w:rPr>
      </w:pPr>
      <w:r>
        <w:rPr>
          <w:rFonts w:hint="cs"/>
          <w:rtl/>
        </w:rPr>
        <w:t>"</w:t>
      </w:r>
      <w:r>
        <w:rPr>
          <w:rtl/>
        </w:rPr>
        <w:t xml:space="preserve">לאחדים נראה שהטבע או ההוויה של הנמצאים על פי הטבע היא המרכיב הקרוב </w:t>
      </w:r>
      <w:r w:rsidR="005A3FEC">
        <w:rPr>
          <w:rFonts w:hint="cs"/>
          <w:rtl/>
        </w:rPr>
        <w:t>-</w:t>
      </w:r>
      <w:r>
        <w:rPr>
          <w:rtl/>
        </w:rPr>
        <w:t xml:space="preserve"> חסר עיצוב כשלעצמו - בכל דבר ודבר</w:t>
      </w:r>
      <w:r w:rsidR="005A3FEC">
        <w:rPr>
          <w:rFonts w:hint="cs"/>
          <w:rtl/>
        </w:rPr>
        <w:t xml:space="preserve"> </w:t>
      </w:r>
      <w:bookmarkStart w:id="249" w:name="_Hlk104829126"/>
      <w:r w:rsidR="005A3FEC">
        <w:rPr>
          <w:rFonts w:hint="cs"/>
          <w:rtl/>
        </w:rPr>
        <w:t>[נ.ש.:</w:t>
      </w:r>
      <w:r w:rsidR="005A3FEC">
        <w:rPr>
          <w:rFonts w:hint="cs"/>
        </w:rPr>
        <w:t xml:space="preserve"> </w:t>
      </w:r>
      <w:r w:rsidR="005A3FEC">
        <w:rPr>
          <w:rFonts w:hint="cs"/>
          <w:rtl/>
        </w:rPr>
        <w:t>זה המובן השני, לפי הצד שהחומר הראשון הוא לא רק החומר הראשון הכללי</w:t>
      </w:r>
      <w:bookmarkEnd w:id="249"/>
      <w:r w:rsidR="005A3FEC">
        <w:rPr>
          <w:rFonts w:hint="cs"/>
          <w:rtl/>
        </w:rPr>
        <w:t xml:space="preserve"> אלא כל מה שהוא בבחינת חומר ראשון לאותו עצם]</w:t>
      </w:r>
      <w:r>
        <w:rPr>
          <w:rtl/>
        </w:rPr>
        <w:t xml:space="preserve">. למשל: העץ הוא טבע המיטה והנחושת </w:t>
      </w:r>
      <w:r w:rsidR="005A3FEC">
        <w:rPr>
          <w:rtl/>
        </w:rPr>
        <w:t>-</w:t>
      </w:r>
      <w:r>
        <w:rPr>
          <w:rtl/>
        </w:rPr>
        <w:t xml:space="preserve"> של הפסל. (סימן לכך, אומר אנטיפון, הוא, שאם יקבור אדם מיטה באדמה וברקב תיווצר יכולת ללבלב, לא תיווצר אז מיטה אלא עץ, כך שהאחד שייך לדבר </w:t>
      </w:r>
      <w:r w:rsidR="005A3FEC">
        <w:rPr>
          <w:rFonts w:hint="cs"/>
          <w:rtl/>
        </w:rPr>
        <w:t xml:space="preserve">על פי </w:t>
      </w:r>
      <w:r>
        <w:rPr>
          <w:rtl/>
        </w:rPr>
        <w:t>המקרה - עיצוב שעל פי הסכם והאומנות - בעוד שההוויה</w:t>
      </w:r>
      <w:r w:rsidR="005A3FEC">
        <w:rPr>
          <w:rFonts w:hint="cs"/>
          <w:rtl/>
        </w:rPr>
        <w:t xml:space="preserve"> היא</w:t>
      </w:r>
      <w:r>
        <w:rPr>
          <w:rtl/>
        </w:rPr>
        <w:t xml:space="preserve"> אותו דבר שמתמיד ונושא את העיצובי</w:t>
      </w:r>
      <w:r w:rsidR="005A3FEC">
        <w:rPr>
          <w:rFonts w:hint="cs"/>
          <w:rtl/>
        </w:rPr>
        <w:t>ם</w:t>
      </w:r>
      <w:r>
        <w:rPr>
          <w:rtl/>
        </w:rPr>
        <w:t xml:space="preserve"> האלה ברציפות.) </w:t>
      </w:r>
    </w:p>
    <w:p w14:paraId="203D1F7F" w14:textId="68B56ED7" w:rsidR="005A3FEC" w:rsidRDefault="005A3FEC" w:rsidP="005A3FEC">
      <w:pPr>
        <w:pStyle w:val="FootnoteText"/>
        <w:rPr>
          <w:rtl/>
        </w:rPr>
      </w:pPr>
      <w:r>
        <w:rPr>
          <w:rFonts w:hint="cs"/>
          <w:rtl/>
        </w:rPr>
        <w:t>וא</w:t>
      </w:r>
      <w:r w:rsidR="00F165AE">
        <w:rPr>
          <w:rtl/>
        </w:rPr>
        <w:t>ם</w:t>
      </w:r>
      <w:r>
        <w:rPr>
          <w:rFonts w:hint="cs"/>
          <w:rtl/>
        </w:rPr>
        <w:t xml:space="preserve"> גם</w:t>
      </w:r>
      <w:r w:rsidR="00F165AE">
        <w:rPr>
          <w:rtl/>
        </w:rPr>
        <w:t xml:space="preserve"> כל אחד מאלה עומד באותו יחס לדבר מה אחר </w:t>
      </w:r>
      <w:r>
        <w:rPr>
          <w:rtl/>
        </w:rPr>
        <w:t>-</w:t>
      </w:r>
      <w:r w:rsidR="00F165AE">
        <w:rPr>
          <w:rtl/>
        </w:rPr>
        <w:t xml:space="preserve"> כנחושת </w:t>
      </w:r>
      <w:r>
        <w:rPr>
          <w:rFonts w:hint="cs"/>
          <w:rtl/>
        </w:rPr>
        <w:t>כז</w:t>
      </w:r>
      <w:r w:rsidR="00F165AE">
        <w:rPr>
          <w:rtl/>
        </w:rPr>
        <w:t xml:space="preserve">הב למשל ביחס למים, העצמות והעצים ביחס לעפר, ובדומה </w:t>
      </w:r>
      <w:r>
        <w:rPr>
          <w:rFonts w:hint="cs"/>
          <w:rtl/>
        </w:rPr>
        <w:t>לכך ד</w:t>
      </w:r>
      <w:r w:rsidR="00F165AE">
        <w:rPr>
          <w:rtl/>
        </w:rPr>
        <w:t xml:space="preserve">בר כלשהו מבין שאר הדברים - יהיו האחרונים הטבע </w:t>
      </w:r>
      <w:r>
        <w:rPr>
          <w:rFonts w:hint="cs"/>
          <w:rtl/>
        </w:rPr>
        <w:t>וה</w:t>
      </w:r>
      <w:r w:rsidR="00F165AE">
        <w:rPr>
          <w:rtl/>
        </w:rPr>
        <w:t>הוויה של אלה. לכן אומרים אחדים שהטבע של הנמצאים ה</w:t>
      </w:r>
      <w:r>
        <w:rPr>
          <w:rFonts w:hint="cs"/>
          <w:rtl/>
        </w:rPr>
        <w:t>ו</w:t>
      </w:r>
      <w:r w:rsidR="00F165AE">
        <w:rPr>
          <w:rtl/>
        </w:rPr>
        <w:t>א אש, אחרים - עפר, אח</w:t>
      </w:r>
      <w:r>
        <w:rPr>
          <w:rFonts w:hint="cs"/>
          <w:rtl/>
        </w:rPr>
        <w:t>ד</w:t>
      </w:r>
      <w:r w:rsidR="00F165AE">
        <w:rPr>
          <w:rtl/>
        </w:rPr>
        <w:t>ים - אוויר, אחדים - מים, אחדים</w:t>
      </w:r>
      <w:r>
        <w:rPr>
          <w:rFonts w:hint="cs"/>
          <w:rtl/>
        </w:rPr>
        <w:t xml:space="preserve"> -</w:t>
      </w:r>
      <w:r w:rsidR="00F165AE">
        <w:rPr>
          <w:rtl/>
        </w:rPr>
        <w:t xml:space="preserve"> </w:t>
      </w:r>
      <w:r>
        <w:rPr>
          <w:rFonts w:hint="cs"/>
          <w:rtl/>
        </w:rPr>
        <w:t>כ</w:t>
      </w:r>
      <w:r w:rsidR="00F165AE">
        <w:rPr>
          <w:rtl/>
        </w:rPr>
        <w:t xml:space="preserve">מה מאלה, ואחדים - כל אלה. כי את מה שמישהו מהם הניח </w:t>
      </w:r>
      <w:r>
        <w:rPr>
          <w:rFonts w:hint="cs"/>
          <w:rtl/>
        </w:rPr>
        <w:t>ככ</w:t>
      </w:r>
      <w:r w:rsidR="00F165AE">
        <w:rPr>
          <w:rtl/>
        </w:rPr>
        <w:t xml:space="preserve">זה (בין אם אחד בין אם יותר) הוא מעמיד כהוויה כולה ואת כל </w:t>
      </w:r>
      <w:r>
        <w:rPr>
          <w:rFonts w:hint="cs"/>
          <w:rtl/>
        </w:rPr>
        <w:t>הש</w:t>
      </w:r>
      <w:r w:rsidR="00F165AE">
        <w:rPr>
          <w:rtl/>
        </w:rPr>
        <w:t>אר כתכונות, מצבים או עיצובים שלו, ובע</w:t>
      </w:r>
      <w:r>
        <w:rPr>
          <w:rFonts w:hint="cs"/>
          <w:rtl/>
        </w:rPr>
        <w:t>ו</w:t>
      </w:r>
      <w:r w:rsidR="00F165AE">
        <w:rPr>
          <w:rtl/>
        </w:rPr>
        <w:t xml:space="preserve">ד שהוא עצמו נצחי </w:t>
      </w:r>
      <w:r>
        <w:rPr>
          <w:rFonts w:hint="cs"/>
          <w:rtl/>
        </w:rPr>
        <w:t>(ש</w:t>
      </w:r>
      <w:r w:rsidR="00F165AE">
        <w:rPr>
          <w:rtl/>
        </w:rPr>
        <w:t>הר</w:t>
      </w:r>
      <w:r>
        <w:rPr>
          <w:rFonts w:hint="cs"/>
          <w:rtl/>
        </w:rPr>
        <w:t>י</w:t>
      </w:r>
      <w:r w:rsidR="00F165AE">
        <w:rPr>
          <w:rtl/>
        </w:rPr>
        <w:t xml:space="preserve"> אין לו שינוי אל מחוץ לעצמו), שאר הדברים מתהווים וכלים עד אין-סוף. </w:t>
      </w:r>
    </w:p>
    <w:p w14:paraId="41A9545C" w14:textId="1D26A233" w:rsidR="00F165AE" w:rsidRDefault="00F165AE" w:rsidP="005A3FEC">
      <w:pPr>
        <w:pStyle w:val="FootnoteText"/>
        <w:rPr>
          <w:rtl/>
        </w:rPr>
      </w:pPr>
      <w:r>
        <w:rPr>
          <w:rtl/>
        </w:rPr>
        <w:t>באופן אחד מכונה הטבע כך: החומר הראשוני המשמש כמצע לכל דבר מן הדברים שיש להם התחלה של תנועה ושל שינוי בהם עצמם</w:t>
      </w:r>
      <w:r w:rsidR="005A3FEC">
        <w:rPr>
          <w:rFonts w:hint="cs"/>
          <w:rtl/>
        </w:rPr>
        <w:t xml:space="preserve"> </w:t>
      </w:r>
      <w:r w:rsidR="005A3FEC" w:rsidRPr="005A3FEC">
        <w:rPr>
          <w:rtl/>
        </w:rPr>
        <w:t>[נ.ש.: זה המובן השני, לפי הצד שהחומר הראשון הוא החומר הראשון הכללי</w:t>
      </w:r>
      <w:r w:rsidR="005A3FEC">
        <w:rPr>
          <w:rFonts w:hint="cs"/>
          <w:rtl/>
        </w:rPr>
        <w:t>]</w:t>
      </w:r>
      <w:r>
        <w:rPr>
          <w:rtl/>
        </w:rPr>
        <w:t xml:space="preserve">; אך באופן אחר </w:t>
      </w:r>
      <w:r w:rsidR="005A3FEC">
        <w:rPr>
          <w:rtl/>
        </w:rPr>
        <w:t>-</w:t>
      </w:r>
      <w:r>
        <w:rPr>
          <w:rtl/>
        </w:rPr>
        <w:t xml:space="preserve"> התבנית והצורה שעל פי ההגדרה</w:t>
      </w:r>
      <w:r w:rsidR="005A3FEC">
        <w:rPr>
          <w:rFonts w:hint="cs"/>
          <w:rtl/>
        </w:rPr>
        <w:t xml:space="preserve"> </w:t>
      </w:r>
      <w:r w:rsidR="005A3FEC" w:rsidRPr="005A3FEC">
        <w:rPr>
          <w:rtl/>
        </w:rPr>
        <w:t>[נ.ש.: זה המובן הש</w:t>
      </w:r>
      <w:r w:rsidR="005A3FEC">
        <w:rPr>
          <w:rFonts w:hint="cs"/>
          <w:rtl/>
        </w:rPr>
        <w:t>לישי]</w:t>
      </w:r>
      <w:r>
        <w:rPr>
          <w:rtl/>
        </w:rPr>
        <w:t>. כי כשם שמה שעל פי האומנות ומה שאומנותי נקרא 'אומנות', כך מה שלפי הטבע וטבעי הוא '</w:t>
      </w:r>
      <w:r w:rsidR="005A3FEC">
        <w:rPr>
          <w:rFonts w:hint="cs"/>
          <w:rtl/>
        </w:rPr>
        <w:t>ט</w:t>
      </w:r>
      <w:r>
        <w:rPr>
          <w:rtl/>
        </w:rPr>
        <w:t xml:space="preserve">בע'. ואם שם לא נאמר עדיין, שמשהו הוא על פי האומנות </w:t>
      </w:r>
      <w:r w:rsidR="005A3FEC">
        <w:rPr>
          <w:rtl/>
        </w:rPr>
        <w:t>-</w:t>
      </w:r>
      <w:r>
        <w:rPr>
          <w:rtl/>
        </w:rPr>
        <w:t xml:space="preserve"> ואף לא שהוא אומנות </w:t>
      </w:r>
      <w:r w:rsidR="005A3FEC">
        <w:rPr>
          <w:rtl/>
        </w:rPr>
        <w:t>-</w:t>
      </w:r>
      <w:r>
        <w:rPr>
          <w:rtl/>
        </w:rPr>
        <w:t xml:space="preserve"> אם הוא מיטה רק בכוח </w:t>
      </w:r>
      <w:r w:rsidR="005A3FEC">
        <w:rPr>
          <w:rFonts w:hint="cs"/>
          <w:rtl/>
        </w:rPr>
        <w:t>וה</w:t>
      </w:r>
      <w:r>
        <w:rPr>
          <w:rtl/>
        </w:rPr>
        <w:t xml:space="preserve">וא חסר עדיין את צורת המיטה, הוא הדין בדברים המורכבים באופן טבעי. העצמות או הבשר בכוח, לפני שיקבלו את הצורה שעל פי ההגדרה </w:t>
      </w:r>
      <w:r w:rsidR="005A3FEC">
        <w:rPr>
          <w:rtl/>
        </w:rPr>
        <w:t>-</w:t>
      </w:r>
      <w:r>
        <w:rPr>
          <w:rtl/>
        </w:rPr>
        <w:t xml:space="preserve"> אשר בהגדירנו אותה אומרים אנו מה הוא בשר </w:t>
      </w:r>
      <w:r w:rsidR="00955305">
        <w:rPr>
          <w:rFonts w:hint="cs"/>
          <w:rtl/>
        </w:rPr>
        <w:t>או עצם</w:t>
      </w:r>
      <w:r>
        <w:rPr>
          <w:rtl/>
        </w:rPr>
        <w:t xml:space="preserve"> - עדיין חסרים את הטבע שלהם עצמם ואף אין הם על פי </w:t>
      </w:r>
      <w:r w:rsidR="00955305">
        <w:rPr>
          <w:rFonts w:hint="cs"/>
          <w:rtl/>
        </w:rPr>
        <w:t>הטבע.</w:t>
      </w:r>
      <w:r>
        <w:rPr>
          <w:rtl/>
        </w:rPr>
        <w:t xml:space="preserve"> כך שבאופן אחר יהיה הטבע: התבנית והצורה של הדברים </w:t>
      </w:r>
      <w:r w:rsidR="00955305">
        <w:rPr>
          <w:rFonts w:hint="cs"/>
          <w:rtl/>
        </w:rPr>
        <w:t xml:space="preserve">שיש לה </w:t>
      </w:r>
      <w:r>
        <w:rPr>
          <w:rtl/>
        </w:rPr>
        <w:t>בהם עצמם התחלה של תנועה, כשהצורה אינה נפרדת</w:t>
      </w:r>
      <w:r w:rsidR="00955305">
        <w:rPr>
          <w:rFonts w:hint="cs"/>
          <w:rtl/>
        </w:rPr>
        <w:t xml:space="preserve">, </w:t>
      </w:r>
      <w:r>
        <w:rPr>
          <w:rtl/>
        </w:rPr>
        <w:t>אלא אם כן מבחינת ההגדרה. (מה שמורכב מהצורה והחומר אינו טבע אלא על פי הטבע, אדם למשל.) והצורה היא יותר טבע מן החומר, שהרי על כל דבר אומרים שהוא משהו מסוים כאשר הוא בפועל</w:t>
      </w:r>
      <w:r w:rsidR="00955305">
        <w:rPr>
          <w:rFonts w:hint="cs"/>
          <w:rtl/>
        </w:rPr>
        <w:t>,</w:t>
      </w:r>
      <w:r>
        <w:rPr>
          <w:rtl/>
        </w:rPr>
        <w:t xml:space="preserve"> יותר מאשר בשעה שהוא בכוח.</w:t>
      </w:r>
    </w:p>
    <w:p w14:paraId="1509E7D2" w14:textId="439970D7" w:rsidR="00F165AE" w:rsidRDefault="00F165AE" w:rsidP="00955305">
      <w:pPr>
        <w:pStyle w:val="FootnoteText"/>
        <w:rPr>
          <w:rtl/>
        </w:rPr>
      </w:pPr>
      <w:r>
        <w:rPr>
          <w:rtl/>
        </w:rPr>
        <w:t>ועוד, אדם נוצר מאדם אך לא מיטה ממיטה (לכן גם אומרים שלא הדפוס ה</w:t>
      </w:r>
      <w:r w:rsidR="00955305">
        <w:rPr>
          <w:rFonts w:hint="cs"/>
          <w:rtl/>
        </w:rPr>
        <w:t>ו</w:t>
      </w:r>
      <w:r>
        <w:rPr>
          <w:rtl/>
        </w:rPr>
        <w:t>א הטבע אלא העץ, כי אם תלבלב המיטה, לא תיווצר מיטה אלא עץ). אם זו היא אומנות, אז גם התבנית טבע, שהרי מאדם נוצר האדם.</w:t>
      </w:r>
    </w:p>
    <w:p w14:paraId="708AB521" w14:textId="77777777" w:rsidR="00955305" w:rsidRDefault="00955305" w:rsidP="00955305">
      <w:pPr>
        <w:pStyle w:val="FootnoteText"/>
        <w:rPr>
          <w:rtl/>
        </w:rPr>
      </w:pPr>
    </w:p>
    <w:p w14:paraId="1425CC81" w14:textId="752D28A9" w:rsidR="00F165AE" w:rsidRDefault="00F165AE" w:rsidP="00955305">
      <w:pPr>
        <w:pStyle w:val="FootnoteText"/>
        <w:rPr>
          <w:rtl/>
        </w:rPr>
      </w:pPr>
      <w:r>
        <w:rPr>
          <w:rtl/>
        </w:rPr>
        <w:t>ועוד, הטבע במובן התהוות הוא דרך אל טבע. כי לא כמו תהליך הריפוי עליו אומרים שהוא דרך אל הבריאות ולא אל מלאכת הרפואה שהרי תהליך הריפוי הוא בהכרח מתוך מלאכת הרפואה ולא אל מלאכת הרפואה. אך לא כך הטבע כהתהוות עומד ביחס לטבע, אלא המתפתח - בתור מה שמתפתח - נַע מדבר מה אל דבר מה. אל מה אפוא הוא מתפתח? - לא אל 'המתוך מה', אלא אל 'הלקראת מה</w:t>
      </w:r>
      <w:r w:rsidR="00955305">
        <w:rPr>
          <w:rFonts w:hint="cs"/>
          <w:rtl/>
        </w:rPr>
        <w:t>'</w:t>
      </w:r>
      <w:r>
        <w:rPr>
          <w:rtl/>
        </w:rPr>
        <w:t>. לכן התבנית היא טבע. והתבנית והטבע נאמרים בשתי משמעויות, שהרי מבחינה מסוימת גם ההיעדר הוא צורה. אם יש ההיעדר או איזה מנוגד בהתהוות המוחלטת או לאו, בכך יש לדון אחר כך.</w:t>
      </w:r>
      <w:r>
        <w:rPr>
          <w:rFonts w:hint="cs"/>
          <w:rtl/>
        </w:rPr>
        <w:t>"</w:t>
      </w:r>
    </w:p>
    <w:p w14:paraId="607DDC92" w14:textId="57DEF2FC" w:rsidR="00064818" w:rsidRDefault="00064818" w:rsidP="00955305">
      <w:pPr>
        <w:pStyle w:val="FootnoteText"/>
        <w:rPr>
          <w:rtl/>
        </w:rPr>
      </w:pPr>
      <w:r>
        <w:rPr>
          <w:rFonts w:hint="cs"/>
          <w:rtl/>
        </w:rPr>
        <w:t>עד כאן לשון אריסטו</w:t>
      </w:r>
      <w:r w:rsidR="00A95C31">
        <w:rPr>
          <w:rFonts w:hint="cs"/>
          <w:rtl/>
        </w:rPr>
        <w:t xml:space="preserve"> (בתרגום הפרופ' י. לנדא)</w:t>
      </w:r>
      <w:r>
        <w:rPr>
          <w:rFonts w:hint="cs"/>
          <w:rtl/>
        </w:rPr>
        <w:t>.</w:t>
      </w:r>
    </w:p>
    <w:p w14:paraId="54B5906C" w14:textId="54726AAE" w:rsidR="00064818" w:rsidRDefault="00064818" w:rsidP="00955305">
      <w:pPr>
        <w:pStyle w:val="FootnoteText"/>
        <w:rPr>
          <w:rtl/>
        </w:rPr>
      </w:pPr>
    </w:p>
    <w:p w14:paraId="4E1263A7" w14:textId="5C384393" w:rsidR="00C909D2" w:rsidRDefault="00064818" w:rsidP="002E1C18">
      <w:pPr>
        <w:pStyle w:val="FootnoteText"/>
        <w:rPr>
          <w:sz w:val="20"/>
          <w:szCs w:val="20"/>
          <w:rtl/>
        </w:rPr>
      </w:pPr>
      <w:r w:rsidRPr="009B7E33">
        <w:rPr>
          <w:sz w:val="20"/>
          <w:szCs w:val="20"/>
          <w:rtl/>
        </w:rPr>
        <w:t>(</w:t>
      </w:r>
      <w:r w:rsidR="008315A7">
        <w:rPr>
          <w:rFonts w:hint="cs"/>
          <w:sz w:val="20"/>
          <w:szCs w:val="20"/>
          <w:rtl/>
        </w:rPr>
        <w:t>מה שתרגמתי</w:t>
      </w:r>
      <w:r w:rsidR="006975D3">
        <w:rPr>
          <w:rFonts w:hint="cs"/>
          <w:sz w:val="20"/>
          <w:szCs w:val="20"/>
          <w:rtl/>
        </w:rPr>
        <w:t xml:space="preserve"> כאן</w:t>
      </w:r>
      <w:r w:rsidR="008315A7">
        <w:rPr>
          <w:rFonts w:hint="cs"/>
          <w:sz w:val="20"/>
          <w:szCs w:val="20"/>
          <w:rtl/>
        </w:rPr>
        <w:t xml:space="preserve"> </w:t>
      </w:r>
      <w:r w:rsidR="006975D3">
        <w:rPr>
          <w:rFonts w:hint="cs"/>
          <w:sz w:val="20"/>
          <w:szCs w:val="20"/>
          <w:rtl/>
        </w:rPr>
        <w:t>"</w:t>
      </w:r>
      <w:r w:rsidR="008315A7">
        <w:rPr>
          <w:rFonts w:hint="cs"/>
          <w:sz w:val="20"/>
          <w:szCs w:val="20"/>
          <w:rtl/>
        </w:rPr>
        <w:t>לעצמותו של כל דבר</w:t>
      </w:r>
      <w:r w:rsidR="006975D3">
        <w:rPr>
          <w:rFonts w:hint="cs"/>
          <w:sz w:val="20"/>
          <w:szCs w:val="20"/>
          <w:rtl/>
        </w:rPr>
        <w:t xml:space="preserve">", המילה "עצמות" היא תרגום של המילה שכתב אבן סינא </w:t>
      </w:r>
      <w:r w:rsidRPr="009B7E33">
        <w:rPr>
          <w:sz w:val="20"/>
          <w:szCs w:val="20"/>
          <w:rtl/>
        </w:rPr>
        <w:t xml:space="preserve"> </w:t>
      </w:r>
      <w:r w:rsidRPr="009B7E33">
        <w:rPr>
          <w:rFonts w:ascii="Arial" w:hAnsi="Arial" w:cs="Arial" w:hint="cs"/>
          <w:sz w:val="20"/>
          <w:szCs w:val="20"/>
          <w:rtl/>
          <w:lang w:bidi="ar-SA"/>
        </w:rPr>
        <w:t>ذات</w:t>
      </w:r>
      <w:r w:rsidRPr="009B7E33">
        <w:rPr>
          <w:sz w:val="20"/>
          <w:szCs w:val="20"/>
          <w:rtl/>
          <w:lang w:bidi="ar-SA"/>
        </w:rPr>
        <w:fldChar w:fldCharType="begin"/>
      </w:r>
      <w:r w:rsidRPr="009B7E33">
        <w:rPr>
          <w:sz w:val="20"/>
          <w:szCs w:val="20"/>
        </w:rPr>
        <w:instrText xml:space="preserve"> XE "</w:instrText>
      </w:r>
      <w:r w:rsidRPr="009B7E33">
        <w:rPr>
          <w:sz w:val="20"/>
          <w:szCs w:val="20"/>
          <w:rtl/>
        </w:rPr>
        <w:instrText xml:space="preserve">ד'את </w:instrText>
      </w:r>
      <w:r w:rsidRPr="009B7E33">
        <w:rPr>
          <w:rFonts w:ascii="Arial" w:hAnsi="Arial" w:cs="Arial" w:hint="cs"/>
          <w:sz w:val="20"/>
          <w:szCs w:val="20"/>
          <w:rtl/>
          <w:lang w:bidi="ar-SA"/>
        </w:rPr>
        <w:instrText>ذات</w:instrText>
      </w:r>
      <w:r w:rsidRPr="009B7E33">
        <w:rPr>
          <w:sz w:val="20"/>
          <w:szCs w:val="20"/>
          <w:rtl/>
        </w:rPr>
        <w:instrText xml:space="preserve"> - תרגומה המדוייק עצמות</w:instrText>
      </w:r>
      <w:r w:rsidRPr="009B7E33">
        <w:rPr>
          <w:sz w:val="20"/>
          <w:szCs w:val="20"/>
        </w:rPr>
        <w:instrText xml:space="preserve">" </w:instrText>
      </w:r>
      <w:r w:rsidRPr="009B7E33">
        <w:rPr>
          <w:sz w:val="20"/>
          <w:szCs w:val="20"/>
          <w:rtl/>
          <w:lang w:bidi="ar-SA"/>
        </w:rPr>
        <w:fldChar w:fldCharType="end"/>
      </w:r>
      <w:r w:rsidRPr="009B7E33">
        <w:rPr>
          <w:sz w:val="20"/>
          <w:szCs w:val="20"/>
          <w:rtl/>
        </w:rPr>
        <w:t xml:space="preserve"> </w:t>
      </w:r>
      <w:r w:rsidR="00B36E55" w:rsidRPr="009B7E33">
        <w:rPr>
          <w:sz w:val="20"/>
          <w:szCs w:val="20"/>
          <w:rtl/>
        </w:rPr>
        <w:t>(</w:t>
      </w:r>
      <w:r w:rsidR="00B548B8" w:rsidRPr="009B7E33">
        <w:rPr>
          <w:sz w:val="20"/>
          <w:szCs w:val="20"/>
          <w:rtl/>
        </w:rPr>
        <w:t xml:space="preserve">ד'את, </w:t>
      </w:r>
      <w:r w:rsidR="00B36E55" w:rsidRPr="009B7E33">
        <w:rPr>
          <w:sz w:val="20"/>
          <w:szCs w:val="20"/>
          <w:rtl/>
        </w:rPr>
        <w:t>מהשורש</w:t>
      </w:r>
      <w:r w:rsidR="00B36E55" w:rsidRPr="009B7E33">
        <w:rPr>
          <w:sz w:val="20"/>
          <w:szCs w:val="20"/>
          <w:cs/>
        </w:rPr>
        <w:t>‎</w:t>
      </w:r>
      <w:r w:rsidR="00B36E55" w:rsidRPr="009B7E33">
        <w:rPr>
          <w:sz w:val="20"/>
          <w:szCs w:val="20"/>
          <w:rtl/>
          <w:lang w:bidi="ar-SA"/>
        </w:rPr>
        <w:t xml:space="preserve"> </w:t>
      </w:r>
      <w:bookmarkStart w:id="250" w:name="_Hlk104855233"/>
      <w:r w:rsidR="00B36E55" w:rsidRPr="009B7E33">
        <w:rPr>
          <w:rFonts w:ascii="Arial" w:hAnsi="Arial" w:cs="Arial" w:hint="cs"/>
          <w:sz w:val="20"/>
          <w:szCs w:val="20"/>
          <w:rtl/>
          <w:lang w:bidi="ar-SA"/>
        </w:rPr>
        <w:t>ذو</w:t>
      </w:r>
      <w:bookmarkEnd w:id="250"/>
      <w:r w:rsidR="00B36E55" w:rsidRPr="009B7E33">
        <w:rPr>
          <w:sz w:val="20"/>
          <w:szCs w:val="20"/>
          <w:rtl/>
        </w:rPr>
        <w:t>)</w:t>
      </w:r>
      <w:r w:rsidR="00917789">
        <w:rPr>
          <w:rFonts w:hint="cs"/>
          <w:sz w:val="20"/>
          <w:szCs w:val="20"/>
          <w:rtl/>
        </w:rPr>
        <w:t>.</w:t>
      </w:r>
      <w:r w:rsidR="00B36E55" w:rsidRPr="009B7E33">
        <w:rPr>
          <w:sz w:val="20"/>
          <w:szCs w:val="20"/>
          <w:rtl/>
        </w:rPr>
        <w:t xml:space="preserve"> </w:t>
      </w:r>
      <w:r w:rsidR="00917789">
        <w:rPr>
          <w:rFonts w:hint="cs"/>
          <w:sz w:val="20"/>
          <w:szCs w:val="20"/>
          <w:rtl/>
        </w:rPr>
        <w:t>מילה זו שונה מהמילה</w:t>
      </w:r>
      <w:r w:rsidRPr="009B7E33">
        <w:rPr>
          <w:sz w:val="20"/>
          <w:szCs w:val="20"/>
          <w:rtl/>
        </w:rPr>
        <w:t xml:space="preserve"> 'מהות' שבערבית היא 'מאהיה' כמו בעברית, ו</w:t>
      </w:r>
      <w:r w:rsidR="00917789">
        <w:rPr>
          <w:rFonts w:hint="cs"/>
          <w:sz w:val="20"/>
          <w:szCs w:val="20"/>
          <w:rtl/>
        </w:rPr>
        <w:t>אינה</w:t>
      </w:r>
      <w:r w:rsidRPr="009B7E33">
        <w:rPr>
          <w:sz w:val="20"/>
          <w:szCs w:val="20"/>
          <w:rtl/>
        </w:rPr>
        <w:t xml:space="preserve"> בדיוק 'עצם' שבערבית הוא 'ג'והר', ו</w:t>
      </w:r>
      <w:r w:rsidR="00917789">
        <w:rPr>
          <w:rFonts w:hint="cs"/>
          <w:sz w:val="20"/>
          <w:szCs w:val="20"/>
          <w:rtl/>
        </w:rPr>
        <w:t>אינה</w:t>
      </w:r>
      <w:r w:rsidRPr="009B7E33">
        <w:rPr>
          <w:sz w:val="20"/>
          <w:szCs w:val="20"/>
          <w:rtl/>
        </w:rPr>
        <w:t xml:space="preserve"> בדיוק 'צורה' שבערבית היא 'ס'ורה'. </w:t>
      </w:r>
      <w:r w:rsidR="00E573FB">
        <w:rPr>
          <w:rFonts w:hint="cs"/>
          <w:sz w:val="20"/>
          <w:szCs w:val="20"/>
          <w:rtl/>
        </w:rPr>
        <w:t>אין כאן שאלה לגבי ההבנה אלא לגבי שימוש הלשון.</w:t>
      </w:r>
      <w:r w:rsidRPr="009B7E33">
        <w:rPr>
          <w:sz w:val="20"/>
          <w:szCs w:val="20"/>
          <w:rtl/>
        </w:rPr>
        <w:t xml:space="preserve"> חשבתי שאפשר </w:t>
      </w:r>
      <w:r w:rsidR="0064737B" w:rsidRPr="009B7E33">
        <w:rPr>
          <w:sz w:val="20"/>
          <w:szCs w:val="20"/>
          <w:rtl/>
        </w:rPr>
        <w:t>לתרגם</w:t>
      </w:r>
      <w:r w:rsidRPr="009B7E33">
        <w:rPr>
          <w:sz w:val="20"/>
          <w:szCs w:val="20"/>
          <w:rtl/>
        </w:rPr>
        <w:t xml:space="preserve"> </w:t>
      </w:r>
      <w:r w:rsidR="0064737B" w:rsidRPr="009B7E33">
        <w:rPr>
          <w:sz w:val="20"/>
          <w:szCs w:val="20"/>
          <w:rtl/>
        </w:rPr>
        <w:t>'</w:t>
      </w:r>
      <w:r w:rsidRPr="009B7E33">
        <w:rPr>
          <w:sz w:val="20"/>
          <w:szCs w:val="20"/>
          <w:rtl/>
        </w:rPr>
        <w:t>אמיתת הדבר</w:t>
      </w:r>
      <w:r w:rsidR="0064737B" w:rsidRPr="009B7E33">
        <w:rPr>
          <w:sz w:val="20"/>
          <w:szCs w:val="20"/>
          <w:rtl/>
        </w:rPr>
        <w:t>'</w:t>
      </w:r>
      <w:r w:rsidRPr="009B7E33">
        <w:rPr>
          <w:sz w:val="20"/>
          <w:szCs w:val="20"/>
          <w:rtl/>
        </w:rPr>
        <w:t xml:space="preserve">, אבל </w:t>
      </w:r>
      <w:r w:rsidR="009D76B6">
        <w:rPr>
          <w:rFonts w:hint="cs"/>
          <w:sz w:val="20"/>
          <w:szCs w:val="20"/>
          <w:rtl/>
        </w:rPr>
        <w:t xml:space="preserve">'אמיתת' </w:t>
      </w:r>
      <w:r w:rsidR="000E13A9">
        <w:rPr>
          <w:rFonts w:hint="cs"/>
          <w:sz w:val="20"/>
          <w:szCs w:val="20"/>
          <w:rtl/>
        </w:rPr>
        <w:t xml:space="preserve">בערבית </w:t>
      </w:r>
      <w:r w:rsidR="009D76B6">
        <w:rPr>
          <w:rFonts w:hint="cs"/>
          <w:sz w:val="20"/>
          <w:szCs w:val="20"/>
          <w:rtl/>
        </w:rPr>
        <w:t xml:space="preserve">הוא </w:t>
      </w:r>
      <w:r w:rsidR="000E13A9">
        <w:rPr>
          <w:rFonts w:hint="cs"/>
          <w:sz w:val="20"/>
          <w:szCs w:val="20"/>
          <w:rtl/>
        </w:rPr>
        <w:t>'</w:t>
      </w:r>
      <w:r w:rsidR="009D76B6">
        <w:rPr>
          <w:rFonts w:hint="cs"/>
          <w:sz w:val="20"/>
          <w:szCs w:val="20"/>
          <w:rtl/>
        </w:rPr>
        <w:t>חקיק</w:t>
      </w:r>
      <w:r w:rsidR="000E13A9">
        <w:rPr>
          <w:rFonts w:hint="cs"/>
          <w:sz w:val="20"/>
          <w:szCs w:val="20"/>
          <w:rtl/>
        </w:rPr>
        <w:t xml:space="preserve">ה', וכן </w:t>
      </w:r>
      <w:r w:rsidRPr="009B7E33">
        <w:rPr>
          <w:sz w:val="20"/>
          <w:szCs w:val="20"/>
          <w:rtl/>
        </w:rPr>
        <w:t>במורה נבוכים א' נ"ב כתב</w:t>
      </w:r>
      <w:r w:rsidR="000E13A9">
        <w:rPr>
          <w:rFonts w:hint="cs"/>
          <w:sz w:val="20"/>
          <w:szCs w:val="20"/>
          <w:rtl/>
        </w:rPr>
        <w:t xml:space="preserve"> הרמב"ם</w:t>
      </w:r>
      <w:r w:rsidRPr="009B7E33">
        <w:rPr>
          <w:sz w:val="20"/>
          <w:szCs w:val="20"/>
          <w:rtl/>
        </w:rPr>
        <w:t xml:space="preserve">: "כ'ארג' ען חקיקתה וד'אתה" ואבן תיבון תרגם: "יוצא מאמיתתו ועצמו". לפי </w:t>
      </w:r>
      <w:r w:rsidR="00316D60">
        <w:rPr>
          <w:rFonts w:hint="cs"/>
          <w:sz w:val="20"/>
          <w:szCs w:val="20"/>
          <w:rtl/>
        </w:rPr>
        <w:t>אבן תיבון כאן</w:t>
      </w:r>
      <w:r w:rsidRPr="009B7E33">
        <w:rPr>
          <w:sz w:val="20"/>
          <w:szCs w:val="20"/>
          <w:rtl/>
        </w:rPr>
        <w:t xml:space="preserve"> התרגום המדויק של 'ד'את' הוא </w:t>
      </w:r>
      <w:r w:rsidR="00342FC2" w:rsidRPr="009B7E33">
        <w:rPr>
          <w:sz w:val="20"/>
          <w:szCs w:val="20"/>
          <w:rtl/>
        </w:rPr>
        <w:t xml:space="preserve">עצמו או </w:t>
      </w:r>
      <w:r w:rsidRPr="009B7E33">
        <w:rPr>
          <w:sz w:val="20"/>
          <w:szCs w:val="20"/>
          <w:rtl/>
        </w:rPr>
        <w:t xml:space="preserve">עצמותו. </w:t>
      </w:r>
      <w:r w:rsidR="00412FC8">
        <w:rPr>
          <w:rFonts w:hint="cs"/>
          <w:sz w:val="20"/>
          <w:szCs w:val="20"/>
          <w:rtl/>
        </w:rPr>
        <w:t>'</w:t>
      </w:r>
      <w:r w:rsidRPr="009B7E33">
        <w:rPr>
          <w:sz w:val="20"/>
          <w:szCs w:val="20"/>
          <w:rtl/>
        </w:rPr>
        <w:t>ג'והר</w:t>
      </w:r>
      <w:r w:rsidR="00412FC8">
        <w:rPr>
          <w:rFonts w:hint="cs"/>
          <w:sz w:val="20"/>
          <w:szCs w:val="20"/>
          <w:rtl/>
        </w:rPr>
        <w:t>'</w:t>
      </w:r>
      <w:r w:rsidRPr="009B7E33">
        <w:rPr>
          <w:sz w:val="20"/>
          <w:szCs w:val="20"/>
          <w:rtl/>
        </w:rPr>
        <w:t xml:space="preserve"> הוא העצם</w:t>
      </w:r>
      <w:r w:rsidR="00412FC8">
        <w:rPr>
          <w:rFonts w:hint="cs"/>
          <w:sz w:val="20"/>
          <w:szCs w:val="20"/>
          <w:rtl/>
        </w:rPr>
        <w:t xml:space="preserve"> כחפץ</w:t>
      </w:r>
      <w:r w:rsidRPr="009B7E33">
        <w:rPr>
          <w:sz w:val="20"/>
          <w:szCs w:val="20"/>
          <w:rtl/>
        </w:rPr>
        <w:t xml:space="preserve">, </w:t>
      </w:r>
      <w:r w:rsidR="00D171CD">
        <w:rPr>
          <w:rFonts w:hint="cs"/>
          <w:sz w:val="20"/>
          <w:szCs w:val="20"/>
          <w:rtl/>
        </w:rPr>
        <w:t>הוא שם עצם מבחינה דקדוקית</w:t>
      </w:r>
      <w:r w:rsidR="00655F2D">
        <w:rPr>
          <w:rFonts w:hint="cs"/>
          <w:sz w:val="20"/>
          <w:szCs w:val="20"/>
          <w:rtl/>
        </w:rPr>
        <w:t>, כ'אדם', 'סוס',</w:t>
      </w:r>
      <w:r w:rsidR="00D171CD">
        <w:rPr>
          <w:rFonts w:hint="cs"/>
          <w:sz w:val="20"/>
          <w:szCs w:val="20"/>
          <w:rtl/>
        </w:rPr>
        <w:t xml:space="preserve"> </w:t>
      </w:r>
      <w:r w:rsidRPr="009B7E33">
        <w:rPr>
          <w:sz w:val="20"/>
          <w:szCs w:val="20"/>
          <w:rtl/>
        </w:rPr>
        <w:t>כלומר היש שמחובר מצורה וחומר</w:t>
      </w:r>
      <w:r w:rsidR="003377D8">
        <w:rPr>
          <w:rFonts w:hint="cs"/>
          <w:sz w:val="20"/>
          <w:szCs w:val="20"/>
          <w:rtl/>
        </w:rPr>
        <w:t>.</w:t>
      </w:r>
      <w:r w:rsidRPr="009B7E33">
        <w:rPr>
          <w:sz w:val="20"/>
          <w:szCs w:val="20"/>
          <w:rtl/>
        </w:rPr>
        <w:t xml:space="preserve"> </w:t>
      </w:r>
      <w:r w:rsidR="00A66ABB">
        <w:rPr>
          <w:rFonts w:hint="cs"/>
          <w:sz w:val="20"/>
          <w:szCs w:val="20"/>
          <w:rtl/>
        </w:rPr>
        <w:t>'</w:t>
      </w:r>
      <w:r w:rsidRPr="009B7E33">
        <w:rPr>
          <w:sz w:val="20"/>
          <w:szCs w:val="20"/>
          <w:rtl/>
        </w:rPr>
        <w:t>עצמותו</w:t>
      </w:r>
      <w:r w:rsidR="00A66ABB">
        <w:rPr>
          <w:rFonts w:hint="cs"/>
          <w:sz w:val="20"/>
          <w:szCs w:val="20"/>
          <w:rtl/>
        </w:rPr>
        <w:t>'</w:t>
      </w:r>
      <w:r w:rsidRPr="009B7E33">
        <w:rPr>
          <w:sz w:val="20"/>
          <w:szCs w:val="20"/>
          <w:rtl/>
        </w:rPr>
        <w:t xml:space="preserve"> של ה</w:t>
      </w:r>
      <w:r w:rsidR="00D171CD">
        <w:rPr>
          <w:rFonts w:hint="cs"/>
          <w:sz w:val="20"/>
          <w:szCs w:val="20"/>
          <w:rtl/>
        </w:rPr>
        <w:t>'</w:t>
      </w:r>
      <w:r w:rsidRPr="009B7E33">
        <w:rPr>
          <w:sz w:val="20"/>
          <w:szCs w:val="20"/>
          <w:rtl/>
        </w:rPr>
        <w:t>ג'והר</w:t>
      </w:r>
      <w:r w:rsidR="00D171CD">
        <w:rPr>
          <w:rFonts w:hint="cs"/>
          <w:sz w:val="20"/>
          <w:szCs w:val="20"/>
          <w:rtl/>
        </w:rPr>
        <w:t>'</w:t>
      </w:r>
      <w:r w:rsidRPr="009B7E33">
        <w:rPr>
          <w:sz w:val="20"/>
          <w:szCs w:val="20"/>
          <w:rtl/>
        </w:rPr>
        <w:t xml:space="preserve">, </w:t>
      </w:r>
      <w:r w:rsidR="00D77613" w:rsidRPr="009B7E33">
        <w:rPr>
          <w:sz w:val="20"/>
          <w:szCs w:val="20"/>
          <w:rtl/>
        </w:rPr>
        <w:t xml:space="preserve">כלומר מה שהוא הווה </w:t>
      </w:r>
      <w:r w:rsidR="003377D8">
        <w:rPr>
          <w:rFonts w:hint="cs"/>
          <w:sz w:val="20"/>
          <w:szCs w:val="20"/>
          <w:rtl/>
        </w:rPr>
        <w:t xml:space="preserve">בדרך של </w:t>
      </w:r>
      <w:r w:rsidR="000042A3" w:rsidRPr="009B7E33">
        <w:rPr>
          <w:sz w:val="20"/>
          <w:szCs w:val="20"/>
          <w:rtl/>
        </w:rPr>
        <w:t>'</w:t>
      </w:r>
      <w:r w:rsidR="00D77613" w:rsidRPr="009B7E33">
        <w:rPr>
          <w:sz w:val="20"/>
          <w:szCs w:val="20"/>
          <w:rtl/>
        </w:rPr>
        <w:t>עצם</w:t>
      </w:r>
      <w:r w:rsidR="000042A3" w:rsidRPr="009B7E33">
        <w:rPr>
          <w:sz w:val="20"/>
          <w:szCs w:val="20"/>
          <w:rtl/>
        </w:rPr>
        <w:t>'</w:t>
      </w:r>
      <w:r w:rsidR="00D77613" w:rsidRPr="009B7E33">
        <w:rPr>
          <w:sz w:val="20"/>
          <w:szCs w:val="20"/>
          <w:rtl/>
        </w:rPr>
        <w:t xml:space="preserve"> מוגדר,</w:t>
      </w:r>
      <w:r w:rsidRPr="009B7E33">
        <w:rPr>
          <w:sz w:val="20"/>
          <w:szCs w:val="20"/>
          <w:rtl/>
        </w:rPr>
        <w:t xml:space="preserve"> הוא 'ד'את'</w:t>
      </w:r>
      <w:r w:rsidR="00B36E55" w:rsidRPr="009B7E33">
        <w:rPr>
          <w:sz w:val="20"/>
          <w:szCs w:val="20"/>
          <w:rtl/>
        </w:rPr>
        <w:t>.</w:t>
      </w:r>
      <w:r w:rsidR="00F57855" w:rsidRPr="009B7E33">
        <w:rPr>
          <w:sz w:val="20"/>
          <w:szCs w:val="20"/>
          <w:rtl/>
        </w:rPr>
        <w:t xml:space="preserve"> </w:t>
      </w:r>
      <w:r w:rsidR="008662E6" w:rsidRPr="009B7E33">
        <w:rPr>
          <w:sz w:val="20"/>
          <w:szCs w:val="20"/>
          <w:rtl/>
        </w:rPr>
        <w:t>כשאומרים שהאדם שונה בעצמותו מהסוס, אז משמשת המילה ד'את, לומר ש</w:t>
      </w:r>
      <w:r w:rsidR="008522CE" w:rsidRPr="009B7E33">
        <w:rPr>
          <w:sz w:val="20"/>
          <w:szCs w:val="20"/>
          <w:rtl/>
        </w:rPr>
        <w:t>בעצמו</w:t>
      </w:r>
      <w:r w:rsidR="00B70F43" w:rsidRPr="009B7E33">
        <w:rPr>
          <w:sz w:val="20"/>
          <w:szCs w:val="20"/>
          <w:rtl/>
        </w:rPr>
        <w:t xml:space="preserve"> או בעצמו</w:t>
      </w:r>
      <w:r w:rsidR="008522CE" w:rsidRPr="009B7E33">
        <w:rPr>
          <w:sz w:val="20"/>
          <w:szCs w:val="20"/>
          <w:rtl/>
        </w:rPr>
        <w:t xml:space="preserve">תו (בד'אתה) האדם </w:t>
      </w:r>
      <w:r w:rsidR="00B70F43" w:rsidRPr="009B7E33">
        <w:rPr>
          <w:sz w:val="20"/>
          <w:szCs w:val="20"/>
          <w:rtl/>
        </w:rPr>
        <w:t>שונה מהסוס</w:t>
      </w:r>
      <w:r w:rsidR="00CD3529" w:rsidRPr="009B7E33">
        <w:rPr>
          <w:sz w:val="20"/>
          <w:szCs w:val="20"/>
          <w:rtl/>
        </w:rPr>
        <w:t>,</w:t>
      </w:r>
      <w:r w:rsidR="00B70F43" w:rsidRPr="009B7E33">
        <w:rPr>
          <w:sz w:val="20"/>
          <w:szCs w:val="20"/>
          <w:rtl/>
        </w:rPr>
        <w:t xml:space="preserve"> בכך שהוא</w:t>
      </w:r>
      <w:r w:rsidR="00CD3529" w:rsidRPr="009B7E33">
        <w:rPr>
          <w:sz w:val="20"/>
          <w:szCs w:val="20"/>
          <w:rtl/>
        </w:rPr>
        <w:t xml:space="preserve"> </w:t>
      </w:r>
      <w:r w:rsidR="00B70F43" w:rsidRPr="009B7E33">
        <w:rPr>
          <w:sz w:val="20"/>
          <w:szCs w:val="20"/>
          <w:rtl/>
        </w:rPr>
        <w:t xml:space="preserve">חי מדבר, </w:t>
      </w:r>
      <w:r w:rsidR="00CD3529" w:rsidRPr="009B7E33">
        <w:rPr>
          <w:sz w:val="20"/>
          <w:szCs w:val="20"/>
          <w:rtl/>
        </w:rPr>
        <w:t>ולא חי בעל צורת סוסיות,</w:t>
      </w:r>
      <w:r w:rsidR="00B70F43" w:rsidRPr="009B7E33">
        <w:rPr>
          <w:sz w:val="20"/>
          <w:szCs w:val="20"/>
          <w:rtl/>
        </w:rPr>
        <w:t xml:space="preserve"> </w:t>
      </w:r>
      <w:r w:rsidR="002E1C18" w:rsidRPr="009B7E33">
        <w:rPr>
          <w:sz w:val="20"/>
          <w:szCs w:val="20"/>
          <w:rtl/>
        </w:rPr>
        <w:t xml:space="preserve">ולא </w:t>
      </w:r>
      <w:r w:rsidR="00B70F43" w:rsidRPr="009B7E33">
        <w:rPr>
          <w:sz w:val="20"/>
          <w:szCs w:val="20"/>
          <w:rtl/>
        </w:rPr>
        <w:t>שה</w:t>
      </w:r>
      <w:r w:rsidR="00041847">
        <w:rPr>
          <w:rFonts w:hint="cs"/>
          <w:sz w:val="20"/>
          <w:szCs w:val="20"/>
          <w:rtl/>
        </w:rPr>
        <w:t>אדם</w:t>
      </w:r>
      <w:r w:rsidR="00B70F43" w:rsidRPr="009B7E33">
        <w:rPr>
          <w:sz w:val="20"/>
          <w:szCs w:val="20"/>
          <w:rtl/>
        </w:rPr>
        <w:t xml:space="preserve"> שונה</w:t>
      </w:r>
      <w:r w:rsidR="002E1C18" w:rsidRPr="009B7E33">
        <w:rPr>
          <w:sz w:val="20"/>
          <w:szCs w:val="20"/>
          <w:rtl/>
        </w:rPr>
        <w:t xml:space="preserve"> </w:t>
      </w:r>
      <w:r w:rsidR="00B70F43" w:rsidRPr="009B7E33">
        <w:rPr>
          <w:sz w:val="20"/>
          <w:szCs w:val="20"/>
          <w:rtl/>
        </w:rPr>
        <w:t xml:space="preserve">מהסוס רק במקרה </w:t>
      </w:r>
      <w:r w:rsidR="00041847">
        <w:rPr>
          <w:rFonts w:hint="cs"/>
          <w:sz w:val="20"/>
          <w:szCs w:val="20"/>
          <w:rtl/>
        </w:rPr>
        <w:t>או במאפיין</w:t>
      </w:r>
      <w:r w:rsidR="00B70F43" w:rsidRPr="009B7E33">
        <w:rPr>
          <w:sz w:val="20"/>
          <w:szCs w:val="20"/>
          <w:rtl/>
        </w:rPr>
        <w:t>.</w:t>
      </w:r>
      <w:r w:rsidR="00041847">
        <w:rPr>
          <w:rFonts w:hint="cs"/>
          <w:sz w:val="20"/>
          <w:szCs w:val="20"/>
          <w:rtl/>
        </w:rPr>
        <w:t xml:space="preserve"> </w:t>
      </w:r>
      <w:r w:rsidR="00C66039">
        <w:rPr>
          <w:rFonts w:hint="cs"/>
          <w:sz w:val="20"/>
          <w:szCs w:val="20"/>
          <w:rtl/>
        </w:rPr>
        <w:t xml:space="preserve">'ד'את' הוא </w:t>
      </w:r>
      <w:r w:rsidR="00C63BB8">
        <w:rPr>
          <w:rFonts w:hint="cs"/>
          <w:sz w:val="20"/>
          <w:szCs w:val="20"/>
          <w:rtl/>
        </w:rPr>
        <w:t>בעיקרו תואר מבחינה דקדוקית, ואם הוא נאמר כשם עצם, אז אין מדובר ב</w:t>
      </w:r>
      <w:r w:rsidR="000F4A13">
        <w:rPr>
          <w:rFonts w:hint="cs"/>
          <w:sz w:val="20"/>
          <w:szCs w:val="20"/>
          <w:rtl/>
        </w:rPr>
        <w:t>יש שהוא צורה</w:t>
      </w:r>
      <w:r w:rsidR="006D4EA9">
        <w:rPr>
          <w:rFonts w:hint="cs"/>
          <w:sz w:val="20"/>
          <w:szCs w:val="20"/>
          <w:rtl/>
        </w:rPr>
        <w:t xml:space="preserve"> </w:t>
      </w:r>
      <w:r w:rsidR="000F4A13">
        <w:rPr>
          <w:rFonts w:hint="cs"/>
          <w:sz w:val="20"/>
          <w:szCs w:val="20"/>
          <w:rtl/>
        </w:rPr>
        <w:t>וחומר כמו 'אדם', אלא בשם עצם שהוא כמו לומר על הצבע האדום ש'אדום' יכול להיאמר</w:t>
      </w:r>
      <w:r w:rsidR="006D4EA9">
        <w:rPr>
          <w:rFonts w:hint="cs"/>
          <w:sz w:val="20"/>
          <w:szCs w:val="20"/>
          <w:rtl/>
        </w:rPr>
        <w:t xml:space="preserve"> גם</w:t>
      </w:r>
      <w:r w:rsidR="000F4A13">
        <w:rPr>
          <w:rFonts w:hint="cs"/>
          <w:sz w:val="20"/>
          <w:szCs w:val="20"/>
          <w:rtl/>
        </w:rPr>
        <w:t xml:space="preserve"> כשם עצם</w:t>
      </w:r>
      <w:r w:rsidR="006D4EA9">
        <w:rPr>
          <w:rFonts w:hint="cs"/>
          <w:sz w:val="20"/>
          <w:szCs w:val="20"/>
          <w:rtl/>
        </w:rPr>
        <w:t xml:space="preserve"> </w:t>
      </w:r>
      <w:r w:rsidR="006D4EA9">
        <w:rPr>
          <w:sz w:val="20"/>
          <w:szCs w:val="20"/>
          <w:rtl/>
        </w:rPr>
        <w:t>–</w:t>
      </w:r>
      <w:r w:rsidR="006D4EA9">
        <w:rPr>
          <w:rFonts w:hint="cs"/>
          <w:sz w:val="20"/>
          <w:szCs w:val="20"/>
          <w:rtl/>
        </w:rPr>
        <w:t xml:space="preserve"> הצבע עצמו ולא </w:t>
      </w:r>
      <w:r w:rsidR="006E018E">
        <w:rPr>
          <w:rFonts w:hint="cs"/>
          <w:sz w:val="20"/>
          <w:szCs w:val="20"/>
          <w:rtl/>
        </w:rPr>
        <w:t>רק גופים שזה צבעם</w:t>
      </w:r>
      <w:r w:rsidR="000F4A13">
        <w:rPr>
          <w:rFonts w:hint="cs"/>
          <w:sz w:val="20"/>
          <w:szCs w:val="20"/>
          <w:rtl/>
        </w:rPr>
        <w:t>, ו</w:t>
      </w:r>
      <w:r w:rsidR="006E018E">
        <w:rPr>
          <w:rFonts w:hint="cs"/>
          <w:sz w:val="20"/>
          <w:szCs w:val="20"/>
          <w:rtl/>
        </w:rPr>
        <w:t xml:space="preserve">השימוש ב'אדום' כשם עצם </w:t>
      </w:r>
      <w:r w:rsidR="000F4A13">
        <w:rPr>
          <w:rFonts w:hint="cs"/>
          <w:sz w:val="20"/>
          <w:szCs w:val="20"/>
          <w:rtl/>
        </w:rPr>
        <w:t xml:space="preserve">אינו כמו לומר 'עגבניה' כשם עצם. </w:t>
      </w:r>
      <w:r w:rsidR="00A21B3B">
        <w:rPr>
          <w:rFonts w:hint="cs"/>
          <w:sz w:val="20"/>
          <w:szCs w:val="20"/>
          <w:rtl/>
        </w:rPr>
        <w:t xml:space="preserve">כך 'עצמות' </w:t>
      </w:r>
      <w:r w:rsidR="004953DD">
        <w:rPr>
          <w:rFonts w:hint="cs"/>
          <w:sz w:val="20"/>
          <w:szCs w:val="20"/>
          <w:rtl/>
        </w:rPr>
        <w:t xml:space="preserve">('ד'את') </w:t>
      </w:r>
      <w:r w:rsidR="0014249E">
        <w:rPr>
          <w:rFonts w:hint="cs"/>
          <w:sz w:val="20"/>
          <w:szCs w:val="20"/>
          <w:rtl/>
        </w:rPr>
        <w:t>נאמר על עצמים כשרוצים לציין את</w:t>
      </w:r>
      <w:r w:rsidR="00015D23">
        <w:rPr>
          <w:rFonts w:hint="cs"/>
          <w:sz w:val="20"/>
          <w:szCs w:val="20"/>
          <w:rtl/>
        </w:rPr>
        <w:t xml:space="preserve"> בחינת</w:t>
      </w:r>
      <w:r w:rsidR="0014249E">
        <w:rPr>
          <w:rFonts w:hint="cs"/>
          <w:sz w:val="20"/>
          <w:szCs w:val="20"/>
          <w:rtl/>
        </w:rPr>
        <w:t xml:space="preserve"> </w:t>
      </w:r>
      <w:r w:rsidR="00823EBD">
        <w:rPr>
          <w:rFonts w:hint="cs"/>
          <w:sz w:val="20"/>
          <w:szCs w:val="20"/>
          <w:rtl/>
        </w:rPr>
        <w:t>הווייתם כעצם ללא המקרים והמאפיינים החיצוניים, ויכול להיאמר גם כשם עצם לגבי הבחינה הזו</w:t>
      </w:r>
      <w:r w:rsidR="005C4B7B">
        <w:rPr>
          <w:rFonts w:hint="cs"/>
          <w:sz w:val="20"/>
          <w:szCs w:val="20"/>
          <w:rtl/>
        </w:rPr>
        <w:t>, כמו ששם הע</w:t>
      </w:r>
      <w:r w:rsidR="00015D23">
        <w:rPr>
          <w:rFonts w:hint="cs"/>
          <w:sz w:val="20"/>
          <w:szCs w:val="20"/>
          <w:rtl/>
        </w:rPr>
        <w:t>צם</w:t>
      </w:r>
      <w:r w:rsidR="005C4B7B">
        <w:rPr>
          <w:rFonts w:hint="cs"/>
          <w:sz w:val="20"/>
          <w:szCs w:val="20"/>
          <w:rtl/>
        </w:rPr>
        <w:t xml:space="preserve"> 'אדום' הוא שם העצם של הבחינה הזו בעצמים האדומים. </w:t>
      </w:r>
    </w:p>
    <w:p w14:paraId="56F961BF" w14:textId="22DE0547" w:rsidR="00C909D2" w:rsidRDefault="00015D23" w:rsidP="002E1C18">
      <w:pPr>
        <w:pStyle w:val="FootnoteText"/>
        <w:rPr>
          <w:sz w:val="20"/>
          <w:szCs w:val="20"/>
          <w:rtl/>
        </w:rPr>
      </w:pPr>
      <w:r>
        <w:rPr>
          <w:rFonts w:hint="cs"/>
          <w:sz w:val="20"/>
          <w:szCs w:val="20"/>
          <w:rtl/>
        </w:rPr>
        <w:t xml:space="preserve">בלקסיקון </w:t>
      </w:r>
      <w:r>
        <w:rPr>
          <w:sz w:val="20"/>
          <w:szCs w:val="20"/>
        </w:rPr>
        <w:t>Lane</w:t>
      </w:r>
      <w:r>
        <w:rPr>
          <w:rFonts w:hint="cs"/>
          <w:sz w:val="20"/>
          <w:szCs w:val="20"/>
          <w:rtl/>
        </w:rPr>
        <w:t xml:space="preserve"> משמע ש</w:t>
      </w:r>
      <w:r w:rsidR="0039302F">
        <w:rPr>
          <w:rFonts w:hint="cs"/>
          <w:sz w:val="20"/>
          <w:szCs w:val="20"/>
          <w:rtl/>
        </w:rPr>
        <w:t>המילה 'ד'את' היא</w:t>
      </w:r>
      <w:r>
        <w:rPr>
          <w:rFonts w:hint="cs"/>
          <w:sz w:val="20"/>
          <w:szCs w:val="20"/>
          <w:rtl/>
        </w:rPr>
        <w:t xml:space="preserve"> אותה מילה </w:t>
      </w:r>
      <w:r w:rsidR="00833A51">
        <w:rPr>
          <w:rFonts w:hint="cs"/>
          <w:sz w:val="20"/>
          <w:szCs w:val="20"/>
          <w:rtl/>
        </w:rPr>
        <w:t>ש</w:t>
      </w:r>
      <w:r>
        <w:rPr>
          <w:rFonts w:hint="cs"/>
          <w:sz w:val="20"/>
          <w:szCs w:val="20"/>
          <w:rtl/>
        </w:rPr>
        <w:t>בעברית</w:t>
      </w:r>
      <w:r w:rsidR="00833A51">
        <w:rPr>
          <w:rFonts w:hint="cs"/>
          <w:sz w:val="20"/>
          <w:szCs w:val="20"/>
          <w:rtl/>
        </w:rPr>
        <w:t xml:space="preserve"> היא</w:t>
      </w:r>
      <w:r>
        <w:rPr>
          <w:rFonts w:hint="cs"/>
          <w:sz w:val="20"/>
          <w:szCs w:val="20"/>
          <w:rtl/>
        </w:rPr>
        <w:t xml:space="preserve"> 'דת',</w:t>
      </w:r>
      <w:r w:rsidR="00C909D2">
        <w:rPr>
          <w:rFonts w:hint="cs"/>
          <w:sz w:val="20"/>
          <w:szCs w:val="20"/>
          <w:rtl/>
        </w:rPr>
        <w:t xml:space="preserve"> </w:t>
      </w:r>
      <w:r w:rsidR="00AB1A5E">
        <w:rPr>
          <w:rFonts w:hint="cs"/>
          <w:sz w:val="20"/>
          <w:szCs w:val="20"/>
          <w:rtl/>
        </w:rPr>
        <w:t>כמו "כ</w:t>
      </w:r>
      <w:r w:rsidR="00D31B9D">
        <w:rPr>
          <w:rFonts w:hint="cs"/>
          <w:sz w:val="20"/>
          <w:szCs w:val="20"/>
          <w:rtl/>
        </w:rPr>
        <w:t>ד</w:t>
      </w:r>
      <w:r w:rsidR="00AB1A5E">
        <w:rPr>
          <w:rFonts w:hint="cs"/>
          <w:sz w:val="20"/>
          <w:szCs w:val="20"/>
          <w:rtl/>
        </w:rPr>
        <w:t>ת משה וישראל"</w:t>
      </w:r>
      <w:r w:rsidR="00AB1A5E">
        <w:rPr>
          <w:rFonts w:hint="cs"/>
          <w:sz w:val="20"/>
          <w:szCs w:val="20"/>
        </w:rPr>
        <w:t xml:space="preserve"> </w:t>
      </w:r>
      <w:r w:rsidR="00AB1A5E">
        <w:rPr>
          <w:rFonts w:hint="cs"/>
          <w:sz w:val="20"/>
          <w:szCs w:val="20"/>
          <w:rtl/>
        </w:rPr>
        <w:t xml:space="preserve">או כמו </w:t>
      </w:r>
      <w:r w:rsidR="00D31B9D">
        <w:rPr>
          <w:rFonts w:hint="cs"/>
          <w:sz w:val="20"/>
          <w:szCs w:val="20"/>
          <w:rtl/>
        </w:rPr>
        <w:t>"</w:t>
      </w:r>
      <w:r w:rsidR="00D31B9D" w:rsidRPr="00D31B9D">
        <w:rPr>
          <w:sz w:val="20"/>
          <w:szCs w:val="20"/>
          <w:rtl/>
        </w:rPr>
        <w:t>וְהַדָּת נִתְּנָה בְּשׁוּשַׁן הַבִּירָה</w:t>
      </w:r>
      <w:r w:rsidR="00D31B9D">
        <w:rPr>
          <w:rFonts w:hint="cs"/>
          <w:sz w:val="20"/>
          <w:szCs w:val="20"/>
          <w:rtl/>
        </w:rPr>
        <w:t xml:space="preserve">". </w:t>
      </w:r>
      <w:r w:rsidR="00FC07D5">
        <w:rPr>
          <w:rFonts w:hint="cs"/>
          <w:sz w:val="20"/>
          <w:szCs w:val="20"/>
          <w:rtl/>
        </w:rPr>
        <w:t xml:space="preserve">הפירוש של 'דת' בעברית הוא חוק, ו'חוק' בערבית </w:t>
      </w:r>
      <w:r w:rsidR="00F619F7">
        <w:rPr>
          <w:rFonts w:hint="cs"/>
          <w:sz w:val="20"/>
          <w:szCs w:val="20"/>
          <w:rtl/>
        </w:rPr>
        <w:t>(</w:t>
      </w:r>
      <w:r w:rsidR="00FC07D5">
        <w:rPr>
          <w:rFonts w:hint="cs"/>
          <w:sz w:val="20"/>
          <w:szCs w:val="20"/>
          <w:rtl/>
        </w:rPr>
        <w:t>מהשורש 'חק'</w:t>
      </w:r>
      <w:r w:rsidR="00F619F7">
        <w:rPr>
          <w:rFonts w:hint="cs"/>
          <w:sz w:val="20"/>
          <w:szCs w:val="20"/>
          <w:rtl/>
        </w:rPr>
        <w:t>)</w:t>
      </w:r>
      <w:r w:rsidR="00FC07D5">
        <w:rPr>
          <w:rFonts w:hint="cs"/>
          <w:sz w:val="20"/>
          <w:szCs w:val="20"/>
          <w:rtl/>
        </w:rPr>
        <w:t xml:space="preserve"> פירושו 'אמת'. </w:t>
      </w:r>
      <w:r w:rsidR="00F537A9">
        <w:rPr>
          <w:rFonts w:hint="cs"/>
          <w:sz w:val="20"/>
          <w:szCs w:val="20"/>
          <w:rtl/>
        </w:rPr>
        <w:t xml:space="preserve">הדמיון לעברית צריך עוד בדיקה והבהרה. </w:t>
      </w:r>
    </w:p>
    <w:p w14:paraId="127B972D" w14:textId="3285ED9D" w:rsidR="002E1C18" w:rsidRPr="009B7E33" w:rsidRDefault="00AB1A5E" w:rsidP="002E1C18">
      <w:pPr>
        <w:pStyle w:val="FootnoteText"/>
        <w:rPr>
          <w:sz w:val="20"/>
          <w:szCs w:val="20"/>
          <w:rtl/>
        </w:rPr>
      </w:pPr>
      <w:r>
        <w:rPr>
          <w:rFonts w:hint="cs"/>
          <w:sz w:val="20"/>
          <w:szCs w:val="20"/>
          <w:rtl/>
        </w:rPr>
        <w:t xml:space="preserve"> </w:t>
      </w:r>
    </w:p>
    <w:p w14:paraId="6D1F14A8" w14:textId="200B9534" w:rsidR="00B36E55" w:rsidRPr="009B7E33" w:rsidRDefault="00B36E55" w:rsidP="002E1C18">
      <w:pPr>
        <w:pStyle w:val="FootnoteText"/>
        <w:rPr>
          <w:sz w:val="20"/>
          <w:szCs w:val="20"/>
        </w:rPr>
      </w:pPr>
      <w:r w:rsidRPr="009B7E33">
        <w:rPr>
          <w:sz w:val="20"/>
          <w:szCs w:val="20"/>
          <w:rtl/>
        </w:rPr>
        <w:t xml:space="preserve">על 'אמיתתו', שהוא </w:t>
      </w:r>
      <w:r w:rsidR="00E208D3">
        <w:rPr>
          <w:rFonts w:hint="cs"/>
          <w:sz w:val="20"/>
          <w:szCs w:val="20"/>
          <w:rtl/>
        </w:rPr>
        <w:t>'</w:t>
      </w:r>
      <w:r w:rsidRPr="009B7E33">
        <w:rPr>
          <w:sz w:val="20"/>
          <w:szCs w:val="20"/>
          <w:rtl/>
        </w:rPr>
        <w:t>חק</w:t>
      </w:r>
      <w:r w:rsidR="00F537A9">
        <w:rPr>
          <w:rFonts w:hint="cs"/>
          <w:sz w:val="20"/>
          <w:szCs w:val="20"/>
          <w:rtl/>
        </w:rPr>
        <w:t>י</w:t>
      </w:r>
      <w:r w:rsidRPr="009B7E33">
        <w:rPr>
          <w:sz w:val="20"/>
          <w:szCs w:val="20"/>
          <w:rtl/>
        </w:rPr>
        <w:t>ק</w:t>
      </w:r>
      <w:r w:rsidR="00F537A9">
        <w:rPr>
          <w:rFonts w:hint="cs"/>
          <w:sz w:val="20"/>
          <w:szCs w:val="20"/>
          <w:rtl/>
        </w:rPr>
        <w:t>ה</w:t>
      </w:r>
      <w:r w:rsidR="00E208D3">
        <w:rPr>
          <w:rFonts w:hint="cs"/>
          <w:sz w:val="20"/>
          <w:szCs w:val="20"/>
          <w:rtl/>
        </w:rPr>
        <w:t>'</w:t>
      </w:r>
      <w:r w:rsidR="00C747CD" w:rsidRPr="009B7E33">
        <w:rPr>
          <w:sz w:val="20"/>
          <w:szCs w:val="20"/>
          <w:rtl/>
        </w:rPr>
        <w:t xml:space="preserve"> (</w:t>
      </w:r>
      <w:r w:rsidR="00C747CD" w:rsidRPr="009B7E33">
        <w:rPr>
          <w:sz w:val="20"/>
          <w:szCs w:val="20"/>
          <w:rtl/>
          <w:lang w:bidi="ar-SA"/>
        </w:rPr>
        <w:t xml:space="preserve"> </w:t>
      </w:r>
      <w:r w:rsidR="00C747CD" w:rsidRPr="009B7E33">
        <w:rPr>
          <w:rFonts w:ascii="Arial" w:hAnsi="Arial" w:cs="Arial" w:hint="cs"/>
          <w:sz w:val="20"/>
          <w:szCs w:val="20"/>
          <w:rtl/>
          <w:lang w:bidi="ar-SA"/>
        </w:rPr>
        <w:t>حَقِيقَةٌ</w:t>
      </w:r>
      <w:r w:rsidR="00C747CD" w:rsidRPr="009B7E33">
        <w:rPr>
          <w:sz w:val="20"/>
          <w:szCs w:val="20"/>
          <w:rtl/>
        </w:rPr>
        <w:t>)</w:t>
      </w:r>
      <w:r w:rsidRPr="009B7E33">
        <w:rPr>
          <w:sz w:val="20"/>
          <w:szCs w:val="20"/>
          <w:rtl/>
        </w:rPr>
        <w:t xml:space="preserve">, כתב בלקסיקון </w:t>
      </w:r>
      <w:r w:rsidRPr="009B7E33">
        <w:rPr>
          <w:sz w:val="20"/>
          <w:szCs w:val="20"/>
        </w:rPr>
        <w:t>Lane</w:t>
      </w:r>
      <w:r w:rsidR="00143404" w:rsidRPr="009B7E33">
        <w:rPr>
          <w:sz w:val="20"/>
          <w:szCs w:val="20"/>
          <w:rtl/>
        </w:rPr>
        <w:t xml:space="preserve"> (והזכ</w:t>
      </w:r>
      <w:r w:rsidR="002E1C18" w:rsidRPr="009B7E33">
        <w:rPr>
          <w:sz w:val="20"/>
          <w:szCs w:val="20"/>
          <w:rtl/>
        </w:rPr>
        <w:t>י</w:t>
      </w:r>
      <w:r w:rsidR="00143404" w:rsidRPr="009B7E33">
        <w:rPr>
          <w:sz w:val="20"/>
          <w:szCs w:val="20"/>
          <w:rtl/>
        </w:rPr>
        <w:t>ר שם גם את ד'את):</w:t>
      </w:r>
    </w:p>
    <w:p w14:paraId="4473812F" w14:textId="5C00FC12" w:rsidR="00064818" w:rsidRPr="009B7E33" w:rsidRDefault="00B36E55" w:rsidP="00B36E55">
      <w:pPr>
        <w:pStyle w:val="FootnoteText"/>
        <w:bidi w:val="0"/>
        <w:rPr>
          <w:sz w:val="20"/>
          <w:szCs w:val="20"/>
        </w:rPr>
      </w:pPr>
      <w:r w:rsidRPr="009B7E33">
        <w:rPr>
          <w:sz w:val="20"/>
          <w:szCs w:val="20"/>
          <w:cs/>
        </w:rPr>
        <w:t>‎</w:t>
      </w:r>
      <w:r w:rsidRPr="009B7E33">
        <w:rPr>
          <w:sz w:val="20"/>
          <w:szCs w:val="20"/>
          <w:rtl/>
          <w:lang w:bidi="ar-SA"/>
        </w:rPr>
        <w:t xml:space="preserve"> </w:t>
      </w:r>
      <w:r w:rsidRPr="009B7E33">
        <w:rPr>
          <w:rFonts w:ascii="Arial" w:hAnsi="Arial" w:cs="Arial" w:hint="cs"/>
          <w:sz w:val="20"/>
          <w:szCs w:val="20"/>
          <w:rtl/>
          <w:lang w:bidi="ar-SA"/>
        </w:rPr>
        <w:t>حَقِيقَةٌ</w:t>
      </w:r>
      <w:r w:rsidRPr="009B7E33">
        <w:rPr>
          <w:sz w:val="20"/>
          <w:szCs w:val="20"/>
          <w:rtl/>
          <w:lang w:bidi="ar-SA"/>
        </w:rPr>
        <w:t xml:space="preserve"> </w:t>
      </w:r>
      <w:r w:rsidRPr="009B7E33">
        <w:rPr>
          <w:sz w:val="20"/>
          <w:szCs w:val="20"/>
        </w:rPr>
        <w:t>The essence of a thing as meaning that by being which a thing is what it is; [or that in being which a thing consists;] as when we say that a rational animal is the</w:t>
      </w:r>
      <w:r w:rsidRPr="009B7E33">
        <w:rPr>
          <w:sz w:val="20"/>
          <w:szCs w:val="20"/>
          <w:rtl/>
          <w:lang w:bidi="ar-SA"/>
        </w:rPr>
        <w:t xml:space="preserve"> </w:t>
      </w:r>
      <w:r w:rsidRPr="009B7E33">
        <w:rPr>
          <w:rFonts w:ascii="Arial" w:hAnsi="Arial" w:cs="Arial" w:hint="cs"/>
          <w:sz w:val="20"/>
          <w:szCs w:val="20"/>
          <w:rtl/>
          <w:lang w:bidi="ar-SA"/>
        </w:rPr>
        <w:t>حقيقة</w:t>
      </w:r>
      <w:r w:rsidRPr="009B7E33">
        <w:rPr>
          <w:sz w:val="20"/>
          <w:szCs w:val="20"/>
          <w:rtl/>
          <w:lang w:bidi="ar-SA"/>
        </w:rPr>
        <w:t xml:space="preserve"> </w:t>
      </w:r>
      <w:r w:rsidRPr="009B7E33">
        <w:rPr>
          <w:sz w:val="20"/>
          <w:szCs w:val="20"/>
        </w:rPr>
        <w:t>of a human being: (KT:) or that by being which a thing is what it is, considered with regard to its reality, is termed</w:t>
      </w:r>
      <w:bookmarkStart w:id="251" w:name="_Hlk104833736"/>
      <w:r w:rsidRPr="009B7E33">
        <w:rPr>
          <w:sz w:val="20"/>
          <w:szCs w:val="20"/>
          <w:rtl/>
          <w:lang w:bidi="ar-SA"/>
        </w:rPr>
        <w:t xml:space="preserve"> </w:t>
      </w:r>
      <w:r w:rsidRPr="009B7E33">
        <w:rPr>
          <w:rFonts w:ascii="Arial" w:hAnsi="Arial" w:cs="Arial" w:hint="cs"/>
          <w:sz w:val="20"/>
          <w:szCs w:val="20"/>
          <w:rtl/>
          <w:lang w:bidi="ar-SA"/>
        </w:rPr>
        <w:t>حَقِيقَةٌ</w:t>
      </w:r>
      <w:bookmarkEnd w:id="251"/>
      <w:r w:rsidRPr="009B7E33">
        <w:rPr>
          <w:sz w:val="20"/>
          <w:szCs w:val="20"/>
          <w:rtl/>
          <w:lang w:bidi="ar-SA"/>
        </w:rPr>
        <w:t xml:space="preserve">: </w:t>
      </w:r>
      <w:r w:rsidRPr="009B7E33">
        <w:rPr>
          <w:sz w:val="20"/>
          <w:szCs w:val="20"/>
        </w:rPr>
        <w:t>considered with regard to its individuality</w:t>
      </w:r>
      <w:r w:rsidRPr="009B7E33">
        <w:rPr>
          <w:sz w:val="20"/>
          <w:szCs w:val="20"/>
          <w:rtl/>
          <w:lang w:bidi="ar-SA"/>
        </w:rPr>
        <w:t xml:space="preserve">, </w:t>
      </w:r>
      <w:bookmarkStart w:id="252" w:name="_Hlk104833846"/>
      <w:r w:rsidR="00C747CD" w:rsidRPr="009B7E33">
        <w:rPr>
          <w:sz w:val="20"/>
          <w:szCs w:val="20"/>
          <w:rtl/>
        </w:rPr>
        <w:t xml:space="preserve">[זהות] </w:t>
      </w:r>
      <w:r w:rsidRPr="009B7E33">
        <w:rPr>
          <w:rFonts w:ascii="Arial" w:hAnsi="Arial" w:cs="Arial" w:hint="cs"/>
          <w:sz w:val="20"/>
          <w:szCs w:val="20"/>
          <w:rtl/>
          <w:lang w:bidi="ar-SA"/>
        </w:rPr>
        <w:t>هُوِيَّةٌ</w:t>
      </w:r>
      <w:bookmarkEnd w:id="252"/>
      <w:r w:rsidRPr="009B7E33">
        <w:rPr>
          <w:sz w:val="20"/>
          <w:szCs w:val="20"/>
          <w:rtl/>
          <w:lang w:bidi="ar-SA"/>
        </w:rPr>
        <w:t xml:space="preserve">: </w:t>
      </w:r>
      <w:r w:rsidRPr="009B7E33">
        <w:rPr>
          <w:sz w:val="20"/>
          <w:szCs w:val="20"/>
        </w:rPr>
        <w:t>and without regard thereto</w:t>
      </w:r>
      <w:r w:rsidRPr="009B7E33">
        <w:rPr>
          <w:sz w:val="20"/>
          <w:szCs w:val="20"/>
          <w:rtl/>
          <w:lang w:bidi="ar-SA"/>
        </w:rPr>
        <w:t>,</w:t>
      </w:r>
      <w:r w:rsidR="00C747CD" w:rsidRPr="009B7E33">
        <w:rPr>
          <w:sz w:val="20"/>
          <w:szCs w:val="20"/>
          <w:rtl/>
        </w:rPr>
        <w:t>[מהות]</w:t>
      </w:r>
      <w:r w:rsidRPr="009B7E33">
        <w:rPr>
          <w:sz w:val="20"/>
          <w:szCs w:val="20"/>
          <w:rtl/>
          <w:lang w:bidi="ar-SA"/>
        </w:rPr>
        <w:t xml:space="preserve"> </w:t>
      </w:r>
      <w:r w:rsidRPr="009B7E33">
        <w:rPr>
          <w:rFonts w:ascii="Arial" w:hAnsi="Arial" w:cs="Arial" w:hint="cs"/>
          <w:sz w:val="20"/>
          <w:szCs w:val="20"/>
          <w:rtl/>
          <w:lang w:bidi="ar-SA"/>
        </w:rPr>
        <w:t>مَاهِيَّةٌ</w:t>
      </w:r>
      <w:r w:rsidRPr="009B7E33">
        <w:rPr>
          <w:sz w:val="20"/>
          <w:szCs w:val="20"/>
          <w:rtl/>
          <w:lang w:bidi="ar-SA"/>
        </w:rPr>
        <w:t xml:space="preserve">: </w:t>
      </w:r>
      <w:r w:rsidRPr="009B7E33">
        <w:rPr>
          <w:sz w:val="20"/>
          <w:szCs w:val="20"/>
        </w:rPr>
        <w:t>(KT, TA:) the ultimate and radical constituent of a thing. (Msb, TA.)</w:t>
      </w:r>
      <w:r w:rsidRPr="009B7E33">
        <w:rPr>
          <w:sz w:val="20"/>
          <w:szCs w:val="20"/>
          <w:rtl/>
          <w:lang w:bidi="ar-SA"/>
        </w:rPr>
        <w:t xml:space="preserve"> ___ [</w:t>
      </w:r>
      <w:r w:rsidRPr="009B7E33">
        <w:rPr>
          <w:sz w:val="20"/>
          <w:szCs w:val="20"/>
        </w:rPr>
        <w:t>Also The essence of a thing</w:t>
      </w:r>
      <w:r w:rsidRPr="009B7E33">
        <w:rPr>
          <w:sz w:val="20"/>
          <w:szCs w:val="20"/>
          <w:lang w:bidi="ar-SA"/>
        </w:rPr>
        <w:t xml:space="preserve"> </w:t>
      </w:r>
      <w:r w:rsidRPr="009B7E33">
        <w:rPr>
          <w:sz w:val="20"/>
          <w:szCs w:val="20"/>
        </w:rPr>
        <w:t>as meaning the property or quality, or the aggregate of properties or qualities, whereby a thing is what it is; the essential property or quality, or the aggregate of the essential properties or qualities, of a thing; that which constitutes the particular and distinguishing nature of a thing or of a genus or species; i. q</w:t>
      </w:r>
      <w:r w:rsidRPr="009B7E33">
        <w:rPr>
          <w:sz w:val="20"/>
          <w:szCs w:val="20"/>
          <w:rtl/>
          <w:lang w:bidi="ar-SA"/>
        </w:rPr>
        <w:t xml:space="preserve">. </w:t>
      </w:r>
      <w:r w:rsidRPr="009B7E33">
        <w:rPr>
          <w:rFonts w:ascii="Arial" w:hAnsi="Arial" w:cs="Arial" w:hint="cs"/>
          <w:b/>
          <w:bCs/>
          <w:sz w:val="20"/>
          <w:szCs w:val="20"/>
          <w:u w:val="single"/>
          <w:rtl/>
          <w:lang w:bidi="ar-SA"/>
        </w:rPr>
        <w:t>ذَاتِيَّةٌ</w:t>
      </w:r>
      <w:r w:rsidR="000921BA" w:rsidRPr="009B7E33">
        <w:rPr>
          <w:b/>
          <w:bCs/>
          <w:sz w:val="20"/>
          <w:szCs w:val="20"/>
          <w:rtl/>
        </w:rPr>
        <w:t xml:space="preserve"> </w:t>
      </w:r>
      <w:r w:rsidR="000104CA" w:rsidRPr="009B7E33">
        <w:rPr>
          <w:b/>
          <w:bCs/>
          <w:sz w:val="20"/>
          <w:szCs w:val="20"/>
          <w:rtl/>
        </w:rPr>
        <w:t xml:space="preserve"> </w:t>
      </w:r>
      <w:r w:rsidR="000921BA" w:rsidRPr="009B7E33">
        <w:rPr>
          <w:b/>
          <w:bCs/>
          <w:sz w:val="20"/>
          <w:szCs w:val="20"/>
          <w:u w:val="single"/>
          <w:rtl/>
        </w:rPr>
        <w:t>[ד'את</w:t>
      </w:r>
      <w:r w:rsidR="000104CA" w:rsidRPr="009B7E33">
        <w:rPr>
          <w:b/>
          <w:bCs/>
          <w:sz w:val="20"/>
          <w:szCs w:val="20"/>
          <w:u w:val="single"/>
          <w:rtl/>
        </w:rPr>
        <w:t>]</w:t>
      </w:r>
      <w:r w:rsidRPr="009B7E33">
        <w:rPr>
          <w:sz w:val="20"/>
          <w:szCs w:val="20"/>
          <w:rtl/>
          <w:lang w:bidi="ar-SA"/>
        </w:rPr>
        <w:t xml:space="preserve">: </w:t>
      </w:r>
      <w:r w:rsidRPr="009B7E33">
        <w:rPr>
          <w:sz w:val="20"/>
          <w:szCs w:val="20"/>
        </w:rPr>
        <w:t>and</w:t>
      </w:r>
      <w:r w:rsidRPr="009B7E33">
        <w:rPr>
          <w:sz w:val="20"/>
          <w:szCs w:val="20"/>
          <w:rtl/>
          <w:lang w:bidi="ar-SA"/>
        </w:rPr>
        <w:t xml:space="preserve">] </w:t>
      </w:r>
      <w:r w:rsidRPr="009B7E33">
        <w:rPr>
          <w:sz w:val="20"/>
          <w:szCs w:val="20"/>
        </w:rPr>
        <w:t>the truth, reality, or true or real nature or state [or circumstances or facts, the very nature, and the gist, and the pith, marrow, or most essential part], of a case, or an affair: pl</w:t>
      </w:r>
      <w:r w:rsidRPr="009B7E33">
        <w:rPr>
          <w:sz w:val="20"/>
          <w:szCs w:val="20"/>
          <w:rtl/>
          <w:lang w:bidi="ar-SA"/>
        </w:rPr>
        <w:t xml:space="preserve">. </w:t>
      </w:r>
      <w:r w:rsidRPr="009B7E33">
        <w:rPr>
          <w:rFonts w:ascii="Arial" w:hAnsi="Arial" w:cs="Arial" w:hint="cs"/>
          <w:sz w:val="20"/>
          <w:szCs w:val="20"/>
          <w:rtl/>
          <w:lang w:bidi="ar-SA"/>
        </w:rPr>
        <w:t>حَقَائِقُ</w:t>
      </w:r>
      <w:r w:rsidRPr="009B7E33">
        <w:rPr>
          <w:sz w:val="20"/>
          <w:szCs w:val="20"/>
          <w:rtl/>
          <w:lang w:bidi="ar-SA"/>
        </w:rPr>
        <w:t xml:space="preserve">: </w:t>
      </w:r>
      <w:r w:rsidRPr="009B7E33">
        <w:rPr>
          <w:sz w:val="20"/>
          <w:szCs w:val="20"/>
        </w:rPr>
        <w:t>see 3.</w:t>
      </w:r>
    </w:p>
    <w:p w14:paraId="53464B3F" w14:textId="77777777" w:rsidR="00B548B8" w:rsidRPr="009B7E33" w:rsidRDefault="00B548B8" w:rsidP="00B548B8">
      <w:pPr>
        <w:pStyle w:val="FootnoteText"/>
        <w:bidi w:val="0"/>
        <w:rPr>
          <w:sz w:val="20"/>
          <w:szCs w:val="20"/>
          <w:rtl/>
        </w:rPr>
      </w:pPr>
    </w:p>
    <w:p w14:paraId="7668E834" w14:textId="025F9F5F" w:rsidR="00B548B8" w:rsidRPr="009B7E33" w:rsidRDefault="00C06935" w:rsidP="00B548B8">
      <w:pPr>
        <w:pStyle w:val="FootnoteText"/>
        <w:rPr>
          <w:sz w:val="20"/>
          <w:szCs w:val="20"/>
          <w:rtl/>
        </w:rPr>
      </w:pPr>
      <w:r w:rsidRPr="009B7E33">
        <w:rPr>
          <w:sz w:val="20"/>
          <w:szCs w:val="20"/>
          <w:rtl/>
        </w:rPr>
        <w:t xml:space="preserve">ושם בערך </w:t>
      </w:r>
      <w:r w:rsidR="002E1C18" w:rsidRPr="009B7E33">
        <w:rPr>
          <w:rFonts w:ascii="Arial" w:hAnsi="Arial" w:cs="Arial" w:hint="cs"/>
          <w:sz w:val="20"/>
          <w:szCs w:val="20"/>
          <w:rtl/>
          <w:lang w:bidi="ar-SA"/>
        </w:rPr>
        <w:t>ذو</w:t>
      </w:r>
      <w:r w:rsidR="002E1C18" w:rsidRPr="009B7E33">
        <w:rPr>
          <w:sz w:val="20"/>
          <w:szCs w:val="20"/>
          <w:rtl/>
        </w:rPr>
        <w:t xml:space="preserve"> שהוא השורש של המילה ד'את</w:t>
      </w:r>
      <w:r w:rsidR="00FB1095" w:rsidRPr="009B7E33">
        <w:rPr>
          <w:sz w:val="20"/>
          <w:szCs w:val="20"/>
          <w:rtl/>
        </w:rPr>
        <w:t xml:space="preserve"> כתב (ועיין עוד שם):</w:t>
      </w:r>
    </w:p>
    <w:p w14:paraId="71804D94" w14:textId="7E80FC5E" w:rsidR="00064818" w:rsidRPr="009B7E33" w:rsidRDefault="00B5703A" w:rsidP="00ED3AEF">
      <w:pPr>
        <w:pStyle w:val="FootnoteText"/>
        <w:bidi w:val="0"/>
        <w:rPr>
          <w:sz w:val="20"/>
          <w:szCs w:val="20"/>
          <w:rtl/>
        </w:rPr>
      </w:pPr>
      <w:r w:rsidRPr="009B7E33">
        <w:rPr>
          <w:sz w:val="20"/>
          <w:szCs w:val="20"/>
        </w:rPr>
        <w:t xml:space="preserve"> that wherein consists your union; (</w:t>
      </w:r>
      <w:r w:rsidRPr="009B7E33">
        <w:rPr>
          <w:rFonts w:ascii="Arial" w:hAnsi="Arial" w:cs="Arial" w:hint="cs"/>
          <w:sz w:val="20"/>
          <w:szCs w:val="20"/>
          <w:rtl/>
          <w:lang w:bidi="ar-SA"/>
        </w:rPr>
        <w:t>حَقِيقَةَ</w:t>
      </w:r>
      <w:r w:rsidRPr="009B7E33">
        <w:rPr>
          <w:sz w:val="20"/>
          <w:szCs w:val="20"/>
          <w:rtl/>
          <w:lang w:bidi="ar-SA"/>
        </w:rPr>
        <w:t xml:space="preserve"> </w:t>
      </w:r>
      <w:r w:rsidRPr="009B7E33">
        <w:rPr>
          <w:rFonts w:ascii="Arial" w:hAnsi="Arial" w:cs="Arial" w:hint="cs"/>
          <w:sz w:val="20"/>
          <w:szCs w:val="20"/>
          <w:rtl/>
          <w:lang w:bidi="ar-SA"/>
        </w:rPr>
        <w:t>وَصْلِكُمْ</w:t>
      </w:r>
      <w:r w:rsidRPr="009B7E33">
        <w:rPr>
          <w:sz w:val="20"/>
          <w:szCs w:val="20"/>
          <w:lang w:bidi="ar-SA"/>
        </w:rPr>
        <w:t xml:space="preserve">, </w:t>
      </w:r>
      <w:r w:rsidRPr="009B7E33">
        <w:rPr>
          <w:sz w:val="20"/>
          <w:szCs w:val="20"/>
        </w:rPr>
        <w:t>M, K</w:t>
      </w:r>
      <w:r w:rsidRPr="009B7E33">
        <w:rPr>
          <w:sz w:val="20"/>
          <w:szCs w:val="20"/>
          <w:lang w:bidi="ar-SA"/>
        </w:rPr>
        <w:t xml:space="preserve">;) </w:t>
      </w:r>
      <w:r w:rsidRPr="009B7E33">
        <w:rPr>
          <w:sz w:val="20"/>
          <w:szCs w:val="20"/>
        </w:rPr>
        <w:t>i. e. be ye of one accord, or in unison, respecting that which God and his Apostle have commanded: (M:) or</w:t>
      </w:r>
      <w:r w:rsidRPr="009B7E33">
        <w:rPr>
          <w:sz w:val="20"/>
          <w:szCs w:val="20"/>
          <w:lang w:bidi="ar-SA"/>
        </w:rPr>
        <w:t xml:space="preserve"> </w:t>
      </w:r>
      <w:r w:rsidRPr="009B7E33">
        <w:rPr>
          <w:rFonts w:ascii="Arial" w:hAnsi="Arial" w:cs="Arial" w:hint="cs"/>
          <w:sz w:val="20"/>
          <w:szCs w:val="20"/>
          <w:rtl/>
          <w:lang w:bidi="ar-SA"/>
        </w:rPr>
        <w:t>ذَاتُ</w:t>
      </w:r>
      <w:r w:rsidRPr="009B7E33">
        <w:rPr>
          <w:sz w:val="20"/>
          <w:szCs w:val="20"/>
          <w:rtl/>
          <w:lang w:bidi="ar-SA"/>
        </w:rPr>
        <w:t xml:space="preserve"> </w:t>
      </w:r>
      <w:r w:rsidRPr="009B7E33">
        <w:rPr>
          <w:rFonts w:ascii="Arial" w:hAnsi="Arial" w:cs="Arial" w:hint="cs"/>
          <w:sz w:val="20"/>
          <w:szCs w:val="20"/>
          <w:rtl/>
          <w:lang w:bidi="ar-SA"/>
        </w:rPr>
        <w:t>البَيْنِ</w:t>
      </w:r>
      <w:r w:rsidRPr="009B7E33">
        <w:rPr>
          <w:sz w:val="20"/>
          <w:szCs w:val="20"/>
          <w:lang w:bidi="ar-SA"/>
        </w:rPr>
        <w:t xml:space="preserve"> </w:t>
      </w:r>
      <w:r w:rsidRPr="009B7E33">
        <w:rPr>
          <w:sz w:val="20"/>
          <w:szCs w:val="20"/>
        </w:rPr>
        <w:t xml:space="preserve">means the state of circumstances whereby the Muslims become of one accord, or in unison: (K:) this is the meaning in the saying, </w:t>
      </w:r>
      <w:r w:rsidRPr="009B7E33">
        <w:rPr>
          <w:rFonts w:ascii="Arial" w:hAnsi="Arial" w:cs="Arial" w:hint="cs"/>
          <w:sz w:val="20"/>
          <w:szCs w:val="20"/>
          <w:rtl/>
          <w:lang w:bidi="ar-SA"/>
        </w:rPr>
        <w:t>اَللّٰهُمَّ</w:t>
      </w:r>
      <w:r w:rsidRPr="009B7E33">
        <w:rPr>
          <w:sz w:val="20"/>
          <w:szCs w:val="20"/>
          <w:rtl/>
          <w:lang w:bidi="ar-SA"/>
        </w:rPr>
        <w:t xml:space="preserve"> </w:t>
      </w:r>
      <w:r w:rsidRPr="009B7E33">
        <w:rPr>
          <w:rFonts w:ascii="Arial" w:hAnsi="Arial" w:cs="Arial" w:hint="cs"/>
          <w:sz w:val="20"/>
          <w:szCs w:val="20"/>
          <w:rtl/>
          <w:lang w:bidi="ar-SA"/>
        </w:rPr>
        <w:t>أَصْلِحْ</w:t>
      </w:r>
      <w:r w:rsidRPr="009B7E33">
        <w:rPr>
          <w:sz w:val="20"/>
          <w:szCs w:val="20"/>
          <w:rtl/>
          <w:lang w:bidi="ar-SA"/>
        </w:rPr>
        <w:t xml:space="preserve"> </w:t>
      </w:r>
      <w:r w:rsidRPr="009B7E33">
        <w:rPr>
          <w:rFonts w:ascii="Arial" w:hAnsi="Arial" w:cs="Arial" w:hint="cs"/>
          <w:sz w:val="20"/>
          <w:szCs w:val="20"/>
          <w:rtl/>
          <w:lang w:bidi="ar-SA"/>
        </w:rPr>
        <w:t>ذَاتَ</w:t>
      </w:r>
      <w:r w:rsidRPr="009B7E33">
        <w:rPr>
          <w:sz w:val="20"/>
          <w:szCs w:val="20"/>
          <w:rtl/>
          <w:lang w:bidi="ar-SA"/>
        </w:rPr>
        <w:t xml:space="preserve"> </w:t>
      </w:r>
      <w:r w:rsidRPr="009B7E33">
        <w:rPr>
          <w:rFonts w:ascii="Arial" w:hAnsi="Arial" w:cs="Arial" w:hint="cs"/>
          <w:sz w:val="20"/>
          <w:szCs w:val="20"/>
          <w:rtl/>
          <w:lang w:bidi="ar-SA"/>
        </w:rPr>
        <w:t>البَيْنِ</w:t>
      </w:r>
      <w:r w:rsidRPr="009B7E33">
        <w:rPr>
          <w:sz w:val="20"/>
          <w:szCs w:val="20"/>
          <w:lang w:bidi="ar-SA"/>
        </w:rPr>
        <w:t xml:space="preserve"> </w:t>
      </w:r>
      <w:r w:rsidRPr="009B7E33">
        <w:rPr>
          <w:sz w:val="20"/>
          <w:szCs w:val="20"/>
        </w:rPr>
        <w:t>[O God, do Thou rightly dispose &amp;c.]. (M.)</w:t>
      </w:r>
      <w:r w:rsidRPr="009B7E33">
        <w:rPr>
          <w:sz w:val="20"/>
          <w:szCs w:val="20"/>
          <w:lang w:bidi="ar-SA"/>
        </w:rPr>
        <w:t xml:space="preserve"> ___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is sometimes used as a noun independent in its meaning, (Mgh, Msb,) so as to denote material [or real] things; (Msb;) and is described by the epithets</w:t>
      </w:r>
      <w:r w:rsidRPr="009B7E33">
        <w:rPr>
          <w:sz w:val="20"/>
          <w:szCs w:val="20"/>
          <w:lang w:bidi="ar-SA"/>
        </w:rPr>
        <w:t xml:space="preserve"> </w:t>
      </w:r>
      <w:r w:rsidRPr="009B7E33">
        <w:rPr>
          <w:rFonts w:ascii="Arial" w:hAnsi="Arial" w:cs="Arial" w:hint="cs"/>
          <w:sz w:val="20"/>
          <w:szCs w:val="20"/>
          <w:rtl/>
          <w:lang w:bidi="ar-SA"/>
        </w:rPr>
        <w:t>مُتَمَيِّزَةٌ</w:t>
      </w:r>
      <w:r w:rsidRPr="009B7E33">
        <w:rPr>
          <w:sz w:val="20"/>
          <w:szCs w:val="20"/>
          <w:lang w:bidi="ar-SA"/>
        </w:rPr>
        <w:t xml:space="preserve"> </w:t>
      </w:r>
      <w:r w:rsidRPr="009B7E33">
        <w:rPr>
          <w:sz w:val="20"/>
          <w:szCs w:val="20"/>
        </w:rPr>
        <w:t>[or “ distinct ”] (Mgh, Msb) and</w:t>
      </w:r>
      <w:r w:rsidRPr="009B7E33">
        <w:rPr>
          <w:sz w:val="20"/>
          <w:szCs w:val="20"/>
          <w:lang w:bidi="ar-SA"/>
        </w:rPr>
        <w:t xml:space="preserve"> </w:t>
      </w:r>
      <w:r w:rsidRPr="009B7E33">
        <w:rPr>
          <w:rFonts w:ascii="Arial" w:hAnsi="Arial" w:cs="Arial" w:hint="cs"/>
          <w:sz w:val="20"/>
          <w:szCs w:val="20"/>
          <w:rtl/>
          <w:lang w:bidi="ar-SA"/>
        </w:rPr>
        <w:t>قَدِيمَةٌ</w:t>
      </w:r>
      <w:r w:rsidRPr="009B7E33">
        <w:rPr>
          <w:sz w:val="20"/>
          <w:szCs w:val="20"/>
          <w:lang w:bidi="ar-SA"/>
        </w:rPr>
        <w:t xml:space="preserve"> </w:t>
      </w:r>
      <w:r w:rsidRPr="009B7E33">
        <w:rPr>
          <w:sz w:val="20"/>
          <w:szCs w:val="20"/>
        </w:rPr>
        <w:t>[as meaning “ that has existed from eternity ”] (Mgh) and</w:t>
      </w:r>
      <w:r w:rsidRPr="009B7E33">
        <w:rPr>
          <w:sz w:val="20"/>
          <w:szCs w:val="20"/>
          <w:lang w:bidi="ar-SA"/>
        </w:rPr>
        <w:t xml:space="preserve"> </w:t>
      </w:r>
      <w:r w:rsidRPr="009B7E33">
        <w:rPr>
          <w:rFonts w:ascii="Arial" w:hAnsi="Arial" w:cs="Arial" w:hint="cs"/>
          <w:sz w:val="20"/>
          <w:szCs w:val="20"/>
          <w:rtl/>
          <w:lang w:bidi="ar-SA"/>
        </w:rPr>
        <w:t>مُحْدَثَةٌ</w:t>
      </w:r>
      <w:r w:rsidRPr="009B7E33">
        <w:rPr>
          <w:sz w:val="20"/>
          <w:szCs w:val="20"/>
          <w:lang w:bidi="ar-SA"/>
        </w:rPr>
        <w:t xml:space="preserve"> </w:t>
      </w:r>
      <w:r w:rsidRPr="009B7E33">
        <w:rPr>
          <w:sz w:val="20"/>
          <w:szCs w:val="20"/>
        </w:rPr>
        <w:t xml:space="preserve">[as meaning “ that has been brought into existence ”]. (Mgh, Msb.) Thus used, (Msb,) it signifies The essence of a thing, meaning that by being which a thing is what it is, or that in being which a thing consists; or the ultimate and radical constituent of a thing: and the essence as meaning the peculiar nature of a thing: syn. </w:t>
      </w:r>
      <w:r w:rsidRPr="009B7E33">
        <w:rPr>
          <w:rFonts w:ascii="Arial" w:hAnsi="Arial" w:cs="Arial" w:hint="cs"/>
          <w:sz w:val="20"/>
          <w:szCs w:val="20"/>
          <w:rtl/>
          <w:lang w:bidi="ar-SA"/>
        </w:rPr>
        <w:t>حَقِيقَةٌ</w:t>
      </w:r>
      <w:r w:rsidRPr="009B7E33">
        <w:rPr>
          <w:sz w:val="20"/>
          <w:szCs w:val="20"/>
          <w:lang w:bidi="ar-SA"/>
        </w:rPr>
        <w:t>, (</w:t>
      </w:r>
      <w:r w:rsidRPr="009B7E33">
        <w:rPr>
          <w:sz w:val="20"/>
          <w:szCs w:val="20"/>
        </w:rPr>
        <w:t>T, IB, Msb, TA,) and</w:t>
      </w:r>
      <w:r w:rsidRPr="009B7E33">
        <w:rPr>
          <w:sz w:val="20"/>
          <w:szCs w:val="20"/>
          <w:lang w:bidi="ar-SA"/>
        </w:rPr>
        <w:t xml:space="preserve"> </w:t>
      </w:r>
      <w:r w:rsidRPr="009B7E33">
        <w:rPr>
          <w:rFonts w:ascii="Arial" w:hAnsi="Arial" w:cs="Arial" w:hint="cs"/>
          <w:sz w:val="20"/>
          <w:szCs w:val="20"/>
          <w:rtl/>
          <w:lang w:bidi="ar-SA"/>
        </w:rPr>
        <w:t>مَاهِيَّةٌ</w:t>
      </w:r>
      <w:r w:rsidRPr="009B7E33">
        <w:rPr>
          <w:sz w:val="20"/>
          <w:szCs w:val="20"/>
          <w:lang w:bidi="ar-SA"/>
        </w:rPr>
        <w:t>, (</w:t>
      </w:r>
      <w:r w:rsidRPr="009B7E33">
        <w:rPr>
          <w:sz w:val="20"/>
          <w:szCs w:val="20"/>
        </w:rPr>
        <w:t>Msb,) and</w:t>
      </w:r>
      <w:r w:rsidRPr="009B7E33">
        <w:rPr>
          <w:sz w:val="20"/>
          <w:szCs w:val="20"/>
          <w:lang w:bidi="ar-SA"/>
        </w:rPr>
        <w:t xml:space="preserve"> </w:t>
      </w:r>
      <w:r w:rsidRPr="009B7E33">
        <w:rPr>
          <w:rFonts w:ascii="Arial" w:hAnsi="Arial" w:cs="Arial" w:hint="cs"/>
          <w:sz w:val="20"/>
          <w:szCs w:val="20"/>
          <w:rtl/>
          <w:lang w:bidi="ar-SA"/>
        </w:rPr>
        <w:t>خَاصَّةٌ</w:t>
      </w:r>
      <w:r w:rsidRPr="009B7E33">
        <w:rPr>
          <w:sz w:val="20"/>
          <w:szCs w:val="20"/>
          <w:lang w:bidi="ar-SA"/>
        </w:rPr>
        <w:t>: (</w:t>
      </w:r>
      <w:r w:rsidRPr="009B7E33">
        <w:rPr>
          <w:sz w:val="20"/>
          <w:szCs w:val="20"/>
        </w:rPr>
        <w:t>T, IB, TA:) it is also used as meaning a thing's self: (Mgh, * Msb:) [a man's self, or person: (see</w:t>
      </w:r>
      <w:r w:rsidRPr="009B7E33">
        <w:rPr>
          <w:sz w:val="20"/>
          <w:szCs w:val="20"/>
          <w:lang w:bidi="ar-SA"/>
        </w:rPr>
        <w:t xml:space="preserve"> </w:t>
      </w:r>
      <w:r w:rsidRPr="009B7E33">
        <w:rPr>
          <w:rFonts w:ascii="Arial" w:hAnsi="Arial" w:cs="Arial" w:hint="cs"/>
          <w:sz w:val="20"/>
          <w:szCs w:val="20"/>
          <w:rtl/>
          <w:lang w:bidi="ar-SA"/>
        </w:rPr>
        <w:t>شَخْصٌ</w:t>
      </w:r>
      <w:r w:rsidRPr="009B7E33">
        <w:rPr>
          <w:sz w:val="20"/>
          <w:szCs w:val="20"/>
          <w:lang w:bidi="ar-SA"/>
        </w:rPr>
        <w:t xml:space="preserve">:)] </w:t>
      </w:r>
      <w:r w:rsidRPr="009B7E33">
        <w:rPr>
          <w:sz w:val="20"/>
          <w:szCs w:val="20"/>
        </w:rPr>
        <w:t>and a thing; a being; anything, whatever it be; every</w:t>
      </w:r>
      <w:r w:rsidRPr="009B7E33">
        <w:rPr>
          <w:sz w:val="20"/>
          <w:szCs w:val="20"/>
          <w:lang w:bidi="ar-SA"/>
        </w:rPr>
        <w:t xml:space="preserve"> </w:t>
      </w:r>
      <w:r w:rsidRPr="009B7E33">
        <w:rPr>
          <w:rFonts w:ascii="Arial" w:hAnsi="Arial" w:cs="Arial" w:hint="cs"/>
          <w:sz w:val="20"/>
          <w:szCs w:val="20"/>
          <w:rtl/>
          <w:lang w:bidi="ar-SA"/>
        </w:rPr>
        <w:t>شَىْء</w:t>
      </w:r>
      <w:r w:rsidRPr="009B7E33">
        <w:rPr>
          <w:sz w:val="20"/>
          <w:szCs w:val="20"/>
          <w:lang w:bidi="ar-SA"/>
        </w:rPr>
        <w:t xml:space="preserve"> </w:t>
      </w:r>
      <w:r w:rsidRPr="009B7E33">
        <w:rPr>
          <w:sz w:val="20"/>
          <w:szCs w:val="20"/>
        </w:rPr>
        <w:t>being a</w:t>
      </w:r>
      <w:r w:rsidRPr="009B7E33">
        <w:rPr>
          <w:sz w:val="20"/>
          <w:szCs w:val="20"/>
          <w:lang w:bidi="ar-SA"/>
        </w:rPr>
        <w:t xml:space="preserv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and every</w:t>
      </w:r>
      <w:r w:rsidRPr="009B7E33">
        <w:rPr>
          <w:sz w:val="20"/>
          <w:szCs w:val="20"/>
          <w:lang w:bidi="ar-SA"/>
        </w:rPr>
        <w:t xml:space="preserv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being a</w:t>
      </w:r>
      <w:r w:rsidRPr="009B7E33">
        <w:rPr>
          <w:sz w:val="20"/>
          <w:szCs w:val="20"/>
          <w:lang w:bidi="ar-SA"/>
        </w:rPr>
        <w:t xml:space="preserve"> </w:t>
      </w:r>
      <w:r w:rsidRPr="009B7E33">
        <w:rPr>
          <w:rFonts w:ascii="Arial" w:hAnsi="Arial" w:cs="Arial" w:hint="cs"/>
          <w:sz w:val="20"/>
          <w:szCs w:val="20"/>
          <w:rtl/>
          <w:lang w:bidi="ar-SA"/>
        </w:rPr>
        <w:t>شىء</w:t>
      </w:r>
      <w:r w:rsidRPr="009B7E33">
        <w:rPr>
          <w:sz w:val="20"/>
          <w:szCs w:val="20"/>
          <w:lang w:bidi="ar-SA"/>
        </w:rPr>
        <w:t xml:space="preserve">: </w:t>
      </w:r>
      <w:r w:rsidRPr="009B7E33">
        <w:rPr>
          <w:sz w:val="20"/>
          <w:szCs w:val="20"/>
        </w:rPr>
        <w:t>(Aboo-Sa'eed, Mgh, Msb:) and particularly a substance, or thing that subsists by itself</w:t>
      </w:r>
      <w:r w:rsidRPr="009B7E33">
        <w:rPr>
          <w:sz w:val="20"/>
          <w:szCs w:val="20"/>
          <w:lang w:bidi="ar-SA"/>
        </w:rPr>
        <w:t>: [</w:t>
      </w:r>
      <w:r w:rsidRPr="009B7E33">
        <w:rPr>
          <w:sz w:val="20"/>
          <w:szCs w:val="20"/>
        </w:rPr>
        <w:t>hence</w:t>
      </w:r>
      <w:r w:rsidRPr="009B7E33">
        <w:rPr>
          <w:sz w:val="20"/>
          <w:szCs w:val="20"/>
          <w:lang w:bidi="ar-SA"/>
        </w:rPr>
        <w:t xml:space="preserve"> </w:t>
      </w:r>
      <w:r w:rsidRPr="009B7E33">
        <w:rPr>
          <w:rFonts w:ascii="Arial" w:hAnsi="Arial" w:cs="Arial" w:hint="cs"/>
          <w:sz w:val="20"/>
          <w:szCs w:val="20"/>
          <w:rtl/>
          <w:lang w:bidi="ar-SA"/>
        </w:rPr>
        <w:t>اِسْمُ</w:t>
      </w:r>
      <w:r w:rsidRPr="009B7E33">
        <w:rPr>
          <w:sz w:val="20"/>
          <w:szCs w:val="20"/>
          <w:rtl/>
          <w:lang w:bidi="ar-SA"/>
        </w:rPr>
        <w:t xml:space="preserv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meaning a real substantive; also termed</w:t>
      </w:r>
      <w:r w:rsidRPr="009B7E33">
        <w:rPr>
          <w:sz w:val="20"/>
          <w:szCs w:val="20"/>
          <w:lang w:bidi="ar-SA"/>
        </w:rPr>
        <w:t xml:space="preserve"> </w:t>
      </w:r>
      <w:r w:rsidRPr="009B7E33">
        <w:rPr>
          <w:rFonts w:ascii="Arial" w:hAnsi="Arial" w:cs="Arial" w:hint="cs"/>
          <w:sz w:val="20"/>
          <w:szCs w:val="20"/>
          <w:rtl/>
          <w:lang w:bidi="ar-SA"/>
        </w:rPr>
        <w:t>اِسْمُ</w:t>
      </w:r>
      <w:r w:rsidRPr="009B7E33">
        <w:rPr>
          <w:sz w:val="20"/>
          <w:szCs w:val="20"/>
          <w:rtl/>
          <w:lang w:bidi="ar-SA"/>
        </w:rPr>
        <w:t xml:space="preserve"> </w:t>
      </w:r>
      <w:r w:rsidRPr="009B7E33">
        <w:rPr>
          <w:rFonts w:ascii="Arial" w:hAnsi="Arial" w:cs="Arial" w:hint="cs"/>
          <w:sz w:val="20"/>
          <w:szCs w:val="20"/>
          <w:rtl/>
          <w:lang w:bidi="ar-SA"/>
        </w:rPr>
        <w:t>عَيْنٍ</w:t>
      </w:r>
      <w:r w:rsidRPr="009B7E33">
        <w:rPr>
          <w:sz w:val="20"/>
          <w:szCs w:val="20"/>
          <w:lang w:bidi="ar-SA"/>
        </w:rPr>
        <w:t xml:space="preserve">: </w:t>
      </w:r>
      <w:r w:rsidRPr="009B7E33">
        <w:rPr>
          <w:sz w:val="20"/>
          <w:szCs w:val="20"/>
        </w:rPr>
        <w:t>opposed to</w:t>
      </w:r>
      <w:r w:rsidRPr="009B7E33">
        <w:rPr>
          <w:sz w:val="20"/>
          <w:szCs w:val="20"/>
          <w:lang w:bidi="ar-SA"/>
        </w:rPr>
        <w:t xml:space="preserve"> </w:t>
      </w:r>
      <w:r w:rsidRPr="009B7E33">
        <w:rPr>
          <w:rFonts w:ascii="Arial" w:hAnsi="Arial" w:cs="Arial" w:hint="cs"/>
          <w:sz w:val="20"/>
          <w:szCs w:val="20"/>
          <w:rtl/>
          <w:lang w:bidi="ar-SA"/>
        </w:rPr>
        <w:t>اِسْمُ</w:t>
      </w:r>
      <w:r w:rsidRPr="009B7E33">
        <w:rPr>
          <w:sz w:val="20"/>
          <w:szCs w:val="20"/>
          <w:rtl/>
          <w:lang w:bidi="ar-SA"/>
        </w:rPr>
        <w:t xml:space="preserve"> </w:t>
      </w:r>
      <w:r w:rsidRPr="009B7E33">
        <w:rPr>
          <w:rFonts w:ascii="Arial" w:hAnsi="Arial" w:cs="Arial" w:hint="cs"/>
          <w:sz w:val="20"/>
          <w:szCs w:val="20"/>
          <w:rtl/>
          <w:lang w:bidi="ar-SA"/>
        </w:rPr>
        <w:t>مَعْنًى</w:t>
      </w:r>
      <w:r w:rsidRPr="009B7E33">
        <w:rPr>
          <w:sz w:val="20"/>
          <w:szCs w:val="20"/>
          <w:lang w:bidi="ar-SA"/>
        </w:rPr>
        <w:t xml:space="preserve">, </w:t>
      </w:r>
      <w:r w:rsidRPr="009B7E33">
        <w:rPr>
          <w:sz w:val="20"/>
          <w:szCs w:val="20"/>
        </w:rPr>
        <w:t>i. e. an ideal substantive</w:t>
      </w:r>
      <w:r w:rsidRPr="009B7E33">
        <w:rPr>
          <w:sz w:val="20"/>
          <w:szCs w:val="20"/>
          <w:lang w:bidi="ar-SA"/>
        </w:rPr>
        <w:t xml:space="preserve">:] </w:t>
      </w:r>
      <w:r w:rsidRPr="009B7E33">
        <w:rPr>
          <w:sz w:val="20"/>
          <w:szCs w:val="20"/>
        </w:rPr>
        <w:t xml:space="preserve">and [hence] it signifies also a word that is independent in its meaning; [i. 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(alone), though oftener used in the sense assigned above to</w:t>
      </w:r>
      <w:r w:rsidRPr="009B7E33">
        <w:rPr>
          <w:sz w:val="20"/>
          <w:szCs w:val="20"/>
          <w:lang w:bidi="ar-SA"/>
        </w:rPr>
        <w:t xml:space="preserve"> </w:t>
      </w:r>
      <w:r w:rsidRPr="009B7E33">
        <w:rPr>
          <w:rFonts w:ascii="Arial" w:hAnsi="Arial" w:cs="Arial" w:hint="cs"/>
          <w:sz w:val="20"/>
          <w:szCs w:val="20"/>
          <w:rtl/>
          <w:lang w:bidi="ar-SA"/>
        </w:rPr>
        <w:t>اِسْمُ</w:t>
      </w:r>
      <w:r w:rsidRPr="009B7E33">
        <w:rPr>
          <w:sz w:val="20"/>
          <w:szCs w:val="20"/>
          <w:rtl/>
          <w:lang w:bidi="ar-SA"/>
        </w:rPr>
        <w:t xml:space="preserv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signifies also, absolutely, a substantive</w:t>
      </w:r>
      <w:r w:rsidRPr="009B7E33">
        <w:rPr>
          <w:sz w:val="20"/>
          <w:szCs w:val="20"/>
          <w:lang w:bidi="ar-SA"/>
        </w:rPr>
        <w:t xml:space="preserve">;] </w:t>
      </w:r>
      <w:r w:rsidRPr="009B7E33">
        <w:rPr>
          <w:sz w:val="20"/>
          <w:szCs w:val="20"/>
        </w:rPr>
        <w:t>opposed to</w:t>
      </w:r>
      <w:r w:rsidRPr="009B7E33">
        <w:rPr>
          <w:sz w:val="20"/>
          <w:szCs w:val="20"/>
          <w:lang w:bidi="ar-SA"/>
        </w:rPr>
        <w:t xml:space="preserve"> </w:t>
      </w:r>
      <w:r w:rsidRPr="009B7E33">
        <w:rPr>
          <w:rFonts w:ascii="Arial" w:hAnsi="Arial" w:cs="Arial" w:hint="cs"/>
          <w:sz w:val="20"/>
          <w:szCs w:val="20"/>
          <w:rtl/>
          <w:lang w:bidi="ar-SA"/>
        </w:rPr>
        <w:t>صِفَةٌ</w:t>
      </w:r>
      <w:r w:rsidRPr="009B7E33">
        <w:rPr>
          <w:sz w:val="20"/>
          <w:szCs w:val="20"/>
          <w:lang w:bidi="ar-SA"/>
        </w:rPr>
        <w:t xml:space="preserve"> </w:t>
      </w:r>
      <w:r w:rsidRPr="009B7E33">
        <w:rPr>
          <w:sz w:val="20"/>
          <w:szCs w:val="20"/>
        </w:rPr>
        <w:t>as signifying a word that is not independent in its meaning</w:t>
      </w:r>
      <w:r w:rsidRPr="009B7E33">
        <w:rPr>
          <w:sz w:val="20"/>
          <w:szCs w:val="20"/>
          <w:lang w:bidi="ar-SA"/>
        </w:rPr>
        <w:t>.</w:t>
      </w:r>
      <w:r w:rsidRPr="009B7E33">
        <w:rPr>
          <w:sz w:val="20"/>
          <w:szCs w:val="20"/>
        </w:rPr>
        <w:t xml:space="preserve"> (Kull p. 187.) Its application to God, in the sense of</w:t>
      </w:r>
      <w:r w:rsidRPr="009B7E33">
        <w:rPr>
          <w:sz w:val="20"/>
          <w:szCs w:val="20"/>
          <w:lang w:bidi="ar-SA"/>
        </w:rPr>
        <w:t xml:space="preserve"> </w:t>
      </w:r>
      <w:r w:rsidRPr="009B7E33">
        <w:rPr>
          <w:rFonts w:ascii="Arial" w:hAnsi="Arial" w:cs="Arial" w:hint="cs"/>
          <w:sz w:val="20"/>
          <w:szCs w:val="20"/>
          <w:rtl/>
          <w:lang w:bidi="ar-SA"/>
        </w:rPr>
        <w:t>حَقِيقَةٌ</w:t>
      </w:r>
      <w:r w:rsidRPr="009B7E33">
        <w:rPr>
          <w:sz w:val="20"/>
          <w:szCs w:val="20"/>
          <w:lang w:bidi="ar-SA"/>
        </w:rPr>
        <w:t xml:space="preserve"> </w:t>
      </w:r>
      <w:r w:rsidRPr="009B7E33">
        <w:rPr>
          <w:sz w:val="20"/>
          <w:szCs w:val="20"/>
        </w:rPr>
        <w:t>and</w:t>
      </w:r>
      <w:r w:rsidRPr="009B7E33">
        <w:rPr>
          <w:sz w:val="20"/>
          <w:szCs w:val="20"/>
          <w:lang w:bidi="ar-SA"/>
        </w:rPr>
        <w:t xml:space="preserve"> </w:t>
      </w:r>
      <w:r w:rsidRPr="009B7E33">
        <w:rPr>
          <w:rFonts w:ascii="Arial" w:hAnsi="Arial" w:cs="Arial" w:hint="cs"/>
          <w:sz w:val="20"/>
          <w:szCs w:val="20"/>
          <w:rtl/>
          <w:lang w:bidi="ar-SA"/>
        </w:rPr>
        <w:t>خَاصَّةٌ</w:t>
      </w:r>
      <w:r w:rsidRPr="009B7E33">
        <w:rPr>
          <w:sz w:val="20"/>
          <w:szCs w:val="20"/>
          <w:lang w:bidi="ar-SA"/>
        </w:rPr>
        <w:t xml:space="preserve">, </w:t>
      </w:r>
      <w:r w:rsidRPr="009B7E33">
        <w:rPr>
          <w:sz w:val="20"/>
          <w:szCs w:val="20"/>
        </w:rPr>
        <w:t>is forbidden by most persons: (TA:) [for]</w:t>
      </w:r>
      <w:r w:rsidRPr="009B7E33">
        <w:rPr>
          <w:sz w:val="20"/>
          <w:szCs w:val="20"/>
          <w:lang w:bidi="ar-SA"/>
        </w:rPr>
        <w:t xml:space="preserve"> </w:t>
      </w:r>
      <w:r w:rsidRPr="009B7E33">
        <w:rPr>
          <w:rFonts w:ascii="Arial" w:hAnsi="Arial" w:cs="Arial" w:hint="cs"/>
          <w:sz w:val="20"/>
          <w:szCs w:val="20"/>
          <w:rtl/>
          <w:lang w:bidi="ar-SA"/>
        </w:rPr>
        <w:t>ذَاتُ</w:t>
      </w:r>
      <w:r w:rsidRPr="009B7E33">
        <w:rPr>
          <w:sz w:val="20"/>
          <w:szCs w:val="20"/>
          <w:rtl/>
          <w:lang w:bidi="ar-SA"/>
        </w:rPr>
        <w:t xml:space="preserve"> </w:t>
      </w:r>
      <w:r w:rsidRPr="009B7E33">
        <w:rPr>
          <w:rFonts w:ascii="Arial" w:hAnsi="Arial" w:cs="Arial" w:hint="cs"/>
          <w:sz w:val="20"/>
          <w:szCs w:val="20"/>
          <w:rtl/>
          <w:lang w:bidi="ar-SA"/>
        </w:rPr>
        <w:t>ٱللّٰهِ</w:t>
      </w:r>
      <w:r w:rsidRPr="009B7E33">
        <w:rPr>
          <w:sz w:val="20"/>
          <w:szCs w:val="20"/>
          <w:lang w:bidi="ar-SA"/>
        </w:rPr>
        <w:t xml:space="preserve"> </w:t>
      </w:r>
      <w:r w:rsidRPr="009B7E33">
        <w:rPr>
          <w:sz w:val="20"/>
          <w:szCs w:val="20"/>
        </w:rPr>
        <w:t>[as meaning The essence of God], used by the scholastic theologians, is said to be an ignorant expression, because the names of God do not admit the fem. affix</w:t>
      </w:r>
      <w:r w:rsidRPr="009B7E33">
        <w:rPr>
          <w:sz w:val="20"/>
          <w:szCs w:val="20"/>
          <w:lang w:bidi="ar-SA"/>
        </w:rPr>
        <w:t xml:space="preserve"> </w:t>
      </w:r>
      <w:r w:rsidRPr="009B7E33">
        <w:rPr>
          <w:rFonts w:ascii="Arial" w:hAnsi="Arial" w:cs="Arial" w:hint="cs"/>
          <w:sz w:val="20"/>
          <w:szCs w:val="20"/>
          <w:rtl/>
          <w:lang w:bidi="ar-SA"/>
        </w:rPr>
        <w:t>ة</w:t>
      </w:r>
      <w:r w:rsidRPr="009B7E33">
        <w:rPr>
          <w:sz w:val="20"/>
          <w:szCs w:val="20"/>
          <w:lang w:bidi="ar-SA"/>
        </w:rPr>
        <w:t xml:space="preserve">; </w:t>
      </w:r>
      <w:r w:rsidRPr="009B7E33">
        <w:rPr>
          <w:sz w:val="20"/>
          <w:szCs w:val="20"/>
        </w:rPr>
        <w:t>so that one does not apply to Him the epithet</w:t>
      </w:r>
      <w:r w:rsidRPr="009B7E33">
        <w:rPr>
          <w:sz w:val="20"/>
          <w:szCs w:val="20"/>
          <w:lang w:bidi="ar-SA"/>
        </w:rPr>
        <w:t xml:space="preserve"> </w:t>
      </w:r>
      <w:r w:rsidRPr="009B7E33">
        <w:rPr>
          <w:rFonts w:ascii="Arial" w:hAnsi="Arial" w:cs="Arial" w:hint="cs"/>
          <w:sz w:val="20"/>
          <w:szCs w:val="20"/>
          <w:rtl/>
          <w:lang w:bidi="ar-SA"/>
        </w:rPr>
        <w:t>عَلَّامَةٌ</w:t>
      </w:r>
      <w:r w:rsidRPr="009B7E33">
        <w:rPr>
          <w:sz w:val="20"/>
          <w:szCs w:val="20"/>
          <w:lang w:bidi="ar-SA"/>
        </w:rPr>
        <w:t xml:space="preserve">, </w:t>
      </w:r>
      <w:r w:rsidRPr="009B7E33">
        <w:rPr>
          <w:sz w:val="20"/>
          <w:szCs w:val="20"/>
        </w:rPr>
        <w:t>though He is the all-surpassing in knowledge. (Msb.) The phrase</w:t>
      </w:r>
      <w:r w:rsidRPr="009B7E33">
        <w:rPr>
          <w:sz w:val="20"/>
          <w:szCs w:val="20"/>
          <w:lang w:bidi="ar-SA"/>
        </w:rPr>
        <w:t xml:space="preserve"> </w:t>
      </w:r>
      <w:r w:rsidRPr="009B7E33">
        <w:rPr>
          <w:rFonts w:ascii="Arial" w:hAnsi="Arial" w:cs="Arial" w:hint="cs"/>
          <w:sz w:val="20"/>
          <w:szCs w:val="20"/>
          <w:rtl/>
          <w:lang w:bidi="ar-SA"/>
        </w:rPr>
        <w:t>فِى</w:t>
      </w:r>
      <w:r w:rsidRPr="009B7E33">
        <w:rPr>
          <w:sz w:val="20"/>
          <w:szCs w:val="20"/>
          <w:rtl/>
          <w:lang w:bidi="ar-SA"/>
        </w:rPr>
        <w:t xml:space="preserve"> </w:t>
      </w:r>
      <w:r w:rsidRPr="009B7E33">
        <w:rPr>
          <w:rFonts w:ascii="Arial" w:hAnsi="Arial" w:cs="Arial" w:hint="cs"/>
          <w:sz w:val="20"/>
          <w:szCs w:val="20"/>
          <w:rtl/>
          <w:lang w:bidi="ar-SA"/>
        </w:rPr>
        <w:t>ذَاتِ</w:t>
      </w:r>
      <w:r w:rsidRPr="009B7E33">
        <w:rPr>
          <w:sz w:val="20"/>
          <w:szCs w:val="20"/>
          <w:rtl/>
          <w:lang w:bidi="ar-SA"/>
        </w:rPr>
        <w:t xml:space="preserve"> </w:t>
      </w:r>
      <w:r w:rsidRPr="009B7E33">
        <w:rPr>
          <w:rFonts w:ascii="Arial" w:hAnsi="Arial" w:cs="Arial" w:hint="cs"/>
          <w:sz w:val="20"/>
          <w:szCs w:val="20"/>
          <w:rtl/>
          <w:lang w:bidi="ar-SA"/>
        </w:rPr>
        <w:t>ٱللّٰهِ</w:t>
      </w:r>
      <w:r w:rsidRPr="009B7E33">
        <w:rPr>
          <w:sz w:val="20"/>
          <w:szCs w:val="20"/>
          <w:lang w:bidi="ar-SA"/>
        </w:rPr>
        <w:t xml:space="preserve"> </w:t>
      </w:r>
      <w:r w:rsidRPr="009B7E33">
        <w:rPr>
          <w:sz w:val="20"/>
          <w:szCs w:val="20"/>
        </w:rPr>
        <w:t>is like</w:t>
      </w:r>
      <w:r w:rsidRPr="009B7E33">
        <w:rPr>
          <w:sz w:val="20"/>
          <w:szCs w:val="20"/>
          <w:lang w:bidi="ar-SA"/>
        </w:rPr>
        <w:t xml:space="preserve"> </w:t>
      </w:r>
      <w:r w:rsidRPr="009B7E33">
        <w:rPr>
          <w:rFonts w:ascii="Arial" w:hAnsi="Arial" w:cs="Arial" w:hint="cs"/>
          <w:sz w:val="20"/>
          <w:szCs w:val="20"/>
          <w:rtl/>
          <w:lang w:bidi="ar-SA"/>
        </w:rPr>
        <w:t>فِى</w:t>
      </w:r>
      <w:r w:rsidRPr="009B7E33">
        <w:rPr>
          <w:sz w:val="20"/>
          <w:szCs w:val="20"/>
          <w:rtl/>
          <w:lang w:bidi="ar-SA"/>
        </w:rPr>
        <w:t xml:space="preserve"> </w:t>
      </w:r>
      <w:r w:rsidRPr="009B7E33">
        <w:rPr>
          <w:rFonts w:ascii="Arial" w:hAnsi="Arial" w:cs="Arial" w:hint="cs"/>
          <w:sz w:val="20"/>
          <w:szCs w:val="20"/>
          <w:rtl/>
          <w:lang w:bidi="ar-SA"/>
        </w:rPr>
        <w:t>جَنْبِ</w:t>
      </w:r>
      <w:r w:rsidRPr="009B7E33">
        <w:rPr>
          <w:sz w:val="20"/>
          <w:szCs w:val="20"/>
          <w:rtl/>
          <w:lang w:bidi="ar-SA"/>
        </w:rPr>
        <w:t xml:space="preserve"> </w:t>
      </w:r>
      <w:r w:rsidRPr="009B7E33">
        <w:rPr>
          <w:rFonts w:ascii="Arial" w:hAnsi="Arial" w:cs="Arial" w:hint="cs"/>
          <w:sz w:val="20"/>
          <w:szCs w:val="20"/>
          <w:rtl/>
          <w:lang w:bidi="ar-SA"/>
        </w:rPr>
        <w:t>ٱللّٰهِ</w:t>
      </w:r>
      <w:r w:rsidRPr="009B7E33">
        <w:rPr>
          <w:sz w:val="20"/>
          <w:szCs w:val="20"/>
          <w:lang w:bidi="ar-SA"/>
        </w:rPr>
        <w:t xml:space="preserve"> [</w:t>
      </w:r>
      <w:r w:rsidRPr="009B7E33">
        <w:rPr>
          <w:sz w:val="20"/>
          <w:szCs w:val="20"/>
        </w:rPr>
        <w:t>In, or in respect of, that which is the right, or due, of God; or in, or in respect of, obedience to God, or the means of obtaining nearness to God, or the way of God]: and like</w:t>
      </w:r>
      <w:r w:rsidRPr="009B7E33">
        <w:rPr>
          <w:sz w:val="20"/>
          <w:szCs w:val="20"/>
          <w:lang w:bidi="ar-SA"/>
        </w:rPr>
        <w:t xml:space="preserve"> </w:t>
      </w:r>
      <w:r w:rsidRPr="009B7E33">
        <w:rPr>
          <w:rFonts w:ascii="Arial" w:hAnsi="Arial" w:cs="Arial" w:hint="cs"/>
          <w:sz w:val="20"/>
          <w:szCs w:val="20"/>
          <w:rtl/>
          <w:lang w:bidi="ar-SA"/>
        </w:rPr>
        <w:t>لِوَجْهِ</w:t>
      </w:r>
      <w:r w:rsidRPr="009B7E33">
        <w:rPr>
          <w:sz w:val="20"/>
          <w:szCs w:val="20"/>
          <w:rtl/>
          <w:lang w:bidi="ar-SA"/>
        </w:rPr>
        <w:t xml:space="preserve"> </w:t>
      </w:r>
      <w:r w:rsidRPr="009B7E33">
        <w:rPr>
          <w:rFonts w:ascii="Arial" w:hAnsi="Arial" w:cs="Arial" w:hint="cs"/>
          <w:sz w:val="20"/>
          <w:szCs w:val="20"/>
          <w:rtl/>
          <w:lang w:bidi="ar-SA"/>
        </w:rPr>
        <w:t>ٱللّٰهِ</w:t>
      </w:r>
      <w:r w:rsidRPr="009B7E33">
        <w:rPr>
          <w:sz w:val="20"/>
          <w:szCs w:val="20"/>
          <w:lang w:bidi="ar-SA"/>
        </w:rPr>
        <w:t xml:space="preserve"> [</w:t>
      </w:r>
      <w:r w:rsidRPr="009B7E33">
        <w:rPr>
          <w:sz w:val="20"/>
          <w:szCs w:val="20"/>
        </w:rPr>
        <w:t xml:space="preserve">for the sake of God; or to obtain the countenance, or favour, or approbation, or recompense, of God]: (Msb:) or it means in obedience to God; and in the way of God or his religion: (TA:) [or it may be rendered for the sake of God Himself; and so </w:t>
      </w:r>
      <w:r w:rsidRPr="009B7E33">
        <w:rPr>
          <w:rFonts w:ascii="Arial" w:hAnsi="Arial" w:cs="Arial" w:hint="cs"/>
          <w:sz w:val="20"/>
          <w:szCs w:val="20"/>
          <w:rtl/>
          <w:lang w:bidi="ar-SA"/>
        </w:rPr>
        <w:t>وَجْهِ</w:t>
      </w:r>
      <w:r w:rsidRPr="009B7E33">
        <w:rPr>
          <w:sz w:val="20"/>
          <w:szCs w:val="20"/>
          <w:rtl/>
          <w:lang w:bidi="ar-SA"/>
        </w:rPr>
        <w:t xml:space="preserve"> </w:t>
      </w:r>
      <w:r w:rsidRPr="009B7E33">
        <w:rPr>
          <w:rFonts w:ascii="Arial" w:hAnsi="Arial" w:cs="Arial" w:hint="cs"/>
          <w:sz w:val="20"/>
          <w:szCs w:val="20"/>
          <w:rtl/>
          <w:lang w:bidi="ar-SA"/>
        </w:rPr>
        <w:t>ٱللّٰهِ</w:t>
      </w:r>
      <w:r w:rsidRPr="009B7E33">
        <w:rPr>
          <w:sz w:val="20"/>
          <w:szCs w:val="20"/>
          <w:lang w:bidi="ar-SA"/>
        </w:rPr>
        <w:t xml:space="preserve">: </w:t>
      </w:r>
      <w:r w:rsidRPr="009B7E33">
        <w:rPr>
          <w:sz w:val="20"/>
          <w:szCs w:val="20"/>
        </w:rPr>
        <w:t>it is said to have been used by the Arabs [of the classical age], as well as by Aboo-Temmám, [who was a Muwelled;] (Mgh, Msb, *) but some deny that it occurs in the old language</w:t>
      </w:r>
      <w:r w:rsidRPr="009B7E33">
        <w:rPr>
          <w:sz w:val="20"/>
          <w:szCs w:val="20"/>
          <w:lang w:bidi="ar-SA"/>
        </w:rPr>
        <w:t>. (</w:t>
      </w:r>
      <w:r w:rsidRPr="009B7E33">
        <w:rPr>
          <w:sz w:val="20"/>
          <w:szCs w:val="20"/>
        </w:rPr>
        <w:t>Msb</w:t>
      </w:r>
      <w:r w:rsidRPr="009B7E33">
        <w:rPr>
          <w:sz w:val="20"/>
          <w:szCs w:val="20"/>
          <w:lang w:bidi="ar-SA"/>
        </w:rPr>
        <w:t>. [</w:t>
      </w:r>
      <w:r w:rsidRPr="009B7E33">
        <w:rPr>
          <w:sz w:val="20"/>
          <w:szCs w:val="20"/>
        </w:rPr>
        <w:t>See, however, an ex. from a trad. voce</w:t>
      </w:r>
      <w:r w:rsidRPr="009B7E33">
        <w:rPr>
          <w:sz w:val="20"/>
          <w:szCs w:val="20"/>
          <w:lang w:bidi="ar-SA"/>
        </w:rPr>
        <w:t xml:space="preserve"> </w:t>
      </w:r>
      <w:r w:rsidRPr="009B7E33">
        <w:rPr>
          <w:rFonts w:ascii="Arial" w:hAnsi="Arial" w:cs="Arial" w:hint="cs"/>
          <w:sz w:val="20"/>
          <w:szCs w:val="20"/>
          <w:rtl/>
          <w:lang w:bidi="ar-SA"/>
        </w:rPr>
        <w:t>أُخَيْشِنُ</w:t>
      </w:r>
      <w:r w:rsidRPr="009B7E33">
        <w:rPr>
          <w:sz w:val="20"/>
          <w:szCs w:val="20"/>
          <w:lang w:bidi="ar-SA"/>
        </w:rPr>
        <w:t>.])</w:t>
      </w:r>
      <w:r w:rsidRPr="009B7E33">
        <w:rPr>
          <w:sz w:val="20"/>
          <w:szCs w:val="20"/>
        </w:rPr>
        <w:t xml:space="preserve"> </w:t>
      </w:r>
    </w:p>
    <w:p w14:paraId="0881BFB9" w14:textId="7ED813A0" w:rsidR="00ED3AEF" w:rsidRDefault="00005C63" w:rsidP="00ED3AEF">
      <w:pPr>
        <w:pStyle w:val="FootnoteText"/>
        <w:bidi w:val="0"/>
      </w:pPr>
      <w:r w:rsidRPr="009B7E33">
        <w:rPr>
          <w:sz w:val="20"/>
          <w:szCs w:val="20"/>
        </w:rPr>
        <w:t>but some deny that it occurs in the old language. (Msb. [See, however, an ex. from a trad. voce</w:t>
      </w:r>
      <w:r w:rsidRPr="009B7E33">
        <w:rPr>
          <w:sz w:val="20"/>
          <w:szCs w:val="20"/>
          <w:lang w:bidi="ar-SA"/>
        </w:rPr>
        <w:t xml:space="preserve"> </w:t>
      </w:r>
      <w:r w:rsidRPr="009B7E33">
        <w:rPr>
          <w:rFonts w:ascii="Arial" w:hAnsi="Arial" w:cs="Arial" w:hint="cs"/>
          <w:sz w:val="20"/>
          <w:szCs w:val="20"/>
          <w:rtl/>
          <w:lang w:bidi="ar-SA"/>
        </w:rPr>
        <w:t>أُخَيْشِنُ</w:t>
      </w:r>
      <w:r w:rsidRPr="009B7E33">
        <w:rPr>
          <w:sz w:val="20"/>
          <w:szCs w:val="20"/>
          <w:lang w:bidi="ar-SA"/>
        </w:rPr>
        <w:t xml:space="preserve">.]) </w:t>
      </w:r>
      <w:r w:rsidRPr="009B7E33">
        <w:rPr>
          <w:sz w:val="20"/>
          <w:szCs w:val="20"/>
        </w:rPr>
        <w:t>[It is said that] the phrase</w:t>
      </w:r>
      <w:r w:rsidRPr="009B7E33">
        <w:rPr>
          <w:sz w:val="20"/>
          <w:szCs w:val="20"/>
          <w:lang w:bidi="ar-SA"/>
        </w:rPr>
        <w:t xml:space="preserve"> </w:t>
      </w:r>
      <w:r w:rsidRPr="009B7E33">
        <w:rPr>
          <w:rFonts w:ascii="Arial" w:hAnsi="Arial" w:cs="Arial" w:hint="cs"/>
          <w:sz w:val="20"/>
          <w:szCs w:val="20"/>
          <w:rtl/>
          <w:lang w:bidi="ar-SA"/>
        </w:rPr>
        <w:t>مَجَلَّتُهُمْ</w:t>
      </w:r>
      <w:r w:rsidRPr="009B7E33">
        <w:rPr>
          <w:sz w:val="20"/>
          <w:szCs w:val="20"/>
          <w:rtl/>
          <w:lang w:bidi="ar-SA"/>
        </w:rPr>
        <w:t xml:space="preserve"> </w:t>
      </w:r>
      <w:r w:rsidRPr="009B7E33">
        <w:rPr>
          <w:rFonts w:ascii="Arial" w:hAnsi="Arial" w:cs="Arial" w:hint="cs"/>
          <w:sz w:val="20"/>
          <w:szCs w:val="20"/>
          <w:rtl/>
          <w:lang w:bidi="ar-SA"/>
        </w:rPr>
        <w:t>ذَاتُ</w:t>
      </w:r>
      <w:r w:rsidRPr="009B7E33">
        <w:rPr>
          <w:sz w:val="20"/>
          <w:szCs w:val="20"/>
          <w:rtl/>
          <w:lang w:bidi="ar-SA"/>
        </w:rPr>
        <w:t xml:space="preserve"> </w:t>
      </w:r>
      <w:r w:rsidRPr="009B7E33">
        <w:rPr>
          <w:rFonts w:ascii="Arial" w:hAnsi="Arial" w:cs="Arial" w:hint="cs"/>
          <w:sz w:val="20"/>
          <w:szCs w:val="20"/>
          <w:rtl/>
          <w:lang w:bidi="ar-SA"/>
        </w:rPr>
        <w:t>الإِلٰهِ</w:t>
      </w:r>
      <w:r w:rsidRPr="009B7E33">
        <w:rPr>
          <w:sz w:val="20"/>
          <w:szCs w:val="20"/>
          <w:lang w:bidi="ar-SA"/>
        </w:rPr>
        <w:t xml:space="preserve">, </w:t>
      </w:r>
      <w:r w:rsidRPr="009B7E33">
        <w:rPr>
          <w:sz w:val="20"/>
          <w:szCs w:val="20"/>
        </w:rPr>
        <w:t>used by En-Nábighah, (Msb,) i. e. EdhDhubyánee</w:t>
      </w:r>
      <w:r w:rsidRPr="009B7E33">
        <w:rPr>
          <w:sz w:val="20"/>
          <w:szCs w:val="20"/>
          <w:lang w:bidi="ar-SA"/>
        </w:rPr>
        <w:t>, (</w:t>
      </w:r>
      <w:r w:rsidRPr="009B7E33">
        <w:rPr>
          <w:sz w:val="20"/>
          <w:szCs w:val="20"/>
        </w:rPr>
        <w:t>TA in art</w:t>
      </w:r>
      <w:r w:rsidRPr="009B7E33">
        <w:rPr>
          <w:sz w:val="20"/>
          <w:szCs w:val="20"/>
          <w:lang w:bidi="ar-SA"/>
        </w:rPr>
        <w:t xml:space="preserve">. </w:t>
      </w:r>
      <w:r w:rsidRPr="009B7E33">
        <w:rPr>
          <w:rFonts w:ascii="Arial" w:hAnsi="Arial" w:cs="Arial" w:hint="cs"/>
          <w:sz w:val="20"/>
          <w:szCs w:val="20"/>
          <w:rtl/>
          <w:lang w:bidi="ar-SA"/>
        </w:rPr>
        <w:t>جل</w:t>
      </w:r>
      <w:r w:rsidRPr="009B7E33">
        <w:rPr>
          <w:sz w:val="20"/>
          <w:szCs w:val="20"/>
          <w:lang w:bidi="ar-SA"/>
        </w:rPr>
        <w:t xml:space="preserve">,) </w:t>
      </w:r>
      <w:r w:rsidRPr="009B7E33">
        <w:rPr>
          <w:sz w:val="20"/>
          <w:szCs w:val="20"/>
        </w:rPr>
        <w:t>means Their book is the service of God Himself: (Msb:) [but it seems more reasonable to render this phrase agreeably with the primary signification of</w:t>
      </w:r>
      <w:r w:rsidRPr="009B7E33">
        <w:rPr>
          <w:sz w:val="20"/>
          <w:szCs w:val="20"/>
          <w:lang w:bidi="ar-SA"/>
        </w:rPr>
        <w:t xml:space="preserve"> </w:t>
      </w:r>
      <w:r w:rsidRPr="009B7E33">
        <w:rPr>
          <w:rFonts w:ascii="Arial" w:hAnsi="Arial" w:cs="Arial" w:hint="cs"/>
          <w:sz w:val="20"/>
          <w:szCs w:val="20"/>
          <w:rtl/>
          <w:lang w:bidi="ar-SA"/>
        </w:rPr>
        <w:t>ذات</w:t>
      </w:r>
      <w:r w:rsidRPr="009B7E33">
        <w:rPr>
          <w:sz w:val="20"/>
          <w:szCs w:val="20"/>
          <w:lang w:bidi="ar-SA"/>
        </w:rPr>
        <w:t xml:space="preserve"> </w:t>
      </w:r>
      <w:r w:rsidRPr="009B7E33">
        <w:rPr>
          <w:sz w:val="20"/>
          <w:szCs w:val="20"/>
        </w:rPr>
        <w:t>as meaning their book is that of God, in a sense like that in which a house of worship is said to be a house of God; for</w:t>
      </w:r>
      <w:r w:rsidRPr="009B7E33">
        <w:rPr>
          <w:sz w:val="20"/>
          <w:szCs w:val="20"/>
          <w:lang w:bidi="ar-SA"/>
        </w:rPr>
        <w:t xml:space="preserve">,] </w:t>
      </w:r>
    </w:p>
  </w:footnote>
  <w:footnote w:id="514">
    <w:p w14:paraId="4E2E996C" w14:textId="166C8DE5" w:rsidR="00752CF1" w:rsidRDefault="00752CF1">
      <w:pPr>
        <w:pStyle w:val="FootnoteText"/>
      </w:pPr>
      <w:r>
        <w:rPr>
          <w:rStyle w:val="FootnoteReference"/>
        </w:rPr>
        <w:footnoteRef/>
      </w:r>
      <w:r>
        <w:rPr>
          <w:rtl/>
        </w:rPr>
        <w:t xml:space="preserve"> </w:t>
      </w:r>
      <w:r w:rsidR="00206225">
        <w:rPr>
          <w:rFonts w:hint="cs"/>
          <w:rtl/>
        </w:rPr>
        <w:t xml:space="preserve">כלומר החומר, שהוא חלק מהעצם שהוא צורה וחומר מאוחדים. </w:t>
      </w:r>
    </w:p>
  </w:footnote>
  <w:footnote w:id="515">
    <w:p w14:paraId="20A4799A" w14:textId="3CED2D12" w:rsidR="00495449" w:rsidRDefault="00495449" w:rsidP="00C845CE">
      <w:pPr>
        <w:pStyle w:val="FootnoteText"/>
        <w:rPr>
          <w:rtl/>
        </w:rPr>
      </w:pPr>
      <w:r>
        <w:rPr>
          <w:rStyle w:val="FootnoteReference"/>
        </w:rPr>
        <w:footnoteRef/>
      </w:r>
      <w:r>
        <w:rPr>
          <w:rtl/>
        </w:rPr>
        <w:t xml:space="preserve"> </w:t>
      </w:r>
      <w:r w:rsidR="00B7426D" w:rsidRPr="00C845CE">
        <w:rPr>
          <w:rtl/>
        </w:rPr>
        <w:t xml:space="preserve">המילה שתרגמתי כ"יסודו" היא במקור </w:t>
      </w:r>
      <w:r w:rsidR="00B7426D" w:rsidRPr="00C845CE">
        <w:rPr>
          <w:rFonts w:ascii="Arial" w:hAnsi="Arial" w:cs="Arial" w:hint="cs"/>
          <w:rtl/>
          <w:lang w:bidi="ar-SA"/>
        </w:rPr>
        <w:t>عنصره</w:t>
      </w:r>
      <w:r w:rsidR="00B47957" w:rsidRPr="00C845CE">
        <w:rPr>
          <w:rtl/>
        </w:rPr>
        <w:t>. עיין לעיל 1.3.2 בהערה שם הבאתי מספר ההגדרות של אבן סינא, ש</w:t>
      </w:r>
      <w:r w:rsidR="000418CA" w:rsidRPr="00C845CE">
        <w:rPr>
          <w:rtl/>
        </w:rPr>
        <w:t>ם</w:t>
      </w:r>
      <w:r w:rsidR="00B47957" w:rsidRPr="00C845CE">
        <w:rPr>
          <w:rtl/>
        </w:rPr>
        <w:t xml:space="preserve"> מבואר שאין הכוונה במילה הזו לארבעת היסודות ש</w:t>
      </w:r>
      <w:r w:rsidR="00B70018" w:rsidRPr="00C845CE">
        <w:rPr>
          <w:rtl/>
        </w:rPr>
        <w:t>ה</w:t>
      </w:r>
      <w:r w:rsidR="00B47957" w:rsidRPr="00C845CE">
        <w:rPr>
          <w:rtl/>
        </w:rPr>
        <w:t xml:space="preserve">ם אש רוח מים ועפר, </w:t>
      </w:r>
      <w:r w:rsidR="00B70018" w:rsidRPr="00C845CE">
        <w:rPr>
          <w:rtl/>
        </w:rPr>
        <w:t>אלא הכוונה היא</w:t>
      </w:r>
      <w:r w:rsidR="000418CA" w:rsidRPr="00C845CE">
        <w:rPr>
          <w:rtl/>
        </w:rPr>
        <w:t xml:space="preserve"> למקור הראשון של </w:t>
      </w:r>
      <w:r w:rsidR="002F2D1D" w:rsidRPr="00C845CE">
        <w:rPr>
          <w:rtl/>
        </w:rPr>
        <w:t xml:space="preserve">הדברים, </w:t>
      </w:r>
      <w:r w:rsidR="009A0A7F" w:rsidRPr="00C845CE">
        <w:rPr>
          <w:rtl/>
        </w:rPr>
        <w:t xml:space="preserve">וכן גם </w:t>
      </w:r>
      <w:r w:rsidR="00FD2C7B" w:rsidRPr="00C845CE">
        <w:rPr>
          <w:rtl/>
        </w:rPr>
        <w:t xml:space="preserve">הוא שייך </w:t>
      </w:r>
      <w:r w:rsidR="009A0A7F" w:rsidRPr="00C845CE">
        <w:rPr>
          <w:rtl/>
        </w:rPr>
        <w:t xml:space="preserve">למצע הראשון </w:t>
      </w:r>
      <w:r w:rsidR="00C56667" w:rsidRPr="00C845CE">
        <w:rPr>
          <w:rtl/>
        </w:rPr>
        <w:t>שבהשתנות שלו היסוד מקבל צורות,</w:t>
      </w:r>
      <w:r w:rsidR="004309B5" w:rsidRPr="00C845CE">
        <w:rPr>
          <w:rtl/>
        </w:rPr>
        <w:t xml:space="preserve"> שמהן מתפרטים הדברים</w:t>
      </w:r>
      <w:r w:rsidR="00171B72" w:rsidRPr="00C845CE">
        <w:rPr>
          <w:rtl/>
        </w:rPr>
        <w:t xml:space="preserve">, או באופן מוחלט </w:t>
      </w:r>
      <w:r w:rsidR="00266ABC" w:rsidRPr="00C845CE">
        <w:rPr>
          <w:rtl/>
        </w:rPr>
        <w:t>(</w:t>
      </w:r>
      <w:r w:rsidR="00CB6D1B" w:rsidRPr="00C845CE">
        <w:rPr>
          <w:rtl/>
        </w:rPr>
        <w:t>דהיינו ההיולי</w:t>
      </w:r>
      <w:r w:rsidR="00266ABC" w:rsidRPr="00C845CE">
        <w:rPr>
          <w:rtl/>
        </w:rPr>
        <w:t>)</w:t>
      </w:r>
      <w:r w:rsidR="00CB6D1B" w:rsidRPr="00C845CE">
        <w:rPr>
          <w:rtl/>
        </w:rPr>
        <w:t xml:space="preserve">, או בתנאי </w:t>
      </w:r>
      <w:r w:rsidR="00266ABC" w:rsidRPr="00C845CE">
        <w:rPr>
          <w:rtl/>
        </w:rPr>
        <w:t xml:space="preserve">(דהיינו המצע הראשון של </w:t>
      </w:r>
      <w:r w:rsidR="00CB1D70" w:rsidRPr="00C845CE">
        <w:rPr>
          <w:rtl/>
        </w:rPr>
        <w:t>ה</w:t>
      </w:r>
      <w:r w:rsidR="00266ABC" w:rsidRPr="00C845CE">
        <w:rPr>
          <w:rtl/>
        </w:rPr>
        <w:t xml:space="preserve">גופים </w:t>
      </w:r>
      <w:r w:rsidR="00156721" w:rsidRPr="00C845CE">
        <w:rPr>
          <w:rtl/>
        </w:rPr>
        <w:t>שמ</w:t>
      </w:r>
      <w:r w:rsidR="00CB1D70" w:rsidRPr="00C845CE">
        <w:rPr>
          <w:rtl/>
        </w:rPr>
        <w:t>מנו</w:t>
      </w:r>
      <w:r w:rsidR="00156721" w:rsidRPr="00C845CE">
        <w:rPr>
          <w:rtl/>
        </w:rPr>
        <w:t xml:space="preserve"> מתהווים </w:t>
      </w:r>
      <w:r w:rsidR="00CB1D70" w:rsidRPr="00C845CE">
        <w:rPr>
          <w:rtl/>
        </w:rPr>
        <w:t>שאר ה</w:t>
      </w:r>
      <w:r w:rsidR="009D3880" w:rsidRPr="00C845CE">
        <w:rPr>
          <w:rtl/>
        </w:rPr>
        <w:t xml:space="preserve">גופים על </w:t>
      </w:r>
      <w:r w:rsidR="00E76EAB" w:rsidRPr="00C845CE">
        <w:rPr>
          <w:rtl/>
        </w:rPr>
        <w:t>י</w:t>
      </w:r>
      <w:r w:rsidR="009D3880" w:rsidRPr="00C845CE">
        <w:rPr>
          <w:rtl/>
        </w:rPr>
        <w:t>די שמקבלים את צורתם</w:t>
      </w:r>
      <w:r w:rsidR="00E76EAB" w:rsidRPr="00C845CE">
        <w:rPr>
          <w:rtl/>
        </w:rPr>
        <w:t xml:space="preserve"> [נ.ש.: וכגון העץ ביחס למיטה])</w:t>
      </w:r>
      <w:r w:rsidR="00B1593B">
        <w:rPr>
          <w:rFonts w:hint="cs"/>
          <w:rtl/>
        </w:rPr>
        <w:t xml:space="preserve">. בלקסיקון </w:t>
      </w:r>
      <w:r w:rsidR="00B1593B">
        <w:t>Lane</w:t>
      </w:r>
      <w:r w:rsidR="00B1593B">
        <w:rPr>
          <w:rFonts w:hint="cs"/>
          <w:rtl/>
        </w:rPr>
        <w:t xml:space="preserve"> </w:t>
      </w:r>
      <w:r w:rsidR="00E34428">
        <w:rPr>
          <w:rFonts w:hint="cs"/>
          <w:rtl/>
        </w:rPr>
        <w:t>כתב שגם עץ יוחסין של משפחה נקרא באותה מילה. וכנראה כי הוא מציין את המקור הראשון של האדם.</w:t>
      </w:r>
      <w:r w:rsidR="000409A6">
        <w:rPr>
          <w:rFonts w:hint="cs"/>
          <w:rtl/>
        </w:rPr>
        <w:t xml:space="preserve"> אפשר שהכוונה כאן היא שההיולי הוא ה</w:t>
      </w:r>
      <w:r w:rsidR="00282A3A">
        <w:rPr>
          <w:rFonts w:hint="cs"/>
          <w:rtl/>
        </w:rPr>
        <w:t>"</w:t>
      </w:r>
      <w:r w:rsidR="000409A6">
        <w:rPr>
          <w:rFonts w:hint="cs"/>
          <w:rtl/>
        </w:rPr>
        <w:t>תוהו</w:t>
      </w:r>
      <w:r w:rsidR="00282A3A">
        <w:rPr>
          <w:rFonts w:hint="cs"/>
          <w:rtl/>
        </w:rPr>
        <w:t>"</w:t>
      </w:r>
      <w:r w:rsidR="000409A6">
        <w:rPr>
          <w:rFonts w:hint="cs"/>
          <w:rtl/>
        </w:rPr>
        <w:t xml:space="preserve">, </w:t>
      </w:r>
      <w:r w:rsidR="00282A3A">
        <w:rPr>
          <w:rFonts w:hint="cs"/>
          <w:rtl/>
        </w:rPr>
        <w:t>דהיינו ספירת חכמה, והיסוד שמדובר בו כאן הוא ספירת בינה, ה"בוהו", עיין לעיל מה שביארתי בזה</w:t>
      </w:r>
      <w:r w:rsidR="007829A2">
        <w:rPr>
          <w:rFonts w:hint="cs"/>
          <w:rtl/>
        </w:rPr>
        <w:t xml:space="preserve"> (המקומות נמצאים באינדקס)</w:t>
      </w:r>
      <w:r w:rsidR="00282A3A">
        <w:rPr>
          <w:rFonts w:hint="cs"/>
          <w:rtl/>
        </w:rPr>
        <w:t xml:space="preserve">. </w:t>
      </w:r>
    </w:p>
    <w:p w14:paraId="2C4DB47F" w14:textId="4BA1BFC1" w:rsidR="004D5EFF" w:rsidRDefault="004D5EFF" w:rsidP="00C845CE">
      <w:pPr>
        <w:pStyle w:val="FootnoteText"/>
      </w:pPr>
      <w:r>
        <w:rPr>
          <w:rFonts w:hint="cs"/>
          <w:rtl/>
        </w:rPr>
        <w:t>הדע</w:t>
      </w:r>
      <w:r w:rsidR="00927E8C">
        <w:rPr>
          <w:rFonts w:hint="cs"/>
          <w:rtl/>
        </w:rPr>
        <w:t>ות</w:t>
      </w:r>
      <w:r>
        <w:rPr>
          <w:rFonts w:hint="cs"/>
          <w:rtl/>
        </w:rPr>
        <w:t xml:space="preserve"> שמובא</w:t>
      </w:r>
      <w:r w:rsidR="00927E8C">
        <w:rPr>
          <w:rFonts w:hint="cs"/>
          <w:rtl/>
        </w:rPr>
        <w:t>ו</w:t>
      </w:r>
      <w:r>
        <w:rPr>
          <w:rFonts w:hint="cs"/>
          <w:rtl/>
        </w:rPr>
        <w:t>ת כאן מבואר</w:t>
      </w:r>
      <w:r w:rsidR="00927E8C">
        <w:rPr>
          <w:rFonts w:hint="cs"/>
          <w:rtl/>
        </w:rPr>
        <w:t>ו</w:t>
      </w:r>
      <w:r>
        <w:rPr>
          <w:rFonts w:hint="cs"/>
          <w:rtl/>
        </w:rPr>
        <w:t>ת בדברי אריסטו בפיזיקה ב' א' שהעתקתי לעיל בס</w:t>
      </w:r>
      <w:r w:rsidR="0014419A">
        <w:rPr>
          <w:rFonts w:hint="cs"/>
          <w:rtl/>
        </w:rPr>
        <w:t>עיף זה</w:t>
      </w:r>
      <w:r w:rsidR="00D457FC">
        <w:rPr>
          <w:rFonts w:hint="cs"/>
          <w:rtl/>
        </w:rPr>
        <w:t xml:space="preserve">. </w:t>
      </w:r>
    </w:p>
  </w:footnote>
  <w:footnote w:id="516">
    <w:p w14:paraId="6BCCC5A3" w14:textId="690652BB" w:rsidR="00860048" w:rsidRDefault="00EA1A45">
      <w:pPr>
        <w:pStyle w:val="FootnoteText"/>
        <w:rPr>
          <w:rtl/>
        </w:rPr>
      </w:pPr>
      <w:r>
        <w:rPr>
          <w:rStyle w:val="FootnoteReference"/>
        </w:rPr>
        <w:footnoteRef/>
      </w:r>
      <w:r>
        <w:rPr>
          <w:rtl/>
        </w:rPr>
        <w:t xml:space="preserve"> </w:t>
      </w:r>
      <w:r w:rsidR="001C0815">
        <w:rPr>
          <w:rFonts w:hint="cs"/>
          <w:rtl/>
        </w:rPr>
        <w:t xml:space="preserve">המילה "יותר" אינה </w:t>
      </w:r>
      <w:r w:rsidR="00F54356">
        <w:rPr>
          <w:rFonts w:hint="cs"/>
          <w:rtl/>
        </w:rPr>
        <w:t>מוכרחת כאן לפי</w:t>
      </w:r>
      <w:r w:rsidR="001C0815">
        <w:rPr>
          <w:rFonts w:hint="cs"/>
          <w:rtl/>
        </w:rPr>
        <w:t xml:space="preserve"> לשון המקור. השאלה האם בעל דעה זו דוחה מכל וכל את הדעה הקודמת, או שהוא לא שולל אותה אבל </w:t>
      </w:r>
      <w:r w:rsidR="00F54356">
        <w:rPr>
          <w:rFonts w:hint="cs"/>
          <w:rtl/>
        </w:rPr>
        <w:t xml:space="preserve">נותן משקל רב יותר להסתכלות שהצורה היא הטבע. לפי אריסטו משמע שאין כאן מחלוקת </w:t>
      </w:r>
      <w:r w:rsidR="00B5032C">
        <w:rPr>
          <w:rFonts w:hint="cs"/>
          <w:rtl/>
        </w:rPr>
        <w:t>ששוללת לגמרי את הצד השני, ולכן בחרתי בקריאה שהצורה ראויה 'יותר'</w:t>
      </w:r>
      <w:r w:rsidR="00701194">
        <w:rPr>
          <w:rFonts w:hint="cs"/>
          <w:rtl/>
        </w:rPr>
        <w:t xml:space="preserve"> </w:t>
      </w:r>
      <w:r w:rsidR="00701194" w:rsidRPr="00701194">
        <w:rPr>
          <w:rtl/>
        </w:rPr>
        <w:t>(וכך גם בתרגום מקגיניס)</w:t>
      </w:r>
      <w:r w:rsidR="00B5032C">
        <w:rPr>
          <w:rFonts w:hint="cs"/>
          <w:rtl/>
        </w:rPr>
        <w:t xml:space="preserve">. </w:t>
      </w:r>
      <w:r w:rsidR="00860048">
        <w:rPr>
          <w:rFonts w:hint="cs"/>
          <w:rtl/>
        </w:rPr>
        <w:t>לשון המקור:</w:t>
      </w:r>
    </w:p>
    <w:p w14:paraId="6E0B8F9D" w14:textId="1064A400" w:rsidR="00EA1A45" w:rsidRDefault="00860048">
      <w:pPr>
        <w:pStyle w:val="FootnoteText"/>
      </w:pPr>
      <w:r>
        <w:rPr>
          <w:rFonts w:hint="cs"/>
          <w:rtl/>
        </w:rPr>
        <w:t>"</w:t>
      </w:r>
      <w:r w:rsidRPr="00860048">
        <w:rPr>
          <w:rFonts w:cs="Times New Roman" w:hint="eastAsia"/>
          <w:rtl/>
          <w:lang w:bidi="ar-SA"/>
        </w:rPr>
        <w:t>و</w:t>
      </w:r>
      <w:r w:rsidRPr="00860048">
        <w:rPr>
          <w:rFonts w:cs="Times New Roman"/>
          <w:rtl/>
          <w:lang w:bidi="ar-SA"/>
        </w:rPr>
        <w:t xml:space="preserve"> </w:t>
      </w:r>
      <w:r w:rsidRPr="00860048">
        <w:rPr>
          <w:rFonts w:cs="Times New Roman" w:hint="eastAsia"/>
          <w:rtl/>
          <w:lang w:bidi="ar-SA"/>
        </w:rPr>
        <w:t>من</w:t>
      </w:r>
      <w:r w:rsidRPr="00860048">
        <w:rPr>
          <w:rFonts w:cs="Times New Roman"/>
          <w:rtl/>
          <w:lang w:bidi="ar-SA"/>
        </w:rPr>
        <w:t xml:space="preserve"> </w:t>
      </w:r>
      <w:r w:rsidRPr="00860048">
        <w:rPr>
          <w:rFonts w:cs="Times New Roman" w:hint="eastAsia"/>
          <w:rtl/>
          <w:lang w:bidi="ar-SA"/>
        </w:rPr>
        <w:t>رأى</w:t>
      </w:r>
      <w:r w:rsidRPr="00860048">
        <w:rPr>
          <w:rFonts w:cs="Times New Roman"/>
          <w:rtl/>
          <w:lang w:bidi="ar-SA"/>
        </w:rPr>
        <w:t xml:space="preserve"> </w:t>
      </w:r>
      <w:r w:rsidRPr="00860048">
        <w:rPr>
          <w:rFonts w:cs="Times New Roman" w:hint="eastAsia"/>
          <w:rtl/>
          <w:lang w:bidi="ar-SA"/>
        </w:rPr>
        <w:t>أن</w:t>
      </w:r>
      <w:r w:rsidRPr="00860048">
        <w:rPr>
          <w:rFonts w:cs="Times New Roman"/>
          <w:rtl/>
          <w:lang w:bidi="ar-SA"/>
        </w:rPr>
        <w:t xml:space="preserve"> </w:t>
      </w:r>
      <w:r w:rsidRPr="00860048">
        <w:rPr>
          <w:rFonts w:cs="Times New Roman" w:hint="eastAsia"/>
          <w:rtl/>
          <w:lang w:bidi="ar-SA"/>
        </w:rPr>
        <w:t>يجعل</w:t>
      </w:r>
      <w:r w:rsidRPr="00860048">
        <w:rPr>
          <w:rFonts w:cs="Times New Roman"/>
          <w:rtl/>
          <w:lang w:bidi="ar-SA"/>
        </w:rPr>
        <w:t xml:space="preserve"> </w:t>
      </w:r>
      <w:r w:rsidRPr="00860048">
        <w:rPr>
          <w:rFonts w:cs="Times New Roman" w:hint="eastAsia"/>
          <w:rtl/>
          <w:lang w:bidi="ar-SA"/>
        </w:rPr>
        <w:t>الصورة</w:t>
      </w:r>
      <w:r w:rsidRPr="00860048">
        <w:rPr>
          <w:rFonts w:cs="Times New Roman"/>
          <w:rtl/>
          <w:lang w:bidi="ar-SA"/>
        </w:rPr>
        <w:t xml:space="preserve"> </w:t>
      </w:r>
      <w:r w:rsidRPr="00860048">
        <w:rPr>
          <w:rFonts w:cs="Times New Roman" w:hint="eastAsia"/>
          <w:rtl/>
          <w:lang w:bidi="ar-SA"/>
        </w:rPr>
        <w:t>أحرى</w:t>
      </w:r>
      <w:r w:rsidRPr="00860048">
        <w:rPr>
          <w:rFonts w:cs="Times New Roman"/>
          <w:rtl/>
          <w:lang w:bidi="ar-SA"/>
        </w:rPr>
        <w:t xml:space="preserve"> </w:t>
      </w:r>
      <w:r w:rsidRPr="00860048">
        <w:rPr>
          <w:rFonts w:cs="Times New Roman" w:hint="eastAsia"/>
          <w:rtl/>
          <w:lang w:bidi="ar-SA"/>
        </w:rPr>
        <w:t>بذلك</w:t>
      </w:r>
      <w:r>
        <w:rPr>
          <w:rFonts w:hint="cs"/>
          <w:rtl/>
        </w:rPr>
        <w:t>"</w:t>
      </w:r>
      <w:r w:rsidR="001C0815">
        <w:rPr>
          <w:rFonts w:hint="cs"/>
          <w:rtl/>
        </w:rPr>
        <w:t xml:space="preserve"> </w:t>
      </w:r>
    </w:p>
  </w:footnote>
  <w:footnote w:id="517">
    <w:p w14:paraId="76B4DD5A" w14:textId="4CE983AD" w:rsidR="005B1EB4" w:rsidRDefault="00AA5A50">
      <w:pPr>
        <w:pStyle w:val="FootnoteText"/>
        <w:rPr>
          <w:rtl/>
        </w:rPr>
      </w:pPr>
      <w:r>
        <w:rPr>
          <w:rStyle w:val="FootnoteReference"/>
        </w:rPr>
        <w:footnoteRef/>
      </w:r>
      <w:r>
        <w:rPr>
          <w:rtl/>
        </w:rPr>
        <w:t xml:space="preserve"> </w:t>
      </w:r>
      <w:r>
        <w:rPr>
          <w:rFonts w:hint="cs"/>
          <w:rtl/>
        </w:rPr>
        <w:t xml:space="preserve">מקגיניס לא מצא מי הם חוקרים אלה, </w:t>
      </w:r>
      <w:r w:rsidR="00505697">
        <w:rPr>
          <w:rFonts w:hint="cs"/>
          <w:rtl/>
        </w:rPr>
        <w:t>ושיער שהם שייכים לכת המדברים ש</w:t>
      </w:r>
      <w:r w:rsidR="005A4738">
        <w:rPr>
          <w:rFonts w:hint="cs"/>
          <w:rtl/>
        </w:rPr>
        <w:t>ה</w:t>
      </w:r>
      <w:r w:rsidR="00E668B4">
        <w:rPr>
          <w:rFonts w:hint="cs"/>
          <w:rtl/>
        </w:rPr>
        <w:t>פריך דבריהם בחריפות</w:t>
      </w:r>
      <w:r w:rsidR="005A4738">
        <w:rPr>
          <w:rFonts w:hint="cs"/>
          <w:rtl/>
        </w:rPr>
        <w:t xml:space="preserve"> במורה נבוכים א' ע"א והלאה (מלבד פרק ע"ב)</w:t>
      </w:r>
      <w:r w:rsidR="00505697">
        <w:rPr>
          <w:rFonts w:hint="cs"/>
          <w:rtl/>
        </w:rPr>
        <w:t xml:space="preserve">, </w:t>
      </w:r>
      <w:r w:rsidR="005A4738">
        <w:rPr>
          <w:rFonts w:hint="cs"/>
          <w:rtl/>
        </w:rPr>
        <w:t xml:space="preserve">הנקראים בערבית </w:t>
      </w:r>
      <w:r w:rsidR="00505697">
        <w:rPr>
          <w:rFonts w:hint="cs"/>
          <w:rtl/>
        </w:rPr>
        <w:t>הכל</w:t>
      </w:r>
      <w:r w:rsidR="005A4738">
        <w:rPr>
          <w:rFonts w:hint="cs"/>
          <w:rtl/>
        </w:rPr>
        <w:t>א</w:t>
      </w:r>
      <w:r w:rsidR="00505697">
        <w:rPr>
          <w:rFonts w:hint="cs"/>
          <w:rtl/>
        </w:rPr>
        <w:t xml:space="preserve">ם או </w:t>
      </w:r>
      <w:r w:rsidR="00505697">
        <w:rPr>
          <w:rFonts w:hint="cs"/>
          <w:rtl/>
        </w:rPr>
        <w:t>המותכלימון</w:t>
      </w:r>
      <w:r w:rsidR="005A4738">
        <w:rPr>
          <w:rFonts w:hint="cs"/>
          <w:rtl/>
        </w:rPr>
        <w:t xml:space="preserve">, וגם אבן סינא </w:t>
      </w:r>
      <w:r w:rsidR="00172DFA">
        <w:rPr>
          <w:rFonts w:hint="cs"/>
          <w:rtl/>
        </w:rPr>
        <w:t xml:space="preserve">הפריך באריכות </w:t>
      </w:r>
      <w:r w:rsidR="004A28BB">
        <w:rPr>
          <w:rFonts w:hint="cs"/>
          <w:rtl/>
        </w:rPr>
        <w:t xml:space="preserve">וחריפות </w:t>
      </w:r>
      <w:r w:rsidR="00172DFA">
        <w:rPr>
          <w:rFonts w:hint="cs"/>
          <w:rtl/>
        </w:rPr>
        <w:t>את דעותיהם</w:t>
      </w:r>
      <w:r w:rsidR="00B03ECF">
        <w:rPr>
          <w:rFonts w:hint="cs"/>
          <w:rtl/>
        </w:rPr>
        <w:t xml:space="preserve"> (וליתר דיוק </w:t>
      </w:r>
      <w:r w:rsidR="004A28BB">
        <w:rPr>
          <w:rFonts w:hint="cs"/>
          <w:rtl/>
        </w:rPr>
        <w:t>מדובר לפי מקגיניס ב</w:t>
      </w:r>
      <w:r w:rsidR="00B03ECF">
        <w:rPr>
          <w:rFonts w:hint="cs"/>
          <w:rtl/>
        </w:rPr>
        <w:t>זרם</w:t>
      </w:r>
      <w:r w:rsidR="00E23D00">
        <w:rPr>
          <w:rFonts w:hint="cs"/>
          <w:rtl/>
        </w:rPr>
        <w:t xml:space="preserve"> בכלאם</w:t>
      </w:r>
      <w:r w:rsidR="00B03ECF">
        <w:rPr>
          <w:rFonts w:hint="cs"/>
          <w:rtl/>
        </w:rPr>
        <w:t xml:space="preserve"> המכונה מותעזילה</w:t>
      </w:r>
      <w:r w:rsidR="004A28BB">
        <w:rPr>
          <w:rFonts w:hint="cs"/>
          <w:rtl/>
        </w:rPr>
        <w:t>, ומוזכר במורה נבוכים</w:t>
      </w:r>
      <w:r w:rsidR="00E23D00">
        <w:rPr>
          <w:rFonts w:hint="cs"/>
          <w:rtl/>
        </w:rPr>
        <w:t>)</w:t>
      </w:r>
      <w:r w:rsidR="00172DFA">
        <w:rPr>
          <w:rFonts w:hint="cs"/>
          <w:rtl/>
        </w:rPr>
        <w:t xml:space="preserve">. אמנם אין קשר בין </w:t>
      </w:r>
      <w:r w:rsidR="00D56A9F">
        <w:rPr>
          <w:rFonts w:hint="cs"/>
          <w:rtl/>
        </w:rPr>
        <w:t xml:space="preserve">תוכן </w:t>
      </w:r>
      <w:r w:rsidR="00172DFA">
        <w:rPr>
          <w:rFonts w:hint="cs"/>
          <w:rtl/>
        </w:rPr>
        <w:t>דעה זו לדעות כת המדברים</w:t>
      </w:r>
      <w:r w:rsidR="00477FB7">
        <w:rPr>
          <w:rFonts w:hint="cs"/>
          <w:rtl/>
        </w:rPr>
        <w:t xml:space="preserve"> בכל זרמיהם</w:t>
      </w:r>
      <w:r w:rsidR="00172DFA">
        <w:rPr>
          <w:rFonts w:hint="cs"/>
          <w:rtl/>
        </w:rPr>
        <w:t>, ו</w:t>
      </w:r>
      <w:r w:rsidR="00EB6195">
        <w:rPr>
          <w:rFonts w:hint="cs"/>
          <w:rtl/>
        </w:rPr>
        <w:t xml:space="preserve">אצל אבן סינא </w:t>
      </w:r>
      <w:r w:rsidR="00172DFA">
        <w:rPr>
          <w:rFonts w:hint="cs"/>
          <w:rtl/>
        </w:rPr>
        <w:t>ה</w:t>
      </w:r>
      <w:r w:rsidR="00D56A9F">
        <w:rPr>
          <w:rFonts w:hint="cs"/>
          <w:rtl/>
        </w:rPr>
        <w:t>מדברי</w:t>
      </w:r>
      <w:r w:rsidR="00172DFA">
        <w:rPr>
          <w:rFonts w:hint="cs"/>
          <w:rtl/>
        </w:rPr>
        <w:t>ם לא נקראים בכי</w:t>
      </w:r>
      <w:r w:rsidR="00A204D1">
        <w:rPr>
          <w:rFonts w:hint="cs"/>
          <w:rtl/>
        </w:rPr>
        <w:t xml:space="preserve">נוי </w:t>
      </w:r>
      <w:r w:rsidR="00B6597D">
        <w:rPr>
          <w:rFonts w:hint="cs"/>
          <w:rtl/>
        </w:rPr>
        <w:t xml:space="preserve">הכללי </w:t>
      </w:r>
      <w:r w:rsidR="00A204D1">
        <w:rPr>
          <w:rFonts w:hint="cs"/>
          <w:rtl/>
        </w:rPr>
        <w:t>ש</w:t>
      </w:r>
      <w:r w:rsidR="00B6597D">
        <w:rPr>
          <w:rFonts w:hint="cs"/>
          <w:rtl/>
        </w:rPr>
        <w:t xml:space="preserve">הוא </w:t>
      </w:r>
      <w:r w:rsidR="00A204D1">
        <w:rPr>
          <w:rFonts w:hint="cs"/>
          <w:rtl/>
        </w:rPr>
        <w:t xml:space="preserve">משתמש בו כאן. </w:t>
      </w:r>
      <w:r w:rsidR="00690E26">
        <w:rPr>
          <w:rFonts w:hint="cs"/>
          <w:rtl/>
        </w:rPr>
        <w:t xml:space="preserve">גם אבן סינא אינו חוקר אקדמי, הוא </w:t>
      </w:r>
      <w:r w:rsidR="00E668B4">
        <w:rPr>
          <w:rFonts w:hint="cs"/>
          <w:rtl/>
        </w:rPr>
        <w:t>לא</w:t>
      </w:r>
      <w:r w:rsidR="00690E26">
        <w:rPr>
          <w:rFonts w:hint="cs"/>
          <w:rtl/>
        </w:rPr>
        <w:t xml:space="preserve"> מביא דעות שגויות רק כדי ללקט את הדעות </w:t>
      </w:r>
      <w:r w:rsidR="00132B05">
        <w:rPr>
          <w:rFonts w:hint="cs"/>
          <w:rtl/>
        </w:rPr>
        <w:t>וללמד שהיו קיימות דעות כאלה</w:t>
      </w:r>
      <w:r w:rsidR="00291B78">
        <w:rPr>
          <w:rFonts w:hint="cs"/>
          <w:rtl/>
        </w:rPr>
        <w:t xml:space="preserve"> (ולא אכפת לו אם יש להן חשיבות בתולדות הפילוסופיה או הדת או החברה</w:t>
      </w:r>
      <w:r w:rsidR="00546BC9">
        <w:rPr>
          <w:rFonts w:hint="cs"/>
          <w:rtl/>
        </w:rPr>
        <w:t>)</w:t>
      </w:r>
      <w:r w:rsidR="00B6597D">
        <w:rPr>
          <w:rFonts w:hint="cs"/>
          <w:rtl/>
        </w:rPr>
        <w:t xml:space="preserve">, אלא כל מה שהוא מביא הוא </w:t>
      </w:r>
      <w:r w:rsidR="00546BC9">
        <w:rPr>
          <w:rFonts w:hint="cs"/>
          <w:rtl/>
        </w:rPr>
        <w:t xml:space="preserve">רק </w:t>
      </w:r>
      <w:r w:rsidR="00B6597D">
        <w:rPr>
          <w:rFonts w:hint="cs"/>
          <w:rtl/>
        </w:rPr>
        <w:t xml:space="preserve">כדי ללמוד את האמת, </w:t>
      </w:r>
      <w:r w:rsidR="00546BC9">
        <w:rPr>
          <w:rFonts w:hint="cs"/>
          <w:rtl/>
        </w:rPr>
        <w:t xml:space="preserve">לדבק את עצמו בבורא שהוא האמת, </w:t>
      </w:r>
      <w:r w:rsidR="00B6597D">
        <w:rPr>
          <w:rFonts w:hint="cs"/>
          <w:rtl/>
        </w:rPr>
        <w:t xml:space="preserve">ומה שמביא את דברי </w:t>
      </w:r>
      <w:r w:rsidR="00132B05">
        <w:rPr>
          <w:rFonts w:hint="cs"/>
          <w:rtl/>
        </w:rPr>
        <w:t xml:space="preserve">כת </w:t>
      </w:r>
      <w:r w:rsidR="00B6597D">
        <w:rPr>
          <w:rFonts w:hint="cs"/>
          <w:rtl/>
        </w:rPr>
        <w:t>המדברים יש בזה כדי ללמד על דעת הפילוסופים וכמו שהארכתי במקום אחר</w:t>
      </w:r>
      <w:r w:rsidR="006A3605">
        <w:rPr>
          <w:rFonts w:hint="cs"/>
          <w:rtl/>
        </w:rPr>
        <w:t>, ואין הבנה למה הביא כאן דעה כזו</w:t>
      </w:r>
      <w:r w:rsidR="00690E26">
        <w:rPr>
          <w:rFonts w:hint="cs"/>
          <w:rtl/>
        </w:rPr>
        <w:t xml:space="preserve">. </w:t>
      </w:r>
    </w:p>
    <w:p w14:paraId="5B6E70B9" w14:textId="52F8084F" w:rsidR="00AA5A50" w:rsidRDefault="00E73E85">
      <w:pPr>
        <w:pStyle w:val="FootnoteText"/>
        <w:rPr>
          <w:rtl/>
        </w:rPr>
      </w:pPr>
      <w:r>
        <w:rPr>
          <w:rFonts w:hint="cs"/>
          <w:rtl/>
        </w:rPr>
        <w:t>אלא כוונת אבן סינא לדעה שהביא אריסטו בפיזיקה ב' א', עיין לשונו שהעתקתי לעיל בסעיף זה בקטע האחרון שמתחיל במילים "</w:t>
      </w:r>
      <w:r w:rsidR="00A95C31" w:rsidRPr="00A95C31">
        <w:rPr>
          <w:rtl/>
        </w:rPr>
        <w:t>ועוד, הטבע במובן התהוות הוא דרך אל טבע</w:t>
      </w:r>
      <w:r w:rsidR="00B33044">
        <w:rPr>
          <w:rFonts w:hint="cs"/>
          <w:rtl/>
        </w:rPr>
        <w:t xml:space="preserve"> וכו'" (התרגום של פרופ' י. לנדא בקטע זה אינו </w:t>
      </w:r>
      <w:r w:rsidR="009C463A">
        <w:rPr>
          <w:rFonts w:hint="cs"/>
          <w:rtl/>
        </w:rPr>
        <w:t>מדויק</w:t>
      </w:r>
      <w:r w:rsidR="00B33044">
        <w:rPr>
          <w:rFonts w:hint="cs"/>
          <w:rtl/>
        </w:rPr>
        <w:t xml:space="preserve"> וקשה להבין ממנו את התוכן)</w:t>
      </w:r>
    </w:p>
    <w:p w14:paraId="55C7C7C8" w14:textId="139CC3BA" w:rsidR="00FD6BE2" w:rsidRDefault="0069727D">
      <w:pPr>
        <w:pStyle w:val="FootnoteText"/>
        <w:rPr>
          <w:rtl/>
        </w:rPr>
      </w:pPr>
      <w:r>
        <w:rPr>
          <w:rFonts w:hint="cs"/>
          <w:rtl/>
        </w:rPr>
        <w:t>בפיזיקה תחילת ספר ג' אריסטו כתב את ההגדרה המדוייקת של 'תנועה', שהיא התהליך של יציאה מהבכח אל הבפועל</w:t>
      </w:r>
      <w:r w:rsidR="00794B86">
        <w:rPr>
          <w:rFonts w:hint="cs"/>
          <w:rtl/>
        </w:rPr>
        <w:t>. מבואר שם מדבריו</w:t>
      </w:r>
      <w:r>
        <w:rPr>
          <w:rFonts w:hint="cs"/>
          <w:rtl/>
        </w:rPr>
        <w:t xml:space="preserve"> </w:t>
      </w:r>
      <w:r w:rsidR="00794B86">
        <w:rPr>
          <w:rFonts w:hint="cs"/>
          <w:rtl/>
        </w:rPr>
        <w:t xml:space="preserve">שמדובר בתהליך במובן המופשט. כלומר אנו לא מסתכלים כלל על הגוף שהוא זה שיוצא מהכח אל הפועל, לא על חומרו ולא על צורתו ולא על ההתאחדות בין חומרו לצורתו, אלא על התהליך של היציאה </w:t>
      </w:r>
      <w:r w:rsidR="00F32194">
        <w:rPr>
          <w:rFonts w:hint="cs"/>
          <w:rtl/>
        </w:rPr>
        <w:t xml:space="preserve">מהכח אל הפועל </w:t>
      </w:r>
      <w:r w:rsidR="00794B86">
        <w:rPr>
          <w:rFonts w:hint="cs"/>
          <w:rtl/>
        </w:rPr>
        <w:t>כשלעצמו כמושג מופשט</w:t>
      </w:r>
      <w:r w:rsidR="00F32194">
        <w:rPr>
          <w:rFonts w:hint="cs"/>
          <w:rtl/>
        </w:rPr>
        <w:t xml:space="preserve"> מגוף כלשהו</w:t>
      </w:r>
      <w:r w:rsidR="00794B86">
        <w:rPr>
          <w:rFonts w:hint="cs"/>
          <w:rtl/>
        </w:rPr>
        <w:t>.</w:t>
      </w:r>
    </w:p>
    <w:p w14:paraId="7303B7DD" w14:textId="2637B735" w:rsidR="0069727D" w:rsidRDefault="00FD6BE2">
      <w:pPr>
        <w:pStyle w:val="FootnoteText"/>
      </w:pPr>
      <w:r>
        <w:rPr>
          <w:rFonts w:hint="cs"/>
          <w:rtl/>
        </w:rPr>
        <w:t>התהליך הזה הוא התנועה</w:t>
      </w:r>
      <w:r w:rsidR="005B1EB4">
        <w:rPr>
          <w:rFonts w:hint="cs"/>
          <w:rtl/>
        </w:rPr>
        <w:t xml:space="preserve"> המופשטת, כשלעצמה, לפני שהיא</w:t>
      </w:r>
      <w:r w:rsidR="00D216D4">
        <w:rPr>
          <w:rFonts w:hint="cs"/>
          <w:rtl/>
        </w:rPr>
        <w:t xml:space="preserve"> </w:t>
      </w:r>
      <w:r w:rsidR="005B1EB4">
        <w:rPr>
          <w:rFonts w:hint="cs"/>
          <w:rtl/>
        </w:rPr>
        <w:t>תנועה של משהו מוגדר שהוא זה שנע</w:t>
      </w:r>
      <w:r>
        <w:rPr>
          <w:rFonts w:hint="cs"/>
          <w:rtl/>
        </w:rPr>
        <w:t xml:space="preserve">, והוא גם ההתחלה של </w:t>
      </w:r>
      <w:r w:rsidR="009C463A">
        <w:rPr>
          <w:rFonts w:hint="cs"/>
          <w:rtl/>
        </w:rPr>
        <w:t>ההוויה</w:t>
      </w:r>
      <w:r>
        <w:rPr>
          <w:rFonts w:hint="cs"/>
          <w:rtl/>
        </w:rPr>
        <w:t xml:space="preserve"> עצמה. </w:t>
      </w:r>
      <w:r w:rsidR="00407999">
        <w:rPr>
          <w:rFonts w:hint="cs"/>
          <w:rtl/>
        </w:rPr>
        <w:t xml:space="preserve">'בכח' לחוד הוא רק אפשרות שיהיה 'יש', והיא עדיין לא התממשה וה'בכח' אינו מאומה מצד מה שיש. </w:t>
      </w:r>
      <w:r w:rsidR="00B7546E">
        <w:rPr>
          <w:rFonts w:hint="cs"/>
          <w:rtl/>
        </w:rPr>
        <w:t xml:space="preserve">הבפועל לחוד לא יכול </w:t>
      </w:r>
      <w:r w:rsidR="00976716">
        <w:rPr>
          <w:rFonts w:hint="cs"/>
          <w:rtl/>
        </w:rPr>
        <w:t>ל</w:t>
      </w:r>
      <w:r w:rsidR="00B7546E">
        <w:rPr>
          <w:rFonts w:hint="cs"/>
          <w:rtl/>
        </w:rPr>
        <w:t>ה</w:t>
      </w:r>
      <w:r w:rsidR="00976716">
        <w:rPr>
          <w:rFonts w:hint="cs"/>
          <w:rtl/>
        </w:rPr>
        <w:t>יות ב</w:t>
      </w:r>
      <w:r w:rsidR="00B7546E">
        <w:rPr>
          <w:rFonts w:hint="cs"/>
          <w:rtl/>
        </w:rPr>
        <w:t xml:space="preserve">פועל בלי שהיה מקודם בכח, כלומר שום הווייה לא יכולה להיות הווה בלי שקדמה האפשרות שהיא תהיה הווה. </w:t>
      </w:r>
      <w:r w:rsidR="00976716">
        <w:rPr>
          <w:rFonts w:hint="cs"/>
          <w:rtl/>
        </w:rPr>
        <w:t xml:space="preserve">הדברים לא נבראים יש מאין ברצון חופשי של הבורא שהוא מעל השכל, והוא התחדשות גמורה ואמיתית. </w:t>
      </w:r>
      <w:r w:rsidR="001961AC">
        <w:rPr>
          <w:rFonts w:hint="cs"/>
          <w:rtl/>
        </w:rPr>
        <w:t>בריאה כזו נקראת אצל אבן סינא בריאה לא זמנית, כלומר נצחית, שמקורה הוא בנצח ה</w:t>
      </w:r>
      <w:r w:rsidR="004D2CCF">
        <w:rPr>
          <w:rFonts w:hint="cs"/>
          <w:rtl/>
        </w:rPr>
        <w:t>ו</w:t>
      </w:r>
      <w:r w:rsidR="001961AC">
        <w:rPr>
          <w:rFonts w:hint="cs"/>
          <w:rtl/>
        </w:rPr>
        <w:t xml:space="preserve">א האין סוף המופשט לחלוטין, הכרחי המציאות. </w:t>
      </w:r>
      <w:r w:rsidR="004D2CCF">
        <w:rPr>
          <w:rFonts w:hint="cs"/>
          <w:rtl/>
        </w:rPr>
        <w:t xml:space="preserve">בערבית המונח לזה הוא 'איבדע' ובעברית 'בריאה', כמו שביאר הרמב"ן על בראשית א' א' שהייתה רק </w:t>
      </w:r>
      <w:r w:rsidR="00FD576A">
        <w:rPr>
          <w:rFonts w:hint="cs"/>
          <w:rtl/>
        </w:rPr>
        <w:t>'</w:t>
      </w:r>
      <w:r w:rsidR="004D2CCF">
        <w:rPr>
          <w:rFonts w:hint="cs"/>
          <w:rtl/>
        </w:rPr>
        <w:t>בריאה</w:t>
      </w:r>
      <w:r w:rsidR="00FD576A">
        <w:rPr>
          <w:rFonts w:hint="cs"/>
          <w:rtl/>
        </w:rPr>
        <w:t>'</w:t>
      </w:r>
      <w:r w:rsidR="004D2CCF">
        <w:rPr>
          <w:rFonts w:hint="cs"/>
          <w:rtl/>
        </w:rPr>
        <w:t xml:space="preserve"> אחת והיא של הנקודה של ההיולי, החומר הראשון. ומאז שום דבר לא נברא יותר אלא רק נוצר או נעשה, כלומר האפשרות שכבר נבראה כאפשרות בהיולי, מתממשת, ו</w:t>
      </w:r>
      <w:r w:rsidR="00FD576A">
        <w:rPr>
          <w:rFonts w:hint="cs"/>
          <w:rtl/>
        </w:rPr>
        <w:t>לא</w:t>
      </w:r>
      <w:r w:rsidR="004D2CCF">
        <w:rPr>
          <w:rFonts w:hint="cs"/>
          <w:rtl/>
        </w:rPr>
        <w:t xml:space="preserve"> שיש חידוש מוחלט</w:t>
      </w:r>
      <w:r w:rsidR="002E0C11">
        <w:rPr>
          <w:rFonts w:hint="cs"/>
          <w:rtl/>
        </w:rPr>
        <w:t>. כמו למשל לגבי השאלה האם יש פסל בדמות אדם עשוי שיש, אם יש כעת רק גוש שיש גולמי התשובה היא ש</w:t>
      </w:r>
      <w:r w:rsidR="007402CC">
        <w:rPr>
          <w:rFonts w:hint="cs"/>
          <w:rtl/>
        </w:rPr>
        <w:t xml:space="preserve">בלי ספק </w:t>
      </w:r>
      <w:r w:rsidR="002E0C11">
        <w:rPr>
          <w:rFonts w:hint="cs"/>
          <w:rtl/>
        </w:rPr>
        <w:t xml:space="preserve">אין פסל, אבל אי אפשר שהפסל יהיה קיים אם לא היה מונח מקודם בתוך גוש השיש והאמן רק גילף את השיש המיותר, כלומר מימש את האפשרות </w:t>
      </w:r>
      <w:r w:rsidR="007402CC">
        <w:rPr>
          <w:rFonts w:hint="cs"/>
          <w:rtl/>
        </w:rPr>
        <w:t>שהיתה כבר ב</w:t>
      </w:r>
      <w:r w:rsidR="000623CD">
        <w:rPr>
          <w:rFonts w:hint="cs"/>
          <w:rtl/>
        </w:rPr>
        <w:t>עובדה</w:t>
      </w:r>
      <w:r w:rsidR="007402CC">
        <w:rPr>
          <w:rFonts w:hint="cs"/>
          <w:rtl/>
        </w:rPr>
        <w:t xml:space="preserve"> שיש גוש שיש</w:t>
      </w:r>
      <w:r w:rsidR="00FD576A">
        <w:rPr>
          <w:rFonts w:hint="cs"/>
          <w:rtl/>
        </w:rPr>
        <w:t xml:space="preserve"> (ועיי</w:t>
      </w:r>
      <w:r w:rsidR="00E8557D">
        <w:rPr>
          <w:rFonts w:hint="cs"/>
          <w:rtl/>
        </w:rPr>
        <w:t>ן</w:t>
      </w:r>
      <w:r w:rsidR="00FD576A">
        <w:rPr>
          <w:rFonts w:hint="cs"/>
          <w:rtl/>
        </w:rPr>
        <w:t xml:space="preserve"> במורה נבוכים ב' י"ז </w:t>
      </w:r>
      <w:r w:rsidR="00703AF0">
        <w:rPr>
          <w:rFonts w:hint="cs"/>
          <w:rtl/>
        </w:rPr>
        <w:t>(</w:t>
      </w:r>
      <w:r w:rsidR="00FD576A">
        <w:rPr>
          <w:rFonts w:hint="cs"/>
          <w:rtl/>
        </w:rPr>
        <w:t>וגם ב' כ"ז</w:t>
      </w:r>
      <w:r w:rsidR="00703AF0">
        <w:rPr>
          <w:rFonts w:hint="cs"/>
          <w:rtl/>
        </w:rPr>
        <w:t>)</w:t>
      </w:r>
      <w:r w:rsidR="00E8557D">
        <w:rPr>
          <w:rtl/>
        </w:rPr>
        <w:fldChar w:fldCharType="begin"/>
      </w:r>
      <w:r w:rsidR="00E8557D">
        <w:instrText xml:space="preserve"> XE "</w:instrText>
      </w:r>
      <w:r w:rsidR="00E8557D" w:rsidRPr="0052490F">
        <w:rPr>
          <w:rFonts w:hint="cs"/>
          <w:rtl/>
        </w:rPr>
        <w:instrText>מורה נבוכים ב' י</w:instrText>
      </w:r>
      <w:r w:rsidR="00E8557D">
        <w:rPr>
          <w:b/>
          <w:bCs/>
          <w:sz w:val="20"/>
          <w:szCs w:val="20"/>
        </w:rPr>
        <w:instrText>\</w:instrText>
      </w:r>
      <w:r w:rsidR="00E8557D" w:rsidRPr="0052490F">
        <w:rPr>
          <w:rFonts w:hint="cs"/>
          <w:rtl/>
        </w:rPr>
        <w:instrText>"ז (וגם ב' כ</w:instrText>
      </w:r>
      <w:r w:rsidR="00E8557D">
        <w:rPr>
          <w:b/>
          <w:bCs/>
          <w:sz w:val="20"/>
          <w:szCs w:val="20"/>
        </w:rPr>
        <w:instrText>\</w:instrText>
      </w:r>
      <w:r w:rsidR="00E8557D" w:rsidRPr="0052490F">
        <w:rPr>
          <w:rFonts w:hint="cs"/>
          <w:rtl/>
        </w:rPr>
        <w:instrText>"ז) - הבריאה הראשונה היא מעל כל שיקול שכלי</w:instrText>
      </w:r>
      <w:r w:rsidR="00E8557D">
        <w:instrText xml:space="preserve">" </w:instrText>
      </w:r>
      <w:r w:rsidR="00E8557D">
        <w:rPr>
          <w:rtl/>
        </w:rPr>
        <w:fldChar w:fldCharType="end"/>
      </w:r>
      <w:r w:rsidR="00FD576A">
        <w:rPr>
          <w:rFonts w:hint="cs"/>
          <w:rtl/>
        </w:rPr>
        <w:t>, שה</w:t>
      </w:r>
      <w:r w:rsidR="00703AF0">
        <w:rPr>
          <w:rFonts w:hint="cs"/>
          <w:rtl/>
        </w:rPr>
        <w:t>'</w:t>
      </w:r>
      <w:r w:rsidR="00FD576A">
        <w:rPr>
          <w:rFonts w:hint="cs"/>
          <w:rtl/>
        </w:rPr>
        <w:t>בריאה</w:t>
      </w:r>
      <w:r w:rsidR="00703AF0">
        <w:rPr>
          <w:rFonts w:hint="cs"/>
          <w:rtl/>
        </w:rPr>
        <w:t>'</w:t>
      </w:r>
      <w:r w:rsidR="00FD576A">
        <w:rPr>
          <w:rFonts w:hint="cs"/>
          <w:rtl/>
        </w:rPr>
        <w:t xml:space="preserve"> היא מעל כל השיקולים הפילוסופיים</w:t>
      </w:r>
      <w:r w:rsidR="00703AF0">
        <w:rPr>
          <w:rFonts w:hint="cs"/>
          <w:rtl/>
        </w:rPr>
        <w:t xml:space="preserve"> </w:t>
      </w:r>
      <w:r w:rsidR="00AF1819">
        <w:rPr>
          <w:rFonts w:hint="cs"/>
          <w:rtl/>
        </w:rPr>
        <w:t xml:space="preserve">והם לא תקפים לגביה </w:t>
      </w:r>
      <w:r w:rsidR="00703AF0">
        <w:rPr>
          <w:rFonts w:hint="cs"/>
          <w:rtl/>
        </w:rPr>
        <w:t>כי מקורה הוא מעל השכל, ב</w:t>
      </w:r>
      <w:r w:rsidR="008F2F15">
        <w:rPr>
          <w:rFonts w:hint="cs"/>
          <w:rtl/>
        </w:rPr>
        <w:t>ספירת '</w:t>
      </w:r>
      <w:r w:rsidR="00703AF0">
        <w:rPr>
          <w:rFonts w:hint="cs"/>
          <w:rtl/>
        </w:rPr>
        <w:t>כתר</w:t>
      </w:r>
      <w:r w:rsidR="008F2F15">
        <w:rPr>
          <w:rFonts w:hint="cs"/>
          <w:rtl/>
        </w:rPr>
        <w:t>'</w:t>
      </w:r>
      <w:r w:rsidR="00703AF0">
        <w:rPr>
          <w:rFonts w:hint="cs"/>
          <w:rtl/>
        </w:rPr>
        <w:t xml:space="preserve"> </w:t>
      </w:r>
      <w:r w:rsidR="008F2F15">
        <w:rPr>
          <w:rFonts w:hint="cs"/>
          <w:rtl/>
        </w:rPr>
        <w:t>ש</w:t>
      </w:r>
      <w:r w:rsidR="00703AF0">
        <w:rPr>
          <w:rFonts w:hint="cs"/>
          <w:rtl/>
        </w:rPr>
        <w:t>ה</w:t>
      </w:r>
      <w:r w:rsidR="008F2F15">
        <w:rPr>
          <w:rFonts w:hint="cs"/>
          <w:rtl/>
        </w:rPr>
        <w:t>י</w:t>
      </w:r>
      <w:r w:rsidR="00703AF0">
        <w:rPr>
          <w:rFonts w:hint="cs"/>
          <w:rtl/>
        </w:rPr>
        <w:t>א הרצון החופשי האלוהי ו</w:t>
      </w:r>
      <w:r w:rsidR="008F2F15">
        <w:rPr>
          <w:rFonts w:hint="cs"/>
          <w:rtl/>
        </w:rPr>
        <w:t>לא</w:t>
      </w:r>
      <w:r w:rsidR="00703AF0">
        <w:rPr>
          <w:rFonts w:hint="cs"/>
          <w:rtl/>
        </w:rPr>
        <w:t xml:space="preserve"> בחכמה שנבראה מהכתר</w:t>
      </w:r>
      <w:r w:rsidR="008F2F15">
        <w:rPr>
          <w:rFonts w:hint="cs"/>
          <w:rtl/>
        </w:rPr>
        <w:t xml:space="preserve"> והיא חוק הזהות שהוא המושכל הראשון שעליו מבוסס השכל, ורק ממנה מתחיל השיקול השכלי</w:t>
      </w:r>
      <w:r w:rsidR="00762471">
        <w:rPr>
          <w:rFonts w:hint="cs"/>
          <w:rtl/>
        </w:rPr>
        <w:t>,</w:t>
      </w:r>
      <w:r w:rsidR="00FD576A">
        <w:rPr>
          <w:rFonts w:hint="cs"/>
          <w:rtl/>
        </w:rPr>
        <w:t xml:space="preserve"> וכל ההוכחות של אריסטו על קדמות העולם אינן תקפות כשזה נוגע אליה</w:t>
      </w:r>
      <w:r w:rsidR="00762471">
        <w:rPr>
          <w:rFonts w:hint="cs"/>
          <w:rtl/>
        </w:rPr>
        <w:t xml:space="preserve"> (וכן השיקול השכלי שכל מה שפעם לא היה בהכרח בעתיד יגיע זמן שלא יהיה, אינו קיים </w:t>
      </w:r>
      <w:r w:rsidR="004F3171">
        <w:rPr>
          <w:rFonts w:hint="cs"/>
          <w:rtl/>
        </w:rPr>
        <w:t>לגבי השאלה האם הבריאה תחדל מלהתקיים בעתיד</w:t>
      </w:r>
      <w:r w:rsidR="002E0C11">
        <w:rPr>
          <w:rFonts w:hint="cs"/>
          <w:rtl/>
        </w:rPr>
        <w:t>,</w:t>
      </w:r>
      <w:r w:rsidR="00762471">
        <w:rPr>
          <w:rFonts w:hint="cs"/>
          <w:rtl/>
        </w:rPr>
        <w:t xml:space="preserve"> כיוון שמקורה מעל לשיקול השכלי, כמו שכתב המורה נבוכים ב' כ"ז))</w:t>
      </w:r>
      <w:r w:rsidR="00FD576A">
        <w:rPr>
          <w:rFonts w:hint="cs"/>
          <w:rtl/>
        </w:rPr>
        <w:t xml:space="preserve">. </w:t>
      </w:r>
      <w:r w:rsidR="000623CD">
        <w:rPr>
          <w:rFonts w:hint="cs"/>
          <w:rtl/>
        </w:rPr>
        <w:t xml:space="preserve">מכאן שעצם </w:t>
      </w:r>
      <w:r w:rsidR="009C463A">
        <w:rPr>
          <w:rFonts w:hint="cs"/>
          <w:rtl/>
        </w:rPr>
        <w:t>ההוויה</w:t>
      </w:r>
      <w:r w:rsidR="00317005">
        <w:rPr>
          <w:rtl/>
        </w:rPr>
        <w:fldChar w:fldCharType="begin"/>
      </w:r>
      <w:r w:rsidR="00317005">
        <w:instrText xml:space="preserve"> XE "</w:instrText>
      </w:r>
      <w:r w:rsidR="00317005" w:rsidRPr="00A53B00">
        <w:rPr>
          <w:rFonts w:hint="cs"/>
          <w:rtl/>
        </w:rPr>
        <w:instrText>תנועה - היא עצם ההווייה ביאור פילוסופי</w:instrText>
      </w:r>
      <w:r w:rsidR="00317005">
        <w:instrText xml:space="preserve">" </w:instrText>
      </w:r>
      <w:r w:rsidR="00317005">
        <w:rPr>
          <w:rtl/>
        </w:rPr>
        <w:fldChar w:fldCharType="end"/>
      </w:r>
      <w:r w:rsidR="000623CD">
        <w:rPr>
          <w:rFonts w:hint="cs"/>
          <w:rtl/>
        </w:rPr>
        <w:t xml:space="preserve"> מצריכה שיהיה בכח</w:t>
      </w:r>
      <w:r w:rsidR="006121CC">
        <w:rPr>
          <w:rtl/>
        </w:rPr>
        <w:fldChar w:fldCharType="begin"/>
      </w:r>
      <w:r w:rsidR="006121CC">
        <w:instrText xml:space="preserve"> XE "</w:instrText>
      </w:r>
      <w:r w:rsidR="006121CC" w:rsidRPr="00082937">
        <w:rPr>
          <w:rFonts w:hint="cs"/>
          <w:rtl/>
        </w:rPr>
        <w:instrText>בכח ובפועל יסודם בתנועה המופשטת</w:instrText>
      </w:r>
      <w:r w:rsidR="006121CC">
        <w:instrText xml:space="preserve">" </w:instrText>
      </w:r>
      <w:r w:rsidR="006121CC">
        <w:rPr>
          <w:rtl/>
        </w:rPr>
        <w:fldChar w:fldCharType="end"/>
      </w:r>
      <w:r w:rsidR="000623CD">
        <w:rPr>
          <w:rFonts w:hint="cs"/>
          <w:rtl/>
        </w:rPr>
        <w:t xml:space="preserve"> ויהיה בפועל, והתנועה המופשטת מהבכח לבפועל היא קודמת למציאות של דבר מוגדר שהוא בכח ושהוא בפועל</w:t>
      </w:r>
      <w:r w:rsidR="00D671F3">
        <w:rPr>
          <w:rFonts w:hint="cs"/>
          <w:rtl/>
        </w:rPr>
        <w:t xml:space="preserve"> (זה הפירוש של מה שכתב המורה נבוכים א' כ"ו שאצל החכמים המציאות היא במופשט ולא בחומר, והתחלת המציאות, מה שהוא יותר מציאות, הוא המופשט, והמוגדר בא אחריו</w:t>
      </w:r>
      <w:r w:rsidR="00317005">
        <w:rPr>
          <w:rFonts w:hint="cs"/>
          <w:rtl/>
        </w:rPr>
        <w:t>)</w:t>
      </w:r>
      <w:r w:rsidR="000623CD">
        <w:rPr>
          <w:rFonts w:hint="cs"/>
          <w:rtl/>
        </w:rPr>
        <w:t xml:space="preserve">. </w:t>
      </w:r>
      <w:r w:rsidR="005E10F1">
        <w:rPr>
          <w:rFonts w:hint="cs"/>
          <w:rtl/>
        </w:rPr>
        <w:t>האחד ברא אחד, שהוא החומר הראשון, שהוא מופשט כמו הבורא ונצחי כמוהו כי אין בו שום צורה וממילא שום גבול (החילוק הוא רק שהבורא הוא סיבת מציאות עצמו והחומר הראשון אינו סיבת עצמו אלא סיבתו הבורא)</w:t>
      </w:r>
      <w:r w:rsidR="00FD1F0D">
        <w:rPr>
          <w:rFonts w:hint="cs"/>
          <w:rtl/>
        </w:rPr>
        <w:t xml:space="preserve">. מהאחד הפשוט יכול להיברא רק אחד פשוט, </w:t>
      </w:r>
      <w:r w:rsidR="001E659C">
        <w:rPr>
          <w:rFonts w:hint="cs"/>
          <w:rtl/>
        </w:rPr>
        <w:t>ואכן רק זה מה שנברא. כעת יש עניין נוסף</w:t>
      </w:r>
      <w:r w:rsidR="000540DC">
        <w:rPr>
          <w:rFonts w:hint="cs"/>
          <w:rtl/>
        </w:rPr>
        <w:t>, נפרד,</w:t>
      </w:r>
      <w:r w:rsidR="001E659C">
        <w:rPr>
          <w:rFonts w:hint="cs"/>
          <w:rtl/>
        </w:rPr>
        <w:t xml:space="preserve"> </w:t>
      </w:r>
      <w:r w:rsidR="000540DC">
        <w:rPr>
          <w:rFonts w:hint="cs"/>
          <w:rtl/>
        </w:rPr>
        <w:t xml:space="preserve">והוא </w:t>
      </w:r>
      <w:r w:rsidR="001E659C">
        <w:rPr>
          <w:rFonts w:hint="cs"/>
          <w:rtl/>
        </w:rPr>
        <w:t xml:space="preserve">שהחומר הראשון מתפרט לצורות מרובות, וזה על ידי התנועה המתמדת של היציאה מהכח אל הפועל, שהיא </w:t>
      </w:r>
      <w:r w:rsidR="000540DC">
        <w:rPr>
          <w:rFonts w:hint="cs"/>
          <w:rtl/>
        </w:rPr>
        <w:t xml:space="preserve">הגדרת </w:t>
      </w:r>
      <w:r w:rsidR="001E659C">
        <w:rPr>
          <w:rFonts w:hint="cs"/>
          <w:rtl/>
        </w:rPr>
        <w:t>התנועה</w:t>
      </w:r>
      <w:r w:rsidR="000540DC">
        <w:rPr>
          <w:rFonts w:hint="cs"/>
          <w:rtl/>
        </w:rPr>
        <w:t xml:space="preserve"> המדוייקת</w:t>
      </w:r>
      <w:r w:rsidR="001E659C">
        <w:rPr>
          <w:rFonts w:hint="cs"/>
          <w:rtl/>
        </w:rPr>
        <w:t xml:space="preserve">. </w:t>
      </w:r>
      <w:r w:rsidR="000540DC">
        <w:rPr>
          <w:rFonts w:hint="cs"/>
          <w:rtl/>
        </w:rPr>
        <w:t xml:space="preserve">כלומר הוויית הנבראים השונים זה מזה, המוגבלים, יסודה הראשון הוא התנועה. </w:t>
      </w:r>
      <w:r w:rsidR="000562A8">
        <w:rPr>
          <w:rFonts w:hint="cs"/>
          <w:rtl/>
        </w:rPr>
        <w:t xml:space="preserve">התנועה הזו היא עומק העניין של 'טבע', היא משולה לחיים וכשאומרים שהאלוה חי מתכוונים לתנועה הזו, והיא גם משולה לאש וכמו בסנה הבוער וכמו שכתוב שהאל הוא אש אוכלה. </w:t>
      </w:r>
      <w:r w:rsidR="008A25E3">
        <w:rPr>
          <w:rFonts w:hint="cs"/>
          <w:rtl/>
        </w:rPr>
        <w:t>כי התנועה כמו שהיא הווייה היא גם כליה</w:t>
      </w:r>
      <w:r w:rsidR="00A72A83">
        <w:rPr>
          <w:rFonts w:hint="cs"/>
          <w:rtl/>
        </w:rPr>
        <w:t>, זו תנועת ההתהוות וההפסד המתמדת שהיא שורש מציאות הטבע</w:t>
      </w:r>
      <w:r w:rsidR="008A25E3">
        <w:rPr>
          <w:rFonts w:hint="cs"/>
          <w:rtl/>
        </w:rPr>
        <w:t xml:space="preserve">. </w:t>
      </w:r>
      <w:r w:rsidR="00A72A83">
        <w:rPr>
          <w:rFonts w:hint="cs"/>
          <w:rtl/>
        </w:rPr>
        <w:t xml:space="preserve">כיוון שהתנועה הזו </w:t>
      </w:r>
      <w:r w:rsidR="00F16D2C">
        <w:rPr>
          <w:rFonts w:hint="cs"/>
          <w:rtl/>
        </w:rPr>
        <w:t>היא על המצע של החומר הראשון, שהוא הנצח, כתב אפלטון בטימיאוס שהזמן הוא צלם נע של הנצח.</w:t>
      </w:r>
      <w:r w:rsidR="002D46EE">
        <w:rPr>
          <w:rFonts w:hint="cs"/>
          <w:rtl/>
        </w:rPr>
        <w:t xml:space="preserve"> </w:t>
      </w:r>
      <w:r w:rsidR="00341B33">
        <w:rPr>
          <w:rFonts w:hint="cs"/>
          <w:rtl/>
        </w:rPr>
        <w:t>התנועה היא מעגלית, מהטבע אל הטבע</w:t>
      </w:r>
      <w:r w:rsidR="0088547C">
        <w:rPr>
          <w:rFonts w:hint="cs"/>
          <w:rtl/>
        </w:rPr>
        <w:t xml:space="preserve">, מההתהוות להפסד שהוא בכח להתהוות חדשה וחוזר חלילה. </w:t>
      </w:r>
      <w:r w:rsidR="002D46EE">
        <w:rPr>
          <w:rFonts w:hint="cs"/>
          <w:rtl/>
        </w:rPr>
        <w:t>ועיין עוד בזה</w:t>
      </w:r>
      <w:r w:rsidR="003F2502">
        <w:rPr>
          <w:rFonts w:hint="cs"/>
          <w:rtl/>
        </w:rPr>
        <w:t xml:space="preserve"> בעיונים בפילוסופיה אריסטוטלית </w:t>
      </w:r>
      <w:hyperlink r:id="rId115" w:history="1">
        <w:r w:rsidR="003F2502" w:rsidRPr="00CC603D">
          <w:rPr>
            <w:rStyle w:val="Hyperlink"/>
            <w:rFonts w:hint="cs"/>
            <w:rtl/>
          </w:rPr>
          <w:t>רשימה 35</w:t>
        </w:r>
      </w:hyperlink>
      <w:r w:rsidR="003F2502">
        <w:rPr>
          <w:rFonts w:hint="cs"/>
          <w:rtl/>
        </w:rPr>
        <w:t xml:space="preserve"> במאמר התנועה יסוד </w:t>
      </w:r>
      <w:r w:rsidR="009C463A">
        <w:rPr>
          <w:rFonts w:hint="cs"/>
          <w:rtl/>
        </w:rPr>
        <w:t>ההוויה</w:t>
      </w:r>
      <w:r w:rsidR="00393BD4">
        <w:rPr>
          <w:rtl/>
        </w:rPr>
        <w:fldChar w:fldCharType="begin"/>
      </w:r>
      <w:r w:rsidR="00393BD4">
        <w:instrText xml:space="preserve"> XE "</w:instrText>
      </w:r>
      <w:r w:rsidR="00393BD4" w:rsidRPr="00D71916">
        <w:rPr>
          <w:rFonts w:hint="cs"/>
          <w:rtl/>
        </w:rPr>
        <w:instrText>תנועה - יסוד ההווייה</w:instrText>
      </w:r>
      <w:r w:rsidR="00393BD4">
        <w:instrText xml:space="preserve">" </w:instrText>
      </w:r>
      <w:r w:rsidR="00393BD4">
        <w:rPr>
          <w:rtl/>
        </w:rPr>
        <w:fldChar w:fldCharType="end"/>
      </w:r>
      <w:r w:rsidR="002D46EE">
        <w:rPr>
          <w:rFonts w:hint="cs"/>
          <w:rtl/>
        </w:rPr>
        <w:t xml:space="preserve">. </w:t>
      </w:r>
      <w:r w:rsidR="0088547C">
        <w:rPr>
          <w:rFonts w:hint="cs"/>
          <w:rtl/>
        </w:rPr>
        <w:t>זו הדעה שמדובר בה כאן, והיא כבר שייכת למטאפיזיקה</w:t>
      </w:r>
      <w:r w:rsidR="00FD4E8C">
        <w:rPr>
          <w:rFonts w:hint="cs"/>
          <w:rtl/>
        </w:rPr>
        <w:t>,</w:t>
      </w:r>
      <w:r w:rsidR="0088547C">
        <w:rPr>
          <w:rFonts w:hint="cs"/>
          <w:rtl/>
        </w:rPr>
        <w:t xml:space="preserve"> </w:t>
      </w:r>
      <w:r w:rsidR="006F4A46">
        <w:rPr>
          <w:rFonts w:hint="cs"/>
          <w:rtl/>
        </w:rPr>
        <w:t>וכמו בכל מקום בחכמת הטבע שכשמגיעים לעומק העניין נכנסים לתחום המטא</w:t>
      </w:r>
      <w:r w:rsidR="00FD4E8C">
        <w:rPr>
          <w:rFonts w:hint="cs"/>
          <w:rtl/>
        </w:rPr>
        <w:t>פ</w:t>
      </w:r>
      <w:r w:rsidR="006F4A46">
        <w:rPr>
          <w:rFonts w:hint="cs"/>
          <w:rtl/>
        </w:rPr>
        <w:t xml:space="preserve">יזיקה. </w:t>
      </w:r>
      <w:r w:rsidR="00FD4E8C">
        <w:rPr>
          <w:rFonts w:hint="cs"/>
          <w:rtl/>
        </w:rPr>
        <w:t xml:space="preserve">כי תפקיד חכמת הטבע הוא להיות סולם להביא את האדם </w:t>
      </w:r>
      <w:r w:rsidR="00640C52">
        <w:rPr>
          <w:rFonts w:hint="cs"/>
          <w:rtl/>
        </w:rPr>
        <w:t>מ</w:t>
      </w:r>
      <w:r w:rsidR="00FD4E8C">
        <w:rPr>
          <w:rFonts w:hint="cs"/>
          <w:rtl/>
        </w:rPr>
        <w:t>מצבו החומרי הראשוני ל</w:t>
      </w:r>
      <w:r w:rsidR="00640C52">
        <w:rPr>
          <w:rFonts w:hint="cs"/>
          <w:rtl/>
        </w:rPr>
        <w:t xml:space="preserve">מעיין בהשגת דעת אלוהים שהיא המטאפיזיקה. </w:t>
      </w:r>
      <w:r w:rsidR="00F16D2C">
        <w:rPr>
          <w:rFonts w:hint="cs"/>
          <w:rtl/>
        </w:rPr>
        <w:t xml:space="preserve"> </w:t>
      </w:r>
      <w:r w:rsidR="001E659C">
        <w:rPr>
          <w:rFonts w:hint="cs"/>
          <w:rtl/>
        </w:rPr>
        <w:t xml:space="preserve"> </w:t>
      </w:r>
    </w:p>
  </w:footnote>
  <w:footnote w:id="518">
    <w:p w14:paraId="179999FA" w14:textId="501BC67A" w:rsidR="000C1B78" w:rsidRDefault="000C1B78">
      <w:pPr>
        <w:pStyle w:val="FootnoteText"/>
      </w:pPr>
      <w:r>
        <w:rPr>
          <w:rStyle w:val="FootnoteReference"/>
        </w:rPr>
        <w:footnoteRef/>
      </w:r>
      <w:r>
        <w:rPr>
          <w:rtl/>
        </w:rPr>
        <w:t xml:space="preserve"> </w:t>
      </w:r>
      <w:r>
        <w:rPr>
          <w:rFonts w:hint="cs"/>
          <w:rtl/>
        </w:rPr>
        <w:t>מקגיניס ציין לקמן 1.10.7, ולספר ההתהוות וההפ</w:t>
      </w:r>
      <w:r w:rsidR="00902455">
        <w:rPr>
          <w:rFonts w:hint="cs"/>
          <w:rtl/>
        </w:rPr>
        <w:t>ס</w:t>
      </w:r>
      <w:r>
        <w:rPr>
          <w:rFonts w:hint="cs"/>
          <w:rtl/>
        </w:rPr>
        <w:t xml:space="preserve">ד </w:t>
      </w:r>
      <w:r w:rsidR="00902455">
        <w:rPr>
          <w:rFonts w:hint="cs"/>
          <w:rtl/>
        </w:rPr>
        <w:t>6-7 (הכוונה לספר בשם זה מאת אבן סינא, שנכלל כחלק של ספר הריפוי, ו</w:t>
      </w:r>
      <w:r w:rsidR="00B30D9B">
        <w:rPr>
          <w:rFonts w:hint="cs"/>
          <w:rtl/>
        </w:rPr>
        <w:t>לא</w:t>
      </w:r>
      <w:r w:rsidR="00902455">
        <w:rPr>
          <w:rFonts w:hint="cs"/>
          <w:rtl/>
        </w:rPr>
        <w:t xml:space="preserve"> לספר של אריסטו שגם הוא בשם הזה</w:t>
      </w:r>
      <w:r w:rsidR="00B30D9B">
        <w:rPr>
          <w:rFonts w:hint="cs"/>
          <w:rtl/>
        </w:rPr>
        <w:t>)</w:t>
      </w:r>
      <w:r w:rsidR="00902455">
        <w:rPr>
          <w:rFonts w:hint="cs"/>
          <w:rtl/>
        </w:rPr>
        <w:t xml:space="preserve">. </w:t>
      </w:r>
    </w:p>
  </w:footnote>
  <w:footnote w:id="519">
    <w:p w14:paraId="7E8DA381" w14:textId="5946592F" w:rsidR="00317494" w:rsidRDefault="00A27D11">
      <w:pPr>
        <w:pStyle w:val="FootnoteText"/>
        <w:rPr>
          <w:rtl/>
        </w:rPr>
      </w:pPr>
      <w:r>
        <w:rPr>
          <w:rStyle w:val="FootnoteReference"/>
        </w:rPr>
        <w:footnoteRef/>
      </w:r>
      <w:r>
        <w:rPr>
          <w:rtl/>
        </w:rPr>
        <w:t xml:space="preserve"> </w:t>
      </w:r>
      <w:r>
        <w:rPr>
          <w:rFonts w:hint="cs"/>
          <w:rtl/>
        </w:rPr>
        <w:t xml:space="preserve">הפשוטים הם ארבעת היסודות שהם אש רוח מים ועפר. </w:t>
      </w:r>
      <w:r w:rsidR="00D03D9F">
        <w:rPr>
          <w:rFonts w:hint="cs"/>
          <w:rtl/>
        </w:rPr>
        <w:t xml:space="preserve">המורכבים הם כל שאר הגופים </w:t>
      </w:r>
      <w:r w:rsidR="00D509BA">
        <w:rPr>
          <w:rFonts w:hint="cs"/>
          <w:rtl/>
        </w:rPr>
        <w:t>שהחומר שלהם מורכב מארבעת היסודות. הרכבת היסודות</w:t>
      </w:r>
      <w:r w:rsidR="00215CFE">
        <w:rPr>
          <w:rtl/>
        </w:rPr>
        <w:fldChar w:fldCharType="begin"/>
      </w:r>
      <w:r w:rsidR="00215CFE">
        <w:instrText xml:space="preserve"> XE "</w:instrText>
      </w:r>
      <w:r w:rsidR="00215CFE" w:rsidRPr="00002B3C">
        <w:rPr>
          <w:rFonts w:hint="cs"/>
          <w:rtl/>
        </w:rPr>
        <w:instrText>מזג - הוא האופן של 'צורה' בגופים המורכבים</w:instrText>
      </w:r>
      <w:r w:rsidR="00215CFE">
        <w:instrText xml:space="preserve">" </w:instrText>
      </w:r>
      <w:r w:rsidR="00215CFE">
        <w:rPr>
          <w:rtl/>
        </w:rPr>
        <w:fldChar w:fldCharType="end"/>
      </w:r>
      <w:r w:rsidR="00D509BA">
        <w:rPr>
          <w:rFonts w:hint="cs"/>
          <w:rtl/>
        </w:rPr>
        <w:t xml:space="preserve"> היא הרכבה </w:t>
      </w:r>
      <w:r w:rsidR="00D509BA">
        <w:rPr>
          <w:rFonts w:hint="cs"/>
          <w:rtl/>
        </w:rPr>
        <w:t xml:space="preserve">מזגיית ולא הרכבה שכוניית. </w:t>
      </w:r>
      <w:r w:rsidR="00C94D3C">
        <w:rPr>
          <w:rFonts w:hint="cs"/>
          <w:rtl/>
        </w:rPr>
        <w:t>הרכבה שכוניית היא הרכבה שבה המרכיבים לא פועלים זה על זה, ואפשר</w:t>
      </w:r>
      <w:r w:rsidR="00EF10A8">
        <w:rPr>
          <w:rFonts w:hint="cs"/>
          <w:rtl/>
        </w:rPr>
        <w:t xml:space="preserve"> </w:t>
      </w:r>
      <w:r w:rsidR="00C94D3C">
        <w:rPr>
          <w:rFonts w:hint="cs"/>
          <w:rtl/>
        </w:rPr>
        <w:t>לה</w:t>
      </w:r>
      <w:r w:rsidR="00336DA4">
        <w:rPr>
          <w:rFonts w:hint="cs"/>
          <w:rtl/>
        </w:rPr>
        <w:t>פריד</w:t>
      </w:r>
      <w:r w:rsidR="00C94D3C">
        <w:rPr>
          <w:rFonts w:hint="cs"/>
          <w:rtl/>
        </w:rPr>
        <w:t xml:space="preserve"> אותה למרכיביה, וכגון </w:t>
      </w:r>
      <w:r w:rsidR="002D2305">
        <w:rPr>
          <w:rFonts w:hint="cs"/>
          <w:rtl/>
        </w:rPr>
        <w:t xml:space="preserve">הרכבת </w:t>
      </w:r>
      <w:r w:rsidR="00F53DC8">
        <w:rPr>
          <w:rFonts w:hint="cs"/>
          <w:rtl/>
        </w:rPr>
        <w:t xml:space="preserve">קליפת הפרי הגלעין והציפה. </w:t>
      </w:r>
      <w:r w:rsidR="00336DA4">
        <w:rPr>
          <w:rFonts w:hint="cs"/>
          <w:rtl/>
        </w:rPr>
        <w:t>הרכבה מזגיית היא כגון מה שמים וקמח מרכ</w:t>
      </w:r>
      <w:r w:rsidR="00F83730">
        <w:rPr>
          <w:rFonts w:hint="cs"/>
          <w:rtl/>
        </w:rPr>
        <w:t>י</w:t>
      </w:r>
      <w:r w:rsidR="00336DA4">
        <w:rPr>
          <w:rFonts w:hint="cs"/>
          <w:rtl/>
        </w:rPr>
        <w:t>ב</w:t>
      </w:r>
      <w:r w:rsidR="00F83730">
        <w:rPr>
          <w:rFonts w:hint="cs"/>
          <w:rtl/>
        </w:rPr>
        <w:t>י</w:t>
      </w:r>
      <w:r w:rsidR="00336DA4">
        <w:rPr>
          <w:rFonts w:hint="cs"/>
          <w:rtl/>
        </w:rPr>
        <w:t xml:space="preserve">ם בצק, </w:t>
      </w:r>
      <w:r w:rsidR="00F83730">
        <w:rPr>
          <w:rFonts w:hint="cs"/>
          <w:rtl/>
        </w:rPr>
        <w:t xml:space="preserve">שהמים פעלו על הקמח לדבק אותו ולא להיות אבקה, והקמח פעל על המים שלא יהיו נוזלים. </w:t>
      </w:r>
      <w:r w:rsidR="00C756F2">
        <w:rPr>
          <w:rFonts w:hint="cs"/>
          <w:rtl/>
        </w:rPr>
        <w:t>או בתבשיל שכל מרכיב נותן טעם במרכיבים האחרים, או הרכבה עמוקה יותר כמו מימן וחמצן שמרכיבים את המים, והאיכות של התרכובת שונה מהאיכות של כל מרכיב לחוד וגם מצירוף התכונות של המרכיבים</w:t>
      </w:r>
      <w:r w:rsidR="000A5580">
        <w:rPr>
          <w:rFonts w:hint="cs"/>
          <w:rtl/>
        </w:rPr>
        <w:t>, ובהרכבה מזגיית המרכיב האחד מאבד את איכויותיו ו</w:t>
      </w:r>
      <w:r w:rsidR="00FA64BF">
        <w:rPr>
          <w:rFonts w:hint="cs"/>
          <w:rtl/>
        </w:rPr>
        <w:t>כבר אינו קיים, וכמו שכתב אריסטו, ובעקבותיו הרמב"ם בהלכות יסודי התורה, שכמה שלא תפרק את הגופים הטבעיים לא תמצא בהם את היסודות הפשוטים שמהן הורכבו.</w:t>
      </w:r>
    </w:p>
    <w:p w14:paraId="14B68079" w14:textId="084129C1" w:rsidR="00181759" w:rsidRDefault="00317494">
      <w:pPr>
        <w:pStyle w:val="FootnoteText"/>
        <w:rPr>
          <w:rtl/>
        </w:rPr>
      </w:pPr>
      <w:r>
        <w:rPr>
          <w:rFonts w:hint="cs"/>
          <w:rtl/>
        </w:rPr>
        <w:t xml:space="preserve">החומר מוכן לקבל צורה </w:t>
      </w:r>
      <w:r w:rsidR="00652721">
        <w:rPr>
          <w:rFonts w:hint="cs"/>
          <w:rtl/>
        </w:rPr>
        <w:t xml:space="preserve">רק </w:t>
      </w:r>
      <w:r>
        <w:rPr>
          <w:rFonts w:hint="cs"/>
          <w:rtl/>
        </w:rPr>
        <w:t>בהתא</w:t>
      </w:r>
      <w:r w:rsidR="00652721">
        <w:rPr>
          <w:rFonts w:hint="cs"/>
          <w:rtl/>
        </w:rPr>
        <w:t>מה</w:t>
      </w:r>
      <w:r>
        <w:rPr>
          <w:rFonts w:hint="cs"/>
          <w:rtl/>
        </w:rPr>
        <w:t xml:space="preserve"> למזג שלו. הצורה שופעת תמיד ורוצה לחול על כל חומר, </w:t>
      </w:r>
      <w:r w:rsidR="00652721">
        <w:rPr>
          <w:rFonts w:hint="cs"/>
          <w:rtl/>
        </w:rPr>
        <w:t xml:space="preserve">ומה שקובע שהיא תחול רק במקום </w:t>
      </w:r>
      <w:r w:rsidR="009C463A">
        <w:rPr>
          <w:rFonts w:hint="cs"/>
          <w:rtl/>
        </w:rPr>
        <w:t>מסוים</w:t>
      </w:r>
      <w:r w:rsidR="00652721">
        <w:rPr>
          <w:rFonts w:hint="cs"/>
          <w:rtl/>
        </w:rPr>
        <w:t xml:space="preserve"> ובזמן </w:t>
      </w:r>
      <w:r w:rsidR="009C463A">
        <w:rPr>
          <w:rFonts w:hint="cs"/>
          <w:rtl/>
        </w:rPr>
        <w:t>מסוים</w:t>
      </w:r>
      <w:r w:rsidR="00652721">
        <w:rPr>
          <w:rFonts w:hint="cs"/>
          <w:rtl/>
        </w:rPr>
        <w:t xml:space="preserve"> הוא הכנת החומר מצד המזג שלו. המזג משתנה תמיד, לא מכח הצורה אלא מכח עצמי של החומר</w:t>
      </w:r>
      <w:r w:rsidR="00C10832">
        <w:rPr>
          <w:rFonts w:hint="cs"/>
          <w:rtl/>
        </w:rPr>
        <w:t xml:space="preserve">, ואין חוקיות שכלית להשתנות הזו והיא נחשבת מקרה. </w:t>
      </w:r>
      <w:r w:rsidR="00817A27">
        <w:rPr>
          <w:rFonts w:hint="cs"/>
          <w:rtl/>
        </w:rPr>
        <w:t xml:space="preserve">אבן סינא מעדיף לשמור את המונח 'צורה' לצורה המופשטת הנצחית, </w:t>
      </w:r>
      <w:r w:rsidR="00144A75">
        <w:rPr>
          <w:rFonts w:hint="cs"/>
          <w:rtl/>
        </w:rPr>
        <w:t>או להסתכלות על הצורה כעל מין של גופים, ומה שהצורה חלה באופן</w:t>
      </w:r>
      <w:r w:rsidR="00547F9D">
        <w:rPr>
          <w:rFonts w:hint="cs"/>
          <w:rtl/>
        </w:rPr>
        <w:t xml:space="preserve"> חלקי</w:t>
      </w:r>
      <w:r w:rsidR="00144A75">
        <w:rPr>
          <w:rFonts w:hint="cs"/>
          <w:rtl/>
        </w:rPr>
        <w:t xml:space="preserve"> </w:t>
      </w:r>
      <w:r w:rsidR="009C463A">
        <w:rPr>
          <w:rFonts w:hint="cs"/>
          <w:rtl/>
        </w:rPr>
        <w:t>מסוים</w:t>
      </w:r>
      <w:r w:rsidR="00144A75">
        <w:rPr>
          <w:rFonts w:hint="cs"/>
          <w:rtl/>
        </w:rPr>
        <w:t xml:space="preserve"> של התגלות הצורה בחומר </w:t>
      </w:r>
      <w:r w:rsidR="00547F9D">
        <w:rPr>
          <w:rFonts w:hint="cs"/>
          <w:rtl/>
        </w:rPr>
        <w:t>המסוים ה</w:t>
      </w:r>
      <w:r w:rsidR="00144A75">
        <w:rPr>
          <w:rFonts w:hint="cs"/>
          <w:rtl/>
        </w:rPr>
        <w:t xml:space="preserve">זה, ויוצרת את הגוף המסוים הפרטי הזה, </w:t>
      </w:r>
      <w:r w:rsidR="00197883">
        <w:rPr>
          <w:rFonts w:hint="cs"/>
          <w:rtl/>
        </w:rPr>
        <w:t xml:space="preserve">שהוא דווקא ראובן ולא שמעון, </w:t>
      </w:r>
      <w:r w:rsidR="00144A75">
        <w:rPr>
          <w:rFonts w:hint="cs"/>
          <w:rtl/>
        </w:rPr>
        <w:t>הוא מעדי</w:t>
      </w:r>
      <w:r w:rsidR="00197883">
        <w:rPr>
          <w:rFonts w:hint="cs"/>
          <w:rtl/>
        </w:rPr>
        <w:t>ף</w:t>
      </w:r>
      <w:r w:rsidR="00144A75">
        <w:rPr>
          <w:rFonts w:hint="cs"/>
          <w:rtl/>
        </w:rPr>
        <w:t xml:space="preserve"> לכנות 'מזג'. </w:t>
      </w:r>
      <w:r w:rsidR="00197883">
        <w:rPr>
          <w:rFonts w:hint="cs"/>
          <w:rtl/>
        </w:rPr>
        <w:t xml:space="preserve">כלומר ההבדל העצמי בין ראובן לשמעון אינו הצורה, שהרי </w:t>
      </w:r>
      <w:r w:rsidR="00EF7D78">
        <w:rPr>
          <w:rFonts w:hint="cs"/>
          <w:rtl/>
        </w:rPr>
        <w:t xml:space="preserve">לשניהם אותה צורה שהיא 'חי מדבר', וקשה לומר שההבדל ביניהם הוא רק במאפיינים מקריים </w:t>
      </w:r>
      <w:r w:rsidR="009C463A">
        <w:rPr>
          <w:rFonts w:hint="cs"/>
          <w:rtl/>
        </w:rPr>
        <w:t>מסוימים</w:t>
      </w:r>
      <w:r w:rsidR="00EF7D78">
        <w:rPr>
          <w:rFonts w:hint="cs"/>
          <w:rtl/>
        </w:rPr>
        <w:t xml:space="preserve"> שלהם, אלא ההבדל ביניהם הוא במזג שלהם, שקובע את האופן </w:t>
      </w:r>
      <w:r w:rsidR="00CD79E0">
        <w:rPr>
          <w:rFonts w:hint="cs"/>
          <w:rtl/>
        </w:rPr>
        <w:t xml:space="preserve">העצמי </w:t>
      </w:r>
      <w:r w:rsidR="00EF7D78">
        <w:rPr>
          <w:rFonts w:hint="cs"/>
          <w:rtl/>
        </w:rPr>
        <w:t>של חלות צורת האדם בחומר שלהם</w:t>
      </w:r>
      <w:r w:rsidR="00CD79E0">
        <w:rPr>
          <w:rFonts w:hint="cs"/>
          <w:rtl/>
        </w:rPr>
        <w:t>, מה שהוא מעבר למקרים חיצוניים בלבד</w:t>
      </w:r>
      <w:r w:rsidR="00EF7D78">
        <w:rPr>
          <w:rFonts w:hint="cs"/>
          <w:rtl/>
        </w:rPr>
        <w:t>.</w:t>
      </w:r>
    </w:p>
    <w:p w14:paraId="32081B1F" w14:textId="4CB829AB" w:rsidR="00964FBB" w:rsidRDefault="00181759">
      <w:pPr>
        <w:pStyle w:val="FootnoteText"/>
        <w:rPr>
          <w:rtl/>
        </w:rPr>
      </w:pPr>
      <w:r>
        <w:rPr>
          <w:rFonts w:hint="cs"/>
          <w:rtl/>
        </w:rPr>
        <w:t>בדרך כלל נאמר שההבדל בין ראובן לשמעון הוא בחומר ולא בצורה, כי צורתם שווה (</w:t>
      </w:r>
      <w:r w:rsidR="0046707D">
        <w:rPr>
          <w:rFonts w:hint="cs"/>
          <w:rtl/>
        </w:rPr>
        <w:t>עיי</w:t>
      </w:r>
      <w:r w:rsidR="003309F1">
        <w:rPr>
          <w:rFonts w:hint="cs"/>
          <w:rtl/>
        </w:rPr>
        <w:t>ן</w:t>
      </w:r>
      <w:r w:rsidR="0046707D">
        <w:rPr>
          <w:rFonts w:hint="cs"/>
          <w:rtl/>
        </w:rPr>
        <w:t xml:space="preserve"> עוד בזה </w:t>
      </w:r>
      <w:r w:rsidR="003309F1">
        <w:rPr>
          <w:rFonts w:hint="cs"/>
          <w:rtl/>
        </w:rPr>
        <w:t>ב</w:t>
      </w:r>
      <w:r w:rsidR="0046707D">
        <w:rPr>
          <w:rFonts w:hint="cs"/>
          <w:rtl/>
        </w:rPr>
        <w:t>מטאפיזיקה זטא סוף פרק ח'</w:t>
      </w:r>
      <w:r>
        <w:rPr>
          <w:rFonts w:hint="cs"/>
          <w:rtl/>
        </w:rPr>
        <w:t xml:space="preserve">), </w:t>
      </w:r>
      <w:r w:rsidR="003309F1">
        <w:rPr>
          <w:rFonts w:hint="cs"/>
          <w:rtl/>
        </w:rPr>
        <w:t xml:space="preserve">או שההבדל ביניהם הוא רק במקרים, כלומר במקרה לראובן יש שיער שחור ולשמעון במקרה יש שיער בהיר וכל כיו"ב. החומר והמקרים הם עניינים ששייכים זה לזה. </w:t>
      </w:r>
      <w:r w:rsidR="00433434">
        <w:rPr>
          <w:rFonts w:hint="cs"/>
          <w:rtl/>
        </w:rPr>
        <w:t xml:space="preserve">אמנם באמת כשמתבוננים ראובן אינו אותו שמעון עצמו רק עם שיער שחור, </w:t>
      </w:r>
      <w:r w:rsidR="00F95B67">
        <w:rPr>
          <w:rFonts w:hint="cs"/>
          <w:rtl/>
        </w:rPr>
        <w:t>ואם נצבע את שיערו של ראובן לבהיר אשתו תחשוב שזה שמעון בעלה (וכן שאר המקרים שהם כמו צבע השיער). וודאי יש בראובן משהו שהוא בעצ</w:t>
      </w:r>
      <w:r w:rsidR="00276822">
        <w:rPr>
          <w:rFonts w:hint="cs"/>
          <w:rtl/>
        </w:rPr>
        <w:t>מו</w:t>
      </w:r>
      <w:r w:rsidR="00F95B67">
        <w:rPr>
          <w:rFonts w:hint="cs"/>
          <w:rtl/>
        </w:rPr>
        <w:t>, במהות</w:t>
      </w:r>
      <w:r w:rsidR="00276822">
        <w:rPr>
          <w:rFonts w:hint="cs"/>
          <w:rtl/>
        </w:rPr>
        <w:t>ו</w:t>
      </w:r>
      <w:r w:rsidR="00F95B67">
        <w:rPr>
          <w:rFonts w:hint="cs"/>
          <w:rtl/>
        </w:rPr>
        <w:t xml:space="preserve">, </w:t>
      </w:r>
      <w:r w:rsidR="007C6476">
        <w:rPr>
          <w:rFonts w:hint="cs"/>
          <w:rtl/>
        </w:rPr>
        <w:t xml:space="preserve">שמייחד אותו משמעון,ומה הוא העניין הזה אם אינו הצורה שבה הם שווים </w:t>
      </w:r>
      <w:r w:rsidR="00276822">
        <w:rPr>
          <w:rFonts w:hint="cs"/>
          <w:rtl/>
        </w:rPr>
        <w:t>(</w:t>
      </w:r>
      <w:r w:rsidR="007C6476">
        <w:rPr>
          <w:rFonts w:hint="cs"/>
          <w:rtl/>
        </w:rPr>
        <w:t>כי שניהם הם 'חי מדבר'</w:t>
      </w:r>
      <w:r w:rsidR="00276822">
        <w:rPr>
          <w:rFonts w:hint="cs"/>
          <w:rtl/>
        </w:rPr>
        <w:t>)</w:t>
      </w:r>
      <w:r w:rsidR="007C6476">
        <w:rPr>
          <w:rFonts w:hint="cs"/>
          <w:rtl/>
        </w:rPr>
        <w:t xml:space="preserve"> וגם </w:t>
      </w:r>
      <w:r w:rsidR="00276822">
        <w:rPr>
          <w:rFonts w:hint="cs"/>
          <w:rtl/>
        </w:rPr>
        <w:t>לא</w:t>
      </w:r>
      <w:r w:rsidR="007C6476">
        <w:rPr>
          <w:rFonts w:hint="cs"/>
          <w:rtl/>
        </w:rPr>
        <w:t xml:space="preserve"> המקרים כי</w:t>
      </w:r>
      <w:r w:rsidR="00276822">
        <w:rPr>
          <w:rFonts w:hint="cs"/>
          <w:rtl/>
        </w:rPr>
        <w:t xml:space="preserve"> אנו מבקשים כעת את ה'ראובניות' שבראובן</w:t>
      </w:r>
      <w:r w:rsidR="00147095">
        <w:rPr>
          <w:rtl/>
        </w:rPr>
        <w:fldChar w:fldCharType="begin"/>
      </w:r>
      <w:r w:rsidR="00147095">
        <w:instrText xml:space="preserve"> XE "</w:instrText>
      </w:r>
      <w:r w:rsidR="00147095" w:rsidRPr="00B403A2">
        <w:rPr>
          <w:rFonts w:hint="cs"/>
          <w:rtl/>
        </w:rPr>
        <w:instrText>מזג - צורת ה'ראובניות' שמיוחדת לראובן</w:instrText>
      </w:r>
      <w:r w:rsidR="00147095">
        <w:instrText xml:space="preserve">" </w:instrText>
      </w:r>
      <w:r w:rsidR="00147095">
        <w:rPr>
          <w:rtl/>
        </w:rPr>
        <w:fldChar w:fldCharType="end"/>
      </w:r>
      <w:r w:rsidR="00276822">
        <w:rPr>
          <w:rFonts w:hint="cs"/>
          <w:rtl/>
        </w:rPr>
        <w:t xml:space="preserve">, את המהות העצמית המייחדת אותו משאר בני האדם. </w:t>
      </w:r>
      <w:r w:rsidR="00B0128F">
        <w:rPr>
          <w:rFonts w:hint="cs"/>
          <w:rtl/>
        </w:rPr>
        <w:t xml:space="preserve">העניין הזה הוא המזג, המזג המיוחד של החומר של ראובן (שהוא משתנה תמיד ועדיין נכלל בגבולות של מזג </w:t>
      </w:r>
      <w:r w:rsidR="009C463A">
        <w:rPr>
          <w:rFonts w:hint="cs"/>
          <w:rtl/>
        </w:rPr>
        <w:t>מסוים</w:t>
      </w:r>
      <w:r w:rsidR="00B0128F">
        <w:rPr>
          <w:rFonts w:hint="cs"/>
          <w:rtl/>
        </w:rPr>
        <w:t xml:space="preserve"> מתמיד)</w:t>
      </w:r>
      <w:r w:rsidR="00C65A77">
        <w:rPr>
          <w:rFonts w:hint="cs"/>
          <w:rtl/>
        </w:rPr>
        <w:t xml:space="preserve"> </w:t>
      </w:r>
      <w:r w:rsidR="00B0128F">
        <w:rPr>
          <w:rFonts w:hint="cs"/>
          <w:rtl/>
        </w:rPr>
        <w:t xml:space="preserve">קובע קביעה עצמית </w:t>
      </w:r>
      <w:r w:rsidR="00C65A77">
        <w:rPr>
          <w:rFonts w:hint="cs"/>
          <w:rtl/>
        </w:rPr>
        <w:t xml:space="preserve">מהותית </w:t>
      </w:r>
      <w:r w:rsidR="00B0128F">
        <w:rPr>
          <w:rFonts w:hint="cs"/>
          <w:rtl/>
        </w:rPr>
        <w:t xml:space="preserve">בצורת האדם </w:t>
      </w:r>
      <w:r w:rsidR="00C65A77">
        <w:rPr>
          <w:rFonts w:hint="cs"/>
          <w:rtl/>
        </w:rPr>
        <w:t xml:space="preserve">מבחינת האופן בוא היא מוטבעת באופן </w:t>
      </w:r>
      <w:r w:rsidR="009C463A">
        <w:rPr>
          <w:rFonts w:hint="cs"/>
          <w:rtl/>
        </w:rPr>
        <w:t>מסוים</w:t>
      </w:r>
      <w:r w:rsidR="00C65A77">
        <w:rPr>
          <w:rFonts w:hint="cs"/>
          <w:rtl/>
        </w:rPr>
        <w:t xml:space="preserve"> בראובן, </w:t>
      </w:r>
      <w:r w:rsidR="00B0128F">
        <w:rPr>
          <w:rFonts w:hint="cs"/>
          <w:rtl/>
        </w:rPr>
        <w:t>והופך אותה</w:t>
      </w:r>
      <w:r w:rsidR="00C65A77">
        <w:rPr>
          <w:rFonts w:hint="cs"/>
          <w:rtl/>
        </w:rPr>
        <w:t xml:space="preserve"> מצורת אדם כללית לצורת ה'ראובניות' המייחדת את ראובן משאר בני האדם.</w:t>
      </w:r>
      <w:r w:rsidR="00697794">
        <w:rPr>
          <w:rFonts w:hint="cs"/>
          <w:rtl/>
        </w:rPr>
        <w:t xml:space="preserve"> באופן דומה אם נשאל מה המייחד את מין הסוס ממין הכלב, אין לנו תשובה צורנית ברורה כמו מה שמייחד את האדם משאר בעלי החיים במה שיש לו כח הדיבור. </w:t>
      </w:r>
      <w:r w:rsidR="00CA1381">
        <w:rPr>
          <w:rFonts w:hint="cs"/>
          <w:rtl/>
        </w:rPr>
        <w:t>לאדם יש כח דיבור שאין לסוס</w:t>
      </w:r>
      <w:r w:rsidR="0064169B">
        <w:rPr>
          <w:rFonts w:hint="cs"/>
          <w:rtl/>
        </w:rPr>
        <w:t xml:space="preserve"> ולכן הוא מין חי בפני עצמו</w:t>
      </w:r>
      <w:r w:rsidR="00CA1381">
        <w:rPr>
          <w:rFonts w:hint="cs"/>
          <w:rtl/>
        </w:rPr>
        <w:t>, אבל מה יש לכלב שאין לסוס</w:t>
      </w:r>
      <w:r w:rsidR="0064169B">
        <w:rPr>
          <w:rFonts w:hint="cs"/>
          <w:rtl/>
        </w:rPr>
        <w:t xml:space="preserve"> שקובע אותו כמין חי בפני עצמו</w:t>
      </w:r>
      <w:r w:rsidR="00CA1381">
        <w:rPr>
          <w:rFonts w:hint="cs"/>
          <w:rtl/>
        </w:rPr>
        <w:t xml:space="preserve">. </w:t>
      </w:r>
      <w:r w:rsidR="0064169B">
        <w:rPr>
          <w:rFonts w:hint="cs"/>
          <w:rtl/>
        </w:rPr>
        <w:t>התשובה היא צורת הכלביות. אם נשאל מה היא צורת הכלביות, התשובה תהיה שיש</w:t>
      </w:r>
      <w:r w:rsidR="003F3C75">
        <w:rPr>
          <w:rFonts w:hint="cs"/>
          <w:rtl/>
        </w:rPr>
        <w:t xml:space="preserve"> בעולם</w:t>
      </w:r>
      <w:r w:rsidR="0064169B">
        <w:rPr>
          <w:rFonts w:hint="cs"/>
          <w:rtl/>
        </w:rPr>
        <w:t xml:space="preserve"> חומר בעל מזג </w:t>
      </w:r>
      <w:r w:rsidR="009C463A">
        <w:rPr>
          <w:rFonts w:hint="cs"/>
          <w:rtl/>
        </w:rPr>
        <w:t>מסוים</w:t>
      </w:r>
      <w:r w:rsidR="0064169B">
        <w:rPr>
          <w:rFonts w:hint="cs"/>
          <w:rtl/>
        </w:rPr>
        <w:t>, והמזג</w:t>
      </w:r>
      <w:r w:rsidR="003F3C75">
        <w:rPr>
          <w:rFonts w:hint="cs"/>
          <w:rtl/>
        </w:rPr>
        <w:t xml:space="preserve"> הזה</w:t>
      </w:r>
      <w:r w:rsidR="0064169B">
        <w:rPr>
          <w:rFonts w:hint="cs"/>
          <w:rtl/>
        </w:rPr>
        <w:t xml:space="preserve"> קובע את האופן שהצורה 'חי' מוטבעת בחומר הזה, </w:t>
      </w:r>
      <w:r w:rsidR="003F3C75">
        <w:rPr>
          <w:rFonts w:hint="cs"/>
          <w:rtl/>
        </w:rPr>
        <w:t>ומכל המקומות שהיה בהם חומר כזה נוצרו כלבים, ומכל המקומות שבהם לחומר היה מזג שמתאים לקבל את צורת הסוס נוצרו הסוסים. ההבדל במזג אינו נתפש בשכל</w:t>
      </w:r>
      <w:r w:rsidR="008F1DE5">
        <w:rPr>
          <w:rFonts w:hint="cs"/>
          <w:rtl/>
        </w:rPr>
        <w:t xml:space="preserve"> ואי אפשר להסביר מה הוא</w:t>
      </w:r>
      <w:r w:rsidR="003F3C75">
        <w:rPr>
          <w:rFonts w:hint="cs"/>
          <w:rtl/>
        </w:rPr>
        <w:t xml:space="preserve">, אבל ההתבוננות רואה שיש בו כדי לקבוע הבדל של מין. </w:t>
      </w:r>
      <w:r w:rsidR="008F1DE5">
        <w:rPr>
          <w:rFonts w:hint="cs"/>
          <w:rtl/>
        </w:rPr>
        <w:t xml:space="preserve">אפשר שיש הכרח להשתמש כאן גם בכח הדמיון שרואה את </w:t>
      </w:r>
      <w:r w:rsidR="003B2EFA">
        <w:rPr>
          <w:rFonts w:hint="cs"/>
          <w:rtl/>
        </w:rPr>
        <w:t>הבדלי המהות שהמזג יוצר למרות שאינם שכליים.</w:t>
      </w:r>
      <w:r w:rsidR="00E0094A">
        <w:rPr>
          <w:rFonts w:hint="cs"/>
          <w:rtl/>
        </w:rPr>
        <w:t xml:space="preserve"> הארכתי קצת כי זה עניין עמוק ויש עוד הרבה עניינים שנובעים ממנו והוא מפתח להבנת </w:t>
      </w:r>
      <w:r w:rsidR="001C77A8">
        <w:rPr>
          <w:rFonts w:hint="cs"/>
          <w:rtl/>
        </w:rPr>
        <w:t>יסודות גדולים</w:t>
      </w:r>
      <w:r w:rsidR="00E0094A">
        <w:rPr>
          <w:rFonts w:hint="cs"/>
          <w:rtl/>
        </w:rPr>
        <w:t xml:space="preserve"> עמוקים.</w:t>
      </w:r>
    </w:p>
    <w:p w14:paraId="5CC3E3A4" w14:textId="373151CD" w:rsidR="00A27D11" w:rsidRDefault="00964FBB">
      <w:pPr>
        <w:pStyle w:val="FootnoteText"/>
      </w:pPr>
      <w:r>
        <w:rPr>
          <w:rFonts w:hint="cs"/>
          <w:rtl/>
        </w:rPr>
        <w:t>אם כן לפי אב</w:t>
      </w:r>
      <w:r w:rsidR="000E4B49">
        <w:rPr>
          <w:rFonts w:hint="cs"/>
          <w:rtl/>
        </w:rPr>
        <w:t>ן</w:t>
      </w:r>
      <w:r>
        <w:rPr>
          <w:rFonts w:hint="cs"/>
          <w:rtl/>
        </w:rPr>
        <w:t xml:space="preserve"> סינא ליסודות</w:t>
      </w:r>
      <w:r w:rsidR="000E4B49">
        <w:rPr>
          <w:rFonts w:hint="cs"/>
          <w:rtl/>
        </w:rPr>
        <w:t xml:space="preserve"> הפשוטים</w:t>
      </w:r>
      <w:r>
        <w:rPr>
          <w:rFonts w:hint="cs"/>
          <w:rtl/>
        </w:rPr>
        <w:t xml:space="preserve"> יש </w:t>
      </w:r>
      <w:r w:rsidR="00442991">
        <w:rPr>
          <w:rFonts w:hint="cs"/>
          <w:rtl/>
        </w:rPr>
        <w:t>'</w:t>
      </w:r>
      <w:r w:rsidR="006B7906">
        <w:rPr>
          <w:rFonts w:hint="cs"/>
          <w:rtl/>
        </w:rPr>
        <w:t>צ</w:t>
      </w:r>
      <w:r>
        <w:rPr>
          <w:rFonts w:hint="cs"/>
          <w:rtl/>
        </w:rPr>
        <w:t>ורה</w:t>
      </w:r>
      <w:r w:rsidR="00442991">
        <w:rPr>
          <w:rFonts w:hint="cs"/>
          <w:rtl/>
        </w:rPr>
        <w:t>'</w:t>
      </w:r>
      <w:r>
        <w:rPr>
          <w:rFonts w:hint="cs"/>
          <w:rtl/>
        </w:rPr>
        <w:t>, כי אין להם מזג והצורה שלהם חלה בהם באופן שלם ומלא</w:t>
      </w:r>
      <w:r w:rsidR="00442991">
        <w:rPr>
          <w:rFonts w:hint="cs"/>
          <w:rtl/>
        </w:rPr>
        <w:t xml:space="preserve"> כמו שהיא בעולם האידיאות המופשטות</w:t>
      </w:r>
      <w:r>
        <w:rPr>
          <w:rFonts w:hint="cs"/>
          <w:rtl/>
        </w:rPr>
        <w:t xml:space="preserve"> בלי שהמזג מעכב </w:t>
      </w:r>
      <w:r w:rsidR="000E4B49">
        <w:rPr>
          <w:rFonts w:hint="cs"/>
          <w:rtl/>
        </w:rPr>
        <w:t>צדדים בהתגלותה</w:t>
      </w:r>
      <w:r w:rsidR="0057467B">
        <w:rPr>
          <w:rFonts w:hint="cs"/>
          <w:rtl/>
        </w:rPr>
        <w:t xml:space="preserve"> (ועל ידי העיכוב הזה הופך אותה לצורות משנה שונות זו מזו כמו שהצורה 'אדם' מתפרטת לצורות משנה של ראובן ושמעון</w:t>
      </w:r>
      <w:r w:rsidR="00B13FF5">
        <w:rPr>
          <w:rFonts w:hint="cs"/>
          <w:rtl/>
        </w:rPr>
        <w:t>. המזג רק מסתיר חלקית צדדים מהצורה, הוא אינו מגלה מה שלא נמצא בצורה, אבל ההסתרה החלקית שלו אינה רק מקרים אלא אופן של הצורה השלמה, כמו לראות את העולם דרך זכוכית כהה</w:t>
      </w:r>
      <w:r w:rsidR="00253211">
        <w:rPr>
          <w:rFonts w:hint="cs"/>
          <w:rtl/>
        </w:rPr>
        <w:t>, ונאמר שראובן הוא צורת אדם כמו שנראית במשקפי שמש חומות ושמעון הוא צורת אדם כמו</w:t>
      </w:r>
      <w:r w:rsidR="0075359C">
        <w:rPr>
          <w:rFonts w:hint="cs"/>
          <w:rtl/>
        </w:rPr>
        <w:t xml:space="preserve"> </w:t>
      </w:r>
      <w:r w:rsidR="00253211">
        <w:rPr>
          <w:rFonts w:hint="cs"/>
          <w:rtl/>
        </w:rPr>
        <w:t>שנראית במשקפי שמש ירוקות</w:t>
      </w:r>
      <w:r w:rsidR="0075359C">
        <w:rPr>
          <w:rFonts w:hint="cs"/>
          <w:rtl/>
        </w:rPr>
        <w:t xml:space="preserve">. זה לא רק מקרה כמו צבע שיער אלא גילוי של הצורה עצמה, אבל החלקיות של הגילוי </w:t>
      </w:r>
      <w:r w:rsidR="00551354">
        <w:rPr>
          <w:rFonts w:hint="cs"/>
          <w:rtl/>
        </w:rPr>
        <w:t xml:space="preserve">בכך שכל הצורה נראית בעמעום אחר, </w:t>
      </w:r>
      <w:r w:rsidR="0075359C">
        <w:rPr>
          <w:rFonts w:hint="cs"/>
          <w:rtl/>
        </w:rPr>
        <w:t>היא המקרה שהופך את הצורות הפרטיות של בני האדם ל</w:t>
      </w:r>
      <w:r w:rsidR="00551354">
        <w:rPr>
          <w:rFonts w:hint="cs"/>
          <w:rtl/>
        </w:rPr>
        <w:t xml:space="preserve">צורות אדם </w:t>
      </w:r>
      <w:r w:rsidR="0075359C">
        <w:rPr>
          <w:rFonts w:hint="cs"/>
          <w:rtl/>
        </w:rPr>
        <w:t xml:space="preserve">שונות זו מזו למרות שאין בהם שום תוספת על צורת </w:t>
      </w:r>
      <w:r w:rsidR="00551354">
        <w:rPr>
          <w:rFonts w:hint="cs"/>
          <w:rtl/>
        </w:rPr>
        <w:t>ה</w:t>
      </w:r>
      <w:r w:rsidR="0075359C">
        <w:rPr>
          <w:rFonts w:hint="cs"/>
          <w:rtl/>
        </w:rPr>
        <w:t>'אדם' כ'חי מדבר'</w:t>
      </w:r>
      <w:r w:rsidR="0057467B">
        <w:rPr>
          <w:rFonts w:hint="cs"/>
          <w:rtl/>
        </w:rPr>
        <w:t>)</w:t>
      </w:r>
      <w:r w:rsidR="000E4B49">
        <w:rPr>
          <w:rFonts w:hint="cs"/>
          <w:rtl/>
        </w:rPr>
        <w:t>. איננו רואים את היסודות הפשוטים והם לא חלק מהטבע כלל אלא ה</w:t>
      </w:r>
      <w:r w:rsidR="00217ECB">
        <w:rPr>
          <w:rFonts w:hint="cs"/>
          <w:rtl/>
        </w:rPr>
        <w:t xml:space="preserve">ם </w:t>
      </w:r>
      <w:r w:rsidR="006B7906">
        <w:rPr>
          <w:rFonts w:hint="cs"/>
          <w:rtl/>
        </w:rPr>
        <w:t>משורשיו ה</w:t>
      </w:r>
      <w:r w:rsidR="00217ECB">
        <w:rPr>
          <w:rFonts w:hint="cs"/>
          <w:rtl/>
        </w:rPr>
        <w:t>מופשטים, רק היסוד החמישי שממנו הגלגלים קיים</w:t>
      </w:r>
      <w:r w:rsidR="006B7906">
        <w:rPr>
          <w:rFonts w:hint="cs"/>
          <w:rtl/>
        </w:rPr>
        <w:t xml:space="preserve"> בטבע ב</w:t>
      </w:r>
      <w:r w:rsidR="00217ECB">
        <w:rPr>
          <w:rFonts w:hint="cs"/>
          <w:rtl/>
        </w:rPr>
        <w:t xml:space="preserve">גלוי, אם כי </w:t>
      </w:r>
      <w:r w:rsidR="00CA2AB7">
        <w:rPr>
          <w:rFonts w:hint="cs"/>
          <w:rtl/>
        </w:rPr>
        <w:t>כמעט בלתי אפשרי</w:t>
      </w:r>
      <w:r w:rsidR="00217ECB">
        <w:rPr>
          <w:rFonts w:hint="cs"/>
          <w:rtl/>
        </w:rPr>
        <w:t xml:space="preserve"> ל</w:t>
      </w:r>
      <w:r w:rsidR="00CA2AB7">
        <w:rPr>
          <w:rFonts w:hint="cs"/>
          <w:rtl/>
        </w:rPr>
        <w:t>ה</w:t>
      </w:r>
      <w:r w:rsidR="00217ECB">
        <w:rPr>
          <w:rFonts w:hint="cs"/>
          <w:rtl/>
        </w:rPr>
        <w:t>ש</w:t>
      </w:r>
      <w:r w:rsidR="00CA2AB7">
        <w:rPr>
          <w:rFonts w:hint="cs"/>
          <w:rtl/>
        </w:rPr>
        <w:t>יג</w:t>
      </w:r>
      <w:r w:rsidR="00217ECB">
        <w:rPr>
          <w:rFonts w:hint="cs"/>
          <w:rtl/>
        </w:rPr>
        <w:t xml:space="preserve"> אותו כמו שכתב במורה נבוכים א' נ"ח</w:t>
      </w:r>
      <w:r w:rsidR="00442991">
        <w:rPr>
          <w:rFonts w:hint="cs"/>
          <w:rtl/>
        </w:rPr>
        <w:t>, והוא קרוב להיות מופשט</w:t>
      </w:r>
      <w:r w:rsidR="00CA2AB7">
        <w:rPr>
          <w:rFonts w:hint="cs"/>
          <w:rtl/>
        </w:rPr>
        <w:t>.</w:t>
      </w:r>
      <w:r w:rsidR="006B7906">
        <w:rPr>
          <w:rFonts w:hint="cs"/>
          <w:rtl/>
        </w:rPr>
        <w:t xml:space="preserve"> </w:t>
      </w:r>
      <w:r w:rsidR="00593EC5">
        <w:rPr>
          <w:rFonts w:hint="cs"/>
          <w:rtl/>
        </w:rPr>
        <w:t xml:space="preserve">כך שכל הטבע חוץ מגרמי השמיים יש בו רק מזגים ולא 'צורות' במובן המלא של המונח הזה. לפעמים </w:t>
      </w:r>
      <w:r w:rsidR="003F2577">
        <w:rPr>
          <w:rFonts w:hint="cs"/>
          <w:rtl/>
        </w:rPr>
        <w:t>אין צורך לטרוח בהבחנה הזו והכל נקרא</w:t>
      </w:r>
      <w:r w:rsidR="005E1786">
        <w:rPr>
          <w:rFonts w:hint="cs"/>
          <w:rtl/>
        </w:rPr>
        <w:t xml:space="preserve"> </w:t>
      </w:r>
      <w:r w:rsidR="003F2577">
        <w:rPr>
          <w:rFonts w:hint="cs"/>
          <w:rtl/>
        </w:rPr>
        <w:t>צורות</w:t>
      </w:r>
      <w:r w:rsidR="005E1786">
        <w:rPr>
          <w:rFonts w:hint="cs"/>
          <w:rtl/>
        </w:rPr>
        <w:t xml:space="preserve"> גם אצל אבן סינא</w:t>
      </w:r>
      <w:r w:rsidR="003F2577">
        <w:rPr>
          <w:rFonts w:hint="cs"/>
          <w:rtl/>
        </w:rPr>
        <w:t xml:space="preserve">, אבל כשעוסקים בהגדרה מהו </w:t>
      </w:r>
      <w:r w:rsidR="005E1786">
        <w:rPr>
          <w:rFonts w:hint="cs"/>
          <w:rtl/>
        </w:rPr>
        <w:t>'</w:t>
      </w:r>
      <w:r w:rsidR="003F2577">
        <w:rPr>
          <w:rFonts w:hint="cs"/>
          <w:rtl/>
        </w:rPr>
        <w:t>טבע</w:t>
      </w:r>
      <w:r w:rsidR="005E1786">
        <w:rPr>
          <w:rFonts w:hint="cs"/>
          <w:rtl/>
        </w:rPr>
        <w:t xml:space="preserve">' </w:t>
      </w:r>
      <w:r w:rsidR="003F2577">
        <w:rPr>
          <w:rFonts w:hint="cs"/>
          <w:rtl/>
        </w:rPr>
        <w:t>ומגדירים אותו כ</w:t>
      </w:r>
      <w:r w:rsidR="005E1786">
        <w:rPr>
          <w:rFonts w:hint="cs"/>
          <w:rtl/>
        </w:rPr>
        <w:t>'</w:t>
      </w:r>
      <w:r w:rsidR="003F2577">
        <w:rPr>
          <w:rFonts w:hint="cs"/>
          <w:rtl/>
        </w:rPr>
        <w:t>צורה</w:t>
      </w:r>
      <w:r w:rsidR="005E1786">
        <w:rPr>
          <w:rFonts w:hint="cs"/>
          <w:rtl/>
        </w:rPr>
        <w:t>'</w:t>
      </w:r>
      <w:r w:rsidR="003F2577">
        <w:rPr>
          <w:rFonts w:hint="cs"/>
          <w:rtl/>
        </w:rPr>
        <w:t>, יש צורך להבחין בעניין זה בין צורה</w:t>
      </w:r>
      <w:r w:rsidR="005E1786">
        <w:rPr>
          <w:rFonts w:hint="cs"/>
          <w:rtl/>
        </w:rPr>
        <w:t xml:space="preserve"> במובן המוחלט</w:t>
      </w:r>
      <w:r w:rsidR="003F2577">
        <w:rPr>
          <w:rFonts w:hint="cs"/>
          <w:rtl/>
        </w:rPr>
        <w:t xml:space="preserve"> למזג</w:t>
      </w:r>
      <w:r w:rsidR="005E1786">
        <w:rPr>
          <w:rFonts w:hint="cs"/>
          <w:rtl/>
        </w:rPr>
        <w:t xml:space="preserve"> שהוא ה</w:t>
      </w:r>
      <w:r w:rsidR="00FE02E1">
        <w:rPr>
          <w:rFonts w:hint="cs"/>
          <w:rtl/>
        </w:rPr>
        <w:t>קובע את ה</w:t>
      </w:r>
      <w:r w:rsidR="005E1786">
        <w:rPr>
          <w:rFonts w:hint="cs"/>
          <w:rtl/>
        </w:rPr>
        <w:t>צורה בהתגלותה בטבע</w:t>
      </w:r>
      <w:r w:rsidR="00FE02E1">
        <w:rPr>
          <w:rFonts w:hint="cs"/>
          <w:rtl/>
        </w:rPr>
        <w:t xml:space="preserve"> בגופים החומריים השונים זה מזה. הכוונה כאן כמובן היא לצורה </w:t>
      </w:r>
      <w:r w:rsidR="00F71D96">
        <w:rPr>
          <w:rFonts w:hint="cs"/>
          <w:rtl/>
        </w:rPr>
        <w:t>באופן התגלותה באמצעות המזג, ולא למזג מצד עצמו שהוא ממקרי החומר, כלומר שורש עניין המקריות של החומר</w:t>
      </w:r>
      <w:r w:rsidR="00593EC5">
        <w:rPr>
          <w:rFonts w:hint="cs"/>
          <w:rtl/>
        </w:rPr>
        <w:t xml:space="preserve">. </w:t>
      </w:r>
    </w:p>
  </w:footnote>
  <w:footnote w:id="520">
    <w:p w14:paraId="606CEEDF" w14:textId="61E88B3B" w:rsidR="00D32120" w:rsidRPr="00FA0977" w:rsidRDefault="00D32120">
      <w:pPr>
        <w:pStyle w:val="FootnoteText"/>
      </w:pPr>
      <w:r>
        <w:rPr>
          <w:rStyle w:val="FootnoteReference"/>
        </w:rPr>
        <w:footnoteRef/>
      </w:r>
      <w:r>
        <w:rPr>
          <w:rtl/>
        </w:rPr>
        <w:t xml:space="preserve"> </w:t>
      </w:r>
      <w:r>
        <w:rPr>
          <w:rFonts w:hint="cs"/>
          <w:rtl/>
        </w:rPr>
        <w:t>כלומר הפילוסופים שלפני אפלטון, מה שמכונה ה</w:t>
      </w:r>
      <w:r w:rsidR="001E0F26">
        <w:rPr>
          <w:rFonts w:hint="cs"/>
          <w:rtl/>
        </w:rPr>
        <w:t>פרה</w:t>
      </w:r>
      <w:r>
        <w:rPr>
          <w:rFonts w:hint="cs"/>
          <w:rtl/>
        </w:rPr>
        <w:t>-</w:t>
      </w:r>
      <w:r>
        <w:rPr>
          <w:rFonts w:hint="cs"/>
          <w:rtl/>
        </w:rPr>
        <w:t>סוקר</w:t>
      </w:r>
      <w:r w:rsidRPr="00FA0977">
        <w:rPr>
          <w:rtl/>
        </w:rPr>
        <w:t>טיים</w:t>
      </w:r>
      <w:r w:rsidR="00250324" w:rsidRPr="00FA0977">
        <w:rPr>
          <w:rtl/>
        </w:rPr>
        <w:t>, שהובאו דבריהם בפיזיקה של אריסטו.</w:t>
      </w:r>
    </w:p>
  </w:footnote>
  <w:footnote w:id="521">
    <w:p w14:paraId="1874A77C" w14:textId="79355B1C" w:rsidR="00C515D0" w:rsidRDefault="00C515D0">
      <w:pPr>
        <w:pStyle w:val="FootnoteText"/>
      </w:pPr>
      <w:r w:rsidRPr="00FA0977">
        <w:rPr>
          <w:rStyle w:val="FootnoteReference"/>
        </w:rPr>
        <w:footnoteRef/>
      </w:r>
      <w:r w:rsidRPr="00FA0977">
        <w:rPr>
          <w:rtl/>
        </w:rPr>
        <w:t xml:space="preserve"> </w:t>
      </w:r>
      <w:r w:rsidR="00E27574" w:rsidRPr="00FA0977">
        <w:rPr>
          <w:rtl/>
        </w:rPr>
        <w:t xml:space="preserve">במקור </w:t>
      </w:r>
      <w:r w:rsidR="00E27574" w:rsidRPr="00FA0977">
        <w:rPr>
          <w:rFonts w:ascii="Arial" w:hAnsi="Arial" w:cs="Arial" w:hint="cs"/>
          <w:rtl/>
          <w:lang w:bidi="ar-SA"/>
        </w:rPr>
        <w:t>المادة</w:t>
      </w:r>
      <w:r w:rsidR="00E27574" w:rsidRPr="00FA0977">
        <w:rPr>
          <w:rtl/>
        </w:rPr>
        <w:t xml:space="preserve">. </w:t>
      </w:r>
      <w:r w:rsidR="004B4CE8">
        <w:rPr>
          <w:rtl/>
        </w:rPr>
        <w:t>מאדא</w:t>
      </w:r>
      <w:r w:rsidR="00E27574" w:rsidRPr="00FA0977">
        <w:rPr>
          <w:rtl/>
        </w:rPr>
        <w:t xml:space="preserve">, </w:t>
      </w:r>
      <w:r w:rsidR="00FA0977" w:rsidRPr="00FA0977">
        <w:rPr>
          <w:rtl/>
        </w:rPr>
        <w:t xml:space="preserve">(ולא </w:t>
      </w:r>
      <w:r w:rsidR="007067BD">
        <w:rPr>
          <w:rFonts w:hint="cs"/>
          <w:rtl/>
        </w:rPr>
        <w:t>'</w:t>
      </w:r>
      <w:r w:rsidR="00E27574" w:rsidRPr="00FA0977">
        <w:rPr>
          <w:rtl/>
        </w:rPr>
        <w:t>היולי</w:t>
      </w:r>
      <w:r w:rsidR="007067BD">
        <w:rPr>
          <w:rFonts w:hint="cs"/>
          <w:rtl/>
        </w:rPr>
        <w:t>'</w:t>
      </w:r>
      <w:r w:rsidR="00E27574" w:rsidRPr="00FA0977">
        <w:rPr>
          <w:rtl/>
        </w:rPr>
        <w:t xml:space="preserve"> שאינו ביטוי מתאים כאן</w:t>
      </w:r>
      <w:r w:rsidR="00FA0977" w:rsidRPr="00FA0977">
        <w:rPr>
          <w:rtl/>
        </w:rPr>
        <w:t>)</w:t>
      </w:r>
      <w:r w:rsidR="00E27574" w:rsidRPr="00FA0977">
        <w:rPr>
          <w:rtl/>
        </w:rPr>
        <w:t>.</w:t>
      </w:r>
      <w:r w:rsidR="00E27574">
        <w:rPr>
          <w:rFonts w:cs="Times New Roman" w:hint="cs"/>
          <w:rtl/>
        </w:rPr>
        <w:t xml:space="preserve"> </w:t>
      </w:r>
    </w:p>
  </w:footnote>
  <w:footnote w:id="522">
    <w:p w14:paraId="30170C0A" w14:textId="6EFC990F" w:rsidR="00F30A41" w:rsidRDefault="00F30A41">
      <w:pPr>
        <w:pStyle w:val="FootnoteText"/>
        <w:rPr>
          <w:rtl/>
        </w:rPr>
      </w:pPr>
      <w:r>
        <w:rPr>
          <w:rStyle w:val="FootnoteReference"/>
        </w:rPr>
        <w:footnoteRef/>
      </w:r>
      <w:r>
        <w:rPr>
          <w:rtl/>
        </w:rPr>
        <w:t xml:space="preserve"> </w:t>
      </w:r>
      <w:r w:rsidR="004C7763">
        <w:rPr>
          <w:rFonts w:hint="cs"/>
          <w:rtl/>
        </w:rPr>
        <w:t xml:space="preserve">עיין פיזיקה ב' א' </w:t>
      </w:r>
      <w:r w:rsidR="00223929">
        <w:rPr>
          <w:rFonts w:hint="cs"/>
          <w:rtl/>
        </w:rPr>
        <w:t xml:space="preserve">עמ' </w:t>
      </w:r>
      <w:r w:rsidR="00223929">
        <w:rPr>
          <w:rFonts w:hint="cs"/>
          <w:rtl/>
        </w:rPr>
        <w:t>193א שורה 12</w:t>
      </w:r>
      <w:r w:rsidR="00BF42A8">
        <w:rPr>
          <w:rFonts w:hint="cs"/>
          <w:rtl/>
        </w:rPr>
        <w:t>.</w:t>
      </w:r>
      <w:r w:rsidR="00A3657C">
        <w:rPr>
          <w:rFonts w:hint="cs"/>
          <w:rtl/>
        </w:rPr>
        <w:t xml:space="preserve"> יש גר</w:t>
      </w:r>
      <w:r w:rsidR="00436711">
        <w:rPr>
          <w:rFonts w:hint="cs"/>
          <w:rtl/>
        </w:rPr>
        <w:t xml:space="preserve">סה מדעית מדוייקת </w:t>
      </w:r>
      <w:r w:rsidR="002845F7">
        <w:rPr>
          <w:rFonts w:hint="cs"/>
          <w:rtl/>
        </w:rPr>
        <w:t>(</w:t>
      </w:r>
      <w:r w:rsidR="002845F7" w:rsidRPr="002845F7">
        <w:t>http://lib.eshia.ir/71473/1/36</w:t>
      </w:r>
      <w:r w:rsidR="002845F7">
        <w:rPr>
          <w:rFonts w:hint="cs"/>
          <w:rtl/>
        </w:rPr>
        <w:t xml:space="preserve">) </w:t>
      </w:r>
      <w:r w:rsidR="00436711">
        <w:rPr>
          <w:rFonts w:hint="cs"/>
          <w:rtl/>
        </w:rPr>
        <w:t xml:space="preserve">שבה לא גורסים </w:t>
      </w:r>
      <w:r w:rsidR="00B950E2">
        <w:rPr>
          <w:rFonts w:hint="cs"/>
          <w:rtl/>
        </w:rPr>
        <w:t>'</w:t>
      </w:r>
      <w:r w:rsidR="00436711">
        <w:rPr>
          <w:rFonts w:hint="cs"/>
          <w:rtl/>
        </w:rPr>
        <w:t>אנטיפון</w:t>
      </w:r>
      <w:r w:rsidR="00B950E2">
        <w:rPr>
          <w:rFonts w:hint="cs"/>
          <w:rtl/>
        </w:rPr>
        <w:t>'</w:t>
      </w:r>
      <w:r w:rsidR="00436711">
        <w:rPr>
          <w:rFonts w:hint="cs"/>
          <w:rtl/>
        </w:rPr>
        <w:t xml:space="preserve"> אלא </w:t>
      </w:r>
      <w:r w:rsidR="00B950E2">
        <w:rPr>
          <w:rFonts w:hint="cs"/>
          <w:rtl/>
        </w:rPr>
        <w:t xml:space="preserve">'אנטיקון' והכוונה </w:t>
      </w:r>
      <w:r w:rsidR="00436711">
        <w:rPr>
          <w:rFonts w:hint="cs"/>
          <w:rtl/>
        </w:rPr>
        <w:t xml:space="preserve">'קדמון'. </w:t>
      </w:r>
      <w:r w:rsidR="00FF59D2">
        <w:rPr>
          <w:rFonts w:hint="cs"/>
          <w:rtl/>
        </w:rPr>
        <w:t xml:space="preserve">בכל אופן גרסתי אנטיפון </w:t>
      </w:r>
      <w:r w:rsidR="00761766">
        <w:rPr>
          <w:rFonts w:hint="cs"/>
          <w:rtl/>
        </w:rPr>
        <w:t xml:space="preserve">כי זה מתאים למה שהביא אריסטו בשמו, </w:t>
      </w:r>
      <w:r w:rsidR="00FF59D2">
        <w:rPr>
          <w:rFonts w:hint="cs"/>
          <w:rtl/>
        </w:rPr>
        <w:t xml:space="preserve">וכן </w:t>
      </w:r>
      <w:r w:rsidR="00761766">
        <w:rPr>
          <w:rFonts w:hint="cs"/>
          <w:rtl/>
        </w:rPr>
        <w:t xml:space="preserve">הוא </w:t>
      </w:r>
      <w:r w:rsidR="00FF59D2">
        <w:rPr>
          <w:rFonts w:hint="cs"/>
          <w:rtl/>
        </w:rPr>
        <w:t xml:space="preserve">במהד' מקגיניס. </w:t>
      </w:r>
    </w:p>
    <w:p w14:paraId="7772202C" w14:textId="0F63164F" w:rsidR="001E42E3" w:rsidRDefault="001E42E3">
      <w:pPr>
        <w:pStyle w:val="FootnoteText"/>
        <w:rPr>
          <w:rtl/>
        </w:rPr>
      </w:pPr>
      <w:r>
        <w:rPr>
          <w:rFonts w:hint="cs"/>
          <w:rtl/>
        </w:rPr>
        <w:t xml:space="preserve">זו לשון אריסטו שם </w:t>
      </w:r>
      <w:r w:rsidR="00132057">
        <w:rPr>
          <w:rFonts w:hint="cs"/>
          <w:rtl/>
        </w:rPr>
        <w:t>(</w:t>
      </w:r>
      <w:r>
        <w:rPr>
          <w:rFonts w:hint="cs"/>
          <w:rtl/>
        </w:rPr>
        <w:t>בתרגום י. לנדא</w:t>
      </w:r>
      <w:r w:rsidR="00132057">
        <w:rPr>
          <w:rFonts w:hint="cs"/>
          <w:rtl/>
        </w:rPr>
        <w:t>)</w:t>
      </w:r>
      <w:r>
        <w:rPr>
          <w:rFonts w:hint="cs"/>
          <w:rtl/>
        </w:rPr>
        <w:t>:</w:t>
      </w:r>
    </w:p>
    <w:p w14:paraId="3FDADE3F" w14:textId="77777777" w:rsidR="00132057" w:rsidRDefault="00132057" w:rsidP="00132057">
      <w:pPr>
        <w:pStyle w:val="FootnoteText"/>
        <w:rPr>
          <w:rtl/>
        </w:rPr>
      </w:pPr>
      <w:r>
        <w:rPr>
          <w:rFonts w:hint="cs"/>
          <w:rtl/>
        </w:rPr>
        <w:t>"</w:t>
      </w:r>
      <w:r>
        <w:rPr>
          <w:rtl/>
        </w:rPr>
        <w:t xml:space="preserve">לאחדים נראה שהטבע או ההוויה של הנמצאים על פי הטבע היא המרכיב הקרוב - חסר עיצוב כשלעצמו - בכל דבר ודבר [נ.ש.: זה המובן השני, לפי הצד שהחומר הראשון הוא לא רק החומר הראשון הכללי אלא כל מה שהוא בבחינת חומר ראשון לאותו עצם]. למשל: העץ הוא טבע המיטה והנחושת - של הפסל. (סימן לכך, אומר אנטיפון, הוא, שאם יקבור אדם מיטה באדמה וברקב תיווצר יכולת ללבלב, לא תיווצר אז מיטה אלא עץ, כך שהאחד שייך לדבר על פי המקרה - עיצוב שעל פי הסכם והאומנות - בעוד שההוויה היא אותו דבר שמתמיד ונושא את העיצובים האלה ברציפות.) </w:t>
      </w:r>
    </w:p>
    <w:p w14:paraId="3E80ECA4" w14:textId="3EC66E17" w:rsidR="00132057" w:rsidRDefault="00132057" w:rsidP="00132057">
      <w:pPr>
        <w:pStyle w:val="FootnoteText"/>
      </w:pPr>
      <w:r>
        <w:rPr>
          <w:rtl/>
        </w:rPr>
        <w:t>ואם גם כל אחד מאלה עומד באותו יחס לדבר מה אחר - כנחושת כזהב, למשל, ביחס למים, העצמות והעצים ביחס לעפר, ובדומה לכך דבר כלשהו מבין שאר הדברים - יהיו האחרונים הטבע וההוויה של אלה. לכן אומרים אחדים שהטבע של הנמצאים הוא אש, אחרים - עפר, אחדים - אוויר, אחדים - מים, אחדים - כמה מאלה, ואחדים - כל אלה. כי את מה שמישהו מהם הניח ככזה (בין אם אחד בין אם יותר) הוא מעמיד כהוויה כולה ואת כל השאר כתכונות, מצבים או עיצובים שלו, ובעוד שהוא עצמו נצחי (שהרי אין לו שינוי אל מחוץ לעצמו), שאר הדברים מתהווים וכלים עד אין-סוף.</w:t>
      </w:r>
      <w:r>
        <w:rPr>
          <w:rFonts w:hint="cs"/>
          <w:rtl/>
        </w:rPr>
        <w:t>"</w:t>
      </w:r>
    </w:p>
  </w:footnote>
  <w:footnote w:id="523">
    <w:p w14:paraId="7BBA9652" w14:textId="1D667C2B" w:rsidR="00A232C7" w:rsidRDefault="00A232C7">
      <w:pPr>
        <w:pStyle w:val="FootnoteText"/>
      </w:pPr>
      <w:r>
        <w:rPr>
          <w:rStyle w:val="FootnoteReference"/>
        </w:rPr>
        <w:footnoteRef/>
      </w:r>
      <w:r>
        <w:rPr>
          <w:rtl/>
        </w:rPr>
        <w:t xml:space="preserve"> </w:t>
      </w:r>
      <w:r w:rsidR="00C6483F">
        <w:rPr>
          <w:rFonts w:hint="cs"/>
          <w:rtl/>
        </w:rPr>
        <w:t>זה כינוי שכיח לאריסטו.</w:t>
      </w:r>
    </w:p>
  </w:footnote>
  <w:footnote w:id="524">
    <w:p w14:paraId="58EE87A0" w14:textId="58AF12D8" w:rsidR="00F30A61" w:rsidRDefault="00F30A61">
      <w:pPr>
        <w:pStyle w:val="FootnoteText"/>
      </w:pPr>
      <w:r>
        <w:rPr>
          <w:rStyle w:val="FootnoteReference"/>
        </w:rPr>
        <w:footnoteRef/>
      </w:r>
      <w:r>
        <w:rPr>
          <w:rtl/>
        </w:rPr>
        <w:t xml:space="preserve"> </w:t>
      </w:r>
      <w:r w:rsidR="00E866EF">
        <w:rPr>
          <w:rFonts w:hint="cs"/>
          <w:rtl/>
        </w:rPr>
        <w:t xml:space="preserve">כל הסיבות של העצם יש בהן סיבות קרובות יותר ויותר. </w:t>
      </w:r>
      <w:r w:rsidR="00DE583B">
        <w:rPr>
          <w:rFonts w:hint="cs"/>
          <w:rtl/>
        </w:rPr>
        <w:t xml:space="preserve">הסיבה החומרית הקרובה של הגוף החי היא </w:t>
      </w:r>
      <w:r w:rsidR="00EF47DE">
        <w:rPr>
          <w:rFonts w:hint="cs"/>
          <w:rtl/>
        </w:rPr>
        <w:t>השרירים והעצבים והדם ו</w:t>
      </w:r>
      <w:r w:rsidR="00DE583B">
        <w:rPr>
          <w:rFonts w:hint="cs"/>
          <w:rtl/>
        </w:rPr>
        <w:t>הליחות</w:t>
      </w:r>
      <w:r w:rsidR="000B0E1D">
        <w:rPr>
          <w:rFonts w:hint="cs"/>
          <w:rtl/>
        </w:rPr>
        <w:t xml:space="preserve"> ושאר הרקמות ל</w:t>
      </w:r>
      <w:r w:rsidR="00AD613C">
        <w:rPr>
          <w:rFonts w:hint="cs"/>
          <w:rtl/>
        </w:rPr>
        <w:t>מיני</w:t>
      </w:r>
      <w:r w:rsidR="000B0E1D">
        <w:rPr>
          <w:rFonts w:hint="cs"/>
          <w:rtl/>
        </w:rPr>
        <w:t>הן</w:t>
      </w:r>
      <w:r w:rsidR="00DE583B">
        <w:rPr>
          <w:rFonts w:hint="cs"/>
          <w:rtl/>
        </w:rPr>
        <w:t xml:space="preserve"> והעצמות </w:t>
      </w:r>
      <w:r w:rsidR="000B0E1D">
        <w:rPr>
          <w:rFonts w:hint="cs"/>
          <w:rtl/>
        </w:rPr>
        <w:t>והסחוסים וכן הלאה.</w:t>
      </w:r>
      <w:r w:rsidR="00115ABD">
        <w:rPr>
          <w:rFonts w:hint="cs"/>
          <w:rtl/>
        </w:rPr>
        <w:t xml:space="preserve"> סיבה חומרית רחוקה יותר היא 'בשר' באופן כללי, סיבה רחוקה עוד יותר היא ארבעת היסודות שמרכיבים את הבשר, ו</w:t>
      </w:r>
      <w:r w:rsidR="00EC11D7">
        <w:rPr>
          <w:rFonts w:hint="cs"/>
          <w:rtl/>
        </w:rPr>
        <w:t>ה</w:t>
      </w:r>
      <w:r w:rsidR="00115ABD">
        <w:rPr>
          <w:rFonts w:hint="cs"/>
          <w:rtl/>
        </w:rPr>
        <w:t>סיבה הכי רחוקה היא החומר הראשון</w:t>
      </w:r>
      <w:r w:rsidR="00EC11D7">
        <w:rPr>
          <w:rFonts w:hint="cs"/>
          <w:rtl/>
        </w:rPr>
        <w:t>, ההיולי</w:t>
      </w:r>
      <w:r w:rsidR="00115ABD">
        <w:rPr>
          <w:rFonts w:hint="cs"/>
          <w:rtl/>
        </w:rPr>
        <w:t xml:space="preserve">. </w:t>
      </w:r>
      <w:r w:rsidR="00EC11D7">
        <w:rPr>
          <w:rFonts w:hint="cs"/>
          <w:rtl/>
        </w:rPr>
        <w:t xml:space="preserve">לפי </w:t>
      </w:r>
      <w:r w:rsidR="00EC11D7">
        <w:rPr>
          <w:rFonts w:hint="cs"/>
          <w:rtl/>
        </w:rPr>
        <w:t xml:space="preserve">אנטיפון </w:t>
      </w:r>
      <w:r w:rsidR="009A6C88">
        <w:rPr>
          <w:rFonts w:hint="cs"/>
          <w:rtl/>
        </w:rPr>
        <w:t>הטבע אינו החומר הקרוב שהוא השרירים והעצבים וכן הלאה, כי זה משתנה</w:t>
      </w:r>
      <w:r w:rsidR="00D1369E">
        <w:rPr>
          <w:rFonts w:hint="cs"/>
          <w:rtl/>
        </w:rPr>
        <w:t xml:space="preserve"> עם הגיל ומצבי הבריאות וכן הלאה, </w:t>
      </w:r>
      <w:r w:rsidR="009A6C88">
        <w:rPr>
          <w:rFonts w:hint="cs"/>
          <w:rtl/>
        </w:rPr>
        <w:t>אלא הטבע הא החומר היותר רחוק דהיינו הבשר ב</w:t>
      </w:r>
      <w:r w:rsidR="00436449">
        <w:rPr>
          <w:rFonts w:hint="cs"/>
          <w:rtl/>
        </w:rPr>
        <w:t>מובן</w:t>
      </w:r>
      <w:r w:rsidR="009A6C88">
        <w:rPr>
          <w:rFonts w:hint="cs"/>
          <w:rtl/>
        </w:rPr>
        <w:t xml:space="preserve"> </w:t>
      </w:r>
      <w:r w:rsidR="00436449">
        <w:rPr>
          <w:rFonts w:hint="cs"/>
          <w:rtl/>
        </w:rPr>
        <w:t>ה</w:t>
      </w:r>
      <w:r w:rsidR="009A6C88">
        <w:rPr>
          <w:rFonts w:hint="cs"/>
          <w:rtl/>
        </w:rPr>
        <w:t>כללי, כי כל זמן ש</w:t>
      </w:r>
      <w:r w:rsidR="00436449">
        <w:rPr>
          <w:rFonts w:hint="cs"/>
          <w:rtl/>
        </w:rPr>
        <w:t>ה</w:t>
      </w:r>
      <w:r w:rsidR="009A6C88">
        <w:rPr>
          <w:rFonts w:hint="cs"/>
          <w:rtl/>
        </w:rPr>
        <w:t xml:space="preserve">גוף החי קיים </w:t>
      </w:r>
      <w:r w:rsidR="00782C8A">
        <w:rPr>
          <w:rFonts w:hint="cs"/>
          <w:rtl/>
        </w:rPr>
        <w:t xml:space="preserve">בכל שינויי מצביו </w:t>
      </w:r>
      <w:r w:rsidR="009A6C88">
        <w:rPr>
          <w:rFonts w:hint="cs"/>
          <w:rtl/>
        </w:rPr>
        <w:t xml:space="preserve">החומר שלו לא משתנה מלהיות בשר. </w:t>
      </w:r>
      <w:r w:rsidR="00DE583B">
        <w:rPr>
          <w:rFonts w:hint="cs"/>
          <w:rtl/>
        </w:rPr>
        <w:t xml:space="preserve"> </w:t>
      </w:r>
    </w:p>
  </w:footnote>
  <w:footnote w:id="525">
    <w:p w14:paraId="7CE5FA64" w14:textId="73024D6D" w:rsidR="00687700" w:rsidRDefault="00D94031">
      <w:pPr>
        <w:pStyle w:val="FootnoteText"/>
        <w:rPr>
          <w:rtl/>
        </w:rPr>
      </w:pPr>
      <w:r>
        <w:rPr>
          <w:rStyle w:val="FootnoteReference"/>
        </w:rPr>
        <w:footnoteRef/>
      </w:r>
      <w:r>
        <w:rPr>
          <w:rtl/>
        </w:rPr>
        <w:t xml:space="preserve"> </w:t>
      </w:r>
      <w:r w:rsidR="00220279">
        <w:rPr>
          <w:rFonts w:hint="cs"/>
          <w:rtl/>
        </w:rPr>
        <w:t>ב</w:t>
      </w:r>
      <w:r w:rsidR="00220279" w:rsidRPr="00220279">
        <w:rPr>
          <w:rtl/>
        </w:rPr>
        <w:t xml:space="preserve">מטאפיזיקה </w:t>
      </w:r>
      <w:r w:rsidR="004A5BA4">
        <w:rPr>
          <w:rFonts w:hint="cs"/>
          <w:rtl/>
        </w:rPr>
        <w:t xml:space="preserve">ספר </w:t>
      </w:r>
      <w:r w:rsidR="00220279" w:rsidRPr="00220279">
        <w:rPr>
          <w:rtl/>
        </w:rPr>
        <w:t>אטא פרק ג</w:t>
      </w:r>
      <w:r w:rsidR="001F39D6">
        <w:rPr>
          <w:rFonts w:hint="cs"/>
          <w:rtl/>
        </w:rPr>
        <w:t>'</w:t>
      </w:r>
      <w:r w:rsidR="00220279">
        <w:rPr>
          <w:rFonts w:hint="cs"/>
          <w:rtl/>
        </w:rPr>
        <w:t xml:space="preserve"> כתב אריסטו שאפשר שגופים מלאכותיים אינם 'עצם'. </w:t>
      </w:r>
      <w:r w:rsidR="007C785B">
        <w:rPr>
          <w:rFonts w:hint="cs"/>
          <w:rtl/>
        </w:rPr>
        <w:t>עצם הוא איחוד בין צורה לחומר, האיחוד הזה הוא פלאי והוא מסוד מעשה מרכבה, כי הם מתאחדים</w:t>
      </w:r>
      <w:r w:rsidR="00E20D21">
        <w:rPr>
          <w:rFonts w:hint="cs"/>
          <w:rtl/>
        </w:rPr>
        <w:t xml:space="preserve"> באחדות גמורה ומוחלטת</w:t>
      </w:r>
      <w:r w:rsidR="007C785B">
        <w:rPr>
          <w:rFonts w:hint="cs"/>
          <w:rtl/>
        </w:rPr>
        <w:t xml:space="preserve"> למרות שהצורה יסודה במופשט והחומר הוא מוגבל. </w:t>
      </w:r>
      <w:r w:rsidR="00E20D21">
        <w:rPr>
          <w:rFonts w:hint="cs"/>
          <w:rtl/>
        </w:rPr>
        <w:t>וכמו שהנפש מתאחדת עם חומר הגוף החי,</w:t>
      </w:r>
      <w:r w:rsidR="00817E3A">
        <w:rPr>
          <w:rFonts w:hint="cs"/>
          <w:rtl/>
        </w:rPr>
        <w:t xml:space="preserve"> שזה מסוד החיים, ואדם אינו יכול לעשות איחוד כזה באופן מלאכותי</w:t>
      </w:r>
      <w:r w:rsidR="00155A19">
        <w:rPr>
          <w:rFonts w:hint="cs"/>
          <w:rtl/>
        </w:rPr>
        <w:t>, כי זו יכולת שמיוחדת לבורא העולם בלבד, כי רק הוא מעל המופשט והחומרי בשווה ורק משם אפשר</w:t>
      </w:r>
      <w:r w:rsidR="00687700">
        <w:rPr>
          <w:rFonts w:hint="cs"/>
          <w:rtl/>
        </w:rPr>
        <w:t xml:space="preserve"> </w:t>
      </w:r>
      <w:r w:rsidR="00155A19">
        <w:rPr>
          <w:rFonts w:hint="cs"/>
          <w:rtl/>
        </w:rPr>
        <w:t>לאחד אותם</w:t>
      </w:r>
      <w:r w:rsidR="00817E3A">
        <w:rPr>
          <w:rFonts w:hint="cs"/>
          <w:rtl/>
        </w:rPr>
        <w:t xml:space="preserve">. </w:t>
      </w:r>
    </w:p>
    <w:p w14:paraId="35C1ADEC" w14:textId="77777777" w:rsidR="00687700" w:rsidRDefault="00687700">
      <w:pPr>
        <w:pStyle w:val="FootnoteText"/>
        <w:rPr>
          <w:rtl/>
        </w:rPr>
      </w:pPr>
      <w:r>
        <w:rPr>
          <w:rFonts w:hint="cs"/>
          <w:rtl/>
        </w:rPr>
        <w:t>וכמו שנאמר בתלמוד ברכות י' א':</w:t>
      </w:r>
    </w:p>
    <w:p w14:paraId="482F5C21" w14:textId="0B3A72D1" w:rsidR="00D94031" w:rsidRDefault="00687700">
      <w:pPr>
        <w:pStyle w:val="FootnoteText"/>
        <w:rPr>
          <w:rtl/>
        </w:rPr>
      </w:pPr>
      <w:r>
        <w:rPr>
          <w:rFonts w:hint="cs"/>
          <w:rtl/>
        </w:rPr>
        <w:t>"</w:t>
      </w:r>
      <w:r w:rsidR="00156CE9" w:rsidRPr="00156CE9">
        <w:rPr>
          <w:rtl/>
        </w:rPr>
        <w:t>בא וראה שלא כמ</w:t>
      </w:r>
      <w:r w:rsidR="00156CE9">
        <w:rPr>
          <w:rFonts w:hint="cs"/>
          <w:rtl/>
        </w:rPr>
        <w:t>י</w:t>
      </w:r>
      <w:r w:rsidR="00156CE9" w:rsidRPr="00156CE9">
        <w:rPr>
          <w:rtl/>
        </w:rPr>
        <w:t>דת הקדוש ברוך הוא מדת בשר ודם</w:t>
      </w:r>
      <w:r w:rsidR="00156CE9">
        <w:rPr>
          <w:rFonts w:hint="cs"/>
          <w:rtl/>
        </w:rPr>
        <w:t>,</w:t>
      </w:r>
      <w:r w:rsidR="00156CE9" w:rsidRPr="00156CE9">
        <w:rPr>
          <w:rtl/>
        </w:rPr>
        <w:t xml:space="preserve"> מדת בשר ודם צר צורה על גבי הכותל ואינו יכול להטיל בה רוח ונשמה קרבים ובני מעים</w:t>
      </w:r>
      <w:r w:rsidR="00115547">
        <w:rPr>
          <w:rFonts w:hint="cs"/>
          <w:rtl/>
        </w:rPr>
        <w:t>,</w:t>
      </w:r>
      <w:r w:rsidR="00156CE9" w:rsidRPr="00156CE9">
        <w:rPr>
          <w:rtl/>
        </w:rPr>
        <w:t xml:space="preserve"> והקב"ה אינו כן</w:t>
      </w:r>
      <w:r w:rsidR="00115547">
        <w:rPr>
          <w:rFonts w:hint="cs"/>
          <w:rtl/>
        </w:rPr>
        <w:t>,</w:t>
      </w:r>
      <w:r w:rsidR="00156CE9" w:rsidRPr="00156CE9">
        <w:rPr>
          <w:rtl/>
        </w:rPr>
        <w:t xml:space="preserve"> צר צורה בתוך צורה ומטיל בה רוח ונשמה קרבים ובני מעים</w:t>
      </w:r>
      <w:r w:rsidR="00115547">
        <w:rPr>
          <w:rFonts w:hint="cs"/>
          <w:rtl/>
        </w:rPr>
        <w:t>.</w:t>
      </w:r>
      <w:r w:rsidR="00156CE9" w:rsidRPr="00156CE9">
        <w:rPr>
          <w:rtl/>
        </w:rPr>
        <w:t xml:space="preserve"> והיינו דאמרה חנה (שמואל א ב, ב) </w:t>
      </w:r>
      <w:r w:rsidR="00115547">
        <w:rPr>
          <w:rFonts w:hint="cs"/>
          <w:rtl/>
        </w:rPr>
        <w:t>"</w:t>
      </w:r>
      <w:r w:rsidR="00156CE9" w:rsidRPr="00156CE9">
        <w:rPr>
          <w:rtl/>
        </w:rPr>
        <w:t>אין קדוש כה' כי אין בלתך ואין צור כאלהינו</w:t>
      </w:r>
      <w:r w:rsidR="00115547">
        <w:rPr>
          <w:rFonts w:hint="cs"/>
          <w:rtl/>
        </w:rPr>
        <w:t>"</w:t>
      </w:r>
      <w:r w:rsidR="00156CE9" w:rsidRPr="00156CE9">
        <w:rPr>
          <w:rtl/>
        </w:rPr>
        <w:t xml:space="preserve">. מאי </w:t>
      </w:r>
      <w:r w:rsidR="00115547">
        <w:rPr>
          <w:rFonts w:hint="cs"/>
          <w:rtl/>
        </w:rPr>
        <w:t>"</w:t>
      </w:r>
      <w:r w:rsidR="00156CE9" w:rsidRPr="00156CE9">
        <w:rPr>
          <w:rtl/>
        </w:rPr>
        <w:t>אין צור כאלהינו</w:t>
      </w:r>
      <w:r w:rsidR="00115547">
        <w:rPr>
          <w:rFonts w:hint="cs"/>
          <w:rtl/>
        </w:rPr>
        <w:t>"?</w:t>
      </w:r>
      <w:r w:rsidR="00156CE9" w:rsidRPr="00156CE9">
        <w:rPr>
          <w:rtl/>
        </w:rPr>
        <w:t xml:space="preserve"> </w:t>
      </w:r>
      <w:r w:rsidR="001D1274">
        <w:rPr>
          <w:rFonts w:hint="cs"/>
          <w:rtl/>
        </w:rPr>
        <w:t xml:space="preserve">- </w:t>
      </w:r>
      <w:r w:rsidR="00156CE9" w:rsidRPr="00156CE9">
        <w:rPr>
          <w:rtl/>
        </w:rPr>
        <w:t>אין צייר כאלהינו</w:t>
      </w:r>
      <w:r>
        <w:rPr>
          <w:rFonts w:hint="cs"/>
          <w:rtl/>
        </w:rPr>
        <w:t>"</w:t>
      </w:r>
      <w:r w:rsidR="00E20D21">
        <w:rPr>
          <w:rFonts w:hint="cs"/>
          <w:rtl/>
        </w:rPr>
        <w:t xml:space="preserve"> </w:t>
      </w:r>
    </w:p>
    <w:p w14:paraId="07A09733" w14:textId="45A6B3B2" w:rsidR="001D1274" w:rsidRDefault="00EF17BD">
      <w:pPr>
        <w:pStyle w:val="FootnoteText"/>
      </w:pPr>
      <w:r>
        <w:rPr>
          <w:rFonts w:hint="cs"/>
          <w:rtl/>
        </w:rPr>
        <w:t xml:space="preserve">אם צורת המיטה הייתה מאוחדת </w:t>
      </w:r>
      <w:r w:rsidR="00C726A5">
        <w:rPr>
          <w:rFonts w:hint="cs"/>
          <w:rtl/>
        </w:rPr>
        <w:t>עם ה</w:t>
      </w:r>
      <w:r>
        <w:rPr>
          <w:rFonts w:hint="cs"/>
          <w:rtl/>
        </w:rPr>
        <w:t xml:space="preserve">חומר שלה באיחוד טבעי, </w:t>
      </w:r>
      <w:r w:rsidR="00E612F5">
        <w:rPr>
          <w:rFonts w:hint="cs"/>
          <w:rtl/>
        </w:rPr>
        <w:t xml:space="preserve">על דרך נפש וגוף, </w:t>
      </w:r>
      <w:r>
        <w:rPr>
          <w:rFonts w:hint="cs"/>
          <w:rtl/>
        </w:rPr>
        <w:t xml:space="preserve">המיטה הייתה </w:t>
      </w:r>
      <w:r w:rsidR="00745643">
        <w:rPr>
          <w:rFonts w:hint="cs"/>
          <w:rtl/>
        </w:rPr>
        <w:t xml:space="preserve">מין </w:t>
      </w:r>
      <w:r w:rsidR="003F123A">
        <w:rPr>
          <w:rFonts w:hint="cs"/>
          <w:rtl/>
        </w:rPr>
        <w:t>ממיני ה</w:t>
      </w:r>
      <w:r w:rsidR="00745643">
        <w:rPr>
          <w:rFonts w:hint="cs"/>
          <w:rtl/>
        </w:rPr>
        <w:t xml:space="preserve">צומח </w:t>
      </w:r>
      <w:r w:rsidR="003F123A">
        <w:rPr>
          <w:rFonts w:hint="cs"/>
          <w:rtl/>
        </w:rPr>
        <w:t xml:space="preserve">שבטבע </w:t>
      </w:r>
      <w:r w:rsidR="00745643">
        <w:rPr>
          <w:rFonts w:hint="cs"/>
          <w:rtl/>
        </w:rPr>
        <w:t>ו</w:t>
      </w:r>
      <w:r w:rsidR="00E612F5">
        <w:rPr>
          <w:rFonts w:hint="cs"/>
          <w:rtl/>
        </w:rPr>
        <w:t>מצמיחה מיטות</w:t>
      </w:r>
      <w:r w:rsidR="00E1087D">
        <w:rPr>
          <w:rFonts w:hint="cs"/>
          <w:rtl/>
        </w:rPr>
        <w:t xml:space="preserve"> ולא עץ</w:t>
      </w:r>
      <w:r w:rsidR="00E612F5">
        <w:rPr>
          <w:rFonts w:hint="cs"/>
          <w:rtl/>
        </w:rPr>
        <w:t xml:space="preserve">, </w:t>
      </w:r>
      <w:r w:rsidR="00E1087D">
        <w:rPr>
          <w:rFonts w:hint="cs"/>
          <w:rtl/>
        </w:rPr>
        <w:t>ו</w:t>
      </w:r>
      <w:r w:rsidR="00E612F5">
        <w:rPr>
          <w:rFonts w:hint="cs"/>
          <w:rtl/>
        </w:rPr>
        <w:t xml:space="preserve">כמו שאדם מוליד אדם ולא מוליד גוש בשר. </w:t>
      </w:r>
    </w:p>
  </w:footnote>
  <w:footnote w:id="526">
    <w:p w14:paraId="7BD4F67D" w14:textId="23207811" w:rsidR="001D7F07" w:rsidRDefault="001D7F07">
      <w:pPr>
        <w:pStyle w:val="FootnoteText"/>
      </w:pPr>
      <w:r>
        <w:rPr>
          <w:rStyle w:val="FootnoteReference"/>
        </w:rPr>
        <w:footnoteRef/>
      </w:r>
      <w:r>
        <w:rPr>
          <w:rtl/>
        </w:rPr>
        <w:t xml:space="preserve"> </w:t>
      </w:r>
      <w:r>
        <w:rPr>
          <w:rFonts w:hint="cs"/>
          <w:rtl/>
        </w:rPr>
        <w:t xml:space="preserve">צורת המיטה היא מקרית לעץ, וצורת </w:t>
      </w:r>
      <w:r w:rsidR="00782C66">
        <w:rPr>
          <w:rFonts w:hint="cs"/>
          <w:rtl/>
        </w:rPr>
        <w:t>גוף חי היא מהותית לבשר, ומה שלא ידע לחלק בין צורה</w:t>
      </w:r>
      <w:r w:rsidR="001F39D6">
        <w:rPr>
          <w:rFonts w:hint="cs"/>
          <w:rtl/>
        </w:rPr>
        <w:t xml:space="preserve"> </w:t>
      </w:r>
      <w:r w:rsidR="00782C66">
        <w:rPr>
          <w:rFonts w:hint="cs"/>
          <w:rtl/>
        </w:rPr>
        <w:t xml:space="preserve">מלאכותית לצורה טבעית באמת הוא חוסר הבנה </w:t>
      </w:r>
      <w:r w:rsidR="001F39D6">
        <w:rPr>
          <w:rFonts w:hint="cs"/>
          <w:rtl/>
        </w:rPr>
        <w:t>של ה</w:t>
      </w:r>
      <w:r w:rsidR="00782C66">
        <w:rPr>
          <w:rFonts w:hint="cs"/>
          <w:rtl/>
        </w:rPr>
        <w:t xml:space="preserve">חילוק בין מקרה למהות. </w:t>
      </w:r>
    </w:p>
  </w:footnote>
  <w:footnote w:id="527">
    <w:p w14:paraId="7E1D64B2" w14:textId="1232C209" w:rsidR="0031160B" w:rsidRDefault="0031160B">
      <w:pPr>
        <w:pStyle w:val="FootnoteText"/>
      </w:pPr>
      <w:r>
        <w:rPr>
          <w:rStyle w:val="FootnoteReference"/>
        </w:rPr>
        <w:footnoteRef/>
      </w:r>
      <w:r>
        <w:rPr>
          <w:rtl/>
        </w:rPr>
        <w:t xml:space="preserve"> </w:t>
      </w:r>
      <w:r w:rsidR="00181E18">
        <w:rPr>
          <w:rFonts w:hint="cs"/>
          <w:rtl/>
        </w:rPr>
        <w:t>אם צורת המיטה היא המקיימת אותה כעצם, כשה</w:t>
      </w:r>
      <w:r w:rsidR="00A93345">
        <w:rPr>
          <w:rFonts w:hint="cs"/>
          <w:rtl/>
        </w:rPr>
        <w:t>מיטה</w:t>
      </w:r>
      <w:r w:rsidR="00181E18">
        <w:rPr>
          <w:rFonts w:hint="cs"/>
          <w:rtl/>
        </w:rPr>
        <w:t xml:space="preserve"> מתפרקת </w:t>
      </w:r>
      <w:r w:rsidR="00A93345">
        <w:rPr>
          <w:rFonts w:hint="cs"/>
          <w:rtl/>
        </w:rPr>
        <w:t xml:space="preserve">וחוזרת להיות סתם עץ </w:t>
      </w:r>
      <w:r w:rsidR="00162F62">
        <w:rPr>
          <w:rFonts w:hint="cs"/>
          <w:rtl/>
        </w:rPr>
        <w:t>הצורה חדלה מלהתקיים, הצורה</w:t>
      </w:r>
      <w:r w:rsidR="002D1AB0">
        <w:rPr>
          <w:rFonts w:hint="cs"/>
          <w:rtl/>
        </w:rPr>
        <w:t xml:space="preserve"> </w:t>
      </w:r>
      <w:r w:rsidR="00162F62">
        <w:rPr>
          <w:rFonts w:hint="cs"/>
          <w:rtl/>
        </w:rPr>
        <w:t xml:space="preserve">לא קיימת אלא עם </w:t>
      </w:r>
      <w:r w:rsidR="002D1AB0">
        <w:rPr>
          <w:rFonts w:hint="cs"/>
          <w:rtl/>
        </w:rPr>
        <w:t>מציאותו של העצם ולא אחרי שהוא חדל</w:t>
      </w:r>
      <w:r w:rsidR="00162F62">
        <w:rPr>
          <w:rFonts w:hint="cs"/>
          <w:rtl/>
        </w:rPr>
        <w:t xml:space="preserve">. </w:t>
      </w:r>
      <w:r w:rsidR="002D1AB0">
        <w:rPr>
          <w:rFonts w:hint="cs"/>
          <w:rtl/>
        </w:rPr>
        <w:t xml:space="preserve">אם החומר של המיטה, דהיינו הקרשים, הוא המקיים אותה כעצם, </w:t>
      </w:r>
      <w:r w:rsidR="00B4796A">
        <w:rPr>
          <w:rFonts w:hint="cs"/>
          <w:rtl/>
        </w:rPr>
        <w:t>ו</w:t>
      </w:r>
      <w:r w:rsidR="002D1AB0">
        <w:rPr>
          <w:rFonts w:hint="cs"/>
          <w:rtl/>
        </w:rPr>
        <w:t>אחרי שה</w:t>
      </w:r>
      <w:r w:rsidR="00B4796A">
        <w:rPr>
          <w:rFonts w:hint="cs"/>
          <w:rtl/>
        </w:rPr>
        <w:t>מיטה</w:t>
      </w:r>
      <w:r w:rsidR="002D1AB0">
        <w:rPr>
          <w:rFonts w:hint="cs"/>
          <w:rtl/>
        </w:rPr>
        <w:t xml:space="preserve"> מתפרקת </w:t>
      </w:r>
      <w:r w:rsidR="00B4796A">
        <w:rPr>
          <w:rFonts w:hint="cs"/>
          <w:rtl/>
        </w:rPr>
        <w:t>ו</w:t>
      </w:r>
      <w:r w:rsidR="002D1AB0">
        <w:rPr>
          <w:rFonts w:hint="cs"/>
          <w:rtl/>
        </w:rPr>
        <w:t>כבר אין כאן מיטה עדיין הקרשים קיימים</w:t>
      </w:r>
      <w:r w:rsidR="00B4796A">
        <w:rPr>
          <w:rFonts w:hint="cs"/>
          <w:rtl/>
        </w:rPr>
        <w:t>, יש כאן סתירה</w:t>
      </w:r>
      <w:r w:rsidR="00A13B76">
        <w:rPr>
          <w:rFonts w:hint="cs"/>
          <w:rtl/>
        </w:rPr>
        <w:t xml:space="preserve"> כי אם המקיים קיים אחרי שהעצם חדל, למה המקיים לא </w:t>
      </w:r>
      <w:r w:rsidR="004D6C88">
        <w:rPr>
          <w:rFonts w:hint="cs"/>
          <w:rtl/>
        </w:rPr>
        <w:t xml:space="preserve">ממשיך </w:t>
      </w:r>
      <w:r w:rsidR="002F26E7">
        <w:rPr>
          <w:rFonts w:hint="cs"/>
          <w:rtl/>
        </w:rPr>
        <w:t xml:space="preserve">אז </w:t>
      </w:r>
      <w:r w:rsidR="004D6C88">
        <w:rPr>
          <w:rFonts w:hint="cs"/>
          <w:rtl/>
        </w:rPr>
        <w:t xml:space="preserve">לגרום </w:t>
      </w:r>
      <w:r w:rsidR="00A13B76">
        <w:rPr>
          <w:rFonts w:hint="cs"/>
          <w:rtl/>
        </w:rPr>
        <w:t xml:space="preserve">שיתקיים העצם. </w:t>
      </w:r>
      <w:r w:rsidR="00BF41D9">
        <w:rPr>
          <w:rFonts w:hint="cs"/>
          <w:rtl/>
        </w:rPr>
        <w:t>אם המקיים הוא סיבה</w:t>
      </w:r>
      <w:r w:rsidR="00A8774E">
        <w:rPr>
          <w:rFonts w:hint="cs"/>
          <w:rtl/>
        </w:rPr>
        <w:t xml:space="preserve"> </w:t>
      </w:r>
      <w:r w:rsidR="00BF41D9">
        <w:rPr>
          <w:rFonts w:hint="cs"/>
          <w:rtl/>
        </w:rPr>
        <w:t>למציאות העצם צריך להיות שב</w:t>
      </w:r>
      <w:r w:rsidR="00A8774E">
        <w:rPr>
          <w:rFonts w:hint="cs"/>
          <w:rtl/>
        </w:rPr>
        <w:t>ה</w:t>
      </w:r>
      <w:r w:rsidR="00BF41D9">
        <w:rPr>
          <w:rFonts w:hint="cs"/>
          <w:rtl/>
        </w:rPr>
        <w:t xml:space="preserve">כרח כל זמן שהמקיים קיים גם העצם קיים, שהרי המקיים </w:t>
      </w:r>
      <w:r w:rsidR="00A8774E">
        <w:rPr>
          <w:rFonts w:hint="cs"/>
          <w:rtl/>
        </w:rPr>
        <w:t>ג</w:t>
      </w:r>
      <w:r w:rsidR="00BF41D9">
        <w:rPr>
          <w:rFonts w:hint="cs"/>
          <w:rtl/>
        </w:rPr>
        <w:t>ורם ש</w:t>
      </w:r>
      <w:r w:rsidR="00A8774E">
        <w:rPr>
          <w:rFonts w:hint="cs"/>
          <w:rtl/>
        </w:rPr>
        <w:t xml:space="preserve">העצם </w:t>
      </w:r>
      <w:r w:rsidR="00BF41D9">
        <w:rPr>
          <w:rFonts w:hint="cs"/>
          <w:rtl/>
        </w:rPr>
        <w:t>יהיה קיים, ו</w:t>
      </w:r>
      <w:r w:rsidR="003E6182">
        <w:rPr>
          <w:rFonts w:hint="cs"/>
          <w:rtl/>
        </w:rPr>
        <w:t xml:space="preserve">לכן </w:t>
      </w:r>
      <w:r w:rsidR="00BF41D9">
        <w:rPr>
          <w:rFonts w:hint="cs"/>
          <w:rtl/>
        </w:rPr>
        <w:t>לא יתכן שהמקיים יתקיים בלי שהעצם קיים.</w:t>
      </w:r>
    </w:p>
  </w:footnote>
  <w:footnote w:id="528">
    <w:p w14:paraId="4D4A9505" w14:textId="6BADC6D6" w:rsidR="0094168C" w:rsidRDefault="0094168C">
      <w:pPr>
        <w:pStyle w:val="FootnoteText"/>
      </w:pPr>
      <w:r>
        <w:rPr>
          <w:rStyle w:val="FootnoteReference"/>
        </w:rPr>
        <w:footnoteRef/>
      </w:r>
      <w:r>
        <w:rPr>
          <w:rtl/>
        </w:rPr>
        <w:t xml:space="preserve"> </w:t>
      </w:r>
      <w:r>
        <w:rPr>
          <w:rFonts w:hint="cs"/>
          <w:rtl/>
        </w:rPr>
        <w:t xml:space="preserve">מציאותו של החומר (כלומר לפי שיטת </w:t>
      </w:r>
      <w:r>
        <w:rPr>
          <w:rFonts w:hint="cs"/>
          <w:rtl/>
        </w:rPr>
        <w:t xml:space="preserve">אנטיפון). </w:t>
      </w:r>
    </w:p>
  </w:footnote>
  <w:footnote w:id="529">
    <w:p w14:paraId="46C19B56" w14:textId="1E69CA1D" w:rsidR="003F14A8" w:rsidRDefault="003F14A8">
      <w:pPr>
        <w:pStyle w:val="FootnoteText"/>
      </w:pPr>
      <w:r>
        <w:rPr>
          <w:rStyle w:val="FootnoteReference"/>
        </w:rPr>
        <w:footnoteRef/>
      </w:r>
      <w:r>
        <w:rPr>
          <w:rtl/>
        </w:rPr>
        <w:t xml:space="preserve"> </w:t>
      </w:r>
      <w:r>
        <w:rPr>
          <w:rFonts w:hint="cs"/>
          <w:rtl/>
        </w:rPr>
        <w:t xml:space="preserve">הבית היה נמצא </w:t>
      </w:r>
      <w:r w:rsidR="000D41FA">
        <w:rPr>
          <w:rFonts w:hint="cs"/>
          <w:rtl/>
        </w:rPr>
        <w:t xml:space="preserve">כעצם </w:t>
      </w:r>
      <w:r>
        <w:rPr>
          <w:rFonts w:hint="cs"/>
          <w:rtl/>
        </w:rPr>
        <w:t xml:space="preserve">גם בלי חומר, לו היה אפשר שצורתו תתקיים בלי חומר. </w:t>
      </w:r>
      <w:r w:rsidR="00A2135A">
        <w:rPr>
          <w:rFonts w:hint="cs"/>
          <w:rtl/>
        </w:rPr>
        <w:t xml:space="preserve">הצורה לא שואבת את </w:t>
      </w:r>
      <w:r w:rsidR="007C4383">
        <w:rPr>
          <w:rFonts w:hint="cs"/>
          <w:rtl/>
        </w:rPr>
        <w:t>מציאותה</w:t>
      </w:r>
      <w:r w:rsidR="00A2135A">
        <w:rPr>
          <w:rFonts w:hint="cs"/>
          <w:rtl/>
        </w:rPr>
        <w:t xml:space="preserve"> מהחומר, הרי החומר אינו אלא אפשרויות בכח, אין בו מה שיספיק למציאות של עצם</w:t>
      </w:r>
      <w:r w:rsidR="007C4383">
        <w:rPr>
          <w:rFonts w:hint="cs"/>
          <w:rtl/>
        </w:rPr>
        <w:t xml:space="preserve"> </w:t>
      </w:r>
      <w:r w:rsidR="009C463A">
        <w:rPr>
          <w:rFonts w:hint="cs"/>
          <w:rtl/>
        </w:rPr>
        <w:t>מסוים</w:t>
      </w:r>
      <w:r w:rsidR="007C4383">
        <w:rPr>
          <w:rFonts w:hint="cs"/>
          <w:rtl/>
        </w:rPr>
        <w:t xml:space="preserve"> שניתן להגדרה או לתפישה</w:t>
      </w:r>
      <w:r w:rsidR="00BF207E">
        <w:rPr>
          <w:rFonts w:hint="cs"/>
          <w:rtl/>
        </w:rPr>
        <w:t>,</w:t>
      </w:r>
      <w:r w:rsidR="00A2135A">
        <w:rPr>
          <w:rFonts w:hint="cs"/>
          <w:rtl/>
        </w:rPr>
        <w:t xml:space="preserve"> כמו שגוש שיש </w:t>
      </w:r>
      <w:r w:rsidR="00BF207E">
        <w:rPr>
          <w:rFonts w:hint="cs"/>
          <w:rtl/>
        </w:rPr>
        <w:t>הוא רק אפשרויות ל</w:t>
      </w:r>
      <w:r w:rsidR="00B330A0">
        <w:rPr>
          <w:rFonts w:hint="cs"/>
          <w:rtl/>
        </w:rPr>
        <w:t>גלף בו פסלים ו</w:t>
      </w:r>
      <w:r w:rsidR="00A2135A">
        <w:rPr>
          <w:rFonts w:hint="cs"/>
          <w:rtl/>
        </w:rPr>
        <w:t>אי</w:t>
      </w:r>
      <w:r w:rsidR="00BF207E">
        <w:rPr>
          <w:rFonts w:hint="cs"/>
          <w:rtl/>
        </w:rPr>
        <w:t>ן בו מה שיספיק ל</w:t>
      </w:r>
      <w:r w:rsidR="00B330A0">
        <w:rPr>
          <w:rFonts w:hint="cs"/>
          <w:rtl/>
        </w:rPr>
        <w:t xml:space="preserve">יצור </w:t>
      </w:r>
      <w:r w:rsidR="00BF207E">
        <w:rPr>
          <w:rFonts w:hint="cs"/>
          <w:rtl/>
        </w:rPr>
        <w:t xml:space="preserve">מציאות של פסל </w:t>
      </w:r>
      <w:r w:rsidR="009C463A">
        <w:rPr>
          <w:rFonts w:hint="cs"/>
          <w:rtl/>
        </w:rPr>
        <w:t>מסוים</w:t>
      </w:r>
      <w:r w:rsidR="00B330A0">
        <w:rPr>
          <w:rFonts w:hint="cs"/>
          <w:rtl/>
        </w:rPr>
        <w:t xml:space="preserve"> שמעוצב </w:t>
      </w:r>
      <w:r w:rsidR="00BF207E">
        <w:rPr>
          <w:rFonts w:hint="cs"/>
          <w:rtl/>
        </w:rPr>
        <w:t xml:space="preserve">בדמות </w:t>
      </w:r>
      <w:r w:rsidR="00BF207E">
        <w:rPr>
          <w:rFonts w:hint="cs"/>
          <w:rtl/>
        </w:rPr>
        <w:t>מסויימת</w:t>
      </w:r>
      <w:r w:rsidR="008C5219">
        <w:rPr>
          <w:rFonts w:hint="cs"/>
          <w:rtl/>
        </w:rPr>
        <w:t xml:space="preserve"> שניתן לתפוש</w:t>
      </w:r>
      <w:r w:rsidR="00BF207E">
        <w:rPr>
          <w:rFonts w:hint="cs"/>
          <w:rtl/>
        </w:rPr>
        <w:t xml:space="preserve">. </w:t>
      </w:r>
      <w:r w:rsidR="008C5219">
        <w:rPr>
          <w:rFonts w:hint="cs"/>
          <w:rtl/>
        </w:rPr>
        <w:t>אלא בהכרח</w:t>
      </w:r>
      <w:r w:rsidR="00DB2C54">
        <w:rPr>
          <w:rFonts w:hint="cs"/>
          <w:rtl/>
        </w:rPr>
        <w:t xml:space="preserve"> הצורה מקורה נבדל מהחומר, ולכן בהכרח במקורה יש לה מציאות גם ללא החומר. </w:t>
      </w:r>
      <w:r w:rsidR="00551702">
        <w:rPr>
          <w:rFonts w:hint="cs"/>
          <w:rtl/>
        </w:rPr>
        <w:t xml:space="preserve">רק שההגדרה של מציאות טבעית של הצורה </w:t>
      </w:r>
      <w:r w:rsidR="008C5219">
        <w:rPr>
          <w:rFonts w:hint="cs"/>
          <w:rtl/>
        </w:rPr>
        <w:t xml:space="preserve">בעולם שתחת גלגל הירח </w:t>
      </w:r>
      <w:r w:rsidR="00551702">
        <w:rPr>
          <w:rFonts w:hint="cs"/>
          <w:rtl/>
        </w:rPr>
        <w:t>היא כשהיא ממומשת בחומר</w:t>
      </w:r>
      <w:r w:rsidR="00ED1459">
        <w:rPr>
          <w:rFonts w:hint="cs"/>
          <w:rtl/>
        </w:rPr>
        <w:t xml:space="preserve"> ויוצרת 'עצם' שהוא צורה וחומר מאוחדים, כלומר הצטיירות הצורה בחומר</w:t>
      </w:r>
      <w:r w:rsidR="00551702">
        <w:rPr>
          <w:rFonts w:hint="cs"/>
          <w:rtl/>
        </w:rPr>
        <w:t xml:space="preserve">. למשל אם לאמן יש מחשבה על פסל, הוא לא יכול להניח את המחשבה במוזיאון או למכור אותה, </w:t>
      </w:r>
      <w:r w:rsidR="004C5C1C">
        <w:rPr>
          <w:rFonts w:hint="cs"/>
          <w:rtl/>
        </w:rPr>
        <w:t>צריך שהוא י</w:t>
      </w:r>
      <w:r w:rsidR="00283B0A">
        <w:rPr>
          <w:rFonts w:hint="cs"/>
          <w:rtl/>
        </w:rPr>
        <w:t>ממש את המחשבה ויצייר אותה בשיש</w:t>
      </w:r>
      <w:r w:rsidR="004C5C1C">
        <w:rPr>
          <w:rFonts w:hint="cs"/>
          <w:rtl/>
        </w:rPr>
        <w:t xml:space="preserve">. אבל אם יש פסל </w:t>
      </w:r>
      <w:r w:rsidR="009C463A">
        <w:rPr>
          <w:rFonts w:hint="cs"/>
          <w:rtl/>
        </w:rPr>
        <w:t>מסוים</w:t>
      </w:r>
      <w:r w:rsidR="004C5C1C">
        <w:rPr>
          <w:rFonts w:hint="cs"/>
          <w:rtl/>
        </w:rPr>
        <w:t xml:space="preserve"> שקיים כעצם בפועל, ולא שמה שקיים בפועל הוא רק </w:t>
      </w:r>
      <w:r w:rsidR="00FA5C22">
        <w:rPr>
          <w:rFonts w:hint="cs"/>
          <w:rtl/>
        </w:rPr>
        <w:t xml:space="preserve">גוש </w:t>
      </w:r>
      <w:r w:rsidR="004C5C1C">
        <w:rPr>
          <w:rFonts w:hint="cs"/>
          <w:rtl/>
        </w:rPr>
        <w:t>חומר סתמי, זה מכריח שהייתה מציאות של מחשבה גם ללא חומר הגלם</w:t>
      </w:r>
      <w:r w:rsidR="00E91690">
        <w:rPr>
          <w:rFonts w:hint="cs"/>
          <w:rtl/>
        </w:rPr>
        <w:t>.</w:t>
      </w:r>
      <w:r w:rsidR="00FA5C22">
        <w:rPr>
          <w:rFonts w:hint="cs"/>
          <w:rtl/>
        </w:rPr>
        <w:t xml:space="preserve"> ועדיין</w:t>
      </w:r>
      <w:r w:rsidR="00E91690">
        <w:rPr>
          <w:rFonts w:hint="cs"/>
          <w:rtl/>
        </w:rPr>
        <w:t xml:space="preserve"> גם אחרי שהפסל הצטייר בחומר </w:t>
      </w:r>
      <w:r w:rsidR="00FA5C22">
        <w:rPr>
          <w:rFonts w:hint="cs"/>
          <w:rtl/>
        </w:rPr>
        <w:t>המחשבה</w:t>
      </w:r>
      <w:r w:rsidR="00E91690">
        <w:rPr>
          <w:rFonts w:hint="cs"/>
          <w:rtl/>
        </w:rPr>
        <w:t xml:space="preserve"> של צורתו</w:t>
      </w:r>
      <w:r w:rsidR="00FA5C22">
        <w:rPr>
          <w:rFonts w:hint="cs"/>
          <w:rtl/>
        </w:rPr>
        <w:t xml:space="preserve"> נמצאת גם באותו אופן של מציאות נטולת חומר, </w:t>
      </w:r>
      <w:r w:rsidR="00E91690">
        <w:rPr>
          <w:rFonts w:hint="cs"/>
          <w:rtl/>
        </w:rPr>
        <w:t xml:space="preserve">הרי אם נהרוס את פסל השיש עדיין המחשבה </w:t>
      </w:r>
      <w:r w:rsidR="00CB5AEF">
        <w:rPr>
          <w:rFonts w:hint="cs"/>
          <w:rtl/>
        </w:rPr>
        <w:t xml:space="preserve">של צורתו </w:t>
      </w:r>
      <w:r w:rsidR="00E91690">
        <w:rPr>
          <w:rFonts w:hint="cs"/>
          <w:rtl/>
        </w:rPr>
        <w:t xml:space="preserve">תישאר, </w:t>
      </w:r>
      <w:r w:rsidR="00CB5AEF">
        <w:rPr>
          <w:rFonts w:hint="cs"/>
          <w:rtl/>
        </w:rPr>
        <w:t>והרי יש כאן מציאות נצחית של צורה ללא חומר, רק שהגדרת הטבע והמציאות של העולם הטבעי של ארבעת היסודות היא שבלי שהצורה הצטיירה בחומר אינה נחשבת כנמצאת</w:t>
      </w:r>
      <w:r w:rsidR="004C5C1C">
        <w:rPr>
          <w:rFonts w:hint="cs"/>
          <w:rtl/>
        </w:rPr>
        <w:t xml:space="preserve">. </w:t>
      </w:r>
      <w:r w:rsidR="00A1310D">
        <w:rPr>
          <w:rFonts w:hint="cs"/>
          <w:rtl/>
        </w:rPr>
        <w:t>ומי שמעיין ברבדים מ</w:t>
      </w:r>
      <w:r w:rsidR="007A0284">
        <w:rPr>
          <w:rFonts w:hint="cs"/>
          <w:rtl/>
        </w:rPr>
        <w:t>ו</w:t>
      </w:r>
      <w:r w:rsidR="00A1310D">
        <w:rPr>
          <w:rFonts w:hint="cs"/>
          <w:rtl/>
        </w:rPr>
        <w:t xml:space="preserve">פשטים של המציאות כן יגדיר את הצורה כנמצאת גם ללא החומר. וכמו למשל שבעולם הטבעי </w:t>
      </w:r>
      <w:r w:rsidR="00D2442B">
        <w:rPr>
          <w:rFonts w:hint="cs"/>
          <w:rtl/>
        </w:rPr>
        <w:t xml:space="preserve">מי שמת אינו נחשב נמצא, ולכן אשתו מותרת לאחר ויורשיו יורדים לנכסיו וסופו להישכח מהלב. אבל ברובד אחר של מציאות אנו אומרים שנשמתו קיימת </w:t>
      </w:r>
      <w:r w:rsidR="007A0284">
        <w:rPr>
          <w:rFonts w:hint="cs"/>
          <w:rtl/>
        </w:rPr>
        <w:t xml:space="preserve">לנצח </w:t>
      </w:r>
      <w:r w:rsidR="00FF737F">
        <w:rPr>
          <w:rFonts w:hint="cs"/>
          <w:rtl/>
        </w:rPr>
        <w:t xml:space="preserve">בעולם הבא ונהנית שם מזיו השכינה וזה קיום מופשט שאינו פחות ממשי ונמצא, להיפך, הוא קיום יותר חזק, רק שאינו לפי ההגדרה של המציאות הטבעית החומרית. </w:t>
      </w:r>
      <w:r w:rsidR="00456C8B">
        <w:rPr>
          <w:rFonts w:hint="cs"/>
          <w:rtl/>
        </w:rPr>
        <w:t xml:space="preserve">ההתבוננות של אבן סינא כאן היא שאם יש צורה בחומר שמספקת מציאות של 'עצם' שקיים בפועל, כלומר התגלות של </w:t>
      </w:r>
      <w:r w:rsidR="00BB79AF">
        <w:rPr>
          <w:rFonts w:hint="cs"/>
          <w:rtl/>
        </w:rPr>
        <w:t>קיום</w:t>
      </w:r>
      <w:r w:rsidR="00456C8B">
        <w:rPr>
          <w:rFonts w:hint="cs"/>
          <w:rtl/>
        </w:rPr>
        <w:t xml:space="preserve"> בעל הגדרה</w:t>
      </w:r>
      <w:r w:rsidR="00BB79AF">
        <w:rPr>
          <w:rFonts w:hint="cs"/>
          <w:rtl/>
        </w:rPr>
        <w:t xml:space="preserve"> מסויימת</w:t>
      </w:r>
      <w:r w:rsidR="00456C8B">
        <w:rPr>
          <w:rFonts w:hint="cs"/>
          <w:rtl/>
        </w:rPr>
        <w:t xml:space="preserve"> ואפשרות תפישה</w:t>
      </w:r>
      <w:r w:rsidR="00BB79AF">
        <w:rPr>
          <w:rFonts w:hint="cs"/>
          <w:rtl/>
        </w:rPr>
        <w:t xml:space="preserve"> מסויימת</w:t>
      </w:r>
      <w:r w:rsidR="00456C8B">
        <w:rPr>
          <w:rFonts w:hint="cs"/>
          <w:rtl/>
        </w:rPr>
        <w:t xml:space="preserve">, </w:t>
      </w:r>
      <w:r w:rsidR="00CA137E">
        <w:rPr>
          <w:rFonts w:hint="cs"/>
          <w:rtl/>
        </w:rPr>
        <w:t>זה מכריח שהצורה נמצאת גם באופן מופשט, ולכן לפי האמת המציאות שהצורה מספקת היא נצחית, רק שהנצחיות מחייבת להגדיר את המובן של 'נמצא' לא רק לפי הגדרת הטבע של העולם החומרי אלא בהגדרת מציאות של כל רבדי המציאות.</w:t>
      </w:r>
      <w:r w:rsidR="00D2442B">
        <w:rPr>
          <w:rFonts w:hint="cs"/>
          <w:rtl/>
        </w:rPr>
        <w:t xml:space="preserve"> </w:t>
      </w:r>
      <w:r w:rsidR="00551702">
        <w:rPr>
          <w:rFonts w:hint="cs"/>
          <w:rtl/>
        </w:rPr>
        <w:t xml:space="preserve"> </w:t>
      </w:r>
    </w:p>
  </w:footnote>
  <w:footnote w:id="530">
    <w:p w14:paraId="4168EFF1" w14:textId="28B50C2C" w:rsidR="00BB043E" w:rsidRDefault="00BB043E">
      <w:pPr>
        <w:pStyle w:val="FootnoteText"/>
      </w:pPr>
      <w:r>
        <w:rPr>
          <w:rStyle w:val="FootnoteReference"/>
        </w:rPr>
        <w:footnoteRef/>
      </w:r>
      <w:r>
        <w:rPr>
          <w:rtl/>
        </w:rPr>
        <w:t xml:space="preserve"> </w:t>
      </w:r>
      <w:r>
        <w:rPr>
          <w:rFonts w:hint="cs"/>
          <w:rtl/>
        </w:rPr>
        <w:t>המהות של העץ</w:t>
      </w:r>
      <w:r w:rsidR="00D26FE9">
        <w:rPr>
          <w:rFonts w:hint="cs"/>
          <w:rtl/>
        </w:rPr>
        <w:t>.</w:t>
      </w:r>
      <w:r w:rsidR="00CA3B45">
        <w:rPr>
          <w:rFonts w:hint="cs"/>
          <w:rtl/>
        </w:rPr>
        <w:t xml:space="preserve"> </w:t>
      </w:r>
      <w:r w:rsidR="00F600D4">
        <w:rPr>
          <w:rFonts w:hint="cs"/>
          <w:rtl/>
        </w:rPr>
        <w:t xml:space="preserve">בתרגום מקגיניס: </w:t>
      </w:r>
      <w:r w:rsidR="00CA3B45" w:rsidRPr="00CA3B45">
        <w:t>the woodiness</w:t>
      </w:r>
      <w:r w:rsidR="00422B1F">
        <w:rPr>
          <w:rFonts w:hint="cs"/>
          <w:rtl/>
        </w:rPr>
        <w:t>.</w:t>
      </w:r>
      <w:r w:rsidR="00113854">
        <w:rPr>
          <w:rFonts w:hint="cs"/>
          <w:rtl/>
        </w:rPr>
        <w:t xml:space="preserve"> במקור הערבי:</w:t>
      </w:r>
      <w:r w:rsidR="00113854">
        <w:rPr>
          <w:rFonts w:hint="cs"/>
        </w:rPr>
        <w:t xml:space="preserve"> </w:t>
      </w:r>
      <w:r w:rsidR="00113854" w:rsidRPr="00113854">
        <w:rPr>
          <w:rFonts w:cs="Times New Roman" w:hint="eastAsia"/>
          <w:rtl/>
          <w:lang w:bidi="ar-SA"/>
        </w:rPr>
        <w:t>الخشبية</w:t>
      </w:r>
      <w:r w:rsidR="00113854">
        <w:rPr>
          <w:rFonts w:cs="Times New Roman" w:hint="cs"/>
          <w:rtl/>
        </w:rPr>
        <w:t>.</w:t>
      </w:r>
    </w:p>
  </w:footnote>
  <w:footnote w:id="531">
    <w:p w14:paraId="0B24E7A7" w14:textId="63D2F7B0" w:rsidR="00B9315C" w:rsidRDefault="00B9315C">
      <w:pPr>
        <w:pStyle w:val="FootnoteText"/>
      </w:pPr>
      <w:r>
        <w:rPr>
          <w:rStyle w:val="FootnoteReference"/>
        </w:rPr>
        <w:footnoteRef/>
      </w:r>
      <w:r>
        <w:rPr>
          <w:rtl/>
        </w:rPr>
        <w:t xml:space="preserve"> </w:t>
      </w:r>
      <w:r w:rsidR="001E53CF">
        <w:rPr>
          <w:rFonts w:hint="cs"/>
          <w:rtl/>
        </w:rPr>
        <w:t>לאורך</w:t>
      </w:r>
      <w:r>
        <w:rPr>
          <w:rFonts w:hint="cs"/>
          <w:rtl/>
        </w:rPr>
        <w:t xml:space="preserve"> השינויים המקריים </w:t>
      </w:r>
      <w:r w:rsidR="001E53CF">
        <w:rPr>
          <w:rFonts w:hint="cs"/>
          <w:rtl/>
        </w:rPr>
        <w:t>בחומר של העץ, דהיינו שהוא גדל, נשמר</w:t>
      </w:r>
      <w:r w:rsidR="00A836EE">
        <w:rPr>
          <w:rFonts w:hint="cs"/>
          <w:rtl/>
        </w:rPr>
        <w:t xml:space="preserve">ת באופן קבוע ומתמיד </w:t>
      </w:r>
      <w:r w:rsidR="001E53CF">
        <w:rPr>
          <w:rFonts w:hint="cs"/>
          <w:rtl/>
        </w:rPr>
        <w:t>המהות שלו כעץ, ש</w:t>
      </w:r>
      <w:r w:rsidR="00666F5C">
        <w:rPr>
          <w:rFonts w:hint="cs"/>
          <w:rtl/>
        </w:rPr>
        <w:t xml:space="preserve">מצד המהות הזו </w:t>
      </w:r>
      <w:r w:rsidR="001E53CF">
        <w:rPr>
          <w:rFonts w:hint="cs"/>
          <w:rtl/>
        </w:rPr>
        <w:t>הוא</w:t>
      </w:r>
      <w:r w:rsidR="00A836EE">
        <w:rPr>
          <w:rFonts w:hint="cs"/>
          <w:rtl/>
        </w:rPr>
        <w:t xml:space="preserve"> </w:t>
      </w:r>
      <w:r w:rsidR="001E53CF">
        <w:rPr>
          <w:rFonts w:hint="cs"/>
          <w:rtl/>
        </w:rPr>
        <w:t xml:space="preserve">חומר הגלם למיטה. </w:t>
      </w:r>
      <w:r w:rsidR="0074554E">
        <w:rPr>
          <w:rFonts w:hint="cs"/>
          <w:rtl/>
        </w:rPr>
        <w:t xml:space="preserve">כל החומרים מלבד ההיולי הראשון הם צורות </w:t>
      </w:r>
      <w:r w:rsidR="0074554E">
        <w:rPr>
          <w:rFonts w:hint="cs"/>
          <w:rtl/>
        </w:rPr>
        <w:t xml:space="preserve">מצויירות בחומר, וגם חומרי הגלם הם עצמים שהצורה שלהם קובעת את מהותם למרות שינויים מקריים שחלים בהם. </w:t>
      </w:r>
      <w:r w:rsidR="00CA7B00">
        <w:rPr>
          <w:rFonts w:hint="cs"/>
          <w:rtl/>
        </w:rPr>
        <w:t>לכן גם אם נאמר כמו אנטיפון שהעץ הוא הטבע של המיטה</w:t>
      </w:r>
      <w:r w:rsidR="00327543">
        <w:rPr>
          <w:rFonts w:hint="cs"/>
          <w:rtl/>
        </w:rPr>
        <w:t>, לא</w:t>
      </w:r>
      <w:r w:rsidR="00BF7B86">
        <w:rPr>
          <w:rFonts w:hint="cs"/>
          <w:rtl/>
        </w:rPr>
        <w:t xml:space="preserve"> </w:t>
      </w:r>
      <w:r w:rsidR="00327543">
        <w:rPr>
          <w:rFonts w:hint="cs"/>
          <w:rtl/>
        </w:rPr>
        <w:t>נובע</w:t>
      </w:r>
      <w:r w:rsidR="00BF7B86">
        <w:rPr>
          <w:rFonts w:hint="cs"/>
          <w:rtl/>
        </w:rPr>
        <w:t xml:space="preserve"> </w:t>
      </w:r>
      <w:r w:rsidR="00327543">
        <w:rPr>
          <w:rFonts w:hint="cs"/>
          <w:rtl/>
        </w:rPr>
        <w:t xml:space="preserve">מזה </w:t>
      </w:r>
      <w:r w:rsidR="00BF7B86">
        <w:rPr>
          <w:rFonts w:hint="cs"/>
          <w:rtl/>
        </w:rPr>
        <w:t xml:space="preserve">יסוד כללי </w:t>
      </w:r>
      <w:r w:rsidR="00327543">
        <w:rPr>
          <w:rFonts w:hint="cs"/>
          <w:rtl/>
        </w:rPr>
        <w:t xml:space="preserve">שהחומר הוא הטבע, כי העץ אינו חומר אלא צורה, </w:t>
      </w:r>
      <w:r w:rsidR="00BF7B86">
        <w:rPr>
          <w:rFonts w:hint="cs"/>
          <w:rtl/>
        </w:rPr>
        <w:t xml:space="preserve">וצורת העץ היא הקובעת את החומר של המיטה שעשוייה מעץ. </w:t>
      </w:r>
      <w:r w:rsidR="00327543">
        <w:rPr>
          <w:rFonts w:hint="cs"/>
          <w:rtl/>
        </w:rPr>
        <w:t xml:space="preserve">ונשאר שהטבע נובע מהצורה. </w:t>
      </w:r>
    </w:p>
  </w:footnote>
  <w:footnote w:id="532">
    <w:p w14:paraId="29265128" w14:textId="349F6C12" w:rsidR="00A961E6" w:rsidRDefault="00A961E6" w:rsidP="00D00F36">
      <w:pPr>
        <w:pStyle w:val="FootnoteText"/>
        <w:rPr>
          <w:rtl/>
        </w:rPr>
      </w:pPr>
      <w:r>
        <w:rPr>
          <w:rStyle w:val="FootnoteReference"/>
        </w:rPr>
        <w:footnoteRef/>
      </w:r>
      <w:r>
        <w:rPr>
          <w:rtl/>
        </w:rPr>
        <w:t xml:space="preserve"> </w:t>
      </w:r>
      <w:r>
        <w:rPr>
          <w:rFonts w:hint="cs"/>
          <w:rtl/>
        </w:rPr>
        <w:t>בחומר לא מונחת שום סיבה שתגרום לכך שיהיו הבדלים בין ה</w:t>
      </w:r>
      <w:r w:rsidR="009570DB">
        <w:rPr>
          <w:rFonts w:hint="cs"/>
          <w:rtl/>
        </w:rPr>
        <w:t>גופים הפשוטים</w:t>
      </w:r>
      <w:r w:rsidR="00D00F36">
        <w:rPr>
          <w:rFonts w:hint="cs"/>
          <w:rtl/>
        </w:rPr>
        <w:t xml:space="preserve"> (דהיינו ארבעת היסודות)</w:t>
      </w:r>
      <w:r w:rsidR="009570DB">
        <w:rPr>
          <w:rFonts w:hint="cs"/>
          <w:rtl/>
        </w:rPr>
        <w:t xml:space="preserve">, </w:t>
      </w:r>
      <w:r w:rsidR="00D225B7">
        <w:rPr>
          <w:rFonts w:hint="cs"/>
          <w:rtl/>
        </w:rPr>
        <w:t xml:space="preserve">ואם כן </w:t>
      </w:r>
      <w:r w:rsidR="009570DB">
        <w:rPr>
          <w:rFonts w:hint="cs"/>
          <w:rtl/>
        </w:rPr>
        <w:t xml:space="preserve">למה יש אש ורוח ומים ועפר </w:t>
      </w:r>
      <w:r w:rsidR="00D225B7">
        <w:rPr>
          <w:rFonts w:hint="cs"/>
          <w:rtl/>
        </w:rPr>
        <w:t xml:space="preserve">נבדלים זה מזה </w:t>
      </w:r>
      <w:r w:rsidR="009570DB">
        <w:rPr>
          <w:rFonts w:hint="cs"/>
          <w:rtl/>
        </w:rPr>
        <w:t>ולא כולם זהים זה לזה, הרי החומר של כולם הוא אותו חומר ומה גורם את ההתחלקות לגופים שונים זה מזה</w:t>
      </w:r>
      <w:r w:rsidR="00BD7E0C">
        <w:rPr>
          <w:rFonts w:hint="cs"/>
          <w:rtl/>
        </w:rPr>
        <w:t>, אלא בהכרח הצורות שונות והן הגורמות להבדל</w:t>
      </w:r>
      <w:r w:rsidR="009570DB">
        <w:rPr>
          <w:rFonts w:hint="cs"/>
          <w:rtl/>
        </w:rPr>
        <w:t xml:space="preserve">. </w:t>
      </w:r>
    </w:p>
    <w:p w14:paraId="2E554DE4" w14:textId="2F7EE57F" w:rsidR="00813CDD" w:rsidRDefault="00813CDD" w:rsidP="00D00F36">
      <w:pPr>
        <w:pStyle w:val="FootnoteText"/>
      </w:pPr>
      <w:r>
        <w:rPr>
          <w:rFonts w:hint="cs"/>
          <w:rtl/>
        </w:rPr>
        <w:t>בגופים שמורכבים ממזג של כל ארבעת היסודות, היה לכאורה אפשר לומר שההבדל בין גוף לגוף נובע משינויי המזג</w:t>
      </w:r>
      <w:r w:rsidR="0039163C">
        <w:rPr>
          <w:rtl/>
        </w:rPr>
        <w:fldChar w:fldCharType="begin"/>
      </w:r>
      <w:r w:rsidR="0039163C">
        <w:instrText xml:space="preserve"> XE "</w:instrText>
      </w:r>
      <w:r w:rsidR="0039163C" w:rsidRPr="00ED0501">
        <w:rPr>
          <w:rFonts w:hint="cs"/>
          <w:rtl/>
        </w:rPr>
        <w:instrText>מזג - שינויי המזג והצורה</w:instrText>
      </w:r>
      <w:r w:rsidR="0039163C">
        <w:instrText xml:space="preserve">" </w:instrText>
      </w:r>
      <w:r w:rsidR="0039163C">
        <w:rPr>
          <w:rtl/>
        </w:rPr>
        <w:fldChar w:fldCharType="end"/>
      </w:r>
      <w:r>
        <w:rPr>
          <w:rFonts w:hint="cs"/>
          <w:rtl/>
        </w:rPr>
        <w:t xml:space="preserve"> של הרכבת ארבעת היסודות ולא מהצורה. </w:t>
      </w:r>
      <w:r w:rsidR="00DC5239">
        <w:rPr>
          <w:rFonts w:hint="cs"/>
          <w:rtl/>
        </w:rPr>
        <w:t xml:space="preserve">באמת שינויי המזג הם גם סיבה להשתנות הגופים. למשל היה אפשר לשאול למה בחומר </w:t>
      </w:r>
      <w:r w:rsidR="009C463A">
        <w:rPr>
          <w:rFonts w:hint="cs"/>
          <w:rtl/>
        </w:rPr>
        <w:t>מסוים</w:t>
      </w:r>
      <w:r w:rsidR="00DC5239">
        <w:rPr>
          <w:rFonts w:hint="cs"/>
          <w:rtl/>
        </w:rPr>
        <w:t xml:space="preserve"> במקום </w:t>
      </w:r>
      <w:r w:rsidR="009C463A">
        <w:rPr>
          <w:rFonts w:hint="cs"/>
          <w:rtl/>
        </w:rPr>
        <w:t>מסוים</w:t>
      </w:r>
      <w:r w:rsidR="00DC5239">
        <w:rPr>
          <w:rFonts w:hint="cs"/>
          <w:rtl/>
        </w:rPr>
        <w:t xml:space="preserve"> יש לחומר צורת סוס ובחומר אחר במקום אחר יש לחומר צורת כלב</w:t>
      </w:r>
      <w:r w:rsidR="003355BF">
        <w:rPr>
          <w:rFonts w:hint="cs"/>
          <w:rtl/>
        </w:rPr>
        <w:t>, וגם אם הצורה היא שקובעת את מהות העצם והיא טבעו, מצד הצורה אפשר שבמקום שכעת יש סוס היה בו כלב ולהיפך</w:t>
      </w:r>
      <w:r w:rsidR="00DC5239">
        <w:rPr>
          <w:rFonts w:hint="cs"/>
          <w:rtl/>
        </w:rPr>
        <w:t>. והתשובה היא ש</w:t>
      </w:r>
      <w:r w:rsidR="009C099B">
        <w:rPr>
          <w:rFonts w:hint="cs"/>
          <w:rtl/>
        </w:rPr>
        <w:t xml:space="preserve">כל </w:t>
      </w:r>
      <w:r w:rsidR="00DC5239">
        <w:rPr>
          <w:rFonts w:hint="cs"/>
          <w:rtl/>
        </w:rPr>
        <w:t xml:space="preserve">צורה </w:t>
      </w:r>
      <w:r w:rsidR="009C099B">
        <w:rPr>
          <w:rFonts w:hint="cs"/>
          <w:rtl/>
        </w:rPr>
        <w:t>מצד עצמה רוצה להצטייר בחומר תמיד ובכל החומרים, אבל היא יכולה לחול בחומר רק</w:t>
      </w:r>
      <w:r w:rsidR="00DC5239">
        <w:rPr>
          <w:rFonts w:hint="cs"/>
          <w:rtl/>
        </w:rPr>
        <w:t xml:space="preserve"> לפי מה שמאפשר מזג הרכבת היסודות שבחומר, </w:t>
      </w:r>
      <w:r w:rsidR="00D324E6">
        <w:rPr>
          <w:rFonts w:hint="cs"/>
          <w:rtl/>
        </w:rPr>
        <w:t xml:space="preserve">ולא </w:t>
      </w:r>
      <w:r w:rsidR="00DC5239">
        <w:rPr>
          <w:rFonts w:hint="cs"/>
          <w:rtl/>
        </w:rPr>
        <w:t>כל מזג מאפשר כל צורה</w:t>
      </w:r>
      <w:r w:rsidR="009C099B">
        <w:rPr>
          <w:rFonts w:hint="cs"/>
          <w:rtl/>
        </w:rPr>
        <w:t>.</w:t>
      </w:r>
      <w:r w:rsidR="00DC5239">
        <w:rPr>
          <w:rFonts w:hint="cs"/>
          <w:rtl/>
        </w:rPr>
        <w:t xml:space="preserve"> שינויי המזג הם מקריים ו</w:t>
      </w:r>
      <w:r w:rsidR="00D324E6">
        <w:rPr>
          <w:rFonts w:hint="cs"/>
          <w:rtl/>
        </w:rPr>
        <w:t>קורים מצד החומר ולא מצד הצורה</w:t>
      </w:r>
      <w:r w:rsidR="00BB26BC">
        <w:rPr>
          <w:rFonts w:hint="cs"/>
          <w:rtl/>
        </w:rPr>
        <w:t>. לכאורה היה אפשר לומר ששינויי המזג הם הגורמים שחומר אחד יהיה כלב וחומ</w:t>
      </w:r>
      <w:r w:rsidR="0017312E">
        <w:rPr>
          <w:rFonts w:hint="cs"/>
          <w:rtl/>
        </w:rPr>
        <w:t>ר</w:t>
      </w:r>
      <w:r w:rsidR="00BB26BC">
        <w:rPr>
          <w:rFonts w:hint="cs"/>
          <w:rtl/>
        </w:rPr>
        <w:t xml:space="preserve"> אחר סוס בלי</w:t>
      </w:r>
      <w:r w:rsidR="0008651C">
        <w:rPr>
          <w:rFonts w:hint="cs"/>
          <w:rtl/>
        </w:rPr>
        <w:t xml:space="preserve"> שהצורה מעורבת בזה</w:t>
      </w:r>
      <w:r w:rsidR="00935B97">
        <w:rPr>
          <w:rFonts w:hint="cs"/>
          <w:rtl/>
        </w:rPr>
        <w:t xml:space="preserve"> (באמת יש שיקולים רבים שמכריחים בלי ספק שגם בגופים המורכבים הצורה היא הקובעת את המהות</w:t>
      </w:r>
      <w:r w:rsidR="00374AB4">
        <w:rPr>
          <w:rFonts w:hint="cs"/>
          <w:rtl/>
        </w:rPr>
        <w:t xml:space="preserve">, עיין באדם חי </w:t>
      </w:r>
      <w:hyperlink r:id="rId116" w:history="1">
        <w:r w:rsidR="00374AB4" w:rsidRPr="0041134A">
          <w:rPr>
            <w:rStyle w:val="Hyperlink"/>
            <w:rFonts w:hint="cs"/>
            <w:rtl/>
          </w:rPr>
          <w:t>רשימה 163</w:t>
        </w:r>
      </w:hyperlink>
      <w:r w:rsidR="00374AB4">
        <w:rPr>
          <w:rFonts w:hint="cs"/>
          <w:rtl/>
        </w:rPr>
        <w:t>, ועוד הרבה מקומות</w:t>
      </w:r>
      <w:r w:rsidR="00935B97">
        <w:rPr>
          <w:rFonts w:hint="cs"/>
          <w:rtl/>
        </w:rPr>
        <w:t xml:space="preserve">, </w:t>
      </w:r>
      <w:r w:rsidR="00D830B9">
        <w:rPr>
          <w:rFonts w:hint="cs"/>
          <w:rtl/>
        </w:rPr>
        <w:t>אבל בגופים הפשוטים זה מוכרח באופן יותר קל להבנה)</w:t>
      </w:r>
      <w:r w:rsidR="009C099B">
        <w:rPr>
          <w:rFonts w:hint="cs"/>
          <w:rtl/>
        </w:rPr>
        <w:t xml:space="preserve">, ולכן צריך לדבר על הגופים הפשוטים, היסודות עצמם, שאין בחומר שלהם הרכבת יסודות, אלא החומר של כולם שווה ואחיד </w:t>
      </w:r>
      <w:r w:rsidR="007B7FD6">
        <w:rPr>
          <w:rFonts w:hint="cs"/>
          <w:rtl/>
        </w:rPr>
        <w:t>דהיינו</w:t>
      </w:r>
      <w:r w:rsidR="009C099B">
        <w:rPr>
          <w:rFonts w:hint="cs"/>
          <w:rtl/>
        </w:rPr>
        <w:t xml:space="preserve"> החומר הראשון</w:t>
      </w:r>
      <w:r w:rsidR="0008651C">
        <w:rPr>
          <w:rFonts w:hint="cs"/>
          <w:rtl/>
        </w:rPr>
        <w:t>.</w:t>
      </w:r>
      <w:r w:rsidR="00306682">
        <w:rPr>
          <w:rFonts w:hint="cs"/>
          <w:rtl/>
        </w:rPr>
        <w:t xml:space="preserve"> וכמו שכתב </w:t>
      </w:r>
      <w:r w:rsidR="00AA67BC">
        <w:rPr>
          <w:rFonts w:hint="cs"/>
          <w:rtl/>
        </w:rPr>
        <w:t xml:space="preserve">במורה נבוכים ב' י"ח וב' י"ב. </w:t>
      </w:r>
      <w:r w:rsidR="0008651C">
        <w:rPr>
          <w:rFonts w:hint="cs"/>
          <w:rtl/>
        </w:rPr>
        <w:t xml:space="preserve"> </w:t>
      </w:r>
      <w:r w:rsidR="00BB26BC">
        <w:rPr>
          <w:rFonts w:hint="cs"/>
          <w:rtl/>
        </w:rPr>
        <w:t xml:space="preserve"> </w:t>
      </w:r>
      <w:r w:rsidR="00DC5239">
        <w:rPr>
          <w:rFonts w:hint="cs"/>
          <w:rtl/>
        </w:rPr>
        <w:t xml:space="preserve"> </w:t>
      </w:r>
    </w:p>
  </w:footnote>
  <w:footnote w:id="533">
    <w:p w14:paraId="2ED86632" w14:textId="77777777" w:rsidR="00993E56" w:rsidRDefault="002F42AE">
      <w:pPr>
        <w:pStyle w:val="FootnoteText"/>
        <w:rPr>
          <w:rtl/>
        </w:rPr>
      </w:pPr>
      <w:r>
        <w:rPr>
          <w:rStyle w:val="FootnoteReference"/>
        </w:rPr>
        <w:footnoteRef/>
      </w:r>
      <w:r>
        <w:rPr>
          <w:rtl/>
        </w:rPr>
        <w:t xml:space="preserve"> </w:t>
      </w:r>
      <w:r w:rsidR="003E7BBC">
        <w:rPr>
          <w:rFonts w:hint="cs"/>
          <w:rtl/>
        </w:rPr>
        <w:t>במורכבים בלי ספק המהות של העצם היא צורתו</w:t>
      </w:r>
      <w:r w:rsidR="00240DAA">
        <w:rPr>
          <w:rFonts w:hint="cs"/>
          <w:rtl/>
        </w:rPr>
        <w:t xml:space="preserve"> ואין חשש לטעות בזה</w:t>
      </w:r>
      <w:r w:rsidR="003E7BBC">
        <w:rPr>
          <w:rFonts w:hint="cs"/>
          <w:rtl/>
        </w:rPr>
        <w:t>, אבל יש ב</w:t>
      </w:r>
      <w:r w:rsidR="00325831">
        <w:rPr>
          <w:rFonts w:hint="cs"/>
          <w:rtl/>
        </w:rPr>
        <w:t>זה</w:t>
      </w:r>
      <w:r w:rsidR="003E7BBC">
        <w:rPr>
          <w:rFonts w:hint="cs"/>
          <w:rtl/>
        </w:rPr>
        <w:t xml:space="preserve"> דברים נוספים דהיינו המזג של החומר וכמו שהתבאר לעיל בסמוך. </w:t>
      </w:r>
      <w:r w:rsidR="009921C6">
        <w:rPr>
          <w:rFonts w:hint="cs"/>
          <w:rtl/>
        </w:rPr>
        <w:t>בכל אופן כשמד</w:t>
      </w:r>
      <w:r w:rsidR="00514F45">
        <w:rPr>
          <w:rFonts w:hint="cs"/>
          <w:rtl/>
        </w:rPr>
        <w:t>ו</w:t>
      </w:r>
      <w:r w:rsidR="009921C6">
        <w:rPr>
          <w:rFonts w:hint="cs"/>
          <w:rtl/>
        </w:rPr>
        <w:t>בר על ה</w:t>
      </w:r>
      <w:r w:rsidR="00514F45">
        <w:rPr>
          <w:rFonts w:hint="cs"/>
          <w:rtl/>
        </w:rPr>
        <w:t>'</w:t>
      </w:r>
      <w:r w:rsidR="009921C6">
        <w:rPr>
          <w:rFonts w:hint="cs"/>
          <w:rtl/>
        </w:rPr>
        <w:t>טבע</w:t>
      </w:r>
      <w:r w:rsidR="00514F45">
        <w:rPr>
          <w:rFonts w:hint="cs"/>
          <w:rtl/>
        </w:rPr>
        <w:t>' של הדברים</w:t>
      </w:r>
      <w:r w:rsidR="00325831">
        <w:rPr>
          <w:rFonts w:hint="cs"/>
          <w:rtl/>
        </w:rPr>
        <w:t xml:space="preserve"> המורכבים</w:t>
      </w:r>
      <w:r w:rsidR="009921C6">
        <w:rPr>
          <w:rFonts w:hint="cs"/>
          <w:rtl/>
        </w:rPr>
        <w:t xml:space="preserve"> הכוונה</w:t>
      </w:r>
      <w:r w:rsidR="00514F45">
        <w:rPr>
          <w:rFonts w:hint="cs"/>
          <w:rtl/>
        </w:rPr>
        <w:t xml:space="preserve"> </w:t>
      </w:r>
      <w:r w:rsidR="009921C6">
        <w:rPr>
          <w:rFonts w:hint="cs"/>
          <w:rtl/>
        </w:rPr>
        <w:t>לצורה השלמה</w:t>
      </w:r>
      <w:r w:rsidR="00325831">
        <w:rPr>
          <w:rFonts w:hint="cs"/>
          <w:rtl/>
        </w:rPr>
        <w:t xml:space="preserve"> שלהם</w:t>
      </w:r>
      <w:r w:rsidR="009921C6">
        <w:rPr>
          <w:rFonts w:hint="cs"/>
          <w:rtl/>
        </w:rPr>
        <w:t xml:space="preserve">, </w:t>
      </w:r>
      <w:r w:rsidR="00514F45">
        <w:rPr>
          <w:rFonts w:hint="cs"/>
          <w:rtl/>
        </w:rPr>
        <w:t xml:space="preserve">כלומר </w:t>
      </w:r>
      <w:r w:rsidR="009921C6">
        <w:rPr>
          <w:rFonts w:hint="cs"/>
          <w:rtl/>
        </w:rPr>
        <w:t>בלי התחשבות במה שמזג החומר מגביל אותה</w:t>
      </w:r>
      <w:r w:rsidR="00325831">
        <w:rPr>
          <w:rFonts w:hint="cs"/>
          <w:rtl/>
        </w:rPr>
        <w:t xml:space="preserve">. </w:t>
      </w:r>
      <w:r w:rsidR="00BD3656">
        <w:rPr>
          <w:rFonts w:hint="cs"/>
          <w:rtl/>
        </w:rPr>
        <w:t>זה מובן שונה של 'טבע' ממה שנאמר בגופים הפשוטים, ו'טבע' ה</w:t>
      </w:r>
      <w:r w:rsidR="00993E56">
        <w:rPr>
          <w:rFonts w:hint="cs"/>
          <w:rtl/>
        </w:rPr>
        <w:t>ו</w:t>
      </w:r>
      <w:r w:rsidR="00BD3656">
        <w:rPr>
          <w:rFonts w:hint="cs"/>
          <w:rtl/>
        </w:rPr>
        <w:t>א כאן שם משתתף, כ</w:t>
      </w:r>
      <w:r w:rsidR="00993E56">
        <w:rPr>
          <w:rFonts w:hint="cs"/>
          <w:rtl/>
        </w:rPr>
        <w:t>ל</w:t>
      </w:r>
      <w:r w:rsidR="00BD3656">
        <w:rPr>
          <w:rFonts w:hint="cs"/>
          <w:rtl/>
        </w:rPr>
        <w:t>ומר מילה אחת בעלת שנ</w:t>
      </w:r>
      <w:r w:rsidR="00993E56">
        <w:rPr>
          <w:rFonts w:hint="cs"/>
          <w:rtl/>
        </w:rPr>
        <w:t>י</w:t>
      </w:r>
      <w:r w:rsidR="00BD3656">
        <w:rPr>
          <w:rFonts w:hint="cs"/>
          <w:rtl/>
        </w:rPr>
        <w:t xml:space="preserve"> מובנים שונים.</w:t>
      </w:r>
    </w:p>
    <w:p w14:paraId="0DDEF5D6" w14:textId="01DAC0CC" w:rsidR="00DD1238" w:rsidRDefault="00993E56">
      <w:pPr>
        <w:pStyle w:val="FootnoteText"/>
        <w:rPr>
          <w:rtl/>
        </w:rPr>
      </w:pPr>
      <w:r>
        <w:rPr>
          <w:rFonts w:hint="cs"/>
          <w:rtl/>
        </w:rPr>
        <w:t xml:space="preserve">לעיל בסמוך ביארתי שהשינויים במזג החומר הם הקובעים שסוס יהיה במקום </w:t>
      </w:r>
      <w:r w:rsidR="009C463A">
        <w:rPr>
          <w:rFonts w:hint="cs"/>
          <w:rtl/>
        </w:rPr>
        <w:t>מסוים</w:t>
      </w:r>
      <w:r>
        <w:rPr>
          <w:rFonts w:hint="cs"/>
          <w:rtl/>
        </w:rPr>
        <w:t xml:space="preserve"> וכלב במקום אחר,</w:t>
      </w:r>
      <w:r w:rsidR="0020173E">
        <w:rPr>
          <w:rFonts w:hint="cs"/>
          <w:rtl/>
        </w:rPr>
        <w:t xml:space="preserve"> כי מזג הרכבת היסודות שבחומר במקום ההוא מוכן לקבל דווקא צורת סוס ולא צורת כלב. </w:t>
      </w:r>
      <w:r w:rsidR="005B6E3C">
        <w:rPr>
          <w:rFonts w:hint="cs"/>
          <w:rtl/>
        </w:rPr>
        <w:t>לגבי היסודות הפשוטים, הצורה הרי רוצ</w:t>
      </w:r>
      <w:r w:rsidR="00DD1238">
        <w:rPr>
          <w:rFonts w:hint="cs"/>
          <w:rtl/>
        </w:rPr>
        <w:t>ה</w:t>
      </w:r>
      <w:r w:rsidR="005B6E3C">
        <w:rPr>
          <w:rFonts w:hint="cs"/>
          <w:rtl/>
        </w:rPr>
        <w:t xml:space="preserve"> לחול תמיד בכל מקום בחומר, ואם אין שינויים במזג החומר של היסודות הפשוטים</w:t>
      </w:r>
      <w:r w:rsidR="00DD1238">
        <w:rPr>
          <w:rFonts w:hint="cs"/>
          <w:rtl/>
        </w:rPr>
        <w:t xml:space="preserve"> יש לשאול</w:t>
      </w:r>
      <w:r w:rsidR="005B6E3C">
        <w:rPr>
          <w:rFonts w:hint="cs"/>
          <w:rtl/>
        </w:rPr>
        <w:t xml:space="preserve"> לפי מה נקבע המקום שבו יהיה יסוד האש והמקום שבו יהיה יסו</w:t>
      </w:r>
      <w:r w:rsidR="00DD1238">
        <w:rPr>
          <w:rFonts w:hint="cs"/>
          <w:rtl/>
        </w:rPr>
        <w:t>ד</w:t>
      </w:r>
      <w:r w:rsidR="005B6E3C">
        <w:rPr>
          <w:rFonts w:hint="cs"/>
          <w:rtl/>
        </w:rPr>
        <w:t xml:space="preserve"> הרוח וכן הלאה.</w:t>
      </w:r>
    </w:p>
    <w:p w14:paraId="6249A676" w14:textId="1769C1E6" w:rsidR="00CF4354" w:rsidRDefault="00DD1238">
      <w:pPr>
        <w:pStyle w:val="FootnoteText"/>
        <w:rPr>
          <w:rtl/>
        </w:rPr>
      </w:pPr>
      <w:r>
        <w:rPr>
          <w:rFonts w:hint="cs"/>
          <w:rtl/>
        </w:rPr>
        <w:t xml:space="preserve">בכלל </w:t>
      </w:r>
      <w:r w:rsidR="00AE652F">
        <w:rPr>
          <w:rFonts w:hint="cs"/>
          <w:rtl/>
        </w:rPr>
        <w:t>יש לשאול מה המובן של מקום כשיש רק את היסודות הפשוטים והחומר הראשון, כי החומר הראשון אין בו שום צורה ולכן אין בו גבולות ואי אפשר לסמן מקום ב</w:t>
      </w:r>
      <w:r w:rsidR="00FC5741">
        <w:rPr>
          <w:rFonts w:hint="cs"/>
          <w:rtl/>
        </w:rPr>
        <w:t xml:space="preserve">יחס אליו. כלומר מקום צריך קואורדינטות, נקודות ייחוס </w:t>
      </w:r>
      <w:r w:rsidR="00AA2DF9">
        <w:rPr>
          <w:rFonts w:hint="cs"/>
          <w:rtl/>
        </w:rPr>
        <w:t>שמקומן מוגדר ו</w:t>
      </w:r>
      <w:r w:rsidR="00FC5741">
        <w:rPr>
          <w:rFonts w:hint="cs"/>
          <w:rtl/>
        </w:rPr>
        <w:t xml:space="preserve">מהן מודדים ואז </w:t>
      </w:r>
      <w:r w:rsidR="00AA2DF9">
        <w:rPr>
          <w:rFonts w:hint="cs"/>
          <w:rtl/>
        </w:rPr>
        <w:t xml:space="preserve">לפי המדידה </w:t>
      </w:r>
      <w:r w:rsidR="00FC5741">
        <w:rPr>
          <w:rFonts w:hint="cs"/>
          <w:rtl/>
        </w:rPr>
        <w:t xml:space="preserve">מגדירים מקום </w:t>
      </w:r>
      <w:r w:rsidR="009C463A">
        <w:rPr>
          <w:rFonts w:hint="cs"/>
          <w:rtl/>
        </w:rPr>
        <w:t>מסוים</w:t>
      </w:r>
      <w:r w:rsidR="00FC5741">
        <w:rPr>
          <w:rFonts w:hint="cs"/>
          <w:rtl/>
        </w:rPr>
        <w:t xml:space="preserve"> במובחן ממקום אחר. </w:t>
      </w:r>
      <w:r w:rsidR="00AA2DF9">
        <w:rPr>
          <w:rFonts w:hint="cs"/>
          <w:rtl/>
        </w:rPr>
        <w:t xml:space="preserve">החומר הראשון אין אפשרות למדוד לפיו כי לא חלות בו שום הגדרות </w:t>
      </w:r>
      <w:r w:rsidR="00AA2DF9">
        <w:rPr>
          <w:rFonts w:hint="cs"/>
          <w:rtl/>
        </w:rPr>
        <w:t xml:space="preserve">מסויימות, ואי אפשר למדוד לפי מיקום היסודות שהרי אנו מבקשים כעת להגדיר את מקומם של היסודות עצמם. </w:t>
      </w:r>
    </w:p>
    <w:p w14:paraId="2D015A7B" w14:textId="7B1E7C09" w:rsidR="002F42AE" w:rsidRDefault="00CF4354">
      <w:pPr>
        <w:pStyle w:val="FootnoteText"/>
      </w:pPr>
      <w:r>
        <w:rPr>
          <w:rFonts w:hint="cs"/>
          <w:rtl/>
        </w:rPr>
        <w:t>היסודות הם עוד לא הטבע, אין מציאות טבעית ליסודות הפשוטים, האש והאוויר והמים והעפר שאנו מכירים הם גופים שמורכבים מכל ארבעת היסודות ורק שולטת בהם איכות שדומה לאיכות של היסוד</w:t>
      </w:r>
      <w:r w:rsidR="00960997">
        <w:rPr>
          <w:rFonts w:hint="cs"/>
          <w:rtl/>
        </w:rPr>
        <w:t xml:space="preserve"> (באמת האש היסודית אינה חמה ואינה מאירה, היא שקופה ונקראת חושך, כמו שביאר במורה נבוכים ב' ל' וברמב"ן על בראשית א' א'. אם האש היסודית הייתה דומה לאש שלנו, היינו רואים את שמי הלילה מוארים בלהבת אש</w:t>
      </w:r>
      <w:r w:rsidR="00447653">
        <w:rPr>
          <w:rFonts w:hint="cs"/>
          <w:rtl/>
        </w:rPr>
        <w:t>, כי יסוד האש נמצא סביב כדור הארץ מתחת לגלגל הירח</w:t>
      </w:r>
      <w:r w:rsidR="00960997">
        <w:rPr>
          <w:rFonts w:hint="cs"/>
          <w:rtl/>
        </w:rPr>
        <w:t>)</w:t>
      </w:r>
      <w:r>
        <w:rPr>
          <w:rFonts w:hint="cs"/>
          <w:rtl/>
        </w:rPr>
        <w:t xml:space="preserve">. </w:t>
      </w:r>
      <w:r w:rsidR="00FB5E9C">
        <w:rPr>
          <w:rFonts w:hint="cs"/>
          <w:rtl/>
        </w:rPr>
        <w:t xml:space="preserve">היסודות הם עוד באמצע התהליך של הבריאה מהמופשט, ומקומם נקבע לפי כמה הם מופשטים. </w:t>
      </w:r>
      <w:r w:rsidR="00E87B95">
        <w:rPr>
          <w:rFonts w:hint="cs"/>
          <w:rtl/>
        </w:rPr>
        <w:t xml:space="preserve">האש היא מעל שאר היסודות כי היא יותר מופשטת מהם, וכן הלאה. </w:t>
      </w:r>
      <w:r w:rsidR="008D0164">
        <w:rPr>
          <w:rFonts w:hint="cs"/>
          <w:rtl/>
        </w:rPr>
        <w:t>עיין בזה עוד ברמיזות והערות פיזיקה חלק א', ובטימאוס של אפלטון, וכתבתי בעניין זה באריכות בכמה מקומות.</w:t>
      </w:r>
      <w:r w:rsidR="00FB5E9C">
        <w:rPr>
          <w:rFonts w:hint="cs"/>
          <w:rtl/>
        </w:rPr>
        <w:t xml:space="preserve"> </w:t>
      </w:r>
      <w:r>
        <w:rPr>
          <w:rFonts w:hint="cs"/>
          <w:rtl/>
        </w:rPr>
        <w:t xml:space="preserve"> </w:t>
      </w:r>
      <w:r w:rsidR="005B6E3C">
        <w:rPr>
          <w:rFonts w:hint="cs"/>
          <w:rtl/>
        </w:rPr>
        <w:t xml:space="preserve"> </w:t>
      </w:r>
      <w:r w:rsidR="00BD3656">
        <w:rPr>
          <w:rFonts w:hint="cs"/>
          <w:rtl/>
        </w:rPr>
        <w:t xml:space="preserve"> </w:t>
      </w:r>
    </w:p>
  </w:footnote>
  <w:footnote w:id="534">
    <w:p w14:paraId="573FE4A9" w14:textId="5589E023" w:rsidR="004476A0" w:rsidRDefault="004476A0">
      <w:pPr>
        <w:pStyle w:val="FootnoteText"/>
        <w:rPr>
          <w:rtl/>
        </w:rPr>
      </w:pPr>
      <w:r>
        <w:rPr>
          <w:rStyle w:val="FootnoteReference"/>
        </w:rPr>
        <w:footnoteRef/>
      </w:r>
      <w:r>
        <w:rPr>
          <w:rtl/>
        </w:rPr>
        <w:t xml:space="preserve"> </w:t>
      </w:r>
      <w:r>
        <w:rPr>
          <w:rFonts w:hint="cs"/>
          <w:rtl/>
        </w:rPr>
        <w:t xml:space="preserve">מקגיניס ציין </w:t>
      </w:r>
      <w:r>
        <w:rPr>
          <w:rFonts w:hint="cs"/>
          <w:rtl/>
        </w:rPr>
        <w:t>ל</w:t>
      </w:r>
      <w:r w:rsidR="00C2405C">
        <w:rPr>
          <w:rFonts w:hint="cs"/>
          <w:rtl/>
        </w:rPr>
        <w:t>ל</w:t>
      </w:r>
      <w:r>
        <w:rPr>
          <w:rFonts w:hint="cs"/>
          <w:rtl/>
        </w:rPr>
        <w:t xml:space="preserve">קמן </w:t>
      </w:r>
      <w:r w:rsidRPr="004476A0">
        <w:rPr>
          <w:rtl/>
        </w:rPr>
        <w:t>4.9.5</w:t>
      </w:r>
      <w:r>
        <w:rPr>
          <w:rFonts w:hint="cs"/>
          <w:rtl/>
        </w:rPr>
        <w:t xml:space="preserve">. </w:t>
      </w:r>
    </w:p>
    <w:p w14:paraId="2D198AB8" w14:textId="78E7212B" w:rsidR="00015E55" w:rsidRDefault="00C475A2">
      <w:pPr>
        <w:pStyle w:val="FootnoteText"/>
      </w:pPr>
      <w:r>
        <w:rPr>
          <w:rFonts w:hint="cs"/>
          <w:rtl/>
        </w:rPr>
        <w:t>שם מבוארים דברי אבן סינא שכאן. הכוונה היא לא ל</w:t>
      </w:r>
      <w:r w:rsidR="009C39D4">
        <w:rPr>
          <w:rFonts w:hint="cs"/>
          <w:rtl/>
        </w:rPr>
        <w:t>'</w:t>
      </w:r>
      <w:r>
        <w:rPr>
          <w:rFonts w:hint="cs"/>
          <w:rtl/>
        </w:rPr>
        <w:t>התחלת התנועה</w:t>
      </w:r>
      <w:r w:rsidR="009C39D4">
        <w:rPr>
          <w:rFonts w:hint="cs"/>
          <w:rtl/>
        </w:rPr>
        <w:t>'</w:t>
      </w:r>
      <w:r>
        <w:rPr>
          <w:rFonts w:hint="cs"/>
          <w:rtl/>
        </w:rPr>
        <w:t xml:space="preserve"> שהיא בטבע של הדברים כמו שהגדיר אריסטו והתבאר באריכות לעיל פרק ה', אלא לתנועה בפועל. </w:t>
      </w:r>
      <w:r w:rsidR="002D2593">
        <w:rPr>
          <w:rFonts w:hint="cs"/>
          <w:rtl/>
        </w:rPr>
        <w:t xml:space="preserve">באבן יש טבע שהוא התחלת תנועה, הטבע הזה לא מוליד תנועה, אלא עניינו הוא שהאבן תהיה במקומה הטבעי שהוא מרכז הכדור. אם במקרה הופעל כח חיצוני על האבן והיא נעקרה ממקומה </w:t>
      </w:r>
      <w:r w:rsidR="00787B4E">
        <w:rPr>
          <w:rFonts w:hint="cs"/>
          <w:rtl/>
        </w:rPr>
        <w:t>הטבעי ש</w:t>
      </w:r>
      <w:r w:rsidR="002D2593">
        <w:rPr>
          <w:rFonts w:hint="cs"/>
          <w:rtl/>
        </w:rPr>
        <w:t xml:space="preserve">במרכז הכדור, אז התחלת התנועה שיש בה מטבעה מניעה אותה בפועל ליפול בקו ישר למטה עד שתגיע </w:t>
      </w:r>
      <w:r w:rsidR="00787B4E">
        <w:rPr>
          <w:rFonts w:hint="cs"/>
          <w:rtl/>
        </w:rPr>
        <w:t xml:space="preserve">בחזרה </w:t>
      </w:r>
      <w:r w:rsidR="002D2593">
        <w:rPr>
          <w:rFonts w:hint="cs"/>
          <w:rtl/>
        </w:rPr>
        <w:t xml:space="preserve">למרכז הכדור ושם תנוח (או שתגיע לקרקע שעוצרת אותה מלהמשיך את דרכה למרכז הכדור והיא תנוח על פני הקרקע). </w:t>
      </w:r>
      <w:r w:rsidR="00787B4E">
        <w:rPr>
          <w:rFonts w:hint="cs"/>
          <w:rtl/>
        </w:rPr>
        <w:t>כלומר כל זמן שהאבן נמצאת במקומה הטבעי התחלת התנועה שיש בה מטבעה לא מניעה אותה, אלא רק שומרת שתישאר במקומה</w:t>
      </w:r>
      <w:r w:rsidR="007C7AC5">
        <w:rPr>
          <w:rFonts w:hint="cs"/>
          <w:rtl/>
        </w:rPr>
        <w:t>, שהיא מצמידה אותה לקרקע וצריך להפעיל כח כדי לעקור אותה משם, דהיינו המשקל של האבן</w:t>
      </w:r>
      <w:r w:rsidR="00787B4E">
        <w:rPr>
          <w:rFonts w:hint="cs"/>
          <w:rtl/>
        </w:rPr>
        <w:t xml:space="preserve">. </w:t>
      </w:r>
      <w:r w:rsidR="0043081B">
        <w:rPr>
          <w:rFonts w:hint="cs"/>
          <w:rtl/>
        </w:rPr>
        <w:t>כשהאבן מוחזקת ביד ולא נופלת, היד מרגישה את המשקל, והוא 'התחלת התנועה' שאינה מניעה ב</w:t>
      </w:r>
      <w:r w:rsidR="00DD29EB">
        <w:rPr>
          <w:rFonts w:hint="cs"/>
          <w:rtl/>
        </w:rPr>
        <w:t>פ</w:t>
      </w:r>
      <w:r w:rsidR="0043081B">
        <w:rPr>
          <w:rFonts w:hint="cs"/>
          <w:rtl/>
        </w:rPr>
        <w:t>ועל</w:t>
      </w:r>
      <w:r w:rsidR="00DD29EB">
        <w:rPr>
          <w:rFonts w:hint="cs"/>
          <w:rtl/>
        </w:rPr>
        <w:t>, ואף מונעת תנועה של הרמת היד עם האבן כלפי מעלה</w:t>
      </w:r>
      <w:r w:rsidR="0043081B">
        <w:rPr>
          <w:rFonts w:hint="cs"/>
          <w:rtl/>
        </w:rPr>
        <w:t xml:space="preserve">. </w:t>
      </w:r>
      <w:r w:rsidR="00787B4E">
        <w:rPr>
          <w:rFonts w:hint="cs"/>
          <w:rtl/>
        </w:rPr>
        <w:t xml:space="preserve">התחלת התנועה היא </w:t>
      </w:r>
      <w:r w:rsidR="00DD29EB">
        <w:rPr>
          <w:rFonts w:hint="cs"/>
          <w:rtl/>
        </w:rPr>
        <w:t xml:space="preserve">המשקל, והוא גם </w:t>
      </w:r>
      <w:r w:rsidR="009C39D4">
        <w:rPr>
          <w:rFonts w:hint="cs"/>
          <w:rtl/>
        </w:rPr>
        <w:t>'</w:t>
      </w:r>
      <w:r w:rsidR="00853F78">
        <w:rPr>
          <w:rFonts w:hint="cs"/>
          <w:rtl/>
        </w:rPr>
        <w:t>התחלת מנוחה</w:t>
      </w:r>
      <w:r w:rsidR="009C39D4">
        <w:rPr>
          <w:rFonts w:hint="cs"/>
          <w:rtl/>
        </w:rPr>
        <w:t>'</w:t>
      </w:r>
      <w:r w:rsidR="00853F78">
        <w:rPr>
          <w:rFonts w:hint="cs"/>
          <w:rtl/>
        </w:rPr>
        <w:t xml:space="preserve"> (לא התבאר לעיל בפרק ה' די הצורך היחס </w:t>
      </w:r>
      <w:r w:rsidR="009C39D4">
        <w:rPr>
          <w:rFonts w:hint="cs"/>
          <w:rtl/>
        </w:rPr>
        <w:t xml:space="preserve">המדויק </w:t>
      </w:r>
      <w:r w:rsidR="00853F78">
        <w:rPr>
          <w:rFonts w:hint="cs"/>
          <w:rtl/>
        </w:rPr>
        <w:t>בין 'התחלת תנועה' ובין 'התחלת מנוחה'</w:t>
      </w:r>
      <w:r w:rsidR="007C7AC5">
        <w:rPr>
          <w:rFonts w:hint="cs"/>
          <w:rtl/>
        </w:rPr>
        <w:t>)</w:t>
      </w:r>
      <w:r w:rsidR="00853F78">
        <w:rPr>
          <w:rFonts w:hint="cs"/>
          <w:rtl/>
        </w:rPr>
        <w:t xml:space="preserve">. </w:t>
      </w:r>
      <w:r w:rsidR="0008791F">
        <w:rPr>
          <w:rFonts w:hint="cs"/>
          <w:rtl/>
        </w:rPr>
        <w:t>כשהאבן נעקרה ממקומה הטבעי זה חסרון, והתנועה קורה רק כשיש חסרון והיא מניעה עד שיושלם החיסרון, דהיינו שהאבן תגיע למקומה הטבעי</w:t>
      </w:r>
      <w:r w:rsidR="00853F78">
        <w:rPr>
          <w:rFonts w:hint="cs"/>
          <w:rtl/>
        </w:rPr>
        <w:t xml:space="preserve">. </w:t>
      </w:r>
      <w:r w:rsidR="003902AB">
        <w:rPr>
          <w:rFonts w:hint="cs"/>
          <w:rtl/>
        </w:rPr>
        <w:t>כך שהתנועה בפועל בפני עצמה היא מקרית, היא נולדת מכח שעקר את האבן ממקומה הטבעי, וקורה רק עד ש</w:t>
      </w:r>
      <w:r w:rsidR="00217EED">
        <w:rPr>
          <w:rFonts w:hint="cs"/>
          <w:rtl/>
        </w:rPr>
        <w:t>תחזור</w:t>
      </w:r>
      <w:r w:rsidR="003902AB">
        <w:rPr>
          <w:rFonts w:hint="cs"/>
          <w:rtl/>
        </w:rPr>
        <w:t xml:space="preserve"> למקו</w:t>
      </w:r>
      <w:r w:rsidR="00217EED">
        <w:rPr>
          <w:rFonts w:hint="cs"/>
          <w:rtl/>
        </w:rPr>
        <w:t>מה</w:t>
      </w:r>
      <w:r w:rsidR="003902AB">
        <w:rPr>
          <w:rFonts w:hint="cs"/>
          <w:rtl/>
        </w:rPr>
        <w:t xml:space="preserve"> הטבעי ואז תחדל,  </w:t>
      </w:r>
      <w:r w:rsidR="00217EED">
        <w:rPr>
          <w:rFonts w:hint="cs"/>
          <w:rtl/>
        </w:rPr>
        <w:t>הכח שעקר את האבן ממקומה הטבעי והתנועה בפועל שמחזירה אותה למקומה שניהם אפשר שלא יקרו בפועל, ואם קרו בפועל זה רק מקרה ואין זה במהות של העצם ולא בטבעו.</w:t>
      </w:r>
    </w:p>
  </w:footnote>
  <w:footnote w:id="535">
    <w:p w14:paraId="5FD70F40" w14:textId="1748CBFE" w:rsidR="00FF6101" w:rsidRDefault="00FF6101">
      <w:pPr>
        <w:pStyle w:val="FootnoteText"/>
      </w:pPr>
      <w:r>
        <w:rPr>
          <w:rStyle w:val="FootnoteReference"/>
        </w:rPr>
        <w:footnoteRef/>
      </w:r>
      <w:r>
        <w:rPr>
          <w:rtl/>
        </w:rPr>
        <w:t xml:space="preserve"> </w:t>
      </w:r>
      <w:r w:rsidR="00F438D1">
        <w:rPr>
          <w:rFonts w:hint="cs"/>
          <w:rtl/>
        </w:rPr>
        <w:t xml:space="preserve">'שם' בלשון ימי הביניים הוא מה שאנו קוראים לו 'מילה'. </w:t>
      </w:r>
    </w:p>
  </w:footnote>
  <w:footnote w:id="536">
    <w:p w14:paraId="655B6F49" w14:textId="7DCCC11F" w:rsidR="00317C99" w:rsidRDefault="00317C99">
      <w:pPr>
        <w:pStyle w:val="FootnoteText"/>
      </w:pPr>
      <w:r>
        <w:rPr>
          <w:rStyle w:val="FootnoteReference"/>
        </w:rPr>
        <w:footnoteRef/>
      </w:r>
      <w:r>
        <w:rPr>
          <w:rtl/>
        </w:rPr>
        <w:t xml:space="preserve"> </w:t>
      </w:r>
      <w:r w:rsidR="00DE675A">
        <w:rPr>
          <w:rFonts w:hint="cs"/>
          <w:rtl/>
        </w:rPr>
        <w:t>על ידי אריסטו.</w:t>
      </w:r>
    </w:p>
  </w:footnote>
  <w:footnote w:id="537">
    <w:p w14:paraId="3C9084F1" w14:textId="73259EE6" w:rsidR="00EA22F0" w:rsidRDefault="00EA22F0">
      <w:pPr>
        <w:pStyle w:val="FootnoteText"/>
        <w:rPr>
          <w:rtl/>
        </w:rPr>
      </w:pPr>
      <w:r>
        <w:rPr>
          <w:rStyle w:val="FootnoteReference"/>
        </w:rPr>
        <w:footnoteRef/>
      </w:r>
      <w:r>
        <w:rPr>
          <w:rtl/>
        </w:rPr>
        <w:t xml:space="preserve"> </w:t>
      </w:r>
      <w:r w:rsidR="00BC5059" w:rsidRPr="006B736F">
        <w:rPr>
          <w:rtl/>
        </w:rPr>
        <w:t xml:space="preserve">במקור: </w:t>
      </w:r>
      <w:r w:rsidR="00D67501" w:rsidRPr="006B736F">
        <w:rPr>
          <w:rtl/>
        </w:rPr>
        <w:t>"</w:t>
      </w:r>
      <w:r w:rsidR="006A68E5" w:rsidRPr="006B736F">
        <w:rPr>
          <w:rFonts w:ascii="Arial" w:hAnsi="Arial" w:cs="Arial" w:hint="cs"/>
          <w:rtl/>
          <w:lang w:bidi="ar-SA"/>
        </w:rPr>
        <w:t>و</w:t>
      </w:r>
      <w:r w:rsidR="006A68E5" w:rsidRPr="006B736F">
        <w:rPr>
          <w:rtl/>
          <w:lang w:bidi="ar-SA"/>
        </w:rPr>
        <w:t xml:space="preserve"> </w:t>
      </w:r>
      <w:r w:rsidR="006A68E5" w:rsidRPr="006B736F">
        <w:rPr>
          <w:rFonts w:ascii="Arial" w:hAnsi="Arial" w:cs="Arial" w:hint="cs"/>
          <w:rtl/>
          <w:lang w:bidi="ar-SA"/>
        </w:rPr>
        <w:t>ما</w:t>
      </w:r>
      <w:r w:rsidR="006A68E5" w:rsidRPr="006B736F">
        <w:rPr>
          <w:rtl/>
          <w:lang w:bidi="ar-SA"/>
        </w:rPr>
        <w:t xml:space="preserve"> </w:t>
      </w:r>
      <w:r w:rsidR="006A68E5" w:rsidRPr="006B736F">
        <w:rPr>
          <w:rFonts w:ascii="Arial" w:hAnsi="Arial" w:cs="Arial" w:hint="cs"/>
          <w:rtl/>
          <w:lang w:bidi="ar-SA"/>
        </w:rPr>
        <w:t>ب</w:t>
      </w:r>
      <w:bookmarkStart w:id="260" w:name="_Hlk105949325"/>
      <w:r w:rsidR="006A68E5" w:rsidRPr="006B736F">
        <w:rPr>
          <w:rFonts w:ascii="Arial" w:hAnsi="Arial" w:cs="Arial" w:hint="cs"/>
          <w:rtl/>
          <w:lang w:bidi="ar-SA"/>
        </w:rPr>
        <w:t>الطبيعة</w:t>
      </w:r>
      <w:bookmarkEnd w:id="260"/>
      <w:r w:rsidR="00BC5059" w:rsidRPr="006B736F">
        <w:rPr>
          <w:rtl/>
        </w:rPr>
        <w:t>,</w:t>
      </w:r>
      <w:r w:rsidR="006A68E5" w:rsidRPr="006B736F">
        <w:rPr>
          <w:rtl/>
          <w:lang w:bidi="ar-SA"/>
        </w:rPr>
        <w:t xml:space="preserve"> </w:t>
      </w:r>
      <w:r w:rsidR="006A68E5" w:rsidRPr="006B736F">
        <w:rPr>
          <w:rFonts w:ascii="Arial" w:hAnsi="Arial" w:cs="Arial" w:hint="cs"/>
          <w:rtl/>
          <w:lang w:bidi="ar-SA"/>
        </w:rPr>
        <w:t>و</w:t>
      </w:r>
      <w:r w:rsidR="006A68E5" w:rsidRPr="006B736F">
        <w:rPr>
          <w:rtl/>
          <w:lang w:bidi="ar-SA"/>
        </w:rPr>
        <w:t xml:space="preserve"> </w:t>
      </w:r>
      <w:r w:rsidR="006A68E5" w:rsidRPr="006B736F">
        <w:rPr>
          <w:rFonts w:ascii="Arial" w:hAnsi="Arial" w:cs="Arial" w:hint="cs"/>
          <w:rtl/>
          <w:lang w:bidi="ar-SA"/>
        </w:rPr>
        <w:t>ما</w:t>
      </w:r>
      <w:r w:rsidR="006A68E5" w:rsidRPr="006B736F">
        <w:rPr>
          <w:rtl/>
          <w:lang w:bidi="ar-SA"/>
        </w:rPr>
        <w:t xml:space="preserve"> </w:t>
      </w:r>
      <w:r w:rsidR="006A68E5" w:rsidRPr="006B736F">
        <w:rPr>
          <w:rFonts w:ascii="Arial" w:hAnsi="Arial" w:cs="Arial" w:hint="cs"/>
          <w:rtl/>
          <w:lang w:bidi="ar-SA"/>
        </w:rPr>
        <w:t>ب</w:t>
      </w:r>
      <w:bookmarkStart w:id="261" w:name="_Hlk105949345"/>
      <w:r w:rsidR="006A68E5" w:rsidRPr="006B736F">
        <w:rPr>
          <w:rFonts w:ascii="Arial" w:hAnsi="Arial" w:cs="Arial" w:hint="cs"/>
          <w:rtl/>
          <w:lang w:bidi="ar-SA"/>
        </w:rPr>
        <w:t>الطبع</w:t>
      </w:r>
      <w:bookmarkEnd w:id="261"/>
      <w:r w:rsidR="00D67501" w:rsidRPr="006B736F">
        <w:rPr>
          <w:rtl/>
        </w:rPr>
        <w:t>"</w:t>
      </w:r>
      <w:r w:rsidR="000E7D52" w:rsidRPr="006B736F">
        <w:rPr>
          <w:rtl/>
        </w:rPr>
        <w:t xml:space="preserve">, </w:t>
      </w:r>
      <w:r w:rsidR="00D67501" w:rsidRPr="006B736F">
        <w:rPr>
          <w:rtl/>
        </w:rPr>
        <w:t xml:space="preserve">כלומר </w:t>
      </w:r>
      <w:r w:rsidR="002A448A" w:rsidRPr="006B736F">
        <w:rPr>
          <w:rtl/>
        </w:rPr>
        <w:t>ו</w:t>
      </w:r>
      <w:r w:rsidR="00D67501" w:rsidRPr="006B736F">
        <w:rPr>
          <w:rtl/>
        </w:rPr>
        <w:t xml:space="preserve">מה שהוא ב </w:t>
      </w:r>
      <w:r w:rsidR="00D67501" w:rsidRPr="006B736F">
        <w:rPr>
          <w:rFonts w:ascii="Arial" w:hAnsi="Arial" w:cs="Arial" w:hint="cs"/>
          <w:rtl/>
          <w:lang w:bidi="ar-SA"/>
        </w:rPr>
        <w:t>الطبيعة</w:t>
      </w:r>
      <w:r w:rsidR="00CC24EE" w:rsidRPr="006B736F">
        <w:rPr>
          <w:rtl/>
        </w:rPr>
        <w:t xml:space="preserve">, ומה שהוא ב </w:t>
      </w:r>
      <w:r w:rsidR="00CC24EE" w:rsidRPr="006B736F">
        <w:rPr>
          <w:rFonts w:ascii="Arial" w:hAnsi="Arial" w:cs="Arial" w:hint="cs"/>
          <w:rtl/>
          <w:lang w:bidi="ar-SA"/>
        </w:rPr>
        <w:t>الطبع</w:t>
      </w:r>
      <w:r w:rsidR="00CC24EE" w:rsidRPr="006B736F">
        <w:rPr>
          <w:rtl/>
        </w:rPr>
        <w:t>. שתי המילים הערביות</w:t>
      </w:r>
      <w:r w:rsidR="000E5D3B" w:rsidRPr="006B736F">
        <w:rPr>
          <w:rtl/>
        </w:rPr>
        <w:t xml:space="preserve"> </w:t>
      </w:r>
      <w:r w:rsidR="00CC24EE" w:rsidRPr="006B736F">
        <w:rPr>
          <w:rtl/>
        </w:rPr>
        <w:t>האלה</w:t>
      </w:r>
      <w:r w:rsidR="000E5D3B" w:rsidRPr="006B736F">
        <w:rPr>
          <w:rtl/>
        </w:rPr>
        <w:t xml:space="preserve"> </w:t>
      </w:r>
      <w:r w:rsidR="00CC24EE" w:rsidRPr="006B736F">
        <w:rPr>
          <w:rtl/>
        </w:rPr>
        <w:t xml:space="preserve">לפי לקסיקון </w:t>
      </w:r>
      <w:r w:rsidR="00CC24EE" w:rsidRPr="006B736F">
        <w:t>Lane</w:t>
      </w:r>
      <w:r w:rsidR="000E5D3B" w:rsidRPr="006B736F">
        <w:rPr>
          <w:rtl/>
        </w:rPr>
        <w:t xml:space="preserve"> הן מילים נרדפות ומשמעותן אחת</w:t>
      </w:r>
      <w:r w:rsidR="002A448A" w:rsidRPr="006B736F">
        <w:rPr>
          <w:rtl/>
        </w:rPr>
        <w:t xml:space="preserve"> והיא 'טבע'</w:t>
      </w:r>
      <w:r w:rsidR="000E5D3B" w:rsidRPr="006B736F">
        <w:rPr>
          <w:rtl/>
        </w:rPr>
        <w:t xml:space="preserve">. </w:t>
      </w:r>
      <w:r w:rsidR="00F97CF2" w:rsidRPr="006B736F">
        <w:rPr>
          <w:rtl/>
        </w:rPr>
        <w:t>כלומר "</w:t>
      </w:r>
      <w:r w:rsidR="00465A57" w:rsidRPr="006B736F">
        <w:rPr>
          <w:rtl/>
        </w:rPr>
        <w:t xml:space="preserve">'מה שהוא בטבע', ו'מה שבטבע'" אלה שתי אמירות שהן זהות ויש כאן כפילות מיותרת. </w:t>
      </w:r>
      <w:r w:rsidR="0066667C" w:rsidRPr="006B736F">
        <w:rPr>
          <w:rtl/>
        </w:rPr>
        <w:t>וכך גם תרגמתי</w:t>
      </w:r>
      <w:r w:rsidR="005F56FA">
        <w:rPr>
          <w:rFonts w:hint="cs"/>
          <w:rtl/>
        </w:rPr>
        <w:t xml:space="preserve"> (הוספת המילה "הוא" </w:t>
      </w:r>
      <w:r w:rsidR="00340D48">
        <w:rPr>
          <w:rFonts w:hint="cs"/>
          <w:rtl/>
        </w:rPr>
        <w:t xml:space="preserve">במילים "מה שהוא בטבע" </w:t>
      </w:r>
      <w:r w:rsidR="005F56FA">
        <w:rPr>
          <w:rFonts w:hint="cs"/>
          <w:rtl/>
        </w:rPr>
        <w:t>היא רק לטשטש את הצרימה בכך ש</w:t>
      </w:r>
      <w:r w:rsidR="00340D48">
        <w:rPr>
          <w:rFonts w:hint="cs"/>
          <w:rtl/>
        </w:rPr>
        <w:t>הדברים חוזרים על עצמם</w:t>
      </w:r>
      <w:r w:rsidR="0066667C" w:rsidRPr="006B736F">
        <w:rPr>
          <w:rtl/>
        </w:rPr>
        <w:t xml:space="preserve">. </w:t>
      </w:r>
      <w:r w:rsidR="00340D48">
        <w:rPr>
          <w:rFonts w:hint="cs"/>
          <w:rtl/>
        </w:rPr>
        <w:t>וכמו שטשטש אבן סינא בכך שהשתמש במילים נרדפות ו</w:t>
      </w:r>
      <w:r w:rsidR="00717D64">
        <w:rPr>
          <w:rFonts w:hint="cs"/>
          <w:rtl/>
        </w:rPr>
        <w:t>לא</w:t>
      </w:r>
      <w:r w:rsidR="00340D48">
        <w:rPr>
          <w:rFonts w:hint="cs"/>
          <w:rtl/>
        </w:rPr>
        <w:t xml:space="preserve"> חזר פעמיים על אותו ניסוח בדיוק</w:t>
      </w:r>
      <w:r w:rsidR="00717D64">
        <w:rPr>
          <w:rFonts w:hint="cs"/>
          <w:rtl/>
        </w:rPr>
        <w:t>).</w:t>
      </w:r>
    </w:p>
    <w:p w14:paraId="31B1145A" w14:textId="0B4D44B4" w:rsidR="00D805AF" w:rsidRDefault="00D805AF">
      <w:pPr>
        <w:pStyle w:val="FootnoteText"/>
        <w:rPr>
          <w:rtl/>
        </w:rPr>
      </w:pPr>
      <w:r>
        <w:rPr>
          <w:rFonts w:hint="cs"/>
          <w:rtl/>
        </w:rPr>
        <w:t xml:space="preserve">כך גם יש כפל לשון בתרגום י. </w:t>
      </w:r>
      <w:r>
        <w:rPr>
          <w:rFonts w:hint="cs"/>
          <w:rtl/>
        </w:rPr>
        <w:t>לנדא לפיזיקה ב' א'</w:t>
      </w:r>
      <w:r w:rsidR="00167B6C">
        <w:rPr>
          <w:rFonts w:hint="cs"/>
          <w:rtl/>
        </w:rPr>
        <w:t>, שמשם לקוחים המושגים שאבן סינא דן בהם כאן</w:t>
      </w:r>
      <w:r>
        <w:rPr>
          <w:rFonts w:hint="cs"/>
          <w:rtl/>
        </w:rPr>
        <w:t>:</w:t>
      </w:r>
    </w:p>
    <w:p w14:paraId="512F7D36" w14:textId="0C46128C" w:rsidR="00665D0A" w:rsidRDefault="00D805AF" w:rsidP="00665D0A">
      <w:pPr>
        <w:pStyle w:val="FootnoteText"/>
        <w:rPr>
          <w:rtl/>
        </w:rPr>
      </w:pPr>
      <w:r>
        <w:rPr>
          <w:rFonts w:hint="cs"/>
          <w:rtl/>
        </w:rPr>
        <w:t>"</w:t>
      </w:r>
      <w:r w:rsidR="00665D0A">
        <w:rPr>
          <w:rtl/>
        </w:rPr>
        <w:t>"מבין הנמצאים אחדים הם</w:t>
      </w:r>
      <w:r w:rsidR="00665D0A" w:rsidRPr="00665D0A">
        <w:rPr>
          <w:b/>
          <w:bCs/>
          <w:rtl/>
        </w:rPr>
        <w:t xml:space="preserve"> </w:t>
      </w:r>
      <w:r w:rsidR="00665D0A" w:rsidRPr="003E2BF0">
        <w:rPr>
          <w:b/>
          <w:bCs/>
          <w:u w:val="single"/>
          <w:rtl/>
        </w:rPr>
        <w:t>על פי הטבע</w:t>
      </w:r>
      <w:r w:rsidR="00665D0A">
        <w:rPr>
          <w:rtl/>
        </w:rPr>
        <w:t>, ואחרים בשל סיבות אחרות.</w:t>
      </w:r>
      <w:r w:rsidR="00665D0A" w:rsidRPr="00665D0A">
        <w:rPr>
          <w:b/>
          <w:bCs/>
          <w:rtl/>
        </w:rPr>
        <w:t xml:space="preserve"> </w:t>
      </w:r>
      <w:r w:rsidR="00665D0A" w:rsidRPr="003E2BF0">
        <w:rPr>
          <w:b/>
          <w:bCs/>
          <w:u w:val="single"/>
          <w:rtl/>
        </w:rPr>
        <w:t>על פי הטבע</w:t>
      </w:r>
      <w:r w:rsidR="00665D0A">
        <w:rPr>
          <w:rtl/>
        </w:rPr>
        <w:t xml:space="preserve"> - בעלי החיים וחלקיהם, הצמחים והפשוטים שבין הגופים, כגון עפר, אש, אוויר ומים. שהרי על אלה ועל כיוצא באלה אומרים אנו שהם </w:t>
      </w:r>
      <w:r w:rsidR="00665D0A" w:rsidRPr="003E2BF0">
        <w:rPr>
          <w:b/>
          <w:bCs/>
          <w:u w:val="single"/>
          <w:rtl/>
        </w:rPr>
        <w:t>על פי הטבע</w:t>
      </w:r>
      <w:r w:rsidR="00665D0A">
        <w:rPr>
          <w:rtl/>
        </w:rPr>
        <w:t xml:space="preserve">. כל אלה שונים בבירור מהדברים שהרכבם לא </w:t>
      </w:r>
      <w:r w:rsidR="00665D0A" w:rsidRPr="003E2BF0">
        <w:rPr>
          <w:b/>
          <w:bCs/>
          <w:u w:val="single"/>
          <w:rtl/>
        </w:rPr>
        <w:t>על פי הטבע</w:t>
      </w:r>
      <w:r w:rsidR="00665D0A">
        <w:rPr>
          <w:rtl/>
        </w:rPr>
        <w:t>. כי כל אחד ואחד יש לו בתוך עצמו התחלה של תנועה ומנוחה - או מבחינת המקום, או מבחינת הגדילה וההידלדלות, או מבחינת שינויי איכות. בעוד שמיטה, בגד או איזה סוג אחר מעין זה - בתור המתוארים על ידי כל אחד מהתיאורים האלה ובמידה שהם תוצר של המלאכה - אין להם שום דחף טבוע בהם של שינוי. אך במידה שנזדמן להם להיות עשויים מאבן או מעפר או מעורבים מאלה - יש להם [דחף כזה], אך רק במידה זו - מאחר שאין הטבע אלא איזו התחלה וסיבה של היות נע והיות נח הנמצאת בדבר באופן ראשוני וכשלעצמו ולא על פי המקרה. [...]</w:t>
      </w:r>
    </w:p>
    <w:p w14:paraId="25E3682C" w14:textId="77777777" w:rsidR="00665D0A" w:rsidRDefault="00665D0A" w:rsidP="00665D0A">
      <w:pPr>
        <w:pStyle w:val="FootnoteText"/>
        <w:rPr>
          <w:rtl/>
        </w:rPr>
      </w:pPr>
    </w:p>
    <w:p w14:paraId="20201483" w14:textId="15709494" w:rsidR="00665D0A" w:rsidRDefault="003E2BF0" w:rsidP="00665D0A">
      <w:pPr>
        <w:pStyle w:val="FootnoteText"/>
        <w:rPr>
          <w:rtl/>
        </w:rPr>
      </w:pPr>
      <w:r w:rsidRPr="003E2BF0">
        <w:rPr>
          <w:rFonts w:hint="cs"/>
          <w:b/>
          <w:bCs/>
          <w:u w:val="single"/>
          <w:rtl/>
        </w:rPr>
        <w:t>'</w:t>
      </w:r>
      <w:r w:rsidR="00665D0A" w:rsidRPr="003E2BF0">
        <w:rPr>
          <w:b/>
          <w:bCs/>
          <w:u w:val="single"/>
          <w:rtl/>
        </w:rPr>
        <w:t>טבע</w:t>
      </w:r>
      <w:r w:rsidRPr="003E2BF0">
        <w:rPr>
          <w:rFonts w:hint="cs"/>
          <w:b/>
          <w:bCs/>
          <w:u w:val="single"/>
          <w:rtl/>
        </w:rPr>
        <w:t>'</w:t>
      </w:r>
      <w:r w:rsidR="00665D0A">
        <w:rPr>
          <w:rtl/>
        </w:rPr>
        <w:t xml:space="preserve"> הוא אפוא מה שנאמר; ואותם דברים שיש להם התחלה כזאת יש להם </w:t>
      </w:r>
      <w:r w:rsidR="00665D0A" w:rsidRPr="003E2BF0">
        <w:rPr>
          <w:b/>
          <w:bCs/>
          <w:u w:val="single"/>
          <w:rtl/>
        </w:rPr>
        <w:t>טבע</w:t>
      </w:r>
      <w:r w:rsidR="00665D0A">
        <w:rPr>
          <w:rtl/>
        </w:rPr>
        <w:t xml:space="preserve">. וכל הדברים הללו הם עצם, שהרי העצם הוא איזה מצע, ולעולם נמצא הטבע במצע. </w:t>
      </w:r>
      <w:r w:rsidR="00665D0A" w:rsidRPr="003E2BF0">
        <w:rPr>
          <w:b/>
          <w:bCs/>
          <w:u w:val="single"/>
          <w:rtl/>
        </w:rPr>
        <w:t>לפי הטבע</w:t>
      </w:r>
      <w:r w:rsidR="00665D0A">
        <w:rPr>
          <w:rtl/>
        </w:rPr>
        <w:t xml:space="preserve"> הם דברים אלה וכל מה ששייך להם כשלעצמם, למשל: התנועה כלפי מעלה - לאש. שהרי זה </w:t>
      </w:r>
      <w:r w:rsidR="00665D0A" w:rsidRPr="003E2BF0">
        <w:rPr>
          <w:b/>
          <w:bCs/>
          <w:u w:val="single"/>
          <w:rtl/>
        </w:rPr>
        <w:t>אינו טבע ואף אין לו טבע</w:t>
      </w:r>
      <w:r w:rsidR="006837BD">
        <w:rPr>
          <w:rFonts w:hint="cs"/>
          <w:rtl/>
        </w:rPr>
        <w:t xml:space="preserve"> [כאן בולט ששתי לשונות שמשמעותן זהה משמשות לשני מונחים שונים]</w:t>
      </w:r>
      <w:r w:rsidR="00665D0A">
        <w:rPr>
          <w:rtl/>
        </w:rPr>
        <w:t xml:space="preserve">, אך הוא </w:t>
      </w:r>
      <w:r w:rsidR="00665D0A" w:rsidRPr="003E2BF0">
        <w:rPr>
          <w:b/>
          <w:bCs/>
          <w:u w:val="single"/>
          <w:rtl/>
        </w:rPr>
        <w:t>על פי הטבע</w:t>
      </w:r>
      <w:r w:rsidR="00665D0A" w:rsidRPr="003E2BF0">
        <w:rPr>
          <w:u w:val="single"/>
          <w:rtl/>
        </w:rPr>
        <w:t xml:space="preserve"> או </w:t>
      </w:r>
      <w:r w:rsidR="00665D0A" w:rsidRPr="003E2BF0">
        <w:rPr>
          <w:b/>
          <w:bCs/>
          <w:u w:val="single"/>
          <w:rtl/>
        </w:rPr>
        <w:t>לפי הטבע</w:t>
      </w:r>
      <w:r w:rsidR="00665D0A">
        <w:rPr>
          <w:rtl/>
        </w:rPr>
        <w:t xml:space="preserve"> [</w:t>
      </w:r>
      <w:r w:rsidR="001C7B02">
        <w:rPr>
          <w:rFonts w:hint="cs"/>
          <w:rtl/>
        </w:rPr>
        <w:t>שוב ש</w:t>
      </w:r>
      <w:r w:rsidR="00466E7B">
        <w:rPr>
          <w:rFonts w:hint="cs"/>
          <w:rtl/>
        </w:rPr>
        <w:t>תי לשונות זהות המשמשות לשני מונחים שונים</w:t>
      </w:r>
      <w:r w:rsidR="00665D0A">
        <w:rPr>
          <w:rtl/>
        </w:rPr>
        <w:t xml:space="preserve">]. מהו אפוא </w:t>
      </w:r>
      <w:r w:rsidRPr="003E2BF0">
        <w:rPr>
          <w:rFonts w:hint="cs"/>
          <w:b/>
          <w:bCs/>
          <w:u w:val="single"/>
          <w:rtl/>
        </w:rPr>
        <w:t>'</w:t>
      </w:r>
      <w:r w:rsidR="00665D0A" w:rsidRPr="003E2BF0">
        <w:rPr>
          <w:b/>
          <w:bCs/>
          <w:u w:val="single"/>
          <w:rtl/>
        </w:rPr>
        <w:t>הטבע</w:t>
      </w:r>
      <w:r w:rsidRPr="003E2BF0">
        <w:rPr>
          <w:rFonts w:hint="cs"/>
          <w:b/>
          <w:bCs/>
          <w:u w:val="single"/>
          <w:rtl/>
        </w:rPr>
        <w:t>'</w:t>
      </w:r>
      <w:r w:rsidR="00665D0A">
        <w:rPr>
          <w:rtl/>
        </w:rPr>
        <w:t xml:space="preserve"> נאמר, וכמו כן מהו </w:t>
      </w:r>
      <w:r w:rsidR="00665D0A" w:rsidRPr="003E2BF0">
        <w:rPr>
          <w:b/>
          <w:bCs/>
          <w:u w:val="single"/>
          <w:rtl/>
        </w:rPr>
        <w:t>'על פי הטבע' ו'לפי הטבע'</w:t>
      </w:r>
      <w:r w:rsidRPr="003E2BF0">
        <w:rPr>
          <w:rFonts w:hint="cs"/>
          <w:b/>
          <w:bCs/>
          <w:rtl/>
        </w:rPr>
        <w:t xml:space="preserve"> [שוב שתי לשונות זהות לשני מונחים שונים]</w:t>
      </w:r>
      <w:r w:rsidR="00665D0A">
        <w:rPr>
          <w:rtl/>
        </w:rPr>
        <w:t>. [...]</w:t>
      </w:r>
    </w:p>
    <w:p w14:paraId="09BFA5BB" w14:textId="77777777" w:rsidR="00665D0A" w:rsidRDefault="00665D0A" w:rsidP="00665D0A">
      <w:pPr>
        <w:pStyle w:val="FootnoteText"/>
        <w:rPr>
          <w:rtl/>
        </w:rPr>
      </w:pPr>
      <w:r>
        <w:rPr>
          <w:rtl/>
        </w:rPr>
        <w:t>לאחדים נראה ש</w:t>
      </w:r>
      <w:r w:rsidRPr="003E2BF0">
        <w:rPr>
          <w:b/>
          <w:bCs/>
          <w:u w:val="single"/>
          <w:rtl/>
        </w:rPr>
        <w:t>הטבע</w:t>
      </w:r>
      <w:r>
        <w:rPr>
          <w:rtl/>
        </w:rPr>
        <w:t xml:space="preserve"> או ההוויה של הנמצאים </w:t>
      </w:r>
      <w:r w:rsidRPr="003E2BF0">
        <w:rPr>
          <w:b/>
          <w:bCs/>
          <w:u w:val="single"/>
          <w:rtl/>
        </w:rPr>
        <w:t>על פי הטבע</w:t>
      </w:r>
      <w:r>
        <w:rPr>
          <w:rtl/>
        </w:rPr>
        <w:t xml:space="preserve"> היא המרכיב הקרוב - חסר עיצוב כשלעצמו - בכל דבר ודבר. למשל; העץ הוא טבע המיטה והנחושת של הפסל. (סימן לכך, אומר אנטיפון, הוא שאם יקבור אדם מיטה באדמה וברקב תיווצר יכולת ללבלב, לא תיווצר אז מיטה אלא עץ, כך שהאחד שייך לדבר על פי המקרה - עיצוב שעל פי הסכם והאומנות - בעוד שההוויה היא אותו דבר שמתמיד ונושא את העיצובים האלה ברציפות.). </w:t>
      </w:r>
    </w:p>
    <w:p w14:paraId="1845BCFF" w14:textId="0E1C48FB" w:rsidR="00665D0A" w:rsidRDefault="00665D0A" w:rsidP="00665D0A">
      <w:pPr>
        <w:pStyle w:val="FootnoteText"/>
        <w:rPr>
          <w:rtl/>
        </w:rPr>
      </w:pPr>
      <w:r>
        <w:rPr>
          <w:rtl/>
        </w:rPr>
        <w:t xml:space="preserve">גם כל אחד מאלה עומד באותו יחס לדבר מה אחר - כנחושת וכזהב, למשל, ביחס למים, העצמות והעצים ביחס לעפר, ובדומה לכך דבר כלשהו מבין שאר הדברים - יהיו האחרונים </w:t>
      </w:r>
      <w:r w:rsidRPr="00032A04">
        <w:rPr>
          <w:b/>
          <w:bCs/>
          <w:u w:val="single"/>
          <w:rtl/>
        </w:rPr>
        <w:t>הטבע</w:t>
      </w:r>
      <w:r>
        <w:rPr>
          <w:rtl/>
        </w:rPr>
        <w:t xml:space="preserve"> וההוויה של אלה. לכן אומרים אחדים ש</w:t>
      </w:r>
      <w:r w:rsidRPr="00032A04">
        <w:rPr>
          <w:b/>
          <w:bCs/>
          <w:u w:val="single"/>
          <w:rtl/>
        </w:rPr>
        <w:t>הטבע</w:t>
      </w:r>
      <w:r>
        <w:rPr>
          <w:rtl/>
        </w:rPr>
        <w:t xml:space="preserve"> של הנמצאים הוא אש, אחרים - עפר, אחדים - אוויר, אחדים - מים, אחדים - כמה מאלה, ואחדים - כל אלה. כי את מה שמישהו מהם הניח ככזה (בין אם אחד בין אם יותר) הוא מעמיד כהוויה כולה ואת כל השאר כתכונות, מצבים או עיצובים שלו, ובעד שהוא עצמו נצחי (שהרי אין לו שינוי אל מחוץ לעצמו), שאר הדברים מתהווים וכלים עד אין סוף. </w:t>
      </w:r>
    </w:p>
    <w:p w14:paraId="64A26713" w14:textId="44EB924D" w:rsidR="00D805AF" w:rsidRDefault="00665D0A" w:rsidP="00665D0A">
      <w:pPr>
        <w:pStyle w:val="FootnoteText"/>
        <w:rPr>
          <w:rFonts w:cs="Times New Roman"/>
          <w:rtl/>
        </w:rPr>
      </w:pPr>
      <w:r>
        <w:rPr>
          <w:rtl/>
        </w:rPr>
        <w:t xml:space="preserve">באופן אחד מכונה </w:t>
      </w:r>
      <w:r w:rsidRPr="00032A04">
        <w:rPr>
          <w:b/>
          <w:bCs/>
          <w:u w:val="single"/>
          <w:rtl/>
        </w:rPr>
        <w:t>הטבע</w:t>
      </w:r>
      <w:r>
        <w:rPr>
          <w:rtl/>
        </w:rPr>
        <w:t xml:space="preserve"> כך: החומר הראשוני המשמש כמצע לכל דבר מן הדברים שיש להם התחלה של תנועה ושל שינוי בהם עצמם; אך באופן אחר - התבנית והצורה שעל פי ההגדרה. כי כשם שמה שעל פי האומנות ומה שאומנותי נקרא 'אומנות', כך מה ש</w:t>
      </w:r>
      <w:r w:rsidRPr="00032A04">
        <w:rPr>
          <w:b/>
          <w:bCs/>
          <w:u w:val="single"/>
          <w:rtl/>
        </w:rPr>
        <w:t>לפי הטבע וטבעי</w:t>
      </w:r>
      <w:r>
        <w:rPr>
          <w:rtl/>
        </w:rPr>
        <w:t xml:space="preserve"> הוא </w:t>
      </w:r>
      <w:r w:rsidRPr="00032A04">
        <w:rPr>
          <w:b/>
          <w:bCs/>
          <w:u w:val="single"/>
          <w:rtl/>
        </w:rPr>
        <w:t>'טבע'</w:t>
      </w:r>
      <w:r>
        <w:rPr>
          <w:rtl/>
        </w:rPr>
        <w:t xml:space="preserve">. ואם שם לא נאמר עדיין, שמשהו הוא על פי האומנות - ואף לא שהוא אומנות - אם הוא מיטה רק בכוח והוא חסר עדיין את צורת המיטה, הוא הדין בדברים המורכבים באופן טבעי. העצמות או הבשר בכוח, לפני שיקבלו את הצורה לשעל פי ההגדרה - אשר בהגדירנו אותה אומרים אנו מה הוא בשר או עצם - עדיין חסרים את </w:t>
      </w:r>
      <w:r w:rsidRPr="00032A04">
        <w:rPr>
          <w:b/>
          <w:bCs/>
          <w:u w:val="single"/>
          <w:rtl/>
        </w:rPr>
        <w:t>הטבע</w:t>
      </w:r>
      <w:r>
        <w:rPr>
          <w:rtl/>
        </w:rPr>
        <w:t xml:space="preserve"> שלהם עצמם ואף אין הם </w:t>
      </w:r>
      <w:r w:rsidRPr="00032A04">
        <w:rPr>
          <w:b/>
          <w:bCs/>
          <w:u w:val="single"/>
          <w:rtl/>
        </w:rPr>
        <w:t>על פי הטבע</w:t>
      </w:r>
      <w:r>
        <w:rPr>
          <w:rtl/>
        </w:rPr>
        <w:t xml:space="preserve">. כך שבאופן אחר יהיה </w:t>
      </w:r>
      <w:r w:rsidRPr="00032A04">
        <w:rPr>
          <w:b/>
          <w:bCs/>
          <w:u w:val="single"/>
          <w:rtl/>
        </w:rPr>
        <w:t>הטבע</w:t>
      </w:r>
      <w:r>
        <w:rPr>
          <w:rtl/>
        </w:rPr>
        <w:t xml:space="preserve">: התבנית והצורה של הדברים שיש להם בהם עצמם התחלה של תנועה, כשהצורה אינה נפרדת, אלא אם כן מבחינת ההגדרה. (מה שמורכב מהצורה והחומר אינו טבע אלא על פי הטבע, אדם למשל.) והצורה היא יותר </w:t>
      </w:r>
      <w:r w:rsidRPr="00032A04">
        <w:rPr>
          <w:b/>
          <w:bCs/>
          <w:u w:val="single"/>
          <w:rtl/>
        </w:rPr>
        <w:t>טבע</w:t>
      </w:r>
      <w:r>
        <w:rPr>
          <w:rtl/>
        </w:rPr>
        <w:t xml:space="preserve"> מן החומר, שהרי על כל דבר אומרים שהוא משהו מסוים כאשר הוא בפועל יותר מאשר בשעה שהוא בכוח."</w:t>
      </w:r>
      <w:r w:rsidR="00D805AF">
        <w:rPr>
          <w:rFonts w:hint="cs"/>
          <w:rtl/>
        </w:rPr>
        <w:t>"</w:t>
      </w:r>
    </w:p>
    <w:p w14:paraId="27C2F78B" w14:textId="48EC50C1" w:rsidR="00032A04" w:rsidRDefault="00032A04">
      <w:pPr>
        <w:pStyle w:val="FootnoteText"/>
        <w:rPr>
          <w:rtl/>
        </w:rPr>
      </w:pPr>
      <w:r>
        <w:rPr>
          <w:rFonts w:hint="cs"/>
          <w:rtl/>
        </w:rPr>
        <w:t>אם עוקבים בלשונו של אריסטו בדקדקנות אחרי המושגים שאבן סינא מזכיר כאן, העניין נעשה חידה תמוהה. מה ההבדל בין "על פי הטבע" ובין "לפי הטבע"</w:t>
      </w:r>
      <w:r w:rsidR="00F05C48">
        <w:rPr>
          <w:rFonts w:hint="cs"/>
          <w:rtl/>
        </w:rPr>
        <w:t>, בין "לפי הטבע" ובין "טבעי",</w:t>
      </w:r>
      <w:r>
        <w:rPr>
          <w:rFonts w:hint="cs"/>
          <w:rtl/>
        </w:rPr>
        <w:t xml:space="preserve"> וכן הלאה.</w:t>
      </w:r>
    </w:p>
    <w:p w14:paraId="1B63A0F7" w14:textId="77777777" w:rsidR="00F05C48" w:rsidRDefault="00032A04">
      <w:pPr>
        <w:pStyle w:val="FootnoteText"/>
        <w:rPr>
          <w:rtl/>
        </w:rPr>
      </w:pPr>
      <w:r>
        <w:rPr>
          <w:rFonts w:hint="cs"/>
          <w:rtl/>
        </w:rPr>
        <w:t xml:space="preserve">אריסטו כתב את המושגים בתוך לשונו, ואבן סינא </w:t>
      </w:r>
      <w:r w:rsidR="00F05C48">
        <w:rPr>
          <w:rFonts w:hint="cs"/>
          <w:rtl/>
        </w:rPr>
        <w:t>כאן כותב</w:t>
      </w:r>
      <w:r>
        <w:rPr>
          <w:rFonts w:hint="cs"/>
          <w:rtl/>
        </w:rPr>
        <w:t xml:space="preserve"> שהם לא ברורים ומצריכים לעמוד עליהם</w:t>
      </w:r>
      <w:r w:rsidR="00F05C48">
        <w:rPr>
          <w:rFonts w:hint="cs"/>
          <w:rtl/>
        </w:rPr>
        <w:t xml:space="preserve"> ולפרש אותם</w:t>
      </w:r>
      <w:r>
        <w:rPr>
          <w:rFonts w:hint="cs"/>
          <w:rtl/>
        </w:rPr>
        <w:t>.</w:t>
      </w:r>
    </w:p>
    <w:p w14:paraId="3CF4B1EC" w14:textId="7A3F7C89" w:rsidR="00F05C48" w:rsidRDefault="00F05C48">
      <w:pPr>
        <w:pStyle w:val="FootnoteText"/>
        <w:rPr>
          <w:rtl/>
        </w:rPr>
      </w:pPr>
      <w:r>
        <w:rPr>
          <w:rFonts w:hint="cs"/>
          <w:rtl/>
        </w:rPr>
        <w:t>בכלל, אם למסקנת אריסטו, וכמו שכתב אבן סינא בפרק הקודם, 'טבע' הוא הצורה של העצם, מה הפשר בכל הדיון הארוך בעניין טבע. מה יש במונח 'טבע' ששונה מהמונח 'צורה'.</w:t>
      </w:r>
    </w:p>
    <w:p w14:paraId="4D223C8C" w14:textId="77777777" w:rsidR="00C8523A" w:rsidRDefault="00C8523A">
      <w:pPr>
        <w:pStyle w:val="FootnoteText"/>
        <w:rPr>
          <w:rtl/>
        </w:rPr>
      </w:pPr>
    </w:p>
    <w:p w14:paraId="2B557524" w14:textId="5D661AF9" w:rsidR="00C8523A" w:rsidRPr="00C8523A" w:rsidRDefault="00C8523A">
      <w:pPr>
        <w:pStyle w:val="FootnoteText"/>
        <w:rPr>
          <w:b/>
          <w:bCs/>
          <w:rtl/>
        </w:rPr>
      </w:pPr>
      <w:r w:rsidRPr="00C8523A">
        <w:rPr>
          <w:rFonts w:hint="cs"/>
          <w:b/>
          <w:bCs/>
          <w:rtl/>
        </w:rPr>
        <w:t>(סוד העניין של 'טבע'</w:t>
      </w:r>
      <w:r>
        <w:rPr>
          <w:b/>
          <w:bCs/>
          <w:rtl/>
        </w:rPr>
        <w:fldChar w:fldCharType="begin"/>
      </w:r>
      <w:r>
        <w:instrText xml:space="preserve"> XE "</w:instrText>
      </w:r>
      <w:r w:rsidRPr="00201D7B">
        <w:rPr>
          <w:rFonts w:hint="cs"/>
          <w:b/>
          <w:bCs/>
          <w:rtl/>
        </w:rPr>
        <w:instrText>'טבע' - סוד עניינו באופן כללי והסיבה לעיסוק בהגדרתו</w:instrText>
      </w:r>
      <w:r>
        <w:instrText xml:space="preserve">" </w:instrText>
      </w:r>
      <w:r>
        <w:rPr>
          <w:b/>
          <w:bCs/>
          <w:rtl/>
        </w:rPr>
        <w:fldChar w:fldCharType="end"/>
      </w:r>
      <w:r w:rsidRPr="00C8523A">
        <w:rPr>
          <w:rFonts w:hint="cs"/>
          <w:b/>
          <w:bCs/>
          <w:rtl/>
        </w:rPr>
        <w:t>)</w:t>
      </w:r>
    </w:p>
    <w:p w14:paraId="16C37178" w14:textId="51E64013" w:rsidR="00F05C48" w:rsidRDefault="00F05C48">
      <w:pPr>
        <w:pStyle w:val="FootnoteText"/>
        <w:rPr>
          <w:rtl/>
        </w:rPr>
      </w:pPr>
      <w:r>
        <w:rPr>
          <w:rFonts w:hint="cs"/>
          <w:rtl/>
        </w:rPr>
        <w:t>אלא העניין כך הוא:</w:t>
      </w:r>
    </w:p>
    <w:p w14:paraId="0934F2D2" w14:textId="3126E245" w:rsidR="00F05C48" w:rsidRDefault="00F05C48">
      <w:pPr>
        <w:pStyle w:val="FootnoteText"/>
        <w:rPr>
          <w:rtl/>
        </w:rPr>
      </w:pPr>
      <w:r>
        <w:rPr>
          <w:rFonts w:hint="cs"/>
          <w:rtl/>
        </w:rPr>
        <w:t>סדר ההוויה</w:t>
      </w:r>
      <w:r w:rsidR="001707C2">
        <w:rPr>
          <w:rtl/>
        </w:rPr>
        <w:fldChar w:fldCharType="begin"/>
      </w:r>
      <w:r w:rsidR="001707C2">
        <w:instrText xml:space="preserve"> XE "</w:instrText>
      </w:r>
      <w:r w:rsidR="001707C2" w:rsidRPr="004E0B64">
        <w:rPr>
          <w:rFonts w:hint="cs"/>
          <w:rtl/>
        </w:rPr>
        <w:instrText>סדר ההוויה - המדרגות מהאחד הראשון עד הגופים המוחשיים</w:instrText>
      </w:r>
      <w:r w:rsidR="001707C2">
        <w:instrText xml:space="preserve">" </w:instrText>
      </w:r>
      <w:r w:rsidR="001707C2">
        <w:rPr>
          <w:rtl/>
        </w:rPr>
        <w:fldChar w:fldCharType="end"/>
      </w:r>
      <w:r>
        <w:rPr>
          <w:rFonts w:hint="cs"/>
          <w:rtl/>
        </w:rPr>
        <w:t xml:space="preserve"> מתחיל מהאחד, הוא הכרחי המציאות, ובלשון חכמי הקבלה "האין סוף" (וכן ספירת "כתר"</w:t>
      </w:r>
      <w:r>
        <w:rPr>
          <w:rFonts w:hint="cs"/>
        </w:rPr>
        <w:t xml:space="preserve"> </w:t>
      </w:r>
      <w:r>
        <w:rPr>
          <w:rFonts w:hint="cs"/>
          <w:rtl/>
        </w:rPr>
        <w:t>שמורה על האין סוף שאינו מושג, ובלשון האר"י בספר עץ חיים שער א' ענף ב' "אור אין סוף ברוך הוא"</w:t>
      </w:r>
      <w:r w:rsidR="00577117">
        <w:rPr>
          <w:rFonts w:hint="cs"/>
          <w:rtl/>
        </w:rPr>
        <w:t xml:space="preserve">, ובלשון התורה שבעל פה של אפלטון ה'אחד' (תורת הסוד של אפלטון לא נכתבה אלא </w:t>
      </w:r>
      <w:hyperlink r:id="rId117" w:history="1">
        <w:r w:rsidR="00577117" w:rsidRPr="00EE451E">
          <w:rPr>
            <w:rStyle w:val="Hyperlink"/>
            <w:rFonts w:hint="cs"/>
            <w:rtl/>
          </w:rPr>
          <w:t>נאמרה בעל פה</w:t>
        </w:r>
      </w:hyperlink>
      <w:r w:rsidR="00577117">
        <w:rPr>
          <w:rFonts w:hint="cs"/>
          <w:rtl/>
        </w:rPr>
        <w:t>, אריסטו מזכיר אותה בכמה מקומות</w:t>
      </w:r>
      <w:r w:rsidR="00116779">
        <w:rPr>
          <w:rFonts w:hint="cs"/>
          <w:rtl/>
        </w:rPr>
        <w:t>, למשל במטאפיזיקה א' פרק ו'</w:t>
      </w:r>
      <w:r w:rsidR="0074732E">
        <w:rPr>
          <w:rFonts w:hint="cs"/>
          <w:rtl/>
        </w:rPr>
        <w:t>, ותמיד</w:t>
      </w:r>
      <w:r w:rsidR="00267667">
        <w:rPr>
          <w:rFonts w:hint="cs"/>
          <w:rtl/>
        </w:rPr>
        <w:t xml:space="preserve"> בדר</w:t>
      </w:r>
      <w:r w:rsidR="0074732E">
        <w:rPr>
          <w:rFonts w:hint="cs"/>
          <w:rtl/>
        </w:rPr>
        <w:t>ך</w:t>
      </w:r>
      <w:r w:rsidR="00267667">
        <w:rPr>
          <w:rFonts w:hint="cs"/>
          <w:rtl/>
        </w:rPr>
        <w:t xml:space="preserve"> רמז והסתרה וכאילו הוא חולק</w:t>
      </w:r>
      <w:r w:rsidR="00A562D0">
        <w:rPr>
          <w:rFonts w:hint="cs"/>
          <w:rtl/>
        </w:rPr>
        <w:t xml:space="preserve"> (יש מקורות רבים אצל אריסטו ואפלטון</w:t>
      </w:r>
      <w:r w:rsidR="001314AE">
        <w:rPr>
          <w:rFonts w:hint="cs"/>
          <w:rtl/>
        </w:rPr>
        <w:t>,</w:t>
      </w:r>
      <w:r w:rsidR="00A562D0">
        <w:rPr>
          <w:rFonts w:hint="cs"/>
          <w:rtl/>
        </w:rPr>
        <w:t xml:space="preserve"> </w:t>
      </w:r>
      <w:r w:rsidR="001314AE">
        <w:rPr>
          <w:rFonts w:hint="cs"/>
          <w:rtl/>
        </w:rPr>
        <w:t xml:space="preserve">אלפראבי ואבן סינא </w:t>
      </w:r>
      <w:r w:rsidR="00A562D0">
        <w:rPr>
          <w:rFonts w:hint="cs"/>
          <w:rtl/>
        </w:rPr>
        <w:t xml:space="preserve">ועוד קדמונים </w:t>
      </w:r>
      <w:r w:rsidR="002C3E71">
        <w:rPr>
          <w:rFonts w:hint="cs"/>
          <w:rtl/>
        </w:rPr>
        <w:t xml:space="preserve">יוניים ורומיים </w:t>
      </w:r>
      <w:r w:rsidR="00A562D0">
        <w:rPr>
          <w:rFonts w:hint="cs"/>
          <w:rtl/>
        </w:rPr>
        <w:t>ש</w:t>
      </w:r>
      <w:r w:rsidR="001314AE">
        <w:rPr>
          <w:rFonts w:hint="cs"/>
          <w:rtl/>
        </w:rPr>
        <w:t>מעידים</w:t>
      </w:r>
      <w:r w:rsidR="00A562D0">
        <w:rPr>
          <w:rFonts w:hint="cs"/>
          <w:rtl/>
        </w:rPr>
        <w:t xml:space="preserve"> שראו חובה דתית קדושה בהסתרה של ענייני הסוד ככל האפשר, וגם מה שגילו הוא בהעלמה ומסווה</w:t>
      </w:r>
      <w:r w:rsidR="001314AE">
        <w:rPr>
          <w:rFonts w:hint="cs"/>
          <w:rtl/>
        </w:rPr>
        <w:t>.</w:t>
      </w:r>
      <w:r w:rsidR="00A562D0">
        <w:rPr>
          <w:rFonts w:hint="cs"/>
          <w:rtl/>
        </w:rPr>
        <w:t xml:space="preserve"> ו</w:t>
      </w:r>
      <w:r w:rsidR="00FE1F64">
        <w:rPr>
          <w:rFonts w:hint="cs"/>
          <w:rtl/>
        </w:rPr>
        <w:t xml:space="preserve">כמו שכתבו חז"ל בחגיגה ב' משנה א', וכמו שכתב במורה נבוכים בפתיחה וכן הוא דרכו בכל ספרו להעלים את הסוד בדרך של הסתירה מהסוג השביעי, וכמו שהאריך בפתיחה שאת ראשי הפרקים של סוד מעשה מרכבה הוא הסתיר בין דבריו). </w:t>
      </w:r>
      <w:r w:rsidR="00577117">
        <w:rPr>
          <w:rFonts w:hint="cs"/>
          <w:rtl/>
        </w:rPr>
        <w:t>ו</w:t>
      </w:r>
      <w:r w:rsidR="002C3E71">
        <w:rPr>
          <w:rFonts w:hint="cs"/>
          <w:rtl/>
        </w:rPr>
        <w:t xml:space="preserve">אריסטו </w:t>
      </w:r>
      <w:r w:rsidR="00577117">
        <w:rPr>
          <w:rFonts w:hint="cs"/>
          <w:rtl/>
        </w:rPr>
        <w:t>הקדיש ל</w:t>
      </w:r>
      <w:r w:rsidR="002C3E71">
        <w:rPr>
          <w:rFonts w:hint="cs"/>
          <w:rtl/>
        </w:rPr>
        <w:t>תורת הסוד של אפלטון</w:t>
      </w:r>
      <w:r w:rsidR="00577117">
        <w:rPr>
          <w:rFonts w:hint="cs"/>
          <w:rtl/>
        </w:rPr>
        <w:t xml:space="preserve"> את ספרים מ' ונ' מהמטאפיזיקה, שהם אזוטריים, וכל הבאים אחריו התעלמו מהם לגמרי).</w:t>
      </w:r>
    </w:p>
    <w:p w14:paraId="76F974B1" w14:textId="56072D40" w:rsidR="00577117" w:rsidRDefault="00577117">
      <w:pPr>
        <w:pStyle w:val="FootnoteText"/>
        <w:rPr>
          <w:rtl/>
        </w:rPr>
      </w:pPr>
      <w:r>
        <w:rPr>
          <w:rFonts w:hint="cs"/>
          <w:rtl/>
        </w:rPr>
        <w:t>ה</w:t>
      </w:r>
      <w:r w:rsidR="0078034D">
        <w:rPr>
          <w:rFonts w:hint="cs"/>
          <w:rtl/>
        </w:rPr>
        <w:t>'</w:t>
      </w:r>
      <w:r>
        <w:rPr>
          <w:rFonts w:hint="cs"/>
          <w:rtl/>
        </w:rPr>
        <w:t>אחד</w:t>
      </w:r>
      <w:r w:rsidR="0078034D">
        <w:rPr>
          <w:rFonts w:hint="cs"/>
          <w:rtl/>
        </w:rPr>
        <w:t>'</w:t>
      </w:r>
      <w:r>
        <w:rPr>
          <w:rFonts w:hint="cs"/>
          <w:rtl/>
        </w:rPr>
        <w:t xml:space="preserve"> הזה ברא את השתיים, בלשון התורה שבעל פה של אפלטון "השתיים הבלתי מוגדר" או "הגדול והקטן", וזהו החומר הראשון ההיולי, כמו שכתב הרמב"ן על בראשית א' א', והיא ספירת חכמה כמו שכתב הרמב"ן שם בסוף דבריו, והיא הגלגל הקיצון, והיא העיגול של הצמצום שכתב האר"י שם.</w:t>
      </w:r>
    </w:p>
    <w:p w14:paraId="1CE57514" w14:textId="75FD1F79" w:rsidR="00471A56" w:rsidRDefault="00577117">
      <w:pPr>
        <w:pStyle w:val="FootnoteText"/>
        <w:rPr>
          <w:rtl/>
        </w:rPr>
      </w:pPr>
      <w:r>
        <w:rPr>
          <w:rFonts w:hint="cs"/>
          <w:rtl/>
        </w:rPr>
        <w:t>החומר הראשון הוא העדר</w:t>
      </w:r>
      <w:r w:rsidR="00EE451E">
        <w:rPr>
          <w:rFonts w:hint="cs"/>
          <w:rtl/>
        </w:rPr>
        <w:t>, ובהעדר מצטיירות הצורות המופשטות, האידיאות של אפלטון, או התורה שקדמה לבריאת העולם לפי חז"ל, שהן הרישומים</w:t>
      </w:r>
      <w:r w:rsidR="00342F63">
        <w:rPr>
          <w:rFonts w:hint="cs"/>
          <w:rtl/>
        </w:rPr>
        <w:t xml:space="preserve"> ("רשימו" במונח של האר"י)</w:t>
      </w:r>
      <w:r w:rsidR="00EE451E">
        <w:rPr>
          <w:rFonts w:hint="cs"/>
          <w:rtl/>
        </w:rPr>
        <w:t xml:space="preserve"> שיוצר מה שנעדר</w:t>
      </w:r>
      <w:r w:rsidR="00342F63">
        <w:rPr>
          <w:rFonts w:hint="cs"/>
          <w:rtl/>
        </w:rPr>
        <w:t>,</w:t>
      </w:r>
      <w:r w:rsidR="00EE451E">
        <w:rPr>
          <w:rFonts w:hint="cs"/>
          <w:rtl/>
        </w:rPr>
        <w:t xml:space="preserve"> שהוא מה שחסר בהעדר (העדר הוא העדר של משהו ולא העדר סתם). ועל דרך שעקרה מציירת בדמיונה ילד שיהיה לה, מכח העדר הילד, כלומר הגעגועים לילד, וכמו שהתבאר לעיל בכמה מקומות.</w:t>
      </w:r>
      <w:r w:rsidR="00342F63">
        <w:rPr>
          <w:rFonts w:hint="cs"/>
          <w:rtl/>
        </w:rPr>
        <w:t xml:space="preserve"> זה הביאור של מה שכתב אריסטו בשם תורת הסוד של אפלטון שהמספרים</w:t>
      </w:r>
      <w:r w:rsidR="00950889">
        <w:rPr>
          <w:rtl/>
        </w:rPr>
        <w:fldChar w:fldCharType="begin"/>
      </w:r>
      <w:r w:rsidR="00950889">
        <w:instrText xml:space="preserve"> XE "</w:instrText>
      </w:r>
      <w:r w:rsidR="00950889" w:rsidRPr="002D6299">
        <w:rPr>
          <w:rFonts w:hint="cs"/>
          <w:rtl/>
        </w:rPr>
        <w:instrText>הצורות המופשטות - מקומן ומקורן</w:instrText>
      </w:r>
      <w:r w:rsidR="00950889">
        <w:instrText xml:space="preserve">" </w:instrText>
      </w:r>
      <w:r w:rsidR="00950889">
        <w:rPr>
          <w:rtl/>
        </w:rPr>
        <w:fldChar w:fldCharType="end"/>
      </w:r>
      <w:r w:rsidR="00342F63">
        <w:rPr>
          <w:rFonts w:hint="cs"/>
          <w:rtl/>
        </w:rPr>
        <w:t xml:space="preserve"> </w:t>
      </w:r>
      <w:r w:rsidR="00BE7640">
        <w:rPr>
          <w:rFonts w:hint="cs"/>
          <w:rtl/>
        </w:rPr>
        <w:t xml:space="preserve">נוצרים מכח נטילת החלק של 'השתיים הלא מוגדר' ב'אחד'. </w:t>
      </w:r>
      <w:r w:rsidR="00BF0FBF">
        <w:rPr>
          <w:rFonts w:hint="cs"/>
          <w:rtl/>
        </w:rPr>
        <w:t xml:space="preserve">לציין את המתח והסתירה שבין האחד לשתיים הלא מוגדר </w:t>
      </w:r>
      <w:r w:rsidR="001D3010">
        <w:rPr>
          <w:rFonts w:hint="cs"/>
          <w:rtl/>
        </w:rPr>
        <w:t>(</w:t>
      </w:r>
      <w:r w:rsidR="00BF0FBF">
        <w:rPr>
          <w:rFonts w:hint="cs"/>
          <w:rtl/>
        </w:rPr>
        <w:t xml:space="preserve">שהיא מה שנקרא סוד מעשה מרכבה </w:t>
      </w:r>
      <w:r w:rsidR="00F12236">
        <w:rPr>
          <w:rFonts w:hint="cs"/>
          <w:rtl/>
        </w:rPr>
        <w:t xml:space="preserve">בלשון חז"ל </w:t>
      </w:r>
      <w:r w:rsidR="00BF0FBF">
        <w:rPr>
          <w:rFonts w:hint="cs"/>
          <w:rtl/>
        </w:rPr>
        <w:t xml:space="preserve">או סוד הצמצום </w:t>
      </w:r>
      <w:r w:rsidR="00F12236">
        <w:rPr>
          <w:rFonts w:hint="cs"/>
          <w:rtl/>
        </w:rPr>
        <w:t>ב</w:t>
      </w:r>
      <w:r w:rsidR="00BF0FBF">
        <w:rPr>
          <w:rFonts w:hint="cs"/>
          <w:rtl/>
        </w:rPr>
        <w:t>אר"י</w:t>
      </w:r>
      <w:r w:rsidR="00F12236">
        <w:rPr>
          <w:rFonts w:hint="cs"/>
          <w:rtl/>
        </w:rPr>
        <w:t>, וכמו שניסח המורה נבוכים א' ע"ב במקום שכתב "ישתבח מי שנצחנו שלמותו"</w:t>
      </w:r>
      <w:r w:rsidR="001D3010">
        <w:rPr>
          <w:rFonts w:hint="cs"/>
          <w:rtl/>
        </w:rPr>
        <w:t>)</w:t>
      </w:r>
      <w:r w:rsidR="00F12236">
        <w:rPr>
          <w:rFonts w:hint="cs"/>
          <w:rtl/>
        </w:rPr>
        <w:t xml:space="preserve">, </w:t>
      </w:r>
      <w:r w:rsidR="00E337F7">
        <w:rPr>
          <w:rFonts w:hint="cs"/>
          <w:rtl/>
        </w:rPr>
        <w:t xml:space="preserve">שמהמתח הזה נוצרות הצורות המופשטות שהן רישומי הגעגוע של המוגבל, ההעדר, אל האין סופי, הוא הכרחי המציאות, </w:t>
      </w:r>
      <w:r w:rsidR="003036FF">
        <w:rPr>
          <w:rFonts w:hint="cs"/>
          <w:rtl/>
        </w:rPr>
        <w:t>משום כך מקור לידת הצורות נקרא "בטישה"</w:t>
      </w:r>
      <w:r w:rsidR="003036FF">
        <w:rPr>
          <w:rFonts w:hint="cs"/>
        </w:rPr>
        <w:t xml:space="preserve"> </w:t>
      </w:r>
      <w:r w:rsidR="003036FF">
        <w:rPr>
          <w:rFonts w:hint="cs"/>
          <w:rtl/>
        </w:rPr>
        <w:t xml:space="preserve">או "הכאה" ומילים כיוצא באלה. </w:t>
      </w:r>
      <w:r w:rsidR="00B924AD">
        <w:rPr>
          <w:rFonts w:hint="cs"/>
          <w:rtl/>
        </w:rPr>
        <w:t>כמו שהגעגוע של העקרה על כך שאין לה ילד, מצייר בה בדרך של מכות ציור דמיון של ילד</w:t>
      </w:r>
      <w:r w:rsidR="00C52D5F">
        <w:rPr>
          <w:rFonts w:hint="cs"/>
          <w:rtl/>
        </w:rPr>
        <w:t>, וכמו למשל בשיר "עקרה"</w:t>
      </w:r>
      <w:r w:rsidR="00C52D5F">
        <w:rPr>
          <w:rFonts w:hint="cs"/>
        </w:rPr>
        <w:t xml:space="preserve"> </w:t>
      </w:r>
      <w:r w:rsidR="00C52D5F">
        <w:rPr>
          <w:rFonts w:hint="cs"/>
          <w:rtl/>
        </w:rPr>
        <w:t xml:space="preserve">של רחל, שיש בו נוכחות מציאותית של הילד שאין לה, וזה העניין של צורה מופשטת. </w:t>
      </w:r>
    </w:p>
    <w:p w14:paraId="1B31E68E" w14:textId="314CBE6A" w:rsidR="009E3B85" w:rsidRDefault="00471A56">
      <w:pPr>
        <w:pStyle w:val="FootnoteText"/>
        <w:rPr>
          <w:rtl/>
        </w:rPr>
      </w:pPr>
      <w:r>
        <w:rPr>
          <w:rFonts w:hint="cs"/>
          <w:rtl/>
        </w:rPr>
        <w:t xml:space="preserve">השלב הבא בסדר </w:t>
      </w:r>
      <w:r w:rsidR="009C463A">
        <w:rPr>
          <w:rFonts w:hint="cs"/>
          <w:rtl/>
        </w:rPr>
        <w:t>ההוויה</w:t>
      </w:r>
      <w:r>
        <w:rPr>
          <w:rFonts w:hint="cs"/>
          <w:rtl/>
        </w:rPr>
        <w:t xml:space="preserve"> הוא הצטיירות הצורות המופשטות בחומר. החומר הוא היפך מהצורות, הוא סתמי, לא אומר שום דבר, הוא חושך</w:t>
      </w:r>
      <w:r w:rsidR="004649BB">
        <w:rPr>
          <w:rFonts w:hint="cs"/>
          <w:rtl/>
        </w:rPr>
        <w:t xml:space="preserve">. הצטיירות הצורות המופשטות, האידיאות, בחומר, עד להיווצרות עצמים </w:t>
      </w:r>
      <w:r w:rsidR="008E7E78">
        <w:rPr>
          <w:rFonts w:hint="cs"/>
          <w:rtl/>
        </w:rPr>
        <w:t xml:space="preserve">מוחשיים חומריים שאנו מכירים, הוא תהליך מורכב וארוך. הוא דומה קצת לתהליך היקלטות זרע של אילן באדמה. </w:t>
      </w:r>
      <w:r w:rsidR="00477B64">
        <w:rPr>
          <w:rFonts w:hint="cs"/>
          <w:rtl/>
        </w:rPr>
        <w:t xml:space="preserve">למשל בזרע יש צורת אדם, החימום של התשמיש מניע את הביצית ומפעיל בה את צורת האדם שהיתה בה בכח. </w:t>
      </w:r>
      <w:r w:rsidR="000E1C09">
        <w:rPr>
          <w:rFonts w:hint="cs"/>
          <w:rtl/>
        </w:rPr>
        <w:t xml:space="preserve">מכאן מתחיל העובר שהוא רק ביצית אחת מופרית, רק תא אחד. </w:t>
      </w:r>
      <w:r w:rsidR="000E2E80">
        <w:rPr>
          <w:rFonts w:hint="cs"/>
          <w:rtl/>
        </w:rPr>
        <w:t xml:space="preserve">תהליך גדילת העובר והתפתחותו, והסוד של התפרטות האיברים השונים </w:t>
      </w:r>
      <w:r w:rsidR="00AA7F81">
        <w:rPr>
          <w:rFonts w:hint="cs"/>
          <w:rtl/>
        </w:rPr>
        <w:t>מ</w:t>
      </w:r>
      <w:r w:rsidR="000E2E80">
        <w:rPr>
          <w:rFonts w:hint="cs"/>
          <w:rtl/>
        </w:rPr>
        <w:t>אותו גוש תאים</w:t>
      </w:r>
      <w:r w:rsidR="00AA7F81">
        <w:rPr>
          <w:rFonts w:hint="cs"/>
          <w:rtl/>
        </w:rPr>
        <w:t xml:space="preserve"> זהים זה לזה</w:t>
      </w:r>
      <w:r w:rsidR="000E2E80">
        <w:rPr>
          <w:rFonts w:hint="cs"/>
          <w:rtl/>
        </w:rPr>
        <w:t xml:space="preserve"> שממנו </w:t>
      </w:r>
      <w:r w:rsidR="00AA7F81">
        <w:rPr>
          <w:rFonts w:hint="cs"/>
          <w:rtl/>
        </w:rPr>
        <w:t>ה</w:t>
      </w:r>
      <w:r w:rsidR="000E2E80">
        <w:rPr>
          <w:rFonts w:hint="cs"/>
          <w:rtl/>
        </w:rPr>
        <w:t xml:space="preserve">עובר מתחיל, </w:t>
      </w:r>
      <w:r w:rsidR="00AA7F81">
        <w:rPr>
          <w:rFonts w:hint="cs"/>
          <w:rtl/>
        </w:rPr>
        <w:t xml:space="preserve">זהו תהליך התלבשות הצורה בחומר. עד שנשלמת הצורה בבשר </w:t>
      </w:r>
      <w:r w:rsidR="001B0BEB">
        <w:rPr>
          <w:rFonts w:hint="cs"/>
          <w:rtl/>
        </w:rPr>
        <w:t xml:space="preserve">עד לשלמות הראשונה של צורת אדם, </w:t>
      </w:r>
      <w:r w:rsidR="00AA7F81">
        <w:rPr>
          <w:rFonts w:hint="cs"/>
          <w:rtl/>
        </w:rPr>
        <w:t>ואז התינוק נולד וממשיך להתפתח הלאה</w:t>
      </w:r>
      <w:r w:rsidR="001B0BEB">
        <w:rPr>
          <w:rFonts w:hint="cs"/>
          <w:rtl/>
        </w:rPr>
        <w:t xml:space="preserve"> להשתלם עוד בהצטיירות צורת האדם שבבשר שלו, </w:t>
      </w:r>
      <w:r w:rsidR="00D75AFD">
        <w:rPr>
          <w:rFonts w:hint="cs"/>
          <w:rtl/>
        </w:rPr>
        <w:t xml:space="preserve">ואחר כך מגיע תהליך של היפרדות הצורה מהבשר עד שמת. </w:t>
      </w:r>
    </w:p>
    <w:p w14:paraId="3D3E7CA8" w14:textId="77777777" w:rsidR="00330E4C" w:rsidRDefault="009E3B85">
      <w:pPr>
        <w:pStyle w:val="FootnoteText"/>
        <w:rPr>
          <w:rtl/>
        </w:rPr>
      </w:pPr>
      <w:r>
        <w:rPr>
          <w:rFonts w:hint="cs"/>
          <w:rtl/>
        </w:rPr>
        <w:t>התהליך</w:t>
      </w:r>
      <w:r w:rsidR="005E6D23">
        <w:rPr>
          <w:rFonts w:hint="cs"/>
          <w:rtl/>
        </w:rPr>
        <w:t xml:space="preserve"> המורכב ורב הפנים</w:t>
      </w:r>
      <w:r>
        <w:rPr>
          <w:rFonts w:hint="cs"/>
          <w:rtl/>
        </w:rPr>
        <w:t xml:space="preserve"> </w:t>
      </w:r>
      <w:r w:rsidR="005E6D23">
        <w:rPr>
          <w:rFonts w:hint="cs"/>
          <w:rtl/>
        </w:rPr>
        <w:t xml:space="preserve">ורב השלבים </w:t>
      </w:r>
      <w:r>
        <w:rPr>
          <w:rFonts w:hint="cs"/>
          <w:rtl/>
        </w:rPr>
        <w:t xml:space="preserve">של </w:t>
      </w:r>
      <w:r w:rsidR="005E6D23">
        <w:rPr>
          <w:rFonts w:hint="cs"/>
          <w:rtl/>
        </w:rPr>
        <w:t xml:space="preserve">הצטיירות </w:t>
      </w:r>
      <w:r>
        <w:rPr>
          <w:rFonts w:hint="cs"/>
          <w:rtl/>
        </w:rPr>
        <w:t>הצורה המופשטת ל</w:t>
      </w:r>
      <w:r w:rsidR="005E6D23">
        <w:rPr>
          <w:rFonts w:hint="cs"/>
          <w:rtl/>
        </w:rPr>
        <w:t xml:space="preserve">היות </w:t>
      </w:r>
      <w:r>
        <w:rPr>
          <w:rFonts w:hint="cs"/>
          <w:rtl/>
        </w:rPr>
        <w:t xml:space="preserve">צורה ממומשת בחומר, </w:t>
      </w:r>
      <w:r w:rsidR="007B2D4D">
        <w:rPr>
          <w:rFonts w:hint="cs"/>
          <w:rtl/>
        </w:rPr>
        <w:t xml:space="preserve">הטבעת הצורה בחומר, </w:t>
      </w:r>
      <w:r w:rsidR="007254BE">
        <w:rPr>
          <w:rFonts w:hint="cs"/>
          <w:rtl/>
        </w:rPr>
        <w:t xml:space="preserve">כמו הטבעת חותם בשעווה, </w:t>
      </w:r>
      <w:r w:rsidR="005E6D23">
        <w:rPr>
          <w:rFonts w:hint="cs"/>
          <w:rtl/>
        </w:rPr>
        <w:t>הוא כולו נקרא 'טבע'. לכן הגדרת הטבע מורכבת כל כך ויש בה פנים רבות כל כך.</w:t>
      </w:r>
      <w:r w:rsidR="00F863A9">
        <w:rPr>
          <w:rFonts w:hint="cs"/>
          <w:rtl/>
        </w:rPr>
        <w:t xml:space="preserve"> המונחים השונים </w:t>
      </w:r>
      <w:r w:rsidR="007254BE">
        <w:rPr>
          <w:rFonts w:hint="cs"/>
          <w:rtl/>
        </w:rPr>
        <w:t xml:space="preserve">שהם </w:t>
      </w:r>
      <w:r w:rsidR="00F863A9">
        <w:rPr>
          <w:rFonts w:hint="cs"/>
          <w:rtl/>
        </w:rPr>
        <w:t xml:space="preserve">קרובים </w:t>
      </w:r>
      <w:r w:rsidR="007254BE">
        <w:rPr>
          <w:rFonts w:hint="cs"/>
          <w:rtl/>
        </w:rPr>
        <w:t xml:space="preserve">מאוד </w:t>
      </w:r>
      <w:r w:rsidR="00F863A9">
        <w:rPr>
          <w:rFonts w:hint="cs"/>
          <w:rtl/>
        </w:rPr>
        <w:t>זה</w:t>
      </w:r>
      <w:r w:rsidR="007254BE">
        <w:rPr>
          <w:rFonts w:hint="cs"/>
          <w:rtl/>
        </w:rPr>
        <w:t xml:space="preserve"> </w:t>
      </w:r>
      <w:r w:rsidR="00F863A9">
        <w:rPr>
          <w:rFonts w:hint="cs"/>
          <w:rtl/>
        </w:rPr>
        <w:t xml:space="preserve">לזה שיש בדברי אריסטו </w:t>
      </w:r>
      <w:r w:rsidR="007B2D4D">
        <w:rPr>
          <w:rFonts w:hint="cs"/>
          <w:rtl/>
        </w:rPr>
        <w:t>עניינם לנסות ללכוד את המור</w:t>
      </w:r>
      <w:r w:rsidR="007254BE">
        <w:rPr>
          <w:rFonts w:hint="cs"/>
          <w:rtl/>
        </w:rPr>
        <w:t>כ</w:t>
      </w:r>
      <w:r w:rsidR="007B2D4D">
        <w:rPr>
          <w:rFonts w:hint="cs"/>
          <w:rtl/>
        </w:rPr>
        <w:t xml:space="preserve">בות וריבוי הבחינות השונות אם כי </w:t>
      </w:r>
      <w:r w:rsidR="007254BE">
        <w:rPr>
          <w:rFonts w:hint="cs"/>
          <w:rtl/>
        </w:rPr>
        <w:t xml:space="preserve">גם </w:t>
      </w:r>
      <w:r w:rsidR="007B2D4D">
        <w:rPr>
          <w:rFonts w:hint="cs"/>
          <w:rtl/>
        </w:rPr>
        <w:t xml:space="preserve">קרובות מאוד, שיש בתהליך הזה. </w:t>
      </w:r>
    </w:p>
    <w:p w14:paraId="31081083" w14:textId="77777777" w:rsidR="00924933" w:rsidRDefault="00330E4C" w:rsidP="00D00A8D">
      <w:pPr>
        <w:pStyle w:val="FootnoteText"/>
        <w:rPr>
          <w:rtl/>
        </w:rPr>
      </w:pPr>
      <w:r>
        <w:rPr>
          <w:rFonts w:hint="cs"/>
          <w:rtl/>
        </w:rPr>
        <w:t>החשיבות של הגדרת הטבע והבנת עניינו היא מכרעת, כי קניין החכמה</w:t>
      </w:r>
      <w:r w:rsidR="00C5384E">
        <w:rPr>
          <w:rFonts w:hint="cs"/>
          <w:rtl/>
        </w:rPr>
        <w:t xml:space="preserve"> האמיתי, שנוגע באדם באמת ובכל כוחות</w:t>
      </w:r>
      <w:r w:rsidR="006B6BF2">
        <w:rPr>
          <w:rFonts w:hint="cs"/>
          <w:rtl/>
        </w:rPr>
        <w:t>יו,</w:t>
      </w:r>
      <w:r>
        <w:rPr>
          <w:rFonts w:hint="cs"/>
          <w:rtl/>
        </w:rPr>
        <w:t xml:space="preserve"> הוא להתחיל מהתבוננות </w:t>
      </w:r>
      <w:r w:rsidR="00C5384E">
        <w:rPr>
          <w:rFonts w:hint="cs"/>
          <w:rtl/>
        </w:rPr>
        <w:t xml:space="preserve">פשוטה חומרית </w:t>
      </w:r>
      <w:r>
        <w:rPr>
          <w:rFonts w:hint="cs"/>
          <w:rtl/>
        </w:rPr>
        <w:t>ב</w:t>
      </w:r>
      <w:r w:rsidR="00C5384E">
        <w:rPr>
          <w:rFonts w:hint="cs"/>
          <w:rtl/>
        </w:rPr>
        <w:t>ט</w:t>
      </w:r>
      <w:r>
        <w:rPr>
          <w:rFonts w:hint="cs"/>
          <w:rtl/>
        </w:rPr>
        <w:t xml:space="preserve">בע, </w:t>
      </w:r>
      <w:r w:rsidR="00C5384E">
        <w:rPr>
          <w:rFonts w:hint="cs"/>
          <w:rtl/>
        </w:rPr>
        <w:t xml:space="preserve">של אדם שנולד בעולם ועדיין לא יודע מאומה ורק משוטט בדעתו. </w:t>
      </w:r>
      <w:r>
        <w:rPr>
          <w:rFonts w:hint="cs"/>
          <w:rtl/>
        </w:rPr>
        <w:t>ו</w:t>
      </w:r>
      <w:r w:rsidR="006B6BF2">
        <w:rPr>
          <w:rFonts w:hint="cs"/>
          <w:rtl/>
        </w:rPr>
        <w:t>מהטבע</w:t>
      </w:r>
      <w:r>
        <w:rPr>
          <w:rFonts w:hint="cs"/>
          <w:rtl/>
        </w:rPr>
        <w:t xml:space="preserve"> עצמו לראות את הצורות המופשטות ומשם את הגילוי האלוהי שב</w:t>
      </w:r>
      <w:r w:rsidR="006B6BF2">
        <w:rPr>
          <w:rFonts w:hint="cs"/>
          <w:rtl/>
        </w:rPr>
        <w:t>טבע</w:t>
      </w:r>
      <w:r>
        <w:rPr>
          <w:rFonts w:hint="cs"/>
          <w:rtl/>
        </w:rPr>
        <w:t xml:space="preserve">. </w:t>
      </w:r>
      <w:r w:rsidR="006B6BF2">
        <w:rPr>
          <w:rFonts w:hint="cs"/>
          <w:rtl/>
        </w:rPr>
        <w:t>אם קוראים בסר על האלוהות שמתגלה בטבע אלה רק מילים, לכל היותר זה מחבר את השכל ל</w:t>
      </w:r>
      <w:r w:rsidR="00FC00BE">
        <w:rPr>
          <w:rFonts w:hint="cs"/>
          <w:rtl/>
        </w:rPr>
        <w:t>אור האמת, אבל לא את כל כוחות האדם. רק אם הוא עולה בסולם בכוחות עצמו כולו נמצא שם, הוא דבק כולו באלוהיו, ביחד עם כוחות הגוף והמעשה</w:t>
      </w:r>
      <w:r w:rsidR="002473DD">
        <w:rPr>
          <w:rFonts w:hint="cs"/>
          <w:rtl/>
        </w:rPr>
        <w:t>, וכמו שכתב בסיום המורה נבוכים.</w:t>
      </w:r>
    </w:p>
    <w:p w14:paraId="20DEA95E" w14:textId="77777777" w:rsidR="00AF4AD2" w:rsidRDefault="00AF4AD2" w:rsidP="00D00A8D">
      <w:pPr>
        <w:pStyle w:val="FootnoteText"/>
        <w:rPr>
          <w:rtl/>
        </w:rPr>
      </w:pPr>
    </w:p>
    <w:p w14:paraId="7F2C20EA" w14:textId="0B2EFBD0" w:rsidR="00EA1BDF" w:rsidRDefault="00924933" w:rsidP="00DD31EA">
      <w:pPr>
        <w:pStyle w:val="FootnoteText"/>
        <w:rPr>
          <w:rtl/>
        </w:rPr>
      </w:pPr>
      <w:r>
        <w:rPr>
          <w:rFonts w:hint="cs"/>
          <w:rtl/>
        </w:rPr>
        <w:t xml:space="preserve">לגבי תרגום </w:t>
      </w:r>
      <w:r w:rsidR="009C463A">
        <w:rPr>
          <w:rFonts w:hint="cs"/>
          <w:rtl/>
        </w:rPr>
        <w:t>מדויק</w:t>
      </w:r>
      <w:r w:rsidR="00CD049C">
        <w:rPr>
          <w:rFonts w:hint="cs"/>
          <w:rtl/>
        </w:rPr>
        <w:t xml:space="preserve"> של </w:t>
      </w:r>
      <w:r>
        <w:rPr>
          <w:rFonts w:hint="cs"/>
          <w:rtl/>
        </w:rPr>
        <w:t xml:space="preserve">המושגים שמבאר </w:t>
      </w:r>
      <w:r w:rsidR="00CD049C">
        <w:rPr>
          <w:rFonts w:hint="cs"/>
          <w:rtl/>
        </w:rPr>
        <w:t xml:space="preserve">כאן </w:t>
      </w:r>
      <w:r>
        <w:rPr>
          <w:rFonts w:hint="cs"/>
          <w:rtl/>
        </w:rPr>
        <w:t xml:space="preserve">אבן סינא, </w:t>
      </w:r>
      <w:r w:rsidR="00766826">
        <w:rPr>
          <w:rFonts w:hint="cs"/>
          <w:rtl/>
        </w:rPr>
        <w:t>ואיזה</w:t>
      </w:r>
      <w:r w:rsidR="00EE6F32">
        <w:rPr>
          <w:rFonts w:hint="cs"/>
          <w:rtl/>
        </w:rPr>
        <w:t xml:space="preserve"> </w:t>
      </w:r>
      <w:r w:rsidR="00766826">
        <w:rPr>
          <w:rFonts w:hint="cs"/>
          <w:rtl/>
        </w:rPr>
        <w:t>מושג</w:t>
      </w:r>
      <w:r w:rsidR="00EE6F32">
        <w:rPr>
          <w:rFonts w:hint="cs"/>
          <w:rtl/>
        </w:rPr>
        <w:t xml:space="preserve"> של אבן סינא כאן מתייחס לאיזה מושג של אריסטו, </w:t>
      </w:r>
      <w:r>
        <w:rPr>
          <w:rFonts w:hint="cs"/>
          <w:rtl/>
        </w:rPr>
        <w:t xml:space="preserve">לשם כך צריך לעסוק בחקר עמוק של המושגים היווניים אצל אריסטו. </w:t>
      </w:r>
      <w:r w:rsidR="00CD049C">
        <w:rPr>
          <w:rFonts w:hint="cs"/>
          <w:rtl/>
        </w:rPr>
        <w:t xml:space="preserve">גם באריסטו מצד הלשון היוונית המובן של המושגים נראה לפעמים זהה והניואנסים שאריסטו מעניק למילים הנרדפות נתונים לפרשנות, ותלויים אפילו בהטעמה ומנגינה, ואין דרך להגיע בהם לבהירות מוצקה. </w:t>
      </w:r>
      <w:r w:rsidR="009C6063">
        <w:rPr>
          <w:rFonts w:hint="cs"/>
          <w:rtl/>
        </w:rPr>
        <w:t>לכן אני מנסה להמעיט בפרשנות בתרגום, וגם במקום שנראה ש</w:t>
      </w:r>
      <w:r w:rsidR="007C2BDF">
        <w:rPr>
          <w:rFonts w:hint="cs"/>
          <w:rtl/>
        </w:rPr>
        <w:t>מושגים זהים משמשים למובנים שונים אני מתרגם אותם כמונחים זהים כמו שהם, ומשאיר לקורא לנסות לפרש מה בדיוק ההבדל בין מונח למונח. קורא שירצה לפרש זאת לא יוכל לסמוך על התרגום שלי, ואולי גם לא על הערבית של אבן סינא, אלא ל</w:t>
      </w:r>
      <w:r w:rsidR="00C10206">
        <w:rPr>
          <w:rFonts w:hint="cs"/>
          <w:rtl/>
        </w:rPr>
        <w:t>עסוק</w:t>
      </w:r>
      <w:r w:rsidR="007C2BDF">
        <w:rPr>
          <w:rFonts w:hint="cs"/>
          <w:rtl/>
        </w:rPr>
        <w:t xml:space="preserve"> </w:t>
      </w:r>
      <w:r w:rsidR="00C10206">
        <w:rPr>
          <w:rFonts w:hint="cs"/>
          <w:rtl/>
        </w:rPr>
        <w:t>ב</w:t>
      </w:r>
      <w:r w:rsidR="007C2BDF">
        <w:rPr>
          <w:rFonts w:hint="cs"/>
          <w:rtl/>
        </w:rPr>
        <w:t xml:space="preserve">מקור היווני של אריסטו. </w:t>
      </w:r>
      <w:r w:rsidR="002028FB">
        <w:rPr>
          <w:rFonts w:hint="cs"/>
          <w:rtl/>
        </w:rPr>
        <w:t xml:space="preserve">ידיעת יוונית שנלמדת בקורס באוניברסיטה לא תספיק למחקר כל כך </w:t>
      </w:r>
      <w:r w:rsidR="009C463A">
        <w:rPr>
          <w:rFonts w:hint="cs"/>
          <w:rtl/>
        </w:rPr>
        <w:t>מדויק</w:t>
      </w:r>
      <w:r w:rsidR="002028FB">
        <w:rPr>
          <w:rFonts w:hint="cs"/>
          <w:rtl/>
        </w:rPr>
        <w:t xml:space="preserve">, </w:t>
      </w:r>
      <w:r w:rsidR="00F40AF5">
        <w:rPr>
          <w:rFonts w:hint="cs"/>
          <w:rtl/>
        </w:rPr>
        <w:t xml:space="preserve">ונדרש ידע הרבה יותר עמוק ורחב ומקיף ביוונית כדי לעמוד על ההטעמות והכוונות הדקות, ואפשר </w:t>
      </w:r>
      <w:r w:rsidR="00C10206">
        <w:rPr>
          <w:rFonts w:hint="cs"/>
          <w:rtl/>
        </w:rPr>
        <w:t>ש</w:t>
      </w:r>
      <w:r w:rsidR="00F40AF5">
        <w:rPr>
          <w:rFonts w:hint="cs"/>
          <w:rtl/>
        </w:rPr>
        <w:t xml:space="preserve">לפעמים אין לנו שום דרך להגיע לידע כזה. </w:t>
      </w:r>
      <w:r w:rsidR="002028FB">
        <w:rPr>
          <w:rFonts w:hint="cs"/>
          <w:rtl/>
        </w:rPr>
        <w:t>מומלץ לעניות דעתי לה</w:t>
      </w:r>
      <w:r w:rsidR="00F40AF5">
        <w:rPr>
          <w:rFonts w:hint="cs"/>
          <w:rtl/>
        </w:rPr>
        <w:t>עזר לשם כך</w:t>
      </w:r>
      <w:r w:rsidR="002028FB">
        <w:rPr>
          <w:rFonts w:hint="cs"/>
          <w:rtl/>
        </w:rPr>
        <w:t xml:space="preserve"> בתרגום של תומס טיילור</w:t>
      </w:r>
      <w:r w:rsidR="0098550D">
        <w:rPr>
          <w:rFonts w:hint="cs"/>
          <w:rtl/>
        </w:rPr>
        <w:t xml:space="preserve"> (</w:t>
      </w:r>
      <w:r w:rsidR="0098550D" w:rsidRPr="0098550D">
        <w:t>Thomas Taylor</w:t>
      </w:r>
      <w:r w:rsidR="0098550D">
        <w:rPr>
          <w:rFonts w:hint="cs"/>
          <w:rtl/>
        </w:rPr>
        <w:t>)</w:t>
      </w:r>
      <w:r w:rsidR="002028FB">
        <w:rPr>
          <w:rFonts w:hint="cs"/>
          <w:rtl/>
        </w:rPr>
        <w:t xml:space="preserve"> מ 1804, כי הוא </w:t>
      </w:r>
      <w:r w:rsidR="00AF2B03">
        <w:rPr>
          <w:rFonts w:hint="cs"/>
          <w:rtl/>
        </w:rPr>
        <w:t>ידע יוונית יותר מכל המתרגמים וגם הבין את התוכן יותר מכולם.</w:t>
      </w:r>
      <w:r w:rsidR="0098550D">
        <w:rPr>
          <w:rFonts w:hint="cs"/>
          <w:rtl/>
        </w:rPr>
        <w:t xml:space="preserve"> תרגומיו נמצאים להורדה בחינם ברשת</w:t>
      </w:r>
      <w:r w:rsidR="00043B6B">
        <w:rPr>
          <w:rFonts w:hint="cs"/>
          <w:rtl/>
        </w:rPr>
        <w:t xml:space="preserve">, למשל </w:t>
      </w:r>
      <w:hyperlink r:id="rId118" w:history="1">
        <w:r w:rsidR="00043B6B" w:rsidRPr="00043B6B">
          <w:rPr>
            <w:rStyle w:val="Hyperlink"/>
            <w:rFonts w:hint="cs"/>
            <w:rtl/>
          </w:rPr>
          <w:t>כאן</w:t>
        </w:r>
      </w:hyperlink>
      <w:r w:rsidR="00803A8F">
        <w:rPr>
          <w:rFonts w:hint="cs"/>
          <w:rtl/>
        </w:rPr>
        <w:t>.</w:t>
      </w:r>
      <w:r w:rsidR="00032A04">
        <w:rPr>
          <w:rFonts w:hint="cs"/>
          <w:rtl/>
        </w:rPr>
        <w:t xml:space="preserve"> </w:t>
      </w:r>
    </w:p>
  </w:footnote>
  <w:footnote w:id="538">
    <w:p w14:paraId="39B4A583" w14:textId="77777777" w:rsidR="00076BCB" w:rsidRDefault="005841E1">
      <w:pPr>
        <w:pStyle w:val="FootnoteText"/>
        <w:rPr>
          <w:rtl/>
        </w:rPr>
      </w:pPr>
      <w:r>
        <w:rPr>
          <w:rStyle w:val="FootnoteReference"/>
        </w:rPr>
        <w:footnoteRef/>
      </w:r>
      <w:r>
        <w:rPr>
          <w:rtl/>
        </w:rPr>
        <w:t xml:space="preserve"> </w:t>
      </w:r>
      <w:r>
        <w:rPr>
          <w:rFonts w:hint="cs"/>
          <w:rtl/>
        </w:rPr>
        <w:t>לעיל פרק ה' מסעיף 5 והלאה.</w:t>
      </w:r>
      <w:r w:rsidR="00A22353">
        <w:rPr>
          <w:rFonts w:hint="cs"/>
          <w:rtl/>
        </w:rPr>
        <w:t xml:space="preserve"> </w:t>
      </w:r>
    </w:p>
    <w:p w14:paraId="625C4004" w14:textId="114FD799" w:rsidR="005841E1" w:rsidRDefault="00A22353" w:rsidP="00EF7EC7">
      <w:pPr>
        <w:pStyle w:val="FootnoteText"/>
      </w:pPr>
      <w:r>
        <w:rPr>
          <w:rFonts w:hint="cs"/>
          <w:rtl/>
        </w:rPr>
        <w:t xml:space="preserve">במקור </w:t>
      </w:r>
      <w:r w:rsidR="00076BCB">
        <w:rPr>
          <w:rFonts w:hint="cs"/>
          <w:rtl/>
        </w:rPr>
        <w:t xml:space="preserve">כאן </w:t>
      </w:r>
      <w:r>
        <w:rPr>
          <w:rFonts w:hint="cs"/>
          <w:rtl/>
        </w:rPr>
        <w:t xml:space="preserve">כתוב 'הטבע' </w:t>
      </w:r>
      <w:r w:rsidR="00076BCB">
        <w:rPr>
          <w:rFonts w:hint="cs"/>
          <w:rtl/>
        </w:rPr>
        <w:t>ו'הטבעי', ותרגמ</w:t>
      </w:r>
      <w:r w:rsidR="004B6ED5">
        <w:rPr>
          <w:rFonts w:hint="cs"/>
          <w:rtl/>
        </w:rPr>
        <w:t>ת</w:t>
      </w:r>
      <w:r w:rsidR="00076BCB">
        <w:rPr>
          <w:rFonts w:hint="cs"/>
          <w:rtl/>
        </w:rPr>
        <w:t>י 'טבע' ו'טבעי'</w:t>
      </w:r>
      <w:r w:rsidR="004B6ED5">
        <w:rPr>
          <w:rFonts w:hint="cs"/>
          <w:rtl/>
        </w:rPr>
        <w:t>.</w:t>
      </w:r>
      <w:r>
        <w:rPr>
          <w:rFonts w:hint="cs"/>
          <w:rtl/>
        </w:rPr>
        <w:t xml:space="preserve"> בערבית השימוש ב</w:t>
      </w:r>
      <w:r w:rsidR="00297270">
        <w:rPr>
          <w:rFonts w:hint="cs"/>
          <w:rtl/>
        </w:rPr>
        <w:t>ה'</w:t>
      </w:r>
      <w:r>
        <w:rPr>
          <w:rFonts w:hint="cs"/>
          <w:rtl/>
        </w:rPr>
        <w:t xml:space="preserve"> הידיעה שונה </w:t>
      </w:r>
      <w:r>
        <w:rPr>
          <w:rFonts w:hint="cs"/>
          <w:rtl/>
        </w:rPr>
        <w:t xml:space="preserve">מבעברית, </w:t>
      </w:r>
      <w:r w:rsidR="00297270">
        <w:rPr>
          <w:rFonts w:hint="cs"/>
          <w:rtl/>
        </w:rPr>
        <w:t xml:space="preserve">ולדעתי </w:t>
      </w:r>
      <w:r w:rsidR="000F0E55">
        <w:rPr>
          <w:rFonts w:hint="cs"/>
          <w:rtl/>
        </w:rPr>
        <w:t xml:space="preserve">כאן </w:t>
      </w:r>
      <w:r w:rsidR="00297270">
        <w:rPr>
          <w:rFonts w:hint="cs"/>
          <w:rtl/>
        </w:rPr>
        <w:t xml:space="preserve">יותר נכון לתרגם לעברית בלי ה' הידיעה </w:t>
      </w:r>
      <w:r w:rsidR="004B6ED5">
        <w:rPr>
          <w:rFonts w:hint="cs"/>
          <w:rtl/>
        </w:rPr>
        <w:t>(</w:t>
      </w:r>
      <w:r w:rsidR="000F0E55">
        <w:rPr>
          <w:rFonts w:hint="cs"/>
          <w:rtl/>
        </w:rPr>
        <w:t xml:space="preserve">בערבית ו' החיבור משמשת באופן שונה מבעברית, ובתרגום נגררתי אחרי השימוש הערבי גם במקום שבעברית הסגנון </w:t>
      </w:r>
      <w:r w:rsidR="0007658E">
        <w:rPr>
          <w:rFonts w:hint="cs"/>
          <w:rtl/>
        </w:rPr>
        <w:t>מוזר ולא תקין, וכך בעוד דברים. בכל אופן כשהתרגום המושפע מהערבית מקשה על ההבנה או פוגם בדייקנות התוכן נקטתי ב</w:t>
      </w:r>
      <w:r w:rsidR="00191781">
        <w:rPr>
          <w:rFonts w:hint="cs"/>
          <w:rtl/>
        </w:rPr>
        <w:t>דרך השימוש העברי</w:t>
      </w:r>
      <w:r w:rsidR="00EC559F">
        <w:rPr>
          <w:rFonts w:hint="cs"/>
          <w:rtl/>
        </w:rPr>
        <w:t>)</w:t>
      </w:r>
      <w:r w:rsidR="00191781">
        <w:rPr>
          <w:rFonts w:hint="cs"/>
          <w:rtl/>
        </w:rPr>
        <w:t>.</w:t>
      </w:r>
    </w:p>
  </w:footnote>
  <w:footnote w:id="539">
    <w:p w14:paraId="36F0057C" w14:textId="374ABE53" w:rsidR="001045A6" w:rsidRDefault="0017473C" w:rsidP="005D5DBE">
      <w:pPr>
        <w:pStyle w:val="FootnoteText"/>
      </w:pPr>
      <w:r>
        <w:rPr>
          <w:rStyle w:val="FootnoteReference"/>
        </w:rPr>
        <w:footnoteRef/>
      </w:r>
      <w:r>
        <w:rPr>
          <w:rtl/>
        </w:rPr>
        <w:t xml:space="preserve"> </w:t>
      </w:r>
      <w:r w:rsidR="00C811F3">
        <w:rPr>
          <w:rFonts w:hint="cs"/>
          <w:rtl/>
        </w:rPr>
        <w:t>"</w:t>
      </w:r>
      <w:r w:rsidR="00EF7EC7">
        <w:rPr>
          <w:rFonts w:hint="cs"/>
          <w:rtl/>
        </w:rPr>
        <w:t>על הטבע</w:t>
      </w:r>
      <w:r w:rsidR="00C811F3">
        <w:rPr>
          <w:rFonts w:hint="cs"/>
          <w:rtl/>
        </w:rPr>
        <w:t>"</w:t>
      </w:r>
      <w:r w:rsidR="00EF7EC7">
        <w:rPr>
          <w:rFonts w:hint="cs"/>
          <w:rtl/>
        </w:rPr>
        <w:t xml:space="preserve"> הוא תרגום</w:t>
      </w:r>
      <w:r w:rsidR="003063D7">
        <w:rPr>
          <w:rFonts w:hint="cs"/>
          <w:rtl/>
        </w:rPr>
        <w:t xml:space="preserve"> מילולי</w:t>
      </w:r>
      <w:r w:rsidR="00EF7EC7">
        <w:rPr>
          <w:rFonts w:hint="cs"/>
          <w:rtl/>
        </w:rPr>
        <w:t xml:space="preserve"> של</w:t>
      </w:r>
      <w:r w:rsidR="003063D7">
        <w:rPr>
          <w:rFonts w:hint="cs"/>
          <w:rtl/>
        </w:rPr>
        <w:t xml:space="preserve"> </w:t>
      </w:r>
      <w:r w:rsidR="003063D7" w:rsidRPr="00C811F3">
        <w:rPr>
          <w:rtl/>
        </w:rPr>
        <w:t>לשון המקור</w:t>
      </w:r>
      <w:r w:rsidR="00EF7EC7" w:rsidRPr="00C811F3">
        <w:rPr>
          <w:rtl/>
        </w:rPr>
        <w:t xml:space="preserve"> </w:t>
      </w:r>
      <w:r w:rsidR="00EF7EC7" w:rsidRPr="00C811F3">
        <w:rPr>
          <w:rFonts w:ascii="Arial" w:hAnsi="Arial" w:cs="Arial" w:hint="cs"/>
          <w:rtl/>
          <w:lang w:bidi="ar-SA"/>
        </w:rPr>
        <w:t>عن</w:t>
      </w:r>
      <w:r w:rsidR="00EF7EC7" w:rsidRPr="00C811F3">
        <w:rPr>
          <w:rtl/>
          <w:lang w:bidi="ar-SA"/>
        </w:rPr>
        <w:t xml:space="preserve"> </w:t>
      </w:r>
      <w:r w:rsidR="00EF7EC7" w:rsidRPr="00C811F3">
        <w:rPr>
          <w:rFonts w:ascii="Arial" w:hAnsi="Arial" w:cs="Arial" w:hint="cs"/>
          <w:rtl/>
          <w:lang w:bidi="ar-SA"/>
        </w:rPr>
        <w:t>الطبيعة</w:t>
      </w:r>
      <w:r w:rsidR="00EF7EC7" w:rsidRPr="00C811F3">
        <w:rPr>
          <w:rtl/>
        </w:rPr>
        <w:t>.</w:t>
      </w:r>
      <w:r w:rsidR="005D5DBE">
        <w:rPr>
          <w:rFonts w:hint="cs"/>
          <w:rtl/>
        </w:rPr>
        <w:t xml:space="preserve"> </w:t>
      </w:r>
      <w:r w:rsidR="001045A6" w:rsidRPr="00C811F3">
        <w:rPr>
          <w:rtl/>
        </w:rPr>
        <w:t xml:space="preserve">מקגיניס תרגם כאן </w:t>
      </w:r>
      <w:r w:rsidR="00C811F3" w:rsidRPr="00C811F3">
        <w:t>from the nature</w:t>
      </w:r>
      <w:r w:rsidR="005D5DBE">
        <w:rPr>
          <w:rFonts w:hint="cs"/>
          <w:rtl/>
        </w:rPr>
        <w:t xml:space="preserve"> </w:t>
      </w:r>
      <w:r w:rsidR="00F02C61">
        <w:rPr>
          <w:rFonts w:hint="cs"/>
          <w:rtl/>
        </w:rPr>
        <w:t xml:space="preserve">('מהטבע') </w:t>
      </w:r>
      <w:r w:rsidR="005D5DBE">
        <w:rPr>
          <w:rFonts w:hint="cs"/>
          <w:rtl/>
        </w:rPr>
        <w:t xml:space="preserve">לפי </w:t>
      </w:r>
      <w:r w:rsidR="003B3B8D">
        <w:rPr>
          <w:rFonts w:hint="cs"/>
          <w:rtl/>
        </w:rPr>
        <w:t>מה שמובן מ</w:t>
      </w:r>
      <w:r w:rsidR="005D5DBE">
        <w:rPr>
          <w:rFonts w:hint="cs"/>
          <w:rtl/>
        </w:rPr>
        <w:t>ההמשך</w:t>
      </w:r>
      <w:r w:rsidR="003B3B8D">
        <w:rPr>
          <w:rFonts w:hint="cs"/>
          <w:rtl/>
        </w:rPr>
        <w:t xml:space="preserve"> ופחות לפי דיוק הלשון</w:t>
      </w:r>
      <w:r w:rsidR="00B92DEB">
        <w:rPr>
          <w:rFonts w:hint="cs"/>
          <w:rtl/>
        </w:rPr>
        <w:t>, אבל נראה ל</w:t>
      </w:r>
      <w:r w:rsidR="00C6006A">
        <w:rPr>
          <w:rFonts w:hint="cs"/>
          <w:rtl/>
        </w:rPr>
        <w:t>ענ"ד</w:t>
      </w:r>
      <w:r w:rsidR="00B92DEB">
        <w:rPr>
          <w:rFonts w:hint="cs"/>
          <w:rtl/>
        </w:rPr>
        <w:t xml:space="preserve"> ש</w:t>
      </w:r>
      <w:r w:rsidR="003B3B8D">
        <w:rPr>
          <w:rFonts w:hint="cs"/>
          <w:rtl/>
        </w:rPr>
        <w:t xml:space="preserve">גם מצד ההבנה בהמשך </w:t>
      </w:r>
      <w:r w:rsidR="00B92DEB">
        <w:rPr>
          <w:rFonts w:hint="cs"/>
          <w:rtl/>
        </w:rPr>
        <w:t xml:space="preserve">יותר </w:t>
      </w:r>
      <w:r w:rsidR="009C463A">
        <w:rPr>
          <w:rFonts w:hint="cs"/>
          <w:rtl/>
        </w:rPr>
        <w:t>מדויק</w:t>
      </w:r>
      <w:r w:rsidR="00022299">
        <w:rPr>
          <w:rFonts w:hint="cs"/>
          <w:rtl/>
        </w:rPr>
        <w:t xml:space="preserve"> </w:t>
      </w:r>
      <w:r w:rsidR="00B92DEB">
        <w:rPr>
          <w:rFonts w:hint="cs"/>
          <w:rtl/>
        </w:rPr>
        <w:t>להבין שה</w:t>
      </w:r>
      <w:r w:rsidR="00022299">
        <w:rPr>
          <w:rFonts w:hint="cs"/>
          <w:rtl/>
        </w:rPr>
        <w:t>השפעות והתנועות וכיו"ב הם לא משהו שבא מהטבע אלא אלה גילוי על אודות הטבע</w:t>
      </w:r>
      <w:r w:rsidR="00C811F3" w:rsidRPr="00C811F3">
        <w:rPr>
          <w:rtl/>
        </w:rPr>
        <w:t xml:space="preserve">. </w:t>
      </w:r>
    </w:p>
  </w:footnote>
  <w:footnote w:id="540">
    <w:p w14:paraId="5DD2AA88" w14:textId="77777777" w:rsidR="00807213" w:rsidRDefault="00130A8D" w:rsidP="00807213">
      <w:pPr>
        <w:pStyle w:val="FootnoteText"/>
        <w:rPr>
          <w:rtl/>
        </w:rPr>
      </w:pPr>
      <w:r>
        <w:rPr>
          <w:rStyle w:val="FootnoteReference"/>
        </w:rPr>
        <w:footnoteRef/>
      </w:r>
      <w:r>
        <w:rPr>
          <w:rtl/>
        </w:rPr>
        <w:t xml:space="preserve"> </w:t>
      </w:r>
      <w:r w:rsidR="00293F42">
        <w:rPr>
          <w:rFonts w:hint="cs"/>
          <w:rtl/>
        </w:rPr>
        <w:t>האידיאה המופשטת</w:t>
      </w:r>
      <w:r w:rsidR="000B543D">
        <w:rPr>
          <w:rFonts w:hint="cs"/>
          <w:rtl/>
        </w:rPr>
        <w:t xml:space="preserve"> של 'כלב', שהיא המין 'כלב' שכל הכלבים נוטלים בו חלק וממנו נובע שהם כלבים, היא הטבע </w:t>
      </w:r>
      <w:r w:rsidR="00E10112">
        <w:rPr>
          <w:rFonts w:hint="cs"/>
          <w:rtl/>
        </w:rPr>
        <w:t xml:space="preserve">הכלבי </w:t>
      </w:r>
      <w:r w:rsidR="000B543D">
        <w:rPr>
          <w:rFonts w:hint="cs"/>
          <w:rtl/>
        </w:rPr>
        <w:t xml:space="preserve">שיש בחיה המסוימת המוחשית שהיא כלב. </w:t>
      </w:r>
      <w:r w:rsidR="00464FCF">
        <w:rPr>
          <w:rFonts w:hint="cs"/>
          <w:rtl/>
        </w:rPr>
        <w:t xml:space="preserve">אם מתבוננים היטב בכלב </w:t>
      </w:r>
      <w:r w:rsidR="006457E9">
        <w:rPr>
          <w:rFonts w:hint="cs"/>
          <w:rtl/>
        </w:rPr>
        <w:t>משכילים</w:t>
      </w:r>
      <w:r w:rsidR="00464FCF">
        <w:rPr>
          <w:rFonts w:hint="cs"/>
          <w:rtl/>
        </w:rPr>
        <w:t xml:space="preserve"> ממנו את </w:t>
      </w:r>
      <w:r w:rsidR="003B443F">
        <w:rPr>
          <w:rFonts w:hint="cs"/>
          <w:rtl/>
        </w:rPr>
        <w:t xml:space="preserve">הטבע הכלבי שהוא אופן הביטוי בחומר של </w:t>
      </w:r>
      <w:r w:rsidR="00464FCF">
        <w:rPr>
          <w:rFonts w:hint="cs"/>
          <w:rtl/>
        </w:rPr>
        <w:t>הצורה המופשטת</w:t>
      </w:r>
      <w:r w:rsidR="00E10112">
        <w:rPr>
          <w:rFonts w:hint="cs"/>
          <w:rtl/>
        </w:rPr>
        <w:t xml:space="preserve"> 'כלב'</w:t>
      </w:r>
      <w:r w:rsidR="00127FFB">
        <w:rPr>
          <w:rFonts w:hint="cs"/>
          <w:rtl/>
        </w:rPr>
        <w:t>, ולכן צורת הכלב וטבע הכלב הם 'בו'</w:t>
      </w:r>
      <w:r w:rsidR="003C32A6">
        <w:rPr>
          <w:rFonts w:hint="cs"/>
          <w:rtl/>
        </w:rPr>
        <w:t>.</w:t>
      </w:r>
      <w:r w:rsidR="002A620C">
        <w:rPr>
          <w:rFonts w:hint="cs"/>
          <w:rtl/>
        </w:rPr>
        <w:t xml:space="preserve"> </w:t>
      </w:r>
      <w:r w:rsidR="003C32A6">
        <w:rPr>
          <w:rFonts w:hint="cs"/>
          <w:rtl/>
        </w:rPr>
        <w:t xml:space="preserve">צורתו שמתגלה מההתבוננות בכלב המוחשי </w:t>
      </w:r>
      <w:r w:rsidR="002A620C">
        <w:rPr>
          <w:rFonts w:hint="cs"/>
          <w:rtl/>
        </w:rPr>
        <w:t>היא המושכל בטבע, כלומר מה שמשכילים כשמתבוננים בטבע</w:t>
      </w:r>
      <w:r w:rsidR="00807213">
        <w:rPr>
          <w:rFonts w:hint="cs"/>
          <w:rtl/>
        </w:rPr>
        <w:t>, ולכן צורתו בו</w:t>
      </w:r>
      <w:r w:rsidR="00464FCF">
        <w:rPr>
          <w:rFonts w:hint="cs"/>
          <w:rtl/>
        </w:rPr>
        <w:t>.</w:t>
      </w:r>
      <w:r w:rsidR="00807213">
        <w:rPr>
          <w:rFonts w:hint="cs"/>
          <w:rtl/>
        </w:rPr>
        <w:t xml:space="preserve"> וכמו שכתב הרמב"ם בפרק ד' מלהכות יסודי התורה ד' ז':</w:t>
      </w:r>
    </w:p>
    <w:p w14:paraId="77B500A3" w14:textId="5E965BA0" w:rsidR="00130A8D" w:rsidRDefault="00807213" w:rsidP="00807213">
      <w:pPr>
        <w:pStyle w:val="FootnoteText"/>
        <w:rPr>
          <w:rtl/>
        </w:rPr>
      </w:pPr>
      <w:r>
        <w:rPr>
          <w:rFonts w:hint="cs"/>
          <w:rtl/>
        </w:rPr>
        <w:t>"</w:t>
      </w:r>
      <w:r w:rsidR="00212B00" w:rsidRPr="00212B00">
        <w:rPr>
          <w:rtl/>
        </w:rPr>
        <w:t>לעולם אין אתה רואה גולם בלא צורה או צורה בלא גולם, אלא לב האדם הוא שמחלק הגוף הנמצא בדעתו, ויודע שהוא מחובר מגולם וצורה</w:t>
      </w:r>
      <w:r>
        <w:rPr>
          <w:rFonts w:hint="cs"/>
          <w:rtl/>
        </w:rPr>
        <w:t>"</w:t>
      </w:r>
      <w:r w:rsidR="00464FCF">
        <w:rPr>
          <w:rFonts w:hint="cs"/>
          <w:rtl/>
        </w:rPr>
        <w:t xml:space="preserve"> </w:t>
      </w:r>
      <w:r w:rsidR="003875F7">
        <w:rPr>
          <w:rFonts w:hint="cs"/>
          <w:rtl/>
        </w:rPr>
        <w:t xml:space="preserve"> </w:t>
      </w:r>
    </w:p>
    <w:p w14:paraId="32950391" w14:textId="455D69F0" w:rsidR="003875F7" w:rsidRDefault="003875F7">
      <w:pPr>
        <w:pStyle w:val="FootnoteText"/>
      </w:pPr>
      <w:r>
        <w:rPr>
          <w:rFonts w:hint="cs"/>
          <w:rtl/>
        </w:rPr>
        <w:t xml:space="preserve">לעומת זאת האידיאה המופשטת של 'חי', </w:t>
      </w:r>
      <w:r w:rsidR="00127FFB">
        <w:rPr>
          <w:rFonts w:hint="cs"/>
          <w:rtl/>
        </w:rPr>
        <w:t xml:space="preserve">שאינו המין של הכלב אלא הסוג שלו, </w:t>
      </w:r>
      <w:r w:rsidR="004D1897">
        <w:rPr>
          <w:rFonts w:hint="cs"/>
          <w:rtl/>
        </w:rPr>
        <w:t xml:space="preserve">בחינה מסוימת ממנה מתגלה על ידי התבוננות בכלב החי, </w:t>
      </w:r>
      <w:r w:rsidR="00212B00">
        <w:rPr>
          <w:rFonts w:hint="cs"/>
          <w:rtl/>
        </w:rPr>
        <w:t xml:space="preserve">שהרי הכלב הוא מין ממיני החי, </w:t>
      </w:r>
      <w:r w:rsidR="00D07071">
        <w:rPr>
          <w:rFonts w:hint="cs"/>
          <w:rtl/>
        </w:rPr>
        <w:t>והחיים הם חלק מהגדרת מהותו שהיא צורתו. ו</w:t>
      </w:r>
      <w:r w:rsidR="004D1897">
        <w:rPr>
          <w:rFonts w:hint="cs"/>
          <w:rtl/>
        </w:rPr>
        <w:t xml:space="preserve">ממנה </w:t>
      </w:r>
      <w:r w:rsidR="003F74C2">
        <w:rPr>
          <w:rFonts w:hint="cs"/>
          <w:rtl/>
        </w:rPr>
        <w:t xml:space="preserve">בא </w:t>
      </w:r>
      <w:r w:rsidR="004D1897">
        <w:rPr>
          <w:rFonts w:hint="cs"/>
          <w:rtl/>
        </w:rPr>
        <w:t xml:space="preserve">טבעו </w:t>
      </w:r>
      <w:r w:rsidR="00956698">
        <w:rPr>
          <w:rFonts w:hint="cs"/>
          <w:rtl/>
        </w:rPr>
        <w:t xml:space="preserve">כיצור 'חי' (מתנועע בעצמו וכיו"ב), </w:t>
      </w:r>
      <w:r w:rsidR="004D1897">
        <w:rPr>
          <w:rFonts w:hint="cs"/>
          <w:rtl/>
        </w:rPr>
        <w:t xml:space="preserve">ומבחינה זו </w:t>
      </w:r>
      <w:r w:rsidR="005868BB">
        <w:rPr>
          <w:rFonts w:hint="cs"/>
          <w:rtl/>
        </w:rPr>
        <w:t>חלק מ</w:t>
      </w:r>
      <w:r w:rsidR="004D1897">
        <w:rPr>
          <w:rFonts w:hint="cs"/>
          <w:rtl/>
        </w:rPr>
        <w:t xml:space="preserve">טבעו </w:t>
      </w:r>
      <w:r w:rsidR="005868BB">
        <w:rPr>
          <w:rFonts w:hint="cs"/>
          <w:rtl/>
        </w:rPr>
        <w:t>"</w:t>
      </w:r>
      <w:r w:rsidR="004D1897">
        <w:rPr>
          <w:rFonts w:hint="cs"/>
          <w:rtl/>
        </w:rPr>
        <w:t>בו</w:t>
      </w:r>
      <w:r w:rsidR="005868BB">
        <w:rPr>
          <w:rFonts w:hint="cs"/>
          <w:rtl/>
        </w:rPr>
        <w:t>"</w:t>
      </w:r>
      <w:r w:rsidR="004D1897">
        <w:rPr>
          <w:rFonts w:hint="cs"/>
          <w:rtl/>
        </w:rPr>
        <w:t xml:space="preserve">, אבל יש בחינה </w:t>
      </w:r>
      <w:r w:rsidR="00EB545D">
        <w:rPr>
          <w:rFonts w:hint="cs"/>
          <w:rtl/>
        </w:rPr>
        <w:t xml:space="preserve">של האידיאה המופשטת 'חיים' </w:t>
      </w:r>
      <w:r w:rsidR="004D1897">
        <w:rPr>
          <w:rFonts w:hint="cs"/>
          <w:rtl/>
        </w:rPr>
        <w:t xml:space="preserve">שלא מתגלה בכלב המוחשי, היא החיים המופשטים הכלליים שהם כל המציאות, שהם האלוהות </w:t>
      </w:r>
      <w:r w:rsidR="00EB545D">
        <w:rPr>
          <w:rFonts w:hint="cs"/>
          <w:rtl/>
        </w:rPr>
        <w:t xml:space="preserve">החיה </w:t>
      </w:r>
      <w:r w:rsidR="004D1897">
        <w:rPr>
          <w:rFonts w:hint="cs"/>
          <w:rtl/>
        </w:rPr>
        <w:t xml:space="preserve">שמאירה בכל המציאות. </w:t>
      </w:r>
      <w:r w:rsidR="00EB545D">
        <w:rPr>
          <w:rFonts w:hint="cs"/>
          <w:rtl/>
        </w:rPr>
        <w:t xml:space="preserve">האל הוא בעצמו חי, והוא </w:t>
      </w:r>
      <w:bookmarkStart w:id="262" w:name="_Hlk106130715"/>
      <w:r w:rsidR="00EB545D">
        <w:rPr>
          <w:rFonts w:hint="cs"/>
          <w:rtl/>
        </w:rPr>
        <w:t>חי</w:t>
      </w:r>
      <w:bookmarkEnd w:id="262"/>
      <w:r w:rsidR="00EB545D">
        <w:rPr>
          <w:rFonts w:hint="cs"/>
          <w:rtl/>
        </w:rPr>
        <w:t xml:space="preserve"> העולמים, כלומר חיות </w:t>
      </w:r>
      <w:r w:rsidR="00CD5357">
        <w:rPr>
          <w:rFonts w:hint="cs"/>
          <w:rtl/>
        </w:rPr>
        <w:t>כ</w:t>
      </w:r>
      <w:r w:rsidR="00EB545D">
        <w:rPr>
          <w:rFonts w:hint="cs"/>
          <w:rtl/>
        </w:rPr>
        <w:t>ל העולם</w:t>
      </w:r>
      <w:r w:rsidR="00CD5357">
        <w:rPr>
          <w:rFonts w:hint="cs"/>
          <w:rtl/>
        </w:rPr>
        <w:t xml:space="preserve"> היא חיותו</w:t>
      </w:r>
      <w:r w:rsidR="005868BB">
        <w:rPr>
          <w:rFonts w:hint="cs"/>
          <w:rtl/>
        </w:rPr>
        <w:t>.</w:t>
      </w:r>
      <w:r w:rsidR="009B772D">
        <w:rPr>
          <w:rFonts w:hint="cs"/>
          <w:rtl/>
        </w:rPr>
        <w:t xml:space="preserve"> בכלב המוחשי מתגל</w:t>
      </w:r>
      <w:r w:rsidR="00325AF0">
        <w:rPr>
          <w:rFonts w:hint="cs"/>
          <w:rtl/>
        </w:rPr>
        <w:t>ה</w:t>
      </w:r>
      <w:r w:rsidR="009B772D">
        <w:rPr>
          <w:rFonts w:hint="cs"/>
          <w:rtl/>
        </w:rPr>
        <w:t xml:space="preserve"> רק </w:t>
      </w:r>
      <w:r w:rsidR="00325AF0">
        <w:rPr>
          <w:rFonts w:hint="cs"/>
          <w:rtl/>
        </w:rPr>
        <w:t>בחינה חלקית של החיים האלה.</w:t>
      </w:r>
      <w:r w:rsidR="003F74C2">
        <w:rPr>
          <w:rFonts w:hint="cs"/>
          <w:rtl/>
        </w:rPr>
        <w:t xml:space="preserve"> לכן 'חי' הוא סוג ולא מין. </w:t>
      </w:r>
      <w:r w:rsidR="00B30522">
        <w:rPr>
          <w:rFonts w:hint="cs"/>
          <w:rtl/>
        </w:rPr>
        <w:t>המין מגלה רק חלק מ</w:t>
      </w:r>
      <w:r w:rsidR="003F74C2">
        <w:rPr>
          <w:rFonts w:hint="cs"/>
          <w:rtl/>
        </w:rPr>
        <w:t xml:space="preserve">צורת </w:t>
      </w:r>
      <w:r w:rsidR="00B30522">
        <w:rPr>
          <w:rFonts w:hint="cs"/>
          <w:rtl/>
        </w:rPr>
        <w:t>הסוג</w:t>
      </w:r>
      <w:r w:rsidR="003F74C2">
        <w:rPr>
          <w:rFonts w:hint="cs"/>
          <w:rtl/>
        </w:rPr>
        <w:t xml:space="preserve"> וטבעו</w:t>
      </w:r>
      <w:r w:rsidR="002C4944">
        <w:rPr>
          <w:rFonts w:hint="cs"/>
          <w:rtl/>
        </w:rPr>
        <w:t>, כלומר הסוג 'חי' הוא רק חלק מצורת הכלב</w:t>
      </w:r>
      <w:r w:rsidR="00223A58">
        <w:rPr>
          <w:rFonts w:hint="cs"/>
          <w:rtl/>
        </w:rPr>
        <w:t xml:space="preserve">. </w:t>
      </w:r>
      <w:r w:rsidR="00F34812">
        <w:rPr>
          <w:rFonts w:hint="cs"/>
          <w:rtl/>
        </w:rPr>
        <w:t xml:space="preserve">הכלב מגלה באופן חלקי את הצורה 'חי' כי המין שהוא הכלביות שבכלב </w:t>
      </w:r>
      <w:r w:rsidR="0088204F">
        <w:rPr>
          <w:rFonts w:hint="cs"/>
          <w:rtl/>
        </w:rPr>
        <w:t>מסתיר את צורת החיים של</w:t>
      </w:r>
      <w:r w:rsidR="00223A58">
        <w:rPr>
          <w:rFonts w:hint="cs"/>
          <w:rtl/>
        </w:rPr>
        <w:t xml:space="preserve"> מינים חיים אחרים כמו</w:t>
      </w:r>
      <w:r w:rsidR="0088204F">
        <w:rPr>
          <w:rFonts w:hint="cs"/>
          <w:rtl/>
        </w:rPr>
        <w:t xml:space="preserve"> סוס או אדם, ש</w:t>
      </w:r>
      <w:r w:rsidR="00223A58">
        <w:rPr>
          <w:rFonts w:hint="cs"/>
          <w:rtl/>
        </w:rPr>
        <w:t>אינה</w:t>
      </w:r>
      <w:r w:rsidR="0088204F">
        <w:rPr>
          <w:rFonts w:hint="cs"/>
          <w:rtl/>
        </w:rPr>
        <w:t xml:space="preserve"> מתגלה בכלב. </w:t>
      </w:r>
      <w:r w:rsidR="00223A58">
        <w:rPr>
          <w:rFonts w:hint="cs"/>
          <w:rtl/>
        </w:rPr>
        <w:t>לכן כשזה נוגע לסוג ('חי') לא כל הטבע הוא בכלב אלא רק חלק ממנו, ולעומת זאת המין (</w:t>
      </w:r>
      <w:r w:rsidR="004D5E6D">
        <w:rPr>
          <w:rFonts w:hint="cs"/>
          <w:rtl/>
        </w:rPr>
        <w:t>'חי בעל צורת כלביות')</w:t>
      </w:r>
      <w:r w:rsidR="00223A58">
        <w:rPr>
          <w:rFonts w:hint="cs"/>
          <w:rtl/>
        </w:rPr>
        <w:t xml:space="preserve"> כולו בכלב</w:t>
      </w:r>
      <w:r w:rsidR="00B30522">
        <w:rPr>
          <w:rFonts w:hint="cs"/>
          <w:rtl/>
        </w:rPr>
        <w:t>.</w:t>
      </w:r>
    </w:p>
  </w:footnote>
  <w:footnote w:id="541">
    <w:p w14:paraId="665C1BFE" w14:textId="2FEC31BB" w:rsidR="00491FA9" w:rsidRDefault="00491FA9" w:rsidP="00A00749">
      <w:pPr>
        <w:pStyle w:val="FootnoteText"/>
      </w:pPr>
      <w:r>
        <w:rPr>
          <w:rStyle w:val="FootnoteReference"/>
        </w:rPr>
        <w:footnoteRef/>
      </w:r>
      <w:r>
        <w:rPr>
          <w:rtl/>
        </w:rPr>
        <w:t xml:space="preserve"> </w:t>
      </w:r>
      <w:r w:rsidR="007F7E80" w:rsidRPr="00DD0989">
        <w:rPr>
          <w:rFonts w:ascii="Arial" w:hAnsi="Arial" w:cs="Arial" w:hint="cs"/>
          <w:rtl/>
          <w:lang w:bidi="ar-SA"/>
        </w:rPr>
        <w:t>ماله</w:t>
      </w:r>
      <w:r w:rsidR="007F7E80" w:rsidRPr="00DD0989">
        <w:rPr>
          <w:rtl/>
          <w:lang w:bidi="ar-SA"/>
        </w:rPr>
        <w:t xml:space="preserve"> </w:t>
      </w:r>
      <w:r w:rsidR="007F7E80" w:rsidRPr="00DD0989">
        <w:rPr>
          <w:rFonts w:ascii="Arial" w:hAnsi="Arial" w:cs="Arial" w:hint="cs"/>
          <w:rtl/>
          <w:lang w:bidi="ar-SA"/>
        </w:rPr>
        <w:t>الطبيعة</w:t>
      </w:r>
      <w:r w:rsidR="007F7E80" w:rsidRPr="00DD0989">
        <w:rPr>
          <w:rtl/>
        </w:rPr>
        <w:t xml:space="preserve"> התרגום המילולי המדויק </w:t>
      </w:r>
      <w:r w:rsidR="00CF12FF" w:rsidRPr="00DD0989">
        <w:rPr>
          <w:rtl/>
        </w:rPr>
        <w:t xml:space="preserve">של </w:t>
      </w:r>
      <w:r w:rsidR="00CF12FF" w:rsidRPr="00DD0989">
        <w:rPr>
          <w:rFonts w:ascii="Arial" w:hAnsi="Arial" w:cs="Arial" w:hint="cs"/>
          <w:rtl/>
          <w:lang w:bidi="ar-SA"/>
        </w:rPr>
        <w:t>ماله</w:t>
      </w:r>
      <w:r w:rsidR="00CF12FF" w:rsidRPr="00DD0989">
        <w:rPr>
          <w:rtl/>
        </w:rPr>
        <w:t xml:space="preserve"> </w:t>
      </w:r>
      <w:r w:rsidR="007F7E80" w:rsidRPr="00DD0989">
        <w:rPr>
          <w:rtl/>
        </w:rPr>
        <w:t>הוא</w:t>
      </w:r>
      <w:r w:rsidR="00CF12FF" w:rsidRPr="00DD0989">
        <w:rPr>
          <w:rtl/>
        </w:rPr>
        <w:t xml:space="preserve"> ממון</w:t>
      </w:r>
      <w:r w:rsidR="00A33451" w:rsidRPr="00DD0989">
        <w:rPr>
          <w:rtl/>
        </w:rPr>
        <w:t xml:space="preserve"> או שווה כסף</w:t>
      </w:r>
      <w:r w:rsidR="00CF12FF" w:rsidRPr="00DD0989">
        <w:rPr>
          <w:rtl/>
        </w:rPr>
        <w:t>, ולפי זה הכוונה</w:t>
      </w:r>
      <w:r w:rsidR="007F7E80" w:rsidRPr="00DD0989">
        <w:rPr>
          <w:rtl/>
        </w:rPr>
        <w:t xml:space="preserve"> שהטבע הוא בעל ערך כמו ממון, ובקוראן יש שימוש במילה זו לציין את בעל הממון. </w:t>
      </w:r>
      <w:r w:rsidR="00A33451" w:rsidRPr="00DD0989">
        <w:rPr>
          <w:rtl/>
        </w:rPr>
        <w:t xml:space="preserve">תרגמתי בעקבות מקגיניס. </w:t>
      </w:r>
      <w:r w:rsidR="00D93473">
        <w:rPr>
          <w:rFonts w:hint="cs"/>
          <w:rtl/>
        </w:rPr>
        <w:t xml:space="preserve">אני מעיר על זה כי זה שייך לתגובה הבאה. </w:t>
      </w:r>
    </w:p>
  </w:footnote>
  <w:footnote w:id="542">
    <w:p w14:paraId="15A86CF5" w14:textId="77777777" w:rsidR="00EA080B" w:rsidRPr="00EA080B" w:rsidRDefault="003320C7">
      <w:pPr>
        <w:pStyle w:val="FootnoteText"/>
        <w:rPr>
          <w:rtl/>
        </w:rPr>
      </w:pPr>
      <w:r w:rsidRPr="00EA080B">
        <w:rPr>
          <w:rStyle w:val="FootnoteReference"/>
        </w:rPr>
        <w:footnoteRef/>
      </w:r>
      <w:r w:rsidRPr="00EA080B">
        <w:rPr>
          <w:rtl/>
        </w:rPr>
        <w:t xml:space="preserve"> </w:t>
      </w:r>
      <w:r w:rsidR="00AC3B7B" w:rsidRPr="00EA080B">
        <w:rPr>
          <w:rtl/>
        </w:rPr>
        <w:t xml:space="preserve">במקור </w:t>
      </w:r>
      <w:r w:rsidR="00AC3B7B" w:rsidRPr="00EA080B">
        <w:rPr>
          <w:rtl/>
          <w:lang w:bidi="ar-SA"/>
        </w:rPr>
        <w:t xml:space="preserve"> </w:t>
      </w:r>
      <w:r w:rsidR="00AC3B7B" w:rsidRPr="00EA080B">
        <w:rPr>
          <w:rFonts w:ascii="Arial" w:hAnsi="Arial" w:cs="Arial" w:hint="cs"/>
          <w:rtl/>
          <w:lang w:bidi="ar-SA"/>
        </w:rPr>
        <w:t>المتحرك</w:t>
      </w:r>
      <w:r w:rsidR="00AC3B7B" w:rsidRPr="00EA080B">
        <w:rPr>
          <w:rtl/>
          <w:lang w:bidi="ar-SA"/>
        </w:rPr>
        <w:t xml:space="preserve"> </w:t>
      </w:r>
      <w:r w:rsidR="00AC3B7B" w:rsidRPr="00EA080B">
        <w:rPr>
          <w:rFonts w:ascii="Arial" w:hAnsi="Arial" w:cs="Arial" w:hint="cs"/>
          <w:rtl/>
          <w:lang w:bidi="ar-SA"/>
        </w:rPr>
        <w:t>بطباعه</w:t>
      </w:r>
      <w:r w:rsidR="00EA080B" w:rsidRPr="00EA080B">
        <w:rPr>
          <w:rtl/>
        </w:rPr>
        <w:t>.</w:t>
      </w:r>
    </w:p>
    <w:p w14:paraId="23DBEB33" w14:textId="6BE6F095" w:rsidR="003320C7" w:rsidRDefault="00B27693">
      <w:pPr>
        <w:pStyle w:val="FootnoteText"/>
        <w:rPr>
          <w:rtl/>
        </w:rPr>
      </w:pPr>
      <w:r>
        <w:rPr>
          <w:rFonts w:hint="cs"/>
          <w:rtl/>
        </w:rPr>
        <w:t xml:space="preserve">היסודות הפשוטים, אש רוח מים ועפר, הם גופים שיש להם צורה והחומר שלהם הוא החומר הראשון. </w:t>
      </w:r>
    </w:p>
    <w:p w14:paraId="5DAFCAA7" w14:textId="77777777" w:rsidR="008350D0" w:rsidRDefault="00A72153">
      <w:pPr>
        <w:pStyle w:val="FootnoteText"/>
        <w:rPr>
          <w:rtl/>
        </w:rPr>
      </w:pPr>
      <w:r>
        <w:rPr>
          <w:rFonts w:hint="cs"/>
          <w:rtl/>
        </w:rPr>
        <w:t>אופן הצטיירות הצורה שלהם בחומר שונה מאופן ההצטיירות של הגופי</w:t>
      </w:r>
      <w:r w:rsidR="00870E33">
        <w:rPr>
          <w:rFonts w:hint="cs"/>
          <w:rtl/>
        </w:rPr>
        <w:t>ם</w:t>
      </w:r>
      <w:r>
        <w:rPr>
          <w:rFonts w:hint="cs"/>
          <w:rtl/>
        </w:rPr>
        <w:t xml:space="preserve"> האחרים שהחומר שלהם הוא תרכובת מזג ארבעת היסודות. </w:t>
      </w:r>
      <w:r w:rsidR="00870E33">
        <w:rPr>
          <w:rFonts w:hint="cs"/>
          <w:rtl/>
        </w:rPr>
        <w:t xml:space="preserve">לגופים המורכבים יש צורה שקיימת </w:t>
      </w:r>
      <w:r w:rsidR="00870E33">
        <w:rPr>
          <w:rFonts w:hint="cs"/>
          <w:rtl/>
        </w:rPr>
        <w:t xml:space="preserve">כיישות מופשטת, והיא מוטבעת בחומר שלהם כמו חותם שמוטבע בשעווה. </w:t>
      </w:r>
      <w:r w:rsidR="00EE0D87">
        <w:rPr>
          <w:rFonts w:hint="cs"/>
          <w:rtl/>
        </w:rPr>
        <w:t xml:space="preserve">כלב למשל הוא לאורך כל חייו העצם שמהותו 'כלב', בעל אותה צורה, והמהות שלו קבועה </w:t>
      </w:r>
      <w:r w:rsidR="008350D0">
        <w:rPr>
          <w:rFonts w:hint="cs"/>
          <w:rtl/>
        </w:rPr>
        <w:t xml:space="preserve">כ'עצם'. </w:t>
      </w:r>
    </w:p>
    <w:p w14:paraId="7045BD6C" w14:textId="77777777" w:rsidR="00B107D3" w:rsidRDefault="008350D0">
      <w:pPr>
        <w:pStyle w:val="FootnoteText"/>
        <w:rPr>
          <w:rtl/>
        </w:rPr>
      </w:pPr>
      <w:r>
        <w:rPr>
          <w:rFonts w:hint="cs"/>
          <w:rtl/>
        </w:rPr>
        <w:t>לעומת זאת היסודות לא יוצרים עצמים קבועים. אופן הצטיירות הצורה שלהם בחומר הוא התנועה שבחומר. ה</w:t>
      </w:r>
      <w:r w:rsidR="00B93E62">
        <w:rPr>
          <w:rFonts w:hint="cs"/>
          <w:rtl/>
        </w:rPr>
        <w:t>צ</w:t>
      </w:r>
      <w:r>
        <w:rPr>
          <w:rFonts w:hint="cs"/>
          <w:rtl/>
        </w:rPr>
        <w:t>ורה שלהם היא תנועה</w:t>
      </w:r>
      <w:r w:rsidR="00B93E62">
        <w:rPr>
          <w:rFonts w:hint="cs"/>
          <w:rtl/>
        </w:rPr>
        <w:t xml:space="preserve"> מופשטת בלבד</w:t>
      </w:r>
      <w:r w:rsidR="00EE0D87">
        <w:rPr>
          <w:rFonts w:hint="cs"/>
          <w:rtl/>
        </w:rPr>
        <w:t>.</w:t>
      </w:r>
      <w:r w:rsidR="00B93E62">
        <w:rPr>
          <w:rFonts w:hint="cs"/>
          <w:rtl/>
        </w:rPr>
        <w:t xml:space="preserve"> למשל קול הוא תנועת אוויר בגלים, אבל חום או אור הוא תנועה שעוברת בחלל הריק מהשמש או מקור אור כלשהו, </w:t>
      </w:r>
      <w:r w:rsidR="00E447E5">
        <w:rPr>
          <w:rFonts w:hint="cs"/>
          <w:rtl/>
        </w:rPr>
        <w:t xml:space="preserve">אל מה שקולט את התנועה. לפני שהתנועה של אור או חום נקלטת, ואחרי שהיא עזבה את מקור האור, בזמן שגלי האור נמצאים בחלל הריק שביננו לשמש, אפשר לשאול </w:t>
      </w:r>
      <w:r w:rsidR="00733A3C">
        <w:rPr>
          <w:rFonts w:hint="cs"/>
          <w:rtl/>
        </w:rPr>
        <w:t xml:space="preserve">מה נע עכשיו? התשובה היא ששום דבר לא נע. זו תנועה מופשטת בלי שיש משהו שהוא זה שנע. </w:t>
      </w:r>
      <w:r w:rsidR="00B107D3">
        <w:rPr>
          <w:rFonts w:hint="cs"/>
          <w:rtl/>
        </w:rPr>
        <w:t xml:space="preserve">רק תנועה ערטילאית כשלעצמה. </w:t>
      </w:r>
    </w:p>
    <w:p w14:paraId="758B778A" w14:textId="55813E74" w:rsidR="002A2EC2" w:rsidRDefault="00B107D3">
      <w:pPr>
        <w:pStyle w:val="FootnoteText"/>
        <w:rPr>
          <w:rtl/>
        </w:rPr>
      </w:pPr>
      <w:r>
        <w:rPr>
          <w:rFonts w:hint="cs"/>
          <w:rtl/>
        </w:rPr>
        <w:t xml:space="preserve">אם מבקשים לעמוד על הצורה של גל בים, הגל הוא רק תנועה של מים ותו לא. </w:t>
      </w:r>
      <w:r w:rsidR="00EB63AE">
        <w:rPr>
          <w:rFonts w:hint="cs"/>
          <w:rtl/>
        </w:rPr>
        <w:t>אין עצם שהוא הגל, אלא רק מים שנעים או עומדים. עוד משל לזה הוא השתקפות הצורות בראי. אם אדם רואה את עצמו בראי, הבבואה שלו בראי היא צורה שמצטיירת בחומר של הראי, הזכוכית. אבל האדם שמשת</w:t>
      </w:r>
      <w:r w:rsidR="00E52CD5">
        <w:rPr>
          <w:rFonts w:hint="cs"/>
          <w:rtl/>
        </w:rPr>
        <w:t>ק</w:t>
      </w:r>
      <w:r w:rsidR="00EB63AE">
        <w:rPr>
          <w:rFonts w:hint="cs"/>
          <w:rtl/>
        </w:rPr>
        <w:t xml:space="preserve">ף בראי, בבואת האדם, היא לא </w:t>
      </w:r>
      <w:r w:rsidR="00E52CD5">
        <w:rPr>
          <w:rFonts w:hint="cs"/>
          <w:rtl/>
        </w:rPr>
        <w:t>'</w:t>
      </w:r>
      <w:r w:rsidR="00EB63AE">
        <w:rPr>
          <w:rFonts w:hint="cs"/>
          <w:rtl/>
        </w:rPr>
        <w:t>עצם</w:t>
      </w:r>
      <w:r w:rsidR="00E52CD5">
        <w:rPr>
          <w:rFonts w:hint="cs"/>
          <w:rtl/>
        </w:rPr>
        <w:t>'</w:t>
      </w:r>
      <w:r w:rsidR="00EB63AE">
        <w:rPr>
          <w:rFonts w:hint="cs"/>
          <w:rtl/>
        </w:rPr>
        <w:t xml:space="preserve"> באותו מובן שהאדם </w:t>
      </w:r>
      <w:r w:rsidR="00E52CD5">
        <w:rPr>
          <w:rFonts w:hint="cs"/>
          <w:rtl/>
        </w:rPr>
        <w:t xml:space="preserve">המסתכל הוא בעצמו עצם. האדם המסתכל הוא חומר, בשר, שטבועה בו צורת אדם. ההטבעה הזו אינה דומה להטבעת צורת אדם בזכוכית שבראי. </w:t>
      </w:r>
      <w:r w:rsidR="001B2891">
        <w:rPr>
          <w:rFonts w:hint="cs"/>
          <w:rtl/>
        </w:rPr>
        <w:t xml:space="preserve">הבבואה דומה לגלי הים בכך שהיא רק תנועת השתקפויות והחזרת אור על פני הראי, על פני הזכוכית, כמו שהגלים הם תנועות על פני המים. הבבואה נמצאת רק כתנועת השתקפויות ותו לא, הגל קיים רק כתנועת המים. </w:t>
      </w:r>
      <w:r w:rsidR="00C16CA5">
        <w:rPr>
          <w:rFonts w:hint="cs"/>
          <w:rtl/>
        </w:rPr>
        <w:t xml:space="preserve">כך </w:t>
      </w:r>
      <w:r w:rsidR="00C54D48">
        <w:rPr>
          <w:rFonts w:hint="cs"/>
          <w:rtl/>
        </w:rPr>
        <w:t xml:space="preserve">הצורה של ארבעת היסודות </w:t>
      </w:r>
      <w:r w:rsidR="002A2EC2">
        <w:rPr>
          <w:rFonts w:hint="cs"/>
          <w:rtl/>
        </w:rPr>
        <w:t xml:space="preserve">בחומר הראשון </w:t>
      </w:r>
      <w:r w:rsidR="00C54D48">
        <w:rPr>
          <w:rFonts w:hint="cs"/>
          <w:rtl/>
        </w:rPr>
        <w:t xml:space="preserve">במהותה היא רק תנועה ולא שום דבר אחר. </w:t>
      </w:r>
      <w:r w:rsidR="002A2EC2">
        <w:rPr>
          <w:rFonts w:hint="cs"/>
          <w:rtl/>
        </w:rPr>
        <w:t xml:space="preserve">עיין עוד בזה בעיונים בפילוסופיה אריסטוטלית רשימה 35 במאמר התנועה יסוד </w:t>
      </w:r>
      <w:r w:rsidR="009C463A">
        <w:rPr>
          <w:rFonts w:hint="cs"/>
          <w:rtl/>
        </w:rPr>
        <w:t>ההוויה</w:t>
      </w:r>
      <w:r w:rsidR="002A2EC2">
        <w:rPr>
          <w:rFonts w:hint="cs"/>
          <w:rtl/>
        </w:rPr>
        <w:t>.</w:t>
      </w:r>
    </w:p>
    <w:p w14:paraId="4C98514B" w14:textId="36C917E5" w:rsidR="00172C76" w:rsidRDefault="005B0AF3">
      <w:pPr>
        <w:pStyle w:val="FootnoteText"/>
        <w:rPr>
          <w:rtl/>
        </w:rPr>
      </w:pPr>
      <w:r>
        <w:rPr>
          <w:rFonts w:hint="cs"/>
          <w:rtl/>
        </w:rPr>
        <w:t>מה שהטבע</w:t>
      </w:r>
      <w:r w:rsidR="00F15DF6">
        <w:rPr>
          <w:rtl/>
        </w:rPr>
        <w:fldChar w:fldCharType="begin"/>
      </w:r>
      <w:r w:rsidR="00F15DF6">
        <w:instrText xml:space="preserve"> XE "</w:instrText>
      </w:r>
      <w:r w:rsidR="00F15DF6" w:rsidRPr="00BE0F70">
        <w:rPr>
          <w:rFonts w:hint="cs"/>
          <w:rtl/>
        </w:rPr>
        <w:instrText>טבע - הוא התנועה, שהיא המוזיקה</w:instrText>
      </w:r>
      <w:r w:rsidR="00F15DF6">
        <w:instrText xml:space="preserve">" </w:instrText>
      </w:r>
      <w:r w:rsidR="00F15DF6">
        <w:rPr>
          <w:rtl/>
        </w:rPr>
        <w:fldChar w:fldCharType="end"/>
      </w:r>
      <w:r>
        <w:rPr>
          <w:rFonts w:hint="cs"/>
          <w:rtl/>
        </w:rPr>
        <w:t xml:space="preserve"> הוגדר על ידי אריסטו כ</w:t>
      </w:r>
      <w:r w:rsidR="0039522A">
        <w:rPr>
          <w:rFonts w:hint="cs"/>
          <w:rtl/>
        </w:rPr>
        <w:t>'</w:t>
      </w:r>
      <w:r>
        <w:rPr>
          <w:rFonts w:hint="cs"/>
          <w:rtl/>
        </w:rPr>
        <w:t>התחלת תנועה ומנוחה</w:t>
      </w:r>
      <w:r w:rsidR="0039522A">
        <w:rPr>
          <w:rFonts w:hint="cs"/>
          <w:rtl/>
        </w:rPr>
        <w:t>'</w:t>
      </w:r>
      <w:r>
        <w:rPr>
          <w:rFonts w:hint="cs"/>
          <w:rtl/>
        </w:rPr>
        <w:t xml:space="preserve">, וכמו שלמדנו לעיל בפרק ה', </w:t>
      </w:r>
      <w:r w:rsidR="005077BD">
        <w:rPr>
          <w:rFonts w:hint="cs"/>
          <w:rtl/>
        </w:rPr>
        <w:t>שורשו הוא בכך שהשתלשלות הצורות אל העולם החומרי (ההשתלשלות הזו בפני עצמה היא מה שנקרא 'טבע') מתחילה כתנועה</w:t>
      </w:r>
      <w:r w:rsidR="0039522A">
        <w:rPr>
          <w:rFonts w:hint="cs"/>
          <w:rtl/>
        </w:rPr>
        <w:t xml:space="preserve"> בלבד, </w:t>
      </w:r>
      <w:r w:rsidR="00573826">
        <w:rPr>
          <w:rFonts w:hint="cs"/>
          <w:rtl/>
        </w:rPr>
        <w:t>התנועה היא</w:t>
      </w:r>
      <w:r w:rsidR="0039522A">
        <w:rPr>
          <w:rFonts w:hint="cs"/>
          <w:rtl/>
        </w:rPr>
        <w:t xml:space="preserve"> התחלת המהות של העצמים הטבעיים. ושורש זה הוא הטבע</w:t>
      </w:r>
      <w:r w:rsidR="002F28B2">
        <w:rPr>
          <w:rFonts w:hint="cs"/>
          <w:rtl/>
        </w:rPr>
        <w:t>,</w:t>
      </w:r>
      <w:r w:rsidR="0039522A">
        <w:rPr>
          <w:rFonts w:hint="cs"/>
          <w:rtl/>
        </w:rPr>
        <w:t xml:space="preserve"> ש</w:t>
      </w:r>
      <w:r w:rsidR="002F28B2">
        <w:rPr>
          <w:rFonts w:hint="cs"/>
          <w:rtl/>
        </w:rPr>
        <w:t>בנקודה הכי מהותית והתחלתית של</w:t>
      </w:r>
      <w:r w:rsidR="00686A75">
        <w:rPr>
          <w:rFonts w:hint="cs"/>
          <w:rtl/>
        </w:rPr>
        <w:t xml:space="preserve"> כל העצמים המורכבים,</w:t>
      </w:r>
      <w:r w:rsidR="002F28B2">
        <w:rPr>
          <w:rFonts w:hint="cs"/>
          <w:rtl/>
        </w:rPr>
        <w:t xml:space="preserve"> גם אחרי שהם עצמים קבועים עם טבע קבוע</w:t>
      </w:r>
      <w:r w:rsidR="00686A75">
        <w:rPr>
          <w:rFonts w:hint="cs"/>
          <w:rtl/>
        </w:rPr>
        <w:t>,</w:t>
      </w:r>
      <w:r w:rsidR="002F28B2">
        <w:rPr>
          <w:rFonts w:hint="cs"/>
          <w:rtl/>
        </w:rPr>
        <w:t xml:space="preserve"> הוא ב</w:t>
      </w:r>
      <w:r w:rsidR="00686A75">
        <w:rPr>
          <w:rFonts w:hint="cs"/>
          <w:rtl/>
        </w:rPr>
        <w:t xml:space="preserve">התחלת </w:t>
      </w:r>
      <w:r w:rsidR="002F28B2">
        <w:rPr>
          <w:rFonts w:hint="cs"/>
          <w:rtl/>
        </w:rPr>
        <w:t>מהותו תנועה ו</w:t>
      </w:r>
      <w:r w:rsidR="00573826">
        <w:rPr>
          <w:rFonts w:hint="cs"/>
          <w:rtl/>
        </w:rPr>
        <w:t>תו לא</w:t>
      </w:r>
      <w:r w:rsidR="002F28B2">
        <w:rPr>
          <w:rFonts w:hint="cs"/>
          <w:rtl/>
        </w:rPr>
        <w:t xml:space="preserve">. </w:t>
      </w:r>
    </w:p>
    <w:p w14:paraId="04C7CB3A" w14:textId="70A5063D" w:rsidR="00A34763" w:rsidRDefault="00172C76">
      <w:pPr>
        <w:pStyle w:val="FootnoteText"/>
        <w:rPr>
          <w:rtl/>
        </w:rPr>
      </w:pPr>
      <w:r>
        <w:rPr>
          <w:rFonts w:hint="cs"/>
          <w:rtl/>
        </w:rPr>
        <w:t>למשל אם אנו רוצים לעמוד על הטבע של חתול כמובחן מטבע של כלב, מה יש בחתוליות שהוא במהותו שונה מהכלביות, יש להסתכל על התנועה. האופן שבו החתול נע, שפת הגוף, הקצב, המנגינה</w:t>
      </w:r>
      <w:r w:rsidR="00E46DD0">
        <w:rPr>
          <w:rFonts w:hint="cs"/>
          <w:rtl/>
        </w:rPr>
        <w:t>, של התנועה שלו</w:t>
      </w:r>
      <w:r>
        <w:rPr>
          <w:rFonts w:hint="cs"/>
          <w:rtl/>
        </w:rPr>
        <w:t xml:space="preserve">. </w:t>
      </w:r>
      <w:r w:rsidR="00E46DD0">
        <w:rPr>
          <w:rFonts w:hint="cs"/>
          <w:rtl/>
        </w:rPr>
        <w:t>התנועה שלו במבט שמפשיט אותה מכל שאר האיכויות, המאפיינים והטבעים של החתול, היא ההתחלה של הטבע החתולי</w:t>
      </w:r>
      <w:r w:rsidR="00480E9D">
        <w:rPr>
          <w:rFonts w:hint="cs"/>
          <w:rtl/>
        </w:rPr>
        <w:t>, וכל שאר הבחינות נגזרות מהתנועה</w:t>
      </w:r>
      <w:r w:rsidR="00E46DD0">
        <w:rPr>
          <w:rFonts w:hint="cs"/>
          <w:rtl/>
        </w:rPr>
        <w:t xml:space="preserve">. </w:t>
      </w:r>
      <w:r w:rsidR="00480E9D">
        <w:rPr>
          <w:rFonts w:hint="cs"/>
          <w:rtl/>
        </w:rPr>
        <w:t xml:space="preserve">זה הכח המיוחד של מוזיקה, </w:t>
      </w:r>
      <w:r w:rsidR="00F4762E">
        <w:rPr>
          <w:rFonts w:hint="cs"/>
          <w:rtl/>
        </w:rPr>
        <w:t xml:space="preserve">שהיא מתבוננת </w:t>
      </w:r>
      <w:r w:rsidR="00743B74">
        <w:rPr>
          <w:rFonts w:hint="cs"/>
          <w:rtl/>
        </w:rPr>
        <w:t>ב</w:t>
      </w:r>
      <w:r w:rsidR="00F4762E">
        <w:rPr>
          <w:rFonts w:hint="cs"/>
          <w:rtl/>
        </w:rPr>
        <w:t xml:space="preserve">תנועה, בקצב ובמנגינה, באופן שמפשיט אותה מהמאפיינים, מהנוקשות של הטבעת הצורה בחומר באופן </w:t>
      </w:r>
      <w:r w:rsidR="00743B74">
        <w:rPr>
          <w:rFonts w:hint="cs"/>
          <w:rtl/>
        </w:rPr>
        <w:t>מקובע. יש מוזיקה</w:t>
      </w:r>
      <w:r w:rsidR="00193990">
        <w:rPr>
          <w:rFonts w:hint="cs"/>
          <w:rtl/>
        </w:rPr>
        <w:t xml:space="preserve"> </w:t>
      </w:r>
      <w:r w:rsidR="00743B74">
        <w:rPr>
          <w:rFonts w:hint="cs"/>
          <w:rtl/>
        </w:rPr>
        <w:t xml:space="preserve">מופשטת לגמרי, ויש מוזיקה </w:t>
      </w:r>
      <w:r w:rsidR="00193990">
        <w:rPr>
          <w:rFonts w:hint="cs"/>
          <w:rtl/>
        </w:rPr>
        <w:t xml:space="preserve">במדרגה פחות מופשטת </w:t>
      </w:r>
      <w:r w:rsidR="00743B74">
        <w:rPr>
          <w:rFonts w:hint="cs"/>
          <w:rtl/>
        </w:rPr>
        <w:t xml:space="preserve">שמתארת </w:t>
      </w:r>
      <w:r w:rsidR="00825644">
        <w:rPr>
          <w:rFonts w:hint="cs"/>
          <w:rtl/>
        </w:rPr>
        <w:t xml:space="preserve">משהו, </w:t>
      </w:r>
      <w:r w:rsidR="00743B74">
        <w:rPr>
          <w:rFonts w:hint="cs"/>
          <w:rtl/>
        </w:rPr>
        <w:t>למשל נחל</w:t>
      </w:r>
      <w:r w:rsidR="00193990">
        <w:rPr>
          <w:rFonts w:hint="cs"/>
          <w:rtl/>
        </w:rPr>
        <w:t xml:space="preserve">. התיאור המוזיקלי של נחל לא מעביר את הצבע שלו או הקרירות שלו או הטעם של המים וכל כיו"ב. אלא רק מתאר את </w:t>
      </w:r>
      <w:r w:rsidR="00AA12CD">
        <w:rPr>
          <w:rFonts w:hint="cs"/>
          <w:rtl/>
        </w:rPr>
        <w:t>תנועת זרימת המים. מי שמאזין שומע רק תנועה של צלילים, ויכול לזהות שזה מתאר נחל, כי זו "שפת הגוף" של הנחל, המוזיקה שלו, שהיא התנועה שלו</w:t>
      </w:r>
      <w:r w:rsidR="009A5FE2">
        <w:rPr>
          <w:rFonts w:hint="cs"/>
          <w:rtl/>
        </w:rPr>
        <w:t>, והיא ייחודית לו ומעבירה את המהות שלו, עד כדי שאפשר גם להרגיש את קרירות המים ושקיפותם, כי אלה נולדים מטבע התנועה</w:t>
      </w:r>
      <w:r w:rsidR="002E24FF">
        <w:rPr>
          <w:rFonts w:hint="cs"/>
          <w:rtl/>
        </w:rPr>
        <w:t xml:space="preserve"> (גם ציור למשל התחלת ההתבוננות בו היא בתנועה, </w:t>
      </w:r>
      <w:r w:rsidR="00204394">
        <w:rPr>
          <w:rFonts w:hint="cs"/>
          <w:rtl/>
        </w:rPr>
        <w:t>תנועת היד, משיחת המכחול, מבנה הקווים. בקומפוזיציה טהורה, כמו למשל באדריכלות, מי שיודע להתבונן רואה את התנועה, המוזיקה, כערך האמנותי הראשוני. וגם בציור פיג</w:t>
      </w:r>
      <w:r w:rsidR="00DA600D">
        <w:rPr>
          <w:rFonts w:hint="cs"/>
          <w:rtl/>
        </w:rPr>
        <w:t>ו</w:t>
      </w:r>
      <w:r w:rsidR="00204394">
        <w:rPr>
          <w:rFonts w:hint="cs"/>
          <w:rtl/>
        </w:rPr>
        <w:t>רטיבי</w:t>
      </w:r>
      <w:r w:rsidR="00A354C4">
        <w:rPr>
          <w:rFonts w:hint="cs"/>
          <w:rtl/>
        </w:rPr>
        <w:t xml:space="preserve"> זה כך.</w:t>
      </w:r>
      <w:r w:rsidR="00204394">
        <w:rPr>
          <w:rFonts w:hint="cs"/>
          <w:rtl/>
        </w:rPr>
        <w:t xml:space="preserve"> יש צייר שאמר ש</w:t>
      </w:r>
      <w:r w:rsidR="00A354C4">
        <w:rPr>
          <w:rFonts w:hint="cs"/>
          <w:rtl/>
        </w:rPr>
        <w:t>בתערוכת ציורים הוא רוקד מול הציורים,</w:t>
      </w:r>
      <w:r w:rsidR="00204394">
        <w:rPr>
          <w:rFonts w:hint="cs"/>
          <w:rtl/>
        </w:rPr>
        <w:t xml:space="preserve"> מהמוזיקה שיש בעיצוב</w:t>
      </w:r>
      <w:r w:rsidR="00A354C4">
        <w:rPr>
          <w:rFonts w:hint="cs"/>
          <w:rtl/>
        </w:rPr>
        <w:t xml:space="preserve"> שלהם</w:t>
      </w:r>
      <w:r w:rsidR="00204394">
        <w:rPr>
          <w:rFonts w:hint="cs"/>
          <w:rtl/>
        </w:rPr>
        <w:t xml:space="preserve">, במבנה הקווים, וכיו"ב. </w:t>
      </w:r>
      <w:r w:rsidR="001C0E73">
        <w:rPr>
          <w:rFonts w:hint="cs"/>
          <w:rtl/>
        </w:rPr>
        <w:t>יש יצירות שזה בולט בהן</w:t>
      </w:r>
      <w:r w:rsidR="00EA2CD9">
        <w:t xml:space="preserve"> </w:t>
      </w:r>
      <w:r w:rsidR="00EA2CD9">
        <w:rPr>
          <w:rFonts w:hint="cs"/>
          <w:rtl/>
        </w:rPr>
        <w:t>במיוחד</w:t>
      </w:r>
      <w:r w:rsidR="001C0E73">
        <w:rPr>
          <w:rFonts w:hint="cs"/>
          <w:rtl/>
        </w:rPr>
        <w:t xml:space="preserve">, כמו למשל </w:t>
      </w:r>
      <w:hyperlink r:id="rId119" w:history="1">
        <w:r w:rsidR="00F9239C" w:rsidRPr="00002DAA">
          <w:rPr>
            <w:rStyle w:val="Hyperlink"/>
          </w:rPr>
          <w:t>Broadway Boogie-Woogie</w:t>
        </w:r>
      </w:hyperlink>
      <w:r w:rsidR="00F9239C">
        <w:rPr>
          <w:rFonts w:hint="cs"/>
          <w:rtl/>
        </w:rPr>
        <w:t xml:space="preserve"> מאת מונדריאן, שה</w:t>
      </w:r>
      <w:r w:rsidR="00002DAA">
        <w:rPr>
          <w:rFonts w:hint="cs"/>
          <w:rtl/>
        </w:rPr>
        <w:t>ו</w:t>
      </w:r>
      <w:r w:rsidR="00F9239C">
        <w:rPr>
          <w:rFonts w:hint="cs"/>
          <w:rtl/>
        </w:rPr>
        <w:t xml:space="preserve">א </w:t>
      </w:r>
      <w:r w:rsidR="00002DAA">
        <w:rPr>
          <w:rFonts w:hint="cs"/>
          <w:rtl/>
        </w:rPr>
        <w:t>ציור שיש בו</w:t>
      </w:r>
      <w:r w:rsidR="00F9239C">
        <w:rPr>
          <w:rFonts w:hint="cs"/>
          <w:rtl/>
        </w:rPr>
        <w:t xml:space="preserve"> חוויה של האזנה לג'אז, ואפשר אפילו לדעת מהתבוננות בציור אילו כלים ניגנו ואיזה סגנון </w:t>
      </w:r>
      <w:r w:rsidR="009C463A">
        <w:rPr>
          <w:rFonts w:hint="cs"/>
          <w:rtl/>
        </w:rPr>
        <w:t>מסוים</w:t>
      </w:r>
      <w:r w:rsidR="00F9239C">
        <w:rPr>
          <w:rFonts w:hint="cs"/>
          <w:rtl/>
        </w:rPr>
        <w:t xml:space="preserve"> של ג'אז יש כאן</w:t>
      </w:r>
      <w:r w:rsidR="00002DAA">
        <w:rPr>
          <w:rFonts w:hint="cs"/>
          <w:rtl/>
        </w:rPr>
        <w:t xml:space="preserve"> ומה הקצב המדויק שלו</w:t>
      </w:r>
      <w:r w:rsidR="00F9239C">
        <w:rPr>
          <w:rFonts w:hint="cs"/>
          <w:rtl/>
        </w:rPr>
        <w:t>.</w:t>
      </w:r>
    </w:p>
    <w:p w14:paraId="2CD0703F" w14:textId="56887CCA" w:rsidR="00B66ACD" w:rsidRDefault="002439B6">
      <w:pPr>
        <w:pStyle w:val="FootnoteText"/>
        <w:rPr>
          <w:rtl/>
        </w:rPr>
      </w:pPr>
      <w:r>
        <w:rPr>
          <w:rFonts w:hint="cs"/>
          <w:rtl/>
        </w:rPr>
        <w:t xml:space="preserve">הגופים הפשוטים, היסודות, הם </w:t>
      </w:r>
      <w:r w:rsidR="00746443">
        <w:rPr>
          <w:rFonts w:hint="cs"/>
          <w:rtl/>
        </w:rPr>
        <w:t>'</w:t>
      </w:r>
      <w:r>
        <w:rPr>
          <w:rFonts w:hint="cs"/>
          <w:rtl/>
        </w:rPr>
        <w:t>בעלי הטבע</w:t>
      </w:r>
      <w:r w:rsidR="00746443">
        <w:rPr>
          <w:rFonts w:hint="cs"/>
          <w:rtl/>
        </w:rPr>
        <w:t>'</w:t>
      </w:r>
      <w:r>
        <w:rPr>
          <w:rFonts w:hint="cs"/>
          <w:rtl/>
        </w:rPr>
        <w:t xml:space="preserve"> כי אצלם </w:t>
      </w:r>
      <w:r w:rsidR="00AB0CA5">
        <w:rPr>
          <w:rFonts w:hint="cs"/>
          <w:rtl/>
        </w:rPr>
        <w:t xml:space="preserve">התחלת התנועה </w:t>
      </w:r>
      <w:r w:rsidR="00746443">
        <w:rPr>
          <w:rFonts w:hint="cs"/>
          <w:rtl/>
        </w:rPr>
        <w:t>(ש</w:t>
      </w:r>
      <w:r w:rsidR="00AB0CA5">
        <w:rPr>
          <w:rFonts w:hint="cs"/>
          <w:rtl/>
        </w:rPr>
        <w:t>היא הגדרת 'טבע'</w:t>
      </w:r>
      <w:r w:rsidR="00746443">
        <w:rPr>
          <w:rFonts w:hint="cs"/>
          <w:rtl/>
        </w:rPr>
        <w:t>)</w:t>
      </w:r>
      <w:r w:rsidR="00AB0CA5">
        <w:rPr>
          <w:rFonts w:hint="cs"/>
          <w:rtl/>
        </w:rPr>
        <w:t xml:space="preserve">, </w:t>
      </w:r>
      <w:r w:rsidR="00746443">
        <w:rPr>
          <w:rFonts w:hint="cs"/>
          <w:rtl/>
        </w:rPr>
        <w:t>היא לא רק משהו שנמצא בהם אלא הוא כל עניינם.</w:t>
      </w:r>
      <w:r w:rsidR="00A30C41">
        <w:rPr>
          <w:rFonts w:hint="cs"/>
          <w:rtl/>
        </w:rPr>
        <w:t xml:space="preserve"> מה שכתב שהתנועה היא הדפוס שלהם, הכוונה </w:t>
      </w:r>
      <w:r w:rsidR="00B8166E">
        <w:rPr>
          <w:rFonts w:hint="cs"/>
          <w:rtl/>
        </w:rPr>
        <w:t xml:space="preserve">שאותה הטבעה שהיא הדפוס של העצמים המורכבים, </w:t>
      </w:r>
      <w:r w:rsidR="000F40A8">
        <w:rPr>
          <w:rFonts w:hint="cs"/>
          <w:rtl/>
        </w:rPr>
        <w:t xml:space="preserve">וכמו שמטביעים צורה במטבע, </w:t>
      </w:r>
      <w:r w:rsidR="000C5211">
        <w:rPr>
          <w:rFonts w:hint="cs"/>
          <w:rtl/>
        </w:rPr>
        <w:t>ש</w:t>
      </w:r>
      <w:r w:rsidR="00B8166E">
        <w:rPr>
          <w:rFonts w:hint="cs"/>
          <w:rtl/>
        </w:rPr>
        <w:t xml:space="preserve">היא ציור קבוע שלא נראה כתנועה בלבד, </w:t>
      </w:r>
      <w:r w:rsidR="00FA2649">
        <w:rPr>
          <w:rFonts w:hint="cs"/>
          <w:rtl/>
        </w:rPr>
        <w:t>אצל הגופים הפשוטים ההטבעה הזו</w:t>
      </w:r>
      <w:r w:rsidR="000C5211">
        <w:rPr>
          <w:rFonts w:hint="cs"/>
          <w:rtl/>
        </w:rPr>
        <w:t>, הדפוס,</w:t>
      </w:r>
      <w:r w:rsidR="00FA2649">
        <w:rPr>
          <w:rFonts w:hint="cs"/>
          <w:rtl/>
        </w:rPr>
        <w:t xml:space="preserve"> </w:t>
      </w:r>
      <w:r w:rsidR="00E3568D">
        <w:rPr>
          <w:rFonts w:hint="cs"/>
          <w:rtl/>
        </w:rPr>
        <w:t>זוהי</w:t>
      </w:r>
      <w:r w:rsidR="00FA2649">
        <w:rPr>
          <w:rFonts w:hint="cs"/>
          <w:rtl/>
        </w:rPr>
        <w:t xml:space="preserve"> התנועה כשלעצמה</w:t>
      </w:r>
      <w:r w:rsidR="00E3568D">
        <w:rPr>
          <w:rFonts w:hint="cs"/>
          <w:rtl/>
        </w:rPr>
        <w:t>, ואין דפוס אחר אלא היא כל הדפוס שיש בעצמים הפשוטים</w:t>
      </w:r>
      <w:r w:rsidR="00FA2649">
        <w:rPr>
          <w:rFonts w:hint="cs"/>
          <w:rtl/>
        </w:rPr>
        <w:t>.</w:t>
      </w:r>
      <w:r w:rsidR="00973674">
        <w:rPr>
          <w:rFonts w:hint="cs"/>
          <w:rtl/>
        </w:rPr>
        <w:t xml:space="preserve"> וגם בעצמים מורכבים אפשר להתבונן בהם במבט כזה, שהרי מאחרי המזג שלהם עומדים היסודות הפשוטים, </w:t>
      </w:r>
      <w:r w:rsidR="00C457FA">
        <w:rPr>
          <w:rFonts w:hint="cs"/>
          <w:rtl/>
        </w:rPr>
        <w:t xml:space="preserve">וההטבעה היא רק כמו התעבות של הצורה המופשטת שהיא התנועה כשלעצמה. </w:t>
      </w:r>
      <w:r w:rsidR="00B66ACD">
        <w:rPr>
          <w:rFonts w:hint="cs"/>
          <w:rtl/>
        </w:rPr>
        <w:t>לכן התיאור כ'בעל טבע' לא מיוחד רק לעצמים הפשוטים.</w:t>
      </w:r>
    </w:p>
    <w:p w14:paraId="6B6E7FF3" w14:textId="3301ECC9" w:rsidR="00A72153" w:rsidRDefault="00B66ACD">
      <w:pPr>
        <w:pStyle w:val="FootnoteText"/>
      </w:pPr>
      <w:r>
        <w:rPr>
          <w:rFonts w:hint="cs"/>
          <w:rtl/>
        </w:rPr>
        <w:t>מה שכתב שבעצמים שהם בעלי טבע יש "משל" של התחלת התנועה ולא את התחלת התנועה עצמה, כי התחלת התנועה עצמה אלה החיים שמיוחסים לאל עצמו,</w:t>
      </w:r>
      <w:r w:rsidR="00C15FFB">
        <w:rPr>
          <w:rFonts w:hint="cs"/>
          <w:rtl/>
        </w:rPr>
        <w:t xml:space="preserve"> עיין מורה נבוכים א'</w:t>
      </w:r>
      <w:r w:rsidR="00601A53">
        <w:rPr>
          <w:rFonts w:hint="cs"/>
          <w:rtl/>
        </w:rPr>
        <w:t xml:space="preserve"> נ"ג, נ"ח ועוד, וכבר הארכתי בזה הרבה בכמה מקומות</w:t>
      </w:r>
      <w:r w:rsidR="008E2DD7">
        <w:rPr>
          <w:rFonts w:hint="cs"/>
          <w:rtl/>
        </w:rPr>
        <w:t xml:space="preserve">, לבאר מהו עניין </w:t>
      </w:r>
      <w:r w:rsidR="00527EFA">
        <w:rPr>
          <w:rFonts w:hint="cs"/>
          <w:rtl/>
        </w:rPr>
        <w:t>'חיים' שמיוחס לאלוה</w:t>
      </w:r>
      <w:r w:rsidR="00601A53">
        <w:rPr>
          <w:rFonts w:hint="cs"/>
          <w:rtl/>
        </w:rPr>
        <w:t xml:space="preserve">. </w:t>
      </w:r>
      <w:r w:rsidR="00FF0298">
        <w:rPr>
          <w:rFonts w:hint="cs"/>
          <w:rtl/>
        </w:rPr>
        <w:t>החיים נאמרים על האל, לא כתואר אלא כמו שם נרדף. כמו שלומ</w:t>
      </w:r>
      <w:r w:rsidR="00D34D0B">
        <w:rPr>
          <w:rFonts w:hint="cs"/>
          <w:rtl/>
        </w:rPr>
        <w:t>ר</w:t>
      </w:r>
      <w:r w:rsidR="00FF0298">
        <w:rPr>
          <w:rFonts w:hint="cs"/>
          <w:rtl/>
        </w:rPr>
        <w:t xml:space="preserve"> על מים שהם חמים זה</w:t>
      </w:r>
      <w:r w:rsidR="00D34D0B">
        <w:rPr>
          <w:rFonts w:hint="cs"/>
          <w:rtl/>
        </w:rPr>
        <w:t xml:space="preserve"> </w:t>
      </w:r>
      <w:r w:rsidR="00FF0298">
        <w:rPr>
          <w:rFonts w:hint="cs"/>
          <w:rtl/>
        </w:rPr>
        <w:t>תואר</w:t>
      </w:r>
      <w:r w:rsidR="00D34D0B">
        <w:rPr>
          <w:rFonts w:hint="cs"/>
          <w:rtl/>
        </w:rPr>
        <w:t xml:space="preserve"> חיצוני להם</w:t>
      </w:r>
      <w:r w:rsidR="00FF0298">
        <w:rPr>
          <w:rFonts w:hint="cs"/>
          <w:rtl/>
        </w:rPr>
        <w:t>, אבל לומר עליהם שהם לחים זה שם נרדף</w:t>
      </w:r>
      <w:r w:rsidR="00D34D0B">
        <w:rPr>
          <w:rFonts w:hint="cs"/>
          <w:rtl/>
        </w:rPr>
        <w:t xml:space="preserve"> והוא אחד איתם ולא משהו שונה שמתאר אותם</w:t>
      </w:r>
      <w:r w:rsidR="00FF0298">
        <w:rPr>
          <w:rFonts w:hint="cs"/>
          <w:rtl/>
        </w:rPr>
        <w:t xml:space="preserve">. </w:t>
      </w:r>
      <w:r w:rsidR="00D34D0B">
        <w:rPr>
          <w:rFonts w:hint="cs"/>
          <w:rtl/>
        </w:rPr>
        <w:t>החיים במובן שהם שם נרדף לאל</w:t>
      </w:r>
      <w:r w:rsidR="008E2DD7">
        <w:rPr>
          <w:rFonts w:hint="cs"/>
          <w:rtl/>
        </w:rPr>
        <w:t>וה</w:t>
      </w:r>
      <w:r w:rsidR="00D34D0B">
        <w:rPr>
          <w:rFonts w:hint="cs"/>
          <w:rtl/>
        </w:rPr>
        <w:t xml:space="preserve"> הם התחלת התנועה בעצמה.</w:t>
      </w:r>
      <w:r w:rsidR="001B772F">
        <w:rPr>
          <w:rFonts w:hint="cs"/>
          <w:rtl/>
        </w:rPr>
        <w:t xml:space="preserve"> מה שיש בעצמים הוא</w:t>
      </w:r>
      <w:r w:rsidR="008E2DD7">
        <w:rPr>
          <w:rFonts w:hint="cs"/>
          <w:rtl/>
        </w:rPr>
        <w:t xml:space="preserve"> רק</w:t>
      </w:r>
      <w:r w:rsidR="001B772F">
        <w:rPr>
          <w:rFonts w:hint="cs"/>
          <w:rtl/>
        </w:rPr>
        <w:t xml:space="preserve"> </w:t>
      </w:r>
      <w:r w:rsidR="00F20657">
        <w:rPr>
          <w:rFonts w:hint="cs"/>
          <w:rtl/>
        </w:rPr>
        <w:t>"</w:t>
      </w:r>
      <w:r w:rsidR="001B772F">
        <w:rPr>
          <w:rFonts w:hint="cs"/>
          <w:rtl/>
        </w:rPr>
        <w:t>משל</w:t>
      </w:r>
      <w:r w:rsidR="00F20657">
        <w:rPr>
          <w:rFonts w:hint="cs"/>
          <w:rtl/>
        </w:rPr>
        <w:t>"</w:t>
      </w:r>
      <w:r w:rsidR="001B772F">
        <w:rPr>
          <w:rFonts w:hint="cs"/>
          <w:rtl/>
        </w:rPr>
        <w:t xml:space="preserve"> להתחלת התנועה </w:t>
      </w:r>
      <w:r w:rsidR="008E2DD7">
        <w:rPr>
          <w:rFonts w:hint="cs"/>
          <w:rtl/>
        </w:rPr>
        <w:t>הזו</w:t>
      </w:r>
      <w:r w:rsidR="001B772F">
        <w:rPr>
          <w:rFonts w:hint="cs"/>
          <w:rtl/>
        </w:rPr>
        <w:t xml:space="preserve">. </w:t>
      </w:r>
    </w:p>
  </w:footnote>
  <w:footnote w:id="543">
    <w:p w14:paraId="445D196A" w14:textId="0B7044B8" w:rsidR="00B57D80" w:rsidRDefault="00B57D80">
      <w:pPr>
        <w:pStyle w:val="FootnoteText"/>
        <w:rPr>
          <w:rtl/>
        </w:rPr>
      </w:pPr>
      <w:r>
        <w:rPr>
          <w:rStyle w:val="FootnoteReference"/>
        </w:rPr>
        <w:footnoteRef/>
      </w:r>
      <w:r>
        <w:rPr>
          <w:rtl/>
        </w:rPr>
        <w:t xml:space="preserve"> </w:t>
      </w:r>
      <w:r w:rsidR="00D00336">
        <w:rPr>
          <w:rFonts w:hint="cs"/>
          <w:rtl/>
        </w:rPr>
        <w:t>"מציאות ראשונה" ו"מציאות שנייה" היינו</w:t>
      </w:r>
      <w:bookmarkStart w:id="264" w:name="_Hlk106706269"/>
      <w:r w:rsidR="00D00336">
        <w:rPr>
          <w:rFonts w:hint="cs"/>
          <w:rtl/>
        </w:rPr>
        <w:t xml:space="preserve"> מה שכתב אריסטו ב</w:t>
      </w:r>
      <w:r w:rsidR="008E096D">
        <w:rPr>
          <w:rFonts w:hint="cs"/>
          <w:rtl/>
        </w:rPr>
        <w:t xml:space="preserve">קטגוריות </w:t>
      </w:r>
      <w:r w:rsidR="00F44096">
        <w:rPr>
          <w:rFonts w:hint="cs"/>
          <w:rtl/>
        </w:rPr>
        <w:t>פרק ה'</w:t>
      </w:r>
      <w:r w:rsidR="00890168">
        <w:rPr>
          <w:rFonts w:hint="cs"/>
          <w:rtl/>
        </w:rPr>
        <w:t xml:space="preserve"> (בתרגום גבריאל צורן</w:t>
      </w:r>
      <w:r w:rsidR="007A504A">
        <w:rPr>
          <w:rFonts w:hint="cs"/>
          <w:rtl/>
        </w:rPr>
        <w:t xml:space="preserve">. תיקנתי </w:t>
      </w:r>
      <w:r w:rsidR="006C59E9">
        <w:rPr>
          <w:rFonts w:hint="cs"/>
          <w:rtl/>
        </w:rPr>
        <w:t xml:space="preserve">בלשונו את </w:t>
      </w:r>
      <w:r w:rsidR="007A504A">
        <w:rPr>
          <w:rFonts w:hint="cs"/>
          <w:rtl/>
        </w:rPr>
        <w:t xml:space="preserve">מה שהוא החליף בין </w:t>
      </w:r>
      <w:r w:rsidR="006C59E9">
        <w:rPr>
          <w:rFonts w:hint="cs"/>
          <w:rtl/>
        </w:rPr>
        <w:t>'</w:t>
      </w:r>
      <w:r w:rsidR="007A504A">
        <w:rPr>
          <w:rFonts w:hint="cs"/>
          <w:rtl/>
        </w:rPr>
        <w:t>מין</w:t>
      </w:r>
      <w:r w:rsidR="006C59E9">
        <w:rPr>
          <w:rFonts w:hint="cs"/>
          <w:rtl/>
        </w:rPr>
        <w:t>'</w:t>
      </w:r>
      <w:r w:rsidR="007A504A">
        <w:rPr>
          <w:rFonts w:hint="cs"/>
          <w:rtl/>
        </w:rPr>
        <w:t xml:space="preserve"> ו</w:t>
      </w:r>
      <w:r w:rsidR="006C59E9">
        <w:rPr>
          <w:rFonts w:hint="cs"/>
          <w:rtl/>
        </w:rPr>
        <w:t>'</w:t>
      </w:r>
      <w:r w:rsidR="007A504A">
        <w:rPr>
          <w:rFonts w:hint="cs"/>
          <w:rtl/>
        </w:rPr>
        <w:t>סוג</w:t>
      </w:r>
      <w:r w:rsidR="006C59E9">
        <w:rPr>
          <w:rFonts w:hint="cs"/>
          <w:rtl/>
        </w:rPr>
        <w:t>'</w:t>
      </w:r>
      <w:r w:rsidR="00890168">
        <w:rPr>
          <w:rFonts w:hint="cs"/>
          <w:rtl/>
        </w:rPr>
        <w:t>)</w:t>
      </w:r>
      <w:r w:rsidR="00F44096">
        <w:rPr>
          <w:rFonts w:hint="cs"/>
          <w:rtl/>
        </w:rPr>
        <w:t>:</w:t>
      </w:r>
    </w:p>
    <w:p w14:paraId="176C7900" w14:textId="1D1A4E41" w:rsidR="00CE4D46" w:rsidRDefault="00F44096">
      <w:pPr>
        <w:pStyle w:val="FootnoteText"/>
        <w:rPr>
          <w:rtl/>
        </w:rPr>
      </w:pPr>
      <w:r>
        <w:rPr>
          <w:rFonts w:hint="cs"/>
          <w:rtl/>
        </w:rPr>
        <w:t>"</w:t>
      </w:r>
      <w:r w:rsidR="00890168">
        <w:rPr>
          <w:rFonts w:hint="cs"/>
          <w:rtl/>
        </w:rPr>
        <w:t>'</w:t>
      </w:r>
      <w:r w:rsidRPr="00F44096">
        <w:rPr>
          <w:rtl/>
        </w:rPr>
        <w:t>עצם</w:t>
      </w:r>
      <w:r w:rsidR="00890168">
        <w:rPr>
          <w:rFonts w:hint="cs"/>
          <w:rtl/>
        </w:rPr>
        <w:t xml:space="preserve">' </w:t>
      </w:r>
      <w:r w:rsidRPr="00F44096">
        <w:rPr>
          <w:rtl/>
        </w:rPr>
        <w:t>במובנו החמור, הראשוני והאמיתי ביותר הוא מה שלא ניתן לייחס [כנשוא] לנושא מסוים ומה שלא נמצא [כתכונה] בתוך נושא, כגון אדם [יחיד] כלשהו או סוס [יחיד] כלשהו</w:t>
      </w:r>
      <w:r w:rsidR="00D92A94">
        <w:rPr>
          <w:rFonts w:hint="cs"/>
          <w:rtl/>
        </w:rPr>
        <w:t xml:space="preserve"> [נ.ש: אי אפשר לומר על משהו שיש לו מאפיין תכונה או הגדרה </w:t>
      </w:r>
      <w:r w:rsidR="00B35CD7">
        <w:rPr>
          <w:rFonts w:hint="cs"/>
          <w:rtl/>
        </w:rPr>
        <w:t>ש</w:t>
      </w:r>
      <w:r w:rsidR="00D92A94">
        <w:rPr>
          <w:rFonts w:hint="cs"/>
          <w:rtl/>
        </w:rPr>
        <w:t>הוא 'שמעון' באותו מוב</w:t>
      </w:r>
      <w:r w:rsidR="00B35CD7">
        <w:rPr>
          <w:rFonts w:hint="cs"/>
          <w:rtl/>
        </w:rPr>
        <w:t>ן</w:t>
      </w:r>
      <w:r w:rsidR="00D92A94">
        <w:rPr>
          <w:rFonts w:hint="cs"/>
          <w:rtl/>
        </w:rPr>
        <w:t xml:space="preserve"> כמו שהוא </w:t>
      </w:r>
      <w:r w:rsidR="00000B03">
        <w:rPr>
          <w:rFonts w:hint="cs"/>
          <w:rtl/>
        </w:rPr>
        <w:t>'</w:t>
      </w:r>
      <w:r w:rsidR="00D92A94">
        <w:rPr>
          <w:rFonts w:hint="cs"/>
          <w:rtl/>
        </w:rPr>
        <w:t>אדם</w:t>
      </w:r>
      <w:r w:rsidR="00000B03">
        <w:rPr>
          <w:rFonts w:hint="cs"/>
          <w:rtl/>
        </w:rPr>
        <w:t>'</w:t>
      </w:r>
      <w:r w:rsidR="00D92A94">
        <w:rPr>
          <w:rFonts w:hint="cs"/>
          <w:rtl/>
        </w:rPr>
        <w:t xml:space="preserve"> א</w:t>
      </w:r>
      <w:r w:rsidR="00B35CD7">
        <w:rPr>
          <w:rFonts w:hint="cs"/>
          <w:rtl/>
        </w:rPr>
        <w:t>ו</w:t>
      </w:r>
      <w:r w:rsidR="00D92A94">
        <w:rPr>
          <w:rFonts w:hint="cs"/>
          <w:rtl/>
        </w:rPr>
        <w:t xml:space="preserve"> שהוא </w:t>
      </w:r>
      <w:r w:rsidR="00000B03">
        <w:rPr>
          <w:rFonts w:hint="cs"/>
          <w:rtl/>
        </w:rPr>
        <w:t>'</w:t>
      </w:r>
      <w:r w:rsidR="00D92A94">
        <w:rPr>
          <w:rFonts w:hint="cs"/>
          <w:rtl/>
        </w:rPr>
        <w:t>לבן</w:t>
      </w:r>
      <w:r w:rsidR="00000B03">
        <w:rPr>
          <w:rFonts w:hint="cs"/>
          <w:rtl/>
        </w:rPr>
        <w:t>'</w:t>
      </w:r>
      <w:r w:rsidR="00B35CD7">
        <w:rPr>
          <w:rFonts w:hint="cs"/>
          <w:rtl/>
        </w:rPr>
        <w:t>. המילה 'שמעון' היא שמו ואינה הגדרה כלשהי בעלת תוכן</w:t>
      </w:r>
      <w:r w:rsidR="00CE4D46">
        <w:rPr>
          <w:rFonts w:hint="cs"/>
          <w:rtl/>
        </w:rPr>
        <w:t>, ולא ישתנה מאומה מבחינת הגדרתו אם יחליף את שמו לשם אחר</w:t>
      </w:r>
      <w:r w:rsidR="00D92A94">
        <w:rPr>
          <w:rFonts w:hint="cs"/>
          <w:rtl/>
        </w:rPr>
        <w:t>]</w:t>
      </w:r>
      <w:r w:rsidRPr="00F44096">
        <w:rPr>
          <w:rtl/>
        </w:rPr>
        <w:t xml:space="preserve">. </w:t>
      </w:r>
    </w:p>
    <w:p w14:paraId="3BFE7733" w14:textId="01C79F96" w:rsidR="0061152C" w:rsidRDefault="00CE4D46" w:rsidP="0070672B">
      <w:pPr>
        <w:pStyle w:val="FootnoteText"/>
        <w:rPr>
          <w:rtl/>
        </w:rPr>
      </w:pPr>
      <w:r>
        <w:rPr>
          <w:rFonts w:hint="cs"/>
          <w:rtl/>
        </w:rPr>
        <w:t>'</w:t>
      </w:r>
      <w:r w:rsidR="00F44096" w:rsidRPr="00F44096">
        <w:rPr>
          <w:rtl/>
        </w:rPr>
        <w:t>עצם</w:t>
      </w:r>
      <w:r>
        <w:rPr>
          <w:rFonts w:hint="cs"/>
          <w:rtl/>
        </w:rPr>
        <w:t>'</w:t>
      </w:r>
      <w:r w:rsidR="00F44096" w:rsidRPr="00F44096">
        <w:rPr>
          <w:rtl/>
        </w:rPr>
        <w:t xml:space="preserve"> במובנו המשני הוא ה</w:t>
      </w:r>
      <w:r w:rsidR="00000B03">
        <w:rPr>
          <w:rFonts w:hint="cs"/>
          <w:rtl/>
        </w:rPr>
        <w:t>'</w:t>
      </w:r>
      <w:r w:rsidR="00E74ACB">
        <w:rPr>
          <w:rFonts w:hint="cs"/>
          <w:rtl/>
        </w:rPr>
        <w:t>מין</w:t>
      </w:r>
      <w:r w:rsidR="00000B03">
        <w:rPr>
          <w:rFonts w:hint="cs"/>
          <w:rtl/>
        </w:rPr>
        <w:t>'</w:t>
      </w:r>
      <w:r w:rsidR="00F44096" w:rsidRPr="00F44096">
        <w:rPr>
          <w:rtl/>
        </w:rPr>
        <w:t xml:space="preserve"> שבו כלולים הדברים הקרויים עצמים במובנם הראשוני, וכאלה הם גם ה</w:t>
      </w:r>
      <w:r w:rsidR="00E74ACB">
        <w:rPr>
          <w:rFonts w:hint="cs"/>
          <w:rtl/>
        </w:rPr>
        <w:t>סוג</w:t>
      </w:r>
      <w:r w:rsidR="00F44096" w:rsidRPr="00F44096">
        <w:rPr>
          <w:rtl/>
        </w:rPr>
        <w:t xml:space="preserve">ים הכוללים של אותם </w:t>
      </w:r>
      <w:r w:rsidR="00E74ACB">
        <w:rPr>
          <w:rFonts w:hint="cs"/>
          <w:rtl/>
        </w:rPr>
        <w:t>מינ</w:t>
      </w:r>
      <w:r w:rsidR="00F44096" w:rsidRPr="00F44096">
        <w:rPr>
          <w:rtl/>
        </w:rPr>
        <w:t>ים. כך למשל אדם [יחיד] מסוים משתייך, מבחינת ה</w:t>
      </w:r>
      <w:r w:rsidR="007A504A">
        <w:rPr>
          <w:rFonts w:hint="cs"/>
          <w:rtl/>
        </w:rPr>
        <w:t>מין</w:t>
      </w:r>
      <w:r w:rsidR="00F44096" w:rsidRPr="00F44096">
        <w:rPr>
          <w:rtl/>
        </w:rPr>
        <w:t>, ל[</w:t>
      </w:r>
      <w:r w:rsidR="007A504A">
        <w:rPr>
          <w:rFonts w:hint="cs"/>
          <w:rtl/>
        </w:rPr>
        <w:t>מין</w:t>
      </w:r>
      <w:r w:rsidR="00F44096" w:rsidRPr="00F44096">
        <w:rPr>
          <w:rtl/>
        </w:rPr>
        <w:t xml:space="preserve"> ה]אדם בכלל, ואילו מבחינת ה</w:t>
      </w:r>
      <w:r w:rsidR="007A504A">
        <w:rPr>
          <w:rFonts w:hint="cs"/>
          <w:rtl/>
        </w:rPr>
        <w:t>סוג</w:t>
      </w:r>
      <w:r w:rsidR="00F44096" w:rsidRPr="00F44096">
        <w:rPr>
          <w:rtl/>
        </w:rPr>
        <w:t xml:space="preserve"> הכולל של אותו </w:t>
      </w:r>
      <w:r w:rsidR="007A504A">
        <w:rPr>
          <w:rFonts w:hint="cs"/>
          <w:rtl/>
        </w:rPr>
        <w:t>מין</w:t>
      </w:r>
      <w:r w:rsidR="00F44096" w:rsidRPr="00F44096">
        <w:rPr>
          <w:rtl/>
        </w:rPr>
        <w:t xml:space="preserve"> הוא בעל חיים. במובן זה עצמים משניים הם האדם [בכלל] ובעל החיים [בכלל].״</w:t>
      </w:r>
      <w:r w:rsidR="0070672B">
        <w:rPr>
          <w:rFonts w:hint="cs"/>
          <w:rtl/>
        </w:rPr>
        <w:t xml:space="preserve"> </w:t>
      </w:r>
      <w:r w:rsidR="0061152C">
        <w:rPr>
          <w:rFonts w:hint="cs"/>
          <w:rtl/>
        </w:rPr>
        <w:t>דברים אלה הובאו במורה נבוכים ג' י"ח.</w:t>
      </w:r>
    </w:p>
    <w:bookmarkEnd w:id="264"/>
    <w:p w14:paraId="2467B099" w14:textId="77777777" w:rsidR="006202FE" w:rsidRDefault="00FC3CAB" w:rsidP="009F6697">
      <w:pPr>
        <w:pStyle w:val="FootnoteText"/>
        <w:rPr>
          <w:rtl/>
        </w:rPr>
      </w:pPr>
      <w:r>
        <w:rPr>
          <w:rFonts w:hint="cs"/>
          <w:rtl/>
        </w:rPr>
        <w:t>כוונת אבן סינא כאן היא ש'טבע' ה</w:t>
      </w:r>
      <w:r w:rsidR="00677A8D">
        <w:rPr>
          <w:rFonts w:hint="cs"/>
          <w:rtl/>
        </w:rPr>
        <w:t>ו</w:t>
      </w:r>
      <w:r>
        <w:rPr>
          <w:rFonts w:hint="cs"/>
          <w:rtl/>
        </w:rPr>
        <w:t xml:space="preserve">א רובד של המציאות. יש רובד של מציאות </w:t>
      </w:r>
      <w:r w:rsidR="00677A8D">
        <w:rPr>
          <w:rFonts w:hint="cs"/>
          <w:rtl/>
        </w:rPr>
        <w:t xml:space="preserve">הצורות המופשטות, עולם האידיאות האפלטוני, ויש רובד של מציאות גופים חומריים שהוא הנקרא </w:t>
      </w:r>
      <w:r w:rsidR="006A6FD3">
        <w:rPr>
          <w:rFonts w:hint="cs"/>
          <w:rtl/>
        </w:rPr>
        <w:t>'</w:t>
      </w:r>
      <w:r w:rsidR="00677A8D">
        <w:rPr>
          <w:rFonts w:hint="cs"/>
          <w:rtl/>
        </w:rPr>
        <w:t>טבע</w:t>
      </w:r>
      <w:r w:rsidR="006A6FD3">
        <w:rPr>
          <w:rFonts w:hint="cs"/>
          <w:rtl/>
        </w:rPr>
        <w:t>'</w:t>
      </w:r>
      <w:r w:rsidR="00677A8D">
        <w:rPr>
          <w:rFonts w:hint="cs"/>
          <w:rtl/>
        </w:rPr>
        <w:t xml:space="preserve">. </w:t>
      </w:r>
      <w:r w:rsidR="006A6FD3">
        <w:rPr>
          <w:rFonts w:hint="cs"/>
          <w:rtl/>
        </w:rPr>
        <w:t>רובד המציאות שנקרא 'טבע' אפשר לשאול מה הוא מכיל, או ממה הוא מורכב</w:t>
      </w:r>
      <w:r w:rsidR="00834D66">
        <w:rPr>
          <w:rFonts w:hint="cs"/>
          <w:rtl/>
        </w:rPr>
        <w:t xml:space="preserve"> (על דרך שאפשר לשאול מה משפחה מכילה ולהשיב</w:t>
      </w:r>
      <w:r w:rsidR="00DA4B6F">
        <w:rPr>
          <w:rFonts w:hint="cs"/>
          <w:rtl/>
        </w:rPr>
        <w:t>:</w:t>
      </w:r>
      <w:r w:rsidR="00834D66">
        <w:rPr>
          <w:rFonts w:hint="cs"/>
          <w:rtl/>
        </w:rPr>
        <w:t xml:space="preserve"> בני אדם פרטיים</w:t>
      </w:r>
      <w:r w:rsidR="00DA4B6F">
        <w:rPr>
          <w:rFonts w:hint="cs"/>
          <w:rtl/>
        </w:rPr>
        <w:t xml:space="preserve"> שמציאותם היא במשפחה</w:t>
      </w:r>
      <w:r w:rsidR="00834D66">
        <w:rPr>
          <w:rFonts w:hint="cs"/>
          <w:rtl/>
        </w:rPr>
        <w:t>)</w:t>
      </w:r>
      <w:r w:rsidR="006A6FD3">
        <w:rPr>
          <w:rFonts w:hint="cs"/>
          <w:rtl/>
        </w:rPr>
        <w:t xml:space="preserve">. </w:t>
      </w:r>
    </w:p>
    <w:p w14:paraId="09EB0E4D" w14:textId="147C5F13" w:rsidR="00B61D3F" w:rsidRDefault="006A6FD3" w:rsidP="009F6697">
      <w:pPr>
        <w:pStyle w:val="FootnoteText"/>
        <w:rPr>
          <w:rtl/>
        </w:rPr>
      </w:pPr>
      <w:r>
        <w:rPr>
          <w:rFonts w:hint="cs"/>
          <w:rtl/>
        </w:rPr>
        <w:t>התש</w:t>
      </w:r>
      <w:r w:rsidR="009A520C">
        <w:rPr>
          <w:rFonts w:hint="cs"/>
          <w:rtl/>
        </w:rPr>
        <w:t>ו</w:t>
      </w:r>
      <w:r>
        <w:rPr>
          <w:rFonts w:hint="cs"/>
          <w:rtl/>
        </w:rPr>
        <w:t>בה היא</w:t>
      </w:r>
      <w:r w:rsidR="009A520C">
        <w:rPr>
          <w:rFonts w:hint="cs"/>
          <w:rtl/>
        </w:rPr>
        <w:t xml:space="preserve"> </w:t>
      </w:r>
      <w:r w:rsidR="001047F8">
        <w:rPr>
          <w:rFonts w:hint="cs"/>
          <w:rtl/>
        </w:rPr>
        <w:t>ש'</w:t>
      </w:r>
      <w:r w:rsidR="009A520C">
        <w:rPr>
          <w:rFonts w:hint="cs"/>
          <w:rtl/>
        </w:rPr>
        <w:t>מה שהוא בטבע</w:t>
      </w:r>
      <w:r w:rsidR="001047F8">
        <w:rPr>
          <w:rFonts w:hint="cs"/>
          <w:rtl/>
        </w:rPr>
        <w:t>'</w:t>
      </w:r>
      <w:r w:rsidR="009A520C">
        <w:rPr>
          <w:rFonts w:hint="cs"/>
          <w:rtl/>
        </w:rPr>
        <w:t xml:space="preserve">, כלומר מה שהטבע מכיל אותו </w:t>
      </w:r>
      <w:r w:rsidR="008602CA">
        <w:rPr>
          <w:rFonts w:hint="cs"/>
          <w:rtl/>
        </w:rPr>
        <w:t xml:space="preserve">או </w:t>
      </w:r>
      <w:r w:rsidR="009A520C">
        <w:rPr>
          <w:rFonts w:hint="cs"/>
          <w:rtl/>
        </w:rPr>
        <w:t xml:space="preserve">מורכב ממנו, </w:t>
      </w:r>
      <w:r w:rsidR="006202FE">
        <w:rPr>
          <w:rFonts w:hint="cs"/>
          <w:rtl/>
        </w:rPr>
        <w:t>"בטבע"</w:t>
      </w:r>
      <w:r w:rsidR="006202FE">
        <w:rPr>
          <w:rFonts w:hint="cs"/>
        </w:rPr>
        <w:t xml:space="preserve"> </w:t>
      </w:r>
      <w:r w:rsidR="006202FE">
        <w:rPr>
          <w:rFonts w:hint="cs"/>
          <w:rtl/>
        </w:rPr>
        <w:t xml:space="preserve">הכוונה כאן </w:t>
      </w:r>
      <w:r w:rsidR="007C6895">
        <w:rPr>
          <w:rFonts w:hint="cs"/>
          <w:rtl/>
        </w:rPr>
        <w:t xml:space="preserve">מה שהוא בתוך הטבע, </w:t>
      </w:r>
      <w:r w:rsidR="008602CA">
        <w:rPr>
          <w:rFonts w:hint="cs"/>
          <w:rtl/>
        </w:rPr>
        <w:t xml:space="preserve">הוא גופים שונים </w:t>
      </w:r>
      <w:r w:rsidR="008602CA" w:rsidRPr="008602CA">
        <w:rPr>
          <w:rtl/>
        </w:rPr>
        <w:t>שמציאות</w:t>
      </w:r>
      <w:r w:rsidR="008602CA">
        <w:rPr>
          <w:rFonts w:hint="cs"/>
          <w:rtl/>
        </w:rPr>
        <w:t>ם</w:t>
      </w:r>
      <w:r w:rsidR="008602CA" w:rsidRPr="008602CA">
        <w:rPr>
          <w:rtl/>
        </w:rPr>
        <w:t xml:space="preserve"> בפועל היא מהטבע, או קיומ</w:t>
      </w:r>
      <w:r w:rsidR="008602CA">
        <w:rPr>
          <w:rFonts w:hint="cs"/>
          <w:rtl/>
        </w:rPr>
        <w:t>ם</w:t>
      </w:r>
      <w:r w:rsidR="008602CA" w:rsidRPr="008602CA">
        <w:rPr>
          <w:rtl/>
        </w:rPr>
        <w:t xml:space="preserve"> בפועל הוא על הטבע</w:t>
      </w:r>
      <w:r w:rsidR="00834D66">
        <w:rPr>
          <w:rFonts w:hint="cs"/>
          <w:rtl/>
        </w:rPr>
        <w:t>.</w:t>
      </w:r>
      <w:r w:rsidR="000A19BF">
        <w:rPr>
          <w:rFonts w:hint="cs"/>
          <w:rtl/>
        </w:rPr>
        <w:t xml:space="preserve"> </w:t>
      </w:r>
      <w:r w:rsidR="00102009">
        <w:rPr>
          <w:rFonts w:hint="cs"/>
          <w:rtl/>
        </w:rPr>
        <w:t>המציאות שהיא ה'טבע' היא כח של התממשות של הגילוי האלוהי</w:t>
      </w:r>
      <w:r w:rsidR="008B0BBF">
        <w:rPr>
          <w:rFonts w:hint="cs"/>
          <w:rtl/>
        </w:rPr>
        <w:t>, שמקורו בעצם הגילוי האלוהי</w:t>
      </w:r>
      <w:r w:rsidR="00A04B6A">
        <w:rPr>
          <w:rFonts w:hint="cs"/>
          <w:rtl/>
        </w:rPr>
        <w:t xml:space="preserve"> (הטבע עניינו גילוי</w:t>
      </w:r>
      <w:r w:rsidR="00B9406F">
        <w:rPr>
          <w:rFonts w:hint="cs"/>
          <w:rtl/>
        </w:rPr>
        <w:t xml:space="preserve"> </w:t>
      </w:r>
      <w:r w:rsidR="00A04B6A">
        <w:rPr>
          <w:rFonts w:hint="cs"/>
          <w:rtl/>
        </w:rPr>
        <w:t xml:space="preserve">האלוהות בחומר, </w:t>
      </w:r>
      <w:r w:rsidR="00B9406F">
        <w:rPr>
          <w:rFonts w:hint="cs"/>
          <w:rtl/>
        </w:rPr>
        <w:t>"</w:t>
      </w:r>
      <w:r w:rsidR="00A04B6A">
        <w:rPr>
          <w:rFonts w:hint="cs"/>
          <w:rtl/>
        </w:rPr>
        <w:t xml:space="preserve">השמים מספרים כבוד </w:t>
      </w:r>
      <w:r w:rsidR="00B9406F">
        <w:rPr>
          <w:rFonts w:hint="cs"/>
          <w:rtl/>
        </w:rPr>
        <w:t>אל"</w:t>
      </w:r>
      <w:r w:rsidR="00A04B6A">
        <w:rPr>
          <w:rFonts w:hint="cs"/>
          <w:rtl/>
        </w:rPr>
        <w:t>, ו"</w:t>
      </w:r>
      <w:r w:rsidR="00B9406F">
        <w:rPr>
          <w:rtl/>
        </w:rPr>
        <w:t>כל מה שברא הקדוש ברוך הוא בעולמו, לא בראו אלא לכבודו, שנאמר (ישעיה מג, ז), כל הנקרא בשמי ולכבודי בראתיו יצרתיו אף עשיתיו.</w:t>
      </w:r>
      <w:r w:rsidR="00A04B6A">
        <w:rPr>
          <w:rFonts w:hint="cs"/>
          <w:rtl/>
        </w:rPr>
        <w:t>"</w:t>
      </w:r>
      <w:r w:rsidR="00B04595">
        <w:rPr>
          <w:rFonts w:hint="cs"/>
          <w:rtl/>
        </w:rPr>
        <w:t>).</w:t>
      </w:r>
      <w:r w:rsidR="00A04B6A">
        <w:rPr>
          <w:rFonts w:hint="cs"/>
          <w:rtl/>
        </w:rPr>
        <w:t xml:space="preserve"> </w:t>
      </w:r>
      <w:r w:rsidR="000E7C64">
        <w:rPr>
          <w:rFonts w:hint="cs"/>
          <w:rtl/>
        </w:rPr>
        <w:t xml:space="preserve">אם יש צורת אדם מופשטת, </w:t>
      </w:r>
      <w:r w:rsidR="000E7C64">
        <w:rPr>
          <w:rFonts w:hint="cs"/>
          <w:rtl/>
        </w:rPr>
        <w:t xml:space="preserve">הכח של הגילוי האלוהי שמכוחו משתלשלת מציאות הטבע, גורם שישתלשלו מצורת האדם המופשטת ראובן ושמעון. </w:t>
      </w:r>
      <w:r w:rsidR="00B04595">
        <w:rPr>
          <w:rFonts w:hint="cs"/>
          <w:rtl/>
        </w:rPr>
        <w:t xml:space="preserve">לכן ראובן ושמעון מציאותם היא מהטבע </w:t>
      </w:r>
      <w:r w:rsidR="000460C6">
        <w:rPr>
          <w:rFonts w:hint="cs"/>
          <w:rtl/>
        </w:rPr>
        <w:t>ואחרי שהטבע ממציא אותם הם הגופים ש</w:t>
      </w:r>
      <w:r w:rsidR="00C67B92">
        <w:rPr>
          <w:rFonts w:hint="cs"/>
          <w:rtl/>
        </w:rPr>
        <w:t>הטבע מכיל אותם או מורכב מהם.</w:t>
      </w:r>
      <w:r w:rsidR="00AC194C">
        <w:rPr>
          <w:rFonts w:hint="cs"/>
          <w:rtl/>
        </w:rPr>
        <w:t xml:space="preserve"> כעת הם </w:t>
      </w:r>
      <w:r w:rsidR="00C67B92">
        <w:rPr>
          <w:rFonts w:hint="cs"/>
          <w:rtl/>
        </w:rPr>
        <w:t xml:space="preserve">גם </w:t>
      </w:r>
      <w:r w:rsidR="00AC194C">
        <w:rPr>
          <w:rFonts w:hint="cs"/>
          <w:rtl/>
        </w:rPr>
        <w:t xml:space="preserve">קיימים </w:t>
      </w:r>
      <w:r w:rsidR="00C67B92">
        <w:rPr>
          <w:rFonts w:hint="cs"/>
          <w:rtl/>
        </w:rPr>
        <w:t>"</w:t>
      </w:r>
      <w:r w:rsidR="00AC194C">
        <w:rPr>
          <w:rFonts w:hint="cs"/>
          <w:rtl/>
        </w:rPr>
        <w:t>על הטבע</w:t>
      </w:r>
      <w:r w:rsidR="00C67B92">
        <w:rPr>
          <w:rFonts w:hint="cs"/>
          <w:rtl/>
        </w:rPr>
        <w:t>"</w:t>
      </w:r>
      <w:r w:rsidR="00AC194C">
        <w:rPr>
          <w:rFonts w:hint="cs"/>
          <w:rtl/>
        </w:rPr>
        <w:t>, כלומר הקיום של צורת האדם המופשטת השתנה</w:t>
      </w:r>
      <w:r w:rsidR="00C67B92">
        <w:rPr>
          <w:rFonts w:hint="cs"/>
          <w:rtl/>
        </w:rPr>
        <w:t xml:space="preserve"> מכפי שהיה</w:t>
      </w:r>
      <w:r w:rsidR="00CB3654">
        <w:rPr>
          <w:rFonts w:hint="cs"/>
          <w:rtl/>
        </w:rPr>
        <w:t xml:space="preserve"> בעולם המופשט</w:t>
      </w:r>
      <w:r w:rsidR="00AC194C">
        <w:rPr>
          <w:rFonts w:hint="cs"/>
          <w:rtl/>
        </w:rPr>
        <w:t xml:space="preserve"> ונעשה קיום </w:t>
      </w:r>
      <w:r w:rsidR="0014112F">
        <w:rPr>
          <w:rFonts w:hint="cs"/>
          <w:rtl/>
        </w:rPr>
        <w:t>ב</w:t>
      </w:r>
      <w:r w:rsidR="00CB3654">
        <w:rPr>
          <w:rFonts w:hint="cs"/>
          <w:rtl/>
        </w:rPr>
        <w:t xml:space="preserve">דרך שונה שהיא הקיום של עצם שחלים עליו חוקי הטבע ודרכי הטבע, </w:t>
      </w:r>
      <w:r w:rsidR="0014112F">
        <w:rPr>
          <w:rFonts w:hint="cs"/>
          <w:rtl/>
        </w:rPr>
        <w:t xml:space="preserve">וזו הכוונה </w:t>
      </w:r>
      <w:r w:rsidR="00AC194C">
        <w:rPr>
          <w:rFonts w:hint="cs"/>
          <w:rtl/>
        </w:rPr>
        <w:t xml:space="preserve">שהוא </w:t>
      </w:r>
      <w:r w:rsidR="0014112F">
        <w:rPr>
          <w:rFonts w:hint="cs"/>
          <w:rtl/>
        </w:rPr>
        <w:t>"</w:t>
      </w:r>
      <w:r w:rsidR="00AC194C">
        <w:rPr>
          <w:rFonts w:hint="cs"/>
          <w:rtl/>
        </w:rPr>
        <w:t>על הטבע</w:t>
      </w:r>
      <w:r w:rsidR="0014112F">
        <w:rPr>
          <w:rFonts w:hint="cs"/>
          <w:rtl/>
        </w:rPr>
        <w:t xml:space="preserve">" ולא על </w:t>
      </w:r>
      <w:r w:rsidR="00342B82">
        <w:rPr>
          <w:rFonts w:hint="cs"/>
          <w:rtl/>
        </w:rPr>
        <w:t xml:space="preserve">דרך עולם הצורות המופשטות (מה שנקרא במונחים של אפלטון </w:t>
      </w:r>
      <w:r w:rsidR="00F62AE7">
        <w:rPr>
          <w:rFonts w:hint="cs"/>
          <w:rtl/>
        </w:rPr>
        <w:t>"</w:t>
      </w:r>
      <w:r w:rsidR="00342B82">
        <w:rPr>
          <w:rFonts w:hint="cs"/>
          <w:rtl/>
        </w:rPr>
        <w:t>עולם האידיאות</w:t>
      </w:r>
      <w:r w:rsidR="00F62AE7">
        <w:rPr>
          <w:rFonts w:hint="cs"/>
          <w:rtl/>
        </w:rPr>
        <w:t>"</w:t>
      </w:r>
      <w:r w:rsidR="00342B82">
        <w:rPr>
          <w:rFonts w:hint="cs"/>
          <w:rtl/>
        </w:rPr>
        <w:t>, וב</w:t>
      </w:r>
      <w:r w:rsidR="00F62AE7">
        <w:rPr>
          <w:rFonts w:hint="cs"/>
          <w:rtl/>
        </w:rPr>
        <w:t>ספרי הקבלה</w:t>
      </w:r>
      <w:r w:rsidR="00342B82">
        <w:rPr>
          <w:rFonts w:hint="cs"/>
          <w:rtl/>
        </w:rPr>
        <w:t xml:space="preserve"> </w:t>
      </w:r>
      <w:r w:rsidR="00F62AE7">
        <w:rPr>
          <w:rFonts w:hint="cs"/>
          <w:rtl/>
        </w:rPr>
        <w:t>"</w:t>
      </w:r>
      <w:r w:rsidR="00342B82">
        <w:rPr>
          <w:rFonts w:hint="cs"/>
          <w:rtl/>
        </w:rPr>
        <w:t>עולם היצירה</w:t>
      </w:r>
      <w:r w:rsidR="00F62AE7">
        <w:rPr>
          <w:rFonts w:hint="cs"/>
          <w:rtl/>
        </w:rPr>
        <w:t>"</w:t>
      </w:r>
      <w:r w:rsidR="00342B82">
        <w:rPr>
          <w:rFonts w:hint="cs"/>
          <w:rtl/>
        </w:rPr>
        <w:t>)</w:t>
      </w:r>
      <w:r w:rsidR="00AC194C">
        <w:rPr>
          <w:rFonts w:hint="cs"/>
          <w:rtl/>
        </w:rPr>
        <w:t>.</w:t>
      </w:r>
      <w:r w:rsidR="009A3606">
        <w:rPr>
          <w:rFonts w:hint="cs"/>
          <w:rtl/>
        </w:rPr>
        <w:t xml:space="preserve"> </w:t>
      </w:r>
      <w:r w:rsidR="00F0136B">
        <w:rPr>
          <w:rFonts w:hint="cs"/>
          <w:rtl/>
        </w:rPr>
        <w:t>הסוגים ו</w:t>
      </w:r>
      <w:r w:rsidR="009A3606">
        <w:rPr>
          <w:rFonts w:hint="cs"/>
          <w:rtl/>
        </w:rPr>
        <w:t xml:space="preserve">המינים </w:t>
      </w:r>
      <w:r w:rsidR="00F0136B">
        <w:rPr>
          <w:rFonts w:hint="cs"/>
          <w:rtl/>
        </w:rPr>
        <w:t xml:space="preserve">הם צורות, </w:t>
      </w:r>
      <w:r w:rsidR="00916CA6">
        <w:rPr>
          <w:rFonts w:hint="cs"/>
          <w:rtl/>
        </w:rPr>
        <w:t xml:space="preserve">המין 'אדם' הוא הצורה 'אדם', הם </w:t>
      </w:r>
      <w:r w:rsidR="009A3606">
        <w:rPr>
          <w:rFonts w:hint="cs"/>
          <w:rtl/>
        </w:rPr>
        <w:t>קי</w:t>
      </w:r>
      <w:r w:rsidR="00F0136B">
        <w:rPr>
          <w:rFonts w:hint="cs"/>
          <w:rtl/>
        </w:rPr>
        <w:t>י</w:t>
      </w:r>
      <w:r w:rsidR="009A3606">
        <w:rPr>
          <w:rFonts w:hint="cs"/>
          <w:rtl/>
        </w:rPr>
        <w:t>מים בתוך הטבע כמינים של הגופים</w:t>
      </w:r>
      <w:r w:rsidR="00F0136B">
        <w:rPr>
          <w:rFonts w:hint="cs"/>
          <w:rtl/>
        </w:rPr>
        <w:t xml:space="preserve"> </w:t>
      </w:r>
      <w:r w:rsidR="009A3606">
        <w:rPr>
          <w:rFonts w:hint="cs"/>
          <w:rtl/>
        </w:rPr>
        <w:t>הפרטיים החומריים, האינדיבידואלים</w:t>
      </w:r>
      <w:r w:rsidR="00F0136B">
        <w:rPr>
          <w:rFonts w:hint="cs"/>
          <w:rtl/>
        </w:rPr>
        <w:t xml:space="preserve">, </w:t>
      </w:r>
      <w:r w:rsidR="00571DDE">
        <w:rPr>
          <w:rFonts w:hint="cs"/>
          <w:rtl/>
        </w:rPr>
        <w:t xml:space="preserve">ולא בפני עצמם, </w:t>
      </w:r>
      <w:r w:rsidR="00F0136B">
        <w:rPr>
          <w:rFonts w:hint="cs"/>
          <w:rtl/>
        </w:rPr>
        <w:t>והם נקראים מציאות שנייה, כי הגופים הפרטיים הם המכניסים את</w:t>
      </w:r>
      <w:r w:rsidR="00571DDE">
        <w:rPr>
          <w:rFonts w:hint="cs"/>
          <w:rtl/>
        </w:rPr>
        <w:t xml:space="preserve"> הצורות להיות </w:t>
      </w:r>
      <w:r w:rsidR="00CC7C8E">
        <w:rPr>
          <w:rFonts w:hint="cs"/>
          <w:rtl/>
        </w:rPr>
        <w:t xml:space="preserve">נמצאים </w:t>
      </w:r>
      <w:r w:rsidR="00571DDE">
        <w:rPr>
          <w:rFonts w:hint="cs"/>
          <w:rtl/>
        </w:rPr>
        <w:t>בתוך הטבע בכך ש</w:t>
      </w:r>
      <w:r w:rsidR="00CC7C8E">
        <w:rPr>
          <w:rFonts w:hint="cs"/>
          <w:rtl/>
        </w:rPr>
        <w:t xml:space="preserve">מכוחם </w:t>
      </w:r>
      <w:r w:rsidR="00571DDE">
        <w:rPr>
          <w:rFonts w:hint="cs"/>
          <w:rtl/>
        </w:rPr>
        <w:t>הצורות הן צורות של גופים חומריים</w:t>
      </w:r>
      <w:r w:rsidR="00CC7C8E">
        <w:rPr>
          <w:rFonts w:hint="cs"/>
          <w:rtl/>
        </w:rPr>
        <w:t>,</w:t>
      </w:r>
      <w:r w:rsidR="00571DDE">
        <w:rPr>
          <w:rFonts w:hint="cs"/>
          <w:rtl/>
        </w:rPr>
        <w:t xml:space="preserve"> שהם ההגדרה של ה'עצם' הטבעי, כלומר המציאות הטבעית</w:t>
      </w:r>
      <w:r w:rsidR="009A3606">
        <w:rPr>
          <w:rFonts w:hint="cs"/>
          <w:rtl/>
        </w:rPr>
        <w:t xml:space="preserve">. </w:t>
      </w:r>
      <w:r w:rsidR="00816502">
        <w:rPr>
          <w:rFonts w:hint="cs"/>
          <w:rtl/>
        </w:rPr>
        <w:t>הצורות קיימות ב</w:t>
      </w:r>
      <w:r w:rsidR="00617826">
        <w:rPr>
          <w:rFonts w:hint="cs"/>
          <w:rtl/>
        </w:rPr>
        <w:t>ט</w:t>
      </w:r>
      <w:r w:rsidR="00816502">
        <w:rPr>
          <w:rFonts w:hint="cs"/>
          <w:rtl/>
        </w:rPr>
        <w:t>בע</w:t>
      </w:r>
      <w:r w:rsidR="00617826">
        <w:rPr>
          <w:rFonts w:hint="cs"/>
          <w:rtl/>
        </w:rPr>
        <w:t>,</w:t>
      </w:r>
      <w:r w:rsidR="00816502">
        <w:rPr>
          <w:rFonts w:hint="cs"/>
          <w:rtl/>
        </w:rPr>
        <w:t xml:space="preserve"> אבל מצד שהטבע חומרי הן נשענות במציאותן על הפרטים החומריים שהם המציאות הראשונה מצד הגדרת הטבע.</w:t>
      </w:r>
      <w:r w:rsidR="00AC194C">
        <w:rPr>
          <w:rFonts w:hint="cs"/>
          <w:rtl/>
        </w:rPr>
        <w:t xml:space="preserve"> </w:t>
      </w:r>
      <w:r w:rsidR="00C07C82">
        <w:rPr>
          <w:rFonts w:hint="cs"/>
          <w:rtl/>
        </w:rPr>
        <w:t>ללא הישענות על הגופים החומריים יש לצורות המופשטות מציאות, והיא עיקרית יותר ממציאות הגופים החומריים, רק שהיא לא בטבע אלא בעולם המופשט מחומר.</w:t>
      </w:r>
    </w:p>
    <w:p w14:paraId="5DA05D40" w14:textId="77777777" w:rsidR="00FC3CAB" w:rsidRDefault="00FC3CAB">
      <w:pPr>
        <w:pStyle w:val="FootnoteText"/>
        <w:rPr>
          <w:rtl/>
        </w:rPr>
      </w:pPr>
    </w:p>
    <w:p w14:paraId="0A9F5BF2" w14:textId="7F528322" w:rsidR="00FD29B5" w:rsidRDefault="00FD29B5">
      <w:pPr>
        <w:pStyle w:val="FootnoteText"/>
        <w:rPr>
          <w:rtl/>
        </w:rPr>
      </w:pPr>
      <w:r>
        <w:rPr>
          <w:rFonts w:hint="cs"/>
          <w:rtl/>
        </w:rPr>
        <w:t>(</w:t>
      </w:r>
      <w:r w:rsidR="00511E41">
        <w:rPr>
          <w:rFonts w:hint="cs"/>
          <w:rtl/>
        </w:rPr>
        <w:t xml:space="preserve">יש שלמדו מכאן שאריסטו חולק על אפלטון שאמר שהמציאות העיקרית </w:t>
      </w:r>
      <w:r w:rsidR="005C64FF">
        <w:rPr>
          <w:rFonts w:hint="cs"/>
          <w:rtl/>
        </w:rPr>
        <w:t xml:space="preserve">במובן הכי חמור ראשוני ואמיתי הן האידיאות המופשטות, וזה </w:t>
      </w:r>
      <w:r w:rsidR="00502350">
        <w:rPr>
          <w:rFonts w:hint="cs"/>
          <w:rtl/>
        </w:rPr>
        <w:t>בלי ספק</w:t>
      </w:r>
      <w:r w:rsidR="005C64FF">
        <w:rPr>
          <w:rFonts w:hint="cs"/>
          <w:rtl/>
        </w:rPr>
        <w:t xml:space="preserve"> אינו נכון. </w:t>
      </w:r>
      <w:r>
        <w:rPr>
          <w:rFonts w:hint="cs"/>
          <w:rtl/>
        </w:rPr>
        <w:t>הרי הרמב"ם העתיק במורה נבוכים ג' י"ח</w:t>
      </w:r>
      <w:r w:rsidR="005F1D10">
        <w:rPr>
          <w:rtl/>
        </w:rPr>
        <w:fldChar w:fldCharType="begin"/>
      </w:r>
      <w:r w:rsidR="005F1D10">
        <w:instrText xml:space="preserve"> XE "</w:instrText>
      </w:r>
      <w:r w:rsidR="005F1D10" w:rsidRPr="00ED4B3D">
        <w:rPr>
          <w:rFonts w:hint="cs"/>
          <w:rtl/>
        </w:rPr>
        <w:instrText>מורה נבוכים ג' י</w:instrText>
      </w:r>
      <w:r w:rsidR="005F1D10">
        <w:rPr>
          <w:b/>
          <w:bCs/>
          <w:sz w:val="20"/>
          <w:szCs w:val="20"/>
        </w:rPr>
        <w:instrText>\</w:instrText>
      </w:r>
      <w:r w:rsidR="005F1D10" w:rsidRPr="00ED4B3D">
        <w:rPr>
          <w:rFonts w:hint="cs"/>
          <w:rtl/>
        </w:rPr>
        <w:instrText>"ח - הסוג והמין לא קיימים מחוץ לשכל</w:instrText>
      </w:r>
      <w:r w:rsidR="005F1D10">
        <w:instrText xml:space="preserve">" </w:instrText>
      </w:r>
      <w:r w:rsidR="005F1D10">
        <w:rPr>
          <w:rtl/>
        </w:rPr>
        <w:fldChar w:fldCharType="end"/>
      </w:r>
      <w:r>
        <w:rPr>
          <w:rFonts w:hint="cs"/>
          <w:rtl/>
        </w:rPr>
        <w:t xml:space="preserve"> את דברי אריסטו אלה, וביחד עם זה כתב באגרת תחיית המתים:</w:t>
      </w:r>
    </w:p>
    <w:p w14:paraId="5E1FAA63" w14:textId="6975E0DE" w:rsidR="0061152C" w:rsidRDefault="00FD29B5" w:rsidP="00F267B2">
      <w:pPr>
        <w:pStyle w:val="FootnoteText"/>
      </w:pPr>
      <w:r>
        <w:rPr>
          <w:rFonts w:hint="cs"/>
          <w:rtl/>
        </w:rPr>
        <w:t>"</w:t>
      </w:r>
      <w:r w:rsidR="007C5551">
        <w:rPr>
          <w:rtl/>
        </w:rPr>
        <w:t>מה שיעלה בדמיון ההמון אשר לא יאמינו שיש מציאות חזקה רק לגוף ומה שאינו גוף אבל הוא בגוף, רצה לומר כמקרים הוא גם כן נמצא אצלם אבל אין חזקתו במציאותו כחוזק הגוף. ואולם מה שאינו גוף ולא מקרה בגוף אינו נמצא אצל הסכלים אשר הם בלא ספק, אף על פי שהזקינו, גמולי מחלב עתיקי משדים, ומפני זה יאמינו רובם שהשם גוף אצלם, שאם לא יהיה גוף אינו נמצא. ואמנם הנקראים חכמים באמת, לא על דרך העברה, הנה התבאר אצלם, שכל נבדל מן החומר הוא יותר חזק המציאות מבעל החומר, ואין ראוי לומר יותר חזק, אבל מציאות הנבדל יותר אמתית, מפני שלא ישיגהו אחד מאופני השנוי, והם אשר התבאר אצלם במופת שהשם אינו גוף, ומפני זה מדרגת מציאותו יתעלה בתכלית החזוק. וכן כל נברא נבדל, רוצה לומר המלאכים והשכל, הוא במציאותו חזק מאד, קיים יותר מכל גוף,  ומפני זה נאמין אנחנו שהמלאכים אינם גופות, ושבני העולם הבא נפשות נבדלות, רוצה לומר דעות. וכבר בארנו ראיות מן התורה על זה במאמרנו המכונה "מורה הנבוכים".</w:t>
      </w:r>
      <w:r w:rsidR="003152F8">
        <w:t>"</w:t>
      </w:r>
      <w:r w:rsidR="0061152C">
        <w:rPr>
          <w:rFonts w:hint="cs"/>
          <w:rtl/>
        </w:rPr>
        <w:t xml:space="preserve"> </w:t>
      </w:r>
      <w:r w:rsidR="00EF29E5">
        <w:rPr>
          <w:rFonts w:hint="cs"/>
          <w:rtl/>
        </w:rPr>
        <w:t xml:space="preserve">(יש הרבה הוכחות חותכות לכך שאין כוונת אריסטו לומר שאין מציאות ריאלית לאידיאות האפלטוניות המופשטות שהיא </w:t>
      </w:r>
      <w:r w:rsidR="0036064F">
        <w:rPr>
          <w:rFonts w:hint="cs"/>
          <w:rtl/>
        </w:rPr>
        <w:t xml:space="preserve">חמורה ראשונית ואמיתית יותר מהמציאות החומרית. </w:t>
      </w:r>
    </w:p>
    <w:p w14:paraId="59C5A2B0" w14:textId="7AE83DD7" w:rsidR="001B3310" w:rsidRDefault="00F267B2" w:rsidP="00F267B2">
      <w:pPr>
        <w:pStyle w:val="FootnoteText"/>
        <w:rPr>
          <w:rtl/>
        </w:rPr>
      </w:pPr>
      <w:r>
        <w:rPr>
          <w:rFonts w:hint="cs"/>
          <w:rtl/>
        </w:rPr>
        <w:t>ואריסטו עצמו כתב גם הוא כדברי הרמב"ם באגרת תחיית המתים</w:t>
      </w:r>
      <w:r w:rsidR="00B00F24">
        <w:rPr>
          <w:rFonts w:hint="cs"/>
          <w:rtl/>
        </w:rPr>
        <w:t>, עיין מטאפיזיקה למבדא</w:t>
      </w:r>
      <w:r w:rsidR="00C55586">
        <w:rPr>
          <w:rFonts w:hint="cs"/>
          <w:rtl/>
        </w:rPr>
        <w:t>, ב"על הנפש ג' ה'",</w:t>
      </w:r>
      <w:r w:rsidR="00B00F24">
        <w:rPr>
          <w:rFonts w:hint="cs"/>
          <w:rtl/>
        </w:rPr>
        <w:t xml:space="preserve"> ובעוד מקומות</w:t>
      </w:r>
      <w:r>
        <w:rPr>
          <w:rFonts w:hint="cs"/>
          <w:rtl/>
        </w:rPr>
        <w:t>.</w:t>
      </w:r>
      <w:r w:rsidR="00B10855">
        <w:rPr>
          <w:rFonts w:hint="cs"/>
          <w:rtl/>
        </w:rPr>
        <w:t xml:space="preserve"> </w:t>
      </w:r>
      <w:r w:rsidR="00971CF6">
        <w:rPr>
          <w:rFonts w:hint="cs"/>
          <w:rtl/>
        </w:rPr>
        <w:t>באמת אין סתירה אלא מדובר על עניינים נפרדים</w:t>
      </w:r>
      <w:r w:rsidR="00A61B9F">
        <w:rPr>
          <w:rFonts w:hint="cs"/>
          <w:rtl/>
        </w:rPr>
        <w:t>.</w:t>
      </w:r>
      <w:r w:rsidR="00C67231">
        <w:rPr>
          <w:rFonts w:hint="cs"/>
          <w:rtl/>
        </w:rPr>
        <w:t xml:space="preserve"> אריסטו בקטגוריות דיבר רק על מה </w:t>
      </w:r>
      <w:r w:rsidR="00A61B9F">
        <w:rPr>
          <w:rFonts w:hint="cs"/>
          <w:rtl/>
        </w:rPr>
        <w:t>ש</w:t>
      </w:r>
      <w:r w:rsidR="00C67231">
        <w:rPr>
          <w:rFonts w:hint="cs"/>
          <w:rtl/>
        </w:rPr>
        <w:t>מוגדר כ'עצם' ולא על מה שנמצא</w:t>
      </w:r>
      <w:r w:rsidR="00A61B9F">
        <w:rPr>
          <w:rFonts w:hint="cs"/>
          <w:rtl/>
        </w:rPr>
        <w:t xml:space="preserve">, הזיהוי של </w:t>
      </w:r>
      <w:r w:rsidR="00247527">
        <w:rPr>
          <w:rFonts w:hint="cs"/>
          <w:rtl/>
        </w:rPr>
        <w:t>'מציאות' עם 'עצם' שכתב אריסטו בכמה מקומות אינו זיהוי גמור, אלא רק ברובד הטבעי של המציאות</w:t>
      </w:r>
      <w:r w:rsidR="00663A54">
        <w:rPr>
          <w:rFonts w:hint="cs"/>
          <w:rtl/>
        </w:rPr>
        <w:t xml:space="preserve"> ששם העצם מוגדר כגוף חומרי והוא </w:t>
      </w:r>
      <w:r w:rsidR="001B4619">
        <w:rPr>
          <w:rFonts w:hint="cs"/>
          <w:rtl/>
        </w:rPr>
        <w:t xml:space="preserve">יש פרטי </w:t>
      </w:r>
      <w:r w:rsidR="009C463A">
        <w:rPr>
          <w:rFonts w:hint="cs"/>
          <w:rtl/>
        </w:rPr>
        <w:t>מסוים</w:t>
      </w:r>
      <w:r w:rsidR="001B4619">
        <w:rPr>
          <w:rFonts w:hint="cs"/>
          <w:rtl/>
        </w:rPr>
        <w:t xml:space="preserve"> (</w:t>
      </w:r>
      <w:r w:rsidR="00663A54">
        <w:rPr>
          <w:rFonts w:hint="cs"/>
          <w:rtl/>
        </w:rPr>
        <w:t>אינדיבידואל</w:t>
      </w:r>
      <w:r w:rsidR="001B4619">
        <w:rPr>
          <w:rFonts w:hint="cs"/>
          <w:rtl/>
        </w:rPr>
        <w:t>)</w:t>
      </w:r>
      <w:r w:rsidR="00663A54">
        <w:rPr>
          <w:rFonts w:hint="cs"/>
          <w:rtl/>
        </w:rPr>
        <w:t xml:space="preserve"> ול</w:t>
      </w:r>
      <w:r w:rsidR="001B4619">
        <w:rPr>
          <w:rFonts w:hint="cs"/>
          <w:rtl/>
        </w:rPr>
        <w:t>א</w:t>
      </w:r>
      <w:r w:rsidR="00663A54">
        <w:rPr>
          <w:rFonts w:hint="cs"/>
          <w:rtl/>
        </w:rPr>
        <w:t xml:space="preserve"> סוג או מין,</w:t>
      </w:r>
      <w:r w:rsidR="00247527">
        <w:rPr>
          <w:rFonts w:hint="cs"/>
          <w:rtl/>
        </w:rPr>
        <w:t xml:space="preserve"> ויש כמה מובנים שונים ל'עצם'</w:t>
      </w:r>
      <w:r w:rsidR="00C67231">
        <w:rPr>
          <w:rFonts w:hint="cs"/>
          <w:rtl/>
        </w:rPr>
        <w:t>.</w:t>
      </w:r>
      <w:r w:rsidR="004A0E61">
        <w:rPr>
          <w:rFonts w:hint="cs"/>
          <w:rtl/>
        </w:rPr>
        <w:t xml:space="preserve"> </w:t>
      </w:r>
      <w:r w:rsidR="0009652F">
        <w:rPr>
          <w:rFonts w:hint="cs"/>
          <w:rtl/>
        </w:rPr>
        <w:t>(מה שכתב במ</w:t>
      </w:r>
      <w:r w:rsidR="007C525E">
        <w:rPr>
          <w:rFonts w:hint="cs"/>
          <w:rtl/>
        </w:rPr>
        <w:t>ו</w:t>
      </w:r>
      <w:r w:rsidR="0009652F">
        <w:rPr>
          <w:rFonts w:hint="cs"/>
          <w:rtl/>
        </w:rPr>
        <w:t xml:space="preserve">רה נבוכים שהסוג והמין אין להם מציאות מחוץ לשכל, הכוונה שהמציאות של הסוגים והמינים היא מופשטת ואין בה חוץ לשכל או </w:t>
      </w:r>
      <w:r w:rsidR="004B50A0">
        <w:rPr>
          <w:rFonts w:hint="cs"/>
          <w:rtl/>
        </w:rPr>
        <w:t>בתוך השכל כי אין חומר ואין פנים וחוץ ו</w:t>
      </w:r>
      <w:r w:rsidR="007C525E">
        <w:rPr>
          <w:rFonts w:hint="cs"/>
          <w:rtl/>
        </w:rPr>
        <w:t>השכל והעולם ש</w:t>
      </w:r>
      <w:r w:rsidR="00F507ED">
        <w:rPr>
          <w:rFonts w:hint="cs"/>
          <w:rtl/>
        </w:rPr>
        <w:t>מחוץ לשכל אינם מחולקים אלא</w:t>
      </w:r>
      <w:r w:rsidR="004B50A0">
        <w:rPr>
          <w:rFonts w:hint="cs"/>
          <w:rtl/>
        </w:rPr>
        <w:t xml:space="preserve"> </w:t>
      </w:r>
      <w:r w:rsidR="00F507ED">
        <w:rPr>
          <w:rFonts w:hint="cs"/>
          <w:rtl/>
        </w:rPr>
        <w:t xml:space="preserve">הכל </w:t>
      </w:r>
      <w:r w:rsidR="004B50A0">
        <w:rPr>
          <w:rFonts w:hint="cs"/>
          <w:rtl/>
        </w:rPr>
        <w:t xml:space="preserve">מציאות אחת של שכל משכיל ומושכל </w:t>
      </w:r>
      <w:r w:rsidR="006E521F">
        <w:rPr>
          <w:rFonts w:hint="cs"/>
          <w:rtl/>
        </w:rPr>
        <w:t>(</w:t>
      </w:r>
      <w:r w:rsidR="00F507ED">
        <w:rPr>
          <w:rFonts w:hint="cs"/>
          <w:rtl/>
        </w:rPr>
        <w:t>וכמו שכתב במורה נבוכים א' ס"ח שגם בהשכלת האדם</w:t>
      </w:r>
      <w:r w:rsidR="006E521F">
        <w:rPr>
          <w:rFonts w:hint="cs"/>
          <w:rtl/>
        </w:rPr>
        <w:t xml:space="preserve"> השכל המשכיל והמושכל הם אחד, ולא רק בהשגת האלוה)</w:t>
      </w:r>
      <w:r w:rsidR="004B50A0">
        <w:rPr>
          <w:rFonts w:hint="cs"/>
          <w:rtl/>
        </w:rPr>
        <w:t xml:space="preserve">. </w:t>
      </w:r>
      <w:r w:rsidR="006E521F">
        <w:rPr>
          <w:rFonts w:hint="cs"/>
          <w:rtl/>
        </w:rPr>
        <w:t>ו</w:t>
      </w:r>
      <w:r w:rsidR="007D1DCB">
        <w:rPr>
          <w:rFonts w:hint="cs"/>
          <w:rtl/>
        </w:rPr>
        <w:t>כבר הארכתי הרבה בביאור עניין זה בכמה מקומות, ו</w:t>
      </w:r>
      <w:r w:rsidR="006E521F">
        <w:rPr>
          <w:rFonts w:hint="cs"/>
          <w:rtl/>
        </w:rPr>
        <w:t xml:space="preserve">קצת מהם </w:t>
      </w:r>
      <w:r w:rsidR="007D1DCB">
        <w:rPr>
          <w:rFonts w:hint="cs"/>
          <w:rtl/>
        </w:rPr>
        <w:t xml:space="preserve">גם </w:t>
      </w:r>
      <w:r w:rsidR="009F672A">
        <w:rPr>
          <w:rFonts w:hint="cs"/>
          <w:rtl/>
        </w:rPr>
        <w:t>בספר זה</w:t>
      </w:r>
      <w:r w:rsidR="007D1DCB">
        <w:rPr>
          <w:rFonts w:hint="cs"/>
          <w:rtl/>
        </w:rPr>
        <w:t xml:space="preserve"> לעיל.</w:t>
      </w:r>
      <w:r w:rsidR="009F672A">
        <w:rPr>
          <w:rFonts w:hint="cs"/>
          <w:rtl/>
        </w:rPr>
        <w:t>)</w:t>
      </w:r>
    </w:p>
    <w:p w14:paraId="61EAC7E5" w14:textId="1E8C2C1B" w:rsidR="00B00F24" w:rsidRDefault="001B3310" w:rsidP="00F267B2">
      <w:pPr>
        <w:pStyle w:val="FootnoteText"/>
        <w:rPr>
          <w:rtl/>
        </w:rPr>
      </w:pPr>
      <w:r>
        <w:rPr>
          <w:rFonts w:hint="cs"/>
          <w:rtl/>
        </w:rPr>
        <w:t>לגבי מציאות ראשונה ושנייה מקגיניס ציין לספרו של אבן סינא כיתאב אל מדח</w:t>
      </w:r>
      <w:r w:rsidR="00E7510C">
        <w:rPr>
          <w:rFonts w:hint="cs"/>
          <w:rtl/>
        </w:rPr>
        <w:t>ל</w:t>
      </w:r>
      <w:r>
        <w:rPr>
          <w:rFonts w:hint="cs"/>
          <w:rtl/>
        </w:rPr>
        <w:t xml:space="preserve"> 1.2.</w:t>
      </w:r>
      <w:r w:rsidR="00782661">
        <w:rPr>
          <w:rFonts w:hint="cs"/>
          <w:rtl/>
        </w:rPr>
        <w:t xml:space="preserve"> זה פירוש של אבן סינא על ההקדמה של פורפירי לאורגנון של אריסטו, </w:t>
      </w:r>
      <w:r w:rsidR="00D24529">
        <w:rPr>
          <w:rFonts w:hint="cs"/>
          <w:rtl/>
        </w:rPr>
        <w:t>הנקראת איסאגוגה, והוא חלק מספר הריפוי חלק ההגיון</w:t>
      </w:r>
      <w:r w:rsidR="00D305C7">
        <w:rPr>
          <w:rFonts w:hint="cs"/>
          <w:rtl/>
        </w:rPr>
        <w:t xml:space="preserve">. אין שם דיון בנושא אלא רק הזכרה שיש </w:t>
      </w:r>
      <w:r w:rsidR="00420E98">
        <w:rPr>
          <w:rFonts w:hint="cs"/>
          <w:rtl/>
        </w:rPr>
        <w:t>'</w:t>
      </w:r>
      <w:r w:rsidR="00D305C7">
        <w:rPr>
          <w:rFonts w:hint="cs"/>
          <w:rtl/>
        </w:rPr>
        <w:t>מציאות ראשונה</w:t>
      </w:r>
      <w:r w:rsidR="00420E98">
        <w:rPr>
          <w:rFonts w:hint="cs"/>
          <w:rtl/>
        </w:rPr>
        <w:t>'</w:t>
      </w:r>
      <w:r w:rsidR="00D305C7">
        <w:rPr>
          <w:rFonts w:hint="cs"/>
          <w:rtl/>
        </w:rPr>
        <w:t xml:space="preserve"> שהיא הפרטים </w:t>
      </w:r>
      <w:r w:rsidR="009C463A">
        <w:rPr>
          <w:rFonts w:hint="cs"/>
          <w:rtl/>
        </w:rPr>
        <w:t>המסוימים</w:t>
      </w:r>
      <w:r w:rsidR="00D305C7">
        <w:rPr>
          <w:rFonts w:hint="cs"/>
          <w:rtl/>
        </w:rPr>
        <w:t xml:space="preserve"> ו</w:t>
      </w:r>
      <w:r w:rsidR="00420E98">
        <w:rPr>
          <w:rFonts w:hint="cs"/>
          <w:rtl/>
        </w:rPr>
        <w:t>'</w:t>
      </w:r>
      <w:r w:rsidR="00D305C7">
        <w:rPr>
          <w:rFonts w:hint="cs"/>
          <w:rtl/>
        </w:rPr>
        <w:t>מציאות שנייה</w:t>
      </w:r>
      <w:r w:rsidR="00420E98">
        <w:rPr>
          <w:rFonts w:hint="cs"/>
          <w:rtl/>
        </w:rPr>
        <w:t>'</w:t>
      </w:r>
      <w:r w:rsidR="00D305C7">
        <w:rPr>
          <w:rFonts w:hint="cs"/>
          <w:rtl/>
        </w:rPr>
        <w:t xml:space="preserve"> </w:t>
      </w:r>
      <w:r w:rsidR="00420E98">
        <w:rPr>
          <w:rFonts w:hint="cs"/>
          <w:rtl/>
        </w:rPr>
        <w:t>שהיא המין והסוג</w:t>
      </w:r>
      <w:r w:rsidR="00D24529">
        <w:rPr>
          <w:rFonts w:hint="cs"/>
          <w:rtl/>
        </w:rPr>
        <w:t xml:space="preserve">. </w:t>
      </w:r>
      <w:r>
        <w:rPr>
          <w:rFonts w:hint="cs"/>
          <w:rtl/>
        </w:rPr>
        <w:t xml:space="preserve"> </w:t>
      </w:r>
      <w:r w:rsidR="007D1DCB">
        <w:rPr>
          <w:rFonts w:hint="cs"/>
          <w:rtl/>
        </w:rPr>
        <w:t xml:space="preserve"> </w:t>
      </w:r>
    </w:p>
    <w:p w14:paraId="08D1054A" w14:textId="559C22AA" w:rsidR="00F267B2" w:rsidRPr="00F267B2" w:rsidRDefault="00F267B2" w:rsidP="00F267B2">
      <w:pPr>
        <w:pStyle w:val="FootnoteText"/>
        <w:rPr>
          <w:rtl/>
        </w:rPr>
      </w:pPr>
      <w:r>
        <w:rPr>
          <w:rFonts w:hint="cs"/>
          <w:rtl/>
        </w:rPr>
        <w:t xml:space="preserve"> </w:t>
      </w:r>
    </w:p>
  </w:footnote>
  <w:footnote w:id="544">
    <w:p w14:paraId="33A495B7" w14:textId="638409D8" w:rsidR="00E127C6" w:rsidRDefault="000C39E0" w:rsidP="00656A48">
      <w:pPr>
        <w:pStyle w:val="FootnoteText"/>
        <w:rPr>
          <w:rtl/>
        </w:rPr>
      </w:pPr>
      <w:r>
        <w:rPr>
          <w:rStyle w:val="FootnoteReference"/>
        </w:rPr>
        <w:footnoteRef/>
      </w:r>
      <w:r>
        <w:rPr>
          <w:rtl/>
        </w:rPr>
        <w:t xml:space="preserve"> </w:t>
      </w:r>
      <w:r w:rsidR="00E127C6">
        <w:rPr>
          <w:rFonts w:hint="cs"/>
          <w:rtl/>
        </w:rPr>
        <w:t xml:space="preserve">לשון אפלטון </w:t>
      </w:r>
      <w:r w:rsidR="00E127C6">
        <w:rPr>
          <w:rFonts w:hint="cs"/>
          <w:rtl/>
        </w:rPr>
        <w:t>בטימיאוס</w:t>
      </w:r>
      <w:r w:rsidR="00656A48">
        <w:rPr>
          <w:rFonts w:hint="cs"/>
          <w:rtl/>
        </w:rPr>
        <w:t xml:space="preserve"> (דף 29):</w:t>
      </w:r>
    </w:p>
    <w:p w14:paraId="6621D1FB" w14:textId="16B90DDB" w:rsidR="00656A48" w:rsidRDefault="00656A48" w:rsidP="00656A48">
      <w:pPr>
        <w:pStyle w:val="FootnoteText"/>
        <w:rPr>
          <w:rtl/>
        </w:rPr>
      </w:pPr>
      <w:r>
        <w:rPr>
          <w:rFonts w:hint="cs"/>
          <w:rtl/>
        </w:rPr>
        <w:t>"</w:t>
      </w:r>
      <w:r>
        <w:rPr>
          <w:rtl/>
        </w:rPr>
        <w:t xml:space="preserve">והנה </w:t>
      </w:r>
      <w:r w:rsidR="008006B4">
        <w:rPr>
          <w:rFonts w:hint="cs"/>
          <w:rtl/>
        </w:rPr>
        <w:t>כ</w:t>
      </w:r>
      <w:r>
        <w:rPr>
          <w:rtl/>
        </w:rPr>
        <w:t>ל המתהווה בהכרח שיתהו</w:t>
      </w:r>
      <w:r w:rsidR="008006B4">
        <w:rPr>
          <w:rFonts w:hint="cs"/>
          <w:rtl/>
        </w:rPr>
        <w:t>ו</w:t>
      </w:r>
      <w:r>
        <w:rPr>
          <w:rtl/>
        </w:rPr>
        <w:t>ה מתור איזו שהיא סיב</w:t>
      </w:r>
      <w:r w:rsidR="00585CBE">
        <w:rPr>
          <w:rFonts w:hint="cs"/>
          <w:rtl/>
        </w:rPr>
        <w:t>ה;</w:t>
      </w:r>
      <w:r>
        <w:rPr>
          <w:rtl/>
        </w:rPr>
        <w:t xml:space="preserve"> שבלא סיבה אין שום דבר יכול לבוא לידי התהוות. והנה דבר כלשהו שיוצרו משווה לעיניו את שעומד תמיד בעינו</w:t>
      </w:r>
      <w:r w:rsidR="006D6F0B">
        <w:rPr>
          <w:rFonts w:hint="cs"/>
          <w:rtl/>
        </w:rPr>
        <w:t>,</w:t>
      </w:r>
      <w:r>
        <w:rPr>
          <w:rtl/>
        </w:rPr>
        <w:t xml:space="preserve"> ונזקק לדגם שכ</w:t>
      </w:r>
      <w:r w:rsidR="006D6F0B">
        <w:rPr>
          <w:rFonts w:hint="cs"/>
          <w:rtl/>
        </w:rPr>
        <w:t>ך</w:t>
      </w:r>
      <w:r>
        <w:rPr>
          <w:rtl/>
        </w:rPr>
        <w:t xml:space="preserve"> טיבו בשע</w:t>
      </w:r>
      <w:r w:rsidR="00A92590">
        <w:rPr>
          <w:rFonts w:hint="cs"/>
          <w:rtl/>
        </w:rPr>
        <w:t>ה</w:t>
      </w:r>
      <w:r>
        <w:rPr>
          <w:rtl/>
        </w:rPr>
        <w:t xml:space="preserve"> שהוא יוצר את דמות הדבר ותכונתו, </w:t>
      </w:r>
      <w:r w:rsidR="00A92590">
        <w:rPr>
          <w:rFonts w:hint="cs"/>
          <w:rtl/>
        </w:rPr>
        <w:t xml:space="preserve">- </w:t>
      </w:r>
      <w:r>
        <w:rPr>
          <w:rtl/>
        </w:rPr>
        <w:t>הרי כל דבר מעין זה מוכרח לעלות יפה</w:t>
      </w:r>
      <w:r w:rsidR="00BC24CA">
        <w:rPr>
          <w:rFonts w:hint="cs"/>
          <w:rtl/>
        </w:rPr>
        <w:t>.</w:t>
      </w:r>
    </w:p>
    <w:p w14:paraId="64DAD535" w14:textId="338DA207" w:rsidR="00BC24CA" w:rsidRDefault="00BC24CA" w:rsidP="00656A48">
      <w:pPr>
        <w:pStyle w:val="FootnoteText"/>
        <w:rPr>
          <w:rtl/>
        </w:rPr>
      </w:pPr>
      <w:r>
        <w:rPr>
          <w:rFonts w:hint="cs"/>
          <w:rtl/>
        </w:rPr>
        <w:t>[...]</w:t>
      </w:r>
    </w:p>
    <w:p w14:paraId="0ECE8EB6" w14:textId="77777777" w:rsidR="00A80CE5" w:rsidRDefault="00793F48" w:rsidP="00656A48">
      <w:pPr>
        <w:pStyle w:val="FootnoteText"/>
        <w:rPr>
          <w:rtl/>
        </w:rPr>
      </w:pPr>
      <w:r>
        <w:rPr>
          <w:rFonts w:hint="cs"/>
          <w:rtl/>
        </w:rPr>
        <w:t>וכן אמרנו שהמתהווה בהכרח שיהא מתהווה מתוך איזו סיבה שהיא</w:t>
      </w:r>
      <w:r w:rsidR="00D902D2">
        <w:rPr>
          <w:rFonts w:hint="cs"/>
          <w:rtl/>
        </w:rPr>
        <w:t>. ואילו אביו ויוצרו של הכ</w:t>
      </w:r>
      <w:r w:rsidR="0084386D">
        <w:rPr>
          <w:rFonts w:hint="cs"/>
          <w:rtl/>
        </w:rPr>
        <w:t>ו</w:t>
      </w:r>
      <w:r w:rsidR="00D902D2">
        <w:rPr>
          <w:rFonts w:hint="cs"/>
          <w:rtl/>
        </w:rPr>
        <w:t>ל ה</w:t>
      </w:r>
      <w:r w:rsidR="0084386D">
        <w:rPr>
          <w:rFonts w:hint="cs"/>
          <w:rtl/>
        </w:rPr>
        <w:t>ל</w:t>
      </w:r>
      <w:r w:rsidR="00D902D2">
        <w:rPr>
          <w:rFonts w:hint="cs"/>
          <w:rtl/>
        </w:rPr>
        <w:t>זה</w:t>
      </w:r>
      <w:r w:rsidR="0084386D">
        <w:rPr>
          <w:rFonts w:hint="cs"/>
          <w:rtl/>
        </w:rPr>
        <w:t xml:space="preserve"> </w:t>
      </w:r>
      <w:r w:rsidR="00A80CE5">
        <w:rPr>
          <w:rFonts w:hint="cs"/>
          <w:rtl/>
        </w:rPr>
        <w:t>-</w:t>
      </w:r>
      <w:r w:rsidR="0084386D">
        <w:rPr>
          <w:rFonts w:hint="cs"/>
          <w:rtl/>
        </w:rPr>
        <w:t xml:space="preserve"> קשה למצאו; ומי שמצאו, אי אפשר שיגידנו באזני כל בני אדם.</w:t>
      </w:r>
    </w:p>
    <w:p w14:paraId="68BB8385" w14:textId="7508CC6A" w:rsidR="00062FD0" w:rsidRDefault="00A80CE5" w:rsidP="00656A48">
      <w:pPr>
        <w:pStyle w:val="FootnoteText"/>
        <w:rPr>
          <w:rtl/>
        </w:rPr>
      </w:pPr>
      <w:r>
        <w:rPr>
          <w:rFonts w:hint="cs"/>
          <w:rtl/>
        </w:rPr>
        <w:t>(</w:t>
      </w:r>
      <w:r w:rsidR="00062FD0">
        <w:rPr>
          <w:rFonts w:hint="cs"/>
          <w:rtl/>
        </w:rPr>
        <w:t>במורה נבוכים ב' י"ג</w:t>
      </w:r>
      <w:r w:rsidR="00632752">
        <w:rPr>
          <w:rtl/>
        </w:rPr>
        <w:fldChar w:fldCharType="begin"/>
      </w:r>
      <w:r w:rsidR="00632752">
        <w:instrText xml:space="preserve"> XE "</w:instrText>
      </w:r>
      <w:r w:rsidR="00632752" w:rsidRPr="003D7CB5">
        <w:rPr>
          <w:rFonts w:hint="cs"/>
          <w:rtl/>
        </w:rPr>
        <w:instrText>מורה נבוכים ב' י</w:instrText>
      </w:r>
      <w:r w:rsidR="00632752">
        <w:rPr>
          <w:b/>
          <w:bCs/>
          <w:sz w:val="20"/>
          <w:szCs w:val="20"/>
        </w:rPr>
        <w:instrText>\</w:instrText>
      </w:r>
      <w:r w:rsidR="00632752" w:rsidRPr="003D7CB5">
        <w:rPr>
          <w:rFonts w:hint="cs"/>
          <w:rtl/>
        </w:rPr>
        <w:instrText>"ג - האמת בדעת אפלטון שהחומר אינו קדמון</w:instrText>
      </w:r>
      <w:r w:rsidR="00632752">
        <w:instrText xml:space="preserve">" </w:instrText>
      </w:r>
      <w:r w:rsidR="00632752">
        <w:rPr>
          <w:rtl/>
        </w:rPr>
        <w:fldChar w:fldCharType="end"/>
      </w:r>
      <w:r w:rsidR="00062FD0">
        <w:rPr>
          <w:rFonts w:hint="cs"/>
          <w:rtl/>
        </w:rPr>
        <w:t xml:space="preserve"> כתב:</w:t>
      </w:r>
    </w:p>
    <w:p w14:paraId="104D5FE1" w14:textId="622DF24E" w:rsidR="008200D7" w:rsidRDefault="00062FD0" w:rsidP="00593EF0">
      <w:pPr>
        <w:pStyle w:val="FootnoteText"/>
        <w:rPr>
          <w:rtl/>
        </w:rPr>
      </w:pPr>
      <w:r>
        <w:rPr>
          <w:rFonts w:hint="cs"/>
          <w:rtl/>
        </w:rPr>
        <w:t>"</w:t>
      </w:r>
      <w:r w:rsidR="00617858">
        <w:rPr>
          <w:rtl/>
        </w:rPr>
        <w:t xml:space="preserve">והדעת השני </w:t>
      </w:r>
      <w:r w:rsidR="007426A8">
        <w:rPr>
          <w:rFonts w:hint="cs"/>
          <w:rtl/>
        </w:rPr>
        <w:t>... ש</w:t>
      </w:r>
      <w:r w:rsidR="00617858">
        <w:rPr>
          <w:rtl/>
        </w:rPr>
        <w:t>הם אומרים כי מן השקר שימציא האלוה דבר לא מדבר ואי אפשר גם כן אצלם שיפסיד דבר אל לא דבר - רצוני לומר שאי אפשר שיתהוה נמצא אחד בעל חומר וצורה מהעדר החומר ההוא העדר גמור ולא יפסד אל העדר החומר ההוא העדר גמור</w:t>
      </w:r>
      <w:r w:rsidR="00593EF0">
        <w:rPr>
          <w:rFonts w:hint="cs"/>
          <w:rtl/>
        </w:rPr>
        <w:t xml:space="preserve"> ... </w:t>
      </w:r>
      <w:r w:rsidR="00617858">
        <w:rPr>
          <w:rtl/>
        </w:rPr>
        <w:t>ואפלטון גם כן זו היא האמנתו - אתה תמצא אריסטו יספר עליו בספר השמע שהוא מאמין - רצוני לומר אפלטון - כי השמים הוים נפסדים; וכן תמצא דעתו מבואר בספרו לטימאוס; אלא שהוא לא יאמין אמונתנו כמו שיחשוב מי שלא יבחון הדעות ולא ידקדק העיון וידמה שדעתנו ודעתו שוה - ואין הענין כן שאנחנו נאמין היות השמים לא מדבר אלא אחר ההעדר המוחלט והוא יאמין שהם נמצאים הוים מדבר - וזהו הדעת השני</w:t>
      </w:r>
      <w:r w:rsidR="00757527">
        <w:rPr>
          <w:rFonts w:hint="cs"/>
          <w:rtl/>
        </w:rPr>
        <w:t>"</w:t>
      </w:r>
      <w:r w:rsidR="008200D7">
        <w:rPr>
          <w:rFonts w:hint="cs"/>
          <w:rtl/>
        </w:rPr>
        <w:t>.</w:t>
      </w:r>
    </w:p>
    <w:p w14:paraId="25DE9DA2" w14:textId="3DE7BAE8" w:rsidR="00FF3B48" w:rsidRDefault="008200D7" w:rsidP="00593EF0">
      <w:pPr>
        <w:pStyle w:val="FootnoteText"/>
        <w:rPr>
          <w:rtl/>
        </w:rPr>
      </w:pPr>
      <w:r>
        <w:rPr>
          <w:rFonts w:hint="cs"/>
          <w:rtl/>
        </w:rPr>
        <w:t xml:space="preserve">אמנם כאן מבואר שדעת אפלטון לחלק בין הדמיורגוס, </w:t>
      </w:r>
      <w:r w:rsidR="00757527">
        <w:rPr>
          <w:rFonts w:hint="cs"/>
          <w:rtl/>
        </w:rPr>
        <w:t xml:space="preserve">שהיא המילה היוונית לאומן, </w:t>
      </w:r>
      <w:r>
        <w:rPr>
          <w:rFonts w:hint="cs"/>
          <w:rtl/>
        </w:rPr>
        <w:t xml:space="preserve"> שהסתכל בדגם הנצחי ולפי ברא את העולם, ובין </w:t>
      </w:r>
      <w:r w:rsidR="005D006A">
        <w:rPr>
          <w:rFonts w:hint="cs"/>
          <w:rtl/>
        </w:rPr>
        <w:t>"</w:t>
      </w:r>
      <w:r w:rsidR="00FF3B48">
        <w:rPr>
          <w:rFonts w:hint="cs"/>
          <w:rtl/>
        </w:rPr>
        <w:t xml:space="preserve">אביו </w:t>
      </w:r>
      <w:r w:rsidR="005D006A">
        <w:rPr>
          <w:rFonts w:hint="cs"/>
          <w:rtl/>
        </w:rPr>
        <w:t>ו</w:t>
      </w:r>
      <w:r w:rsidR="00FF3B48">
        <w:rPr>
          <w:rFonts w:hint="cs"/>
          <w:rtl/>
        </w:rPr>
        <w:t>יוצרו של הכול</w:t>
      </w:r>
      <w:r w:rsidR="005D006A">
        <w:rPr>
          <w:rFonts w:hint="cs"/>
          <w:rtl/>
        </w:rPr>
        <w:t xml:space="preserve"> הלזה"</w:t>
      </w:r>
      <w:r w:rsidR="00FF3B48">
        <w:rPr>
          <w:rFonts w:hint="cs"/>
          <w:rtl/>
        </w:rPr>
        <w:t>, שהוא סוד</w:t>
      </w:r>
      <w:r w:rsidR="004565A8">
        <w:rPr>
          <w:rFonts w:hint="cs"/>
          <w:rtl/>
        </w:rPr>
        <w:t>, ועליו לא מדבר טימיאוס, ואם כן כל מה שאומר טימיאוס על האלוה הוא לא על אותו אב</w:t>
      </w:r>
      <w:r w:rsidR="008F4533">
        <w:rPr>
          <w:rFonts w:hint="cs"/>
          <w:rtl/>
        </w:rPr>
        <w:t>יו</w:t>
      </w:r>
      <w:r w:rsidR="004565A8">
        <w:rPr>
          <w:rFonts w:hint="cs"/>
          <w:rtl/>
        </w:rPr>
        <w:t xml:space="preserve"> </w:t>
      </w:r>
      <w:r w:rsidR="008F4533">
        <w:rPr>
          <w:rFonts w:hint="cs"/>
          <w:rtl/>
        </w:rPr>
        <w:t>ויוצרו של הכול</w:t>
      </w:r>
      <w:r w:rsidR="00FF3B48">
        <w:rPr>
          <w:rFonts w:hint="cs"/>
          <w:rtl/>
        </w:rPr>
        <w:t>. וכן הוא במדרש בראשית רבה א' א':</w:t>
      </w:r>
    </w:p>
    <w:p w14:paraId="0AE40E85" w14:textId="576CAC4C" w:rsidR="00E3243D" w:rsidRDefault="00062FD0" w:rsidP="00593EF0">
      <w:pPr>
        <w:pStyle w:val="FootnoteText"/>
        <w:rPr>
          <w:rtl/>
        </w:rPr>
      </w:pPr>
      <w:r>
        <w:rPr>
          <w:rFonts w:hint="cs"/>
          <w:rtl/>
        </w:rPr>
        <w:t>"</w:t>
      </w:r>
      <w:r w:rsidR="003F2B86" w:rsidRPr="003F2B86">
        <w:rPr>
          <w:rtl/>
        </w:rPr>
        <w:t>בנוהג שבעולם, מלך בשר ודם בונה פלטין</w:t>
      </w:r>
      <w:r w:rsidR="00C22A10">
        <w:rPr>
          <w:rFonts w:hint="cs"/>
          <w:rtl/>
        </w:rPr>
        <w:t xml:space="preserve"> [ארמון]</w:t>
      </w:r>
      <w:r w:rsidR="003F2B86" w:rsidRPr="003F2B86">
        <w:rPr>
          <w:rtl/>
        </w:rPr>
        <w:t>, אינו בונה אותה מדעת עצמו אלא מדעת אומן, והאומן אינו בונה אותה מדעת עצמו, אלא דיפתראות</w:t>
      </w:r>
      <w:r w:rsidR="00C22A10">
        <w:rPr>
          <w:rFonts w:hint="cs"/>
          <w:rtl/>
        </w:rPr>
        <w:t xml:space="preserve"> [מחברות]</w:t>
      </w:r>
      <w:r w:rsidR="003F2B86" w:rsidRPr="003F2B86">
        <w:rPr>
          <w:rtl/>
        </w:rPr>
        <w:t>, ופינקסאות יש לו, לדעת היאך הוא עושה חדרים, היאך הוא עושה פשפשין</w:t>
      </w:r>
      <w:r w:rsidR="00C22A10">
        <w:rPr>
          <w:rFonts w:hint="cs"/>
          <w:rtl/>
        </w:rPr>
        <w:t xml:space="preserve"> [פ</w:t>
      </w:r>
      <w:r w:rsidR="00E3243D">
        <w:rPr>
          <w:rFonts w:hint="cs"/>
          <w:rtl/>
        </w:rPr>
        <w:t>ת</w:t>
      </w:r>
      <w:r w:rsidR="00C22A10">
        <w:rPr>
          <w:rFonts w:hint="cs"/>
          <w:rtl/>
        </w:rPr>
        <w:t>חים]</w:t>
      </w:r>
      <w:r w:rsidR="003F2B86" w:rsidRPr="003F2B86">
        <w:rPr>
          <w:rtl/>
        </w:rPr>
        <w:t xml:space="preserve">. כך היה </w:t>
      </w:r>
      <w:r w:rsidR="009C6305">
        <w:rPr>
          <w:rFonts w:hint="cs"/>
          <w:rtl/>
        </w:rPr>
        <w:t>הקב"ה [</w:t>
      </w:r>
      <w:r w:rsidR="003F2B86" w:rsidRPr="003F2B86">
        <w:rPr>
          <w:rtl/>
        </w:rPr>
        <w:t>הק</w:t>
      </w:r>
      <w:r w:rsidR="00E3243D">
        <w:rPr>
          <w:rFonts w:hint="cs"/>
          <w:rtl/>
        </w:rPr>
        <w:t>דוש ברוך הוא</w:t>
      </w:r>
      <w:r w:rsidR="009C6305">
        <w:rPr>
          <w:rFonts w:hint="cs"/>
          <w:rtl/>
        </w:rPr>
        <w:t>]</w:t>
      </w:r>
      <w:r w:rsidR="003F2B86" w:rsidRPr="003F2B86">
        <w:rPr>
          <w:rtl/>
        </w:rPr>
        <w:t xml:space="preserve"> מביט בתורה, ובורא את העולם</w:t>
      </w:r>
      <w:r w:rsidR="003F2B86">
        <w:rPr>
          <w:rFonts w:hint="cs"/>
          <w:rtl/>
        </w:rPr>
        <w:t>"</w:t>
      </w:r>
    </w:p>
    <w:p w14:paraId="1B36A532" w14:textId="22D8DC67" w:rsidR="00D249D4" w:rsidRDefault="00E3243D" w:rsidP="00593EF0">
      <w:pPr>
        <w:pStyle w:val="FootnoteText"/>
        <w:rPr>
          <w:rtl/>
        </w:rPr>
      </w:pPr>
      <w:r>
        <w:rPr>
          <w:rFonts w:hint="cs"/>
          <w:rtl/>
        </w:rPr>
        <w:t xml:space="preserve">ומפורש כאן כלשון אפלטון שהקב"ה הוא האומן, </w:t>
      </w:r>
      <w:r w:rsidR="00766822">
        <w:rPr>
          <w:rFonts w:hint="cs"/>
          <w:rtl/>
        </w:rPr>
        <w:t xml:space="preserve">הדמיורגוס, </w:t>
      </w:r>
      <w:r>
        <w:rPr>
          <w:rFonts w:hint="cs"/>
          <w:rtl/>
        </w:rPr>
        <w:t>ויש מלך</w:t>
      </w:r>
      <w:r w:rsidR="00766822">
        <w:rPr>
          <w:rFonts w:hint="cs"/>
          <w:rtl/>
        </w:rPr>
        <w:t xml:space="preserve"> שהוא מעל האומן, והוא אביו ויוצרו של ה</w:t>
      </w:r>
      <w:r w:rsidR="007802FC">
        <w:rPr>
          <w:rFonts w:hint="cs"/>
          <w:rtl/>
        </w:rPr>
        <w:t>כ</w:t>
      </w:r>
      <w:r w:rsidR="00766822">
        <w:rPr>
          <w:rFonts w:hint="cs"/>
          <w:rtl/>
        </w:rPr>
        <w:t>ול הלזה</w:t>
      </w:r>
      <w:r w:rsidR="00D249D4">
        <w:rPr>
          <w:rFonts w:hint="cs"/>
          <w:rtl/>
        </w:rPr>
        <w:t xml:space="preserve"> והוא סוד</w:t>
      </w:r>
      <w:r w:rsidR="00766822">
        <w:rPr>
          <w:rFonts w:hint="cs"/>
          <w:rtl/>
        </w:rPr>
        <w:t xml:space="preserve">, והמלך ברא את המחברות והפנקסים ואת האומן. </w:t>
      </w:r>
      <w:r w:rsidR="009C6305">
        <w:rPr>
          <w:rFonts w:hint="cs"/>
          <w:rtl/>
        </w:rPr>
        <w:t>וכמעט בכל מקום שחז"ל אומרים הקב"ה הכוונה לאומן שהוא מה שנ</w:t>
      </w:r>
      <w:r w:rsidR="00D724AD">
        <w:rPr>
          <w:rFonts w:hint="cs"/>
          <w:rtl/>
        </w:rPr>
        <w:t>ק</w:t>
      </w:r>
      <w:r w:rsidR="009C6305">
        <w:rPr>
          <w:rFonts w:hint="cs"/>
          <w:rtl/>
        </w:rPr>
        <w:t>רא בספרי הקבלה ספירת מלכות</w:t>
      </w:r>
      <w:r w:rsidR="00D724AD">
        <w:rPr>
          <w:rFonts w:hint="cs"/>
          <w:rtl/>
        </w:rPr>
        <w:t xml:space="preserve"> [היא המלך הגדול שמדבר בו </w:t>
      </w:r>
      <w:r w:rsidR="00E85735">
        <w:rPr>
          <w:rFonts w:hint="cs"/>
          <w:rtl/>
        </w:rPr>
        <w:t>המורה נבוכים ג' נ"ב שאינו השם יתברך בעצמו</w:t>
      </w:r>
      <w:r w:rsidR="00D724AD">
        <w:rPr>
          <w:rFonts w:hint="cs"/>
          <w:rtl/>
        </w:rPr>
        <w:t>]</w:t>
      </w:r>
      <w:r w:rsidR="009C6305">
        <w:rPr>
          <w:rFonts w:hint="cs"/>
          <w:rtl/>
        </w:rPr>
        <w:t xml:space="preserve"> </w:t>
      </w:r>
      <w:r w:rsidR="00D724AD">
        <w:rPr>
          <w:rFonts w:hint="cs"/>
          <w:rtl/>
        </w:rPr>
        <w:t>ובפילוסופיה</w:t>
      </w:r>
      <w:r w:rsidR="007802FC">
        <w:rPr>
          <w:rFonts w:hint="cs"/>
          <w:rtl/>
        </w:rPr>
        <w:t xml:space="preserve"> נקרא</w:t>
      </w:r>
      <w:r w:rsidR="00D724AD">
        <w:rPr>
          <w:rFonts w:hint="cs"/>
          <w:rtl/>
        </w:rPr>
        <w:t xml:space="preserve"> השכל הפועל.</w:t>
      </w:r>
      <w:r w:rsidR="00125B4A">
        <w:rPr>
          <w:rFonts w:hint="cs"/>
          <w:rtl/>
        </w:rPr>
        <w:t xml:space="preserve"> </w:t>
      </w:r>
      <w:r w:rsidR="00125B4A" w:rsidRPr="00125B4A">
        <w:rPr>
          <w:rtl/>
        </w:rPr>
        <w:t>ויש ראיות רבות שהרמב"ם ידע שכך דעת אפלטון והצניע זאת כי אפלטון כתב שזה סוד ואי אפשר לגלות אותו ברבים.</w:t>
      </w:r>
      <w:r w:rsidR="00125B4A">
        <w:rPr>
          <w:rFonts w:hint="cs"/>
          <w:rtl/>
        </w:rPr>
        <w:t>)</w:t>
      </w:r>
    </w:p>
    <w:p w14:paraId="22538F27" w14:textId="77777777" w:rsidR="00951C66" w:rsidRDefault="00951C66" w:rsidP="00593EF0">
      <w:pPr>
        <w:pStyle w:val="FootnoteText"/>
        <w:rPr>
          <w:rtl/>
        </w:rPr>
      </w:pPr>
    </w:p>
    <w:p w14:paraId="0906464B" w14:textId="77777777" w:rsidR="00D953BC" w:rsidRDefault="00CC63DF" w:rsidP="00593EF0">
      <w:pPr>
        <w:pStyle w:val="FootnoteText"/>
        <w:rPr>
          <w:rtl/>
        </w:rPr>
      </w:pPr>
      <w:r>
        <w:rPr>
          <w:rFonts w:hint="cs"/>
          <w:rtl/>
        </w:rPr>
        <w:t>בטימיאוס מדף 48 מופעי סיפור הבריאה השני, שמוסיף על שני היסודות שהתבארו מקודם (שהם הדגם הנצחי שבו מסתכל האומן, והעולם שהאומן בורא לפי אותו דגם), עוד יסוד שלישי שהוא החומר הראשון מצד</w:t>
      </w:r>
      <w:r w:rsidR="00D275CC">
        <w:rPr>
          <w:rFonts w:hint="cs"/>
          <w:rtl/>
        </w:rPr>
        <w:t xml:space="preserve"> עצמו. זה כמו שמסופר בספר בראשית סיפור הבריאה ה</w:t>
      </w:r>
      <w:r w:rsidR="00D514B3">
        <w:rPr>
          <w:rFonts w:hint="cs"/>
          <w:rtl/>
        </w:rPr>
        <w:t xml:space="preserve">ראשון, בפרק א', שבו מסופר איך הצורות השונות נעשו על ידי האומן מתוך הסתכלותו בדגם הנצחי, </w:t>
      </w:r>
      <w:r w:rsidR="003C55A4">
        <w:rPr>
          <w:rFonts w:hint="cs"/>
          <w:rtl/>
        </w:rPr>
        <w:t>ושם החומר הראשון הוא ה'בכח' שהוא הנצח</w:t>
      </w:r>
      <w:r w:rsidR="00C855D7">
        <w:rPr>
          <w:rFonts w:hint="cs"/>
          <w:rtl/>
        </w:rPr>
        <w:t xml:space="preserve"> ההיולי</w:t>
      </w:r>
      <w:r w:rsidR="003C55A4">
        <w:rPr>
          <w:rFonts w:hint="cs"/>
          <w:rtl/>
        </w:rPr>
        <w:t xml:space="preserve"> שגנוזות בו כל הצורות</w:t>
      </w:r>
      <w:r w:rsidR="00D51D67">
        <w:rPr>
          <w:rFonts w:hint="cs"/>
          <w:rtl/>
        </w:rPr>
        <w:t>, ותהליך הבריאה הוא לצייר את הצורות המרו</w:t>
      </w:r>
      <w:r w:rsidR="00C855D7">
        <w:rPr>
          <w:rFonts w:hint="cs"/>
          <w:rtl/>
        </w:rPr>
        <w:t>ב</w:t>
      </w:r>
      <w:r w:rsidR="00D51D67">
        <w:rPr>
          <w:rFonts w:hint="cs"/>
          <w:rtl/>
        </w:rPr>
        <w:t xml:space="preserve">ות </w:t>
      </w:r>
      <w:r w:rsidR="00C855D7">
        <w:rPr>
          <w:rFonts w:hint="cs"/>
          <w:rtl/>
        </w:rPr>
        <w:t xml:space="preserve">והמסויימות </w:t>
      </w:r>
      <w:r w:rsidR="00D51D67">
        <w:rPr>
          <w:rFonts w:hint="cs"/>
          <w:rtl/>
        </w:rPr>
        <w:t xml:space="preserve">שאנו מכירים מתוך אותו דגם של המציאות 'בכח' </w:t>
      </w:r>
      <w:r w:rsidR="00C855D7">
        <w:rPr>
          <w:rFonts w:hint="cs"/>
          <w:rtl/>
        </w:rPr>
        <w:t xml:space="preserve">שהיא הנצח </w:t>
      </w:r>
      <w:r w:rsidR="00164001">
        <w:rPr>
          <w:rFonts w:hint="cs"/>
          <w:rtl/>
        </w:rPr>
        <w:t>ו</w:t>
      </w:r>
      <w:r w:rsidR="00D51D67">
        <w:rPr>
          <w:rFonts w:hint="cs"/>
          <w:rtl/>
        </w:rPr>
        <w:t>היתה כולה באותה נקודה ראשונה, וכמו שכתב הרמב"ן על בראשית א' א'</w:t>
      </w:r>
      <w:r w:rsidR="00164001">
        <w:rPr>
          <w:rFonts w:hint="cs"/>
          <w:rtl/>
        </w:rPr>
        <w:t xml:space="preserve"> (וכמו שכתב אפלטון בטימיאוס שהזמן הוא צלם נע של הנצח)</w:t>
      </w:r>
      <w:r w:rsidR="00D51D67">
        <w:rPr>
          <w:rFonts w:hint="cs"/>
          <w:rtl/>
        </w:rPr>
        <w:t xml:space="preserve">. </w:t>
      </w:r>
      <w:r w:rsidR="00C45C35">
        <w:rPr>
          <w:rFonts w:hint="cs"/>
          <w:rtl/>
        </w:rPr>
        <w:t>ואחר כך כתוב בבראשית פרק ב' סיפור הבריאה השני, שהו נוסף עניין מציאות החומר מצד עצמו, לא רק כאופן הוויית הצורות כשהן מתממשות בפועל. מצד עצמו החומר נקרא אילוץ או הכרח</w:t>
      </w:r>
      <w:r w:rsidR="00FF0D4A">
        <w:rPr>
          <w:rFonts w:hint="cs"/>
          <w:rtl/>
        </w:rPr>
        <w:t>,</w:t>
      </w:r>
      <w:r w:rsidR="00C45C35">
        <w:rPr>
          <w:rFonts w:hint="cs"/>
          <w:rtl/>
        </w:rPr>
        <w:t xml:space="preserve"> </w:t>
      </w:r>
      <w:r w:rsidR="00FF0D4A">
        <w:rPr>
          <w:rFonts w:hint="cs"/>
          <w:rtl/>
        </w:rPr>
        <w:t>הוא כביכול מאלץ את הבורא, ויש בבריאה מתח בין האילוץ הזה לפעולת הבורא מרצונו החופשי. עיין בזה במורה נבוכים ג' י"ב</w:t>
      </w:r>
      <w:r w:rsidR="00D953BC">
        <w:rPr>
          <w:rFonts w:hint="cs"/>
          <w:rtl/>
        </w:rPr>
        <w:t xml:space="preserve"> שכתב:</w:t>
      </w:r>
    </w:p>
    <w:p w14:paraId="050425D7" w14:textId="77777777" w:rsidR="00563D56" w:rsidRDefault="00D953BC" w:rsidP="00593EF0">
      <w:pPr>
        <w:pStyle w:val="FootnoteText"/>
        <w:rPr>
          <w:rtl/>
        </w:rPr>
      </w:pPr>
      <w:r>
        <w:rPr>
          <w:rFonts w:hint="cs"/>
          <w:rtl/>
        </w:rPr>
        <w:t>"</w:t>
      </w:r>
      <w:r w:rsidRPr="00D953BC">
        <w:rPr>
          <w:rtl/>
        </w:rPr>
        <w:t xml:space="preserve">ומי שירצה שיהיה בעל בשר ועצמות ולא יקבל מעשה ולא ישיגהו דבר ממשיגי החומר, אמנם ירצה לקבץ בין שני ההפכים והוא לא ישער בזה, וזה שהוא ירצה להיות </w:t>
      </w:r>
      <w:r w:rsidR="004A06CC">
        <w:rPr>
          <w:rFonts w:hint="cs"/>
          <w:rtl/>
        </w:rPr>
        <w:t>'</w:t>
      </w:r>
      <w:r w:rsidRPr="00D953BC">
        <w:rPr>
          <w:rtl/>
        </w:rPr>
        <w:t>מקבל מעשה</w:t>
      </w:r>
      <w:r w:rsidR="004A06CC">
        <w:rPr>
          <w:rFonts w:hint="cs"/>
          <w:rtl/>
        </w:rPr>
        <w:t>-</w:t>
      </w:r>
      <w:r w:rsidRPr="00D953BC">
        <w:rPr>
          <w:rtl/>
        </w:rPr>
        <w:t>לא</w:t>
      </w:r>
      <w:r w:rsidR="004A06CC">
        <w:rPr>
          <w:rFonts w:hint="cs"/>
          <w:rtl/>
        </w:rPr>
        <w:t>-</w:t>
      </w:r>
      <w:r w:rsidRPr="00D953BC">
        <w:rPr>
          <w:rtl/>
        </w:rPr>
        <w:t>מקבל</w:t>
      </w:r>
      <w:r w:rsidR="004A06CC">
        <w:rPr>
          <w:rFonts w:hint="cs"/>
          <w:rtl/>
        </w:rPr>
        <w:t>-</w:t>
      </w:r>
      <w:r w:rsidRPr="00D953BC">
        <w:rPr>
          <w:rtl/>
        </w:rPr>
        <w:t>מעשה</w:t>
      </w:r>
      <w:r w:rsidR="004A06CC">
        <w:rPr>
          <w:rFonts w:hint="cs"/>
          <w:rtl/>
        </w:rPr>
        <w:t>'</w:t>
      </w:r>
      <w:r w:rsidRPr="00D953BC">
        <w:rPr>
          <w:rtl/>
        </w:rPr>
        <w:t>, שאילו היה בלתי מקבל למעשה לא נתהוה, והיה הנמצא ממנו איש לא אישי מין, ואמת המאמר שאמר גאלינ״ו במאמר השלישי מן הספר הנקרא "תועלות האברים", לא תיחל נפשך בשקר שיהיה אפשר להיות מדם הנידות ושכבת הזרע בעל חיים שלא ימות ולא יכאב או תדיר התנועה או בהיר כשמש. וזה המאמר מגאלינ״ו הוא הערה על חלק מגזרה כללית, והגזרה היא שכל מה שאפשר שיתהוה מאיזה חומר שיהיה, יתהוה על השלמות שאפשר לו להיות מן החומר ההוא המיני, וישיג אישי המין מן החסרון כפי חסרון חומר האיש ההוא. ותכלית מה שאפשר להתהוות מן הדם והזרע והשלם שיהיה מהם הוא מין האדם כפי מה שנודע מטבעו שהוא, חי, מדבר, מת, ואי אפשר לזה המין מבלתי רע שימצא לו</w:t>
      </w:r>
      <w:r>
        <w:rPr>
          <w:rFonts w:hint="cs"/>
          <w:rtl/>
        </w:rPr>
        <w:t>"</w:t>
      </w:r>
      <w:r w:rsidR="00FF0D4A">
        <w:rPr>
          <w:rFonts w:hint="cs"/>
          <w:rtl/>
        </w:rPr>
        <w:t xml:space="preserve">. </w:t>
      </w:r>
    </w:p>
    <w:p w14:paraId="3A816812" w14:textId="04B8F7EA" w:rsidR="00656A48" w:rsidRDefault="00563D56" w:rsidP="00593EF0">
      <w:pPr>
        <w:pStyle w:val="FootnoteText"/>
        <w:rPr>
          <w:rtl/>
        </w:rPr>
      </w:pPr>
      <w:r>
        <w:rPr>
          <w:rFonts w:hint="cs"/>
          <w:rtl/>
        </w:rPr>
        <w:t>הבורא לא רוצה שיהיה רע למי שנברא מחומר, אבל מהות החומר מאלצת אותו לזה. כבר הארכ</w:t>
      </w:r>
      <w:r w:rsidR="00023516">
        <w:rPr>
          <w:rFonts w:hint="cs"/>
          <w:rtl/>
        </w:rPr>
        <w:t>תי בזה בכמה מקומות להבין איך לפי האמת אין כאן באמת אילוץ, ומה פשר עניין האילוץ הזה. האילוץ הזה אינו חלק מעצם הבריאה, אע"פ שהוא מוכרח בה. לכן יש ס</w:t>
      </w:r>
      <w:r w:rsidR="0033056A">
        <w:rPr>
          <w:rFonts w:hint="cs"/>
          <w:rtl/>
        </w:rPr>
        <w:t xml:space="preserve">יפור הבריאה הראשון שמספר על המציאות בלי האילוץ, כי הסיפור הזה הוא האמת בעצם </w:t>
      </w:r>
      <w:r w:rsidR="00EF1F6F">
        <w:rPr>
          <w:rFonts w:hint="cs"/>
          <w:rtl/>
        </w:rPr>
        <w:t xml:space="preserve">בשלמותה </w:t>
      </w:r>
      <w:r w:rsidR="0033056A">
        <w:rPr>
          <w:rFonts w:hint="cs"/>
          <w:rtl/>
        </w:rPr>
        <w:t>ואי אפשר לערב בו את האילוץ, ו</w:t>
      </w:r>
      <w:r w:rsidR="00EF1F6F">
        <w:rPr>
          <w:rFonts w:hint="cs"/>
          <w:rtl/>
        </w:rPr>
        <w:t xml:space="preserve">יש </w:t>
      </w:r>
      <w:r w:rsidR="0033056A">
        <w:rPr>
          <w:rFonts w:hint="cs"/>
          <w:rtl/>
        </w:rPr>
        <w:t>סיפור</w:t>
      </w:r>
      <w:r w:rsidR="00EF1F6F">
        <w:rPr>
          <w:rFonts w:hint="cs"/>
          <w:rtl/>
        </w:rPr>
        <w:t xml:space="preserve"> נוסף שמתייחס גם לאילוץ. האילוץ לא נתפש בשכל כיוון שאינו מציאות עצמית בבריאה. </w:t>
      </w:r>
      <w:r w:rsidR="0033056A">
        <w:rPr>
          <w:rFonts w:hint="cs"/>
          <w:rtl/>
        </w:rPr>
        <w:t xml:space="preserve"> </w:t>
      </w:r>
      <w:r w:rsidR="003C55A4">
        <w:rPr>
          <w:rFonts w:hint="cs"/>
          <w:rtl/>
        </w:rPr>
        <w:t xml:space="preserve">  </w:t>
      </w:r>
      <w:r w:rsidR="00D275CC">
        <w:rPr>
          <w:rFonts w:hint="cs"/>
          <w:rtl/>
        </w:rPr>
        <w:t xml:space="preserve"> </w:t>
      </w:r>
    </w:p>
    <w:p w14:paraId="7BE3CAAA" w14:textId="77777777" w:rsidR="00656A48" w:rsidRDefault="00656A48" w:rsidP="00656A48">
      <w:pPr>
        <w:pStyle w:val="FootnoteText"/>
        <w:rPr>
          <w:rtl/>
        </w:rPr>
      </w:pPr>
    </w:p>
    <w:p w14:paraId="617F8B83" w14:textId="51FE1EC5" w:rsidR="00951C66" w:rsidRDefault="00951C66" w:rsidP="00656A48">
      <w:pPr>
        <w:pStyle w:val="FootnoteText"/>
        <w:rPr>
          <w:rtl/>
        </w:rPr>
      </w:pPr>
      <w:r>
        <w:rPr>
          <w:rFonts w:hint="cs"/>
          <w:rtl/>
        </w:rPr>
        <w:t>וזה לשונו של אפלטון בסיפור הבריאה השני, בטימיאוס מדף 4</w:t>
      </w:r>
      <w:r w:rsidR="00050075">
        <w:rPr>
          <w:rFonts w:hint="cs"/>
          <w:rtl/>
        </w:rPr>
        <w:t>8</w:t>
      </w:r>
      <w:r>
        <w:rPr>
          <w:rFonts w:hint="cs"/>
          <w:rtl/>
        </w:rPr>
        <w:t>:</w:t>
      </w:r>
    </w:p>
    <w:p w14:paraId="6CE2CF85" w14:textId="6F7F8A6C" w:rsidR="00656A48" w:rsidRDefault="00656A48" w:rsidP="00656A48">
      <w:pPr>
        <w:pStyle w:val="FootnoteText"/>
        <w:rPr>
          <w:rtl/>
        </w:rPr>
      </w:pPr>
      <w:r>
        <w:rPr>
          <w:rtl/>
        </w:rPr>
        <w:t>מה שנאמר ע</w:t>
      </w:r>
      <w:r w:rsidR="00050075">
        <w:rPr>
          <w:rFonts w:hint="cs"/>
          <w:rtl/>
        </w:rPr>
        <w:t>ד</w:t>
      </w:r>
      <w:r>
        <w:rPr>
          <w:rtl/>
        </w:rPr>
        <w:t xml:space="preserve"> כה </w:t>
      </w:r>
      <w:r w:rsidR="00050075">
        <w:rPr>
          <w:rFonts w:hint="cs"/>
          <w:rtl/>
        </w:rPr>
        <w:t xml:space="preserve">- </w:t>
      </w:r>
      <w:r>
        <w:rPr>
          <w:rtl/>
        </w:rPr>
        <w:t>ח</w:t>
      </w:r>
      <w:r w:rsidR="00050075">
        <w:rPr>
          <w:rFonts w:hint="cs"/>
          <w:rtl/>
        </w:rPr>
        <w:t>וץ</w:t>
      </w:r>
      <w:r>
        <w:rPr>
          <w:rtl/>
        </w:rPr>
        <w:t xml:space="preserve"> מכמה דברים שהבאנו בקיצור </w:t>
      </w:r>
      <w:r w:rsidR="00050075">
        <w:rPr>
          <w:rFonts w:hint="cs"/>
          <w:rtl/>
        </w:rPr>
        <w:t>-</w:t>
      </w:r>
      <w:r>
        <w:rPr>
          <w:rtl/>
        </w:rPr>
        <w:t xml:space="preserve"> דן בדברים שיצר אותם השכל</w:t>
      </w:r>
      <w:r w:rsidR="00F33AAD">
        <w:rPr>
          <w:rFonts w:hint="cs"/>
          <w:rtl/>
        </w:rPr>
        <w:t xml:space="preserve"> [כלומר השכל הפועל, הוא נותן הצו</w:t>
      </w:r>
      <w:r w:rsidR="00FD127B">
        <w:rPr>
          <w:rFonts w:hint="cs"/>
          <w:rtl/>
        </w:rPr>
        <w:t>רה</w:t>
      </w:r>
      <w:r w:rsidR="00F33FD6">
        <w:rPr>
          <w:rFonts w:hint="cs"/>
          <w:rtl/>
        </w:rPr>
        <w:t>, עיין מורה נבוכים ב' ד' וב' י"ב</w:t>
      </w:r>
      <w:r w:rsidR="00F33AAD">
        <w:rPr>
          <w:rFonts w:hint="cs"/>
          <w:rtl/>
        </w:rPr>
        <w:t>]</w:t>
      </w:r>
      <w:r w:rsidR="00050075">
        <w:rPr>
          <w:rFonts w:hint="cs"/>
          <w:rtl/>
        </w:rPr>
        <w:t>;</w:t>
      </w:r>
      <w:r>
        <w:rPr>
          <w:rtl/>
        </w:rPr>
        <w:t xml:space="preserve"> ועכשיו עלינו לשים בצדם את אשר נעשה מתוך הכרח. שכן משיתוף כוחותיהם של הכרח ושכל נהיתה התהוות העולם הזה. ואילו השכל משל </w:t>
      </w:r>
      <w:r w:rsidR="007F647E" w:rsidRPr="007F647E">
        <w:rPr>
          <w:rtl/>
        </w:rPr>
        <w:t>בַּ</w:t>
      </w:r>
      <w:r>
        <w:rPr>
          <w:rtl/>
        </w:rPr>
        <w:t>הכרח, מאחר ששידל אותו להנחות את רוב הדברים המתהווים כלפי המצב הטוב ביותר</w:t>
      </w:r>
      <w:r w:rsidR="00C550FF">
        <w:rPr>
          <w:rFonts w:hint="cs"/>
          <w:rtl/>
        </w:rPr>
        <w:t>;</w:t>
      </w:r>
      <w:r>
        <w:rPr>
          <w:rtl/>
        </w:rPr>
        <w:t xml:space="preserve"> כך, ולפי אותו כלל, הותקן הכול הלזה בראשיתו, בהיכנע הכרח בפני שידול בן תבונה. וכדי לתאר בתיאור של אמת, כיצד נתהווה העולם על פי אותו כלל, יש לערבב בסיפור המעשה גם את הסיבה הפועלת מחוך תעייה, ולהתוות כיצד היא עשויה להניע. לפיכך עלינו לחזור על עקבותינו, ומתוך שננקוט עכשיו ראשית שניה שיש לייחס אותה לאותם הדברים עצמם, שוב נתחיל להרחיב את הדיבור על דברים אלו מראשיתם, כדרך שנהגנו קודם.</w:t>
      </w:r>
    </w:p>
    <w:p w14:paraId="23D04895" w14:textId="4E97A34C" w:rsidR="00A0553D" w:rsidRDefault="00A0553D" w:rsidP="00656A48">
      <w:pPr>
        <w:pStyle w:val="FootnoteText"/>
        <w:rPr>
          <w:rtl/>
        </w:rPr>
      </w:pPr>
      <w:r>
        <w:rPr>
          <w:rFonts w:hint="cs"/>
          <w:rtl/>
        </w:rPr>
        <w:t>[...]</w:t>
      </w:r>
    </w:p>
    <w:p w14:paraId="08846A94" w14:textId="02EC6D12" w:rsidR="00656A48" w:rsidRDefault="00656A48" w:rsidP="007B3A00">
      <w:pPr>
        <w:pStyle w:val="FootnoteText"/>
        <w:rPr>
          <w:rtl/>
        </w:rPr>
      </w:pPr>
      <w:r>
        <w:rPr>
          <w:rtl/>
        </w:rPr>
        <w:t>ואולם בפתיחה שניה זו של תיאור הכול עלינו להוסיף על אותה הבחנה שהבחנו בפתיחה הקודמת</w:t>
      </w:r>
      <w:r w:rsidR="00EC5C68">
        <w:rPr>
          <w:rFonts w:hint="cs"/>
          <w:rtl/>
        </w:rPr>
        <w:t>;</w:t>
      </w:r>
      <w:r>
        <w:rPr>
          <w:rtl/>
        </w:rPr>
        <w:t xml:space="preserve"> שאז הבחנו בין שני מינים</w:t>
      </w:r>
      <w:r w:rsidR="00EC5C68">
        <w:rPr>
          <w:rFonts w:hint="cs"/>
          <w:rtl/>
        </w:rPr>
        <w:t>;</w:t>
      </w:r>
      <w:r>
        <w:rPr>
          <w:rtl/>
        </w:rPr>
        <w:t xml:space="preserve"> ועכשיו עלינו להצביע על מין שלישי. שכן הספיקו אותם השניים לצורך הדברים שהשמענו קודם</w:t>
      </w:r>
      <w:r w:rsidR="00EC5C68">
        <w:rPr>
          <w:rFonts w:hint="cs"/>
          <w:rtl/>
        </w:rPr>
        <w:t>;</w:t>
      </w:r>
      <w:r>
        <w:rPr>
          <w:rtl/>
        </w:rPr>
        <w:t xml:space="preserve"> אח</w:t>
      </w:r>
      <w:r w:rsidR="007B3A00">
        <w:rPr>
          <w:rFonts w:hint="cs"/>
          <w:rtl/>
        </w:rPr>
        <w:t>ד</w:t>
      </w:r>
      <w:r>
        <w:rPr>
          <w:rtl/>
        </w:rPr>
        <w:t xml:space="preserve"> הנחנו בחינת דגם, והוא מין מושכל והווה שעומד תמיד בעינ</w:t>
      </w:r>
      <w:r w:rsidR="007B3A00">
        <w:rPr>
          <w:rFonts w:hint="cs"/>
          <w:rtl/>
        </w:rPr>
        <w:t>ו;</w:t>
      </w:r>
      <w:r>
        <w:rPr>
          <w:rtl/>
        </w:rPr>
        <w:t xml:space="preserve"> ושני בחינת העתק הדגם, שיש בו משום התהוות, והוא נראה לעין. מאלה לא הבדלנו באותה שעה את השלישי, מהיותנו סבורים שיהא לנו די בשניים אלו</w:t>
      </w:r>
      <w:r w:rsidR="007B3A00">
        <w:rPr>
          <w:rFonts w:hint="cs"/>
          <w:rtl/>
        </w:rPr>
        <w:t>;</w:t>
      </w:r>
      <w:r>
        <w:rPr>
          <w:rtl/>
        </w:rPr>
        <w:t xml:space="preserve"> אולם עכשיו, כנראה, מכריחנו הגיון הדברים שנשתדל לגלות בדברינו מין נוסף, מוקשה</w:t>
      </w:r>
      <w:r w:rsidR="00962AF7">
        <w:rPr>
          <w:rFonts w:hint="cs"/>
          <w:rtl/>
        </w:rPr>
        <w:t xml:space="preserve"> </w:t>
      </w:r>
      <w:r>
        <w:rPr>
          <w:rtl/>
        </w:rPr>
        <w:t>ומעומעם. מה הוא, אפוא, כוח הפעולה</w:t>
      </w:r>
      <w:r w:rsidR="0056404A">
        <w:rPr>
          <w:rFonts w:hint="cs"/>
          <w:rtl/>
        </w:rPr>
        <w:t>,</w:t>
      </w:r>
      <w:r>
        <w:rPr>
          <w:rtl/>
        </w:rPr>
        <w:t xml:space="preserve"> ואיזה הוא הטבע שיש לייחסו למין ההוא? מכל וכל טבעו הוא כדלהלן</w:t>
      </w:r>
      <w:r w:rsidR="0056404A">
        <w:rPr>
          <w:rFonts w:hint="cs"/>
          <w:rtl/>
        </w:rPr>
        <w:t>:</w:t>
      </w:r>
      <w:r>
        <w:rPr>
          <w:rtl/>
        </w:rPr>
        <w:t xml:space="preserve"> להיות בית קיבול, וכביכול אומנת, של כל התולדה.</w:t>
      </w:r>
    </w:p>
    <w:p w14:paraId="5C780165" w14:textId="5457D95C" w:rsidR="00524B90" w:rsidRDefault="00524B90" w:rsidP="007B3A00">
      <w:pPr>
        <w:pStyle w:val="FootnoteText"/>
        <w:rPr>
          <w:rtl/>
        </w:rPr>
      </w:pPr>
      <w:r>
        <w:rPr>
          <w:rFonts w:hint="cs"/>
          <w:rtl/>
        </w:rPr>
        <w:t>[... טימיאוס דף 52:]</w:t>
      </w:r>
    </w:p>
    <w:p w14:paraId="1B472F1C" w14:textId="77777777" w:rsidR="00524B90" w:rsidRDefault="00524B90" w:rsidP="00524B90">
      <w:pPr>
        <w:pStyle w:val="FootnoteText"/>
        <w:rPr>
          <w:rtl/>
        </w:rPr>
      </w:pPr>
      <w:r>
        <w:rPr>
          <w:rtl/>
        </w:rPr>
        <w:t>ומכיוון שכך, עלינו להודות, שישנה, ראשית כל, הדמות שאינה משתנית, אשר לא נהיתה ולא תכלה, ואינה קולטת בתוכה דבר־מה אחר ממקום אחר, אף אינה נכנסת לתוך דבר־מה אחר מכל מקום שהוא, ואינה נראית לעין או נתפסת בכל חוש אחר, והיא אותו ענין שנתייחד למחשבה.</w:t>
      </w:r>
    </w:p>
    <w:p w14:paraId="632753E1" w14:textId="443F29D0" w:rsidR="00524B90" w:rsidRDefault="00524B90" w:rsidP="00524B90">
      <w:pPr>
        <w:pStyle w:val="FootnoteText"/>
        <w:rPr>
          <w:rtl/>
        </w:rPr>
      </w:pPr>
      <w:r>
        <w:rPr>
          <w:rtl/>
        </w:rPr>
        <w:t>שני הוא הדבר שנקרא בשמה של הדמות ורומה לה</w:t>
      </w:r>
      <w:r w:rsidR="00AC01DD">
        <w:rPr>
          <w:rFonts w:hint="cs"/>
          <w:rtl/>
        </w:rPr>
        <w:t>;</w:t>
      </w:r>
      <w:r>
        <w:rPr>
          <w:rtl/>
        </w:rPr>
        <w:t xml:space="preserve"> והוא מוחשי</w:t>
      </w:r>
      <w:r w:rsidR="00AC01DD">
        <w:rPr>
          <w:rFonts w:hint="cs"/>
          <w:rtl/>
        </w:rPr>
        <w:t>;</w:t>
      </w:r>
      <w:r>
        <w:rPr>
          <w:rtl/>
        </w:rPr>
        <w:t xml:space="preserve"> נתהווה</w:t>
      </w:r>
      <w:r w:rsidR="00AC01DD">
        <w:rPr>
          <w:rFonts w:hint="cs"/>
          <w:rtl/>
        </w:rPr>
        <w:t>;</w:t>
      </w:r>
      <w:r>
        <w:rPr>
          <w:rtl/>
        </w:rPr>
        <w:t xml:space="preserve"> שרוי תמיד בתנועה מהיותו נוצר במקום </w:t>
      </w:r>
      <w:r w:rsidR="009C463A">
        <w:rPr>
          <w:rFonts w:hint="cs"/>
          <w:rtl/>
        </w:rPr>
        <w:t>מסוים</w:t>
      </w:r>
      <w:r>
        <w:rPr>
          <w:rtl/>
        </w:rPr>
        <w:t xml:space="preserve"> וכלה מקרב המקום הזה</w:t>
      </w:r>
      <w:r w:rsidR="00191250">
        <w:rPr>
          <w:rFonts w:hint="cs"/>
          <w:rtl/>
        </w:rPr>
        <w:t>;</w:t>
      </w:r>
      <w:r>
        <w:rPr>
          <w:rtl/>
        </w:rPr>
        <w:t xml:space="preserve"> ומשגתו סברה שתחושה בצדה. שלישי הוא החלל אשר קיים לעולם ונמנע ממנו כליון</w:t>
      </w:r>
      <w:r w:rsidR="00191250">
        <w:rPr>
          <w:rFonts w:hint="cs"/>
          <w:rtl/>
        </w:rPr>
        <w:t>;</w:t>
      </w:r>
      <w:r>
        <w:rPr>
          <w:rtl/>
        </w:rPr>
        <w:t xml:space="preserve"> הוא ממציא משכן לכל המתהווה</w:t>
      </w:r>
      <w:r w:rsidR="00191250">
        <w:rPr>
          <w:rFonts w:hint="cs"/>
          <w:rtl/>
        </w:rPr>
        <w:t>;</w:t>
      </w:r>
      <w:r>
        <w:rPr>
          <w:rtl/>
        </w:rPr>
        <w:t xml:space="preserve"> ואותו משיג</w:t>
      </w:r>
      <w:r w:rsidR="00191250">
        <w:rPr>
          <w:rFonts w:hint="cs"/>
          <w:rtl/>
        </w:rPr>
        <w:t xml:space="preserve"> -</w:t>
      </w:r>
      <w:r>
        <w:rPr>
          <w:rtl/>
        </w:rPr>
        <w:t xml:space="preserve"> בלא תחושה </w:t>
      </w:r>
      <w:r w:rsidR="00191250">
        <w:rPr>
          <w:rFonts w:hint="cs"/>
          <w:rtl/>
        </w:rPr>
        <w:t>-</w:t>
      </w:r>
      <w:r>
        <w:rPr>
          <w:rtl/>
        </w:rPr>
        <w:t xml:space="preserve"> שיקול דעת </w:t>
      </w:r>
      <w:r w:rsidR="009C463A">
        <w:rPr>
          <w:rFonts w:hint="cs"/>
          <w:rtl/>
        </w:rPr>
        <w:t>מסוים</w:t>
      </w:r>
      <w:r>
        <w:rPr>
          <w:rtl/>
        </w:rPr>
        <w:t xml:space="preserve"> שאינו כשר מלידה</w:t>
      </w:r>
      <w:r w:rsidR="00254066">
        <w:rPr>
          <w:rFonts w:hint="cs"/>
          <w:rtl/>
        </w:rPr>
        <w:t xml:space="preserve"> [כלומר ממזר. עיין בזה עיונים בפילוסופיה אריסטוטלית רשימה 55]</w:t>
      </w:r>
      <w:r w:rsidR="00CA325C">
        <w:rPr>
          <w:rFonts w:hint="cs"/>
          <w:rtl/>
        </w:rPr>
        <w:t>;</w:t>
      </w:r>
      <w:r>
        <w:rPr>
          <w:rtl/>
        </w:rPr>
        <w:t xml:space="preserve"> אך כמעט לא ייתכן לראות בו ענין לאמונה. והוא הדבר שאנו מביטים אליו כבחלום, ואומרים שכל מה שישנו צריך שיהא במקום כלשהו, ומה שאיננו עלי אדמות, ולא באיזה שהוא מקום בשמיים, אינו דבר. ומהיותנו נתונים במצב זה של חלום, אין ביכולתנו להתעורר ולהבחין את ההבחנות האלה ושכמותן, אף לא לגבי אותו טבע שאינו אחוז שינה והקיים קיום אמיתי, ולהגיד את האמת, כדלהלן</w:t>
      </w:r>
      <w:r w:rsidR="00BA3A02">
        <w:rPr>
          <w:rFonts w:hint="cs"/>
          <w:rtl/>
        </w:rPr>
        <w:t>:</w:t>
      </w:r>
      <w:r>
        <w:rPr>
          <w:rtl/>
        </w:rPr>
        <w:t xml:space="preserve"> מאחר שעצם היסוד שמכוחו נתהווה הצלם אינו שייך לצלם עצמו, והוא תמונתו של מה שהוא אחר המתנועעת תמיד אנה ואנה, משום כך דינו של הצלם הוא, שיתהווה בתוך מה שהוא אחר, כשבדרך מה הוא נאחז במה שקיים, ולא, כלל לא יהיה הצלם בגדר דבר</w:t>
      </w:r>
      <w:r w:rsidR="00E25BF2">
        <w:rPr>
          <w:rFonts w:hint="cs"/>
          <w:rtl/>
        </w:rPr>
        <w:t>;" (עיין עוד שם בכל משך העניין)</w:t>
      </w:r>
    </w:p>
    <w:p w14:paraId="35899BE9" w14:textId="77777777" w:rsidR="00B66515" w:rsidRDefault="00B66515" w:rsidP="00524B90">
      <w:pPr>
        <w:pStyle w:val="FootnoteText"/>
        <w:rPr>
          <w:rtl/>
        </w:rPr>
      </w:pPr>
    </w:p>
    <w:p w14:paraId="59A31DCB" w14:textId="1E29B040" w:rsidR="005859B2" w:rsidRDefault="005859B2" w:rsidP="00524B90">
      <w:pPr>
        <w:pStyle w:val="FootnoteText"/>
        <w:rPr>
          <w:rtl/>
        </w:rPr>
      </w:pPr>
      <w:r>
        <w:rPr>
          <w:rFonts w:hint="cs"/>
          <w:rtl/>
        </w:rPr>
        <w:t>לשון אבן סינא כאן:</w:t>
      </w:r>
    </w:p>
    <w:p w14:paraId="0BC84B1E" w14:textId="5B5CC413" w:rsidR="005859B2" w:rsidRDefault="005859B2" w:rsidP="00524B90">
      <w:pPr>
        <w:pStyle w:val="FootnoteText"/>
        <w:rPr>
          <w:rtl/>
        </w:rPr>
      </w:pPr>
      <w:r>
        <w:rPr>
          <w:rFonts w:hint="cs"/>
          <w:rtl/>
        </w:rPr>
        <w:t>"</w:t>
      </w:r>
      <w:r w:rsidR="00875A0F" w:rsidRPr="00875A0F">
        <w:rPr>
          <w:rtl/>
        </w:rPr>
        <w:t>ואמנם 'מה שבטבע' הוא כל מה שמוכרח מהטבע באופן שהוא קיים על דמיון לַכַּוָּונָה כאישים והמינים העצמיים, או מוכרח ממנו כמו המקרים ההכרחיים והמתחדשים</w:t>
      </w:r>
      <w:r w:rsidR="00B60E1D">
        <w:rPr>
          <w:rFonts w:hint="cs"/>
          <w:rtl/>
        </w:rPr>
        <w:t>"</w:t>
      </w:r>
    </w:p>
    <w:p w14:paraId="2D628504" w14:textId="4E8045AA" w:rsidR="00984F2D" w:rsidRDefault="00531425" w:rsidP="00524B90">
      <w:pPr>
        <w:pStyle w:val="FootnoteText"/>
        <w:rPr>
          <w:rtl/>
        </w:rPr>
      </w:pPr>
      <w:r>
        <w:rPr>
          <w:rFonts w:hint="cs"/>
          <w:rtl/>
        </w:rPr>
        <w:t>טבע כאמור הוא מהל</w:t>
      </w:r>
      <w:r w:rsidR="00DD1C0F">
        <w:rPr>
          <w:rFonts w:hint="cs"/>
          <w:rtl/>
        </w:rPr>
        <w:t xml:space="preserve">ך </w:t>
      </w:r>
      <w:r>
        <w:rPr>
          <w:rFonts w:hint="cs"/>
          <w:rtl/>
        </w:rPr>
        <w:t xml:space="preserve">היציאה אל הפועל של ההתגלות האלוהית להתממש בחומר. </w:t>
      </w:r>
      <w:r w:rsidR="00FD37CE">
        <w:rPr>
          <w:rFonts w:hint="cs"/>
          <w:rtl/>
        </w:rPr>
        <w:t>מה שהטבע קיים כדמיון לכוונה, או על דרך של דמיון לכוונה, מכריח ש</w:t>
      </w:r>
      <w:r w:rsidR="003148F4">
        <w:rPr>
          <w:rFonts w:hint="cs"/>
          <w:rtl/>
        </w:rPr>
        <w:t xml:space="preserve">הדברים בטבע יהיו בעלי אופי </w:t>
      </w:r>
      <w:r w:rsidR="009C463A">
        <w:rPr>
          <w:rFonts w:hint="cs"/>
          <w:rtl/>
        </w:rPr>
        <w:t>מסוים</w:t>
      </w:r>
      <w:r w:rsidR="003148F4">
        <w:rPr>
          <w:rFonts w:hint="cs"/>
          <w:rtl/>
        </w:rPr>
        <w:t xml:space="preserve"> שלא היה כשהדברים היו בדגם הנצחי המופשט ועוד לא השתלשלו אל הטבע. </w:t>
      </w:r>
      <w:r w:rsidR="00E15AB4">
        <w:rPr>
          <w:rFonts w:hint="cs"/>
          <w:rtl/>
        </w:rPr>
        <w:t xml:space="preserve">מה שבטבע מוכרח להיות דבר טבעי מכח שהוא שילוב בין הדגם המופשט הנצחי </w:t>
      </w:r>
      <w:r w:rsidR="00BD6F34">
        <w:rPr>
          <w:rFonts w:hint="cs"/>
          <w:rtl/>
        </w:rPr>
        <w:t>והחומר. למשל אפשר ש</w:t>
      </w:r>
      <w:bookmarkStart w:id="266" w:name="_Hlk106538155"/>
      <w:r w:rsidR="00BB293F" w:rsidRPr="00BB293F">
        <w:rPr>
          <w:rtl/>
        </w:rPr>
        <w:t>פַּסָּל</w:t>
      </w:r>
      <w:bookmarkEnd w:id="266"/>
      <w:r w:rsidR="00BD6F34">
        <w:rPr>
          <w:rFonts w:hint="cs"/>
          <w:rtl/>
        </w:rPr>
        <w:t xml:space="preserve"> </w:t>
      </w:r>
      <w:r w:rsidR="00BB293F">
        <w:rPr>
          <w:rFonts w:hint="cs"/>
          <w:rtl/>
        </w:rPr>
        <w:t>תהיה</w:t>
      </w:r>
      <w:r w:rsidR="007E53D2">
        <w:rPr>
          <w:rFonts w:hint="cs"/>
          <w:rtl/>
        </w:rPr>
        <w:t xml:space="preserve"> </w:t>
      </w:r>
      <w:r w:rsidR="00BB293F">
        <w:rPr>
          <w:rFonts w:hint="cs"/>
          <w:rtl/>
        </w:rPr>
        <w:t xml:space="preserve">לו השראה שהיא </w:t>
      </w:r>
      <w:r w:rsidR="007E53D2">
        <w:rPr>
          <w:rFonts w:hint="cs"/>
          <w:rtl/>
        </w:rPr>
        <w:t xml:space="preserve">תפישה במופשט, חזון, </w:t>
      </w:r>
      <w:r w:rsidR="0072201C">
        <w:rPr>
          <w:rFonts w:hint="cs"/>
          <w:rtl/>
        </w:rPr>
        <w:t>ו</w:t>
      </w:r>
      <w:r w:rsidR="00364E2A">
        <w:rPr>
          <w:rFonts w:hint="cs"/>
          <w:rtl/>
        </w:rPr>
        <w:t xml:space="preserve">מכח זה הוא </w:t>
      </w:r>
      <w:r w:rsidR="0072201C" w:rsidRPr="0072201C">
        <w:rPr>
          <w:rtl/>
        </w:rPr>
        <w:t>יְפַסֵּל</w:t>
      </w:r>
      <w:r w:rsidR="00364E2A">
        <w:rPr>
          <w:rFonts w:hint="cs"/>
          <w:rtl/>
        </w:rPr>
        <w:t xml:space="preserve"> </w:t>
      </w:r>
      <w:r w:rsidR="00A277B5" w:rsidRPr="00A277B5">
        <w:rPr>
          <w:rtl/>
        </w:rPr>
        <w:t>פֶּסֶל</w:t>
      </w:r>
      <w:r w:rsidR="00364E2A">
        <w:rPr>
          <w:rFonts w:hint="cs"/>
          <w:rtl/>
        </w:rPr>
        <w:t xml:space="preserve"> חומרי</w:t>
      </w:r>
      <w:r w:rsidR="0072201C">
        <w:rPr>
          <w:rFonts w:hint="cs"/>
          <w:rtl/>
        </w:rPr>
        <w:t>. ה</w:t>
      </w:r>
      <w:r w:rsidR="005E5A1B" w:rsidRPr="005E5A1B">
        <w:rPr>
          <w:rtl/>
        </w:rPr>
        <w:t>פֶּסֶל</w:t>
      </w:r>
      <w:r w:rsidR="0072201C">
        <w:rPr>
          <w:rFonts w:hint="cs"/>
          <w:rtl/>
        </w:rPr>
        <w:t xml:space="preserve"> החומרי מוכרח שיהיה בעל צורה מסויימת מכח שהוא </w:t>
      </w:r>
      <w:r w:rsidR="005E5A1B">
        <w:rPr>
          <w:rFonts w:hint="cs"/>
          <w:rtl/>
        </w:rPr>
        <w:t>דומה לכוונה, שהיא ההשראה המופשטת. אבל ל</w:t>
      </w:r>
      <w:r w:rsidR="005E5A1B" w:rsidRPr="005E5A1B">
        <w:rPr>
          <w:rtl/>
        </w:rPr>
        <w:t>פֶּסֶל</w:t>
      </w:r>
      <w:r w:rsidR="005E5A1B">
        <w:rPr>
          <w:rFonts w:hint="cs"/>
          <w:rtl/>
        </w:rPr>
        <w:t xml:space="preserve"> </w:t>
      </w:r>
      <w:r w:rsidR="00ED67E1">
        <w:rPr>
          <w:rFonts w:hint="cs"/>
          <w:rtl/>
        </w:rPr>
        <w:t>תהיינה גם תכונות הכרחיות אחרות, וכגון שתהיינה לו מידות מסויימות, ואם הוא עשוי שיש אי אפשר שיהיה גדלו כמה קילו</w:t>
      </w:r>
      <w:r w:rsidR="00623D30">
        <w:rPr>
          <w:rFonts w:hint="cs"/>
          <w:rtl/>
        </w:rPr>
        <w:t>מ</w:t>
      </w:r>
      <w:r w:rsidR="00ED67E1">
        <w:rPr>
          <w:rFonts w:hint="cs"/>
          <w:rtl/>
        </w:rPr>
        <w:t xml:space="preserve">טרים, ויש לו צבע </w:t>
      </w:r>
      <w:r w:rsidR="009C463A">
        <w:rPr>
          <w:rFonts w:hint="cs"/>
          <w:rtl/>
        </w:rPr>
        <w:t>מסוים</w:t>
      </w:r>
      <w:r w:rsidR="00ED67E1">
        <w:rPr>
          <w:rFonts w:hint="cs"/>
          <w:rtl/>
        </w:rPr>
        <w:t>, ומרקם ומשקל וכל כיוצא, שכל אלה גם מוכרחים מכח שה</w:t>
      </w:r>
      <w:r w:rsidR="00E30D2A">
        <w:rPr>
          <w:rFonts w:hint="cs"/>
          <w:rtl/>
        </w:rPr>
        <w:t>פסל</w:t>
      </w:r>
      <w:r w:rsidR="00ED67E1">
        <w:rPr>
          <w:rFonts w:hint="cs"/>
          <w:rtl/>
        </w:rPr>
        <w:t xml:space="preserve"> </w:t>
      </w:r>
      <w:r w:rsidR="00623D30">
        <w:rPr>
          <w:rFonts w:hint="cs"/>
          <w:rtl/>
        </w:rPr>
        <w:t xml:space="preserve">קיים על דרך של להיות דומה לכוונה. </w:t>
      </w:r>
      <w:r w:rsidR="009F2699">
        <w:rPr>
          <w:rFonts w:hint="cs"/>
          <w:rtl/>
        </w:rPr>
        <w:t>ה</w:t>
      </w:r>
      <w:r w:rsidR="009F2699" w:rsidRPr="009F2699">
        <w:rPr>
          <w:rtl/>
        </w:rPr>
        <w:t>פַּסָּל</w:t>
      </w:r>
      <w:r w:rsidR="009F2699">
        <w:rPr>
          <w:rFonts w:hint="cs"/>
          <w:rtl/>
        </w:rPr>
        <w:t xml:space="preserve"> מבצע את החזון המופשט שלו בחומר במעשה יצירת אמנות, והבחירות שלו האם לעשות את הפסל משיש או מנחושת, באיזה גודל</w:t>
      </w:r>
      <w:r w:rsidR="00E30D2A">
        <w:rPr>
          <w:rFonts w:hint="cs"/>
          <w:rtl/>
        </w:rPr>
        <w:t xml:space="preserve"> וטכניקה</w:t>
      </w:r>
      <w:r w:rsidR="009F2699">
        <w:rPr>
          <w:rFonts w:hint="cs"/>
          <w:rtl/>
        </w:rPr>
        <w:t>, וכיו"ב, הן בחירות שנובעות בהכרח מהצורך</w:t>
      </w:r>
      <w:r w:rsidR="00E30D2A">
        <w:rPr>
          <w:rFonts w:hint="cs"/>
          <w:rtl/>
        </w:rPr>
        <w:t xml:space="preserve"> </w:t>
      </w:r>
      <w:r w:rsidR="009F2699">
        <w:rPr>
          <w:rFonts w:hint="cs"/>
          <w:rtl/>
        </w:rPr>
        <w:t>לבטא נכון ככל האפשר את החז</w:t>
      </w:r>
      <w:r w:rsidR="00E30D2A">
        <w:rPr>
          <w:rFonts w:hint="cs"/>
          <w:rtl/>
        </w:rPr>
        <w:t>ו</w:t>
      </w:r>
      <w:r w:rsidR="009F2699">
        <w:rPr>
          <w:rFonts w:hint="cs"/>
          <w:rtl/>
        </w:rPr>
        <w:t xml:space="preserve">ן המופשט. </w:t>
      </w:r>
      <w:r w:rsidR="00E30D2A">
        <w:rPr>
          <w:rFonts w:hint="cs"/>
          <w:rtl/>
        </w:rPr>
        <w:t xml:space="preserve">אם מיכלאנג'לו היה מפסל את </w:t>
      </w:r>
      <w:r w:rsidR="007F4CB6">
        <w:rPr>
          <w:rFonts w:hint="cs"/>
          <w:rtl/>
        </w:rPr>
        <w:t>"דוד"</w:t>
      </w:r>
      <w:r w:rsidR="007F4CB6">
        <w:rPr>
          <w:rFonts w:hint="cs"/>
        </w:rPr>
        <w:t xml:space="preserve"> </w:t>
      </w:r>
      <w:r w:rsidR="007F4CB6">
        <w:rPr>
          <w:rFonts w:hint="cs"/>
          <w:rtl/>
        </w:rPr>
        <w:t>שלו בנחושת בגובה חמישה סנ</w:t>
      </w:r>
      <w:r w:rsidR="000062C2">
        <w:rPr>
          <w:rFonts w:hint="cs"/>
          <w:rtl/>
        </w:rPr>
        <w:t>ט</w:t>
      </w:r>
      <w:r w:rsidR="007F4CB6">
        <w:rPr>
          <w:rFonts w:hint="cs"/>
          <w:rtl/>
        </w:rPr>
        <w:t>ימ</w:t>
      </w:r>
      <w:r w:rsidR="000062C2">
        <w:rPr>
          <w:rFonts w:hint="cs"/>
          <w:rtl/>
        </w:rPr>
        <w:t>ט</w:t>
      </w:r>
      <w:r w:rsidR="007F4CB6">
        <w:rPr>
          <w:rFonts w:hint="cs"/>
          <w:rtl/>
        </w:rPr>
        <w:t xml:space="preserve">רים זה היה חטא </w:t>
      </w:r>
      <w:r w:rsidR="000062C2">
        <w:rPr>
          <w:rFonts w:hint="cs"/>
          <w:rtl/>
        </w:rPr>
        <w:t>כלפי ה</w:t>
      </w:r>
      <w:r w:rsidR="007F4CB6">
        <w:rPr>
          <w:rFonts w:hint="cs"/>
          <w:rtl/>
        </w:rPr>
        <w:t xml:space="preserve">הכרח לבטא את ההשראה המופשטת באופן </w:t>
      </w:r>
      <w:r w:rsidR="000062C2">
        <w:rPr>
          <w:rFonts w:hint="cs"/>
          <w:rtl/>
        </w:rPr>
        <w:t xml:space="preserve">שידמה ככל האפשר לכוונה. ההחלטה ליצור את הפסל בשיש דווקא ובגודל </w:t>
      </w:r>
      <w:r w:rsidR="009C463A">
        <w:rPr>
          <w:rFonts w:hint="cs"/>
          <w:rtl/>
        </w:rPr>
        <w:t>מסוים</w:t>
      </w:r>
      <w:r w:rsidR="000062C2">
        <w:rPr>
          <w:rFonts w:hint="cs"/>
          <w:rtl/>
        </w:rPr>
        <w:t xml:space="preserve"> דווקא אינה טכנית אלא אמנותית, זה מה שמשרת ביותר את היותו של הפסל דומה לכוונה. </w:t>
      </w:r>
    </w:p>
    <w:p w14:paraId="49A21107" w14:textId="2BDE67BE" w:rsidR="00E25D41" w:rsidRDefault="00984F2D" w:rsidP="00524B90">
      <w:pPr>
        <w:pStyle w:val="FootnoteText"/>
        <w:rPr>
          <w:rtl/>
        </w:rPr>
      </w:pPr>
      <w:r>
        <w:rPr>
          <w:rFonts w:hint="cs"/>
          <w:rtl/>
        </w:rPr>
        <w:t xml:space="preserve">כלומר יש שני דברים שנובעים בהכרח מכך שהפסל בא להיות דומה לכוונה שהיא ההשראה המופשטת של האמן. </w:t>
      </w:r>
      <w:r w:rsidR="00C41356">
        <w:rPr>
          <w:rFonts w:hint="cs"/>
          <w:rtl/>
        </w:rPr>
        <w:t>דבר אחד הוא מצד הצורה, מה שהפסל יש לו צורת אדם כ</w:t>
      </w:r>
      <w:r w:rsidR="00531E21">
        <w:rPr>
          <w:rFonts w:hint="cs"/>
          <w:rtl/>
        </w:rPr>
        <w:t>זה וכזה</w:t>
      </w:r>
      <w:r w:rsidR="00C41356">
        <w:rPr>
          <w:rFonts w:hint="cs"/>
          <w:rtl/>
        </w:rPr>
        <w:t xml:space="preserve"> נובע בהכרח מ</w:t>
      </w:r>
      <w:r w:rsidR="00E4352F">
        <w:rPr>
          <w:rFonts w:hint="cs"/>
          <w:rtl/>
        </w:rPr>
        <w:t>הדמיון ל</w:t>
      </w:r>
      <w:r w:rsidR="00C41356">
        <w:rPr>
          <w:rFonts w:hint="cs"/>
          <w:rtl/>
        </w:rPr>
        <w:t>כוונת האמן</w:t>
      </w:r>
      <w:r w:rsidR="00E4352F">
        <w:rPr>
          <w:rFonts w:hint="cs"/>
          <w:rtl/>
        </w:rPr>
        <w:t>,</w:t>
      </w:r>
      <w:r w:rsidR="00C41356">
        <w:rPr>
          <w:rFonts w:hint="cs"/>
          <w:rtl/>
        </w:rPr>
        <w:t xml:space="preserve"> ויש גם </w:t>
      </w:r>
      <w:r w:rsidR="00070A73">
        <w:rPr>
          <w:rFonts w:hint="cs"/>
          <w:rtl/>
        </w:rPr>
        <w:t xml:space="preserve">עוד עניין שנובע בהכרח </w:t>
      </w:r>
      <w:r w:rsidR="00E4352F">
        <w:rPr>
          <w:rFonts w:hint="cs"/>
          <w:rtl/>
        </w:rPr>
        <w:t xml:space="preserve">מהדמיון לכוונה </w:t>
      </w:r>
      <w:r w:rsidR="00070A73">
        <w:rPr>
          <w:rFonts w:hint="cs"/>
          <w:rtl/>
        </w:rPr>
        <w:t>והוא מצד החומר של הפסל, כל הבחירות של איזה חומר ואיזה גודל וצבע וכיו"ב</w:t>
      </w:r>
      <w:r w:rsidR="00E4352F">
        <w:rPr>
          <w:rFonts w:hint="cs"/>
          <w:rtl/>
        </w:rPr>
        <w:t>, שמאלצות את גילוי אור הצורה</w:t>
      </w:r>
      <w:r w:rsidR="00070A73">
        <w:rPr>
          <w:rFonts w:hint="cs"/>
          <w:rtl/>
        </w:rPr>
        <w:t>.</w:t>
      </w:r>
    </w:p>
    <w:p w14:paraId="00F75E52" w14:textId="1FE9AD4E" w:rsidR="00520683" w:rsidRDefault="00625ECB" w:rsidP="00E55389">
      <w:pPr>
        <w:pStyle w:val="FootnoteText"/>
        <w:rPr>
          <w:rtl/>
        </w:rPr>
      </w:pPr>
      <w:r>
        <w:rPr>
          <w:rFonts w:hint="cs"/>
          <w:rtl/>
        </w:rPr>
        <w:t>הצורה גם היא קיימת</w:t>
      </w:r>
      <w:r w:rsidRPr="00625ECB">
        <w:rPr>
          <w:rtl/>
        </w:rPr>
        <w:t xml:space="preserve"> </w:t>
      </w:r>
      <w:r>
        <w:rPr>
          <w:rFonts w:hint="cs"/>
          <w:rtl/>
        </w:rPr>
        <w:t xml:space="preserve">מכח שהיא הכרח </w:t>
      </w:r>
      <w:r w:rsidRPr="00625ECB">
        <w:rPr>
          <w:rtl/>
        </w:rPr>
        <w:t>מהדמיון לכוונה, כי הכוונה עצמה לא מצ</w:t>
      </w:r>
      <w:r>
        <w:rPr>
          <w:rFonts w:hint="cs"/>
          <w:rtl/>
        </w:rPr>
        <w:t>ו</w:t>
      </w:r>
      <w:r w:rsidRPr="00625ECB">
        <w:rPr>
          <w:rtl/>
        </w:rPr>
        <w:t>מצמת דווקא לדמות המסוימת הזו של הדוגמן המסוים בפסל "דוד" של מיכלאנג'לו, הכוונה</w:t>
      </w:r>
      <w:r>
        <w:rPr>
          <w:rFonts w:hint="cs"/>
          <w:rtl/>
        </w:rPr>
        <w:t xml:space="preserve"> עצמה</w:t>
      </w:r>
      <w:r w:rsidRPr="00625ECB">
        <w:rPr>
          <w:rtl/>
        </w:rPr>
        <w:t xml:space="preserve"> היא גילוי משהו כללי מופשט על הצורה האנושית כגילוי של שגב ויופי</w:t>
      </w:r>
      <w:r>
        <w:rPr>
          <w:rFonts w:hint="cs"/>
          <w:rtl/>
        </w:rPr>
        <w:t>, ו</w:t>
      </w:r>
      <w:r w:rsidR="00E55389">
        <w:rPr>
          <w:rFonts w:hint="cs"/>
          <w:rtl/>
        </w:rPr>
        <w:t>ז</w:t>
      </w:r>
      <w:r>
        <w:rPr>
          <w:rFonts w:hint="cs"/>
          <w:rtl/>
        </w:rPr>
        <w:t xml:space="preserve">ה </w:t>
      </w:r>
      <w:r w:rsidR="00E55389">
        <w:rPr>
          <w:rFonts w:hint="cs"/>
          <w:rtl/>
        </w:rPr>
        <w:t>כהשגה רוחנית מופשטת אינו</w:t>
      </w:r>
      <w:r w:rsidRPr="00625ECB">
        <w:rPr>
          <w:rtl/>
        </w:rPr>
        <w:t xml:space="preserve"> מצומצמים רק</w:t>
      </w:r>
      <w:r w:rsidR="00E55389">
        <w:rPr>
          <w:rFonts w:hint="cs"/>
          <w:rtl/>
        </w:rPr>
        <w:t xml:space="preserve"> </w:t>
      </w:r>
      <w:r w:rsidRPr="00625ECB">
        <w:rPr>
          <w:rtl/>
        </w:rPr>
        <w:t xml:space="preserve">לאותם תווי פנים </w:t>
      </w:r>
      <w:r w:rsidR="009C463A" w:rsidRPr="00625ECB">
        <w:rPr>
          <w:rFonts w:hint="cs"/>
          <w:rtl/>
        </w:rPr>
        <w:t>מסוימים</w:t>
      </w:r>
      <w:r w:rsidRPr="00625ECB">
        <w:rPr>
          <w:rtl/>
        </w:rPr>
        <w:t xml:space="preserve"> של "דוד". </w:t>
      </w:r>
      <w:r w:rsidR="00E55389">
        <w:rPr>
          <w:rFonts w:hint="cs"/>
          <w:rtl/>
        </w:rPr>
        <w:t>אלא תווי הפנים, הצורה,</w:t>
      </w:r>
      <w:r w:rsidR="00520683">
        <w:rPr>
          <w:rFonts w:hint="cs"/>
          <w:rtl/>
        </w:rPr>
        <w:t xml:space="preserve"> </w:t>
      </w:r>
      <w:r w:rsidR="00E55389">
        <w:rPr>
          <w:rFonts w:hint="cs"/>
          <w:rtl/>
        </w:rPr>
        <w:t xml:space="preserve">נובעים בהכרח מהדמיון לכוונה ואינם הכוונה כשלעצמה. </w:t>
      </w:r>
      <w:r w:rsidR="00520683">
        <w:rPr>
          <w:rFonts w:hint="cs"/>
          <w:rtl/>
        </w:rPr>
        <w:t xml:space="preserve">הכוונה היא הדגם הנצחי המופשט שאין בו צמצום לצורה אחת מסויימת, ו'הטבע' הוא הדמיון לכוונה שמכוחו יוצר את הטבע האומן, הדמיורגוס. </w:t>
      </w:r>
      <w:r w:rsidR="007C69EA">
        <w:rPr>
          <w:rFonts w:hint="cs"/>
          <w:rtl/>
        </w:rPr>
        <w:t xml:space="preserve">המעבר מהמופשט לממומש מכריח שהמציאות של הדברים תהיה בדרך שונה ממציאותם כשהיו </w:t>
      </w:r>
      <w:r w:rsidR="00B11A07">
        <w:rPr>
          <w:rFonts w:hint="cs"/>
          <w:rtl/>
        </w:rPr>
        <w:t xml:space="preserve">בנצח המופשט (דהיינו בטבע הם מתהווים בפועל, והנצח המופשט הוא הקיום שלהם בכח), </w:t>
      </w:r>
      <w:r w:rsidR="00951BEC">
        <w:rPr>
          <w:rFonts w:hint="cs"/>
          <w:rtl/>
        </w:rPr>
        <w:t xml:space="preserve">והדרך הזו נקראת 'מה שבטבע'. </w:t>
      </w:r>
      <w:r w:rsidR="00683DAF">
        <w:rPr>
          <w:rFonts w:hint="cs"/>
          <w:rtl/>
        </w:rPr>
        <w:t xml:space="preserve">למשל יש השגה שהיא מעל הטבע, שבה הבורא מושג "ועל </w:t>
      </w:r>
      <w:r w:rsidR="00FE03A2">
        <w:rPr>
          <w:rFonts w:hint="cs"/>
          <w:rtl/>
        </w:rPr>
        <w:t xml:space="preserve">דמות </w:t>
      </w:r>
      <w:r w:rsidR="00683DAF">
        <w:rPr>
          <w:rFonts w:hint="cs"/>
          <w:rtl/>
        </w:rPr>
        <w:t xml:space="preserve">הכסא </w:t>
      </w:r>
      <w:r w:rsidR="007E3A68">
        <w:rPr>
          <w:rFonts w:hint="cs"/>
          <w:rtl/>
        </w:rPr>
        <w:t xml:space="preserve">דמות </w:t>
      </w:r>
      <w:r w:rsidR="003253EE">
        <w:rPr>
          <w:rFonts w:hint="cs"/>
          <w:rtl/>
        </w:rPr>
        <w:t>כ</w:t>
      </w:r>
      <w:r w:rsidR="00683DAF">
        <w:rPr>
          <w:rFonts w:hint="cs"/>
          <w:rtl/>
        </w:rPr>
        <w:t>מראה אדם"</w:t>
      </w:r>
      <w:r w:rsidR="00683DAF">
        <w:rPr>
          <w:rFonts w:hint="cs"/>
        </w:rPr>
        <w:t xml:space="preserve"> </w:t>
      </w:r>
      <w:r w:rsidR="00683DAF">
        <w:rPr>
          <w:rFonts w:hint="cs"/>
          <w:rtl/>
        </w:rPr>
        <w:t xml:space="preserve">כמו שכתוב ביחזקאל א'. </w:t>
      </w:r>
      <w:r w:rsidR="007E3A68">
        <w:rPr>
          <w:rFonts w:hint="cs"/>
          <w:rtl/>
        </w:rPr>
        <w:t xml:space="preserve">לאותו דמות </w:t>
      </w:r>
      <w:r w:rsidR="005C6B78">
        <w:rPr>
          <w:rFonts w:hint="cs"/>
          <w:rtl/>
        </w:rPr>
        <w:t>כ</w:t>
      </w:r>
      <w:r w:rsidR="007E3A68">
        <w:rPr>
          <w:rFonts w:hint="cs"/>
          <w:rtl/>
        </w:rPr>
        <w:t xml:space="preserve">מראה אדם </w:t>
      </w:r>
      <w:r w:rsidR="005C6B78">
        <w:rPr>
          <w:rFonts w:hint="cs"/>
          <w:rtl/>
        </w:rPr>
        <w:t xml:space="preserve">אין שום תווי פנים </w:t>
      </w:r>
      <w:r w:rsidR="009C463A">
        <w:rPr>
          <w:rFonts w:hint="cs"/>
          <w:rtl/>
        </w:rPr>
        <w:t>מסוימים</w:t>
      </w:r>
      <w:r w:rsidR="005C6B78">
        <w:rPr>
          <w:rFonts w:hint="cs"/>
          <w:rtl/>
        </w:rPr>
        <w:t xml:space="preserve"> מוגדרים. אי אפשר</w:t>
      </w:r>
      <w:r w:rsidR="002D529B">
        <w:rPr>
          <w:rFonts w:hint="cs"/>
          <w:rtl/>
        </w:rPr>
        <w:t xml:space="preserve"> </w:t>
      </w:r>
      <w:r w:rsidR="005C6B78">
        <w:rPr>
          <w:rFonts w:hint="cs"/>
          <w:rtl/>
        </w:rPr>
        <w:t xml:space="preserve">לצייר את צורתו. </w:t>
      </w:r>
      <w:r w:rsidR="002D529B">
        <w:rPr>
          <w:rFonts w:hint="cs"/>
          <w:rtl/>
        </w:rPr>
        <w:t xml:space="preserve">זו השגה מופשטת לגמרי. כל הדברים קיימים לפני הכל במישור כזה. </w:t>
      </w:r>
      <w:r w:rsidR="000D32DC">
        <w:rPr>
          <w:rFonts w:hint="cs"/>
          <w:rtl/>
        </w:rPr>
        <w:t>אחר כך מכח ההכרח שההתגלות האלוהית תתממש בחומר</w:t>
      </w:r>
      <w:r w:rsidR="002A110B">
        <w:rPr>
          <w:rFonts w:hint="cs"/>
          <w:rtl/>
        </w:rPr>
        <w:t xml:space="preserve"> (כי זה מונח בעצמותה)</w:t>
      </w:r>
      <w:r w:rsidR="000D32DC">
        <w:rPr>
          <w:rFonts w:hint="cs"/>
          <w:rtl/>
        </w:rPr>
        <w:t>, כלומר ההכרח שיהיה טבע, ושהטבע יהיה מ</w:t>
      </w:r>
      <w:r w:rsidR="002A110B">
        <w:rPr>
          <w:rFonts w:hint="cs"/>
          <w:rtl/>
        </w:rPr>
        <w:t>שקף</w:t>
      </w:r>
      <w:r w:rsidR="000D32DC">
        <w:rPr>
          <w:rFonts w:hint="cs"/>
          <w:rtl/>
        </w:rPr>
        <w:t xml:space="preserve"> בנאמנות את ה</w:t>
      </w:r>
      <w:r w:rsidR="002A110B">
        <w:rPr>
          <w:rFonts w:hint="cs"/>
          <w:rtl/>
        </w:rPr>
        <w:t>מציאות המופשטת, מוכרח שתהיה צורה טבעית של מין האדם, ו</w:t>
      </w:r>
      <w:r w:rsidR="005C4C26">
        <w:rPr>
          <w:rFonts w:hint="cs"/>
          <w:rtl/>
        </w:rPr>
        <w:t xml:space="preserve">יהיו בני האדם החומריים כראובן ושמעון. ומוכרח גם שיהיה בשר, ושתכונות הבשר תהיינה </w:t>
      </w:r>
      <w:r w:rsidR="00607F4F">
        <w:rPr>
          <w:rFonts w:hint="cs"/>
          <w:rtl/>
        </w:rPr>
        <w:t xml:space="preserve">גם שיש בו הכרח, </w:t>
      </w:r>
      <w:r w:rsidR="005C4C26">
        <w:rPr>
          <w:rFonts w:hint="cs"/>
          <w:rtl/>
        </w:rPr>
        <w:t>ששולטים בו בהכרח מקרים של חדלון ומוות</w:t>
      </w:r>
      <w:r w:rsidR="00632792">
        <w:rPr>
          <w:rFonts w:hint="cs"/>
          <w:rtl/>
        </w:rPr>
        <w:t xml:space="preserve"> (וכעין שלפעמים נולד תינוק חסר רגל או שטפון שהורג אנשים באיזור גדול וכיו"ב)</w:t>
      </w:r>
      <w:r w:rsidR="005C4C26">
        <w:rPr>
          <w:rFonts w:hint="cs"/>
          <w:rtl/>
        </w:rPr>
        <w:t xml:space="preserve">.  </w:t>
      </w:r>
      <w:r w:rsidR="000D32DC">
        <w:rPr>
          <w:rFonts w:hint="cs"/>
          <w:rtl/>
        </w:rPr>
        <w:t xml:space="preserve"> </w:t>
      </w:r>
    </w:p>
    <w:p w14:paraId="48BBAED4" w14:textId="77777777" w:rsidR="0053191C" w:rsidRDefault="00871933" w:rsidP="00E55389">
      <w:pPr>
        <w:pStyle w:val="FootnoteText"/>
        <w:rPr>
          <w:rtl/>
        </w:rPr>
      </w:pPr>
      <w:r>
        <w:rPr>
          <w:rFonts w:hint="cs"/>
          <w:rtl/>
        </w:rPr>
        <w:t>המונח שאבן סינא מבאר כאן הוא 'מה שבטבע'. ה</w:t>
      </w:r>
      <w:r w:rsidR="00D6065F">
        <w:rPr>
          <w:rFonts w:hint="cs"/>
          <w:rtl/>
        </w:rPr>
        <w:t xml:space="preserve">פירוש הוא </w:t>
      </w:r>
      <w:r>
        <w:rPr>
          <w:rFonts w:hint="cs"/>
          <w:rtl/>
        </w:rPr>
        <w:t xml:space="preserve">מה שקיים </w:t>
      </w:r>
      <w:r w:rsidR="00C03F22">
        <w:rPr>
          <w:rFonts w:hint="cs"/>
          <w:rtl/>
        </w:rPr>
        <w:t>כ</w:t>
      </w:r>
      <w:r w:rsidR="00D6065F">
        <w:rPr>
          <w:rFonts w:hint="cs"/>
          <w:rtl/>
        </w:rPr>
        <w:t>'</w:t>
      </w:r>
      <w:r>
        <w:rPr>
          <w:rFonts w:hint="cs"/>
          <w:rtl/>
        </w:rPr>
        <w:t>טבע</w:t>
      </w:r>
      <w:r w:rsidR="00D6065F">
        <w:rPr>
          <w:rFonts w:hint="cs"/>
          <w:rtl/>
        </w:rPr>
        <w:t>'</w:t>
      </w:r>
      <w:r>
        <w:rPr>
          <w:rFonts w:hint="cs"/>
          <w:rtl/>
        </w:rPr>
        <w:t xml:space="preserve"> ביחס לאותו דבר עצמו שקיים </w:t>
      </w:r>
      <w:r w:rsidR="00C03F22">
        <w:rPr>
          <w:rFonts w:hint="cs"/>
          <w:rtl/>
        </w:rPr>
        <w:t>לא כטבע אלא באופן שהוא ה</w:t>
      </w:r>
      <w:r>
        <w:rPr>
          <w:rFonts w:hint="cs"/>
          <w:rtl/>
        </w:rPr>
        <w:t>דגם של המציאות המופשטת הנצחית שמעל הטבע</w:t>
      </w:r>
      <w:r w:rsidR="005A3F0A">
        <w:rPr>
          <w:rFonts w:hint="cs"/>
          <w:rtl/>
        </w:rPr>
        <w:t>,</w:t>
      </w:r>
      <w:r w:rsidR="002076BC">
        <w:rPr>
          <w:rFonts w:hint="cs"/>
          <w:rtl/>
        </w:rPr>
        <w:t xml:space="preserve"> שהיא הכוונה של מה שאמור להתגלות בטבע</w:t>
      </w:r>
      <w:r w:rsidR="00607F4F">
        <w:rPr>
          <w:rFonts w:hint="cs"/>
          <w:rtl/>
        </w:rPr>
        <w:t>, והגילוי הוא מה שדומה לכוונה</w:t>
      </w:r>
      <w:r>
        <w:rPr>
          <w:rFonts w:hint="cs"/>
          <w:rtl/>
        </w:rPr>
        <w:t>.</w:t>
      </w:r>
      <w:r w:rsidR="004A1D26">
        <w:rPr>
          <w:rFonts w:hint="cs"/>
          <w:rtl/>
        </w:rPr>
        <w:t xml:space="preserve"> הגילוי מצד הצורה הוא מה שמכח הדמיון לכוונה נובעות בהכרח הצורות הטבעיות המסוימות, והגופים הפרטיים בעלי צורות אלה, ונובע גם צד אילוץ החומר</w:t>
      </w:r>
      <w:r w:rsidR="00176D7D">
        <w:rPr>
          <w:rFonts w:hint="cs"/>
          <w:rtl/>
        </w:rPr>
        <w:t xml:space="preserve"> שהוא המקרים, ההכרחיים או המתחדשים. </w:t>
      </w:r>
    </w:p>
    <w:p w14:paraId="243D4CD3" w14:textId="3B4DB775" w:rsidR="00531425" w:rsidRDefault="0053191C" w:rsidP="005F0AC6">
      <w:pPr>
        <w:pStyle w:val="FootnoteText"/>
      </w:pPr>
      <w:r>
        <w:rPr>
          <w:rFonts w:hint="cs"/>
          <w:rtl/>
        </w:rPr>
        <w:t xml:space="preserve">הצורות, הגופים </w:t>
      </w:r>
      <w:r w:rsidR="009C463A">
        <w:rPr>
          <w:rFonts w:hint="cs"/>
          <w:rtl/>
        </w:rPr>
        <w:t>המסוימים</w:t>
      </w:r>
      <w:r>
        <w:rPr>
          <w:rFonts w:hint="cs"/>
          <w:rtl/>
        </w:rPr>
        <w:t xml:space="preserve"> בעלי אותן צורות, והמקרים לסוגיהם, כל אלה הם הטבע, </w:t>
      </w:r>
      <w:r w:rsidR="005F0AC6">
        <w:rPr>
          <w:rFonts w:hint="cs"/>
          <w:rtl/>
        </w:rPr>
        <w:t>וכאן ההסתכלות היא מצד שאלה נובעים מכך שהטבע הוא דמיון לכוונה.</w:t>
      </w:r>
    </w:p>
  </w:footnote>
  <w:footnote w:id="545">
    <w:p w14:paraId="4B68A22F" w14:textId="3D4363D9" w:rsidR="003119B5" w:rsidRDefault="00212315">
      <w:pPr>
        <w:pStyle w:val="FootnoteText"/>
        <w:rPr>
          <w:rtl/>
        </w:rPr>
      </w:pPr>
      <w:r>
        <w:rPr>
          <w:rStyle w:val="FootnoteReference"/>
        </w:rPr>
        <w:footnoteRef/>
      </w:r>
      <w:r>
        <w:rPr>
          <w:rtl/>
        </w:rPr>
        <w:t xml:space="preserve"> </w:t>
      </w:r>
      <w:r w:rsidR="00035FC8">
        <w:rPr>
          <w:rFonts w:hint="cs"/>
          <w:rtl/>
        </w:rPr>
        <w:t xml:space="preserve">מה שהאבן נופלת למטה, ונחה כשהיא מגיעה למרכז הכדור (או לקרקע שמונעת אותה מלהתקדם הלאה </w:t>
      </w:r>
      <w:r w:rsidR="00C33EB1">
        <w:rPr>
          <w:rFonts w:hint="cs"/>
          <w:rtl/>
        </w:rPr>
        <w:t>אל</w:t>
      </w:r>
      <w:r w:rsidR="00035FC8">
        <w:rPr>
          <w:rFonts w:hint="cs"/>
          <w:rtl/>
        </w:rPr>
        <w:t xml:space="preserve"> מרכז הכדור)</w:t>
      </w:r>
      <w:r w:rsidR="00C33EB1">
        <w:rPr>
          <w:rFonts w:hint="cs"/>
          <w:rtl/>
        </w:rPr>
        <w:t xml:space="preserve">, זו תנועה שהיא </w:t>
      </w:r>
      <w:r w:rsidR="00E26581">
        <w:rPr>
          <w:rFonts w:hint="cs"/>
          <w:rtl/>
        </w:rPr>
        <w:t xml:space="preserve">מכח הטבע </w:t>
      </w:r>
      <w:r w:rsidR="001D3E9E">
        <w:rPr>
          <w:rFonts w:hint="cs"/>
          <w:rtl/>
        </w:rPr>
        <w:t>'</w:t>
      </w:r>
      <w:r w:rsidR="00E26581">
        <w:rPr>
          <w:rFonts w:hint="cs"/>
          <w:rtl/>
        </w:rPr>
        <w:t>לבד</w:t>
      </w:r>
      <w:r w:rsidR="001D3E9E">
        <w:rPr>
          <w:rFonts w:hint="cs"/>
          <w:rtl/>
        </w:rPr>
        <w:t>'</w:t>
      </w:r>
      <w:r w:rsidR="00E26581">
        <w:rPr>
          <w:rFonts w:hint="cs"/>
          <w:rtl/>
        </w:rPr>
        <w:t xml:space="preserve">, כלומר בלי השתתפות כח מניע כלשהו שאינו האבן עצמה. </w:t>
      </w:r>
      <w:r w:rsidR="005D5168">
        <w:rPr>
          <w:rFonts w:hint="cs"/>
          <w:rtl/>
        </w:rPr>
        <w:t>כל תנועה של גוף</w:t>
      </w:r>
      <w:r w:rsidR="009D2652">
        <w:rPr>
          <w:rFonts w:hint="cs"/>
          <w:rtl/>
        </w:rPr>
        <w:t xml:space="preserve"> </w:t>
      </w:r>
      <w:r w:rsidR="005D5168">
        <w:rPr>
          <w:rFonts w:hint="cs"/>
          <w:rtl/>
        </w:rPr>
        <w:t>לבדו ולא מסיבה</w:t>
      </w:r>
      <w:r w:rsidR="009D2652">
        <w:rPr>
          <w:rFonts w:hint="cs"/>
          <w:rtl/>
        </w:rPr>
        <w:t xml:space="preserve"> נוספת</w:t>
      </w:r>
      <w:r w:rsidR="00AB459F">
        <w:rPr>
          <w:rFonts w:hint="cs"/>
          <w:rtl/>
        </w:rPr>
        <w:t>,</w:t>
      </w:r>
      <w:r w:rsidR="009D2652">
        <w:rPr>
          <w:rFonts w:hint="cs"/>
          <w:rtl/>
        </w:rPr>
        <w:t xml:space="preserve"> כלומר</w:t>
      </w:r>
      <w:r w:rsidR="005D5168">
        <w:rPr>
          <w:rFonts w:hint="cs"/>
          <w:rtl/>
        </w:rPr>
        <w:t xml:space="preserve"> חיצונית </w:t>
      </w:r>
      <w:r w:rsidR="004709D1">
        <w:rPr>
          <w:rFonts w:hint="cs"/>
          <w:rtl/>
        </w:rPr>
        <w:t>לגוף,</w:t>
      </w:r>
      <w:r w:rsidR="005D5168">
        <w:rPr>
          <w:rFonts w:hint="cs"/>
          <w:rtl/>
        </w:rPr>
        <w:t xml:space="preserve"> היא </w:t>
      </w:r>
      <w:r w:rsidR="009D2652">
        <w:rPr>
          <w:rFonts w:hint="cs"/>
          <w:rtl/>
        </w:rPr>
        <w:t>מע</w:t>
      </w:r>
      <w:r w:rsidR="004709D1">
        <w:rPr>
          <w:rFonts w:hint="cs"/>
          <w:rtl/>
        </w:rPr>
        <w:t>צ</w:t>
      </w:r>
      <w:r w:rsidR="009D2652">
        <w:rPr>
          <w:rFonts w:hint="cs"/>
          <w:rtl/>
        </w:rPr>
        <w:t>מותו.</w:t>
      </w:r>
      <w:r w:rsidR="004709D1">
        <w:rPr>
          <w:rFonts w:hint="cs"/>
          <w:rtl/>
        </w:rPr>
        <w:t xml:space="preserve"> מה ש</w:t>
      </w:r>
      <w:r w:rsidR="00AB459F">
        <w:rPr>
          <w:rFonts w:hint="cs"/>
          <w:rtl/>
        </w:rPr>
        <w:t>התנועה</w:t>
      </w:r>
      <w:r w:rsidR="004709D1">
        <w:rPr>
          <w:rFonts w:hint="cs"/>
          <w:rtl/>
        </w:rPr>
        <w:t xml:space="preserve"> קורה לבד זה סימן לעצמות התנועה, </w:t>
      </w:r>
      <w:r w:rsidR="002A507D">
        <w:rPr>
          <w:rFonts w:hint="cs"/>
          <w:rtl/>
        </w:rPr>
        <w:t>אבל עדיין חסר ביאור</w:t>
      </w:r>
      <w:r w:rsidR="00285B0B">
        <w:rPr>
          <w:rFonts w:hint="cs"/>
          <w:rtl/>
        </w:rPr>
        <w:t xml:space="preserve"> מה זו העצמות ולמה זה סימן לה</w:t>
      </w:r>
      <w:r w:rsidR="002A507D">
        <w:rPr>
          <w:rFonts w:hint="cs"/>
          <w:rtl/>
        </w:rPr>
        <w:t>.</w:t>
      </w:r>
      <w:r w:rsidR="00183DE2">
        <w:rPr>
          <w:rFonts w:hint="cs"/>
          <w:rtl/>
        </w:rPr>
        <w:t xml:space="preserve"> הביאור הוא במילה "מתאים". </w:t>
      </w:r>
      <w:r w:rsidR="002E76FE">
        <w:rPr>
          <w:rFonts w:hint="cs"/>
          <w:rtl/>
        </w:rPr>
        <w:t xml:space="preserve">התנועה הטבעית של האבן כלפי מטה היא בעצמותה כיוון שהיא </w:t>
      </w:r>
      <w:r w:rsidR="004246A3">
        <w:rPr>
          <w:rFonts w:hint="cs"/>
          <w:rtl/>
        </w:rPr>
        <w:t>'</w:t>
      </w:r>
      <w:r w:rsidR="002E76FE">
        <w:rPr>
          <w:rFonts w:hint="cs"/>
          <w:rtl/>
        </w:rPr>
        <w:t>מתאימה</w:t>
      </w:r>
      <w:r w:rsidR="004246A3">
        <w:rPr>
          <w:rFonts w:hint="cs"/>
          <w:rtl/>
        </w:rPr>
        <w:t>'</w:t>
      </w:r>
      <w:r w:rsidR="002E76FE">
        <w:rPr>
          <w:rFonts w:hint="cs"/>
          <w:rtl/>
        </w:rPr>
        <w:t xml:space="preserve"> לה. </w:t>
      </w:r>
      <w:r w:rsidR="004246A3">
        <w:rPr>
          <w:rFonts w:hint="cs"/>
          <w:rtl/>
        </w:rPr>
        <w:t>זה לפי מה שלמדנו שהטבע הוא מה שנו</w:t>
      </w:r>
      <w:r w:rsidR="00606CD7">
        <w:rPr>
          <w:rFonts w:hint="cs"/>
          <w:rtl/>
        </w:rPr>
        <w:t>ב</w:t>
      </w:r>
      <w:r w:rsidR="004246A3">
        <w:rPr>
          <w:rFonts w:hint="cs"/>
          <w:rtl/>
        </w:rPr>
        <w:t xml:space="preserve">ע בהכרח מההתאמה של המציאות החומרית למציאות המופשטת שהיא הדגם. </w:t>
      </w:r>
      <w:r w:rsidR="00606CD7">
        <w:rPr>
          <w:rFonts w:hint="cs"/>
          <w:rtl/>
        </w:rPr>
        <w:t>במציאות המופשטת יש סדר מו</w:t>
      </w:r>
      <w:r w:rsidR="008909F1">
        <w:rPr>
          <w:rFonts w:hint="cs"/>
          <w:rtl/>
        </w:rPr>
        <w:t>פ</w:t>
      </w:r>
      <w:r w:rsidR="00606CD7">
        <w:rPr>
          <w:rFonts w:hint="cs"/>
          <w:rtl/>
        </w:rPr>
        <w:t>שט, שהוא הקובע את מקומם של היסודות</w:t>
      </w:r>
      <w:r w:rsidR="002149E3">
        <w:rPr>
          <w:rtl/>
        </w:rPr>
        <w:fldChar w:fldCharType="begin"/>
      </w:r>
      <w:r w:rsidR="002149E3">
        <w:instrText xml:space="preserve"> XE "</w:instrText>
      </w:r>
      <w:r w:rsidR="002149E3" w:rsidRPr="004D27D0">
        <w:rPr>
          <w:rFonts w:hint="cs"/>
          <w:rtl/>
        </w:rPr>
        <w:instrText>היסודות - קביעת מקומם</w:instrText>
      </w:r>
      <w:r w:rsidR="002149E3">
        <w:instrText xml:space="preserve">" </w:instrText>
      </w:r>
      <w:r w:rsidR="002149E3">
        <w:rPr>
          <w:rtl/>
        </w:rPr>
        <w:fldChar w:fldCharType="end"/>
      </w:r>
      <w:r w:rsidR="00606CD7">
        <w:rPr>
          <w:rFonts w:hint="cs"/>
          <w:rtl/>
        </w:rPr>
        <w:t xml:space="preserve"> לפי כמה הם </w:t>
      </w:r>
      <w:r w:rsidR="008909F1">
        <w:rPr>
          <w:rFonts w:hint="cs"/>
          <w:rtl/>
        </w:rPr>
        <w:t xml:space="preserve">קרובים למופשט. </w:t>
      </w:r>
    </w:p>
    <w:p w14:paraId="6FF124AC" w14:textId="6E935B60" w:rsidR="00183DE2" w:rsidRDefault="008909F1" w:rsidP="006F6885">
      <w:pPr>
        <w:pStyle w:val="FootnoteText"/>
        <w:rPr>
          <w:rtl/>
        </w:rPr>
      </w:pPr>
      <w:r>
        <w:rPr>
          <w:rFonts w:hint="cs"/>
          <w:rtl/>
        </w:rPr>
        <w:t>בחומר הראשון</w:t>
      </w:r>
      <w:r w:rsidR="00210343">
        <w:rPr>
          <w:rtl/>
        </w:rPr>
        <w:fldChar w:fldCharType="begin"/>
      </w:r>
      <w:r w:rsidR="00210343">
        <w:instrText xml:space="preserve"> XE "</w:instrText>
      </w:r>
      <w:r w:rsidR="00210343" w:rsidRPr="00303DCE">
        <w:rPr>
          <w:rFonts w:hint="cs"/>
          <w:rtl/>
        </w:rPr>
        <w:instrText>מקום - מקורו במופשט</w:instrText>
      </w:r>
      <w:r w:rsidR="00210343">
        <w:instrText xml:space="preserve">" </w:instrText>
      </w:r>
      <w:r w:rsidR="00210343">
        <w:rPr>
          <w:rtl/>
        </w:rPr>
        <w:fldChar w:fldCharType="end"/>
      </w:r>
      <w:r>
        <w:rPr>
          <w:rFonts w:hint="cs"/>
          <w:rtl/>
        </w:rPr>
        <w:t xml:space="preserve"> אין צורות ואין גבולות או הגדרות, ואין לפי מה לקבוע בו מקום </w:t>
      </w:r>
      <w:r w:rsidR="009C463A">
        <w:rPr>
          <w:rFonts w:hint="cs"/>
          <w:rtl/>
        </w:rPr>
        <w:t>מסוים</w:t>
      </w:r>
      <w:r>
        <w:rPr>
          <w:rFonts w:hint="cs"/>
          <w:rtl/>
        </w:rPr>
        <w:t>.</w:t>
      </w:r>
      <w:r w:rsidR="003119B5">
        <w:rPr>
          <w:rFonts w:hint="cs"/>
          <w:rtl/>
        </w:rPr>
        <w:t xml:space="preserve"> המקומות </w:t>
      </w:r>
      <w:r w:rsidR="009C463A">
        <w:rPr>
          <w:rFonts w:hint="cs"/>
          <w:rtl/>
        </w:rPr>
        <w:t>המסוימים</w:t>
      </w:r>
      <w:r w:rsidR="003119B5">
        <w:rPr>
          <w:rFonts w:hint="cs"/>
          <w:rtl/>
        </w:rPr>
        <w:t xml:space="preserve"> בטבע נקבעים ביחס למיקומם של היסו</w:t>
      </w:r>
      <w:r w:rsidR="00A40662">
        <w:rPr>
          <w:rFonts w:hint="cs"/>
          <w:rtl/>
        </w:rPr>
        <w:t>ד</w:t>
      </w:r>
      <w:r w:rsidR="003119B5">
        <w:rPr>
          <w:rFonts w:hint="cs"/>
          <w:rtl/>
        </w:rPr>
        <w:t>ות</w:t>
      </w:r>
      <w:r w:rsidR="00430133">
        <w:rPr>
          <w:rFonts w:hint="cs"/>
          <w:rtl/>
        </w:rPr>
        <w:t>, אבל ליסודות עצמם לא ייתכן שיהיה מקום מוגדר</w:t>
      </w:r>
      <w:r w:rsidR="003119B5">
        <w:rPr>
          <w:rFonts w:hint="cs"/>
          <w:rtl/>
        </w:rPr>
        <w:t xml:space="preserve">. </w:t>
      </w:r>
      <w:r w:rsidR="00CF6942">
        <w:rPr>
          <w:rFonts w:hint="cs"/>
          <w:rtl/>
        </w:rPr>
        <w:t>לדוגמה לפי המדע</w:t>
      </w:r>
      <w:r w:rsidR="00635CF4">
        <w:rPr>
          <w:rFonts w:hint="cs"/>
          <w:rtl/>
        </w:rPr>
        <w:t xml:space="preserve"> מקום של גוף כלשהו נקבע לפי הקואורדינטות שלו (נקודות ציון) שהן ביחס לכדור הארץ</w:t>
      </w:r>
      <w:r w:rsidR="00C613DC">
        <w:rPr>
          <w:rFonts w:hint="cs"/>
          <w:rtl/>
        </w:rPr>
        <w:t xml:space="preserve">, כלומר המקום הוא מרחק כזה וכזה מהקטבים וקו המשווה או סימנים מובהקים על פני כדור הארץ. </w:t>
      </w:r>
      <w:r w:rsidR="008D39EB">
        <w:rPr>
          <w:rFonts w:hint="cs"/>
          <w:rtl/>
        </w:rPr>
        <w:t>כדור הארץ מקומו מוגדר לפי היחס שלו לכ</w:t>
      </w:r>
      <w:r w:rsidR="001554DC">
        <w:rPr>
          <w:rFonts w:hint="cs"/>
          <w:rtl/>
        </w:rPr>
        <w:t>ל</w:t>
      </w:r>
      <w:r w:rsidR="008D39EB">
        <w:rPr>
          <w:rFonts w:hint="cs"/>
          <w:rtl/>
        </w:rPr>
        <w:t xml:space="preserve">ל מערכת השמש, המרחקים </w:t>
      </w:r>
      <w:r w:rsidR="001554DC">
        <w:rPr>
          <w:rFonts w:hint="cs"/>
          <w:rtl/>
        </w:rPr>
        <w:t xml:space="preserve">שלו </w:t>
      </w:r>
      <w:r w:rsidR="008D39EB">
        <w:rPr>
          <w:rFonts w:hint="cs"/>
          <w:rtl/>
        </w:rPr>
        <w:t>מהגופים האחרים של מערכת השמש. מערכת השמש מקומה נקבע ביחס ל</w:t>
      </w:r>
      <w:r w:rsidR="001554DC">
        <w:rPr>
          <w:rFonts w:hint="cs"/>
          <w:rtl/>
        </w:rPr>
        <w:t>ג</w:t>
      </w:r>
      <w:r w:rsidR="008D39EB">
        <w:rPr>
          <w:rFonts w:hint="cs"/>
          <w:rtl/>
        </w:rPr>
        <w:t xml:space="preserve">לקסיית שביל החלב, והגלקסיה </w:t>
      </w:r>
      <w:r w:rsidR="001554DC">
        <w:rPr>
          <w:rFonts w:hint="cs"/>
          <w:rtl/>
        </w:rPr>
        <w:t xml:space="preserve">מקומה </w:t>
      </w:r>
      <w:r w:rsidR="00926D50">
        <w:rPr>
          <w:rFonts w:hint="cs"/>
          <w:rtl/>
        </w:rPr>
        <w:t>הוא ב</w:t>
      </w:r>
      <w:r w:rsidR="008D39EB">
        <w:rPr>
          <w:rFonts w:hint="cs"/>
          <w:rtl/>
        </w:rPr>
        <w:t xml:space="preserve">יחס </w:t>
      </w:r>
      <w:r w:rsidR="00926D50">
        <w:rPr>
          <w:rFonts w:hint="cs"/>
          <w:rtl/>
        </w:rPr>
        <w:t xml:space="preserve">לשאר הגלקסיות, </w:t>
      </w:r>
      <w:r w:rsidR="006634A6">
        <w:rPr>
          <w:rFonts w:hint="cs"/>
          <w:rtl/>
        </w:rPr>
        <w:t>לפי המרחקים</w:t>
      </w:r>
      <w:r w:rsidR="00926D50">
        <w:rPr>
          <w:rFonts w:hint="cs"/>
          <w:rtl/>
        </w:rPr>
        <w:t xml:space="preserve"> בינה ובין </w:t>
      </w:r>
      <w:r w:rsidR="008D39EB">
        <w:rPr>
          <w:rFonts w:hint="cs"/>
          <w:rtl/>
        </w:rPr>
        <w:t xml:space="preserve">שאר הגלקסיות. </w:t>
      </w:r>
      <w:r w:rsidR="006634A6">
        <w:rPr>
          <w:rFonts w:hint="cs"/>
          <w:rtl/>
        </w:rPr>
        <w:t xml:space="preserve">אם נסתכל על </w:t>
      </w:r>
      <w:r w:rsidR="007946CD">
        <w:rPr>
          <w:rFonts w:hint="cs"/>
          <w:rtl/>
        </w:rPr>
        <w:t xml:space="preserve">קבוצת </w:t>
      </w:r>
      <w:r w:rsidR="006634A6">
        <w:rPr>
          <w:rFonts w:hint="cs"/>
          <w:rtl/>
        </w:rPr>
        <w:t>כל הגלקסיות הקיימות</w:t>
      </w:r>
      <w:r w:rsidR="007946CD">
        <w:rPr>
          <w:rFonts w:hint="cs"/>
          <w:rtl/>
        </w:rPr>
        <w:t xml:space="preserve"> (לנוחות הדיון ננקוט כמו הצד שמקובל בזמננו במדע שמספר הגלקסיות סופי, אבל הדוגמה נכונה גם אם הוא אין</w:t>
      </w:r>
      <w:r w:rsidR="001C55D7">
        <w:rPr>
          <w:rFonts w:hint="cs"/>
          <w:rtl/>
        </w:rPr>
        <w:t>-</w:t>
      </w:r>
      <w:r w:rsidR="007946CD">
        <w:rPr>
          <w:rFonts w:hint="cs"/>
          <w:rtl/>
        </w:rPr>
        <w:t>סופי)</w:t>
      </w:r>
      <w:r w:rsidR="006634A6">
        <w:rPr>
          <w:rFonts w:hint="cs"/>
          <w:rtl/>
        </w:rPr>
        <w:t>, ונשאל היכן מקומה של קבוצת הגלקסיות הזו, לא נוכל להשיב היכן מקומה, כי אין לנו איך למדוד מרחק בינה ובין גוף כלשהו אחר</w:t>
      </w:r>
      <w:r w:rsidR="00BC2D0D">
        <w:rPr>
          <w:rFonts w:hint="cs"/>
          <w:rtl/>
        </w:rPr>
        <w:t xml:space="preserve"> או </w:t>
      </w:r>
      <w:r w:rsidR="00CB7D59">
        <w:rPr>
          <w:rFonts w:hint="cs"/>
          <w:rtl/>
        </w:rPr>
        <w:t>מ</w:t>
      </w:r>
      <w:r w:rsidR="00BC2D0D">
        <w:rPr>
          <w:rFonts w:hint="cs"/>
          <w:rtl/>
        </w:rPr>
        <w:t>קום מוגדר כלשהו</w:t>
      </w:r>
      <w:r w:rsidR="006634A6">
        <w:rPr>
          <w:rFonts w:hint="cs"/>
          <w:rtl/>
        </w:rPr>
        <w:t xml:space="preserve">. </w:t>
      </w:r>
      <w:r w:rsidR="00635CF4">
        <w:rPr>
          <w:rFonts w:hint="cs"/>
          <w:rtl/>
        </w:rPr>
        <w:t xml:space="preserve"> </w:t>
      </w:r>
      <w:r>
        <w:rPr>
          <w:rFonts w:hint="cs"/>
          <w:rtl/>
        </w:rPr>
        <w:t xml:space="preserve"> </w:t>
      </w:r>
      <w:r w:rsidR="002E76FE">
        <w:rPr>
          <w:rFonts w:hint="cs"/>
          <w:rtl/>
        </w:rPr>
        <w:t xml:space="preserve"> </w:t>
      </w:r>
    </w:p>
    <w:p w14:paraId="7C34F799" w14:textId="77777777" w:rsidR="00853067" w:rsidRDefault="00E1408E">
      <w:pPr>
        <w:pStyle w:val="FootnoteText"/>
        <w:rPr>
          <w:rtl/>
        </w:rPr>
      </w:pPr>
      <w:r>
        <w:rPr>
          <w:rFonts w:hint="cs"/>
          <w:rtl/>
        </w:rPr>
        <w:t xml:space="preserve">המקום של קבוצת כל הגלקסיות, או של היסודות, הוא במופשט, והוא מקבל הגדרת מקום מהמופשט, והיא הגדרה שאינה בתוך הטבע. </w:t>
      </w:r>
      <w:r w:rsidR="009C65CA">
        <w:rPr>
          <w:rFonts w:hint="cs"/>
          <w:rtl/>
        </w:rPr>
        <w:t xml:space="preserve">הגדרת המקום של היסודות היא מכח כמה הם </w:t>
      </w:r>
      <w:r w:rsidR="00D405A3">
        <w:rPr>
          <w:rFonts w:hint="cs"/>
          <w:rtl/>
        </w:rPr>
        <w:t xml:space="preserve">במהותם </w:t>
      </w:r>
      <w:r w:rsidR="009C65CA">
        <w:rPr>
          <w:rFonts w:hint="cs"/>
          <w:rtl/>
        </w:rPr>
        <w:t>קרובים להיות מופשטים, האש היא היסוד הכי קרוב למופשט</w:t>
      </w:r>
      <w:r w:rsidR="00D405A3">
        <w:rPr>
          <w:rFonts w:hint="cs"/>
          <w:rtl/>
        </w:rPr>
        <w:t xml:space="preserve"> וזה הפירוש שהיא 'למעלה', הרוח פחות מופשטת וזה הפירוש שהיא למטה מן האש, והעפר הכי פחות מופשט וזה הפירוש שהוא למטה.</w:t>
      </w:r>
      <w:r w:rsidR="00882FBD">
        <w:rPr>
          <w:rFonts w:hint="cs"/>
          <w:rtl/>
        </w:rPr>
        <w:t xml:space="preserve"> </w:t>
      </w:r>
    </w:p>
    <w:p w14:paraId="77B53AA6" w14:textId="1D630EA1" w:rsidR="00E61335" w:rsidRDefault="00882FBD">
      <w:pPr>
        <w:pStyle w:val="FootnoteText"/>
        <w:rPr>
          <w:rtl/>
        </w:rPr>
      </w:pPr>
      <w:r>
        <w:rPr>
          <w:rFonts w:hint="cs"/>
          <w:rtl/>
        </w:rPr>
        <w:t xml:space="preserve">זה הפירוש במאמר חז"ל </w:t>
      </w:r>
      <w:r w:rsidR="00E61335">
        <w:rPr>
          <w:rFonts w:hint="cs"/>
          <w:rtl/>
        </w:rPr>
        <w:t>בראשית רבה ס"ח ט':</w:t>
      </w:r>
    </w:p>
    <w:p w14:paraId="0793F74A" w14:textId="77777777" w:rsidR="003E0782" w:rsidRDefault="00E61335">
      <w:pPr>
        <w:pStyle w:val="FootnoteText"/>
        <w:rPr>
          <w:rtl/>
        </w:rPr>
      </w:pPr>
      <w:r>
        <w:rPr>
          <w:rFonts w:hint="cs"/>
          <w:rtl/>
        </w:rPr>
        <w:t>"</w:t>
      </w:r>
      <w:r w:rsidRPr="00E61335">
        <w:rPr>
          <w:rtl/>
        </w:rPr>
        <w:t>"ויפגע במקום" ר"ה בשם ר' אמי אמר</w:t>
      </w:r>
      <w:r w:rsidR="005D3ADB">
        <w:rPr>
          <w:rFonts w:hint="cs"/>
          <w:rtl/>
        </w:rPr>
        <w:t>:</w:t>
      </w:r>
      <w:r w:rsidRPr="00E61335">
        <w:rPr>
          <w:rtl/>
        </w:rPr>
        <w:t xml:space="preserve"> מפני מה מכנין שמו של הקב"ה </w:t>
      </w:r>
      <w:r w:rsidRPr="00E61335">
        <w:rPr>
          <w:rtl/>
        </w:rPr>
        <w:t>וקוראין אותו מקום</w:t>
      </w:r>
      <w:r w:rsidR="005D3ADB">
        <w:rPr>
          <w:rFonts w:hint="cs"/>
          <w:rtl/>
        </w:rPr>
        <w:t xml:space="preserve"> -</w:t>
      </w:r>
      <w:r w:rsidRPr="00E61335">
        <w:rPr>
          <w:rtl/>
        </w:rPr>
        <w:t xml:space="preserve"> שהוא מקומו של עולם ואין עולמו מקומו</w:t>
      </w:r>
      <w:r w:rsidR="005D3ADB">
        <w:rPr>
          <w:rFonts w:hint="cs"/>
          <w:rtl/>
        </w:rPr>
        <w:t>.</w:t>
      </w:r>
      <w:r w:rsidRPr="00E61335">
        <w:rPr>
          <w:rtl/>
        </w:rPr>
        <w:t xml:space="preserve"> </w:t>
      </w:r>
      <w:r w:rsidR="005D3ADB">
        <w:rPr>
          <w:rFonts w:hint="cs"/>
          <w:rtl/>
        </w:rPr>
        <w:t>ממה שכתוב</w:t>
      </w:r>
      <w:r w:rsidRPr="00E61335">
        <w:rPr>
          <w:rtl/>
        </w:rPr>
        <w:t xml:space="preserve"> (שמות לג, כא): "הנה מקום אתי" הוי הקדוש ברוך הוא מקומו של עולם ואין עולמו מקומו.</w:t>
      </w:r>
      <w:r>
        <w:rPr>
          <w:rFonts w:hint="cs"/>
          <w:rtl/>
        </w:rPr>
        <w:t>"</w:t>
      </w:r>
    </w:p>
    <w:p w14:paraId="2FCE5237" w14:textId="77777777" w:rsidR="0079126D" w:rsidRDefault="003E0782">
      <w:pPr>
        <w:pStyle w:val="FootnoteText"/>
        <w:rPr>
          <w:rtl/>
        </w:rPr>
      </w:pPr>
      <w:r>
        <w:rPr>
          <w:rFonts w:hint="cs"/>
          <w:rtl/>
        </w:rPr>
        <w:t>המופשט הו</w:t>
      </w:r>
      <w:r w:rsidR="00084AAD">
        <w:rPr>
          <w:rFonts w:hint="cs"/>
          <w:rtl/>
        </w:rPr>
        <w:t>א</w:t>
      </w:r>
      <w:r>
        <w:rPr>
          <w:rFonts w:hint="cs"/>
          <w:rtl/>
        </w:rPr>
        <w:t xml:space="preserve"> מקומו של המוגבל</w:t>
      </w:r>
      <w:r w:rsidR="00084AAD">
        <w:rPr>
          <w:rFonts w:hint="cs"/>
          <w:rtl/>
        </w:rPr>
        <w:t xml:space="preserve"> </w:t>
      </w:r>
      <w:r>
        <w:rPr>
          <w:rFonts w:hint="cs"/>
          <w:rtl/>
        </w:rPr>
        <w:t xml:space="preserve">ולא להיפך, למרות שהמושג </w:t>
      </w:r>
      <w:r w:rsidR="00084AAD">
        <w:rPr>
          <w:rFonts w:hint="cs"/>
          <w:rtl/>
        </w:rPr>
        <w:t>'</w:t>
      </w:r>
      <w:r>
        <w:rPr>
          <w:rFonts w:hint="cs"/>
          <w:rtl/>
        </w:rPr>
        <w:t>מקום</w:t>
      </w:r>
      <w:r w:rsidR="00084AAD">
        <w:rPr>
          <w:rFonts w:hint="cs"/>
          <w:rtl/>
        </w:rPr>
        <w:t>'</w:t>
      </w:r>
      <w:r>
        <w:rPr>
          <w:rFonts w:hint="cs"/>
          <w:rtl/>
        </w:rPr>
        <w:t xml:space="preserve"> עניינו לכאורה שייך רק בגשמי </w:t>
      </w:r>
      <w:r w:rsidR="00084AAD">
        <w:rPr>
          <w:rFonts w:hint="cs"/>
          <w:rtl/>
        </w:rPr>
        <w:t xml:space="preserve">התלת ממדי, </w:t>
      </w:r>
      <w:r>
        <w:rPr>
          <w:rFonts w:hint="cs"/>
          <w:rtl/>
        </w:rPr>
        <w:t>ולמופשט אין מקום</w:t>
      </w:r>
      <w:r w:rsidR="00E95F4E">
        <w:rPr>
          <w:rFonts w:hint="cs"/>
          <w:rtl/>
        </w:rPr>
        <w:t xml:space="preserve"> (עיין עוד בכל זה ברמיזות</w:t>
      </w:r>
      <w:r w:rsidR="00011A3E">
        <w:rPr>
          <w:rFonts w:hint="cs"/>
          <w:rtl/>
        </w:rPr>
        <w:t xml:space="preserve"> </w:t>
      </w:r>
      <w:r w:rsidR="00E95F4E">
        <w:rPr>
          <w:rFonts w:hint="cs"/>
          <w:rtl/>
        </w:rPr>
        <w:t xml:space="preserve">והערות מאת אבן סינא פיזיקה חלק א', </w:t>
      </w:r>
      <w:r w:rsidR="00011A3E">
        <w:rPr>
          <w:rFonts w:hint="cs"/>
          <w:rtl/>
        </w:rPr>
        <w:t xml:space="preserve">בפרקים </w:t>
      </w:r>
      <w:r w:rsidR="00E95F4E">
        <w:rPr>
          <w:rFonts w:hint="cs"/>
          <w:rtl/>
        </w:rPr>
        <w:t xml:space="preserve">על צורת התלת ממדיות והתחלת ההגדרות </w:t>
      </w:r>
      <w:r w:rsidR="00011A3E">
        <w:rPr>
          <w:rFonts w:hint="cs"/>
          <w:rtl/>
        </w:rPr>
        <w:t xml:space="preserve">הראשוניות </w:t>
      </w:r>
      <w:r w:rsidR="00E95F4E">
        <w:rPr>
          <w:rFonts w:hint="cs"/>
          <w:rtl/>
        </w:rPr>
        <w:t>של מקום</w:t>
      </w:r>
      <w:r w:rsidR="00110287">
        <w:rPr>
          <w:rFonts w:hint="cs"/>
          <w:rtl/>
        </w:rPr>
        <w:t>, דהיינו ה'למעלה' וה'למטה'</w:t>
      </w:r>
      <w:r w:rsidR="00011A3E">
        <w:rPr>
          <w:rFonts w:hint="cs"/>
          <w:rtl/>
        </w:rPr>
        <w:t>)</w:t>
      </w:r>
      <w:r>
        <w:rPr>
          <w:rFonts w:hint="cs"/>
          <w:rtl/>
        </w:rPr>
        <w:t>.</w:t>
      </w:r>
    </w:p>
    <w:p w14:paraId="661F362A" w14:textId="09786AC4" w:rsidR="00212315" w:rsidRDefault="0079126D">
      <w:pPr>
        <w:pStyle w:val="FootnoteText"/>
      </w:pPr>
      <w:r>
        <w:rPr>
          <w:rFonts w:hint="cs"/>
          <w:rtl/>
        </w:rPr>
        <w:t xml:space="preserve">מעתה יובן שמה שמקומו של העפר למטה הוא </w:t>
      </w:r>
      <w:r w:rsidR="00A6380C">
        <w:rPr>
          <w:rFonts w:hint="cs"/>
          <w:rtl/>
        </w:rPr>
        <w:t xml:space="preserve">סדר </w:t>
      </w:r>
      <w:r w:rsidR="008479FB">
        <w:rPr>
          <w:rFonts w:hint="cs"/>
          <w:rtl/>
        </w:rPr>
        <w:t>שתחילתו ועיקרו ב</w:t>
      </w:r>
      <w:r w:rsidR="00AB7A7A">
        <w:rPr>
          <w:rFonts w:hint="cs"/>
          <w:rtl/>
        </w:rPr>
        <w:t>מופשט</w:t>
      </w:r>
      <w:r w:rsidR="008479FB">
        <w:rPr>
          <w:rFonts w:hint="cs"/>
          <w:rtl/>
        </w:rPr>
        <w:t>,</w:t>
      </w:r>
      <w:r w:rsidR="00AB7A7A">
        <w:rPr>
          <w:rFonts w:hint="cs"/>
          <w:rtl/>
        </w:rPr>
        <w:t xml:space="preserve"> </w:t>
      </w:r>
      <w:r w:rsidR="008479FB">
        <w:rPr>
          <w:rFonts w:hint="cs"/>
          <w:rtl/>
        </w:rPr>
        <w:t>ו</w:t>
      </w:r>
      <w:r w:rsidR="00A6380C">
        <w:rPr>
          <w:rFonts w:hint="cs"/>
          <w:rtl/>
        </w:rPr>
        <w:t xml:space="preserve">מהכרח העובדה שהטבע </w:t>
      </w:r>
      <w:r w:rsidR="000D4F47">
        <w:rPr>
          <w:rFonts w:hint="cs"/>
          <w:rtl/>
        </w:rPr>
        <w:t>עניינו</w:t>
      </w:r>
      <w:r w:rsidR="00A6380C">
        <w:rPr>
          <w:rFonts w:hint="cs"/>
          <w:rtl/>
        </w:rPr>
        <w:t xml:space="preserve"> ד</w:t>
      </w:r>
      <w:r w:rsidR="000D4F47">
        <w:rPr>
          <w:rFonts w:hint="cs"/>
          <w:rtl/>
        </w:rPr>
        <w:t>מיון חומרי</w:t>
      </w:r>
      <w:r w:rsidR="00A6380C">
        <w:rPr>
          <w:rFonts w:hint="cs"/>
          <w:rtl/>
        </w:rPr>
        <w:t xml:space="preserve"> למציאות המופשטת,</w:t>
      </w:r>
      <w:r w:rsidR="00800652">
        <w:rPr>
          <w:rFonts w:hint="cs"/>
          <w:rtl/>
        </w:rPr>
        <w:t xml:space="preserve"> </w:t>
      </w:r>
      <w:r w:rsidR="0031238C">
        <w:rPr>
          <w:rFonts w:hint="cs"/>
          <w:rtl/>
        </w:rPr>
        <w:t xml:space="preserve">והדמיון </w:t>
      </w:r>
      <w:r w:rsidR="000D4F47">
        <w:rPr>
          <w:rFonts w:hint="cs"/>
          <w:rtl/>
        </w:rPr>
        <w:t xml:space="preserve">הזה </w:t>
      </w:r>
      <w:r w:rsidR="004F44E8">
        <w:rPr>
          <w:rFonts w:hint="cs"/>
          <w:rtl/>
        </w:rPr>
        <w:t xml:space="preserve">מכריח את תנועת </w:t>
      </w:r>
      <w:r w:rsidR="0031238C">
        <w:rPr>
          <w:rFonts w:hint="cs"/>
          <w:rtl/>
        </w:rPr>
        <w:t xml:space="preserve">האבן למטה. </w:t>
      </w:r>
      <w:r w:rsidR="004F44E8">
        <w:rPr>
          <w:rFonts w:hint="cs"/>
          <w:rtl/>
        </w:rPr>
        <w:t>לכן התנועה למטה היא מה ש"מתאים"</w:t>
      </w:r>
      <w:r w:rsidR="004F44E8">
        <w:rPr>
          <w:rFonts w:hint="cs"/>
        </w:rPr>
        <w:t xml:space="preserve"> </w:t>
      </w:r>
      <w:r w:rsidR="004F44E8">
        <w:rPr>
          <w:rFonts w:hint="cs"/>
          <w:rtl/>
        </w:rPr>
        <w:t>לאבן, כלומר</w:t>
      </w:r>
      <w:r w:rsidR="003E0782">
        <w:rPr>
          <w:rFonts w:hint="cs"/>
          <w:rtl/>
        </w:rPr>
        <w:t xml:space="preserve"> </w:t>
      </w:r>
      <w:r w:rsidR="00800652">
        <w:rPr>
          <w:rFonts w:hint="cs"/>
          <w:rtl/>
        </w:rPr>
        <w:t xml:space="preserve">היותה מתאימה למופשט, ולכן דווקא התנועה הזו היא עצמית לה, ולכן דווקא את התנועה הזו היא תנוע </w:t>
      </w:r>
      <w:r w:rsidR="00030078">
        <w:rPr>
          <w:rFonts w:hint="cs"/>
          <w:rtl/>
        </w:rPr>
        <w:t>לבדה</w:t>
      </w:r>
      <w:r w:rsidR="00800652">
        <w:rPr>
          <w:rFonts w:hint="cs"/>
          <w:rtl/>
        </w:rPr>
        <w:t xml:space="preserve"> בלי דחיפה של כח חיצוני לה.</w:t>
      </w:r>
      <w:r w:rsidR="009C65CA">
        <w:rPr>
          <w:rFonts w:hint="cs"/>
          <w:rtl/>
        </w:rPr>
        <w:t xml:space="preserve"> </w:t>
      </w:r>
      <w:r w:rsidR="002A507D">
        <w:rPr>
          <w:rFonts w:hint="cs"/>
          <w:rtl/>
        </w:rPr>
        <w:t xml:space="preserve"> </w:t>
      </w:r>
      <w:r w:rsidR="009D2652">
        <w:rPr>
          <w:rFonts w:hint="cs"/>
          <w:rtl/>
        </w:rPr>
        <w:t xml:space="preserve"> </w:t>
      </w:r>
    </w:p>
  </w:footnote>
  <w:footnote w:id="546">
    <w:p w14:paraId="52CEE11A" w14:textId="06482FFE" w:rsidR="003964F6" w:rsidRDefault="003964F6">
      <w:pPr>
        <w:pStyle w:val="FootnoteText"/>
      </w:pPr>
      <w:r>
        <w:rPr>
          <w:rStyle w:val="FootnoteReference"/>
        </w:rPr>
        <w:footnoteRef/>
      </w:r>
      <w:r>
        <w:rPr>
          <w:rtl/>
        </w:rPr>
        <w:t xml:space="preserve"> </w:t>
      </w:r>
      <w:r w:rsidR="00BF357F">
        <w:rPr>
          <w:rFonts w:hint="cs"/>
          <w:rtl/>
        </w:rPr>
        <w:t>למשל כל גוף צורתו נפסדת בהכרח</w:t>
      </w:r>
      <w:r w:rsidR="00283E64">
        <w:rPr>
          <w:rFonts w:hint="cs"/>
          <w:rtl/>
        </w:rPr>
        <w:t xml:space="preserve">, וזה </w:t>
      </w:r>
      <w:r w:rsidR="009923F9">
        <w:rPr>
          <w:rFonts w:hint="cs"/>
          <w:rtl/>
        </w:rPr>
        <w:t>לא מצד מה שמתאים לו</w:t>
      </w:r>
      <w:r w:rsidR="008B6505">
        <w:rPr>
          <w:rFonts w:hint="cs"/>
          <w:rtl/>
        </w:rPr>
        <w:t>, כלומר דמיונו למופשט</w:t>
      </w:r>
      <w:r w:rsidR="009923F9">
        <w:rPr>
          <w:rFonts w:hint="cs"/>
          <w:rtl/>
        </w:rPr>
        <w:t xml:space="preserve">. מה שפסל שיש מייד מתחילת עשייתו מתחיל להתפורר לאט </w:t>
      </w:r>
      <w:r w:rsidR="009923F9">
        <w:rPr>
          <w:rFonts w:hint="cs"/>
          <w:rtl/>
        </w:rPr>
        <w:t xml:space="preserve">לאט עד כליון גמור, זה </w:t>
      </w:r>
      <w:r w:rsidR="00D62513">
        <w:rPr>
          <w:rFonts w:hint="cs"/>
          <w:rtl/>
        </w:rPr>
        <w:t>לא</w:t>
      </w:r>
      <w:r w:rsidR="009923F9">
        <w:rPr>
          <w:rFonts w:hint="cs"/>
          <w:rtl/>
        </w:rPr>
        <w:t xml:space="preserve"> נובע בהכרח מהדמיון לכוונת האמן, לא מצד הצורה ו</w:t>
      </w:r>
      <w:r w:rsidR="00D62513">
        <w:rPr>
          <w:rFonts w:hint="cs"/>
          <w:rtl/>
        </w:rPr>
        <w:t>לא</w:t>
      </w:r>
      <w:r w:rsidR="009923F9">
        <w:rPr>
          <w:rFonts w:hint="cs"/>
          <w:rtl/>
        </w:rPr>
        <w:t xml:space="preserve"> מצד החומר, </w:t>
      </w:r>
      <w:r w:rsidR="00D62513">
        <w:rPr>
          <w:rFonts w:hint="cs"/>
          <w:rtl/>
        </w:rPr>
        <w:t xml:space="preserve">כמו </w:t>
      </w:r>
      <w:r w:rsidR="009923F9">
        <w:rPr>
          <w:rFonts w:hint="cs"/>
          <w:rtl/>
        </w:rPr>
        <w:t>שהתבא</w:t>
      </w:r>
      <w:r w:rsidR="00D62513">
        <w:rPr>
          <w:rFonts w:hint="cs"/>
          <w:rtl/>
        </w:rPr>
        <w:t>ר</w:t>
      </w:r>
      <w:r w:rsidR="009923F9">
        <w:rPr>
          <w:rFonts w:hint="cs"/>
          <w:rtl/>
        </w:rPr>
        <w:t xml:space="preserve">ו </w:t>
      </w:r>
      <w:r w:rsidR="00D62513">
        <w:rPr>
          <w:rFonts w:hint="cs"/>
          <w:rtl/>
        </w:rPr>
        <w:t xml:space="preserve">צדדים אלה </w:t>
      </w:r>
      <w:r w:rsidR="009923F9">
        <w:rPr>
          <w:rFonts w:hint="cs"/>
          <w:rtl/>
        </w:rPr>
        <w:t>לעיל</w:t>
      </w:r>
      <w:r w:rsidR="00D62513">
        <w:rPr>
          <w:rFonts w:hint="cs"/>
          <w:rtl/>
        </w:rPr>
        <w:t xml:space="preserve"> בסמוך</w:t>
      </w:r>
      <w:r w:rsidR="009923F9">
        <w:rPr>
          <w:rFonts w:hint="cs"/>
          <w:rtl/>
        </w:rPr>
        <w:t xml:space="preserve">. </w:t>
      </w:r>
      <w:r w:rsidR="008F325B">
        <w:rPr>
          <w:rFonts w:hint="cs"/>
          <w:rtl/>
        </w:rPr>
        <w:t xml:space="preserve">ההתפוררות הזו קורה לבד, בלי פעולת גורם חיצוני, </w:t>
      </w:r>
      <w:r w:rsidR="002A79FA">
        <w:rPr>
          <w:rFonts w:hint="cs"/>
          <w:rtl/>
        </w:rPr>
        <w:t>ותמיד היא קורה, והיה אפשר לחשוב שזה חלק מעצמות הטבע</w:t>
      </w:r>
      <w:r w:rsidR="00E87CDA">
        <w:rPr>
          <w:rFonts w:hint="cs"/>
          <w:rtl/>
        </w:rPr>
        <w:t xml:space="preserve"> של הגוף</w:t>
      </w:r>
      <w:r w:rsidR="002A79FA">
        <w:rPr>
          <w:rFonts w:hint="cs"/>
          <w:rtl/>
        </w:rPr>
        <w:t xml:space="preserve">. אמנם </w:t>
      </w:r>
      <w:r w:rsidR="007750CE">
        <w:rPr>
          <w:rFonts w:hint="cs"/>
          <w:rtl/>
        </w:rPr>
        <w:t xml:space="preserve">אנו יודעים שזה לא עצמות הגוף כי </w:t>
      </w:r>
      <w:r w:rsidR="002A79FA">
        <w:rPr>
          <w:rFonts w:hint="cs"/>
          <w:rtl/>
        </w:rPr>
        <w:t xml:space="preserve">זה לא </w:t>
      </w:r>
      <w:r w:rsidR="00E87CDA">
        <w:rPr>
          <w:rFonts w:hint="cs"/>
          <w:rtl/>
        </w:rPr>
        <w:t>'</w:t>
      </w:r>
      <w:r w:rsidR="002A79FA">
        <w:rPr>
          <w:rFonts w:hint="cs"/>
          <w:rtl/>
        </w:rPr>
        <w:t>מתאים</w:t>
      </w:r>
      <w:r w:rsidR="00E87CDA">
        <w:rPr>
          <w:rFonts w:hint="cs"/>
          <w:rtl/>
        </w:rPr>
        <w:t>'</w:t>
      </w:r>
      <w:r w:rsidR="002A79FA">
        <w:rPr>
          <w:rFonts w:hint="cs"/>
          <w:rtl/>
        </w:rPr>
        <w:t xml:space="preserve"> לגוף, כלומר זה לא דומה לכוונה של הגילוי ה</w:t>
      </w:r>
      <w:r w:rsidR="00E87CDA">
        <w:rPr>
          <w:rFonts w:hint="cs"/>
          <w:rtl/>
        </w:rPr>
        <w:t>א</w:t>
      </w:r>
      <w:r w:rsidR="002A79FA">
        <w:rPr>
          <w:rFonts w:hint="cs"/>
          <w:rtl/>
        </w:rPr>
        <w:t>לוהי המופשט בהתממשותו בט</w:t>
      </w:r>
      <w:r w:rsidR="00E87CDA">
        <w:rPr>
          <w:rFonts w:hint="cs"/>
          <w:rtl/>
        </w:rPr>
        <w:t>ב</w:t>
      </w:r>
      <w:r w:rsidR="002A79FA">
        <w:rPr>
          <w:rFonts w:hint="cs"/>
          <w:rtl/>
        </w:rPr>
        <w:t>ע</w:t>
      </w:r>
      <w:r w:rsidR="008D5D35">
        <w:rPr>
          <w:rFonts w:hint="cs"/>
          <w:rtl/>
        </w:rPr>
        <w:t xml:space="preserve"> על ידי הגוף הטבעי הזה</w:t>
      </w:r>
      <w:r w:rsidR="002A79FA">
        <w:rPr>
          <w:rFonts w:hint="cs"/>
          <w:rtl/>
        </w:rPr>
        <w:t xml:space="preserve">. </w:t>
      </w:r>
      <w:r w:rsidR="0018475B">
        <w:rPr>
          <w:rFonts w:hint="cs"/>
          <w:rtl/>
        </w:rPr>
        <w:t>ההוכחה לזה היא מגרמי השמיים שהם חלק מהטבע והם נצחיים</w:t>
      </w:r>
      <w:r w:rsidR="00FC6560">
        <w:rPr>
          <w:rFonts w:hint="cs"/>
          <w:rtl/>
        </w:rPr>
        <w:t xml:space="preserve"> (אין הכוונה לגוש האבן שאנו רואים </w:t>
      </w:r>
      <w:r w:rsidR="00360AD0">
        <w:rPr>
          <w:rFonts w:hint="cs"/>
          <w:rtl/>
        </w:rPr>
        <w:t>בירח, אלא לשדות כוחות התנועה שהם הגלגלים</w:t>
      </w:r>
      <w:r w:rsidR="007556CA">
        <w:rPr>
          <w:rFonts w:hint="cs"/>
          <w:rtl/>
        </w:rPr>
        <w:t>, וכמו שהארכתי במקומות אחרים על סמך דברי הנרבוני על מורה נבוכים א' ע"ב</w:t>
      </w:r>
      <w:r w:rsidR="00FC6560">
        <w:rPr>
          <w:rFonts w:hint="cs"/>
          <w:rtl/>
        </w:rPr>
        <w:t>)</w:t>
      </w:r>
      <w:r w:rsidR="007405DC">
        <w:rPr>
          <w:rFonts w:hint="cs"/>
          <w:rtl/>
        </w:rPr>
        <w:t>, והשחיקה סיבתה היא מה שהחומר של הגופים המורכבים שהוא מ</w:t>
      </w:r>
      <w:r w:rsidR="00EF6E7F">
        <w:rPr>
          <w:rFonts w:hint="cs"/>
          <w:rtl/>
        </w:rPr>
        <w:t xml:space="preserve">הרכבת </w:t>
      </w:r>
      <w:r w:rsidR="007405DC">
        <w:rPr>
          <w:rFonts w:hint="cs"/>
          <w:rtl/>
        </w:rPr>
        <w:t xml:space="preserve">מזג ארבעת היסודות והמזג הזה משתנה והשתנותו היא סיבת ההפסד של הגופים המורכבים, ולא </w:t>
      </w:r>
      <w:r w:rsidR="00EF6E7F">
        <w:rPr>
          <w:rFonts w:hint="cs"/>
          <w:rtl/>
        </w:rPr>
        <w:t>עצמות</w:t>
      </w:r>
      <w:r w:rsidR="007405DC">
        <w:rPr>
          <w:rFonts w:hint="cs"/>
          <w:rtl/>
        </w:rPr>
        <w:t xml:space="preserve"> טבעם. </w:t>
      </w:r>
      <w:r w:rsidR="00A84932">
        <w:rPr>
          <w:rFonts w:hint="cs"/>
          <w:rtl/>
        </w:rPr>
        <w:t xml:space="preserve">זו דוגמה נוספת לדוגמאות שכתב אבן סינא והכל עניין אחד. </w:t>
      </w:r>
      <w:r w:rsidR="0018475B">
        <w:rPr>
          <w:rFonts w:hint="cs"/>
          <w:rtl/>
        </w:rPr>
        <w:t xml:space="preserve"> </w:t>
      </w:r>
      <w:r w:rsidR="00BF357F">
        <w:rPr>
          <w:rFonts w:hint="cs"/>
          <w:rtl/>
        </w:rPr>
        <w:t xml:space="preserve"> </w:t>
      </w:r>
    </w:p>
  </w:footnote>
  <w:footnote w:id="547">
    <w:p w14:paraId="5B03455B" w14:textId="51097DAD" w:rsidR="006E435B" w:rsidRDefault="006E435B">
      <w:pPr>
        <w:pStyle w:val="FootnoteText"/>
      </w:pPr>
      <w:r>
        <w:rPr>
          <w:rStyle w:val="FootnoteReference"/>
        </w:rPr>
        <w:footnoteRef/>
      </w:r>
      <w:r>
        <w:rPr>
          <w:rtl/>
        </w:rPr>
        <w:t xml:space="preserve"> </w:t>
      </w:r>
      <w:r w:rsidR="009D692F" w:rsidRPr="00D33083">
        <w:rPr>
          <w:rFonts w:ascii="Arial" w:hAnsi="Arial" w:cs="Arial" w:hint="cs"/>
          <w:rtl/>
          <w:lang w:bidi="ar-SA"/>
        </w:rPr>
        <w:t>و</w:t>
      </w:r>
      <w:r w:rsidR="009D692F" w:rsidRPr="00D33083">
        <w:rPr>
          <w:rtl/>
          <w:lang w:bidi="ar-SA"/>
        </w:rPr>
        <w:t xml:space="preserve"> </w:t>
      </w:r>
      <w:r w:rsidR="009D692F" w:rsidRPr="00D33083">
        <w:rPr>
          <w:rFonts w:ascii="Arial" w:hAnsi="Arial" w:cs="Arial" w:hint="cs"/>
          <w:rtl/>
          <w:lang w:bidi="ar-SA"/>
        </w:rPr>
        <w:t>لكنهما</w:t>
      </w:r>
      <w:r w:rsidR="009D692F" w:rsidRPr="00D33083">
        <w:rPr>
          <w:rtl/>
          <w:lang w:bidi="ar-SA"/>
        </w:rPr>
        <w:t xml:space="preserve"> </w:t>
      </w:r>
      <w:r w:rsidR="009D692F" w:rsidRPr="00D33083">
        <w:rPr>
          <w:rFonts w:ascii="Arial" w:hAnsi="Arial" w:cs="Arial" w:hint="cs"/>
          <w:rtl/>
          <w:lang w:bidi="ar-SA"/>
        </w:rPr>
        <w:t>بالطبع</w:t>
      </w:r>
      <w:r w:rsidR="009D692F" w:rsidRPr="00D33083">
        <w:rPr>
          <w:rtl/>
          <w:lang w:bidi="ar-SA"/>
        </w:rPr>
        <w:t xml:space="preserve"> </w:t>
      </w:r>
      <w:r w:rsidR="009D692F" w:rsidRPr="00D33083">
        <w:rPr>
          <w:rFonts w:ascii="Arial" w:hAnsi="Arial" w:cs="Arial" w:hint="cs"/>
          <w:rtl/>
          <w:lang w:bidi="ar-SA"/>
        </w:rPr>
        <w:t>و</w:t>
      </w:r>
      <w:r w:rsidR="009D692F" w:rsidRPr="00D33083">
        <w:rPr>
          <w:rtl/>
          <w:lang w:bidi="ar-SA"/>
        </w:rPr>
        <w:t xml:space="preserve"> </w:t>
      </w:r>
      <w:r w:rsidR="009D692F" w:rsidRPr="00D33083">
        <w:rPr>
          <w:rFonts w:ascii="Arial" w:hAnsi="Arial" w:cs="Arial" w:hint="cs"/>
          <w:rtl/>
          <w:lang w:bidi="ar-SA"/>
        </w:rPr>
        <w:t>بالطبيعة</w:t>
      </w:r>
      <w:r w:rsidR="00D33083" w:rsidRPr="00D33083">
        <w:rPr>
          <w:rtl/>
        </w:rPr>
        <w:t>.</w:t>
      </w:r>
    </w:p>
  </w:footnote>
  <w:footnote w:id="548">
    <w:p w14:paraId="01290757" w14:textId="6544F0A7" w:rsidR="00B34E4E" w:rsidRDefault="00B34E4E">
      <w:pPr>
        <w:pStyle w:val="FootnoteText"/>
        <w:rPr>
          <w:rtl/>
        </w:rPr>
      </w:pPr>
      <w:r>
        <w:rPr>
          <w:rStyle w:val="FootnoteReference"/>
        </w:rPr>
        <w:footnoteRef/>
      </w:r>
      <w:r>
        <w:rPr>
          <w:rtl/>
        </w:rPr>
        <w:t xml:space="preserve"> </w:t>
      </w:r>
      <w:r>
        <w:rPr>
          <w:rFonts w:hint="cs"/>
          <w:rtl/>
        </w:rPr>
        <w:t>כמו שכתבתי כמה פעמים לעיל, השכל הפועל שהוא נות</w:t>
      </w:r>
      <w:r w:rsidR="0090796E">
        <w:rPr>
          <w:rFonts w:hint="cs"/>
          <w:rtl/>
        </w:rPr>
        <w:t>ן</w:t>
      </w:r>
      <w:r>
        <w:rPr>
          <w:rFonts w:hint="cs"/>
          <w:rtl/>
        </w:rPr>
        <w:t xml:space="preserve"> הצורה, נותן תמיד </w:t>
      </w:r>
      <w:r w:rsidR="0090796E">
        <w:rPr>
          <w:rFonts w:hint="cs"/>
          <w:rtl/>
        </w:rPr>
        <w:t xml:space="preserve">ובכל החומרים </w:t>
      </w:r>
      <w:r>
        <w:rPr>
          <w:rFonts w:hint="cs"/>
          <w:rtl/>
        </w:rPr>
        <w:t xml:space="preserve">את הצורה </w:t>
      </w:r>
      <w:r w:rsidR="0090796E">
        <w:rPr>
          <w:rFonts w:hint="cs"/>
          <w:rtl/>
        </w:rPr>
        <w:t xml:space="preserve">באופן שלם, רק מזג הרכבת היסודות שבחומר גורם שהוא מוכן לקבל צורה רק במקום </w:t>
      </w:r>
      <w:r w:rsidR="009C463A">
        <w:rPr>
          <w:rFonts w:hint="cs"/>
          <w:rtl/>
        </w:rPr>
        <w:t>מסוים</w:t>
      </w:r>
      <w:r w:rsidR="0090796E">
        <w:rPr>
          <w:rFonts w:hint="cs"/>
          <w:rtl/>
        </w:rPr>
        <w:t xml:space="preserve"> ובזמן </w:t>
      </w:r>
      <w:r w:rsidR="009C463A">
        <w:rPr>
          <w:rFonts w:hint="cs"/>
          <w:rtl/>
        </w:rPr>
        <w:t>מסוים</w:t>
      </w:r>
      <w:r w:rsidR="006E1084">
        <w:rPr>
          <w:rFonts w:hint="cs"/>
          <w:rtl/>
        </w:rPr>
        <w:t xml:space="preserve"> ובאופן </w:t>
      </w:r>
      <w:r w:rsidR="009C463A">
        <w:rPr>
          <w:rFonts w:hint="cs"/>
          <w:rtl/>
        </w:rPr>
        <w:t>מסוים</w:t>
      </w:r>
      <w:r w:rsidR="00B06E7B">
        <w:rPr>
          <w:rFonts w:hint="cs"/>
          <w:rtl/>
        </w:rPr>
        <w:t xml:space="preserve"> (וכיוון שהמזג בהשתנות מתמדת הוא גם גורם שהצורה הולכת ונפרדת מהחומר</w:t>
      </w:r>
      <w:r w:rsidR="00473446">
        <w:rPr>
          <w:rFonts w:hint="cs"/>
          <w:rtl/>
        </w:rPr>
        <w:t>)</w:t>
      </w:r>
      <w:r w:rsidR="006E1084">
        <w:rPr>
          <w:rFonts w:hint="cs"/>
          <w:rtl/>
        </w:rPr>
        <w:t>, ומ</w:t>
      </w:r>
      <w:r w:rsidR="00B06E7B">
        <w:rPr>
          <w:rFonts w:hint="cs"/>
          <w:rtl/>
        </w:rPr>
        <w:t>ז</w:t>
      </w:r>
      <w:r w:rsidR="006E1084">
        <w:rPr>
          <w:rFonts w:hint="cs"/>
          <w:rtl/>
        </w:rPr>
        <w:t>ה נובע שלפעמים קבלת הצורה אינה שלמה והתינוק נולד עם ראש גדול מדי או עם שש אצבעות בידו.</w:t>
      </w:r>
      <w:r w:rsidR="0090796E">
        <w:rPr>
          <w:rFonts w:hint="cs"/>
          <w:rtl/>
        </w:rPr>
        <w:t xml:space="preserve"> </w:t>
      </w:r>
    </w:p>
    <w:p w14:paraId="2B0739F0" w14:textId="6C008629" w:rsidR="00896CF4" w:rsidRDefault="00896CF4">
      <w:pPr>
        <w:pStyle w:val="FootnoteText"/>
        <w:rPr>
          <w:rtl/>
        </w:rPr>
      </w:pPr>
      <w:r>
        <w:rPr>
          <w:rFonts w:hint="cs"/>
          <w:rtl/>
        </w:rPr>
        <w:t xml:space="preserve">המזג תלוי בכמות של כל יסוד ממרכיביו, וזה גורם לשינוי גם באיכויות, כי היסודות המרכיבים פועלים זה על זה ומשנים זה את </w:t>
      </w:r>
      <w:r w:rsidR="00412B3F">
        <w:rPr>
          <w:rFonts w:hint="cs"/>
          <w:rtl/>
        </w:rPr>
        <w:t xml:space="preserve">איכויותיו של זה. </w:t>
      </w:r>
      <w:r w:rsidR="00ED3652">
        <w:rPr>
          <w:rFonts w:hint="cs"/>
          <w:rtl/>
        </w:rPr>
        <w:t xml:space="preserve">כמו שאם מוסיפים כמות יותר גדולה של מלח למרק, האיכות של כל המרק משתנה. </w:t>
      </w:r>
    </w:p>
  </w:footnote>
  <w:footnote w:id="549">
    <w:p w14:paraId="6C16FFF5" w14:textId="0ECE8DB5" w:rsidR="001A2016" w:rsidRDefault="001A2016">
      <w:pPr>
        <w:pStyle w:val="FootnoteText"/>
      </w:pPr>
      <w:r>
        <w:rPr>
          <w:rStyle w:val="FootnoteReference"/>
        </w:rPr>
        <w:footnoteRef/>
      </w:r>
      <w:r>
        <w:rPr>
          <w:rtl/>
        </w:rPr>
        <w:t xml:space="preserve"> </w:t>
      </w:r>
      <w:r w:rsidR="00607102">
        <w:rPr>
          <w:rFonts w:hint="cs"/>
          <w:rtl/>
        </w:rPr>
        <w:t xml:space="preserve">הטבע הכללי שהוא אחד באופן מוחלט לכל הבריאה, נדון באריכות ועמקות רבה לקמן </w:t>
      </w:r>
      <w:r w:rsidR="00D774A1">
        <w:rPr>
          <w:rFonts w:hint="cs"/>
          <w:rtl/>
        </w:rPr>
        <w:t xml:space="preserve">בחלק </w:t>
      </w:r>
      <w:r w:rsidR="00D774A1">
        <w:rPr>
          <w:rFonts w:hint="cs"/>
          <w:rtl/>
        </w:rPr>
        <w:t xml:space="preserve">המטאפיזיקה ספר ח' פרק ד' ועיין שם גם בפרק ג' ופרק ה'. </w:t>
      </w:r>
      <w:r w:rsidR="00974B84">
        <w:rPr>
          <w:rFonts w:hint="cs"/>
          <w:rtl/>
        </w:rPr>
        <w:t>אינני מנסה לומר כאן בקיצור את מה שהתבאר שם, כי הוא ענין שמח</w:t>
      </w:r>
      <w:r w:rsidR="008F7D23">
        <w:rPr>
          <w:rFonts w:hint="cs"/>
          <w:rtl/>
        </w:rPr>
        <w:t>י</w:t>
      </w:r>
      <w:r w:rsidR="00974B84">
        <w:rPr>
          <w:rFonts w:hint="cs"/>
          <w:rtl/>
        </w:rPr>
        <w:t xml:space="preserve">יב התעמקות ועיון ואם יקוצר הוא לא יהיה </w:t>
      </w:r>
      <w:r w:rsidR="009C463A">
        <w:rPr>
          <w:rFonts w:hint="cs"/>
          <w:rtl/>
        </w:rPr>
        <w:t>מדויק</w:t>
      </w:r>
      <w:r w:rsidR="008F7D23">
        <w:rPr>
          <w:rFonts w:hint="cs"/>
          <w:rtl/>
        </w:rPr>
        <w:t>, וראוי לעסוק בדברים במקום שבו אבן סינא עוסק בהם</w:t>
      </w:r>
      <w:r w:rsidR="00974B84">
        <w:rPr>
          <w:rFonts w:hint="cs"/>
          <w:rtl/>
        </w:rPr>
        <w:t xml:space="preserve">. </w:t>
      </w:r>
    </w:p>
  </w:footnote>
  <w:footnote w:id="550">
    <w:p w14:paraId="50641D27" w14:textId="7EA10948" w:rsidR="0068563C" w:rsidRDefault="0068563C">
      <w:pPr>
        <w:pStyle w:val="FootnoteText"/>
      </w:pPr>
      <w:r>
        <w:rPr>
          <w:rStyle w:val="FootnoteReference"/>
        </w:rPr>
        <w:footnoteRef/>
      </w:r>
      <w:r>
        <w:rPr>
          <w:rtl/>
        </w:rPr>
        <w:t xml:space="preserve"> </w:t>
      </w:r>
      <w:r>
        <w:rPr>
          <w:rFonts w:hint="cs"/>
          <w:rtl/>
        </w:rPr>
        <w:t>הכללי מצד המין והכללי המוחלט.</w:t>
      </w:r>
    </w:p>
  </w:footnote>
  <w:footnote w:id="551">
    <w:p w14:paraId="3EA00573" w14:textId="3216DCD2" w:rsidR="00EB4C8A" w:rsidRDefault="00EB4C8A" w:rsidP="005C73B1">
      <w:pPr>
        <w:pStyle w:val="FootnoteText"/>
      </w:pPr>
      <w:r>
        <w:rPr>
          <w:rStyle w:val="FootnoteReference"/>
        </w:rPr>
        <w:footnoteRef/>
      </w:r>
      <w:r>
        <w:rPr>
          <w:rtl/>
        </w:rPr>
        <w:t xml:space="preserve"> </w:t>
      </w:r>
      <w:r w:rsidR="0085021B">
        <w:rPr>
          <w:rtl/>
        </w:rPr>
        <w:t xml:space="preserve">במקור </w:t>
      </w:r>
      <w:r w:rsidR="0085021B">
        <w:rPr>
          <w:rFonts w:cs="Times New Roman" w:hint="eastAsia"/>
          <w:rtl/>
          <w:lang w:bidi="ar-SA"/>
        </w:rPr>
        <w:t>الاعيان</w:t>
      </w:r>
      <w:r w:rsidR="0085021B">
        <w:rPr>
          <w:rFonts w:cs="Times New Roman"/>
          <w:rtl/>
          <w:lang w:bidi="ar-SA"/>
        </w:rPr>
        <w:t xml:space="preserve">. </w:t>
      </w:r>
      <w:r w:rsidR="0085021B">
        <w:rPr>
          <w:rtl/>
        </w:rPr>
        <w:t xml:space="preserve">מה שהוא </w:t>
      </w:r>
      <w:r w:rsidR="00983DD0" w:rsidRPr="00983DD0">
        <w:rPr>
          <w:rtl/>
        </w:rPr>
        <w:t>בְּעֵין</w:t>
      </w:r>
      <w:r w:rsidR="0085021B">
        <w:rPr>
          <w:rtl/>
        </w:rPr>
        <w:t xml:space="preserve">, כלומר ניכר כגוף שעומד בפני עצמו. </w:t>
      </w:r>
      <w:r w:rsidR="008B5829">
        <w:rPr>
          <w:rFonts w:hint="cs"/>
          <w:rtl/>
        </w:rPr>
        <w:t>ו</w:t>
      </w:r>
      <w:r w:rsidR="0085021B">
        <w:rPr>
          <w:rtl/>
        </w:rPr>
        <w:t>כשימוש הלשון שכתב במגיד משנה הלכות מאכלות אסורות ב' ט"ו (וכן מקובל בלשון חכמי ההלכה):</w:t>
      </w:r>
      <w:r w:rsidR="005C73B1">
        <w:rPr>
          <w:rFonts w:hint="cs"/>
          <w:rtl/>
        </w:rPr>
        <w:t xml:space="preserve"> </w:t>
      </w:r>
      <w:r w:rsidR="0085021B">
        <w:rPr>
          <w:rtl/>
        </w:rPr>
        <w:t xml:space="preserve">"אם נימוח בטל הוא בששים ואם הוא </w:t>
      </w:r>
      <w:r w:rsidR="0085021B" w:rsidRPr="0085021B">
        <w:rPr>
          <w:b/>
          <w:bCs/>
          <w:rtl/>
        </w:rPr>
        <w:t>בעין</w:t>
      </w:r>
      <w:r w:rsidR="0085021B">
        <w:rPr>
          <w:rtl/>
        </w:rPr>
        <w:t xml:space="preserve"> זורקו"</w:t>
      </w:r>
      <w:r w:rsidR="00E957FF">
        <w:rPr>
          <w:rFonts w:hint="cs"/>
          <w:rtl/>
        </w:rPr>
        <w:t xml:space="preserve"> (כלומר בעין הוא ההיפך מנימוח)</w:t>
      </w:r>
    </w:p>
  </w:footnote>
  <w:footnote w:id="552">
    <w:p w14:paraId="3523A2C2" w14:textId="251E53D7" w:rsidR="00541DC6" w:rsidRDefault="00541DC6">
      <w:pPr>
        <w:pStyle w:val="FootnoteText"/>
        <w:rPr>
          <w:rtl/>
        </w:rPr>
      </w:pPr>
      <w:r>
        <w:rPr>
          <w:rStyle w:val="FootnoteReference"/>
        </w:rPr>
        <w:footnoteRef/>
      </w:r>
      <w:r>
        <w:rPr>
          <w:rtl/>
        </w:rPr>
        <w:t xml:space="preserve"> </w:t>
      </w:r>
      <w:r w:rsidR="002C754F">
        <w:rPr>
          <w:rFonts w:hint="cs"/>
          <w:rtl/>
        </w:rPr>
        <w:t>כלשון הרמב"ם בהלכות יסודי התורה ד' ז':</w:t>
      </w:r>
    </w:p>
    <w:p w14:paraId="1EE79C34" w14:textId="76C0E730" w:rsidR="002C754F" w:rsidRDefault="002C754F">
      <w:pPr>
        <w:pStyle w:val="FootnoteText"/>
        <w:rPr>
          <w:rtl/>
        </w:rPr>
      </w:pPr>
      <w:r>
        <w:rPr>
          <w:rFonts w:hint="cs"/>
          <w:rtl/>
        </w:rPr>
        <w:t>"</w:t>
      </w:r>
      <w:r w:rsidRPr="002C754F">
        <w:rPr>
          <w:rtl/>
        </w:rPr>
        <w:t>לעולם אין אתה רואה גולם בלא צורה או צורה בלא גולם, אלא לב האדם הוא שמחלק הגוף הנמצא בדעתו, ויודע שהוא מחובר מגולם וצורה</w:t>
      </w:r>
      <w:r>
        <w:rPr>
          <w:rFonts w:hint="cs"/>
          <w:rtl/>
        </w:rPr>
        <w:t>"</w:t>
      </w:r>
      <w:r w:rsidR="004F1D1F">
        <w:rPr>
          <w:rFonts w:hint="cs"/>
          <w:rtl/>
        </w:rPr>
        <w:t>.</w:t>
      </w:r>
    </w:p>
    <w:p w14:paraId="0454C6D1" w14:textId="77777777" w:rsidR="000F2217" w:rsidRDefault="004F1D1F">
      <w:pPr>
        <w:pStyle w:val="FootnoteText"/>
        <w:rPr>
          <w:rtl/>
        </w:rPr>
      </w:pPr>
      <w:r>
        <w:rPr>
          <w:rFonts w:hint="cs"/>
          <w:rtl/>
        </w:rPr>
        <w:t>אם מגדירים כ"נמצא" את החומרי</w:t>
      </w:r>
      <w:r w:rsidR="00D4502B">
        <w:rPr>
          <w:rFonts w:hint="cs"/>
          <w:rtl/>
        </w:rPr>
        <w:t xml:space="preserve"> (היש הפרטי, האינדיבידואל, ראובן)</w:t>
      </w:r>
      <w:r>
        <w:rPr>
          <w:rFonts w:hint="cs"/>
          <w:rtl/>
        </w:rPr>
        <w:t xml:space="preserve">, וודאי </w:t>
      </w:r>
      <w:r w:rsidR="00F957AF">
        <w:rPr>
          <w:rFonts w:hint="cs"/>
          <w:rtl/>
        </w:rPr>
        <w:t>ה</w:t>
      </w:r>
      <w:r>
        <w:rPr>
          <w:rFonts w:hint="cs"/>
          <w:rtl/>
        </w:rPr>
        <w:t xml:space="preserve">צורה </w:t>
      </w:r>
      <w:r w:rsidR="00F957AF">
        <w:rPr>
          <w:rFonts w:hint="cs"/>
          <w:rtl/>
        </w:rPr>
        <w:t>(</w:t>
      </w:r>
      <w:r>
        <w:rPr>
          <w:rFonts w:hint="cs"/>
          <w:rtl/>
        </w:rPr>
        <w:t>שהיא</w:t>
      </w:r>
      <w:r w:rsidR="00E53552">
        <w:rPr>
          <w:rFonts w:hint="cs"/>
          <w:rtl/>
        </w:rPr>
        <w:t xml:space="preserve"> הכללי, כלומר</w:t>
      </w:r>
      <w:r>
        <w:rPr>
          <w:rFonts w:hint="cs"/>
          <w:rtl/>
        </w:rPr>
        <w:t xml:space="preserve"> המין והסוג</w:t>
      </w:r>
      <w:r w:rsidR="00524D7A">
        <w:rPr>
          <w:rFonts w:hint="cs"/>
          <w:rtl/>
        </w:rPr>
        <w:t>, 'אדם'</w:t>
      </w:r>
      <w:r w:rsidR="00F957AF">
        <w:rPr>
          <w:rFonts w:hint="cs"/>
          <w:rtl/>
        </w:rPr>
        <w:t>)</w:t>
      </w:r>
      <w:r>
        <w:rPr>
          <w:rFonts w:hint="cs"/>
          <w:rtl/>
        </w:rPr>
        <w:t xml:space="preserve"> מציאות</w:t>
      </w:r>
      <w:r w:rsidR="00F957AF">
        <w:rPr>
          <w:rFonts w:hint="cs"/>
          <w:rtl/>
        </w:rPr>
        <w:t>ה משנית, שהרי היא מצד עצמה מופשטת</w:t>
      </w:r>
      <w:r>
        <w:rPr>
          <w:rFonts w:hint="cs"/>
          <w:rtl/>
        </w:rPr>
        <w:t xml:space="preserve"> </w:t>
      </w:r>
      <w:r w:rsidR="00F957AF">
        <w:rPr>
          <w:rFonts w:hint="cs"/>
          <w:rtl/>
        </w:rPr>
        <w:t xml:space="preserve">מחומר. </w:t>
      </w:r>
      <w:r w:rsidR="00792619">
        <w:rPr>
          <w:rFonts w:hint="cs"/>
          <w:rtl/>
        </w:rPr>
        <w:t xml:space="preserve">הדבר עצמו הוא צורתו, </w:t>
      </w:r>
      <w:r w:rsidR="004779B4">
        <w:rPr>
          <w:rFonts w:hint="cs"/>
          <w:rtl/>
        </w:rPr>
        <w:t xml:space="preserve">היא מהותו; </w:t>
      </w:r>
      <w:r w:rsidR="00792619">
        <w:rPr>
          <w:rFonts w:hint="cs"/>
          <w:rtl/>
        </w:rPr>
        <w:t xml:space="preserve">הטבע הוא הצורות, אבל כשהן ממומשות בחומר ולא כשהן מופשטות מחומר, </w:t>
      </w:r>
      <w:r w:rsidR="00476D5F">
        <w:rPr>
          <w:rFonts w:hint="cs"/>
          <w:rtl/>
        </w:rPr>
        <w:t>לכן מה ש</w:t>
      </w:r>
      <w:r w:rsidR="004779B4">
        <w:rPr>
          <w:rFonts w:hint="cs"/>
          <w:rtl/>
        </w:rPr>
        <w:t>יש לו מציאות מצד ה</w:t>
      </w:r>
      <w:r w:rsidR="00476D5F">
        <w:rPr>
          <w:rFonts w:hint="cs"/>
          <w:rtl/>
        </w:rPr>
        <w:t>טבע אינו המופשט אלא הממומש בחומר</w:t>
      </w:r>
      <w:r w:rsidR="000764B7">
        <w:rPr>
          <w:rFonts w:hint="cs"/>
          <w:rtl/>
        </w:rPr>
        <w:t xml:space="preserve">, ולצורות הכלליות, המופשטות, יש מציאות משנית בלבד שנשענת על המציאות הראשונית של הגופים הפרטיים, </w:t>
      </w:r>
      <w:r w:rsidR="000F2217">
        <w:rPr>
          <w:rFonts w:hint="cs"/>
          <w:rtl/>
        </w:rPr>
        <w:t>החומריים, ואינה עומדת בפני עצמה</w:t>
      </w:r>
      <w:r w:rsidR="00476D5F">
        <w:rPr>
          <w:rFonts w:hint="cs"/>
          <w:rtl/>
        </w:rPr>
        <w:t xml:space="preserve">. </w:t>
      </w:r>
    </w:p>
    <w:p w14:paraId="6E7D16E2" w14:textId="44E49A1A" w:rsidR="004F1D1F" w:rsidRDefault="00476D5F">
      <w:pPr>
        <w:pStyle w:val="FootnoteText"/>
      </w:pPr>
      <w:r>
        <w:rPr>
          <w:rFonts w:hint="cs"/>
          <w:rtl/>
        </w:rPr>
        <w:t>מה שמעל הטבע הוא המופשט, ושם הדברים הם הצורות המופשטות שלהם</w:t>
      </w:r>
      <w:r w:rsidR="00FC5CB1">
        <w:rPr>
          <w:rFonts w:hint="cs"/>
          <w:rtl/>
        </w:rPr>
        <w:t xml:space="preserve"> וכמופשטים יש להם מציאות</w:t>
      </w:r>
      <w:r w:rsidR="006474CD">
        <w:rPr>
          <w:rFonts w:hint="cs"/>
          <w:rtl/>
        </w:rPr>
        <w:t xml:space="preserve"> גמורה ראשונית ומוחלטת</w:t>
      </w:r>
      <w:r w:rsidR="007B62DC">
        <w:rPr>
          <w:rFonts w:hint="cs"/>
          <w:rtl/>
        </w:rPr>
        <w:t>.</w:t>
      </w:r>
      <w:r w:rsidR="00FC5CB1">
        <w:rPr>
          <w:rFonts w:hint="cs"/>
          <w:rtl/>
        </w:rPr>
        <w:t xml:space="preserve"> </w:t>
      </w:r>
      <w:r w:rsidR="007B62DC">
        <w:rPr>
          <w:rFonts w:hint="cs"/>
          <w:rtl/>
        </w:rPr>
        <w:t xml:space="preserve">בעולם שמעל הטבע </w:t>
      </w:r>
      <w:r w:rsidR="00FC5CB1">
        <w:rPr>
          <w:rFonts w:hint="cs"/>
          <w:rtl/>
        </w:rPr>
        <w:t>יש מציאות גמורה ראשונית למין 'אדם'</w:t>
      </w:r>
      <w:r w:rsidR="00F72B41">
        <w:rPr>
          <w:rFonts w:hint="cs"/>
          <w:rtl/>
        </w:rPr>
        <w:t xml:space="preserve">, לפני ראובן הפרטי ('ראובן' אינו הגדרה של מהותו של העצם, </w:t>
      </w:r>
      <w:r w:rsidR="005B2161">
        <w:rPr>
          <w:rFonts w:hint="cs"/>
          <w:rtl/>
        </w:rPr>
        <w:t xml:space="preserve">ואילו 'אדם' הוא הגדרת המהות של העצם, לכן </w:t>
      </w:r>
      <w:r w:rsidR="008D2859">
        <w:rPr>
          <w:rFonts w:hint="cs"/>
          <w:rtl/>
        </w:rPr>
        <w:t xml:space="preserve">מצד העולם שמעל הטבע </w:t>
      </w:r>
      <w:r w:rsidR="005B2161">
        <w:rPr>
          <w:rFonts w:hint="cs"/>
          <w:rtl/>
        </w:rPr>
        <w:t>המציאות של הדבר הכללי 'אדם' היא יותר מציאות מהמציאות של הפרט ראובן</w:t>
      </w:r>
      <w:r w:rsidR="000C2C96">
        <w:rPr>
          <w:rFonts w:hint="cs"/>
          <w:rtl/>
        </w:rPr>
        <w:t>)</w:t>
      </w:r>
      <w:r>
        <w:rPr>
          <w:rFonts w:hint="cs"/>
          <w:rtl/>
        </w:rPr>
        <w:t xml:space="preserve">. </w:t>
      </w:r>
      <w:r w:rsidR="001B6F42">
        <w:rPr>
          <w:rFonts w:hint="cs"/>
          <w:rtl/>
        </w:rPr>
        <w:t xml:space="preserve">כיוון שכאן אנו עוסקים בלימוד הטבע, הטבע </w:t>
      </w:r>
      <w:r w:rsidR="008D2859">
        <w:rPr>
          <w:rFonts w:hint="cs"/>
          <w:rtl/>
        </w:rPr>
        <w:t xml:space="preserve">שנאמר כטבע כללי של </w:t>
      </w:r>
      <w:r w:rsidR="00E26D49">
        <w:rPr>
          <w:rFonts w:hint="cs"/>
          <w:rtl/>
        </w:rPr>
        <w:t>גופים, וכגון המין והסוג שלהם</w:t>
      </w:r>
      <w:r w:rsidR="00C245B8">
        <w:rPr>
          <w:rFonts w:hint="cs"/>
          <w:rtl/>
        </w:rPr>
        <w:t xml:space="preserve"> שהוא טבע כללי לכל הפרטים</w:t>
      </w:r>
      <w:r w:rsidR="00E26D49">
        <w:rPr>
          <w:rFonts w:hint="cs"/>
          <w:rtl/>
        </w:rPr>
        <w:t xml:space="preserve">, </w:t>
      </w:r>
      <w:r w:rsidR="001B6F42">
        <w:rPr>
          <w:rFonts w:hint="cs"/>
          <w:rtl/>
        </w:rPr>
        <w:t xml:space="preserve">אין לו מציאות ראשונית </w:t>
      </w:r>
      <w:r w:rsidR="00E26D49">
        <w:rPr>
          <w:rFonts w:hint="cs"/>
          <w:rtl/>
        </w:rPr>
        <w:t>בין הדברים שקיימים</w:t>
      </w:r>
      <w:r w:rsidR="001B6F42">
        <w:rPr>
          <w:rFonts w:hint="cs"/>
          <w:rtl/>
        </w:rPr>
        <w:t xml:space="preserve"> בעין, </w:t>
      </w:r>
      <w:r w:rsidR="001B6F42">
        <w:rPr>
          <w:rFonts w:hint="cs"/>
          <w:rtl/>
        </w:rPr>
        <w:t>ה</w:t>
      </w:r>
      <w:r w:rsidR="003503A6">
        <w:rPr>
          <w:rFonts w:hint="cs"/>
          <w:rtl/>
        </w:rPr>
        <w:t>מצויירים בחומר.</w:t>
      </w:r>
      <w:r w:rsidR="003D5516">
        <w:rPr>
          <w:rFonts w:hint="cs"/>
          <w:rtl/>
        </w:rPr>
        <w:t xml:space="preserve"> </w:t>
      </w:r>
      <w:r w:rsidR="003D5516" w:rsidRPr="003D5516">
        <w:rPr>
          <w:rtl/>
        </w:rPr>
        <w:t>(ראובן ושמעון וכן הלאה כולם יש להם טבע כללי אחד והוא 'אדם', והמין 'אדם' אינו בין הדברי</w:t>
      </w:r>
      <w:r w:rsidR="003D5516">
        <w:rPr>
          <w:rFonts w:hint="cs"/>
          <w:rtl/>
        </w:rPr>
        <w:t>ם</w:t>
      </w:r>
      <w:r w:rsidR="003D5516" w:rsidRPr="003D5516">
        <w:rPr>
          <w:rtl/>
        </w:rPr>
        <w:t xml:space="preserve"> שקיימים בטבע בעין</w:t>
      </w:r>
      <w:r w:rsidR="003D5516">
        <w:rPr>
          <w:rFonts w:hint="cs"/>
          <w:rtl/>
        </w:rPr>
        <w:t xml:space="preserve">, כלומר זה לא שיש </w:t>
      </w:r>
      <w:r w:rsidR="00D943C6">
        <w:rPr>
          <w:rFonts w:hint="cs"/>
          <w:rtl/>
        </w:rPr>
        <w:t xml:space="preserve">במציאות החומרית של הדברים שבעין, כלומר הנתפשים בחוש, </w:t>
      </w:r>
      <w:r w:rsidR="003D5516">
        <w:rPr>
          <w:rFonts w:hint="cs"/>
          <w:rtl/>
        </w:rPr>
        <w:t>ראובן</w:t>
      </w:r>
      <w:r w:rsidR="008D5B8A">
        <w:rPr>
          <w:rFonts w:hint="cs"/>
          <w:rtl/>
        </w:rPr>
        <w:t>,</w:t>
      </w:r>
      <w:r w:rsidR="003D5516">
        <w:rPr>
          <w:rFonts w:hint="cs"/>
          <w:rtl/>
        </w:rPr>
        <w:t xml:space="preserve"> ו</w:t>
      </w:r>
      <w:r w:rsidR="00D943C6">
        <w:rPr>
          <w:rFonts w:hint="cs"/>
          <w:rtl/>
        </w:rPr>
        <w:t xml:space="preserve">כלב </w:t>
      </w:r>
      <w:r w:rsidR="009C463A">
        <w:rPr>
          <w:rFonts w:hint="cs"/>
          <w:rtl/>
        </w:rPr>
        <w:t>מסוים</w:t>
      </w:r>
      <w:r w:rsidR="00D943C6">
        <w:rPr>
          <w:rFonts w:hint="cs"/>
          <w:rtl/>
        </w:rPr>
        <w:t xml:space="preserve"> זה</w:t>
      </w:r>
      <w:r w:rsidR="008D5B8A">
        <w:rPr>
          <w:rFonts w:hint="cs"/>
          <w:rtl/>
        </w:rPr>
        <w:t>,</w:t>
      </w:r>
      <w:r w:rsidR="00D943C6">
        <w:rPr>
          <w:rFonts w:hint="cs"/>
          <w:rtl/>
        </w:rPr>
        <w:t xml:space="preserve"> ועץ </w:t>
      </w:r>
      <w:r w:rsidR="009C463A">
        <w:rPr>
          <w:rFonts w:hint="cs"/>
          <w:rtl/>
        </w:rPr>
        <w:t>מסוים</w:t>
      </w:r>
      <w:r w:rsidR="00D943C6">
        <w:rPr>
          <w:rFonts w:hint="cs"/>
          <w:rtl/>
        </w:rPr>
        <w:t xml:space="preserve"> זה</w:t>
      </w:r>
      <w:r w:rsidR="008D5B8A">
        <w:rPr>
          <w:rFonts w:hint="cs"/>
          <w:rtl/>
        </w:rPr>
        <w:t>,</w:t>
      </w:r>
      <w:r w:rsidR="00D943C6">
        <w:rPr>
          <w:rFonts w:hint="cs"/>
          <w:rtl/>
        </w:rPr>
        <w:t xml:space="preserve"> ו'אדם', </w:t>
      </w:r>
      <w:r w:rsidR="008D5B8A">
        <w:rPr>
          <w:rFonts w:hint="cs"/>
          <w:rtl/>
        </w:rPr>
        <w:t>אלא 'אדם' קיים רק אחרי שהלב מחלק בין הגולם לצורה ורק הלב משכיל את הצורה ולא החוש</w:t>
      </w:r>
      <w:r w:rsidR="003D5516" w:rsidRPr="003D5516">
        <w:rPr>
          <w:rtl/>
        </w:rPr>
        <w:t>)</w:t>
      </w:r>
    </w:p>
  </w:footnote>
  <w:footnote w:id="553">
    <w:p w14:paraId="6CF5CE5F" w14:textId="6BC8ADDD" w:rsidR="006C59E9" w:rsidRDefault="00534F2E" w:rsidP="006C59E9">
      <w:pPr>
        <w:pStyle w:val="FootnoteText"/>
        <w:rPr>
          <w:rtl/>
        </w:rPr>
      </w:pPr>
      <w:r>
        <w:rPr>
          <w:rStyle w:val="FootnoteReference"/>
        </w:rPr>
        <w:footnoteRef/>
      </w:r>
      <w:r>
        <w:rPr>
          <w:rtl/>
        </w:rPr>
        <w:t xml:space="preserve"> </w:t>
      </w:r>
      <w:r w:rsidR="006C59E9">
        <w:rPr>
          <w:rFonts w:hint="cs"/>
          <w:rtl/>
        </w:rPr>
        <w:t xml:space="preserve">מקור הדברים בקטגוריות </w:t>
      </w:r>
      <w:r w:rsidR="003614FC">
        <w:rPr>
          <w:rFonts w:hint="cs"/>
          <w:rtl/>
        </w:rPr>
        <w:t xml:space="preserve">מאת אריסטו </w:t>
      </w:r>
      <w:r w:rsidR="006C59E9">
        <w:rPr>
          <w:rFonts w:hint="cs"/>
          <w:rtl/>
        </w:rPr>
        <w:t>פרק ה'</w:t>
      </w:r>
      <w:r w:rsidR="006C59E9">
        <w:rPr>
          <w:rtl/>
        </w:rPr>
        <w:t xml:space="preserve"> (בתרגום גבריאל צורן. תיקנתי בלשונו את מה שהוא החליף בין 'מין' ו'סוג'):</w:t>
      </w:r>
    </w:p>
    <w:p w14:paraId="2CFB10D8" w14:textId="77777777" w:rsidR="006C59E9" w:rsidRDefault="006C59E9" w:rsidP="006C59E9">
      <w:pPr>
        <w:pStyle w:val="FootnoteText"/>
        <w:rPr>
          <w:rtl/>
        </w:rPr>
      </w:pPr>
      <w:r>
        <w:rPr>
          <w:rtl/>
        </w:rPr>
        <w:t xml:space="preserve">"'עצם' במובנו החמור, הראשוני והאמיתי ביותר הוא מה שלא ניתן לייחס [כנשוא] לנושא מסוים ומה שלא נמצא [כתכונה] בתוך נושא, כגון אדם [יחיד] כלשהו או סוס [יחיד] כלשהו [נ.ש: אי אפשר לומר על משהו שיש לו מאפיין תכונה או הגדרה שהוא 'שמעון' באותו מובן כמו שהוא 'אדם' או שהוא 'לבן'. המילה 'שמעון' היא שמו ואינה הגדרה כלשהי בעלת תוכן, ולא ישתנה מאומה מבחינת הגדרתו אם יחליף את שמו לשם אחר]. </w:t>
      </w:r>
    </w:p>
    <w:p w14:paraId="29AC8110" w14:textId="77777777" w:rsidR="003614FC" w:rsidRDefault="006C59E9" w:rsidP="006C59E9">
      <w:pPr>
        <w:pStyle w:val="FootnoteText"/>
        <w:rPr>
          <w:rtl/>
        </w:rPr>
      </w:pPr>
      <w:r>
        <w:rPr>
          <w:rtl/>
        </w:rPr>
        <w:t xml:space="preserve">'עצם' במובנו המשני הוא ה'מין' שבו כלולים הדברים הקרויים עצמים במובנם הראשוני, וכאלה הם גם הסוגים הכוללים של אותם מינים. כך למשל אדם [יחיד] מסוים משתייך, מבחינת המין, ל[מין ה]אדם בכלל, ואילו מבחינת הסוג הכולל של אותו מין הוא בעל חיים. במובן זה עצמים משניים הם האדם [בכלל] ובעל החיים [בכלל].״ </w:t>
      </w:r>
    </w:p>
    <w:p w14:paraId="72CD781A" w14:textId="098E707B" w:rsidR="003614FC" w:rsidRDefault="00BA0B99" w:rsidP="006C59E9">
      <w:pPr>
        <w:pStyle w:val="FootnoteText"/>
        <w:rPr>
          <w:rtl/>
        </w:rPr>
      </w:pPr>
      <w:r>
        <w:rPr>
          <w:rFonts w:hint="cs"/>
          <w:rtl/>
        </w:rPr>
        <w:t>ו</w:t>
      </w:r>
      <w:r w:rsidR="006C59E9">
        <w:rPr>
          <w:rtl/>
        </w:rPr>
        <w:t>במורה נבוכים ג' י"ח</w:t>
      </w:r>
      <w:r w:rsidR="003614FC">
        <w:rPr>
          <w:rFonts w:hint="cs"/>
          <w:rtl/>
        </w:rPr>
        <w:t xml:space="preserve"> הביא דבר זה:</w:t>
      </w:r>
    </w:p>
    <w:p w14:paraId="5FBF681F" w14:textId="25BE1DEA" w:rsidR="00534F2E" w:rsidRDefault="003614FC" w:rsidP="006C59E9">
      <w:pPr>
        <w:pStyle w:val="FootnoteText"/>
      </w:pPr>
      <w:r>
        <w:rPr>
          <w:rFonts w:hint="cs"/>
          <w:rtl/>
        </w:rPr>
        <w:t>"</w:t>
      </w:r>
      <w:r w:rsidR="00C95DBD" w:rsidRPr="00C95DBD">
        <w:rPr>
          <w:rtl/>
        </w:rPr>
        <w:t>כי כבר נודע שאין חוץ לשכל מין נמצא, אבל המין ושאר הכלליות - דברים שכלים, כמו שידעת, וכל נמצא חוץ לשכל אמנם הוא איש או אישים.</w:t>
      </w:r>
      <w:r>
        <w:rPr>
          <w:rFonts w:hint="cs"/>
          <w:rtl/>
        </w:rPr>
        <w:t>"</w:t>
      </w:r>
    </w:p>
  </w:footnote>
  <w:footnote w:id="554">
    <w:p w14:paraId="1F8DBC54" w14:textId="77777777" w:rsidR="00A82D98" w:rsidRDefault="002F0C31">
      <w:pPr>
        <w:pStyle w:val="FootnoteText"/>
        <w:rPr>
          <w:rtl/>
        </w:rPr>
      </w:pPr>
      <w:r>
        <w:rPr>
          <w:rStyle w:val="FootnoteReference"/>
        </w:rPr>
        <w:footnoteRef/>
      </w:r>
      <w:r>
        <w:rPr>
          <w:rtl/>
        </w:rPr>
        <w:t xml:space="preserve"> </w:t>
      </w:r>
      <w:r w:rsidR="008C44DA">
        <w:rPr>
          <w:rFonts w:hint="cs"/>
          <w:rtl/>
        </w:rPr>
        <w:t xml:space="preserve">הסדר המעמיד מין </w:t>
      </w:r>
      <w:r w:rsidR="008C44DA">
        <w:rPr>
          <w:rFonts w:hint="cs"/>
          <w:rtl/>
        </w:rPr>
        <w:t>מין הוא הצורה, ו</w:t>
      </w:r>
      <w:r w:rsidR="00B47F8C">
        <w:rPr>
          <w:rFonts w:hint="cs"/>
          <w:rtl/>
        </w:rPr>
        <w:t xml:space="preserve">הסדר </w:t>
      </w:r>
      <w:r w:rsidR="008C44DA">
        <w:rPr>
          <w:rFonts w:hint="cs"/>
          <w:rtl/>
        </w:rPr>
        <w:t>המעמיד את כל הבר</w:t>
      </w:r>
      <w:r w:rsidR="00B47F8C">
        <w:rPr>
          <w:rFonts w:hint="cs"/>
          <w:rtl/>
        </w:rPr>
        <w:t>י</w:t>
      </w:r>
      <w:r w:rsidR="008C44DA">
        <w:rPr>
          <w:rFonts w:hint="cs"/>
          <w:rtl/>
        </w:rPr>
        <w:t xml:space="preserve">אה הוא </w:t>
      </w:r>
      <w:r w:rsidR="00B47F8C">
        <w:rPr>
          <w:rFonts w:hint="cs"/>
          <w:rtl/>
        </w:rPr>
        <w:t xml:space="preserve">תנועת </w:t>
      </w:r>
      <w:r w:rsidR="008C44DA">
        <w:rPr>
          <w:rFonts w:hint="cs"/>
          <w:rtl/>
        </w:rPr>
        <w:t xml:space="preserve">הגלגל הקיצון כמו שביאר במורה נבוכים א' ע"ב. </w:t>
      </w:r>
      <w:r w:rsidR="00172333">
        <w:rPr>
          <w:rFonts w:hint="cs"/>
          <w:rtl/>
        </w:rPr>
        <w:t xml:space="preserve">הגלגל הקיצון הוא ההיולי, החומר הראשון, שרק הוא נברא וכל הבריאה היא בו בכח, וכל שאר הבריאה הוא </w:t>
      </w:r>
      <w:r w:rsidR="00BC1C43">
        <w:rPr>
          <w:rFonts w:hint="cs"/>
          <w:rtl/>
        </w:rPr>
        <w:t>ה</w:t>
      </w:r>
      <w:r w:rsidR="00172333">
        <w:rPr>
          <w:rFonts w:hint="cs"/>
          <w:rtl/>
        </w:rPr>
        <w:t>יציאה</w:t>
      </w:r>
      <w:r w:rsidR="00BC1C43">
        <w:rPr>
          <w:rFonts w:hint="cs"/>
          <w:rtl/>
        </w:rPr>
        <w:t xml:space="preserve"> </w:t>
      </w:r>
      <w:r w:rsidR="00172333">
        <w:rPr>
          <w:rFonts w:hint="cs"/>
          <w:rtl/>
        </w:rPr>
        <w:t xml:space="preserve">אל הפועל </w:t>
      </w:r>
      <w:r w:rsidR="00BC1C43">
        <w:rPr>
          <w:rFonts w:hint="cs"/>
          <w:rtl/>
        </w:rPr>
        <w:t>מאותו היולי שהיא תנועת הגלגל הקיצון, עיין רמב"ן על בראשית א' א', ובאריסטו פיזיקה ספר ג' פרק א' שהת</w:t>
      </w:r>
      <w:r w:rsidR="0043326F">
        <w:rPr>
          <w:rFonts w:hint="cs"/>
          <w:rtl/>
        </w:rPr>
        <w:t>נועה היא מהלך היציאה מהכח אל הפועל, והתנועה הכללית ביותר היא סיבוב הגלגל הקיצון</w:t>
      </w:r>
      <w:r w:rsidR="00A82D98">
        <w:rPr>
          <w:rFonts w:hint="cs"/>
          <w:rtl/>
        </w:rPr>
        <w:t xml:space="preserve">, </w:t>
      </w:r>
      <w:r w:rsidR="0043326F">
        <w:rPr>
          <w:rFonts w:hint="cs"/>
          <w:rtl/>
        </w:rPr>
        <w:t xml:space="preserve">והיציאה הזו </w:t>
      </w:r>
      <w:r w:rsidR="00A82D98">
        <w:rPr>
          <w:rFonts w:hint="cs"/>
          <w:rtl/>
        </w:rPr>
        <w:t xml:space="preserve">מהכח שבגלגל הקיצון אל הפועל היא סדר כל הבריאה. </w:t>
      </w:r>
    </w:p>
    <w:p w14:paraId="17BDDB8A" w14:textId="6BCC7B56" w:rsidR="002F0C31" w:rsidRDefault="00A82D98">
      <w:pPr>
        <w:pStyle w:val="FootnoteText"/>
        <w:rPr>
          <w:rtl/>
        </w:rPr>
      </w:pPr>
      <w:r>
        <w:rPr>
          <w:rFonts w:hint="cs"/>
          <w:rtl/>
        </w:rPr>
        <w:t>המילה שתרגמתי כ"סדר"</w:t>
      </w:r>
      <w:r>
        <w:rPr>
          <w:rFonts w:hint="cs"/>
        </w:rPr>
        <w:t xml:space="preserve"> </w:t>
      </w:r>
      <w:r>
        <w:rPr>
          <w:rFonts w:hint="cs"/>
          <w:rtl/>
        </w:rPr>
        <w:t>במקור היא</w:t>
      </w:r>
      <w:r w:rsidRPr="003B15BE">
        <w:rPr>
          <w:rtl/>
        </w:rPr>
        <w:t xml:space="preserve"> </w:t>
      </w:r>
      <w:r w:rsidR="00321B00" w:rsidRPr="003B15BE">
        <w:rPr>
          <w:rFonts w:ascii="Arial" w:hAnsi="Arial" w:cs="Arial" w:hint="cs"/>
          <w:rtl/>
          <w:lang w:bidi="ar-SA"/>
        </w:rPr>
        <w:t>التدبير</w:t>
      </w:r>
      <w:r w:rsidR="00321B00" w:rsidRPr="003B15BE">
        <w:rPr>
          <w:rtl/>
          <w:lang w:bidi="ar-SA"/>
        </w:rPr>
        <w:t xml:space="preserve"> </w:t>
      </w:r>
      <w:r w:rsidR="00321B00" w:rsidRPr="003B15BE">
        <w:rPr>
          <w:rtl/>
        </w:rPr>
        <w:t xml:space="preserve">שפירושה </w:t>
      </w:r>
      <w:r w:rsidR="003B15BE">
        <w:rPr>
          <w:rFonts w:hint="cs"/>
          <w:rtl/>
        </w:rPr>
        <w:t>העיקרי</w:t>
      </w:r>
      <w:r w:rsidR="00321B00" w:rsidRPr="003B15BE">
        <w:rPr>
          <w:rtl/>
        </w:rPr>
        <w:t xml:space="preserve"> לשלוט או לנהל</w:t>
      </w:r>
      <w:r w:rsidR="00E04587">
        <w:rPr>
          <w:rFonts w:hint="cs"/>
          <w:rtl/>
        </w:rPr>
        <w:t xml:space="preserve"> או למדוד את תכנית היציאה אל הפועל</w:t>
      </w:r>
      <w:r w:rsidR="0037755A">
        <w:rPr>
          <w:rFonts w:hint="cs"/>
          <w:rtl/>
        </w:rPr>
        <w:t xml:space="preserve"> (מקגיניס תרגם </w:t>
      </w:r>
      <w:r w:rsidR="0037755A" w:rsidRPr="0037755A">
        <w:t>management</w:t>
      </w:r>
      <w:r w:rsidR="00E5173C">
        <w:rPr>
          <w:rFonts w:hint="cs"/>
          <w:rtl/>
        </w:rPr>
        <w:t>, ניהול)</w:t>
      </w:r>
      <w:r w:rsidR="00321B00" w:rsidRPr="003B15BE">
        <w:rPr>
          <w:rtl/>
        </w:rPr>
        <w:t>.</w:t>
      </w:r>
    </w:p>
    <w:p w14:paraId="2AB56F9C" w14:textId="156E0319" w:rsidR="00286344" w:rsidRDefault="00286344">
      <w:pPr>
        <w:pStyle w:val="FootnoteText"/>
      </w:pPr>
      <w:r>
        <w:rPr>
          <w:rFonts w:hint="cs"/>
          <w:rtl/>
        </w:rPr>
        <w:t>המילה שתרגמתי כ"בריאה" היא</w:t>
      </w:r>
      <w:r w:rsidRPr="0016147C">
        <w:rPr>
          <w:rtl/>
        </w:rPr>
        <w:t xml:space="preserve"> במקור </w:t>
      </w:r>
      <w:r w:rsidR="00224546" w:rsidRPr="0016147C">
        <w:rPr>
          <w:rFonts w:ascii="Arial" w:hAnsi="Arial" w:cs="Arial" w:hint="cs"/>
          <w:rtl/>
          <w:lang w:bidi="ar-SA"/>
        </w:rPr>
        <w:t>نظامه</w:t>
      </w:r>
      <w:r w:rsidR="00224546" w:rsidRPr="0016147C">
        <w:rPr>
          <w:rtl/>
        </w:rPr>
        <w:t>, ופירושה העיקרי הוא 'מערכת'</w:t>
      </w:r>
      <w:r w:rsidR="0016147C" w:rsidRPr="0016147C">
        <w:rPr>
          <w:rtl/>
        </w:rPr>
        <w:t>, ומקגיניס תרגם הסדר של היקום</w:t>
      </w:r>
      <w:r w:rsidR="00224546" w:rsidRPr="0016147C">
        <w:rPr>
          <w:rtl/>
        </w:rPr>
        <w:t>.</w:t>
      </w:r>
      <w:r w:rsidR="00224546">
        <w:rPr>
          <w:rFonts w:cs="Times New Roman" w:hint="cs"/>
          <w:rtl/>
        </w:rPr>
        <w:t xml:space="preserve"> </w:t>
      </w:r>
    </w:p>
  </w:footnote>
  <w:footnote w:id="555">
    <w:p w14:paraId="548A0D68" w14:textId="61542375" w:rsidR="00B13658" w:rsidRDefault="00B13658">
      <w:pPr>
        <w:pStyle w:val="FootnoteText"/>
      </w:pPr>
      <w:r>
        <w:rPr>
          <w:rStyle w:val="FootnoteReference"/>
        </w:rPr>
        <w:footnoteRef/>
      </w:r>
      <w:r>
        <w:rPr>
          <w:rtl/>
        </w:rPr>
        <w:t xml:space="preserve"> </w:t>
      </w:r>
      <w:r w:rsidR="00F43C2F">
        <w:rPr>
          <w:rFonts w:hint="cs"/>
          <w:rtl/>
        </w:rPr>
        <w:t>כ</w:t>
      </w:r>
      <w:r>
        <w:rPr>
          <w:rFonts w:hint="cs"/>
          <w:rtl/>
        </w:rPr>
        <w:t xml:space="preserve">ל אחת משתי האפשרויות לומר </w:t>
      </w:r>
      <w:r w:rsidR="00F43C2F">
        <w:rPr>
          <w:rFonts w:hint="cs"/>
          <w:rtl/>
        </w:rPr>
        <w:t>'</w:t>
      </w:r>
      <w:r>
        <w:rPr>
          <w:rFonts w:hint="cs"/>
          <w:rtl/>
        </w:rPr>
        <w:t>טבע</w:t>
      </w:r>
      <w:r w:rsidR="00F43C2F">
        <w:rPr>
          <w:rFonts w:hint="cs"/>
          <w:rtl/>
        </w:rPr>
        <w:t>'</w:t>
      </w:r>
      <w:r>
        <w:rPr>
          <w:rFonts w:hint="cs"/>
          <w:rtl/>
        </w:rPr>
        <w:t xml:space="preserve"> על הכללי, </w:t>
      </w:r>
      <w:r w:rsidR="00A73909">
        <w:rPr>
          <w:rFonts w:hint="cs"/>
          <w:rtl/>
        </w:rPr>
        <w:t xml:space="preserve">דהיינו </w:t>
      </w:r>
      <w:r>
        <w:rPr>
          <w:rFonts w:hint="cs"/>
          <w:rtl/>
        </w:rPr>
        <w:t>האפשרות לו</w:t>
      </w:r>
      <w:r w:rsidR="00A73909">
        <w:rPr>
          <w:rFonts w:hint="cs"/>
          <w:rtl/>
        </w:rPr>
        <w:t>מ</w:t>
      </w:r>
      <w:r>
        <w:rPr>
          <w:rFonts w:hint="cs"/>
          <w:rtl/>
        </w:rPr>
        <w:t xml:space="preserve">ר טבע על הצורות </w:t>
      </w:r>
      <w:r w:rsidR="00A73909">
        <w:rPr>
          <w:rFonts w:hint="cs"/>
          <w:rtl/>
        </w:rPr>
        <w:t xml:space="preserve">הכלליות </w:t>
      </w:r>
      <w:r>
        <w:rPr>
          <w:rFonts w:hint="cs"/>
          <w:rtl/>
        </w:rPr>
        <w:t xml:space="preserve">של כל מין </w:t>
      </w:r>
      <w:r w:rsidR="00A73909">
        <w:rPr>
          <w:rFonts w:hint="cs"/>
          <w:rtl/>
        </w:rPr>
        <w:t xml:space="preserve">ומין, </w:t>
      </w:r>
      <w:r>
        <w:rPr>
          <w:rFonts w:hint="cs"/>
          <w:rtl/>
        </w:rPr>
        <w:t xml:space="preserve">והאפשרות לומר טבע על הסדר הכללי של כל הבריאה כאחת. </w:t>
      </w:r>
    </w:p>
  </w:footnote>
  <w:footnote w:id="556">
    <w:p w14:paraId="1BBC80DB" w14:textId="5B0C2798" w:rsidR="00200AB0" w:rsidRDefault="00200AB0">
      <w:pPr>
        <w:pStyle w:val="FootnoteText"/>
      </w:pPr>
      <w:r>
        <w:rPr>
          <w:rStyle w:val="FootnoteReference"/>
        </w:rPr>
        <w:footnoteRef/>
      </w:r>
      <w:r>
        <w:rPr>
          <w:rtl/>
        </w:rPr>
        <w:t xml:space="preserve"> </w:t>
      </w:r>
      <w:r>
        <w:rPr>
          <w:rFonts w:hint="cs"/>
          <w:rtl/>
        </w:rPr>
        <w:t xml:space="preserve">הצורה של כל מין ומין שכוללת את האישים הפרטיים שבו. </w:t>
      </w:r>
    </w:p>
  </w:footnote>
  <w:footnote w:id="557">
    <w:p w14:paraId="03A9630C" w14:textId="4E69013B" w:rsidR="0079148E" w:rsidRDefault="0079148E">
      <w:pPr>
        <w:pStyle w:val="FootnoteText"/>
      </w:pPr>
      <w:r>
        <w:rPr>
          <w:rStyle w:val="FootnoteReference"/>
        </w:rPr>
        <w:footnoteRef/>
      </w:r>
      <w:r>
        <w:rPr>
          <w:rtl/>
        </w:rPr>
        <w:t xml:space="preserve"> </w:t>
      </w:r>
      <w:r w:rsidR="008B17BF">
        <w:rPr>
          <w:rFonts w:hint="cs"/>
          <w:rtl/>
        </w:rPr>
        <w:t>"</w:t>
      </w:r>
      <w:r w:rsidR="00075054">
        <w:rPr>
          <w:rFonts w:hint="cs"/>
          <w:rtl/>
        </w:rPr>
        <w:t>מחלחל</w:t>
      </w:r>
      <w:r w:rsidR="008B17BF">
        <w:rPr>
          <w:rFonts w:hint="cs"/>
          <w:rtl/>
        </w:rPr>
        <w:t>"</w:t>
      </w:r>
      <w:r w:rsidR="00075054" w:rsidRPr="008B17BF">
        <w:rPr>
          <w:rtl/>
        </w:rPr>
        <w:t xml:space="preserve"> הכוונה נמצא. המילה במקור היא </w:t>
      </w:r>
      <w:r w:rsidR="009A2613" w:rsidRPr="008B17BF">
        <w:rPr>
          <w:rFonts w:ascii="Arial" w:hAnsi="Arial" w:cs="Arial" w:hint="cs"/>
          <w:rtl/>
          <w:lang w:bidi="ar-SA"/>
        </w:rPr>
        <w:t>سارية</w:t>
      </w:r>
      <w:r w:rsidR="009A2613" w:rsidRPr="008B17BF">
        <w:rPr>
          <w:rtl/>
        </w:rPr>
        <w:t>. משמעותה להימצא אבל</w:t>
      </w:r>
      <w:r w:rsidR="003A7A60" w:rsidRPr="008B17BF">
        <w:rPr>
          <w:rtl/>
        </w:rPr>
        <w:t xml:space="preserve"> </w:t>
      </w:r>
      <w:r w:rsidR="00850C20" w:rsidRPr="008B17BF">
        <w:rPr>
          <w:rtl/>
        </w:rPr>
        <w:t>באופן של התפשטות או חילחול, כמו שכאב מתפשט בגוף מהפצע לשאר הגוף, או כאב שמתפשט מהגוף אל הנפש, או רעל שמתפשט בגוף, או בהלה ששורה בגוף</w:t>
      </w:r>
      <w:r w:rsidR="009A2613" w:rsidRPr="008B17BF">
        <w:rPr>
          <w:rtl/>
        </w:rPr>
        <w:t xml:space="preserve"> </w:t>
      </w:r>
      <w:r w:rsidRPr="008B17BF">
        <w:rPr>
          <w:rtl/>
        </w:rPr>
        <w:t>עיין לעיל 1.5.5, ו 1.5.7</w:t>
      </w:r>
      <w:r w:rsidR="004B6547" w:rsidRPr="008B17BF">
        <w:rPr>
          <w:rtl/>
        </w:rPr>
        <w:t>, שם עסקתי ב</w:t>
      </w:r>
      <w:r w:rsidR="00EE2958">
        <w:rPr>
          <w:rFonts w:hint="cs"/>
          <w:rtl/>
        </w:rPr>
        <w:t>שימוש ב</w:t>
      </w:r>
      <w:r w:rsidR="004B6547" w:rsidRPr="008B17BF">
        <w:rPr>
          <w:rtl/>
        </w:rPr>
        <w:t xml:space="preserve">מילה </w:t>
      </w:r>
      <w:r w:rsidR="004B6547" w:rsidRPr="008B17BF">
        <w:rPr>
          <w:rFonts w:ascii="Arial" w:hAnsi="Arial" w:cs="Arial" w:hint="cs"/>
          <w:rtl/>
          <w:lang w:bidi="ar-SA"/>
        </w:rPr>
        <w:t>سارية</w:t>
      </w:r>
      <w:r w:rsidR="003A7A60" w:rsidRPr="008B17BF">
        <w:rPr>
          <w:rtl/>
        </w:rPr>
        <w:t xml:space="preserve">, ושם כתב אבן סינא </w:t>
      </w:r>
      <w:r w:rsidR="003A7A60" w:rsidRPr="008B17BF">
        <w:rPr>
          <w:rtl/>
        </w:rPr>
        <w:t xml:space="preserve">שפילופונוס נקט במילה זו אבל </w:t>
      </w:r>
      <w:r w:rsidR="00CC61F9" w:rsidRPr="008B17BF">
        <w:rPr>
          <w:rtl/>
        </w:rPr>
        <w:t xml:space="preserve">לפי אריסטו </w:t>
      </w:r>
      <w:r w:rsidR="003A7A60" w:rsidRPr="008B17BF">
        <w:rPr>
          <w:rtl/>
        </w:rPr>
        <w:t xml:space="preserve">הכוונה היא פשוט להימצא. </w:t>
      </w:r>
      <w:r w:rsidR="00CC61F9" w:rsidRPr="008B17BF">
        <w:rPr>
          <w:rtl/>
        </w:rPr>
        <w:t xml:space="preserve">יש להבין למה אבן סינא נקט במילה זו </w:t>
      </w:r>
      <w:r w:rsidR="00EE2958">
        <w:rPr>
          <w:rFonts w:hint="cs"/>
          <w:rtl/>
        </w:rPr>
        <w:t xml:space="preserve">כאן </w:t>
      </w:r>
      <w:r w:rsidR="00CC61F9" w:rsidRPr="008B17BF">
        <w:rPr>
          <w:rtl/>
        </w:rPr>
        <w:t>כמו פילופונוס אחרי שלעיל 1.5.7 דחה את דברי פילופונוס וחלק על מה שהשתמש במילה זו וכתב שהיה לו להשתמש במילה הפשוטה 'להימצא', וכמו שעשה אריסטו</w:t>
      </w:r>
      <w:r w:rsidR="00EE2958">
        <w:rPr>
          <w:rFonts w:hint="cs"/>
          <w:rtl/>
        </w:rPr>
        <w:t>.</w:t>
      </w:r>
      <w:r w:rsidR="00093428">
        <w:rPr>
          <w:rFonts w:hint="cs"/>
          <w:rtl/>
        </w:rPr>
        <w:t xml:space="preserve"> </w:t>
      </w:r>
      <w:r w:rsidR="00F42DF9">
        <w:rPr>
          <w:rFonts w:hint="cs"/>
          <w:rtl/>
        </w:rPr>
        <w:t>עיין שם לעיל מה שביארתי בשיטת פילופונוס</w:t>
      </w:r>
      <w:r w:rsidR="00E04ED4">
        <w:rPr>
          <w:rFonts w:hint="cs"/>
          <w:rtl/>
        </w:rPr>
        <w:t xml:space="preserve"> ובמחלוקת אבן סינא עליו,</w:t>
      </w:r>
      <w:r w:rsidR="00F42DF9">
        <w:rPr>
          <w:rFonts w:hint="cs"/>
          <w:rtl/>
        </w:rPr>
        <w:t xml:space="preserve"> וכאן אבן סינא רומז לאותה שיטה, שרואה את המטאפיזי בתוך הטבע</w:t>
      </w:r>
      <w:r w:rsidR="007203CB">
        <w:rPr>
          <w:rFonts w:hint="cs"/>
          <w:rtl/>
        </w:rPr>
        <w:t xml:space="preserve">, ומבחינתה </w:t>
      </w:r>
      <w:r w:rsidR="00BB1FEF">
        <w:rPr>
          <w:rFonts w:hint="cs"/>
          <w:rtl/>
        </w:rPr>
        <w:t xml:space="preserve">הצורות המופשטות </w:t>
      </w:r>
      <w:r w:rsidR="005F4221">
        <w:rPr>
          <w:rFonts w:hint="cs"/>
          <w:rtl/>
        </w:rPr>
        <w:t xml:space="preserve">דווקא </w:t>
      </w:r>
      <w:r w:rsidR="00BB1FEF">
        <w:rPr>
          <w:rFonts w:hint="cs"/>
          <w:rtl/>
        </w:rPr>
        <w:t>מחלחלות בחומר</w:t>
      </w:r>
      <w:r w:rsidR="005F4221">
        <w:rPr>
          <w:rFonts w:hint="cs"/>
          <w:rtl/>
        </w:rPr>
        <w:t xml:space="preserve"> ולא רק בפשטות נמצאות בו</w:t>
      </w:r>
      <w:r w:rsidR="00BB1FEF">
        <w:rPr>
          <w:rFonts w:hint="cs"/>
          <w:rtl/>
        </w:rPr>
        <w:t xml:space="preserve">, </w:t>
      </w:r>
      <w:r w:rsidR="007203CB">
        <w:rPr>
          <w:rFonts w:hint="cs"/>
          <w:rtl/>
        </w:rPr>
        <w:t>ודוחה אותה באותה דחייה</w:t>
      </w:r>
      <w:r w:rsidR="00E80CA5">
        <w:rPr>
          <w:rFonts w:hint="cs"/>
          <w:rtl/>
        </w:rPr>
        <w:t>,</w:t>
      </w:r>
      <w:r w:rsidR="007203CB">
        <w:rPr>
          <w:rFonts w:hint="cs"/>
          <w:rtl/>
        </w:rPr>
        <w:t xml:space="preserve"> ו</w:t>
      </w:r>
      <w:r w:rsidR="00E80CA5">
        <w:rPr>
          <w:rFonts w:hint="cs"/>
          <w:rtl/>
        </w:rPr>
        <w:t>לכן משתמש במילה חילחול כדי לרמוז שמדובר באותה שיטה.</w:t>
      </w:r>
    </w:p>
  </w:footnote>
  <w:footnote w:id="558">
    <w:p w14:paraId="1C983F48" w14:textId="0E16B6F9" w:rsidR="00572CCB" w:rsidRDefault="00572CCB">
      <w:pPr>
        <w:pStyle w:val="FootnoteText"/>
        <w:rPr>
          <w:rtl/>
        </w:rPr>
      </w:pPr>
      <w:r>
        <w:rPr>
          <w:rStyle w:val="FootnoteReference"/>
        </w:rPr>
        <w:footnoteRef/>
      </w:r>
      <w:r>
        <w:rPr>
          <w:rtl/>
        </w:rPr>
        <w:t xml:space="preserve"> </w:t>
      </w:r>
      <w:r w:rsidR="00574C07">
        <w:rPr>
          <w:rFonts w:hint="cs"/>
          <w:rtl/>
        </w:rPr>
        <w:t>מקגיניס כתב כאן שלא ברור מקור השיטות האלה:</w:t>
      </w:r>
    </w:p>
    <w:p w14:paraId="09C97F6D" w14:textId="1D7896BB" w:rsidR="00574C07" w:rsidRDefault="00574C07" w:rsidP="009C5FF6">
      <w:pPr>
        <w:pStyle w:val="FootnoteText"/>
        <w:bidi w:val="0"/>
      </w:pPr>
      <w:r>
        <w:rPr>
          <w:rFonts w:hint="cs"/>
          <w:rtl/>
        </w:rPr>
        <w:t>"</w:t>
      </w:r>
      <w:r w:rsidR="009C5FF6" w:rsidRPr="009C5FF6">
        <w:t>It is not clear what the source is for the present position or that of the next sentence. Neither position appears in Aristotle’s</w:t>
      </w:r>
      <w:r w:rsidR="00A419F9">
        <w:rPr>
          <w:rFonts w:hint="cs"/>
          <w:rtl/>
        </w:rPr>
        <w:t xml:space="preserve"> </w:t>
      </w:r>
      <w:r w:rsidR="009C5FF6" w:rsidRPr="009C5FF6">
        <w:t>Physics nor in what I have seen in the extant commentaries on the</w:t>
      </w:r>
      <w:r w:rsidR="00A419F9">
        <w:rPr>
          <w:rFonts w:hint="cs"/>
        </w:rPr>
        <w:t xml:space="preserve"> </w:t>
      </w:r>
      <w:r w:rsidR="009C5FF6" w:rsidRPr="009C5FF6">
        <w:t xml:space="preserve">Physics available in Arabic. The first position has certain similarities in content and terminology with Alexander of </w:t>
      </w:r>
      <w:r w:rsidR="009C5FF6" w:rsidRPr="009C5FF6">
        <w:t>Aphrodisias’s The Principles of the Universe in Accordance with the Opinion of Aristotle ; see ed. and trans., Charles Genequand,</w:t>
      </w:r>
      <w:r w:rsidR="00A419F9">
        <w:rPr>
          <w:rFonts w:hint="cs"/>
          <w:rtl/>
        </w:rPr>
        <w:t xml:space="preserve"> </w:t>
      </w:r>
      <w:r w:rsidR="009C5FF6" w:rsidRPr="009C5FF6">
        <w:t>Alexander of Aphrodisias on the Cosmos, Islamic Philosophy, Theology and Science Texts and Studies 44 (Leiden: E. J. Brill, 2001), §§278 ff</w:t>
      </w:r>
      <w:r w:rsidR="009C5FF6">
        <w:rPr>
          <w:rFonts w:hint="cs"/>
          <w:rtl/>
        </w:rPr>
        <w:t>".</w:t>
      </w:r>
    </w:p>
  </w:footnote>
  <w:footnote w:id="559">
    <w:p w14:paraId="342963B5" w14:textId="77777777" w:rsidR="001D6647" w:rsidRDefault="00533DA4">
      <w:pPr>
        <w:pStyle w:val="FootnoteText"/>
        <w:rPr>
          <w:rtl/>
        </w:rPr>
      </w:pPr>
      <w:r>
        <w:rPr>
          <w:rStyle w:val="FootnoteReference"/>
        </w:rPr>
        <w:footnoteRef/>
      </w:r>
      <w:r>
        <w:rPr>
          <w:rtl/>
        </w:rPr>
        <w:t xml:space="preserve"> </w:t>
      </w:r>
      <w:r w:rsidR="00272534">
        <w:rPr>
          <w:rFonts w:hint="cs"/>
          <w:rtl/>
        </w:rPr>
        <w:t>"מתחלק" פירושו שאינו אחדות גמורה אלא שייכים בו חלקים,</w:t>
      </w:r>
      <w:r w:rsidR="00C8466B">
        <w:rPr>
          <w:rFonts w:hint="cs"/>
          <w:rtl/>
        </w:rPr>
        <w:t xml:space="preserve"> "מתחלף" פירושו שהחלקים שונים זה מזה. עדר כבשים הוא דבר מ</w:t>
      </w:r>
      <w:r w:rsidR="0030127D">
        <w:rPr>
          <w:rFonts w:hint="cs"/>
          <w:rtl/>
        </w:rPr>
        <w:t>ת</w:t>
      </w:r>
      <w:r w:rsidR="00C8466B">
        <w:rPr>
          <w:rFonts w:hint="cs"/>
          <w:rtl/>
        </w:rPr>
        <w:t xml:space="preserve">חלק </w:t>
      </w:r>
      <w:r w:rsidR="005864AC">
        <w:rPr>
          <w:rFonts w:hint="cs"/>
          <w:rtl/>
        </w:rPr>
        <w:t xml:space="preserve">כי כל כבש הוא חלק מהעדר השלם, </w:t>
      </w:r>
      <w:r w:rsidR="00C8466B">
        <w:rPr>
          <w:rFonts w:hint="cs"/>
          <w:rtl/>
        </w:rPr>
        <w:t>אבל החלקים ל</w:t>
      </w:r>
      <w:r w:rsidR="005864AC">
        <w:rPr>
          <w:rFonts w:hint="cs"/>
          <w:rtl/>
        </w:rPr>
        <w:t>א</w:t>
      </w:r>
      <w:r w:rsidR="00C8466B">
        <w:rPr>
          <w:rFonts w:hint="cs"/>
          <w:rtl/>
        </w:rPr>
        <w:t xml:space="preserve"> מתחלפים</w:t>
      </w:r>
      <w:r w:rsidR="005864AC">
        <w:rPr>
          <w:rFonts w:hint="cs"/>
          <w:rtl/>
        </w:rPr>
        <w:t xml:space="preserve"> אלא שווים</w:t>
      </w:r>
      <w:r w:rsidR="00C8466B">
        <w:rPr>
          <w:rFonts w:hint="cs"/>
          <w:rtl/>
        </w:rPr>
        <w:t xml:space="preserve">, לעומת זאת אם יש בחווה כבש </w:t>
      </w:r>
      <w:r w:rsidR="0030127D">
        <w:rPr>
          <w:rFonts w:hint="cs"/>
          <w:rtl/>
        </w:rPr>
        <w:t xml:space="preserve">ועז ופרה הרי יש בה בעלי חיים מתחלפים. </w:t>
      </w:r>
    </w:p>
    <w:p w14:paraId="29297F0A" w14:textId="77777777" w:rsidR="00E5078D" w:rsidRDefault="001D6647">
      <w:pPr>
        <w:pStyle w:val="FootnoteText"/>
        <w:rPr>
          <w:rtl/>
        </w:rPr>
      </w:pPr>
      <w:r>
        <w:rPr>
          <w:rFonts w:hint="cs"/>
          <w:rtl/>
        </w:rPr>
        <w:t>בדבר גשמי הגוף מחלק, ואפשר שיחלק לחלקים זהים כמו כבשים בעדר</w:t>
      </w:r>
      <w:r w:rsidR="00A56B5C">
        <w:rPr>
          <w:rFonts w:hint="cs"/>
          <w:rtl/>
        </w:rPr>
        <w:t xml:space="preserve"> שחלוקת החומר מחלקת אותן למרות שצורתן זהה</w:t>
      </w:r>
      <w:r>
        <w:rPr>
          <w:rFonts w:hint="cs"/>
          <w:rtl/>
        </w:rPr>
        <w:t xml:space="preserve">, או לחלקים מתחלפים. </w:t>
      </w:r>
      <w:r w:rsidR="00A56B5C">
        <w:rPr>
          <w:rFonts w:hint="cs"/>
          <w:rtl/>
        </w:rPr>
        <w:t xml:space="preserve">בדבר שאינו גשמי כמו צורה, הגוף לא מחלק ולכן צורות </w:t>
      </w:r>
      <w:r w:rsidR="00297C22">
        <w:rPr>
          <w:rFonts w:hint="cs"/>
          <w:rtl/>
        </w:rPr>
        <w:t xml:space="preserve">זהות תהיינה צורה אחת ולא צורות מחולקות. רק אם הצורות </w:t>
      </w:r>
      <w:r w:rsidR="00431EFA">
        <w:rPr>
          <w:rFonts w:hint="cs"/>
          <w:rtl/>
        </w:rPr>
        <w:t xml:space="preserve">מתחלפות, שונות זו מזו, הן תהיינה מחולקות מכח השוני. וכמו שכתב הרמב"ם בהלכות יסודי התורה </w:t>
      </w:r>
      <w:r w:rsidR="002F4BA5">
        <w:rPr>
          <w:rFonts w:hint="cs"/>
          <w:rtl/>
        </w:rPr>
        <w:t xml:space="preserve">פרק </w:t>
      </w:r>
      <w:r w:rsidR="00600E26">
        <w:rPr>
          <w:rFonts w:hint="cs"/>
          <w:rtl/>
        </w:rPr>
        <w:t xml:space="preserve">ב' </w:t>
      </w:r>
      <w:r w:rsidR="002F4BA5">
        <w:rPr>
          <w:rFonts w:hint="cs"/>
          <w:rtl/>
        </w:rPr>
        <w:t>מהלכה ה' ואילך.</w:t>
      </w:r>
    </w:p>
    <w:p w14:paraId="13496D4F" w14:textId="6F9BDCD2" w:rsidR="00533DA4" w:rsidRDefault="00E5078D" w:rsidP="00211719">
      <w:pPr>
        <w:pStyle w:val="FootnoteText"/>
      </w:pPr>
      <w:r>
        <w:rPr>
          <w:rFonts w:hint="cs"/>
          <w:rtl/>
        </w:rPr>
        <w:t>האל עצמו הוא הכרחי מציאות, כלומר אין בו שום הגדרות</w:t>
      </w:r>
      <w:r w:rsidR="0086299B">
        <w:rPr>
          <w:rFonts w:hint="cs"/>
          <w:rtl/>
        </w:rPr>
        <w:t>, הוא אין סוף, ולא תיתכן בו שום חלוקה. העולם</w:t>
      </w:r>
      <w:r w:rsidR="00D17A64">
        <w:rPr>
          <w:rFonts w:hint="cs"/>
          <w:rtl/>
        </w:rPr>
        <w:t xml:space="preserve"> הנברא</w:t>
      </w:r>
      <w:r w:rsidR="0086299B">
        <w:rPr>
          <w:rFonts w:hint="cs"/>
          <w:rtl/>
        </w:rPr>
        <w:t xml:space="preserve"> הוא ההגדרות</w:t>
      </w:r>
      <w:r w:rsidR="00CE4538">
        <w:rPr>
          <w:rFonts w:hint="cs"/>
          <w:rtl/>
        </w:rPr>
        <w:t xml:space="preserve"> (ספירת חכמה)</w:t>
      </w:r>
      <w:r w:rsidR="0086299B">
        <w:rPr>
          <w:rFonts w:hint="cs"/>
          <w:rtl/>
        </w:rPr>
        <w:t xml:space="preserve">, </w:t>
      </w:r>
      <w:r w:rsidR="00B4364A">
        <w:rPr>
          <w:rFonts w:hint="cs"/>
          <w:rtl/>
        </w:rPr>
        <w:t xml:space="preserve">והוא במהותו עולם הריבוי, כי הגדרות פירושן </w:t>
      </w:r>
      <w:r w:rsidR="005F2F17">
        <w:rPr>
          <w:rFonts w:hint="cs"/>
          <w:rtl/>
        </w:rPr>
        <w:t>שיש מה שב</w:t>
      </w:r>
      <w:r w:rsidR="00D17A64">
        <w:rPr>
          <w:rFonts w:hint="cs"/>
          <w:rtl/>
        </w:rPr>
        <w:t>ת</w:t>
      </w:r>
      <w:r w:rsidR="005F2F17">
        <w:rPr>
          <w:rFonts w:hint="cs"/>
          <w:rtl/>
        </w:rPr>
        <w:t>וך ההגדרה, וממילא בהכרח יש גם את מה שמ</w:t>
      </w:r>
      <w:r w:rsidR="00D17A64">
        <w:rPr>
          <w:rFonts w:hint="cs"/>
          <w:rtl/>
        </w:rPr>
        <w:t>חוץ</w:t>
      </w:r>
      <w:r w:rsidR="005F2F17">
        <w:rPr>
          <w:rFonts w:hint="cs"/>
          <w:rtl/>
        </w:rPr>
        <w:t xml:space="preserve"> להגדרה, והרי בהכרח יש ריבוי. </w:t>
      </w:r>
      <w:r w:rsidR="00EA0F2B">
        <w:rPr>
          <w:rFonts w:hint="cs"/>
          <w:rtl/>
        </w:rPr>
        <w:t>הגדרה וריבוי הן אותו הדבר עצמו.</w:t>
      </w:r>
      <w:r w:rsidR="00272534">
        <w:rPr>
          <w:rFonts w:hint="cs"/>
          <w:rtl/>
        </w:rPr>
        <w:t xml:space="preserve"> </w:t>
      </w:r>
      <w:r w:rsidR="00BA62F8">
        <w:rPr>
          <w:rFonts w:hint="cs"/>
          <w:rtl/>
        </w:rPr>
        <w:t xml:space="preserve">זו הכוונה שהאחד מתחלק </w:t>
      </w:r>
      <w:r w:rsidR="00211719">
        <w:rPr>
          <w:rFonts w:hint="cs"/>
          <w:rtl/>
        </w:rPr>
        <w:t>"</w:t>
      </w:r>
      <w:r w:rsidR="00BA62F8">
        <w:rPr>
          <w:rFonts w:hint="cs"/>
          <w:rtl/>
        </w:rPr>
        <w:t>בהתחלקות של העולם</w:t>
      </w:r>
      <w:r w:rsidR="00211719">
        <w:rPr>
          <w:rFonts w:hint="cs"/>
          <w:rtl/>
        </w:rPr>
        <w:t>"</w:t>
      </w:r>
      <w:r w:rsidR="00BA62F8">
        <w:rPr>
          <w:rFonts w:hint="cs"/>
          <w:rtl/>
        </w:rPr>
        <w:t>, הגילוי האלוהי מצטמצם מאין סוף מוחלט</w:t>
      </w:r>
      <w:r w:rsidR="00AE4F71">
        <w:rPr>
          <w:rFonts w:hint="cs"/>
          <w:rtl/>
        </w:rPr>
        <w:t xml:space="preserve"> שהוא אחדות</w:t>
      </w:r>
      <w:r w:rsidR="00BA62F8">
        <w:rPr>
          <w:rFonts w:hint="cs"/>
          <w:rtl/>
        </w:rPr>
        <w:t xml:space="preserve"> פשוט</w:t>
      </w:r>
      <w:r w:rsidR="00AE4F71">
        <w:rPr>
          <w:rFonts w:hint="cs"/>
          <w:rtl/>
        </w:rPr>
        <w:t>ה</w:t>
      </w:r>
      <w:r w:rsidR="00BA62F8">
        <w:rPr>
          <w:rFonts w:hint="cs"/>
          <w:rtl/>
        </w:rPr>
        <w:t xml:space="preserve"> מכל צד, </w:t>
      </w:r>
      <w:r w:rsidR="009D7889">
        <w:rPr>
          <w:rFonts w:hint="cs"/>
          <w:rtl/>
        </w:rPr>
        <w:t>שאין ב</w:t>
      </w:r>
      <w:r w:rsidR="00AE4F71">
        <w:rPr>
          <w:rFonts w:hint="cs"/>
          <w:rtl/>
        </w:rPr>
        <w:t>ה</w:t>
      </w:r>
      <w:r w:rsidR="009D7889">
        <w:rPr>
          <w:rFonts w:hint="cs"/>
          <w:rtl/>
        </w:rPr>
        <w:t xml:space="preserve"> תפישה, למציאות של ח</w:t>
      </w:r>
      <w:r w:rsidR="00AE4F71">
        <w:rPr>
          <w:rFonts w:hint="cs"/>
          <w:rtl/>
        </w:rPr>
        <w:t>כ</w:t>
      </w:r>
      <w:r w:rsidR="009D7889">
        <w:rPr>
          <w:rFonts w:hint="cs"/>
          <w:rtl/>
        </w:rPr>
        <w:t xml:space="preserve">מה ותפישה שהיא </w:t>
      </w:r>
      <w:r w:rsidR="00AE4F71">
        <w:rPr>
          <w:rFonts w:hint="cs"/>
          <w:rtl/>
        </w:rPr>
        <w:t>מ</w:t>
      </w:r>
      <w:r w:rsidR="009D7889">
        <w:rPr>
          <w:rFonts w:hint="cs"/>
          <w:rtl/>
        </w:rPr>
        <w:t>ציאות של הגדרות</w:t>
      </w:r>
      <w:r w:rsidR="00615D97">
        <w:rPr>
          <w:rFonts w:hint="cs"/>
          <w:rtl/>
        </w:rPr>
        <w:t xml:space="preserve"> כלומר חלוקה, דהיינו ריבוי</w:t>
      </w:r>
      <w:r w:rsidR="00211719">
        <w:rPr>
          <w:rFonts w:hint="cs"/>
          <w:rtl/>
        </w:rPr>
        <w:t>, וזה העולם</w:t>
      </w:r>
      <w:r w:rsidR="009D7889">
        <w:rPr>
          <w:rFonts w:hint="cs"/>
          <w:rtl/>
        </w:rPr>
        <w:t xml:space="preserve">. </w:t>
      </w:r>
      <w:r w:rsidR="00211719">
        <w:rPr>
          <w:rFonts w:hint="cs"/>
          <w:rtl/>
        </w:rPr>
        <w:t>הגילוי של האחדות האלוהית הפשוטה מתחלק במה שהוא נעשה גיל</w:t>
      </w:r>
      <w:r w:rsidR="00BA43BD">
        <w:rPr>
          <w:rFonts w:hint="cs"/>
          <w:rtl/>
        </w:rPr>
        <w:t>ו</w:t>
      </w:r>
      <w:r w:rsidR="00211719">
        <w:rPr>
          <w:rFonts w:hint="cs"/>
          <w:rtl/>
        </w:rPr>
        <w:t xml:space="preserve">י אלוהות בעולם, כי העולם הוא עולם הריבוי. </w:t>
      </w:r>
      <w:r w:rsidR="00BA43BD">
        <w:rPr>
          <w:rFonts w:hint="cs"/>
          <w:rtl/>
        </w:rPr>
        <w:t>מה שההתחלקות גור</w:t>
      </w:r>
      <w:r w:rsidR="00415D69">
        <w:rPr>
          <w:rFonts w:hint="cs"/>
          <w:rtl/>
        </w:rPr>
        <w:t>מ</w:t>
      </w:r>
      <w:r w:rsidR="00BA43BD">
        <w:rPr>
          <w:rFonts w:hint="cs"/>
          <w:rtl/>
        </w:rPr>
        <w:t xml:space="preserve">ת למציאות של גופים שונים זה מזה, כלומר מתחלפים, </w:t>
      </w:r>
      <w:r w:rsidR="00415D69">
        <w:rPr>
          <w:rFonts w:hint="cs"/>
          <w:rtl/>
        </w:rPr>
        <w:t xml:space="preserve">זה משום שהמקבל של הגילוי, החומר, </w:t>
      </w:r>
      <w:r w:rsidR="005F42C7">
        <w:rPr>
          <w:rFonts w:hint="cs"/>
          <w:rtl/>
        </w:rPr>
        <w:t xml:space="preserve">בטבעו </w:t>
      </w:r>
      <w:r w:rsidR="00AF48D3">
        <w:rPr>
          <w:rFonts w:hint="cs"/>
          <w:rtl/>
        </w:rPr>
        <w:t>אין בו שום דבר שווה או זהה</w:t>
      </w:r>
      <w:r w:rsidR="009B22A6">
        <w:rPr>
          <w:rFonts w:hint="cs"/>
          <w:rtl/>
        </w:rPr>
        <w:t xml:space="preserve"> </w:t>
      </w:r>
      <w:r w:rsidR="00AF48D3">
        <w:rPr>
          <w:rFonts w:hint="cs"/>
          <w:rtl/>
        </w:rPr>
        <w:t>וכולו אינו אלא שוני,</w:t>
      </w:r>
      <w:r w:rsidR="009B22A6">
        <w:rPr>
          <w:rFonts w:hint="cs"/>
          <w:rtl/>
        </w:rPr>
        <w:t xml:space="preserve"> </w:t>
      </w:r>
      <w:r w:rsidR="009B22A6" w:rsidRPr="009B22A6">
        <w:rPr>
          <w:rtl/>
        </w:rPr>
        <w:t xml:space="preserve">כמו שכתב אפלטון </w:t>
      </w:r>
      <w:r w:rsidR="009B22A6" w:rsidRPr="009B22A6">
        <w:rPr>
          <w:rtl/>
        </w:rPr>
        <w:t xml:space="preserve">בטימיאוס, </w:t>
      </w:r>
      <w:r w:rsidR="00AF48D3">
        <w:rPr>
          <w:rFonts w:hint="cs"/>
          <w:rtl/>
        </w:rPr>
        <w:t>ולכן כל ציור של צורה בו שונה מציור אחר</w:t>
      </w:r>
      <w:r w:rsidR="00CF20AF">
        <w:rPr>
          <w:rFonts w:hint="cs"/>
          <w:rtl/>
        </w:rPr>
        <w:t>, וכל הדברים כשהם בחומר הם מתחלפים, כלומר שונים זה מזה</w:t>
      </w:r>
      <w:r w:rsidR="00AF48D3">
        <w:rPr>
          <w:rFonts w:hint="cs"/>
          <w:rtl/>
        </w:rPr>
        <w:t>.</w:t>
      </w:r>
      <w:r w:rsidR="004B5B34">
        <w:rPr>
          <w:rFonts w:hint="cs"/>
          <w:rtl/>
        </w:rPr>
        <w:t xml:space="preserve"> למשל אם יש זכוכית שכל מקום שבה</w:t>
      </w:r>
      <w:r w:rsidR="0092015D">
        <w:rPr>
          <w:rFonts w:hint="cs"/>
          <w:rtl/>
        </w:rPr>
        <w:t>, ולו הקטן ביותר,</w:t>
      </w:r>
      <w:r w:rsidR="004B5B34">
        <w:rPr>
          <w:rFonts w:hint="cs"/>
          <w:rtl/>
        </w:rPr>
        <w:t xml:space="preserve"> שונה בצבעו ומידת עכירותו מכל מקום אחר</w:t>
      </w:r>
      <w:r w:rsidR="0092015D">
        <w:rPr>
          <w:rFonts w:hint="cs"/>
          <w:rtl/>
        </w:rPr>
        <w:t xml:space="preserve"> שבזכוכית</w:t>
      </w:r>
      <w:r w:rsidR="004B5B34">
        <w:rPr>
          <w:rFonts w:hint="cs"/>
          <w:rtl/>
        </w:rPr>
        <w:t xml:space="preserve">, </w:t>
      </w:r>
      <w:r w:rsidR="0092015D">
        <w:rPr>
          <w:rFonts w:hint="cs"/>
          <w:rtl/>
        </w:rPr>
        <w:t>אם ת</w:t>
      </w:r>
      <w:r w:rsidR="00BA323C">
        <w:rPr>
          <w:rFonts w:hint="cs"/>
          <w:rtl/>
        </w:rPr>
        <w:t>וטל</w:t>
      </w:r>
      <w:r w:rsidR="0092015D">
        <w:rPr>
          <w:rFonts w:hint="cs"/>
          <w:rtl/>
        </w:rPr>
        <w:t xml:space="preserve"> </w:t>
      </w:r>
      <w:r w:rsidR="009F3672">
        <w:rPr>
          <w:rFonts w:hint="cs"/>
          <w:rtl/>
        </w:rPr>
        <w:t>על</w:t>
      </w:r>
      <w:r w:rsidR="0092015D">
        <w:rPr>
          <w:rFonts w:hint="cs"/>
          <w:rtl/>
        </w:rPr>
        <w:t xml:space="preserve"> אותה זכוכית קרן אור אחת שצבעה אחיד, בצד השני כל נקודה על הזכוכית תראה מיוחדת ושונה מכל הנקודות</w:t>
      </w:r>
      <w:r w:rsidR="009F3672">
        <w:rPr>
          <w:rFonts w:hint="cs"/>
          <w:rtl/>
        </w:rPr>
        <w:t xml:space="preserve"> </w:t>
      </w:r>
      <w:r w:rsidR="0092015D">
        <w:rPr>
          <w:rFonts w:hint="cs"/>
          <w:rtl/>
        </w:rPr>
        <w:t>האחרות</w:t>
      </w:r>
      <w:r w:rsidR="009F3672">
        <w:rPr>
          <w:rFonts w:hint="cs"/>
          <w:rtl/>
        </w:rPr>
        <w:t>, כלומר כל הנקודות תהיינה מתחלפות, וזה מסיבת הזכוכית, כלומר המקבלים, ו</w:t>
      </w:r>
      <w:r w:rsidR="00E74363">
        <w:rPr>
          <w:rFonts w:hint="cs"/>
          <w:rtl/>
        </w:rPr>
        <w:t>לא</w:t>
      </w:r>
      <w:r w:rsidR="009F3672">
        <w:rPr>
          <w:rFonts w:hint="cs"/>
          <w:rtl/>
        </w:rPr>
        <w:t xml:space="preserve"> מסיבת קרן האור שהיא אחת.</w:t>
      </w:r>
      <w:r w:rsidR="005F42C7">
        <w:rPr>
          <w:rFonts w:hint="cs"/>
          <w:rtl/>
        </w:rPr>
        <w:t xml:space="preserve"> </w:t>
      </w:r>
    </w:p>
  </w:footnote>
  <w:footnote w:id="560">
    <w:p w14:paraId="58799BB5" w14:textId="09DC869A" w:rsidR="00101A9B" w:rsidRDefault="00101A9B">
      <w:pPr>
        <w:pStyle w:val="FootnoteText"/>
        <w:rPr>
          <w:rtl/>
        </w:rPr>
      </w:pPr>
      <w:r>
        <w:rPr>
          <w:rStyle w:val="FootnoteReference"/>
        </w:rPr>
        <w:footnoteRef/>
      </w:r>
      <w:r>
        <w:rPr>
          <w:rtl/>
        </w:rPr>
        <w:t xml:space="preserve"> </w:t>
      </w:r>
      <w:r w:rsidR="001E5245">
        <w:rPr>
          <w:rFonts w:hint="cs"/>
          <w:rtl/>
        </w:rPr>
        <w:t>מקגיניס כתב כאן:</w:t>
      </w:r>
    </w:p>
    <w:p w14:paraId="4C3E12FA" w14:textId="6CB69BEC" w:rsidR="001E5245" w:rsidRDefault="001E5245" w:rsidP="006F7668">
      <w:pPr>
        <w:pStyle w:val="FootnoteText"/>
        <w:bidi w:val="0"/>
      </w:pPr>
      <w:r>
        <w:rPr>
          <w:rFonts w:hint="cs"/>
          <w:rtl/>
        </w:rPr>
        <w:t>"</w:t>
      </w:r>
      <w:r w:rsidR="00707DF8">
        <w:t>This position has certain affinities with that of Plotinus and the Neoplatonists; see Plotinus, Enneads 3.2. Concerning Plotinus as a possible source, it</w:t>
      </w:r>
      <w:r w:rsidR="00707DF8">
        <w:rPr>
          <w:rtl/>
        </w:rPr>
        <w:t xml:space="preserve"> </w:t>
      </w:r>
      <w:r w:rsidR="00707DF8">
        <w:t>should be noted that a redaction of his Enneads 4–6 was made in Arabic under</w:t>
      </w:r>
      <w:r w:rsidR="00707DF8">
        <w:rPr>
          <w:rtl/>
        </w:rPr>
        <w:t xml:space="preserve"> </w:t>
      </w:r>
      <w:r w:rsidR="00707DF8">
        <w:t>the title The Theology of Aristotle, for a discussion of the Theology of Aristotle see</w:t>
      </w:r>
      <w:r w:rsidR="00707DF8">
        <w:rPr>
          <w:rtl/>
        </w:rPr>
        <w:t xml:space="preserve"> </w:t>
      </w:r>
      <w:r w:rsidR="00707DF8">
        <w:t xml:space="preserve">Peter Adamson, The Arabic Plotinus, A Philosophical Study of the </w:t>
      </w:r>
      <w:r w:rsidR="00854A5E">
        <w:t>"</w:t>
      </w:r>
      <w:r w:rsidR="00707DF8">
        <w:t>Theology of Aristotle</w:t>
      </w:r>
      <w:r w:rsidR="008D4211">
        <w:t>"</w:t>
      </w:r>
    </w:p>
  </w:footnote>
  <w:footnote w:id="561">
    <w:p w14:paraId="47D63FE3" w14:textId="50CB6C01" w:rsidR="004C607B" w:rsidRDefault="00EB247F" w:rsidP="004C607B">
      <w:pPr>
        <w:pStyle w:val="FootnoteText"/>
      </w:pPr>
      <w:r>
        <w:rPr>
          <w:rStyle w:val="FootnoteReference"/>
        </w:rPr>
        <w:footnoteRef/>
      </w:r>
      <w:r w:rsidR="00597663">
        <w:rPr>
          <w:rFonts w:hint="cs"/>
          <w:rtl/>
        </w:rPr>
        <w:t>"להם"</w:t>
      </w:r>
      <w:r w:rsidR="00597663">
        <w:rPr>
          <w:rFonts w:hint="cs"/>
        </w:rPr>
        <w:t xml:space="preserve"> </w:t>
      </w:r>
      <w:r w:rsidR="00597663">
        <w:rPr>
          <w:rFonts w:hint="cs"/>
          <w:rtl/>
        </w:rPr>
        <w:t>הכוונה</w:t>
      </w:r>
      <w:r w:rsidR="004C607B">
        <w:t xml:space="preserve"> </w:t>
      </w:r>
      <w:r w:rsidR="009C1DE7">
        <w:rPr>
          <w:rFonts w:hint="cs"/>
          <w:rtl/>
        </w:rPr>
        <w:t>לגופים החומריים</w:t>
      </w:r>
      <w:r w:rsidR="00597663">
        <w:rPr>
          <w:rFonts w:hint="cs"/>
          <w:rtl/>
        </w:rPr>
        <w:t>,</w:t>
      </w:r>
      <w:r w:rsidR="009C1DE7">
        <w:rPr>
          <w:rFonts w:hint="cs"/>
          <w:rtl/>
        </w:rPr>
        <w:t xml:space="preserve"> שהם הפרטים, האינדיבידואלים, ראובן ושמעון</w:t>
      </w:r>
      <w:r w:rsidR="00597663">
        <w:rPr>
          <w:rFonts w:hint="cs"/>
          <w:rtl/>
        </w:rPr>
        <w:t>.</w:t>
      </w:r>
      <w:r w:rsidR="009C1DE7">
        <w:rPr>
          <w:rFonts w:hint="cs"/>
          <w:rtl/>
        </w:rPr>
        <w:t xml:space="preserve"> יש</w:t>
      </w:r>
      <w:r w:rsidR="00597663">
        <w:rPr>
          <w:rFonts w:hint="cs"/>
          <w:rtl/>
        </w:rPr>
        <w:t xml:space="preserve"> להם</w:t>
      </w:r>
      <w:r w:rsidR="009C1DE7">
        <w:rPr>
          <w:rFonts w:hint="cs"/>
          <w:rtl/>
        </w:rPr>
        <w:t xml:space="preserve"> בהכרח יחס להתחלה אחת</w:t>
      </w:r>
      <w:r w:rsidR="00597663">
        <w:rPr>
          <w:rFonts w:hint="cs"/>
          <w:rtl/>
        </w:rPr>
        <w:t>,</w:t>
      </w:r>
      <w:r w:rsidR="009C1DE7">
        <w:rPr>
          <w:rFonts w:hint="cs"/>
          <w:rtl/>
        </w:rPr>
        <w:t xml:space="preserve"> אין לראובן מציאות בלי שיש לו יחס למין 'אדם'</w:t>
      </w:r>
      <w:r w:rsidR="00597663">
        <w:rPr>
          <w:rFonts w:hint="cs"/>
          <w:rtl/>
        </w:rPr>
        <w:t xml:space="preserve">, כלומר שהוא נוטל חלק בצורה </w:t>
      </w:r>
      <w:r w:rsidR="00861048">
        <w:rPr>
          <w:rFonts w:hint="cs"/>
          <w:rtl/>
        </w:rPr>
        <w:t>הכוללת 'אדם'.</w:t>
      </w:r>
      <w:r w:rsidR="00655F34">
        <w:rPr>
          <w:rFonts w:hint="cs"/>
          <w:rtl/>
        </w:rPr>
        <w:t xml:space="preserve"> ראובן נמצא כאדם, כאחד מבני האדם, או לפחות כאחד מהעצמים שבעולם. </w:t>
      </w:r>
      <w:r w:rsidR="00A56283">
        <w:rPr>
          <w:rFonts w:hint="cs"/>
          <w:rtl/>
        </w:rPr>
        <w:t xml:space="preserve">בלי יחס לשום כלל, בלי שהוא נוטל חלק בשום כלל, לא תיתכן מציאותו של הפרט. </w:t>
      </w:r>
      <w:r w:rsidR="009C1DE7">
        <w:rPr>
          <w:rFonts w:hint="cs"/>
          <w:rtl/>
        </w:rPr>
        <w:t xml:space="preserve"> </w:t>
      </w:r>
      <w:r w:rsidR="004C607B">
        <w:t xml:space="preserve"> </w:t>
      </w:r>
    </w:p>
  </w:footnote>
  <w:footnote w:id="562">
    <w:p w14:paraId="7D89266D" w14:textId="618B17D5" w:rsidR="00041682" w:rsidRDefault="00041682">
      <w:pPr>
        <w:pStyle w:val="FootnoteText"/>
      </w:pPr>
      <w:r>
        <w:rPr>
          <w:rStyle w:val="FootnoteReference"/>
        </w:rPr>
        <w:footnoteRef/>
      </w:r>
      <w:r>
        <w:rPr>
          <w:rtl/>
        </w:rPr>
        <w:t xml:space="preserve"> </w:t>
      </w:r>
      <w:r w:rsidR="005B2A7A">
        <w:rPr>
          <w:rFonts w:hint="cs"/>
          <w:rtl/>
        </w:rPr>
        <w:t>מקודם קרא לדבר האחד שהפרטים מתייחסים אליו "התחלה</w:t>
      </w:r>
      <w:r w:rsidR="00277383">
        <w:rPr>
          <w:rFonts w:hint="cs"/>
          <w:rtl/>
        </w:rPr>
        <w:t>", וכאן אומר שההתחלות, שהן מושאי היחס של הפרטים, אינן קיימות בפני עצמן בקיום מופשט</w:t>
      </w:r>
      <w:r w:rsidR="005B2A7A">
        <w:rPr>
          <w:rFonts w:hint="cs"/>
          <w:rtl/>
        </w:rPr>
        <w:t xml:space="preserve">. </w:t>
      </w:r>
      <w:r w:rsidR="00DA33D0">
        <w:rPr>
          <w:rFonts w:hint="cs"/>
          <w:rtl/>
        </w:rPr>
        <w:t>'</w:t>
      </w:r>
      <w:r w:rsidR="004D33E6">
        <w:rPr>
          <w:rFonts w:hint="cs"/>
          <w:rtl/>
        </w:rPr>
        <w:t>התחל</w:t>
      </w:r>
      <w:r w:rsidR="00DA33D0">
        <w:rPr>
          <w:rFonts w:hint="cs"/>
          <w:rtl/>
        </w:rPr>
        <w:t>ה' כאן היא במ</w:t>
      </w:r>
      <w:r w:rsidR="00147ADD">
        <w:rPr>
          <w:rFonts w:hint="cs"/>
          <w:rtl/>
        </w:rPr>
        <w:t>ש</w:t>
      </w:r>
      <w:r w:rsidR="00DA33D0">
        <w:rPr>
          <w:rFonts w:hint="cs"/>
          <w:rtl/>
        </w:rPr>
        <w:t>מעות רחבה</w:t>
      </w:r>
      <w:r w:rsidR="00147ADD">
        <w:rPr>
          <w:rFonts w:hint="cs"/>
          <w:rtl/>
        </w:rPr>
        <w:t>,</w:t>
      </w:r>
      <w:r w:rsidR="00DA33D0">
        <w:rPr>
          <w:rFonts w:hint="cs"/>
          <w:rtl/>
        </w:rPr>
        <w:t xml:space="preserve"> </w:t>
      </w:r>
      <w:r w:rsidR="00147ADD">
        <w:rPr>
          <w:rFonts w:hint="cs"/>
          <w:rtl/>
        </w:rPr>
        <w:t xml:space="preserve">לפי דרך אחת הפירוש הוא </w:t>
      </w:r>
      <w:r w:rsidR="004D33E6">
        <w:rPr>
          <w:rFonts w:hint="cs"/>
          <w:rtl/>
        </w:rPr>
        <w:t xml:space="preserve">הצורות, </w:t>
      </w:r>
      <w:r w:rsidR="00147ADD">
        <w:rPr>
          <w:rFonts w:hint="cs"/>
          <w:rtl/>
        </w:rPr>
        <w:t xml:space="preserve">דהיינו </w:t>
      </w:r>
      <w:r w:rsidR="004D33E6">
        <w:rPr>
          <w:rFonts w:hint="cs"/>
          <w:rtl/>
        </w:rPr>
        <w:t>הכוללים (כלומר המין והסוג</w:t>
      </w:r>
      <w:r w:rsidR="00570C22">
        <w:rPr>
          <w:rFonts w:hint="cs"/>
          <w:rtl/>
        </w:rPr>
        <w:t>.</w:t>
      </w:r>
      <w:r w:rsidR="004D33E6">
        <w:rPr>
          <w:rFonts w:hint="cs"/>
          <w:rtl/>
        </w:rPr>
        <w:t xml:space="preserve"> בלטינית </w:t>
      </w:r>
      <w:r w:rsidR="009762BC">
        <w:rPr>
          <w:rFonts w:hint="cs"/>
          <w:rtl/>
        </w:rPr>
        <w:t xml:space="preserve">ואנגלית </w:t>
      </w:r>
      <w:r w:rsidR="0027694B">
        <w:rPr>
          <w:rFonts w:hint="cs"/>
          <w:rtl/>
        </w:rPr>
        <w:t xml:space="preserve">המין והסוג נקראים </w:t>
      </w:r>
      <w:r w:rsidR="009762BC">
        <w:rPr>
          <w:rFonts w:hint="cs"/>
          <w:rtl/>
        </w:rPr>
        <w:t>ה</w:t>
      </w:r>
      <w:r w:rsidR="0027694B">
        <w:rPr>
          <w:rFonts w:hint="cs"/>
          <w:rtl/>
        </w:rPr>
        <w:t>'</w:t>
      </w:r>
      <w:r w:rsidR="004D33E6">
        <w:rPr>
          <w:rFonts w:hint="cs"/>
          <w:rtl/>
        </w:rPr>
        <w:t>אוניברסלים</w:t>
      </w:r>
      <w:r w:rsidR="0027694B">
        <w:rPr>
          <w:rFonts w:hint="cs"/>
          <w:rtl/>
        </w:rPr>
        <w:t>'</w:t>
      </w:r>
      <w:r w:rsidR="009762BC">
        <w:rPr>
          <w:rFonts w:hint="cs"/>
          <w:rtl/>
        </w:rPr>
        <w:t xml:space="preserve">. </w:t>
      </w:r>
      <w:r w:rsidR="0027694B">
        <w:rPr>
          <w:rFonts w:hint="cs"/>
          <w:rtl/>
        </w:rPr>
        <w:t xml:space="preserve">התרגום העברי לאוניברסל הוא 'כולל'. </w:t>
      </w:r>
      <w:r w:rsidR="009762BC">
        <w:rPr>
          <w:rFonts w:hint="cs"/>
          <w:rtl/>
        </w:rPr>
        <w:t>הם נקראים כוללים כי הם כוללים את האישים הפרטיים שתחת המין כמו ראובן ו</w:t>
      </w:r>
      <w:r w:rsidR="00AD2056">
        <w:rPr>
          <w:rFonts w:hint="cs"/>
          <w:rtl/>
        </w:rPr>
        <w:t>ש</w:t>
      </w:r>
      <w:r w:rsidR="009762BC">
        <w:rPr>
          <w:rFonts w:hint="cs"/>
          <w:rtl/>
        </w:rPr>
        <w:t>מעון</w:t>
      </w:r>
      <w:r w:rsidR="00AD2056">
        <w:rPr>
          <w:rFonts w:hint="cs"/>
          <w:rtl/>
        </w:rPr>
        <w:t xml:space="preserve"> שנכללים במין 'אדם'</w:t>
      </w:r>
      <w:r w:rsidR="009762BC">
        <w:rPr>
          <w:rFonts w:hint="cs"/>
          <w:rtl/>
        </w:rPr>
        <w:t xml:space="preserve">. ראובן ושמעון </w:t>
      </w:r>
      <w:r w:rsidR="00092E46">
        <w:rPr>
          <w:rFonts w:hint="cs"/>
          <w:rtl/>
        </w:rPr>
        <w:t xml:space="preserve">בעצמם </w:t>
      </w:r>
      <w:r w:rsidR="009762BC">
        <w:rPr>
          <w:rFonts w:hint="cs"/>
          <w:rtl/>
        </w:rPr>
        <w:t>לא כוללים שום דבר ולכן הם נקראים יחידים</w:t>
      </w:r>
      <w:r w:rsidR="00AD2056">
        <w:rPr>
          <w:rFonts w:hint="cs"/>
          <w:rtl/>
        </w:rPr>
        <w:t>, פרטים,</w:t>
      </w:r>
      <w:r w:rsidR="009762BC">
        <w:rPr>
          <w:rFonts w:hint="cs"/>
          <w:rtl/>
        </w:rPr>
        <w:t xml:space="preserve"> או אינדיבידואלים</w:t>
      </w:r>
      <w:r w:rsidR="00AD2056">
        <w:rPr>
          <w:rFonts w:hint="cs"/>
          <w:rtl/>
        </w:rPr>
        <w:t>)</w:t>
      </w:r>
      <w:r w:rsidR="00937596">
        <w:rPr>
          <w:rFonts w:hint="cs"/>
          <w:rtl/>
        </w:rPr>
        <w:t>, לפי הדרך השנייה מדובר בהתחלה של המציאות כולה כאחת שהיא הסדר האחד של כל הבריאה</w:t>
      </w:r>
      <w:r w:rsidR="008D7F1F">
        <w:rPr>
          <w:rFonts w:hint="cs"/>
          <w:rtl/>
        </w:rPr>
        <w:t xml:space="preserve">. </w:t>
      </w:r>
    </w:p>
  </w:footnote>
  <w:footnote w:id="563">
    <w:p w14:paraId="413FD76E" w14:textId="13CD0444" w:rsidR="000779CB" w:rsidRDefault="00C01C39" w:rsidP="000779CB">
      <w:pPr>
        <w:pStyle w:val="FootnoteText"/>
      </w:pPr>
      <w:r>
        <w:rPr>
          <w:rStyle w:val="FootnoteReference"/>
        </w:rPr>
        <w:footnoteRef/>
      </w:r>
      <w:r>
        <w:rPr>
          <w:rtl/>
        </w:rPr>
        <w:t xml:space="preserve"> </w:t>
      </w:r>
      <w:r w:rsidR="000779CB">
        <w:rPr>
          <w:rFonts w:hint="cs"/>
          <w:rtl/>
        </w:rPr>
        <w:t>של הצורות המופשטות, הן הכוללים מין וסוג.</w:t>
      </w:r>
    </w:p>
  </w:footnote>
  <w:footnote w:id="564">
    <w:p w14:paraId="087064EC" w14:textId="77777777" w:rsidR="00AC5533" w:rsidRDefault="000D1DAF">
      <w:pPr>
        <w:pStyle w:val="FootnoteText"/>
        <w:rPr>
          <w:rtl/>
        </w:rPr>
      </w:pPr>
      <w:r>
        <w:rPr>
          <w:rStyle w:val="FootnoteReference"/>
        </w:rPr>
        <w:footnoteRef/>
      </w:r>
      <w:r>
        <w:rPr>
          <w:rtl/>
        </w:rPr>
        <w:t xml:space="preserve"> </w:t>
      </w:r>
      <w:r w:rsidR="00C677BD">
        <w:rPr>
          <w:rFonts w:hint="cs"/>
          <w:rtl/>
        </w:rPr>
        <w:t xml:space="preserve">מקגיניס ציין לחלק </w:t>
      </w:r>
      <w:r w:rsidR="00C677BD">
        <w:rPr>
          <w:rFonts w:hint="cs"/>
          <w:rtl/>
        </w:rPr>
        <w:t>המטאפיזיקה של ספר הריפוי</w:t>
      </w:r>
      <w:r w:rsidR="00624E0A">
        <w:rPr>
          <w:rFonts w:hint="cs"/>
          <w:rtl/>
        </w:rPr>
        <w:t>, הנקרא חכמת האלוהות</w:t>
      </w:r>
      <w:r w:rsidR="00BA43BC">
        <w:rPr>
          <w:rFonts w:hint="cs"/>
          <w:rtl/>
        </w:rPr>
        <w:t xml:space="preserve"> (</w:t>
      </w:r>
      <w:r w:rsidR="00BA43BC" w:rsidRPr="00BA43BC">
        <w:rPr>
          <w:rFonts w:asciiTheme="majorBidi" w:hAnsiTheme="majorBidi" w:cstheme="majorBidi"/>
        </w:rPr>
        <w:t>Ilāhīyāt</w:t>
      </w:r>
      <w:r w:rsidR="00BA43BC">
        <w:rPr>
          <w:rFonts w:hint="cs"/>
          <w:rtl/>
        </w:rPr>
        <w:t>)</w:t>
      </w:r>
      <w:r w:rsidR="00C677BD">
        <w:rPr>
          <w:rFonts w:hint="cs"/>
          <w:rtl/>
        </w:rPr>
        <w:t xml:space="preserve">, ספר ח' פרקים ג'-ה'. </w:t>
      </w:r>
    </w:p>
    <w:p w14:paraId="4DA9674D" w14:textId="32FCC6EB" w:rsidR="000D1DAF" w:rsidRDefault="00165E2A" w:rsidP="00E61AB8">
      <w:pPr>
        <w:pStyle w:val="FootnoteText"/>
      </w:pPr>
      <w:r>
        <w:rPr>
          <w:rFonts w:hint="cs"/>
          <w:rtl/>
        </w:rPr>
        <w:t xml:space="preserve">באופן כללי ולא </w:t>
      </w:r>
      <w:r w:rsidR="009C463A">
        <w:rPr>
          <w:rFonts w:hint="cs"/>
          <w:rtl/>
        </w:rPr>
        <w:t>מדויק</w:t>
      </w:r>
      <w:r>
        <w:rPr>
          <w:rFonts w:hint="cs"/>
          <w:rtl/>
        </w:rPr>
        <w:t xml:space="preserve"> הכוונה היא שהבורא </w:t>
      </w:r>
      <w:r w:rsidR="00AC5533">
        <w:rPr>
          <w:rFonts w:hint="cs"/>
          <w:rtl/>
        </w:rPr>
        <w:t>של הטבע, בעצמו הוא הכרחי המציאות</w:t>
      </w:r>
      <w:r w:rsidR="00403071">
        <w:rPr>
          <w:rFonts w:hint="cs"/>
          <w:rtl/>
        </w:rPr>
        <w:t xml:space="preserve"> (וכמו שכתב במורה נבוכים ב' א' בעיון השלישי</w:t>
      </w:r>
      <w:r w:rsidR="008E64DC">
        <w:rPr>
          <w:rtl/>
        </w:rPr>
        <w:fldChar w:fldCharType="begin"/>
      </w:r>
      <w:r w:rsidR="008E64DC">
        <w:instrText xml:space="preserve"> XE "</w:instrText>
      </w:r>
      <w:r w:rsidR="008E64DC" w:rsidRPr="008E62DD">
        <w:rPr>
          <w:rFonts w:hint="cs"/>
          <w:rtl/>
        </w:rPr>
        <w:instrText>מורה נבוכים ב' א' בעיון השלישי - הבורא אינו 'נמצא' מבחינת המציאות הטבעית</w:instrText>
      </w:r>
      <w:r w:rsidR="008E64DC">
        <w:instrText xml:space="preserve">" </w:instrText>
      </w:r>
      <w:r w:rsidR="008E64DC">
        <w:rPr>
          <w:rtl/>
        </w:rPr>
        <w:fldChar w:fldCharType="end"/>
      </w:r>
      <w:r w:rsidR="00403071">
        <w:rPr>
          <w:rFonts w:hint="cs"/>
          <w:rtl/>
        </w:rPr>
        <w:t>)</w:t>
      </w:r>
      <w:r w:rsidR="00AC5533">
        <w:rPr>
          <w:rFonts w:hint="cs"/>
          <w:rtl/>
        </w:rPr>
        <w:t>, וזה אומר שהוא מופשט לחלוטין, בלי הרכבה כלל, אחדות פשוטה ומוחלטת</w:t>
      </w:r>
      <w:r w:rsidR="00C21E8D">
        <w:rPr>
          <w:rFonts w:hint="cs"/>
          <w:rtl/>
        </w:rPr>
        <w:t xml:space="preserve"> מכל צד, וזהו האין סוף. לא יתכן שהוא יהיה קיים </w:t>
      </w:r>
      <w:r w:rsidR="00380B44">
        <w:rPr>
          <w:rFonts w:hint="cs"/>
          <w:rtl/>
        </w:rPr>
        <w:t xml:space="preserve">בעצמו </w:t>
      </w:r>
      <w:r w:rsidR="00C21E8D">
        <w:rPr>
          <w:rFonts w:hint="cs"/>
          <w:rtl/>
        </w:rPr>
        <w:t xml:space="preserve">באופן </w:t>
      </w:r>
      <w:r w:rsidR="00380B44">
        <w:rPr>
          <w:rFonts w:hint="cs"/>
          <w:rtl/>
        </w:rPr>
        <w:t>שונה מעצמותו</w:t>
      </w:r>
      <w:r w:rsidR="00C21E8D">
        <w:rPr>
          <w:rFonts w:hint="cs"/>
          <w:rtl/>
        </w:rPr>
        <w:t>, כ</w:t>
      </w:r>
      <w:r w:rsidR="00380B44">
        <w:rPr>
          <w:rFonts w:hint="cs"/>
          <w:rtl/>
        </w:rPr>
        <w:t>לומר כ</w:t>
      </w:r>
      <w:r w:rsidR="00C21E8D">
        <w:rPr>
          <w:rFonts w:hint="cs"/>
          <w:rtl/>
        </w:rPr>
        <w:t xml:space="preserve">מוגבל ומוגדר שיש בו ריבוי. </w:t>
      </w:r>
      <w:r w:rsidR="00380B44">
        <w:rPr>
          <w:rFonts w:hint="cs"/>
          <w:rtl/>
        </w:rPr>
        <w:t>הטבע הוא העולם של הנבראים הגשמיים, שהם בהכרח בעלי הגדרה, מוגבלים</w:t>
      </w:r>
      <w:r w:rsidR="00C85F6D">
        <w:rPr>
          <w:rFonts w:hint="cs"/>
          <w:rtl/>
        </w:rPr>
        <w:t>, נפרדים מהכרחי המציאות המופשט,</w:t>
      </w:r>
      <w:r w:rsidR="00380B44">
        <w:rPr>
          <w:rFonts w:hint="cs"/>
          <w:rtl/>
        </w:rPr>
        <w:t xml:space="preserve"> ויש בהם ריבוי שנובע בהכרח מהיותם בעלי הגדרה (כי ההגדרות מחלקות את הנמצאים). </w:t>
      </w:r>
      <w:r w:rsidR="00C85F6D">
        <w:rPr>
          <w:rFonts w:hint="cs"/>
          <w:rtl/>
        </w:rPr>
        <w:t xml:space="preserve">הקיום של הטבע </w:t>
      </w:r>
      <w:r w:rsidR="008E0048">
        <w:rPr>
          <w:rFonts w:hint="cs"/>
          <w:rtl/>
        </w:rPr>
        <w:t xml:space="preserve">במהותו </w:t>
      </w:r>
      <w:r w:rsidR="00C85F6D">
        <w:rPr>
          <w:rFonts w:hint="cs"/>
          <w:rtl/>
        </w:rPr>
        <w:t xml:space="preserve">שונה מהקיום של הבורא בעצמו, ולכן לא יתכן שהבורא יהיה קיים במובן של </w:t>
      </w:r>
      <w:r w:rsidR="008E0048">
        <w:rPr>
          <w:rFonts w:hint="cs"/>
          <w:rtl/>
        </w:rPr>
        <w:t>קיום שנמצא בטבע, כי בעצמו הוא מופשט ולא יתכן שיהיה קיים באופן שונה מזה.</w:t>
      </w:r>
      <w:r w:rsidR="005878E1">
        <w:rPr>
          <w:rFonts w:hint="cs"/>
          <w:rtl/>
        </w:rPr>
        <w:t xml:space="preserve"> העניין ארוך ועמוק </w:t>
      </w:r>
      <w:r w:rsidR="008E0007">
        <w:rPr>
          <w:rFonts w:hint="cs"/>
          <w:rtl/>
        </w:rPr>
        <w:t xml:space="preserve">ורב סתירות </w:t>
      </w:r>
      <w:r w:rsidR="005878E1">
        <w:rPr>
          <w:rFonts w:hint="cs"/>
          <w:rtl/>
        </w:rPr>
        <w:t>וצריך ביאור רחב, שיבוא במקומו לקמן.</w:t>
      </w:r>
    </w:p>
  </w:footnote>
  <w:footnote w:id="565">
    <w:p w14:paraId="77717DDC" w14:textId="5B2F6424" w:rsidR="00723C16" w:rsidRDefault="00723C16">
      <w:pPr>
        <w:pStyle w:val="FootnoteText"/>
        <w:rPr>
          <w:rtl/>
        </w:rPr>
      </w:pPr>
      <w:r>
        <w:rPr>
          <w:rStyle w:val="FootnoteReference"/>
        </w:rPr>
        <w:footnoteRef/>
      </w:r>
      <w:r>
        <w:rPr>
          <w:rtl/>
        </w:rPr>
        <w:t xml:space="preserve"> </w:t>
      </w:r>
      <w:r w:rsidR="00B73E59">
        <w:rPr>
          <w:rFonts w:hint="cs"/>
          <w:rtl/>
        </w:rPr>
        <w:t xml:space="preserve">הריבוי שנברא מהאחדות, נקרא בריאת יש מאין. האחדות נקראת </w:t>
      </w:r>
      <w:r w:rsidR="006F32E3">
        <w:rPr>
          <w:rFonts w:hint="cs"/>
          <w:rtl/>
        </w:rPr>
        <w:t>'</w:t>
      </w:r>
      <w:r w:rsidR="00B73E59">
        <w:rPr>
          <w:rFonts w:hint="cs"/>
          <w:rtl/>
        </w:rPr>
        <w:t>אין</w:t>
      </w:r>
      <w:r w:rsidR="006F32E3">
        <w:rPr>
          <w:rFonts w:hint="cs"/>
          <w:rtl/>
        </w:rPr>
        <w:t>'</w:t>
      </w:r>
      <w:r w:rsidR="00B73E59">
        <w:rPr>
          <w:rFonts w:hint="cs"/>
          <w:rtl/>
        </w:rPr>
        <w:t xml:space="preserve"> כי היא אחדות פשוטה </w:t>
      </w:r>
      <w:r w:rsidR="006F32E3">
        <w:rPr>
          <w:rFonts w:hint="cs"/>
          <w:rtl/>
        </w:rPr>
        <w:t xml:space="preserve">מכל צד בלי הרכבה כלל, ואין בה הגדרות ולכן אין בה מהות, אין 'משהו'. </w:t>
      </w:r>
      <w:r w:rsidR="0052385F">
        <w:rPr>
          <w:rFonts w:hint="cs"/>
          <w:rtl/>
        </w:rPr>
        <w:t xml:space="preserve">ההגדרה של </w:t>
      </w:r>
      <w:r w:rsidR="00725CC9">
        <w:rPr>
          <w:rFonts w:hint="cs"/>
          <w:rtl/>
        </w:rPr>
        <w:t>'</w:t>
      </w:r>
      <w:r w:rsidR="0052385F">
        <w:rPr>
          <w:rFonts w:hint="cs"/>
          <w:rtl/>
        </w:rPr>
        <w:t>מציאות</w:t>
      </w:r>
      <w:r w:rsidR="00725CC9">
        <w:rPr>
          <w:rFonts w:hint="cs"/>
          <w:rtl/>
        </w:rPr>
        <w:t>'</w:t>
      </w:r>
      <w:r w:rsidR="0052385F">
        <w:rPr>
          <w:rFonts w:hint="cs"/>
          <w:rtl/>
        </w:rPr>
        <w:t xml:space="preserve"> מצד הטבע, </w:t>
      </w:r>
      <w:r w:rsidR="00725CC9">
        <w:rPr>
          <w:rFonts w:hint="cs"/>
          <w:rtl/>
        </w:rPr>
        <w:t xml:space="preserve">דהיינו </w:t>
      </w:r>
      <w:r w:rsidR="0052385F">
        <w:rPr>
          <w:rFonts w:hint="cs"/>
          <w:rtl/>
        </w:rPr>
        <w:t xml:space="preserve">העולם הנברא, היא שיהיה </w:t>
      </w:r>
      <w:r w:rsidR="00725CC9">
        <w:rPr>
          <w:rFonts w:hint="cs"/>
          <w:rtl/>
        </w:rPr>
        <w:t>'</w:t>
      </w:r>
      <w:r w:rsidR="0052385F">
        <w:rPr>
          <w:rFonts w:hint="cs"/>
          <w:rtl/>
        </w:rPr>
        <w:t>משהו</w:t>
      </w:r>
      <w:r w:rsidR="00725CC9">
        <w:rPr>
          <w:rFonts w:hint="cs"/>
          <w:rtl/>
        </w:rPr>
        <w:t>'</w:t>
      </w:r>
      <w:r w:rsidR="0052385F">
        <w:rPr>
          <w:rFonts w:hint="cs"/>
          <w:rtl/>
        </w:rPr>
        <w:t xml:space="preserve"> שהוא זה שנמצא, ולשם כך הוא צריך להיות מוגדר, בעל מהות, שונה מדברים אחרים. ולפי ההגדרה הזו הבורא אין לו מציאות. </w:t>
      </w:r>
    </w:p>
    <w:p w14:paraId="5E1F4726" w14:textId="06209BF1" w:rsidR="00B06817" w:rsidRDefault="00B06817">
      <w:pPr>
        <w:pStyle w:val="FootnoteText"/>
        <w:rPr>
          <w:rtl/>
        </w:rPr>
      </w:pPr>
      <w:r>
        <w:rPr>
          <w:rFonts w:hint="cs"/>
          <w:rtl/>
        </w:rPr>
        <w:t xml:space="preserve">וכלשון המורה נבוכים </w:t>
      </w:r>
      <w:r w:rsidR="00D77744">
        <w:rPr>
          <w:rFonts w:hint="cs"/>
          <w:rtl/>
        </w:rPr>
        <w:t>א' נ"ח:</w:t>
      </w:r>
    </w:p>
    <w:p w14:paraId="1A920400" w14:textId="77777777" w:rsidR="00D77744" w:rsidRDefault="00D77744">
      <w:pPr>
        <w:pStyle w:val="FootnoteText"/>
        <w:rPr>
          <w:rtl/>
        </w:rPr>
      </w:pPr>
      <w:r>
        <w:rPr>
          <w:rFonts w:hint="cs"/>
          <w:rtl/>
        </w:rPr>
        <w:t>"</w:t>
      </w:r>
      <w:r w:rsidRPr="00D77744">
        <w:rPr>
          <w:rtl/>
        </w:rPr>
        <w:t xml:space="preserve">ואחר זאת ההקדמה אומר שהשם יתברך כבר בא המופת שהוא מחויב המציאה אין ההרכבה בו, כמו שנעשה עליו מופת, ולא נשיג אלא ישותו לבד לא מהותו, אם כן מן השקר שיהיה לו תאר חיוב, מפני שאין לו מהות חוץ לישותו ויורה </w:t>
      </w:r>
      <w:r w:rsidRPr="00D77744">
        <w:rPr>
          <w:rtl/>
        </w:rPr>
        <w:t>התאר על אחת מהם</w:t>
      </w:r>
      <w:r>
        <w:rPr>
          <w:rFonts w:hint="cs"/>
          <w:rtl/>
        </w:rPr>
        <w:t>.</w:t>
      </w:r>
    </w:p>
    <w:p w14:paraId="352C26B2" w14:textId="77777777" w:rsidR="00D77744" w:rsidRDefault="00D77744">
      <w:pPr>
        <w:pStyle w:val="FootnoteText"/>
        <w:rPr>
          <w:rtl/>
        </w:rPr>
      </w:pPr>
      <w:r>
        <w:rPr>
          <w:rFonts w:hint="cs"/>
          <w:rtl/>
        </w:rPr>
        <w:t>[...]</w:t>
      </w:r>
    </w:p>
    <w:p w14:paraId="62FD9814" w14:textId="7A1FBC42" w:rsidR="0098380F" w:rsidRDefault="0098380F">
      <w:pPr>
        <w:pStyle w:val="FootnoteText"/>
        <w:rPr>
          <w:rtl/>
        </w:rPr>
      </w:pPr>
      <w:r w:rsidRPr="0098380F">
        <w:rPr>
          <w:rtl/>
        </w:rPr>
        <w:t>והמשל בו, שהנה התבאר לנו במופת חיוב מציאות דבר אחד זולת אלו העצמים המושגים בחושים, ואשר כלל ידיעתם השכל, ואמרנו על זה שהוא נמצא, הענין כי מן השקר העדרו</w:t>
      </w:r>
      <w:r w:rsidR="00CB2A00">
        <w:rPr>
          <w:rFonts w:hint="cs"/>
          <w:rtl/>
        </w:rPr>
        <w:t xml:space="preserve"> [וכמו שכתב בפרק הקודם, א' נ"ז, שהבורא </w:t>
      </w:r>
      <w:r w:rsidR="005F04DB">
        <w:rPr>
          <w:rFonts w:hint="cs"/>
          <w:rtl/>
        </w:rPr>
        <w:t>"</w:t>
      </w:r>
      <w:r w:rsidR="00CB2A00">
        <w:rPr>
          <w:rFonts w:hint="cs"/>
          <w:rtl/>
        </w:rPr>
        <w:t>נמצא ולא במציאות</w:t>
      </w:r>
      <w:r w:rsidR="005F04DB">
        <w:rPr>
          <w:rFonts w:hint="cs"/>
          <w:rtl/>
        </w:rPr>
        <w:t>",</w:t>
      </w:r>
      <w:r w:rsidR="00CB2A00">
        <w:rPr>
          <w:rFonts w:hint="cs"/>
          <w:rtl/>
        </w:rPr>
        <w:t xml:space="preserve"> כלומר </w:t>
      </w:r>
      <w:r w:rsidR="005F04DB">
        <w:rPr>
          <w:rFonts w:hint="cs"/>
          <w:rtl/>
        </w:rPr>
        <w:t>"</w:t>
      </w:r>
      <w:r w:rsidR="00CB2A00">
        <w:rPr>
          <w:rFonts w:hint="cs"/>
          <w:rtl/>
        </w:rPr>
        <w:t>נמצא</w:t>
      </w:r>
      <w:r w:rsidR="005F04DB">
        <w:rPr>
          <w:rFonts w:hint="cs"/>
          <w:rtl/>
        </w:rPr>
        <w:t>"</w:t>
      </w:r>
      <w:r w:rsidR="00CB2A00">
        <w:rPr>
          <w:rFonts w:hint="cs"/>
          <w:rtl/>
        </w:rPr>
        <w:t xml:space="preserve"> הוא רק תואר שלילי לומר שאינו נעדר, </w:t>
      </w:r>
      <w:r w:rsidR="000B11A9">
        <w:rPr>
          <w:rFonts w:hint="cs"/>
          <w:rtl/>
        </w:rPr>
        <w:t xml:space="preserve">אבל לא תואר חיובי כי אין לנו השגה במובן של 'מציאות' המיוחס אליו באופן חיובי, כי זה אינו אותו מובן של 'נמצא' </w:t>
      </w:r>
      <w:r w:rsidR="005F04DB">
        <w:rPr>
          <w:rFonts w:hint="cs"/>
          <w:rtl/>
        </w:rPr>
        <w:t>שמתייחס לנבראים</w:t>
      </w:r>
      <w:r w:rsidR="00CB2A00">
        <w:rPr>
          <w:rFonts w:hint="cs"/>
          <w:rtl/>
        </w:rPr>
        <w:t>]</w:t>
      </w:r>
    </w:p>
    <w:p w14:paraId="24FE033D" w14:textId="4D0BACAE" w:rsidR="0098380F" w:rsidRDefault="0098380F">
      <w:pPr>
        <w:pStyle w:val="FootnoteText"/>
        <w:rPr>
          <w:rtl/>
        </w:rPr>
      </w:pPr>
      <w:r>
        <w:rPr>
          <w:rFonts w:hint="cs"/>
          <w:rtl/>
        </w:rPr>
        <w:t>[...]</w:t>
      </w:r>
    </w:p>
    <w:p w14:paraId="44A9FDC1" w14:textId="709F77D2" w:rsidR="00D77744" w:rsidRDefault="0080451B">
      <w:pPr>
        <w:pStyle w:val="FootnoteText"/>
        <w:rPr>
          <w:rtl/>
        </w:rPr>
      </w:pPr>
      <w:r w:rsidRPr="0080451B">
        <w:rPr>
          <w:rtl/>
        </w:rPr>
        <w:t xml:space="preserve">ואחר כן השגנו שזה הנמצא אין מציאותו אשר הוא עצמו מספקת לו שיהיה נמצא בלבד, אבל שופעת מאתו מציאות רבות, ואין זה כהשפע החום מן האש ולא כחיוב האור מן השמש, אבל השפע ימשיך להם תמיד עמידה וקיום וסדור בהנהגה מתוקנת כמו שנבאר, ואמרנו בו מפני אלו הענינים שהוא יכול וחכם ורוצה, והכונה באלו התארים שאינו לואה </w:t>
      </w:r>
      <w:r w:rsidR="00BB1606">
        <w:rPr>
          <w:rFonts w:hint="cs"/>
          <w:rtl/>
        </w:rPr>
        <w:t xml:space="preserve">[מלשון לאות, עייפות. ההיפך מיכול] </w:t>
      </w:r>
      <w:r w:rsidRPr="0080451B">
        <w:rPr>
          <w:rtl/>
        </w:rPr>
        <w:t>ולא סכל ולא נבהל או עוזב, וענין אמרנו לא לואה, שמציאותו יש בה די להמצאת דברים אחרים זולתו</w:t>
      </w:r>
      <w:r w:rsidR="00D77744">
        <w:rPr>
          <w:rFonts w:hint="cs"/>
          <w:rtl/>
        </w:rPr>
        <w:t>"</w:t>
      </w:r>
    </w:p>
    <w:p w14:paraId="7328B25C" w14:textId="3ABA68E7" w:rsidR="00C2194E" w:rsidRDefault="00C2194E">
      <w:pPr>
        <w:pStyle w:val="FootnoteText"/>
        <w:rPr>
          <w:rtl/>
        </w:rPr>
      </w:pPr>
      <w:r>
        <w:rPr>
          <w:rFonts w:hint="cs"/>
          <w:rtl/>
        </w:rPr>
        <w:t>הדברים שה</w:t>
      </w:r>
      <w:r w:rsidR="000C76A4">
        <w:rPr>
          <w:rFonts w:hint="cs"/>
          <w:rtl/>
        </w:rPr>
        <w:t>בורא</w:t>
      </w:r>
      <w:r>
        <w:rPr>
          <w:rFonts w:hint="cs"/>
          <w:rtl/>
        </w:rPr>
        <w:t xml:space="preserve"> ממציא על ידי השפע שהוא מאציל </w:t>
      </w:r>
      <w:r w:rsidR="008577B6">
        <w:rPr>
          <w:rFonts w:hint="cs"/>
          <w:rtl/>
        </w:rPr>
        <w:t xml:space="preserve">הם 'נמצאים', כי יש להם הגדרה, וכאמור מצד ההגדרה הזו הבורא עצמו אינו מוגדר כ'נמצא' במובן זה, ולכן הוא נקרא 'אין' והנבראים הם 'יש מאין'. </w:t>
      </w:r>
      <w:r w:rsidR="00130050">
        <w:rPr>
          <w:rFonts w:hint="cs"/>
          <w:rtl/>
        </w:rPr>
        <w:t xml:space="preserve">אמנם </w:t>
      </w:r>
      <w:r w:rsidR="00D85352">
        <w:rPr>
          <w:rFonts w:hint="cs"/>
          <w:rtl/>
        </w:rPr>
        <w:t>'</w:t>
      </w:r>
      <w:r w:rsidR="00130050">
        <w:rPr>
          <w:rFonts w:hint="cs"/>
          <w:rtl/>
        </w:rPr>
        <w:t>מציאות</w:t>
      </w:r>
      <w:r w:rsidR="00D85352">
        <w:rPr>
          <w:rFonts w:hint="cs"/>
          <w:rtl/>
        </w:rPr>
        <w:t>' במובן הטבעי</w:t>
      </w:r>
      <w:r w:rsidR="00130050">
        <w:rPr>
          <w:rFonts w:hint="cs"/>
          <w:rtl/>
        </w:rPr>
        <w:t xml:space="preserve"> מתחדשת רק אחרי שהשפע הגיע לתכליתו ונבראו ממנו הנבראים.</w:t>
      </w:r>
      <w:r w:rsidR="00D85352">
        <w:rPr>
          <w:rFonts w:hint="cs"/>
          <w:rtl/>
        </w:rPr>
        <w:t xml:space="preserve"> עצם השפעת השפע מצד עצמה, לפני שנבראו ממנה עצמים מוגדרים, עדיין אין בה את ההגדרה של דברים </w:t>
      </w:r>
      <w:r w:rsidR="009C463A">
        <w:rPr>
          <w:rFonts w:hint="cs"/>
          <w:rtl/>
        </w:rPr>
        <w:t>מסוימים</w:t>
      </w:r>
      <w:r w:rsidR="00D85352">
        <w:rPr>
          <w:rFonts w:hint="cs"/>
          <w:rtl/>
        </w:rPr>
        <w:t xml:space="preserve">, בעלי מהות, </w:t>
      </w:r>
      <w:r w:rsidR="00D0210B">
        <w:rPr>
          <w:rFonts w:hint="cs"/>
          <w:rtl/>
        </w:rPr>
        <w:t xml:space="preserve">ולכן גם מבחינת היותו מאציל אין מציאות לבורא. </w:t>
      </w:r>
      <w:r w:rsidR="00592960">
        <w:rPr>
          <w:rFonts w:hint="cs"/>
          <w:rtl/>
        </w:rPr>
        <w:t>השפע הופך לגופים בעלי מציאות רק אחרי שהתקבל בכלים. הכלים היינו החומר, והם מלשום כליה או כליון, כלומר סוף</w:t>
      </w:r>
      <w:r w:rsidR="000E28E6">
        <w:rPr>
          <w:rFonts w:hint="cs"/>
          <w:rtl/>
        </w:rPr>
        <w:t>, כלומר הגדרה.</w:t>
      </w:r>
      <w:r w:rsidR="00592960">
        <w:rPr>
          <w:rFonts w:hint="cs"/>
          <w:rtl/>
        </w:rPr>
        <w:t xml:space="preserve"> </w:t>
      </w:r>
      <w:r w:rsidR="00D06810">
        <w:rPr>
          <w:rFonts w:hint="cs"/>
          <w:rtl/>
        </w:rPr>
        <w:t xml:space="preserve">החומר </w:t>
      </w:r>
      <w:r w:rsidR="0040620A">
        <w:rPr>
          <w:rFonts w:hint="cs"/>
          <w:rtl/>
        </w:rPr>
        <w:t>מ</w:t>
      </w:r>
      <w:r w:rsidR="00D06810">
        <w:rPr>
          <w:rFonts w:hint="cs"/>
          <w:rtl/>
        </w:rPr>
        <w:t>קבל את השפע ו</w:t>
      </w:r>
      <w:r w:rsidR="0040620A">
        <w:rPr>
          <w:rFonts w:hint="cs"/>
          <w:rtl/>
        </w:rPr>
        <w:t xml:space="preserve">מכח טבעו </w:t>
      </w:r>
      <w:r w:rsidR="00D06810">
        <w:rPr>
          <w:rFonts w:hint="cs"/>
          <w:rtl/>
        </w:rPr>
        <w:t xml:space="preserve">נותן בו גבולות שמכוחם השפע נעשה עצמים מוגדרים, ורק אחרי שהם מוגדרים </w:t>
      </w:r>
      <w:r w:rsidR="000C76A4">
        <w:rPr>
          <w:rFonts w:hint="cs"/>
          <w:rtl/>
        </w:rPr>
        <w:t xml:space="preserve">הם נחשבים בעלי מציאות מצד ההגדרה של 'מציאות' טבעית. </w:t>
      </w:r>
      <w:r w:rsidR="0040620A">
        <w:rPr>
          <w:rFonts w:hint="cs"/>
          <w:rtl/>
        </w:rPr>
        <w:t>לכן אי אפשר לייחס מציאות לבורא גם לא מבחינת מה שהוא מ</w:t>
      </w:r>
      <w:r w:rsidR="000C269A">
        <w:rPr>
          <w:rFonts w:hint="cs"/>
          <w:rtl/>
        </w:rPr>
        <w:t xml:space="preserve">אציל שפע </w:t>
      </w:r>
      <w:r w:rsidR="0040620A">
        <w:rPr>
          <w:rFonts w:hint="cs"/>
          <w:rtl/>
        </w:rPr>
        <w:t xml:space="preserve">אל הבריאה. </w:t>
      </w:r>
    </w:p>
    <w:p w14:paraId="053DB97D" w14:textId="219D42F6" w:rsidR="002D7530" w:rsidRDefault="000C269A" w:rsidP="00D56458">
      <w:pPr>
        <w:pStyle w:val="FootnoteText"/>
      </w:pPr>
      <w:r>
        <w:rPr>
          <w:rFonts w:hint="cs"/>
          <w:rtl/>
        </w:rPr>
        <w:t xml:space="preserve">בעניין השפע </w:t>
      </w:r>
      <w:r w:rsidR="001F787A">
        <w:rPr>
          <w:rFonts w:hint="cs"/>
          <w:rtl/>
        </w:rPr>
        <w:t xml:space="preserve">(בערבית פיץ') </w:t>
      </w:r>
      <w:r w:rsidR="00A23B6F">
        <w:rPr>
          <w:rFonts w:hint="cs"/>
          <w:rtl/>
        </w:rPr>
        <w:t xml:space="preserve">שנקרא גם האצלה, עיין במורה נבוכים ב' י"ב. </w:t>
      </w:r>
    </w:p>
  </w:footnote>
  <w:footnote w:id="566">
    <w:p w14:paraId="0707ADF9" w14:textId="412A8C6A" w:rsidR="00E121A6" w:rsidRDefault="00E121A6">
      <w:pPr>
        <w:pStyle w:val="FootnoteText"/>
        <w:rPr>
          <w:rtl/>
        </w:rPr>
      </w:pPr>
      <w:r>
        <w:rPr>
          <w:rStyle w:val="FootnoteReference"/>
        </w:rPr>
        <w:footnoteRef/>
      </w:r>
      <w:r>
        <w:rPr>
          <w:rtl/>
        </w:rPr>
        <w:t xml:space="preserve"> </w:t>
      </w:r>
      <w:r w:rsidR="00D56458">
        <w:rPr>
          <w:rFonts w:hint="cs"/>
          <w:rtl/>
        </w:rPr>
        <w:t xml:space="preserve">שונה במינו היינו השוני </w:t>
      </w:r>
      <w:r w:rsidR="00A51A19">
        <w:rPr>
          <w:rFonts w:hint="cs"/>
          <w:rtl/>
        </w:rPr>
        <w:t xml:space="preserve">במין </w:t>
      </w:r>
      <w:r w:rsidR="00D56458">
        <w:rPr>
          <w:rFonts w:hint="cs"/>
          <w:rtl/>
        </w:rPr>
        <w:t>בין אדם לסוס, וזה כולל גם את השוני בסוג, כמו בין צמח או דומם לחי</w:t>
      </w:r>
      <w:r w:rsidR="00A51A19">
        <w:rPr>
          <w:rFonts w:hint="cs"/>
          <w:rtl/>
        </w:rPr>
        <w:t xml:space="preserve">. שונה במספר היינו השוני שבין ראובן לשמעון, שהוא לא מצד המין אלא מצד החומר שמחלק ביניהם </w:t>
      </w:r>
      <w:r w:rsidR="00F37723">
        <w:rPr>
          <w:rFonts w:hint="cs"/>
          <w:rtl/>
        </w:rPr>
        <w:t xml:space="preserve">מספרית </w:t>
      </w:r>
      <w:r w:rsidR="00A51A19">
        <w:rPr>
          <w:rFonts w:hint="cs"/>
          <w:rtl/>
        </w:rPr>
        <w:t xml:space="preserve">ועושה שהם </w:t>
      </w:r>
      <w:r w:rsidR="00F37723">
        <w:rPr>
          <w:rFonts w:hint="cs"/>
          <w:rtl/>
        </w:rPr>
        <w:t>ש</w:t>
      </w:r>
      <w:r w:rsidR="00A51A19">
        <w:rPr>
          <w:rFonts w:hint="cs"/>
          <w:rtl/>
        </w:rPr>
        <w:t xml:space="preserve">ניים למרות שצורתם אחת. </w:t>
      </w:r>
    </w:p>
    <w:p w14:paraId="33AEAB26" w14:textId="5653A081" w:rsidR="00913CFF" w:rsidRDefault="00913CFF">
      <w:pPr>
        <w:pStyle w:val="FootnoteText"/>
      </w:pPr>
      <w:r>
        <w:rPr>
          <w:rFonts w:hint="cs"/>
          <w:rtl/>
        </w:rPr>
        <w:t xml:space="preserve">אבן סינא מזהה כאן </w:t>
      </w:r>
      <w:r w:rsidR="006809EB">
        <w:rPr>
          <w:rFonts w:hint="cs"/>
          <w:rtl/>
        </w:rPr>
        <w:t>'</w:t>
      </w:r>
      <w:r>
        <w:rPr>
          <w:rFonts w:hint="cs"/>
          <w:rtl/>
        </w:rPr>
        <w:t>מציאות</w:t>
      </w:r>
      <w:r w:rsidR="006809EB">
        <w:rPr>
          <w:rFonts w:hint="cs"/>
          <w:rtl/>
        </w:rPr>
        <w:t>'</w:t>
      </w:r>
      <w:r>
        <w:rPr>
          <w:rFonts w:hint="cs"/>
          <w:rtl/>
        </w:rPr>
        <w:t xml:space="preserve"> עם </w:t>
      </w:r>
      <w:r w:rsidR="006809EB">
        <w:rPr>
          <w:rFonts w:hint="cs"/>
          <w:rtl/>
        </w:rPr>
        <w:t>'</w:t>
      </w:r>
      <w:r>
        <w:rPr>
          <w:rFonts w:hint="cs"/>
          <w:rtl/>
        </w:rPr>
        <w:t>טבע</w:t>
      </w:r>
      <w:r w:rsidR="006809EB">
        <w:rPr>
          <w:rFonts w:hint="cs"/>
          <w:rtl/>
        </w:rPr>
        <w:t>'</w:t>
      </w:r>
      <w:r>
        <w:rPr>
          <w:rFonts w:hint="cs"/>
          <w:rtl/>
        </w:rPr>
        <w:t xml:space="preserve">, וזה משום שמדובר </w:t>
      </w:r>
      <w:r w:rsidR="00AA6A0D">
        <w:rPr>
          <w:rFonts w:hint="cs"/>
          <w:rtl/>
        </w:rPr>
        <w:t xml:space="preserve">כאן </w:t>
      </w:r>
      <w:r>
        <w:rPr>
          <w:rFonts w:hint="cs"/>
          <w:rtl/>
        </w:rPr>
        <w:t>בהגדרה הטבעית של מציאות, שהיא של עצמים מוגדרים ולכן רבים</w:t>
      </w:r>
      <w:r w:rsidR="0065775A">
        <w:rPr>
          <w:rFonts w:hint="cs"/>
          <w:rtl/>
        </w:rPr>
        <w:t xml:space="preserve"> (הגדרה היא גבול בין דבר מוגדר לדבר מוגדר אחר, ומונח בזה ריבוי)</w:t>
      </w:r>
      <w:r w:rsidR="00852B79">
        <w:rPr>
          <w:rFonts w:hint="cs"/>
          <w:rtl/>
        </w:rPr>
        <w:t>. החומר מחלק את הע</w:t>
      </w:r>
      <w:r w:rsidR="00734BB7">
        <w:rPr>
          <w:rFonts w:hint="cs"/>
          <w:rtl/>
        </w:rPr>
        <w:t>צ</w:t>
      </w:r>
      <w:r w:rsidR="00852B79">
        <w:rPr>
          <w:rFonts w:hint="cs"/>
          <w:rtl/>
        </w:rPr>
        <w:t xml:space="preserve">מים, אם זה חומר מוחשי זו חלוקה מספרית כמו ראובן </w:t>
      </w:r>
      <w:r w:rsidR="00734BB7">
        <w:rPr>
          <w:rFonts w:hint="cs"/>
          <w:rtl/>
        </w:rPr>
        <w:t>ו</w:t>
      </w:r>
      <w:r w:rsidR="00852B79">
        <w:rPr>
          <w:rFonts w:hint="cs"/>
          <w:rtl/>
        </w:rPr>
        <w:t>שמעון, וה</w:t>
      </w:r>
      <w:r w:rsidR="00734BB7">
        <w:rPr>
          <w:rFonts w:hint="cs"/>
          <w:rtl/>
        </w:rPr>
        <w:t>חומר</w:t>
      </w:r>
      <w:r w:rsidR="00852B79">
        <w:rPr>
          <w:rFonts w:hint="cs"/>
          <w:rtl/>
        </w:rPr>
        <w:t xml:space="preserve"> </w:t>
      </w:r>
      <w:r w:rsidR="00AA6A0D">
        <w:rPr>
          <w:rFonts w:hint="cs"/>
          <w:rtl/>
        </w:rPr>
        <w:t>באופן רחב יותר</w:t>
      </w:r>
      <w:r w:rsidR="00852B79">
        <w:rPr>
          <w:rFonts w:hint="cs"/>
          <w:rtl/>
        </w:rPr>
        <w:t xml:space="preserve"> מכריח שהשפע הא</w:t>
      </w:r>
      <w:r w:rsidR="00734BB7">
        <w:rPr>
          <w:rFonts w:hint="cs"/>
          <w:rtl/>
        </w:rPr>
        <w:t>ל</w:t>
      </w:r>
      <w:r w:rsidR="00852B79">
        <w:rPr>
          <w:rFonts w:hint="cs"/>
          <w:rtl/>
        </w:rPr>
        <w:t xml:space="preserve">והי האחיד </w:t>
      </w:r>
      <w:r w:rsidR="00734BB7">
        <w:rPr>
          <w:rFonts w:hint="cs"/>
          <w:rtl/>
        </w:rPr>
        <w:t>יקבל גבולות, היינו כלים</w:t>
      </w:r>
      <w:r w:rsidR="00AA6A0D">
        <w:rPr>
          <w:rFonts w:hint="cs"/>
          <w:rtl/>
        </w:rPr>
        <w:t xml:space="preserve"> או 'מקבלים'</w:t>
      </w:r>
      <w:r w:rsidR="00734BB7">
        <w:rPr>
          <w:rFonts w:hint="cs"/>
          <w:rtl/>
        </w:rPr>
        <w:t>, ויימצאו ממנו נבראים מרובים מוגדרים. כי עצם מהות החומר הוא הגבולות ו</w:t>
      </w:r>
      <w:r w:rsidR="00AA6A0D">
        <w:rPr>
          <w:rFonts w:hint="cs"/>
          <w:rtl/>
        </w:rPr>
        <w:t>לא</w:t>
      </w:r>
      <w:r w:rsidR="00734BB7">
        <w:rPr>
          <w:rFonts w:hint="cs"/>
          <w:rtl/>
        </w:rPr>
        <w:t xml:space="preserve"> יתכן שיהיה בו דבר לא מוגבל, ואם השפע האלוהי מצטייר בחומר </w:t>
      </w:r>
      <w:r w:rsidR="00AA6A0D">
        <w:rPr>
          <w:rFonts w:hint="cs"/>
          <w:rtl/>
        </w:rPr>
        <w:t>ז</w:t>
      </w:r>
      <w:r w:rsidR="00734BB7">
        <w:rPr>
          <w:rFonts w:hint="cs"/>
          <w:rtl/>
        </w:rPr>
        <w:t>ה מחייב שלצורות האלה יהיו גבולות, היינו הגדרה ומהות, ומכאן ריבוי ושוני.</w:t>
      </w:r>
      <w:r w:rsidR="00AA6A0D">
        <w:rPr>
          <w:rFonts w:hint="cs"/>
          <w:rtl/>
        </w:rPr>
        <w:t xml:space="preserve"> </w:t>
      </w:r>
      <w:r w:rsidR="003824F1">
        <w:rPr>
          <w:rFonts w:hint="cs"/>
          <w:rtl/>
        </w:rPr>
        <w:t>הטבע הוא באופן כללי המהות של הדבר, צורתו, ולכן רק לנבראים הטבעיים שהם עצם שיש בו צורה וחומר, יש מציאות במובן הטבעי</w:t>
      </w:r>
      <w:r w:rsidR="00F41A1F">
        <w:rPr>
          <w:rFonts w:hint="cs"/>
          <w:rtl/>
        </w:rPr>
        <w:t>, ואפשר לקרוא לטבע מציאות ולהיפך, כמו שעושה כאן אבן סינא</w:t>
      </w:r>
      <w:r w:rsidR="003824F1">
        <w:rPr>
          <w:rFonts w:hint="cs"/>
          <w:rtl/>
        </w:rPr>
        <w:t xml:space="preserve">. </w:t>
      </w:r>
      <w:r w:rsidR="007D05C5">
        <w:rPr>
          <w:rFonts w:hint="cs"/>
          <w:rtl/>
        </w:rPr>
        <w:t xml:space="preserve">על המציאות של האחד, שהיא המציאות כמציאות, </w:t>
      </w:r>
      <w:r w:rsidR="00A76733">
        <w:rPr>
          <w:rFonts w:hint="cs"/>
          <w:rtl/>
        </w:rPr>
        <w:t xml:space="preserve">לפני שיש דברים מוגדרים שהם אלה שנמצאים, עיין </w:t>
      </w:r>
      <w:r w:rsidR="00A76733">
        <w:rPr>
          <w:rFonts w:hint="cs"/>
          <w:rtl/>
        </w:rPr>
        <w:t>מטאפיזיקה גמא פרק ב' ומטאפיזיקה זטא פרק ט"ז</w:t>
      </w:r>
      <w:r w:rsidR="00A00F3D">
        <w:rPr>
          <w:rFonts w:hint="cs"/>
          <w:rtl/>
        </w:rPr>
        <w:t xml:space="preserve">, ויש עוד הרבה מקומות במטאפיזיקה שאריסטו עוסק בזה, וזה הנושא העיקרי של </w:t>
      </w:r>
      <w:r w:rsidR="00BA4EEB">
        <w:rPr>
          <w:rFonts w:hint="cs"/>
          <w:rtl/>
        </w:rPr>
        <w:t>כל ספר המטאפיזיקה</w:t>
      </w:r>
      <w:r w:rsidR="00A00F3D">
        <w:rPr>
          <w:rFonts w:hint="cs"/>
          <w:rtl/>
        </w:rPr>
        <w:t xml:space="preserve">. </w:t>
      </w:r>
      <w:r w:rsidR="00734BB7">
        <w:rPr>
          <w:rFonts w:hint="cs"/>
          <w:rtl/>
        </w:rPr>
        <w:t xml:space="preserve"> </w:t>
      </w:r>
    </w:p>
  </w:footnote>
  <w:footnote w:id="567">
    <w:p w14:paraId="3D799D93" w14:textId="7D8EC71B" w:rsidR="00D1486C" w:rsidRDefault="00D1486C">
      <w:pPr>
        <w:pStyle w:val="FootnoteText"/>
      </w:pPr>
      <w:r>
        <w:rPr>
          <w:rStyle w:val="FootnoteReference"/>
        </w:rPr>
        <w:footnoteRef/>
      </w:r>
      <w:r>
        <w:rPr>
          <w:rtl/>
        </w:rPr>
        <w:t xml:space="preserve"> </w:t>
      </w:r>
      <w:r>
        <w:rPr>
          <w:rFonts w:hint="cs"/>
          <w:rtl/>
        </w:rPr>
        <w:t xml:space="preserve">אחר במין היינו אדם וסוס. אין מקום לומר שהמציאות הטבעית של אור בסוס המואר בקרני השמש קיימת בנפרד מהמציאות </w:t>
      </w:r>
      <w:r w:rsidR="005F2630">
        <w:rPr>
          <w:rFonts w:hint="cs"/>
          <w:rtl/>
        </w:rPr>
        <w:t>הטבעית של אור המאיר על אדם. כי האור לא נופל על מינים, כי בטבע המציאות של מינים היא משנית והיא נסמכת על המציאות של הפרטים החומריים</w:t>
      </w:r>
      <w:r w:rsidR="00E15BCE">
        <w:rPr>
          <w:rFonts w:hint="cs"/>
          <w:rtl/>
        </w:rPr>
        <w:t>. אלא האור נופל על ראובן ועל שמעון, שהם שונים זה מזה לא במין אלא במספר</w:t>
      </w:r>
      <w:r w:rsidR="00447A7C">
        <w:rPr>
          <w:rFonts w:hint="cs"/>
          <w:rtl/>
        </w:rPr>
        <w:t>,</w:t>
      </w:r>
      <w:r w:rsidR="00E15BCE">
        <w:rPr>
          <w:rFonts w:hint="cs"/>
          <w:rtl/>
        </w:rPr>
        <w:t xml:space="preserve"> והמציאות </w:t>
      </w:r>
      <w:r w:rsidR="000E1A3A">
        <w:rPr>
          <w:rFonts w:hint="cs"/>
          <w:rtl/>
        </w:rPr>
        <w:t xml:space="preserve">הטבעית </w:t>
      </w:r>
      <w:r w:rsidR="00E15BCE">
        <w:rPr>
          <w:rFonts w:hint="cs"/>
          <w:rtl/>
        </w:rPr>
        <w:t xml:space="preserve">של אור </w:t>
      </w:r>
      <w:r w:rsidR="000E1A3A">
        <w:rPr>
          <w:rFonts w:hint="cs"/>
          <w:rtl/>
        </w:rPr>
        <w:t xml:space="preserve">אצל ראובן </w:t>
      </w:r>
      <w:r w:rsidR="00F50779">
        <w:rPr>
          <w:rFonts w:hint="cs"/>
          <w:rtl/>
        </w:rPr>
        <w:t>היא אחרת</w:t>
      </w:r>
      <w:r w:rsidR="000E1A3A">
        <w:rPr>
          <w:rFonts w:hint="cs"/>
          <w:rtl/>
        </w:rPr>
        <w:t xml:space="preserve"> מהמציאות הטבעית של שמעון ששונה מראובן במספר</w:t>
      </w:r>
      <w:r w:rsidR="005F2630">
        <w:rPr>
          <w:rFonts w:hint="cs"/>
          <w:rtl/>
        </w:rPr>
        <w:t xml:space="preserve">. </w:t>
      </w:r>
      <w:r w:rsidR="00F50779">
        <w:rPr>
          <w:rFonts w:hint="cs"/>
          <w:rtl/>
        </w:rPr>
        <w:t xml:space="preserve">לכן אבן סינא אמר כאן </w:t>
      </w:r>
      <w:r w:rsidR="00447A7C">
        <w:rPr>
          <w:rFonts w:hint="cs"/>
          <w:rtl/>
        </w:rPr>
        <w:t>אחר</w:t>
      </w:r>
      <w:r w:rsidR="00F50779">
        <w:rPr>
          <w:rFonts w:hint="cs"/>
          <w:rtl/>
        </w:rPr>
        <w:t xml:space="preserve"> במספר, לציין שמדובר דווקא בשוני בין אינדיבידואלים ולא בשוני בין מינים או סוגים.</w:t>
      </w:r>
    </w:p>
  </w:footnote>
  <w:footnote w:id="568">
    <w:p w14:paraId="62E23C51" w14:textId="70447CF2" w:rsidR="00276690" w:rsidRDefault="00276690">
      <w:pPr>
        <w:pStyle w:val="FootnoteText"/>
      </w:pPr>
      <w:r>
        <w:rPr>
          <w:rStyle w:val="FootnoteReference"/>
        </w:rPr>
        <w:footnoteRef/>
      </w:r>
      <w:r>
        <w:rPr>
          <w:rtl/>
        </w:rPr>
        <w:t xml:space="preserve"> </w:t>
      </w:r>
      <w:r w:rsidR="00912E48">
        <w:rPr>
          <w:rFonts w:hint="cs"/>
          <w:rtl/>
        </w:rPr>
        <w:t>אבן סינא כתב כאן</w:t>
      </w:r>
      <w:r w:rsidR="000B370E">
        <w:rPr>
          <w:rFonts w:hint="cs"/>
          <w:rtl/>
        </w:rPr>
        <w:t xml:space="preserve"> </w:t>
      </w:r>
      <w:r w:rsidR="00912E48">
        <w:rPr>
          <w:rFonts w:hint="cs"/>
          <w:rtl/>
        </w:rPr>
        <w:t>"</w:t>
      </w:r>
      <w:r w:rsidR="000B370E">
        <w:rPr>
          <w:rFonts w:hint="cs"/>
          <w:rtl/>
        </w:rPr>
        <w:t>חומרים</w:t>
      </w:r>
      <w:r w:rsidR="00912E48">
        <w:rPr>
          <w:rFonts w:hint="cs"/>
          <w:rtl/>
        </w:rPr>
        <w:t>"</w:t>
      </w:r>
      <w:r w:rsidR="000B370E">
        <w:rPr>
          <w:rFonts w:hint="cs"/>
          <w:rtl/>
        </w:rPr>
        <w:t xml:space="preserve"> בלשון רבים, כי התרכובת של ארבעת היסודות שיוצרת את החומר של כל הגופים, אינה אחידה, אלא בכל מקום היא שונה </w:t>
      </w:r>
      <w:r w:rsidR="00F965C2">
        <w:rPr>
          <w:rFonts w:hint="cs"/>
          <w:rtl/>
        </w:rPr>
        <w:t xml:space="preserve">במינון של היסודות </w:t>
      </w:r>
      <w:r w:rsidR="009945C0">
        <w:rPr>
          <w:rFonts w:hint="cs"/>
          <w:rtl/>
        </w:rPr>
        <w:t xml:space="preserve">ונובע מזה שוני בהכנת תרכובת היסודות לקבל את ההשפעה של הצורות המופשטות האחידות, </w:t>
      </w:r>
      <w:r w:rsidR="000B370E">
        <w:rPr>
          <w:rFonts w:hint="cs"/>
          <w:rtl/>
        </w:rPr>
        <w:t>ו</w:t>
      </w:r>
      <w:r w:rsidR="006E19DE">
        <w:rPr>
          <w:rFonts w:hint="cs"/>
          <w:rtl/>
        </w:rPr>
        <w:t xml:space="preserve">שוני זה </w:t>
      </w:r>
      <w:r w:rsidR="000D4881">
        <w:rPr>
          <w:rFonts w:hint="cs"/>
          <w:rtl/>
        </w:rPr>
        <w:t>ממנו</w:t>
      </w:r>
      <w:r w:rsidR="006E19DE">
        <w:rPr>
          <w:rFonts w:hint="cs"/>
          <w:rtl/>
        </w:rPr>
        <w:t xml:space="preserve"> הריבוי של הגופים והתחלפותם</w:t>
      </w:r>
      <w:r w:rsidR="000B370E">
        <w:rPr>
          <w:rFonts w:hint="cs"/>
          <w:rtl/>
        </w:rPr>
        <w:t>.</w:t>
      </w:r>
    </w:p>
  </w:footnote>
  <w:footnote w:id="569">
    <w:p w14:paraId="3039B09D" w14:textId="77777777" w:rsidR="00977829" w:rsidRDefault="00065590">
      <w:pPr>
        <w:pStyle w:val="FootnoteText"/>
        <w:rPr>
          <w:rtl/>
        </w:rPr>
      </w:pPr>
      <w:r>
        <w:rPr>
          <w:rStyle w:val="FootnoteReference"/>
        </w:rPr>
        <w:footnoteRef/>
      </w:r>
      <w:r>
        <w:rPr>
          <w:rtl/>
        </w:rPr>
        <w:t xml:space="preserve"> </w:t>
      </w:r>
      <w:r>
        <w:rPr>
          <w:rFonts w:hint="cs"/>
          <w:rtl/>
        </w:rPr>
        <w:t xml:space="preserve">ההסתכלות של מי שאבן סינא חולק על דבריו היא שקרני האור </w:t>
      </w:r>
      <w:r w:rsidR="00AA2DCF">
        <w:rPr>
          <w:rFonts w:hint="cs"/>
          <w:rtl/>
        </w:rPr>
        <w:t>הן אחדות שהיא עצם השמש, והאחדות הזו יוצאת מהשמש ולפני שהיא מגיעה</w:t>
      </w:r>
      <w:r w:rsidR="001C3C18">
        <w:rPr>
          <w:rFonts w:hint="cs"/>
          <w:rtl/>
        </w:rPr>
        <w:t xml:space="preserve"> </w:t>
      </w:r>
      <w:r w:rsidR="00AA2DCF">
        <w:rPr>
          <w:rFonts w:hint="cs"/>
          <w:rtl/>
        </w:rPr>
        <w:t>לחו</w:t>
      </w:r>
      <w:r w:rsidR="001C3C18">
        <w:rPr>
          <w:rFonts w:hint="cs"/>
          <w:rtl/>
        </w:rPr>
        <w:t>מ</w:t>
      </w:r>
      <w:r w:rsidR="00AA2DCF">
        <w:rPr>
          <w:rFonts w:hint="cs"/>
          <w:rtl/>
        </w:rPr>
        <w:t xml:space="preserve">רים המקבלים היא קיימת בטבע </w:t>
      </w:r>
      <w:r w:rsidR="001C3C18">
        <w:rPr>
          <w:rFonts w:hint="cs"/>
          <w:rtl/>
        </w:rPr>
        <w:t>כאחדות, והאחדות הזו שקיימת בטבע כאחדות, הופכת לקיום מחולק אחרי שהחומר מקבל את האור. והרי שיש בטבע מציאות של אחדות, ומזה הטענה שי</w:t>
      </w:r>
      <w:r w:rsidR="00FD3FEA">
        <w:rPr>
          <w:rFonts w:hint="cs"/>
          <w:rtl/>
        </w:rPr>
        <w:t>ש</w:t>
      </w:r>
      <w:r w:rsidR="001C3C18">
        <w:rPr>
          <w:rFonts w:hint="cs"/>
          <w:rtl/>
        </w:rPr>
        <w:t xml:space="preserve"> מציאות טבעית לצורות </w:t>
      </w:r>
      <w:r w:rsidR="00FD3FEA">
        <w:rPr>
          <w:rFonts w:hint="cs"/>
          <w:rtl/>
        </w:rPr>
        <w:t>כצורות מופשטות, שהן כמו קרני השמש לפי שהגיעו אל החומרים</w:t>
      </w:r>
      <w:r w:rsidR="00B17FB6">
        <w:rPr>
          <w:rFonts w:hint="cs"/>
          <w:rtl/>
        </w:rPr>
        <w:t>,</w:t>
      </w:r>
      <w:r w:rsidR="00FD3FEA">
        <w:rPr>
          <w:rFonts w:hint="cs"/>
          <w:rtl/>
        </w:rPr>
        <w:t xml:space="preserve"> ש</w:t>
      </w:r>
      <w:r w:rsidR="00B17FB6">
        <w:rPr>
          <w:rFonts w:hint="cs"/>
          <w:rtl/>
        </w:rPr>
        <w:t xml:space="preserve">הן </w:t>
      </w:r>
      <w:r w:rsidR="00FD3FEA">
        <w:rPr>
          <w:rFonts w:hint="cs"/>
          <w:rtl/>
        </w:rPr>
        <w:t>קיימות בטבע כעצם אחד שהוא כללי, כמו הצורה שהיא יש אחד כללי</w:t>
      </w:r>
      <w:r w:rsidR="00B17FB6">
        <w:rPr>
          <w:rFonts w:hint="cs"/>
          <w:rtl/>
        </w:rPr>
        <w:t xml:space="preserve">, שקיים בטבע ככזה, וגם קיים כפרטי אחרי שהוא מתקבל בחומר. כלומר צורת 'אדם' קיימת בטבע כמופשטת, כלומר כללית, </w:t>
      </w:r>
      <w:r w:rsidR="000928BD">
        <w:rPr>
          <w:rFonts w:hint="cs"/>
          <w:rtl/>
        </w:rPr>
        <w:t xml:space="preserve">משותפת לראובן ושמעון. ואחר כך גם קיימת בטבע באופן מפורט, דהיינו שראובן הוא אדם ושמעון הוא אדם. </w:t>
      </w:r>
    </w:p>
    <w:p w14:paraId="36BD838D" w14:textId="77777777" w:rsidR="004C0716" w:rsidRDefault="00DF2F8E">
      <w:pPr>
        <w:pStyle w:val="FootnoteText"/>
        <w:rPr>
          <w:rtl/>
        </w:rPr>
      </w:pPr>
      <w:r>
        <w:rPr>
          <w:rFonts w:hint="cs"/>
          <w:rtl/>
        </w:rPr>
        <w:t xml:space="preserve">לכאורה </w:t>
      </w:r>
      <w:r w:rsidR="00977829">
        <w:rPr>
          <w:rFonts w:hint="cs"/>
          <w:rtl/>
        </w:rPr>
        <w:t xml:space="preserve">יש הכרח הגיוני לשיטה </w:t>
      </w:r>
      <w:r>
        <w:rPr>
          <w:rFonts w:hint="cs"/>
          <w:rtl/>
        </w:rPr>
        <w:t>שאבן סינא חולק עליה</w:t>
      </w:r>
      <w:r w:rsidR="00977829">
        <w:rPr>
          <w:rFonts w:hint="cs"/>
          <w:rtl/>
        </w:rPr>
        <w:t>, כי אם אין מציאות לצורת 'אדם' הכללית, אי</w:t>
      </w:r>
      <w:r w:rsidR="00E666BE">
        <w:rPr>
          <w:rFonts w:hint="cs"/>
          <w:rtl/>
        </w:rPr>
        <w:t>ך</w:t>
      </w:r>
      <w:r w:rsidR="00977829">
        <w:rPr>
          <w:rFonts w:hint="cs"/>
          <w:rtl/>
        </w:rPr>
        <w:t xml:space="preserve"> יתכן שראובן </w:t>
      </w:r>
      <w:r w:rsidR="00E666BE">
        <w:rPr>
          <w:rFonts w:hint="cs"/>
          <w:rtl/>
        </w:rPr>
        <w:t xml:space="preserve">יש בו צורת אדם ושמעון יש בו צורת אדם. הרי צורת אדם של ראובן ושל שמעון היא אחת לשניהם, כי היא מאחדת את שניהם להיות 'אדם'. </w:t>
      </w:r>
      <w:r w:rsidR="00481AF8">
        <w:rPr>
          <w:rFonts w:hint="cs"/>
          <w:rtl/>
        </w:rPr>
        <w:t>ההבדל בין ראובן לשמעון אינו כמו הבדל בין ראובן לסוס פלוני, ומו</w:t>
      </w:r>
      <w:r>
        <w:rPr>
          <w:rFonts w:hint="cs"/>
          <w:rtl/>
        </w:rPr>
        <w:t>כ</w:t>
      </w:r>
      <w:r w:rsidR="00481AF8">
        <w:rPr>
          <w:rFonts w:hint="cs"/>
          <w:rtl/>
        </w:rPr>
        <w:t xml:space="preserve">רח שצורת ראובן וצורת שמעון אינן צורות פרטיות לגמרי לזה לחוד ולזה לחוד, כי אז גם לסוס פלוני יש את צורתו </w:t>
      </w:r>
      <w:r>
        <w:rPr>
          <w:rFonts w:hint="cs"/>
          <w:rtl/>
        </w:rPr>
        <w:t xml:space="preserve">הפרטית </w:t>
      </w:r>
      <w:r w:rsidR="00481AF8">
        <w:rPr>
          <w:rFonts w:hint="cs"/>
          <w:rtl/>
        </w:rPr>
        <w:t>שלו ואין שום דבר שמאחד את בני האדם להב</w:t>
      </w:r>
      <w:r>
        <w:rPr>
          <w:rFonts w:hint="cs"/>
          <w:rtl/>
        </w:rPr>
        <w:t>דיל</w:t>
      </w:r>
      <w:r w:rsidR="00481AF8">
        <w:rPr>
          <w:rFonts w:hint="cs"/>
          <w:rtl/>
        </w:rPr>
        <w:t xml:space="preserve"> את כולם כאחד מהסוסים. </w:t>
      </w:r>
      <w:r w:rsidR="00552DA9">
        <w:rPr>
          <w:rFonts w:hint="cs"/>
          <w:rtl/>
        </w:rPr>
        <w:t xml:space="preserve">אם אין מציאות לצורה כשלעצמה כלל, איך מתחדש שיש לה מציאות אצל ראובן ואצל שמעון שבהם יש בה בחינה של כלל שהיא מאחדת את שניהם למין אחד. </w:t>
      </w:r>
      <w:r w:rsidR="00581CB9">
        <w:rPr>
          <w:rFonts w:hint="cs"/>
          <w:rtl/>
        </w:rPr>
        <w:t xml:space="preserve">אם המציאות של הצורה לא קודמת למציאות הפרטית של ראובן ושמעון, אלא המציאות הפרטית של ראובן ושמעון קודמת, הצורה מתחילה להתקיים כעניין פרטי של ראובן לחוד ושמעון לחוד, </w:t>
      </w:r>
      <w:r w:rsidR="004B4D47">
        <w:rPr>
          <w:rFonts w:hint="cs"/>
          <w:rtl/>
        </w:rPr>
        <w:t>שהרי היא בתולדה מקיומם הפרטי ולא קודמת לו, ואז ה</w:t>
      </w:r>
      <w:r w:rsidR="00581CB9">
        <w:rPr>
          <w:rFonts w:hint="cs"/>
          <w:rtl/>
        </w:rPr>
        <w:t>יא לא תוכל לאחד א</w:t>
      </w:r>
      <w:r w:rsidR="004B4D47">
        <w:rPr>
          <w:rFonts w:hint="cs"/>
          <w:rtl/>
        </w:rPr>
        <w:t>ת ראובן ושמעון</w:t>
      </w:r>
      <w:r w:rsidR="00581CB9">
        <w:rPr>
          <w:rFonts w:hint="cs"/>
          <w:rtl/>
        </w:rPr>
        <w:t xml:space="preserve"> למין כללי.</w:t>
      </w:r>
    </w:p>
    <w:p w14:paraId="1CA551CD" w14:textId="77777777" w:rsidR="0044291E" w:rsidRDefault="004C0716">
      <w:pPr>
        <w:pStyle w:val="FootnoteText"/>
        <w:rPr>
          <w:rtl/>
        </w:rPr>
      </w:pPr>
      <w:r>
        <w:rPr>
          <w:rFonts w:hint="cs"/>
          <w:rtl/>
        </w:rPr>
        <w:t>אלא וודאי אבן סינא לא חולק על כך שהצורה המופשטת קיימת כשלעצמה</w:t>
      </w:r>
      <w:r w:rsidR="008C7F31">
        <w:rPr>
          <w:rFonts w:hint="cs"/>
          <w:rtl/>
        </w:rPr>
        <w:t xml:space="preserve">, וקיומה קודם לקיום הפרטים. טענתו רק שקיומה של הצורה המופשטת אינו בתוך הטבע ואינו בהגדרת הקיום מצד הטבע. </w:t>
      </w:r>
      <w:r w:rsidR="00795EDE">
        <w:rPr>
          <w:rFonts w:hint="cs"/>
          <w:rtl/>
        </w:rPr>
        <w:t>יש למילה 'קיים' יותר ממובן אחד. למשל אם אדם מת אז מצד הטבע הוא לא קיים יותר, לכן אשתו נישאת לאחר בלי צורך בגט ממנו, ובניו נוחלים את נכסיו בלי צורך בקניין ממנו</w:t>
      </w:r>
      <w:r w:rsidR="007F50CA">
        <w:rPr>
          <w:rFonts w:hint="cs"/>
          <w:rtl/>
        </w:rPr>
        <w:t xml:space="preserve">, ואומרים שהוא איננו, וסופו שנשכח מהלב. </w:t>
      </w:r>
      <w:r w:rsidR="00B37F2C">
        <w:rPr>
          <w:rFonts w:hint="cs"/>
          <w:rtl/>
        </w:rPr>
        <w:t xml:space="preserve">ביחד עם זה אנו אומרים שהוא בעולם הבא ושם נפשו יושבת עם הצדיקים ונהנית מזיו השכינה ושם הוא חי יותר ממה שהיה חי בעולם החומרי. </w:t>
      </w:r>
      <w:r w:rsidR="00F55496">
        <w:rPr>
          <w:rFonts w:hint="cs"/>
          <w:rtl/>
        </w:rPr>
        <w:t>ואם הוא חי לכאורה צריך שאשתו תהיה עגונה כמו מי שבעלה נסע למדינת הים.</w:t>
      </w:r>
      <w:r w:rsidR="00DA564E">
        <w:rPr>
          <w:rFonts w:hint="cs"/>
          <w:rtl/>
        </w:rPr>
        <w:t xml:space="preserve"> אלא פשוט שיש שני מובנים של חי, יש מובן טבעי ששם מוגדר שרק מי שנפשו בגוף חומרי נחשב חי ונחשב נמצא. </w:t>
      </w:r>
      <w:r w:rsidR="00163207">
        <w:rPr>
          <w:rFonts w:hint="cs"/>
          <w:rtl/>
        </w:rPr>
        <w:t xml:space="preserve">ויש מובן שאינו בתוך גדרי הטבע ששם המובן של נמצא או חי הוא שנפשו המופשטת נמצאת כצורה מופשטת מחומר. </w:t>
      </w:r>
    </w:p>
    <w:p w14:paraId="3FB4EC36" w14:textId="77777777" w:rsidR="00176779" w:rsidRDefault="0044291E">
      <w:pPr>
        <w:pStyle w:val="FootnoteText"/>
        <w:rPr>
          <w:rtl/>
        </w:rPr>
      </w:pPr>
      <w:r>
        <w:rPr>
          <w:rFonts w:hint="cs"/>
          <w:rtl/>
        </w:rPr>
        <w:t>בפיזיקה המו</w:t>
      </w:r>
      <w:r w:rsidR="00176779">
        <w:rPr>
          <w:rFonts w:hint="cs"/>
          <w:rtl/>
        </w:rPr>
        <w:t>בן</w:t>
      </w:r>
      <w:r>
        <w:rPr>
          <w:rFonts w:hint="cs"/>
          <w:rtl/>
        </w:rPr>
        <w:t xml:space="preserve"> של נמצא הוא שהתקבל בחומר והוא גוף חומרי, ובמטאפיזיקה המובן של נמצא הוא </w:t>
      </w:r>
      <w:r w:rsidR="00176779">
        <w:rPr>
          <w:rFonts w:hint="cs"/>
          <w:rtl/>
        </w:rPr>
        <w:t xml:space="preserve">נמצא </w:t>
      </w:r>
      <w:r>
        <w:rPr>
          <w:rFonts w:hint="cs"/>
          <w:rtl/>
        </w:rPr>
        <w:t>כצורה מופשטת.</w:t>
      </w:r>
    </w:p>
    <w:p w14:paraId="0B1F96DA" w14:textId="77777777" w:rsidR="00176779" w:rsidRDefault="00176779">
      <w:pPr>
        <w:pStyle w:val="FootnoteText"/>
        <w:rPr>
          <w:rtl/>
        </w:rPr>
      </w:pPr>
      <w:r>
        <w:rPr>
          <w:rFonts w:hint="cs"/>
          <w:rtl/>
        </w:rPr>
        <w:t>וכמו שכתב הרמב"ם באגרת תחיית המתים:</w:t>
      </w:r>
    </w:p>
    <w:p w14:paraId="33CDFE10" w14:textId="77777777" w:rsidR="00C90151" w:rsidRDefault="00CF0AEF" w:rsidP="00C90151">
      <w:pPr>
        <w:pStyle w:val="FootnoteText"/>
        <w:rPr>
          <w:rtl/>
        </w:rPr>
      </w:pPr>
      <w:r>
        <w:rPr>
          <w:rFonts w:hint="cs"/>
          <w:rtl/>
        </w:rPr>
        <w:t>"</w:t>
      </w:r>
      <w:r>
        <w:rPr>
          <w:rtl/>
        </w:rPr>
        <w:t xml:space="preserve">מה שיעלה בדמיון ההמון אשר לא יאמינו שיש מציאות חזקה רק לגוף ומה שאינו גוף אבל הוא בגוף, רצה לומר כמקרים הוא גם כן נמצא אצלם אבל אין חזקתו במציאותו כחוזק הגוף. ואולם מה שאינו גוף ולא מקרה בגוף אינו נמצא אצל הסכלים אשר הם בלא ספק, אף על פי שהזקינו, גמולי מחלב עתיקי משדים, ומפני זה יאמינו רובם שהשם גוף אצלם, שאם לא יהיה גוף אינו נמצא. ואמנם הנקראים חכמים באמת, לא על דרך העברה, הנה התבאר אצלם, שכל נבדל מן החומר הוא יותר חזק המציאות מבעל החומר, ואין ראוי לומר יותר חזק, אבל מציאות הנבדל יותר </w:t>
      </w:r>
      <w:r>
        <w:rPr>
          <w:rtl/>
        </w:rPr>
        <w:t>אמתית, מפני שלא ישיגהו אחד מאופני השנוי, והם אשר התבאר אצלם במופת שהשם אינו גוף, ומפני זה מדרגת מציאותו יתעלה בתכלית החזוק. וכן כל נברא נבדל, רוצה לומר המלאכים והשכל, הוא במציאותו חזק מאד, קיים יותר מכל גוף, ומפני זה נאמין אנחנו שהמלאכים אינם גופות, ושבני העולם הבא נפשות נבדלות, רוצה לומר דעות. וכבר בארנו ראיות מן התורה על זה במאמרנו המכונה "מורה הנבוכים"</w:t>
      </w:r>
      <w:r>
        <w:rPr>
          <w:rFonts w:hint="cs"/>
          <w:rtl/>
        </w:rPr>
        <w:t>"</w:t>
      </w:r>
    </w:p>
    <w:p w14:paraId="72F94F9E" w14:textId="77777777" w:rsidR="00C90151" w:rsidRDefault="00C90151" w:rsidP="00C90151">
      <w:pPr>
        <w:pStyle w:val="FootnoteText"/>
        <w:rPr>
          <w:rtl/>
        </w:rPr>
      </w:pPr>
    </w:p>
    <w:p w14:paraId="3769F5B1" w14:textId="77777777" w:rsidR="005164F8" w:rsidRDefault="002A4A76" w:rsidP="00C90151">
      <w:pPr>
        <w:pStyle w:val="FootnoteText"/>
        <w:rPr>
          <w:rtl/>
        </w:rPr>
      </w:pPr>
      <w:r>
        <w:rPr>
          <w:rFonts w:hint="cs"/>
          <w:rtl/>
        </w:rPr>
        <w:t xml:space="preserve">יש מהחוקרים שטעו בזה וחשבו שיש </w:t>
      </w:r>
      <w:r w:rsidR="00220C0F">
        <w:rPr>
          <w:rFonts w:hint="cs"/>
          <w:rtl/>
        </w:rPr>
        <w:t>בשאלה על הקיום הנ</w:t>
      </w:r>
      <w:r w:rsidR="00BA23D3">
        <w:rPr>
          <w:rFonts w:hint="cs"/>
          <w:rtl/>
        </w:rPr>
        <w:t>פרד</w:t>
      </w:r>
      <w:r w:rsidR="00220C0F">
        <w:rPr>
          <w:rFonts w:hint="cs"/>
          <w:rtl/>
        </w:rPr>
        <w:t xml:space="preserve"> של הצורות המופשטות</w:t>
      </w:r>
      <w:r>
        <w:rPr>
          <w:rFonts w:hint="cs"/>
          <w:rtl/>
        </w:rPr>
        <w:t xml:space="preserve"> מחלוקת בין אפלטון לאריסטו, ושהדעה שאבן סינא חולק עליה כאן היא דעה ניאופלטונית, ושאבן סינא כאן מבטא את דעת אריסטו שחולק על זה. </w:t>
      </w:r>
      <w:r w:rsidR="00BA23D3">
        <w:rPr>
          <w:rFonts w:hint="cs"/>
          <w:rtl/>
        </w:rPr>
        <w:t xml:space="preserve">ובאמת פשוט שאין שום מחלוקת בעניין זה, ויש הרבה מאוד ראיות חותכות מאריסטו שהוא סבור שיש מציאות לצורות המופשטות כלשעצמן. </w:t>
      </w:r>
      <w:r w:rsidR="00016DCB">
        <w:rPr>
          <w:rFonts w:hint="cs"/>
          <w:rtl/>
        </w:rPr>
        <w:t xml:space="preserve">יש כאן רק הדגשה שאין לערב את הפיזיקה עם המטאפיזיקה, ויש לשמור על הגדרות המציאות של כל מדע בתוך המסגרת שלו. </w:t>
      </w:r>
    </w:p>
    <w:p w14:paraId="5BF07E29" w14:textId="30F520D6" w:rsidR="00F41956" w:rsidRDefault="005164F8" w:rsidP="00F41956">
      <w:pPr>
        <w:pStyle w:val="FootnoteText"/>
        <w:rPr>
          <w:rtl/>
        </w:rPr>
      </w:pPr>
      <w:r>
        <w:rPr>
          <w:rFonts w:hint="cs"/>
          <w:rtl/>
        </w:rPr>
        <w:t>עיין לעיל פרק ה' מ</w:t>
      </w:r>
      <w:r w:rsidR="00C85A1F">
        <w:rPr>
          <w:rFonts w:hint="cs"/>
          <w:rtl/>
        </w:rPr>
        <w:t xml:space="preserve"> </w:t>
      </w:r>
      <w:hyperlink w:anchor="_1.5.5" w:history="1">
        <w:r w:rsidR="00C85A1F" w:rsidRPr="00225425">
          <w:rPr>
            <w:rStyle w:val="Hyperlink"/>
            <w:rFonts w:hint="cs"/>
            <w:rtl/>
          </w:rPr>
          <w:t>1.5.5</w:t>
        </w:r>
      </w:hyperlink>
      <w:r>
        <w:rPr>
          <w:rFonts w:hint="cs"/>
          <w:rtl/>
        </w:rPr>
        <w:t xml:space="preserve"> </w:t>
      </w:r>
      <w:r w:rsidR="00C85A1F">
        <w:rPr>
          <w:rFonts w:hint="cs"/>
          <w:rtl/>
        </w:rPr>
        <w:t>עד 1.5.7</w:t>
      </w:r>
      <w:r>
        <w:rPr>
          <w:rFonts w:hint="cs"/>
          <w:rtl/>
        </w:rPr>
        <w:t xml:space="preserve">, </w:t>
      </w:r>
      <w:r w:rsidR="00225425">
        <w:rPr>
          <w:rFonts w:hint="cs"/>
          <w:rtl/>
        </w:rPr>
        <w:t>ובהערות שם,</w:t>
      </w:r>
      <w:r w:rsidR="00962294">
        <w:rPr>
          <w:rFonts w:hint="cs"/>
          <w:rtl/>
        </w:rPr>
        <w:t xml:space="preserve"> שם נכתבה</w:t>
      </w:r>
      <w:r w:rsidR="00006F07">
        <w:rPr>
          <w:rFonts w:hint="cs"/>
          <w:rtl/>
        </w:rPr>
        <w:t xml:space="preserve"> ה</w:t>
      </w:r>
      <w:r>
        <w:rPr>
          <w:rFonts w:hint="cs"/>
          <w:rtl/>
        </w:rPr>
        <w:t>מחלוקת שבין אבן סינא לפילופונוס, שגם היא סובבת סביב הנושא של עירוב התחומים בין הפיזיקה למטאפיזיקה</w:t>
      </w:r>
      <w:r w:rsidR="006B6CA7">
        <w:rPr>
          <w:rFonts w:hint="cs"/>
          <w:rtl/>
        </w:rPr>
        <w:t xml:space="preserve">, </w:t>
      </w:r>
      <w:r w:rsidR="00006F07">
        <w:rPr>
          <w:rFonts w:hint="cs"/>
          <w:rtl/>
        </w:rPr>
        <w:t xml:space="preserve">והיא אותה מחלוקת שיש כאן בין אבן סינא ובין מי שהוא חולק עליו, </w:t>
      </w:r>
      <w:r w:rsidR="00962294">
        <w:rPr>
          <w:rFonts w:hint="cs"/>
          <w:rtl/>
        </w:rPr>
        <w:t xml:space="preserve">והנושא בשני המקומות הוא מציאות הצורות המופשטות, </w:t>
      </w:r>
      <w:r w:rsidR="00006F07">
        <w:rPr>
          <w:rFonts w:hint="cs"/>
          <w:rtl/>
        </w:rPr>
        <w:t xml:space="preserve">אם כי באופן </w:t>
      </w:r>
      <w:r w:rsidR="009C463A">
        <w:rPr>
          <w:rFonts w:hint="cs"/>
          <w:rtl/>
        </w:rPr>
        <w:t>מסוים</w:t>
      </w:r>
      <w:r w:rsidR="00006F07">
        <w:rPr>
          <w:rFonts w:hint="cs"/>
          <w:rtl/>
        </w:rPr>
        <w:t xml:space="preserve"> לשון מי שאבן סינא חולק עליו כאן אינה </w:t>
      </w:r>
      <w:r w:rsidR="002223E4">
        <w:rPr>
          <w:rFonts w:hint="cs"/>
          <w:rtl/>
        </w:rPr>
        <w:t xml:space="preserve">לשון שכתובה בפילופונוס, אבל היא אותה שיטה. </w:t>
      </w:r>
      <w:r w:rsidR="006B6CA7">
        <w:rPr>
          <w:rFonts w:hint="cs"/>
          <w:rtl/>
        </w:rPr>
        <w:t xml:space="preserve">שם הארכתי </w:t>
      </w:r>
      <w:r w:rsidR="00F41956">
        <w:rPr>
          <w:rFonts w:hint="cs"/>
          <w:rtl/>
        </w:rPr>
        <w:t>בכמה הערות</w:t>
      </w:r>
      <w:r w:rsidR="006B6CA7">
        <w:rPr>
          <w:rFonts w:hint="cs"/>
          <w:rtl/>
        </w:rPr>
        <w:t xml:space="preserve"> בביאור החשיבות של שמירת המסגרת של כל מדע בתוך עצמו ושמירה לא לערב ביניהם</w:t>
      </w:r>
      <w:r w:rsidR="00652B94">
        <w:rPr>
          <w:rFonts w:hint="cs"/>
          <w:rtl/>
        </w:rPr>
        <w:t xml:space="preserve"> וביאור ב</w:t>
      </w:r>
      <w:r w:rsidR="00F41956">
        <w:rPr>
          <w:rFonts w:hint="cs"/>
          <w:rtl/>
        </w:rPr>
        <w:t>תוכן ה</w:t>
      </w:r>
      <w:r w:rsidR="00652B94">
        <w:rPr>
          <w:rFonts w:hint="cs"/>
          <w:rtl/>
        </w:rPr>
        <w:t>מחלוקת</w:t>
      </w:r>
      <w:r w:rsidR="006B6CA7">
        <w:rPr>
          <w:rFonts w:hint="cs"/>
          <w:rtl/>
        </w:rPr>
        <w:t>.</w:t>
      </w:r>
    </w:p>
    <w:p w14:paraId="69A98B02" w14:textId="790F0AC8" w:rsidR="00065590" w:rsidRDefault="00652B94" w:rsidP="00F41956">
      <w:pPr>
        <w:pStyle w:val="FootnoteText"/>
      </w:pPr>
      <w:r>
        <w:rPr>
          <w:rFonts w:hint="cs"/>
          <w:rtl/>
        </w:rPr>
        <w:t xml:space="preserve">החוקרים לא הבינו שיש </w:t>
      </w:r>
      <w:r w:rsidR="000114D2">
        <w:rPr>
          <w:rFonts w:hint="cs"/>
          <w:rtl/>
        </w:rPr>
        <w:t xml:space="preserve">שני מובנים ל'מציאות', מובן פיזי ומובן מטאפיזי, ולכן שיבשו לגמרי את הבנת כל העניין, ויש </w:t>
      </w:r>
      <w:r w:rsidR="00F41956">
        <w:rPr>
          <w:rFonts w:hint="cs"/>
          <w:rtl/>
        </w:rPr>
        <w:t>הרבה מאוד</w:t>
      </w:r>
      <w:r w:rsidR="000114D2">
        <w:rPr>
          <w:rFonts w:hint="cs"/>
          <w:rtl/>
        </w:rPr>
        <w:t xml:space="preserve"> סתירות גמורות לדבריהם מלשונות אריסטו ואפלטון והבאים אחריהם מהקדמונים. </w:t>
      </w:r>
      <w:r w:rsidR="00D424FE">
        <w:rPr>
          <w:rFonts w:hint="cs"/>
          <w:rtl/>
        </w:rPr>
        <w:t xml:space="preserve"> </w:t>
      </w:r>
    </w:p>
  </w:footnote>
  <w:footnote w:id="570">
    <w:p w14:paraId="3D62137F" w14:textId="77777777" w:rsidR="00BE1EA4" w:rsidRDefault="003E5F1E">
      <w:pPr>
        <w:pStyle w:val="FootnoteText"/>
        <w:rPr>
          <w:rtl/>
        </w:rPr>
      </w:pPr>
      <w:r>
        <w:rPr>
          <w:rStyle w:val="FootnoteReference"/>
        </w:rPr>
        <w:footnoteRef/>
      </w:r>
      <w:r>
        <w:rPr>
          <w:rtl/>
        </w:rPr>
        <w:t xml:space="preserve"> </w:t>
      </w:r>
      <w:r>
        <w:rPr>
          <w:rFonts w:hint="cs"/>
          <w:rtl/>
        </w:rPr>
        <w:t>אם אין מציאות עצמאית לצורות המופשטות</w:t>
      </w:r>
      <w:r w:rsidR="00AF3225">
        <w:rPr>
          <w:rFonts w:hint="cs"/>
          <w:rtl/>
        </w:rPr>
        <w:t xml:space="preserve"> (</w:t>
      </w:r>
      <w:r w:rsidR="00F253F9">
        <w:rPr>
          <w:rFonts w:hint="cs"/>
          <w:rtl/>
        </w:rPr>
        <w:t>האידיאות האפלטוניות</w:t>
      </w:r>
      <w:r w:rsidR="00AF3225">
        <w:rPr>
          <w:rFonts w:hint="cs"/>
          <w:rtl/>
        </w:rPr>
        <w:t>)</w:t>
      </w:r>
      <w:r>
        <w:rPr>
          <w:rFonts w:hint="cs"/>
          <w:rtl/>
        </w:rPr>
        <w:t>, בלי שהן ב</w:t>
      </w:r>
      <w:r w:rsidR="00F253F9">
        <w:rPr>
          <w:rFonts w:hint="cs"/>
          <w:rtl/>
        </w:rPr>
        <w:t>גוף החומרי</w:t>
      </w:r>
      <w:r>
        <w:rPr>
          <w:rFonts w:hint="cs"/>
          <w:rtl/>
        </w:rPr>
        <w:t xml:space="preserve">, </w:t>
      </w:r>
      <w:r w:rsidR="00067DF2">
        <w:rPr>
          <w:rFonts w:hint="cs"/>
          <w:rtl/>
        </w:rPr>
        <w:t xml:space="preserve">אז הריבוי של הגופים יהיה גם אם החומר המקבל יהיה אחד, כלומר אחיד והומוגני. </w:t>
      </w:r>
      <w:r w:rsidR="00F253F9">
        <w:rPr>
          <w:rFonts w:hint="cs"/>
          <w:rtl/>
        </w:rPr>
        <w:t xml:space="preserve">כי אם יש מציאות לצורה רק כשהיא בגוף, </w:t>
      </w:r>
      <w:r w:rsidR="00985DF2">
        <w:rPr>
          <w:rFonts w:hint="cs"/>
          <w:rtl/>
        </w:rPr>
        <w:t xml:space="preserve">הרי ביסוד </w:t>
      </w:r>
      <w:r w:rsidR="00161A16">
        <w:rPr>
          <w:rFonts w:hint="cs"/>
          <w:rtl/>
        </w:rPr>
        <w:t xml:space="preserve">והתחלת </w:t>
      </w:r>
      <w:r w:rsidR="00985DF2">
        <w:rPr>
          <w:rFonts w:hint="cs"/>
          <w:rtl/>
        </w:rPr>
        <w:t>מציאותה היא צורת ראובן</w:t>
      </w:r>
      <w:r>
        <w:rPr>
          <w:rFonts w:hint="cs"/>
          <w:rtl/>
        </w:rPr>
        <w:t xml:space="preserve"> </w:t>
      </w:r>
      <w:r w:rsidR="00161A16">
        <w:rPr>
          <w:rFonts w:hint="cs"/>
          <w:rtl/>
        </w:rPr>
        <w:t>וצורת שמעון, ו</w:t>
      </w:r>
      <w:r w:rsidR="00666EDF">
        <w:rPr>
          <w:rFonts w:hint="cs"/>
          <w:rtl/>
        </w:rPr>
        <w:t>לא</w:t>
      </w:r>
      <w:r w:rsidR="00161A16">
        <w:rPr>
          <w:rFonts w:hint="cs"/>
          <w:rtl/>
        </w:rPr>
        <w:t xml:space="preserve"> צורה אחת</w:t>
      </w:r>
      <w:r w:rsidR="00666EDF">
        <w:rPr>
          <w:rFonts w:hint="cs"/>
          <w:rtl/>
        </w:rPr>
        <w:t xml:space="preserve"> כללית (צורה כללית פירושו שהיא מופשטת מחומר, וזה הרי הנחנו שאינו נמצא), </w:t>
      </w:r>
      <w:r w:rsidR="00161A16">
        <w:rPr>
          <w:rFonts w:hint="cs"/>
          <w:rtl/>
        </w:rPr>
        <w:t>ומזה כבר יהיה הריבוי וההתחלפות של ראובן ושמעון</w:t>
      </w:r>
      <w:r w:rsidR="00A614BC">
        <w:rPr>
          <w:rFonts w:hint="cs"/>
          <w:rtl/>
        </w:rPr>
        <w:t>, גם אם החומר שלהם אחד</w:t>
      </w:r>
      <w:r w:rsidR="00161A16">
        <w:rPr>
          <w:rFonts w:hint="cs"/>
          <w:rtl/>
        </w:rPr>
        <w:t xml:space="preserve">. </w:t>
      </w:r>
    </w:p>
    <w:p w14:paraId="2B1FB8E0" w14:textId="77777777" w:rsidR="00312C4A" w:rsidRDefault="00A614BC" w:rsidP="00312C4A">
      <w:pPr>
        <w:pStyle w:val="FootnoteText"/>
        <w:rPr>
          <w:rtl/>
        </w:rPr>
      </w:pPr>
      <w:r>
        <w:rPr>
          <w:rFonts w:hint="cs"/>
          <w:rtl/>
        </w:rPr>
        <w:t>כדי לשלול פירוש בדבריו</w:t>
      </w:r>
      <w:r w:rsidR="003C0BD6">
        <w:rPr>
          <w:rFonts w:hint="cs"/>
          <w:rtl/>
        </w:rPr>
        <w:t xml:space="preserve"> המפרש שאין מציאות לצורות המופשטות בכל מובן של 'מציאות' (ולא רק כפי הפירוש הנכון שרק במובן הטבעי של 'מציאות' אין להן מציאות)</w:t>
      </w:r>
      <w:r>
        <w:rPr>
          <w:rFonts w:hint="cs"/>
          <w:rtl/>
        </w:rPr>
        <w:t xml:space="preserve">, אומר כאן אבן סינא </w:t>
      </w:r>
      <w:r w:rsidR="00956A68">
        <w:rPr>
          <w:rFonts w:hint="cs"/>
          <w:rtl/>
        </w:rPr>
        <w:t>שמצד הצורה לא יבוא</w:t>
      </w:r>
      <w:r w:rsidR="007E7E30">
        <w:rPr>
          <w:rFonts w:hint="cs"/>
          <w:rtl/>
        </w:rPr>
        <w:t>ו</w:t>
      </w:r>
      <w:r w:rsidR="00956A68">
        <w:rPr>
          <w:rFonts w:hint="cs"/>
          <w:rtl/>
        </w:rPr>
        <w:t xml:space="preserve"> הריבוי וההתחלפות, </w:t>
      </w:r>
      <w:r w:rsidR="007E7E30">
        <w:rPr>
          <w:rFonts w:hint="cs"/>
          <w:rtl/>
        </w:rPr>
        <w:t>אלא רק מצד החומר</w:t>
      </w:r>
      <w:r w:rsidR="00366A9B">
        <w:rPr>
          <w:rFonts w:hint="cs"/>
          <w:rtl/>
        </w:rPr>
        <w:t xml:space="preserve"> (ואם מצד החומר יש אחדות אז לא יהיו שום ריבוי והתחלפות במציאות הגופים הטבעיים)</w:t>
      </w:r>
      <w:r w:rsidR="007E7E30">
        <w:rPr>
          <w:rFonts w:hint="cs"/>
          <w:rtl/>
        </w:rPr>
        <w:t xml:space="preserve">, </w:t>
      </w:r>
      <w:r w:rsidR="00956A68">
        <w:rPr>
          <w:rFonts w:hint="cs"/>
          <w:rtl/>
        </w:rPr>
        <w:t>וזה בהכרח כי יש ל</w:t>
      </w:r>
      <w:r w:rsidR="0014566C">
        <w:rPr>
          <w:rFonts w:hint="cs"/>
          <w:rtl/>
        </w:rPr>
        <w:t>צורה</w:t>
      </w:r>
      <w:r w:rsidR="00956A68">
        <w:rPr>
          <w:rFonts w:hint="cs"/>
          <w:rtl/>
        </w:rPr>
        <w:t xml:space="preserve"> מציאות מופשטת מחומר.</w:t>
      </w:r>
      <w:r w:rsidR="000B7FD3">
        <w:rPr>
          <w:rFonts w:hint="cs"/>
          <w:rtl/>
        </w:rPr>
        <w:t xml:space="preserve"> </w:t>
      </w:r>
    </w:p>
    <w:p w14:paraId="3B6155B0" w14:textId="2DF24D40" w:rsidR="003E5F1E" w:rsidRDefault="000B7FD3" w:rsidP="00312C4A">
      <w:pPr>
        <w:pStyle w:val="FootnoteText"/>
      </w:pPr>
      <w:r>
        <w:rPr>
          <w:rFonts w:hint="cs"/>
          <w:rtl/>
        </w:rPr>
        <w:t xml:space="preserve">במילים אחרות, אם הריבוי וההתחלפות של הגופים בטבע באים רק מהחומר, </w:t>
      </w:r>
      <w:r w:rsidR="003B5621">
        <w:rPr>
          <w:rFonts w:hint="cs"/>
          <w:rtl/>
        </w:rPr>
        <w:t xml:space="preserve">הרי שבצורות מצד עצמן אין ריבוי והתחלפות, וזה מכריח שיש להן מציאות מופשטת, כי מציאות שאין בה ריבוי והתחלפות היא בהכרח מופשטת מחומר. </w:t>
      </w:r>
      <w:r w:rsidR="00857CE2">
        <w:rPr>
          <w:rFonts w:hint="cs"/>
          <w:rtl/>
        </w:rPr>
        <w:t>זו עצם ההגדרה של להיות מופשט מחומר</w:t>
      </w:r>
      <w:r w:rsidR="00700491">
        <w:rPr>
          <w:rFonts w:hint="cs"/>
          <w:rtl/>
        </w:rPr>
        <w:t>, שהיא להיות מופשט מההגדרות שהן הריבוי וההתחלפות</w:t>
      </w:r>
      <w:r w:rsidR="00FC6A2F">
        <w:rPr>
          <w:rFonts w:hint="cs"/>
          <w:rtl/>
        </w:rPr>
        <w:t xml:space="preserve"> (במטאפיזיקה </w:t>
      </w:r>
      <w:r w:rsidR="00FC6A2F">
        <w:rPr>
          <w:rFonts w:hint="cs"/>
          <w:rtl/>
        </w:rPr>
        <w:t xml:space="preserve">זטא ז' כתב אריסטו שחומר פירושו מה שדבר יכול להתקיים ויכול </w:t>
      </w:r>
      <w:r w:rsidR="00B24489">
        <w:rPr>
          <w:rFonts w:hint="cs"/>
          <w:rtl/>
        </w:rPr>
        <w:t xml:space="preserve">גם </w:t>
      </w:r>
      <w:r w:rsidR="00FC6A2F">
        <w:rPr>
          <w:rFonts w:hint="cs"/>
          <w:rtl/>
        </w:rPr>
        <w:t xml:space="preserve">שלא להתקיים. </w:t>
      </w:r>
      <w:r w:rsidR="00E64F45">
        <w:rPr>
          <w:rFonts w:hint="cs"/>
          <w:rtl/>
        </w:rPr>
        <w:t>במילים אחרות חומר פירושו הגדרה, כי מה שהוא מוגדר מכריח שאפשר שלא יענה על ההגדרה ואז לא יהיה קיים</w:t>
      </w:r>
      <w:r w:rsidR="00C6742C">
        <w:rPr>
          <w:rFonts w:hint="cs"/>
          <w:rtl/>
        </w:rPr>
        <w:t xml:space="preserve">; וכן להיפך, מה שאפשר שלא יהיה קיים פירושו שהוא מוגדר, </w:t>
      </w:r>
      <w:r w:rsidR="00E321D4">
        <w:rPr>
          <w:rFonts w:hint="cs"/>
          <w:rtl/>
        </w:rPr>
        <w:t xml:space="preserve">כי צריך לומר מהו אותו דבר שאפשר שלא יהיה קיים, ו'מהו' היינו ההגדרה שלו שאומרת מה מהותו. </w:t>
      </w:r>
      <w:r w:rsidR="009A304A">
        <w:rPr>
          <w:rFonts w:hint="cs"/>
          <w:rtl/>
        </w:rPr>
        <w:t xml:space="preserve">האחדות היא מציאות </w:t>
      </w:r>
      <w:r w:rsidR="00242A13">
        <w:rPr>
          <w:rFonts w:hint="cs"/>
          <w:rtl/>
        </w:rPr>
        <w:t xml:space="preserve">הכרחית </w:t>
      </w:r>
      <w:r w:rsidR="009A304A">
        <w:rPr>
          <w:rFonts w:hint="cs"/>
          <w:rtl/>
        </w:rPr>
        <w:t>כי אינה מוגדרת ואין משהו מוגדר שאפשר</w:t>
      </w:r>
      <w:r w:rsidR="002B2984">
        <w:rPr>
          <w:rFonts w:hint="cs"/>
          <w:rtl/>
        </w:rPr>
        <w:t xml:space="preserve"> </w:t>
      </w:r>
      <w:r w:rsidR="009A304A">
        <w:rPr>
          <w:rFonts w:hint="cs"/>
          <w:rtl/>
        </w:rPr>
        <w:t>שיתקיים או שלא יתקיים</w:t>
      </w:r>
      <w:r w:rsidR="002B2984">
        <w:rPr>
          <w:rFonts w:hint="cs"/>
          <w:rtl/>
        </w:rPr>
        <w:t xml:space="preserve">, </w:t>
      </w:r>
      <w:r w:rsidR="009A304A">
        <w:rPr>
          <w:rFonts w:hint="cs"/>
          <w:rtl/>
        </w:rPr>
        <w:t>והפרוש של מופשט מחומר</w:t>
      </w:r>
      <w:r w:rsidR="002C4002">
        <w:rPr>
          <w:rFonts w:hint="cs"/>
          <w:rtl/>
        </w:rPr>
        <w:t xml:space="preserve"> הוא 'הכרחי המציאות'</w:t>
      </w:r>
      <w:r w:rsidR="00E64F45">
        <w:rPr>
          <w:rFonts w:hint="cs"/>
          <w:rtl/>
        </w:rPr>
        <w:t xml:space="preserve">. </w:t>
      </w:r>
      <w:r w:rsidR="002B2984">
        <w:rPr>
          <w:rFonts w:hint="cs"/>
          <w:rtl/>
        </w:rPr>
        <w:t xml:space="preserve">באופן מוחלט רק האלוה מופשט מחומר, </w:t>
      </w:r>
      <w:r w:rsidR="002C4002">
        <w:rPr>
          <w:rFonts w:hint="cs"/>
          <w:rtl/>
        </w:rPr>
        <w:t xml:space="preserve">ורק הוא הכרחי מציאות לגמרי. </w:t>
      </w:r>
      <w:r w:rsidR="002B2984">
        <w:rPr>
          <w:rFonts w:hint="cs"/>
          <w:rtl/>
        </w:rPr>
        <w:t>אבל</w:t>
      </w:r>
      <w:r w:rsidR="00DE01F9">
        <w:rPr>
          <w:rFonts w:hint="cs"/>
          <w:rtl/>
        </w:rPr>
        <w:t xml:space="preserve"> יש גם </w:t>
      </w:r>
      <w:r w:rsidR="00C148B6">
        <w:rPr>
          <w:rFonts w:hint="cs"/>
          <w:rtl/>
        </w:rPr>
        <w:t>'</w:t>
      </w:r>
      <w:r w:rsidR="00DE01F9">
        <w:rPr>
          <w:rFonts w:hint="cs"/>
          <w:rtl/>
        </w:rPr>
        <w:t>מופשט</w:t>
      </w:r>
      <w:r w:rsidR="00C148B6">
        <w:rPr>
          <w:rFonts w:hint="cs"/>
          <w:rtl/>
        </w:rPr>
        <w:t>'</w:t>
      </w:r>
      <w:r w:rsidR="00DE01F9">
        <w:rPr>
          <w:rFonts w:hint="cs"/>
          <w:rtl/>
        </w:rPr>
        <w:t xml:space="preserve"> באופן יחסי, </w:t>
      </w:r>
      <w:r w:rsidR="002B2984">
        <w:rPr>
          <w:rFonts w:hint="cs"/>
          <w:rtl/>
        </w:rPr>
        <w:t xml:space="preserve">בטבע יש דברים שיש במהותם פחות הגדרה </w:t>
      </w:r>
      <w:r w:rsidR="00E6382A">
        <w:rPr>
          <w:rFonts w:hint="cs"/>
          <w:rtl/>
        </w:rPr>
        <w:t xml:space="preserve">ביחס לדברים אחרים </w:t>
      </w:r>
      <w:r w:rsidR="00C148B6">
        <w:rPr>
          <w:rFonts w:hint="cs"/>
          <w:rtl/>
        </w:rPr>
        <w:t xml:space="preserve">והם </w:t>
      </w:r>
      <w:r w:rsidR="00E6382A">
        <w:rPr>
          <w:rFonts w:hint="cs"/>
          <w:rtl/>
        </w:rPr>
        <w:t xml:space="preserve">יותר דומים למופשט. למשל המספר שלוש יותר מופשט ממלפפון, כי </w:t>
      </w:r>
      <w:r w:rsidR="00624830">
        <w:rPr>
          <w:rFonts w:hint="cs"/>
          <w:rtl/>
        </w:rPr>
        <w:t>ה</w:t>
      </w:r>
      <w:r w:rsidR="00E6382A">
        <w:rPr>
          <w:rFonts w:hint="cs"/>
          <w:rtl/>
        </w:rPr>
        <w:t xml:space="preserve">הגדרה </w:t>
      </w:r>
      <w:r w:rsidR="00624830">
        <w:rPr>
          <w:rFonts w:hint="cs"/>
          <w:rtl/>
        </w:rPr>
        <w:t xml:space="preserve">שלו היא מועטה, היינו רק </w:t>
      </w:r>
      <w:r w:rsidR="00E6382A">
        <w:rPr>
          <w:rFonts w:hint="cs"/>
          <w:rtl/>
        </w:rPr>
        <w:t xml:space="preserve">שהוא </w:t>
      </w:r>
      <w:r w:rsidR="00624830">
        <w:rPr>
          <w:rFonts w:hint="cs"/>
          <w:rtl/>
        </w:rPr>
        <w:t xml:space="preserve">עוד יחידה יותר משתיים, </w:t>
      </w:r>
      <w:r w:rsidR="00544F9D">
        <w:rPr>
          <w:rFonts w:hint="cs"/>
          <w:rtl/>
        </w:rPr>
        <w:t>ולמלפפון יש הגדרה שהיא</w:t>
      </w:r>
      <w:r w:rsidR="00562236">
        <w:rPr>
          <w:rFonts w:hint="cs"/>
          <w:rtl/>
        </w:rPr>
        <w:t xml:space="preserve"> מהות</w:t>
      </w:r>
      <w:r w:rsidR="00544F9D">
        <w:rPr>
          <w:rFonts w:hint="cs"/>
          <w:rtl/>
        </w:rPr>
        <w:t xml:space="preserve"> המלפפוניות ש</w:t>
      </w:r>
      <w:r w:rsidR="00B61DD7">
        <w:rPr>
          <w:rFonts w:hint="cs"/>
          <w:rtl/>
        </w:rPr>
        <w:t xml:space="preserve">מונח בה שהוא גוף שיש לו מידות ואיכויות והגדרת מקום וזמן ובעלות ועוד </w:t>
      </w:r>
      <w:r w:rsidR="00562236">
        <w:rPr>
          <w:rFonts w:hint="cs"/>
          <w:rtl/>
        </w:rPr>
        <w:t xml:space="preserve">הרבה הגדרות </w:t>
      </w:r>
      <w:r w:rsidR="00B61DD7">
        <w:rPr>
          <w:rFonts w:hint="cs"/>
          <w:rtl/>
        </w:rPr>
        <w:t>כיו"ב.</w:t>
      </w:r>
    </w:p>
  </w:footnote>
  <w:footnote w:id="571">
    <w:p w14:paraId="4B994845" w14:textId="27F90D0B" w:rsidR="00541CF1" w:rsidRDefault="00541CF1">
      <w:pPr>
        <w:pStyle w:val="FootnoteText"/>
      </w:pPr>
      <w:r>
        <w:rPr>
          <w:rStyle w:val="FootnoteReference"/>
        </w:rPr>
        <w:footnoteRef/>
      </w:r>
      <w:r>
        <w:rPr>
          <w:rtl/>
        </w:rPr>
        <w:t xml:space="preserve"> </w:t>
      </w:r>
      <w:r>
        <w:rPr>
          <w:rFonts w:hint="cs"/>
          <w:rtl/>
        </w:rPr>
        <w:t xml:space="preserve">מקגיניס ציין </w:t>
      </w:r>
      <w:r>
        <w:rPr>
          <w:rFonts w:hint="cs"/>
          <w:rtl/>
        </w:rPr>
        <w:t>לכיתאב אל נפס</w:t>
      </w:r>
      <w:r w:rsidR="00844941">
        <w:rPr>
          <w:rFonts w:hint="cs"/>
          <w:rtl/>
        </w:rPr>
        <w:t xml:space="preserve"> (</w:t>
      </w:r>
      <w:r w:rsidR="00844941" w:rsidRPr="00844941">
        <w:rPr>
          <w:rFonts w:asciiTheme="majorBidi" w:hAnsiTheme="majorBidi" w:cstheme="majorBidi"/>
        </w:rPr>
        <w:t>Kitāb al-nafs</w:t>
      </w:r>
      <w:r w:rsidR="00844941">
        <w:rPr>
          <w:rFonts w:hint="cs"/>
          <w:rtl/>
        </w:rPr>
        <w:t>)</w:t>
      </w:r>
      <w:r>
        <w:rPr>
          <w:rFonts w:hint="cs"/>
          <w:rtl/>
        </w:rPr>
        <w:t xml:space="preserve"> </w:t>
      </w:r>
      <w:r w:rsidR="00844941">
        <w:rPr>
          <w:rFonts w:hint="cs"/>
          <w:rtl/>
        </w:rPr>
        <w:t xml:space="preserve">3.2. זה ספר שכתב אבן סינא ושמו כשם הספר של אריסטו "על הנפש". הספר כלול בספר הריפוי. </w:t>
      </w:r>
      <w:r w:rsidR="00AB25C6">
        <w:rPr>
          <w:rFonts w:hint="cs"/>
          <w:rtl/>
        </w:rPr>
        <w:t xml:space="preserve">שם לדברי מקגיניס אבן סינא דוחה את הדעה שקרני השמש </w:t>
      </w:r>
      <w:r w:rsidR="00221B45">
        <w:rPr>
          <w:rFonts w:hint="cs"/>
          <w:rtl/>
        </w:rPr>
        <w:t>נעות והן גופים. עיין בזה בבלוג על הביאור המורה נבוכים</w:t>
      </w:r>
      <w:r w:rsidR="00C95AB9">
        <w:rPr>
          <w:rFonts w:hint="cs"/>
          <w:rtl/>
        </w:rPr>
        <w:t xml:space="preserve"> על </w:t>
      </w:r>
      <w:hyperlink r:id="rId120" w:history="1">
        <w:r w:rsidR="00C95AB9" w:rsidRPr="00F90BA9">
          <w:rPr>
            <w:rStyle w:val="Hyperlink"/>
            <w:rFonts w:hint="cs"/>
            <w:rtl/>
          </w:rPr>
          <w:t xml:space="preserve">הקדמה כ"ו לחלק </w:t>
        </w:r>
        <w:r w:rsidR="00F90BA9" w:rsidRPr="00F90BA9">
          <w:rPr>
            <w:rStyle w:val="Hyperlink"/>
            <w:rFonts w:hint="cs"/>
            <w:rtl/>
          </w:rPr>
          <w:t>ב' (חלק ראשון מהביאור על ההקדמה)</w:t>
        </w:r>
      </w:hyperlink>
      <w:r w:rsidR="00221B45">
        <w:rPr>
          <w:rFonts w:hint="cs"/>
          <w:rtl/>
        </w:rPr>
        <w:t>, בביאור דברי אריסטו בפיזיקה ספר ח'</w:t>
      </w:r>
      <w:r w:rsidR="00F42EE9">
        <w:rPr>
          <w:rFonts w:hint="cs"/>
          <w:rtl/>
        </w:rPr>
        <w:t>, בביאור מה שלדעת אריסטו האור הוא אנרגיה ול</w:t>
      </w:r>
      <w:r w:rsidR="00A07B23">
        <w:rPr>
          <w:rFonts w:hint="cs"/>
          <w:rtl/>
        </w:rPr>
        <w:t>א</w:t>
      </w:r>
      <w:r w:rsidR="00F42EE9">
        <w:rPr>
          <w:rFonts w:hint="cs"/>
          <w:rtl/>
        </w:rPr>
        <w:t xml:space="preserve"> חומר, והכוונה</w:t>
      </w:r>
      <w:r w:rsidR="00A07B23">
        <w:rPr>
          <w:rFonts w:hint="cs"/>
          <w:rtl/>
        </w:rPr>
        <w:t xml:space="preserve"> </w:t>
      </w:r>
      <w:r w:rsidR="00F42EE9">
        <w:rPr>
          <w:rFonts w:hint="cs"/>
          <w:rtl/>
        </w:rPr>
        <w:t xml:space="preserve">תנועה בלבד </w:t>
      </w:r>
      <w:r w:rsidR="00A07B23">
        <w:rPr>
          <w:rFonts w:hint="cs"/>
          <w:rtl/>
        </w:rPr>
        <w:t>ולא תנועה של משהו (וכמו שבמדע של זמננו מסתכלים על הפוטונים של האור שאין להם מסה והם תנועה טהורה בלי שיש משהו שנע)</w:t>
      </w:r>
      <w:r w:rsidR="00A07B23">
        <w:rPr>
          <w:rFonts w:hint="cs"/>
        </w:rPr>
        <w:t xml:space="preserve"> </w:t>
      </w:r>
      <w:r w:rsidR="00A07B23">
        <w:rPr>
          <w:rFonts w:hint="cs"/>
          <w:rtl/>
        </w:rPr>
        <w:t xml:space="preserve">ותנועה כזו היא </w:t>
      </w:r>
      <w:r w:rsidR="00F42EE9">
        <w:rPr>
          <w:rFonts w:hint="cs"/>
          <w:rtl/>
        </w:rPr>
        <w:t>עניין מופשט, וכמו שפירש פילופונוס בזה</w:t>
      </w:r>
      <w:r w:rsidR="00221B45">
        <w:rPr>
          <w:rFonts w:hint="cs"/>
          <w:rtl/>
        </w:rPr>
        <w:t xml:space="preserve">. </w:t>
      </w:r>
      <w:r w:rsidR="00A07B23">
        <w:rPr>
          <w:rFonts w:hint="cs"/>
          <w:rtl/>
        </w:rPr>
        <w:t xml:space="preserve">עיין שם בכל זה וכן לעיל </w:t>
      </w:r>
      <w:r w:rsidR="00D4144B">
        <w:rPr>
          <w:rFonts w:hint="cs"/>
          <w:rtl/>
        </w:rPr>
        <w:t xml:space="preserve">בפרק ה' </w:t>
      </w:r>
      <w:r w:rsidR="00050A28">
        <w:rPr>
          <w:rFonts w:hint="cs"/>
          <w:rtl/>
        </w:rPr>
        <w:t xml:space="preserve">בהערות </w:t>
      </w:r>
      <w:r w:rsidR="00D4144B">
        <w:rPr>
          <w:rFonts w:hint="cs"/>
          <w:rtl/>
        </w:rPr>
        <w:t xml:space="preserve">התבאר קצת בזה.  </w:t>
      </w:r>
    </w:p>
  </w:footnote>
  <w:footnote w:id="572">
    <w:p w14:paraId="08C1E212" w14:textId="02117794" w:rsidR="00E108B0" w:rsidRDefault="00641AF0">
      <w:pPr>
        <w:pStyle w:val="FootnoteText"/>
        <w:rPr>
          <w:rtl/>
        </w:rPr>
      </w:pPr>
      <w:r>
        <w:rPr>
          <w:rStyle w:val="FootnoteReference"/>
        </w:rPr>
        <w:footnoteRef/>
      </w:r>
      <w:r>
        <w:rPr>
          <w:rtl/>
        </w:rPr>
        <w:t xml:space="preserve"> </w:t>
      </w:r>
      <w:r w:rsidR="00E108B0">
        <w:rPr>
          <w:rFonts w:hint="cs"/>
          <w:rtl/>
        </w:rPr>
        <w:t xml:space="preserve">תרגמתי באופן מילולי. הכוונה </w:t>
      </w:r>
      <w:r w:rsidR="00CC3EC6">
        <w:rPr>
          <w:rFonts w:hint="cs"/>
          <w:rtl/>
        </w:rPr>
        <w:t>'</w:t>
      </w:r>
      <w:r>
        <w:rPr>
          <w:rFonts w:hint="cs"/>
          <w:rtl/>
        </w:rPr>
        <w:t>לא היה נמצא כטבע</w:t>
      </w:r>
      <w:r w:rsidR="00CC3EC6">
        <w:rPr>
          <w:rFonts w:hint="cs"/>
          <w:rtl/>
        </w:rPr>
        <w:t>'</w:t>
      </w:r>
      <w:r>
        <w:rPr>
          <w:rFonts w:hint="cs"/>
          <w:rtl/>
        </w:rPr>
        <w:t>. מקגיניס תרגם:</w:t>
      </w:r>
    </w:p>
    <w:p w14:paraId="0A0F6085" w14:textId="6FB1882C" w:rsidR="00641AF0" w:rsidRPr="00F63E20" w:rsidRDefault="00641AF0" w:rsidP="00E108B0">
      <w:pPr>
        <w:pStyle w:val="FootnoteText"/>
        <w:bidi w:val="0"/>
        <w:rPr>
          <w:rFonts w:asciiTheme="majorBidi" w:hAnsiTheme="majorBidi" w:cstheme="majorBidi"/>
        </w:rPr>
      </w:pPr>
      <w:r w:rsidRPr="00F63E20">
        <w:rPr>
          <w:rFonts w:asciiTheme="majorBidi" w:hAnsiTheme="majorBidi" w:cstheme="majorBidi"/>
          <w:rtl/>
        </w:rPr>
        <w:t xml:space="preserve"> </w:t>
      </w:r>
      <w:r w:rsidR="00932114" w:rsidRPr="00F63E20">
        <w:rPr>
          <w:rFonts w:asciiTheme="majorBidi" w:hAnsiTheme="majorBidi" w:cstheme="majorBidi"/>
        </w:rPr>
        <w:t xml:space="preserve">it would not be </w:t>
      </w:r>
      <w:r w:rsidR="00932114" w:rsidRPr="00F63E20">
        <w:rPr>
          <w:rFonts w:asciiTheme="majorBidi" w:hAnsiTheme="majorBidi" w:cstheme="majorBidi"/>
          <w:i/>
          <w:iCs/>
        </w:rPr>
        <w:t>qua</w:t>
      </w:r>
      <w:r w:rsidR="00932114" w:rsidRPr="00F63E20">
        <w:rPr>
          <w:rFonts w:asciiTheme="majorBidi" w:hAnsiTheme="majorBidi" w:cstheme="majorBidi"/>
        </w:rPr>
        <w:t xml:space="preserve"> nature, but, rather, </w:t>
      </w:r>
      <w:r w:rsidR="00932114" w:rsidRPr="00F63E20">
        <w:rPr>
          <w:rFonts w:asciiTheme="majorBidi" w:hAnsiTheme="majorBidi" w:cstheme="majorBidi"/>
          <w:i/>
          <w:iCs/>
        </w:rPr>
        <w:t>qua</w:t>
      </w:r>
      <w:r w:rsidR="00932114" w:rsidRPr="00F63E20">
        <w:rPr>
          <w:rFonts w:asciiTheme="majorBidi" w:hAnsiTheme="majorBidi" w:cstheme="majorBidi"/>
        </w:rPr>
        <w:t xml:space="preserve"> intelligible object</w:t>
      </w:r>
    </w:p>
  </w:footnote>
  <w:footnote w:id="573">
    <w:p w14:paraId="58EA2624" w14:textId="00712065" w:rsidR="003E2F1F" w:rsidRDefault="003E2F1F">
      <w:pPr>
        <w:pStyle w:val="FootnoteText"/>
      </w:pPr>
      <w:r>
        <w:rPr>
          <w:rStyle w:val="FootnoteReference"/>
        </w:rPr>
        <w:footnoteRef/>
      </w:r>
      <w:r>
        <w:rPr>
          <w:rtl/>
        </w:rPr>
        <w:t xml:space="preserve"> </w:t>
      </w:r>
      <w:r w:rsidRPr="003E2F1F">
        <w:rPr>
          <w:rFonts w:cs="Times New Roman" w:hint="eastAsia"/>
          <w:rtl/>
          <w:lang w:bidi="ar-SA"/>
        </w:rPr>
        <w:t>الأوائل</w:t>
      </w:r>
      <w:r w:rsidRPr="008B7DDA">
        <w:rPr>
          <w:rtl/>
        </w:rPr>
        <w:t>. בדרך כלל המובן הוא הקדמונים</w:t>
      </w:r>
      <w:r w:rsidR="00012D9B">
        <w:rPr>
          <w:rFonts w:hint="cs"/>
          <w:rtl/>
        </w:rPr>
        <w:t xml:space="preserve"> או הראשונים</w:t>
      </w:r>
      <w:r w:rsidR="00472E8D">
        <w:rPr>
          <w:rFonts w:hint="cs"/>
          <w:rtl/>
        </w:rPr>
        <w:t>, במובן של הראשונים בשלשלת</w:t>
      </w:r>
      <w:r w:rsidRPr="008B7DDA">
        <w:rPr>
          <w:rtl/>
        </w:rPr>
        <w:t xml:space="preserve">, </w:t>
      </w:r>
      <w:r w:rsidR="008B7DDA" w:rsidRPr="008B7DDA">
        <w:rPr>
          <w:rtl/>
        </w:rPr>
        <w:t xml:space="preserve">על דרך שאומרים שאברהם יצחק ויעקב הם אבותינו. </w:t>
      </w:r>
      <w:r w:rsidR="00FA2017">
        <w:rPr>
          <w:rFonts w:hint="cs"/>
          <w:rtl/>
        </w:rPr>
        <w:t xml:space="preserve">אינני יודע למה התכוון כאן אבן סינא </w:t>
      </w:r>
      <w:r w:rsidR="00FA2017">
        <w:rPr>
          <w:rFonts w:hint="cs"/>
          <w:rtl/>
        </w:rPr>
        <w:t xml:space="preserve">במדוייק וכתבתי תרגום כללי שיכול להתפרש בכמה אופנים כמו המקור. </w:t>
      </w:r>
    </w:p>
  </w:footnote>
  <w:footnote w:id="574">
    <w:p w14:paraId="4A8DCB15" w14:textId="191F8539" w:rsidR="00AF5447" w:rsidRDefault="00AF5447">
      <w:pPr>
        <w:pStyle w:val="FootnoteText"/>
      </w:pPr>
      <w:r>
        <w:rPr>
          <w:rStyle w:val="FootnoteReference"/>
        </w:rPr>
        <w:footnoteRef/>
      </w:r>
      <w:r>
        <w:rPr>
          <w:rtl/>
        </w:rPr>
        <w:t xml:space="preserve"> </w:t>
      </w:r>
      <w:r w:rsidR="00E92802">
        <w:rPr>
          <w:rFonts w:hint="cs"/>
          <w:rtl/>
        </w:rPr>
        <w:t xml:space="preserve">השורש הערבי הוא </w:t>
      </w:r>
      <w:r w:rsidR="00BC3A69">
        <w:rPr>
          <w:rFonts w:hint="cs"/>
          <w:rtl/>
        </w:rPr>
        <w:t>'</w:t>
      </w:r>
      <w:r w:rsidR="00E92802">
        <w:rPr>
          <w:rFonts w:hint="cs"/>
          <w:rtl/>
        </w:rPr>
        <w:t>פיץ'</w:t>
      </w:r>
      <w:r w:rsidR="00BC3A69">
        <w:rPr>
          <w:rFonts w:hint="cs"/>
          <w:rtl/>
        </w:rPr>
        <w:t>'</w:t>
      </w:r>
      <w:r w:rsidR="00E92802">
        <w:rPr>
          <w:rFonts w:hint="cs"/>
          <w:rtl/>
        </w:rPr>
        <w:t>, ו</w:t>
      </w:r>
      <w:r w:rsidR="00EC2701">
        <w:rPr>
          <w:rFonts w:hint="cs"/>
          <w:rtl/>
        </w:rPr>
        <w:t>תרגומ</w:t>
      </w:r>
      <w:r w:rsidR="00E92802">
        <w:rPr>
          <w:rFonts w:hint="cs"/>
          <w:rtl/>
        </w:rPr>
        <w:t xml:space="preserve">ו </w:t>
      </w:r>
      <w:r w:rsidR="00BC3A69">
        <w:rPr>
          <w:rFonts w:hint="cs"/>
          <w:rtl/>
        </w:rPr>
        <w:t>'</w:t>
      </w:r>
      <w:r w:rsidR="00E92802">
        <w:rPr>
          <w:rFonts w:hint="cs"/>
          <w:rtl/>
        </w:rPr>
        <w:t>אצילות</w:t>
      </w:r>
      <w:r w:rsidR="00BC3A69">
        <w:rPr>
          <w:rFonts w:hint="cs"/>
          <w:rtl/>
        </w:rPr>
        <w:t>'</w:t>
      </w:r>
      <w:r w:rsidR="00EC2701">
        <w:rPr>
          <w:rFonts w:hint="cs"/>
          <w:rtl/>
        </w:rPr>
        <w:t xml:space="preserve"> או </w:t>
      </w:r>
      <w:r w:rsidR="00BC3A69">
        <w:rPr>
          <w:rFonts w:hint="cs"/>
          <w:rtl/>
        </w:rPr>
        <w:t>'</w:t>
      </w:r>
      <w:r w:rsidR="00EC2701">
        <w:rPr>
          <w:rFonts w:hint="cs"/>
          <w:rtl/>
        </w:rPr>
        <w:t>האצלה</w:t>
      </w:r>
      <w:r w:rsidR="00BC3A69">
        <w:rPr>
          <w:rFonts w:hint="cs"/>
          <w:rtl/>
        </w:rPr>
        <w:t>'</w:t>
      </w:r>
      <w:r w:rsidR="00E92802">
        <w:rPr>
          <w:rFonts w:hint="cs"/>
          <w:rtl/>
        </w:rPr>
        <w:t xml:space="preserve"> (במובן של ספר</w:t>
      </w:r>
      <w:r w:rsidR="000C2A42">
        <w:rPr>
          <w:rFonts w:hint="cs"/>
          <w:rtl/>
        </w:rPr>
        <w:t>י</w:t>
      </w:r>
      <w:r w:rsidR="00E92802">
        <w:rPr>
          <w:rFonts w:hint="cs"/>
          <w:rtl/>
        </w:rPr>
        <w:t xml:space="preserve"> הקבלה</w:t>
      </w:r>
      <w:r w:rsidR="000C2A42">
        <w:rPr>
          <w:rFonts w:hint="cs"/>
          <w:rtl/>
        </w:rPr>
        <w:t xml:space="preserve"> או הספרים הניאופלטוניים)</w:t>
      </w:r>
      <w:r w:rsidR="00BC3A69">
        <w:rPr>
          <w:rFonts w:hint="cs"/>
          <w:rtl/>
        </w:rPr>
        <w:t>.</w:t>
      </w:r>
      <w:r w:rsidR="00E92802">
        <w:rPr>
          <w:rFonts w:hint="cs"/>
          <w:rtl/>
        </w:rPr>
        <w:t xml:space="preserve"> </w:t>
      </w:r>
      <w:r w:rsidR="00BF6C71">
        <w:rPr>
          <w:rFonts w:hint="cs"/>
          <w:rtl/>
        </w:rPr>
        <w:t>ב</w:t>
      </w:r>
      <w:r w:rsidR="00E92802">
        <w:rPr>
          <w:rFonts w:hint="cs"/>
          <w:rtl/>
        </w:rPr>
        <w:t>מורה נבוכים ב' י"ב</w:t>
      </w:r>
      <w:r w:rsidR="00BF6C71">
        <w:rPr>
          <w:rFonts w:hint="cs"/>
          <w:rtl/>
        </w:rPr>
        <w:t xml:space="preserve"> כתוב במקור </w:t>
      </w:r>
      <w:r w:rsidR="00BC3A69">
        <w:rPr>
          <w:rFonts w:hint="cs"/>
          <w:rtl/>
        </w:rPr>
        <w:t>'</w:t>
      </w:r>
      <w:r w:rsidR="00BF6C71">
        <w:rPr>
          <w:rFonts w:hint="cs"/>
          <w:rtl/>
        </w:rPr>
        <w:t>פיץ'</w:t>
      </w:r>
      <w:r w:rsidR="00BC3A69">
        <w:rPr>
          <w:rFonts w:hint="cs"/>
          <w:rtl/>
        </w:rPr>
        <w:t>'</w:t>
      </w:r>
      <w:r w:rsidR="00BF6C71">
        <w:rPr>
          <w:rFonts w:hint="cs"/>
          <w:rtl/>
        </w:rPr>
        <w:t xml:space="preserve"> ואבן תיבון תרגם </w:t>
      </w:r>
      <w:r w:rsidR="00445EE5">
        <w:rPr>
          <w:rFonts w:hint="cs"/>
          <w:rtl/>
        </w:rPr>
        <w:t>'</w:t>
      </w:r>
      <w:r w:rsidR="00BF6C71">
        <w:rPr>
          <w:rFonts w:hint="cs"/>
          <w:rtl/>
        </w:rPr>
        <w:t>שפע</w:t>
      </w:r>
      <w:r w:rsidR="00445EE5">
        <w:rPr>
          <w:rFonts w:hint="cs"/>
          <w:rtl/>
        </w:rPr>
        <w:t>'</w:t>
      </w:r>
      <w:r w:rsidR="00BF6C71">
        <w:rPr>
          <w:rFonts w:hint="cs"/>
          <w:rtl/>
        </w:rPr>
        <w:t>.</w:t>
      </w:r>
      <w:r w:rsidR="00E92802">
        <w:rPr>
          <w:rFonts w:hint="cs"/>
          <w:rtl/>
        </w:rPr>
        <w:t xml:space="preserve"> באנגלית </w:t>
      </w:r>
      <w:r w:rsidR="00BC3A69">
        <w:rPr>
          <w:rFonts w:hint="cs"/>
          <w:rtl/>
        </w:rPr>
        <w:t>(בעקבות הלטינית)</w:t>
      </w:r>
      <w:r w:rsidR="00445EE5">
        <w:rPr>
          <w:rFonts w:hint="cs"/>
          <w:rtl/>
        </w:rPr>
        <w:t xml:space="preserve"> המונח הוא</w:t>
      </w:r>
      <w:r w:rsidR="000C2A42">
        <w:rPr>
          <w:rFonts w:hint="cs"/>
          <w:rtl/>
        </w:rPr>
        <w:t xml:space="preserve"> </w:t>
      </w:r>
      <w:bookmarkStart w:id="272" w:name="_Hlk107493983"/>
      <w:r w:rsidR="000C2A42">
        <w:t>emanation</w:t>
      </w:r>
      <w:bookmarkEnd w:id="272"/>
      <w:r w:rsidR="00C6129D">
        <w:rPr>
          <w:rFonts w:hint="cs"/>
          <w:rtl/>
        </w:rPr>
        <w:t>.</w:t>
      </w:r>
      <w:r w:rsidR="00E92802">
        <w:rPr>
          <w:rFonts w:hint="cs"/>
          <w:rtl/>
        </w:rPr>
        <w:t xml:space="preserve"> </w:t>
      </w:r>
    </w:p>
  </w:footnote>
  <w:footnote w:id="575">
    <w:p w14:paraId="3E663B6A" w14:textId="355042D9" w:rsidR="000911B7" w:rsidRDefault="000911B7">
      <w:pPr>
        <w:pStyle w:val="FootnoteText"/>
      </w:pPr>
      <w:r>
        <w:rPr>
          <w:rStyle w:val="FootnoteReference"/>
        </w:rPr>
        <w:footnoteRef/>
      </w:r>
      <w:r>
        <w:rPr>
          <w:rtl/>
        </w:rPr>
        <w:t xml:space="preserve"> </w:t>
      </w:r>
      <w:r>
        <w:rPr>
          <w:rFonts w:hint="cs"/>
          <w:rtl/>
        </w:rPr>
        <w:t>כאן אבן</w:t>
      </w:r>
      <w:r w:rsidR="007C2C51">
        <w:rPr>
          <w:rtl/>
        </w:rPr>
        <w:fldChar w:fldCharType="begin"/>
      </w:r>
      <w:r w:rsidR="007C2C51">
        <w:instrText xml:space="preserve"> XE "</w:instrText>
      </w:r>
      <w:r w:rsidR="007C2C51" w:rsidRPr="005244CD">
        <w:rPr>
          <w:rFonts w:hint="cs"/>
          <w:rtl/>
        </w:rPr>
        <w:instrText>הצורות המופשטות - אין מחלוקת בין אפלטון ואריסטו לגבי מציאותן</w:instrText>
      </w:r>
      <w:r w:rsidR="007C2C51">
        <w:instrText xml:space="preserve">" </w:instrText>
      </w:r>
      <w:r w:rsidR="007C2C51">
        <w:rPr>
          <w:rtl/>
        </w:rPr>
        <w:fldChar w:fldCharType="end"/>
      </w:r>
      <w:r>
        <w:rPr>
          <w:rFonts w:hint="cs"/>
          <w:rtl/>
        </w:rPr>
        <w:t xml:space="preserve"> סינא כותב בפירוש</w:t>
      </w:r>
      <w:r w:rsidR="00C7116D">
        <w:rPr>
          <w:rtl/>
        </w:rPr>
        <w:fldChar w:fldCharType="begin"/>
      </w:r>
      <w:r w:rsidR="00C7116D">
        <w:instrText xml:space="preserve"> XE "</w:instrText>
      </w:r>
      <w:r w:rsidR="00C7116D" w:rsidRPr="005019D9">
        <w:rPr>
          <w:rFonts w:hint="cs"/>
          <w:rtl/>
        </w:rPr>
        <w:instrText>'מציאות' - יש חילוק בין מציאות בהגדרת מדע הטבע ובין מציאות בהגדרת המטאפיזיקה</w:instrText>
      </w:r>
      <w:r w:rsidR="00C7116D">
        <w:instrText xml:space="preserve">" </w:instrText>
      </w:r>
      <w:r w:rsidR="00C7116D">
        <w:rPr>
          <w:rtl/>
        </w:rPr>
        <w:fldChar w:fldCharType="end"/>
      </w:r>
      <w:r>
        <w:rPr>
          <w:rFonts w:hint="cs"/>
          <w:rtl/>
        </w:rPr>
        <w:t xml:space="preserve"> מה שביארתי לעיל, שכשהוא אומר שדבר איננו נמצא</w:t>
      </w:r>
      <w:r w:rsidR="0074577A">
        <w:rPr>
          <w:rFonts w:hint="cs"/>
          <w:rtl/>
        </w:rPr>
        <w:t>,</w:t>
      </w:r>
      <w:r>
        <w:rPr>
          <w:rFonts w:hint="cs"/>
          <w:rtl/>
        </w:rPr>
        <w:t xml:space="preserve"> </w:t>
      </w:r>
      <w:r w:rsidR="00A86346">
        <w:rPr>
          <w:rFonts w:hint="cs"/>
          <w:rtl/>
        </w:rPr>
        <w:t xml:space="preserve">אם הנדון הוא הטבע </w:t>
      </w:r>
      <w:r>
        <w:rPr>
          <w:rFonts w:hint="cs"/>
          <w:rtl/>
        </w:rPr>
        <w:t>אין הכוונה שאיננו נמצא כלל</w:t>
      </w:r>
      <w:r w:rsidR="0074577A">
        <w:rPr>
          <w:rFonts w:hint="cs"/>
          <w:rtl/>
        </w:rPr>
        <w:t>,</w:t>
      </w:r>
      <w:r>
        <w:rPr>
          <w:rFonts w:hint="cs"/>
          <w:rtl/>
        </w:rPr>
        <w:t xml:space="preserve"> </w:t>
      </w:r>
      <w:r w:rsidR="00A86346">
        <w:rPr>
          <w:rFonts w:hint="cs"/>
          <w:rtl/>
        </w:rPr>
        <w:t xml:space="preserve">אלא רק שאינו נמצא בתוך הטבע, כלומר אינו נמצא בעולם הגופים החומריים שהם צורה </w:t>
      </w:r>
      <w:r w:rsidR="00A86346">
        <w:rPr>
          <w:rFonts w:hint="cs"/>
          <w:rtl/>
        </w:rPr>
        <w:t xml:space="preserve">המצויירת בחומר, אבל </w:t>
      </w:r>
      <w:r w:rsidR="0074577A">
        <w:rPr>
          <w:rFonts w:hint="cs"/>
          <w:rtl/>
        </w:rPr>
        <w:t>אפשר שהוא נמצא כמושכל מופשט שזה לא נחשב מציאות מצד הטבע אבל הוא כן מציאות במובן הכללי והיא מציאות ש</w:t>
      </w:r>
      <w:r w:rsidR="001F1E4B">
        <w:rPr>
          <w:rFonts w:hint="cs"/>
          <w:rtl/>
        </w:rPr>
        <w:t>'</w:t>
      </w:r>
      <w:r w:rsidR="0074577A">
        <w:rPr>
          <w:rFonts w:hint="cs"/>
          <w:rtl/>
        </w:rPr>
        <w:t>מעל הטבע</w:t>
      </w:r>
      <w:r w:rsidR="001F1E4B">
        <w:rPr>
          <w:rFonts w:hint="cs"/>
          <w:rtl/>
        </w:rPr>
        <w:t>'</w:t>
      </w:r>
      <w:r w:rsidR="0074577A">
        <w:rPr>
          <w:rFonts w:hint="cs"/>
          <w:rtl/>
        </w:rPr>
        <w:t xml:space="preserve">. כי העולם המופשט של המושכלות או הצורות הנבדלות או ההתחלות </w:t>
      </w:r>
      <w:r w:rsidR="006E7904">
        <w:rPr>
          <w:rFonts w:hint="cs"/>
          <w:rtl/>
        </w:rPr>
        <w:t>הראשונות קיים 'מעל הטבע</w:t>
      </w:r>
      <w:r w:rsidR="001F1E4B">
        <w:rPr>
          <w:rFonts w:hint="cs"/>
          <w:rtl/>
        </w:rPr>
        <w:t>'</w:t>
      </w:r>
      <w:r w:rsidR="006E7904">
        <w:rPr>
          <w:rFonts w:hint="cs"/>
          <w:rtl/>
        </w:rPr>
        <w:t xml:space="preserve"> במובן ש</w:t>
      </w:r>
      <w:r w:rsidR="001F1E4B">
        <w:rPr>
          <w:rFonts w:hint="cs"/>
          <w:rtl/>
        </w:rPr>
        <w:t xml:space="preserve">הוא סיבת קיומו של הטבע. וכמו שכתב הרמב"ם בהלכות יסודי התורה ב' </w:t>
      </w:r>
      <w:r w:rsidR="0015523D">
        <w:rPr>
          <w:rFonts w:hint="cs"/>
          <w:rtl/>
        </w:rPr>
        <w:t>ה'</w:t>
      </w:r>
      <w:r w:rsidR="00187676">
        <w:rPr>
          <w:rFonts w:hint="cs"/>
          <w:rtl/>
        </w:rPr>
        <w:t xml:space="preserve"> שזה</w:t>
      </w:r>
      <w:r w:rsidR="00102DFF">
        <w:rPr>
          <w:rFonts w:hint="cs"/>
          <w:rtl/>
        </w:rPr>
        <w:t xml:space="preserve"> </w:t>
      </w:r>
      <w:r w:rsidR="00187676">
        <w:rPr>
          <w:rFonts w:hint="cs"/>
          <w:rtl/>
        </w:rPr>
        <w:t>פירוש של "מעל" במובן זה</w:t>
      </w:r>
      <w:r w:rsidR="0015523D">
        <w:rPr>
          <w:rFonts w:hint="cs"/>
          <w:rtl/>
        </w:rPr>
        <w:t>.</w:t>
      </w:r>
      <w:r w:rsidR="00102DFF">
        <w:rPr>
          <w:rFonts w:hint="cs"/>
          <w:rtl/>
        </w:rPr>
        <w:t xml:space="preserve"> </w:t>
      </w:r>
      <w:r w:rsidR="004B0C5A">
        <w:rPr>
          <w:rFonts w:hint="cs"/>
          <w:rtl/>
        </w:rPr>
        <w:t>והוא 'מעל הטבע' ו</w:t>
      </w:r>
      <w:r w:rsidR="00945F04">
        <w:rPr>
          <w:rFonts w:hint="cs"/>
          <w:rtl/>
        </w:rPr>
        <w:t>לא</w:t>
      </w:r>
      <w:r w:rsidR="004B0C5A">
        <w:rPr>
          <w:rFonts w:hint="cs"/>
          <w:rtl/>
        </w:rPr>
        <w:t xml:space="preserve"> </w:t>
      </w:r>
      <w:r w:rsidR="00945F04">
        <w:rPr>
          <w:rFonts w:hint="cs"/>
          <w:rtl/>
        </w:rPr>
        <w:t>'</w:t>
      </w:r>
      <w:r w:rsidR="004B0C5A">
        <w:rPr>
          <w:rFonts w:hint="cs"/>
          <w:rtl/>
        </w:rPr>
        <w:t>בתוך הטבע</w:t>
      </w:r>
      <w:r w:rsidR="00945F04">
        <w:rPr>
          <w:rFonts w:hint="cs"/>
          <w:rtl/>
        </w:rPr>
        <w:t>'</w:t>
      </w:r>
      <w:r w:rsidR="004B0C5A">
        <w:rPr>
          <w:rFonts w:hint="cs"/>
          <w:rtl/>
        </w:rPr>
        <w:t>, ולכן במדע הטבע הצורות המופשטות לא מוגדרות כקיימות</w:t>
      </w:r>
      <w:r w:rsidR="00945F04">
        <w:rPr>
          <w:rFonts w:hint="cs"/>
          <w:rtl/>
        </w:rPr>
        <w:t>, ובמדע המטאפיזיקה הן כן מוגדרות כקיימות</w:t>
      </w:r>
      <w:r w:rsidR="004B0C5A">
        <w:rPr>
          <w:rFonts w:hint="cs"/>
          <w:rtl/>
        </w:rPr>
        <w:t xml:space="preserve">. </w:t>
      </w:r>
      <w:r w:rsidR="00102DFF">
        <w:rPr>
          <w:rFonts w:hint="cs"/>
          <w:rtl/>
        </w:rPr>
        <w:t xml:space="preserve">ובזה נפל היסוד של שיבוש החוקרים כאילו יש מחלוקת בין אפלטון ואריסטו על מציאותן המופשטת של הצורות. </w:t>
      </w:r>
      <w:r w:rsidR="00A703CF">
        <w:rPr>
          <w:rFonts w:hint="cs"/>
          <w:rtl/>
        </w:rPr>
        <w:t>ומה שנראה לכאורה כמחלוקת זה משום שאריסטו מדבר ברוב המקומות</w:t>
      </w:r>
      <w:r w:rsidR="00B2272C">
        <w:rPr>
          <w:rFonts w:hint="cs"/>
          <w:rtl/>
        </w:rPr>
        <w:t xml:space="preserve"> מלבד בספר המטאפיזיקה </w:t>
      </w:r>
      <w:r w:rsidR="00A703CF">
        <w:rPr>
          <w:rFonts w:hint="cs"/>
          <w:rtl/>
        </w:rPr>
        <w:t xml:space="preserve">מנקודת המבט של מדע הטבע, </w:t>
      </w:r>
      <w:r w:rsidR="00B2272C">
        <w:rPr>
          <w:rFonts w:hint="cs"/>
          <w:rtl/>
        </w:rPr>
        <w:t>או שהן קושיות מדומות שבאות להצביע על הנקודות המוקשות לכאורה</w:t>
      </w:r>
      <w:r w:rsidR="0076038F">
        <w:rPr>
          <w:rFonts w:hint="cs"/>
          <w:rtl/>
        </w:rPr>
        <w:t>,</w:t>
      </w:r>
      <w:r w:rsidR="00B2272C">
        <w:rPr>
          <w:rFonts w:hint="cs"/>
          <w:rtl/>
        </w:rPr>
        <w:t xml:space="preserve"> ש</w:t>
      </w:r>
      <w:r w:rsidR="0076038F">
        <w:rPr>
          <w:rFonts w:hint="cs"/>
          <w:rtl/>
        </w:rPr>
        <w:t>מ</w:t>
      </w:r>
      <w:r w:rsidR="00B2272C">
        <w:rPr>
          <w:rFonts w:hint="cs"/>
          <w:rtl/>
        </w:rPr>
        <w:t>ה</w:t>
      </w:r>
      <w:r w:rsidR="0076038F">
        <w:rPr>
          <w:rFonts w:hint="cs"/>
          <w:rtl/>
        </w:rPr>
        <w:t>ן</w:t>
      </w:r>
      <w:r w:rsidR="00B2272C">
        <w:rPr>
          <w:rFonts w:hint="cs"/>
          <w:rtl/>
        </w:rPr>
        <w:t xml:space="preserve"> המפתחות לה</w:t>
      </w:r>
      <w:r w:rsidR="0076038F">
        <w:rPr>
          <w:rFonts w:hint="cs"/>
          <w:rtl/>
        </w:rPr>
        <w:t>כנס</w:t>
      </w:r>
      <w:r w:rsidR="00B2272C">
        <w:rPr>
          <w:rFonts w:hint="cs"/>
          <w:rtl/>
        </w:rPr>
        <w:t xml:space="preserve"> להבנה העמוקה של דברי אפלטון שהם סודות מוצנעים.</w:t>
      </w:r>
      <w:r w:rsidR="0076038F">
        <w:rPr>
          <w:rFonts w:hint="cs"/>
          <w:rtl/>
        </w:rPr>
        <w:t xml:space="preserve"> ובעיונים בפלוסופיה אריסטוטלית כבר הראיתי בכל המקומות שבהן אריסטו מקשה על אפלטון ש</w:t>
      </w:r>
      <w:r w:rsidR="00DD39E3">
        <w:rPr>
          <w:rFonts w:hint="cs"/>
          <w:rtl/>
        </w:rPr>
        <w:t>מתוך העמל בהבנת העניין והלשון מתברר בלי ספק ו</w:t>
      </w:r>
      <w:r w:rsidR="0076038F">
        <w:rPr>
          <w:rFonts w:hint="cs"/>
          <w:rtl/>
        </w:rPr>
        <w:t xml:space="preserve">בהכרח </w:t>
      </w:r>
      <w:r w:rsidR="00D511E7">
        <w:rPr>
          <w:rFonts w:hint="cs"/>
          <w:rtl/>
        </w:rPr>
        <w:t>ש</w:t>
      </w:r>
      <w:r w:rsidR="0076038F">
        <w:rPr>
          <w:rFonts w:hint="cs"/>
          <w:rtl/>
        </w:rPr>
        <w:t>הכוונה היא על אחת משתי דרכים אלה.</w:t>
      </w:r>
      <w:r w:rsidR="00D511E7">
        <w:rPr>
          <w:rFonts w:hint="cs"/>
          <w:rtl/>
        </w:rPr>
        <w:t xml:space="preserve"> וכן כתב אלפראבי שאין מחלוקת בין אפלטון לאריסטו</w:t>
      </w:r>
      <w:r w:rsidR="00511760">
        <w:rPr>
          <w:rFonts w:hint="cs"/>
          <w:rtl/>
        </w:rPr>
        <w:t>, וכתב חיבור מיוחד להראות עניין זה</w:t>
      </w:r>
      <w:r w:rsidR="00D511E7">
        <w:rPr>
          <w:rFonts w:hint="cs"/>
          <w:rtl/>
        </w:rPr>
        <w:t xml:space="preserve">. </w:t>
      </w:r>
      <w:r w:rsidR="0076038F">
        <w:rPr>
          <w:rFonts w:hint="cs"/>
          <w:rtl/>
        </w:rPr>
        <w:t xml:space="preserve"> </w:t>
      </w:r>
      <w:r w:rsidR="00B2272C">
        <w:rPr>
          <w:rFonts w:hint="cs"/>
          <w:rtl/>
        </w:rPr>
        <w:t xml:space="preserve"> </w:t>
      </w:r>
    </w:p>
  </w:footnote>
  <w:footnote w:id="576">
    <w:p w14:paraId="62B6AE2D" w14:textId="0D5C6DC2" w:rsidR="001215E5" w:rsidRDefault="001215E5">
      <w:pPr>
        <w:pStyle w:val="FootnoteText"/>
      </w:pPr>
      <w:r>
        <w:rPr>
          <w:rStyle w:val="FootnoteReference"/>
        </w:rPr>
        <w:footnoteRef/>
      </w:r>
      <w:r>
        <w:rPr>
          <w:rtl/>
        </w:rPr>
        <w:t xml:space="preserve"> </w:t>
      </w:r>
      <w:r>
        <w:rPr>
          <w:rFonts w:hint="cs"/>
          <w:rtl/>
        </w:rPr>
        <w:t xml:space="preserve">הכוונה לגרמי השמיים, דהיינו הגלגלים </w:t>
      </w:r>
      <w:r w:rsidR="00CB4C9D">
        <w:rPr>
          <w:rFonts w:hint="cs"/>
          <w:rtl/>
        </w:rPr>
        <w:t xml:space="preserve">(ונכללים בזה גם </w:t>
      </w:r>
      <w:r>
        <w:rPr>
          <w:rFonts w:hint="cs"/>
          <w:rtl/>
        </w:rPr>
        <w:t>הכוכבים הקבועים בהם</w:t>
      </w:r>
      <w:r w:rsidR="00CB4C9D">
        <w:rPr>
          <w:rFonts w:hint="cs"/>
          <w:rtl/>
        </w:rPr>
        <w:t>)</w:t>
      </w:r>
      <w:r>
        <w:rPr>
          <w:rFonts w:hint="cs"/>
          <w:rtl/>
        </w:rPr>
        <w:t xml:space="preserve">. </w:t>
      </w:r>
    </w:p>
  </w:footnote>
  <w:footnote w:id="577">
    <w:p w14:paraId="142BD3DB" w14:textId="5F40AED3" w:rsidR="00925790" w:rsidRDefault="00925790">
      <w:pPr>
        <w:pStyle w:val="FootnoteText"/>
      </w:pPr>
      <w:r>
        <w:rPr>
          <w:rStyle w:val="FootnoteReference"/>
        </w:rPr>
        <w:footnoteRef/>
      </w:r>
      <w:r>
        <w:rPr>
          <w:rtl/>
        </w:rPr>
        <w:t xml:space="preserve"> </w:t>
      </w:r>
      <w:r w:rsidR="000639CB">
        <w:rPr>
          <w:rFonts w:hint="cs"/>
          <w:rtl/>
        </w:rPr>
        <w:t>הגלגל המקיף או הגלגל הקיצון הוא החומר הראשון שהוא אחד לגמרי ואין בו הגדרות וריבוי</w:t>
      </w:r>
      <w:r w:rsidR="008D28A2">
        <w:rPr>
          <w:rFonts w:hint="cs"/>
          <w:rtl/>
        </w:rPr>
        <w:t>, ומה שהוא נע בתנועה סיב</w:t>
      </w:r>
      <w:r w:rsidR="00762C06">
        <w:rPr>
          <w:rFonts w:hint="cs"/>
          <w:rtl/>
        </w:rPr>
        <w:t>ו</w:t>
      </w:r>
      <w:r w:rsidR="008D28A2">
        <w:rPr>
          <w:rFonts w:hint="cs"/>
          <w:rtl/>
        </w:rPr>
        <w:t>בית הכוונה תנועת היציאה מהכח אל הפועל</w:t>
      </w:r>
      <w:r w:rsidR="00762C06">
        <w:rPr>
          <w:rFonts w:hint="cs"/>
          <w:rtl/>
        </w:rPr>
        <w:t xml:space="preserve"> כשלעצמה (לא יציאה אל הפועל של משהו מוגדר אלא תנועת היציאה אל הפועל בפני עצמה</w:t>
      </w:r>
      <w:r w:rsidR="00B27EA4">
        <w:rPr>
          <w:rFonts w:hint="cs"/>
          <w:rtl/>
        </w:rPr>
        <w:t>. וכמו שביאר אריסטו בפיזיקה ג' א')</w:t>
      </w:r>
      <w:r w:rsidR="00762C06">
        <w:rPr>
          <w:rFonts w:hint="cs"/>
          <w:rtl/>
        </w:rPr>
        <w:t xml:space="preserve"> שממנה מציאות העולם. וכמו שכתב הרמב"ן על בראשית א' א' שמההיולי</w:t>
      </w:r>
      <w:r w:rsidR="00D52514">
        <w:rPr>
          <w:rFonts w:hint="cs"/>
          <w:rtl/>
        </w:rPr>
        <w:t xml:space="preserve"> (דהיינו החומר הראשון)</w:t>
      </w:r>
      <w:r w:rsidR="00762C06">
        <w:rPr>
          <w:rFonts w:hint="cs"/>
          <w:rtl/>
        </w:rPr>
        <w:t xml:space="preserve"> נוצרים ונעשים כל הדברים בעולם</w:t>
      </w:r>
      <w:r w:rsidR="00D52514">
        <w:rPr>
          <w:rFonts w:hint="cs"/>
          <w:rtl/>
        </w:rPr>
        <w:t>. ומה שה</w:t>
      </w:r>
      <w:r w:rsidR="00EC2CEF">
        <w:rPr>
          <w:rFonts w:hint="cs"/>
          <w:rtl/>
        </w:rPr>
        <w:t>ם</w:t>
      </w:r>
      <w:r w:rsidR="00D52514">
        <w:rPr>
          <w:rFonts w:hint="cs"/>
          <w:rtl/>
        </w:rPr>
        <w:t xml:space="preserve"> נוצרי</w:t>
      </w:r>
      <w:r w:rsidR="00EC2CEF">
        <w:rPr>
          <w:rFonts w:hint="cs"/>
          <w:rtl/>
        </w:rPr>
        <w:t>ם</w:t>
      </w:r>
      <w:r w:rsidR="00D52514">
        <w:rPr>
          <w:rFonts w:hint="cs"/>
          <w:rtl/>
        </w:rPr>
        <w:t xml:space="preserve"> ונעשים מההיולי זו התנועה של היציאה אל הפועל שהיא סיבוב הגלגל הקיצון</w:t>
      </w:r>
      <w:r w:rsidR="00762C06">
        <w:rPr>
          <w:rFonts w:hint="cs"/>
          <w:rtl/>
        </w:rPr>
        <w:t>.</w:t>
      </w:r>
      <w:r w:rsidR="000639CB">
        <w:rPr>
          <w:rFonts w:hint="cs"/>
          <w:rtl/>
        </w:rPr>
        <w:t xml:space="preserve"> </w:t>
      </w:r>
    </w:p>
  </w:footnote>
  <w:footnote w:id="578">
    <w:p w14:paraId="7B67369C" w14:textId="10589E47" w:rsidR="00B22AC5" w:rsidRDefault="00B22AC5">
      <w:pPr>
        <w:pStyle w:val="FootnoteText"/>
      </w:pPr>
      <w:r>
        <w:rPr>
          <w:rStyle w:val="FootnoteReference"/>
        </w:rPr>
        <w:footnoteRef/>
      </w:r>
      <w:r>
        <w:rPr>
          <w:rtl/>
        </w:rPr>
        <w:t xml:space="preserve"> </w:t>
      </w:r>
      <w:r w:rsidR="00041A30">
        <w:rPr>
          <w:rFonts w:hint="cs"/>
          <w:rtl/>
        </w:rPr>
        <w:t xml:space="preserve">בביאור הלשון "מחלחל" כאן עיין לעיל </w:t>
      </w:r>
      <w:hyperlink w:anchor="_1.5.5" w:history="1">
        <w:r w:rsidR="00041A30" w:rsidRPr="00CE55DE">
          <w:rPr>
            <w:rStyle w:val="Hyperlink"/>
            <w:rFonts w:hint="cs"/>
            <w:rtl/>
          </w:rPr>
          <w:t>1.5.5</w:t>
        </w:r>
      </w:hyperlink>
      <w:r w:rsidR="00041A30">
        <w:rPr>
          <w:rFonts w:hint="cs"/>
          <w:rtl/>
        </w:rPr>
        <w:t xml:space="preserve">, ו </w:t>
      </w:r>
      <w:hyperlink w:anchor="_1.5.7" w:history="1">
        <w:r w:rsidR="00041A30" w:rsidRPr="00CE55DE">
          <w:rPr>
            <w:rStyle w:val="Hyperlink"/>
            <w:rFonts w:hint="cs"/>
            <w:rtl/>
          </w:rPr>
          <w:t>1.5.7</w:t>
        </w:r>
      </w:hyperlink>
      <w:r w:rsidR="00CE55DE">
        <w:rPr>
          <w:rFonts w:hint="cs"/>
          <w:rtl/>
        </w:rPr>
        <w:t xml:space="preserve"> ובהערות שם.</w:t>
      </w:r>
    </w:p>
  </w:footnote>
  <w:footnote w:id="579">
    <w:p w14:paraId="1D802E0D" w14:textId="5662188F" w:rsidR="00FE52FF" w:rsidRDefault="00FE52FF">
      <w:pPr>
        <w:pStyle w:val="FootnoteText"/>
      </w:pPr>
      <w:r>
        <w:rPr>
          <w:rStyle w:val="FootnoteReference"/>
        </w:rPr>
        <w:footnoteRef/>
      </w:r>
      <w:r>
        <w:rPr>
          <w:rtl/>
        </w:rPr>
        <w:t xml:space="preserve"> </w:t>
      </w:r>
      <w:r>
        <w:rPr>
          <w:rFonts w:hint="cs"/>
          <w:rtl/>
        </w:rPr>
        <w:t xml:space="preserve">שם </w:t>
      </w:r>
      <w:r w:rsidR="00782B1E">
        <w:rPr>
          <w:rFonts w:hint="cs"/>
          <w:rtl/>
        </w:rPr>
        <w:t>שמקובל לנקוט בו כדוגמה לשם פרטי.</w:t>
      </w:r>
      <w:r w:rsidR="00DA25F3">
        <w:rPr>
          <w:rFonts w:hint="cs"/>
          <w:rtl/>
        </w:rPr>
        <w:t xml:space="preserve"> </w:t>
      </w:r>
    </w:p>
  </w:footnote>
  <w:footnote w:id="580">
    <w:p w14:paraId="13264163" w14:textId="1ACF2319" w:rsidR="002420E3" w:rsidRDefault="002420E3">
      <w:pPr>
        <w:pStyle w:val="FootnoteText"/>
      </w:pPr>
      <w:r>
        <w:rPr>
          <w:rStyle w:val="FootnoteReference"/>
        </w:rPr>
        <w:footnoteRef/>
      </w:r>
      <w:r>
        <w:rPr>
          <w:rtl/>
        </w:rPr>
        <w:t xml:space="preserve"> </w:t>
      </w:r>
      <w:r>
        <w:rPr>
          <w:rFonts w:hint="cs"/>
          <w:rtl/>
        </w:rPr>
        <w:t xml:space="preserve">מהניסוח שכאן לכאורה יש לשאול שאם התכלית בבריאת הגוף היא להשתחרר ממנו היה עדיף שלא ייברא כלל. לא ייתכן שתכלית קיומו של דבר היא שהוא לא יהיה קיים. </w:t>
      </w:r>
      <w:r w:rsidR="00D81848">
        <w:rPr>
          <w:rFonts w:hint="cs"/>
          <w:rtl/>
        </w:rPr>
        <w:t xml:space="preserve">אמנם במקומות אחרים יש דיון בשאלה זו ולא כאן מקומו. </w:t>
      </w:r>
    </w:p>
  </w:footnote>
  <w:footnote w:id="581">
    <w:p w14:paraId="0F89DEB8" w14:textId="77777777" w:rsidR="007D15C1" w:rsidRDefault="00A10A4E">
      <w:pPr>
        <w:pStyle w:val="FootnoteText"/>
        <w:rPr>
          <w:rtl/>
        </w:rPr>
      </w:pPr>
      <w:r>
        <w:rPr>
          <w:rStyle w:val="FootnoteReference"/>
        </w:rPr>
        <w:footnoteRef/>
      </w:r>
      <w:r>
        <w:rPr>
          <w:rtl/>
        </w:rPr>
        <w:t xml:space="preserve"> </w:t>
      </w:r>
      <w:r w:rsidR="00BD0F11">
        <w:rPr>
          <w:rFonts w:hint="cs"/>
          <w:rtl/>
        </w:rPr>
        <w:t>אבן סינא לא כתב שהאנשים האחרים ראויים להימצא כמו שראוי איש זה, כי אין הכוונה שלהימצא היא זכות שיש לאנשים הפרטיים</w:t>
      </w:r>
      <w:r w:rsidR="0082659D">
        <w:rPr>
          <w:rFonts w:hint="cs"/>
          <w:rtl/>
        </w:rPr>
        <w:t xml:space="preserve">, כי מניין תהיינה קנויות להם זכויות כלשהן. </w:t>
      </w:r>
      <w:r w:rsidR="00F23663">
        <w:rPr>
          <w:rFonts w:hint="cs"/>
          <w:rtl/>
        </w:rPr>
        <w:t>אלא הכוונה שהצורה מתגלה בחומר על ידי שהיא מתגלה בגופים פרטיים רבים, והגופים חלוקים זה מזה במה שהם מגלים את הצורה באופן חסר</w:t>
      </w:r>
      <w:r w:rsidR="00BE3E4C">
        <w:rPr>
          <w:rFonts w:hint="cs"/>
          <w:rtl/>
        </w:rPr>
        <w:t xml:space="preserve">, וכשגוף מת ונולד גוף אחר מאותו מין יש </w:t>
      </w:r>
      <w:r w:rsidR="00370386">
        <w:rPr>
          <w:rFonts w:hint="cs"/>
          <w:rtl/>
        </w:rPr>
        <w:t xml:space="preserve">בגוף שנולד </w:t>
      </w:r>
      <w:r w:rsidR="00BE3E4C">
        <w:rPr>
          <w:rFonts w:hint="cs"/>
          <w:rtl/>
        </w:rPr>
        <w:t xml:space="preserve">גילוי של הצורה של אותו מין בגילוי חדש שלא התגלה מקודם, </w:t>
      </w:r>
      <w:r w:rsidR="00EB7FF2">
        <w:rPr>
          <w:rFonts w:hint="cs"/>
          <w:rtl/>
        </w:rPr>
        <w:t xml:space="preserve">וכך הלאה לאין סוף הצורה הולכת ומתגלה יותר ויותר. הגוף הפרטי קיים מחמת שהוא מגלה את הצורה, </w:t>
      </w:r>
      <w:r w:rsidR="004A01C6">
        <w:rPr>
          <w:rFonts w:hint="cs"/>
          <w:rtl/>
        </w:rPr>
        <w:t xml:space="preserve">ולכן יש סיבה לקיום הגופים האחרים </w:t>
      </w:r>
      <w:r w:rsidR="002D2326">
        <w:rPr>
          <w:rFonts w:hint="cs"/>
          <w:rtl/>
        </w:rPr>
        <w:t>כי הם מוסיפים לגילוי הצורה</w:t>
      </w:r>
      <w:r w:rsidR="00F23663">
        <w:rPr>
          <w:rFonts w:hint="cs"/>
          <w:rtl/>
        </w:rPr>
        <w:t>.</w:t>
      </w:r>
      <w:r w:rsidR="00247770">
        <w:rPr>
          <w:rFonts w:hint="cs"/>
          <w:rtl/>
        </w:rPr>
        <w:t xml:space="preserve"> </w:t>
      </w:r>
    </w:p>
    <w:p w14:paraId="699265F8" w14:textId="77777777" w:rsidR="00433F81" w:rsidRDefault="00247770">
      <w:pPr>
        <w:pStyle w:val="FootnoteText"/>
        <w:rPr>
          <w:rtl/>
        </w:rPr>
      </w:pPr>
      <w:r>
        <w:rPr>
          <w:rFonts w:hint="cs"/>
          <w:rtl/>
        </w:rPr>
        <w:t>הצורה של גרמי השמיים מתגלה בחומרם</w:t>
      </w:r>
      <w:r w:rsidR="008C5F76">
        <w:rPr>
          <w:rFonts w:hint="cs"/>
          <w:rtl/>
        </w:rPr>
        <w:t xml:space="preserve"> </w:t>
      </w:r>
      <w:r>
        <w:rPr>
          <w:rFonts w:hint="cs"/>
          <w:rtl/>
        </w:rPr>
        <w:t xml:space="preserve">בגילוי שלם ומלא, </w:t>
      </w:r>
      <w:r w:rsidR="008C5F76">
        <w:rPr>
          <w:rFonts w:hint="cs"/>
          <w:rtl/>
        </w:rPr>
        <w:t xml:space="preserve">כיוון שהוא החומר החמישי שמסוגל לזה, </w:t>
      </w:r>
      <w:r>
        <w:rPr>
          <w:rFonts w:hint="cs"/>
          <w:rtl/>
        </w:rPr>
        <w:t xml:space="preserve">ולכן </w:t>
      </w:r>
      <w:r w:rsidR="004F19B5">
        <w:rPr>
          <w:rFonts w:hint="cs"/>
          <w:rtl/>
        </w:rPr>
        <w:t>גוף גרמי השמיים נצחי ויש מכל אחד מהם רק אחד</w:t>
      </w:r>
      <w:r w:rsidR="002D7591">
        <w:rPr>
          <w:rFonts w:hint="cs"/>
          <w:rtl/>
        </w:rPr>
        <w:t>, ול</w:t>
      </w:r>
      <w:r w:rsidR="003667A2">
        <w:rPr>
          <w:rFonts w:hint="cs"/>
          <w:rtl/>
        </w:rPr>
        <w:t>א</w:t>
      </w:r>
      <w:r w:rsidR="002D7591">
        <w:rPr>
          <w:rFonts w:hint="cs"/>
          <w:rtl/>
        </w:rPr>
        <w:t xml:space="preserve"> אומרים שהירחים האחרים שעוד לא נבראו יש להם זכות להתקיים </w:t>
      </w:r>
      <w:r w:rsidR="003667A2">
        <w:rPr>
          <w:rFonts w:hint="cs"/>
          <w:rtl/>
        </w:rPr>
        <w:t>לא פחות מ</w:t>
      </w:r>
      <w:r w:rsidR="002D7591">
        <w:rPr>
          <w:rFonts w:hint="cs"/>
          <w:rtl/>
        </w:rPr>
        <w:t>הירח שקיים עכשיו ולכן על</w:t>
      </w:r>
      <w:r w:rsidR="007D15C1">
        <w:rPr>
          <w:rFonts w:hint="cs"/>
          <w:rtl/>
        </w:rPr>
        <w:t xml:space="preserve"> הירח</w:t>
      </w:r>
      <w:r w:rsidR="002D7591">
        <w:rPr>
          <w:rFonts w:hint="cs"/>
          <w:rtl/>
        </w:rPr>
        <w:t xml:space="preserve"> ל</w:t>
      </w:r>
      <w:r w:rsidR="003667A2">
        <w:rPr>
          <w:rFonts w:hint="cs"/>
          <w:rtl/>
        </w:rPr>
        <w:t>חדול</w:t>
      </w:r>
      <w:r w:rsidR="007D15C1">
        <w:rPr>
          <w:rFonts w:hint="cs"/>
          <w:rtl/>
        </w:rPr>
        <w:t xml:space="preserve"> כדי לפנות את מקומו לירחים אחרים</w:t>
      </w:r>
      <w:r w:rsidR="004F19B5">
        <w:rPr>
          <w:rFonts w:hint="cs"/>
          <w:rtl/>
        </w:rPr>
        <w:t xml:space="preserve">. </w:t>
      </w:r>
      <w:r w:rsidR="00F23663">
        <w:rPr>
          <w:rFonts w:hint="cs"/>
          <w:rtl/>
        </w:rPr>
        <w:t xml:space="preserve"> </w:t>
      </w:r>
    </w:p>
    <w:p w14:paraId="78666491" w14:textId="32DC776D" w:rsidR="00280156" w:rsidRDefault="00314D2F">
      <w:pPr>
        <w:pStyle w:val="FootnoteText"/>
        <w:rPr>
          <w:rtl/>
        </w:rPr>
      </w:pPr>
      <w:r>
        <w:rPr>
          <w:rFonts w:hint="cs"/>
          <w:rtl/>
        </w:rPr>
        <w:t>(לשון אלפראבי ב</w:t>
      </w:r>
      <w:r w:rsidR="00274383">
        <w:rPr>
          <w:rFonts w:hint="cs"/>
          <w:rtl/>
        </w:rPr>
        <w:t>"</w:t>
      </w:r>
      <w:r>
        <w:rPr>
          <w:rFonts w:hint="cs"/>
          <w:rtl/>
        </w:rPr>
        <w:t>דעותיהם של אנשי העיר המעולה</w:t>
      </w:r>
      <w:r w:rsidR="00274383">
        <w:rPr>
          <w:rFonts w:hint="cs"/>
          <w:rtl/>
        </w:rPr>
        <w:t>"</w:t>
      </w:r>
      <w:r w:rsidR="00280156">
        <w:rPr>
          <w:rFonts w:hint="cs"/>
          <w:rtl/>
        </w:rPr>
        <w:t>, סוף פרק ב'</w:t>
      </w:r>
      <w:r w:rsidR="00CC4447">
        <w:rPr>
          <w:rFonts w:hint="cs"/>
          <w:rtl/>
        </w:rPr>
        <w:t xml:space="preserve"> (בתרגום אחמד </w:t>
      </w:r>
      <w:r w:rsidR="00CC4447">
        <w:rPr>
          <w:rFonts w:hint="cs"/>
          <w:rtl/>
        </w:rPr>
        <w:t>אע'בריה</w:t>
      </w:r>
      <w:r w:rsidR="00274383">
        <w:rPr>
          <w:rFonts w:hint="cs"/>
          <w:rtl/>
        </w:rPr>
        <w:t>)</w:t>
      </w:r>
      <w:r w:rsidR="00280156">
        <w:rPr>
          <w:rFonts w:hint="cs"/>
          <w:rtl/>
        </w:rPr>
        <w:t>:</w:t>
      </w:r>
    </w:p>
    <w:p w14:paraId="29648B38" w14:textId="301B0FAA" w:rsidR="00A10A4E" w:rsidRDefault="00280156" w:rsidP="002E0487">
      <w:pPr>
        <w:pStyle w:val="FootnoteText"/>
      </w:pPr>
      <w:r>
        <w:rPr>
          <w:rFonts w:hint="cs"/>
          <w:rtl/>
        </w:rPr>
        <w:t>"</w:t>
      </w:r>
      <w:r>
        <w:rPr>
          <w:rtl/>
        </w:rPr>
        <w:t>כמו כן, לו היה מחוצה לו, בדבר אחר, &lt;קיום&gt; ממין קיומו</w:t>
      </w:r>
      <w:r w:rsidR="002E0487">
        <w:rPr>
          <w:rFonts w:hint="cs"/>
          <w:rtl/>
        </w:rPr>
        <w:t xml:space="preserve"> [של האלוה]</w:t>
      </w:r>
      <w:r>
        <w:rPr>
          <w:rtl/>
        </w:rPr>
        <w:t>, לא היה קיומו מושלם, מכיוון שהמושלם הינו מה שלא יכול להימצא</w:t>
      </w:r>
      <w:r w:rsidR="002E0487">
        <w:rPr>
          <w:rFonts w:hint="cs"/>
          <w:rtl/>
        </w:rPr>
        <w:t xml:space="preserve"> </w:t>
      </w:r>
      <w:r>
        <w:rPr>
          <w:rtl/>
        </w:rPr>
        <w:t>מחוצה לו קיום ממין קיומו. הדבר נכון לגבי כל דבר שהוא, משום שהמוש</w:t>
      </w:r>
      <w:r w:rsidR="002E0487">
        <w:rPr>
          <w:rFonts w:hint="cs"/>
          <w:rtl/>
        </w:rPr>
        <w:t>לם</w:t>
      </w:r>
      <w:r>
        <w:rPr>
          <w:rtl/>
        </w:rPr>
        <w:t xml:space="preserve"> </w:t>
      </w:r>
      <w:r>
        <w:rPr>
          <w:rFonts w:hint="cs"/>
          <w:rtl/>
        </w:rPr>
        <w:t>בגודל</w:t>
      </w:r>
      <w:r>
        <w:rPr>
          <w:rtl/>
        </w:rPr>
        <w:t xml:space="preserve"> </w:t>
      </w:r>
      <w:r>
        <w:rPr>
          <w:rFonts w:hint="cs"/>
          <w:rtl/>
        </w:rPr>
        <w:t>הוא</w:t>
      </w:r>
      <w:r>
        <w:rPr>
          <w:rtl/>
        </w:rPr>
        <w:t xml:space="preserve"> </w:t>
      </w:r>
      <w:r>
        <w:rPr>
          <w:rFonts w:hint="cs"/>
          <w:rtl/>
        </w:rPr>
        <w:t>זה</w:t>
      </w:r>
      <w:r>
        <w:rPr>
          <w:rtl/>
        </w:rPr>
        <w:t xml:space="preserve"> </w:t>
      </w:r>
      <w:r>
        <w:rPr>
          <w:rFonts w:hint="cs"/>
          <w:rtl/>
        </w:rPr>
        <w:t>אשר</w:t>
      </w:r>
      <w:r>
        <w:rPr>
          <w:rtl/>
        </w:rPr>
        <w:t xml:space="preserve"> </w:t>
      </w:r>
      <w:r>
        <w:rPr>
          <w:rFonts w:hint="cs"/>
          <w:rtl/>
        </w:rPr>
        <w:t>לא</w:t>
      </w:r>
      <w:r>
        <w:rPr>
          <w:rtl/>
        </w:rPr>
        <w:t xml:space="preserve"> </w:t>
      </w:r>
      <w:r>
        <w:rPr>
          <w:rFonts w:hint="cs"/>
          <w:rtl/>
        </w:rPr>
        <w:t>נמצא</w:t>
      </w:r>
      <w:r>
        <w:rPr>
          <w:rtl/>
        </w:rPr>
        <w:t xml:space="preserve"> </w:t>
      </w:r>
      <w:r>
        <w:rPr>
          <w:rFonts w:hint="cs"/>
          <w:rtl/>
        </w:rPr>
        <w:t>גודל</w:t>
      </w:r>
      <w:r>
        <w:rPr>
          <w:rtl/>
        </w:rPr>
        <w:t xml:space="preserve"> &lt;</w:t>
      </w:r>
      <w:r>
        <w:rPr>
          <w:rFonts w:hint="cs"/>
          <w:rtl/>
        </w:rPr>
        <w:t>כגודלו</w:t>
      </w:r>
      <w:r>
        <w:rPr>
          <w:rtl/>
        </w:rPr>
        <w:t xml:space="preserve">&gt; </w:t>
      </w:r>
      <w:r>
        <w:rPr>
          <w:rFonts w:hint="cs"/>
          <w:rtl/>
        </w:rPr>
        <w:t>מחוצה</w:t>
      </w:r>
      <w:r>
        <w:rPr>
          <w:rtl/>
        </w:rPr>
        <w:t xml:space="preserve"> </w:t>
      </w:r>
      <w:r>
        <w:rPr>
          <w:rFonts w:hint="cs"/>
          <w:rtl/>
        </w:rPr>
        <w:t>לו</w:t>
      </w:r>
      <w:r>
        <w:rPr>
          <w:rtl/>
        </w:rPr>
        <w:t xml:space="preserve">, </w:t>
      </w:r>
      <w:r>
        <w:rPr>
          <w:rFonts w:hint="cs"/>
          <w:rtl/>
        </w:rPr>
        <w:t>והמוש</w:t>
      </w:r>
      <w:r w:rsidR="00CC4447">
        <w:rPr>
          <w:rFonts w:hint="cs"/>
          <w:rtl/>
        </w:rPr>
        <w:t>לם</w:t>
      </w:r>
      <w:r>
        <w:rPr>
          <w:rtl/>
        </w:rPr>
        <w:t xml:space="preserve"> </w:t>
      </w:r>
      <w:r>
        <w:rPr>
          <w:rFonts w:hint="cs"/>
          <w:rtl/>
        </w:rPr>
        <w:t>ביופי</w:t>
      </w:r>
      <w:r>
        <w:rPr>
          <w:rtl/>
        </w:rPr>
        <w:t xml:space="preserve"> </w:t>
      </w:r>
      <w:r>
        <w:rPr>
          <w:rFonts w:hint="cs"/>
          <w:rtl/>
        </w:rPr>
        <w:t>הוא</w:t>
      </w:r>
      <w:r>
        <w:rPr>
          <w:rtl/>
        </w:rPr>
        <w:t xml:space="preserve"> </w:t>
      </w:r>
      <w:r>
        <w:rPr>
          <w:rFonts w:hint="cs"/>
          <w:rtl/>
        </w:rPr>
        <w:t>זה</w:t>
      </w:r>
      <w:r>
        <w:rPr>
          <w:rtl/>
        </w:rPr>
        <w:t xml:space="preserve"> </w:t>
      </w:r>
      <w:r>
        <w:rPr>
          <w:rFonts w:hint="cs"/>
          <w:rtl/>
        </w:rPr>
        <w:t>אשר</w:t>
      </w:r>
      <w:r>
        <w:rPr>
          <w:rtl/>
        </w:rPr>
        <w:t xml:space="preserve"> </w:t>
      </w:r>
      <w:r>
        <w:rPr>
          <w:rFonts w:hint="cs"/>
          <w:rtl/>
        </w:rPr>
        <w:t>לא</w:t>
      </w:r>
      <w:r>
        <w:rPr>
          <w:rtl/>
        </w:rPr>
        <w:t xml:space="preserve"> </w:t>
      </w:r>
      <w:r>
        <w:rPr>
          <w:rFonts w:hint="cs"/>
          <w:rtl/>
        </w:rPr>
        <w:t>נמצא</w:t>
      </w:r>
      <w:r>
        <w:rPr>
          <w:rtl/>
        </w:rPr>
        <w:t xml:space="preserve"> </w:t>
      </w:r>
      <w:r>
        <w:rPr>
          <w:rFonts w:hint="cs"/>
          <w:rtl/>
        </w:rPr>
        <w:t>יופי</w:t>
      </w:r>
      <w:r>
        <w:rPr>
          <w:rtl/>
        </w:rPr>
        <w:t xml:space="preserve"> </w:t>
      </w:r>
      <w:r>
        <w:rPr>
          <w:rFonts w:hint="cs"/>
          <w:rtl/>
        </w:rPr>
        <w:t>ממין</w:t>
      </w:r>
      <w:r>
        <w:rPr>
          <w:rtl/>
        </w:rPr>
        <w:t xml:space="preserve"> </w:t>
      </w:r>
      <w:r>
        <w:rPr>
          <w:rFonts w:hint="cs"/>
          <w:rtl/>
        </w:rPr>
        <w:t>יופיו</w:t>
      </w:r>
      <w:r>
        <w:rPr>
          <w:rtl/>
        </w:rPr>
        <w:t xml:space="preserve"> </w:t>
      </w:r>
      <w:r>
        <w:rPr>
          <w:rFonts w:hint="cs"/>
          <w:rtl/>
        </w:rPr>
        <w:t>מחוצה</w:t>
      </w:r>
      <w:r>
        <w:rPr>
          <w:rtl/>
        </w:rPr>
        <w:t xml:space="preserve"> </w:t>
      </w:r>
      <w:r>
        <w:rPr>
          <w:rFonts w:hint="cs"/>
          <w:rtl/>
        </w:rPr>
        <w:t>לו</w:t>
      </w:r>
      <w:r>
        <w:rPr>
          <w:rtl/>
        </w:rPr>
        <w:t xml:space="preserve">, </w:t>
      </w:r>
      <w:r>
        <w:rPr>
          <w:rFonts w:hint="cs"/>
          <w:rtl/>
        </w:rPr>
        <w:t>ובדומה</w:t>
      </w:r>
      <w:r>
        <w:rPr>
          <w:rtl/>
        </w:rPr>
        <w:t xml:space="preserve"> </w:t>
      </w:r>
      <w:r>
        <w:rPr>
          <w:rFonts w:hint="cs"/>
          <w:rtl/>
        </w:rPr>
        <w:t>לכך</w:t>
      </w:r>
      <w:r>
        <w:rPr>
          <w:rtl/>
        </w:rPr>
        <w:t xml:space="preserve">, </w:t>
      </w:r>
      <w:r>
        <w:rPr>
          <w:rFonts w:hint="cs"/>
          <w:rtl/>
        </w:rPr>
        <w:t>המושלם</w:t>
      </w:r>
      <w:r>
        <w:rPr>
          <w:rtl/>
        </w:rPr>
        <w:t xml:space="preserve"> </w:t>
      </w:r>
      <w:r>
        <w:rPr>
          <w:rFonts w:hint="cs"/>
          <w:rtl/>
        </w:rPr>
        <w:t>בעצם</w:t>
      </w:r>
      <w:r>
        <w:rPr>
          <w:rtl/>
        </w:rPr>
        <w:t xml:space="preserve"> </w:t>
      </w:r>
      <w:r>
        <w:rPr>
          <w:rFonts w:hint="cs"/>
          <w:rtl/>
        </w:rPr>
        <w:t>הוא</w:t>
      </w:r>
      <w:r>
        <w:rPr>
          <w:rtl/>
        </w:rPr>
        <w:t xml:space="preserve"> </w:t>
      </w:r>
      <w:r>
        <w:rPr>
          <w:rFonts w:hint="cs"/>
          <w:rtl/>
        </w:rPr>
        <w:t>אשר</w:t>
      </w:r>
      <w:r>
        <w:rPr>
          <w:rtl/>
        </w:rPr>
        <w:t xml:space="preserve"> </w:t>
      </w:r>
      <w:r>
        <w:rPr>
          <w:rFonts w:hint="cs"/>
          <w:rtl/>
        </w:rPr>
        <w:t>לא</w:t>
      </w:r>
      <w:r>
        <w:rPr>
          <w:rtl/>
        </w:rPr>
        <w:t xml:space="preserve"> </w:t>
      </w:r>
      <w:r>
        <w:rPr>
          <w:rFonts w:hint="cs"/>
          <w:rtl/>
        </w:rPr>
        <w:t>נמצא</w:t>
      </w:r>
      <w:r>
        <w:rPr>
          <w:rtl/>
        </w:rPr>
        <w:t xml:space="preserve"> </w:t>
      </w:r>
      <w:r>
        <w:rPr>
          <w:rFonts w:hint="cs"/>
          <w:rtl/>
        </w:rPr>
        <w:t>דבר</w:t>
      </w:r>
      <w:r>
        <w:rPr>
          <w:rtl/>
        </w:rPr>
        <w:t xml:space="preserve"> </w:t>
      </w:r>
      <w:r>
        <w:rPr>
          <w:rFonts w:hint="cs"/>
          <w:rtl/>
        </w:rPr>
        <w:t>ממין</w:t>
      </w:r>
      <w:r>
        <w:rPr>
          <w:rtl/>
        </w:rPr>
        <w:t xml:space="preserve"> </w:t>
      </w:r>
      <w:r>
        <w:rPr>
          <w:rFonts w:hint="cs"/>
          <w:rtl/>
        </w:rPr>
        <w:t>עצמו</w:t>
      </w:r>
      <w:r>
        <w:rPr>
          <w:rtl/>
        </w:rPr>
        <w:t xml:space="preserve"> </w:t>
      </w:r>
      <w:r>
        <w:rPr>
          <w:rFonts w:hint="cs"/>
          <w:rtl/>
        </w:rPr>
        <w:t>מחוצה</w:t>
      </w:r>
      <w:r>
        <w:rPr>
          <w:rtl/>
        </w:rPr>
        <w:t xml:space="preserve"> </w:t>
      </w:r>
      <w:r>
        <w:rPr>
          <w:rFonts w:hint="cs"/>
          <w:rtl/>
        </w:rPr>
        <w:t>לו</w:t>
      </w:r>
      <w:r>
        <w:rPr>
          <w:rtl/>
        </w:rPr>
        <w:t xml:space="preserve">. </w:t>
      </w:r>
      <w:r>
        <w:rPr>
          <w:rFonts w:hint="cs"/>
          <w:rtl/>
        </w:rPr>
        <w:t>הדבר</w:t>
      </w:r>
      <w:r>
        <w:rPr>
          <w:rtl/>
        </w:rPr>
        <w:t xml:space="preserve"> </w:t>
      </w:r>
      <w:r>
        <w:rPr>
          <w:rFonts w:hint="cs"/>
          <w:rtl/>
        </w:rPr>
        <w:t>אמור</w:t>
      </w:r>
      <w:r>
        <w:rPr>
          <w:rtl/>
        </w:rPr>
        <w:t xml:space="preserve"> </w:t>
      </w:r>
      <w:r>
        <w:rPr>
          <w:rFonts w:hint="cs"/>
          <w:rtl/>
        </w:rPr>
        <w:t>לגבי</w:t>
      </w:r>
      <w:r>
        <w:rPr>
          <w:rtl/>
        </w:rPr>
        <w:t xml:space="preserve"> </w:t>
      </w:r>
      <w:r>
        <w:rPr>
          <w:rFonts w:hint="cs"/>
          <w:rtl/>
        </w:rPr>
        <w:t>כל</w:t>
      </w:r>
      <w:r>
        <w:rPr>
          <w:rtl/>
        </w:rPr>
        <w:t xml:space="preserve"> </w:t>
      </w:r>
      <w:r>
        <w:rPr>
          <w:rFonts w:hint="cs"/>
          <w:rtl/>
        </w:rPr>
        <w:t>גוף</w:t>
      </w:r>
      <w:r>
        <w:rPr>
          <w:rtl/>
        </w:rPr>
        <w:t xml:space="preserve"> </w:t>
      </w:r>
      <w:r>
        <w:rPr>
          <w:rFonts w:hint="cs"/>
          <w:rtl/>
        </w:rPr>
        <w:t>מושלם</w:t>
      </w:r>
      <w:r>
        <w:rPr>
          <w:rtl/>
        </w:rPr>
        <w:t xml:space="preserve">: </w:t>
      </w:r>
      <w:r>
        <w:rPr>
          <w:rFonts w:hint="cs"/>
          <w:rtl/>
        </w:rPr>
        <w:t>אי</w:t>
      </w:r>
      <w:r>
        <w:rPr>
          <w:rtl/>
        </w:rPr>
        <w:t xml:space="preserve"> </w:t>
      </w:r>
      <w:r>
        <w:rPr>
          <w:rFonts w:hint="cs"/>
          <w:rtl/>
        </w:rPr>
        <w:t>אפשר</w:t>
      </w:r>
      <w:r>
        <w:rPr>
          <w:rtl/>
        </w:rPr>
        <w:t xml:space="preserve"> </w:t>
      </w:r>
      <w:r>
        <w:rPr>
          <w:rFonts w:hint="cs"/>
          <w:rtl/>
        </w:rPr>
        <w:t>שיתקיים</w:t>
      </w:r>
      <w:r>
        <w:rPr>
          <w:rtl/>
        </w:rPr>
        <w:t xml:space="preserve"> </w:t>
      </w:r>
      <w:r>
        <w:rPr>
          <w:rFonts w:hint="cs"/>
          <w:rtl/>
        </w:rPr>
        <w:t>ממינו</w:t>
      </w:r>
      <w:r>
        <w:rPr>
          <w:rtl/>
        </w:rPr>
        <w:t xml:space="preserve"> </w:t>
      </w:r>
      <w:r>
        <w:rPr>
          <w:rFonts w:hint="cs"/>
          <w:rtl/>
        </w:rPr>
        <w:t>דבר</w:t>
      </w:r>
      <w:r>
        <w:rPr>
          <w:rtl/>
        </w:rPr>
        <w:t xml:space="preserve"> </w:t>
      </w:r>
      <w:r>
        <w:rPr>
          <w:rFonts w:hint="cs"/>
          <w:rtl/>
        </w:rPr>
        <w:t>מלבדו</w:t>
      </w:r>
      <w:r>
        <w:rPr>
          <w:rtl/>
        </w:rPr>
        <w:t xml:space="preserve">, </w:t>
      </w:r>
      <w:r>
        <w:rPr>
          <w:rFonts w:hint="cs"/>
          <w:rtl/>
        </w:rPr>
        <w:t>כגון</w:t>
      </w:r>
      <w:r>
        <w:rPr>
          <w:rtl/>
        </w:rPr>
        <w:t xml:space="preserve"> </w:t>
      </w:r>
      <w:r>
        <w:rPr>
          <w:rFonts w:hint="cs"/>
          <w:rtl/>
        </w:rPr>
        <w:t>השמש</w:t>
      </w:r>
      <w:r>
        <w:rPr>
          <w:rtl/>
        </w:rPr>
        <w:t xml:space="preserve"> </w:t>
      </w:r>
      <w:r>
        <w:rPr>
          <w:rFonts w:hint="cs"/>
          <w:rtl/>
        </w:rPr>
        <w:t>והירח</w:t>
      </w:r>
      <w:r>
        <w:rPr>
          <w:rtl/>
        </w:rPr>
        <w:t xml:space="preserve"> </w:t>
      </w:r>
      <w:r>
        <w:rPr>
          <w:rFonts w:hint="cs"/>
          <w:rtl/>
        </w:rPr>
        <w:t>וכ</w:t>
      </w:r>
      <w:r>
        <w:rPr>
          <w:rtl/>
        </w:rPr>
        <w:t>ל אחד מן הכוכבים האחרים. א</w:t>
      </w:r>
      <w:r w:rsidR="00CC4447">
        <w:rPr>
          <w:rFonts w:hint="cs"/>
          <w:rtl/>
        </w:rPr>
        <w:t>ם</w:t>
      </w:r>
      <w:r>
        <w:rPr>
          <w:rtl/>
        </w:rPr>
        <w:t xml:space="preserve"> קיומו של &lt;הנמצא&gt; הראשון מושלם, אי אפשר שיהיה אותו קיום לדבר אחר זולתו. לפיכך, הוא אהד ומיוחד בקיומו, ומן הבחינה הזאת הוא אחד.</w:t>
      </w:r>
      <w:r>
        <w:rPr>
          <w:rFonts w:hint="cs"/>
          <w:rtl/>
        </w:rPr>
        <w:t>")</w:t>
      </w:r>
      <w:r w:rsidR="00BD0F11">
        <w:rPr>
          <w:rFonts w:hint="cs"/>
          <w:rtl/>
        </w:rPr>
        <w:t xml:space="preserve"> </w:t>
      </w:r>
    </w:p>
  </w:footnote>
  <w:footnote w:id="582">
    <w:p w14:paraId="37E56B48" w14:textId="3FB272AF" w:rsidR="00CE210F" w:rsidRDefault="00CE210F">
      <w:pPr>
        <w:pStyle w:val="FootnoteText"/>
        <w:rPr>
          <w:rtl/>
        </w:rPr>
      </w:pPr>
      <w:r>
        <w:rPr>
          <w:rStyle w:val="FootnoteReference"/>
        </w:rPr>
        <w:footnoteRef/>
      </w:r>
      <w:r w:rsidR="00713966">
        <w:t xml:space="preserve"> </w:t>
      </w:r>
      <w:r w:rsidR="00713966">
        <w:rPr>
          <w:rFonts w:hint="cs"/>
          <w:rtl/>
        </w:rPr>
        <w:t xml:space="preserve"> נראה שהכוונה כאן ל</w:t>
      </w:r>
      <w:r w:rsidR="006C2A23">
        <w:rPr>
          <w:rFonts w:hint="cs"/>
          <w:rtl/>
        </w:rPr>
        <w:t>'בכח' שבחומר לקבל צורה</w:t>
      </w:r>
      <w:r w:rsidR="00325551">
        <w:rPr>
          <w:rFonts w:hint="cs"/>
          <w:rtl/>
        </w:rPr>
        <w:t xml:space="preserve">, ולגופים האחרים יש את חלקם בגילוי </w:t>
      </w:r>
      <w:r w:rsidR="00325551">
        <w:rPr>
          <w:rFonts w:hint="cs"/>
          <w:rtl/>
        </w:rPr>
        <w:t>ה</w:t>
      </w:r>
      <w:r w:rsidR="00924F75">
        <w:rPr>
          <w:rFonts w:hint="cs"/>
          <w:rtl/>
        </w:rPr>
        <w:t xml:space="preserve">כח הזה, וכמו שכתבתי לעיל. </w:t>
      </w:r>
      <w:r w:rsidR="00325551">
        <w:rPr>
          <w:rFonts w:hint="cs"/>
          <w:rtl/>
        </w:rPr>
        <w:t xml:space="preserve"> </w:t>
      </w:r>
      <w:r w:rsidR="00713966">
        <w:rPr>
          <w:rFonts w:hint="cs"/>
          <w:rtl/>
        </w:rPr>
        <w:t xml:space="preserve"> </w:t>
      </w:r>
    </w:p>
  </w:footnote>
  <w:footnote w:id="583">
    <w:p w14:paraId="58F56962" w14:textId="2575C4D4" w:rsidR="0070486F" w:rsidRDefault="0070486F">
      <w:pPr>
        <w:pStyle w:val="FootnoteText"/>
        <w:rPr>
          <w:rtl/>
        </w:rPr>
      </w:pPr>
      <w:r>
        <w:rPr>
          <w:rStyle w:val="FootnoteReference"/>
        </w:rPr>
        <w:footnoteRef/>
      </w:r>
      <w:r>
        <w:rPr>
          <w:rtl/>
        </w:rPr>
        <w:t xml:space="preserve"> </w:t>
      </w:r>
      <w:r w:rsidR="008D60E4">
        <w:rPr>
          <w:rFonts w:hint="cs"/>
          <w:rtl/>
        </w:rPr>
        <w:t>במורה נבוכים ג' י'</w:t>
      </w:r>
      <w:r w:rsidR="00BF283A">
        <w:rPr>
          <w:rtl/>
        </w:rPr>
        <w:fldChar w:fldCharType="begin"/>
      </w:r>
      <w:r w:rsidR="00BF283A">
        <w:instrText xml:space="preserve"> XE "</w:instrText>
      </w:r>
      <w:r w:rsidR="00BF283A" w:rsidRPr="00BF2C17">
        <w:rPr>
          <w:rFonts w:hint="cs"/>
          <w:rtl/>
        </w:rPr>
        <w:instrText>מורה נבוכים ג' י' - צד הטוב שיש במוות</w:instrText>
      </w:r>
      <w:r w:rsidR="00BF283A">
        <w:instrText xml:space="preserve">" </w:instrText>
      </w:r>
      <w:r w:rsidR="00BF283A">
        <w:rPr>
          <w:rtl/>
        </w:rPr>
        <w:fldChar w:fldCharType="end"/>
      </w:r>
      <w:r w:rsidR="008D60E4">
        <w:rPr>
          <w:rFonts w:hint="cs"/>
          <w:rtl/>
        </w:rPr>
        <w:t xml:space="preserve"> כתב:</w:t>
      </w:r>
    </w:p>
    <w:p w14:paraId="3481D480" w14:textId="78C54301" w:rsidR="008D60E4" w:rsidRDefault="008D60E4">
      <w:pPr>
        <w:pStyle w:val="FootnoteText"/>
        <w:rPr>
          <w:rtl/>
        </w:rPr>
      </w:pPr>
      <w:r>
        <w:rPr>
          <w:rFonts w:hint="cs"/>
          <w:rtl/>
        </w:rPr>
        <w:t>"</w:t>
      </w:r>
      <w:r w:rsidRPr="008D60E4">
        <w:rPr>
          <w:rtl/>
        </w:rPr>
        <w:t xml:space="preserve">אבל פעולותיו כלם טוב גמור, שהוא אינו עושה רק מציאות וכל מציאות טוב. והרעות כלם העדרים, לא תתלה בהם פעולה, רק בצד אשר בארנו, בהמציאו חמר על הטבע הזה אשר הוא עליו, והוא היותו מחובר בו ההעדר לעולם, כמו שכבר נודע. ומפני זה הוא סבה לכל הפסד ולכל רע, ולזה כל מה שלא המציא לו השם זה החמר לא </w:t>
      </w:r>
      <w:r w:rsidRPr="008D60E4">
        <w:rPr>
          <w:rtl/>
        </w:rPr>
        <w:t>יפסד ולא תשיגהו רעה מן הרעות. תהיה אם כן אמתת פעולת השם כולה טוב, אחר שהיא מציאות. ולזה ספר הספר אשר האיר מחשכי העולם ואמר וירא אלהים את כל אשר עשה והנה טוב מאד (בראשית א לא). עד שמציאות זה החמר השפל לפי מה שהוא, מחבור המחייב למות ולרעות כולם, כל זה גם כן טוב, להתמדת ההויה והמשך המציאות בבוא זה אחר סור זה. ולזה פירש ר' מאיר</w:t>
      </w:r>
      <w:r w:rsidR="004D0916">
        <w:rPr>
          <w:rFonts w:hint="cs"/>
          <w:rtl/>
        </w:rPr>
        <w:t>:</w:t>
      </w:r>
      <w:r w:rsidRPr="008D60E4">
        <w:rPr>
          <w:rtl/>
        </w:rPr>
        <w:t xml:space="preserve"> </w:t>
      </w:r>
      <w:r w:rsidR="004D0916">
        <w:rPr>
          <w:rFonts w:hint="cs"/>
          <w:rtl/>
        </w:rPr>
        <w:t>""</w:t>
      </w:r>
      <w:r w:rsidRPr="008D60E4">
        <w:rPr>
          <w:rtl/>
        </w:rPr>
        <w:t>והנה טוב מאד</w:t>
      </w:r>
      <w:r w:rsidR="004D0916">
        <w:rPr>
          <w:rFonts w:hint="cs"/>
          <w:rtl/>
        </w:rPr>
        <w:t xml:space="preserve">" - </w:t>
      </w:r>
      <w:r w:rsidRPr="008D60E4">
        <w:rPr>
          <w:rtl/>
        </w:rPr>
        <w:t>טוב מות</w:t>
      </w:r>
      <w:r w:rsidR="004D0916">
        <w:rPr>
          <w:rFonts w:hint="cs"/>
          <w:rtl/>
        </w:rPr>
        <w:t>"</w:t>
      </w:r>
      <w:r w:rsidRPr="008D60E4">
        <w:rPr>
          <w:rtl/>
        </w:rPr>
        <w:t xml:space="preserve"> (בראשית רבה ט ה), לענין אשר העירונו עליו.</w:t>
      </w:r>
      <w:r>
        <w:rPr>
          <w:rFonts w:hint="cs"/>
          <w:rtl/>
        </w:rPr>
        <w:t>"</w:t>
      </w:r>
    </w:p>
    <w:p w14:paraId="6ADA6517" w14:textId="12EFF88C" w:rsidR="0069278D" w:rsidRDefault="008A659E">
      <w:pPr>
        <w:pStyle w:val="FootnoteText"/>
        <w:rPr>
          <w:rtl/>
        </w:rPr>
      </w:pPr>
      <w:r>
        <w:rPr>
          <w:rFonts w:hint="cs"/>
          <w:rtl/>
        </w:rPr>
        <w:t xml:space="preserve">אם הגילוי של הצורה בגוף שווה בגוף שנפסד ובגוף החדש שנולד, אז יותר טוב שהגוף לא ייפסד ולא יוולד גוף אחר במקומו. אלא משום שבכל גוף יש גילוי מיוחד לו שלא התגלה בגופים שקדמו לו, </w:t>
      </w:r>
      <w:r w:rsidR="005F3243">
        <w:rPr>
          <w:rFonts w:hint="cs"/>
          <w:rtl/>
        </w:rPr>
        <w:t xml:space="preserve">בלידת הגוף החדש יש תוספת חדשה של גילוי הצורה </w:t>
      </w:r>
      <w:r w:rsidR="00AE32BD">
        <w:rPr>
          <w:rFonts w:hint="cs"/>
          <w:rtl/>
        </w:rPr>
        <w:t xml:space="preserve">וגילוי הצורה הוא המציאות והוא הטוב, </w:t>
      </w:r>
      <w:r w:rsidR="005F3243">
        <w:rPr>
          <w:rFonts w:hint="cs"/>
          <w:rtl/>
        </w:rPr>
        <w:t>ולכן יש ב</w:t>
      </w:r>
      <w:r w:rsidR="00AE32BD">
        <w:rPr>
          <w:rFonts w:hint="cs"/>
          <w:rtl/>
        </w:rPr>
        <w:t>מוות</w:t>
      </w:r>
      <w:r w:rsidR="005F3243">
        <w:rPr>
          <w:rFonts w:hint="cs"/>
          <w:rtl/>
        </w:rPr>
        <w:t xml:space="preserve"> טוב</w:t>
      </w:r>
      <w:r>
        <w:rPr>
          <w:rFonts w:hint="cs"/>
          <w:rtl/>
        </w:rPr>
        <w:t xml:space="preserve"> </w:t>
      </w:r>
      <w:r w:rsidR="005168AB">
        <w:rPr>
          <w:rFonts w:hint="cs"/>
          <w:rtl/>
        </w:rPr>
        <w:t>(</w:t>
      </w:r>
      <w:r w:rsidR="00712FD8">
        <w:rPr>
          <w:rFonts w:hint="cs"/>
          <w:rtl/>
        </w:rPr>
        <w:t>עדיין זה ביאור חלקי, כי לכאורה הי</w:t>
      </w:r>
      <w:r w:rsidR="005168AB">
        <w:rPr>
          <w:rFonts w:hint="cs"/>
          <w:rtl/>
        </w:rPr>
        <w:t>ה</w:t>
      </w:r>
      <w:r w:rsidR="00712FD8">
        <w:rPr>
          <w:rFonts w:hint="cs"/>
          <w:rtl/>
        </w:rPr>
        <w:t xml:space="preserve"> יותר טוב שהחומר של כל הגופים</w:t>
      </w:r>
      <w:r w:rsidR="005168AB">
        <w:rPr>
          <w:rFonts w:hint="cs"/>
          <w:rtl/>
        </w:rPr>
        <w:t xml:space="preserve"> גם בעולם</w:t>
      </w:r>
      <w:r w:rsidR="000E440F">
        <w:rPr>
          <w:rFonts w:hint="cs"/>
          <w:rtl/>
        </w:rPr>
        <w:t xml:space="preserve"> הארצי</w:t>
      </w:r>
      <w:r w:rsidR="00712FD8">
        <w:rPr>
          <w:rFonts w:hint="cs"/>
          <w:rtl/>
        </w:rPr>
        <w:t xml:space="preserve"> יהיה כמו החומר החמישי שמגלה את הצורה בשלמות </w:t>
      </w:r>
      <w:r w:rsidR="005168AB">
        <w:rPr>
          <w:rFonts w:hint="cs"/>
          <w:rtl/>
        </w:rPr>
        <w:t xml:space="preserve">ואז אין צורך במוות כלל, </w:t>
      </w:r>
      <w:r w:rsidR="000E440F">
        <w:rPr>
          <w:rFonts w:hint="cs"/>
          <w:rtl/>
        </w:rPr>
        <w:t>וזה עניין עמוק שמדובר בו במקומות אחרים וברמז בלבד)</w:t>
      </w:r>
      <w:r w:rsidR="00F16825">
        <w:rPr>
          <w:rFonts w:hint="cs"/>
          <w:rtl/>
        </w:rPr>
        <w:t>.</w:t>
      </w:r>
    </w:p>
    <w:p w14:paraId="520FFC1A" w14:textId="77777777" w:rsidR="00DB557C" w:rsidRDefault="00F16825">
      <w:pPr>
        <w:pStyle w:val="FootnoteText"/>
        <w:rPr>
          <w:rtl/>
        </w:rPr>
      </w:pPr>
      <w:r>
        <w:rPr>
          <w:rFonts w:hint="cs"/>
          <w:rtl/>
        </w:rPr>
        <w:t>הכוונה השנייה היא שהמוות מ</w:t>
      </w:r>
      <w:r w:rsidR="0011157A">
        <w:rPr>
          <w:rFonts w:hint="cs"/>
          <w:rtl/>
        </w:rPr>
        <w:t>וסיף</w:t>
      </w:r>
      <w:r>
        <w:rPr>
          <w:rFonts w:hint="cs"/>
          <w:rtl/>
        </w:rPr>
        <w:t xml:space="preserve"> </w:t>
      </w:r>
      <w:r w:rsidR="0011157A">
        <w:rPr>
          <w:rFonts w:hint="cs"/>
          <w:rtl/>
        </w:rPr>
        <w:t>לגילוי</w:t>
      </w:r>
      <w:r w:rsidR="003E2768">
        <w:rPr>
          <w:rFonts w:hint="cs"/>
          <w:rtl/>
        </w:rPr>
        <w:t xml:space="preserve"> הצורה באופן ששואף לגילוי שלם</w:t>
      </w:r>
      <w:r w:rsidR="0011157A">
        <w:rPr>
          <w:rFonts w:hint="cs"/>
          <w:rtl/>
        </w:rPr>
        <w:t>,</w:t>
      </w:r>
      <w:r w:rsidR="003E2768">
        <w:rPr>
          <w:rFonts w:hint="cs"/>
          <w:rtl/>
        </w:rPr>
        <w:t xml:space="preserve"> </w:t>
      </w:r>
      <w:r w:rsidR="00835027">
        <w:rPr>
          <w:rFonts w:hint="cs"/>
          <w:rtl/>
        </w:rPr>
        <w:t xml:space="preserve">בכך </w:t>
      </w:r>
      <w:r w:rsidR="003E2768">
        <w:rPr>
          <w:rFonts w:hint="cs"/>
          <w:rtl/>
        </w:rPr>
        <w:t xml:space="preserve">שאין </w:t>
      </w:r>
      <w:r w:rsidR="0011157A">
        <w:rPr>
          <w:rFonts w:hint="cs"/>
          <w:rtl/>
        </w:rPr>
        <w:t>מעצור</w:t>
      </w:r>
      <w:r w:rsidR="003E2768">
        <w:rPr>
          <w:rFonts w:hint="cs"/>
          <w:rtl/>
        </w:rPr>
        <w:t xml:space="preserve"> ללידת הגופים החדשים שמגלים עוד </w:t>
      </w:r>
      <w:r w:rsidR="0011157A">
        <w:rPr>
          <w:rFonts w:hint="cs"/>
          <w:rtl/>
        </w:rPr>
        <w:t xml:space="preserve">ועוד </w:t>
      </w:r>
      <w:r w:rsidR="003E2768">
        <w:rPr>
          <w:rFonts w:hint="cs"/>
          <w:rtl/>
        </w:rPr>
        <w:t xml:space="preserve">בחינות </w:t>
      </w:r>
      <w:r w:rsidR="00835027">
        <w:rPr>
          <w:rFonts w:hint="cs"/>
          <w:rtl/>
        </w:rPr>
        <w:t xml:space="preserve">חדשות </w:t>
      </w:r>
      <w:r w:rsidR="0011157A">
        <w:rPr>
          <w:rFonts w:hint="cs"/>
          <w:rtl/>
        </w:rPr>
        <w:t>של ה</w:t>
      </w:r>
      <w:r w:rsidR="003E2768">
        <w:rPr>
          <w:rFonts w:hint="cs"/>
          <w:rtl/>
        </w:rPr>
        <w:t>צורה</w:t>
      </w:r>
      <w:r w:rsidR="00835027">
        <w:rPr>
          <w:rFonts w:hint="cs"/>
          <w:rtl/>
        </w:rPr>
        <w:t xml:space="preserve">. </w:t>
      </w:r>
      <w:r w:rsidR="00BF4801">
        <w:rPr>
          <w:rFonts w:hint="cs"/>
          <w:rtl/>
        </w:rPr>
        <w:t>הכוונה הראשונה גם היא עניינה שהמוות גורם לגילוי שלם של הצורה, כי אחרי המוות הנפש המופשטת יכולה לגלות את הצורה בשלמותה כיוון שאין מני</w:t>
      </w:r>
      <w:r w:rsidR="00DB557C">
        <w:rPr>
          <w:rFonts w:hint="cs"/>
          <w:rtl/>
        </w:rPr>
        <w:t>עה מצד החומר.</w:t>
      </w:r>
    </w:p>
    <w:p w14:paraId="05CB6D01" w14:textId="447D6B9A" w:rsidR="00F16825" w:rsidRDefault="00DB557C">
      <w:pPr>
        <w:pStyle w:val="FootnoteText"/>
      </w:pPr>
      <w:r>
        <w:rPr>
          <w:rFonts w:hint="cs"/>
          <w:rtl/>
        </w:rPr>
        <w:t>גוף שמגלה את הצורה בשלמותה</w:t>
      </w:r>
      <w:r w:rsidR="00276B93">
        <w:rPr>
          <w:rFonts w:hint="cs"/>
          <w:rtl/>
        </w:rPr>
        <w:t xml:space="preserve"> כגוף גרמי השמיים</w:t>
      </w:r>
      <w:r>
        <w:rPr>
          <w:rFonts w:hint="cs"/>
          <w:rtl/>
        </w:rPr>
        <w:t xml:space="preserve">, וכל שכן יישות מופשטת כמו נפשות המתים, </w:t>
      </w:r>
      <w:r w:rsidR="00276B93">
        <w:rPr>
          <w:rFonts w:hint="cs"/>
          <w:rtl/>
        </w:rPr>
        <w:t xml:space="preserve">יש רק אחד ממנו כמו שהבאתי לעיל מאלפראבי. ואכן אחרי המוות כל בני האדם הם יש אחד שהוא צורת האדם האחת ואין ריבוי של אנשים שונים, וכמו שכתב במורה נבוכים א' ע"ד </w:t>
      </w:r>
      <w:r w:rsidR="00892F3D">
        <w:rPr>
          <w:rFonts w:hint="cs"/>
          <w:rtl/>
        </w:rPr>
        <w:t xml:space="preserve">דרך שביעי </w:t>
      </w:r>
      <w:r w:rsidR="00276B93">
        <w:rPr>
          <w:rFonts w:hint="cs"/>
          <w:rtl/>
        </w:rPr>
        <w:t xml:space="preserve">בשם אבן צאיג. </w:t>
      </w:r>
      <w:r w:rsidR="00B608EE">
        <w:rPr>
          <w:rFonts w:hint="cs"/>
          <w:rtl/>
        </w:rPr>
        <w:t xml:space="preserve">אמנם </w:t>
      </w:r>
      <w:r w:rsidR="00300672">
        <w:rPr>
          <w:rFonts w:hint="cs"/>
          <w:rtl/>
        </w:rPr>
        <w:t>בחז"ל, והובא ברמב"ם הלכות תשובה, כתוב ש</w:t>
      </w:r>
      <w:r w:rsidR="006C04B1">
        <w:rPr>
          <w:rFonts w:hint="cs"/>
          <w:rtl/>
        </w:rPr>
        <w:t xml:space="preserve">גם </w:t>
      </w:r>
      <w:r w:rsidR="00300672">
        <w:rPr>
          <w:rFonts w:hint="cs"/>
          <w:rtl/>
        </w:rPr>
        <w:t xml:space="preserve">אחרי המוות נשאר חילוק בין נפש ראובן לנפש שמעון, </w:t>
      </w:r>
      <w:r w:rsidR="00A36A24">
        <w:rPr>
          <w:rFonts w:hint="cs"/>
          <w:rtl/>
        </w:rPr>
        <w:t xml:space="preserve">עיין באדם חי </w:t>
      </w:r>
      <w:hyperlink r:id="rId121" w:history="1">
        <w:r w:rsidR="00A36A24" w:rsidRPr="00A36A24">
          <w:rPr>
            <w:rStyle w:val="Hyperlink"/>
            <w:rFonts w:hint="cs"/>
            <w:rtl/>
          </w:rPr>
          <w:t>רשימה 274</w:t>
        </w:r>
      </w:hyperlink>
      <w:r w:rsidR="00A36A24">
        <w:rPr>
          <w:rFonts w:hint="cs"/>
          <w:rtl/>
        </w:rPr>
        <w:t xml:space="preserve"> ביאור בעניין הזה</w:t>
      </w:r>
      <w:r w:rsidR="00276B93">
        <w:rPr>
          <w:rFonts w:hint="cs"/>
          <w:rtl/>
        </w:rPr>
        <w:t xml:space="preserve">. </w:t>
      </w:r>
      <w:r>
        <w:rPr>
          <w:rFonts w:hint="cs"/>
          <w:rtl/>
        </w:rPr>
        <w:t xml:space="preserve"> </w:t>
      </w:r>
      <w:r w:rsidR="003E2768">
        <w:rPr>
          <w:rFonts w:hint="cs"/>
          <w:rtl/>
        </w:rPr>
        <w:t xml:space="preserve"> </w:t>
      </w:r>
    </w:p>
  </w:footnote>
  <w:footnote w:id="584">
    <w:p w14:paraId="268B97D6" w14:textId="6E7863B2" w:rsidR="002246E1" w:rsidRDefault="002246E1">
      <w:pPr>
        <w:pStyle w:val="FootnoteText"/>
        <w:rPr>
          <w:rtl/>
        </w:rPr>
      </w:pPr>
      <w:r>
        <w:rPr>
          <w:rStyle w:val="FootnoteReference"/>
        </w:rPr>
        <w:footnoteRef/>
      </w:r>
      <w:r>
        <w:rPr>
          <w:rtl/>
        </w:rPr>
        <w:t xml:space="preserve"> </w:t>
      </w:r>
      <w:r w:rsidR="00D5288C">
        <w:rPr>
          <w:rFonts w:hint="cs"/>
          <w:rtl/>
        </w:rPr>
        <w:t>לשון המורה נבוכים ב' י"ח</w:t>
      </w:r>
      <w:r w:rsidR="00BF3BBC">
        <w:rPr>
          <w:rFonts w:hint="cs"/>
          <w:rtl/>
        </w:rPr>
        <w:t>:</w:t>
      </w:r>
    </w:p>
    <w:p w14:paraId="528C1DB5" w14:textId="0058E522" w:rsidR="00BF3BBC" w:rsidRDefault="00BF3BBC">
      <w:pPr>
        <w:pStyle w:val="FootnoteText"/>
        <w:rPr>
          <w:rtl/>
        </w:rPr>
      </w:pPr>
      <w:r>
        <w:rPr>
          <w:rFonts w:hint="cs"/>
          <w:rtl/>
        </w:rPr>
        <w:t>"</w:t>
      </w:r>
      <w:r w:rsidRPr="00BF3BBC">
        <w:rPr>
          <w:rtl/>
        </w:rPr>
        <w:t xml:space="preserve">כי השכל הפועל אמנם </w:t>
      </w:r>
      <w:r w:rsidRPr="00BF3BBC">
        <w:rPr>
          <w:rtl/>
        </w:rPr>
        <w:t>התחיב שיעשה עת אחת ולא יעשה עת אחרת לא מפני ענין אחד בעצמו אבל מפני הכנת החמרים; אמנם הפועל ממנו הוא תמיד לכל מוכן ואם היה שם מונע מהפועל הוא מפני ההזמנה החמרית לא מפני השכל בעצמו</w:t>
      </w:r>
      <w:r>
        <w:rPr>
          <w:rFonts w:hint="cs"/>
          <w:rtl/>
        </w:rPr>
        <w:t>"</w:t>
      </w:r>
    </w:p>
    <w:p w14:paraId="2E62D4E0" w14:textId="77777777" w:rsidR="00C22B11" w:rsidRDefault="00A669D3">
      <w:pPr>
        <w:pStyle w:val="FootnoteText"/>
        <w:rPr>
          <w:rtl/>
        </w:rPr>
      </w:pPr>
      <w:r>
        <w:rPr>
          <w:rFonts w:hint="cs"/>
          <w:rtl/>
        </w:rPr>
        <w:t>השכל הפועל הוא נותן הצורה והוא הסיבה הכללית של הטבע</w:t>
      </w:r>
      <w:r w:rsidR="00BC52A1">
        <w:rPr>
          <w:rFonts w:hint="cs"/>
          <w:rtl/>
        </w:rPr>
        <w:t>. השכל הפועל משפיע תמיד את כל הצורות</w:t>
      </w:r>
      <w:r w:rsidR="0043664A">
        <w:rPr>
          <w:rFonts w:hint="cs"/>
          <w:rtl/>
        </w:rPr>
        <w:t xml:space="preserve"> באופן אחיד לכל החומר</w:t>
      </w:r>
      <w:r w:rsidR="00BC52A1">
        <w:rPr>
          <w:rFonts w:hint="cs"/>
          <w:rtl/>
        </w:rPr>
        <w:t>, והסיבה שיש גו</w:t>
      </w:r>
      <w:r w:rsidR="000E05F8">
        <w:rPr>
          <w:rFonts w:hint="cs"/>
          <w:rtl/>
        </w:rPr>
        <w:t>פ</w:t>
      </w:r>
      <w:r w:rsidR="00BC52A1">
        <w:rPr>
          <w:rFonts w:hint="cs"/>
          <w:rtl/>
        </w:rPr>
        <w:t xml:space="preserve">ים מחולקים היא מצד הזמנת החומר, שהחומר יש בו </w:t>
      </w:r>
      <w:r w:rsidR="00DD1B58">
        <w:rPr>
          <w:rFonts w:hint="cs"/>
          <w:rtl/>
        </w:rPr>
        <w:t xml:space="preserve">בכל מקום </w:t>
      </w:r>
      <w:r w:rsidR="00BC52A1">
        <w:rPr>
          <w:rFonts w:hint="cs"/>
          <w:rtl/>
        </w:rPr>
        <w:t>מזג משתנה</w:t>
      </w:r>
      <w:r w:rsidR="00DD1B58">
        <w:rPr>
          <w:rFonts w:hint="cs"/>
          <w:rtl/>
        </w:rPr>
        <w:t xml:space="preserve"> אחר</w:t>
      </w:r>
      <w:r w:rsidR="00BC52A1">
        <w:rPr>
          <w:rFonts w:hint="cs"/>
          <w:rtl/>
        </w:rPr>
        <w:t xml:space="preserve"> של תרכובת היסודות שגורם שלא כל צורה הוא מוכן לקבל</w:t>
      </w:r>
      <w:r w:rsidR="000E05F8">
        <w:rPr>
          <w:rFonts w:hint="cs"/>
          <w:rtl/>
        </w:rPr>
        <w:t xml:space="preserve">, אלא </w:t>
      </w:r>
      <w:r w:rsidR="003C46D1">
        <w:rPr>
          <w:rFonts w:hint="cs"/>
          <w:rtl/>
        </w:rPr>
        <w:t>רק צורה שהוא</w:t>
      </w:r>
      <w:r w:rsidR="000E05F8">
        <w:rPr>
          <w:rFonts w:hint="cs"/>
          <w:rtl/>
        </w:rPr>
        <w:t xml:space="preserve"> מתאים ומוכן לקבל</w:t>
      </w:r>
      <w:r w:rsidR="00BC52A1">
        <w:rPr>
          <w:rFonts w:hint="cs"/>
          <w:rtl/>
        </w:rPr>
        <w:t>.</w:t>
      </w:r>
      <w:r w:rsidR="0030784B">
        <w:rPr>
          <w:rFonts w:hint="cs"/>
          <w:rtl/>
        </w:rPr>
        <w:t xml:space="preserve"> מצד השכל הפועל </w:t>
      </w:r>
      <w:r w:rsidR="00C17C83">
        <w:rPr>
          <w:rFonts w:hint="cs"/>
          <w:rtl/>
        </w:rPr>
        <w:t>הכוונה היא לגלות את הצורות עד כמה שאפשר, וכל מקום שיכולה להתקבל בו צורה</w:t>
      </w:r>
      <w:r w:rsidR="00581073">
        <w:rPr>
          <w:rFonts w:hint="cs"/>
          <w:rtl/>
        </w:rPr>
        <w:t xml:space="preserve"> כלשהי</w:t>
      </w:r>
      <w:r w:rsidR="00C17C83">
        <w:rPr>
          <w:rFonts w:hint="cs"/>
          <w:rtl/>
        </w:rPr>
        <w:t xml:space="preserve"> החומר הראשון נותן אותה בו.</w:t>
      </w:r>
      <w:r w:rsidR="00246825">
        <w:rPr>
          <w:rFonts w:hint="cs"/>
          <w:rtl/>
        </w:rPr>
        <w:t xml:space="preserve"> אם יש בשר שמוכן לקבל צורת אצבע החומר הראשון יתן בו צורת אצבע כי כוונתו לגלות צורות כל כמה שאפשר</w:t>
      </w:r>
      <w:r w:rsidR="00386B84">
        <w:rPr>
          <w:rFonts w:hint="cs"/>
          <w:rtl/>
        </w:rPr>
        <w:t xml:space="preserve">, וגם אם זו אצבע שישית. </w:t>
      </w:r>
      <w:r w:rsidR="00925916">
        <w:rPr>
          <w:rFonts w:hint="cs"/>
          <w:rtl/>
        </w:rPr>
        <w:t xml:space="preserve">לכן מה שיש תינוק שנולד עם שש אצבעות בידו זה </w:t>
      </w:r>
      <w:r w:rsidR="008E687F">
        <w:rPr>
          <w:rFonts w:hint="cs"/>
          <w:rtl/>
        </w:rPr>
        <w:t xml:space="preserve">נובע </w:t>
      </w:r>
      <w:r w:rsidR="00925916">
        <w:rPr>
          <w:rFonts w:hint="cs"/>
          <w:rtl/>
        </w:rPr>
        <w:t xml:space="preserve">מכוונת הטבע הכללי. </w:t>
      </w:r>
      <w:r w:rsidR="00C17C83">
        <w:rPr>
          <w:rFonts w:hint="cs"/>
          <w:rtl/>
        </w:rPr>
        <w:t xml:space="preserve"> </w:t>
      </w:r>
    </w:p>
    <w:p w14:paraId="0F36FDFA" w14:textId="77777777" w:rsidR="00202245" w:rsidRDefault="00C22B11">
      <w:pPr>
        <w:pStyle w:val="FootnoteText"/>
        <w:rPr>
          <w:rtl/>
        </w:rPr>
      </w:pPr>
      <w:r>
        <w:rPr>
          <w:rFonts w:hint="cs"/>
          <w:rtl/>
        </w:rPr>
        <w:t xml:space="preserve">היה מקום לומר שחמש אצבעות </w:t>
      </w:r>
      <w:r w:rsidR="00EE2121">
        <w:rPr>
          <w:rFonts w:hint="cs"/>
          <w:rtl/>
        </w:rPr>
        <w:t xml:space="preserve">ולא שש </w:t>
      </w:r>
      <w:r>
        <w:rPr>
          <w:rFonts w:hint="cs"/>
          <w:rtl/>
        </w:rPr>
        <w:t xml:space="preserve">הוא עניין שהוא </w:t>
      </w:r>
      <w:r w:rsidR="00F86220">
        <w:rPr>
          <w:rFonts w:hint="cs"/>
          <w:rtl/>
        </w:rPr>
        <w:t>ב</w:t>
      </w:r>
      <w:r>
        <w:rPr>
          <w:rFonts w:hint="cs"/>
          <w:rtl/>
        </w:rPr>
        <w:t xml:space="preserve">צורת </w:t>
      </w:r>
      <w:r w:rsidR="00F86220">
        <w:rPr>
          <w:rFonts w:hint="cs"/>
          <w:rtl/>
        </w:rPr>
        <w:t>ה</w:t>
      </w:r>
      <w:r>
        <w:rPr>
          <w:rFonts w:hint="cs"/>
          <w:rtl/>
        </w:rPr>
        <w:t xml:space="preserve">אדם, </w:t>
      </w:r>
      <w:r w:rsidR="00EE2121">
        <w:rPr>
          <w:rFonts w:hint="cs"/>
          <w:rtl/>
        </w:rPr>
        <w:t>וכיוון שלתינוק יש צורת אדם מכח זה</w:t>
      </w:r>
      <w:r w:rsidR="00F86220">
        <w:rPr>
          <w:rFonts w:hint="cs"/>
          <w:rtl/>
        </w:rPr>
        <w:t xml:space="preserve"> </w:t>
      </w:r>
      <w:r w:rsidR="00EE2121">
        <w:rPr>
          <w:rFonts w:hint="cs"/>
          <w:rtl/>
        </w:rPr>
        <w:t>יש לו חמש אצבעות</w:t>
      </w:r>
      <w:r w:rsidR="00F86220">
        <w:rPr>
          <w:rFonts w:hint="cs"/>
          <w:rtl/>
        </w:rPr>
        <w:t xml:space="preserve">. </w:t>
      </w:r>
      <w:r w:rsidR="00E1769D">
        <w:rPr>
          <w:rFonts w:hint="cs"/>
          <w:rtl/>
        </w:rPr>
        <w:t>אמנם אם זה היה כך לעולם לא היינו רואים תינוק שנולד עם שש אצבעות, כי הצורה</w:t>
      </w:r>
      <w:r w:rsidR="00360937">
        <w:rPr>
          <w:rFonts w:hint="cs"/>
          <w:rtl/>
        </w:rPr>
        <w:t xml:space="preserve"> מצד עצמה </w:t>
      </w:r>
      <w:r w:rsidR="00E1769D">
        <w:rPr>
          <w:rFonts w:hint="cs"/>
          <w:rtl/>
        </w:rPr>
        <w:t>לא חל בה מקרה</w:t>
      </w:r>
      <w:r w:rsidR="000F2CB1">
        <w:rPr>
          <w:rFonts w:hint="cs"/>
          <w:rtl/>
        </w:rPr>
        <w:t xml:space="preserve"> לעולם (כמו שלא יתכן שמה שאחת ועוד אחת הם שתיים </w:t>
      </w:r>
      <w:r w:rsidR="00E30DF9">
        <w:rPr>
          <w:rFonts w:hint="cs"/>
          <w:rtl/>
        </w:rPr>
        <w:t>יהיה פעם אחת במקרה שהם שלוש)</w:t>
      </w:r>
      <w:r w:rsidR="00E1769D">
        <w:rPr>
          <w:rFonts w:hint="cs"/>
          <w:rtl/>
        </w:rPr>
        <w:t>.</w:t>
      </w:r>
      <w:r w:rsidR="00EB3246">
        <w:rPr>
          <w:rFonts w:hint="cs"/>
          <w:rtl/>
        </w:rPr>
        <w:t xml:space="preserve"> </w:t>
      </w:r>
      <w:r w:rsidR="003B2944">
        <w:rPr>
          <w:rFonts w:hint="cs"/>
          <w:rtl/>
        </w:rPr>
        <w:t>אם לא מונח בצורה שתהיינה דווקא חמש אצבעות, צריך ביאור למה על פי רוב יש חמש אצבעות</w:t>
      </w:r>
      <w:r w:rsidR="00FA3E40">
        <w:rPr>
          <w:rFonts w:hint="cs"/>
          <w:rtl/>
        </w:rPr>
        <w:t xml:space="preserve">, ובהכרח לומר שמזג חומר הבשר האנושי מוכן לקבל חמש אצבעות, וכיוון שזה בחומר </w:t>
      </w:r>
      <w:r w:rsidR="00C063BF">
        <w:rPr>
          <w:rFonts w:hint="cs"/>
          <w:rtl/>
        </w:rPr>
        <w:t>יתכן שיפול בו מקרה ולפעמים תהיינה שש אצבעות או ארבע</w:t>
      </w:r>
      <w:r w:rsidR="003B2944">
        <w:rPr>
          <w:rFonts w:hint="cs"/>
          <w:rtl/>
        </w:rPr>
        <w:t xml:space="preserve">. </w:t>
      </w:r>
      <w:r w:rsidR="00D62E69">
        <w:rPr>
          <w:rFonts w:hint="cs"/>
          <w:rtl/>
        </w:rPr>
        <w:t>זה נשמע תמוה, אבל האופן שבו הכנת החומר קובעת את חול הצורה בו הוא נעלם מאוד</w:t>
      </w:r>
      <w:r w:rsidR="00E1769D">
        <w:rPr>
          <w:rFonts w:hint="cs"/>
          <w:rtl/>
        </w:rPr>
        <w:t xml:space="preserve"> </w:t>
      </w:r>
      <w:r w:rsidR="00B279B7">
        <w:rPr>
          <w:rFonts w:hint="cs"/>
          <w:rtl/>
        </w:rPr>
        <w:t>ואפשר גם שיש הכנה בחומר דווקא לחמש אצבעות.</w:t>
      </w:r>
    </w:p>
    <w:p w14:paraId="3D0D1613" w14:textId="77777777" w:rsidR="00202245" w:rsidRDefault="00202245">
      <w:pPr>
        <w:pStyle w:val="FootnoteText"/>
        <w:rPr>
          <w:rtl/>
        </w:rPr>
      </w:pPr>
    </w:p>
    <w:p w14:paraId="17D6B8EC" w14:textId="77777777" w:rsidR="00202245" w:rsidRDefault="00202245">
      <w:pPr>
        <w:pStyle w:val="FootnoteText"/>
        <w:rPr>
          <w:rtl/>
        </w:rPr>
      </w:pPr>
      <w:r>
        <w:rPr>
          <w:rFonts w:hint="cs"/>
          <w:rtl/>
        </w:rPr>
        <w:t>במילות הגיון שער י"א כתב הרמב"ם:</w:t>
      </w:r>
    </w:p>
    <w:p w14:paraId="04F35E0A" w14:textId="7E41CD13" w:rsidR="00A669D3" w:rsidRDefault="00202245">
      <w:pPr>
        <w:pStyle w:val="FootnoteText"/>
        <w:rPr>
          <w:rtl/>
        </w:rPr>
      </w:pPr>
      <w:r>
        <w:rPr>
          <w:rFonts w:hint="cs"/>
          <w:rtl/>
        </w:rPr>
        <w:t>"</w:t>
      </w:r>
      <w:r w:rsidRPr="00202245">
        <w:rPr>
          <w:rtl/>
        </w:rPr>
        <w:t>כל מה שי</w:t>
      </w:r>
      <w:r w:rsidR="001B7CF0">
        <w:rPr>
          <w:rFonts w:hint="cs"/>
          <w:rtl/>
        </w:rPr>
        <w:t>י</w:t>
      </w:r>
      <w:r w:rsidRPr="00202245">
        <w:rPr>
          <w:rtl/>
        </w:rPr>
        <w:t>מצא לדבר־מה, כירידת האבן למטה וחיוב מ</w:t>
      </w:r>
      <w:r w:rsidR="001B7CF0">
        <w:rPr>
          <w:rFonts w:hint="cs"/>
          <w:rtl/>
        </w:rPr>
        <w:t>ו</w:t>
      </w:r>
      <w:r w:rsidRPr="00202245">
        <w:rPr>
          <w:rtl/>
        </w:rPr>
        <w:t>ות לבעל־חיים בזביחתו, נקראהו – בעצמות. וכן כל מה שימצא על הרוב נאמר עליו גם כן שהוא בעצמות, כאמרנו: "כל אדם בעל חמש אצבעות", ואף־על־פי שימצא בעל שש אצבעות. וכן כל מה שימצא על הרוב בזמן, כמציאות הקור בזמן הסתיו והחום בזמן הקיץ, הנה גם כן יאמר עליו שהוא בעצמות. ובכלל, העניינים הטבעיים כולם, אם יהיו על הרוב הנה הם עצמותיים, וכל מה שמציאותו על המעט יאמר עליו שהוא – במקרה, כמו שיחפור יסוד וימצא מטמון. ובכלל, העניינים המקריים כולם שאינם מכונים, היו מן האדם או מזולת האדם, נאמר על כל מה שימצא בהם שהוא היה במקרה. הנה זה ענין מה שבעצמות וענין מה שבמקרה.</w:t>
      </w:r>
      <w:r>
        <w:rPr>
          <w:rFonts w:hint="cs"/>
          <w:rtl/>
        </w:rPr>
        <w:t>"</w:t>
      </w:r>
      <w:r w:rsidR="00C17C83">
        <w:rPr>
          <w:rFonts w:hint="cs"/>
          <w:rtl/>
        </w:rPr>
        <w:t xml:space="preserve"> </w:t>
      </w:r>
      <w:r w:rsidR="00BC52A1">
        <w:rPr>
          <w:rFonts w:hint="cs"/>
          <w:rtl/>
        </w:rPr>
        <w:t xml:space="preserve"> </w:t>
      </w:r>
    </w:p>
    <w:p w14:paraId="0155438D" w14:textId="6ECB8088" w:rsidR="00DF75CF" w:rsidRDefault="00DF75CF">
      <w:pPr>
        <w:pStyle w:val="FootnoteText"/>
      </w:pPr>
      <w:r>
        <w:rPr>
          <w:rFonts w:hint="cs"/>
          <w:rtl/>
        </w:rPr>
        <w:t xml:space="preserve">עצמותו של הדבר היא צורתו, אמנם צורתו חלה בו לפי הכנת החומר, ואם יש </w:t>
      </w:r>
      <w:r w:rsidR="00CA0422">
        <w:rPr>
          <w:rFonts w:hint="cs"/>
          <w:rtl/>
        </w:rPr>
        <w:t xml:space="preserve">הכנה קבועה לחומר מטבעו, והראיה לזה שהיא </w:t>
      </w:r>
      <w:r w:rsidR="004A2114">
        <w:rPr>
          <w:rFonts w:hint="cs"/>
          <w:rtl/>
        </w:rPr>
        <w:t xml:space="preserve">בטבעו היא כי היא </w:t>
      </w:r>
      <w:r w:rsidR="00CA0422">
        <w:rPr>
          <w:rFonts w:hint="cs"/>
          <w:rtl/>
        </w:rPr>
        <w:t xml:space="preserve">קורה ברוב המקרים, זה גם נחשב חלק מעצמותו כי זה משתתף עם הצורה לקבוע אותה בחומר </w:t>
      </w:r>
      <w:r w:rsidR="003D6315">
        <w:rPr>
          <w:rFonts w:hint="cs"/>
          <w:rtl/>
        </w:rPr>
        <w:t xml:space="preserve">באופן </w:t>
      </w:r>
      <w:r w:rsidR="009C463A">
        <w:rPr>
          <w:rFonts w:hint="cs"/>
          <w:rtl/>
        </w:rPr>
        <w:t>מסוים</w:t>
      </w:r>
      <w:r w:rsidR="003D6315">
        <w:rPr>
          <w:rFonts w:hint="cs"/>
          <w:rtl/>
        </w:rPr>
        <w:t xml:space="preserve"> שיוצר</w:t>
      </w:r>
      <w:r w:rsidR="00CA0422">
        <w:rPr>
          <w:rFonts w:hint="cs"/>
          <w:rtl/>
        </w:rPr>
        <w:t xml:space="preserve"> מהחיבור עצם </w:t>
      </w:r>
      <w:r w:rsidR="004A2114">
        <w:rPr>
          <w:rFonts w:hint="cs"/>
          <w:rtl/>
        </w:rPr>
        <w:t>טבעי.</w:t>
      </w:r>
      <w:r w:rsidR="00E500E5">
        <w:rPr>
          <w:rFonts w:hint="cs"/>
          <w:rtl/>
        </w:rPr>
        <w:t xml:space="preserve"> והעניין הזה עמוק </w:t>
      </w:r>
      <w:r w:rsidR="00B94814">
        <w:rPr>
          <w:rFonts w:hint="cs"/>
          <w:rtl/>
        </w:rPr>
        <w:t xml:space="preserve">מאוד </w:t>
      </w:r>
      <w:r w:rsidR="00E500E5">
        <w:rPr>
          <w:rFonts w:hint="cs"/>
          <w:rtl/>
        </w:rPr>
        <w:t xml:space="preserve">ודורש עוד הרבה ביאור. </w:t>
      </w:r>
      <w:r w:rsidR="004A2114">
        <w:rPr>
          <w:rFonts w:hint="cs"/>
          <w:rtl/>
        </w:rPr>
        <w:t xml:space="preserve"> </w:t>
      </w:r>
    </w:p>
  </w:footnote>
  <w:footnote w:id="585">
    <w:p w14:paraId="5BDF3EB5" w14:textId="7CC5DAA9" w:rsidR="00FC0E5A" w:rsidRDefault="00BD0A1D">
      <w:pPr>
        <w:pStyle w:val="FootnoteText"/>
        <w:rPr>
          <w:rtl/>
        </w:rPr>
      </w:pPr>
      <w:r>
        <w:rPr>
          <w:rStyle w:val="FootnoteReference"/>
        </w:rPr>
        <w:footnoteRef/>
      </w:r>
      <w:r>
        <w:rPr>
          <w:rtl/>
        </w:rPr>
        <w:t xml:space="preserve"> </w:t>
      </w:r>
      <w:r w:rsidR="008D5501">
        <w:rPr>
          <w:rFonts w:hint="cs"/>
          <w:rtl/>
        </w:rPr>
        <w:t xml:space="preserve">"מקרה עצמי" אין הכוונה שאפשר שהוא לא יקרה, אלא הכוונה שאינו עצם הדבר </w:t>
      </w:r>
      <w:r w:rsidR="00BE5DAE">
        <w:rPr>
          <w:rFonts w:hint="cs"/>
          <w:rtl/>
        </w:rPr>
        <w:t>אף על פי ש</w:t>
      </w:r>
      <w:r w:rsidR="008D5501">
        <w:rPr>
          <w:rFonts w:hint="cs"/>
          <w:rtl/>
        </w:rPr>
        <w:t xml:space="preserve">הוא </w:t>
      </w:r>
      <w:r w:rsidR="00BE3BCF">
        <w:rPr>
          <w:rFonts w:hint="cs"/>
          <w:rtl/>
        </w:rPr>
        <w:t>נלווה באופן הכרחי</w:t>
      </w:r>
      <w:r w:rsidR="008D5501">
        <w:rPr>
          <w:rFonts w:hint="cs"/>
          <w:rtl/>
        </w:rPr>
        <w:t xml:space="preserve"> ל</w:t>
      </w:r>
      <w:r w:rsidR="00BE3BCF">
        <w:rPr>
          <w:rFonts w:hint="cs"/>
          <w:rtl/>
        </w:rPr>
        <w:t>עצם</w:t>
      </w:r>
      <w:r w:rsidR="008D5501">
        <w:rPr>
          <w:rFonts w:hint="cs"/>
          <w:rtl/>
        </w:rPr>
        <w:t xml:space="preserve"> הדבר.</w:t>
      </w:r>
      <w:r w:rsidR="0050261D">
        <w:rPr>
          <w:rFonts w:hint="cs"/>
          <w:rtl/>
        </w:rPr>
        <w:t xml:space="preserve"> במחשבה המודרנית אין הבחנה בין עצם הדבר ובין מקרה עצמי לו</w:t>
      </w:r>
      <w:r w:rsidR="005C44D4">
        <w:rPr>
          <w:rFonts w:hint="cs"/>
          <w:rtl/>
        </w:rPr>
        <w:t>, וגם אין יכולת תפישה בעצם הדבר בנפרד מהמקרים העצמיים, כי עצם הדבר הוא מופשט</w:t>
      </w:r>
      <w:r w:rsidR="00BB1276">
        <w:rPr>
          <w:rFonts w:hint="cs"/>
          <w:rtl/>
        </w:rPr>
        <w:t>,</w:t>
      </w:r>
      <w:r w:rsidR="005C44D4">
        <w:rPr>
          <w:rFonts w:hint="cs"/>
          <w:rtl/>
        </w:rPr>
        <w:t xml:space="preserve"> ובמחשבה המודרנית לא תופשים את המופשט כמציאות</w:t>
      </w:r>
      <w:r w:rsidR="00D4457F">
        <w:rPr>
          <w:rFonts w:hint="cs"/>
          <w:rtl/>
        </w:rPr>
        <w:t xml:space="preserve"> גמורה. למשל במחשבה הארי</w:t>
      </w:r>
      <w:r w:rsidR="004E3F58">
        <w:rPr>
          <w:rFonts w:hint="cs"/>
          <w:rtl/>
        </w:rPr>
        <w:t>ס</w:t>
      </w:r>
      <w:r w:rsidR="00D4457F">
        <w:rPr>
          <w:rFonts w:hint="cs"/>
          <w:rtl/>
        </w:rPr>
        <w:t>טוטלית אפשר</w:t>
      </w:r>
      <w:r w:rsidR="00F200E2">
        <w:rPr>
          <w:rFonts w:hint="cs"/>
          <w:rtl/>
        </w:rPr>
        <w:t xml:space="preserve"> </w:t>
      </w:r>
      <w:r w:rsidR="00D4457F">
        <w:rPr>
          <w:rFonts w:hint="cs"/>
          <w:rtl/>
        </w:rPr>
        <w:t xml:space="preserve">לחשוב על </w:t>
      </w:r>
      <w:r w:rsidR="004E3F58">
        <w:rPr>
          <w:rFonts w:hint="cs"/>
          <w:rtl/>
        </w:rPr>
        <w:t>'</w:t>
      </w:r>
      <w:r w:rsidR="00D4457F">
        <w:rPr>
          <w:rFonts w:hint="cs"/>
          <w:rtl/>
        </w:rPr>
        <w:t>מציאות</w:t>
      </w:r>
      <w:r w:rsidR="004E3F58">
        <w:rPr>
          <w:rFonts w:hint="cs"/>
          <w:rtl/>
        </w:rPr>
        <w:t>'</w:t>
      </w:r>
      <w:r w:rsidR="00D4457F">
        <w:rPr>
          <w:rFonts w:hint="cs"/>
          <w:rtl/>
        </w:rPr>
        <w:t xml:space="preserve"> כמושג</w:t>
      </w:r>
      <w:r w:rsidR="00F200E2">
        <w:rPr>
          <w:rFonts w:hint="cs"/>
          <w:rtl/>
        </w:rPr>
        <w:t xml:space="preserve"> </w:t>
      </w:r>
      <w:r w:rsidR="00D4457F">
        <w:rPr>
          <w:rFonts w:hint="cs"/>
          <w:rtl/>
        </w:rPr>
        <w:t xml:space="preserve">מופשט בלי שיש גופים </w:t>
      </w:r>
      <w:r w:rsidR="00F200E2">
        <w:rPr>
          <w:rFonts w:hint="cs"/>
          <w:rtl/>
        </w:rPr>
        <w:t xml:space="preserve">כלשהם שהם אלה שנמצאים, או על </w:t>
      </w:r>
      <w:r w:rsidR="004E3F58">
        <w:rPr>
          <w:rFonts w:hint="cs"/>
          <w:rtl/>
        </w:rPr>
        <w:t>'</w:t>
      </w:r>
      <w:r w:rsidR="00F200E2">
        <w:rPr>
          <w:rFonts w:hint="cs"/>
          <w:rtl/>
        </w:rPr>
        <w:t>גבול</w:t>
      </w:r>
      <w:r w:rsidR="004E3F58">
        <w:rPr>
          <w:rFonts w:hint="cs"/>
          <w:rtl/>
        </w:rPr>
        <w:t>'</w:t>
      </w:r>
      <w:r w:rsidR="00F200E2">
        <w:rPr>
          <w:rFonts w:hint="cs"/>
          <w:rtl/>
        </w:rPr>
        <w:t xml:space="preserve"> כמושג מופשט בלי שיש שני צדדים שהגבול גובל ביניהם</w:t>
      </w:r>
      <w:r w:rsidR="00BB1276">
        <w:rPr>
          <w:rFonts w:hint="cs"/>
          <w:rtl/>
        </w:rPr>
        <w:t xml:space="preserve"> (כמו הגבול של הגלגל המקיף שאין מצידו החיצוני מאומה וגם לא חלל ריק)</w:t>
      </w:r>
      <w:r w:rsidR="00F200E2">
        <w:rPr>
          <w:rFonts w:hint="cs"/>
          <w:rtl/>
        </w:rPr>
        <w:t xml:space="preserve">, </w:t>
      </w:r>
      <w:r w:rsidR="004E3F58">
        <w:rPr>
          <w:rFonts w:hint="cs"/>
          <w:rtl/>
        </w:rPr>
        <w:t xml:space="preserve">או על יחס </w:t>
      </w:r>
      <w:r w:rsidR="00236757">
        <w:rPr>
          <w:rFonts w:hint="cs"/>
          <w:rtl/>
        </w:rPr>
        <w:t xml:space="preserve">כלשהו </w:t>
      </w:r>
      <w:r w:rsidR="004E3F58">
        <w:rPr>
          <w:rFonts w:hint="cs"/>
          <w:rtl/>
        </w:rPr>
        <w:t xml:space="preserve">וכגון אהבה שיש לה מציאות </w:t>
      </w:r>
      <w:r w:rsidR="00236757">
        <w:rPr>
          <w:rFonts w:hint="cs"/>
          <w:rtl/>
        </w:rPr>
        <w:t xml:space="preserve">מופשטת כשלעצמה </w:t>
      </w:r>
      <w:r w:rsidR="004E3F58">
        <w:rPr>
          <w:rFonts w:hint="cs"/>
          <w:rtl/>
        </w:rPr>
        <w:t xml:space="preserve">גם בלי שיש א' מוגדר שאוהב את ב' המוגדר, ועוד הרבה כיוצא בזה. </w:t>
      </w:r>
      <w:r w:rsidR="00236757">
        <w:rPr>
          <w:rFonts w:hint="cs"/>
          <w:rtl/>
        </w:rPr>
        <w:t xml:space="preserve">עיין בזה במורה נבוכים </w:t>
      </w:r>
      <w:r w:rsidR="008C513B">
        <w:rPr>
          <w:rFonts w:hint="cs"/>
          <w:rtl/>
        </w:rPr>
        <w:t>א</w:t>
      </w:r>
      <w:r w:rsidR="00236757">
        <w:rPr>
          <w:rFonts w:hint="cs"/>
          <w:rtl/>
        </w:rPr>
        <w:t xml:space="preserve">' כ"ו, ב' </w:t>
      </w:r>
      <w:r w:rsidR="008C513B">
        <w:rPr>
          <w:rFonts w:hint="cs"/>
          <w:rtl/>
        </w:rPr>
        <w:t>מ"ט, ובאגרת תחיית המתים שהעתקתי לעיל</w:t>
      </w:r>
      <w:r w:rsidR="005E30E0">
        <w:rPr>
          <w:rFonts w:hint="cs"/>
          <w:rtl/>
        </w:rPr>
        <w:t>, שההמון תופש מציאות רק בחומר, וחומר אינו רק מה שנתפש בחושים אלא כל מה שמוגדר הוא חומר</w:t>
      </w:r>
      <w:r w:rsidR="008C513B">
        <w:rPr>
          <w:rFonts w:hint="cs"/>
          <w:rtl/>
        </w:rPr>
        <w:t xml:space="preserve">. </w:t>
      </w:r>
      <w:r w:rsidR="00002438">
        <w:rPr>
          <w:rFonts w:hint="cs"/>
          <w:rtl/>
        </w:rPr>
        <w:t xml:space="preserve">גוף טבעי תלת ממדי בלי מידות </w:t>
      </w:r>
      <w:r w:rsidR="000A7CA1">
        <w:rPr>
          <w:rFonts w:hint="cs"/>
          <w:rtl/>
        </w:rPr>
        <w:t xml:space="preserve">של אור רוחב ועומק </w:t>
      </w:r>
      <w:r w:rsidR="00002438">
        <w:rPr>
          <w:rFonts w:hint="cs"/>
          <w:rtl/>
        </w:rPr>
        <w:t>הוא יש מופשט,</w:t>
      </w:r>
      <w:r w:rsidR="0032724D">
        <w:rPr>
          <w:rFonts w:hint="cs"/>
          <w:rtl/>
        </w:rPr>
        <w:t xml:space="preserve"> </w:t>
      </w:r>
      <w:r w:rsidR="000A7CA1">
        <w:rPr>
          <w:rFonts w:hint="cs"/>
          <w:rtl/>
        </w:rPr>
        <w:t xml:space="preserve">ותמיד קטגוריית העצם של אריסטו היא </w:t>
      </w:r>
      <w:r w:rsidR="00B42FD3">
        <w:rPr>
          <w:rFonts w:hint="cs"/>
          <w:rtl/>
        </w:rPr>
        <w:t xml:space="preserve">מצד עצמה </w:t>
      </w:r>
      <w:r w:rsidR="000A7CA1">
        <w:rPr>
          <w:rFonts w:hint="cs"/>
          <w:rtl/>
        </w:rPr>
        <w:t xml:space="preserve">יש מופשט, כי אין לה </w:t>
      </w:r>
      <w:r w:rsidR="00BD5FC1">
        <w:rPr>
          <w:rFonts w:hint="cs"/>
          <w:rtl/>
        </w:rPr>
        <w:t xml:space="preserve">שום </w:t>
      </w:r>
      <w:r w:rsidR="000A7CA1">
        <w:rPr>
          <w:rFonts w:hint="cs"/>
          <w:rtl/>
        </w:rPr>
        <w:t>מידות ו</w:t>
      </w:r>
      <w:r w:rsidR="00BD5FC1">
        <w:rPr>
          <w:rFonts w:hint="cs"/>
          <w:rtl/>
        </w:rPr>
        <w:t>שום</w:t>
      </w:r>
      <w:r w:rsidR="000A7CA1">
        <w:rPr>
          <w:rFonts w:hint="cs"/>
          <w:rtl/>
        </w:rPr>
        <w:t xml:space="preserve"> </w:t>
      </w:r>
      <w:r w:rsidR="00B42FD3">
        <w:rPr>
          <w:rFonts w:hint="cs"/>
          <w:rtl/>
        </w:rPr>
        <w:t>איכויות ולא זמן ומקום</w:t>
      </w:r>
      <w:r w:rsidR="00EA718D">
        <w:rPr>
          <w:rFonts w:hint="cs"/>
          <w:rtl/>
        </w:rPr>
        <w:t xml:space="preserve"> ולא יחס</w:t>
      </w:r>
      <w:r w:rsidR="00B42FD3">
        <w:rPr>
          <w:rFonts w:hint="cs"/>
          <w:rtl/>
        </w:rPr>
        <w:t xml:space="preserve">, </w:t>
      </w:r>
      <w:r w:rsidR="00FB22DF">
        <w:rPr>
          <w:rFonts w:hint="cs"/>
          <w:rtl/>
        </w:rPr>
        <w:t xml:space="preserve">ולכן אינו יכול להיתפש כנמצא במחשבה המודרנית והיא בהכרח מזהה את </w:t>
      </w:r>
      <w:r w:rsidR="00EC261C">
        <w:rPr>
          <w:rFonts w:hint="cs"/>
          <w:rtl/>
        </w:rPr>
        <w:t>ה</w:t>
      </w:r>
      <w:r w:rsidR="00EA718D">
        <w:rPr>
          <w:rFonts w:hint="cs"/>
          <w:rtl/>
        </w:rPr>
        <w:t xml:space="preserve">עצם עם </w:t>
      </w:r>
      <w:r w:rsidR="00EC261C">
        <w:rPr>
          <w:rFonts w:hint="cs"/>
          <w:rtl/>
        </w:rPr>
        <w:t>מקרים שאינם מהעצם וכגון</w:t>
      </w:r>
      <w:r w:rsidR="00FB22DF">
        <w:rPr>
          <w:rFonts w:hint="cs"/>
          <w:rtl/>
        </w:rPr>
        <w:t xml:space="preserve"> המידות</w:t>
      </w:r>
      <w:r w:rsidR="00FB18C2">
        <w:rPr>
          <w:rFonts w:hint="cs"/>
          <w:rtl/>
        </w:rPr>
        <w:t xml:space="preserve"> וגם האיכויות והזמן והמקום</w:t>
      </w:r>
      <w:r w:rsidR="00FC0E5A">
        <w:rPr>
          <w:rFonts w:hint="cs"/>
          <w:rtl/>
        </w:rPr>
        <w:t>.</w:t>
      </w:r>
    </w:p>
    <w:p w14:paraId="3D67A575" w14:textId="77777777" w:rsidR="00911C31" w:rsidRDefault="00FC0E5A">
      <w:pPr>
        <w:pStyle w:val="FootnoteText"/>
        <w:rPr>
          <w:rtl/>
        </w:rPr>
      </w:pPr>
      <w:r>
        <w:rPr>
          <w:rFonts w:hint="cs"/>
          <w:rtl/>
        </w:rPr>
        <w:t xml:space="preserve">מפורסמת טענה של </w:t>
      </w:r>
      <w:r>
        <w:rPr>
          <w:rFonts w:hint="cs"/>
          <w:rtl/>
        </w:rPr>
        <w:t xml:space="preserve">ברטראנד ראסל כלפי אריסטו, שלפי אריסטו קטגוריית העצם של סוס היא </w:t>
      </w:r>
      <w:r w:rsidR="00E56D17">
        <w:rPr>
          <w:rFonts w:hint="cs"/>
          <w:rtl/>
        </w:rPr>
        <w:t xml:space="preserve">מציאות גם </w:t>
      </w:r>
      <w:r>
        <w:rPr>
          <w:rFonts w:hint="cs"/>
          <w:rtl/>
        </w:rPr>
        <w:t xml:space="preserve">ללא כל </w:t>
      </w:r>
      <w:r w:rsidR="00E56D17">
        <w:rPr>
          <w:rFonts w:hint="cs"/>
          <w:rtl/>
        </w:rPr>
        <w:t xml:space="preserve">שאר </w:t>
      </w:r>
      <w:r w:rsidR="006F3C67">
        <w:rPr>
          <w:rFonts w:hint="cs"/>
          <w:rtl/>
        </w:rPr>
        <w:t xml:space="preserve">תשע </w:t>
      </w:r>
      <w:r w:rsidR="00E56D17">
        <w:rPr>
          <w:rFonts w:hint="cs"/>
          <w:rtl/>
        </w:rPr>
        <w:t xml:space="preserve">הקטגוריות </w:t>
      </w:r>
      <w:r w:rsidR="00FB18C2">
        <w:rPr>
          <w:rFonts w:hint="cs"/>
          <w:rtl/>
        </w:rPr>
        <w:t xml:space="preserve">שהן </w:t>
      </w:r>
      <w:r>
        <w:rPr>
          <w:rFonts w:hint="cs"/>
          <w:rtl/>
        </w:rPr>
        <w:t>ה</w:t>
      </w:r>
      <w:r w:rsidR="00C03BE3">
        <w:rPr>
          <w:rFonts w:hint="cs"/>
          <w:rtl/>
        </w:rPr>
        <w:t xml:space="preserve">גדלים של מידותיו </w:t>
      </w:r>
      <w:r>
        <w:rPr>
          <w:rFonts w:hint="cs"/>
          <w:rtl/>
        </w:rPr>
        <w:t>והאיכויות שלו והזמן והמקום שלו</w:t>
      </w:r>
      <w:r w:rsidR="00C03BE3">
        <w:rPr>
          <w:rFonts w:hint="cs"/>
          <w:rtl/>
        </w:rPr>
        <w:t xml:space="preserve"> ועוד כיו"ב</w:t>
      </w:r>
      <w:r>
        <w:rPr>
          <w:rFonts w:hint="cs"/>
          <w:rtl/>
        </w:rPr>
        <w:t>, ובר</w:t>
      </w:r>
      <w:r w:rsidR="00E56D17">
        <w:rPr>
          <w:rFonts w:hint="cs"/>
          <w:rtl/>
        </w:rPr>
        <w:t>טראנד ראסל טוען ש</w:t>
      </w:r>
      <w:r w:rsidR="006F3C67">
        <w:rPr>
          <w:rFonts w:hint="cs"/>
          <w:rtl/>
        </w:rPr>
        <w:t>ללא שאר הקטגוריות</w:t>
      </w:r>
      <w:r w:rsidR="00911C31">
        <w:rPr>
          <w:rFonts w:hint="cs"/>
          <w:rtl/>
        </w:rPr>
        <w:t xml:space="preserve"> שאינן 'עצם'</w:t>
      </w:r>
      <w:r w:rsidR="00E56D17">
        <w:rPr>
          <w:rFonts w:hint="cs"/>
          <w:rtl/>
        </w:rPr>
        <w:t xml:space="preserve"> לא נשאר כאן סוס כלל</w:t>
      </w:r>
      <w:r w:rsidR="00411273">
        <w:rPr>
          <w:rFonts w:hint="cs"/>
          <w:rtl/>
        </w:rPr>
        <w:t xml:space="preserve"> (אין לו מציאות כלל, וגם לו הייתה במה הוא שונה מכל גוף אחר בעולם)</w:t>
      </w:r>
      <w:r w:rsidR="006F3C67">
        <w:rPr>
          <w:rFonts w:hint="cs"/>
          <w:rtl/>
        </w:rPr>
        <w:t xml:space="preserve">, ואין משמעות למושג </w:t>
      </w:r>
      <w:r w:rsidR="00911C31">
        <w:rPr>
          <w:rFonts w:hint="cs"/>
          <w:rtl/>
        </w:rPr>
        <w:t>האריסטוטלי '</w:t>
      </w:r>
      <w:r w:rsidR="006F3C67">
        <w:rPr>
          <w:rFonts w:hint="cs"/>
          <w:rtl/>
        </w:rPr>
        <w:t>קטגוריית העצם</w:t>
      </w:r>
      <w:r w:rsidR="00911C31">
        <w:rPr>
          <w:rFonts w:hint="cs"/>
          <w:rtl/>
        </w:rPr>
        <w:t>'</w:t>
      </w:r>
      <w:r w:rsidR="006F3C67">
        <w:rPr>
          <w:rFonts w:hint="cs"/>
          <w:rtl/>
        </w:rPr>
        <w:t xml:space="preserve"> של הסוס</w:t>
      </w:r>
      <w:r w:rsidR="00E56D17">
        <w:rPr>
          <w:rFonts w:hint="cs"/>
          <w:rtl/>
        </w:rPr>
        <w:t xml:space="preserve">. </w:t>
      </w:r>
    </w:p>
    <w:p w14:paraId="65D582C1" w14:textId="77777777" w:rsidR="006B4512" w:rsidRDefault="00411273">
      <w:pPr>
        <w:pStyle w:val="FootnoteText"/>
        <w:rPr>
          <w:rtl/>
        </w:rPr>
      </w:pPr>
      <w:r>
        <w:rPr>
          <w:rFonts w:hint="cs"/>
          <w:rtl/>
        </w:rPr>
        <w:t xml:space="preserve">לפי אריסטו </w:t>
      </w:r>
      <w:r w:rsidR="00FC0085">
        <w:rPr>
          <w:rFonts w:hint="cs"/>
          <w:rtl/>
        </w:rPr>
        <w:t>אפשר לחשוב על זה במשל</w:t>
      </w:r>
      <w:r w:rsidR="006363AC">
        <w:rPr>
          <w:rFonts w:hint="cs"/>
          <w:rtl/>
        </w:rPr>
        <w:t xml:space="preserve"> -</w:t>
      </w:r>
      <w:r w:rsidR="00FC0085">
        <w:rPr>
          <w:rFonts w:hint="cs"/>
          <w:rtl/>
        </w:rPr>
        <w:t xml:space="preserve"> </w:t>
      </w:r>
      <w:r w:rsidR="006363AC">
        <w:rPr>
          <w:rFonts w:hint="cs"/>
          <w:rtl/>
        </w:rPr>
        <w:t>השמש לפני הזריחה היא מתחת לתחום של האופק</w:t>
      </w:r>
      <w:r w:rsidR="00DE624C">
        <w:rPr>
          <w:rFonts w:hint="cs"/>
          <w:rtl/>
        </w:rPr>
        <w:t>, אינה נראית, אין בה תפישה</w:t>
      </w:r>
      <w:r w:rsidR="006363AC">
        <w:rPr>
          <w:rFonts w:hint="cs"/>
          <w:rtl/>
        </w:rPr>
        <w:t xml:space="preserve">. היא עולה עד שמתגלה מעל האופק, ושם נתפשת במושגים של "מעל האופק" שהם גדלים בעלי מידה מוגדרת, </w:t>
      </w:r>
      <w:r w:rsidR="00DE624C">
        <w:rPr>
          <w:rFonts w:hint="cs"/>
          <w:rtl/>
        </w:rPr>
        <w:t xml:space="preserve">צבע, טמפרטורה וכו'. </w:t>
      </w:r>
      <w:r w:rsidR="00082E8D">
        <w:rPr>
          <w:rFonts w:hint="cs"/>
          <w:rtl/>
        </w:rPr>
        <w:t xml:space="preserve">אם השמש כולה עדיין מתחת לקו האופק, ורק נקודה אחת בה נוגעת בקו האופק, הרי שכבר הפציעה מהתחום הנסתר של מתחת לקו האופק, </w:t>
      </w:r>
      <w:r w:rsidR="006B4512">
        <w:rPr>
          <w:rFonts w:hint="cs"/>
          <w:rtl/>
        </w:rPr>
        <w:t xml:space="preserve">אבל זו רק נקודה, ועוד לא מתגלה כאן שום גודל נמדד ושום צבע וכו'. </w:t>
      </w:r>
    </w:p>
    <w:p w14:paraId="60812E91" w14:textId="22BEB45B" w:rsidR="006363AC" w:rsidRDefault="009715EA">
      <w:pPr>
        <w:pStyle w:val="FootnoteText"/>
        <w:rPr>
          <w:rtl/>
        </w:rPr>
      </w:pPr>
      <w:r>
        <w:rPr>
          <w:rFonts w:hint="cs"/>
          <w:rtl/>
        </w:rPr>
        <w:t xml:space="preserve">במקרה של סוס, </w:t>
      </w:r>
      <w:r w:rsidR="006B4512">
        <w:rPr>
          <w:rFonts w:hint="cs"/>
          <w:rtl/>
        </w:rPr>
        <w:t>המופשט הנסתר</w:t>
      </w:r>
      <w:r>
        <w:rPr>
          <w:rFonts w:hint="cs"/>
          <w:rtl/>
        </w:rPr>
        <w:t xml:space="preserve"> הוא החיים כשלעצמם, לא משהו מוגדר שחי אלא החיים כחיים, </w:t>
      </w:r>
      <w:r w:rsidR="00321B79">
        <w:rPr>
          <w:rFonts w:hint="cs"/>
          <w:rtl/>
        </w:rPr>
        <w:t>כללים אין סופיים ואחדים, חסרי כל הגדרה, החיים כיש מופשט שאין לנו תפישה בו.</w:t>
      </w:r>
      <w:r w:rsidR="00DB6BAB">
        <w:rPr>
          <w:rFonts w:hint="cs"/>
          <w:rtl/>
        </w:rPr>
        <w:t xml:space="preserve"> מהמופשט הזה נובע סוס כאופן </w:t>
      </w:r>
      <w:r w:rsidR="009C463A">
        <w:rPr>
          <w:rFonts w:hint="cs"/>
          <w:rtl/>
        </w:rPr>
        <w:t>מסוים</w:t>
      </w:r>
      <w:r w:rsidR="00DB6BAB">
        <w:rPr>
          <w:rFonts w:hint="cs"/>
          <w:rtl/>
        </w:rPr>
        <w:t xml:space="preserve"> מוגדר של חיים. בנקודת הנביעה עצמה, שהיא כמו </w:t>
      </w:r>
      <w:r w:rsidR="005905DB">
        <w:rPr>
          <w:rFonts w:hint="cs"/>
          <w:rtl/>
        </w:rPr>
        <w:t xml:space="preserve">נקודת הפצעת הזריחה, עוד אין שום דבר מוגדר, הכל עדיין לא נתפש יותר ממה שהמופשט יכול להיות נתפש, </w:t>
      </w:r>
      <w:r w:rsidR="00C27931">
        <w:rPr>
          <w:rFonts w:hint="cs"/>
          <w:rtl/>
        </w:rPr>
        <w:t xml:space="preserve">אבל הנקודה היא כבר שינוי של התחלת יציאה מהמופשט המוחלט. </w:t>
      </w:r>
      <w:r w:rsidR="00EC1553">
        <w:rPr>
          <w:rFonts w:hint="cs"/>
          <w:rtl/>
        </w:rPr>
        <w:t xml:space="preserve">אפשר לומר שהנקודה היא התחדשות האפשרות שהמופשט יפציע לדבר מוגדר, אע"פ שהאפשרות הזו עדיין לא התממשה. </w:t>
      </w:r>
      <w:r w:rsidR="00740207">
        <w:rPr>
          <w:rFonts w:hint="cs"/>
          <w:rtl/>
        </w:rPr>
        <w:t>זה עניין הנקודה ההיולית שכתב הרמב"ן על בראשית א' א', וזה נקרא ספירת החכמה (כמו שהביא שם הרמב"ן בסוף דבריו מהתרגום ירושלמי), ובכל גוף יש את בחינת ספירת החכמה שבו</w:t>
      </w:r>
      <w:r w:rsidR="00F562DC">
        <w:rPr>
          <w:rFonts w:hint="cs"/>
          <w:rtl/>
        </w:rPr>
        <w:t>, שהיא קטגוריית ה'עצם' האריסטוטלית</w:t>
      </w:r>
      <w:r w:rsidR="00740207">
        <w:rPr>
          <w:rFonts w:hint="cs"/>
          <w:rtl/>
        </w:rPr>
        <w:t>.</w:t>
      </w:r>
      <w:r w:rsidR="005905DB">
        <w:rPr>
          <w:rFonts w:hint="cs"/>
          <w:rtl/>
        </w:rPr>
        <w:t xml:space="preserve"> </w:t>
      </w:r>
      <w:r w:rsidR="00F562DC">
        <w:rPr>
          <w:rFonts w:hint="cs"/>
          <w:rtl/>
        </w:rPr>
        <w:t xml:space="preserve">מידות אורך מוגדרות אינן מהעצם, כי הוא רק נקודה חסרת מידות, </w:t>
      </w:r>
      <w:r w:rsidR="0051579E">
        <w:rPr>
          <w:rFonts w:hint="cs"/>
          <w:rtl/>
        </w:rPr>
        <w:t>ולכן הן נקראות מקרה של העצם. אבל כדי להתגלות בעולם הארצי ולהיות נחשב כ'נמצא' בו המקרה הזה הכרחי</w:t>
      </w:r>
      <w:r w:rsidR="00DC1226">
        <w:rPr>
          <w:rFonts w:hint="cs"/>
          <w:rtl/>
        </w:rPr>
        <w:t xml:space="preserve"> ועצמי</w:t>
      </w:r>
      <w:r w:rsidR="0051579E">
        <w:rPr>
          <w:rFonts w:hint="cs"/>
          <w:rtl/>
        </w:rPr>
        <w:t xml:space="preserve">. </w:t>
      </w:r>
      <w:r w:rsidR="00321B79">
        <w:rPr>
          <w:rFonts w:hint="cs"/>
          <w:rtl/>
        </w:rPr>
        <w:t xml:space="preserve"> </w:t>
      </w:r>
      <w:r w:rsidR="006B4512">
        <w:rPr>
          <w:rFonts w:hint="cs"/>
          <w:rtl/>
        </w:rPr>
        <w:t xml:space="preserve"> </w:t>
      </w:r>
      <w:r w:rsidR="00082E8D">
        <w:rPr>
          <w:rFonts w:hint="cs"/>
          <w:rtl/>
        </w:rPr>
        <w:t xml:space="preserve"> </w:t>
      </w:r>
    </w:p>
    <w:p w14:paraId="621BFCB2" w14:textId="47F8BA41" w:rsidR="00BD0A1D" w:rsidRDefault="00A6214E">
      <w:pPr>
        <w:pStyle w:val="FootnoteText"/>
      </w:pPr>
      <w:r>
        <w:rPr>
          <w:rFonts w:hint="cs"/>
          <w:rtl/>
        </w:rPr>
        <w:t xml:space="preserve">לקמן </w:t>
      </w:r>
      <w:r w:rsidR="005E0347">
        <w:rPr>
          <w:rFonts w:hint="cs"/>
          <w:rtl/>
        </w:rPr>
        <w:t xml:space="preserve">בסמוך </w:t>
      </w:r>
      <w:r>
        <w:rPr>
          <w:rFonts w:hint="cs"/>
          <w:rtl/>
        </w:rPr>
        <w:t>העתקתי את לשון אלפראבי ש</w:t>
      </w:r>
      <w:r w:rsidR="007F4ED7">
        <w:rPr>
          <w:rFonts w:hint="cs"/>
          <w:rtl/>
        </w:rPr>
        <w:t>אומר</w:t>
      </w:r>
      <w:r>
        <w:rPr>
          <w:rFonts w:hint="cs"/>
          <w:rtl/>
        </w:rPr>
        <w:t xml:space="preserve"> את העניין הזה</w:t>
      </w:r>
      <w:r w:rsidR="007F4ED7">
        <w:rPr>
          <w:rFonts w:hint="cs"/>
          <w:rtl/>
        </w:rPr>
        <w:t xml:space="preserve"> בדרך יותר מפורטת מדוייקת ועמוקה</w:t>
      </w:r>
      <w:r>
        <w:rPr>
          <w:rFonts w:hint="cs"/>
          <w:rtl/>
        </w:rPr>
        <w:t xml:space="preserve">. </w:t>
      </w:r>
      <w:r w:rsidR="007A01DC">
        <w:rPr>
          <w:rFonts w:hint="cs"/>
          <w:rtl/>
        </w:rPr>
        <w:t xml:space="preserve"> </w:t>
      </w:r>
      <w:r w:rsidR="008D5501">
        <w:rPr>
          <w:rFonts w:hint="cs"/>
          <w:rtl/>
        </w:rPr>
        <w:t xml:space="preserve"> </w:t>
      </w:r>
    </w:p>
  </w:footnote>
  <w:footnote w:id="586">
    <w:p w14:paraId="6376C146" w14:textId="5AF93E5A" w:rsidR="00402FE2" w:rsidRDefault="00391E9C" w:rsidP="005E0347">
      <w:pPr>
        <w:pStyle w:val="FootnoteText"/>
      </w:pPr>
      <w:r>
        <w:rPr>
          <w:rStyle w:val="FootnoteReference"/>
        </w:rPr>
        <w:footnoteRef/>
      </w:r>
      <w:r>
        <w:rPr>
          <w:rtl/>
        </w:rPr>
        <w:t xml:space="preserve"> </w:t>
      </w:r>
      <w:r w:rsidR="008822B8">
        <w:rPr>
          <w:rFonts w:hint="cs"/>
          <w:rtl/>
        </w:rPr>
        <w:t>הגובה הרוחב והעומק שאי אפשר להצביע עליהם, הם צורת התלת ממדיות</w:t>
      </w:r>
      <w:r w:rsidR="007F4ED7">
        <w:rPr>
          <w:rFonts w:hint="cs"/>
          <w:rtl/>
        </w:rPr>
        <w:t xml:space="preserve"> המופשטת</w:t>
      </w:r>
      <w:r w:rsidR="008822B8">
        <w:rPr>
          <w:rFonts w:hint="cs"/>
          <w:rtl/>
        </w:rPr>
        <w:t>, שנקראת בספרי הקבלה הבוהו</w:t>
      </w:r>
      <w:r w:rsidR="00A62739">
        <w:rPr>
          <w:rFonts w:hint="cs"/>
          <w:rtl/>
        </w:rPr>
        <w:t xml:space="preserve">. </w:t>
      </w:r>
      <w:r w:rsidR="00ED57ED">
        <w:rPr>
          <w:rFonts w:hint="cs"/>
          <w:rtl/>
        </w:rPr>
        <w:t xml:space="preserve">התלת ממדיות המופשטת, </w:t>
      </w:r>
      <w:r w:rsidR="00290425">
        <w:rPr>
          <w:rFonts w:hint="cs"/>
          <w:rtl/>
        </w:rPr>
        <w:t xml:space="preserve">כשלעצמה, </w:t>
      </w:r>
      <w:r w:rsidR="00ED57ED">
        <w:rPr>
          <w:rFonts w:hint="cs"/>
          <w:rtl/>
        </w:rPr>
        <w:t xml:space="preserve">ללא שיש גופים </w:t>
      </w:r>
      <w:r w:rsidR="009C463A">
        <w:rPr>
          <w:rFonts w:hint="cs"/>
          <w:rtl/>
        </w:rPr>
        <w:t>מסוימים</w:t>
      </w:r>
      <w:r w:rsidR="00ED57ED">
        <w:rPr>
          <w:rFonts w:hint="cs"/>
          <w:rtl/>
        </w:rPr>
        <w:t xml:space="preserve"> שהם תלת ממדיים</w:t>
      </w:r>
      <w:r w:rsidR="001A73EE">
        <w:rPr>
          <w:rFonts w:hint="cs"/>
          <w:rtl/>
        </w:rPr>
        <w:t xml:space="preserve">, </w:t>
      </w:r>
      <w:r w:rsidR="00A62739">
        <w:rPr>
          <w:rFonts w:hint="cs"/>
          <w:rtl/>
        </w:rPr>
        <w:t>היא</w:t>
      </w:r>
      <w:r w:rsidR="001A73EE">
        <w:rPr>
          <w:rFonts w:hint="cs"/>
          <w:rtl/>
        </w:rPr>
        <w:t xml:space="preserve"> </w:t>
      </w:r>
      <w:r w:rsidR="00A62739">
        <w:rPr>
          <w:rFonts w:hint="cs"/>
          <w:rtl/>
        </w:rPr>
        <w:t xml:space="preserve">הצורה הראשונה, </w:t>
      </w:r>
      <w:r w:rsidR="001A73EE">
        <w:rPr>
          <w:rFonts w:hint="cs"/>
          <w:rtl/>
        </w:rPr>
        <w:t>עוד ל</w:t>
      </w:r>
      <w:r w:rsidR="00FF1C5B">
        <w:rPr>
          <w:rFonts w:hint="cs"/>
          <w:rtl/>
        </w:rPr>
        <w:t>פ</w:t>
      </w:r>
      <w:r w:rsidR="001A73EE">
        <w:rPr>
          <w:rFonts w:hint="cs"/>
          <w:rtl/>
        </w:rPr>
        <w:t>ני שנבראו</w:t>
      </w:r>
      <w:r w:rsidR="00A62739">
        <w:rPr>
          <w:rFonts w:hint="cs"/>
          <w:rtl/>
        </w:rPr>
        <w:t xml:space="preserve"> שאר </w:t>
      </w:r>
      <w:r w:rsidR="001A73EE">
        <w:rPr>
          <w:rFonts w:hint="cs"/>
          <w:rtl/>
        </w:rPr>
        <w:t xml:space="preserve"> הצורות</w:t>
      </w:r>
      <w:r w:rsidR="00A62739">
        <w:rPr>
          <w:rFonts w:hint="cs"/>
          <w:rtl/>
        </w:rPr>
        <w:t xml:space="preserve"> ולפני בריאת צורות ארבעת היסודות</w:t>
      </w:r>
      <w:r w:rsidR="00ED57ED">
        <w:rPr>
          <w:rFonts w:hint="cs"/>
          <w:rtl/>
        </w:rPr>
        <w:t xml:space="preserve">. </w:t>
      </w:r>
      <w:r w:rsidR="00290425">
        <w:rPr>
          <w:rFonts w:hint="cs"/>
          <w:rtl/>
        </w:rPr>
        <w:t>וכמו ש</w:t>
      </w:r>
      <w:r w:rsidR="00A2404F">
        <w:rPr>
          <w:rFonts w:hint="cs"/>
          <w:rtl/>
        </w:rPr>
        <w:t>כתבתי</w:t>
      </w:r>
      <w:r w:rsidR="00290425">
        <w:rPr>
          <w:rFonts w:hint="cs"/>
          <w:rtl/>
        </w:rPr>
        <w:t xml:space="preserve"> לעיל </w:t>
      </w:r>
      <w:r w:rsidR="00A2404F">
        <w:rPr>
          <w:rFonts w:hint="cs"/>
          <w:rtl/>
        </w:rPr>
        <w:t>ב</w:t>
      </w:r>
      <w:r w:rsidR="00290425">
        <w:rPr>
          <w:rFonts w:hint="cs"/>
          <w:rtl/>
        </w:rPr>
        <w:t xml:space="preserve">עניין זה, וביותר </w:t>
      </w:r>
      <w:r w:rsidR="00A2404F">
        <w:rPr>
          <w:rFonts w:hint="cs"/>
          <w:rtl/>
        </w:rPr>
        <w:t xml:space="preserve">התבאר </w:t>
      </w:r>
      <w:r w:rsidR="00290425">
        <w:rPr>
          <w:rFonts w:hint="cs"/>
          <w:rtl/>
        </w:rPr>
        <w:t>ב</w:t>
      </w:r>
      <w:hyperlink r:id="rId122" w:history="1">
        <w:r w:rsidR="00290425" w:rsidRPr="003F7A99">
          <w:rPr>
            <w:rStyle w:val="Hyperlink"/>
            <w:rFonts w:hint="cs"/>
            <w:rtl/>
          </w:rPr>
          <w:t>רמיזות והערות</w:t>
        </w:r>
      </w:hyperlink>
      <w:r w:rsidR="00290425">
        <w:rPr>
          <w:rFonts w:hint="cs"/>
          <w:rtl/>
        </w:rPr>
        <w:t xml:space="preserve">. </w:t>
      </w:r>
      <w:r w:rsidR="004557D3">
        <w:rPr>
          <w:rFonts w:hint="cs"/>
          <w:rtl/>
        </w:rPr>
        <w:t xml:space="preserve">כאן </w:t>
      </w:r>
      <w:r w:rsidR="00903015">
        <w:rPr>
          <w:rFonts w:hint="cs"/>
          <w:rtl/>
        </w:rPr>
        <w:t xml:space="preserve">לא מדובר בצורת התלת ממדיות המופשטת, אלא </w:t>
      </w:r>
      <w:r w:rsidR="003B53A1">
        <w:rPr>
          <w:rFonts w:hint="cs"/>
          <w:rtl/>
        </w:rPr>
        <w:t xml:space="preserve">מדובר </w:t>
      </w:r>
      <w:r w:rsidR="00903015">
        <w:rPr>
          <w:rFonts w:hint="cs"/>
          <w:rtl/>
        </w:rPr>
        <w:t xml:space="preserve">אחרי שיש </w:t>
      </w:r>
      <w:r w:rsidR="003B53A1">
        <w:rPr>
          <w:rFonts w:hint="cs"/>
          <w:rtl/>
        </w:rPr>
        <w:t>כבר גוף טבעי</w:t>
      </w:r>
      <w:r w:rsidR="009200F0">
        <w:rPr>
          <w:rFonts w:hint="cs"/>
          <w:rtl/>
        </w:rPr>
        <w:t xml:space="preserve"> ו</w:t>
      </w:r>
      <w:r w:rsidR="00903015">
        <w:rPr>
          <w:rFonts w:hint="cs"/>
          <w:rtl/>
        </w:rPr>
        <w:t>מדובר במידות שלו</w:t>
      </w:r>
      <w:r w:rsidR="003B53A1">
        <w:rPr>
          <w:rFonts w:hint="cs"/>
          <w:rtl/>
        </w:rPr>
        <w:t xml:space="preserve"> שהוא לובש בהכרח כשהוא מתחבר לחומר</w:t>
      </w:r>
      <w:r w:rsidR="00903015">
        <w:rPr>
          <w:rFonts w:hint="cs"/>
          <w:rtl/>
        </w:rPr>
        <w:t xml:space="preserve">, ועל זה </w:t>
      </w:r>
      <w:r w:rsidR="003B53A1">
        <w:rPr>
          <w:rFonts w:hint="cs"/>
          <w:rtl/>
        </w:rPr>
        <w:t>אפשר</w:t>
      </w:r>
      <w:r w:rsidR="00903015">
        <w:rPr>
          <w:rFonts w:hint="cs"/>
          <w:rtl/>
        </w:rPr>
        <w:t xml:space="preserve"> להצביע. </w:t>
      </w:r>
      <w:r w:rsidR="004557D3">
        <w:rPr>
          <w:rFonts w:hint="cs"/>
          <w:rtl/>
        </w:rPr>
        <w:t xml:space="preserve">מדובר במקרה ממקרי הגוף הטבעי, </w:t>
      </w:r>
      <w:r w:rsidR="00663EEA">
        <w:rPr>
          <w:rFonts w:hint="cs"/>
          <w:rtl/>
        </w:rPr>
        <w:t xml:space="preserve">מקרה שקיים אחרי שהגוף המוגדר </w:t>
      </w:r>
      <w:r w:rsidR="00663EEA">
        <w:rPr>
          <w:rFonts w:hint="cs"/>
          <w:rtl/>
        </w:rPr>
        <w:t>המסו</w:t>
      </w:r>
      <w:r w:rsidR="004348F9">
        <w:rPr>
          <w:rFonts w:hint="cs"/>
          <w:rtl/>
        </w:rPr>
        <w:t>י</w:t>
      </w:r>
      <w:r w:rsidR="00663EEA">
        <w:rPr>
          <w:rFonts w:hint="cs"/>
          <w:rtl/>
        </w:rPr>
        <w:t xml:space="preserve">ים </w:t>
      </w:r>
      <w:r w:rsidR="009200F0">
        <w:rPr>
          <w:rFonts w:hint="cs"/>
          <w:rtl/>
        </w:rPr>
        <w:t>יצא אל הפועל ל</w:t>
      </w:r>
      <w:r w:rsidR="008A234F">
        <w:rPr>
          <w:rFonts w:hint="cs"/>
          <w:rtl/>
        </w:rPr>
        <w:t>התקיים בעולם הטבעי</w:t>
      </w:r>
      <w:r w:rsidR="00FF1C5B">
        <w:rPr>
          <w:rFonts w:hint="cs"/>
          <w:rtl/>
        </w:rPr>
        <w:t>.</w:t>
      </w:r>
    </w:p>
    <w:p w14:paraId="21951E0F" w14:textId="31E26D94" w:rsidR="007D7C2F" w:rsidRDefault="009F033F">
      <w:pPr>
        <w:pStyle w:val="FootnoteText"/>
        <w:rPr>
          <w:rtl/>
        </w:rPr>
      </w:pPr>
      <w:r>
        <w:rPr>
          <w:rFonts w:hint="cs"/>
          <w:rtl/>
        </w:rPr>
        <w:t>אלפראבי</w:t>
      </w:r>
      <w:r w:rsidR="003C4434">
        <w:rPr>
          <w:rtl/>
        </w:rPr>
        <w:fldChar w:fldCharType="begin"/>
      </w:r>
      <w:r w:rsidR="003C4434">
        <w:instrText xml:space="preserve"> XE "</w:instrText>
      </w:r>
      <w:r w:rsidR="003C4434" w:rsidRPr="004371A6">
        <w:rPr>
          <w:rFonts w:hint="cs"/>
          <w:rtl/>
        </w:rPr>
        <w:instrText>אלפראבי - מקרה התלת ממדיות של הגופים החומריים</w:instrText>
      </w:r>
      <w:r w:rsidR="003C4434">
        <w:instrText xml:space="preserve">" </w:instrText>
      </w:r>
      <w:r w:rsidR="003C4434">
        <w:rPr>
          <w:rtl/>
        </w:rPr>
        <w:fldChar w:fldCharType="end"/>
      </w:r>
      <w:r>
        <w:rPr>
          <w:rFonts w:hint="cs"/>
          <w:rtl/>
        </w:rPr>
        <w:t xml:space="preserve"> </w:t>
      </w:r>
      <w:r w:rsidR="00DF2E34">
        <w:rPr>
          <w:rFonts w:hint="cs"/>
          <w:rtl/>
        </w:rPr>
        <w:t xml:space="preserve">דן בשאלת היחס בין הגוף החומרי שעצמותו היא צורתו, </w:t>
      </w:r>
      <w:r w:rsidR="000942D5">
        <w:rPr>
          <w:rFonts w:hint="cs"/>
          <w:rtl/>
        </w:rPr>
        <w:t>ובין ה</w:t>
      </w:r>
      <w:r w:rsidR="00DF2E34">
        <w:rPr>
          <w:rFonts w:hint="cs"/>
          <w:rtl/>
        </w:rPr>
        <w:t>תלת ממדיות שלו</w:t>
      </w:r>
      <w:r w:rsidR="000870C9">
        <w:rPr>
          <w:rFonts w:hint="cs"/>
          <w:rtl/>
        </w:rPr>
        <w:t xml:space="preserve"> שאינה צורה (למשל צורתו של ראובן היא 'חי מדבר', והתלת ממדיות שלו היא </w:t>
      </w:r>
      <w:r w:rsidR="00F14E12">
        <w:rPr>
          <w:rFonts w:hint="cs"/>
          <w:rtl/>
        </w:rPr>
        <w:t xml:space="preserve">הגבול בין בשרו לאוויר ואינו שייך להיותו חי מדבר, </w:t>
      </w:r>
      <w:r w:rsidR="00D426A5">
        <w:rPr>
          <w:rFonts w:hint="cs"/>
          <w:rtl/>
        </w:rPr>
        <w:t xml:space="preserve">אלא היא רק התבנית החומרית שלו, </w:t>
      </w:r>
      <w:r w:rsidR="00BB4D18">
        <w:rPr>
          <w:rFonts w:hint="cs"/>
          <w:rtl/>
        </w:rPr>
        <w:t>מה שנקרא במורה נבוכים א' א' "תואר"</w:t>
      </w:r>
      <w:r w:rsidR="003D22B7">
        <w:rPr>
          <w:rFonts w:hint="cs"/>
          <w:rtl/>
        </w:rPr>
        <w:t xml:space="preserve"> (במקור של אבן סינא כאן </w:t>
      </w:r>
      <w:r w:rsidR="001908D8" w:rsidRPr="001908D8">
        <w:rPr>
          <w:rFonts w:cs="Times New Roman" w:hint="eastAsia"/>
          <w:rtl/>
          <w:lang w:bidi="ar-SA"/>
        </w:rPr>
        <w:t>الشكل</w:t>
      </w:r>
      <w:r w:rsidR="003D22B7">
        <w:rPr>
          <w:rFonts w:hint="cs"/>
          <w:rtl/>
        </w:rPr>
        <w:t>)</w:t>
      </w:r>
      <w:r w:rsidR="00BB4D18">
        <w:rPr>
          <w:rFonts w:hint="cs"/>
          <w:rtl/>
        </w:rPr>
        <w:t xml:space="preserve">, </w:t>
      </w:r>
      <w:r w:rsidR="00F14E12">
        <w:rPr>
          <w:rFonts w:hint="cs"/>
          <w:rtl/>
        </w:rPr>
        <w:t xml:space="preserve">ואותה התפשטות הייתה גם לפסל בדמות ראובן. </w:t>
      </w:r>
      <w:r w:rsidR="003630D3">
        <w:rPr>
          <w:rFonts w:hint="cs"/>
          <w:rtl/>
        </w:rPr>
        <w:t>ראובן יכול לשנות את גודלו</w:t>
      </w:r>
      <w:r w:rsidR="00BB4D18">
        <w:rPr>
          <w:rFonts w:hint="cs"/>
          <w:rtl/>
        </w:rPr>
        <w:t xml:space="preserve">, לגדול מתינוק לבוגר, </w:t>
      </w:r>
      <w:r w:rsidR="003630D3">
        <w:rPr>
          <w:rFonts w:hint="cs"/>
          <w:rtl/>
        </w:rPr>
        <w:t xml:space="preserve">ועדיין הוא יישאר אותו עצם שהוא ראובן, והרי שהתפשטותו התלת ממדית אינה עצמותו. </w:t>
      </w:r>
      <w:r w:rsidR="004737F6">
        <w:rPr>
          <w:rFonts w:hint="cs"/>
          <w:rtl/>
        </w:rPr>
        <w:t xml:space="preserve">אמנם היותו תלת ממדי אינו מקרה באותו מובן כמו שהוא בהיר או כהה, אלא וודאי זה מיסוד קיומו כעצם בעולם החומרי. הביאור של אלפראבי הוא שהתלת ממדיות של ראובן </w:t>
      </w:r>
      <w:r w:rsidR="00BC796E">
        <w:rPr>
          <w:rFonts w:hint="cs"/>
          <w:rtl/>
        </w:rPr>
        <w:t>אינה החומר כשלעצמו</w:t>
      </w:r>
      <w:r w:rsidR="00F113AB">
        <w:rPr>
          <w:rFonts w:hint="cs"/>
          <w:rtl/>
        </w:rPr>
        <w:t xml:space="preserve"> (החומר כשלעצמו אין לו קיום במובן הטבעי)</w:t>
      </w:r>
      <w:r w:rsidR="00BC796E">
        <w:rPr>
          <w:rFonts w:hint="cs"/>
          <w:rtl/>
        </w:rPr>
        <w:t xml:space="preserve"> ואינה הצורה כשלעצמה, </w:t>
      </w:r>
      <w:r w:rsidR="00F113AB">
        <w:rPr>
          <w:rFonts w:hint="cs"/>
          <w:rtl/>
        </w:rPr>
        <w:t>אלא הוא החיבור בין צורה</w:t>
      </w:r>
      <w:r w:rsidR="00F7461C">
        <w:rPr>
          <w:rFonts w:hint="cs"/>
          <w:rtl/>
        </w:rPr>
        <w:t xml:space="preserve"> </w:t>
      </w:r>
      <w:r w:rsidR="00F113AB">
        <w:rPr>
          <w:rFonts w:hint="cs"/>
          <w:rtl/>
        </w:rPr>
        <w:t>לחומר</w:t>
      </w:r>
      <w:r w:rsidR="003062BE">
        <w:rPr>
          <w:rFonts w:hint="cs"/>
          <w:rtl/>
        </w:rPr>
        <w:t xml:space="preserve"> ומונח ב</w:t>
      </w:r>
      <w:r w:rsidR="00A642E5">
        <w:rPr>
          <w:rFonts w:hint="cs"/>
          <w:rtl/>
        </w:rPr>
        <w:t>יסוד החיבור הזה מצד הצורה</w:t>
      </w:r>
      <w:r w:rsidR="004E0F60">
        <w:rPr>
          <w:rFonts w:hint="cs"/>
          <w:rtl/>
        </w:rPr>
        <w:t xml:space="preserve"> (החומר הראשון, ההיולי, אינו שייך להתפשטות תלת ממדית כי אין בו שום צורה כלל וגם לא זו</w:t>
      </w:r>
      <w:r w:rsidR="00922197">
        <w:rPr>
          <w:rFonts w:hint="cs"/>
          <w:rtl/>
        </w:rPr>
        <w:t>, אמנם הצורה ללא התפשטות תלת ממדית תישאר צורה מופשטת ולא צורה של גוף טבעי)</w:t>
      </w:r>
      <w:r w:rsidR="00F113AB">
        <w:rPr>
          <w:rFonts w:hint="cs"/>
          <w:rtl/>
        </w:rPr>
        <w:t>.</w:t>
      </w:r>
    </w:p>
    <w:p w14:paraId="32402242" w14:textId="39E29F05" w:rsidR="009302BA" w:rsidRDefault="009302BA">
      <w:pPr>
        <w:pStyle w:val="FootnoteText"/>
        <w:rPr>
          <w:rtl/>
        </w:rPr>
      </w:pPr>
      <w:r>
        <w:rPr>
          <w:rFonts w:hint="cs"/>
          <w:rtl/>
        </w:rPr>
        <w:t xml:space="preserve">צורת התלת ממדיות המופשטת, הבוהו, משתלשלת בתלת </w:t>
      </w:r>
      <w:r w:rsidR="00776BEA">
        <w:rPr>
          <w:rFonts w:hint="cs"/>
          <w:rtl/>
        </w:rPr>
        <w:t>ה</w:t>
      </w:r>
      <w:r>
        <w:rPr>
          <w:rFonts w:hint="cs"/>
          <w:rtl/>
        </w:rPr>
        <w:t>ממדיות של הגופים המוגדרים בעלי הצורה</w:t>
      </w:r>
      <w:r w:rsidR="005F07CC">
        <w:rPr>
          <w:rFonts w:hint="cs"/>
          <w:rtl/>
        </w:rPr>
        <w:t xml:space="preserve"> המסוימת</w:t>
      </w:r>
      <w:r w:rsidR="00776BEA">
        <w:rPr>
          <w:rFonts w:hint="cs"/>
          <w:rtl/>
        </w:rPr>
        <w:t>, שמדבר בה אלפראבי, וזה עניין עמוק שלא כאן מקומו</w:t>
      </w:r>
      <w:r w:rsidR="005F07CC">
        <w:rPr>
          <w:rFonts w:hint="cs"/>
          <w:rtl/>
        </w:rPr>
        <w:t xml:space="preserve">. </w:t>
      </w:r>
    </w:p>
    <w:p w14:paraId="2D222DA5" w14:textId="364EB28C" w:rsidR="00402FE2" w:rsidRDefault="00557538">
      <w:pPr>
        <w:pStyle w:val="FootnoteText"/>
        <w:rPr>
          <w:rtl/>
        </w:rPr>
      </w:pPr>
      <w:r>
        <w:rPr>
          <w:rFonts w:hint="cs"/>
          <w:rtl/>
        </w:rPr>
        <w:t xml:space="preserve">כתבתי </w:t>
      </w:r>
      <w:r w:rsidR="00322258">
        <w:rPr>
          <w:rFonts w:hint="cs"/>
          <w:rtl/>
        </w:rPr>
        <w:t xml:space="preserve">קיצור הדברים </w:t>
      </w:r>
      <w:r>
        <w:rPr>
          <w:rFonts w:hint="cs"/>
          <w:rtl/>
        </w:rPr>
        <w:t xml:space="preserve">בחוסר דיוק, </w:t>
      </w:r>
      <w:r w:rsidR="00322258">
        <w:rPr>
          <w:rFonts w:hint="cs"/>
          <w:rtl/>
        </w:rPr>
        <w:t xml:space="preserve">אלפראבי מבאר עניין עמוק זה בדייקנות </w:t>
      </w:r>
      <w:r w:rsidR="009F033F">
        <w:rPr>
          <w:rFonts w:hint="cs"/>
          <w:rtl/>
        </w:rPr>
        <w:t xml:space="preserve">בספרו על אריסטו ואפלטון, בחלק העוסק באריסטו, עמ' 100, סעיף 25. </w:t>
      </w:r>
      <w:r w:rsidR="000942D5">
        <w:rPr>
          <w:rFonts w:hint="cs"/>
          <w:rtl/>
        </w:rPr>
        <w:t xml:space="preserve">זה לשונו </w:t>
      </w:r>
      <w:r w:rsidR="00C6199D">
        <w:rPr>
          <w:rFonts w:hint="cs"/>
          <w:rtl/>
        </w:rPr>
        <w:t>(</w:t>
      </w:r>
      <w:r w:rsidR="009F033F">
        <w:rPr>
          <w:rFonts w:hint="cs"/>
          <w:rtl/>
        </w:rPr>
        <w:t xml:space="preserve">בתרגום </w:t>
      </w:r>
      <w:r w:rsidR="00C6199D">
        <w:rPr>
          <w:rFonts w:hint="cs"/>
          <w:rtl/>
        </w:rPr>
        <w:t>מוחסין מהדי)</w:t>
      </w:r>
      <w:r w:rsidR="000942D5">
        <w:rPr>
          <w:rFonts w:hint="cs"/>
          <w:rtl/>
        </w:rPr>
        <w:t>:</w:t>
      </w:r>
    </w:p>
    <w:p w14:paraId="1954E750" w14:textId="77777777" w:rsidR="00DA2807" w:rsidRDefault="00CC086D" w:rsidP="009F033F">
      <w:pPr>
        <w:pStyle w:val="FootnoteText"/>
        <w:bidi w:val="0"/>
        <w:rPr>
          <w:rtl/>
        </w:rPr>
      </w:pPr>
      <w:r>
        <w:t>"</w:t>
      </w:r>
      <w:r w:rsidR="009F033F">
        <w:t xml:space="preserve">Then he </w:t>
      </w:r>
      <w:r>
        <w:t xml:space="preserve">[Aristotle] </w:t>
      </w:r>
      <w:r w:rsidR="009F033F">
        <w:t xml:space="preserve">investigated afterwards the substance of the natural bodily thing. Does the fact that it is a substance mean that it is extended in all directions? Does the fact that it is a body and is extended mean that it is a substance (a subject) for all the attributes? Or does the fact that it is a body and is extended mean that it is the material from which the species of substance are generated and in which the forms and the attributes succeed while it remains unchanging? Or does the fact that it is extended mean that it is a material substance whose extension is in virtue of its having length and width and depth? </w:t>
      </w:r>
    </w:p>
    <w:p w14:paraId="21C43AF2" w14:textId="635BCA34" w:rsidR="009F033F" w:rsidRDefault="009F033F" w:rsidP="00334E36">
      <w:pPr>
        <w:pStyle w:val="FootnoteText"/>
        <w:bidi w:val="0"/>
        <w:rPr>
          <w:rtl/>
        </w:rPr>
      </w:pPr>
      <w:r>
        <w:t>He explained that substance is something other than what is extended: extended does not signify its essence insofar as it is a substance. Our saying extended indicates an idea similar to our saying that it is white. Our saying the substance is substance without qualification does not mean that it is extended, nor does it mean that it has length and width and depth, but other properties of the substance. The idea of the extended and the idea of extension do not mean either the material or the form of the bodily substance (indeed its material in itself is a nonbody, and similarly its form). Extension in all directions inheres in the composite of the two: this extension exists in the composite as something whose being adheres to the latter’s form, since it is in virtue of the form that the substance</w:t>
      </w:r>
      <w:r w:rsidR="00334E36">
        <w:rPr>
          <w:rFonts w:hint="cs"/>
          <w:rtl/>
        </w:rPr>
        <w:t xml:space="preserve"> </w:t>
      </w:r>
      <w:r>
        <w:t xml:space="preserve">is, perfectly and in act. The material </w:t>
      </w:r>
      <w:r w:rsidR="000A2A0C">
        <w:t>of</w:t>
      </w:r>
      <w:r>
        <w:t xml:space="preserve"> the natural substance</w:t>
      </w:r>
      <w:r w:rsidR="00E36D96">
        <w:rPr>
          <w:rFonts w:cs="Times New Roman"/>
          <w:lang w:bidi="ar-SA"/>
        </w:rPr>
        <w:t xml:space="preserve"> is </w:t>
      </w:r>
      <w:r w:rsidR="00910880" w:rsidRPr="00910880">
        <w:rPr>
          <w:rFonts w:cs="Times New Roman"/>
          <w:lang w:bidi="ar-SA"/>
        </w:rPr>
        <w:t>not disjoined from its form (therefore, substance is not composed of any extension). Extension</w:t>
      </w:r>
      <w:r w:rsidR="00FA283C">
        <w:rPr>
          <w:rFonts w:cs="Times New Roman" w:hint="cs"/>
          <w:rtl/>
        </w:rPr>
        <w:t xml:space="preserve"> - </w:t>
      </w:r>
      <w:r w:rsidR="00910880" w:rsidRPr="00910880">
        <w:rPr>
          <w:rFonts w:cs="Times New Roman"/>
          <w:lang w:bidi="ar-SA"/>
        </w:rPr>
        <w:t>and length and width and depth</w:t>
      </w:r>
      <w:r w:rsidR="00FA283C">
        <w:rPr>
          <w:rFonts w:cs="Times New Roman" w:hint="cs"/>
          <w:rtl/>
        </w:rPr>
        <w:t xml:space="preserve"> - </w:t>
      </w:r>
      <w:r w:rsidR="00910880" w:rsidRPr="00910880">
        <w:rPr>
          <w:rFonts w:cs="Times New Roman"/>
          <w:lang w:bidi="ar-SA"/>
        </w:rPr>
        <w:t>is the most prior attribute in it: this attribute is engendered in it, changes, increases, and decreases, like all the other attributes in the natural substance.</w:t>
      </w:r>
      <w:r w:rsidR="00322258">
        <w:rPr>
          <w:rFonts w:cs="Times New Roman" w:hint="cs"/>
          <w:rtl/>
        </w:rPr>
        <w:t>"</w:t>
      </w:r>
    </w:p>
  </w:footnote>
  <w:footnote w:id="587">
    <w:p w14:paraId="3B1A071E" w14:textId="77777777" w:rsidR="00386352" w:rsidRDefault="00CC0DC7" w:rsidP="00AC0107">
      <w:pPr>
        <w:pStyle w:val="FootnoteText"/>
        <w:rPr>
          <w:rtl/>
        </w:rPr>
      </w:pPr>
      <w:r>
        <w:rPr>
          <w:rStyle w:val="FootnoteReference"/>
        </w:rPr>
        <w:footnoteRef/>
      </w:r>
      <w:r>
        <w:rPr>
          <w:rtl/>
        </w:rPr>
        <w:t xml:space="preserve"> </w:t>
      </w:r>
      <w:r w:rsidR="00891DE0">
        <w:rPr>
          <w:rFonts w:hint="cs"/>
          <w:rtl/>
        </w:rPr>
        <w:t xml:space="preserve">התבנית אינה עצם המידות של הגוף, אלא מקרה עצמי </w:t>
      </w:r>
      <w:r w:rsidR="00C240A7">
        <w:rPr>
          <w:rFonts w:hint="cs"/>
          <w:rtl/>
        </w:rPr>
        <w:t xml:space="preserve">של המידות של הגוף. </w:t>
      </w:r>
      <w:r w:rsidR="006632B7">
        <w:rPr>
          <w:rFonts w:hint="cs"/>
          <w:rtl/>
        </w:rPr>
        <w:t>המידות הן רק קווים של מדיד</w:t>
      </w:r>
      <w:r w:rsidR="002E598F">
        <w:rPr>
          <w:rFonts w:hint="cs"/>
          <w:rtl/>
        </w:rPr>
        <w:t>ת אורך</w:t>
      </w:r>
      <w:r w:rsidR="006632B7">
        <w:rPr>
          <w:rFonts w:hint="cs"/>
          <w:rtl/>
        </w:rPr>
        <w:t xml:space="preserve"> בין </w:t>
      </w:r>
      <w:r w:rsidR="002E598F">
        <w:rPr>
          <w:rFonts w:hint="cs"/>
          <w:rtl/>
        </w:rPr>
        <w:t xml:space="preserve">כל </w:t>
      </w:r>
      <w:r w:rsidR="006632B7">
        <w:rPr>
          <w:rFonts w:hint="cs"/>
          <w:rtl/>
        </w:rPr>
        <w:t xml:space="preserve">שתי נקודות </w:t>
      </w:r>
      <w:r w:rsidR="00347DC3">
        <w:rPr>
          <w:rFonts w:hint="cs"/>
          <w:rtl/>
        </w:rPr>
        <w:t>ב</w:t>
      </w:r>
      <w:r w:rsidR="006632B7">
        <w:rPr>
          <w:rFonts w:hint="cs"/>
          <w:rtl/>
        </w:rPr>
        <w:t xml:space="preserve">גוף, </w:t>
      </w:r>
      <w:r w:rsidR="00924F6D">
        <w:rPr>
          <w:rFonts w:hint="cs"/>
          <w:rtl/>
        </w:rPr>
        <w:t>שטח אינו אוסף של אין סוף נקודות אלא רצף</w:t>
      </w:r>
      <w:r w:rsidR="002E598F">
        <w:rPr>
          <w:rFonts w:hint="cs"/>
          <w:rtl/>
        </w:rPr>
        <w:t xml:space="preserve"> (כמו שהתבאר באריכות בכמה מקומות, וביות</w:t>
      </w:r>
      <w:r w:rsidR="002D75C4">
        <w:rPr>
          <w:rFonts w:hint="cs"/>
          <w:rtl/>
        </w:rPr>
        <w:t>ר</w:t>
      </w:r>
      <w:r w:rsidR="002E598F">
        <w:rPr>
          <w:rFonts w:hint="cs"/>
          <w:rtl/>
        </w:rPr>
        <w:t xml:space="preserve"> ברמיזות והערות</w:t>
      </w:r>
      <w:r w:rsidR="0068740F">
        <w:rPr>
          <w:rFonts w:hint="cs"/>
          <w:rtl/>
        </w:rPr>
        <w:t xml:space="preserve">, ועוד יותר </w:t>
      </w:r>
      <w:r w:rsidR="002D75C4" w:rsidRPr="002D75C4">
        <w:rPr>
          <w:rtl/>
        </w:rPr>
        <w:t xml:space="preserve">בבלוג שנקרא ביאור על המורה נבוכים בביאור שיש שם על הפיזיקה ספר ח'. אפשר לחפש (באתרים </w:t>
      </w:r>
      <w:r w:rsidR="00A65BF9">
        <w:rPr>
          <w:rFonts w:hint="cs"/>
          <w:rtl/>
        </w:rPr>
        <w:t xml:space="preserve">ניתן לחפש </w:t>
      </w:r>
      <w:r w:rsidR="002D75C4" w:rsidRPr="002D75C4">
        <w:rPr>
          <w:rtl/>
        </w:rPr>
        <w:t>דרך התגיות) לפי מילות המפתח 'רצף' או 'אכילס והצב'</w:t>
      </w:r>
      <w:r w:rsidR="00A65BF9">
        <w:rPr>
          <w:rFonts w:hint="cs"/>
          <w:rtl/>
        </w:rPr>
        <w:t xml:space="preserve">, וגם התבאר </w:t>
      </w:r>
      <w:r w:rsidR="0068740F">
        <w:rPr>
          <w:rFonts w:hint="cs"/>
          <w:rtl/>
        </w:rPr>
        <w:t>בעיונים בפילוסופיה אריסטוטלית בכמה מקומות</w:t>
      </w:r>
      <w:r w:rsidR="00BD0B0E">
        <w:rPr>
          <w:rFonts w:hint="cs"/>
          <w:rtl/>
        </w:rPr>
        <w:t>)</w:t>
      </w:r>
      <w:r w:rsidR="0071748F">
        <w:rPr>
          <w:rFonts w:hint="cs"/>
          <w:rtl/>
        </w:rPr>
        <w:t>.</w:t>
      </w:r>
      <w:r w:rsidR="00A65BF9">
        <w:rPr>
          <w:rFonts w:hint="cs"/>
          <w:rtl/>
        </w:rPr>
        <w:t xml:space="preserve"> </w:t>
      </w:r>
      <w:r w:rsidR="00924F6D">
        <w:rPr>
          <w:rFonts w:hint="cs"/>
          <w:rtl/>
        </w:rPr>
        <w:t xml:space="preserve">לכן השטח שנוצר מכל </w:t>
      </w:r>
      <w:r w:rsidR="00347DC3">
        <w:rPr>
          <w:rFonts w:hint="cs"/>
          <w:rtl/>
        </w:rPr>
        <w:t>ה</w:t>
      </w:r>
      <w:r w:rsidR="00924F6D">
        <w:rPr>
          <w:rFonts w:hint="cs"/>
          <w:rtl/>
        </w:rPr>
        <w:t xml:space="preserve">נקודות </w:t>
      </w:r>
      <w:r w:rsidR="00347DC3">
        <w:rPr>
          <w:rFonts w:hint="cs"/>
          <w:rtl/>
        </w:rPr>
        <w:t xml:space="preserve">של קצוות קווי מדידת מידות האורך שבגוף, </w:t>
      </w:r>
      <w:r w:rsidR="00D44059">
        <w:rPr>
          <w:rFonts w:hint="cs"/>
          <w:rtl/>
        </w:rPr>
        <w:t>אינו עצם קווי המדידה אלא מקרה עצמי שמוכרח מהן</w:t>
      </w:r>
      <w:r w:rsidR="005F7729">
        <w:rPr>
          <w:rFonts w:hint="cs"/>
          <w:rtl/>
        </w:rPr>
        <w:t xml:space="preserve">, כי הוא לא אוסף </w:t>
      </w:r>
      <w:r w:rsidR="007366AA">
        <w:rPr>
          <w:rFonts w:hint="cs"/>
          <w:rtl/>
        </w:rPr>
        <w:t xml:space="preserve">נקודות </w:t>
      </w:r>
      <w:r w:rsidR="005F7729">
        <w:rPr>
          <w:rFonts w:hint="cs"/>
          <w:rtl/>
        </w:rPr>
        <w:t>קצוות ה</w:t>
      </w:r>
      <w:r w:rsidR="007366AA">
        <w:rPr>
          <w:rFonts w:hint="cs"/>
          <w:rtl/>
        </w:rPr>
        <w:t>קווים</w:t>
      </w:r>
      <w:r w:rsidR="005F7729">
        <w:rPr>
          <w:rFonts w:hint="cs"/>
          <w:rtl/>
        </w:rPr>
        <w:t xml:space="preserve"> </w:t>
      </w:r>
      <w:r w:rsidR="007366AA">
        <w:rPr>
          <w:rFonts w:hint="cs"/>
          <w:rtl/>
        </w:rPr>
        <w:t>וקצה הקו הוא</w:t>
      </w:r>
      <w:r w:rsidR="005F7729">
        <w:rPr>
          <w:rFonts w:hint="cs"/>
          <w:rtl/>
        </w:rPr>
        <w:t xml:space="preserve"> חלק מהקו עצמ</w:t>
      </w:r>
      <w:r w:rsidR="00AE2CDD">
        <w:rPr>
          <w:rFonts w:hint="cs"/>
          <w:rtl/>
        </w:rPr>
        <w:t>ו</w:t>
      </w:r>
      <w:r w:rsidR="005F7729">
        <w:rPr>
          <w:rFonts w:hint="cs"/>
          <w:rtl/>
        </w:rPr>
        <w:t xml:space="preserve">, אלא מישור </w:t>
      </w:r>
      <w:r w:rsidR="00AE2CDD">
        <w:rPr>
          <w:rFonts w:hint="cs"/>
          <w:rtl/>
        </w:rPr>
        <w:t xml:space="preserve">רצוף </w:t>
      </w:r>
      <w:r w:rsidR="005F7729">
        <w:rPr>
          <w:rFonts w:hint="cs"/>
          <w:rtl/>
        </w:rPr>
        <w:t xml:space="preserve">שמסומן על ידי </w:t>
      </w:r>
      <w:r w:rsidR="00AE2CDD">
        <w:rPr>
          <w:rFonts w:hint="cs"/>
          <w:rtl/>
        </w:rPr>
        <w:t xml:space="preserve">קצוות </w:t>
      </w:r>
      <w:r w:rsidR="005F7729">
        <w:rPr>
          <w:rFonts w:hint="cs"/>
          <w:rtl/>
        </w:rPr>
        <w:t>הקווים אבל אינו ה</w:t>
      </w:r>
      <w:r w:rsidR="00AE2CDD">
        <w:rPr>
          <w:rFonts w:hint="cs"/>
          <w:rtl/>
        </w:rPr>
        <w:t xml:space="preserve">קצוות </w:t>
      </w:r>
      <w:r w:rsidR="005F7729">
        <w:rPr>
          <w:rFonts w:hint="cs"/>
          <w:rtl/>
        </w:rPr>
        <w:t xml:space="preserve"> עצמ</w:t>
      </w:r>
      <w:r w:rsidR="00AE2CDD">
        <w:rPr>
          <w:rFonts w:hint="cs"/>
          <w:rtl/>
        </w:rPr>
        <w:t>ן</w:t>
      </w:r>
      <w:r w:rsidR="007366AA">
        <w:rPr>
          <w:rFonts w:hint="cs"/>
          <w:rtl/>
        </w:rPr>
        <w:t>)</w:t>
      </w:r>
      <w:r w:rsidR="00D44059">
        <w:rPr>
          <w:rFonts w:hint="cs"/>
          <w:rtl/>
        </w:rPr>
        <w:t>.</w:t>
      </w:r>
      <w:r w:rsidR="00891DE0">
        <w:rPr>
          <w:rFonts w:hint="cs"/>
          <w:rtl/>
        </w:rPr>
        <w:t xml:space="preserve"> </w:t>
      </w:r>
      <w:r w:rsidR="00266E73">
        <w:rPr>
          <w:rFonts w:hint="cs"/>
          <w:rtl/>
        </w:rPr>
        <w:t>"</w:t>
      </w:r>
      <w:r w:rsidR="00D44059">
        <w:rPr>
          <w:rFonts w:hint="cs"/>
          <w:rtl/>
        </w:rPr>
        <w:t>מקרה</w:t>
      </w:r>
      <w:r w:rsidR="00266E73">
        <w:rPr>
          <w:rFonts w:hint="cs"/>
          <w:rtl/>
        </w:rPr>
        <w:t>"</w:t>
      </w:r>
      <w:r w:rsidR="00D44059">
        <w:rPr>
          <w:rFonts w:hint="cs"/>
          <w:rtl/>
        </w:rPr>
        <w:t xml:space="preserve"> אין הכוונה שייתכן שלא יקרה, אלא ש</w:t>
      </w:r>
      <w:r w:rsidR="0083028B">
        <w:rPr>
          <w:rFonts w:hint="cs"/>
          <w:rtl/>
        </w:rPr>
        <w:t>מציאותו מובחנת</w:t>
      </w:r>
      <w:r w:rsidR="00D44059">
        <w:rPr>
          <w:rFonts w:hint="cs"/>
          <w:rtl/>
        </w:rPr>
        <w:t xml:space="preserve"> </w:t>
      </w:r>
      <w:r w:rsidR="0083028B">
        <w:rPr>
          <w:rFonts w:hint="cs"/>
          <w:rtl/>
        </w:rPr>
        <w:t>מ</w:t>
      </w:r>
      <w:r w:rsidR="00D44059">
        <w:rPr>
          <w:rFonts w:hint="cs"/>
          <w:rtl/>
        </w:rPr>
        <w:t>עצם הדבר.</w:t>
      </w:r>
    </w:p>
    <w:p w14:paraId="1DB99177" w14:textId="77777777" w:rsidR="003E356B" w:rsidRDefault="00266E73" w:rsidP="00AC0107">
      <w:pPr>
        <w:pStyle w:val="FootnoteText"/>
        <w:rPr>
          <w:rtl/>
        </w:rPr>
      </w:pPr>
      <w:r>
        <w:rPr>
          <w:rFonts w:hint="cs"/>
          <w:rtl/>
        </w:rPr>
        <w:t xml:space="preserve"> הגיאומטריה עוסקת ב</w:t>
      </w:r>
      <w:r w:rsidR="00AC0107">
        <w:rPr>
          <w:rFonts w:hint="cs"/>
          <w:rtl/>
        </w:rPr>
        <w:t xml:space="preserve">תבנית, כלומר השטחים שתוחמים את הגוף התלת ממדי, והרי שהיא עוסקת במקרה, דהיינו השטחים שהם </w:t>
      </w:r>
      <w:r w:rsidR="00BA0BDE">
        <w:rPr>
          <w:rFonts w:hint="cs"/>
          <w:rtl/>
        </w:rPr>
        <w:t xml:space="preserve">התבנית, שהוא בעצמו תחת המקרה הכללי יותר של מידות. </w:t>
      </w:r>
      <w:r w:rsidR="007241BE">
        <w:rPr>
          <w:rFonts w:hint="cs"/>
          <w:rtl/>
        </w:rPr>
        <w:t>השייכות של הגיאומטריה לגוף הטבעי, מה שמשייך אותה להיות תחת מדע הטבע, הוא מה שהמידות הן מקרה של הגוף הטבעי ש</w:t>
      </w:r>
      <w:r w:rsidR="00065870">
        <w:rPr>
          <w:rFonts w:hint="cs"/>
          <w:rtl/>
        </w:rPr>
        <w:t xml:space="preserve">בעצמו הוא </w:t>
      </w:r>
      <w:r w:rsidR="007241BE">
        <w:rPr>
          <w:rFonts w:hint="cs"/>
          <w:rtl/>
        </w:rPr>
        <w:t>הצורה המופשטת, המהות</w:t>
      </w:r>
      <w:r w:rsidR="00065870">
        <w:rPr>
          <w:rFonts w:hint="cs"/>
          <w:rtl/>
        </w:rPr>
        <w:t xml:space="preserve">, וכמו שכתב אבן סינא לעיל </w:t>
      </w:r>
      <w:r w:rsidR="005A6424">
        <w:rPr>
          <w:rFonts w:hint="cs"/>
          <w:rtl/>
        </w:rPr>
        <w:t>1.6.6: "</w:t>
      </w:r>
      <w:r w:rsidR="005A6424" w:rsidRPr="005A6424">
        <w:rPr>
          <w:rtl/>
        </w:rPr>
        <w:t>ומה שחשוב שיהיה בדעתנו לגבי מה שלפיו דבר הוא טבעי, הוא מה שמשפיע לדבר את עצמותו; והצורה היא ראשונה בעניין זה</w:t>
      </w:r>
      <w:r w:rsidR="005A6424">
        <w:rPr>
          <w:rFonts w:hint="cs"/>
          <w:rtl/>
        </w:rPr>
        <w:t>"</w:t>
      </w:r>
      <w:r w:rsidR="00065870">
        <w:rPr>
          <w:rFonts w:hint="cs"/>
          <w:rtl/>
        </w:rPr>
        <w:t xml:space="preserve">. </w:t>
      </w:r>
    </w:p>
    <w:p w14:paraId="3AEF3F5E" w14:textId="5323C140" w:rsidR="00CC0DC7" w:rsidRDefault="00BA0BDE" w:rsidP="00AC0107">
      <w:pPr>
        <w:pStyle w:val="FootnoteText"/>
      </w:pPr>
      <w:r>
        <w:rPr>
          <w:rFonts w:hint="cs"/>
          <w:rtl/>
        </w:rPr>
        <w:t xml:space="preserve">מה שהמידה היא מקרה של הגוף </w:t>
      </w:r>
      <w:r w:rsidR="00C4140D">
        <w:rPr>
          <w:rFonts w:hint="cs"/>
          <w:rtl/>
        </w:rPr>
        <w:t>מת</w:t>
      </w:r>
      <w:r>
        <w:rPr>
          <w:rFonts w:hint="cs"/>
          <w:rtl/>
        </w:rPr>
        <w:t xml:space="preserve">באר </w:t>
      </w:r>
      <w:r w:rsidR="00C4140D">
        <w:rPr>
          <w:rFonts w:hint="cs"/>
          <w:rtl/>
        </w:rPr>
        <w:t>לקמן בסמוך בדברי אלפראבי שהבאתי</w:t>
      </w:r>
      <w:r w:rsidR="006C6C1E">
        <w:rPr>
          <w:rFonts w:hint="cs"/>
          <w:rtl/>
        </w:rPr>
        <w:t xml:space="preserve"> (המידה אינה עצם הגוף </w:t>
      </w:r>
      <w:r w:rsidR="00893CE8">
        <w:rPr>
          <w:rFonts w:hint="cs"/>
          <w:rtl/>
        </w:rPr>
        <w:t>אלא</w:t>
      </w:r>
      <w:r w:rsidR="006C6C1E">
        <w:rPr>
          <w:rFonts w:hint="cs"/>
          <w:rtl/>
        </w:rPr>
        <w:t xml:space="preserve"> צורתו היא עצמותו. למשל </w:t>
      </w:r>
      <w:r w:rsidR="00012B47">
        <w:rPr>
          <w:rFonts w:hint="cs"/>
          <w:rtl/>
        </w:rPr>
        <w:t xml:space="preserve">ראובן </w:t>
      </w:r>
      <w:r w:rsidR="00893CE8">
        <w:rPr>
          <w:rFonts w:hint="cs"/>
          <w:rtl/>
        </w:rPr>
        <w:t xml:space="preserve">צורתו היא שהוא 'חי מדבר' </w:t>
      </w:r>
      <w:r w:rsidR="00012B47">
        <w:rPr>
          <w:rFonts w:hint="cs"/>
          <w:rtl/>
        </w:rPr>
        <w:t xml:space="preserve">ופסל שיצוק בדמות ראובן </w:t>
      </w:r>
      <w:r w:rsidR="008826DA">
        <w:rPr>
          <w:rFonts w:hint="cs"/>
          <w:rtl/>
        </w:rPr>
        <w:t>אין לו צורה זו והוא עצם אחר, אבל יש להם</w:t>
      </w:r>
      <w:r w:rsidR="00012B47">
        <w:rPr>
          <w:rFonts w:hint="cs"/>
          <w:rtl/>
        </w:rPr>
        <w:t xml:space="preserve"> אותן מידות. וכן ראובן יכול לגדול ולשנות את מידותיו ועדיין הוא נשאר העצם ראובן, עיין </w:t>
      </w:r>
      <w:r w:rsidR="00C33877">
        <w:rPr>
          <w:rFonts w:hint="cs"/>
          <w:rtl/>
        </w:rPr>
        <w:t xml:space="preserve">עוד </w:t>
      </w:r>
      <w:r w:rsidR="00012B47">
        <w:rPr>
          <w:rFonts w:hint="cs"/>
          <w:rtl/>
        </w:rPr>
        <w:t>בזה לקמן</w:t>
      </w:r>
      <w:r w:rsidR="00893CE8">
        <w:rPr>
          <w:rFonts w:hint="cs"/>
          <w:rtl/>
        </w:rPr>
        <w:t>)</w:t>
      </w:r>
      <w:r w:rsidR="00C4140D">
        <w:rPr>
          <w:rFonts w:hint="cs"/>
          <w:rtl/>
        </w:rPr>
        <w:t>.</w:t>
      </w:r>
      <w:r w:rsidR="00AC0107">
        <w:rPr>
          <w:rFonts w:hint="cs"/>
          <w:rtl/>
        </w:rPr>
        <w:t xml:space="preserve"> </w:t>
      </w:r>
    </w:p>
  </w:footnote>
  <w:footnote w:id="588">
    <w:p w14:paraId="4D062933" w14:textId="3DC2D290" w:rsidR="0022056E" w:rsidRDefault="0022056E">
      <w:pPr>
        <w:pStyle w:val="FootnoteText"/>
      </w:pPr>
      <w:r>
        <w:rPr>
          <w:rStyle w:val="FootnoteReference"/>
        </w:rPr>
        <w:footnoteRef/>
      </w:r>
      <w:r>
        <w:rPr>
          <w:rtl/>
        </w:rPr>
        <w:t xml:space="preserve"> </w:t>
      </w:r>
      <w:r w:rsidR="00C547A3">
        <w:rPr>
          <w:rFonts w:hint="cs"/>
          <w:rtl/>
        </w:rPr>
        <w:t>למשל</w:t>
      </w:r>
      <w:r w:rsidR="00861C99">
        <w:rPr>
          <w:rFonts w:hint="cs"/>
          <w:rtl/>
        </w:rPr>
        <w:t xml:space="preserve"> המושג הכללי של גודל הוא מקרה של העצם הטבעי, המושג הכללי של גודל לא מונח בעצמותו משפט פיתגורס, אלא משפט פיתגורס הוא אחד מהמקרים של הגדלים</w:t>
      </w:r>
      <w:r w:rsidR="00635E26">
        <w:rPr>
          <w:rFonts w:hint="cs"/>
          <w:rtl/>
        </w:rPr>
        <w:t xml:space="preserve">, כלומר הוא מקרה של מקרה. ועיין עוד בעניין מקרה של מקרה במורה נבוכים ב' י"ג, שהזמן הוא מקרה לתנועה והתנועה היא מקרה לעצם.  </w:t>
      </w:r>
    </w:p>
  </w:footnote>
  <w:footnote w:id="589">
    <w:p w14:paraId="6FC74389" w14:textId="5F45FA89" w:rsidR="00E46919" w:rsidRDefault="008E18D1" w:rsidP="00297DB4">
      <w:pPr>
        <w:pStyle w:val="FootnoteText"/>
        <w:rPr>
          <w:rtl/>
        </w:rPr>
      </w:pPr>
      <w:r>
        <w:rPr>
          <w:rStyle w:val="FootnoteReference"/>
        </w:rPr>
        <w:footnoteRef/>
      </w:r>
      <w:r>
        <w:rPr>
          <w:rtl/>
        </w:rPr>
        <w:t xml:space="preserve"> </w:t>
      </w:r>
      <w:r w:rsidR="007E1548">
        <w:rPr>
          <w:rFonts w:hint="cs"/>
          <w:rtl/>
        </w:rPr>
        <w:t xml:space="preserve">בפתיחת המורה נבוכים ובפירוש המשניות מהרמב"ם על חגיגה ב' א' </w:t>
      </w:r>
      <w:r w:rsidR="00337CF2">
        <w:rPr>
          <w:rFonts w:hint="cs"/>
          <w:rtl/>
        </w:rPr>
        <w:t xml:space="preserve">כתב שהפיזיקה של אריסטו היא סוד מעשה בראשית שדיברו עליו חז"ל, </w:t>
      </w:r>
      <w:r w:rsidR="00337CF2">
        <w:rPr>
          <w:rFonts w:hint="cs"/>
          <w:rtl/>
        </w:rPr>
        <w:t xml:space="preserve">והמטאפיזיקה היא סוד מעשה מרכבה. </w:t>
      </w:r>
      <w:r w:rsidR="006140AF">
        <w:rPr>
          <w:rFonts w:hint="cs"/>
          <w:rtl/>
        </w:rPr>
        <w:t>מעשה מרכבה עניינו</w:t>
      </w:r>
      <w:r w:rsidR="0031763B">
        <w:rPr>
          <w:rFonts w:hint="cs"/>
          <w:rtl/>
        </w:rPr>
        <w:t xml:space="preserve"> סוד</w:t>
      </w:r>
      <w:r w:rsidR="006140AF">
        <w:rPr>
          <w:rFonts w:hint="cs"/>
          <w:rtl/>
        </w:rPr>
        <w:t xml:space="preserve"> החיבור של הבורא שהוא אין סוף ואחדות פשוטה, עם הבריאה שיש בה הגדרות וריבוי (</w:t>
      </w:r>
      <w:r w:rsidR="00FE43EB">
        <w:rPr>
          <w:rFonts w:hint="cs"/>
          <w:rtl/>
        </w:rPr>
        <w:t>שנמשל</w:t>
      </w:r>
      <w:r w:rsidR="006140AF">
        <w:rPr>
          <w:rFonts w:hint="cs"/>
          <w:rtl/>
        </w:rPr>
        <w:t xml:space="preserve"> </w:t>
      </w:r>
      <w:r w:rsidR="00FE43EB">
        <w:rPr>
          <w:rFonts w:hint="cs"/>
          <w:rtl/>
        </w:rPr>
        <w:t>ב</w:t>
      </w:r>
      <w:r w:rsidR="006140AF">
        <w:rPr>
          <w:rFonts w:hint="cs"/>
          <w:rtl/>
        </w:rPr>
        <w:t>חיבור של סוס ורוכבו</w:t>
      </w:r>
      <w:r w:rsidR="00FE43EB">
        <w:rPr>
          <w:rFonts w:hint="cs"/>
          <w:rtl/>
        </w:rPr>
        <w:t>, ולכן נקרא מרכבה, כמו שכתב במורה נבוכים א' ע')</w:t>
      </w:r>
      <w:r w:rsidR="006140AF">
        <w:rPr>
          <w:rFonts w:hint="cs"/>
          <w:rtl/>
        </w:rPr>
        <w:t>.</w:t>
      </w:r>
      <w:r w:rsidR="00DF1BDD">
        <w:rPr>
          <w:rFonts w:hint="cs"/>
          <w:rtl/>
        </w:rPr>
        <w:t xml:space="preserve"> מעשה בראשית ומעשה מרכבה עניינם אחד, והוא חיבו</w:t>
      </w:r>
      <w:r w:rsidR="004E6F51">
        <w:rPr>
          <w:rFonts w:hint="cs"/>
          <w:rtl/>
        </w:rPr>
        <w:t xml:space="preserve">ר זה, החילוק הוא רק בנקודת המבט שממנה מתחילה ההתבוננות. חכמת הטבע מתחילה מהתבוננות בטבע, </w:t>
      </w:r>
      <w:r w:rsidR="00636467">
        <w:rPr>
          <w:rFonts w:hint="cs"/>
          <w:rtl/>
        </w:rPr>
        <w:t xml:space="preserve">דהיינו </w:t>
      </w:r>
      <w:r w:rsidR="008372A8">
        <w:rPr>
          <w:rFonts w:hint="cs"/>
          <w:rtl/>
        </w:rPr>
        <w:t>בתנועה</w:t>
      </w:r>
      <w:r w:rsidR="00636467">
        <w:rPr>
          <w:rFonts w:hint="cs"/>
          <w:rtl/>
        </w:rPr>
        <w:t>,</w:t>
      </w:r>
      <w:r w:rsidR="008372A8">
        <w:rPr>
          <w:rFonts w:hint="cs"/>
          <w:rtl/>
        </w:rPr>
        <w:t xml:space="preserve"> בחלל</w:t>
      </w:r>
      <w:r w:rsidR="00636467">
        <w:rPr>
          <w:rFonts w:hint="cs"/>
          <w:rtl/>
        </w:rPr>
        <w:t>,</w:t>
      </w:r>
      <w:r w:rsidR="008372A8">
        <w:rPr>
          <w:rFonts w:hint="cs"/>
          <w:rtl/>
        </w:rPr>
        <w:t xml:space="preserve"> בזמן</w:t>
      </w:r>
      <w:r w:rsidR="00636467">
        <w:rPr>
          <w:rFonts w:hint="cs"/>
          <w:rtl/>
        </w:rPr>
        <w:t>,</w:t>
      </w:r>
      <w:r w:rsidR="008372A8">
        <w:rPr>
          <w:rFonts w:hint="cs"/>
          <w:rtl/>
        </w:rPr>
        <w:t xml:space="preserve"> בסיבתיות</w:t>
      </w:r>
      <w:r w:rsidR="00636467">
        <w:rPr>
          <w:rFonts w:hint="cs"/>
          <w:rtl/>
        </w:rPr>
        <w:t>,</w:t>
      </w:r>
      <w:r w:rsidR="008372A8">
        <w:rPr>
          <w:rFonts w:hint="cs"/>
          <w:rtl/>
        </w:rPr>
        <w:t xml:space="preserve"> בעצם, בחיבור החומר והצורה, וכיו"ב, </w:t>
      </w:r>
      <w:r w:rsidR="00636467">
        <w:rPr>
          <w:rFonts w:hint="cs"/>
          <w:rtl/>
        </w:rPr>
        <w:t xml:space="preserve">ומוצאת שהשכל הטבעי, הכח המדבר, מגלה בהכרח שיש </w:t>
      </w:r>
      <w:r w:rsidR="00377EDB">
        <w:rPr>
          <w:rFonts w:hint="cs"/>
          <w:rtl/>
        </w:rPr>
        <w:t>גילוי של נוכחות אלוהית אין סופית בטבע ובלי זה הטבע לא יכול להיות מובן. ומזה מגיעים למטאפיזיקה שהיא התיאולוגיה בלשון אריסטו, מה שתורגם בימי הביניים כ</w:t>
      </w:r>
      <w:r w:rsidR="00E46919">
        <w:rPr>
          <w:rFonts w:hint="cs"/>
          <w:rtl/>
        </w:rPr>
        <w:t>'</w:t>
      </w:r>
      <w:r w:rsidR="00377EDB">
        <w:rPr>
          <w:rFonts w:hint="cs"/>
          <w:rtl/>
        </w:rPr>
        <w:t>חכמת</w:t>
      </w:r>
      <w:r w:rsidR="00E46919">
        <w:rPr>
          <w:rFonts w:hint="cs"/>
          <w:rtl/>
        </w:rPr>
        <w:t>'</w:t>
      </w:r>
      <w:r w:rsidR="00377EDB">
        <w:rPr>
          <w:rFonts w:hint="cs"/>
          <w:rtl/>
        </w:rPr>
        <w:t xml:space="preserve"> האלוהות</w:t>
      </w:r>
      <w:r w:rsidR="00E46919">
        <w:rPr>
          <w:rFonts w:hint="cs"/>
          <w:rtl/>
        </w:rPr>
        <w:t xml:space="preserve"> בעברית וכ'אלוהיות' בערבית</w:t>
      </w:r>
      <w:r w:rsidR="00377EDB">
        <w:rPr>
          <w:rFonts w:hint="cs"/>
          <w:rtl/>
        </w:rPr>
        <w:t>.</w:t>
      </w:r>
    </w:p>
    <w:p w14:paraId="5D7F626C" w14:textId="77777777" w:rsidR="00077E4A" w:rsidRDefault="00077E4A">
      <w:pPr>
        <w:pStyle w:val="FootnoteText"/>
        <w:rPr>
          <w:rtl/>
        </w:rPr>
      </w:pPr>
    </w:p>
    <w:p w14:paraId="5A94306E" w14:textId="0F7BCCBB" w:rsidR="00077E4A" w:rsidRDefault="008D28AA">
      <w:pPr>
        <w:pStyle w:val="FootnoteText"/>
        <w:rPr>
          <w:rtl/>
        </w:rPr>
      </w:pPr>
      <w:r>
        <w:rPr>
          <w:rFonts w:hint="cs"/>
          <w:rtl/>
        </w:rPr>
        <w:t>וכן לשונו של המורה נבוכים א' ל"ד:</w:t>
      </w:r>
    </w:p>
    <w:p w14:paraId="717C636D" w14:textId="14D9A145" w:rsidR="008E18D1" w:rsidRDefault="008D28AA" w:rsidP="00614DAD">
      <w:pPr>
        <w:pStyle w:val="FootnoteText"/>
        <w:rPr>
          <w:rtl/>
        </w:rPr>
      </w:pPr>
      <w:r>
        <w:rPr>
          <w:rFonts w:hint="cs"/>
          <w:rtl/>
        </w:rPr>
        <w:t>"</w:t>
      </w:r>
      <w:r w:rsidRPr="008D28AA">
        <w:rPr>
          <w:rtl/>
        </w:rPr>
        <w:t>ואתה יודע כי אלו העניינים נקשרים קצתם בקצתם, והוא שאין במציאה זולתי השם יתברך ומעשיו כלם, והם כל מה שכללה אותו המציאה בלעדיו, ואין דרך להשיגו אלא ממעשיו, והם המורים על מציאותו. ועל מה שצריך שיאמין בו, רוצה לומר מה שיחויב לו או ישולל ממנו יתברך, יתחייב אם כן בהכרח לבחון הנמצאות כלם כפי מה שהם עליו עד שנקח מכל מין ומין הקדמות אמתיות צודקות, יועילונו בבקשתנו האלהיות, וכמה הקדמות ילקחו מטבע המנין ומסגולות צורות התשבורת, יורה לנו על ענינים נרחיקם ממנו ית', ותורנו הרחקתם על הרבה ענינים. אמנם עניני התכונה הגלגלית והחכמה הטבעית, איני רואה שתספק בהיותם דברים הכרחיים בהשיג ערך העולם להנהגת השם איך היא על האמת, לא כפי הדמיונות, ויש ענינים רבים עיוניים, ואף על פי שלא ילקחו מהם הקדמות לזאת החכמה, אלא שהם ירגילו השכל ויקנוהו קניין עשות המופת וידיעת האמת בענינים העצמיים לו, ויסירו השבושים הנמצאים ברוב דעות המעיינים מהסתפקות הענינים המקריים בעצמיים, ומה שיתחדש בעבור זה מהפסד הדעות, מחובר אל ציור הענינים ההם כפי מה שהם עליו גם כן, ואם לא יהיו שרש לחכמה האלהית, ואינם נמלטים מתועלות אחרות בענינים מקרבים לחכמה ההיא, אי אפשר אם כן בהכרח, למי שירצה השלמות האנושי, מבלתי התלמד תחלה במלאכת ההגיון ואחר כן בלימודיות על הסדר, ואחר כן בטבעיות, ואחר כן באלהיות.</w:t>
      </w:r>
      <w:r>
        <w:rPr>
          <w:rFonts w:hint="cs"/>
          <w:rtl/>
        </w:rPr>
        <w:t>"</w:t>
      </w:r>
    </w:p>
    <w:p w14:paraId="4D3875FF" w14:textId="799F22B7" w:rsidR="00F06854" w:rsidRDefault="00F06854" w:rsidP="00614DAD">
      <w:pPr>
        <w:pStyle w:val="FootnoteText"/>
      </w:pPr>
      <w:r>
        <w:rPr>
          <w:rFonts w:hint="cs"/>
          <w:rtl/>
        </w:rPr>
        <w:t>הגי</w:t>
      </w:r>
      <w:r w:rsidR="00534427">
        <w:rPr>
          <w:rFonts w:hint="cs"/>
          <w:rtl/>
        </w:rPr>
        <w:t>אומטריה הצרופה</w:t>
      </w:r>
      <w:r w:rsidR="000E3B21">
        <w:rPr>
          <w:rFonts w:hint="cs"/>
          <w:rtl/>
        </w:rPr>
        <w:t xml:space="preserve"> (שאינה מבקשת להיות שימושית </w:t>
      </w:r>
      <w:r w:rsidR="00584FD7">
        <w:rPr>
          <w:rFonts w:hint="cs"/>
          <w:rtl/>
        </w:rPr>
        <w:t>ל</w:t>
      </w:r>
      <w:r w:rsidR="000E3B21">
        <w:rPr>
          <w:rFonts w:hint="cs"/>
          <w:rtl/>
        </w:rPr>
        <w:t>שום עניין חומרי)</w:t>
      </w:r>
      <w:r w:rsidR="00534427">
        <w:rPr>
          <w:rFonts w:hint="cs"/>
          <w:rtl/>
        </w:rPr>
        <w:t xml:space="preserve"> היא הפשטה של הטבע, ופניה לבקש את מה שעוד יותר מופשט</w:t>
      </w:r>
      <w:r w:rsidR="00F91754">
        <w:rPr>
          <w:rFonts w:hint="cs"/>
          <w:rtl/>
        </w:rPr>
        <w:t>, המטאפיזי</w:t>
      </w:r>
      <w:r w:rsidR="00534427">
        <w:rPr>
          <w:rFonts w:hint="cs"/>
          <w:rtl/>
        </w:rPr>
        <w:t xml:space="preserve">, ואינה </w:t>
      </w:r>
      <w:r w:rsidR="00F91754">
        <w:rPr>
          <w:rFonts w:hint="cs"/>
          <w:rtl/>
        </w:rPr>
        <w:t>משתתפת</w:t>
      </w:r>
      <w:r w:rsidR="00534427">
        <w:rPr>
          <w:rFonts w:hint="cs"/>
          <w:rtl/>
        </w:rPr>
        <w:t xml:space="preserve"> בשאלות על החומר</w:t>
      </w:r>
      <w:r w:rsidR="00F91754">
        <w:rPr>
          <w:rFonts w:hint="cs"/>
          <w:rtl/>
        </w:rPr>
        <w:t xml:space="preserve"> עצמו, שהוא המושא של חכמת הטבע</w:t>
      </w:r>
      <w:r w:rsidR="000E3B21">
        <w:rPr>
          <w:rFonts w:hint="cs"/>
          <w:rtl/>
        </w:rPr>
        <w:t>.</w:t>
      </w:r>
      <w:r w:rsidR="00534427">
        <w:rPr>
          <w:rFonts w:hint="cs"/>
          <w:rtl/>
        </w:rPr>
        <w:t xml:space="preserve"> </w:t>
      </w:r>
      <w:r w:rsidR="009A1DD8">
        <w:rPr>
          <w:rFonts w:hint="cs"/>
          <w:rtl/>
        </w:rPr>
        <w:t>וכל ספר הפיזיקה של אריסטו אין בו עיסוק בנושאים חומריים אלא רק בהפשטות הכרחיו</w:t>
      </w:r>
      <w:r w:rsidR="0051489A">
        <w:rPr>
          <w:rFonts w:hint="cs"/>
          <w:rtl/>
        </w:rPr>
        <w:t>ת</w:t>
      </w:r>
      <w:r w:rsidR="009A1DD8">
        <w:rPr>
          <w:rFonts w:hint="cs"/>
          <w:rtl/>
        </w:rPr>
        <w:t xml:space="preserve"> מהחומר שעוסקות בשאלות על המטאפיזי</w:t>
      </w:r>
      <w:r w:rsidR="0051489A">
        <w:rPr>
          <w:rFonts w:hint="cs"/>
          <w:rtl/>
        </w:rPr>
        <w:t xml:space="preserve">, ובסוף הספר </w:t>
      </w:r>
      <w:r w:rsidR="00667451">
        <w:rPr>
          <w:rFonts w:hint="cs"/>
          <w:rtl/>
        </w:rPr>
        <w:t xml:space="preserve">השאלות </w:t>
      </w:r>
      <w:r w:rsidR="0051489A">
        <w:rPr>
          <w:rFonts w:hint="cs"/>
          <w:rtl/>
        </w:rPr>
        <w:t>מגיעות להשגת המניע הבלתי מונע, הוא סיבת הסיבות, שהוא המופשט הגמור</w:t>
      </w:r>
      <w:r w:rsidR="00667451">
        <w:rPr>
          <w:rFonts w:hint="cs"/>
          <w:rtl/>
        </w:rPr>
        <w:t>, האלוה</w:t>
      </w:r>
      <w:r w:rsidR="0051489A">
        <w:rPr>
          <w:rFonts w:hint="cs"/>
          <w:rtl/>
        </w:rPr>
        <w:t xml:space="preserve">. </w:t>
      </w:r>
      <w:r w:rsidR="00667451">
        <w:rPr>
          <w:rFonts w:hint="cs"/>
          <w:rtl/>
        </w:rPr>
        <w:t xml:space="preserve">וטעות היא לחשוב בגלל השם 'פיזיקה' שהספר עוסק במדע הפיזיקה </w:t>
      </w:r>
      <w:r w:rsidR="00B51CEA">
        <w:rPr>
          <w:rFonts w:hint="cs"/>
          <w:rtl/>
        </w:rPr>
        <w:t>במובן המודרני שלו שגם כשאינו מבקש להיות שימושי הוא עוסק בחקר החומר לבדו</w:t>
      </w:r>
      <w:r w:rsidR="00854E0E">
        <w:rPr>
          <w:rFonts w:hint="cs"/>
          <w:rtl/>
        </w:rPr>
        <w:t>, ומוציא מראש, בהגדרה, את העסק במופשט מתחום חקירתו</w:t>
      </w:r>
      <w:r w:rsidR="00B51CEA">
        <w:rPr>
          <w:rFonts w:hint="cs"/>
          <w:rtl/>
        </w:rPr>
        <w:t xml:space="preserve">.  </w:t>
      </w:r>
    </w:p>
  </w:footnote>
  <w:footnote w:id="590">
    <w:p w14:paraId="6AD5148B" w14:textId="5464CEE1" w:rsidR="00C26AD9" w:rsidRDefault="00C26AD9">
      <w:pPr>
        <w:pStyle w:val="FootnoteText"/>
      </w:pPr>
      <w:r>
        <w:rPr>
          <w:rStyle w:val="FootnoteReference"/>
        </w:rPr>
        <w:footnoteRef/>
      </w:r>
      <w:r>
        <w:rPr>
          <w:rtl/>
        </w:rPr>
        <w:t xml:space="preserve"> </w:t>
      </w:r>
      <w:r w:rsidR="006937A3">
        <w:rPr>
          <w:rFonts w:hint="cs"/>
          <w:rtl/>
        </w:rPr>
        <w:t xml:space="preserve">אין הכוונה </w:t>
      </w:r>
      <w:r w:rsidR="00F17F97">
        <w:rPr>
          <w:rFonts w:hint="cs"/>
          <w:rtl/>
        </w:rPr>
        <w:t xml:space="preserve">שהיא חכמה </w:t>
      </w:r>
      <w:r w:rsidR="006937A3">
        <w:rPr>
          <w:rFonts w:hint="cs"/>
          <w:rtl/>
        </w:rPr>
        <w:t xml:space="preserve">פשוטה </w:t>
      </w:r>
      <w:r w:rsidR="0084288D">
        <w:rPr>
          <w:rFonts w:hint="cs"/>
          <w:rtl/>
        </w:rPr>
        <w:t xml:space="preserve">במובן של </w:t>
      </w:r>
      <w:r w:rsidR="00F17F97">
        <w:rPr>
          <w:rFonts w:hint="cs"/>
          <w:rtl/>
        </w:rPr>
        <w:t xml:space="preserve">קלה </w:t>
      </w:r>
      <w:r w:rsidR="006937A3">
        <w:rPr>
          <w:rFonts w:hint="cs"/>
          <w:rtl/>
        </w:rPr>
        <w:t>להבנה, אלא היא עוסקת ב</w:t>
      </w:r>
      <w:r w:rsidR="0084288D">
        <w:rPr>
          <w:rFonts w:hint="cs"/>
          <w:rtl/>
        </w:rPr>
        <w:t xml:space="preserve">אותו </w:t>
      </w:r>
      <w:r w:rsidR="006937A3">
        <w:rPr>
          <w:rFonts w:hint="cs"/>
          <w:rtl/>
        </w:rPr>
        <w:t>מושא ש</w:t>
      </w:r>
      <w:r w:rsidR="0084288D">
        <w:rPr>
          <w:rFonts w:hint="cs"/>
          <w:rtl/>
        </w:rPr>
        <w:t>עליו נסובה הדיסציפלינה</w:t>
      </w:r>
      <w:r w:rsidR="006937A3">
        <w:rPr>
          <w:rFonts w:hint="cs"/>
          <w:rtl/>
        </w:rPr>
        <w:t xml:space="preserve">, </w:t>
      </w:r>
      <w:r w:rsidR="005C71DE">
        <w:rPr>
          <w:rFonts w:hint="cs"/>
          <w:rtl/>
        </w:rPr>
        <w:t>כלומר היא חכמת חקר המספרים ו</w:t>
      </w:r>
      <w:r w:rsidR="0084288D">
        <w:rPr>
          <w:rFonts w:hint="cs"/>
          <w:rtl/>
        </w:rPr>
        <w:t xml:space="preserve">המושאים שהיא עוסקת בהם הם </w:t>
      </w:r>
      <w:r w:rsidR="001827B3">
        <w:rPr>
          <w:rFonts w:hint="cs"/>
          <w:rtl/>
        </w:rPr>
        <w:t>ה</w:t>
      </w:r>
      <w:r w:rsidR="005C71DE">
        <w:rPr>
          <w:rFonts w:hint="cs"/>
          <w:rtl/>
        </w:rPr>
        <w:t>מספרים. ו</w:t>
      </w:r>
      <w:r w:rsidR="00FC198B">
        <w:rPr>
          <w:rFonts w:hint="cs"/>
          <w:rtl/>
        </w:rPr>
        <w:t xml:space="preserve">אינה חכמה מורכבת </w:t>
      </w:r>
      <w:r w:rsidR="001827B3">
        <w:rPr>
          <w:rFonts w:hint="cs"/>
          <w:rtl/>
        </w:rPr>
        <w:t xml:space="preserve">כלומר שיש בה עירוב, </w:t>
      </w:r>
      <w:r w:rsidR="00FC198B">
        <w:rPr>
          <w:rFonts w:hint="cs"/>
          <w:rtl/>
        </w:rPr>
        <w:t>כמו למשל חכמת המוזיקה או האסטרונומיה שמשתמש</w:t>
      </w:r>
      <w:r w:rsidR="001827B3">
        <w:rPr>
          <w:rFonts w:hint="cs"/>
          <w:rtl/>
        </w:rPr>
        <w:t>ו</w:t>
      </w:r>
      <w:r w:rsidR="00FC198B">
        <w:rPr>
          <w:rFonts w:hint="cs"/>
          <w:rtl/>
        </w:rPr>
        <w:t xml:space="preserve">ת במתמטיקה כדי לחקור מושאים שאינם </w:t>
      </w:r>
      <w:r w:rsidR="00F17F97">
        <w:rPr>
          <w:rFonts w:hint="cs"/>
          <w:rtl/>
        </w:rPr>
        <w:t xml:space="preserve">ישויות מתמטיות ואינם מופשטים כמו הישויות המתמטיות. </w:t>
      </w:r>
      <w:r w:rsidR="001827B3">
        <w:rPr>
          <w:rFonts w:hint="cs"/>
          <w:rtl/>
        </w:rPr>
        <w:t xml:space="preserve">כך מתבאר מלשון אבן סינא בסוף פרק זה. </w:t>
      </w:r>
      <w:r w:rsidR="00FC198B">
        <w:rPr>
          <w:rFonts w:hint="cs"/>
          <w:rtl/>
        </w:rPr>
        <w:t xml:space="preserve"> </w:t>
      </w:r>
      <w:r w:rsidR="005C71DE">
        <w:rPr>
          <w:rFonts w:hint="cs"/>
          <w:rtl/>
        </w:rPr>
        <w:t xml:space="preserve"> </w:t>
      </w:r>
    </w:p>
  </w:footnote>
  <w:footnote w:id="591">
    <w:p w14:paraId="0CD8930B" w14:textId="123D9F1E" w:rsidR="00EB3C91" w:rsidRDefault="00EB3C91">
      <w:pPr>
        <w:pStyle w:val="FootnoteText"/>
      </w:pPr>
      <w:r>
        <w:rPr>
          <w:rStyle w:val="FootnoteReference"/>
        </w:rPr>
        <w:footnoteRef/>
      </w:r>
      <w:r>
        <w:rPr>
          <w:rtl/>
        </w:rPr>
        <w:t xml:space="preserve"> </w:t>
      </w:r>
      <w:r w:rsidR="00A23315">
        <w:rPr>
          <w:rFonts w:hint="cs"/>
          <w:rtl/>
        </w:rPr>
        <w:t xml:space="preserve">משקלי השיר, פואטיקה. </w:t>
      </w:r>
    </w:p>
  </w:footnote>
  <w:footnote w:id="592">
    <w:p w14:paraId="1A61C52B" w14:textId="71BC56FA" w:rsidR="005F69A5" w:rsidRPr="00901AD8" w:rsidRDefault="005F69A5" w:rsidP="008C6F12">
      <w:pPr>
        <w:pStyle w:val="FootnoteText"/>
        <w:rPr>
          <w:rtl/>
        </w:rPr>
      </w:pPr>
      <w:r>
        <w:rPr>
          <w:rStyle w:val="FootnoteReference"/>
        </w:rPr>
        <w:footnoteRef/>
      </w:r>
      <w:r>
        <w:rPr>
          <w:rtl/>
        </w:rPr>
        <w:t xml:space="preserve"> </w:t>
      </w:r>
      <w:r w:rsidR="00D27139">
        <w:rPr>
          <w:rFonts w:hint="cs"/>
          <w:rtl/>
        </w:rPr>
        <w:t>מקגיניס פירש שמדובר באסטרונומיה</w:t>
      </w:r>
      <w:r w:rsidR="0003300A">
        <w:rPr>
          <w:rFonts w:hint="cs"/>
          <w:rtl/>
        </w:rPr>
        <w:t>,</w:t>
      </w:r>
      <w:r w:rsidR="003063D5">
        <w:rPr>
          <w:rFonts w:hint="cs"/>
          <w:rtl/>
        </w:rPr>
        <w:t xml:space="preserve"> וה</w:t>
      </w:r>
      <w:r w:rsidR="0003300A">
        <w:rPr>
          <w:rFonts w:hint="cs"/>
          <w:rtl/>
        </w:rPr>
        <w:t>כדורי</w:t>
      </w:r>
      <w:r w:rsidR="003063D5">
        <w:rPr>
          <w:rFonts w:hint="cs"/>
          <w:rtl/>
        </w:rPr>
        <w:t>ם הם ה</w:t>
      </w:r>
      <w:r w:rsidR="00B024D7" w:rsidRPr="00B024D7">
        <w:rPr>
          <w:rtl/>
        </w:rPr>
        <w:t>ספֵירות</w:t>
      </w:r>
      <w:r w:rsidR="003063D5">
        <w:rPr>
          <w:rFonts w:hint="cs"/>
          <w:rtl/>
        </w:rPr>
        <w:t>, הגלגלים</w:t>
      </w:r>
      <w:r w:rsidR="00B024D7">
        <w:rPr>
          <w:rFonts w:hint="cs"/>
          <w:rtl/>
        </w:rPr>
        <w:t>, דהיינו גרמי השמיים לפי אריסטו</w:t>
      </w:r>
      <w:r w:rsidR="00D27139">
        <w:rPr>
          <w:rFonts w:hint="cs"/>
          <w:rtl/>
        </w:rPr>
        <w:t xml:space="preserve">. אמנם </w:t>
      </w:r>
      <w:r w:rsidR="00D87F11">
        <w:rPr>
          <w:rFonts w:hint="cs"/>
          <w:rtl/>
        </w:rPr>
        <w:t>ל</w:t>
      </w:r>
      <w:r w:rsidR="00D27139">
        <w:rPr>
          <w:rFonts w:hint="cs"/>
          <w:rtl/>
        </w:rPr>
        <w:t xml:space="preserve">אסטרונומיה </w:t>
      </w:r>
      <w:r w:rsidR="00D87F11">
        <w:rPr>
          <w:rFonts w:hint="cs"/>
          <w:rtl/>
        </w:rPr>
        <w:t>יש מונח קבוע</w:t>
      </w:r>
      <w:r w:rsidR="00D27139">
        <w:rPr>
          <w:rFonts w:hint="cs"/>
          <w:rtl/>
        </w:rPr>
        <w:t xml:space="preserve"> בערבית</w:t>
      </w:r>
      <w:r w:rsidR="00D87F11">
        <w:rPr>
          <w:rFonts w:hint="cs"/>
          <w:rtl/>
        </w:rPr>
        <w:t xml:space="preserve"> </w:t>
      </w:r>
      <w:r w:rsidR="00D87F11" w:rsidRPr="00901AD8">
        <w:rPr>
          <w:rtl/>
        </w:rPr>
        <w:t>והוא</w:t>
      </w:r>
      <w:r w:rsidR="00D27139" w:rsidRPr="00901AD8">
        <w:rPr>
          <w:rtl/>
        </w:rPr>
        <w:t xml:space="preserve"> </w:t>
      </w:r>
      <w:r w:rsidR="00FD31DE">
        <w:rPr>
          <w:rFonts w:hint="cs"/>
          <w:rtl/>
        </w:rPr>
        <w:t>'</w:t>
      </w:r>
      <w:r w:rsidR="00D27139" w:rsidRPr="00901AD8">
        <w:rPr>
          <w:rtl/>
        </w:rPr>
        <w:t xml:space="preserve">עלם אל </w:t>
      </w:r>
      <w:r w:rsidR="00D27139" w:rsidRPr="00901AD8">
        <w:rPr>
          <w:rtl/>
        </w:rPr>
        <w:t>פלכ</w:t>
      </w:r>
      <w:r w:rsidR="00FD31DE">
        <w:rPr>
          <w:rFonts w:hint="cs"/>
          <w:rtl/>
        </w:rPr>
        <w:t>'</w:t>
      </w:r>
      <w:r w:rsidR="00F12B86" w:rsidRPr="00901AD8">
        <w:rPr>
          <w:rtl/>
        </w:rPr>
        <w:t xml:space="preserve"> (</w:t>
      </w:r>
      <w:r w:rsidR="00F12B86" w:rsidRPr="00901AD8">
        <w:rPr>
          <w:rFonts w:ascii="Arial" w:hAnsi="Arial" w:cs="Arial" w:hint="cs"/>
          <w:rtl/>
          <w:lang w:bidi="ar-SA"/>
        </w:rPr>
        <w:t>علم</w:t>
      </w:r>
      <w:r w:rsidR="00F12B86" w:rsidRPr="00901AD8">
        <w:rPr>
          <w:rtl/>
          <w:lang w:bidi="ar-SA"/>
        </w:rPr>
        <w:t xml:space="preserve"> </w:t>
      </w:r>
      <w:bookmarkStart w:id="277" w:name="_Hlk107687355"/>
      <w:r w:rsidR="00F12B86" w:rsidRPr="00901AD8">
        <w:rPr>
          <w:rFonts w:ascii="Arial" w:hAnsi="Arial" w:cs="Arial" w:hint="cs"/>
          <w:rtl/>
          <w:lang w:bidi="ar-SA"/>
        </w:rPr>
        <w:t>الفلك</w:t>
      </w:r>
      <w:bookmarkEnd w:id="277"/>
      <w:r w:rsidR="00F12B86" w:rsidRPr="00901AD8">
        <w:rPr>
          <w:rtl/>
        </w:rPr>
        <w:t>)</w:t>
      </w:r>
      <w:r w:rsidR="00D87F11" w:rsidRPr="00901AD8">
        <w:rPr>
          <w:rtl/>
        </w:rPr>
        <w:t xml:space="preserve">, </w:t>
      </w:r>
      <w:r w:rsidR="00AC2AE5">
        <w:rPr>
          <w:rFonts w:hint="cs"/>
          <w:rtl/>
        </w:rPr>
        <w:t xml:space="preserve">ומונח נוסף שהוא </w:t>
      </w:r>
      <w:r w:rsidR="00AC2AE5" w:rsidRPr="00AC2AE5">
        <w:rPr>
          <w:rFonts w:cs="Times New Roman" w:hint="eastAsia"/>
          <w:rtl/>
          <w:lang w:bidi="ar-SA"/>
        </w:rPr>
        <w:t>علم</w:t>
      </w:r>
      <w:r w:rsidR="00AC2AE5" w:rsidRPr="00AC2AE5">
        <w:rPr>
          <w:rFonts w:cs="Times New Roman"/>
          <w:rtl/>
          <w:lang w:bidi="ar-SA"/>
        </w:rPr>
        <w:t xml:space="preserve"> </w:t>
      </w:r>
      <w:r w:rsidR="00AC2AE5" w:rsidRPr="00AC2AE5">
        <w:rPr>
          <w:rFonts w:cs="Times New Roman" w:hint="eastAsia"/>
          <w:rtl/>
          <w:lang w:bidi="ar-SA"/>
        </w:rPr>
        <w:t>الهيئة</w:t>
      </w:r>
      <w:r w:rsidR="009F4B85">
        <w:rPr>
          <w:rFonts w:cs="Times New Roman" w:hint="cs"/>
          <w:rtl/>
        </w:rPr>
        <w:t xml:space="preserve">, </w:t>
      </w:r>
      <w:r w:rsidR="00D87F11" w:rsidRPr="00901AD8">
        <w:rPr>
          <w:rtl/>
        </w:rPr>
        <w:t>ואבן סינא משתמש ב</w:t>
      </w:r>
      <w:r w:rsidR="00307B27">
        <w:rPr>
          <w:rFonts w:hint="cs"/>
          <w:rtl/>
        </w:rPr>
        <w:t xml:space="preserve">שניהם (המונח </w:t>
      </w:r>
      <w:r w:rsidR="00FD31DE">
        <w:rPr>
          <w:rFonts w:hint="cs"/>
          <w:rtl/>
        </w:rPr>
        <w:t>'</w:t>
      </w:r>
      <w:r w:rsidR="00307B27">
        <w:rPr>
          <w:rFonts w:hint="cs"/>
          <w:rtl/>
        </w:rPr>
        <w:t>עלם אל פלכ</w:t>
      </w:r>
      <w:r w:rsidR="00FD31DE">
        <w:rPr>
          <w:rFonts w:hint="cs"/>
          <w:rtl/>
        </w:rPr>
        <w:t>'</w:t>
      </w:r>
      <w:r w:rsidR="00307B27">
        <w:rPr>
          <w:rFonts w:hint="cs"/>
          <w:rtl/>
        </w:rPr>
        <w:t xml:space="preserve"> יותר שכיח אצל אבן סינא וחכמים אחרים</w:t>
      </w:r>
      <w:r w:rsidR="00EA4555">
        <w:rPr>
          <w:rFonts w:hint="cs"/>
          <w:rtl/>
        </w:rPr>
        <w:t>)</w:t>
      </w:r>
      <w:r w:rsidR="00D87F11" w:rsidRPr="00901AD8">
        <w:rPr>
          <w:rtl/>
        </w:rPr>
        <w:t xml:space="preserve">. </w:t>
      </w:r>
      <w:r w:rsidR="002958DF" w:rsidRPr="00901AD8">
        <w:rPr>
          <w:rtl/>
        </w:rPr>
        <w:t xml:space="preserve">המונח שכתב אבן סינא כאן, </w:t>
      </w:r>
      <w:r w:rsidR="002958DF" w:rsidRPr="00901AD8">
        <w:rPr>
          <w:rFonts w:ascii="Arial" w:hAnsi="Arial" w:cs="Arial" w:hint="cs"/>
          <w:rtl/>
          <w:lang w:bidi="ar-SA"/>
        </w:rPr>
        <w:t>علم</w:t>
      </w:r>
      <w:r w:rsidR="002958DF" w:rsidRPr="00901AD8">
        <w:rPr>
          <w:rtl/>
          <w:lang w:bidi="ar-SA"/>
        </w:rPr>
        <w:t xml:space="preserve"> </w:t>
      </w:r>
      <w:r w:rsidR="002958DF" w:rsidRPr="00901AD8">
        <w:rPr>
          <w:rFonts w:ascii="Arial" w:hAnsi="Arial" w:cs="Arial" w:hint="cs"/>
          <w:rtl/>
          <w:lang w:bidi="ar-SA"/>
        </w:rPr>
        <w:t>الأكر</w:t>
      </w:r>
      <w:r w:rsidR="002958DF" w:rsidRPr="00901AD8">
        <w:rPr>
          <w:rtl/>
          <w:lang w:bidi="ar-SA"/>
        </w:rPr>
        <w:t xml:space="preserve"> </w:t>
      </w:r>
      <w:r w:rsidR="002958DF" w:rsidRPr="00901AD8">
        <w:rPr>
          <w:rFonts w:ascii="Arial" w:hAnsi="Arial" w:cs="Arial" w:hint="cs"/>
          <w:rtl/>
          <w:lang w:bidi="ar-SA"/>
        </w:rPr>
        <w:t>المتحركة</w:t>
      </w:r>
      <w:r w:rsidR="002958DF" w:rsidRPr="00901AD8">
        <w:rPr>
          <w:rtl/>
        </w:rPr>
        <w:t xml:space="preserve">, לא מצאתי </w:t>
      </w:r>
      <w:r w:rsidR="00901AD8">
        <w:rPr>
          <w:rFonts w:hint="cs"/>
          <w:rtl/>
        </w:rPr>
        <w:t xml:space="preserve">לעת עתה </w:t>
      </w:r>
      <w:r w:rsidR="002958DF" w:rsidRPr="00901AD8">
        <w:rPr>
          <w:rtl/>
        </w:rPr>
        <w:t>שהוא</w:t>
      </w:r>
      <w:r w:rsidR="00322C4D">
        <w:rPr>
          <w:rFonts w:hint="cs"/>
          <w:rtl/>
        </w:rPr>
        <w:t>, או חכם אחר,</w:t>
      </w:r>
      <w:r w:rsidR="002958DF" w:rsidRPr="00901AD8">
        <w:rPr>
          <w:rtl/>
        </w:rPr>
        <w:t xml:space="preserve"> משתמש בו במקום כלשהו לציין אסטרונומיה, וגם לא </w:t>
      </w:r>
      <w:r w:rsidR="00FD31DE">
        <w:rPr>
          <w:rFonts w:hint="cs"/>
          <w:rtl/>
        </w:rPr>
        <w:t>מצאתי</w:t>
      </w:r>
      <w:r w:rsidR="00CC0119">
        <w:rPr>
          <w:rFonts w:hint="cs"/>
          <w:rtl/>
        </w:rPr>
        <w:t xml:space="preserve"> לעת עתה</w:t>
      </w:r>
      <w:r w:rsidR="00FD31DE">
        <w:rPr>
          <w:rFonts w:hint="cs"/>
          <w:rtl/>
        </w:rPr>
        <w:t xml:space="preserve"> שימוש בו </w:t>
      </w:r>
      <w:r w:rsidR="002958DF" w:rsidRPr="00901AD8">
        <w:rPr>
          <w:rtl/>
        </w:rPr>
        <w:t>במובן אחר</w:t>
      </w:r>
      <w:r w:rsidR="00277000">
        <w:rPr>
          <w:rFonts w:hint="cs"/>
          <w:rtl/>
        </w:rPr>
        <w:t xml:space="preserve"> (הידיעות שלי בזה מצומצמות)</w:t>
      </w:r>
      <w:r w:rsidR="002958DF" w:rsidRPr="00901AD8">
        <w:rPr>
          <w:rtl/>
        </w:rPr>
        <w:t xml:space="preserve">. </w:t>
      </w:r>
      <w:r w:rsidR="00806E6F">
        <w:rPr>
          <w:rFonts w:hint="cs"/>
          <w:rtl/>
        </w:rPr>
        <w:t xml:space="preserve">ובמיוחד קשה שמייד בהמשך אבן סינא מזכיר את </w:t>
      </w:r>
      <w:r w:rsidR="007930C9">
        <w:rPr>
          <w:rFonts w:hint="cs"/>
          <w:rtl/>
        </w:rPr>
        <w:t>האסטרונומיה</w:t>
      </w:r>
      <w:r w:rsidR="00EA4555">
        <w:rPr>
          <w:rFonts w:hint="cs"/>
          <w:rtl/>
        </w:rPr>
        <w:t xml:space="preserve"> במונח המקובל שלה</w:t>
      </w:r>
      <w:r w:rsidR="007930C9">
        <w:rPr>
          <w:rFonts w:hint="cs"/>
          <w:rtl/>
        </w:rPr>
        <w:t xml:space="preserve">. </w:t>
      </w:r>
      <w:r w:rsidR="00A50D3B">
        <w:rPr>
          <w:rFonts w:hint="cs"/>
          <w:rtl/>
        </w:rPr>
        <w:t xml:space="preserve">אולי מדובר </w:t>
      </w:r>
      <w:r w:rsidR="007930C9">
        <w:rPr>
          <w:rFonts w:hint="cs"/>
          <w:rtl/>
        </w:rPr>
        <w:t xml:space="preserve">כאן </w:t>
      </w:r>
      <w:r w:rsidR="00A50D3B">
        <w:rPr>
          <w:rFonts w:hint="cs"/>
          <w:rtl/>
        </w:rPr>
        <w:t xml:space="preserve">במדע שעוסק בתנועות של </w:t>
      </w:r>
      <w:r w:rsidR="0083218E">
        <w:rPr>
          <w:rFonts w:hint="cs"/>
          <w:rtl/>
        </w:rPr>
        <w:t>כדורים</w:t>
      </w:r>
      <w:r w:rsidR="006A6650">
        <w:rPr>
          <w:rFonts w:hint="cs"/>
          <w:rtl/>
        </w:rPr>
        <w:t xml:space="preserve"> </w:t>
      </w:r>
      <w:r w:rsidR="00F004DF">
        <w:rPr>
          <w:rFonts w:hint="cs"/>
          <w:rtl/>
        </w:rPr>
        <w:t>לחקור איך הם מניעים זה את זה כשהם מתגלגלים ופוגעים זה בזה, והיינו חקירת חוקי ה</w:t>
      </w:r>
      <w:r w:rsidR="00840637">
        <w:rPr>
          <w:rFonts w:hint="cs"/>
          <w:rtl/>
        </w:rPr>
        <w:t>מכניקה</w:t>
      </w:r>
      <w:r w:rsidR="00F004DF">
        <w:rPr>
          <w:rFonts w:hint="cs"/>
          <w:rtl/>
        </w:rPr>
        <w:t xml:space="preserve"> של ניוטון</w:t>
      </w:r>
      <w:r w:rsidR="00EC196D">
        <w:rPr>
          <w:rFonts w:hint="cs"/>
          <w:rtl/>
        </w:rPr>
        <w:t>.</w:t>
      </w:r>
    </w:p>
  </w:footnote>
  <w:footnote w:id="593">
    <w:p w14:paraId="69A2BB0B" w14:textId="4717892A" w:rsidR="00881134" w:rsidRDefault="00881134">
      <w:pPr>
        <w:pStyle w:val="FootnoteText"/>
      </w:pPr>
      <w:r>
        <w:rPr>
          <w:rStyle w:val="FootnoteReference"/>
        </w:rPr>
        <w:footnoteRef/>
      </w:r>
      <w:r>
        <w:rPr>
          <w:rtl/>
        </w:rPr>
        <w:t xml:space="preserve"> </w:t>
      </w:r>
      <w:r w:rsidR="00305EA8">
        <w:rPr>
          <w:rFonts w:hint="cs"/>
          <w:rtl/>
        </w:rPr>
        <w:t xml:space="preserve">חכמת משקלי השירה הכתובה קרובה </w:t>
      </w:r>
      <w:r w:rsidR="00305EA8">
        <w:rPr>
          <w:rFonts w:hint="cs"/>
          <w:rtl/>
        </w:rPr>
        <w:t>לחכמת המוזיקה</w:t>
      </w:r>
      <w:r w:rsidR="00BF1E2C">
        <w:rPr>
          <w:rFonts w:hint="cs"/>
          <w:rtl/>
        </w:rPr>
        <w:t>.</w:t>
      </w:r>
    </w:p>
  </w:footnote>
  <w:footnote w:id="594">
    <w:p w14:paraId="5AE1678B" w14:textId="65A344E2" w:rsidR="00F228D4" w:rsidRDefault="00F228D4">
      <w:pPr>
        <w:pStyle w:val="FootnoteText"/>
      </w:pPr>
      <w:r>
        <w:rPr>
          <w:rStyle w:val="FootnoteReference"/>
        </w:rPr>
        <w:footnoteRef/>
      </w:r>
      <w:r>
        <w:rPr>
          <w:rtl/>
        </w:rPr>
        <w:t xml:space="preserve"> </w:t>
      </w:r>
      <w:r w:rsidR="00321EE9">
        <w:rPr>
          <w:rFonts w:hint="cs"/>
          <w:rtl/>
        </w:rPr>
        <w:t xml:space="preserve">אלמג'סטי הוא שמו הערבי של </w:t>
      </w:r>
      <w:r w:rsidR="00CF52FE">
        <w:rPr>
          <w:rFonts w:hint="cs"/>
          <w:rtl/>
        </w:rPr>
        <w:t xml:space="preserve">הספר שנכתב על ידי תלמי במאה השנייה והיה ספר היסוד של האסטרונומיה עד קופרניקוס. </w:t>
      </w:r>
      <w:r w:rsidR="000E2EB5">
        <w:rPr>
          <w:rFonts w:hint="cs"/>
          <w:rtl/>
        </w:rPr>
        <w:t xml:space="preserve">מה שתרגמתי שמדובר דווקא בהתחלת הספר, אפשר לתרגם אחרת, ותרגמתי כאן בעקבות מקגיניס. </w:t>
      </w:r>
    </w:p>
  </w:footnote>
  <w:footnote w:id="595">
    <w:p w14:paraId="1C3A8CF1" w14:textId="53CC8E90" w:rsidR="009971FF" w:rsidRDefault="009971FF">
      <w:pPr>
        <w:pStyle w:val="FootnoteText"/>
      </w:pPr>
      <w:r>
        <w:rPr>
          <w:rStyle w:val="FootnoteReference"/>
        </w:rPr>
        <w:footnoteRef/>
      </w:r>
      <w:r>
        <w:rPr>
          <w:rtl/>
        </w:rPr>
        <w:t xml:space="preserve"> </w:t>
      </w:r>
      <w:r w:rsidR="0040740F" w:rsidRPr="00260FCD">
        <w:rPr>
          <w:rtl/>
        </w:rPr>
        <w:t>את מה שכתוב</w:t>
      </w:r>
      <w:r w:rsidR="00EC72C7" w:rsidRPr="00260FCD">
        <w:rPr>
          <w:rtl/>
        </w:rPr>
        <w:t xml:space="preserve"> כאן</w:t>
      </w:r>
      <w:r w:rsidR="0040740F" w:rsidRPr="00260FCD">
        <w:rPr>
          <w:rtl/>
        </w:rPr>
        <w:t xml:space="preserve"> במקור </w:t>
      </w:r>
      <w:r w:rsidR="0040740F" w:rsidRPr="00260FCD">
        <w:rPr>
          <w:rFonts w:ascii="Arial" w:hAnsi="Arial" w:cs="Arial" w:hint="cs"/>
          <w:rtl/>
          <w:lang w:bidi="ar-SA"/>
        </w:rPr>
        <w:t>أما</w:t>
      </w:r>
      <w:r w:rsidR="0040740F" w:rsidRPr="00260FCD">
        <w:rPr>
          <w:rtl/>
        </w:rPr>
        <w:t xml:space="preserve"> אבן תיבון במורה נבוכים מתרגם על פי רוב "אמנם", ואני הולך </w:t>
      </w:r>
      <w:r w:rsidR="00EC72C7" w:rsidRPr="00260FCD">
        <w:rPr>
          <w:rtl/>
        </w:rPr>
        <w:t xml:space="preserve">עד כמה שניתן </w:t>
      </w:r>
      <w:r w:rsidR="0040740F" w:rsidRPr="00260FCD">
        <w:rPr>
          <w:rtl/>
        </w:rPr>
        <w:t xml:space="preserve">בעקבותיו גם אם לפעמים </w:t>
      </w:r>
      <w:r w:rsidR="00EC72C7" w:rsidRPr="00260FCD">
        <w:rPr>
          <w:rtl/>
        </w:rPr>
        <w:t>זה גורם ש</w:t>
      </w:r>
      <w:r w:rsidR="0040740F" w:rsidRPr="00260FCD">
        <w:rPr>
          <w:rtl/>
        </w:rPr>
        <w:t>הניסוח מסורבל</w:t>
      </w:r>
      <w:r w:rsidR="00EC72C7" w:rsidRPr="00260FCD">
        <w:rPr>
          <w:rtl/>
        </w:rPr>
        <w:t xml:space="preserve">. </w:t>
      </w:r>
      <w:r w:rsidR="0040740F" w:rsidRPr="00260FCD">
        <w:rPr>
          <w:rtl/>
        </w:rPr>
        <w:t xml:space="preserve"> </w:t>
      </w:r>
    </w:p>
  </w:footnote>
  <w:footnote w:id="596">
    <w:p w14:paraId="04E07815" w14:textId="7BCB2DE9" w:rsidR="00596691" w:rsidRDefault="00596691">
      <w:pPr>
        <w:pStyle w:val="FootnoteText"/>
        <w:rPr>
          <w:rtl/>
        </w:rPr>
      </w:pPr>
      <w:r>
        <w:rPr>
          <w:rStyle w:val="FootnoteReference"/>
        </w:rPr>
        <w:footnoteRef/>
      </w:r>
      <w:r>
        <w:rPr>
          <w:rtl/>
        </w:rPr>
        <w:t xml:space="preserve"> </w:t>
      </w:r>
      <w:r w:rsidR="0061628B" w:rsidRPr="004A20D3">
        <w:rPr>
          <w:rFonts w:ascii="Arial" w:hAnsi="Arial" w:cs="Arial" w:hint="cs"/>
          <w:rtl/>
          <w:lang w:bidi="ar-SA"/>
        </w:rPr>
        <w:t>محمول</w:t>
      </w:r>
      <w:r w:rsidR="0061628B" w:rsidRPr="004A20D3">
        <w:rPr>
          <w:rtl/>
        </w:rPr>
        <w:t xml:space="preserve"> </w:t>
      </w:r>
      <w:r w:rsidR="00C005DB" w:rsidRPr="004A20D3">
        <w:rPr>
          <w:rtl/>
        </w:rPr>
        <w:t xml:space="preserve">מחמול. </w:t>
      </w:r>
      <w:r w:rsidR="0061628B" w:rsidRPr="004A20D3">
        <w:rPr>
          <w:rtl/>
        </w:rPr>
        <w:t xml:space="preserve">הוא מושג בחכמת </w:t>
      </w:r>
      <w:r w:rsidR="0061628B" w:rsidRPr="004A20D3">
        <w:rPr>
          <w:rtl/>
        </w:rPr>
        <w:t xml:space="preserve">ההגיון </w:t>
      </w:r>
      <w:r w:rsidR="002D063E">
        <w:rPr>
          <w:rFonts w:hint="cs"/>
          <w:rtl/>
        </w:rPr>
        <w:t>האריסטוטלית</w:t>
      </w:r>
      <w:r w:rsidR="002601B1">
        <w:rPr>
          <w:rFonts w:hint="cs"/>
          <w:rtl/>
        </w:rPr>
        <w:t>.</w:t>
      </w:r>
      <w:r w:rsidR="002D063E">
        <w:rPr>
          <w:rFonts w:hint="cs"/>
          <w:rtl/>
        </w:rPr>
        <w:t xml:space="preserve"> </w:t>
      </w:r>
      <w:r w:rsidR="0051708C">
        <w:rPr>
          <w:rFonts w:hint="cs"/>
          <w:rtl/>
        </w:rPr>
        <w:t>באנגלית</w:t>
      </w:r>
      <w:r w:rsidR="0042229F">
        <w:rPr>
          <w:rFonts w:hint="cs"/>
          <w:rtl/>
        </w:rPr>
        <w:t xml:space="preserve"> (בעקבות הלטינית)</w:t>
      </w:r>
      <w:r w:rsidR="002601B1">
        <w:rPr>
          <w:rFonts w:hint="cs"/>
          <w:rtl/>
        </w:rPr>
        <w:t xml:space="preserve"> הוא</w:t>
      </w:r>
      <w:r w:rsidR="0042229F">
        <w:rPr>
          <w:rFonts w:hint="cs"/>
          <w:rtl/>
        </w:rPr>
        <w:t xml:space="preserve"> נקרא</w:t>
      </w:r>
      <w:r w:rsidR="00C005DB" w:rsidRPr="004A20D3">
        <w:rPr>
          <w:rtl/>
        </w:rPr>
        <w:t xml:space="preserve"> </w:t>
      </w:r>
      <w:r w:rsidR="00217BB9" w:rsidRPr="00217BB9">
        <w:rPr>
          <w:rtl/>
        </w:rPr>
        <w:t>פּ</w:t>
      </w:r>
      <w:r w:rsidR="00E5179E" w:rsidRPr="00E5179E">
        <w:rPr>
          <w:rtl/>
        </w:rPr>
        <w:t>רֶ</w:t>
      </w:r>
      <w:r w:rsidR="00217BB9" w:rsidRPr="00217BB9">
        <w:rPr>
          <w:rtl/>
        </w:rPr>
        <w:t>דִיקָט</w:t>
      </w:r>
      <w:r w:rsidR="0042229F">
        <w:rPr>
          <w:rFonts w:hint="cs"/>
          <w:rtl/>
        </w:rPr>
        <w:t xml:space="preserve"> (לא מצאתי לו תרגום עברי </w:t>
      </w:r>
      <w:r w:rsidR="009C463A">
        <w:rPr>
          <w:rFonts w:hint="cs"/>
          <w:rtl/>
        </w:rPr>
        <w:t>מדויק</w:t>
      </w:r>
      <w:r w:rsidR="0042229F">
        <w:rPr>
          <w:rFonts w:hint="cs"/>
          <w:rtl/>
        </w:rPr>
        <w:t>)</w:t>
      </w:r>
      <w:r w:rsidR="0061628B" w:rsidRPr="004A20D3">
        <w:rPr>
          <w:rtl/>
        </w:rPr>
        <w:t xml:space="preserve">. </w:t>
      </w:r>
      <w:r w:rsidR="00C005DB" w:rsidRPr="004A20D3">
        <w:rPr>
          <w:rtl/>
        </w:rPr>
        <w:t>הכונה</w:t>
      </w:r>
      <w:r w:rsidR="00F40996">
        <w:rPr>
          <w:rFonts w:hint="cs"/>
          <w:rtl/>
        </w:rPr>
        <w:t xml:space="preserve"> בפשטות</w:t>
      </w:r>
      <w:r w:rsidR="00C005DB" w:rsidRPr="004A20D3">
        <w:rPr>
          <w:rtl/>
        </w:rPr>
        <w:t xml:space="preserve"> היא </w:t>
      </w:r>
      <w:r w:rsidR="00AF5C8C" w:rsidRPr="004A20D3">
        <w:rPr>
          <w:rtl/>
        </w:rPr>
        <w:t>דבר-</w:t>
      </w:r>
      <w:r w:rsidR="0061628B" w:rsidRPr="004A20D3">
        <w:rPr>
          <w:rtl/>
        </w:rPr>
        <w:t>מה שנאמר על הנושא</w:t>
      </w:r>
      <w:r w:rsidR="00F40996">
        <w:rPr>
          <w:rFonts w:hint="cs"/>
          <w:rtl/>
        </w:rPr>
        <w:t>.</w:t>
      </w:r>
      <w:r w:rsidR="0061628B" w:rsidRPr="004A20D3">
        <w:rPr>
          <w:rtl/>
        </w:rPr>
        <w:t xml:space="preserve"> כמו למשל אם אומרים '</w:t>
      </w:r>
      <w:r w:rsidR="00F40996">
        <w:rPr>
          <w:rFonts w:hint="cs"/>
          <w:rtl/>
        </w:rPr>
        <w:t>בני אדם</w:t>
      </w:r>
      <w:r w:rsidR="0061628B" w:rsidRPr="004A20D3">
        <w:rPr>
          <w:rtl/>
        </w:rPr>
        <w:t xml:space="preserve"> </w:t>
      </w:r>
      <w:r w:rsidR="00F40996">
        <w:rPr>
          <w:rFonts w:hint="cs"/>
          <w:rtl/>
        </w:rPr>
        <w:t>הם בני</w:t>
      </w:r>
      <w:r w:rsidR="0061628B" w:rsidRPr="004A20D3">
        <w:rPr>
          <w:rtl/>
        </w:rPr>
        <w:t xml:space="preserve"> תמותה</w:t>
      </w:r>
      <w:r w:rsidR="00C005DB" w:rsidRPr="004A20D3">
        <w:rPr>
          <w:rtl/>
        </w:rPr>
        <w:t>'</w:t>
      </w:r>
      <w:r w:rsidR="0061628B" w:rsidRPr="004A20D3">
        <w:rPr>
          <w:rtl/>
        </w:rPr>
        <w:t>,</w:t>
      </w:r>
      <w:r w:rsidR="00C86C9D" w:rsidRPr="004A20D3">
        <w:rPr>
          <w:rtl/>
        </w:rPr>
        <w:t xml:space="preserve"> אז </w:t>
      </w:r>
      <w:r w:rsidR="00C005DB" w:rsidRPr="004A20D3">
        <w:rPr>
          <w:rtl/>
        </w:rPr>
        <w:t>'</w:t>
      </w:r>
      <w:r w:rsidR="00C86C9D" w:rsidRPr="004A20D3">
        <w:rPr>
          <w:rtl/>
        </w:rPr>
        <w:t>ב</w:t>
      </w:r>
      <w:r w:rsidR="00F40996">
        <w:rPr>
          <w:rFonts w:hint="cs"/>
          <w:rtl/>
        </w:rPr>
        <w:t>ני</w:t>
      </w:r>
      <w:r w:rsidR="00C86C9D" w:rsidRPr="004A20D3">
        <w:rPr>
          <w:rtl/>
        </w:rPr>
        <w:t xml:space="preserve"> תמותה</w:t>
      </w:r>
      <w:r w:rsidR="00C005DB" w:rsidRPr="004A20D3">
        <w:rPr>
          <w:rtl/>
        </w:rPr>
        <w:t>'</w:t>
      </w:r>
      <w:r w:rsidR="00C86C9D" w:rsidRPr="004A20D3">
        <w:rPr>
          <w:rtl/>
        </w:rPr>
        <w:t xml:space="preserve"> הוא הפרדיקט</w:t>
      </w:r>
      <w:r w:rsidR="002D063E">
        <w:rPr>
          <w:rFonts w:hint="cs"/>
          <w:rtl/>
        </w:rPr>
        <w:t xml:space="preserve"> שנאמר על בני האדם</w:t>
      </w:r>
      <w:r w:rsidR="00C86C9D" w:rsidRPr="004A20D3">
        <w:rPr>
          <w:rtl/>
        </w:rPr>
        <w:t xml:space="preserve">. </w:t>
      </w:r>
      <w:r w:rsidR="00C005DB" w:rsidRPr="004A20D3">
        <w:rPr>
          <w:rtl/>
        </w:rPr>
        <w:t xml:space="preserve">הוא נקרא </w:t>
      </w:r>
      <w:r w:rsidR="0096198B" w:rsidRPr="004A20D3">
        <w:rPr>
          <w:rtl/>
        </w:rPr>
        <w:t xml:space="preserve">בעברית </w:t>
      </w:r>
      <w:r w:rsidR="00C005DB" w:rsidRPr="004A20D3">
        <w:rPr>
          <w:rtl/>
        </w:rPr>
        <w:t xml:space="preserve">גם </w:t>
      </w:r>
      <w:r w:rsidR="0096198B" w:rsidRPr="004A20D3">
        <w:rPr>
          <w:rtl/>
        </w:rPr>
        <w:t>'</w:t>
      </w:r>
      <w:r w:rsidR="00C005DB" w:rsidRPr="004A20D3">
        <w:rPr>
          <w:rtl/>
        </w:rPr>
        <w:t>מאפיין</w:t>
      </w:r>
      <w:r w:rsidR="0096198B" w:rsidRPr="004A20D3">
        <w:rPr>
          <w:rtl/>
        </w:rPr>
        <w:t>'</w:t>
      </w:r>
      <w:r w:rsidR="002B11B2">
        <w:rPr>
          <w:rFonts w:hint="cs"/>
          <w:rtl/>
        </w:rPr>
        <w:t>, בני אדם מאופיינים בכך שהם בני תמותה</w:t>
      </w:r>
      <w:r w:rsidR="00C005DB" w:rsidRPr="004A20D3">
        <w:rPr>
          <w:rtl/>
        </w:rPr>
        <w:t xml:space="preserve"> </w:t>
      </w:r>
      <w:r w:rsidR="001E03AB">
        <w:rPr>
          <w:rFonts w:hint="cs"/>
          <w:rtl/>
        </w:rPr>
        <w:t>(</w:t>
      </w:r>
      <w:r w:rsidR="00766FF7" w:rsidRPr="004A20D3">
        <w:rPr>
          <w:rtl/>
        </w:rPr>
        <w:t>כמו כן הוא גם מושג בדקדוק</w:t>
      </w:r>
      <w:r w:rsidR="005175AC" w:rsidRPr="004A20D3">
        <w:rPr>
          <w:rtl/>
        </w:rPr>
        <w:t xml:space="preserve"> (קשור לעניינים התחביריים של נשוא ומושא)</w:t>
      </w:r>
      <w:r w:rsidR="003277E5">
        <w:rPr>
          <w:rFonts w:hint="cs"/>
          <w:rtl/>
        </w:rPr>
        <w:t xml:space="preserve"> וגם במתימטיקה</w:t>
      </w:r>
      <w:r w:rsidR="00766FF7" w:rsidRPr="004A20D3">
        <w:rPr>
          <w:rtl/>
        </w:rPr>
        <w:t xml:space="preserve">, </w:t>
      </w:r>
      <w:r w:rsidR="0096198B" w:rsidRPr="004A20D3">
        <w:rPr>
          <w:rtl/>
        </w:rPr>
        <w:t>אבל כאן מדובר במונח בלוגיקה האריסטוטלית שאינו זהה עם המונח הדקדוקי</w:t>
      </w:r>
      <w:r w:rsidR="003277E5">
        <w:rPr>
          <w:rFonts w:hint="cs"/>
          <w:rtl/>
        </w:rPr>
        <w:t xml:space="preserve"> או המתמטי</w:t>
      </w:r>
      <w:r w:rsidR="001E03AB">
        <w:rPr>
          <w:rFonts w:hint="cs"/>
          <w:rtl/>
        </w:rPr>
        <w:t>)</w:t>
      </w:r>
      <w:r w:rsidR="0096198B" w:rsidRPr="004A20D3">
        <w:rPr>
          <w:rtl/>
        </w:rPr>
        <w:t xml:space="preserve">. </w:t>
      </w:r>
    </w:p>
    <w:p w14:paraId="6EDEC3D2" w14:textId="3ED60FD9" w:rsidR="0045002B" w:rsidRDefault="00F96038" w:rsidP="008D492F">
      <w:pPr>
        <w:pStyle w:val="FootnoteText"/>
      </w:pPr>
      <w:r>
        <w:rPr>
          <w:rFonts w:hint="cs"/>
          <w:rtl/>
        </w:rPr>
        <w:t xml:space="preserve">כיוון שהמונח פרדיקט או 'מאפיין' הוא יסודי ושכיח, אביא כאן </w:t>
      </w:r>
      <w:r w:rsidR="00B253D2">
        <w:rPr>
          <w:rFonts w:hint="cs"/>
          <w:rtl/>
        </w:rPr>
        <w:t>דוגמה לנושא ההגיוני של המונח 'פרדיקט'</w:t>
      </w:r>
      <w:r>
        <w:rPr>
          <w:rFonts w:hint="cs"/>
          <w:rtl/>
        </w:rPr>
        <w:t>:</w:t>
      </w:r>
      <w:r w:rsidR="00B253D2">
        <w:rPr>
          <w:rFonts w:hint="cs"/>
          <w:rtl/>
        </w:rPr>
        <w:t xml:space="preserve"> </w:t>
      </w:r>
      <w:r w:rsidR="00F109BE">
        <w:rPr>
          <w:rFonts w:hint="cs"/>
          <w:rtl/>
        </w:rPr>
        <w:t>בקטגוריות אריסטו מבאר ש'ראובן' הוא עצם, כי אינו יכול להיאמר כפרדיקט על שום דבר</w:t>
      </w:r>
      <w:r w:rsidR="00B455D1">
        <w:rPr>
          <w:rFonts w:hint="cs"/>
          <w:rtl/>
        </w:rPr>
        <w:t xml:space="preserve"> (אפשר </w:t>
      </w:r>
      <w:r w:rsidR="00583438">
        <w:rPr>
          <w:rFonts w:hint="cs"/>
          <w:rtl/>
        </w:rPr>
        <w:t>ל</w:t>
      </w:r>
      <w:r w:rsidR="00B455D1">
        <w:rPr>
          <w:rFonts w:hint="cs"/>
          <w:rtl/>
        </w:rPr>
        <w:t>ומר שהאבן לבנה או כבדה</w:t>
      </w:r>
      <w:r w:rsidR="00583438">
        <w:rPr>
          <w:rFonts w:hint="cs"/>
          <w:rtl/>
        </w:rPr>
        <w:t xml:space="preserve">, אלה מאפיינים שנאמרים על האבן, </w:t>
      </w:r>
      <w:r w:rsidR="00B455D1">
        <w:rPr>
          <w:rFonts w:hint="cs"/>
          <w:rtl/>
        </w:rPr>
        <w:t xml:space="preserve">אבל </w:t>
      </w:r>
      <w:r w:rsidR="00583438">
        <w:rPr>
          <w:rFonts w:hint="cs"/>
          <w:rtl/>
        </w:rPr>
        <w:t>אי אפשר</w:t>
      </w:r>
      <w:r w:rsidR="00346670">
        <w:rPr>
          <w:rFonts w:hint="cs"/>
          <w:rtl/>
        </w:rPr>
        <w:t xml:space="preserve"> </w:t>
      </w:r>
      <w:r w:rsidR="00583438">
        <w:rPr>
          <w:rFonts w:hint="cs"/>
          <w:rtl/>
        </w:rPr>
        <w:t>לומר שיש לאבן מאפיין שהיא ראובן)</w:t>
      </w:r>
      <w:r w:rsidR="00F109BE">
        <w:rPr>
          <w:rFonts w:hint="cs"/>
          <w:rtl/>
        </w:rPr>
        <w:t xml:space="preserve">. </w:t>
      </w:r>
      <w:r>
        <w:rPr>
          <w:rFonts w:hint="cs"/>
          <w:rtl/>
        </w:rPr>
        <w:t>'</w:t>
      </w:r>
      <w:r w:rsidR="00B455D1">
        <w:rPr>
          <w:rFonts w:hint="cs"/>
          <w:rtl/>
        </w:rPr>
        <w:t>לבן</w:t>
      </w:r>
      <w:r>
        <w:rPr>
          <w:rFonts w:hint="cs"/>
          <w:rtl/>
        </w:rPr>
        <w:t>'</w:t>
      </w:r>
      <w:r w:rsidR="00064310">
        <w:rPr>
          <w:rFonts w:hint="cs"/>
          <w:rtl/>
        </w:rPr>
        <w:t xml:space="preserve"> הוא וודאי פרדיקט כי הוא נאמר על דברים </w:t>
      </w:r>
      <w:r w:rsidR="00346670">
        <w:rPr>
          <w:rFonts w:hint="cs"/>
          <w:rtl/>
        </w:rPr>
        <w:t>לבנ</w:t>
      </w:r>
      <w:r w:rsidR="00064310">
        <w:rPr>
          <w:rFonts w:hint="cs"/>
          <w:rtl/>
        </w:rPr>
        <w:t xml:space="preserve">ים, </w:t>
      </w:r>
      <w:r w:rsidR="0012416D">
        <w:rPr>
          <w:rFonts w:hint="cs"/>
          <w:rtl/>
        </w:rPr>
        <w:t>ולכן 'לבן</w:t>
      </w:r>
      <w:r w:rsidR="00064310">
        <w:rPr>
          <w:rFonts w:hint="cs"/>
          <w:rtl/>
        </w:rPr>
        <w:t>' אינו יכול להיות עצם, ורק הדבר שעליו נאמר '</w:t>
      </w:r>
      <w:r w:rsidR="0012416D">
        <w:rPr>
          <w:rFonts w:hint="cs"/>
          <w:rtl/>
        </w:rPr>
        <w:t>לבן</w:t>
      </w:r>
      <w:r w:rsidR="00064310">
        <w:rPr>
          <w:rFonts w:hint="cs"/>
          <w:rtl/>
        </w:rPr>
        <w:t xml:space="preserve">' יש אפשרות שיהיה עצם. לומר על ראובן שהוא 'אדם' יש </w:t>
      </w:r>
      <w:r w:rsidR="00D4032C">
        <w:rPr>
          <w:rFonts w:hint="cs"/>
          <w:rtl/>
        </w:rPr>
        <w:t xml:space="preserve">בזה </w:t>
      </w:r>
      <w:r w:rsidR="00FF634A">
        <w:rPr>
          <w:rFonts w:hint="cs"/>
          <w:rtl/>
        </w:rPr>
        <w:t>שאלה עמוקה וגדולה האם 'אדם' הוא פרדיקט ש</w:t>
      </w:r>
      <w:r w:rsidR="006A110D">
        <w:rPr>
          <w:rFonts w:hint="cs"/>
          <w:rtl/>
        </w:rPr>
        <w:t>נאמר על</w:t>
      </w:r>
      <w:r w:rsidR="00FF634A">
        <w:rPr>
          <w:rFonts w:hint="cs"/>
          <w:rtl/>
        </w:rPr>
        <w:t xml:space="preserve"> ראובן, מאפיין של </w:t>
      </w:r>
      <w:r w:rsidR="00D4032C">
        <w:rPr>
          <w:rFonts w:hint="cs"/>
          <w:rtl/>
        </w:rPr>
        <w:t>ראובן</w:t>
      </w:r>
      <w:r w:rsidR="006A110D">
        <w:rPr>
          <w:rFonts w:hint="cs"/>
          <w:rtl/>
        </w:rPr>
        <w:t>,</w:t>
      </w:r>
      <w:r w:rsidR="00D4032C">
        <w:rPr>
          <w:rFonts w:hint="cs"/>
          <w:rtl/>
        </w:rPr>
        <w:t xml:space="preserve"> </w:t>
      </w:r>
      <w:r>
        <w:rPr>
          <w:rFonts w:hint="cs"/>
          <w:rtl/>
        </w:rPr>
        <w:t xml:space="preserve">ולומר על ראובן שהוא אדם זה </w:t>
      </w:r>
      <w:r w:rsidR="00D4032C">
        <w:rPr>
          <w:rFonts w:hint="cs"/>
          <w:rtl/>
        </w:rPr>
        <w:t xml:space="preserve">כמו לומר </w:t>
      </w:r>
      <w:r w:rsidR="004D4331">
        <w:rPr>
          <w:rFonts w:hint="cs"/>
          <w:rtl/>
        </w:rPr>
        <w:t xml:space="preserve">על ראובן שהוא </w:t>
      </w:r>
      <w:r w:rsidR="006A110D">
        <w:rPr>
          <w:rFonts w:hint="cs"/>
          <w:rtl/>
        </w:rPr>
        <w:t>לבן</w:t>
      </w:r>
      <w:r w:rsidR="005A7D9B">
        <w:rPr>
          <w:rFonts w:hint="cs"/>
          <w:rtl/>
        </w:rPr>
        <w:t>;</w:t>
      </w:r>
      <w:r w:rsidR="00FF634A">
        <w:rPr>
          <w:rFonts w:hint="cs"/>
          <w:rtl/>
        </w:rPr>
        <w:t xml:space="preserve"> או ש</w:t>
      </w:r>
      <w:r w:rsidR="00D4032C">
        <w:rPr>
          <w:rFonts w:hint="cs"/>
          <w:rtl/>
        </w:rPr>
        <w:t xml:space="preserve">'אדם' </w:t>
      </w:r>
      <w:r w:rsidR="00FF634A">
        <w:rPr>
          <w:rFonts w:hint="cs"/>
          <w:rtl/>
        </w:rPr>
        <w:t>הוא הגדרת העצם של</w:t>
      </w:r>
      <w:r w:rsidR="00D4032C">
        <w:rPr>
          <w:rFonts w:hint="cs"/>
          <w:rtl/>
        </w:rPr>
        <w:t xml:space="preserve"> ראובן שאומר את</w:t>
      </w:r>
      <w:r w:rsidR="005A7D9B">
        <w:rPr>
          <w:rFonts w:hint="cs"/>
          <w:rtl/>
        </w:rPr>
        <w:t xml:space="preserve"> העצם</w:t>
      </w:r>
      <w:r w:rsidR="00D4032C">
        <w:rPr>
          <w:rFonts w:hint="cs"/>
          <w:rtl/>
        </w:rPr>
        <w:t xml:space="preserve"> </w:t>
      </w:r>
      <w:r w:rsidR="000C42BD">
        <w:rPr>
          <w:rFonts w:hint="cs"/>
          <w:rtl/>
        </w:rPr>
        <w:t xml:space="preserve">בעצמו </w:t>
      </w:r>
      <w:r w:rsidR="00D4032C">
        <w:rPr>
          <w:rFonts w:hint="cs"/>
          <w:rtl/>
        </w:rPr>
        <w:t>ו</w:t>
      </w:r>
      <w:r w:rsidR="001173D2">
        <w:rPr>
          <w:rFonts w:hint="cs"/>
          <w:rtl/>
        </w:rPr>
        <w:t xml:space="preserve">'אדם' </w:t>
      </w:r>
      <w:r w:rsidR="00D4032C">
        <w:rPr>
          <w:rFonts w:hint="cs"/>
          <w:rtl/>
        </w:rPr>
        <w:t xml:space="preserve">לא </w:t>
      </w:r>
      <w:r w:rsidR="005A7D9B">
        <w:rPr>
          <w:rFonts w:hint="cs"/>
          <w:rtl/>
        </w:rPr>
        <w:t xml:space="preserve">אומר </w:t>
      </w:r>
      <w:r w:rsidR="00025A72">
        <w:rPr>
          <w:rFonts w:hint="cs"/>
          <w:rtl/>
        </w:rPr>
        <w:t>משהו</w:t>
      </w:r>
      <w:r w:rsidR="005A7D9B">
        <w:rPr>
          <w:rFonts w:hint="cs"/>
          <w:rtl/>
        </w:rPr>
        <w:t xml:space="preserve"> על העצם</w:t>
      </w:r>
      <w:r w:rsidR="0051708C">
        <w:rPr>
          <w:rFonts w:hint="cs"/>
          <w:rtl/>
        </w:rPr>
        <w:t xml:space="preserve"> </w:t>
      </w:r>
      <w:r w:rsidR="000C42BD">
        <w:rPr>
          <w:rFonts w:hint="cs"/>
          <w:rtl/>
        </w:rPr>
        <w:t xml:space="preserve">דהיינו פרדיקט שנאמר על העצם ומאפיין אותו </w:t>
      </w:r>
      <w:r w:rsidR="0051708C">
        <w:rPr>
          <w:rFonts w:hint="cs"/>
          <w:rtl/>
        </w:rPr>
        <w:t>(</w:t>
      </w:r>
      <w:r w:rsidR="0045002B">
        <w:rPr>
          <w:rFonts w:hint="cs"/>
          <w:rtl/>
        </w:rPr>
        <w:t xml:space="preserve">המילה </w:t>
      </w:r>
      <w:r w:rsidR="0099336E">
        <w:rPr>
          <w:rFonts w:hint="cs"/>
          <w:rtl/>
        </w:rPr>
        <w:t>'</w:t>
      </w:r>
      <w:r w:rsidR="0045002B">
        <w:rPr>
          <w:rFonts w:hint="cs"/>
          <w:rtl/>
        </w:rPr>
        <w:t>מחמול</w:t>
      </w:r>
      <w:r w:rsidR="0099336E">
        <w:rPr>
          <w:rFonts w:hint="cs"/>
          <w:rtl/>
        </w:rPr>
        <w:t>'</w:t>
      </w:r>
      <w:r w:rsidR="0045002B">
        <w:rPr>
          <w:rFonts w:hint="cs"/>
          <w:rtl/>
        </w:rPr>
        <w:t xml:space="preserve"> משמשת </w:t>
      </w:r>
      <w:r w:rsidR="0099336E">
        <w:rPr>
          <w:rFonts w:hint="cs"/>
          <w:rtl/>
        </w:rPr>
        <w:t xml:space="preserve">בערבית </w:t>
      </w:r>
      <w:r w:rsidR="0045002B">
        <w:rPr>
          <w:rFonts w:hint="cs"/>
          <w:rtl/>
        </w:rPr>
        <w:t>גם במובן של נישא או נייד, כמו טלפון נייד</w:t>
      </w:r>
      <w:r w:rsidR="0051708C">
        <w:rPr>
          <w:rFonts w:hint="cs"/>
          <w:rtl/>
        </w:rPr>
        <w:t>)</w:t>
      </w:r>
      <w:r w:rsidR="0045002B">
        <w:rPr>
          <w:rFonts w:hint="cs"/>
          <w:rtl/>
        </w:rPr>
        <w:t xml:space="preserve">. </w:t>
      </w:r>
    </w:p>
  </w:footnote>
  <w:footnote w:id="597">
    <w:p w14:paraId="5BB45AC9" w14:textId="18F2E89F" w:rsidR="001807CC" w:rsidRDefault="001807CC">
      <w:pPr>
        <w:pStyle w:val="FootnoteText"/>
        <w:rPr>
          <w:rtl/>
        </w:rPr>
      </w:pPr>
      <w:r>
        <w:rPr>
          <w:rStyle w:val="FootnoteReference"/>
        </w:rPr>
        <w:footnoteRef/>
      </w:r>
      <w:r>
        <w:rPr>
          <w:rtl/>
        </w:rPr>
        <w:t xml:space="preserve"> </w:t>
      </w:r>
      <w:r>
        <w:rPr>
          <w:rFonts w:hint="cs"/>
          <w:rtl/>
        </w:rPr>
        <w:t>בזמן ליקוי ירח</w:t>
      </w:r>
      <w:r w:rsidR="005B3442">
        <w:rPr>
          <w:rFonts w:hint="cs"/>
          <w:rtl/>
        </w:rPr>
        <w:t xml:space="preserve"> נופל צילו של כדור הארץ על חלק מהירח</w:t>
      </w:r>
      <w:r w:rsidR="00E91A67">
        <w:rPr>
          <w:rFonts w:hint="cs"/>
          <w:rtl/>
        </w:rPr>
        <w:t xml:space="preserve"> ומחשיך אותו</w:t>
      </w:r>
      <w:r w:rsidR="005B3442">
        <w:rPr>
          <w:rFonts w:hint="cs"/>
          <w:rtl/>
        </w:rPr>
        <w:t xml:space="preserve">, וחלק </w:t>
      </w:r>
      <w:r w:rsidR="00E91A67">
        <w:rPr>
          <w:rFonts w:hint="cs"/>
          <w:rtl/>
        </w:rPr>
        <w:t xml:space="preserve">הירח </w:t>
      </w:r>
      <w:r w:rsidR="005B3442">
        <w:rPr>
          <w:rFonts w:hint="cs"/>
          <w:rtl/>
        </w:rPr>
        <w:t>שנשאר מואר צורתו סהר</w:t>
      </w:r>
      <w:r w:rsidR="00422D16">
        <w:rPr>
          <w:rFonts w:hint="cs"/>
          <w:rtl/>
        </w:rPr>
        <w:t>. אם הארץ לא הייתה כדורית הצל שלה על הירח לא היה כדורי</w:t>
      </w:r>
      <w:r w:rsidR="007519B2">
        <w:rPr>
          <w:rFonts w:hint="cs"/>
          <w:rtl/>
        </w:rPr>
        <w:t>,</w:t>
      </w:r>
      <w:r w:rsidR="00422D16">
        <w:rPr>
          <w:rFonts w:hint="cs"/>
          <w:rtl/>
        </w:rPr>
        <w:t xml:space="preserve"> והחלק שנשאר מואר בעת ליקוי ירח לא היה בצורת סהר</w:t>
      </w:r>
      <w:r w:rsidR="007519B2">
        <w:rPr>
          <w:rFonts w:hint="cs"/>
          <w:rtl/>
        </w:rPr>
        <w:t>.</w:t>
      </w:r>
      <w:r w:rsidR="005B3442">
        <w:rPr>
          <w:rFonts w:hint="cs"/>
          <w:rtl/>
        </w:rPr>
        <w:t xml:space="preserve"> </w:t>
      </w:r>
    </w:p>
    <w:p w14:paraId="5B27D79C" w14:textId="4E7C80D2" w:rsidR="00D11B2E" w:rsidRDefault="00257C26">
      <w:pPr>
        <w:pStyle w:val="FootnoteText"/>
      </w:pPr>
      <w:r>
        <w:rPr>
          <w:rFonts w:hint="cs"/>
          <w:rtl/>
        </w:rPr>
        <w:t>(</w:t>
      </w:r>
      <w:r w:rsidR="00D11B2E">
        <w:rPr>
          <w:rFonts w:hint="cs"/>
          <w:rtl/>
        </w:rPr>
        <w:t>ל</w:t>
      </w:r>
      <w:r w:rsidR="00A07812">
        <w:rPr>
          <w:rFonts w:hint="cs"/>
          <w:rtl/>
        </w:rPr>
        <w:t xml:space="preserve">צורת </w:t>
      </w:r>
      <w:r w:rsidR="00D11B2E">
        <w:rPr>
          <w:rFonts w:hint="cs"/>
          <w:rtl/>
        </w:rPr>
        <w:t xml:space="preserve">ירח </w:t>
      </w:r>
      <w:r>
        <w:rPr>
          <w:rFonts w:hint="cs"/>
          <w:rtl/>
        </w:rPr>
        <w:t>במיעוטו</w:t>
      </w:r>
      <w:r w:rsidR="000317C0">
        <w:rPr>
          <w:rFonts w:hint="cs"/>
          <w:rtl/>
        </w:rPr>
        <w:t>,</w:t>
      </w:r>
      <w:r w:rsidR="00A07812">
        <w:rPr>
          <w:rFonts w:hint="cs"/>
          <w:rtl/>
        </w:rPr>
        <w:t xml:space="preserve"> נראה שנכון ל</w:t>
      </w:r>
      <w:r w:rsidR="006A16BD">
        <w:rPr>
          <w:rFonts w:hint="cs"/>
          <w:rtl/>
        </w:rPr>
        <w:t>קרוא</w:t>
      </w:r>
      <w:r w:rsidR="00D11B2E">
        <w:rPr>
          <w:rFonts w:hint="cs"/>
          <w:rtl/>
        </w:rPr>
        <w:t xml:space="preserve"> </w:t>
      </w:r>
      <w:r w:rsidR="006A16BD">
        <w:rPr>
          <w:rFonts w:hint="cs"/>
          <w:rtl/>
        </w:rPr>
        <w:t>'</w:t>
      </w:r>
      <w:r w:rsidR="00D11B2E">
        <w:rPr>
          <w:rFonts w:hint="cs"/>
          <w:rtl/>
        </w:rPr>
        <w:t>חצי סהר</w:t>
      </w:r>
      <w:r w:rsidR="006A16BD">
        <w:rPr>
          <w:rFonts w:hint="cs"/>
          <w:rtl/>
        </w:rPr>
        <w:t>' ולא כפי הנהוג '</w:t>
      </w:r>
      <w:hyperlink r:id="rId123" w:history="1">
        <w:r w:rsidR="006A16BD" w:rsidRPr="00552B9D">
          <w:rPr>
            <w:rStyle w:val="Hyperlink"/>
            <w:rFonts w:hint="cs"/>
            <w:rtl/>
          </w:rPr>
          <w:t>סהר</w:t>
        </w:r>
      </w:hyperlink>
      <w:r w:rsidR="006A16BD">
        <w:rPr>
          <w:rFonts w:hint="cs"/>
          <w:rtl/>
        </w:rPr>
        <w:t>', עיין במפרשים על ישעיהו ג' י"ח</w:t>
      </w:r>
      <w:r w:rsidR="00DD0D99">
        <w:rPr>
          <w:rFonts w:hint="cs"/>
          <w:rtl/>
        </w:rPr>
        <w:t xml:space="preserve"> (ומלשון </w:t>
      </w:r>
      <w:r w:rsidR="00DD0D99">
        <w:rPr>
          <w:rFonts w:hint="cs"/>
          <w:rtl/>
        </w:rPr>
        <w:t xml:space="preserve">הקליר שהובא </w:t>
      </w:r>
      <w:hyperlink r:id="rId124" w:history="1">
        <w:r w:rsidR="00DD0D99" w:rsidRPr="00FD6A4C">
          <w:rPr>
            <w:rStyle w:val="Hyperlink"/>
            <w:rFonts w:hint="cs"/>
            <w:rtl/>
          </w:rPr>
          <w:t>כאן</w:t>
        </w:r>
      </w:hyperlink>
      <w:r w:rsidR="00DD0D99">
        <w:rPr>
          <w:rFonts w:hint="cs"/>
          <w:rtl/>
        </w:rPr>
        <w:t xml:space="preserve"> משמע שסהר הוא ירח מלא</w:t>
      </w:r>
      <w:r w:rsidR="00FD6A4C">
        <w:rPr>
          <w:rFonts w:hint="cs"/>
          <w:rtl/>
        </w:rPr>
        <w:t>)</w:t>
      </w:r>
      <w:r w:rsidR="006A16BD">
        <w:rPr>
          <w:rFonts w:hint="cs"/>
          <w:rtl/>
        </w:rPr>
        <w:t xml:space="preserve">. </w:t>
      </w:r>
    </w:p>
  </w:footnote>
  <w:footnote w:id="598">
    <w:p w14:paraId="7146F76F" w14:textId="0FAF1C0B" w:rsidR="001B65B7" w:rsidRDefault="001B65B7">
      <w:pPr>
        <w:pStyle w:val="FootnoteText"/>
      </w:pPr>
      <w:r>
        <w:rPr>
          <w:rStyle w:val="FootnoteReference"/>
        </w:rPr>
        <w:footnoteRef/>
      </w:r>
      <w:r>
        <w:rPr>
          <w:rtl/>
        </w:rPr>
        <w:t xml:space="preserve"> </w:t>
      </w:r>
      <w:r w:rsidR="00503DED">
        <w:rPr>
          <w:rFonts w:hint="cs"/>
          <w:rtl/>
        </w:rPr>
        <w:t>שהוא מהחומר החמישי שאינו מורכב מיסודות שונים,</w:t>
      </w:r>
      <w:r w:rsidR="00C12F8D">
        <w:rPr>
          <w:rFonts w:hint="cs"/>
          <w:rtl/>
        </w:rPr>
        <w:t xml:space="preserve"> וכמו שכתב במורה נבוכים </w:t>
      </w:r>
      <w:r w:rsidR="00C31CBD">
        <w:rPr>
          <w:rFonts w:hint="cs"/>
          <w:rtl/>
        </w:rPr>
        <w:t>א</w:t>
      </w:r>
      <w:r w:rsidR="00C12F8D">
        <w:rPr>
          <w:rFonts w:hint="cs"/>
          <w:rtl/>
        </w:rPr>
        <w:t>' נ</w:t>
      </w:r>
      <w:r w:rsidR="00C31CBD">
        <w:rPr>
          <w:rFonts w:hint="cs"/>
          <w:rtl/>
        </w:rPr>
        <w:t>"ח</w:t>
      </w:r>
      <w:r w:rsidR="004878D8">
        <w:rPr>
          <w:rFonts w:hint="cs"/>
          <w:rtl/>
        </w:rPr>
        <w:t xml:space="preserve"> שהיסוד החמישי הוא פשוט </w:t>
      </w:r>
      <w:r w:rsidR="00536B15">
        <w:rPr>
          <w:rFonts w:hint="cs"/>
          <w:rtl/>
        </w:rPr>
        <w:t xml:space="preserve">ואינו מוחשי </w:t>
      </w:r>
      <w:r w:rsidR="004878D8">
        <w:rPr>
          <w:rFonts w:hint="cs"/>
          <w:rtl/>
        </w:rPr>
        <w:t>ואין בו הרכבה</w:t>
      </w:r>
      <w:r w:rsidR="00A944D7">
        <w:rPr>
          <w:rFonts w:hint="cs"/>
          <w:rtl/>
        </w:rPr>
        <w:t xml:space="preserve">. </w:t>
      </w:r>
    </w:p>
  </w:footnote>
  <w:footnote w:id="599">
    <w:p w14:paraId="3C750878" w14:textId="1E7D4EE2" w:rsidR="00536B15" w:rsidRDefault="00536B15">
      <w:pPr>
        <w:pStyle w:val="FootnoteText"/>
        <w:rPr>
          <w:rtl/>
        </w:rPr>
      </w:pPr>
      <w:r>
        <w:rPr>
          <w:rStyle w:val="FootnoteReference"/>
        </w:rPr>
        <w:footnoteRef/>
      </w:r>
      <w:r>
        <w:rPr>
          <w:rtl/>
        </w:rPr>
        <w:t xml:space="preserve"> </w:t>
      </w:r>
      <w:r w:rsidR="008C2245">
        <w:rPr>
          <w:rFonts w:hint="cs"/>
          <w:rtl/>
        </w:rPr>
        <w:t xml:space="preserve">עצם שמיימי פשוט, שהוא מהיסוד החמישי </w:t>
      </w:r>
      <w:r w:rsidR="0028170D">
        <w:rPr>
          <w:rFonts w:hint="cs"/>
          <w:rtl/>
        </w:rPr>
        <w:t xml:space="preserve">שלא מוחשי, בהכרח תבניתו כדורית, כי אין בו </w:t>
      </w:r>
      <w:r w:rsidR="00E946E0">
        <w:rPr>
          <w:rFonts w:hint="cs"/>
          <w:rtl/>
        </w:rPr>
        <w:t xml:space="preserve">שום </w:t>
      </w:r>
      <w:r w:rsidR="0028170D">
        <w:rPr>
          <w:rFonts w:hint="cs"/>
          <w:rtl/>
        </w:rPr>
        <w:t>הרכבה ש</w:t>
      </w:r>
      <w:r w:rsidR="00EE0065">
        <w:rPr>
          <w:rFonts w:hint="cs"/>
          <w:rtl/>
        </w:rPr>
        <w:t>יכולה ל</w:t>
      </w:r>
      <w:r w:rsidR="0028170D">
        <w:rPr>
          <w:rFonts w:hint="cs"/>
          <w:rtl/>
        </w:rPr>
        <w:t xml:space="preserve">גרום לו לשינוי מהתבנית הכי פשוטה. </w:t>
      </w:r>
      <w:r w:rsidR="008C2245">
        <w:rPr>
          <w:rFonts w:hint="cs"/>
          <w:rtl/>
        </w:rPr>
        <w:t xml:space="preserve"> </w:t>
      </w:r>
    </w:p>
    <w:p w14:paraId="131CBE5E" w14:textId="0232DE61" w:rsidR="00BF4052" w:rsidRDefault="00BF4052">
      <w:pPr>
        <w:pStyle w:val="FootnoteText"/>
        <w:rPr>
          <w:rtl/>
        </w:rPr>
      </w:pPr>
      <w:r>
        <w:rPr>
          <w:rFonts w:hint="cs"/>
          <w:rtl/>
        </w:rPr>
        <w:t>וכמו שכתב בספר עץ חיים מהאר"י שער א' ענף ב':</w:t>
      </w:r>
    </w:p>
    <w:p w14:paraId="1DD5F82B" w14:textId="3A384E80" w:rsidR="007E1DCB" w:rsidRDefault="00BF4052">
      <w:pPr>
        <w:pStyle w:val="FootnoteText"/>
        <w:rPr>
          <w:rtl/>
        </w:rPr>
      </w:pPr>
      <w:r>
        <w:rPr>
          <w:rFonts w:hint="cs"/>
          <w:rtl/>
        </w:rPr>
        <w:t>"</w:t>
      </w:r>
      <w:r w:rsidRPr="00BF4052">
        <w:rPr>
          <w:rtl/>
        </w:rPr>
        <w:t xml:space="preserve">והנה אז צמצם את עצמו </w:t>
      </w:r>
      <w:r w:rsidRPr="00BF4052">
        <w:rPr>
          <w:rtl/>
        </w:rPr>
        <w:t>א"ס</w:t>
      </w:r>
      <w:r w:rsidR="00A2642E">
        <w:rPr>
          <w:rFonts w:hint="cs"/>
          <w:rtl/>
        </w:rPr>
        <w:t xml:space="preserve"> [אין סוף]</w:t>
      </w:r>
      <w:r w:rsidRPr="00BF4052">
        <w:rPr>
          <w:rtl/>
        </w:rPr>
        <w:t xml:space="preserve"> בנקודה האמצעית אשר בו באמצע אורו ממש</w:t>
      </w:r>
      <w:r w:rsidR="00A2642E">
        <w:rPr>
          <w:rFonts w:hint="cs"/>
          <w:rtl/>
        </w:rPr>
        <w:t xml:space="preserve"> </w:t>
      </w:r>
      <w:r w:rsidRPr="00BF4052">
        <w:rPr>
          <w:rtl/>
        </w:rPr>
        <w:t>וצמצם האור ההוא ונתרחק אל צדדי סביבות הנקודה האמצעית ואז נשאר מקום פנוי ואויר וחלל ר</w:t>
      </w:r>
      <w:r w:rsidR="00A2642E">
        <w:rPr>
          <w:rFonts w:hint="cs"/>
          <w:rtl/>
        </w:rPr>
        <w:t>י</w:t>
      </w:r>
      <w:r w:rsidRPr="00BF4052">
        <w:rPr>
          <w:rtl/>
        </w:rPr>
        <w:t>קני מנקודה אמצעית ממש</w:t>
      </w:r>
      <w:r w:rsidR="00A2642E">
        <w:rPr>
          <w:rFonts w:hint="cs"/>
          <w:rtl/>
        </w:rPr>
        <w:t>,</w:t>
      </w:r>
      <w:r w:rsidRPr="00BF4052">
        <w:rPr>
          <w:rtl/>
        </w:rPr>
        <w:t xml:space="preserve"> והנה הצמצום הזה היה בהשו</w:t>
      </w:r>
      <w:r w:rsidR="00A2642E">
        <w:rPr>
          <w:rFonts w:hint="cs"/>
          <w:rtl/>
        </w:rPr>
        <w:t>ו</w:t>
      </w:r>
      <w:r w:rsidRPr="00BF4052">
        <w:rPr>
          <w:rtl/>
        </w:rPr>
        <w:t>אה א'</w:t>
      </w:r>
      <w:r w:rsidR="00A2642E">
        <w:rPr>
          <w:rFonts w:hint="cs"/>
          <w:rtl/>
        </w:rPr>
        <w:t xml:space="preserve"> [אחת]</w:t>
      </w:r>
      <w:r w:rsidRPr="00BF4052">
        <w:rPr>
          <w:rtl/>
        </w:rPr>
        <w:t xml:space="preserve"> בסביבות הנקודה האמצעית ריקנית ההוא באופן שמקום החלל ההוא היה עגול מכל סביבותיו בהשוואה גמורה ולא היה בתמונת מרובע בעל זויות נצבת לפי שגם א"ס צמצם עצמו בבחי</w:t>
      </w:r>
      <w:r w:rsidR="008C4E58">
        <w:rPr>
          <w:rFonts w:hint="cs"/>
          <w:rtl/>
        </w:rPr>
        <w:t>נת</w:t>
      </w:r>
      <w:r w:rsidRPr="00BF4052">
        <w:rPr>
          <w:rtl/>
        </w:rPr>
        <w:t xml:space="preserve"> עגול בהשוואה א' מכל צדדים</w:t>
      </w:r>
      <w:r w:rsidR="007E1DCB">
        <w:rPr>
          <w:rFonts w:hint="cs"/>
          <w:rtl/>
        </w:rPr>
        <w:t>.</w:t>
      </w:r>
      <w:r w:rsidRPr="00BF4052">
        <w:rPr>
          <w:rtl/>
        </w:rPr>
        <w:t xml:space="preserve"> </w:t>
      </w:r>
    </w:p>
    <w:p w14:paraId="3929F0C2" w14:textId="71CFA6D4" w:rsidR="007E1DCB" w:rsidRDefault="00BF4052">
      <w:pPr>
        <w:pStyle w:val="FootnoteText"/>
        <w:rPr>
          <w:rtl/>
        </w:rPr>
      </w:pPr>
      <w:r w:rsidRPr="00BF4052">
        <w:rPr>
          <w:rtl/>
        </w:rPr>
        <w:t xml:space="preserve">והסיבה היתה לפי שכיון שאור הא"ס </w:t>
      </w:r>
      <w:r w:rsidR="00275B61" w:rsidRPr="00BF4052">
        <w:rPr>
          <w:rFonts w:hint="cs"/>
          <w:rtl/>
        </w:rPr>
        <w:t>שוו</w:t>
      </w:r>
      <w:r w:rsidR="00275B61" w:rsidRPr="00BF4052">
        <w:rPr>
          <w:rFonts w:hint="eastAsia"/>
          <w:rtl/>
        </w:rPr>
        <w:t>ה</w:t>
      </w:r>
      <w:r w:rsidRPr="00BF4052">
        <w:rPr>
          <w:rtl/>
        </w:rPr>
        <w:t xml:space="preserve"> בהשוואה גמורה הוכרח גם כן שיצמצם עצמו בהשוואה א' מכל הצדדים ולא שיצמצם עצמו מצד א' יותר משאר הצדדים. </w:t>
      </w:r>
    </w:p>
    <w:p w14:paraId="7B928F1A" w14:textId="5F2F5273" w:rsidR="00850756" w:rsidRDefault="00BF4052">
      <w:pPr>
        <w:pStyle w:val="FootnoteText"/>
        <w:rPr>
          <w:rtl/>
        </w:rPr>
      </w:pPr>
      <w:r w:rsidRPr="00BF4052">
        <w:rPr>
          <w:rtl/>
        </w:rPr>
        <w:t>ונודע בחכמת השיעור</w:t>
      </w:r>
      <w:r w:rsidR="007E1DCB">
        <w:rPr>
          <w:rFonts w:hint="cs"/>
          <w:rtl/>
        </w:rPr>
        <w:t xml:space="preserve"> [גיאומטריה]</w:t>
      </w:r>
      <w:r w:rsidRPr="00BF4052">
        <w:rPr>
          <w:rtl/>
        </w:rPr>
        <w:t xml:space="preserve"> שאין תמונה </w:t>
      </w:r>
      <w:r w:rsidR="007E1DCB">
        <w:rPr>
          <w:rFonts w:hint="cs"/>
          <w:rtl/>
        </w:rPr>
        <w:t>כל כך</w:t>
      </w:r>
      <w:r w:rsidRPr="00BF4052">
        <w:rPr>
          <w:rtl/>
        </w:rPr>
        <w:t xml:space="preserve"> שו</w:t>
      </w:r>
      <w:r w:rsidR="007E1DCB">
        <w:rPr>
          <w:rFonts w:hint="cs"/>
          <w:rtl/>
        </w:rPr>
        <w:t>ו</w:t>
      </w:r>
      <w:r w:rsidRPr="00BF4052">
        <w:rPr>
          <w:rtl/>
        </w:rPr>
        <w:t>ה כמו תמונת העיגול</w:t>
      </w:r>
      <w:r w:rsidR="007E1DCB">
        <w:rPr>
          <w:rFonts w:hint="cs"/>
          <w:rtl/>
        </w:rPr>
        <w:t>,</w:t>
      </w:r>
      <w:r w:rsidRPr="00BF4052">
        <w:rPr>
          <w:rtl/>
        </w:rPr>
        <w:t xml:space="preserve"> מ</w:t>
      </w:r>
      <w:r w:rsidR="007E1DCB">
        <w:rPr>
          <w:rFonts w:hint="cs"/>
          <w:rtl/>
        </w:rPr>
        <w:t>ה שאין כן</w:t>
      </w:r>
      <w:r w:rsidRPr="00BF4052">
        <w:rPr>
          <w:rtl/>
        </w:rPr>
        <w:t xml:space="preserve"> בתמונת מרובע בעל זויות נצבת בולטות וכן תמונת המשולש וכיוצא בשאר התמונות</w:t>
      </w:r>
      <w:r w:rsidR="007E1DCB">
        <w:rPr>
          <w:rFonts w:hint="cs"/>
          <w:rtl/>
        </w:rPr>
        <w:t>,</w:t>
      </w:r>
      <w:r w:rsidRPr="00BF4052">
        <w:rPr>
          <w:rtl/>
        </w:rPr>
        <w:t xml:space="preserve"> וע</w:t>
      </w:r>
      <w:r w:rsidR="007E1DCB">
        <w:rPr>
          <w:rFonts w:hint="cs"/>
          <w:rtl/>
        </w:rPr>
        <w:t>ל כן</w:t>
      </w:r>
      <w:r w:rsidRPr="00BF4052">
        <w:rPr>
          <w:rtl/>
        </w:rPr>
        <w:t xml:space="preserve"> מוכרח הוא להיות צמצום הא"ס בבחי</w:t>
      </w:r>
      <w:r w:rsidR="007E1DCB">
        <w:rPr>
          <w:rFonts w:hint="cs"/>
          <w:rtl/>
        </w:rPr>
        <w:t>נת</w:t>
      </w:r>
      <w:r w:rsidRPr="00BF4052">
        <w:rPr>
          <w:rtl/>
        </w:rPr>
        <w:t xml:space="preserve"> עיגול</w:t>
      </w:r>
      <w:r w:rsidR="007E1DCB">
        <w:rPr>
          <w:rFonts w:hint="cs"/>
          <w:rtl/>
        </w:rPr>
        <w:t>,</w:t>
      </w:r>
      <w:r w:rsidRPr="00BF4052">
        <w:rPr>
          <w:rtl/>
        </w:rPr>
        <w:t xml:space="preserve"> והסיבה הוא בעבור שהוא שוה בכל מידותיו כנ"ל. </w:t>
      </w:r>
      <w:r w:rsidR="00850756">
        <w:rPr>
          <w:rFonts w:hint="cs"/>
          <w:rtl/>
        </w:rPr>
        <w:t>[... (מביא מקורות מהזוהר לזה)]</w:t>
      </w:r>
    </w:p>
    <w:p w14:paraId="6AC54164" w14:textId="1607416C" w:rsidR="00BF4052" w:rsidRDefault="00BF4052">
      <w:pPr>
        <w:pStyle w:val="FootnoteText"/>
      </w:pPr>
      <w:r w:rsidRPr="00BF4052">
        <w:rPr>
          <w:rtl/>
        </w:rPr>
        <w:t>עוד יש סיבה אחרת והוא בעבור הנאצלים אשר עתיד להאצילם אחר כך בתוך המקום החלל ההוא הריק ופנוי כנ"ל. והענין הוא כי בהיות הנאצלים בתמונת העגולים הנה אזי יהיו כולם קרובים ודבוקים בא"ס הסובב אותם בהשוואה א</w:t>
      </w:r>
      <w:r w:rsidR="009E0610">
        <w:rPr>
          <w:rFonts w:hint="cs"/>
          <w:rtl/>
        </w:rPr>
        <w:t>חת</w:t>
      </w:r>
      <w:r w:rsidRPr="00BF4052">
        <w:rPr>
          <w:rtl/>
        </w:rPr>
        <w:t xml:space="preserve"> גמורה והאור והשפע הצריך להם יקבלום מן א"ס מכל צדדיהם בשיקול א</w:t>
      </w:r>
      <w:r w:rsidR="009E0610">
        <w:rPr>
          <w:rFonts w:hint="cs"/>
          <w:rtl/>
        </w:rPr>
        <w:t>חד,</w:t>
      </w:r>
      <w:r w:rsidRPr="00BF4052">
        <w:rPr>
          <w:rtl/>
        </w:rPr>
        <w:t xml:space="preserve"> משא"כ אם היו הנאצלים בבחי</w:t>
      </w:r>
      <w:r w:rsidR="009E0610">
        <w:rPr>
          <w:rFonts w:hint="cs"/>
          <w:rtl/>
        </w:rPr>
        <w:t>נת</w:t>
      </w:r>
      <w:r w:rsidRPr="00BF4052">
        <w:rPr>
          <w:rtl/>
        </w:rPr>
        <w:t xml:space="preserve"> מרובע או משולש וכיוצא בשאר תמונות כי אז היה בהם זו</w:t>
      </w:r>
      <w:r w:rsidR="009E0610">
        <w:rPr>
          <w:rFonts w:hint="cs"/>
          <w:rtl/>
        </w:rPr>
        <w:t>ו</w:t>
      </w:r>
      <w:r w:rsidRPr="00BF4052">
        <w:rPr>
          <w:rtl/>
        </w:rPr>
        <w:t>יות בולטות קרובות אל הא"ס יותר משאר צדדיהם ולא היה מקבלים אור א"ס בהשוואה אחת.</w:t>
      </w:r>
      <w:r>
        <w:rPr>
          <w:rFonts w:hint="cs"/>
          <w:rtl/>
        </w:rPr>
        <w:t>"</w:t>
      </w:r>
    </w:p>
  </w:footnote>
  <w:footnote w:id="600">
    <w:p w14:paraId="56628274" w14:textId="2FAC2384" w:rsidR="00D177C3" w:rsidRDefault="00E61378">
      <w:pPr>
        <w:pStyle w:val="FootnoteText"/>
        <w:rPr>
          <w:rtl/>
        </w:rPr>
      </w:pPr>
      <w:r>
        <w:rPr>
          <w:rStyle w:val="FootnoteReference"/>
        </w:rPr>
        <w:footnoteRef/>
      </w:r>
      <w:r>
        <w:rPr>
          <w:rtl/>
        </w:rPr>
        <w:t xml:space="preserve"> </w:t>
      </w:r>
      <w:r w:rsidR="00B9345D">
        <w:rPr>
          <w:rFonts w:hint="cs"/>
          <w:rtl/>
        </w:rPr>
        <w:t xml:space="preserve">"ויהיה" כאן הוא שימוש לשון ערבי, ובעברית היה צורך </w:t>
      </w:r>
      <w:r w:rsidR="001429FC">
        <w:rPr>
          <w:rFonts w:hint="cs"/>
          <w:rtl/>
        </w:rPr>
        <w:t>ל</w:t>
      </w:r>
      <w:r w:rsidR="00B9345D">
        <w:rPr>
          <w:rFonts w:hint="cs"/>
          <w:rtl/>
        </w:rPr>
        <w:t xml:space="preserve">שנות זאת ולומר שמקצתו זוויות בלי "ויהיה". </w:t>
      </w:r>
      <w:r w:rsidR="001429FC">
        <w:rPr>
          <w:rFonts w:hint="cs"/>
          <w:rtl/>
        </w:rPr>
        <w:t>אבל אין לי כוונה לתרגם לסגנון עברי נאות, אלא להעביר את המקור קרוב ככל האפשר לאופן בו הוא נכתב</w:t>
      </w:r>
      <w:r w:rsidR="00744EE1">
        <w:rPr>
          <w:rFonts w:hint="cs"/>
          <w:rtl/>
        </w:rPr>
        <w:t>. לכן התרגום הוא מילולי, עד כמה שזה מתאפשר לפי הבנת התוכן, ואני נמנע מניסוח מחודש של התוכן</w:t>
      </w:r>
      <w:r w:rsidR="00F35704">
        <w:rPr>
          <w:rFonts w:hint="cs"/>
          <w:rtl/>
        </w:rPr>
        <w:t xml:space="preserve"> אלא רק אם זה מוכרח כדי לא לשבש את התוכן</w:t>
      </w:r>
      <w:r w:rsidR="00D177C3">
        <w:rPr>
          <w:rFonts w:hint="cs"/>
          <w:rtl/>
        </w:rPr>
        <w:t>,</w:t>
      </w:r>
      <w:r w:rsidR="00744EE1">
        <w:rPr>
          <w:rFonts w:hint="cs"/>
          <w:rtl/>
        </w:rPr>
        <w:t xml:space="preserve"> </w:t>
      </w:r>
      <w:r w:rsidR="0097069D">
        <w:rPr>
          <w:rFonts w:hint="cs"/>
          <w:rtl/>
        </w:rPr>
        <w:t>ו</w:t>
      </w:r>
      <w:r w:rsidR="00D177C3">
        <w:rPr>
          <w:rFonts w:hint="cs"/>
          <w:rtl/>
        </w:rPr>
        <w:t>לכן התחביר</w:t>
      </w:r>
      <w:r w:rsidR="0097069D">
        <w:rPr>
          <w:rFonts w:hint="cs"/>
          <w:rtl/>
        </w:rPr>
        <w:t xml:space="preserve"> של התרגום</w:t>
      </w:r>
      <w:r w:rsidR="00D177C3">
        <w:rPr>
          <w:rFonts w:hint="cs"/>
          <w:rtl/>
        </w:rPr>
        <w:t xml:space="preserve"> מושפע מהערבית.</w:t>
      </w:r>
    </w:p>
    <w:p w14:paraId="22BDD63E" w14:textId="77777777" w:rsidR="00CE5BEE" w:rsidRDefault="006F437C">
      <w:pPr>
        <w:pStyle w:val="FootnoteText"/>
        <w:rPr>
          <w:rtl/>
        </w:rPr>
      </w:pPr>
      <w:r>
        <w:rPr>
          <w:rFonts w:hint="cs"/>
          <w:rtl/>
        </w:rPr>
        <w:t>לא צריך מאמץ מיוחד כדי להתרגל ללשון שמושפעת מהערבית ומלשון ימי הביניים, ו</w:t>
      </w:r>
      <w:r w:rsidR="00D755F2">
        <w:rPr>
          <w:rFonts w:hint="cs"/>
          <w:rtl/>
        </w:rPr>
        <w:t xml:space="preserve">על ידי כך </w:t>
      </w:r>
      <w:r>
        <w:rPr>
          <w:rFonts w:hint="cs"/>
          <w:rtl/>
        </w:rPr>
        <w:t>לחוש מקרוב יותר את טעם המקור וגם לשמוע אותו באופן המדו</w:t>
      </w:r>
      <w:r w:rsidR="00D755F2">
        <w:rPr>
          <w:rFonts w:hint="cs"/>
          <w:rtl/>
        </w:rPr>
        <w:t>י</w:t>
      </w:r>
      <w:r>
        <w:rPr>
          <w:rFonts w:hint="cs"/>
          <w:rtl/>
        </w:rPr>
        <w:t>ק ביותר שבי</w:t>
      </w:r>
      <w:r w:rsidR="00D755F2">
        <w:rPr>
          <w:rFonts w:hint="cs"/>
          <w:rtl/>
        </w:rPr>
        <w:t>כ</w:t>
      </w:r>
      <w:r>
        <w:rPr>
          <w:rFonts w:hint="cs"/>
          <w:rtl/>
        </w:rPr>
        <w:t xml:space="preserve">ולתי להעביר. </w:t>
      </w:r>
      <w:r w:rsidR="00D755F2">
        <w:rPr>
          <w:rFonts w:hint="cs"/>
          <w:rtl/>
        </w:rPr>
        <w:t>יש תרגומים</w:t>
      </w:r>
      <w:r w:rsidR="008F28CA">
        <w:rPr>
          <w:rFonts w:hint="cs"/>
          <w:rtl/>
        </w:rPr>
        <w:t xml:space="preserve"> חדשים</w:t>
      </w:r>
      <w:r w:rsidR="00D755F2">
        <w:rPr>
          <w:rFonts w:hint="cs"/>
          <w:rtl/>
        </w:rPr>
        <w:t xml:space="preserve"> של כתבים מימי הביניים שמנסים ל</w:t>
      </w:r>
      <w:r w:rsidR="00D36541">
        <w:rPr>
          <w:rFonts w:hint="cs"/>
          <w:rtl/>
        </w:rPr>
        <w:t>היות</w:t>
      </w:r>
      <w:r w:rsidR="00D755F2">
        <w:rPr>
          <w:rFonts w:hint="cs"/>
          <w:rtl/>
        </w:rPr>
        <w:t xml:space="preserve"> בעברית מודרנית </w:t>
      </w:r>
      <w:r w:rsidR="00D36541">
        <w:rPr>
          <w:rFonts w:hint="cs"/>
          <w:rtl/>
        </w:rPr>
        <w:t xml:space="preserve">השגורה בפי הקורא, כדי להקל על הקורא. </w:t>
      </w:r>
      <w:r w:rsidR="00545D16">
        <w:rPr>
          <w:rFonts w:hint="cs"/>
          <w:rtl/>
        </w:rPr>
        <w:t xml:space="preserve">אבן סינא </w:t>
      </w:r>
      <w:r w:rsidR="00096B67">
        <w:rPr>
          <w:rFonts w:hint="cs"/>
          <w:rtl/>
        </w:rPr>
        <w:t>לא</w:t>
      </w:r>
      <w:r w:rsidR="00545D16">
        <w:rPr>
          <w:rFonts w:hint="cs"/>
          <w:rtl/>
        </w:rPr>
        <w:t xml:space="preserve"> כתב למי </w:t>
      </w:r>
      <w:r w:rsidR="00096B67">
        <w:rPr>
          <w:rFonts w:hint="cs"/>
          <w:rtl/>
        </w:rPr>
        <w:t xml:space="preserve">שחס על מאמץ. </w:t>
      </w:r>
    </w:p>
    <w:p w14:paraId="1BF3425C" w14:textId="48C40342" w:rsidR="00E61378" w:rsidRDefault="00E55D64">
      <w:pPr>
        <w:pStyle w:val="FootnoteText"/>
      </w:pPr>
      <w:r>
        <w:rPr>
          <w:rFonts w:hint="cs"/>
          <w:rtl/>
        </w:rPr>
        <w:t>אפילו במשנה תורה ש</w:t>
      </w:r>
      <w:r w:rsidR="002D1AD9">
        <w:rPr>
          <w:rFonts w:hint="cs"/>
          <w:rtl/>
        </w:rPr>
        <w:t>נ</w:t>
      </w:r>
      <w:r>
        <w:rPr>
          <w:rFonts w:hint="cs"/>
          <w:rtl/>
        </w:rPr>
        <w:t>כתב בעברית צחה, בהלכה הראשונה הרמב"ם כתב</w:t>
      </w:r>
      <w:r w:rsidR="008C606F">
        <w:rPr>
          <w:rFonts w:hint="cs"/>
          <w:rtl/>
        </w:rPr>
        <w:t>:</w:t>
      </w:r>
      <w:r>
        <w:rPr>
          <w:rFonts w:hint="cs"/>
          <w:rtl/>
        </w:rPr>
        <w:t xml:space="preserve"> </w:t>
      </w:r>
      <w:r w:rsidR="008C606F">
        <w:rPr>
          <w:rFonts w:hint="cs"/>
          <w:rtl/>
        </w:rPr>
        <w:t>"</w:t>
      </w:r>
      <w:r>
        <w:rPr>
          <w:rFonts w:hint="cs"/>
          <w:rtl/>
        </w:rPr>
        <w:t>יסוד היסודות ועמוד החכמות לידע שיש שם מצוי ראשון</w:t>
      </w:r>
      <w:r w:rsidR="008C606F">
        <w:rPr>
          <w:rFonts w:hint="cs"/>
          <w:rtl/>
        </w:rPr>
        <w:t xml:space="preserve"> </w:t>
      </w:r>
      <w:r w:rsidR="008C606F">
        <w:rPr>
          <w:rFonts w:hint="cs"/>
          <w:rtl/>
        </w:rPr>
        <w:t>כו'"</w:t>
      </w:r>
      <w:r>
        <w:rPr>
          <w:rFonts w:hint="cs"/>
          <w:rtl/>
        </w:rPr>
        <w:t>. והמילה "שם"</w:t>
      </w:r>
      <w:r>
        <w:rPr>
          <w:rFonts w:hint="cs"/>
        </w:rPr>
        <w:t xml:space="preserve"> </w:t>
      </w:r>
      <w:r>
        <w:rPr>
          <w:rFonts w:hint="cs"/>
          <w:rtl/>
        </w:rPr>
        <w:t>היא שימוש</w:t>
      </w:r>
      <w:r w:rsidR="008C606F">
        <w:rPr>
          <w:rFonts w:hint="cs"/>
          <w:rtl/>
        </w:rPr>
        <w:t xml:space="preserve"> </w:t>
      </w:r>
      <w:r>
        <w:rPr>
          <w:rFonts w:hint="cs"/>
          <w:rtl/>
        </w:rPr>
        <w:t>לשון ערבי</w:t>
      </w:r>
      <w:r w:rsidR="008C606F">
        <w:rPr>
          <w:rFonts w:hint="cs"/>
          <w:rtl/>
        </w:rPr>
        <w:t xml:space="preserve">, שהרמב"ם נגרר אחריו. </w:t>
      </w:r>
    </w:p>
  </w:footnote>
  <w:footnote w:id="601">
    <w:p w14:paraId="041D998A" w14:textId="39A9AB27" w:rsidR="00CD045C" w:rsidRDefault="00CD045C">
      <w:pPr>
        <w:pStyle w:val="FootnoteText"/>
      </w:pPr>
      <w:r>
        <w:rPr>
          <w:rStyle w:val="FootnoteReference"/>
        </w:rPr>
        <w:footnoteRef/>
      </w:r>
      <w:r>
        <w:rPr>
          <w:rtl/>
        </w:rPr>
        <w:t xml:space="preserve"> </w:t>
      </w:r>
      <w:r w:rsidR="006B3E24">
        <w:rPr>
          <w:rFonts w:hint="cs"/>
          <w:rtl/>
        </w:rPr>
        <w:t>חכם המתמטיקה.</w:t>
      </w:r>
    </w:p>
  </w:footnote>
  <w:footnote w:id="602">
    <w:p w14:paraId="4DBE8243" w14:textId="6F3A736E" w:rsidR="00D11A59" w:rsidRDefault="00D11A59">
      <w:pPr>
        <w:pStyle w:val="FootnoteText"/>
      </w:pPr>
      <w:r>
        <w:rPr>
          <w:rStyle w:val="FootnoteReference"/>
        </w:rPr>
        <w:footnoteRef/>
      </w:r>
      <w:r>
        <w:rPr>
          <w:rtl/>
        </w:rPr>
        <w:t xml:space="preserve"> </w:t>
      </w:r>
      <w:r>
        <w:rPr>
          <w:rFonts w:hint="cs"/>
          <w:rtl/>
        </w:rPr>
        <w:t xml:space="preserve">חכם הטבע, הפיזיקאי. </w:t>
      </w:r>
    </w:p>
  </w:footnote>
  <w:footnote w:id="603">
    <w:p w14:paraId="35394F45" w14:textId="60C42EDB" w:rsidR="00B03388" w:rsidRPr="00F701F9" w:rsidRDefault="00FB7309" w:rsidP="00243CAE">
      <w:pPr>
        <w:pStyle w:val="FootnoteText"/>
      </w:pPr>
      <w:r>
        <w:rPr>
          <w:rStyle w:val="FootnoteReference"/>
        </w:rPr>
        <w:footnoteRef/>
      </w:r>
      <w:r>
        <w:rPr>
          <w:rtl/>
        </w:rPr>
        <w:t xml:space="preserve"> </w:t>
      </w:r>
      <w:r w:rsidR="00146A74">
        <w:rPr>
          <w:rFonts w:hint="cs"/>
          <w:rtl/>
        </w:rPr>
        <w:t>במקו</w:t>
      </w:r>
      <w:r w:rsidR="00146A74" w:rsidRPr="00F701F9">
        <w:rPr>
          <w:rtl/>
        </w:rPr>
        <w:t xml:space="preserve">ר </w:t>
      </w:r>
      <w:r w:rsidR="00146A74" w:rsidRPr="00F701F9">
        <w:rPr>
          <w:rtl/>
          <w:lang w:bidi="ar-SA"/>
        </w:rPr>
        <w:t xml:space="preserve"> </w:t>
      </w:r>
      <w:r w:rsidR="00146A74" w:rsidRPr="00F701F9">
        <w:rPr>
          <w:rFonts w:ascii="Arial" w:hAnsi="Arial" w:cs="Arial" w:hint="cs"/>
          <w:rtl/>
          <w:lang w:bidi="ar-SA"/>
        </w:rPr>
        <w:t>اللمية</w:t>
      </w:r>
      <w:r w:rsidR="00BB1582" w:rsidRPr="00F701F9">
        <w:rPr>
          <w:rtl/>
        </w:rPr>
        <w:t>,</w:t>
      </w:r>
      <w:r w:rsidR="00146A74" w:rsidRPr="00F701F9">
        <w:rPr>
          <w:rtl/>
        </w:rPr>
        <w:t xml:space="preserve"> ה'למה'. כלומר חכם הטבע מבאר למה הדבר הוא כך. </w:t>
      </w:r>
      <w:r w:rsidR="00C6772F" w:rsidRPr="00F701F9">
        <w:rPr>
          <w:rtl/>
        </w:rPr>
        <w:t xml:space="preserve">אם נשאל למה גרם שמיימי פשוט הוא עגול, חכם הטבע עוסק בשאלה זו ומבאר שכיוון שהוא אחד פשוט ואין בו שוני </w:t>
      </w:r>
      <w:r w:rsidR="00981397" w:rsidRPr="00F701F9">
        <w:rPr>
          <w:rtl/>
        </w:rPr>
        <w:t xml:space="preserve">תבניתו בהכרח עגולה. זה לא עניין זהה לסיבה. </w:t>
      </w:r>
      <w:r w:rsidR="00BB1582" w:rsidRPr="00F701F9">
        <w:rPr>
          <w:rtl/>
        </w:rPr>
        <w:t>'</w:t>
      </w:r>
      <w:r w:rsidR="00981397" w:rsidRPr="00F701F9">
        <w:rPr>
          <w:rtl/>
        </w:rPr>
        <w:t>סיבה</w:t>
      </w:r>
      <w:r w:rsidR="00BB1582" w:rsidRPr="00F701F9">
        <w:rPr>
          <w:rtl/>
        </w:rPr>
        <w:t>'</w:t>
      </w:r>
      <w:r w:rsidR="00981397" w:rsidRPr="00F701F9">
        <w:rPr>
          <w:rtl/>
        </w:rPr>
        <w:t xml:space="preserve"> היא סיבת מציאותו של הדבר</w:t>
      </w:r>
      <w:r w:rsidR="00BB1582" w:rsidRPr="00F701F9">
        <w:rPr>
          <w:rtl/>
        </w:rPr>
        <w:t>, סיבת מציאות התנועה היא המניע שמניע אותה</w:t>
      </w:r>
      <w:r w:rsidR="000A4832" w:rsidRPr="00F701F9">
        <w:rPr>
          <w:rtl/>
        </w:rPr>
        <w:t>, מציאות התנועה נולדת ומתהווה</w:t>
      </w:r>
      <w:r w:rsidR="001D0E9C" w:rsidRPr="00F701F9">
        <w:rPr>
          <w:rtl/>
        </w:rPr>
        <w:t xml:space="preserve"> מסיבתה, שהיא המניע</w:t>
      </w:r>
      <w:r w:rsidR="000A4832" w:rsidRPr="00F701F9">
        <w:rPr>
          <w:rtl/>
        </w:rPr>
        <w:t xml:space="preserve">. </w:t>
      </w:r>
      <w:r w:rsidR="009A4338" w:rsidRPr="00F701F9">
        <w:rPr>
          <w:rtl/>
        </w:rPr>
        <w:t>התבנית העגולה לא מתחדשת מציאותה</w:t>
      </w:r>
      <w:r w:rsidR="001D0E9C" w:rsidRPr="00F701F9">
        <w:rPr>
          <w:rtl/>
        </w:rPr>
        <w:t xml:space="preserve"> </w:t>
      </w:r>
      <w:r w:rsidR="009A4338" w:rsidRPr="00F701F9">
        <w:rPr>
          <w:rtl/>
        </w:rPr>
        <w:t>מהסיבה שהעצם פשוט</w:t>
      </w:r>
      <w:r w:rsidR="00E77FF0" w:rsidRPr="00F701F9">
        <w:rPr>
          <w:rtl/>
        </w:rPr>
        <w:t xml:space="preserve">, </w:t>
      </w:r>
      <w:r w:rsidR="009A4338" w:rsidRPr="00F701F9">
        <w:rPr>
          <w:rtl/>
        </w:rPr>
        <w:t xml:space="preserve">אלא מה שהעצם פשוט רק מסביר </w:t>
      </w:r>
      <w:r w:rsidR="001D0E9C" w:rsidRPr="00F701F9">
        <w:rPr>
          <w:rtl/>
        </w:rPr>
        <w:t>למה תבניתו</w:t>
      </w:r>
      <w:r w:rsidR="009A4338" w:rsidRPr="00F701F9">
        <w:rPr>
          <w:rtl/>
        </w:rPr>
        <w:t xml:space="preserve"> עגולה</w:t>
      </w:r>
      <w:r w:rsidR="00981397" w:rsidRPr="00F701F9">
        <w:rPr>
          <w:rtl/>
        </w:rPr>
        <w:t>.</w:t>
      </w:r>
    </w:p>
  </w:footnote>
  <w:footnote w:id="604">
    <w:p w14:paraId="5317488D" w14:textId="6AA1E1EF" w:rsidR="00D722D9" w:rsidRDefault="00D722D9">
      <w:pPr>
        <w:pStyle w:val="FootnoteText"/>
      </w:pPr>
      <w:r>
        <w:rPr>
          <w:rStyle w:val="FootnoteReference"/>
        </w:rPr>
        <w:footnoteRef/>
      </w:r>
      <w:r>
        <w:rPr>
          <w:rtl/>
        </w:rPr>
        <w:t xml:space="preserve"> </w:t>
      </w:r>
      <w:r w:rsidR="00D97BE1">
        <w:rPr>
          <w:rFonts w:hint="cs"/>
          <w:rtl/>
        </w:rPr>
        <w:t xml:space="preserve">בנוסח הערבי </w:t>
      </w:r>
      <w:r w:rsidR="00243CAE">
        <w:rPr>
          <w:rFonts w:hint="cs"/>
          <w:rtl/>
        </w:rPr>
        <w:t xml:space="preserve">שבמהדורת מקגיניס </w:t>
      </w:r>
      <w:r w:rsidR="00D97BE1">
        <w:rPr>
          <w:rFonts w:hint="cs"/>
          <w:rtl/>
        </w:rPr>
        <w:t>ובתרגום של</w:t>
      </w:r>
      <w:r w:rsidR="00243CAE">
        <w:rPr>
          <w:rFonts w:hint="cs"/>
          <w:rtl/>
        </w:rPr>
        <w:t>ו</w:t>
      </w:r>
      <w:r w:rsidR="00D97BE1">
        <w:rPr>
          <w:rFonts w:hint="cs"/>
          <w:rtl/>
        </w:rPr>
        <w:t xml:space="preserve"> לא כתוב "עץ". אמנם נראה שיש מקום לכתוב עץ </w:t>
      </w:r>
      <w:r w:rsidR="00243CAE">
        <w:rPr>
          <w:rFonts w:hint="cs"/>
          <w:rtl/>
        </w:rPr>
        <w:t>כמו שנמצא ב</w:t>
      </w:r>
      <w:r w:rsidR="00BE34F2">
        <w:rPr>
          <w:rFonts w:hint="cs"/>
          <w:rtl/>
        </w:rPr>
        <w:t>נוסח</w:t>
      </w:r>
      <w:r w:rsidR="00243CAE">
        <w:rPr>
          <w:rFonts w:hint="cs"/>
          <w:rtl/>
        </w:rPr>
        <w:t xml:space="preserve"> </w:t>
      </w:r>
      <w:r w:rsidR="00041060">
        <w:rPr>
          <w:rFonts w:hint="cs"/>
          <w:rtl/>
        </w:rPr>
        <w:t xml:space="preserve">המדעי </w:t>
      </w:r>
      <w:r w:rsidR="005737B2">
        <w:rPr>
          <w:rFonts w:hint="cs"/>
          <w:rtl/>
        </w:rPr>
        <w:t xml:space="preserve">המוגה </w:t>
      </w:r>
      <w:r w:rsidR="00243CAE">
        <w:rPr>
          <w:rFonts w:hint="cs"/>
          <w:rtl/>
        </w:rPr>
        <w:t>שאני מתרגם ממנ</w:t>
      </w:r>
      <w:r w:rsidR="00BE34F2">
        <w:rPr>
          <w:rFonts w:hint="cs"/>
          <w:rtl/>
        </w:rPr>
        <w:t xml:space="preserve">ו (שנמצא באתר של </w:t>
      </w:r>
      <w:r w:rsidR="00BE34F2">
        <w:rPr>
          <w:rFonts w:hint="cs"/>
          <w:rtl/>
        </w:rPr>
        <w:t xml:space="preserve">הספריה השיעית באירן, </w:t>
      </w:r>
      <w:r w:rsidR="00041060" w:rsidRPr="00041060">
        <w:t>lib.eshia.ir</w:t>
      </w:r>
      <w:r w:rsidR="00041060">
        <w:rPr>
          <w:rFonts w:hint="cs"/>
          <w:rtl/>
        </w:rPr>
        <w:t>)</w:t>
      </w:r>
      <w:r w:rsidR="00BE34F2">
        <w:rPr>
          <w:rFonts w:hint="cs"/>
          <w:rtl/>
        </w:rPr>
        <w:t xml:space="preserve">, </w:t>
      </w:r>
      <w:r w:rsidR="008935EF">
        <w:rPr>
          <w:rFonts w:hint="cs"/>
          <w:rtl/>
        </w:rPr>
        <w:t>כי מדובר שהמספר מופשט מהמהות של</w:t>
      </w:r>
      <w:r w:rsidR="006B417F">
        <w:rPr>
          <w:rFonts w:hint="cs"/>
          <w:rtl/>
        </w:rPr>
        <w:t xml:space="preserve"> העצמים</w:t>
      </w:r>
      <w:r w:rsidR="008935EF">
        <w:rPr>
          <w:rFonts w:hint="cs"/>
          <w:rtl/>
        </w:rPr>
        <w:t xml:space="preserve">, בין אם היא מהות פשוטה כמו של היסודות או מהות מורכבת מחומר שמורכב מכל היסודות וכמו עץ. </w:t>
      </w:r>
    </w:p>
  </w:footnote>
  <w:footnote w:id="605">
    <w:p w14:paraId="0EE372BD" w14:textId="48199774" w:rsidR="004B03B9" w:rsidRDefault="00647F12">
      <w:pPr>
        <w:pStyle w:val="FootnoteText"/>
        <w:rPr>
          <w:rtl/>
        </w:rPr>
      </w:pPr>
      <w:r>
        <w:rPr>
          <w:rStyle w:val="FootnoteReference"/>
        </w:rPr>
        <w:footnoteRef/>
      </w:r>
      <w:r>
        <w:rPr>
          <w:rtl/>
        </w:rPr>
        <w:t xml:space="preserve"> </w:t>
      </w:r>
      <w:r w:rsidR="00ED21AD">
        <w:rPr>
          <w:rFonts w:hint="cs"/>
          <w:rtl/>
        </w:rPr>
        <w:t>השלוש הוא צורת השלישי</w:t>
      </w:r>
      <w:r w:rsidR="00642856" w:rsidRPr="00642856">
        <w:rPr>
          <w:rtl/>
        </w:rPr>
        <w:t>וּ</w:t>
      </w:r>
      <w:r w:rsidR="00ED21AD">
        <w:rPr>
          <w:rFonts w:hint="cs"/>
          <w:rtl/>
        </w:rPr>
        <w:t>ת הקיימת במציאות</w:t>
      </w:r>
      <w:r w:rsidR="00CB4507">
        <w:rPr>
          <w:rFonts w:hint="cs"/>
          <w:rtl/>
        </w:rPr>
        <w:t>, הארבע צורת הרביעי</w:t>
      </w:r>
      <w:r w:rsidR="00642856" w:rsidRPr="00642856">
        <w:rPr>
          <w:rtl/>
        </w:rPr>
        <w:t>וּ</w:t>
      </w:r>
      <w:r w:rsidR="00CB4507">
        <w:rPr>
          <w:rFonts w:hint="cs"/>
          <w:rtl/>
        </w:rPr>
        <w:t>ת,</w:t>
      </w:r>
      <w:r w:rsidR="00ED21AD">
        <w:rPr>
          <w:rFonts w:hint="cs"/>
          <w:rtl/>
        </w:rPr>
        <w:t xml:space="preserve"> וכן הלאה.</w:t>
      </w:r>
      <w:r w:rsidR="00BF5C29">
        <w:rPr>
          <w:rFonts w:hint="cs"/>
          <w:rtl/>
        </w:rPr>
        <w:t xml:space="preserve"> </w:t>
      </w:r>
      <w:r w:rsidR="00F27DFA">
        <w:rPr>
          <w:rFonts w:hint="cs"/>
          <w:rtl/>
        </w:rPr>
        <w:t>עצם שקיים במציאות הטבעי</w:t>
      </w:r>
      <w:r w:rsidR="005A6361">
        <w:rPr>
          <w:rFonts w:hint="cs"/>
          <w:rtl/>
        </w:rPr>
        <w:t>ת</w:t>
      </w:r>
      <w:r w:rsidR="00F27DFA">
        <w:rPr>
          <w:rFonts w:hint="cs"/>
          <w:rtl/>
        </w:rPr>
        <w:t xml:space="preserve"> הוא צורה </w:t>
      </w:r>
      <w:r w:rsidR="005A6361">
        <w:rPr>
          <w:rFonts w:hint="cs"/>
          <w:rtl/>
        </w:rPr>
        <w:t xml:space="preserve">כלשהי </w:t>
      </w:r>
      <w:r w:rsidR="00F27DFA">
        <w:rPr>
          <w:rFonts w:hint="cs"/>
          <w:rtl/>
        </w:rPr>
        <w:t xml:space="preserve">שמצטיירת בחומר. </w:t>
      </w:r>
      <w:r w:rsidR="00BF5C29">
        <w:rPr>
          <w:rFonts w:hint="cs"/>
          <w:rtl/>
        </w:rPr>
        <w:t xml:space="preserve">סוס הוא עצם שקיים במציאות כי הוא </w:t>
      </w:r>
      <w:r w:rsidR="005A6361">
        <w:rPr>
          <w:rFonts w:hint="cs"/>
          <w:rtl/>
        </w:rPr>
        <w:t xml:space="preserve">צורת </w:t>
      </w:r>
      <w:r w:rsidR="005A6361">
        <w:rPr>
          <w:rFonts w:hint="cs"/>
          <w:rtl/>
        </w:rPr>
        <w:t>הסוסיות שמצטיירת בחומר. באופן זה</w:t>
      </w:r>
      <w:r w:rsidR="00B81C28">
        <w:rPr>
          <w:rFonts w:hint="cs"/>
          <w:rtl/>
        </w:rPr>
        <w:t xml:space="preserve"> כל שני עצמים כלשהם בלי תלות במהותם</w:t>
      </w:r>
      <w:r w:rsidR="00F27DFA">
        <w:rPr>
          <w:rFonts w:hint="cs"/>
          <w:rtl/>
        </w:rPr>
        <w:t>,</w:t>
      </w:r>
      <w:r w:rsidR="00B81C28">
        <w:rPr>
          <w:rFonts w:hint="cs"/>
          <w:rtl/>
        </w:rPr>
        <w:t xml:space="preserve"> אם הם סוס או אדם, הם עצם שקיים במציאות </w:t>
      </w:r>
      <w:r w:rsidR="00F27DFA">
        <w:rPr>
          <w:rFonts w:hint="cs"/>
          <w:rtl/>
        </w:rPr>
        <w:t xml:space="preserve">כי הם </w:t>
      </w:r>
      <w:r w:rsidR="00B81C28">
        <w:rPr>
          <w:rFonts w:hint="cs"/>
          <w:rtl/>
        </w:rPr>
        <w:t>צורת השניות שמצטיירת בחומר.</w:t>
      </w:r>
    </w:p>
    <w:p w14:paraId="76D0FA78" w14:textId="3AE50DA4" w:rsidR="00A36DA6" w:rsidRDefault="009423F1">
      <w:pPr>
        <w:pStyle w:val="FootnoteText"/>
        <w:rPr>
          <w:rtl/>
        </w:rPr>
      </w:pPr>
      <w:r>
        <w:rPr>
          <w:rFonts w:hint="cs"/>
          <w:rtl/>
        </w:rPr>
        <w:t xml:space="preserve">אמנם יש כאן שאלה, החומר חסר הצורה הוא רצף אחיד </w:t>
      </w:r>
      <w:r w:rsidR="00907652">
        <w:rPr>
          <w:rFonts w:hint="cs"/>
          <w:rtl/>
        </w:rPr>
        <w:t xml:space="preserve">אין סופי </w:t>
      </w:r>
      <w:r>
        <w:rPr>
          <w:rFonts w:hint="cs"/>
          <w:rtl/>
        </w:rPr>
        <w:t xml:space="preserve">שלא מחולק ליחידות. </w:t>
      </w:r>
      <w:r w:rsidR="00907652">
        <w:rPr>
          <w:rFonts w:hint="cs"/>
          <w:rtl/>
        </w:rPr>
        <w:t xml:space="preserve">צורת סוס למשל מלכדת אזור </w:t>
      </w:r>
      <w:r w:rsidR="009C463A">
        <w:rPr>
          <w:rFonts w:hint="cs"/>
          <w:rtl/>
        </w:rPr>
        <w:t>מסוים</w:t>
      </w:r>
      <w:r w:rsidR="00907652">
        <w:rPr>
          <w:rFonts w:hint="cs"/>
          <w:rtl/>
        </w:rPr>
        <w:t xml:space="preserve"> של החומר </w:t>
      </w:r>
      <w:r w:rsidR="00F42B28">
        <w:rPr>
          <w:rFonts w:hint="cs"/>
          <w:rtl/>
        </w:rPr>
        <w:t xml:space="preserve">להיות סוס, </w:t>
      </w:r>
      <w:r w:rsidR="00907652">
        <w:rPr>
          <w:rFonts w:hint="cs"/>
          <w:rtl/>
        </w:rPr>
        <w:t>ומפרידה אותו משאר החומר</w:t>
      </w:r>
      <w:r w:rsidR="00F42B28">
        <w:rPr>
          <w:rFonts w:hint="cs"/>
          <w:rtl/>
        </w:rPr>
        <w:t xml:space="preserve"> שהוא עצמים אחרים שאינם סוס. אחרי שצורת הסוס יצרה עצם מוגבל נפרד מכח המהות הסוסית שמצטיירת רק בחלק מהחומר ומלכדת את החלק הזה להיות עצם אחד, </w:t>
      </w:r>
      <w:r w:rsidR="007479E2">
        <w:rPr>
          <w:rFonts w:hint="cs"/>
          <w:rtl/>
        </w:rPr>
        <w:t xml:space="preserve">מעתה יש יחידה, יש סוס אחד ואפשר לצרף אותו לעוד עצם אחד וכך יהיו שניים. אבל ללא צורת הסוס החומר הוא רצף אחיד לא מחולק ואין בו יחידות ולא תיתכן בו צורת השניות. כיוון שצורת השניות מתעלמת מהמהות של היחידה, </w:t>
      </w:r>
      <w:r w:rsidR="00D91653">
        <w:rPr>
          <w:rFonts w:hint="cs"/>
          <w:rtl/>
        </w:rPr>
        <w:t xml:space="preserve">היא לא יכולה לחלק את החומר ליחידות. </w:t>
      </w:r>
    </w:p>
    <w:p w14:paraId="28E4A753" w14:textId="2EFEB01C" w:rsidR="00D402DD" w:rsidRDefault="00A36DA6">
      <w:pPr>
        <w:pStyle w:val="FootnoteText"/>
        <w:rPr>
          <w:rtl/>
        </w:rPr>
      </w:pPr>
      <w:r>
        <w:rPr>
          <w:rFonts w:hint="cs"/>
          <w:rtl/>
        </w:rPr>
        <w:t>הביאור בזה הוא ש</w:t>
      </w:r>
      <w:r w:rsidR="000E730E">
        <w:rPr>
          <w:rFonts w:hint="cs"/>
          <w:rtl/>
        </w:rPr>
        <w:t xml:space="preserve">היחידה עניינה התממשות בחומר של היסוד הגבוה ביותר של המציאות, </w:t>
      </w:r>
      <w:r w:rsidR="008E5748">
        <w:rPr>
          <w:rFonts w:hint="cs"/>
          <w:rtl/>
        </w:rPr>
        <w:t xml:space="preserve">דהיינו </w:t>
      </w:r>
      <w:r w:rsidR="000E730E">
        <w:rPr>
          <w:rFonts w:hint="cs"/>
          <w:rtl/>
        </w:rPr>
        <w:t>האחדות האלוהית</w:t>
      </w:r>
      <w:r w:rsidR="00A46593">
        <w:rPr>
          <w:rFonts w:hint="cs"/>
          <w:rtl/>
        </w:rPr>
        <w:t>, שמקורה באין סופיות האל שהיא מעל כל הגד</w:t>
      </w:r>
      <w:r w:rsidR="004F03ED">
        <w:rPr>
          <w:rFonts w:hint="cs"/>
          <w:rtl/>
        </w:rPr>
        <w:t>ר</w:t>
      </w:r>
      <w:r w:rsidR="00A46593">
        <w:rPr>
          <w:rFonts w:hint="cs"/>
          <w:rtl/>
        </w:rPr>
        <w:t xml:space="preserve">ה והיא פשוטה מכל צד ומוחלטת, </w:t>
      </w:r>
      <w:r w:rsidR="004F03ED">
        <w:rPr>
          <w:rFonts w:hint="cs"/>
          <w:rtl/>
        </w:rPr>
        <w:t xml:space="preserve">ולא ניתן לחשוב עליה שום </w:t>
      </w:r>
      <w:r w:rsidR="00A46593">
        <w:rPr>
          <w:rFonts w:hint="cs"/>
          <w:rtl/>
        </w:rPr>
        <w:t>חלוקה</w:t>
      </w:r>
      <w:r w:rsidR="000E730E">
        <w:rPr>
          <w:rFonts w:hint="cs"/>
          <w:rtl/>
        </w:rPr>
        <w:t>. אריסטו בפיזיקה ספר ג' פרק ו' מבאר שהאחדו</w:t>
      </w:r>
      <w:r w:rsidR="00B319AD">
        <w:rPr>
          <w:rFonts w:hint="cs"/>
          <w:rtl/>
        </w:rPr>
        <w:t>ת</w:t>
      </w:r>
      <w:r w:rsidR="000E730E">
        <w:rPr>
          <w:rFonts w:hint="cs"/>
          <w:rtl/>
        </w:rPr>
        <w:t xml:space="preserve"> האלוהית מתגלה בעולם לא כאין סוף </w:t>
      </w:r>
      <w:r w:rsidR="00BC2772">
        <w:rPr>
          <w:rFonts w:hint="cs"/>
          <w:rtl/>
        </w:rPr>
        <w:t xml:space="preserve">חסר כל גבולות וממילא חסר כל צורה, כמו החומר הראשון, </w:t>
      </w:r>
      <w:r w:rsidR="000E730E">
        <w:rPr>
          <w:rFonts w:hint="cs"/>
          <w:rtl/>
        </w:rPr>
        <w:t>אלא כ'כל' או 'שלם'</w:t>
      </w:r>
      <w:r w:rsidR="00B319AD">
        <w:rPr>
          <w:rFonts w:hint="cs"/>
          <w:rtl/>
        </w:rPr>
        <w:t xml:space="preserve">. ההגדרה של </w:t>
      </w:r>
      <w:r w:rsidR="00F32C08">
        <w:rPr>
          <w:rFonts w:hint="cs"/>
          <w:rtl/>
        </w:rPr>
        <w:t>'</w:t>
      </w:r>
      <w:r w:rsidR="00B319AD">
        <w:rPr>
          <w:rFonts w:hint="cs"/>
          <w:rtl/>
        </w:rPr>
        <w:t>כל' היא שאין מאומה מחוץ לו, ובזה הוא דומה</w:t>
      </w:r>
      <w:r w:rsidR="00F32C08">
        <w:rPr>
          <w:rFonts w:hint="cs"/>
          <w:rtl/>
        </w:rPr>
        <w:t xml:space="preserve"> </w:t>
      </w:r>
      <w:r w:rsidR="00B319AD">
        <w:rPr>
          <w:rFonts w:hint="cs"/>
          <w:rtl/>
        </w:rPr>
        <w:t xml:space="preserve">לאין סוף </w:t>
      </w:r>
      <w:r w:rsidR="00F32C08">
        <w:rPr>
          <w:rFonts w:hint="cs"/>
          <w:rtl/>
        </w:rPr>
        <w:t xml:space="preserve">כי אין </w:t>
      </w:r>
      <w:r w:rsidR="00DA3C49">
        <w:rPr>
          <w:rFonts w:hint="cs"/>
          <w:rtl/>
        </w:rPr>
        <w:t xml:space="preserve">לו </w:t>
      </w:r>
      <w:r w:rsidR="00F32C08">
        <w:rPr>
          <w:rFonts w:hint="cs"/>
          <w:rtl/>
        </w:rPr>
        <w:t xml:space="preserve">קו גבול </w:t>
      </w:r>
      <w:r w:rsidR="00997FF5">
        <w:rPr>
          <w:rFonts w:hint="cs"/>
          <w:rtl/>
        </w:rPr>
        <w:t xml:space="preserve">באופן </w:t>
      </w:r>
      <w:r w:rsidR="00F32C08">
        <w:rPr>
          <w:rFonts w:hint="cs"/>
          <w:rtl/>
        </w:rPr>
        <w:t>שמחוץ ל</w:t>
      </w:r>
      <w:r w:rsidR="00997FF5">
        <w:rPr>
          <w:rFonts w:hint="cs"/>
          <w:rtl/>
        </w:rPr>
        <w:t>אותו גבול</w:t>
      </w:r>
      <w:r w:rsidR="00F32C08">
        <w:rPr>
          <w:rFonts w:hint="cs"/>
          <w:rtl/>
        </w:rPr>
        <w:t xml:space="preserve"> יש דברים שאינם כלולים בו</w:t>
      </w:r>
      <w:r w:rsidR="00997FF5">
        <w:rPr>
          <w:rFonts w:hint="cs"/>
          <w:rtl/>
        </w:rPr>
        <w:t xml:space="preserve">, ואפילו </w:t>
      </w:r>
      <w:r w:rsidR="006A61D6">
        <w:rPr>
          <w:rFonts w:hint="cs"/>
          <w:rtl/>
        </w:rPr>
        <w:t>אין שם</w:t>
      </w:r>
      <w:r w:rsidR="00997FF5">
        <w:rPr>
          <w:rFonts w:hint="cs"/>
          <w:rtl/>
        </w:rPr>
        <w:t xml:space="preserve"> חלל ריק</w:t>
      </w:r>
      <w:r w:rsidR="006A61D6">
        <w:rPr>
          <w:rFonts w:hint="cs"/>
          <w:rtl/>
        </w:rPr>
        <w:t>, ולא ניתן כלל לומר על מה שמחוץ לגבול "שם", והמחשבה לא תופשת בזה</w:t>
      </w:r>
      <w:r w:rsidR="00F32C08">
        <w:rPr>
          <w:rFonts w:hint="cs"/>
          <w:rtl/>
        </w:rPr>
        <w:t xml:space="preserve">. </w:t>
      </w:r>
      <w:r w:rsidR="006A61D6">
        <w:rPr>
          <w:rFonts w:hint="cs"/>
          <w:rtl/>
        </w:rPr>
        <w:t>ה</w:t>
      </w:r>
      <w:r w:rsidR="004B0B72">
        <w:rPr>
          <w:rFonts w:hint="cs"/>
          <w:rtl/>
        </w:rPr>
        <w:t>'</w:t>
      </w:r>
      <w:r w:rsidR="006A61D6">
        <w:rPr>
          <w:rFonts w:hint="cs"/>
          <w:rtl/>
        </w:rPr>
        <w:t>כל</w:t>
      </w:r>
      <w:r w:rsidR="004B0B72">
        <w:rPr>
          <w:rFonts w:hint="cs"/>
          <w:rtl/>
        </w:rPr>
        <w:t>'</w:t>
      </w:r>
      <w:r w:rsidR="006A61D6">
        <w:rPr>
          <w:rFonts w:hint="cs"/>
          <w:rtl/>
        </w:rPr>
        <w:t xml:space="preserve"> </w:t>
      </w:r>
      <w:r w:rsidR="00DA3C49">
        <w:rPr>
          <w:rFonts w:hint="cs"/>
          <w:rtl/>
        </w:rPr>
        <w:t>שונה מ</w:t>
      </w:r>
      <w:r w:rsidR="00312D62">
        <w:rPr>
          <w:rFonts w:hint="cs"/>
          <w:rtl/>
        </w:rPr>
        <w:t>'</w:t>
      </w:r>
      <w:r w:rsidR="00DA3C49">
        <w:rPr>
          <w:rFonts w:hint="cs"/>
          <w:rtl/>
        </w:rPr>
        <w:t>אין סוף</w:t>
      </w:r>
      <w:r w:rsidR="00312D62">
        <w:rPr>
          <w:rFonts w:hint="cs"/>
          <w:rtl/>
        </w:rPr>
        <w:t>'</w:t>
      </w:r>
      <w:r w:rsidR="00DA3C49">
        <w:rPr>
          <w:rFonts w:hint="cs"/>
          <w:rtl/>
        </w:rPr>
        <w:t xml:space="preserve"> בכך שהוא אחד, הוא יחידה</w:t>
      </w:r>
      <w:r w:rsidR="00660598">
        <w:rPr>
          <w:rFonts w:hint="cs"/>
          <w:rtl/>
        </w:rPr>
        <w:t>.</w:t>
      </w:r>
      <w:r w:rsidR="004B0B72">
        <w:rPr>
          <w:rFonts w:hint="cs"/>
          <w:rtl/>
        </w:rPr>
        <w:t xml:space="preserve"> </w:t>
      </w:r>
      <w:r w:rsidR="00312D62">
        <w:rPr>
          <w:rFonts w:hint="cs"/>
          <w:rtl/>
        </w:rPr>
        <w:t xml:space="preserve">מה שיש בעולם </w:t>
      </w:r>
      <w:r w:rsidR="00434662">
        <w:rPr>
          <w:rFonts w:hint="cs"/>
          <w:rtl/>
        </w:rPr>
        <w:t>אפשרות לתפוש '</w:t>
      </w:r>
      <w:r w:rsidR="00312D62">
        <w:rPr>
          <w:rFonts w:hint="cs"/>
          <w:rtl/>
        </w:rPr>
        <w:t>יחידה</w:t>
      </w:r>
      <w:r w:rsidR="00434662">
        <w:rPr>
          <w:rFonts w:hint="cs"/>
          <w:rtl/>
        </w:rPr>
        <w:t>'</w:t>
      </w:r>
      <w:r w:rsidR="00312D62">
        <w:rPr>
          <w:rFonts w:hint="cs"/>
          <w:rtl/>
        </w:rPr>
        <w:t xml:space="preserve"> הוא משום שמציאותו הי</w:t>
      </w:r>
      <w:r w:rsidR="00434662">
        <w:rPr>
          <w:rFonts w:hint="cs"/>
          <w:rtl/>
        </w:rPr>
        <w:t>א</w:t>
      </w:r>
      <w:r w:rsidR="00312D62">
        <w:rPr>
          <w:rFonts w:hint="cs"/>
          <w:rtl/>
        </w:rPr>
        <w:t xml:space="preserve"> מא</w:t>
      </w:r>
      <w:r w:rsidR="00434662">
        <w:rPr>
          <w:rFonts w:hint="cs"/>
          <w:rtl/>
        </w:rPr>
        <w:t>מ</w:t>
      </w:r>
      <w:r w:rsidR="00312D62">
        <w:rPr>
          <w:rFonts w:hint="cs"/>
          <w:rtl/>
        </w:rPr>
        <w:t xml:space="preserve">יתת </w:t>
      </w:r>
      <w:r w:rsidR="00434662">
        <w:rPr>
          <w:rFonts w:hint="cs"/>
          <w:rtl/>
        </w:rPr>
        <w:t>המציאות של ה'כל' הראשון.</w:t>
      </w:r>
      <w:r w:rsidR="00660598">
        <w:rPr>
          <w:rFonts w:hint="cs"/>
          <w:rtl/>
        </w:rPr>
        <w:t xml:space="preserve"> </w:t>
      </w:r>
    </w:p>
    <w:p w14:paraId="3BAEB32A" w14:textId="5472B3EE" w:rsidR="004A1D1B" w:rsidRDefault="00D402DD" w:rsidP="004D7BC0">
      <w:pPr>
        <w:pStyle w:val="FootnoteText"/>
        <w:rPr>
          <w:rtl/>
        </w:rPr>
      </w:pPr>
      <w:r>
        <w:rPr>
          <w:rFonts w:hint="cs"/>
          <w:rtl/>
        </w:rPr>
        <w:t>צורת מעגל במובן הפשוט</w:t>
      </w:r>
      <w:r w:rsidR="003A3AE9">
        <w:rPr>
          <w:rFonts w:hint="cs"/>
          <w:rtl/>
        </w:rPr>
        <w:t xml:space="preserve"> החומרי</w:t>
      </w:r>
      <w:r>
        <w:rPr>
          <w:rFonts w:hint="cs"/>
          <w:rtl/>
        </w:rPr>
        <w:t>,</w:t>
      </w:r>
      <w:r w:rsidR="0082079E">
        <w:rPr>
          <w:rFonts w:hint="cs"/>
          <w:rtl/>
        </w:rPr>
        <w:t xml:space="preserve"> כדי שתתקיים</w:t>
      </w:r>
      <w:r w:rsidR="003A3AE9">
        <w:rPr>
          <w:rFonts w:hint="cs"/>
          <w:rtl/>
        </w:rPr>
        <w:t xml:space="preserve"> </w:t>
      </w:r>
      <w:r>
        <w:rPr>
          <w:rFonts w:hint="cs"/>
          <w:rtl/>
        </w:rPr>
        <w:t xml:space="preserve">מוכרח שיהיו דברים שמחוץ למעגל, לכל הפחות חלל ריק, </w:t>
      </w:r>
      <w:r w:rsidR="003A3AE9">
        <w:rPr>
          <w:rFonts w:hint="cs"/>
          <w:rtl/>
        </w:rPr>
        <w:t>וגבול</w:t>
      </w:r>
      <w:r w:rsidR="00BC0125">
        <w:rPr>
          <w:rFonts w:hint="cs"/>
          <w:rtl/>
        </w:rPr>
        <w:t xml:space="preserve"> המעגל שהוא הוא צורת המעגל, הוא הגבול</w:t>
      </w:r>
      <w:r w:rsidR="003A3AE9">
        <w:rPr>
          <w:rFonts w:hint="cs"/>
          <w:rtl/>
        </w:rPr>
        <w:t xml:space="preserve"> בין מה שבתוך המעגל ובין מה שמחוץ למעגל</w:t>
      </w:r>
      <w:r w:rsidR="00853085">
        <w:rPr>
          <w:rFonts w:hint="cs"/>
          <w:rtl/>
        </w:rPr>
        <w:t xml:space="preserve"> (שוב, גם אם אין שם שום דבר מוגדר - יש שם פוטנציאל שיהיו שם דברים מוגדרים, יש שם חלל ריק)</w:t>
      </w:r>
      <w:r w:rsidR="0082079E">
        <w:rPr>
          <w:rFonts w:hint="cs"/>
          <w:rtl/>
        </w:rPr>
        <w:t>. מעגל שאין מחוץ לו מאומה, גם לא חלל ריק, אינו יכול להיות צורת מעגל, כי הגבולות שלו אין להם שני צדדים</w:t>
      </w:r>
      <w:r w:rsidR="00BC0125">
        <w:rPr>
          <w:rFonts w:hint="cs"/>
          <w:rtl/>
        </w:rPr>
        <w:t xml:space="preserve"> ולכן אינם גבול כלל, ובלי גבול לא תיתכן צורה</w:t>
      </w:r>
      <w:r w:rsidR="004B0F00">
        <w:rPr>
          <w:rFonts w:hint="cs"/>
          <w:rtl/>
        </w:rPr>
        <w:t>, הגבול הוא מה שמצייר את הצורה</w:t>
      </w:r>
      <w:r w:rsidR="0082079E">
        <w:rPr>
          <w:rFonts w:hint="cs"/>
          <w:rtl/>
        </w:rPr>
        <w:t xml:space="preserve">. </w:t>
      </w:r>
      <w:r w:rsidR="00F252CE">
        <w:rPr>
          <w:rFonts w:hint="cs"/>
          <w:rtl/>
        </w:rPr>
        <w:t xml:space="preserve">אמנם הגלגל הקיצון הוא מעגל שאין לגבול שלו צד חיצוני, כי אין מחוץ לו מאומה וגם לא חלל ריק. </w:t>
      </w:r>
      <w:r w:rsidR="00757F52">
        <w:rPr>
          <w:rFonts w:hint="cs"/>
          <w:rtl/>
        </w:rPr>
        <w:t>הגבול שיש לו רק צד אחד, שאינו גובל בין שני צדדים, הוא המושג המופשט של גבול כגבול</w:t>
      </w:r>
      <w:r w:rsidR="00060A88">
        <w:rPr>
          <w:rFonts w:hint="cs"/>
          <w:rtl/>
        </w:rPr>
        <w:t>, גבול כשלעצמו</w:t>
      </w:r>
      <w:r w:rsidR="00757F52">
        <w:rPr>
          <w:rFonts w:hint="cs"/>
          <w:rtl/>
        </w:rPr>
        <w:t xml:space="preserve">. </w:t>
      </w:r>
      <w:r w:rsidR="00C05633">
        <w:rPr>
          <w:rFonts w:hint="cs"/>
          <w:rtl/>
        </w:rPr>
        <w:t xml:space="preserve">הגבול הזה במהותו בהכרח הוא מעגל, והוא כולל הכל שהרי אין </w:t>
      </w:r>
      <w:r w:rsidR="00060A88">
        <w:rPr>
          <w:rFonts w:hint="cs"/>
          <w:rtl/>
        </w:rPr>
        <w:t>לו חוץ</w:t>
      </w:r>
      <w:r w:rsidR="00C05633">
        <w:rPr>
          <w:rFonts w:hint="cs"/>
          <w:rtl/>
        </w:rPr>
        <w:t>. זו תפישה</w:t>
      </w:r>
      <w:r w:rsidR="0053659B">
        <w:rPr>
          <w:rFonts w:hint="cs"/>
          <w:rtl/>
        </w:rPr>
        <w:t xml:space="preserve"> </w:t>
      </w:r>
      <w:r w:rsidR="00C05633">
        <w:rPr>
          <w:rFonts w:hint="cs"/>
          <w:rtl/>
        </w:rPr>
        <w:t xml:space="preserve">מופשטת של מעגל שקשה עד מאוד להמון </w:t>
      </w:r>
      <w:r w:rsidR="004D7BC0">
        <w:rPr>
          <w:rFonts w:hint="cs"/>
          <w:rtl/>
        </w:rPr>
        <w:t>(</w:t>
      </w:r>
      <w:r w:rsidR="00C05633">
        <w:rPr>
          <w:rFonts w:hint="cs"/>
          <w:rtl/>
        </w:rPr>
        <w:t>כלומר אנחנו</w:t>
      </w:r>
      <w:r w:rsidR="004D7BC0">
        <w:rPr>
          <w:rFonts w:hint="cs"/>
          <w:rtl/>
        </w:rPr>
        <w:t>)</w:t>
      </w:r>
      <w:r w:rsidR="00C05633">
        <w:rPr>
          <w:rFonts w:hint="cs"/>
          <w:rtl/>
        </w:rPr>
        <w:t>, כמו שכתב המורה נבוכים א' כ"ו וא' מ"ט ועוד מקומות.</w:t>
      </w:r>
    </w:p>
    <w:p w14:paraId="0F5A886F" w14:textId="3C62AE28" w:rsidR="00B72C5D" w:rsidRDefault="004A1D1B" w:rsidP="004A1D1B">
      <w:pPr>
        <w:pStyle w:val="FootnoteText"/>
        <w:rPr>
          <w:rtl/>
        </w:rPr>
      </w:pPr>
      <w:r>
        <w:rPr>
          <w:rFonts w:hint="cs"/>
          <w:rtl/>
        </w:rPr>
        <w:t>ה</w:t>
      </w:r>
      <w:r w:rsidR="004D7BC0">
        <w:rPr>
          <w:rFonts w:hint="cs"/>
          <w:rtl/>
        </w:rPr>
        <w:t>'</w:t>
      </w:r>
      <w:r>
        <w:rPr>
          <w:rFonts w:hint="cs"/>
          <w:rtl/>
        </w:rPr>
        <w:t>כל</w:t>
      </w:r>
      <w:r w:rsidR="004D7BC0">
        <w:rPr>
          <w:rFonts w:hint="cs"/>
          <w:rtl/>
        </w:rPr>
        <w:t>'</w:t>
      </w:r>
      <w:r>
        <w:rPr>
          <w:rFonts w:hint="cs"/>
          <w:rtl/>
        </w:rPr>
        <w:t xml:space="preserve"> הוא</w:t>
      </w:r>
      <w:r w:rsidR="0053659B">
        <w:rPr>
          <w:rFonts w:hint="cs"/>
          <w:rtl/>
        </w:rPr>
        <w:t xml:space="preserve"> התגלות האלוה מצד </w:t>
      </w:r>
      <w:r>
        <w:rPr>
          <w:rFonts w:hint="cs"/>
          <w:rtl/>
        </w:rPr>
        <w:t>ה'</w:t>
      </w:r>
      <w:r w:rsidR="0053659B">
        <w:rPr>
          <w:rFonts w:hint="cs"/>
          <w:rtl/>
        </w:rPr>
        <w:t>זכר</w:t>
      </w:r>
      <w:r>
        <w:rPr>
          <w:rFonts w:hint="cs"/>
          <w:rtl/>
        </w:rPr>
        <w:t>', והוא השורש העליון שממנו נבראות הצורות</w:t>
      </w:r>
      <w:r w:rsidR="00046B69">
        <w:rPr>
          <w:rFonts w:hint="cs"/>
          <w:rtl/>
        </w:rPr>
        <w:t>, הגבול המופשט אינו מצייר שום צורה, אבל מושג הגבול כשלעצמו הוא כמו עפרון שגנוזה בו האפשרות לצייר צורות</w:t>
      </w:r>
      <w:r w:rsidR="0053659B">
        <w:rPr>
          <w:rFonts w:hint="cs"/>
          <w:rtl/>
        </w:rPr>
        <w:t>.</w:t>
      </w:r>
      <w:r w:rsidR="00A7687A">
        <w:rPr>
          <w:rFonts w:hint="cs"/>
          <w:rtl/>
        </w:rPr>
        <w:t xml:space="preserve"> יש גם התגלות מצד נקבה, זה האין סוף באופן שמתגלה בחומר הראשון שאין בו שום צורה כלל ולכן גם אין לו סוף. </w:t>
      </w:r>
      <w:r w:rsidR="00C8393F">
        <w:rPr>
          <w:rFonts w:hint="cs"/>
          <w:rtl/>
        </w:rPr>
        <w:t xml:space="preserve">ואין בו שום שורש עניין גבול ולא שורש עניין צורה, הוא החומר. </w:t>
      </w:r>
      <w:r w:rsidR="003A7646">
        <w:rPr>
          <w:rFonts w:hint="cs"/>
          <w:rtl/>
        </w:rPr>
        <w:t>זה מה שכתוב בספר הזוהר שהכל נברא זכר ונקבה והאדם הוא זכר ונקבה כי האלוה הוא זכר ונקבה</w:t>
      </w:r>
      <w:r w:rsidR="00710E65">
        <w:rPr>
          <w:rFonts w:hint="cs"/>
          <w:rtl/>
        </w:rPr>
        <w:t xml:space="preserve"> וזה "צלם אלוהים"</w:t>
      </w:r>
      <w:r w:rsidR="003A7646">
        <w:rPr>
          <w:rFonts w:hint="cs"/>
          <w:rtl/>
        </w:rPr>
        <w:t xml:space="preserve">. </w:t>
      </w:r>
    </w:p>
    <w:p w14:paraId="3029FF95" w14:textId="06F56E78" w:rsidR="00636472" w:rsidRDefault="00B72C5D" w:rsidP="00455488">
      <w:pPr>
        <w:pStyle w:val="FootnoteText"/>
        <w:rPr>
          <w:rtl/>
        </w:rPr>
      </w:pPr>
      <w:r>
        <w:rPr>
          <w:rFonts w:hint="cs"/>
          <w:rtl/>
        </w:rPr>
        <w:t>ה</w:t>
      </w:r>
      <w:hyperlink r:id="rId125" w:history="1">
        <w:r w:rsidRPr="004A5534">
          <w:rPr>
            <w:rStyle w:val="Hyperlink"/>
            <w:rFonts w:hint="cs"/>
            <w:rtl/>
          </w:rPr>
          <w:t>תורה שבעל פה של אפלטון</w:t>
        </w:r>
      </w:hyperlink>
      <w:r>
        <w:rPr>
          <w:rFonts w:hint="cs"/>
          <w:rtl/>
        </w:rPr>
        <w:t xml:space="preserve"> תופשת את </w:t>
      </w:r>
      <w:r w:rsidR="007C45A4">
        <w:rPr>
          <w:rFonts w:hint="cs"/>
          <w:rtl/>
        </w:rPr>
        <w:t>שורש המציאות</w:t>
      </w:r>
      <w:r w:rsidR="00ED7F25">
        <w:rPr>
          <w:rFonts w:hint="cs"/>
          <w:rtl/>
        </w:rPr>
        <w:t xml:space="preserve"> בש</w:t>
      </w:r>
      <w:r w:rsidR="00B86421">
        <w:rPr>
          <w:rFonts w:hint="cs"/>
          <w:rtl/>
        </w:rPr>
        <w:t>ני עניינים,</w:t>
      </w:r>
      <w:r w:rsidR="007C45A4">
        <w:rPr>
          <w:rFonts w:hint="cs"/>
          <w:rtl/>
        </w:rPr>
        <w:t xml:space="preserve"> </w:t>
      </w:r>
      <w:r w:rsidR="00C17888">
        <w:rPr>
          <w:rFonts w:hint="cs"/>
          <w:rtl/>
        </w:rPr>
        <w:t>האח</w:t>
      </w:r>
      <w:r w:rsidR="00B86421">
        <w:rPr>
          <w:rFonts w:hint="cs"/>
          <w:rtl/>
        </w:rPr>
        <w:t>ד</w:t>
      </w:r>
      <w:r w:rsidR="00C17888">
        <w:rPr>
          <w:rFonts w:hint="cs"/>
          <w:rtl/>
        </w:rPr>
        <w:t xml:space="preserve"> ה</w:t>
      </w:r>
      <w:r w:rsidR="00B86421">
        <w:rPr>
          <w:rFonts w:hint="cs"/>
          <w:rtl/>
        </w:rPr>
        <w:t>ו</w:t>
      </w:r>
      <w:r w:rsidR="00C17888">
        <w:rPr>
          <w:rFonts w:hint="cs"/>
          <w:rtl/>
        </w:rPr>
        <w:t xml:space="preserve">א </w:t>
      </w:r>
      <w:r w:rsidR="007C45A4">
        <w:rPr>
          <w:rFonts w:hint="cs"/>
          <w:rtl/>
        </w:rPr>
        <w:t>האלוה האין סופי</w:t>
      </w:r>
      <w:r w:rsidR="00636472">
        <w:rPr>
          <w:rFonts w:hint="cs"/>
          <w:rtl/>
        </w:rPr>
        <w:t xml:space="preserve"> המופשט לחלוטין,</w:t>
      </w:r>
      <w:r>
        <w:rPr>
          <w:rFonts w:hint="cs"/>
          <w:rtl/>
        </w:rPr>
        <w:t xml:space="preserve"> </w:t>
      </w:r>
      <w:r w:rsidR="00B86421">
        <w:rPr>
          <w:rFonts w:hint="cs"/>
          <w:rtl/>
        </w:rPr>
        <w:t xml:space="preserve">שהוא נקרא </w:t>
      </w:r>
      <w:r>
        <w:rPr>
          <w:rFonts w:hint="cs"/>
          <w:rtl/>
        </w:rPr>
        <w:t>'אחד'</w:t>
      </w:r>
      <w:r w:rsidR="009271ED">
        <w:rPr>
          <w:rFonts w:hint="cs"/>
          <w:rtl/>
        </w:rPr>
        <w:t xml:space="preserve"> (מונאד)</w:t>
      </w:r>
      <w:r>
        <w:rPr>
          <w:rFonts w:hint="cs"/>
          <w:rtl/>
        </w:rPr>
        <w:t>, שזהו ה'כל'</w:t>
      </w:r>
      <w:r w:rsidR="00B86421">
        <w:rPr>
          <w:rFonts w:hint="cs"/>
          <w:rtl/>
        </w:rPr>
        <w:t xml:space="preserve"> שדיבר בו אריסטו בפיזיקה ג'</w:t>
      </w:r>
      <w:r>
        <w:rPr>
          <w:rFonts w:hint="cs"/>
          <w:rtl/>
        </w:rPr>
        <w:t xml:space="preserve">, וביחד עם </w:t>
      </w:r>
      <w:r w:rsidR="008E7D63">
        <w:rPr>
          <w:rFonts w:hint="cs"/>
          <w:rtl/>
        </w:rPr>
        <w:t>העניין שנקרא</w:t>
      </w:r>
      <w:r>
        <w:rPr>
          <w:rFonts w:hint="cs"/>
          <w:rtl/>
        </w:rPr>
        <w:t xml:space="preserve"> </w:t>
      </w:r>
      <w:r w:rsidR="008E7D63">
        <w:rPr>
          <w:rFonts w:hint="cs"/>
          <w:rtl/>
        </w:rPr>
        <w:t>'ה</w:t>
      </w:r>
      <w:r>
        <w:rPr>
          <w:rFonts w:hint="cs"/>
          <w:rtl/>
        </w:rPr>
        <w:t>שתיים-</w:t>
      </w:r>
      <w:r w:rsidR="008E7D63">
        <w:rPr>
          <w:rFonts w:hint="cs"/>
          <w:rtl/>
        </w:rPr>
        <w:t>ה</w:t>
      </w:r>
      <w:r>
        <w:rPr>
          <w:rFonts w:hint="cs"/>
          <w:rtl/>
        </w:rPr>
        <w:t>בלתי-מוגדר'</w:t>
      </w:r>
      <w:r w:rsidR="00DA2A21">
        <w:rPr>
          <w:rFonts w:hint="cs"/>
          <w:rtl/>
        </w:rPr>
        <w:t xml:space="preserve"> (דיאד)</w:t>
      </w:r>
      <w:r>
        <w:rPr>
          <w:rFonts w:hint="cs"/>
          <w:rtl/>
        </w:rPr>
        <w:t>, שזה האין סוף שאינו</w:t>
      </w:r>
      <w:r w:rsidR="00636472">
        <w:rPr>
          <w:rFonts w:hint="cs"/>
          <w:rtl/>
        </w:rPr>
        <w:t xml:space="preserve"> שייך</w:t>
      </w:r>
      <w:r>
        <w:rPr>
          <w:rFonts w:hint="cs"/>
          <w:rtl/>
        </w:rPr>
        <w:t xml:space="preserve"> </w:t>
      </w:r>
      <w:r w:rsidR="00636472">
        <w:rPr>
          <w:rFonts w:hint="cs"/>
          <w:rtl/>
        </w:rPr>
        <w:t>ל</w:t>
      </w:r>
      <w:r>
        <w:rPr>
          <w:rFonts w:hint="cs"/>
          <w:rtl/>
        </w:rPr>
        <w:t>יחידה כלל, והוא בבחינת חומר ל'אחד'.</w:t>
      </w:r>
      <w:r w:rsidR="00455488">
        <w:rPr>
          <w:rFonts w:hint="cs"/>
          <w:rtl/>
        </w:rPr>
        <w:t xml:space="preserve"> </w:t>
      </w:r>
      <w:r w:rsidR="00C17888">
        <w:rPr>
          <w:rFonts w:hint="cs"/>
          <w:rtl/>
        </w:rPr>
        <w:t xml:space="preserve">הוא נקרא </w:t>
      </w:r>
      <w:r w:rsidR="00BD0561">
        <w:rPr>
          <w:rFonts w:hint="cs"/>
          <w:rtl/>
        </w:rPr>
        <w:t>"</w:t>
      </w:r>
      <w:r w:rsidR="00C17888">
        <w:rPr>
          <w:rFonts w:hint="cs"/>
          <w:rtl/>
        </w:rPr>
        <w:t>שתיים</w:t>
      </w:r>
      <w:r w:rsidR="00BD0561">
        <w:rPr>
          <w:rFonts w:hint="cs"/>
          <w:rtl/>
        </w:rPr>
        <w:t>"</w:t>
      </w:r>
      <w:r w:rsidR="00C17888">
        <w:rPr>
          <w:rFonts w:hint="cs"/>
          <w:rtl/>
        </w:rPr>
        <w:t xml:space="preserve"> כיוון שאינו 'הכל'</w:t>
      </w:r>
      <w:r w:rsidR="008E7D63">
        <w:rPr>
          <w:rFonts w:hint="cs"/>
          <w:rtl/>
        </w:rPr>
        <w:t xml:space="preserve"> כאחד</w:t>
      </w:r>
      <w:r w:rsidR="00C17888">
        <w:rPr>
          <w:rFonts w:hint="cs"/>
          <w:rtl/>
        </w:rPr>
        <w:t>, הוא</w:t>
      </w:r>
      <w:r w:rsidR="00BD0561">
        <w:rPr>
          <w:rFonts w:hint="cs"/>
          <w:rtl/>
        </w:rPr>
        <w:t xml:space="preserve"> לא קבוצה בעלת הגדרה, גם לא הגדרה מופשטת. והוא נקרא "בלתי מוגדר" כי אינו המספר שתיים, אינו אחת ועוד אחת, אלא הוא רק שלילת </w:t>
      </w:r>
      <w:r w:rsidR="0006607C">
        <w:rPr>
          <w:rFonts w:hint="cs"/>
          <w:rtl/>
        </w:rPr>
        <w:t xml:space="preserve">כל הגדרה, </w:t>
      </w:r>
      <w:r w:rsidR="005F001C">
        <w:rPr>
          <w:rFonts w:hint="cs"/>
          <w:rtl/>
        </w:rPr>
        <w:t>מה ש</w:t>
      </w:r>
      <w:r w:rsidR="0006607C">
        <w:rPr>
          <w:rFonts w:hint="cs"/>
          <w:rtl/>
        </w:rPr>
        <w:t xml:space="preserve">הוא לא אחד </w:t>
      </w:r>
      <w:r w:rsidR="005F001C">
        <w:rPr>
          <w:rFonts w:hint="cs"/>
          <w:rtl/>
        </w:rPr>
        <w:t xml:space="preserve">זהו רק </w:t>
      </w:r>
      <w:r w:rsidR="0006607C">
        <w:rPr>
          <w:rFonts w:hint="cs"/>
          <w:rtl/>
        </w:rPr>
        <w:t xml:space="preserve">מצד שהוא שלילת האחד, לא שהוא באופן חיובי דווקא שתיים. </w:t>
      </w:r>
      <w:r w:rsidR="00C17888">
        <w:rPr>
          <w:rFonts w:hint="cs"/>
          <w:rtl/>
        </w:rPr>
        <w:t xml:space="preserve"> </w:t>
      </w:r>
    </w:p>
    <w:p w14:paraId="4C64C86B" w14:textId="7563842D" w:rsidR="00647F12" w:rsidRDefault="00455488" w:rsidP="005F2DF3">
      <w:pPr>
        <w:pStyle w:val="FootnoteText"/>
        <w:rPr>
          <w:rtl/>
        </w:rPr>
      </w:pPr>
      <w:r>
        <w:rPr>
          <w:rFonts w:hint="cs"/>
          <w:rtl/>
        </w:rPr>
        <w:t xml:space="preserve">עיין בזה מטאפיזיקה דלתא פרק ו' על ה'יחידה'. </w:t>
      </w:r>
      <w:r w:rsidR="0026123B">
        <w:rPr>
          <w:rFonts w:hint="cs"/>
          <w:rtl/>
        </w:rPr>
        <w:t xml:space="preserve">אם יש אורך כלשהו אי אפשר למדוד אותו </w:t>
      </w:r>
      <w:r w:rsidR="00E37962">
        <w:rPr>
          <w:rFonts w:hint="cs"/>
          <w:rtl/>
        </w:rPr>
        <w:t xml:space="preserve">כאורך, </w:t>
      </w:r>
      <w:r w:rsidR="0026123B">
        <w:rPr>
          <w:rFonts w:hint="cs"/>
          <w:rtl/>
        </w:rPr>
        <w:t xml:space="preserve">כי </w:t>
      </w:r>
      <w:r w:rsidR="00E37962">
        <w:rPr>
          <w:rFonts w:hint="cs"/>
          <w:rtl/>
        </w:rPr>
        <w:t xml:space="preserve">אורך </w:t>
      </w:r>
      <w:r w:rsidR="0026123B">
        <w:rPr>
          <w:rFonts w:hint="cs"/>
          <w:rtl/>
        </w:rPr>
        <w:t xml:space="preserve">הוא רצף, אבל </w:t>
      </w:r>
      <w:r w:rsidR="00E37962">
        <w:rPr>
          <w:rFonts w:hint="cs"/>
          <w:rtl/>
        </w:rPr>
        <w:t>אפשר במחשבה</w:t>
      </w:r>
      <w:r w:rsidR="0026123B">
        <w:rPr>
          <w:rFonts w:hint="cs"/>
          <w:rtl/>
        </w:rPr>
        <w:t xml:space="preserve"> </w:t>
      </w:r>
      <w:r w:rsidR="00E37962">
        <w:rPr>
          <w:rFonts w:hint="cs"/>
          <w:rtl/>
        </w:rPr>
        <w:t>ל</w:t>
      </w:r>
      <w:r w:rsidR="003977E3">
        <w:rPr>
          <w:rFonts w:hint="cs"/>
          <w:rtl/>
        </w:rPr>
        <w:t>החיל עליו את מושג היחידה</w:t>
      </w:r>
      <w:r w:rsidR="0039093A">
        <w:rPr>
          <w:rFonts w:hint="cs"/>
          <w:rtl/>
        </w:rPr>
        <w:t xml:space="preserve">. היחידה אינה שייכת למהות, היא יכולה להיות עניין מקרי לגמרי שאין בו מהות, </w:t>
      </w:r>
      <w:r w:rsidR="0026123B">
        <w:rPr>
          <w:rFonts w:hint="cs"/>
          <w:rtl/>
        </w:rPr>
        <w:t>אפשר שתהיה מטר או יארד או כל יחידה שהיא</w:t>
      </w:r>
      <w:r w:rsidR="00B57BCA">
        <w:rPr>
          <w:rFonts w:hint="cs"/>
          <w:rtl/>
        </w:rPr>
        <w:t>, ואז אפשר למנות כמה יחידות יש</w:t>
      </w:r>
      <w:r w:rsidR="0026123B">
        <w:rPr>
          <w:rFonts w:hint="cs"/>
          <w:rtl/>
        </w:rPr>
        <w:t xml:space="preserve">. </w:t>
      </w:r>
      <w:r w:rsidR="00B57BCA">
        <w:rPr>
          <w:rFonts w:hint="cs"/>
          <w:rtl/>
        </w:rPr>
        <w:t>עצם העניין של 'יחידה' לא שייך למהות של היחידות</w:t>
      </w:r>
      <w:r w:rsidR="00DE227D">
        <w:rPr>
          <w:rFonts w:hint="cs"/>
          <w:rtl/>
        </w:rPr>
        <w:t xml:space="preserve"> </w:t>
      </w:r>
      <w:r w:rsidR="00C763A8">
        <w:rPr>
          <w:rFonts w:hint="cs"/>
          <w:rtl/>
        </w:rPr>
        <w:t>ו</w:t>
      </w:r>
      <w:r w:rsidR="00B57BCA">
        <w:rPr>
          <w:rFonts w:hint="cs"/>
          <w:rtl/>
        </w:rPr>
        <w:t xml:space="preserve">אפשר שזה יהיה חצי טון מוזיקלי או </w:t>
      </w:r>
      <w:r w:rsidR="0041461F">
        <w:rPr>
          <w:rFonts w:hint="cs"/>
          <w:rtl/>
        </w:rPr>
        <w:t>יחידת משקל</w:t>
      </w:r>
      <w:r w:rsidR="00C763A8">
        <w:rPr>
          <w:rFonts w:hint="cs"/>
          <w:rtl/>
        </w:rPr>
        <w:t xml:space="preserve"> כלשהי וכיו"ב</w:t>
      </w:r>
      <w:r w:rsidR="0041461F">
        <w:rPr>
          <w:rFonts w:hint="cs"/>
          <w:rtl/>
        </w:rPr>
        <w:t>. ה</w:t>
      </w:r>
      <w:r w:rsidR="00636472">
        <w:rPr>
          <w:rFonts w:hint="cs"/>
          <w:rtl/>
        </w:rPr>
        <w:t xml:space="preserve">הסתכלות שמאפשרת לראות במציאות יחידות </w:t>
      </w:r>
      <w:r w:rsidR="0041461F">
        <w:rPr>
          <w:rFonts w:hint="cs"/>
          <w:rtl/>
        </w:rPr>
        <w:t xml:space="preserve">היא עניין ששופע משורש המציאות הראשון </w:t>
      </w:r>
      <w:r w:rsidR="00636472">
        <w:rPr>
          <w:rFonts w:hint="cs"/>
          <w:rtl/>
        </w:rPr>
        <w:t>המופשט של 'הכל'</w:t>
      </w:r>
      <w:r w:rsidR="00494865">
        <w:rPr>
          <w:rFonts w:hint="cs"/>
          <w:rtl/>
        </w:rPr>
        <w:t xml:space="preserve"> </w:t>
      </w:r>
      <w:r w:rsidR="0041461F">
        <w:rPr>
          <w:rFonts w:hint="cs"/>
          <w:rtl/>
        </w:rPr>
        <w:t xml:space="preserve">ונמשך </w:t>
      </w:r>
      <w:r w:rsidR="00DE227D">
        <w:rPr>
          <w:rFonts w:hint="cs"/>
          <w:rtl/>
        </w:rPr>
        <w:t xml:space="preserve">משם </w:t>
      </w:r>
      <w:r w:rsidR="0041461F">
        <w:rPr>
          <w:rFonts w:hint="cs"/>
          <w:rtl/>
        </w:rPr>
        <w:t>לכל הטבע</w:t>
      </w:r>
      <w:r w:rsidR="00526EE9">
        <w:rPr>
          <w:rFonts w:hint="cs"/>
          <w:rtl/>
        </w:rPr>
        <w:t>, שהוא התגלות האחדות האלוהית</w:t>
      </w:r>
      <w:r w:rsidR="00ED10CD">
        <w:rPr>
          <w:rFonts w:hint="cs"/>
          <w:rtl/>
        </w:rPr>
        <w:t>, במה שהוא כולו יחידה אחת כמו שכתב המורה נבוכים א' ע"ב, והיחידות הניתנות למנייה הן כמו איברים ביחידה הראשונית הכוללת הכל</w:t>
      </w:r>
      <w:r w:rsidR="0041461F">
        <w:rPr>
          <w:rFonts w:hint="cs"/>
          <w:rtl/>
        </w:rPr>
        <w:t xml:space="preserve">. </w:t>
      </w:r>
      <w:r w:rsidR="00526EE9">
        <w:rPr>
          <w:rFonts w:hint="cs"/>
          <w:rtl/>
        </w:rPr>
        <w:t>המספר הניתן להיספר הוא כמות היחידות והוא נשען על המושג הראשוני של 'יחידה'.</w:t>
      </w:r>
    </w:p>
    <w:p w14:paraId="6D5CA73D" w14:textId="7D2529E8" w:rsidR="00102767" w:rsidRDefault="00102767" w:rsidP="005F2DF3">
      <w:pPr>
        <w:pStyle w:val="FootnoteText"/>
        <w:rPr>
          <w:rtl/>
        </w:rPr>
      </w:pPr>
      <w:r>
        <w:rPr>
          <w:rFonts w:hint="cs"/>
          <w:rtl/>
        </w:rPr>
        <w:t>לשון המורה נבוכים א' ע"ב</w:t>
      </w:r>
      <w:r w:rsidR="002A2F7C">
        <w:rPr>
          <w:rtl/>
        </w:rPr>
        <w:fldChar w:fldCharType="begin"/>
      </w:r>
      <w:r w:rsidR="002A2F7C">
        <w:instrText xml:space="preserve"> XE "</w:instrText>
      </w:r>
      <w:r w:rsidR="002A2F7C" w:rsidRPr="00983A13">
        <w:rPr>
          <w:rFonts w:hint="cs"/>
          <w:rtl/>
        </w:rPr>
        <w:instrText>מורה נבוכים א' ע</w:instrText>
      </w:r>
      <w:r w:rsidR="002A2F7C">
        <w:rPr>
          <w:b/>
          <w:bCs/>
          <w:sz w:val="20"/>
          <w:szCs w:val="20"/>
        </w:rPr>
        <w:instrText>\</w:instrText>
      </w:r>
      <w:r w:rsidR="002A2F7C" w:rsidRPr="00983A13">
        <w:rPr>
          <w:rFonts w:hint="cs"/>
          <w:rtl/>
        </w:rPr>
        <w:instrText>"ב - האחדות, היחידה, ה</w:instrText>
      </w:r>
      <w:r w:rsidR="002A2F7C">
        <w:rPr>
          <w:b/>
          <w:bCs/>
          <w:sz w:val="20"/>
          <w:szCs w:val="20"/>
        </w:rPr>
        <w:instrText>\</w:instrText>
      </w:r>
      <w:r w:rsidR="002A2F7C" w:rsidRPr="00983A13">
        <w:rPr>
          <w:rFonts w:hint="cs"/>
          <w:rtl/>
        </w:rPr>
        <w:instrText>"כל</w:instrText>
      </w:r>
      <w:r w:rsidR="002A2F7C">
        <w:rPr>
          <w:b/>
          <w:bCs/>
          <w:sz w:val="20"/>
          <w:szCs w:val="20"/>
        </w:rPr>
        <w:instrText>\</w:instrText>
      </w:r>
      <w:r w:rsidR="002A2F7C" w:rsidRPr="00983A13">
        <w:rPr>
          <w:rFonts w:hint="cs"/>
          <w:rtl/>
        </w:rPr>
        <w:instrText>"</w:instrText>
      </w:r>
      <w:r w:rsidR="002A2F7C">
        <w:instrText xml:space="preserve">" </w:instrText>
      </w:r>
      <w:r w:rsidR="002A2F7C">
        <w:rPr>
          <w:rtl/>
        </w:rPr>
        <w:fldChar w:fldCharType="end"/>
      </w:r>
      <w:r>
        <w:rPr>
          <w:rFonts w:hint="cs"/>
          <w:rtl/>
        </w:rPr>
        <w:t>:</w:t>
      </w:r>
    </w:p>
    <w:p w14:paraId="6317B023" w14:textId="42CE82A1" w:rsidR="00716796" w:rsidRDefault="00102767" w:rsidP="005F2DF3">
      <w:pPr>
        <w:pStyle w:val="FootnoteText"/>
        <w:rPr>
          <w:rtl/>
        </w:rPr>
      </w:pPr>
      <w:r>
        <w:rPr>
          <w:rFonts w:hint="cs"/>
          <w:rtl/>
        </w:rPr>
        <w:t>"</w:t>
      </w:r>
      <w:r w:rsidRPr="00102767">
        <w:rPr>
          <w:rtl/>
        </w:rPr>
        <w:t>דע כי זה הנמצא בכללו הוא איש אחד, לא זולת זה, רוצה-לומר כי כדור הגלגל הקיצון בכל מה שבו הוא איש אחד בלא ספק, כראובן ושמעון באישות, והשתנות עצמיו, רוצה-לומר עצמי זה הכדור בכל מה שבו, כהשתנות עצמי איש איש מבני אדם על דרך משל. וכמו שראובן על דרך משל הוא איש אחד, והוא מחובר מאברים מתחלפים, בבשר ועצמות וגידים, ומליחות משתנות, ומרוחות, כן זה הכדור בכללו מחובר מן הגלגלים, ומן היסודות הארבעה, ומה שהורכב מהם, ואין רקות בו כלל, אלא מקשה מלא</w:t>
      </w:r>
      <w:r w:rsidR="00716796">
        <w:rPr>
          <w:rFonts w:hint="cs"/>
          <w:rtl/>
        </w:rPr>
        <w:t xml:space="preserve"> כו' [...]</w:t>
      </w:r>
    </w:p>
    <w:p w14:paraId="7494B62C" w14:textId="0373EBBC" w:rsidR="00102767" w:rsidRDefault="00716796" w:rsidP="005F2DF3">
      <w:pPr>
        <w:pStyle w:val="FootnoteText"/>
      </w:pPr>
      <w:r w:rsidRPr="00716796">
        <w:rPr>
          <w:rtl/>
        </w:rPr>
        <w:t>הנה כן צריך לך שתצייר כל זה הכדור איש אחד, חי מתנועע בעל נפש, כי זה המין מן הציור הכרחי מאד, כלומר מועיל מאד במופת על היות האלוה אחד, כמו שיתבאר. ובזה הציור יתבאר גם כן שהאחד אמנם ברא אחד, כמו שאי אפשר שימצאו אברי האדם בפני עצמם, והם אברי אדם באמת, רוצה לומר שיהיה הכבד בפני עצמו או הלב בפני עצמו או בשר בפני עצמו – כן אי אפשר שימצאו חלקי העולם קצתם מבלתי קצתם בזה המציאות המיושב אשר דברינו בו, עד שימצא אש מבלתי ארץ, או ארץ מבלתי שמים, או שמים מבלתי ארץ</w:t>
      </w:r>
      <w:r>
        <w:rPr>
          <w:rFonts w:hint="cs"/>
          <w:rtl/>
        </w:rPr>
        <w:t xml:space="preserve"> כו'</w:t>
      </w:r>
      <w:r w:rsidRPr="00716796">
        <w:rPr>
          <w:rtl/>
        </w:rPr>
        <w:t>.</w:t>
      </w:r>
      <w:r w:rsidR="00102767">
        <w:rPr>
          <w:rFonts w:hint="cs"/>
          <w:rtl/>
        </w:rPr>
        <w:t>"</w:t>
      </w:r>
    </w:p>
  </w:footnote>
  <w:footnote w:id="606">
    <w:p w14:paraId="592AE492" w14:textId="77777777" w:rsidR="002B3701" w:rsidRDefault="00C31797">
      <w:pPr>
        <w:pStyle w:val="FootnoteText"/>
        <w:rPr>
          <w:rtl/>
        </w:rPr>
      </w:pPr>
      <w:r>
        <w:rPr>
          <w:rStyle w:val="FootnoteReference"/>
        </w:rPr>
        <w:footnoteRef/>
      </w:r>
      <w:r>
        <w:rPr>
          <w:rtl/>
        </w:rPr>
        <w:t xml:space="preserve"> </w:t>
      </w:r>
      <w:r w:rsidR="005F2DF3" w:rsidRPr="005F2DF3">
        <w:rPr>
          <w:rtl/>
        </w:rPr>
        <w:t xml:space="preserve">מה שכתב "המספרים הניתנים לספירה" </w:t>
      </w:r>
    </w:p>
    <w:p w14:paraId="55B8C262" w14:textId="6A3A49B7" w:rsidR="00C31797" w:rsidRDefault="005F2DF3">
      <w:pPr>
        <w:pStyle w:val="FootnoteText"/>
      </w:pPr>
      <w:r w:rsidRPr="005F2DF3">
        <w:rPr>
          <w:rtl/>
        </w:rPr>
        <w:t xml:space="preserve">זהו משום שאריסטו במטאפיזיקה מ' ונ' הביא מתורת הסוד שבעל פה שאמר אפלטון, שיסודה </w:t>
      </w:r>
      <w:r w:rsidRPr="005F2DF3">
        <w:rPr>
          <w:rtl/>
        </w:rPr>
        <w:t xml:space="preserve">בפיתגוראים, שיש שני סוגי מספרים. יש מספרים אידאיים, שם כל מספר הוא שלב הגיוני בסדר יציאת המציאות המוגבלת מהאין סוף, ואלה הם סוד הארבע שכתב המורה נבוכים ב' י' שהוא סוד עשר הספירות כי הארבע מתפרט לשבע הספירות של חכמת הקבלה שתחילתן בספר יצירה שהיה נמצא בידי הפיתגוראים בגרסה כלשהי. מספרים אלה אינם מונים כמות של יחידות. מלבד זה ברובד מציאות אחר, שמשתלשל מהמספרים האידאיים, יש מספרים שמונים כמות של יחידות, והם אלה שמדבר בהם אבן סינא כאן. </w:t>
      </w:r>
    </w:p>
  </w:footnote>
  <w:footnote w:id="607">
    <w:p w14:paraId="6AD27F67" w14:textId="4053502A" w:rsidR="00E26EDC" w:rsidRDefault="00E26EDC">
      <w:pPr>
        <w:pStyle w:val="FootnoteText"/>
      </w:pPr>
      <w:r>
        <w:rPr>
          <w:rStyle w:val="FootnoteReference"/>
        </w:rPr>
        <w:footnoteRef/>
      </w:r>
      <w:r>
        <w:rPr>
          <w:rtl/>
        </w:rPr>
        <w:t xml:space="preserve"> </w:t>
      </w:r>
      <w:r w:rsidR="00A50C0E">
        <w:rPr>
          <w:rFonts w:hint="cs"/>
          <w:rtl/>
        </w:rPr>
        <w:t>המספרים.</w:t>
      </w:r>
    </w:p>
  </w:footnote>
  <w:footnote w:id="608">
    <w:p w14:paraId="57299FB2" w14:textId="5673C1D4" w:rsidR="0047212A" w:rsidRPr="006D0A3E" w:rsidRDefault="00EE6AAA" w:rsidP="00544B46">
      <w:pPr>
        <w:pStyle w:val="FootnoteText"/>
        <w:rPr>
          <w:rtl/>
        </w:rPr>
      </w:pPr>
      <w:r>
        <w:rPr>
          <w:rStyle w:val="FootnoteReference"/>
        </w:rPr>
        <w:footnoteRef/>
      </w:r>
      <w:r>
        <w:rPr>
          <w:rtl/>
        </w:rPr>
        <w:t xml:space="preserve"> </w:t>
      </w:r>
      <w:r>
        <w:rPr>
          <w:rFonts w:hint="cs"/>
          <w:rtl/>
        </w:rPr>
        <w:t>במקור</w:t>
      </w:r>
      <w:r w:rsidRPr="006D0A3E">
        <w:rPr>
          <w:rtl/>
        </w:rPr>
        <w:t xml:space="preserve"> </w:t>
      </w:r>
      <w:bookmarkStart w:id="280" w:name="_Hlk109755947"/>
      <w:r w:rsidR="006D6147" w:rsidRPr="006D0A3E">
        <w:rPr>
          <w:rFonts w:ascii="Arial" w:hAnsi="Arial" w:cs="Arial" w:hint="cs"/>
          <w:rtl/>
          <w:lang w:bidi="ar-SA"/>
        </w:rPr>
        <w:t>إنية</w:t>
      </w:r>
      <w:bookmarkEnd w:id="280"/>
      <w:r w:rsidR="006D6147" w:rsidRPr="006D0A3E">
        <w:rPr>
          <w:rtl/>
          <w:lang w:bidi="ar-SA"/>
        </w:rPr>
        <w:t xml:space="preserve"> </w:t>
      </w:r>
      <w:r w:rsidR="006D6147" w:rsidRPr="006D0A3E">
        <w:rPr>
          <w:rFonts w:ascii="Arial" w:hAnsi="Arial" w:cs="Arial" w:hint="cs"/>
          <w:rtl/>
          <w:lang w:bidi="ar-SA"/>
        </w:rPr>
        <w:t>و</w:t>
      </w:r>
      <w:r w:rsidR="006D6147" w:rsidRPr="006D0A3E">
        <w:rPr>
          <w:rtl/>
          <w:lang w:bidi="ar-SA"/>
        </w:rPr>
        <w:t xml:space="preserve"> </w:t>
      </w:r>
      <w:r w:rsidR="006D6147" w:rsidRPr="006D0A3E">
        <w:rPr>
          <w:rFonts w:ascii="Arial" w:hAnsi="Arial" w:cs="Arial" w:hint="cs"/>
          <w:rtl/>
          <w:lang w:bidi="ar-SA"/>
        </w:rPr>
        <w:t>قواما</w:t>
      </w:r>
      <w:r w:rsidR="00544B46" w:rsidRPr="006D0A3E">
        <w:rPr>
          <w:rtl/>
        </w:rPr>
        <w:t xml:space="preserve">. </w:t>
      </w:r>
      <w:r w:rsidR="006D0A3E">
        <w:rPr>
          <w:rFonts w:hint="cs"/>
          <w:rtl/>
        </w:rPr>
        <w:t xml:space="preserve">תרגמתי מילולית. </w:t>
      </w:r>
      <w:r w:rsidR="00544B46" w:rsidRPr="006D0A3E">
        <w:rPr>
          <w:rtl/>
        </w:rPr>
        <w:t>מקגיניס תרגם</w:t>
      </w:r>
      <w:r w:rsidR="0047212A" w:rsidRPr="006D0A3E">
        <w:rPr>
          <w:rtl/>
        </w:rPr>
        <w:t>:</w:t>
      </w:r>
    </w:p>
    <w:p w14:paraId="7AAF27BF" w14:textId="31DFD3C2" w:rsidR="00EE6AAA" w:rsidRDefault="0047212A" w:rsidP="006D0A3E">
      <w:pPr>
        <w:pStyle w:val="FootnoteText"/>
        <w:bidi w:val="0"/>
        <w:rPr>
          <w:rtl/>
        </w:rPr>
      </w:pPr>
      <w:r w:rsidRPr="006D0A3E">
        <w:rPr>
          <w:rtl/>
        </w:rPr>
        <w:t>"</w:t>
      </w:r>
      <w:r w:rsidR="00544B46" w:rsidRPr="006D0A3E">
        <w:t>that-ness</w:t>
      </w:r>
      <w:r w:rsidRPr="006D0A3E">
        <w:rPr>
          <w:rtl/>
        </w:rPr>
        <w:t>"</w:t>
      </w:r>
      <w:r w:rsidRPr="006D0A3E">
        <w:t xml:space="preserve"> </w:t>
      </w:r>
      <w:r w:rsidR="00544B46" w:rsidRPr="006D0A3E">
        <w:t>and subsistence</w:t>
      </w:r>
    </w:p>
    <w:p w14:paraId="58B911E7" w14:textId="6D3DCD46" w:rsidR="006D0A3E" w:rsidRDefault="00164013" w:rsidP="00580403">
      <w:pPr>
        <w:pStyle w:val="FootnoteText"/>
        <w:rPr>
          <w:rtl/>
        </w:rPr>
      </w:pPr>
      <w:r>
        <w:rPr>
          <w:rFonts w:hint="cs"/>
          <w:rtl/>
        </w:rPr>
        <w:t>ב</w:t>
      </w:r>
      <w:r w:rsidR="007A0133">
        <w:rPr>
          <w:rFonts w:hint="cs"/>
          <w:rtl/>
        </w:rPr>
        <w:t>לקסיקון</w:t>
      </w:r>
      <w:r w:rsidR="00580403">
        <w:rPr>
          <w:rFonts w:hint="cs"/>
          <w:rtl/>
        </w:rPr>
        <w:t xml:space="preserve"> שבאתר </w:t>
      </w:r>
      <w:hyperlink r:id="rId126" w:history="1">
        <w:r w:rsidR="00580403" w:rsidRPr="00932790">
          <w:rPr>
            <w:rStyle w:val="Hyperlink"/>
          </w:rPr>
          <w:t>www.muslimphilosophy.com</w:t>
        </w:r>
      </w:hyperlink>
      <w:r w:rsidR="00580403">
        <w:rPr>
          <w:rFonts w:hint="cs"/>
          <w:rtl/>
        </w:rPr>
        <w:t>, כתבו</w:t>
      </w:r>
      <w:r w:rsidR="00F04F57">
        <w:rPr>
          <w:rFonts w:hint="cs"/>
          <w:rtl/>
        </w:rPr>
        <w:t xml:space="preserve"> ל</w:t>
      </w:r>
      <w:r w:rsidR="00291DE2">
        <w:rPr>
          <w:rFonts w:hint="cs"/>
          <w:rtl/>
        </w:rPr>
        <w:t>ג</w:t>
      </w:r>
      <w:r w:rsidR="00F04F57">
        <w:rPr>
          <w:rFonts w:hint="cs"/>
          <w:rtl/>
        </w:rPr>
        <w:t>בי אניה</w:t>
      </w:r>
      <w:r w:rsidR="00291DE2">
        <w:rPr>
          <w:rFonts w:hint="cs"/>
          <w:rtl/>
        </w:rPr>
        <w:t xml:space="preserve"> </w:t>
      </w:r>
      <w:r w:rsidR="00291DE2" w:rsidRPr="00291DE2">
        <w:rPr>
          <w:rFonts w:cs="Times New Roman" w:hint="eastAsia"/>
          <w:rtl/>
          <w:lang w:bidi="ar-SA"/>
        </w:rPr>
        <w:t>إنية</w:t>
      </w:r>
      <w:r w:rsidR="00580403">
        <w:rPr>
          <w:rFonts w:hint="cs"/>
          <w:rtl/>
        </w:rPr>
        <w:t>:</w:t>
      </w:r>
    </w:p>
    <w:p w14:paraId="43BF62E9" w14:textId="4D142DB3" w:rsidR="007A0133" w:rsidRDefault="007A0133" w:rsidP="00992B42">
      <w:pPr>
        <w:pStyle w:val="FootnoteText"/>
        <w:bidi w:val="0"/>
        <w:rPr>
          <w:rtl/>
        </w:rPr>
      </w:pPr>
      <w:r>
        <w:t>anniyah</w:t>
      </w:r>
    </w:p>
    <w:p w14:paraId="2F80749C" w14:textId="39514268" w:rsidR="00580403" w:rsidRPr="006D0A3E" w:rsidRDefault="007A0133" w:rsidP="007A0133">
      <w:pPr>
        <w:pStyle w:val="FootnoteText"/>
        <w:bidi w:val="0"/>
      </w:pPr>
      <w:r>
        <w:rPr>
          <w:rtl/>
        </w:rPr>
        <w:t>"</w:t>
      </w:r>
      <w:r>
        <w:t>Thatness" of a thing, i.e. its existence as opposed to quiddity. In God alone, according to the Muslim philosophers, is His essence one with His existence; in everything else it is possible to think of its essence without knowing whether it exists or not. The term anniyah is used sometimes in the sense of huwiyah ("itness") of a thing, i.e. its self-identity. See also huwa huwa</w:t>
      </w:r>
      <w:r>
        <w:rPr>
          <w:rtl/>
        </w:rPr>
        <w:t>.</w:t>
      </w:r>
    </w:p>
  </w:footnote>
  <w:footnote w:id="609">
    <w:p w14:paraId="3DFE3AC1" w14:textId="09A2C519" w:rsidR="00BF13AD" w:rsidRDefault="00BF13AD">
      <w:pPr>
        <w:pStyle w:val="FootnoteText"/>
      </w:pPr>
      <w:r>
        <w:rPr>
          <w:rStyle w:val="FootnoteReference"/>
        </w:rPr>
        <w:footnoteRef/>
      </w:r>
      <w:r>
        <w:rPr>
          <w:rtl/>
        </w:rPr>
        <w:t xml:space="preserve"> </w:t>
      </w:r>
      <w:r>
        <w:rPr>
          <w:rFonts w:hint="cs"/>
          <w:rtl/>
        </w:rPr>
        <w:t>מושא חכמת הטבע שהוא החומרי</w:t>
      </w:r>
      <w:r w:rsidR="00252AAE">
        <w:rPr>
          <w:rFonts w:hint="cs"/>
          <w:rtl/>
        </w:rPr>
        <w:t>.</w:t>
      </w:r>
    </w:p>
  </w:footnote>
  <w:footnote w:id="610">
    <w:p w14:paraId="718C7772" w14:textId="6976DD60" w:rsidR="00AC2462" w:rsidRDefault="00AC2462">
      <w:pPr>
        <w:pStyle w:val="FootnoteText"/>
      </w:pPr>
      <w:r>
        <w:rPr>
          <w:rStyle w:val="FootnoteReference"/>
        </w:rPr>
        <w:footnoteRef/>
      </w:r>
      <w:r>
        <w:rPr>
          <w:rtl/>
        </w:rPr>
        <w:t xml:space="preserve"> </w:t>
      </w:r>
      <w:r w:rsidR="009E213B">
        <w:rPr>
          <w:rFonts w:hint="cs"/>
          <w:rtl/>
        </w:rPr>
        <w:t>הווית המספרים.</w:t>
      </w:r>
    </w:p>
  </w:footnote>
  <w:footnote w:id="611">
    <w:p w14:paraId="20453378" w14:textId="628B86C8" w:rsidR="00637EA6" w:rsidRDefault="00637EA6">
      <w:pPr>
        <w:pStyle w:val="FootnoteText"/>
      </w:pPr>
      <w:r>
        <w:rPr>
          <w:rStyle w:val="FootnoteReference"/>
        </w:rPr>
        <w:footnoteRef/>
      </w:r>
      <w:r>
        <w:rPr>
          <w:rtl/>
        </w:rPr>
        <w:t xml:space="preserve"> </w:t>
      </w:r>
      <w:r>
        <w:rPr>
          <w:rFonts w:hint="cs"/>
          <w:rtl/>
        </w:rPr>
        <w:t>מהמציאות הטבעית והמציאות שאינה טבעית.</w:t>
      </w:r>
    </w:p>
  </w:footnote>
  <w:footnote w:id="612">
    <w:p w14:paraId="6C513436" w14:textId="77777777" w:rsidR="002F607B" w:rsidRDefault="00DF6EF8" w:rsidP="003E6F18">
      <w:pPr>
        <w:pStyle w:val="FootnoteText"/>
        <w:rPr>
          <w:rtl/>
        </w:rPr>
      </w:pPr>
      <w:r>
        <w:rPr>
          <w:rStyle w:val="FootnoteReference"/>
        </w:rPr>
        <w:footnoteRef/>
      </w:r>
      <w:r>
        <w:rPr>
          <w:rtl/>
        </w:rPr>
        <w:t xml:space="preserve"> </w:t>
      </w:r>
      <w:r>
        <w:rPr>
          <w:rFonts w:hint="cs"/>
          <w:rtl/>
        </w:rPr>
        <w:t xml:space="preserve">ה'יחידה' היא השורש הראשון של המציאות, היא </w:t>
      </w:r>
      <w:r w:rsidR="00D8687C">
        <w:rPr>
          <w:rFonts w:hint="cs"/>
          <w:rtl/>
        </w:rPr>
        <w:t>ה</w:t>
      </w:r>
      <w:r w:rsidR="00BF5813">
        <w:rPr>
          <w:rFonts w:hint="cs"/>
          <w:rtl/>
        </w:rPr>
        <w:t xml:space="preserve">גילוי </w:t>
      </w:r>
      <w:r w:rsidR="00D8687C">
        <w:rPr>
          <w:rFonts w:hint="cs"/>
          <w:rtl/>
        </w:rPr>
        <w:t xml:space="preserve">הראשון של </w:t>
      </w:r>
      <w:r w:rsidR="00BF5813">
        <w:rPr>
          <w:rFonts w:hint="cs"/>
          <w:rtl/>
        </w:rPr>
        <w:t>אחדות הבורא</w:t>
      </w:r>
      <w:r w:rsidR="00D8687C">
        <w:rPr>
          <w:rFonts w:hint="cs"/>
          <w:rtl/>
        </w:rPr>
        <w:t>,</w:t>
      </w:r>
      <w:r w:rsidR="00BF5813">
        <w:rPr>
          <w:rFonts w:hint="cs"/>
          <w:rtl/>
        </w:rPr>
        <w:t xml:space="preserve"> </w:t>
      </w:r>
      <w:r w:rsidR="00D8687C">
        <w:rPr>
          <w:rFonts w:hint="cs"/>
          <w:rtl/>
        </w:rPr>
        <w:t>ו</w:t>
      </w:r>
      <w:r w:rsidR="00BF5813">
        <w:rPr>
          <w:rFonts w:hint="cs"/>
          <w:rtl/>
        </w:rPr>
        <w:t xml:space="preserve">זה שורש המציאות הראשון, </w:t>
      </w:r>
      <w:r>
        <w:rPr>
          <w:rFonts w:hint="cs"/>
          <w:rtl/>
        </w:rPr>
        <w:t xml:space="preserve">שממנו נובעת </w:t>
      </w:r>
      <w:r w:rsidR="00BF5813">
        <w:rPr>
          <w:rFonts w:hint="cs"/>
          <w:rtl/>
        </w:rPr>
        <w:t>התחלת</w:t>
      </w:r>
      <w:r>
        <w:rPr>
          <w:rFonts w:hint="cs"/>
          <w:rtl/>
        </w:rPr>
        <w:t xml:space="preserve"> המציאות המופשטת</w:t>
      </w:r>
      <w:r w:rsidR="00BF5813">
        <w:rPr>
          <w:rFonts w:hint="cs"/>
          <w:rtl/>
        </w:rPr>
        <w:t xml:space="preserve">, והוא נמשך </w:t>
      </w:r>
      <w:r w:rsidR="00165DF9">
        <w:rPr>
          <w:rFonts w:hint="cs"/>
          <w:rtl/>
        </w:rPr>
        <w:t xml:space="preserve">להיות שורש ההוויה של כל רבדי המציאות </w:t>
      </w:r>
      <w:r w:rsidR="00BF5813">
        <w:rPr>
          <w:rFonts w:hint="cs"/>
          <w:rtl/>
        </w:rPr>
        <w:t xml:space="preserve">עד הרובד הכי חומרי </w:t>
      </w:r>
      <w:r w:rsidR="00D8687C">
        <w:rPr>
          <w:rFonts w:hint="cs"/>
          <w:rtl/>
        </w:rPr>
        <w:t xml:space="preserve">וטבעי </w:t>
      </w:r>
      <w:r w:rsidR="00BF5813">
        <w:rPr>
          <w:rFonts w:hint="cs"/>
          <w:rtl/>
        </w:rPr>
        <w:t xml:space="preserve">של המציאות. </w:t>
      </w:r>
    </w:p>
    <w:p w14:paraId="6BFA80BE" w14:textId="474251B8" w:rsidR="004C4259" w:rsidRDefault="00AC2ABE" w:rsidP="003E6F18">
      <w:pPr>
        <w:pStyle w:val="FootnoteText"/>
        <w:rPr>
          <w:rtl/>
        </w:rPr>
      </w:pPr>
      <w:r>
        <w:rPr>
          <w:rFonts w:hint="cs"/>
          <w:rtl/>
        </w:rPr>
        <w:t xml:space="preserve">לפי האמת אין קשר כלל בין העצמים </w:t>
      </w:r>
      <w:r w:rsidR="00861FBB">
        <w:rPr>
          <w:rFonts w:hint="cs"/>
          <w:rtl/>
        </w:rPr>
        <w:t xml:space="preserve">הטבעיים </w:t>
      </w:r>
      <w:r>
        <w:rPr>
          <w:rFonts w:hint="cs"/>
          <w:rtl/>
        </w:rPr>
        <w:t xml:space="preserve">ובין המספר. </w:t>
      </w:r>
      <w:r w:rsidR="002A32F1">
        <w:rPr>
          <w:rFonts w:hint="cs"/>
          <w:rtl/>
        </w:rPr>
        <w:t>אם יש שלושה תפוחים על השולחן אי אפשר לספור שלוש</w:t>
      </w:r>
      <w:r w:rsidR="00D17727">
        <w:rPr>
          <w:rFonts w:hint="cs"/>
          <w:rtl/>
        </w:rPr>
        <w:t>ה</w:t>
      </w:r>
      <w:r w:rsidR="002A32F1">
        <w:rPr>
          <w:rFonts w:hint="cs"/>
          <w:rtl/>
        </w:rPr>
        <w:t xml:space="preserve"> מכח שיש תפוחים. כי כל תפוח שונה מחברו, הגודל, הטעם, הגוון, וכו'. </w:t>
      </w:r>
      <w:r w:rsidR="00DC342A">
        <w:rPr>
          <w:rFonts w:hint="cs"/>
          <w:rtl/>
        </w:rPr>
        <w:t>ואם כן למה שלא נספור עם התפוחים גם את האפרסק שעל השולחן</w:t>
      </w:r>
      <w:r w:rsidR="00452354">
        <w:rPr>
          <w:rFonts w:hint="cs"/>
          <w:rtl/>
        </w:rPr>
        <w:t xml:space="preserve"> </w:t>
      </w:r>
      <w:r w:rsidR="00D17727">
        <w:rPr>
          <w:rFonts w:hint="cs"/>
          <w:rtl/>
        </w:rPr>
        <w:t>או</w:t>
      </w:r>
      <w:r w:rsidR="00452354">
        <w:rPr>
          <w:rFonts w:hint="cs"/>
          <w:rtl/>
        </w:rPr>
        <w:t xml:space="preserve"> את השולחן עצמו</w:t>
      </w:r>
      <w:r w:rsidR="00D17727">
        <w:rPr>
          <w:rFonts w:hint="cs"/>
          <w:rtl/>
        </w:rPr>
        <w:t xml:space="preserve"> או כל דבר</w:t>
      </w:r>
      <w:r w:rsidR="00DC342A">
        <w:rPr>
          <w:rFonts w:hint="cs"/>
          <w:rtl/>
        </w:rPr>
        <w:t xml:space="preserve">. ואם נאמר שאנו סופרים פירות נספור את שלושת התפוחים ואת האפרסק. </w:t>
      </w:r>
      <w:r w:rsidR="00452354">
        <w:rPr>
          <w:rFonts w:hint="cs"/>
          <w:rtl/>
        </w:rPr>
        <w:t xml:space="preserve">ואם נאמר שאנו סופרים רק את הפירות ששוקלים מעל מאה גרם אולי יהיו רק שני פירות לספור. </w:t>
      </w:r>
      <w:r w:rsidR="00551E37">
        <w:rPr>
          <w:rFonts w:hint="cs"/>
          <w:rtl/>
        </w:rPr>
        <w:t xml:space="preserve">אפשר להאריך בהתבוננות הזו אבל ברור בלי ספק שהיכולת לספור תפוחים אינה קשורה לתפוחים אלא </w:t>
      </w:r>
      <w:r w:rsidR="00041F19">
        <w:rPr>
          <w:rFonts w:hint="cs"/>
          <w:rtl/>
        </w:rPr>
        <w:t>להגדרה של מהי יחידה, והגדרנו ש</w:t>
      </w:r>
      <w:r w:rsidR="006676C1">
        <w:rPr>
          <w:rFonts w:hint="cs"/>
          <w:rtl/>
        </w:rPr>
        <w:t>כ</w:t>
      </w:r>
      <w:r w:rsidR="00041F19">
        <w:rPr>
          <w:rFonts w:hint="cs"/>
          <w:rtl/>
        </w:rPr>
        <w:t xml:space="preserve">ל מה שנקרא תפוח ייחשב יחידה. אם יש אורך אפשר להגדיר שמטר היא יחידה ולספור כמה מטרים יש באורך הזה. מטר אינו דבר טבעי או מתמטי או פילוסופי, </w:t>
      </w:r>
      <w:r w:rsidR="0005474F">
        <w:rPr>
          <w:rFonts w:hint="cs"/>
          <w:rtl/>
        </w:rPr>
        <w:t>הוא אינו עצם טבעי, זו</w:t>
      </w:r>
      <w:r w:rsidR="007E600C">
        <w:rPr>
          <w:rFonts w:hint="cs"/>
          <w:rtl/>
        </w:rPr>
        <w:t xml:space="preserve"> רק</w:t>
      </w:r>
      <w:r w:rsidR="0005474F">
        <w:rPr>
          <w:rFonts w:hint="cs"/>
          <w:rtl/>
        </w:rPr>
        <w:t xml:space="preserve"> הסכמה</w:t>
      </w:r>
      <w:r w:rsidR="009D624D">
        <w:rPr>
          <w:rFonts w:hint="cs"/>
          <w:rtl/>
        </w:rPr>
        <w:t xml:space="preserve"> מקרית</w:t>
      </w:r>
      <w:r w:rsidR="0005474F">
        <w:rPr>
          <w:rFonts w:hint="cs"/>
          <w:rtl/>
        </w:rPr>
        <w:t xml:space="preserve">, ודי בכך כדי שתהיה כאן יחידה במובן אמיתי. </w:t>
      </w:r>
      <w:r w:rsidR="004B0D9A">
        <w:rPr>
          <w:rFonts w:hint="cs"/>
          <w:rtl/>
        </w:rPr>
        <w:t xml:space="preserve">רואים מכאן ש'יחידה' אינה שייכת כלל לעצמים הקיימים, לא הטבעיים ולא הישים שמעל הטבע. </w:t>
      </w:r>
      <w:r w:rsidR="007F61C4">
        <w:rPr>
          <w:rFonts w:hint="cs"/>
          <w:rtl/>
        </w:rPr>
        <w:t>מציאותה של היחידה לא מושגת או נגזרת משום דבר, אלא היא קודמת לכל.</w:t>
      </w:r>
      <w:r w:rsidR="00725FE5">
        <w:rPr>
          <w:rFonts w:hint="cs"/>
          <w:rtl/>
        </w:rPr>
        <w:t xml:space="preserve"> ועיין עוד בהערה לעיל בסעיף זה. </w:t>
      </w:r>
    </w:p>
    <w:p w14:paraId="05AAC68D" w14:textId="7406D23B" w:rsidR="00AC2ABE" w:rsidRDefault="004C4259">
      <w:pPr>
        <w:pStyle w:val="FootnoteText"/>
      </w:pPr>
      <w:r>
        <w:rPr>
          <w:rFonts w:hint="cs"/>
          <w:rtl/>
        </w:rPr>
        <w:t xml:space="preserve">נראה שמה שכתב שהוויית המספרים נבדלת בקיום ובהגדרה, "קיום" היינו </w:t>
      </w:r>
      <w:r w:rsidR="003F18DA">
        <w:rPr>
          <w:rFonts w:hint="cs"/>
          <w:rtl/>
        </w:rPr>
        <w:t>ב</w:t>
      </w:r>
      <w:r>
        <w:rPr>
          <w:rFonts w:hint="cs"/>
          <w:rtl/>
        </w:rPr>
        <w:t>מציאות</w:t>
      </w:r>
      <w:r w:rsidR="003F18DA">
        <w:rPr>
          <w:rFonts w:hint="cs"/>
          <w:rtl/>
        </w:rPr>
        <w:t xml:space="preserve"> </w:t>
      </w:r>
      <w:r>
        <w:rPr>
          <w:rFonts w:hint="cs"/>
          <w:rtl/>
        </w:rPr>
        <w:t>העולם הטבעי, ו</w:t>
      </w:r>
      <w:r w:rsidR="003F18DA">
        <w:rPr>
          <w:rFonts w:hint="cs"/>
          <w:rtl/>
        </w:rPr>
        <w:t>"</w:t>
      </w:r>
      <w:r>
        <w:rPr>
          <w:rFonts w:hint="cs"/>
          <w:rtl/>
        </w:rPr>
        <w:t>הגדרה</w:t>
      </w:r>
      <w:r w:rsidR="003F18DA">
        <w:rPr>
          <w:rFonts w:hint="cs"/>
          <w:rtl/>
        </w:rPr>
        <w:t>"</w:t>
      </w:r>
      <w:r>
        <w:rPr>
          <w:rFonts w:hint="cs"/>
          <w:rtl/>
        </w:rPr>
        <w:t xml:space="preserve"> </w:t>
      </w:r>
      <w:r w:rsidR="003F18DA">
        <w:rPr>
          <w:rFonts w:hint="cs"/>
          <w:rtl/>
        </w:rPr>
        <w:t>היינו</w:t>
      </w:r>
      <w:r>
        <w:rPr>
          <w:rFonts w:hint="cs"/>
          <w:rtl/>
        </w:rPr>
        <w:t xml:space="preserve"> מציאות הצורות המופשטות שהן מעל הטבע והן ההגדרות של העצמים הטבעיים. </w:t>
      </w:r>
    </w:p>
    <w:p w14:paraId="291499CA" w14:textId="77777777" w:rsidR="002F5DB8" w:rsidRDefault="002F5DB8">
      <w:pPr>
        <w:pStyle w:val="FootnoteText"/>
        <w:rPr>
          <w:rtl/>
        </w:rPr>
      </w:pPr>
    </w:p>
    <w:p w14:paraId="7D413FF7" w14:textId="0967225C" w:rsidR="00D22894" w:rsidRDefault="00D22894">
      <w:pPr>
        <w:pStyle w:val="FootnoteText"/>
        <w:rPr>
          <w:rtl/>
        </w:rPr>
      </w:pPr>
      <w:r>
        <w:rPr>
          <w:rFonts w:hint="cs"/>
          <w:rtl/>
        </w:rPr>
        <w:t xml:space="preserve">עיין עוד דיון עמוק בנושא של 'יחידה' במטאפיזיקה </w:t>
      </w:r>
      <w:r>
        <w:rPr>
          <w:rFonts w:hint="cs"/>
          <w:rtl/>
        </w:rPr>
        <w:t xml:space="preserve">אטא פרק ו'. </w:t>
      </w:r>
      <w:r w:rsidR="000E10E6">
        <w:rPr>
          <w:rFonts w:hint="cs"/>
          <w:rtl/>
        </w:rPr>
        <w:t xml:space="preserve">הנושא שם הוא שההגדרה, כלומר הצורה, היא יסוד של אחדות. כלב הוא 'אחד' ולא </w:t>
      </w:r>
      <w:r w:rsidR="00C33820">
        <w:rPr>
          <w:rFonts w:hint="cs"/>
          <w:rtl/>
        </w:rPr>
        <w:t>גיבוב</w:t>
      </w:r>
      <w:r w:rsidR="000E10E6">
        <w:rPr>
          <w:rFonts w:hint="cs"/>
          <w:rtl/>
        </w:rPr>
        <w:t xml:space="preserve"> של </w:t>
      </w:r>
      <w:r w:rsidR="00CA2EB5">
        <w:rPr>
          <w:rFonts w:hint="cs"/>
          <w:rtl/>
        </w:rPr>
        <w:t xml:space="preserve">חלקי </w:t>
      </w:r>
      <w:r w:rsidR="000E10E6">
        <w:rPr>
          <w:rFonts w:hint="cs"/>
          <w:rtl/>
        </w:rPr>
        <w:t>ב</w:t>
      </w:r>
      <w:r w:rsidR="00C33820">
        <w:rPr>
          <w:rFonts w:hint="cs"/>
          <w:rtl/>
        </w:rPr>
        <w:t xml:space="preserve">שר שיער עצם וכו' שכל אחד מהם עצם בפני עצמו (וכל חלק מהם </w:t>
      </w:r>
      <w:r w:rsidR="00B2306E">
        <w:rPr>
          <w:rFonts w:hint="cs"/>
          <w:rtl/>
        </w:rPr>
        <w:t xml:space="preserve">גם </w:t>
      </w:r>
      <w:r w:rsidR="00C33820">
        <w:rPr>
          <w:rFonts w:hint="cs"/>
          <w:rtl/>
        </w:rPr>
        <w:t xml:space="preserve">אפשר שהוא עצם </w:t>
      </w:r>
      <w:r w:rsidR="00B2306E">
        <w:rPr>
          <w:rFonts w:hint="cs"/>
          <w:rtl/>
        </w:rPr>
        <w:t xml:space="preserve">נפרד, </w:t>
      </w:r>
      <w:r w:rsidR="00C33820">
        <w:rPr>
          <w:rFonts w:hint="cs"/>
          <w:rtl/>
        </w:rPr>
        <w:t xml:space="preserve">ואין שום דבר שילכד רשמי חוש לעצמים ואין </w:t>
      </w:r>
      <w:r w:rsidR="00B2306E">
        <w:rPr>
          <w:rFonts w:hint="cs"/>
          <w:rtl/>
        </w:rPr>
        <w:t xml:space="preserve">עצמים כלל ואין הגדרות ואין מילים ואין </w:t>
      </w:r>
      <w:r w:rsidR="00C33820">
        <w:rPr>
          <w:rFonts w:hint="cs"/>
          <w:rtl/>
        </w:rPr>
        <w:t xml:space="preserve">תפישה </w:t>
      </w:r>
      <w:r w:rsidR="00B2306E">
        <w:rPr>
          <w:rFonts w:hint="cs"/>
          <w:rtl/>
        </w:rPr>
        <w:t>ב</w:t>
      </w:r>
      <w:r w:rsidR="00C33820">
        <w:rPr>
          <w:rFonts w:hint="cs"/>
          <w:rtl/>
        </w:rPr>
        <w:t>מציאות כלל</w:t>
      </w:r>
      <w:r w:rsidR="00C24755">
        <w:rPr>
          <w:rFonts w:hint="cs"/>
          <w:rtl/>
        </w:rPr>
        <w:t xml:space="preserve">. זו ההתבוננות של הרקליטוס </w:t>
      </w:r>
      <w:r w:rsidR="00674B44">
        <w:rPr>
          <w:rFonts w:hint="cs"/>
          <w:rtl/>
        </w:rPr>
        <w:t xml:space="preserve">שאמר שאי אפשר לטבול באותו נהר פעמיים, </w:t>
      </w:r>
      <w:r w:rsidR="00C24755">
        <w:rPr>
          <w:rFonts w:hint="cs"/>
          <w:rtl/>
        </w:rPr>
        <w:t>ותלמידו קראטילוס ש</w:t>
      </w:r>
      <w:r w:rsidR="00674B44">
        <w:rPr>
          <w:rFonts w:hint="cs"/>
          <w:rtl/>
        </w:rPr>
        <w:t>אמר שאם כן אז גם פעם אחת אי אפשר ו</w:t>
      </w:r>
      <w:r w:rsidR="00C24755">
        <w:rPr>
          <w:rFonts w:hint="cs"/>
          <w:rtl/>
        </w:rPr>
        <w:t>מסופר שגזר על עצמו שתיקה כי אין הגדרות ואין מילים</w:t>
      </w:r>
      <w:r w:rsidR="00B2306E">
        <w:rPr>
          <w:rFonts w:hint="cs"/>
          <w:rtl/>
        </w:rPr>
        <w:t>)</w:t>
      </w:r>
      <w:r w:rsidR="00CA2EB5">
        <w:rPr>
          <w:rFonts w:hint="cs"/>
          <w:rtl/>
        </w:rPr>
        <w:t>, מ</w:t>
      </w:r>
      <w:r w:rsidR="00317F41">
        <w:rPr>
          <w:rFonts w:hint="cs"/>
          <w:rtl/>
        </w:rPr>
        <w:t>שום</w:t>
      </w:r>
      <w:r w:rsidR="00CA2EB5">
        <w:rPr>
          <w:rFonts w:hint="cs"/>
          <w:rtl/>
        </w:rPr>
        <w:t xml:space="preserve"> שצורתו היא 'כלב' והצורה מאחדת את העצם להיות עצם אחד. זו לא אחדות שמספר יכול למנות אותה, </w:t>
      </w:r>
      <w:r w:rsidR="0030544B">
        <w:rPr>
          <w:rFonts w:hint="cs"/>
          <w:rtl/>
        </w:rPr>
        <w:t xml:space="preserve">כי כל כלב שונה מחברו, ורק אם נקבע </w:t>
      </w:r>
      <w:r w:rsidR="005C6F80">
        <w:rPr>
          <w:rFonts w:hint="cs"/>
          <w:rtl/>
        </w:rPr>
        <w:t xml:space="preserve">באופן שרירותי ומקרי </w:t>
      </w:r>
      <w:r w:rsidR="0030544B">
        <w:rPr>
          <w:rFonts w:hint="cs"/>
          <w:rtl/>
        </w:rPr>
        <w:t xml:space="preserve">ש'כלב' הוא יחידת המנייה, כמו שמטר הוא יחידת </w:t>
      </w:r>
      <w:r w:rsidR="005C6F80">
        <w:rPr>
          <w:rFonts w:hint="cs"/>
          <w:rtl/>
        </w:rPr>
        <w:t>מנייה לאורך</w:t>
      </w:r>
      <w:r w:rsidR="0030544B">
        <w:rPr>
          <w:rFonts w:hint="cs"/>
          <w:rtl/>
        </w:rPr>
        <w:t xml:space="preserve">, נוכל לספור כמה כלבים יש. </w:t>
      </w:r>
      <w:r w:rsidR="009D42FE">
        <w:rPr>
          <w:rFonts w:hint="cs"/>
          <w:rtl/>
        </w:rPr>
        <w:t>ובכל אופן אע"פ ש</w:t>
      </w:r>
      <w:r w:rsidR="003F63CF">
        <w:rPr>
          <w:rFonts w:hint="cs"/>
          <w:rtl/>
        </w:rPr>
        <w:t xml:space="preserve">'כלב' </w:t>
      </w:r>
      <w:r w:rsidR="009D42FE">
        <w:rPr>
          <w:rFonts w:hint="cs"/>
          <w:rtl/>
        </w:rPr>
        <w:t xml:space="preserve">זו לא אחדות מספרית הצורה כלב היא אחדות מבחינה זו שהיא מלכדת את כל הכלב לעצם אחד. </w:t>
      </w:r>
      <w:r w:rsidR="003E7671">
        <w:rPr>
          <w:rFonts w:hint="cs"/>
          <w:rtl/>
        </w:rPr>
        <w:t>עיין עוד בכל המשך הדברים שם</w:t>
      </w:r>
      <w:r w:rsidR="00BF7E95">
        <w:rPr>
          <w:rFonts w:hint="cs"/>
          <w:rtl/>
        </w:rPr>
        <w:t xml:space="preserve">. </w:t>
      </w:r>
    </w:p>
    <w:p w14:paraId="079288A9" w14:textId="66B0BD00" w:rsidR="00487700" w:rsidRDefault="00487700">
      <w:pPr>
        <w:pStyle w:val="FootnoteText"/>
        <w:rPr>
          <w:rtl/>
        </w:rPr>
      </w:pPr>
      <w:r>
        <w:rPr>
          <w:rFonts w:hint="cs"/>
          <w:rtl/>
        </w:rPr>
        <w:t>במטאפיזיקה יוטא פרק ו' (1057</w:t>
      </w:r>
      <w:r w:rsidR="00FF2C44">
        <w:rPr>
          <w:rFonts w:hint="cs"/>
          <w:rtl/>
        </w:rPr>
        <w:t>א שורה 17</w:t>
      </w:r>
      <w:r>
        <w:rPr>
          <w:rFonts w:hint="cs"/>
          <w:rtl/>
        </w:rPr>
        <w:t>)</w:t>
      </w:r>
      <w:r w:rsidR="00FF2C44">
        <w:rPr>
          <w:rFonts w:hint="cs"/>
          <w:rtl/>
        </w:rPr>
        <w:t xml:space="preserve"> יש דיון על האחד והרבים במספרים. </w:t>
      </w:r>
    </w:p>
    <w:p w14:paraId="6DA618F6" w14:textId="7A4E3D7D" w:rsidR="00437984" w:rsidRDefault="00437984">
      <w:pPr>
        <w:pStyle w:val="FootnoteText"/>
        <w:rPr>
          <w:rtl/>
        </w:rPr>
      </w:pPr>
      <w:r>
        <w:rPr>
          <w:rFonts w:hint="cs"/>
          <w:rtl/>
        </w:rPr>
        <w:t xml:space="preserve">בשיטת הפיתגוראים עיין מטאפיזיקה א' פרק ה'. ועיין גם במטאפיזיקה למבדא סוף פרק א', ותחילת פרק ח'. </w:t>
      </w:r>
      <w:r w:rsidR="00540F04">
        <w:rPr>
          <w:rFonts w:hint="cs"/>
          <w:rtl/>
        </w:rPr>
        <w:t>ויש עוד מקומות רבים שעניין זה נדון בכתבי אריסטו</w:t>
      </w:r>
      <w:r w:rsidR="00D242E0">
        <w:rPr>
          <w:rFonts w:hint="cs"/>
          <w:rtl/>
        </w:rPr>
        <w:t xml:space="preserve">. </w:t>
      </w:r>
    </w:p>
  </w:footnote>
  <w:footnote w:id="613">
    <w:p w14:paraId="599B69F1" w14:textId="62BCF738" w:rsidR="00D10E1F" w:rsidRDefault="00D10E1F">
      <w:pPr>
        <w:pStyle w:val="FootnoteText"/>
      </w:pPr>
      <w:r>
        <w:rPr>
          <w:rStyle w:val="FootnoteReference"/>
        </w:rPr>
        <w:footnoteRef/>
      </w:r>
      <w:r>
        <w:rPr>
          <w:rtl/>
        </w:rPr>
        <w:t xml:space="preserve"> </w:t>
      </w:r>
      <w:r>
        <w:rPr>
          <w:rFonts w:hint="cs"/>
          <w:rtl/>
        </w:rPr>
        <w:t>כמו שביארתי בהערה הקודמת שהמספר שלוש אינו בתולדה מכך שיש שלושה תפוחים, אלא מה שהתפוחים יכולים להיות שלושה זה בתולדה ממציאותו המופשטת של המספר שלוש</w:t>
      </w:r>
      <w:r w:rsidR="00C61E71">
        <w:rPr>
          <w:rFonts w:hint="cs"/>
          <w:rtl/>
        </w:rPr>
        <w:t>, שהוא בתולדה מהיחידה</w:t>
      </w:r>
      <w:r>
        <w:rPr>
          <w:rFonts w:hint="cs"/>
          <w:rtl/>
        </w:rPr>
        <w:t xml:space="preserve">. </w:t>
      </w:r>
    </w:p>
  </w:footnote>
  <w:footnote w:id="614">
    <w:p w14:paraId="5AABA362" w14:textId="3A07F443" w:rsidR="000D0ECC" w:rsidRDefault="000D0ECC" w:rsidP="003C34D4">
      <w:pPr>
        <w:pStyle w:val="FootnoteText"/>
      </w:pPr>
      <w:r>
        <w:rPr>
          <w:rStyle w:val="FootnoteReference"/>
        </w:rPr>
        <w:footnoteRef/>
      </w:r>
      <w:r>
        <w:rPr>
          <w:rtl/>
        </w:rPr>
        <w:t xml:space="preserve"> </w:t>
      </w:r>
      <w:r w:rsidR="004A0042">
        <w:rPr>
          <w:rFonts w:hint="cs"/>
          <w:rtl/>
        </w:rPr>
        <w:t xml:space="preserve">טבע המספרים עצמו הוא רק ה'אחד' ו'השתיים-הלא-מוגדר', יסוד האחדות </w:t>
      </w:r>
      <w:r w:rsidR="00A935B9">
        <w:rPr>
          <w:rFonts w:hint="cs"/>
          <w:rtl/>
        </w:rPr>
        <w:t>שהוא הגבול כגבול מופשט, על רקע יסוד חוסר הגבול המוחלט (שזה עניין החומר הראשון שאין בו שום צורה</w:t>
      </w:r>
      <w:r w:rsidR="0055649A">
        <w:rPr>
          <w:rFonts w:hint="cs"/>
          <w:rtl/>
        </w:rPr>
        <w:t xml:space="preserve"> </w:t>
      </w:r>
      <w:r w:rsidR="00A935B9">
        <w:rPr>
          <w:rFonts w:hint="cs"/>
          <w:rtl/>
        </w:rPr>
        <w:t>ושם גבול</w:t>
      </w:r>
      <w:r w:rsidR="0055649A">
        <w:rPr>
          <w:rFonts w:hint="cs"/>
          <w:rtl/>
        </w:rPr>
        <w:t>, והוא צד הנקבה של שורש הבריאה ולכן נקרא חומר)</w:t>
      </w:r>
      <w:r w:rsidR="00A935B9">
        <w:rPr>
          <w:rFonts w:hint="cs"/>
          <w:rtl/>
        </w:rPr>
        <w:t xml:space="preserve">. </w:t>
      </w:r>
      <w:r w:rsidR="0055649A">
        <w:rPr>
          <w:rFonts w:hint="cs"/>
          <w:rtl/>
        </w:rPr>
        <w:t xml:space="preserve">מה שבריבוי יש מספרים אלה דווקא, אחת שתיים שלוש ארבע, מצד טבע המספרים כשלעצמו זה נחשב מקרה. </w:t>
      </w:r>
      <w:r w:rsidR="0020021C">
        <w:rPr>
          <w:rFonts w:hint="cs"/>
          <w:rtl/>
        </w:rPr>
        <w:t xml:space="preserve"> </w:t>
      </w:r>
    </w:p>
  </w:footnote>
  <w:footnote w:id="615">
    <w:p w14:paraId="0C794D5D" w14:textId="5D97F302" w:rsidR="00FF6B64" w:rsidRDefault="00FF6B64">
      <w:pPr>
        <w:pStyle w:val="FootnoteText"/>
      </w:pPr>
      <w:r>
        <w:rPr>
          <w:rStyle w:val="FootnoteReference"/>
        </w:rPr>
        <w:footnoteRef/>
      </w:r>
      <w:r>
        <w:rPr>
          <w:rtl/>
        </w:rPr>
        <w:t xml:space="preserve"> </w:t>
      </w:r>
      <w:r w:rsidRPr="00FF6B64">
        <w:rPr>
          <w:rtl/>
        </w:rPr>
        <w:t xml:space="preserve"> </w:t>
      </w:r>
      <w:r w:rsidR="00DC6E78" w:rsidRPr="00DC6E78">
        <w:rPr>
          <w:rFonts w:cs="Times New Roman" w:hint="eastAsia"/>
          <w:rtl/>
          <w:lang w:bidi="ar-SA"/>
        </w:rPr>
        <w:t>الحاسب</w:t>
      </w:r>
      <w:r w:rsidR="00DC6E78">
        <w:rPr>
          <w:rFonts w:cs="Times New Roman" w:hint="cs"/>
          <w:rtl/>
        </w:rPr>
        <w:t xml:space="preserve">. </w:t>
      </w:r>
      <w:r w:rsidRPr="00FF6B64">
        <w:rPr>
          <w:rtl/>
        </w:rPr>
        <w:t>עיין כוזרי ה' י"ב</w:t>
      </w:r>
      <w:r w:rsidR="00514066">
        <w:rPr>
          <w:rFonts w:hint="cs"/>
          <w:rtl/>
        </w:rPr>
        <w:t xml:space="preserve"> בעניין </w:t>
      </w:r>
      <w:r w:rsidR="00514066">
        <w:rPr>
          <w:rFonts w:hint="cs"/>
          <w:rtl/>
        </w:rPr>
        <w:t>הכח מחשבי</w:t>
      </w:r>
      <w:r w:rsidR="002256D1">
        <w:rPr>
          <w:rFonts w:hint="cs"/>
          <w:rtl/>
        </w:rPr>
        <w:t xml:space="preserve"> (דברי הכוזרי שם, וברוב המקומות שהוא מבאר דעת הפילוסופים, לקוחים מאלגזאלי שלקח אותם מאבן סינא</w:t>
      </w:r>
      <w:r w:rsidR="0068557A">
        <w:rPr>
          <w:rFonts w:hint="cs"/>
          <w:rtl/>
        </w:rPr>
        <w:t>. עיין גם בשמונה פרקים, ושם המקור הערבי הוא 'פכר'</w:t>
      </w:r>
      <w:r w:rsidR="00B220B2">
        <w:rPr>
          <w:rFonts w:hint="cs"/>
          <w:rtl/>
        </w:rPr>
        <w:t>, אמנם אין אחידות במונחים הערביים בזה</w:t>
      </w:r>
      <w:r w:rsidR="00E021B2">
        <w:rPr>
          <w:rFonts w:hint="cs"/>
          <w:rtl/>
        </w:rPr>
        <w:t xml:space="preserve"> והבנתם תלויה בעניין</w:t>
      </w:r>
      <w:r w:rsidR="002256D1">
        <w:rPr>
          <w:rFonts w:hint="cs"/>
          <w:rtl/>
        </w:rPr>
        <w:t>)</w:t>
      </w:r>
      <w:r w:rsidR="00AB1571">
        <w:rPr>
          <w:rFonts w:hint="cs"/>
          <w:rtl/>
        </w:rPr>
        <w:t>.</w:t>
      </w:r>
      <w:r w:rsidRPr="00FF6B64">
        <w:rPr>
          <w:rtl/>
        </w:rPr>
        <w:t xml:space="preserve"> ובביאור </w:t>
      </w:r>
      <w:r w:rsidR="00514066">
        <w:rPr>
          <w:rFonts w:hint="cs"/>
          <w:rtl/>
        </w:rPr>
        <w:t xml:space="preserve">יותר </w:t>
      </w:r>
      <w:r w:rsidRPr="00FF6B64">
        <w:rPr>
          <w:rtl/>
        </w:rPr>
        <w:t xml:space="preserve">מהו כח זה עיין </w:t>
      </w:r>
      <w:hyperlink r:id="rId127" w:history="1">
        <w:r w:rsidRPr="003A2BD1">
          <w:rPr>
            <w:rStyle w:val="Hyperlink"/>
            <w:rtl/>
          </w:rPr>
          <w:t>רמיזות והערות</w:t>
        </w:r>
      </w:hyperlink>
      <w:r w:rsidR="004033A6">
        <w:rPr>
          <w:rFonts w:hint="cs"/>
          <w:rtl/>
        </w:rPr>
        <w:t xml:space="preserve"> </w:t>
      </w:r>
      <w:r w:rsidRPr="00FF6B64">
        <w:rPr>
          <w:rtl/>
        </w:rPr>
        <w:t>חלק ג' פרק ט'</w:t>
      </w:r>
      <w:r w:rsidR="00514066">
        <w:rPr>
          <w:rFonts w:hint="cs"/>
          <w:rtl/>
        </w:rPr>
        <w:t xml:space="preserve"> ובהערותי שם</w:t>
      </w:r>
      <w:r>
        <w:rPr>
          <w:rFonts w:hint="cs"/>
          <w:rtl/>
        </w:rPr>
        <w:t>.</w:t>
      </w:r>
      <w:r w:rsidR="0062534F">
        <w:rPr>
          <w:rFonts w:hint="cs"/>
          <w:rtl/>
        </w:rPr>
        <w:t xml:space="preserve"> באופן מאוד כללי</w:t>
      </w:r>
      <w:r w:rsidR="004056A9">
        <w:rPr>
          <w:rFonts w:hint="cs"/>
          <w:rtl/>
        </w:rPr>
        <w:t>, קצר</w:t>
      </w:r>
      <w:r w:rsidR="0062534F">
        <w:rPr>
          <w:rFonts w:hint="cs"/>
          <w:rtl/>
        </w:rPr>
        <w:t xml:space="preserve"> </w:t>
      </w:r>
      <w:r w:rsidR="008A4A75">
        <w:rPr>
          <w:rFonts w:hint="cs"/>
          <w:rtl/>
        </w:rPr>
        <w:t xml:space="preserve">ולא </w:t>
      </w:r>
      <w:r w:rsidR="009C463A">
        <w:rPr>
          <w:rFonts w:hint="cs"/>
          <w:rtl/>
        </w:rPr>
        <w:t>מדויק</w:t>
      </w:r>
      <w:r w:rsidR="008A4A75">
        <w:rPr>
          <w:rFonts w:hint="cs"/>
          <w:rtl/>
        </w:rPr>
        <w:t xml:space="preserve">, </w:t>
      </w:r>
      <w:r w:rsidR="0062534F">
        <w:rPr>
          <w:rFonts w:hint="cs"/>
          <w:rtl/>
        </w:rPr>
        <w:t>זה כח שאינו השכל המופשט העיוני שמשיג את הישים המופשטים</w:t>
      </w:r>
      <w:r w:rsidR="00B103CA">
        <w:rPr>
          <w:rFonts w:hint="cs"/>
          <w:rtl/>
        </w:rPr>
        <w:t xml:space="preserve">, אלא כח נמוך ממנו </w:t>
      </w:r>
      <w:r w:rsidR="00613DF5">
        <w:rPr>
          <w:rFonts w:hint="cs"/>
          <w:rtl/>
        </w:rPr>
        <w:t xml:space="preserve">שמשיג רק מה שבחומר. </w:t>
      </w:r>
      <w:r w:rsidR="005A5588">
        <w:rPr>
          <w:rFonts w:hint="cs"/>
          <w:rtl/>
        </w:rPr>
        <w:t xml:space="preserve">רושם </w:t>
      </w:r>
      <w:r w:rsidR="00B103CA">
        <w:rPr>
          <w:rFonts w:hint="cs"/>
          <w:rtl/>
        </w:rPr>
        <w:t xml:space="preserve">החושים </w:t>
      </w:r>
      <w:r w:rsidR="005A5588">
        <w:rPr>
          <w:rFonts w:hint="cs"/>
          <w:rtl/>
        </w:rPr>
        <w:t xml:space="preserve">עולה אל כח הדמיון </w:t>
      </w:r>
      <w:r w:rsidR="00D50D7D">
        <w:rPr>
          <w:rFonts w:hint="cs"/>
          <w:rtl/>
        </w:rPr>
        <w:t>שתופש בו עצמים חומריים</w:t>
      </w:r>
      <w:r w:rsidR="00904782">
        <w:rPr>
          <w:rFonts w:hint="cs"/>
          <w:rtl/>
        </w:rPr>
        <w:t>, ו</w:t>
      </w:r>
      <w:r w:rsidR="008A4A75">
        <w:rPr>
          <w:rFonts w:hint="cs"/>
          <w:rtl/>
        </w:rPr>
        <w:t xml:space="preserve">התפישה החומרית של העצם </w:t>
      </w:r>
      <w:r w:rsidR="00B11E84">
        <w:rPr>
          <w:rFonts w:hint="cs"/>
          <w:rtl/>
        </w:rPr>
        <w:t>עולה לכח המחשבי ש</w:t>
      </w:r>
      <w:r w:rsidR="00904782">
        <w:rPr>
          <w:rFonts w:hint="cs"/>
          <w:rtl/>
        </w:rPr>
        <w:t xml:space="preserve">מנתח זאת בדרך </w:t>
      </w:r>
      <w:r w:rsidR="00B11E84">
        <w:rPr>
          <w:rFonts w:hint="cs"/>
          <w:rtl/>
        </w:rPr>
        <w:t>של חישוב</w:t>
      </w:r>
      <w:r w:rsidR="00D50D7D">
        <w:rPr>
          <w:rFonts w:hint="cs"/>
          <w:rtl/>
        </w:rPr>
        <w:t xml:space="preserve"> (כח המדבר, השכל השימושי</w:t>
      </w:r>
      <w:r w:rsidR="00B5704E">
        <w:rPr>
          <w:rFonts w:hint="cs"/>
          <w:rtl/>
        </w:rPr>
        <w:t>)</w:t>
      </w:r>
      <w:r w:rsidR="00B11E84">
        <w:rPr>
          <w:rFonts w:hint="cs"/>
          <w:rtl/>
        </w:rPr>
        <w:t xml:space="preserve"> ולא בהשגה עיונית מופשטת</w:t>
      </w:r>
      <w:r w:rsidR="00904782">
        <w:rPr>
          <w:rFonts w:hint="cs"/>
          <w:rtl/>
        </w:rPr>
        <w:t xml:space="preserve">. </w:t>
      </w:r>
      <w:r w:rsidR="00953944">
        <w:rPr>
          <w:rFonts w:hint="cs"/>
          <w:rtl/>
        </w:rPr>
        <w:t>יש עניין מיוחד עמוק מאוד בכח המחשבי</w:t>
      </w:r>
      <w:r w:rsidR="00B5704E">
        <w:rPr>
          <w:rFonts w:hint="cs"/>
          <w:rtl/>
        </w:rPr>
        <w:t>,</w:t>
      </w:r>
      <w:r w:rsidR="00953944">
        <w:rPr>
          <w:rFonts w:hint="cs"/>
          <w:rtl/>
        </w:rPr>
        <w:t xml:space="preserve"> שהוא</w:t>
      </w:r>
      <w:r w:rsidR="00363302">
        <w:rPr>
          <w:rFonts w:hint="cs"/>
          <w:rtl/>
        </w:rPr>
        <w:t xml:space="preserve"> עצמו</w:t>
      </w:r>
      <w:r w:rsidR="00953944">
        <w:rPr>
          <w:rFonts w:hint="cs"/>
          <w:rtl/>
        </w:rPr>
        <w:t xml:space="preserve"> משתנה</w:t>
      </w:r>
      <w:r w:rsidR="008A4A75">
        <w:rPr>
          <w:rFonts w:hint="cs"/>
          <w:rtl/>
        </w:rPr>
        <w:t>,</w:t>
      </w:r>
      <w:r w:rsidR="00953944">
        <w:rPr>
          <w:rFonts w:hint="cs"/>
          <w:rtl/>
        </w:rPr>
        <w:t xml:space="preserve"> כשהוא עוסק בהסתכלות על </w:t>
      </w:r>
      <w:r w:rsidR="00B5704E">
        <w:rPr>
          <w:rFonts w:hint="cs"/>
          <w:rtl/>
        </w:rPr>
        <w:t>העצמים החומריים</w:t>
      </w:r>
      <w:r w:rsidR="00953944">
        <w:rPr>
          <w:rFonts w:hint="cs"/>
          <w:rtl/>
        </w:rPr>
        <w:t xml:space="preserve"> הוא חלק מכח הדמיון וכשהוא מנתח אותם </w:t>
      </w:r>
      <w:r w:rsidR="00B5704E">
        <w:rPr>
          <w:rFonts w:hint="cs"/>
          <w:rtl/>
        </w:rPr>
        <w:t>ורואה את צד המופשט המונח בהם בהכרח</w:t>
      </w:r>
      <w:r w:rsidR="006368CC">
        <w:rPr>
          <w:rFonts w:hint="cs"/>
          <w:rtl/>
        </w:rPr>
        <w:t>,</w:t>
      </w:r>
      <w:r w:rsidR="00B5704E">
        <w:rPr>
          <w:rFonts w:hint="cs"/>
          <w:rtl/>
        </w:rPr>
        <w:t xml:space="preserve"> </w:t>
      </w:r>
      <w:r w:rsidR="00953944">
        <w:rPr>
          <w:rFonts w:hint="cs"/>
          <w:rtl/>
        </w:rPr>
        <w:t>הוא</w:t>
      </w:r>
      <w:r w:rsidR="00B5704E">
        <w:rPr>
          <w:rFonts w:hint="cs"/>
          <w:rtl/>
        </w:rPr>
        <w:t xml:space="preserve"> הולך ו</w:t>
      </w:r>
      <w:r w:rsidR="00953944">
        <w:rPr>
          <w:rFonts w:hint="cs"/>
          <w:rtl/>
        </w:rPr>
        <w:t xml:space="preserve">מתעלה להיות </w:t>
      </w:r>
      <w:r w:rsidR="00390B95">
        <w:rPr>
          <w:rFonts w:hint="cs"/>
          <w:rtl/>
        </w:rPr>
        <w:t xml:space="preserve">בכלל </w:t>
      </w:r>
      <w:r w:rsidR="00953944">
        <w:rPr>
          <w:rFonts w:hint="cs"/>
          <w:rtl/>
        </w:rPr>
        <w:t xml:space="preserve">השכל העיוני.  </w:t>
      </w:r>
    </w:p>
  </w:footnote>
  <w:footnote w:id="616">
    <w:p w14:paraId="588126BF" w14:textId="0B8B688A" w:rsidR="00694993" w:rsidRDefault="00694993">
      <w:pPr>
        <w:pStyle w:val="FootnoteText"/>
        <w:rPr>
          <w:rtl/>
        </w:rPr>
      </w:pPr>
      <w:r>
        <w:rPr>
          <w:rStyle w:val="FootnoteReference"/>
        </w:rPr>
        <w:footnoteRef/>
      </w:r>
      <w:r>
        <w:rPr>
          <w:rtl/>
        </w:rPr>
        <w:t xml:space="preserve"> </w:t>
      </w:r>
      <w:r>
        <w:rPr>
          <w:rFonts w:hint="cs"/>
          <w:rtl/>
        </w:rPr>
        <w:t xml:space="preserve">המספרים נמצאים גם בטבע החומרי אע"פ שמצד הגדרתם אינם דבר חומרי, </w:t>
      </w:r>
      <w:r w:rsidR="004F7858">
        <w:rPr>
          <w:rFonts w:hint="cs"/>
          <w:rtl/>
        </w:rPr>
        <w:t xml:space="preserve">ואינם מרכיב של העצם החומרי, </w:t>
      </w:r>
      <w:r w:rsidR="00B60E6B">
        <w:rPr>
          <w:rFonts w:hint="cs"/>
          <w:rtl/>
        </w:rPr>
        <w:t>כי הם</w:t>
      </w:r>
      <w:r w:rsidR="004F7858">
        <w:rPr>
          <w:rFonts w:hint="cs"/>
          <w:rtl/>
        </w:rPr>
        <w:t xml:space="preserve"> בטבעם העצמי</w:t>
      </w:r>
      <w:r w:rsidR="005C60CB">
        <w:rPr>
          <w:rFonts w:hint="cs"/>
          <w:rtl/>
        </w:rPr>
        <w:t xml:space="preserve"> </w:t>
      </w:r>
      <w:r w:rsidR="00B60E6B">
        <w:rPr>
          <w:rFonts w:hint="cs"/>
          <w:rtl/>
        </w:rPr>
        <w:t xml:space="preserve">הפירוש של 'נמצא' </w:t>
      </w:r>
      <w:r w:rsidR="005C60CB">
        <w:rPr>
          <w:rFonts w:hint="cs"/>
          <w:rtl/>
        </w:rPr>
        <w:t>(ד</w:t>
      </w:r>
      <w:r w:rsidR="005C60CB" w:rsidRPr="005C60CB">
        <w:rPr>
          <w:rtl/>
        </w:rPr>
        <w:t xml:space="preserve">היינו </w:t>
      </w:r>
      <w:r w:rsidR="00C1723F">
        <w:rPr>
          <w:rFonts w:hint="cs"/>
          <w:rtl/>
        </w:rPr>
        <w:t xml:space="preserve">השילוב של </w:t>
      </w:r>
      <w:r w:rsidR="005C60CB" w:rsidRPr="005C60CB">
        <w:rPr>
          <w:rtl/>
        </w:rPr>
        <w:t>ה'אחד' ו'השתיים-הלא-מוגדר'</w:t>
      </w:r>
      <w:r w:rsidR="005C60CB">
        <w:rPr>
          <w:rFonts w:hint="cs"/>
          <w:rtl/>
        </w:rPr>
        <w:t>,</w:t>
      </w:r>
      <w:r w:rsidR="005C60CB" w:rsidRPr="005C60CB">
        <w:rPr>
          <w:rtl/>
        </w:rPr>
        <w:t xml:space="preserve"> </w:t>
      </w:r>
      <w:r w:rsidR="00C1723F">
        <w:rPr>
          <w:rFonts w:hint="cs"/>
          <w:rtl/>
        </w:rPr>
        <w:t xml:space="preserve">זוהי </w:t>
      </w:r>
      <w:r w:rsidR="00FB571C">
        <w:rPr>
          <w:rFonts w:hint="cs"/>
          <w:rtl/>
        </w:rPr>
        <w:t>ההגדרה העליונה הראשונה של '</w:t>
      </w:r>
      <w:r w:rsidR="00C1723F">
        <w:rPr>
          <w:rFonts w:hint="cs"/>
          <w:rtl/>
        </w:rPr>
        <w:t>מציאות</w:t>
      </w:r>
      <w:r w:rsidR="00FB571C">
        <w:rPr>
          <w:rFonts w:hint="cs"/>
          <w:rtl/>
        </w:rPr>
        <w:t>'</w:t>
      </w:r>
      <w:r w:rsidR="00C1723F">
        <w:rPr>
          <w:rFonts w:hint="cs"/>
          <w:rtl/>
        </w:rPr>
        <w:t>, כי זה האופן שבו הנבראים נבדלים מהבורא האחד הפשוט שנחשב כלא</w:t>
      </w:r>
      <w:r w:rsidR="00FB571C">
        <w:rPr>
          <w:rFonts w:hint="cs"/>
          <w:rtl/>
        </w:rPr>
        <w:t>-</w:t>
      </w:r>
      <w:r w:rsidR="00C1723F">
        <w:rPr>
          <w:rFonts w:hint="cs"/>
          <w:rtl/>
        </w:rPr>
        <w:t xml:space="preserve">נמצא כיוון שאין לו שום הגדרה ומהות. </w:t>
      </w:r>
      <w:r w:rsidR="00FB571C">
        <w:rPr>
          <w:rFonts w:hint="cs"/>
          <w:rtl/>
        </w:rPr>
        <w:t>ו</w:t>
      </w:r>
      <w:r w:rsidR="005C60CB" w:rsidRPr="005C60CB">
        <w:rPr>
          <w:rtl/>
        </w:rPr>
        <w:t>כמו</w:t>
      </w:r>
      <w:r w:rsidR="005C60CB">
        <w:rPr>
          <w:rFonts w:hint="cs"/>
          <w:rtl/>
        </w:rPr>
        <w:t xml:space="preserve"> </w:t>
      </w:r>
      <w:r w:rsidR="005C60CB" w:rsidRPr="005C60CB">
        <w:rPr>
          <w:rtl/>
        </w:rPr>
        <w:t xml:space="preserve">שהתבאר בהערות לעיל בסעיף זה), </w:t>
      </w:r>
      <w:r w:rsidR="00B60E6B">
        <w:rPr>
          <w:rFonts w:hint="cs"/>
          <w:rtl/>
        </w:rPr>
        <w:t>ושייכים בכל מה שיש לו מציאות בלי תלות במדרגה ובאופן ש</w:t>
      </w:r>
      <w:r w:rsidR="00994288">
        <w:rPr>
          <w:rFonts w:hint="cs"/>
          <w:rtl/>
        </w:rPr>
        <w:t>ל מציאות זו</w:t>
      </w:r>
      <w:r w:rsidR="00B60E6B">
        <w:rPr>
          <w:rFonts w:hint="cs"/>
          <w:rtl/>
        </w:rPr>
        <w:t xml:space="preserve">. </w:t>
      </w:r>
      <w:r w:rsidR="00994288">
        <w:rPr>
          <w:rFonts w:hint="cs"/>
          <w:rtl/>
        </w:rPr>
        <w:t>המספרים משתקפים דרך כל מדרגת מציאות לפי עניינה, ומה שהם משתקפים מהטבע</w:t>
      </w:r>
      <w:r w:rsidR="002D1725">
        <w:rPr>
          <w:rFonts w:hint="cs"/>
          <w:rtl/>
        </w:rPr>
        <w:t xml:space="preserve"> (כשמגדירים </w:t>
      </w:r>
      <w:r w:rsidR="00D51A5E">
        <w:rPr>
          <w:rFonts w:hint="cs"/>
          <w:rtl/>
        </w:rPr>
        <w:t xml:space="preserve">מראש </w:t>
      </w:r>
      <w:r w:rsidR="002D1725">
        <w:rPr>
          <w:rFonts w:hint="cs"/>
          <w:rtl/>
        </w:rPr>
        <w:t>שמסתכלים רק על מדרג</w:t>
      </w:r>
      <w:r w:rsidR="00D51A5E">
        <w:rPr>
          <w:rFonts w:hint="cs"/>
          <w:rtl/>
        </w:rPr>
        <w:t>ת מציאות</w:t>
      </w:r>
      <w:r w:rsidR="002D1725">
        <w:rPr>
          <w:rFonts w:hint="cs"/>
          <w:rtl/>
        </w:rPr>
        <w:t xml:space="preserve"> זו ומקבלים את הקושיות שיש בה</w:t>
      </w:r>
      <w:r w:rsidR="00D51A5E">
        <w:rPr>
          <w:rFonts w:hint="cs"/>
          <w:rtl/>
        </w:rPr>
        <w:t xml:space="preserve"> גם אם אין להן הסבר</w:t>
      </w:r>
      <w:r w:rsidR="002D1725">
        <w:rPr>
          <w:rFonts w:hint="cs"/>
          <w:rtl/>
        </w:rPr>
        <w:t>, ולא עולים מהן למדרגת המופשט</w:t>
      </w:r>
      <w:r w:rsidR="00D51A5E">
        <w:rPr>
          <w:rFonts w:hint="cs"/>
          <w:rtl/>
        </w:rPr>
        <w:t>)</w:t>
      </w:r>
      <w:r w:rsidR="00994288">
        <w:rPr>
          <w:rFonts w:hint="cs"/>
          <w:rtl/>
        </w:rPr>
        <w:t xml:space="preserve"> הוא המושא של </w:t>
      </w:r>
      <w:r w:rsidR="002D1725">
        <w:rPr>
          <w:rFonts w:hint="cs"/>
          <w:rtl/>
        </w:rPr>
        <w:t>מדע המתמטיקה</w:t>
      </w:r>
      <w:r w:rsidR="00994288">
        <w:rPr>
          <w:rFonts w:hint="cs"/>
          <w:rtl/>
        </w:rPr>
        <w:t xml:space="preserve">. </w:t>
      </w:r>
      <w:r w:rsidR="004C7ACC">
        <w:rPr>
          <w:rFonts w:hint="cs"/>
          <w:rtl/>
        </w:rPr>
        <w:t>למשל מדע המתמטיקה לא שואל על העניין של 'יחידה' מה עניינו ומה ההבנה בו ומה מקורו</w:t>
      </w:r>
      <w:r w:rsidR="00F05068">
        <w:rPr>
          <w:rFonts w:hint="cs"/>
          <w:rtl/>
        </w:rPr>
        <w:t xml:space="preserve">, </w:t>
      </w:r>
      <w:r w:rsidR="00E81A6B">
        <w:rPr>
          <w:rFonts w:hint="cs"/>
          <w:rtl/>
        </w:rPr>
        <w:t xml:space="preserve">ואיך הוא מתיישב עם אפשרות הריבוי, </w:t>
      </w:r>
      <w:r w:rsidR="00F05068">
        <w:rPr>
          <w:rFonts w:hint="cs"/>
          <w:rtl/>
        </w:rPr>
        <w:t xml:space="preserve">אלא מקבל את המושג הזה כנתון ראשוני בלי לחקור בו. </w:t>
      </w:r>
      <w:r w:rsidR="00E81A6B">
        <w:rPr>
          <w:rFonts w:hint="cs"/>
          <w:rtl/>
        </w:rPr>
        <w:t>ואם היה חוקר</w:t>
      </w:r>
      <w:r w:rsidR="00276F4D">
        <w:rPr>
          <w:rFonts w:hint="cs"/>
          <w:rtl/>
        </w:rPr>
        <w:t xml:space="preserve"> בזה (וכן בעוד שאלות רבות כעין זה שיש במתמטיקה),</w:t>
      </w:r>
      <w:r w:rsidR="00E81A6B">
        <w:rPr>
          <w:rFonts w:hint="cs"/>
          <w:rtl/>
        </w:rPr>
        <w:t xml:space="preserve"> היה מוכרח להגיע למדע </w:t>
      </w:r>
      <w:r w:rsidR="00E81A6B">
        <w:rPr>
          <w:rFonts w:hint="cs"/>
          <w:rtl/>
        </w:rPr>
        <w:t xml:space="preserve">המטאפיזיקה החוקר את המופשט. </w:t>
      </w:r>
      <w:r w:rsidR="004C7ACC">
        <w:rPr>
          <w:rFonts w:hint="cs"/>
          <w:rtl/>
        </w:rPr>
        <w:t xml:space="preserve"> </w:t>
      </w:r>
    </w:p>
    <w:p w14:paraId="0DA11D2A" w14:textId="609B542C" w:rsidR="00306739" w:rsidRDefault="00306739">
      <w:pPr>
        <w:pStyle w:val="FootnoteText"/>
        <w:rPr>
          <w:rtl/>
        </w:rPr>
      </w:pPr>
      <w:r>
        <w:rPr>
          <w:rFonts w:hint="cs"/>
          <w:rtl/>
        </w:rPr>
        <w:t xml:space="preserve">ועיין עוד בזה במטאפיזיקה </w:t>
      </w:r>
      <w:r w:rsidR="00AC2782">
        <w:rPr>
          <w:rFonts w:hint="cs"/>
          <w:rtl/>
        </w:rPr>
        <w:t>זטא פרק י' שם כתב בתוך הדיון:</w:t>
      </w:r>
    </w:p>
    <w:p w14:paraId="09F52F0E" w14:textId="4FB4E0EA" w:rsidR="00AC2782" w:rsidRDefault="00AC2782" w:rsidP="00AC2782">
      <w:pPr>
        <w:pStyle w:val="FootnoteText"/>
        <w:bidi w:val="0"/>
      </w:pPr>
      <w:r>
        <w:rPr>
          <w:rFonts w:hint="cs"/>
          <w:rtl/>
        </w:rPr>
        <w:t>"</w:t>
      </w:r>
      <w:r w:rsidRPr="00AC2782">
        <w:t>But matter is unknowable in itself. And some matter is perceptible and some intelligible, perceptible matter being for instance bronze and wood and all matter that is changeable, and intelligible matter being that which is present in perceptible things not qua perceptible, i.e. the objects of mathematics</w:t>
      </w:r>
      <w:r w:rsidR="00993853">
        <w:t>."</w:t>
      </w:r>
    </w:p>
    <w:p w14:paraId="571CB3D9" w14:textId="6ECB5627" w:rsidR="00993853" w:rsidRDefault="00993853" w:rsidP="00993853">
      <w:pPr>
        <w:pStyle w:val="FootnoteText"/>
        <w:rPr>
          <w:rtl/>
        </w:rPr>
      </w:pPr>
      <w:r>
        <w:rPr>
          <w:rFonts w:hint="cs"/>
          <w:rtl/>
        </w:rPr>
        <w:t xml:space="preserve">עיין שם בכל הדיון, </w:t>
      </w:r>
      <w:r w:rsidR="00341811">
        <w:rPr>
          <w:rFonts w:hint="cs"/>
          <w:rtl/>
        </w:rPr>
        <w:t>(</w:t>
      </w:r>
      <w:r>
        <w:rPr>
          <w:rFonts w:hint="cs"/>
          <w:rtl/>
        </w:rPr>
        <w:t>וכן במטאפיזיקה אטא פרק ו' שהזכיר עניין זה בקיצור</w:t>
      </w:r>
      <w:r w:rsidR="00341811">
        <w:rPr>
          <w:rFonts w:hint="cs"/>
          <w:rtl/>
        </w:rPr>
        <w:t>)</w:t>
      </w:r>
      <w:r>
        <w:rPr>
          <w:rFonts w:hint="cs"/>
          <w:rtl/>
        </w:rPr>
        <w:t xml:space="preserve">. </w:t>
      </w:r>
      <w:r w:rsidR="00D74E08">
        <w:rPr>
          <w:rFonts w:hint="cs"/>
          <w:rtl/>
        </w:rPr>
        <w:t xml:space="preserve">ועיין עוד במטאפיזיקה </w:t>
      </w:r>
      <w:r w:rsidR="00AA5C84">
        <w:rPr>
          <w:rFonts w:hint="cs"/>
          <w:rtl/>
        </w:rPr>
        <w:t>זטא סוף פרק י"א (</w:t>
      </w:r>
      <w:r w:rsidR="003D5EA3">
        <w:rPr>
          <w:rFonts w:hint="cs"/>
          <w:rtl/>
        </w:rPr>
        <w:t xml:space="preserve">החל מדף </w:t>
      </w:r>
      <w:r w:rsidR="00AA5C84">
        <w:rPr>
          <w:rFonts w:hint="cs"/>
          <w:rtl/>
        </w:rPr>
        <w:t>1036ב שורה 3</w:t>
      </w:r>
      <w:r w:rsidR="003D5EA3">
        <w:rPr>
          <w:rFonts w:hint="cs"/>
          <w:rtl/>
        </w:rPr>
        <w:t>3</w:t>
      </w:r>
      <w:r w:rsidR="00AA5C84">
        <w:rPr>
          <w:rFonts w:hint="cs"/>
          <w:rtl/>
        </w:rPr>
        <w:t>)</w:t>
      </w:r>
      <w:r w:rsidR="000E2096">
        <w:rPr>
          <w:rFonts w:hint="cs"/>
          <w:rtl/>
        </w:rPr>
        <w:t>.</w:t>
      </w:r>
    </w:p>
  </w:footnote>
  <w:footnote w:id="617">
    <w:p w14:paraId="1E5DD627" w14:textId="42783208" w:rsidR="00FB1744" w:rsidRDefault="00C01BBF">
      <w:pPr>
        <w:pStyle w:val="FootnoteText"/>
        <w:rPr>
          <w:rtl/>
        </w:rPr>
      </w:pPr>
      <w:r>
        <w:rPr>
          <w:rStyle w:val="FootnoteReference"/>
        </w:rPr>
        <w:footnoteRef/>
      </w:r>
      <w:r>
        <w:rPr>
          <w:rtl/>
        </w:rPr>
        <w:t xml:space="preserve"> </w:t>
      </w:r>
      <w:r w:rsidR="004032C7" w:rsidRPr="00527595">
        <w:rPr>
          <w:rFonts w:ascii="Arial" w:hAnsi="Arial" w:cs="Arial" w:hint="cs"/>
          <w:rtl/>
          <w:lang w:bidi="ar-SA"/>
        </w:rPr>
        <w:t>المقادير</w:t>
      </w:r>
      <w:r w:rsidR="005425CF" w:rsidRPr="00527595">
        <w:rPr>
          <w:rtl/>
        </w:rPr>
        <w:t xml:space="preserve"> </w:t>
      </w:r>
      <w:r w:rsidR="00B220AC">
        <w:rPr>
          <w:rFonts w:hint="cs"/>
          <w:rtl/>
        </w:rPr>
        <w:t>(</w:t>
      </w:r>
      <w:r w:rsidR="005425CF" w:rsidRPr="00527595">
        <w:rPr>
          <w:rtl/>
        </w:rPr>
        <w:t>מ</w:t>
      </w:r>
      <w:r w:rsidR="00703AD9">
        <w:rPr>
          <w:rFonts w:hint="cs"/>
          <w:rtl/>
        </w:rPr>
        <w:t>י</w:t>
      </w:r>
      <w:r w:rsidR="005425CF" w:rsidRPr="00527595">
        <w:rPr>
          <w:rtl/>
        </w:rPr>
        <w:t>קד</w:t>
      </w:r>
      <w:r w:rsidR="00703AD9">
        <w:rPr>
          <w:rFonts w:hint="cs"/>
          <w:rtl/>
        </w:rPr>
        <w:t>י</w:t>
      </w:r>
      <w:r w:rsidR="005425CF" w:rsidRPr="00527595">
        <w:rPr>
          <w:rtl/>
        </w:rPr>
        <w:t>ר</w:t>
      </w:r>
      <w:r w:rsidR="00B220AC">
        <w:rPr>
          <w:rFonts w:hint="cs"/>
          <w:rtl/>
        </w:rPr>
        <w:t xml:space="preserve"> (צורת הרבים של מיקדאר)</w:t>
      </w:r>
      <w:r w:rsidR="00AF6589" w:rsidRPr="00527595">
        <w:rPr>
          <w:rtl/>
        </w:rPr>
        <w:t xml:space="preserve">, מהשורש </w:t>
      </w:r>
      <w:r w:rsidR="00AF6589" w:rsidRPr="00527595">
        <w:rPr>
          <w:rFonts w:ascii="Arial" w:hAnsi="Arial" w:cs="Arial" w:hint="cs"/>
          <w:rtl/>
          <w:lang w:bidi="ar-SA"/>
        </w:rPr>
        <w:t>ق</w:t>
      </w:r>
      <w:r w:rsidR="00AF6589" w:rsidRPr="00527595">
        <w:rPr>
          <w:rtl/>
          <w:lang w:bidi="ar-SA"/>
        </w:rPr>
        <w:t xml:space="preserve"> </w:t>
      </w:r>
      <w:r w:rsidR="00AF6589" w:rsidRPr="00527595">
        <w:rPr>
          <w:rFonts w:ascii="Arial" w:hAnsi="Arial" w:cs="Arial" w:hint="cs"/>
          <w:rtl/>
          <w:lang w:bidi="ar-SA"/>
        </w:rPr>
        <w:t>د</w:t>
      </w:r>
      <w:r w:rsidR="00AF6589" w:rsidRPr="00527595">
        <w:rPr>
          <w:rtl/>
          <w:lang w:bidi="ar-SA"/>
        </w:rPr>
        <w:t xml:space="preserve"> </w:t>
      </w:r>
      <w:r w:rsidR="00AF6589" w:rsidRPr="00527595">
        <w:rPr>
          <w:rFonts w:ascii="Arial" w:hAnsi="Arial" w:cs="Arial" w:hint="cs"/>
          <w:rtl/>
          <w:lang w:bidi="ar-SA"/>
        </w:rPr>
        <w:t>ر</w:t>
      </w:r>
      <w:r w:rsidR="00AF6589" w:rsidRPr="00527595">
        <w:rPr>
          <w:cs/>
        </w:rPr>
        <w:t>‎</w:t>
      </w:r>
      <w:r w:rsidR="004032C7" w:rsidRPr="00527595">
        <w:rPr>
          <w:rtl/>
        </w:rPr>
        <w:t>.</w:t>
      </w:r>
      <w:r w:rsidR="004032C7" w:rsidRPr="00527595">
        <w:rPr>
          <w:rtl/>
          <w:lang w:bidi="ar-SA"/>
        </w:rPr>
        <w:t xml:space="preserve"> </w:t>
      </w:r>
      <w:r w:rsidR="00643B85">
        <w:rPr>
          <w:rFonts w:hint="cs"/>
          <w:rtl/>
        </w:rPr>
        <w:t>ו</w:t>
      </w:r>
      <w:r w:rsidRPr="00527595">
        <w:rPr>
          <w:rtl/>
        </w:rPr>
        <w:t xml:space="preserve">עיין </w:t>
      </w:r>
      <w:r w:rsidR="00643B85">
        <w:rPr>
          <w:rFonts w:hint="cs"/>
          <w:rtl/>
        </w:rPr>
        <w:t>ב</w:t>
      </w:r>
      <w:r w:rsidRPr="00527595">
        <w:rPr>
          <w:rtl/>
        </w:rPr>
        <w:t>קוראן 70:4</w:t>
      </w:r>
      <w:r w:rsidR="00643B85">
        <w:rPr>
          <w:rFonts w:hint="cs"/>
          <w:rtl/>
        </w:rPr>
        <w:t>)</w:t>
      </w:r>
      <w:r w:rsidRPr="00527595">
        <w:rPr>
          <w:rtl/>
        </w:rPr>
        <w:t>. מקגיניס תרגם נכון: "</w:t>
      </w:r>
      <w:r w:rsidRPr="00527595">
        <w:t>Magnitudes</w:t>
      </w:r>
      <w:r w:rsidRPr="00527595">
        <w:rPr>
          <w:rtl/>
        </w:rPr>
        <w:t>"</w:t>
      </w:r>
      <w:r w:rsidR="004032C7" w:rsidRPr="00527595">
        <w:rPr>
          <w:rtl/>
        </w:rPr>
        <w:t xml:space="preserve">. לא תרגמתי </w:t>
      </w:r>
      <w:r w:rsidR="00AE39FA" w:rsidRPr="00527595">
        <w:rPr>
          <w:rtl/>
        </w:rPr>
        <w:t>'</w:t>
      </w:r>
      <w:r w:rsidR="004032C7" w:rsidRPr="00527595">
        <w:rPr>
          <w:rtl/>
        </w:rPr>
        <w:t>כמויות</w:t>
      </w:r>
      <w:r w:rsidR="00AE39FA" w:rsidRPr="00527595">
        <w:rPr>
          <w:rtl/>
        </w:rPr>
        <w:t>'</w:t>
      </w:r>
      <w:r w:rsidR="004032C7" w:rsidRPr="00527595">
        <w:rPr>
          <w:rtl/>
        </w:rPr>
        <w:t xml:space="preserve"> כי אין הכוונה כאן לקטגוריית הכמות של אריסטו שנקראת בערבית '</w:t>
      </w:r>
      <w:r w:rsidR="0007179B" w:rsidRPr="00527595">
        <w:rPr>
          <w:rtl/>
        </w:rPr>
        <w:t>כָּ</w:t>
      </w:r>
      <w:r w:rsidR="004032C7" w:rsidRPr="00527595">
        <w:rPr>
          <w:rtl/>
        </w:rPr>
        <w:t>ם'</w:t>
      </w:r>
      <w:r w:rsidR="00D5061F" w:rsidRPr="00527595">
        <w:rPr>
          <w:rtl/>
        </w:rPr>
        <w:t xml:space="preserve"> (</w:t>
      </w:r>
      <w:r w:rsidR="00D5061F" w:rsidRPr="00527595">
        <w:rPr>
          <w:rFonts w:ascii="Arial" w:hAnsi="Arial" w:cs="Arial" w:hint="cs"/>
          <w:rtl/>
          <w:lang w:bidi="ar-SA"/>
        </w:rPr>
        <w:t>كم</w:t>
      </w:r>
      <w:r w:rsidR="00D5061F" w:rsidRPr="00527595">
        <w:rPr>
          <w:rtl/>
        </w:rPr>
        <w:t>)</w:t>
      </w:r>
      <w:r w:rsidR="004032C7" w:rsidRPr="00527595">
        <w:rPr>
          <w:rtl/>
        </w:rPr>
        <w:t xml:space="preserve">. </w:t>
      </w:r>
      <w:r w:rsidR="00842D89" w:rsidRPr="00527595">
        <w:rPr>
          <w:rtl/>
        </w:rPr>
        <w:t xml:space="preserve">קטגוריית הכמות של אריסטו, שהיא המידות של גוף, </w:t>
      </w:r>
      <w:r w:rsidR="00FF77C4">
        <w:rPr>
          <w:rFonts w:hint="cs"/>
          <w:rtl/>
        </w:rPr>
        <w:t xml:space="preserve">אורך רוחב וגובה, </w:t>
      </w:r>
      <w:r w:rsidR="00842D89" w:rsidRPr="00527595">
        <w:rPr>
          <w:rtl/>
        </w:rPr>
        <w:t>ק</w:t>
      </w:r>
      <w:r w:rsidR="0049658F" w:rsidRPr="00527595">
        <w:rPr>
          <w:rtl/>
        </w:rPr>
        <w:t>יימ</w:t>
      </w:r>
      <w:r w:rsidR="00842D89" w:rsidRPr="00527595">
        <w:rPr>
          <w:rtl/>
        </w:rPr>
        <w:t xml:space="preserve">ת בסדר הבריאה לפני המימוש החומרי של אותו גוף, דהיינו צורת התלת ממדיות הנקראת בספר בראשית </w:t>
      </w:r>
      <w:r w:rsidR="0049658F" w:rsidRPr="00527595">
        <w:rPr>
          <w:rtl/>
        </w:rPr>
        <w:t xml:space="preserve">"בוהו", וכמו שהתבאר עניין </w:t>
      </w:r>
      <w:r w:rsidR="003148E6">
        <w:rPr>
          <w:rFonts w:hint="cs"/>
          <w:rtl/>
        </w:rPr>
        <w:t xml:space="preserve">עמוק </w:t>
      </w:r>
      <w:r w:rsidR="0049658F" w:rsidRPr="00527595">
        <w:rPr>
          <w:rtl/>
        </w:rPr>
        <w:t>זה לעיל בכמה מקומות</w:t>
      </w:r>
      <w:r w:rsidR="00AE4877">
        <w:rPr>
          <w:rFonts w:hint="cs"/>
          <w:rtl/>
        </w:rPr>
        <w:t xml:space="preserve"> וביותר ברמיזות והערות</w:t>
      </w:r>
      <w:r w:rsidR="0049658F" w:rsidRPr="00527595">
        <w:rPr>
          <w:rtl/>
        </w:rPr>
        <w:t xml:space="preserve">. </w:t>
      </w:r>
      <w:r w:rsidR="00273783">
        <w:rPr>
          <w:rFonts w:hint="cs"/>
          <w:rtl/>
        </w:rPr>
        <w:t>'גודל' הוא אותו הדבר כמו 'כמות', רק ש'כמות' מתייחסת לנושא</w:t>
      </w:r>
      <w:r w:rsidR="00A014D4">
        <w:rPr>
          <w:rFonts w:hint="cs"/>
          <w:rtl/>
        </w:rPr>
        <w:t xml:space="preserve"> בכל מדרגות המציאות,</w:t>
      </w:r>
      <w:r w:rsidR="00273783">
        <w:rPr>
          <w:rFonts w:hint="cs"/>
          <w:rtl/>
        </w:rPr>
        <w:t xml:space="preserve"> עד שרשו שהוא מעל המישור החומרי הטבעי, ו</w:t>
      </w:r>
      <w:r w:rsidR="00FF37F9">
        <w:rPr>
          <w:rFonts w:hint="cs"/>
          <w:rtl/>
        </w:rPr>
        <w:t>'</w:t>
      </w:r>
      <w:r w:rsidR="00273783">
        <w:rPr>
          <w:rFonts w:hint="cs"/>
          <w:rtl/>
        </w:rPr>
        <w:t>גודל</w:t>
      </w:r>
      <w:r w:rsidR="00FF37F9">
        <w:rPr>
          <w:rFonts w:hint="cs"/>
          <w:rtl/>
        </w:rPr>
        <w:t>'</w:t>
      </w:r>
      <w:r w:rsidR="00273783">
        <w:rPr>
          <w:rFonts w:hint="cs"/>
          <w:rtl/>
        </w:rPr>
        <w:t xml:space="preserve"> הוא הצד של הנושא הזה כשהוא בתוך הטבע. </w:t>
      </w:r>
      <w:r w:rsidR="00FF37F9">
        <w:rPr>
          <w:rFonts w:hint="cs"/>
          <w:rtl/>
        </w:rPr>
        <w:t>וכמו שלגבי מספרים יש אפשרות להתייחס להם רק במי</w:t>
      </w:r>
      <w:r w:rsidR="001D2A39">
        <w:rPr>
          <w:rFonts w:hint="cs"/>
          <w:rtl/>
        </w:rPr>
        <w:t>ד</w:t>
      </w:r>
      <w:r w:rsidR="00FF37F9">
        <w:rPr>
          <w:rFonts w:hint="cs"/>
          <w:rtl/>
        </w:rPr>
        <w:t>ה שהם בתוך הטבע החומרי, וזה עניינו של המתמטיקאי</w:t>
      </w:r>
      <w:r w:rsidR="001D2A39">
        <w:rPr>
          <w:rFonts w:hint="cs"/>
          <w:rtl/>
        </w:rPr>
        <w:t xml:space="preserve"> כמו שהתבאר בסעיף 3. רק שב</w:t>
      </w:r>
      <w:r w:rsidR="003D47A5">
        <w:rPr>
          <w:rFonts w:hint="cs"/>
          <w:rtl/>
        </w:rPr>
        <w:t>מ</w:t>
      </w:r>
      <w:r w:rsidR="001D2A39">
        <w:rPr>
          <w:rFonts w:hint="cs"/>
          <w:rtl/>
        </w:rPr>
        <w:t xml:space="preserve">ספרים יש מילה אחת </w:t>
      </w:r>
      <w:r w:rsidR="00840970">
        <w:rPr>
          <w:rFonts w:hint="cs"/>
          <w:rtl/>
        </w:rPr>
        <w:t xml:space="preserve">שמשמשת </w:t>
      </w:r>
      <w:r w:rsidR="001D2A39">
        <w:rPr>
          <w:rFonts w:hint="cs"/>
          <w:rtl/>
        </w:rPr>
        <w:t xml:space="preserve">להתייחסות אליהם מצד שרשם </w:t>
      </w:r>
      <w:r w:rsidR="003D47A5">
        <w:rPr>
          <w:rFonts w:hint="cs"/>
          <w:rtl/>
        </w:rPr>
        <w:t>(</w:t>
      </w:r>
      <w:r w:rsidR="001D2A39">
        <w:rPr>
          <w:rFonts w:hint="cs"/>
          <w:rtl/>
        </w:rPr>
        <w:t xml:space="preserve">שהוא </w:t>
      </w:r>
      <w:r w:rsidR="00886FCD">
        <w:rPr>
          <w:rFonts w:hint="cs"/>
          <w:rtl/>
        </w:rPr>
        <w:t>אפילו מעל המופשט</w:t>
      </w:r>
      <w:r w:rsidR="003D47A5">
        <w:rPr>
          <w:rFonts w:hint="cs"/>
          <w:rtl/>
        </w:rPr>
        <w:t>)</w:t>
      </w:r>
      <w:r w:rsidR="00886FCD">
        <w:rPr>
          <w:rFonts w:hint="cs"/>
          <w:rtl/>
        </w:rPr>
        <w:t xml:space="preserve"> ו</w:t>
      </w:r>
      <w:r w:rsidR="00840970">
        <w:rPr>
          <w:rFonts w:hint="cs"/>
          <w:rtl/>
        </w:rPr>
        <w:t xml:space="preserve">גם </w:t>
      </w:r>
      <w:r w:rsidR="00886FCD">
        <w:rPr>
          <w:rFonts w:hint="cs"/>
          <w:rtl/>
        </w:rPr>
        <w:t xml:space="preserve">להתייחסות </w:t>
      </w:r>
      <w:r w:rsidR="003D47A5">
        <w:rPr>
          <w:rFonts w:hint="cs"/>
          <w:rtl/>
        </w:rPr>
        <w:t>שכולה</w:t>
      </w:r>
      <w:r w:rsidR="00886FCD">
        <w:rPr>
          <w:rFonts w:hint="cs"/>
          <w:rtl/>
        </w:rPr>
        <w:t xml:space="preserve"> רק בתוך הטבע</w:t>
      </w:r>
      <w:r w:rsidR="00840970">
        <w:rPr>
          <w:rFonts w:hint="cs"/>
          <w:rtl/>
        </w:rPr>
        <w:t xml:space="preserve"> (דהיינו המילה 'מספר'</w:t>
      </w:r>
      <w:r w:rsidR="002D1C53">
        <w:rPr>
          <w:rFonts w:hint="cs"/>
          <w:rtl/>
        </w:rPr>
        <w:t>)</w:t>
      </w:r>
      <w:r w:rsidR="00886FCD">
        <w:rPr>
          <w:rFonts w:hint="cs"/>
          <w:rtl/>
        </w:rPr>
        <w:t xml:space="preserve">, ובכמות </w:t>
      </w:r>
      <w:r w:rsidR="002D1C53">
        <w:rPr>
          <w:rFonts w:hint="cs"/>
          <w:rtl/>
        </w:rPr>
        <w:t>אפשר לחלק את זה</w:t>
      </w:r>
      <w:r w:rsidR="00886FCD">
        <w:rPr>
          <w:rFonts w:hint="cs"/>
          <w:rtl/>
        </w:rPr>
        <w:t xml:space="preserve"> </w:t>
      </w:r>
      <w:r w:rsidR="002D1C53">
        <w:rPr>
          <w:rFonts w:hint="cs"/>
          <w:rtl/>
        </w:rPr>
        <w:t>ל</w:t>
      </w:r>
      <w:r w:rsidR="00886FCD">
        <w:rPr>
          <w:rFonts w:hint="cs"/>
          <w:rtl/>
        </w:rPr>
        <w:t>שתי מילים</w:t>
      </w:r>
      <w:r w:rsidR="003D47A5">
        <w:rPr>
          <w:rFonts w:hint="cs"/>
          <w:rtl/>
        </w:rPr>
        <w:t>:</w:t>
      </w:r>
      <w:r w:rsidR="00886FCD">
        <w:rPr>
          <w:rFonts w:hint="cs"/>
          <w:rtl/>
        </w:rPr>
        <w:t xml:space="preserve"> כמות וגודל.</w:t>
      </w:r>
    </w:p>
    <w:p w14:paraId="231ECFF4" w14:textId="44C1A2BB" w:rsidR="00C01BBF" w:rsidRDefault="006A3EDC">
      <w:pPr>
        <w:pStyle w:val="FootnoteText"/>
        <w:rPr>
          <w:rtl/>
        </w:rPr>
      </w:pPr>
      <w:r>
        <w:rPr>
          <w:rFonts w:hint="cs"/>
          <w:rtl/>
        </w:rPr>
        <w:t xml:space="preserve">כאמור קטגוריית הכמות של גוף היא המידות שלו, אורך רוחב וגובה. </w:t>
      </w:r>
      <w:r w:rsidR="00DE3405">
        <w:rPr>
          <w:rFonts w:hint="cs"/>
          <w:rtl/>
        </w:rPr>
        <w:t>הן מיוסדות על האפשרות למדוד אורך של קו ביחידות מידה כלשהן (כי כל ממד נמדד כקו</w:t>
      </w:r>
      <w:r w:rsidR="0028781E">
        <w:rPr>
          <w:rFonts w:hint="cs"/>
          <w:rtl/>
        </w:rPr>
        <w:t>)</w:t>
      </w:r>
      <w:r w:rsidR="00DE3405">
        <w:rPr>
          <w:rFonts w:hint="cs"/>
          <w:rtl/>
        </w:rPr>
        <w:t>.</w:t>
      </w:r>
      <w:r w:rsidR="0028781E">
        <w:rPr>
          <w:rFonts w:hint="cs"/>
          <w:rtl/>
        </w:rPr>
        <w:t xml:space="preserve"> קו מצד עצמו לא יכול להימדד ביחידות מידה, </w:t>
      </w:r>
      <w:r w:rsidR="00D80A1C">
        <w:rPr>
          <w:rFonts w:hint="cs"/>
          <w:rtl/>
        </w:rPr>
        <w:t>כי הקו הוא רצף. עיין בבלוגים "</w:t>
      </w:r>
      <w:hyperlink r:id="rId128" w:history="1">
        <w:r w:rsidR="00D80A1C" w:rsidRPr="00843497">
          <w:rPr>
            <w:rStyle w:val="Hyperlink"/>
            <w:rFonts w:hint="cs"/>
            <w:rtl/>
          </w:rPr>
          <w:t>עיונים בפילוסופיה אריסטוטלית</w:t>
        </w:r>
      </w:hyperlink>
      <w:r w:rsidR="00D80A1C">
        <w:rPr>
          <w:rFonts w:hint="cs"/>
          <w:rtl/>
        </w:rPr>
        <w:t>" ו"</w:t>
      </w:r>
      <w:hyperlink r:id="rId129" w:history="1">
        <w:r w:rsidR="00D80A1C" w:rsidRPr="001D207C">
          <w:rPr>
            <w:rStyle w:val="Hyperlink"/>
            <w:rFonts w:hint="cs"/>
            <w:rtl/>
          </w:rPr>
          <w:t>ביאור על מורה נבוכים</w:t>
        </w:r>
      </w:hyperlink>
      <w:r w:rsidR="00D80A1C">
        <w:rPr>
          <w:rFonts w:hint="cs"/>
          <w:rtl/>
        </w:rPr>
        <w:t>" לפי התגיות 'אכילס והצב' או 'רצף'</w:t>
      </w:r>
      <w:r w:rsidR="009461A8">
        <w:rPr>
          <w:rFonts w:hint="cs"/>
          <w:rtl/>
        </w:rPr>
        <w:t xml:space="preserve"> (</w:t>
      </w:r>
      <w:r w:rsidR="00E04255">
        <w:rPr>
          <w:rFonts w:hint="cs"/>
          <w:rtl/>
        </w:rPr>
        <w:t xml:space="preserve">זה נמצא בעיקר </w:t>
      </w:r>
      <w:r w:rsidR="009461A8">
        <w:rPr>
          <w:rFonts w:hint="cs"/>
          <w:rtl/>
        </w:rPr>
        <w:t>בבלוג על מורה נבוכים</w:t>
      </w:r>
      <w:r w:rsidR="00E04255">
        <w:rPr>
          <w:rFonts w:hint="cs"/>
          <w:rtl/>
        </w:rPr>
        <w:t xml:space="preserve"> </w:t>
      </w:r>
      <w:r w:rsidR="009461A8">
        <w:rPr>
          <w:rFonts w:hint="cs"/>
          <w:rtl/>
        </w:rPr>
        <w:t>בב</w:t>
      </w:r>
      <w:r w:rsidR="00E04255">
        <w:rPr>
          <w:rFonts w:hint="cs"/>
          <w:rtl/>
        </w:rPr>
        <w:t>י</w:t>
      </w:r>
      <w:r w:rsidR="009461A8">
        <w:rPr>
          <w:rFonts w:hint="cs"/>
          <w:rtl/>
        </w:rPr>
        <w:t>אור על הפיזיקה של אריסטו ספר ח'</w:t>
      </w:r>
      <w:r w:rsidR="00E04255">
        <w:rPr>
          <w:rFonts w:hint="cs"/>
          <w:rtl/>
        </w:rPr>
        <w:t xml:space="preserve"> שנכתב שם</w:t>
      </w:r>
      <w:r w:rsidR="009461A8">
        <w:rPr>
          <w:rFonts w:hint="cs"/>
          <w:rtl/>
        </w:rPr>
        <w:t>, ולא</w:t>
      </w:r>
      <w:r w:rsidR="00E04255">
        <w:rPr>
          <w:rFonts w:hint="cs"/>
          <w:rtl/>
        </w:rPr>
        <w:t xml:space="preserve"> </w:t>
      </w:r>
      <w:r w:rsidR="009461A8">
        <w:rPr>
          <w:rFonts w:hint="cs"/>
          <w:rtl/>
        </w:rPr>
        <w:t>בהערות</w:t>
      </w:r>
      <w:r w:rsidR="00E04255">
        <w:rPr>
          <w:rFonts w:hint="cs"/>
          <w:rtl/>
        </w:rPr>
        <w:t xml:space="preserve"> קצרות</w:t>
      </w:r>
      <w:r w:rsidR="009461A8">
        <w:rPr>
          <w:rFonts w:hint="cs"/>
          <w:rtl/>
        </w:rPr>
        <w:t xml:space="preserve"> על המורה נבוכים</w:t>
      </w:r>
      <w:r w:rsidR="00E04255">
        <w:rPr>
          <w:rFonts w:hint="cs"/>
          <w:rtl/>
        </w:rPr>
        <w:t xml:space="preserve"> שיש שם)</w:t>
      </w:r>
      <w:r w:rsidR="00D80A1C">
        <w:rPr>
          <w:rFonts w:hint="cs"/>
          <w:rtl/>
        </w:rPr>
        <w:t xml:space="preserve"> שם התבאר באריכות עניין זה. רצף הוא נקודה, זה כמו שהיינו מניחים נקודה מול ראי מרחיב ובראי הנקודה הי</w:t>
      </w:r>
      <w:r w:rsidR="00411707">
        <w:rPr>
          <w:rFonts w:hint="cs"/>
          <w:rtl/>
        </w:rPr>
        <w:t>ת</w:t>
      </w:r>
      <w:r w:rsidR="00D80A1C">
        <w:rPr>
          <w:rFonts w:hint="cs"/>
          <w:rtl/>
        </w:rPr>
        <w:t>ה נמתח</w:t>
      </w:r>
      <w:r w:rsidR="00411707">
        <w:rPr>
          <w:rFonts w:hint="cs"/>
          <w:rtl/>
        </w:rPr>
        <w:t>ת</w:t>
      </w:r>
      <w:r w:rsidR="00D80A1C">
        <w:rPr>
          <w:rFonts w:hint="cs"/>
          <w:rtl/>
        </w:rPr>
        <w:t xml:space="preserve"> והי</w:t>
      </w:r>
      <w:r w:rsidR="00411707">
        <w:rPr>
          <w:rFonts w:hint="cs"/>
          <w:rtl/>
        </w:rPr>
        <w:t>ת</w:t>
      </w:r>
      <w:r w:rsidR="00D80A1C">
        <w:rPr>
          <w:rFonts w:hint="cs"/>
          <w:rtl/>
        </w:rPr>
        <w:t>ה נרא</w:t>
      </w:r>
      <w:r w:rsidR="00411707">
        <w:rPr>
          <w:rFonts w:hint="cs"/>
          <w:rtl/>
        </w:rPr>
        <w:t>ית</w:t>
      </w:r>
      <w:r w:rsidR="00D80A1C">
        <w:rPr>
          <w:rFonts w:hint="cs"/>
          <w:rtl/>
        </w:rPr>
        <w:t xml:space="preserve"> כקו. </w:t>
      </w:r>
      <w:r w:rsidR="008F5A46">
        <w:rPr>
          <w:rFonts w:hint="cs"/>
          <w:rtl/>
        </w:rPr>
        <w:t xml:space="preserve">אבל אי אפשר למדוד את הקו הזה </w:t>
      </w:r>
      <w:r w:rsidR="00411707">
        <w:rPr>
          <w:rFonts w:hint="cs"/>
          <w:rtl/>
        </w:rPr>
        <w:t xml:space="preserve">במדידה אמיתית, של עצמותו, </w:t>
      </w:r>
      <w:r w:rsidR="008F5A46">
        <w:rPr>
          <w:rFonts w:hint="cs"/>
          <w:rtl/>
        </w:rPr>
        <w:t xml:space="preserve">כי </w:t>
      </w:r>
      <w:r w:rsidR="00AD5DF8">
        <w:rPr>
          <w:rFonts w:hint="cs"/>
          <w:rtl/>
        </w:rPr>
        <w:t xml:space="preserve">בעצמותו </w:t>
      </w:r>
      <w:r w:rsidR="008F5A46">
        <w:rPr>
          <w:rFonts w:hint="cs"/>
          <w:rtl/>
        </w:rPr>
        <w:t xml:space="preserve">הוא באמת נקודה שאין לה מידה. </w:t>
      </w:r>
      <w:r w:rsidR="00AD5DF8">
        <w:rPr>
          <w:rFonts w:hint="cs"/>
          <w:rtl/>
        </w:rPr>
        <w:t xml:space="preserve">אפשר רק למדוד את הראי כמה אורך השתקפות הנקודה בו. </w:t>
      </w:r>
      <w:r w:rsidR="001F3686">
        <w:rPr>
          <w:rFonts w:hint="cs"/>
          <w:rtl/>
        </w:rPr>
        <w:t>'</w:t>
      </w:r>
      <w:r w:rsidR="001328AF">
        <w:rPr>
          <w:rFonts w:hint="cs"/>
          <w:rtl/>
        </w:rPr>
        <w:t>כמות</w:t>
      </w:r>
      <w:r w:rsidR="001F3686">
        <w:rPr>
          <w:rFonts w:hint="cs"/>
          <w:rtl/>
        </w:rPr>
        <w:t>'</w:t>
      </w:r>
      <w:r w:rsidR="001328AF">
        <w:rPr>
          <w:rFonts w:hint="cs"/>
          <w:rtl/>
        </w:rPr>
        <w:t xml:space="preserve"> </w:t>
      </w:r>
      <w:r w:rsidR="00A541AD">
        <w:rPr>
          <w:rFonts w:hint="cs"/>
          <w:rtl/>
        </w:rPr>
        <w:t xml:space="preserve">היא </w:t>
      </w:r>
      <w:r w:rsidR="001328AF">
        <w:rPr>
          <w:rFonts w:hint="cs"/>
          <w:rtl/>
        </w:rPr>
        <w:t xml:space="preserve">אורך שקיימת באופן מופשט, לא כאורך של שום גוף, כי אין גוף שאינו </w:t>
      </w:r>
      <w:r w:rsidR="001F3686">
        <w:rPr>
          <w:rFonts w:hint="cs"/>
          <w:rtl/>
        </w:rPr>
        <w:t>רצף</w:t>
      </w:r>
      <w:r w:rsidR="00A541AD">
        <w:rPr>
          <w:rFonts w:hint="cs"/>
          <w:rtl/>
        </w:rPr>
        <w:t xml:space="preserve"> וברצף לא שייכת כמות מצד עצמותו</w:t>
      </w:r>
      <w:r w:rsidR="001F3686">
        <w:rPr>
          <w:rFonts w:hint="cs"/>
          <w:rtl/>
        </w:rPr>
        <w:t xml:space="preserve">, אלא כמות </w:t>
      </w:r>
      <w:r w:rsidR="00F8784E">
        <w:rPr>
          <w:rFonts w:hint="cs"/>
          <w:rtl/>
        </w:rPr>
        <w:t xml:space="preserve">היא בשרשה </w:t>
      </w:r>
      <w:r w:rsidR="001F3686">
        <w:rPr>
          <w:rFonts w:hint="cs"/>
          <w:rtl/>
        </w:rPr>
        <w:t xml:space="preserve">דבר שקיים בסדר </w:t>
      </w:r>
      <w:r w:rsidR="009C463A">
        <w:rPr>
          <w:rFonts w:hint="cs"/>
          <w:rtl/>
        </w:rPr>
        <w:t>ההוויה</w:t>
      </w:r>
      <w:r w:rsidR="001F3686">
        <w:rPr>
          <w:rFonts w:hint="cs"/>
          <w:rtl/>
        </w:rPr>
        <w:t xml:space="preserve"> לפני הגופים</w:t>
      </w:r>
      <w:r w:rsidR="00F8784E">
        <w:rPr>
          <w:rFonts w:hint="cs"/>
          <w:rtl/>
        </w:rPr>
        <w:t xml:space="preserve">. </w:t>
      </w:r>
      <w:r w:rsidR="00740C4F">
        <w:rPr>
          <w:rFonts w:hint="cs"/>
          <w:rtl/>
        </w:rPr>
        <w:t>זה מהעניינים הקשים לתפישה</w:t>
      </w:r>
      <w:r w:rsidR="006D5C1F">
        <w:rPr>
          <w:rFonts w:hint="cs"/>
          <w:rtl/>
        </w:rPr>
        <w:t xml:space="preserve">. </w:t>
      </w:r>
      <w:r w:rsidR="00C97F33">
        <w:rPr>
          <w:rFonts w:hint="cs"/>
          <w:rtl/>
        </w:rPr>
        <w:t>עיין עוד בזה בפיזיקה של אריסטו ספר ו'.</w:t>
      </w:r>
    </w:p>
    <w:p w14:paraId="3E779214" w14:textId="6D65E34E" w:rsidR="004F3E3D" w:rsidRDefault="004F3E3D">
      <w:pPr>
        <w:pStyle w:val="FootnoteText"/>
      </w:pPr>
      <w:r>
        <w:rPr>
          <w:rFonts w:hint="cs"/>
          <w:rtl/>
        </w:rPr>
        <w:t xml:space="preserve">גם אם אנו מסתכלים על הגודל ככמות שנמצאת בגופים הטבעיים החומריים, כיוון שכמות בשרשה אינה דבר טבעי, </w:t>
      </w:r>
      <w:r w:rsidR="00043E59">
        <w:rPr>
          <w:rFonts w:hint="cs"/>
          <w:rtl/>
        </w:rPr>
        <w:t>החיבור של הכמות לגופים החומריים</w:t>
      </w:r>
      <w:r w:rsidR="004269B8">
        <w:rPr>
          <w:rFonts w:hint="cs"/>
          <w:rtl/>
        </w:rPr>
        <w:t>, מה שמעניק להם 'גודל',</w:t>
      </w:r>
      <w:r w:rsidR="00043E59">
        <w:rPr>
          <w:rFonts w:hint="cs"/>
          <w:rtl/>
        </w:rPr>
        <w:t xml:space="preserve"> הוא עמוק ואינו באופן פשוט, ובזה עוסק אבן סינא בפסקאות הבאות</w:t>
      </w:r>
      <w:r w:rsidR="00AE5B9A">
        <w:rPr>
          <w:rFonts w:hint="cs"/>
          <w:rtl/>
        </w:rPr>
        <w:t>, ועל זה הוא כותב שהגודל הוא גם עניין טבעי וגם איננו כזה</w:t>
      </w:r>
      <w:r w:rsidR="00043E59">
        <w:rPr>
          <w:rFonts w:hint="cs"/>
          <w:rtl/>
        </w:rPr>
        <w:t>.</w:t>
      </w:r>
    </w:p>
  </w:footnote>
  <w:footnote w:id="618">
    <w:p w14:paraId="1EB6E341" w14:textId="7668A505" w:rsidR="004F3805" w:rsidRDefault="004F3805">
      <w:pPr>
        <w:pStyle w:val="FootnoteText"/>
        <w:rPr>
          <w:rtl/>
        </w:rPr>
      </w:pPr>
      <w:r>
        <w:rPr>
          <w:rStyle w:val="FootnoteReference"/>
        </w:rPr>
        <w:footnoteRef/>
      </w:r>
      <w:r>
        <w:rPr>
          <w:rtl/>
        </w:rPr>
        <w:t xml:space="preserve"> </w:t>
      </w:r>
      <w:r w:rsidR="009A6465">
        <w:rPr>
          <w:rFonts w:hint="cs"/>
          <w:rtl/>
        </w:rPr>
        <w:t xml:space="preserve">יש כאן דוגמה לאופן </w:t>
      </w:r>
      <w:r w:rsidR="002C2FA0">
        <w:rPr>
          <w:rFonts w:hint="cs"/>
          <w:rtl/>
        </w:rPr>
        <w:t xml:space="preserve">הראשון </w:t>
      </w:r>
      <w:r w:rsidR="009A6465">
        <w:rPr>
          <w:rFonts w:hint="cs"/>
          <w:rtl/>
        </w:rPr>
        <w:t xml:space="preserve">שבו הגודל </w:t>
      </w:r>
      <w:r w:rsidR="002C2FA0">
        <w:rPr>
          <w:rFonts w:hint="cs"/>
          <w:rtl/>
        </w:rPr>
        <w:t>נפרד מהקיום החומרי</w:t>
      </w:r>
      <w:r w:rsidR="0085233A">
        <w:rPr>
          <w:rFonts w:hint="cs"/>
          <w:rtl/>
        </w:rPr>
        <w:t xml:space="preserve">. הצורה שמדובר בה כאן </w:t>
      </w:r>
      <w:r w:rsidR="00307265">
        <w:rPr>
          <w:rFonts w:hint="cs"/>
          <w:rtl/>
        </w:rPr>
        <w:t xml:space="preserve">אינה הצורה המהותית, </w:t>
      </w:r>
      <w:r w:rsidR="00EC6BEB">
        <w:rPr>
          <w:rFonts w:hint="cs"/>
          <w:rtl/>
        </w:rPr>
        <w:t xml:space="preserve">צורת אדם אין הכוונה 'חי מדבר', אלא מדובר בתבנית שהיא גבולות הגוף החומרי. </w:t>
      </w:r>
    </w:p>
    <w:p w14:paraId="4CE8F897" w14:textId="55594B7C" w:rsidR="00476355" w:rsidRDefault="00E81049">
      <w:pPr>
        <w:pStyle w:val="FootnoteText"/>
        <w:rPr>
          <w:rtl/>
        </w:rPr>
      </w:pPr>
      <w:r>
        <w:rPr>
          <w:rFonts w:hint="cs"/>
          <w:rtl/>
        </w:rPr>
        <w:t xml:space="preserve">העניין של גודל </w:t>
      </w:r>
      <w:r w:rsidR="00AB156C">
        <w:rPr>
          <w:rFonts w:hint="cs"/>
          <w:rtl/>
        </w:rPr>
        <w:t xml:space="preserve">העצם </w:t>
      </w:r>
      <w:r w:rsidR="0000268F">
        <w:rPr>
          <w:rFonts w:hint="cs"/>
          <w:rtl/>
        </w:rPr>
        <w:t xml:space="preserve">מבחינת מידות אורך רוחב ועומק, </w:t>
      </w:r>
      <w:r>
        <w:rPr>
          <w:rFonts w:hint="cs"/>
          <w:rtl/>
        </w:rPr>
        <w:t xml:space="preserve">שונה </w:t>
      </w:r>
      <w:r w:rsidR="00AB156C">
        <w:rPr>
          <w:rFonts w:hint="cs"/>
          <w:rtl/>
        </w:rPr>
        <w:t xml:space="preserve">בטיבו </w:t>
      </w:r>
      <w:r>
        <w:rPr>
          <w:rFonts w:hint="cs"/>
          <w:rtl/>
        </w:rPr>
        <w:t>בטיפת מים ובאדם וב</w:t>
      </w:r>
      <w:r w:rsidR="00AB156C">
        <w:rPr>
          <w:rFonts w:hint="cs"/>
          <w:rtl/>
        </w:rPr>
        <w:t xml:space="preserve">קרש </w:t>
      </w:r>
      <w:r>
        <w:rPr>
          <w:rFonts w:hint="cs"/>
          <w:rtl/>
        </w:rPr>
        <w:t xml:space="preserve">עץ. </w:t>
      </w:r>
      <w:r w:rsidR="00AB156C">
        <w:rPr>
          <w:rFonts w:hint="cs"/>
          <w:rtl/>
        </w:rPr>
        <w:t xml:space="preserve">אדם ביחס לעץ יכול לגדול, להשמין או לרזות, </w:t>
      </w:r>
      <w:r w:rsidR="0000268F">
        <w:rPr>
          <w:rFonts w:hint="cs"/>
          <w:rtl/>
        </w:rPr>
        <w:t xml:space="preserve">ויש בו גמישות, אפשר ללחוץ ובשרו ישקע, והוא גם מתנועע. וטיפת מים היא גמישה הרבה יותר. </w:t>
      </w:r>
      <w:r w:rsidR="00ED055A">
        <w:rPr>
          <w:rFonts w:hint="cs"/>
          <w:rtl/>
        </w:rPr>
        <w:t xml:space="preserve">אם </w:t>
      </w:r>
      <w:r w:rsidR="009E2AB5">
        <w:rPr>
          <w:rFonts w:hint="cs"/>
          <w:rtl/>
        </w:rPr>
        <w:t>ב</w:t>
      </w:r>
      <w:r w:rsidR="00ED055A">
        <w:rPr>
          <w:rFonts w:hint="cs"/>
          <w:rtl/>
        </w:rPr>
        <w:t xml:space="preserve">עצמים </w:t>
      </w:r>
      <w:r w:rsidR="009E2AB5">
        <w:rPr>
          <w:rFonts w:hint="cs"/>
          <w:rtl/>
        </w:rPr>
        <w:t xml:space="preserve">טבעיים חומריים </w:t>
      </w:r>
      <w:r w:rsidR="00ED055A">
        <w:rPr>
          <w:rFonts w:hint="cs"/>
          <w:rtl/>
        </w:rPr>
        <w:t>מידות</w:t>
      </w:r>
      <w:r w:rsidR="009E2AB5">
        <w:rPr>
          <w:rFonts w:hint="cs"/>
          <w:rtl/>
        </w:rPr>
        <w:t xml:space="preserve"> הגודל שלהם הם באופן שונה, הרי שעניין מידות הגודל אינו חלק עצמי מהותי מעצם הקיום של גוף </w:t>
      </w:r>
      <w:r w:rsidR="00476355">
        <w:rPr>
          <w:rFonts w:hint="cs"/>
          <w:rtl/>
        </w:rPr>
        <w:t xml:space="preserve">חומרי </w:t>
      </w:r>
      <w:r w:rsidR="009E2AB5">
        <w:rPr>
          <w:rFonts w:hint="cs"/>
          <w:rtl/>
        </w:rPr>
        <w:t>באשר הוא גוף חומרי.</w:t>
      </w:r>
      <w:r w:rsidR="00821AB1">
        <w:rPr>
          <w:rFonts w:hint="cs"/>
          <w:rtl/>
        </w:rPr>
        <w:t xml:space="preserve"> מידות הגודל אינן מה שעושה את הגוף החומרי לגוף</w:t>
      </w:r>
      <w:r w:rsidR="00852FB4">
        <w:rPr>
          <w:rFonts w:hint="cs"/>
          <w:rtl/>
        </w:rPr>
        <w:t>.</w:t>
      </w:r>
      <w:r w:rsidR="009E2AB5">
        <w:rPr>
          <w:rFonts w:hint="cs"/>
          <w:rtl/>
        </w:rPr>
        <w:t xml:space="preserve"> </w:t>
      </w:r>
      <w:r w:rsidR="00D37F71">
        <w:rPr>
          <w:rFonts w:hint="cs"/>
          <w:rtl/>
        </w:rPr>
        <w:t>לכן בהכרח יש מבוא למציאות עניין הגודל גם באופן שאינו נכלל בקיום גוף חומרי.</w:t>
      </w:r>
    </w:p>
    <w:p w14:paraId="259966C4" w14:textId="30845D20" w:rsidR="00E81049" w:rsidRDefault="00476355" w:rsidP="00D37F71">
      <w:pPr>
        <w:pStyle w:val="FootnoteText"/>
      </w:pPr>
      <w:r>
        <w:rPr>
          <w:rFonts w:hint="cs"/>
          <w:rtl/>
        </w:rPr>
        <w:t>שינויי המזג של החומר, שמחמתם יש שינויים באופן של מידות הגופים</w:t>
      </w:r>
      <w:r w:rsidR="000F3852">
        <w:rPr>
          <w:rFonts w:hint="cs"/>
          <w:rtl/>
        </w:rPr>
        <w:t>,</w:t>
      </w:r>
      <w:r>
        <w:rPr>
          <w:rFonts w:hint="cs"/>
          <w:rtl/>
        </w:rPr>
        <w:t xml:space="preserve"> אפשר לדבר עליהם רק אחרי שהגוף </w:t>
      </w:r>
      <w:r w:rsidR="000F3852">
        <w:rPr>
          <w:rFonts w:hint="cs"/>
          <w:rtl/>
        </w:rPr>
        <w:t xml:space="preserve">כבר </w:t>
      </w:r>
      <w:r>
        <w:rPr>
          <w:rFonts w:hint="cs"/>
          <w:rtl/>
        </w:rPr>
        <w:t xml:space="preserve">קיים. </w:t>
      </w:r>
      <w:r w:rsidR="000F3852">
        <w:rPr>
          <w:rFonts w:hint="cs"/>
          <w:rtl/>
        </w:rPr>
        <w:t xml:space="preserve">כי הצורה של הגוף מגדירה חתיכה מסוימת של חומר, שבו היא חלה, ואחר כך אפשר לבחון את המזג שבו. </w:t>
      </w:r>
      <w:r w:rsidR="00FF3222">
        <w:rPr>
          <w:rFonts w:hint="cs"/>
          <w:rtl/>
        </w:rPr>
        <w:t xml:space="preserve">ואם כן מצד מה שהגוף הוא גוף המידות שלו אינן </w:t>
      </w:r>
      <w:r w:rsidR="00FF3222">
        <w:rPr>
          <w:rFonts w:hint="cs"/>
          <w:rtl/>
        </w:rPr>
        <w:t xml:space="preserve">מחוייבות מעצם העובדה שהוא גוף, שאם היה כך </w:t>
      </w:r>
      <w:r w:rsidR="005046F1">
        <w:rPr>
          <w:rFonts w:hint="cs"/>
          <w:rtl/>
        </w:rPr>
        <w:t>לא היו חילוקים בין גופים שונים לגבי האופן שחלות בהם המידות של הגודל</w:t>
      </w:r>
      <w:r w:rsidR="00D37F71">
        <w:rPr>
          <w:rFonts w:hint="cs"/>
          <w:rtl/>
        </w:rPr>
        <w:t>.</w:t>
      </w:r>
      <w:r w:rsidR="00ED055A">
        <w:rPr>
          <w:rFonts w:hint="cs"/>
          <w:rtl/>
        </w:rPr>
        <w:t xml:space="preserve"> </w:t>
      </w:r>
    </w:p>
  </w:footnote>
  <w:footnote w:id="619">
    <w:p w14:paraId="010E08D9" w14:textId="7AA06654" w:rsidR="0078685A" w:rsidRPr="00943721" w:rsidRDefault="0078685A">
      <w:pPr>
        <w:pStyle w:val="FootnoteText"/>
      </w:pPr>
      <w:r w:rsidRPr="00943721">
        <w:rPr>
          <w:rStyle w:val="FootnoteReference"/>
        </w:rPr>
        <w:footnoteRef/>
      </w:r>
      <w:r w:rsidRPr="00943721">
        <w:rPr>
          <w:rtl/>
        </w:rPr>
        <w:t xml:space="preserve"> </w:t>
      </w:r>
      <w:r w:rsidR="006103C0">
        <w:rPr>
          <w:rFonts w:hint="cs"/>
          <w:rtl/>
        </w:rPr>
        <w:t>"</w:t>
      </w:r>
      <w:r w:rsidR="00A91C81">
        <w:rPr>
          <w:rFonts w:hint="cs"/>
          <w:rtl/>
        </w:rPr>
        <w:t>תכונתו</w:t>
      </w:r>
      <w:r w:rsidR="006103C0">
        <w:rPr>
          <w:rFonts w:hint="cs"/>
          <w:rtl/>
        </w:rPr>
        <w:t>"</w:t>
      </w:r>
      <w:r w:rsidR="00A91C81">
        <w:rPr>
          <w:rFonts w:hint="cs"/>
          <w:rtl/>
        </w:rPr>
        <w:t xml:space="preserve"> </w:t>
      </w:r>
      <w:r w:rsidR="00AC4243" w:rsidRPr="00943721">
        <w:rPr>
          <w:rtl/>
        </w:rPr>
        <w:t xml:space="preserve">במקור </w:t>
      </w:r>
      <w:r w:rsidR="00AC4243" w:rsidRPr="00943721">
        <w:rPr>
          <w:rFonts w:ascii="Arial" w:hAnsi="Arial" w:cs="Arial" w:hint="cs"/>
          <w:rtl/>
          <w:lang w:bidi="ar-SA"/>
        </w:rPr>
        <w:t>غريزه</w:t>
      </w:r>
      <w:r w:rsidR="00AC4243" w:rsidRPr="00943721">
        <w:rPr>
          <w:rtl/>
        </w:rPr>
        <w:t>, שפירוש</w:t>
      </w:r>
      <w:r w:rsidR="006103C0">
        <w:rPr>
          <w:rFonts w:hint="cs"/>
          <w:rtl/>
        </w:rPr>
        <w:t>ה</w:t>
      </w:r>
      <w:r w:rsidR="003A6925">
        <w:rPr>
          <w:rFonts w:hint="cs"/>
          <w:rtl/>
        </w:rPr>
        <w:t xml:space="preserve"> בדרך כלל</w:t>
      </w:r>
      <w:r w:rsidR="00AC4243" w:rsidRPr="00943721">
        <w:rPr>
          <w:rtl/>
        </w:rPr>
        <w:t xml:space="preserve"> יצר או אינסטינקט. אבן סינא הוסיף את זה כי </w:t>
      </w:r>
      <w:r w:rsidR="00FA4AB7" w:rsidRPr="00943721">
        <w:rPr>
          <w:rtl/>
        </w:rPr>
        <w:t>'</w:t>
      </w:r>
      <w:r w:rsidR="00AC4243" w:rsidRPr="00943721">
        <w:rPr>
          <w:rtl/>
        </w:rPr>
        <w:t>מזג</w:t>
      </w:r>
      <w:r w:rsidR="00FA4AB7" w:rsidRPr="00943721">
        <w:rPr>
          <w:rtl/>
        </w:rPr>
        <w:t>'</w:t>
      </w:r>
      <w:r w:rsidR="00AC4243" w:rsidRPr="00943721">
        <w:rPr>
          <w:rtl/>
        </w:rPr>
        <w:t xml:space="preserve"> מתייחס לכמות היחסית של המרכיבים</w:t>
      </w:r>
      <w:r w:rsidR="00955132">
        <w:rPr>
          <w:rFonts w:hint="cs"/>
          <w:rtl/>
        </w:rPr>
        <w:t>,</w:t>
      </w:r>
      <w:r w:rsidR="00AC4243" w:rsidRPr="00943721">
        <w:rPr>
          <w:rtl/>
        </w:rPr>
        <w:t xml:space="preserve"> </w:t>
      </w:r>
      <w:r w:rsidR="00FA4AB7" w:rsidRPr="00943721">
        <w:rPr>
          <w:rtl/>
        </w:rPr>
        <w:t>כלומר כמה אש רוח מים ועפר יש בתרכובת שיוצרת את החומר, והוא גם מתייחס</w:t>
      </w:r>
      <w:r w:rsidR="00DA2741" w:rsidRPr="00943721">
        <w:rPr>
          <w:rtl/>
        </w:rPr>
        <w:t xml:space="preserve"> </w:t>
      </w:r>
      <w:r w:rsidR="00FA4AB7" w:rsidRPr="00943721">
        <w:rPr>
          <w:rtl/>
        </w:rPr>
        <w:t xml:space="preserve">למה שנקרא טמפרמנט, </w:t>
      </w:r>
      <w:r w:rsidR="00DA2741" w:rsidRPr="00943721">
        <w:rPr>
          <w:rtl/>
        </w:rPr>
        <w:t>כח ומהירות התגובה והתנועה</w:t>
      </w:r>
      <w:r w:rsidR="000E0A0D">
        <w:rPr>
          <w:rFonts w:hint="cs"/>
          <w:rtl/>
        </w:rPr>
        <w:t xml:space="preserve"> שקורה בין היסודות</w:t>
      </w:r>
      <w:r w:rsidR="00222F97" w:rsidRPr="00943721">
        <w:rPr>
          <w:rtl/>
        </w:rPr>
        <w:t>. כי תרכובת היסודות שיוצרת את כל ה</w:t>
      </w:r>
      <w:r w:rsidR="00DD4392" w:rsidRPr="00943721">
        <w:rPr>
          <w:rtl/>
        </w:rPr>
        <w:t xml:space="preserve">חומרים שבמציאות, היא תרכובת </w:t>
      </w:r>
      <w:r w:rsidR="00DD4392" w:rsidRPr="00943721">
        <w:rPr>
          <w:rtl/>
        </w:rPr>
        <w:t>מזגיית, כלומר כל מרכיב פועל על המרכיב האחר ומשנה את טבעו, כך שהתרכובת אינה רק סכום המרכיבים אלא עניין מחודש בפני עצמו.</w:t>
      </w:r>
      <w:r w:rsidR="000F5177" w:rsidRPr="00943721">
        <w:rPr>
          <w:rtl/>
        </w:rPr>
        <w:t xml:space="preserve"> </w:t>
      </w:r>
      <w:r w:rsidR="00B65833" w:rsidRPr="00943721">
        <w:rPr>
          <w:rtl/>
        </w:rPr>
        <w:t xml:space="preserve">ביסודות האש חמה ויבשה, הרוח חמה ולחה, המים קרים ולחים ועפר קר ויבש, </w:t>
      </w:r>
      <w:r w:rsidR="00E92BE1" w:rsidRPr="00943721">
        <w:rPr>
          <w:rtl/>
        </w:rPr>
        <w:t xml:space="preserve">כך שכל אחד מהם תכונתו הפוכה ומתנגדת לתכונת האחר, </w:t>
      </w:r>
      <w:r w:rsidR="00BE3CE6" w:rsidRPr="00943721">
        <w:rPr>
          <w:rtl/>
        </w:rPr>
        <w:t xml:space="preserve">והאש והרוח מחממות את המים והעפר והמים </w:t>
      </w:r>
      <w:r w:rsidR="00243B0D" w:rsidRPr="00943721">
        <w:rPr>
          <w:rtl/>
        </w:rPr>
        <w:t xml:space="preserve">והעפר </w:t>
      </w:r>
      <w:r w:rsidR="00BE3CE6" w:rsidRPr="00943721">
        <w:rPr>
          <w:rtl/>
        </w:rPr>
        <w:t>מקררים את האש</w:t>
      </w:r>
      <w:r w:rsidR="00243B0D" w:rsidRPr="00943721">
        <w:rPr>
          <w:rtl/>
        </w:rPr>
        <w:t xml:space="preserve"> והרוח, והיבש מייבש את הלח והלח מלחלח את היבש</w:t>
      </w:r>
      <w:r w:rsidR="00201399">
        <w:rPr>
          <w:rFonts w:hint="cs"/>
          <w:rtl/>
        </w:rPr>
        <w:t xml:space="preserve">. אפשר שהאש תחמם את המים במהירות וכח רב, ואפשר שזה יהיה בעדינות. </w:t>
      </w:r>
      <w:r w:rsidR="00864AEA">
        <w:rPr>
          <w:rFonts w:hint="cs"/>
          <w:rtl/>
        </w:rPr>
        <w:t xml:space="preserve">זה דומה לתבשיל, שתוספת תבלין או ירק יכולה לשנות את טעמו או מרקמו במהירות ובאופן קיצוני, ואפשר שזה לא ישנה הרבה. </w:t>
      </w:r>
      <w:r w:rsidR="00D85EDA" w:rsidRPr="00943721">
        <w:rPr>
          <w:rtl/>
        </w:rPr>
        <w:t>גם כח התנועה הטבעי</w:t>
      </w:r>
      <w:r w:rsidR="00CC3303">
        <w:rPr>
          <w:rFonts w:hint="cs"/>
          <w:rtl/>
        </w:rPr>
        <w:t xml:space="preserve"> (לפי מה שהגדיר אריסטו בפיזיקה </w:t>
      </w:r>
      <w:r w:rsidR="008C575C">
        <w:rPr>
          <w:rFonts w:hint="cs"/>
          <w:rtl/>
        </w:rPr>
        <w:t>ב' א' שטבע הוא יסוד של התחלה ומנוחה שנמצא בגופים)</w:t>
      </w:r>
      <w:r w:rsidR="00D85EDA" w:rsidRPr="00943721">
        <w:rPr>
          <w:rtl/>
        </w:rPr>
        <w:t xml:space="preserve"> שונה בכל יסוד</w:t>
      </w:r>
      <w:r w:rsidR="00CC3303">
        <w:rPr>
          <w:rFonts w:hint="cs"/>
          <w:rtl/>
        </w:rPr>
        <w:t xml:space="preserve"> ומושפע מהתרכבותו ביסודות האחרים. </w:t>
      </w:r>
      <w:r w:rsidR="00243B0D" w:rsidRPr="00943721">
        <w:rPr>
          <w:rtl/>
        </w:rPr>
        <w:t>כך שהתרכוב</w:t>
      </w:r>
      <w:r w:rsidR="00120104" w:rsidRPr="00943721">
        <w:rPr>
          <w:rtl/>
        </w:rPr>
        <w:t xml:space="preserve">ות שונות לא רק בכמות </w:t>
      </w:r>
      <w:r w:rsidR="002C2B76">
        <w:rPr>
          <w:rFonts w:hint="cs"/>
          <w:rtl/>
        </w:rPr>
        <w:t xml:space="preserve">היחסית של המרכיבים, כלומר היסודות </w:t>
      </w:r>
      <w:r w:rsidR="00D85EDA" w:rsidRPr="00943721">
        <w:rPr>
          <w:rtl/>
        </w:rPr>
        <w:t>(</w:t>
      </w:r>
      <w:r w:rsidR="00120104" w:rsidRPr="00943721">
        <w:rPr>
          <w:rtl/>
        </w:rPr>
        <w:t xml:space="preserve">שזו שיש בה יותר </w:t>
      </w:r>
      <w:r w:rsidR="0038367A" w:rsidRPr="00943721">
        <w:rPr>
          <w:rtl/>
        </w:rPr>
        <w:t xml:space="preserve">כמות של </w:t>
      </w:r>
      <w:r w:rsidR="00120104" w:rsidRPr="00943721">
        <w:rPr>
          <w:rtl/>
        </w:rPr>
        <w:t>יסוד אחד תהיה יותר דומה לתכונותיו</w:t>
      </w:r>
      <w:r w:rsidR="0038367A" w:rsidRPr="00943721">
        <w:rPr>
          <w:rtl/>
        </w:rPr>
        <w:t xml:space="preserve"> והוא יהיה השולט בה, וכמו שהמים בטבע מורכבים מכל היסודות אבל יסוד המים הוא</w:t>
      </w:r>
      <w:r w:rsidR="00D30F87" w:rsidRPr="00943721">
        <w:rPr>
          <w:rtl/>
        </w:rPr>
        <w:t xml:space="preserve"> בכמות הגדולה ביותר ולכן </w:t>
      </w:r>
      <w:r w:rsidR="0038367A" w:rsidRPr="00943721">
        <w:rPr>
          <w:rtl/>
        </w:rPr>
        <w:t>התכונות של המים שבטבע דומות לטבעו של יסוד המים)</w:t>
      </w:r>
      <w:r w:rsidR="00120104" w:rsidRPr="00943721">
        <w:rPr>
          <w:rtl/>
        </w:rPr>
        <w:t xml:space="preserve">, אלא </w:t>
      </w:r>
      <w:r w:rsidR="00222BD4">
        <w:rPr>
          <w:rFonts w:hint="cs"/>
          <w:rtl/>
        </w:rPr>
        <w:t xml:space="preserve">גם </w:t>
      </w:r>
      <w:r w:rsidR="00AB19B4" w:rsidRPr="00943721">
        <w:rPr>
          <w:rtl/>
        </w:rPr>
        <w:t>ב</w:t>
      </w:r>
      <w:r w:rsidR="00222BD4">
        <w:rPr>
          <w:rFonts w:hint="cs"/>
          <w:rtl/>
        </w:rPr>
        <w:t>'</w:t>
      </w:r>
      <w:r w:rsidR="00AB19B4" w:rsidRPr="00943721">
        <w:rPr>
          <w:rtl/>
        </w:rPr>
        <w:t>טמפרמנט</w:t>
      </w:r>
      <w:r w:rsidR="00222BD4">
        <w:rPr>
          <w:rFonts w:hint="cs"/>
          <w:rtl/>
        </w:rPr>
        <w:t>'</w:t>
      </w:r>
      <w:r w:rsidR="00AB19B4" w:rsidRPr="00943721">
        <w:rPr>
          <w:rtl/>
        </w:rPr>
        <w:t>. משום כך פירט אבן סינא כאן וכתב</w:t>
      </w:r>
      <w:r w:rsidR="00191F82" w:rsidRPr="00943721">
        <w:rPr>
          <w:rtl/>
        </w:rPr>
        <w:t xml:space="preserve"> בנוסף ל'מזג' (שהיה יכול להתפרש רק ככמו</w:t>
      </w:r>
      <w:r w:rsidR="00222BD4">
        <w:rPr>
          <w:rFonts w:hint="cs"/>
          <w:rtl/>
        </w:rPr>
        <w:t>יו</w:t>
      </w:r>
      <w:r w:rsidR="00191F82" w:rsidRPr="00943721">
        <w:rPr>
          <w:rtl/>
        </w:rPr>
        <w:t>ת היחסי</w:t>
      </w:r>
      <w:r w:rsidR="00222BD4">
        <w:rPr>
          <w:rFonts w:hint="cs"/>
          <w:rtl/>
        </w:rPr>
        <w:t>ו</w:t>
      </w:r>
      <w:r w:rsidR="00191F82" w:rsidRPr="00943721">
        <w:rPr>
          <w:rtl/>
        </w:rPr>
        <w:t xml:space="preserve">ת של היסודות) גם 'תכונה' במובן של טמפרמנט. גם בשפה המדוברת </w:t>
      </w:r>
      <w:r w:rsidR="000516D3" w:rsidRPr="00943721">
        <w:rPr>
          <w:rtl/>
        </w:rPr>
        <w:t>משתמשים בשתי המשמעויות (שלפי האמת הן עניין אחד</w:t>
      </w:r>
      <w:r w:rsidR="00943721" w:rsidRPr="00943721">
        <w:rPr>
          <w:rtl/>
        </w:rPr>
        <w:t>)</w:t>
      </w:r>
      <w:r w:rsidR="000516D3" w:rsidRPr="00943721">
        <w:rPr>
          <w:rtl/>
        </w:rPr>
        <w:t xml:space="preserve"> ו</w:t>
      </w:r>
      <w:r w:rsidR="00191F82" w:rsidRPr="00943721">
        <w:rPr>
          <w:rtl/>
        </w:rPr>
        <w:t>אומרים על אדם ש</w:t>
      </w:r>
      <w:r w:rsidR="009D5709">
        <w:rPr>
          <w:rFonts w:hint="cs"/>
          <w:rtl/>
        </w:rPr>
        <w:t>'</w:t>
      </w:r>
      <w:r w:rsidR="00191F82" w:rsidRPr="00943721">
        <w:rPr>
          <w:rtl/>
        </w:rPr>
        <w:t>מזגו</w:t>
      </w:r>
      <w:r w:rsidR="009D5709">
        <w:rPr>
          <w:rFonts w:hint="cs"/>
          <w:rtl/>
        </w:rPr>
        <w:t>'</w:t>
      </w:r>
      <w:r w:rsidR="00191F82" w:rsidRPr="00943721">
        <w:rPr>
          <w:rtl/>
        </w:rPr>
        <w:t xml:space="preserve"> סוער או שקט וכיו</w:t>
      </w:r>
      <w:r w:rsidR="000516D3" w:rsidRPr="00943721">
        <w:rPr>
          <w:rtl/>
        </w:rPr>
        <w:t xml:space="preserve">"ב, ואומרים גם שהיין </w:t>
      </w:r>
      <w:r w:rsidR="009D5709">
        <w:rPr>
          <w:rFonts w:hint="cs"/>
          <w:rtl/>
        </w:rPr>
        <w:t>'</w:t>
      </w:r>
      <w:r w:rsidR="000516D3" w:rsidRPr="00943721">
        <w:rPr>
          <w:rtl/>
        </w:rPr>
        <w:t>מזוג</w:t>
      </w:r>
      <w:r w:rsidR="009D5709">
        <w:rPr>
          <w:rFonts w:hint="cs"/>
          <w:rtl/>
        </w:rPr>
        <w:t>'</w:t>
      </w:r>
      <w:r w:rsidR="000516D3" w:rsidRPr="00943721">
        <w:rPr>
          <w:rtl/>
        </w:rPr>
        <w:t xml:space="preserve"> בהרבה מים. </w:t>
      </w:r>
      <w:r w:rsidR="00243B0D" w:rsidRPr="00943721">
        <w:rPr>
          <w:rtl/>
        </w:rPr>
        <w:t xml:space="preserve"> </w:t>
      </w:r>
      <w:r w:rsidR="00BE3CE6" w:rsidRPr="00943721">
        <w:rPr>
          <w:rtl/>
        </w:rPr>
        <w:t xml:space="preserve"> </w:t>
      </w:r>
      <w:r w:rsidR="00DD4392" w:rsidRPr="00943721">
        <w:rPr>
          <w:rtl/>
        </w:rPr>
        <w:t xml:space="preserve"> </w:t>
      </w:r>
      <w:r w:rsidR="00222F97" w:rsidRPr="00943721">
        <w:rPr>
          <w:rtl/>
        </w:rPr>
        <w:t xml:space="preserve"> </w:t>
      </w:r>
    </w:p>
  </w:footnote>
  <w:footnote w:id="620">
    <w:p w14:paraId="1F0B9B79" w14:textId="4FC5211B" w:rsidR="00874D2F" w:rsidRDefault="00320950" w:rsidP="00874D2F">
      <w:pPr>
        <w:pStyle w:val="FootnoteText"/>
        <w:rPr>
          <w:rtl/>
        </w:rPr>
      </w:pPr>
      <w:r>
        <w:rPr>
          <w:rStyle w:val="FootnoteReference"/>
        </w:rPr>
        <w:footnoteRef/>
      </w:r>
      <w:r>
        <w:rPr>
          <w:rtl/>
        </w:rPr>
        <w:t xml:space="preserve"> </w:t>
      </w:r>
      <w:r w:rsidR="00874D2F">
        <w:rPr>
          <w:rtl/>
        </w:rPr>
        <w:t xml:space="preserve">הבחינה השנייה דורשת להתבונן יותר. צביעה מלאכותית יכולה לצבוע בשחור או בלבן כל דבר. אם יש מכשול טכני אפשר לחפש דרך להתגבר עליו, ואם לא מצאנו היום נמצא מחר. השכל נדמה לו בהשקפה ראשונה שגם בקבלת צבע טבעי זה כך. שיער האדם יכול להיות שחור בצעירותו ולהלבין בזקנותו, ואין מניעה מהותית שכל גוף ישתנה כך, אלא כמו שבמקרה השיער הלבין רק בזקנה והיה באותה מידה יכול להלבין </w:t>
      </w:r>
      <w:r w:rsidR="00016760">
        <w:rPr>
          <w:rFonts w:hint="cs"/>
          <w:rtl/>
        </w:rPr>
        <w:t>קודם</w:t>
      </w:r>
      <w:r w:rsidR="00874D2F">
        <w:rPr>
          <w:rtl/>
        </w:rPr>
        <w:t xml:space="preserve">, כך במקרה לדברים אחרים יש צבעים אחרים. זה כמו שיש שיח שמוציא פרח אדום ופרח וורוד, והיה אפשר שהפרח האדום יהיה וורוד ולהיפך, ואין זה אלא מקרה חסר משמעות. ואם כן היה גם אפשר שהעלים יהיו וורודים והפרחים ירוקים ואין זה אלא מקרה, וכך כל דבר יכול לקבל כל צבע. אמנם בחינה מעמיקה של העניין מעלה שהצבע הטבעי של דבר תלוי באופן הכרחי בהכנת החומר המסוימת שלו. </w:t>
      </w:r>
      <w:r w:rsidR="0032495A">
        <w:rPr>
          <w:rFonts w:hint="cs"/>
          <w:rtl/>
        </w:rPr>
        <w:t xml:space="preserve">הרי </w:t>
      </w:r>
      <w:r w:rsidR="00AA73E6">
        <w:rPr>
          <w:rFonts w:hint="cs"/>
          <w:rtl/>
        </w:rPr>
        <w:t xml:space="preserve">האדמה </w:t>
      </w:r>
      <w:r w:rsidR="0032495A">
        <w:rPr>
          <w:rFonts w:hint="cs"/>
          <w:rtl/>
        </w:rPr>
        <w:t>לא יכול</w:t>
      </w:r>
      <w:r w:rsidR="00AA73E6">
        <w:rPr>
          <w:rFonts w:hint="cs"/>
          <w:rtl/>
        </w:rPr>
        <w:t>ה</w:t>
      </w:r>
      <w:r w:rsidR="0032495A">
        <w:rPr>
          <w:rFonts w:hint="cs"/>
          <w:rtl/>
        </w:rPr>
        <w:t xml:space="preserve"> להיות באופן טבעי </w:t>
      </w:r>
      <w:r w:rsidR="00146F3A">
        <w:rPr>
          <w:rFonts w:hint="cs"/>
          <w:rtl/>
        </w:rPr>
        <w:t>תכול</w:t>
      </w:r>
      <w:r w:rsidR="00AA73E6">
        <w:rPr>
          <w:rFonts w:hint="cs"/>
          <w:rtl/>
        </w:rPr>
        <w:t>ה</w:t>
      </w:r>
      <w:r w:rsidR="00146F3A">
        <w:rPr>
          <w:rFonts w:hint="cs"/>
          <w:rtl/>
        </w:rPr>
        <w:t xml:space="preserve"> כשמיים</w:t>
      </w:r>
      <w:r w:rsidR="00E330DE">
        <w:rPr>
          <w:rFonts w:hint="cs"/>
          <w:rtl/>
        </w:rPr>
        <w:t xml:space="preserve"> </w:t>
      </w:r>
      <w:r w:rsidR="00374A9D">
        <w:rPr>
          <w:rFonts w:hint="cs"/>
          <w:rtl/>
        </w:rPr>
        <w:t>(צביעה מלאכותית היא ערוב של פיגמנט תכול באדמה ולא שינוי צבעה של האדמה עצמה ולכן איננו דנים בזה)</w:t>
      </w:r>
      <w:r w:rsidR="0032495A">
        <w:rPr>
          <w:rFonts w:hint="cs"/>
          <w:rtl/>
        </w:rPr>
        <w:t xml:space="preserve">, </w:t>
      </w:r>
      <w:r w:rsidR="00874D2F">
        <w:rPr>
          <w:rtl/>
        </w:rPr>
        <w:t xml:space="preserve">הכנת החומר קשורה אל הצבע דרך שטח הפנים של הגוף, שהוא עניין נפרד מהצבע, והוא גודל מספרי. אם הצבע שייך למהות הגוף עצמו, </w:t>
      </w:r>
      <w:r w:rsidR="0025213A">
        <w:rPr>
          <w:rFonts w:hint="cs"/>
          <w:rtl/>
        </w:rPr>
        <w:t xml:space="preserve">אז </w:t>
      </w:r>
      <w:r w:rsidR="00874D2F">
        <w:rPr>
          <w:rtl/>
        </w:rPr>
        <w:t>כיוון ששטח הפנים נתפש כעניין שונה מהצבע</w:t>
      </w:r>
      <w:r w:rsidR="000A5B6E">
        <w:rPr>
          <w:rFonts w:hint="cs"/>
          <w:rtl/>
        </w:rPr>
        <w:t xml:space="preserve"> </w:t>
      </w:r>
      <w:r w:rsidR="00874D2F">
        <w:rPr>
          <w:rtl/>
        </w:rPr>
        <w:t>שטח הפנים אינו מעצם מהות הגוף</w:t>
      </w:r>
      <w:r w:rsidR="000A5B6E">
        <w:rPr>
          <w:rFonts w:hint="cs"/>
          <w:rtl/>
        </w:rPr>
        <w:t xml:space="preserve"> החומרי</w:t>
      </w:r>
      <w:r w:rsidR="00874D2F">
        <w:rPr>
          <w:rtl/>
        </w:rPr>
        <w:t xml:space="preserve">, ושטח הפנים </w:t>
      </w:r>
      <w:r w:rsidR="000A5B6E">
        <w:rPr>
          <w:rFonts w:hint="cs"/>
          <w:rtl/>
        </w:rPr>
        <w:t xml:space="preserve">הרי </w:t>
      </w:r>
      <w:r w:rsidR="00874D2F">
        <w:rPr>
          <w:rtl/>
        </w:rPr>
        <w:t xml:space="preserve">הוא הגודל המספרי של הגוף, </w:t>
      </w:r>
      <w:r w:rsidR="000A5B6E">
        <w:rPr>
          <w:rFonts w:hint="cs"/>
          <w:rtl/>
        </w:rPr>
        <w:t>ו</w:t>
      </w:r>
      <w:r w:rsidR="00874D2F">
        <w:rPr>
          <w:rtl/>
        </w:rPr>
        <w:t>מוכח מכאן ש</w:t>
      </w:r>
      <w:r w:rsidR="000A5B6E">
        <w:rPr>
          <w:rFonts w:hint="cs"/>
          <w:rtl/>
        </w:rPr>
        <w:t xml:space="preserve">הגודל </w:t>
      </w:r>
      <w:r w:rsidR="00874D2F">
        <w:rPr>
          <w:rtl/>
        </w:rPr>
        <w:t>אינו מעצם מהות הגוף.</w:t>
      </w:r>
    </w:p>
    <w:p w14:paraId="202C88F8" w14:textId="77777777" w:rsidR="00411879" w:rsidRDefault="00411879" w:rsidP="00874D2F">
      <w:pPr>
        <w:pStyle w:val="FootnoteText"/>
        <w:rPr>
          <w:rtl/>
        </w:rPr>
      </w:pPr>
    </w:p>
    <w:p w14:paraId="1B58451B" w14:textId="77777777" w:rsidR="00874D2F" w:rsidRDefault="00874D2F" w:rsidP="00874D2F">
      <w:pPr>
        <w:pStyle w:val="FootnoteText"/>
        <w:rPr>
          <w:rtl/>
        </w:rPr>
      </w:pPr>
      <w:r>
        <w:rPr>
          <w:rtl/>
        </w:rPr>
        <w:t xml:space="preserve">לשון אבן סינא כאן: "לא יושג ולו אחד מהם בשכל אלא ביחד עם דבר שונה ממה שהוא, ודבר זה הוא השטח או הגודל הנפרד מהצבע באופן השגתו בשכל"  </w:t>
      </w:r>
    </w:p>
    <w:p w14:paraId="15D83B0B" w14:textId="653F0549" w:rsidR="00874D2F" w:rsidRDefault="00171DEC" w:rsidP="00666D08">
      <w:pPr>
        <w:pStyle w:val="FootnoteText"/>
        <w:rPr>
          <w:rtl/>
        </w:rPr>
      </w:pPr>
      <w:r>
        <w:rPr>
          <w:rFonts w:hint="cs"/>
          <w:rtl/>
        </w:rPr>
        <w:t>מה שתרגמתי "</w:t>
      </w:r>
      <w:r w:rsidRPr="00171DEC">
        <w:rPr>
          <w:rtl/>
        </w:rPr>
        <w:t>דבר שונה ממה שהוא</w:t>
      </w:r>
      <w:r>
        <w:rPr>
          <w:rFonts w:hint="cs"/>
          <w:rtl/>
        </w:rPr>
        <w:t>"</w:t>
      </w:r>
      <w:r w:rsidR="00DB2519">
        <w:rPr>
          <w:rFonts w:hint="cs"/>
          <w:rtl/>
        </w:rPr>
        <w:t>,</w:t>
      </w:r>
      <w:r>
        <w:rPr>
          <w:rFonts w:hint="cs"/>
          <w:rtl/>
        </w:rPr>
        <w:t xml:space="preserve"> </w:t>
      </w:r>
      <w:r w:rsidR="00874D2F">
        <w:rPr>
          <w:rtl/>
        </w:rPr>
        <w:t xml:space="preserve">במקור נכתב </w:t>
      </w:r>
      <w:r w:rsidR="00DB2519">
        <w:rPr>
          <w:rFonts w:hint="cs"/>
          <w:rtl/>
        </w:rPr>
        <w:t xml:space="preserve">דבר </w:t>
      </w:r>
      <w:r w:rsidR="00874D2F">
        <w:rPr>
          <w:rtl/>
        </w:rPr>
        <w:t>ש"לא הוא הוא" (</w:t>
      </w:r>
      <w:r w:rsidR="00874D2F">
        <w:rPr>
          <w:rFonts w:cs="Times New Roman" w:hint="eastAsia"/>
          <w:rtl/>
          <w:lang w:bidi="ar-SA"/>
        </w:rPr>
        <w:t>ليس</w:t>
      </w:r>
      <w:r w:rsidR="00874D2F">
        <w:rPr>
          <w:rFonts w:cs="Times New Roman"/>
          <w:rtl/>
          <w:lang w:bidi="ar-SA"/>
        </w:rPr>
        <w:t xml:space="preserve"> </w:t>
      </w:r>
      <w:r w:rsidR="00874D2F">
        <w:rPr>
          <w:rFonts w:cs="Times New Roman" w:hint="eastAsia"/>
          <w:rtl/>
          <w:lang w:bidi="ar-SA"/>
        </w:rPr>
        <w:t>هو</w:t>
      </w:r>
      <w:r w:rsidR="00874D2F">
        <w:rPr>
          <w:rFonts w:cs="Times New Roman"/>
          <w:rtl/>
          <w:lang w:bidi="ar-SA"/>
        </w:rPr>
        <w:t xml:space="preserve"> </w:t>
      </w:r>
      <w:r w:rsidR="00874D2F">
        <w:rPr>
          <w:rFonts w:cs="Times New Roman" w:hint="eastAsia"/>
          <w:rtl/>
          <w:lang w:bidi="ar-SA"/>
        </w:rPr>
        <w:t>هو</w:t>
      </w:r>
      <w:r w:rsidR="00874D2F">
        <w:rPr>
          <w:rFonts w:cs="Times New Roman"/>
          <w:rtl/>
          <w:lang w:bidi="ar-SA"/>
        </w:rPr>
        <w:t xml:space="preserve">). </w:t>
      </w:r>
      <w:r w:rsidR="00874D2F">
        <w:rPr>
          <w:rtl/>
        </w:rPr>
        <w:t xml:space="preserve">כלומר ההכנה שהיא אחת עם הצבע, היא </w:t>
      </w:r>
      <w:r w:rsidR="00DB2519">
        <w:rPr>
          <w:rFonts w:hint="cs"/>
          <w:rtl/>
        </w:rPr>
        <w:t>'</w:t>
      </w:r>
      <w:r w:rsidR="00874D2F">
        <w:rPr>
          <w:rtl/>
        </w:rPr>
        <w:t>לא הוא הוא</w:t>
      </w:r>
      <w:r w:rsidR="00DB2519">
        <w:rPr>
          <w:rFonts w:hint="cs"/>
          <w:rtl/>
        </w:rPr>
        <w:t>'</w:t>
      </w:r>
      <w:r w:rsidR="00874D2F">
        <w:rPr>
          <w:rtl/>
        </w:rPr>
        <w:t xml:space="preserve"> עם השטח שהוא גודל שנתפש בשכל כנפרד מהצבע ומההכנה שממנה נובע הצבע. המונח הלוגי בערבית "הוא הוא" פירושו חוק הזהות, שאנו מנסחים </w:t>
      </w:r>
      <w:r w:rsidR="00874D2F">
        <w:t>A=A</w:t>
      </w:r>
      <w:r w:rsidR="00874D2F">
        <w:rPr>
          <w:rtl/>
        </w:rPr>
        <w:t xml:space="preserve"> (עיין בערך </w:t>
      </w:r>
      <w:r w:rsidR="00874D2F">
        <w:rPr>
          <w:rFonts w:cs="Times New Roman" w:hint="eastAsia"/>
          <w:rtl/>
          <w:lang w:bidi="ar-SA"/>
        </w:rPr>
        <w:t>هو</w:t>
      </w:r>
      <w:r w:rsidR="00874D2F">
        <w:rPr>
          <w:rFonts w:cs="Times New Roman"/>
          <w:rtl/>
          <w:lang w:bidi="ar-SA"/>
        </w:rPr>
        <w:t xml:space="preserve"> </w:t>
      </w:r>
      <w:r w:rsidR="00874D2F">
        <w:rPr>
          <w:rFonts w:cs="Times New Roman" w:hint="eastAsia"/>
          <w:rtl/>
          <w:lang w:bidi="ar-SA"/>
        </w:rPr>
        <w:t>هو</w:t>
      </w:r>
      <w:r w:rsidR="00874D2F">
        <w:rPr>
          <w:rFonts w:cs="Times New Roman"/>
          <w:rtl/>
          <w:lang w:bidi="ar-SA"/>
        </w:rPr>
        <w:t xml:space="preserve"> </w:t>
      </w:r>
      <w:r w:rsidR="00874D2F">
        <w:rPr>
          <w:rtl/>
        </w:rPr>
        <w:t xml:space="preserve">בלקסיקון של </w:t>
      </w:r>
      <w:r w:rsidR="00874D2F">
        <w:t>muslimphilosophy</w:t>
      </w:r>
      <w:r w:rsidR="00874D2F">
        <w:rPr>
          <w:rtl/>
        </w:rPr>
        <w:t xml:space="preserve">). המהות וההגדרה של </w:t>
      </w:r>
      <w:r w:rsidR="00874D2F">
        <w:t>A</w:t>
      </w:r>
      <w:r w:rsidR="00874D2F">
        <w:rPr>
          <w:rtl/>
        </w:rPr>
        <w:t xml:space="preserve"> היא </w:t>
      </w:r>
      <w:r w:rsidR="00874D2F">
        <w:t>A</w:t>
      </w:r>
      <w:r w:rsidR="00874D2F">
        <w:rPr>
          <w:rtl/>
        </w:rPr>
        <w:t xml:space="preserve">. כלב הוא כלב ולא חתול, שתיים הן שתיים ולא שלוש.  אם נאמר שההכנה לקבל צבע היא השטח, זה מבחינה לוגית כמו שאמרנו שכלב הוא חתול, ש </w:t>
      </w:r>
      <w:r w:rsidR="00874D2F">
        <w:t>A</w:t>
      </w:r>
      <w:r w:rsidR="00874D2F">
        <w:rPr>
          <w:rtl/>
        </w:rPr>
        <w:t xml:space="preserve"> הוא 'לא-</w:t>
      </w:r>
      <w:r w:rsidR="00874D2F">
        <w:t>A</w:t>
      </w:r>
      <w:r w:rsidR="00874D2F">
        <w:rPr>
          <w:rtl/>
        </w:rPr>
        <w:t>'.</w:t>
      </w:r>
    </w:p>
    <w:p w14:paraId="63C32EE1" w14:textId="77777777" w:rsidR="00874D2F" w:rsidRDefault="00874D2F">
      <w:pPr>
        <w:pStyle w:val="FootnoteText"/>
        <w:rPr>
          <w:rtl/>
        </w:rPr>
      </w:pPr>
    </w:p>
    <w:p w14:paraId="07E17F5F" w14:textId="20BFEC82" w:rsidR="00133FCA" w:rsidRDefault="0062632F">
      <w:pPr>
        <w:pStyle w:val="FootnoteText"/>
        <w:rPr>
          <w:rtl/>
        </w:rPr>
      </w:pPr>
      <w:r>
        <w:rPr>
          <w:rFonts w:hint="cs"/>
          <w:rtl/>
        </w:rPr>
        <w:t xml:space="preserve">באופן כללי </w:t>
      </w:r>
      <w:r w:rsidR="003F7513">
        <w:rPr>
          <w:rFonts w:hint="cs"/>
          <w:rtl/>
        </w:rPr>
        <w:t>שייך לעניי</w:t>
      </w:r>
      <w:r>
        <w:rPr>
          <w:rFonts w:hint="cs"/>
          <w:rtl/>
        </w:rPr>
        <w:t>נ</w:t>
      </w:r>
      <w:r w:rsidR="003F7513">
        <w:rPr>
          <w:rFonts w:hint="cs"/>
          <w:rtl/>
        </w:rPr>
        <w:t>נו מה ש</w:t>
      </w:r>
      <w:r w:rsidR="00133FCA">
        <w:rPr>
          <w:rFonts w:hint="cs"/>
          <w:rtl/>
        </w:rPr>
        <w:t xml:space="preserve">כתב במורה נבוכים א' נ"ז, </w:t>
      </w:r>
      <w:r w:rsidR="003F7513">
        <w:rPr>
          <w:rFonts w:hint="cs"/>
          <w:rtl/>
        </w:rPr>
        <w:t xml:space="preserve">שהוא </w:t>
      </w:r>
      <w:r w:rsidR="00133FCA">
        <w:rPr>
          <w:rFonts w:hint="cs"/>
          <w:rtl/>
        </w:rPr>
        <w:t>מתורתו של אבן סינא:</w:t>
      </w:r>
    </w:p>
    <w:p w14:paraId="4410CC71" w14:textId="34E4A665" w:rsidR="008A2123" w:rsidRDefault="00133FCA" w:rsidP="001F5F1F">
      <w:pPr>
        <w:pStyle w:val="FootnoteText"/>
        <w:rPr>
          <w:rtl/>
        </w:rPr>
      </w:pPr>
      <w:r>
        <w:rPr>
          <w:rFonts w:hint="cs"/>
          <w:rtl/>
        </w:rPr>
        <w:t>"</w:t>
      </w:r>
      <w:r w:rsidR="008A2123">
        <w:rPr>
          <w:rtl/>
        </w:rPr>
        <w:t>ידוע כי המציאות הוא מקרה קרה לנמצא ולזה הוא ענין נוסף על מהות הנמצא. זהו הדבר המבואר הראוי לכל מה שלמציאותו סיבה שמציאותו ענין נוסף על מהותו. אמנם מי שאין סיבה למציאותו - והוא האלוה ית' וית' לבדו</w:t>
      </w:r>
      <w:r w:rsidR="00783FCC">
        <w:rPr>
          <w:rFonts w:hint="cs"/>
          <w:rtl/>
        </w:rPr>
        <w:t>,</w:t>
      </w:r>
      <w:r w:rsidR="008A2123">
        <w:rPr>
          <w:rtl/>
        </w:rPr>
        <w:t xml:space="preserve"> כי זה הוא ענין אמרנו עליו ית' שהוא מחויב המציאות - תהיה מציאותו עצמו ואמתתו ועצמו מציאותו ואינו עצם קרה לו שנמצא ותהיה מציאותו ענין נוסף עליו</w:t>
      </w:r>
      <w:r w:rsidR="001F5F1F">
        <w:rPr>
          <w:rFonts w:hint="cs"/>
          <w:rtl/>
        </w:rPr>
        <w:t>,</w:t>
      </w:r>
      <w:r w:rsidR="008A2123">
        <w:rPr>
          <w:rtl/>
        </w:rPr>
        <w:t xml:space="preserve"> שהוא מחויב המציאה תמיד אין מתחדש עליו ולא מקרה קרה לו. ואם כן הוא נמצא לא במציאות (וכן חי לא בחיים</w:t>
      </w:r>
      <w:r w:rsidR="001F5F1F">
        <w:rPr>
          <w:rFonts w:hint="cs"/>
          <w:rtl/>
        </w:rPr>
        <w:t>,</w:t>
      </w:r>
      <w:r w:rsidR="008A2123">
        <w:rPr>
          <w:rtl/>
        </w:rPr>
        <w:t xml:space="preserve"> ויכול לא ביכולת וחכם לא בחכמה; אבל הכל שב לענין אחד אין ריבוי בו כמו שיתבאר</w:t>
      </w:r>
      <w:r w:rsidR="001F5F1F">
        <w:rPr>
          <w:rFonts w:hint="cs"/>
          <w:rtl/>
        </w:rPr>
        <w:t>.</w:t>
      </w:r>
    </w:p>
    <w:p w14:paraId="6AAE0552" w14:textId="1C5AF170" w:rsidR="008A2123" w:rsidRDefault="008A2123" w:rsidP="00BF011E">
      <w:pPr>
        <w:pStyle w:val="FootnoteText"/>
        <w:rPr>
          <w:rtl/>
        </w:rPr>
      </w:pPr>
      <w:r w:rsidRPr="003F7513">
        <w:rPr>
          <w:b/>
          <w:bCs/>
          <w:rtl/>
        </w:rPr>
        <w:t>וממה שצריך שיו</w:t>
      </w:r>
      <w:r w:rsidR="001F5F1F" w:rsidRPr="003F7513">
        <w:rPr>
          <w:rFonts w:hint="cs"/>
          <w:b/>
          <w:bCs/>
          <w:rtl/>
        </w:rPr>
        <w:t>ו</w:t>
      </w:r>
      <w:r w:rsidRPr="003F7513">
        <w:rPr>
          <w:b/>
          <w:bCs/>
          <w:rtl/>
        </w:rPr>
        <w:t>דע עוד כי האחדות והריבוי מקרים קרו לנמצא באשר הוא רב או אחד</w:t>
      </w:r>
      <w:r w:rsidR="00BF011E" w:rsidRPr="003F7513">
        <w:rPr>
          <w:rFonts w:hint="cs"/>
          <w:b/>
          <w:bCs/>
          <w:rtl/>
        </w:rPr>
        <w:t>,</w:t>
      </w:r>
      <w:r w:rsidRPr="003F7513">
        <w:rPr>
          <w:b/>
          <w:bCs/>
          <w:rtl/>
        </w:rPr>
        <w:t xml:space="preserve"> כבר התבאר זה בספר הנקרא מה שאחר הטבע. וכמו שהמנין אינו עצם המנויים כן אין האחדות עצם הדבר המתאחד כי אלו כולם מקרים מסוג הכמות המתפרק ישיגו הנמצאות המזומנות לקבל כיוצא באלו המקרים</w:t>
      </w:r>
      <w:r>
        <w:rPr>
          <w:rtl/>
        </w:rPr>
        <w:t>. אמנם המחויב המציאות הפשוט באמת אשר לא תשיגהו הרכבה כלל</w:t>
      </w:r>
      <w:r w:rsidR="00BF011E">
        <w:rPr>
          <w:rFonts w:hint="cs"/>
          <w:rtl/>
        </w:rPr>
        <w:t>,</w:t>
      </w:r>
      <w:r>
        <w:rPr>
          <w:rtl/>
        </w:rPr>
        <w:t xml:space="preserve"> כמו שהוא מן השקר עליו מקרה הריבוי כן הוא מן השקר עליו מקרה האחדות</w:t>
      </w:r>
      <w:r w:rsidR="00BF011E">
        <w:rPr>
          <w:rFonts w:hint="cs"/>
          <w:rtl/>
        </w:rPr>
        <w:t>,</w:t>
      </w:r>
      <w:r>
        <w:rPr>
          <w:rtl/>
        </w:rPr>
        <w:t xml:space="preserve"> רצוני לומר כי אין האחדות ענין נוסף על עצמו אבל הוא אחד לא באחדות</w:t>
      </w:r>
      <w:r w:rsidR="00BF011E">
        <w:rPr>
          <w:rFonts w:hint="cs"/>
          <w:rtl/>
        </w:rPr>
        <w:t>.</w:t>
      </w:r>
    </w:p>
    <w:p w14:paraId="1B1B72C6" w14:textId="528C9D15" w:rsidR="00133FCA" w:rsidRDefault="008A2123" w:rsidP="00204A3D">
      <w:pPr>
        <w:pStyle w:val="FootnoteText"/>
        <w:rPr>
          <w:rtl/>
        </w:rPr>
      </w:pPr>
      <w:r>
        <w:rPr>
          <w:rtl/>
        </w:rPr>
        <w:t>ולא יבחנו אלו הענינים הדקים שכמעט יבצרו מן השכל במילות הנהוגות אשר הם הסיבה הגדולה בהטעאה כי יצר בנו הדיבור מאוד מאוד בכל לשון עד שלא נצייר הענין ההוא אלא בהקל בדיבור. וכאשר השתדלנו להורות על היות האלוה לא הרבה לא יוכל האומר לאמר אלא 'אחד' - ואף על פי שהאחד וההרבה ממבדילי הכמות. ולזה נבין הענין ונורה השכל לאמיתת הדבר באמרנו אחד לא באחדות</w:t>
      </w:r>
      <w:r w:rsidR="00204A3D">
        <w:rPr>
          <w:rFonts w:hint="cs"/>
          <w:rtl/>
        </w:rPr>
        <w:t>.</w:t>
      </w:r>
      <w:r w:rsidR="00133FCA">
        <w:rPr>
          <w:rFonts w:hint="cs"/>
          <w:rtl/>
        </w:rPr>
        <w:t>"</w:t>
      </w:r>
    </w:p>
    <w:p w14:paraId="171AE719" w14:textId="3BFDE766" w:rsidR="00204A3D" w:rsidRDefault="00204A3D" w:rsidP="00204A3D">
      <w:pPr>
        <w:pStyle w:val="FootnoteText"/>
        <w:rPr>
          <w:rtl/>
        </w:rPr>
      </w:pPr>
      <w:r>
        <w:rPr>
          <w:rFonts w:hint="cs"/>
          <w:rtl/>
        </w:rPr>
        <w:t xml:space="preserve">להיות נמצא זה לא מעצם המהות של העצם שאינו אלוה, </w:t>
      </w:r>
      <w:r w:rsidR="00966574">
        <w:rPr>
          <w:rFonts w:hint="cs"/>
          <w:rtl/>
        </w:rPr>
        <w:t xml:space="preserve">כי אין מציאותו מסיבת עצמו והוא מקבל אותה מבחוץ לו. </w:t>
      </w:r>
      <w:r>
        <w:rPr>
          <w:rFonts w:hint="cs"/>
          <w:rtl/>
        </w:rPr>
        <w:t xml:space="preserve">ולכן המציאות היא מקרה לו, כלומר דבר חיצוני לעצם מהותו </w:t>
      </w:r>
      <w:r w:rsidR="00193483">
        <w:rPr>
          <w:rFonts w:hint="cs"/>
          <w:rtl/>
        </w:rPr>
        <w:t>(</w:t>
      </w:r>
      <w:r>
        <w:rPr>
          <w:rFonts w:hint="cs"/>
          <w:rtl/>
        </w:rPr>
        <w:t xml:space="preserve">ואעפ"כ </w:t>
      </w:r>
      <w:r w:rsidR="00193483">
        <w:rPr>
          <w:rFonts w:hint="cs"/>
          <w:rtl/>
        </w:rPr>
        <w:t xml:space="preserve">למעשה </w:t>
      </w:r>
      <w:r>
        <w:rPr>
          <w:rFonts w:hint="cs"/>
          <w:rtl/>
        </w:rPr>
        <w:t xml:space="preserve">הוא </w:t>
      </w:r>
      <w:r w:rsidR="005A67F0">
        <w:rPr>
          <w:rFonts w:hint="cs"/>
          <w:rtl/>
        </w:rPr>
        <w:t xml:space="preserve">וודאי </w:t>
      </w:r>
      <w:r>
        <w:rPr>
          <w:rFonts w:hint="cs"/>
          <w:rtl/>
        </w:rPr>
        <w:t>נמצא</w:t>
      </w:r>
      <w:r w:rsidR="005A67F0">
        <w:rPr>
          <w:rFonts w:hint="cs"/>
          <w:rtl/>
        </w:rPr>
        <w:t>, שאם לא כן לא היה אפשר לדבר עליו כלל</w:t>
      </w:r>
      <w:r w:rsidR="00193483">
        <w:rPr>
          <w:rFonts w:hint="cs"/>
          <w:rtl/>
        </w:rPr>
        <w:t>)</w:t>
      </w:r>
      <w:r>
        <w:rPr>
          <w:rFonts w:hint="cs"/>
          <w:rtl/>
        </w:rPr>
        <w:t xml:space="preserve">. </w:t>
      </w:r>
      <w:r w:rsidR="00066F9D">
        <w:rPr>
          <w:rFonts w:hint="cs"/>
          <w:rtl/>
        </w:rPr>
        <w:t xml:space="preserve"> </w:t>
      </w:r>
    </w:p>
    <w:p w14:paraId="175E37B3" w14:textId="104294D5" w:rsidR="00320950" w:rsidRDefault="00066F9D" w:rsidP="00D675CA">
      <w:pPr>
        <w:pStyle w:val="FootnoteText"/>
      </w:pPr>
      <w:r>
        <w:rPr>
          <w:rFonts w:hint="cs"/>
          <w:rtl/>
        </w:rPr>
        <w:t>כמו</w:t>
      </w:r>
      <w:r w:rsidR="00D973A4">
        <w:rPr>
          <w:rFonts w:hint="cs"/>
          <w:rtl/>
        </w:rPr>
        <w:t xml:space="preserve"> </w:t>
      </w:r>
      <w:r>
        <w:rPr>
          <w:rFonts w:hint="cs"/>
          <w:rtl/>
        </w:rPr>
        <w:t>כן מה ש</w:t>
      </w:r>
      <w:r w:rsidR="00D973A4">
        <w:rPr>
          <w:rFonts w:hint="cs"/>
          <w:rtl/>
        </w:rPr>
        <w:t>יש בו עניין של מספר, ש</w:t>
      </w:r>
      <w:r>
        <w:rPr>
          <w:rFonts w:hint="cs"/>
          <w:rtl/>
        </w:rPr>
        <w:t xml:space="preserve">הוא אחד או רבים, </w:t>
      </w:r>
      <w:r w:rsidR="00D973A4">
        <w:rPr>
          <w:rFonts w:hint="cs"/>
          <w:rtl/>
        </w:rPr>
        <w:t>ויש לו מניין</w:t>
      </w:r>
      <w:r w:rsidR="00E26810">
        <w:rPr>
          <w:rFonts w:hint="cs"/>
          <w:rtl/>
        </w:rPr>
        <w:t xml:space="preserve"> (שזה מובן מצומצם יותר של להיות נמצא)</w:t>
      </w:r>
      <w:r w:rsidR="00D973A4">
        <w:rPr>
          <w:rFonts w:hint="cs"/>
          <w:rtl/>
        </w:rPr>
        <w:t xml:space="preserve">, זה מקרה בו. </w:t>
      </w:r>
      <w:r w:rsidR="009E413D">
        <w:rPr>
          <w:rFonts w:hint="cs"/>
          <w:rtl/>
        </w:rPr>
        <w:t xml:space="preserve">המקרה </w:t>
      </w:r>
      <w:r w:rsidR="00AA53E5">
        <w:rPr>
          <w:rFonts w:hint="cs"/>
          <w:rtl/>
        </w:rPr>
        <w:t xml:space="preserve">הזה </w:t>
      </w:r>
      <w:r w:rsidR="009E413D">
        <w:rPr>
          <w:rFonts w:hint="cs"/>
          <w:rtl/>
        </w:rPr>
        <w:t xml:space="preserve">קורה תמיד ובהכרח, כל דבר תמיד ובהכרח יש לו מניין </w:t>
      </w:r>
      <w:r w:rsidR="009C463A">
        <w:rPr>
          <w:rFonts w:hint="cs"/>
          <w:rtl/>
        </w:rPr>
        <w:t>מסוים</w:t>
      </w:r>
      <w:r w:rsidR="009E413D">
        <w:rPr>
          <w:rFonts w:hint="cs"/>
          <w:rtl/>
        </w:rPr>
        <w:t xml:space="preserve">, אחד או שתיים או יותר, אבל המניין נחשב רק מקרה לעצם כיוון שאע"פ שהמניין נמצא בדבר הוא אינו חלק </w:t>
      </w:r>
      <w:r w:rsidR="00AD447D">
        <w:rPr>
          <w:rFonts w:hint="cs"/>
          <w:rtl/>
        </w:rPr>
        <w:t>עצמי מ</w:t>
      </w:r>
      <w:r w:rsidR="009E413D">
        <w:rPr>
          <w:rFonts w:hint="cs"/>
          <w:rtl/>
        </w:rPr>
        <w:t>מהות הדבר</w:t>
      </w:r>
      <w:r w:rsidR="00AD447D">
        <w:rPr>
          <w:rFonts w:hint="cs"/>
          <w:rtl/>
        </w:rPr>
        <w:t>, אלא חיצוני לעצם הדבר ומשום כך נחשב מקרה</w:t>
      </w:r>
      <w:r w:rsidR="009E413D">
        <w:rPr>
          <w:rFonts w:hint="cs"/>
          <w:rtl/>
        </w:rPr>
        <w:t xml:space="preserve">.  </w:t>
      </w:r>
      <w:bookmarkStart w:id="282" w:name="_Hlk112587450"/>
    </w:p>
    <w:bookmarkEnd w:id="282"/>
  </w:footnote>
  <w:footnote w:id="621">
    <w:p w14:paraId="35BD80FC" w14:textId="76DCE97D" w:rsidR="00EB13FC" w:rsidRDefault="00EB13FC">
      <w:pPr>
        <w:pStyle w:val="FootnoteText"/>
      </w:pPr>
      <w:r>
        <w:rPr>
          <w:rStyle w:val="FootnoteReference"/>
        </w:rPr>
        <w:footnoteRef/>
      </w:r>
      <w:r>
        <w:rPr>
          <w:rtl/>
        </w:rPr>
        <w:t xml:space="preserve"> </w:t>
      </w:r>
      <w:r w:rsidR="00EC1137">
        <w:rPr>
          <w:rFonts w:hint="cs"/>
          <w:rtl/>
        </w:rPr>
        <w:t>במקור</w:t>
      </w:r>
      <w:r w:rsidR="002668D6">
        <w:rPr>
          <w:rFonts w:hint="cs"/>
          <w:rtl/>
        </w:rPr>
        <w:t xml:space="preserve"> </w:t>
      </w:r>
      <w:r w:rsidR="002668D6" w:rsidRPr="002668D6">
        <w:rPr>
          <w:rFonts w:cs="Times New Roman" w:hint="eastAsia"/>
          <w:rtl/>
          <w:lang w:bidi="ar-SA"/>
        </w:rPr>
        <w:t>تتخيل</w:t>
      </w:r>
      <w:r w:rsidR="007F09E0">
        <w:rPr>
          <w:rFonts w:cs="Times New Roman" w:hint="cs"/>
          <w:rtl/>
        </w:rPr>
        <w:t>.</w:t>
      </w:r>
      <w:r w:rsidR="00EC1137">
        <w:rPr>
          <w:rFonts w:hint="cs"/>
          <w:rtl/>
        </w:rPr>
        <w:t xml:space="preserve"> מדובר כאן בכח הנקרא אל </w:t>
      </w:r>
      <w:r w:rsidR="00EC1137">
        <w:rPr>
          <w:rFonts w:hint="cs"/>
          <w:rtl/>
        </w:rPr>
        <w:t>ח</w:t>
      </w:r>
      <w:r w:rsidR="000F2927">
        <w:rPr>
          <w:rFonts w:hint="cs"/>
          <w:rtl/>
        </w:rPr>
        <w:t>'</w:t>
      </w:r>
      <w:r w:rsidR="00EC1137">
        <w:rPr>
          <w:rFonts w:hint="cs"/>
          <w:rtl/>
        </w:rPr>
        <w:t>ייל</w:t>
      </w:r>
      <w:r w:rsidR="000F2927">
        <w:rPr>
          <w:rFonts w:hint="cs"/>
          <w:rtl/>
        </w:rPr>
        <w:t>, הוא מבואר ברמיזות והערות חלק ג</w:t>
      </w:r>
      <w:r w:rsidR="00810367">
        <w:rPr>
          <w:rFonts w:hint="cs"/>
          <w:rtl/>
        </w:rPr>
        <w:t>'</w:t>
      </w:r>
      <w:r w:rsidR="000F2927">
        <w:rPr>
          <w:rFonts w:hint="cs"/>
          <w:rtl/>
        </w:rPr>
        <w:t xml:space="preserve"> פרק </w:t>
      </w:r>
      <w:r w:rsidR="00810367">
        <w:rPr>
          <w:rFonts w:hint="cs"/>
          <w:rtl/>
        </w:rPr>
        <w:t>ט' (מופיע שם בטסקט באנגלית</w:t>
      </w:r>
      <w:r w:rsidR="00810367" w:rsidRPr="00F0757F">
        <w:rPr>
          <w:rFonts w:asciiTheme="majorBidi" w:hAnsiTheme="majorBidi" w:cstheme="majorBidi"/>
          <w:rtl/>
        </w:rPr>
        <w:t xml:space="preserve"> </w:t>
      </w:r>
      <w:r w:rsidR="00810367" w:rsidRPr="00F0757F">
        <w:rPr>
          <w:rFonts w:asciiTheme="majorBidi" w:hAnsiTheme="majorBidi" w:cstheme="majorBidi"/>
        </w:rPr>
        <w:t>al-khayāl</w:t>
      </w:r>
      <w:r w:rsidR="00C478CA">
        <w:rPr>
          <w:rFonts w:hint="cs"/>
          <w:rtl/>
        </w:rPr>
        <w:t>). הוא אחד השלבים של עיבוד רשמ</w:t>
      </w:r>
      <w:r w:rsidR="00455F51">
        <w:rPr>
          <w:rFonts w:hint="cs"/>
          <w:rtl/>
        </w:rPr>
        <w:t>י</w:t>
      </w:r>
      <w:r w:rsidR="00C478CA">
        <w:rPr>
          <w:rFonts w:hint="cs"/>
          <w:rtl/>
        </w:rPr>
        <w:t xml:space="preserve"> החושים בכ</w:t>
      </w:r>
      <w:r w:rsidR="00455F51">
        <w:rPr>
          <w:rFonts w:hint="cs"/>
          <w:rtl/>
        </w:rPr>
        <w:t>ח</w:t>
      </w:r>
      <w:r w:rsidR="00C478CA">
        <w:rPr>
          <w:rFonts w:hint="cs"/>
          <w:rtl/>
        </w:rPr>
        <w:t xml:space="preserve"> הדמיון שמאחד אותם לתפישת עצם, שאותה השכל המדבר</w:t>
      </w:r>
      <w:r w:rsidR="00455F51">
        <w:rPr>
          <w:rFonts w:hint="cs"/>
          <w:rtl/>
        </w:rPr>
        <w:t xml:space="preserve"> </w:t>
      </w:r>
      <w:r w:rsidR="00C478CA">
        <w:rPr>
          <w:rFonts w:hint="cs"/>
          <w:rtl/>
        </w:rPr>
        <w:t>יכול לנתח</w:t>
      </w:r>
      <w:r w:rsidR="00455F51">
        <w:rPr>
          <w:rFonts w:hint="cs"/>
          <w:rtl/>
        </w:rPr>
        <w:t xml:space="preserve">. </w:t>
      </w:r>
      <w:r w:rsidR="00FC7215">
        <w:rPr>
          <w:rFonts w:hint="cs"/>
          <w:rtl/>
        </w:rPr>
        <w:t>למשל אם חתול רואה עכבר, החוש לבדו רואה כתמי צבע משתנים במקומם וצבעם. כח הדמיון רואה את הצורה במי</w:t>
      </w:r>
      <w:r w:rsidR="00E10D88">
        <w:rPr>
          <w:rFonts w:hint="cs"/>
          <w:rtl/>
        </w:rPr>
        <w:t>ד</w:t>
      </w:r>
      <w:r w:rsidR="00FC7215">
        <w:rPr>
          <w:rFonts w:hint="cs"/>
          <w:rtl/>
        </w:rPr>
        <w:t>ה שהיא מחוברת בגוף, ומשיג שכל הכת</w:t>
      </w:r>
      <w:r w:rsidR="00E10D88">
        <w:rPr>
          <w:rFonts w:hint="cs"/>
          <w:rtl/>
        </w:rPr>
        <w:t>מ</w:t>
      </w:r>
      <w:r w:rsidR="00FC7215">
        <w:rPr>
          <w:rFonts w:hint="cs"/>
          <w:rtl/>
        </w:rPr>
        <w:t>ים המשתנים האלה הם עצם אחד, ומשיג את טבעו של העצם הזה ויודע שהוא טוב לאכילה ושהוא עשוי לברוח בדרכים מסויימות, הוא יודע לרוץ כך וכך ולהתחבא באופן כזה וכזה, אבל לא לעוף, וכן הלאה. וכשהוא רואה יונה הוא יודע שהיא יכולה לעוף וכן הלאה.</w:t>
      </w:r>
      <w:r w:rsidR="00E10D88">
        <w:rPr>
          <w:rFonts w:hint="cs"/>
          <w:rtl/>
        </w:rPr>
        <w:t xml:space="preserve"> זה כח דמיון ולא שכל כי הוא לא יכול להבחין שצורה</w:t>
      </w:r>
      <w:r w:rsidR="00226C3E">
        <w:rPr>
          <w:rFonts w:hint="cs"/>
          <w:rtl/>
        </w:rPr>
        <w:t xml:space="preserve"> </w:t>
      </w:r>
      <w:r w:rsidR="00E10D88">
        <w:rPr>
          <w:rFonts w:hint="cs"/>
          <w:rtl/>
        </w:rPr>
        <w:t>וגוף</w:t>
      </w:r>
      <w:r w:rsidR="00226C3E">
        <w:rPr>
          <w:rFonts w:hint="cs"/>
          <w:rtl/>
        </w:rPr>
        <w:t xml:space="preserve"> הם דברים חלוקים (עיין הלכות יסודי התורה ד' ז'), </w:t>
      </w:r>
      <w:r w:rsidR="009F534A">
        <w:rPr>
          <w:rFonts w:hint="cs"/>
          <w:rtl/>
        </w:rPr>
        <w:t>הוא לא שואל איך ההשגה מגיעה מרשמי חושים שהם רק גיבוב כתמים מפוזרים להשגת עצמים בעלי מהות</w:t>
      </w:r>
      <w:r w:rsidR="006B49A0">
        <w:rPr>
          <w:rFonts w:hint="cs"/>
          <w:rtl/>
        </w:rPr>
        <w:t xml:space="preserve"> (שמחייב לה</w:t>
      </w:r>
      <w:r w:rsidR="00C53710">
        <w:rPr>
          <w:rFonts w:hint="cs"/>
          <w:rtl/>
        </w:rPr>
        <w:t>בין</w:t>
      </w:r>
      <w:r w:rsidR="006B49A0">
        <w:rPr>
          <w:rFonts w:hint="cs"/>
          <w:rtl/>
        </w:rPr>
        <w:t xml:space="preserve"> שאפילו כח הדמיון משיג את הצורה כחלק מהעצם הגופני</w:t>
      </w:r>
      <w:r w:rsidR="00C53710">
        <w:rPr>
          <w:rFonts w:hint="cs"/>
          <w:rtl/>
        </w:rPr>
        <w:t>)</w:t>
      </w:r>
      <w:r w:rsidR="009F534A">
        <w:rPr>
          <w:rFonts w:hint="cs"/>
          <w:rtl/>
        </w:rPr>
        <w:t xml:space="preserve">, </w:t>
      </w:r>
      <w:r w:rsidR="00485053">
        <w:rPr>
          <w:rFonts w:hint="cs"/>
          <w:rtl/>
        </w:rPr>
        <w:t xml:space="preserve">וכן הלאה. </w:t>
      </w:r>
      <w:r w:rsidR="009F72FD">
        <w:rPr>
          <w:rFonts w:hint="cs"/>
          <w:rtl/>
        </w:rPr>
        <w:t>עיין בזה במורה נבוכים א' ע"ג</w:t>
      </w:r>
      <w:r w:rsidR="0059743B">
        <w:rPr>
          <w:rtl/>
        </w:rPr>
        <w:fldChar w:fldCharType="begin"/>
      </w:r>
      <w:r w:rsidR="0059743B">
        <w:instrText xml:space="preserve"> XE "</w:instrText>
      </w:r>
      <w:r w:rsidR="0059743B" w:rsidRPr="000D1C8C">
        <w:rPr>
          <w:rFonts w:hint="cs"/>
          <w:rtl/>
        </w:rPr>
        <w:instrText>מורה נבוכים א' ע</w:instrText>
      </w:r>
      <w:r w:rsidR="0059743B">
        <w:rPr>
          <w:b/>
          <w:bCs/>
          <w:sz w:val="20"/>
          <w:szCs w:val="20"/>
        </w:rPr>
        <w:instrText>\</w:instrText>
      </w:r>
      <w:r w:rsidR="0059743B" w:rsidRPr="000D1C8C">
        <w:rPr>
          <w:rFonts w:hint="cs"/>
          <w:rtl/>
        </w:rPr>
        <w:instrText>"ג - שכל ודמיון</w:instrText>
      </w:r>
      <w:r w:rsidR="0059743B">
        <w:instrText xml:space="preserve">" </w:instrText>
      </w:r>
      <w:r w:rsidR="0059743B">
        <w:rPr>
          <w:rtl/>
        </w:rPr>
        <w:fldChar w:fldCharType="end"/>
      </w:r>
      <w:r w:rsidR="009F72FD">
        <w:rPr>
          <w:rFonts w:hint="cs"/>
          <w:rtl/>
        </w:rPr>
        <w:t xml:space="preserve"> הקדמה עשירית</w:t>
      </w:r>
      <w:r w:rsidR="004E5127">
        <w:rPr>
          <w:rFonts w:hint="cs"/>
          <w:rtl/>
        </w:rPr>
        <w:t xml:space="preserve"> בהערה.</w:t>
      </w:r>
      <w:r w:rsidR="00FC7215">
        <w:rPr>
          <w:rFonts w:hint="cs"/>
          <w:rtl/>
        </w:rPr>
        <w:t xml:space="preserve"> </w:t>
      </w:r>
      <w:r w:rsidR="00EC1137">
        <w:rPr>
          <w:rFonts w:hint="cs"/>
          <w:rtl/>
        </w:rPr>
        <w:t xml:space="preserve"> </w:t>
      </w:r>
    </w:p>
  </w:footnote>
  <w:footnote w:id="622">
    <w:p w14:paraId="1033C030" w14:textId="56611D32" w:rsidR="00361C88" w:rsidRDefault="0036709C">
      <w:pPr>
        <w:pStyle w:val="FootnoteText"/>
        <w:rPr>
          <w:rtl/>
        </w:rPr>
      </w:pPr>
      <w:r>
        <w:rPr>
          <w:rStyle w:val="FootnoteReference"/>
        </w:rPr>
        <w:footnoteRef/>
      </w:r>
      <w:r>
        <w:rPr>
          <w:rtl/>
        </w:rPr>
        <w:t xml:space="preserve"> </w:t>
      </w:r>
      <w:r w:rsidR="00D60D3F">
        <w:rPr>
          <w:rFonts w:hint="cs"/>
          <w:rtl/>
        </w:rPr>
        <w:t>יש קשר מהותי בין הצורה ל</w:t>
      </w:r>
      <w:r w:rsidR="00EA7B60">
        <w:rPr>
          <w:rFonts w:hint="cs"/>
          <w:rtl/>
        </w:rPr>
        <w:t>חומר שבו היא חלה</w:t>
      </w:r>
      <w:r w:rsidR="00D60D3F">
        <w:rPr>
          <w:rFonts w:hint="cs"/>
          <w:rtl/>
        </w:rPr>
        <w:t>. מקור הצורה הוא נותן הצורה שהוא השכל הפועל</w:t>
      </w:r>
      <w:r w:rsidR="00130ABC">
        <w:rPr>
          <w:rFonts w:hint="cs"/>
          <w:rtl/>
        </w:rPr>
        <w:t xml:space="preserve">, הוא מצד עצמו נותן את הצורה תמיד ובכל חומר. </w:t>
      </w:r>
      <w:r w:rsidR="005228B5">
        <w:rPr>
          <w:rFonts w:hint="cs"/>
          <w:rtl/>
        </w:rPr>
        <w:t>הסיבה שלא כל ה</w:t>
      </w:r>
      <w:r w:rsidR="00377A51">
        <w:rPr>
          <w:rFonts w:hint="cs"/>
          <w:rtl/>
        </w:rPr>
        <w:t>צ</w:t>
      </w:r>
      <w:r w:rsidR="005228B5">
        <w:rPr>
          <w:rFonts w:hint="cs"/>
          <w:rtl/>
        </w:rPr>
        <w:t xml:space="preserve">ורות מצטיירות בכל החומרים בתמידות, </w:t>
      </w:r>
      <w:r w:rsidR="00377A51">
        <w:rPr>
          <w:rFonts w:hint="cs"/>
          <w:rtl/>
        </w:rPr>
        <w:t xml:space="preserve">היא משום שהצורה יכולה להצטייר בחומר רק לפי ההכנה המסוימת שיש בחומר לקבל את הצורה הזו. </w:t>
      </w:r>
      <w:r w:rsidR="00331DD3">
        <w:rPr>
          <w:rFonts w:hint="cs"/>
          <w:rtl/>
        </w:rPr>
        <w:t xml:space="preserve">וכמו שכתב </w:t>
      </w:r>
      <w:r w:rsidR="00377A51">
        <w:rPr>
          <w:rFonts w:hint="cs"/>
          <w:rtl/>
        </w:rPr>
        <w:t xml:space="preserve">במורה נבוכים ב' י"ח. </w:t>
      </w:r>
      <w:r w:rsidR="00F92FEF">
        <w:rPr>
          <w:rFonts w:hint="cs"/>
          <w:rtl/>
        </w:rPr>
        <w:t xml:space="preserve">ההכנה הזו נקבעת על ידי מזג הרכבת היסודות באותו חומר. כיוון שהמזג משתנה </w:t>
      </w:r>
      <w:r w:rsidR="00A97F45">
        <w:rPr>
          <w:rFonts w:hint="cs"/>
          <w:rtl/>
        </w:rPr>
        <w:t xml:space="preserve">בתמידות, </w:t>
      </w:r>
      <w:r w:rsidR="00F92FEF">
        <w:rPr>
          <w:rFonts w:hint="cs"/>
          <w:rtl/>
        </w:rPr>
        <w:t xml:space="preserve">הצורות </w:t>
      </w:r>
      <w:r w:rsidR="00A97F45">
        <w:rPr>
          <w:rFonts w:hint="cs"/>
          <w:rtl/>
        </w:rPr>
        <w:t>לא קבועות באותו חומר בתמידות אלא הכל לובש צורה ופושט צורה, נולד ומת, ולכן העולם ש</w:t>
      </w:r>
      <w:r w:rsidR="00361C88">
        <w:rPr>
          <w:rFonts w:hint="cs"/>
          <w:rtl/>
        </w:rPr>
        <w:t xml:space="preserve">ל </w:t>
      </w:r>
      <w:r w:rsidR="00A97F45">
        <w:rPr>
          <w:rFonts w:hint="cs"/>
          <w:rtl/>
        </w:rPr>
        <w:t>ארבעת היסודות הוא עולם ההתהוות וההפסד.</w:t>
      </w:r>
    </w:p>
    <w:p w14:paraId="3715D148" w14:textId="727DDECB" w:rsidR="001724AE" w:rsidRDefault="00484C45" w:rsidP="00840770">
      <w:pPr>
        <w:pStyle w:val="FootnoteText"/>
        <w:rPr>
          <w:rtl/>
        </w:rPr>
      </w:pPr>
      <w:r>
        <w:rPr>
          <w:rFonts w:hint="cs"/>
          <w:rtl/>
        </w:rPr>
        <w:t xml:space="preserve">אבל </w:t>
      </w:r>
      <w:r w:rsidR="00246355">
        <w:rPr>
          <w:rFonts w:hint="cs"/>
          <w:rtl/>
        </w:rPr>
        <w:t>לא רק מזג היסודות קובע את אפשרות קבלת הצורה</w:t>
      </w:r>
      <w:r w:rsidR="004C7582">
        <w:rPr>
          <w:rFonts w:hint="cs"/>
          <w:rtl/>
        </w:rPr>
        <w:t xml:space="preserve"> בחומר</w:t>
      </w:r>
      <w:r w:rsidR="00246355">
        <w:rPr>
          <w:rFonts w:hint="cs"/>
          <w:rtl/>
        </w:rPr>
        <w:t xml:space="preserve">, למשל אע"פ שצורת אדם היא 'חי מדבר', ועניינים כמו גובה או צבע הם מקריים, בכל אופן הצורה קובעת רוחב </w:t>
      </w:r>
      <w:r w:rsidR="009C463A">
        <w:rPr>
          <w:rFonts w:hint="cs"/>
          <w:rtl/>
        </w:rPr>
        <w:t>מסוים</w:t>
      </w:r>
      <w:r w:rsidR="00246355">
        <w:rPr>
          <w:rFonts w:hint="cs"/>
          <w:rtl/>
        </w:rPr>
        <w:t xml:space="preserve"> של האפשרויות של המקרים. </w:t>
      </w:r>
      <w:r w:rsidR="0090497D">
        <w:rPr>
          <w:rFonts w:hint="cs"/>
          <w:rtl/>
        </w:rPr>
        <w:t>מה שאדם לא יכול להיות בגובה קילומטר או סנטימטר</w:t>
      </w:r>
      <w:r w:rsidR="0061370C">
        <w:rPr>
          <w:rFonts w:hint="cs"/>
          <w:rtl/>
        </w:rPr>
        <w:t xml:space="preserve"> או עם שיער ירוק כדשא, זה לא </w:t>
      </w:r>
      <w:r w:rsidR="0090497D">
        <w:rPr>
          <w:rFonts w:hint="cs"/>
          <w:rtl/>
        </w:rPr>
        <w:t xml:space="preserve">מקרה אלא זה מהותי לו, ואע"פ שהצורה של 'חי מדבר' לכאורה אין לה </w:t>
      </w:r>
      <w:r w:rsidR="0061370C">
        <w:rPr>
          <w:rFonts w:hint="cs"/>
          <w:rtl/>
        </w:rPr>
        <w:t xml:space="preserve">שום </w:t>
      </w:r>
      <w:r w:rsidR="0090497D">
        <w:rPr>
          <w:rFonts w:hint="cs"/>
          <w:rtl/>
        </w:rPr>
        <w:t>קשר לזה</w:t>
      </w:r>
      <w:r w:rsidR="008B7F98">
        <w:rPr>
          <w:rFonts w:hint="cs"/>
          <w:rtl/>
        </w:rPr>
        <w:t xml:space="preserve">, וכמו שייתכן שיקרה שיהיה צבע השיער כתום או שחור, או שגובה האדם יהיה מטר </w:t>
      </w:r>
      <w:r w:rsidR="00B0772C">
        <w:rPr>
          <w:rFonts w:hint="cs"/>
          <w:rtl/>
        </w:rPr>
        <w:t>ו</w:t>
      </w:r>
      <w:r w:rsidR="008B7F98">
        <w:rPr>
          <w:rFonts w:hint="cs"/>
          <w:rtl/>
        </w:rPr>
        <w:t>חצי או שני מטר</w:t>
      </w:r>
      <w:r w:rsidR="00456889">
        <w:rPr>
          <w:rFonts w:hint="cs"/>
          <w:rtl/>
        </w:rPr>
        <w:t>.</w:t>
      </w:r>
      <w:r w:rsidR="008B7F98">
        <w:rPr>
          <w:rFonts w:hint="cs"/>
          <w:rtl/>
        </w:rPr>
        <w:t xml:space="preserve"> </w:t>
      </w:r>
      <w:r w:rsidR="00B0772C">
        <w:rPr>
          <w:rFonts w:hint="cs"/>
          <w:rtl/>
        </w:rPr>
        <w:t xml:space="preserve">אלה רק מקרים, וההגדרה שמגדירה אותם כמקרים היא שההגדרה </w:t>
      </w:r>
      <w:r w:rsidR="00456889">
        <w:rPr>
          <w:rFonts w:hint="cs"/>
          <w:rtl/>
        </w:rPr>
        <w:t xml:space="preserve">המהותית </w:t>
      </w:r>
      <w:r w:rsidR="00B0772C">
        <w:rPr>
          <w:rFonts w:hint="cs"/>
          <w:rtl/>
        </w:rPr>
        <w:t>של האדם לא משתנה מחמתם כלל, כי הוא 'חי מדבר</w:t>
      </w:r>
      <w:r w:rsidR="00456889">
        <w:rPr>
          <w:rFonts w:hint="cs"/>
          <w:rtl/>
        </w:rPr>
        <w:t xml:space="preserve">' במידה שווה בכל גובה או צבע, </w:t>
      </w:r>
      <w:r w:rsidR="00AE7CC8">
        <w:rPr>
          <w:rFonts w:hint="cs"/>
          <w:rtl/>
        </w:rPr>
        <w:t xml:space="preserve">ולכאורה כך </w:t>
      </w:r>
      <w:r w:rsidR="008B7F98">
        <w:rPr>
          <w:rFonts w:hint="cs"/>
          <w:rtl/>
        </w:rPr>
        <w:t>אין מניעה</w:t>
      </w:r>
      <w:r w:rsidR="00456889">
        <w:rPr>
          <w:rFonts w:hint="cs"/>
          <w:rtl/>
        </w:rPr>
        <w:t xml:space="preserve"> </w:t>
      </w:r>
      <w:r w:rsidR="008B7F98">
        <w:rPr>
          <w:rFonts w:hint="cs"/>
          <w:rtl/>
        </w:rPr>
        <w:t>לכאורה שיקרה גם שיהיה בגבהים או צבעים אחרים</w:t>
      </w:r>
      <w:r w:rsidR="00AE7CC8">
        <w:rPr>
          <w:rFonts w:hint="cs"/>
          <w:rtl/>
        </w:rPr>
        <w:t xml:space="preserve"> ועדיין יוגדר כ'חי מדבר'</w:t>
      </w:r>
      <w:r w:rsidR="0090497D">
        <w:rPr>
          <w:rFonts w:hint="cs"/>
          <w:rtl/>
        </w:rPr>
        <w:t>.</w:t>
      </w:r>
      <w:r w:rsidR="00A61E3C">
        <w:rPr>
          <w:rFonts w:hint="cs"/>
          <w:rtl/>
        </w:rPr>
        <w:t xml:space="preserve"> אלא זהו </w:t>
      </w:r>
      <w:r w:rsidR="001724AE">
        <w:rPr>
          <w:rFonts w:hint="cs"/>
          <w:rtl/>
        </w:rPr>
        <w:t xml:space="preserve">סוד </w:t>
      </w:r>
      <w:r w:rsidR="00A61E3C">
        <w:rPr>
          <w:rFonts w:hint="cs"/>
          <w:rtl/>
        </w:rPr>
        <w:t>מכבשונו של עולם</w:t>
      </w:r>
      <w:r w:rsidR="001724AE">
        <w:rPr>
          <w:rFonts w:hint="cs"/>
          <w:rtl/>
        </w:rPr>
        <w:t xml:space="preserve"> ומסוד האחדות שבו</w:t>
      </w:r>
      <w:r w:rsidR="00A61E3C">
        <w:rPr>
          <w:rFonts w:hint="cs"/>
          <w:rtl/>
        </w:rPr>
        <w:t xml:space="preserve"> שיש קשר בין הצורה המהותית לעניינים </w:t>
      </w:r>
      <w:r w:rsidR="009C463A">
        <w:rPr>
          <w:rFonts w:hint="cs"/>
          <w:rtl/>
        </w:rPr>
        <w:t>מסוימים</w:t>
      </w:r>
      <w:r w:rsidR="00A61E3C">
        <w:rPr>
          <w:rFonts w:hint="cs"/>
          <w:rtl/>
        </w:rPr>
        <w:t xml:space="preserve"> בתבנית החומרית. </w:t>
      </w:r>
    </w:p>
    <w:p w14:paraId="3E3F5D3F" w14:textId="584CE703" w:rsidR="0036709C" w:rsidRDefault="00601C32" w:rsidP="00840770">
      <w:pPr>
        <w:pStyle w:val="FootnoteText"/>
        <w:rPr>
          <w:rtl/>
        </w:rPr>
      </w:pPr>
      <w:r>
        <w:rPr>
          <w:rFonts w:hint="cs"/>
          <w:rtl/>
        </w:rPr>
        <w:t xml:space="preserve">אם מה שצבע שיער האדם לא יכול להיות ירוק כדשא </w:t>
      </w:r>
      <w:r w:rsidR="007E7743">
        <w:rPr>
          <w:rFonts w:hint="cs"/>
          <w:rtl/>
        </w:rPr>
        <w:t xml:space="preserve">זה דבר </w:t>
      </w:r>
      <w:r>
        <w:rPr>
          <w:rFonts w:hint="cs"/>
          <w:rtl/>
        </w:rPr>
        <w:t>מגיע ממזג החומר, ייתכן שיקרה פעם ש</w:t>
      </w:r>
      <w:r w:rsidR="000B0700">
        <w:rPr>
          <w:rFonts w:hint="cs"/>
          <w:rtl/>
        </w:rPr>
        <w:t xml:space="preserve">הצבע יהיה ירוק, כי מזג החומר משתנה לפי המקרה ואין בזה כללים קבועים. מה שההתבוננות מעלה שידוע מראש בוודאי שלעולם לא יקרה שאדם יהיה בעל שיער ירוק, זה בהכרח כי זה נובע מהצורה המהותית שלו, </w:t>
      </w:r>
      <w:r w:rsidR="000B0700">
        <w:rPr>
          <w:rFonts w:hint="cs"/>
          <w:rtl/>
        </w:rPr>
        <w:t>מהיותו 'חי מדבר'</w:t>
      </w:r>
      <w:r w:rsidR="00570739">
        <w:rPr>
          <w:rFonts w:hint="cs"/>
          <w:rtl/>
        </w:rPr>
        <w:t>, שהיא שכלית ונצחית ורק ממנה תיתכן ידיעה בלי ספק שאמית</w:t>
      </w:r>
      <w:r w:rsidR="00340038">
        <w:rPr>
          <w:rFonts w:hint="cs"/>
          <w:rtl/>
        </w:rPr>
        <w:t>ת</w:t>
      </w:r>
      <w:r w:rsidR="00570739">
        <w:rPr>
          <w:rFonts w:hint="cs"/>
          <w:rtl/>
        </w:rPr>
        <w:t>ה נצחית</w:t>
      </w:r>
      <w:r w:rsidR="000B0700">
        <w:rPr>
          <w:rFonts w:hint="cs"/>
          <w:rtl/>
        </w:rPr>
        <w:t xml:space="preserve">. </w:t>
      </w:r>
    </w:p>
    <w:p w14:paraId="7997D394" w14:textId="440B655D" w:rsidR="00840770" w:rsidRDefault="00032FB6" w:rsidP="009620D4">
      <w:pPr>
        <w:pStyle w:val="FootnoteText"/>
        <w:rPr>
          <w:rtl/>
        </w:rPr>
      </w:pPr>
      <w:r>
        <w:rPr>
          <w:rFonts w:hint="cs"/>
          <w:rtl/>
        </w:rPr>
        <w:t xml:space="preserve">בחינה אחת מהקשר הזה היא שצורת האדם כ'חי מדבר', יכולה להצטייר רק בחומר כמו </w:t>
      </w:r>
      <w:r w:rsidR="009B72BB">
        <w:rPr>
          <w:rFonts w:hint="cs"/>
          <w:rtl/>
        </w:rPr>
        <w:t xml:space="preserve">שהוא </w:t>
      </w:r>
      <w:r>
        <w:rPr>
          <w:rFonts w:hint="cs"/>
          <w:rtl/>
        </w:rPr>
        <w:t>בשר אדם</w:t>
      </w:r>
      <w:r w:rsidR="009B72BB">
        <w:rPr>
          <w:rFonts w:hint="cs"/>
          <w:rtl/>
        </w:rPr>
        <w:t xml:space="preserve"> </w:t>
      </w:r>
      <w:r>
        <w:rPr>
          <w:rFonts w:hint="cs"/>
          <w:rtl/>
        </w:rPr>
        <w:t xml:space="preserve">ולא </w:t>
      </w:r>
      <w:r w:rsidR="009B72BB">
        <w:rPr>
          <w:rFonts w:hint="cs"/>
          <w:rtl/>
        </w:rPr>
        <w:t>בחומר שהוא עץ</w:t>
      </w:r>
      <w:r>
        <w:rPr>
          <w:rFonts w:hint="cs"/>
          <w:rtl/>
        </w:rPr>
        <w:t xml:space="preserve">. </w:t>
      </w:r>
      <w:r w:rsidR="00AF1F87">
        <w:rPr>
          <w:rFonts w:hint="cs"/>
          <w:rtl/>
        </w:rPr>
        <w:t>ההבדל בין בשר לעץ אינו מושג בשכל</w:t>
      </w:r>
      <w:r w:rsidR="00124602">
        <w:rPr>
          <w:rFonts w:hint="cs"/>
          <w:rtl/>
        </w:rPr>
        <w:t>,</w:t>
      </w:r>
      <w:r w:rsidR="007034C2">
        <w:rPr>
          <w:rFonts w:hint="cs"/>
          <w:rtl/>
        </w:rPr>
        <w:t xml:space="preserve"> גם בשר וגם עץ בשכל הם ארבע היסודות מורכבים ביחד, </w:t>
      </w:r>
      <w:r w:rsidR="00D511A8">
        <w:rPr>
          <w:rFonts w:hint="cs"/>
          <w:rtl/>
        </w:rPr>
        <w:t>והשכל לא יכול להשיג מה יש במיוחד בבשר שאין בעץ</w:t>
      </w:r>
      <w:r w:rsidR="003145F6">
        <w:rPr>
          <w:rFonts w:hint="cs"/>
          <w:rtl/>
        </w:rPr>
        <w:t xml:space="preserve"> ולהיפך</w:t>
      </w:r>
      <w:r w:rsidR="00D511A8">
        <w:rPr>
          <w:rFonts w:hint="cs"/>
          <w:rtl/>
        </w:rPr>
        <w:t>, ו</w:t>
      </w:r>
      <w:r w:rsidR="00124602">
        <w:rPr>
          <w:rFonts w:hint="cs"/>
          <w:rtl/>
        </w:rPr>
        <w:t xml:space="preserve">גם </w:t>
      </w:r>
      <w:r w:rsidR="00D511A8">
        <w:rPr>
          <w:rFonts w:hint="cs"/>
          <w:rtl/>
        </w:rPr>
        <w:t>למה אין</w:t>
      </w:r>
      <w:r w:rsidR="00124602">
        <w:rPr>
          <w:rFonts w:hint="cs"/>
          <w:rtl/>
        </w:rPr>
        <w:t xml:space="preserve"> </w:t>
      </w:r>
      <w:r w:rsidR="004C336B">
        <w:rPr>
          <w:rFonts w:hint="cs"/>
          <w:rtl/>
        </w:rPr>
        <w:t>ספקטרום</w:t>
      </w:r>
      <w:r w:rsidR="00124602">
        <w:rPr>
          <w:rFonts w:hint="cs"/>
          <w:rtl/>
        </w:rPr>
        <w:t xml:space="preserve"> רצוף</w:t>
      </w:r>
      <w:r w:rsidR="00D511A8">
        <w:rPr>
          <w:rFonts w:hint="cs"/>
          <w:rtl/>
        </w:rPr>
        <w:t xml:space="preserve"> מחומר הבשר לחומר העץ, אלא הם </w:t>
      </w:r>
      <w:r w:rsidR="003145F6">
        <w:rPr>
          <w:rFonts w:hint="cs"/>
          <w:rtl/>
        </w:rPr>
        <w:t xml:space="preserve">שני מזגים או שני טבעים </w:t>
      </w:r>
      <w:r w:rsidR="004C336B">
        <w:rPr>
          <w:rFonts w:hint="cs"/>
          <w:rtl/>
        </w:rPr>
        <w:t xml:space="preserve">נפרדים </w:t>
      </w:r>
      <w:r w:rsidR="003145F6">
        <w:rPr>
          <w:rFonts w:hint="cs"/>
          <w:rtl/>
        </w:rPr>
        <w:t>של החומר. לכן אבן סינא מזכיר כאן את כח הדמיון</w:t>
      </w:r>
      <w:r w:rsidR="00674484">
        <w:rPr>
          <w:rFonts w:hint="cs"/>
          <w:rtl/>
        </w:rPr>
        <w:t xml:space="preserve"> שהוא זה שתופש את החומר</w:t>
      </w:r>
      <w:r w:rsidR="003145F6">
        <w:rPr>
          <w:rFonts w:hint="cs"/>
          <w:rtl/>
        </w:rPr>
        <w:t>. כשאדם חושב בשכלו על 'חי מדבר', הוא תופש את זה ביחד עם תפישת עניין אחר, שנתפש רק בכח הדמיון, והוא החומר שהוא הבשר האנושי. הבשר הוא חלק מ</w:t>
      </w:r>
      <w:r w:rsidR="00A532DA">
        <w:rPr>
          <w:rFonts w:hint="cs"/>
          <w:rtl/>
        </w:rPr>
        <w:t>'חי מדבר' כי נובע מהצורה</w:t>
      </w:r>
      <w:r w:rsidR="002022F2">
        <w:rPr>
          <w:rFonts w:hint="cs"/>
          <w:rtl/>
        </w:rPr>
        <w:t xml:space="preserve"> של חי מדבר שהיא תחול רק בבשר</w:t>
      </w:r>
      <w:r w:rsidR="009620D4">
        <w:rPr>
          <w:rFonts w:hint="cs"/>
          <w:rtl/>
        </w:rPr>
        <w:t>.</w:t>
      </w:r>
    </w:p>
    <w:p w14:paraId="381BCD85" w14:textId="5C50CE87" w:rsidR="00EF2E5C" w:rsidRDefault="009620D4" w:rsidP="009620D4">
      <w:pPr>
        <w:pStyle w:val="FootnoteText"/>
        <w:rPr>
          <w:rtl/>
        </w:rPr>
      </w:pPr>
      <w:r>
        <w:rPr>
          <w:rFonts w:hint="cs"/>
          <w:rtl/>
        </w:rPr>
        <w:t xml:space="preserve">כוונת הסעיף הזה היא, שמקודם ראינו בשתי דרכים שהגודל הוא </w:t>
      </w:r>
      <w:r w:rsidR="005C6598">
        <w:rPr>
          <w:rFonts w:hint="cs"/>
          <w:rtl/>
        </w:rPr>
        <w:t xml:space="preserve">עניין </w:t>
      </w:r>
      <w:r>
        <w:rPr>
          <w:rFonts w:hint="cs"/>
          <w:rtl/>
        </w:rPr>
        <w:t xml:space="preserve">נפרד </w:t>
      </w:r>
      <w:r w:rsidR="0032776C">
        <w:rPr>
          <w:rFonts w:hint="cs"/>
          <w:rtl/>
        </w:rPr>
        <w:t xml:space="preserve">מבחינת העצם והמהות </w:t>
      </w:r>
      <w:r>
        <w:rPr>
          <w:rFonts w:hint="cs"/>
          <w:rtl/>
        </w:rPr>
        <w:t xml:space="preserve">מעצם </w:t>
      </w:r>
      <w:r w:rsidR="005C6598">
        <w:rPr>
          <w:rFonts w:hint="cs"/>
          <w:rtl/>
        </w:rPr>
        <w:t>קיום הגוף החומרי כגוף חומרי, ועדיין הגודל כרו</w:t>
      </w:r>
      <w:r w:rsidR="0032776C">
        <w:rPr>
          <w:rFonts w:hint="cs"/>
          <w:rtl/>
        </w:rPr>
        <w:t>ך</w:t>
      </w:r>
      <w:r w:rsidR="005C6598">
        <w:rPr>
          <w:rFonts w:hint="cs"/>
          <w:rtl/>
        </w:rPr>
        <w:t xml:space="preserve"> בקיומו של הגוף החומרי</w:t>
      </w:r>
      <w:r w:rsidR="0032776C">
        <w:rPr>
          <w:rFonts w:hint="cs"/>
          <w:rtl/>
        </w:rPr>
        <w:t>, כמקרה הכרחי לו</w:t>
      </w:r>
      <w:r w:rsidR="005C6598">
        <w:rPr>
          <w:rFonts w:hint="cs"/>
          <w:rtl/>
        </w:rPr>
        <w:t xml:space="preserve">. </w:t>
      </w:r>
      <w:r w:rsidR="00E906B5">
        <w:rPr>
          <w:rFonts w:hint="cs"/>
          <w:rtl/>
        </w:rPr>
        <w:t>לכאורה מקרה לא יכול להיות הכרחי באמת. ההגדרה של מקרה היא שזה לא עושה את העצם למה שהוא. מהותו של האדם היא 'חי מדבר', הגובה או הצבע לא עושים אותו ל'חי מדבר', הם אינם מעלים ואינם מורידים</w:t>
      </w:r>
      <w:r w:rsidR="0072537D">
        <w:rPr>
          <w:rFonts w:hint="cs"/>
          <w:rtl/>
        </w:rPr>
        <w:t xml:space="preserve"> לעניין מה שהוא חי מדבר, ולכן אינם מהות עצמית אלא רק מקרים. לכן מוכרח לכאורה שהעצם לא תלוי במקרים ותמיד אפשר שהם יקרו או לא, ולא ייתכן שיהיו באמת הכרחיים. לא רק שגובה </w:t>
      </w:r>
      <w:r w:rsidR="009C463A">
        <w:rPr>
          <w:rFonts w:hint="cs"/>
          <w:rtl/>
        </w:rPr>
        <w:t>מסוים</w:t>
      </w:r>
      <w:r w:rsidR="0072537D">
        <w:rPr>
          <w:rFonts w:hint="cs"/>
          <w:rtl/>
        </w:rPr>
        <w:t xml:space="preserve"> של אדם הוא מקרה לו, אלא עצם מה שבכלל יש לו גובה כלשהו הרי זה לא מעלה ולא מוריד מהיותו 'חי חושב' וגם זה מקרה, אבל זה מקרה הכרחי כי אי אפשר</w:t>
      </w:r>
      <w:r w:rsidR="00C573C6">
        <w:rPr>
          <w:rFonts w:hint="cs"/>
          <w:rtl/>
        </w:rPr>
        <w:t xml:space="preserve"> </w:t>
      </w:r>
      <w:r w:rsidR="0072537D">
        <w:rPr>
          <w:rFonts w:hint="cs"/>
          <w:rtl/>
        </w:rPr>
        <w:t>לחש</w:t>
      </w:r>
      <w:r w:rsidR="00C573C6">
        <w:rPr>
          <w:rFonts w:hint="cs"/>
          <w:rtl/>
        </w:rPr>
        <w:t>ו</w:t>
      </w:r>
      <w:r w:rsidR="0072537D">
        <w:rPr>
          <w:rFonts w:hint="cs"/>
          <w:rtl/>
        </w:rPr>
        <w:t xml:space="preserve">ב על אדם שקיים במציאות שאין לו שום גובה שהוא. </w:t>
      </w:r>
      <w:r w:rsidR="00C573C6">
        <w:rPr>
          <w:rFonts w:hint="cs"/>
          <w:rtl/>
        </w:rPr>
        <w:t xml:space="preserve">העניין של מקרה הכרחי הוא סוד, הוא קשור לעומק סוד החיבור בין הצורה לחומר. כי במציאות מופשטת יתכן שתהיה צורה מופשטת של אדם שהוא 'חי מדבר' (גם </w:t>
      </w:r>
      <w:r w:rsidR="00815604">
        <w:rPr>
          <w:rFonts w:hint="cs"/>
          <w:rtl/>
        </w:rPr>
        <w:t>ה</w:t>
      </w:r>
      <w:r w:rsidR="00C573C6">
        <w:rPr>
          <w:rFonts w:hint="cs"/>
          <w:rtl/>
        </w:rPr>
        <w:t>מלאכים</w:t>
      </w:r>
      <w:r w:rsidR="00815604">
        <w:rPr>
          <w:rFonts w:hint="cs"/>
          <w:rtl/>
        </w:rPr>
        <w:t xml:space="preserve"> המופשטים, השכלים הנפרדים,</w:t>
      </w:r>
      <w:r w:rsidR="00C573C6">
        <w:rPr>
          <w:rFonts w:hint="cs"/>
          <w:rtl/>
        </w:rPr>
        <w:t xml:space="preserve"> הם 'חי מדבר') ואין לו שום גוף חומרי ולכ</w:t>
      </w:r>
      <w:r w:rsidR="00815604">
        <w:rPr>
          <w:rFonts w:hint="cs"/>
          <w:rtl/>
        </w:rPr>
        <w:t>ן אין לו</w:t>
      </w:r>
      <w:r w:rsidR="00C573C6">
        <w:rPr>
          <w:rFonts w:hint="cs"/>
          <w:rtl/>
        </w:rPr>
        <w:t xml:space="preserve"> שום גובה. </w:t>
      </w:r>
      <w:r w:rsidR="009D6984">
        <w:rPr>
          <w:rFonts w:hint="cs"/>
          <w:rtl/>
        </w:rPr>
        <w:t xml:space="preserve">לכן עצם מה שיש לאדם גודל כלשהו הוא רק מקרה. אבל בהגדרה מהו 'נמצא' </w:t>
      </w:r>
      <w:r w:rsidR="009D7744">
        <w:rPr>
          <w:rFonts w:hint="cs"/>
          <w:rtl/>
        </w:rPr>
        <w:t xml:space="preserve">שחלה בעולם החומרי הטבעי הארצי, שהיא צורה בחומר, לא יתכן שיהיה נמצא אדם בלי חומר ולכן לא יתכן שלא יהיה לו שום גודל ולכן מקרה החומר הוא הכרחי. </w:t>
      </w:r>
    </w:p>
    <w:p w14:paraId="1FE2B62B" w14:textId="08C63120" w:rsidR="009620D4" w:rsidRDefault="00DA201F" w:rsidP="002D6135">
      <w:pPr>
        <w:pStyle w:val="FootnoteText"/>
      </w:pPr>
      <w:r>
        <w:rPr>
          <w:rFonts w:hint="cs"/>
          <w:rtl/>
        </w:rPr>
        <w:t>השייכות של גודל לגוף החומרי</w:t>
      </w:r>
      <w:r w:rsidR="00832B6B">
        <w:rPr>
          <w:rFonts w:hint="cs"/>
          <w:rtl/>
        </w:rPr>
        <w:t xml:space="preserve"> לפי שתי הדרכים של שייכות זו,</w:t>
      </w:r>
      <w:r>
        <w:rPr>
          <w:rFonts w:hint="cs"/>
          <w:rtl/>
        </w:rPr>
        <w:t xml:space="preserve"> היא </w:t>
      </w:r>
      <w:r w:rsidR="00674DA3">
        <w:rPr>
          <w:rFonts w:hint="cs"/>
          <w:rtl/>
        </w:rPr>
        <w:t>באותו מקום שבו הגוף החומרי שייך לצורה, ולכן</w:t>
      </w:r>
      <w:r w:rsidR="00B805EF">
        <w:rPr>
          <w:rFonts w:hint="cs"/>
          <w:rtl/>
        </w:rPr>
        <w:t xml:space="preserve"> משותף לשתי הדרכים</w:t>
      </w:r>
      <w:r w:rsidR="00674DA3">
        <w:rPr>
          <w:rFonts w:hint="cs"/>
          <w:rtl/>
        </w:rPr>
        <w:t xml:space="preserve"> </w:t>
      </w:r>
      <w:r w:rsidR="00B805EF">
        <w:rPr>
          <w:rFonts w:hint="cs"/>
          <w:rtl/>
        </w:rPr>
        <w:t>ש</w:t>
      </w:r>
      <w:r w:rsidR="00674DA3">
        <w:rPr>
          <w:rFonts w:hint="cs"/>
          <w:rtl/>
        </w:rPr>
        <w:t>זו שייכות שיש בה סתירה, מצד אחד הגודל שייך בהכרח לגוף ומצד שני</w:t>
      </w:r>
      <w:r w:rsidR="00C02B3C">
        <w:rPr>
          <w:rFonts w:hint="cs"/>
          <w:rtl/>
        </w:rPr>
        <w:t xml:space="preserve"> </w:t>
      </w:r>
      <w:r w:rsidR="00674DA3">
        <w:rPr>
          <w:rFonts w:hint="cs"/>
          <w:rtl/>
        </w:rPr>
        <w:t xml:space="preserve">הגודל והגוף אינם אותו עניין עצמו. </w:t>
      </w:r>
    </w:p>
  </w:footnote>
  <w:footnote w:id="623">
    <w:p w14:paraId="4A08898D" w14:textId="24CCD727" w:rsidR="00350A44" w:rsidRDefault="00350A44">
      <w:pPr>
        <w:pStyle w:val="FootnoteText"/>
      </w:pPr>
      <w:r>
        <w:rPr>
          <w:rStyle w:val="FootnoteReference"/>
        </w:rPr>
        <w:footnoteRef/>
      </w:r>
      <w:r>
        <w:rPr>
          <w:rtl/>
        </w:rPr>
        <w:t xml:space="preserve"> </w:t>
      </w:r>
      <w:r>
        <w:rPr>
          <w:rFonts w:hint="cs"/>
          <w:rtl/>
        </w:rPr>
        <w:t xml:space="preserve">הגודל הוא מה שצבעו לבן, ואי אפשר להשיג לבן בלי להשיג ביחד עם זה גודל כלשהו שצבעו לבן. </w:t>
      </w:r>
    </w:p>
  </w:footnote>
  <w:footnote w:id="624">
    <w:p w14:paraId="5767064A" w14:textId="5D611CC9" w:rsidR="00C60097" w:rsidRDefault="00C60097">
      <w:pPr>
        <w:pStyle w:val="FootnoteText"/>
      </w:pPr>
      <w:r>
        <w:rPr>
          <w:rStyle w:val="FootnoteReference"/>
        </w:rPr>
        <w:footnoteRef/>
      </w:r>
      <w:r>
        <w:rPr>
          <w:rtl/>
        </w:rPr>
        <w:t xml:space="preserve"> </w:t>
      </w:r>
      <w:r w:rsidR="00AC77E3">
        <w:rPr>
          <w:rFonts w:hint="cs"/>
          <w:rtl/>
        </w:rPr>
        <w:t>בתחביר</w:t>
      </w:r>
      <w:r w:rsidR="00AC326A">
        <w:rPr>
          <w:rFonts w:hint="cs"/>
          <w:rtl/>
        </w:rPr>
        <w:t>,</w:t>
      </w:r>
      <w:r w:rsidR="00AC77E3">
        <w:rPr>
          <w:rFonts w:hint="cs"/>
          <w:rtl/>
        </w:rPr>
        <w:t xml:space="preserve"> במשפט 'ראובן צבע את הקיר', </w:t>
      </w:r>
      <w:r w:rsidR="001027F4">
        <w:rPr>
          <w:rFonts w:hint="cs"/>
          <w:rtl/>
        </w:rPr>
        <w:t>הקיר הוא המושא ש</w:t>
      </w:r>
      <w:r w:rsidR="00D669C9">
        <w:rPr>
          <w:rFonts w:hint="cs"/>
          <w:rtl/>
        </w:rPr>
        <w:t xml:space="preserve">נושא את </w:t>
      </w:r>
      <w:r w:rsidR="00C73865">
        <w:rPr>
          <w:rFonts w:hint="cs"/>
          <w:rtl/>
        </w:rPr>
        <w:t xml:space="preserve">פעולת </w:t>
      </w:r>
      <w:r w:rsidR="00D669C9">
        <w:rPr>
          <w:rFonts w:hint="cs"/>
          <w:rtl/>
        </w:rPr>
        <w:t>הצביעה, כלומר שעליו הצביעה ממומשת או מיושמת</w:t>
      </w:r>
      <w:r w:rsidR="00E73E06">
        <w:rPr>
          <w:rFonts w:hint="cs"/>
          <w:rtl/>
        </w:rPr>
        <w:t xml:space="preserve"> (המושג 'מושא' </w:t>
      </w:r>
      <w:r w:rsidR="00BF0F9A">
        <w:rPr>
          <w:rFonts w:hint="cs"/>
          <w:rtl/>
        </w:rPr>
        <w:t>משמש</w:t>
      </w:r>
      <w:r w:rsidR="00E73E06">
        <w:rPr>
          <w:rFonts w:hint="cs"/>
          <w:rtl/>
        </w:rPr>
        <w:t xml:space="preserve"> בתחביר ובלוגיקה</w:t>
      </w:r>
      <w:r w:rsidR="000C24DE">
        <w:rPr>
          <w:rFonts w:hint="cs"/>
          <w:rtl/>
        </w:rPr>
        <w:t xml:space="preserve"> ובמתמטיקה</w:t>
      </w:r>
      <w:r w:rsidR="00E73E06">
        <w:rPr>
          <w:rFonts w:hint="cs"/>
          <w:rtl/>
        </w:rPr>
        <w:t xml:space="preserve"> ובפילוסופיה במשמעויות</w:t>
      </w:r>
      <w:r w:rsidR="000C24DE">
        <w:rPr>
          <w:rFonts w:hint="cs"/>
          <w:rtl/>
        </w:rPr>
        <w:t xml:space="preserve"> </w:t>
      </w:r>
      <w:r w:rsidR="00E73E06">
        <w:rPr>
          <w:rFonts w:hint="cs"/>
          <w:rtl/>
        </w:rPr>
        <w:t xml:space="preserve">שונות. </w:t>
      </w:r>
      <w:r w:rsidR="000C24DE">
        <w:rPr>
          <w:rFonts w:hint="cs"/>
          <w:rtl/>
        </w:rPr>
        <w:t>הבאתי כאן את המשמעות בתחביר כדוגמה בלבד)</w:t>
      </w:r>
      <w:r w:rsidR="00D669C9">
        <w:rPr>
          <w:rFonts w:hint="cs"/>
          <w:rtl/>
        </w:rPr>
        <w:t xml:space="preserve">. הצבע אינו גודל, אבל הקיר הוא גודל, ואי אפשר להשיג </w:t>
      </w:r>
      <w:r w:rsidR="0089419B">
        <w:rPr>
          <w:rFonts w:hint="cs"/>
          <w:rtl/>
        </w:rPr>
        <w:t xml:space="preserve">בשכל </w:t>
      </w:r>
      <w:r w:rsidR="00D669C9">
        <w:rPr>
          <w:rFonts w:hint="cs"/>
          <w:rtl/>
        </w:rPr>
        <w:t xml:space="preserve">את הצבע בלי להשיג </w:t>
      </w:r>
      <w:r w:rsidR="0089419B">
        <w:rPr>
          <w:rFonts w:hint="cs"/>
          <w:rtl/>
        </w:rPr>
        <w:t xml:space="preserve">ביחד עם הצבע גם </w:t>
      </w:r>
      <w:r w:rsidR="00D669C9">
        <w:rPr>
          <w:rFonts w:hint="cs"/>
          <w:rtl/>
        </w:rPr>
        <w:t xml:space="preserve">גודל כלשהו שהוא המושא של הצבע. </w:t>
      </w:r>
      <w:r w:rsidR="00CF1001">
        <w:rPr>
          <w:rFonts w:hint="cs"/>
          <w:rtl/>
        </w:rPr>
        <w:t>זה אותו עניין של היחס בין צורה לחומר, שהחומר הוא המושא של הצורה, כלומר היא מיושמת בו, מבוצעת בו, ממו</w:t>
      </w:r>
      <w:r w:rsidR="00702A5F">
        <w:rPr>
          <w:rFonts w:hint="cs"/>
          <w:rtl/>
        </w:rPr>
        <w:t>מ</w:t>
      </w:r>
      <w:r w:rsidR="00CF1001">
        <w:rPr>
          <w:rFonts w:hint="cs"/>
          <w:rtl/>
        </w:rPr>
        <w:t xml:space="preserve">שת בו, כמו שהלבן ממומש בקיר שנצבע לבן. </w:t>
      </w:r>
      <w:r w:rsidR="001027F4">
        <w:rPr>
          <w:rFonts w:hint="cs"/>
          <w:rtl/>
        </w:rPr>
        <w:t xml:space="preserve"> </w:t>
      </w:r>
    </w:p>
  </w:footnote>
  <w:footnote w:id="625">
    <w:p w14:paraId="2C32FD6D" w14:textId="39DD8F20" w:rsidR="00FC637E" w:rsidRDefault="00FC637E">
      <w:pPr>
        <w:pStyle w:val="FootnoteText"/>
      </w:pPr>
      <w:r>
        <w:rPr>
          <w:rStyle w:val="FootnoteReference"/>
        </w:rPr>
        <w:footnoteRef/>
      </w:r>
      <w:r>
        <w:rPr>
          <w:rtl/>
        </w:rPr>
        <w:t xml:space="preserve"> </w:t>
      </w:r>
      <w:r w:rsidR="008B2642">
        <w:rPr>
          <w:rFonts w:hint="cs"/>
          <w:rtl/>
        </w:rPr>
        <w:t>שתי הדרכים בהן ראינו שיש חילוק בין הגודל לגוף החומרי, קושרות את הגודל לגוף החו</w:t>
      </w:r>
      <w:r w:rsidR="00793195">
        <w:rPr>
          <w:rFonts w:hint="cs"/>
          <w:rtl/>
        </w:rPr>
        <w:t xml:space="preserve">מרי </w:t>
      </w:r>
      <w:r w:rsidR="009C0158">
        <w:rPr>
          <w:rFonts w:hint="cs"/>
          <w:rtl/>
        </w:rPr>
        <w:t xml:space="preserve">לא בעצמותו אלא </w:t>
      </w:r>
      <w:r w:rsidR="00793195">
        <w:rPr>
          <w:rFonts w:hint="cs"/>
          <w:rtl/>
        </w:rPr>
        <w:t>כמקרה הכרחי שלו. ההסתכלות ש</w:t>
      </w:r>
      <w:r w:rsidR="00886F9B">
        <w:rPr>
          <w:rFonts w:hint="cs"/>
          <w:rtl/>
        </w:rPr>
        <w:t xml:space="preserve">רואה את </w:t>
      </w:r>
      <w:r w:rsidR="00793195">
        <w:rPr>
          <w:rFonts w:hint="cs"/>
          <w:rtl/>
        </w:rPr>
        <w:t xml:space="preserve">הגודל </w:t>
      </w:r>
      <w:r w:rsidR="00886F9B">
        <w:rPr>
          <w:rFonts w:hint="cs"/>
          <w:rtl/>
        </w:rPr>
        <w:t>כ</w:t>
      </w:r>
      <w:r w:rsidR="00793195">
        <w:rPr>
          <w:rFonts w:hint="cs"/>
          <w:rtl/>
        </w:rPr>
        <w:t xml:space="preserve">עניין מופשט מחומר לגמרי, </w:t>
      </w:r>
      <w:r w:rsidR="009C0158">
        <w:rPr>
          <w:rFonts w:hint="cs"/>
          <w:rtl/>
        </w:rPr>
        <w:t>נובעת</w:t>
      </w:r>
      <w:r w:rsidR="00E52EBD">
        <w:rPr>
          <w:rFonts w:hint="cs"/>
          <w:rtl/>
        </w:rPr>
        <w:t xml:space="preserve"> משתי הדרכים. </w:t>
      </w:r>
      <w:r w:rsidR="00AE3760">
        <w:rPr>
          <w:rFonts w:hint="cs"/>
          <w:rtl/>
        </w:rPr>
        <w:t xml:space="preserve">כיוון שהקשר הפנימי ההכרחי בין הצורה לתבנית הגוף החומרי ואיכויותיו החומריות, </w:t>
      </w:r>
      <w:r w:rsidR="001C611C">
        <w:rPr>
          <w:rFonts w:hint="cs"/>
          <w:rtl/>
        </w:rPr>
        <w:t xml:space="preserve">הוא סוד עמוק עד מאוד וצריך חקירה עמוקה מאוד כדי להבחין בו, </w:t>
      </w:r>
      <w:r w:rsidR="00A002A9">
        <w:rPr>
          <w:rFonts w:hint="cs"/>
          <w:rtl/>
        </w:rPr>
        <w:t xml:space="preserve">ולהבין אותו כראוי אי אפשר כלל, לכן </w:t>
      </w:r>
      <w:r w:rsidR="001C611C">
        <w:rPr>
          <w:rFonts w:hint="cs"/>
          <w:rtl/>
        </w:rPr>
        <w:t xml:space="preserve">ההסתכלות הראשונית היא שאין קשר כזה ולכן </w:t>
      </w:r>
      <w:r w:rsidR="00047645">
        <w:rPr>
          <w:rFonts w:hint="cs"/>
          <w:rtl/>
        </w:rPr>
        <w:t xml:space="preserve">אחרי שהתברר </w:t>
      </w:r>
      <w:r w:rsidR="009C0158">
        <w:rPr>
          <w:rFonts w:hint="cs"/>
          <w:rtl/>
        </w:rPr>
        <w:t xml:space="preserve">לפי </w:t>
      </w:r>
      <w:r w:rsidR="00047645">
        <w:rPr>
          <w:rFonts w:hint="cs"/>
          <w:rtl/>
        </w:rPr>
        <w:t xml:space="preserve">שתי הדרכים שהגודל אינו אחד גמור עם קיום הגוף החומרי, נובע מזה שההסתכלות הראשונית </w:t>
      </w:r>
      <w:r w:rsidR="00991A0E">
        <w:rPr>
          <w:rFonts w:hint="cs"/>
          <w:rtl/>
        </w:rPr>
        <w:t xml:space="preserve">שבאה מכח שתי הדרכים </w:t>
      </w:r>
      <w:r w:rsidR="00047645">
        <w:rPr>
          <w:rFonts w:hint="cs"/>
          <w:rtl/>
        </w:rPr>
        <w:t>תהיה ש</w:t>
      </w:r>
      <w:r w:rsidR="001C611C">
        <w:rPr>
          <w:rFonts w:hint="cs"/>
          <w:rtl/>
        </w:rPr>
        <w:t>הגודל הוא עניין מופשט לגמרי.</w:t>
      </w:r>
      <w:r w:rsidR="00867246">
        <w:rPr>
          <w:rFonts w:hint="cs"/>
          <w:rtl/>
        </w:rPr>
        <w:t xml:space="preserve"> </w:t>
      </w:r>
      <w:r w:rsidR="00991A0E">
        <w:rPr>
          <w:rFonts w:hint="cs"/>
          <w:rtl/>
        </w:rPr>
        <w:t xml:space="preserve">אבן סינא מעיר </w:t>
      </w:r>
      <w:r w:rsidR="00802273">
        <w:rPr>
          <w:rFonts w:hint="cs"/>
          <w:rtl/>
        </w:rPr>
        <w:t xml:space="preserve">שזו אמנם </w:t>
      </w:r>
      <w:r w:rsidR="00867246">
        <w:rPr>
          <w:rFonts w:hint="cs"/>
          <w:rtl/>
        </w:rPr>
        <w:t xml:space="preserve">זו הסתכלות שהיא אמת כשעוסקים במטאפיזיקה, כי מצד </w:t>
      </w:r>
      <w:r w:rsidR="00867246">
        <w:rPr>
          <w:rFonts w:hint="cs"/>
          <w:rtl/>
        </w:rPr>
        <w:t xml:space="preserve">המטאפיזיקה הכל מופשט מחומר לגמרי. </w:t>
      </w:r>
      <w:r w:rsidR="009612AE">
        <w:rPr>
          <w:rFonts w:hint="cs"/>
          <w:rtl/>
        </w:rPr>
        <w:t>אבל כשעוסקים בפיזיקה, אסור להסתכל כך, כי מצד הפיזיקה יש לחומר מציאות כחומר</w:t>
      </w:r>
      <w:r w:rsidR="007E470C">
        <w:rPr>
          <w:rFonts w:hint="cs"/>
          <w:rtl/>
        </w:rPr>
        <w:t>,</w:t>
      </w:r>
      <w:r w:rsidR="009612AE">
        <w:rPr>
          <w:rFonts w:hint="cs"/>
          <w:rtl/>
        </w:rPr>
        <w:t xml:space="preserve"> ומה שאין לו קשר עם החומר כלל אינו נמצא כלל</w:t>
      </w:r>
      <w:r w:rsidR="00802273">
        <w:rPr>
          <w:rFonts w:hint="cs"/>
          <w:rtl/>
        </w:rPr>
        <w:t>, וזו ההתבוננות בחקירה ששוללת את היות הגודל מופשט לגמרי</w:t>
      </w:r>
      <w:r w:rsidR="007E470C">
        <w:rPr>
          <w:rFonts w:hint="cs"/>
          <w:rtl/>
        </w:rPr>
        <w:t>.</w:t>
      </w:r>
      <w:r w:rsidR="001C611C">
        <w:rPr>
          <w:rFonts w:hint="cs"/>
          <w:rtl/>
        </w:rPr>
        <w:t xml:space="preserve"> </w:t>
      </w:r>
    </w:p>
  </w:footnote>
  <w:footnote w:id="626">
    <w:p w14:paraId="67AEE49F" w14:textId="368CFC6F" w:rsidR="00346826" w:rsidRDefault="00346826">
      <w:pPr>
        <w:pStyle w:val="FootnoteText"/>
      </w:pPr>
      <w:r>
        <w:rPr>
          <w:rStyle w:val="FootnoteReference"/>
        </w:rPr>
        <w:footnoteRef/>
      </w:r>
      <w:r>
        <w:rPr>
          <w:rtl/>
        </w:rPr>
        <w:t xml:space="preserve"> </w:t>
      </w:r>
      <w:r w:rsidR="00C7137E">
        <w:rPr>
          <w:rFonts w:hint="cs"/>
          <w:rtl/>
        </w:rPr>
        <w:t>בדרך הראשונה ראינו ש</w:t>
      </w:r>
      <w:r w:rsidR="00032280">
        <w:rPr>
          <w:rFonts w:hint="cs"/>
          <w:rtl/>
        </w:rPr>
        <w:t>טי</w:t>
      </w:r>
      <w:r w:rsidR="002F4DD0" w:rsidRPr="002F4DD0">
        <w:rPr>
          <w:rtl/>
        </w:rPr>
        <w:t>פּ</w:t>
      </w:r>
      <w:r w:rsidR="00032280">
        <w:rPr>
          <w:rFonts w:hint="cs"/>
          <w:rtl/>
        </w:rPr>
        <w:t xml:space="preserve">ת מים כגוף חומרי, היחס שלה כגוף אל הגודל שלה, שונה מהיחס של קרש עץ לגודל שלו. </w:t>
      </w:r>
      <w:r w:rsidR="00C7137E">
        <w:rPr>
          <w:rFonts w:hint="cs"/>
          <w:rtl/>
        </w:rPr>
        <w:t xml:space="preserve">טיפת מים ועץ שניהם הם גוף חומרי באותה מידה ובאותו מובן, </w:t>
      </w:r>
      <w:r w:rsidR="000564AE">
        <w:rPr>
          <w:rFonts w:hint="cs"/>
          <w:rtl/>
        </w:rPr>
        <w:t xml:space="preserve">ואם היחס שלהם לגודל שונה זה מראה שהגודל אינו מעצם קיום הגוף החומרי. </w:t>
      </w:r>
      <w:r w:rsidR="009E38F3">
        <w:rPr>
          <w:rFonts w:hint="cs"/>
          <w:rtl/>
        </w:rPr>
        <w:t xml:space="preserve">ההסתכלות הזו מחלקת את הגודל מהגוף החומרי באופן </w:t>
      </w:r>
      <w:r w:rsidR="00D76967">
        <w:rPr>
          <w:rFonts w:hint="cs"/>
          <w:rtl/>
        </w:rPr>
        <w:t xml:space="preserve">שנובע ממנו </w:t>
      </w:r>
      <w:r w:rsidR="009E38F3">
        <w:rPr>
          <w:rFonts w:hint="cs"/>
          <w:rtl/>
        </w:rPr>
        <w:t xml:space="preserve">שלא אכפת לנו שהחומר של טיפת מים הוא דווקא </w:t>
      </w:r>
      <w:r w:rsidR="00D76967">
        <w:rPr>
          <w:rFonts w:hint="cs"/>
          <w:rtl/>
        </w:rPr>
        <w:t>עצם שהוא</w:t>
      </w:r>
      <w:r w:rsidR="009E38F3">
        <w:rPr>
          <w:rFonts w:hint="cs"/>
          <w:rtl/>
        </w:rPr>
        <w:t xml:space="preserve"> טיפת מים</w:t>
      </w:r>
      <w:r w:rsidR="00805D1D">
        <w:rPr>
          <w:rFonts w:hint="cs"/>
          <w:rtl/>
        </w:rPr>
        <w:t xml:space="preserve">, </w:t>
      </w:r>
      <w:r w:rsidR="005353C2">
        <w:rPr>
          <w:rFonts w:hint="cs"/>
          <w:rtl/>
        </w:rPr>
        <w:t xml:space="preserve">אלא מצד ההתבוננות הזו </w:t>
      </w:r>
      <w:r w:rsidR="00E10300">
        <w:rPr>
          <w:rFonts w:hint="cs"/>
          <w:rtl/>
        </w:rPr>
        <w:t>אנו מתבוננים בחומר סתם, חומר כלשהו,</w:t>
      </w:r>
      <w:r w:rsidR="005353C2">
        <w:rPr>
          <w:rFonts w:hint="cs"/>
          <w:rtl/>
        </w:rPr>
        <w:t xml:space="preserve"> ואין </w:t>
      </w:r>
      <w:r w:rsidR="00E10300">
        <w:rPr>
          <w:rFonts w:hint="cs"/>
          <w:rtl/>
        </w:rPr>
        <w:t xml:space="preserve">מקום </w:t>
      </w:r>
      <w:r w:rsidR="00BA1733">
        <w:rPr>
          <w:rFonts w:hint="cs"/>
          <w:rtl/>
        </w:rPr>
        <w:t>להבחנה</w:t>
      </w:r>
      <w:r w:rsidR="005353C2">
        <w:rPr>
          <w:rFonts w:hint="cs"/>
          <w:rtl/>
        </w:rPr>
        <w:t xml:space="preserve"> שזה דווקא מים או כל חומר</w:t>
      </w:r>
      <w:r w:rsidR="00E10300">
        <w:rPr>
          <w:rFonts w:hint="cs"/>
          <w:rtl/>
        </w:rPr>
        <w:t xml:space="preserve"> </w:t>
      </w:r>
      <w:r w:rsidR="009C463A">
        <w:rPr>
          <w:rFonts w:hint="cs"/>
          <w:rtl/>
        </w:rPr>
        <w:t>מסוים</w:t>
      </w:r>
      <w:r w:rsidR="005353C2">
        <w:rPr>
          <w:rFonts w:hint="cs"/>
          <w:rtl/>
        </w:rPr>
        <w:t xml:space="preserve"> אחר.</w:t>
      </w:r>
      <w:r w:rsidR="009E38F3">
        <w:rPr>
          <w:rFonts w:hint="cs"/>
          <w:rtl/>
        </w:rPr>
        <w:t xml:space="preserve"> </w:t>
      </w:r>
    </w:p>
  </w:footnote>
  <w:footnote w:id="627">
    <w:p w14:paraId="4B6CBADD" w14:textId="27D4A442" w:rsidR="003D2FC9" w:rsidRDefault="000311FF" w:rsidP="00C53340">
      <w:pPr>
        <w:pStyle w:val="FootnoteText"/>
        <w:rPr>
          <w:rtl/>
        </w:rPr>
      </w:pPr>
      <w:r>
        <w:rPr>
          <w:rStyle w:val="FootnoteReference"/>
        </w:rPr>
        <w:footnoteRef/>
      </w:r>
      <w:r>
        <w:rPr>
          <w:rtl/>
        </w:rPr>
        <w:t xml:space="preserve"> </w:t>
      </w:r>
      <w:r w:rsidR="006300B8">
        <w:rPr>
          <w:rFonts w:hint="cs"/>
          <w:rtl/>
        </w:rPr>
        <w:t xml:space="preserve">ההבדל של הגודל </w:t>
      </w:r>
      <w:r w:rsidR="000278C1">
        <w:rPr>
          <w:rFonts w:hint="cs"/>
          <w:rtl/>
        </w:rPr>
        <w:t>ממציאותו העצמית של הגוף החומרי, שהיא היותו חומר</w:t>
      </w:r>
      <w:r w:rsidR="00DB28C4">
        <w:rPr>
          <w:rFonts w:hint="cs"/>
          <w:rtl/>
        </w:rPr>
        <w:t xml:space="preserve"> </w:t>
      </w:r>
      <w:r w:rsidR="009C463A">
        <w:rPr>
          <w:rFonts w:hint="cs"/>
          <w:rtl/>
        </w:rPr>
        <w:t>מסוים</w:t>
      </w:r>
      <w:r w:rsidR="000278C1">
        <w:rPr>
          <w:rFonts w:hint="cs"/>
          <w:rtl/>
        </w:rPr>
        <w:t xml:space="preserve"> בעל צורה</w:t>
      </w:r>
      <w:r w:rsidR="00DB28C4">
        <w:rPr>
          <w:rFonts w:hint="cs"/>
          <w:rtl/>
        </w:rPr>
        <w:t xml:space="preserve"> ותבנית </w:t>
      </w:r>
      <w:r w:rsidR="00DB28C4">
        <w:rPr>
          <w:rFonts w:hint="cs"/>
          <w:rtl/>
        </w:rPr>
        <w:t>מסויי</w:t>
      </w:r>
      <w:r w:rsidR="00C53340">
        <w:rPr>
          <w:rFonts w:hint="cs"/>
          <w:rtl/>
        </w:rPr>
        <w:t>מ</w:t>
      </w:r>
      <w:r w:rsidR="00DB28C4">
        <w:rPr>
          <w:rFonts w:hint="cs"/>
          <w:rtl/>
        </w:rPr>
        <w:t>ות</w:t>
      </w:r>
      <w:r w:rsidR="000278C1">
        <w:rPr>
          <w:rFonts w:hint="cs"/>
          <w:rtl/>
        </w:rPr>
        <w:t xml:space="preserve">, </w:t>
      </w:r>
      <w:r w:rsidR="006300B8">
        <w:rPr>
          <w:rFonts w:hint="cs"/>
          <w:rtl/>
        </w:rPr>
        <w:t xml:space="preserve">הוא אותו הבדל בשתי החלוקות, והיינו ששתי החלוקות לא מסתכלות על חומר </w:t>
      </w:r>
      <w:r w:rsidR="009C463A">
        <w:rPr>
          <w:rFonts w:hint="cs"/>
          <w:rtl/>
        </w:rPr>
        <w:t>מסוים</w:t>
      </w:r>
      <w:r w:rsidR="006300B8">
        <w:rPr>
          <w:rFonts w:hint="cs"/>
          <w:rtl/>
        </w:rPr>
        <w:t xml:space="preserve"> כלשהו</w:t>
      </w:r>
      <w:r w:rsidR="00AE2F6A">
        <w:rPr>
          <w:rFonts w:hint="cs"/>
          <w:rtl/>
        </w:rPr>
        <w:t xml:space="preserve"> שה</w:t>
      </w:r>
      <w:r w:rsidR="003D2FC9">
        <w:rPr>
          <w:rFonts w:hint="cs"/>
          <w:rtl/>
        </w:rPr>
        <w:t>ו</w:t>
      </w:r>
      <w:r w:rsidR="00AE2F6A">
        <w:rPr>
          <w:rFonts w:hint="cs"/>
          <w:rtl/>
        </w:rPr>
        <w:t xml:space="preserve">א החומר של הגוף </w:t>
      </w:r>
      <w:r w:rsidR="000278C1">
        <w:rPr>
          <w:rFonts w:hint="cs"/>
          <w:rtl/>
        </w:rPr>
        <w:t xml:space="preserve">המסוים הזה </w:t>
      </w:r>
      <w:r w:rsidR="00AE2F6A">
        <w:rPr>
          <w:rFonts w:hint="cs"/>
          <w:rtl/>
        </w:rPr>
        <w:t>שלו יש את הגודל</w:t>
      </w:r>
      <w:r w:rsidR="000278C1">
        <w:rPr>
          <w:rFonts w:hint="cs"/>
          <w:rtl/>
        </w:rPr>
        <w:t xml:space="preserve"> שעליו אנו מסתכלים</w:t>
      </w:r>
      <w:r w:rsidR="00AE2F6A">
        <w:rPr>
          <w:rFonts w:hint="cs"/>
          <w:rtl/>
        </w:rPr>
        <w:t xml:space="preserve">, </w:t>
      </w:r>
      <w:r w:rsidR="006300B8">
        <w:rPr>
          <w:rFonts w:hint="cs"/>
          <w:rtl/>
        </w:rPr>
        <w:t xml:space="preserve">אלא </w:t>
      </w:r>
      <w:r w:rsidR="003D2FC9">
        <w:rPr>
          <w:rFonts w:hint="cs"/>
          <w:rtl/>
        </w:rPr>
        <w:t xml:space="preserve">ההסתכלות היא </w:t>
      </w:r>
      <w:r w:rsidR="006300B8">
        <w:rPr>
          <w:rFonts w:hint="cs"/>
          <w:rtl/>
        </w:rPr>
        <w:t>על המושג הכללי של חומר</w:t>
      </w:r>
      <w:r w:rsidR="00AE2F6A">
        <w:rPr>
          <w:rFonts w:hint="cs"/>
          <w:rtl/>
        </w:rPr>
        <w:t xml:space="preserve"> באשר הוא חומר</w:t>
      </w:r>
      <w:r w:rsidR="006300B8">
        <w:rPr>
          <w:rFonts w:hint="cs"/>
          <w:rtl/>
        </w:rPr>
        <w:t>.</w:t>
      </w:r>
      <w:r w:rsidR="00C53340">
        <w:rPr>
          <w:rFonts w:hint="cs"/>
          <w:rtl/>
        </w:rPr>
        <w:t xml:space="preserve"> אבן סינא מפרט את ההבדל הזה </w:t>
      </w:r>
      <w:r w:rsidR="0021541F">
        <w:rPr>
          <w:rFonts w:hint="cs"/>
          <w:rtl/>
        </w:rPr>
        <w:t xml:space="preserve">שבין הגוף לגודל </w:t>
      </w:r>
      <w:r w:rsidR="00C53340">
        <w:rPr>
          <w:rFonts w:hint="cs"/>
          <w:rtl/>
        </w:rPr>
        <w:t>בכל חלוקה לעצמה כי סוף סוף הן הסתכלויות שונות</w:t>
      </w:r>
      <w:r w:rsidR="0021541F">
        <w:rPr>
          <w:rFonts w:hint="cs"/>
          <w:rtl/>
        </w:rPr>
        <w:t>, ואותו הבדל עולה</w:t>
      </w:r>
      <w:r w:rsidR="007C233B">
        <w:rPr>
          <w:rFonts w:hint="cs"/>
          <w:rtl/>
        </w:rPr>
        <w:t xml:space="preserve"> </w:t>
      </w:r>
      <w:r w:rsidR="0021541F">
        <w:rPr>
          <w:rFonts w:hint="cs"/>
          <w:rtl/>
        </w:rPr>
        <w:t>מכל אחת מהן באופן המיוחד לה</w:t>
      </w:r>
      <w:r w:rsidR="00C53340">
        <w:rPr>
          <w:rFonts w:hint="cs"/>
          <w:rtl/>
        </w:rPr>
        <w:t>.</w:t>
      </w:r>
      <w:r w:rsidR="007C233B">
        <w:rPr>
          <w:rFonts w:hint="cs"/>
          <w:rtl/>
        </w:rPr>
        <w:t xml:space="preserve"> בחלוקה הראשונה מה שמלמד על ההבדל בין הגוף לגודל הוא </w:t>
      </w:r>
      <w:r w:rsidR="001320EA">
        <w:rPr>
          <w:rFonts w:hint="cs"/>
          <w:rtl/>
        </w:rPr>
        <w:t>הדרך שבה יש לגוף גודל, שהרי גודל של טיפה יכול להימדד רק לפי נפח המים ולא לפי מידות אורך רוחב ועומק, וגוף כמו עץ, נמדד בהכרח במידות האורך רוחב ועומק שלו, כי אם העץ יהיה</w:t>
      </w:r>
      <w:r w:rsidR="00223250">
        <w:rPr>
          <w:rFonts w:hint="cs"/>
          <w:rtl/>
        </w:rPr>
        <w:t xml:space="preserve"> באותו נפח אבל אותו נפח יהיה תחום במידות אורך רוחב ועומק שונות, הרי אלו שני עצים נפרדים. מה שאין כן בטיפה שכל זמן היא שומרת רק על הנפח </w:t>
      </w:r>
      <w:r w:rsidR="00305F19">
        <w:rPr>
          <w:rFonts w:hint="cs"/>
          <w:rtl/>
        </w:rPr>
        <w:t>גם אם לא</w:t>
      </w:r>
      <w:r w:rsidR="00223250">
        <w:rPr>
          <w:rFonts w:hint="cs"/>
          <w:rtl/>
        </w:rPr>
        <w:t xml:space="preserve"> על אורך רוחב ועומק היא אותה טיפה. </w:t>
      </w:r>
      <w:r w:rsidR="00C13A2D">
        <w:rPr>
          <w:rFonts w:hint="cs"/>
          <w:rtl/>
        </w:rPr>
        <w:t xml:space="preserve">הסתכלות זו לא צריכה </w:t>
      </w:r>
      <w:r w:rsidR="008455C5">
        <w:rPr>
          <w:rFonts w:hint="cs"/>
          <w:rtl/>
        </w:rPr>
        <w:t xml:space="preserve">להסתכל על החומר המסוים אם הוא מים או עץ, אלא רק על כך שהחומר </w:t>
      </w:r>
      <w:r w:rsidR="00F60897">
        <w:rPr>
          <w:rFonts w:hint="cs"/>
          <w:rtl/>
        </w:rPr>
        <w:t xml:space="preserve">באשר הוא </w:t>
      </w:r>
      <w:r w:rsidR="008455C5">
        <w:rPr>
          <w:rFonts w:hint="cs"/>
          <w:rtl/>
        </w:rPr>
        <w:t>קובע אופנים שונים של גודל</w:t>
      </w:r>
      <w:r w:rsidR="00F60897">
        <w:rPr>
          <w:rFonts w:hint="cs"/>
          <w:rtl/>
        </w:rPr>
        <w:t xml:space="preserve"> ולכן אינו זהה עם הגודל</w:t>
      </w:r>
      <w:r w:rsidR="008455C5">
        <w:rPr>
          <w:rFonts w:hint="cs"/>
          <w:rtl/>
        </w:rPr>
        <w:t xml:space="preserve">. </w:t>
      </w:r>
      <w:r w:rsidR="00F60897">
        <w:rPr>
          <w:rFonts w:hint="cs"/>
          <w:rtl/>
        </w:rPr>
        <w:t>מה שאין מקום ל</w:t>
      </w:r>
      <w:r w:rsidR="004B36D3">
        <w:rPr>
          <w:rFonts w:hint="cs"/>
          <w:rtl/>
        </w:rPr>
        <w:t xml:space="preserve">דבר על חומר </w:t>
      </w:r>
      <w:r w:rsidR="009C463A">
        <w:rPr>
          <w:rFonts w:hint="cs"/>
          <w:rtl/>
        </w:rPr>
        <w:t>מסוים</w:t>
      </w:r>
      <w:r w:rsidR="004B36D3">
        <w:rPr>
          <w:rFonts w:hint="cs"/>
          <w:rtl/>
        </w:rPr>
        <w:t xml:space="preserve"> כלשהו אלא מדברים על כל חומר באשר הוא, זה עוד עניין נוסף </w:t>
      </w:r>
      <w:r w:rsidR="00DD3DDD">
        <w:rPr>
          <w:rFonts w:hint="cs"/>
          <w:rtl/>
        </w:rPr>
        <w:t>בהסתכלות ש</w:t>
      </w:r>
      <w:r w:rsidR="004B36D3">
        <w:rPr>
          <w:rFonts w:hint="cs"/>
          <w:rtl/>
        </w:rPr>
        <w:t>הגודל נבדל</w:t>
      </w:r>
      <w:r w:rsidR="00DD3DDD">
        <w:rPr>
          <w:rFonts w:hint="cs"/>
          <w:rtl/>
        </w:rPr>
        <w:t xml:space="preserve"> מקיום הגוף. </w:t>
      </w:r>
      <w:r w:rsidR="002F5A94">
        <w:rPr>
          <w:rFonts w:hint="cs"/>
          <w:rtl/>
        </w:rPr>
        <w:t>זו הכוונה שהנבדלות של הגודל לפי החלוקה הראשונה רואים אותה מהעניין שמיוחד לה שהוא ההבדל בין טיפה</w:t>
      </w:r>
      <w:r w:rsidR="009741AC">
        <w:rPr>
          <w:rFonts w:hint="cs"/>
          <w:rtl/>
        </w:rPr>
        <w:t xml:space="preserve"> לאדם ולעץ. </w:t>
      </w:r>
      <w:r w:rsidR="004B36D3">
        <w:rPr>
          <w:rFonts w:hint="cs"/>
          <w:rtl/>
        </w:rPr>
        <w:t xml:space="preserve"> </w:t>
      </w:r>
      <w:r w:rsidR="00C53340">
        <w:rPr>
          <w:rFonts w:hint="cs"/>
          <w:rtl/>
        </w:rPr>
        <w:t xml:space="preserve"> </w:t>
      </w:r>
    </w:p>
    <w:p w14:paraId="50C7D918" w14:textId="703DDF57" w:rsidR="000311FF" w:rsidRDefault="009741AC">
      <w:pPr>
        <w:pStyle w:val="FootnoteText"/>
      </w:pPr>
      <w:r>
        <w:rPr>
          <w:rFonts w:hint="cs"/>
          <w:rtl/>
        </w:rPr>
        <w:t xml:space="preserve">החלוקה השנייה רואה את ההבדל בין הגודל לגוף </w:t>
      </w:r>
      <w:r w:rsidR="00913C2E">
        <w:rPr>
          <w:rFonts w:hint="cs"/>
          <w:rtl/>
        </w:rPr>
        <w:t xml:space="preserve">במה שהצבע הוא עניין עצמי לגוף החומרי, והצבע והגודל הם עניינים נפרדים, </w:t>
      </w:r>
      <w:r w:rsidR="00FE3CEB">
        <w:rPr>
          <w:rFonts w:hint="cs"/>
          <w:rtl/>
        </w:rPr>
        <w:t>שהרי</w:t>
      </w:r>
      <w:r w:rsidR="00913C2E">
        <w:rPr>
          <w:rFonts w:hint="cs"/>
          <w:rtl/>
        </w:rPr>
        <w:t xml:space="preserve"> הגודל הוא רק מצע לצבע, ולכן הגודל נפרד מעצם קיו</w:t>
      </w:r>
      <w:r w:rsidR="00FE3CEB">
        <w:rPr>
          <w:rFonts w:hint="cs"/>
          <w:rtl/>
        </w:rPr>
        <w:t>ם</w:t>
      </w:r>
      <w:r w:rsidR="00913C2E">
        <w:rPr>
          <w:rFonts w:hint="cs"/>
          <w:rtl/>
        </w:rPr>
        <w:t xml:space="preserve"> הגוף. </w:t>
      </w:r>
      <w:r w:rsidR="00FE3CEB">
        <w:rPr>
          <w:rFonts w:hint="cs"/>
          <w:rtl/>
        </w:rPr>
        <w:t xml:space="preserve">וכאן גם כן באופן המיוחד לחלוקה זו, עולה </w:t>
      </w:r>
      <w:r w:rsidR="00F6319E">
        <w:rPr>
          <w:rFonts w:hint="cs"/>
          <w:rtl/>
        </w:rPr>
        <w:t xml:space="preserve">אותו </w:t>
      </w:r>
      <w:r w:rsidR="00287221">
        <w:rPr>
          <w:rFonts w:hint="cs"/>
          <w:rtl/>
        </w:rPr>
        <w:t xml:space="preserve">עניין </w:t>
      </w:r>
      <w:r w:rsidR="00FE3CEB">
        <w:rPr>
          <w:rFonts w:hint="cs"/>
          <w:rtl/>
        </w:rPr>
        <w:t xml:space="preserve">שאין הסתכלות על חומר </w:t>
      </w:r>
      <w:r w:rsidR="009C463A">
        <w:rPr>
          <w:rFonts w:hint="cs"/>
          <w:rtl/>
        </w:rPr>
        <w:t>מסוים</w:t>
      </w:r>
      <w:r w:rsidR="00FE3CEB">
        <w:rPr>
          <w:rFonts w:hint="cs"/>
          <w:rtl/>
        </w:rPr>
        <w:t xml:space="preserve"> אלא על חומר כללי באשר הוא חומר, </w:t>
      </w:r>
      <w:r w:rsidR="00F6319E">
        <w:rPr>
          <w:rFonts w:hint="cs"/>
          <w:rtl/>
        </w:rPr>
        <w:t>ש</w:t>
      </w:r>
      <w:r w:rsidR="00287221">
        <w:rPr>
          <w:rFonts w:hint="cs"/>
          <w:rtl/>
        </w:rPr>
        <w:t xml:space="preserve">כל </w:t>
      </w:r>
      <w:r w:rsidR="00F6319E">
        <w:rPr>
          <w:rFonts w:hint="cs"/>
          <w:rtl/>
        </w:rPr>
        <w:t xml:space="preserve">חומר </w:t>
      </w:r>
      <w:r w:rsidR="00287221">
        <w:rPr>
          <w:rFonts w:hint="cs"/>
          <w:rtl/>
        </w:rPr>
        <w:t>באשר הוא חומר יכול ב</w:t>
      </w:r>
      <w:r w:rsidR="00F6319E">
        <w:rPr>
          <w:rFonts w:hint="cs"/>
          <w:rtl/>
        </w:rPr>
        <w:t xml:space="preserve">כלליות להיות מצע בכל </w:t>
      </w:r>
      <w:r w:rsidR="00287221">
        <w:rPr>
          <w:rFonts w:hint="cs"/>
          <w:rtl/>
        </w:rPr>
        <w:t xml:space="preserve">אופן אפשרי </w:t>
      </w:r>
      <w:r w:rsidR="00F6319E">
        <w:rPr>
          <w:rFonts w:hint="cs"/>
          <w:rtl/>
        </w:rPr>
        <w:t>לכל תכונה עצמית של כל גוף</w:t>
      </w:r>
      <w:r w:rsidR="0021738C">
        <w:rPr>
          <w:rFonts w:hint="cs"/>
          <w:rtl/>
        </w:rPr>
        <w:t>;</w:t>
      </w:r>
      <w:r w:rsidR="00F6319E">
        <w:rPr>
          <w:rFonts w:hint="cs"/>
          <w:rtl/>
        </w:rPr>
        <w:t xml:space="preserve"> </w:t>
      </w:r>
      <w:r w:rsidR="00A84C43">
        <w:rPr>
          <w:rFonts w:hint="cs"/>
          <w:rtl/>
        </w:rPr>
        <w:t>ו</w:t>
      </w:r>
      <w:r w:rsidR="0021738C">
        <w:rPr>
          <w:rFonts w:hint="cs"/>
          <w:rtl/>
        </w:rPr>
        <w:t xml:space="preserve">תמיד </w:t>
      </w:r>
      <w:r w:rsidR="00A84C43">
        <w:rPr>
          <w:rFonts w:hint="cs"/>
          <w:rtl/>
        </w:rPr>
        <w:t>יהיה חילוק בין המצע לתכונה, כי אלה עניינים שבכלליות תמיד אינם אחד</w:t>
      </w:r>
      <w:r w:rsidR="002A2ADF">
        <w:rPr>
          <w:rFonts w:hint="cs"/>
          <w:rtl/>
        </w:rPr>
        <w:t>.</w:t>
      </w:r>
    </w:p>
  </w:footnote>
  <w:footnote w:id="628">
    <w:p w14:paraId="440D2704" w14:textId="17CA5048" w:rsidR="00161B9E" w:rsidRDefault="005C35F3">
      <w:pPr>
        <w:pStyle w:val="FootnoteText"/>
        <w:rPr>
          <w:rtl/>
        </w:rPr>
      </w:pPr>
      <w:r>
        <w:rPr>
          <w:rStyle w:val="FootnoteReference"/>
        </w:rPr>
        <w:footnoteRef/>
      </w:r>
      <w:r w:rsidRPr="00833F03">
        <w:rPr>
          <w:rtl/>
        </w:rPr>
        <w:t xml:space="preserve"> </w:t>
      </w:r>
      <w:r w:rsidR="000C4CD4">
        <w:rPr>
          <w:rFonts w:hint="cs"/>
          <w:rtl/>
        </w:rPr>
        <w:t>במקור:</w:t>
      </w:r>
      <w:r w:rsidR="00822D35" w:rsidRPr="00833F03">
        <w:rPr>
          <w:rtl/>
          <w:lang w:bidi="ar-SA"/>
        </w:rPr>
        <w:t xml:space="preserve"> </w:t>
      </w:r>
      <w:r w:rsidR="00822D35" w:rsidRPr="00833F03">
        <w:rPr>
          <w:rFonts w:ascii="Arial" w:hAnsi="Arial" w:cs="Arial" w:hint="cs"/>
          <w:rtl/>
          <w:lang w:bidi="ar-SA"/>
        </w:rPr>
        <w:t>فالقياس</w:t>
      </w:r>
      <w:r w:rsidR="00860ACD" w:rsidRPr="00C705F3">
        <w:rPr>
          <w:rtl/>
        </w:rPr>
        <w:t xml:space="preserve"> (</w:t>
      </w:r>
      <w:r w:rsidR="00860ACD" w:rsidRPr="00C705F3">
        <w:rPr>
          <w:rtl/>
        </w:rPr>
        <w:t>קיאס)</w:t>
      </w:r>
      <w:r w:rsidR="00822D35" w:rsidRPr="00C705F3">
        <w:rPr>
          <w:rtl/>
          <w:lang w:bidi="ar-SA"/>
        </w:rPr>
        <w:t xml:space="preserve"> </w:t>
      </w:r>
      <w:r w:rsidR="00822D35" w:rsidRPr="00C705F3">
        <w:rPr>
          <w:rFonts w:ascii="Arial" w:hAnsi="Arial" w:cs="Arial" w:hint="cs"/>
          <w:rtl/>
          <w:lang w:bidi="ar-SA"/>
        </w:rPr>
        <w:t>و</w:t>
      </w:r>
      <w:r w:rsidR="00822D35" w:rsidRPr="00C705F3">
        <w:rPr>
          <w:rtl/>
          <w:lang w:bidi="ar-SA"/>
        </w:rPr>
        <w:t xml:space="preserve"> </w:t>
      </w:r>
      <w:r w:rsidR="00822D35" w:rsidRPr="00C705F3">
        <w:rPr>
          <w:rFonts w:ascii="Arial" w:hAnsi="Arial" w:cs="Arial" w:hint="cs"/>
          <w:rtl/>
          <w:lang w:bidi="ar-SA"/>
        </w:rPr>
        <w:t>العقل</w:t>
      </w:r>
      <w:r w:rsidR="00860ACD" w:rsidRPr="00C705F3">
        <w:rPr>
          <w:rtl/>
        </w:rPr>
        <w:t xml:space="preserve"> (עקל)</w:t>
      </w:r>
      <w:r w:rsidR="00822D35" w:rsidRPr="00C705F3">
        <w:rPr>
          <w:rtl/>
        </w:rPr>
        <w:t xml:space="preserve">. מה שתרגמתי </w:t>
      </w:r>
      <w:r w:rsidR="00B571AA" w:rsidRPr="00C705F3">
        <w:rPr>
          <w:rtl/>
        </w:rPr>
        <w:t xml:space="preserve">בשורה שלפניו </w:t>
      </w:r>
      <w:r w:rsidR="00822D35" w:rsidRPr="00C705F3">
        <w:rPr>
          <w:rtl/>
        </w:rPr>
        <w:t>כ"שכל</w:t>
      </w:r>
      <w:r w:rsidR="00833F03" w:rsidRPr="00C705F3">
        <w:rPr>
          <w:rtl/>
        </w:rPr>
        <w:t>"</w:t>
      </w:r>
      <w:r w:rsidR="00CA2109">
        <w:rPr>
          <w:rFonts w:hint="cs"/>
          <w:rtl/>
        </w:rPr>
        <w:t xml:space="preserve"> -</w:t>
      </w:r>
      <w:r w:rsidR="00833F03" w:rsidRPr="00C705F3">
        <w:rPr>
          <w:rtl/>
        </w:rPr>
        <w:t xml:space="preserve"> במקור הוא </w:t>
      </w:r>
      <w:r w:rsidR="00833F03" w:rsidRPr="00C705F3">
        <w:rPr>
          <w:rFonts w:ascii="Arial" w:hAnsi="Arial" w:cs="Arial" w:hint="cs"/>
          <w:rtl/>
          <w:lang w:bidi="ar-SA"/>
        </w:rPr>
        <w:t>الذهن</w:t>
      </w:r>
      <w:r w:rsidR="00C705F3" w:rsidRPr="00C705F3">
        <w:rPr>
          <w:rtl/>
        </w:rPr>
        <w:t xml:space="preserve"> (ד'הן)</w:t>
      </w:r>
      <w:r w:rsidR="00833F03" w:rsidRPr="00C705F3">
        <w:rPr>
          <w:rtl/>
        </w:rPr>
        <w:t>.</w:t>
      </w:r>
      <w:r w:rsidR="00263A85">
        <w:rPr>
          <w:rFonts w:hint="cs"/>
          <w:rtl/>
        </w:rPr>
        <w:t xml:space="preserve"> </w:t>
      </w:r>
    </w:p>
    <w:p w14:paraId="6F79BA9B" w14:textId="09F1EA8E" w:rsidR="00F67A2E" w:rsidRDefault="0000119A">
      <w:pPr>
        <w:pStyle w:val="FootnoteText"/>
        <w:rPr>
          <w:rtl/>
        </w:rPr>
      </w:pPr>
      <w:r>
        <w:rPr>
          <w:rFonts w:hint="cs"/>
          <w:rtl/>
        </w:rPr>
        <w:t>'</w:t>
      </w:r>
      <w:r w:rsidR="00A072C0">
        <w:rPr>
          <w:rFonts w:hint="cs"/>
          <w:rtl/>
        </w:rPr>
        <w:t>קיאס</w:t>
      </w:r>
      <w:r>
        <w:rPr>
          <w:rFonts w:hint="cs"/>
          <w:rtl/>
        </w:rPr>
        <w:t>'</w:t>
      </w:r>
      <w:r w:rsidR="00A072C0">
        <w:rPr>
          <w:rFonts w:hint="cs"/>
          <w:rtl/>
        </w:rPr>
        <w:t xml:space="preserve"> מתורגם בתרגום אבן תיבון על המורה נבוכים "היקש" (עי' מורה נבוכים א' ה', ב' י"ג, ג' י"ט)</w:t>
      </w:r>
      <w:r w:rsidR="00F41727">
        <w:rPr>
          <w:rFonts w:hint="cs"/>
          <w:rtl/>
        </w:rPr>
        <w:t>, מילה זו</w:t>
      </w:r>
      <w:r w:rsidR="00E9258F">
        <w:rPr>
          <w:rFonts w:hint="cs"/>
          <w:rtl/>
        </w:rPr>
        <w:t xml:space="preserve"> </w:t>
      </w:r>
      <w:r w:rsidR="00F41727">
        <w:rPr>
          <w:rFonts w:hint="cs"/>
          <w:rtl/>
        </w:rPr>
        <w:t>משמשת</w:t>
      </w:r>
      <w:r w:rsidR="00E9258F">
        <w:rPr>
          <w:rFonts w:hint="cs"/>
          <w:rtl/>
        </w:rPr>
        <w:t xml:space="preserve"> גם</w:t>
      </w:r>
      <w:r w:rsidR="00F41727">
        <w:rPr>
          <w:rFonts w:hint="cs"/>
          <w:rtl/>
        </w:rPr>
        <w:t xml:space="preserve"> לסילוגיזם</w:t>
      </w:r>
      <w:r w:rsidR="00FC79E2">
        <w:rPr>
          <w:rFonts w:hint="cs"/>
          <w:rtl/>
        </w:rPr>
        <w:t xml:space="preserve">, מקגיניס תרגם אותה כאן </w:t>
      </w:r>
      <w:r w:rsidR="00FC79E2" w:rsidRPr="00FC79E2">
        <w:t>deduction</w:t>
      </w:r>
      <w:r w:rsidR="008330E1">
        <w:rPr>
          <w:rFonts w:hint="cs"/>
          <w:rtl/>
        </w:rPr>
        <w:t xml:space="preserve">. </w:t>
      </w:r>
      <w:r>
        <w:rPr>
          <w:rFonts w:hint="cs"/>
          <w:rtl/>
        </w:rPr>
        <w:t>'</w:t>
      </w:r>
      <w:r w:rsidR="008330E1">
        <w:rPr>
          <w:rFonts w:hint="cs"/>
          <w:rtl/>
        </w:rPr>
        <w:t>עקל</w:t>
      </w:r>
      <w:r>
        <w:rPr>
          <w:rFonts w:hint="cs"/>
          <w:rtl/>
        </w:rPr>
        <w:t>'</w:t>
      </w:r>
      <w:r w:rsidR="008330E1">
        <w:rPr>
          <w:rFonts w:hint="cs"/>
          <w:rtl/>
        </w:rPr>
        <w:t xml:space="preserve"> ו</w:t>
      </w:r>
      <w:r>
        <w:rPr>
          <w:rFonts w:hint="cs"/>
          <w:rtl/>
        </w:rPr>
        <w:t>'</w:t>
      </w:r>
      <w:r w:rsidR="008330E1">
        <w:rPr>
          <w:rFonts w:hint="cs"/>
          <w:rtl/>
        </w:rPr>
        <w:t>ד'הן</w:t>
      </w:r>
      <w:r>
        <w:rPr>
          <w:rFonts w:hint="cs"/>
          <w:rtl/>
        </w:rPr>
        <w:t>'</w:t>
      </w:r>
      <w:r w:rsidR="008330E1">
        <w:rPr>
          <w:rFonts w:hint="cs"/>
          <w:rtl/>
        </w:rPr>
        <w:t xml:space="preserve"> שניה</w:t>
      </w:r>
      <w:r>
        <w:rPr>
          <w:rFonts w:hint="cs"/>
          <w:rtl/>
        </w:rPr>
        <w:t>ם</w:t>
      </w:r>
      <w:r w:rsidR="008330E1">
        <w:rPr>
          <w:rFonts w:hint="cs"/>
          <w:rtl/>
        </w:rPr>
        <w:t xml:space="preserve"> מתורגמים </w:t>
      </w:r>
      <w:r w:rsidR="00A40897">
        <w:rPr>
          <w:rFonts w:hint="cs"/>
          <w:rtl/>
        </w:rPr>
        <w:t xml:space="preserve">על ידי אבן תיבון </w:t>
      </w:r>
      <w:r w:rsidR="008330E1">
        <w:rPr>
          <w:rFonts w:hint="cs"/>
          <w:rtl/>
        </w:rPr>
        <w:t>במורה נבוכים</w:t>
      </w:r>
      <w:r>
        <w:rPr>
          <w:rFonts w:hint="cs"/>
          <w:rtl/>
        </w:rPr>
        <w:t xml:space="preserve"> "שכל". 'עקל' כוונתו</w:t>
      </w:r>
      <w:r w:rsidR="00F67A2E">
        <w:rPr>
          <w:rFonts w:hint="cs"/>
          <w:rtl/>
        </w:rPr>
        <w:t xml:space="preserve"> </w:t>
      </w:r>
      <w:r w:rsidR="0075127C">
        <w:rPr>
          <w:rFonts w:hint="cs"/>
          <w:rtl/>
        </w:rPr>
        <w:t xml:space="preserve">בעיקר </w:t>
      </w:r>
      <w:r w:rsidR="00F67A2E">
        <w:rPr>
          <w:rFonts w:hint="cs"/>
          <w:rtl/>
        </w:rPr>
        <w:t>דווקא</w:t>
      </w:r>
      <w:r>
        <w:rPr>
          <w:rFonts w:hint="cs"/>
          <w:rtl/>
        </w:rPr>
        <w:t xml:space="preserve"> לשכל העיוני שמתבונן במושכלות המופשטות ורואה אותן באופן </w:t>
      </w:r>
      <w:r w:rsidR="00CA2CFE">
        <w:rPr>
          <w:rFonts w:hint="cs"/>
          <w:rtl/>
        </w:rPr>
        <w:t xml:space="preserve">מיידי </w:t>
      </w:r>
      <w:r>
        <w:rPr>
          <w:rFonts w:hint="cs"/>
          <w:rtl/>
        </w:rPr>
        <w:t>ישיר ובלתי אמצעי</w:t>
      </w:r>
      <w:r w:rsidR="00CA2CFE">
        <w:rPr>
          <w:rFonts w:hint="cs"/>
          <w:rtl/>
        </w:rPr>
        <w:t>, כמו שעין הבשר רואה את הגוף הגשמי</w:t>
      </w:r>
      <w:r w:rsidR="00333C42">
        <w:rPr>
          <w:rFonts w:hint="cs"/>
          <w:rtl/>
        </w:rPr>
        <w:t xml:space="preserve"> (זה </w:t>
      </w:r>
      <w:r w:rsidR="00805121">
        <w:rPr>
          <w:rFonts w:hint="cs"/>
          <w:rtl/>
        </w:rPr>
        <w:t>גם</w:t>
      </w:r>
      <w:r w:rsidR="00333C42">
        <w:rPr>
          <w:rFonts w:hint="cs"/>
          <w:rtl/>
        </w:rPr>
        <w:t xml:space="preserve"> </w:t>
      </w:r>
      <w:r w:rsidR="00805121">
        <w:rPr>
          <w:rFonts w:hint="cs"/>
          <w:rtl/>
        </w:rPr>
        <w:t>'</w:t>
      </w:r>
      <w:r w:rsidR="00333C42">
        <w:rPr>
          <w:rFonts w:hint="cs"/>
          <w:rtl/>
        </w:rPr>
        <w:t>אווידנציה</w:t>
      </w:r>
      <w:r w:rsidR="00805121">
        <w:rPr>
          <w:rFonts w:hint="cs"/>
          <w:rtl/>
        </w:rPr>
        <w:t>'</w:t>
      </w:r>
      <w:r w:rsidR="00333C42">
        <w:rPr>
          <w:rFonts w:hint="cs"/>
          <w:rtl/>
        </w:rPr>
        <w:t xml:space="preserve"> שהיא הדרך בה אנו משיגים את המושכלות הראשונות של הלוגיקה</w:t>
      </w:r>
      <w:r w:rsidR="00EB616D">
        <w:rPr>
          <w:rFonts w:hint="cs"/>
          <w:rtl/>
        </w:rPr>
        <w:t>, כוודאות מובנת מאליה בלי צורך בהוכחות לוגיות)</w:t>
      </w:r>
      <w:r w:rsidR="00CA2CFE">
        <w:rPr>
          <w:rFonts w:hint="cs"/>
          <w:rtl/>
        </w:rPr>
        <w:t>.</w:t>
      </w:r>
      <w:r w:rsidR="0075127C">
        <w:rPr>
          <w:rFonts w:hint="cs"/>
          <w:rtl/>
        </w:rPr>
        <w:t xml:space="preserve"> </w:t>
      </w:r>
      <w:r w:rsidR="00CA2CFE">
        <w:rPr>
          <w:rFonts w:hint="cs"/>
          <w:rtl/>
        </w:rPr>
        <w:t xml:space="preserve">וד'הן הוא </w:t>
      </w:r>
      <w:r w:rsidR="00A40897">
        <w:rPr>
          <w:rFonts w:hint="cs"/>
          <w:rtl/>
        </w:rPr>
        <w:t>שם כללי לכוחות השכליים</w:t>
      </w:r>
      <w:r w:rsidR="00893065">
        <w:rPr>
          <w:rFonts w:hint="cs"/>
          <w:rtl/>
        </w:rPr>
        <w:t>, ו</w:t>
      </w:r>
      <w:r w:rsidR="006E4646">
        <w:rPr>
          <w:rFonts w:hint="cs"/>
          <w:rtl/>
        </w:rPr>
        <w:t>כולל את</w:t>
      </w:r>
      <w:r w:rsidR="00893065">
        <w:rPr>
          <w:rFonts w:hint="cs"/>
          <w:rtl/>
        </w:rPr>
        <w:t xml:space="preserve"> </w:t>
      </w:r>
      <w:r w:rsidR="006E4646">
        <w:rPr>
          <w:rFonts w:hint="cs"/>
          <w:rtl/>
        </w:rPr>
        <w:t>ה</w:t>
      </w:r>
      <w:r w:rsidR="00893065">
        <w:rPr>
          <w:rFonts w:hint="cs"/>
          <w:rtl/>
        </w:rPr>
        <w:t>שכל ה</w:t>
      </w:r>
      <w:r w:rsidR="00AA7C7E" w:rsidRPr="00AA7C7E">
        <w:rPr>
          <w:rtl/>
        </w:rPr>
        <w:t>דָּבְּרִי</w:t>
      </w:r>
      <w:r w:rsidR="0075127C">
        <w:rPr>
          <w:rFonts w:hint="cs"/>
          <w:rtl/>
        </w:rPr>
        <w:t xml:space="preserve"> (</w:t>
      </w:r>
      <w:r w:rsidR="006E4646">
        <w:rPr>
          <w:rFonts w:hint="cs"/>
          <w:rtl/>
        </w:rPr>
        <w:t xml:space="preserve">'דברי' מלשון דיבור. </w:t>
      </w:r>
      <w:r w:rsidR="0075127C">
        <w:rPr>
          <w:rFonts w:hint="cs"/>
          <w:rtl/>
        </w:rPr>
        <w:t>הכח המדבר, הוא השכל שהאדם נולד איתו. לעומת השכל העיוני שמגיעים אליו רק בעמל ה</w:t>
      </w:r>
      <w:r w:rsidR="000D69D4">
        <w:rPr>
          <w:rFonts w:hint="cs"/>
          <w:rtl/>
        </w:rPr>
        <w:t>עיון במושכלות</w:t>
      </w:r>
      <w:r w:rsidR="0075127C">
        <w:rPr>
          <w:rFonts w:hint="cs"/>
          <w:rtl/>
        </w:rPr>
        <w:t>)</w:t>
      </w:r>
      <w:r w:rsidR="00893065">
        <w:rPr>
          <w:rFonts w:hint="cs"/>
          <w:rtl/>
        </w:rPr>
        <w:t xml:space="preserve"> שחושב באמצעות</w:t>
      </w:r>
      <w:r w:rsidR="001F169C">
        <w:rPr>
          <w:rFonts w:hint="cs"/>
          <w:rtl/>
        </w:rPr>
        <w:t xml:space="preserve"> </w:t>
      </w:r>
      <w:r w:rsidR="00893065">
        <w:rPr>
          <w:rFonts w:hint="cs"/>
          <w:rtl/>
        </w:rPr>
        <w:t xml:space="preserve">מושגים בעלי הגדרה, </w:t>
      </w:r>
      <w:r w:rsidR="001F169C">
        <w:rPr>
          <w:rFonts w:hint="cs"/>
          <w:rtl/>
        </w:rPr>
        <w:t>דהיינו מילים, חשבונות</w:t>
      </w:r>
      <w:r w:rsidR="00F4087C">
        <w:rPr>
          <w:rFonts w:hint="cs"/>
          <w:rtl/>
        </w:rPr>
        <w:t xml:space="preserve"> והיקש</w:t>
      </w:r>
      <w:r w:rsidR="00A40897">
        <w:rPr>
          <w:rFonts w:hint="cs"/>
          <w:rtl/>
        </w:rPr>
        <w:t>.</w:t>
      </w:r>
      <w:r w:rsidR="001F169C">
        <w:rPr>
          <w:rFonts w:hint="cs"/>
          <w:rtl/>
        </w:rPr>
        <w:t xml:space="preserve"> השכל העיוני שותק (כמו שכתב במורה נבוכים א' סוף פרק נ') ואינו עושה חשבונות.</w:t>
      </w:r>
    </w:p>
    <w:p w14:paraId="1F669DA3" w14:textId="55483FA8" w:rsidR="00AF6CF0" w:rsidRDefault="00020476">
      <w:pPr>
        <w:pStyle w:val="FootnoteText"/>
        <w:rPr>
          <w:rtl/>
        </w:rPr>
      </w:pPr>
      <w:r>
        <w:rPr>
          <w:rFonts w:hint="cs"/>
          <w:rtl/>
        </w:rPr>
        <w:t>'</w:t>
      </w:r>
      <w:r w:rsidR="00F67A2E">
        <w:rPr>
          <w:rFonts w:hint="cs"/>
          <w:rtl/>
        </w:rPr>
        <w:t>התבוננות</w:t>
      </w:r>
      <w:r>
        <w:rPr>
          <w:rFonts w:hint="cs"/>
          <w:rtl/>
        </w:rPr>
        <w:t>'</w:t>
      </w:r>
      <w:r w:rsidR="00F67A2E">
        <w:rPr>
          <w:rFonts w:hint="cs"/>
          <w:rtl/>
        </w:rPr>
        <w:t xml:space="preserve"> במורה נבוכים, </w:t>
      </w:r>
      <w:r w:rsidR="004B78BC">
        <w:rPr>
          <w:rFonts w:hint="cs"/>
          <w:rtl/>
        </w:rPr>
        <w:t>משמשת ל</w:t>
      </w:r>
      <w:r w:rsidR="00F67A2E">
        <w:rPr>
          <w:rFonts w:hint="cs"/>
          <w:rtl/>
        </w:rPr>
        <w:t>פעולת השכל העיוני</w:t>
      </w:r>
      <w:r w:rsidR="004D6350">
        <w:rPr>
          <w:rFonts w:hint="cs"/>
          <w:rtl/>
        </w:rPr>
        <w:t xml:space="preserve"> (אולי יש מעט יוצאים מהכלל, אינני זוכר כעת)</w:t>
      </w:r>
      <w:r w:rsidR="00F67A2E">
        <w:rPr>
          <w:rFonts w:hint="cs"/>
          <w:rtl/>
        </w:rPr>
        <w:t>.</w:t>
      </w:r>
      <w:r w:rsidR="00B80678">
        <w:rPr>
          <w:rFonts w:hint="cs"/>
          <w:rtl/>
        </w:rPr>
        <w:t xml:space="preserve"> </w:t>
      </w:r>
      <w:r w:rsidR="00B80678" w:rsidRPr="00B80678">
        <w:rPr>
          <w:rtl/>
        </w:rPr>
        <w:t>במשנה תורה שנכתב בעברית על ידי הרמב"ם</w:t>
      </w:r>
      <w:r w:rsidR="00B80678">
        <w:rPr>
          <w:rFonts w:hint="cs"/>
          <w:rtl/>
        </w:rPr>
        <w:t xml:space="preserve"> גם כן יש התבוננות במובן של פעולת השכל העיוני</w:t>
      </w:r>
      <w:r w:rsidR="00B80678" w:rsidRPr="00B80678">
        <w:rPr>
          <w:rtl/>
        </w:rPr>
        <w:t xml:space="preserve"> (למשל הלכות יסודי התורה ב' א'</w:t>
      </w:r>
      <w:r w:rsidR="00B075DA">
        <w:rPr>
          <w:rFonts w:hint="cs"/>
          <w:rtl/>
        </w:rPr>
        <w:t xml:space="preserve">, וגם הלכות מעילה </w:t>
      </w:r>
      <w:r w:rsidR="00FD0D32">
        <w:rPr>
          <w:rFonts w:hint="cs"/>
          <w:rtl/>
        </w:rPr>
        <w:t>ח' ח' ותמורה ד' י"ג</w:t>
      </w:r>
      <w:r w:rsidR="00B80678" w:rsidRPr="00B80678">
        <w:rPr>
          <w:rtl/>
        </w:rPr>
        <w:t>)</w:t>
      </w:r>
      <w:r w:rsidR="00612260">
        <w:rPr>
          <w:rFonts w:hint="cs"/>
          <w:rtl/>
        </w:rPr>
        <w:t>, אבל גם במובן של הסתכלות היטב בכוח שכלי שאינו השכל העיונ</w:t>
      </w:r>
      <w:r w:rsidR="00C85F52">
        <w:rPr>
          <w:rFonts w:hint="cs"/>
          <w:rtl/>
        </w:rPr>
        <w:t xml:space="preserve">י </w:t>
      </w:r>
      <w:r w:rsidR="00612260">
        <w:rPr>
          <w:rFonts w:hint="cs"/>
          <w:rtl/>
        </w:rPr>
        <w:t xml:space="preserve">ואפילו </w:t>
      </w:r>
      <w:r w:rsidR="004D6350">
        <w:rPr>
          <w:rFonts w:hint="cs"/>
          <w:rtl/>
        </w:rPr>
        <w:t>ב</w:t>
      </w:r>
      <w:r w:rsidR="00612260">
        <w:rPr>
          <w:rFonts w:hint="cs"/>
          <w:rtl/>
        </w:rPr>
        <w:t xml:space="preserve">חוש הראייה הגשמי או </w:t>
      </w:r>
      <w:r w:rsidR="004D6350">
        <w:rPr>
          <w:rFonts w:hint="cs"/>
          <w:rtl/>
        </w:rPr>
        <w:t>ב</w:t>
      </w:r>
      <w:r w:rsidR="00612260">
        <w:rPr>
          <w:rFonts w:hint="cs"/>
          <w:rtl/>
        </w:rPr>
        <w:t>כח הדמיון</w:t>
      </w:r>
      <w:r w:rsidR="00DE37C4">
        <w:rPr>
          <w:rFonts w:hint="cs"/>
          <w:rtl/>
        </w:rPr>
        <w:t>. וכגון בהלכות איסורי ביאה כ"א כ"ד</w:t>
      </w:r>
      <w:r w:rsidR="00C85F52">
        <w:rPr>
          <w:rFonts w:hint="cs"/>
          <w:rtl/>
        </w:rPr>
        <w:t xml:space="preserve"> או נזקי ממון י"ג ה'</w:t>
      </w:r>
      <w:r w:rsidR="00DE37C4">
        <w:rPr>
          <w:rFonts w:hint="cs"/>
          <w:rtl/>
        </w:rPr>
        <w:t>)</w:t>
      </w:r>
      <w:r w:rsidR="00AF6CF0">
        <w:rPr>
          <w:rFonts w:hint="cs"/>
          <w:rtl/>
        </w:rPr>
        <w:t xml:space="preserve">. </w:t>
      </w:r>
      <w:r w:rsidR="00EE2C1B">
        <w:rPr>
          <w:rFonts w:hint="cs"/>
          <w:rtl/>
        </w:rPr>
        <w:t xml:space="preserve">בכל אופן </w:t>
      </w:r>
      <w:r w:rsidR="00924C41">
        <w:rPr>
          <w:rFonts w:hint="cs"/>
          <w:rtl/>
        </w:rPr>
        <w:t>בלשון התבוננות הכוונה ל</w:t>
      </w:r>
      <w:r w:rsidR="00EE2C1B">
        <w:rPr>
          <w:rFonts w:hint="cs"/>
          <w:rtl/>
        </w:rPr>
        <w:t>הסתכלות באחד מכוחות</w:t>
      </w:r>
      <w:r w:rsidR="00924C41">
        <w:rPr>
          <w:rFonts w:hint="cs"/>
          <w:rtl/>
        </w:rPr>
        <w:t xml:space="preserve"> </w:t>
      </w:r>
      <w:r w:rsidR="00EE2C1B">
        <w:rPr>
          <w:rFonts w:hint="cs"/>
          <w:rtl/>
        </w:rPr>
        <w:t>התודעה היכולים להסתכל</w:t>
      </w:r>
      <w:r w:rsidR="00FF05DB">
        <w:rPr>
          <w:rFonts w:hint="cs"/>
          <w:rtl/>
        </w:rPr>
        <w:t>, כלומר להשיג את המציאות באופן ישיר בלתי אמצעי ומיידי</w:t>
      </w:r>
      <w:r w:rsidR="00924C41">
        <w:rPr>
          <w:rFonts w:hint="cs"/>
          <w:rtl/>
        </w:rPr>
        <w:t xml:space="preserve"> (שכל עיוני, כח הדמיון, החוש הגשמי)</w:t>
      </w:r>
      <w:r w:rsidR="00EE2C1B">
        <w:rPr>
          <w:rFonts w:hint="cs"/>
          <w:rtl/>
        </w:rPr>
        <w:t>, ו</w:t>
      </w:r>
      <w:r w:rsidR="00924C41">
        <w:rPr>
          <w:rFonts w:hint="cs"/>
          <w:rtl/>
        </w:rPr>
        <w:t>לא</w:t>
      </w:r>
      <w:r w:rsidR="00EE2C1B">
        <w:rPr>
          <w:rFonts w:hint="cs"/>
          <w:rtl/>
        </w:rPr>
        <w:t xml:space="preserve"> בפעולת השכל הדברי שהיא על ידי מושגים בעלי הגדרה וחשבונות והיקשים ו</w:t>
      </w:r>
      <w:r w:rsidR="00924C41">
        <w:rPr>
          <w:rFonts w:hint="cs"/>
          <w:rtl/>
        </w:rPr>
        <w:t>לא</w:t>
      </w:r>
      <w:r w:rsidR="00EE2C1B">
        <w:rPr>
          <w:rFonts w:hint="cs"/>
          <w:rtl/>
        </w:rPr>
        <w:t xml:space="preserve"> בהסתכלות ישירה</w:t>
      </w:r>
      <w:r w:rsidR="00924C41">
        <w:rPr>
          <w:rFonts w:hint="cs"/>
          <w:rtl/>
        </w:rPr>
        <w:t>.</w:t>
      </w:r>
    </w:p>
    <w:p w14:paraId="0784CDCB" w14:textId="2488AECF" w:rsidR="005C35F3" w:rsidRDefault="00AF6CF0">
      <w:pPr>
        <w:pStyle w:val="FootnoteText"/>
      </w:pPr>
      <w:r>
        <w:rPr>
          <w:rFonts w:hint="cs"/>
          <w:rtl/>
        </w:rPr>
        <w:t xml:space="preserve">כדי להפריד את </w:t>
      </w:r>
      <w:r w:rsidR="009676BE">
        <w:rPr>
          <w:rFonts w:hint="cs"/>
          <w:rtl/>
        </w:rPr>
        <w:t>'עקל' מ'ד'הן'</w:t>
      </w:r>
      <w:r w:rsidR="00893065">
        <w:rPr>
          <w:rFonts w:hint="cs"/>
          <w:rtl/>
        </w:rPr>
        <w:t xml:space="preserve"> ולהבחין שעקל פירושו </w:t>
      </w:r>
      <w:r w:rsidR="00C35F8A">
        <w:rPr>
          <w:rFonts w:hint="cs"/>
          <w:rtl/>
        </w:rPr>
        <w:t xml:space="preserve">דווקא </w:t>
      </w:r>
      <w:r w:rsidR="00893065">
        <w:rPr>
          <w:rFonts w:hint="cs"/>
          <w:rtl/>
        </w:rPr>
        <w:t>השכל העיוני</w:t>
      </w:r>
      <w:r w:rsidR="009676BE">
        <w:rPr>
          <w:rFonts w:hint="cs"/>
          <w:rtl/>
        </w:rPr>
        <w:t xml:space="preserve">, </w:t>
      </w:r>
      <w:r w:rsidR="00924C41">
        <w:rPr>
          <w:rFonts w:hint="cs"/>
          <w:rtl/>
        </w:rPr>
        <w:t xml:space="preserve">שהרי </w:t>
      </w:r>
      <w:r w:rsidR="009676BE">
        <w:rPr>
          <w:rFonts w:hint="cs"/>
          <w:rtl/>
        </w:rPr>
        <w:t>תרגום שניהם</w:t>
      </w:r>
      <w:r w:rsidR="00924C41">
        <w:rPr>
          <w:rFonts w:hint="cs"/>
          <w:rtl/>
        </w:rPr>
        <w:t xml:space="preserve"> הוא</w:t>
      </w:r>
      <w:r w:rsidR="009676BE">
        <w:rPr>
          <w:rFonts w:hint="cs"/>
          <w:rtl/>
        </w:rPr>
        <w:t xml:space="preserve"> </w:t>
      </w:r>
      <w:r w:rsidR="00924C41">
        <w:rPr>
          <w:rFonts w:hint="cs"/>
          <w:rtl/>
        </w:rPr>
        <w:t>'</w:t>
      </w:r>
      <w:r w:rsidR="009676BE">
        <w:rPr>
          <w:rFonts w:hint="cs"/>
          <w:rtl/>
        </w:rPr>
        <w:t>שכל</w:t>
      </w:r>
      <w:r w:rsidR="00924C41">
        <w:rPr>
          <w:rFonts w:hint="cs"/>
          <w:rtl/>
        </w:rPr>
        <w:t>'</w:t>
      </w:r>
      <w:r w:rsidR="009676BE">
        <w:rPr>
          <w:rFonts w:hint="cs"/>
          <w:rtl/>
        </w:rPr>
        <w:t xml:space="preserve">, צירפתי ל'עקל' את הלשון </w:t>
      </w:r>
      <w:r w:rsidR="00C35F8A">
        <w:rPr>
          <w:rFonts w:hint="cs"/>
          <w:rtl/>
        </w:rPr>
        <w:t>'</w:t>
      </w:r>
      <w:r w:rsidR="00893065">
        <w:rPr>
          <w:rFonts w:hint="cs"/>
          <w:rtl/>
        </w:rPr>
        <w:t>התבוננות</w:t>
      </w:r>
      <w:r w:rsidR="00C35F8A">
        <w:rPr>
          <w:rFonts w:hint="cs"/>
          <w:rtl/>
        </w:rPr>
        <w:t>'</w:t>
      </w:r>
      <w:r w:rsidR="00893065">
        <w:rPr>
          <w:rFonts w:hint="cs"/>
          <w:rtl/>
        </w:rPr>
        <w:t xml:space="preserve"> </w:t>
      </w:r>
      <w:r w:rsidR="009676BE">
        <w:rPr>
          <w:rFonts w:hint="cs"/>
          <w:rtl/>
        </w:rPr>
        <w:t>ששיי</w:t>
      </w:r>
      <w:r w:rsidR="00C35F8A">
        <w:rPr>
          <w:rFonts w:hint="cs"/>
          <w:rtl/>
        </w:rPr>
        <w:t>כת</w:t>
      </w:r>
      <w:r w:rsidR="00BD2A0B">
        <w:rPr>
          <w:rFonts w:hint="cs"/>
          <w:rtl/>
        </w:rPr>
        <w:t xml:space="preserve"> רק</w:t>
      </w:r>
      <w:r w:rsidR="009676BE">
        <w:rPr>
          <w:rFonts w:hint="cs"/>
          <w:rtl/>
        </w:rPr>
        <w:t xml:space="preserve"> בשכל העיוני. </w:t>
      </w:r>
      <w:r w:rsidR="00F67A2E">
        <w:rPr>
          <w:rFonts w:hint="cs"/>
          <w:rtl/>
        </w:rPr>
        <w:t xml:space="preserve"> </w:t>
      </w:r>
      <w:r w:rsidR="008330E1">
        <w:rPr>
          <w:rFonts w:hint="cs"/>
          <w:rtl/>
        </w:rPr>
        <w:t xml:space="preserve"> </w:t>
      </w:r>
    </w:p>
  </w:footnote>
  <w:footnote w:id="629">
    <w:p w14:paraId="2811B13D" w14:textId="7BC765A3" w:rsidR="0021786C" w:rsidRDefault="0021786C">
      <w:pPr>
        <w:pStyle w:val="FootnoteText"/>
        <w:rPr>
          <w:rtl/>
        </w:rPr>
      </w:pPr>
      <w:r>
        <w:rPr>
          <w:rStyle w:val="FootnoteReference"/>
        </w:rPr>
        <w:footnoteRef/>
      </w:r>
      <w:r>
        <w:rPr>
          <w:rtl/>
        </w:rPr>
        <w:t xml:space="preserve"> </w:t>
      </w:r>
      <w:r w:rsidR="0001771B">
        <w:rPr>
          <w:rFonts w:hint="cs"/>
          <w:rtl/>
        </w:rPr>
        <w:t>השכל הנפרד בעצמו, שאינו משתתף עם כח הדמיון, לא יכול להשיג חומרים שונים, אלא רק את המושג הכללי של 'חומר'.</w:t>
      </w:r>
      <w:r w:rsidR="0080305D">
        <w:rPr>
          <w:rFonts w:hint="cs"/>
          <w:rtl/>
        </w:rPr>
        <w:t xml:space="preserve"> אין הבנה שכלית מה מייחד את הברזל מהחמאה, </w:t>
      </w:r>
      <w:r w:rsidR="00D23310">
        <w:rPr>
          <w:rFonts w:hint="cs"/>
          <w:rtl/>
        </w:rPr>
        <w:t xml:space="preserve">כי </w:t>
      </w:r>
      <w:r w:rsidR="00CF7B66">
        <w:rPr>
          <w:rFonts w:hint="cs"/>
          <w:rtl/>
        </w:rPr>
        <w:t xml:space="preserve">מזג היסודות </w:t>
      </w:r>
      <w:r w:rsidR="00D23310">
        <w:rPr>
          <w:rFonts w:hint="cs"/>
          <w:rtl/>
        </w:rPr>
        <w:t>שבחומר הוא מקרי</w:t>
      </w:r>
      <w:r w:rsidR="00CF7B66">
        <w:rPr>
          <w:rFonts w:hint="cs"/>
          <w:rtl/>
        </w:rPr>
        <w:t xml:space="preserve"> ואין לשכל דרך לדעתו. </w:t>
      </w:r>
      <w:r w:rsidR="0080305D">
        <w:rPr>
          <w:rFonts w:hint="cs"/>
          <w:rtl/>
        </w:rPr>
        <w:t xml:space="preserve">רק כח הדמיון תופש </w:t>
      </w:r>
      <w:r w:rsidR="00771C41">
        <w:rPr>
          <w:rFonts w:hint="cs"/>
          <w:rtl/>
        </w:rPr>
        <w:t>בכח הרושם החושי את</w:t>
      </w:r>
      <w:r w:rsidR="000076CC">
        <w:rPr>
          <w:rFonts w:hint="cs"/>
          <w:rtl/>
        </w:rPr>
        <w:t xml:space="preserve"> החומר המסוים ואת</w:t>
      </w:r>
      <w:r w:rsidR="00771C41">
        <w:rPr>
          <w:rFonts w:hint="cs"/>
          <w:rtl/>
        </w:rPr>
        <w:t xml:space="preserve"> ההבדל</w:t>
      </w:r>
      <w:r w:rsidR="000076CC">
        <w:rPr>
          <w:rFonts w:hint="cs"/>
          <w:rtl/>
        </w:rPr>
        <w:t xml:space="preserve"> בין חומרים</w:t>
      </w:r>
      <w:r w:rsidR="00771C41">
        <w:rPr>
          <w:rFonts w:hint="cs"/>
          <w:rtl/>
        </w:rPr>
        <w:t>. זה דומה למה שהשכל הנפרד בעצמו לא יכול לתפוש את ההבדל בין ראובן ושמעון, כי ה</w:t>
      </w:r>
      <w:r w:rsidR="00D338B9">
        <w:rPr>
          <w:rFonts w:hint="cs"/>
          <w:rtl/>
        </w:rPr>
        <w:t>שכל</w:t>
      </w:r>
      <w:r w:rsidR="00771C41">
        <w:rPr>
          <w:rFonts w:hint="cs"/>
          <w:rtl/>
        </w:rPr>
        <w:t xml:space="preserve"> </w:t>
      </w:r>
      <w:r w:rsidR="00D338B9">
        <w:rPr>
          <w:rFonts w:hint="cs"/>
          <w:rtl/>
        </w:rPr>
        <w:t>יכול ל</w:t>
      </w:r>
      <w:r w:rsidR="00771C41">
        <w:rPr>
          <w:rFonts w:hint="cs"/>
          <w:rtl/>
        </w:rPr>
        <w:t>תפ</w:t>
      </w:r>
      <w:r w:rsidR="00D338B9">
        <w:rPr>
          <w:rFonts w:hint="cs"/>
          <w:rtl/>
        </w:rPr>
        <w:t>ו</w:t>
      </w:r>
      <w:r w:rsidR="00771C41">
        <w:rPr>
          <w:rFonts w:hint="cs"/>
          <w:rtl/>
        </w:rPr>
        <w:t>ש רק את הצורה, שהיא 'אדם'</w:t>
      </w:r>
      <w:r w:rsidR="00D338B9">
        <w:rPr>
          <w:rFonts w:hint="cs"/>
          <w:rtl/>
        </w:rPr>
        <w:t>, כלומר 'חי מדבר', וההבדל בין ראוב</w:t>
      </w:r>
      <w:r w:rsidR="003A1662">
        <w:rPr>
          <w:rFonts w:hint="cs"/>
          <w:rtl/>
        </w:rPr>
        <w:t>ן</w:t>
      </w:r>
      <w:r w:rsidR="00D338B9">
        <w:rPr>
          <w:rFonts w:hint="cs"/>
          <w:rtl/>
        </w:rPr>
        <w:t xml:space="preserve"> לשמעון אינו מצד הצורה אלא</w:t>
      </w:r>
      <w:r w:rsidR="003A1662">
        <w:rPr>
          <w:rFonts w:hint="cs"/>
          <w:rtl/>
        </w:rPr>
        <w:t xml:space="preserve"> </w:t>
      </w:r>
      <w:r w:rsidR="00D338B9">
        <w:rPr>
          <w:rFonts w:hint="cs"/>
          <w:rtl/>
        </w:rPr>
        <w:t>מצד החומר</w:t>
      </w:r>
      <w:r w:rsidR="00D21672">
        <w:rPr>
          <w:rFonts w:hint="cs"/>
          <w:rtl/>
        </w:rPr>
        <w:t xml:space="preserve"> (</w:t>
      </w:r>
      <w:r w:rsidR="00447585">
        <w:rPr>
          <w:rFonts w:hint="cs"/>
          <w:rtl/>
        </w:rPr>
        <w:t>שינ</w:t>
      </w:r>
      <w:r w:rsidR="006523BF">
        <w:rPr>
          <w:rFonts w:hint="cs"/>
          <w:rtl/>
        </w:rPr>
        <w:t>ו</w:t>
      </w:r>
      <w:r w:rsidR="00447585">
        <w:rPr>
          <w:rFonts w:hint="cs"/>
          <w:rtl/>
        </w:rPr>
        <w:t>יי מזג החומר שלהם מונעים מהצורה</w:t>
      </w:r>
      <w:r w:rsidR="006523BF">
        <w:rPr>
          <w:rFonts w:hint="cs"/>
          <w:rtl/>
        </w:rPr>
        <w:t xml:space="preserve"> </w:t>
      </w:r>
      <w:r w:rsidR="00447585">
        <w:rPr>
          <w:rFonts w:hint="cs"/>
          <w:rtl/>
        </w:rPr>
        <w:t>להתממש בהם באופן מלא, והחסרונות שבמימוש הצורה הם מה שמחלק בין ראובן לשמעון</w:t>
      </w:r>
      <w:r w:rsidR="00D338B9">
        <w:rPr>
          <w:rFonts w:hint="cs"/>
          <w:rtl/>
        </w:rPr>
        <w:t xml:space="preserve">, </w:t>
      </w:r>
      <w:r w:rsidR="006523BF">
        <w:rPr>
          <w:rFonts w:hint="cs"/>
          <w:rtl/>
        </w:rPr>
        <w:t>ולכן ההבדל ביניהם נובע מהחומר ו</w:t>
      </w:r>
      <w:r w:rsidR="00800890">
        <w:rPr>
          <w:rFonts w:hint="cs"/>
          <w:rtl/>
        </w:rPr>
        <w:t>לא</w:t>
      </w:r>
      <w:r w:rsidR="006523BF">
        <w:rPr>
          <w:rFonts w:hint="cs"/>
          <w:rtl/>
        </w:rPr>
        <w:t xml:space="preserve"> מהצורה שהיא צורה אחת ששניהם נוטלים בה חלק לפי מזג חומרם</w:t>
      </w:r>
      <w:r w:rsidR="00DB7B13">
        <w:rPr>
          <w:rFonts w:hint="cs"/>
          <w:rtl/>
        </w:rPr>
        <w:t xml:space="preserve">. וכמו שכתב </w:t>
      </w:r>
      <w:r w:rsidR="00916FC2">
        <w:rPr>
          <w:rFonts w:hint="cs"/>
          <w:rtl/>
        </w:rPr>
        <w:t xml:space="preserve">אריסטו </w:t>
      </w:r>
      <w:r w:rsidR="00DB7B13">
        <w:rPr>
          <w:rFonts w:hint="cs"/>
          <w:rtl/>
        </w:rPr>
        <w:t xml:space="preserve">במטאפיזיקה </w:t>
      </w:r>
      <w:r w:rsidR="00DB7B13">
        <w:rPr>
          <w:rFonts w:hint="cs"/>
          <w:rtl/>
        </w:rPr>
        <w:t>זטא סוף פרק ח'</w:t>
      </w:r>
      <w:r w:rsidR="006523BF">
        <w:rPr>
          <w:rFonts w:hint="cs"/>
          <w:rtl/>
        </w:rPr>
        <w:t xml:space="preserve">) </w:t>
      </w:r>
      <w:r w:rsidR="00D338B9">
        <w:rPr>
          <w:rFonts w:hint="cs"/>
          <w:rtl/>
        </w:rPr>
        <w:t>ולשכל אין תפישה בחומר</w:t>
      </w:r>
      <w:r w:rsidR="003A1662">
        <w:rPr>
          <w:rFonts w:hint="cs"/>
          <w:rtl/>
        </w:rPr>
        <w:t xml:space="preserve"> כל זמן שאינו משתף את כח הדמיון</w:t>
      </w:r>
      <w:r w:rsidR="00916FC2">
        <w:rPr>
          <w:rFonts w:hint="cs"/>
          <w:rtl/>
        </w:rPr>
        <w:t xml:space="preserve"> (עיין מורה נבוכים ג' ט"ז שיש שהסיקו מזה שלא ייתכן שהבורא יודע את </w:t>
      </w:r>
      <w:r w:rsidR="00AE5E20">
        <w:rPr>
          <w:rFonts w:hint="cs"/>
          <w:rtl/>
        </w:rPr>
        <w:t>המקרים של כל פרט חומרי שבעולם התחתון, כי הבורא משיג בהשגה שכלית ו</w:t>
      </w:r>
      <w:r w:rsidR="00D423D1">
        <w:rPr>
          <w:rFonts w:hint="cs"/>
          <w:rtl/>
        </w:rPr>
        <w:t>לא</w:t>
      </w:r>
      <w:r w:rsidR="00AE5E20">
        <w:rPr>
          <w:rFonts w:hint="cs"/>
          <w:rtl/>
        </w:rPr>
        <w:t xml:space="preserve"> בהשגה של חוש ודמיון, </w:t>
      </w:r>
      <w:r w:rsidR="00D423D1">
        <w:rPr>
          <w:rFonts w:hint="cs"/>
          <w:rtl/>
        </w:rPr>
        <w:t xml:space="preserve">והשכל משיג רק את הצורה, דהיינו המין, כלומר הוא משיג את מה שקורה למין האדם או מין הסוס שהם צורת אדם וצורת סוס, אבל לא משיג את המאורעות המיוחדים לראובן, או לסוס </w:t>
      </w:r>
      <w:r w:rsidR="009C463A">
        <w:rPr>
          <w:rFonts w:hint="cs"/>
          <w:rtl/>
        </w:rPr>
        <w:t>מסוים</w:t>
      </w:r>
      <w:r w:rsidR="0052057B">
        <w:rPr>
          <w:rFonts w:hint="cs"/>
          <w:rtl/>
        </w:rPr>
        <w:t xml:space="preserve"> </w:t>
      </w:r>
      <w:r w:rsidR="00D423D1">
        <w:rPr>
          <w:rFonts w:hint="cs"/>
          <w:rtl/>
        </w:rPr>
        <w:t>פלוני, כי הם נבדלים רק בהשגת החוש והדמיון</w:t>
      </w:r>
      <w:r w:rsidR="0052057B">
        <w:rPr>
          <w:rFonts w:hint="cs"/>
          <w:rtl/>
        </w:rPr>
        <w:t xml:space="preserve">. זו טעות כי בשורש השכל והדמיון הם דבר אחד, וכמו שכתב בתחילת שמונה פרקים שכל כוחות הנפש </w:t>
      </w:r>
      <w:r w:rsidR="005B66F3">
        <w:rPr>
          <w:rFonts w:hint="cs"/>
          <w:rtl/>
        </w:rPr>
        <w:t xml:space="preserve">השונים, מהכי מגושם והוא נפש הזן עד הכי מופשט והוא הנפש השכלית, </w:t>
      </w:r>
      <w:r w:rsidR="0052057B">
        <w:rPr>
          <w:rFonts w:hint="cs"/>
          <w:rtl/>
        </w:rPr>
        <w:t>הם נפש אחת לגמרי)</w:t>
      </w:r>
      <w:r w:rsidR="00D338B9">
        <w:rPr>
          <w:rFonts w:hint="cs"/>
          <w:rtl/>
        </w:rPr>
        <w:t xml:space="preserve">. </w:t>
      </w:r>
    </w:p>
    <w:p w14:paraId="2F7E7404" w14:textId="25BAC485" w:rsidR="00F12544" w:rsidRDefault="007B4997" w:rsidP="00BE3BFC">
      <w:pPr>
        <w:pStyle w:val="FootnoteText"/>
      </w:pPr>
      <w:r>
        <w:rPr>
          <w:rFonts w:hint="cs"/>
          <w:rtl/>
        </w:rPr>
        <w:t xml:space="preserve">האחדות בין העצם למקרה ההכרחי, היא בסוד </w:t>
      </w:r>
      <w:r w:rsidR="00F048B7">
        <w:rPr>
          <w:rFonts w:hint="cs"/>
          <w:rtl/>
        </w:rPr>
        <w:t>ה</w:t>
      </w:r>
      <w:r>
        <w:rPr>
          <w:rFonts w:hint="cs"/>
          <w:rtl/>
        </w:rPr>
        <w:t xml:space="preserve">אחדות בין המציאות המופשטת למציאות החומרית, </w:t>
      </w:r>
      <w:r w:rsidR="00F048B7">
        <w:rPr>
          <w:rFonts w:hint="cs"/>
          <w:rtl/>
        </w:rPr>
        <w:t>וכעת אנו למדים שזה גם בסוד האחדות בין השכל לכח הדמיון, שהיא בחינה באותו עניין</w:t>
      </w:r>
      <w:r w:rsidR="00F12544">
        <w:rPr>
          <w:rFonts w:hint="cs"/>
          <w:rtl/>
        </w:rPr>
        <w:t>.</w:t>
      </w:r>
    </w:p>
  </w:footnote>
  <w:footnote w:id="630">
    <w:p w14:paraId="090DC918" w14:textId="479DCE33" w:rsidR="00092E17" w:rsidRDefault="00092E17">
      <w:pPr>
        <w:pStyle w:val="FootnoteText"/>
      </w:pPr>
      <w:r>
        <w:rPr>
          <w:rStyle w:val="FootnoteReference"/>
        </w:rPr>
        <w:footnoteRef/>
      </w:r>
      <w:r>
        <w:rPr>
          <w:rtl/>
        </w:rPr>
        <w:t xml:space="preserve"> </w:t>
      </w:r>
      <w:r w:rsidR="00E63261">
        <w:rPr>
          <w:rFonts w:hint="cs"/>
          <w:rtl/>
        </w:rPr>
        <w:t xml:space="preserve">כלומר הוא אדיש לאיזה חומר </w:t>
      </w:r>
      <w:r w:rsidR="009C463A">
        <w:rPr>
          <w:rFonts w:hint="cs"/>
          <w:rtl/>
        </w:rPr>
        <w:t>מסוים</w:t>
      </w:r>
      <w:r w:rsidR="00E63261">
        <w:rPr>
          <w:rFonts w:hint="cs"/>
          <w:rtl/>
        </w:rPr>
        <w:t xml:space="preserve"> הוא מודד גודל. אם אומרים על גוף שארכו מטר, אין כאן שום אמירה על איזה גוף זה. </w:t>
      </w:r>
    </w:p>
  </w:footnote>
  <w:footnote w:id="631">
    <w:p w14:paraId="5A49519F" w14:textId="39CDAE90" w:rsidR="008A0B68" w:rsidRPr="00B804E0" w:rsidRDefault="008A0B68">
      <w:pPr>
        <w:pStyle w:val="FootnoteText"/>
      </w:pPr>
      <w:r>
        <w:rPr>
          <w:rStyle w:val="FootnoteReference"/>
        </w:rPr>
        <w:footnoteRef/>
      </w:r>
      <w:r w:rsidRPr="00236922">
        <w:rPr>
          <w:rtl/>
        </w:rPr>
        <w:t xml:space="preserve"> </w:t>
      </w:r>
      <w:r w:rsidR="00916735" w:rsidRPr="00236922">
        <w:rPr>
          <w:rtl/>
        </w:rPr>
        <w:t xml:space="preserve">במקור </w:t>
      </w:r>
      <w:r w:rsidR="00916735" w:rsidRPr="00236922">
        <w:rPr>
          <w:rtl/>
          <w:lang w:bidi="ar-SA"/>
        </w:rPr>
        <w:t xml:space="preserve"> </w:t>
      </w:r>
      <w:r w:rsidR="00916735" w:rsidRPr="00236922">
        <w:rPr>
          <w:rFonts w:ascii="Arial" w:hAnsi="Arial" w:cs="Arial" w:hint="cs"/>
          <w:rtl/>
          <w:lang w:bidi="ar-SA"/>
        </w:rPr>
        <w:t>الت</w:t>
      </w:r>
      <w:bookmarkStart w:id="286" w:name="_Hlk111971519"/>
      <w:r w:rsidR="00916735" w:rsidRPr="00236922">
        <w:rPr>
          <w:rFonts w:ascii="Arial" w:hAnsi="Arial" w:cs="Arial" w:hint="cs"/>
          <w:rtl/>
          <w:lang w:bidi="ar-SA"/>
        </w:rPr>
        <w:t>وهم</w:t>
      </w:r>
      <w:bookmarkEnd w:id="286"/>
      <w:r w:rsidR="00916735" w:rsidRPr="00236922">
        <w:rPr>
          <w:rtl/>
          <w:lang w:bidi="ar-SA"/>
        </w:rPr>
        <w:t xml:space="preserve"> </w:t>
      </w:r>
      <w:r w:rsidR="00916735" w:rsidRPr="00236922">
        <w:rPr>
          <w:rtl/>
        </w:rPr>
        <w:t xml:space="preserve">משורש </w:t>
      </w:r>
      <w:r w:rsidR="00916735" w:rsidRPr="00236922">
        <w:rPr>
          <w:rFonts w:ascii="Arial" w:hAnsi="Arial" w:cs="Arial" w:hint="cs"/>
          <w:rtl/>
          <w:lang w:bidi="ar-SA"/>
        </w:rPr>
        <w:t>وهم</w:t>
      </w:r>
      <w:r w:rsidR="00810EA3" w:rsidRPr="00236922">
        <w:rPr>
          <w:rtl/>
        </w:rPr>
        <w:t xml:space="preserve"> (</w:t>
      </w:r>
      <w:r w:rsidR="00B80011" w:rsidRPr="00236922">
        <w:rPr>
          <w:rtl/>
        </w:rPr>
        <w:t>'</w:t>
      </w:r>
      <w:r w:rsidR="00810EA3" w:rsidRPr="00236922">
        <w:rPr>
          <w:rtl/>
        </w:rPr>
        <w:t>והם</w:t>
      </w:r>
      <w:r w:rsidR="00B80011" w:rsidRPr="00236922">
        <w:rPr>
          <w:rtl/>
        </w:rPr>
        <w:t>'</w:t>
      </w:r>
      <w:r w:rsidR="00810EA3" w:rsidRPr="00236922">
        <w:rPr>
          <w:rtl/>
        </w:rPr>
        <w:t>)</w:t>
      </w:r>
      <w:r w:rsidR="00A709D2" w:rsidRPr="00236922">
        <w:rPr>
          <w:rtl/>
        </w:rPr>
        <w:t xml:space="preserve">. </w:t>
      </w:r>
      <w:r w:rsidR="00A709D2" w:rsidRPr="00236922">
        <w:rPr>
          <w:rtl/>
        </w:rPr>
        <w:t xml:space="preserve">הכח הזה </w:t>
      </w:r>
      <w:r w:rsidR="00015F20">
        <w:rPr>
          <w:rFonts w:hint="cs"/>
          <w:rtl/>
        </w:rPr>
        <w:t xml:space="preserve">הוא חלק </w:t>
      </w:r>
      <w:r w:rsidR="00425400">
        <w:rPr>
          <w:rFonts w:hint="cs"/>
          <w:rtl/>
        </w:rPr>
        <w:t xml:space="preserve">גבוה של </w:t>
      </w:r>
      <w:r w:rsidR="00015F20">
        <w:rPr>
          <w:rFonts w:hint="cs"/>
          <w:rtl/>
        </w:rPr>
        <w:t>כח הדמיון, ו</w:t>
      </w:r>
      <w:r w:rsidR="00A709D2" w:rsidRPr="00236922">
        <w:rPr>
          <w:rtl/>
        </w:rPr>
        <w:t xml:space="preserve">נקרא בלשון ימי הביניים כח </w:t>
      </w:r>
      <w:r w:rsidR="00F87AD0" w:rsidRPr="00236922">
        <w:rPr>
          <w:rtl/>
        </w:rPr>
        <w:t>המִשְׁעָר</w:t>
      </w:r>
      <w:r w:rsidR="00A709D2" w:rsidRPr="00236922">
        <w:rPr>
          <w:rtl/>
        </w:rPr>
        <w:t>, עיין ביאור רחב בזה ב</w:t>
      </w:r>
      <w:hyperlink r:id="rId130" w:history="1">
        <w:r w:rsidR="00A709D2" w:rsidRPr="008339DE">
          <w:rPr>
            <w:rStyle w:val="Hyperlink"/>
            <w:rFonts w:hint="cs"/>
            <w:rtl/>
          </w:rPr>
          <w:t>רמיזות והערות</w:t>
        </w:r>
      </w:hyperlink>
      <w:r w:rsidR="00A709D2" w:rsidRPr="00236922">
        <w:rPr>
          <w:rtl/>
        </w:rPr>
        <w:t xml:space="preserve"> מאת אבן סינא חלק ג' פרק ט' בכח השלישי.</w:t>
      </w:r>
      <w:r w:rsidR="00F87AD0" w:rsidRPr="00236922">
        <w:rPr>
          <w:rtl/>
        </w:rPr>
        <w:t xml:space="preserve"> שם הבאתי בהערות מובאות מאריסטו, הכוזרי ועוד. </w:t>
      </w:r>
      <w:r w:rsidR="00B80011" w:rsidRPr="00236922">
        <w:rPr>
          <w:rtl/>
        </w:rPr>
        <w:t xml:space="preserve">יש גם </w:t>
      </w:r>
      <w:hyperlink r:id="rId131" w:history="1">
        <w:r w:rsidR="00B80011" w:rsidRPr="00236922">
          <w:rPr>
            <w:rStyle w:val="Hyperlink"/>
            <w:rtl/>
          </w:rPr>
          <w:t>מאמר של שלום צדיק בהבחנה בין 'פכר' ו'והם'</w:t>
        </w:r>
      </w:hyperlink>
      <w:r w:rsidR="00B80011" w:rsidRPr="00236922">
        <w:rPr>
          <w:rtl/>
        </w:rPr>
        <w:t>, ששניהם מתורגמים לעברית כ</w:t>
      </w:r>
      <w:r w:rsidR="0001661D" w:rsidRPr="00236922">
        <w:rPr>
          <w:rtl/>
        </w:rPr>
        <w:t>'</w:t>
      </w:r>
      <w:r w:rsidR="00B80011" w:rsidRPr="00236922">
        <w:rPr>
          <w:rtl/>
        </w:rPr>
        <w:t>מחשבה</w:t>
      </w:r>
      <w:r w:rsidR="0001661D" w:rsidRPr="00236922">
        <w:rPr>
          <w:rtl/>
        </w:rPr>
        <w:t>'</w:t>
      </w:r>
      <w:r w:rsidR="00B80011" w:rsidRPr="00236922">
        <w:rPr>
          <w:rtl/>
        </w:rPr>
        <w:t xml:space="preserve">. </w:t>
      </w:r>
    </w:p>
  </w:footnote>
  <w:footnote w:id="632">
    <w:p w14:paraId="407B410E" w14:textId="44FFC432" w:rsidR="00422102" w:rsidRDefault="00CE0E7E" w:rsidP="00422102">
      <w:pPr>
        <w:pStyle w:val="FootnoteText"/>
      </w:pPr>
      <w:r w:rsidRPr="00B804E0">
        <w:rPr>
          <w:rStyle w:val="FootnoteReference"/>
        </w:rPr>
        <w:footnoteRef/>
      </w:r>
      <w:r w:rsidRPr="00B804E0">
        <w:rPr>
          <w:rtl/>
        </w:rPr>
        <w:t xml:space="preserve"> </w:t>
      </w:r>
      <w:r w:rsidR="007D0139" w:rsidRPr="00B804E0">
        <w:rPr>
          <w:rtl/>
        </w:rPr>
        <w:t xml:space="preserve">כאן במקור </w:t>
      </w:r>
      <w:r w:rsidR="007D0139" w:rsidRPr="00B804E0">
        <w:rPr>
          <w:rFonts w:ascii="Arial" w:hAnsi="Arial" w:cs="Arial" w:hint="cs"/>
          <w:rtl/>
          <w:lang w:bidi="ar-SA"/>
        </w:rPr>
        <w:t>التخيلى</w:t>
      </w:r>
      <w:r w:rsidR="000D7E48" w:rsidRPr="00B804E0">
        <w:rPr>
          <w:rtl/>
        </w:rPr>
        <w:t>.</w:t>
      </w:r>
      <w:r w:rsidR="00EE1F48" w:rsidRPr="00B804E0">
        <w:rPr>
          <w:rtl/>
        </w:rPr>
        <w:t xml:space="preserve"> משורש</w:t>
      </w:r>
      <w:r w:rsidR="00F95E6F">
        <w:rPr>
          <w:rFonts w:hint="cs"/>
          <w:rtl/>
        </w:rPr>
        <w:t xml:space="preserve"> </w:t>
      </w:r>
      <w:r w:rsidR="00F95E6F" w:rsidRPr="00F95E6F">
        <w:rPr>
          <w:rFonts w:cs="Times New Roman" w:hint="eastAsia"/>
          <w:rtl/>
          <w:lang w:bidi="ar-SA"/>
        </w:rPr>
        <w:t>خَيَّل</w:t>
      </w:r>
      <w:r w:rsidR="00637143">
        <w:rPr>
          <w:rFonts w:hint="cs"/>
          <w:rtl/>
        </w:rPr>
        <w:t xml:space="preserve"> ('חייל')</w:t>
      </w:r>
      <w:r w:rsidR="00EE1F48" w:rsidRPr="00B804E0">
        <w:rPr>
          <w:rtl/>
        </w:rPr>
        <w:t xml:space="preserve"> </w:t>
      </w:r>
      <w:r w:rsidR="000D7E48" w:rsidRPr="00B804E0">
        <w:rPr>
          <w:rtl/>
        </w:rPr>
        <w:t>הוא</w:t>
      </w:r>
      <w:r w:rsidR="00EE1F48" w:rsidRPr="00B804E0">
        <w:rPr>
          <w:rtl/>
        </w:rPr>
        <w:t xml:space="preserve"> הנקרא בעברית כח </w:t>
      </w:r>
      <w:r w:rsidR="00EE1F48" w:rsidRPr="00B804E0">
        <w:rPr>
          <w:rtl/>
        </w:rPr>
        <w:t>הזכרון החושי, והוא גם ממדרגות כח הדמיו</w:t>
      </w:r>
      <w:r w:rsidR="00E50E12">
        <w:rPr>
          <w:rFonts w:hint="cs"/>
          <w:rtl/>
        </w:rPr>
        <w:t>ן</w:t>
      </w:r>
      <w:r w:rsidR="00EE1F48" w:rsidRPr="00B804E0">
        <w:rPr>
          <w:rtl/>
        </w:rPr>
        <w:t xml:space="preserve">. עיין בזה ברמיזות והערות שם בכח השני. </w:t>
      </w:r>
      <w:r w:rsidR="0039372C">
        <w:rPr>
          <w:rFonts w:hint="cs"/>
          <w:rtl/>
        </w:rPr>
        <w:t>נראה שכאן אבן סינא משתמש במילים שמורות על כח הדמיון בלי להבחין את ההבחנות המדוייקות בחלקי כח הדמיון שהבחין ברמיזות והערות שם</w:t>
      </w:r>
      <w:r w:rsidR="00CC370F">
        <w:rPr>
          <w:rFonts w:hint="cs"/>
          <w:rtl/>
        </w:rPr>
        <w:t>.</w:t>
      </w:r>
      <w:r w:rsidR="0039372C">
        <w:rPr>
          <w:rFonts w:hint="cs"/>
          <w:rtl/>
        </w:rPr>
        <w:t xml:space="preserve"> שם לצורך הניתוח ייחד לכל </w:t>
      </w:r>
      <w:r w:rsidR="00184B18">
        <w:rPr>
          <w:rFonts w:hint="cs"/>
          <w:rtl/>
        </w:rPr>
        <w:t xml:space="preserve">בחינה של כח הדמיון </w:t>
      </w:r>
      <w:r w:rsidR="0039372C">
        <w:rPr>
          <w:rFonts w:hint="cs"/>
          <w:rtl/>
        </w:rPr>
        <w:t>מילה בפני עצמה ש</w:t>
      </w:r>
      <w:r w:rsidR="00CC370F">
        <w:rPr>
          <w:rFonts w:hint="cs"/>
          <w:rtl/>
        </w:rPr>
        <w:t>מובנ</w:t>
      </w:r>
      <w:r w:rsidR="0039372C">
        <w:rPr>
          <w:rFonts w:hint="cs"/>
          <w:rtl/>
        </w:rPr>
        <w:t xml:space="preserve">ה בשפה </w:t>
      </w:r>
      <w:r w:rsidR="00184B18">
        <w:rPr>
          <w:rFonts w:hint="cs"/>
          <w:rtl/>
        </w:rPr>
        <w:t xml:space="preserve">המדוברת </w:t>
      </w:r>
      <w:r w:rsidR="0039372C">
        <w:rPr>
          <w:rFonts w:hint="cs"/>
          <w:rtl/>
        </w:rPr>
        <w:t>דמיון</w:t>
      </w:r>
      <w:r w:rsidR="00CC370F">
        <w:rPr>
          <w:rFonts w:hint="cs"/>
          <w:rtl/>
        </w:rPr>
        <w:t xml:space="preserve">, </w:t>
      </w:r>
      <w:r w:rsidR="00E664CB">
        <w:rPr>
          <w:rFonts w:hint="cs"/>
          <w:rtl/>
        </w:rPr>
        <w:t xml:space="preserve">ולא </w:t>
      </w:r>
      <w:r w:rsidR="008C590C">
        <w:rPr>
          <w:rFonts w:hint="cs"/>
          <w:rtl/>
        </w:rPr>
        <w:t>התכוון לטבוע</w:t>
      </w:r>
      <w:r w:rsidR="00E664CB">
        <w:rPr>
          <w:rFonts w:hint="cs"/>
          <w:rtl/>
        </w:rPr>
        <w:t xml:space="preserve"> שם</w:t>
      </w:r>
      <w:r w:rsidR="00CC370F">
        <w:rPr>
          <w:rFonts w:hint="cs"/>
          <w:rtl/>
        </w:rPr>
        <w:t xml:space="preserve"> מונחים קבועים שמשמעותם אחת בכל מקום</w:t>
      </w:r>
      <w:r w:rsidR="0039372C">
        <w:rPr>
          <w:rFonts w:hint="cs"/>
          <w:rtl/>
        </w:rPr>
        <w:t>.</w:t>
      </w:r>
      <w:r w:rsidR="00D2798C">
        <w:rPr>
          <w:rFonts w:hint="cs"/>
          <w:rtl/>
        </w:rPr>
        <w:t xml:space="preserve"> מה שכתב כאן </w:t>
      </w:r>
      <w:r w:rsidR="00BD108C">
        <w:rPr>
          <w:rFonts w:hint="cs"/>
          <w:rtl/>
        </w:rPr>
        <w:t xml:space="preserve">'חייל' ולעיל כתב 'והם' נראה ברור שהכוונה בהם היא אחת. </w:t>
      </w:r>
    </w:p>
  </w:footnote>
  <w:footnote w:id="633">
    <w:p w14:paraId="39EE4526" w14:textId="468DCFE9" w:rsidR="00062315" w:rsidRDefault="00062315">
      <w:pPr>
        <w:pStyle w:val="FootnoteText"/>
      </w:pPr>
      <w:r>
        <w:rPr>
          <w:rStyle w:val="FootnoteReference"/>
        </w:rPr>
        <w:footnoteRef/>
      </w:r>
      <w:r>
        <w:rPr>
          <w:rtl/>
        </w:rPr>
        <w:t xml:space="preserve"> </w:t>
      </w:r>
      <w:r>
        <w:rPr>
          <w:rFonts w:hint="cs"/>
          <w:rtl/>
        </w:rPr>
        <w:t xml:space="preserve">הלובן או השחרות של גוף הם </w:t>
      </w:r>
      <w:r w:rsidR="00832CA0">
        <w:rPr>
          <w:rFonts w:hint="cs"/>
          <w:rtl/>
        </w:rPr>
        <w:t>מעצם קיומו כגוף חומרי, כי מה שיש</w:t>
      </w:r>
      <w:r w:rsidR="00BA65A6">
        <w:rPr>
          <w:rFonts w:hint="cs"/>
          <w:rtl/>
        </w:rPr>
        <w:t xml:space="preserve"> </w:t>
      </w:r>
      <w:r w:rsidR="00832CA0">
        <w:rPr>
          <w:rFonts w:hint="cs"/>
          <w:rtl/>
        </w:rPr>
        <w:t xml:space="preserve">לגוף צבע כלשהו זהו מקרה הכרחי בו והוא </w:t>
      </w:r>
      <w:r w:rsidR="0042437E">
        <w:rPr>
          <w:rFonts w:hint="cs"/>
          <w:rtl/>
        </w:rPr>
        <w:t>צד של</w:t>
      </w:r>
      <w:r w:rsidR="00832CA0">
        <w:rPr>
          <w:rFonts w:hint="cs"/>
          <w:rtl/>
        </w:rPr>
        <w:t xml:space="preserve"> </w:t>
      </w:r>
      <w:r w:rsidR="0042437E">
        <w:rPr>
          <w:rFonts w:hint="cs"/>
          <w:rtl/>
        </w:rPr>
        <w:t xml:space="preserve">עצם </w:t>
      </w:r>
      <w:r w:rsidR="00832CA0">
        <w:rPr>
          <w:rFonts w:hint="cs"/>
          <w:rtl/>
        </w:rPr>
        <w:t xml:space="preserve">היותו </w:t>
      </w:r>
      <w:r w:rsidR="0042437E">
        <w:rPr>
          <w:rFonts w:hint="cs"/>
          <w:rtl/>
        </w:rPr>
        <w:t>'קיים'</w:t>
      </w:r>
      <w:r w:rsidR="00832CA0">
        <w:rPr>
          <w:rFonts w:hint="cs"/>
          <w:rtl/>
        </w:rPr>
        <w:t xml:space="preserve"> בעולם החומרי, </w:t>
      </w:r>
      <w:r w:rsidR="00BA65A6">
        <w:rPr>
          <w:rFonts w:hint="cs"/>
          <w:rtl/>
        </w:rPr>
        <w:t xml:space="preserve">ואחרי שצריך בהכרח צבע כלשהו מה שקרה שזהו הצבע המסוים עדיין משתייך כמקרה לא הכרחי לקיום הגוף. </w:t>
      </w:r>
      <w:r w:rsidR="00223C38">
        <w:rPr>
          <w:rFonts w:hint="cs"/>
          <w:rtl/>
        </w:rPr>
        <w:t xml:space="preserve">והיה אפשר לחושב שכמו כן </w:t>
      </w:r>
      <w:r w:rsidR="00832CA0">
        <w:rPr>
          <w:rFonts w:hint="cs"/>
          <w:rtl/>
        </w:rPr>
        <w:t xml:space="preserve">גם הגודל שלו </w:t>
      </w:r>
      <w:r w:rsidR="00EF268B">
        <w:rPr>
          <w:rFonts w:hint="cs"/>
          <w:rtl/>
        </w:rPr>
        <w:t>שייך לעצם קיומו כגוף, כי כמו שהוא מוכרח ל</w:t>
      </w:r>
      <w:r w:rsidR="007C31E6">
        <w:rPr>
          <w:rFonts w:hint="cs"/>
          <w:rtl/>
        </w:rPr>
        <w:t>ה</w:t>
      </w:r>
      <w:r w:rsidR="00EF268B">
        <w:rPr>
          <w:rFonts w:hint="cs"/>
          <w:rtl/>
        </w:rPr>
        <w:t xml:space="preserve">יות בעל צבע כלשהו </w:t>
      </w:r>
      <w:r w:rsidR="007C31E6">
        <w:rPr>
          <w:rFonts w:hint="cs"/>
          <w:rtl/>
        </w:rPr>
        <w:t xml:space="preserve">כך </w:t>
      </w:r>
      <w:r w:rsidR="00EF268B">
        <w:rPr>
          <w:rFonts w:hint="cs"/>
          <w:rtl/>
        </w:rPr>
        <w:t xml:space="preserve">הוא מוכרח </w:t>
      </w:r>
      <w:r w:rsidR="007C31E6">
        <w:rPr>
          <w:rFonts w:hint="cs"/>
          <w:rtl/>
        </w:rPr>
        <w:t xml:space="preserve">גם </w:t>
      </w:r>
      <w:r w:rsidR="00EF268B">
        <w:rPr>
          <w:rFonts w:hint="cs"/>
          <w:rtl/>
        </w:rPr>
        <w:t>להיות בעל גודל כלשהו.</w:t>
      </w:r>
      <w:r w:rsidR="007C31E6">
        <w:rPr>
          <w:rFonts w:hint="cs"/>
          <w:rtl/>
        </w:rPr>
        <w:t xml:space="preserve"> על זה אומר כאן אבן סינא שלאמיתו של דבר זה לא כך, </w:t>
      </w:r>
      <w:r w:rsidR="00132C3B">
        <w:rPr>
          <w:rFonts w:hint="cs"/>
          <w:rtl/>
        </w:rPr>
        <w:t xml:space="preserve">ואע"פ שהצבע הוא מעצם קיום הגוף, הגודל אינו כך, וכמו שלמדנו לעיל. </w:t>
      </w:r>
      <w:r w:rsidR="00EF268B">
        <w:rPr>
          <w:rFonts w:hint="cs"/>
          <w:rtl/>
        </w:rPr>
        <w:t xml:space="preserve"> </w:t>
      </w:r>
      <w:r w:rsidR="00832CA0">
        <w:rPr>
          <w:rFonts w:hint="cs"/>
          <w:rtl/>
        </w:rPr>
        <w:t xml:space="preserve"> </w:t>
      </w:r>
      <w:r>
        <w:rPr>
          <w:rFonts w:hint="cs"/>
          <w:rtl/>
        </w:rPr>
        <w:t xml:space="preserve"> </w:t>
      </w:r>
    </w:p>
  </w:footnote>
  <w:footnote w:id="634">
    <w:p w14:paraId="57D4EBA4" w14:textId="6A2F0C77" w:rsidR="00291D62" w:rsidRDefault="00291D62">
      <w:pPr>
        <w:pStyle w:val="FootnoteText"/>
      </w:pPr>
      <w:r>
        <w:rPr>
          <w:rStyle w:val="FootnoteReference"/>
        </w:rPr>
        <w:footnoteRef/>
      </w:r>
      <w:r>
        <w:rPr>
          <w:rtl/>
        </w:rPr>
        <w:t xml:space="preserve"> </w:t>
      </w:r>
      <w:r>
        <w:rPr>
          <w:rFonts w:hint="cs"/>
          <w:rtl/>
        </w:rPr>
        <w:t xml:space="preserve">"מורכבים" פירושו </w:t>
      </w:r>
      <w:r w:rsidR="00C56AA1">
        <w:rPr>
          <w:rFonts w:hint="cs"/>
          <w:rtl/>
        </w:rPr>
        <w:t xml:space="preserve">העצמים שמורכבים מחומר וצורה. </w:t>
      </w:r>
      <w:r w:rsidR="006253FF">
        <w:rPr>
          <w:rFonts w:hint="cs"/>
          <w:rtl/>
        </w:rPr>
        <w:t>עצם ה</w:t>
      </w:r>
      <w:r w:rsidR="008364F6">
        <w:rPr>
          <w:rFonts w:hint="cs"/>
          <w:rtl/>
        </w:rPr>
        <w:t>קיום</w:t>
      </w:r>
      <w:r w:rsidR="006253FF">
        <w:rPr>
          <w:rFonts w:hint="cs"/>
          <w:rtl/>
        </w:rPr>
        <w:t xml:space="preserve"> של המורכבים הוא החומר והצורה שלהם</w:t>
      </w:r>
      <w:r w:rsidR="008364F6">
        <w:rPr>
          <w:rFonts w:hint="cs"/>
          <w:rtl/>
        </w:rPr>
        <w:t>, והחומר והצורה הם עצם הגדרתם</w:t>
      </w:r>
      <w:r w:rsidR="006253FF">
        <w:rPr>
          <w:rFonts w:hint="cs"/>
          <w:rtl/>
        </w:rPr>
        <w:t xml:space="preserve">. </w:t>
      </w:r>
      <w:r w:rsidR="008364F6">
        <w:rPr>
          <w:rFonts w:hint="cs"/>
          <w:rtl/>
        </w:rPr>
        <w:t>הצבע שלהם הוא חלק מהגדרתם כי אין חומר שאין לו שום צבע</w:t>
      </w:r>
      <w:r w:rsidR="00825705">
        <w:rPr>
          <w:rFonts w:hint="cs"/>
          <w:rtl/>
        </w:rPr>
        <w:t xml:space="preserve"> (אם ננקוט כאן שגם שקוף הוא אופן </w:t>
      </w:r>
      <w:r w:rsidR="009C463A">
        <w:rPr>
          <w:rFonts w:hint="cs"/>
          <w:rtl/>
        </w:rPr>
        <w:t>מסוים</w:t>
      </w:r>
      <w:r w:rsidR="00825705">
        <w:rPr>
          <w:rFonts w:hint="cs"/>
          <w:rtl/>
        </w:rPr>
        <w:t xml:space="preserve"> של צבע)</w:t>
      </w:r>
      <w:r w:rsidR="008364F6">
        <w:rPr>
          <w:rFonts w:hint="cs"/>
          <w:rtl/>
        </w:rPr>
        <w:t xml:space="preserve">, </w:t>
      </w:r>
      <w:r w:rsidR="00825705">
        <w:rPr>
          <w:rFonts w:hint="cs"/>
          <w:rtl/>
        </w:rPr>
        <w:t xml:space="preserve">והצבע שהחומר מצד מזגו יכול לקבל הוא חלק מההגדרה שמגדירה איזה חומר זה. אבל </w:t>
      </w:r>
      <w:r w:rsidR="004E11F7">
        <w:rPr>
          <w:rFonts w:hint="cs"/>
          <w:rtl/>
        </w:rPr>
        <w:t xml:space="preserve">עצם </w:t>
      </w:r>
      <w:r w:rsidR="00825705">
        <w:rPr>
          <w:rFonts w:hint="cs"/>
          <w:rtl/>
        </w:rPr>
        <w:t>הקיום של הגוף יכול להיתפש בלי ש</w:t>
      </w:r>
      <w:r w:rsidR="004E11F7">
        <w:rPr>
          <w:rFonts w:hint="cs"/>
          <w:rtl/>
        </w:rPr>
        <w:t xml:space="preserve">מתחשבים בצבע, כלומר גוף בלי צורה באופן מוחלט וגמור אינו קיים כלל, וכך גם גוף בלי שום חומר. </w:t>
      </w:r>
      <w:r w:rsidR="00F502C3">
        <w:rPr>
          <w:rFonts w:hint="cs"/>
          <w:rtl/>
        </w:rPr>
        <w:t xml:space="preserve">אבל חוסר צבע אין פירושו הישיר שלילת הקיום. </w:t>
      </w:r>
      <w:r w:rsidR="00347711">
        <w:rPr>
          <w:rFonts w:hint="cs"/>
          <w:rtl/>
        </w:rPr>
        <w:t>כך שהחומר והצור הגם מגדירים את הגוף וגם הם עצם קיומו, והצבע שייך להגדרת הגוף אבל אינו עצם קיומו.</w:t>
      </w:r>
      <w:r w:rsidR="001F11AC">
        <w:rPr>
          <w:rFonts w:hint="cs"/>
          <w:rtl/>
        </w:rPr>
        <w:t xml:space="preserve"> לשון אבן סינא היא שהצבע הוא "חיצוני למציאות הדבר", ויש לבאר את זה ולא אאריך כאן. </w:t>
      </w:r>
      <w:r w:rsidR="00347711">
        <w:rPr>
          <w:rFonts w:hint="cs"/>
          <w:rtl/>
        </w:rPr>
        <w:t xml:space="preserve"> </w:t>
      </w:r>
    </w:p>
  </w:footnote>
  <w:footnote w:id="635">
    <w:p w14:paraId="79C6A04D" w14:textId="18784F4C" w:rsidR="00E64A92" w:rsidRDefault="00E64A92">
      <w:pPr>
        <w:pStyle w:val="FootnoteText"/>
      </w:pPr>
      <w:r>
        <w:rPr>
          <w:rStyle w:val="FootnoteReference"/>
        </w:rPr>
        <w:footnoteRef/>
      </w:r>
      <w:r>
        <w:rPr>
          <w:rtl/>
        </w:rPr>
        <w:t xml:space="preserve"> </w:t>
      </w:r>
      <w:r w:rsidR="006C0630">
        <w:rPr>
          <w:rFonts w:hint="cs"/>
          <w:rtl/>
        </w:rPr>
        <w:t xml:space="preserve">זה ספר בחכמת </w:t>
      </w:r>
      <w:r w:rsidR="006C0630">
        <w:rPr>
          <w:rFonts w:hint="cs"/>
          <w:rtl/>
        </w:rPr>
        <w:t>ההגיון שהוא חלק מספר הריפוי (הוא לא כלול בתרגום שלי, אני מתרגם רק את חלק הפיזיקה (חכמת הטבע) והמטאפיזיקה (חכמת האלוהות)</w:t>
      </w:r>
      <w:r w:rsidR="00F6566A">
        <w:rPr>
          <w:rFonts w:hint="cs"/>
          <w:rtl/>
        </w:rPr>
        <w:t>. מקגיניס כתב שזה כנראה בספר ההוכחות</w:t>
      </w:r>
      <w:r w:rsidR="008D5201" w:rsidRPr="00412D30">
        <w:rPr>
          <w:rFonts w:asciiTheme="majorBidi" w:hAnsiTheme="majorBidi" w:cstheme="majorBidi"/>
          <w:rtl/>
        </w:rPr>
        <w:t xml:space="preserve"> (</w:t>
      </w:r>
      <w:r w:rsidR="008D5201" w:rsidRPr="00412D30">
        <w:rPr>
          <w:rFonts w:asciiTheme="majorBidi" w:hAnsiTheme="majorBidi" w:cstheme="majorBidi"/>
        </w:rPr>
        <w:t>Kitāb al-burhān</w:t>
      </w:r>
      <w:r w:rsidR="008D5201" w:rsidRPr="00412D30">
        <w:rPr>
          <w:rFonts w:asciiTheme="majorBidi" w:hAnsiTheme="majorBidi" w:cstheme="majorBidi"/>
          <w:rtl/>
        </w:rPr>
        <w:t>)</w:t>
      </w:r>
      <w:r w:rsidR="00F6566A" w:rsidRPr="00412D30">
        <w:rPr>
          <w:rFonts w:asciiTheme="majorBidi" w:hAnsiTheme="majorBidi" w:cstheme="majorBidi"/>
          <w:rtl/>
        </w:rPr>
        <w:t xml:space="preserve"> </w:t>
      </w:r>
      <w:r w:rsidR="00F6566A">
        <w:rPr>
          <w:rFonts w:hint="cs"/>
          <w:rtl/>
        </w:rPr>
        <w:t xml:space="preserve">4.4. </w:t>
      </w:r>
      <w:r w:rsidR="006C0630">
        <w:rPr>
          <w:rFonts w:hint="cs"/>
          <w:rtl/>
        </w:rPr>
        <w:t xml:space="preserve"> </w:t>
      </w:r>
    </w:p>
  </w:footnote>
  <w:footnote w:id="636">
    <w:p w14:paraId="128422AD" w14:textId="5E2D5836" w:rsidR="00B40B69" w:rsidRDefault="00B40B69">
      <w:pPr>
        <w:pStyle w:val="FootnoteText"/>
      </w:pPr>
      <w:r>
        <w:rPr>
          <w:rStyle w:val="FootnoteReference"/>
        </w:rPr>
        <w:footnoteRef/>
      </w:r>
      <w:r>
        <w:rPr>
          <w:rtl/>
        </w:rPr>
        <w:t xml:space="preserve"> </w:t>
      </w:r>
      <w:r w:rsidR="00990A6E" w:rsidRPr="0063654A">
        <w:rPr>
          <w:rtl/>
        </w:rPr>
        <w:t xml:space="preserve">במקור </w:t>
      </w:r>
      <w:r w:rsidR="00990A6E" w:rsidRPr="0063654A">
        <w:rPr>
          <w:rFonts w:ascii="Arial" w:hAnsi="Arial" w:cs="Arial" w:hint="cs"/>
          <w:rtl/>
          <w:lang w:bidi="ar-SA"/>
        </w:rPr>
        <w:t>صناعة</w:t>
      </w:r>
      <w:r w:rsidR="00990A6E" w:rsidRPr="0063654A">
        <w:rPr>
          <w:rtl/>
        </w:rPr>
        <w:t xml:space="preserve">. תרגום </w:t>
      </w:r>
      <w:r w:rsidR="009C463A">
        <w:rPr>
          <w:rFonts w:hint="cs"/>
          <w:rtl/>
        </w:rPr>
        <w:t>מדויק</w:t>
      </w:r>
      <w:r w:rsidR="00AA184D">
        <w:rPr>
          <w:rFonts w:hint="cs"/>
          <w:rtl/>
        </w:rPr>
        <w:t xml:space="preserve"> </w:t>
      </w:r>
      <w:r w:rsidR="00990A6E" w:rsidRPr="0063654A">
        <w:rPr>
          <w:rtl/>
        </w:rPr>
        <w:t xml:space="preserve">יותר </w:t>
      </w:r>
      <w:r w:rsidR="008D3291">
        <w:rPr>
          <w:rFonts w:hint="cs"/>
          <w:rtl/>
        </w:rPr>
        <w:t xml:space="preserve">לפי העברית המודרנית </w:t>
      </w:r>
      <w:r w:rsidR="00990A6E" w:rsidRPr="0063654A">
        <w:rPr>
          <w:rtl/>
        </w:rPr>
        <w:t xml:space="preserve">הוא </w:t>
      </w:r>
      <w:r w:rsidR="008D3291">
        <w:rPr>
          <w:rFonts w:hint="cs"/>
          <w:rtl/>
        </w:rPr>
        <w:t>'</w:t>
      </w:r>
      <w:r w:rsidR="00990A6E" w:rsidRPr="0063654A">
        <w:rPr>
          <w:rtl/>
        </w:rPr>
        <w:t>דיסציפלינה</w:t>
      </w:r>
      <w:r w:rsidR="008D3291">
        <w:rPr>
          <w:rFonts w:hint="cs"/>
          <w:rtl/>
        </w:rPr>
        <w:t>'</w:t>
      </w:r>
      <w:r w:rsidR="00990A6E" w:rsidRPr="0063654A">
        <w:rPr>
          <w:rtl/>
        </w:rPr>
        <w:t>, וכן תרגם מקגיניס</w:t>
      </w:r>
      <w:r w:rsidR="0063654A">
        <w:rPr>
          <w:rFonts w:hint="cs"/>
          <w:rtl/>
        </w:rPr>
        <w:t>.</w:t>
      </w:r>
      <w:r w:rsidR="0063654A" w:rsidRPr="0063654A">
        <w:rPr>
          <w:rtl/>
        </w:rPr>
        <w:t xml:space="preserve"> </w:t>
      </w:r>
    </w:p>
  </w:footnote>
  <w:footnote w:id="637">
    <w:p w14:paraId="72D07FB8" w14:textId="080E3310" w:rsidR="003D11C6" w:rsidRDefault="003D11C6">
      <w:pPr>
        <w:pStyle w:val="FootnoteText"/>
      </w:pPr>
      <w:r>
        <w:rPr>
          <w:rStyle w:val="FootnoteReference"/>
        </w:rPr>
        <w:footnoteRef/>
      </w:r>
      <w:r>
        <w:rPr>
          <w:rtl/>
        </w:rPr>
        <w:t xml:space="preserve"> </w:t>
      </w:r>
      <w:r w:rsidR="00AC3A9C">
        <w:rPr>
          <w:rFonts w:hint="cs"/>
          <w:rtl/>
        </w:rPr>
        <w:t>גיאומטריה.</w:t>
      </w:r>
    </w:p>
  </w:footnote>
  <w:footnote w:id="638">
    <w:p w14:paraId="32907B09" w14:textId="34051779" w:rsidR="004D6AB5" w:rsidRDefault="004D6AB5">
      <w:pPr>
        <w:pStyle w:val="FootnoteText"/>
      </w:pPr>
      <w:r>
        <w:rPr>
          <w:rStyle w:val="FootnoteReference"/>
        </w:rPr>
        <w:footnoteRef/>
      </w:r>
      <w:r>
        <w:rPr>
          <w:rtl/>
        </w:rPr>
        <w:t xml:space="preserve"> </w:t>
      </w:r>
      <w:r w:rsidR="00AA184D">
        <w:rPr>
          <w:rFonts w:hint="cs"/>
          <w:rtl/>
        </w:rPr>
        <w:t>אפשר גם לתרגם 'אינם לוקחים הקדמות' וכך תרגם מקגיניס.</w:t>
      </w:r>
    </w:p>
  </w:footnote>
  <w:footnote w:id="639">
    <w:p w14:paraId="5BE95990" w14:textId="43452F45" w:rsidR="00084BBB" w:rsidRDefault="00084BBB">
      <w:pPr>
        <w:pStyle w:val="FootnoteText"/>
      </w:pPr>
      <w:r>
        <w:rPr>
          <w:rStyle w:val="FootnoteReference"/>
        </w:rPr>
        <w:footnoteRef/>
      </w:r>
      <w:r>
        <w:rPr>
          <w:rtl/>
        </w:rPr>
        <w:t xml:space="preserve"> </w:t>
      </w:r>
      <w:r>
        <w:rPr>
          <w:rFonts w:hint="cs"/>
          <w:rtl/>
        </w:rPr>
        <w:t>אינני יודע למה הכוונה.</w:t>
      </w:r>
    </w:p>
  </w:footnote>
  <w:footnote w:id="640">
    <w:p w14:paraId="4788861B" w14:textId="6D60FB96" w:rsidR="009130D0" w:rsidRDefault="009130D0">
      <w:pPr>
        <w:pStyle w:val="FootnoteText"/>
      </w:pPr>
      <w:r>
        <w:rPr>
          <w:rStyle w:val="FootnoteReference"/>
        </w:rPr>
        <w:footnoteRef/>
      </w:r>
      <w:r>
        <w:rPr>
          <w:rtl/>
        </w:rPr>
        <w:t xml:space="preserve"> </w:t>
      </w:r>
      <w:r>
        <w:rPr>
          <w:rFonts w:hint="cs"/>
          <w:rtl/>
        </w:rPr>
        <w:t xml:space="preserve">אין הכוונה פשוט להבנה, אלא שאין בו את ההרכבה שיש במקצועות </w:t>
      </w:r>
      <w:r w:rsidR="000E1F60">
        <w:rPr>
          <w:rFonts w:hint="cs"/>
          <w:rtl/>
        </w:rPr>
        <w:t>שמשתמשים במקצוע אחד כדי לעסוק בשאלות ששייכות למקצוע אחר</w:t>
      </w:r>
      <w:r w:rsidR="006C7607">
        <w:rPr>
          <w:rFonts w:hint="cs"/>
          <w:rtl/>
        </w:rPr>
        <w:t xml:space="preserve">. למשל החשבון </w:t>
      </w:r>
      <w:r w:rsidR="00D51C7A">
        <w:rPr>
          <w:rFonts w:hint="cs"/>
          <w:rtl/>
        </w:rPr>
        <w:t xml:space="preserve">הצרוף </w:t>
      </w:r>
      <w:r w:rsidR="006C7607">
        <w:rPr>
          <w:rFonts w:hint="cs"/>
          <w:rtl/>
        </w:rPr>
        <w:t>הוא מקצוע של חקירת המספרים והוא עוסק ב</w:t>
      </w:r>
      <w:r w:rsidR="00FC3C5C">
        <w:rPr>
          <w:rFonts w:hint="cs"/>
          <w:rtl/>
        </w:rPr>
        <w:t>חקירת ה</w:t>
      </w:r>
      <w:r w:rsidR="006C7607">
        <w:rPr>
          <w:rFonts w:hint="cs"/>
          <w:rtl/>
        </w:rPr>
        <w:t>מספרים, ואילו האסטרונומיה משתמשת במקצוע של חק</w:t>
      </w:r>
      <w:r w:rsidR="00FC3C5C">
        <w:rPr>
          <w:rFonts w:hint="cs"/>
          <w:rtl/>
        </w:rPr>
        <w:t>ירת</w:t>
      </w:r>
      <w:r w:rsidR="006C7607">
        <w:rPr>
          <w:rFonts w:hint="cs"/>
          <w:rtl/>
        </w:rPr>
        <w:t xml:space="preserve"> המספרים </w:t>
      </w:r>
      <w:r w:rsidR="00FC3C5C">
        <w:rPr>
          <w:rFonts w:hint="cs"/>
          <w:rtl/>
        </w:rPr>
        <w:t>כדי לעסוק בחקירת גרמי השמיים שה</w:t>
      </w:r>
      <w:r w:rsidR="00D51C7A">
        <w:rPr>
          <w:rFonts w:hint="cs"/>
          <w:rtl/>
        </w:rPr>
        <w:t>ו</w:t>
      </w:r>
      <w:r w:rsidR="00FC3C5C">
        <w:rPr>
          <w:rFonts w:hint="cs"/>
          <w:rtl/>
        </w:rPr>
        <w:t xml:space="preserve">א עניין נפרד מהמספרים, ולכן האסטרונומיה נקראת מקצוע מורכב והחשבון </w:t>
      </w:r>
      <w:r w:rsidR="001C6E00">
        <w:rPr>
          <w:rFonts w:hint="cs"/>
          <w:rtl/>
        </w:rPr>
        <w:t xml:space="preserve">הצרוף </w:t>
      </w:r>
      <w:r w:rsidR="00A654BA">
        <w:rPr>
          <w:rFonts w:hint="cs"/>
          <w:rtl/>
        </w:rPr>
        <w:t>(</w:t>
      </w:r>
      <w:r w:rsidR="001C6E00">
        <w:rPr>
          <w:rFonts w:hint="cs"/>
          <w:rtl/>
        </w:rPr>
        <w:t>כלומר בלשוננו לא  מתמטיקה שימושית אלא מתמטיקה טהורה</w:t>
      </w:r>
      <w:r w:rsidR="00A654BA">
        <w:rPr>
          <w:rFonts w:hint="cs"/>
          <w:rtl/>
        </w:rPr>
        <w:t>)</w:t>
      </w:r>
      <w:r w:rsidR="001C6E00">
        <w:rPr>
          <w:rFonts w:hint="cs"/>
          <w:rtl/>
        </w:rPr>
        <w:t xml:space="preserve"> </w:t>
      </w:r>
      <w:r w:rsidR="00FC3C5C">
        <w:rPr>
          <w:rFonts w:hint="cs"/>
          <w:rtl/>
        </w:rPr>
        <w:t xml:space="preserve">נקרא מקצוע פשוט. </w:t>
      </w:r>
      <w:r w:rsidR="000E1F60">
        <w:rPr>
          <w:rFonts w:hint="cs"/>
          <w:rtl/>
        </w:rPr>
        <w:t xml:space="preserve"> </w:t>
      </w:r>
    </w:p>
  </w:footnote>
  <w:footnote w:id="641">
    <w:p w14:paraId="45EE5AFD" w14:textId="77777777" w:rsidR="00F03050" w:rsidRDefault="009202AF">
      <w:pPr>
        <w:pStyle w:val="FootnoteText"/>
        <w:rPr>
          <w:rtl/>
        </w:rPr>
      </w:pPr>
      <w:r>
        <w:rPr>
          <w:rStyle w:val="FootnoteReference"/>
        </w:rPr>
        <w:footnoteRef/>
      </w:r>
      <w:r>
        <w:rPr>
          <w:rtl/>
        </w:rPr>
        <w:t xml:space="preserve"> </w:t>
      </w:r>
      <w:r w:rsidRPr="005644D5">
        <w:rPr>
          <w:rtl/>
        </w:rPr>
        <w:t xml:space="preserve">במקור </w:t>
      </w:r>
      <w:r w:rsidRPr="005644D5">
        <w:rPr>
          <w:rFonts w:ascii="Arial" w:hAnsi="Arial" w:cs="Arial" w:hint="cs"/>
          <w:rtl/>
          <w:lang w:bidi="ar-SA"/>
        </w:rPr>
        <w:t>أصلا</w:t>
      </w:r>
      <w:r w:rsidRPr="005644D5">
        <w:rPr>
          <w:rtl/>
        </w:rPr>
        <w:t xml:space="preserve">. משתמשים בזה בעברית המדוברת כ'אסלי', כלומר מקורי או שורשי. </w:t>
      </w:r>
      <w:r w:rsidR="005644D5">
        <w:rPr>
          <w:rFonts w:hint="cs"/>
          <w:rtl/>
        </w:rPr>
        <w:t>א</w:t>
      </w:r>
      <w:r w:rsidR="00155855">
        <w:rPr>
          <w:rFonts w:hint="cs"/>
          <w:rtl/>
        </w:rPr>
        <w:t>י</w:t>
      </w:r>
      <w:r w:rsidR="005644D5">
        <w:rPr>
          <w:rFonts w:hint="cs"/>
          <w:rtl/>
        </w:rPr>
        <w:t xml:space="preserve">ן הכוונה כאן לחומר הראשון, שאצל אבן סינא נקרא ההיולי, וכאן לא כתב היולי אלא </w:t>
      </w:r>
      <w:r w:rsidR="00155855">
        <w:rPr>
          <w:rFonts w:hint="cs"/>
          <w:rtl/>
        </w:rPr>
        <w:t>'</w:t>
      </w:r>
      <w:r w:rsidR="005644D5">
        <w:rPr>
          <w:rFonts w:hint="cs"/>
          <w:rtl/>
        </w:rPr>
        <w:t>מאדא</w:t>
      </w:r>
      <w:r w:rsidR="00155855">
        <w:rPr>
          <w:rFonts w:hint="cs"/>
          <w:rtl/>
        </w:rPr>
        <w:t>'</w:t>
      </w:r>
      <w:r w:rsidR="005644D5">
        <w:rPr>
          <w:rFonts w:hint="cs"/>
          <w:rtl/>
        </w:rPr>
        <w:t xml:space="preserve"> </w:t>
      </w:r>
      <w:r w:rsidR="003A535C">
        <w:rPr>
          <w:rFonts w:hint="cs"/>
          <w:rtl/>
        </w:rPr>
        <w:t>(</w:t>
      </w:r>
      <w:r w:rsidR="003A535C" w:rsidRPr="003A535C">
        <w:rPr>
          <w:rFonts w:cs="Times New Roman" w:hint="eastAsia"/>
          <w:rtl/>
          <w:lang w:bidi="ar-SA"/>
        </w:rPr>
        <w:t>مادة</w:t>
      </w:r>
      <w:r w:rsidR="003A535C">
        <w:rPr>
          <w:rFonts w:hint="cs"/>
          <w:rtl/>
        </w:rPr>
        <w:t xml:space="preserve">) </w:t>
      </w:r>
      <w:r w:rsidR="005644D5">
        <w:rPr>
          <w:rFonts w:hint="cs"/>
          <w:rtl/>
        </w:rPr>
        <w:t>שפ</w:t>
      </w:r>
      <w:r w:rsidR="00155855">
        <w:rPr>
          <w:rFonts w:hint="cs"/>
          <w:rtl/>
        </w:rPr>
        <w:t>י</w:t>
      </w:r>
      <w:r w:rsidR="005644D5">
        <w:rPr>
          <w:rFonts w:hint="cs"/>
          <w:rtl/>
        </w:rPr>
        <w:t>רושו כל חומר</w:t>
      </w:r>
      <w:r w:rsidR="00155855">
        <w:rPr>
          <w:rFonts w:hint="cs"/>
          <w:rtl/>
        </w:rPr>
        <w:t xml:space="preserve">. </w:t>
      </w:r>
      <w:r w:rsidR="005841B1">
        <w:rPr>
          <w:rFonts w:hint="cs"/>
          <w:rtl/>
        </w:rPr>
        <w:t xml:space="preserve">מקגיניס השמיט את המילה הזו. </w:t>
      </w:r>
      <w:r w:rsidR="00AD79A8">
        <w:rPr>
          <w:rFonts w:hint="cs"/>
          <w:rtl/>
        </w:rPr>
        <w:t xml:space="preserve">נראה שהכוונה היא שבמטאפיזיקה </w:t>
      </w:r>
      <w:r w:rsidR="003F58EE">
        <w:rPr>
          <w:rFonts w:hint="cs"/>
          <w:rtl/>
        </w:rPr>
        <w:t>ההסתכלות היא ש</w:t>
      </w:r>
      <w:r w:rsidR="00AD79A8">
        <w:rPr>
          <w:rFonts w:hint="cs"/>
          <w:rtl/>
        </w:rPr>
        <w:t>החומר אין לו מציאות</w:t>
      </w:r>
      <w:r w:rsidR="003F58EE">
        <w:rPr>
          <w:rFonts w:hint="cs"/>
          <w:rtl/>
        </w:rPr>
        <w:t xml:space="preserve"> כחומר כלל</w:t>
      </w:r>
      <w:r w:rsidR="00033DE4">
        <w:rPr>
          <w:rFonts w:hint="cs"/>
          <w:rtl/>
        </w:rPr>
        <w:t xml:space="preserve"> (אין הכוונה כאן </w:t>
      </w:r>
      <w:r w:rsidR="003704BD">
        <w:rPr>
          <w:rFonts w:hint="cs"/>
          <w:rtl/>
        </w:rPr>
        <w:t xml:space="preserve">דווקא </w:t>
      </w:r>
      <w:r w:rsidR="00033DE4">
        <w:rPr>
          <w:rFonts w:hint="cs"/>
          <w:rtl/>
        </w:rPr>
        <w:t>להיולי שהוא החומר הראשון שאין בו שום צורה כלל ומצד זה אין לו מציאות, אלא לכל חומר)</w:t>
      </w:r>
      <w:r w:rsidR="003F58EE">
        <w:rPr>
          <w:rFonts w:hint="cs"/>
          <w:rtl/>
        </w:rPr>
        <w:t>,</w:t>
      </w:r>
      <w:r w:rsidR="00AD79A8">
        <w:rPr>
          <w:rFonts w:hint="cs"/>
          <w:rtl/>
        </w:rPr>
        <w:t xml:space="preserve"> אלא </w:t>
      </w:r>
      <w:r w:rsidR="003F58EE">
        <w:rPr>
          <w:rFonts w:hint="cs"/>
          <w:rtl/>
        </w:rPr>
        <w:t xml:space="preserve">רק לצורה יש מציאות ומה שאנו מכנים 'חומר' </w:t>
      </w:r>
      <w:r w:rsidR="00AD79A8">
        <w:rPr>
          <w:rFonts w:hint="cs"/>
          <w:rtl/>
        </w:rPr>
        <w:t xml:space="preserve">הוא </w:t>
      </w:r>
      <w:r w:rsidR="00203B92">
        <w:rPr>
          <w:rFonts w:hint="cs"/>
          <w:rtl/>
        </w:rPr>
        <w:t xml:space="preserve">עניין </w:t>
      </w:r>
      <w:r w:rsidR="003F58EE">
        <w:rPr>
          <w:rFonts w:hint="cs"/>
          <w:rtl/>
        </w:rPr>
        <w:t>מענייני ה</w:t>
      </w:r>
      <w:r w:rsidR="00203B92">
        <w:rPr>
          <w:rFonts w:hint="cs"/>
          <w:rtl/>
        </w:rPr>
        <w:t>צורה</w:t>
      </w:r>
      <w:r w:rsidR="00033DE4">
        <w:rPr>
          <w:rFonts w:hint="cs"/>
          <w:rtl/>
        </w:rPr>
        <w:t xml:space="preserve"> והוא נמצא במציאותה של הצורה ו</w:t>
      </w:r>
      <w:r w:rsidR="003704BD">
        <w:rPr>
          <w:rFonts w:hint="cs"/>
          <w:rtl/>
        </w:rPr>
        <w:t>לא</w:t>
      </w:r>
      <w:r w:rsidR="00033DE4">
        <w:rPr>
          <w:rFonts w:hint="cs"/>
          <w:rtl/>
        </w:rPr>
        <w:t xml:space="preserve"> במציאות עצמאית </w:t>
      </w:r>
      <w:r w:rsidR="003704BD">
        <w:rPr>
          <w:rFonts w:hint="cs"/>
          <w:rtl/>
        </w:rPr>
        <w:t>כ</w:t>
      </w:r>
      <w:r w:rsidR="00033DE4">
        <w:rPr>
          <w:rFonts w:hint="cs"/>
          <w:rtl/>
        </w:rPr>
        <w:t>חומר</w:t>
      </w:r>
      <w:r w:rsidR="00385EF1">
        <w:rPr>
          <w:rFonts w:hint="cs"/>
          <w:rtl/>
        </w:rPr>
        <w:t>.</w:t>
      </w:r>
      <w:r w:rsidR="00033DE4">
        <w:rPr>
          <w:rFonts w:hint="cs"/>
          <w:rtl/>
        </w:rPr>
        <w:t xml:space="preserve"> </w:t>
      </w:r>
      <w:r w:rsidR="00203B92">
        <w:rPr>
          <w:rFonts w:hint="cs"/>
          <w:rtl/>
        </w:rPr>
        <w:t xml:space="preserve">מה שהצורה מתגלה בדרך מסויימת שמונחת </w:t>
      </w:r>
      <w:r w:rsidR="00A66864">
        <w:rPr>
          <w:rFonts w:hint="cs"/>
          <w:rtl/>
        </w:rPr>
        <w:t xml:space="preserve">בכח </w:t>
      </w:r>
      <w:r w:rsidR="00203B92">
        <w:rPr>
          <w:rFonts w:hint="cs"/>
          <w:rtl/>
        </w:rPr>
        <w:t xml:space="preserve">במהותה, הגילוי הזה של הצורה </w:t>
      </w:r>
      <w:r w:rsidR="00385EF1">
        <w:rPr>
          <w:rFonts w:hint="cs"/>
          <w:rtl/>
        </w:rPr>
        <w:t>הוא מה שאנו קוראים לו '</w:t>
      </w:r>
      <w:r w:rsidR="00203B92">
        <w:rPr>
          <w:rFonts w:hint="cs"/>
          <w:rtl/>
        </w:rPr>
        <w:t>חומר</w:t>
      </w:r>
      <w:r w:rsidR="00385EF1">
        <w:rPr>
          <w:rFonts w:hint="cs"/>
          <w:rtl/>
        </w:rPr>
        <w:t>'</w:t>
      </w:r>
      <w:r w:rsidR="00203B92">
        <w:rPr>
          <w:rFonts w:hint="cs"/>
          <w:rtl/>
        </w:rPr>
        <w:t xml:space="preserve">. </w:t>
      </w:r>
      <w:r w:rsidR="005B1895">
        <w:rPr>
          <w:rFonts w:hint="cs"/>
          <w:rtl/>
        </w:rPr>
        <w:t xml:space="preserve">למשל לא נאמר שהנר הוא צורה והאור שהוא מאיר הוא חומר, אלא האור הוא אופן שאפשרי שהנר עצמו יתגלה בו, והוא ממציאותו העצמית של הנר ולא מציאות נפרדת, וכמו כן החומר הוא כמו </w:t>
      </w:r>
      <w:r w:rsidR="00B670A1">
        <w:rPr>
          <w:rFonts w:hint="cs"/>
          <w:rtl/>
        </w:rPr>
        <w:t xml:space="preserve">אופן שבו </w:t>
      </w:r>
      <w:r w:rsidR="005B1895">
        <w:rPr>
          <w:rFonts w:hint="cs"/>
          <w:rtl/>
        </w:rPr>
        <w:t>שהצורה מאירה</w:t>
      </w:r>
      <w:r w:rsidR="00B670A1">
        <w:rPr>
          <w:rFonts w:hint="cs"/>
          <w:rtl/>
        </w:rPr>
        <w:t>, נגלית,</w:t>
      </w:r>
      <w:r w:rsidR="005B1895">
        <w:rPr>
          <w:rFonts w:hint="cs"/>
          <w:rtl/>
        </w:rPr>
        <w:t xml:space="preserve"> והוא ממציאות</w:t>
      </w:r>
      <w:r w:rsidR="00B670A1">
        <w:rPr>
          <w:rFonts w:hint="cs"/>
          <w:rtl/>
        </w:rPr>
        <w:t>ה</w:t>
      </w:r>
      <w:r w:rsidR="005B1895">
        <w:rPr>
          <w:rFonts w:hint="cs"/>
          <w:rtl/>
        </w:rPr>
        <w:t xml:space="preserve"> של הצורה ו</w:t>
      </w:r>
      <w:r w:rsidR="00B670A1">
        <w:rPr>
          <w:rFonts w:hint="cs"/>
          <w:rtl/>
        </w:rPr>
        <w:t>לא</w:t>
      </w:r>
      <w:r w:rsidR="005B1895">
        <w:rPr>
          <w:rFonts w:hint="cs"/>
          <w:rtl/>
        </w:rPr>
        <w:t xml:space="preserve"> דבר שנמצא באופן עצמאי.</w:t>
      </w:r>
    </w:p>
    <w:p w14:paraId="260DD789" w14:textId="7E6EFEB3" w:rsidR="009202AF" w:rsidRDefault="00F03050">
      <w:pPr>
        <w:pStyle w:val="FootnoteText"/>
      </w:pPr>
      <w:r>
        <w:rPr>
          <w:rFonts w:hint="cs"/>
          <w:rtl/>
        </w:rPr>
        <w:t>אבן סינא עמל להדגיש בכל מקום את החילוק החמ</w:t>
      </w:r>
      <w:r w:rsidR="00F81022">
        <w:rPr>
          <w:rFonts w:hint="cs"/>
          <w:rtl/>
        </w:rPr>
        <w:t>ו</w:t>
      </w:r>
      <w:r>
        <w:rPr>
          <w:rFonts w:hint="cs"/>
          <w:rtl/>
        </w:rPr>
        <w:t xml:space="preserve">ר </w:t>
      </w:r>
      <w:r w:rsidR="00F81022">
        <w:rPr>
          <w:rFonts w:hint="cs"/>
          <w:rtl/>
        </w:rPr>
        <w:t xml:space="preserve">והחד </w:t>
      </w:r>
      <w:r>
        <w:rPr>
          <w:rFonts w:hint="cs"/>
          <w:rtl/>
        </w:rPr>
        <w:t xml:space="preserve">בין </w:t>
      </w:r>
      <w:r w:rsidR="00F81022">
        <w:rPr>
          <w:rFonts w:hint="cs"/>
          <w:rtl/>
        </w:rPr>
        <w:t xml:space="preserve">דרך הלימוד של </w:t>
      </w:r>
      <w:r>
        <w:rPr>
          <w:rFonts w:hint="cs"/>
          <w:rtl/>
        </w:rPr>
        <w:t xml:space="preserve">חכמת הטבע </w:t>
      </w:r>
      <w:r w:rsidR="00F81022">
        <w:rPr>
          <w:rFonts w:hint="cs"/>
          <w:rtl/>
        </w:rPr>
        <w:t xml:space="preserve">ובין דרך הלימוד של </w:t>
      </w:r>
      <w:r>
        <w:rPr>
          <w:rFonts w:hint="cs"/>
          <w:rtl/>
        </w:rPr>
        <w:t>חכמ</w:t>
      </w:r>
      <w:r w:rsidR="00F81022">
        <w:rPr>
          <w:rFonts w:hint="cs"/>
          <w:rtl/>
        </w:rPr>
        <w:t>ת</w:t>
      </w:r>
      <w:r>
        <w:rPr>
          <w:rFonts w:hint="cs"/>
          <w:rtl/>
        </w:rPr>
        <w:t xml:space="preserve"> האלוה</w:t>
      </w:r>
      <w:r w:rsidR="00F81022">
        <w:rPr>
          <w:rFonts w:hint="cs"/>
          <w:rtl/>
        </w:rPr>
        <w:t>ו</w:t>
      </w:r>
      <w:r>
        <w:rPr>
          <w:rFonts w:hint="cs"/>
          <w:rtl/>
        </w:rPr>
        <w:t xml:space="preserve">ת שעוסקת במופשט, </w:t>
      </w:r>
      <w:r w:rsidR="00F81022">
        <w:rPr>
          <w:rFonts w:hint="cs"/>
          <w:rtl/>
        </w:rPr>
        <w:t>דהיינו</w:t>
      </w:r>
      <w:r>
        <w:rPr>
          <w:rFonts w:hint="cs"/>
          <w:rtl/>
        </w:rPr>
        <w:t xml:space="preserve"> המטאפיזיקה</w:t>
      </w:r>
      <w:r w:rsidR="00BF2D79">
        <w:rPr>
          <w:rFonts w:hint="cs"/>
          <w:rtl/>
        </w:rPr>
        <w:t xml:space="preserve"> (בערבית המטאפיזיקה נקראת חכמת האלוהות כמו השם שאריסטו עצמו קרא לה, והיא עוסקת במופשט והאל הוא המופשט</w:t>
      </w:r>
      <w:r w:rsidR="00B340CF">
        <w:rPr>
          <w:rFonts w:hint="cs"/>
          <w:rtl/>
        </w:rPr>
        <w:t>,</w:t>
      </w:r>
      <w:r w:rsidR="00BF2D79">
        <w:rPr>
          <w:rFonts w:hint="cs"/>
          <w:rtl/>
        </w:rPr>
        <w:t xml:space="preserve"> שהוא מקור מציאות החומרי)</w:t>
      </w:r>
      <w:r>
        <w:rPr>
          <w:rFonts w:hint="cs"/>
          <w:rtl/>
        </w:rPr>
        <w:t xml:space="preserve">. </w:t>
      </w:r>
      <w:r w:rsidR="00B340CF">
        <w:rPr>
          <w:rFonts w:hint="cs"/>
          <w:rtl/>
        </w:rPr>
        <w:t xml:space="preserve">לכן הוא הוסיף כאן שהחומר שבו אנו עוסקים בחכמת הטבע אינו כמו תפישת החומר שבמטאפיזיקה אלא </w:t>
      </w:r>
      <w:r w:rsidR="002D6BBD">
        <w:rPr>
          <w:rFonts w:hint="cs"/>
          <w:rtl/>
        </w:rPr>
        <w:t>בחכמת הטבע תופשים את החומר כבעל מציאות עצמאית</w:t>
      </w:r>
      <w:r w:rsidR="005B1895">
        <w:rPr>
          <w:rFonts w:hint="cs"/>
          <w:rtl/>
        </w:rPr>
        <w:t xml:space="preserve"> </w:t>
      </w:r>
      <w:r w:rsidR="002D6BBD">
        <w:rPr>
          <w:rFonts w:hint="cs"/>
          <w:rtl/>
        </w:rPr>
        <w:t>מצד שהוא חומר.</w:t>
      </w:r>
      <w:r w:rsidR="005841B1">
        <w:rPr>
          <w:rFonts w:hint="cs"/>
          <w:rtl/>
        </w:rPr>
        <w:t xml:space="preserve"> </w:t>
      </w:r>
      <w:r w:rsidR="008E14B7">
        <w:rPr>
          <w:rFonts w:hint="cs"/>
          <w:rtl/>
        </w:rPr>
        <w:t xml:space="preserve">ולכן מציאותו בסיסית (או מקורית או שורשית). </w:t>
      </w:r>
    </w:p>
  </w:footnote>
  <w:footnote w:id="642">
    <w:p w14:paraId="1858DAAB" w14:textId="1500C06D" w:rsidR="005119DE" w:rsidRDefault="00901C27">
      <w:pPr>
        <w:pStyle w:val="FootnoteText"/>
        <w:rPr>
          <w:rtl/>
        </w:rPr>
      </w:pPr>
      <w:r>
        <w:rPr>
          <w:rStyle w:val="FootnoteReference"/>
        </w:rPr>
        <w:footnoteRef/>
      </w:r>
      <w:r>
        <w:rPr>
          <w:rtl/>
        </w:rPr>
        <w:t xml:space="preserve"> </w:t>
      </w:r>
      <w:r w:rsidR="00DB7510">
        <w:rPr>
          <w:rFonts w:hint="cs"/>
          <w:rtl/>
        </w:rPr>
        <w:t>אם אין צורות, יש בליל של רשמי חוש</w:t>
      </w:r>
      <w:r w:rsidR="0006528E">
        <w:rPr>
          <w:rFonts w:hint="cs"/>
          <w:rtl/>
        </w:rPr>
        <w:t xml:space="preserve"> משתנים</w:t>
      </w:r>
      <w:r w:rsidR="00DB7510">
        <w:rPr>
          <w:rFonts w:hint="cs"/>
          <w:rtl/>
        </w:rPr>
        <w:t xml:space="preserve"> ללא מספר, </w:t>
      </w:r>
      <w:r w:rsidR="0006528E">
        <w:rPr>
          <w:rFonts w:hint="cs"/>
          <w:rtl/>
        </w:rPr>
        <w:t xml:space="preserve">והם </w:t>
      </w:r>
      <w:r w:rsidR="00DB7510">
        <w:rPr>
          <w:rFonts w:hint="cs"/>
          <w:rtl/>
        </w:rPr>
        <w:t>לא מתלכדים</w:t>
      </w:r>
      <w:r w:rsidR="0006528E">
        <w:rPr>
          <w:rFonts w:hint="cs"/>
          <w:rtl/>
        </w:rPr>
        <w:t xml:space="preserve"> לעצמים מוגדרים </w:t>
      </w:r>
      <w:r w:rsidR="009C463A">
        <w:rPr>
          <w:rFonts w:hint="cs"/>
          <w:rtl/>
        </w:rPr>
        <w:t>מסוימים</w:t>
      </w:r>
      <w:r w:rsidR="0006528E">
        <w:rPr>
          <w:rFonts w:hint="cs"/>
          <w:rtl/>
        </w:rPr>
        <w:t xml:space="preserve"> </w:t>
      </w:r>
      <w:r w:rsidR="00B97BEA">
        <w:rPr>
          <w:rFonts w:hint="cs"/>
          <w:rtl/>
        </w:rPr>
        <w:t xml:space="preserve">ומוגבלים במספרם. כשמסתכלים על כלב רץ בשדה, העין בפני עצמה לא רואה </w:t>
      </w:r>
      <w:r w:rsidR="009458F8">
        <w:rPr>
          <w:rFonts w:hint="cs"/>
          <w:rtl/>
        </w:rPr>
        <w:t xml:space="preserve">'כלב' ו'שדה', </w:t>
      </w:r>
      <w:r w:rsidR="000A5DF2">
        <w:rPr>
          <w:rFonts w:hint="cs"/>
          <w:rtl/>
        </w:rPr>
        <w:t>כל נקודה של ראיי</w:t>
      </w:r>
      <w:r w:rsidR="00E52797">
        <w:rPr>
          <w:rFonts w:hint="cs"/>
          <w:rtl/>
        </w:rPr>
        <w:t>ת</w:t>
      </w:r>
      <w:r w:rsidR="000A5DF2">
        <w:rPr>
          <w:rFonts w:hint="cs"/>
          <w:rtl/>
        </w:rPr>
        <w:t xml:space="preserve"> הכלב</w:t>
      </w:r>
      <w:r w:rsidR="0067732D">
        <w:rPr>
          <w:rFonts w:hint="cs"/>
          <w:rtl/>
        </w:rPr>
        <w:t xml:space="preserve"> או השדה</w:t>
      </w:r>
      <w:r w:rsidR="000A5DF2">
        <w:rPr>
          <w:rFonts w:hint="cs"/>
          <w:rtl/>
        </w:rPr>
        <w:t xml:space="preserve"> יכולה להתפרש שזה ראייה של עצם שונה</w:t>
      </w:r>
      <w:r w:rsidR="00C802D0">
        <w:rPr>
          <w:rFonts w:hint="cs"/>
          <w:rtl/>
        </w:rPr>
        <w:t xml:space="preserve"> כלשהו, העין לא יודעת לחבר </w:t>
      </w:r>
      <w:r w:rsidR="00AF78E3">
        <w:rPr>
          <w:rFonts w:hint="cs"/>
          <w:rtl/>
        </w:rPr>
        <w:t>ש</w:t>
      </w:r>
      <w:r w:rsidR="00C802D0">
        <w:rPr>
          <w:rFonts w:hint="cs"/>
          <w:rtl/>
        </w:rPr>
        <w:t>כתם</w:t>
      </w:r>
      <w:r w:rsidR="00AF78E3">
        <w:rPr>
          <w:rFonts w:hint="cs"/>
          <w:rtl/>
        </w:rPr>
        <w:t xml:space="preserve"> </w:t>
      </w:r>
      <w:r w:rsidR="009C463A">
        <w:rPr>
          <w:rFonts w:hint="cs"/>
          <w:rtl/>
        </w:rPr>
        <w:t>מסוים</w:t>
      </w:r>
      <w:r w:rsidR="00AF78E3">
        <w:rPr>
          <w:rFonts w:hint="cs"/>
          <w:rtl/>
        </w:rPr>
        <w:t xml:space="preserve"> הוא אחד עם כת</w:t>
      </w:r>
      <w:r w:rsidR="0021364E">
        <w:rPr>
          <w:rFonts w:hint="cs"/>
          <w:rtl/>
        </w:rPr>
        <w:t>ם</w:t>
      </w:r>
      <w:r w:rsidR="00AF78E3">
        <w:rPr>
          <w:rFonts w:hint="cs"/>
          <w:rtl/>
        </w:rPr>
        <w:t xml:space="preserve"> אחר להיות ביחד אותו כלב</w:t>
      </w:r>
      <w:r w:rsidR="000B321A">
        <w:rPr>
          <w:rFonts w:hint="cs"/>
          <w:rtl/>
        </w:rPr>
        <w:t xml:space="preserve">, מה יאמר לה שהזנב והראש הם לא שני עצמים נפרדים, </w:t>
      </w:r>
      <w:r w:rsidR="000A5DF2">
        <w:rPr>
          <w:rFonts w:hint="cs"/>
          <w:rtl/>
        </w:rPr>
        <w:t>לא נוצר כלל בתודעה 'כלב' כעצם</w:t>
      </w:r>
      <w:r w:rsidR="000B321A">
        <w:rPr>
          <w:rFonts w:hint="cs"/>
          <w:rtl/>
        </w:rPr>
        <w:t xml:space="preserve">, ובכלל לא נוצרים שום עצמים. </w:t>
      </w:r>
      <w:r w:rsidR="0002013E">
        <w:rPr>
          <w:rFonts w:hint="cs"/>
          <w:rtl/>
        </w:rPr>
        <w:t xml:space="preserve">רק הצורה של 'כלב' מאחדת רשמי חוש </w:t>
      </w:r>
      <w:r w:rsidR="00DC08EB">
        <w:rPr>
          <w:rFonts w:hint="cs"/>
          <w:rtl/>
        </w:rPr>
        <w:t xml:space="preserve">משתנים </w:t>
      </w:r>
      <w:r w:rsidR="0002013E">
        <w:rPr>
          <w:rFonts w:hint="cs"/>
          <w:rtl/>
        </w:rPr>
        <w:t xml:space="preserve">רבים ושונים </w:t>
      </w:r>
      <w:r w:rsidR="00DC08EB">
        <w:rPr>
          <w:rFonts w:hint="cs"/>
          <w:rtl/>
        </w:rPr>
        <w:t xml:space="preserve">לעצם שהוא אחד במרחב ובזמן. בלי צורה אין בכלל עצמים, </w:t>
      </w:r>
      <w:r w:rsidR="00C76221">
        <w:rPr>
          <w:rFonts w:hint="cs"/>
          <w:rtl/>
        </w:rPr>
        <w:t xml:space="preserve">ולא מושגים ומילים. זה מה שאמר </w:t>
      </w:r>
      <w:r w:rsidR="00C76221">
        <w:rPr>
          <w:rFonts w:hint="cs"/>
          <w:rtl/>
        </w:rPr>
        <w:t>הרקליטוס שאי אפשר</w:t>
      </w:r>
      <w:r w:rsidR="006A1DBE">
        <w:rPr>
          <w:rFonts w:hint="cs"/>
          <w:rtl/>
        </w:rPr>
        <w:t xml:space="preserve"> </w:t>
      </w:r>
      <w:r w:rsidR="00C76221">
        <w:rPr>
          <w:rFonts w:hint="cs"/>
          <w:rtl/>
        </w:rPr>
        <w:t>לטבול באותו נהר פעמיים, כי אין צורה שמלכדת את כל מה שמשתנה בנהר להיות עצם אחד שהוא אותו נהר.</w:t>
      </w:r>
      <w:r w:rsidR="006A1DBE">
        <w:rPr>
          <w:rFonts w:hint="cs"/>
          <w:rtl/>
        </w:rPr>
        <w:t xml:space="preserve"> ותלמידו קראטילוס אמר שאפילו פעם אחת אי אפשר לטבול בנהר, כי אם אין צורה ש</w:t>
      </w:r>
      <w:r w:rsidR="000046B7">
        <w:rPr>
          <w:rFonts w:hint="cs"/>
          <w:rtl/>
        </w:rPr>
        <w:t xml:space="preserve">תלכד את כל הריבוי והתנועה שבנהר </w:t>
      </w:r>
      <w:r w:rsidR="0083401A">
        <w:rPr>
          <w:rFonts w:hint="cs"/>
          <w:rtl/>
        </w:rPr>
        <w:t xml:space="preserve">לעצם אחד שהוא הנהר, </w:t>
      </w:r>
      <w:r w:rsidR="000046B7">
        <w:rPr>
          <w:rFonts w:hint="cs"/>
          <w:rtl/>
        </w:rPr>
        <w:t>הרי לא נוצר כלל המושג 'נהר' או העצם 'נהר'</w:t>
      </w:r>
      <w:r w:rsidR="0083401A">
        <w:rPr>
          <w:rFonts w:hint="cs"/>
          <w:rtl/>
        </w:rPr>
        <w:t xml:space="preserve"> ואין במה לטבול, ואמרו שהוא גזר על עצמו שתיקה כי כל מילה היא מושג</w:t>
      </w:r>
      <w:r w:rsidR="006C7BB3">
        <w:rPr>
          <w:rFonts w:hint="cs"/>
          <w:rtl/>
        </w:rPr>
        <w:t>,</w:t>
      </w:r>
      <w:r w:rsidR="0083401A">
        <w:rPr>
          <w:rFonts w:hint="cs"/>
          <w:rtl/>
        </w:rPr>
        <w:t xml:space="preserve"> </w:t>
      </w:r>
      <w:r w:rsidR="006C7BB3">
        <w:rPr>
          <w:rFonts w:hint="cs"/>
          <w:rtl/>
        </w:rPr>
        <w:t>ואם אין צורה רשמי החוש לחוד לא יכולים ליצור מושגים, ולכן לפי האמת בהכרח אין כלל מילים</w:t>
      </w:r>
      <w:r w:rsidR="000046B7">
        <w:rPr>
          <w:rFonts w:hint="cs"/>
          <w:rtl/>
        </w:rPr>
        <w:t>.</w:t>
      </w:r>
    </w:p>
    <w:p w14:paraId="4080FCAF" w14:textId="6346AD78" w:rsidR="00901C27" w:rsidRDefault="005119DE">
      <w:pPr>
        <w:pStyle w:val="FootnoteText"/>
      </w:pPr>
      <w:r>
        <w:rPr>
          <w:rFonts w:hint="cs"/>
          <w:rtl/>
        </w:rPr>
        <w:t xml:space="preserve"> </w:t>
      </w:r>
      <w:r w:rsidR="000046B7">
        <w:rPr>
          <w:rFonts w:hint="cs"/>
          <w:rtl/>
        </w:rPr>
        <w:t xml:space="preserve">  </w:t>
      </w:r>
      <w:r w:rsidR="00C76221">
        <w:rPr>
          <w:rFonts w:hint="cs"/>
          <w:rtl/>
        </w:rPr>
        <w:t xml:space="preserve"> </w:t>
      </w:r>
    </w:p>
  </w:footnote>
  <w:footnote w:id="643">
    <w:p w14:paraId="00D2A013" w14:textId="25AB691B" w:rsidR="00E40F2A" w:rsidRDefault="00BE69C9">
      <w:pPr>
        <w:pStyle w:val="FootnoteText"/>
        <w:rPr>
          <w:rtl/>
        </w:rPr>
      </w:pPr>
      <w:r>
        <w:rPr>
          <w:rStyle w:val="FootnoteReference"/>
        </w:rPr>
        <w:footnoteRef/>
      </w:r>
      <w:r>
        <w:rPr>
          <w:rtl/>
        </w:rPr>
        <w:t xml:space="preserve"> </w:t>
      </w:r>
      <w:r>
        <w:rPr>
          <w:rFonts w:hint="cs"/>
          <w:rtl/>
        </w:rPr>
        <w:t xml:space="preserve">החומר הראשון הוא בחינת 'חומר' כשמבודדים אותה במחשבה עד הקצה. </w:t>
      </w:r>
      <w:r w:rsidR="005F40FF">
        <w:rPr>
          <w:rFonts w:hint="cs"/>
          <w:rtl/>
        </w:rPr>
        <w:t>כלומר החומר הראשון הוא רק חומר, לכן אין בו שום צורה. לכן הוא לא יכול להיתפש כקיים בפועל, כי בלי צורה אין הגדרה, אין מהות, הו</w:t>
      </w:r>
      <w:r w:rsidR="007C67AC">
        <w:rPr>
          <w:rFonts w:hint="cs"/>
          <w:rtl/>
        </w:rPr>
        <w:t>א</w:t>
      </w:r>
      <w:r w:rsidR="005F40FF">
        <w:rPr>
          <w:rFonts w:hint="cs"/>
          <w:rtl/>
        </w:rPr>
        <w:t xml:space="preserve"> אינו 'משהו'. </w:t>
      </w:r>
      <w:r w:rsidR="009E57F5">
        <w:rPr>
          <w:rFonts w:hint="cs"/>
          <w:rtl/>
        </w:rPr>
        <w:t xml:space="preserve">מה שבכלל יש מחשבה על חומר ראשון, זהו משום שאנו תופשים הבדל בין צורה כגון 'כלב' ובין צורה כגון </w:t>
      </w:r>
      <w:r w:rsidR="002330F1">
        <w:rPr>
          <w:rFonts w:hint="cs"/>
          <w:rtl/>
        </w:rPr>
        <w:t xml:space="preserve">כח החיים הכללי המופשט הבלתי מוגדר שיש במציאות. כלומר אנו תופשים הבדל בין צורה </w:t>
      </w:r>
      <w:r w:rsidR="00F16CAD">
        <w:rPr>
          <w:rFonts w:hint="cs"/>
          <w:rtl/>
        </w:rPr>
        <w:t xml:space="preserve">שהיא בחומר ובין צורה מופשטת מחומר. אם אין מציאות לחומר איך נבין את ההבדל הזה. אלא אנו לומדים מכך שיש אפשרות לצורות להתגלות בשני אופנים, האחת כמופשטות לגמרי והשנייה כמצוירות על מצע שמקבל אותן ומעניק להם אופי שונה של מציאות. </w:t>
      </w:r>
      <w:r w:rsidR="004C416A">
        <w:rPr>
          <w:rFonts w:hint="cs"/>
          <w:rtl/>
        </w:rPr>
        <w:t xml:space="preserve">למשל אם אני חושב על מילה, היא קיימת באופן שונה מאשר אם כתבתי אותה על נייר. </w:t>
      </w:r>
      <w:r w:rsidR="00126E6D">
        <w:rPr>
          <w:rFonts w:hint="cs"/>
          <w:rtl/>
        </w:rPr>
        <w:t>נניח שנייר חלק לא נחשב ל</w:t>
      </w:r>
      <w:r w:rsidR="009B7C63">
        <w:rPr>
          <w:rFonts w:hint="cs"/>
          <w:rtl/>
        </w:rPr>
        <w:t xml:space="preserve"> </w:t>
      </w:r>
      <w:r w:rsidR="00126E6D">
        <w:rPr>
          <w:rFonts w:hint="cs"/>
          <w:rtl/>
        </w:rPr>
        <w:t xml:space="preserve">'משהו' או שיש לו מציאות, </w:t>
      </w:r>
      <w:r w:rsidR="00973FDF">
        <w:rPr>
          <w:rFonts w:hint="cs"/>
          <w:rtl/>
        </w:rPr>
        <w:t>כי רק מה שיש</w:t>
      </w:r>
      <w:r w:rsidR="00CD6B51">
        <w:rPr>
          <w:rFonts w:hint="cs"/>
          <w:rtl/>
        </w:rPr>
        <w:t xml:space="preserve"> </w:t>
      </w:r>
      <w:r w:rsidR="00973FDF">
        <w:rPr>
          <w:rFonts w:hint="cs"/>
          <w:rtl/>
        </w:rPr>
        <w:t>לו משמעות נחשב נמצא, עדיין גם אם הנייר בפני עצמו לא נמצא, הוא עושה שינוי במציאות של האותיות, שהן לא רק במחשבה אלא הן כעת כתובות על הנייר ויש לה</w:t>
      </w:r>
      <w:r w:rsidR="0020063B">
        <w:rPr>
          <w:rFonts w:hint="cs"/>
          <w:rtl/>
        </w:rPr>
        <w:t>ן</w:t>
      </w:r>
      <w:r w:rsidR="00973FDF">
        <w:rPr>
          <w:rFonts w:hint="cs"/>
          <w:rtl/>
        </w:rPr>
        <w:t xml:space="preserve"> אופי אחר של מציאות. </w:t>
      </w:r>
      <w:r w:rsidR="0020063B">
        <w:rPr>
          <w:rFonts w:hint="cs"/>
          <w:rtl/>
        </w:rPr>
        <w:t xml:space="preserve">כלומר החומר הראשון הוא רק מצע לצורות ולא דבר שעומד בפני עצמו. לכן אם מכחישים את מציאות הצורה אין מקום </w:t>
      </w:r>
      <w:r w:rsidR="00E40F2A">
        <w:rPr>
          <w:rFonts w:hint="cs"/>
          <w:rtl/>
        </w:rPr>
        <w:t>ל</w:t>
      </w:r>
      <w:r w:rsidR="0020063B">
        <w:rPr>
          <w:rFonts w:hint="cs"/>
          <w:rtl/>
        </w:rPr>
        <w:t>מושג של חומר ראשון.</w:t>
      </w:r>
    </w:p>
    <w:p w14:paraId="0E63CE58" w14:textId="77777777" w:rsidR="00E35F25" w:rsidRDefault="00E40F2A">
      <w:pPr>
        <w:pStyle w:val="FootnoteText"/>
        <w:rPr>
          <w:rtl/>
        </w:rPr>
      </w:pPr>
      <w:r>
        <w:rPr>
          <w:rFonts w:hint="cs"/>
          <w:rtl/>
        </w:rPr>
        <w:t xml:space="preserve">הם הרי תופשים שיש חומר, </w:t>
      </w:r>
      <w:r w:rsidR="00B978C8">
        <w:rPr>
          <w:rFonts w:hint="cs"/>
          <w:rtl/>
        </w:rPr>
        <w:t xml:space="preserve">שהרי לדעתם יש רק חומר ואין צורה. זה לא יכול להיות הומר הראשון שאין בו שום צורה, אלא הוא חומר 'מוטבע'. כלומר העצמים והטבע מוטבעים בו. זה </w:t>
      </w:r>
      <w:r w:rsidR="002C0595">
        <w:rPr>
          <w:rFonts w:hint="cs"/>
          <w:rtl/>
        </w:rPr>
        <w:t>לא</w:t>
      </w:r>
      <w:r w:rsidR="00B978C8">
        <w:rPr>
          <w:rFonts w:hint="cs"/>
          <w:rtl/>
        </w:rPr>
        <w:t xml:space="preserve"> שיש ש</w:t>
      </w:r>
      <w:r w:rsidR="002C0595">
        <w:rPr>
          <w:rFonts w:hint="cs"/>
          <w:rtl/>
        </w:rPr>
        <w:t>ת</w:t>
      </w:r>
      <w:r w:rsidR="00B978C8">
        <w:rPr>
          <w:rFonts w:hint="cs"/>
          <w:rtl/>
        </w:rPr>
        <w:t xml:space="preserve">י </w:t>
      </w:r>
      <w:r w:rsidR="002C0595">
        <w:rPr>
          <w:rFonts w:hint="cs"/>
          <w:rtl/>
        </w:rPr>
        <w:t xml:space="preserve">בחינות </w:t>
      </w:r>
      <w:r w:rsidR="00A6769A">
        <w:rPr>
          <w:rFonts w:hint="cs"/>
          <w:rtl/>
        </w:rPr>
        <w:t>מחולקות, כלומר</w:t>
      </w:r>
      <w:r w:rsidR="00B978C8">
        <w:rPr>
          <w:rFonts w:hint="cs"/>
          <w:rtl/>
        </w:rPr>
        <w:t xml:space="preserve"> החומר מצד אחד בלי מה שמוטבע (שזה החומר הראשון), ומה שמוטבע בפני עצמו (שזה הצורות). </w:t>
      </w:r>
      <w:r w:rsidR="00E35F25">
        <w:rPr>
          <w:rFonts w:hint="cs"/>
          <w:rtl/>
        </w:rPr>
        <w:t>אלא הכל אחד גמור והם מחשיבים הכל לחומר ולדעתם אין צורות. לשיטתם קשה מאוד להבין מה מוטבע ואיך הוא מוטבע, אם ההטבעה הזו אינה צורות אלא היא מגוף החומר עצמו.</w:t>
      </w:r>
    </w:p>
    <w:p w14:paraId="6E1DAEF5" w14:textId="77777777" w:rsidR="00E35F25" w:rsidRDefault="00E35F25">
      <w:pPr>
        <w:pStyle w:val="FootnoteText"/>
        <w:rPr>
          <w:rtl/>
        </w:rPr>
      </w:pPr>
      <w:r>
        <w:rPr>
          <w:rFonts w:hint="cs"/>
          <w:rtl/>
        </w:rPr>
        <w:t>לשון הרמב"ם בהלכות יסודי התורה ד' ז':</w:t>
      </w:r>
    </w:p>
    <w:p w14:paraId="198068D6" w14:textId="77777777" w:rsidR="006C5DB5" w:rsidRDefault="00E35F25">
      <w:pPr>
        <w:pStyle w:val="FootnoteText"/>
        <w:rPr>
          <w:rtl/>
        </w:rPr>
      </w:pPr>
      <w:r>
        <w:rPr>
          <w:rFonts w:hint="cs"/>
          <w:rtl/>
        </w:rPr>
        <w:t>"</w:t>
      </w:r>
      <w:r w:rsidR="003C0C11" w:rsidRPr="003C0C11">
        <w:rPr>
          <w:rtl/>
        </w:rPr>
        <w:t>לעולם אין אתה רואה גולם בלא צורה או צורה בלא גולם אלא לב האדם הוא שמחלק גוף הנמצא בדעתו ויודע שהוא מחובר מגולם וצורה</w:t>
      </w:r>
      <w:r w:rsidR="00983FC9">
        <w:rPr>
          <w:rFonts w:hint="cs"/>
          <w:rtl/>
        </w:rPr>
        <w:t>"</w:t>
      </w:r>
    </w:p>
    <w:p w14:paraId="57AF7ED8" w14:textId="66DCFBD0" w:rsidR="007852F4" w:rsidRDefault="006C5DB5">
      <w:pPr>
        <w:pStyle w:val="FootnoteText"/>
        <w:rPr>
          <w:rtl/>
        </w:rPr>
      </w:pPr>
      <w:r>
        <w:rPr>
          <w:rFonts w:hint="cs"/>
          <w:rtl/>
        </w:rPr>
        <w:t xml:space="preserve">לב האדם רואה שיש דברים שמוטבעים בחומר, הם העצמים, ורואה בהם צורות בבחינה נבדלת מראיית המצע לצורות האלה שהוא החומר הראשון שאין לו צורה משלו. </w:t>
      </w:r>
      <w:r w:rsidR="00D225B3">
        <w:rPr>
          <w:rFonts w:hint="cs"/>
          <w:rtl/>
        </w:rPr>
        <w:t xml:space="preserve">ללא המושג של צורה אי אפשר להבין את המובן של 'מוטבע'. אכן </w:t>
      </w:r>
      <w:r w:rsidR="00C62E9C">
        <w:rPr>
          <w:rFonts w:hint="cs"/>
          <w:rtl/>
        </w:rPr>
        <w:t>אין לזה יישוב, כי זו שיטה מופרכת מכל צד</w:t>
      </w:r>
      <w:r w:rsidR="006A1B79">
        <w:rPr>
          <w:rFonts w:hint="cs"/>
          <w:rtl/>
        </w:rPr>
        <w:t xml:space="preserve"> ואין לה עמידה כלל מכל בחינה שנבחן אותה</w:t>
      </w:r>
      <w:r w:rsidR="00C62E9C">
        <w:rPr>
          <w:rFonts w:hint="cs"/>
          <w:rtl/>
        </w:rPr>
        <w:t>.</w:t>
      </w:r>
      <w:r w:rsidR="004D313D">
        <w:rPr>
          <w:rFonts w:hint="cs"/>
          <w:rtl/>
        </w:rPr>
        <w:t xml:space="preserve"> השיטה</w:t>
      </w:r>
      <w:r w:rsidR="00595CA1">
        <w:rPr>
          <w:rFonts w:hint="cs"/>
          <w:rtl/>
        </w:rPr>
        <w:t xml:space="preserve"> המטריאליסטית</w:t>
      </w:r>
      <w:r w:rsidR="004D313D">
        <w:rPr>
          <w:rFonts w:hint="cs"/>
          <w:rtl/>
        </w:rPr>
        <w:t xml:space="preserve"> שקיימת בעולם שנים רבות, ועל ידי הוגים רבים, אינה שיטה פילוסופית, </w:t>
      </w:r>
      <w:r w:rsidR="00595CA1">
        <w:rPr>
          <w:rFonts w:hint="cs"/>
          <w:rtl/>
        </w:rPr>
        <w:t xml:space="preserve">אלא נקיטת עמדה </w:t>
      </w:r>
      <w:r w:rsidR="00DF494D">
        <w:rPr>
          <w:rFonts w:hint="cs"/>
          <w:rtl/>
        </w:rPr>
        <w:t xml:space="preserve">ראשונית </w:t>
      </w:r>
      <w:r w:rsidR="00595CA1">
        <w:rPr>
          <w:rFonts w:hint="cs"/>
          <w:rtl/>
        </w:rPr>
        <w:t xml:space="preserve">שאין </w:t>
      </w:r>
      <w:r w:rsidR="00DF494D">
        <w:rPr>
          <w:rFonts w:hint="cs"/>
          <w:rtl/>
        </w:rPr>
        <w:t xml:space="preserve">לאדם </w:t>
      </w:r>
      <w:r w:rsidR="00595CA1">
        <w:rPr>
          <w:rFonts w:hint="cs"/>
          <w:rtl/>
        </w:rPr>
        <w:t xml:space="preserve">לעסוק בפילוסופיה אלא </w:t>
      </w:r>
      <w:r w:rsidR="00DF494D">
        <w:rPr>
          <w:rFonts w:hint="cs"/>
          <w:rtl/>
        </w:rPr>
        <w:t xml:space="preserve">הנכון הוא שיעסוק </w:t>
      </w:r>
      <w:r w:rsidR="00595CA1">
        <w:rPr>
          <w:rFonts w:hint="cs"/>
          <w:rtl/>
        </w:rPr>
        <w:t>במעשה לחוד</w:t>
      </w:r>
      <w:r w:rsidR="004C45F9">
        <w:rPr>
          <w:rFonts w:hint="cs"/>
          <w:rtl/>
        </w:rPr>
        <w:t>, וכך עולה מלשון אבן סינא בסוף הסעי</w:t>
      </w:r>
      <w:r w:rsidR="00633E26">
        <w:rPr>
          <w:rFonts w:hint="cs"/>
          <w:rtl/>
        </w:rPr>
        <w:t>ף</w:t>
      </w:r>
      <w:r w:rsidR="004C45F9">
        <w:rPr>
          <w:rFonts w:hint="cs"/>
          <w:rtl/>
        </w:rPr>
        <w:t xml:space="preserve"> על כורה הברזל והצוללן</w:t>
      </w:r>
      <w:r w:rsidR="00595CA1">
        <w:rPr>
          <w:rFonts w:hint="cs"/>
          <w:rtl/>
        </w:rPr>
        <w:t xml:space="preserve">. </w:t>
      </w:r>
    </w:p>
    <w:p w14:paraId="1EB5DEDB" w14:textId="6DC85CB4" w:rsidR="00BE69C9" w:rsidRDefault="00B60B00">
      <w:pPr>
        <w:pStyle w:val="FootnoteText"/>
        <w:rPr>
          <w:rtl/>
        </w:rPr>
      </w:pPr>
      <w:r>
        <w:rPr>
          <w:rFonts w:hint="cs"/>
          <w:rtl/>
        </w:rPr>
        <w:t xml:space="preserve">בנעורי הייתי צייר, וקרוב משפחה שהיה קומוניסט מבוגר אמר לי שאפסיק לבזבז את הזמן </w:t>
      </w:r>
      <w:r w:rsidR="007852F4">
        <w:rPr>
          <w:rFonts w:hint="cs"/>
          <w:rtl/>
        </w:rPr>
        <w:t xml:space="preserve">על הבלים בטלים כמו </w:t>
      </w:r>
      <w:r>
        <w:rPr>
          <w:rFonts w:hint="cs"/>
          <w:rtl/>
        </w:rPr>
        <w:t xml:space="preserve">למרוח צבעים על בד עם שערות סוס, אלא אעשה משהו  מועיל, כמו להיות בנאי חקלאי או אינסטלטור וכיו"ב. </w:t>
      </w:r>
      <w:r w:rsidR="007852F4">
        <w:rPr>
          <w:rFonts w:hint="cs"/>
          <w:rtl/>
        </w:rPr>
        <w:t xml:space="preserve">לא היה לו נימוק פילוסופי טהור לעמדה שלו, העמדה </w:t>
      </w:r>
      <w:r w:rsidR="007F1F14">
        <w:rPr>
          <w:rFonts w:hint="cs"/>
          <w:rtl/>
        </w:rPr>
        <w:t xml:space="preserve">שלו </w:t>
      </w:r>
      <w:r w:rsidR="007852F4">
        <w:rPr>
          <w:rFonts w:hint="cs"/>
          <w:rtl/>
        </w:rPr>
        <w:t>ננקטה עוד לפני השלב של העיון הפילוסופי ו</w:t>
      </w:r>
      <w:r w:rsidR="007F1F14">
        <w:rPr>
          <w:rFonts w:hint="cs"/>
          <w:rtl/>
        </w:rPr>
        <w:t xml:space="preserve">קבעה מראש שכמו שאמנות היא דבר הבל בטל כך גם פילוסופיה. </w:t>
      </w:r>
      <w:r w:rsidR="00420DA8">
        <w:rPr>
          <w:rFonts w:hint="cs"/>
          <w:rtl/>
        </w:rPr>
        <w:t>זו אמיתת השיטה המטריאליסטית ובאופן כזה היא לא דבר בטל</w:t>
      </w:r>
      <w:r w:rsidR="000041C9">
        <w:rPr>
          <w:rFonts w:hint="cs"/>
          <w:rtl/>
        </w:rPr>
        <w:t xml:space="preserve"> (יש לי הערכה לעמדה שאומרת תפסיק להתלבט ולשאול ותתחיל </w:t>
      </w:r>
      <w:r w:rsidR="006A0006">
        <w:rPr>
          <w:rFonts w:hint="cs"/>
          <w:rtl/>
        </w:rPr>
        <w:t xml:space="preserve">פשוט </w:t>
      </w:r>
      <w:r w:rsidR="000041C9">
        <w:rPr>
          <w:rFonts w:hint="cs"/>
          <w:rtl/>
        </w:rPr>
        <w:t>לעשות</w:t>
      </w:r>
      <w:r w:rsidR="00420DA8">
        <w:rPr>
          <w:rFonts w:hint="cs"/>
          <w:rtl/>
        </w:rPr>
        <w:t xml:space="preserve">. </w:t>
      </w:r>
      <w:r w:rsidR="000041C9">
        <w:rPr>
          <w:rFonts w:hint="cs"/>
          <w:rtl/>
        </w:rPr>
        <w:t xml:space="preserve">לפעמים ההתלבטות, או יצירת אמנות, הם </w:t>
      </w:r>
      <w:r w:rsidR="006A0006">
        <w:rPr>
          <w:rFonts w:hint="cs"/>
          <w:rtl/>
        </w:rPr>
        <w:t>לשד החיים, ול</w:t>
      </w:r>
      <w:r w:rsidR="00C925A1">
        <w:rPr>
          <w:rFonts w:hint="cs"/>
          <w:rtl/>
        </w:rPr>
        <w:t>פ</w:t>
      </w:r>
      <w:r w:rsidR="006A0006">
        <w:rPr>
          <w:rFonts w:hint="cs"/>
          <w:rtl/>
        </w:rPr>
        <w:t>עמים שוקעים בהם יותר מדי על חשבון חיי המעשה ואז עמדה מטריאליסטית היא תרופה בריאה</w:t>
      </w:r>
      <w:r w:rsidR="00C925A1">
        <w:rPr>
          <w:rFonts w:hint="cs"/>
          <w:rtl/>
        </w:rPr>
        <w:t>, לפחות לזמן מה עד שיושג איזון</w:t>
      </w:r>
      <w:r w:rsidR="00C53C57">
        <w:rPr>
          <w:rFonts w:hint="cs"/>
          <w:rtl/>
        </w:rPr>
        <w:t xml:space="preserve"> (על דרך שאמרו חז"ל כל תורה שאין עמה מלאכה סופה</w:t>
      </w:r>
      <w:r w:rsidR="00A51160">
        <w:rPr>
          <w:rFonts w:hint="cs"/>
          <w:rtl/>
        </w:rPr>
        <w:t xml:space="preserve"> </w:t>
      </w:r>
      <w:r w:rsidR="00C53C57">
        <w:rPr>
          <w:rFonts w:hint="cs"/>
          <w:rtl/>
        </w:rPr>
        <w:t>בטלה וגוררת עוון</w:t>
      </w:r>
      <w:r w:rsidR="00FB1FDA">
        <w:rPr>
          <w:rFonts w:hint="cs"/>
          <w:rtl/>
        </w:rPr>
        <w:t>, ו</w:t>
      </w:r>
      <w:r w:rsidR="0063070D">
        <w:rPr>
          <w:rFonts w:hint="cs"/>
          <w:rtl/>
        </w:rPr>
        <w:t>אם חוכמת</w:t>
      </w:r>
      <w:r w:rsidR="0063070D">
        <w:rPr>
          <w:rFonts w:hint="eastAsia"/>
          <w:rtl/>
        </w:rPr>
        <w:t>ו</w:t>
      </w:r>
      <w:r w:rsidR="00FB1FDA">
        <w:rPr>
          <w:rFonts w:hint="cs"/>
          <w:rtl/>
        </w:rPr>
        <w:t xml:space="preserve"> מרובה ממעשיו אין </w:t>
      </w:r>
      <w:r w:rsidR="0063070D">
        <w:rPr>
          <w:rFonts w:hint="cs"/>
          <w:rtl/>
        </w:rPr>
        <w:t>חוכמתו</w:t>
      </w:r>
      <w:r w:rsidR="00FB1FDA">
        <w:rPr>
          <w:rFonts w:hint="cs"/>
          <w:rtl/>
        </w:rPr>
        <w:t xml:space="preserve"> מתקיימת, ועוד הרבה כיו"ב</w:t>
      </w:r>
      <w:r w:rsidR="00C53C57">
        <w:rPr>
          <w:rFonts w:hint="cs"/>
          <w:rtl/>
        </w:rPr>
        <w:t>)</w:t>
      </w:r>
      <w:r w:rsidR="006A0006">
        <w:rPr>
          <w:rFonts w:hint="cs"/>
          <w:rtl/>
        </w:rPr>
        <w:t xml:space="preserve">), </w:t>
      </w:r>
      <w:r w:rsidR="00420DA8">
        <w:rPr>
          <w:rFonts w:hint="cs"/>
          <w:rtl/>
        </w:rPr>
        <w:t>אבל לנסות להעמיד את המטריאליזם</w:t>
      </w:r>
      <w:r w:rsidR="00427666">
        <w:rPr>
          <w:rtl/>
        </w:rPr>
        <w:fldChar w:fldCharType="begin"/>
      </w:r>
      <w:r w:rsidR="00427666">
        <w:instrText xml:space="preserve"> XE "</w:instrText>
      </w:r>
      <w:r w:rsidR="00427666" w:rsidRPr="0073463C">
        <w:rPr>
          <w:rFonts w:hint="cs"/>
          <w:rtl/>
        </w:rPr>
        <w:instrText>מטריאליזם - אינו שיטה פילוסופית</w:instrText>
      </w:r>
      <w:r w:rsidR="00427666">
        <w:instrText xml:space="preserve">" </w:instrText>
      </w:r>
      <w:r w:rsidR="00427666">
        <w:rPr>
          <w:rtl/>
        </w:rPr>
        <w:fldChar w:fldCharType="end"/>
      </w:r>
      <w:r w:rsidR="00420DA8">
        <w:rPr>
          <w:rFonts w:hint="cs"/>
          <w:rtl/>
        </w:rPr>
        <w:t xml:space="preserve"> כשיטה שיכולה לנמק את עצמה בשכל, זו סתירה מיניה וביה</w:t>
      </w:r>
      <w:r w:rsidR="003A047D">
        <w:rPr>
          <w:rFonts w:hint="cs"/>
          <w:rtl/>
        </w:rPr>
        <w:t xml:space="preserve">, </w:t>
      </w:r>
      <w:r w:rsidR="002C3B8A">
        <w:rPr>
          <w:rFonts w:hint="cs"/>
          <w:rtl/>
        </w:rPr>
        <w:t xml:space="preserve">הרי שכל אינו דבר חומרי, </w:t>
      </w:r>
      <w:r w:rsidR="003A047D">
        <w:rPr>
          <w:rFonts w:hint="cs"/>
          <w:rtl/>
        </w:rPr>
        <w:t>וזה לא יכול להתחיל להצליח</w:t>
      </w:r>
      <w:r w:rsidR="00420DA8">
        <w:rPr>
          <w:rFonts w:hint="cs"/>
          <w:rtl/>
        </w:rPr>
        <w:t>.</w:t>
      </w:r>
    </w:p>
    <w:p w14:paraId="5EB9ED1A" w14:textId="6CEFED64" w:rsidR="001D3989" w:rsidRDefault="00506D90">
      <w:pPr>
        <w:pStyle w:val="FootnoteText"/>
        <w:rPr>
          <w:rtl/>
        </w:rPr>
      </w:pPr>
      <w:r>
        <w:rPr>
          <w:rFonts w:hint="cs"/>
          <w:rtl/>
        </w:rPr>
        <w:t>(</w:t>
      </w:r>
      <w:r w:rsidR="002B3AFE">
        <w:rPr>
          <w:rFonts w:hint="cs"/>
          <w:rtl/>
        </w:rPr>
        <w:t xml:space="preserve">אגב, בערך מטריאליזם </w:t>
      </w:r>
      <w:r w:rsidR="002B3AFE">
        <w:rPr>
          <w:rFonts w:hint="cs"/>
          <w:rtl/>
        </w:rPr>
        <w:t>בויקיפדיה חזר על טעות נפוצה. כתוב שם ש</w:t>
      </w:r>
      <w:r w:rsidR="002A5038">
        <w:rPr>
          <w:rFonts w:hint="cs"/>
          <w:rtl/>
        </w:rPr>
        <w:t>השיטות שאומרות שהעולם מורכב מארבעת היסודות</w:t>
      </w:r>
      <w:r w:rsidR="00C10715">
        <w:rPr>
          <w:rtl/>
        </w:rPr>
        <w:fldChar w:fldCharType="begin"/>
      </w:r>
      <w:r w:rsidR="00C10715">
        <w:instrText xml:space="preserve"> XE "</w:instrText>
      </w:r>
      <w:r w:rsidR="00C10715" w:rsidRPr="006A2356">
        <w:rPr>
          <w:rFonts w:hint="cs"/>
          <w:rtl/>
        </w:rPr>
        <w:instrText>ארבעת היסודות - אינם חומר</w:instrText>
      </w:r>
      <w:r w:rsidR="00C10715">
        <w:instrText xml:space="preserve">" </w:instrText>
      </w:r>
      <w:r w:rsidR="00C10715">
        <w:rPr>
          <w:rtl/>
        </w:rPr>
        <w:fldChar w:fldCharType="end"/>
      </w:r>
      <w:r w:rsidR="002A5038">
        <w:rPr>
          <w:rFonts w:hint="cs"/>
          <w:rtl/>
        </w:rPr>
        <w:t xml:space="preserve"> שהם אש רוח מים ועפר, </w:t>
      </w:r>
      <w:r w:rsidR="001A55E9">
        <w:rPr>
          <w:rFonts w:hint="cs"/>
          <w:rtl/>
        </w:rPr>
        <w:t>הן שיטות מטריאליס</w:t>
      </w:r>
      <w:r w:rsidR="00C30B7E">
        <w:rPr>
          <w:rFonts w:hint="cs"/>
          <w:rtl/>
        </w:rPr>
        <w:t>ט</w:t>
      </w:r>
      <w:r w:rsidR="001A55E9">
        <w:rPr>
          <w:rFonts w:hint="cs"/>
          <w:rtl/>
        </w:rPr>
        <w:t>יות</w:t>
      </w:r>
      <w:r w:rsidR="00A733EF">
        <w:rPr>
          <w:rFonts w:hint="cs"/>
          <w:rtl/>
        </w:rPr>
        <w:t xml:space="preserve"> (</w:t>
      </w:r>
      <w:r w:rsidR="00C30B7E">
        <w:rPr>
          <w:rFonts w:hint="cs"/>
          <w:rtl/>
        </w:rPr>
        <w:t xml:space="preserve">לפי ההגדרה הנכונה שם הכוונה </w:t>
      </w:r>
      <w:r w:rsidR="00A733EF">
        <w:rPr>
          <w:rFonts w:hint="cs"/>
          <w:rtl/>
        </w:rPr>
        <w:t>במטריאליזם היא ל</w:t>
      </w:r>
      <w:r w:rsidR="00C30B7E">
        <w:rPr>
          <w:rFonts w:hint="cs"/>
          <w:rtl/>
        </w:rPr>
        <w:t>שיטות</w:t>
      </w:r>
      <w:r w:rsidR="001A55E9">
        <w:rPr>
          <w:rFonts w:hint="cs"/>
          <w:rtl/>
        </w:rPr>
        <w:t xml:space="preserve"> שסוברות שהחומר הוא המציאות היחי</w:t>
      </w:r>
      <w:r w:rsidR="00C30B7E">
        <w:rPr>
          <w:rFonts w:hint="cs"/>
          <w:rtl/>
        </w:rPr>
        <w:t>ד</w:t>
      </w:r>
      <w:r w:rsidR="001A55E9">
        <w:rPr>
          <w:rFonts w:hint="cs"/>
          <w:rtl/>
        </w:rPr>
        <w:t>ה הקיימת ו</w:t>
      </w:r>
      <w:r w:rsidR="00A733EF">
        <w:rPr>
          <w:rFonts w:hint="cs"/>
          <w:rtl/>
        </w:rPr>
        <w:t xml:space="preserve">החומר </w:t>
      </w:r>
      <w:r w:rsidR="001A55E9">
        <w:rPr>
          <w:rFonts w:hint="cs"/>
          <w:rtl/>
        </w:rPr>
        <w:t>הוא הדבר היחיד שמרכיב ומפעיל את היקום</w:t>
      </w:r>
      <w:r w:rsidR="00A733EF">
        <w:rPr>
          <w:rFonts w:hint="cs"/>
          <w:rtl/>
        </w:rPr>
        <w:t>)</w:t>
      </w:r>
      <w:r w:rsidR="001A55E9">
        <w:rPr>
          <w:rFonts w:hint="cs"/>
          <w:rtl/>
        </w:rPr>
        <w:t xml:space="preserve">, </w:t>
      </w:r>
      <w:r w:rsidR="00A733EF">
        <w:rPr>
          <w:rFonts w:hint="cs"/>
          <w:rtl/>
        </w:rPr>
        <w:t xml:space="preserve">כי אש רוח מים ועפר הם חומרים. </w:t>
      </w:r>
      <w:r w:rsidR="00125462">
        <w:rPr>
          <w:rFonts w:hint="cs"/>
          <w:rtl/>
        </w:rPr>
        <w:t>באמת לפי אריסטו, מובא גם ברמב"ם, היסודות הטהורים לא נמצאים בטבע</w:t>
      </w:r>
      <w:r w:rsidR="00746CBB">
        <w:rPr>
          <w:rFonts w:hint="cs"/>
          <w:rtl/>
        </w:rPr>
        <w:t>, ואינם מושגים בחושים בשום אופן. מה שיש בטבע ומושג בחושים הוא רק דברים שהם תרכובת ארבעת היסודות, ולא יסודות כלשעצמם. המים שאנו מכירים מעורבים מכל היסודות, רק שיסוד המים שולט ב</w:t>
      </w:r>
      <w:r w:rsidR="00D17CDD">
        <w:rPr>
          <w:rFonts w:hint="cs"/>
          <w:rtl/>
        </w:rPr>
        <w:t xml:space="preserve">תרכובת ורוב תכונותיה דומות אליו. </w:t>
      </w:r>
    </w:p>
    <w:p w14:paraId="4219C6B2" w14:textId="159E3BBB" w:rsidR="002B3AFE" w:rsidRDefault="001D3989">
      <w:pPr>
        <w:pStyle w:val="FootnoteText"/>
      </w:pPr>
      <w:r>
        <w:rPr>
          <w:rFonts w:hint="cs"/>
          <w:rtl/>
        </w:rPr>
        <w:t xml:space="preserve">הפירוש שהיסודות אינם בטבע הוא שהם </w:t>
      </w:r>
      <w:r w:rsidR="00AE1258">
        <w:rPr>
          <w:rFonts w:hint="cs"/>
          <w:rtl/>
        </w:rPr>
        <w:t xml:space="preserve">לא דבר חומרי. הם מופשטים מחומר. הם עקרון רוחני </w:t>
      </w:r>
      <w:r w:rsidR="00AD50B8">
        <w:rPr>
          <w:rFonts w:hint="cs"/>
          <w:rtl/>
        </w:rPr>
        <w:t>ש</w:t>
      </w:r>
      <w:r w:rsidR="00AE1258">
        <w:rPr>
          <w:rFonts w:hint="cs"/>
          <w:rtl/>
        </w:rPr>
        <w:t>ל האופן שבו האלוה האין סופי מצטמצם להיות הבורא של מציאות סופית חומרית.</w:t>
      </w:r>
      <w:r w:rsidR="00FD20EB">
        <w:rPr>
          <w:rFonts w:hint="cs"/>
          <w:rtl/>
        </w:rPr>
        <w:t xml:space="preserve"> עיין למשל</w:t>
      </w:r>
      <w:r w:rsidR="00C3320C">
        <w:rPr>
          <w:rFonts w:hint="cs"/>
          <w:rtl/>
        </w:rPr>
        <w:t xml:space="preserve"> באדם חי </w:t>
      </w:r>
      <w:hyperlink r:id="rId132" w:history="1">
        <w:r w:rsidR="00C3320C" w:rsidRPr="00C3320C">
          <w:rPr>
            <w:rStyle w:val="Hyperlink"/>
            <w:rFonts w:hint="cs"/>
            <w:rtl/>
          </w:rPr>
          <w:t>רשימה 291</w:t>
        </w:r>
      </w:hyperlink>
      <w:r w:rsidR="00FD20EB">
        <w:rPr>
          <w:rFonts w:hint="cs"/>
          <w:rtl/>
        </w:rPr>
        <w:t xml:space="preserve"> בקיצור, וכתבתי בזה בעוד הרבה מקומות. </w:t>
      </w:r>
      <w:r w:rsidR="00DE7D12">
        <w:rPr>
          <w:rFonts w:hint="cs"/>
          <w:rtl/>
        </w:rPr>
        <w:t xml:space="preserve">החומר מורכב מארבעת היסודות, פירושו שהוא גילוי של השורשים המופשטים של התגלות האלוהית. ומציאותו היא רק כגילוי כזה ואין מציאות עצמית לחומר. </w:t>
      </w:r>
      <w:r w:rsidR="00E13A88">
        <w:rPr>
          <w:rtl/>
        </w:rPr>
        <w:br/>
      </w:r>
      <w:r w:rsidR="00E13A88">
        <w:rPr>
          <w:rFonts w:hint="cs"/>
          <w:rtl/>
        </w:rPr>
        <w:t xml:space="preserve">גם שיטות קודמות לאריסטו, וכגון תאלס שאמר שהכל מים, </w:t>
      </w:r>
      <w:r w:rsidR="00926E6B">
        <w:rPr>
          <w:rFonts w:hint="cs"/>
          <w:rtl/>
        </w:rPr>
        <w:t xml:space="preserve">וודאי אין כוונתו למים כחומר, וכי הוא לא ידע שיש </w:t>
      </w:r>
      <w:r w:rsidR="00EF7FA7">
        <w:rPr>
          <w:rFonts w:hint="cs"/>
          <w:rtl/>
        </w:rPr>
        <w:t>חול</w:t>
      </w:r>
      <w:r w:rsidR="00926E6B">
        <w:rPr>
          <w:rFonts w:hint="cs"/>
          <w:rtl/>
        </w:rPr>
        <w:t xml:space="preserve"> בעולם.</w:t>
      </w:r>
      <w:r w:rsidR="00DE7D12">
        <w:rPr>
          <w:rFonts w:hint="cs"/>
          <w:rtl/>
        </w:rPr>
        <w:t xml:space="preserve"> </w:t>
      </w:r>
      <w:r w:rsidR="001A495E">
        <w:rPr>
          <w:rFonts w:hint="cs"/>
          <w:rtl/>
        </w:rPr>
        <w:t>הרמב"ם כתב על אפלטון שדברי הם "עמוקות ומשלים", וכל הפילוסופים היווניים באותו זמן היו באופן כזה וקרי</w:t>
      </w:r>
      <w:r w:rsidR="00427666">
        <w:rPr>
          <w:rFonts w:hint="cs"/>
          <w:rtl/>
        </w:rPr>
        <w:t>א</w:t>
      </w:r>
      <w:r w:rsidR="001A495E">
        <w:rPr>
          <w:rFonts w:hint="cs"/>
          <w:rtl/>
        </w:rPr>
        <w:t xml:space="preserve">ה פשטנית בדבריהם </w:t>
      </w:r>
      <w:r w:rsidR="00427666">
        <w:rPr>
          <w:rFonts w:hint="cs"/>
          <w:rtl/>
        </w:rPr>
        <w:t>מעלה את</w:t>
      </w:r>
      <w:r w:rsidR="001A495E">
        <w:rPr>
          <w:rFonts w:hint="cs"/>
          <w:rtl/>
        </w:rPr>
        <w:t xml:space="preserve"> </w:t>
      </w:r>
      <w:r w:rsidR="00427666">
        <w:rPr>
          <w:rFonts w:hint="cs"/>
          <w:rtl/>
        </w:rPr>
        <w:t>ה</w:t>
      </w:r>
      <w:r w:rsidR="001A495E">
        <w:rPr>
          <w:rFonts w:hint="cs"/>
          <w:rtl/>
        </w:rPr>
        <w:t xml:space="preserve">היפך </w:t>
      </w:r>
      <w:r w:rsidR="00427666">
        <w:rPr>
          <w:rFonts w:hint="cs"/>
          <w:rtl/>
        </w:rPr>
        <w:t>מ</w:t>
      </w:r>
      <w:r w:rsidR="001A495E">
        <w:rPr>
          <w:rFonts w:hint="cs"/>
          <w:rtl/>
        </w:rPr>
        <w:t>התוכן האמיתי שלהם.</w:t>
      </w:r>
      <w:r w:rsidR="00506D90">
        <w:rPr>
          <w:rFonts w:hint="cs"/>
          <w:rtl/>
        </w:rPr>
        <w:t>)</w:t>
      </w:r>
    </w:p>
  </w:footnote>
  <w:footnote w:id="644">
    <w:p w14:paraId="4592A3FA" w14:textId="6943FD81" w:rsidR="009F42C7" w:rsidRDefault="009F42C7">
      <w:pPr>
        <w:pStyle w:val="FootnoteText"/>
      </w:pPr>
      <w:r>
        <w:rPr>
          <w:rStyle w:val="FootnoteReference"/>
        </w:rPr>
        <w:footnoteRef/>
      </w:r>
      <w:r>
        <w:rPr>
          <w:rtl/>
        </w:rPr>
        <w:t xml:space="preserve"> </w:t>
      </w:r>
      <w:r w:rsidR="00BF4C42">
        <w:rPr>
          <w:rFonts w:hint="cs"/>
          <w:rtl/>
        </w:rPr>
        <w:t>המטאפיזיקה, והצד של הפיזיקה שנושא עיניים אליה.</w:t>
      </w:r>
    </w:p>
  </w:footnote>
  <w:footnote w:id="645">
    <w:p w14:paraId="4D19C34E" w14:textId="77777777" w:rsidR="00284B39" w:rsidRDefault="001C15DC">
      <w:pPr>
        <w:pStyle w:val="FootnoteText"/>
        <w:rPr>
          <w:rtl/>
        </w:rPr>
      </w:pPr>
      <w:r>
        <w:rPr>
          <w:rStyle w:val="FootnoteReference"/>
        </w:rPr>
        <w:footnoteRef/>
      </w:r>
      <w:r>
        <w:rPr>
          <w:rtl/>
        </w:rPr>
        <w:t xml:space="preserve"> </w:t>
      </w:r>
      <w:r w:rsidR="00793640">
        <w:rPr>
          <w:rFonts w:hint="cs"/>
          <w:rtl/>
        </w:rPr>
        <w:t xml:space="preserve">אם החומר חסר צורה לגמרי הוא לא באמת נמצא, וזו העמדה האידיאליסטית (שהמציאות כולה רוח, אידיאות מופשטות). לפי העמדה המטריאליסטית (שהמציאות כולה חומר) </w:t>
      </w:r>
      <w:r w:rsidR="00B51969">
        <w:rPr>
          <w:rFonts w:hint="cs"/>
          <w:rtl/>
        </w:rPr>
        <w:t>החומר נמצא אע"פ שאין לזה הבנה שכלית, מכל מקום לא יתכן שמהחומ</w:t>
      </w:r>
      <w:r w:rsidR="00873FC9">
        <w:rPr>
          <w:rFonts w:hint="cs"/>
          <w:rtl/>
        </w:rPr>
        <w:t>ר</w:t>
      </w:r>
      <w:r w:rsidR="00B51969">
        <w:rPr>
          <w:rFonts w:hint="cs"/>
          <w:rtl/>
        </w:rPr>
        <w:t xml:space="preserve"> לחוד ינבעו המאפיינים </w:t>
      </w:r>
      <w:r w:rsidR="00873FC9">
        <w:rPr>
          <w:rFonts w:hint="cs"/>
          <w:rtl/>
        </w:rPr>
        <w:t xml:space="preserve">וחילוקי המינים של הדברים. למשל לפי הפיזיקה החומר מורכב מחלקיקים </w:t>
      </w:r>
      <w:r w:rsidR="009963A7">
        <w:rPr>
          <w:rFonts w:hint="cs"/>
          <w:rtl/>
        </w:rPr>
        <w:t>(</w:t>
      </w:r>
      <w:r w:rsidR="00873FC9">
        <w:rPr>
          <w:rFonts w:hint="cs"/>
          <w:rtl/>
        </w:rPr>
        <w:t xml:space="preserve">אטומים, או פרוטון נויטרון ואלקטרון, או חלקיקים יסודיים יותר שמתגלים </w:t>
      </w:r>
      <w:r w:rsidR="009963A7">
        <w:rPr>
          <w:rFonts w:hint="cs"/>
          <w:rtl/>
        </w:rPr>
        <w:t>עם התקדמות הפיזיקה). החלקיקים האלה זהים זה לזה (או שיש מעט מינים של חלקיקים</w:t>
      </w:r>
      <w:r w:rsidR="00784169">
        <w:rPr>
          <w:rFonts w:hint="cs"/>
          <w:rtl/>
        </w:rPr>
        <w:t xml:space="preserve"> וכל מין חלקיקיו זהים</w:t>
      </w:r>
      <w:r w:rsidR="009963A7">
        <w:rPr>
          <w:rFonts w:hint="cs"/>
          <w:rtl/>
        </w:rPr>
        <w:t>)</w:t>
      </w:r>
      <w:r w:rsidR="00784169">
        <w:rPr>
          <w:rFonts w:hint="cs"/>
          <w:rtl/>
        </w:rPr>
        <w:t>. נניח שאני מורכב מפרוטונים נויטרונים ואלקטרונים. השולחן גם הוא מורכב מאותם חלקיקים. אין שום הבדל בין החלקיקים שלי לחלקיקים של השולחן</w:t>
      </w:r>
      <w:r w:rsidR="00E312FC">
        <w:rPr>
          <w:rFonts w:hint="cs"/>
          <w:rtl/>
        </w:rPr>
        <w:t>.</w:t>
      </w:r>
      <w:r w:rsidR="00784169">
        <w:rPr>
          <w:rFonts w:hint="cs"/>
          <w:rtl/>
        </w:rPr>
        <w:t xml:space="preserve"> </w:t>
      </w:r>
      <w:r w:rsidR="00E312FC">
        <w:rPr>
          <w:rFonts w:hint="cs"/>
          <w:rtl/>
        </w:rPr>
        <w:t xml:space="preserve">אין שום דבר שחוצץ בין הפרוטונים שלי לפרוטונים שבאוויר הנוגע בי, זה רצף אחד של פרוטונים ויש בו תנועה, כלומר </w:t>
      </w:r>
      <w:r w:rsidR="003E44BD">
        <w:rPr>
          <w:rFonts w:hint="cs"/>
          <w:rtl/>
        </w:rPr>
        <w:t>פרוטונ</w:t>
      </w:r>
      <w:r w:rsidR="00E312FC">
        <w:rPr>
          <w:rFonts w:hint="cs"/>
          <w:rtl/>
        </w:rPr>
        <w:t>ים שהיו אוויר נעים לתוכי וכעת הם פרוטונים ש</w:t>
      </w:r>
      <w:r w:rsidR="003E44BD">
        <w:rPr>
          <w:rFonts w:hint="cs"/>
          <w:rtl/>
        </w:rPr>
        <w:t>ה</w:t>
      </w:r>
      <w:r w:rsidR="00E312FC">
        <w:rPr>
          <w:rFonts w:hint="cs"/>
          <w:rtl/>
        </w:rPr>
        <w:t xml:space="preserve">ם אני. </w:t>
      </w:r>
      <w:r w:rsidR="003E44BD">
        <w:rPr>
          <w:rFonts w:hint="cs"/>
          <w:rtl/>
        </w:rPr>
        <w:t>אם העולם כולו מורכב מחלקיקים כמו פרוטונים,</w:t>
      </w:r>
      <w:r w:rsidR="005B6287">
        <w:rPr>
          <w:rFonts w:hint="cs"/>
          <w:rtl/>
        </w:rPr>
        <w:t xml:space="preserve"> צריך שהעולם </w:t>
      </w:r>
      <w:r w:rsidR="005708CA">
        <w:rPr>
          <w:rFonts w:hint="cs"/>
          <w:rtl/>
        </w:rPr>
        <w:t>י</w:t>
      </w:r>
      <w:r w:rsidR="005B6287">
        <w:rPr>
          <w:rFonts w:hint="cs"/>
          <w:rtl/>
        </w:rPr>
        <w:t>היה כולו מ</w:t>
      </w:r>
      <w:r w:rsidR="005708CA">
        <w:rPr>
          <w:rFonts w:hint="cs"/>
          <w:rtl/>
        </w:rPr>
        <w:t>י</w:t>
      </w:r>
      <w:r w:rsidR="005B6287">
        <w:rPr>
          <w:rFonts w:hint="cs"/>
          <w:rtl/>
        </w:rPr>
        <w:t>דבר של חלקיקים שווים, כמו מ</w:t>
      </w:r>
      <w:r w:rsidR="005708CA">
        <w:rPr>
          <w:rFonts w:hint="cs"/>
          <w:rtl/>
        </w:rPr>
        <w:t>י</w:t>
      </w:r>
      <w:r w:rsidR="005B6287">
        <w:rPr>
          <w:rFonts w:hint="cs"/>
          <w:rtl/>
        </w:rPr>
        <w:t>דבר חול שכולו גרגרי חול זהים זה לזה. מה עושה מ</w:t>
      </w:r>
      <w:r w:rsidR="005708CA">
        <w:rPr>
          <w:rFonts w:hint="cs"/>
          <w:rtl/>
        </w:rPr>
        <w:t>ה</w:t>
      </w:r>
      <w:r w:rsidR="005B6287">
        <w:rPr>
          <w:rFonts w:hint="cs"/>
          <w:rtl/>
        </w:rPr>
        <w:t xml:space="preserve">פרוטונים שלי אדם ומהפרוטונים של השולחן שולחן? </w:t>
      </w:r>
      <w:r w:rsidR="005708CA">
        <w:rPr>
          <w:rFonts w:hint="cs"/>
          <w:rtl/>
        </w:rPr>
        <w:t xml:space="preserve">זו כוונת אבן סינא שלפי המטריאליזם אין לנו שום נקודת עמידה שממנה יתאפשר להבין את החילוקים של מאפיינים ומינים שיש בין העצמים שבעולם. </w:t>
      </w:r>
      <w:r w:rsidR="00E02BDC">
        <w:rPr>
          <w:rFonts w:hint="cs"/>
          <w:rtl/>
        </w:rPr>
        <w:t xml:space="preserve">זה לא קושיה או טיעון נגד המטריאליזם, </w:t>
      </w:r>
      <w:r w:rsidR="00087C19">
        <w:rPr>
          <w:rFonts w:hint="cs"/>
          <w:rtl/>
        </w:rPr>
        <w:t>כי קושיה אפשר לתרץ ועל טיעון אפשר להשיב, וכאן רואים שהמטריאליזם</w:t>
      </w:r>
      <w:r w:rsidR="00E02BDC">
        <w:rPr>
          <w:rFonts w:hint="cs"/>
          <w:rtl/>
        </w:rPr>
        <w:t xml:space="preserve"> הוא שיטה נפסדת, כלומר </w:t>
      </w:r>
      <w:r w:rsidR="00087C19">
        <w:rPr>
          <w:rFonts w:hint="cs"/>
          <w:rtl/>
        </w:rPr>
        <w:t xml:space="preserve">יש בו כיבוי גמור של השכל, התעוורות מרצון של השכל. </w:t>
      </w:r>
    </w:p>
    <w:p w14:paraId="5AD1C344" w14:textId="21054488" w:rsidR="001C15DC" w:rsidRDefault="00D4095D">
      <w:pPr>
        <w:pStyle w:val="FootnoteText"/>
      </w:pPr>
      <w:r>
        <w:rPr>
          <w:rFonts w:hint="cs"/>
          <w:rtl/>
        </w:rPr>
        <w:t>(</w:t>
      </w:r>
      <w:r w:rsidR="00284B39">
        <w:rPr>
          <w:rFonts w:hint="cs"/>
          <w:rtl/>
        </w:rPr>
        <w:t xml:space="preserve">מארקס </w:t>
      </w:r>
      <w:r w:rsidR="00284B39">
        <w:rPr>
          <w:rFonts w:hint="cs"/>
          <w:rtl/>
        </w:rPr>
        <w:t>ואנגלס הזדהו עם התפישה של הרקליטוס שהבאתי לעיל בסמוך, שגם היא כיבוי מודע של השכל</w:t>
      </w:r>
      <w:r w:rsidR="00712102">
        <w:rPr>
          <w:rFonts w:hint="cs"/>
          <w:rtl/>
        </w:rPr>
        <w:t xml:space="preserve">, שהרי כשקראטילוס גזר על עצמו שתיקה בהכרח זו גם שתיקה גם ממחשבה, לא רק מדיבור. </w:t>
      </w:r>
      <w:r w:rsidR="0016428A">
        <w:rPr>
          <w:rFonts w:hint="cs"/>
          <w:rtl/>
        </w:rPr>
        <w:t>מארקס אמר: "</w:t>
      </w:r>
      <w:r w:rsidR="0016428A" w:rsidRPr="0016428A">
        <w:rPr>
          <w:rtl/>
        </w:rPr>
        <w:t>"כל הפילוסופים עד כה ניסו לתאר את העולם, המטרה היא לשנותו"</w:t>
      </w:r>
      <w:r w:rsidR="0016428A">
        <w:rPr>
          <w:rFonts w:hint="cs"/>
          <w:rtl/>
        </w:rPr>
        <w:t>, כלומר יש כאן נקיטת עמדה נגד הפילוסופיה עצמה</w:t>
      </w:r>
      <w:r w:rsidR="00ED20E9">
        <w:rPr>
          <w:rFonts w:hint="cs"/>
          <w:rtl/>
        </w:rPr>
        <w:t>, ולא נקיטת שיטה פילוסופית שפועלת בתוך הדיסציפלינה הפילוסופית השכלית</w:t>
      </w:r>
      <w:r w:rsidR="0016428A">
        <w:rPr>
          <w:rFonts w:hint="cs"/>
          <w:rtl/>
        </w:rPr>
        <w:t xml:space="preserve">. </w:t>
      </w:r>
      <w:r w:rsidR="00ED20E9">
        <w:rPr>
          <w:rFonts w:hint="cs"/>
          <w:rtl/>
        </w:rPr>
        <w:t>הסיבה לנקיטת העמדה הזו היא תחושה פנימית שבריא</w:t>
      </w:r>
      <w:r w:rsidR="0035058F">
        <w:rPr>
          <w:rFonts w:hint="cs"/>
          <w:rtl/>
        </w:rPr>
        <w:t xml:space="preserve"> ונכון</w:t>
      </w:r>
      <w:r w:rsidR="00ED20E9">
        <w:rPr>
          <w:rFonts w:hint="cs"/>
          <w:rtl/>
        </w:rPr>
        <w:t xml:space="preserve"> יותר</w:t>
      </w:r>
      <w:r w:rsidR="0035058F">
        <w:rPr>
          <w:rFonts w:hint="cs"/>
          <w:rtl/>
        </w:rPr>
        <w:t xml:space="preserve"> ל</w:t>
      </w:r>
      <w:r w:rsidR="00401782">
        <w:rPr>
          <w:rFonts w:hint="cs"/>
          <w:rtl/>
        </w:rPr>
        <w:t xml:space="preserve">עשות </w:t>
      </w:r>
      <w:r w:rsidR="002E2302">
        <w:rPr>
          <w:rFonts w:hint="cs"/>
          <w:rtl/>
        </w:rPr>
        <w:t>מאשר לנסות להבין</w:t>
      </w:r>
      <w:r w:rsidR="00ED20E9">
        <w:rPr>
          <w:rFonts w:hint="cs"/>
          <w:rtl/>
        </w:rPr>
        <w:t>, ו</w:t>
      </w:r>
      <w:r w:rsidR="002E2302">
        <w:rPr>
          <w:rFonts w:hint="cs"/>
          <w:rtl/>
        </w:rPr>
        <w:t>היא לא נובעת מ</w:t>
      </w:r>
      <w:r w:rsidR="00ED20E9">
        <w:rPr>
          <w:rFonts w:hint="cs"/>
          <w:rtl/>
        </w:rPr>
        <w:t>פעילות שכלית</w:t>
      </w:r>
      <w:r w:rsidR="0035058F">
        <w:rPr>
          <w:rFonts w:hint="cs"/>
          <w:rtl/>
        </w:rPr>
        <w:t xml:space="preserve"> כלשהי</w:t>
      </w:r>
      <w:r w:rsidR="00ED20E9">
        <w:rPr>
          <w:rFonts w:hint="cs"/>
          <w:rtl/>
        </w:rPr>
        <w:t>.</w:t>
      </w:r>
      <w:r w:rsidR="00AE4883">
        <w:rPr>
          <w:rFonts w:hint="cs"/>
          <w:rtl/>
        </w:rPr>
        <w:t xml:space="preserve"> הטענה ש"דיאלקטיקה"</w:t>
      </w:r>
      <w:r w:rsidR="00D123AD">
        <w:rPr>
          <w:rFonts w:hint="cs"/>
          <w:rtl/>
        </w:rPr>
        <w:t>,</w:t>
      </w:r>
      <w:r w:rsidR="00AE4883">
        <w:rPr>
          <w:rFonts w:hint="cs"/>
        </w:rPr>
        <w:t xml:space="preserve"> </w:t>
      </w:r>
      <w:r w:rsidR="00AE4883">
        <w:rPr>
          <w:rFonts w:hint="cs"/>
          <w:rtl/>
        </w:rPr>
        <w:t xml:space="preserve">במובן </w:t>
      </w:r>
      <w:r w:rsidR="00D123AD">
        <w:rPr>
          <w:rFonts w:hint="cs"/>
          <w:rtl/>
        </w:rPr>
        <w:t xml:space="preserve">שהמטריאליזם הדיאלקטי נתן לה, היא שיטת חשיבה, היא אחיזת עיניים. </w:t>
      </w:r>
      <w:r w:rsidR="00240549">
        <w:rPr>
          <w:rFonts w:hint="cs"/>
          <w:rtl/>
        </w:rPr>
        <w:t xml:space="preserve">השכל לא יכול להשיג </w:t>
      </w:r>
      <w:r w:rsidR="00AE5DE3">
        <w:rPr>
          <w:rFonts w:hint="cs"/>
          <w:rtl/>
        </w:rPr>
        <w:t xml:space="preserve">ולראות </w:t>
      </w:r>
      <w:r w:rsidR="00240549">
        <w:rPr>
          <w:rFonts w:hint="cs"/>
          <w:rtl/>
        </w:rPr>
        <w:t xml:space="preserve">את </w:t>
      </w:r>
      <w:r w:rsidR="00AE5DE3">
        <w:rPr>
          <w:rFonts w:hint="cs"/>
          <w:rtl/>
        </w:rPr>
        <w:t xml:space="preserve">התוכן </w:t>
      </w:r>
      <w:r w:rsidR="00240549">
        <w:rPr>
          <w:rFonts w:hint="cs"/>
          <w:rtl/>
        </w:rPr>
        <w:t xml:space="preserve">הנוסחאות המילוליות </w:t>
      </w:r>
      <w:r w:rsidR="00AE5DE3">
        <w:rPr>
          <w:rFonts w:hint="cs"/>
          <w:rtl/>
        </w:rPr>
        <w:t>של הדיאלקטיקה</w:t>
      </w:r>
      <w:r w:rsidR="002E2302">
        <w:rPr>
          <w:rFonts w:hint="cs"/>
          <w:rtl/>
        </w:rPr>
        <w:t>.</w:t>
      </w:r>
      <w:r w:rsidR="00AE5DE3">
        <w:rPr>
          <w:rFonts w:hint="cs"/>
          <w:rtl/>
        </w:rPr>
        <w:t xml:space="preserve"> הדיאלקטיקה היא ניסיון לשכנע את השכל להשלים עם הייאוש מאפשרותו להשיג משהו.</w:t>
      </w:r>
      <w:r w:rsidR="00497698">
        <w:rPr>
          <w:rFonts w:hint="cs"/>
          <w:rtl/>
        </w:rPr>
        <w:t xml:space="preserve"> אלה טענות שהרמב"ם אמר על שיטת המדברים, במורה נבוכים א' ע"א, ע"ג, ששיטתם אינה שכלית, והיא משתמשת בצלילים דמויי שכליות כדי להרגיע את השכל </w:t>
      </w:r>
      <w:r w:rsidR="00900FB0">
        <w:rPr>
          <w:rFonts w:hint="cs"/>
          <w:rtl/>
        </w:rPr>
        <w:t>מהכיבוי שכיבו אותו כדי להשיג פעולה שלא מבקשת נימוקים</w:t>
      </w:r>
      <w:r w:rsidR="0056295B" w:rsidRPr="0056295B">
        <w:rPr>
          <w:rtl/>
        </w:rPr>
        <w:t xml:space="preserve"> (במקרה שלהם </w:t>
      </w:r>
      <w:r w:rsidR="0056295B">
        <w:rPr>
          <w:rFonts w:hint="cs"/>
          <w:rtl/>
        </w:rPr>
        <w:t xml:space="preserve">פעולה </w:t>
      </w:r>
      <w:r w:rsidR="0056295B" w:rsidRPr="0056295B">
        <w:rPr>
          <w:rtl/>
        </w:rPr>
        <w:t>דתית</w:t>
      </w:r>
      <w:r w:rsidR="0056295B">
        <w:rPr>
          <w:rFonts w:hint="cs"/>
          <w:rtl/>
        </w:rPr>
        <w:t>, אבל אין חשיבות לאיזו פעולה חותרים</w:t>
      </w:r>
      <w:r w:rsidR="00603D8C">
        <w:rPr>
          <w:rFonts w:hint="cs"/>
          <w:rtl/>
        </w:rPr>
        <w:t>, זו יכולה להיות פעולה למען מעמד הפועלים או למען מרידה בדת הממוסדת או כל דבר דומה</w:t>
      </w:r>
      <w:r w:rsidR="004442DB">
        <w:rPr>
          <w:rFonts w:hint="cs"/>
          <w:rtl/>
        </w:rPr>
        <w:t>. הקריאה של המטריאליזם לעשייה בלי להתעכב על עיון פילוסופי בסיבות העשייה הזו, מכר</w:t>
      </w:r>
      <w:r w:rsidR="00E063CA">
        <w:rPr>
          <w:rFonts w:hint="cs"/>
          <w:rtl/>
        </w:rPr>
        <w:t>י</w:t>
      </w:r>
      <w:r w:rsidR="004442DB">
        <w:rPr>
          <w:rFonts w:hint="cs"/>
          <w:rtl/>
        </w:rPr>
        <w:t xml:space="preserve">ח שיהיה מנהיג כלשהו שהוא יאמר מה לעשות, כי בלי פילוסופיה איך נדע מה לעשות. </w:t>
      </w:r>
      <w:r w:rsidR="00713CA4">
        <w:rPr>
          <w:rFonts w:hint="cs"/>
          <w:rtl/>
        </w:rPr>
        <w:t xml:space="preserve">העולם נמסר לשלטון יחיד בלי אפשרות ערעור של מי שאומר שהוא </w:t>
      </w:r>
      <w:r w:rsidR="00E063CA">
        <w:rPr>
          <w:rFonts w:hint="cs"/>
          <w:rtl/>
        </w:rPr>
        <w:t>נביא</w:t>
      </w:r>
      <w:r w:rsidR="00713CA4">
        <w:rPr>
          <w:rFonts w:hint="cs"/>
          <w:rtl/>
        </w:rPr>
        <w:t xml:space="preserve"> והאופנה אצל ההמון</w:t>
      </w:r>
      <w:r w:rsidR="00356D7D">
        <w:rPr>
          <w:rFonts w:hint="cs"/>
          <w:rtl/>
        </w:rPr>
        <w:t xml:space="preserve"> היא</w:t>
      </w:r>
      <w:r w:rsidR="00713CA4">
        <w:rPr>
          <w:rFonts w:hint="cs"/>
          <w:rtl/>
        </w:rPr>
        <w:t xml:space="preserve"> לקבל אותו כזה,</w:t>
      </w:r>
      <w:r w:rsidR="00E063CA">
        <w:rPr>
          <w:rFonts w:hint="cs"/>
          <w:rtl/>
        </w:rPr>
        <w:t xml:space="preserve"> או ראש מפלגה </w:t>
      </w:r>
      <w:r w:rsidR="00356D7D">
        <w:rPr>
          <w:rFonts w:hint="cs"/>
          <w:rtl/>
        </w:rPr>
        <w:t xml:space="preserve">שבכח רטורי שכנע את ההמון להעריץ אותו, </w:t>
      </w:r>
      <w:r w:rsidR="00E063CA">
        <w:rPr>
          <w:rFonts w:hint="cs"/>
          <w:rtl/>
        </w:rPr>
        <w:t>או מי שלפי האופנה בעולם המדע הוא הסמכות המדעית העליונה, וכל כיוצא בזה</w:t>
      </w:r>
      <w:r w:rsidR="00214C2C">
        <w:rPr>
          <w:rFonts w:hint="cs"/>
          <w:rtl/>
        </w:rPr>
        <w:t>. זה מה שכתב המורה נבוכים א' ב' שחטא עץ הדעת הוא הנפילה מהאמיתות למפורסמות, כלומר לאופנה.</w:t>
      </w:r>
      <w:r w:rsidR="0056295B" w:rsidRPr="0056295B">
        <w:rPr>
          <w:rtl/>
        </w:rPr>
        <w:t>)</w:t>
      </w:r>
    </w:p>
  </w:footnote>
  <w:footnote w:id="646">
    <w:p w14:paraId="4081A52E" w14:textId="77777777" w:rsidR="0063514D" w:rsidRDefault="00AF7FAC">
      <w:pPr>
        <w:pStyle w:val="FootnoteText"/>
        <w:rPr>
          <w:rtl/>
        </w:rPr>
      </w:pPr>
      <w:r>
        <w:rPr>
          <w:rStyle w:val="FootnoteReference"/>
        </w:rPr>
        <w:footnoteRef/>
      </w:r>
      <w:r>
        <w:rPr>
          <w:rtl/>
        </w:rPr>
        <w:t xml:space="preserve"> </w:t>
      </w:r>
      <w:r w:rsidR="00A5720D">
        <w:rPr>
          <w:rFonts w:hint="cs"/>
          <w:rtl/>
        </w:rPr>
        <w:t xml:space="preserve">אבן סינא הזכיר </w:t>
      </w:r>
      <w:r w:rsidR="005E5A0B">
        <w:rPr>
          <w:rFonts w:hint="cs"/>
          <w:rtl/>
        </w:rPr>
        <w:t xml:space="preserve">לעיל </w:t>
      </w:r>
      <w:r w:rsidR="00A5720D">
        <w:rPr>
          <w:rFonts w:hint="cs"/>
          <w:rtl/>
        </w:rPr>
        <w:t xml:space="preserve">את </w:t>
      </w:r>
      <w:r w:rsidR="00A5720D">
        <w:rPr>
          <w:rFonts w:hint="cs"/>
          <w:rtl/>
        </w:rPr>
        <w:t>אנטיפון</w:t>
      </w:r>
      <w:r w:rsidR="00DC1DD4">
        <w:rPr>
          <w:rFonts w:hint="cs"/>
          <w:rtl/>
        </w:rPr>
        <w:t xml:space="preserve">, וכנראה הוא נחשב אבי השיטה המטריאליסטית כי אריסטו הביא </w:t>
      </w:r>
      <w:r w:rsidR="00F314D3">
        <w:rPr>
          <w:rFonts w:hint="cs"/>
          <w:rtl/>
        </w:rPr>
        <w:t>רק את שמו כשביאר אותה</w:t>
      </w:r>
      <w:r w:rsidR="00310B48">
        <w:rPr>
          <w:rFonts w:hint="cs"/>
          <w:rtl/>
        </w:rPr>
        <w:t xml:space="preserve"> בפיזיקה ספר ב' פרק א'</w:t>
      </w:r>
      <w:r w:rsidR="000D3E2D">
        <w:rPr>
          <w:rFonts w:hint="cs"/>
          <w:rtl/>
        </w:rPr>
        <w:t>.</w:t>
      </w:r>
      <w:r w:rsidR="00310B48">
        <w:rPr>
          <w:rFonts w:hint="cs"/>
          <w:rtl/>
        </w:rPr>
        <w:t xml:space="preserve"> אריסטו מביא את אנטיפון</w:t>
      </w:r>
      <w:r w:rsidR="000D3E2D">
        <w:rPr>
          <w:rFonts w:hint="cs"/>
          <w:rtl/>
        </w:rPr>
        <w:t xml:space="preserve"> שם</w:t>
      </w:r>
      <w:r w:rsidR="00310B48">
        <w:rPr>
          <w:rFonts w:hint="cs"/>
          <w:rtl/>
        </w:rPr>
        <w:t xml:space="preserve"> </w:t>
      </w:r>
      <w:r w:rsidR="000D3E2D">
        <w:rPr>
          <w:rFonts w:hint="cs"/>
          <w:rtl/>
        </w:rPr>
        <w:t>ו</w:t>
      </w:r>
      <w:r w:rsidR="00310B48">
        <w:rPr>
          <w:rFonts w:hint="cs"/>
          <w:rtl/>
        </w:rPr>
        <w:t>דבריו לגבי ההסתכלות של אנטיפון עמוקים ו</w:t>
      </w:r>
      <w:r w:rsidR="00A65F95">
        <w:rPr>
          <w:rFonts w:hint="cs"/>
          <w:rtl/>
        </w:rPr>
        <w:t>אינם מחוורים לי היטב</w:t>
      </w:r>
      <w:r w:rsidR="000D3E2D">
        <w:rPr>
          <w:rFonts w:hint="cs"/>
          <w:rtl/>
        </w:rPr>
        <w:t>. מכל מקום</w:t>
      </w:r>
      <w:r w:rsidR="00310B48">
        <w:rPr>
          <w:rFonts w:hint="cs"/>
          <w:rtl/>
        </w:rPr>
        <w:t xml:space="preserve"> </w:t>
      </w:r>
      <w:r w:rsidR="00802780">
        <w:rPr>
          <w:rFonts w:hint="cs"/>
          <w:rtl/>
        </w:rPr>
        <w:t>מלשונו של אריסטו</w:t>
      </w:r>
      <w:r w:rsidR="00310B48">
        <w:rPr>
          <w:rFonts w:hint="cs"/>
          <w:rtl/>
        </w:rPr>
        <w:t xml:space="preserve"> שאכן הוא מייחס לאנטיפון את השיטה המטריאליס</w:t>
      </w:r>
      <w:r w:rsidR="00B600B3">
        <w:rPr>
          <w:rFonts w:hint="cs"/>
          <w:rtl/>
        </w:rPr>
        <w:t>ט</w:t>
      </w:r>
      <w:r w:rsidR="00310B48">
        <w:rPr>
          <w:rFonts w:hint="cs"/>
          <w:rtl/>
        </w:rPr>
        <w:t>ית, האומ</w:t>
      </w:r>
      <w:r w:rsidR="00B600B3">
        <w:rPr>
          <w:rFonts w:hint="cs"/>
          <w:rtl/>
        </w:rPr>
        <w:t>ר</w:t>
      </w:r>
      <w:r w:rsidR="00310B48">
        <w:rPr>
          <w:rFonts w:hint="cs"/>
          <w:rtl/>
        </w:rPr>
        <w:t>ת שהטבע של הדברים הוא החומר שלהם</w:t>
      </w:r>
      <w:r w:rsidR="000D3E2D">
        <w:rPr>
          <w:rFonts w:hint="cs"/>
          <w:rtl/>
        </w:rPr>
        <w:t xml:space="preserve"> וכהבנת אבן סינא</w:t>
      </w:r>
      <w:r w:rsidR="00802780">
        <w:rPr>
          <w:rFonts w:hint="cs"/>
          <w:rtl/>
        </w:rPr>
        <w:t xml:space="preserve"> (ה</w:t>
      </w:r>
      <w:r w:rsidR="000B3F71">
        <w:rPr>
          <w:rFonts w:hint="cs"/>
          <w:rtl/>
        </w:rPr>
        <w:t>מובאה</w:t>
      </w:r>
      <w:r w:rsidR="00802780">
        <w:rPr>
          <w:rFonts w:hint="cs"/>
          <w:rtl/>
        </w:rPr>
        <w:t xml:space="preserve"> ש</w:t>
      </w:r>
      <w:r w:rsidR="000B3F71">
        <w:rPr>
          <w:rFonts w:hint="cs"/>
          <w:rtl/>
        </w:rPr>
        <w:t xml:space="preserve">ל </w:t>
      </w:r>
      <w:r w:rsidR="000D3E2D">
        <w:rPr>
          <w:rFonts w:hint="cs"/>
          <w:rtl/>
        </w:rPr>
        <w:t>אריסטו</w:t>
      </w:r>
      <w:r w:rsidR="00802780">
        <w:rPr>
          <w:rFonts w:hint="cs"/>
          <w:rtl/>
        </w:rPr>
        <w:t xml:space="preserve"> </w:t>
      </w:r>
      <w:r w:rsidR="000B3F71">
        <w:rPr>
          <w:rFonts w:hint="cs"/>
          <w:rtl/>
        </w:rPr>
        <w:t xml:space="preserve">מדברי </w:t>
      </w:r>
      <w:r w:rsidR="00802780">
        <w:rPr>
          <w:rFonts w:hint="cs"/>
          <w:rtl/>
        </w:rPr>
        <w:t xml:space="preserve">מאנטיפון </w:t>
      </w:r>
      <w:r w:rsidR="003251D1">
        <w:rPr>
          <w:rFonts w:hint="cs"/>
          <w:rtl/>
        </w:rPr>
        <w:t>כשלעצמ</w:t>
      </w:r>
      <w:r w:rsidR="000B3F71">
        <w:rPr>
          <w:rFonts w:hint="cs"/>
          <w:rtl/>
        </w:rPr>
        <w:t>ה</w:t>
      </w:r>
      <w:r w:rsidR="003251D1">
        <w:rPr>
          <w:rFonts w:hint="cs"/>
          <w:rtl/>
        </w:rPr>
        <w:t xml:space="preserve"> </w:t>
      </w:r>
      <w:r w:rsidR="00802780">
        <w:rPr>
          <w:rFonts w:hint="cs"/>
          <w:rtl/>
        </w:rPr>
        <w:t>לא מכריח</w:t>
      </w:r>
      <w:r w:rsidR="000B3F71">
        <w:rPr>
          <w:rFonts w:hint="cs"/>
          <w:rtl/>
        </w:rPr>
        <w:t>ה</w:t>
      </w:r>
      <w:r w:rsidR="005A5566">
        <w:rPr>
          <w:rFonts w:hint="cs"/>
          <w:rtl/>
        </w:rPr>
        <w:t xml:space="preserve"> את זה, אבל כנראה אריסטו ידע</w:t>
      </w:r>
      <w:r w:rsidR="00AC177A">
        <w:rPr>
          <w:rFonts w:hint="cs"/>
          <w:rtl/>
        </w:rPr>
        <w:t xml:space="preserve"> </w:t>
      </w:r>
      <w:r w:rsidR="005A5566">
        <w:rPr>
          <w:rFonts w:hint="cs"/>
          <w:rtl/>
        </w:rPr>
        <w:t>על דעת אנטיפון יותר</w:t>
      </w:r>
      <w:r w:rsidR="003251D1">
        <w:rPr>
          <w:rFonts w:hint="cs"/>
          <w:rtl/>
        </w:rPr>
        <w:t xml:space="preserve"> מזה</w:t>
      </w:r>
      <w:r w:rsidR="005A5566">
        <w:rPr>
          <w:rFonts w:hint="cs"/>
          <w:rtl/>
        </w:rPr>
        <w:t>)</w:t>
      </w:r>
      <w:r w:rsidR="00310B48">
        <w:rPr>
          <w:rFonts w:hint="cs"/>
          <w:rtl/>
        </w:rPr>
        <w:t xml:space="preserve">. </w:t>
      </w:r>
      <w:r w:rsidR="00B600B3">
        <w:rPr>
          <w:rFonts w:hint="cs"/>
          <w:rtl/>
        </w:rPr>
        <w:t xml:space="preserve">לפי אנטיפון </w:t>
      </w:r>
      <w:r w:rsidR="00CF0C46">
        <w:rPr>
          <w:rFonts w:hint="cs"/>
          <w:rtl/>
        </w:rPr>
        <w:t>נראה מלשון אריסטו ש</w:t>
      </w:r>
      <w:r w:rsidR="00B600B3">
        <w:rPr>
          <w:rFonts w:hint="cs"/>
          <w:rtl/>
        </w:rPr>
        <w:t>היסודות הם חומרים</w:t>
      </w:r>
      <w:r w:rsidR="00E43C4B">
        <w:rPr>
          <w:rFonts w:hint="cs"/>
          <w:rtl/>
        </w:rPr>
        <w:t xml:space="preserve"> ולא עקרון רוחני</w:t>
      </w:r>
      <w:r w:rsidR="00BC450B">
        <w:rPr>
          <w:rFonts w:hint="cs"/>
          <w:rtl/>
        </w:rPr>
        <w:t xml:space="preserve">. </w:t>
      </w:r>
      <w:r w:rsidR="003E1C76">
        <w:rPr>
          <w:rFonts w:hint="cs"/>
          <w:rtl/>
        </w:rPr>
        <w:t>מאנטיפון</w:t>
      </w:r>
      <w:r w:rsidR="00BF5121">
        <w:rPr>
          <w:rFonts w:hint="cs"/>
          <w:rtl/>
        </w:rPr>
        <w:t xml:space="preserve"> אריסטו מביא שאם טומנים מיטה בקרקע, לא יצמחו מיטות אלא העץ </w:t>
      </w:r>
      <w:r w:rsidR="0042619C">
        <w:rPr>
          <w:rFonts w:hint="cs"/>
          <w:rtl/>
        </w:rPr>
        <w:t xml:space="preserve">שממנו המיטה עשויה </w:t>
      </w:r>
      <w:r w:rsidR="00BF5121">
        <w:rPr>
          <w:rFonts w:hint="cs"/>
          <w:rtl/>
        </w:rPr>
        <w:t xml:space="preserve">ילבלב. </w:t>
      </w:r>
      <w:r w:rsidR="00E56514">
        <w:rPr>
          <w:rFonts w:hint="cs"/>
          <w:rtl/>
        </w:rPr>
        <w:t xml:space="preserve">המיטה היא הצורה והחומר שלה הוא העץ. </w:t>
      </w:r>
      <w:r w:rsidR="00BF5121">
        <w:rPr>
          <w:rFonts w:hint="cs"/>
          <w:rtl/>
        </w:rPr>
        <w:t>זה בא לומר ש</w:t>
      </w:r>
      <w:r w:rsidR="00E56514">
        <w:rPr>
          <w:rFonts w:hint="cs"/>
          <w:rtl/>
        </w:rPr>
        <w:t>הצורה אינה</w:t>
      </w:r>
      <w:r w:rsidR="007E0280">
        <w:rPr>
          <w:rFonts w:hint="cs"/>
          <w:rtl/>
        </w:rPr>
        <w:t xml:space="preserve"> </w:t>
      </w:r>
      <w:r w:rsidR="00E56514">
        <w:rPr>
          <w:rFonts w:hint="cs"/>
          <w:rtl/>
        </w:rPr>
        <w:t>המציאות של הדבר ולא קובעת את פעולתו ו</w:t>
      </w:r>
      <w:r w:rsidR="007E0280">
        <w:rPr>
          <w:rFonts w:hint="cs"/>
          <w:rtl/>
        </w:rPr>
        <w:t>ת</w:t>
      </w:r>
      <w:r w:rsidR="00E56514">
        <w:rPr>
          <w:rFonts w:hint="cs"/>
          <w:rtl/>
        </w:rPr>
        <w:t xml:space="preserve">נועתו, </w:t>
      </w:r>
      <w:r w:rsidR="007E0280">
        <w:rPr>
          <w:rFonts w:hint="cs"/>
          <w:rtl/>
        </w:rPr>
        <w:t xml:space="preserve">אלא רק החומר. לכן המיטה מתנהגת לפי </w:t>
      </w:r>
      <w:r w:rsidR="00F82882">
        <w:rPr>
          <w:rFonts w:hint="cs"/>
          <w:rtl/>
        </w:rPr>
        <w:t>ה</w:t>
      </w:r>
      <w:r w:rsidR="007E0280">
        <w:rPr>
          <w:rFonts w:hint="cs"/>
          <w:rtl/>
        </w:rPr>
        <w:t>חומר</w:t>
      </w:r>
      <w:r w:rsidR="00F82882">
        <w:rPr>
          <w:rFonts w:hint="cs"/>
          <w:rtl/>
        </w:rPr>
        <w:t xml:space="preserve"> של</w:t>
      </w:r>
      <w:r w:rsidR="007E0280">
        <w:rPr>
          <w:rFonts w:hint="cs"/>
          <w:rtl/>
        </w:rPr>
        <w:t>ה שהוא עץ ולא לפי צורתה שהיא מיטה.</w:t>
      </w:r>
      <w:r w:rsidR="00EE6B44">
        <w:rPr>
          <w:rFonts w:hint="cs"/>
          <w:rtl/>
        </w:rPr>
        <w:t xml:space="preserve"> </w:t>
      </w:r>
      <w:r w:rsidR="00CD6F46">
        <w:rPr>
          <w:rFonts w:hint="cs"/>
          <w:rtl/>
        </w:rPr>
        <w:t xml:space="preserve">אמנם </w:t>
      </w:r>
      <w:r w:rsidR="00A64559">
        <w:rPr>
          <w:rFonts w:hint="cs"/>
          <w:rtl/>
        </w:rPr>
        <w:t>הבנה זו בדברי אריסטו לגבי שיטת אנטיפון קשה,</w:t>
      </w:r>
      <w:r w:rsidR="00CD6F46">
        <w:rPr>
          <w:rFonts w:hint="cs"/>
          <w:rtl/>
        </w:rPr>
        <w:t xml:space="preserve"> כי אם העץ הוא חומר בלבד, </w:t>
      </w:r>
      <w:r w:rsidR="00D11371">
        <w:rPr>
          <w:rFonts w:hint="cs"/>
          <w:rtl/>
        </w:rPr>
        <w:t>היה לו להרקב בקרקע עד היפרדותו ליסודות, ואיך יתכן שהוא מלבלב ענפים חדשים</w:t>
      </w:r>
      <w:r w:rsidR="00A11CDC">
        <w:rPr>
          <w:rFonts w:hint="cs"/>
          <w:rtl/>
        </w:rPr>
        <w:t>, שהם חומר חדש</w:t>
      </w:r>
      <w:r w:rsidR="000B1602">
        <w:rPr>
          <w:rFonts w:hint="cs"/>
          <w:rtl/>
        </w:rPr>
        <w:t>.</w:t>
      </w:r>
    </w:p>
    <w:p w14:paraId="49F15380" w14:textId="2E024F79" w:rsidR="00AF7FAC" w:rsidRDefault="0063514D">
      <w:pPr>
        <w:pStyle w:val="FootnoteText"/>
      </w:pPr>
      <w:r>
        <w:rPr>
          <w:rFonts w:hint="cs"/>
          <w:rtl/>
        </w:rPr>
        <w:t>(</w:t>
      </w:r>
      <w:r w:rsidR="00012F7A">
        <w:rPr>
          <w:rFonts w:hint="cs"/>
          <w:rtl/>
        </w:rPr>
        <w:t>מדברי אנטיפון</w:t>
      </w:r>
      <w:r>
        <w:rPr>
          <w:rFonts w:hint="cs"/>
          <w:rtl/>
        </w:rPr>
        <w:t xml:space="preserve"> כשלעצמם לולא דברי אריסטו עליהם</w:t>
      </w:r>
      <w:r w:rsidR="00012F7A">
        <w:rPr>
          <w:rFonts w:hint="cs"/>
          <w:rtl/>
        </w:rPr>
        <w:t xml:space="preserve"> אפשר </w:t>
      </w:r>
      <w:r>
        <w:rPr>
          <w:rFonts w:hint="cs"/>
          <w:rtl/>
        </w:rPr>
        <w:t xml:space="preserve">היה </w:t>
      </w:r>
      <w:r w:rsidR="00012F7A">
        <w:rPr>
          <w:rFonts w:hint="cs"/>
          <w:rtl/>
        </w:rPr>
        <w:t>להבין שהצורה היא העיקר, ובמיטה אין באמת צורת מיטה, כי צורה מלאכותית אינה צורה</w:t>
      </w:r>
      <w:r w:rsidR="00883E29">
        <w:rPr>
          <w:rFonts w:hint="cs"/>
          <w:rtl/>
        </w:rPr>
        <w:t xml:space="preserve"> שהיא ישות שיש בה</w:t>
      </w:r>
      <w:r w:rsidR="0064013D">
        <w:rPr>
          <w:rFonts w:hint="cs"/>
          <w:rtl/>
        </w:rPr>
        <w:t xml:space="preserve"> </w:t>
      </w:r>
      <w:r w:rsidR="00883E29">
        <w:rPr>
          <w:rFonts w:hint="cs"/>
          <w:rtl/>
        </w:rPr>
        <w:t xml:space="preserve">התחלת תנועה ומנוחה שזה עניין חי </w:t>
      </w:r>
      <w:r w:rsidR="00012F7A">
        <w:rPr>
          <w:rFonts w:hint="cs"/>
          <w:rtl/>
        </w:rPr>
        <w:t>אלא</w:t>
      </w:r>
      <w:r w:rsidR="0064013D">
        <w:rPr>
          <w:rFonts w:hint="cs"/>
          <w:rtl/>
        </w:rPr>
        <w:t xml:space="preserve"> היא</w:t>
      </w:r>
      <w:r w:rsidR="00012F7A">
        <w:rPr>
          <w:rFonts w:hint="cs"/>
          <w:rtl/>
        </w:rPr>
        <w:t xml:space="preserve"> רק סידור של </w:t>
      </w:r>
      <w:r w:rsidR="0064013D">
        <w:rPr>
          <w:rFonts w:hint="cs"/>
          <w:rtl/>
        </w:rPr>
        <w:t>דברים</w:t>
      </w:r>
      <w:r w:rsidR="00012F7A">
        <w:rPr>
          <w:rFonts w:hint="cs"/>
          <w:rtl/>
        </w:rPr>
        <w:t xml:space="preserve">, כמו שאריסטו </w:t>
      </w:r>
      <w:r w:rsidR="007E508D">
        <w:rPr>
          <w:rFonts w:hint="cs"/>
          <w:rtl/>
        </w:rPr>
        <w:t xml:space="preserve">והקדמונים </w:t>
      </w:r>
      <w:r w:rsidR="00012F7A">
        <w:rPr>
          <w:rFonts w:hint="cs"/>
          <w:rtl/>
        </w:rPr>
        <w:t>ד</w:t>
      </w:r>
      <w:r w:rsidR="007E508D">
        <w:rPr>
          <w:rFonts w:hint="cs"/>
          <w:rtl/>
        </w:rPr>
        <w:t xml:space="preserve">נו </w:t>
      </w:r>
      <w:r w:rsidR="00012F7A">
        <w:rPr>
          <w:rFonts w:hint="cs"/>
          <w:rtl/>
        </w:rPr>
        <w:t>בזה בכמה מקומות</w:t>
      </w:r>
      <w:r w:rsidR="007E508D">
        <w:rPr>
          <w:rFonts w:hint="cs"/>
          <w:rtl/>
        </w:rPr>
        <w:t xml:space="preserve"> (למשל מטאפיזיקה אטא פרק </w:t>
      </w:r>
      <w:r w:rsidR="007D0FF1">
        <w:rPr>
          <w:rFonts w:hint="cs"/>
          <w:rtl/>
        </w:rPr>
        <w:t>ג', ויש עוד הרבה)</w:t>
      </w:r>
      <w:r w:rsidR="00012F7A">
        <w:rPr>
          <w:rFonts w:hint="cs"/>
          <w:rtl/>
        </w:rPr>
        <w:t xml:space="preserve">. </w:t>
      </w:r>
      <w:r w:rsidR="0064013D">
        <w:rPr>
          <w:rFonts w:hint="cs"/>
          <w:rtl/>
        </w:rPr>
        <w:t>הבנאי לא משנה את צורת האבן לצו</w:t>
      </w:r>
      <w:r w:rsidR="00B06BD0">
        <w:rPr>
          <w:rFonts w:hint="cs"/>
          <w:rtl/>
        </w:rPr>
        <w:t>ר</w:t>
      </w:r>
      <w:r w:rsidR="0064013D">
        <w:rPr>
          <w:rFonts w:hint="cs"/>
          <w:rtl/>
        </w:rPr>
        <w:t xml:space="preserve">ת 'בית' שהיא עניין חי עצמי חדש, אלא האבן נשארת אבן גם כשהיא בבניין, צורת הבניין היא רק סידור אבנים. </w:t>
      </w:r>
      <w:r w:rsidR="00B06BD0">
        <w:rPr>
          <w:rFonts w:hint="cs"/>
          <w:rtl/>
        </w:rPr>
        <w:t>לכן ממיטה לא יצמחו מיטות, אבל יצמחו ענפים כי צורת הצומח שבעץ היא צורה אמיתית.</w:t>
      </w:r>
      <w:r w:rsidR="0064000D">
        <w:rPr>
          <w:rFonts w:hint="cs"/>
          <w:rtl/>
        </w:rPr>
        <w:t>)</w:t>
      </w:r>
      <w:r w:rsidR="00B06BD0">
        <w:rPr>
          <w:rFonts w:hint="cs"/>
          <w:rtl/>
        </w:rPr>
        <w:t xml:space="preserve"> </w:t>
      </w:r>
      <w:r w:rsidR="000B1602">
        <w:rPr>
          <w:rFonts w:hint="cs"/>
          <w:rtl/>
        </w:rPr>
        <w:t xml:space="preserve"> </w:t>
      </w:r>
    </w:p>
  </w:footnote>
  <w:footnote w:id="647">
    <w:p w14:paraId="376FA8AF" w14:textId="01F6FBA7" w:rsidR="00E65B23" w:rsidRDefault="00E65B23" w:rsidP="00CD256A">
      <w:pPr>
        <w:pStyle w:val="FootnoteText"/>
      </w:pPr>
      <w:r>
        <w:rPr>
          <w:rStyle w:val="FootnoteReference"/>
        </w:rPr>
        <w:footnoteRef/>
      </w:r>
      <w:r>
        <w:rPr>
          <w:rtl/>
        </w:rPr>
        <w:t xml:space="preserve"> </w:t>
      </w:r>
      <w:r w:rsidR="00AE71BF">
        <w:rPr>
          <w:rFonts w:hint="cs"/>
          <w:rtl/>
        </w:rPr>
        <w:t>היולי</w:t>
      </w:r>
      <w:r w:rsidR="00A048AE">
        <w:rPr>
          <w:rtl/>
        </w:rPr>
        <w:fldChar w:fldCharType="begin"/>
      </w:r>
      <w:r w:rsidR="00A048AE">
        <w:instrText xml:space="preserve"> XE "</w:instrText>
      </w:r>
      <w:r w:rsidR="00A048AE" w:rsidRPr="00BE7F05">
        <w:rPr>
          <w:rFonts w:hint="cs"/>
          <w:rtl/>
        </w:rPr>
        <w:instrText>היולי - למה בהכרח יש חומר היולי</w:instrText>
      </w:r>
      <w:r w:rsidR="00A048AE">
        <w:instrText xml:space="preserve">" </w:instrText>
      </w:r>
      <w:r w:rsidR="00A048AE">
        <w:rPr>
          <w:rtl/>
        </w:rPr>
        <w:fldChar w:fldCharType="end"/>
      </w:r>
      <w:r w:rsidR="00AE71BF">
        <w:rPr>
          <w:rFonts w:hint="cs"/>
          <w:rtl/>
        </w:rPr>
        <w:t xml:space="preserve"> הוא החומר הראשון. החומר הקרוב של סוס הוא בשר, בשר הוא חומר רק ביחס לצורת הסוס</w:t>
      </w:r>
      <w:r w:rsidR="0002456D">
        <w:rPr>
          <w:rFonts w:hint="cs"/>
          <w:rtl/>
        </w:rPr>
        <w:t>, אם קיים 'סוס' הבשר הוא החומר שלו,</w:t>
      </w:r>
      <w:r w:rsidR="00AE71BF">
        <w:rPr>
          <w:rFonts w:hint="cs"/>
          <w:rtl/>
        </w:rPr>
        <w:t xml:space="preserve"> </w:t>
      </w:r>
      <w:r w:rsidR="0002456D">
        <w:rPr>
          <w:rFonts w:hint="cs"/>
          <w:rtl/>
        </w:rPr>
        <w:t xml:space="preserve">אבל הבשר בפני עצמו, אם הסוס מת, או כשמבחינים את הבשר מצד עצמו כשמתבוננים בסוס, הבשר </w:t>
      </w:r>
      <w:r w:rsidR="00AE71BF">
        <w:rPr>
          <w:rFonts w:hint="cs"/>
          <w:rtl/>
        </w:rPr>
        <w:t>בפני עצמו הוא עצם</w:t>
      </w:r>
      <w:r w:rsidR="00961D94">
        <w:rPr>
          <w:rFonts w:hint="cs"/>
          <w:rtl/>
        </w:rPr>
        <w:t xml:space="preserve"> כלומר הוא מורכב מחומר וצורה, הצורה היא צורת 'בשר' שהיא צורה נקבית</w:t>
      </w:r>
      <w:r w:rsidR="009E537F">
        <w:rPr>
          <w:rFonts w:hint="cs"/>
          <w:rtl/>
        </w:rPr>
        <w:t xml:space="preserve"> (כלומר אין חשי</w:t>
      </w:r>
      <w:r w:rsidR="0081591E">
        <w:rPr>
          <w:rFonts w:hint="cs"/>
          <w:rtl/>
        </w:rPr>
        <w:t>ב</w:t>
      </w:r>
      <w:r w:rsidR="009E537F">
        <w:rPr>
          <w:rFonts w:hint="cs"/>
          <w:rtl/>
        </w:rPr>
        <w:t xml:space="preserve">ות אם חותכים אותה לחלקים, כל חלק </w:t>
      </w:r>
      <w:r w:rsidR="0081591E">
        <w:rPr>
          <w:rFonts w:hint="cs"/>
          <w:rtl/>
        </w:rPr>
        <w:t xml:space="preserve">תמיד </w:t>
      </w:r>
      <w:r w:rsidR="009E537F">
        <w:rPr>
          <w:rFonts w:hint="cs"/>
          <w:rtl/>
        </w:rPr>
        <w:t xml:space="preserve">נשאר </w:t>
      </w:r>
      <w:r w:rsidR="0081591E">
        <w:rPr>
          <w:rFonts w:hint="cs"/>
          <w:rtl/>
        </w:rPr>
        <w:t>'</w:t>
      </w:r>
      <w:r w:rsidR="009E537F">
        <w:rPr>
          <w:rFonts w:hint="cs"/>
          <w:rtl/>
        </w:rPr>
        <w:t>בשר</w:t>
      </w:r>
      <w:r w:rsidR="0081591E">
        <w:rPr>
          <w:rFonts w:hint="cs"/>
          <w:rtl/>
        </w:rPr>
        <w:t>'</w:t>
      </w:r>
      <w:r w:rsidR="009E537F">
        <w:rPr>
          <w:rFonts w:hint="cs"/>
          <w:rtl/>
        </w:rPr>
        <w:t xml:space="preserve">. </w:t>
      </w:r>
      <w:r w:rsidR="0081591E">
        <w:rPr>
          <w:rFonts w:hint="cs"/>
          <w:rtl/>
        </w:rPr>
        <w:t>סוס (שהוא צורה זכרית) אם חותכים אותו הוא כבר לא 'סוס' אלא צורת הסוס נפסדת לגמרי כולו)</w:t>
      </w:r>
      <w:r w:rsidR="00961D94">
        <w:rPr>
          <w:rFonts w:hint="cs"/>
          <w:rtl/>
        </w:rPr>
        <w:t xml:space="preserve">, </w:t>
      </w:r>
      <w:r w:rsidR="00DB6683">
        <w:rPr>
          <w:rFonts w:hint="cs"/>
          <w:rtl/>
        </w:rPr>
        <w:t>ו</w:t>
      </w:r>
      <w:r w:rsidR="00961D94">
        <w:rPr>
          <w:rFonts w:hint="cs"/>
          <w:rtl/>
        </w:rPr>
        <w:t xml:space="preserve">החומר </w:t>
      </w:r>
      <w:r w:rsidR="00DB6683">
        <w:rPr>
          <w:rFonts w:hint="cs"/>
          <w:rtl/>
        </w:rPr>
        <w:t xml:space="preserve">של הבשר </w:t>
      </w:r>
      <w:r w:rsidR="00961D94">
        <w:rPr>
          <w:rFonts w:hint="cs"/>
          <w:rtl/>
        </w:rPr>
        <w:t xml:space="preserve">הוא </w:t>
      </w:r>
      <w:r w:rsidR="009E537F">
        <w:rPr>
          <w:rFonts w:hint="cs"/>
          <w:rtl/>
        </w:rPr>
        <w:t xml:space="preserve">נניח </w:t>
      </w:r>
      <w:r w:rsidR="00DB6683">
        <w:rPr>
          <w:rFonts w:hint="cs"/>
          <w:rtl/>
        </w:rPr>
        <w:t>(</w:t>
      </w:r>
      <w:r w:rsidR="009E537F">
        <w:rPr>
          <w:rFonts w:hint="cs"/>
          <w:rtl/>
        </w:rPr>
        <w:t>לצ</w:t>
      </w:r>
      <w:r w:rsidR="00DB6683">
        <w:rPr>
          <w:rFonts w:hint="cs"/>
          <w:rtl/>
        </w:rPr>
        <w:t>ו</w:t>
      </w:r>
      <w:r w:rsidR="009E537F">
        <w:rPr>
          <w:rFonts w:hint="cs"/>
          <w:rtl/>
        </w:rPr>
        <w:t>רך הדוגמה בלבד</w:t>
      </w:r>
      <w:r w:rsidR="00DB6683">
        <w:rPr>
          <w:rFonts w:hint="cs"/>
          <w:rtl/>
        </w:rPr>
        <w:t>)</w:t>
      </w:r>
      <w:r w:rsidR="009E537F">
        <w:rPr>
          <w:rFonts w:hint="cs"/>
          <w:rtl/>
        </w:rPr>
        <w:t xml:space="preserve"> דם ואדמה. </w:t>
      </w:r>
      <w:r w:rsidR="00DB6683">
        <w:rPr>
          <w:rFonts w:hint="cs"/>
          <w:rtl/>
        </w:rPr>
        <w:t>וגם דם ואדמה הם עצמים בעלי חומר וצורה, וכך אפשר ל</w:t>
      </w:r>
      <w:r w:rsidR="00D5321F">
        <w:rPr>
          <w:rFonts w:hint="cs"/>
          <w:rtl/>
        </w:rPr>
        <w:t xml:space="preserve">לכת הלאה עד שמגיעים לארבעת היסודות הפשוטים, וגם שם כל יסוד הוא בעל צורה, </w:t>
      </w:r>
      <w:r w:rsidR="000D0F88">
        <w:rPr>
          <w:rFonts w:hint="cs"/>
          <w:rtl/>
        </w:rPr>
        <w:t xml:space="preserve">שמגדירה את מהותו ומאפייניו בשונה </w:t>
      </w:r>
      <w:r w:rsidR="000D0F88">
        <w:rPr>
          <w:rFonts w:hint="cs"/>
          <w:rtl/>
        </w:rPr>
        <w:t xml:space="preserve">מהיסודותה אחרים, </w:t>
      </w:r>
      <w:r w:rsidR="00D5321F">
        <w:rPr>
          <w:rFonts w:hint="cs"/>
          <w:rtl/>
        </w:rPr>
        <w:t xml:space="preserve">וכל היסודות החומר שלהם הוא החומר הראשון והוא החומר היחיד שאין בו צורה כלל. החומר הקרוב של הסוס הוא הבשר, והחומר הראשון שלו הוא החומר הראשון ההיולי שאין בו צורה כלל. </w:t>
      </w:r>
      <w:r w:rsidR="00804ABC">
        <w:rPr>
          <w:rFonts w:hint="cs"/>
          <w:rtl/>
        </w:rPr>
        <w:t>אפשר להגיע מהתבוננות בסוס להשגה שהחומר הראשון שלו הוא ההיולי</w:t>
      </w:r>
      <w:r w:rsidR="00327C09">
        <w:rPr>
          <w:rFonts w:hint="cs"/>
          <w:rtl/>
        </w:rPr>
        <w:t>, כ</w:t>
      </w:r>
      <w:r w:rsidR="00A72289">
        <w:rPr>
          <w:rFonts w:hint="cs"/>
          <w:rtl/>
        </w:rPr>
        <w:t>י</w:t>
      </w:r>
      <w:r w:rsidR="00327C09">
        <w:rPr>
          <w:rFonts w:hint="cs"/>
          <w:rtl/>
        </w:rPr>
        <w:t xml:space="preserve"> כל צורה צריכה חומר כמצע</w:t>
      </w:r>
      <w:r w:rsidR="00A72289">
        <w:rPr>
          <w:rFonts w:hint="cs"/>
          <w:rtl/>
        </w:rPr>
        <w:t>,</w:t>
      </w:r>
      <w:r w:rsidR="00327C09">
        <w:rPr>
          <w:rFonts w:hint="cs"/>
          <w:rtl/>
        </w:rPr>
        <w:t xml:space="preserve"> ואם </w:t>
      </w:r>
      <w:r w:rsidR="00A72289">
        <w:rPr>
          <w:rFonts w:hint="cs"/>
          <w:rtl/>
        </w:rPr>
        <w:t xml:space="preserve">חומר </w:t>
      </w:r>
      <w:r w:rsidR="00327C09">
        <w:rPr>
          <w:rFonts w:hint="cs"/>
          <w:rtl/>
        </w:rPr>
        <w:t xml:space="preserve">המצע בעצמו </w:t>
      </w:r>
      <w:r w:rsidR="00A72289">
        <w:rPr>
          <w:rFonts w:hint="cs"/>
          <w:rtl/>
        </w:rPr>
        <w:t xml:space="preserve">יש לו צורה הרי יש לו גם חומר אחר שהוא </w:t>
      </w:r>
      <w:r w:rsidR="003D4791">
        <w:rPr>
          <w:rFonts w:hint="cs"/>
          <w:rtl/>
        </w:rPr>
        <w:t>ה</w:t>
      </w:r>
      <w:r w:rsidR="00A72289">
        <w:rPr>
          <w:rFonts w:hint="cs"/>
          <w:rtl/>
        </w:rPr>
        <w:t xml:space="preserve">מצע לאותה צורה, </w:t>
      </w:r>
      <w:r w:rsidR="003D4791">
        <w:rPr>
          <w:rFonts w:hint="cs"/>
          <w:rtl/>
        </w:rPr>
        <w:t>ואי אפשר שזה ילך לאין סוף ולכן מוכרח שלבסוף יהיה חומר בלי צורה</w:t>
      </w:r>
      <w:r w:rsidR="00A048AE">
        <w:rPr>
          <w:rFonts w:hint="cs"/>
          <w:rtl/>
        </w:rPr>
        <w:t>,</w:t>
      </w:r>
      <w:r w:rsidR="003D4791">
        <w:rPr>
          <w:rFonts w:hint="cs"/>
          <w:rtl/>
        </w:rPr>
        <w:t xml:space="preserve"> שאינו צריך חומר אחר שיהיה מצע לצורתו. </w:t>
      </w:r>
    </w:p>
  </w:footnote>
  <w:footnote w:id="648">
    <w:p w14:paraId="21F87938" w14:textId="4C9CEA4F" w:rsidR="00FD05BF" w:rsidRDefault="0066069B" w:rsidP="00FD05BF">
      <w:pPr>
        <w:pStyle w:val="FootnoteText"/>
      </w:pPr>
      <w:r>
        <w:rPr>
          <w:rStyle w:val="FootnoteReference"/>
        </w:rPr>
        <w:footnoteRef/>
      </w:r>
      <w:r>
        <w:rPr>
          <w:rtl/>
        </w:rPr>
        <w:t xml:space="preserve"> </w:t>
      </w:r>
      <w:r w:rsidR="00C51EF7">
        <w:rPr>
          <w:rFonts w:hint="cs"/>
          <w:rtl/>
        </w:rPr>
        <w:t>המטריאליסטים לשיטתם כיבו לגמרי את אפשרות המחשבה, כמו שהתבאר</w:t>
      </w:r>
      <w:r w:rsidR="006B7B10">
        <w:rPr>
          <w:rFonts w:hint="cs"/>
          <w:rtl/>
        </w:rPr>
        <w:t xml:space="preserve">, והמסקנה העקבית משיטתם היא מסקנת </w:t>
      </w:r>
      <w:r w:rsidR="006B7B10">
        <w:rPr>
          <w:rFonts w:hint="cs"/>
          <w:rtl/>
        </w:rPr>
        <w:t>קראטילוס שגזר על עצמו שתיקה במחשבה ודיבור</w:t>
      </w:r>
      <w:r w:rsidR="00C51EF7">
        <w:rPr>
          <w:rFonts w:hint="cs"/>
          <w:rtl/>
        </w:rPr>
        <w:t>. כ</w:t>
      </w:r>
      <w:r w:rsidR="006B7B10">
        <w:rPr>
          <w:rFonts w:hint="cs"/>
          <w:rtl/>
        </w:rPr>
        <w:t xml:space="preserve">יוון שהם רוצים </w:t>
      </w:r>
      <w:r w:rsidR="00C51EF7">
        <w:rPr>
          <w:rFonts w:hint="cs"/>
          <w:rtl/>
        </w:rPr>
        <w:t>לדבר</w:t>
      </w:r>
      <w:r w:rsidR="00FD05BF">
        <w:rPr>
          <w:rFonts w:hint="cs"/>
          <w:rtl/>
        </w:rPr>
        <w:t xml:space="preserve"> </w:t>
      </w:r>
      <w:r w:rsidR="00C51EF7">
        <w:rPr>
          <w:rFonts w:hint="cs"/>
          <w:rtl/>
        </w:rPr>
        <w:t xml:space="preserve">ולטעון, הם מוכרחים לקבל מקצת מהדעות </w:t>
      </w:r>
      <w:r w:rsidR="00FD05BF">
        <w:rPr>
          <w:rFonts w:hint="cs"/>
          <w:rtl/>
        </w:rPr>
        <w:t>של מתנגדיהם, האומרות שיש חומר היולי וצורות</w:t>
      </w:r>
      <w:r w:rsidR="006B7B10">
        <w:rPr>
          <w:rFonts w:hint="cs"/>
          <w:rtl/>
        </w:rPr>
        <w:t>, כי בלי צורות אין מושגים ואין מילים ומחשבות, ובלי היולי אין צורות</w:t>
      </w:r>
      <w:r w:rsidR="00FD05BF">
        <w:rPr>
          <w:rFonts w:hint="cs"/>
          <w:rtl/>
        </w:rPr>
        <w:t xml:space="preserve">. הם משתמשים בדעות אלה </w:t>
      </w:r>
      <w:r w:rsidR="009973DB">
        <w:rPr>
          <w:rFonts w:hint="cs"/>
          <w:rtl/>
        </w:rPr>
        <w:t>מכח</w:t>
      </w:r>
      <w:r w:rsidR="00FD05BF">
        <w:rPr>
          <w:rFonts w:hint="cs"/>
          <w:rtl/>
        </w:rPr>
        <w:t xml:space="preserve"> שנאמרו על ידי חכ</w:t>
      </w:r>
      <w:r w:rsidR="009973DB">
        <w:rPr>
          <w:rFonts w:hint="cs"/>
          <w:rtl/>
        </w:rPr>
        <w:t>מ</w:t>
      </w:r>
      <w:r w:rsidR="00FD05BF">
        <w:rPr>
          <w:rFonts w:hint="cs"/>
          <w:rtl/>
        </w:rPr>
        <w:t>ים ידועים</w:t>
      </w:r>
      <w:r w:rsidR="009973DB">
        <w:rPr>
          <w:rFonts w:hint="cs"/>
          <w:rtl/>
        </w:rPr>
        <w:t xml:space="preserve"> והתקבלו </w:t>
      </w:r>
      <w:r w:rsidR="007844E3">
        <w:rPr>
          <w:rFonts w:hint="cs"/>
          <w:rtl/>
        </w:rPr>
        <w:t xml:space="preserve">בציבור </w:t>
      </w:r>
      <w:r w:rsidR="009973DB">
        <w:rPr>
          <w:rFonts w:hint="cs"/>
          <w:rtl/>
        </w:rPr>
        <w:t>כמפורסמות</w:t>
      </w:r>
      <w:r w:rsidR="00637629">
        <w:rPr>
          <w:rFonts w:hint="cs"/>
          <w:rtl/>
        </w:rPr>
        <w:t xml:space="preserve"> שאין חולק עליהן</w:t>
      </w:r>
      <w:r w:rsidR="00FD05BF">
        <w:rPr>
          <w:rFonts w:hint="cs"/>
          <w:rtl/>
        </w:rPr>
        <w:t xml:space="preserve">, למרות שלפי שיטתם אין הבנה </w:t>
      </w:r>
      <w:r w:rsidR="009973DB">
        <w:rPr>
          <w:rFonts w:hint="cs"/>
          <w:rtl/>
        </w:rPr>
        <w:t xml:space="preserve">שכלית אמיתית לאפשרות להשתמש במילים, כיוון שאין היולי ואין צורות. </w:t>
      </w:r>
      <w:r w:rsidR="00F5146E">
        <w:rPr>
          <w:rFonts w:hint="cs"/>
          <w:rtl/>
        </w:rPr>
        <w:t>אבן סינא עומד כאן על ההכרח של המטריאליזם לסתור את עצמו ולהשתמש בדעות מקובלות על סמך הקבלה</w:t>
      </w:r>
      <w:r w:rsidR="00637629">
        <w:rPr>
          <w:rFonts w:hint="cs"/>
          <w:rtl/>
        </w:rPr>
        <w:t xml:space="preserve"> מהסמכות וההתפרסמות שלהן בהמון</w:t>
      </w:r>
      <w:r w:rsidR="00F5146E">
        <w:rPr>
          <w:rFonts w:hint="cs"/>
          <w:rtl/>
        </w:rPr>
        <w:t>, בלי יכולת להגיע להבנה אמיתית של הדעות אלה</w:t>
      </w:r>
      <w:r w:rsidR="00B3221F">
        <w:rPr>
          <w:rFonts w:hint="cs"/>
          <w:rtl/>
        </w:rPr>
        <w:t xml:space="preserve"> לפי עקרונות השיטה המטריאליסטית</w:t>
      </w:r>
      <w:r w:rsidR="00F5146E">
        <w:rPr>
          <w:rFonts w:hint="cs"/>
          <w:rtl/>
        </w:rPr>
        <w:t xml:space="preserve">. אבן סינא עומד כאן </w:t>
      </w:r>
      <w:r w:rsidR="00B3221F">
        <w:rPr>
          <w:rFonts w:hint="cs"/>
          <w:rtl/>
        </w:rPr>
        <w:t>על שורש של בעיעה כללית ויסודית במטריאליזם שנמצאת בכל עניין שהוא מדבר עליו.</w:t>
      </w:r>
    </w:p>
  </w:footnote>
  <w:footnote w:id="649">
    <w:p w14:paraId="2AF69493" w14:textId="6BFD6F06" w:rsidR="0041331E" w:rsidRDefault="007E551C">
      <w:pPr>
        <w:pStyle w:val="FootnoteText"/>
        <w:rPr>
          <w:rtl/>
        </w:rPr>
      </w:pPr>
      <w:r>
        <w:rPr>
          <w:rStyle w:val="FootnoteReference"/>
        </w:rPr>
        <w:footnoteRef/>
      </w:r>
      <w:r>
        <w:rPr>
          <w:rtl/>
        </w:rPr>
        <w:t xml:space="preserve"> </w:t>
      </w:r>
      <w:r w:rsidR="002B6268">
        <w:rPr>
          <w:rFonts w:hint="cs"/>
          <w:rtl/>
        </w:rPr>
        <w:t xml:space="preserve">הטענה של המטריאליזם שכורה הברזל לא חושב על צורת הברזל כשהוא עמל לכרות אותו, לא כתובה באריסטו. </w:t>
      </w:r>
      <w:r w:rsidR="00D4542C">
        <w:rPr>
          <w:rFonts w:hint="cs"/>
          <w:rtl/>
        </w:rPr>
        <w:t>לא מחוור לי</w:t>
      </w:r>
      <w:r w:rsidR="002B6268">
        <w:rPr>
          <w:rFonts w:hint="cs"/>
          <w:rtl/>
        </w:rPr>
        <w:t xml:space="preserve"> </w:t>
      </w:r>
      <w:r w:rsidR="00D4542C">
        <w:rPr>
          <w:rFonts w:hint="cs"/>
          <w:rtl/>
        </w:rPr>
        <w:t xml:space="preserve">אם </w:t>
      </w:r>
      <w:r w:rsidR="002B6268">
        <w:rPr>
          <w:rFonts w:hint="cs"/>
          <w:rtl/>
        </w:rPr>
        <w:t xml:space="preserve">כל הדיון כאן הוא בשיטה של </w:t>
      </w:r>
      <w:r w:rsidR="002B6268">
        <w:rPr>
          <w:rFonts w:hint="cs"/>
          <w:rtl/>
        </w:rPr>
        <w:t>אנט</w:t>
      </w:r>
      <w:r w:rsidR="00D4542C">
        <w:rPr>
          <w:rFonts w:hint="cs"/>
          <w:rtl/>
        </w:rPr>
        <w:t>י</w:t>
      </w:r>
      <w:r w:rsidR="002B6268">
        <w:rPr>
          <w:rFonts w:hint="cs"/>
          <w:rtl/>
        </w:rPr>
        <w:t>פון</w:t>
      </w:r>
      <w:r w:rsidR="00D4542C">
        <w:rPr>
          <w:rFonts w:hint="cs"/>
          <w:rtl/>
        </w:rPr>
        <w:t xml:space="preserve"> שהובא באריסטו, או שהיא מתייחסת למ</w:t>
      </w:r>
      <w:r w:rsidR="00874222">
        <w:rPr>
          <w:rFonts w:hint="cs"/>
          <w:rtl/>
        </w:rPr>
        <w:t>ישהו אחר שטען כך,</w:t>
      </w:r>
      <w:r w:rsidR="00D4542C">
        <w:rPr>
          <w:rFonts w:hint="cs"/>
          <w:rtl/>
        </w:rPr>
        <w:t xml:space="preserve"> או שהיא שיקול של אבן סינא שלא דן במקור חיצוני כלשהו</w:t>
      </w:r>
      <w:r w:rsidR="00874222">
        <w:rPr>
          <w:rFonts w:hint="cs"/>
          <w:rtl/>
        </w:rPr>
        <w:t>, אלא מעלה בעצמו טיעונים אפשריים למטריאליזם</w:t>
      </w:r>
      <w:r w:rsidR="00D4542C">
        <w:rPr>
          <w:rFonts w:hint="cs"/>
          <w:rtl/>
        </w:rPr>
        <w:t>.</w:t>
      </w:r>
      <w:r w:rsidR="0041331E">
        <w:rPr>
          <w:rFonts w:hint="cs"/>
          <w:rtl/>
        </w:rPr>
        <w:t xml:space="preserve"> בכל אחת מהאפשרויות האלה עולות שאלות שלא התחוורו לי</w:t>
      </w:r>
      <w:r w:rsidR="00E14E27">
        <w:rPr>
          <w:rFonts w:hint="cs"/>
          <w:rtl/>
        </w:rPr>
        <w:t xml:space="preserve">. </w:t>
      </w:r>
      <w:r w:rsidR="00261087">
        <w:rPr>
          <w:rFonts w:hint="cs"/>
          <w:rtl/>
        </w:rPr>
        <w:t>להבנתי אם מישהו כתב נימוק כמו כורה הברזל, כוונתו היא ל</w:t>
      </w:r>
      <w:r w:rsidR="002843F5">
        <w:rPr>
          <w:rFonts w:hint="cs"/>
          <w:rtl/>
        </w:rPr>
        <w:t>נקוט</w:t>
      </w:r>
      <w:r w:rsidR="00261087">
        <w:rPr>
          <w:rFonts w:hint="cs"/>
          <w:rtl/>
        </w:rPr>
        <w:t xml:space="preserve"> דרך חיים כמו של כורה הברזל שעושה ולא </w:t>
      </w:r>
      <w:r w:rsidR="00D05572">
        <w:rPr>
          <w:rFonts w:hint="cs"/>
          <w:rtl/>
        </w:rPr>
        <w:t>מתפלסף, וזה נימוק נגד העיסוק בפילוסופיה ו</w:t>
      </w:r>
      <w:r w:rsidR="002843F5">
        <w:rPr>
          <w:rFonts w:hint="cs"/>
          <w:rtl/>
        </w:rPr>
        <w:t>לא</w:t>
      </w:r>
      <w:r w:rsidR="00D05572">
        <w:rPr>
          <w:rFonts w:hint="cs"/>
          <w:rtl/>
        </w:rPr>
        <w:t xml:space="preserve"> נימוק שהוא בתוך שדה הפילוסופיה. </w:t>
      </w:r>
    </w:p>
    <w:p w14:paraId="3FD46660" w14:textId="77777777" w:rsidR="002F1B2E" w:rsidRDefault="00E14E27">
      <w:pPr>
        <w:pStyle w:val="FootnoteText"/>
        <w:rPr>
          <w:rtl/>
        </w:rPr>
      </w:pPr>
      <w:r>
        <w:rPr>
          <w:rFonts w:hint="cs"/>
          <w:rtl/>
        </w:rPr>
        <w:t xml:space="preserve">כוונת אבן סינא כאן, </w:t>
      </w:r>
      <w:r w:rsidR="00EF65C4">
        <w:rPr>
          <w:rFonts w:hint="cs"/>
          <w:rtl/>
        </w:rPr>
        <w:t>שאם כורה הברזל לא חושב על הצורה של הברזל, הרי אם כך אצלו הברזל אינו ברזל. כי רק הצורה היא מה שעושה את הברזל לברזל.</w:t>
      </w:r>
      <w:r w:rsidR="00CE2DAA">
        <w:rPr>
          <w:rFonts w:hint="cs"/>
          <w:rtl/>
        </w:rPr>
        <w:t xml:space="preserve"> לכן הוא יתייחס לברזל כאל מחצב סתמי כלשהו (כאן </w:t>
      </w:r>
      <w:r w:rsidR="00D42B5B">
        <w:rPr>
          <w:rFonts w:hint="cs"/>
          <w:rtl/>
        </w:rPr>
        <w:t xml:space="preserve">שוב עולה </w:t>
      </w:r>
      <w:r w:rsidR="00CE2DAA">
        <w:rPr>
          <w:rFonts w:hint="cs"/>
          <w:rtl/>
        </w:rPr>
        <w:t xml:space="preserve">הבעיה היסודית של המטריאליזם </w:t>
      </w:r>
      <w:r w:rsidR="00483E74">
        <w:rPr>
          <w:rFonts w:hint="cs"/>
          <w:rtl/>
        </w:rPr>
        <w:t xml:space="preserve">והיא </w:t>
      </w:r>
      <w:r w:rsidR="00CE2DAA">
        <w:rPr>
          <w:rFonts w:hint="cs"/>
          <w:rtl/>
        </w:rPr>
        <w:t>ש</w:t>
      </w:r>
      <w:r w:rsidR="00915387">
        <w:rPr>
          <w:rFonts w:hint="cs"/>
          <w:rtl/>
        </w:rPr>
        <w:t>כל דיון איתו לא יכול להיות עקבי מבחינה פילוסופית, כי גם המחצב הוא מחצב רק כי יש לו צורת מחצב</w:t>
      </w:r>
      <w:r w:rsidR="00483E74">
        <w:rPr>
          <w:rFonts w:hint="cs"/>
          <w:rtl/>
        </w:rPr>
        <w:t xml:space="preserve">, בלא צורת מחצב הוא חומר סתמי </w:t>
      </w:r>
      <w:r w:rsidR="00F314EB">
        <w:rPr>
          <w:rFonts w:hint="cs"/>
          <w:rtl/>
        </w:rPr>
        <w:t>שאין שום דבר שמגדיר אותו כשונה מחומרים שאינם מחצבים, ואם נלך עם זה הלאה החומר בלי צורה הוא ההיולי שאינו 'משהו' כלל</w:t>
      </w:r>
      <w:r w:rsidR="00D42B5B">
        <w:rPr>
          <w:rFonts w:hint="cs"/>
          <w:rtl/>
        </w:rPr>
        <w:t>. אבל מוכרחים לוותר למטריאליזם על עקביות אם בכלל רוצים לנהל דיון מולו</w:t>
      </w:r>
      <w:r w:rsidR="00915387">
        <w:rPr>
          <w:rFonts w:hint="cs"/>
          <w:rtl/>
        </w:rPr>
        <w:t xml:space="preserve">). </w:t>
      </w:r>
      <w:r w:rsidR="00095B26">
        <w:rPr>
          <w:rFonts w:hint="cs"/>
          <w:rtl/>
        </w:rPr>
        <w:t>והמקצוע יהיה מהמקצועות של כריית המחצבים כולם כמקצוע בחפירה והיתוך</w:t>
      </w:r>
      <w:r w:rsidR="00367EDE">
        <w:rPr>
          <w:rFonts w:hint="cs"/>
          <w:rtl/>
        </w:rPr>
        <w:t xml:space="preserve"> כשיטות כלליות להשגת מחצבים,</w:t>
      </w:r>
      <w:r w:rsidR="00095B26">
        <w:rPr>
          <w:rFonts w:hint="cs"/>
          <w:rtl/>
        </w:rPr>
        <w:t xml:space="preserve"> ולא </w:t>
      </w:r>
      <w:r w:rsidR="00367EDE">
        <w:rPr>
          <w:rFonts w:hint="cs"/>
          <w:rtl/>
        </w:rPr>
        <w:t xml:space="preserve">יהיה </w:t>
      </w:r>
      <w:r w:rsidR="00095B26">
        <w:rPr>
          <w:rFonts w:hint="cs"/>
          <w:rtl/>
        </w:rPr>
        <w:t xml:space="preserve">מקצוע מיוחד של כורה ברזל. </w:t>
      </w:r>
      <w:r w:rsidR="002A0D54">
        <w:rPr>
          <w:rFonts w:hint="cs"/>
          <w:rtl/>
        </w:rPr>
        <w:t>ואותם בעלי מקצועות השגת המחצבים לא יתייחסו לברזל כאל ברזל אלא כאל סתם מחצב כלשהו. ולא יתכן שכורה הברזל מבטל את מקצועו ותכליתו המיוחדים</w:t>
      </w:r>
      <w:r w:rsidR="00E2143B">
        <w:rPr>
          <w:rFonts w:hint="cs"/>
          <w:rtl/>
        </w:rPr>
        <w:t>,</w:t>
      </w:r>
      <w:r w:rsidR="002A0D54">
        <w:rPr>
          <w:rFonts w:hint="cs"/>
          <w:rtl/>
        </w:rPr>
        <w:t xml:space="preserve"> ולכן לא יתכן שהוא באמת לא חושב על </w:t>
      </w:r>
      <w:r w:rsidR="00E2143B">
        <w:rPr>
          <w:rFonts w:hint="cs"/>
          <w:rtl/>
        </w:rPr>
        <w:t xml:space="preserve">'ברזל' כדבר מוגדר לעצמו, שבו הוא עוסק ואותו הוא מנסה להשיג, וזוהי הרי בהכרח </w:t>
      </w:r>
      <w:r w:rsidR="002A0D54">
        <w:rPr>
          <w:rFonts w:hint="cs"/>
          <w:rtl/>
        </w:rPr>
        <w:t>צורת הברזל</w:t>
      </w:r>
      <w:r w:rsidR="00E2143B">
        <w:rPr>
          <w:rFonts w:hint="cs"/>
          <w:rtl/>
        </w:rPr>
        <w:t>.</w:t>
      </w:r>
    </w:p>
    <w:p w14:paraId="17C16E19" w14:textId="77777777" w:rsidR="006F0F62" w:rsidRDefault="002F1B2E">
      <w:pPr>
        <w:pStyle w:val="FootnoteText"/>
        <w:rPr>
          <w:rtl/>
        </w:rPr>
      </w:pPr>
      <w:r>
        <w:rPr>
          <w:rFonts w:hint="cs"/>
          <w:rtl/>
        </w:rPr>
        <w:t>במורה נבוכים א' א' הניסוח הוא:</w:t>
      </w:r>
    </w:p>
    <w:p w14:paraId="294C5A3D" w14:textId="77777777" w:rsidR="006F0F62" w:rsidRDefault="006F0F62">
      <w:pPr>
        <w:pStyle w:val="FootnoteText"/>
        <w:rPr>
          <w:rtl/>
        </w:rPr>
      </w:pPr>
      <w:r>
        <w:rPr>
          <w:rFonts w:hint="cs"/>
          <w:rtl/>
        </w:rPr>
        <w:t xml:space="preserve">"[הצורה הטבעית היא] </w:t>
      </w:r>
      <w:r w:rsidRPr="006F0F62">
        <w:rPr>
          <w:rtl/>
        </w:rPr>
        <w:t>העניין אשר בו נתעצם הדבר והיה מה שהוא, והוא אמ</w:t>
      </w:r>
      <w:r>
        <w:rPr>
          <w:rFonts w:hint="cs"/>
          <w:rtl/>
        </w:rPr>
        <w:t>י</w:t>
      </w:r>
      <w:r w:rsidRPr="006F0F62">
        <w:rPr>
          <w:rtl/>
        </w:rPr>
        <w:t>תתו מאשר הוא הנמצא ההוא, אשר העניין ההוא באדם הוא אשר בעבורו תהיה ההשגה האנושית</w:t>
      </w:r>
      <w:r>
        <w:rPr>
          <w:rFonts w:hint="cs"/>
          <w:rtl/>
        </w:rPr>
        <w:t>"</w:t>
      </w:r>
      <w:r w:rsidR="002F1B2E">
        <w:rPr>
          <w:rFonts w:hint="cs"/>
          <w:rtl/>
        </w:rPr>
        <w:t xml:space="preserve"> </w:t>
      </w:r>
    </w:p>
    <w:p w14:paraId="5609C61D" w14:textId="77777777" w:rsidR="00FB23A4" w:rsidRDefault="006F0F62">
      <w:pPr>
        <w:pStyle w:val="FootnoteText"/>
        <w:rPr>
          <w:rtl/>
        </w:rPr>
      </w:pPr>
      <w:r>
        <w:rPr>
          <w:rFonts w:hint="cs"/>
          <w:rtl/>
        </w:rPr>
        <w:t>מה שעושה את האדם לאדם הוא כח הדיבור והמחשבה. בלי זה מה עושה אותו לאדם ו</w:t>
      </w:r>
      <w:r w:rsidR="00B42104">
        <w:rPr>
          <w:rFonts w:hint="cs"/>
          <w:rtl/>
        </w:rPr>
        <w:t xml:space="preserve">לא ליען שגם הוא הולך על שתיים. </w:t>
      </w:r>
      <w:r w:rsidR="00AD3471">
        <w:rPr>
          <w:rFonts w:hint="cs"/>
          <w:rtl/>
        </w:rPr>
        <w:t xml:space="preserve">הנוצות וכיוצא באלה אינן מספיקות כדי להבחין מין נפרד שהוא אדם. </w:t>
      </w:r>
      <w:r w:rsidR="00082D4D">
        <w:rPr>
          <w:rFonts w:hint="cs"/>
          <w:rtl/>
        </w:rPr>
        <w:t>וכך גם צורת הברזל היא עושה את העצם הזה לברזל ולא לנחושת או כל עצם אחר</w:t>
      </w:r>
      <w:r w:rsidR="00FB23A4">
        <w:rPr>
          <w:rFonts w:hint="cs"/>
          <w:rtl/>
        </w:rPr>
        <w:t xml:space="preserve">. </w:t>
      </w:r>
    </w:p>
    <w:p w14:paraId="4DF8BDB2" w14:textId="3424C6AC" w:rsidR="00E14E27" w:rsidRDefault="00FB23A4">
      <w:pPr>
        <w:pStyle w:val="FootnoteText"/>
        <w:rPr>
          <w:rtl/>
        </w:rPr>
      </w:pPr>
      <w:r>
        <w:rPr>
          <w:rFonts w:hint="cs"/>
          <w:rtl/>
        </w:rPr>
        <w:t xml:space="preserve">יש בזמננו אנשים שכתבו שהצורות, האידיאות, </w:t>
      </w:r>
      <w:r w:rsidR="00262B5D">
        <w:rPr>
          <w:rFonts w:hint="cs"/>
          <w:rtl/>
        </w:rPr>
        <w:t xml:space="preserve">כיישות מופשטת שקיימת באופן ריאלי, </w:t>
      </w:r>
      <w:r>
        <w:rPr>
          <w:rFonts w:hint="cs"/>
          <w:rtl/>
        </w:rPr>
        <w:t>הן פתרון מתוחכם ומפולפל ומלאכותי ולא משכנע ש</w:t>
      </w:r>
      <w:r w:rsidR="00320024">
        <w:rPr>
          <w:rFonts w:hint="cs"/>
          <w:rtl/>
        </w:rPr>
        <w:t>המציא</w:t>
      </w:r>
      <w:r>
        <w:rPr>
          <w:rFonts w:hint="cs"/>
          <w:rtl/>
        </w:rPr>
        <w:t xml:space="preserve"> אפלטון </w:t>
      </w:r>
      <w:r w:rsidR="00320024">
        <w:rPr>
          <w:rFonts w:hint="cs"/>
          <w:rtl/>
        </w:rPr>
        <w:t xml:space="preserve">כדי לתרץ </w:t>
      </w:r>
      <w:r>
        <w:rPr>
          <w:rFonts w:hint="cs"/>
          <w:rtl/>
        </w:rPr>
        <w:t xml:space="preserve">שאלות פילוסופיות מסויימות. </w:t>
      </w:r>
      <w:r w:rsidR="00320024">
        <w:rPr>
          <w:rFonts w:hint="cs"/>
          <w:rtl/>
        </w:rPr>
        <w:t xml:space="preserve">באמת הצורות היא דרך התפישה של בני אדם </w:t>
      </w:r>
      <w:r w:rsidR="00A0593F">
        <w:rPr>
          <w:rFonts w:hint="cs"/>
          <w:rtl/>
        </w:rPr>
        <w:t xml:space="preserve">מינקותם ושל כל בעלי החיים </w:t>
      </w:r>
      <w:r w:rsidR="00320024">
        <w:rPr>
          <w:rFonts w:hint="cs"/>
          <w:rtl/>
        </w:rPr>
        <w:t xml:space="preserve">באותו אופן כמו שהריאות הן דרך הנשימה שלהם והלב הוא דרך הזרמת הדם שלהם והרגליים הן כלי ההליכה שלהם. </w:t>
      </w:r>
      <w:r w:rsidR="00A0593F">
        <w:rPr>
          <w:rFonts w:hint="cs"/>
          <w:rtl/>
        </w:rPr>
        <w:t>כתבתי על זה באריכ</w:t>
      </w:r>
      <w:r w:rsidR="00262B5D">
        <w:rPr>
          <w:rFonts w:hint="cs"/>
          <w:rtl/>
        </w:rPr>
        <w:t xml:space="preserve">ות </w:t>
      </w:r>
      <w:r w:rsidR="00A0593F">
        <w:rPr>
          <w:rFonts w:hint="cs"/>
          <w:rtl/>
        </w:rPr>
        <w:t xml:space="preserve">באדם חי </w:t>
      </w:r>
      <w:hyperlink r:id="rId133" w:history="1">
        <w:r w:rsidR="00A0593F" w:rsidRPr="00333233">
          <w:rPr>
            <w:rStyle w:val="Hyperlink"/>
            <w:rFonts w:hint="cs"/>
            <w:rtl/>
          </w:rPr>
          <w:t>רשימה</w:t>
        </w:r>
        <w:r w:rsidR="006456E3" w:rsidRPr="00333233">
          <w:rPr>
            <w:rStyle w:val="Hyperlink"/>
            <w:rFonts w:hint="cs"/>
            <w:rtl/>
          </w:rPr>
          <w:t xml:space="preserve"> </w:t>
        </w:r>
        <w:r w:rsidR="00333233" w:rsidRPr="00333233">
          <w:rPr>
            <w:rStyle w:val="Hyperlink"/>
            <w:rFonts w:hint="cs"/>
            <w:rtl/>
          </w:rPr>
          <w:t>163</w:t>
        </w:r>
      </w:hyperlink>
      <w:r w:rsidR="00333233">
        <w:rPr>
          <w:rFonts w:hint="cs"/>
          <w:rtl/>
        </w:rPr>
        <w:t xml:space="preserve"> ושם </w:t>
      </w:r>
      <w:hyperlink r:id="rId134" w:history="1">
        <w:r w:rsidR="00333233" w:rsidRPr="00522710">
          <w:rPr>
            <w:rStyle w:val="Hyperlink"/>
            <w:rFonts w:hint="cs"/>
            <w:rtl/>
          </w:rPr>
          <w:t>רשימה 48</w:t>
        </w:r>
      </w:hyperlink>
      <w:r w:rsidR="00522710">
        <w:rPr>
          <w:rFonts w:hint="cs"/>
          <w:rtl/>
        </w:rPr>
        <w:t>.</w:t>
      </w:r>
    </w:p>
    <w:p w14:paraId="284C5608" w14:textId="309B3959" w:rsidR="00442F11" w:rsidRDefault="00442F11">
      <w:pPr>
        <w:pStyle w:val="FootnoteText"/>
        <w:rPr>
          <w:rtl/>
        </w:rPr>
      </w:pPr>
      <w:r>
        <w:rPr>
          <w:rFonts w:hint="cs"/>
          <w:rtl/>
        </w:rPr>
        <w:t xml:space="preserve">אבן סינא מזכיר כאן לצד צורת הברזל את המקרים של הברזל. </w:t>
      </w:r>
    </w:p>
    <w:p w14:paraId="1F2A6BFD" w14:textId="6D758F6D" w:rsidR="00442F11" w:rsidRDefault="00603CC2">
      <w:pPr>
        <w:pStyle w:val="FootnoteText"/>
        <w:rPr>
          <w:rtl/>
        </w:rPr>
      </w:pPr>
      <w:r>
        <w:rPr>
          <w:rFonts w:hint="cs"/>
          <w:rtl/>
        </w:rPr>
        <w:t>הדבר מתבאר לפי לשון המורה נבוכים א' ע"ג הקדמה עשירית</w:t>
      </w:r>
      <w:r w:rsidR="001847A9">
        <w:rPr>
          <w:rFonts w:hint="cs"/>
          <w:rtl/>
        </w:rPr>
        <w:t xml:space="preserve"> [ה</w:t>
      </w:r>
      <w:r w:rsidR="009C2138" w:rsidRPr="009C2138">
        <w:rPr>
          <w:rtl/>
        </w:rPr>
        <w:t>מְדַבֵּר</w:t>
      </w:r>
      <w:r w:rsidR="001847A9">
        <w:rPr>
          <w:rFonts w:hint="cs"/>
          <w:rtl/>
        </w:rPr>
        <w:t xml:space="preserve"> הוא בן כת המדברים, הכלאם או המותכלימון, </w:t>
      </w:r>
      <w:r w:rsidR="009C2138">
        <w:rPr>
          <w:rFonts w:hint="cs"/>
          <w:rtl/>
        </w:rPr>
        <w:t xml:space="preserve">זו כת של קנאי דת </w:t>
      </w:r>
      <w:r w:rsidR="00242E07">
        <w:rPr>
          <w:rFonts w:hint="cs"/>
          <w:rtl/>
        </w:rPr>
        <w:t>שמאמינים שהאלוה הוא מעל כל אפשרות השגה אנושית, ו</w:t>
      </w:r>
      <w:r w:rsidR="00E85317">
        <w:rPr>
          <w:rFonts w:hint="cs"/>
          <w:rtl/>
        </w:rPr>
        <w:t xml:space="preserve">הם אימצו את </w:t>
      </w:r>
      <w:r w:rsidR="009C2138">
        <w:rPr>
          <w:rFonts w:hint="cs"/>
          <w:rtl/>
        </w:rPr>
        <w:t>הפילוסופיה</w:t>
      </w:r>
      <w:r w:rsidR="00E85317">
        <w:rPr>
          <w:rFonts w:hint="cs"/>
          <w:rtl/>
        </w:rPr>
        <w:t xml:space="preserve"> ה</w:t>
      </w:r>
      <w:r w:rsidR="009C2138">
        <w:rPr>
          <w:rFonts w:hint="cs"/>
          <w:rtl/>
        </w:rPr>
        <w:t xml:space="preserve">מטריאליסטית כדי לשמור על </w:t>
      </w:r>
      <w:r w:rsidR="00242E07">
        <w:rPr>
          <w:rFonts w:hint="cs"/>
          <w:rtl/>
        </w:rPr>
        <w:t xml:space="preserve">חוסר האפשרות </w:t>
      </w:r>
      <w:r w:rsidR="00BB2157">
        <w:rPr>
          <w:rFonts w:hint="cs"/>
          <w:rtl/>
        </w:rPr>
        <w:t>שהאל יהיה נודע על ידי מעשיו, ולשמור על כך שהיחס היחיד לאל הוא רק כניעה עיוורת</w:t>
      </w:r>
      <w:r w:rsidR="00757320">
        <w:rPr>
          <w:rFonts w:hint="cs"/>
          <w:rtl/>
        </w:rPr>
        <w:t xml:space="preserve"> נבערת</w:t>
      </w:r>
      <w:r w:rsidR="001847A9">
        <w:rPr>
          <w:rFonts w:hint="cs"/>
          <w:rtl/>
        </w:rPr>
        <w:t>]</w:t>
      </w:r>
      <w:r>
        <w:rPr>
          <w:rFonts w:hint="cs"/>
          <w:rtl/>
        </w:rPr>
        <w:t>:</w:t>
      </w:r>
    </w:p>
    <w:p w14:paraId="3B33145C" w14:textId="78D26B09" w:rsidR="00603CC2" w:rsidRDefault="00603CC2" w:rsidP="00603CC2">
      <w:pPr>
        <w:pStyle w:val="FootnoteText"/>
        <w:rPr>
          <w:rtl/>
        </w:rPr>
      </w:pPr>
      <w:r>
        <w:rPr>
          <w:rFonts w:hint="cs"/>
          <w:rtl/>
        </w:rPr>
        <w:t>"</w:t>
      </w:r>
      <w:r>
        <w:rPr>
          <w:rtl/>
        </w:rPr>
        <w:t>אמר ה</w:t>
      </w:r>
      <w:r w:rsidR="00757320" w:rsidRPr="00757320">
        <w:rPr>
          <w:rtl/>
        </w:rPr>
        <w:t>מְדַבֵּר</w:t>
      </w:r>
      <w:r>
        <w:rPr>
          <w:rtl/>
        </w:rPr>
        <w:t xml:space="preserve"> לפילוסוף למה מצאנו גשם הברזל הזה בתכלית הקשי והחוזק והוא שחור וגשם החמאה הזה בתכלית הרכות והוא לבן?</w:t>
      </w:r>
    </w:p>
    <w:p w14:paraId="01F483BE" w14:textId="6B1DDF94" w:rsidR="00603CC2" w:rsidRDefault="00603CC2" w:rsidP="00D23AF4">
      <w:pPr>
        <w:pStyle w:val="FootnoteText"/>
        <w:rPr>
          <w:rtl/>
        </w:rPr>
      </w:pPr>
      <w:r>
        <w:rPr>
          <w:rtl/>
        </w:rPr>
        <w:t>ענהו הפילוסוף בשאמר כי כל גשם טבעי יש לו שני מינים מן המקרים - מקרים ישיגוהו מצד החומר שלו כמו שיבריא האדם ויחלה ומקרים ישיגוהו מצד צורתו כתמהון האדם וצחקו</w:t>
      </w:r>
      <w:r w:rsidR="00B36A3D">
        <w:rPr>
          <w:rFonts w:hint="cs"/>
          <w:rtl/>
        </w:rPr>
        <w:t xml:space="preserve"> [מה שהאדם יש לו יכולת לתמוה או לצחוק, אל</w:t>
      </w:r>
      <w:r w:rsidR="0000457C">
        <w:rPr>
          <w:rFonts w:hint="cs"/>
          <w:rtl/>
        </w:rPr>
        <w:t>ה</w:t>
      </w:r>
      <w:r w:rsidR="00B36A3D">
        <w:rPr>
          <w:rFonts w:hint="cs"/>
          <w:rtl/>
        </w:rPr>
        <w:t xml:space="preserve"> גילויים חלקיים של הצורה שלו כבעל שכל. </w:t>
      </w:r>
      <w:r w:rsidR="0000457C">
        <w:rPr>
          <w:rFonts w:hint="cs"/>
          <w:rtl/>
        </w:rPr>
        <w:t>כיוון שהם לא מלוא צורת האדם הם מקרים, ומציאותם היא משום שהם ענף של הצורה</w:t>
      </w:r>
      <w:r w:rsidR="00B36A3D">
        <w:rPr>
          <w:rFonts w:hint="cs"/>
          <w:rtl/>
        </w:rPr>
        <w:t>].</w:t>
      </w:r>
      <w:r>
        <w:rPr>
          <w:rtl/>
        </w:rPr>
        <w:t xml:space="preserve"> וחמרי הגשמים המורכבים הרכבה אחרונית</w:t>
      </w:r>
      <w:r w:rsidR="00195F1F">
        <w:rPr>
          <w:rFonts w:hint="cs"/>
          <w:rtl/>
        </w:rPr>
        <w:t xml:space="preserve"> [כלומר לא </w:t>
      </w:r>
      <w:r w:rsidR="00D44E64">
        <w:rPr>
          <w:rFonts w:hint="cs"/>
          <w:rtl/>
        </w:rPr>
        <w:t xml:space="preserve">הרכבת </w:t>
      </w:r>
      <w:r w:rsidR="00195F1F">
        <w:rPr>
          <w:rFonts w:hint="cs"/>
          <w:rtl/>
        </w:rPr>
        <w:t>היסודות</w:t>
      </w:r>
      <w:r w:rsidR="00705543">
        <w:rPr>
          <w:rFonts w:hint="cs"/>
          <w:rtl/>
        </w:rPr>
        <w:t xml:space="preserve"> הראשונה הפשוטה,</w:t>
      </w:r>
      <w:r w:rsidR="00195F1F">
        <w:rPr>
          <w:rFonts w:hint="cs"/>
          <w:rtl/>
        </w:rPr>
        <w:t xml:space="preserve"> אלא</w:t>
      </w:r>
      <w:r w:rsidR="003837F3">
        <w:rPr>
          <w:rFonts w:hint="cs"/>
          <w:rtl/>
        </w:rPr>
        <w:t xml:space="preserve"> הרכבה </w:t>
      </w:r>
      <w:r w:rsidR="00D44E64">
        <w:rPr>
          <w:rFonts w:hint="cs"/>
          <w:rtl/>
        </w:rPr>
        <w:t>ש</w:t>
      </w:r>
      <w:r w:rsidR="003837F3">
        <w:rPr>
          <w:rFonts w:hint="cs"/>
          <w:rtl/>
        </w:rPr>
        <w:t xml:space="preserve">היא כמו </w:t>
      </w:r>
      <w:r w:rsidR="00D44E64">
        <w:rPr>
          <w:rFonts w:hint="cs"/>
          <w:rtl/>
        </w:rPr>
        <w:t>ש</w:t>
      </w:r>
      <w:r w:rsidR="003837F3">
        <w:rPr>
          <w:rFonts w:hint="cs"/>
          <w:rtl/>
        </w:rPr>
        <w:t>מבשלים תבשיל שחומרי הגלם שלו הם תבשילים אחרים</w:t>
      </w:r>
      <w:r w:rsidR="00D44E64">
        <w:rPr>
          <w:rFonts w:hint="cs"/>
          <w:rtl/>
        </w:rPr>
        <w:t>, וגם הם חומרי הגלם שלהם הם תבשילים אחרים</w:t>
      </w:r>
      <w:r w:rsidR="00195F1F">
        <w:rPr>
          <w:rFonts w:hint="cs"/>
          <w:rtl/>
        </w:rPr>
        <w:t>]</w:t>
      </w:r>
      <w:r>
        <w:rPr>
          <w:rtl/>
        </w:rPr>
        <w:t xml:space="preserve"> חלוקים מאד כפי הצורות המיוחדות לחומרים עד שהיה עצם הברזל בחילוף עצם החמאה</w:t>
      </w:r>
      <w:r w:rsidR="00BE7646">
        <w:rPr>
          <w:rFonts w:hint="cs"/>
          <w:rtl/>
        </w:rPr>
        <w:t>,</w:t>
      </w:r>
      <w:r>
        <w:rPr>
          <w:rtl/>
        </w:rPr>
        <w:t xml:space="preserve"> ונמשך אחריהם מן המקרים אחר חילוק צורתם והשחרות והלובן שהם מקרים נמשכים אחר חילוק חומרם האחרון</w:t>
      </w:r>
      <w:r w:rsidR="00BE7646">
        <w:rPr>
          <w:rFonts w:hint="cs"/>
          <w:rtl/>
        </w:rPr>
        <w:t>.</w:t>
      </w:r>
    </w:p>
    <w:p w14:paraId="72214BCA" w14:textId="31107745" w:rsidR="00603CC2" w:rsidRDefault="00603CC2" w:rsidP="00603CC2">
      <w:pPr>
        <w:pStyle w:val="FootnoteText"/>
        <w:rPr>
          <w:rtl/>
        </w:rPr>
      </w:pPr>
      <w:r>
        <w:rPr>
          <w:rtl/>
        </w:rPr>
        <w:t>וסתר המדבר זאת התשובה כולה בהקדמות ההם אשר לו כפי מה שאספר. וזה - שהוא אומר אין צורה נמצאת כלל כמו שתחשוב מקימת לעצם עד שתשימם עצמים שונים</w:t>
      </w:r>
      <w:r w:rsidR="00D23AF4">
        <w:rPr>
          <w:rFonts w:hint="cs"/>
          <w:rtl/>
        </w:rPr>
        <w:t>,</w:t>
      </w:r>
      <w:r>
        <w:rPr>
          <w:rtl/>
        </w:rPr>
        <w:t xml:space="preserve"> אבל הכל מקרים</w:t>
      </w:r>
      <w:r w:rsidR="00D23AF4">
        <w:rPr>
          <w:rFonts w:hint="cs"/>
          <w:rtl/>
        </w:rPr>
        <w:t xml:space="preserve"> [...]</w:t>
      </w:r>
      <w:r w:rsidR="0016448C">
        <w:rPr>
          <w:rFonts w:hint="cs"/>
          <w:rtl/>
        </w:rPr>
        <w:t>.</w:t>
      </w:r>
      <w:r>
        <w:rPr>
          <w:rtl/>
        </w:rPr>
        <w:t xml:space="preserve"> אחר כך הוא אומר אין חילוק בין עצם הברזל לעצם החמאה והכל מחובר מעצמים פרדיים</w:t>
      </w:r>
      <w:r w:rsidR="00D23AF4">
        <w:rPr>
          <w:rFonts w:hint="cs"/>
          <w:rtl/>
        </w:rPr>
        <w:t xml:space="preserve"> [אט</w:t>
      </w:r>
      <w:r w:rsidR="00467DD5" w:rsidRPr="00467DD5">
        <w:rPr>
          <w:rtl/>
        </w:rPr>
        <w:t>וֹ</w:t>
      </w:r>
      <w:r w:rsidR="00D23AF4">
        <w:rPr>
          <w:rFonts w:hint="cs"/>
          <w:rtl/>
        </w:rPr>
        <w:t>מים]</w:t>
      </w:r>
      <w:r>
        <w:rPr>
          <w:rtl/>
        </w:rPr>
        <w:t xml:space="preserve"> דומים </w:t>
      </w:r>
      <w:r w:rsidR="00D23AF4">
        <w:rPr>
          <w:rFonts w:hint="cs"/>
          <w:rtl/>
        </w:rPr>
        <w:t>[...]</w:t>
      </w:r>
      <w:r>
        <w:rPr>
          <w:rtl/>
        </w:rPr>
        <w:t>. וכשנתאמת למדבר כל מה שירצה לפי הקדמותיו ועלה בידו מזה שעצמי החמאה והברזל עצמים אחדים דומים</w:t>
      </w:r>
      <w:r w:rsidR="00804CEF">
        <w:rPr>
          <w:rFonts w:hint="cs"/>
          <w:rtl/>
        </w:rPr>
        <w:t>,</w:t>
      </w:r>
      <w:r>
        <w:rPr>
          <w:rtl/>
        </w:rPr>
        <w:t xml:space="preserve"> ויחס כל עצם מהם אל כל מקרה</w:t>
      </w:r>
      <w:r w:rsidR="00804CEF">
        <w:rPr>
          <w:rFonts w:hint="cs"/>
          <w:rtl/>
        </w:rPr>
        <w:t xml:space="preserve"> </w:t>
      </w:r>
      <w:r>
        <w:rPr>
          <w:rtl/>
        </w:rPr>
        <w:t>יחס אחד</w:t>
      </w:r>
      <w:r w:rsidR="00804CEF">
        <w:rPr>
          <w:rFonts w:hint="cs"/>
          <w:rtl/>
        </w:rPr>
        <w:t>,</w:t>
      </w:r>
      <w:r>
        <w:rPr>
          <w:rtl/>
        </w:rPr>
        <w:t xml:space="preserve"> ואין זה העצם יותר ראוי בזה המקרה מזה; וכמו שזה העצם הפרדי אינו יותר ראוי שיתנועע ממה שהוא ראוי לנוח כן אין עצם מהם יותר ראוי</w:t>
      </w:r>
      <w:r w:rsidR="00470385">
        <w:rPr>
          <w:rFonts w:hint="cs"/>
          <w:rtl/>
        </w:rPr>
        <w:t xml:space="preserve"> [מעצם אחר]</w:t>
      </w:r>
      <w:r>
        <w:rPr>
          <w:rtl/>
        </w:rPr>
        <w:t xml:space="preserve"> לקבל מקרה החיים או מקרה השכל או מקרה החוש</w:t>
      </w:r>
      <w:r w:rsidR="00470385">
        <w:rPr>
          <w:rFonts w:hint="cs"/>
          <w:rtl/>
        </w:rPr>
        <w:t xml:space="preserve"> [...],</w:t>
      </w:r>
      <w:r>
        <w:rPr>
          <w:rtl/>
        </w:rPr>
        <w:t xml:space="preserve"> וריבוי העצמים או מיעוטם לא יוסיף בזה דבר מפני שהמקרה אמנם מציאותו בכל עצם ועצם</w:t>
      </w:r>
      <w:r w:rsidR="000B2D73">
        <w:rPr>
          <w:rFonts w:hint="cs"/>
          <w:rtl/>
        </w:rPr>
        <w:t xml:space="preserve"> [...]</w:t>
      </w:r>
      <w:r>
        <w:rPr>
          <w:rtl/>
        </w:rPr>
        <w:t xml:space="preserve"> ויתחיב לפי אלו ההקדמות כולם שאין האדם יותר ראוי להשכיל מן העטלף</w:t>
      </w:r>
      <w:r w:rsidR="000B2D73">
        <w:rPr>
          <w:rFonts w:hint="cs"/>
          <w:rtl/>
        </w:rPr>
        <w:t xml:space="preserve"> כו'</w:t>
      </w:r>
      <w:r>
        <w:rPr>
          <w:rFonts w:hint="cs"/>
          <w:rtl/>
        </w:rPr>
        <w:t>"</w:t>
      </w:r>
    </w:p>
    <w:p w14:paraId="53A856E1" w14:textId="23D07E66" w:rsidR="008E0F5E" w:rsidRDefault="00A35089" w:rsidP="00684E4A">
      <w:pPr>
        <w:pStyle w:val="FootnoteText"/>
        <w:rPr>
          <w:rtl/>
        </w:rPr>
      </w:pPr>
      <w:r>
        <w:rPr>
          <w:rFonts w:hint="cs"/>
          <w:rtl/>
        </w:rPr>
        <w:t>מבואר שהמטריאליזם שולל גם מקרים שמייחדים ברזל מחמאה, כגון צבע</w:t>
      </w:r>
      <w:r w:rsidR="008D2C40">
        <w:rPr>
          <w:rFonts w:hint="cs"/>
          <w:rtl/>
        </w:rPr>
        <w:t>,</w:t>
      </w:r>
      <w:r>
        <w:rPr>
          <w:rFonts w:hint="cs"/>
          <w:rtl/>
        </w:rPr>
        <w:t xml:space="preserve"> מרקם</w:t>
      </w:r>
      <w:r w:rsidR="008D2C40">
        <w:rPr>
          <w:rFonts w:hint="cs"/>
          <w:rtl/>
        </w:rPr>
        <w:t>,</w:t>
      </w:r>
      <w:r>
        <w:rPr>
          <w:rFonts w:hint="cs"/>
          <w:rtl/>
        </w:rPr>
        <w:t xml:space="preserve"> </w:t>
      </w:r>
      <w:r w:rsidR="008D2C40">
        <w:rPr>
          <w:rFonts w:hint="cs"/>
          <w:rtl/>
        </w:rPr>
        <w:t>משקל, וכיו"ב, שאינם בהכרח מהצורה המהותית של העצם אלא אפשר שהם רק מקרים מאפיינים בו</w:t>
      </w:r>
      <w:r w:rsidR="002A1467">
        <w:rPr>
          <w:rFonts w:hint="cs"/>
          <w:rtl/>
        </w:rPr>
        <w:t xml:space="preserve"> שנובעים מהמזג של החומר שלו</w:t>
      </w:r>
      <w:r>
        <w:rPr>
          <w:rFonts w:hint="cs"/>
          <w:rtl/>
        </w:rPr>
        <w:t xml:space="preserve">. </w:t>
      </w:r>
      <w:r w:rsidR="00DA22DA">
        <w:rPr>
          <w:rFonts w:hint="cs"/>
          <w:rtl/>
        </w:rPr>
        <w:t>(ספר הריפוי עוסק בתורת אריסטו, ולכן אבן סינא התייחס לאנטיפון, אפשר לשע</w:t>
      </w:r>
      <w:r w:rsidR="00FD023F">
        <w:rPr>
          <w:rFonts w:hint="cs"/>
          <w:rtl/>
        </w:rPr>
        <w:t>ר</w:t>
      </w:r>
      <w:r w:rsidR="00DA22DA">
        <w:rPr>
          <w:rFonts w:hint="cs"/>
          <w:rtl/>
        </w:rPr>
        <w:t>, בלי בסיס מוצק, שמתחת לפני השטח אבן סינא מנהל כאן ויכוח</w:t>
      </w:r>
      <w:r w:rsidR="00B03641">
        <w:rPr>
          <w:rFonts w:hint="cs"/>
          <w:rtl/>
        </w:rPr>
        <w:t xml:space="preserve"> סמוי</w:t>
      </w:r>
      <w:r w:rsidR="00DA22DA">
        <w:rPr>
          <w:rFonts w:hint="cs"/>
          <w:rtl/>
        </w:rPr>
        <w:t xml:space="preserve"> עם כת המדברים, ש</w:t>
      </w:r>
      <w:r w:rsidR="00981E11">
        <w:rPr>
          <w:rFonts w:hint="cs"/>
          <w:rtl/>
        </w:rPr>
        <w:t>חיו בתקופתו ו</w:t>
      </w:r>
      <w:r w:rsidR="00DA22DA">
        <w:rPr>
          <w:rFonts w:hint="cs"/>
          <w:rtl/>
        </w:rPr>
        <w:t xml:space="preserve">היה לו מאבק עיקש </w:t>
      </w:r>
      <w:r w:rsidR="00434676">
        <w:rPr>
          <w:rFonts w:hint="cs"/>
          <w:rtl/>
        </w:rPr>
        <w:t xml:space="preserve">וכביר </w:t>
      </w:r>
      <w:r w:rsidR="00DA22DA">
        <w:rPr>
          <w:rFonts w:hint="cs"/>
          <w:rtl/>
        </w:rPr>
        <w:t>איתם</w:t>
      </w:r>
      <w:r w:rsidR="00981E11">
        <w:rPr>
          <w:rFonts w:hint="cs"/>
          <w:rtl/>
        </w:rPr>
        <w:t xml:space="preserve"> על ההגמוניה בעולם</w:t>
      </w:r>
      <w:r w:rsidR="00684E4A">
        <w:rPr>
          <w:rFonts w:hint="cs"/>
          <w:rtl/>
        </w:rPr>
        <w:t xml:space="preserve"> </w:t>
      </w:r>
      <w:r w:rsidR="00981E11">
        <w:rPr>
          <w:rFonts w:hint="cs"/>
          <w:rtl/>
        </w:rPr>
        <w:t>הפילוסופיה</w:t>
      </w:r>
      <w:r w:rsidR="00684E4A">
        <w:rPr>
          <w:rFonts w:hint="cs"/>
          <w:rtl/>
        </w:rPr>
        <w:t xml:space="preserve"> הדת</w:t>
      </w:r>
      <w:r w:rsidR="00981E11">
        <w:rPr>
          <w:rFonts w:hint="cs"/>
          <w:rtl/>
        </w:rPr>
        <w:t xml:space="preserve"> והתרבות</w:t>
      </w:r>
      <w:r w:rsidR="00434676">
        <w:rPr>
          <w:rFonts w:hint="cs"/>
          <w:rtl/>
        </w:rPr>
        <w:t>,</w:t>
      </w:r>
      <w:r w:rsidR="00DA22DA">
        <w:rPr>
          <w:rFonts w:hint="cs"/>
          <w:rtl/>
        </w:rPr>
        <w:t xml:space="preserve"> והאריך הרבה בסתירת כל פרט מדבריהם בהרבה דרכי סתירה. </w:t>
      </w:r>
      <w:r w:rsidR="00B03641">
        <w:rPr>
          <w:rFonts w:hint="cs"/>
          <w:rtl/>
        </w:rPr>
        <w:t xml:space="preserve">אולי </w:t>
      </w:r>
      <w:r w:rsidR="008E0F5E">
        <w:rPr>
          <w:rFonts w:hint="cs"/>
          <w:rtl/>
        </w:rPr>
        <w:t xml:space="preserve">לכן יש חוסר בהירות לגבי היחס בין הטיעונים שאבן סינא </w:t>
      </w:r>
      <w:r w:rsidR="00B03641">
        <w:rPr>
          <w:rFonts w:hint="cs"/>
          <w:rtl/>
        </w:rPr>
        <w:t>מתווכח איתם,</w:t>
      </w:r>
      <w:r w:rsidR="008E0F5E">
        <w:rPr>
          <w:rFonts w:hint="cs"/>
          <w:rtl/>
        </w:rPr>
        <w:t xml:space="preserve"> ובין מה שכתוב באריסטו בשיטת אנטיפון</w:t>
      </w:r>
      <w:r w:rsidR="00B03641">
        <w:rPr>
          <w:rFonts w:hint="cs"/>
          <w:rtl/>
        </w:rPr>
        <w:t>.</w:t>
      </w:r>
      <w:r w:rsidR="008E0F5E">
        <w:rPr>
          <w:rFonts w:hint="cs"/>
          <w:rtl/>
        </w:rPr>
        <w:t xml:space="preserve"> </w:t>
      </w:r>
    </w:p>
    <w:p w14:paraId="2A993C3F" w14:textId="4B38A7D3" w:rsidR="007E551C" w:rsidRDefault="00684E4A" w:rsidP="00684E4A">
      <w:pPr>
        <w:pStyle w:val="FootnoteText"/>
      </w:pPr>
      <w:r>
        <w:rPr>
          <w:rFonts w:hint="cs"/>
          <w:rtl/>
        </w:rPr>
        <w:t>לצער</w:t>
      </w:r>
      <w:r w:rsidR="00BC4DC7">
        <w:rPr>
          <w:rFonts w:hint="cs"/>
          <w:rtl/>
        </w:rPr>
        <w:t>י</w:t>
      </w:r>
      <w:r>
        <w:rPr>
          <w:rFonts w:hint="cs"/>
          <w:rtl/>
        </w:rPr>
        <w:t xml:space="preserve"> המאבק נכשל ו</w:t>
      </w:r>
      <w:r w:rsidR="001F0FF5">
        <w:rPr>
          <w:rFonts w:hint="cs"/>
          <w:rtl/>
        </w:rPr>
        <w:t xml:space="preserve">כמעט </w:t>
      </w:r>
      <w:r>
        <w:rPr>
          <w:rFonts w:hint="cs"/>
          <w:rtl/>
        </w:rPr>
        <w:t xml:space="preserve">כל המחשבה </w:t>
      </w:r>
      <w:r w:rsidR="00BC4DC7">
        <w:rPr>
          <w:rFonts w:hint="cs"/>
          <w:rtl/>
        </w:rPr>
        <w:t xml:space="preserve">הרציונלית </w:t>
      </w:r>
      <w:r>
        <w:rPr>
          <w:rFonts w:hint="cs"/>
          <w:rtl/>
        </w:rPr>
        <w:t>המערבית מאז הרנסאנס היא מטריאליסטית,</w:t>
      </w:r>
      <w:r w:rsidR="00BC4DC7">
        <w:rPr>
          <w:rFonts w:hint="cs"/>
          <w:rtl/>
        </w:rPr>
        <w:t xml:space="preserve"> והדתות הן קנאיות ולא תבוניות </w:t>
      </w:r>
      <w:r w:rsidR="00993048">
        <w:rPr>
          <w:rFonts w:hint="cs"/>
          <w:rtl/>
        </w:rPr>
        <w:t xml:space="preserve">(ולכן הן מקור כל כך עצום ונורא של חושך </w:t>
      </w:r>
      <w:r w:rsidR="007736E7">
        <w:rPr>
          <w:rFonts w:hint="cs"/>
          <w:rtl/>
        </w:rPr>
        <w:t xml:space="preserve">בערות </w:t>
      </w:r>
      <w:r w:rsidR="00993048">
        <w:rPr>
          <w:rFonts w:hint="cs"/>
          <w:rtl/>
        </w:rPr>
        <w:t>שנאה ומלחמות)</w:t>
      </w:r>
      <w:r w:rsidR="00BC4DC7">
        <w:rPr>
          <w:rFonts w:hint="cs"/>
          <w:rtl/>
        </w:rPr>
        <w:t>.</w:t>
      </w:r>
      <w:r w:rsidR="007736E7">
        <w:rPr>
          <w:rFonts w:hint="cs"/>
          <w:rtl/>
        </w:rPr>
        <w:t xml:space="preserve"> </w:t>
      </w:r>
      <w:r>
        <w:rPr>
          <w:rFonts w:hint="cs"/>
          <w:rtl/>
        </w:rPr>
        <w:t>וכן בעולם היהודי התקבל</w:t>
      </w:r>
      <w:r w:rsidR="002A483D">
        <w:rPr>
          <w:rFonts w:hint="cs"/>
          <w:rtl/>
        </w:rPr>
        <w:t>ה דרכם של המדברים</w:t>
      </w:r>
      <w:r>
        <w:rPr>
          <w:rFonts w:hint="cs"/>
          <w:rtl/>
        </w:rPr>
        <w:t xml:space="preserve"> המדברים </w:t>
      </w:r>
      <w:r w:rsidR="001F0FF5">
        <w:rPr>
          <w:rFonts w:hint="cs"/>
          <w:rtl/>
        </w:rPr>
        <w:t>שנשענו על</w:t>
      </w:r>
      <w:r>
        <w:rPr>
          <w:rFonts w:hint="cs"/>
          <w:rtl/>
        </w:rPr>
        <w:t xml:space="preserve"> הכוזרי</w:t>
      </w:r>
      <w:r w:rsidR="007736E7">
        <w:rPr>
          <w:rFonts w:hint="cs"/>
          <w:rtl/>
        </w:rPr>
        <w:t>,</w:t>
      </w:r>
      <w:r>
        <w:rPr>
          <w:rFonts w:hint="cs"/>
          <w:rtl/>
        </w:rPr>
        <w:t xml:space="preserve"> </w:t>
      </w:r>
      <w:r w:rsidR="00522F96">
        <w:rPr>
          <w:rFonts w:hint="cs"/>
          <w:rtl/>
        </w:rPr>
        <w:t>רס"ג</w:t>
      </w:r>
      <w:r w:rsidR="007736E7">
        <w:rPr>
          <w:rFonts w:hint="cs"/>
          <w:rtl/>
        </w:rPr>
        <w:t>,</w:t>
      </w:r>
      <w:r w:rsidR="00522F96">
        <w:rPr>
          <w:rFonts w:hint="cs"/>
          <w:rtl/>
        </w:rPr>
        <w:t xml:space="preserve"> </w:t>
      </w:r>
      <w:r w:rsidR="002A483D">
        <w:rPr>
          <w:rFonts w:hint="cs"/>
          <w:rtl/>
        </w:rPr>
        <w:t>רוב גדולי תנועת החסידות</w:t>
      </w:r>
      <w:r w:rsidR="00EA67D6">
        <w:rPr>
          <w:rFonts w:hint="cs"/>
          <w:rtl/>
        </w:rPr>
        <w:t xml:space="preserve">, במידה מסויימת גם </w:t>
      </w:r>
      <w:r w:rsidR="0064774D">
        <w:rPr>
          <w:rFonts w:hint="cs"/>
          <w:rtl/>
        </w:rPr>
        <w:t>דעות</w:t>
      </w:r>
      <w:r w:rsidR="00D904D0">
        <w:rPr>
          <w:rFonts w:hint="cs"/>
          <w:rtl/>
        </w:rPr>
        <w:t xml:space="preserve"> ש</w:t>
      </w:r>
      <w:r w:rsidR="0064774D">
        <w:rPr>
          <w:rFonts w:hint="cs"/>
          <w:rtl/>
        </w:rPr>
        <w:t>תלו</w:t>
      </w:r>
      <w:r w:rsidR="00D904D0">
        <w:rPr>
          <w:rFonts w:hint="cs"/>
          <w:rtl/>
        </w:rPr>
        <w:t xml:space="preserve"> </w:t>
      </w:r>
      <w:r w:rsidR="00763031">
        <w:rPr>
          <w:rFonts w:hint="cs"/>
          <w:rtl/>
        </w:rPr>
        <w:t xml:space="preserve">כל מיני אנשים </w:t>
      </w:r>
      <w:r w:rsidR="0064774D">
        <w:rPr>
          <w:rFonts w:hint="cs"/>
          <w:rtl/>
        </w:rPr>
        <w:t>ב</w:t>
      </w:r>
      <w:r w:rsidR="00EA67D6">
        <w:rPr>
          <w:rFonts w:hint="cs"/>
          <w:rtl/>
        </w:rPr>
        <w:t>גאון מווילנא</w:t>
      </w:r>
      <w:r w:rsidR="00763031">
        <w:rPr>
          <w:rFonts w:hint="cs"/>
          <w:rtl/>
        </w:rPr>
        <w:t xml:space="preserve"> ואחר כך נתקבלו כאילו זו דעתו</w:t>
      </w:r>
      <w:r w:rsidR="001F0FF5">
        <w:rPr>
          <w:rFonts w:hint="cs"/>
          <w:rtl/>
        </w:rPr>
        <w:t>.</w:t>
      </w:r>
      <w:r w:rsidR="00287FED">
        <w:rPr>
          <w:rFonts w:hint="cs"/>
          <w:rtl/>
        </w:rPr>
        <w:t xml:space="preserve"> דרכם של הפילו</w:t>
      </w:r>
      <w:r w:rsidR="00FD023F">
        <w:rPr>
          <w:rFonts w:hint="cs"/>
          <w:rtl/>
        </w:rPr>
        <w:t>סופים האריסטוטליים</w:t>
      </w:r>
      <w:r w:rsidR="00287FED">
        <w:rPr>
          <w:rFonts w:hint="cs"/>
          <w:rtl/>
        </w:rPr>
        <w:t xml:space="preserve"> </w:t>
      </w:r>
      <w:r w:rsidR="00FD023F">
        <w:rPr>
          <w:rFonts w:hint="cs"/>
          <w:rtl/>
        </w:rPr>
        <w:t>נ</w:t>
      </w:r>
      <w:r w:rsidR="00287FED">
        <w:rPr>
          <w:rFonts w:hint="cs"/>
          <w:rtl/>
        </w:rPr>
        <w:t xml:space="preserve">שארה </w:t>
      </w:r>
      <w:r w:rsidR="00FD023F">
        <w:rPr>
          <w:rFonts w:hint="cs"/>
          <w:rtl/>
        </w:rPr>
        <w:t xml:space="preserve">ביהדות </w:t>
      </w:r>
      <w:r w:rsidR="00287FED">
        <w:rPr>
          <w:rFonts w:hint="cs"/>
          <w:rtl/>
        </w:rPr>
        <w:t xml:space="preserve">רק בחכמת הקבלה, ומעטים </w:t>
      </w:r>
      <w:r w:rsidR="00FD023F">
        <w:rPr>
          <w:rFonts w:hint="cs"/>
          <w:rtl/>
        </w:rPr>
        <w:t xml:space="preserve">עד </w:t>
      </w:r>
      <w:r w:rsidR="00287FED">
        <w:rPr>
          <w:rFonts w:hint="cs"/>
          <w:rtl/>
        </w:rPr>
        <w:t xml:space="preserve">מאוד </w:t>
      </w:r>
      <w:r w:rsidR="00FD023F">
        <w:rPr>
          <w:rFonts w:hint="cs"/>
          <w:rtl/>
        </w:rPr>
        <w:t>ה</w:t>
      </w:r>
      <w:r w:rsidR="00287FED">
        <w:rPr>
          <w:rFonts w:hint="cs"/>
          <w:rtl/>
        </w:rPr>
        <w:t>מבינים אותה</w:t>
      </w:r>
      <w:r w:rsidR="00FD023F">
        <w:rPr>
          <w:rFonts w:hint="cs"/>
          <w:rtl/>
        </w:rPr>
        <w:t xml:space="preserve"> לאמיתה</w:t>
      </w:r>
      <w:r w:rsidR="00287FED">
        <w:rPr>
          <w:rFonts w:hint="cs"/>
          <w:rtl/>
        </w:rPr>
        <w:t>.</w:t>
      </w:r>
    </w:p>
  </w:footnote>
  <w:footnote w:id="650">
    <w:p w14:paraId="4FB2D323" w14:textId="0AFD69C9" w:rsidR="00E52979" w:rsidRDefault="00E52979">
      <w:pPr>
        <w:pStyle w:val="FootnoteText"/>
      </w:pPr>
      <w:r>
        <w:rPr>
          <w:rStyle w:val="FootnoteReference"/>
        </w:rPr>
        <w:footnoteRef/>
      </w:r>
      <w:r>
        <w:rPr>
          <w:rtl/>
        </w:rPr>
        <w:t xml:space="preserve"> </w:t>
      </w:r>
      <w:r>
        <w:rPr>
          <w:rFonts w:hint="cs"/>
          <w:rtl/>
        </w:rPr>
        <w:t xml:space="preserve">הם לא מכחישים את עובדת מציאות החומר, רק אומרים שאין לה משמעות </w:t>
      </w:r>
      <w:r w:rsidR="00251C78">
        <w:rPr>
          <w:rFonts w:hint="cs"/>
          <w:rtl/>
        </w:rPr>
        <w:t xml:space="preserve">וחשיבות מבחינה עיונית </w:t>
      </w:r>
      <w:r>
        <w:rPr>
          <w:rFonts w:hint="cs"/>
          <w:rtl/>
        </w:rPr>
        <w:t xml:space="preserve">כי אינה המכוון בטבע, כלומר כשהבורא ברא את הטבע כוונתו הייתה רק לגילוי הצורות בפעולותיהן ולא לחומר. כיוון שהחומר נמצא יש </w:t>
      </w:r>
      <w:r w:rsidR="002B137A">
        <w:rPr>
          <w:rFonts w:hint="cs"/>
          <w:rtl/>
        </w:rPr>
        <w:t>צורך לעסוק בו מבחינה שימושית, לבנות בית ולתפור נעליים, ו</w:t>
      </w:r>
      <w:r w:rsidR="00251C78">
        <w:rPr>
          <w:rFonts w:hint="cs"/>
          <w:rtl/>
        </w:rPr>
        <w:t>את זה הם עושים.</w:t>
      </w:r>
    </w:p>
  </w:footnote>
  <w:footnote w:id="651">
    <w:p w14:paraId="63A79A31" w14:textId="2F1CE6A0" w:rsidR="0037056D" w:rsidRDefault="0037056D">
      <w:pPr>
        <w:pStyle w:val="FootnoteText"/>
      </w:pPr>
      <w:r>
        <w:rPr>
          <w:rStyle w:val="FootnoteReference"/>
        </w:rPr>
        <w:footnoteRef/>
      </w:r>
      <w:r>
        <w:rPr>
          <w:rtl/>
        </w:rPr>
        <w:t xml:space="preserve"> </w:t>
      </w:r>
      <w:r>
        <w:rPr>
          <w:rFonts w:hint="cs"/>
          <w:rtl/>
        </w:rPr>
        <w:t xml:space="preserve">אינני רואה למי אפשר לייחס את הדעה הזו, אם לא לנוצרים, וכמו שהתווכח עם </w:t>
      </w:r>
      <w:r>
        <w:rPr>
          <w:rFonts w:hint="cs"/>
          <w:rtl/>
        </w:rPr>
        <w:t xml:space="preserve">פילופונוס לעיל בפרק ה'. </w:t>
      </w:r>
    </w:p>
  </w:footnote>
  <w:footnote w:id="652">
    <w:p w14:paraId="6333B46B" w14:textId="35028084" w:rsidR="00DE550A" w:rsidRDefault="006054FC">
      <w:pPr>
        <w:pStyle w:val="FootnoteText"/>
        <w:rPr>
          <w:rtl/>
        </w:rPr>
      </w:pPr>
      <w:r>
        <w:rPr>
          <w:rStyle w:val="FootnoteReference"/>
        </w:rPr>
        <w:footnoteRef/>
      </w:r>
      <w:r>
        <w:rPr>
          <w:rtl/>
        </w:rPr>
        <w:t xml:space="preserve"> </w:t>
      </w:r>
      <w:r w:rsidR="00D37F62">
        <w:rPr>
          <w:rFonts w:hint="cs"/>
          <w:rtl/>
        </w:rPr>
        <w:t xml:space="preserve">"מסייעת" כתוב </w:t>
      </w:r>
      <w:r w:rsidR="006C69F5">
        <w:rPr>
          <w:rFonts w:hint="cs"/>
          <w:rtl/>
        </w:rPr>
        <w:t>במקור</w:t>
      </w:r>
      <w:r w:rsidR="006C69F5" w:rsidRPr="00270E05">
        <w:rPr>
          <w:rtl/>
        </w:rPr>
        <w:t>:</w:t>
      </w:r>
      <w:r w:rsidR="006C69F5" w:rsidRPr="00270E05">
        <w:t xml:space="preserve"> </w:t>
      </w:r>
      <w:r w:rsidR="006C69F5" w:rsidRPr="00270E05">
        <w:rPr>
          <w:rFonts w:ascii="Arial" w:hAnsi="Arial" w:cs="Arial" w:hint="cs"/>
          <w:rtl/>
          <w:lang w:bidi="ar-SA"/>
        </w:rPr>
        <w:t>مساعدة</w:t>
      </w:r>
      <w:r w:rsidR="0035225E" w:rsidRPr="00DE550A">
        <w:rPr>
          <w:rtl/>
        </w:rPr>
        <w:t xml:space="preserve"> (מקגיניס תרגם:</w:t>
      </w:r>
      <w:r w:rsidR="00FD4CBB" w:rsidRPr="00DE550A">
        <w:t>since not just any form is conducive to just any matter</w:t>
      </w:r>
      <w:r w:rsidR="00FD4CBB" w:rsidRPr="00DE550A">
        <w:rPr>
          <w:rtl/>
        </w:rPr>
        <w:t>)</w:t>
      </w:r>
      <w:r w:rsidR="006C69F5" w:rsidRPr="00DE550A">
        <w:rPr>
          <w:rtl/>
        </w:rPr>
        <w:t>.</w:t>
      </w:r>
      <w:r w:rsidR="00D0141A" w:rsidRPr="00270E05">
        <w:rPr>
          <w:rtl/>
        </w:rPr>
        <w:t xml:space="preserve"> </w:t>
      </w:r>
      <w:r w:rsidR="00DE550A">
        <w:rPr>
          <w:rFonts w:hint="cs"/>
          <w:rtl/>
        </w:rPr>
        <w:t xml:space="preserve">זה ניסוח שטעון פירוש, כי החומר הוא מצע לצורה, והיא התכלית. ולא שהצורה עוזרת לחומר. </w:t>
      </w:r>
    </w:p>
    <w:p w14:paraId="26A55852" w14:textId="1BFA0F8F" w:rsidR="00270E05" w:rsidRDefault="00D0141A">
      <w:pPr>
        <w:pStyle w:val="FootnoteText"/>
        <w:rPr>
          <w:rtl/>
        </w:rPr>
      </w:pPr>
      <w:r w:rsidRPr="00270E05">
        <w:rPr>
          <w:rtl/>
        </w:rPr>
        <w:t xml:space="preserve">אבן סינא עוסק כאן להעמיד את הגבול הברור בין חכמת הטבע </w:t>
      </w:r>
      <w:r w:rsidRPr="00270E05">
        <w:rPr>
          <w:rtl/>
        </w:rPr>
        <w:t xml:space="preserve">למטאפיזיקה. </w:t>
      </w:r>
      <w:r w:rsidR="000C2FA5" w:rsidRPr="00270E05">
        <w:rPr>
          <w:rtl/>
        </w:rPr>
        <w:t>במטאפיזיקה באמת אין מציאות לחומר, אבל חכמת הטבע רואה את החומר כמציאות והעסק בו הוא הסולם להעפיל למטאפיזיקה</w:t>
      </w:r>
      <w:r w:rsidR="00E20937" w:rsidRPr="00270E05">
        <w:rPr>
          <w:rtl/>
        </w:rPr>
        <w:t>, ואין לעסוק במטאפיזיקה לפני שחכמת הטבע הובילה לשם. הרי האדם כשנולד מטבעו רואה את החומר כמציאות. הוא צריך להתחיל לעמול משם כדי שכ</w:t>
      </w:r>
      <w:r w:rsidR="00662A40" w:rsidRPr="00270E05">
        <w:rPr>
          <w:rtl/>
        </w:rPr>
        <w:t>ל</w:t>
      </w:r>
      <w:r w:rsidR="00E20937" w:rsidRPr="00270E05">
        <w:rPr>
          <w:rtl/>
        </w:rPr>
        <w:t xml:space="preserve"> מדרגה שיגיע אליה תהיה שלו, </w:t>
      </w:r>
      <w:r w:rsidR="00662A40" w:rsidRPr="00270E05">
        <w:rPr>
          <w:rtl/>
        </w:rPr>
        <w:t>ש</w:t>
      </w:r>
      <w:r w:rsidR="00E20937" w:rsidRPr="00270E05">
        <w:rPr>
          <w:rtl/>
        </w:rPr>
        <w:t xml:space="preserve">הוא באמת יבין אותה, </w:t>
      </w:r>
      <w:r w:rsidR="00662A40" w:rsidRPr="00270E05">
        <w:rPr>
          <w:rtl/>
        </w:rPr>
        <w:t xml:space="preserve">יראה את המציאות שעומדות מאחרי המילים. יחבר לזה את </w:t>
      </w:r>
      <w:r w:rsidR="00E20937" w:rsidRPr="00270E05">
        <w:rPr>
          <w:rtl/>
        </w:rPr>
        <w:t xml:space="preserve">כל </w:t>
      </w:r>
      <w:r w:rsidR="00D243E1" w:rsidRPr="00270E05">
        <w:rPr>
          <w:rtl/>
        </w:rPr>
        <w:t xml:space="preserve">המדרגות של כוחות נפשו. אם הוא לומר מטפיזיקה לפני </w:t>
      </w:r>
      <w:r w:rsidR="00662A40" w:rsidRPr="00270E05">
        <w:rPr>
          <w:rtl/>
        </w:rPr>
        <w:t>שעמל כל הצורך בחכמת הטבע</w:t>
      </w:r>
      <w:r w:rsidR="00D243E1" w:rsidRPr="00270E05">
        <w:rPr>
          <w:rtl/>
        </w:rPr>
        <w:t xml:space="preserve"> הוא רק </w:t>
      </w:r>
      <w:r w:rsidR="00662A40" w:rsidRPr="00270E05">
        <w:rPr>
          <w:rtl/>
        </w:rPr>
        <w:t>שומע מילים</w:t>
      </w:r>
      <w:r w:rsidR="00D243E1" w:rsidRPr="00270E05">
        <w:rPr>
          <w:rtl/>
        </w:rPr>
        <w:t xml:space="preserve"> </w:t>
      </w:r>
      <w:r w:rsidR="00662A40" w:rsidRPr="00270E05">
        <w:rPr>
          <w:rtl/>
        </w:rPr>
        <w:t>מפי מורה או ספר חכמה,</w:t>
      </w:r>
      <w:r w:rsidR="00D243E1" w:rsidRPr="00270E05">
        <w:rPr>
          <w:rtl/>
        </w:rPr>
        <w:t xml:space="preserve"> וא</w:t>
      </w:r>
      <w:r w:rsidR="00662A40" w:rsidRPr="00270E05">
        <w:rPr>
          <w:rtl/>
        </w:rPr>
        <w:t>ין לו השגה במציאות שאחרי המילים. יכולת התפישה של המופשט כמציאות (</w:t>
      </w:r>
      <w:r w:rsidR="009E3B84" w:rsidRPr="00270E05">
        <w:rPr>
          <w:rtl/>
        </w:rPr>
        <w:t>עי' הלכות יסודי התורה ד' סוף הלכה ז', ובמורה נבוכים א מ"ט ועוד</w:t>
      </w:r>
      <w:r w:rsidR="00270E05" w:rsidRPr="00270E05">
        <w:rPr>
          <w:rtl/>
        </w:rPr>
        <w:t>)</w:t>
      </w:r>
      <w:r w:rsidR="00662A40" w:rsidRPr="00270E05">
        <w:rPr>
          <w:rtl/>
        </w:rPr>
        <w:t xml:space="preserve"> באה מהעמל בתפישת החומר לעמקו ולאמיתו.</w:t>
      </w:r>
    </w:p>
    <w:p w14:paraId="120B0BC7" w14:textId="15C16A97" w:rsidR="006054FC" w:rsidRPr="00270E05" w:rsidRDefault="00270E05">
      <w:pPr>
        <w:pStyle w:val="FootnoteText"/>
      </w:pPr>
      <w:r>
        <w:rPr>
          <w:rFonts w:hint="cs"/>
          <w:rtl/>
        </w:rPr>
        <w:t xml:space="preserve">בחכמת הטבע לא רק שהחומר יש לו קיום כמצע לצורה, אלא גם </w:t>
      </w:r>
      <w:r w:rsidR="00021DF1">
        <w:rPr>
          <w:rFonts w:hint="cs"/>
          <w:rtl/>
        </w:rPr>
        <w:t xml:space="preserve">מציאותו היא </w:t>
      </w:r>
      <w:r>
        <w:rPr>
          <w:rFonts w:hint="cs"/>
          <w:rtl/>
        </w:rPr>
        <w:t>תכלית לעצמ</w:t>
      </w:r>
      <w:r w:rsidR="00021DF1">
        <w:rPr>
          <w:rFonts w:hint="cs"/>
          <w:rtl/>
        </w:rPr>
        <w:t>ה</w:t>
      </w:r>
      <w:r>
        <w:rPr>
          <w:rFonts w:hint="cs"/>
          <w:rtl/>
        </w:rPr>
        <w:t xml:space="preserve"> כמו ש</w:t>
      </w:r>
      <w:r w:rsidR="00021DF1">
        <w:rPr>
          <w:rFonts w:hint="cs"/>
          <w:rtl/>
        </w:rPr>
        <w:t xml:space="preserve">מציאות </w:t>
      </w:r>
      <w:r>
        <w:rPr>
          <w:rFonts w:hint="cs"/>
          <w:rtl/>
        </w:rPr>
        <w:t xml:space="preserve">הצורה היא תכלית, </w:t>
      </w:r>
      <w:r w:rsidR="00021DF1">
        <w:rPr>
          <w:rFonts w:hint="cs"/>
          <w:rtl/>
        </w:rPr>
        <w:t xml:space="preserve">לכן לפי זה יש מקום לומר שהצורה עוזרת לחומר, </w:t>
      </w:r>
      <w:r w:rsidR="009B1261">
        <w:rPr>
          <w:rFonts w:hint="cs"/>
          <w:rtl/>
        </w:rPr>
        <w:t>במה שהיא גורמת לו להיות עצם</w:t>
      </w:r>
      <w:r w:rsidR="00586FB0">
        <w:rPr>
          <w:rFonts w:hint="cs"/>
          <w:rtl/>
        </w:rPr>
        <w:t xml:space="preserve"> מוגדר, שונה מחומרים אחרים שהם עצמים אחרים</w:t>
      </w:r>
      <w:r w:rsidR="009B1261">
        <w:rPr>
          <w:rFonts w:hint="cs"/>
          <w:rtl/>
        </w:rPr>
        <w:t>.</w:t>
      </w:r>
      <w:r w:rsidR="00662A40" w:rsidRPr="00270E05">
        <w:rPr>
          <w:rtl/>
        </w:rPr>
        <w:t xml:space="preserve"> </w:t>
      </w:r>
    </w:p>
  </w:footnote>
  <w:footnote w:id="653">
    <w:p w14:paraId="033C4B31" w14:textId="77777777" w:rsidR="004E050C" w:rsidRDefault="000651C6">
      <w:pPr>
        <w:pStyle w:val="FootnoteText"/>
        <w:rPr>
          <w:rtl/>
        </w:rPr>
      </w:pPr>
      <w:r>
        <w:rPr>
          <w:rStyle w:val="FootnoteReference"/>
        </w:rPr>
        <w:footnoteRef/>
      </w:r>
      <w:r>
        <w:rPr>
          <w:rtl/>
        </w:rPr>
        <w:t xml:space="preserve"> </w:t>
      </w:r>
      <w:bookmarkStart w:id="292" w:name="_Hlk113651734"/>
      <w:r w:rsidR="00412D87">
        <w:rPr>
          <w:rFonts w:hint="cs"/>
          <w:rtl/>
        </w:rPr>
        <w:t>לא כל צורה שהיא יכולה להפוך ל</w:t>
      </w:r>
      <w:r w:rsidR="000965D8">
        <w:rPr>
          <w:rFonts w:hint="cs"/>
          <w:rtl/>
        </w:rPr>
        <w:t>בעל חיים. למשל צורת ברוש יכולה להפ</w:t>
      </w:r>
      <w:r w:rsidR="006B1F30">
        <w:rPr>
          <w:rFonts w:hint="cs"/>
          <w:rtl/>
        </w:rPr>
        <w:t>ו</w:t>
      </w:r>
      <w:r w:rsidR="000965D8">
        <w:rPr>
          <w:rFonts w:hint="cs"/>
          <w:rtl/>
        </w:rPr>
        <w:t>ך רק</w:t>
      </w:r>
      <w:r w:rsidR="006B1F30">
        <w:rPr>
          <w:rFonts w:hint="cs"/>
          <w:rtl/>
        </w:rPr>
        <w:t xml:space="preserve"> </w:t>
      </w:r>
      <w:r w:rsidR="000965D8">
        <w:rPr>
          <w:rFonts w:hint="cs"/>
          <w:rtl/>
        </w:rPr>
        <w:t>לצמח ו</w:t>
      </w:r>
      <w:r w:rsidR="006B1F30">
        <w:rPr>
          <w:rFonts w:hint="cs"/>
          <w:rtl/>
        </w:rPr>
        <w:t>לא</w:t>
      </w:r>
      <w:r w:rsidR="000965D8">
        <w:rPr>
          <w:rFonts w:hint="cs"/>
          <w:rtl/>
        </w:rPr>
        <w:t xml:space="preserve"> לבעל חיים וכן צורת הברזל יכו</w:t>
      </w:r>
      <w:r w:rsidR="006B1F30">
        <w:rPr>
          <w:rFonts w:hint="cs"/>
          <w:rtl/>
        </w:rPr>
        <w:t>ל</w:t>
      </w:r>
      <w:r w:rsidR="000965D8">
        <w:rPr>
          <w:rFonts w:hint="cs"/>
          <w:rtl/>
        </w:rPr>
        <w:t>ה להפוך רק למחצב ול</w:t>
      </w:r>
      <w:r w:rsidR="006B1F30">
        <w:rPr>
          <w:rFonts w:hint="cs"/>
          <w:rtl/>
        </w:rPr>
        <w:t>א</w:t>
      </w:r>
      <w:r w:rsidR="000965D8">
        <w:rPr>
          <w:rFonts w:hint="cs"/>
          <w:rtl/>
        </w:rPr>
        <w:t xml:space="preserve"> לבעל חיים וכן הלאה. </w:t>
      </w:r>
      <w:r w:rsidR="00AF2FA0">
        <w:rPr>
          <w:rFonts w:hint="cs"/>
          <w:rtl/>
        </w:rPr>
        <w:t xml:space="preserve">צורה מעצם היותה צורה עניינה להתממש בחומר, אבל </w:t>
      </w:r>
      <w:r w:rsidR="00DF5A7D">
        <w:rPr>
          <w:rFonts w:hint="cs"/>
          <w:rtl/>
        </w:rPr>
        <w:t>מצד הצורה</w:t>
      </w:r>
      <w:r w:rsidR="00AF2FA0">
        <w:rPr>
          <w:rFonts w:hint="cs"/>
          <w:rtl/>
        </w:rPr>
        <w:t xml:space="preserve"> לא אמור להיות הבדל באיזה חומר היא מתממשת</w:t>
      </w:r>
      <w:r w:rsidR="00DF5A7D">
        <w:rPr>
          <w:rFonts w:hint="cs"/>
          <w:rtl/>
        </w:rPr>
        <w:t xml:space="preserve">, מבחינתה החומר הוא רק מצע </w:t>
      </w:r>
      <w:r w:rsidR="00C20F61">
        <w:rPr>
          <w:rFonts w:hint="cs"/>
          <w:rtl/>
        </w:rPr>
        <w:t>שבו מקבלת</w:t>
      </w:r>
      <w:r w:rsidR="00143EAE">
        <w:rPr>
          <w:rFonts w:hint="cs"/>
          <w:rtl/>
        </w:rPr>
        <w:t xml:space="preserve"> הצורה</w:t>
      </w:r>
      <w:r w:rsidR="002258F5">
        <w:rPr>
          <w:rFonts w:hint="cs"/>
          <w:rtl/>
        </w:rPr>
        <w:t xml:space="preserve"> תכונות של גוף חומרי, וכל חומר יש בו אפשרות לתכונות אלה, כלומר תלת ממדיות, </w:t>
      </w:r>
      <w:r w:rsidR="00C20F61">
        <w:rPr>
          <w:rFonts w:hint="cs"/>
          <w:rtl/>
        </w:rPr>
        <w:t>הגדרה, אפשרות להיתפש בחוש וכיו"ב</w:t>
      </w:r>
      <w:r w:rsidR="00143EAE">
        <w:rPr>
          <w:rFonts w:hint="cs"/>
          <w:rtl/>
        </w:rPr>
        <w:t>,</w:t>
      </w:r>
      <w:r w:rsidR="00C20F61">
        <w:rPr>
          <w:rFonts w:hint="cs"/>
          <w:rtl/>
        </w:rPr>
        <w:t xml:space="preserve"> </w:t>
      </w:r>
      <w:r w:rsidR="00143EAE">
        <w:rPr>
          <w:rFonts w:hint="cs"/>
          <w:rtl/>
        </w:rPr>
        <w:t>ו</w:t>
      </w:r>
      <w:r w:rsidR="00DF5A7D">
        <w:rPr>
          <w:rFonts w:hint="cs"/>
          <w:rtl/>
        </w:rPr>
        <w:t>למה שלא יוכל להתממש בעל חיים בחומר של עץ</w:t>
      </w:r>
      <w:r w:rsidR="00484AA7">
        <w:rPr>
          <w:rFonts w:hint="cs"/>
          <w:rtl/>
        </w:rPr>
        <w:t xml:space="preserve">. </w:t>
      </w:r>
    </w:p>
    <w:p w14:paraId="2FF16AC2" w14:textId="0FCFC980" w:rsidR="002C4C33" w:rsidRDefault="00484AA7">
      <w:pPr>
        <w:pStyle w:val="FootnoteText"/>
        <w:rPr>
          <w:rtl/>
        </w:rPr>
      </w:pPr>
      <w:r>
        <w:rPr>
          <w:rFonts w:hint="cs"/>
          <w:rtl/>
        </w:rPr>
        <w:t xml:space="preserve">זה דומה </w:t>
      </w:r>
      <w:r w:rsidR="009D085F">
        <w:rPr>
          <w:rFonts w:hint="cs"/>
          <w:rtl/>
        </w:rPr>
        <w:t xml:space="preserve">קצת, כמשל, </w:t>
      </w:r>
      <w:r>
        <w:rPr>
          <w:rFonts w:hint="cs"/>
          <w:rtl/>
        </w:rPr>
        <w:t xml:space="preserve">למה שכל חומר יכול להיות מצע לאור השמש ולהיות מואר. </w:t>
      </w:r>
      <w:r w:rsidR="00351485">
        <w:rPr>
          <w:rFonts w:hint="cs"/>
          <w:rtl/>
        </w:rPr>
        <w:t xml:space="preserve">אלא בהכרח בחומר עצמו יש </w:t>
      </w:r>
      <w:r w:rsidR="00B15A1B">
        <w:rPr>
          <w:rFonts w:hint="cs"/>
          <w:rtl/>
        </w:rPr>
        <w:t xml:space="preserve">הכנות שונות לצורות שונות, לפי מזג החומר. </w:t>
      </w:r>
      <w:r w:rsidR="00DC40A4">
        <w:rPr>
          <w:rFonts w:hint="cs"/>
          <w:rtl/>
        </w:rPr>
        <w:t xml:space="preserve">ענין זה הוא סוד עמוק מכבשונו של עולם, כי אין לשכל יכולת להשיג מה יש בחומר </w:t>
      </w:r>
      <w:r w:rsidR="009C463A">
        <w:rPr>
          <w:rFonts w:hint="cs"/>
          <w:rtl/>
        </w:rPr>
        <w:t>מסוים</w:t>
      </w:r>
      <w:r w:rsidR="00DC40A4">
        <w:rPr>
          <w:rFonts w:hint="cs"/>
          <w:rtl/>
        </w:rPr>
        <w:t xml:space="preserve"> שב</w:t>
      </w:r>
      <w:r w:rsidR="00146924">
        <w:rPr>
          <w:rFonts w:hint="cs"/>
          <w:rtl/>
        </w:rPr>
        <w:t>גלל</w:t>
      </w:r>
      <w:r w:rsidR="00DC40A4">
        <w:rPr>
          <w:rFonts w:hint="cs"/>
          <w:rtl/>
        </w:rPr>
        <w:t xml:space="preserve">ו </w:t>
      </w:r>
      <w:r w:rsidR="00146924">
        <w:rPr>
          <w:rFonts w:hint="cs"/>
          <w:rtl/>
        </w:rPr>
        <w:t>יש אפשרות</w:t>
      </w:r>
      <w:r w:rsidR="00DC40A4">
        <w:rPr>
          <w:rFonts w:hint="cs"/>
          <w:rtl/>
        </w:rPr>
        <w:t xml:space="preserve"> </w:t>
      </w:r>
      <w:r w:rsidR="00146924">
        <w:rPr>
          <w:rFonts w:hint="cs"/>
          <w:rtl/>
        </w:rPr>
        <w:t>שתצטייר ותממש בו</w:t>
      </w:r>
      <w:r w:rsidR="00DC40A4">
        <w:rPr>
          <w:rFonts w:hint="cs"/>
          <w:rtl/>
        </w:rPr>
        <w:t xml:space="preserve"> דווקא צורת סוס ול</w:t>
      </w:r>
      <w:r w:rsidR="00F93B09">
        <w:rPr>
          <w:rFonts w:hint="cs"/>
          <w:rtl/>
        </w:rPr>
        <w:t>א</w:t>
      </w:r>
      <w:r w:rsidR="00DC40A4">
        <w:rPr>
          <w:rFonts w:hint="cs"/>
          <w:rtl/>
        </w:rPr>
        <w:t xml:space="preserve"> צורת </w:t>
      </w:r>
      <w:r w:rsidR="00146924">
        <w:rPr>
          <w:rFonts w:hint="cs"/>
          <w:rtl/>
        </w:rPr>
        <w:t>חמור</w:t>
      </w:r>
      <w:r w:rsidR="00DC40A4">
        <w:rPr>
          <w:rFonts w:hint="cs"/>
          <w:rtl/>
        </w:rPr>
        <w:t xml:space="preserve">. </w:t>
      </w:r>
    </w:p>
    <w:p w14:paraId="6F8A350B" w14:textId="77777777" w:rsidR="00FF3031" w:rsidRDefault="00EB1054">
      <w:pPr>
        <w:pStyle w:val="FootnoteText"/>
        <w:rPr>
          <w:rtl/>
        </w:rPr>
      </w:pPr>
      <w:r>
        <w:rPr>
          <w:rFonts w:hint="cs"/>
          <w:rtl/>
        </w:rPr>
        <w:t xml:space="preserve">זו שאלת מפתח, כי בה מונח הסולם להגיע </w:t>
      </w:r>
      <w:r>
        <w:rPr>
          <w:rFonts w:hint="cs"/>
          <w:rtl/>
        </w:rPr>
        <w:t xml:space="preserve">מחכמת הטבע למטאפיזיקה, היא חכמת המופשט, חכמת האלוהות. </w:t>
      </w:r>
    </w:p>
    <w:p w14:paraId="05E04A6E" w14:textId="22B9D3E3" w:rsidR="000651C6" w:rsidRDefault="00430744">
      <w:pPr>
        <w:pStyle w:val="FootnoteText"/>
        <w:rPr>
          <w:rtl/>
        </w:rPr>
      </w:pPr>
      <w:r>
        <w:rPr>
          <w:rFonts w:hint="cs"/>
          <w:rtl/>
        </w:rPr>
        <w:t xml:space="preserve">גם בעיון המטאפיזי יש כאן שאלה גדולה, </w:t>
      </w:r>
      <w:r w:rsidR="00546247">
        <w:rPr>
          <w:rFonts w:hint="cs"/>
          <w:rtl/>
        </w:rPr>
        <w:t xml:space="preserve">יש צורה כללית של 'חי', שהיא אופן של גילוי האלוהות המופשטת שהיא חיים במובן המופשט הכללי. </w:t>
      </w:r>
      <w:r w:rsidR="00077A7B">
        <w:rPr>
          <w:rFonts w:hint="cs"/>
          <w:rtl/>
        </w:rPr>
        <w:t>בכל מיני החי מתגלה אותה צורה מופשטת של חיים, הסוס ה</w:t>
      </w:r>
      <w:r w:rsidR="00956085">
        <w:rPr>
          <w:rFonts w:hint="cs"/>
          <w:rtl/>
        </w:rPr>
        <w:t>ו</w:t>
      </w:r>
      <w:r w:rsidR="00077A7B">
        <w:rPr>
          <w:rFonts w:hint="cs"/>
          <w:rtl/>
        </w:rPr>
        <w:t xml:space="preserve">א גילוי של צורת החיים הכללית וכן החמור והאדם. </w:t>
      </w:r>
      <w:r w:rsidR="001061A8">
        <w:rPr>
          <w:rFonts w:hint="cs"/>
          <w:rtl/>
        </w:rPr>
        <w:t xml:space="preserve">צורת סוס במובחן מצורת חמור, אינה צורה מופשטת, כלומר כללית, אלוהית במוחלטות הפשוטה שלה, שאפשר לומר שהיא והאלוה הם אחד. </w:t>
      </w:r>
      <w:r w:rsidR="00F623A8">
        <w:rPr>
          <w:rFonts w:hint="cs"/>
          <w:rtl/>
        </w:rPr>
        <w:t xml:space="preserve">על הצורות של 'חי', 'חכם', 'רוצה', </w:t>
      </w:r>
      <w:r w:rsidR="00F570CD">
        <w:rPr>
          <w:rFonts w:hint="cs"/>
          <w:rtl/>
        </w:rPr>
        <w:t xml:space="preserve">'נמצא', </w:t>
      </w:r>
      <w:r w:rsidR="00F623A8">
        <w:rPr>
          <w:rFonts w:hint="cs"/>
          <w:rtl/>
        </w:rPr>
        <w:t xml:space="preserve">נאמר שהן אחד </w:t>
      </w:r>
      <w:r w:rsidR="00F570CD">
        <w:rPr>
          <w:rFonts w:hint="cs"/>
          <w:rtl/>
        </w:rPr>
        <w:t xml:space="preserve">ממש </w:t>
      </w:r>
      <w:r w:rsidR="00F623A8">
        <w:rPr>
          <w:rFonts w:hint="cs"/>
          <w:rtl/>
        </w:rPr>
        <w:t xml:space="preserve">עם </w:t>
      </w:r>
      <w:r w:rsidR="00F570CD">
        <w:rPr>
          <w:rFonts w:hint="cs"/>
          <w:rtl/>
        </w:rPr>
        <w:t>האלוה, עיין מורה נבוכים א' נ</w:t>
      </w:r>
      <w:r w:rsidR="00463316">
        <w:rPr>
          <w:rFonts w:hint="cs"/>
          <w:rtl/>
        </w:rPr>
        <w:t>"ג</w:t>
      </w:r>
      <w:r w:rsidR="00F570CD">
        <w:rPr>
          <w:rFonts w:hint="cs"/>
          <w:rtl/>
        </w:rPr>
        <w:t>.</w:t>
      </w:r>
      <w:r w:rsidR="00AF2FA0">
        <w:rPr>
          <w:rFonts w:hint="cs"/>
          <w:rtl/>
        </w:rPr>
        <w:t xml:space="preserve"> </w:t>
      </w:r>
      <w:r w:rsidR="00463316">
        <w:rPr>
          <w:rFonts w:hint="cs"/>
          <w:rtl/>
        </w:rPr>
        <w:t>לומר על האלוה שהוא חי זה כמו לומר על מים שהם לחים</w:t>
      </w:r>
      <w:r w:rsidR="00F06EE6">
        <w:rPr>
          <w:rFonts w:hint="cs"/>
          <w:rtl/>
        </w:rPr>
        <w:t xml:space="preserve"> או על אור שהוא בהיר</w:t>
      </w:r>
      <w:r w:rsidR="00463316">
        <w:rPr>
          <w:rFonts w:hint="cs"/>
          <w:rtl/>
        </w:rPr>
        <w:t xml:space="preserve">. זה לא תואר או הגדרה או מאפיין, אלא </w:t>
      </w:r>
      <w:r w:rsidR="00F06EE6">
        <w:rPr>
          <w:rFonts w:hint="cs"/>
          <w:rtl/>
        </w:rPr>
        <w:t xml:space="preserve">מים ולחות הן מילים בעלות אותו מובן עצמו, </w:t>
      </w:r>
      <w:r w:rsidR="00463316">
        <w:rPr>
          <w:rFonts w:hint="cs"/>
          <w:rtl/>
        </w:rPr>
        <w:t xml:space="preserve">זו כמו מילה נרדפת. </w:t>
      </w:r>
    </w:p>
    <w:p w14:paraId="5D9B8116" w14:textId="7E559DEF" w:rsidR="007252F8" w:rsidRDefault="00E221B0">
      <w:pPr>
        <w:pStyle w:val="FootnoteText"/>
        <w:rPr>
          <w:rtl/>
        </w:rPr>
      </w:pPr>
      <w:r>
        <w:rPr>
          <w:rFonts w:hint="cs"/>
          <w:rtl/>
        </w:rPr>
        <w:t xml:space="preserve">הבורא ממציא את מציאות הצורות. הוא חי, ומזה יש צורת 'חי' בעולם, כי מציאות העולם </w:t>
      </w:r>
      <w:r w:rsidR="007252F8">
        <w:rPr>
          <w:rFonts w:hint="cs"/>
          <w:rtl/>
        </w:rPr>
        <w:t xml:space="preserve">בעצמה </w:t>
      </w:r>
      <w:r>
        <w:rPr>
          <w:rFonts w:hint="cs"/>
          <w:rtl/>
        </w:rPr>
        <w:t>היא מציאותו של הבורא</w:t>
      </w:r>
      <w:r w:rsidR="007252F8">
        <w:rPr>
          <w:rFonts w:hint="cs"/>
          <w:rtl/>
        </w:rPr>
        <w:t xml:space="preserve"> עצמו</w:t>
      </w:r>
      <w:r w:rsidR="00D81A26">
        <w:rPr>
          <w:rFonts w:hint="cs"/>
          <w:rtl/>
        </w:rPr>
        <w:t>.</w:t>
      </w:r>
      <w:r w:rsidR="007252F8">
        <w:rPr>
          <w:rFonts w:hint="cs"/>
          <w:rtl/>
        </w:rPr>
        <w:t xml:space="preserve"> כמו שכתב הרמב"ם בהלכות יסודי התורה ב' ט'-</w:t>
      </w:r>
      <w:r w:rsidR="00F70081">
        <w:rPr>
          <w:rFonts w:hint="cs"/>
          <w:rtl/>
        </w:rPr>
        <w:t>י</w:t>
      </w:r>
      <w:r w:rsidR="007252F8">
        <w:rPr>
          <w:rFonts w:hint="cs"/>
          <w:rtl/>
        </w:rPr>
        <w:t>':</w:t>
      </w:r>
    </w:p>
    <w:p w14:paraId="784BF62C" w14:textId="77777777" w:rsidR="00A44113" w:rsidRDefault="007252F8" w:rsidP="00A44113">
      <w:pPr>
        <w:pStyle w:val="FootnoteText"/>
        <w:rPr>
          <w:rtl/>
        </w:rPr>
      </w:pPr>
      <w:r>
        <w:rPr>
          <w:rFonts w:hint="cs"/>
          <w:rtl/>
        </w:rPr>
        <w:t>"</w:t>
      </w:r>
      <w:r w:rsidR="00A44113">
        <w:rPr>
          <w:rtl/>
        </w:rPr>
        <w:t>כל הנמצאים חוץ מן הבורא מצורה הראשונה עד יתוש קטן שיהיה בטבור הארץ הכל מכח אמתתו נמצאו ולפי שהוא יודע עצמו ומכיר גדולתו ותפארתו ואמתתו הוא יודע הכל ואין דבר נעלם ממנו.</w:t>
      </w:r>
    </w:p>
    <w:p w14:paraId="43399F16" w14:textId="77777777" w:rsidR="00F87F46" w:rsidRDefault="00A44113" w:rsidP="00A44113">
      <w:pPr>
        <w:pStyle w:val="FootnoteText"/>
        <w:rPr>
          <w:rtl/>
        </w:rPr>
      </w:pPr>
      <w:r>
        <w:rPr>
          <w:rtl/>
        </w:rPr>
        <w:t>הקב"ה מכיר אמתו ויודע אותה כמו שהיא ואינו יודע בדעה שהיא חוץ ממנו כמו שאנו יודעין</w:t>
      </w:r>
      <w:r w:rsidR="00ED655B">
        <w:rPr>
          <w:rFonts w:hint="cs"/>
          <w:rtl/>
        </w:rPr>
        <w:t>,</w:t>
      </w:r>
      <w:r>
        <w:rPr>
          <w:rtl/>
        </w:rPr>
        <w:t xml:space="preserve"> שאין אנו ודעתנו אחד אבל הבורא יתברך הוא ודעתו וחייו אחד מכל צד ומכל פינה ובכל דרך ייחוד</w:t>
      </w:r>
      <w:r w:rsidR="00ED655B">
        <w:rPr>
          <w:rFonts w:hint="cs"/>
          <w:rtl/>
        </w:rPr>
        <w:t>,</w:t>
      </w:r>
      <w:r>
        <w:rPr>
          <w:rtl/>
        </w:rPr>
        <w:t xml:space="preserve"> שאלמלי היה חי בחיים ויודע בדעה חוץ ממנו היו שם אלוהות הרבה הוא וחייו ודעתו</w:t>
      </w:r>
      <w:r w:rsidR="00ED655B">
        <w:rPr>
          <w:rFonts w:hint="cs"/>
          <w:rtl/>
        </w:rPr>
        <w:t>,</w:t>
      </w:r>
      <w:r>
        <w:rPr>
          <w:rtl/>
        </w:rPr>
        <w:t xml:space="preserve"> ואין הדבר כן</w:t>
      </w:r>
      <w:r w:rsidR="00ED655B">
        <w:rPr>
          <w:rFonts w:hint="cs"/>
          <w:rtl/>
        </w:rPr>
        <w:t>,</w:t>
      </w:r>
      <w:r>
        <w:rPr>
          <w:rtl/>
        </w:rPr>
        <w:t xml:space="preserve"> אלא אחד מכל צד ומכל פינה ובכל דרך ייחוד</w:t>
      </w:r>
      <w:r w:rsidR="00ED655B">
        <w:rPr>
          <w:rFonts w:hint="cs"/>
          <w:rtl/>
        </w:rPr>
        <w:t>.</w:t>
      </w:r>
      <w:r>
        <w:rPr>
          <w:rtl/>
        </w:rPr>
        <w:t xml:space="preserve"> נמצאת אתה אומר הוא היודע והוא הידוע והוא הדעה עצמה הכל אחד ודבר זה אין כח בפה לאומרו ולא באוזן לשמעו ולא בלב האדם להכירו על בוריו</w:t>
      </w:r>
      <w:r w:rsidR="00F87F46">
        <w:rPr>
          <w:rFonts w:hint="cs"/>
          <w:rtl/>
        </w:rPr>
        <w:t>.</w:t>
      </w:r>
      <w:r>
        <w:rPr>
          <w:rtl/>
        </w:rPr>
        <w:t xml:space="preserve"> ולפיכך אומר חֵי פרעה וחֵי נפשך ואין אומר חֵי ה' אלא חַי ה' שאין הבורא וחייו שנים כמו חיי הגופים החיים או כחיי המלאכים</w:t>
      </w:r>
      <w:r w:rsidR="00F87F46">
        <w:rPr>
          <w:rFonts w:hint="cs"/>
          <w:rtl/>
        </w:rPr>
        <w:t>.</w:t>
      </w:r>
      <w:r>
        <w:rPr>
          <w:rtl/>
        </w:rPr>
        <w:t xml:space="preserve"> </w:t>
      </w:r>
      <w:r w:rsidRPr="00F87F46">
        <w:rPr>
          <w:b/>
          <w:bCs/>
          <w:rtl/>
        </w:rPr>
        <w:t>לפיכך אינו מכיר הברואים ויודעם מחמת הברואים כמו שאנו יודעין אותם אלא מחמת עצמו ידעם לפיכך מפני שהוא יודע עצמו יודע הכל שהכל נסמך לו בהוייתו.</w:t>
      </w:r>
      <w:r w:rsidR="007252F8">
        <w:rPr>
          <w:rFonts w:hint="cs"/>
          <w:rtl/>
        </w:rPr>
        <w:t>"</w:t>
      </w:r>
      <w:r w:rsidR="00E221B0">
        <w:rPr>
          <w:rFonts w:hint="cs"/>
          <w:rtl/>
        </w:rPr>
        <w:t>.</w:t>
      </w:r>
    </w:p>
    <w:p w14:paraId="1842E1DE" w14:textId="7C24094D" w:rsidR="00E221B0" w:rsidRDefault="00F87F46" w:rsidP="00A44113">
      <w:pPr>
        <w:pStyle w:val="FootnoteText"/>
        <w:rPr>
          <w:rtl/>
        </w:rPr>
      </w:pPr>
      <w:r>
        <w:rPr>
          <w:rFonts w:hint="cs"/>
          <w:rtl/>
        </w:rPr>
        <w:t>הבורא יודע רק את עצמו ולא שום דבר אחר, ומזה הוא יודע כל יתוש, כי ליתוש אין מציאות</w:t>
      </w:r>
      <w:r w:rsidR="003D24B3">
        <w:rPr>
          <w:rFonts w:hint="cs"/>
          <w:rtl/>
        </w:rPr>
        <w:t xml:space="preserve"> נפרדת</w:t>
      </w:r>
      <w:r>
        <w:rPr>
          <w:rFonts w:hint="cs"/>
          <w:rtl/>
        </w:rPr>
        <w:t xml:space="preserve"> משל עצמו</w:t>
      </w:r>
      <w:r w:rsidR="003D24B3">
        <w:rPr>
          <w:rFonts w:hint="cs"/>
          <w:rtl/>
        </w:rPr>
        <w:t>.</w:t>
      </w:r>
    </w:p>
    <w:p w14:paraId="220271F9" w14:textId="5E7BFBEA" w:rsidR="005D65D1" w:rsidRDefault="005D65D1" w:rsidP="00A44113">
      <w:pPr>
        <w:pStyle w:val="FootnoteText"/>
        <w:rPr>
          <w:rtl/>
        </w:rPr>
      </w:pPr>
      <w:r>
        <w:rPr>
          <w:rFonts w:hint="cs"/>
          <w:rtl/>
        </w:rPr>
        <w:t>הבורא ממציא את הצורה 'חי'</w:t>
      </w:r>
      <w:r w:rsidR="00A728CC" w:rsidRPr="00A728CC">
        <w:rPr>
          <w:rtl/>
        </w:rPr>
        <w:t xml:space="preserve"> (כלומר משפיע </w:t>
      </w:r>
      <w:r w:rsidR="00A728CC">
        <w:rPr>
          <w:rFonts w:hint="cs"/>
          <w:rtl/>
        </w:rPr>
        <w:t xml:space="preserve">את </w:t>
      </w:r>
      <w:r w:rsidR="00A728CC" w:rsidRPr="00A728CC">
        <w:rPr>
          <w:rtl/>
        </w:rPr>
        <w:t>מציאות</w:t>
      </w:r>
      <w:r w:rsidR="00A728CC">
        <w:rPr>
          <w:rFonts w:hint="cs"/>
          <w:rtl/>
        </w:rPr>
        <w:t>ה, בורא אותה</w:t>
      </w:r>
      <w:r w:rsidR="00A728CC" w:rsidRPr="00A728CC">
        <w:rPr>
          <w:rtl/>
        </w:rPr>
        <w:t>)</w:t>
      </w:r>
      <w:r w:rsidR="00A728CC">
        <w:rPr>
          <w:rFonts w:hint="cs"/>
          <w:rtl/>
        </w:rPr>
        <w:t xml:space="preserve"> </w:t>
      </w:r>
      <w:r w:rsidR="00AF7F98">
        <w:rPr>
          <w:rFonts w:hint="cs"/>
          <w:rtl/>
        </w:rPr>
        <w:t>לא על ידי בריאת משהו מחוץ לעצמו</w:t>
      </w:r>
      <w:r w:rsidR="00AE3F65">
        <w:rPr>
          <w:rFonts w:hint="cs"/>
          <w:rtl/>
        </w:rPr>
        <w:t>;</w:t>
      </w:r>
      <w:r w:rsidR="00AF7F98">
        <w:rPr>
          <w:rFonts w:hint="cs"/>
          <w:rtl/>
        </w:rPr>
        <w:t xml:space="preserve"> אלא על ידי</w:t>
      </w:r>
      <w:r>
        <w:rPr>
          <w:rFonts w:hint="cs"/>
          <w:rtl/>
        </w:rPr>
        <w:t xml:space="preserve"> </w:t>
      </w:r>
      <w:r w:rsidR="00AF7F98">
        <w:rPr>
          <w:rFonts w:hint="cs"/>
          <w:rtl/>
        </w:rPr>
        <w:t>ש</w:t>
      </w:r>
      <w:r>
        <w:rPr>
          <w:rFonts w:hint="cs"/>
          <w:rtl/>
        </w:rPr>
        <w:t>הוא עצמו 'חי' והכל נסמך לו בהווייתו</w:t>
      </w:r>
      <w:r w:rsidR="00B91B90">
        <w:rPr>
          <w:rFonts w:hint="cs"/>
          <w:rtl/>
        </w:rPr>
        <w:t>, כל החי הוא חייו שלו (זה צד הסתירה שכתב במורה נבוכים א' ע"ב שהוא מנהיג ומשגיח. לפי צד הסתירה הנו</w:t>
      </w:r>
      <w:r w:rsidR="00BB4540">
        <w:rPr>
          <w:rFonts w:hint="cs"/>
          <w:rtl/>
        </w:rPr>
        <w:t>ס</w:t>
      </w:r>
      <w:r w:rsidR="00B91B90">
        <w:rPr>
          <w:rFonts w:hint="cs"/>
          <w:rtl/>
        </w:rPr>
        <w:t xml:space="preserve">ף שם </w:t>
      </w:r>
      <w:r w:rsidR="00BB4540">
        <w:rPr>
          <w:rFonts w:hint="cs"/>
          <w:rtl/>
        </w:rPr>
        <w:t>ש</w:t>
      </w:r>
      <w:r w:rsidR="00B91B90">
        <w:rPr>
          <w:rFonts w:hint="cs"/>
          <w:rtl/>
        </w:rPr>
        <w:t>הוא נבדל ונקי לחלוטין מהעול</w:t>
      </w:r>
      <w:r w:rsidR="00BB4540">
        <w:rPr>
          <w:rFonts w:hint="cs"/>
          <w:rtl/>
        </w:rPr>
        <w:t>ם,</w:t>
      </w:r>
      <w:r w:rsidR="00B91B90">
        <w:rPr>
          <w:rFonts w:hint="cs"/>
          <w:rtl/>
        </w:rPr>
        <w:t xml:space="preserve"> אז אינו צורה כלל ואינו נגלה כלל ולפי צד זה א</w:t>
      </w:r>
      <w:r w:rsidR="00BB4540">
        <w:rPr>
          <w:rFonts w:hint="cs"/>
          <w:rtl/>
        </w:rPr>
        <w:t>י</w:t>
      </w:r>
      <w:r w:rsidR="00B91B90">
        <w:rPr>
          <w:rFonts w:hint="cs"/>
          <w:rtl/>
        </w:rPr>
        <w:t>ן נבראים כל</w:t>
      </w:r>
      <w:r w:rsidR="00BB4540">
        <w:rPr>
          <w:rFonts w:hint="cs"/>
          <w:rtl/>
        </w:rPr>
        <w:t>ל</w:t>
      </w:r>
      <w:r w:rsidR="00B91B90">
        <w:rPr>
          <w:rFonts w:hint="cs"/>
          <w:rtl/>
        </w:rPr>
        <w:t xml:space="preserve"> </w:t>
      </w:r>
      <w:r w:rsidR="00BB4540">
        <w:rPr>
          <w:rFonts w:hint="cs"/>
          <w:rtl/>
        </w:rPr>
        <w:t>והארכתי בזה בהרבה מקומות)</w:t>
      </w:r>
      <w:r>
        <w:rPr>
          <w:rFonts w:hint="cs"/>
          <w:rtl/>
        </w:rPr>
        <w:t xml:space="preserve">. </w:t>
      </w:r>
      <w:r w:rsidR="008658D6">
        <w:rPr>
          <w:rFonts w:hint="cs"/>
          <w:rtl/>
        </w:rPr>
        <w:t xml:space="preserve">צורת </w:t>
      </w:r>
      <w:r w:rsidR="00100922">
        <w:rPr>
          <w:rFonts w:hint="cs"/>
          <w:rtl/>
        </w:rPr>
        <w:t>'</w:t>
      </w:r>
      <w:r w:rsidR="008658D6">
        <w:rPr>
          <w:rFonts w:hint="cs"/>
          <w:rtl/>
        </w:rPr>
        <w:t>חי</w:t>
      </w:r>
      <w:r w:rsidR="00100922">
        <w:rPr>
          <w:rFonts w:hint="cs"/>
          <w:rtl/>
        </w:rPr>
        <w:t>' היא</w:t>
      </w:r>
      <w:r w:rsidR="008658D6">
        <w:rPr>
          <w:rFonts w:hint="cs"/>
          <w:rtl/>
        </w:rPr>
        <w:t xml:space="preserve"> מופשטת כמו הבורא עצמו</w:t>
      </w:r>
      <w:r w:rsidR="007570BC">
        <w:rPr>
          <w:rFonts w:hint="cs"/>
          <w:rtl/>
        </w:rPr>
        <w:t>,</w:t>
      </w:r>
      <w:r w:rsidR="008658D6">
        <w:rPr>
          <w:rFonts w:hint="cs"/>
          <w:rtl/>
        </w:rPr>
        <w:t xml:space="preserve"> אין שום הגדרה ל'חיים' עצמם (יש הגדרה </w:t>
      </w:r>
      <w:r w:rsidR="0055525C">
        <w:rPr>
          <w:rFonts w:hint="cs"/>
          <w:rtl/>
        </w:rPr>
        <w:t>שמבדילה</w:t>
      </w:r>
      <w:r w:rsidR="008658D6">
        <w:rPr>
          <w:rFonts w:hint="cs"/>
          <w:rtl/>
        </w:rPr>
        <w:t xml:space="preserve"> בין חי צומח ודומם, </w:t>
      </w:r>
      <w:r w:rsidR="0055525C">
        <w:rPr>
          <w:rFonts w:hint="cs"/>
          <w:rtl/>
        </w:rPr>
        <w:t xml:space="preserve">אבל אלה הן צורות של חיים, כי כל המציאות חיה </w:t>
      </w:r>
      <w:r w:rsidR="00D84B96">
        <w:rPr>
          <w:rFonts w:hint="cs"/>
          <w:rtl/>
        </w:rPr>
        <w:t xml:space="preserve">בחיים אחדים </w:t>
      </w:r>
      <w:r w:rsidR="0055525C">
        <w:rPr>
          <w:rFonts w:hint="cs"/>
          <w:rtl/>
        </w:rPr>
        <w:t xml:space="preserve">כמו שכתב במורה נבוכים א' ע"ב). </w:t>
      </w:r>
      <w:r w:rsidR="007570BC">
        <w:rPr>
          <w:rFonts w:hint="cs"/>
          <w:rtl/>
        </w:rPr>
        <w:t xml:space="preserve">אמנם מה שצורת 'חי' מתממשת בסוס כלב אדם וכן הלאה, </w:t>
      </w:r>
      <w:r w:rsidR="00BC746E">
        <w:rPr>
          <w:rFonts w:hint="cs"/>
          <w:rtl/>
        </w:rPr>
        <w:t xml:space="preserve">יש לשאול על זה </w:t>
      </w:r>
      <w:r w:rsidR="007570BC">
        <w:rPr>
          <w:rFonts w:hint="cs"/>
          <w:rtl/>
        </w:rPr>
        <w:t>מניין נולדת צורת 'סוס' במובחן מצורת חמור</w:t>
      </w:r>
      <w:r w:rsidR="00100922">
        <w:rPr>
          <w:rFonts w:hint="cs"/>
          <w:rtl/>
        </w:rPr>
        <w:t>, הרי אין בבורא צורת סוס או חמור</w:t>
      </w:r>
      <w:r w:rsidR="00F54B4B">
        <w:rPr>
          <w:rFonts w:hint="cs"/>
          <w:rtl/>
        </w:rPr>
        <w:t>, ו</w:t>
      </w:r>
      <w:r w:rsidR="00100922">
        <w:rPr>
          <w:rFonts w:hint="cs"/>
          <w:rtl/>
        </w:rPr>
        <w:t>הכל הוא מציאותו</w:t>
      </w:r>
      <w:r w:rsidR="00F54B4B">
        <w:rPr>
          <w:rFonts w:hint="cs"/>
          <w:rtl/>
        </w:rPr>
        <w:t xml:space="preserve"> בלבד</w:t>
      </w:r>
      <w:r w:rsidR="00100922">
        <w:rPr>
          <w:rFonts w:hint="cs"/>
          <w:rtl/>
        </w:rPr>
        <w:t xml:space="preserve"> וכ</w:t>
      </w:r>
      <w:r w:rsidR="00F54B4B">
        <w:rPr>
          <w:rFonts w:hint="cs"/>
          <w:rtl/>
        </w:rPr>
        <w:t>ל</w:t>
      </w:r>
      <w:r w:rsidR="00100922">
        <w:rPr>
          <w:rFonts w:hint="cs"/>
          <w:rtl/>
        </w:rPr>
        <w:t xml:space="preserve"> הצורות הן מכח שהכל מציאותו והן תאריו שהם הוא עצמו</w:t>
      </w:r>
      <w:r w:rsidR="005279DF">
        <w:rPr>
          <w:rFonts w:hint="cs"/>
          <w:rtl/>
        </w:rPr>
        <w:t>, ויש לו תואר 'חי' אבל אין לו תואר 'סוס'</w:t>
      </w:r>
      <w:r w:rsidR="00F54B4B">
        <w:rPr>
          <w:rFonts w:hint="cs"/>
          <w:rtl/>
        </w:rPr>
        <w:t>.</w:t>
      </w:r>
      <w:r w:rsidR="00034614">
        <w:rPr>
          <w:rFonts w:hint="cs"/>
          <w:rtl/>
        </w:rPr>
        <w:t xml:space="preserve"> </w:t>
      </w:r>
    </w:p>
    <w:p w14:paraId="5E93E2B2" w14:textId="58D6B0A6" w:rsidR="00F001C4" w:rsidRDefault="00F001C4" w:rsidP="00A44113">
      <w:pPr>
        <w:pStyle w:val="FootnoteText"/>
        <w:rPr>
          <w:rtl/>
        </w:rPr>
      </w:pPr>
      <w:r>
        <w:rPr>
          <w:rFonts w:hint="cs"/>
          <w:rtl/>
        </w:rPr>
        <w:t xml:space="preserve">התשובה לזה היא שבגלל שינויי מזג החומר, </w:t>
      </w:r>
      <w:r w:rsidR="00064885">
        <w:rPr>
          <w:rFonts w:hint="cs"/>
          <w:rtl/>
        </w:rPr>
        <w:t xml:space="preserve">צורת 'חי' מצטיירת בחומר בדרכים </w:t>
      </w:r>
      <w:r w:rsidR="005279DF">
        <w:rPr>
          <w:rFonts w:hint="cs"/>
          <w:rtl/>
        </w:rPr>
        <w:t>חלקיות ו</w:t>
      </w:r>
      <w:r w:rsidR="00064885">
        <w:rPr>
          <w:rFonts w:hint="cs"/>
          <w:rtl/>
        </w:rPr>
        <w:t xml:space="preserve">שונות. </w:t>
      </w:r>
      <w:r w:rsidR="00BC746E">
        <w:rPr>
          <w:rFonts w:hint="cs"/>
          <w:rtl/>
        </w:rPr>
        <w:t xml:space="preserve">מצד הצורה </w:t>
      </w:r>
      <w:r w:rsidR="00F44B7D">
        <w:rPr>
          <w:rFonts w:hint="cs"/>
          <w:rtl/>
        </w:rPr>
        <w:t xml:space="preserve">באמת כולן אחד, מי שמתבונן בסוס מגיע לתפישה בצורת 'חי' הכללית שמקיפה את כל החי והיא השגת הבורא. </w:t>
      </w:r>
      <w:r w:rsidR="00092919">
        <w:rPr>
          <w:rFonts w:hint="cs"/>
          <w:rtl/>
        </w:rPr>
        <w:t>זה מה שכתב הרמב"ם בהלכות יסודי התורה</w:t>
      </w:r>
      <w:r w:rsidR="00EE6F73">
        <w:t xml:space="preserve"> </w:t>
      </w:r>
      <w:r w:rsidR="00DC6AED">
        <w:rPr>
          <w:rFonts w:hint="cs"/>
          <w:rtl/>
        </w:rPr>
        <w:t xml:space="preserve"> ד' ז'</w:t>
      </w:r>
      <w:r w:rsidR="00092919">
        <w:rPr>
          <w:rFonts w:hint="cs"/>
          <w:rtl/>
        </w:rPr>
        <w:t>:</w:t>
      </w:r>
    </w:p>
    <w:p w14:paraId="20EBE1DC" w14:textId="6AD31B22" w:rsidR="00092919" w:rsidRDefault="00092919" w:rsidP="00A44113">
      <w:pPr>
        <w:pStyle w:val="FootnoteText"/>
        <w:rPr>
          <w:rtl/>
        </w:rPr>
      </w:pPr>
      <w:r>
        <w:rPr>
          <w:rFonts w:hint="cs"/>
          <w:rtl/>
        </w:rPr>
        <w:t>"</w:t>
      </w:r>
      <w:r w:rsidR="00EE6F73" w:rsidRPr="00EE6F73">
        <w:rPr>
          <w:rtl/>
        </w:rPr>
        <w:t>לעולם אין אתה רואה גולם בלא צורה או צורה בלא גולם</w:t>
      </w:r>
      <w:r w:rsidR="00DC6AED">
        <w:rPr>
          <w:rFonts w:hint="cs"/>
          <w:rtl/>
        </w:rPr>
        <w:t>,</w:t>
      </w:r>
      <w:r w:rsidR="00EE6F73" w:rsidRPr="00EE6F73">
        <w:rPr>
          <w:rtl/>
        </w:rPr>
        <w:t xml:space="preserve"> אלא לב האדם הוא שמחלק גוף הנמצא בדעתו ויודע שהוא מחובר מגולם וצורה </w:t>
      </w:r>
      <w:r w:rsidR="00DC6AED">
        <w:rPr>
          <w:rFonts w:hint="cs"/>
          <w:rtl/>
        </w:rPr>
        <w:t>[...]</w:t>
      </w:r>
      <w:r w:rsidR="00EE6F73" w:rsidRPr="00EE6F73">
        <w:rPr>
          <w:rtl/>
        </w:rPr>
        <w:t xml:space="preserve"> והצורות שאין להם גולם אינן נראין לעין אלא בעין הלב הן ידועין כמו שידענו אדון הכל בלא ראיית עין.</w:t>
      </w:r>
      <w:r>
        <w:rPr>
          <w:rFonts w:hint="cs"/>
          <w:rtl/>
        </w:rPr>
        <w:t>"</w:t>
      </w:r>
    </w:p>
    <w:p w14:paraId="4E862602" w14:textId="77777777" w:rsidR="007D4291" w:rsidRDefault="00407D84" w:rsidP="00A44113">
      <w:pPr>
        <w:pStyle w:val="FootnoteText"/>
        <w:rPr>
          <w:rtl/>
        </w:rPr>
      </w:pPr>
      <w:r>
        <w:rPr>
          <w:rFonts w:hint="cs"/>
          <w:rtl/>
        </w:rPr>
        <w:t>אדם מתבונן בסוס, ו</w:t>
      </w:r>
      <w:r w:rsidR="00860372">
        <w:rPr>
          <w:rFonts w:hint="cs"/>
          <w:rtl/>
        </w:rPr>
        <w:t>ליבו</w:t>
      </w:r>
      <w:r>
        <w:rPr>
          <w:rFonts w:hint="cs"/>
          <w:rtl/>
        </w:rPr>
        <w:t xml:space="preserve"> מחלק בדעתו שיש בסוס חומר וצורה, </w:t>
      </w:r>
      <w:r w:rsidR="007F0124">
        <w:rPr>
          <w:rFonts w:hint="cs"/>
          <w:rtl/>
        </w:rPr>
        <w:t xml:space="preserve">ואם הוא זוכה להשיג את הצורה לחוד, היא </w:t>
      </w:r>
      <w:r w:rsidR="002D5193">
        <w:rPr>
          <w:rFonts w:hint="cs"/>
          <w:rtl/>
        </w:rPr>
        <w:t>נפרדת מהיותה צורת 'סוס' דווקא, שהרי החילוק בין סוס לכל שאר בעלי החיים הוא מצד החומר בלבד, ו</w:t>
      </w:r>
      <w:r w:rsidR="00A05C9D">
        <w:rPr>
          <w:rFonts w:hint="cs"/>
          <w:rtl/>
        </w:rPr>
        <w:t>אחרי שלב</w:t>
      </w:r>
      <w:r w:rsidR="00B415EF">
        <w:rPr>
          <w:rFonts w:hint="cs"/>
          <w:rtl/>
        </w:rPr>
        <w:t xml:space="preserve"> האדם מחלק</w:t>
      </w:r>
      <w:r w:rsidR="00736B92">
        <w:rPr>
          <w:rFonts w:hint="cs"/>
          <w:rtl/>
        </w:rPr>
        <w:t xml:space="preserve"> </w:t>
      </w:r>
      <w:r w:rsidR="00B415EF">
        <w:rPr>
          <w:rFonts w:hint="cs"/>
          <w:rtl/>
        </w:rPr>
        <w:t>ומפריד את החומר</w:t>
      </w:r>
      <w:r w:rsidR="00A05C9D">
        <w:rPr>
          <w:rFonts w:hint="cs"/>
          <w:rtl/>
        </w:rPr>
        <w:t xml:space="preserve"> </w:t>
      </w:r>
      <w:r w:rsidR="00736B92">
        <w:rPr>
          <w:rFonts w:hint="cs"/>
          <w:rtl/>
        </w:rPr>
        <w:t xml:space="preserve">ומשיג את הצורה ללא החומר, </w:t>
      </w:r>
      <w:r w:rsidR="002D5193">
        <w:rPr>
          <w:rFonts w:hint="cs"/>
          <w:rtl/>
        </w:rPr>
        <w:t xml:space="preserve">היא מושגת כצורת 'חי' בלבד, צורה מופשטת שיש בה השגת דעת אלוהים. </w:t>
      </w:r>
      <w:r w:rsidR="00226FB9">
        <w:rPr>
          <w:rFonts w:hint="cs"/>
          <w:rtl/>
        </w:rPr>
        <w:t>לשם כך יש הכרח לדעת את מה שגורם שצורת הסוס תהיה שונה מצורת ה</w:t>
      </w:r>
      <w:r w:rsidR="00B20177">
        <w:rPr>
          <w:rFonts w:hint="cs"/>
          <w:rtl/>
        </w:rPr>
        <w:t>כלב</w:t>
      </w:r>
      <w:r w:rsidR="00226FB9">
        <w:rPr>
          <w:rFonts w:hint="cs"/>
          <w:rtl/>
        </w:rPr>
        <w:t>, אם לא תופשים שזה נובע מהחומר, ואיך זה נובע מהחומר, לא יכולים ל</w:t>
      </w:r>
      <w:r w:rsidR="00462FF6">
        <w:rPr>
          <w:rFonts w:hint="cs"/>
          <w:rtl/>
        </w:rPr>
        <w:t>התעלות מעל השגת החומר ו</w:t>
      </w:r>
      <w:r w:rsidR="00226FB9">
        <w:rPr>
          <w:rFonts w:hint="cs"/>
          <w:rtl/>
        </w:rPr>
        <w:t xml:space="preserve">להשיג שכל ה'חי' צורתו </w:t>
      </w:r>
      <w:r w:rsidR="00462FF6">
        <w:rPr>
          <w:rFonts w:hint="cs"/>
          <w:rtl/>
        </w:rPr>
        <w:t>אחת ו</w:t>
      </w:r>
      <w:r w:rsidR="00226FB9">
        <w:rPr>
          <w:rFonts w:hint="cs"/>
          <w:rtl/>
        </w:rPr>
        <w:t>היא החיי</w:t>
      </w:r>
      <w:r w:rsidR="00462FF6">
        <w:rPr>
          <w:rFonts w:hint="cs"/>
          <w:rtl/>
        </w:rPr>
        <w:t>ם</w:t>
      </w:r>
      <w:r w:rsidR="00226FB9">
        <w:rPr>
          <w:rFonts w:hint="cs"/>
          <w:rtl/>
        </w:rPr>
        <w:t xml:space="preserve"> המופשטים</w:t>
      </w:r>
      <w:r w:rsidR="00462FF6">
        <w:rPr>
          <w:rFonts w:hint="cs"/>
          <w:rtl/>
        </w:rPr>
        <w:t xml:space="preserve">, </w:t>
      </w:r>
      <w:r w:rsidR="00B20177">
        <w:rPr>
          <w:rFonts w:hint="cs"/>
          <w:rtl/>
        </w:rPr>
        <w:t>דהיינו</w:t>
      </w:r>
      <w:r w:rsidR="00462FF6">
        <w:rPr>
          <w:rFonts w:hint="cs"/>
          <w:rtl/>
        </w:rPr>
        <w:t xml:space="preserve"> הבורא</w:t>
      </w:r>
      <w:r w:rsidR="00B20177">
        <w:rPr>
          <w:rFonts w:hint="cs"/>
          <w:rtl/>
        </w:rPr>
        <w:t>, שהוא תאריו ותאריו הוא (כמו שכתב בש</w:t>
      </w:r>
      <w:r w:rsidR="007D4291">
        <w:rPr>
          <w:rFonts w:hint="cs"/>
          <w:rtl/>
        </w:rPr>
        <w:t>מ</w:t>
      </w:r>
      <w:r w:rsidR="00B20177">
        <w:rPr>
          <w:rFonts w:hint="cs"/>
          <w:rtl/>
        </w:rPr>
        <w:t>ונה פרקים פרק ח' ובמורה נבוכים א' נ"ג</w:t>
      </w:r>
      <w:r w:rsidR="007D4291">
        <w:rPr>
          <w:rFonts w:hint="cs"/>
          <w:rtl/>
        </w:rPr>
        <w:t>)</w:t>
      </w:r>
      <w:r w:rsidR="00226FB9">
        <w:rPr>
          <w:rFonts w:hint="cs"/>
          <w:rtl/>
        </w:rPr>
        <w:t>.</w:t>
      </w:r>
    </w:p>
    <w:p w14:paraId="5762BC6E" w14:textId="795DBA80" w:rsidR="00407D84" w:rsidRDefault="007D4291" w:rsidP="00A44113">
      <w:pPr>
        <w:pStyle w:val="FootnoteText"/>
        <w:rPr>
          <w:rtl/>
        </w:rPr>
      </w:pPr>
      <w:r>
        <w:rPr>
          <w:rFonts w:hint="cs"/>
          <w:rtl/>
        </w:rPr>
        <w:t>זה הביאור במה ש</w:t>
      </w:r>
      <w:r w:rsidR="00672FE5">
        <w:rPr>
          <w:rFonts w:hint="cs"/>
          <w:rtl/>
        </w:rPr>
        <w:t>מדוב</w:t>
      </w:r>
      <w:r>
        <w:rPr>
          <w:rFonts w:hint="cs"/>
          <w:rtl/>
        </w:rPr>
        <w:t xml:space="preserve">ר בהרבה מקומות על </w:t>
      </w:r>
      <w:r w:rsidR="00672FE5">
        <w:rPr>
          <w:rFonts w:hint="cs"/>
          <w:rtl/>
        </w:rPr>
        <w:t>"</w:t>
      </w:r>
      <w:r>
        <w:rPr>
          <w:rFonts w:hint="cs"/>
          <w:rtl/>
        </w:rPr>
        <w:t>השגת המושכלות</w:t>
      </w:r>
      <w:r w:rsidR="0004083C">
        <w:rPr>
          <w:rtl/>
        </w:rPr>
        <w:fldChar w:fldCharType="begin"/>
      </w:r>
      <w:r w:rsidR="0004083C">
        <w:instrText xml:space="preserve"> XE "</w:instrText>
      </w:r>
      <w:r w:rsidR="0004083C" w:rsidRPr="009F7713">
        <w:rPr>
          <w:rFonts w:hint="cs"/>
          <w:rtl/>
        </w:rPr>
        <w:instrText xml:space="preserve">המושכלות - מה היא </w:instrText>
      </w:r>
      <w:r w:rsidR="0004083C">
        <w:rPr>
          <w:b/>
          <w:bCs/>
          <w:sz w:val="20"/>
          <w:szCs w:val="20"/>
        </w:rPr>
        <w:instrText>\</w:instrText>
      </w:r>
      <w:r w:rsidR="0004083C" w:rsidRPr="009F7713">
        <w:rPr>
          <w:rFonts w:hint="cs"/>
          <w:rtl/>
        </w:rPr>
        <w:instrText>"השגת המושכלות</w:instrText>
      </w:r>
      <w:r w:rsidR="0004083C">
        <w:rPr>
          <w:b/>
          <w:bCs/>
          <w:sz w:val="20"/>
          <w:szCs w:val="20"/>
        </w:rPr>
        <w:instrText>\</w:instrText>
      </w:r>
      <w:r w:rsidR="0004083C" w:rsidRPr="009F7713">
        <w:rPr>
          <w:rFonts w:hint="cs"/>
          <w:rtl/>
        </w:rPr>
        <w:instrText>"</w:instrText>
      </w:r>
      <w:r w:rsidR="0004083C">
        <w:instrText xml:space="preserve">" </w:instrText>
      </w:r>
      <w:r w:rsidR="0004083C">
        <w:rPr>
          <w:rtl/>
        </w:rPr>
        <w:fldChar w:fldCharType="end"/>
      </w:r>
      <w:r w:rsidR="00672FE5">
        <w:rPr>
          <w:rFonts w:hint="cs"/>
          <w:rtl/>
        </w:rPr>
        <w:t>"</w:t>
      </w:r>
      <w:r>
        <w:rPr>
          <w:rFonts w:hint="cs"/>
          <w:rtl/>
        </w:rPr>
        <w:t xml:space="preserve">. </w:t>
      </w:r>
      <w:r w:rsidR="00B87546">
        <w:rPr>
          <w:rFonts w:hint="cs"/>
          <w:rtl/>
        </w:rPr>
        <w:t xml:space="preserve">הצורה כמו שנתפשת בגוף החומרי, אחרי שהחומר הגביל אותה להצטייר דווקא באופן </w:t>
      </w:r>
      <w:r w:rsidR="009C463A">
        <w:rPr>
          <w:rFonts w:hint="cs"/>
          <w:rtl/>
        </w:rPr>
        <w:t>מסוים</w:t>
      </w:r>
      <w:r w:rsidR="00B87546">
        <w:rPr>
          <w:rFonts w:hint="cs"/>
          <w:rtl/>
        </w:rPr>
        <w:t>, כ</w:t>
      </w:r>
      <w:r w:rsidR="00B51D7E">
        <w:rPr>
          <w:rFonts w:hint="cs"/>
          <w:rtl/>
        </w:rPr>
        <w:t>גון</w:t>
      </w:r>
      <w:r w:rsidR="00B87546">
        <w:rPr>
          <w:rFonts w:hint="cs"/>
          <w:rtl/>
        </w:rPr>
        <w:t xml:space="preserve"> שהגביל את צורת ה'חי' ל</w:t>
      </w:r>
      <w:r w:rsidR="00672FE5">
        <w:rPr>
          <w:rFonts w:hint="cs"/>
          <w:rtl/>
        </w:rPr>
        <w:t xml:space="preserve">הצטייר דווקא כסוס, </w:t>
      </w:r>
      <w:r w:rsidR="00043AC0">
        <w:rPr>
          <w:rFonts w:hint="cs"/>
          <w:rtl/>
        </w:rPr>
        <w:t>מונח בה</w:t>
      </w:r>
      <w:r w:rsidR="00672FE5">
        <w:rPr>
          <w:rFonts w:hint="cs"/>
          <w:rtl/>
        </w:rPr>
        <w:t xml:space="preserve"> המושכל. </w:t>
      </w:r>
      <w:r w:rsidR="00814A02">
        <w:rPr>
          <w:rFonts w:hint="cs"/>
          <w:rtl/>
        </w:rPr>
        <w:t>לב האדם שמחלק את הסוס לחומר וצורה</w:t>
      </w:r>
      <w:r w:rsidR="00043AC0">
        <w:rPr>
          <w:rFonts w:hint="cs"/>
          <w:rtl/>
        </w:rPr>
        <w:t>,</w:t>
      </w:r>
      <w:r w:rsidR="00814A02">
        <w:rPr>
          <w:rFonts w:hint="cs"/>
          <w:rtl/>
        </w:rPr>
        <w:t xml:space="preserve"> משכיל</w:t>
      </w:r>
      <w:r w:rsidR="00043AC0">
        <w:rPr>
          <w:rFonts w:hint="cs"/>
          <w:rtl/>
        </w:rPr>
        <w:t xml:space="preserve"> על ידי חלוקה זו</w:t>
      </w:r>
      <w:r w:rsidR="00814A02">
        <w:rPr>
          <w:rFonts w:hint="cs"/>
          <w:rtl/>
        </w:rPr>
        <w:t xml:space="preserve"> את </w:t>
      </w:r>
      <w:r w:rsidR="00B51D7E">
        <w:rPr>
          <w:rFonts w:hint="cs"/>
          <w:rtl/>
        </w:rPr>
        <w:t>ה</w:t>
      </w:r>
      <w:r w:rsidR="00814A02">
        <w:rPr>
          <w:rFonts w:hint="cs"/>
          <w:rtl/>
        </w:rPr>
        <w:t>צורה</w:t>
      </w:r>
      <w:r w:rsidR="001C28B9">
        <w:rPr>
          <w:rFonts w:hint="cs"/>
          <w:rtl/>
        </w:rPr>
        <w:t xml:space="preserve"> המופשטת</w:t>
      </w:r>
      <w:r w:rsidR="00814A02">
        <w:rPr>
          <w:rFonts w:hint="cs"/>
          <w:rtl/>
        </w:rPr>
        <w:t xml:space="preserve"> שבסוס</w:t>
      </w:r>
      <w:r w:rsidR="00B51D7E">
        <w:rPr>
          <w:rFonts w:hint="cs"/>
          <w:rtl/>
        </w:rPr>
        <w:t xml:space="preserve">, כלומר </w:t>
      </w:r>
      <w:r w:rsidR="00D457C0">
        <w:rPr>
          <w:rFonts w:hint="cs"/>
          <w:rtl/>
        </w:rPr>
        <w:t xml:space="preserve">את החיים כהשגה כללית אחת, ופעולה זו היא שנקראת השגת המושכלות והיא זו שמדבקת את האדם בבוראו. </w:t>
      </w:r>
      <w:r w:rsidR="00AD2200">
        <w:rPr>
          <w:rFonts w:hint="cs"/>
          <w:rtl/>
        </w:rPr>
        <w:t>החלוקה של חומר וצורה היא עמל לימודי גדול בחכמת הטבע, שמתבונן בחומ</w:t>
      </w:r>
      <w:r w:rsidR="00621694">
        <w:rPr>
          <w:rFonts w:hint="cs"/>
          <w:rtl/>
        </w:rPr>
        <w:t>ר. יש הכרח להתבונן בחומר כדי להשיג איך הוא מסתיר את האחדות של הצורה הכללית של חיים, ואיך היא נשקפת מבעד ל</w:t>
      </w:r>
      <w:r w:rsidR="000700CF">
        <w:rPr>
          <w:rFonts w:hint="cs"/>
          <w:rtl/>
        </w:rPr>
        <w:t>מחיצת ה</w:t>
      </w:r>
      <w:r w:rsidR="005C7E37">
        <w:rPr>
          <w:rFonts w:hint="cs"/>
          <w:rtl/>
        </w:rPr>
        <w:t>חומר באחדותה</w:t>
      </w:r>
      <w:r w:rsidR="000700CF">
        <w:rPr>
          <w:rFonts w:hint="cs"/>
          <w:rtl/>
        </w:rPr>
        <w:t xml:space="preserve"> ואורה</w:t>
      </w:r>
      <w:r w:rsidR="005C7E37">
        <w:rPr>
          <w:rFonts w:hint="cs"/>
          <w:rtl/>
        </w:rPr>
        <w:t xml:space="preserve">. </w:t>
      </w:r>
      <w:r w:rsidR="00AE56E9">
        <w:rPr>
          <w:rFonts w:hint="cs"/>
          <w:rtl/>
        </w:rPr>
        <w:t>לכן חכמת האלוהות העוסקת במופשט מותר לעסוק בה אך ורק אחרי העמל הראוי בחכמת הטבע.</w:t>
      </w:r>
    </w:p>
    <w:p w14:paraId="06B87F23" w14:textId="77777777" w:rsidR="00EE1500" w:rsidRDefault="001F494B" w:rsidP="00A44113">
      <w:pPr>
        <w:pStyle w:val="FootnoteText"/>
        <w:rPr>
          <w:rtl/>
        </w:rPr>
      </w:pPr>
      <w:r>
        <w:rPr>
          <w:rFonts w:hint="cs"/>
          <w:rtl/>
        </w:rPr>
        <w:t xml:space="preserve">צורת הסוס, מה שמגדיר את מינו, היא צורה נפרדת מצורת כלב, ובוודאי מצורת אדם. </w:t>
      </w:r>
      <w:r w:rsidR="00760C24">
        <w:rPr>
          <w:rFonts w:hint="cs"/>
          <w:rtl/>
        </w:rPr>
        <w:t xml:space="preserve">יש צורה שהיא צורת סוס. אמנם זה משום שהחומר של הסוס מצייר את הצורה כללית של </w:t>
      </w:r>
      <w:r w:rsidR="00F1035D">
        <w:rPr>
          <w:rFonts w:hint="cs"/>
          <w:rtl/>
        </w:rPr>
        <w:t xml:space="preserve">'חי' בציור חלקי, בגלל הכנתו שמשפיעה על יכולתו לקבל את ציור הצורה בו. </w:t>
      </w:r>
      <w:r w:rsidR="00FD4993">
        <w:rPr>
          <w:rFonts w:hint="cs"/>
          <w:rtl/>
        </w:rPr>
        <w:t xml:space="preserve">כמו שבאמת יש אור אדום ואור ירוק, אע"פ שבאמת מצד האור הכל הוא רק לבן, ושינויי הגוונים הם בגלל החומר שבולע חלק מהאור הלבן ומחזיר רק חלק ממנו. החלק הוא חלק מהאור, הוא לא החומר. כך גם צורת סוס היא בחינה בצורת 'חי' ואינה חומר. </w:t>
      </w:r>
      <w:r w:rsidR="00EE1500">
        <w:rPr>
          <w:rFonts w:hint="cs"/>
          <w:rtl/>
        </w:rPr>
        <w:t>רק שמה שמחלק את האור או הצורה לבחינות שונות הוא החומר.</w:t>
      </w:r>
    </w:p>
    <w:p w14:paraId="7CF42271" w14:textId="77777777" w:rsidR="009305C8" w:rsidRDefault="00C025C5" w:rsidP="00A44113">
      <w:pPr>
        <w:pStyle w:val="FootnoteText"/>
        <w:rPr>
          <w:rtl/>
        </w:rPr>
      </w:pPr>
      <w:r>
        <w:rPr>
          <w:rFonts w:hint="cs"/>
          <w:rtl/>
        </w:rPr>
        <w:t>מ</w:t>
      </w:r>
      <w:r w:rsidR="00DE2D01">
        <w:rPr>
          <w:rFonts w:hint="cs"/>
          <w:rtl/>
        </w:rPr>
        <w:t>ה שהחומר מחלק את הצורות, זהו עניין בוצינא דקרדנו</w:t>
      </w:r>
      <w:r>
        <w:rPr>
          <w:rFonts w:hint="cs"/>
          <w:rtl/>
        </w:rPr>
        <w:t>ת</w:t>
      </w:r>
      <w:r w:rsidR="00DE2D01">
        <w:rPr>
          <w:rFonts w:hint="cs"/>
          <w:rtl/>
        </w:rPr>
        <w:t xml:space="preserve">א שנאמר בתחילת </w:t>
      </w:r>
      <w:r>
        <w:rPr>
          <w:rFonts w:hint="cs"/>
          <w:rtl/>
        </w:rPr>
        <w:t>ספר הזוהר על בראשית</w:t>
      </w:r>
      <w:r w:rsidR="00D40775">
        <w:rPr>
          <w:rFonts w:hint="cs"/>
          <w:rtl/>
        </w:rPr>
        <w:t>, וזהו עניין בטישה המוזכר שם בכמה מקומות</w:t>
      </w:r>
      <w:r>
        <w:rPr>
          <w:rFonts w:hint="cs"/>
          <w:rtl/>
        </w:rPr>
        <w:t xml:space="preserve">. </w:t>
      </w:r>
      <w:r w:rsidR="00C85A95">
        <w:rPr>
          <w:rFonts w:hint="cs"/>
          <w:rtl/>
        </w:rPr>
        <w:t xml:space="preserve">בוצינא דקרדנותא פירושו האור החשוך, כי </w:t>
      </w:r>
      <w:r w:rsidR="007F76DC">
        <w:rPr>
          <w:rFonts w:hint="cs"/>
          <w:rtl/>
        </w:rPr>
        <w:t xml:space="preserve">חלוקת הצורות על ידי החומר מחשיכה את אור האחדות שבצורה הכללית העליונה, אבל היא גם </w:t>
      </w:r>
      <w:r w:rsidR="00E51DB5">
        <w:rPr>
          <w:rFonts w:hint="cs"/>
          <w:rtl/>
        </w:rPr>
        <w:t xml:space="preserve">מוציאה לפועל את האור הזה, כי בלי הכלי אין מציאות לאור. </w:t>
      </w:r>
      <w:r w:rsidR="004F6C8C">
        <w:rPr>
          <w:rFonts w:hint="cs"/>
          <w:rtl/>
        </w:rPr>
        <w:t>בטישה היא מכה ששוברת את האחד לריבוי</w:t>
      </w:r>
      <w:r w:rsidR="00691C9B">
        <w:rPr>
          <w:rFonts w:hint="cs"/>
          <w:rtl/>
        </w:rPr>
        <w:t xml:space="preserve">, וזה שייך בהרבה בחינות כמו שמבואר בזוהר. </w:t>
      </w:r>
    </w:p>
    <w:p w14:paraId="2A64B00E" w14:textId="3BB77527" w:rsidR="00D91A66" w:rsidRDefault="00B3071F" w:rsidP="00A44113">
      <w:pPr>
        <w:pStyle w:val="FootnoteText"/>
        <w:rPr>
          <w:rtl/>
        </w:rPr>
      </w:pPr>
      <w:r>
        <w:rPr>
          <w:rFonts w:hint="cs"/>
          <w:rtl/>
        </w:rPr>
        <w:t>ועיין גם</w:t>
      </w:r>
      <w:r w:rsidR="00E97D91">
        <w:rPr>
          <w:rFonts w:hint="cs"/>
          <w:rtl/>
        </w:rPr>
        <w:t xml:space="preserve"> מטאפיזיקה </w:t>
      </w:r>
      <w:r w:rsidR="00956A8A">
        <w:rPr>
          <w:rFonts w:hint="cs"/>
          <w:rtl/>
        </w:rPr>
        <w:t xml:space="preserve">ספר </w:t>
      </w:r>
      <w:r w:rsidR="00E97D91">
        <w:rPr>
          <w:rFonts w:hint="cs"/>
          <w:rtl/>
        </w:rPr>
        <w:t xml:space="preserve">א' </w:t>
      </w:r>
      <w:r w:rsidR="00956A8A">
        <w:rPr>
          <w:rFonts w:hint="cs"/>
          <w:rtl/>
        </w:rPr>
        <w:t xml:space="preserve">פרק </w:t>
      </w:r>
      <w:r w:rsidR="00781B4E">
        <w:rPr>
          <w:rFonts w:hint="cs"/>
          <w:rtl/>
        </w:rPr>
        <w:t>ו'</w:t>
      </w:r>
      <w:r w:rsidR="00956A8A">
        <w:rPr>
          <w:rFonts w:hint="cs"/>
          <w:rtl/>
        </w:rPr>
        <w:t xml:space="preserve"> (וגם שם בסוף פרק ה')</w:t>
      </w:r>
      <w:r w:rsidR="00781B4E">
        <w:rPr>
          <w:rFonts w:hint="cs"/>
          <w:rtl/>
        </w:rPr>
        <w:t>,</w:t>
      </w:r>
      <w:r>
        <w:rPr>
          <w:rFonts w:hint="cs"/>
          <w:rtl/>
        </w:rPr>
        <w:t xml:space="preserve"> מטאפיזיקה מ'</w:t>
      </w:r>
      <w:r w:rsidR="0008509A">
        <w:t xml:space="preserve"> </w:t>
      </w:r>
      <w:r w:rsidR="00FE3C42">
        <w:rPr>
          <w:rFonts w:hint="cs"/>
          <w:rtl/>
        </w:rPr>
        <w:t>סוף פרק ו'</w:t>
      </w:r>
      <w:r>
        <w:rPr>
          <w:rFonts w:hint="cs"/>
          <w:rtl/>
        </w:rPr>
        <w:t xml:space="preserve"> </w:t>
      </w:r>
      <w:r w:rsidRPr="00B3071F">
        <w:rPr>
          <w:rtl/>
        </w:rPr>
        <w:t>1081</w:t>
      </w:r>
      <w:r w:rsidR="00A65366">
        <w:rPr>
          <w:rFonts w:hint="cs"/>
          <w:rtl/>
        </w:rPr>
        <w:t>א</w:t>
      </w:r>
      <w:r w:rsidR="00FE3E6F">
        <w:rPr>
          <w:rFonts w:hint="cs"/>
          <w:rtl/>
        </w:rPr>
        <w:t>,</w:t>
      </w:r>
      <w:r w:rsidR="007E62F7">
        <w:rPr>
          <w:rFonts w:hint="cs"/>
          <w:rtl/>
        </w:rPr>
        <w:t xml:space="preserve"> מטאפיזיקה נ' </w:t>
      </w:r>
      <w:r w:rsidR="00B95D9C">
        <w:rPr>
          <w:rFonts w:hint="cs"/>
          <w:rtl/>
        </w:rPr>
        <w:t>1090ב משורה 33, ועוד הרבה</w:t>
      </w:r>
      <w:r w:rsidR="0024781C">
        <w:rPr>
          <w:rFonts w:hint="cs"/>
          <w:rtl/>
        </w:rPr>
        <w:t>.</w:t>
      </w:r>
      <w:bookmarkEnd w:id="292"/>
      <w:r w:rsidR="0024781C">
        <w:rPr>
          <w:rFonts w:hint="cs"/>
          <w:rtl/>
        </w:rPr>
        <w:t xml:space="preserve"> </w:t>
      </w:r>
    </w:p>
    <w:p w14:paraId="1921F18F" w14:textId="77777777" w:rsidR="00FA0E6F" w:rsidRDefault="00FA0E6F" w:rsidP="00A44113">
      <w:pPr>
        <w:pStyle w:val="FootnoteText"/>
        <w:rPr>
          <w:rtl/>
        </w:rPr>
      </w:pPr>
    </w:p>
    <w:p w14:paraId="24AE12B9" w14:textId="0653F27B" w:rsidR="00FA0E6F" w:rsidRDefault="00FA0E6F" w:rsidP="00A44113">
      <w:pPr>
        <w:pStyle w:val="FootnoteText"/>
        <w:rPr>
          <w:rtl/>
        </w:rPr>
      </w:pPr>
      <w:r>
        <w:rPr>
          <w:rFonts w:hint="cs"/>
          <w:rtl/>
        </w:rPr>
        <w:t>"</w:t>
      </w:r>
      <w:r w:rsidR="00424024" w:rsidRPr="00424024">
        <w:rPr>
          <w:rtl/>
        </w:rPr>
        <w:t xml:space="preserve">אלא כדי שצורת המינים הטבעיים תשיג מציאות בטבע היא צריכה את מיני החומרים </w:t>
      </w:r>
      <w:r w:rsidR="009C463A" w:rsidRPr="00424024">
        <w:rPr>
          <w:rFonts w:hint="cs"/>
          <w:rtl/>
        </w:rPr>
        <w:t>המסוימים</w:t>
      </w:r>
      <w:r>
        <w:rPr>
          <w:rFonts w:hint="cs"/>
          <w:rtl/>
        </w:rPr>
        <w:t>"</w:t>
      </w:r>
    </w:p>
    <w:p w14:paraId="60479AFB" w14:textId="7765CDD3" w:rsidR="00FA0E6F" w:rsidRDefault="00752811" w:rsidP="00A44113">
      <w:pPr>
        <w:pStyle w:val="FootnoteText"/>
        <w:rPr>
          <w:rtl/>
        </w:rPr>
      </w:pPr>
      <w:r>
        <w:rPr>
          <w:rFonts w:hint="cs"/>
          <w:rtl/>
        </w:rPr>
        <w:t>כאמור יש צורה אחת, למשל 'חי', ומה שהיא מתחלקת למיני החי, כגון סוס וכלב, זה מצד החומר שיש חומר שהכנתו מגבילה אותו לקבל גילוי חלקי של 'חי' שהוא סוס</w:t>
      </w:r>
      <w:r w:rsidR="00ED03D3">
        <w:rPr>
          <w:rFonts w:hint="cs"/>
          <w:rtl/>
        </w:rPr>
        <w:t xml:space="preserve">, וחומר אחר הכנתו מגבילה אותו לקבל גילוי חלקי אחר של 'חי' ואז הוא כלב. </w:t>
      </w:r>
    </w:p>
    <w:p w14:paraId="1F670640" w14:textId="77777777" w:rsidR="00400801" w:rsidRDefault="00DC3C01" w:rsidP="00A44113">
      <w:pPr>
        <w:pStyle w:val="FootnoteText"/>
        <w:rPr>
          <w:rtl/>
        </w:rPr>
      </w:pPr>
      <w:r>
        <w:rPr>
          <w:rFonts w:hint="cs"/>
          <w:rtl/>
        </w:rPr>
        <w:t>יש שני אופנים שבהם החומר מקבל מכח הכנתו רק חלק מגילוי הצורה</w:t>
      </w:r>
      <w:r w:rsidR="00AC539D">
        <w:rPr>
          <w:rFonts w:hint="cs"/>
          <w:rtl/>
        </w:rPr>
        <w:t xml:space="preserve"> (כלומר החומר מסתיר חלק מהצורה ומגלה חלק ממנה. כמו שגוף אדם מחזיר רק את גלי האור האדומים ובולע את שאר הצבעים).</w:t>
      </w:r>
      <w:r>
        <w:rPr>
          <w:rFonts w:hint="cs"/>
          <w:rtl/>
        </w:rPr>
        <w:t xml:space="preserve"> </w:t>
      </w:r>
      <w:r w:rsidR="00961292">
        <w:rPr>
          <w:rFonts w:hint="cs"/>
          <w:rtl/>
        </w:rPr>
        <w:t xml:space="preserve">אופן אחד הוא מקרה, יש אדם שהכנת החומר שלו גורמת ששיערו יקבל צבע בהיר, ואדם אחר הכנת החומר שלו גורמת ששיערו יקבל צבע שחור. מקרה כזה לא מבדיל בין מינים. אופן אחר הוא הדבר המבדיל בין מין למין, הכנת החומר של סוס מסתירה חלק מצורת 'חי' ומגלה חלק, והחלקיות של הגילוי </w:t>
      </w:r>
      <w:r w:rsidR="00C37174">
        <w:rPr>
          <w:rFonts w:hint="cs"/>
          <w:rtl/>
        </w:rPr>
        <w:t xml:space="preserve">מגבילה את החי הכללי לצורת סוס, וחלקיות אחרת שנובעת מהכנת החומר גורמת שהחי יהיה כלב. זו הכנת חומר שגורמת להבדלת מין. </w:t>
      </w:r>
      <w:r w:rsidR="00884ED8">
        <w:rPr>
          <w:rFonts w:hint="cs"/>
          <w:rtl/>
        </w:rPr>
        <w:t xml:space="preserve">יש יותר משתי מדרגות בזה. יש מקרה כמו האם אדם כעת חולה או בריא, יש מקרה של צבע השיער, יש </w:t>
      </w:r>
      <w:r w:rsidR="00D450EF">
        <w:rPr>
          <w:rFonts w:hint="cs"/>
          <w:rtl/>
        </w:rPr>
        <w:t>מקרה כמו הצבע השחור של העורב, יש מקרה כמו מה שאדם צוחק, ויש "מקרה"</w:t>
      </w:r>
      <w:r w:rsidR="00D450EF">
        <w:rPr>
          <w:rFonts w:hint="cs"/>
        </w:rPr>
        <w:t xml:space="preserve"> </w:t>
      </w:r>
      <w:r w:rsidR="00D450EF">
        <w:rPr>
          <w:rFonts w:hint="cs"/>
          <w:rtl/>
        </w:rPr>
        <w:t>שכבר אינו מקרה אלא הוא המבדיל בין מין למין, והוא הגדרת העצם</w:t>
      </w:r>
      <w:r w:rsidR="0022599B">
        <w:rPr>
          <w:rFonts w:hint="cs"/>
          <w:rtl/>
        </w:rPr>
        <w:t>, מהות העצם, ולא רק מקרה שקרה לעצם</w:t>
      </w:r>
      <w:r w:rsidR="00D450EF">
        <w:rPr>
          <w:rFonts w:hint="cs"/>
          <w:rtl/>
        </w:rPr>
        <w:t xml:space="preserve">. </w:t>
      </w:r>
      <w:r w:rsidR="00252F18">
        <w:rPr>
          <w:rFonts w:hint="cs"/>
          <w:rtl/>
        </w:rPr>
        <w:t xml:space="preserve">המבדיל בין המינים </w:t>
      </w:r>
      <w:r w:rsidR="009C15BB">
        <w:rPr>
          <w:rFonts w:hint="cs"/>
          <w:rtl/>
        </w:rPr>
        <w:t>הוא אופן שבו החומר כמו חוצב</w:t>
      </w:r>
      <w:r w:rsidR="00636C6A">
        <w:rPr>
          <w:rFonts w:hint="cs"/>
          <w:rtl/>
        </w:rPr>
        <w:t xml:space="preserve"> ומפרק</w:t>
      </w:r>
      <w:r w:rsidR="009C15BB">
        <w:rPr>
          <w:rFonts w:hint="cs"/>
          <w:rtl/>
        </w:rPr>
        <w:t xml:space="preserve"> מהצורה הכללית של </w:t>
      </w:r>
      <w:r w:rsidR="00636C6A">
        <w:rPr>
          <w:rFonts w:hint="cs"/>
          <w:rtl/>
        </w:rPr>
        <w:t>'</w:t>
      </w:r>
      <w:r w:rsidR="009C15BB">
        <w:rPr>
          <w:rFonts w:hint="cs"/>
          <w:rtl/>
        </w:rPr>
        <w:t>ח</w:t>
      </w:r>
      <w:r w:rsidR="00636C6A">
        <w:rPr>
          <w:rFonts w:hint="cs"/>
          <w:rtl/>
        </w:rPr>
        <w:t>י'</w:t>
      </w:r>
      <w:r w:rsidR="009C15BB">
        <w:rPr>
          <w:rFonts w:hint="cs"/>
          <w:rtl/>
        </w:rPr>
        <w:t xml:space="preserve"> צורות </w:t>
      </w:r>
      <w:r w:rsidR="00636C6A">
        <w:rPr>
          <w:rFonts w:hint="cs"/>
          <w:rtl/>
        </w:rPr>
        <w:t xml:space="preserve">מפורטות ומוגבלות יותר כמו סוס וכלב. </w:t>
      </w:r>
    </w:p>
    <w:p w14:paraId="140E8130" w14:textId="3369F329" w:rsidR="000B325B" w:rsidRDefault="00D15B81" w:rsidP="00A44113">
      <w:pPr>
        <w:pStyle w:val="FootnoteText"/>
        <w:rPr>
          <w:rtl/>
        </w:rPr>
      </w:pPr>
      <w:r>
        <w:rPr>
          <w:rFonts w:hint="cs"/>
          <w:rtl/>
        </w:rPr>
        <w:t>מקרה</w:t>
      </w:r>
      <w:r w:rsidR="005D74C6">
        <w:rPr>
          <w:rtl/>
        </w:rPr>
        <w:fldChar w:fldCharType="begin"/>
      </w:r>
      <w:r w:rsidR="005D74C6">
        <w:instrText xml:space="preserve"> XE "</w:instrText>
      </w:r>
      <w:r w:rsidR="005D74C6" w:rsidRPr="005D435F">
        <w:rPr>
          <w:rFonts w:hint="cs"/>
          <w:rtl/>
        </w:rPr>
        <w:instrText>צורה - צורות כמו סוס נוצרות מהכנת החומר</w:instrText>
      </w:r>
      <w:r w:rsidR="005D74C6">
        <w:instrText xml:space="preserve">" </w:instrText>
      </w:r>
      <w:r w:rsidR="005D74C6">
        <w:rPr>
          <w:rtl/>
        </w:rPr>
        <w:fldChar w:fldCharType="end"/>
      </w:r>
      <w:r>
        <w:rPr>
          <w:rFonts w:hint="cs"/>
          <w:rtl/>
        </w:rPr>
        <w:t xml:space="preserve"> שאינו מגדיר מין, הוא כמו </w:t>
      </w:r>
      <w:r w:rsidR="00D52D24">
        <w:rPr>
          <w:rFonts w:hint="cs"/>
          <w:rtl/>
        </w:rPr>
        <w:t xml:space="preserve">למשל שחלק מהנוף מואר מהשמש וחלק מוצל מהעננים. הנוף הוא אותו נוף, הצל או השמש לא משנים שום דבר בעצם הוויית הנוף. לכן הם לא מגדירים את מהותו והם רק מקרה שקרה לו. </w:t>
      </w:r>
      <w:r w:rsidR="00BE321D">
        <w:rPr>
          <w:rFonts w:hint="cs"/>
          <w:rtl/>
        </w:rPr>
        <w:t xml:space="preserve">לעומת זאת </w:t>
      </w:r>
      <w:r w:rsidR="00971FB8">
        <w:rPr>
          <w:rFonts w:hint="cs"/>
          <w:rtl/>
        </w:rPr>
        <w:t xml:space="preserve">עלה של עץ שצבעו ירוק, ויין שצבעו אדום, </w:t>
      </w:r>
      <w:r w:rsidR="00400801">
        <w:rPr>
          <w:rFonts w:hint="cs"/>
          <w:rtl/>
        </w:rPr>
        <w:t xml:space="preserve">גם אלה הם רק שינויים באופן החזרת האור מפני השטח של העצם, כמו שהחלקים המוארים או המוצלים שבנוף הם שינויים בהחזרת האור, אבל זה נתפש כתכונה עצמית מהותית של הדבר. </w:t>
      </w:r>
      <w:r w:rsidR="005920E3">
        <w:rPr>
          <w:rFonts w:hint="cs"/>
          <w:rtl/>
        </w:rPr>
        <w:t xml:space="preserve">בעומק אין הבדל כזה. כל הדברים שיש להם צבע, באמת </w:t>
      </w:r>
      <w:r w:rsidR="00EC4609">
        <w:rPr>
          <w:rFonts w:hint="cs"/>
          <w:rtl/>
        </w:rPr>
        <w:t>כולם</w:t>
      </w:r>
      <w:r w:rsidR="005920E3">
        <w:rPr>
          <w:rFonts w:hint="cs"/>
          <w:rtl/>
        </w:rPr>
        <w:t xml:space="preserve"> </w:t>
      </w:r>
      <w:r w:rsidR="00EC4609">
        <w:rPr>
          <w:rFonts w:hint="cs"/>
          <w:rtl/>
        </w:rPr>
        <w:t>צבעם הוא החזרת האור שלהם, והאור מצד עצמו הוא תמיד לבן, אם אין משהו זר לו שמעמעם אותו.</w:t>
      </w:r>
      <w:r w:rsidR="004915D4">
        <w:rPr>
          <w:rFonts w:hint="cs"/>
          <w:rtl/>
        </w:rPr>
        <w:t xml:space="preserve"> אבל בצבעים החזרת החומר את גלי האור נתפשת כיצירת צבעים חדשים שקיימים </w:t>
      </w:r>
      <w:r w:rsidR="000B325B">
        <w:rPr>
          <w:rFonts w:hint="cs"/>
          <w:rtl/>
        </w:rPr>
        <w:t>בפני עצמם לצד האור הלבן. כאילו באמת האור הלבן התחלק לצבעים שונים שקיימים כמו שהצבע הלבן קיים, כהגדרת עצם ולא רק מקרה.</w:t>
      </w:r>
    </w:p>
    <w:p w14:paraId="3FF4EA27" w14:textId="23EEFE33" w:rsidR="00D334AF" w:rsidRDefault="000B325B" w:rsidP="00A44113">
      <w:pPr>
        <w:pStyle w:val="FootnoteText"/>
        <w:rPr>
          <w:rtl/>
        </w:rPr>
      </w:pPr>
      <w:r>
        <w:rPr>
          <w:rFonts w:hint="cs"/>
          <w:rtl/>
        </w:rPr>
        <w:t xml:space="preserve">כלומר מי שמעמיק יראה בכל בעלי החיים צורה אחת והיא חיים. אבל יש כאן במבט פחות עמוק צורות של סוס וכלב, שכאילו קיימות </w:t>
      </w:r>
      <w:r w:rsidR="009C3934">
        <w:rPr>
          <w:rFonts w:hint="cs"/>
          <w:rtl/>
        </w:rPr>
        <w:t xml:space="preserve">כצורות באותה מידה שצורת 'חי' קיימת. כמו שהצבעים אדום וירוק נראים כקיימים כמו שהצבע הלבן קיים. וגם ברמת העומק הזו, </w:t>
      </w:r>
      <w:r w:rsidR="0066616B">
        <w:rPr>
          <w:rFonts w:hint="cs"/>
          <w:rtl/>
        </w:rPr>
        <w:t xml:space="preserve">יש מקרים שלא מגדירים את העצם. הסוסיות שבסוס והכלביות שבכלב </w:t>
      </w:r>
      <w:r w:rsidR="002657DE">
        <w:rPr>
          <w:rFonts w:hint="cs"/>
          <w:rtl/>
        </w:rPr>
        <w:t>מושג</w:t>
      </w:r>
      <w:r w:rsidR="0066616B">
        <w:rPr>
          <w:rFonts w:hint="cs"/>
          <w:rtl/>
        </w:rPr>
        <w:t xml:space="preserve">ים </w:t>
      </w:r>
      <w:r w:rsidR="00837229">
        <w:rPr>
          <w:rFonts w:hint="cs"/>
          <w:rtl/>
        </w:rPr>
        <w:t>כהבדלים ש</w:t>
      </w:r>
      <w:r w:rsidR="0066616B">
        <w:rPr>
          <w:rFonts w:hint="cs"/>
          <w:rtl/>
        </w:rPr>
        <w:t>מעמידים צורה</w:t>
      </w:r>
      <w:r w:rsidR="00130C11">
        <w:rPr>
          <w:rFonts w:hint="cs"/>
          <w:rtl/>
        </w:rPr>
        <w:t xml:space="preserve"> שעומדת לעצמה כצורה</w:t>
      </w:r>
      <w:r w:rsidR="0066616B">
        <w:rPr>
          <w:rFonts w:hint="cs"/>
          <w:rtl/>
        </w:rPr>
        <w:t xml:space="preserve">, </w:t>
      </w:r>
      <w:r w:rsidR="00837229">
        <w:rPr>
          <w:rFonts w:hint="cs"/>
          <w:rtl/>
        </w:rPr>
        <w:t xml:space="preserve">לעומת צבע השיער שלא </w:t>
      </w:r>
      <w:r w:rsidR="002657DE">
        <w:rPr>
          <w:rFonts w:hint="cs"/>
          <w:rtl/>
        </w:rPr>
        <w:t>מושג</w:t>
      </w:r>
      <w:r w:rsidR="00837229">
        <w:rPr>
          <w:rFonts w:hint="cs"/>
          <w:rtl/>
        </w:rPr>
        <w:t xml:space="preserve"> כמעמיד צורה</w:t>
      </w:r>
      <w:r w:rsidR="00130C11">
        <w:rPr>
          <w:rFonts w:hint="cs"/>
          <w:rtl/>
        </w:rPr>
        <w:t xml:space="preserve"> של בעל חיים חדש אלא כמקרה של אותו בעל חיים. ההבחנה הזו נובעת מהתבוננות ושיקול דעת, לשקול את </w:t>
      </w:r>
      <w:r w:rsidR="0076369D">
        <w:rPr>
          <w:rFonts w:hint="cs"/>
          <w:rtl/>
        </w:rPr>
        <w:t xml:space="preserve">משקלו של ההבדל, האם הוא קובע מין או שהוא רק מקרה באותו מין. </w:t>
      </w:r>
      <w:r w:rsidR="00CF2A0E">
        <w:rPr>
          <w:rFonts w:hint="cs"/>
          <w:rtl/>
        </w:rPr>
        <w:t xml:space="preserve">אני מסתכל על כלב לבן ועל כלב שחור ועל חתול, מה אומר לי שהכלביות והחתוליות מעמידים מין נפרד, וצבע השיער לא. </w:t>
      </w:r>
      <w:r w:rsidR="00CB57BD">
        <w:rPr>
          <w:rFonts w:hint="cs"/>
          <w:rtl/>
        </w:rPr>
        <w:t>אין לזה תשובה מנומקת, בשכל יש משקל, לכן אומרים שאדם שוקל בדעתו ואז מחליט. משקל השכל מודד שהכלביות שוקלת מספיק כדי לקבוע מין, וצבע השיער שוקל פחות ולכן אינו קובע מין</w:t>
      </w:r>
      <w:r w:rsidR="00843C6C">
        <w:rPr>
          <w:rFonts w:hint="cs"/>
          <w:rtl/>
        </w:rPr>
        <w:t xml:space="preserve"> שמעתי סיפור על רבי שלמה היימן, שהיה לומד בחידושי רבי עקיבא אייגר</w:t>
      </w:r>
      <w:r w:rsidR="00F37685">
        <w:rPr>
          <w:rFonts w:hint="cs"/>
          <w:rtl/>
        </w:rPr>
        <w:t xml:space="preserve">, ורבי עקיבא אייגר היה שואל קושיות גדולות </w:t>
      </w:r>
      <w:r w:rsidR="00EA5671">
        <w:rPr>
          <w:rFonts w:hint="cs"/>
          <w:rtl/>
        </w:rPr>
        <w:t>ו</w:t>
      </w:r>
      <w:r w:rsidR="00F37685">
        <w:rPr>
          <w:rFonts w:hint="cs"/>
          <w:rtl/>
        </w:rPr>
        <w:t>הרבה פעמים הניח אותן בצריך עיון ולא ניסה לתרץ כי הקושיא יותר חשובה מהתירוץ.</w:t>
      </w:r>
      <w:r w:rsidR="00843C6C">
        <w:rPr>
          <w:rFonts w:hint="cs"/>
          <w:rtl/>
        </w:rPr>
        <w:t xml:space="preserve"> ו</w:t>
      </w:r>
      <w:r w:rsidR="00D47460">
        <w:rPr>
          <w:rFonts w:hint="cs"/>
          <w:rtl/>
        </w:rPr>
        <w:t>יש מקומות שכתב צריך עיון, ויש מקומות שכתב צריך עיון קצת, ויש מקומות שכתב צריך עיון גדול. ואיך הוא ידע כמה גדולה הקושיא לפני שמצא תירוץ</w:t>
      </w:r>
      <w:r w:rsidR="00506C10">
        <w:rPr>
          <w:rFonts w:hint="cs"/>
          <w:rtl/>
        </w:rPr>
        <w:t xml:space="preserve"> והבין מה היה הקושי שמנע מלראות את התירוץ. אלא היו לו מאזניים בשכל, והוא היה מתבונן בקושייה ושוקל אותה במאזני השכל</w:t>
      </w:r>
      <w:r w:rsidR="00D334AF">
        <w:rPr>
          <w:rFonts w:hint="cs"/>
          <w:rtl/>
        </w:rPr>
        <w:t xml:space="preserve">, וקובע לה משקל </w:t>
      </w:r>
      <w:r w:rsidR="009C463A">
        <w:rPr>
          <w:rFonts w:hint="cs"/>
          <w:rtl/>
        </w:rPr>
        <w:t>מדויק</w:t>
      </w:r>
      <w:r w:rsidR="00506C10">
        <w:rPr>
          <w:rFonts w:hint="cs"/>
          <w:rtl/>
        </w:rPr>
        <w:t>. ורבי שלמה רצה ללמוד את היכולת הזו לשקול.</w:t>
      </w:r>
    </w:p>
    <w:p w14:paraId="61F56454" w14:textId="507090E1" w:rsidR="00C074A8" w:rsidRDefault="00D334AF" w:rsidP="00532CD1">
      <w:pPr>
        <w:pStyle w:val="FootnoteText"/>
        <w:rPr>
          <w:rtl/>
        </w:rPr>
      </w:pPr>
      <w:r>
        <w:rPr>
          <w:rFonts w:hint="cs"/>
          <w:rtl/>
        </w:rPr>
        <w:t xml:space="preserve">החזון איש דיבר הרבה על העניין הזה של משקל. הוא אמר שפסיקת ההלכה היא אחרי שכבר שאלנו את כל השאלות </w:t>
      </w:r>
      <w:r w:rsidR="00B54249">
        <w:rPr>
          <w:rFonts w:hint="cs"/>
          <w:rtl/>
        </w:rPr>
        <w:t>על כל שיט</w:t>
      </w:r>
      <w:r w:rsidR="00B33172">
        <w:rPr>
          <w:rFonts w:hint="cs"/>
          <w:rtl/>
        </w:rPr>
        <w:t>ה משיטות הפוסקים שהיו לפנינו</w:t>
      </w:r>
      <w:r w:rsidR="00B54249">
        <w:rPr>
          <w:rFonts w:hint="cs"/>
          <w:rtl/>
        </w:rPr>
        <w:t xml:space="preserve">, </w:t>
      </w:r>
      <w:r>
        <w:rPr>
          <w:rFonts w:hint="cs"/>
          <w:rtl/>
        </w:rPr>
        <w:t>ותירצנו את כולן</w:t>
      </w:r>
      <w:r w:rsidR="00B54249">
        <w:rPr>
          <w:rFonts w:hint="cs"/>
          <w:rtl/>
        </w:rPr>
        <w:t xml:space="preserve">. אי אפשר לפסוק הלכה בגלל </w:t>
      </w:r>
      <w:r w:rsidR="00F73AC5">
        <w:rPr>
          <w:rFonts w:hint="cs"/>
          <w:rtl/>
        </w:rPr>
        <w:t>ש</w:t>
      </w:r>
      <w:r w:rsidR="00B54249">
        <w:rPr>
          <w:rFonts w:hint="cs"/>
          <w:rtl/>
        </w:rPr>
        <w:t>יש קושיא על שיט</w:t>
      </w:r>
      <w:r w:rsidR="00B33172">
        <w:rPr>
          <w:rFonts w:hint="cs"/>
          <w:rtl/>
        </w:rPr>
        <w:t>ה</w:t>
      </w:r>
      <w:r w:rsidR="00B54249">
        <w:rPr>
          <w:rFonts w:hint="cs"/>
          <w:rtl/>
        </w:rPr>
        <w:t xml:space="preserve"> מסויימת</w:t>
      </w:r>
      <w:r w:rsidR="00B33172">
        <w:rPr>
          <w:rFonts w:hint="cs"/>
          <w:rtl/>
        </w:rPr>
        <w:t xml:space="preserve"> של אחד המפרשים</w:t>
      </w:r>
      <w:r w:rsidR="00B54249">
        <w:rPr>
          <w:rFonts w:hint="cs"/>
          <w:rtl/>
        </w:rPr>
        <w:t xml:space="preserve">, כי אותו </w:t>
      </w:r>
      <w:r w:rsidR="00B33172">
        <w:rPr>
          <w:rFonts w:hint="cs"/>
          <w:rtl/>
        </w:rPr>
        <w:t>מפרש</w:t>
      </w:r>
      <w:r w:rsidR="00B54249">
        <w:rPr>
          <w:rFonts w:hint="cs"/>
          <w:rtl/>
        </w:rPr>
        <w:t xml:space="preserve"> שאמר את השיטה בלי ספק כבר ראה את הקושיא וכבר</w:t>
      </w:r>
      <w:r w:rsidR="00F73AC5">
        <w:rPr>
          <w:rFonts w:hint="cs"/>
          <w:rtl/>
        </w:rPr>
        <w:t xml:space="preserve"> </w:t>
      </w:r>
      <w:r w:rsidR="00B54249">
        <w:rPr>
          <w:rFonts w:hint="cs"/>
          <w:rtl/>
        </w:rPr>
        <w:t>תירץ אותה</w:t>
      </w:r>
      <w:r w:rsidR="00F73AC5">
        <w:rPr>
          <w:rFonts w:hint="cs"/>
          <w:rtl/>
        </w:rPr>
        <w:t xml:space="preserve"> היטב</w:t>
      </w:r>
      <w:r w:rsidR="00B54249">
        <w:rPr>
          <w:rFonts w:hint="cs"/>
          <w:rtl/>
        </w:rPr>
        <w:t xml:space="preserve">, </w:t>
      </w:r>
      <w:r w:rsidR="00F73AC5">
        <w:rPr>
          <w:rFonts w:hint="cs"/>
          <w:rtl/>
        </w:rPr>
        <w:t xml:space="preserve">אחרת לא היה אומר מה שאמר. </w:t>
      </w:r>
      <w:r w:rsidR="00B54249">
        <w:rPr>
          <w:rFonts w:hint="cs"/>
          <w:rtl/>
        </w:rPr>
        <w:t xml:space="preserve">ואם לא מצאנו תירוץ זה בגלל שאנחנו קטנים ממנו ולא ירדנו לסוף דעתו. </w:t>
      </w:r>
      <w:r w:rsidR="00F73AC5">
        <w:rPr>
          <w:rFonts w:hint="cs"/>
          <w:rtl/>
        </w:rPr>
        <w:t xml:space="preserve">אלא </w:t>
      </w:r>
      <w:r w:rsidR="00BD7520">
        <w:rPr>
          <w:rFonts w:hint="cs"/>
          <w:rtl/>
        </w:rPr>
        <w:t xml:space="preserve">הפסק הוא אחרי שכל הקושיות </w:t>
      </w:r>
      <w:r w:rsidR="00B33172">
        <w:rPr>
          <w:rFonts w:hint="cs"/>
          <w:rtl/>
        </w:rPr>
        <w:t xml:space="preserve">על כל שיטת פסיקה אפשרית בסוגיא </w:t>
      </w:r>
      <w:r w:rsidR="00BD7520">
        <w:rPr>
          <w:rFonts w:hint="cs"/>
          <w:rtl/>
        </w:rPr>
        <w:t xml:space="preserve">מתורצות, וכל שיטה עומדת היטב ומתאימה לסוגיא היטב. </w:t>
      </w:r>
      <w:r w:rsidR="00B33172">
        <w:rPr>
          <w:rFonts w:hint="cs"/>
          <w:rtl/>
        </w:rPr>
        <w:t xml:space="preserve">ואז החכם שוקל במאזני השכל שלו את השיטות השונות לפרש את הסוגייה, ושוקל שזו שוקלת שני קילוגרם וזו שוקלת שלושה קילוגרם ולפי זה הוא מכריע את פסיקת ההלכה. </w:t>
      </w:r>
      <w:r w:rsidR="009C5B34">
        <w:rPr>
          <w:rFonts w:hint="cs"/>
          <w:rtl/>
        </w:rPr>
        <w:t xml:space="preserve">וזו החכמה האמיתית, שהיא לא חשבונות והיקשים </w:t>
      </w:r>
      <w:r w:rsidR="00B60196">
        <w:rPr>
          <w:rFonts w:hint="cs"/>
          <w:rtl/>
        </w:rPr>
        <w:t xml:space="preserve">ודיוקים, </w:t>
      </w:r>
      <w:r w:rsidR="009C5B34">
        <w:rPr>
          <w:rFonts w:hint="cs"/>
          <w:rtl/>
        </w:rPr>
        <w:t xml:space="preserve">אלא </w:t>
      </w:r>
      <w:r w:rsidR="00B60196">
        <w:rPr>
          <w:rFonts w:hint="cs"/>
          <w:rtl/>
        </w:rPr>
        <w:t xml:space="preserve">היא </w:t>
      </w:r>
      <w:r w:rsidR="009C5B34">
        <w:rPr>
          <w:rFonts w:hint="cs"/>
          <w:rtl/>
        </w:rPr>
        <w:t>התבוננות</w:t>
      </w:r>
      <w:r w:rsidR="00B60196">
        <w:rPr>
          <w:rFonts w:hint="cs"/>
          <w:rtl/>
        </w:rPr>
        <w:t xml:space="preserve"> ועיון בלתי אמצעי</w:t>
      </w:r>
      <w:r w:rsidR="009C5B34">
        <w:rPr>
          <w:rFonts w:hint="cs"/>
          <w:rtl/>
        </w:rPr>
        <w:t>.</w:t>
      </w:r>
      <w:r w:rsidR="00532CD1">
        <w:rPr>
          <w:rFonts w:hint="cs"/>
          <w:rtl/>
        </w:rPr>
        <w:t xml:space="preserve"> </w:t>
      </w:r>
      <w:r w:rsidR="00C074A8">
        <w:rPr>
          <w:rFonts w:hint="cs"/>
          <w:rtl/>
        </w:rPr>
        <w:t>ה</w:t>
      </w:r>
      <w:r w:rsidR="00532CD1">
        <w:rPr>
          <w:rFonts w:hint="cs"/>
          <w:rtl/>
        </w:rPr>
        <w:t xml:space="preserve">חזון איש כתב שזוהי חכמת שלמה, כלומר החישובים וההיקשים הם רק כלי שימושי, אבל באמת לדעת, לא מגיע מחישובים והיקשים אלא מתפישה בלתי אמצעית.  </w:t>
      </w:r>
    </w:p>
    <w:p w14:paraId="355C94B7" w14:textId="06315839" w:rsidR="00C53CA3" w:rsidRDefault="00F46A35" w:rsidP="00A44113">
      <w:pPr>
        <w:pStyle w:val="FootnoteText"/>
        <w:rPr>
          <w:rtl/>
        </w:rPr>
      </w:pPr>
      <w:r>
        <w:rPr>
          <w:rFonts w:hint="cs"/>
          <w:rtl/>
        </w:rPr>
        <w:t xml:space="preserve">באופן זה החכם מתבונן בבעלי החיים, ושוקל מהו הבדל שיש בו די משקל לקבוע את המהות והצורה של בעל החיים, ומה שוקל פחות והוא רק מקרה. אם </w:t>
      </w:r>
      <w:r w:rsidR="00F25278">
        <w:rPr>
          <w:rFonts w:hint="cs"/>
          <w:rtl/>
        </w:rPr>
        <w:t xml:space="preserve">לא היינו מוצאים שום בעל חיים שהולך על שתיים, היה אפשר לשאול, למה אנו אומרים שהגדרת האדם היא חי מדבר, ולא חי הולך על שתיים (אריסטו לפעמים אומר שהגדרת אדם היא חי הולך על שתיים, </w:t>
      </w:r>
      <w:r w:rsidR="00975A38">
        <w:rPr>
          <w:rFonts w:hint="cs"/>
          <w:rtl/>
        </w:rPr>
        <w:t>אבל זה רק לצורך דוגמה בשביל הדיון, וזו לא ההסתכלות האמיתית שלו</w:t>
      </w:r>
      <w:r w:rsidR="00F25278">
        <w:rPr>
          <w:rFonts w:hint="cs"/>
          <w:rtl/>
        </w:rPr>
        <w:t>)</w:t>
      </w:r>
      <w:r w:rsidR="00B60196">
        <w:rPr>
          <w:rFonts w:hint="cs"/>
          <w:rtl/>
        </w:rPr>
        <w:t>)</w:t>
      </w:r>
      <w:r w:rsidR="00975A38">
        <w:rPr>
          <w:rFonts w:hint="cs"/>
          <w:rtl/>
        </w:rPr>
        <w:t xml:space="preserve">. </w:t>
      </w:r>
      <w:r w:rsidR="009D5585">
        <w:rPr>
          <w:rFonts w:hint="cs"/>
          <w:rtl/>
        </w:rPr>
        <w:t>באמת אין תשובה חישובית מילולית לשאלה הזו, התשובה היא רק במשקל מאזני השכל, התבוננות ישירה בלתי אמצעית שלא על ידי חישובים</w:t>
      </w:r>
      <w:r w:rsidR="007271B8">
        <w:rPr>
          <w:rFonts w:hint="cs"/>
          <w:rtl/>
        </w:rPr>
        <w:t xml:space="preserve"> </w:t>
      </w:r>
      <w:r w:rsidR="009D5585">
        <w:rPr>
          <w:rFonts w:hint="cs"/>
          <w:rtl/>
        </w:rPr>
        <w:t xml:space="preserve">ונימוקים. כמו </w:t>
      </w:r>
      <w:r w:rsidR="007271B8">
        <w:rPr>
          <w:rFonts w:hint="cs"/>
          <w:rtl/>
        </w:rPr>
        <w:t>הידיעה של האקסיומות, המושכלות הראשונות</w:t>
      </w:r>
      <w:r w:rsidR="00200ADB">
        <w:rPr>
          <w:rFonts w:hint="cs"/>
          <w:rtl/>
        </w:rPr>
        <w:t>.</w:t>
      </w:r>
      <w:r w:rsidR="001D54DF">
        <w:rPr>
          <w:rFonts w:hint="cs"/>
          <w:rtl/>
        </w:rPr>
        <w:t xml:space="preserve"> </w:t>
      </w:r>
      <w:r w:rsidR="006418E0">
        <w:rPr>
          <w:rFonts w:hint="cs"/>
          <w:rtl/>
        </w:rPr>
        <w:t xml:space="preserve">גם תינוק יודע שכלב לבן </w:t>
      </w:r>
      <w:r w:rsidR="0018798A">
        <w:rPr>
          <w:rFonts w:hint="cs"/>
          <w:rtl/>
        </w:rPr>
        <w:t xml:space="preserve">קטן </w:t>
      </w:r>
      <w:r w:rsidR="006418E0">
        <w:rPr>
          <w:rFonts w:hint="cs"/>
          <w:rtl/>
        </w:rPr>
        <w:t xml:space="preserve">וכלב שחור </w:t>
      </w:r>
      <w:r w:rsidR="0018798A">
        <w:rPr>
          <w:rFonts w:hint="cs"/>
          <w:rtl/>
        </w:rPr>
        <w:t xml:space="preserve">גדול </w:t>
      </w:r>
      <w:r w:rsidR="006418E0">
        <w:rPr>
          <w:rFonts w:hint="cs"/>
          <w:rtl/>
        </w:rPr>
        <w:t>הם אותה חיה וארנב הוא חיה אחרת</w:t>
      </w:r>
      <w:r w:rsidR="0018798A">
        <w:rPr>
          <w:rFonts w:hint="cs"/>
          <w:rtl/>
        </w:rPr>
        <w:t xml:space="preserve"> למרות שיש לו צבע כמו לאחד הכלבים ועוד מאפיינים</w:t>
      </w:r>
      <w:r w:rsidR="00C53CA3">
        <w:rPr>
          <w:rFonts w:hint="cs"/>
          <w:rtl/>
        </w:rPr>
        <w:t xml:space="preserve"> </w:t>
      </w:r>
      <w:r w:rsidR="00925D04">
        <w:rPr>
          <w:rFonts w:hint="cs"/>
          <w:rtl/>
        </w:rPr>
        <w:t xml:space="preserve">כמו גודל או אורך שיער </w:t>
      </w:r>
      <w:r w:rsidR="00C53CA3">
        <w:rPr>
          <w:rFonts w:hint="cs"/>
          <w:rtl/>
        </w:rPr>
        <w:t>שאולי הם רבים מהמאפיינים המשותפים לש</w:t>
      </w:r>
      <w:r w:rsidR="00925D04">
        <w:rPr>
          <w:rFonts w:hint="cs"/>
          <w:rtl/>
        </w:rPr>
        <w:t>נ</w:t>
      </w:r>
      <w:r w:rsidR="00C53CA3">
        <w:rPr>
          <w:rFonts w:hint="cs"/>
          <w:rtl/>
        </w:rPr>
        <w:t>י הכלבים</w:t>
      </w:r>
      <w:r w:rsidR="006418E0">
        <w:rPr>
          <w:rFonts w:hint="cs"/>
          <w:rtl/>
        </w:rPr>
        <w:t>.</w:t>
      </w:r>
      <w:r w:rsidR="00925D04">
        <w:rPr>
          <w:rFonts w:hint="cs"/>
          <w:rtl/>
        </w:rPr>
        <w:t xml:space="preserve"> </w:t>
      </w:r>
      <w:r w:rsidR="004B0806">
        <w:rPr>
          <w:rFonts w:hint="cs"/>
          <w:rtl/>
        </w:rPr>
        <w:t>משקל השכל שיודע שהכלביות יותר מהותית והצבע או הגוד</w:t>
      </w:r>
      <w:r w:rsidR="00DD591D">
        <w:rPr>
          <w:rFonts w:hint="cs"/>
          <w:rtl/>
        </w:rPr>
        <w:t>ל</w:t>
      </w:r>
      <w:r w:rsidR="004B0806">
        <w:rPr>
          <w:rFonts w:hint="cs"/>
          <w:rtl/>
        </w:rPr>
        <w:t xml:space="preserve"> יש גם לתינוק ו</w:t>
      </w:r>
      <w:r w:rsidR="00DD591D">
        <w:rPr>
          <w:rFonts w:hint="cs"/>
          <w:rtl/>
        </w:rPr>
        <w:t>גם לבעלי החיים.</w:t>
      </w:r>
    </w:p>
    <w:p w14:paraId="0B262605" w14:textId="578ADE7C" w:rsidR="00DC3C01" w:rsidRDefault="00F94D85" w:rsidP="00DD591D">
      <w:pPr>
        <w:pStyle w:val="FootnoteText"/>
      </w:pPr>
      <w:r>
        <w:rPr>
          <w:rFonts w:hint="cs"/>
          <w:rtl/>
        </w:rPr>
        <w:t>יש דיון באלפראבי ואבן סינא האם נכון לקרוא לצורת 'סוס' צורה. והטעם הוא מפני שהכנת החומר היא זו שיצרה את הצורה הזו כנבדלת משאר החי</w:t>
      </w:r>
      <w:r w:rsidR="00C5645E">
        <w:rPr>
          <w:rFonts w:hint="cs"/>
          <w:rtl/>
        </w:rPr>
        <w:t>, וזה כד</w:t>
      </w:r>
      <w:r w:rsidR="00F129B4">
        <w:rPr>
          <w:rFonts w:hint="cs"/>
          <w:rtl/>
        </w:rPr>
        <w:t>מות צורה ולא צורה ממש</w:t>
      </w:r>
      <w:r>
        <w:rPr>
          <w:rFonts w:hint="cs"/>
          <w:rtl/>
        </w:rPr>
        <w:t xml:space="preserve">. </w:t>
      </w:r>
      <w:r w:rsidR="00506C10">
        <w:rPr>
          <w:rFonts w:hint="cs"/>
          <w:rtl/>
        </w:rPr>
        <w:t xml:space="preserve"> </w:t>
      </w:r>
    </w:p>
  </w:footnote>
  <w:footnote w:id="654">
    <w:p w14:paraId="140DBAF2" w14:textId="6C3F3BB9" w:rsidR="00871F45" w:rsidRDefault="00871F45">
      <w:pPr>
        <w:pStyle w:val="FootnoteText"/>
      </w:pPr>
      <w:r>
        <w:rPr>
          <w:rStyle w:val="FootnoteReference"/>
        </w:rPr>
        <w:footnoteRef/>
      </w:r>
      <w:r>
        <w:rPr>
          <w:rtl/>
        </w:rPr>
        <w:t xml:space="preserve"> </w:t>
      </w:r>
      <w:r>
        <w:rPr>
          <w:rFonts w:hint="cs"/>
          <w:rtl/>
        </w:rPr>
        <w:t>כמו שהת</w:t>
      </w:r>
      <w:r w:rsidR="00AB17DF">
        <w:rPr>
          <w:rFonts w:hint="cs"/>
          <w:rtl/>
        </w:rPr>
        <w:t>ב</w:t>
      </w:r>
      <w:r>
        <w:rPr>
          <w:rFonts w:hint="cs"/>
          <w:rtl/>
        </w:rPr>
        <w:t>אר בסמוך שהכנת החומר היא מה</w:t>
      </w:r>
      <w:r w:rsidR="00AB17DF">
        <w:rPr>
          <w:rFonts w:hint="cs"/>
          <w:rtl/>
        </w:rPr>
        <w:t xml:space="preserve"> שמכוחו יש מציאות לצורות כגון כלב וסוס.</w:t>
      </w:r>
    </w:p>
  </w:footnote>
  <w:footnote w:id="655">
    <w:p w14:paraId="1FE71F02" w14:textId="645562A2" w:rsidR="00AC5493" w:rsidRDefault="00F410FA" w:rsidP="000112E0">
      <w:pPr>
        <w:pStyle w:val="FootnoteText"/>
      </w:pPr>
      <w:r>
        <w:rPr>
          <w:rStyle w:val="FootnoteReference"/>
        </w:rPr>
        <w:footnoteRef/>
      </w:r>
      <w:r>
        <w:rPr>
          <w:rtl/>
        </w:rPr>
        <w:t xml:space="preserve"> </w:t>
      </w:r>
      <w:r>
        <w:rPr>
          <w:rFonts w:hint="cs"/>
          <w:rtl/>
        </w:rPr>
        <w:t xml:space="preserve">מה שיש סוס </w:t>
      </w:r>
      <w:r w:rsidR="00CC2508">
        <w:rPr>
          <w:rFonts w:hint="cs"/>
          <w:rtl/>
        </w:rPr>
        <w:t xml:space="preserve">וחמור </w:t>
      </w:r>
      <w:r>
        <w:rPr>
          <w:rFonts w:hint="cs"/>
          <w:rtl/>
        </w:rPr>
        <w:t>הוא משום שבמקום הזה החומר הושלמה הכנתו לקבל א</w:t>
      </w:r>
      <w:r w:rsidR="00CC2508">
        <w:rPr>
          <w:rFonts w:hint="cs"/>
          <w:rtl/>
        </w:rPr>
        <w:t>ת</w:t>
      </w:r>
      <w:r>
        <w:rPr>
          <w:rFonts w:hint="cs"/>
          <w:rtl/>
        </w:rPr>
        <w:t xml:space="preserve"> צורת ה'חי' דווקא באופן </w:t>
      </w:r>
      <w:r w:rsidR="00CC2508">
        <w:rPr>
          <w:rFonts w:hint="cs"/>
          <w:rtl/>
        </w:rPr>
        <w:t>של סוס, ובמקום אחר הושלמה הכנת החומר לקבל צורה דווקא באופן של חמור, לכן כאן יש סוס ושם יש</w:t>
      </w:r>
      <w:r w:rsidR="00221B12">
        <w:rPr>
          <w:rFonts w:hint="cs"/>
          <w:rtl/>
        </w:rPr>
        <w:t xml:space="preserve"> חמור</w:t>
      </w:r>
      <w:r>
        <w:rPr>
          <w:rFonts w:hint="cs"/>
          <w:rtl/>
        </w:rPr>
        <w:t>.</w:t>
      </w:r>
      <w:r w:rsidR="00221B12">
        <w:rPr>
          <w:rFonts w:hint="cs"/>
          <w:rtl/>
        </w:rPr>
        <w:t xml:space="preserve"> מהכנת החומר נובעות לא רק הצורות </w:t>
      </w:r>
      <w:r w:rsidR="00455E83">
        <w:rPr>
          <w:rFonts w:hint="cs"/>
          <w:rtl/>
        </w:rPr>
        <w:t xml:space="preserve">אלא גם </w:t>
      </w:r>
      <w:r w:rsidR="00EA3667">
        <w:rPr>
          <w:rFonts w:hint="cs"/>
          <w:rtl/>
        </w:rPr>
        <w:t>ה</w:t>
      </w:r>
      <w:r w:rsidR="00455E83">
        <w:rPr>
          <w:rFonts w:hint="cs"/>
          <w:rtl/>
        </w:rPr>
        <w:t>מקרים. סוס זה שחור כי כך הכנת החומר שלו</w:t>
      </w:r>
      <w:r w:rsidR="001408C3">
        <w:rPr>
          <w:rFonts w:hint="cs"/>
          <w:rtl/>
        </w:rPr>
        <w:t xml:space="preserve"> לקבל דווקא את גילוי רוחב אפשרויות הצבע ש</w:t>
      </w:r>
      <w:r w:rsidR="00F53E65">
        <w:rPr>
          <w:rFonts w:hint="cs"/>
          <w:rtl/>
        </w:rPr>
        <w:t>מקורן בצורה,</w:t>
      </w:r>
      <w:r w:rsidR="00455E83">
        <w:rPr>
          <w:rFonts w:hint="cs"/>
          <w:rtl/>
        </w:rPr>
        <w:t xml:space="preserve"> וסוס אחר </w:t>
      </w:r>
      <w:r w:rsidR="00F53E65">
        <w:rPr>
          <w:rFonts w:hint="cs"/>
          <w:rtl/>
        </w:rPr>
        <w:t xml:space="preserve">הוא </w:t>
      </w:r>
      <w:r w:rsidR="00455E83">
        <w:rPr>
          <w:rFonts w:hint="cs"/>
          <w:rtl/>
        </w:rPr>
        <w:t xml:space="preserve">לבן כי כך הכנת החומר שלו. </w:t>
      </w:r>
      <w:r w:rsidR="000016AD">
        <w:rPr>
          <w:rFonts w:hint="cs"/>
          <w:rtl/>
        </w:rPr>
        <w:t>הצבע מקורו מהצורה, שהרי אנו יודעים בוודאי שלעולם לא יהיה סוס בצבע ירוק כמו דשא. מה שידוע בוודאות ש</w:t>
      </w:r>
      <w:r w:rsidR="00A54404">
        <w:rPr>
          <w:rFonts w:hint="cs"/>
          <w:rtl/>
        </w:rPr>
        <w:t xml:space="preserve">לעולם </w:t>
      </w:r>
      <w:r w:rsidR="000016AD">
        <w:rPr>
          <w:rFonts w:hint="cs"/>
          <w:rtl/>
        </w:rPr>
        <w:t xml:space="preserve">לא </w:t>
      </w:r>
      <w:r w:rsidR="000016AD">
        <w:rPr>
          <w:rFonts w:hint="cs"/>
          <w:rtl/>
        </w:rPr>
        <w:t>י</w:t>
      </w:r>
      <w:r w:rsidR="006F0544">
        <w:rPr>
          <w:rFonts w:hint="cs"/>
          <w:rtl/>
        </w:rPr>
        <w:t>ו</w:t>
      </w:r>
      <w:r w:rsidR="000016AD">
        <w:rPr>
          <w:rFonts w:hint="cs"/>
          <w:rtl/>
        </w:rPr>
        <w:t>ולד סוס ירוק, אומר ש</w:t>
      </w:r>
      <w:r w:rsidR="008B3240">
        <w:rPr>
          <w:rFonts w:hint="cs"/>
          <w:rtl/>
        </w:rPr>
        <w:t>זה</w:t>
      </w:r>
      <w:r w:rsidR="000016AD">
        <w:rPr>
          <w:rFonts w:hint="cs"/>
          <w:rtl/>
        </w:rPr>
        <w:t xml:space="preserve"> נובע מהצורה</w:t>
      </w:r>
      <w:r w:rsidR="008B3240">
        <w:rPr>
          <w:rFonts w:hint="cs"/>
          <w:rtl/>
        </w:rPr>
        <w:t>, שיש בה חוקיות הכר</w:t>
      </w:r>
      <w:r w:rsidR="00830802">
        <w:rPr>
          <w:rFonts w:hint="cs"/>
          <w:rtl/>
        </w:rPr>
        <w:t>ח</w:t>
      </w:r>
      <w:r w:rsidR="008B3240">
        <w:rPr>
          <w:rFonts w:hint="cs"/>
          <w:rtl/>
        </w:rPr>
        <w:t>ית שכלית, ואינו מקרה של החומר שאין בו שום הכרח ו</w:t>
      </w:r>
      <w:r w:rsidR="00830802">
        <w:rPr>
          <w:rFonts w:hint="cs"/>
          <w:rtl/>
        </w:rPr>
        <w:t xml:space="preserve">כל צבע ייתכן מצידו. </w:t>
      </w:r>
      <w:r w:rsidR="007C0C37">
        <w:rPr>
          <w:rFonts w:hint="cs"/>
          <w:rtl/>
        </w:rPr>
        <w:t>אמ</w:t>
      </w:r>
      <w:r w:rsidR="00B45E46">
        <w:rPr>
          <w:rFonts w:hint="cs"/>
          <w:rtl/>
        </w:rPr>
        <w:t>נ</w:t>
      </w:r>
      <w:r w:rsidR="007C0C37">
        <w:rPr>
          <w:rFonts w:hint="cs"/>
          <w:rtl/>
        </w:rPr>
        <w:t xml:space="preserve">ם הצורה מכתיבה רוחב של צבעים שונים, ספקטרום. מה שמכל הרוחב של אפשרויות שהצורה מכתיבה </w:t>
      </w:r>
      <w:r w:rsidR="00B45E46">
        <w:rPr>
          <w:rFonts w:hint="cs"/>
          <w:rtl/>
        </w:rPr>
        <w:t>ה</w:t>
      </w:r>
      <w:r w:rsidR="007C0C37">
        <w:rPr>
          <w:rFonts w:hint="cs"/>
          <w:rtl/>
        </w:rPr>
        <w:t xml:space="preserve">סוס </w:t>
      </w:r>
      <w:r w:rsidR="00B45E46">
        <w:rPr>
          <w:rFonts w:hint="cs"/>
          <w:rtl/>
        </w:rPr>
        <w:t>ה</w:t>
      </w:r>
      <w:r w:rsidR="007C0C37">
        <w:rPr>
          <w:rFonts w:hint="cs"/>
          <w:rtl/>
        </w:rPr>
        <w:t xml:space="preserve">זה קיבל דווקא את הצבע הלבן זה מקרה שנובע מהכנת החומר לקבל את הצבע הזה דווקא. </w:t>
      </w:r>
      <w:r w:rsidR="00CA4233">
        <w:rPr>
          <w:rFonts w:hint="cs"/>
          <w:rtl/>
        </w:rPr>
        <w:t xml:space="preserve">הכנת החומר אם כן קובעת את </w:t>
      </w:r>
      <w:r w:rsidR="00AC5493">
        <w:rPr>
          <w:rFonts w:hint="cs"/>
          <w:rtl/>
        </w:rPr>
        <w:t xml:space="preserve">מציאות </w:t>
      </w:r>
      <w:r w:rsidR="00CA4233">
        <w:rPr>
          <w:rFonts w:hint="cs"/>
          <w:rtl/>
        </w:rPr>
        <w:t>הצורה, ומלבד זה קובעת עוד הרבה מאוד מקרים.</w:t>
      </w:r>
    </w:p>
  </w:footnote>
  <w:footnote w:id="656">
    <w:p w14:paraId="68062EEE" w14:textId="49E8C6C9" w:rsidR="00743F7B" w:rsidRDefault="00743F7B">
      <w:pPr>
        <w:pStyle w:val="FootnoteText"/>
      </w:pPr>
      <w:r>
        <w:rPr>
          <w:rStyle w:val="FootnoteReference"/>
        </w:rPr>
        <w:footnoteRef/>
      </w:r>
      <w:r>
        <w:rPr>
          <w:rtl/>
        </w:rPr>
        <w:t xml:space="preserve"> </w:t>
      </w:r>
      <w:r w:rsidR="00134272">
        <w:rPr>
          <w:rFonts w:hint="cs"/>
          <w:rtl/>
        </w:rPr>
        <w:t>המצב של תלות מציאות הצורה בהכנת החומר.</w:t>
      </w:r>
      <w:r w:rsidR="00DA0C04">
        <w:rPr>
          <w:rFonts w:hint="cs"/>
          <w:rtl/>
        </w:rPr>
        <w:t xml:space="preserve"> במקור </w:t>
      </w:r>
      <w:r w:rsidR="00DA0C04" w:rsidRPr="00DA0C04">
        <w:rPr>
          <w:rFonts w:cs="Times New Roman" w:hint="eastAsia"/>
          <w:rtl/>
          <w:lang w:bidi="ar-SA"/>
        </w:rPr>
        <w:t>حالها</w:t>
      </w:r>
      <w:r w:rsidR="00D261EF">
        <w:rPr>
          <w:rFonts w:cs="Times New Roman" w:hint="cs"/>
          <w:rtl/>
        </w:rPr>
        <w:t xml:space="preserve">. </w:t>
      </w:r>
      <w:r w:rsidR="00DA0C04">
        <w:rPr>
          <w:rFonts w:hint="cs"/>
          <w:rtl/>
        </w:rPr>
        <w:t xml:space="preserve">מקגיניס תרגם </w:t>
      </w:r>
      <w:r w:rsidR="00DA0C04" w:rsidRPr="00DA0C04">
        <w:t>aspect</w:t>
      </w:r>
      <w:r w:rsidR="00DA0C04">
        <w:rPr>
          <w:rFonts w:hint="cs"/>
          <w:rtl/>
        </w:rPr>
        <w:t>.</w:t>
      </w:r>
    </w:p>
  </w:footnote>
  <w:footnote w:id="657">
    <w:p w14:paraId="0B2D07AC" w14:textId="77777777" w:rsidR="003E6D22" w:rsidRDefault="0078535D">
      <w:pPr>
        <w:pStyle w:val="FootnoteText"/>
        <w:rPr>
          <w:rtl/>
        </w:rPr>
      </w:pPr>
      <w:r>
        <w:rPr>
          <w:rStyle w:val="FootnoteReference"/>
        </w:rPr>
        <w:footnoteRef/>
      </w:r>
      <w:r>
        <w:rPr>
          <w:rtl/>
        </w:rPr>
        <w:t xml:space="preserve"> </w:t>
      </w:r>
      <w:r>
        <w:rPr>
          <w:rFonts w:hint="cs"/>
          <w:rtl/>
        </w:rPr>
        <w:t xml:space="preserve">צורת סוס קיימת מכח שיש בחומר </w:t>
      </w:r>
      <w:r w:rsidR="00336306">
        <w:rPr>
          <w:rFonts w:hint="cs"/>
          <w:rtl/>
        </w:rPr>
        <w:t xml:space="preserve">של הסוס </w:t>
      </w:r>
      <w:r>
        <w:rPr>
          <w:rFonts w:hint="cs"/>
          <w:rtl/>
        </w:rPr>
        <w:t>הכנה לקבל דווקא את החלק המסוים הזה מהצורה הכללית שהיא 'חי'</w:t>
      </w:r>
      <w:r w:rsidR="00336306">
        <w:rPr>
          <w:rFonts w:hint="cs"/>
          <w:rtl/>
        </w:rPr>
        <w:t xml:space="preserve">. כדי להבין איך יתכן שהצורה המסוימת שהיא 'סוס' </w:t>
      </w:r>
      <w:r w:rsidR="00AB37E5">
        <w:rPr>
          <w:rFonts w:hint="cs"/>
          <w:rtl/>
        </w:rPr>
        <w:t xml:space="preserve">מציאותה </w:t>
      </w:r>
      <w:r w:rsidR="00336306">
        <w:rPr>
          <w:rFonts w:hint="cs"/>
          <w:rtl/>
        </w:rPr>
        <w:t>תלויה בהכנת החומר</w:t>
      </w:r>
      <w:r w:rsidR="00AB37E5">
        <w:rPr>
          <w:rFonts w:hint="cs"/>
          <w:rtl/>
        </w:rPr>
        <w:t xml:space="preserve">, צריך לחקור עד החומר הראשון שהוא ההתחלה החומרית של כל הגופים </w:t>
      </w:r>
      <w:r w:rsidR="007D58F3">
        <w:rPr>
          <w:rFonts w:hint="cs"/>
          <w:rtl/>
        </w:rPr>
        <w:t>ואין בו מצד עצמו שום צורה.</w:t>
      </w:r>
      <w:r w:rsidR="00016F7C">
        <w:rPr>
          <w:rFonts w:hint="cs"/>
          <w:rtl/>
        </w:rPr>
        <w:t xml:space="preserve"> </w:t>
      </w:r>
      <w:r w:rsidR="00455B84">
        <w:rPr>
          <w:rFonts w:hint="cs"/>
          <w:rtl/>
        </w:rPr>
        <w:t xml:space="preserve">אם מבינים שהחומר הראשון הוא המצע של כל הצורות ובלעדיו לכולן אין מציאות, </w:t>
      </w:r>
      <w:r w:rsidR="00CE3386">
        <w:rPr>
          <w:rFonts w:hint="cs"/>
          <w:rtl/>
        </w:rPr>
        <w:t xml:space="preserve">אפשר להתחיל להתבונן איך הכנה </w:t>
      </w:r>
      <w:r w:rsidR="00CE3386">
        <w:rPr>
          <w:rFonts w:hint="cs"/>
          <w:rtl/>
        </w:rPr>
        <w:t xml:space="preserve">מסויימת בחומר הראשון היא סיבת מציאותה של צורה מסויימת. </w:t>
      </w:r>
    </w:p>
    <w:p w14:paraId="221FA038" w14:textId="57C2BDFB" w:rsidR="0078535D" w:rsidRDefault="003E6D22">
      <w:pPr>
        <w:pStyle w:val="FootnoteText"/>
      </w:pPr>
      <w:r>
        <w:rPr>
          <w:rFonts w:hint="cs"/>
          <w:rtl/>
        </w:rPr>
        <w:t>הצורות הראשונות ש</w:t>
      </w:r>
      <w:r w:rsidR="007E192B">
        <w:rPr>
          <w:rFonts w:hint="cs"/>
          <w:rtl/>
        </w:rPr>
        <w:t xml:space="preserve">חלות בחומר הראשון הן ארבעת היסודות, אש רוח מים ועפר. כיוון שבחומר הראשון אין שום צורה, לא ייתכנו בו הגדרות מקום, ולא הבדלים בהכנה בין מקום אחד בחומר למקום אחר בו. </w:t>
      </w:r>
      <w:r w:rsidR="006751A0">
        <w:rPr>
          <w:rFonts w:hint="cs"/>
          <w:rtl/>
        </w:rPr>
        <w:t xml:space="preserve">לפי זה קשה למה לא כל צורות היסודות חלות בכל החומר הראשון, מה מחלק שאש תחול דווקא כאן ורוח דווקא כאן. </w:t>
      </w:r>
      <w:r w:rsidR="00CB5258">
        <w:rPr>
          <w:rFonts w:hint="cs"/>
          <w:rtl/>
        </w:rPr>
        <w:t>והרי לכל יסוד יש מקום משלו והוא כמו גלגל, כשהאש הכי גבוהה ומקיפה</w:t>
      </w:r>
      <w:r w:rsidR="001375AB">
        <w:rPr>
          <w:rFonts w:hint="cs"/>
          <w:rtl/>
        </w:rPr>
        <w:t xml:space="preserve"> הכל</w:t>
      </w:r>
      <w:r w:rsidR="00CB5258">
        <w:rPr>
          <w:rFonts w:hint="cs"/>
          <w:rtl/>
        </w:rPr>
        <w:t xml:space="preserve"> והעפר הכי נמוך והוא במרכז. </w:t>
      </w:r>
      <w:r w:rsidR="001375AB">
        <w:rPr>
          <w:rtl/>
        </w:rPr>
        <w:br/>
      </w:r>
      <w:r w:rsidR="001375AB">
        <w:rPr>
          <w:rFonts w:hint="cs"/>
          <w:rtl/>
        </w:rPr>
        <w:t xml:space="preserve">הביאור הוא שהיסודות הן עקרון רוחני של </w:t>
      </w:r>
      <w:r w:rsidR="002570E4">
        <w:rPr>
          <w:rFonts w:hint="cs"/>
          <w:rtl/>
        </w:rPr>
        <w:t xml:space="preserve">יציאת הבריאה המוגבלת החומרית מהאין סוף המופשט לחלוטין. היציאה הזו היא סדר של השתלשלות, </w:t>
      </w:r>
      <w:r w:rsidR="005B2B20">
        <w:rPr>
          <w:rFonts w:hint="cs"/>
          <w:rtl/>
        </w:rPr>
        <w:t xml:space="preserve">מנקודת הבריאה הראשונה, עד התממשות כל הנבראים, ושוב חזרתם למקורם הראשון. </w:t>
      </w:r>
      <w:r w:rsidR="00054367">
        <w:rPr>
          <w:rFonts w:hint="cs"/>
          <w:rtl/>
        </w:rPr>
        <w:t>הבחינה של נקודת הבריאה הראשונה, שהיא נקודה שנבראה</w:t>
      </w:r>
      <w:r w:rsidR="00FD0E3E">
        <w:rPr>
          <w:rFonts w:hint="cs"/>
          <w:rtl/>
        </w:rPr>
        <w:t xml:space="preserve"> </w:t>
      </w:r>
      <w:r w:rsidR="00054367">
        <w:rPr>
          <w:rFonts w:hint="cs"/>
          <w:rtl/>
        </w:rPr>
        <w:t>יש מאין באופן ישיר מרצונו החופשי של הבורא</w:t>
      </w:r>
      <w:r w:rsidR="00FD0E3E">
        <w:rPr>
          <w:rFonts w:hint="cs"/>
          <w:rtl/>
        </w:rPr>
        <w:t xml:space="preserve"> ללא תיווך של חכמה או טבע</w:t>
      </w:r>
      <w:r w:rsidR="00C223BF">
        <w:rPr>
          <w:rFonts w:hint="cs"/>
          <w:rtl/>
        </w:rPr>
        <w:t xml:space="preserve"> (כמו שכתב ברמב"ן על בראשית א' א')</w:t>
      </w:r>
      <w:r w:rsidR="00FD0E3E">
        <w:rPr>
          <w:rFonts w:hint="cs"/>
          <w:rtl/>
        </w:rPr>
        <w:t xml:space="preserve">, היא הכי עליונה מצד סדר </w:t>
      </w:r>
      <w:r w:rsidR="009C463A">
        <w:rPr>
          <w:rFonts w:hint="cs"/>
          <w:rtl/>
        </w:rPr>
        <w:t>ההוויה</w:t>
      </w:r>
      <w:r w:rsidR="000020E5">
        <w:rPr>
          <w:rFonts w:hint="cs"/>
          <w:rtl/>
        </w:rPr>
        <w:t xml:space="preserve"> (כמו שכתב הרמב"ם במשנה תורה ב' ה'-ז'</w:t>
      </w:r>
      <w:r w:rsidR="003E5FC2">
        <w:rPr>
          <w:rFonts w:hint="cs"/>
          <w:rtl/>
        </w:rPr>
        <w:t>)</w:t>
      </w:r>
      <w:r w:rsidR="000020E5">
        <w:rPr>
          <w:rFonts w:hint="cs"/>
          <w:rtl/>
        </w:rPr>
        <w:t>,</w:t>
      </w:r>
      <w:r w:rsidR="00FD0E3E">
        <w:rPr>
          <w:rFonts w:hint="cs"/>
          <w:rtl/>
        </w:rPr>
        <w:t xml:space="preserve"> </w:t>
      </w:r>
      <w:r w:rsidR="003E5FC2">
        <w:rPr>
          <w:rFonts w:hint="cs"/>
          <w:rtl/>
        </w:rPr>
        <w:t xml:space="preserve">כי </w:t>
      </w:r>
      <w:r w:rsidR="00FD0E3E">
        <w:rPr>
          <w:rFonts w:hint="cs"/>
          <w:rtl/>
        </w:rPr>
        <w:t>היא המקור הכי גבוה של שפע המציאות ממקורה</w:t>
      </w:r>
      <w:r w:rsidR="00383AB6">
        <w:rPr>
          <w:rFonts w:hint="cs"/>
          <w:rtl/>
        </w:rPr>
        <w:t>, וזו האש</w:t>
      </w:r>
      <w:r w:rsidR="00FD0E3E">
        <w:rPr>
          <w:rFonts w:hint="cs"/>
          <w:rtl/>
        </w:rPr>
        <w:t>.</w:t>
      </w:r>
      <w:r w:rsidR="00383AB6">
        <w:rPr>
          <w:rFonts w:hint="cs"/>
          <w:rtl/>
        </w:rPr>
        <w:t xml:space="preserve"> האווי</w:t>
      </w:r>
      <w:r w:rsidR="00C223BF">
        <w:rPr>
          <w:rFonts w:hint="cs"/>
          <w:rtl/>
        </w:rPr>
        <w:t>ר</w:t>
      </w:r>
      <w:r w:rsidR="00383AB6">
        <w:rPr>
          <w:rFonts w:hint="cs"/>
          <w:rtl/>
        </w:rPr>
        <w:t xml:space="preserve"> הוא </w:t>
      </w:r>
      <w:r w:rsidR="00C223BF">
        <w:rPr>
          <w:rFonts w:hint="cs"/>
          <w:rtl/>
        </w:rPr>
        <w:t xml:space="preserve">מימוש הנקודה הראשונה </w:t>
      </w:r>
      <w:r w:rsidR="0070377C">
        <w:rPr>
          <w:rFonts w:hint="cs"/>
          <w:rtl/>
        </w:rPr>
        <w:t xml:space="preserve">באופן שאינו חומרי, אלה השכלים הנפרדים או עשר הספירות של חכמת הקבלה שהן </w:t>
      </w:r>
      <w:r w:rsidR="004E6F92">
        <w:rPr>
          <w:rFonts w:hint="cs"/>
          <w:rtl/>
        </w:rPr>
        <w:t xml:space="preserve">המציאות כולה כהשפעה אלוהית מופשטת. אחר כך המים הם שפיעת המציאות אל </w:t>
      </w:r>
      <w:r w:rsidR="00E23CE7">
        <w:rPr>
          <w:rFonts w:hint="cs"/>
          <w:rtl/>
        </w:rPr>
        <w:t xml:space="preserve">העולם החומרי, והעפר הוא העולם החומרי. </w:t>
      </w:r>
      <w:r w:rsidR="003868E3">
        <w:rPr>
          <w:rFonts w:hint="cs"/>
          <w:rtl/>
        </w:rPr>
        <w:t xml:space="preserve">ההבדלים </w:t>
      </w:r>
      <w:r w:rsidR="004B2B67">
        <w:rPr>
          <w:rFonts w:hint="cs"/>
          <w:rtl/>
        </w:rPr>
        <w:t xml:space="preserve">במדרגת שפע המציאות, הם הפירוש של למעלה ולמטה, כמו שכתב בהלכות יסודי התורה ב' ה'-ז'. </w:t>
      </w:r>
      <w:r w:rsidR="00A86F06">
        <w:rPr>
          <w:rFonts w:hint="cs"/>
          <w:rtl/>
        </w:rPr>
        <w:t>ארבעת היסודות קובעים מקום נפרד לעצמם לא מכח החומר, שהוא חסר כל צורה</w:t>
      </w:r>
      <w:r w:rsidR="00B96A77">
        <w:rPr>
          <w:rFonts w:hint="cs"/>
          <w:rtl/>
        </w:rPr>
        <w:t xml:space="preserve"> </w:t>
      </w:r>
      <w:r w:rsidR="00A86F06">
        <w:rPr>
          <w:rFonts w:hint="cs"/>
          <w:rtl/>
        </w:rPr>
        <w:t>ואחי</w:t>
      </w:r>
      <w:r w:rsidR="00B96A77">
        <w:rPr>
          <w:rFonts w:hint="cs"/>
          <w:rtl/>
        </w:rPr>
        <w:t>ד</w:t>
      </w:r>
      <w:r w:rsidR="00A86F06">
        <w:rPr>
          <w:rFonts w:hint="cs"/>
          <w:rtl/>
        </w:rPr>
        <w:t xml:space="preserve"> לגמרי </w:t>
      </w:r>
      <w:r w:rsidR="00B96A77">
        <w:rPr>
          <w:rFonts w:hint="cs"/>
          <w:rtl/>
        </w:rPr>
        <w:t xml:space="preserve">ואין בו חלוקה למקומות, אלא המקום של היסודות נובע מהמופשט. </w:t>
      </w:r>
      <w:r w:rsidR="00964D0A">
        <w:rPr>
          <w:rFonts w:hint="cs"/>
          <w:rtl/>
        </w:rPr>
        <w:t>המופשט קובע את הכנת החומר הראשון לקבל את היסודות, ולפי זה הם נפרדים בו</w:t>
      </w:r>
      <w:r w:rsidR="0023066D">
        <w:rPr>
          <w:rFonts w:hint="cs"/>
          <w:rtl/>
        </w:rPr>
        <w:t xml:space="preserve"> לצורות נפרדות במקומות נפרדים</w:t>
      </w:r>
      <w:r w:rsidR="00964D0A">
        <w:rPr>
          <w:rFonts w:hint="cs"/>
          <w:rtl/>
        </w:rPr>
        <w:t xml:space="preserve">. </w:t>
      </w:r>
      <w:r w:rsidR="0023066D">
        <w:rPr>
          <w:rFonts w:hint="cs"/>
          <w:rtl/>
        </w:rPr>
        <w:t xml:space="preserve">מהיסוד </w:t>
      </w:r>
      <w:r w:rsidR="00583577">
        <w:rPr>
          <w:rFonts w:hint="cs"/>
          <w:rtl/>
        </w:rPr>
        <w:t xml:space="preserve">הכללי </w:t>
      </w:r>
      <w:r w:rsidR="0023066D">
        <w:rPr>
          <w:rFonts w:hint="cs"/>
          <w:rtl/>
        </w:rPr>
        <w:t xml:space="preserve">הזה </w:t>
      </w:r>
      <w:r w:rsidR="00583577">
        <w:rPr>
          <w:rFonts w:hint="cs"/>
          <w:rtl/>
        </w:rPr>
        <w:t xml:space="preserve">של </w:t>
      </w:r>
      <w:r w:rsidR="000E0393">
        <w:rPr>
          <w:rFonts w:hint="cs"/>
          <w:rtl/>
        </w:rPr>
        <w:t xml:space="preserve">הוויית החומר הראשון, </w:t>
      </w:r>
      <w:r w:rsidR="0023066D">
        <w:rPr>
          <w:rFonts w:hint="cs"/>
          <w:rtl/>
        </w:rPr>
        <w:t>נמשך שגם הצורות הפרטיות המסוימות תלויות בהכנה המסוימת של החומר לקבל אותן</w:t>
      </w:r>
      <w:r w:rsidR="00583577">
        <w:rPr>
          <w:rFonts w:hint="cs"/>
          <w:rtl/>
        </w:rPr>
        <w:t xml:space="preserve">, ורק לאור היסוד </w:t>
      </w:r>
      <w:r w:rsidR="000E0393">
        <w:rPr>
          <w:rFonts w:hint="cs"/>
          <w:rtl/>
        </w:rPr>
        <w:t xml:space="preserve">הכללי </w:t>
      </w:r>
      <w:r w:rsidR="00583577">
        <w:rPr>
          <w:rFonts w:hint="cs"/>
          <w:rtl/>
        </w:rPr>
        <w:t xml:space="preserve">הזה </w:t>
      </w:r>
      <w:r w:rsidR="000E0393">
        <w:rPr>
          <w:rFonts w:hint="cs"/>
          <w:rtl/>
        </w:rPr>
        <w:t>ניתן לנסות להבין את המקרים הפרטיים</w:t>
      </w:r>
      <w:r w:rsidR="0023066D">
        <w:rPr>
          <w:rFonts w:hint="cs"/>
          <w:rtl/>
        </w:rPr>
        <w:t xml:space="preserve">. </w:t>
      </w:r>
      <w:r w:rsidR="005B2B20">
        <w:rPr>
          <w:rFonts w:hint="cs"/>
          <w:rtl/>
        </w:rPr>
        <w:t xml:space="preserve"> </w:t>
      </w:r>
      <w:r w:rsidR="007D58F3">
        <w:rPr>
          <w:rFonts w:hint="cs"/>
          <w:rtl/>
        </w:rPr>
        <w:t xml:space="preserve"> </w:t>
      </w:r>
    </w:p>
  </w:footnote>
  <w:footnote w:id="658">
    <w:p w14:paraId="1EE749CB" w14:textId="77777777" w:rsidR="00F066C5" w:rsidRDefault="00A6468D">
      <w:pPr>
        <w:pStyle w:val="FootnoteText"/>
        <w:rPr>
          <w:rtl/>
        </w:rPr>
      </w:pPr>
      <w:r>
        <w:rPr>
          <w:rStyle w:val="FootnoteReference"/>
        </w:rPr>
        <w:footnoteRef/>
      </w:r>
      <w:r>
        <w:rPr>
          <w:rtl/>
        </w:rPr>
        <w:t xml:space="preserve"> </w:t>
      </w:r>
      <w:r>
        <w:rPr>
          <w:rFonts w:hint="cs"/>
          <w:rtl/>
        </w:rPr>
        <w:t xml:space="preserve">"הצורה הזו" </w:t>
      </w:r>
      <w:r w:rsidR="00465544">
        <w:rPr>
          <w:rFonts w:hint="cs"/>
          <w:rtl/>
        </w:rPr>
        <w:t xml:space="preserve">היינו הצורה של העצם הטבעי, החומרי, שהיא </w:t>
      </w:r>
      <w:r w:rsidR="00465544">
        <w:rPr>
          <w:rFonts w:hint="cs"/>
          <w:rtl/>
        </w:rPr>
        <w:t xml:space="preserve">מצויירת בחומר. </w:t>
      </w:r>
      <w:r w:rsidR="00BA27B7">
        <w:rPr>
          <w:rFonts w:hint="cs"/>
          <w:rtl/>
        </w:rPr>
        <w:t xml:space="preserve">מכח ידיעתנו בחומר הראשון אנו קונים ידיעה למה הצורות בטבע תמיד בתנועה של התהוות והפסד, כלומר </w:t>
      </w:r>
      <w:r w:rsidR="009B4DBE">
        <w:rPr>
          <w:rFonts w:hint="cs"/>
          <w:rtl/>
        </w:rPr>
        <w:t xml:space="preserve">תנועת </w:t>
      </w:r>
      <w:r w:rsidR="00BA27B7">
        <w:rPr>
          <w:rFonts w:hint="cs"/>
          <w:rtl/>
        </w:rPr>
        <w:t>התלבשות הצורה בחומר והיפרדה ממנו.</w:t>
      </w:r>
    </w:p>
    <w:p w14:paraId="13C4730B" w14:textId="1FF1BD1B" w:rsidR="00A6468D" w:rsidRDefault="00F066C5">
      <w:pPr>
        <w:pStyle w:val="FootnoteText"/>
      </w:pPr>
      <w:r>
        <w:rPr>
          <w:rFonts w:hint="cs"/>
          <w:rtl/>
        </w:rPr>
        <w:t xml:space="preserve">הידיעה היא </w:t>
      </w:r>
      <w:r w:rsidR="000252B9">
        <w:rPr>
          <w:rFonts w:hint="cs"/>
          <w:rtl/>
        </w:rPr>
        <w:t>משתי בחינות משלימות</w:t>
      </w:r>
      <w:r>
        <w:rPr>
          <w:rFonts w:hint="cs"/>
          <w:rtl/>
        </w:rPr>
        <w:t>, האח</w:t>
      </w:r>
      <w:r w:rsidR="000252B9">
        <w:rPr>
          <w:rFonts w:hint="cs"/>
          <w:rtl/>
        </w:rPr>
        <w:t>ת</w:t>
      </w:r>
      <w:r>
        <w:rPr>
          <w:rFonts w:hint="cs"/>
          <w:rtl/>
        </w:rPr>
        <w:t xml:space="preserve"> ה</w:t>
      </w:r>
      <w:r w:rsidR="000252B9">
        <w:rPr>
          <w:rFonts w:hint="cs"/>
          <w:rtl/>
        </w:rPr>
        <w:t>י</w:t>
      </w:r>
      <w:r>
        <w:rPr>
          <w:rFonts w:hint="cs"/>
          <w:rtl/>
        </w:rPr>
        <w:t xml:space="preserve">א </w:t>
      </w:r>
      <w:r w:rsidR="00724417">
        <w:rPr>
          <w:rFonts w:hint="cs"/>
          <w:rtl/>
        </w:rPr>
        <w:t>שהגלגל חי ולכן כל מה שכלול בו חי, והחיים הם ב</w:t>
      </w:r>
      <w:r w:rsidR="005A65AC">
        <w:rPr>
          <w:rFonts w:hint="cs"/>
          <w:rtl/>
        </w:rPr>
        <w:t>א</w:t>
      </w:r>
      <w:r w:rsidR="00724417">
        <w:rPr>
          <w:rFonts w:hint="cs"/>
          <w:rtl/>
        </w:rPr>
        <w:t>ופן של תנועה</w:t>
      </w:r>
      <w:r w:rsidR="005A65AC">
        <w:rPr>
          <w:rFonts w:hint="cs"/>
          <w:rtl/>
        </w:rPr>
        <w:t xml:space="preserve">, והשני שהמציאות היא גילוי </w:t>
      </w:r>
      <w:r w:rsidR="000252B9">
        <w:rPr>
          <w:rFonts w:hint="cs"/>
          <w:rtl/>
        </w:rPr>
        <w:t xml:space="preserve">של </w:t>
      </w:r>
      <w:r w:rsidR="005A65AC">
        <w:rPr>
          <w:rFonts w:hint="cs"/>
          <w:rtl/>
        </w:rPr>
        <w:t xml:space="preserve">צדק, </w:t>
      </w:r>
      <w:r w:rsidR="000252B9">
        <w:rPr>
          <w:rFonts w:hint="cs"/>
          <w:rtl/>
        </w:rPr>
        <w:t xml:space="preserve">ולכן התנועה של ההתהוות והפסד היא דווקא באופן </w:t>
      </w:r>
      <w:r w:rsidR="003E0B85">
        <w:rPr>
          <w:rFonts w:hint="cs"/>
          <w:rtl/>
        </w:rPr>
        <w:t xml:space="preserve">של צורה שלובשת את אותו חומר או של חומר אחר שיורש את הצורה הזו. </w:t>
      </w:r>
      <w:r w:rsidR="00BA27B7">
        <w:rPr>
          <w:rFonts w:hint="cs"/>
          <w:rtl/>
        </w:rPr>
        <w:t xml:space="preserve"> </w:t>
      </w:r>
    </w:p>
  </w:footnote>
  <w:footnote w:id="659">
    <w:p w14:paraId="17320C2B" w14:textId="664D8B23" w:rsidR="00707BB4" w:rsidRDefault="00943970" w:rsidP="00707BB4">
      <w:pPr>
        <w:pStyle w:val="FootnoteText"/>
        <w:rPr>
          <w:rtl/>
        </w:rPr>
      </w:pPr>
      <w:r>
        <w:rPr>
          <w:rStyle w:val="FootnoteReference"/>
        </w:rPr>
        <w:footnoteRef/>
      </w:r>
      <w:r>
        <w:rPr>
          <w:rtl/>
        </w:rPr>
        <w:t xml:space="preserve"> </w:t>
      </w:r>
      <w:r w:rsidR="00707BB4" w:rsidRPr="001264C0">
        <w:rPr>
          <w:rFonts w:hint="cs"/>
          <w:b/>
          <w:bCs/>
          <w:sz w:val="28"/>
          <w:szCs w:val="28"/>
          <w:rtl/>
        </w:rPr>
        <w:t>הטעם שהחומר לובש ופושט צורה</w:t>
      </w:r>
      <w:r w:rsidR="001264C0">
        <w:rPr>
          <w:b/>
          <w:bCs/>
          <w:rtl/>
        </w:rPr>
        <w:fldChar w:fldCharType="begin"/>
      </w:r>
      <w:r w:rsidR="001264C0">
        <w:instrText xml:space="preserve"> XE "</w:instrText>
      </w:r>
      <w:r w:rsidR="001264C0" w:rsidRPr="002A0F83">
        <w:rPr>
          <w:rFonts w:hint="cs"/>
          <w:b/>
          <w:bCs/>
          <w:rtl/>
        </w:rPr>
        <w:instrText>חומר - הטעם שהחומר לובש ופושט צורה</w:instrText>
      </w:r>
      <w:r w:rsidR="001264C0">
        <w:instrText xml:space="preserve">" </w:instrText>
      </w:r>
      <w:r w:rsidR="001264C0">
        <w:rPr>
          <w:b/>
          <w:bCs/>
          <w:rtl/>
        </w:rPr>
        <w:fldChar w:fldCharType="end"/>
      </w:r>
      <w:r w:rsidR="00707BB4" w:rsidRPr="00707BB4">
        <w:rPr>
          <w:rFonts w:hint="cs"/>
          <w:b/>
          <w:bCs/>
          <w:rtl/>
        </w:rPr>
        <w:t>.</w:t>
      </w:r>
    </w:p>
    <w:p w14:paraId="32E426B3" w14:textId="08F0C13E" w:rsidR="00D4402D" w:rsidRDefault="001C6C68">
      <w:pPr>
        <w:pStyle w:val="FootnoteText"/>
        <w:rPr>
          <w:rtl/>
        </w:rPr>
      </w:pPr>
      <w:r>
        <w:rPr>
          <w:rFonts w:hint="cs"/>
          <w:rtl/>
        </w:rPr>
        <w:t xml:space="preserve">במורה נבוכים </w:t>
      </w:r>
      <w:r w:rsidR="00AE3506">
        <w:rPr>
          <w:rFonts w:hint="cs"/>
          <w:rtl/>
        </w:rPr>
        <w:t xml:space="preserve">א' ע"ב כתב בביאור הטעם שהחומר לובש צורה ופושט צורה, </w:t>
      </w:r>
      <w:r w:rsidR="00D4402D">
        <w:rPr>
          <w:rFonts w:hint="cs"/>
          <w:rtl/>
        </w:rPr>
        <w:t>כלומר תנועת ההתהוות והפסד</w:t>
      </w:r>
      <w:r w:rsidR="00545719">
        <w:rPr>
          <w:rFonts w:hint="cs"/>
          <w:rtl/>
        </w:rPr>
        <w:t xml:space="preserve"> התמידית</w:t>
      </w:r>
      <w:r w:rsidR="00D4402D">
        <w:rPr>
          <w:rFonts w:hint="cs"/>
          <w:rtl/>
        </w:rPr>
        <w:t>, שהוא משום תנועת הגלגל:</w:t>
      </w:r>
    </w:p>
    <w:p w14:paraId="4B4DD30F" w14:textId="77777777" w:rsidR="00EE17D8" w:rsidRDefault="00D4402D">
      <w:pPr>
        <w:pStyle w:val="FootnoteText"/>
        <w:rPr>
          <w:rtl/>
        </w:rPr>
      </w:pPr>
      <w:r>
        <w:rPr>
          <w:rFonts w:hint="cs"/>
          <w:rtl/>
        </w:rPr>
        <w:t>"</w:t>
      </w:r>
      <w:r w:rsidRPr="00D4402D">
        <w:rPr>
          <w:rtl/>
        </w:rPr>
        <w:t xml:space="preserve">וכשיתנועע הגשם החמישי בסיבוב בכללו תמיד תתחדש ביסודות מפני זה תנועה הכרחית, יצאו בגללה </w:t>
      </w:r>
      <w:r w:rsidRPr="00D4402D">
        <w:rPr>
          <w:rtl/>
        </w:rPr>
        <w:t xml:space="preserve">ממקומותם, רוצה-לומר באש ובאויר, וידחו אל המים, ויעברו כולם בגוף הארץ אל עמקה, ויתחדש ליסודות עירוב, ואח"כ יתחילו להתנועע לשוב למקומותם, ויצאו חלקים מן הארץ גם-כן מפני זה ממקומותם בחברת המים והאויר והאש. והם בזה כולו פועלים קצתם בקצתם ומתפעלים קצתם מקצתם, ויפול ההשתנות במעורב עד שיתהוה מהם תחילה הקיטורים כפי מיניהם החלוקים, ואחר כן המחצבים כפי מיניהם החלוקים, ומיני הצמחים כולם ומינים רבים מבעלי חיים, כפי מה שגוזר מזג המעורב. </w:t>
      </w:r>
    </w:p>
    <w:p w14:paraId="625C6DB3" w14:textId="6B47A965" w:rsidR="00943970" w:rsidRDefault="00D4402D">
      <w:pPr>
        <w:pStyle w:val="FootnoteText"/>
        <w:rPr>
          <w:rtl/>
        </w:rPr>
      </w:pPr>
      <w:r w:rsidRPr="00D4402D">
        <w:rPr>
          <w:rtl/>
        </w:rPr>
        <w:t>וכל הוה נפסד, אמנם יתהוה מן היסודות ואליהם יפסד, ומן היסודות יתהוו קצתם מקצתם ויפסדו קצתם אל קצתם, שחומר הכל אחד. ואי-אפשר הימצא חומר מבלי צורה, ולא תימצא צורה טבעית מאלו ההויים הנפסדים מבלי חומר; יהיה הענין אם-כן בהויות והפסדות, והיות כל מה שיתהוה מהם ויפסיד אליהם חוזר חלילה, כדמות סיבוב הגלגל, עד שתהיה תנועת החומר הזה בעל הצורה בבא בו הצורות זו אחר זו כתנועת הגלגל באנה</w:t>
      </w:r>
      <w:r w:rsidR="00372D67">
        <w:rPr>
          <w:rFonts w:hint="cs"/>
          <w:rtl/>
        </w:rPr>
        <w:t xml:space="preserve"> [במקום]</w:t>
      </w:r>
      <w:r w:rsidRPr="00D4402D">
        <w:rPr>
          <w:rtl/>
        </w:rPr>
        <w:t>, כהשתנות ההנחות בעצמם לכל חלק ממנו.</w:t>
      </w:r>
      <w:r>
        <w:rPr>
          <w:rFonts w:hint="cs"/>
          <w:rtl/>
        </w:rPr>
        <w:t>"</w:t>
      </w:r>
    </w:p>
    <w:p w14:paraId="36582C20" w14:textId="77777777" w:rsidR="003D1A9B" w:rsidRDefault="00867B38">
      <w:pPr>
        <w:pStyle w:val="FootnoteText"/>
        <w:rPr>
          <w:rtl/>
        </w:rPr>
      </w:pPr>
      <w:r>
        <w:rPr>
          <w:rFonts w:hint="cs"/>
          <w:rtl/>
        </w:rPr>
        <w:t>וכעין זה כתב גם במשנה תורה בהלכות יסודי התורה ד' ו'.</w:t>
      </w:r>
    </w:p>
    <w:p w14:paraId="739F119D" w14:textId="6AE79AAD" w:rsidR="00B66338" w:rsidRDefault="00B66338">
      <w:pPr>
        <w:pStyle w:val="FootnoteText"/>
        <w:rPr>
          <w:rtl/>
        </w:rPr>
      </w:pPr>
      <w:r>
        <w:rPr>
          <w:rFonts w:hint="cs"/>
          <w:rtl/>
        </w:rPr>
        <w:t xml:space="preserve">הגלגל הקיצון הוא הכל, </w:t>
      </w:r>
      <w:r w:rsidR="00CF2698">
        <w:rPr>
          <w:rFonts w:hint="cs"/>
          <w:rtl/>
        </w:rPr>
        <w:t xml:space="preserve">וכל מה שבתוכו הוא רק גילויים פרטיים שלו עצמו. לכן מה שהוא בתנועה מחייב שהכל ינוע. </w:t>
      </w:r>
    </w:p>
    <w:p w14:paraId="279B135B" w14:textId="77777777" w:rsidR="00BD30BF" w:rsidRDefault="00BD30BF">
      <w:pPr>
        <w:pStyle w:val="FootnoteText"/>
        <w:rPr>
          <w:rtl/>
        </w:rPr>
      </w:pPr>
    </w:p>
    <w:p w14:paraId="6CAC3712" w14:textId="77777777" w:rsidR="00961192" w:rsidRDefault="003D1A9B" w:rsidP="006C39C2">
      <w:pPr>
        <w:pStyle w:val="FootnoteText"/>
        <w:rPr>
          <w:rtl/>
        </w:rPr>
      </w:pPr>
      <w:r>
        <w:rPr>
          <w:rFonts w:hint="cs"/>
          <w:rtl/>
        </w:rPr>
        <w:t xml:space="preserve">אמנם </w:t>
      </w:r>
      <w:r w:rsidR="006C39C2">
        <w:rPr>
          <w:rFonts w:hint="cs"/>
          <w:rtl/>
        </w:rPr>
        <w:t>אלפראבי ב</w:t>
      </w:r>
      <w:hyperlink r:id="rId135" w:history="1">
        <w:r w:rsidR="006C39C2" w:rsidRPr="00903886">
          <w:rPr>
            <w:rStyle w:val="Hyperlink"/>
            <w:rFonts w:hint="cs"/>
            <w:rtl/>
          </w:rPr>
          <w:t>אנשי העיר המעולה</w:t>
        </w:r>
      </w:hyperlink>
      <w:r w:rsidR="006C39C2">
        <w:rPr>
          <w:rFonts w:hint="cs"/>
          <w:rtl/>
        </w:rPr>
        <w:t xml:space="preserve"> </w:t>
      </w:r>
      <w:r>
        <w:rPr>
          <w:rFonts w:hint="cs"/>
          <w:rtl/>
        </w:rPr>
        <w:t xml:space="preserve">פרק י"ט </w:t>
      </w:r>
      <w:r w:rsidR="00D52CA6">
        <w:rPr>
          <w:rFonts w:hint="cs"/>
          <w:rtl/>
        </w:rPr>
        <w:t xml:space="preserve">(תרגום אחמד אע'ברייה) </w:t>
      </w:r>
      <w:r w:rsidR="007D51F2">
        <w:rPr>
          <w:rFonts w:hint="cs"/>
          <w:rtl/>
        </w:rPr>
        <w:t xml:space="preserve">הוסיף לזה את </w:t>
      </w:r>
      <w:r w:rsidR="00E454D9">
        <w:rPr>
          <w:rFonts w:hint="cs"/>
          <w:rtl/>
        </w:rPr>
        <w:t xml:space="preserve">הטעם שהצורות נפרדות מהחומר הוא משום </w:t>
      </w:r>
      <w:r w:rsidR="00C337D2">
        <w:rPr>
          <w:rFonts w:hint="cs"/>
          <w:rtl/>
        </w:rPr>
        <w:t xml:space="preserve">שהצדק מחייב </w:t>
      </w:r>
      <w:r w:rsidR="00C47A7C">
        <w:rPr>
          <w:rFonts w:hint="cs"/>
          <w:rtl/>
        </w:rPr>
        <w:t>אותן לזה</w:t>
      </w:r>
      <w:r w:rsidR="004449D3">
        <w:rPr>
          <w:rtl/>
        </w:rPr>
        <w:fldChar w:fldCharType="begin"/>
      </w:r>
      <w:r w:rsidR="004449D3">
        <w:instrText xml:space="preserve"> XE "</w:instrText>
      </w:r>
      <w:r w:rsidR="004449D3" w:rsidRPr="000B01AD">
        <w:rPr>
          <w:rFonts w:hint="cs"/>
          <w:rtl/>
        </w:rPr>
        <w:instrText>צורות - הצורות נפרדות מהחומר משום שהצדק מחייב אותן לזה</w:instrText>
      </w:r>
      <w:r w:rsidR="004449D3">
        <w:instrText xml:space="preserve">" </w:instrText>
      </w:r>
      <w:r w:rsidR="004449D3">
        <w:rPr>
          <w:rtl/>
        </w:rPr>
        <w:fldChar w:fldCharType="end"/>
      </w:r>
      <w:r w:rsidR="00B1601D">
        <w:rPr>
          <w:rFonts w:hint="cs"/>
          <w:rtl/>
        </w:rPr>
        <w:t xml:space="preserve">. </w:t>
      </w:r>
      <w:r w:rsidR="00512FEA">
        <w:rPr>
          <w:rFonts w:hint="cs"/>
          <w:rtl/>
        </w:rPr>
        <w:t>ועיין שם גם פרק י"ז</w:t>
      </w:r>
      <w:r w:rsidR="00A00CED">
        <w:rPr>
          <w:rFonts w:hint="cs"/>
          <w:rtl/>
        </w:rPr>
        <w:t xml:space="preserve"> ופרק י"ב</w:t>
      </w:r>
      <w:r w:rsidR="00512FEA">
        <w:rPr>
          <w:rFonts w:hint="cs"/>
          <w:rtl/>
        </w:rPr>
        <w:t>.</w:t>
      </w:r>
    </w:p>
    <w:p w14:paraId="563FC46B" w14:textId="56A469C0" w:rsidR="00867B38" w:rsidRDefault="00AC2F59" w:rsidP="006C39C2">
      <w:pPr>
        <w:pStyle w:val="FootnoteText"/>
        <w:rPr>
          <w:rtl/>
        </w:rPr>
      </w:pPr>
      <w:r>
        <w:rPr>
          <w:rFonts w:hint="cs"/>
          <w:rtl/>
        </w:rPr>
        <w:t xml:space="preserve">הביאור בזה </w:t>
      </w:r>
      <w:r w:rsidR="003367AF">
        <w:rPr>
          <w:rFonts w:hint="cs"/>
          <w:rtl/>
        </w:rPr>
        <w:t xml:space="preserve">ארמוז בקצרה </w:t>
      </w:r>
      <w:r>
        <w:rPr>
          <w:rFonts w:hint="cs"/>
          <w:rtl/>
        </w:rPr>
        <w:t xml:space="preserve">שהתנועה של הגלגל היא החיים. </w:t>
      </w:r>
      <w:r w:rsidR="002227A0">
        <w:rPr>
          <w:rFonts w:hint="cs"/>
          <w:rtl/>
        </w:rPr>
        <w:t xml:space="preserve">החיים </w:t>
      </w:r>
      <w:r w:rsidR="00307882">
        <w:rPr>
          <w:rFonts w:hint="cs"/>
          <w:rtl/>
        </w:rPr>
        <w:t>הכלליים (כמו שכתב המורה נבוכים א' ע"ב שהכל חי וגם המחצבים והצמחים</w:t>
      </w:r>
      <w:r w:rsidR="00FE78C7">
        <w:rPr>
          <w:rFonts w:hint="cs"/>
          <w:rtl/>
        </w:rPr>
        <w:t>)</w:t>
      </w:r>
      <w:r w:rsidR="00FE78C7">
        <w:rPr>
          <w:rFonts w:hint="cs"/>
        </w:rPr>
        <w:t xml:space="preserve"> </w:t>
      </w:r>
      <w:r w:rsidR="002227A0">
        <w:rPr>
          <w:rFonts w:hint="cs"/>
          <w:rtl/>
        </w:rPr>
        <w:t>הם ההשגה, כמו שכתב במורה נבוכים א' נ"</w:t>
      </w:r>
      <w:r w:rsidR="00F607A9">
        <w:rPr>
          <w:rFonts w:hint="cs"/>
          <w:rtl/>
        </w:rPr>
        <w:t>ג</w:t>
      </w:r>
      <w:r w:rsidR="002227A0">
        <w:rPr>
          <w:rFonts w:hint="cs"/>
          <w:rtl/>
        </w:rPr>
        <w:t xml:space="preserve"> ושם נ"ח, </w:t>
      </w:r>
      <w:r w:rsidR="00A054DB">
        <w:rPr>
          <w:rFonts w:hint="cs"/>
          <w:rtl/>
        </w:rPr>
        <w:t xml:space="preserve">ובמטאפיזיקה למבדא </w:t>
      </w:r>
      <w:r w:rsidR="00A054DB" w:rsidRPr="00A054DB">
        <w:rPr>
          <w:rtl/>
        </w:rPr>
        <w:t>1072</w:t>
      </w:r>
      <w:r w:rsidR="00A054DB">
        <w:rPr>
          <w:rFonts w:hint="cs"/>
          <w:rtl/>
        </w:rPr>
        <w:t>ב</w:t>
      </w:r>
      <w:r w:rsidR="001D34CD">
        <w:rPr>
          <w:rFonts w:hint="cs"/>
          <w:rtl/>
        </w:rPr>
        <w:t>,</w:t>
      </w:r>
      <w:r w:rsidR="00C03DE6">
        <w:rPr>
          <w:rFonts w:hint="cs"/>
          <w:rtl/>
        </w:rPr>
        <w:t xml:space="preserve"> ובאלפראבי לעיל</w:t>
      </w:r>
      <w:r w:rsidR="0001063F">
        <w:rPr>
          <w:rFonts w:hint="cs"/>
          <w:rtl/>
        </w:rPr>
        <w:t xml:space="preserve"> פרק ה'</w:t>
      </w:r>
      <w:r w:rsidR="00A054DB">
        <w:rPr>
          <w:rFonts w:hint="cs"/>
          <w:rtl/>
        </w:rPr>
        <w:t>.</w:t>
      </w:r>
      <w:r w:rsidR="001405FF">
        <w:rPr>
          <w:rFonts w:hint="cs"/>
          <w:rtl/>
        </w:rPr>
        <w:t xml:space="preserve"> </w:t>
      </w:r>
      <w:r w:rsidR="00316D1F">
        <w:rPr>
          <w:rFonts w:hint="cs"/>
          <w:rtl/>
        </w:rPr>
        <w:t>המציאות בכח, הנקודה של ההיולי, שם הכל הוא רק אפשרויות</w:t>
      </w:r>
      <w:r w:rsidR="00872FC2">
        <w:rPr>
          <w:rFonts w:hint="cs"/>
          <w:rtl/>
        </w:rPr>
        <w:t xml:space="preserve">, ואין שם תנועה ומהלך של זמן. המציאות </w:t>
      </w:r>
      <w:r w:rsidR="00434A5F">
        <w:rPr>
          <w:rFonts w:hint="cs"/>
          <w:rtl/>
        </w:rPr>
        <w:t xml:space="preserve">בפועל </w:t>
      </w:r>
      <w:r w:rsidR="00872FC2">
        <w:rPr>
          <w:rFonts w:hint="cs"/>
          <w:rtl/>
        </w:rPr>
        <w:t>היא מימוש של אותן אפשרויות.</w:t>
      </w:r>
      <w:r w:rsidR="00316D1F">
        <w:rPr>
          <w:rFonts w:hint="cs"/>
          <w:rtl/>
        </w:rPr>
        <w:t xml:space="preserve"> </w:t>
      </w:r>
      <w:r w:rsidR="00D5646B">
        <w:rPr>
          <w:rFonts w:hint="cs"/>
          <w:rtl/>
        </w:rPr>
        <w:t>במימוש יש השגה</w:t>
      </w:r>
      <w:r w:rsidR="00AA5E3B">
        <w:rPr>
          <w:rFonts w:hint="cs"/>
          <w:rtl/>
        </w:rPr>
        <w:t xml:space="preserve"> של מה שהיה גנוז ב</w:t>
      </w:r>
      <w:r w:rsidR="00611CCF">
        <w:rPr>
          <w:rFonts w:hint="cs"/>
          <w:rtl/>
        </w:rPr>
        <w:t>'בכח'</w:t>
      </w:r>
      <w:r w:rsidR="00AA5E3B">
        <w:rPr>
          <w:rFonts w:hint="cs"/>
          <w:rtl/>
        </w:rPr>
        <w:t>.</w:t>
      </w:r>
      <w:r w:rsidR="00611CCF">
        <w:rPr>
          <w:rFonts w:hint="cs"/>
          <w:rtl/>
        </w:rPr>
        <w:t xml:space="preserve"> המימוש הוא בדרך של רצוא ושוב, ההשגה </w:t>
      </w:r>
      <w:r w:rsidR="006A4039">
        <w:rPr>
          <w:rFonts w:hint="cs"/>
          <w:rtl/>
        </w:rPr>
        <w:t>מגיעה לחוסר היכולת להשיג,</w:t>
      </w:r>
      <w:r w:rsidR="00F2526E">
        <w:rPr>
          <w:rFonts w:hint="cs"/>
          <w:rtl/>
        </w:rPr>
        <w:t xml:space="preserve"> </w:t>
      </w:r>
      <w:r w:rsidR="006A4039">
        <w:rPr>
          <w:rFonts w:hint="cs"/>
          <w:rtl/>
        </w:rPr>
        <w:t xml:space="preserve">ובטלה, ושוב מתחילה מחדש מכח הגילוי האלוהי שהוא החיים. </w:t>
      </w:r>
      <w:r w:rsidR="009E5B8C">
        <w:rPr>
          <w:rFonts w:hint="cs"/>
          <w:rtl/>
        </w:rPr>
        <w:t>לכן החיים הם בערה, קיום וכליון ביחד. הסנה בוער באש והסנה איננו אוכל</w:t>
      </w:r>
      <w:r w:rsidR="00434A5F">
        <w:rPr>
          <w:rFonts w:hint="cs"/>
          <w:rtl/>
        </w:rPr>
        <w:t xml:space="preserve">. </w:t>
      </w:r>
    </w:p>
    <w:p w14:paraId="69BE3156" w14:textId="77777777" w:rsidR="00F7673F" w:rsidRDefault="00E95B65" w:rsidP="00622C84">
      <w:pPr>
        <w:pStyle w:val="FootnoteText"/>
        <w:rPr>
          <w:rtl/>
        </w:rPr>
      </w:pPr>
      <w:r>
        <w:rPr>
          <w:rFonts w:hint="cs"/>
          <w:rtl/>
        </w:rPr>
        <w:t xml:space="preserve">זה מתחייב מהחומר הראשון, </w:t>
      </w:r>
      <w:r w:rsidR="00622C84">
        <w:rPr>
          <w:rFonts w:hint="cs"/>
          <w:rtl/>
        </w:rPr>
        <w:t xml:space="preserve">כי אם הכל משתנה ונשרף יש בהכרח משהו שמאחד את הדברים ברובד יסודי. </w:t>
      </w:r>
      <w:r w:rsidR="00F903AF">
        <w:rPr>
          <w:rFonts w:hint="cs"/>
          <w:rtl/>
        </w:rPr>
        <w:t xml:space="preserve">הצורה משתנה, ומוכרח שהחומר נשאר אותו חומר, שבו חלות הצורות ואותו הן פושטות כשהן בטלות, וזה החומר הראשון. </w:t>
      </w:r>
    </w:p>
    <w:p w14:paraId="755D121B" w14:textId="5CD7ECEC" w:rsidR="00F279B0" w:rsidRDefault="00F7673F" w:rsidP="00622C84">
      <w:pPr>
        <w:pStyle w:val="FootnoteText"/>
        <w:rPr>
          <w:rtl/>
        </w:rPr>
      </w:pPr>
      <w:r>
        <w:rPr>
          <w:rFonts w:hint="cs"/>
          <w:rtl/>
        </w:rPr>
        <w:t xml:space="preserve">צדק הוא תואר עצמי לבורא, </w:t>
      </w:r>
      <w:r w:rsidR="00B765D5">
        <w:rPr>
          <w:rFonts w:hint="cs"/>
          <w:rtl/>
        </w:rPr>
        <w:t xml:space="preserve">כמו חיים ומציאות ורצון ועוד. </w:t>
      </w:r>
      <w:r w:rsidR="003A2766">
        <w:rPr>
          <w:rFonts w:hint="cs"/>
          <w:rtl/>
        </w:rPr>
        <w:t>תואר שאינו עצמי הוא כמו לומר על המים שהם ח</w:t>
      </w:r>
      <w:r w:rsidR="001F2520">
        <w:rPr>
          <w:rFonts w:hint="cs"/>
          <w:rtl/>
        </w:rPr>
        <w:t>מ</w:t>
      </w:r>
      <w:r w:rsidR="003A2766">
        <w:rPr>
          <w:rFonts w:hint="cs"/>
          <w:rtl/>
        </w:rPr>
        <w:t xml:space="preserve">ים, זה מגדיר ומתאר אותם, וזה אין לומר על הבורא. אבל נמצא או רוצה וכיו"ב הם כמו לומר על המים שהם לחים. זה כמו מילה נרדפת למים ולא תיאור והגדרה שלהם. </w:t>
      </w:r>
      <w:r w:rsidR="00CE4D09">
        <w:rPr>
          <w:rFonts w:hint="cs"/>
          <w:rtl/>
        </w:rPr>
        <w:t>כך גם הצדק זה הוא עצמו</w:t>
      </w:r>
      <w:r w:rsidR="006D1A26">
        <w:rPr>
          <w:rFonts w:hint="cs"/>
          <w:rtl/>
        </w:rPr>
        <w:t xml:space="preserve"> (וכן כתב </w:t>
      </w:r>
      <w:r w:rsidR="00963913">
        <w:rPr>
          <w:rFonts w:hint="cs"/>
          <w:rtl/>
        </w:rPr>
        <w:t>אלפראבי בדעותיהם של אנשי העיר המעולה פרק ח')</w:t>
      </w:r>
      <w:r w:rsidR="00CE4D09">
        <w:rPr>
          <w:rFonts w:hint="cs"/>
          <w:rtl/>
        </w:rPr>
        <w:t>, ולכן האחדות האלוהית שמת</w:t>
      </w:r>
      <w:r w:rsidR="00F279B0">
        <w:rPr>
          <w:rFonts w:hint="cs"/>
          <w:rtl/>
        </w:rPr>
        <w:t>ג</w:t>
      </w:r>
      <w:r w:rsidR="00CE4D09">
        <w:rPr>
          <w:rFonts w:hint="cs"/>
          <w:rtl/>
        </w:rPr>
        <w:t>לה בצמצום מחייה</w:t>
      </w:r>
      <w:r w:rsidR="00F279B0">
        <w:rPr>
          <w:rFonts w:hint="cs"/>
          <w:rtl/>
        </w:rPr>
        <w:t xml:space="preserve"> </w:t>
      </w:r>
      <w:r w:rsidR="00CE4D09">
        <w:rPr>
          <w:rFonts w:hint="cs"/>
          <w:rtl/>
        </w:rPr>
        <w:t xml:space="preserve">ומניעה את העולם בדרך של גילוי הצדק. </w:t>
      </w:r>
    </w:p>
    <w:p w14:paraId="786960A7" w14:textId="53D8CDA0" w:rsidR="00622C84" w:rsidRDefault="00F279B0" w:rsidP="00622C84">
      <w:pPr>
        <w:pStyle w:val="FootnoteText"/>
        <w:rPr>
          <w:rtl/>
        </w:rPr>
      </w:pPr>
      <w:r>
        <w:rPr>
          <w:rFonts w:hint="cs"/>
          <w:rtl/>
        </w:rPr>
        <w:t>אצלנו צדק זה "התנהגות מוסרית", והמוסר נקבע על ידי המפורסמות, כלומר סברת רוב האנ</w:t>
      </w:r>
      <w:r w:rsidR="006848A5">
        <w:rPr>
          <w:rFonts w:hint="cs"/>
          <w:rtl/>
        </w:rPr>
        <w:t>ש</w:t>
      </w:r>
      <w:r>
        <w:rPr>
          <w:rFonts w:hint="cs"/>
          <w:rtl/>
        </w:rPr>
        <w:t xml:space="preserve">ים לפי </w:t>
      </w:r>
      <w:r w:rsidR="00752DEA">
        <w:rPr>
          <w:rFonts w:hint="cs"/>
          <w:rtl/>
        </w:rPr>
        <w:t>המוסכמות בזמן ובמקום כלשהם</w:t>
      </w:r>
      <w:r>
        <w:rPr>
          <w:rFonts w:hint="cs"/>
          <w:rtl/>
        </w:rPr>
        <w:t xml:space="preserve">. </w:t>
      </w:r>
      <w:r w:rsidR="006848A5">
        <w:rPr>
          <w:rFonts w:hint="cs"/>
          <w:rtl/>
        </w:rPr>
        <w:t xml:space="preserve">באמת מוסר </w:t>
      </w:r>
      <w:r w:rsidR="001A4A88">
        <w:rPr>
          <w:rFonts w:hint="cs"/>
          <w:rtl/>
        </w:rPr>
        <w:t>שיסודו הסכמה חברתית</w:t>
      </w:r>
      <w:r w:rsidR="006848A5">
        <w:rPr>
          <w:rFonts w:hint="cs"/>
          <w:rtl/>
        </w:rPr>
        <w:t xml:space="preserve"> אינו נמצא בקדמונים, אלא צדק הוא הסדר של העולם כ</w:t>
      </w:r>
      <w:r w:rsidR="005B76BB">
        <w:rPr>
          <w:rFonts w:hint="cs"/>
          <w:rtl/>
        </w:rPr>
        <w:t>כ</w:t>
      </w:r>
      <w:r w:rsidR="006848A5">
        <w:rPr>
          <w:rFonts w:hint="cs"/>
          <w:rtl/>
        </w:rPr>
        <w:t xml:space="preserve">לל אחד, כגוף אחד </w:t>
      </w:r>
      <w:r w:rsidR="005B76BB">
        <w:rPr>
          <w:rFonts w:hint="cs"/>
          <w:rtl/>
        </w:rPr>
        <w:t>שבו הנבראים הם איברים.</w:t>
      </w:r>
      <w:r w:rsidR="00F903AF">
        <w:rPr>
          <w:rFonts w:hint="cs"/>
          <w:rtl/>
        </w:rPr>
        <w:t xml:space="preserve"> </w:t>
      </w:r>
      <w:r w:rsidR="00097FF9">
        <w:rPr>
          <w:rFonts w:hint="cs"/>
          <w:rtl/>
        </w:rPr>
        <w:t xml:space="preserve">זו אמיתת מציאותו של העולם ולכן זה מה שלפיו מתנהלת התנועה שבו. </w:t>
      </w:r>
    </w:p>
    <w:p w14:paraId="62C248B0" w14:textId="7F531838" w:rsidR="00AA5E3B" w:rsidRDefault="00097FF9" w:rsidP="00C40211">
      <w:pPr>
        <w:pStyle w:val="FootnoteText"/>
      </w:pPr>
      <w:r>
        <w:rPr>
          <w:rFonts w:hint="cs"/>
          <w:rtl/>
        </w:rPr>
        <w:t>בזה יובן לשונו של אבן סינא כאן, שכתב</w:t>
      </w:r>
      <w:r w:rsidR="00C40211">
        <w:rPr>
          <w:rFonts w:hint="cs"/>
          <w:rtl/>
        </w:rPr>
        <w:t xml:space="preserve"> "</w:t>
      </w:r>
      <w:r w:rsidR="00C40211" w:rsidRPr="00C40211">
        <w:rPr>
          <w:rtl/>
        </w:rPr>
        <w:t>או שאין לבטוח בה</w:t>
      </w:r>
      <w:r w:rsidR="00C40211">
        <w:rPr>
          <w:rFonts w:hint="cs"/>
          <w:rtl/>
        </w:rPr>
        <w:t xml:space="preserve">" (במקור: </w:t>
      </w:r>
      <w:r w:rsidR="00C40211" w:rsidRPr="00C40211">
        <w:rPr>
          <w:rFonts w:cs="Times New Roman" w:hint="eastAsia"/>
          <w:rtl/>
          <w:lang w:bidi="ar-SA"/>
        </w:rPr>
        <w:t>أو</w:t>
      </w:r>
      <w:r w:rsidR="00C40211" w:rsidRPr="00C40211">
        <w:rPr>
          <w:rFonts w:cs="Times New Roman"/>
          <w:rtl/>
          <w:lang w:bidi="ar-SA"/>
        </w:rPr>
        <w:t xml:space="preserve"> </w:t>
      </w:r>
      <w:r w:rsidR="00C40211" w:rsidRPr="00C40211">
        <w:rPr>
          <w:rFonts w:cs="Times New Roman" w:hint="eastAsia"/>
          <w:rtl/>
          <w:lang w:bidi="ar-SA"/>
        </w:rPr>
        <w:t>ممكن</w:t>
      </w:r>
      <w:r w:rsidR="00C40211" w:rsidRPr="00C40211">
        <w:rPr>
          <w:rFonts w:cs="Times New Roman"/>
          <w:rtl/>
          <w:lang w:bidi="ar-SA"/>
        </w:rPr>
        <w:t xml:space="preserve"> </w:t>
      </w:r>
      <w:r w:rsidR="00C40211" w:rsidRPr="00C40211">
        <w:rPr>
          <w:rFonts w:cs="Times New Roman" w:hint="eastAsia"/>
          <w:rtl/>
          <w:lang w:bidi="ar-SA"/>
        </w:rPr>
        <w:t>غير</w:t>
      </w:r>
      <w:r w:rsidR="00C40211" w:rsidRPr="00C40211">
        <w:rPr>
          <w:rFonts w:cs="Times New Roman"/>
          <w:rtl/>
          <w:lang w:bidi="ar-SA"/>
        </w:rPr>
        <w:t xml:space="preserve"> </w:t>
      </w:r>
      <w:r w:rsidR="00C40211" w:rsidRPr="00C40211">
        <w:rPr>
          <w:rFonts w:cs="Times New Roman" w:hint="eastAsia"/>
          <w:rtl/>
          <w:lang w:bidi="ar-SA"/>
        </w:rPr>
        <w:t>موثوق</w:t>
      </w:r>
      <w:r w:rsidR="005143B6" w:rsidRPr="005143B6">
        <w:rPr>
          <w:rFonts w:cs="Times New Roman"/>
          <w:rtl/>
          <w:lang w:bidi="ar-SA"/>
        </w:rPr>
        <w:t xml:space="preserve"> </w:t>
      </w:r>
      <w:r w:rsidR="005143B6" w:rsidRPr="005143B6">
        <w:rPr>
          <w:rFonts w:cs="Times New Roman" w:hint="eastAsia"/>
          <w:rtl/>
          <w:lang w:bidi="ar-SA"/>
        </w:rPr>
        <w:t>به</w:t>
      </w:r>
      <w:r w:rsidR="00C40211">
        <w:rPr>
          <w:rFonts w:hint="cs"/>
          <w:rtl/>
        </w:rPr>
        <w:t>)</w:t>
      </w:r>
      <w:r w:rsidR="00BA609B">
        <w:rPr>
          <w:rFonts w:hint="cs"/>
          <w:rtl/>
        </w:rPr>
        <w:t xml:space="preserve">. כלומר הצורה שלא מסכימה לפנות את מקומה לצורה אחרת חוטאת לצדק ולכן אין לבטוח בה. </w:t>
      </w:r>
      <w:r w:rsidR="00867D15">
        <w:rPr>
          <w:rFonts w:hint="cs"/>
          <w:rtl/>
        </w:rPr>
        <w:t xml:space="preserve">מזה כמובן יהיה שהצורה הזו תיעקר ממקומה גם ללא הסכמתה, שמה שאינו גילוי כבודו של הבורא והצדק שלו אין לו מקום בבריאה. </w:t>
      </w:r>
      <w:r w:rsidR="009B48A4">
        <w:rPr>
          <w:rFonts w:hint="cs"/>
          <w:rtl/>
        </w:rPr>
        <w:t>אבן סינא מבאר כאן את הטעם למה לא יתכן קיום לצורה שהג</w:t>
      </w:r>
      <w:r w:rsidR="0078466C">
        <w:rPr>
          <w:rFonts w:hint="cs"/>
          <w:rtl/>
        </w:rPr>
        <w:t>י</w:t>
      </w:r>
      <w:r w:rsidR="009B48A4">
        <w:rPr>
          <w:rFonts w:hint="cs"/>
          <w:rtl/>
        </w:rPr>
        <w:t>ע זמנה להיפרד מהחומר</w:t>
      </w:r>
      <w:r w:rsidR="0078466C">
        <w:rPr>
          <w:rFonts w:hint="cs"/>
          <w:rtl/>
        </w:rPr>
        <w:t xml:space="preserve">. </w:t>
      </w:r>
      <w:r>
        <w:rPr>
          <w:rFonts w:hint="cs"/>
          <w:rtl/>
        </w:rPr>
        <w:t xml:space="preserve"> </w:t>
      </w:r>
      <w:r w:rsidR="00E22E11">
        <w:rPr>
          <w:rFonts w:hint="cs"/>
          <w:rtl/>
        </w:rPr>
        <w:t xml:space="preserve"> </w:t>
      </w:r>
    </w:p>
  </w:footnote>
  <w:footnote w:id="660">
    <w:p w14:paraId="443342C7" w14:textId="081260A0" w:rsidR="00396484" w:rsidRDefault="00283372">
      <w:pPr>
        <w:pStyle w:val="FootnoteText"/>
        <w:rPr>
          <w:rtl/>
        </w:rPr>
      </w:pPr>
      <w:r>
        <w:rPr>
          <w:rStyle w:val="FootnoteReference"/>
        </w:rPr>
        <w:footnoteRef/>
      </w:r>
      <w:r>
        <w:rPr>
          <w:rtl/>
        </w:rPr>
        <w:t xml:space="preserve"> </w:t>
      </w:r>
      <w:r w:rsidR="006349C8">
        <w:rPr>
          <w:rFonts w:hint="cs"/>
          <w:rtl/>
        </w:rPr>
        <w:t xml:space="preserve">כח היינו האפשרות. </w:t>
      </w:r>
      <w:r w:rsidR="009418C2">
        <w:rPr>
          <w:rFonts w:hint="cs"/>
          <w:rtl/>
        </w:rPr>
        <w:t xml:space="preserve">החומר יש בו את כל האפשרויות. </w:t>
      </w:r>
      <w:r w:rsidR="009A397E">
        <w:rPr>
          <w:rFonts w:hint="cs"/>
          <w:rtl/>
        </w:rPr>
        <w:t>בזה הוא נצחי</w:t>
      </w:r>
      <w:r w:rsidR="00E65CB4">
        <w:rPr>
          <w:rFonts w:hint="cs"/>
          <w:rtl/>
        </w:rPr>
        <w:t xml:space="preserve">, מעל הזמן, כי אין בו שינוי. </w:t>
      </w:r>
      <w:r w:rsidR="000714AC">
        <w:rPr>
          <w:rFonts w:hint="cs"/>
          <w:rtl/>
        </w:rPr>
        <w:t xml:space="preserve">הצורה רוצה להתלבש בכל חומר בכל זמן, וההגבלה להתלבש דווקא בזמנים </w:t>
      </w:r>
      <w:r w:rsidR="009C463A">
        <w:rPr>
          <w:rFonts w:hint="cs"/>
          <w:rtl/>
        </w:rPr>
        <w:t>מסוימים</w:t>
      </w:r>
      <w:r w:rsidR="000714AC">
        <w:rPr>
          <w:rFonts w:hint="cs"/>
          <w:rtl/>
        </w:rPr>
        <w:t xml:space="preserve"> וד</w:t>
      </w:r>
      <w:r w:rsidR="00B73CA4">
        <w:rPr>
          <w:rFonts w:hint="cs"/>
          <w:rtl/>
        </w:rPr>
        <w:t>וו</w:t>
      </w:r>
      <w:r w:rsidR="000714AC">
        <w:rPr>
          <w:rFonts w:hint="cs"/>
          <w:rtl/>
        </w:rPr>
        <w:t xml:space="preserve">קא בחומרים </w:t>
      </w:r>
      <w:r w:rsidR="009C463A">
        <w:rPr>
          <w:rFonts w:hint="cs"/>
          <w:rtl/>
        </w:rPr>
        <w:t>מסוימים</w:t>
      </w:r>
      <w:r w:rsidR="00B73CA4">
        <w:rPr>
          <w:rFonts w:hint="cs"/>
          <w:rtl/>
        </w:rPr>
        <w:t xml:space="preserve"> היא לפי ההכנה של החומר. </w:t>
      </w:r>
      <w:r w:rsidR="000714AC">
        <w:rPr>
          <w:rFonts w:hint="cs"/>
          <w:rtl/>
        </w:rPr>
        <w:t>מה שאינו נכלל באפשרויות של</w:t>
      </w:r>
      <w:r w:rsidR="00B73CA4">
        <w:rPr>
          <w:rFonts w:hint="cs"/>
          <w:rtl/>
        </w:rPr>
        <w:t xml:space="preserve"> החומר כלל, אין לנו שום יכולת לשער ואין לנו לנסות לדבר עליו</w:t>
      </w:r>
      <w:r w:rsidR="00D11013">
        <w:rPr>
          <w:rFonts w:hint="cs"/>
          <w:rtl/>
        </w:rPr>
        <w:t xml:space="preserve">. המציאות היא חסרונו של מה שנעדר, רק </w:t>
      </w:r>
      <w:r w:rsidR="00C62D0B">
        <w:rPr>
          <w:rFonts w:hint="cs"/>
          <w:rtl/>
        </w:rPr>
        <w:t>מ</w:t>
      </w:r>
      <w:r w:rsidR="00D11013">
        <w:rPr>
          <w:rFonts w:hint="cs"/>
          <w:rtl/>
        </w:rPr>
        <w:t>ה שהיה באפשרות הוא נעדר</w:t>
      </w:r>
      <w:r w:rsidR="00C62D0B">
        <w:rPr>
          <w:rFonts w:hint="cs"/>
          <w:rtl/>
        </w:rPr>
        <w:t xml:space="preserve">, </w:t>
      </w:r>
      <w:r w:rsidR="00D55D57">
        <w:rPr>
          <w:rFonts w:hint="cs"/>
          <w:rtl/>
        </w:rPr>
        <w:t xml:space="preserve">ההעדר הוא על רקע האפשרות שיהיה. </w:t>
      </w:r>
      <w:r w:rsidR="00C62D0B">
        <w:rPr>
          <w:rFonts w:hint="cs"/>
          <w:rtl/>
        </w:rPr>
        <w:t>למשל על אדם אפשר לומר שהוא עיוור וזו אמי</w:t>
      </w:r>
      <w:r w:rsidR="00E31733">
        <w:rPr>
          <w:rFonts w:hint="cs"/>
          <w:rtl/>
        </w:rPr>
        <w:t>ר</w:t>
      </w:r>
      <w:r w:rsidR="00C62D0B">
        <w:rPr>
          <w:rFonts w:hint="cs"/>
          <w:rtl/>
        </w:rPr>
        <w:t xml:space="preserve">ה בעל משמעות אבל לא על קיר. </w:t>
      </w:r>
      <w:r w:rsidR="00262B62">
        <w:rPr>
          <w:rFonts w:hint="cs"/>
          <w:rtl/>
        </w:rPr>
        <w:t xml:space="preserve">מה שכן נכלל באפשרויות, קובע את מציאות הדברים לפי האפשרויות </w:t>
      </w:r>
      <w:r w:rsidR="00EE6932">
        <w:rPr>
          <w:rFonts w:hint="cs"/>
          <w:rtl/>
        </w:rPr>
        <w:t>שבאותו עצם באותו זמן ומקום. כלומר מה שיש כאן סוס ולא חמור</w:t>
      </w:r>
      <w:r w:rsidR="000714AC">
        <w:rPr>
          <w:rFonts w:hint="cs"/>
          <w:rtl/>
        </w:rPr>
        <w:t xml:space="preserve"> </w:t>
      </w:r>
      <w:r w:rsidR="00EE6932">
        <w:rPr>
          <w:rFonts w:hint="cs"/>
          <w:rtl/>
        </w:rPr>
        <w:t xml:space="preserve">הוא </w:t>
      </w:r>
      <w:r w:rsidR="0039433B">
        <w:rPr>
          <w:rFonts w:hint="cs"/>
          <w:rtl/>
        </w:rPr>
        <w:t xml:space="preserve">משום שבחומר שכאן ועכשיו הייתה הכנה לקבל צורת סוס. </w:t>
      </w:r>
    </w:p>
    <w:p w14:paraId="519E35C3" w14:textId="219964EB" w:rsidR="00283372" w:rsidRDefault="0080088E">
      <w:pPr>
        <w:pStyle w:val="FootnoteText"/>
      </w:pPr>
      <w:r>
        <w:rPr>
          <w:rFonts w:hint="cs"/>
          <w:rtl/>
        </w:rPr>
        <w:t xml:space="preserve">היכולת להבין את ההכנה של החומר אינה שכלית, </w:t>
      </w:r>
      <w:r w:rsidR="00396484">
        <w:rPr>
          <w:rFonts w:hint="cs"/>
          <w:rtl/>
        </w:rPr>
        <w:t xml:space="preserve">אפשר שאבן סינא מתכוון כאן שדי בידיעה השכלית הכללית </w:t>
      </w:r>
      <w:r w:rsidR="002F3E7A">
        <w:rPr>
          <w:rFonts w:hint="cs"/>
          <w:rtl/>
        </w:rPr>
        <w:t>ש</w:t>
      </w:r>
      <w:r w:rsidR="00396484">
        <w:rPr>
          <w:rFonts w:hint="cs"/>
          <w:rtl/>
        </w:rPr>
        <w:t xml:space="preserve">החומר קובע את העצמים, בלי לרדת להבנת הכנת החומר המסוימת שקובעת שיש כאן דווקא סוס. </w:t>
      </w:r>
      <w:r w:rsidR="002856DF">
        <w:rPr>
          <w:rFonts w:hint="cs"/>
          <w:rtl/>
        </w:rPr>
        <w:t xml:space="preserve">יש מקצועות שעוסקים בהכנת החומר, למשל מגדל סוסים יודע להבחין שסוס פלוני מזגו סוער והוא לא </w:t>
      </w:r>
      <w:r w:rsidR="00D4187A">
        <w:rPr>
          <w:rFonts w:hint="cs"/>
          <w:rtl/>
        </w:rPr>
        <w:t>יתאים לרכיבה</w:t>
      </w:r>
      <w:r w:rsidR="003F773B">
        <w:rPr>
          <w:rFonts w:hint="cs"/>
          <w:rtl/>
        </w:rPr>
        <w:t xml:space="preserve">, וזה לא </w:t>
      </w:r>
      <w:r w:rsidR="004969B3">
        <w:rPr>
          <w:rFonts w:hint="cs"/>
          <w:rtl/>
        </w:rPr>
        <w:t>מכח השכל אלא מכח הדמיון, כמו אמנות</w:t>
      </w:r>
      <w:r w:rsidR="00D4187A">
        <w:rPr>
          <w:rFonts w:hint="cs"/>
          <w:rtl/>
        </w:rPr>
        <w:t>. אבל חכמת הטבע היא פילוסופיה, היא חכמה שכלית</w:t>
      </w:r>
      <w:r w:rsidR="00E24113">
        <w:rPr>
          <w:rFonts w:hint="cs"/>
          <w:rtl/>
        </w:rPr>
        <w:t xml:space="preserve"> ולא חכמה שימושית</w:t>
      </w:r>
      <w:r w:rsidR="00D4187A">
        <w:rPr>
          <w:rFonts w:hint="cs"/>
          <w:rtl/>
        </w:rPr>
        <w:t xml:space="preserve">. </w:t>
      </w:r>
    </w:p>
  </w:footnote>
  <w:footnote w:id="661">
    <w:p w14:paraId="63765FBA" w14:textId="3DCB252A" w:rsidR="0092654B" w:rsidRDefault="0092654B">
      <w:pPr>
        <w:pStyle w:val="FootnoteText"/>
      </w:pPr>
      <w:r>
        <w:rPr>
          <w:rStyle w:val="FootnoteReference"/>
        </w:rPr>
        <w:footnoteRef/>
      </w:r>
      <w:r>
        <w:rPr>
          <w:rtl/>
        </w:rPr>
        <w:t xml:space="preserve"> </w:t>
      </w:r>
      <w:r w:rsidR="00B22616" w:rsidRPr="00B22616">
        <w:rPr>
          <w:rFonts w:ascii="Arial" w:hAnsi="Arial" w:cs="Arial" w:hint="cs"/>
          <w:rtl/>
          <w:lang w:bidi="ar-SA"/>
        </w:rPr>
        <w:t>جوهر</w:t>
      </w:r>
      <w:r w:rsidR="00B22616" w:rsidRPr="00B22616">
        <w:rPr>
          <w:rtl/>
        </w:rPr>
        <w:t xml:space="preserve">. אפשר לתרגם גם מהות. </w:t>
      </w:r>
    </w:p>
  </w:footnote>
  <w:footnote w:id="662">
    <w:p w14:paraId="0220D060" w14:textId="03747381" w:rsidR="000A6CE3" w:rsidRDefault="000A6CE3">
      <w:pPr>
        <w:pStyle w:val="FootnoteText"/>
        <w:rPr>
          <w:rtl/>
        </w:rPr>
      </w:pPr>
      <w:r>
        <w:rPr>
          <w:rStyle w:val="FootnoteReference"/>
        </w:rPr>
        <w:footnoteRef/>
      </w:r>
      <w:r>
        <w:rPr>
          <w:rtl/>
        </w:rPr>
        <w:t xml:space="preserve"> </w:t>
      </w:r>
      <w:r w:rsidR="000451FC">
        <w:rPr>
          <w:rFonts w:hint="cs"/>
          <w:rtl/>
        </w:rPr>
        <w:t>הדברים כאן מבוססים על דברי אריסטו בפיזיקה ב' פרק ז'</w:t>
      </w:r>
      <w:r w:rsidR="004A5260">
        <w:rPr>
          <w:rFonts w:hint="cs"/>
          <w:rtl/>
        </w:rPr>
        <w:t>:</w:t>
      </w:r>
    </w:p>
    <w:p w14:paraId="55A312BF" w14:textId="5BB57456" w:rsidR="004A5260" w:rsidRDefault="004A5260" w:rsidP="00FB0D6A">
      <w:pPr>
        <w:pStyle w:val="FootnoteText"/>
        <w:rPr>
          <w:rtl/>
        </w:rPr>
      </w:pPr>
      <w:r>
        <w:rPr>
          <w:rtl/>
        </w:rPr>
        <w:t xml:space="preserve">שיש סיבות ושמספרן הוא כזה כפי שאנו אומרים ברור. </w:t>
      </w:r>
      <w:r w:rsidR="00013A11">
        <w:rPr>
          <w:rFonts w:hint="cs"/>
          <w:rtl/>
        </w:rPr>
        <w:t>כי ז</w:t>
      </w:r>
      <w:r>
        <w:rPr>
          <w:rtl/>
        </w:rPr>
        <w:t xml:space="preserve">ה המניין שהשאלה 'בגלל מה' מקיפה. </w:t>
      </w:r>
      <w:r w:rsidR="00013A11">
        <w:rPr>
          <w:rFonts w:hint="cs"/>
          <w:rtl/>
        </w:rPr>
        <w:t xml:space="preserve">או בתחום </w:t>
      </w:r>
      <w:r>
        <w:rPr>
          <w:rtl/>
        </w:rPr>
        <w:t>הדברים הלא נעים - מעמידים לבסוף את ה</w:t>
      </w:r>
      <w:r w:rsidR="00EF5402">
        <w:rPr>
          <w:rFonts w:hint="cs"/>
          <w:rtl/>
        </w:rPr>
        <w:t>'</w:t>
      </w:r>
      <w:r>
        <w:rPr>
          <w:rtl/>
        </w:rPr>
        <w:t>בגלל</w:t>
      </w:r>
      <w:r w:rsidR="00EF5402">
        <w:rPr>
          <w:rFonts w:hint="cs"/>
          <w:rtl/>
        </w:rPr>
        <w:t xml:space="preserve"> מה'</w:t>
      </w:r>
      <w:r>
        <w:rPr>
          <w:rtl/>
        </w:rPr>
        <w:t xml:space="preserve"> </w:t>
      </w:r>
      <w:r w:rsidR="00EC16DF">
        <w:rPr>
          <w:rFonts w:hint="cs"/>
          <w:rtl/>
        </w:rPr>
        <w:t xml:space="preserve">על </w:t>
      </w:r>
      <w:r>
        <w:rPr>
          <w:rtl/>
        </w:rPr>
        <w:t xml:space="preserve">ה'מהו' (במתמטיקה, למשל, מעמידים לבסוף על </w:t>
      </w:r>
      <w:r w:rsidR="003C73AB">
        <w:rPr>
          <w:rFonts w:hint="cs"/>
          <w:rtl/>
        </w:rPr>
        <w:t>ההגדרה של</w:t>
      </w:r>
      <w:r>
        <w:rPr>
          <w:rtl/>
        </w:rPr>
        <w:t xml:space="preserve"> הישר או של מה שיש לו מידה משותפת, או של משהו אחר</w:t>
      </w:r>
      <w:r w:rsidR="001A5615">
        <w:rPr>
          <w:rFonts w:hint="cs"/>
          <w:rtl/>
        </w:rPr>
        <w:t xml:space="preserve">); </w:t>
      </w:r>
      <w:r>
        <w:rPr>
          <w:rtl/>
        </w:rPr>
        <w:t>או על מה שהוא המניע הראשוני (למשל: בגלל מה יצא למלחמה? משום שנבזזו); או לשם מה (כדי שישלטו)</w:t>
      </w:r>
      <w:r w:rsidR="00D132B4">
        <w:rPr>
          <w:rFonts w:hint="cs"/>
          <w:rtl/>
        </w:rPr>
        <w:t xml:space="preserve">; או - </w:t>
      </w:r>
      <w:r>
        <w:rPr>
          <w:rtl/>
        </w:rPr>
        <w:t>בתחום הדברים המתהווים</w:t>
      </w:r>
      <w:r w:rsidR="00DE3F2F">
        <w:rPr>
          <w:rFonts w:hint="cs"/>
          <w:rtl/>
        </w:rPr>
        <w:t xml:space="preserve"> -</w:t>
      </w:r>
      <w:r>
        <w:rPr>
          <w:rtl/>
        </w:rPr>
        <w:t xml:space="preserve"> החומר.</w:t>
      </w:r>
    </w:p>
    <w:p w14:paraId="6C384793" w14:textId="35E88F3E" w:rsidR="00586F5D" w:rsidRDefault="004A5260" w:rsidP="006C0805">
      <w:pPr>
        <w:pStyle w:val="FootnoteText"/>
        <w:rPr>
          <w:rtl/>
        </w:rPr>
      </w:pPr>
      <w:r>
        <w:rPr>
          <w:rtl/>
        </w:rPr>
        <w:t>שהסיבות אפוא הן אלו ומספרן כזה, ברור. מאחר שהסיבות הן ארבע, מתפקידו של חוקר הטבע לדעת על כולן, ובהעמידו בא</w:t>
      </w:r>
      <w:r w:rsidR="0009614B">
        <w:rPr>
          <w:rFonts w:hint="cs"/>
          <w:rtl/>
        </w:rPr>
        <w:t>ו</w:t>
      </w:r>
      <w:r>
        <w:rPr>
          <w:rtl/>
        </w:rPr>
        <w:t>פן</w:t>
      </w:r>
      <w:r w:rsidR="00586F5D">
        <w:rPr>
          <w:rtl/>
        </w:rPr>
        <w:t xml:space="preserve"> ההולם למחקר הטבע את ה</w:t>
      </w:r>
      <w:r w:rsidR="009A0161">
        <w:rPr>
          <w:rFonts w:hint="cs"/>
          <w:rtl/>
        </w:rPr>
        <w:t>'</w:t>
      </w:r>
      <w:r w:rsidR="00586F5D">
        <w:rPr>
          <w:rtl/>
        </w:rPr>
        <w:t xml:space="preserve">בגלל מה' על כולן ייתן דין </w:t>
      </w:r>
      <w:r w:rsidR="008D5316">
        <w:rPr>
          <w:rFonts w:hint="cs"/>
          <w:rtl/>
        </w:rPr>
        <w:t>וחשבון</w:t>
      </w:r>
      <w:r w:rsidR="00586F5D">
        <w:rPr>
          <w:rtl/>
        </w:rPr>
        <w:t xml:space="preserve"> מבחינת החומר, הצורה, המניע </w:t>
      </w:r>
      <w:r w:rsidR="00586F5D">
        <w:rPr>
          <w:rtl/>
        </w:rPr>
        <w:t>וה'לשם מה</w:t>
      </w:r>
      <w:r w:rsidR="008D5316">
        <w:rPr>
          <w:rFonts w:hint="cs"/>
          <w:rtl/>
        </w:rPr>
        <w:t>'</w:t>
      </w:r>
      <w:r w:rsidR="00586F5D">
        <w:rPr>
          <w:rtl/>
        </w:rPr>
        <w:t>. לעתים קרובות נעשות השלוש לאחד, כי ה'מהו' וה'לשם מה' אחד הם, והמקור ממנו מתחילה התנועה זהה עם אלה מבחינת הצורה, שהרי אדם מוליד אדם - וכללית, דברים מניעים בהיותם מונעים (אלה שלא - אינם שייכים לתחום מחקר הטבע, שהרי הם מניעים בלי שיש בהם תנועה או התחלה של תנועה, אך הם בלתי נעים; לכן שלושה הם תחומי המחקר: האחד - מה שאינו נע, השני - מה שנע אמנם אך אינו כלה</w:t>
      </w:r>
      <w:r w:rsidR="00C530DB">
        <w:rPr>
          <w:rFonts w:hint="cs"/>
          <w:rtl/>
        </w:rPr>
        <w:t>,</w:t>
      </w:r>
      <w:r w:rsidR="00586F5D">
        <w:rPr>
          <w:rtl/>
        </w:rPr>
        <w:t xml:space="preserve"> והשלישי - דברים הכלים). כך שדין וחשבון יינתן על ידי מי שמעמיד את ה</w:t>
      </w:r>
      <w:r w:rsidR="00C530DB">
        <w:rPr>
          <w:rFonts w:hint="cs"/>
          <w:rtl/>
        </w:rPr>
        <w:t>'</w:t>
      </w:r>
      <w:r w:rsidR="00586F5D">
        <w:rPr>
          <w:rtl/>
        </w:rPr>
        <w:t>בגלל מה' על החומר על ה</w:t>
      </w:r>
      <w:r w:rsidR="006C0805">
        <w:rPr>
          <w:rFonts w:hint="cs"/>
          <w:rtl/>
        </w:rPr>
        <w:t>'</w:t>
      </w:r>
      <w:r w:rsidR="00586F5D">
        <w:rPr>
          <w:rtl/>
        </w:rPr>
        <w:t>מהו' ועל המניע הראשון.</w:t>
      </w:r>
    </w:p>
    <w:p w14:paraId="3295960A" w14:textId="0402B6C3" w:rsidR="004A5260" w:rsidRDefault="00586F5D" w:rsidP="00CF2864">
      <w:pPr>
        <w:pStyle w:val="FootnoteText"/>
      </w:pPr>
      <w:r>
        <w:rPr>
          <w:rtl/>
        </w:rPr>
        <w:t>אשר להתהוות דנים בסיבות במיוחד באופן הבא: מה מתהווה אחרי מה, מה פעל או מה נפעל תחילה וכך תמיד מה שבא בזה אחר זה. אך ההתחלות המניעות באופן טבעי הן שתיים, שהאחת מהן אינה שייכת לטבע, כי אין לה התחלה של תנועה בתוך עצמה. אם דבר מה מניע כשהוא [עצמו] אינו נע הוא כזה, כמו מה שאינו נע לחלוטין. הוא הראשון מכל הדברים כולם, וכן ה'מהו' והתבנית, שהרי היא תכלית וה</w:t>
      </w:r>
      <w:r w:rsidR="00047429">
        <w:rPr>
          <w:rFonts w:hint="cs"/>
          <w:rtl/>
        </w:rPr>
        <w:t>'</w:t>
      </w:r>
      <w:r>
        <w:rPr>
          <w:rtl/>
        </w:rPr>
        <w:t>לשם מה'. כך שמאחר שהטבע הוא לשם דבר מה, יש לדעת גם את הסיבה הזאת ויש לעמוד על כל האופנים של ה'בגלל מה', כגון שמדבר זה נובע בהכרח הדבר ההוא (</w:t>
      </w:r>
      <w:r w:rsidR="00661F11">
        <w:rPr>
          <w:rFonts w:hint="cs"/>
          <w:rtl/>
        </w:rPr>
        <w:t>'</w:t>
      </w:r>
      <w:r>
        <w:rPr>
          <w:rtl/>
        </w:rPr>
        <w:t>מדבר זה' או במוחלט או על פי הרוב); וכן שאם זה כך וכך, כך וכך עתיד להיות (כמו המסקנה מן ההנחות); וכן שזו הייתה המהות, וכן</w:t>
      </w:r>
      <w:r w:rsidR="00CF2864">
        <w:rPr>
          <w:rFonts w:hint="cs"/>
          <w:rtl/>
        </w:rPr>
        <w:t xml:space="preserve"> </w:t>
      </w:r>
      <w:r>
        <w:rPr>
          <w:rtl/>
        </w:rPr>
        <w:t>שמשום שכך טוב יותר (לא במוחלט אלא ביחס להווייתו של כל דבר ודבר).</w:t>
      </w:r>
      <w:r w:rsidR="00CF2864">
        <w:rPr>
          <w:rFonts w:hint="cs"/>
          <w:rtl/>
        </w:rPr>
        <w:t xml:space="preserve">" עד כאן לשונו של אריסטו בפיזיקה. </w:t>
      </w:r>
      <w:r>
        <w:rPr>
          <w:rtl/>
        </w:rPr>
        <w:t xml:space="preserve"> </w:t>
      </w:r>
    </w:p>
  </w:footnote>
  <w:footnote w:id="663">
    <w:p w14:paraId="73D2CD3D" w14:textId="77777777" w:rsidR="004D6F01" w:rsidRDefault="00CB4EEA" w:rsidP="00BC4F4B">
      <w:pPr>
        <w:pStyle w:val="FootnoteText"/>
        <w:rPr>
          <w:rtl/>
        </w:rPr>
      </w:pPr>
      <w:r>
        <w:rPr>
          <w:rStyle w:val="FootnoteReference"/>
        </w:rPr>
        <w:footnoteRef/>
      </w:r>
      <w:r>
        <w:rPr>
          <w:rtl/>
        </w:rPr>
        <w:t xml:space="preserve"> </w:t>
      </w:r>
      <w:r>
        <w:rPr>
          <w:rFonts w:hint="cs"/>
          <w:rtl/>
        </w:rPr>
        <w:t>אין הבדל בין סיבה ובין עילה. אבן סינא כותב</w:t>
      </w:r>
      <w:r w:rsidR="00CC34BF">
        <w:rPr>
          <w:rFonts w:hint="cs"/>
          <w:rtl/>
        </w:rPr>
        <w:t xml:space="preserve"> לפעמים</w:t>
      </w:r>
      <w:r>
        <w:rPr>
          <w:rFonts w:hint="cs"/>
          <w:rtl/>
        </w:rPr>
        <w:t xml:space="preserve"> </w:t>
      </w:r>
      <w:r w:rsidR="00DC197F">
        <w:rPr>
          <w:rFonts w:hint="cs"/>
          <w:rtl/>
        </w:rPr>
        <w:t>'</w:t>
      </w:r>
      <w:r>
        <w:rPr>
          <w:rFonts w:hint="cs"/>
          <w:rtl/>
        </w:rPr>
        <w:t>עילה</w:t>
      </w:r>
      <w:r w:rsidR="00DC197F">
        <w:rPr>
          <w:rFonts w:hint="cs"/>
          <w:rtl/>
        </w:rPr>
        <w:t>'</w:t>
      </w:r>
      <w:r w:rsidR="000A6A3C">
        <w:rPr>
          <w:rFonts w:hint="cs"/>
          <w:rtl/>
        </w:rPr>
        <w:t xml:space="preserve"> (עלה </w:t>
      </w:r>
      <w:r w:rsidR="003463C6" w:rsidRPr="003463C6">
        <w:rPr>
          <w:rFonts w:cs="Times New Roman" w:hint="eastAsia"/>
          <w:rtl/>
          <w:lang w:bidi="ar-SA"/>
        </w:rPr>
        <w:t>علة</w:t>
      </w:r>
      <w:r w:rsidR="000A6A3C">
        <w:rPr>
          <w:rFonts w:hint="cs"/>
          <w:rtl/>
        </w:rPr>
        <w:t>)</w:t>
      </w:r>
      <w:r w:rsidR="00CC34BF">
        <w:rPr>
          <w:rFonts w:hint="cs"/>
          <w:rtl/>
        </w:rPr>
        <w:t xml:space="preserve"> ולפעמים </w:t>
      </w:r>
      <w:r w:rsidR="00381ADE">
        <w:rPr>
          <w:rFonts w:hint="cs"/>
          <w:rtl/>
        </w:rPr>
        <w:t>'</w:t>
      </w:r>
      <w:r w:rsidR="00CC34BF">
        <w:rPr>
          <w:rFonts w:hint="cs"/>
          <w:rtl/>
        </w:rPr>
        <w:t>סיבה</w:t>
      </w:r>
      <w:r w:rsidR="00381ADE">
        <w:rPr>
          <w:rFonts w:hint="cs"/>
          <w:rtl/>
        </w:rPr>
        <w:t xml:space="preserve">' (סבב </w:t>
      </w:r>
      <w:bookmarkStart w:id="298" w:name="_Hlk114589181"/>
      <w:r w:rsidR="00381ADE" w:rsidRPr="00381ADE">
        <w:rPr>
          <w:rFonts w:cs="Times New Roman" w:hint="eastAsia"/>
          <w:rtl/>
          <w:lang w:bidi="ar-SA"/>
        </w:rPr>
        <w:t>سبب</w:t>
      </w:r>
      <w:bookmarkEnd w:id="298"/>
      <w:r w:rsidR="000A6A3C">
        <w:rPr>
          <w:rFonts w:cs="Times New Roman" w:hint="cs"/>
          <w:rtl/>
        </w:rPr>
        <w:t>)</w:t>
      </w:r>
      <w:r w:rsidR="00381ADE">
        <w:rPr>
          <w:rFonts w:hint="cs"/>
          <w:rtl/>
        </w:rPr>
        <w:t xml:space="preserve"> ולא ראיתי הב</w:t>
      </w:r>
      <w:r w:rsidR="00252F4B">
        <w:rPr>
          <w:rtl/>
        </w:rPr>
        <w:tab/>
      </w:r>
      <w:r w:rsidR="00381ADE">
        <w:rPr>
          <w:rFonts w:hint="cs"/>
          <w:rtl/>
        </w:rPr>
        <w:t xml:space="preserve">דל בשימוש במילים האלה. </w:t>
      </w:r>
      <w:r w:rsidR="0027684A">
        <w:rPr>
          <w:rFonts w:hint="cs"/>
          <w:rtl/>
        </w:rPr>
        <w:t>כך שאנקוט פעם כך ופעם כך בלי עקביות</w:t>
      </w:r>
      <w:r w:rsidR="0012363F">
        <w:rPr>
          <w:rFonts w:hint="cs"/>
          <w:rtl/>
        </w:rPr>
        <w:t xml:space="preserve"> (במאמרו של אברהם נוריאל </w:t>
      </w:r>
      <w:r w:rsidR="006D7436">
        <w:rPr>
          <w:rFonts w:hint="cs"/>
          <w:rtl/>
        </w:rPr>
        <w:t>בספרו גלוי וסמוי בפילוסופיה היהודית, ניסה להעמיד חילוק בין סיבה לעילה</w:t>
      </w:r>
      <w:r w:rsidR="00F56445">
        <w:rPr>
          <w:rFonts w:hint="cs"/>
          <w:rtl/>
        </w:rPr>
        <w:t xml:space="preserve">, </w:t>
      </w:r>
      <w:r w:rsidR="00D15CDB">
        <w:rPr>
          <w:rFonts w:hint="cs"/>
          <w:rtl/>
        </w:rPr>
        <w:t xml:space="preserve">לדבריו </w:t>
      </w:r>
      <w:r w:rsidR="00F56445">
        <w:rPr>
          <w:rFonts w:hint="cs"/>
          <w:rtl/>
        </w:rPr>
        <w:t>עילה מ</w:t>
      </w:r>
      <w:r w:rsidR="00BC4F4B">
        <w:rPr>
          <w:rFonts w:hint="cs"/>
          <w:rtl/>
        </w:rPr>
        <w:t>ציינת רק סיבתיות שכלית הכרחית, ול</w:t>
      </w:r>
      <w:r w:rsidR="00AB5212">
        <w:rPr>
          <w:rFonts w:hint="cs"/>
          <w:rtl/>
        </w:rPr>
        <w:t>א</w:t>
      </w:r>
      <w:r w:rsidR="00BC4F4B">
        <w:rPr>
          <w:rFonts w:hint="cs"/>
          <w:rtl/>
        </w:rPr>
        <w:t xml:space="preserve"> ס</w:t>
      </w:r>
      <w:r w:rsidR="00AB5212">
        <w:rPr>
          <w:rFonts w:hint="cs"/>
          <w:rtl/>
        </w:rPr>
        <w:t>י</w:t>
      </w:r>
      <w:r w:rsidR="00BC4F4B">
        <w:rPr>
          <w:rFonts w:hint="cs"/>
          <w:rtl/>
        </w:rPr>
        <w:t>בתיות מקרית</w:t>
      </w:r>
      <w:r w:rsidR="00AB5212">
        <w:rPr>
          <w:rFonts w:hint="cs"/>
          <w:rtl/>
        </w:rPr>
        <w:t>, וסיבה משמשת לשני המובנים</w:t>
      </w:r>
      <w:r w:rsidR="006D7436">
        <w:rPr>
          <w:rFonts w:hint="cs"/>
          <w:rtl/>
        </w:rPr>
        <w:t xml:space="preserve">. </w:t>
      </w:r>
      <w:r w:rsidR="00AF7853">
        <w:rPr>
          <w:rFonts w:hint="cs"/>
          <w:rtl/>
        </w:rPr>
        <w:t>לדעתי לפעמים כשרוצים לדבר על בחינות שונות של אותו עניין מייחדים אחת מהמילים הנרדפות לשימוש מיוחד זה</w:t>
      </w:r>
      <w:r w:rsidR="007A7DBA">
        <w:rPr>
          <w:rFonts w:hint="cs"/>
          <w:rtl/>
        </w:rPr>
        <w:t>, והייחוד הזה הוא מקומי רק לאותו דיון, ו</w:t>
      </w:r>
      <w:r w:rsidR="006831CC">
        <w:rPr>
          <w:rFonts w:hint="cs"/>
          <w:rtl/>
        </w:rPr>
        <w:t>אינו בהכרח</w:t>
      </w:r>
      <w:r w:rsidR="007A7DBA">
        <w:rPr>
          <w:rFonts w:hint="cs"/>
          <w:rtl/>
        </w:rPr>
        <w:t xml:space="preserve"> מונח קבוע</w:t>
      </w:r>
      <w:r w:rsidR="00AF7853">
        <w:rPr>
          <w:rFonts w:hint="cs"/>
          <w:rtl/>
        </w:rPr>
        <w:t>.</w:t>
      </w:r>
      <w:r w:rsidR="00F24DFD">
        <w:rPr>
          <w:rFonts w:hint="cs"/>
          <w:rtl/>
        </w:rPr>
        <w:t xml:space="preserve"> </w:t>
      </w:r>
      <w:r w:rsidR="00252F4B">
        <w:rPr>
          <w:rFonts w:hint="cs"/>
          <w:rtl/>
        </w:rPr>
        <w:t>ה</w:t>
      </w:r>
      <w:r w:rsidR="00F97BF7">
        <w:rPr>
          <w:rFonts w:hint="cs"/>
          <w:rtl/>
        </w:rPr>
        <w:t>שאיפה</w:t>
      </w:r>
      <w:r w:rsidR="00F24DFD">
        <w:rPr>
          <w:rFonts w:hint="cs"/>
          <w:rtl/>
        </w:rPr>
        <w:t xml:space="preserve"> להגיע למינוח קוהרנטי אופיינית למחשבה המודרנית, מהרנסנס ואילך</w:t>
      </w:r>
      <w:r w:rsidR="000A57F1">
        <w:rPr>
          <w:rFonts w:hint="cs"/>
          <w:rtl/>
        </w:rPr>
        <w:t>,</w:t>
      </w:r>
      <w:r w:rsidR="00F24DFD">
        <w:rPr>
          <w:rFonts w:hint="cs"/>
          <w:rtl/>
        </w:rPr>
        <w:t xml:space="preserve"> </w:t>
      </w:r>
      <w:r w:rsidR="0042592E">
        <w:rPr>
          <w:rFonts w:hint="cs"/>
          <w:rtl/>
        </w:rPr>
        <w:t xml:space="preserve">אבל </w:t>
      </w:r>
      <w:r w:rsidR="000A57F1">
        <w:rPr>
          <w:rFonts w:hint="cs"/>
          <w:rtl/>
        </w:rPr>
        <w:t>בעולם העתיק העיקר היה להבין ולבאר את הנושא, ו</w:t>
      </w:r>
      <w:r w:rsidR="0042592E">
        <w:rPr>
          <w:rFonts w:hint="cs"/>
          <w:rtl/>
        </w:rPr>
        <w:t>לרוב השתמשו במילים</w:t>
      </w:r>
      <w:r w:rsidR="000A57F1">
        <w:rPr>
          <w:rFonts w:hint="cs"/>
          <w:rtl/>
        </w:rPr>
        <w:t xml:space="preserve"> מהשפה ה</w:t>
      </w:r>
      <w:r w:rsidR="0042592E">
        <w:rPr>
          <w:rFonts w:hint="cs"/>
          <w:rtl/>
        </w:rPr>
        <w:t>מדוברת</w:t>
      </w:r>
      <w:r w:rsidR="000A57F1">
        <w:rPr>
          <w:rFonts w:hint="cs"/>
          <w:rtl/>
        </w:rPr>
        <w:t xml:space="preserve"> </w:t>
      </w:r>
      <w:r w:rsidR="00E64062">
        <w:rPr>
          <w:rFonts w:hint="cs"/>
          <w:rtl/>
        </w:rPr>
        <w:t xml:space="preserve">בחופשיות </w:t>
      </w:r>
      <w:r w:rsidR="000A57F1">
        <w:rPr>
          <w:rFonts w:hint="cs"/>
          <w:rtl/>
        </w:rPr>
        <w:t>לפי הצורך</w:t>
      </w:r>
      <w:r w:rsidR="0042592E">
        <w:rPr>
          <w:rFonts w:hint="cs"/>
          <w:rtl/>
        </w:rPr>
        <w:t xml:space="preserve"> של הדיון</w:t>
      </w:r>
      <w:r w:rsidR="0013062B">
        <w:rPr>
          <w:rFonts w:hint="cs"/>
          <w:rtl/>
        </w:rPr>
        <w:t>. כמובן שלפעמים</w:t>
      </w:r>
      <w:r w:rsidR="00FB1C8D">
        <w:rPr>
          <w:rFonts w:hint="cs"/>
          <w:rtl/>
        </w:rPr>
        <w:t xml:space="preserve"> היה חסר מונח פילוסופי</w:t>
      </w:r>
      <w:r w:rsidR="0013062B">
        <w:rPr>
          <w:rFonts w:hint="cs"/>
          <w:rtl/>
        </w:rPr>
        <w:t xml:space="preserve"> </w:t>
      </w:r>
      <w:r w:rsidR="008A00DC">
        <w:rPr>
          <w:rFonts w:hint="cs"/>
          <w:rtl/>
        </w:rPr>
        <w:t>ו</w:t>
      </w:r>
      <w:r w:rsidR="0013062B">
        <w:rPr>
          <w:rFonts w:hint="cs"/>
          <w:rtl/>
        </w:rPr>
        <w:t xml:space="preserve">מילים </w:t>
      </w:r>
      <w:r w:rsidR="008A00DC">
        <w:rPr>
          <w:rFonts w:hint="cs"/>
          <w:rtl/>
        </w:rPr>
        <w:t xml:space="preserve">נלקחו </w:t>
      </w:r>
      <w:r w:rsidR="0013062B">
        <w:rPr>
          <w:rFonts w:hint="cs"/>
          <w:rtl/>
        </w:rPr>
        <w:t xml:space="preserve">מהשפה המדוברת </w:t>
      </w:r>
      <w:r w:rsidR="008A00DC">
        <w:rPr>
          <w:rFonts w:hint="cs"/>
          <w:rtl/>
        </w:rPr>
        <w:t>ו</w:t>
      </w:r>
      <w:r w:rsidR="0013062B">
        <w:rPr>
          <w:rFonts w:hint="cs"/>
          <w:rtl/>
        </w:rPr>
        <w:t xml:space="preserve">הפכו למונחים </w:t>
      </w:r>
      <w:r w:rsidR="00FB1C8D">
        <w:rPr>
          <w:rFonts w:hint="cs"/>
          <w:rtl/>
        </w:rPr>
        <w:t xml:space="preserve">פילוסופיים </w:t>
      </w:r>
      <w:r w:rsidR="0013062B">
        <w:rPr>
          <w:rFonts w:hint="cs"/>
          <w:rtl/>
        </w:rPr>
        <w:t>קבועים</w:t>
      </w:r>
      <w:r w:rsidR="008A00DC">
        <w:rPr>
          <w:rFonts w:hint="cs"/>
          <w:rtl/>
        </w:rPr>
        <w:t>,</w:t>
      </w:r>
      <w:r w:rsidR="0013062B">
        <w:rPr>
          <w:rFonts w:hint="cs"/>
          <w:rtl/>
        </w:rPr>
        <w:t xml:space="preserve"> </w:t>
      </w:r>
      <w:r w:rsidR="00FB1C8D">
        <w:rPr>
          <w:rFonts w:hint="cs"/>
          <w:rtl/>
        </w:rPr>
        <w:t>אבל זה לא שכיח</w:t>
      </w:r>
      <w:r w:rsidR="000A57F1">
        <w:rPr>
          <w:rFonts w:hint="cs"/>
          <w:rtl/>
        </w:rPr>
        <w:t>.</w:t>
      </w:r>
    </w:p>
    <w:p w14:paraId="36866B97" w14:textId="644D8C16" w:rsidR="00CB4EEA" w:rsidRDefault="004D6F01" w:rsidP="00BC4F4B">
      <w:pPr>
        <w:pStyle w:val="FootnoteText"/>
      </w:pPr>
      <w:r>
        <w:rPr>
          <w:rFonts w:hint="cs"/>
          <w:rtl/>
        </w:rPr>
        <w:t>לטעמי אין לזה</w:t>
      </w:r>
      <w:r w:rsidR="00AA2B64">
        <w:rPr>
          <w:rFonts w:hint="cs"/>
          <w:rtl/>
        </w:rPr>
        <w:t xml:space="preserve"> </w:t>
      </w:r>
      <w:r>
        <w:rPr>
          <w:rFonts w:hint="cs"/>
          <w:rtl/>
        </w:rPr>
        <w:t>חשיבות</w:t>
      </w:r>
      <w:r w:rsidR="00AC7250">
        <w:rPr>
          <w:rFonts w:hint="cs"/>
          <w:rtl/>
        </w:rPr>
        <w:t xml:space="preserve"> רבה</w:t>
      </w:r>
      <w:r>
        <w:rPr>
          <w:rFonts w:hint="cs"/>
          <w:rtl/>
        </w:rPr>
        <w:t xml:space="preserve">, </w:t>
      </w:r>
      <w:r w:rsidR="00AA2B64">
        <w:rPr>
          <w:rFonts w:hint="cs"/>
          <w:rtl/>
        </w:rPr>
        <w:t>כי גם אם דברי א. נוריאל צודקים, אי אפשר לבסס על זה לימוד או הבנה</w:t>
      </w:r>
      <w:r w:rsidR="00AC7250">
        <w:rPr>
          <w:rFonts w:hint="cs"/>
          <w:rtl/>
        </w:rPr>
        <w:t xml:space="preserve"> עמוקים</w:t>
      </w:r>
      <w:r w:rsidR="00AA2B64">
        <w:rPr>
          <w:rFonts w:hint="cs"/>
          <w:rtl/>
        </w:rPr>
        <w:t>, כיוון שהעניין לא התפרש ואינו מוכרח</w:t>
      </w:r>
      <w:r w:rsidR="00F56445">
        <w:rPr>
          <w:rFonts w:hint="cs"/>
          <w:rtl/>
        </w:rPr>
        <w:t>)</w:t>
      </w:r>
      <w:r w:rsidR="0027684A">
        <w:rPr>
          <w:rFonts w:hint="cs"/>
          <w:rtl/>
        </w:rPr>
        <w:t xml:space="preserve"> </w:t>
      </w:r>
    </w:p>
  </w:footnote>
  <w:footnote w:id="664">
    <w:p w14:paraId="0D99D13C" w14:textId="1F6C1B64" w:rsidR="00B01EB6" w:rsidRDefault="00B01EB6">
      <w:pPr>
        <w:pStyle w:val="FootnoteText"/>
        <w:rPr>
          <w:rtl/>
        </w:rPr>
      </w:pPr>
      <w:r>
        <w:rPr>
          <w:rStyle w:val="FootnoteReference"/>
        </w:rPr>
        <w:footnoteRef/>
      </w:r>
      <w:r>
        <w:rPr>
          <w:rtl/>
        </w:rPr>
        <w:t xml:space="preserve"> </w:t>
      </w:r>
      <w:r>
        <w:rPr>
          <w:rFonts w:hint="cs"/>
          <w:rtl/>
        </w:rPr>
        <w:t xml:space="preserve">הפילוסופיה הראשונה, שעוסקת במופשט, </w:t>
      </w:r>
      <w:r w:rsidR="008235AF">
        <w:rPr>
          <w:rFonts w:hint="cs"/>
          <w:rtl/>
        </w:rPr>
        <w:t xml:space="preserve">נקראת אצלנו </w:t>
      </w:r>
      <w:r w:rsidR="008235AF">
        <w:rPr>
          <w:rFonts w:hint="cs"/>
          <w:rtl/>
        </w:rPr>
        <w:t xml:space="preserve">מטאפיזיקה. אמנם זה שם מאוחר, ואריסטו עצמו קרא למקצוע זה חכמת האלוהות, וכך תרגמו את שם הספר לערבית ועברית בימי הביניים. </w:t>
      </w:r>
    </w:p>
    <w:p w14:paraId="36B86FFA" w14:textId="3EBEFCA1" w:rsidR="00A90919" w:rsidRDefault="00A90919">
      <w:pPr>
        <w:pStyle w:val="FootnoteText"/>
      </w:pPr>
      <w:r>
        <w:rPr>
          <w:rFonts w:hint="cs"/>
          <w:rtl/>
        </w:rPr>
        <w:t xml:space="preserve">מקגיניס ציין כאן לחלק האלוהיות שבספר הריפוי, כלומר חלק המטאפיזיקה, </w:t>
      </w:r>
      <w:r w:rsidR="00F15C02">
        <w:rPr>
          <w:rFonts w:hint="cs"/>
          <w:rtl/>
        </w:rPr>
        <w:t xml:space="preserve">ספר ו, פרקים 1-5. </w:t>
      </w:r>
    </w:p>
  </w:footnote>
  <w:footnote w:id="665">
    <w:p w14:paraId="57EF7C86" w14:textId="30A2645D" w:rsidR="001102CA" w:rsidRDefault="001102CA">
      <w:pPr>
        <w:pStyle w:val="FootnoteText"/>
      </w:pPr>
      <w:r>
        <w:rPr>
          <w:rStyle w:val="FootnoteReference"/>
        </w:rPr>
        <w:footnoteRef/>
      </w:r>
      <w:r>
        <w:rPr>
          <w:rtl/>
        </w:rPr>
        <w:t xml:space="preserve"> </w:t>
      </w:r>
      <w:r>
        <w:rPr>
          <w:rFonts w:hint="cs"/>
          <w:rtl/>
        </w:rPr>
        <w:t>כל חכמה משתמשת במסקנות החקירה של החכמה שמעליה כנתונים הת</w:t>
      </w:r>
      <w:r w:rsidR="00FF6BDF">
        <w:rPr>
          <w:rFonts w:hint="cs"/>
          <w:rtl/>
        </w:rPr>
        <w:t>חלתיים לחקירה שלה. למשל הרופא מקבל את מסקנות המחקר הכימי והביולוגי כנתונים שאינו מברר אותם אלא משתמש בהם כנקודות מוצא</w:t>
      </w:r>
      <w:r w:rsidR="005764D9">
        <w:rPr>
          <w:rFonts w:hint="cs"/>
          <w:rtl/>
        </w:rPr>
        <w:t xml:space="preserve"> ראשוניות</w:t>
      </w:r>
      <w:r w:rsidR="00FF6BDF">
        <w:rPr>
          <w:rFonts w:hint="cs"/>
          <w:rtl/>
        </w:rPr>
        <w:t xml:space="preserve"> לעיסוק שלו בחכמת הרפואה</w:t>
      </w:r>
      <w:r w:rsidR="00A748B2">
        <w:rPr>
          <w:rFonts w:hint="cs"/>
          <w:rtl/>
        </w:rPr>
        <w:t>, והביולוגים והכימאים לא חוקרים על המתמטיקה שהם משתמשים בה, אלא מקבלים את מסקנות המתמטיקאים כמושכל ראשוני</w:t>
      </w:r>
      <w:r w:rsidR="00FF6BDF">
        <w:rPr>
          <w:rFonts w:hint="cs"/>
          <w:rtl/>
        </w:rPr>
        <w:t xml:space="preserve">. </w:t>
      </w:r>
      <w:r w:rsidR="00403417">
        <w:rPr>
          <w:rFonts w:hint="cs"/>
          <w:rtl/>
        </w:rPr>
        <w:t xml:space="preserve">כך מי שמברר וחוקר על הסיבות, מה הן וכמה הן, הוא </w:t>
      </w:r>
      <w:r w:rsidR="00403417">
        <w:rPr>
          <w:rFonts w:hint="cs"/>
          <w:rtl/>
        </w:rPr>
        <w:t xml:space="preserve">המטאפיזיקאי, </w:t>
      </w:r>
      <w:r w:rsidR="00C050F5">
        <w:rPr>
          <w:rFonts w:hint="cs"/>
          <w:rtl/>
        </w:rPr>
        <w:t xml:space="preserve">וחכם הטבע מקבל את מסקנות המטאפיזיקאי כנקודת פתיחה למחקר שלו. </w:t>
      </w:r>
    </w:p>
  </w:footnote>
  <w:footnote w:id="666">
    <w:p w14:paraId="5D13E9EE" w14:textId="4796870C" w:rsidR="004C680F" w:rsidRPr="00A03A7B" w:rsidRDefault="00B65EF3" w:rsidP="004C680F">
      <w:pPr>
        <w:pStyle w:val="FootnoteText"/>
      </w:pPr>
      <w:r>
        <w:rPr>
          <w:rStyle w:val="FootnoteReference"/>
        </w:rPr>
        <w:footnoteRef/>
      </w:r>
      <w:r>
        <w:rPr>
          <w:rtl/>
        </w:rPr>
        <w:t xml:space="preserve"> </w:t>
      </w:r>
      <w:r w:rsidR="00263223">
        <w:rPr>
          <w:rFonts w:hint="cs"/>
          <w:rtl/>
        </w:rPr>
        <w:t xml:space="preserve">עיין בזה </w:t>
      </w:r>
      <w:r w:rsidR="00263223">
        <w:rPr>
          <w:rFonts w:hint="cs"/>
          <w:rtl/>
        </w:rPr>
        <w:t xml:space="preserve">מטאפיזיקה דלתא </w:t>
      </w:r>
      <w:r w:rsidR="00B85F78">
        <w:rPr>
          <w:rFonts w:hint="cs"/>
          <w:rtl/>
        </w:rPr>
        <w:t>פרק י"ב</w:t>
      </w:r>
      <w:r w:rsidR="004C680F">
        <w:rPr>
          <w:rFonts w:hint="cs"/>
          <w:rtl/>
        </w:rPr>
        <w:t xml:space="preserve">, עמ' 1019א </w:t>
      </w:r>
      <w:r w:rsidR="0086787B">
        <w:rPr>
          <w:rFonts w:hint="cs"/>
          <w:rtl/>
        </w:rPr>
        <w:t>מ</w:t>
      </w:r>
      <w:r w:rsidR="004C680F">
        <w:rPr>
          <w:rFonts w:hint="cs"/>
          <w:rtl/>
        </w:rPr>
        <w:t>שורה 15</w:t>
      </w:r>
      <w:r w:rsidR="0086787B">
        <w:rPr>
          <w:rFonts w:hint="cs"/>
          <w:rtl/>
        </w:rPr>
        <w:t xml:space="preserve">. </w:t>
      </w:r>
    </w:p>
  </w:footnote>
  <w:footnote w:id="667">
    <w:p w14:paraId="5F270CD7" w14:textId="4276499C" w:rsidR="00A67DEE" w:rsidRDefault="00A67DEE">
      <w:pPr>
        <w:pStyle w:val="FootnoteText"/>
      </w:pPr>
      <w:r>
        <w:rPr>
          <w:rStyle w:val="FootnoteReference"/>
        </w:rPr>
        <w:footnoteRef/>
      </w:r>
      <w:r>
        <w:rPr>
          <w:rtl/>
        </w:rPr>
        <w:t xml:space="preserve"> </w:t>
      </w:r>
      <w:r w:rsidR="00D912F7">
        <w:rPr>
          <w:rFonts w:hint="cs"/>
          <w:rtl/>
        </w:rPr>
        <w:t>הגדרה זו של התנועה נמצאת ב</w:t>
      </w:r>
      <w:r>
        <w:rPr>
          <w:rFonts w:hint="cs"/>
          <w:rtl/>
        </w:rPr>
        <w:t>פיזיקה מאת אריסטו, ספר ג' פרק א'</w:t>
      </w:r>
      <w:r w:rsidR="00AE1D08">
        <w:rPr>
          <w:rFonts w:hint="cs"/>
          <w:rtl/>
        </w:rPr>
        <w:t>, עין שם</w:t>
      </w:r>
      <w:r>
        <w:rPr>
          <w:rFonts w:hint="cs"/>
          <w:rtl/>
        </w:rPr>
        <w:t>.</w:t>
      </w:r>
    </w:p>
  </w:footnote>
  <w:footnote w:id="668">
    <w:p w14:paraId="06A235CE" w14:textId="07E833A0" w:rsidR="003069AA" w:rsidRDefault="003069AA">
      <w:pPr>
        <w:pStyle w:val="FootnoteText"/>
        <w:rPr>
          <w:rtl/>
        </w:rPr>
      </w:pPr>
      <w:r>
        <w:rPr>
          <w:rStyle w:val="FootnoteReference"/>
        </w:rPr>
        <w:footnoteRef/>
      </w:r>
      <w:r>
        <w:rPr>
          <w:rtl/>
        </w:rPr>
        <w:t xml:space="preserve"> </w:t>
      </w:r>
      <w:r w:rsidR="00997A98">
        <w:rPr>
          <w:rFonts w:hint="cs"/>
          <w:rtl/>
        </w:rPr>
        <w:t>לעיל ביארתי את החילוק בין התחלה</w:t>
      </w:r>
      <w:r w:rsidR="006902F9">
        <w:t xml:space="preserve"> </w:t>
      </w:r>
      <w:r w:rsidR="006F5FD5">
        <w:rPr>
          <w:rFonts w:hint="cs"/>
          <w:rtl/>
        </w:rPr>
        <w:t>(מבדא</w:t>
      </w:r>
      <w:r w:rsidR="007B0363">
        <w:rPr>
          <w:rFonts w:hint="cs"/>
          <w:rtl/>
        </w:rPr>
        <w:t xml:space="preserve"> </w:t>
      </w:r>
      <w:r w:rsidR="007B0363" w:rsidRPr="007B0363">
        <w:rPr>
          <w:rFonts w:cs="Times New Roman" w:hint="eastAsia"/>
          <w:rtl/>
          <w:lang w:bidi="ar-SA"/>
        </w:rPr>
        <w:t>مبدأ</w:t>
      </w:r>
      <w:r w:rsidR="006F5FD5">
        <w:rPr>
          <w:rFonts w:hint="cs"/>
          <w:rtl/>
        </w:rPr>
        <w:t>)</w:t>
      </w:r>
      <w:r w:rsidR="00997A98">
        <w:rPr>
          <w:rFonts w:hint="cs"/>
          <w:rtl/>
        </w:rPr>
        <w:t xml:space="preserve"> ובין סיבה</w:t>
      </w:r>
      <w:r w:rsidR="00883A11">
        <w:rPr>
          <w:rFonts w:hint="cs"/>
          <w:rtl/>
        </w:rPr>
        <w:t xml:space="preserve"> או עילה</w:t>
      </w:r>
      <w:r w:rsidR="000D7C49">
        <w:rPr>
          <w:rFonts w:hint="cs"/>
          <w:rtl/>
        </w:rPr>
        <w:t xml:space="preserve"> (</w:t>
      </w:r>
      <w:r w:rsidR="007A5DBF">
        <w:rPr>
          <w:rFonts w:hint="cs"/>
          <w:rtl/>
        </w:rPr>
        <w:t xml:space="preserve">סבב </w:t>
      </w:r>
      <w:r w:rsidR="007A5DBF" w:rsidRPr="007A5DBF">
        <w:rPr>
          <w:rFonts w:cs="Times New Roman" w:hint="eastAsia"/>
          <w:rtl/>
          <w:lang w:bidi="ar-SA"/>
        </w:rPr>
        <w:t>سبب</w:t>
      </w:r>
      <w:r w:rsidR="007A5DBF">
        <w:rPr>
          <w:rFonts w:hint="cs"/>
          <w:rtl/>
        </w:rPr>
        <w:t xml:space="preserve"> או </w:t>
      </w:r>
      <w:r w:rsidR="000D7C49">
        <w:rPr>
          <w:rFonts w:hint="cs"/>
          <w:rtl/>
        </w:rPr>
        <w:t xml:space="preserve">עלה </w:t>
      </w:r>
      <w:r w:rsidR="00985B66" w:rsidRPr="00985B66">
        <w:rPr>
          <w:rFonts w:cs="Times New Roman" w:hint="eastAsia"/>
          <w:rtl/>
          <w:lang w:bidi="ar-SA"/>
        </w:rPr>
        <w:t>علة</w:t>
      </w:r>
      <w:r w:rsidR="000D7C49">
        <w:rPr>
          <w:rFonts w:hint="cs"/>
          <w:rtl/>
        </w:rPr>
        <w:t>)</w:t>
      </w:r>
      <w:r w:rsidR="00997A98">
        <w:rPr>
          <w:rFonts w:hint="cs"/>
          <w:rtl/>
        </w:rPr>
        <w:t>. התחלה היא התחלת מציאות של דבר, ו</w:t>
      </w:r>
      <w:r w:rsidR="008C5CE6">
        <w:rPr>
          <w:rFonts w:hint="cs"/>
          <w:rtl/>
        </w:rPr>
        <w:t xml:space="preserve">היא תואר אלוהי עצמי, כמו התארים חי חכם רוצה וכיו"ב, שביאר במורה נבוכים א' נ"ג </w:t>
      </w:r>
      <w:r w:rsidR="00E307B9">
        <w:rPr>
          <w:rFonts w:hint="cs"/>
          <w:rtl/>
        </w:rPr>
        <w:t>שאלה לא הגדרות חיצוניות, אלא כמו מילים נרדפות</w:t>
      </w:r>
      <w:r w:rsidR="004916C5">
        <w:rPr>
          <w:rFonts w:hint="cs"/>
          <w:rtl/>
        </w:rPr>
        <w:t xml:space="preserve"> לאלוה, וכעין שאומרים שהמים לחים שזה לא תיאור או הגדרה אלא כמו מילה נרדפת למים</w:t>
      </w:r>
      <w:r w:rsidR="00A20FD6">
        <w:rPr>
          <w:rFonts w:hint="cs"/>
          <w:rtl/>
        </w:rPr>
        <w:t>, ואילו לומר שהמים חמים זה תיאור והגדרה שלהם.</w:t>
      </w:r>
      <w:r w:rsidR="004916C5">
        <w:rPr>
          <w:rFonts w:hint="cs"/>
          <w:rtl/>
        </w:rPr>
        <w:t xml:space="preserve"> </w:t>
      </w:r>
      <w:r w:rsidR="00AA43A1">
        <w:rPr>
          <w:rFonts w:hint="cs"/>
          <w:rtl/>
        </w:rPr>
        <w:t xml:space="preserve">אחרי שההתחלה נכנסת לטבע ופועלת בו היא נקראת סיבה. </w:t>
      </w:r>
    </w:p>
    <w:p w14:paraId="6412B628" w14:textId="7BAA5858" w:rsidR="00017DBE" w:rsidRDefault="00017DBE">
      <w:pPr>
        <w:pStyle w:val="FootnoteText"/>
        <w:rPr>
          <w:rtl/>
        </w:rPr>
      </w:pPr>
      <w:r>
        <w:rPr>
          <w:rFonts w:hint="cs"/>
          <w:rtl/>
        </w:rPr>
        <w:t xml:space="preserve">ברגע הראשון נברא כל העולם כנקודה של חומר היולי, כמו שכתב הרמב"ן על בראשית א' א'. </w:t>
      </w:r>
      <w:r w:rsidR="008C3606">
        <w:rPr>
          <w:rFonts w:hint="cs"/>
          <w:rtl/>
        </w:rPr>
        <w:t xml:space="preserve">החומר </w:t>
      </w:r>
      <w:r w:rsidR="00926E93">
        <w:rPr>
          <w:rFonts w:hint="cs"/>
          <w:rtl/>
        </w:rPr>
        <w:t xml:space="preserve">הראשון, ההיולי, </w:t>
      </w:r>
      <w:r w:rsidR="008C3606">
        <w:rPr>
          <w:rFonts w:hint="cs"/>
          <w:rtl/>
        </w:rPr>
        <w:t>הוא סך כל האפשרויות</w:t>
      </w:r>
      <w:r w:rsidR="006643B2">
        <w:rPr>
          <w:rFonts w:hint="cs"/>
          <w:rtl/>
        </w:rPr>
        <w:t xml:space="preserve">, האפשרויות תמיד קיימות כאפשרויות, </w:t>
      </w:r>
      <w:r w:rsidR="009F09D6">
        <w:rPr>
          <w:rFonts w:hint="cs"/>
          <w:rtl/>
        </w:rPr>
        <w:t>לכן במציאות בכח, בחומר הראשון, אין תנועה ולא מהלך של זמן</w:t>
      </w:r>
      <w:r w:rsidR="007D6A20">
        <w:rPr>
          <w:rFonts w:hint="cs"/>
          <w:rtl/>
        </w:rPr>
        <w:t xml:space="preserve"> (הזמן הוא אחד עם התנועה או מודד אותה)</w:t>
      </w:r>
      <w:r w:rsidR="008C3606">
        <w:rPr>
          <w:rFonts w:hint="cs"/>
          <w:rtl/>
        </w:rPr>
        <w:t>.</w:t>
      </w:r>
      <w:r w:rsidR="00136232">
        <w:rPr>
          <w:rFonts w:hint="cs"/>
          <w:rtl/>
        </w:rPr>
        <w:t xml:space="preserve"> </w:t>
      </w:r>
      <w:r w:rsidR="005A0B86">
        <w:rPr>
          <w:rFonts w:hint="cs"/>
          <w:rtl/>
        </w:rPr>
        <w:t xml:space="preserve">האפשרויות לא יכולות להתממש כולן בבת אחת, זה </w:t>
      </w:r>
      <w:r w:rsidR="00973A90">
        <w:rPr>
          <w:rFonts w:hint="cs"/>
          <w:rtl/>
        </w:rPr>
        <w:t xml:space="preserve">פירוש </w:t>
      </w:r>
      <w:r w:rsidR="005A0B86">
        <w:rPr>
          <w:rFonts w:hint="cs"/>
          <w:rtl/>
        </w:rPr>
        <w:t>הצמצום של בריאת העולם</w:t>
      </w:r>
      <w:r w:rsidR="006643B2">
        <w:rPr>
          <w:rFonts w:hint="cs"/>
          <w:rtl/>
        </w:rPr>
        <w:t>,</w:t>
      </w:r>
      <w:r w:rsidR="005A0B86">
        <w:rPr>
          <w:rFonts w:hint="cs"/>
          <w:rtl/>
        </w:rPr>
        <w:t xml:space="preserve"> </w:t>
      </w:r>
      <w:r w:rsidR="00973A90">
        <w:rPr>
          <w:rFonts w:hint="cs"/>
          <w:rtl/>
        </w:rPr>
        <w:t>לכן הן מתממשות</w:t>
      </w:r>
      <w:r w:rsidR="006643B2">
        <w:rPr>
          <w:rFonts w:hint="cs"/>
          <w:rtl/>
        </w:rPr>
        <w:t xml:space="preserve"> בזו אחר זו. </w:t>
      </w:r>
      <w:r w:rsidR="0023510E">
        <w:rPr>
          <w:rFonts w:hint="cs"/>
          <w:rtl/>
        </w:rPr>
        <w:t xml:space="preserve">מהלך ההתממשות הזו כשלעצמו, בלי להסתכל על עצם </w:t>
      </w:r>
      <w:r w:rsidR="009C463A">
        <w:rPr>
          <w:rFonts w:hint="cs"/>
          <w:rtl/>
        </w:rPr>
        <w:t>מסוים</w:t>
      </w:r>
      <w:r w:rsidR="0023510E">
        <w:rPr>
          <w:rFonts w:hint="cs"/>
          <w:rtl/>
        </w:rPr>
        <w:t xml:space="preserve"> שיוצא מהכח אל הפועל, </w:t>
      </w:r>
      <w:r w:rsidR="006643B2">
        <w:rPr>
          <w:rFonts w:hint="cs"/>
          <w:rtl/>
        </w:rPr>
        <w:t>זה עצם עניין התנועה ועצם עניין הזמן.</w:t>
      </w:r>
      <w:r w:rsidR="0061635F">
        <w:rPr>
          <w:rFonts w:hint="cs"/>
          <w:rtl/>
        </w:rPr>
        <w:t xml:space="preserve"> התנועה היא הגילוי של האלוהות אחרי הצמצום. </w:t>
      </w:r>
      <w:r w:rsidR="00953773">
        <w:rPr>
          <w:rFonts w:hint="cs"/>
          <w:rtl/>
        </w:rPr>
        <w:t xml:space="preserve">התנועה הופכת לסיבה כשהגלגל </w:t>
      </w:r>
      <w:r w:rsidR="003C6C4B">
        <w:rPr>
          <w:rFonts w:hint="cs"/>
          <w:rtl/>
        </w:rPr>
        <w:t xml:space="preserve">המקיף </w:t>
      </w:r>
      <w:r w:rsidR="00953773">
        <w:rPr>
          <w:rFonts w:hint="cs"/>
          <w:rtl/>
        </w:rPr>
        <w:t>נע</w:t>
      </w:r>
      <w:r w:rsidR="00336F33">
        <w:rPr>
          <w:rFonts w:hint="cs"/>
          <w:rtl/>
        </w:rPr>
        <w:t xml:space="preserve"> באופן המסוים שהוא נע בו, ומניע איתו את הטבע, וכמו שביאר במורה נבוכים א' ע"ב. </w:t>
      </w:r>
    </w:p>
    <w:p w14:paraId="26077706" w14:textId="68559779" w:rsidR="008601C8" w:rsidRDefault="008601C8">
      <w:pPr>
        <w:pStyle w:val="FootnoteText"/>
      </w:pPr>
      <w:r>
        <w:rPr>
          <w:rFonts w:hint="cs"/>
          <w:rtl/>
        </w:rPr>
        <w:t>החילוק בין סיבה להתחלה אינו מונח קבוע, אלא משתמשים בו רק כש</w:t>
      </w:r>
      <w:r w:rsidR="005E1365">
        <w:rPr>
          <w:rFonts w:hint="cs"/>
          <w:rtl/>
        </w:rPr>
        <w:t>י</w:t>
      </w:r>
      <w:r>
        <w:rPr>
          <w:rFonts w:hint="cs"/>
          <w:rtl/>
        </w:rPr>
        <w:t>ש צורך להבחין ב</w:t>
      </w:r>
      <w:r w:rsidR="005E1365">
        <w:rPr>
          <w:rFonts w:hint="cs"/>
          <w:rtl/>
        </w:rPr>
        <w:t xml:space="preserve">זה, במקומות רבים סיבה והתחלה נאמרות </w:t>
      </w:r>
      <w:r w:rsidR="000C2762">
        <w:rPr>
          <w:rFonts w:hint="cs"/>
          <w:rtl/>
        </w:rPr>
        <w:t>בלי שיש הבחנה ביניהן</w:t>
      </w:r>
      <w:r>
        <w:rPr>
          <w:rFonts w:hint="cs"/>
          <w:rtl/>
        </w:rPr>
        <w:t xml:space="preserve">. </w:t>
      </w:r>
    </w:p>
  </w:footnote>
  <w:footnote w:id="669">
    <w:p w14:paraId="496CBD64" w14:textId="2E4A6BAA" w:rsidR="00045AA3" w:rsidRDefault="00045AA3">
      <w:pPr>
        <w:pStyle w:val="FootnoteText"/>
      </w:pPr>
      <w:r>
        <w:rPr>
          <w:rStyle w:val="FootnoteReference"/>
        </w:rPr>
        <w:footnoteRef/>
      </w:r>
      <w:r>
        <w:rPr>
          <w:rtl/>
        </w:rPr>
        <w:t xml:space="preserve"> </w:t>
      </w:r>
      <w:r>
        <w:rPr>
          <w:rFonts w:hint="cs"/>
          <w:rtl/>
        </w:rPr>
        <w:t xml:space="preserve">כל שינוי הוא תנועה. </w:t>
      </w:r>
    </w:p>
  </w:footnote>
  <w:footnote w:id="670">
    <w:p w14:paraId="70147C11" w14:textId="51BD8398" w:rsidR="003E1F15" w:rsidRDefault="003E1F15">
      <w:pPr>
        <w:pStyle w:val="FootnoteText"/>
      </w:pPr>
      <w:r>
        <w:rPr>
          <w:rStyle w:val="FootnoteReference"/>
        </w:rPr>
        <w:footnoteRef/>
      </w:r>
      <w:r>
        <w:rPr>
          <w:rtl/>
        </w:rPr>
        <w:t xml:space="preserve"> </w:t>
      </w:r>
      <w:r w:rsidR="00315FEA" w:rsidRPr="00315FEA">
        <w:rPr>
          <w:rtl/>
        </w:rPr>
        <w:t xml:space="preserve">מבדא </w:t>
      </w:r>
      <w:r w:rsidR="00315FEA" w:rsidRPr="00315FEA">
        <w:rPr>
          <w:rFonts w:cs="Times New Roman" w:hint="eastAsia"/>
          <w:rtl/>
          <w:lang w:bidi="ar-SA"/>
        </w:rPr>
        <w:t>مبدأ</w:t>
      </w:r>
      <w:r w:rsidR="00315FEA">
        <w:rPr>
          <w:rFonts w:cs="Times New Roman" w:hint="cs"/>
          <w:rtl/>
        </w:rPr>
        <w:t xml:space="preserve">. </w:t>
      </w:r>
    </w:p>
  </w:footnote>
  <w:footnote w:id="671">
    <w:p w14:paraId="6F337AFC" w14:textId="24191698" w:rsidR="00187495" w:rsidRDefault="00187495" w:rsidP="009D39B6">
      <w:pPr>
        <w:pStyle w:val="FootnoteText"/>
      </w:pPr>
      <w:r>
        <w:rPr>
          <w:rStyle w:val="FootnoteReference"/>
        </w:rPr>
        <w:footnoteRef/>
      </w:r>
      <w:r>
        <w:rPr>
          <w:rtl/>
        </w:rPr>
        <w:t xml:space="preserve"> </w:t>
      </w:r>
      <w:r w:rsidR="00A431CF">
        <w:rPr>
          <w:rFonts w:hint="cs"/>
          <w:rtl/>
        </w:rPr>
        <w:t xml:space="preserve">כח התנועה הטבעי הוא זה שמניע את הזרע לכיוון הרחם. </w:t>
      </w:r>
      <w:r w:rsidR="00D559CE">
        <w:rPr>
          <w:rFonts w:hint="cs"/>
          <w:rtl/>
        </w:rPr>
        <w:t xml:space="preserve">באופן כללי ולא </w:t>
      </w:r>
      <w:r w:rsidR="009C463A">
        <w:rPr>
          <w:rFonts w:hint="cs"/>
          <w:rtl/>
        </w:rPr>
        <w:t>מדויק</w:t>
      </w:r>
      <w:r w:rsidR="00D559CE">
        <w:rPr>
          <w:rFonts w:hint="cs"/>
          <w:rtl/>
        </w:rPr>
        <w:t xml:space="preserve"> </w:t>
      </w:r>
      <w:r w:rsidR="0026070E">
        <w:rPr>
          <w:rFonts w:hint="cs"/>
          <w:rtl/>
        </w:rPr>
        <w:t>לפי אריסטו תנועות האיש בשעת התשמיש מחממות</w:t>
      </w:r>
      <w:r w:rsidR="00E460A5">
        <w:rPr>
          <w:rFonts w:hint="cs"/>
          <w:rtl/>
        </w:rPr>
        <w:t xml:space="preserve"> ומנענעות</w:t>
      </w:r>
      <w:r w:rsidR="0026070E">
        <w:rPr>
          <w:rFonts w:hint="cs"/>
          <w:rtl/>
        </w:rPr>
        <w:t xml:space="preserve"> את הזרע וגורמות</w:t>
      </w:r>
      <w:r w:rsidR="00E460A5">
        <w:rPr>
          <w:rFonts w:hint="cs"/>
          <w:rtl/>
        </w:rPr>
        <w:t xml:space="preserve"> בכך</w:t>
      </w:r>
      <w:r w:rsidR="0026070E">
        <w:rPr>
          <w:rFonts w:hint="cs"/>
          <w:rtl/>
        </w:rPr>
        <w:t xml:space="preserve"> שיהיה מוכן לקבל את הצורה</w:t>
      </w:r>
      <w:r w:rsidR="00F31284">
        <w:rPr>
          <w:rFonts w:hint="cs"/>
          <w:rtl/>
        </w:rPr>
        <w:t xml:space="preserve">. </w:t>
      </w:r>
      <w:r w:rsidR="00C4480C">
        <w:rPr>
          <w:rFonts w:hint="cs"/>
          <w:rtl/>
        </w:rPr>
        <w:t>עיין עוד בזה בעל התהוות בעלי החיים ד' ד'</w:t>
      </w:r>
      <w:r w:rsidR="00D03A8B">
        <w:rPr>
          <w:rFonts w:hint="cs"/>
          <w:rtl/>
        </w:rPr>
        <w:t xml:space="preserve">, בעיקר בעמ' </w:t>
      </w:r>
      <w:r w:rsidR="00D03A8B">
        <w:rPr>
          <w:rFonts w:hint="cs"/>
          <w:rtl/>
        </w:rPr>
        <w:t>772א</w:t>
      </w:r>
      <w:r w:rsidR="009D39B6">
        <w:rPr>
          <w:rFonts w:hint="cs"/>
          <w:rtl/>
        </w:rPr>
        <w:t>, ובעוד מקומות</w:t>
      </w:r>
      <w:r w:rsidR="00C4480C">
        <w:rPr>
          <w:rFonts w:hint="cs"/>
          <w:rtl/>
        </w:rPr>
        <w:t>.</w:t>
      </w:r>
    </w:p>
  </w:footnote>
  <w:footnote w:id="672">
    <w:p w14:paraId="16A98698" w14:textId="77777777" w:rsidR="00013D36" w:rsidRDefault="003745A1">
      <w:pPr>
        <w:pStyle w:val="FootnoteText"/>
        <w:rPr>
          <w:rtl/>
        </w:rPr>
      </w:pPr>
      <w:r>
        <w:rPr>
          <w:rStyle w:val="FootnoteReference"/>
        </w:rPr>
        <w:footnoteRef/>
      </w:r>
      <w:r>
        <w:rPr>
          <w:rtl/>
        </w:rPr>
        <w:t xml:space="preserve"> </w:t>
      </w:r>
      <w:r w:rsidR="003D2D35">
        <w:rPr>
          <w:rFonts w:hint="cs"/>
          <w:rtl/>
        </w:rPr>
        <w:t xml:space="preserve">בעניין נותן הצורה, עיין בזה במורה נבוכים חלק ב' פרקים ד' וי"ב. </w:t>
      </w:r>
      <w:r w:rsidR="00D03AD9">
        <w:rPr>
          <w:rFonts w:hint="cs"/>
          <w:rtl/>
        </w:rPr>
        <w:t>והוא השכל הפועל, ונקרא ברמב"ם גם המלאך ששמו "אישים".</w:t>
      </w:r>
      <w:r w:rsidR="00013D36">
        <w:rPr>
          <w:rFonts w:hint="cs"/>
          <w:rtl/>
        </w:rPr>
        <w:t xml:space="preserve"> </w:t>
      </w:r>
    </w:p>
    <w:p w14:paraId="2D8F803A" w14:textId="3534F833" w:rsidR="00E11322" w:rsidRDefault="00013D36">
      <w:pPr>
        <w:pStyle w:val="FootnoteText"/>
        <w:rPr>
          <w:rtl/>
        </w:rPr>
      </w:pPr>
      <w:r>
        <w:rPr>
          <w:rFonts w:hint="cs"/>
          <w:rtl/>
        </w:rPr>
        <w:t>במורה נבוכים א' ע"ב מבאר את סדר ההשתלשלות הכפול שבטבע. יש את עשר השכלים הנפרדים</w:t>
      </w:r>
      <w:r w:rsidR="006B4BAD">
        <w:rPr>
          <w:rFonts w:hint="cs"/>
          <w:rtl/>
        </w:rPr>
        <w:t xml:space="preserve"> (כלומר מופשטים מחומר)</w:t>
      </w:r>
      <w:r>
        <w:rPr>
          <w:rFonts w:hint="cs"/>
          <w:rtl/>
        </w:rPr>
        <w:t xml:space="preserve"> </w:t>
      </w:r>
      <w:r w:rsidR="006B4BAD">
        <w:rPr>
          <w:rFonts w:hint="cs"/>
          <w:rtl/>
        </w:rPr>
        <w:t>שהשכל הפועל הוא התחתון שבהם, זו השתלשלות של הצורה</w:t>
      </w:r>
      <w:r w:rsidR="00AB169D">
        <w:rPr>
          <w:rFonts w:hint="cs"/>
          <w:rtl/>
        </w:rPr>
        <w:t xml:space="preserve"> מהמקור</w:t>
      </w:r>
      <w:r w:rsidR="007C7209">
        <w:rPr>
          <w:rFonts w:hint="cs"/>
          <w:rtl/>
        </w:rPr>
        <w:t xml:space="preserve"> שלה</w:t>
      </w:r>
      <w:r w:rsidR="00AB169D">
        <w:rPr>
          <w:rFonts w:hint="cs"/>
          <w:rtl/>
        </w:rPr>
        <w:t xml:space="preserve"> אל הטבע, שמסתיימת ב</w:t>
      </w:r>
      <w:r w:rsidR="007C7209">
        <w:rPr>
          <w:rFonts w:hint="cs"/>
          <w:rtl/>
        </w:rPr>
        <w:t>מה ש</w:t>
      </w:r>
      <w:r w:rsidR="00AB169D">
        <w:rPr>
          <w:rFonts w:hint="cs"/>
          <w:rtl/>
        </w:rPr>
        <w:t xml:space="preserve">השכל הפועל </w:t>
      </w:r>
      <w:r w:rsidR="007C7209">
        <w:rPr>
          <w:rFonts w:hint="cs"/>
          <w:rtl/>
        </w:rPr>
        <w:t xml:space="preserve">נותן צורה </w:t>
      </w:r>
      <w:r w:rsidR="00AB169D">
        <w:rPr>
          <w:rFonts w:hint="cs"/>
          <w:rtl/>
        </w:rPr>
        <w:t>בחומרי ארבע היסודות.</w:t>
      </w:r>
      <w:r w:rsidR="000F29CB">
        <w:rPr>
          <w:rFonts w:hint="cs"/>
          <w:rtl/>
        </w:rPr>
        <w:t xml:space="preserve"> זו ההשפעה הזכרית. </w:t>
      </w:r>
      <w:r w:rsidR="00AB169D">
        <w:rPr>
          <w:rFonts w:hint="cs"/>
          <w:rtl/>
        </w:rPr>
        <w:t xml:space="preserve"> </w:t>
      </w:r>
    </w:p>
    <w:p w14:paraId="013C24E0" w14:textId="77777777" w:rsidR="008E7B6F" w:rsidRDefault="00E11322">
      <w:pPr>
        <w:pStyle w:val="FootnoteText"/>
        <w:rPr>
          <w:rtl/>
        </w:rPr>
      </w:pPr>
      <w:r>
        <w:rPr>
          <w:rFonts w:hint="cs"/>
          <w:rtl/>
        </w:rPr>
        <w:t xml:space="preserve">כאמור קבלת הצורה תלויה בהכנת החומר, וכמו שכתב במורה נבוכים ב' י"ח, </w:t>
      </w:r>
      <w:r w:rsidR="00756CDA">
        <w:rPr>
          <w:rFonts w:hint="cs"/>
          <w:rtl/>
        </w:rPr>
        <w:t>והכנת החומר תלויה במזג ארבעת היסודות</w:t>
      </w:r>
      <w:r w:rsidR="00A32E79">
        <w:rPr>
          <w:rFonts w:hint="cs"/>
          <w:rtl/>
        </w:rPr>
        <w:t>, וזה עניין שנחשב 'מקרה' כיוון שאינו נתפש בשכל, והוא גילוי של הרצון האלוהי הראשון שמעל השכל</w:t>
      </w:r>
      <w:r w:rsidR="00756CDA">
        <w:rPr>
          <w:rFonts w:hint="cs"/>
          <w:rtl/>
        </w:rPr>
        <w:t xml:space="preserve">. </w:t>
      </w:r>
      <w:r w:rsidR="00A32E79">
        <w:rPr>
          <w:rFonts w:hint="cs"/>
          <w:rtl/>
        </w:rPr>
        <w:t xml:space="preserve">המזג </w:t>
      </w:r>
      <w:r w:rsidR="00DC3ACA">
        <w:rPr>
          <w:rFonts w:hint="cs"/>
          <w:rtl/>
        </w:rPr>
        <w:t>משתנה מכח</w:t>
      </w:r>
      <w:r w:rsidR="00A32E79">
        <w:rPr>
          <w:rFonts w:hint="cs"/>
          <w:rtl/>
        </w:rPr>
        <w:t xml:space="preserve"> תנועת הגלגל המקיף שהוא היש החומרי הראשון</w:t>
      </w:r>
      <w:r w:rsidR="0022616F">
        <w:rPr>
          <w:rFonts w:hint="cs"/>
          <w:rtl/>
        </w:rPr>
        <w:t>, וזה</w:t>
      </w:r>
      <w:r w:rsidR="00402099">
        <w:rPr>
          <w:rFonts w:hint="cs"/>
          <w:rtl/>
        </w:rPr>
        <w:t>ו</w:t>
      </w:r>
      <w:r w:rsidR="0022616F">
        <w:rPr>
          <w:rFonts w:hint="cs"/>
          <w:rtl/>
        </w:rPr>
        <w:t xml:space="preserve"> ה</w:t>
      </w:r>
      <w:r w:rsidR="00402099">
        <w:rPr>
          <w:rFonts w:hint="cs"/>
          <w:rtl/>
        </w:rPr>
        <w:t>"</w:t>
      </w:r>
      <w:r w:rsidR="0022616F">
        <w:rPr>
          <w:rFonts w:hint="cs"/>
          <w:rtl/>
        </w:rPr>
        <w:t>מכין</w:t>
      </w:r>
      <w:r w:rsidR="00402099">
        <w:rPr>
          <w:rFonts w:hint="cs"/>
          <w:rtl/>
        </w:rPr>
        <w:t>"</w:t>
      </w:r>
      <w:r w:rsidR="0022616F">
        <w:rPr>
          <w:rFonts w:hint="cs"/>
          <w:rtl/>
        </w:rPr>
        <w:t xml:space="preserve"> שמדובר בו כאן</w:t>
      </w:r>
      <w:r w:rsidR="008E7B6F">
        <w:rPr>
          <w:rFonts w:hint="cs"/>
          <w:rtl/>
        </w:rPr>
        <w:t>, וזוהי ההשפעה הנקבית</w:t>
      </w:r>
      <w:r w:rsidR="00A32E79">
        <w:rPr>
          <w:rFonts w:hint="cs"/>
          <w:rtl/>
        </w:rPr>
        <w:t xml:space="preserve">. </w:t>
      </w:r>
    </w:p>
    <w:p w14:paraId="7B8652AC" w14:textId="5C40830C" w:rsidR="003745A1" w:rsidRDefault="00D55C67">
      <w:pPr>
        <w:pStyle w:val="FootnoteText"/>
        <w:rPr>
          <w:rtl/>
        </w:rPr>
      </w:pPr>
      <w:r>
        <w:rPr>
          <w:rFonts w:hint="cs"/>
          <w:rtl/>
        </w:rPr>
        <w:t>כשהשכל הנפרד הראשון משיג את בוראו הוא מוליד שכל שלישי</w:t>
      </w:r>
      <w:r w:rsidR="00E31171">
        <w:rPr>
          <w:rFonts w:hint="cs"/>
          <w:rtl/>
        </w:rPr>
        <w:t xml:space="preserve"> על דרך בן שנולד מזיווג</w:t>
      </w:r>
      <w:r>
        <w:rPr>
          <w:rFonts w:hint="cs"/>
          <w:rtl/>
        </w:rPr>
        <w:t>, וכשהוא משיג את עצמו כחסר לעומת בוראו, הוא מגלה את צד החומר שבו שהוא הגלגל הראשון</w:t>
      </w:r>
      <w:r w:rsidR="00E31171">
        <w:rPr>
          <w:rFonts w:hint="cs"/>
          <w:rtl/>
        </w:rPr>
        <w:t>, היינו הגלגל המקיף או הגלגל החיצון</w:t>
      </w:r>
      <w:r>
        <w:rPr>
          <w:rFonts w:hint="cs"/>
          <w:rtl/>
        </w:rPr>
        <w:t>, וכן הלאה כל הגלגלים עד גלגל הירח</w:t>
      </w:r>
      <w:r w:rsidR="00752F0A">
        <w:rPr>
          <w:rFonts w:hint="cs"/>
          <w:rtl/>
        </w:rPr>
        <w:t>.</w:t>
      </w:r>
      <w:r w:rsidR="00402099">
        <w:rPr>
          <w:rFonts w:hint="cs"/>
          <w:rtl/>
        </w:rPr>
        <w:t xml:space="preserve"> השתלשלות ההכנה עוברת מהגלגל הראשון דרך שאר הגלגלים עד </w:t>
      </w:r>
      <w:r w:rsidR="00676639">
        <w:rPr>
          <w:rFonts w:hint="cs"/>
          <w:rtl/>
        </w:rPr>
        <w:t>שינויי המזג של ארבעת היסודות, ואינה עוברת דרך השכלים הנפרדים</w:t>
      </w:r>
      <w:r>
        <w:rPr>
          <w:rFonts w:hint="cs"/>
          <w:rtl/>
        </w:rPr>
        <w:t>.</w:t>
      </w:r>
      <w:r w:rsidR="00381A3B">
        <w:rPr>
          <w:rFonts w:hint="cs"/>
          <w:rtl/>
        </w:rPr>
        <w:t xml:space="preserve"> עיין ביאור רחב בזה בהערות על הפשט של המורה נבוכים </w:t>
      </w:r>
      <w:hyperlink r:id="rId136" w:history="1">
        <w:r w:rsidR="00381A3B" w:rsidRPr="00B62517">
          <w:rPr>
            <w:rStyle w:val="Hyperlink"/>
            <w:rFonts w:hint="cs"/>
            <w:rtl/>
          </w:rPr>
          <w:t>רשימה 33</w:t>
        </w:r>
      </w:hyperlink>
      <w:r w:rsidR="00B62517">
        <w:rPr>
          <w:rFonts w:hint="cs"/>
          <w:rtl/>
        </w:rPr>
        <w:t>.</w:t>
      </w:r>
    </w:p>
    <w:p w14:paraId="74343BFA" w14:textId="77777777" w:rsidR="00F137F2" w:rsidRDefault="00F137F2">
      <w:pPr>
        <w:pStyle w:val="FootnoteText"/>
        <w:rPr>
          <w:rtl/>
        </w:rPr>
      </w:pPr>
    </w:p>
    <w:p w14:paraId="4DC36CC4" w14:textId="16C25B1A" w:rsidR="00F07775" w:rsidRDefault="00601E18">
      <w:pPr>
        <w:pStyle w:val="FootnoteText"/>
        <w:rPr>
          <w:rtl/>
        </w:rPr>
      </w:pPr>
      <w:r>
        <w:rPr>
          <w:rFonts w:hint="cs"/>
          <w:rtl/>
        </w:rPr>
        <w:t>אבן סינא חוזר כאן על מה שכתב כבר כמה פעמים, שחכם הטבע מקבל כ</w:t>
      </w:r>
      <w:r w:rsidR="00C83EB9">
        <w:rPr>
          <w:rFonts w:hint="cs"/>
          <w:rtl/>
        </w:rPr>
        <w:t>מושכלות</w:t>
      </w:r>
      <w:r>
        <w:rPr>
          <w:rFonts w:hint="cs"/>
          <w:rtl/>
        </w:rPr>
        <w:t xml:space="preserve"> ראשונות </w:t>
      </w:r>
      <w:r w:rsidR="00C83EB9">
        <w:rPr>
          <w:rFonts w:hint="cs"/>
          <w:rtl/>
        </w:rPr>
        <w:t xml:space="preserve">את מסקנות </w:t>
      </w:r>
      <w:r w:rsidR="00C83EB9">
        <w:rPr>
          <w:rFonts w:hint="cs"/>
          <w:rtl/>
        </w:rPr>
        <w:t xml:space="preserve">המטאפיזיקה, כמו שכל מקצוע </w:t>
      </w:r>
      <w:r w:rsidR="003D032D">
        <w:rPr>
          <w:rFonts w:hint="cs"/>
          <w:rtl/>
        </w:rPr>
        <w:t xml:space="preserve">של ידע </w:t>
      </w:r>
      <w:r w:rsidR="00C83EB9">
        <w:rPr>
          <w:rFonts w:hint="cs"/>
          <w:rtl/>
        </w:rPr>
        <w:t>מקבל את מסקנות חקירת המקצוע שמעליו כ</w:t>
      </w:r>
      <w:r w:rsidR="00892A7E">
        <w:rPr>
          <w:rFonts w:hint="cs"/>
          <w:rtl/>
        </w:rPr>
        <w:t xml:space="preserve">נקודות פתיחה </w:t>
      </w:r>
      <w:r w:rsidR="003D032D">
        <w:rPr>
          <w:rFonts w:hint="cs"/>
          <w:rtl/>
        </w:rPr>
        <w:t xml:space="preserve">ראשוניות </w:t>
      </w:r>
      <w:r w:rsidR="00892A7E">
        <w:rPr>
          <w:rFonts w:hint="cs"/>
          <w:rtl/>
        </w:rPr>
        <w:t>שאינן נתונות ל</w:t>
      </w:r>
      <w:r w:rsidR="00697013">
        <w:rPr>
          <w:rFonts w:hint="cs"/>
          <w:rtl/>
        </w:rPr>
        <w:t>שאלות ו</w:t>
      </w:r>
      <w:r w:rsidR="00892A7E">
        <w:rPr>
          <w:rFonts w:hint="cs"/>
          <w:rtl/>
        </w:rPr>
        <w:t>חקירה.</w:t>
      </w:r>
    </w:p>
    <w:p w14:paraId="49EF1953" w14:textId="77777777" w:rsidR="00F137F2" w:rsidRDefault="00F137F2" w:rsidP="00B26C96">
      <w:pPr>
        <w:pStyle w:val="FootnoteText"/>
        <w:rPr>
          <w:rtl/>
        </w:rPr>
      </w:pPr>
    </w:p>
    <w:p w14:paraId="538BED40" w14:textId="12EDDAC9" w:rsidR="0085507F" w:rsidRPr="0085507F" w:rsidRDefault="00E649DD" w:rsidP="00B26C96">
      <w:pPr>
        <w:pStyle w:val="FootnoteText"/>
        <w:rPr>
          <w:rFonts w:asciiTheme="majorBidi" w:hAnsiTheme="majorBidi" w:cstheme="majorBidi"/>
          <w:rtl/>
        </w:rPr>
      </w:pPr>
      <w:r>
        <w:rPr>
          <w:rFonts w:hint="cs"/>
          <w:rtl/>
        </w:rPr>
        <w:t>מקגיניס ציין כאן</w:t>
      </w:r>
      <w:r w:rsidR="00B26C96" w:rsidRPr="0085507F">
        <w:rPr>
          <w:rFonts w:asciiTheme="majorBidi" w:hAnsiTheme="majorBidi" w:cstheme="majorBidi"/>
          <w:rtl/>
        </w:rPr>
        <w:t>:</w:t>
      </w:r>
    </w:p>
    <w:p w14:paraId="226287E5" w14:textId="18BC17C3" w:rsidR="00B66AB1" w:rsidRPr="006D3735" w:rsidRDefault="00E649DD" w:rsidP="00B26C96">
      <w:pPr>
        <w:pStyle w:val="FootnoteText"/>
        <w:rPr>
          <w:rtl/>
        </w:rPr>
      </w:pPr>
      <w:r w:rsidRPr="0085507F">
        <w:rPr>
          <w:rFonts w:asciiTheme="majorBidi" w:hAnsiTheme="majorBidi" w:cstheme="majorBidi"/>
        </w:rPr>
        <w:t xml:space="preserve">For discussions of the role of the “Giver of Forms” (wāhib al-ṣuwar) in the processes of generation and corruption, see Kitāb fī al-kawn wa-l-fasād 14 </w:t>
      </w:r>
      <w:r w:rsidR="00B66AB1">
        <w:rPr>
          <w:rFonts w:asciiTheme="majorBidi" w:hAnsiTheme="majorBidi" w:cstheme="majorBidi" w:hint="cs"/>
          <w:rtl/>
        </w:rPr>
        <w:t xml:space="preserve"> </w:t>
      </w:r>
      <w:r w:rsidR="00B66AB1" w:rsidRPr="006D3735">
        <w:rPr>
          <w:rtl/>
        </w:rPr>
        <w:t>(זה ספר של אבן סינא על ההתהוות וההפסד</w:t>
      </w:r>
      <w:r w:rsidR="008F4679" w:rsidRPr="006D3735">
        <w:rPr>
          <w:rtl/>
        </w:rPr>
        <w:t xml:space="preserve"> (כשם ספרו של אריסטו) </w:t>
      </w:r>
      <w:r w:rsidR="00B66AB1" w:rsidRPr="006D3735">
        <w:rPr>
          <w:rtl/>
        </w:rPr>
        <w:t>שנכלל בספר הריפוי</w:t>
      </w:r>
      <w:r w:rsidR="008F4679" w:rsidRPr="006D3735">
        <w:rPr>
          <w:rtl/>
        </w:rPr>
        <w:t xml:space="preserve"> ואינני מתכוון לתרגם אותו. </w:t>
      </w:r>
      <w:r w:rsidR="00B66AB1" w:rsidRPr="006D3735">
        <w:rPr>
          <w:rtl/>
        </w:rPr>
        <w:t xml:space="preserve"> </w:t>
      </w:r>
    </w:p>
    <w:p w14:paraId="0E2797C8" w14:textId="44AD49EA" w:rsidR="00181E5E" w:rsidRDefault="00E649DD" w:rsidP="00B26C96">
      <w:pPr>
        <w:pStyle w:val="FootnoteText"/>
      </w:pPr>
      <w:r w:rsidRPr="006D3735">
        <w:rPr>
          <w:rFonts w:asciiTheme="majorBidi" w:hAnsiTheme="majorBidi" w:cstheme="majorBidi"/>
        </w:rPr>
        <w:t>and Ilāhīyāt</w:t>
      </w:r>
      <w:r w:rsidRPr="006D3735">
        <w:t xml:space="preserve"> 9.5</w:t>
      </w:r>
      <w:r w:rsidRPr="006D3735">
        <w:rPr>
          <w:rtl/>
        </w:rPr>
        <w:t>.</w:t>
      </w:r>
      <w:r w:rsidR="0026791A">
        <w:rPr>
          <w:rFonts w:hint="cs"/>
          <w:rtl/>
        </w:rPr>
        <w:t xml:space="preserve"> הכוונה לספר תשיעי מהאלוהיות פרק ה', </w:t>
      </w:r>
      <w:r w:rsidR="006D3735" w:rsidRPr="006D3735">
        <w:rPr>
          <w:rtl/>
        </w:rPr>
        <w:t>האלוהיות הוא חלק המטאפיזיקה</w:t>
      </w:r>
      <w:r w:rsidR="0026791A">
        <w:rPr>
          <w:rFonts w:hint="cs"/>
          <w:rtl/>
        </w:rPr>
        <w:t xml:space="preserve"> (שנקראה על ידי אריסטו חכמת האלוהות)</w:t>
      </w:r>
      <w:r w:rsidR="006D3735" w:rsidRPr="006D3735">
        <w:rPr>
          <w:rtl/>
        </w:rPr>
        <w:t xml:space="preserve"> של ספר הריפוי</w:t>
      </w:r>
      <w:r w:rsidR="0026791A">
        <w:rPr>
          <w:rFonts w:hint="cs"/>
          <w:rtl/>
        </w:rPr>
        <w:t>.</w:t>
      </w:r>
      <w:r w:rsidR="006D3735" w:rsidRPr="006D3735">
        <w:rPr>
          <w:rtl/>
        </w:rPr>
        <w:t xml:space="preserve"> אותו אני מקווה לתרגם.</w:t>
      </w:r>
      <w:r w:rsidR="006D3735">
        <w:rPr>
          <w:rFonts w:asciiTheme="majorBidi" w:hAnsiTheme="majorBidi" w:cstheme="majorBidi" w:hint="cs"/>
          <w:rtl/>
        </w:rPr>
        <w:t xml:space="preserve"> </w:t>
      </w:r>
    </w:p>
  </w:footnote>
  <w:footnote w:id="673">
    <w:p w14:paraId="78F055CD" w14:textId="77777777" w:rsidR="0054077A" w:rsidRDefault="006F7F9E">
      <w:pPr>
        <w:pStyle w:val="FootnoteText"/>
        <w:rPr>
          <w:rtl/>
        </w:rPr>
      </w:pPr>
      <w:r>
        <w:rPr>
          <w:rStyle w:val="FootnoteReference"/>
        </w:rPr>
        <w:footnoteRef/>
      </w:r>
      <w:r>
        <w:rPr>
          <w:rtl/>
        </w:rPr>
        <w:t xml:space="preserve"> </w:t>
      </w:r>
      <w:r w:rsidR="003F77FB">
        <w:rPr>
          <w:rFonts w:hint="cs"/>
          <w:rtl/>
        </w:rPr>
        <w:t>ההכנה היא הכנת החומר לקבלת הצורה, וכגון התהליך שעובר הזרע בדרכו לרחם, שהוא כעין בישול, כלומר פעולת שינוי וכל שינוי הוא תנועה. מה שהחומר מקבל את הצורה אחרי ההכנה ה</w:t>
      </w:r>
      <w:r w:rsidR="00DB00D7">
        <w:rPr>
          <w:rFonts w:hint="cs"/>
          <w:rtl/>
        </w:rPr>
        <w:t xml:space="preserve">ראויה, פחות ברור שנחשב התחלת תנועה. </w:t>
      </w:r>
    </w:p>
    <w:p w14:paraId="1D6FA2D1" w14:textId="73570315" w:rsidR="006F7F9E" w:rsidRDefault="00DB00D7">
      <w:pPr>
        <w:pStyle w:val="FootnoteText"/>
      </w:pPr>
      <w:r>
        <w:rPr>
          <w:rFonts w:hint="cs"/>
          <w:rtl/>
        </w:rPr>
        <w:t>נותן הצורה</w:t>
      </w:r>
      <w:r w:rsidR="007966C3">
        <w:rPr>
          <w:rtl/>
        </w:rPr>
        <w:fldChar w:fldCharType="begin"/>
      </w:r>
      <w:r w:rsidR="007966C3">
        <w:instrText xml:space="preserve"> XE "</w:instrText>
      </w:r>
      <w:r w:rsidR="007966C3" w:rsidRPr="00AE2E37">
        <w:rPr>
          <w:rFonts w:hint="cs"/>
          <w:rtl/>
        </w:rPr>
        <w:instrText>השכל הפועל - הוא נותן הצורה</w:instrText>
      </w:r>
      <w:r w:rsidR="007966C3">
        <w:instrText xml:space="preserve">" </w:instrText>
      </w:r>
      <w:r w:rsidR="007966C3">
        <w:rPr>
          <w:rtl/>
        </w:rPr>
        <w:fldChar w:fldCharType="end"/>
      </w:r>
      <w:r>
        <w:rPr>
          <w:rFonts w:hint="cs"/>
          <w:rtl/>
        </w:rPr>
        <w:t xml:space="preserve"> הוא מהשכלים הנפרדים </w:t>
      </w:r>
      <w:r w:rsidR="001322F6">
        <w:rPr>
          <w:rFonts w:hint="cs"/>
          <w:rtl/>
        </w:rPr>
        <w:t>מחומר, ולכן הוא נצחי</w:t>
      </w:r>
      <w:r w:rsidR="008D0AB0">
        <w:rPr>
          <w:rFonts w:hint="cs"/>
          <w:rtl/>
        </w:rPr>
        <w:t>,</w:t>
      </w:r>
      <w:r w:rsidR="007966C3">
        <w:rPr>
          <w:rtl/>
        </w:rPr>
        <w:fldChar w:fldCharType="begin"/>
      </w:r>
      <w:r w:rsidR="007966C3">
        <w:instrText xml:space="preserve"> XE "</w:instrText>
      </w:r>
      <w:r w:rsidR="007966C3" w:rsidRPr="000A02A2">
        <w:rPr>
          <w:rFonts w:hint="cs"/>
          <w:rtl/>
        </w:rPr>
        <w:instrText>נותן הצורה - ההשפעה מהגלגל החומרי דרך החומר וההשפעה דרך השכלים הנפרדים</w:instrText>
      </w:r>
      <w:r w:rsidR="007966C3">
        <w:instrText xml:space="preserve">" </w:instrText>
      </w:r>
      <w:r w:rsidR="007966C3">
        <w:rPr>
          <w:rtl/>
        </w:rPr>
        <w:fldChar w:fldCharType="end"/>
      </w:r>
      <w:r w:rsidR="008D0AB0">
        <w:rPr>
          <w:rFonts w:hint="cs"/>
          <w:rtl/>
        </w:rPr>
        <w:t xml:space="preserve"> וממילא אין בו שינוי</w:t>
      </w:r>
      <w:r w:rsidR="0054077A">
        <w:rPr>
          <w:rFonts w:hint="cs"/>
          <w:rtl/>
        </w:rPr>
        <w:t xml:space="preserve"> ותנועה</w:t>
      </w:r>
      <w:r w:rsidR="001322F6">
        <w:rPr>
          <w:rFonts w:hint="cs"/>
          <w:rtl/>
        </w:rPr>
        <w:t xml:space="preserve">. הוא משפיע את הצורות באופן תמידי וקבוע על כל החומר, ולולא </w:t>
      </w:r>
      <w:r w:rsidR="00A40B29">
        <w:rPr>
          <w:rFonts w:hint="cs"/>
          <w:rtl/>
        </w:rPr>
        <w:t>הצורך בהכנת החומר כל הצורות היו יוצאות תמיד ובכל מקום אל הפועל מכח נותן הצור</w:t>
      </w:r>
      <w:r w:rsidR="008D0AB0">
        <w:rPr>
          <w:rFonts w:hint="cs"/>
          <w:rtl/>
        </w:rPr>
        <w:t>ה</w:t>
      </w:r>
      <w:r w:rsidR="0054077A">
        <w:rPr>
          <w:rFonts w:hint="cs"/>
          <w:rtl/>
        </w:rPr>
        <w:t xml:space="preserve"> (באמת לולא החומר והיותו מוגבל בקבלת הצורות, שלכן קבלת הצורות היא בזה אחר זה </w:t>
      </w:r>
      <w:r w:rsidR="00441D32">
        <w:rPr>
          <w:rFonts w:hint="cs"/>
          <w:rtl/>
        </w:rPr>
        <w:t>ולא</w:t>
      </w:r>
      <w:r w:rsidR="0054077A">
        <w:rPr>
          <w:rFonts w:hint="cs"/>
          <w:rtl/>
        </w:rPr>
        <w:t xml:space="preserve"> כולן בעת ובעונה אחת, </w:t>
      </w:r>
      <w:r w:rsidR="00441D32">
        <w:rPr>
          <w:rFonts w:hint="cs"/>
          <w:rtl/>
        </w:rPr>
        <w:t>לא היה הבדל בין הצמצום ובין לפני הצמצום</w:t>
      </w:r>
      <w:r w:rsidR="00C9115A">
        <w:rPr>
          <w:rFonts w:hint="cs"/>
          <w:rtl/>
        </w:rPr>
        <w:t>)</w:t>
      </w:r>
      <w:r w:rsidR="008D0AB0">
        <w:rPr>
          <w:rFonts w:hint="cs"/>
          <w:rtl/>
        </w:rPr>
        <w:t xml:space="preserve">. לכן אפשר היה לחשוב שפעולת נותן הצורה אינה נחשבת </w:t>
      </w:r>
      <w:r w:rsidR="00D52BDA">
        <w:rPr>
          <w:rFonts w:hint="cs"/>
          <w:rtl/>
        </w:rPr>
        <w:t xml:space="preserve">התחלת </w:t>
      </w:r>
      <w:r w:rsidR="008D0AB0">
        <w:rPr>
          <w:rFonts w:hint="cs"/>
          <w:rtl/>
        </w:rPr>
        <w:t xml:space="preserve">תנועה. </w:t>
      </w:r>
      <w:r w:rsidR="00D52BDA">
        <w:rPr>
          <w:rFonts w:hint="cs"/>
          <w:rtl/>
        </w:rPr>
        <w:t xml:space="preserve">אבן סינא כותב כאן שבכל זאת פעולת נותן הצורה נחשבת התחלת תנועה, </w:t>
      </w:r>
      <w:r w:rsidR="00E3765B">
        <w:rPr>
          <w:rFonts w:hint="cs"/>
          <w:rtl/>
        </w:rPr>
        <w:t xml:space="preserve">כי הוא זה שמכוחו הצורות יוצאות מהכח אל הפועל, </w:t>
      </w:r>
      <w:r w:rsidR="006559F3">
        <w:rPr>
          <w:rFonts w:hint="cs"/>
          <w:rtl/>
        </w:rPr>
        <w:t xml:space="preserve">כלומר הוא זה שמעניק לכל חיים, והתנועה ממוות לחיים היא וודאי שינוי וכל שינוי הוא תנועה. </w:t>
      </w:r>
      <w:r w:rsidR="009E0542">
        <w:rPr>
          <w:rFonts w:hint="cs"/>
          <w:rtl/>
        </w:rPr>
        <w:t xml:space="preserve">למשל </w:t>
      </w:r>
      <w:r w:rsidR="005479EB">
        <w:rPr>
          <w:rFonts w:hint="cs"/>
          <w:rtl/>
        </w:rPr>
        <w:t xml:space="preserve">אחת הצורות </w:t>
      </w:r>
      <w:r w:rsidR="009E0542">
        <w:rPr>
          <w:rFonts w:hint="cs"/>
          <w:rtl/>
        </w:rPr>
        <w:t>שמגיע</w:t>
      </w:r>
      <w:r w:rsidR="005479EB">
        <w:rPr>
          <w:rFonts w:hint="cs"/>
          <w:rtl/>
        </w:rPr>
        <w:t>ות</w:t>
      </w:r>
      <w:r w:rsidR="009E0542">
        <w:rPr>
          <w:rFonts w:hint="cs"/>
          <w:rtl/>
        </w:rPr>
        <w:t xml:space="preserve"> מנותן הצורות היא 'חי', היא חלה בחומר של כל בעלי החיים </w:t>
      </w:r>
      <w:r w:rsidR="003F12C0">
        <w:rPr>
          <w:rFonts w:hint="cs"/>
          <w:rtl/>
        </w:rPr>
        <w:t>כי</w:t>
      </w:r>
      <w:r w:rsidR="009E0542">
        <w:rPr>
          <w:rFonts w:hint="cs"/>
          <w:rtl/>
        </w:rPr>
        <w:t xml:space="preserve"> ההכנה של החומר לקבל את הצורה</w:t>
      </w:r>
      <w:r w:rsidR="003F12C0">
        <w:rPr>
          <w:rFonts w:hint="cs"/>
          <w:rtl/>
        </w:rPr>
        <w:t xml:space="preserve"> מאפשרת את זה</w:t>
      </w:r>
      <w:r w:rsidR="009E0542">
        <w:rPr>
          <w:rFonts w:hint="cs"/>
          <w:rtl/>
        </w:rPr>
        <w:t>. לו היה רק את הכנת החומר</w:t>
      </w:r>
      <w:r w:rsidR="00522061">
        <w:rPr>
          <w:rFonts w:hint="cs"/>
          <w:rtl/>
        </w:rPr>
        <w:t xml:space="preserve"> ללא נותן הצורה</w:t>
      </w:r>
      <w:r w:rsidR="009E0542">
        <w:rPr>
          <w:rFonts w:hint="cs"/>
          <w:rtl/>
        </w:rPr>
        <w:t>, הכל היה פגרי סוסים</w:t>
      </w:r>
      <w:r w:rsidR="00522061">
        <w:rPr>
          <w:rFonts w:hint="cs"/>
          <w:rtl/>
        </w:rPr>
        <w:t xml:space="preserve"> או חמורים</w:t>
      </w:r>
      <w:r w:rsidR="009E0542">
        <w:rPr>
          <w:rFonts w:hint="cs"/>
          <w:rtl/>
        </w:rPr>
        <w:t xml:space="preserve"> מתים</w:t>
      </w:r>
      <w:r w:rsidR="005479EB">
        <w:rPr>
          <w:rFonts w:hint="cs"/>
          <w:rtl/>
        </w:rPr>
        <w:t xml:space="preserve"> שמוכנים לקבל נפש חיה של סוס</w:t>
      </w:r>
      <w:r w:rsidR="00522061">
        <w:rPr>
          <w:rFonts w:hint="cs"/>
          <w:rtl/>
        </w:rPr>
        <w:t xml:space="preserve"> או חמור</w:t>
      </w:r>
      <w:r w:rsidR="005479EB">
        <w:rPr>
          <w:rFonts w:hint="cs"/>
          <w:rtl/>
        </w:rPr>
        <w:t xml:space="preserve"> ואינם מקבלים אותה ונשארים מתים</w:t>
      </w:r>
      <w:r w:rsidR="00604016">
        <w:rPr>
          <w:rFonts w:hint="cs"/>
          <w:rtl/>
        </w:rPr>
        <w:t xml:space="preserve">, נותן הצורות חוזר על </w:t>
      </w:r>
      <w:r w:rsidR="00CD3F18">
        <w:rPr>
          <w:rFonts w:hint="cs"/>
          <w:rtl/>
        </w:rPr>
        <w:t>מה שכתוב "</w:t>
      </w:r>
      <w:r w:rsidR="00CD3F18" w:rsidRPr="00CD3F18">
        <w:rPr>
          <w:rtl/>
        </w:rPr>
        <w:t>וַיִּיצֶר</w:t>
      </w:r>
      <w:r w:rsidR="006B515B">
        <w:rPr>
          <w:rFonts w:hint="cs"/>
          <w:rtl/>
        </w:rPr>
        <w:t xml:space="preserve"> ה'</w:t>
      </w:r>
      <w:r w:rsidR="00CD3F18" w:rsidRPr="00CD3F18">
        <w:rPr>
          <w:rtl/>
        </w:rPr>
        <w:t xml:space="preserve"> </w:t>
      </w:r>
      <w:r w:rsidR="00CD3F18" w:rsidRPr="00CD3F18">
        <w:rPr>
          <w:rtl/>
        </w:rPr>
        <w:t>אֱלֹהִים אֶת הָאָדָם עָפָר מִן הָאֲדָמָה וַיִּפַּח בְּאַפָּיו נִשְׁמַת חַיִּים וַיְהִי הָאָדָם לְנֶפֶשׁ חַיָּה.</w:t>
      </w:r>
      <w:r w:rsidR="00CD3F18">
        <w:rPr>
          <w:rFonts w:hint="cs"/>
          <w:rtl/>
        </w:rPr>
        <w:t>"</w:t>
      </w:r>
      <w:r w:rsidR="008747F3">
        <w:rPr>
          <w:rFonts w:hint="cs"/>
          <w:rtl/>
        </w:rPr>
        <w:t xml:space="preserve"> כי אפשרות בלבד עדיין אינה חיים עד ש</w:t>
      </w:r>
      <w:r w:rsidR="004F0960">
        <w:rPr>
          <w:rFonts w:hint="cs"/>
          <w:rtl/>
        </w:rPr>
        <w:t>תצא אל הפועל, כלומר הצורה ת</w:t>
      </w:r>
      <w:r w:rsidR="00D86362">
        <w:rPr>
          <w:rFonts w:hint="cs"/>
          <w:rtl/>
        </w:rPr>
        <w:t>צטייר בחומר ולא תהיה רק אפשרות, כמו פסל שעוד מונח בתוך גוש השיש שהוא רק אפשרות</w:t>
      </w:r>
      <w:r w:rsidR="000C5A63">
        <w:rPr>
          <w:rFonts w:hint="cs"/>
          <w:rtl/>
        </w:rPr>
        <w:t xml:space="preserve"> </w:t>
      </w:r>
      <w:r w:rsidR="00D86362">
        <w:rPr>
          <w:rFonts w:hint="cs"/>
          <w:rtl/>
        </w:rPr>
        <w:t xml:space="preserve">ואין בו את החיים שהשראת האומן </w:t>
      </w:r>
      <w:r w:rsidR="000C5A63">
        <w:rPr>
          <w:rFonts w:hint="cs"/>
          <w:rtl/>
        </w:rPr>
        <w:t>מפיחה בו כשמממש אותו בפועל</w:t>
      </w:r>
      <w:r w:rsidR="00D86362">
        <w:rPr>
          <w:rFonts w:hint="cs"/>
          <w:rtl/>
        </w:rPr>
        <w:t xml:space="preserve">. </w:t>
      </w:r>
      <w:r w:rsidR="005479EB">
        <w:rPr>
          <w:rFonts w:hint="cs"/>
          <w:rtl/>
        </w:rPr>
        <w:t xml:space="preserve"> </w:t>
      </w:r>
      <w:r w:rsidR="00A40B29">
        <w:rPr>
          <w:rFonts w:hint="cs"/>
          <w:rtl/>
        </w:rPr>
        <w:t xml:space="preserve"> </w:t>
      </w:r>
    </w:p>
  </w:footnote>
  <w:footnote w:id="674">
    <w:p w14:paraId="3BDB8EED" w14:textId="11FEA692" w:rsidR="006D16D0" w:rsidRDefault="006D16D0">
      <w:pPr>
        <w:pStyle w:val="FootnoteText"/>
      </w:pPr>
      <w:r>
        <w:rPr>
          <w:rStyle w:val="FootnoteReference"/>
        </w:rPr>
        <w:footnoteRef/>
      </w:r>
      <w:r>
        <w:rPr>
          <w:rtl/>
        </w:rPr>
        <w:t xml:space="preserve"> </w:t>
      </w:r>
      <w:r>
        <w:rPr>
          <w:rFonts w:hint="cs"/>
          <w:rtl/>
        </w:rPr>
        <w:t xml:space="preserve">במקור </w:t>
      </w:r>
      <w:r w:rsidRPr="006D16D0">
        <w:rPr>
          <w:rFonts w:cs="Times New Roman" w:hint="eastAsia"/>
          <w:rtl/>
          <w:lang w:bidi="ar-SA"/>
        </w:rPr>
        <w:t>الأصل</w:t>
      </w:r>
      <w:r w:rsidR="008F1B18">
        <w:rPr>
          <w:rFonts w:cs="Times New Roman" w:hint="cs"/>
          <w:rtl/>
        </w:rPr>
        <w:t xml:space="preserve"> </w:t>
      </w:r>
      <w:r w:rsidR="008F1B18" w:rsidRPr="008F1B18">
        <w:rPr>
          <w:rtl/>
        </w:rPr>
        <w:t>(אסל).</w:t>
      </w:r>
      <w:r w:rsidR="008F1B18" w:rsidRPr="009F6839">
        <w:rPr>
          <w:rtl/>
        </w:rPr>
        <w:t xml:space="preserve"> </w:t>
      </w:r>
      <w:r w:rsidR="00D67A95" w:rsidRPr="009F6839">
        <w:rPr>
          <w:rtl/>
        </w:rPr>
        <w:t>אפשר לתרגם גם שורש</w:t>
      </w:r>
      <w:r w:rsidR="003B2C35">
        <w:rPr>
          <w:rFonts w:hint="cs"/>
          <w:rtl/>
        </w:rPr>
        <w:t xml:space="preserve"> או סיבה</w:t>
      </w:r>
      <w:r w:rsidR="002A53CF">
        <w:rPr>
          <w:rFonts w:hint="cs"/>
          <w:rtl/>
        </w:rPr>
        <w:t xml:space="preserve"> או בסיס או מקור</w:t>
      </w:r>
      <w:r w:rsidR="00D67A95" w:rsidRPr="009F6839">
        <w:rPr>
          <w:rtl/>
        </w:rPr>
        <w:t xml:space="preserve">. מקגיניס תרגם </w:t>
      </w:r>
      <w:r w:rsidR="00D67A95" w:rsidRPr="009F6839">
        <w:t>primary</w:t>
      </w:r>
      <w:r w:rsidR="00D67A95" w:rsidRPr="009F6839">
        <w:rPr>
          <w:rtl/>
        </w:rPr>
        <w:t xml:space="preserve"> </w:t>
      </w:r>
      <w:r w:rsidR="009F6839" w:rsidRPr="009F6839">
        <w:rPr>
          <w:rtl/>
        </w:rPr>
        <w:t xml:space="preserve">וזה תרגום נכון רק שלא מצאתי לו מקבילה </w:t>
      </w:r>
      <w:r w:rsidR="009F6839" w:rsidRPr="009F6839">
        <w:rPr>
          <w:rtl/>
        </w:rPr>
        <w:t>מדוייקת בעברית</w:t>
      </w:r>
      <w:r w:rsidR="008232E3">
        <w:rPr>
          <w:rFonts w:hint="cs"/>
          <w:rtl/>
        </w:rPr>
        <w:t xml:space="preserve">, כי המילה </w:t>
      </w:r>
      <w:r w:rsidR="00FD06E3">
        <w:rPr>
          <w:rFonts w:hint="cs"/>
          <w:rtl/>
        </w:rPr>
        <w:t>'</w:t>
      </w:r>
      <w:r w:rsidR="008232E3">
        <w:rPr>
          <w:rFonts w:hint="cs"/>
          <w:rtl/>
        </w:rPr>
        <w:t>התחלה</w:t>
      </w:r>
      <w:r w:rsidR="00FD06E3">
        <w:rPr>
          <w:rFonts w:hint="cs"/>
          <w:rtl/>
        </w:rPr>
        <w:t>'</w:t>
      </w:r>
      <w:r w:rsidR="008232E3">
        <w:rPr>
          <w:rFonts w:hint="cs"/>
          <w:rtl/>
        </w:rPr>
        <w:t xml:space="preserve"> משמשת ל</w:t>
      </w:r>
      <w:r w:rsidR="003F7AD0">
        <w:rPr>
          <w:rFonts w:hint="cs"/>
          <w:rtl/>
        </w:rPr>
        <w:t>סך כל מה שמניע דהיינו צירוף ההתעוררות הראשונה עם העוזר</w:t>
      </w:r>
      <w:r w:rsidR="009F6839" w:rsidRPr="009F6839">
        <w:rPr>
          <w:rtl/>
        </w:rPr>
        <w:t xml:space="preserve">. </w:t>
      </w:r>
    </w:p>
    <w:p w14:paraId="6D19E80A" w14:textId="59DF6817" w:rsidR="00957D06" w:rsidRDefault="00957D06">
      <w:pPr>
        <w:pStyle w:val="FootnoteText"/>
        <w:rPr>
          <w:rtl/>
        </w:rPr>
      </w:pPr>
      <w:r>
        <w:rPr>
          <w:rFonts w:hint="cs"/>
          <w:rtl/>
        </w:rPr>
        <w:t>'עוזר' תרגם</w:t>
      </w:r>
      <w:r w:rsidR="00F7135C">
        <w:rPr>
          <w:rFonts w:hint="cs"/>
          <w:rtl/>
        </w:rPr>
        <w:t xml:space="preserve"> מקגיניס</w:t>
      </w:r>
      <w:r>
        <w:rPr>
          <w:rFonts w:hint="cs"/>
          <w:rtl/>
        </w:rPr>
        <w:t xml:space="preserve"> </w:t>
      </w:r>
      <w:r w:rsidRPr="00957D06">
        <w:t>auxiliary</w:t>
      </w:r>
      <w:r>
        <w:rPr>
          <w:rFonts w:hint="cs"/>
          <w:rtl/>
        </w:rPr>
        <w:t xml:space="preserve">, ו'מדריך' תרגם </w:t>
      </w:r>
      <w:r w:rsidR="00F7135C" w:rsidRPr="00F7135C">
        <w:t>guiding</w:t>
      </w:r>
      <w:r w:rsidR="00F7135C">
        <w:rPr>
          <w:rFonts w:hint="cs"/>
          <w:rtl/>
        </w:rPr>
        <w:t xml:space="preserve">. </w:t>
      </w:r>
      <w:r>
        <w:rPr>
          <w:rFonts w:hint="cs"/>
          <w:rtl/>
        </w:rPr>
        <w:t xml:space="preserve"> </w:t>
      </w:r>
    </w:p>
  </w:footnote>
  <w:footnote w:id="675">
    <w:p w14:paraId="1B21CA79" w14:textId="59851C48" w:rsidR="000074F0" w:rsidRDefault="000074F0">
      <w:pPr>
        <w:pStyle w:val="FootnoteText"/>
        <w:rPr>
          <w:rtl/>
        </w:rPr>
      </w:pPr>
      <w:r>
        <w:rPr>
          <w:rStyle w:val="FootnoteReference"/>
        </w:rPr>
        <w:footnoteRef/>
      </w:r>
      <w:r>
        <w:rPr>
          <w:rtl/>
        </w:rPr>
        <w:t xml:space="preserve"> </w:t>
      </w:r>
      <w:r w:rsidR="00E40836">
        <w:rPr>
          <w:rFonts w:hint="cs"/>
          <w:rtl/>
        </w:rPr>
        <w:t>נראה שהכוונה כאן היא שהעוזר הוא הבחירה החופשית</w:t>
      </w:r>
      <w:r w:rsidR="00BC7FD2">
        <w:rPr>
          <w:rFonts w:hint="cs"/>
          <w:rtl/>
        </w:rPr>
        <w:t xml:space="preserve">. </w:t>
      </w:r>
      <w:r w:rsidR="00BF1BA5">
        <w:rPr>
          <w:rFonts w:hint="cs"/>
          <w:rtl/>
        </w:rPr>
        <w:t xml:space="preserve">הבריאה היא גילוי האחדות האלוהית שנודעת </w:t>
      </w:r>
      <w:r w:rsidR="00ED53D5">
        <w:rPr>
          <w:rFonts w:hint="cs"/>
          <w:rtl/>
        </w:rPr>
        <w:t xml:space="preserve">מהצורות שהן יסוד </w:t>
      </w:r>
      <w:r w:rsidR="00876E5C">
        <w:rPr>
          <w:rFonts w:hint="cs"/>
          <w:rtl/>
        </w:rPr>
        <w:t xml:space="preserve">חי </w:t>
      </w:r>
      <w:r w:rsidR="00ED53D5">
        <w:rPr>
          <w:rFonts w:hint="cs"/>
          <w:rtl/>
        </w:rPr>
        <w:t>של אחדות ושל סדר ש</w:t>
      </w:r>
      <w:r w:rsidR="00034033">
        <w:rPr>
          <w:rFonts w:hint="cs"/>
          <w:rtl/>
        </w:rPr>
        <w:t>מגלה שיש</w:t>
      </w:r>
      <w:r w:rsidR="00ED53D5">
        <w:rPr>
          <w:rFonts w:hint="cs"/>
          <w:rtl/>
        </w:rPr>
        <w:t xml:space="preserve"> משהו אחד שממנו נובע אותו סדר</w:t>
      </w:r>
      <w:r w:rsidR="00034033">
        <w:rPr>
          <w:rFonts w:hint="cs"/>
          <w:rtl/>
        </w:rPr>
        <w:t xml:space="preserve">, וכן </w:t>
      </w:r>
      <w:r w:rsidR="005A57F4">
        <w:rPr>
          <w:rFonts w:hint="cs"/>
          <w:rtl/>
        </w:rPr>
        <w:t>מ</w:t>
      </w:r>
      <w:r w:rsidR="00034033">
        <w:rPr>
          <w:rFonts w:hint="cs"/>
          <w:rtl/>
        </w:rPr>
        <w:t xml:space="preserve">העובדה שהעולם </w:t>
      </w:r>
      <w:r w:rsidR="005A57F4">
        <w:rPr>
          <w:rFonts w:hint="cs"/>
          <w:rtl/>
        </w:rPr>
        <w:t xml:space="preserve">כולו איש אחד </w:t>
      </w:r>
      <w:r w:rsidR="00034033">
        <w:rPr>
          <w:rFonts w:hint="cs"/>
          <w:rtl/>
        </w:rPr>
        <w:t>חי,</w:t>
      </w:r>
      <w:r w:rsidR="00480156">
        <w:rPr>
          <w:rFonts w:hint="cs"/>
          <w:rtl/>
        </w:rPr>
        <w:t xml:space="preserve"> כלומר </w:t>
      </w:r>
      <w:r w:rsidR="00127597">
        <w:rPr>
          <w:rFonts w:hint="cs"/>
          <w:rtl/>
        </w:rPr>
        <w:t>יש ב</w:t>
      </w:r>
      <w:r w:rsidR="005A57F4">
        <w:rPr>
          <w:rFonts w:hint="cs"/>
          <w:rtl/>
        </w:rPr>
        <w:t>כולו</w:t>
      </w:r>
      <w:r w:rsidR="00127597">
        <w:rPr>
          <w:rFonts w:hint="cs"/>
          <w:rtl/>
        </w:rPr>
        <w:t xml:space="preserve"> </w:t>
      </w:r>
      <w:r w:rsidR="00876E5C">
        <w:rPr>
          <w:rFonts w:hint="cs"/>
          <w:rtl/>
        </w:rPr>
        <w:t xml:space="preserve">כאחד </w:t>
      </w:r>
      <w:r w:rsidR="00127597">
        <w:rPr>
          <w:rFonts w:hint="cs"/>
          <w:rtl/>
        </w:rPr>
        <w:t xml:space="preserve">השגת הטוב האלוהי </w:t>
      </w:r>
      <w:r w:rsidR="005A57F4">
        <w:rPr>
          <w:rFonts w:hint="cs"/>
          <w:rtl/>
        </w:rPr>
        <w:t xml:space="preserve">שממנה התנועה (השכלים </w:t>
      </w:r>
      <w:r w:rsidR="004E37B5">
        <w:rPr>
          <w:rFonts w:hint="cs"/>
          <w:rtl/>
        </w:rPr>
        <w:t xml:space="preserve">הנפרדים </w:t>
      </w:r>
      <w:r w:rsidR="005A57F4">
        <w:rPr>
          <w:rFonts w:hint="cs"/>
          <w:rtl/>
        </w:rPr>
        <w:t xml:space="preserve">משיגים את הבורא ומכירים בשלמותו ומזה תנועת הגלגלים וכמו שכתב במורה נבוכים </w:t>
      </w:r>
      <w:r w:rsidR="004E37B5">
        <w:rPr>
          <w:rFonts w:hint="cs"/>
          <w:rtl/>
        </w:rPr>
        <w:t>ב' ד')</w:t>
      </w:r>
      <w:r w:rsidR="005A57F4">
        <w:rPr>
          <w:rFonts w:hint="cs"/>
          <w:rtl/>
        </w:rPr>
        <w:t xml:space="preserve">, </w:t>
      </w:r>
      <w:r w:rsidR="00127597">
        <w:rPr>
          <w:rFonts w:hint="cs"/>
          <w:rtl/>
        </w:rPr>
        <w:t xml:space="preserve">והוא פועם </w:t>
      </w:r>
      <w:r w:rsidR="00127597">
        <w:rPr>
          <w:rFonts w:hint="cs"/>
          <w:rtl/>
        </w:rPr>
        <w:t xml:space="preserve">ברצוא ושוב, </w:t>
      </w:r>
      <w:r w:rsidR="00976E67">
        <w:rPr>
          <w:rFonts w:hint="cs"/>
          <w:rtl/>
        </w:rPr>
        <w:t xml:space="preserve">בפעימות הלב, נשימה, יום ולילה, וכיו"ב, </w:t>
      </w:r>
      <w:r w:rsidR="00127597">
        <w:rPr>
          <w:rFonts w:hint="cs"/>
          <w:rtl/>
        </w:rPr>
        <w:t>כלה באש ואינו אוכל</w:t>
      </w:r>
      <w:r w:rsidR="00876E5C">
        <w:rPr>
          <w:rFonts w:hint="cs"/>
          <w:rtl/>
        </w:rPr>
        <w:t>, מתהווה ונפסד</w:t>
      </w:r>
      <w:r w:rsidR="00127597">
        <w:rPr>
          <w:rFonts w:hint="cs"/>
          <w:rtl/>
        </w:rPr>
        <w:t>.</w:t>
      </w:r>
      <w:r w:rsidR="00270522">
        <w:rPr>
          <w:rFonts w:hint="cs"/>
          <w:rtl/>
        </w:rPr>
        <w:t xml:space="preserve"> צד חשוב ומקיף של הגילוי האלוהי הזה הוא התנועה שבעולם שנובעת מתנועת הגלגל</w:t>
      </w:r>
      <w:r w:rsidR="0050250E">
        <w:rPr>
          <w:rFonts w:hint="cs"/>
          <w:rtl/>
        </w:rPr>
        <w:t xml:space="preserve"> </w:t>
      </w:r>
      <w:r w:rsidR="00084812">
        <w:rPr>
          <w:rFonts w:hint="cs"/>
          <w:rtl/>
        </w:rPr>
        <w:t>שהיא התנועה היחידה שנובעת מרצון האל באופן ישיר</w:t>
      </w:r>
      <w:r w:rsidR="00AC1D00">
        <w:rPr>
          <w:rFonts w:hint="cs"/>
          <w:rtl/>
        </w:rPr>
        <w:t xml:space="preserve"> בלתי אמצעי</w:t>
      </w:r>
      <w:r w:rsidR="00411C02">
        <w:rPr>
          <w:rFonts w:hint="cs"/>
          <w:rtl/>
        </w:rPr>
        <w:t xml:space="preserve"> (זה הדבר היחיד שנופל עליו לשון בריאה (כל היתר הוא יצירה או עשייה)</w:t>
      </w:r>
      <w:r w:rsidR="002E5B40">
        <w:rPr>
          <w:rFonts w:hint="cs"/>
          <w:rtl/>
        </w:rPr>
        <w:t xml:space="preserve"> כמו שכתב הרמב"ן על בראשית א' א'</w:t>
      </w:r>
      <w:r w:rsidR="001F0B8D">
        <w:rPr>
          <w:rFonts w:hint="cs"/>
          <w:rtl/>
        </w:rPr>
        <w:t>,</w:t>
      </w:r>
      <w:r w:rsidR="002E5B40">
        <w:rPr>
          <w:rFonts w:hint="cs"/>
          <w:rtl/>
        </w:rPr>
        <w:t xml:space="preserve"> וגם אצל אבן סינא יש לו שם מיוחד</w:t>
      </w:r>
      <w:r w:rsidR="001F0B8D">
        <w:rPr>
          <w:rFonts w:hint="cs"/>
          <w:rtl/>
        </w:rPr>
        <w:t>:</w:t>
      </w:r>
      <w:r w:rsidR="002E5B40">
        <w:rPr>
          <w:rFonts w:hint="cs"/>
          <w:rtl/>
        </w:rPr>
        <w:t xml:space="preserve"> איב</w:t>
      </w:r>
      <w:r w:rsidR="001F0B8D">
        <w:rPr>
          <w:rFonts w:hint="cs"/>
          <w:rtl/>
        </w:rPr>
        <w:t>דע</w:t>
      </w:r>
      <w:r w:rsidR="00270522">
        <w:rPr>
          <w:rFonts w:hint="cs"/>
          <w:rtl/>
        </w:rPr>
        <w:t xml:space="preserve">. </w:t>
      </w:r>
      <w:r w:rsidR="00002F6B">
        <w:rPr>
          <w:rFonts w:hint="cs"/>
          <w:rtl/>
        </w:rPr>
        <w:t xml:space="preserve">וזה מה שמדבר בו במורה נבוכים ב' י"ז שהוכחות אריסטו על קדמות העולם צודקות </w:t>
      </w:r>
      <w:r w:rsidR="00C805CA">
        <w:rPr>
          <w:rFonts w:hint="cs"/>
          <w:rtl/>
        </w:rPr>
        <w:t xml:space="preserve">רק אחרי שהעולם נברא ואיתו השכל, אבל נקודת הבריאה הראשונה הבלתי אמצעית הראשונה שם נברא גם השכל שהוא חלק מהעולם, </w:t>
      </w:r>
      <w:r w:rsidR="00C953AD">
        <w:rPr>
          <w:rFonts w:hint="cs"/>
          <w:rtl/>
        </w:rPr>
        <w:t xml:space="preserve">ולכן את אותה התחלה השכל לא יכול לתפוש ולכן לגבי ההתחלה אין תוקף להוכחות של אריסטו וכמובן גם לא להוכחות שנגדו. </w:t>
      </w:r>
      <w:r w:rsidR="00CF2776">
        <w:rPr>
          <w:rFonts w:hint="cs"/>
          <w:rtl/>
        </w:rPr>
        <w:t>הבריאה אינה בזמן, כמו שכתב המורה נבוכים ב' י"ג וב' ל',</w:t>
      </w:r>
      <w:r w:rsidR="00102B2D">
        <w:rPr>
          <w:rFonts w:hint="cs"/>
          <w:rtl/>
        </w:rPr>
        <w:t xml:space="preserve"> הזמן נברא עם העולם, כי הוא תנועה של גוף חומרי. </w:t>
      </w:r>
      <w:r w:rsidR="00393695">
        <w:rPr>
          <w:rFonts w:hint="cs"/>
          <w:rtl/>
        </w:rPr>
        <w:t xml:space="preserve">הצד של חידוש העולם אין הכוונה </w:t>
      </w:r>
      <w:r w:rsidR="00942238">
        <w:rPr>
          <w:rFonts w:hint="cs"/>
          <w:rtl/>
        </w:rPr>
        <w:t>ב</w:t>
      </w:r>
      <w:r w:rsidR="00393695">
        <w:rPr>
          <w:rFonts w:hint="cs"/>
          <w:rtl/>
        </w:rPr>
        <w:t xml:space="preserve">ו שהיתה נקודה מסויימת בזמן שאז נברא העולם, אלא כשאנו בתוך הזמן אריסטו צודק שהזמן היה מאז ומעולם, ורק באותה נקודת התחלה ראשונה </w:t>
      </w:r>
      <w:r w:rsidR="00942238">
        <w:rPr>
          <w:rFonts w:hint="cs"/>
          <w:rtl/>
        </w:rPr>
        <w:t xml:space="preserve">שאז נברא הזמן שם אין להוכחות אריסטו תוקף. </w:t>
      </w:r>
      <w:r w:rsidR="00482858">
        <w:rPr>
          <w:rFonts w:hint="cs"/>
          <w:rtl/>
        </w:rPr>
        <w:t xml:space="preserve">כלומר מה שהעולם מחודש אין הכוונה שיש לו נקודת בריאה בזמן </w:t>
      </w:r>
      <w:r w:rsidR="009C463A">
        <w:rPr>
          <w:rFonts w:hint="cs"/>
          <w:rtl/>
        </w:rPr>
        <w:t>מסוים</w:t>
      </w:r>
      <w:r w:rsidR="00482858">
        <w:rPr>
          <w:rFonts w:hint="cs"/>
          <w:rtl/>
        </w:rPr>
        <w:t>, אלא הוא תמיד מחודש, ו</w:t>
      </w:r>
      <w:r w:rsidR="00473C01">
        <w:rPr>
          <w:rFonts w:hint="cs"/>
          <w:rtl/>
        </w:rPr>
        <w:t xml:space="preserve">החידוש שבבריאה בכל רגע ורגע </w:t>
      </w:r>
      <w:r w:rsidR="00482858">
        <w:rPr>
          <w:rFonts w:hint="cs"/>
          <w:rtl/>
        </w:rPr>
        <w:t>זה</w:t>
      </w:r>
      <w:r w:rsidR="00473C01">
        <w:rPr>
          <w:rFonts w:hint="cs"/>
          <w:rtl/>
        </w:rPr>
        <w:t>ו</w:t>
      </w:r>
      <w:r w:rsidR="00482858">
        <w:rPr>
          <w:rFonts w:hint="cs"/>
          <w:rtl/>
        </w:rPr>
        <w:t xml:space="preserve"> תנועת הגלגל הקיצון שנובעת באופן בלתי אמצעי מהרצון האלוהי החופשי</w:t>
      </w:r>
      <w:r w:rsidR="00473C01">
        <w:rPr>
          <w:rFonts w:hint="cs"/>
          <w:rtl/>
        </w:rPr>
        <w:t xml:space="preserve"> המופשט</w:t>
      </w:r>
      <w:r w:rsidR="00482858">
        <w:rPr>
          <w:rFonts w:hint="cs"/>
          <w:rtl/>
        </w:rPr>
        <w:t xml:space="preserve"> שמעל השכל ומעל כל הגדרה</w:t>
      </w:r>
      <w:r w:rsidR="00473C01">
        <w:rPr>
          <w:rFonts w:hint="cs"/>
          <w:rtl/>
        </w:rPr>
        <w:t xml:space="preserve"> (כמו שביאר אותו במורה נבוכים ב' י"ח בדרך </w:t>
      </w:r>
      <w:r w:rsidR="009D5B66">
        <w:rPr>
          <w:rFonts w:hint="cs"/>
          <w:rtl/>
        </w:rPr>
        <w:t>ה</w:t>
      </w:r>
      <w:r w:rsidR="00473C01">
        <w:rPr>
          <w:rFonts w:hint="cs"/>
          <w:rtl/>
        </w:rPr>
        <w:t>שני)</w:t>
      </w:r>
      <w:r w:rsidR="00482858">
        <w:rPr>
          <w:rFonts w:hint="cs"/>
          <w:rtl/>
        </w:rPr>
        <w:t xml:space="preserve">. </w:t>
      </w:r>
    </w:p>
    <w:p w14:paraId="021FC44E" w14:textId="596CF29C" w:rsidR="004F43A8" w:rsidRDefault="0050250E">
      <w:pPr>
        <w:pStyle w:val="FootnoteText"/>
      </w:pPr>
      <w:r>
        <w:rPr>
          <w:rFonts w:hint="cs"/>
          <w:rtl/>
        </w:rPr>
        <w:t>לאדם יש נפש חיה שיש בה יכולת להניע אותו, ויש לו בחירה חופשית</w:t>
      </w:r>
      <w:r w:rsidR="00CC3422">
        <w:rPr>
          <w:rFonts w:hint="cs"/>
          <w:rtl/>
        </w:rPr>
        <w:t>, הוא לא מחויב לסדר הכללי של היקום כולו כאיש אחד</w:t>
      </w:r>
      <w:r w:rsidR="00CB6D4C">
        <w:rPr>
          <w:rFonts w:hint="cs"/>
          <w:rtl/>
        </w:rPr>
        <w:t xml:space="preserve"> אלא יכול לנוע ולהניע כרצונו הפרטי. </w:t>
      </w:r>
      <w:r>
        <w:rPr>
          <w:rFonts w:hint="cs"/>
          <w:rtl/>
        </w:rPr>
        <w:t xml:space="preserve">אמנם </w:t>
      </w:r>
      <w:r w:rsidR="004F43A8">
        <w:rPr>
          <w:rFonts w:hint="cs"/>
          <w:rtl/>
        </w:rPr>
        <w:t>הבחירה החופשית של האדם אינה עניין נפרד</w:t>
      </w:r>
      <w:r w:rsidR="00CC3422">
        <w:rPr>
          <w:rFonts w:hint="cs"/>
          <w:rtl/>
        </w:rPr>
        <w:t xml:space="preserve"> מתנועת כל היקום</w:t>
      </w:r>
      <w:r w:rsidR="00CA4F16">
        <w:rPr>
          <w:rFonts w:hint="cs"/>
          <w:rtl/>
        </w:rPr>
        <w:t xml:space="preserve">, אלא </w:t>
      </w:r>
      <w:r w:rsidR="003F5A41">
        <w:rPr>
          <w:rFonts w:hint="cs"/>
          <w:rtl/>
        </w:rPr>
        <w:t xml:space="preserve">הבחירה היא בין חיים למוות, </w:t>
      </w:r>
      <w:r w:rsidR="00CA4F16">
        <w:rPr>
          <w:rFonts w:hint="cs"/>
          <w:rtl/>
        </w:rPr>
        <w:t xml:space="preserve">אם הוא בוחר </w:t>
      </w:r>
      <w:r w:rsidR="00ED116B">
        <w:rPr>
          <w:rFonts w:hint="cs"/>
          <w:rtl/>
        </w:rPr>
        <w:t>שלא כ</w:t>
      </w:r>
      <w:r w:rsidR="00CA4F16">
        <w:rPr>
          <w:rFonts w:hint="cs"/>
          <w:rtl/>
        </w:rPr>
        <w:t>סדר כלל היקום הוא</w:t>
      </w:r>
      <w:r w:rsidR="003F5A41">
        <w:rPr>
          <w:rFonts w:hint="cs"/>
          <w:rtl/>
        </w:rPr>
        <w:t xml:space="preserve"> מתנתק ממקור חיותו</w:t>
      </w:r>
      <w:r w:rsidR="00CA4F16">
        <w:rPr>
          <w:rFonts w:hint="cs"/>
          <w:rtl/>
        </w:rPr>
        <w:t xml:space="preserve"> </w:t>
      </w:r>
      <w:r w:rsidR="003F5A41">
        <w:rPr>
          <w:rFonts w:hint="cs"/>
          <w:rtl/>
        </w:rPr>
        <w:t xml:space="preserve">ובזה </w:t>
      </w:r>
      <w:r w:rsidR="00CA4F16">
        <w:rPr>
          <w:rFonts w:hint="cs"/>
          <w:rtl/>
        </w:rPr>
        <w:t xml:space="preserve">ממית את עצמו, </w:t>
      </w:r>
      <w:r w:rsidR="0066376F">
        <w:rPr>
          <w:rFonts w:hint="cs"/>
          <w:rtl/>
        </w:rPr>
        <w:t xml:space="preserve">ואם הוא </w:t>
      </w:r>
      <w:r w:rsidR="005F5098">
        <w:rPr>
          <w:rFonts w:hint="cs"/>
          <w:rtl/>
        </w:rPr>
        <w:t xml:space="preserve">דבק בסדר הכללי ופועל לפיו הוא בוחר בחיים. </w:t>
      </w:r>
      <w:r w:rsidR="00FF25C7">
        <w:rPr>
          <w:rFonts w:hint="cs"/>
          <w:rtl/>
        </w:rPr>
        <w:t>בכל אופן הפעולה של האדם מבחירתו משפיעה רק עליו, כי מצד היקום אם לא בחר נכון הוא לא קיים, וכמו ש</w:t>
      </w:r>
      <w:r w:rsidR="0062022C">
        <w:rPr>
          <w:rFonts w:hint="cs"/>
          <w:rtl/>
        </w:rPr>
        <w:t xml:space="preserve">נאמר במסכת ברכות י"ח </w:t>
      </w:r>
      <w:r w:rsidR="005D7C6A">
        <w:rPr>
          <w:rFonts w:hint="cs"/>
          <w:rtl/>
        </w:rPr>
        <w:t>ש</w:t>
      </w:r>
      <w:r w:rsidR="0062022C">
        <w:rPr>
          <w:rFonts w:hint="cs"/>
          <w:rtl/>
        </w:rPr>
        <w:t>רשעים בחייהם קרויים מתים</w:t>
      </w:r>
      <w:r w:rsidR="00CC3422">
        <w:rPr>
          <w:rFonts w:hint="cs"/>
          <w:rtl/>
        </w:rPr>
        <w:t xml:space="preserve">. </w:t>
      </w:r>
      <w:r w:rsidR="005D7C6A">
        <w:rPr>
          <w:rFonts w:hint="cs"/>
          <w:rtl/>
        </w:rPr>
        <w:t xml:space="preserve">כך שהתנועה שנובעת מהבחירה החופשית ומקורה בנפש האדם, </w:t>
      </w:r>
      <w:r w:rsidR="00F61622">
        <w:rPr>
          <w:rFonts w:hint="cs"/>
          <w:rtl/>
        </w:rPr>
        <w:t>יכולה לעזור לתנועה הכללית של היקום, אם האדם תופש את מקומו וממלא את תפקידו בסדר הכללי</w:t>
      </w:r>
      <w:r w:rsidR="00812EAF">
        <w:rPr>
          <w:rFonts w:hint="cs"/>
          <w:rtl/>
        </w:rPr>
        <w:t>, כמו איבר בגוף, וכמו שכתב במורה נבוכים א' ע"ב</w:t>
      </w:r>
      <w:r w:rsidR="00F61622">
        <w:rPr>
          <w:rFonts w:hint="cs"/>
          <w:rtl/>
        </w:rPr>
        <w:t xml:space="preserve">. </w:t>
      </w:r>
      <w:r w:rsidR="00812EAF">
        <w:rPr>
          <w:rFonts w:hint="cs"/>
          <w:rtl/>
        </w:rPr>
        <w:t xml:space="preserve">האדם </w:t>
      </w:r>
      <w:r w:rsidR="00452FCF">
        <w:rPr>
          <w:rFonts w:hint="cs"/>
          <w:rtl/>
        </w:rPr>
        <w:t xml:space="preserve">גם יכול לבחור לתקן את מה שקלקל בסדר האלוהי הכללי של הבריאה, וזה על ידי פעולות כמו הכרת </w:t>
      </w:r>
      <w:r w:rsidR="00573AD8">
        <w:rPr>
          <w:rFonts w:hint="cs"/>
          <w:rtl/>
        </w:rPr>
        <w:t>טובה, תשלום או צדקה. לפי הסדר הכללי של היקום כל ממון נמצא אצל בעליו</w:t>
      </w:r>
      <w:r w:rsidR="00670C6C">
        <w:rPr>
          <w:rFonts w:hint="cs"/>
          <w:rtl/>
        </w:rPr>
        <w:t xml:space="preserve">, לכן אין שם מקום לתנועות שמשנות את הבעלות על הממון. </w:t>
      </w:r>
      <w:r w:rsidR="00331E23">
        <w:rPr>
          <w:rFonts w:hint="cs"/>
          <w:rtl/>
        </w:rPr>
        <w:t>אם הממון לא נמצא במקום שהסדר הכללי מחייב, האדם יכול "לעזור"</w:t>
      </w:r>
      <w:r w:rsidR="00331E23">
        <w:rPr>
          <w:rFonts w:hint="cs"/>
        </w:rPr>
        <w:t xml:space="preserve"> </w:t>
      </w:r>
      <w:r w:rsidR="00331E23">
        <w:rPr>
          <w:rFonts w:hint="cs"/>
          <w:rtl/>
        </w:rPr>
        <w:t xml:space="preserve">לסדר הכללי ולתת את הממון </w:t>
      </w:r>
      <w:r w:rsidR="00D64B06">
        <w:rPr>
          <w:rFonts w:hint="cs"/>
          <w:rtl/>
        </w:rPr>
        <w:t xml:space="preserve">או הטובה </w:t>
      </w:r>
      <w:r w:rsidR="00331E23">
        <w:rPr>
          <w:rFonts w:hint="cs"/>
          <w:rtl/>
        </w:rPr>
        <w:t>ל</w:t>
      </w:r>
      <w:r w:rsidR="00D64B06">
        <w:rPr>
          <w:rFonts w:hint="cs"/>
          <w:rtl/>
        </w:rPr>
        <w:t>בעליהם האמיתי</w:t>
      </w:r>
      <w:r w:rsidR="00573AD8">
        <w:rPr>
          <w:rFonts w:hint="cs"/>
          <w:rtl/>
        </w:rPr>
        <w:t xml:space="preserve">. </w:t>
      </w:r>
      <w:r w:rsidR="00AD626A">
        <w:rPr>
          <w:rFonts w:hint="cs"/>
          <w:rtl/>
        </w:rPr>
        <w:t>פעולות כאלה עוזרות להשיב את הסדר הכללי</w:t>
      </w:r>
      <w:r w:rsidR="002637B3">
        <w:rPr>
          <w:rFonts w:hint="cs"/>
          <w:rtl/>
        </w:rPr>
        <w:t xml:space="preserve"> לתיקונו</w:t>
      </w:r>
      <w:r w:rsidR="00AD626A">
        <w:rPr>
          <w:rFonts w:hint="cs"/>
          <w:rtl/>
        </w:rPr>
        <w:t xml:space="preserve">, אבל אינן תכליתו, כי תכליתו היא </w:t>
      </w:r>
      <w:r w:rsidR="002637B3">
        <w:rPr>
          <w:rFonts w:hint="cs"/>
          <w:rtl/>
        </w:rPr>
        <w:t xml:space="preserve">רק </w:t>
      </w:r>
      <w:r w:rsidR="00AD626A">
        <w:rPr>
          <w:rFonts w:hint="cs"/>
          <w:rtl/>
        </w:rPr>
        <w:t>לעמוד על תיקונו</w:t>
      </w:r>
      <w:r w:rsidR="002637B3">
        <w:rPr>
          <w:rFonts w:hint="cs"/>
          <w:rtl/>
        </w:rPr>
        <w:t>.</w:t>
      </w:r>
      <w:r w:rsidR="004F43A8">
        <w:rPr>
          <w:rFonts w:hint="cs"/>
          <w:rtl/>
        </w:rPr>
        <w:t xml:space="preserve"> </w:t>
      </w:r>
    </w:p>
  </w:footnote>
  <w:footnote w:id="676">
    <w:p w14:paraId="7267DAEF" w14:textId="77777777" w:rsidR="00A03737" w:rsidRDefault="002637B3">
      <w:pPr>
        <w:pStyle w:val="FootnoteText"/>
        <w:rPr>
          <w:rtl/>
        </w:rPr>
      </w:pPr>
      <w:r>
        <w:rPr>
          <w:rStyle w:val="FootnoteReference"/>
        </w:rPr>
        <w:footnoteRef/>
      </w:r>
      <w:r>
        <w:rPr>
          <w:rtl/>
        </w:rPr>
        <w:t xml:space="preserve"> </w:t>
      </w:r>
      <w:r w:rsidR="00504E11">
        <w:rPr>
          <w:rFonts w:hint="cs"/>
          <w:rtl/>
        </w:rPr>
        <w:t>נראה שהכוונה ב"מדריך" היא לשכל</w:t>
      </w:r>
      <w:r w:rsidR="004D436D">
        <w:rPr>
          <w:rFonts w:hint="cs"/>
          <w:rtl/>
        </w:rPr>
        <w:t xml:space="preserve">. </w:t>
      </w:r>
      <w:r w:rsidR="007E39BF">
        <w:rPr>
          <w:rFonts w:hint="cs"/>
          <w:rtl/>
        </w:rPr>
        <w:t>השכל סיבת</w:t>
      </w:r>
      <w:r w:rsidR="00B92EE6">
        <w:rPr>
          <w:rFonts w:hint="cs"/>
          <w:rtl/>
        </w:rPr>
        <w:t xml:space="preserve"> תנועתו</w:t>
      </w:r>
      <w:r w:rsidR="007E39BF">
        <w:rPr>
          <w:rFonts w:hint="cs"/>
          <w:rtl/>
        </w:rPr>
        <w:t xml:space="preserve"> היא </w:t>
      </w:r>
      <w:r w:rsidR="00B92EE6">
        <w:rPr>
          <w:rFonts w:hint="cs"/>
          <w:rtl/>
        </w:rPr>
        <w:t xml:space="preserve">התנועה הכללית </w:t>
      </w:r>
      <w:r w:rsidR="007A1AB2">
        <w:rPr>
          <w:rFonts w:hint="cs"/>
          <w:rtl/>
        </w:rPr>
        <w:t xml:space="preserve">של כל היקום כאחד, </w:t>
      </w:r>
      <w:r w:rsidR="002020CF">
        <w:rPr>
          <w:rFonts w:hint="cs"/>
          <w:rtl/>
        </w:rPr>
        <w:t xml:space="preserve">תנועת הגלגל, </w:t>
      </w:r>
      <w:r w:rsidR="00C17FD5">
        <w:rPr>
          <w:rFonts w:hint="cs"/>
          <w:rtl/>
        </w:rPr>
        <w:t>לכן השכל לא מניע</w:t>
      </w:r>
      <w:r w:rsidR="002020CF">
        <w:rPr>
          <w:rFonts w:hint="cs"/>
          <w:rtl/>
        </w:rPr>
        <w:t xml:space="preserve"> שום דבר</w:t>
      </w:r>
      <w:r w:rsidR="00C17FD5">
        <w:rPr>
          <w:rFonts w:hint="cs"/>
          <w:rtl/>
        </w:rPr>
        <w:t xml:space="preserve"> לבדו אלא הוא מניע בתיווך התנועה הכללית של כל הטבע. </w:t>
      </w:r>
      <w:r w:rsidR="002020CF">
        <w:rPr>
          <w:rFonts w:hint="cs"/>
          <w:rtl/>
        </w:rPr>
        <w:t xml:space="preserve">אדם לא יסתום את החלון אם אין רוח קרה מבחוץ, </w:t>
      </w:r>
      <w:r w:rsidR="0092000D">
        <w:rPr>
          <w:rFonts w:hint="cs"/>
          <w:rtl/>
        </w:rPr>
        <w:t>לכן מה ששכלו מורה לו לסתום את החלון זו תנועה שמתנועעת מכח התנועה הכללית של הגלגל</w:t>
      </w:r>
      <w:r w:rsidR="008D3320">
        <w:rPr>
          <w:rFonts w:hint="cs"/>
          <w:rtl/>
        </w:rPr>
        <w:t>, שגרמה לרוח הקרה שמניעה את האדם</w:t>
      </w:r>
      <w:r w:rsidR="00BB1B99">
        <w:rPr>
          <w:rFonts w:hint="cs"/>
          <w:rtl/>
        </w:rPr>
        <w:t xml:space="preserve"> להחליט בשכלו</w:t>
      </w:r>
      <w:r w:rsidR="008D3320">
        <w:rPr>
          <w:rFonts w:hint="cs"/>
          <w:rtl/>
        </w:rPr>
        <w:t xml:space="preserve"> לסתום את החלון</w:t>
      </w:r>
      <w:r w:rsidR="00BB1B99">
        <w:rPr>
          <w:rFonts w:hint="cs"/>
          <w:rtl/>
        </w:rPr>
        <w:t xml:space="preserve">, ומזה נראה ששכלו </w:t>
      </w:r>
      <w:r w:rsidR="00BF0564">
        <w:rPr>
          <w:rFonts w:hint="cs"/>
          <w:rtl/>
        </w:rPr>
        <w:t>ה</w:t>
      </w:r>
      <w:r w:rsidR="00BB1B99">
        <w:rPr>
          <w:rFonts w:hint="cs"/>
          <w:rtl/>
        </w:rPr>
        <w:t>וא ה</w:t>
      </w:r>
      <w:r w:rsidR="00BF0564">
        <w:rPr>
          <w:rFonts w:hint="cs"/>
          <w:rtl/>
        </w:rPr>
        <w:t>יחיד ש</w:t>
      </w:r>
      <w:r w:rsidR="00BB1B99">
        <w:rPr>
          <w:rFonts w:hint="cs"/>
          <w:rtl/>
        </w:rPr>
        <w:t xml:space="preserve">מניע אותו לסתום, אבל באמת השכל מניע רק בתיווך תנועת הגלגל </w:t>
      </w:r>
      <w:r w:rsidR="00E81840">
        <w:rPr>
          <w:rFonts w:hint="cs"/>
          <w:rtl/>
        </w:rPr>
        <w:t xml:space="preserve">שהרי אינו </w:t>
      </w:r>
      <w:r w:rsidR="00BF0564">
        <w:rPr>
          <w:rFonts w:hint="cs"/>
          <w:rtl/>
        </w:rPr>
        <w:t>מ</w:t>
      </w:r>
      <w:r w:rsidR="00BB1B99">
        <w:rPr>
          <w:rFonts w:hint="cs"/>
          <w:rtl/>
        </w:rPr>
        <w:t>ניע</w:t>
      </w:r>
      <w:r w:rsidR="00E81840">
        <w:rPr>
          <w:rFonts w:hint="cs"/>
          <w:rtl/>
        </w:rPr>
        <w:t xml:space="preserve"> מאומה</w:t>
      </w:r>
      <w:r w:rsidR="00BB1B99">
        <w:rPr>
          <w:rFonts w:hint="cs"/>
          <w:rtl/>
        </w:rPr>
        <w:t xml:space="preserve"> לבדו</w:t>
      </w:r>
      <w:r w:rsidR="00E81840">
        <w:rPr>
          <w:rFonts w:hint="cs"/>
          <w:rtl/>
        </w:rPr>
        <w:t xml:space="preserve"> (</w:t>
      </w:r>
      <w:r w:rsidR="008D3320">
        <w:rPr>
          <w:rFonts w:hint="cs"/>
          <w:rtl/>
        </w:rPr>
        <w:t>זה לא מבטל את הבחירה של האדם לסתום ולהנות מבית חם, או לא לסתום ולהתקרר</w:t>
      </w:r>
      <w:r w:rsidR="00E81840">
        <w:rPr>
          <w:rFonts w:hint="cs"/>
          <w:rtl/>
        </w:rPr>
        <w:t>)</w:t>
      </w:r>
      <w:r w:rsidR="008D3320">
        <w:rPr>
          <w:rFonts w:hint="cs"/>
          <w:rtl/>
        </w:rPr>
        <w:t>.</w:t>
      </w:r>
      <w:r w:rsidR="0092000D">
        <w:rPr>
          <w:rFonts w:hint="cs"/>
          <w:rtl/>
        </w:rPr>
        <w:t xml:space="preserve"> </w:t>
      </w:r>
      <w:r w:rsidR="00936A05">
        <w:rPr>
          <w:rFonts w:hint="cs"/>
          <w:rtl/>
        </w:rPr>
        <w:t xml:space="preserve">עיין בזה במורה נבוכים בהקדמות לחלק ב' הקדמה </w:t>
      </w:r>
      <w:r w:rsidR="005645AD">
        <w:rPr>
          <w:rFonts w:hint="cs"/>
          <w:rtl/>
        </w:rPr>
        <w:t xml:space="preserve">כ"ו, </w:t>
      </w:r>
      <w:r w:rsidR="00936A05">
        <w:rPr>
          <w:rFonts w:hint="cs"/>
          <w:rtl/>
        </w:rPr>
        <w:t>ובחלק ב' פרק א'.</w:t>
      </w:r>
      <w:r w:rsidR="009D5B66">
        <w:rPr>
          <w:rFonts w:hint="cs"/>
          <w:rtl/>
        </w:rPr>
        <w:t xml:space="preserve"> </w:t>
      </w:r>
    </w:p>
    <w:p w14:paraId="0FB6F21D" w14:textId="0C65CCA2" w:rsidR="002637B3" w:rsidRDefault="00A03737">
      <w:pPr>
        <w:pStyle w:val="FootnoteText"/>
      </w:pPr>
      <w:r>
        <w:rPr>
          <w:rFonts w:hint="cs"/>
          <w:rtl/>
        </w:rPr>
        <w:t xml:space="preserve">העניין של </w:t>
      </w:r>
      <w:r w:rsidR="00B92CF6">
        <w:rPr>
          <w:rFonts w:hint="cs"/>
          <w:rtl/>
        </w:rPr>
        <w:t>'</w:t>
      </w:r>
      <w:r>
        <w:rPr>
          <w:rFonts w:hint="cs"/>
          <w:rtl/>
        </w:rPr>
        <w:t>עוזר</w:t>
      </w:r>
      <w:r w:rsidR="00B92CF6">
        <w:rPr>
          <w:rFonts w:hint="cs"/>
          <w:rtl/>
        </w:rPr>
        <w:t>'</w:t>
      </w:r>
      <w:r>
        <w:rPr>
          <w:rFonts w:hint="cs"/>
          <w:rtl/>
        </w:rPr>
        <w:t xml:space="preserve"> ו</w:t>
      </w:r>
      <w:r w:rsidR="00B92CF6">
        <w:rPr>
          <w:rFonts w:hint="cs"/>
          <w:rtl/>
        </w:rPr>
        <w:t>'</w:t>
      </w:r>
      <w:r>
        <w:rPr>
          <w:rFonts w:hint="cs"/>
          <w:rtl/>
        </w:rPr>
        <w:t>מדריך</w:t>
      </w:r>
      <w:r w:rsidR="00B92CF6">
        <w:rPr>
          <w:rFonts w:hint="cs"/>
          <w:rtl/>
        </w:rPr>
        <w:t>'</w:t>
      </w:r>
      <w:r>
        <w:rPr>
          <w:rFonts w:hint="cs"/>
          <w:rtl/>
        </w:rPr>
        <w:t xml:space="preserve"> אינו מחוור לי היטב</w:t>
      </w:r>
      <w:r w:rsidR="00B4221C">
        <w:rPr>
          <w:rFonts w:hint="cs"/>
          <w:rtl/>
        </w:rPr>
        <w:t xml:space="preserve"> </w:t>
      </w:r>
      <w:r w:rsidR="005614A9">
        <w:rPr>
          <w:rFonts w:hint="cs"/>
          <w:rtl/>
        </w:rPr>
        <w:t>ו</w:t>
      </w:r>
      <w:r>
        <w:rPr>
          <w:rFonts w:hint="cs"/>
          <w:rtl/>
        </w:rPr>
        <w:t xml:space="preserve">כתבתי </w:t>
      </w:r>
      <w:r w:rsidR="00B4221C">
        <w:rPr>
          <w:rFonts w:hint="cs"/>
          <w:rtl/>
        </w:rPr>
        <w:t xml:space="preserve">כאן </w:t>
      </w:r>
      <w:r>
        <w:rPr>
          <w:rFonts w:hint="cs"/>
          <w:rtl/>
        </w:rPr>
        <w:t xml:space="preserve">רק כהשערה. </w:t>
      </w:r>
      <w:r w:rsidR="00B16018">
        <w:rPr>
          <w:rFonts w:hint="cs"/>
          <w:rtl/>
        </w:rPr>
        <w:t xml:space="preserve">גם אם לא זו כוונתו של אבן סינא כאן </w:t>
      </w:r>
      <w:r w:rsidR="005614A9">
        <w:rPr>
          <w:rFonts w:hint="cs"/>
          <w:rtl/>
        </w:rPr>
        <w:t>הדברים מצד עצמם נכונים ומועילים.</w:t>
      </w:r>
    </w:p>
  </w:footnote>
  <w:footnote w:id="677">
    <w:p w14:paraId="0559C5FE" w14:textId="5D72CC97" w:rsidR="00F20FFA" w:rsidRDefault="00F20FFA">
      <w:pPr>
        <w:pStyle w:val="FootnoteText"/>
      </w:pPr>
      <w:r>
        <w:rPr>
          <w:rStyle w:val="FootnoteReference"/>
        </w:rPr>
        <w:footnoteRef/>
      </w:r>
      <w:r>
        <w:rPr>
          <w:rtl/>
        </w:rPr>
        <w:t xml:space="preserve"> </w:t>
      </w:r>
      <w:r w:rsidR="007C6C0F">
        <w:rPr>
          <w:rFonts w:hint="cs"/>
          <w:rtl/>
        </w:rPr>
        <w:t>הסיבה הפועלת או ההתחלה הפועלת.</w:t>
      </w:r>
    </w:p>
  </w:footnote>
  <w:footnote w:id="678">
    <w:p w14:paraId="1BFD576E" w14:textId="2E09BC78" w:rsidR="00B34236" w:rsidRDefault="00B34236">
      <w:pPr>
        <w:pStyle w:val="FootnoteText"/>
      </w:pPr>
      <w:r>
        <w:rPr>
          <w:rStyle w:val="FootnoteReference"/>
        </w:rPr>
        <w:footnoteRef/>
      </w:r>
      <w:r>
        <w:rPr>
          <w:rtl/>
        </w:rPr>
        <w:t xml:space="preserve"> </w:t>
      </w:r>
      <w:r w:rsidR="00CF0464">
        <w:rPr>
          <w:rFonts w:hint="cs"/>
          <w:rtl/>
        </w:rPr>
        <w:t xml:space="preserve">כל מה שדיברנו מסעיף 2 </w:t>
      </w:r>
      <w:r w:rsidR="006E59A9">
        <w:rPr>
          <w:rFonts w:hint="cs"/>
          <w:rtl/>
        </w:rPr>
        <w:t xml:space="preserve">בפרקנו </w:t>
      </w:r>
      <w:r w:rsidR="00CF0464">
        <w:rPr>
          <w:rFonts w:hint="cs"/>
          <w:rtl/>
        </w:rPr>
        <w:t>עד כאן לגבי ה</w:t>
      </w:r>
      <w:r w:rsidR="006E59A9">
        <w:rPr>
          <w:rFonts w:hint="cs"/>
          <w:rtl/>
        </w:rPr>
        <w:t>סיבה הפועלת</w:t>
      </w:r>
      <w:r w:rsidR="00CF0464">
        <w:rPr>
          <w:rFonts w:hint="cs"/>
          <w:rtl/>
        </w:rPr>
        <w:t xml:space="preserve">. </w:t>
      </w:r>
    </w:p>
  </w:footnote>
  <w:footnote w:id="679">
    <w:p w14:paraId="43C0BAAB" w14:textId="5C27B1D8" w:rsidR="00431D67" w:rsidRDefault="00431D67">
      <w:pPr>
        <w:pStyle w:val="FootnoteText"/>
        <w:rPr>
          <w:rtl/>
        </w:rPr>
      </w:pPr>
      <w:r>
        <w:rPr>
          <w:rStyle w:val="FootnoteReference"/>
        </w:rPr>
        <w:footnoteRef/>
      </w:r>
      <w:r>
        <w:rPr>
          <w:rtl/>
        </w:rPr>
        <w:t xml:space="preserve"> </w:t>
      </w:r>
      <w:r w:rsidR="00230760">
        <w:rPr>
          <w:rFonts w:hint="cs"/>
          <w:rtl/>
        </w:rPr>
        <w:t xml:space="preserve">הבורא הוא הסיבה הפועלת הראשונה של המציאות. </w:t>
      </w:r>
      <w:r w:rsidR="00F307A5">
        <w:rPr>
          <w:rFonts w:hint="cs"/>
          <w:rtl/>
        </w:rPr>
        <w:t>אבן סינא בא ללמד כאן ש</w:t>
      </w:r>
      <w:r w:rsidR="00230760">
        <w:rPr>
          <w:rFonts w:hint="cs"/>
          <w:rtl/>
        </w:rPr>
        <w:t>יש הבדל ביחס סיבה</w:t>
      </w:r>
      <w:r w:rsidR="002E313D">
        <w:rPr>
          <w:rFonts w:hint="cs"/>
          <w:rtl/>
        </w:rPr>
        <w:t>-</w:t>
      </w:r>
      <w:r w:rsidR="00230760">
        <w:rPr>
          <w:rFonts w:hint="cs"/>
          <w:rtl/>
        </w:rPr>
        <w:t>מסובב בין הבורא</w:t>
      </w:r>
      <w:r w:rsidR="003C5684">
        <w:rPr>
          <w:rFonts w:hint="cs"/>
          <w:rtl/>
        </w:rPr>
        <w:t xml:space="preserve"> </w:t>
      </w:r>
      <w:r w:rsidR="00DC7FE8">
        <w:rPr>
          <w:rFonts w:hint="cs"/>
          <w:rtl/>
        </w:rPr>
        <w:t>[כלומר "המציאות עצמה"]</w:t>
      </w:r>
      <w:r w:rsidR="00230760">
        <w:rPr>
          <w:rFonts w:hint="cs"/>
          <w:rtl/>
        </w:rPr>
        <w:t xml:space="preserve"> כסיבה</w:t>
      </w:r>
      <w:r w:rsidR="002E313D">
        <w:rPr>
          <w:rFonts w:hint="cs"/>
          <w:rtl/>
        </w:rPr>
        <w:t xml:space="preserve"> פועלת של המציאות ובין המציאות, </w:t>
      </w:r>
      <w:r w:rsidR="00230760">
        <w:rPr>
          <w:rFonts w:hint="cs"/>
          <w:rtl/>
        </w:rPr>
        <w:t xml:space="preserve">ובין כל שאר </w:t>
      </w:r>
      <w:r w:rsidR="00843867">
        <w:rPr>
          <w:rFonts w:hint="cs"/>
          <w:rtl/>
        </w:rPr>
        <w:t>ה</w:t>
      </w:r>
      <w:r w:rsidR="00E25ECF">
        <w:rPr>
          <w:rFonts w:hint="cs"/>
          <w:rtl/>
        </w:rPr>
        <w:t>י</w:t>
      </w:r>
      <w:r w:rsidR="00843867">
        <w:rPr>
          <w:rFonts w:hint="cs"/>
          <w:rtl/>
        </w:rPr>
        <w:t>חסי</w:t>
      </w:r>
      <w:r w:rsidR="00E25ECF">
        <w:rPr>
          <w:rFonts w:hint="cs"/>
          <w:rtl/>
        </w:rPr>
        <w:t>ם</w:t>
      </w:r>
      <w:r w:rsidR="00843867">
        <w:rPr>
          <w:rFonts w:hint="cs"/>
          <w:rtl/>
        </w:rPr>
        <w:t xml:space="preserve"> של סיבה</w:t>
      </w:r>
      <w:r w:rsidR="00E25ECF">
        <w:rPr>
          <w:rFonts w:hint="cs"/>
          <w:rtl/>
        </w:rPr>
        <w:t>-</w:t>
      </w:r>
      <w:r w:rsidR="00843867">
        <w:rPr>
          <w:rFonts w:hint="cs"/>
          <w:rtl/>
        </w:rPr>
        <w:t xml:space="preserve">מסובב של כל הסיבות האמצעיות שהן הטבע. </w:t>
      </w:r>
      <w:r w:rsidR="00E25ECF">
        <w:rPr>
          <w:rFonts w:hint="cs"/>
          <w:rtl/>
        </w:rPr>
        <w:t xml:space="preserve">כי הבורא נבדל </w:t>
      </w:r>
      <w:r w:rsidR="00F42D7D">
        <w:rPr>
          <w:rFonts w:hint="cs"/>
          <w:rtl/>
        </w:rPr>
        <w:t>באופן מוחלט</w:t>
      </w:r>
      <w:r w:rsidR="00E25ECF">
        <w:rPr>
          <w:rFonts w:hint="cs"/>
          <w:rtl/>
        </w:rPr>
        <w:t xml:space="preserve"> מהטבע</w:t>
      </w:r>
      <w:r w:rsidR="003865C1">
        <w:rPr>
          <w:rFonts w:hint="cs"/>
          <w:rtl/>
        </w:rPr>
        <w:t xml:space="preserve"> </w:t>
      </w:r>
      <w:r w:rsidR="00F16C5A">
        <w:rPr>
          <w:rFonts w:hint="cs"/>
          <w:rtl/>
        </w:rPr>
        <w:t>ואין לו שום צורך או תכלית בו</w:t>
      </w:r>
      <w:r w:rsidR="00230760">
        <w:rPr>
          <w:rFonts w:hint="cs"/>
          <w:rtl/>
        </w:rPr>
        <w:t>.</w:t>
      </w:r>
      <w:r w:rsidR="009F2314">
        <w:rPr>
          <w:rFonts w:hint="cs"/>
          <w:rtl/>
        </w:rPr>
        <w:t xml:space="preserve"> שהכוונה כאן למה שכתב במורה נבוכים א' ס"ט</w:t>
      </w:r>
      <w:r w:rsidR="008C4BDC">
        <w:rPr>
          <w:rFonts w:hint="cs"/>
          <w:rtl/>
        </w:rPr>
        <w:t xml:space="preserve"> [המורה נבוכים דן בבורא כסיבה פועלת, סיבה צורנית וסיבה תכליתית של המציאות. את ההבחנה בין יחסי סיבה-מסובב </w:t>
      </w:r>
      <w:r w:rsidR="00942BE5">
        <w:rPr>
          <w:rFonts w:hint="cs"/>
          <w:rtl/>
        </w:rPr>
        <w:t>בין הבורא כסיבה ובין שאר הסיבות המורה נבוכים עו</w:t>
      </w:r>
      <w:r w:rsidR="008668D7">
        <w:rPr>
          <w:rFonts w:hint="cs"/>
          <w:rtl/>
        </w:rPr>
        <w:t>ש</w:t>
      </w:r>
      <w:r w:rsidR="00942BE5">
        <w:rPr>
          <w:rFonts w:hint="cs"/>
          <w:rtl/>
        </w:rPr>
        <w:t>ה בדיונו על הסיבה הצורנית, אבל העניין עצמו הוא אותו עניין בכל סוגי הסיבות</w:t>
      </w:r>
      <w:r w:rsidR="008C4BDC">
        <w:rPr>
          <w:rFonts w:hint="cs"/>
          <w:rtl/>
        </w:rPr>
        <w:t>]</w:t>
      </w:r>
      <w:r w:rsidR="00CB3431">
        <w:rPr>
          <w:rtl/>
        </w:rPr>
        <w:fldChar w:fldCharType="begin"/>
      </w:r>
      <w:r w:rsidR="00CB3431">
        <w:instrText xml:space="preserve"> XE "</w:instrText>
      </w:r>
      <w:r w:rsidR="00CB3431" w:rsidRPr="003F796B">
        <w:rPr>
          <w:rFonts w:hint="cs"/>
          <w:rtl/>
        </w:rPr>
        <w:instrText>מורה נבוכים א' ס</w:instrText>
      </w:r>
      <w:r w:rsidR="00CB3431">
        <w:rPr>
          <w:b/>
          <w:bCs/>
          <w:sz w:val="20"/>
          <w:szCs w:val="20"/>
        </w:rPr>
        <w:instrText>\</w:instrText>
      </w:r>
      <w:r w:rsidR="00CB3431" w:rsidRPr="003F796B">
        <w:rPr>
          <w:rFonts w:hint="cs"/>
          <w:rtl/>
        </w:rPr>
        <w:instrText>"ט - באיזה אופן הבורא סיבה למציאות</w:instrText>
      </w:r>
      <w:r w:rsidR="00CB3431">
        <w:instrText xml:space="preserve">" </w:instrText>
      </w:r>
      <w:r w:rsidR="00CB3431">
        <w:rPr>
          <w:rtl/>
        </w:rPr>
        <w:fldChar w:fldCharType="end"/>
      </w:r>
      <w:r w:rsidR="009F2314">
        <w:rPr>
          <w:rFonts w:hint="cs"/>
          <w:rtl/>
        </w:rPr>
        <w:t>:</w:t>
      </w:r>
    </w:p>
    <w:p w14:paraId="63BA8925" w14:textId="164DB3D6" w:rsidR="00962A3E" w:rsidRDefault="009F2314" w:rsidP="00962A3E">
      <w:pPr>
        <w:pStyle w:val="FootnoteText"/>
        <w:rPr>
          <w:rtl/>
        </w:rPr>
      </w:pPr>
      <w:r>
        <w:rPr>
          <w:rFonts w:hint="cs"/>
          <w:rtl/>
        </w:rPr>
        <w:t>"</w:t>
      </w:r>
      <w:r w:rsidR="00962A3E">
        <w:rPr>
          <w:rtl/>
        </w:rPr>
        <w:t xml:space="preserve">ואמנם הכונה הנה היותו </w:t>
      </w:r>
      <w:r w:rsidR="00962A3E">
        <w:rPr>
          <w:rtl/>
        </w:rPr>
        <w:t xml:space="preserve">ית' </w:t>
      </w:r>
      <w:r w:rsidR="00C87FC4" w:rsidRPr="00C87FC4">
        <w:rPr>
          <w:rtl/>
        </w:rPr>
        <w:t>פּוֹעֵל</w:t>
      </w:r>
      <w:r w:rsidR="00962A3E">
        <w:rPr>
          <w:rtl/>
        </w:rPr>
        <w:t xml:space="preserve"> לפרטי הפעולות הבאות בעולם כמו שהוא עושה העולם כולו כמות שהוא. ואומר כבר התבאר בחכמה הטבעית שאלו הארבעה מינים מן הסיבות צריך שתבוקש לכל סיבה מהם סיבה גם כן וימצאו לדבר המתהו</w:t>
      </w:r>
      <w:r w:rsidR="009B2CF8">
        <w:rPr>
          <w:rFonts w:hint="cs"/>
          <w:rtl/>
        </w:rPr>
        <w:t>ו</w:t>
      </w:r>
      <w:r w:rsidR="00962A3E">
        <w:rPr>
          <w:rtl/>
        </w:rPr>
        <w:t>ה אלו הארבעה סיבות הקרובות לו</w:t>
      </w:r>
      <w:r w:rsidR="009B2CF8">
        <w:rPr>
          <w:rFonts w:hint="cs"/>
          <w:rtl/>
        </w:rPr>
        <w:t>,</w:t>
      </w:r>
      <w:r w:rsidR="00962A3E">
        <w:rPr>
          <w:rtl/>
        </w:rPr>
        <w:t xml:space="preserve"> וימצאו להם גם כן סיבות</w:t>
      </w:r>
      <w:r w:rsidR="009B2CF8">
        <w:rPr>
          <w:rFonts w:hint="cs"/>
          <w:rtl/>
        </w:rPr>
        <w:t>,</w:t>
      </w:r>
      <w:r w:rsidR="00962A3E">
        <w:rPr>
          <w:rtl/>
        </w:rPr>
        <w:t xml:space="preserve"> ולסיבות </w:t>
      </w:r>
      <w:r w:rsidR="00C87FC4">
        <w:rPr>
          <w:rFonts w:hint="cs"/>
          <w:rtl/>
        </w:rPr>
        <w:t>-</w:t>
      </w:r>
      <w:r w:rsidR="00962A3E">
        <w:rPr>
          <w:rtl/>
        </w:rPr>
        <w:t xml:space="preserve"> סיבות</w:t>
      </w:r>
      <w:r w:rsidR="009B2CF8">
        <w:rPr>
          <w:rFonts w:hint="cs"/>
          <w:rtl/>
        </w:rPr>
        <w:t>,</w:t>
      </w:r>
      <w:r w:rsidR="00962A3E">
        <w:rPr>
          <w:rtl/>
        </w:rPr>
        <w:t xml:space="preserve"> עד שיגיע לסיבות הראשונות. כמו שזה הדבר הפעול ופועלו הוא כך</w:t>
      </w:r>
      <w:r w:rsidR="00686D1C">
        <w:rPr>
          <w:rFonts w:hint="cs"/>
          <w:rtl/>
        </w:rPr>
        <w:t>,</w:t>
      </w:r>
      <w:r w:rsidR="00962A3E">
        <w:rPr>
          <w:rtl/>
        </w:rPr>
        <w:t xml:space="preserve"> ול</w:t>
      </w:r>
      <w:r w:rsidR="00471A05" w:rsidRPr="00471A05">
        <w:rPr>
          <w:rtl/>
        </w:rPr>
        <w:t>פּוֹעֵל</w:t>
      </w:r>
      <w:r w:rsidR="00962A3E">
        <w:rPr>
          <w:rtl/>
        </w:rPr>
        <w:t xml:space="preserve"> ההוא </w:t>
      </w:r>
      <w:r w:rsidR="00471A05" w:rsidRPr="00471A05">
        <w:rPr>
          <w:rtl/>
        </w:rPr>
        <w:t>פּוֹעֵל</w:t>
      </w:r>
      <w:r w:rsidR="00686D1C">
        <w:rPr>
          <w:rFonts w:hint="cs"/>
          <w:rtl/>
        </w:rPr>
        <w:t>,</w:t>
      </w:r>
      <w:r w:rsidR="00962A3E">
        <w:rPr>
          <w:rtl/>
        </w:rPr>
        <w:t xml:space="preserve"> ולא יסור זה עד שיגיע אל מניע ראשון הוא ה</w:t>
      </w:r>
      <w:r w:rsidR="00471A05" w:rsidRPr="00471A05">
        <w:rPr>
          <w:rtl/>
        </w:rPr>
        <w:t>פּוֹעֵל</w:t>
      </w:r>
      <w:r w:rsidR="00962A3E">
        <w:rPr>
          <w:rtl/>
        </w:rPr>
        <w:t xml:space="preserve"> באמת לאלו האמצעיות כולם. וזה כי כשתהיה אות אל"ף תניעה אות בי"ת</w:t>
      </w:r>
      <w:r w:rsidR="00686D1C">
        <w:rPr>
          <w:rFonts w:hint="cs"/>
          <w:rtl/>
        </w:rPr>
        <w:t>,</w:t>
      </w:r>
      <w:r w:rsidR="00962A3E">
        <w:rPr>
          <w:rtl/>
        </w:rPr>
        <w:t xml:space="preserve"> ובי"ת תניעה אות גימ"ל</w:t>
      </w:r>
      <w:r w:rsidR="00686D1C">
        <w:rPr>
          <w:rFonts w:hint="cs"/>
          <w:rtl/>
        </w:rPr>
        <w:t>,</w:t>
      </w:r>
      <w:r w:rsidR="00962A3E">
        <w:rPr>
          <w:rtl/>
        </w:rPr>
        <w:t xml:space="preserve"> וגימ"ל תניעה אות דל"ת</w:t>
      </w:r>
      <w:r w:rsidR="00686D1C">
        <w:rPr>
          <w:rFonts w:hint="cs"/>
          <w:rtl/>
        </w:rPr>
        <w:t>,</w:t>
      </w:r>
      <w:r w:rsidR="00962A3E">
        <w:rPr>
          <w:rtl/>
        </w:rPr>
        <w:t xml:space="preserve"> ודל"ת תניעה אות ה"א</w:t>
      </w:r>
      <w:r w:rsidR="00686D1C">
        <w:rPr>
          <w:rFonts w:hint="cs"/>
          <w:rtl/>
        </w:rPr>
        <w:t>,</w:t>
      </w:r>
      <w:r w:rsidR="00962A3E">
        <w:rPr>
          <w:rtl/>
        </w:rPr>
        <w:t xml:space="preserve"> וזה מה שלא ילך אל לא תכלית ונעמוד אצל הה"א על דרך משל; ואין ספק כי הה"א היא המניעה לאל"ף ולבי"ת ולגימ"ל ולדל"ת ובאמת נאמר בתנועת האל"ף שהה"א עשאה. ובזה הצד ייוחס כל פועל שבמציאות לאלוה - ול</w:t>
      </w:r>
      <w:r w:rsidR="001525F1" w:rsidRPr="001525F1">
        <w:rPr>
          <w:rtl/>
        </w:rPr>
        <w:t>וּ</w:t>
      </w:r>
      <w:r w:rsidR="00962A3E">
        <w:rPr>
          <w:rtl/>
        </w:rPr>
        <w:t xml:space="preserve"> פעלו מי שפעלו מן הפועלים הקרובים כמו שנבאר; הנה הוא הסיבה הרחוקה מצד היותו </w:t>
      </w:r>
      <w:r w:rsidR="004C4320" w:rsidRPr="004C4320">
        <w:rPr>
          <w:rtl/>
        </w:rPr>
        <w:t>פּוֹעֵל</w:t>
      </w:r>
      <w:r w:rsidR="001525F1">
        <w:rPr>
          <w:rFonts w:hint="cs"/>
          <w:rtl/>
        </w:rPr>
        <w:t>.</w:t>
      </w:r>
    </w:p>
    <w:p w14:paraId="4D12DA19" w14:textId="77777777" w:rsidR="00C255CF" w:rsidRDefault="00E14829" w:rsidP="00962A3E">
      <w:pPr>
        <w:pStyle w:val="FootnoteText"/>
      </w:pPr>
      <w:r>
        <w:rPr>
          <w:rFonts w:hint="cs"/>
          <w:rtl/>
        </w:rPr>
        <w:t xml:space="preserve">[עד כאן דיבר על </w:t>
      </w:r>
      <w:r w:rsidR="00C614A4">
        <w:rPr>
          <w:rFonts w:hint="cs"/>
          <w:rtl/>
        </w:rPr>
        <w:t>ה"</w:t>
      </w:r>
      <w:r w:rsidR="006917D1" w:rsidRPr="006917D1">
        <w:rPr>
          <w:rtl/>
        </w:rPr>
        <w:t>התחלה הפועלת שלא על פי הדברים הטבעיים אלא על פי המציאות עצמה</w:t>
      </w:r>
      <w:r w:rsidR="00C614A4">
        <w:rPr>
          <w:rFonts w:hint="cs"/>
          <w:rtl/>
        </w:rPr>
        <w:t xml:space="preserve">". כלומר הבורא כסיבה </w:t>
      </w:r>
      <w:r w:rsidR="00901D93">
        <w:rPr>
          <w:rFonts w:hint="cs"/>
          <w:rtl/>
        </w:rPr>
        <w:t>ה</w:t>
      </w:r>
      <w:r w:rsidR="00C614A4">
        <w:rPr>
          <w:rFonts w:hint="cs"/>
          <w:rtl/>
        </w:rPr>
        <w:t>פועלת</w:t>
      </w:r>
      <w:r w:rsidR="00901D93">
        <w:rPr>
          <w:rFonts w:hint="cs"/>
          <w:rtl/>
        </w:rPr>
        <w:t xml:space="preserve"> הראשונה. מכאן מדבר על הבורא כסיבה הצורנית הראשונה</w:t>
      </w:r>
      <w:r>
        <w:rPr>
          <w:rFonts w:hint="cs"/>
          <w:rtl/>
        </w:rPr>
        <w:t xml:space="preserve">] </w:t>
      </w:r>
      <w:r w:rsidR="00962A3E">
        <w:rPr>
          <w:rtl/>
        </w:rPr>
        <w:t>וכן הצורות הטבעיות ההוות הנפסדות נמצאם כשנחפשם כולם שאי אפשר שלא תקדם להם צורה אחרת תכין החומר הזה לקבלת זו הצורה והצורה השנית ההיא תקדם לה גם כן אחרת עד שנגיע לצורה האחרונה אשר היא הכרחית במציאות אלו הצורות האמצעיות אשר האמצעיות ההם הם סיבת זאת הצורה הקרובה - והצורה האחרונה ההיא בכל המציאות הוא האלוה ית'</w:t>
      </w:r>
      <w:r>
        <w:rPr>
          <w:rFonts w:hint="cs"/>
          <w:rtl/>
        </w:rPr>
        <w:t>;</w:t>
      </w:r>
      <w:r w:rsidR="00962A3E">
        <w:rPr>
          <w:rtl/>
        </w:rPr>
        <w:t xml:space="preserve"> ולא תחשוב שאמרנו בו - שהוא הצורה האחרונה לכל העולם הוא רמז לצורה האחרונה אשר יאמר אריסטו עליה בספר הנקרא מה שאחר הטבע שהיא בלתי הוה ולא נפסדת - כי הצורה ההיא הנזכרת שם טבעית לא שכל נפרד. כי אין אמרנו עליו ית' שהוא צורת העולם האחרונה על דמיון היות הצורה בעלת החומר צורה לחומר ההוא עד שיהיה הוא ית' צורה לגשם. לא על אלו הפנים נאמר! אבל כמו שכל נמצא בעל צורה אמנם הוא מה שהוא בצורתו וכשתפסד צורתו - תפסד הויתו ותבטל</w:t>
      </w:r>
      <w:r w:rsidR="002D4CE9">
        <w:rPr>
          <w:rFonts w:hint="cs"/>
          <w:rtl/>
        </w:rPr>
        <w:t>,</w:t>
      </w:r>
      <w:r w:rsidR="00962A3E">
        <w:rPr>
          <w:rtl/>
        </w:rPr>
        <w:t xml:space="preserve"> כן כמו זה היחס בעצמו יחס האלוה לכל התחלות המציאות הרחוקות; כי במציאות הבורא הכל נמצא והוא מתמיד עמידתו בענין אשר יכונה ב'שפע' כמו שנבאר בקצת פרקי זה המאמר; ואילו היה אפשר העדר הבורא היה נעדר המציאות כולו ותבטל מהות הסיבות הרחוקות ממנו והמסובבות האחרונות ומה שביניהן. אם כן הוא לו כדמות הצורה לדבר אשר יש לו צורה אשר בה הוא מה שהוא ובצורה תתק</w:t>
      </w:r>
      <w:r w:rsidR="002D4CE9">
        <w:rPr>
          <w:rFonts w:hint="cs"/>
          <w:rtl/>
        </w:rPr>
        <w:t>י</w:t>
      </w:r>
      <w:r w:rsidR="00962A3E">
        <w:rPr>
          <w:rtl/>
        </w:rPr>
        <w:t xml:space="preserve">ים אמיתתו ומהותו - כן יחס האלוה לעולם. ובזה הצד נאמר בו שהוא </w:t>
      </w:r>
      <w:r w:rsidR="0018796E">
        <w:rPr>
          <w:rFonts w:hint="cs"/>
          <w:rtl/>
        </w:rPr>
        <w:t>'</w:t>
      </w:r>
      <w:r w:rsidR="00962A3E">
        <w:rPr>
          <w:rtl/>
        </w:rPr>
        <w:t>הצורה האחרונה</w:t>
      </w:r>
      <w:r w:rsidR="0018796E">
        <w:rPr>
          <w:rFonts w:hint="cs"/>
          <w:rtl/>
        </w:rPr>
        <w:t>'</w:t>
      </w:r>
      <w:r w:rsidR="00962A3E">
        <w:rPr>
          <w:rtl/>
        </w:rPr>
        <w:t xml:space="preserve"> ושהוא 'צורת הצורות' - כלומר שהוא אשר מציאות כל צורה בעולם וקיומה נסמך באחרונה אליו ובו קיומה כמו שהדברים בעלי הצורות מתקיימים בצורתם. ומפני זה הענין נקרא בלשוננו 'חי העולם' - ענינו שהוא חיי העולם כמו שיתבאר:</w:t>
      </w:r>
    </w:p>
    <w:p w14:paraId="099938B4" w14:textId="5CF2C9E5" w:rsidR="009F2314" w:rsidRDefault="00E04E34" w:rsidP="00962A3E">
      <w:pPr>
        <w:pStyle w:val="FootnoteText"/>
      </w:pPr>
      <w:r>
        <w:rPr>
          <w:rFonts w:hint="cs"/>
          <w:rtl/>
        </w:rPr>
        <w:t>[עיין עוד שם לגבי הסיבה התכליתית</w:t>
      </w:r>
      <w:r w:rsidR="00075FF9">
        <w:rPr>
          <w:rFonts w:hint="cs"/>
          <w:rtl/>
        </w:rPr>
        <w:t xml:space="preserve">. </w:t>
      </w:r>
      <w:r w:rsidR="00D5181E">
        <w:rPr>
          <w:rFonts w:hint="cs"/>
          <w:rtl/>
        </w:rPr>
        <w:t>ו</w:t>
      </w:r>
      <w:r w:rsidR="00075FF9">
        <w:rPr>
          <w:rFonts w:hint="cs"/>
          <w:rtl/>
        </w:rPr>
        <w:t xml:space="preserve">עיין עוד בבלוג אדם חי </w:t>
      </w:r>
      <w:hyperlink r:id="rId137" w:history="1">
        <w:r w:rsidR="00C53BC8" w:rsidRPr="00C53BC8">
          <w:rPr>
            <w:rStyle w:val="Hyperlink"/>
            <w:rFonts w:hint="cs"/>
            <w:rtl/>
          </w:rPr>
          <w:t>רשימה 300</w:t>
        </w:r>
      </w:hyperlink>
      <w:r>
        <w:rPr>
          <w:rFonts w:hint="cs"/>
          <w:rtl/>
        </w:rPr>
        <w:t>]</w:t>
      </w:r>
      <w:r w:rsidR="009F2314">
        <w:rPr>
          <w:rFonts w:hint="cs"/>
          <w:rtl/>
        </w:rPr>
        <w:t>"</w:t>
      </w:r>
    </w:p>
  </w:footnote>
  <w:footnote w:id="680">
    <w:p w14:paraId="5A5D60BA" w14:textId="34D7D6DF" w:rsidR="007E5EDB" w:rsidRDefault="007E5EDB">
      <w:pPr>
        <w:pStyle w:val="FootnoteText"/>
      </w:pPr>
      <w:r>
        <w:rPr>
          <w:rStyle w:val="FootnoteReference"/>
        </w:rPr>
        <w:footnoteRef/>
      </w:r>
      <w:r>
        <w:rPr>
          <w:rtl/>
        </w:rPr>
        <w:t xml:space="preserve"> </w:t>
      </w:r>
      <w:r>
        <w:rPr>
          <w:rFonts w:hint="cs"/>
          <w:rtl/>
        </w:rPr>
        <w:t>שם משתתף</w:t>
      </w:r>
      <w:r w:rsidR="006F6F82">
        <w:rPr>
          <w:rFonts w:hint="cs"/>
          <w:rtl/>
        </w:rPr>
        <w:t xml:space="preserve"> (או שם משותף)</w:t>
      </w:r>
      <w:r>
        <w:rPr>
          <w:rFonts w:hint="cs"/>
          <w:rtl/>
        </w:rPr>
        <w:t xml:space="preserve"> היינו שיש למילה אחת שתי משמעויות נפרדות </w:t>
      </w:r>
      <w:r w:rsidR="00764D18">
        <w:rPr>
          <w:rFonts w:hint="cs"/>
          <w:rtl/>
        </w:rPr>
        <w:t>(</w:t>
      </w:r>
      <w:r>
        <w:rPr>
          <w:rFonts w:hint="cs"/>
          <w:rtl/>
        </w:rPr>
        <w:t>שתיהן שותפות  באותה מילה</w:t>
      </w:r>
      <w:r w:rsidR="00764D18">
        <w:rPr>
          <w:rFonts w:hint="cs"/>
          <w:rtl/>
        </w:rPr>
        <w:t>)</w:t>
      </w:r>
      <w:r>
        <w:rPr>
          <w:rFonts w:hint="cs"/>
          <w:rtl/>
        </w:rPr>
        <w:t xml:space="preserve">. </w:t>
      </w:r>
      <w:r w:rsidR="00764D18">
        <w:rPr>
          <w:rFonts w:hint="cs"/>
          <w:rtl/>
        </w:rPr>
        <w:t>למשל המילה 'עין' היא שם משתתף כי יש לה משמעות של איבר הראייה ומשמעות של מעיין מים.</w:t>
      </w:r>
      <w:r w:rsidR="000B5C8A">
        <w:rPr>
          <w:rFonts w:hint="cs"/>
          <w:rtl/>
        </w:rPr>
        <w:t xml:space="preserve"> עיין</w:t>
      </w:r>
      <w:r w:rsidR="00533FE1">
        <w:rPr>
          <w:rFonts w:hint="cs"/>
          <w:rtl/>
        </w:rPr>
        <w:t xml:space="preserve"> בזה </w:t>
      </w:r>
      <w:r w:rsidR="000B5C8A">
        <w:rPr>
          <w:rFonts w:hint="cs"/>
          <w:rtl/>
        </w:rPr>
        <w:t xml:space="preserve">במילות הגיון מאת הרמב"ם שער י"ג. </w:t>
      </w:r>
    </w:p>
  </w:footnote>
  <w:footnote w:id="681">
    <w:p w14:paraId="4848E58D" w14:textId="105B15C7" w:rsidR="006073B1" w:rsidRDefault="006073B1">
      <w:pPr>
        <w:pStyle w:val="FootnoteText"/>
        <w:rPr>
          <w:rtl/>
        </w:rPr>
      </w:pPr>
      <w:r>
        <w:rPr>
          <w:rStyle w:val="FootnoteReference"/>
        </w:rPr>
        <w:footnoteRef/>
      </w:r>
      <w:r>
        <w:rPr>
          <w:rtl/>
        </w:rPr>
        <w:t xml:space="preserve"> </w:t>
      </w:r>
      <w:r w:rsidR="00DF00AB">
        <w:rPr>
          <w:rFonts w:hint="cs"/>
          <w:rtl/>
        </w:rPr>
        <w:t xml:space="preserve">עיין </w:t>
      </w:r>
      <w:r w:rsidR="00DF00AB">
        <w:rPr>
          <w:rFonts w:hint="cs"/>
          <w:rtl/>
        </w:rPr>
        <w:t xml:space="preserve">טימיאוס מאת אפלטון עמ' 49-50 (תרגום </w:t>
      </w:r>
      <w:r w:rsidR="00E51AB5">
        <w:rPr>
          <w:rFonts w:hint="cs"/>
          <w:rtl/>
        </w:rPr>
        <w:t>י. ג. ליבס):</w:t>
      </w:r>
    </w:p>
    <w:p w14:paraId="01D5DD40" w14:textId="0ADC9646" w:rsidR="00E51AB5" w:rsidRDefault="00E51AB5" w:rsidP="00E51AB5">
      <w:pPr>
        <w:pStyle w:val="FootnoteText"/>
        <w:rPr>
          <w:rtl/>
        </w:rPr>
      </w:pPr>
      <w:r>
        <w:rPr>
          <w:rFonts w:hint="cs"/>
          <w:rtl/>
        </w:rPr>
        <w:t>"</w:t>
      </w:r>
      <w:r>
        <w:rPr>
          <w:rtl/>
        </w:rPr>
        <w:t>אולם עכשיו, כנראה, מכריחנו הגיון הדברים שנשתדל לגלות בדברינו מין נוסף, מוקשה</w:t>
      </w:r>
      <w:r w:rsidR="00885DA4">
        <w:rPr>
          <w:rFonts w:hint="cs"/>
          <w:rtl/>
        </w:rPr>
        <w:t xml:space="preserve"> </w:t>
      </w:r>
      <w:r>
        <w:rPr>
          <w:rtl/>
        </w:rPr>
        <w:t>ומעומעם</w:t>
      </w:r>
      <w:r w:rsidR="003F4C08">
        <w:rPr>
          <w:rFonts w:hint="cs"/>
          <w:rtl/>
        </w:rPr>
        <w:t xml:space="preserve"> </w:t>
      </w:r>
      <w:r w:rsidR="00721728">
        <w:rPr>
          <w:rFonts w:hint="cs"/>
          <w:rtl/>
        </w:rPr>
        <w:t>[דהיינו החומר. הכוונה כאן לחומר הראשון, ההיולי]</w:t>
      </w:r>
      <w:r>
        <w:rPr>
          <w:rtl/>
        </w:rPr>
        <w:t>. מה הוא, אפוא, כוח הפעולה</w:t>
      </w:r>
      <w:r w:rsidR="00885DA4">
        <w:rPr>
          <w:rFonts w:hint="cs"/>
          <w:rtl/>
        </w:rPr>
        <w:t>,</w:t>
      </w:r>
      <w:r>
        <w:rPr>
          <w:rtl/>
        </w:rPr>
        <w:t xml:space="preserve"> ואיזה הוא הטבע שיש לייחסו למין ההוא? מכל וכל טבעו הוא כדלהלן</w:t>
      </w:r>
      <w:r w:rsidR="00215F01">
        <w:rPr>
          <w:rFonts w:hint="cs"/>
          <w:rtl/>
        </w:rPr>
        <w:t>:</w:t>
      </w:r>
      <w:r>
        <w:rPr>
          <w:rtl/>
        </w:rPr>
        <w:t xml:space="preserve"> </w:t>
      </w:r>
      <w:r w:rsidR="000B404A">
        <w:rPr>
          <w:rFonts w:hint="cs"/>
          <w:rtl/>
        </w:rPr>
        <w:t xml:space="preserve">להיות בית </w:t>
      </w:r>
      <w:r>
        <w:rPr>
          <w:rtl/>
        </w:rPr>
        <w:t>קיבול, וכביכול אומנת, של כל התולדה.</w:t>
      </w:r>
    </w:p>
    <w:p w14:paraId="0495A483" w14:textId="7F220D18" w:rsidR="00E51AB5" w:rsidRDefault="00E51AB5" w:rsidP="00E51AB5">
      <w:pPr>
        <w:pStyle w:val="FootnoteText"/>
        <w:rPr>
          <w:rtl/>
        </w:rPr>
      </w:pPr>
      <w:r>
        <w:rPr>
          <w:rFonts w:hint="cs"/>
          <w:rtl/>
        </w:rPr>
        <w:t>[...]</w:t>
      </w:r>
    </w:p>
    <w:p w14:paraId="2908B817" w14:textId="05FE2986" w:rsidR="00E51AB5" w:rsidRDefault="00E51AB5" w:rsidP="00E51AB5">
      <w:pPr>
        <w:pStyle w:val="FootnoteText"/>
        <w:rPr>
          <w:rtl/>
        </w:rPr>
      </w:pPr>
      <w:r>
        <w:rPr>
          <w:rtl/>
        </w:rPr>
        <w:t>אולם לפי שעה עלינו להבחין בשלושה מיני דברים</w:t>
      </w:r>
      <w:r w:rsidR="00E64B13">
        <w:rPr>
          <w:rFonts w:hint="cs"/>
          <w:rtl/>
        </w:rPr>
        <w:t>:</w:t>
      </w:r>
      <w:r>
        <w:rPr>
          <w:rtl/>
        </w:rPr>
        <w:t xml:space="preserve"> מה שהולך ומתהווה</w:t>
      </w:r>
      <w:r w:rsidR="00654325">
        <w:rPr>
          <w:rFonts w:hint="cs"/>
          <w:rtl/>
        </w:rPr>
        <w:t xml:space="preserve"> [עולם האידיאות שהוא הצורות ש</w:t>
      </w:r>
      <w:r w:rsidR="0055444E">
        <w:rPr>
          <w:rFonts w:hint="cs"/>
          <w:rtl/>
        </w:rPr>
        <w:t>נגל</w:t>
      </w:r>
      <w:r w:rsidR="00654325">
        <w:rPr>
          <w:rFonts w:hint="cs"/>
          <w:rtl/>
        </w:rPr>
        <w:t>ות בטבע]</w:t>
      </w:r>
      <w:r w:rsidR="00E64B13">
        <w:rPr>
          <w:rFonts w:hint="cs"/>
          <w:rtl/>
        </w:rPr>
        <w:t>;</w:t>
      </w:r>
      <w:r>
        <w:rPr>
          <w:rtl/>
        </w:rPr>
        <w:t xml:space="preserve"> זה שבתו</w:t>
      </w:r>
      <w:r w:rsidR="00E64B13">
        <w:rPr>
          <w:rFonts w:hint="cs"/>
          <w:rtl/>
        </w:rPr>
        <w:t>כ</w:t>
      </w:r>
      <w:r>
        <w:rPr>
          <w:rtl/>
        </w:rPr>
        <w:t>ו מתהווה המתהווה</w:t>
      </w:r>
      <w:r w:rsidR="0055444E">
        <w:rPr>
          <w:rFonts w:hint="cs"/>
          <w:rtl/>
        </w:rPr>
        <w:t xml:space="preserve"> [החומר]</w:t>
      </w:r>
      <w:r w:rsidR="00AA4B68">
        <w:rPr>
          <w:rFonts w:hint="cs"/>
          <w:rtl/>
        </w:rPr>
        <w:t>;</w:t>
      </w:r>
      <w:r>
        <w:rPr>
          <w:rtl/>
        </w:rPr>
        <w:t xml:space="preserve"> וזה ש</w:t>
      </w:r>
      <w:r w:rsidR="00AA4B68">
        <w:rPr>
          <w:rFonts w:hint="cs"/>
          <w:rtl/>
        </w:rPr>
        <w:t>כ</w:t>
      </w:r>
      <w:r>
        <w:rPr>
          <w:rtl/>
        </w:rPr>
        <w:t>דמותו הוא נעשה</w:t>
      </w:r>
      <w:r w:rsidR="0055444E">
        <w:rPr>
          <w:rFonts w:hint="cs"/>
          <w:rtl/>
        </w:rPr>
        <w:t xml:space="preserve"> [מקור הצורות, הבורא]</w:t>
      </w:r>
      <w:r>
        <w:rPr>
          <w:rtl/>
        </w:rPr>
        <w:t>. ואמנם ניתן להמשיל את המקבל</w:t>
      </w:r>
      <w:r w:rsidR="001D58C0">
        <w:rPr>
          <w:rFonts w:hint="cs"/>
          <w:rtl/>
        </w:rPr>
        <w:t xml:space="preserve"> </w:t>
      </w:r>
      <w:r w:rsidR="00390420">
        <w:rPr>
          <w:rFonts w:hint="cs"/>
          <w:rtl/>
        </w:rPr>
        <w:t>-</w:t>
      </w:r>
      <w:r w:rsidR="001D58C0">
        <w:rPr>
          <w:rFonts w:hint="cs"/>
          <w:rtl/>
        </w:rPr>
        <w:t xml:space="preserve"> </w:t>
      </w:r>
      <w:r>
        <w:rPr>
          <w:rtl/>
        </w:rPr>
        <w:t>לא</w:t>
      </w:r>
      <w:r w:rsidR="001D58C0">
        <w:rPr>
          <w:rFonts w:hint="cs"/>
          <w:rtl/>
        </w:rPr>
        <w:t>ם,</w:t>
      </w:r>
      <w:r>
        <w:rPr>
          <w:rtl/>
        </w:rPr>
        <w:t xml:space="preserve"> א</w:t>
      </w:r>
      <w:r w:rsidR="001D58C0">
        <w:rPr>
          <w:rFonts w:hint="cs"/>
          <w:rtl/>
        </w:rPr>
        <w:t>ת</w:t>
      </w:r>
      <w:r>
        <w:rPr>
          <w:rtl/>
        </w:rPr>
        <w:t xml:space="preserve"> מקור הצורה</w:t>
      </w:r>
      <w:r w:rsidR="00390420">
        <w:rPr>
          <w:rFonts w:hint="cs"/>
          <w:rtl/>
        </w:rPr>
        <w:t xml:space="preserve"> </w:t>
      </w:r>
      <w:r w:rsidR="001D58C0">
        <w:rPr>
          <w:rFonts w:hint="cs"/>
          <w:rtl/>
        </w:rPr>
        <w:t xml:space="preserve">- </w:t>
      </w:r>
      <w:r>
        <w:rPr>
          <w:rtl/>
        </w:rPr>
        <w:t xml:space="preserve">לאב, ואת המתהווה ביניהם </w:t>
      </w:r>
      <w:r w:rsidR="001D58C0">
        <w:rPr>
          <w:rFonts w:hint="cs"/>
          <w:rtl/>
        </w:rPr>
        <w:t>-</w:t>
      </w:r>
      <w:r>
        <w:rPr>
          <w:rtl/>
        </w:rPr>
        <w:t xml:space="preserve"> לצאצאם.</w:t>
      </w:r>
    </w:p>
    <w:p w14:paraId="09CF6BB5" w14:textId="5929087F" w:rsidR="00E51AB5" w:rsidRDefault="00390420" w:rsidP="00E51AB5">
      <w:pPr>
        <w:pStyle w:val="FootnoteText"/>
        <w:rPr>
          <w:rtl/>
        </w:rPr>
      </w:pPr>
      <w:r>
        <w:rPr>
          <w:rFonts w:hint="cs"/>
          <w:rtl/>
        </w:rPr>
        <w:t>ועלינו לשים דעתנו על כך</w:t>
      </w:r>
      <w:r w:rsidR="00481198">
        <w:rPr>
          <w:rFonts w:hint="cs"/>
          <w:rtl/>
        </w:rPr>
        <w:t xml:space="preserve">, שלמען יווצר דפוס שיהא מגוון </w:t>
      </w:r>
      <w:r w:rsidR="00E51AB5">
        <w:rPr>
          <w:rtl/>
        </w:rPr>
        <w:t>ב</w:t>
      </w:r>
      <w:r w:rsidR="00481198">
        <w:rPr>
          <w:rFonts w:hint="cs"/>
          <w:rtl/>
        </w:rPr>
        <w:t>כ</w:t>
      </w:r>
      <w:r w:rsidR="00E51AB5">
        <w:rPr>
          <w:rtl/>
        </w:rPr>
        <w:t>ל הגיוונים שבעולם, צריך שנושא הדפו</w:t>
      </w:r>
      <w:r>
        <w:rPr>
          <w:rFonts w:hint="cs"/>
          <w:rtl/>
        </w:rPr>
        <w:t>ס</w:t>
      </w:r>
      <w:r w:rsidR="00E51AB5">
        <w:rPr>
          <w:rtl/>
        </w:rPr>
        <w:t xml:space="preserve"> יהא נקי מכל אותן התכונות שהוא עתיד לקבל ממקום אחר, </w:t>
      </w:r>
      <w:r w:rsidR="008D7077" w:rsidRPr="008D7077">
        <w:rPr>
          <w:rtl/>
        </w:rPr>
        <w:t>וָ</w:t>
      </w:r>
      <w:r w:rsidR="00E51AB5">
        <w:rPr>
          <w:rtl/>
        </w:rPr>
        <w:t>לא</w:t>
      </w:r>
      <w:r w:rsidR="008D7077">
        <w:rPr>
          <w:rFonts w:hint="cs"/>
          <w:rtl/>
        </w:rPr>
        <w:t xml:space="preserve"> -</w:t>
      </w:r>
      <w:r w:rsidR="00E51AB5">
        <w:rPr>
          <w:rtl/>
        </w:rPr>
        <w:t xml:space="preserve"> אין הוא מוכשר לתפקידו.</w:t>
      </w:r>
      <w:r w:rsidR="00E51AB5">
        <w:rPr>
          <w:rFonts w:hint="cs"/>
          <w:rtl/>
        </w:rPr>
        <w:t>"</w:t>
      </w:r>
      <w:r w:rsidR="00B060B4">
        <w:rPr>
          <w:rFonts w:hint="cs"/>
          <w:rtl/>
        </w:rPr>
        <w:t xml:space="preserve"> (ועיין עוד בזה באדם חי </w:t>
      </w:r>
      <w:hyperlink r:id="rId138" w:history="1">
        <w:r w:rsidR="00B060B4" w:rsidRPr="00350520">
          <w:rPr>
            <w:rStyle w:val="Hyperlink"/>
            <w:rFonts w:hint="cs"/>
            <w:rtl/>
          </w:rPr>
          <w:t>רשימה 299</w:t>
        </w:r>
      </w:hyperlink>
      <w:r w:rsidR="00350520">
        <w:rPr>
          <w:rFonts w:hint="cs"/>
          <w:rtl/>
        </w:rPr>
        <w:t>)</w:t>
      </w:r>
    </w:p>
    <w:p w14:paraId="543267F4" w14:textId="77777777" w:rsidR="00BE5F0C" w:rsidRDefault="00032B64" w:rsidP="00E51AB5">
      <w:pPr>
        <w:pStyle w:val="FootnoteText"/>
        <w:rPr>
          <w:rtl/>
        </w:rPr>
      </w:pPr>
      <w:r>
        <w:rPr>
          <w:rFonts w:hint="cs"/>
          <w:rtl/>
        </w:rPr>
        <w:t>המילה שתרגמתי "נושאת"</w:t>
      </w:r>
      <w:r w:rsidR="00851931">
        <w:rPr>
          <w:rFonts w:hint="cs"/>
          <w:rtl/>
        </w:rPr>
        <w:t>,</w:t>
      </w:r>
      <w:r>
        <w:rPr>
          <w:rFonts w:hint="cs"/>
          <w:rtl/>
        </w:rPr>
        <w:t xml:space="preserve"> במקור </w:t>
      </w:r>
      <w:r w:rsidR="00C62F47">
        <w:rPr>
          <w:rFonts w:hint="cs"/>
          <w:rtl/>
        </w:rPr>
        <w:t>היא</w:t>
      </w:r>
      <w:r w:rsidR="00C62F47" w:rsidRPr="00C62F47">
        <w:rPr>
          <w:rtl/>
        </w:rPr>
        <w:t xml:space="preserve"> </w:t>
      </w:r>
      <w:r w:rsidR="00C62F47" w:rsidRPr="00C62F47">
        <w:rPr>
          <w:rFonts w:ascii="Arial" w:hAnsi="Arial" w:cs="Arial" w:hint="cs"/>
          <w:rtl/>
          <w:lang w:bidi="ar-SA"/>
        </w:rPr>
        <w:t>حاملة</w:t>
      </w:r>
      <w:r w:rsidR="00C62F47" w:rsidRPr="00C62F47">
        <w:rPr>
          <w:rtl/>
        </w:rPr>
        <w:t>. היא נאמרת גם על הריון, שהאם נושאת את העובר, וזה מתאים לדברי אפלטון</w:t>
      </w:r>
      <w:r w:rsidR="00C62F47">
        <w:rPr>
          <w:rFonts w:hint="cs"/>
          <w:rtl/>
        </w:rPr>
        <w:t xml:space="preserve"> אלה</w:t>
      </w:r>
      <w:r w:rsidR="00BE5F0C">
        <w:rPr>
          <w:rFonts w:hint="cs"/>
          <w:rtl/>
        </w:rPr>
        <w:t>.</w:t>
      </w:r>
      <w:r w:rsidR="00C34DC0">
        <w:rPr>
          <w:rFonts w:hint="cs"/>
          <w:rtl/>
        </w:rPr>
        <w:t xml:space="preserve"> </w:t>
      </w:r>
    </w:p>
    <w:p w14:paraId="40A7A884" w14:textId="5A9A1FD9" w:rsidR="00032B64" w:rsidRDefault="00BE5F0C" w:rsidP="00E51AB5">
      <w:pPr>
        <w:pStyle w:val="FootnoteText"/>
        <w:rPr>
          <w:rtl/>
        </w:rPr>
      </w:pPr>
      <w:r>
        <w:rPr>
          <w:rFonts w:hint="cs"/>
          <w:rtl/>
        </w:rPr>
        <w:t xml:space="preserve">ההתחלה החומרית נושאת דברים שזרים לה, כלומר היא נושאת את הצורות. הצורות זרות לה כי החומר הראשון </w:t>
      </w:r>
      <w:r w:rsidR="00A61926">
        <w:rPr>
          <w:rFonts w:hint="cs"/>
          <w:rtl/>
        </w:rPr>
        <w:t>לא יתכן שתהיה בו</w:t>
      </w:r>
      <w:r>
        <w:rPr>
          <w:rFonts w:hint="cs"/>
          <w:rtl/>
        </w:rPr>
        <w:t xml:space="preserve"> צורה כלל, </w:t>
      </w:r>
      <w:r w:rsidR="00A61926">
        <w:rPr>
          <w:rFonts w:hint="cs"/>
          <w:rtl/>
        </w:rPr>
        <w:t>ולכן הוא זר לצורות.</w:t>
      </w:r>
      <w:r w:rsidR="00C62F47" w:rsidRPr="00C62F47">
        <w:rPr>
          <w:rtl/>
        </w:rPr>
        <w:t xml:space="preserve"> </w:t>
      </w:r>
      <w:r w:rsidR="00A61926">
        <w:rPr>
          <w:rFonts w:hint="cs"/>
          <w:rtl/>
        </w:rPr>
        <w:t xml:space="preserve">האופן שהצורות של היסודות נישאות על ידי החומר הראשון הוא בדרך של תנועה בלבד. </w:t>
      </w:r>
      <w:r w:rsidR="00D159F8">
        <w:rPr>
          <w:rFonts w:hint="cs"/>
          <w:rtl/>
        </w:rPr>
        <w:t>למשל אנו יכולים להתייחס לגל בים כעצם בעל צורת 'גל'</w:t>
      </w:r>
      <w:r w:rsidR="001665FE">
        <w:rPr>
          <w:rFonts w:hint="cs"/>
          <w:rtl/>
        </w:rPr>
        <w:t>, שהחומר הוא מי הים והצורה היא צורת הגל שהיא כעין גבעה שמתרוממת מעל פני השטח כמו הגבעות על האדמה</w:t>
      </w:r>
      <w:r w:rsidR="00D159F8">
        <w:rPr>
          <w:rFonts w:hint="cs"/>
          <w:rtl/>
        </w:rPr>
        <w:t xml:space="preserve">. אומרים שיש גל גבוה וגל נמוך וכו'. </w:t>
      </w:r>
      <w:r w:rsidR="001665FE">
        <w:rPr>
          <w:rFonts w:hint="cs"/>
          <w:rtl/>
        </w:rPr>
        <w:t>באמת הגל הוא רק תנועה של מי הים</w:t>
      </w:r>
      <w:r w:rsidR="009C1EFA">
        <w:rPr>
          <w:rFonts w:hint="cs"/>
          <w:rtl/>
        </w:rPr>
        <w:t xml:space="preserve"> ואינו עצם שצורתו קב</w:t>
      </w:r>
      <w:r w:rsidR="00B34AAE">
        <w:rPr>
          <w:rFonts w:hint="cs"/>
          <w:rtl/>
        </w:rPr>
        <w:t>ו</w:t>
      </w:r>
      <w:r w:rsidR="009C1EFA">
        <w:rPr>
          <w:rFonts w:hint="cs"/>
          <w:rtl/>
        </w:rPr>
        <w:t>עה במים ויש לו קיום עצמאי כעצם, ואינו דומה לגבעות שבאדמה</w:t>
      </w:r>
      <w:r w:rsidR="001C30C9">
        <w:rPr>
          <w:rFonts w:hint="cs"/>
          <w:rtl/>
        </w:rPr>
        <w:t xml:space="preserve">, לכן אומר כאן אבן סינא שהחומר, מי הים, הוא זר לצורה, לא חל ביניהם זיווג שמאחד אותם באחדות קבועה. </w:t>
      </w:r>
      <w:r w:rsidR="007477E9">
        <w:rPr>
          <w:rFonts w:hint="cs"/>
          <w:rtl/>
        </w:rPr>
        <w:t>בצורות שמצטיירות בחומר שמורכב מהיסודות נראה שהחומר והצורה בזיווג שביניהם יצרו עצם שיש</w:t>
      </w:r>
      <w:r w:rsidR="00370827">
        <w:rPr>
          <w:rFonts w:hint="cs"/>
          <w:rtl/>
        </w:rPr>
        <w:t xml:space="preserve"> </w:t>
      </w:r>
      <w:r w:rsidR="007477E9">
        <w:rPr>
          <w:rFonts w:hint="cs"/>
          <w:rtl/>
        </w:rPr>
        <w:t>לו קיום</w:t>
      </w:r>
      <w:r w:rsidR="00370827">
        <w:rPr>
          <w:rFonts w:hint="cs"/>
          <w:rtl/>
        </w:rPr>
        <w:t>, כמו למשל בשר ונפש חיה שיוצרים אדם</w:t>
      </w:r>
      <w:r w:rsidR="00056973">
        <w:rPr>
          <w:rFonts w:hint="cs"/>
          <w:rtl/>
        </w:rPr>
        <w:t xml:space="preserve"> שהוא עצם מתקיים ולא דומה בזה לגל</w:t>
      </w:r>
      <w:r w:rsidR="007D7103">
        <w:rPr>
          <w:rFonts w:hint="cs"/>
          <w:rtl/>
        </w:rPr>
        <w:t xml:space="preserve">, ואז אין זרות בין החומר לצורה. אמנם הקביעות של העצמים שעשויים מתרכובת ארבעת היסודות </w:t>
      </w:r>
      <w:r w:rsidR="0069724E">
        <w:rPr>
          <w:rFonts w:hint="cs"/>
          <w:rtl/>
        </w:rPr>
        <w:t>היא לא אמיתית, רק הדמיון מראה כך ולא השכל</w:t>
      </w:r>
      <w:r w:rsidR="007D7103">
        <w:rPr>
          <w:rFonts w:hint="cs"/>
          <w:rtl/>
        </w:rPr>
        <w:t xml:space="preserve">. </w:t>
      </w:r>
      <w:r w:rsidR="0069724E">
        <w:rPr>
          <w:rFonts w:hint="cs"/>
          <w:rtl/>
        </w:rPr>
        <w:t>עוד משל להצטיירות היסודות הטהורים בחומר הראשון הוא בבואה של דבר מה בראי. הזכוכית שבראי היא החומר והבבואה היא הצורה, והצורה מצטיירת בחומר אבל לא נקבעת בו, הזכוכית של הראי מצד עצמה תמיד נשארת שקופה, מחוסרת צורה</w:t>
      </w:r>
      <w:r w:rsidR="009C1EFA">
        <w:rPr>
          <w:rFonts w:hint="cs"/>
          <w:rtl/>
        </w:rPr>
        <w:t xml:space="preserve">. </w:t>
      </w:r>
      <w:r w:rsidR="00B34AAE">
        <w:rPr>
          <w:rFonts w:hint="cs"/>
          <w:rtl/>
        </w:rPr>
        <w:t>עניין זה עוד יתבאר בהמשך</w:t>
      </w:r>
      <w:r w:rsidR="000646AC">
        <w:rPr>
          <w:rFonts w:hint="cs"/>
          <w:rtl/>
        </w:rPr>
        <w:t>,</w:t>
      </w:r>
      <w:r w:rsidR="00B34AAE">
        <w:rPr>
          <w:rFonts w:hint="cs"/>
          <w:rtl/>
        </w:rPr>
        <w:t xml:space="preserve"> בסעיף 7.</w:t>
      </w:r>
      <w:r w:rsidR="000646AC">
        <w:rPr>
          <w:rFonts w:hint="cs"/>
          <w:rtl/>
        </w:rPr>
        <w:t xml:space="preserve"> </w:t>
      </w:r>
    </w:p>
    <w:p w14:paraId="65C4A843" w14:textId="04A7B553" w:rsidR="000646AC" w:rsidRDefault="000646AC" w:rsidP="00E51AB5">
      <w:pPr>
        <w:pStyle w:val="FootnoteText"/>
      </w:pPr>
      <w:r>
        <w:rPr>
          <w:rFonts w:hint="cs"/>
          <w:rtl/>
        </w:rPr>
        <w:t>אלה שתי המשמעויות השונות של 'התחלה חומרית'</w:t>
      </w:r>
      <w:r w:rsidR="00176238">
        <w:rPr>
          <w:rFonts w:hint="cs"/>
          <w:rtl/>
        </w:rPr>
        <w:t xml:space="preserve">, משמעות אחת היא דבר שתמיד נשאר זר לצורה, תמיד הוא בלי צורה, וזה החומר הראשון, המשמעות השנייה היא </w:t>
      </w:r>
      <w:r w:rsidR="00723C93">
        <w:rPr>
          <w:rFonts w:hint="cs"/>
          <w:rtl/>
        </w:rPr>
        <w:t>החומר המורכב מהיסודות שמקבל צורה בקביעות, בדרך של זיווג כמו שכתב אפלטון (שהמשיל אותם לאב ואם שמולידים צאצא)</w:t>
      </w:r>
      <w:r w:rsidR="002A1DC0">
        <w:rPr>
          <w:rFonts w:hint="cs"/>
          <w:rtl/>
        </w:rPr>
        <w:t>.</w:t>
      </w:r>
    </w:p>
  </w:footnote>
  <w:footnote w:id="682">
    <w:p w14:paraId="35172A4E" w14:textId="140698D4" w:rsidR="006D3F81" w:rsidRDefault="00463DC6">
      <w:pPr>
        <w:pStyle w:val="FootnoteText"/>
        <w:rPr>
          <w:rtl/>
        </w:rPr>
      </w:pPr>
      <w:r>
        <w:rPr>
          <w:rStyle w:val="FootnoteReference"/>
        </w:rPr>
        <w:footnoteRef/>
      </w:r>
      <w:r>
        <w:rPr>
          <w:rtl/>
        </w:rPr>
        <w:t xml:space="preserve"> </w:t>
      </w:r>
      <w:r>
        <w:rPr>
          <w:rFonts w:hint="cs"/>
          <w:rtl/>
        </w:rPr>
        <w:t xml:space="preserve">המורכב הוא </w:t>
      </w:r>
      <w:r w:rsidR="006741F0">
        <w:rPr>
          <w:rFonts w:hint="cs"/>
          <w:rtl/>
        </w:rPr>
        <w:t>עצם</w:t>
      </w:r>
      <w:r>
        <w:rPr>
          <w:rFonts w:hint="cs"/>
          <w:rtl/>
        </w:rPr>
        <w:t xml:space="preserve"> טבעי</w:t>
      </w:r>
      <w:r w:rsidR="00954298">
        <w:rPr>
          <w:rFonts w:hint="cs"/>
          <w:rtl/>
        </w:rPr>
        <w:t xml:space="preserve">, עצם טבעי הוא </w:t>
      </w:r>
      <w:r w:rsidR="006741F0">
        <w:rPr>
          <w:rFonts w:hint="cs"/>
          <w:rtl/>
        </w:rPr>
        <w:t>צורה שהצטיירה בחומר</w:t>
      </w:r>
      <w:r w:rsidR="0032115E">
        <w:rPr>
          <w:rFonts w:hint="cs"/>
          <w:rtl/>
        </w:rPr>
        <w:t xml:space="preserve">. </w:t>
      </w:r>
      <w:r w:rsidR="006D3F81">
        <w:rPr>
          <w:rFonts w:hint="cs"/>
          <w:rtl/>
        </w:rPr>
        <w:t>דבר שהוא 'עצם' פירושו שהדבר קיים, המילה 'עצם' פירושה 'להיות קיים', כמו שכתב אריסטו במטאפיזיקה גמא</w:t>
      </w:r>
      <w:r w:rsidR="002E3F55">
        <w:rPr>
          <w:rFonts w:hint="cs"/>
          <w:rtl/>
        </w:rPr>
        <w:t xml:space="preserve"> פרק א' (הוא כתב שם שלומר 'ראובן' ולומר 'ראובן קיים', זו אותה אמירה. </w:t>
      </w:r>
      <w:r w:rsidR="00D96A73">
        <w:rPr>
          <w:rFonts w:hint="cs"/>
          <w:rtl/>
        </w:rPr>
        <w:t xml:space="preserve">'ראובן' זה לומר את העצם, ולומר </w:t>
      </w:r>
      <w:r w:rsidR="003A3B73">
        <w:rPr>
          <w:rFonts w:hint="cs"/>
          <w:rtl/>
        </w:rPr>
        <w:t>'</w:t>
      </w:r>
      <w:r w:rsidR="00D96A73">
        <w:rPr>
          <w:rFonts w:hint="cs"/>
          <w:rtl/>
        </w:rPr>
        <w:t>ראובן קיים</w:t>
      </w:r>
      <w:r w:rsidR="003A3B73">
        <w:rPr>
          <w:rFonts w:hint="cs"/>
          <w:rtl/>
        </w:rPr>
        <w:t>'</w:t>
      </w:r>
      <w:r w:rsidR="00D96A73">
        <w:rPr>
          <w:rFonts w:hint="cs"/>
          <w:rtl/>
        </w:rPr>
        <w:t xml:space="preserve"> זו אותה אמירה כי פירוש 'עצם' הוא להיות קיים)</w:t>
      </w:r>
      <w:r w:rsidR="00D14BB1">
        <w:rPr>
          <w:rFonts w:hint="cs"/>
          <w:rtl/>
        </w:rPr>
        <w:t>. העולם הטבעי הוא העולם שבו להיות קיים פירושו להיות בעל חומר וצורה מורכבים. אדם מת חדל מלהיות קיים בעולם הטבעי</w:t>
      </w:r>
      <w:r w:rsidR="007D5C5C">
        <w:rPr>
          <w:rFonts w:hint="cs"/>
          <w:rtl/>
        </w:rPr>
        <w:t xml:space="preserve"> (אשתו נישאת לאחר</w:t>
      </w:r>
      <w:r w:rsidR="00E55EE9">
        <w:rPr>
          <w:rFonts w:hint="cs"/>
          <w:rtl/>
        </w:rPr>
        <w:t>,</w:t>
      </w:r>
      <w:r w:rsidR="007D5C5C">
        <w:rPr>
          <w:rFonts w:hint="cs"/>
          <w:rtl/>
        </w:rPr>
        <w:t xml:space="preserve"> ויורשיו יורדים לנכסיו)</w:t>
      </w:r>
      <w:r w:rsidR="00D14BB1">
        <w:rPr>
          <w:rFonts w:hint="cs"/>
          <w:rtl/>
        </w:rPr>
        <w:t xml:space="preserve">, </w:t>
      </w:r>
      <w:r w:rsidR="007D5C5C">
        <w:rPr>
          <w:rFonts w:hint="cs"/>
          <w:rtl/>
        </w:rPr>
        <w:t xml:space="preserve">כי הנפש שלו היא צורה בלי חומר. </w:t>
      </w:r>
      <w:r w:rsidR="00E55EE9">
        <w:rPr>
          <w:rFonts w:hint="cs"/>
          <w:rtl/>
        </w:rPr>
        <w:t xml:space="preserve">אבל בעולם המופשט הנפש שלו קיימת </w:t>
      </w:r>
      <w:r w:rsidR="00EE04E9">
        <w:rPr>
          <w:rFonts w:hint="cs"/>
          <w:rtl/>
        </w:rPr>
        <w:t xml:space="preserve">בלי גוף והוא בעולם הבא זוכה להשגת דעת אלוהים. </w:t>
      </w:r>
    </w:p>
    <w:p w14:paraId="180B2669" w14:textId="2B49FADF" w:rsidR="00463DC6" w:rsidRDefault="0032115E">
      <w:pPr>
        <w:pStyle w:val="FootnoteText"/>
      </w:pPr>
      <w:r>
        <w:rPr>
          <w:rFonts w:hint="cs"/>
          <w:rtl/>
        </w:rPr>
        <w:t>"מהויות אלה"</w:t>
      </w:r>
      <w:r>
        <w:rPr>
          <w:rFonts w:hint="cs"/>
        </w:rPr>
        <w:t xml:space="preserve"> </w:t>
      </w:r>
      <w:r>
        <w:rPr>
          <w:rFonts w:hint="cs"/>
          <w:rtl/>
        </w:rPr>
        <w:t>הן הצורות</w:t>
      </w:r>
      <w:r w:rsidR="00EE04E9">
        <w:rPr>
          <w:rFonts w:hint="cs"/>
          <w:rtl/>
        </w:rPr>
        <w:t>;</w:t>
      </w:r>
      <w:r>
        <w:rPr>
          <w:rFonts w:hint="cs"/>
          <w:rtl/>
        </w:rPr>
        <w:t xml:space="preserve"> ה</w:t>
      </w:r>
      <w:r w:rsidR="00877C65">
        <w:rPr>
          <w:rFonts w:hint="cs"/>
          <w:rtl/>
        </w:rPr>
        <w:t xml:space="preserve">עצם הטבעי מורכב מההתחלה החומרית </w:t>
      </w:r>
      <w:r w:rsidR="00954298">
        <w:rPr>
          <w:rFonts w:hint="cs"/>
          <w:rtl/>
        </w:rPr>
        <w:t>ומהצורות</w:t>
      </w:r>
      <w:r w:rsidR="00947F7A">
        <w:rPr>
          <w:rFonts w:hint="cs"/>
          <w:rtl/>
        </w:rPr>
        <w:t>.</w:t>
      </w:r>
    </w:p>
  </w:footnote>
  <w:footnote w:id="683">
    <w:p w14:paraId="3EC4484E" w14:textId="7E40F24E" w:rsidR="00BE472E" w:rsidRDefault="00BE472E">
      <w:pPr>
        <w:pStyle w:val="FootnoteText"/>
      </w:pPr>
      <w:r>
        <w:rPr>
          <w:rStyle w:val="FootnoteReference"/>
        </w:rPr>
        <w:footnoteRef/>
      </w:r>
      <w:r>
        <w:rPr>
          <w:rtl/>
        </w:rPr>
        <w:t xml:space="preserve"> </w:t>
      </w:r>
      <w:r w:rsidR="006F6E99">
        <w:rPr>
          <w:rFonts w:hint="cs"/>
          <w:rtl/>
        </w:rPr>
        <w:t xml:space="preserve">הבאתי לעיל </w:t>
      </w:r>
      <w:r w:rsidR="00B80CC6">
        <w:rPr>
          <w:rFonts w:hint="cs"/>
          <w:rtl/>
        </w:rPr>
        <w:t xml:space="preserve">בסמוך, </w:t>
      </w:r>
      <w:r w:rsidR="006F6E99">
        <w:rPr>
          <w:rFonts w:hint="cs"/>
          <w:rtl/>
        </w:rPr>
        <w:t>וגם לקמן</w:t>
      </w:r>
      <w:r w:rsidR="00B80CC6">
        <w:rPr>
          <w:rFonts w:hint="cs"/>
          <w:rtl/>
        </w:rPr>
        <w:t xml:space="preserve"> בסמוך,</w:t>
      </w:r>
      <w:r w:rsidR="006F6E99">
        <w:rPr>
          <w:rFonts w:hint="cs"/>
          <w:rtl/>
        </w:rPr>
        <w:t xml:space="preserve"> את דברי אפלטון </w:t>
      </w:r>
      <w:r w:rsidR="006F6E99">
        <w:rPr>
          <w:rFonts w:hint="cs"/>
          <w:rtl/>
        </w:rPr>
        <w:t xml:space="preserve">בטימיאוס שהצורה היא כמו האב, והחומר הוא כמו האם, והעצם הטבעי הוא כמו הוולד שיש בו איחוד של שניהם. </w:t>
      </w:r>
      <w:r w:rsidR="00B80CC6">
        <w:rPr>
          <w:rFonts w:hint="cs"/>
          <w:rtl/>
        </w:rPr>
        <w:t>כאן הוא אומר שיש יחס בין האם לוולד, כלומר בין ה</w:t>
      </w:r>
      <w:r w:rsidR="00C76B1C">
        <w:rPr>
          <w:rFonts w:hint="cs"/>
          <w:rtl/>
        </w:rPr>
        <w:t>חומר לעצם הטבעי, וזה יחס של סיבה, כי החומר הוא מהסיבות המקיימות את העצם (ביחד עם הצורה החומר הוא סיבה</w:t>
      </w:r>
      <w:r w:rsidR="008435FE">
        <w:rPr>
          <w:rFonts w:hint="cs"/>
          <w:rtl/>
        </w:rPr>
        <w:t xml:space="preserve"> </w:t>
      </w:r>
      <w:r w:rsidR="00C76B1C">
        <w:rPr>
          <w:rFonts w:hint="cs"/>
          <w:rtl/>
        </w:rPr>
        <w:t>למהות העצם, וה</w:t>
      </w:r>
      <w:r w:rsidR="00C332CA" w:rsidRPr="00C332CA">
        <w:rPr>
          <w:rtl/>
        </w:rPr>
        <w:t>פּוֹעֵל</w:t>
      </w:r>
      <w:r w:rsidR="00C76B1C">
        <w:rPr>
          <w:rFonts w:hint="cs"/>
          <w:rtl/>
        </w:rPr>
        <w:t xml:space="preserve"> והתכלית הם סיבות למציאותו של העצם</w:t>
      </w:r>
      <w:r w:rsidR="008435FE">
        <w:rPr>
          <w:rFonts w:hint="cs"/>
          <w:rtl/>
        </w:rPr>
        <w:t>)</w:t>
      </w:r>
      <w:r w:rsidR="00C332CA">
        <w:rPr>
          <w:rFonts w:hint="cs"/>
          <w:rtl/>
        </w:rPr>
        <w:t xml:space="preserve">. יש יחס נוסף של ההתחלה החומרית עם מהויות אלה, כלומר </w:t>
      </w:r>
      <w:r w:rsidR="0027639D">
        <w:rPr>
          <w:rFonts w:hint="cs"/>
          <w:rtl/>
        </w:rPr>
        <w:t xml:space="preserve">יחס אל </w:t>
      </w:r>
      <w:r w:rsidR="00C332CA">
        <w:rPr>
          <w:rFonts w:hint="cs"/>
          <w:rtl/>
        </w:rPr>
        <w:t>ה</w:t>
      </w:r>
      <w:r w:rsidR="00F05E3F">
        <w:rPr>
          <w:rFonts w:hint="cs"/>
          <w:rtl/>
        </w:rPr>
        <w:t>צ</w:t>
      </w:r>
      <w:r w:rsidR="00C332CA">
        <w:rPr>
          <w:rFonts w:hint="cs"/>
          <w:rtl/>
        </w:rPr>
        <w:t>ורות</w:t>
      </w:r>
      <w:r w:rsidR="00F05E3F">
        <w:rPr>
          <w:rFonts w:hint="cs"/>
          <w:rtl/>
        </w:rPr>
        <w:t xml:space="preserve"> המופשטות, שזה נמשל ליחס בין האם לאב</w:t>
      </w:r>
      <w:r w:rsidR="00C332CA">
        <w:rPr>
          <w:rFonts w:hint="cs"/>
          <w:rtl/>
        </w:rPr>
        <w:t xml:space="preserve">. </w:t>
      </w:r>
    </w:p>
  </w:footnote>
  <w:footnote w:id="684">
    <w:p w14:paraId="0B1F73FF" w14:textId="7F25D8CB" w:rsidR="00643792" w:rsidRDefault="00643792">
      <w:pPr>
        <w:pStyle w:val="FootnoteText"/>
        <w:rPr>
          <w:rtl/>
        </w:rPr>
      </w:pPr>
      <w:r>
        <w:rPr>
          <w:rStyle w:val="FootnoteReference"/>
        </w:rPr>
        <w:footnoteRef/>
      </w:r>
      <w:r>
        <w:rPr>
          <w:rtl/>
        </w:rPr>
        <w:t xml:space="preserve"> </w:t>
      </w:r>
      <w:r>
        <w:rPr>
          <w:rFonts w:hint="cs"/>
          <w:rtl/>
        </w:rPr>
        <w:t>לדוגמה, בעצם לבן.</w:t>
      </w:r>
    </w:p>
  </w:footnote>
  <w:footnote w:id="685">
    <w:p w14:paraId="044FBCC5" w14:textId="5A545325" w:rsidR="001F2F78" w:rsidRDefault="007366C7">
      <w:pPr>
        <w:pStyle w:val="FootnoteText"/>
        <w:rPr>
          <w:rtl/>
        </w:rPr>
      </w:pPr>
      <w:r>
        <w:rPr>
          <w:rStyle w:val="FootnoteReference"/>
        </w:rPr>
        <w:footnoteRef/>
      </w:r>
      <w:r>
        <w:rPr>
          <w:rtl/>
        </w:rPr>
        <w:t xml:space="preserve"> </w:t>
      </w:r>
      <w:r w:rsidR="001343FB">
        <w:rPr>
          <w:rFonts w:hint="cs"/>
          <w:rtl/>
        </w:rPr>
        <w:t xml:space="preserve">החלב הוא עצם מורכב, צבעו לבן, והחומר שלו הוא </w:t>
      </w:r>
      <w:r w:rsidR="00245F90">
        <w:rPr>
          <w:rFonts w:hint="cs"/>
          <w:rtl/>
        </w:rPr>
        <w:t xml:space="preserve">אחת מהסיבות של קיומו. </w:t>
      </w:r>
      <w:r w:rsidR="00740A9B">
        <w:rPr>
          <w:rFonts w:hint="cs"/>
          <w:rtl/>
        </w:rPr>
        <w:t>היחס של החומר שלו אליו הוא יחס של סיבה ומסובב</w:t>
      </w:r>
      <w:r w:rsidR="00603170">
        <w:rPr>
          <w:rFonts w:hint="cs"/>
          <w:rtl/>
        </w:rPr>
        <w:t>, וכיוון שהחומר הוא סיבה שלו הוא קודם לו</w:t>
      </w:r>
      <w:r w:rsidR="00740A9B">
        <w:rPr>
          <w:rFonts w:hint="cs"/>
          <w:rtl/>
        </w:rPr>
        <w:t xml:space="preserve">. הלובן כשלעצמו </w:t>
      </w:r>
      <w:r w:rsidR="00C459EE">
        <w:rPr>
          <w:rFonts w:hint="cs"/>
          <w:rtl/>
        </w:rPr>
        <w:t xml:space="preserve">הוא לא </w:t>
      </w:r>
      <w:r w:rsidR="00FA721E">
        <w:rPr>
          <w:rFonts w:hint="cs"/>
          <w:rtl/>
        </w:rPr>
        <w:t>חלק</w:t>
      </w:r>
      <w:r w:rsidR="00C459EE">
        <w:rPr>
          <w:rFonts w:hint="cs"/>
          <w:rtl/>
        </w:rPr>
        <w:t xml:space="preserve"> </w:t>
      </w:r>
      <w:r w:rsidR="00FA721E">
        <w:rPr>
          <w:rFonts w:hint="cs"/>
          <w:rtl/>
        </w:rPr>
        <w:t>מ</w:t>
      </w:r>
      <w:r w:rsidR="00C459EE">
        <w:rPr>
          <w:rFonts w:hint="cs"/>
          <w:rtl/>
        </w:rPr>
        <w:t>העצם הטבעי</w:t>
      </w:r>
      <w:r w:rsidR="008B26EB">
        <w:rPr>
          <w:rFonts w:hint="cs"/>
          <w:rtl/>
        </w:rPr>
        <w:t xml:space="preserve"> </w:t>
      </w:r>
      <w:r w:rsidR="002900E2">
        <w:rPr>
          <w:rFonts w:hint="cs"/>
          <w:rtl/>
        </w:rPr>
        <w:t xml:space="preserve">(הלובן לא קיים כעצם אלא הוא קיים כצבע. </w:t>
      </w:r>
      <w:r w:rsidR="008B26EB">
        <w:rPr>
          <w:rFonts w:hint="cs"/>
          <w:rtl/>
        </w:rPr>
        <w:t>קיומו</w:t>
      </w:r>
      <w:r w:rsidR="002900E2">
        <w:rPr>
          <w:rFonts w:hint="cs"/>
          <w:rtl/>
        </w:rPr>
        <w:t xml:space="preserve"> הוא </w:t>
      </w:r>
      <w:r w:rsidR="008B26EB">
        <w:rPr>
          <w:rFonts w:hint="cs"/>
          <w:rtl/>
        </w:rPr>
        <w:t>כאיכות, כקטגורית האיכות שהיא אופן של קיום</w:t>
      </w:r>
      <w:r w:rsidR="002900E2">
        <w:rPr>
          <w:rFonts w:hint="cs"/>
          <w:rtl/>
        </w:rPr>
        <w:t xml:space="preserve"> שאינו עצם)</w:t>
      </w:r>
      <w:r w:rsidR="00C459EE">
        <w:rPr>
          <w:rFonts w:hint="cs"/>
          <w:rtl/>
        </w:rPr>
        <w:t xml:space="preserve">, והחומר של החלב אין לו יחס אל </w:t>
      </w:r>
      <w:r w:rsidR="00FA721E">
        <w:rPr>
          <w:rFonts w:hint="cs"/>
          <w:rtl/>
        </w:rPr>
        <w:t>הלובן כשלעצמו</w:t>
      </w:r>
      <w:r w:rsidR="00C459EE">
        <w:rPr>
          <w:rFonts w:hint="cs"/>
          <w:rtl/>
        </w:rPr>
        <w:t xml:space="preserve">. </w:t>
      </w:r>
      <w:r w:rsidR="001514D7">
        <w:rPr>
          <w:rFonts w:hint="cs"/>
          <w:rtl/>
        </w:rPr>
        <w:t>ז</w:t>
      </w:r>
      <w:r w:rsidR="00AE4D18">
        <w:rPr>
          <w:rFonts w:hint="cs"/>
          <w:rtl/>
        </w:rPr>
        <w:t>ה תוספת ביאור במה שכתב</w:t>
      </w:r>
      <w:r w:rsidR="001514D7">
        <w:rPr>
          <w:rFonts w:hint="cs"/>
          <w:rtl/>
        </w:rPr>
        <w:t xml:space="preserve"> שההתחלה החומרית היא שם משתתף, כלומר בעל שתי משמעויות. יש משמעות אחת שהחומר הוא סיבה למציאות העצם ולכן מתייחס אליו כמו שסיבה מתייחסת א</w:t>
      </w:r>
      <w:r w:rsidR="000055D6">
        <w:rPr>
          <w:rFonts w:hint="cs"/>
          <w:rtl/>
        </w:rPr>
        <w:t>ל</w:t>
      </w:r>
      <w:r w:rsidR="001514D7">
        <w:rPr>
          <w:rFonts w:hint="cs"/>
          <w:rtl/>
        </w:rPr>
        <w:t xml:space="preserve"> המסובב, </w:t>
      </w:r>
      <w:r w:rsidR="00C67A07">
        <w:rPr>
          <w:rFonts w:hint="cs"/>
          <w:rtl/>
        </w:rPr>
        <w:t xml:space="preserve">ואם העצם לבן אז החומר מתייחס גם אל הלבן. </w:t>
      </w:r>
      <w:r w:rsidR="001514D7">
        <w:rPr>
          <w:rFonts w:hint="cs"/>
          <w:rtl/>
        </w:rPr>
        <w:t>ויש משמעות אחרת שהחומר מצד עצמו לא מתייחס לצורות מצד עצמן</w:t>
      </w:r>
      <w:r w:rsidR="00C67A07">
        <w:rPr>
          <w:rFonts w:hint="cs"/>
          <w:rtl/>
        </w:rPr>
        <w:t xml:space="preserve"> בשום יחס</w:t>
      </w:r>
      <w:r w:rsidR="001514D7">
        <w:rPr>
          <w:rFonts w:hint="cs"/>
          <w:rtl/>
        </w:rPr>
        <w:t xml:space="preserve">. </w:t>
      </w:r>
      <w:r w:rsidR="00C67A07">
        <w:rPr>
          <w:rFonts w:hint="cs"/>
          <w:rtl/>
        </w:rPr>
        <w:t>שהרי החומר הראשון אין בו שום צורה כלל</w:t>
      </w:r>
      <w:r w:rsidR="00A46680">
        <w:rPr>
          <w:rFonts w:hint="cs"/>
          <w:rtl/>
        </w:rPr>
        <w:t>.</w:t>
      </w:r>
    </w:p>
    <w:p w14:paraId="64D17B25" w14:textId="77777777" w:rsidR="00A8785F" w:rsidRDefault="001F2F78">
      <w:pPr>
        <w:pStyle w:val="FootnoteText"/>
        <w:rPr>
          <w:rtl/>
        </w:rPr>
      </w:pPr>
      <w:r>
        <w:rPr>
          <w:rFonts w:hint="cs"/>
          <w:rtl/>
        </w:rPr>
        <w:t xml:space="preserve">החומר הראשון הוא מרכיב בכל העצמים </w:t>
      </w:r>
      <w:r w:rsidR="00C03692">
        <w:rPr>
          <w:rFonts w:hint="cs"/>
          <w:rtl/>
        </w:rPr>
        <w:t xml:space="preserve">הטבעיים, כלומר אלה שיש להם גוף חומרי. בסדר הבריאה החומר הראשון </w:t>
      </w:r>
      <w:r w:rsidR="005A4A72">
        <w:rPr>
          <w:rFonts w:hint="cs"/>
          <w:rtl/>
        </w:rPr>
        <w:t>קודם לכל הנמצאות</w:t>
      </w:r>
      <w:r w:rsidR="00A550E7">
        <w:rPr>
          <w:rFonts w:hint="cs"/>
          <w:rtl/>
        </w:rPr>
        <w:t xml:space="preserve"> שבטבע</w:t>
      </w:r>
      <w:r w:rsidR="005A4A72">
        <w:rPr>
          <w:rFonts w:hint="cs"/>
          <w:rtl/>
        </w:rPr>
        <w:t xml:space="preserve"> מלבד </w:t>
      </w:r>
      <w:r w:rsidR="00A550E7">
        <w:rPr>
          <w:rFonts w:hint="cs"/>
          <w:rtl/>
        </w:rPr>
        <w:t>ל</w:t>
      </w:r>
      <w:r w:rsidR="005A4A72">
        <w:rPr>
          <w:rFonts w:hint="cs"/>
          <w:rtl/>
        </w:rPr>
        <w:t>בורא עצמו. הוא הגלגל הקיצון, ההיולי שכתב הרמב"ן בבראשית א' א'</w:t>
      </w:r>
      <w:r w:rsidR="00A550E7">
        <w:rPr>
          <w:rFonts w:hint="cs"/>
          <w:rtl/>
        </w:rPr>
        <w:t>. רק השכל הנפרד הראשון קודם לו, אבל השכל הנפרד אינו בטבע כיוון שהוא מופשט לחלוטין.</w:t>
      </w:r>
    </w:p>
    <w:p w14:paraId="22B9D52E" w14:textId="367E598B" w:rsidR="007366C7" w:rsidRDefault="00A8785F">
      <w:pPr>
        <w:pStyle w:val="FootnoteText"/>
      </w:pPr>
      <w:r>
        <w:rPr>
          <w:rFonts w:hint="cs"/>
          <w:rtl/>
        </w:rPr>
        <w:t>"מרכיביו העצמיים"</w:t>
      </w:r>
      <w:r>
        <w:rPr>
          <w:rFonts w:hint="cs"/>
        </w:rPr>
        <w:t xml:space="preserve"> </w:t>
      </w:r>
      <w:r>
        <w:rPr>
          <w:rFonts w:hint="cs"/>
          <w:rtl/>
        </w:rPr>
        <w:t>של ה"כל" הם החומר והצורה שלו. אחרי ש</w:t>
      </w:r>
      <w:r w:rsidR="00CB6A85">
        <w:rPr>
          <w:rFonts w:hint="cs"/>
          <w:rtl/>
        </w:rPr>
        <w:t>חל</w:t>
      </w:r>
      <w:r w:rsidR="005C6487">
        <w:rPr>
          <w:rFonts w:hint="cs"/>
          <w:rtl/>
        </w:rPr>
        <w:t>ה</w:t>
      </w:r>
      <w:r>
        <w:rPr>
          <w:rFonts w:hint="cs"/>
          <w:rtl/>
        </w:rPr>
        <w:t xml:space="preserve"> בחומר צורה, והוא נעשה עצם מוגדר, </w:t>
      </w:r>
      <w:r w:rsidR="00CB6A85">
        <w:rPr>
          <w:rFonts w:hint="cs"/>
          <w:rtl/>
        </w:rPr>
        <w:t xml:space="preserve">בעל מהות עצמית, </w:t>
      </w:r>
      <w:r w:rsidR="005C6487">
        <w:rPr>
          <w:rFonts w:hint="cs"/>
          <w:rtl/>
        </w:rPr>
        <w:t xml:space="preserve">מרכיביו העצמיים של העצם הזה שהם צורתו וחומרו </w:t>
      </w:r>
      <w:r w:rsidR="00D554DF">
        <w:rPr>
          <w:rFonts w:hint="cs"/>
          <w:rtl/>
        </w:rPr>
        <w:t xml:space="preserve">הם אחריו בסדר </w:t>
      </w:r>
      <w:r w:rsidR="009C463A">
        <w:rPr>
          <w:rFonts w:hint="cs"/>
          <w:rtl/>
        </w:rPr>
        <w:t>ההוויה</w:t>
      </w:r>
      <w:r w:rsidR="00CB6A85">
        <w:rPr>
          <w:rFonts w:hint="cs"/>
          <w:rtl/>
        </w:rPr>
        <w:t>,</w:t>
      </w:r>
      <w:r w:rsidR="00D554DF">
        <w:rPr>
          <w:rFonts w:hint="cs"/>
          <w:rtl/>
        </w:rPr>
        <w:t xml:space="preserve"> כי </w:t>
      </w:r>
      <w:r w:rsidR="00CB6A85">
        <w:rPr>
          <w:rFonts w:hint="cs"/>
          <w:rtl/>
        </w:rPr>
        <w:t>מציאותם באה אחרי מהותו של העצם. אבל לפני שחלה</w:t>
      </w:r>
      <w:r w:rsidR="00D554DF">
        <w:rPr>
          <w:rFonts w:hint="cs"/>
          <w:rtl/>
        </w:rPr>
        <w:t xml:space="preserve"> </w:t>
      </w:r>
      <w:r w:rsidR="00CB6A85">
        <w:rPr>
          <w:rFonts w:hint="cs"/>
          <w:rtl/>
        </w:rPr>
        <w:t xml:space="preserve">צורה בחומר, והוא החומר הראשון שאין בו שום צורה, הוא קודם לעצם המורכב בסדר </w:t>
      </w:r>
      <w:r w:rsidR="009C463A">
        <w:rPr>
          <w:rFonts w:hint="cs"/>
          <w:rtl/>
        </w:rPr>
        <w:t>ההוויה</w:t>
      </w:r>
      <w:r w:rsidR="00CB6A85">
        <w:rPr>
          <w:rFonts w:hint="cs"/>
          <w:rtl/>
        </w:rPr>
        <w:t xml:space="preserve">. </w:t>
      </w:r>
      <w:r w:rsidR="005C6487">
        <w:rPr>
          <w:rFonts w:hint="cs"/>
          <w:rtl/>
        </w:rPr>
        <w:t xml:space="preserve"> </w:t>
      </w:r>
      <w:r>
        <w:rPr>
          <w:rFonts w:hint="cs"/>
          <w:rtl/>
        </w:rPr>
        <w:t xml:space="preserve"> </w:t>
      </w:r>
      <w:r w:rsidR="00A550E7">
        <w:rPr>
          <w:rFonts w:hint="cs"/>
          <w:rtl/>
        </w:rPr>
        <w:t xml:space="preserve"> </w:t>
      </w:r>
      <w:r w:rsidR="00A46680">
        <w:rPr>
          <w:rFonts w:hint="cs"/>
          <w:rtl/>
        </w:rPr>
        <w:t xml:space="preserve"> </w:t>
      </w:r>
      <w:r w:rsidR="001514D7">
        <w:rPr>
          <w:rFonts w:hint="cs"/>
          <w:rtl/>
        </w:rPr>
        <w:t xml:space="preserve"> </w:t>
      </w:r>
    </w:p>
  </w:footnote>
  <w:footnote w:id="686">
    <w:p w14:paraId="694D1BA9" w14:textId="641B23F7" w:rsidR="007A07B6" w:rsidRDefault="007A07B6">
      <w:pPr>
        <w:pStyle w:val="FootnoteText"/>
      </w:pPr>
      <w:r>
        <w:rPr>
          <w:rStyle w:val="FootnoteReference"/>
        </w:rPr>
        <w:footnoteRef/>
      </w:r>
      <w:r>
        <w:rPr>
          <w:rtl/>
        </w:rPr>
        <w:t xml:space="preserve"> </w:t>
      </w:r>
      <w:r w:rsidR="00FB5037">
        <w:rPr>
          <w:rFonts w:hint="cs"/>
          <w:rtl/>
        </w:rPr>
        <w:t>כלומר היחס</w:t>
      </w:r>
      <w:r w:rsidR="00972A62">
        <w:rPr>
          <w:rFonts w:hint="cs"/>
          <w:rtl/>
        </w:rPr>
        <w:t>ים</w:t>
      </w:r>
      <w:r w:rsidR="00FB5037">
        <w:rPr>
          <w:rFonts w:hint="cs"/>
          <w:rtl/>
        </w:rPr>
        <w:t xml:space="preserve"> שבין דברים אלה, שהם החומר, הצורה והעצם. הדברים יובנו לפי מה שהבאתי </w:t>
      </w:r>
      <w:r w:rsidR="003A46C4">
        <w:rPr>
          <w:rFonts w:hint="cs"/>
          <w:rtl/>
        </w:rPr>
        <w:t xml:space="preserve">לעיל בסמוך </w:t>
      </w:r>
      <w:r w:rsidR="00FB5037">
        <w:rPr>
          <w:rFonts w:hint="cs"/>
          <w:rtl/>
        </w:rPr>
        <w:t>מטי</w:t>
      </w:r>
      <w:r w:rsidR="00021188">
        <w:rPr>
          <w:rFonts w:hint="cs"/>
          <w:rtl/>
        </w:rPr>
        <w:t>מיאוס מאת אפלטון</w:t>
      </w:r>
      <w:r w:rsidR="003A46C4">
        <w:rPr>
          <w:rFonts w:hint="cs"/>
          <w:rtl/>
        </w:rPr>
        <w:t xml:space="preserve"> שהצורה המופשטת היא כמו האב, החומר הוא כמו האם, והעצם שמורכב מצורה וחומר הוא כמו הוולד שנולד מהזיווג שביניהם.</w:t>
      </w:r>
      <w:r w:rsidR="00021188">
        <w:rPr>
          <w:rFonts w:hint="cs"/>
          <w:rtl/>
        </w:rPr>
        <w:t xml:space="preserve"> </w:t>
      </w:r>
      <w:r w:rsidR="006B697B">
        <w:rPr>
          <w:rFonts w:hint="cs"/>
          <w:rtl/>
        </w:rPr>
        <w:t>החלוקה הראשונה עוסקת ביחס שבין החומר הראשון לצורה המופשטת</w:t>
      </w:r>
      <w:r w:rsidR="002E4054">
        <w:rPr>
          <w:rFonts w:hint="cs"/>
          <w:rtl/>
        </w:rPr>
        <w:t xml:space="preserve"> לפני שהתחברו</w:t>
      </w:r>
      <w:r w:rsidR="007516E8">
        <w:rPr>
          <w:rFonts w:hint="cs"/>
          <w:rtl/>
        </w:rPr>
        <w:t xml:space="preserve"> ליצור עצם</w:t>
      </w:r>
      <w:r w:rsidR="004151B9">
        <w:rPr>
          <w:rFonts w:hint="cs"/>
          <w:rtl/>
        </w:rPr>
        <w:t>, החלוק</w:t>
      </w:r>
      <w:r w:rsidR="00E81227">
        <w:rPr>
          <w:rFonts w:hint="cs"/>
          <w:rtl/>
        </w:rPr>
        <w:t>ות</w:t>
      </w:r>
      <w:r w:rsidR="004151B9">
        <w:rPr>
          <w:rFonts w:hint="cs"/>
          <w:rtl/>
        </w:rPr>
        <w:t xml:space="preserve"> השנייה</w:t>
      </w:r>
      <w:r w:rsidR="00E81227">
        <w:rPr>
          <w:rFonts w:hint="cs"/>
          <w:rtl/>
        </w:rPr>
        <w:t xml:space="preserve"> והשלישית</w:t>
      </w:r>
      <w:r w:rsidR="004151B9">
        <w:rPr>
          <w:rFonts w:hint="cs"/>
          <w:rtl/>
        </w:rPr>
        <w:t xml:space="preserve"> עוסק</w:t>
      </w:r>
      <w:r w:rsidR="00AA6195">
        <w:rPr>
          <w:rFonts w:hint="cs"/>
          <w:rtl/>
        </w:rPr>
        <w:t>ו</w:t>
      </w:r>
      <w:r w:rsidR="004151B9">
        <w:rPr>
          <w:rFonts w:hint="cs"/>
          <w:rtl/>
        </w:rPr>
        <w:t xml:space="preserve">ת ביחס שבין </w:t>
      </w:r>
      <w:r w:rsidR="007516E8">
        <w:rPr>
          <w:rFonts w:hint="cs"/>
          <w:rtl/>
        </w:rPr>
        <w:t>החומר של העצם לצורה של העצם</w:t>
      </w:r>
      <w:r w:rsidR="006A4D98">
        <w:rPr>
          <w:rFonts w:hint="cs"/>
          <w:rtl/>
        </w:rPr>
        <w:t xml:space="preserve"> (כלומר אחרי שהחומר והצורה התחברו כדי ליצור עצם)</w:t>
      </w:r>
      <w:r w:rsidR="00F93DCC">
        <w:rPr>
          <w:rFonts w:hint="cs"/>
          <w:rtl/>
        </w:rPr>
        <w:t xml:space="preserve"> ויש ביחס הזה שני אופנים כי יש צורה שקובעת את המהות</w:t>
      </w:r>
      <w:r w:rsidR="006F502E">
        <w:rPr>
          <w:rFonts w:hint="cs"/>
          <w:rtl/>
        </w:rPr>
        <w:t xml:space="preserve"> של העצם</w:t>
      </w:r>
      <w:r w:rsidR="00F93DCC">
        <w:rPr>
          <w:rFonts w:hint="cs"/>
          <w:rtl/>
        </w:rPr>
        <w:t xml:space="preserve"> ויש מקרים שהם אופ</w:t>
      </w:r>
      <w:r w:rsidR="006F502E">
        <w:rPr>
          <w:rFonts w:hint="cs"/>
          <w:rtl/>
        </w:rPr>
        <w:t>ן</w:t>
      </w:r>
      <w:r w:rsidR="00F93DCC">
        <w:rPr>
          <w:rFonts w:hint="cs"/>
          <w:rtl/>
        </w:rPr>
        <w:t xml:space="preserve"> של צורה</w:t>
      </w:r>
      <w:r w:rsidR="006F502E">
        <w:rPr>
          <w:rFonts w:hint="cs"/>
          <w:rtl/>
        </w:rPr>
        <w:t xml:space="preserve"> </w:t>
      </w:r>
      <w:r w:rsidR="00F93DCC">
        <w:rPr>
          <w:rFonts w:hint="cs"/>
          <w:rtl/>
        </w:rPr>
        <w:t>לעצם אבל אינה</w:t>
      </w:r>
      <w:r w:rsidR="006F502E">
        <w:rPr>
          <w:rFonts w:hint="cs"/>
          <w:rtl/>
        </w:rPr>
        <w:t xml:space="preserve"> צורה ש</w:t>
      </w:r>
      <w:r w:rsidR="00F93DCC">
        <w:rPr>
          <w:rFonts w:hint="cs"/>
          <w:rtl/>
        </w:rPr>
        <w:t>קובעת את מהותו.</w:t>
      </w:r>
      <w:r w:rsidR="005854C2">
        <w:rPr>
          <w:rFonts w:hint="cs"/>
          <w:rtl/>
        </w:rPr>
        <w:t xml:space="preserve"> </w:t>
      </w:r>
      <w:r w:rsidR="006B697B">
        <w:rPr>
          <w:rFonts w:hint="cs"/>
          <w:rtl/>
        </w:rPr>
        <w:t xml:space="preserve"> </w:t>
      </w:r>
    </w:p>
  </w:footnote>
  <w:footnote w:id="687">
    <w:p w14:paraId="13D9B358" w14:textId="7771A90D" w:rsidR="0076565A" w:rsidRDefault="0076565A">
      <w:pPr>
        <w:pStyle w:val="FootnoteText"/>
        <w:rPr>
          <w:rtl/>
        </w:rPr>
      </w:pPr>
      <w:r>
        <w:rPr>
          <w:rStyle w:val="FootnoteReference"/>
        </w:rPr>
        <w:footnoteRef/>
      </w:r>
      <w:r>
        <w:rPr>
          <w:rtl/>
        </w:rPr>
        <w:t xml:space="preserve"> </w:t>
      </w:r>
      <w:r>
        <w:rPr>
          <w:rFonts w:hint="cs"/>
          <w:rtl/>
        </w:rPr>
        <w:t xml:space="preserve">החומר הראשון לא צריך את הצורות המופשטות כדי להתקיים, והן לא צריכות אותו. </w:t>
      </w:r>
      <w:r w:rsidR="00B87489">
        <w:rPr>
          <w:rFonts w:hint="cs"/>
          <w:rtl/>
        </w:rPr>
        <w:t xml:space="preserve">כל אחד מהן נברא בפני עצמו. אצל אריסטו </w:t>
      </w:r>
      <w:r w:rsidR="00380A9F">
        <w:rPr>
          <w:rFonts w:hint="cs"/>
          <w:rtl/>
        </w:rPr>
        <w:t xml:space="preserve">כל שכל נפרד </w:t>
      </w:r>
      <w:r w:rsidR="008567CF">
        <w:rPr>
          <w:rFonts w:hint="cs"/>
          <w:rtl/>
        </w:rPr>
        <w:t xml:space="preserve">מעשרת השכלים הנפרדים </w:t>
      </w:r>
      <w:r w:rsidR="00380A9F">
        <w:rPr>
          <w:rFonts w:hint="cs"/>
          <w:rtl/>
        </w:rPr>
        <w:t>כשהוא מסתכל על עצמו, על חסרונו מול הבורא, נובע מזה גלגל חומרי</w:t>
      </w:r>
      <w:r w:rsidR="0081293D">
        <w:rPr>
          <w:rFonts w:hint="cs"/>
          <w:rtl/>
        </w:rPr>
        <w:t xml:space="preserve"> </w:t>
      </w:r>
      <w:r w:rsidR="008567CF">
        <w:rPr>
          <w:rFonts w:hint="cs"/>
          <w:rtl/>
        </w:rPr>
        <w:t xml:space="preserve">לפי מדרגתו </w:t>
      </w:r>
      <w:r w:rsidR="006A3C6D">
        <w:rPr>
          <w:rFonts w:hint="cs"/>
          <w:rtl/>
        </w:rPr>
        <w:t xml:space="preserve">של אותו שכל והגלגל </w:t>
      </w:r>
      <w:r w:rsidR="0081293D">
        <w:rPr>
          <w:rFonts w:hint="cs"/>
          <w:rtl/>
        </w:rPr>
        <w:t>הוא מהחומר החמישי</w:t>
      </w:r>
      <w:r w:rsidR="008B4A11">
        <w:rPr>
          <w:rFonts w:hint="cs"/>
          <w:rtl/>
        </w:rPr>
        <w:t>, כמו שמבואר היטב ב</w:t>
      </w:r>
      <w:hyperlink r:id="rId139" w:history="1">
        <w:r w:rsidR="005C6B27" w:rsidRPr="00903886">
          <w:rPr>
            <w:rStyle w:val="Hyperlink"/>
            <w:rFonts w:hint="cs"/>
            <w:rtl/>
          </w:rPr>
          <w:t>אנשי העיר המעולה</w:t>
        </w:r>
      </w:hyperlink>
      <w:r w:rsidR="008B4A11">
        <w:rPr>
          <w:rFonts w:hint="cs"/>
          <w:rtl/>
        </w:rPr>
        <w:t xml:space="preserve"> מאת אלפראבי</w:t>
      </w:r>
      <w:r w:rsidR="00237139">
        <w:rPr>
          <w:rFonts w:hint="cs"/>
          <w:rtl/>
        </w:rPr>
        <w:t xml:space="preserve"> (עניין זה לא מפורש בכתבי אריסטו שבידינו, והוא נמסר בעל פה עד שכתב אותו אלפראבי</w:t>
      </w:r>
      <w:r w:rsidR="00CE3CC9">
        <w:rPr>
          <w:rFonts w:hint="cs"/>
          <w:rtl/>
        </w:rPr>
        <w:t>.</w:t>
      </w:r>
      <w:r w:rsidR="00237139">
        <w:rPr>
          <w:rFonts w:hint="cs"/>
          <w:rtl/>
        </w:rPr>
        <w:t xml:space="preserve"> כך ידעו חכמי דורו של אלפראבי </w:t>
      </w:r>
      <w:r w:rsidR="00446806">
        <w:rPr>
          <w:rFonts w:hint="cs"/>
          <w:rtl/>
        </w:rPr>
        <w:t xml:space="preserve">שקיבלו כדבר פשוט שזו דעת אריסטו </w:t>
      </w:r>
      <w:r w:rsidR="00237139">
        <w:rPr>
          <w:rFonts w:hint="cs"/>
          <w:rtl/>
        </w:rPr>
        <w:t xml:space="preserve">וגם במורה נבוכים מייחס את </w:t>
      </w:r>
      <w:r w:rsidR="00446806">
        <w:rPr>
          <w:rFonts w:hint="cs"/>
          <w:rtl/>
        </w:rPr>
        <w:t>דברי אלפראבי אלה לאריסטו)</w:t>
      </w:r>
      <w:r w:rsidR="008B4A11">
        <w:rPr>
          <w:rFonts w:hint="cs"/>
          <w:rtl/>
        </w:rPr>
        <w:t xml:space="preserve">. </w:t>
      </w:r>
      <w:r w:rsidR="0081293D">
        <w:rPr>
          <w:rFonts w:hint="cs"/>
          <w:rtl/>
        </w:rPr>
        <w:t xml:space="preserve">הגלגל הראשון הוא </w:t>
      </w:r>
      <w:r w:rsidR="00E83E73">
        <w:rPr>
          <w:rFonts w:hint="cs"/>
          <w:rtl/>
        </w:rPr>
        <w:t>החומר הראשון שהוא קרוב לעניין החומר החמישי</w:t>
      </w:r>
      <w:r w:rsidR="00CE3CC9">
        <w:rPr>
          <w:rFonts w:hint="cs"/>
          <w:rtl/>
        </w:rPr>
        <w:t xml:space="preserve"> שממנו שאר הגלגלים, </w:t>
      </w:r>
      <w:r w:rsidR="00B71B9C">
        <w:rPr>
          <w:rFonts w:hint="cs"/>
          <w:rtl/>
        </w:rPr>
        <w:t>אם כי כמובן יש חילוק גדול בין החומר הראשון לחומר החמישי והארכתי בזה במקום אחר.</w:t>
      </w:r>
    </w:p>
    <w:p w14:paraId="5E6F4FAE" w14:textId="09EAFC68" w:rsidR="006A3C6D" w:rsidRDefault="006A3C6D">
      <w:pPr>
        <w:pStyle w:val="FootnoteText"/>
      </w:pPr>
      <w:r>
        <w:rPr>
          <w:rFonts w:hint="cs"/>
          <w:rtl/>
        </w:rPr>
        <w:t xml:space="preserve">השכלים הנפרדים מופשטים לגמרי, הם </w:t>
      </w:r>
      <w:r w:rsidR="00165CEA">
        <w:rPr>
          <w:rFonts w:hint="cs"/>
          <w:rtl/>
        </w:rPr>
        <w:t xml:space="preserve">הספירות שדיברו בהם חכמי הקבלה, כמו שכתב האר"י בספר עץ חיים שער א' ענף ב' בדבריו על התוכנים שזה כינוי לאריסטו, וכן כתוב </w:t>
      </w:r>
      <w:r w:rsidR="00165CEA">
        <w:rPr>
          <w:rFonts w:hint="cs"/>
          <w:rtl/>
        </w:rPr>
        <w:t xml:space="preserve">ברמ"ק ובעוד מקומות. </w:t>
      </w:r>
      <w:r w:rsidR="00DD7E28">
        <w:rPr>
          <w:rFonts w:hint="cs"/>
          <w:rtl/>
        </w:rPr>
        <w:t>הספירות יש בהן צד שהן אלוהות ממש ולא משהו שנברא</w:t>
      </w:r>
      <w:r w:rsidR="00947453">
        <w:rPr>
          <w:rFonts w:hint="cs"/>
          <w:rtl/>
        </w:rPr>
        <w:t>, וצד שהן כלים נבראים. שני הצדדים אמת</w:t>
      </w:r>
      <w:r w:rsidR="001C20EF">
        <w:rPr>
          <w:rFonts w:hint="cs"/>
          <w:rtl/>
        </w:rPr>
        <w:t xml:space="preserve"> כמו שכתב </w:t>
      </w:r>
      <w:r w:rsidR="00231000">
        <w:rPr>
          <w:rFonts w:hint="cs"/>
          <w:rtl/>
        </w:rPr>
        <w:t xml:space="preserve">הרמ"ק </w:t>
      </w:r>
      <w:r w:rsidR="001C20EF">
        <w:rPr>
          <w:rFonts w:hint="cs"/>
          <w:rtl/>
        </w:rPr>
        <w:t>בספר פרדס רימונים</w:t>
      </w:r>
      <w:r w:rsidR="00947453">
        <w:rPr>
          <w:rFonts w:hint="cs"/>
          <w:rtl/>
        </w:rPr>
        <w:t>, הצד שה</w:t>
      </w:r>
      <w:r w:rsidR="00C04012">
        <w:rPr>
          <w:rFonts w:hint="cs"/>
          <w:rtl/>
        </w:rPr>
        <w:t>ן</w:t>
      </w:r>
      <w:r w:rsidR="00947453">
        <w:rPr>
          <w:rFonts w:hint="cs"/>
          <w:rtl/>
        </w:rPr>
        <w:t xml:space="preserve"> אלוהות הוא צד הצמצום, כי גם ה</w:t>
      </w:r>
      <w:r w:rsidR="00C04012">
        <w:rPr>
          <w:rFonts w:hint="cs"/>
          <w:rtl/>
        </w:rPr>
        <w:t>צימצו</w:t>
      </w:r>
      <w:r w:rsidR="00947453">
        <w:rPr>
          <w:rFonts w:hint="cs"/>
          <w:rtl/>
        </w:rPr>
        <w:t>ם הוא אלוהות ממש ולא דבר נברא</w:t>
      </w:r>
      <w:r w:rsidR="0030105C">
        <w:rPr>
          <w:rFonts w:hint="cs"/>
          <w:rtl/>
        </w:rPr>
        <w:t xml:space="preserve"> (לפי הצד של אין סוף מוחלט ה</w:t>
      </w:r>
      <w:r w:rsidR="00CE4071">
        <w:rPr>
          <w:rFonts w:hint="cs"/>
          <w:rtl/>
        </w:rPr>
        <w:t xml:space="preserve">ספירות או השכלים הנפרדים הם בריאה, כלומר הצמצום עצמו הוא בריאה, ואז סדר הנבראים הוא השכל </w:t>
      </w:r>
      <w:r w:rsidR="0082141C">
        <w:rPr>
          <w:rFonts w:hint="cs"/>
          <w:rtl/>
        </w:rPr>
        <w:t xml:space="preserve">הנפרד </w:t>
      </w:r>
      <w:r w:rsidR="00CE4071">
        <w:rPr>
          <w:rFonts w:hint="cs"/>
          <w:rtl/>
        </w:rPr>
        <w:t xml:space="preserve">הראשון ואחריו החומר הראשון. </w:t>
      </w:r>
      <w:r w:rsidR="0082141C">
        <w:rPr>
          <w:rFonts w:hint="cs"/>
          <w:rtl/>
        </w:rPr>
        <w:t>לפי צד הצמצום הנברא ה</w:t>
      </w:r>
      <w:r w:rsidR="00E4528D">
        <w:rPr>
          <w:rFonts w:hint="cs"/>
          <w:rtl/>
        </w:rPr>
        <w:t>ר</w:t>
      </w:r>
      <w:r w:rsidR="0082141C">
        <w:rPr>
          <w:rFonts w:hint="cs"/>
          <w:rtl/>
        </w:rPr>
        <w:t>אשון הוא החומר הראשון, כי השכל הראשון הוא אלוהות ממש, כלומר ספירת מלכות</w:t>
      </w:r>
      <w:r w:rsidR="00E4528D">
        <w:rPr>
          <w:rFonts w:hint="cs"/>
          <w:rtl/>
        </w:rPr>
        <w:t xml:space="preserve">. אפלטון </w:t>
      </w:r>
      <w:r w:rsidR="00992C0F">
        <w:rPr>
          <w:rFonts w:hint="cs"/>
          <w:rtl/>
        </w:rPr>
        <w:t>בטימיאוס</w:t>
      </w:r>
      <w:r w:rsidR="006C4C15">
        <w:rPr>
          <w:rFonts w:hint="cs"/>
          <w:rtl/>
        </w:rPr>
        <w:t xml:space="preserve"> עמ' 28</w:t>
      </w:r>
      <w:r w:rsidR="00992C0F">
        <w:rPr>
          <w:rFonts w:hint="cs"/>
          <w:rtl/>
        </w:rPr>
        <w:t xml:space="preserve"> </w:t>
      </w:r>
      <w:r w:rsidR="00E4528D">
        <w:rPr>
          <w:rFonts w:hint="cs"/>
          <w:rtl/>
        </w:rPr>
        <w:t xml:space="preserve">כשהוא </w:t>
      </w:r>
      <w:r w:rsidR="006A5935">
        <w:rPr>
          <w:rFonts w:hint="cs"/>
          <w:rtl/>
        </w:rPr>
        <w:t xml:space="preserve">מביא את שורש עולם האידיאות </w:t>
      </w:r>
      <w:r w:rsidR="006C4C15">
        <w:rPr>
          <w:rFonts w:hint="cs"/>
          <w:rtl/>
        </w:rPr>
        <w:t xml:space="preserve">המופשטות </w:t>
      </w:r>
      <w:r w:rsidR="006A5935">
        <w:rPr>
          <w:rFonts w:hint="cs"/>
          <w:rtl/>
        </w:rPr>
        <w:t>שהוא השכל הנפרד</w:t>
      </w:r>
      <w:r w:rsidR="006C4C15">
        <w:rPr>
          <w:rFonts w:hint="cs"/>
          <w:rtl/>
        </w:rPr>
        <w:t xml:space="preserve"> שהוא הדוגמה לפיה נעשה העולם החומרי, כתב:</w:t>
      </w:r>
      <w:r w:rsidR="006A5935">
        <w:rPr>
          <w:rFonts w:hint="cs"/>
          <w:rtl/>
        </w:rPr>
        <w:t xml:space="preserve"> "</w:t>
      </w:r>
      <w:r w:rsidR="00097DC8" w:rsidRPr="00097DC8">
        <w:rPr>
          <w:rtl/>
        </w:rPr>
        <w:t>ואילו אביו ויוצרו של הכול הלזה - קשה למצאו</w:t>
      </w:r>
      <w:r w:rsidR="00400B73">
        <w:rPr>
          <w:rFonts w:hint="cs"/>
          <w:rtl/>
        </w:rPr>
        <w:t>;</w:t>
      </w:r>
      <w:r w:rsidR="00097DC8" w:rsidRPr="00097DC8">
        <w:rPr>
          <w:rtl/>
        </w:rPr>
        <w:t xml:space="preserve"> ומי שמצאו, אי אפשר לו שיגידנו באזני כל בני אדם.</w:t>
      </w:r>
      <w:r w:rsidR="006A5935">
        <w:rPr>
          <w:rFonts w:hint="cs"/>
          <w:rtl/>
        </w:rPr>
        <w:t>"</w:t>
      </w:r>
      <w:r w:rsidR="00400B73">
        <w:rPr>
          <w:rFonts w:hint="cs"/>
          <w:rtl/>
        </w:rPr>
        <w:t xml:space="preserve"> וממהלך דבריו שם ברור שהכוונה לאין סוף שהוא סיבת מציאותו של הצמצום</w:t>
      </w:r>
      <w:r w:rsidR="001E0B2C">
        <w:rPr>
          <w:rFonts w:hint="cs"/>
          <w:rtl/>
        </w:rPr>
        <w:t>. בדברי אפלטון על הצמצום עיין גם בסופסטן</w:t>
      </w:r>
      <w:r w:rsidR="00170AA9">
        <w:rPr>
          <w:rFonts w:hint="cs"/>
          <w:rtl/>
        </w:rPr>
        <w:t xml:space="preserve"> דף 259</w:t>
      </w:r>
      <w:r w:rsidR="00E4528D">
        <w:rPr>
          <w:rFonts w:hint="cs"/>
          <w:rtl/>
        </w:rPr>
        <w:t>)</w:t>
      </w:r>
      <w:r w:rsidR="00947453">
        <w:rPr>
          <w:rFonts w:hint="cs"/>
          <w:rtl/>
        </w:rPr>
        <w:t>.</w:t>
      </w:r>
      <w:r w:rsidR="00C04012">
        <w:rPr>
          <w:rFonts w:hint="cs"/>
          <w:rtl/>
        </w:rPr>
        <w:t xml:space="preserve"> הארכתי בזה ב</w:t>
      </w:r>
      <w:hyperlink r:id="rId140" w:history="1">
        <w:r w:rsidR="00C04012" w:rsidRPr="008D2818">
          <w:rPr>
            <w:rStyle w:val="Hyperlink"/>
            <w:rFonts w:hint="cs"/>
            <w:rtl/>
          </w:rPr>
          <w:t>שיעורים על מורה נבוכים</w:t>
        </w:r>
      </w:hyperlink>
      <w:r w:rsidR="00C04012">
        <w:rPr>
          <w:rFonts w:hint="cs"/>
          <w:rtl/>
        </w:rPr>
        <w:t xml:space="preserve"> בכמה שיעורים (אפשר למצוא שם לפי חיפוש בתגיות</w:t>
      </w:r>
      <w:r w:rsidR="008D2818">
        <w:rPr>
          <w:rFonts w:hint="cs"/>
          <w:rtl/>
        </w:rPr>
        <w:t>).</w:t>
      </w:r>
      <w:r w:rsidR="007009C5">
        <w:rPr>
          <w:rFonts w:hint="cs"/>
          <w:rtl/>
        </w:rPr>
        <w:t xml:space="preserve"> השפע שמקיים את הטבע מגיע בשתי דרכים, האחת </w:t>
      </w:r>
      <w:r w:rsidR="00C614C5">
        <w:rPr>
          <w:rFonts w:hint="cs"/>
          <w:rtl/>
        </w:rPr>
        <w:t>החומר שמתחיל מהגלגל החיצון ומשת</w:t>
      </w:r>
      <w:r w:rsidR="00C53304">
        <w:rPr>
          <w:rFonts w:hint="cs"/>
          <w:rtl/>
        </w:rPr>
        <w:t xml:space="preserve">לשל </w:t>
      </w:r>
      <w:r w:rsidR="00C614C5">
        <w:rPr>
          <w:rFonts w:hint="cs"/>
          <w:rtl/>
        </w:rPr>
        <w:t>עד החומר של כל העצמים, והצורה ש</w:t>
      </w:r>
      <w:r w:rsidR="00C53304">
        <w:rPr>
          <w:rFonts w:hint="cs"/>
          <w:rtl/>
        </w:rPr>
        <w:t xml:space="preserve">מאירה מהשכלים הנפרדים. נותן הצורה בעולם הוא השכל </w:t>
      </w:r>
      <w:r w:rsidR="003B16BB">
        <w:rPr>
          <w:rFonts w:hint="cs"/>
          <w:rtl/>
        </w:rPr>
        <w:t>ה</w:t>
      </w:r>
      <w:r w:rsidR="002F1AAD" w:rsidRPr="002F1AAD">
        <w:rPr>
          <w:rtl/>
        </w:rPr>
        <w:t>פּוֹעֵל</w:t>
      </w:r>
      <w:r w:rsidR="00C53304">
        <w:rPr>
          <w:rFonts w:hint="cs"/>
          <w:rtl/>
        </w:rPr>
        <w:t xml:space="preserve"> שהוא אחד מהשכלים הנפרדים, והוא ספירת מלכות שדיברו בה חכמי הקבלה. </w:t>
      </w:r>
      <w:r w:rsidR="003B16BB">
        <w:rPr>
          <w:rFonts w:hint="cs"/>
          <w:rtl/>
        </w:rPr>
        <w:t>במורה נבוכים א' ע"ב מבאר עניין זה היטב, וכתבתי ביאור ב</w:t>
      </w:r>
      <w:r w:rsidR="007A133E">
        <w:rPr>
          <w:rFonts w:hint="cs"/>
          <w:rtl/>
        </w:rPr>
        <w:t>דבריו</w:t>
      </w:r>
      <w:r w:rsidR="003B16BB">
        <w:rPr>
          <w:rFonts w:hint="cs"/>
          <w:rtl/>
        </w:rPr>
        <w:t xml:space="preserve"> ב</w:t>
      </w:r>
      <w:hyperlink r:id="rId141" w:history="1">
        <w:r w:rsidR="003B16BB" w:rsidRPr="007A133E">
          <w:rPr>
            <w:rStyle w:val="Hyperlink"/>
            <w:rFonts w:hint="cs"/>
            <w:rtl/>
          </w:rPr>
          <w:t>הערות על הפשט של המורה נבוכים</w:t>
        </w:r>
      </w:hyperlink>
      <w:r w:rsidR="00D62805">
        <w:rPr>
          <w:rFonts w:hint="cs"/>
          <w:rtl/>
        </w:rPr>
        <w:t>.</w:t>
      </w:r>
    </w:p>
  </w:footnote>
  <w:footnote w:id="688">
    <w:p w14:paraId="1830689F" w14:textId="13B51096" w:rsidR="00B42F90" w:rsidRPr="00410AD3" w:rsidRDefault="00B42F90">
      <w:pPr>
        <w:pStyle w:val="FootnoteText"/>
      </w:pPr>
      <w:r>
        <w:rPr>
          <w:rStyle w:val="FootnoteReference"/>
        </w:rPr>
        <w:footnoteRef/>
      </w:r>
      <w:r>
        <w:rPr>
          <w:rtl/>
        </w:rPr>
        <w:t xml:space="preserve"> </w:t>
      </w:r>
      <w:r w:rsidR="00993E62" w:rsidRPr="00410AD3">
        <w:rPr>
          <w:rtl/>
        </w:rPr>
        <w:t xml:space="preserve">במקור </w:t>
      </w:r>
      <w:r w:rsidR="00993E62" w:rsidRPr="00410AD3">
        <w:rPr>
          <w:rFonts w:ascii="Arial" w:hAnsi="Arial" w:cs="Arial" w:hint="cs"/>
          <w:rtl/>
          <w:lang w:bidi="ar-SA"/>
        </w:rPr>
        <w:t>المادة</w:t>
      </w:r>
      <w:r w:rsidR="00993E62" w:rsidRPr="00410AD3">
        <w:rPr>
          <w:rtl/>
        </w:rPr>
        <w:t>, (</w:t>
      </w:r>
      <w:r w:rsidR="00993E62" w:rsidRPr="00410AD3">
        <w:rPr>
          <w:rtl/>
        </w:rPr>
        <w:t>מאד</w:t>
      </w:r>
      <w:r w:rsidR="00030988" w:rsidRPr="00410AD3">
        <w:rPr>
          <w:rtl/>
        </w:rPr>
        <w:t>א</w:t>
      </w:r>
      <w:r w:rsidR="00993E62" w:rsidRPr="00410AD3">
        <w:rPr>
          <w:rtl/>
        </w:rPr>
        <w:t xml:space="preserve">), </w:t>
      </w:r>
      <w:r w:rsidR="00D93AE9" w:rsidRPr="00410AD3">
        <w:rPr>
          <w:rtl/>
        </w:rPr>
        <w:t>לא מדובר כאן דווקא על החומר הראשון ש</w:t>
      </w:r>
      <w:r w:rsidR="00030988" w:rsidRPr="00410AD3">
        <w:rPr>
          <w:rtl/>
        </w:rPr>
        <w:t>אבן סינא קורא</w:t>
      </w:r>
      <w:r w:rsidR="00410AD3" w:rsidRPr="00410AD3">
        <w:rPr>
          <w:rtl/>
        </w:rPr>
        <w:t xml:space="preserve"> </w:t>
      </w:r>
      <w:r w:rsidR="00030988" w:rsidRPr="00410AD3">
        <w:rPr>
          <w:rtl/>
        </w:rPr>
        <w:t>לו</w:t>
      </w:r>
      <w:r w:rsidR="00D93AE9" w:rsidRPr="00410AD3">
        <w:rPr>
          <w:rtl/>
        </w:rPr>
        <w:t xml:space="preserve"> 'היולי', אלא על </w:t>
      </w:r>
      <w:r w:rsidR="00554948">
        <w:rPr>
          <w:rFonts w:hint="cs"/>
          <w:rtl/>
        </w:rPr>
        <w:t>'</w:t>
      </w:r>
      <w:r w:rsidR="00D93AE9" w:rsidRPr="00410AD3">
        <w:rPr>
          <w:rtl/>
        </w:rPr>
        <w:t>חומר</w:t>
      </w:r>
      <w:r w:rsidR="00554948">
        <w:rPr>
          <w:rFonts w:hint="cs"/>
          <w:rtl/>
        </w:rPr>
        <w:t>'</w:t>
      </w:r>
      <w:r w:rsidR="00D93AE9" w:rsidRPr="00410AD3">
        <w:rPr>
          <w:rtl/>
        </w:rPr>
        <w:t xml:space="preserve"> במובן כללי שכולל כל חומר של כל עצם. </w:t>
      </w:r>
    </w:p>
  </w:footnote>
  <w:footnote w:id="689">
    <w:p w14:paraId="48C14887" w14:textId="0FE25E7B" w:rsidR="00A821F3" w:rsidRDefault="00A821F3">
      <w:pPr>
        <w:pStyle w:val="FootnoteText"/>
      </w:pPr>
      <w:r>
        <w:rPr>
          <w:rStyle w:val="FootnoteReference"/>
        </w:rPr>
        <w:footnoteRef/>
      </w:r>
      <w:r>
        <w:rPr>
          <w:rtl/>
        </w:rPr>
        <w:t xml:space="preserve"> </w:t>
      </w:r>
      <w:r>
        <w:rPr>
          <w:rFonts w:hint="cs"/>
          <w:rtl/>
        </w:rPr>
        <w:t>כלומר ה</w:t>
      </w:r>
      <w:r w:rsidR="00884A59">
        <w:rPr>
          <w:rFonts w:hint="cs"/>
          <w:rtl/>
        </w:rPr>
        <w:t>עצם הטבעי שמחובר מחומר וצורה מאוחדים</w:t>
      </w:r>
      <w:r>
        <w:rPr>
          <w:rFonts w:hint="cs"/>
          <w:rtl/>
        </w:rPr>
        <w:t>.</w:t>
      </w:r>
    </w:p>
  </w:footnote>
  <w:footnote w:id="690">
    <w:p w14:paraId="02116E3B" w14:textId="23DADE30" w:rsidR="008E71E0" w:rsidRDefault="00A821F3">
      <w:pPr>
        <w:pStyle w:val="FootnoteText"/>
        <w:rPr>
          <w:rtl/>
        </w:rPr>
      </w:pPr>
      <w:r>
        <w:rPr>
          <w:rStyle w:val="FootnoteReference"/>
        </w:rPr>
        <w:footnoteRef/>
      </w:r>
      <w:r>
        <w:rPr>
          <w:rtl/>
        </w:rPr>
        <w:t xml:space="preserve"> </w:t>
      </w:r>
      <w:r w:rsidR="003C2CBB">
        <w:rPr>
          <w:rFonts w:hint="cs"/>
          <w:rtl/>
        </w:rPr>
        <w:t>ה</w:t>
      </w:r>
      <w:r w:rsidR="00DE4760">
        <w:rPr>
          <w:rFonts w:hint="cs"/>
          <w:rtl/>
        </w:rPr>
        <w:t>עצם הטבעי</w:t>
      </w:r>
      <w:r w:rsidR="003C2CBB">
        <w:rPr>
          <w:rFonts w:hint="cs"/>
          <w:rtl/>
        </w:rPr>
        <w:t xml:space="preserve"> קוד</w:t>
      </w:r>
      <w:r w:rsidR="00DE4760">
        <w:rPr>
          <w:rFonts w:hint="cs"/>
          <w:rtl/>
        </w:rPr>
        <w:t>ם</w:t>
      </w:r>
      <w:r w:rsidR="003C2CBB">
        <w:rPr>
          <w:rFonts w:hint="cs"/>
          <w:rtl/>
        </w:rPr>
        <w:t xml:space="preserve"> לחומר בסדר </w:t>
      </w:r>
      <w:r w:rsidR="00DE4760">
        <w:rPr>
          <w:rFonts w:hint="cs"/>
          <w:rtl/>
        </w:rPr>
        <w:t>ההוויה</w:t>
      </w:r>
      <w:r w:rsidR="003C2CBB">
        <w:rPr>
          <w:rFonts w:hint="cs"/>
          <w:rtl/>
        </w:rPr>
        <w:t xml:space="preserve"> כי סיבת מציאותו</w:t>
      </w:r>
      <w:r w:rsidR="00DE4760">
        <w:rPr>
          <w:rFonts w:hint="cs"/>
          <w:rtl/>
        </w:rPr>
        <w:t xml:space="preserve"> הראשונה של העצם היא צורתו, </w:t>
      </w:r>
      <w:r w:rsidR="00C032E5">
        <w:rPr>
          <w:rFonts w:hint="cs"/>
          <w:rtl/>
        </w:rPr>
        <w:t xml:space="preserve">ומה שהצורה נעשתה עצם </w:t>
      </w:r>
      <w:r w:rsidR="00C37AD9">
        <w:rPr>
          <w:rFonts w:hint="cs"/>
          <w:rtl/>
        </w:rPr>
        <w:t>פירושו שהיא גילתה את עצמה כחומר</w:t>
      </w:r>
      <w:r w:rsidR="00D47C2C">
        <w:rPr>
          <w:rFonts w:hint="cs"/>
          <w:rtl/>
        </w:rPr>
        <w:t xml:space="preserve"> (</w:t>
      </w:r>
      <w:r w:rsidR="00DD0178">
        <w:rPr>
          <w:rFonts w:hint="cs"/>
          <w:rtl/>
        </w:rPr>
        <w:t>כל</w:t>
      </w:r>
      <w:r w:rsidR="00D47C2C">
        <w:rPr>
          <w:rFonts w:hint="cs"/>
          <w:rtl/>
        </w:rPr>
        <w:t>ומר בע</w:t>
      </w:r>
      <w:r w:rsidR="00DD0178">
        <w:rPr>
          <w:rFonts w:hint="cs"/>
          <w:rtl/>
        </w:rPr>
        <w:t>ל</w:t>
      </w:r>
      <w:r w:rsidR="00D47C2C">
        <w:rPr>
          <w:rFonts w:hint="cs"/>
          <w:rtl/>
        </w:rPr>
        <w:t xml:space="preserve"> צורה, כלומר עצם טבעי)</w:t>
      </w:r>
      <w:r w:rsidR="003C2CBB">
        <w:rPr>
          <w:rFonts w:hint="cs"/>
          <w:rtl/>
        </w:rPr>
        <w:t>.</w:t>
      </w:r>
      <w:r w:rsidR="00DA373C">
        <w:rPr>
          <w:rFonts w:hint="cs"/>
          <w:rtl/>
        </w:rPr>
        <w:t xml:space="preserve"> על דרך שכתב אלפראבי שהגלגל החומרי הוא בחינה של השכל הנפרד, </w:t>
      </w:r>
      <w:r w:rsidR="004E3845">
        <w:rPr>
          <w:rFonts w:hint="cs"/>
          <w:rtl/>
        </w:rPr>
        <w:t xml:space="preserve">כלומר </w:t>
      </w:r>
      <w:r w:rsidR="00DA373C">
        <w:rPr>
          <w:rFonts w:hint="cs"/>
          <w:rtl/>
        </w:rPr>
        <w:t xml:space="preserve">כשהשכל הנפרד משיג את חסרונו </w:t>
      </w:r>
      <w:r w:rsidR="004E3845">
        <w:rPr>
          <w:rFonts w:hint="cs"/>
          <w:rtl/>
        </w:rPr>
        <w:t>בהשוואה לבורא אז הוא בבחינת חומר.</w:t>
      </w:r>
      <w:r w:rsidR="00822F19">
        <w:rPr>
          <w:rFonts w:hint="cs"/>
          <w:rtl/>
        </w:rPr>
        <w:t xml:space="preserve"> ההגדרה של חומר היא שהצורה מגלה את עצמה</w:t>
      </w:r>
      <w:r w:rsidR="00442CE7">
        <w:rPr>
          <w:rFonts w:hint="cs"/>
          <w:rtl/>
        </w:rPr>
        <w:t xml:space="preserve"> גם לכח הדמיון והחושים ולא רק לשכל</w:t>
      </w:r>
      <w:r w:rsidR="00822F19">
        <w:rPr>
          <w:rFonts w:hint="cs"/>
          <w:rtl/>
        </w:rPr>
        <w:t xml:space="preserve">, החומר הוא בחינה של הצורה ולא דבר שקיים בפני עצמו. </w:t>
      </w:r>
      <w:r w:rsidR="00EB45E8">
        <w:rPr>
          <w:rFonts w:hint="cs"/>
          <w:rtl/>
        </w:rPr>
        <w:t>עיין ב</w:t>
      </w:r>
      <w:hyperlink r:id="rId142" w:history="1">
        <w:r w:rsidR="00EB45E8" w:rsidRPr="006964C8">
          <w:rPr>
            <w:rStyle w:val="Hyperlink"/>
            <w:rFonts w:hint="cs"/>
            <w:rtl/>
          </w:rPr>
          <w:t>ספר ה</w:t>
        </w:r>
        <w:r w:rsidR="006964C8" w:rsidRPr="006964C8">
          <w:rPr>
            <w:rStyle w:val="Hyperlink"/>
            <w:rFonts w:hint="cs"/>
            <w:rtl/>
          </w:rPr>
          <w:t>תחלות הנמצאות</w:t>
        </w:r>
      </w:hyperlink>
      <w:r w:rsidR="006964C8">
        <w:rPr>
          <w:rFonts w:hint="cs"/>
          <w:rtl/>
        </w:rPr>
        <w:t xml:space="preserve"> מאת אלפראבי בעמודים הראשונים שמבאר עניין זה</w:t>
      </w:r>
      <w:r w:rsidR="00AA75F0">
        <w:rPr>
          <w:rFonts w:hint="cs"/>
          <w:rtl/>
        </w:rPr>
        <w:t xml:space="preserve"> ובעיונים בפילוסופיה אריסטוטלית </w:t>
      </w:r>
      <w:hyperlink r:id="rId143" w:history="1">
        <w:r w:rsidR="00AA75F0" w:rsidRPr="00A91BB6">
          <w:rPr>
            <w:rStyle w:val="Hyperlink"/>
            <w:rFonts w:hint="cs"/>
            <w:rtl/>
          </w:rPr>
          <w:t xml:space="preserve">רשימה </w:t>
        </w:r>
        <w:r w:rsidR="00A91BB6" w:rsidRPr="00A91BB6">
          <w:rPr>
            <w:rStyle w:val="Hyperlink"/>
            <w:rFonts w:hint="cs"/>
            <w:rtl/>
          </w:rPr>
          <w:t>69</w:t>
        </w:r>
      </w:hyperlink>
      <w:r w:rsidR="00A91BB6">
        <w:rPr>
          <w:rFonts w:hint="cs"/>
          <w:rtl/>
        </w:rPr>
        <w:t xml:space="preserve"> כתבתי ביאור בדבריו</w:t>
      </w:r>
      <w:r w:rsidR="006964C8">
        <w:rPr>
          <w:rFonts w:hint="cs"/>
          <w:rtl/>
        </w:rPr>
        <w:t xml:space="preserve">. </w:t>
      </w:r>
    </w:p>
    <w:p w14:paraId="7ED65D23" w14:textId="2EAC2689" w:rsidR="00EC1B00" w:rsidRDefault="008E71E0">
      <w:pPr>
        <w:pStyle w:val="FootnoteText"/>
        <w:rPr>
          <w:rtl/>
        </w:rPr>
      </w:pPr>
      <w:r>
        <w:rPr>
          <w:rFonts w:hint="cs"/>
          <w:rtl/>
        </w:rPr>
        <w:t>מה שהחומר הראשון אינו קיים בפני עצמו</w:t>
      </w:r>
      <w:r w:rsidR="00DA44D0">
        <w:rPr>
          <w:rtl/>
        </w:rPr>
        <w:fldChar w:fldCharType="begin"/>
      </w:r>
      <w:r w:rsidR="00DA44D0">
        <w:instrText xml:space="preserve"> XE "</w:instrText>
      </w:r>
      <w:r w:rsidR="00DA44D0" w:rsidRPr="00F3709C">
        <w:rPr>
          <w:rFonts w:hint="cs"/>
          <w:rtl/>
        </w:rPr>
        <w:instrText>החומר הראשון - אינו קיים בפני עצמו</w:instrText>
      </w:r>
      <w:r w:rsidR="00DA44D0">
        <w:instrText xml:space="preserve">" </w:instrText>
      </w:r>
      <w:r w:rsidR="00DA44D0">
        <w:rPr>
          <w:rtl/>
        </w:rPr>
        <w:fldChar w:fldCharType="end"/>
      </w:r>
      <w:r>
        <w:rPr>
          <w:rFonts w:hint="cs"/>
          <w:rtl/>
        </w:rPr>
        <w:t xml:space="preserve"> זה משום שאין בו שום צורה, ולכן אין בו שום מהות ושום הגדרה.</w:t>
      </w:r>
      <w:r w:rsidR="00CB6DF0">
        <w:rPr>
          <w:rFonts w:hint="cs"/>
          <w:rtl/>
        </w:rPr>
        <w:t xml:space="preserve"> הבורא עצמו אין בו שום הגדרה ומהות וצורה, אנחנו משיגים בו רק ישות בלא מהות</w:t>
      </w:r>
      <w:r w:rsidR="003933C4">
        <w:rPr>
          <w:rFonts w:hint="cs"/>
          <w:rtl/>
        </w:rPr>
        <w:t xml:space="preserve"> (כמו שכתב המורה נבוכים </w:t>
      </w:r>
      <w:r w:rsidR="00204A7A">
        <w:rPr>
          <w:rFonts w:hint="cs"/>
          <w:rtl/>
        </w:rPr>
        <w:t>א' נ"ח)</w:t>
      </w:r>
      <w:r w:rsidR="00CB6DF0">
        <w:rPr>
          <w:rFonts w:hint="cs"/>
          <w:rtl/>
        </w:rPr>
        <w:t xml:space="preserve">. אנו יודעים שהוא נמצא אבל איננו יודעים מה נמצא, לא רק </w:t>
      </w:r>
      <w:r w:rsidR="00204A7A">
        <w:rPr>
          <w:rFonts w:hint="cs"/>
          <w:rtl/>
        </w:rPr>
        <w:t xml:space="preserve">שאנו </w:t>
      </w:r>
      <w:r w:rsidR="00CB6DF0">
        <w:rPr>
          <w:rFonts w:hint="cs"/>
          <w:rtl/>
        </w:rPr>
        <w:t xml:space="preserve">איננו יודעים אלא </w:t>
      </w:r>
      <w:r w:rsidR="00495FD9">
        <w:rPr>
          <w:rFonts w:hint="cs"/>
          <w:rtl/>
        </w:rPr>
        <w:t xml:space="preserve">מצד עצמו אין מה לדעת, כי אין בו הגדרות והוא אין סוף אחד באחדות פשוטה מוחלטת מכל צד. </w:t>
      </w:r>
      <w:r w:rsidR="00794352">
        <w:rPr>
          <w:rFonts w:hint="cs"/>
          <w:rtl/>
        </w:rPr>
        <w:t>החומר הראשון דומה לבורא בעניין זה שגם הוא אין לו מהות ושום הגדרה והוא אין סוף פשוט מוחלט מכל צד</w:t>
      </w:r>
      <w:r w:rsidR="00655F50">
        <w:rPr>
          <w:rFonts w:hint="cs"/>
          <w:rtl/>
        </w:rPr>
        <w:t xml:space="preserve"> (במורה נבוכים א' ה</w:t>
      </w:r>
      <w:r w:rsidR="00365A9F">
        <w:rPr>
          <w:rFonts w:hint="cs"/>
          <w:rtl/>
        </w:rPr>
        <w:t>', וא' כ"ח, כתב שאצילי בני ישראל השיגו את החומר הראשון וסברו שהם משיגים את הבורא עצמו)</w:t>
      </w:r>
      <w:r w:rsidR="00794352">
        <w:rPr>
          <w:rFonts w:hint="cs"/>
          <w:rtl/>
        </w:rPr>
        <w:t xml:space="preserve">. רק שהבורא הוא המציאות כשלעצמה, הוא סיבת המציאות והכרחי המציאות </w:t>
      </w:r>
      <w:r w:rsidR="00B50D11">
        <w:rPr>
          <w:rFonts w:hint="cs"/>
          <w:rtl/>
        </w:rPr>
        <w:t xml:space="preserve">ולכן אע"פ שאיננו משיגים לו מהות אנו משיגים ישותו. החומר הראשון אינו סיבת המציאות של עצמו, הוא נברא, ולכן </w:t>
      </w:r>
      <w:r w:rsidR="008E472B">
        <w:rPr>
          <w:rFonts w:hint="cs"/>
          <w:rtl/>
        </w:rPr>
        <w:t xml:space="preserve">אם אין לו מהות, אין הגדרה מה נברא, </w:t>
      </w:r>
      <w:r w:rsidR="00781C32">
        <w:rPr>
          <w:rFonts w:hint="cs"/>
          <w:rtl/>
        </w:rPr>
        <w:t xml:space="preserve">ואם כן </w:t>
      </w:r>
      <w:r w:rsidR="008E472B">
        <w:rPr>
          <w:rFonts w:hint="cs"/>
          <w:rtl/>
        </w:rPr>
        <w:t xml:space="preserve">לא ברור שיש לו מציאות כלל. </w:t>
      </w:r>
      <w:r w:rsidR="009A5260">
        <w:rPr>
          <w:rFonts w:hint="cs"/>
          <w:rtl/>
        </w:rPr>
        <w:t xml:space="preserve">אפלטון </w:t>
      </w:r>
      <w:r w:rsidR="009A5260">
        <w:rPr>
          <w:rFonts w:hint="cs"/>
          <w:rtl/>
        </w:rPr>
        <w:t xml:space="preserve">בטימיאוס </w:t>
      </w:r>
      <w:r w:rsidR="00DE7ADC">
        <w:rPr>
          <w:rFonts w:hint="cs"/>
          <w:rtl/>
        </w:rPr>
        <w:t>(</w:t>
      </w:r>
      <w:r w:rsidR="00EC1B00">
        <w:rPr>
          <w:rFonts w:hint="cs"/>
          <w:rtl/>
        </w:rPr>
        <w:t>מ</w:t>
      </w:r>
      <w:r w:rsidR="009A5260">
        <w:rPr>
          <w:rFonts w:hint="cs"/>
          <w:rtl/>
        </w:rPr>
        <w:t xml:space="preserve">דף </w:t>
      </w:r>
      <w:r w:rsidR="00EC1B00">
        <w:rPr>
          <w:rFonts w:hint="cs"/>
          <w:rtl/>
        </w:rPr>
        <w:t>48</w:t>
      </w:r>
      <w:r w:rsidR="00DE7ADC">
        <w:rPr>
          <w:rFonts w:hint="cs"/>
          <w:rtl/>
        </w:rPr>
        <w:t xml:space="preserve"> והלאה)</w:t>
      </w:r>
      <w:r w:rsidR="00EC1B00">
        <w:rPr>
          <w:rFonts w:hint="cs"/>
          <w:rtl/>
        </w:rPr>
        <w:t xml:space="preserve"> כתב על זה:</w:t>
      </w:r>
    </w:p>
    <w:p w14:paraId="7D6A1728" w14:textId="57EC1D8E" w:rsidR="006D492A" w:rsidRDefault="00EC1B00" w:rsidP="007B04AC">
      <w:pPr>
        <w:pStyle w:val="FootnoteText"/>
        <w:rPr>
          <w:rtl/>
        </w:rPr>
      </w:pPr>
      <w:r>
        <w:rPr>
          <w:rFonts w:hint="cs"/>
          <w:rtl/>
        </w:rPr>
        <w:t>"</w:t>
      </w:r>
      <w:r w:rsidR="006D492A">
        <w:rPr>
          <w:rtl/>
        </w:rPr>
        <w:t>אולם עכשיו, כנראה, מכריחנו הגיון הדברים שנשתדל לגלות בדברינו מין נוסף</w:t>
      </w:r>
      <w:r w:rsidR="007B04AC">
        <w:rPr>
          <w:rFonts w:hint="cs"/>
          <w:rtl/>
        </w:rPr>
        <w:t xml:space="preserve"> [נוסף על עולם האידיאות המופשטות שהוא נצחי וקבוע, הוא השכלים הנפרדים, והצורות של הטבע שמתהוות ממנו</w:t>
      </w:r>
      <w:r w:rsidR="00632945">
        <w:rPr>
          <w:rFonts w:hint="cs"/>
          <w:rtl/>
        </w:rPr>
        <w:t>, והוא החומר הראשון</w:t>
      </w:r>
      <w:r w:rsidR="007B04AC">
        <w:rPr>
          <w:rFonts w:hint="cs"/>
          <w:rtl/>
        </w:rPr>
        <w:t>]</w:t>
      </w:r>
      <w:r w:rsidR="006D492A">
        <w:rPr>
          <w:rtl/>
        </w:rPr>
        <w:t>, מוקשה ומעומעם. מה הוא, אפוא, כוח הפעולה, ואיזה הוא הטבע שיש לייחסו למין ההוא? מכל וכל טבעו הוא כדלהלן: להיות בית קיבול, וכביכול אומנת, של כל התולדה.</w:t>
      </w:r>
    </w:p>
    <w:p w14:paraId="6A074B45" w14:textId="77777777" w:rsidR="006D492A" w:rsidRDefault="006D492A" w:rsidP="006D492A">
      <w:pPr>
        <w:pStyle w:val="FootnoteText"/>
        <w:rPr>
          <w:rtl/>
        </w:rPr>
      </w:pPr>
      <w:r>
        <w:rPr>
          <w:rtl/>
        </w:rPr>
        <w:t>[...]</w:t>
      </w:r>
    </w:p>
    <w:p w14:paraId="6DF60DB1" w14:textId="00DEF73F" w:rsidR="00A821F3" w:rsidRDefault="006D492A" w:rsidP="006D492A">
      <w:pPr>
        <w:pStyle w:val="FootnoteText"/>
      </w:pPr>
      <w:r>
        <w:rPr>
          <w:rtl/>
        </w:rPr>
        <w:t>שלישי הוא החלל אשר קיים לעולם ונמנע ממנו כליון</w:t>
      </w:r>
      <w:r w:rsidR="00632945">
        <w:rPr>
          <w:rFonts w:hint="cs"/>
          <w:rtl/>
        </w:rPr>
        <w:t xml:space="preserve"> [החומר הראשון מצד עצמו בהכרח נצחי, כי אם אין בו צורות ולכן לא שום הגדרה, לא יתכן בו שינוי, ואם אין בו שינוי הרי אינו יכול להיפסד]</w:t>
      </w:r>
      <w:r>
        <w:rPr>
          <w:rtl/>
        </w:rPr>
        <w:t xml:space="preserve">; הוא ממציא משכן לכל המתהווה; ואותו משיג - בלא תחושה - שיקול דעת </w:t>
      </w:r>
      <w:r w:rsidR="005677CF">
        <w:rPr>
          <w:rFonts w:hint="cs"/>
          <w:rtl/>
        </w:rPr>
        <w:t>מסוים</w:t>
      </w:r>
      <w:r>
        <w:rPr>
          <w:rtl/>
        </w:rPr>
        <w:t xml:space="preserve"> שאינו כשר מלידה [כלומר ממזר]; אך כמעט לא ייתכן לראות בו ענין לאמונה</w:t>
      </w:r>
      <w:r w:rsidR="00ED437C">
        <w:rPr>
          <w:rFonts w:hint="cs"/>
          <w:rtl/>
        </w:rPr>
        <w:t xml:space="preserve"> [הכוונה ידיעה ברורה]</w:t>
      </w:r>
      <w:r>
        <w:rPr>
          <w:rtl/>
        </w:rPr>
        <w:t>. והוא הדבר שאנו מביטים אלין כבחלום, ואומרים שכל מה שישנו צריך שיהא במקום כלשהו, ומה שאיננו עלי אדמות, ולא באיזה שהוא מקום בשמיים, אינו דבר. ומהיותנו נתונים במצב זה של חלום, אין ביכולתנו להתעורר ולהבחין את ההבחנות האלה ושכמותן, אף לא לגבי אותו טבע שאינו אחוז שינה והקיים קיום אמיתי, ולהגיד את האמת, כדלהלן: מאחר שעצם היסוד שמכוחו נתהווה הצלם [הכוונה לעצם שמורכב מחומר וצורה, ואפלטון קורא לו כאן צלם כי הוא כדמות האידיאות המופשטות, ומציאותו נובעת מהן] אינו שייך לצלם עצמו, והוא תמונתו של מה שהוא אחר [האידיאה המופשטת] המתנועעת תמיד אנה ואנה</w:t>
      </w:r>
      <w:r w:rsidR="00BE7B50">
        <w:rPr>
          <w:rFonts w:hint="cs"/>
          <w:rtl/>
        </w:rPr>
        <w:t xml:space="preserve"> [התמונה של האידי</w:t>
      </w:r>
      <w:r w:rsidR="009440ED">
        <w:rPr>
          <w:rFonts w:hint="cs"/>
          <w:rtl/>
        </w:rPr>
        <w:t>א</w:t>
      </w:r>
      <w:r w:rsidR="00BE7B50">
        <w:rPr>
          <w:rFonts w:hint="cs"/>
          <w:rtl/>
        </w:rPr>
        <w:t>ה</w:t>
      </w:r>
      <w:r w:rsidR="009440ED">
        <w:rPr>
          <w:rFonts w:hint="cs"/>
          <w:rtl/>
        </w:rPr>
        <w:t xml:space="preserve"> (כלומר הצורה)</w:t>
      </w:r>
      <w:r w:rsidR="00BE7B50">
        <w:rPr>
          <w:rFonts w:hint="cs"/>
          <w:rtl/>
        </w:rPr>
        <w:t xml:space="preserve"> מתנועעת, האידיאה בעצמה נצחית]</w:t>
      </w:r>
      <w:r>
        <w:rPr>
          <w:rtl/>
        </w:rPr>
        <w:t>, - משום כך דינו של הצלם הוא, שיתהווה בתוך מה שהוא אחר [ב</w:t>
      </w:r>
      <w:r w:rsidR="009440ED">
        <w:rPr>
          <w:rFonts w:hint="cs"/>
          <w:rtl/>
        </w:rPr>
        <w:t>חומר הראשון</w:t>
      </w:r>
      <w:r>
        <w:rPr>
          <w:rtl/>
        </w:rPr>
        <w:t>], כשבדרך מה הוא נאחז במה שקיים [זה אופן הקיום המוקשה שהסעיף כאן עוסק בו], ולא - כלל לא יהיה הצלם בגדר 'דבר' [כלומר יישאר אידיאה מופשטת שנחשבת כקיימת רק בעולם המופשט ולא בעולם הארצי, הטבע, שבו ההגדרה של קיום היא להיות עצם שהוא צורה מורכבת עם החומר]</w:t>
      </w:r>
      <w:r w:rsidR="00EC1B00">
        <w:rPr>
          <w:rFonts w:hint="cs"/>
          <w:rtl/>
        </w:rPr>
        <w:t>"</w:t>
      </w:r>
      <w:r w:rsidR="00E6048A">
        <w:rPr>
          <w:rFonts w:hint="cs"/>
          <w:rtl/>
        </w:rPr>
        <w:t>. דברי אפלטון אלה הם מה שכתבתי שקשה להבין את הוויית החומר הראשון.</w:t>
      </w:r>
    </w:p>
  </w:footnote>
  <w:footnote w:id="691">
    <w:p w14:paraId="6995484F" w14:textId="16F31EEA" w:rsidR="003C2CBB" w:rsidRDefault="003C2CBB">
      <w:pPr>
        <w:pStyle w:val="FootnoteText"/>
      </w:pPr>
      <w:r>
        <w:rPr>
          <w:rStyle w:val="FootnoteReference"/>
        </w:rPr>
        <w:footnoteRef/>
      </w:r>
      <w:r>
        <w:rPr>
          <w:rtl/>
        </w:rPr>
        <w:t xml:space="preserve"> </w:t>
      </w:r>
      <w:r w:rsidR="00EF4B62">
        <w:rPr>
          <w:rFonts w:hint="cs"/>
          <w:rtl/>
        </w:rPr>
        <w:t xml:space="preserve">"המציאות" היא העצם הטבעי, "ההתחלות האחרות" הן </w:t>
      </w:r>
      <w:r w:rsidR="006E05C5">
        <w:rPr>
          <w:rFonts w:hint="cs"/>
          <w:rtl/>
        </w:rPr>
        <w:t>הצורה.</w:t>
      </w:r>
    </w:p>
  </w:footnote>
  <w:footnote w:id="692">
    <w:p w14:paraId="69A3A4B2" w14:textId="616FF14C" w:rsidR="00C8660D" w:rsidRDefault="00C8660D">
      <w:pPr>
        <w:pStyle w:val="FootnoteText"/>
      </w:pPr>
      <w:r>
        <w:rPr>
          <w:rStyle w:val="FootnoteReference"/>
        </w:rPr>
        <w:footnoteRef/>
      </w:r>
      <w:r>
        <w:rPr>
          <w:rtl/>
        </w:rPr>
        <w:t xml:space="preserve"> </w:t>
      </w:r>
      <w:r>
        <w:rPr>
          <w:rFonts w:hint="cs"/>
          <w:rtl/>
        </w:rPr>
        <w:t>העצם הטבעי.</w:t>
      </w:r>
    </w:p>
  </w:footnote>
  <w:footnote w:id="693">
    <w:p w14:paraId="7DA22E3A" w14:textId="42CD1333" w:rsidR="00841A12" w:rsidRDefault="00841A12">
      <w:pPr>
        <w:pStyle w:val="FootnoteText"/>
      </w:pPr>
      <w:r>
        <w:rPr>
          <w:rStyle w:val="FootnoteReference"/>
        </w:rPr>
        <w:footnoteRef/>
      </w:r>
      <w:r>
        <w:rPr>
          <w:rtl/>
        </w:rPr>
        <w:t xml:space="preserve"> </w:t>
      </w:r>
      <w:r w:rsidR="008E71E0">
        <w:rPr>
          <w:rFonts w:hint="cs"/>
          <w:rtl/>
        </w:rPr>
        <w:t xml:space="preserve">החומר יוצא אל הפועל בכך שהוא מקבל צורה.  </w:t>
      </w:r>
    </w:p>
  </w:footnote>
  <w:footnote w:id="694">
    <w:p w14:paraId="417EAC56" w14:textId="36A26399" w:rsidR="00E33CC8" w:rsidRDefault="00E33CC8">
      <w:pPr>
        <w:pStyle w:val="FootnoteText"/>
      </w:pPr>
      <w:r>
        <w:rPr>
          <w:rStyle w:val="FootnoteReference"/>
        </w:rPr>
        <w:footnoteRef/>
      </w:r>
      <w:r>
        <w:rPr>
          <w:rtl/>
        </w:rPr>
        <w:t xml:space="preserve"> </w:t>
      </w:r>
      <w:r w:rsidR="00C601D3">
        <w:rPr>
          <w:rFonts w:hint="cs"/>
          <w:rtl/>
        </w:rPr>
        <w:t>לא רק הצורה של ה</w:t>
      </w:r>
      <w:r w:rsidR="00740F2C">
        <w:rPr>
          <w:rFonts w:hint="cs"/>
          <w:rtl/>
        </w:rPr>
        <w:t>"</w:t>
      </w:r>
      <w:r w:rsidR="00C601D3">
        <w:rPr>
          <w:rFonts w:hint="cs"/>
          <w:rtl/>
        </w:rPr>
        <w:t>דבר</w:t>
      </w:r>
      <w:r w:rsidR="00740F2C">
        <w:rPr>
          <w:rFonts w:hint="cs"/>
          <w:rtl/>
        </w:rPr>
        <w:t>"</w:t>
      </w:r>
      <w:r w:rsidR="00C601D3">
        <w:rPr>
          <w:rFonts w:hint="cs"/>
          <w:rtl/>
        </w:rPr>
        <w:t xml:space="preserve"> </w:t>
      </w:r>
      <w:r w:rsidR="00655B73">
        <w:rPr>
          <w:rFonts w:hint="cs"/>
          <w:rtl/>
        </w:rPr>
        <w:t>("דבר</w:t>
      </w:r>
      <w:r w:rsidR="002A5188">
        <w:rPr>
          <w:rFonts w:hint="cs"/>
          <w:rtl/>
        </w:rPr>
        <w:t>"</w:t>
      </w:r>
      <w:r w:rsidR="00655B73">
        <w:rPr>
          <w:rFonts w:hint="cs"/>
          <w:rtl/>
        </w:rPr>
        <w:t xml:space="preserve"> דהיינו </w:t>
      </w:r>
      <w:r w:rsidR="00C601D3">
        <w:rPr>
          <w:rFonts w:hint="cs"/>
          <w:rtl/>
        </w:rPr>
        <w:t>העצם הטבעי</w:t>
      </w:r>
      <w:r w:rsidR="00655B73">
        <w:rPr>
          <w:rFonts w:hint="cs"/>
          <w:rtl/>
        </w:rPr>
        <w:t>)</w:t>
      </w:r>
      <w:r w:rsidR="00C601D3">
        <w:rPr>
          <w:rFonts w:hint="cs"/>
          <w:rtl/>
        </w:rPr>
        <w:t xml:space="preserve">, </w:t>
      </w:r>
      <w:r w:rsidR="000557B4">
        <w:rPr>
          <w:rFonts w:hint="cs"/>
          <w:rtl/>
        </w:rPr>
        <w:t xml:space="preserve">נצרכת </w:t>
      </w:r>
      <w:r w:rsidR="00E66E12">
        <w:rPr>
          <w:rFonts w:hint="cs"/>
          <w:rtl/>
        </w:rPr>
        <w:t xml:space="preserve">כדי </w:t>
      </w:r>
      <w:r w:rsidR="000557B4">
        <w:rPr>
          <w:rFonts w:hint="cs"/>
          <w:rtl/>
        </w:rPr>
        <w:t xml:space="preserve">שיתקיים </w:t>
      </w:r>
      <w:r w:rsidR="00740F2C">
        <w:rPr>
          <w:rFonts w:hint="cs"/>
          <w:rtl/>
        </w:rPr>
        <w:t>"</w:t>
      </w:r>
      <w:r w:rsidR="000557B4">
        <w:rPr>
          <w:rFonts w:hint="cs"/>
          <w:rtl/>
        </w:rPr>
        <w:t>דבר אחר</w:t>
      </w:r>
      <w:r w:rsidR="00740F2C">
        <w:rPr>
          <w:rFonts w:hint="cs"/>
          <w:rtl/>
        </w:rPr>
        <w:t>"</w:t>
      </w:r>
      <w:r w:rsidR="000557B4">
        <w:rPr>
          <w:rFonts w:hint="cs"/>
          <w:rtl/>
        </w:rPr>
        <w:t>, כלומר החומר</w:t>
      </w:r>
      <w:r w:rsidR="00306E09">
        <w:rPr>
          <w:rFonts w:hint="cs"/>
          <w:rtl/>
        </w:rPr>
        <w:t xml:space="preserve"> (הצורה</w:t>
      </w:r>
      <w:r w:rsidR="003F554E">
        <w:rPr>
          <w:rFonts w:hint="cs"/>
          <w:rtl/>
        </w:rPr>
        <w:t xml:space="preserve"> </w:t>
      </w:r>
      <w:r w:rsidR="00306E09">
        <w:rPr>
          <w:rFonts w:hint="cs"/>
          <w:rtl/>
        </w:rPr>
        <w:t>צריכה</w:t>
      </w:r>
      <w:r w:rsidR="003F554E">
        <w:rPr>
          <w:rFonts w:hint="cs"/>
          <w:rtl/>
        </w:rPr>
        <w:t xml:space="preserve"> </w:t>
      </w:r>
      <w:r w:rsidR="00306E09">
        <w:rPr>
          <w:rFonts w:hint="cs"/>
          <w:rtl/>
        </w:rPr>
        <w:t xml:space="preserve">את החומר ומשום כך היא </w:t>
      </w:r>
      <w:r w:rsidR="003F554E">
        <w:rPr>
          <w:rFonts w:hint="cs"/>
          <w:rtl/>
        </w:rPr>
        <w:t>סיבה להתהוותו)</w:t>
      </w:r>
      <w:r w:rsidR="000557B4">
        <w:rPr>
          <w:rFonts w:hint="cs"/>
          <w:rtl/>
        </w:rPr>
        <w:t>, אלא יש עוד דברים</w:t>
      </w:r>
      <w:r w:rsidR="00E66E12">
        <w:rPr>
          <w:rFonts w:hint="cs"/>
          <w:rtl/>
        </w:rPr>
        <w:t>,</w:t>
      </w:r>
      <w:r w:rsidR="000557B4">
        <w:rPr>
          <w:rFonts w:hint="cs"/>
          <w:rtl/>
        </w:rPr>
        <w:t xml:space="preserve"> והם המקרים</w:t>
      </w:r>
      <w:r w:rsidR="00E66E12">
        <w:rPr>
          <w:rFonts w:hint="cs"/>
          <w:rtl/>
        </w:rPr>
        <w:t>,</w:t>
      </w:r>
      <w:r w:rsidR="000557B4">
        <w:rPr>
          <w:rFonts w:hint="cs"/>
          <w:rtl/>
        </w:rPr>
        <w:t xml:space="preserve"> שצריכי</w:t>
      </w:r>
      <w:r w:rsidR="003B5B8E">
        <w:rPr>
          <w:rFonts w:hint="cs"/>
          <w:rtl/>
        </w:rPr>
        <w:t>ם חומר ו</w:t>
      </w:r>
      <w:r w:rsidR="003F554E">
        <w:rPr>
          <w:rFonts w:hint="cs"/>
          <w:rtl/>
        </w:rPr>
        <w:t xml:space="preserve">לכן </w:t>
      </w:r>
      <w:r w:rsidR="003B5B8E">
        <w:rPr>
          <w:rFonts w:hint="cs"/>
          <w:rtl/>
        </w:rPr>
        <w:t>הם מקיימים את החומר</w:t>
      </w:r>
      <w:r w:rsidR="004433CF">
        <w:rPr>
          <w:rFonts w:hint="cs"/>
          <w:rtl/>
        </w:rPr>
        <w:t>, גם הם סיבה להתהוותו</w:t>
      </w:r>
      <w:r w:rsidR="000557B4">
        <w:rPr>
          <w:rFonts w:hint="cs"/>
          <w:rtl/>
        </w:rPr>
        <w:t>.</w:t>
      </w:r>
      <w:r w:rsidR="0039545C">
        <w:rPr>
          <w:rFonts w:hint="cs"/>
          <w:rtl/>
        </w:rPr>
        <w:t xml:space="preserve"> למשל הצבע הלבן כשלעצמו אינו עצם, </w:t>
      </w:r>
      <w:r w:rsidR="004433CF">
        <w:rPr>
          <w:rFonts w:hint="cs"/>
          <w:rtl/>
        </w:rPr>
        <w:t xml:space="preserve">אבל הוא </w:t>
      </w:r>
      <w:r w:rsidR="00FF4CD6">
        <w:rPr>
          <w:rFonts w:hint="cs"/>
          <w:rtl/>
        </w:rPr>
        <w:t xml:space="preserve">וודאי </w:t>
      </w:r>
      <w:r w:rsidR="004433CF">
        <w:rPr>
          <w:rFonts w:hint="cs"/>
          <w:rtl/>
        </w:rPr>
        <w:t>קיים</w:t>
      </w:r>
      <w:r w:rsidR="00FF4CD6">
        <w:rPr>
          <w:rFonts w:hint="cs"/>
          <w:rtl/>
        </w:rPr>
        <w:t xml:space="preserve"> בטבע</w:t>
      </w:r>
      <w:r w:rsidR="004433CF">
        <w:rPr>
          <w:rFonts w:hint="cs"/>
          <w:rtl/>
        </w:rPr>
        <w:t xml:space="preserve"> למרות שאי אפש</w:t>
      </w:r>
      <w:r w:rsidR="00FF4CD6">
        <w:rPr>
          <w:rFonts w:hint="cs"/>
          <w:rtl/>
        </w:rPr>
        <w:t>ר</w:t>
      </w:r>
      <w:r w:rsidR="004433CF">
        <w:rPr>
          <w:rFonts w:hint="cs"/>
          <w:rtl/>
        </w:rPr>
        <w:t xml:space="preserve"> להחזיק אותו ביד</w:t>
      </w:r>
      <w:r w:rsidR="00FF4CD6">
        <w:rPr>
          <w:rFonts w:hint="cs"/>
          <w:rtl/>
        </w:rPr>
        <w:t xml:space="preserve">, </w:t>
      </w:r>
      <w:r w:rsidR="0039545C">
        <w:rPr>
          <w:rFonts w:hint="cs"/>
          <w:rtl/>
        </w:rPr>
        <w:t xml:space="preserve">הוא קיים </w:t>
      </w:r>
      <w:r w:rsidR="004433CF">
        <w:rPr>
          <w:rFonts w:hint="cs"/>
          <w:rtl/>
        </w:rPr>
        <w:t>כצבע,</w:t>
      </w:r>
      <w:r w:rsidR="0039545C">
        <w:rPr>
          <w:rFonts w:hint="cs"/>
          <w:rtl/>
        </w:rPr>
        <w:t xml:space="preserve"> </w:t>
      </w:r>
      <w:r w:rsidR="00FF4CD6">
        <w:rPr>
          <w:rFonts w:hint="cs"/>
          <w:rtl/>
        </w:rPr>
        <w:t xml:space="preserve">כאיכות, </w:t>
      </w:r>
      <w:r w:rsidR="0039545C">
        <w:rPr>
          <w:rFonts w:hint="cs"/>
          <w:rtl/>
        </w:rPr>
        <w:t xml:space="preserve">קיומו הוא בדרך </w:t>
      </w:r>
      <w:r w:rsidR="00FF4CD6">
        <w:rPr>
          <w:rFonts w:hint="cs"/>
          <w:rtl/>
        </w:rPr>
        <w:t xml:space="preserve">הקיום </w:t>
      </w:r>
      <w:r w:rsidR="0039545C">
        <w:rPr>
          <w:rFonts w:hint="cs"/>
          <w:rtl/>
        </w:rPr>
        <w:t xml:space="preserve">של קטגוריית האיכות ולא בדרך </w:t>
      </w:r>
      <w:r w:rsidR="00FF4CD6">
        <w:rPr>
          <w:rFonts w:hint="cs"/>
          <w:rtl/>
        </w:rPr>
        <w:t xml:space="preserve">הקיום של </w:t>
      </w:r>
      <w:r w:rsidR="0039545C">
        <w:rPr>
          <w:rFonts w:hint="cs"/>
          <w:rtl/>
        </w:rPr>
        <w:t>של עצם</w:t>
      </w:r>
      <w:r w:rsidR="00B13D5C">
        <w:rPr>
          <w:rFonts w:hint="cs"/>
          <w:rtl/>
        </w:rPr>
        <w:t xml:space="preserve"> (הקטגוריות נקראות הסוגים העליונים כי הן אופני מציאות עצמאיים, ואינן תחת </w:t>
      </w:r>
      <w:r w:rsidR="0084355B">
        <w:rPr>
          <w:rFonts w:hint="cs"/>
          <w:rtl/>
        </w:rPr>
        <w:t>סוג עליון אחר שמכוחו הן נמצאות</w:t>
      </w:r>
      <w:r w:rsidR="00B13D5C">
        <w:rPr>
          <w:rFonts w:hint="cs"/>
          <w:rtl/>
        </w:rPr>
        <w:t>)</w:t>
      </w:r>
      <w:r w:rsidR="0039545C">
        <w:rPr>
          <w:rFonts w:hint="cs"/>
          <w:rtl/>
        </w:rPr>
        <w:t>.</w:t>
      </w:r>
      <w:r w:rsidR="00D829AB">
        <w:rPr>
          <w:rFonts w:hint="cs"/>
          <w:rtl/>
        </w:rPr>
        <w:t xml:space="preserve"> הצבע הלבן צריך שיהיה חומר בעולם כדי שיתקיים</w:t>
      </w:r>
      <w:r w:rsidR="00DE32E3">
        <w:rPr>
          <w:rFonts w:hint="cs"/>
          <w:rtl/>
        </w:rPr>
        <w:t xml:space="preserve"> בקיום </w:t>
      </w:r>
      <w:r w:rsidR="00770C40">
        <w:rPr>
          <w:rFonts w:hint="cs"/>
          <w:rtl/>
        </w:rPr>
        <w:t>של '</w:t>
      </w:r>
      <w:r w:rsidR="00DE32E3">
        <w:rPr>
          <w:rFonts w:hint="cs"/>
          <w:rtl/>
        </w:rPr>
        <w:t>לובן</w:t>
      </w:r>
      <w:r w:rsidR="00770C40">
        <w:rPr>
          <w:rFonts w:hint="cs"/>
          <w:rtl/>
        </w:rPr>
        <w:t>' של צבע</w:t>
      </w:r>
      <w:r w:rsidR="00DE32E3">
        <w:rPr>
          <w:rFonts w:hint="cs"/>
          <w:rtl/>
        </w:rPr>
        <w:t>, שהוא קיום כקט</w:t>
      </w:r>
      <w:r w:rsidR="00AD569E">
        <w:rPr>
          <w:rFonts w:hint="cs"/>
          <w:rtl/>
        </w:rPr>
        <w:t>ג</w:t>
      </w:r>
      <w:r w:rsidR="00DE32E3">
        <w:rPr>
          <w:rFonts w:hint="cs"/>
          <w:rtl/>
        </w:rPr>
        <w:t>וריית איכות</w:t>
      </w:r>
      <w:r w:rsidR="00D311E2">
        <w:rPr>
          <w:rFonts w:hint="cs"/>
          <w:rtl/>
        </w:rPr>
        <w:t xml:space="preserve"> שהיא מקרה כיוון שאינה קטגוריית העצם</w:t>
      </w:r>
      <w:r w:rsidR="00B6443C">
        <w:rPr>
          <w:rFonts w:hint="cs"/>
          <w:rtl/>
        </w:rPr>
        <w:t xml:space="preserve"> (המקרה נישא על העצם ונשען על מציאותו של העצם, אבל גם כמציאות משנית שצריכה נשיאה על גבי העצם, בכל אופן יש לצבע מציאות משל עצמו כצבע</w:t>
      </w:r>
      <w:r w:rsidR="00554945">
        <w:rPr>
          <w:rFonts w:hint="cs"/>
          <w:rtl/>
        </w:rPr>
        <w:t>)</w:t>
      </w:r>
      <w:r w:rsidR="00DE32E3">
        <w:rPr>
          <w:rFonts w:hint="cs"/>
          <w:rtl/>
        </w:rPr>
        <w:t xml:space="preserve">, </w:t>
      </w:r>
      <w:r w:rsidR="00B6443C">
        <w:rPr>
          <w:rFonts w:hint="cs"/>
          <w:rtl/>
        </w:rPr>
        <w:t xml:space="preserve">וגם </w:t>
      </w:r>
      <w:r w:rsidR="00847E5B">
        <w:rPr>
          <w:rFonts w:hint="cs"/>
          <w:rtl/>
        </w:rPr>
        <w:t xml:space="preserve">צבע לבן כמאפיין של עצם </w:t>
      </w:r>
      <w:r w:rsidR="006F647E">
        <w:rPr>
          <w:rFonts w:hint="cs"/>
          <w:rtl/>
        </w:rPr>
        <w:t>מסוים</w:t>
      </w:r>
      <w:r w:rsidR="00847E5B">
        <w:rPr>
          <w:rFonts w:hint="cs"/>
          <w:rtl/>
        </w:rPr>
        <w:t xml:space="preserve"> ולא כצבע במובן כללי, </w:t>
      </w:r>
      <w:r w:rsidR="00B6443C">
        <w:rPr>
          <w:rFonts w:hint="cs"/>
          <w:rtl/>
        </w:rPr>
        <w:t>צריך</w:t>
      </w:r>
      <w:r w:rsidR="005677CF">
        <w:rPr>
          <w:rFonts w:hint="cs"/>
          <w:rtl/>
        </w:rPr>
        <w:t xml:space="preserve"> חומר</w:t>
      </w:r>
      <w:r w:rsidR="006F647E">
        <w:rPr>
          <w:rFonts w:hint="cs"/>
          <w:rtl/>
        </w:rPr>
        <w:t>,</w:t>
      </w:r>
      <w:r w:rsidR="005677CF">
        <w:rPr>
          <w:rFonts w:hint="cs"/>
          <w:rtl/>
        </w:rPr>
        <w:t xml:space="preserve"> </w:t>
      </w:r>
      <w:r w:rsidR="006F647E">
        <w:rPr>
          <w:rFonts w:hint="cs"/>
          <w:rtl/>
        </w:rPr>
        <w:t>ו</w:t>
      </w:r>
      <w:r w:rsidR="005677CF">
        <w:rPr>
          <w:rFonts w:hint="cs"/>
          <w:rtl/>
        </w:rPr>
        <w:t>החומר מאוחר לו</w:t>
      </w:r>
      <w:r w:rsidR="006F647E">
        <w:rPr>
          <w:rFonts w:hint="cs"/>
          <w:rtl/>
        </w:rPr>
        <w:t xml:space="preserve"> בסדר ההוויה</w:t>
      </w:r>
      <w:r w:rsidR="005677CF">
        <w:rPr>
          <w:rFonts w:hint="cs"/>
          <w:rtl/>
        </w:rPr>
        <w:t xml:space="preserve">, כלומר לא החומר מקיים את מציאות הצבע אלא הצורך של הצבע בחומר </w:t>
      </w:r>
      <w:r w:rsidR="006F647E">
        <w:rPr>
          <w:rFonts w:hint="cs"/>
          <w:rtl/>
        </w:rPr>
        <w:t>הוא זה ש</w:t>
      </w:r>
      <w:r w:rsidR="005677CF">
        <w:rPr>
          <w:rFonts w:hint="cs"/>
          <w:rtl/>
        </w:rPr>
        <w:t xml:space="preserve">מקיים את מציאות החומר. </w:t>
      </w:r>
    </w:p>
  </w:footnote>
  <w:footnote w:id="695">
    <w:p w14:paraId="5A32CB9B" w14:textId="5ED652B5" w:rsidR="0067027A" w:rsidRDefault="0067027A">
      <w:pPr>
        <w:pStyle w:val="FootnoteText"/>
      </w:pPr>
      <w:r>
        <w:rPr>
          <w:rStyle w:val="FootnoteReference"/>
        </w:rPr>
        <w:footnoteRef/>
      </w:r>
      <w:r>
        <w:rPr>
          <w:rtl/>
        </w:rPr>
        <w:t xml:space="preserve"> </w:t>
      </w:r>
      <w:r w:rsidR="00BF7F30">
        <w:rPr>
          <w:rFonts w:hint="cs"/>
          <w:rtl/>
        </w:rPr>
        <w:t>הצורה מקיימת את החומר באופן שהיא נפרדת מעצמותו</w:t>
      </w:r>
      <w:r w:rsidR="00FC286E">
        <w:rPr>
          <w:rFonts w:hint="cs"/>
          <w:rtl/>
        </w:rPr>
        <w:t xml:space="preserve"> </w:t>
      </w:r>
      <w:r w:rsidR="00D3226E">
        <w:rPr>
          <w:rFonts w:hint="cs"/>
          <w:rtl/>
        </w:rPr>
        <w:t xml:space="preserve">- </w:t>
      </w:r>
      <w:r w:rsidR="00FC286E">
        <w:rPr>
          <w:rFonts w:hint="cs"/>
          <w:rtl/>
        </w:rPr>
        <w:t>הכוונה</w:t>
      </w:r>
      <w:r w:rsidR="00BF7F30">
        <w:rPr>
          <w:rFonts w:hint="cs"/>
          <w:rtl/>
        </w:rPr>
        <w:t xml:space="preserve"> </w:t>
      </w:r>
      <w:r w:rsidR="00FC286E">
        <w:rPr>
          <w:rFonts w:hint="cs"/>
          <w:rtl/>
        </w:rPr>
        <w:t>ל</w:t>
      </w:r>
      <w:r w:rsidR="00BF7F30">
        <w:rPr>
          <w:rFonts w:hint="cs"/>
          <w:rtl/>
        </w:rPr>
        <w:t>צורת ארבעת היסודות בחומר הראשון</w:t>
      </w:r>
      <w:r w:rsidR="00BC6CB2">
        <w:rPr>
          <w:rFonts w:hint="cs"/>
          <w:rtl/>
        </w:rPr>
        <w:t>, ו</w:t>
      </w:r>
      <w:r w:rsidR="00D3226E">
        <w:rPr>
          <w:rFonts w:hint="cs"/>
          <w:rtl/>
        </w:rPr>
        <w:t xml:space="preserve">היא מקיימת את החומר באופן שהיא מחוברת </w:t>
      </w:r>
      <w:r w:rsidR="00962A74">
        <w:rPr>
          <w:rFonts w:hint="cs"/>
          <w:rtl/>
        </w:rPr>
        <w:t xml:space="preserve">לעצמותו </w:t>
      </w:r>
      <w:r w:rsidR="00815672">
        <w:rPr>
          <w:rFonts w:hint="cs"/>
          <w:rtl/>
        </w:rPr>
        <w:t>-</w:t>
      </w:r>
      <w:r w:rsidR="007F4F41">
        <w:rPr>
          <w:rFonts w:hint="cs"/>
          <w:rtl/>
        </w:rPr>
        <w:t xml:space="preserve">  </w:t>
      </w:r>
      <w:r w:rsidR="00D3226E">
        <w:rPr>
          <w:rFonts w:hint="cs"/>
          <w:rtl/>
        </w:rPr>
        <w:t>הכוונה לצ</w:t>
      </w:r>
      <w:r w:rsidR="005F6244">
        <w:rPr>
          <w:rFonts w:hint="cs"/>
          <w:rtl/>
        </w:rPr>
        <w:t>ורות של העצמים הטבעיים שהחומר ש</w:t>
      </w:r>
      <w:r w:rsidR="00AC66C8">
        <w:rPr>
          <w:rFonts w:hint="cs"/>
          <w:rtl/>
        </w:rPr>
        <w:t>ל</w:t>
      </w:r>
      <w:r w:rsidR="005F6244">
        <w:rPr>
          <w:rFonts w:hint="cs"/>
          <w:rtl/>
        </w:rPr>
        <w:t xml:space="preserve">הם הוא תרכובת ארבעת היסודות. </w:t>
      </w:r>
      <w:r w:rsidR="00962A74">
        <w:rPr>
          <w:rFonts w:hint="cs"/>
          <w:rtl/>
        </w:rPr>
        <w:t>ה</w:t>
      </w:r>
      <w:r w:rsidR="007F4F41">
        <w:rPr>
          <w:rFonts w:hint="cs"/>
          <w:rtl/>
        </w:rPr>
        <w:t>עניין הזה</w:t>
      </w:r>
      <w:r w:rsidR="005F6244">
        <w:rPr>
          <w:rFonts w:hint="cs"/>
          <w:rtl/>
        </w:rPr>
        <w:t xml:space="preserve"> מבואר לקמן בסמוך.</w:t>
      </w:r>
      <w:r w:rsidR="00D3226E">
        <w:rPr>
          <w:rFonts w:hint="cs"/>
          <w:rtl/>
        </w:rPr>
        <w:t xml:space="preserve"> </w:t>
      </w:r>
      <w:r w:rsidR="00BF7F30">
        <w:rPr>
          <w:rFonts w:hint="cs"/>
          <w:rtl/>
        </w:rPr>
        <w:t xml:space="preserve"> </w:t>
      </w:r>
    </w:p>
  </w:footnote>
  <w:footnote w:id="696">
    <w:p w14:paraId="2A43FF6B" w14:textId="3F0D8411" w:rsidR="00B072F2" w:rsidRDefault="00B072F2">
      <w:pPr>
        <w:pStyle w:val="FootnoteText"/>
      </w:pPr>
      <w:r>
        <w:rPr>
          <w:rStyle w:val="FootnoteReference"/>
        </w:rPr>
        <w:footnoteRef/>
      </w:r>
      <w:r>
        <w:rPr>
          <w:rtl/>
        </w:rPr>
        <w:t xml:space="preserve"> </w:t>
      </w:r>
      <w:r w:rsidR="005F525F">
        <w:rPr>
          <w:rFonts w:hint="cs"/>
          <w:rtl/>
        </w:rPr>
        <w:t xml:space="preserve">במקור מילולית "בהשוואה לעצמותו". </w:t>
      </w:r>
      <w:r w:rsidR="005F525F" w:rsidRPr="005F525F">
        <w:rPr>
          <w:rFonts w:cs="Times New Roman" w:hint="eastAsia"/>
          <w:rtl/>
          <w:lang w:bidi="ar-SA"/>
        </w:rPr>
        <w:t>و</w:t>
      </w:r>
      <w:r w:rsidR="005F525F" w:rsidRPr="005F525F">
        <w:rPr>
          <w:rFonts w:cs="Times New Roman"/>
          <w:rtl/>
          <w:lang w:bidi="ar-SA"/>
        </w:rPr>
        <w:t xml:space="preserve"> </w:t>
      </w:r>
      <w:r w:rsidR="005F525F" w:rsidRPr="005F525F">
        <w:rPr>
          <w:rFonts w:cs="Times New Roman" w:hint="eastAsia"/>
          <w:rtl/>
          <w:lang w:bidi="ar-SA"/>
        </w:rPr>
        <w:t>له</w:t>
      </w:r>
      <w:r w:rsidR="005F525F" w:rsidRPr="005F525F">
        <w:rPr>
          <w:rFonts w:cs="Times New Roman"/>
          <w:rtl/>
          <w:lang w:bidi="ar-SA"/>
        </w:rPr>
        <w:t xml:space="preserve"> </w:t>
      </w:r>
      <w:r w:rsidR="005F525F" w:rsidRPr="005F525F">
        <w:rPr>
          <w:rFonts w:cs="Times New Roman" w:hint="eastAsia"/>
          <w:rtl/>
          <w:lang w:bidi="ar-SA"/>
        </w:rPr>
        <w:t>قسط</w:t>
      </w:r>
      <w:r w:rsidR="005F525F" w:rsidRPr="005F525F">
        <w:rPr>
          <w:rFonts w:cs="Times New Roman"/>
          <w:rtl/>
          <w:lang w:bidi="ar-SA"/>
        </w:rPr>
        <w:t xml:space="preserve"> </w:t>
      </w:r>
      <w:r w:rsidR="005F525F" w:rsidRPr="005F525F">
        <w:rPr>
          <w:rFonts w:cs="Times New Roman" w:hint="eastAsia"/>
          <w:rtl/>
          <w:lang w:bidi="ar-SA"/>
        </w:rPr>
        <w:t>في</w:t>
      </w:r>
      <w:r w:rsidR="005F525F" w:rsidRPr="005F525F">
        <w:rPr>
          <w:rFonts w:cs="Times New Roman"/>
          <w:rtl/>
          <w:lang w:bidi="ar-SA"/>
        </w:rPr>
        <w:t xml:space="preserve"> </w:t>
      </w:r>
      <w:r w:rsidR="005F525F" w:rsidRPr="005F525F">
        <w:rPr>
          <w:rFonts w:cs="Times New Roman" w:hint="eastAsia"/>
          <w:rtl/>
          <w:lang w:bidi="ar-SA"/>
        </w:rPr>
        <w:t>تقويم</w:t>
      </w:r>
      <w:r w:rsidR="005F525F" w:rsidRPr="005F525F">
        <w:rPr>
          <w:rFonts w:cs="Times New Roman"/>
          <w:rtl/>
          <w:lang w:bidi="ar-SA"/>
        </w:rPr>
        <w:t xml:space="preserve"> </w:t>
      </w:r>
      <w:r w:rsidR="005F525F" w:rsidRPr="005F525F">
        <w:rPr>
          <w:rFonts w:cs="Times New Roman" w:hint="eastAsia"/>
          <w:rtl/>
          <w:lang w:bidi="ar-SA"/>
        </w:rPr>
        <w:t>المادة</w:t>
      </w:r>
      <w:r w:rsidR="005F525F" w:rsidRPr="005F525F">
        <w:rPr>
          <w:rFonts w:cs="Times New Roman"/>
          <w:rtl/>
          <w:lang w:bidi="ar-SA"/>
        </w:rPr>
        <w:t xml:space="preserve"> </w:t>
      </w:r>
      <w:r w:rsidR="005F525F" w:rsidRPr="005F525F">
        <w:rPr>
          <w:rFonts w:cs="Times New Roman" w:hint="eastAsia"/>
          <w:rtl/>
          <w:lang w:bidi="ar-SA"/>
        </w:rPr>
        <w:t>بمقارنة</w:t>
      </w:r>
      <w:r w:rsidR="005F525F" w:rsidRPr="005F525F">
        <w:rPr>
          <w:rFonts w:cs="Times New Roman"/>
          <w:rtl/>
          <w:lang w:bidi="ar-SA"/>
        </w:rPr>
        <w:t xml:space="preserve"> </w:t>
      </w:r>
      <w:r w:rsidR="005F525F" w:rsidRPr="005F525F">
        <w:rPr>
          <w:rFonts w:cs="Times New Roman" w:hint="eastAsia"/>
          <w:rtl/>
          <w:lang w:bidi="ar-SA"/>
        </w:rPr>
        <w:t>ذاته</w:t>
      </w:r>
      <w:r w:rsidR="005543EB">
        <w:rPr>
          <w:rFonts w:cs="Times New Roman" w:hint="cs"/>
          <w:rtl/>
        </w:rPr>
        <w:t>.</w:t>
      </w:r>
    </w:p>
  </w:footnote>
  <w:footnote w:id="697">
    <w:p w14:paraId="2FEA3A91" w14:textId="402D7E19" w:rsidR="00417BF5" w:rsidRDefault="00417BF5">
      <w:pPr>
        <w:pStyle w:val="FootnoteText"/>
      </w:pPr>
      <w:r>
        <w:rPr>
          <w:rStyle w:val="FootnoteReference"/>
        </w:rPr>
        <w:footnoteRef/>
      </w:r>
      <w:r>
        <w:rPr>
          <w:rtl/>
        </w:rPr>
        <w:t xml:space="preserve"> </w:t>
      </w:r>
      <w:r w:rsidR="00C610F8">
        <w:rPr>
          <w:rFonts w:hint="cs"/>
          <w:rtl/>
        </w:rPr>
        <w:t xml:space="preserve">המקיים הרחוק מצד הסיבה החומרית הוא החומר הראשון, ומצד הצורה הוא השכל הפועל שזה גילוי של הבורא. </w:t>
      </w:r>
      <w:r w:rsidR="008103E4">
        <w:rPr>
          <w:rFonts w:hint="cs"/>
          <w:rtl/>
        </w:rPr>
        <w:t>המקיים הקרוב הוא מצד החומר הסיבה הקרובה ביותר, למשל הבשר לאדם</w:t>
      </w:r>
      <w:r w:rsidR="001723FD">
        <w:rPr>
          <w:rFonts w:hint="cs"/>
          <w:rtl/>
        </w:rPr>
        <w:t xml:space="preserve"> או העץ למיטה. המקיים הקרוב מצד הצורה הוא למשל האב שמשפיע את צורת האדם ל</w:t>
      </w:r>
      <w:r w:rsidR="00B8011C">
        <w:rPr>
          <w:rFonts w:hint="cs"/>
          <w:rtl/>
        </w:rPr>
        <w:t>ביצית של האישה ומזה הוא נעשה עובר אנושי</w:t>
      </w:r>
      <w:r w:rsidR="00A8579F">
        <w:rPr>
          <w:rFonts w:hint="cs"/>
          <w:rtl/>
        </w:rPr>
        <w:t>. הנושא עמוק</w:t>
      </w:r>
      <w:r w:rsidR="00EA2AFE">
        <w:rPr>
          <w:rFonts w:hint="cs"/>
          <w:rtl/>
        </w:rPr>
        <w:t xml:space="preserve"> </w:t>
      </w:r>
      <w:r w:rsidR="00A8579F">
        <w:rPr>
          <w:rFonts w:hint="cs"/>
          <w:rtl/>
        </w:rPr>
        <w:t>וארוך איך בדיוק עוברת הצורה</w:t>
      </w:r>
      <w:r w:rsidR="00EA2AFE">
        <w:rPr>
          <w:rFonts w:hint="cs"/>
          <w:rtl/>
        </w:rPr>
        <w:t xml:space="preserve"> </w:t>
      </w:r>
      <w:r w:rsidR="00A8579F">
        <w:rPr>
          <w:rFonts w:hint="cs"/>
          <w:rtl/>
        </w:rPr>
        <w:t>מהאב לבן</w:t>
      </w:r>
      <w:r w:rsidR="00EA2AFE">
        <w:rPr>
          <w:rFonts w:hint="cs"/>
          <w:rtl/>
        </w:rPr>
        <w:t xml:space="preserve"> ולא כאן מקומו</w:t>
      </w:r>
      <w:r w:rsidR="00A8579F">
        <w:rPr>
          <w:rFonts w:hint="cs"/>
          <w:rtl/>
        </w:rPr>
        <w:t>, אבל בפשטות האב הוא המקיים הקרוב לבן מצד הצורה.</w:t>
      </w:r>
    </w:p>
  </w:footnote>
  <w:footnote w:id="698">
    <w:p w14:paraId="671FDA24" w14:textId="5674F48B" w:rsidR="002F3BC0" w:rsidRDefault="002F3BC0">
      <w:pPr>
        <w:pStyle w:val="FootnoteText"/>
      </w:pPr>
      <w:r>
        <w:rPr>
          <w:rStyle w:val="FootnoteReference"/>
        </w:rPr>
        <w:footnoteRef/>
      </w:r>
      <w:r>
        <w:rPr>
          <w:rtl/>
        </w:rPr>
        <w:t xml:space="preserve"> </w:t>
      </w:r>
      <w:r w:rsidR="00966798">
        <w:rPr>
          <w:rFonts w:hint="cs"/>
          <w:rtl/>
        </w:rPr>
        <w:t xml:space="preserve">כלומר </w:t>
      </w:r>
      <w:r w:rsidR="000A7CFF">
        <w:rPr>
          <w:rFonts w:hint="cs"/>
          <w:rtl/>
        </w:rPr>
        <w:t xml:space="preserve">בפילוסופיה הראשונה, היא </w:t>
      </w:r>
      <w:r w:rsidR="000A7CFF">
        <w:rPr>
          <w:rFonts w:hint="cs"/>
          <w:rtl/>
        </w:rPr>
        <w:t>המטאפיזיקה. מקגיניס ציין לחלק המטאפיזיקה של הריפוי</w:t>
      </w:r>
      <w:r w:rsidR="00925C23">
        <w:rPr>
          <w:rFonts w:hint="cs"/>
          <w:rtl/>
        </w:rPr>
        <w:t xml:space="preserve">, ספר 2 פרקים 2-4. </w:t>
      </w:r>
    </w:p>
  </w:footnote>
  <w:footnote w:id="699">
    <w:p w14:paraId="019961B2" w14:textId="361E2288" w:rsidR="00C857E3" w:rsidRDefault="00C857E3">
      <w:pPr>
        <w:pStyle w:val="FootnoteText"/>
      </w:pPr>
      <w:r>
        <w:rPr>
          <w:rStyle w:val="FootnoteReference"/>
        </w:rPr>
        <w:footnoteRef/>
      </w:r>
      <w:r>
        <w:rPr>
          <w:rtl/>
        </w:rPr>
        <w:t xml:space="preserve"> </w:t>
      </w:r>
      <w:r w:rsidR="0037027B">
        <w:rPr>
          <w:rFonts w:hint="cs"/>
          <w:rtl/>
        </w:rPr>
        <w:t>כלומר לבש את הצורה המהותית של העצם.</w:t>
      </w:r>
    </w:p>
  </w:footnote>
  <w:footnote w:id="700">
    <w:p w14:paraId="54C2E65E" w14:textId="77777777" w:rsidR="00D1127E" w:rsidRDefault="00DC76B3" w:rsidP="002E1235">
      <w:pPr>
        <w:pStyle w:val="FootnoteText"/>
        <w:rPr>
          <w:rtl/>
        </w:rPr>
      </w:pPr>
      <w:r>
        <w:rPr>
          <w:rStyle w:val="FootnoteReference"/>
        </w:rPr>
        <w:footnoteRef/>
      </w:r>
      <w:r>
        <w:rPr>
          <w:rtl/>
        </w:rPr>
        <w:t xml:space="preserve"> </w:t>
      </w:r>
      <w:r w:rsidR="00020C6B">
        <w:rPr>
          <w:rFonts w:hint="cs"/>
          <w:rtl/>
        </w:rPr>
        <w:t>"דבר זה" דהיינו</w:t>
      </w:r>
      <w:r>
        <w:rPr>
          <w:rFonts w:hint="cs"/>
          <w:rtl/>
        </w:rPr>
        <w:t xml:space="preserve"> ה</w:t>
      </w:r>
      <w:r w:rsidR="00D02453">
        <w:rPr>
          <w:rFonts w:hint="cs"/>
          <w:rtl/>
        </w:rPr>
        <w:t>מקרים, אבל כאן היחס למקרים הוא באופן שהמקרים נדונים כבחינה של צורה, כי אנו עוסקים כאן ביחסים בין צורה חומר ועצם.</w:t>
      </w:r>
    </w:p>
    <w:p w14:paraId="1D5309E9" w14:textId="4A2CEEF7" w:rsidR="00633494" w:rsidRDefault="00635D2D" w:rsidP="002E1235">
      <w:pPr>
        <w:pStyle w:val="FootnoteText"/>
        <w:rPr>
          <w:rtl/>
        </w:rPr>
      </w:pPr>
      <w:r>
        <w:rPr>
          <w:rFonts w:hint="cs"/>
          <w:rtl/>
        </w:rPr>
        <w:t>המקרים הם חלק מהצורה באופן נעלם. לא כל מקרה</w:t>
      </w:r>
      <w:r w:rsidR="00EF6B6E">
        <w:rPr>
          <w:rtl/>
        </w:rPr>
        <w:fldChar w:fldCharType="begin"/>
      </w:r>
      <w:r w:rsidR="00EF6B6E">
        <w:instrText xml:space="preserve"> XE "</w:instrText>
      </w:r>
      <w:r w:rsidR="00EF6B6E" w:rsidRPr="002D181F">
        <w:rPr>
          <w:rFonts w:hint="cs"/>
          <w:rtl/>
        </w:rPr>
        <w:instrText>מקרה - איך הוא קשור לצורה</w:instrText>
      </w:r>
      <w:r w:rsidR="00EF6B6E">
        <w:instrText xml:space="preserve">" </w:instrText>
      </w:r>
      <w:r w:rsidR="00EF6B6E">
        <w:rPr>
          <w:rtl/>
        </w:rPr>
        <w:fldChar w:fldCharType="end"/>
      </w:r>
      <w:r>
        <w:rPr>
          <w:rFonts w:hint="cs"/>
          <w:rtl/>
        </w:rPr>
        <w:t xml:space="preserve"> יכול לקרות לכל עצם, למשל צבע שיערו של האדם הוא מקרה בו, </w:t>
      </w:r>
      <w:r w:rsidR="00416E09">
        <w:rPr>
          <w:rFonts w:hint="cs"/>
          <w:rtl/>
        </w:rPr>
        <w:t xml:space="preserve">הגדרת מקרה היא שזה לא מגדיר את מהותו שהוא אדם. בכל צבע שיער או עור מהותו היא אדם באופן שווה. </w:t>
      </w:r>
      <w:r w:rsidR="004C7AE4">
        <w:rPr>
          <w:rFonts w:hint="cs"/>
          <w:rtl/>
        </w:rPr>
        <w:t>הגובה הוא מקרה כי בכל גובה שיהיה הוא אדם באותה מידה. הצורה שקובע</w:t>
      </w:r>
      <w:r w:rsidR="00B20160">
        <w:rPr>
          <w:rFonts w:hint="cs"/>
          <w:rtl/>
        </w:rPr>
        <w:t>ת</w:t>
      </w:r>
      <w:r w:rsidR="004C7AE4">
        <w:rPr>
          <w:rFonts w:hint="cs"/>
          <w:rtl/>
        </w:rPr>
        <w:t xml:space="preserve"> את המהות</w:t>
      </w:r>
      <w:r w:rsidR="00B20160">
        <w:rPr>
          <w:rFonts w:hint="cs"/>
          <w:rtl/>
        </w:rPr>
        <w:t xml:space="preserve"> של העצם</w:t>
      </w:r>
      <w:r w:rsidR="004C7AE4">
        <w:rPr>
          <w:rFonts w:hint="cs"/>
          <w:rtl/>
        </w:rPr>
        <w:t xml:space="preserve"> מושגת בשכל העיוני</w:t>
      </w:r>
      <w:r w:rsidR="00B20160">
        <w:rPr>
          <w:rFonts w:hint="cs"/>
          <w:rtl/>
        </w:rPr>
        <w:t xml:space="preserve">, המקרה לא מושג בשכל אלא רק בחוש </w:t>
      </w:r>
      <w:r w:rsidR="00B20160">
        <w:rPr>
          <w:rFonts w:hint="cs"/>
          <w:rtl/>
        </w:rPr>
        <w:t xml:space="preserve">וכח הדמיון. </w:t>
      </w:r>
      <w:r w:rsidR="00334200">
        <w:rPr>
          <w:rFonts w:hint="cs"/>
          <w:rtl/>
        </w:rPr>
        <w:t>אם השכל מתבונן באדם, הוא יכול להפשיט כל רושם חוש וכח דמיון מהאדם ולהשיג את צורתו באופן שהיא מופשטת</w:t>
      </w:r>
      <w:r w:rsidR="007D7A2E">
        <w:rPr>
          <w:rFonts w:hint="cs"/>
          <w:rtl/>
        </w:rPr>
        <w:t xml:space="preserve"> (כמו שכתב הרמב"ם במשנה תורה הלכות יסודי התורה ד' ז' שלב האדם הוא שמחלק את ה</w:t>
      </w:r>
      <w:r w:rsidR="0066027A">
        <w:rPr>
          <w:rFonts w:hint="cs"/>
          <w:rtl/>
        </w:rPr>
        <w:t>ע</w:t>
      </w:r>
      <w:r w:rsidR="007D7A2E">
        <w:rPr>
          <w:rFonts w:hint="cs"/>
          <w:rtl/>
        </w:rPr>
        <w:t>צם לחומר וצורה</w:t>
      </w:r>
      <w:r w:rsidR="00F45524">
        <w:rPr>
          <w:rFonts w:hint="cs"/>
          <w:rtl/>
        </w:rPr>
        <w:t>, כלומר מפשיט מהעצם את החומר ומשיג את הצורה כשלעצמה</w:t>
      </w:r>
      <w:r w:rsidR="00460F99">
        <w:rPr>
          <w:rFonts w:hint="cs"/>
          <w:rtl/>
        </w:rPr>
        <w:t xml:space="preserve"> בלי חומר</w:t>
      </w:r>
      <w:r w:rsidR="007D7A2E">
        <w:rPr>
          <w:rFonts w:hint="cs"/>
          <w:rtl/>
        </w:rPr>
        <w:t xml:space="preserve">). </w:t>
      </w:r>
      <w:r w:rsidR="0066027A">
        <w:rPr>
          <w:rFonts w:hint="cs"/>
          <w:rtl/>
        </w:rPr>
        <w:t>אם השכל מפשיט את העצם מהצד החומרי שלו הוא עדיין משיג שהוא 'חי מדבר' כצורה</w:t>
      </w:r>
      <w:r w:rsidR="002E1235">
        <w:rPr>
          <w:rFonts w:hint="cs"/>
          <w:rtl/>
        </w:rPr>
        <w:t xml:space="preserve"> </w:t>
      </w:r>
      <w:r w:rsidR="0066027A">
        <w:rPr>
          <w:rFonts w:hint="cs"/>
          <w:rtl/>
        </w:rPr>
        <w:t xml:space="preserve">מופשטת, אבל </w:t>
      </w:r>
      <w:r w:rsidR="00460F99">
        <w:rPr>
          <w:rFonts w:hint="cs"/>
          <w:rtl/>
        </w:rPr>
        <w:t>אחרי ההפשטה</w:t>
      </w:r>
      <w:r w:rsidR="0066027A">
        <w:rPr>
          <w:rFonts w:hint="cs"/>
          <w:rtl/>
        </w:rPr>
        <w:t xml:space="preserve"> </w:t>
      </w:r>
      <w:r w:rsidR="00460F99">
        <w:rPr>
          <w:rFonts w:hint="cs"/>
          <w:rtl/>
        </w:rPr>
        <w:t>מה</w:t>
      </w:r>
      <w:r w:rsidR="0066027A">
        <w:rPr>
          <w:rFonts w:hint="cs"/>
          <w:rtl/>
        </w:rPr>
        <w:t>חומר</w:t>
      </w:r>
      <w:r w:rsidR="00EF6B6E">
        <w:rPr>
          <w:rFonts w:hint="cs"/>
          <w:rtl/>
        </w:rPr>
        <w:t xml:space="preserve"> </w:t>
      </w:r>
      <w:r w:rsidR="0066027A">
        <w:rPr>
          <w:rFonts w:hint="cs"/>
          <w:rtl/>
        </w:rPr>
        <w:t xml:space="preserve">השכל </w:t>
      </w:r>
      <w:r w:rsidR="00460F99">
        <w:rPr>
          <w:rFonts w:hint="cs"/>
          <w:rtl/>
        </w:rPr>
        <w:t xml:space="preserve">שלא מסתייע בחוש </w:t>
      </w:r>
      <w:r w:rsidR="0066027A">
        <w:rPr>
          <w:rFonts w:hint="cs"/>
          <w:rtl/>
        </w:rPr>
        <w:t>אינו יכול להשיג שצבע שיערו כתום או שחור או שגבהו בדיוק כך וכך</w:t>
      </w:r>
      <w:r w:rsidR="00BB667B">
        <w:rPr>
          <w:rFonts w:hint="cs"/>
          <w:rtl/>
        </w:rPr>
        <w:t>. עיוור לא ישיג את המושג 'צבע' בשכלו</w:t>
      </w:r>
      <w:r w:rsidR="00313992">
        <w:rPr>
          <w:rFonts w:hint="cs"/>
          <w:rtl/>
        </w:rPr>
        <w:t>, אבל הוא יכול להשיג שאדם הוא 'חי מדבר'</w:t>
      </w:r>
      <w:r w:rsidR="00334200">
        <w:rPr>
          <w:rFonts w:hint="cs"/>
          <w:rtl/>
        </w:rPr>
        <w:t xml:space="preserve">. </w:t>
      </w:r>
      <w:r w:rsidR="002E1235">
        <w:rPr>
          <w:rFonts w:hint="cs"/>
          <w:rtl/>
        </w:rPr>
        <w:t xml:space="preserve">לכאורה לפי זה אין קשר בין המקרים לצורה. </w:t>
      </w:r>
    </w:p>
    <w:p w14:paraId="4EA9A5AF" w14:textId="4DE91B7A" w:rsidR="003C3C00" w:rsidRDefault="00633494" w:rsidP="002E1235">
      <w:pPr>
        <w:pStyle w:val="FootnoteText"/>
        <w:rPr>
          <w:rtl/>
        </w:rPr>
      </w:pPr>
      <w:r>
        <w:rPr>
          <w:rFonts w:hint="cs"/>
          <w:rtl/>
        </w:rPr>
        <w:t>אמנם במו</w:t>
      </w:r>
      <w:r w:rsidR="00252807">
        <w:rPr>
          <w:rFonts w:hint="cs"/>
          <w:rtl/>
        </w:rPr>
        <w:t>רה נבוכים א' ע"ב, ב' י"ט, כתב שהצורה מאפשרת רוחב</w:t>
      </w:r>
      <w:r w:rsidR="00EB116B">
        <w:rPr>
          <w:rtl/>
        </w:rPr>
        <w:fldChar w:fldCharType="begin"/>
      </w:r>
      <w:r w:rsidR="00EB116B">
        <w:instrText xml:space="preserve"> XE "</w:instrText>
      </w:r>
      <w:r w:rsidR="00EB116B" w:rsidRPr="00742A2D">
        <w:rPr>
          <w:rFonts w:hint="cs"/>
          <w:rtl/>
        </w:rPr>
        <w:instrText>רוחב - הצורה מאפשרת רוחב של מקרים</w:instrText>
      </w:r>
      <w:r w:rsidR="00EB116B">
        <w:instrText xml:space="preserve">" </w:instrText>
      </w:r>
      <w:r w:rsidR="00EB116B">
        <w:rPr>
          <w:rtl/>
        </w:rPr>
        <w:fldChar w:fldCharType="end"/>
      </w:r>
      <w:r w:rsidR="00252807">
        <w:rPr>
          <w:rFonts w:hint="cs"/>
          <w:rtl/>
        </w:rPr>
        <w:t xml:space="preserve"> (ספקטרום) </w:t>
      </w:r>
      <w:r w:rsidR="005677CF">
        <w:rPr>
          <w:rFonts w:hint="cs"/>
          <w:rtl/>
        </w:rPr>
        <w:t>מסוים</w:t>
      </w:r>
      <w:r w:rsidR="00252807">
        <w:rPr>
          <w:rFonts w:hint="cs"/>
          <w:rtl/>
        </w:rPr>
        <w:t xml:space="preserve"> של מקרים.</w:t>
      </w:r>
      <w:r w:rsidR="00EB116B">
        <w:rPr>
          <w:rFonts w:hint="cs"/>
          <w:rtl/>
        </w:rPr>
        <w:t xml:space="preserve"> אדם יכול להיות בעל צבע שיער כתום, אבל לא בעל צבע שיער ירוק כמו דשא. </w:t>
      </w:r>
      <w:r w:rsidR="005D70A0">
        <w:rPr>
          <w:rFonts w:hint="cs"/>
          <w:rtl/>
        </w:rPr>
        <w:t>מה שאינו יכול להיות בעל צבע שיער</w:t>
      </w:r>
      <w:r w:rsidR="00BB21AA">
        <w:rPr>
          <w:rFonts w:hint="cs"/>
          <w:rtl/>
        </w:rPr>
        <w:t xml:space="preserve"> </w:t>
      </w:r>
      <w:r w:rsidR="005D70A0">
        <w:rPr>
          <w:rFonts w:hint="cs"/>
          <w:rtl/>
        </w:rPr>
        <w:t>ירוק אין זה משום שזה</w:t>
      </w:r>
      <w:r w:rsidR="00BB21AA">
        <w:rPr>
          <w:rFonts w:hint="cs"/>
          <w:rtl/>
        </w:rPr>
        <w:t xml:space="preserve"> </w:t>
      </w:r>
      <w:r w:rsidR="005D70A0">
        <w:rPr>
          <w:rFonts w:hint="cs"/>
          <w:rtl/>
        </w:rPr>
        <w:t>מקרה נדיר, אלא משום שהצורה הטבעית, היותו 'חי מדבר' לא מאפשרת את זה. הצורה קובעת את הרוחב</w:t>
      </w:r>
      <w:r w:rsidR="00BB21AA">
        <w:rPr>
          <w:rFonts w:hint="cs"/>
          <w:rtl/>
        </w:rPr>
        <w:t xml:space="preserve">, ולכן ידוע מראש בוודאות שלעולם לא יקרה שיוולד אדם בעל שיער ירוק, ולא אדם בגובה קילומטר או מילימטר וכל כיו"ב. הרוחב הוא עניין נעלם כי איננו יודעים מה הקשר של הצורה לצבע השיער, ולמה דווקא צבע שיער כתום כלול ברוחב שהצורה קובעת וירוק לא כלול, מה השייכות של כתום ל'חי מדבר' יותר מאשר ירוק. </w:t>
      </w:r>
      <w:r w:rsidR="00FE71A8">
        <w:rPr>
          <w:rFonts w:hint="cs"/>
          <w:rtl/>
        </w:rPr>
        <w:t xml:space="preserve">זה סוד כי זה הקשר בין התואר של גוף האדם הבשרי ובין הצורות המופשטות שבשרשי הבריאה. </w:t>
      </w:r>
      <w:r w:rsidR="007935E2">
        <w:rPr>
          <w:rFonts w:hint="cs"/>
          <w:rtl/>
        </w:rPr>
        <w:t xml:space="preserve">רש"י </w:t>
      </w:r>
      <w:r w:rsidR="00B61B3D">
        <w:rPr>
          <w:rFonts w:hint="cs"/>
          <w:rtl/>
        </w:rPr>
        <w:t xml:space="preserve">בדברים כ"א כ"ג </w:t>
      </w:r>
      <w:r w:rsidR="007935E2">
        <w:rPr>
          <w:rFonts w:hint="cs"/>
          <w:rtl/>
        </w:rPr>
        <w:t xml:space="preserve">כתב </w:t>
      </w:r>
      <w:r w:rsidR="00EA2CEB">
        <w:rPr>
          <w:rFonts w:hint="cs"/>
          <w:rtl/>
        </w:rPr>
        <w:t xml:space="preserve">על הפסוק </w:t>
      </w:r>
      <w:r w:rsidR="007935E2">
        <w:rPr>
          <w:rFonts w:hint="cs"/>
          <w:rtl/>
        </w:rPr>
        <w:t xml:space="preserve">שלא מלינים את גוויית התלוי </w:t>
      </w:r>
      <w:r w:rsidR="00F26154">
        <w:rPr>
          <w:rFonts w:hint="cs"/>
          <w:rtl/>
        </w:rPr>
        <w:t>על עץ</w:t>
      </w:r>
      <w:r w:rsidR="00EA2CEB">
        <w:rPr>
          <w:rFonts w:hint="cs"/>
          <w:rtl/>
        </w:rPr>
        <w:t xml:space="preserve"> משום שקללת אלוהים תלוי, </w:t>
      </w:r>
      <w:r w:rsidR="00F26154">
        <w:rPr>
          <w:rFonts w:hint="cs"/>
          <w:rtl/>
        </w:rPr>
        <w:t xml:space="preserve">כי זה כמו שני תאומים, אחד מלך והשני גנב, ומי שרואה את הגנב תלוי אומר המלך תלוי. </w:t>
      </w:r>
      <w:r w:rsidR="003B614E">
        <w:rPr>
          <w:rFonts w:hint="cs"/>
          <w:rtl/>
        </w:rPr>
        <w:t>כלומר גם אם האד</w:t>
      </w:r>
      <w:r w:rsidR="002F2A38">
        <w:rPr>
          <w:rFonts w:hint="cs"/>
          <w:rtl/>
        </w:rPr>
        <w:t>ם</w:t>
      </w:r>
      <w:r w:rsidR="003B614E">
        <w:rPr>
          <w:rFonts w:hint="cs"/>
          <w:rtl/>
        </w:rPr>
        <w:t xml:space="preserve"> גנב, וגם אם הוא כבר מת, </w:t>
      </w:r>
      <w:r w:rsidR="002F2A38">
        <w:rPr>
          <w:rFonts w:hint="cs"/>
          <w:rtl/>
        </w:rPr>
        <w:t xml:space="preserve">ואין כאן שום 'חי מדבר', </w:t>
      </w:r>
      <w:r w:rsidR="003B614E">
        <w:rPr>
          <w:rFonts w:hint="cs"/>
          <w:rtl/>
        </w:rPr>
        <w:t xml:space="preserve">עדיין בשרו הוא בתבנית </w:t>
      </w:r>
      <w:r w:rsidR="00B438B3">
        <w:rPr>
          <w:rFonts w:hint="cs"/>
          <w:rtl/>
        </w:rPr>
        <w:t xml:space="preserve">חומרית כזו </w:t>
      </w:r>
      <w:r w:rsidR="003B614E">
        <w:rPr>
          <w:rFonts w:hint="cs"/>
          <w:rtl/>
        </w:rPr>
        <w:t>שהוא כמו תאום של המלך.</w:t>
      </w:r>
      <w:r w:rsidR="00386FF0">
        <w:rPr>
          <w:rFonts w:hint="cs"/>
          <w:rtl/>
        </w:rPr>
        <w:t xml:space="preserve"> זה מובן עמוק של מה שהאדם נברא בצלם אלוהים, כמו צלמי טחוריכם, כמו שכתב במורה נבוכים א' א'. </w:t>
      </w:r>
    </w:p>
    <w:p w14:paraId="64F1DBF0" w14:textId="00BD8A82" w:rsidR="00F92BBE" w:rsidRDefault="00E14109" w:rsidP="002E1235">
      <w:pPr>
        <w:pStyle w:val="FootnoteText"/>
        <w:rPr>
          <w:rtl/>
        </w:rPr>
      </w:pPr>
      <w:r>
        <w:rPr>
          <w:rFonts w:hint="cs"/>
          <w:rtl/>
        </w:rPr>
        <w:t xml:space="preserve">אפשר לצייר אדם בעפרון עבה שהקו שלו רחב. אם נניח שנצייר אדם שגובהו הוא בקו עבה </w:t>
      </w:r>
      <w:r w:rsidR="00C55D8F">
        <w:rPr>
          <w:rFonts w:hint="cs"/>
          <w:rtl/>
        </w:rPr>
        <w:t xml:space="preserve">שעביו הוא </w:t>
      </w:r>
      <w:r>
        <w:rPr>
          <w:rFonts w:hint="cs"/>
          <w:rtl/>
        </w:rPr>
        <w:t>מחצי מטר עד חמישה מטרים</w:t>
      </w:r>
      <w:r w:rsidR="00C55D8F">
        <w:rPr>
          <w:rFonts w:hint="cs"/>
          <w:rtl/>
        </w:rPr>
        <w:t xml:space="preserve"> (בהנחה שזה רוחב הגבהים שהצורה</w:t>
      </w:r>
      <w:r w:rsidR="00D60912">
        <w:rPr>
          <w:rFonts w:hint="cs"/>
          <w:rtl/>
        </w:rPr>
        <w:t xml:space="preserve"> </w:t>
      </w:r>
      <w:r w:rsidR="00C55D8F">
        <w:rPr>
          <w:rFonts w:hint="cs"/>
          <w:rtl/>
        </w:rPr>
        <w:t>קובעת</w:t>
      </w:r>
      <w:r w:rsidR="00D60912">
        <w:rPr>
          <w:rFonts w:hint="cs"/>
          <w:rtl/>
        </w:rPr>
        <w:t>)</w:t>
      </w:r>
      <w:r>
        <w:rPr>
          <w:rFonts w:hint="cs"/>
          <w:rtl/>
        </w:rPr>
        <w:t>, הרי בקו הזה</w:t>
      </w:r>
      <w:r w:rsidR="003928E8">
        <w:rPr>
          <w:rFonts w:hint="cs"/>
          <w:rtl/>
        </w:rPr>
        <w:t xml:space="preserve"> </w:t>
      </w:r>
      <w:r>
        <w:rPr>
          <w:rFonts w:hint="cs"/>
          <w:rtl/>
        </w:rPr>
        <w:t xml:space="preserve">ציירנו את גובה האדם מצד הצורה. המקרים הם רק </w:t>
      </w:r>
      <w:r w:rsidR="003928E8">
        <w:rPr>
          <w:rFonts w:hint="cs"/>
          <w:rtl/>
        </w:rPr>
        <w:t xml:space="preserve">משום שטבע העולם החומרי שעצם צריך גובה </w:t>
      </w:r>
      <w:r w:rsidR="00531BEA">
        <w:rPr>
          <w:rFonts w:hint="cs"/>
          <w:rtl/>
        </w:rPr>
        <w:t>מדויק</w:t>
      </w:r>
      <w:r w:rsidR="003928E8">
        <w:rPr>
          <w:rFonts w:hint="cs"/>
          <w:rtl/>
        </w:rPr>
        <w:t xml:space="preserve">, ולכן במקרה אדם זה הוא בגובה מטר שבעים בדיוק וחברו בגובה מטר שמונים בדיוק. </w:t>
      </w:r>
      <w:r w:rsidR="006C23FF">
        <w:rPr>
          <w:rFonts w:hint="cs"/>
          <w:rtl/>
        </w:rPr>
        <w:t>המקרה של גובה</w:t>
      </w:r>
      <w:r w:rsidR="00DC2FD0">
        <w:rPr>
          <w:rFonts w:hint="cs"/>
          <w:rtl/>
        </w:rPr>
        <w:t xml:space="preserve"> מטר ושבעים</w:t>
      </w:r>
      <w:r w:rsidR="006C23FF">
        <w:rPr>
          <w:rFonts w:hint="cs"/>
          <w:rtl/>
        </w:rPr>
        <w:t xml:space="preserve"> הוא חלק מהצורה בכך שהוא בתוך הרוחב, </w:t>
      </w:r>
      <w:r w:rsidR="00DC2FD0">
        <w:rPr>
          <w:rFonts w:hint="cs"/>
          <w:rtl/>
        </w:rPr>
        <w:t>והגובה המדויק שהוא דווקא כך ולא מטר ושמונים זה מקרה "טהור" שלא נובע מהצורה, אלא מהכנת החומר</w:t>
      </w:r>
      <w:r w:rsidR="00341941">
        <w:rPr>
          <w:rFonts w:hint="cs"/>
          <w:rtl/>
        </w:rPr>
        <w:t xml:space="preserve"> (שחומרו המסוים של אדם </w:t>
      </w:r>
      <w:r w:rsidR="005677CF">
        <w:rPr>
          <w:rFonts w:hint="cs"/>
          <w:rtl/>
        </w:rPr>
        <w:t>מסוים</w:t>
      </w:r>
      <w:r w:rsidR="00341941">
        <w:rPr>
          <w:rFonts w:hint="cs"/>
          <w:rtl/>
        </w:rPr>
        <w:t xml:space="preserve"> יש בו הרכבת מזג יסודות שמוכן לקבל דווקא גובה מטר ושבעים ולא גובה</w:t>
      </w:r>
      <w:r w:rsidR="009C7938">
        <w:rPr>
          <w:rFonts w:hint="cs"/>
          <w:rtl/>
        </w:rPr>
        <w:t xml:space="preserve"> </w:t>
      </w:r>
      <w:r w:rsidR="00341941">
        <w:rPr>
          <w:rFonts w:hint="cs"/>
          <w:rtl/>
        </w:rPr>
        <w:t>מטר ושמונים</w:t>
      </w:r>
      <w:r w:rsidR="009C7938">
        <w:rPr>
          <w:rFonts w:hint="cs"/>
          <w:rtl/>
        </w:rPr>
        <w:t>),</w:t>
      </w:r>
      <w:r w:rsidR="00DC2FD0">
        <w:rPr>
          <w:rFonts w:hint="cs"/>
          <w:rtl/>
        </w:rPr>
        <w:t xml:space="preserve"> </w:t>
      </w:r>
      <w:r w:rsidR="009C7938">
        <w:rPr>
          <w:rFonts w:hint="cs"/>
          <w:rtl/>
        </w:rPr>
        <w:t>ו</w:t>
      </w:r>
      <w:r w:rsidR="00DC2FD0">
        <w:rPr>
          <w:rFonts w:hint="cs"/>
          <w:rtl/>
        </w:rPr>
        <w:t>אין ב</w:t>
      </w:r>
      <w:r w:rsidR="009C7938">
        <w:rPr>
          <w:rFonts w:hint="cs"/>
          <w:rtl/>
        </w:rPr>
        <w:t>ז</w:t>
      </w:r>
      <w:r w:rsidR="00DC2FD0">
        <w:rPr>
          <w:rFonts w:hint="cs"/>
          <w:rtl/>
        </w:rPr>
        <w:t>ה השגת שכל כלל ו</w:t>
      </w:r>
      <w:r w:rsidR="009C7938">
        <w:rPr>
          <w:rFonts w:hint="cs"/>
          <w:rtl/>
        </w:rPr>
        <w:t>זה</w:t>
      </w:r>
      <w:r w:rsidR="00DC2FD0">
        <w:rPr>
          <w:rFonts w:hint="cs"/>
          <w:rtl/>
        </w:rPr>
        <w:t xml:space="preserve"> גילוי רצון אלוהי שמעל השכל ומעל הצורות. </w:t>
      </w:r>
      <w:r w:rsidR="003B614E">
        <w:rPr>
          <w:rFonts w:hint="cs"/>
          <w:rtl/>
        </w:rPr>
        <w:t xml:space="preserve"> </w:t>
      </w:r>
      <w:r w:rsidR="00BB21AA">
        <w:rPr>
          <w:rFonts w:hint="cs"/>
          <w:rtl/>
        </w:rPr>
        <w:t xml:space="preserve"> </w:t>
      </w:r>
    </w:p>
    <w:p w14:paraId="450E340E" w14:textId="04F71D77" w:rsidR="00DC76B3" w:rsidRDefault="00F92BBE" w:rsidP="002E1235">
      <w:pPr>
        <w:pStyle w:val="FootnoteText"/>
      </w:pPr>
      <w:r>
        <w:rPr>
          <w:rFonts w:hint="cs"/>
          <w:rtl/>
        </w:rPr>
        <w:t>הצורה שקובעת מהות מצד עצמה היא מופשטת, והיא מקיימת את העצם ו</w:t>
      </w:r>
      <w:r w:rsidR="001B2471">
        <w:rPr>
          <w:rFonts w:hint="cs"/>
          <w:rtl/>
        </w:rPr>
        <w:t xml:space="preserve">רק </w:t>
      </w:r>
      <w:r>
        <w:rPr>
          <w:rFonts w:hint="cs"/>
          <w:rtl/>
        </w:rPr>
        <w:t xml:space="preserve">אחר כך מצד סדר </w:t>
      </w:r>
      <w:r w:rsidR="001B2471">
        <w:rPr>
          <w:rFonts w:hint="cs"/>
          <w:rtl/>
        </w:rPr>
        <w:t xml:space="preserve">ההוויה מקיימת את צד החומר של העצם. אמנם </w:t>
      </w:r>
      <w:r w:rsidR="007F4CC8">
        <w:rPr>
          <w:rFonts w:hint="cs"/>
          <w:rtl/>
        </w:rPr>
        <w:t xml:space="preserve">בחינת </w:t>
      </w:r>
      <w:r w:rsidR="001B2471">
        <w:rPr>
          <w:rFonts w:hint="cs"/>
          <w:rtl/>
        </w:rPr>
        <w:t>הצורה שהיא רוחב המקרים</w:t>
      </w:r>
      <w:r w:rsidR="007F4CC8">
        <w:rPr>
          <w:rFonts w:hint="cs"/>
          <w:rtl/>
        </w:rPr>
        <w:t>, היא</w:t>
      </w:r>
      <w:r w:rsidR="001B2471">
        <w:rPr>
          <w:rFonts w:hint="cs"/>
          <w:rtl/>
        </w:rPr>
        <w:t xml:space="preserve"> </w:t>
      </w:r>
      <w:r w:rsidR="007F4CC8">
        <w:rPr>
          <w:rFonts w:hint="cs"/>
          <w:rtl/>
        </w:rPr>
        <w:t>אינה מקיימת את החומר של העצם, אלא אחרי שמצד סדר ההוויה יש כבר עצם בעל חומר, כעת נוספים על גבי העצם המקרים שמצד סדר ההוויה מאוחרים לחומר.</w:t>
      </w:r>
    </w:p>
  </w:footnote>
  <w:footnote w:id="701">
    <w:p w14:paraId="700DAB59" w14:textId="71EBF90D" w:rsidR="008C766D" w:rsidRDefault="008D2E15">
      <w:pPr>
        <w:pStyle w:val="FootnoteText"/>
        <w:rPr>
          <w:rtl/>
        </w:rPr>
      </w:pPr>
      <w:r>
        <w:rPr>
          <w:rStyle w:val="FootnoteReference"/>
        </w:rPr>
        <w:footnoteRef/>
      </w:r>
      <w:r>
        <w:rPr>
          <w:rtl/>
        </w:rPr>
        <w:t xml:space="preserve"> </w:t>
      </w:r>
      <w:r w:rsidR="00C4789F">
        <w:rPr>
          <w:rFonts w:hint="cs"/>
          <w:rtl/>
        </w:rPr>
        <w:t xml:space="preserve">מה שתרגמתי "הדברים" </w:t>
      </w:r>
      <w:r w:rsidRPr="00BD0BCF">
        <w:rPr>
          <w:rtl/>
        </w:rPr>
        <w:t>במקור</w:t>
      </w:r>
      <w:r w:rsidR="00C4789F">
        <w:rPr>
          <w:rFonts w:hint="cs"/>
          <w:rtl/>
        </w:rPr>
        <w:t xml:space="preserve"> הוא</w:t>
      </w:r>
      <w:r w:rsidRPr="00BD0BCF">
        <w:rPr>
          <w:rtl/>
        </w:rPr>
        <w:t xml:space="preserve"> </w:t>
      </w:r>
      <w:r w:rsidRPr="00BD0BCF">
        <w:rPr>
          <w:rFonts w:ascii="Arial" w:hAnsi="Arial" w:cs="Arial" w:hint="cs"/>
          <w:rtl/>
          <w:lang w:bidi="ar-SA"/>
        </w:rPr>
        <w:t>الهيئات</w:t>
      </w:r>
      <w:r w:rsidR="00BD0BCF">
        <w:rPr>
          <w:rFonts w:ascii="Arial" w:hAnsi="Arial" w:cs="Arial" w:hint="cs"/>
          <w:rtl/>
        </w:rPr>
        <w:t xml:space="preserve"> </w:t>
      </w:r>
      <w:r w:rsidR="00BD0BCF" w:rsidRPr="00BD0BCF">
        <w:rPr>
          <w:rtl/>
        </w:rPr>
        <w:t>(</w:t>
      </w:r>
      <w:r w:rsidR="00BD0BCF" w:rsidRPr="00BD0BCF">
        <w:rPr>
          <w:rtl/>
        </w:rPr>
        <w:t>הוויאת)</w:t>
      </w:r>
      <w:r w:rsidRPr="00BD0BCF">
        <w:rPr>
          <w:rtl/>
        </w:rPr>
        <w:t xml:space="preserve">. </w:t>
      </w:r>
      <w:r w:rsidR="0080695F">
        <w:rPr>
          <w:rFonts w:hint="cs"/>
          <w:rtl/>
        </w:rPr>
        <w:t>היא הצורה הערבית של המילה הוויות. יש ל</w:t>
      </w:r>
      <w:r w:rsidRPr="00BD0BCF">
        <w:rPr>
          <w:rtl/>
        </w:rPr>
        <w:t>מיל</w:t>
      </w:r>
      <w:r w:rsidR="00B42591" w:rsidRPr="00BD0BCF">
        <w:rPr>
          <w:rtl/>
        </w:rPr>
        <w:t>ה</w:t>
      </w:r>
      <w:r w:rsidRPr="00BD0BCF">
        <w:rPr>
          <w:rtl/>
        </w:rPr>
        <w:t xml:space="preserve"> זו משמעות של הוויות או ישויות </w:t>
      </w:r>
      <w:r w:rsidR="0043183A">
        <w:rPr>
          <w:rFonts w:hint="cs"/>
          <w:rtl/>
        </w:rPr>
        <w:t>(</w:t>
      </w:r>
      <w:r w:rsidRPr="00BD0BCF">
        <w:rPr>
          <w:rtl/>
        </w:rPr>
        <w:t>או יישים</w:t>
      </w:r>
      <w:r w:rsidR="0043183A">
        <w:rPr>
          <w:rFonts w:hint="cs"/>
          <w:rtl/>
        </w:rPr>
        <w:t>) או גופים</w:t>
      </w:r>
      <w:r w:rsidRPr="00BD0BCF">
        <w:rPr>
          <w:rtl/>
        </w:rPr>
        <w:t xml:space="preserve">, וגם משמעות של </w:t>
      </w:r>
      <w:r w:rsidR="00B42591" w:rsidRPr="00BD0BCF">
        <w:rPr>
          <w:rtl/>
        </w:rPr>
        <w:t xml:space="preserve">סדר </w:t>
      </w:r>
      <w:r w:rsidR="00644E40" w:rsidRPr="00BD0BCF">
        <w:rPr>
          <w:rtl/>
        </w:rPr>
        <w:t xml:space="preserve">או ארגון </w:t>
      </w:r>
      <w:r w:rsidR="009C463A" w:rsidRPr="00BD0BCF">
        <w:rPr>
          <w:rFonts w:hint="cs"/>
          <w:rtl/>
        </w:rPr>
        <w:t>מסוים</w:t>
      </w:r>
      <w:r w:rsidR="00B42591" w:rsidRPr="00BD0BCF">
        <w:rPr>
          <w:rtl/>
        </w:rPr>
        <w:t xml:space="preserve">. מקגיניס תרגם </w:t>
      </w:r>
      <w:bookmarkStart w:id="304" w:name="_Hlk117942233"/>
      <w:r w:rsidR="00644E40" w:rsidRPr="00BD0BCF">
        <w:t>dispositions</w:t>
      </w:r>
      <w:bookmarkEnd w:id="304"/>
      <w:r w:rsidR="00644E40" w:rsidRPr="00BD0BCF">
        <w:rPr>
          <w:rtl/>
        </w:rPr>
        <w:t xml:space="preserve"> </w:t>
      </w:r>
      <w:r w:rsidR="0061331E">
        <w:rPr>
          <w:rFonts w:hint="cs"/>
          <w:rtl/>
        </w:rPr>
        <w:t xml:space="preserve">(באנגלית למילה הזו יש משמעות של סדר </w:t>
      </w:r>
      <w:r w:rsidR="009C463A">
        <w:rPr>
          <w:rFonts w:hint="cs"/>
          <w:rtl/>
        </w:rPr>
        <w:t>מסוים</w:t>
      </w:r>
      <w:r w:rsidR="0061331E">
        <w:rPr>
          <w:rFonts w:hint="cs"/>
          <w:rtl/>
        </w:rPr>
        <w:t xml:space="preserve"> וגם משמעות של נטייה</w:t>
      </w:r>
      <w:r w:rsidR="009D5EB7">
        <w:rPr>
          <w:rFonts w:hint="cs"/>
          <w:rtl/>
        </w:rPr>
        <w:t xml:space="preserve"> מסויימת</w:t>
      </w:r>
      <w:r w:rsidR="0061331E">
        <w:rPr>
          <w:rFonts w:hint="cs"/>
          <w:rtl/>
        </w:rPr>
        <w:t>. המילה הערבית אין לה משמעות של נטייה)</w:t>
      </w:r>
      <w:r w:rsidR="00BE40D8">
        <w:rPr>
          <w:rFonts w:hint="cs"/>
          <w:rtl/>
        </w:rPr>
        <w:t>.</w:t>
      </w:r>
    </w:p>
    <w:p w14:paraId="33B05B87" w14:textId="464DF537" w:rsidR="008D2E15" w:rsidRDefault="00EA640D">
      <w:pPr>
        <w:pStyle w:val="FootnoteText"/>
      </w:pPr>
      <w:r>
        <w:rPr>
          <w:rFonts w:hint="cs"/>
          <w:rtl/>
        </w:rPr>
        <w:t xml:space="preserve">מה שהאדם בגובה מטר שבעים בדיוק ולא בגובה מטר שבעים ואחת זו המשמעות המדויקת ביותר של מקרה, </w:t>
      </w:r>
      <w:r w:rsidR="00D53E0E">
        <w:rPr>
          <w:rFonts w:hint="cs"/>
          <w:rtl/>
        </w:rPr>
        <w:t xml:space="preserve">אבל גם למה שמתחייב מהצורה שהגובה יהיה </w:t>
      </w:r>
      <w:r w:rsidR="00D0263F">
        <w:rPr>
          <w:rFonts w:hint="cs"/>
          <w:rtl/>
        </w:rPr>
        <w:t xml:space="preserve">ברוחב </w:t>
      </w:r>
      <w:r w:rsidR="00D53E0E">
        <w:rPr>
          <w:rFonts w:hint="cs"/>
          <w:rtl/>
        </w:rPr>
        <w:t xml:space="preserve">נניח מחצי מטר עד חמישה מטרים </w:t>
      </w:r>
      <w:r w:rsidR="00D0263F">
        <w:rPr>
          <w:rFonts w:hint="cs"/>
          <w:rtl/>
        </w:rPr>
        <w:t>אנו קוראים לזה מקרה, כי השכל לא משיג את זה כמהות האדם</w:t>
      </w:r>
      <w:r w:rsidR="000C0449">
        <w:rPr>
          <w:rFonts w:hint="cs"/>
          <w:rtl/>
        </w:rPr>
        <w:t>, אע"פ שזה כן המהות כי זה מתחייב מהצורה המהותית</w:t>
      </w:r>
      <w:r w:rsidR="00D0263F">
        <w:rPr>
          <w:rFonts w:hint="cs"/>
          <w:rtl/>
        </w:rPr>
        <w:t>.</w:t>
      </w:r>
      <w:r w:rsidR="00D53E0E">
        <w:rPr>
          <w:rFonts w:hint="cs"/>
          <w:rtl/>
        </w:rPr>
        <w:t xml:space="preserve"> </w:t>
      </w:r>
      <w:r>
        <w:rPr>
          <w:rFonts w:hint="cs"/>
          <w:rtl/>
        </w:rPr>
        <w:t xml:space="preserve"> </w:t>
      </w:r>
      <w:r w:rsidR="00D07B07">
        <w:rPr>
          <w:rFonts w:hint="cs"/>
          <w:rtl/>
        </w:rPr>
        <w:t xml:space="preserve"> </w:t>
      </w:r>
    </w:p>
  </w:footnote>
  <w:footnote w:id="702">
    <w:p w14:paraId="13537115" w14:textId="3F03F512" w:rsidR="002F7F13" w:rsidRDefault="002F7F13">
      <w:pPr>
        <w:pStyle w:val="FootnoteText"/>
      </w:pPr>
      <w:r>
        <w:rPr>
          <w:rStyle w:val="FootnoteReference"/>
        </w:rPr>
        <w:footnoteRef/>
      </w:r>
      <w:r>
        <w:rPr>
          <w:rtl/>
        </w:rPr>
        <w:t xml:space="preserve"> </w:t>
      </w:r>
      <w:r w:rsidR="0040500D" w:rsidRPr="00FD7755">
        <w:rPr>
          <w:rtl/>
        </w:rPr>
        <w:t xml:space="preserve">במקור </w:t>
      </w:r>
      <w:r w:rsidR="0040500D" w:rsidRPr="00FD7755">
        <w:rPr>
          <w:rFonts w:ascii="Arial" w:hAnsi="Arial" w:cs="Arial" w:hint="cs"/>
          <w:rtl/>
          <w:lang w:bidi="ar-SA"/>
        </w:rPr>
        <w:t>إضافة</w:t>
      </w:r>
      <w:r w:rsidR="0040500D" w:rsidRPr="00FD7755">
        <w:rPr>
          <w:rtl/>
          <w:lang w:bidi="ar-SA"/>
        </w:rPr>
        <w:t xml:space="preserve"> </w:t>
      </w:r>
      <w:r w:rsidR="0040500D" w:rsidRPr="00FD7755">
        <w:rPr>
          <w:rFonts w:ascii="Arial" w:hAnsi="Arial" w:cs="Arial" w:hint="cs"/>
          <w:rtl/>
          <w:lang w:bidi="ar-SA"/>
        </w:rPr>
        <w:t>المعية</w:t>
      </w:r>
      <w:r w:rsidR="0040500D" w:rsidRPr="00FD7755">
        <w:rPr>
          <w:rtl/>
        </w:rPr>
        <w:t xml:space="preserve"> (מעיה) </w:t>
      </w:r>
      <w:r w:rsidR="0081188B" w:rsidRPr="00FD7755">
        <w:rPr>
          <w:rtl/>
        </w:rPr>
        <w:t>והפירוש המילולי הוא "ביחד" (מהשורש הערבי '</w:t>
      </w:r>
      <w:r w:rsidR="0081188B" w:rsidRPr="00FD7755">
        <w:rPr>
          <w:rtl/>
        </w:rPr>
        <w:t>מע' שמקביל לצורה העברית '</w:t>
      </w:r>
      <w:r w:rsidR="00AC45DF" w:rsidRPr="00FD7755">
        <w:rPr>
          <w:rtl/>
        </w:rPr>
        <w:t>עִם</w:t>
      </w:r>
      <w:r w:rsidR="0081188B" w:rsidRPr="00FD7755">
        <w:rPr>
          <w:rtl/>
        </w:rPr>
        <w:t>'</w:t>
      </w:r>
      <w:r w:rsidR="00AC45DF" w:rsidRPr="00FD7755">
        <w:rPr>
          <w:rtl/>
        </w:rPr>
        <w:t>)</w:t>
      </w:r>
      <w:r w:rsidR="0081188B" w:rsidRPr="00FD7755">
        <w:rPr>
          <w:rtl/>
        </w:rPr>
        <w:t xml:space="preserve">. </w:t>
      </w:r>
      <w:r w:rsidR="00AC45DF" w:rsidRPr="00FD7755">
        <w:rPr>
          <w:rtl/>
        </w:rPr>
        <w:t xml:space="preserve">מקגיניס תרגם </w:t>
      </w:r>
      <w:r w:rsidR="00AC45DF" w:rsidRPr="00FD7755">
        <w:t>a relation of simultaneity</w:t>
      </w:r>
      <w:r w:rsidR="0042311C">
        <w:rPr>
          <w:rFonts w:hint="cs"/>
          <w:rtl/>
        </w:rPr>
        <w:t xml:space="preserve">, כלומר </w:t>
      </w:r>
      <w:r w:rsidR="00CA0CE5">
        <w:rPr>
          <w:rFonts w:hint="cs"/>
          <w:rtl/>
        </w:rPr>
        <w:t>"</w:t>
      </w:r>
      <w:r w:rsidR="0042311C">
        <w:rPr>
          <w:rFonts w:hint="cs"/>
          <w:rtl/>
        </w:rPr>
        <w:t>ביחד</w:t>
      </w:r>
      <w:r w:rsidR="00CA0CE5">
        <w:rPr>
          <w:rFonts w:hint="cs"/>
          <w:rtl/>
        </w:rPr>
        <w:t>"</w:t>
      </w:r>
      <w:r w:rsidR="0042311C">
        <w:rPr>
          <w:rFonts w:hint="cs"/>
          <w:rtl/>
        </w:rPr>
        <w:t xml:space="preserve"> </w:t>
      </w:r>
      <w:r w:rsidR="00CA0CE5">
        <w:rPr>
          <w:rFonts w:hint="cs"/>
          <w:rtl/>
        </w:rPr>
        <w:t>ל</w:t>
      </w:r>
      <w:r w:rsidR="0042311C">
        <w:rPr>
          <w:rFonts w:hint="cs"/>
          <w:rtl/>
        </w:rPr>
        <w:t xml:space="preserve">פירושו </w:t>
      </w:r>
      <w:r w:rsidR="00CA0CE5">
        <w:rPr>
          <w:rFonts w:hint="cs"/>
          <w:rtl/>
        </w:rPr>
        <w:t xml:space="preserve">הוא </w:t>
      </w:r>
      <w:r w:rsidR="0042311C">
        <w:rPr>
          <w:rFonts w:hint="cs"/>
          <w:rtl/>
        </w:rPr>
        <w:t>בו-זמנית</w:t>
      </w:r>
      <w:r w:rsidR="003E64BF" w:rsidRPr="00FD7755">
        <w:rPr>
          <w:rtl/>
        </w:rPr>
        <w:t xml:space="preserve">. </w:t>
      </w:r>
      <w:r w:rsidR="00915BB8">
        <w:rPr>
          <w:rFonts w:hint="cs"/>
          <w:rtl/>
        </w:rPr>
        <w:t xml:space="preserve">זו פרשנות שאינני בהכרח שולל אבל לא רציתי להכניס אותה לנוסח התרגום. </w:t>
      </w:r>
    </w:p>
  </w:footnote>
  <w:footnote w:id="703">
    <w:p w14:paraId="044EFE07" w14:textId="3C175D34" w:rsidR="004512D0" w:rsidRDefault="004512D0">
      <w:pPr>
        <w:pStyle w:val="FootnoteText"/>
      </w:pPr>
      <w:r>
        <w:rPr>
          <w:rStyle w:val="FootnoteReference"/>
        </w:rPr>
        <w:footnoteRef/>
      </w:r>
      <w:r>
        <w:rPr>
          <w:rtl/>
        </w:rPr>
        <w:t xml:space="preserve"> </w:t>
      </w:r>
      <w:r w:rsidR="005648C4">
        <w:rPr>
          <w:rFonts w:hint="cs"/>
          <w:rtl/>
        </w:rPr>
        <w:t>"הראשונה מהן" הכוונה הראשונה מבין השנייה והשלישית, דהיינו החלוקה השנייה, ש</w:t>
      </w:r>
      <w:r w:rsidR="00A50B48">
        <w:rPr>
          <w:rFonts w:hint="cs"/>
          <w:rtl/>
        </w:rPr>
        <w:t>לפי</w:t>
      </w:r>
      <w:r w:rsidR="002E4160">
        <w:rPr>
          <w:rFonts w:hint="cs"/>
          <w:rtl/>
        </w:rPr>
        <w:t>ה</w:t>
      </w:r>
      <w:r w:rsidR="00A50B48">
        <w:rPr>
          <w:rFonts w:hint="cs"/>
          <w:rtl/>
        </w:rPr>
        <w:t xml:space="preserve"> העצם קודם לחומר. העצם הוא "מה שהוא בחומר"</w:t>
      </w:r>
      <w:r w:rsidR="005648C4">
        <w:rPr>
          <w:rFonts w:hint="cs"/>
          <w:rtl/>
        </w:rPr>
        <w:t>.</w:t>
      </w:r>
      <w:r w:rsidR="00A50B48">
        <w:rPr>
          <w:rFonts w:hint="cs"/>
          <w:rtl/>
        </w:rPr>
        <w:t xml:space="preserve"> "הוא"</w:t>
      </w:r>
      <w:r w:rsidR="00A50B48">
        <w:rPr>
          <w:rFonts w:hint="cs"/>
        </w:rPr>
        <w:t xml:space="preserve"> </w:t>
      </w:r>
      <w:r w:rsidR="00A50B48">
        <w:rPr>
          <w:rFonts w:hint="cs"/>
          <w:rtl/>
        </w:rPr>
        <w:t>כלומר מהותו, הצורה, והכוונה שצורתו היא בחומר.</w:t>
      </w:r>
      <w:r w:rsidR="002E4160">
        <w:rPr>
          <w:rFonts w:hint="cs"/>
          <w:rtl/>
        </w:rPr>
        <w:t xml:space="preserve"> החלוקה השנייה מבין שתי האחרונות היא השלישית ולפיה החומר כשלעצמו קודם למקרים.</w:t>
      </w:r>
    </w:p>
  </w:footnote>
  <w:footnote w:id="704">
    <w:p w14:paraId="7A60644B" w14:textId="0361A778" w:rsidR="00045436" w:rsidRDefault="00045436">
      <w:pPr>
        <w:pStyle w:val="FootnoteText"/>
      </w:pPr>
      <w:r>
        <w:rPr>
          <w:rStyle w:val="FootnoteReference"/>
        </w:rPr>
        <w:footnoteRef/>
      </w:r>
      <w:r>
        <w:rPr>
          <w:rtl/>
        </w:rPr>
        <w:t xml:space="preserve"> </w:t>
      </w:r>
      <w:r w:rsidR="00F57E3D" w:rsidRPr="00516E4A">
        <w:rPr>
          <w:rtl/>
        </w:rPr>
        <w:t xml:space="preserve">במקור </w:t>
      </w:r>
      <w:r w:rsidR="00F57E3D" w:rsidRPr="00516E4A">
        <w:rPr>
          <w:rFonts w:ascii="Arial" w:hAnsi="Arial" w:cs="Arial" w:hint="cs"/>
          <w:rtl/>
          <w:lang w:bidi="ar-SA"/>
        </w:rPr>
        <w:t>المادة</w:t>
      </w:r>
      <w:r w:rsidR="00F57E3D" w:rsidRPr="00516E4A">
        <w:rPr>
          <w:rtl/>
          <w:lang w:bidi="ar-SA"/>
        </w:rPr>
        <w:t xml:space="preserve"> </w:t>
      </w:r>
      <w:r w:rsidR="00F57E3D" w:rsidRPr="00516E4A">
        <w:rPr>
          <w:rFonts w:ascii="Arial" w:hAnsi="Arial" w:cs="Arial" w:hint="cs"/>
          <w:rtl/>
          <w:lang w:bidi="ar-SA"/>
        </w:rPr>
        <w:t>الأولى</w:t>
      </w:r>
      <w:r w:rsidR="007F5318" w:rsidRPr="00516E4A">
        <w:rPr>
          <w:rtl/>
        </w:rPr>
        <w:t xml:space="preserve"> (אל </w:t>
      </w:r>
      <w:r w:rsidR="007F5318" w:rsidRPr="00516E4A">
        <w:rPr>
          <w:rtl/>
        </w:rPr>
        <w:t xml:space="preserve">מאדא אל אוואל). מאדא פירוש חומר באופן כללי, כל חומר של כל עצם. </w:t>
      </w:r>
      <w:r w:rsidR="00516E4A" w:rsidRPr="00516E4A">
        <w:rPr>
          <w:rtl/>
        </w:rPr>
        <w:t>גם הקרשים שמהם הנגר מכין את המיטה נקראים כך. החומר הראשון נקרא אצל אבן סינא ההיולי, ול</w:t>
      </w:r>
      <w:r w:rsidR="00516E4A">
        <w:rPr>
          <w:rFonts w:hint="cs"/>
          <w:rtl/>
        </w:rPr>
        <w:t>א</w:t>
      </w:r>
      <w:r w:rsidR="00516E4A" w:rsidRPr="00516E4A">
        <w:rPr>
          <w:rtl/>
        </w:rPr>
        <w:t xml:space="preserve"> כמו שכתוב כאן "החומר הראשון". </w:t>
      </w:r>
      <w:r w:rsidR="004A140B">
        <w:rPr>
          <w:rFonts w:hint="cs"/>
          <w:rtl/>
        </w:rPr>
        <w:t xml:space="preserve">המונחים אצל אבן סינא לא תמיד עקביים מבחינה לשונית, </w:t>
      </w:r>
      <w:r w:rsidR="001B7915">
        <w:rPr>
          <w:rFonts w:hint="cs"/>
          <w:rtl/>
        </w:rPr>
        <w:t xml:space="preserve">ולפעמים הוא משתמש בניסוחים שונים לציין אותה משמעות. אבל </w:t>
      </w:r>
      <w:r w:rsidR="004A140B">
        <w:rPr>
          <w:rFonts w:hint="cs"/>
          <w:rtl/>
        </w:rPr>
        <w:t>ייתכן ש</w:t>
      </w:r>
      <w:r w:rsidR="001B7915">
        <w:rPr>
          <w:rFonts w:hint="cs"/>
          <w:rtl/>
        </w:rPr>
        <w:t>כאן יש לזה טעם, ש</w:t>
      </w:r>
      <w:r w:rsidR="004A140B">
        <w:rPr>
          <w:rFonts w:hint="cs"/>
          <w:rtl/>
        </w:rPr>
        <w:t>אם מסתכלים על החו</w:t>
      </w:r>
      <w:r w:rsidR="001B7915">
        <w:rPr>
          <w:rFonts w:hint="cs"/>
          <w:rtl/>
        </w:rPr>
        <w:t>מ</w:t>
      </w:r>
      <w:r w:rsidR="004A140B">
        <w:rPr>
          <w:rFonts w:hint="cs"/>
          <w:rtl/>
        </w:rPr>
        <w:t xml:space="preserve">ר </w:t>
      </w:r>
      <w:r w:rsidR="001B7915">
        <w:rPr>
          <w:rFonts w:hint="cs"/>
          <w:rtl/>
        </w:rPr>
        <w:t>הראשון כש</w:t>
      </w:r>
      <w:r w:rsidR="00302D8B">
        <w:rPr>
          <w:rFonts w:hint="cs"/>
          <w:rtl/>
        </w:rPr>
        <w:t>ל</w:t>
      </w:r>
      <w:r w:rsidR="001B7915">
        <w:rPr>
          <w:rFonts w:hint="cs"/>
          <w:rtl/>
        </w:rPr>
        <w:t>עצמו אז הוא נקרא היולי,</w:t>
      </w:r>
      <w:r w:rsidR="00302D8B">
        <w:rPr>
          <w:rFonts w:hint="cs"/>
          <w:rtl/>
        </w:rPr>
        <w:t xml:space="preserve"> אבל אם מסתכלים עליו כעל הסיבה החומרית ה</w:t>
      </w:r>
      <w:r w:rsidR="00F92481">
        <w:rPr>
          <w:rFonts w:hint="cs"/>
          <w:rtl/>
        </w:rPr>
        <w:t>רחוק</w:t>
      </w:r>
      <w:r w:rsidR="00302D8B">
        <w:rPr>
          <w:rFonts w:hint="cs"/>
          <w:rtl/>
        </w:rPr>
        <w:t xml:space="preserve">ה של עצם </w:t>
      </w:r>
      <w:r w:rsidR="009C463A">
        <w:rPr>
          <w:rFonts w:hint="cs"/>
          <w:rtl/>
        </w:rPr>
        <w:t>מסוים</w:t>
      </w:r>
      <w:r w:rsidR="00302D8B">
        <w:rPr>
          <w:rFonts w:hint="cs"/>
          <w:rtl/>
        </w:rPr>
        <w:t xml:space="preserve"> אז הוא נקרא החומר הראשון של אותו עצם, מתוך התייחסות לחומרים ש</w:t>
      </w:r>
      <w:r w:rsidR="00804D4D">
        <w:rPr>
          <w:rFonts w:hint="cs"/>
          <w:rtl/>
        </w:rPr>
        <w:t xml:space="preserve">באים אחריו בשרשרת עד החומר הקרוב </w:t>
      </w:r>
      <w:r w:rsidR="00302D8B">
        <w:rPr>
          <w:rFonts w:hint="cs"/>
          <w:rtl/>
        </w:rPr>
        <w:t>של אותו עצם</w:t>
      </w:r>
      <w:r w:rsidR="00804D4D">
        <w:rPr>
          <w:rFonts w:hint="cs"/>
          <w:rtl/>
        </w:rPr>
        <w:t>, הוא הראשון באותה שרשרת</w:t>
      </w:r>
      <w:r w:rsidR="00302D8B">
        <w:rPr>
          <w:rFonts w:hint="cs"/>
          <w:rtl/>
        </w:rPr>
        <w:t xml:space="preserve">. למשל </w:t>
      </w:r>
      <w:r w:rsidR="005216CB">
        <w:rPr>
          <w:rFonts w:hint="cs"/>
          <w:rtl/>
        </w:rPr>
        <w:t xml:space="preserve">החומר הקרוב של אדם נניח שהוא הבשר. הבשר מצד עצמו הוא עצם שיש לו חומר וצורה, </w:t>
      </w:r>
      <w:r w:rsidR="004B56BC">
        <w:rPr>
          <w:rFonts w:hint="cs"/>
          <w:rtl/>
        </w:rPr>
        <w:t xml:space="preserve">ומצד עצמו הוא עצם ולא רק חומר ורק ביחס לאדם הוא ממלא תפקיד של חומר. </w:t>
      </w:r>
      <w:r w:rsidR="005216CB">
        <w:rPr>
          <w:rFonts w:hint="cs"/>
          <w:rtl/>
        </w:rPr>
        <w:t>והחומר של</w:t>
      </w:r>
      <w:r w:rsidR="004B56BC">
        <w:rPr>
          <w:rFonts w:hint="cs"/>
          <w:rtl/>
        </w:rPr>
        <w:t xml:space="preserve"> הבשר</w:t>
      </w:r>
      <w:r w:rsidR="005216CB">
        <w:rPr>
          <w:rFonts w:hint="cs"/>
          <w:rtl/>
        </w:rPr>
        <w:t xml:space="preserve"> נניח שהוא </w:t>
      </w:r>
      <w:r w:rsidR="004B56BC">
        <w:rPr>
          <w:rFonts w:hint="cs"/>
          <w:rtl/>
        </w:rPr>
        <w:t>נוזלים שונים רקמות שונות ועצמות וכן הלאה. אלה עצמים שיש להם מצד עצמם חומר וצורה, ורק ביחס לבשר הם נחשבים כחומר, ונניח ש</w:t>
      </w:r>
      <w:r w:rsidR="00516E2A">
        <w:rPr>
          <w:rFonts w:hint="cs"/>
          <w:rtl/>
        </w:rPr>
        <w:t>אלה החומר שלהם הוא עפר ואז ושמים ואוויר. גם היסודות הם מצד עצמם עצמים שיש להם צורה, והחומר שלהם הוא החומר הראשון</w:t>
      </w:r>
      <w:r w:rsidR="00EF1448">
        <w:rPr>
          <w:rFonts w:hint="cs"/>
          <w:rtl/>
        </w:rPr>
        <w:t>, ההיולי</w:t>
      </w:r>
      <w:r w:rsidR="00516E2A">
        <w:rPr>
          <w:rFonts w:hint="cs"/>
          <w:rtl/>
        </w:rPr>
        <w:t xml:space="preserve">. </w:t>
      </w:r>
      <w:r w:rsidR="0010116E">
        <w:rPr>
          <w:rFonts w:hint="cs"/>
          <w:rtl/>
        </w:rPr>
        <w:t xml:space="preserve">כשאני מתבונן באדם אני יכול להתבונן בחומר הקרוב שלו, שהוא הבשר, ואחר כך בחומר הקרוב של הבשר שהוא הרקמות ואחר כך בחומר הקרוב של הרקמות ואחר כך בחומר </w:t>
      </w:r>
      <w:r w:rsidR="00EF1448">
        <w:rPr>
          <w:rFonts w:hint="cs"/>
          <w:rtl/>
        </w:rPr>
        <w:t xml:space="preserve">הקרוב של היסודות ומזה אני רואה שהחומר האחרון, כלומר הראשון בשרשרת, הוא ההיולי. כשמסתכלים על ההיולי כחוליה בשרשרת החומרים של עצם </w:t>
      </w:r>
      <w:r w:rsidR="009C463A">
        <w:rPr>
          <w:rFonts w:hint="cs"/>
          <w:rtl/>
        </w:rPr>
        <w:t>מסוים</w:t>
      </w:r>
      <w:r w:rsidR="00EF1448">
        <w:rPr>
          <w:rFonts w:hint="cs"/>
          <w:rtl/>
        </w:rPr>
        <w:t xml:space="preserve">, אז הוא נקרא החומר הראשון כי הוא הראשון בשרשרת. אם מסתכלים עליו </w:t>
      </w:r>
      <w:r w:rsidR="00523F61">
        <w:rPr>
          <w:rFonts w:hint="cs"/>
          <w:rtl/>
        </w:rPr>
        <w:t>בפני עצמו כתוהו שנברא ראשון בבריאת העולם אז הוא לא חו</w:t>
      </w:r>
      <w:r w:rsidR="000A397E">
        <w:rPr>
          <w:rFonts w:hint="cs"/>
          <w:rtl/>
        </w:rPr>
        <w:t>ל</w:t>
      </w:r>
      <w:r w:rsidR="00523F61">
        <w:rPr>
          <w:rFonts w:hint="cs"/>
          <w:rtl/>
        </w:rPr>
        <w:t xml:space="preserve">יה בשרשרת ולא </w:t>
      </w:r>
      <w:r w:rsidR="009C463A">
        <w:rPr>
          <w:rFonts w:hint="cs"/>
          <w:rtl/>
        </w:rPr>
        <w:t>מדויק</w:t>
      </w:r>
      <w:r w:rsidR="00523F61">
        <w:rPr>
          <w:rFonts w:hint="cs"/>
          <w:rtl/>
        </w:rPr>
        <w:t xml:space="preserve"> לקרוא לו "ראשון"</w:t>
      </w:r>
      <w:r w:rsidR="00523F61">
        <w:rPr>
          <w:rFonts w:hint="cs"/>
        </w:rPr>
        <w:t xml:space="preserve"> </w:t>
      </w:r>
      <w:r w:rsidR="00523F61">
        <w:rPr>
          <w:rFonts w:hint="cs"/>
          <w:rtl/>
        </w:rPr>
        <w:t xml:space="preserve">אלא הוא נקרא </w:t>
      </w:r>
      <w:r w:rsidR="000A397E">
        <w:rPr>
          <w:rFonts w:hint="cs"/>
          <w:rtl/>
        </w:rPr>
        <w:t>"</w:t>
      </w:r>
      <w:r w:rsidR="00523F61">
        <w:rPr>
          <w:rFonts w:hint="cs"/>
          <w:rtl/>
        </w:rPr>
        <w:t>היולי</w:t>
      </w:r>
      <w:r w:rsidR="000A397E">
        <w:rPr>
          <w:rFonts w:hint="cs"/>
          <w:rtl/>
        </w:rPr>
        <w:t>"</w:t>
      </w:r>
      <w:r w:rsidR="00523F61">
        <w:rPr>
          <w:rFonts w:hint="cs"/>
          <w:rtl/>
        </w:rPr>
        <w:t>, כלומר מה</w:t>
      </w:r>
      <w:r w:rsidR="000A397E">
        <w:rPr>
          <w:rFonts w:hint="cs"/>
          <w:rtl/>
        </w:rPr>
        <w:t xml:space="preserve"> שאין בו שום צורה</w:t>
      </w:r>
      <w:r w:rsidR="005D032F">
        <w:rPr>
          <w:rFonts w:hint="cs"/>
          <w:rtl/>
        </w:rPr>
        <w:t xml:space="preserve"> ולכן מציאותו אינה מחוורת ואינה מושגת בשכל (כמו שכתב</w:t>
      </w:r>
      <w:r w:rsidR="000D7930">
        <w:rPr>
          <w:rFonts w:hint="cs"/>
          <w:rtl/>
        </w:rPr>
        <w:t xml:space="preserve"> </w:t>
      </w:r>
      <w:r w:rsidR="005D032F">
        <w:rPr>
          <w:rFonts w:hint="cs"/>
          <w:rtl/>
        </w:rPr>
        <w:t>רש"י על התוהו</w:t>
      </w:r>
      <w:r w:rsidR="007733CF">
        <w:rPr>
          <w:rFonts w:hint="cs"/>
          <w:rtl/>
        </w:rPr>
        <w:t>:</w:t>
      </w:r>
      <w:r w:rsidR="005D032F">
        <w:rPr>
          <w:rFonts w:hint="cs"/>
          <w:rtl/>
        </w:rPr>
        <w:t xml:space="preserve"> "</w:t>
      </w:r>
      <w:r w:rsidR="00A244B0" w:rsidRPr="00A244B0">
        <w:rPr>
          <w:rtl/>
        </w:rPr>
        <w:t>תֹהוּ וָבֹהוּ – תֹּהוּ לָשׁוֹן תֵּמַהּ וְשִׁמָּמוֹן, שֶׁאָדָם תּוֹהֶה וּמִשְׁתּוֹמֵם עַל</w:t>
      </w:r>
      <w:r w:rsidR="00A244B0">
        <w:rPr>
          <w:rFonts w:hint="cs"/>
          <w:rtl/>
        </w:rPr>
        <w:t xml:space="preserve"> </w:t>
      </w:r>
      <w:r w:rsidR="00A244B0" w:rsidRPr="00A244B0">
        <w:rPr>
          <w:rtl/>
        </w:rPr>
        <w:t>בֹּהוּ שֶׁבָּהּ.</w:t>
      </w:r>
      <w:r w:rsidR="00930711">
        <w:rPr>
          <w:rFonts w:hint="cs"/>
          <w:rtl/>
        </w:rPr>
        <w:t>"</w:t>
      </w:r>
      <w:r w:rsidR="005D032F">
        <w:rPr>
          <w:rFonts w:hint="cs"/>
          <w:rtl/>
        </w:rPr>
        <w:t>),</w:t>
      </w:r>
      <w:r w:rsidR="00523F61">
        <w:rPr>
          <w:rFonts w:hint="cs"/>
          <w:rtl/>
        </w:rPr>
        <w:t xml:space="preserve"> </w:t>
      </w:r>
      <w:r w:rsidR="005D032F">
        <w:rPr>
          <w:rFonts w:hint="cs"/>
          <w:rtl/>
        </w:rPr>
        <w:t xml:space="preserve">ויש בו רק את ה'בכח' של מה שיכול לצאת אל הפועל ולקבל מציאות מחוורת. </w:t>
      </w:r>
      <w:r w:rsidR="004B56BC">
        <w:rPr>
          <w:rFonts w:hint="cs"/>
          <w:rtl/>
        </w:rPr>
        <w:t xml:space="preserve"> </w:t>
      </w:r>
    </w:p>
  </w:footnote>
  <w:footnote w:id="705">
    <w:p w14:paraId="48C0D449" w14:textId="31BFC6E9" w:rsidR="00A92D8F" w:rsidRDefault="00A92D8F">
      <w:pPr>
        <w:pStyle w:val="FootnoteText"/>
      </w:pPr>
      <w:r>
        <w:rPr>
          <w:rStyle w:val="FootnoteReference"/>
        </w:rPr>
        <w:footnoteRef/>
      </w:r>
      <w:r>
        <w:rPr>
          <w:rtl/>
        </w:rPr>
        <w:t xml:space="preserve"> </w:t>
      </w:r>
      <w:r>
        <w:rPr>
          <w:rFonts w:hint="cs"/>
          <w:rtl/>
        </w:rPr>
        <w:t xml:space="preserve">כלומר הצורה והמקרים. </w:t>
      </w:r>
    </w:p>
  </w:footnote>
  <w:footnote w:id="706">
    <w:p w14:paraId="6D0F737D" w14:textId="4EC70621" w:rsidR="00F25A6D" w:rsidRDefault="00F25A6D">
      <w:pPr>
        <w:pStyle w:val="FootnoteText"/>
      </w:pPr>
      <w:r>
        <w:rPr>
          <w:rStyle w:val="FootnoteReference"/>
        </w:rPr>
        <w:footnoteRef/>
      </w:r>
      <w:r>
        <w:rPr>
          <w:rtl/>
        </w:rPr>
        <w:t xml:space="preserve"> </w:t>
      </w:r>
      <w:r>
        <w:rPr>
          <w:rFonts w:hint="cs"/>
          <w:rtl/>
        </w:rPr>
        <w:t>העצם שנעשה מהחומר.</w:t>
      </w:r>
    </w:p>
  </w:footnote>
  <w:footnote w:id="707">
    <w:p w14:paraId="7732C20B" w14:textId="6AA085AF" w:rsidR="00C56291" w:rsidRDefault="00C56291">
      <w:pPr>
        <w:pStyle w:val="FootnoteText"/>
      </w:pPr>
      <w:r>
        <w:rPr>
          <w:rStyle w:val="FootnoteReference"/>
        </w:rPr>
        <w:footnoteRef/>
      </w:r>
      <w:r>
        <w:rPr>
          <w:rtl/>
        </w:rPr>
        <w:t xml:space="preserve"> </w:t>
      </w:r>
      <w:r w:rsidR="000A163F">
        <w:rPr>
          <w:rFonts w:hint="cs"/>
          <w:rtl/>
        </w:rPr>
        <w:t>החומר הוא חלק ממציאותו של העצם</w:t>
      </w:r>
      <w:r w:rsidR="004C67A4">
        <w:rPr>
          <w:rFonts w:hint="cs"/>
          <w:rtl/>
        </w:rPr>
        <w:t xml:space="preserve"> שנעשה ממנו</w:t>
      </w:r>
      <w:r w:rsidR="000A163F">
        <w:rPr>
          <w:rFonts w:hint="cs"/>
          <w:rtl/>
        </w:rPr>
        <w:t xml:space="preserve">. </w:t>
      </w:r>
    </w:p>
  </w:footnote>
  <w:footnote w:id="708">
    <w:p w14:paraId="63193759" w14:textId="260BE8CC" w:rsidR="005863C3" w:rsidRDefault="00262F2F">
      <w:pPr>
        <w:pStyle w:val="FootnoteText"/>
        <w:rPr>
          <w:rtl/>
        </w:rPr>
      </w:pPr>
      <w:r>
        <w:rPr>
          <w:rStyle w:val="FootnoteReference"/>
        </w:rPr>
        <w:footnoteRef/>
      </w:r>
      <w:r>
        <w:rPr>
          <w:rtl/>
        </w:rPr>
        <w:t xml:space="preserve"> </w:t>
      </w:r>
      <w:r w:rsidR="002E0939">
        <w:rPr>
          <w:rFonts w:hint="cs"/>
          <w:rtl/>
        </w:rPr>
        <w:t xml:space="preserve">היחס </w:t>
      </w:r>
      <w:r w:rsidR="004C67A4">
        <w:rPr>
          <w:rFonts w:hint="cs"/>
          <w:rtl/>
        </w:rPr>
        <w:t xml:space="preserve">שמדובר בו כאן הוא היחס </w:t>
      </w:r>
      <w:r w:rsidR="002E0939">
        <w:rPr>
          <w:rFonts w:hint="cs"/>
          <w:rtl/>
        </w:rPr>
        <w:t>שבין החומר לעצם שנעשה ממנו.</w:t>
      </w:r>
      <w:r w:rsidR="003C6D13">
        <w:rPr>
          <w:rFonts w:hint="cs"/>
          <w:rtl/>
        </w:rPr>
        <w:t xml:space="preserve"> היחס בין החומר </w:t>
      </w:r>
      <w:r w:rsidR="00E77FCA">
        <w:rPr>
          <w:rFonts w:hint="cs"/>
          <w:rtl/>
        </w:rPr>
        <w:t>ובין ה</w:t>
      </w:r>
      <w:r w:rsidR="003C6D13">
        <w:rPr>
          <w:rFonts w:hint="cs"/>
          <w:rtl/>
        </w:rPr>
        <w:t xml:space="preserve">עצם שעשוי ממנו הוא לא אותו מין של יחס כמו היחס שבין הצורה </w:t>
      </w:r>
      <w:r w:rsidR="00E77FCA">
        <w:rPr>
          <w:rFonts w:hint="cs"/>
          <w:rtl/>
        </w:rPr>
        <w:t>ובין ה</w:t>
      </w:r>
      <w:r w:rsidR="003C6D13">
        <w:rPr>
          <w:rFonts w:hint="cs"/>
          <w:rtl/>
        </w:rPr>
        <w:t xml:space="preserve">עצם שהיא צורתו. </w:t>
      </w:r>
      <w:r w:rsidR="00CB1320">
        <w:rPr>
          <w:rFonts w:hint="cs"/>
          <w:rtl/>
        </w:rPr>
        <w:t>היחס ש</w:t>
      </w:r>
      <w:r w:rsidR="0073517F">
        <w:rPr>
          <w:rFonts w:hint="cs"/>
          <w:rtl/>
        </w:rPr>
        <w:t>בין</w:t>
      </w:r>
      <w:r w:rsidR="00CB1320">
        <w:rPr>
          <w:rFonts w:hint="cs"/>
          <w:rtl/>
        </w:rPr>
        <w:t xml:space="preserve"> הצורה </w:t>
      </w:r>
      <w:r w:rsidR="0073517F">
        <w:rPr>
          <w:rFonts w:hint="cs"/>
          <w:rtl/>
        </w:rPr>
        <w:t>ובין</w:t>
      </w:r>
      <w:r w:rsidR="00CB1320">
        <w:rPr>
          <w:rFonts w:hint="cs"/>
          <w:rtl/>
        </w:rPr>
        <w:t xml:space="preserve"> העצ</w:t>
      </w:r>
      <w:r w:rsidR="0073517F">
        <w:rPr>
          <w:rFonts w:hint="cs"/>
          <w:rtl/>
        </w:rPr>
        <w:t>ם</w:t>
      </w:r>
      <w:r w:rsidR="00CB1320">
        <w:rPr>
          <w:rFonts w:hint="cs"/>
          <w:rtl/>
        </w:rPr>
        <w:t xml:space="preserve"> הוא מתוקן יותר מהיחס </w:t>
      </w:r>
      <w:r w:rsidR="0073517F">
        <w:rPr>
          <w:rFonts w:hint="cs"/>
          <w:rtl/>
        </w:rPr>
        <w:t xml:space="preserve">שבין החומר והעצם. </w:t>
      </w:r>
      <w:r w:rsidR="00F511CB">
        <w:rPr>
          <w:rFonts w:hint="cs"/>
          <w:rtl/>
        </w:rPr>
        <w:t>הצורה היא המהות וההגדרה של העצם והיא קובעת את מהותו, לעומת זאת החומר לא קובע שום דבר במהות העצם ולא</w:t>
      </w:r>
      <w:r w:rsidR="00F62643">
        <w:rPr>
          <w:rFonts w:hint="cs"/>
          <w:rtl/>
        </w:rPr>
        <w:t xml:space="preserve"> </w:t>
      </w:r>
      <w:r w:rsidR="00F511CB">
        <w:rPr>
          <w:rFonts w:hint="cs"/>
          <w:rtl/>
        </w:rPr>
        <w:t>מגדיר אותו</w:t>
      </w:r>
      <w:r w:rsidR="00F62643">
        <w:rPr>
          <w:rFonts w:hint="cs"/>
          <w:rtl/>
        </w:rPr>
        <w:t xml:space="preserve">. החומר רק גורם שהעצם נעשה 'קיים' במובן שונה מהמובן שהיה קיים כשהיה צורה מופשטת מחומר. </w:t>
      </w:r>
      <w:r w:rsidR="005863C3">
        <w:rPr>
          <w:rFonts w:hint="cs"/>
          <w:rtl/>
        </w:rPr>
        <w:t>למשל לאדם יש צורה, גם אחרי מותו נשארת הצורה והוא חי חיי נפש בעולם הבא המופשט מחומר, ושם הוא אותו אדם שהיה כאן, והוא קיים שם לא פחות ממה שהיה קיים כאן.</w:t>
      </w:r>
    </w:p>
    <w:p w14:paraId="700E9CBD" w14:textId="77777777" w:rsidR="00F0650B" w:rsidRDefault="00786907">
      <w:pPr>
        <w:pStyle w:val="FootnoteText"/>
        <w:rPr>
          <w:rtl/>
        </w:rPr>
      </w:pPr>
      <w:r>
        <w:rPr>
          <w:rFonts w:hint="cs"/>
          <w:rtl/>
        </w:rPr>
        <w:t xml:space="preserve">באגרת </w:t>
      </w:r>
      <w:r>
        <w:rPr>
          <w:rFonts w:hint="cs"/>
          <w:rtl/>
        </w:rPr>
        <w:t>תחית המתים כתב הרמב"ם</w:t>
      </w:r>
      <w:r w:rsidR="00F0650B">
        <w:rPr>
          <w:rFonts w:hint="cs"/>
          <w:rtl/>
        </w:rPr>
        <w:t>:</w:t>
      </w:r>
    </w:p>
    <w:p w14:paraId="28307E7B" w14:textId="77777777" w:rsidR="004C7644" w:rsidRDefault="00F95489">
      <w:pPr>
        <w:pStyle w:val="FootnoteText"/>
        <w:rPr>
          <w:rtl/>
        </w:rPr>
      </w:pPr>
      <w:r>
        <w:rPr>
          <w:rFonts w:hint="cs"/>
          <w:rtl/>
        </w:rPr>
        <w:t>"</w:t>
      </w:r>
      <w:r w:rsidRPr="00F95489">
        <w:rPr>
          <w:rtl/>
        </w:rPr>
        <w:t xml:space="preserve">מה שיעלה בדמיון ההמון אשר לא יאמינו שיש מציאות חזק רק לגוף </w:t>
      </w:r>
      <w:r>
        <w:rPr>
          <w:rFonts w:hint="cs"/>
          <w:rtl/>
        </w:rPr>
        <w:t>(</w:t>
      </w:r>
      <w:r w:rsidRPr="00F95489">
        <w:rPr>
          <w:rtl/>
        </w:rPr>
        <w:t>ומה שאינו גוף אבל הוא בגוף רצה לומר כמקרים הוא גם כן נמצא אצלם אבל אין חזקתו במציאותו כחוזק הגוף</w:t>
      </w:r>
      <w:r>
        <w:rPr>
          <w:rFonts w:hint="cs"/>
          <w:rtl/>
        </w:rPr>
        <w:t>),</w:t>
      </w:r>
      <w:r w:rsidRPr="00F95489">
        <w:rPr>
          <w:rtl/>
        </w:rPr>
        <w:t xml:space="preserve"> ואולם מה שאינו גוף ולא מקרה בגוף אינו נמצא אצל הסכלים אשר הם בלא ספק אף על פי שהזקינו גמולי מחלב עתיקי משדים</w:t>
      </w:r>
      <w:r w:rsidR="0066778C">
        <w:rPr>
          <w:rFonts w:hint="cs"/>
          <w:rtl/>
        </w:rPr>
        <w:t>,</w:t>
      </w:r>
      <w:r w:rsidRPr="00F95489">
        <w:rPr>
          <w:rtl/>
        </w:rPr>
        <w:t xml:space="preserve"> ומפני זה יאמינו רובם שהשם גוף אצלם שאם לא יהיה גוף אינו נמצא</w:t>
      </w:r>
      <w:r w:rsidR="0066778C">
        <w:rPr>
          <w:rFonts w:hint="cs"/>
          <w:rtl/>
        </w:rPr>
        <w:t>.</w:t>
      </w:r>
      <w:r w:rsidRPr="00F95489">
        <w:rPr>
          <w:rtl/>
        </w:rPr>
        <w:t xml:space="preserve"> ואמנם הנקראים חכמים באמת לא על דרך העברה הנה התבאר אצלם שכל נבדל מן החומר הוא יותר חזק המציאות מבעל החומר</w:t>
      </w:r>
      <w:r w:rsidR="0066778C">
        <w:rPr>
          <w:rFonts w:hint="cs"/>
          <w:rtl/>
        </w:rPr>
        <w:t>,</w:t>
      </w:r>
      <w:r w:rsidRPr="00F95489">
        <w:rPr>
          <w:rtl/>
        </w:rPr>
        <w:t xml:space="preserve"> ואין ראוי לומר יותר חזק אבל מציאות הנבדל יותר אמ</w:t>
      </w:r>
      <w:r w:rsidR="0066778C">
        <w:rPr>
          <w:rFonts w:hint="cs"/>
          <w:rtl/>
        </w:rPr>
        <w:t>י</w:t>
      </w:r>
      <w:r w:rsidRPr="00F95489">
        <w:rPr>
          <w:rtl/>
        </w:rPr>
        <w:t>תי מפני שלא ישיגהו אחד מאופני השנוי</w:t>
      </w:r>
      <w:r w:rsidR="0066778C">
        <w:rPr>
          <w:rFonts w:hint="cs"/>
          <w:rtl/>
        </w:rPr>
        <w:t>,</w:t>
      </w:r>
      <w:r w:rsidRPr="00F95489">
        <w:rPr>
          <w:rtl/>
        </w:rPr>
        <w:t xml:space="preserve"> והם אשר התבאר אצלם במופת שהשם אינו גוף ומפני זה מדרגת מציאותו יתעלה בתכלית הח</w:t>
      </w:r>
      <w:r w:rsidR="0066778C">
        <w:rPr>
          <w:rFonts w:hint="cs"/>
          <w:rtl/>
        </w:rPr>
        <w:t>י</w:t>
      </w:r>
      <w:r w:rsidRPr="00F95489">
        <w:rPr>
          <w:rtl/>
        </w:rPr>
        <w:t>זוק</w:t>
      </w:r>
      <w:r w:rsidR="004C7644">
        <w:rPr>
          <w:rFonts w:hint="cs"/>
          <w:rtl/>
        </w:rPr>
        <w:t>,</w:t>
      </w:r>
      <w:r w:rsidRPr="00F95489">
        <w:rPr>
          <w:rtl/>
        </w:rPr>
        <w:t xml:space="preserve"> וכן כל נברא נבדל רוצה לומר המלאכים והשכל הוא במציאותו חזק מאד קיים יותר מכל גוף</w:t>
      </w:r>
      <w:r>
        <w:rPr>
          <w:rFonts w:hint="cs"/>
          <w:rtl/>
        </w:rPr>
        <w:t>"</w:t>
      </w:r>
    </w:p>
    <w:p w14:paraId="7E8D398C" w14:textId="77777777" w:rsidR="00CB6AFD" w:rsidRDefault="002E5FEA">
      <w:pPr>
        <w:pStyle w:val="FootnoteText"/>
        <w:rPr>
          <w:rtl/>
        </w:rPr>
      </w:pPr>
      <w:r>
        <w:rPr>
          <w:rFonts w:hint="cs"/>
          <w:rtl/>
        </w:rPr>
        <w:t>בעיני החכמים החומר רק מחליש את מציאותו של העצם, מבחינה שכ</w:t>
      </w:r>
      <w:r w:rsidR="0009057A">
        <w:rPr>
          <w:rFonts w:hint="cs"/>
          <w:rtl/>
        </w:rPr>
        <w:t>ל</w:t>
      </w:r>
      <w:r>
        <w:rPr>
          <w:rFonts w:hint="cs"/>
          <w:rtl/>
        </w:rPr>
        <w:t>ית העצם כשמתלבש בחו</w:t>
      </w:r>
      <w:r w:rsidR="0009057A">
        <w:rPr>
          <w:rFonts w:hint="cs"/>
          <w:rtl/>
        </w:rPr>
        <w:t>מ</w:t>
      </w:r>
      <w:r>
        <w:rPr>
          <w:rFonts w:hint="cs"/>
          <w:rtl/>
        </w:rPr>
        <w:t>ר נעשה פחות קיים, ומבחינת כח הדמיון הוא נעש</w:t>
      </w:r>
      <w:r w:rsidR="0009057A">
        <w:rPr>
          <w:rFonts w:hint="cs"/>
          <w:rtl/>
        </w:rPr>
        <w:t xml:space="preserve">ה </w:t>
      </w:r>
      <w:r>
        <w:rPr>
          <w:rFonts w:hint="cs"/>
          <w:rtl/>
        </w:rPr>
        <w:t>יותר קיים</w:t>
      </w:r>
      <w:r w:rsidR="004C7644">
        <w:rPr>
          <w:rFonts w:hint="cs"/>
          <w:rtl/>
        </w:rPr>
        <w:t xml:space="preserve"> (לפי ההלכה מי שמת נחשב כאינו קיים כי צורתו נעשתה מופשטת ואין לו חומר, ולכן אשתו נישאת לאחר ויורדים לנכסי</w:t>
      </w:r>
      <w:r w:rsidR="006C78BB">
        <w:rPr>
          <w:rFonts w:hint="cs"/>
          <w:rtl/>
        </w:rPr>
        <w:t>ו. כי ההלכה היא לפי תפישת האדם כמו שהוא עם כח הדמיון שלו)</w:t>
      </w:r>
      <w:r>
        <w:rPr>
          <w:rFonts w:hint="cs"/>
          <w:rtl/>
        </w:rPr>
        <w:t xml:space="preserve">. </w:t>
      </w:r>
      <w:r w:rsidR="0009057A">
        <w:rPr>
          <w:rFonts w:hint="cs"/>
          <w:rtl/>
        </w:rPr>
        <w:t>מלבד הע</w:t>
      </w:r>
      <w:r w:rsidR="004C7644">
        <w:rPr>
          <w:rFonts w:hint="cs"/>
          <w:rtl/>
        </w:rPr>
        <w:t>נ</w:t>
      </w:r>
      <w:r w:rsidR="0009057A">
        <w:rPr>
          <w:rFonts w:hint="cs"/>
          <w:rtl/>
        </w:rPr>
        <w:t xml:space="preserve">יין </w:t>
      </w:r>
      <w:r w:rsidR="00EE19E2">
        <w:rPr>
          <w:rFonts w:hint="cs"/>
          <w:rtl/>
        </w:rPr>
        <w:t>העמום של אופן מציאות הצורה</w:t>
      </w:r>
      <w:r w:rsidR="0009057A">
        <w:rPr>
          <w:rFonts w:hint="cs"/>
          <w:rtl/>
        </w:rPr>
        <w:t xml:space="preserve"> החומר לא משפיע שום דבר על העצם</w:t>
      </w:r>
      <w:r w:rsidR="00EE19E2">
        <w:rPr>
          <w:rFonts w:hint="cs"/>
          <w:rtl/>
        </w:rPr>
        <w:t xml:space="preserve">, </w:t>
      </w:r>
      <w:r w:rsidR="00F165A2">
        <w:rPr>
          <w:rFonts w:hint="cs"/>
          <w:rtl/>
        </w:rPr>
        <w:t>ה</w:t>
      </w:r>
      <w:r w:rsidR="00EE19E2">
        <w:rPr>
          <w:rFonts w:hint="cs"/>
          <w:rtl/>
        </w:rPr>
        <w:t xml:space="preserve">אדם </w:t>
      </w:r>
      <w:r w:rsidR="00F165A2">
        <w:rPr>
          <w:rFonts w:hint="cs"/>
          <w:rtl/>
        </w:rPr>
        <w:t>לאחר שמת</w:t>
      </w:r>
      <w:r w:rsidR="00EE19E2">
        <w:rPr>
          <w:rFonts w:hint="cs"/>
          <w:rtl/>
        </w:rPr>
        <w:t xml:space="preserve"> יש לה</w:t>
      </w:r>
      <w:r w:rsidR="00F165A2">
        <w:rPr>
          <w:rFonts w:hint="cs"/>
          <w:rtl/>
        </w:rPr>
        <w:t>ו</w:t>
      </w:r>
      <w:r w:rsidR="00EE19E2">
        <w:rPr>
          <w:rFonts w:hint="cs"/>
          <w:rtl/>
        </w:rPr>
        <w:t xml:space="preserve"> אותה צורת אד</w:t>
      </w:r>
      <w:r w:rsidR="00F165A2">
        <w:rPr>
          <w:rFonts w:hint="cs"/>
          <w:rtl/>
        </w:rPr>
        <w:t>ם והוא אותו אדם</w:t>
      </w:r>
      <w:r w:rsidR="0009057A">
        <w:rPr>
          <w:rFonts w:hint="cs"/>
          <w:rtl/>
        </w:rPr>
        <w:t xml:space="preserve">. והרי שהיחס בין החומר </w:t>
      </w:r>
      <w:r w:rsidR="00FD6824">
        <w:rPr>
          <w:rFonts w:hint="cs"/>
          <w:rtl/>
        </w:rPr>
        <w:t>ובין ה</w:t>
      </w:r>
      <w:r w:rsidR="0009057A">
        <w:rPr>
          <w:rFonts w:hint="cs"/>
          <w:rtl/>
        </w:rPr>
        <w:t xml:space="preserve">עצם אינו ברור ואינו חד משמעי. </w:t>
      </w:r>
      <w:r w:rsidR="00FD6824">
        <w:rPr>
          <w:rFonts w:hint="cs"/>
          <w:rtl/>
        </w:rPr>
        <w:t xml:space="preserve">לכן הוא יחס פחות מתוקן מהיחס שבין הצורה ובין העצם, והוא מין אחר של יחס. </w:t>
      </w:r>
    </w:p>
    <w:p w14:paraId="323002EE" w14:textId="77777777" w:rsidR="0058457B" w:rsidRDefault="00515894">
      <w:pPr>
        <w:pStyle w:val="FootnoteText"/>
        <w:rPr>
          <w:rtl/>
        </w:rPr>
      </w:pPr>
      <w:r>
        <w:rPr>
          <w:rFonts w:hint="cs"/>
          <w:rtl/>
        </w:rPr>
        <w:t>מה שחומר נעשה לעצם זהו מכח הצורה</w:t>
      </w:r>
      <w:r w:rsidR="0040254D">
        <w:rPr>
          <w:rFonts w:hint="cs"/>
          <w:rtl/>
        </w:rPr>
        <w:t xml:space="preserve"> בלבד,</w:t>
      </w:r>
      <w:r>
        <w:rPr>
          <w:rFonts w:hint="cs"/>
          <w:rtl/>
        </w:rPr>
        <w:t xml:space="preserve"> ש</w:t>
      </w:r>
      <w:r w:rsidR="0040254D">
        <w:rPr>
          <w:rFonts w:hint="cs"/>
          <w:rtl/>
        </w:rPr>
        <w:t xml:space="preserve">היא כח פועל והיא </w:t>
      </w:r>
      <w:r>
        <w:rPr>
          <w:rFonts w:hint="cs"/>
          <w:rtl/>
        </w:rPr>
        <w:t>חלה ב</w:t>
      </w:r>
      <w:r w:rsidR="002E272E">
        <w:rPr>
          <w:rFonts w:hint="cs"/>
          <w:rtl/>
        </w:rPr>
        <w:t>חומר</w:t>
      </w:r>
      <w:r>
        <w:rPr>
          <w:rFonts w:hint="cs"/>
          <w:rtl/>
        </w:rPr>
        <w:t xml:space="preserve"> ו</w:t>
      </w:r>
      <w:r w:rsidR="002E272E">
        <w:rPr>
          <w:rFonts w:hint="cs"/>
          <w:rtl/>
        </w:rPr>
        <w:t>מצטיירת בו ו</w:t>
      </w:r>
      <w:r>
        <w:rPr>
          <w:rFonts w:hint="cs"/>
          <w:rtl/>
        </w:rPr>
        <w:t xml:space="preserve">מגדירה </w:t>
      </w:r>
      <w:r w:rsidR="0040254D">
        <w:rPr>
          <w:rFonts w:hint="cs"/>
          <w:rtl/>
        </w:rPr>
        <w:t>בו</w:t>
      </w:r>
      <w:r>
        <w:rPr>
          <w:rFonts w:hint="cs"/>
          <w:rtl/>
        </w:rPr>
        <w:t xml:space="preserve"> עצם בעל מהות מסויימת. </w:t>
      </w:r>
      <w:r w:rsidR="002E272E">
        <w:rPr>
          <w:rFonts w:hint="cs"/>
          <w:rtl/>
        </w:rPr>
        <w:t>כלומר היחס בין החומר שהיה לפני שנעשה העצם ובין העצם, הוא מכח הצורה בלבד</w:t>
      </w:r>
      <w:r w:rsidR="0040254D">
        <w:rPr>
          <w:rFonts w:hint="cs"/>
          <w:rtl/>
        </w:rPr>
        <w:t xml:space="preserve">. </w:t>
      </w:r>
      <w:r w:rsidR="00B7041F">
        <w:rPr>
          <w:rFonts w:hint="cs"/>
          <w:rtl/>
        </w:rPr>
        <w:t xml:space="preserve">החומר אין בו צורה והעצם יש בו את הצורה שהתחברה לחומר וציירה את העצם. בלי הצורה אין חומר ועצם, אלא יש רק חומר ואין עצם כלל. כלומר אפשר לראות ביחס שבין החומר ובין העצם שעשוי מהחומר הזה, יחס בין הצורה של העצם לעצם. </w:t>
      </w:r>
      <w:r w:rsidR="00502D1C">
        <w:rPr>
          <w:rFonts w:hint="cs"/>
          <w:rtl/>
        </w:rPr>
        <w:t xml:space="preserve">המעבר מהסתכלות על היחס שבין החומר לעצם להסתכלות על היחס שבין הצורה לעצם, הוא מעבר הכרחי, והוא </w:t>
      </w:r>
      <w:r w:rsidR="00D04D27">
        <w:rPr>
          <w:rFonts w:hint="cs"/>
          <w:rtl/>
        </w:rPr>
        <w:t xml:space="preserve">גורם שיהיה אפשר להסתכל על היחס בין סיבות העצם לעצם באופן מתוקן יותר. </w:t>
      </w:r>
    </w:p>
    <w:p w14:paraId="60B3F955" w14:textId="3E5635E9" w:rsidR="00262F2F" w:rsidRDefault="0058457B">
      <w:pPr>
        <w:pStyle w:val="FootnoteText"/>
        <w:rPr>
          <w:rtl/>
        </w:rPr>
      </w:pPr>
      <w:r>
        <w:rPr>
          <w:rFonts w:hint="cs"/>
          <w:rtl/>
        </w:rPr>
        <w:t>היחס שבין העצם לצורה אפשר לראותו גם כיחס בי</w:t>
      </w:r>
      <w:r w:rsidR="00D333AF">
        <w:rPr>
          <w:rFonts w:hint="cs"/>
          <w:rtl/>
        </w:rPr>
        <w:t>ן</w:t>
      </w:r>
      <w:r>
        <w:rPr>
          <w:rFonts w:hint="cs"/>
          <w:rtl/>
        </w:rPr>
        <w:t xml:space="preserve"> העצם לחומר,</w:t>
      </w:r>
      <w:r w:rsidR="00DC72B3">
        <w:t xml:space="preserve"> </w:t>
      </w:r>
      <w:r w:rsidR="004557E1">
        <w:rPr>
          <w:rFonts w:hint="cs"/>
          <w:rtl/>
        </w:rPr>
        <w:t xml:space="preserve">כי מצד הצורה אין הבדל אם היא קיימת כמופשטת מחומר או שהיא קיימת כצורת </w:t>
      </w:r>
      <w:r w:rsidR="004C3BEA">
        <w:rPr>
          <w:rFonts w:hint="cs"/>
          <w:rtl/>
        </w:rPr>
        <w:t xml:space="preserve">של </w:t>
      </w:r>
      <w:r w:rsidR="004557E1">
        <w:rPr>
          <w:rFonts w:hint="cs"/>
          <w:rtl/>
        </w:rPr>
        <w:t xml:space="preserve">עצם גשמי. </w:t>
      </w:r>
      <w:r w:rsidR="004C3BEA">
        <w:rPr>
          <w:rFonts w:hint="cs"/>
          <w:rtl/>
        </w:rPr>
        <w:t xml:space="preserve">כלומר אם מסתכלים רק על הצורה אז אין יחס בין הצורה לעצם כי אין חילוק בין הצורה לעצם, ויש רק דבר אחד ולא יחס בין שני דברים. </w:t>
      </w:r>
      <w:r w:rsidR="00E27BF7">
        <w:rPr>
          <w:rFonts w:hint="cs"/>
          <w:rtl/>
        </w:rPr>
        <w:t xml:space="preserve">מה שמחלק לשני דברים ומזה נולדת אפשרות ליחס ביניהם הוא רק החומר שהוא לבדו מה שמפריד את העצם מהצורה המופשטת. </w:t>
      </w:r>
    </w:p>
    <w:p w14:paraId="315CFA82" w14:textId="2A69D58D" w:rsidR="00E27BF7" w:rsidRDefault="00E27BF7">
      <w:pPr>
        <w:pStyle w:val="FootnoteText"/>
        <w:rPr>
          <w:rtl/>
        </w:rPr>
      </w:pPr>
      <w:r>
        <w:rPr>
          <w:rFonts w:hint="cs"/>
          <w:rtl/>
        </w:rPr>
        <w:t>כלומר היחס בין הצורה</w:t>
      </w:r>
      <w:r w:rsidR="00BF5B41">
        <w:rPr>
          <w:rFonts w:hint="cs"/>
          <w:rtl/>
        </w:rPr>
        <w:t xml:space="preserve"> </w:t>
      </w:r>
      <w:r>
        <w:rPr>
          <w:rFonts w:hint="cs"/>
          <w:rtl/>
        </w:rPr>
        <w:t>לעצם והיחס בין החומר לעצם הוא אותו עניין עצמו ואפשר</w:t>
      </w:r>
      <w:r w:rsidR="00BF5B41">
        <w:rPr>
          <w:rFonts w:hint="cs"/>
          <w:rtl/>
        </w:rPr>
        <w:t xml:space="preserve"> </w:t>
      </w:r>
      <w:r>
        <w:rPr>
          <w:rFonts w:hint="cs"/>
          <w:rtl/>
        </w:rPr>
        <w:t>להסתכל עליו משתי בחינות ולכן אפשר</w:t>
      </w:r>
      <w:r w:rsidR="00BF5B41">
        <w:rPr>
          <w:rFonts w:hint="cs"/>
          <w:rtl/>
        </w:rPr>
        <w:t xml:space="preserve"> </w:t>
      </w:r>
      <w:r>
        <w:rPr>
          <w:rFonts w:hint="cs"/>
          <w:rtl/>
        </w:rPr>
        <w:t>לעבור מבחינה אחת לשנייה וזה המעבר שאבן סינא מדבר בו כאן, ואומר שאם נעבור ל</w:t>
      </w:r>
      <w:r w:rsidR="00BF5B41">
        <w:rPr>
          <w:rFonts w:hint="cs"/>
          <w:rtl/>
        </w:rPr>
        <w:t xml:space="preserve">הסתכלות מצד הצורה היחס יהיה יותר ברור. </w:t>
      </w:r>
    </w:p>
    <w:p w14:paraId="1043FAB1" w14:textId="4EE850C7" w:rsidR="001C401C" w:rsidRDefault="001C401C" w:rsidP="001C401C">
      <w:pPr>
        <w:pStyle w:val="FootnoteText"/>
        <w:rPr>
          <w:rtl/>
        </w:rPr>
      </w:pPr>
      <w:r>
        <w:rPr>
          <w:rFonts w:hint="cs"/>
          <w:rtl/>
        </w:rPr>
        <w:t>העניין הזה</w:t>
      </w:r>
      <w:r w:rsidR="0070576A">
        <w:rPr>
          <w:rFonts w:hint="cs"/>
          <w:rtl/>
        </w:rPr>
        <w:t xml:space="preserve"> </w:t>
      </w:r>
      <w:r>
        <w:rPr>
          <w:rFonts w:hint="cs"/>
          <w:rtl/>
        </w:rPr>
        <w:t>הוא מה שכתב אפלטון בטימיאוס</w:t>
      </w:r>
      <w:r>
        <w:rPr>
          <w:rtl/>
        </w:rPr>
        <w:t xml:space="preserve"> </w:t>
      </w:r>
      <w:r w:rsidR="0047160A">
        <w:rPr>
          <w:rFonts w:hint="cs"/>
          <w:rtl/>
        </w:rPr>
        <w:t>דף</w:t>
      </w:r>
      <w:r>
        <w:rPr>
          <w:rtl/>
        </w:rPr>
        <w:t xml:space="preserve"> 49-50 (תרגום י. ג. ליבס):</w:t>
      </w:r>
    </w:p>
    <w:p w14:paraId="1AF510A6" w14:textId="77777777" w:rsidR="001C401C" w:rsidRDefault="001C401C" w:rsidP="001C401C">
      <w:pPr>
        <w:pStyle w:val="FootnoteText"/>
        <w:rPr>
          <w:rtl/>
        </w:rPr>
      </w:pPr>
      <w:r>
        <w:rPr>
          <w:rtl/>
        </w:rPr>
        <w:t xml:space="preserve">"אולם עכשיו, כנראה, </w:t>
      </w:r>
      <w:bookmarkStart w:id="306" w:name="_Hlk118930029"/>
      <w:r>
        <w:rPr>
          <w:rtl/>
        </w:rPr>
        <w:t>מכריחנו הגיון הדברים</w:t>
      </w:r>
      <w:bookmarkEnd w:id="306"/>
      <w:r>
        <w:rPr>
          <w:rtl/>
        </w:rPr>
        <w:t xml:space="preserve"> שנשתדל לגלות בדברינו מין נוסף, מוקשה ומעומעם [דהיינו החומר. הכוונה כאן לחומר הראשון, ההיולי]. מה הוא, אפוא, כוח הפעולה, ואיזה הוא הטבע שיש לייחסו למין ההוא? מכל וכל טבעו הוא כדלהלן: להיות בית קיבול, וכביכול אומנת, של כל התולדה.</w:t>
      </w:r>
    </w:p>
    <w:p w14:paraId="468C7A8F" w14:textId="77777777" w:rsidR="001C401C" w:rsidRDefault="001C401C" w:rsidP="001C401C">
      <w:pPr>
        <w:pStyle w:val="FootnoteText"/>
        <w:rPr>
          <w:rtl/>
        </w:rPr>
      </w:pPr>
      <w:r>
        <w:rPr>
          <w:rtl/>
        </w:rPr>
        <w:t>[...]</w:t>
      </w:r>
    </w:p>
    <w:p w14:paraId="2EC138B0" w14:textId="79F93777" w:rsidR="001C401C" w:rsidRDefault="001C401C" w:rsidP="001C401C">
      <w:pPr>
        <w:pStyle w:val="FootnoteText"/>
        <w:rPr>
          <w:rtl/>
        </w:rPr>
      </w:pPr>
      <w:r>
        <w:rPr>
          <w:rtl/>
        </w:rPr>
        <w:t>אולם לפי שעה עלינו להבחין בשלושה מיני דברים: מה שהולך ומתהווה [עולם האידיאות שהוא הצורות שנגלות בטבע]; זה שבתוכו מתהווה המתהווה [החומר]; וזה שכדמותו הוא נעשה [מקור הצורות, הבורא]. ואמנם ניתן להמשיל את המקבל - לאם, את מקור הצורה - לאב, ואת המתהווה ביניהם - לצאצאם.</w:t>
      </w:r>
      <w:r w:rsidR="0095490B">
        <w:rPr>
          <w:rFonts w:hint="cs"/>
          <w:rtl/>
        </w:rPr>
        <w:t>"</w:t>
      </w:r>
    </w:p>
    <w:p w14:paraId="7FF6878A" w14:textId="593C117D" w:rsidR="00734482" w:rsidRDefault="0095490B" w:rsidP="0050671B">
      <w:pPr>
        <w:pStyle w:val="FootnoteText"/>
      </w:pPr>
      <w:r>
        <w:rPr>
          <w:rFonts w:hint="cs"/>
          <w:rtl/>
        </w:rPr>
        <w:t xml:space="preserve">החיבור בין חומר לצורה שיוצר עצם טבעי, הוא בסוד הזיווג, </w:t>
      </w:r>
      <w:r w:rsidR="00DF12F9">
        <w:rPr>
          <w:rFonts w:hint="cs"/>
          <w:rtl/>
        </w:rPr>
        <w:t>הצורה היא האב והחומר הוא האם והעצם הוא הוולד. אהבה היא סוד כי יש בה צד ששני האוהבים הם אחד גמור</w:t>
      </w:r>
      <w:r w:rsidR="004761AE">
        <w:rPr>
          <w:rFonts w:hint="cs"/>
          <w:rtl/>
        </w:rPr>
        <w:t xml:space="preserve">, ויש בה צד שהם שניים, ושני הצדדים הם אותו צד עצמו ולכן זה סוד. </w:t>
      </w:r>
      <w:r w:rsidR="0050671B">
        <w:rPr>
          <w:rFonts w:hint="cs"/>
          <w:rtl/>
        </w:rPr>
        <w:t xml:space="preserve">זו הסתירה של מעשה מרכבה. </w:t>
      </w:r>
      <w:r w:rsidR="00DF12F9">
        <w:rPr>
          <w:rFonts w:hint="cs"/>
          <w:rtl/>
        </w:rPr>
        <w:t xml:space="preserve"> </w:t>
      </w:r>
    </w:p>
  </w:footnote>
  <w:footnote w:id="709">
    <w:p w14:paraId="2F8E32B4" w14:textId="5A949479" w:rsidR="00D40A56" w:rsidRDefault="00D40A56">
      <w:pPr>
        <w:pStyle w:val="FootnoteText"/>
      </w:pPr>
      <w:r>
        <w:rPr>
          <w:rStyle w:val="FootnoteReference"/>
        </w:rPr>
        <w:footnoteRef/>
      </w:r>
      <w:r>
        <w:rPr>
          <w:rtl/>
        </w:rPr>
        <w:t xml:space="preserve"> </w:t>
      </w:r>
      <w:r>
        <w:rPr>
          <w:rFonts w:hint="cs"/>
          <w:rtl/>
        </w:rPr>
        <w:t xml:space="preserve">כלומר </w:t>
      </w:r>
      <w:r w:rsidR="00615A8E">
        <w:rPr>
          <w:rFonts w:hint="cs"/>
          <w:rtl/>
        </w:rPr>
        <w:t>אם ה</w:t>
      </w:r>
      <w:r>
        <w:rPr>
          <w:rFonts w:hint="cs"/>
          <w:rtl/>
        </w:rPr>
        <w:t>חומר לבדו מס</w:t>
      </w:r>
      <w:r w:rsidR="00615A8E">
        <w:rPr>
          <w:rFonts w:hint="cs"/>
          <w:rtl/>
        </w:rPr>
        <w:t>פ</w:t>
      </w:r>
      <w:r>
        <w:rPr>
          <w:rFonts w:hint="cs"/>
          <w:rtl/>
        </w:rPr>
        <w:t>יק להיות החלק החומרי של העצם שיש בו חומר וצורה ביחד</w:t>
      </w:r>
      <w:r w:rsidR="00615A8E">
        <w:rPr>
          <w:rFonts w:hint="cs"/>
          <w:rtl/>
        </w:rPr>
        <w:t>.</w:t>
      </w:r>
    </w:p>
  </w:footnote>
  <w:footnote w:id="710">
    <w:p w14:paraId="5F3BD82F" w14:textId="49DAA016" w:rsidR="00492336" w:rsidRDefault="00492336">
      <w:pPr>
        <w:pStyle w:val="FootnoteText"/>
      </w:pPr>
      <w:r>
        <w:rPr>
          <w:rStyle w:val="FootnoteReference"/>
        </w:rPr>
        <w:footnoteRef/>
      </w:r>
      <w:r>
        <w:rPr>
          <w:rtl/>
        </w:rPr>
        <w:t xml:space="preserve"> </w:t>
      </w:r>
      <w:r>
        <w:rPr>
          <w:rFonts w:hint="cs"/>
          <w:rtl/>
        </w:rPr>
        <w:t xml:space="preserve">כל הדיון כאן הוא מתוך הסתכלות שיש מציאות לעצמים מופשטים שאין להם חומר, ויש </w:t>
      </w:r>
      <w:r w:rsidR="005872D9">
        <w:rPr>
          <w:rFonts w:hint="cs"/>
          <w:rtl/>
        </w:rPr>
        <w:t xml:space="preserve">גם </w:t>
      </w:r>
      <w:r>
        <w:rPr>
          <w:rFonts w:hint="cs"/>
          <w:rtl/>
        </w:rPr>
        <w:t xml:space="preserve">את החומר הראשון שאינו עצם, </w:t>
      </w:r>
      <w:r w:rsidR="005872D9">
        <w:rPr>
          <w:rFonts w:hint="cs"/>
          <w:rtl/>
        </w:rPr>
        <w:t xml:space="preserve">ומבין אלה יש את העצמים של העולם הטבעי שהם חומר וצורה ביחד, והנדון הוא היחסים בין כל אלה. </w:t>
      </w:r>
      <w:r w:rsidR="00312537">
        <w:rPr>
          <w:rFonts w:hint="cs"/>
          <w:rtl/>
        </w:rPr>
        <w:t>לכן יש צורך להזכיר כאן שרק חלק מהדברים יש להם חומר כ</w:t>
      </w:r>
      <w:r w:rsidR="00FB0466">
        <w:rPr>
          <w:rFonts w:hint="cs"/>
          <w:rtl/>
        </w:rPr>
        <w:t>ד</w:t>
      </w:r>
      <w:r w:rsidR="00312537">
        <w:rPr>
          <w:rFonts w:hint="cs"/>
          <w:rtl/>
        </w:rPr>
        <w:t xml:space="preserve">י </w:t>
      </w:r>
      <w:r w:rsidR="00FB0466">
        <w:rPr>
          <w:rFonts w:hint="cs"/>
          <w:rtl/>
        </w:rPr>
        <w:t xml:space="preserve">לעורר אותנו מההרגל </w:t>
      </w:r>
      <w:r w:rsidR="00312537">
        <w:rPr>
          <w:rFonts w:hint="cs"/>
          <w:rtl/>
        </w:rPr>
        <w:t>לחש</w:t>
      </w:r>
      <w:r w:rsidR="00FB0466">
        <w:rPr>
          <w:rFonts w:hint="cs"/>
          <w:rtl/>
        </w:rPr>
        <w:t>ו</w:t>
      </w:r>
      <w:r w:rsidR="00312537">
        <w:rPr>
          <w:rFonts w:hint="cs"/>
          <w:rtl/>
        </w:rPr>
        <w:t xml:space="preserve">ב שלכל נמצא יש חומר. </w:t>
      </w:r>
    </w:p>
  </w:footnote>
  <w:footnote w:id="711">
    <w:p w14:paraId="4C54C6BE" w14:textId="5A0F8E44" w:rsidR="00095E6F" w:rsidRDefault="00095E6F">
      <w:pPr>
        <w:pStyle w:val="FootnoteText"/>
      </w:pPr>
      <w:r>
        <w:rPr>
          <w:rStyle w:val="FootnoteReference"/>
        </w:rPr>
        <w:footnoteRef/>
      </w:r>
      <w:r>
        <w:rPr>
          <w:rtl/>
        </w:rPr>
        <w:t xml:space="preserve"> </w:t>
      </w:r>
      <w:r>
        <w:rPr>
          <w:rFonts w:hint="cs"/>
          <w:rtl/>
        </w:rPr>
        <w:t xml:space="preserve">לא ידוע לנו בדיוק על איזו מציאות רפואית אבן סינא מדבר כאן, ואפשר שהתרגום לא </w:t>
      </w:r>
      <w:r w:rsidR="009C463A">
        <w:rPr>
          <w:rFonts w:hint="cs"/>
          <w:rtl/>
        </w:rPr>
        <w:t>מדויק</w:t>
      </w:r>
      <w:r w:rsidR="00AD3D45">
        <w:rPr>
          <w:rFonts w:hint="cs"/>
          <w:rtl/>
        </w:rPr>
        <w:t xml:space="preserve"> (כתבתי לפי מקגיניס אבל גם הוא רק שיער בלי ידיעה ברורה)</w:t>
      </w:r>
      <w:r>
        <w:rPr>
          <w:rFonts w:hint="cs"/>
          <w:rtl/>
        </w:rPr>
        <w:t>. נראה שהכוונה היא שה</w:t>
      </w:r>
      <w:r w:rsidR="00CA203A">
        <w:rPr>
          <w:rFonts w:hint="cs"/>
          <w:rtl/>
        </w:rPr>
        <w:t>א</w:t>
      </w:r>
      <w:r>
        <w:rPr>
          <w:rFonts w:hint="cs"/>
          <w:rtl/>
        </w:rPr>
        <w:t>ספלנית</w:t>
      </w:r>
      <w:r w:rsidR="00654ACF">
        <w:rPr>
          <w:rFonts w:hint="cs"/>
          <w:rtl/>
        </w:rPr>
        <w:t>, כלומר תחבושת,</w:t>
      </w:r>
      <w:r>
        <w:rPr>
          <w:rFonts w:hint="cs"/>
          <w:rtl/>
        </w:rPr>
        <w:t xml:space="preserve"> בפני עצמה אינה העצם המבוקש </w:t>
      </w:r>
      <w:r w:rsidR="00654ACF">
        <w:rPr>
          <w:rFonts w:hint="cs"/>
          <w:rtl/>
        </w:rPr>
        <w:t>שהגדרתו 'עצם שמועיל לבריאות', כי לבדה אינה מועילה. אלא צריך לצרף אליה חומר אחר שהוא התרופות שנספגות בה, ושני החומרים מצטרפים ליצור עצם אחד שחומרו הוא האספלנית והתרופות ביחד</w:t>
      </w:r>
      <w:r w:rsidR="00B0258B">
        <w:rPr>
          <w:rFonts w:hint="cs"/>
          <w:rtl/>
        </w:rPr>
        <w:t>,</w:t>
      </w:r>
      <w:r w:rsidR="00654ACF">
        <w:rPr>
          <w:rFonts w:hint="cs"/>
          <w:rtl/>
        </w:rPr>
        <w:t xml:space="preserve"> ו</w:t>
      </w:r>
      <w:r w:rsidR="00B0258B">
        <w:rPr>
          <w:rFonts w:hint="cs"/>
          <w:rtl/>
        </w:rPr>
        <w:t xml:space="preserve">הצורה שחלה בשני החומרים כאחד </w:t>
      </w:r>
      <w:r w:rsidR="00654ACF">
        <w:rPr>
          <w:rFonts w:hint="cs"/>
          <w:rtl/>
        </w:rPr>
        <w:t xml:space="preserve"> היא 'עצם שמועיל לבריאות'. </w:t>
      </w:r>
      <w:r w:rsidR="00553EE4">
        <w:rPr>
          <w:rFonts w:hint="cs"/>
          <w:rtl/>
        </w:rPr>
        <w:t>אינני יודע איך אבן סינא הבין את העניין של מיצי עיכול</w:t>
      </w:r>
      <w:r w:rsidR="00E6288F">
        <w:rPr>
          <w:rFonts w:hint="cs"/>
          <w:rtl/>
        </w:rPr>
        <w:t xml:space="preserve"> (הוא היה מגדולי הרופאים בהיסטוריה והעמיק מאוד ב</w:t>
      </w:r>
      <w:r w:rsidR="00136843">
        <w:rPr>
          <w:rFonts w:hint="cs"/>
          <w:rtl/>
        </w:rPr>
        <w:t xml:space="preserve">דקויות ובמורכבות של </w:t>
      </w:r>
      <w:r w:rsidR="00E6288F">
        <w:rPr>
          <w:rFonts w:hint="cs"/>
          <w:rtl/>
        </w:rPr>
        <w:t>מדע הרפואה)</w:t>
      </w:r>
      <w:r w:rsidR="00553EE4">
        <w:rPr>
          <w:rFonts w:hint="cs"/>
          <w:rtl/>
        </w:rPr>
        <w:t xml:space="preserve"> אבל </w:t>
      </w:r>
      <w:r w:rsidR="00C40C2F">
        <w:rPr>
          <w:rFonts w:hint="cs"/>
          <w:rtl/>
        </w:rPr>
        <w:t xml:space="preserve">כנראה גם שם יש עניין דומה, שהמיצים המועילים לגוף הם צירוף של שני חומרים, והצורה של חומציות מועילה חלה על שני החומרים כאחד. </w:t>
      </w:r>
    </w:p>
  </w:footnote>
  <w:footnote w:id="712">
    <w:p w14:paraId="1A7C9E1A" w14:textId="459FDB1C" w:rsidR="00122B19" w:rsidRDefault="00122B19">
      <w:pPr>
        <w:pStyle w:val="FootnoteText"/>
      </w:pPr>
      <w:r>
        <w:rPr>
          <w:rStyle w:val="FootnoteReference"/>
        </w:rPr>
        <w:footnoteRef/>
      </w:r>
      <w:r>
        <w:rPr>
          <w:rtl/>
        </w:rPr>
        <w:t xml:space="preserve"> </w:t>
      </w:r>
      <w:r>
        <w:rPr>
          <w:rFonts w:hint="cs"/>
          <w:rtl/>
        </w:rPr>
        <w:t>העצם הטבעי.</w:t>
      </w:r>
    </w:p>
  </w:footnote>
  <w:footnote w:id="713">
    <w:p w14:paraId="09AD3F4C" w14:textId="1F01F32C" w:rsidR="000B24BB" w:rsidRDefault="000B24BB">
      <w:pPr>
        <w:pStyle w:val="FootnoteText"/>
      </w:pPr>
      <w:r>
        <w:rPr>
          <w:rStyle w:val="FootnoteReference"/>
        </w:rPr>
        <w:footnoteRef/>
      </w:r>
      <w:r>
        <w:rPr>
          <w:rtl/>
        </w:rPr>
        <w:t xml:space="preserve"> </w:t>
      </w:r>
      <w:r w:rsidR="004C0822">
        <w:rPr>
          <w:rFonts w:hint="cs"/>
          <w:rtl/>
        </w:rPr>
        <w:t>צורה.</w:t>
      </w:r>
    </w:p>
  </w:footnote>
  <w:footnote w:id="714">
    <w:p w14:paraId="6A7B9A0F" w14:textId="566A23A3" w:rsidR="00507C51" w:rsidRDefault="00507C51">
      <w:pPr>
        <w:pStyle w:val="FootnoteText"/>
      </w:pPr>
      <w:r>
        <w:rPr>
          <w:rStyle w:val="FootnoteReference"/>
        </w:rPr>
        <w:footnoteRef/>
      </w:r>
      <w:r>
        <w:rPr>
          <w:rtl/>
        </w:rPr>
        <w:t xml:space="preserve"> </w:t>
      </w:r>
      <w:r w:rsidR="00012C3C">
        <w:rPr>
          <w:rFonts w:hint="cs"/>
          <w:rtl/>
        </w:rPr>
        <w:t xml:space="preserve">החייל הוא עצם שהחומר שלו הוא האדם הפרטי והצורה שלו היא הצבא. בית שהוא חלק מהעיר הוא עצם שהחומר שלו הוא בית והצורה שלו היא העיר. </w:t>
      </w:r>
      <w:r w:rsidR="000E621E">
        <w:rPr>
          <w:rFonts w:hint="cs"/>
          <w:rtl/>
        </w:rPr>
        <w:t xml:space="preserve">במקרה כזה המציאות של העצם היא מכח החומר שלו בלבד </w:t>
      </w:r>
      <w:r w:rsidR="00110655">
        <w:rPr>
          <w:rFonts w:hint="cs"/>
          <w:rtl/>
        </w:rPr>
        <w:t>כי הצורה</w:t>
      </w:r>
      <w:r w:rsidR="008824B7">
        <w:rPr>
          <w:rFonts w:hint="cs"/>
          <w:rtl/>
        </w:rPr>
        <w:t xml:space="preserve"> </w:t>
      </w:r>
      <w:r w:rsidR="00110655">
        <w:rPr>
          <w:rFonts w:hint="cs"/>
          <w:rtl/>
        </w:rPr>
        <w:t>היא רק הצירוף של יחידות החומר ול</w:t>
      </w:r>
      <w:r w:rsidR="008824B7">
        <w:rPr>
          <w:rFonts w:hint="cs"/>
          <w:rtl/>
        </w:rPr>
        <w:t>א</w:t>
      </w:r>
      <w:r w:rsidR="00110655">
        <w:rPr>
          <w:rFonts w:hint="cs"/>
          <w:rtl/>
        </w:rPr>
        <w:t xml:space="preserve"> צורה </w:t>
      </w:r>
      <w:r w:rsidR="008824B7">
        <w:rPr>
          <w:rFonts w:hint="cs"/>
          <w:rtl/>
        </w:rPr>
        <w:t xml:space="preserve">קיימת ששורה בפועל על העצמים. 'צבא' זו לא צורה ששורה על האדם הפרטי שהוא החייל באופן שיש לה מציאות בו, </w:t>
      </w:r>
      <w:r w:rsidR="00D416E7">
        <w:rPr>
          <w:rFonts w:hint="cs"/>
          <w:rtl/>
        </w:rPr>
        <w:t xml:space="preserve">אלא הצורה של צבא היא רק צירוף של אנשים פרטיים נוספים ולא יותר מזה. לעומת זאת צורת כלב וצורת סוס גורמת שיש הבדל בדרך מציאותם של הכלב והסוס, ולכן </w:t>
      </w:r>
      <w:r w:rsidR="00B82C52">
        <w:rPr>
          <w:rFonts w:hint="cs"/>
          <w:rtl/>
        </w:rPr>
        <w:t>צורת כלב וצורת סוס</w:t>
      </w:r>
      <w:r w:rsidR="00D416E7">
        <w:rPr>
          <w:rFonts w:hint="cs"/>
          <w:rtl/>
        </w:rPr>
        <w:t xml:space="preserve"> </w:t>
      </w:r>
      <w:r w:rsidR="00B82C52">
        <w:rPr>
          <w:rFonts w:hint="cs"/>
          <w:rtl/>
        </w:rPr>
        <w:t xml:space="preserve">הן צורות שיש להן מציאות בעצם, ואילו לחייל או בית של עיר אין צורה </w:t>
      </w:r>
      <w:r w:rsidR="007954D6">
        <w:rPr>
          <w:rFonts w:hint="cs"/>
          <w:rtl/>
        </w:rPr>
        <w:t>באופן כזה, ולכן המציאות של החייל היא רק החומר דהיינו האדם הפרטי. כל חומר שאינו החומר הראשון הוא מצד עצמו עצם ב</w:t>
      </w:r>
      <w:r w:rsidR="00931498">
        <w:rPr>
          <w:rFonts w:hint="cs"/>
          <w:rtl/>
        </w:rPr>
        <w:t>ע</w:t>
      </w:r>
      <w:r w:rsidR="007954D6">
        <w:rPr>
          <w:rFonts w:hint="cs"/>
          <w:rtl/>
        </w:rPr>
        <w:t>ל חומר וצורה משלו</w:t>
      </w:r>
      <w:r w:rsidR="00E17928">
        <w:rPr>
          <w:rFonts w:hint="cs"/>
          <w:rtl/>
        </w:rPr>
        <w:t>,</w:t>
      </w:r>
      <w:r w:rsidR="007954D6">
        <w:rPr>
          <w:rFonts w:hint="cs"/>
          <w:rtl/>
        </w:rPr>
        <w:t xml:space="preserve"> </w:t>
      </w:r>
      <w:r w:rsidR="00E17928">
        <w:rPr>
          <w:rFonts w:hint="cs"/>
          <w:rtl/>
        </w:rPr>
        <w:t>ו</w:t>
      </w:r>
      <w:r w:rsidR="007954D6">
        <w:rPr>
          <w:rFonts w:hint="cs"/>
          <w:rtl/>
        </w:rPr>
        <w:t xml:space="preserve">רק ביחס למשהו אחר הוא יכול להיחשב חומר של אותו משהו אחר. למשל </w:t>
      </w:r>
      <w:r w:rsidR="00EE6729">
        <w:rPr>
          <w:rFonts w:hint="cs"/>
          <w:rtl/>
        </w:rPr>
        <w:t xml:space="preserve">מבחינת הבנאי אבנים הן חומר לבניין, אבל אצל מי שחוצב ומסתת אבני בניין האבן אצלו היא המוצר הסופי והיא עצם בעל חומר וצורה. </w:t>
      </w:r>
      <w:r w:rsidR="00452478">
        <w:rPr>
          <w:rFonts w:hint="cs"/>
          <w:rtl/>
        </w:rPr>
        <w:t xml:space="preserve">האבן מצד עצמה היא עצם בעל חומר וצורה, ורק ביחס לבניין הבנאי מחשיב אותה כחומר. </w:t>
      </w:r>
      <w:r w:rsidR="00992F8C">
        <w:rPr>
          <w:rFonts w:hint="cs"/>
          <w:rtl/>
        </w:rPr>
        <w:t xml:space="preserve">כך החייל נחשב חומר מבחינת הצבא, ממנו עושים את העצם שהוא הגדוד או את הצבא כולו, </w:t>
      </w:r>
      <w:r w:rsidR="00C53AB3">
        <w:rPr>
          <w:rFonts w:hint="cs"/>
          <w:rtl/>
        </w:rPr>
        <w:t>אבל מצד עצמו הוא עצם בעל חומר וצורה, כשהחומ</w:t>
      </w:r>
      <w:r w:rsidR="00844EE0">
        <w:rPr>
          <w:rFonts w:hint="cs"/>
          <w:rtl/>
        </w:rPr>
        <w:t>ר</w:t>
      </w:r>
      <w:r w:rsidR="00C53AB3">
        <w:rPr>
          <w:rFonts w:hint="cs"/>
          <w:rtl/>
        </w:rPr>
        <w:t xml:space="preserve"> שלו הוא הבשר והצורה היא צורת אדם, 'חי מדבר'. </w:t>
      </w:r>
      <w:r w:rsidR="00844EE0">
        <w:rPr>
          <w:rFonts w:hint="cs"/>
          <w:rtl/>
        </w:rPr>
        <w:t xml:space="preserve">לכן העצם שהוא החייל יכול להתקיים כחומר בלי צורה, כי החומר שלו כשהוא עומד לבד יש לו צורת אדם ובה הוא מתקיים. </w:t>
      </w:r>
      <w:r w:rsidR="008633A9">
        <w:rPr>
          <w:rFonts w:hint="cs"/>
          <w:rtl/>
        </w:rPr>
        <w:t xml:space="preserve">אם היה מדובר בחומר הראשון, הוא לא יכול להתקיים כחומר בלבד בלי שום צורה. </w:t>
      </w:r>
      <w:r w:rsidR="00EE6729">
        <w:rPr>
          <w:rFonts w:hint="cs"/>
          <w:rtl/>
        </w:rPr>
        <w:t xml:space="preserve"> </w:t>
      </w:r>
      <w:r w:rsidR="00D416E7">
        <w:rPr>
          <w:rFonts w:hint="cs"/>
          <w:rtl/>
        </w:rPr>
        <w:t xml:space="preserve"> </w:t>
      </w:r>
    </w:p>
  </w:footnote>
  <w:footnote w:id="715">
    <w:p w14:paraId="5BB3B94D" w14:textId="5DE2F8AA" w:rsidR="00996EB9" w:rsidRDefault="00996EB9">
      <w:pPr>
        <w:pStyle w:val="FootnoteText"/>
      </w:pPr>
      <w:r>
        <w:rPr>
          <w:rStyle w:val="FootnoteReference"/>
        </w:rPr>
        <w:footnoteRef/>
      </w:r>
      <w:r>
        <w:rPr>
          <w:rtl/>
        </w:rPr>
        <w:t xml:space="preserve"> </w:t>
      </w:r>
      <w:r>
        <w:rPr>
          <w:rFonts w:hint="cs"/>
          <w:rtl/>
        </w:rPr>
        <w:t>החייל כחומר לצבא והבית כחומר לעיר, הצורה שלהם שהיא צבא ועיר לא גורמת לשום שינוי חומרי בחומר של אותה צורה שהוא האדם או הבית</w:t>
      </w:r>
      <w:r w:rsidR="00A743EE">
        <w:rPr>
          <w:rFonts w:hint="cs"/>
          <w:rtl/>
        </w:rPr>
        <w:t>, ולכן הצורה לא נחשבת כמה שמקיים את העצם והוא עשוי רק מחומר, כלומר הוא רק אדם ורק בית</w:t>
      </w:r>
      <w:r w:rsidR="00C218B1">
        <w:rPr>
          <w:rFonts w:hint="cs"/>
          <w:rtl/>
        </w:rPr>
        <w:t>, גם אם הוא חייל או מרכיב של העיר</w:t>
      </w:r>
      <w:r>
        <w:rPr>
          <w:rFonts w:hint="cs"/>
          <w:rtl/>
        </w:rPr>
        <w:t xml:space="preserve">. לעומת זאת בלבנים ועץ לבניין, הלבנים מחוברות במלט והעץ במסמרים וזה עושה בהם שינוי חומרי, </w:t>
      </w:r>
      <w:r w:rsidR="00C218B1">
        <w:rPr>
          <w:rFonts w:hint="cs"/>
          <w:rtl/>
        </w:rPr>
        <w:t xml:space="preserve">ועדיין זה נחשב שהמציאות של העצם היא רק הלבנים ורק העץ, כי לא חל בלבנים ובעץ שינוי חומרי עצמי מהותי במה שהם חוברו להיות בניין. </w:t>
      </w:r>
      <w:r>
        <w:rPr>
          <w:rFonts w:hint="cs"/>
          <w:rtl/>
        </w:rPr>
        <w:t xml:space="preserve">  </w:t>
      </w:r>
    </w:p>
  </w:footnote>
  <w:footnote w:id="716">
    <w:p w14:paraId="1C6BA9D4" w14:textId="3348311C" w:rsidR="00DD2E02" w:rsidRDefault="00DD2E02">
      <w:pPr>
        <w:pStyle w:val="FootnoteText"/>
      </w:pPr>
      <w:r>
        <w:rPr>
          <w:rStyle w:val="FootnoteReference"/>
        </w:rPr>
        <w:footnoteRef/>
      </w:r>
      <w:r>
        <w:rPr>
          <w:rtl/>
        </w:rPr>
        <w:t xml:space="preserve"> </w:t>
      </w:r>
      <w:r w:rsidR="00E80F44">
        <w:rPr>
          <w:rFonts w:hint="cs"/>
          <w:rtl/>
        </w:rPr>
        <w:t>אש רוח מים ועפר.</w:t>
      </w:r>
    </w:p>
  </w:footnote>
  <w:footnote w:id="717">
    <w:p w14:paraId="061BF63A" w14:textId="079D9B9E" w:rsidR="00E331F8" w:rsidRPr="00D163E2" w:rsidRDefault="00DD3895" w:rsidP="00E331F8">
      <w:pPr>
        <w:pStyle w:val="FootnoteText"/>
        <w:rPr>
          <w:rtl/>
        </w:rPr>
      </w:pPr>
      <w:r>
        <w:rPr>
          <w:rStyle w:val="FootnoteReference"/>
        </w:rPr>
        <w:footnoteRef/>
      </w:r>
      <w:r>
        <w:rPr>
          <w:rtl/>
        </w:rPr>
        <w:t xml:space="preserve"> </w:t>
      </w:r>
      <w:r w:rsidR="006177CF">
        <w:rPr>
          <w:rFonts w:hint="cs"/>
          <w:rtl/>
        </w:rPr>
        <w:t>"</w:t>
      </w:r>
      <w:r w:rsidR="00390DDF">
        <w:rPr>
          <w:rFonts w:hint="cs"/>
          <w:rtl/>
        </w:rPr>
        <w:t>מגע</w:t>
      </w:r>
      <w:r w:rsidR="006177CF">
        <w:rPr>
          <w:rFonts w:hint="cs"/>
          <w:rtl/>
        </w:rPr>
        <w:t>"</w:t>
      </w:r>
      <w:r w:rsidR="00390DDF">
        <w:rPr>
          <w:rFonts w:hint="cs"/>
          <w:rtl/>
        </w:rPr>
        <w:t xml:space="preserve"> הוא מגע בלבד, </w:t>
      </w:r>
      <w:r w:rsidR="006177CF">
        <w:rPr>
          <w:rFonts w:hint="cs"/>
          <w:rtl/>
        </w:rPr>
        <w:t>"</w:t>
      </w:r>
      <w:r w:rsidR="00390DDF">
        <w:rPr>
          <w:rFonts w:hint="cs"/>
          <w:rtl/>
        </w:rPr>
        <w:t>פגישה</w:t>
      </w:r>
      <w:r w:rsidR="006177CF">
        <w:rPr>
          <w:rFonts w:hint="cs"/>
          <w:rtl/>
        </w:rPr>
        <w:t>"</w:t>
      </w:r>
      <w:r w:rsidR="003E1E91">
        <w:rPr>
          <w:rFonts w:hint="cs"/>
          <w:rtl/>
        </w:rPr>
        <w:t xml:space="preserve"> </w:t>
      </w:r>
      <w:r w:rsidR="00390DDF">
        <w:rPr>
          <w:rFonts w:hint="cs"/>
          <w:rtl/>
        </w:rPr>
        <w:t>הוא חיבור כלשהו כגון קשירה ביחד, הדבקה וכיוצא</w:t>
      </w:r>
      <w:r w:rsidR="0041116C">
        <w:rPr>
          <w:rFonts w:hint="cs"/>
          <w:rtl/>
        </w:rPr>
        <w:t xml:space="preserve"> </w:t>
      </w:r>
      <w:r w:rsidR="0041116C" w:rsidRPr="0041116C">
        <w:rPr>
          <w:rtl/>
        </w:rPr>
        <w:t xml:space="preserve"> (תרגמתי </w:t>
      </w:r>
      <w:r w:rsidR="0041116C">
        <w:rPr>
          <w:rFonts w:hint="cs"/>
          <w:rtl/>
        </w:rPr>
        <w:t>"פגישה"</w:t>
      </w:r>
      <w:r w:rsidR="0041116C" w:rsidRPr="0041116C">
        <w:rPr>
          <w:rtl/>
        </w:rPr>
        <w:t xml:space="preserve"> בעקבות מקגיניס שתרגם </w:t>
      </w:r>
      <w:r w:rsidR="0041116C" w:rsidRPr="0041116C">
        <w:t>meeting</w:t>
      </w:r>
      <w:r w:rsidR="0041116C" w:rsidRPr="0041116C">
        <w:rPr>
          <w:rtl/>
        </w:rPr>
        <w:t>. במקור הו</w:t>
      </w:r>
      <w:r w:rsidR="0041116C" w:rsidRPr="00D163E2">
        <w:rPr>
          <w:rtl/>
        </w:rPr>
        <w:t xml:space="preserve">א </w:t>
      </w:r>
      <w:r w:rsidR="0041116C" w:rsidRPr="00D163E2">
        <w:rPr>
          <w:rFonts w:ascii="Arial" w:hAnsi="Arial" w:cs="Arial" w:hint="cs"/>
          <w:rtl/>
          <w:lang w:bidi="ar-SA"/>
        </w:rPr>
        <w:t>تركيبها</w:t>
      </w:r>
      <w:r w:rsidR="0041116C" w:rsidRPr="00D163E2">
        <w:rPr>
          <w:rtl/>
          <w:lang w:bidi="ar-SA"/>
        </w:rPr>
        <w:t xml:space="preserve"> </w:t>
      </w:r>
      <w:r w:rsidR="0041116C" w:rsidRPr="00D163E2">
        <w:rPr>
          <w:rFonts w:ascii="Arial" w:hAnsi="Arial" w:cs="Arial" w:hint="cs"/>
          <w:rtl/>
          <w:lang w:bidi="ar-SA"/>
        </w:rPr>
        <w:t>بالتماس</w:t>
      </w:r>
      <w:r w:rsidR="0041116C" w:rsidRPr="00D163E2">
        <w:rPr>
          <w:rtl/>
        </w:rPr>
        <w:t>. זה</w:t>
      </w:r>
      <w:r w:rsidR="006177CF">
        <w:rPr>
          <w:rFonts w:hint="cs"/>
          <w:rtl/>
        </w:rPr>
        <w:t xml:space="preserve"> </w:t>
      </w:r>
      <w:r w:rsidR="0041116C" w:rsidRPr="00D163E2">
        <w:rPr>
          <w:rtl/>
        </w:rPr>
        <w:t>לא תרגום טוב אבל</w:t>
      </w:r>
      <w:r w:rsidR="006177CF">
        <w:rPr>
          <w:rFonts w:hint="cs"/>
          <w:rtl/>
        </w:rPr>
        <w:t xml:space="preserve"> לא</w:t>
      </w:r>
      <w:r w:rsidR="0041116C" w:rsidRPr="00D163E2">
        <w:rPr>
          <w:rtl/>
        </w:rPr>
        <w:t xml:space="preserve"> מצאתי מילה יותר מתאימה, ולכן ראיתי צורך לבאר</w:t>
      </w:r>
      <w:r w:rsidR="0041116C" w:rsidRPr="00D163E2">
        <w:rPr>
          <w:rtl/>
          <w:lang w:bidi="ar-SA"/>
        </w:rPr>
        <w:t xml:space="preserve">) </w:t>
      </w:r>
      <w:r w:rsidR="00F317A6" w:rsidRPr="00D163E2">
        <w:rPr>
          <w:rtl/>
        </w:rPr>
        <w:t>.</w:t>
      </w:r>
    </w:p>
    <w:p w14:paraId="56A3DFE5" w14:textId="29FF9CD9" w:rsidR="00DD3895" w:rsidRPr="00392797" w:rsidRDefault="00926C98" w:rsidP="00E331F8">
      <w:pPr>
        <w:pStyle w:val="FootnoteText"/>
      </w:pPr>
      <w:r>
        <w:rPr>
          <w:rFonts w:hint="cs"/>
          <w:rtl/>
        </w:rPr>
        <w:t>עיין בזה במטאפיזיקה דלתא פרק ו'.</w:t>
      </w:r>
      <w:r w:rsidR="003E6B2C">
        <w:rPr>
          <w:rFonts w:hint="cs"/>
          <w:rtl/>
        </w:rPr>
        <w:t xml:space="preserve"> </w:t>
      </w:r>
      <w:r w:rsidR="00D610C5">
        <w:rPr>
          <w:rFonts w:hint="cs"/>
          <w:rtl/>
        </w:rPr>
        <w:t xml:space="preserve">כדי שגוף חומרי ינוע צריך שגוף אחד </w:t>
      </w:r>
      <w:r w:rsidR="00D610C5">
        <w:rPr>
          <w:rFonts w:hint="cs"/>
          <w:rtl/>
        </w:rPr>
        <w:t xml:space="preserve">ידחף אותו. </w:t>
      </w:r>
      <w:r w:rsidR="00A90465">
        <w:rPr>
          <w:rFonts w:hint="cs"/>
          <w:rtl/>
        </w:rPr>
        <w:t>אם יש ח</w:t>
      </w:r>
      <w:r w:rsidR="00724AC6">
        <w:rPr>
          <w:rFonts w:hint="cs"/>
          <w:rtl/>
        </w:rPr>
        <w:t xml:space="preserve">בילת ענפים קשורים ביחד, והאדם מניע אותה, יש לשאול למה כל הענפים נעים, הרי האדם דחף רק את אותם ענפים שידו נגעה בהם. </w:t>
      </w:r>
      <w:r w:rsidR="00EA0D6D">
        <w:rPr>
          <w:rFonts w:hint="cs"/>
          <w:rtl/>
        </w:rPr>
        <w:t xml:space="preserve">לומר שהאדם הניע את הענף שנגע בו ואותו ענף הניע ענף אחר, זה לא </w:t>
      </w:r>
      <w:r w:rsidR="00531BEA">
        <w:rPr>
          <w:rFonts w:hint="cs"/>
          <w:rtl/>
        </w:rPr>
        <w:t>מדויק</w:t>
      </w:r>
      <w:r w:rsidR="00EA0D6D">
        <w:rPr>
          <w:rFonts w:hint="cs"/>
          <w:rtl/>
        </w:rPr>
        <w:t xml:space="preserve"> אחרי העיון, </w:t>
      </w:r>
      <w:r w:rsidR="003A4E27">
        <w:rPr>
          <w:rFonts w:hint="cs"/>
          <w:rtl/>
        </w:rPr>
        <w:t>אלא האמת היא שכל הענפים הפכו לגוף אחד לעניין הנ</w:t>
      </w:r>
      <w:r w:rsidR="001D474A">
        <w:rPr>
          <w:rFonts w:hint="cs"/>
          <w:rtl/>
        </w:rPr>
        <w:t>ע</w:t>
      </w:r>
      <w:r w:rsidR="003A4E27">
        <w:rPr>
          <w:rFonts w:hint="cs"/>
          <w:rtl/>
        </w:rPr>
        <w:t>ה זו, אע"פ שאינם גוף אחד ל</w:t>
      </w:r>
      <w:r w:rsidR="0099587E">
        <w:rPr>
          <w:rFonts w:hint="cs"/>
          <w:rtl/>
        </w:rPr>
        <w:t>הרבה עניינים אחרים</w:t>
      </w:r>
      <w:r w:rsidR="00EA0D6D">
        <w:rPr>
          <w:rFonts w:hint="cs"/>
          <w:rtl/>
        </w:rPr>
        <w:t xml:space="preserve">. </w:t>
      </w:r>
      <w:r w:rsidR="001D474A">
        <w:rPr>
          <w:rFonts w:hint="cs"/>
          <w:rtl/>
        </w:rPr>
        <w:t>אם אדם דוחף אדם אחר, הרי כובעו ונעליו של האדם האחר גם הם נעו אע"פ שהדוחף לא נגע בהם,</w:t>
      </w:r>
      <w:r w:rsidR="0099587E">
        <w:rPr>
          <w:rFonts w:hint="cs"/>
          <w:rtl/>
        </w:rPr>
        <w:t xml:space="preserve"> ואע"פ שלהרבה עניינים אינם אחד עם האדם</w:t>
      </w:r>
      <w:r w:rsidR="00847314">
        <w:rPr>
          <w:rFonts w:hint="cs"/>
          <w:rtl/>
        </w:rPr>
        <w:t xml:space="preserve"> (למשל אדם הוא 'חי מדבר' והכובע אינו חי ו</w:t>
      </w:r>
      <w:r w:rsidR="007D7932">
        <w:rPr>
          <w:rFonts w:hint="cs"/>
          <w:rtl/>
        </w:rPr>
        <w:t>לא</w:t>
      </w:r>
      <w:r w:rsidR="00847314">
        <w:rPr>
          <w:rFonts w:hint="cs"/>
          <w:rtl/>
        </w:rPr>
        <w:t xml:space="preserve"> מדבר והרי אינו אחד עם האדם לעניין זה),</w:t>
      </w:r>
      <w:r w:rsidR="001D474A">
        <w:rPr>
          <w:rFonts w:hint="cs"/>
          <w:rtl/>
        </w:rPr>
        <w:t xml:space="preserve"> </w:t>
      </w:r>
      <w:r w:rsidR="00112A93">
        <w:rPr>
          <w:rFonts w:hint="cs"/>
          <w:rtl/>
        </w:rPr>
        <w:t>וזה כמו שאם דחף אותו בגבו גם ראשו נע</w:t>
      </w:r>
      <w:r w:rsidR="007D7932">
        <w:rPr>
          <w:rFonts w:hint="cs"/>
          <w:rtl/>
        </w:rPr>
        <w:t xml:space="preserve"> ולא בגלל שהגב דחף את הראש אלא בגלל שהגב והראש הם גוף אחד</w:t>
      </w:r>
      <w:r w:rsidR="00112A93">
        <w:rPr>
          <w:rFonts w:hint="cs"/>
          <w:rtl/>
        </w:rPr>
        <w:t>.</w:t>
      </w:r>
      <w:r w:rsidR="007D7932">
        <w:rPr>
          <w:rFonts w:hint="cs"/>
          <w:rtl/>
        </w:rPr>
        <w:t xml:space="preserve"> </w:t>
      </w:r>
      <w:r w:rsidR="00D90508">
        <w:rPr>
          <w:rFonts w:hint="cs"/>
          <w:rtl/>
        </w:rPr>
        <w:t>גם אם אדם זרק אבן, והאבן פגעה בכדור והניעה אותו, הזורק הניע בעצמו את הכדור כי</w:t>
      </w:r>
      <w:r w:rsidR="00754A39">
        <w:rPr>
          <w:rFonts w:hint="cs"/>
          <w:rtl/>
        </w:rPr>
        <w:t xml:space="preserve"> הזורק והאבן הם גוף אחד לעניי</w:t>
      </w:r>
      <w:r w:rsidR="00987417">
        <w:rPr>
          <w:rFonts w:hint="cs"/>
          <w:rtl/>
        </w:rPr>
        <w:t>ן</w:t>
      </w:r>
      <w:r w:rsidR="00754A39">
        <w:rPr>
          <w:rFonts w:hint="cs"/>
          <w:rtl/>
        </w:rPr>
        <w:t xml:space="preserve"> </w:t>
      </w:r>
      <w:r w:rsidR="00987417">
        <w:rPr>
          <w:rFonts w:hint="cs"/>
          <w:rtl/>
        </w:rPr>
        <w:t>ת</w:t>
      </w:r>
      <w:r w:rsidR="00754A39">
        <w:rPr>
          <w:rFonts w:hint="cs"/>
          <w:rtl/>
        </w:rPr>
        <w:t>נועה</w:t>
      </w:r>
      <w:r w:rsidR="00987417">
        <w:rPr>
          <w:rFonts w:hint="cs"/>
          <w:rtl/>
        </w:rPr>
        <w:t xml:space="preserve"> (יש גם אופנים שהאבן והכדור הם גוף אחד לעניין תנועה), זו הסוגייה ההלכתית שנקרא "גיריה </w:t>
      </w:r>
      <w:r w:rsidR="006E5E3A">
        <w:rPr>
          <w:rFonts w:hint="cs"/>
          <w:rtl/>
        </w:rPr>
        <w:t>ד</w:t>
      </w:r>
      <w:r w:rsidR="00987417">
        <w:rPr>
          <w:rFonts w:hint="cs"/>
          <w:rtl/>
        </w:rPr>
        <w:t>י</w:t>
      </w:r>
      <w:r w:rsidR="006E5E3A">
        <w:rPr>
          <w:rFonts w:hint="cs"/>
          <w:rtl/>
        </w:rPr>
        <w:t>ליה"</w:t>
      </w:r>
      <w:r w:rsidR="00987417">
        <w:rPr>
          <w:rFonts w:hint="cs"/>
          <w:rtl/>
        </w:rPr>
        <w:t xml:space="preserve">. </w:t>
      </w:r>
      <w:r w:rsidR="00AB3305">
        <w:rPr>
          <w:rFonts w:hint="cs"/>
          <w:rtl/>
        </w:rPr>
        <w:t xml:space="preserve">עניין זה נדון באריכות במטאפיזיקה שם, וכאן אבן סינא רומז לו. </w:t>
      </w:r>
    </w:p>
  </w:footnote>
  <w:footnote w:id="718">
    <w:p w14:paraId="31F7FD6F" w14:textId="296935B9" w:rsidR="003F0B66" w:rsidRDefault="003F0B66">
      <w:pPr>
        <w:pStyle w:val="FootnoteText"/>
      </w:pPr>
      <w:r>
        <w:rPr>
          <w:rStyle w:val="FootnoteReference"/>
        </w:rPr>
        <w:footnoteRef/>
      </w:r>
      <w:r>
        <w:rPr>
          <w:rtl/>
        </w:rPr>
        <w:t xml:space="preserve"> </w:t>
      </w:r>
      <w:r w:rsidR="0021330F" w:rsidRPr="0021330F">
        <w:rPr>
          <w:rFonts w:cs="Times New Roman"/>
          <w:rtl/>
          <w:lang w:bidi="ar-SA"/>
        </w:rPr>
        <w:t xml:space="preserve"> </w:t>
      </w:r>
      <w:r w:rsidR="0021330F" w:rsidRPr="0021330F">
        <w:rPr>
          <w:rFonts w:cs="Times New Roman" w:hint="eastAsia"/>
          <w:rtl/>
          <w:lang w:bidi="ar-SA"/>
        </w:rPr>
        <w:t>تستقر</w:t>
      </w:r>
      <w:r w:rsidR="0021330F" w:rsidRPr="0021330F">
        <w:rPr>
          <w:rFonts w:cs="Times New Roman"/>
          <w:rtl/>
          <w:lang w:bidi="ar-SA"/>
        </w:rPr>
        <w:t xml:space="preserve"> </w:t>
      </w:r>
      <w:r w:rsidR="0021330F" w:rsidRPr="0021330F">
        <w:rPr>
          <w:rtl/>
        </w:rPr>
        <w:t>תסתקר. תרגמתי '</w:t>
      </w:r>
      <w:r w:rsidR="0021330F">
        <w:rPr>
          <w:rFonts w:hint="cs"/>
          <w:rtl/>
        </w:rPr>
        <w:t>יתיי</w:t>
      </w:r>
      <w:r w:rsidR="0021330F" w:rsidRPr="0021330F">
        <w:rPr>
          <w:rtl/>
        </w:rPr>
        <w:t xml:space="preserve">שב' בעקבות אבן תיבון שתרגם כך במורה נבוכים א' ע"ב, א' ע"ה, ב' י"ז. מקגיניס תרגם </w:t>
      </w:r>
      <w:r w:rsidR="0021330F" w:rsidRPr="0021330F">
        <w:t>stabilized</w:t>
      </w:r>
      <w:r w:rsidR="0021330F" w:rsidRPr="0021330F">
        <w:rPr>
          <w:rtl/>
        </w:rPr>
        <w:t xml:space="preserve"> (</w:t>
      </w:r>
      <w:r w:rsidR="0021330F">
        <w:rPr>
          <w:rFonts w:hint="cs"/>
          <w:rtl/>
        </w:rPr>
        <w:t>י</w:t>
      </w:r>
      <w:r w:rsidR="0021330F" w:rsidRPr="0021330F">
        <w:rPr>
          <w:rtl/>
        </w:rPr>
        <w:t>תייצב).</w:t>
      </w:r>
    </w:p>
  </w:footnote>
  <w:footnote w:id="719">
    <w:p w14:paraId="2A8A9E07" w14:textId="6BD509E9" w:rsidR="00973691" w:rsidRPr="006E6263" w:rsidRDefault="00973691">
      <w:pPr>
        <w:pStyle w:val="FootnoteText"/>
      </w:pPr>
      <w:r>
        <w:rPr>
          <w:rStyle w:val="FootnoteReference"/>
        </w:rPr>
        <w:footnoteRef/>
      </w:r>
      <w:r>
        <w:rPr>
          <w:rtl/>
        </w:rPr>
        <w:t xml:space="preserve"> </w:t>
      </w:r>
      <w:r w:rsidR="00874DE2">
        <w:rPr>
          <w:rFonts w:hint="cs"/>
          <w:rtl/>
        </w:rPr>
        <w:t>במקור</w:t>
      </w:r>
      <w:r w:rsidR="00874DE2" w:rsidRPr="006E6263">
        <w:rPr>
          <w:rtl/>
        </w:rPr>
        <w:t xml:space="preserve"> </w:t>
      </w:r>
      <w:r w:rsidR="00874DE2" w:rsidRPr="006E6263">
        <w:rPr>
          <w:rFonts w:ascii="Arial" w:hAnsi="Arial" w:cs="Arial" w:hint="cs"/>
          <w:rtl/>
          <w:lang w:bidi="ar-SA"/>
        </w:rPr>
        <w:t>جملة</w:t>
      </w:r>
      <w:r w:rsidR="00874DE2" w:rsidRPr="006E6263">
        <w:rPr>
          <w:rtl/>
        </w:rPr>
        <w:t xml:space="preserve">, </w:t>
      </w:r>
      <w:r w:rsidR="00874DE2" w:rsidRPr="006E6263">
        <w:rPr>
          <w:rtl/>
        </w:rPr>
        <w:t>ג'מלא, פירושו על פי רוב הוא משפט, המילים מצטרפות לדבר אחד שהוא המשפט בעל המשמעות.</w:t>
      </w:r>
      <w:r w:rsidR="00306E17">
        <w:rPr>
          <w:rFonts w:hint="cs"/>
          <w:rtl/>
        </w:rPr>
        <w:t xml:space="preserve"> וכאן היסודות כאילו מותכים </w:t>
      </w:r>
      <w:r w:rsidR="006A19FF">
        <w:rPr>
          <w:rFonts w:hint="cs"/>
          <w:rtl/>
        </w:rPr>
        <w:t xml:space="preserve">ביחד </w:t>
      </w:r>
      <w:r w:rsidR="00306E17">
        <w:rPr>
          <w:rFonts w:hint="cs"/>
          <w:rtl/>
        </w:rPr>
        <w:t>ל</w:t>
      </w:r>
      <w:r w:rsidR="006A19FF">
        <w:rPr>
          <w:rFonts w:hint="cs"/>
          <w:rtl/>
        </w:rPr>
        <w:t xml:space="preserve">חומר אחיד של </w:t>
      </w:r>
      <w:r w:rsidR="00306E17">
        <w:rPr>
          <w:rFonts w:hint="cs"/>
          <w:rtl/>
        </w:rPr>
        <w:t>עצם</w:t>
      </w:r>
      <w:r w:rsidR="006A19FF">
        <w:rPr>
          <w:rFonts w:hint="cs"/>
          <w:rtl/>
        </w:rPr>
        <w:t>.</w:t>
      </w:r>
    </w:p>
  </w:footnote>
  <w:footnote w:id="720">
    <w:p w14:paraId="01B26877" w14:textId="21990056" w:rsidR="00184686" w:rsidRDefault="005A189A">
      <w:pPr>
        <w:pStyle w:val="FootnoteText"/>
        <w:rPr>
          <w:rtl/>
        </w:rPr>
      </w:pPr>
      <w:r>
        <w:rPr>
          <w:rStyle w:val="FootnoteReference"/>
        </w:rPr>
        <w:footnoteRef/>
      </w:r>
      <w:r>
        <w:rPr>
          <w:rtl/>
        </w:rPr>
        <w:t xml:space="preserve"> </w:t>
      </w:r>
      <w:r w:rsidR="00C91258">
        <w:rPr>
          <w:rFonts w:hint="cs"/>
          <w:rtl/>
        </w:rPr>
        <w:t xml:space="preserve">מזג פירושו הרכבה </w:t>
      </w:r>
      <w:r w:rsidR="00C91258">
        <w:rPr>
          <w:rFonts w:hint="cs"/>
          <w:rtl/>
        </w:rPr>
        <w:t xml:space="preserve">מזגית. </w:t>
      </w:r>
      <w:r w:rsidR="00874AB4">
        <w:rPr>
          <w:rFonts w:hint="cs"/>
          <w:rtl/>
        </w:rPr>
        <w:t>עיין מורה נבוכים ב' כ"ב שיש הרכבה שכנית והרכבה מזגית</w:t>
      </w:r>
      <w:r w:rsidR="00CC5ED0">
        <w:rPr>
          <w:rFonts w:hint="cs"/>
          <w:rtl/>
        </w:rPr>
        <w:t xml:space="preserve"> (נקראת </w:t>
      </w:r>
      <w:r w:rsidR="00501C5A">
        <w:rPr>
          <w:rFonts w:hint="cs"/>
          <w:rtl/>
        </w:rPr>
        <w:t>ג</w:t>
      </w:r>
      <w:r w:rsidR="00CC5ED0">
        <w:rPr>
          <w:rFonts w:hint="cs"/>
          <w:rtl/>
        </w:rPr>
        <w:t>ם הרכבה מזגיית)</w:t>
      </w:r>
      <w:r w:rsidR="001E054E">
        <w:rPr>
          <w:rFonts w:hint="cs"/>
          <w:rtl/>
        </w:rPr>
        <w:t>.</w:t>
      </w:r>
      <w:r w:rsidR="00F22F9B">
        <w:rPr>
          <w:rFonts w:hint="cs"/>
          <w:rtl/>
        </w:rPr>
        <w:t xml:space="preserve"> </w:t>
      </w:r>
      <w:r w:rsidR="00D64705">
        <w:rPr>
          <w:rFonts w:hint="cs"/>
          <w:rtl/>
        </w:rPr>
        <w:t>הרכבה שכנית היא הרכבה שבה ה</w:t>
      </w:r>
      <w:r w:rsidR="00FE3AE1">
        <w:rPr>
          <w:rFonts w:hint="cs"/>
          <w:rtl/>
        </w:rPr>
        <w:t>מרכיבים שומרים כל אחד על צורתו, ואם אין בעיה מעשית אפשר להפריד ולהחזיר את המרכיבים לקדמותם</w:t>
      </w:r>
      <w:r w:rsidR="00FC69BF">
        <w:rPr>
          <w:rFonts w:hint="cs"/>
          <w:rtl/>
        </w:rPr>
        <w:t>, ולמשל האבנים שמרכיבות את הבניין, או תערובת אבקות תבלינים</w:t>
      </w:r>
      <w:r w:rsidR="00FE3AE1">
        <w:rPr>
          <w:rFonts w:hint="cs"/>
          <w:rtl/>
        </w:rPr>
        <w:t xml:space="preserve">. </w:t>
      </w:r>
      <w:r w:rsidR="00FC69BF">
        <w:rPr>
          <w:rFonts w:hint="cs"/>
          <w:rtl/>
        </w:rPr>
        <w:t xml:space="preserve">הרכבה מזגית פירושה שהמרכיבים משתנים ממה שהיו, והמורכב הוא אחד ממש ואין לו שום דמיון למרכיבים. כמו למשל מימן וחמצן שמתרכבים להיות מים. או בצק שהקמח השתנה לגמרי והמים השתנו לגמרי, ונוצר דבר חדש אחד שהוא הבצק. </w:t>
      </w:r>
      <w:r w:rsidR="00184686">
        <w:rPr>
          <w:rFonts w:hint="cs"/>
          <w:rtl/>
        </w:rPr>
        <w:t xml:space="preserve">לכן אין בטבע יסודות טהורים, וגם המים שבטבע מורכבים מארבע יסודות רק שיסוד המים איכותו שולטת בהם יותר, ואם נחלק עצם טבעי עוד ועוד לעולם לא נגיע ליסודות הטהורים שהרכיבו אותו. ההרכבה המזגיית היא על ידי שכל יסוד פועל על היסודות האחרים ומשנה אותם. האש מחממת את המים והעפר, המים והעפר מצננים את האש, </w:t>
      </w:r>
      <w:r w:rsidR="00280D5B">
        <w:rPr>
          <w:rFonts w:hint="cs"/>
          <w:rtl/>
        </w:rPr>
        <w:t xml:space="preserve">המים מלחלחים את העפר והעפר מייבש את המים, </w:t>
      </w:r>
      <w:r w:rsidR="00184686">
        <w:rPr>
          <w:rFonts w:hint="cs"/>
          <w:rtl/>
        </w:rPr>
        <w:t>וכן הלאה</w:t>
      </w:r>
      <w:r w:rsidR="004926F5">
        <w:rPr>
          <w:rFonts w:hint="cs"/>
          <w:rtl/>
        </w:rPr>
        <w:t xml:space="preserve"> (כל יסוד יש בו חום או קור, יובש או לחות ואלה כוחות פועלים</w:t>
      </w:r>
      <w:r w:rsidR="00184686">
        <w:rPr>
          <w:rFonts w:hint="cs"/>
          <w:rtl/>
        </w:rPr>
        <w:t xml:space="preserve">. </w:t>
      </w:r>
      <w:r w:rsidR="004926F5">
        <w:rPr>
          <w:rFonts w:hint="cs"/>
          <w:rtl/>
        </w:rPr>
        <w:t xml:space="preserve">אם שני יסודות התרכבו </w:t>
      </w:r>
      <w:r w:rsidR="000A66C9">
        <w:rPr>
          <w:rFonts w:hint="cs"/>
          <w:rtl/>
        </w:rPr>
        <w:t xml:space="preserve">מצד שפעלו זה על זה את איכויותיהם, האיחוד של שניהם יש לו כבר איכות חדשה והוא פועל על היסודות השלישי והרביעי וכן הלאה. </w:t>
      </w:r>
      <w:r w:rsidR="002F418A">
        <w:rPr>
          <w:rFonts w:hint="cs"/>
          <w:rtl/>
        </w:rPr>
        <w:t xml:space="preserve">זה דומה קצת לבישול מרק, שכל מרכיב נותן טעם ואיכות במרכיבים האחרים ועושה מהם מהות חדשה שונה ממה שהיו מקודם. </w:t>
      </w:r>
      <w:r w:rsidR="00184686">
        <w:rPr>
          <w:rFonts w:hint="cs"/>
          <w:rtl/>
        </w:rPr>
        <w:t xml:space="preserve"> </w:t>
      </w:r>
    </w:p>
    <w:p w14:paraId="19C41562" w14:textId="77777777" w:rsidR="001E054E" w:rsidRDefault="001E054E">
      <w:pPr>
        <w:pStyle w:val="FootnoteText"/>
        <w:rPr>
          <w:rtl/>
        </w:rPr>
      </w:pPr>
    </w:p>
    <w:p w14:paraId="310743F6" w14:textId="2A5B34AD" w:rsidR="001E054E" w:rsidRDefault="001E054E">
      <w:pPr>
        <w:pStyle w:val="FootnoteText"/>
        <w:rPr>
          <w:rtl/>
        </w:rPr>
      </w:pPr>
      <w:r>
        <w:rPr>
          <w:rFonts w:hint="cs"/>
          <w:rtl/>
        </w:rPr>
        <w:t>לשון המהר"ל בנצח ישראל פרק ג':</w:t>
      </w:r>
    </w:p>
    <w:p w14:paraId="495391EE" w14:textId="77777777" w:rsidR="00C44286" w:rsidRDefault="00CB74CF">
      <w:pPr>
        <w:pStyle w:val="FootnoteText"/>
        <w:rPr>
          <w:rtl/>
        </w:rPr>
      </w:pPr>
      <w:r>
        <w:rPr>
          <w:rFonts w:hint="cs"/>
          <w:rtl/>
        </w:rPr>
        <w:t>"</w:t>
      </w:r>
      <w:r w:rsidRPr="00CB74CF">
        <w:rPr>
          <w:rtl/>
        </w:rPr>
        <w:t xml:space="preserve">וכך הוא הבריאה אשר ברא השם יתברך; כי ראשונה הם הפשוטים, אשר כל אחד ואחד עומד בפני עצמו. ואחר כך הנבראים אשר הם מצטרפים ביחד, ויש להם הקבוץ ביחד, אף שאין כאן עירוב ביחד. ואחר כך אותם אשר הם מתחברים לגמרי בהרכבה גמורה. הנה אלו ג' דברים; הראשון הוא רחוק מן הרכבה, אבל השנית יש בו קצת הרכבה, ונקרא זה 'הרכבה שכנית', רוצה לומר שמתחברים יחד כמו השכנים אשר הם מתחברים יחד, ואין כאן עירוב. הרכבה השלישית הוא 'הרכבה מזגית', שנתמזגה ונתחברה יחד לגמרי, עד שהוא דבר אחד. </w:t>
      </w:r>
      <w:r w:rsidR="00C44286">
        <w:rPr>
          <w:rFonts w:hint="cs"/>
          <w:rtl/>
        </w:rPr>
        <w:t>[...]</w:t>
      </w:r>
    </w:p>
    <w:p w14:paraId="440EC913" w14:textId="6AAD74F4" w:rsidR="00CB74CF" w:rsidRDefault="00C44286">
      <w:pPr>
        <w:pStyle w:val="FootnoteText"/>
        <w:rPr>
          <w:rtl/>
        </w:rPr>
      </w:pPr>
      <w:r w:rsidRPr="00C44286">
        <w:rPr>
          <w:rtl/>
        </w:rPr>
        <w:t>כי עולם העליון קראו אותו 'עולם השכלי', ואין בו הרכבה כלל. ואחר כך עולם האמצעי, ואלו אין בהם הרכבה לגמרי, דהיינו הרכבה של עירוב, אבל יש בהם חבור, כי יש להם קיבוץ אחד, הם הגלגלים. ואמרו שהם נכללים בעשרה, וזהו קבוץ אחד. ולא תמצא בעולם הזה שום התמזגות ביחד. ואף כי הגלגל מורכב מכוכב אשר בגלגל, ואי אפשר שיהיה האחד בלא השני, וגם רבוי הכוכבים אשר הם בגלגל, הרי כל אחד ואחד עומד בפני עצמו, רק יש להם קבוץ, והם נעשים לאחד. והעולם התחתון הוא עולם הרכבה, ושם יש הרכבה מזגית בודאי, שנמזגו ביחד, וכנגד זה מצות החלה. ועל דבר זה ראיה ברורה, שכן אמרו חכמים במדרש (ב"ר יד, א) אדם הראשון חלה טהורה היה, האשה מקשקשת עיסתה במים ואחר כך מפרשת חלתה. כך "ואד יעלה מן הארץ והשקה כל פני האדמה" (ר' בראשית ב, ו), ואחר כך "ויצר אלקים את האדם" (ר' שם שם ז). הרי בארו כי אדם הראשון, אשר הוא קודש לה', הוא הראשית אשר בעולם הזה התחתון, והוא כמו החלה.</w:t>
      </w:r>
      <w:r w:rsidR="00CB74CF">
        <w:rPr>
          <w:rFonts w:hint="cs"/>
          <w:rtl/>
        </w:rPr>
        <w:t>"</w:t>
      </w:r>
    </w:p>
    <w:p w14:paraId="3325D3B3" w14:textId="77777777" w:rsidR="001E054E" w:rsidRDefault="001E054E">
      <w:pPr>
        <w:pStyle w:val="FootnoteText"/>
        <w:rPr>
          <w:rtl/>
        </w:rPr>
      </w:pPr>
    </w:p>
    <w:p w14:paraId="51923B97" w14:textId="77777777" w:rsidR="00AE0075" w:rsidRDefault="00AE0075">
      <w:pPr>
        <w:pStyle w:val="FootnoteText"/>
        <w:rPr>
          <w:rtl/>
        </w:rPr>
      </w:pPr>
      <w:r>
        <w:rPr>
          <w:rFonts w:hint="cs"/>
          <w:rtl/>
        </w:rPr>
        <w:t>לשון שו"ת תשב"ץ ב' ד':</w:t>
      </w:r>
    </w:p>
    <w:p w14:paraId="05F32DA2" w14:textId="29E4C83E" w:rsidR="005A189A" w:rsidRDefault="00AE0075">
      <w:pPr>
        <w:pStyle w:val="FootnoteText"/>
      </w:pPr>
      <w:r>
        <w:rPr>
          <w:rFonts w:hint="cs"/>
          <w:rtl/>
        </w:rPr>
        <w:t>"</w:t>
      </w:r>
      <w:r w:rsidRPr="00AE0075">
        <w:rPr>
          <w:rtl/>
        </w:rPr>
        <w:t>שהדבר ידוע ממחקרם שההרכבה המזגיית לא נשאר במורכב צורה מצורת כל אחד מהנפרדי</w:t>
      </w:r>
      <w:r>
        <w:rPr>
          <w:rFonts w:hint="cs"/>
          <w:rtl/>
        </w:rPr>
        <w:t>ם</w:t>
      </w:r>
      <w:r w:rsidRPr="00AE0075">
        <w:rPr>
          <w:rtl/>
        </w:rPr>
        <w:t xml:space="preserve"> שהורכב זה המורכב מהם אלא יש לו צורה חדשה ופנים חדשו</w:t>
      </w:r>
      <w:r>
        <w:rPr>
          <w:rFonts w:hint="cs"/>
          <w:rtl/>
        </w:rPr>
        <w:t>ת</w:t>
      </w:r>
      <w:r w:rsidRPr="00AE0075">
        <w:rPr>
          <w:rtl/>
        </w:rPr>
        <w:t xml:space="preserve"> באו לכאן כהרכבת הסגנבין</w:t>
      </w:r>
      <w:r w:rsidR="00DA2DAE">
        <w:rPr>
          <w:rFonts w:hint="cs"/>
          <w:rtl/>
        </w:rPr>
        <w:t xml:space="preserve"> [תערובת דבש וחומץ]</w:t>
      </w:r>
      <w:r w:rsidRPr="00AE0075">
        <w:rPr>
          <w:rtl/>
        </w:rPr>
        <w:t xml:space="preserve"> שאין בו מצורת הדבש והחומץ כלום אלא מזג חדש הוא הוא שנקנה לפי שאין בו חלק יהי</w:t>
      </w:r>
      <w:r w:rsidR="00DA2DAE">
        <w:rPr>
          <w:rFonts w:hint="cs"/>
          <w:rtl/>
        </w:rPr>
        <w:t>ה</w:t>
      </w:r>
      <w:r w:rsidRPr="00AE0075">
        <w:rPr>
          <w:rtl/>
        </w:rPr>
        <w:t xml:space="preserve"> כלו חומץ וחלק כלו דבש אלא כל חלקיו הם מורכבים</w:t>
      </w:r>
      <w:r w:rsidR="00DA2DAE">
        <w:rPr>
          <w:rFonts w:hint="cs"/>
          <w:rtl/>
        </w:rPr>
        <w:t>.</w:t>
      </w:r>
      <w:r w:rsidRPr="00AE0075">
        <w:rPr>
          <w:rtl/>
        </w:rPr>
        <w:t xml:space="preserve"> וכן האיברים הפשוטים כגון הבשר והדם והלחו</w:t>
      </w:r>
      <w:r w:rsidR="00DA2DAE">
        <w:rPr>
          <w:rFonts w:hint="cs"/>
          <w:rtl/>
        </w:rPr>
        <w:t>ת</w:t>
      </w:r>
      <w:r w:rsidRPr="00AE0075">
        <w:rPr>
          <w:rtl/>
        </w:rPr>
        <w:t xml:space="preserve"> והעצמו</w:t>
      </w:r>
      <w:r w:rsidR="00DA2DAE">
        <w:rPr>
          <w:rFonts w:hint="cs"/>
          <w:rtl/>
        </w:rPr>
        <w:t>ת</w:t>
      </w:r>
      <w:r w:rsidRPr="00AE0075">
        <w:rPr>
          <w:rtl/>
        </w:rPr>
        <w:t xml:space="preserve"> שהם מורכבים בלי ספק מהיסודות אין בהם שום טבע מטבע הנפרדי</w:t>
      </w:r>
      <w:r w:rsidR="00DA2DAE">
        <w:rPr>
          <w:rFonts w:hint="cs"/>
          <w:rtl/>
        </w:rPr>
        <w:t>ם</w:t>
      </w:r>
      <w:r w:rsidRPr="00AE0075">
        <w:rPr>
          <w:rtl/>
        </w:rPr>
        <w:t xml:space="preserve"> שהורכבו מהם אלא טבע חדש לפי שאין בהם חלק שיאמר עליו זה חלק אינו דומה לשאר החלקים ודומה לשאר החלקי</w:t>
      </w:r>
      <w:r w:rsidR="00DA2DAE">
        <w:rPr>
          <w:rFonts w:hint="cs"/>
          <w:rtl/>
        </w:rPr>
        <w:t>ם</w:t>
      </w:r>
      <w:r w:rsidRPr="00AE0075">
        <w:rPr>
          <w:rtl/>
        </w:rPr>
        <w:t xml:space="preserve"> ודומה לנפרדים שהורכבו מהם</w:t>
      </w:r>
      <w:r w:rsidR="00A3363D">
        <w:rPr>
          <w:rFonts w:hint="cs"/>
          <w:rtl/>
        </w:rPr>
        <w:t>.</w:t>
      </w:r>
      <w:r w:rsidRPr="00AE0075">
        <w:rPr>
          <w:rtl/>
        </w:rPr>
        <w:t xml:space="preserve"> וההרכבה השכוניית אינה כן אלא ישאר המורכב מטבע הנפרדים שהורכב מהם בכל חלק מחלקיו ודומה לכלל החלקי</w:t>
      </w:r>
      <w:r w:rsidR="00A3363D">
        <w:rPr>
          <w:rFonts w:hint="cs"/>
          <w:rtl/>
        </w:rPr>
        <w:t>ם</w:t>
      </w:r>
      <w:r w:rsidRPr="00AE0075">
        <w:rPr>
          <w:rtl/>
        </w:rPr>
        <w:t xml:space="preserve"> כהרכבת המרקחות שהדברים הנפרדים שהורכבו מהם כל אחד עומד בעצמו ונשאר בו טבעו ומזגו</w:t>
      </w:r>
      <w:r w:rsidR="00A3363D">
        <w:rPr>
          <w:rFonts w:hint="cs"/>
          <w:rtl/>
        </w:rPr>
        <w:t>,</w:t>
      </w:r>
      <w:r w:rsidRPr="00AE0075">
        <w:rPr>
          <w:rtl/>
        </w:rPr>
        <w:t xml:space="preserve"> וכמו האיברים הכליים כגון הידים והרגלים והחוטם והעינים והאזנים וכיוצא בהם שהם מורכבים מאברים פשוטים ויש לכל חלק מחלקיהם מזגו וטבעו הראשון ואין בו טבע הכלל ולא מזגו שחלק מהיד אינו יד וחלק מהרגל אינו רגל</w:t>
      </w:r>
      <w:r>
        <w:rPr>
          <w:rFonts w:hint="cs"/>
          <w:rtl/>
        </w:rPr>
        <w:t>"</w:t>
      </w:r>
      <w:r w:rsidR="00874AB4">
        <w:rPr>
          <w:rFonts w:hint="cs"/>
          <w:rtl/>
        </w:rPr>
        <w:t xml:space="preserve"> </w:t>
      </w:r>
    </w:p>
  </w:footnote>
  <w:footnote w:id="721">
    <w:p w14:paraId="493CA07A" w14:textId="4F1AD99F" w:rsidR="004833B5" w:rsidRDefault="004833B5">
      <w:pPr>
        <w:pStyle w:val="FootnoteText"/>
        <w:rPr>
          <w:rtl/>
        </w:rPr>
      </w:pPr>
      <w:r>
        <w:rPr>
          <w:rStyle w:val="FootnoteReference"/>
        </w:rPr>
        <w:footnoteRef/>
      </w:r>
      <w:r>
        <w:rPr>
          <w:rtl/>
        </w:rPr>
        <w:t xml:space="preserve"> </w:t>
      </w:r>
      <w:r>
        <w:rPr>
          <w:rFonts w:hint="cs"/>
          <w:rtl/>
        </w:rPr>
        <w:t xml:space="preserve">רמב"ן על שמות </w:t>
      </w:r>
      <w:r w:rsidR="002A5B15">
        <w:rPr>
          <w:rFonts w:hint="cs"/>
          <w:rtl/>
        </w:rPr>
        <w:t>ל' ל"ד:</w:t>
      </w:r>
    </w:p>
    <w:p w14:paraId="3C885579" w14:textId="19B12FBB" w:rsidR="002A5B15" w:rsidRDefault="002A5B15">
      <w:pPr>
        <w:pStyle w:val="FootnoteText"/>
      </w:pPr>
      <w:r>
        <w:rPr>
          <w:rFonts w:hint="cs"/>
          <w:rtl/>
        </w:rPr>
        <w:t>"</w:t>
      </w:r>
      <w:r w:rsidRPr="002A5B15">
        <w:rPr>
          <w:rtl/>
        </w:rPr>
        <w:t xml:space="preserve">כי </w:t>
      </w:r>
      <w:r w:rsidRPr="002A5B15">
        <w:rPr>
          <w:rtl/>
        </w:rPr>
        <w:t>הטריאקה איננה סם אחד, אבל היא מרקחת רבת ההרכבה, יכנס בה שאור ודבש ובשר שקצים ורמשים, כי יכנסו בה אבק העקרבים ובשר האפעה, כי לכך נקראת כן, כי הארס בלשון י</w:t>
      </w:r>
      <w:r w:rsidR="00370A8B">
        <w:rPr>
          <w:rFonts w:hint="cs"/>
          <w:rtl/>
        </w:rPr>
        <w:t>ו</w:t>
      </w:r>
      <w:r w:rsidRPr="002A5B15">
        <w:rPr>
          <w:rtl/>
        </w:rPr>
        <w:t>ון תריאק</w:t>
      </w:r>
      <w:r>
        <w:rPr>
          <w:rFonts w:hint="cs"/>
          <w:rtl/>
        </w:rPr>
        <w:t>"</w:t>
      </w:r>
    </w:p>
  </w:footnote>
  <w:footnote w:id="722">
    <w:p w14:paraId="17332C94" w14:textId="3FD0E54E" w:rsidR="00406499" w:rsidRDefault="00406499">
      <w:pPr>
        <w:pStyle w:val="FootnoteText"/>
      </w:pPr>
      <w:r>
        <w:rPr>
          <w:rStyle w:val="FootnoteReference"/>
        </w:rPr>
        <w:footnoteRef/>
      </w:r>
      <w:r>
        <w:rPr>
          <w:rtl/>
        </w:rPr>
        <w:t xml:space="preserve"> </w:t>
      </w:r>
      <w:r>
        <w:rPr>
          <w:rFonts w:hint="cs"/>
          <w:rtl/>
        </w:rPr>
        <w:t xml:space="preserve">מדובר כאן על מרכיבי </w:t>
      </w:r>
      <w:r>
        <w:rPr>
          <w:rFonts w:hint="cs"/>
          <w:rtl/>
        </w:rPr>
        <w:t>התריאק שמערבים אותם כדי להכין את התריאק.</w:t>
      </w:r>
    </w:p>
  </w:footnote>
  <w:footnote w:id="723">
    <w:p w14:paraId="3DE0007C" w14:textId="6C2BBAC3" w:rsidR="00776F71" w:rsidRDefault="00776F71">
      <w:pPr>
        <w:pStyle w:val="FootnoteText"/>
      </w:pPr>
      <w:r>
        <w:rPr>
          <w:rStyle w:val="FootnoteReference"/>
        </w:rPr>
        <w:footnoteRef/>
      </w:r>
      <w:r>
        <w:rPr>
          <w:rtl/>
        </w:rPr>
        <w:t xml:space="preserve"> </w:t>
      </w:r>
      <w:r w:rsidR="00BD73C0">
        <w:rPr>
          <w:rFonts w:hint="cs"/>
          <w:rtl/>
        </w:rPr>
        <w:t>כלומר מקצת מרכיביו.</w:t>
      </w:r>
    </w:p>
  </w:footnote>
  <w:footnote w:id="724">
    <w:p w14:paraId="4F947430" w14:textId="70E6B2E3" w:rsidR="007851C1" w:rsidRDefault="00A9167B">
      <w:pPr>
        <w:pStyle w:val="FootnoteText"/>
        <w:rPr>
          <w:rtl/>
        </w:rPr>
      </w:pPr>
      <w:r>
        <w:rPr>
          <w:rStyle w:val="FootnoteReference"/>
        </w:rPr>
        <w:footnoteRef/>
      </w:r>
      <w:r>
        <w:rPr>
          <w:rtl/>
        </w:rPr>
        <w:t xml:space="preserve"> </w:t>
      </w:r>
      <w:r w:rsidR="00062723">
        <w:rPr>
          <w:rFonts w:hint="cs"/>
          <w:rtl/>
        </w:rPr>
        <w:t>אחרי שהיסודות שמרכיבים את החומר הטבעי מותכים היטב זה בזה</w:t>
      </w:r>
      <w:r w:rsidR="00FB0353">
        <w:rPr>
          <w:rFonts w:hint="cs"/>
          <w:rtl/>
        </w:rPr>
        <w:t xml:space="preserve"> (כלומר אחרי הזמן שצריך כדי שהם ישפיעו זה על זה</w:t>
      </w:r>
      <w:r w:rsidR="00E55E98">
        <w:rPr>
          <w:rFonts w:hint="cs"/>
          <w:rtl/>
        </w:rPr>
        <w:t>, ויתמזגו זה בזה</w:t>
      </w:r>
      <w:r w:rsidR="00FB0353">
        <w:rPr>
          <w:rFonts w:hint="cs"/>
          <w:rtl/>
        </w:rPr>
        <w:t>)</w:t>
      </w:r>
      <w:r w:rsidR="00062723">
        <w:rPr>
          <w:rFonts w:hint="cs"/>
          <w:rtl/>
        </w:rPr>
        <w:t xml:space="preserve"> </w:t>
      </w:r>
      <w:r w:rsidR="00D92B63">
        <w:rPr>
          <w:rFonts w:hint="cs"/>
          <w:rtl/>
        </w:rPr>
        <w:t>ה</w:t>
      </w:r>
      <w:r w:rsidR="00BA02BB">
        <w:rPr>
          <w:rFonts w:hint="cs"/>
          <w:rtl/>
        </w:rPr>
        <w:t>ם</w:t>
      </w:r>
      <w:r w:rsidR="00D92B63">
        <w:rPr>
          <w:rFonts w:hint="cs"/>
          <w:rtl/>
        </w:rPr>
        <w:t xml:space="preserve"> מקבלים איכות </w:t>
      </w:r>
      <w:r w:rsidR="00F95122">
        <w:rPr>
          <w:rFonts w:hint="cs"/>
          <w:rtl/>
        </w:rPr>
        <w:t xml:space="preserve">אחת </w:t>
      </w:r>
      <w:r w:rsidR="00D92B63">
        <w:rPr>
          <w:rFonts w:hint="cs"/>
          <w:rtl/>
        </w:rPr>
        <w:t>אחידה</w:t>
      </w:r>
      <w:r w:rsidR="00F95122">
        <w:rPr>
          <w:rFonts w:hint="cs"/>
          <w:rtl/>
        </w:rPr>
        <w:t xml:space="preserve">, ונוצר חומר חדש, והוא מוכן לקבל צורה כלשהי וממילא מייד מקבל אותה. </w:t>
      </w:r>
      <w:r w:rsidR="001975C7">
        <w:rPr>
          <w:rFonts w:hint="cs"/>
          <w:rtl/>
        </w:rPr>
        <w:t>כמו שכתב במורה נבוכים ב' י"ח: "</w:t>
      </w:r>
      <w:r w:rsidR="001975C7" w:rsidRPr="001975C7">
        <w:rPr>
          <w:rtl/>
        </w:rPr>
        <w:t xml:space="preserve">כי השכל </w:t>
      </w:r>
      <w:bookmarkStart w:id="309" w:name="_Hlk118795959"/>
      <w:r w:rsidR="001975C7" w:rsidRPr="001975C7">
        <w:rPr>
          <w:rtl/>
        </w:rPr>
        <w:t>ה</w:t>
      </w:r>
      <w:r w:rsidR="00A665CD" w:rsidRPr="00A665CD">
        <w:rPr>
          <w:rtl/>
        </w:rPr>
        <w:t>פּוֹעֵל</w:t>
      </w:r>
      <w:bookmarkEnd w:id="309"/>
      <w:r w:rsidR="001975C7" w:rsidRPr="001975C7">
        <w:rPr>
          <w:rtl/>
        </w:rPr>
        <w:t xml:space="preserve"> אמנם התחי</w:t>
      </w:r>
      <w:r w:rsidR="00016DAD">
        <w:rPr>
          <w:rFonts w:hint="cs"/>
          <w:rtl/>
        </w:rPr>
        <w:t>י</w:t>
      </w:r>
      <w:r w:rsidR="001975C7" w:rsidRPr="001975C7">
        <w:rPr>
          <w:rtl/>
        </w:rPr>
        <w:t>ב שיעשה עת אחת ולא יעשה עת אחרת לא מפני ענין אחד בעצמו אבל מפני הכנת הח</w:t>
      </w:r>
      <w:r w:rsidR="008C1BC0">
        <w:rPr>
          <w:rFonts w:hint="cs"/>
          <w:rtl/>
        </w:rPr>
        <w:t>ו</w:t>
      </w:r>
      <w:r w:rsidR="001975C7" w:rsidRPr="001975C7">
        <w:rPr>
          <w:rtl/>
        </w:rPr>
        <w:t>מרים; אמנם ה</w:t>
      </w:r>
      <w:r w:rsidR="007851C1" w:rsidRPr="007851C1">
        <w:rPr>
          <w:rtl/>
        </w:rPr>
        <w:t>פּוֹעַל</w:t>
      </w:r>
      <w:r w:rsidR="001975C7" w:rsidRPr="001975C7">
        <w:rPr>
          <w:rtl/>
        </w:rPr>
        <w:t xml:space="preserve"> ממנו הוא תמיד לכל מוכן ואם היה שם מונע מה</w:t>
      </w:r>
      <w:r w:rsidR="007851C1" w:rsidRPr="007851C1">
        <w:rPr>
          <w:rtl/>
        </w:rPr>
        <w:t>פּוֹעַל</w:t>
      </w:r>
      <w:r w:rsidR="001975C7" w:rsidRPr="001975C7">
        <w:rPr>
          <w:rtl/>
        </w:rPr>
        <w:t xml:space="preserve"> הוא מפני ההזמנה החמרית לא מפני השכל בעצמו</w:t>
      </w:r>
      <w:r w:rsidR="007851C1">
        <w:rPr>
          <w:rFonts w:hint="cs"/>
          <w:rtl/>
        </w:rPr>
        <w:t>.</w:t>
      </w:r>
      <w:r w:rsidR="00016DAD">
        <w:rPr>
          <w:rFonts w:hint="cs"/>
          <w:rtl/>
        </w:rPr>
        <w:t>"</w:t>
      </w:r>
    </w:p>
    <w:p w14:paraId="2B2ED6E8" w14:textId="7DFBAB87" w:rsidR="00573C20" w:rsidRDefault="007851C1">
      <w:pPr>
        <w:pStyle w:val="FootnoteText"/>
        <w:rPr>
          <w:rtl/>
        </w:rPr>
      </w:pPr>
      <w:r>
        <w:rPr>
          <w:rFonts w:hint="cs"/>
          <w:rtl/>
        </w:rPr>
        <w:t xml:space="preserve">השכל </w:t>
      </w:r>
      <w:r w:rsidRPr="007851C1">
        <w:rPr>
          <w:rtl/>
        </w:rPr>
        <w:t>הפּוֹעֵל</w:t>
      </w:r>
      <w:r>
        <w:rPr>
          <w:rFonts w:hint="cs"/>
          <w:rtl/>
        </w:rPr>
        <w:t xml:space="preserve"> הוא נותן הצור</w:t>
      </w:r>
      <w:r w:rsidR="000D115D">
        <w:rPr>
          <w:rFonts w:hint="cs"/>
          <w:rtl/>
        </w:rPr>
        <w:t>ו</w:t>
      </w:r>
      <w:r w:rsidR="00CC66E2">
        <w:rPr>
          <w:rFonts w:hint="cs"/>
          <w:rtl/>
        </w:rPr>
        <w:t>ת</w:t>
      </w:r>
      <w:r>
        <w:rPr>
          <w:rFonts w:hint="cs"/>
          <w:rtl/>
        </w:rPr>
        <w:t xml:space="preserve">, והוא נותן צורה תמיד באופן שווה בכל מקום ובכל חומר. </w:t>
      </w:r>
      <w:r w:rsidR="00CC66E2">
        <w:rPr>
          <w:rFonts w:hint="cs"/>
          <w:rtl/>
        </w:rPr>
        <w:t>הסיבה שיש בכל מקום וזמן צורות אחרות זה בגלל שה</w:t>
      </w:r>
      <w:r w:rsidR="000D115D">
        <w:rPr>
          <w:rFonts w:hint="cs"/>
          <w:rtl/>
        </w:rPr>
        <w:t>רכ</w:t>
      </w:r>
      <w:r w:rsidR="00573C20">
        <w:rPr>
          <w:rFonts w:hint="cs"/>
          <w:rtl/>
        </w:rPr>
        <w:t>ב</w:t>
      </w:r>
      <w:r w:rsidR="000D115D">
        <w:rPr>
          <w:rFonts w:hint="cs"/>
          <w:rtl/>
        </w:rPr>
        <w:t>ת היסודות בחומר משתנה תמיד</w:t>
      </w:r>
      <w:r w:rsidR="00573C20">
        <w:rPr>
          <w:rFonts w:hint="cs"/>
          <w:rtl/>
        </w:rPr>
        <w:t xml:space="preserve"> והכנתו לקבל צורה משתנה</w:t>
      </w:r>
      <w:r w:rsidR="000D115D">
        <w:rPr>
          <w:rFonts w:hint="cs"/>
          <w:rtl/>
        </w:rPr>
        <w:t xml:space="preserve"> והצורות</w:t>
      </w:r>
      <w:r w:rsidR="00573C20">
        <w:rPr>
          <w:rFonts w:hint="cs"/>
          <w:rtl/>
        </w:rPr>
        <w:t xml:space="preserve"> מצטיירות בחומר רק לפי הכנת החומר</w:t>
      </w:r>
      <w:r w:rsidR="009D4BD3">
        <w:rPr>
          <w:rFonts w:hint="cs"/>
          <w:rtl/>
        </w:rPr>
        <w:t xml:space="preserve"> לקבל אותן (כלומר לא יתכן אדם שבשרו עשוי </w:t>
      </w:r>
      <w:r w:rsidR="00F361CA">
        <w:rPr>
          <w:rFonts w:hint="cs"/>
          <w:rtl/>
        </w:rPr>
        <w:t>ברזל, כי ברזל אין בו הכנה לקבל צורת אדם)</w:t>
      </w:r>
      <w:r w:rsidR="00573C20">
        <w:rPr>
          <w:rFonts w:hint="cs"/>
          <w:rtl/>
        </w:rPr>
        <w:t>.</w:t>
      </w:r>
    </w:p>
    <w:p w14:paraId="6CF34696" w14:textId="192B488E" w:rsidR="00AC025C" w:rsidRDefault="00AC025C">
      <w:pPr>
        <w:pStyle w:val="FootnoteText"/>
        <w:rPr>
          <w:rtl/>
        </w:rPr>
      </w:pPr>
      <w:r>
        <w:rPr>
          <w:rFonts w:hint="cs"/>
          <w:rtl/>
        </w:rPr>
        <w:t>זה מה שכתב אבן סינא כאן:</w:t>
      </w:r>
    </w:p>
    <w:p w14:paraId="31A9796D" w14:textId="77777777" w:rsidR="00855DCE" w:rsidRDefault="00AC025C">
      <w:pPr>
        <w:pStyle w:val="FootnoteText"/>
        <w:rPr>
          <w:rtl/>
        </w:rPr>
      </w:pPr>
      <w:r>
        <w:rPr>
          <w:rFonts w:hint="cs"/>
          <w:rtl/>
        </w:rPr>
        <w:t>"</w:t>
      </w:r>
      <w:r w:rsidRPr="00AC025C">
        <w:rPr>
          <w:rtl/>
        </w:rPr>
        <w:t>ותצא אל הפּוֹעַל פעולת שיתופם</w:t>
      </w:r>
      <w:r>
        <w:rPr>
          <w:rFonts w:hint="cs"/>
          <w:rtl/>
        </w:rPr>
        <w:t xml:space="preserve">". </w:t>
      </w:r>
    </w:p>
    <w:p w14:paraId="2C8B3652" w14:textId="79CC6772" w:rsidR="00AC025C" w:rsidRDefault="00AC025C">
      <w:pPr>
        <w:pStyle w:val="FootnoteText"/>
        <w:rPr>
          <w:rtl/>
        </w:rPr>
      </w:pPr>
      <w:r>
        <w:rPr>
          <w:rFonts w:hint="cs"/>
          <w:rtl/>
        </w:rPr>
        <w:t>יציאה אל הפועל פירושה קבלת צורה. כלומר מייד כשהיסודות יוצרים את החומר</w:t>
      </w:r>
      <w:r w:rsidR="00BB6372">
        <w:rPr>
          <w:rFonts w:hint="cs"/>
          <w:rtl/>
        </w:rPr>
        <w:t xml:space="preserve"> האחיד</w:t>
      </w:r>
      <w:r>
        <w:rPr>
          <w:rFonts w:hint="cs"/>
          <w:rtl/>
        </w:rPr>
        <w:t xml:space="preserve"> הממוזג מהם</w:t>
      </w:r>
      <w:r w:rsidR="00BB6372">
        <w:rPr>
          <w:rFonts w:hint="cs"/>
          <w:rtl/>
        </w:rPr>
        <w:t>, כיוון שיש בו הכנה כלשהי לקבלת צורה כלשהי, מייד הוא מקל אותה כי השכל ה</w:t>
      </w:r>
      <w:r w:rsidR="00BB6372" w:rsidRPr="00BB6372">
        <w:rPr>
          <w:rtl/>
        </w:rPr>
        <w:t>פּוֹעֵל</w:t>
      </w:r>
      <w:r w:rsidR="00BB6372">
        <w:rPr>
          <w:rFonts w:hint="cs"/>
          <w:rtl/>
        </w:rPr>
        <w:t xml:space="preserve"> משפיע ללא הרף. </w:t>
      </w:r>
      <w:r>
        <w:rPr>
          <w:rFonts w:hint="cs"/>
          <w:rtl/>
        </w:rPr>
        <w:t xml:space="preserve">  </w:t>
      </w:r>
    </w:p>
    <w:p w14:paraId="24C53E4C" w14:textId="26CC3473" w:rsidR="00524A8D" w:rsidRDefault="00575A29">
      <w:pPr>
        <w:pStyle w:val="FootnoteText"/>
        <w:rPr>
          <w:rtl/>
        </w:rPr>
      </w:pPr>
      <w:r>
        <w:rPr>
          <w:rFonts w:hint="cs"/>
          <w:rtl/>
        </w:rPr>
        <w:t xml:space="preserve">ארבעת היסודות הם צורות שמצטיירות בחומר הראשון. </w:t>
      </w:r>
      <w:r w:rsidR="0057487F">
        <w:rPr>
          <w:rFonts w:hint="cs"/>
          <w:rtl/>
        </w:rPr>
        <w:t xml:space="preserve">האופן בו הם מצטיירים בחומר הראשון הוא כמו שבבואה בראי מצטיירת בראי, או שגלי הים מצטיירים במים שבים. </w:t>
      </w:r>
      <w:r w:rsidR="000B2016">
        <w:rPr>
          <w:rFonts w:hint="cs"/>
          <w:rtl/>
        </w:rPr>
        <w:t>כי החומר הראשון עניינו שאינו מקבל שום צורה, לכן הצורות לא מתקבלות בו אלא רק משתקפות בו. בבואת דבר בראי, או גל מים בים, אינם עצם</w:t>
      </w:r>
      <w:r w:rsidR="00D170D5">
        <w:rPr>
          <w:rFonts w:hint="cs"/>
          <w:rtl/>
        </w:rPr>
        <w:t xml:space="preserve"> (</w:t>
      </w:r>
      <w:r w:rsidR="00C76736">
        <w:rPr>
          <w:rFonts w:hint="cs"/>
          <w:rtl/>
        </w:rPr>
        <w:t xml:space="preserve">כך מבואר </w:t>
      </w:r>
      <w:r w:rsidR="00C76736">
        <w:rPr>
          <w:rFonts w:hint="cs"/>
          <w:rtl/>
        </w:rPr>
        <w:t xml:space="preserve">בטימיאוס מאת אפלטון </w:t>
      </w:r>
      <w:r w:rsidR="000E3E93">
        <w:rPr>
          <w:rFonts w:hint="cs"/>
          <w:rtl/>
        </w:rPr>
        <w:t>עמ' 48-53</w:t>
      </w:r>
      <w:r w:rsidR="008272A1">
        <w:rPr>
          <w:rFonts w:hint="cs"/>
          <w:rtl/>
        </w:rPr>
        <w:t>.</w:t>
      </w:r>
      <w:r w:rsidR="00C76736">
        <w:rPr>
          <w:rFonts w:hint="cs"/>
          <w:rtl/>
        </w:rPr>
        <w:t xml:space="preserve"> </w:t>
      </w:r>
      <w:r w:rsidR="00F41467">
        <w:rPr>
          <w:rFonts w:hint="cs"/>
          <w:rtl/>
        </w:rPr>
        <w:t>ו</w:t>
      </w:r>
      <w:r w:rsidR="00D170D5">
        <w:rPr>
          <w:rFonts w:hint="cs"/>
          <w:rtl/>
        </w:rPr>
        <w:t>עיין בזה באריכות ב</w:t>
      </w:r>
      <w:r w:rsidR="008272A1">
        <w:rPr>
          <w:rFonts w:hint="cs"/>
          <w:rtl/>
        </w:rPr>
        <w:t>בלוג "</w:t>
      </w:r>
      <w:r w:rsidR="00D170D5">
        <w:rPr>
          <w:rFonts w:hint="cs"/>
          <w:rtl/>
        </w:rPr>
        <w:t>עיונים בפילוסופיה אריסטוטלי</w:t>
      </w:r>
      <w:r w:rsidR="00A21C1C">
        <w:rPr>
          <w:rFonts w:hint="cs"/>
          <w:rtl/>
        </w:rPr>
        <w:t>ת</w:t>
      </w:r>
      <w:r w:rsidR="008272A1">
        <w:rPr>
          <w:rFonts w:hint="cs"/>
          <w:rtl/>
        </w:rPr>
        <w:t>"</w:t>
      </w:r>
      <w:r w:rsidR="00A21C1C">
        <w:rPr>
          <w:rFonts w:hint="cs"/>
          <w:rtl/>
        </w:rPr>
        <w:t xml:space="preserve"> </w:t>
      </w:r>
      <w:hyperlink r:id="rId144" w:history="1">
        <w:r w:rsidR="00A21C1C" w:rsidRPr="00861792">
          <w:rPr>
            <w:rStyle w:val="Hyperlink"/>
            <w:rFonts w:hint="cs"/>
            <w:rtl/>
          </w:rPr>
          <w:t>רשימה 35</w:t>
        </w:r>
      </w:hyperlink>
      <w:r w:rsidR="00A21C1C">
        <w:rPr>
          <w:rFonts w:hint="cs"/>
          <w:rtl/>
        </w:rPr>
        <w:t xml:space="preserve"> </w:t>
      </w:r>
      <w:r w:rsidR="00D170D5">
        <w:rPr>
          <w:rFonts w:hint="cs"/>
          <w:rtl/>
        </w:rPr>
        <w:t xml:space="preserve">במאמר </w:t>
      </w:r>
      <w:r w:rsidR="0029258B">
        <w:rPr>
          <w:rFonts w:hint="cs"/>
          <w:rtl/>
        </w:rPr>
        <w:t>"</w:t>
      </w:r>
      <w:r w:rsidR="00D170D5">
        <w:rPr>
          <w:rFonts w:hint="cs"/>
          <w:rtl/>
        </w:rPr>
        <w:t xml:space="preserve">התנועה יסוד </w:t>
      </w:r>
      <w:r w:rsidR="00D9039C">
        <w:rPr>
          <w:rFonts w:hint="cs"/>
          <w:rtl/>
        </w:rPr>
        <w:t>ההוויה</w:t>
      </w:r>
      <w:r w:rsidR="0029258B">
        <w:rPr>
          <w:rFonts w:hint="cs"/>
          <w:rtl/>
        </w:rPr>
        <w:t>"</w:t>
      </w:r>
      <w:r w:rsidR="0029258B">
        <w:rPr>
          <w:rFonts w:hint="cs"/>
        </w:rPr>
        <w:t xml:space="preserve"> </w:t>
      </w:r>
      <w:r w:rsidR="0029258B">
        <w:rPr>
          <w:rFonts w:hint="cs"/>
          <w:rtl/>
        </w:rPr>
        <w:t>שבתוך הרשימה</w:t>
      </w:r>
      <w:r w:rsidR="00A845B5">
        <w:rPr>
          <w:rFonts w:hint="cs"/>
          <w:rtl/>
        </w:rPr>
        <w:t>)</w:t>
      </w:r>
      <w:r w:rsidR="00524A8D">
        <w:rPr>
          <w:rFonts w:hint="cs"/>
          <w:rtl/>
        </w:rPr>
        <w:t>.</w:t>
      </w:r>
      <w:r w:rsidR="007C3E4D">
        <w:rPr>
          <w:rFonts w:hint="cs"/>
          <w:rtl/>
        </w:rPr>
        <w:t xml:space="preserve"> הצטיירות היסודות בחומר הראשון אינה נשמרת בקביעות בחומר</w:t>
      </w:r>
      <w:r w:rsidR="00743C4A">
        <w:rPr>
          <w:rFonts w:hint="cs"/>
          <w:rtl/>
        </w:rPr>
        <w:t>, אבל הצטיירות הצורה בחומר המורכב מארבעת היסודות היא קבועה ואלה כל העצמים שאנו מכירים ששומרים על מהותם לאורך זמן.</w:t>
      </w:r>
      <w:r w:rsidR="00D64177">
        <w:rPr>
          <w:rFonts w:hint="cs"/>
          <w:rtl/>
        </w:rPr>
        <w:t xml:space="preserve"> </w:t>
      </w:r>
      <w:r w:rsidR="00920E3D">
        <w:rPr>
          <w:rFonts w:hint="cs"/>
          <w:rtl/>
        </w:rPr>
        <w:t xml:space="preserve">אבן סינא כאן עוסק בשלב השני של הצטיירות הצורות בחומר, הוא הצורות של עולם הטבע </w:t>
      </w:r>
      <w:r w:rsidR="00417C8D">
        <w:rPr>
          <w:rFonts w:hint="cs"/>
          <w:rtl/>
        </w:rPr>
        <w:t>שנקבעות בחומר הממוזג מהיסודות כמו הטבעת חותם בשעווה</w:t>
      </w:r>
      <w:r w:rsidR="00F020E3">
        <w:rPr>
          <w:rFonts w:hint="cs"/>
          <w:rtl/>
        </w:rPr>
        <w:t xml:space="preserve"> ולא כמו בבואה על ראי</w:t>
      </w:r>
      <w:r w:rsidR="00417C8D">
        <w:rPr>
          <w:rFonts w:hint="cs"/>
          <w:rtl/>
        </w:rPr>
        <w:t>.</w:t>
      </w:r>
      <w:r w:rsidR="00F020E3">
        <w:rPr>
          <w:rFonts w:hint="cs"/>
          <w:rtl/>
        </w:rPr>
        <w:t xml:space="preserve"> זה השלב של התחלת מציאות הטבע, היסודות שאינם מורכבים אין להם מציאות בעולם הטבע</w:t>
      </w:r>
      <w:r w:rsidR="000B28A4">
        <w:rPr>
          <w:rFonts w:hint="cs"/>
          <w:rtl/>
        </w:rPr>
        <w:t>. בהשוואה לשלב הראשון של הצטיירות היסודות בחומר הראשון, כותב כאן אבן סינא על השלב השני ש</w:t>
      </w:r>
      <w:r w:rsidR="00D9039C">
        <w:rPr>
          <w:rFonts w:hint="cs"/>
          <w:rtl/>
        </w:rPr>
        <w:t>הוא מצריך שהצורה תתקבע בחומר</w:t>
      </w:r>
      <w:r w:rsidR="00D64177">
        <w:rPr>
          <w:rFonts w:hint="cs"/>
          <w:rtl/>
        </w:rPr>
        <w:t>:</w:t>
      </w:r>
    </w:p>
    <w:p w14:paraId="7413A934" w14:textId="4657A707" w:rsidR="00D64177" w:rsidRDefault="00D64177">
      <w:pPr>
        <w:pStyle w:val="FootnoteText"/>
        <w:rPr>
          <w:rtl/>
        </w:rPr>
      </w:pPr>
      <w:r>
        <w:rPr>
          <w:rFonts w:hint="cs"/>
          <w:rtl/>
        </w:rPr>
        <w:t>"</w:t>
      </w:r>
      <w:r w:rsidR="000A5509" w:rsidRPr="000A5509">
        <w:rPr>
          <w:rtl/>
        </w:rPr>
        <w:t>וזה, אם צורתו העצמית תהיה נשמרת בקביעות</w:t>
      </w:r>
      <w:r>
        <w:rPr>
          <w:rFonts w:hint="cs"/>
          <w:rtl/>
        </w:rPr>
        <w:t>"</w:t>
      </w:r>
    </w:p>
    <w:p w14:paraId="2BAF8D6A" w14:textId="31D1EFC2" w:rsidR="00B31A15" w:rsidRDefault="00B31A15">
      <w:pPr>
        <w:pStyle w:val="FootnoteText"/>
        <w:rPr>
          <w:rtl/>
        </w:rPr>
      </w:pPr>
      <w:r>
        <w:rPr>
          <w:rFonts w:hint="cs"/>
          <w:rtl/>
        </w:rPr>
        <w:t>גם הצורות הטבעיות ש</w:t>
      </w:r>
      <w:r w:rsidR="004826D1">
        <w:rPr>
          <w:rFonts w:hint="cs"/>
          <w:rtl/>
        </w:rPr>
        <w:t>מוטבעות באופן קבוע בחומר הממוזג, הן בשינוי מתמיד, כי מזג החומר משתנה ללא הרף מכח שהעולם חי (זה</w:t>
      </w:r>
      <w:r w:rsidR="00267ABF">
        <w:rPr>
          <w:rFonts w:hint="cs"/>
          <w:rtl/>
        </w:rPr>
        <w:t xml:space="preserve"> הפירוש של</w:t>
      </w:r>
      <w:r w:rsidR="004826D1">
        <w:rPr>
          <w:rFonts w:hint="cs"/>
          <w:rtl/>
        </w:rPr>
        <w:t xml:space="preserve"> מה שכתב במורה נבוכים שהשתנות </w:t>
      </w:r>
      <w:r w:rsidR="002B61A1">
        <w:rPr>
          <w:rFonts w:hint="cs"/>
          <w:rtl/>
        </w:rPr>
        <w:t xml:space="preserve">המזג מקורה בסיבוב הגלגל). </w:t>
      </w:r>
      <w:r w:rsidR="00E330BA">
        <w:rPr>
          <w:rFonts w:hint="cs"/>
          <w:rtl/>
        </w:rPr>
        <w:t>כמו שכתב במורה נבוכים א' ע"ב:</w:t>
      </w:r>
    </w:p>
    <w:p w14:paraId="5DE7ABD5" w14:textId="3CCD7B83" w:rsidR="00E330BA" w:rsidRDefault="00E330BA">
      <w:pPr>
        <w:pStyle w:val="FootnoteText"/>
        <w:rPr>
          <w:rtl/>
        </w:rPr>
      </w:pPr>
      <w:r>
        <w:rPr>
          <w:rFonts w:hint="cs"/>
          <w:rtl/>
        </w:rPr>
        <w:t>"</w:t>
      </w:r>
      <w:r w:rsidR="00357B6F" w:rsidRPr="00357B6F">
        <w:rPr>
          <w:rtl/>
        </w:rPr>
        <w:t>וכל ה</w:t>
      </w:r>
      <w:r w:rsidR="00357B6F">
        <w:rPr>
          <w:rFonts w:hint="cs"/>
          <w:rtl/>
        </w:rPr>
        <w:t>ו</w:t>
      </w:r>
      <w:r w:rsidR="00357B6F" w:rsidRPr="00357B6F">
        <w:rPr>
          <w:rtl/>
        </w:rPr>
        <w:t>וה נפסד, אמנם יתהוה מן היסודות ואליהם יפסד, ומן היסודות יתהוו קצתם מקצתם ו</w:t>
      </w:r>
      <w:r w:rsidR="00D6353B">
        <w:rPr>
          <w:rFonts w:hint="cs"/>
          <w:rtl/>
        </w:rPr>
        <w:t>י</w:t>
      </w:r>
      <w:r w:rsidR="00357B6F" w:rsidRPr="00357B6F">
        <w:rPr>
          <w:rtl/>
        </w:rPr>
        <w:t>פסדו קצתם אל קצתם, שחומר הכל אחד. ואי-אפשר הימצא חומר מבלי צורה, ולא תימצא צורה טבעית מאלו ההו</w:t>
      </w:r>
      <w:r w:rsidR="00357B6F">
        <w:rPr>
          <w:rFonts w:hint="cs"/>
          <w:rtl/>
        </w:rPr>
        <w:t>ו</w:t>
      </w:r>
      <w:r w:rsidR="00357B6F" w:rsidRPr="00357B6F">
        <w:rPr>
          <w:rtl/>
        </w:rPr>
        <w:t>יים הנפסדים מבלי חומר; יהיה הענ</w:t>
      </w:r>
      <w:r w:rsidR="00357B6F">
        <w:rPr>
          <w:rFonts w:hint="cs"/>
          <w:rtl/>
        </w:rPr>
        <w:t>י</w:t>
      </w:r>
      <w:r w:rsidR="00357B6F" w:rsidRPr="00357B6F">
        <w:rPr>
          <w:rtl/>
        </w:rPr>
        <w:t>ין אם-כן בה</w:t>
      </w:r>
      <w:r w:rsidR="00357B6F">
        <w:rPr>
          <w:rFonts w:hint="cs"/>
          <w:rtl/>
        </w:rPr>
        <w:t>ו</w:t>
      </w:r>
      <w:r w:rsidR="00357B6F" w:rsidRPr="00357B6F">
        <w:rPr>
          <w:rtl/>
        </w:rPr>
        <w:t>ויות והפסדות, והיות כל מה שיתהוה מהם ויפסיד אליהם חוזר חלילה, כדמות סיבוב הגלגל, עד שתהיה תנועת החומר הזה בעל הצורה בבא בו הצורות זו אחר זו כתנועת הגלגל באנה</w:t>
      </w:r>
      <w:r w:rsidR="001631A9">
        <w:rPr>
          <w:rFonts w:hint="cs"/>
          <w:rtl/>
        </w:rPr>
        <w:t xml:space="preserve"> [כלומר במרחב]</w:t>
      </w:r>
      <w:r w:rsidR="00357B6F" w:rsidRPr="00357B6F">
        <w:rPr>
          <w:rtl/>
        </w:rPr>
        <w:t>, כהשתנות ההנחות בעצמם לכל חלק ממנו.</w:t>
      </w:r>
      <w:r>
        <w:rPr>
          <w:rFonts w:hint="cs"/>
          <w:rtl/>
        </w:rPr>
        <w:t>"</w:t>
      </w:r>
    </w:p>
    <w:p w14:paraId="11768205" w14:textId="77777777" w:rsidR="00A34E2D" w:rsidRDefault="00264545">
      <w:pPr>
        <w:pStyle w:val="FootnoteText"/>
        <w:rPr>
          <w:rtl/>
        </w:rPr>
      </w:pPr>
      <w:r>
        <w:rPr>
          <w:rFonts w:hint="cs"/>
          <w:rtl/>
        </w:rPr>
        <w:t xml:space="preserve">כדור היקום כולו סובב סביב צירו. אי אפשר לומר שהוא כולו כאחד נע, כי אין שום דבר שביחס אליו תהיה התנועה הזו. </w:t>
      </w:r>
      <w:r w:rsidR="00B84051">
        <w:rPr>
          <w:rFonts w:hint="cs"/>
          <w:rtl/>
        </w:rPr>
        <w:t xml:space="preserve">אלא גם אם הכדור כולו כאחד לא נחשב נע, הסיבוב סביב צירו גורם </w:t>
      </w:r>
      <w:r w:rsidR="00B129D8">
        <w:rPr>
          <w:rFonts w:hint="cs"/>
          <w:rtl/>
        </w:rPr>
        <w:t>שכל חלק משתנה הנחתו ביחס לחלקים האחרים</w:t>
      </w:r>
      <w:r w:rsidR="000F6E35">
        <w:rPr>
          <w:rFonts w:hint="cs"/>
          <w:rtl/>
        </w:rPr>
        <w:t xml:space="preserve"> (זו כוונת לשון הרמב"ם בסוף הקטע שהעתקתי</w:t>
      </w:r>
      <w:r w:rsidR="00A34E2D">
        <w:rPr>
          <w:rFonts w:hint="cs"/>
          <w:rtl/>
        </w:rPr>
        <w:t>)</w:t>
      </w:r>
      <w:r w:rsidR="00B129D8">
        <w:rPr>
          <w:rFonts w:hint="cs"/>
          <w:rtl/>
        </w:rPr>
        <w:t xml:space="preserve">. </w:t>
      </w:r>
      <w:r w:rsidR="00DA56AE">
        <w:rPr>
          <w:rFonts w:hint="cs"/>
          <w:rtl/>
        </w:rPr>
        <w:t xml:space="preserve">זו תנועת הגלגל. </w:t>
      </w:r>
    </w:p>
    <w:p w14:paraId="058DE96C" w14:textId="67B63AAE" w:rsidR="00A9167B" w:rsidRDefault="00870038" w:rsidP="00726F35">
      <w:pPr>
        <w:pStyle w:val="FootnoteText"/>
      </w:pPr>
      <w:r>
        <w:rPr>
          <w:rFonts w:hint="cs"/>
          <w:rtl/>
        </w:rPr>
        <w:t>הצורות כולן נעות על פני החומר</w:t>
      </w:r>
      <w:r w:rsidR="004346D1">
        <w:rPr>
          <w:rFonts w:hint="cs"/>
          <w:rtl/>
        </w:rPr>
        <w:t xml:space="preserve"> המורכב מהיסודות</w:t>
      </w:r>
      <w:r>
        <w:rPr>
          <w:rFonts w:hint="cs"/>
          <w:rtl/>
        </w:rPr>
        <w:t xml:space="preserve">, כי כל עצם </w:t>
      </w:r>
      <w:r w:rsidR="004346D1">
        <w:rPr>
          <w:rFonts w:hint="cs"/>
          <w:rtl/>
        </w:rPr>
        <w:t xml:space="preserve">טבעי </w:t>
      </w:r>
      <w:r>
        <w:rPr>
          <w:rFonts w:hint="cs"/>
          <w:rtl/>
        </w:rPr>
        <w:t>נפסד בהדרגה ובתמידות</w:t>
      </w:r>
      <w:r w:rsidR="00631699">
        <w:rPr>
          <w:rFonts w:hint="cs"/>
          <w:rtl/>
        </w:rPr>
        <w:t xml:space="preserve"> וצורתו עוברת</w:t>
      </w:r>
      <w:r w:rsidR="004346D1">
        <w:rPr>
          <w:rFonts w:hint="cs"/>
          <w:rtl/>
        </w:rPr>
        <w:t xml:space="preserve"> בהדרגה ותמידות</w:t>
      </w:r>
      <w:r w:rsidR="00631699">
        <w:rPr>
          <w:rFonts w:hint="cs"/>
          <w:rtl/>
        </w:rPr>
        <w:t xml:space="preserve"> לחומר אחר.</w:t>
      </w:r>
      <w:r w:rsidR="000805DE">
        <w:rPr>
          <w:rFonts w:hint="cs"/>
          <w:rtl/>
        </w:rPr>
        <w:t xml:space="preserve"> למשל הבשר של האדם מתכלה ללא הרף, וצורת האדם עוברת לבשר חדש שנוצר מהמזון. </w:t>
      </w:r>
      <w:r w:rsidR="00662495">
        <w:rPr>
          <w:rFonts w:hint="cs"/>
          <w:rtl/>
        </w:rPr>
        <w:t>זה דומה למה שהיסודות הטהורים מצטיירים בחומר הראשון כתנועה בלבד, כמו ש</w:t>
      </w:r>
      <w:r w:rsidR="00CF1031">
        <w:rPr>
          <w:rFonts w:hint="cs"/>
          <w:rtl/>
        </w:rPr>
        <w:t>הבבואה שבראי היא רק תנועת השתקפות, והגל בים הוא רק תנועה של מים</w:t>
      </w:r>
      <w:r w:rsidR="00871D2C">
        <w:rPr>
          <w:rFonts w:hint="cs"/>
          <w:rtl/>
        </w:rPr>
        <w:t>.</w:t>
      </w:r>
      <w:r w:rsidR="004D07C1">
        <w:rPr>
          <w:rFonts w:hint="cs"/>
          <w:rtl/>
        </w:rPr>
        <w:t xml:space="preserve"> צורת הגל אם מסתכלים על הגל עצמו כעצם, היא </w:t>
      </w:r>
      <w:r w:rsidR="00F54CF2">
        <w:rPr>
          <w:rFonts w:hint="cs"/>
          <w:rtl/>
        </w:rPr>
        <w:t>התנועה שנעים המים, אין כאן עצם שהוא 'גל' מעבר למה ש</w:t>
      </w:r>
      <w:r w:rsidR="00871D2C">
        <w:rPr>
          <w:rFonts w:hint="cs"/>
          <w:rtl/>
        </w:rPr>
        <w:t>י</w:t>
      </w:r>
      <w:r w:rsidR="00F54CF2">
        <w:rPr>
          <w:rFonts w:hint="cs"/>
          <w:rtl/>
        </w:rPr>
        <w:t xml:space="preserve">ש </w:t>
      </w:r>
      <w:r w:rsidR="00871D2C">
        <w:rPr>
          <w:rFonts w:hint="cs"/>
          <w:rtl/>
        </w:rPr>
        <w:t>ת</w:t>
      </w:r>
      <w:r w:rsidR="00F54CF2">
        <w:rPr>
          <w:rFonts w:hint="cs"/>
          <w:rtl/>
        </w:rPr>
        <w:t>נועה במים, ובכל זאת העין האנושית רואה את הגל כעצם, ואנו מדברים על גל גבוה</w:t>
      </w:r>
      <w:r w:rsidR="002157AD">
        <w:rPr>
          <w:rFonts w:hint="cs"/>
          <w:rtl/>
        </w:rPr>
        <w:t xml:space="preserve"> או נמוך</w:t>
      </w:r>
      <w:r w:rsidR="00F54CF2">
        <w:rPr>
          <w:rFonts w:hint="cs"/>
          <w:rtl/>
        </w:rPr>
        <w:t xml:space="preserve"> וכ</w:t>
      </w:r>
      <w:r w:rsidR="002157AD">
        <w:rPr>
          <w:rFonts w:hint="cs"/>
          <w:rtl/>
        </w:rPr>
        <w:t>דומה</w:t>
      </w:r>
      <w:r w:rsidR="00F54CF2">
        <w:rPr>
          <w:rFonts w:hint="cs"/>
          <w:rtl/>
        </w:rPr>
        <w:t xml:space="preserve"> ואומרים שהגל נע על פני הים, בעוד שבאמת רק הים נע</w:t>
      </w:r>
      <w:r w:rsidR="00CF1031">
        <w:rPr>
          <w:rFonts w:hint="cs"/>
          <w:rtl/>
        </w:rPr>
        <w:t>. באמת עניין</w:t>
      </w:r>
      <w:r w:rsidR="002157AD">
        <w:rPr>
          <w:rFonts w:hint="cs"/>
          <w:rtl/>
        </w:rPr>
        <w:t xml:space="preserve"> התלבשות הצורה בחומר כתנועה</w:t>
      </w:r>
      <w:r w:rsidR="00CF1031">
        <w:rPr>
          <w:rFonts w:hint="cs"/>
          <w:rtl/>
        </w:rPr>
        <w:t xml:space="preserve"> הוא אותו עניין בין ביסודות הטהורים ובין בעצמים הטבעיים, תמיד צורה אינה אלא רק תנועה ולא יותר. </w:t>
      </w:r>
      <w:r w:rsidR="0097171C">
        <w:rPr>
          <w:rFonts w:hint="cs"/>
          <w:rtl/>
        </w:rPr>
        <w:t xml:space="preserve">הקביעות שיש בהתלבשות הצורה בחומר הממוזג מהיסודות היא </w:t>
      </w:r>
      <w:r w:rsidR="00175D38">
        <w:rPr>
          <w:rFonts w:hint="cs"/>
          <w:rtl/>
        </w:rPr>
        <w:t>דמיון בלבד</w:t>
      </w:r>
      <w:r w:rsidR="0097171C">
        <w:rPr>
          <w:rFonts w:hint="cs"/>
          <w:rtl/>
        </w:rPr>
        <w:t xml:space="preserve">. </w:t>
      </w:r>
      <w:r w:rsidR="0073070B">
        <w:rPr>
          <w:rFonts w:hint="cs"/>
          <w:rtl/>
        </w:rPr>
        <w:t>אבן</w:t>
      </w:r>
      <w:r w:rsidR="0097171C">
        <w:rPr>
          <w:rFonts w:hint="cs"/>
          <w:rtl/>
        </w:rPr>
        <w:t xml:space="preserve"> ללא הרף עובר</w:t>
      </w:r>
      <w:r w:rsidR="0073070B">
        <w:rPr>
          <w:rFonts w:hint="cs"/>
          <w:rtl/>
        </w:rPr>
        <w:t>ת</w:t>
      </w:r>
      <w:r w:rsidR="0097171C">
        <w:rPr>
          <w:rFonts w:hint="cs"/>
          <w:rtl/>
        </w:rPr>
        <w:t xml:space="preserve"> תהליכי שחיקה והתפוררות</w:t>
      </w:r>
      <w:r w:rsidR="0073070B">
        <w:rPr>
          <w:rFonts w:hint="cs"/>
          <w:rtl/>
        </w:rPr>
        <w:t>, וכשלבסוף היא נעשית עפר</w:t>
      </w:r>
      <w:r w:rsidR="005E78C1">
        <w:rPr>
          <w:rFonts w:hint="cs"/>
          <w:rtl/>
        </w:rPr>
        <w:t xml:space="preserve"> השינוי לעפר לא קרה באותו רגע שנעשתה עפר, אלא השינוי התרחש לכל אורך זמן קיומה של האבן, ומה שרואים שהיא מתפוררת זה</w:t>
      </w:r>
      <w:r w:rsidR="00312519">
        <w:rPr>
          <w:rFonts w:hint="cs"/>
          <w:rtl/>
        </w:rPr>
        <w:t xml:space="preserve"> סיום</w:t>
      </w:r>
      <w:r w:rsidR="005E78C1">
        <w:rPr>
          <w:rFonts w:hint="cs"/>
          <w:rtl/>
        </w:rPr>
        <w:t xml:space="preserve"> של התהליך שהת</w:t>
      </w:r>
      <w:r w:rsidR="00312519">
        <w:rPr>
          <w:rFonts w:hint="cs"/>
          <w:rtl/>
        </w:rPr>
        <w:t>חיל עם התחלת מציאותה של האבן ולא פסק לרגע אחד.</w:t>
      </w:r>
      <w:r w:rsidR="0073070B">
        <w:rPr>
          <w:rFonts w:hint="cs"/>
          <w:rtl/>
        </w:rPr>
        <w:t xml:space="preserve"> </w:t>
      </w:r>
      <w:r w:rsidR="00312519">
        <w:rPr>
          <w:rFonts w:hint="cs"/>
          <w:rtl/>
        </w:rPr>
        <w:t>אפילו יהלום הוא כך, רק שעובר יותר זמן עד שהוא מתפורר</w:t>
      </w:r>
      <w:r w:rsidR="00DB5F45" w:rsidRPr="00DB5F45">
        <w:rPr>
          <w:rtl/>
        </w:rPr>
        <w:t xml:space="preserve"> (השכל יודע שאין קביעות של העצמים אבל כח הדמיון משיג את המציאות כאילו העצמים שבה קבועים. יהלום נתפש בכח הדמיון כגוף שקיים ועומד ולא רק כתנועת צורת היהלום על פני החומר)</w:t>
      </w:r>
      <w:r w:rsidR="00312519">
        <w:rPr>
          <w:rFonts w:hint="cs"/>
          <w:rtl/>
        </w:rPr>
        <w:t xml:space="preserve">. </w:t>
      </w:r>
      <w:r w:rsidR="00A34E2D">
        <w:rPr>
          <w:rFonts w:hint="cs"/>
          <w:rtl/>
        </w:rPr>
        <w:t xml:space="preserve">תנועת הצורות מחומר לחומר </w:t>
      </w:r>
      <w:r w:rsidR="0067005A">
        <w:rPr>
          <w:rFonts w:hint="cs"/>
          <w:rtl/>
        </w:rPr>
        <w:t xml:space="preserve">כתב הרמב"ם שהיא </w:t>
      </w:r>
      <w:r w:rsidR="00A34E2D">
        <w:rPr>
          <w:rFonts w:hint="cs"/>
          <w:rtl/>
        </w:rPr>
        <w:t>דומה לתנועת הגלגל</w:t>
      </w:r>
      <w:r w:rsidR="0067005A">
        <w:rPr>
          <w:rFonts w:hint="cs"/>
          <w:rtl/>
        </w:rPr>
        <w:t>, הדמיון הזה דורש התבוננות</w:t>
      </w:r>
      <w:r w:rsidR="005E1B17">
        <w:rPr>
          <w:rFonts w:hint="cs"/>
          <w:rtl/>
        </w:rPr>
        <w:t xml:space="preserve"> עמוקה</w:t>
      </w:r>
      <w:r w:rsidR="0067005A">
        <w:rPr>
          <w:rFonts w:hint="cs"/>
          <w:rtl/>
        </w:rPr>
        <w:t xml:space="preserve"> ולא כאן המקום להאריך בזה</w:t>
      </w:r>
      <w:r w:rsidR="00A34E2D">
        <w:rPr>
          <w:rFonts w:hint="cs"/>
          <w:rtl/>
        </w:rPr>
        <w:t>.</w:t>
      </w:r>
      <w:r w:rsidR="00D92B63">
        <w:rPr>
          <w:rFonts w:hint="cs"/>
          <w:rtl/>
        </w:rPr>
        <w:t xml:space="preserve"> </w:t>
      </w:r>
    </w:p>
  </w:footnote>
  <w:footnote w:id="725">
    <w:p w14:paraId="670EF49E" w14:textId="37C5E0BE" w:rsidR="003E33D0" w:rsidRPr="00886706" w:rsidRDefault="003E33D0">
      <w:pPr>
        <w:pStyle w:val="FootnoteText"/>
      </w:pPr>
      <w:r>
        <w:rPr>
          <w:rStyle w:val="FootnoteReference"/>
        </w:rPr>
        <w:footnoteRef/>
      </w:r>
      <w:r>
        <w:rPr>
          <w:rtl/>
        </w:rPr>
        <w:t xml:space="preserve"> </w:t>
      </w:r>
      <w:r w:rsidR="00726F35">
        <w:rPr>
          <w:rFonts w:hint="cs"/>
          <w:rtl/>
        </w:rPr>
        <w:t>במקור</w:t>
      </w:r>
      <w:r w:rsidR="00726F35" w:rsidRPr="00886706">
        <w:rPr>
          <w:rtl/>
        </w:rPr>
        <w:t xml:space="preserve"> </w:t>
      </w:r>
      <w:r w:rsidR="00726F35" w:rsidRPr="00886706">
        <w:rPr>
          <w:rFonts w:ascii="Arial" w:hAnsi="Arial" w:cs="Arial" w:hint="cs"/>
          <w:rtl/>
          <w:lang w:bidi="ar-SA"/>
        </w:rPr>
        <w:t>إفراط</w:t>
      </w:r>
      <w:r w:rsidR="00726F35" w:rsidRPr="00886706">
        <w:rPr>
          <w:rtl/>
        </w:rPr>
        <w:t xml:space="preserve">. יש למילה זו משמעות שלילית של פריצה בכח אל מחוץ לאיזון, יציאה מהשורה, הגזמה. </w:t>
      </w:r>
    </w:p>
  </w:footnote>
  <w:footnote w:id="726">
    <w:p w14:paraId="3B54410E" w14:textId="2E0D83B0" w:rsidR="004A7BA1" w:rsidRDefault="004A7BA1">
      <w:pPr>
        <w:pStyle w:val="FootnoteText"/>
      </w:pPr>
      <w:r>
        <w:rPr>
          <w:rStyle w:val="FootnoteReference"/>
        </w:rPr>
        <w:footnoteRef/>
      </w:r>
      <w:r>
        <w:rPr>
          <w:rtl/>
        </w:rPr>
        <w:t xml:space="preserve"> </w:t>
      </w:r>
      <w:r w:rsidR="003C51CE">
        <w:rPr>
          <w:rFonts w:hint="cs"/>
          <w:rtl/>
        </w:rPr>
        <w:t>מהיסודות.</w:t>
      </w:r>
    </w:p>
  </w:footnote>
  <w:footnote w:id="727">
    <w:p w14:paraId="1063AFEB" w14:textId="70452AC8" w:rsidR="0047613E" w:rsidRDefault="0047613E">
      <w:pPr>
        <w:pStyle w:val="FootnoteText"/>
        <w:rPr>
          <w:rtl/>
        </w:rPr>
      </w:pPr>
      <w:r>
        <w:rPr>
          <w:rStyle w:val="FootnoteReference"/>
        </w:rPr>
        <w:footnoteRef/>
      </w:r>
      <w:r>
        <w:rPr>
          <w:rtl/>
        </w:rPr>
        <w:t xml:space="preserve"> </w:t>
      </w:r>
      <w:r w:rsidR="00842C5E" w:rsidRPr="00842C5E">
        <w:rPr>
          <w:rFonts w:cs="Times New Roman" w:hint="eastAsia"/>
          <w:rtl/>
          <w:lang w:bidi="ar-SA"/>
        </w:rPr>
        <w:t>غالب</w:t>
      </w:r>
      <w:r w:rsidR="00842C5E" w:rsidRPr="008270A7">
        <w:rPr>
          <w:rtl/>
        </w:rPr>
        <w:t xml:space="preserve"> (</w:t>
      </w:r>
      <w:r w:rsidR="00842C5E" w:rsidRPr="008270A7">
        <w:rPr>
          <w:rtl/>
        </w:rPr>
        <w:t>ר'לב)</w:t>
      </w:r>
      <w:r w:rsidR="008270A7">
        <w:rPr>
          <w:rFonts w:hint="cs"/>
          <w:rtl/>
        </w:rPr>
        <w:t>, נכון גם:</w:t>
      </w:r>
      <w:r w:rsidR="00842C5E" w:rsidRPr="008270A7">
        <w:rPr>
          <w:rtl/>
        </w:rPr>
        <w:t xml:space="preserve"> </w:t>
      </w:r>
      <w:r>
        <w:rPr>
          <w:rFonts w:hint="cs"/>
          <w:rtl/>
        </w:rPr>
        <w:t>שולטת, מנצחת</w:t>
      </w:r>
      <w:r w:rsidR="005A06C8">
        <w:rPr>
          <w:rFonts w:hint="cs"/>
          <w:rtl/>
        </w:rPr>
        <w:t>.</w:t>
      </w:r>
    </w:p>
    <w:p w14:paraId="28873F95" w14:textId="4DD685CC" w:rsidR="00E967A5" w:rsidRDefault="00CE639D">
      <w:pPr>
        <w:pStyle w:val="FootnoteText"/>
        <w:rPr>
          <w:rtl/>
        </w:rPr>
      </w:pPr>
      <w:r>
        <w:rPr>
          <w:rFonts w:hint="cs"/>
          <w:rtl/>
        </w:rPr>
        <w:t xml:space="preserve">היסודות הם האש שהיא חמה ויבשה, הרוח שהיא חמה ולחה, המים שהם קרים ולחים, והעפר שהוא קר ויבש. </w:t>
      </w:r>
      <w:r w:rsidR="00A9478E">
        <w:rPr>
          <w:rFonts w:hint="cs"/>
          <w:rtl/>
        </w:rPr>
        <w:t>היסודות הם צורות</w:t>
      </w:r>
      <w:r w:rsidR="00FA0158">
        <w:rPr>
          <w:rFonts w:hint="cs"/>
          <w:rtl/>
        </w:rPr>
        <w:t xml:space="preserve"> (חומרן הוא החומר הראשון), צורה היא כח חי פעיל. כל צו</w:t>
      </w:r>
      <w:r w:rsidR="005759AE">
        <w:rPr>
          <w:rFonts w:hint="cs"/>
          <w:rtl/>
        </w:rPr>
        <w:t>ר</w:t>
      </w:r>
      <w:r w:rsidR="00FA0158">
        <w:rPr>
          <w:rFonts w:hint="cs"/>
          <w:rtl/>
        </w:rPr>
        <w:t xml:space="preserve">ה פעילה בניסיון להשליט את האיכויות שלה כשהיא </w:t>
      </w:r>
      <w:r w:rsidR="005759AE">
        <w:rPr>
          <w:rFonts w:hint="cs"/>
          <w:rtl/>
        </w:rPr>
        <w:t xml:space="preserve">פועלת ונפעלת </w:t>
      </w:r>
      <w:r w:rsidR="00297735">
        <w:rPr>
          <w:rFonts w:hint="cs"/>
          <w:rtl/>
        </w:rPr>
        <w:t xml:space="preserve">ביחסי הגומלין שלה </w:t>
      </w:r>
      <w:r w:rsidR="005759AE">
        <w:rPr>
          <w:rFonts w:hint="cs"/>
          <w:rtl/>
        </w:rPr>
        <w:t xml:space="preserve">עם היסודות האחרים. </w:t>
      </w:r>
      <w:r w:rsidR="009127E4">
        <w:rPr>
          <w:rFonts w:hint="cs"/>
          <w:rtl/>
        </w:rPr>
        <w:t>האש פועלת בכל כוחה לחמם את היסודות הקרים ולייבש את היסודות הלחים, וה</w:t>
      </w:r>
      <w:r w:rsidR="00D677A2">
        <w:rPr>
          <w:rFonts w:hint="cs"/>
          <w:rtl/>
        </w:rPr>
        <w:t>יסודות האחרי</w:t>
      </w:r>
      <w:r w:rsidR="009127E4">
        <w:rPr>
          <w:rFonts w:hint="cs"/>
          <w:rtl/>
        </w:rPr>
        <w:t xml:space="preserve">ם פועלים בכל כוחם </w:t>
      </w:r>
      <w:r w:rsidR="00D677A2">
        <w:rPr>
          <w:rFonts w:hint="cs"/>
          <w:rtl/>
        </w:rPr>
        <w:t>לקרר וללחלח את האש, וכן הלאה כל יסוד פועל על האחרים ונפעל על ידם בכח כדי להגביר ולהשליט עליהם את האיכויות שלו.</w:t>
      </w:r>
    </w:p>
    <w:p w14:paraId="39D7BE00" w14:textId="4E375E31" w:rsidR="00172AEF" w:rsidRDefault="00172AEF">
      <w:pPr>
        <w:pStyle w:val="FootnoteText"/>
        <w:rPr>
          <w:rtl/>
        </w:rPr>
      </w:pPr>
      <w:r>
        <w:rPr>
          <w:rFonts w:hint="cs"/>
          <w:rtl/>
        </w:rPr>
        <w:t xml:space="preserve">גם בתוך הטבע כך הוא אופן מרכיבי הטבע, כל צמח או בעל חיים או </w:t>
      </w:r>
      <w:r w:rsidR="00593E76">
        <w:rPr>
          <w:rFonts w:hint="cs"/>
          <w:rtl/>
        </w:rPr>
        <w:t xml:space="preserve">אדם </w:t>
      </w:r>
      <w:r>
        <w:rPr>
          <w:rFonts w:hint="cs"/>
          <w:rtl/>
        </w:rPr>
        <w:t>מנסה בכל כוחו לכבוש לעצמו את המרחב שהוא חי</w:t>
      </w:r>
      <w:r w:rsidR="00593E76">
        <w:rPr>
          <w:rFonts w:hint="cs"/>
          <w:rtl/>
        </w:rPr>
        <w:t xml:space="preserve"> בו, ולמלא אותו באיכויותיו, </w:t>
      </w:r>
      <w:r>
        <w:rPr>
          <w:rFonts w:hint="cs"/>
          <w:rtl/>
        </w:rPr>
        <w:t xml:space="preserve">ולדחוק הצידה </w:t>
      </w:r>
      <w:r w:rsidR="00593E76">
        <w:rPr>
          <w:rFonts w:hint="cs"/>
          <w:rtl/>
        </w:rPr>
        <w:t xml:space="preserve">את האחרים, ומהמאבק המתמיד הזה נוצרים מצבים זמניים של שיווי משקל שבו הכוחות הסותרים </w:t>
      </w:r>
      <w:r w:rsidR="00133233">
        <w:rPr>
          <w:rFonts w:hint="cs"/>
          <w:rtl/>
        </w:rPr>
        <w:t xml:space="preserve">יוצרים מערכת שבה כל אחד מהם כוחו מרוסן על ידי הכוחות האחרים. </w:t>
      </w:r>
      <w:r w:rsidR="003E625D">
        <w:rPr>
          <w:rFonts w:hint="cs"/>
          <w:rtl/>
        </w:rPr>
        <w:t xml:space="preserve">אופן זה של התגלות הצמצום </w:t>
      </w:r>
      <w:r w:rsidR="0044204F">
        <w:rPr>
          <w:rFonts w:hint="cs"/>
          <w:rtl/>
        </w:rPr>
        <w:t xml:space="preserve">האלוהי מתחיל מהיסודות ונמשך עד היתוש הקטן שבטבור הארץ. </w:t>
      </w:r>
    </w:p>
    <w:p w14:paraId="52EB673E" w14:textId="77777777" w:rsidR="001402D2" w:rsidRDefault="00BA55D0">
      <w:pPr>
        <w:pStyle w:val="FootnoteText"/>
        <w:rPr>
          <w:rtl/>
        </w:rPr>
      </w:pPr>
      <w:r>
        <w:rPr>
          <w:rFonts w:hint="cs"/>
          <w:rtl/>
        </w:rPr>
        <w:t xml:space="preserve">זה מה שכתב כאן אבן סינא שכל יסוד נחשב שהוא מקטין את ההגזמה של כוחות היסודות האחרים, </w:t>
      </w:r>
      <w:r w:rsidR="001F0796">
        <w:rPr>
          <w:rFonts w:hint="cs"/>
          <w:rtl/>
        </w:rPr>
        <w:t>האש רוצה לחמם את הכל עד החום הגדול ביותר האפשרי, אבל העפר והמים מקטינים את כוחה</w:t>
      </w:r>
      <w:r w:rsidR="00CB4911">
        <w:rPr>
          <w:rFonts w:hint="cs"/>
          <w:rtl/>
        </w:rPr>
        <w:t xml:space="preserve"> באופן שתשתלב בהרמוניה ואחדות עם מציאות העולם כולו ול</w:t>
      </w:r>
      <w:r w:rsidR="008E6501">
        <w:rPr>
          <w:rFonts w:hint="cs"/>
          <w:rtl/>
        </w:rPr>
        <w:t>א</w:t>
      </w:r>
      <w:r w:rsidR="00CB4911">
        <w:rPr>
          <w:rFonts w:hint="cs"/>
          <w:rtl/>
        </w:rPr>
        <w:t xml:space="preserve"> תשרוף אותו. </w:t>
      </w:r>
    </w:p>
    <w:p w14:paraId="3D255132" w14:textId="09E48266" w:rsidR="00BA55D0" w:rsidRDefault="001402D2">
      <w:pPr>
        <w:pStyle w:val="FootnoteText"/>
      </w:pPr>
      <w:r>
        <w:rPr>
          <w:rFonts w:hint="cs"/>
          <w:rtl/>
        </w:rPr>
        <w:t xml:space="preserve">האיכויות של היסודות, החום </w:t>
      </w:r>
      <w:r w:rsidR="00311547">
        <w:rPr>
          <w:rFonts w:hint="cs"/>
          <w:rtl/>
        </w:rPr>
        <w:t xml:space="preserve">והקור </w:t>
      </w:r>
      <w:r>
        <w:rPr>
          <w:rFonts w:hint="cs"/>
          <w:rtl/>
        </w:rPr>
        <w:t>הלחות</w:t>
      </w:r>
      <w:r w:rsidR="00311547">
        <w:rPr>
          <w:rFonts w:hint="cs"/>
          <w:rtl/>
        </w:rPr>
        <w:t xml:space="preserve"> והיובש,</w:t>
      </w:r>
      <w:r>
        <w:rPr>
          <w:rFonts w:hint="cs"/>
          <w:rtl/>
        </w:rPr>
        <w:t xml:space="preserve"> נחשבות מקרים, </w:t>
      </w:r>
      <w:r w:rsidR="00311547">
        <w:rPr>
          <w:rFonts w:hint="cs"/>
          <w:rtl/>
        </w:rPr>
        <w:t xml:space="preserve">כי הם לא מעצם היסוד אלא הם האופן בו הוא פועל ונפעל כלפי היסודות האחרים. </w:t>
      </w:r>
      <w:r w:rsidR="00991353">
        <w:rPr>
          <w:rFonts w:hint="cs"/>
          <w:rtl/>
        </w:rPr>
        <w:t>למשל צבע של עצם נחשב מקרה בו, האד</w:t>
      </w:r>
      <w:r w:rsidR="001C163C">
        <w:rPr>
          <w:rFonts w:hint="cs"/>
          <w:rtl/>
        </w:rPr>
        <w:t>ו</w:t>
      </w:r>
      <w:r w:rsidR="00991353">
        <w:rPr>
          <w:rFonts w:hint="cs"/>
          <w:rtl/>
        </w:rPr>
        <w:t>ם של העג</w:t>
      </w:r>
      <w:r w:rsidR="001C163C">
        <w:rPr>
          <w:rFonts w:hint="cs"/>
          <w:rtl/>
        </w:rPr>
        <w:t>ב</w:t>
      </w:r>
      <w:r w:rsidR="00991353">
        <w:rPr>
          <w:rFonts w:hint="cs"/>
          <w:rtl/>
        </w:rPr>
        <w:t>נ</w:t>
      </w:r>
      <w:r w:rsidR="00CB05A5">
        <w:rPr>
          <w:rFonts w:hint="cs"/>
          <w:rtl/>
        </w:rPr>
        <w:t>י</w:t>
      </w:r>
      <w:r w:rsidR="00991353">
        <w:rPr>
          <w:rFonts w:hint="cs"/>
          <w:rtl/>
        </w:rPr>
        <w:t xml:space="preserve">יה אינו ממהותה העצמית אלא הוא האופן שבו </w:t>
      </w:r>
      <w:r w:rsidR="001C163C">
        <w:rPr>
          <w:rFonts w:hint="cs"/>
          <w:rtl/>
        </w:rPr>
        <w:t>היא משפיעה עלינו.</w:t>
      </w:r>
      <w:r w:rsidR="0083289C">
        <w:rPr>
          <w:rFonts w:hint="cs"/>
          <w:rtl/>
        </w:rPr>
        <w:t xml:space="preserve"> אפשר שאם תולעת אוכלת את העגבנ</w:t>
      </w:r>
      <w:r w:rsidR="00CB05A5">
        <w:rPr>
          <w:rFonts w:hint="cs"/>
          <w:rtl/>
        </w:rPr>
        <w:t>י</w:t>
      </w:r>
      <w:r w:rsidR="0083289C">
        <w:rPr>
          <w:rFonts w:hint="cs"/>
          <w:rtl/>
        </w:rPr>
        <w:t>יה היא לא תראה בה עצם אדום.</w:t>
      </w:r>
      <w:r w:rsidR="001C163C">
        <w:rPr>
          <w:rFonts w:hint="cs"/>
          <w:rtl/>
        </w:rPr>
        <w:t xml:space="preserve"> </w:t>
      </w:r>
      <w:r w:rsidR="00991353">
        <w:rPr>
          <w:rFonts w:hint="cs"/>
          <w:rtl/>
        </w:rPr>
        <w:t xml:space="preserve"> </w:t>
      </w:r>
      <w:r w:rsidR="001F0796">
        <w:rPr>
          <w:rFonts w:hint="cs"/>
          <w:rtl/>
        </w:rPr>
        <w:t xml:space="preserve"> </w:t>
      </w:r>
    </w:p>
  </w:footnote>
  <w:footnote w:id="728">
    <w:p w14:paraId="2955DDED" w14:textId="2AEE4612" w:rsidR="003C51CE" w:rsidRDefault="003C51CE">
      <w:pPr>
        <w:pStyle w:val="FootnoteText"/>
      </w:pPr>
      <w:r>
        <w:rPr>
          <w:rStyle w:val="FootnoteReference"/>
        </w:rPr>
        <w:footnoteRef/>
      </w:r>
      <w:r>
        <w:rPr>
          <w:rtl/>
        </w:rPr>
        <w:t xml:space="preserve"> </w:t>
      </w:r>
      <w:r>
        <w:rPr>
          <w:rFonts w:hint="cs"/>
          <w:rtl/>
        </w:rPr>
        <w:t>יסו</w:t>
      </w:r>
      <w:r w:rsidR="00CB05A5">
        <w:rPr>
          <w:rFonts w:hint="cs"/>
          <w:rtl/>
        </w:rPr>
        <w:t>ד האש יקטן בו כ</w:t>
      </w:r>
      <w:r w:rsidR="00470051">
        <w:rPr>
          <w:rFonts w:hint="cs"/>
          <w:rtl/>
        </w:rPr>
        <w:t>ו</w:t>
      </w:r>
      <w:r w:rsidR="00CB05A5">
        <w:rPr>
          <w:rFonts w:hint="cs"/>
          <w:rtl/>
        </w:rPr>
        <w:t>ח ה</w:t>
      </w:r>
      <w:r w:rsidR="00470051">
        <w:rPr>
          <w:rFonts w:hint="cs"/>
          <w:rtl/>
        </w:rPr>
        <w:t>ה</w:t>
      </w:r>
      <w:r w:rsidR="00CB05A5">
        <w:rPr>
          <w:rFonts w:hint="cs"/>
          <w:rtl/>
        </w:rPr>
        <w:t xml:space="preserve">שתלטות של החום </w:t>
      </w:r>
      <w:r w:rsidR="00470051">
        <w:rPr>
          <w:rFonts w:hint="cs"/>
          <w:rtl/>
        </w:rPr>
        <w:t xml:space="preserve">בגלל </w:t>
      </w:r>
      <w:r w:rsidR="00CB05A5">
        <w:rPr>
          <w:rFonts w:hint="cs"/>
          <w:rtl/>
        </w:rPr>
        <w:t>השפעת העפר והמים</w:t>
      </w:r>
      <w:r w:rsidR="00144266">
        <w:rPr>
          <w:rFonts w:hint="cs"/>
          <w:rtl/>
        </w:rPr>
        <w:t xml:space="preserve">, </w:t>
      </w:r>
      <w:r w:rsidR="00144266">
        <w:rPr>
          <w:rFonts w:hint="cs"/>
          <w:rtl/>
        </w:rPr>
        <w:t>והכח המוקטן הוא זה שיתיישב, ייקבע, בתרכובת הסופית שמתמזגת מהיסודות</w:t>
      </w:r>
      <w:r w:rsidR="00CB05A5">
        <w:rPr>
          <w:rFonts w:hint="cs"/>
          <w:rtl/>
        </w:rPr>
        <w:t>.</w:t>
      </w:r>
    </w:p>
  </w:footnote>
  <w:footnote w:id="729">
    <w:p w14:paraId="06D8598C" w14:textId="6952C3D3" w:rsidR="00A13272" w:rsidRDefault="00235841" w:rsidP="002E7CBF">
      <w:pPr>
        <w:pStyle w:val="FootnoteText"/>
        <w:rPr>
          <w:rtl/>
        </w:rPr>
      </w:pPr>
      <w:r>
        <w:rPr>
          <w:rStyle w:val="FootnoteReference"/>
        </w:rPr>
        <w:footnoteRef/>
      </w:r>
      <w:r>
        <w:rPr>
          <w:rtl/>
        </w:rPr>
        <w:t xml:space="preserve"> </w:t>
      </w:r>
      <w:r>
        <w:rPr>
          <w:rFonts w:hint="cs"/>
          <w:rtl/>
        </w:rPr>
        <w:t xml:space="preserve">מקגיניס </w:t>
      </w:r>
      <w:r w:rsidR="00A13272">
        <w:rPr>
          <w:rFonts w:hint="cs"/>
          <w:rtl/>
        </w:rPr>
        <w:t>ציין כאן:</w:t>
      </w:r>
    </w:p>
    <w:p w14:paraId="272F5B7B" w14:textId="4193A9A8" w:rsidR="002E7CBF" w:rsidRDefault="002E7CBF" w:rsidP="002E7CBF">
      <w:pPr>
        <w:pStyle w:val="FootnoteText"/>
        <w:bidi w:val="0"/>
        <w:rPr>
          <w:rFonts w:asciiTheme="majorBidi" w:hAnsiTheme="majorBidi" w:cstheme="majorBidi"/>
          <w:rtl/>
        </w:rPr>
      </w:pPr>
      <w:r w:rsidRPr="002E7CBF">
        <w:rPr>
          <w:rFonts w:asciiTheme="majorBidi" w:hAnsiTheme="majorBidi" w:cstheme="majorBidi"/>
        </w:rPr>
        <w:t xml:space="preserve">Cf. Aristotle, Posterior Analytics </w:t>
      </w:r>
      <w:r w:rsidRPr="002E7CBF">
        <w:rPr>
          <w:rFonts w:asciiTheme="majorBidi" w:hAnsiTheme="majorBidi" w:cstheme="majorBidi"/>
        </w:rPr>
        <w:t xml:space="preserve">2.11.94a24–35, Physics 2.3.195a16–21, and Metaphysics 5.2.1013b20–21. Avicenna briefly touches on this point again in his </w:t>
      </w:r>
      <w:bookmarkStart w:id="311" w:name="_Hlk118890356"/>
      <w:r w:rsidRPr="002E7CBF">
        <w:rPr>
          <w:rFonts w:asciiTheme="majorBidi" w:hAnsiTheme="majorBidi" w:cstheme="majorBidi"/>
        </w:rPr>
        <w:t>Ilāhīyāt</w:t>
      </w:r>
      <w:bookmarkEnd w:id="311"/>
      <w:r w:rsidRPr="002E7CBF">
        <w:rPr>
          <w:rFonts w:asciiTheme="majorBidi" w:hAnsiTheme="majorBidi" w:cstheme="majorBidi"/>
        </w:rPr>
        <w:t xml:space="preserve">  6.4</w:t>
      </w:r>
      <w:r w:rsidRPr="002E7CBF">
        <w:rPr>
          <w:rFonts w:asciiTheme="majorBidi" w:hAnsiTheme="majorBidi" w:cstheme="majorBidi"/>
          <w:rtl/>
        </w:rPr>
        <w:t>.</w:t>
      </w:r>
    </w:p>
    <w:p w14:paraId="58E06C8B" w14:textId="58B39842" w:rsidR="002E7CBF" w:rsidRPr="006D5500" w:rsidRDefault="00EC79D0" w:rsidP="00EC79D0">
      <w:pPr>
        <w:pStyle w:val="FootnoteText"/>
      </w:pPr>
      <w:r w:rsidRPr="00BF3301">
        <w:rPr>
          <w:rFonts w:asciiTheme="majorBidi" w:hAnsiTheme="majorBidi" w:cstheme="majorBidi"/>
        </w:rPr>
        <w:t>Ilāhīyāt</w:t>
      </w:r>
      <w:r w:rsidR="00D5273E" w:rsidRPr="006D5500">
        <w:rPr>
          <w:rtl/>
        </w:rPr>
        <w:t xml:space="preserve">, האלוהיות, הכוונה לחלק המטאפיזיקה שבספר הריפוי (השם מטאפיזיקה </w:t>
      </w:r>
      <w:r w:rsidR="00636CE1" w:rsidRPr="006D5500">
        <w:rPr>
          <w:rtl/>
        </w:rPr>
        <w:t xml:space="preserve">הוא מאוחר, אריסטו קרא לספר </w:t>
      </w:r>
      <w:r w:rsidR="006D5500" w:rsidRPr="006D5500">
        <w:rPr>
          <w:rtl/>
        </w:rPr>
        <w:t>ת</w:t>
      </w:r>
      <w:r w:rsidR="00636CE1" w:rsidRPr="006D5500">
        <w:rPr>
          <w:rtl/>
        </w:rPr>
        <w:t>יאולוגיה, ובימי הביניים תרגמו אותו ל</w:t>
      </w:r>
      <w:r w:rsidR="006D5500" w:rsidRPr="006D5500">
        <w:rPr>
          <w:rtl/>
        </w:rPr>
        <w:t>"אלוהיות" בערבית, ובעברית</w:t>
      </w:r>
      <w:r w:rsidR="00636CE1" w:rsidRPr="006D5500">
        <w:rPr>
          <w:rtl/>
        </w:rPr>
        <w:t xml:space="preserve"> "חכמת האלוהות"</w:t>
      </w:r>
    </w:p>
  </w:footnote>
  <w:footnote w:id="730">
    <w:p w14:paraId="73076C6F" w14:textId="02840971" w:rsidR="00DF7CEF" w:rsidRPr="006A03E3" w:rsidRDefault="00DF7CEF">
      <w:pPr>
        <w:pStyle w:val="FootnoteText"/>
      </w:pPr>
      <w:r>
        <w:rPr>
          <w:rStyle w:val="FootnoteReference"/>
        </w:rPr>
        <w:footnoteRef/>
      </w:r>
      <w:r>
        <w:rPr>
          <w:rtl/>
        </w:rPr>
        <w:t xml:space="preserve"> </w:t>
      </w:r>
      <w:r w:rsidR="00F95C7F" w:rsidRPr="006A03E3">
        <w:rPr>
          <w:rFonts w:ascii="Arial" w:hAnsi="Arial" w:cs="Arial" w:hint="cs"/>
          <w:rtl/>
          <w:lang w:bidi="ar-SA"/>
        </w:rPr>
        <w:t>شكل</w:t>
      </w:r>
      <w:r w:rsidR="00F95C7F" w:rsidRPr="006A03E3">
        <w:rPr>
          <w:rtl/>
        </w:rPr>
        <w:t>, שקל. יש במש</w:t>
      </w:r>
      <w:r w:rsidR="003F2B9E" w:rsidRPr="006A03E3">
        <w:rPr>
          <w:rtl/>
        </w:rPr>
        <w:t>מ</w:t>
      </w:r>
      <w:r w:rsidR="00F95C7F" w:rsidRPr="006A03E3">
        <w:rPr>
          <w:rtl/>
        </w:rPr>
        <w:t xml:space="preserve">עות המילה גם תואר, מבנה, </w:t>
      </w:r>
      <w:r w:rsidR="003F2B9E" w:rsidRPr="006A03E3">
        <w:rPr>
          <w:rtl/>
        </w:rPr>
        <w:t xml:space="preserve">מקגיניס תרגם </w:t>
      </w:r>
      <w:r w:rsidR="00D17F0A" w:rsidRPr="006A03E3">
        <w:t>figure</w:t>
      </w:r>
      <w:r w:rsidR="003F2B9E" w:rsidRPr="006A03E3">
        <w:rPr>
          <w:rtl/>
        </w:rPr>
        <w:t xml:space="preserve"> 'פיגורה'</w:t>
      </w:r>
      <w:r w:rsidR="00D17F0A" w:rsidRPr="006A03E3">
        <w:rPr>
          <w:rtl/>
        </w:rPr>
        <w:t xml:space="preserve">. משתמשים במשמעות זו גם במילה </w:t>
      </w:r>
      <w:r w:rsidR="003C452E">
        <w:rPr>
          <w:rFonts w:hint="cs"/>
          <w:rtl/>
        </w:rPr>
        <w:t>'</w:t>
      </w:r>
      <w:r w:rsidR="00D17F0A" w:rsidRPr="006A03E3">
        <w:rPr>
          <w:rtl/>
        </w:rPr>
        <w:t>צורה</w:t>
      </w:r>
      <w:r w:rsidR="003C452E">
        <w:rPr>
          <w:rFonts w:hint="cs"/>
          <w:rtl/>
        </w:rPr>
        <w:t>'</w:t>
      </w:r>
      <w:r w:rsidR="00D17F0A" w:rsidRPr="006A03E3">
        <w:rPr>
          <w:rtl/>
        </w:rPr>
        <w:t xml:space="preserve">, וכמו שכתב המורה נבוכים א' א' </w:t>
      </w:r>
      <w:r w:rsidR="00731030" w:rsidRPr="006A03E3">
        <w:rPr>
          <w:rtl/>
        </w:rPr>
        <w:t>שלמיל</w:t>
      </w:r>
      <w:r w:rsidR="006A03E3" w:rsidRPr="006A03E3">
        <w:rPr>
          <w:rtl/>
        </w:rPr>
        <w:t>ה</w:t>
      </w:r>
      <w:r w:rsidR="00731030" w:rsidRPr="006A03E3">
        <w:rPr>
          <w:rtl/>
        </w:rPr>
        <w:t xml:space="preserve"> </w:t>
      </w:r>
      <w:r w:rsidR="006A03E3" w:rsidRPr="006A03E3">
        <w:rPr>
          <w:rtl/>
        </w:rPr>
        <w:t>'</w:t>
      </w:r>
      <w:r w:rsidR="00731030" w:rsidRPr="006A03E3">
        <w:rPr>
          <w:rtl/>
        </w:rPr>
        <w:t>צורה</w:t>
      </w:r>
      <w:r w:rsidR="006A03E3" w:rsidRPr="006A03E3">
        <w:rPr>
          <w:rtl/>
        </w:rPr>
        <w:t>'</w:t>
      </w:r>
      <w:r w:rsidR="00731030" w:rsidRPr="006A03E3">
        <w:rPr>
          <w:rtl/>
        </w:rPr>
        <w:t xml:space="preserve"> יש שתי משמעויות</w:t>
      </w:r>
      <w:r w:rsidR="003C452E">
        <w:rPr>
          <w:rFonts w:hint="cs"/>
          <w:rtl/>
        </w:rPr>
        <w:t xml:space="preserve"> שונות (שם משתתף)</w:t>
      </w:r>
      <w:r w:rsidR="00731030" w:rsidRPr="006A03E3">
        <w:rPr>
          <w:rtl/>
        </w:rPr>
        <w:t xml:space="preserve">, האחת הצורה הטבעית, המהות (וכגון באדם הצורה היא 'חי מדבר', ויש לה גם משמעות של </w:t>
      </w:r>
      <w:r w:rsidR="00050EA9" w:rsidRPr="006A03E3">
        <w:rPr>
          <w:rtl/>
        </w:rPr>
        <w:t>התווים החיצוניים של הגוף וכמו תואר או תבנית. להנחות אין תווים חיצ</w:t>
      </w:r>
      <w:r w:rsidR="003C452E">
        <w:rPr>
          <w:rFonts w:hint="cs"/>
          <w:rtl/>
        </w:rPr>
        <w:t>ו</w:t>
      </w:r>
      <w:r w:rsidR="00050EA9" w:rsidRPr="006A03E3">
        <w:rPr>
          <w:rtl/>
        </w:rPr>
        <w:t xml:space="preserve">ניים כמו של גוף חומרי, </w:t>
      </w:r>
      <w:r w:rsidR="00FA6A4B">
        <w:rPr>
          <w:rFonts w:hint="cs"/>
          <w:rtl/>
        </w:rPr>
        <w:t>ו</w:t>
      </w:r>
      <w:r w:rsidR="00050EA9" w:rsidRPr="006A03E3">
        <w:rPr>
          <w:rtl/>
        </w:rPr>
        <w:t>גם לא צורה טבעי</w:t>
      </w:r>
      <w:r w:rsidR="00FA6A4B">
        <w:rPr>
          <w:rFonts w:hint="cs"/>
          <w:rtl/>
        </w:rPr>
        <w:t>ת</w:t>
      </w:r>
      <w:r w:rsidR="00050EA9" w:rsidRPr="006A03E3">
        <w:rPr>
          <w:rtl/>
        </w:rPr>
        <w:t xml:space="preserve"> מהותית כמו הצורה 'חי מדבר' אצל אדם. הכוונה </w:t>
      </w:r>
      <w:r w:rsidR="006A03E3" w:rsidRPr="006A03E3">
        <w:rPr>
          <w:rtl/>
        </w:rPr>
        <w:t xml:space="preserve">לתוכן </w:t>
      </w:r>
      <w:r w:rsidR="00FA6A4B">
        <w:rPr>
          <w:rFonts w:hint="cs"/>
          <w:rtl/>
        </w:rPr>
        <w:t xml:space="preserve">או המבנה </w:t>
      </w:r>
      <w:r w:rsidR="006A03E3" w:rsidRPr="006A03E3">
        <w:rPr>
          <w:rtl/>
        </w:rPr>
        <w:t>של המשפט הלוגי שהוא ההנחה של ההיקש (הסילוגיזם).</w:t>
      </w:r>
      <w:r w:rsidR="003F2B9E" w:rsidRPr="006A03E3">
        <w:rPr>
          <w:rtl/>
        </w:rPr>
        <w:t xml:space="preserve"> </w:t>
      </w:r>
    </w:p>
  </w:footnote>
  <w:footnote w:id="731">
    <w:p w14:paraId="2E9A2735" w14:textId="5D5AA2F0" w:rsidR="00B75D23" w:rsidRDefault="00B75D23">
      <w:pPr>
        <w:pStyle w:val="FootnoteText"/>
        <w:rPr>
          <w:rtl/>
        </w:rPr>
      </w:pPr>
      <w:r>
        <w:rPr>
          <w:rStyle w:val="FootnoteReference"/>
        </w:rPr>
        <w:footnoteRef/>
      </w:r>
      <w:r>
        <w:rPr>
          <w:rtl/>
        </w:rPr>
        <w:t xml:space="preserve"> </w:t>
      </w:r>
      <w:r w:rsidR="00851F26">
        <w:rPr>
          <w:rFonts w:hint="cs"/>
          <w:rtl/>
        </w:rPr>
        <w:t>היקש</w:t>
      </w:r>
      <w:r w:rsidR="00252B2A">
        <w:rPr>
          <w:rFonts w:hint="cs"/>
          <w:rtl/>
        </w:rPr>
        <w:t xml:space="preserve"> </w:t>
      </w:r>
      <w:r w:rsidR="001370E9">
        <w:t>)</w:t>
      </w:r>
      <w:r w:rsidR="00851F26">
        <w:rPr>
          <w:rFonts w:hint="cs"/>
          <w:rtl/>
        </w:rPr>
        <w:t xml:space="preserve">נקרא </w:t>
      </w:r>
      <w:r w:rsidR="00C317CB">
        <w:rPr>
          <w:rFonts w:hint="cs"/>
          <w:rtl/>
        </w:rPr>
        <w:t>ביוונית</w:t>
      </w:r>
      <w:r w:rsidR="00851F26">
        <w:rPr>
          <w:rFonts w:hint="cs"/>
          <w:rtl/>
        </w:rPr>
        <w:t xml:space="preserve"> סילוגיזם</w:t>
      </w:r>
      <w:r w:rsidR="00C317CB">
        <w:rPr>
          <w:rFonts w:hint="cs"/>
          <w:rtl/>
        </w:rPr>
        <w:t>. בעברית נקרא גם היסק</w:t>
      </w:r>
      <w:r w:rsidR="00252B2A">
        <w:rPr>
          <w:rFonts w:hint="cs"/>
          <w:rtl/>
        </w:rPr>
        <w:t>)</w:t>
      </w:r>
      <w:r w:rsidR="00851F26">
        <w:rPr>
          <w:rFonts w:hint="cs"/>
          <w:rtl/>
        </w:rPr>
        <w:t xml:space="preserve"> לדוגמה</w:t>
      </w:r>
      <w:r w:rsidR="00252B2A">
        <w:rPr>
          <w:rFonts w:hint="cs"/>
          <w:rtl/>
        </w:rPr>
        <w:t>:</w:t>
      </w:r>
      <w:r w:rsidR="00851F26">
        <w:rPr>
          <w:rFonts w:hint="cs"/>
          <w:rtl/>
        </w:rPr>
        <w:t xml:space="preserve"> נאמר שתי הנחות</w:t>
      </w:r>
      <w:r w:rsidR="000A2DE5">
        <w:rPr>
          <w:rFonts w:hint="cs"/>
          <w:rtl/>
        </w:rPr>
        <w:t xml:space="preserve"> מוקדמות</w:t>
      </w:r>
      <w:r w:rsidR="00851F26">
        <w:rPr>
          <w:rFonts w:hint="cs"/>
          <w:rtl/>
        </w:rPr>
        <w:t xml:space="preserve">: האחת כל בני האדם הם בני תמותה, השנייה היא סוקרטס הוא בן אדם. </w:t>
      </w:r>
      <w:r w:rsidR="000A2DE5">
        <w:rPr>
          <w:rFonts w:hint="cs"/>
          <w:rtl/>
        </w:rPr>
        <w:t xml:space="preserve">המסקנה הנובעת משתי ההנחות המוקדמות היא </w:t>
      </w:r>
      <w:r w:rsidR="00252B2A">
        <w:rPr>
          <w:rFonts w:hint="cs"/>
          <w:rtl/>
        </w:rPr>
        <w:t xml:space="preserve">שסוקרטס בן תמותה. </w:t>
      </w:r>
    </w:p>
    <w:p w14:paraId="5C8D7A45" w14:textId="77777777" w:rsidR="005167C8" w:rsidRDefault="00532F68">
      <w:pPr>
        <w:pStyle w:val="FootnoteText"/>
        <w:rPr>
          <w:rtl/>
        </w:rPr>
      </w:pPr>
      <w:r>
        <w:rPr>
          <w:rFonts w:hint="cs"/>
          <w:rtl/>
        </w:rPr>
        <w:t xml:space="preserve">אריסטו במטאפיזיקה </w:t>
      </w:r>
      <w:r w:rsidR="00FB3DDF">
        <w:rPr>
          <w:rFonts w:hint="cs"/>
          <w:rtl/>
        </w:rPr>
        <w:t xml:space="preserve">דלתא פרק </w:t>
      </w:r>
      <w:r w:rsidR="003825F0">
        <w:rPr>
          <w:rFonts w:hint="cs"/>
          <w:rtl/>
        </w:rPr>
        <w:t>ב', (</w:t>
      </w:r>
      <w:r w:rsidR="003825F0">
        <w:rPr>
          <w:rFonts w:hint="cs"/>
          <w:rtl/>
        </w:rPr>
        <w:t>1913ב משורה 17) כתב שההנחות הן כמו חומר למסקנ</w:t>
      </w:r>
      <w:r w:rsidR="00855D60">
        <w:rPr>
          <w:rFonts w:hint="cs"/>
          <w:rtl/>
        </w:rPr>
        <w:t>ה</w:t>
      </w:r>
      <w:r w:rsidR="003825F0">
        <w:rPr>
          <w:rFonts w:hint="cs"/>
          <w:rtl/>
        </w:rPr>
        <w:t xml:space="preserve">, </w:t>
      </w:r>
      <w:r w:rsidR="00855D60">
        <w:rPr>
          <w:rFonts w:hint="cs"/>
          <w:rtl/>
        </w:rPr>
        <w:t xml:space="preserve">כי המסקנה </w:t>
      </w:r>
      <w:r w:rsidR="0041452E">
        <w:rPr>
          <w:rFonts w:hint="cs"/>
          <w:rtl/>
        </w:rPr>
        <w:t>עשויה</w:t>
      </w:r>
      <w:r w:rsidR="00855D60">
        <w:rPr>
          <w:rFonts w:hint="cs"/>
          <w:rtl/>
        </w:rPr>
        <w:t xml:space="preserve"> מההנחות כמו ששולחן עשוי מעץ.</w:t>
      </w:r>
      <w:r w:rsidR="0041452E">
        <w:rPr>
          <w:rFonts w:hint="cs"/>
          <w:rtl/>
        </w:rPr>
        <w:t xml:space="preserve"> במובן זה ההנחות הן סיבה</w:t>
      </w:r>
      <w:r w:rsidR="001A0635">
        <w:rPr>
          <w:rFonts w:hint="cs"/>
          <w:rtl/>
        </w:rPr>
        <w:t xml:space="preserve"> חומרית</w:t>
      </w:r>
      <w:r w:rsidR="002609A8">
        <w:rPr>
          <w:rFonts w:hint="cs"/>
          <w:rtl/>
        </w:rPr>
        <w:t xml:space="preserve"> </w:t>
      </w:r>
      <w:r w:rsidR="0041452E">
        <w:rPr>
          <w:rFonts w:hint="cs"/>
          <w:rtl/>
        </w:rPr>
        <w:t>למסקנה כמו שהעץ הוא סיבה</w:t>
      </w:r>
      <w:r w:rsidR="002609A8">
        <w:rPr>
          <w:rFonts w:hint="cs"/>
          <w:rtl/>
        </w:rPr>
        <w:t xml:space="preserve"> </w:t>
      </w:r>
      <w:r w:rsidR="0041452E">
        <w:rPr>
          <w:rFonts w:hint="cs"/>
          <w:rtl/>
        </w:rPr>
        <w:t xml:space="preserve">חומרית לשולחן. </w:t>
      </w:r>
      <w:r w:rsidR="002609A8">
        <w:rPr>
          <w:rFonts w:hint="cs"/>
          <w:rtl/>
        </w:rPr>
        <w:t>כך גם האותיות הן כמו סיבה חומרית להברה או למילה כי ה</w:t>
      </w:r>
      <w:r w:rsidR="00CC58F4">
        <w:rPr>
          <w:rFonts w:hint="cs"/>
          <w:rtl/>
        </w:rPr>
        <w:t xml:space="preserve">הברה עשויה מאותיות, </w:t>
      </w:r>
      <w:r w:rsidR="003E7B54">
        <w:rPr>
          <w:rFonts w:hint="cs"/>
          <w:rtl/>
        </w:rPr>
        <w:t>וכן הפרטים הם כמו סיבה חומרית של הכלל כי הוא עשוי מהפרטים</w:t>
      </w:r>
      <w:r w:rsidR="00CC58F4">
        <w:rPr>
          <w:rFonts w:hint="cs"/>
          <w:rtl/>
        </w:rPr>
        <w:t xml:space="preserve">. </w:t>
      </w:r>
      <w:r w:rsidR="002A472B">
        <w:rPr>
          <w:rFonts w:hint="cs"/>
          <w:rtl/>
        </w:rPr>
        <w:t>המסקנה, ההברה, הכלל, אינם 'עצם'</w:t>
      </w:r>
      <w:r w:rsidR="009024F6">
        <w:rPr>
          <w:rFonts w:hint="cs"/>
          <w:rtl/>
        </w:rPr>
        <w:t xml:space="preserve"> טבעי כמו ששולחן הוא 'עצם', כלומר עשוי מחומר (שהוא תרכובת של ארבעת היסודות) וצורה. </w:t>
      </w:r>
      <w:r w:rsidR="007139FC">
        <w:rPr>
          <w:rFonts w:hint="cs"/>
          <w:rtl/>
        </w:rPr>
        <w:t xml:space="preserve">החומר של הברה מסקנה וכלל אינו ארבעת היסודות ולכן אינם עצם טבעי, אלא </w:t>
      </w:r>
      <w:r w:rsidR="008A4000">
        <w:rPr>
          <w:rFonts w:hint="cs"/>
          <w:rtl/>
        </w:rPr>
        <w:t>אריסטו ביאר ש</w:t>
      </w:r>
      <w:r w:rsidR="007139FC">
        <w:rPr>
          <w:rFonts w:hint="cs"/>
          <w:rtl/>
        </w:rPr>
        <w:t>הן מהויות.</w:t>
      </w:r>
      <w:r w:rsidR="0001450A">
        <w:rPr>
          <w:rFonts w:hint="cs"/>
          <w:rtl/>
        </w:rPr>
        <w:t xml:space="preserve"> לכן הם רק כמו סיבה חומרית ולא סיבה חומרית ממש. מה שקושר אותן לדמיון לסיבה חומרית הוא שהמסקנה עשויה מההנחות וההברה מהאותיות והכלל מהפרטים, אבל בדמיון הזה נגמרה השייכות של היחס הזה ליחס של סיבה חומרית. כל זה כתב אריסטו שם. </w:t>
      </w:r>
    </w:p>
    <w:p w14:paraId="35F1B38A" w14:textId="5E76B471" w:rsidR="00532F68" w:rsidRDefault="005167C8">
      <w:pPr>
        <w:pStyle w:val="FootnoteText"/>
        <w:rPr>
          <w:rtl/>
        </w:rPr>
      </w:pPr>
      <w:r>
        <w:rPr>
          <w:rFonts w:hint="cs"/>
          <w:rtl/>
        </w:rPr>
        <w:t>אבן סינא כותב כאן שיותר נראה שהיחס בין הנחות למסקנה הוא שההנחות הן הסיבה הפועלת של ה</w:t>
      </w:r>
      <w:r w:rsidR="00901923">
        <w:rPr>
          <w:rFonts w:hint="cs"/>
          <w:rtl/>
        </w:rPr>
        <w:t>מסקנה</w:t>
      </w:r>
      <w:r>
        <w:rPr>
          <w:rFonts w:hint="cs"/>
          <w:rtl/>
        </w:rPr>
        <w:t xml:space="preserve">. </w:t>
      </w:r>
      <w:r w:rsidR="00901923">
        <w:rPr>
          <w:rFonts w:hint="cs"/>
          <w:rtl/>
        </w:rPr>
        <w:t>המסקנה לא הייתה קיימת בעולם וההנחות פעלו שהיא תהיה קיימת. גם זה רק משל ודמיון ול</w:t>
      </w:r>
      <w:r w:rsidR="00554426">
        <w:rPr>
          <w:rFonts w:hint="cs"/>
          <w:rtl/>
        </w:rPr>
        <w:t>א</w:t>
      </w:r>
      <w:r w:rsidR="00901923">
        <w:rPr>
          <w:rFonts w:hint="cs"/>
          <w:rtl/>
        </w:rPr>
        <w:t xml:space="preserve"> ממש סיבה</w:t>
      </w:r>
      <w:r w:rsidR="00554426">
        <w:rPr>
          <w:rFonts w:hint="cs"/>
          <w:rtl/>
        </w:rPr>
        <w:t xml:space="preserve"> </w:t>
      </w:r>
      <w:r w:rsidR="00901923">
        <w:rPr>
          <w:rFonts w:hint="cs"/>
          <w:rtl/>
        </w:rPr>
        <w:t xml:space="preserve">פועלת, כי ההנחות לא מפעילות שום כח </w:t>
      </w:r>
      <w:r w:rsidR="00593A4A" w:rsidRPr="00593A4A">
        <w:rPr>
          <w:rtl/>
        </w:rPr>
        <w:t>פּוֹעֵל</w:t>
      </w:r>
      <w:r w:rsidR="00901923">
        <w:rPr>
          <w:rFonts w:hint="cs"/>
          <w:rtl/>
        </w:rPr>
        <w:t xml:space="preserve"> שמוציא ל</w:t>
      </w:r>
      <w:r w:rsidR="009D35F0" w:rsidRPr="009D35F0">
        <w:rPr>
          <w:rtl/>
        </w:rPr>
        <w:t>פּוֹעַל</w:t>
      </w:r>
      <w:r w:rsidR="00554426">
        <w:rPr>
          <w:rFonts w:hint="cs"/>
          <w:rtl/>
        </w:rPr>
        <w:t>.</w:t>
      </w:r>
    </w:p>
    <w:p w14:paraId="5452500B" w14:textId="485D14C3" w:rsidR="009C3064" w:rsidRDefault="009D35F0" w:rsidP="00196208">
      <w:pPr>
        <w:pStyle w:val="FootnoteText"/>
      </w:pPr>
      <w:r>
        <w:rPr>
          <w:rFonts w:hint="cs"/>
          <w:rtl/>
        </w:rPr>
        <w:t xml:space="preserve">יש ארבע סיבות לקיומו של עצם, וכאן אנו מדברים במובן מורחב שהסיבות הן </w:t>
      </w:r>
      <w:r w:rsidR="00AD3016">
        <w:rPr>
          <w:rFonts w:hint="cs"/>
          <w:rtl/>
        </w:rPr>
        <w:t xml:space="preserve">סיבות </w:t>
      </w:r>
      <w:r>
        <w:rPr>
          <w:rFonts w:hint="cs"/>
          <w:rtl/>
        </w:rPr>
        <w:t>לקיומו של כל דבר גם אם אינו עצם</w:t>
      </w:r>
      <w:r w:rsidR="00AD3016">
        <w:rPr>
          <w:rFonts w:hint="cs"/>
          <w:rtl/>
        </w:rPr>
        <w:t>:</w:t>
      </w:r>
      <w:r>
        <w:rPr>
          <w:rFonts w:hint="cs"/>
          <w:rtl/>
        </w:rPr>
        <w:t xml:space="preserve"> </w:t>
      </w:r>
      <w:r w:rsidR="00AD3016">
        <w:rPr>
          <w:rFonts w:hint="cs"/>
          <w:rtl/>
        </w:rPr>
        <w:t>החומר, הצורה, ה</w:t>
      </w:r>
      <w:r w:rsidR="00AD3016" w:rsidRPr="00AD3016">
        <w:rPr>
          <w:rtl/>
        </w:rPr>
        <w:t>פּוֹעֵל</w:t>
      </w:r>
      <w:r w:rsidR="00AD3016">
        <w:rPr>
          <w:rFonts w:hint="cs"/>
          <w:rtl/>
        </w:rPr>
        <w:t xml:space="preserve"> והתכלית. אבל יש חילוק ביניהן, החומר והצורה הן הסיבות למהותו של הדבר, אבל אם לדבר יש מהות עדיין אין זה מכריח שיש לו מציאות, כמו שכתב המורה נבוכים א' נ"ז. </w:t>
      </w:r>
      <w:r w:rsidR="0034306D">
        <w:rPr>
          <w:rFonts w:hint="cs"/>
          <w:rtl/>
        </w:rPr>
        <w:t xml:space="preserve">למשל </w:t>
      </w:r>
      <w:r w:rsidR="00130749">
        <w:rPr>
          <w:rFonts w:hint="cs"/>
          <w:rtl/>
        </w:rPr>
        <w:t xml:space="preserve">מיכאנג'לו אמר שהוא לא עושה את הפסל, הוא רק רואה את הפסל שוכב בתוך גוש השיש ומסיר את השיש המיותר. </w:t>
      </w:r>
      <w:r w:rsidR="00FA65D0">
        <w:rPr>
          <w:rFonts w:hint="cs"/>
          <w:rtl/>
        </w:rPr>
        <w:t>הפסל שמיכלאנג'לו ראה בתוך גוש השיש יש לו מהות, כי גם בתוך גוש השיש יש לו צורה של דוד</w:t>
      </w:r>
      <w:r w:rsidR="005C2338">
        <w:rPr>
          <w:rFonts w:hint="cs"/>
          <w:rtl/>
        </w:rPr>
        <w:t>,</w:t>
      </w:r>
      <w:r w:rsidR="00FA65D0">
        <w:rPr>
          <w:rFonts w:hint="cs"/>
          <w:rtl/>
        </w:rPr>
        <w:t xml:space="preserve"> וחומר שהוא השיש</w:t>
      </w:r>
      <w:r w:rsidR="005C2338">
        <w:rPr>
          <w:rFonts w:hint="cs"/>
          <w:rtl/>
        </w:rPr>
        <w:t>,</w:t>
      </w:r>
      <w:r w:rsidR="00FA65D0">
        <w:rPr>
          <w:rFonts w:hint="cs"/>
          <w:rtl/>
        </w:rPr>
        <w:t xml:space="preserve"> והרי הוא עצם בעל צורה</w:t>
      </w:r>
      <w:r w:rsidR="005C2338">
        <w:rPr>
          <w:rFonts w:hint="cs"/>
          <w:rtl/>
        </w:rPr>
        <w:t xml:space="preserve"> </w:t>
      </w:r>
      <w:r w:rsidR="00FA65D0">
        <w:rPr>
          <w:rFonts w:hint="cs"/>
          <w:rtl/>
        </w:rPr>
        <w:t xml:space="preserve">וחומר. </w:t>
      </w:r>
      <w:r w:rsidR="005C2338">
        <w:rPr>
          <w:rFonts w:hint="cs"/>
          <w:rtl/>
        </w:rPr>
        <w:t>אבל הוא כעת רק מהות ולא מציאות. למציאות יש שתי סיבות, הפועל והתכלית. מיכאלנג'לו כשהוא מסתת את גוש השיש ומסלק את השיש המיותר מוציא אל הפועל את צורת הפסל ומעניק לו מציאות</w:t>
      </w:r>
      <w:r w:rsidR="00D7130D">
        <w:rPr>
          <w:rFonts w:hint="cs"/>
          <w:rtl/>
        </w:rPr>
        <w:t>, ובזה הוא סיבה פועלת לפסל</w:t>
      </w:r>
      <w:r w:rsidR="00E77440">
        <w:rPr>
          <w:rFonts w:hint="cs"/>
          <w:rtl/>
        </w:rPr>
        <w:t>,</w:t>
      </w:r>
      <w:r w:rsidR="005C2338">
        <w:rPr>
          <w:rFonts w:hint="cs"/>
          <w:rtl/>
        </w:rPr>
        <w:t xml:space="preserve"> והוא פועל מהסיבה שיש ל</w:t>
      </w:r>
      <w:r w:rsidR="00D7130D">
        <w:rPr>
          <w:rFonts w:hint="cs"/>
          <w:rtl/>
        </w:rPr>
        <w:t>ו תכלית שהיא ליצור פסל כזה</w:t>
      </w:r>
      <w:r w:rsidR="00E77440">
        <w:rPr>
          <w:rFonts w:hint="cs"/>
          <w:rtl/>
        </w:rPr>
        <w:t>, הסיבה</w:t>
      </w:r>
      <w:r w:rsidR="008C2598">
        <w:rPr>
          <w:rFonts w:hint="cs"/>
          <w:rtl/>
        </w:rPr>
        <w:t xml:space="preserve"> </w:t>
      </w:r>
      <w:r w:rsidR="00E77440">
        <w:rPr>
          <w:rFonts w:hint="cs"/>
          <w:rtl/>
        </w:rPr>
        <w:t>התכליתית והסיבה</w:t>
      </w:r>
      <w:r w:rsidR="008C2598">
        <w:rPr>
          <w:rFonts w:hint="cs"/>
          <w:rtl/>
        </w:rPr>
        <w:t xml:space="preserve"> </w:t>
      </w:r>
      <w:r w:rsidR="00E77440">
        <w:rPr>
          <w:rFonts w:hint="cs"/>
          <w:rtl/>
        </w:rPr>
        <w:t xml:space="preserve">הפועלת קשורות זו בזו, התכלית מעוררת לפעול, לא תהיה פעולה בלי תכלית, </w:t>
      </w:r>
      <w:r w:rsidR="00853788">
        <w:rPr>
          <w:rFonts w:hint="cs"/>
          <w:rtl/>
        </w:rPr>
        <w:t>אבל תכלית לחוד לא תהיה סיבה</w:t>
      </w:r>
      <w:r w:rsidR="008C2598">
        <w:rPr>
          <w:rFonts w:hint="cs"/>
          <w:rtl/>
        </w:rPr>
        <w:t xml:space="preserve"> </w:t>
      </w:r>
      <w:r w:rsidR="00853788">
        <w:rPr>
          <w:rFonts w:hint="cs"/>
          <w:rtl/>
        </w:rPr>
        <w:t xml:space="preserve">למציאות של שום דבר כל זמן שאין מי שיפעל מכח התכלית ויוציא אל הפועל את מציאותו של הדבר. </w:t>
      </w:r>
      <w:r w:rsidR="008C2598">
        <w:rPr>
          <w:rFonts w:hint="cs"/>
          <w:rtl/>
        </w:rPr>
        <w:t>אריסטו מדבר על הסיבה</w:t>
      </w:r>
      <w:r w:rsidR="00B30B58">
        <w:rPr>
          <w:rFonts w:hint="cs"/>
          <w:rtl/>
        </w:rPr>
        <w:t xml:space="preserve"> </w:t>
      </w:r>
      <w:r w:rsidR="008C2598">
        <w:rPr>
          <w:rFonts w:hint="cs"/>
          <w:rtl/>
        </w:rPr>
        <w:t>למהות של המסקנה, והסיבה</w:t>
      </w:r>
      <w:r w:rsidR="00B30B58">
        <w:rPr>
          <w:rFonts w:hint="cs"/>
          <w:rtl/>
        </w:rPr>
        <w:t xml:space="preserve"> החומרית היא ההנחות כי המסקנה עשויה מהן. </w:t>
      </w:r>
      <w:r w:rsidR="009F10F0">
        <w:rPr>
          <w:rFonts w:hint="cs"/>
          <w:rtl/>
        </w:rPr>
        <w:t xml:space="preserve">אבן סינא מדבר על הסיבה למציאות של המסקנה, ומבחינה זו ההנחות הן </w:t>
      </w:r>
      <w:r w:rsidR="00507A0B">
        <w:rPr>
          <w:rFonts w:hint="cs"/>
          <w:rtl/>
        </w:rPr>
        <w:t xml:space="preserve">כמו סיבה פועלת כי מסיבתן יש מציאות למסקנה. </w:t>
      </w:r>
      <w:r w:rsidR="00753725">
        <w:rPr>
          <w:rFonts w:hint="cs"/>
          <w:rtl/>
        </w:rPr>
        <w:t xml:space="preserve">עד כאן אבן סינא ואריסטו מדברים על דברים שונים ואין </w:t>
      </w:r>
      <w:r w:rsidR="00C26E66">
        <w:rPr>
          <w:rFonts w:hint="cs"/>
          <w:rtl/>
        </w:rPr>
        <w:t xml:space="preserve">הכרח שתהיה ביניהם </w:t>
      </w:r>
      <w:r w:rsidR="00753725">
        <w:rPr>
          <w:rFonts w:hint="cs"/>
          <w:rtl/>
        </w:rPr>
        <w:t>מחלוקת, אמנם בהמשך אבן סינא מבאר במה הוא חולק על אריסטו</w:t>
      </w:r>
      <w:r w:rsidR="00CF0B5F">
        <w:rPr>
          <w:rFonts w:hint="cs"/>
          <w:rtl/>
        </w:rPr>
        <w:t xml:space="preserve"> </w:t>
      </w:r>
      <w:r w:rsidR="0051464D">
        <w:rPr>
          <w:rFonts w:hint="cs"/>
          <w:rtl/>
        </w:rPr>
        <w:t>(</w:t>
      </w:r>
      <w:r w:rsidR="00CF0B5F">
        <w:rPr>
          <w:rFonts w:hint="cs"/>
          <w:rtl/>
        </w:rPr>
        <w:t>ביאורו דורש ידיעה היטב בלוגיקה ורק תרגמתי בלי ניסיון לבאר</w:t>
      </w:r>
      <w:r w:rsidR="0051464D">
        <w:rPr>
          <w:rFonts w:hint="cs"/>
          <w:rtl/>
        </w:rPr>
        <w:t xml:space="preserve"> את כוונת דבריו)</w:t>
      </w:r>
      <w:r w:rsidR="008D2BEB">
        <w:rPr>
          <w:rFonts w:hint="cs"/>
          <w:rtl/>
        </w:rPr>
        <w:t>.</w:t>
      </w:r>
    </w:p>
  </w:footnote>
  <w:footnote w:id="732">
    <w:p w14:paraId="655AAD72" w14:textId="0C463B65" w:rsidR="009F5F68" w:rsidRDefault="009F5F68">
      <w:pPr>
        <w:pStyle w:val="FootnoteText"/>
      </w:pPr>
      <w:r>
        <w:rPr>
          <w:rStyle w:val="FootnoteReference"/>
        </w:rPr>
        <w:footnoteRef/>
      </w:r>
      <w:r>
        <w:rPr>
          <w:rtl/>
        </w:rPr>
        <w:t xml:space="preserve"> </w:t>
      </w:r>
      <w:r w:rsidR="000F7A20">
        <w:rPr>
          <w:rFonts w:hint="cs"/>
          <w:rtl/>
        </w:rPr>
        <w:t xml:space="preserve">'כל בני האדם הם בני תמותה' היא ההנחה הגדולה, 'סוקרטס הוא בן אדם' היא ההנחה הקטנה </w:t>
      </w:r>
      <w:r w:rsidR="0093370B">
        <w:rPr>
          <w:rFonts w:hint="cs"/>
          <w:rtl/>
        </w:rPr>
        <w:t>(</w:t>
      </w:r>
      <w:r w:rsidR="00921CC0">
        <w:rPr>
          <w:rFonts w:hint="cs"/>
          <w:rtl/>
        </w:rPr>
        <w:t>'סוקרטס הוא בן תמותה' היא המסקנה הנובעת משתיהן</w:t>
      </w:r>
      <w:r w:rsidR="0093370B">
        <w:rPr>
          <w:rFonts w:hint="cs"/>
          <w:rtl/>
        </w:rPr>
        <w:t>)</w:t>
      </w:r>
      <w:r w:rsidR="00921CC0">
        <w:rPr>
          <w:rFonts w:hint="cs"/>
          <w:rtl/>
        </w:rPr>
        <w:t>.</w:t>
      </w:r>
    </w:p>
  </w:footnote>
  <w:footnote w:id="733">
    <w:p w14:paraId="14FE0798" w14:textId="77EBD6B2" w:rsidR="003F1BA5" w:rsidRDefault="003F1BA5">
      <w:pPr>
        <w:pStyle w:val="FootnoteText"/>
      </w:pPr>
      <w:r>
        <w:rPr>
          <w:rStyle w:val="FootnoteReference"/>
        </w:rPr>
        <w:footnoteRef/>
      </w:r>
      <w:r>
        <w:rPr>
          <w:rtl/>
        </w:rPr>
        <w:t xml:space="preserve"> </w:t>
      </w:r>
      <w:r>
        <w:rPr>
          <w:rFonts w:hint="cs"/>
          <w:rtl/>
        </w:rPr>
        <w:t>ההנחה הגדולה וההנחה הקטנה.</w:t>
      </w:r>
    </w:p>
  </w:footnote>
  <w:footnote w:id="734">
    <w:p w14:paraId="1978C674" w14:textId="4B4632E4" w:rsidR="005803AE" w:rsidRDefault="005803AE">
      <w:pPr>
        <w:pStyle w:val="FootnoteText"/>
        <w:rPr>
          <w:rtl/>
        </w:rPr>
      </w:pPr>
      <w:r>
        <w:rPr>
          <w:rStyle w:val="FootnoteReference"/>
        </w:rPr>
        <w:footnoteRef/>
      </w:r>
      <w:r>
        <w:rPr>
          <w:rtl/>
        </w:rPr>
        <w:t xml:space="preserve"> </w:t>
      </w:r>
      <w:r w:rsidR="006628E1" w:rsidRPr="005C3933">
        <w:rPr>
          <w:rtl/>
        </w:rPr>
        <w:t xml:space="preserve">במקור </w:t>
      </w:r>
      <w:r w:rsidR="006628E1" w:rsidRPr="005C3933">
        <w:rPr>
          <w:rFonts w:ascii="Arial" w:hAnsi="Arial" w:cs="Arial" w:hint="cs"/>
          <w:rtl/>
          <w:lang w:bidi="ar-SA"/>
        </w:rPr>
        <w:t>موضوع</w:t>
      </w:r>
      <w:r w:rsidR="006849B5" w:rsidRPr="005C3933">
        <w:rPr>
          <w:rtl/>
        </w:rPr>
        <w:t xml:space="preserve"> (</w:t>
      </w:r>
      <w:r w:rsidR="006849B5" w:rsidRPr="005C3933">
        <w:rPr>
          <w:rtl/>
        </w:rPr>
        <w:t>מוס</w:t>
      </w:r>
      <w:r w:rsidR="000139BF">
        <w:rPr>
          <w:rFonts w:hint="cs"/>
          <w:rtl/>
        </w:rPr>
        <w:t>ו</w:t>
      </w:r>
      <w:r w:rsidR="006D511B">
        <w:rPr>
          <w:rFonts w:hint="cs"/>
          <w:rtl/>
        </w:rPr>
        <w:t>'</w:t>
      </w:r>
      <w:r w:rsidR="00A025A1">
        <w:rPr>
          <w:rFonts w:hint="cs"/>
          <w:rtl/>
        </w:rPr>
        <w:t>ע</w:t>
      </w:r>
      <w:r w:rsidR="006D0026">
        <w:rPr>
          <w:rFonts w:hint="cs"/>
          <w:rtl/>
        </w:rPr>
        <w:t xml:space="preserve"> </w:t>
      </w:r>
      <w:r w:rsidR="00A025A1">
        <w:rPr>
          <w:rFonts w:hint="cs"/>
          <w:rtl/>
        </w:rPr>
        <w:t>או מוד'וע)</w:t>
      </w:r>
      <w:r w:rsidR="005C3933" w:rsidRPr="005C3933">
        <w:rPr>
          <w:rtl/>
        </w:rPr>
        <w:t>. הצורה הערבית של מושא)</w:t>
      </w:r>
      <w:r w:rsidR="006849B5" w:rsidRPr="005C3933">
        <w:rPr>
          <w:rtl/>
        </w:rPr>
        <w:t>, א</w:t>
      </w:r>
      <w:r w:rsidR="006849B5" w:rsidRPr="006849B5">
        <w:rPr>
          <w:rtl/>
        </w:rPr>
        <w:t xml:space="preserve">פשר </w:t>
      </w:r>
      <w:r w:rsidR="005C3933">
        <w:rPr>
          <w:rFonts w:hint="cs"/>
          <w:rtl/>
        </w:rPr>
        <w:t xml:space="preserve">גם </w:t>
      </w:r>
      <w:r w:rsidR="006849B5" w:rsidRPr="006849B5">
        <w:rPr>
          <w:rtl/>
        </w:rPr>
        <w:t>ל</w:t>
      </w:r>
      <w:r w:rsidR="005C3933">
        <w:rPr>
          <w:rFonts w:hint="cs"/>
          <w:rtl/>
        </w:rPr>
        <w:t>ת</w:t>
      </w:r>
      <w:r w:rsidR="006849B5" w:rsidRPr="006849B5">
        <w:rPr>
          <w:rtl/>
        </w:rPr>
        <w:t xml:space="preserve">רגם נושא. </w:t>
      </w:r>
      <w:r w:rsidR="006628E1" w:rsidRPr="006849B5">
        <w:rPr>
          <w:rtl/>
        </w:rPr>
        <w:t>הכוונה לחומר שנושא את הצורה על גביו</w:t>
      </w:r>
      <w:r w:rsidR="00C61002">
        <w:rPr>
          <w:rFonts w:hint="cs"/>
          <w:rtl/>
        </w:rPr>
        <w:t xml:space="preserve"> (לכן התרגום 'נושא' כאן יותר מדויק, אבל הרגל הלשון הנפוץ הוא </w:t>
      </w:r>
      <w:r w:rsidR="00555F9A">
        <w:rPr>
          <w:rFonts w:hint="cs"/>
          <w:rtl/>
        </w:rPr>
        <w:t>'</w:t>
      </w:r>
      <w:r w:rsidR="00C61002">
        <w:rPr>
          <w:rFonts w:hint="cs"/>
          <w:rtl/>
        </w:rPr>
        <w:t>מושא</w:t>
      </w:r>
      <w:r w:rsidR="00555F9A">
        <w:rPr>
          <w:rFonts w:hint="cs"/>
          <w:rtl/>
        </w:rPr>
        <w:t>'</w:t>
      </w:r>
      <w:r w:rsidR="00C61002">
        <w:rPr>
          <w:rFonts w:hint="cs"/>
          <w:rtl/>
        </w:rPr>
        <w:t xml:space="preserve"> וכך תרגמתי</w:t>
      </w:r>
      <w:r w:rsidR="00555F9A">
        <w:rPr>
          <w:rFonts w:hint="cs"/>
          <w:rtl/>
        </w:rPr>
        <w:t>)</w:t>
      </w:r>
      <w:r w:rsidR="006628E1" w:rsidRPr="006849B5">
        <w:rPr>
          <w:rtl/>
        </w:rPr>
        <w:t>.</w:t>
      </w:r>
      <w:r w:rsidR="00F32D92">
        <w:rPr>
          <w:rFonts w:hint="cs"/>
          <w:rtl/>
        </w:rPr>
        <w:t xml:space="preserve"> זו ההסתכלות שגרמה לאריסטו לומר שההנחות הן כמו חומר לצורה כיוון שהיא מורכבת מהן.</w:t>
      </w:r>
    </w:p>
    <w:p w14:paraId="0806EBCE" w14:textId="240F2731" w:rsidR="00A6419E" w:rsidRDefault="00A6419E">
      <w:pPr>
        <w:pStyle w:val="FootnoteText"/>
        <w:rPr>
          <w:rtl/>
        </w:rPr>
      </w:pPr>
      <w:r>
        <w:rPr>
          <w:rFonts w:hint="cs"/>
          <w:rtl/>
        </w:rPr>
        <w:t>מקגיניס תרגם כאן</w:t>
      </w:r>
      <w:r w:rsidR="007050D0">
        <w:rPr>
          <w:rFonts w:hint="cs"/>
          <w:rtl/>
        </w:rPr>
        <w:t>:</w:t>
      </w:r>
    </w:p>
    <w:p w14:paraId="5A7C47E6" w14:textId="2854AEF7" w:rsidR="00A6419E" w:rsidRPr="001C5A37" w:rsidRDefault="007050D0" w:rsidP="007050D0">
      <w:pPr>
        <w:pStyle w:val="FootnoteText"/>
        <w:bidi w:val="0"/>
        <w:rPr>
          <w:rFonts w:asciiTheme="majorBidi" w:hAnsiTheme="majorBidi" w:cstheme="majorBidi"/>
          <w:rtl/>
        </w:rPr>
      </w:pPr>
      <w:r w:rsidRPr="001C5A37">
        <w:rPr>
          <w:rFonts w:asciiTheme="majorBidi" w:hAnsiTheme="majorBidi" w:cstheme="majorBidi"/>
          <w:rtl/>
        </w:rPr>
        <w:t>"</w:t>
      </w:r>
      <w:r w:rsidRPr="001C5A37">
        <w:rPr>
          <w:rFonts w:asciiTheme="majorBidi" w:hAnsiTheme="majorBidi" w:cstheme="majorBidi"/>
        </w:rPr>
        <w:t>it was supposed that the subject of the conclusion is in the syllogism;and that, in turn, was taken to the extreme in the belief that the syllogism itself is that in which the conclusion inheres</w:t>
      </w:r>
      <w:r w:rsidRPr="001C5A37">
        <w:rPr>
          <w:rFonts w:asciiTheme="majorBidi" w:hAnsiTheme="majorBidi" w:cstheme="majorBidi"/>
          <w:rtl/>
        </w:rPr>
        <w:t>".</w:t>
      </w:r>
    </w:p>
    <w:p w14:paraId="53C8F72C" w14:textId="36B41992" w:rsidR="000C539E" w:rsidRDefault="004F27CE" w:rsidP="000E13B6">
      <w:pPr>
        <w:pStyle w:val="FootnoteText"/>
        <w:rPr>
          <w:rtl/>
        </w:rPr>
      </w:pPr>
      <w:r>
        <w:rPr>
          <w:rFonts w:hint="cs"/>
          <w:rtl/>
        </w:rPr>
        <w:t>ובהערה כתב:</w:t>
      </w:r>
    </w:p>
    <w:p w14:paraId="2F723CA4" w14:textId="5CE81863" w:rsidR="00A6419E" w:rsidRPr="0099287C" w:rsidRDefault="000E13B6" w:rsidP="0099287C">
      <w:pPr>
        <w:pStyle w:val="FootnoteText"/>
        <w:bidi w:val="0"/>
        <w:rPr>
          <w:rFonts w:asciiTheme="majorBidi" w:hAnsiTheme="majorBidi" w:cstheme="majorBidi"/>
        </w:rPr>
      </w:pPr>
      <w:r>
        <w:rPr>
          <w:rFonts w:asciiTheme="majorBidi" w:hAnsiTheme="majorBidi" w:cstheme="majorBidi" w:hint="cs"/>
          <w:rtl/>
        </w:rPr>
        <w:t>"</w:t>
      </w:r>
      <w:r w:rsidR="001C5A37" w:rsidRPr="007303BD">
        <w:rPr>
          <w:rFonts w:asciiTheme="majorBidi" w:hAnsiTheme="majorBidi" w:cstheme="majorBidi"/>
        </w:rPr>
        <w:t>The Arabic mawḍūʿ</w:t>
      </w:r>
      <w:r w:rsidR="00111076">
        <w:rPr>
          <w:rFonts w:hint="cs"/>
          <w:rtl/>
        </w:rPr>
        <w:t xml:space="preserve"> [מוד</w:t>
      </w:r>
      <w:r w:rsidR="008B5A14">
        <w:rPr>
          <w:rFonts w:hint="cs"/>
          <w:rtl/>
        </w:rPr>
        <w:t>'</w:t>
      </w:r>
      <w:r w:rsidR="00111076">
        <w:rPr>
          <w:rFonts w:hint="cs"/>
          <w:rtl/>
        </w:rPr>
        <w:t>ו</w:t>
      </w:r>
      <w:r w:rsidR="008B5A14">
        <w:rPr>
          <w:rFonts w:hint="cs"/>
          <w:rtl/>
        </w:rPr>
        <w:t>ע</w:t>
      </w:r>
      <w:r w:rsidR="00111076">
        <w:rPr>
          <w:rFonts w:hint="cs"/>
          <w:rtl/>
        </w:rPr>
        <w:t xml:space="preserve">] </w:t>
      </w:r>
      <w:r w:rsidR="001C5A37" w:rsidRPr="007303BD">
        <w:rPr>
          <w:rFonts w:asciiTheme="majorBidi" w:hAnsiTheme="majorBidi" w:cstheme="majorBidi"/>
        </w:rPr>
        <w:t>is used both in the sense of “logical subject” (as opposed to the logical predicate) and the sense of “[material] subject” or “under- lying thing” (cf. 1.2.3, 6). Since the immediate issue is why some thought that the premises stood to the conclusion as matter to form, the sense of mawḍūʿ is almost certainly that of  “material subject” or “underlying thing,” even if the vocabulary is otherwise that of logic.</w:t>
      </w:r>
      <w:r>
        <w:rPr>
          <w:rFonts w:asciiTheme="majorBidi" w:hAnsiTheme="majorBidi" w:cstheme="majorBidi" w:hint="cs"/>
          <w:rtl/>
        </w:rPr>
        <w:t>"</w:t>
      </w:r>
    </w:p>
  </w:footnote>
  <w:footnote w:id="735">
    <w:p w14:paraId="2FD97C28" w14:textId="22E63939" w:rsidR="003A5245" w:rsidRDefault="003A5245">
      <w:pPr>
        <w:pStyle w:val="FootnoteText"/>
      </w:pPr>
      <w:r>
        <w:rPr>
          <w:rStyle w:val="FootnoteReference"/>
        </w:rPr>
        <w:footnoteRef/>
      </w:r>
      <w:r>
        <w:rPr>
          <w:rtl/>
        </w:rPr>
        <w:t xml:space="preserve"> </w:t>
      </w:r>
      <w:r w:rsidR="0099287C">
        <w:rPr>
          <w:rFonts w:hint="cs"/>
          <w:rtl/>
        </w:rPr>
        <w:t>המונח האמצעי</w:t>
      </w:r>
      <w:r w:rsidR="008B565F">
        <w:rPr>
          <w:rFonts w:hint="cs"/>
          <w:rtl/>
        </w:rPr>
        <w:t xml:space="preserve"> (נקרא גם מתווך)</w:t>
      </w:r>
      <w:r w:rsidR="0099287C">
        <w:rPr>
          <w:rFonts w:hint="cs"/>
          <w:rtl/>
        </w:rPr>
        <w:t xml:space="preserve"> הוא 'בן אדם'. מונח </w:t>
      </w:r>
      <w:r w:rsidR="006B11A9">
        <w:rPr>
          <w:rFonts w:hint="cs"/>
          <w:rtl/>
        </w:rPr>
        <w:t>אמצעי</w:t>
      </w:r>
      <w:r w:rsidR="0099287C">
        <w:rPr>
          <w:rFonts w:hint="cs"/>
          <w:rtl/>
        </w:rPr>
        <w:t xml:space="preserve"> מופיע בהנחה הראשונה פעם אחת (כל </w:t>
      </w:r>
      <w:r w:rsidR="0099287C" w:rsidRPr="0099287C">
        <w:rPr>
          <w:rFonts w:hint="cs"/>
          <w:b/>
          <w:bCs/>
          <w:rtl/>
        </w:rPr>
        <w:t>בני האדם</w:t>
      </w:r>
      <w:r w:rsidR="0099287C">
        <w:rPr>
          <w:rFonts w:hint="cs"/>
          <w:rtl/>
        </w:rPr>
        <w:t xml:space="preserve"> הם בני תמותה) ובהנחה השנייה פעם אחת (סוקרטס הוא </w:t>
      </w:r>
      <w:r w:rsidR="0099287C" w:rsidRPr="0099287C">
        <w:rPr>
          <w:rFonts w:hint="cs"/>
          <w:b/>
          <w:bCs/>
          <w:rtl/>
        </w:rPr>
        <w:t>בן אדם</w:t>
      </w:r>
      <w:r w:rsidR="0099287C">
        <w:rPr>
          <w:rFonts w:hint="cs"/>
          <w:rtl/>
        </w:rPr>
        <w:t>) ובמסקנה אינו מופיע כלל</w:t>
      </w:r>
      <w:r w:rsidR="006B11A9">
        <w:rPr>
          <w:rFonts w:hint="cs"/>
          <w:rtl/>
        </w:rPr>
        <w:t xml:space="preserve"> (סוקרטס הוא בן תמותה)</w:t>
      </w:r>
      <w:r w:rsidR="0099287C">
        <w:rPr>
          <w:rFonts w:hint="cs"/>
          <w:rtl/>
        </w:rPr>
        <w:t>.</w:t>
      </w:r>
    </w:p>
  </w:footnote>
  <w:footnote w:id="736">
    <w:p w14:paraId="2C49A7CC" w14:textId="614DF8D8" w:rsidR="00CB1143" w:rsidRDefault="00CB1143">
      <w:pPr>
        <w:pStyle w:val="FootnoteText"/>
      </w:pPr>
      <w:r>
        <w:rPr>
          <w:rStyle w:val="FootnoteReference"/>
        </w:rPr>
        <w:footnoteRef/>
      </w:r>
      <w:r>
        <w:rPr>
          <w:rtl/>
        </w:rPr>
        <w:t xml:space="preserve"> </w:t>
      </w:r>
      <w:r>
        <w:rPr>
          <w:rFonts w:hint="cs"/>
          <w:rtl/>
        </w:rPr>
        <w:t xml:space="preserve">פרדיקט. </w:t>
      </w:r>
    </w:p>
  </w:footnote>
  <w:footnote w:id="737">
    <w:p w14:paraId="31A05D8D" w14:textId="434F756A" w:rsidR="00A01F2A" w:rsidRDefault="00A01F2A">
      <w:pPr>
        <w:pStyle w:val="FootnoteText"/>
      </w:pPr>
      <w:r>
        <w:rPr>
          <w:rStyle w:val="FootnoteReference"/>
        </w:rPr>
        <w:footnoteRef/>
      </w:r>
      <w:r>
        <w:rPr>
          <w:rtl/>
        </w:rPr>
        <w:t xml:space="preserve"> </w:t>
      </w:r>
      <w:r>
        <w:rPr>
          <w:rFonts w:hint="cs"/>
          <w:rtl/>
        </w:rPr>
        <w:t>במובן הלוגי. הבנת עניין זה דורשת ידע בלוגיקה אריסטוטלית ולא כאן המקום להאריך בזה.</w:t>
      </w:r>
    </w:p>
  </w:footnote>
  <w:footnote w:id="738">
    <w:p w14:paraId="5FD70BE2" w14:textId="4FE9EEB1" w:rsidR="001646A1" w:rsidRDefault="001646A1">
      <w:pPr>
        <w:pStyle w:val="FootnoteText"/>
      </w:pPr>
      <w:r>
        <w:rPr>
          <w:rStyle w:val="FootnoteReference"/>
        </w:rPr>
        <w:footnoteRef/>
      </w:r>
      <w:r>
        <w:rPr>
          <w:rtl/>
        </w:rPr>
        <w:t xml:space="preserve"> </w:t>
      </w:r>
      <w:r w:rsidR="00ED1C84">
        <w:rPr>
          <w:rFonts w:hint="cs"/>
          <w:rtl/>
        </w:rPr>
        <w:t>העוקב, הנובע.</w:t>
      </w:r>
    </w:p>
  </w:footnote>
  <w:footnote w:id="739">
    <w:p w14:paraId="337C7B03" w14:textId="5FEBF6DD" w:rsidR="006C5BAD" w:rsidRDefault="006C5BAD">
      <w:pPr>
        <w:pStyle w:val="FootnoteText"/>
      </w:pPr>
      <w:r>
        <w:rPr>
          <w:rStyle w:val="FootnoteReference"/>
        </w:rPr>
        <w:footnoteRef/>
      </w:r>
      <w:r>
        <w:rPr>
          <w:rtl/>
        </w:rPr>
        <w:t xml:space="preserve"> </w:t>
      </w:r>
      <w:r>
        <w:rPr>
          <w:rFonts w:hint="cs"/>
          <w:rtl/>
        </w:rPr>
        <w:t xml:space="preserve">כלומר ניכר באופן גלוי לעין. </w:t>
      </w:r>
    </w:p>
  </w:footnote>
  <w:footnote w:id="740">
    <w:p w14:paraId="4303E5C2" w14:textId="385F752A" w:rsidR="0041218D" w:rsidRDefault="0041218D">
      <w:pPr>
        <w:pStyle w:val="FootnoteText"/>
      </w:pPr>
      <w:r>
        <w:rPr>
          <w:rStyle w:val="FootnoteReference"/>
        </w:rPr>
        <w:footnoteRef/>
      </w:r>
      <w:r>
        <w:rPr>
          <w:rtl/>
        </w:rPr>
        <w:t xml:space="preserve"> </w:t>
      </w:r>
      <w:r>
        <w:rPr>
          <w:rFonts w:hint="cs"/>
          <w:rtl/>
        </w:rPr>
        <w:t>בחלוקות אלה עיין לעיל 1.10.7</w:t>
      </w:r>
      <w:r w:rsidR="00EB0AD5">
        <w:rPr>
          <w:rFonts w:hint="cs"/>
          <w:rtl/>
        </w:rPr>
        <w:t>.</w:t>
      </w:r>
    </w:p>
  </w:footnote>
  <w:footnote w:id="741">
    <w:p w14:paraId="07DF0971" w14:textId="5972012A" w:rsidR="00361F3E" w:rsidRDefault="001A3BDB">
      <w:pPr>
        <w:pStyle w:val="FootnoteText"/>
        <w:rPr>
          <w:rtl/>
        </w:rPr>
      </w:pPr>
      <w:r>
        <w:rPr>
          <w:rStyle w:val="FootnoteReference"/>
        </w:rPr>
        <w:footnoteRef/>
      </w:r>
      <w:r>
        <w:rPr>
          <w:rtl/>
        </w:rPr>
        <w:t xml:space="preserve"> </w:t>
      </w:r>
      <w:r w:rsidR="00997172">
        <w:rPr>
          <w:rFonts w:hint="cs"/>
          <w:rtl/>
        </w:rPr>
        <w:t>במבט המטאפיזי</w:t>
      </w:r>
      <w:r w:rsidR="002E3DF9">
        <w:rPr>
          <w:rFonts w:hint="cs"/>
          <w:rtl/>
        </w:rPr>
        <w:t xml:space="preserve"> (מעשה מרכבה)</w:t>
      </w:r>
      <w:r w:rsidR="00997172">
        <w:rPr>
          <w:rFonts w:hint="cs"/>
          <w:rtl/>
        </w:rPr>
        <w:t xml:space="preserve"> שמתחיל את ההסתכלות מהמופשט</w:t>
      </w:r>
      <w:r w:rsidR="00AF1054">
        <w:rPr>
          <w:rFonts w:hint="cs"/>
          <w:rtl/>
        </w:rPr>
        <w:t xml:space="preserve"> [כמו שכתב הרמב"ם בהלכות יסודי התורה ד' ז' והצורות שאין לה</w:t>
      </w:r>
      <w:r w:rsidR="00114CD6">
        <w:rPr>
          <w:rFonts w:hint="cs"/>
          <w:rtl/>
        </w:rPr>
        <w:t>ם</w:t>
      </w:r>
      <w:r w:rsidR="00AF1054">
        <w:rPr>
          <w:rFonts w:hint="cs"/>
          <w:rtl/>
        </w:rPr>
        <w:t xml:space="preserve"> גולם </w:t>
      </w:r>
      <w:r w:rsidR="00AF1054">
        <w:rPr>
          <w:rFonts w:hint="cs"/>
          <w:rtl/>
        </w:rPr>
        <w:t>כו']</w:t>
      </w:r>
      <w:r w:rsidR="00997172">
        <w:rPr>
          <w:rFonts w:hint="cs"/>
          <w:rtl/>
        </w:rPr>
        <w:t xml:space="preserve">, </w:t>
      </w:r>
      <w:r w:rsidR="00114CD6">
        <w:rPr>
          <w:rFonts w:hint="cs"/>
          <w:rtl/>
        </w:rPr>
        <w:t xml:space="preserve"> רואה שקיימת הצורה 'אדם'</w:t>
      </w:r>
      <w:r w:rsidR="004A673B">
        <w:rPr>
          <w:rFonts w:hint="cs"/>
          <w:rtl/>
        </w:rPr>
        <w:t>,</w:t>
      </w:r>
      <w:r w:rsidR="00114CD6">
        <w:rPr>
          <w:rFonts w:hint="cs"/>
          <w:rtl/>
        </w:rPr>
        <w:t xml:space="preserve"> למשל</w:t>
      </w:r>
      <w:r w:rsidR="004A673B">
        <w:rPr>
          <w:rFonts w:hint="cs"/>
          <w:rtl/>
        </w:rPr>
        <w:t>,</w:t>
      </w:r>
      <w:r w:rsidR="00114CD6">
        <w:rPr>
          <w:rFonts w:hint="cs"/>
          <w:rtl/>
        </w:rPr>
        <w:t xml:space="preserve"> כישות מופשטת </w:t>
      </w:r>
      <w:r w:rsidR="004A673B">
        <w:rPr>
          <w:rFonts w:hint="cs"/>
          <w:rtl/>
        </w:rPr>
        <w:t>במציאות המופשטת, הקוד</w:t>
      </w:r>
      <w:r w:rsidR="002F5420">
        <w:rPr>
          <w:rFonts w:hint="cs"/>
          <w:rtl/>
        </w:rPr>
        <w:t>מת</w:t>
      </w:r>
      <w:r w:rsidR="004A673B">
        <w:rPr>
          <w:rFonts w:hint="cs"/>
          <w:rtl/>
        </w:rPr>
        <w:t xml:space="preserve"> בסדר ההוויה לעולם החומרי</w:t>
      </w:r>
      <w:r w:rsidR="002F5420">
        <w:rPr>
          <w:rFonts w:hint="cs"/>
          <w:rtl/>
        </w:rPr>
        <w:t>,</w:t>
      </w:r>
      <w:r w:rsidR="004A673B">
        <w:rPr>
          <w:rFonts w:hint="cs"/>
          <w:rtl/>
        </w:rPr>
        <w:t xml:space="preserve"> ו</w:t>
      </w:r>
      <w:r w:rsidR="00114CD6">
        <w:rPr>
          <w:rFonts w:hint="cs"/>
          <w:rtl/>
        </w:rPr>
        <w:t xml:space="preserve">אין לה שייכות למין </w:t>
      </w:r>
      <w:r w:rsidR="004A673B">
        <w:rPr>
          <w:rFonts w:hint="cs"/>
          <w:rtl/>
        </w:rPr>
        <w:t xml:space="preserve">כלשהו </w:t>
      </w:r>
      <w:r w:rsidR="00114CD6">
        <w:rPr>
          <w:rFonts w:hint="cs"/>
          <w:rtl/>
        </w:rPr>
        <w:t xml:space="preserve">של נמצאים חומריים. </w:t>
      </w:r>
      <w:r w:rsidR="002F5420">
        <w:rPr>
          <w:rFonts w:hint="cs"/>
          <w:rtl/>
        </w:rPr>
        <w:t xml:space="preserve">אותה ישות שהיא צורה מופשטת או 'אידיאה' במובן האפלטוני, </w:t>
      </w:r>
      <w:r w:rsidR="00680C44">
        <w:rPr>
          <w:rFonts w:hint="cs"/>
          <w:rtl/>
        </w:rPr>
        <w:t>חלה אחר כך בחומר ומזה נעשה שיש נמצאים חומריים שהם מאותו מין, כי הם לוקחים חלק באותה צורה.</w:t>
      </w:r>
      <w:r w:rsidR="002E3DF9">
        <w:rPr>
          <w:rFonts w:hint="cs"/>
          <w:rtl/>
        </w:rPr>
        <w:t xml:space="preserve"> </w:t>
      </w:r>
      <w:r w:rsidR="00361F3E">
        <w:rPr>
          <w:rFonts w:hint="cs"/>
          <w:rtl/>
        </w:rPr>
        <w:t xml:space="preserve">זו כוונת אבן סינא בלשון "מהות שחלה בחומר". </w:t>
      </w:r>
    </w:p>
    <w:p w14:paraId="70BCCF09" w14:textId="7D085110" w:rsidR="001A3BDB" w:rsidRDefault="002E3DF9">
      <w:pPr>
        <w:pStyle w:val="FootnoteText"/>
      </w:pPr>
      <w:r>
        <w:rPr>
          <w:rFonts w:hint="cs"/>
          <w:rtl/>
        </w:rPr>
        <w:t xml:space="preserve">במבט של פיזיקה (מעשה בראשית) </w:t>
      </w:r>
      <w:r w:rsidR="00522F3D">
        <w:rPr>
          <w:rFonts w:hint="cs"/>
          <w:rtl/>
        </w:rPr>
        <w:t>מתחילים מהסתכלות על הנמצאים החומריים, שבטבע, ומהם רואים שחלק מהם יש להם עניין משותף שמאחד אותם למין</w:t>
      </w:r>
      <w:r w:rsidR="00C047BB">
        <w:rPr>
          <w:rFonts w:hint="cs"/>
          <w:rtl/>
        </w:rPr>
        <w:t xml:space="preserve"> אחד</w:t>
      </w:r>
      <w:r w:rsidR="00522F3D">
        <w:rPr>
          <w:rFonts w:hint="cs"/>
          <w:rtl/>
        </w:rPr>
        <w:t xml:space="preserve">, </w:t>
      </w:r>
      <w:r w:rsidR="00C047BB">
        <w:rPr>
          <w:rFonts w:hint="cs"/>
          <w:rtl/>
        </w:rPr>
        <w:t xml:space="preserve">וזהו הצורה שלהם. </w:t>
      </w:r>
      <w:r w:rsidR="00522F3D">
        <w:rPr>
          <w:rFonts w:hint="cs"/>
          <w:rtl/>
        </w:rPr>
        <w:t xml:space="preserve">ומזה אנו למדים שיש </w:t>
      </w:r>
      <w:r w:rsidR="00FB424B">
        <w:rPr>
          <w:rFonts w:hint="cs"/>
          <w:rtl/>
        </w:rPr>
        <w:t xml:space="preserve">'צורה', כמו שמהסתכלות על בבואת הירח בנהר למדים שיש בשמיים ירח גם אם לא רואים את השמיים. </w:t>
      </w:r>
      <w:r w:rsidR="00C047BB">
        <w:rPr>
          <w:rFonts w:hint="cs"/>
          <w:rtl/>
        </w:rPr>
        <w:t xml:space="preserve">וזו </w:t>
      </w:r>
      <w:r w:rsidR="008D0F2C">
        <w:rPr>
          <w:rFonts w:hint="cs"/>
          <w:rtl/>
        </w:rPr>
        <w:t xml:space="preserve">כוונת </w:t>
      </w:r>
      <w:r w:rsidR="00C047BB">
        <w:rPr>
          <w:rFonts w:hint="cs"/>
          <w:rtl/>
        </w:rPr>
        <w:t xml:space="preserve">הלשון שהצורה היא המין לבדו. </w:t>
      </w:r>
      <w:r w:rsidR="00680C44">
        <w:rPr>
          <w:rFonts w:hint="cs"/>
          <w:rtl/>
        </w:rPr>
        <w:t xml:space="preserve"> </w:t>
      </w:r>
    </w:p>
  </w:footnote>
  <w:footnote w:id="742">
    <w:p w14:paraId="24A21455" w14:textId="3BF30D59" w:rsidR="00296738" w:rsidRDefault="00296738">
      <w:pPr>
        <w:pStyle w:val="FootnoteText"/>
        <w:rPr>
          <w:rtl/>
        </w:rPr>
      </w:pPr>
      <w:r>
        <w:rPr>
          <w:rStyle w:val="FootnoteReference"/>
        </w:rPr>
        <w:footnoteRef/>
      </w:r>
      <w:r>
        <w:rPr>
          <w:rtl/>
        </w:rPr>
        <w:t xml:space="preserve"> </w:t>
      </w:r>
      <w:r w:rsidR="00340F20">
        <w:rPr>
          <w:rFonts w:hint="cs"/>
          <w:rtl/>
        </w:rPr>
        <w:t>לשון המורה נבוכים א' א':</w:t>
      </w:r>
    </w:p>
    <w:p w14:paraId="4D09B85E" w14:textId="77777777" w:rsidR="00E521F4" w:rsidRDefault="00340F20" w:rsidP="00E521F4">
      <w:pPr>
        <w:pStyle w:val="FootnoteText"/>
        <w:rPr>
          <w:rtl/>
        </w:rPr>
      </w:pPr>
      <w:r>
        <w:rPr>
          <w:rFonts w:hint="cs"/>
          <w:rtl/>
        </w:rPr>
        <w:t>"</w:t>
      </w:r>
      <w:r w:rsidR="003F4E29">
        <w:rPr>
          <w:rtl/>
        </w:rPr>
        <w:t>כבר חשבו בני אדם, כי צלם בלשון העברי יורה על תמונת הדבר ותוארו</w:t>
      </w:r>
      <w:r w:rsidR="00EC0BF0">
        <w:rPr>
          <w:rFonts w:hint="cs"/>
          <w:rtl/>
        </w:rPr>
        <w:t xml:space="preserve"> [</w:t>
      </w:r>
      <w:r w:rsidR="005C0ECC">
        <w:rPr>
          <w:rFonts w:hint="cs"/>
          <w:rtl/>
        </w:rPr>
        <w:t>תמונה</w:t>
      </w:r>
      <w:r w:rsidR="00EC0BF0">
        <w:rPr>
          <w:rFonts w:hint="cs"/>
          <w:rtl/>
        </w:rPr>
        <w:t xml:space="preserve"> </w:t>
      </w:r>
      <w:r w:rsidR="00902115">
        <w:rPr>
          <w:rFonts w:hint="cs"/>
          <w:rtl/>
        </w:rPr>
        <w:t xml:space="preserve">ותואר </w:t>
      </w:r>
      <w:r w:rsidR="00EC0BF0">
        <w:rPr>
          <w:rFonts w:hint="cs"/>
          <w:rtl/>
        </w:rPr>
        <w:t>נקרא</w:t>
      </w:r>
      <w:r w:rsidR="00902115">
        <w:rPr>
          <w:rFonts w:hint="cs"/>
          <w:rtl/>
        </w:rPr>
        <w:t>ים</w:t>
      </w:r>
      <w:r w:rsidR="00EC0BF0">
        <w:rPr>
          <w:rFonts w:hint="cs"/>
          <w:rtl/>
        </w:rPr>
        <w:t xml:space="preserve"> גם תבנית, כמו</w:t>
      </w:r>
      <w:r w:rsidR="005C0ECC">
        <w:rPr>
          <w:rFonts w:hint="cs"/>
          <w:rtl/>
        </w:rPr>
        <w:t xml:space="preserve"> </w:t>
      </w:r>
      <w:r w:rsidR="00EC0BF0">
        <w:rPr>
          <w:rFonts w:hint="cs"/>
          <w:rtl/>
        </w:rPr>
        <w:t>שכתב המורה נבוכים א' ג']</w:t>
      </w:r>
    </w:p>
    <w:p w14:paraId="515285CC" w14:textId="469107B6" w:rsidR="003F4E29" w:rsidRDefault="00E521F4" w:rsidP="00E521F4">
      <w:pPr>
        <w:pStyle w:val="FootnoteText"/>
        <w:rPr>
          <w:rtl/>
        </w:rPr>
      </w:pPr>
      <w:r>
        <w:rPr>
          <w:rFonts w:hint="cs"/>
          <w:rtl/>
        </w:rPr>
        <w:t>[...]</w:t>
      </w:r>
    </w:p>
    <w:p w14:paraId="6B30DAD4" w14:textId="58B22198" w:rsidR="003F4E29" w:rsidRDefault="003F4E29" w:rsidP="00746C5E">
      <w:pPr>
        <w:pStyle w:val="FootnoteText"/>
        <w:rPr>
          <w:rtl/>
        </w:rPr>
      </w:pPr>
      <w:r>
        <w:rPr>
          <w:rtl/>
        </w:rPr>
        <w:t xml:space="preserve">ואומר, כי הצורה המפורסמת אצל ההמון, אשר היא תמונת הדבר ותארו, שמה המיוחד בה בלשון עברי "תאר". אמר: יְפֵה-תֹאַר וִיפֵה מַרְאֶה (בראשית לט, ו), מַה-תָּאֳרוֹ (שמואל א כח, יד), כְּתֹאַר בְּנֵי הַמֶּלֶךְ (שופטים ח, </w:t>
      </w:r>
      <w:r>
        <w:rPr>
          <w:rtl/>
        </w:rPr>
        <w:t>יח). ונאמר בצורה המלאכיית</w:t>
      </w:r>
      <w:r w:rsidR="00E521F4">
        <w:rPr>
          <w:rFonts w:hint="cs"/>
          <w:rtl/>
        </w:rPr>
        <w:t xml:space="preserve"> [המלאכותית]</w:t>
      </w:r>
      <w:r>
        <w:rPr>
          <w:rtl/>
        </w:rPr>
        <w:t xml:space="preserve">: יְתָאֲרֵהוּ בַשֶּׂרֶד... וּבַמְּחוּגָה יְתָאֳרֵהוּ (ישעיהו מד, יג). </w:t>
      </w:r>
    </w:p>
    <w:p w14:paraId="44BF9CA2" w14:textId="186F55AC" w:rsidR="00746C5E" w:rsidRDefault="00746C5E" w:rsidP="00746C5E">
      <w:pPr>
        <w:pStyle w:val="FootnoteText"/>
        <w:rPr>
          <w:rtl/>
        </w:rPr>
      </w:pPr>
      <w:r>
        <w:rPr>
          <w:rFonts w:hint="cs"/>
          <w:rtl/>
        </w:rPr>
        <w:t>[...]</w:t>
      </w:r>
    </w:p>
    <w:p w14:paraId="7E0106D0" w14:textId="2E7316E5" w:rsidR="003F4E29" w:rsidRDefault="003F4E29" w:rsidP="00871CDB">
      <w:pPr>
        <w:pStyle w:val="FootnoteText"/>
        <w:rPr>
          <w:rtl/>
        </w:rPr>
      </w:pPr>
      <w:r>
        <w:rPr>
          <w:rtl/>
        </w:rPr>
        <w:t>אמנם צלם הוא נופל על הצורה הטבעית</w:t>
      </w:r>
      <w:r w:rsidR="00746C5E">
        <w:rPr>
          <w:rFonts w:hint="cs"/>
          <w:rtl/>
        </w:rPr>
        <w:t xml:space="preserve"> [הצורה שבטבע שהיא מהות מופשטת חיה</w:t>
      </w:r>
      <w:r w:rsidR="00C07636">
        <w:rPr>
          <w:rFonts w:hint="cs"/>
          <w:rtl/>
        </w:rPr>
        <w:t>, שהיא בחומר כמו נפש בגוף, לעומת צורה מלאכותית כמו צורת המיטה שעשה הנגר שהיא תמיד רק תואר חיצוני</w:t>
      </w:r>
      <w:r w:rsidR="00746C5E">
        <w:rPr>
          <w:rFonts w:hint="cs"/>
          <w:rtl/>
        </w:rPr>
        <w:t>]</w:t>
      </w:r>
      <w:r>
        <w:rPr>
          <w:rtl/>
        </w:rPr>
        <w:t>, ר</w:t>
      </w:r>
      <w:r w:rsidR="00746C5E">
        <w:rPr>
          <w:rFonts w:hint="cs"/>
          <w:rtl/>
        </w:rPr>
        <w:t>וצה לומר</w:t>
      </w:r>
      <w:r>
        <w:rPr>
          <w:rtl/>
        </w:rPr>
        <w:t xml:space="preserve"> על העניין אשר בו נתעצם הדבר והיה מה שהוא, והוא אמתתו מאשר הוא הנמצא ההוא, אשר העניין ההוא באדם הוא אשר בעבורו תהיה ההשגה האנושית. </w:t>
      </w:r>
    </w:p>
    <w:p w14:paraId="10421C85" w14:textId="31782C09" w:rsidR="00871CDB" w:rsidRDefault="00871CDB" w:rsidP="00871CDB">
      <w:pPr>
        <w:pStyle w:val="FootnoteText"/>
        <w:rPr>
          <w:rtl/>
        </w:rPr>
      </w:pPr>
      <w:r>
        <w:rPr>
          <w:rFonts w:hint="cs"/>
          <w:rtl/>
        </w:rPr>
        <w:t>[...]</w:t>
      </w:r>
    </w:p>
    <w:p w14:paraId="7653DDC7" w14:textId="22229241" w:rsidR="00340F20" w:rsidRDefault="003F4E29" w:rsidP="003F4E29">
      <w:pPr>
        <w:pStyle w:val="FootnoteText"/>
      </w:pPr>
      <w:r>
        <w:rPr>
          <w:rtl/>
        </w:rPr>
        <w:t>ואם אי אפשר מבלתי היות "צלמי טחוריכם"</w:t>
      </w:r>
      <w:r w:rsidR="00871CDB">
        <w:rPr>
          <w:rFonts w:hint="cs"/>
          <w:rtl/>
        </w:rPr>
        <w:t>,</w:t>
      </w:r>
      <w:r>
        <w:rPr>
          <w:rtl/>
        </w:rPr>
        <w:t xml:space="preserve"> ו</w:t>
      </w:r>
      <w:r w:rsidR="00871CDB">
        <w:rPr>
          <w:rFonts w:hint="cs"/>
          <w:rtl/>
        </w:rPr>
        <w:t>"</w:t>
      </w:r>
      <w:r>
        <w:rPr>
          <w:rtl/>
        </w:rPr>
        <w:t>צלמים</w:t>
      </w:r>
      <w:r w:rsidR="00871CDB">
        <w:rPr>
          <w:rFonts w:hint="cs"/>
          <w:rtl/>
        </w:rPr>
        <w:t>",</w:t>
      </w:r>
      <w:r>
        <w:rPr>
          <w:rtl/>
        </w:rPr>
        <w:t xml:space="preserve"> נקראים כן מפני התמונה והתאר, יהיה אם כן </w:t>
      </w:r>
      <w:r w:rsidR="001A04C0">
        <w:rPr>
          <w:rFonts w:hint="cs"/>
          <w:rtl/>
        </w:rPr>
        <w:t>'</w:t>
      </w:r>
      <w:r>
        <w:rPr>
          <w:rtl/>
        </w:rPr>
        <w:t>צלם</w:t>
      </w:r>
      <w:r w:rsidR="001A04C0">
        <w:rPr>
          <w:rFonts w:hint="cs"/>
          <w:rtl/>
        </w:rPr>
        <w:t>'</w:t>
      </w:r>
      <w:r>
        <w:rPr>
          <w:rtl/>
        </w:rPr>
        <w:t xml:space="preserve"> שם משתתף</w:t>
      </w:r>
      <w:r w:rsidR="001A04C0">
        <w:rPr>
          <w:rFonts w:hint="cs"/>
          <w:rtl/>
        </w:rPr>
        <w:t xml:space="preserve"> [מילה בעלת שני מובנים שונים לגמרי]</w:t>
      </w:r>
      <w:r>
        <w:rPr>
          <w:rtl/>
        </w:rPr>
        <w:t xml:space="preserve"> או מסתפק</w:t>
      </w:r>
      <w:r w:rsidR="001A04C0">
        <w:rPr>
          <w:rFonts w:hint="cs"/>
          <w:rtl/>
        </w:rPr>
        <w:t xml:space="preserve"> [מבואר במילות הגיון שער י"ג]</w:t>
      </w:r>
      <w:r w:rsidR="00AB5351">
        <w:rPr>
          <w:rFonts w:hint="cs"/>
          <w:rtl/>
        </w:rPr>
        <w:t>,</w:t>
      </w:r>
      <w:r>
        <w:rPr>
          <w:rtl/>
        </w:rPr>
        <w:t xml:space="preserve"> יאמר על הצורה המינית, ועל הצורה המלאכיית ועל כיוצא בה מתכונת הגשמים הטבעיים ותארם</w:t>
      </w:r>
      <w:r w:rsidR="00340F20">
        <w:rPr>
          <w:rFonts w:hint="cs"/>
          <w:rtl/>
        </w:rPr>
        <w:t>"</w:t>
      </w:r>
    </w:p>
  </w:footnote>
  <w:footnote w:id="743">
    <w:p w14:paraId="21DE09A5" w14:textId="14DDC7AE" w:rsidR="004B02BD" w:rsidRDefault="004B02BD">
      <w:pPr>
        <w:pStyle w:val="FootnoteText"/>
      </w:pPr>
      <w:r>
        <w:rPr>
          <w:rStyle w:val="FootnoteReference"/>
        </w:rPr>
        <w:footnoteRef/>
      </w:r>
      <w:r>
        <w:rPr>
          <w:rtl/>
        </w:rPr>
        <w:t xml:space="preserve"> </w:t>
      </w:r>
      <w:r>
        <w:rPr>
          <w:rFonts w:hint="cs"/>
          <w:rtl/>
        </w:rPr>
        <w:t>גדוד החיילים הוא חיילים</w:t>
      </w:r>
      <w:r w:rsidR="00FC68D6">
        <w:rPr>
          <w:rFonts w:hint="cs"/>
          <w:rtl/>
        </w:rPr>
        <w:t xml:space="preserve"> שהם</w:t>
      </w:r>
      <w:r>
        <w:rPr>
          <w:rFonts w:hint="cs"/>
          <w:rtl/>
        </w:rPr>
        <w:t xml:space="preserve"> פרטים בעלי צורה נפרדת לכל אחד, </w:t>
      </w:r>
      <w:r w:rsidR="00FC68D6">
        <w:rPr>
          <w:rFonts w:hint="cs"/>
          <w:rtl/>
        </w:rPr>
        <w:t xml:space="preserve">צורת הגדוד </w:t>
      </w:r>
      <w:r w:rsidR="004219BB">
        <w:rPr>
          <w:rFonts w:hint="cs"/>
          <w:rtl/>
        </w:rPr>
        <w:t xml:space="preserve">העומד או צועד במבנה מסוים </w:t>
      </w:r>
      <w:r w:rsidR="00FC68D6">
        <w:rPr>
          <w:rFonts w:hint="cs"/>
          <w:rtl/>
        </w:rPr>
        <w:t xml:space="preserve">מאחדת אותם לגדוד. </w:t>
      </w:r>
      <w:r w:rsidR="004219BB">
        <w:rPr>
          <w:rFonts w:hint="cs"/>
          <w:rtl/>
        </w:rPr>
        <w:t>כל צורה</w:t>
      </w:r>
      <w:r w:rsidR="004742F8">
        <w:rPr>
          <w:rFonts w:hint="cs"/>
          <w:rtl/>
        </w:rPr>
        <w:t xml:space="preserve"> </w:t>
      </w:r>
      <w:r w:rsidR="004219BB">
        <w:rPr>
          <w:rFonts w:hint="cs"/>
          <w:rtl/>
        </w:rPr>
        <w:t>מחילה יסוד של אחדות על החומר שהוא יסוד ה</w:t>
      </w:r>
      <w:r w:rsidR="004742F8">
        <w:rPr>
          <w:rFonts w:hint="cs"/>
          <w:rtl/>
        </w:rPr>
        <w:t xml:space="preserve">ריבוי. ברוב העצמים זה גורם להתלכדות של החומר להיות </w:t>
      </w:r>
      <w:r w:rsidR="008078A2">
        <w:rPr>
          <w:rFonts w:hint="cs"/>
          <w:rtl/>
        </w:rPr>
        <w:t xml:space="preserve">מחובר </w:t>
      </w:r>
      <w:r w:rsidR="002C0E91">
        <w:rPr>
          <w:rFonts w:hint="cs"/>
          <w:rtl/>
        </w:rPr>
        <w:t>גם מבחינה חומרית</w:t>
      </w:r>
      <w:r w:rsidR="008078A2">
        <w:rPr>
          <w:rFonts w:hint="cs"/>
          <w:rtl/>
        </w:rPr>
        <w:t>,</w:t>
      </w:r>
      <w:r w:rsidR="004742F8">
        <w:rPr>
          <w:rFonts w:hint="cs"/>
          <w:rtl/>
        </w:rPr>
        <w:t xml:space="preserve"> כמו האיברים שבגוף שהם מחוברים </w:t>
      </w:r>
      <w:r w:rsidR="008078A2">
        <w:rPr>
          <w:rFonts w:hint="cs"/>
          <w:rtl/>
        </w:rPr>
        <w:t xml:space="preserve">מבחינה חומרית מכח שלגוף יש צורה אחת. </w:t>
      </w:r>
      <w:r w:rsidR="00F5239C">
        <w:rPr>
          <w:rFonts w:hint="cs"/>
          <w:rtl/>
        </w:rPr>
        <w:t xml:space="preserve">החיילים רק נכללים בישות הכללית שהיא צורת הגדוד, אבל אינם מתחברים זה לזה בגופם. </w:t>
      </w:r>
      <w:r w:rsidR="0065265B">
        <w:rPr>
          <w:rFonts w:hint="cs"/>
          <w:rtl/>
        </w:rPr>
        <w:t xml:space="preserve">הגדוד אינו עצם חומרי </w:t>
      </w:r>
      <w:r w:rsidR="00F555D8">
        <w:rPr>
          <w:rFonts w:hint="cs"/>
          <w:rtl/>
        </w:rPr>
        <w:t xml:space="preserve">אחד במובנים של 'אחד' שכתב אריסטו במטאפיזיקה דלתא (גוף שהוא רצף חומרי אחד, כמו גוף האדם או אבן, </w:t>
      </w:r>
      <w:r w:rsidR="001631E4">
        <w:rPr>
          <w:rFonts w:hint="cs"/>
          <w:rtl/>
        </w:rPr>
        <w:t xml:space="preserve">או </w:t>
      </w:r>
      <w:r w:rsidR="00F555D8">
        <w:rPr>
          <w:rFonts w:hint="cs"/>
          <w:rtl/>
        </w:rPr>
        <w:t>גוף ש</w:t>
      </w:r>
      <w:r w:rsidR="001631E4">
        <w:rPr>
          <w:rFonts w:hint="cs"/>
          <w:rtl/>
        </w:rPr>
        <w:t>החלקים שבו מודבקים או קשורים בחבל וכל כיוצא)</w:t>
      </w:r>
      <w:r w:rsidR="00F555D8">
        <w:rPr>
          <w:rFonts w:hint="cs"/>
          <w:rtl/>
        </w:rPr>
        <w:t xml:space="preserve">, </w:t>
      </w:r>
      <w:r w:rsidR="0065265B">
        <w:rPr>
          <w:rFonts w:hint="cs"/>
          <w:rtl/>
        </w:rPr>
        <w:t>אלא הוא עצם שקיים בדרך של כלל</w:t>
      </w:r>
      <w:r w:rsidR="007F0DE2">
        <w:rPr>
          <w:rFonts w:hint="cs"/>
          <w:rtl/>
        </w:rPr>
        <w:t xml:space="preserve"> בלבד, אין מה שמאחד אותו חוץ מהצורה המופשטת, ל</w:t>
      </w:r>
      <w:r w:rsidR="003A78D5">
        <w:rPr>
          <w:rFonts w:hint="cs"/>
          <w:rtl/>
        </w:rPr>
        <w:t>כן זה מובן נפרד למילה 'צורה'.</w:t>
      </w:r>
    </w:p>
  </w:footnote>
  <w:footnote w:id="744">
    <w:p w14:paraId="633FA9B8" w14:textId="7038A133" w:rsidR="007C7A42" w:rsidRDefault="007C7A42" w:rsidP="002C4862">
      <w:pPr>
        <w:pStyle w:val="FootnoteText"/>
      </w:pPr>
      <w:r>
        <w:rPr>
          <w:rStyle w:val="FootnoteReference"/>
        </w:rPr>
        <w:footnoteRef/>
      </w:r>
      <w:r>
        <w:rPr>
          <w:rtl/>
        </w:rPr>
        <w:t xml:space="preserve"> </w:t>
      </w:r>
      <w:r w:rsidR="00D5606F">
        <w:rPr>
          <w:rFonts w:hint="cs"/>
          <w:rtl/>
        </w:rPr>
        <w:t xml:space="preserve">בצבא, המבנה שעומדים בו חיילי הגדוד הוא הצורה, אפשר לראות </w:t>
      </w:r>
      <w:r w:rsidR="009716CC">
        <w:rPr>
          <w:rFonts w:hint="cs"/>
          <w:rtl/>
        </w:rPr>
        <w:t xml:space="preserve">בעין </w:t>
      </w:r>
      <w:r w:rsidR="00D5606F">
        <w:rPr>
          <w:rFonts w:hint="cs"/>
          <w:rtl/>
        </w:rPr>
        <w:t xml:space="preserve">את הצורה בחומר של גופי החיילים אע"פ שאינם מחוברים זה לזה מצד החומר שלהם. </w:t>
      </w:r>
      <w:r w:rsidR="009716CC">
        <w:rPr>
          <w:rFonts w:hint="cs"/>
          <w:rtl/>
        </w:rPr>
        <w:t>בחוק שמשמר את השלטון ש</w:t>
      </w:r>
      <w:r w:rsidR="00845C27">
        <w:rPr>
          <w:rFonts w:hint="cs"/>
          <w:rtl/>
        </w:rPr>
        <w:t>ב</w:t>
      </w:r>
      <w:r w:rsidR="009716CC">
        <w:rPr>
          <w:rFonts w:hint="cs"/>
          <w:rtl/>
        </w:rPr>
        <w:t xml:space="preserve">מדינה לא רואים </w:t>
      </w:r>
      <w:r w:rsidR="00845C27">
        <w:rPr>
          <w:rFonts w:hint="cs"/>
          <w:rtl/>
        </w:rPr>
        <w:t xml:space="preserve">את הצורה בעין, הצורה היא כללי ההתנהגות שמסדרים את התנהגות הפרטים </w:t>
      </w:r>
      <w:r w:rsidR="0068233B">
        <w:rPr>
          <w:rFonts w:hint="cs"/>
          <w:rtl/>
        </w:rPr>
        <w:t xml:space="preserve">במצבים </w:t>
      </w:r>
      <w:r w:rsidR="009C463A">
        <w:rPr>
          <w:rFonts w:hint="cs"/>
          <w:rtl/>
        </w:rPr>
        <w:t>מסוימים</w:t>
      </w:r>
      <w:r w:rsidR="0068233B">
        <w:rPr>
          <w:rFonts w:hint="cs"/>
          <w:rtl/>
        </w:rPr>
        <w:t>. היא באה מדבר שהוא אחד, המלך או הגוף המושל, ומאחדת את הפרטים לסדר חברתי</w:t>
      </w:r>
      <w:r w:rsidR="00E16E29">
        <w:rPr>
          <w:rFonts w:hint="cs"/>
          <w:rtl/>
        </w:rPr>
        <w:t xml:space="preserve"> אחד</w:t>
      </w:r>
      <w:r w:rsidR="0068233B">
        <w:rPr>
          <w:rFonts w:hint="cs"/>
          <w:rtl/>
        </w:rPr>
        <w:t>.</w:t>
      </w:r>
      <w:r w:rsidR="00E71959">
        <w:rPr>
          <w:rFonts w:hint="cs"/>
          <w:rtl/>
        </w:rPr>
        <w:t xml:space="preserve"> </w:t>
      </w:r>
      <w:r w:rsidR="00E16E29">
        <w:rPr>
          <w:rFonts w:hint="cs"/>
          <w:rtl/>
        </w:rPr>
        <w:t>יש כאן אופן שונה של 'צורה'.</w:t>
      </w:r>
    </w:p>
  </w:footnote>
  <w:footnote w:id="745">
    <w:p w14:paraId="34F46BCE" w14:textId="33B9CA83" w:rsidR="00EE28E1" w:rsidRDefault="002C4862">
      <w:pPr>
        <w:pStyle w:val="FootnoteText"/>
        <w:rPr>
          <w:rtl/>
        </w:rPr>
      </w:pPr>
      <w:r>
        <w:rPr>
          <w:rStyle w:val="FootnoteReference"/>
        </w:rPr>
        <w:footnoteRef/>
      </w:r>
      <w:r>
        <w:rPr>
          <w:rtl/>
        </w:rPr>
        <w:t xml:space="preserve"> </w:t>
      </w:r>
      <w:r w:rsidR="00EE28E1">
        <w:rPr>
          <w:rFonts w:hint="cs"/>
          <w:rtl/>
        </w:rPr>
        <w:t xml:space="preserve">במקור: </w:t>
      </w:r>
      <w:r w:rsidR="00BE6981" w:rsidRPr="00BE6981">
        <w:rPr>
          <w:rFonts w:cs="Times New Roman" w:hint="eastAsia"/>
          <w:rtl/>
          <w:lang w:bidi="ar-SA"/>
        </w:rPr>
        <w:t>و</w:t>
      </w:r>
      <w:r w:rsidR="00BE6981" w:rsidRPr="00BE6981">
        <w:rPr>
          <w:rFonts w:cs="Times New Roman"/>
          <w:rtl/>
          <w:lang w:bidi="ar-SA"/>
        </w:rPr>
        <w:t xml:space="preserve"> </w:t>
      </w:r>
      <w:r w:rsidR="00BE6981" w:rsidRPr="00BE6981">
        <w:rPr>
          <w:rFonts w:cs="Times New Roman" w:hint="eastAsia"/>
          <w:rtl/>
          <w:lang w:bidi="ar-SA"/>
        </w:rPr>
        <w:t>يقال</w:t>
      </w:r>
      <w:r w:rsidR="00BE6981" w:rsidRPr="00BE6981">
        <w:rPr>
          <w:rFonts w:cs="Times New Roman"/>
          <w:rtl/>
          <w:lang w:bidi="ar-SA"/>
        </w:rPr>
        <w:t xml:space="preserve"> </w:t>
      </w:r>
      <w:r w:rsidR="00BE6981" w:rsidRPr="00BE6981">
        <w:rPr>
          <w:rFonts w:cs="Times New Roman" w:hint="eastAsia"/>
          <w:rtl/>
          <w:lang w:bidi="ar-SA"/>
        </w:rPr>
        <w:t>صورة</w:t>
      </w:r>
      <w:r w:rsidR="00BE6981" w:rsidRPr="00BE6981">
        <w:rPr>
          <w:rFonts w:cs="Times New Roman"/>
          <w:rtl/>
          <w:lang w:bidi="ar-SA"/>
        </w:rPr>
        <w:t xml:space="preserve"> </w:t>
      </w:r>
      <w:r w:rsidR="00BE6981" w:rsidRPr="00BE6981">
        <w:rPr>
          <w:rFonts w:cs="Times New Roman" w:hint="eastAsia"/>
          <w:rtl/>
          <w:lang w:bidi="ar-SA"/>
        </w:rPr>
        <w:t>لكل</w:t>
      </w:r>
      <w:r w:rsidR="00BE6981" w:rsidRPr="00BE6981">
        <w:rPr>
          <w:rFonts w:cs="Times New Roman"/>
          <w:rtl/>
          <w:lang w:bidi="ar-SA"/>
        </w:rPr>
        <w:t xml:space="preserve"> </w:t>
      </w:r>
      <w:r w:rsidR="00BE6981" w:rsidRPr="00BE6981">
        <w:rPr>
          <w:rFonts w:cs="Times New Roman" w:hint="eastAsia"/>
          <w:rtl/>
          <w:lang w:bidi="ar-SA"/>
        </w:rPr>
        <w:t>هيئة</w:t>
      </w:r>
      <w:r w:rsidR="00BE6981" w:rsidRPr="00BE6981">
        <w:rPr>
          <w:rFonts w:cs="Times New Roman"/>
          <w:rtl/>
          <w:lang w:bidi="ar-SA"/>
        </w:rPr>
        <w:t xml:space="preserve"> </w:t>
      </w:r>
      <w:r w:rsidR="00BE6981" w:rsidRPr="00BE6981">
        <w:rPr>
          <w:rFonts w:cs="Times New Roman" w:hint="eastAsia"/>
          <w:rtl/>
          <w:lang w:bidi="ar-SA"/>
        </w:rPr>
        <w:t>كيف</w:t>
      </w:r>
      <w:r w:rsidR="00BE6981" w:rsidRPr="00BE6981">
        <w:rPr>
          <w:rFonts w:cs="Times New Roman"/>
          <w:rtl/>
          <w:lang w:bidi="ar-SA"/>
        </w:rPr>
        <w:t xml:space="preserve"> </w:t>
      </w:r>
      <w:r w:rsidR="00BE6981" w:rsidRPr="00BE6981">
        <w:rPr>
          <w:rFonts w:cs="Times New Roman" w:hint="eastAsia"/>
          <w:rtl/>
          <w:lang w:bidi="ar-SA"/>
        </w:rPr>
        <w:t>كانت</w:t>
      </w:r>
    </w:p>
    <w:p w14:paraId="095D57ED" w14:textId="783C1B68" w:rsidR="002C4862" w:rsidRDefault="00905D9B">
      <w:pPr>
        <w:pStyle w:val="FootnoteText"/>
      </w:pPr>
      <w:r>
        <w:rPr>
          <w:rFonts w:hint="cs"/>
          <w:rtl/>
        </w:rPr>
        <w:t>המציאות של עצם היא צורתו. החומר הוא רק כמו בבואה או צל</w:t>
      </w:r>
      <w:r w:rsidR="007D2737">
        <w:rPr>
          <w:rFonts w:hint="cs"/>
          <w:rtl/>
        </w:rPr>
        <w:t xml:space="preserve"> שמשקף מציאות של משהו ואינו מציאות מצד עצמו</w:t>
      </w:r>
      <w:r>
        <w:rPr>
          <w:rFonts w:hint="cs"/>
          <w:rtl/>
        </w:rPr>
        <w:t xml:space="preserve">. </w:t>
      </w:r>
      <w:r w:rsidR="007D2737">
        <w:rPr>
          <w:rFonts w:hint="cs"/>
          <w:rtl/>
        </w:rPr>
        <w:t xml:space="preserve">לכן האופן שבו 'עצם' נמצא, אם כעצם חומרי, כקטגוריה (אופן </w:t>
      </w:r>
      <w:r w:rsidR="00B22B45">
        <w:rPr>
          <w:rFonts w:hint="cs"/>
          <w:rtl/>
        </w:rPr>
        <w:t>המציאות ש</w:t>
      </w:r>
      <w:r w:rsidR="007D2737">
        <w:rPr>
          <w:rFonts w:hint="cs"/>
          <w:rtl/>
        </w:rPr>
        <w:t>בו הצבע האדום נמצא כצבע</w:t>
      </w:r>
      <w:r w:rsidR="00B22B45">
        <w:rPr>
          <w:rFonts w:hint="cs"/>
          <w:rtl/>
        </w:rPr>
        <w:t>)</w:t>
      </w:r>
      <w:r w:rsidR="007D2737">
        <w:rPr>
          <w:rFonts w:hint="cs"/>
          <w:rtl/>
        </w:rPr>
        <w:t xml:space="preserve">, </w:t>
      </w:r>
      <w:r w:rsidR="007D2737">
        <w:rPr>
          <w:rFonts w:hint="cs"/>
          <w:rtl/>
        </w:rPr>
        <w:t>כיישות מופשטת</w:t>
      </w:r>
      <w:r w:rsidR="00B22B45">
        <w:rPr>
          <w:rFonts w:hint="cs"/>
          <w:rtl/>
        </w:rPr>
        <w:t>,</w:t>
      </w:r>
      <w:r w:rsidR="007D2737">
        <w:rPr>
          <w:rFonts w:hint="cs"/>
          <w:rtl/>
        </w:rPr>
        <w:t xml:space="preserve"> וכיוצא בזה,  זוהי צורתו</w:t>
      </w:r>
      <w:r w:rsidR="00B22B45">
        <w:rPr>
          <w:rFonts w:hint="cs"/>
          <w:rtl/>
        </w:rPr>
        <w:t xml:space="preserve">. </w:t>
      </w:r>
      <w:r w:rsidR="00D60345">
        <w:rPr>
          <w:rFonts w:hint="cs"/>
          <w:rtl/>
        </w:rPr>
        <w:t>כך נראה לעניות דעתי, והלשון לא מכריח</w:t>
      </w:r>
      <w:r w:rsidR="00FB4C44">
        <w:rPr>
          <w:rFonts w:hint="cs"/>
          <w:rtl/>
        </w:rPr>
        <w:t>ה</w:t>
      </w:r>
      <w:r w:rsidR="00D60345">
        <w:rPr>
          <w:rFonts w:hint="cs"/>
          <w:rtl/>
        </w:rPr>
        <w:t xml:space="preserve"> שכך ה</w:t>
      </w:r>
      <w:r w:rsidR="00FB4C44">
        <w:rPr>
          <w:rFonts w:hint="cs"/>
          <w:rtl/>
        </w:rPr>
        <w:t>כוונה כאן</w:t>
      </w:r>
      <w:r w:rsidR="00D60345">
        <w:rPr>
          <w:rFonts w:hint="cs"/>
          <w:rtl/>
        </w:rPr>
        <w:t>. הלשון הוויה בערבית מתפרש גם כסדר, ולפי זה כתוב כאן ש</w:t>
      </w:r>
      <w:r w:rsidR="004F4BA8">
        <w:rPr>
          <w:rFonts w:hint="cs"/>
          <w:rtl/>
        </w:rPr>
        <w:t>כל סדר נקרא צורה</w:t>
      </w:r>
      <w:r w:rsidR="00FB4C44">
        <w:rPr>
          <w:rFonts w:hint="cs"/>
          <w:rtl/>
        </w:rPr>
        <w:t xml:space="preserve"> איך שיהיה הסדר</w:t>
      </w:r>
      <w:r w:rsidR="004F4BA8">
        <w:rPr>
          <w:rFonts w:hint="cs"/>
          <w:rtl/>
        </w:rPr>
        <w:t xml:space="preserve">, וכך </w:t>
      </w:r>
      <w:r w:rsidR="00BA6EF1">
        <w:rPr>
          <w:rFonts w:hint="cs"/>
          <w:rtl/>
        </w:rPr>
        <w:t>פירש כאן</w:t>
      </w:r>
      <w:r w:rsidR="004F4BA8">
        <w:rPr>
          <w:rFonts w:hint="cs"/>
          <w:rtl/>
        </w:rPr>
        <w:t xml:space="preserve"> מקגיניס. </w:t>
      </w:r>
      <w:r w:rsidR="00E63797">
        <w:rPr>
          <w:rFonts w:hint="cs"/>
          <w:rtl/>
        </w:rPr>
        <w:t>וגם זה דחוק מבחינת הלשון</w:t>
      </w:r>
      <w:r w:rsidR="00AA774E">
        <w:rPr>
          <w:rFonts w:hint="cs"/>
          <w:rtl/>
        </w:rPr>
        <w:t>, ועוד שכבר הביא דוגמה מצב</w:t>
      </w:r>
      <w:r w:rsidR="00D939BD">
        <w:rPr>
          <w:rFonts w:hint="cs"/>
          <w:rtl/>
        </w:rPr>
        <w:t>א</w:t>
      </w:r>
      <w:r w:rsidR="00AA774E">
        <w:rPr>
          <w:rFonts w:hint="cs"/>
          <w:rtl/>
        </w:rPr>
        <w:t xml:space="preserve"> וחוק השלטון, וכאן הוא לא מוסיף הכללה למה שכתב שם</w:t>
      </w:r>
      <w:r w:rsidR="00D939BD">
        <w:rPr>
          <w:rFonts w:hint="cs"/>
          <w:rtl/>
        </w:rPr>
        <w:t xml:space="preserve"> (גם לא ברור איזו הכללה עוד יש בזה שאינה</w:t>
      </w:r>
      <w:r w:rsidR="00F05D43">
        <w:rPr>
          <w:rFonts w:hint="cs"/>
          <w:rtl/>
        </w:rPr>
        <w:t xml:space="preserve"> </w:t>
      </w:r>
      <w:r w:rsidR="00D939BD">
        <w:rPr>
          <w:rFonts w:hint="cs"/>
          <w:rtl/>
        </w:rPr>
        <w:t>כ</w:t>
      </w:r>
      <w:r w:rsidR="00F05D43">
        <w:rPr>
          <w:rFonts w:hint="cs"/>
          <w:rtl/>
        </w:rPr>
        <w:t>מ</w:t>
      </w:r>
      <w:r w:rsidR="00D939BD">
        <w:rPr>
          <w:rFonts w:hint="cs"/>
          <w:rtl/>
        </w:rPr>
        <w:t>ו הדוגמאות שהביא</w:t>
      </w:r>
      <w:r w:rsidR="00F05D43">
        <w:rPr>
          <w:rFonts w:hint="cs"/>
          <w:rtl/>
        </w:rPr>
        <w:t>)</w:t>
      </w:r>
      <w:r w:rsidR="00D939BD">
        <w:rPr>
          <w:rFonts w:hint="cs"/>
          <w:rtl/>
        </w:rPr>
        <w:t>,</w:t>
      </w:r>
      <w:r w:rsidR="00AA774E">
        <w:rPr>
          <w:rFonts w:hint="cs"/>
          <w:rtl/>
        </w:rPr>
        <w:t xml:space="preserve"> אלא כותב </w:t>
      </w:r>
      <w:r w:rsidR="00D939BD">
        <w:rPr>
          <w:rFonts w:hint="cs"/>
          <w:rtl/>
        </w:rPr>
        <w:t>אופן חדש</w:t>
      </w:r>
      <w:r w:rsidR="00F05D43">
        <w:rPr>
          <w:rFonts w:hint="cs"/>
          <w:rtl/>
        </w:rPr>
        <w:t xml:space="preserve"> </w:t>
      </w:r>
      <w:r w:rsidR="00D939BD">
        <w:rPr>
          <w:rFonts w:hint="cs"/>
          <w:rtl/>
        </w:rPr>
        <w:t>של שימוש במושג 'צורה'</w:t>
      </w:r>
      <w:r w:rsidR="00E63797">
        <w:rPr>
          <w:rFonts w:hint="cs"/>
          <w:rtl/>
        </w:rPr>
        <w:t>.</w:t>
      </w:r>
      <w:r w:rsidR="00F05D43">
        <w:rPr>
          <w:rFonts w:hint="cs"/>
          <w:rtl/>
        </w:rPr>
        <w:t xml:space="preserve"> ו</w:t>
      </w:r>
      <w:r w:rsidR="008627D0">
        <w:rPr>
          <w:rFonts w:hint="cs"/>
          <w:rtl/>
        </w:rPr>
        <w:t>העניין עוד לא מבורר אצלי.</w:t>
      </w:r>
      <w:r w:rsidR="00E63797">
        <w:rPr>
          <w:rFonts w:hint="cs"/>
          <w:rtl/>
        </w:rPr>
        <w:t xml:space="preserve"> </w:t>
      </w:r>
    </w:p>
  </w:footnote>
  <w:footnote w:id="746">
    <w:p w14:paraId="6CCDE604" w14:textId="436D4B67" w:rsidR="009953B7" w:rsidRDefault="00B10CC4">
      <w:pPr>
        <w:pStyle w:val="FootnoteText"/>
        <w:rPr>
          <w:rtl/>
        </w:rPr>
      </w:pPr>
      <w:r>
        <w:rPr>
          <w:rStyle w:val="FootnoteReference"/>
        </w:rPr>
        <w:footnoteRef/>
      </w:r>
      <w:r>
        <w:rPr>
          <w:rtl/>
        </w:rPr>
        <w:t xml:space="preserve"> </w:t>
      </w:r>
      <w:r w:rsidR="002630D8">
        <w:rPr>
          <w:rFonts w:hint="cs"/>
          <w:rtl/>
        </w:rPr>
        <w:t xml:space="preserve">ג'והר, </w:t>
      </w:r>
      <w:r w:rsidR="00EA2901">
        <w:rPr>
          <w:rtl/>
        </w:rPr>
        <w:fldChar w:fldCharType="begin"/>
      </w:r>
      <w:r w:rsidR="00EA2901">
        <w:instrText xml:space="preserve"> XE "</w:instrText>
      </w:r>
      <w:r w:rsidR="00EA2901" w:rsidRPr="00D64AB5">
        <w:rPr>
          <w:rFonts w:hint="cs"/>
          <w:rtl/>
        </w:rPr>
        <w:instrText>עצם - ההבדל בינו ובין מהות וצורה</w:instrText>
      </w:r>
      <w:r w:rsidR="00EA2901">
        <w:instrText xml:space="preserve">" </w:instrText>
      </w:r>
      <w:r w:rsidR="00EA2901">
        <w:rPr>
          <w:rtl/>
        </w:rPr>
        <w:fldChar w:fldCharType="end"/>
      </w:r>
      <w:r w:rsidR="002630D8">
        <w:rPr>
          <w:rFonts w:hint="cs"/>
          <w:rtl/>
        </w:rPr>
        <w:t>זה התרגום הערבי למונח האריסטוטלי</w:t>
      </w:r>
      <w:r w:rsidR="002630D8" w:rsidRPr="002630D8">
        <w:rPr>
          <w:rtl/>
        </w:rPr>
        <w:t xml:space="preserve"> </w:t>
      </w:r>
      <w:r w:rsidR="002630D8" w:rsidRPr="002630D8">
        <w:t>ousia</w:t>
      </w:r>
      <w:r w:rsidR="00E32B01">
        <w:rPr>
          <w:rFonts w:hint="cs"/>
          <w:rtl/>
        </w:rPr>
        <w:t xml:space="preserve"> ובאנגלית </w:t>
      </w:r>
      <w:r w:rsidR="00E32B01">
        <w:t>substance</w:t>
      </w:r>
      <w:r w:rsidR="002630D8">
        <w:rPr>
          <w:rFonts w:hint="cs"/>
          <w:rtl/>
        </w:rPr>
        <w:t xml:space="preserve">. </w:t>
      </w:r>
      <w:r w:rsidR="00756035">
        <w:rPr>
          <w:rFonts w:hint="cs"/>
          <w:rtl/>
        </w:rPr>
        <w:t xml:space="preserve">כל דבר שנמצא, ואינו רק מאפיין של משהו אחר, הוא </w:t>
      </w:r>
      <w:r w:rsidR="00851671">
        <w:rPr>
          <w:rFonts w:hint="cs"/>
          <w:rtl/>
        </w:rPr>
        <w:t>'</w:t>
      </w:r>
      <w:r w:rsidR="00756035">
        <w:rPr>
          <w:rFonts w:hint="cs"/>
          <w:rtl/>
        </w:rPr>
        <w:t>עצם</w:t>
      </w:r>
      <w:r w:rsidR="00851671">
        <w:rPr>
          <w:rFonts w:hint="cs"/>
          <w:rtl/>
        </w:rPr>
        <w:t>'</w:t>
      </w:r>
      <w:r w:rsidR="009953B7">
        <w:rPr>
          <w:rFonts w:hint="cs"/>
          <w:rtl/>
        </w:rPr>
        <w:t xml:space="preserve">, </w:t>
      </w:r>
      <w:r w:rsidR="00851671">
        <w:rPr>
          <w:rFonts w:hint="cs"/>
          <w:rtl/>
        </w:rPr>
        <w:t xml:space="preserve">כמו שכתב אריסטו במטאפיזיקה גמא א' ש'עצם' פירושו נמצא, לומר </w:t>
      </w:r>
      <w:r w:rsidR="009953B7">
        <w:rPr>
          <w:rFonts w:hint="cs"/>
          <w:rtl/>
        </w:rPr>
        <w:t>'</w:t>
      </w:r>
      <w:r w:rsidR="00851671">
        <w:rPr>
          <w:rFonts w:hint="cs"/>
          <w:rtl/>
        </w:rPr>
        <w:t>ראובן נמצא</w:t>
      </w:r>
      <w:r w:rsidR="009953B7">
        <w:rPr>
          <w:rFonts w:hint="cs"/>
          <w:rtl/>
        </w:rPr>
        <w:t>'</w:t>
      </w:r>
      <w:r w:rsidR="00851671">
        <w:rPr>
          <w:rFonts w:hint="cs"/>
          <w:rtl/>
        </w:rPr>
        <w:t xml:space="preserve"> היא אותה אמירה כמו לומר </w:t>
      </w:r>
      <w:r w:rsidR="009953B7">
        <w:rPr>
          <w:rFonts w:hint="cs"/>
          <w:rtl/>
        </w:rPr>
        <w:t>'</w:t>
      </w:r>
      <w:r w:rsidR="00851671">
        <w:rPr>
          <w:rFonts w:hint="cs"/>
          <w:rtl/>
        </w:rPr>
        <w:t>ראובן</w:t>
      </w:r>
      <w:r w:rsidR="009953B7">
        <w:rPr>
          <w:rFonts w:hint="cs"/>
          <w:rtl/>
        </w:rPr>
        <w:t>',</w:t>
      </w:r>
      <w:r w:rsidR="00851671">
        <w:rPr>
          <w:rFonts w:hint="cs"/>
          <w:rtl/>
        </w:rPr>
        <w:t xml:space="preserve"> לומר ראובן פירוש לומר את העצם. </w:t>
      </w:r>
      <w:r w:rsidR="002046DD">
        <w:rPr>
          <w:rFonts w:hint="cs"/>
          <w:rtl/>
        </w:rPr>
        <w:t>המילה ג</w:t>
      </w:r>
      <w:r w:rsidR="009953B7">
        <w:rPr>
          <w:rFonts w:hint="cs"/>
          <w:rtl/>
        </w:rPr>
        <w:t>'</w:t>
      </w:r>
      <w:r w:rsidR="002046DD">
        <w:rPr>
          <w:rFonts w:hint="cs"/>
          <w:rtl/>
        </w:rPr>
        <w:t>והר אין הכוונה</w:t>
      </w:r>
      <w:r w:rsidR="00100161">
        <w:rPr>
          <w:rFonts w:hint="cs"/>
          <w:rtl/>
        </w:rPr>
        <w:t xml:space="preserve"> בה</w:t>
      </w:r>
      <w:r w:rsidR="002046DD">
        <w:rPr>
          <w:rFonts w:hint="cs"/>
          <w:rtl/>
        </w:rPr>
        <w:t xml:space="preserve"> </w:t>
      </w:r>
      <w:r w:rsidR="00100161">
        <w:rPr>
          <w:rFonts w:hint="cs"/>
          <w:rtl/>
        </w:rPr>
        <w:t xml:space="preserve">לכל נמצא אלא דווקא </w:t>
      </w:r>
      <w:r w:rsidR="002630D8">
        <w:rPr>
          <w:rFonts w:hint="cs"/>
          <w:rtl/>
        </w:rPr>
        <w:t>לעצם שמחובר מחומר וצורה, ו</w:t>
      </w:r>
      <w:r w:rsidR="00765E25">
        <w:rPr>
          <w:rFonts w:hint="cs"/>
          <w:rtl/>
        </w:rPr>
        <w:t xml:space="preserve">מדובר על </w:t>
      </w:r>
      <w:r w:rsidR="00F16C6E">
        <w:rPr>
          <w:rFonts w:hint="cs"/>
          <w:rtl/>
        </w:rPr>
        <w:t>הצורה</w:t>
      </w:r>
      <w:r w:rsidR="00765E25">
        <w:rPr>
          <w:rFonts w:hint="cs"/>
          <w:rtl/>
        </w:rPr>
        <w:t xml:space="preserve"> של העצם, שהיא עיקר מציאותו ו</w:t>
      </w:r>
      <w:r w:rsidR="00F16C6E">
        <w:rPr>
          <w:rFonts w:hint="cs"/>
          <w:rtl/>
        </w:rPr>
        <w:t>קובעת את מהותו.</w:t>
      </w:r>
      <w:r w:rsidR="002630D8" w:rsidRPr="002630D8">
        <w:rPr>
          <w:rtl/>
        </w:rPr>
        <w:t xml:space="preserve"> </w:t>
      </w:r>
    </w:p>
    <w:p w14:paraId="1364F471" w14:textId="4E5D4FDE" w:rsidR="00B10CC4" w:rsidRDefault="00E4123D">
      <w:pPr>
        <w:pStyle w:val="FootnoteText"/>
        <w:rPr>
          <w:rtl/>
        </w:rPr>
      </w:pPr>
      <w:r>
        <w:rPr>
          <w:rFonts w:hint="cs"/>
          <w:rtl/>
        </w:rPr>
        <w:t xml:space="preserve">כשאומרים 'צורה' או 'מהות' מתכוונים להסתכלות על העצם הטבעי שמחלקת את ההתבוננות בו להתבוננות בצורה בפני עצמה </w:t>
      </w:r>
      <w:r w:rsidR="00AE7A75">
        <w:rPr>
          <w:rFonts w:hint="cs"/>
          <w:rtl/>
        </w:rPr>
        <w:t>מתוך התעלמות מהחומר, וכמו שכתב הרמב"ם בהלכות יסודי התורה ד ז'. ובמיל</w:t>
      </w:r>
      <w:r w:rsidR="003902F9">
        <w:rPr>
          <w:rFonts w:hint="cs"/>
          <w:rtl/>
        </w:rPr>
        <w:t>ה</w:t>
      </w:r>
      <w:r w:rsidR="00AE7A75">
        <w:rPr>
          <w:rFonts w:hint="cs"/>
          <w:rtl/>
        </w:rPr>
        <w:t xml:space="preserve"> 'עצם' הכוונה </w:t>
      </w:r>
      <w:r w:rsidR="00162DC1">
        <w:rPr>
          <w:rFonts w:hint="cs"/>
          <w:rtl/>
        </w:rPr>
        <w:t xml:space="preserve">גם כן לצורה, אבל הצורה שמושגת </w:t>
      </w:r>
      <w:r w:rsidR="00DB01AB">
        <w:rPr>
          <w:rFonts w:hint="cs"/>
          <w:rtl/>
        </w:rPr>
        <w:t>מ</w:t>
      </w:r>
      <w:r w:rsidR="00AE7A75">
        <w:rPr>
          <w:rFonts w:hint="cs"/>
          <w:rtl/>
        </w:rPr>
        <w:t xml:space="preserve">התבוננות בעצם </w:t>
      </w:r>
      <w:r w:rsidR="003902F9">
        <w:rPr>
          <w:rFonts w:hint="cs"/>
          <w:rtl/>
        </w:rPr>
        <w:t>ביחד עם החומר שבו, במבט שלא</w:t>
      </w:r>
      <w:r w:rsidR="00DB01AB">
        <w:rPr>
          <w:rFonts w:hint="cs"/>
          <w:rtl/>
        </w:rPr>
        <w:t xml:space="preserve"> </w:t>
      </w:r>
      <w:r w:rsidR="003902F9">
        <w:rPr>
          <w:rFonts w:hint="cs"/>
          <w:rtl/>
        </w:rPr>
        <w:t xml:space="preserve">מתעלם מהחומר אלא רואה את הצורה </w:t>
      </w:r>
      <w:r w:rsidR="00162DC1">
        <w:rPr>
          <w:rFonts w:hint="cs"/>
          <w:rtl/>
        </w:rPr>
        <w:t>כמשתקפת בחומר</w:t>
      </w:r>
      <w:r w:rsidR="00DB01AB">
        <w:rPr>
          <w:rFonts w:hint="cs"/>
          <w:rtl/>
        </w:rPr>
        <w:t xml:space="preserve"> עצמו, כמו</w:t>
      </w:r>
      <w:r w:rsidR="00124C30">
        <w:rPr>
          <w:rFonts w:hint="cs"/>
          <w:rtl/>
        </w:rPr>
        <w:t xml:space="preserve"> </w:t>
      </w:r>
      <w:r w:rsidR="00DB01AB">
        <w:rPr>
          <w:rFonts w:hint="cs"/>
          <w:rtl/>
        </w:rPr>
        <w:t>שהנפש משתק</w:t>
      </w:r>
      <w:r w:rsidR="00124C30">
        <w:rPr>
          <w:rFonts w:hint="cs"/>
          <w:rtl/>
        </w:rPr>
        <w:t>פ</w:t>
      </w:r>
      <w:r w:rsidR="00DB01AB">
        <w:rPr>
          <w:rFonts w:hint="cs"/>
          <w:rtl/>
        </w:rPr>
        <w:t xml:space="preserve">ת מהגוף עצמו שהעיניים הן ראי הנפש וחכמת אדם תאיר פניו וכיוצא בזה. </w:t>
      </w:r>
    </w:p>
    <w:p w14:paraId="198A28E1" w14:textId="7BA3C712" w:rsidR="00124C30" w:rsidRDefault="00124C30" w:rsidP="00124C30">
      <w:pPr>
        <w:pStyle w:val="FootnoteText"/>
        <w:rPr>
          <w:rtl/>
        </w:rPr>
      </w:pPr>
      <w:r>
        <w:rPr>
          <w:rFonts w:hint="cs"/>
          <w:rtl/>
        </w:rPr>
        <w:t>בהלכות יסודי התורה ד' ז' כתב:</w:t>
      </w:r>
    </w:p>
    <w:p w14:paraId="5518F02E" w14:textId="1CD45B18" w:rsidR="00124C30" w:rsidRDefault="00124C30" w:rsidP="00124C30">
      <w:pPr>
        <w:pStyle w:val="FootnoteText"/>
        <w:rPr>
          <w:rtl/>
        </w:rPr>
      </w:pPr>
      <w:r>
        <w:rPr>
          <w:rFonts w:hint="cs"/>
          <w:rtl/>
        </w:rPr>
        <w:t>"</w:t>
      </w:r>
      <w:r w:rsidR="002D572A" w:rsidRPr="002D572A">
        <w:rPr>
          <w:rtl/>
        </w:rPr>
        <w:t>לעולם אין אתה רואה גולם בלא צורה או צורה בלא גולם אלא לב האדם הוא שמחלק גוף הנמצא בדעתו ויודע שהוא מחובר מגולם וצורה</w:t>
      </w:r>
      <w:r>
        <w:rPr>
          <w:rFonts w:hint="cs"/>
          <w:rtl/>
        </w:rPr>
        <w:t>"</w:t>
      </w:r>
    </w:p>
    <w:p w14:paraId="19B77965" w14:textId="3CB18631" w:rsidR="002D572A" w:rsidRDefault="002D572A" w:rsidP="00124C30">
      <w:pPr>
        <w:pStyle w:val="FootnoteText"/>
        <w:rPr>
          <w:rtl/>
        </w:rPr>
      </w:pPr>
      <w:r>
        <w:rPr>
          <w:rFonts w:hint="cs"/>
          <w:rtl/>
        </w:rPr>
        <w:t xml:space="preserve">כיוון שיש כאן חלוקה </w:t>
      </w:r>
      <w:r w:rsidR="00451133">
        <w:rPr>
          <w:rFonts w:hint="cs"/>
          <w:rtl/>
        </w:rPr>
        <w:t xml:space="preserve">של הגוף, מדובר כאן על צורה ולא על עצם. </w:t>
      </w:r>
    </w:p>
    <w:p w14:paraId="0175E7E3" w14:textId="234D9A07" w:rsidR="008F195D" w:rsidRDefault="008F195D" w:rsidP="00124C30">
      <w:pPr>
        <w:pStyle w:val="FootnoteText"/>
        <w:rPr>
          <w:rtl/>
        </w:rPr>
      </w:pPr>
    </w:p>
    <w:p w14:paraId="69848E4C" w14:textId="77777777" w:rsidR="00102140" w:rsidRDefault="008F195D" w:rsidP="00124C30">
      <w:pPr>
        <w:pStyle w:val="FootnoteText"/>
        <w:rPr>
          <w:rtl/>
        </w:rPr>
      </w:pPr>
      <w:r>
        <w:rPr>
          <w:rFonts w:hint="cs"/>
          <w:rtl/>
        </w:rPr>
        <w:t xml:space="preserve">בספר האמונה הרמה מאת הראב"ד הראשון, </w:t>
      </w:r>
      <w:r w:rsidR="00102140">
        <w:rPr>
          <w:rFonts w:hint="cs"/>
          <w:rtl/>
        </w:rPr>
        <w:t xml:space="preserve">מאמר </w:t>
      </w:r>
      <w:r>
        <w:rPr>
          <w:rFonts w:hint="cs"/>
          <w:rtl/>
        </w:rPr>
        <w:t xml:space="preserve">א' </w:t>
      </w:r>
      <w:r w:rsidR="00102140">
        <w:rPr>
          <w:rFonts w:hint="cs"/>
          <w:rtl/>
        </w:rPr>
        <w:t xml:space="preserve">פרק </w:t>
      </w:r>
      <w:r>
        <w:rPr>
          <w:rFonts w:hint="cs"/>
          <w:rtl/>
        </w:rPr>
        <w:t>ו', כתב</w:t>
      </w:r>
      <w:r w:rsidR="00102140">
        <w:rPr>
          <w:rFonts w:hint="cs"/>
          <w:rtl/>
        </w:rPr>
        <w:t>:</w:t>
      </w:r>
    </w:p>
    <w:p w14:paraId="07F1ED64" w14:textId="77777777" w:rsidR="00102140" w:rsidRDefault="00102140" w:rsidP="00124C30">
      <w:pPr>
        <w:pStyle w:val="FootnoteText"/>
        <w:rPr>
          <w:rtl/>
        </w:rPr>
      </w:pPr>
      <w:r>
        <w:rPr>
          <w:rFonts w:hint="cs"/>
          <w:rtl/>
        </w:rPr>
        <w:t>"</w:t>
      </w:r>
      <w:r w:rsidRPr="00102140">
        <w:rPr>
          <w:rtl/>
        </w:rPr>
        <w:t>אמנם אנחנו די לנו שנאמר שכבר קויים שהנפש איננה מקרה כלל,</w:t>
      </w:r>
      <w:r w:rsidRPr="00102140">
        <w:rPr>
          <w:b/>
          <w:bCs/>
          <w:rtl/>
        </w:rPr>
        <w:t xml:space="preserve"> וכל מה שאינו מקרה הוא עצם</w:t>
      </w:r>
      <w:r w:rsidRPr="00102140">
        <w:rPr>
          <w:rtl/>
        </w:rPr>
        <w:t xml:space="preserve">, הנה הנפש עצם. </w:t>
      </w:r>
    </w:p>
    <w:p w14:paraId="6C0A8F62" w14:textId="77777777" w:rsidR="00A140B4" w:rsidRDefault="00102140" w:rsidP="00124C30">
      <w:pPr>
        <w:pStyle w:val="FootnoteText"/>
        <w:rPr>
          <w:rtl/>
        </w:rPr>
      </w:pPr>
      <w:r w:rsidRPr="00102140">
        <w:rPr>
          <w:rtl/>
        </w:rPr>
        <w:t>ואחר שהיה השם עצם נאמר על פנים רבים, הנה נשאר עלינו שנבאר על אי זה מקום נאמר בנפש שהיא עצם.</w:t>
      </w:r>
      <w:r w:rsidRPr="00102140">
        <w:rPr>
          <w:b/>
          <w:bCs/>
          <w:rtl/>
        </w:rPr>
        <w:t xml:space="preserve"> וזה שהעצם יאמר על ארבעה דברים</w:t>
      </w:r>
      <w:r w:rsidRPr="00102140">
        <w:rPr>
          <w:rtl/>
        </w:rPr>
        <w:t>: על ההיולי</w:t>
      </w:r>
      <w:r>
        <w:rPr>
          <w:rFonts w:hint="cs"/>
          <w:rtl/>
        </w:rPr>
        <w:t xml:space="preserve"> [</w:t>
      </w:r>
      <w:r w:rsidR="00D1771D">
        <w:rPr>
          <w:rFonts w:hint="cs"/>
          <w:rtl/>
        </w:rPr>
        <w:t>החומר שקיים כחומר בלי צורה</w:t>
      </w:r>
      <w:r>
        <w:rPr>
          <w:rFonts w:hint="cs"/>
          <w:rtl/>
        </w:rPr>
        <w:t>]</w:t>
      </w:r>
      <w:r w:rsidRPr="00102140">
        <w:rPr>
          <w:rtl/>
        </w:rPr>
        <w:t>, ועל הצורה, ועל המורכב מהם רצוני הגשם, ועל הנבדל</w:t>
      </w:r>
      <w:r w:rsidR="00D1771D">
        <w:rPr>
          <w:rFonts w:hint="cs"/>
          <w:rtl/>
        </w:rPr>
        <w:t>.</w:t>
      </w:r>
      <w:r w:rsidRPr="00102140">
        <w:rPr>
          <w:rtl/>
        </w:rPr>
        <w:t xml:space="preserve"> רצוני בנבדל ענין שעוד יתבאר לך אחר זה. וזה, שבמציאות עצמים אינם גשמים, ואין להם התלות בגשמים. ואחר שלנפש התלות, בגשמים, הנה אינה מן העצמים הנבדלים (בדבר) בעוד שיש לה התלות בו. אמנם היות הנפש הוא הגשם, הנה כבר בוטל בדברים אשר קדמו. ויותר בטל מזה שתהיה הנפש עצם בענין ההיולי, אחר שהיה ההיולי מתפעל ולא פועל, והנפש תפעל הגשם. הנה כבר נשאר שתהיה הנפש עצם בענין צורה,</w:t>
      </w:r>
      <w:r w:rsidRPr="0066431E">
        <w:rPr>
          <w:b/>
          <w:bCs/>
          <w:rtl/>
        </w:rPr>
        <w:t xml:space="preserve"> וכבר ביארנו לך שהצורה היא העצם אשר תזרח על ההיולי המשותף לדברים מתחלפים</w:t>
      </w:r>
      <w:r w:rsidRPr="00102140">
        <w:rPr>
          <w:rtl/>
        </w:rPr>
        <w:t xml:space="preserve">, וייחד אותו באחד מאותם הדברים המתחלפים, וישימהו הוא מה שהוא בהוציאו אותו מן הכח אל הפועל, והיא עם זה פועלת הגשם, והיא במורכב ממנה ומן היולי, נמצאת בו כחלק ממנו, והוא צורת הגשם, והיא פועלת אותו, והיא תכלית ג"כ. </w:t>
      </w:r>
    </w:p>
    <w:p w14:paraId="3FE0A65D" w14:textId="01DA79C5" w:rsidR="008F195D" w:rsidRDefault="00102140" w:rsidP="00124C30">
      <w:pPr>
        <w:pStyle w:val="FootnoteText"/>
      </w:pPr>
      <w:r w:rsidRPr="00102140">
        <w:rPr>
          <w:rtl/>
        </w:rPr>
        <w:t xml:space="preserve">כי אנחנו עוד נבאר לך, שהגשם אמנם מציאותו מפני הנפש, וכדי שתגיע בו על שלמותה. וזה אמנם יתבאר לך בגשם והנפש האנושית בפרט. הנה כבר ידעת שהנפש עצם בלתי גשמי, ושהיא עצם בענין צורה, ושהיא בגשם המחובר ממנה ומגשם </w:t>
      </w:r>
      <w:r w:rsidR="00F4328A">
        <w:rPr>
          <w:rFonts w:hint="cs"/>
          <w:rtl/>
        </w:rPr>
        <w:t>[</w:t>
      </w:r>
      <w:r w:rsidRPr="00102140">
        <w:rPr>
          <w:rtl/>
        </w:rPr>
        <w:t>ומהיסודות או מגשם המשולח</w:t>
      </w:r>
      <w:r w:rsidR="00F4328A">
        <w:rPr>
          <w:rFonts w:hint="cs"/>
          <w:rtl/>
        </w:rPr>
        <w:t>]</w:t>
      </w:r>
      <w:r w:rsidRPr="00102140">
        <w:rPr>
          <w:rtl/>
        </w:rPr>
        <w:t xml:space="preserve"> הוא היולי זה המורכב נמצאת (במורכב) כחלק ממנו.</w:t>
      </w:r>
      <w:r>
        <w:rPr>
          <w:rFonts w:hint="cs"/>
          <w:rtl/>
        </w:rPr>
        <w:t>"</w:t>
      </w:r>
      <w:r w:rsidR="008F195D">
        <w:rPr>
          <w:rFonts w:hint="cs"/>
          <w:rtl/>
        </w:rPr>
        <w:t xml:space="preserve"> </w:t>
      </w:r>
    </w:p>
  </w:footnote>
  <w:footnote w:id="747">
    <w:p w14:paraId="4666CDF2" w14:textId="5A428D8C" w:rsidR="00611F8C" w:rsidRDefault="00611F8C">
      <w:pPr>
        <w:pStyle w:val="FootnoteText"/>
      </w:pPr>
      <w:r>
        <w:rPr>
          <w:rStyle w:val="FootnoteReference"/>
        </w:rPr>
        <w:footnoteRef/>
      </w:r>
      <w:r>
        <w:rPr>
          <w:rtl/>
        </w:rPr>
        <w:t xml:space="preserve"> </w:t>
      </w:r>
      <w:r w:rsidR="00B41719">
        <w:rPr>
          <w:rFonts w:hint="cs"/>
          <w:rtl/>
        </w:rPr>
        <w:t xml:space="preserve">עשר הקטגוריות של אריסטו נקראות צורות. אחת מהן היא ה'עצם' והשאר מקרים. הקטגוריות </w:t>
      </w:r>
      <w:r w:rsidR="009315F2">
        <w:rPr>
          <w:rFonts w:hint="cs"/>
          <w:rtl/>
        </w:rPr>
        <w:t>נקראות הסוגים העליונים כי הן אופני המציאות, בין אם מציאות כעצם (קטגוריית העצם) ובין אם מציאות כמאפיינים של העצם, כלומר מקרים (</w:t>
      </w:r>
      <w:r w:rsidR="004008C6">
        <w:rPr>
          <w:rFonts w:hint="cs"/>
          <w:rtl/>
        </w:rPr>
        <w:t>שאר תשע הקטגוריות)</w:t>
      </w:r>
      <w:r w:rsidR="009315F2">
        <w:rPr>
          <w:rFonts w:hint="cs"/>
          <w:rtl/>
        </w:rPr>
        <w:t xml:space="preserve">. </w:t>
      </w:r>
      <w:r w:rsidR="004008C6">
        <w:rPr>
          <w:rFonts w:hint="cs"/>
          <w:rtl/>
        </w:rPr>
        <w:t>למשל אם נשאל האם קיים בטבע הצבע הלבן</w:t>
      </w:r>
      <w:r w:rsidR="002B2E8A">
        <w:rPr>
          <w:rFonts w:hint="cs"/>
          <w:rtl/>
        </w:rPr>
        <w:t xml:space="preserve"> כצבע, לא רק כצבעם של עצמים לבנים מסוימים, </w:t>
      </w:r>
      <w:r w:rsidR="000705A1">
        <w:rPr>
          <w:rFonts w:hint="cs"/>
          <w:rtl/>
        </w:rPr>
        <w:t>התשובה היא</w:t>
      </w:r>
      <w:r w:rsidR="002B2E8A">
        <w:rPr>
          <w:rFonts w:hint="cs"/>
          <w:rtl/>
        </w:rPr>
        <w:t xml:space="preserve"> </w:t>
      </w:r>
      <w:r w:rsidR="000705A1">
        <w:rPr>
          <w:rFonts w:hint="cs"/>
          <w:rtl/>
        </w:rPr>
        <w:t>ש</w:t>
      </w:r>
      <w:r w:rsidR="002B2E8A">
        <w:rPr>
          <w:rFonts w:hint="cs"/>
          <w:rtl/>
        </w:rPr>
        <w:t xml:space="preserve">למרות שאי אפשר לגעת בלובן, </w:t>
      </w:r>
      <w:r w:rsidR="004008C6">
        <w:rPr>
          <w:rFonts w:hint="cs"/>
          <w:rtl/>
        </w:rPr>
        <w:t>אי אפשר לומר שהוא לא קיים, הוא הכללה והפשטה של הצבע הלבן של עצמים לבנים</w:t>
      </w:r>
      <w:r w:rsidR="00CA2E05">
        <w:rPr>
          <w:rFonts w:hint="cs"/>
          <w:rtl/>
        </w:rPr>
        <w:t xml:space="preserve"> והוא קודם </w:t>
      </w:r>
      <w:r w:rsidR="00CA2E05">
        <w:rPr>
          <w:rFonts w:hint="cs"/>
          <w:rtl/>
        </w:rPr>
        <w:t xml:space="preserve">ללבנותם של העצמים מבחינת סדר ההוויה. כלומר אם לא היה קיים הלובן כצבע, לא היה אפשר שיהיו עצמים </w:t>
      </w:r>
      <w:r w:rsidR="000705A1">
        <w:rPr>
          <w:rFonts w:hint="cs"/>
          <w:rtl/>
        </w:rPr>
        <w:t xml:space="preserve">חומריים </w:t>
      </w:r>
      <w:r w:rsidR="00CA2E05">
        <w:rPr>
          <w:rFonts w:hint="cs"/>
          <w:rtl/>
        </w:rPr>
        <w:t xml:space="preserve">לבנים. הלובן כצבע לא קיים כעצם שאפשר לגעת בו, אלא הוא קיים כצבע, אופן קיומו הוא אופן הקיום של קטגוריית האיכות שהצבע הוא אחת מהאיכויות שהיא כוללת. </w:t>
      </w:r>
      <w:r w:rsidR="004C6903">
        <w:rPr>
          <w:rFonts w:hint="cs"/>
          <w:rtl/>
        </w:rPr>
        <w:t xml:space="preserve">מה שהקטגוריות הן הסוגים העליונים פירושו שהן לא תחת שום סוג אחר, כלומר </w:t>
      </w:r>
      <w:r w:rsidR="00984453">
        <w:rPr>
          <w:rFonts w:hint="cs"/>
          <w:rtl/>
        </w:rPr>
        <w:t>הקטגוריות הן</w:t>
      </w:r>
      <w:r w:rsidR="004C6903">
        <w:rPr>
          <w:rFonts w:hint="cs"/>
          <w:rtl/>
        </w:rPr>
        <w:t xml:space="preserve"> צורת מציאות שעומדת </w:t>
      </w:r>
      <w:r w:rsidR="00984453">
        <w:rPr>
          <w:rFonts w:hint="cs"/>
          <w:rtl/>
        </w:rPr>
        <w:t xml:space="preserve">בכח עצמה. </w:t>
      </w:r>
      <w:r w:rsidR="006F1246">
        <w:rPr>
          <w:rFonts w:hint="cs"/>
          <w:rtl/>
        </w:rPr>
        <w:t>מבחינה זו הלובן נחשב צורה, כי הוא עניין שאין</w:t>
      </w:r>
      <w:r w:rsidR="00984453">
        <w:rPr>
          <w:rFonts w:hint="cs"/>
          <w:rtl/>
        </w:rPr>
        <w:t xml:space="preserve"> לו חומר משלו </w:t>
      </w:r>
      <w:r w:rsidR="006F1246">
        <w:rPr>
          <w:rFonts w:hint="cs"/>
          <w:rtl/>
        </w:rPr>
        <w:t>והוא חל על העצם החומרי המסוים ומתלבש בחומר של העצם. צורה היא מציאות לא חומרית ש</w:t>
      </w:r>
      <w:r w:rsidR="001B0C1F">
        <w:rPr>
          <w:rFonts w:hint="cs"/>
          <w:rtl/>
        </w:rPr>
        <w:t>חלה בחומר</w:t>
      </w:r>
      <w:r w:rsidR="00130DDA">
        <w:rPr>
          <w:rFonts w:hint="cs"/>
          <w:rtl/>
        </w:rPr>
        <w:t>, ומבחינה זו כל הקטגוריות נקראות צורות</w:t>
      </w:r>
      <w:r w:rsidR="001B0C1F">
        <w:rPr>
          <w:rFonts w:hint="cs"/>
          <w:rtl/>
        </w:rPr>
        <w:t xml:space="preserve">. </w:t>
      </w:r>
      <w:r w:rsidR="006F1246">
        <w:rPr>
          <w:rFonts w:hint="cs"/>
          <w:rtl/>
        </w:rPr>
        <w:t xml:space="preserve"> </w:t>
      </w:r>
      <w:r w:rsidR="004008C6">
        <w:rPr>
          <w:rFonts w:hint="cs"/>
          <w:rtl/>
        </w:rPr>
        <w:t xml:space="preserve"> </w:t>
      </w:r>
    </w:p>
  </w:footnote>
  <w:footnote w:id="748">
    <w:p w14:paraId="17B698C3" w14:textId="57E9CD9B" w:rsidR="00B73AF7" w:rsidRDefault="00B73AF7">
      <w:pPr>
        <w:pStyle w:val="FootnoteText"/>
      </w:pPr>
      <w:r>
        <w:rPr>
          <w:rStyle w:val="FootnoteReference"/>
        </w:rPr>
        <w:footnoteRef/>
      </w:r>
      <w:r>
        <w:rPr>
          <w:rtl/>
        </w:rPr>
        <w:t xml:space="preserve"> </w:t>
      </w:r>
      <w:r>
        <w:rPr>
          <w:rFonts w:hint="cs"/>
          <w:rtl/>
        </w:rPr>
        <w:t xml:space="preserve">יש </w:t>
      </w:r>
      <w:r w:rsidR="006E7961">
        <w:rPr>
          <w:rFonts w:hint="cs"/>
          <w:rtl/>
        </w:rPr>
        <w:t>מהחוקרים שטעו בפירוש דברי אריסטו וסברו שלפי אריסטו אין מציאות לצורה כשהיא ללא חומר, ורק אפלטון סובר שהצורות קיימות באופן ריאלי גם ללא</w:t>
      </w:r>
      <w:r w:rsidR="00505EFE">
        <w:rPr>
          <w:rFonts w:hint="cs"/>
          <w:rtl/>
        </w:rPr>
        <w:t xml:space="preserve"> </w:t>
      </w:r>
      <w:r w:rsidR="006E7961">
        <w:rPr>
          <w:rFonts w:hint="cs"/>
          <w:rtl/>
        </w:rPr>
        <w:t xml:space="preserve">חומר. </w:t>
      </w:r>
      <w:r w:rsidR="00505EFE">
        <w:rPr>
          <w:rFonts w:hint="cs"/>
          <w:rtl/>
        </w:rPr>
        <w:t>לפי שיטתם דברי אבן סינא כאן הם כאפלטון ו</w:t>
      </w:r>
      <w:r w:rsidR="00AA1490">
        <w:rPr>
          <w:rFonts w:hint="cs"/>
          <w:rtl/>
        </w:rPr>
        <w:t>לא</w:t>
      </w:r>
      <w:r w:rsidR="00505EFE">
        <w:rPr>
          <w:rFonts w:hint="cs"/>
          <w:rtl/>
        </w:rPr>
        <w:t xml:space="preserve"> כאריסטו, </w:t>
      </w:r>
      <w:r w:rsidR="00AA1490">
        <w:rPr>
          <w:rFonts w:hint="cs"/>
          <w:rtl/>
        </w:rPr>
        <w:t xml:space="preserve">כי לשיטתם לפי אריסטו יש במציאות רק מושכלות שהן בחומר ורק </w:t>
      </w:r>
      <w:r w:rsidR="00DE2D3F">
        <w:rPr>
          <w:rFonts w:hint="cs"/>
          <w:rtl/>
        </w:rPr>
        <w:t xml:space="preserve">בניתוח השכלי אנו רואים צורות בנפרד מהחומר. </w:t>
      </w:r>
      <w:r w:rsidR="00505EFE">
        <w:rPr>
          <w:rFonts w:hint="cs"/>
          <w:rtl/>
        </w:rPr>
        <w:t>אבל בלי ספק אין שחר לשיטתם ואין בזה</w:t>
      </w:r>
      <w:r w:rsidR="00DE2D3F">
        <w:rPr>
          <w:rFonts w:hint="cs"/>
          <w:rtl/>
        </w:rPr>
        <w:t xml:space="preserve"> </w:t>
      </w:r>
      <w:r w:rsidR="00505EFE">
        <w:rPr>
          <w:rFonts w:hint="cs"/>
          <w:rtl/>
        </w:rPr>
        <w:t>מחלוקת</w:t>
      </w:r>
      <w:r w:rsidR="00DE2D3F">
        <w:rPr>
          <w:rFonts w:hint="cs"/>
          <w:rtl/>
        </w:rPr>
        <w:t xml:space="preserve">, וכדברי אלפראבי, </w:t>
      </w:r>
      <w:r w:rsidR="00505EFE">
        <w:rPr>
          <w:rFonts w:hint="cs"/>
          <w:rtl/>
        </w:rPr>
        <w:t xml:space="preserve">וגם לאריסטו יש מציאות </w:t>
      </w:r>
      <w:r w:rsidR="008B7D33">
        <w:rPr>
          <w:rFonts w:hint="cs"/>
          <w:rtl/>
        </w:rPr>
        <w:t xml:space="preserve">ריאלית </w:t>
      </w:r>
      <w:r w:rsidR="00505EFE">
        <w:rPr>
          <w:rFonts w:hint="cs"/>
          <w:rtl/>
        </w:rPr>
        <w:t>לצורות ללא חומר, כמו שמ</w:t>
      </w:r>
      <w:r w:rsidR="008B7D33">
        <w:rPr>
          <w:rFonts w:hint="cs"/>
          <w:rtl/>
        </w:rPr>
        <w:t>פ</w:t>
      </w:r>
      <w:r w:rsidR="00505EFE">
        <w:rPr>
          <w:rFonts w:hint="cs"/>
          <w:rtl/>
        </w:rPr>
        <w:t xml:space="preserve">ורש בדברי אריסטו במטאפיזיקה למבדא ועוד מקומות, </w:t>
      </w:r>
      <w:r w:rsidR="00B26983">
        <w:rPr>
          <w:rFonts w:hint="cs"/>
          <w:rtl/>
        </w:rPr>
        <w:t xml:space="preserve">וכמו שכתב במורה נבוכים א' ע' על נשמות הצדיקים וכו', </w:t>
      </w:r>
      <w:r w:rsidR="00C61E34">
        <w:rPr>
          <w:rFonts w:hint="cs"/>
          <w:rtl/>
        </w:rPr>
        <w:t>והמקומות שמשמע ש</w:t>
      </w:r>
      <w:r w:rsidR="00A40E8C">
        <w:rPr>
          <w:rFonts w:hint="cs"/>
          <w:rtl/>
        </w:rPr>
        <w:t xml:space="preserve">אריסטו חולק על אפלטון בזה </w:t>
      </w:r>
      <w:r w:rsidR="00C61E34">
        <w:rPr>
          <w:rFonts w:hint="cs"/>
          <w:rtl/>
        </w:rPr>
        <w:t xml:space="preserve">הם רק לגבי הדרך איך מגיעים להשגת הצורות המופשטות ולא על עצם קיומן, </w:t>
      </w:r>
      <w:r w:rsidR="00505EFE">
        <w:rPr>
          <w:rFonts w:hint="cs"/>
          <w:rtl/>
        </w:rPr>
        <w:t>והארכתי בזה ב</w:t>
      </w:r>
      <w:r w:rsidR="00C61E34">
        <w:rPr>
          <w:rFonts w:hint="cs"/>
          <w:rtl/>
        </w:rPr>
        <w:t>מ</w:t>
      </w:r>
      <w:r w:rsidR="00505EFE">
        <w:rPr>
          <w:rFonts w:hint="cs"/>
          <w:rtl/>
        </w:rPr>
        <w:t xml:space="preserve">קומות אחרים. </w:t>
      </w:r>
    </w:p>
  </w:footnote>
  <w:footnote w:id="749">
    <w:p w14:paraId="50247E18" w14:textId="0F7EF7AB" w:rsidR="00141091" w:rsidRDefault="00141091">
      <w:pPr>
        <w:pStyle w:val="FootnoteText"/>
      </w:pPr>
      <w:r>
        <w:rPr>
          <w:rStyle w:val="FootnoteReference"/>
        </w:rPr>
        <w:footnoteRef/>
      </w:r>
      <w:r>
        <w:rPr>
          <w:rtl/>
        </w:rPr>
        <w:t xml:space="preserve"> </w:t>
      </w:r>
      <w:r>
        <w:rPr>
          <w:rFonts w:hint="cs"/>
          <w:rtl/>
        </w:rPr>
        <w:t xml:space="preserve">העצם הטבעי. </w:t>
      </w:r>
    </w:p>
  </w:footnote>
  <w:footnote w:id="750">
    <w:p w14:paraId="29DB915D" w14:textId="1BE95EEB" w:rsidR="009B53A3" w:rsidRDefault="009B53A3">
      <w:pPr>
        <w:pStyle w:val="FootnoteText"/>
      </w:pPr>
      <w:r>
        <w:rPr>
          <w:rStyle w:val="FootnoteReference"/>
        </w:rPr>
        <w:footnoteRef/>
      </w:r>
      <w:r>
        <w:rPr>
          <w:rtl/>
        </w:rPr>
        <w:t xml:space="preserve"> </w:t>
      </w:r>
      <w:r>
        <w:rPr>
          <w:rFonts w:hint="cs"/>
          <w:rtl/>
        </w:rPr>
        <w:t>הצורה היא חלק מהעצם הטבעי.</w:t>
      </w:r>
    </w:p>
  </w:footnote>
  <w:footnote w:id="751">
    <w:p w14:paraId="1E61CA1B" w14:textId="2709CD81" w:rsidR="006031E6" w:rsidRDefault="00422C8C">
      <w:pPr>
        <w:pStyle w:val="FootnoteText"/>
        <w:rPr>
          <w:rtl/>
        </w:rPr>
      </w:pPr>
      <w:r>
        <w:rPr>
          <w:rStyle w:val="FootnoteReference"/>
        </w:rPr>
        <w:footnoteRef/>
      </w:r>
      <w:r>
        <w:rPr>
          <w:rtl/>
        </w:rPr>
        <w:t xml:space="preserve"> </w:t>
      </w:r>
      <w:r w:rsidR="00F7786C">
        <w:rPr>
          <w:rFonts w:hint="cs"/>
          <w:rtl/>
        </w:rPr>
        <w:t xml:space="preserve">הצורה היא חלק כזה מהעצם הטבעי שהוא החלק שמחייב שהעצם קיים בפועל. </w:t>
      </w:r>
      <w:r w:rsidR="00E41C26">
        <w:rPr>
          <w:rFonts w:hint="cs"/>
          <w:rtl/>
        </w:rPr>
        <w:t>עיין לפי האינדקס</w:t>
      </w:r>
      <w:r w:rsidR="006031E6">
        <w:rPr>
          <w:rFonts w:hint="cs"/>
          <w:rtl/>
        </w:rPr>
        <w:t>, במקומות</w:t>
      </w:r>
      <w:r w:rsidR="00E41C26">
        <w:rPr>
          <w:rFonts w:hint="cs"/>
          <w:rtl/>
        </w:rPr>
        <w:t xml:space="preserve"> שהתבאר בספר זה לעיל</w:t>
      </w:r>
      <w:r w:rsidR="00F7786C">
        <w:rPr>
          <w:rFonts w:hint="cs"/>
          <w:rtl/>
        </w:rPr>
        <w:t>,</w:t>
      </w:r>
      <w:r w:rsidR="00E41C26">
        <w:rPr>
          <w:rFonts w:hint="cs"/>
          <w:rtl/>
        </w:rPr>
        <w:t xml:space="preserve"> </w:t>
      </w:r>
      <w:r w:rsidR="00F7786C">
        <w:rPr>
          <w:rFonts w:hint="cs"/>
          <w:rtl/>
        </w:rPr>
        <w:t xml:space="preserve">על </w:t>
      </w:r>
      <w:r w:rsidR="00E41C26">
        <w:rPr>
          <w:rFonts w:hint="cs"/>
          <w:rtl/>
        </w:rPr>
        <w:t>החילוק בין התחלה לסיבה.</w:t>
      </w:r>
    </w:p>
    <w:p w14:paraId="6A7BE834" w14:textId="4640BE5E" w:rsidR="00656EC3" w:rsidRDefault="00A067AF">
      <w:pPr>
        <w:pStyle w:val="FootnoteText"/>
        <w:rPr>
          <w:rtl/>
        </w:rPr>
      </w:pPr>
      <w:r>
        <w:rPr>
          <w:rFonts w:hint="cs"/>
          <w:rtl/>
        </w:rPr>
        <w:t xml:space="preserve">אחזור </w:t>
      </w:r>
      <w:r w:rsidR="006031E6">
        <w:rPr>
          <w:rFonts w:hint="cs"/>
          <w:rtl/>
        </w:rPr>
        <w:t>בקיצור</w:t>
      </w:r>
      <w:r>
        <w:rPr>
          <w:rFonts w:hint="cs"/>
          <w:rtl/>
        </w:rPr>
        <w:t xml:space="preserve"> גדול:</w:t>
      </w:r>
      <w:r w:rsidR="006031E6">
        <w:rPr>
          <w:rFonts w:hint="cs"/>
          <w:rtl/>
        </w:rPr>
        <w:t xml:space="preserve"> </w:t>
      </w:r>
      <w:r w:rsidR="0052121A">
        <w:rPr>
          <w:rFonts w:hint="cs"/>
          <w:rtl/>
        </w:rPr>
        <w:t>אדם צורתו היא 'חי מדבר', זה סיבתו הצורנית, הסוג 'חי' הוא הסיבה</w:t>
      </w:r>
      <w:r w:rsidR="003F18DD">
        <w:rPr>
          <w:rFonts w:hint="cs"/>
          <w:rtl/>
        </w:rPr>
        <w:t xml:space="preserve"> הצורנית</w:t>
      </w:r>
      <w:r w:rsidR="0052121A">
        <w:rPr>
          <w:rFonts w:hint="cs"/>
          <w:rtl/>
        </w:rPr>
        <w:t xml:space="preserve"> בכללותה ו'חי מדבר' הוא אופן פרטי בתוך הסוג. </w:t>
      </w:r>
      <w:r w:rsidR="003F18DD">
        <w:rPr>
          <w:rFonts w:hint="cs"/>
          <w:rtl/>
        </w:rPr>
        <w:t>אצל אדם שקיים בעולם הטבעי 'חי' הוא צורה ולא התחלה. ה</w:t>
      </w:r>
      <w:r w:rsidR="00656EC3">
        <w:rPr>
          <w:rFonts w:hint="cs"/>
          <w:rtl/>
        </w:rPr>
        <w:t>'</w:t>
      </w:r>
      <w:r w:rsidR="003F18DD">
        <w:rPr>
          <w:rFonts w:hint="cs"/>
          <w:rtl/>
        </w:rPr>
        <w:t>התחלה</w:t>
      </w:r>
      <w:r w:rsidR="00656EC3">
        <w:rPr>
          <w:rFonts w:hint="cs"/>
          <w:rtl/>
        </w:rPr>
        <w:t>'</w:t>
      </w:r>
      <w:r w:rsidR="003F18DD">
        <w:rPr>
          <w:rFonts w:hint="cs"/>
          <w:rtl/>
        </w:rPr>
        <w:t xml:space="preserve"> היא 'חיים' באופן כללי, חיים מופשטים לגמרי, שאין להם שום הגדרה</w:t>
      </w:r>
      <w:r w:rsidR="00AB221D">
        <w:rPr>
          <w:rFonts w:hint="cs"/>
          <w:rtl/>
        </w:rPr>
        <w:t>, הם גילוי של הבורא המופשט בעצמו</w:t>
      </w:r>
      <w:r w:rsidR="00815AC6">
        <w:rPr>
          <w:rFonts w:hint="cs"/>
          <w:rtl/>
        </w:rPr>
        <w:t>,</w:t>
      </w:r>
      <w:r w:rsidR="00AB221D">
        <w:rPr>
          <w:rFonts w:hint="cs"/>
          <w:rtl/>
        </w:rPr>
        <w:t xml:space="preserve"> כמו </w:t>
      </w:r>
      <w:r w:rsidR="001978F2">
        <w:rPr>
          <w:rFonts w:hint="cs"/>
          <w:rtl/>
        </w:rPr>
        <w:t xml:space="preserve">שכתב המורה נבוכים א' נ"ג על התארים </w:t>
      </w:r>
      <w:r w:rsidR="00D040AA">
        <w:rPr>
          <w:rFonts w:hint="cs"/>
          <w:rtl/>
        </w:rPr>
        <w:t>'</w:t>
      </w:r>
      <w:r w:rsidR="001978F2">
        <w:rPr>
          <w:rFonts w:hint="cs"/>
          <w:rtl/>
        </w:rPr>
        <w:t>חי</w:t>
      </w:r>
      <w:r w:rsidR="00D040AA">
        <w:rPr>
          <w:rFonts w:hint="cs"/>
          <w:rtl/>
        </w:rPr>
        <w:t>'</w:t>
      </w:r>
      <w:r w:rsidR="001978F2">
        <w:rPr>
          <w:rFonts w:hint="cs"/>
          <w:rtl/>
        </w:rPr>
        <w:t xml:space="preserve"> </w:t>
      </w:r>
      <w:r w:rsidR="00D040AA">
        <w:rPr>
          <w:rFonts w:hint="cs"/>
          <w:rtl/>
        </w:rPr>
        <w:t>'</w:t>
      </w:r>
      <w:r w:rsidR="001978F2">
        <w:rPr>
          <w:rFonts w:hint="cs"/>
          <w:rtl/>
        </w:rPr>
        <w:t>חכם</w:t>
      </w:r>
      <w:r w:rsidR="00D040AA">
        <w:rPr>
          <w:rFonts w:hint="cs"/>
          <w:rtl/>
        </w:rPr>
        <w:t>'</w:t>
      </w:r>
      <w:r w:rsidR="001978F2">
        <w:rPr>
          <w:rFonts w:hint="cs"/>
          <w:rtl/>
        </w:rPr>
        <w:t xml:space="preserve"> </w:t>
      </w:r>
      <w:r w:rsidR="00D040AA">
        <w:rPr>
          <w:rFonts w:hint="cs"/>
          <w:rtl/>
        </w:rPr>
        <w:t>'</w:t>
      </w:r>
      <w:r w:rsidR="001978F2">
        <w:rPr>
          <w:rFonts w:hint="cs"/>
          <w:rtl/>
        </w:rPr>
        <w:t>יכול</w:t>
      </w:r>
      <w:r w:rsidR="00D040AA">
        <w:rPr>
          <w:rFonts w:hint="cs"/>
          <w:rtl/>
        </w:rPr>
        <w:t>'</w:t>
      </w:r>
      <w:r w:rsidR="001978F2">
        <w:rPr>
          <w:rFonts w:hint="cs"/>
          <w:rtl/>
        </w:rPr>
        <w:t xml:space="preserve"> ו</w:t>
      </w:r>
      <w:r w:rsidR="00D040AA">
        <w:rPr>
          <w:rFonts w:hint="cs"/>
          <w:rtl/>
        </w:rPr>
        <w:t>'</w:t>
      </w:r>
      <w:r w:rsidR="001978F2">
        <w:rPr>
          <w:rFonts w:hint="cs"/>
          <w:rtl/>
        </w:rPr>
        <w:t>רוצה</w:t>
      </w:r>
      <w:r w:rsidR="00D040AA">
        <w:rPr>
          <w:rFonts w:hint="cs"/>
          <w:rtl/>
        </w:rPr>
        <w:t>'</w:t>
      </w:r>
      <w:r w:rsidR="001978F2">
        <w:rPr>
          <w:rFonts w:hint="cs"/>
          <w:rtl/>
        </w:rPr>
        <w:t xml:space="preserve"> שלפי האמת כולם גילויים של עצמו</w:t>
      </w:r>
      <w:r w:rsidR="00815AC6">
        <w:rPr>
          <w:rFonts w:hint="cs"/>
          <w:rtl/>
        </w:rPr>
        <w:t>ת</w:t>
      </w:r>
      <w:r w:rsidR="001978F2">
        <w:rPr>
          <w:rFonts w:hint="cs"/>
          <w:rtl/>
        </w:rPr>
        <w:t xml:space="preserve"> הבורא המופשטת, וזה </w:t>
      </w:r>
      <w:r w:rsidR="00AB221D">
        <w:rPr>
          <w:rFonts w:hint="cs"/>
          <w:rtl/>
        </w:rPr>
        <w:t xml:space="preserve">התבאר </w:t>
      </w:r>
      <w:r w:rsidR="001978F2">
        <w:rPr>
          <w:rFonts w:hint="cs"/>
          <w:rtl/>
        </w:rPr>
        <w:t xml:space="preserve">היטב </w:t>
      </w:r>
      <w:r w:rsidR="00AB221D">
        <w:rPr>
          <w:rFonts w:hint="cs"/>
          <w:rtl/>
        </w:rPr>
        <w:t>ב"אדם חי"</w:t>
      </w:r>
      <w:r w:rsidR="00AB221D">
        <w:rPr>
          <w:rFonts w:hint="cs"/>
        </w:rPr>
        <w:t xml:space="preserve"> </w:t>
      </w:r>
      <w:hyperlink r:id="rId145" w:history="1">
        <w:r w:rsidR="00AB221D" w:rsidRPr="00464831">
          <w:rPr>
            <w:rStyle w:val="Hyperlink"/>
            <w:rFonts w:hint="cs"/>
            <w:rtl/>
          </w:rPr>
          <w:t xml:space="preserve">רשימה </w:t>
        </w:r>
        <w:r w:rsidR="00464831" w:rsidRPr="00464831">
          <w:rPr>
            <w:rStyle w:val="Hyperlink"/>
            <w:rFonts w:hint="cs"/>
            <w:rtl/>
          </w:rPr>
          <w:t>314</w:t>
        </w:r>
      </w:hyperlink>
      <w:r w:rsidR="003F18DD">
        <w:rPr>
          <w:rFonts w:hint="cs"/>
          <w:rtl/>
        </w:rPr>
        <w:t>.</w:t>
      </w:r>
    </w:p>
    <w:p w14:paraId="3A5D8F66" w14:textId="77777777" w:rsidR="008B4CA0" w:rsidRDefault="00656EC3" w:rsidP="009F4EF5">
      <w:pPr>
        <w:pStyle w:val="FootnoteText"/>
        <w:rPr>
          <w:rtl/>
        </w:rPr>
      </w:pPr>
      <w:r>
        <w:rPr>
          <w:rFonts w:hint="cs"/>
          <w:rtl/>
        </w:rPr>
        <w:t>ה'התחלה' נעשית 'סיבה' כשדבר ש</w:t>
      </w:r>
      <w:r w:rsidR="006A1A4E">
        <w:rPr>
          <w:rFonts w:hint="cs"/>
          <w:rtl/>
        </w:rPr>
        <w:t>נובע מההתחלה</w:t>
      </w:r>
      <w:r w:rsidR="0010297C">
        <w:rPr>
          <w:rFonts w:hint="cs"/>
          <w:rtl/>
        </w:rPr>
        <w:t>, קשור בה,</w:t>
      </w:r>
      <w:r w:rsidR="006A1A4E">
        <w:rPr>
          <w:rFonts w:hint="cs"/>
          <w:rtl/>
        </w:rPr>
        <w:t xml:space="preserve"> </w:t>
      </w:r>
      <w:r w:rsidR="0010297C">
        <w:rPr>
          <w:rFonts w:hint="cs"/>
          <w:rtl/>
        </w:rPr>
        <w:t xml:space="preserve">משקף אותה, </w:t>
      </w:r>
      <w:r w:rsidR="006A1A4E">
        <w:rPr>
          <w:rFonts w:hint="cs"/>
          <w:rtl/>
        </w:rPr>
        <w:t xml:space="preserve">נעשה </w:t>
      </w:r>
      <w:r w:rsidR="0010297C">
        <w:rPr>
          <w:rFonts w:hint="cs"/>
          <w:rtl/>
        </w:rPr>
        <w:t>צורה</w:t>
      </w:r>
      <w:r w:rsidR="006A1A4E">
        <w:rPr>
          <w:rFonts w:hint="cs"/>
          <w:rtl/>
        </w:rPr>
        <w:t xml:space="preserve"> לגוף טבעי</w:t>
      </w:r>
      <w:r w:rsidR="0010297C">
        <w:rPr>
          <w:rFonts w:hint="cs"/>
          <w:rtl/>
        </w:rPr>
        <w:t xml:space="preserve"> וקובעת את מהותו</w:t>
      </w:r>
      <w:r w:rsidR="006A1A4E">
        <w:rPr>
          <w:rFonts w:hint="cs"/>
          <w:rtl/>
        </w:rPr>
        <w:t xml:space="preserve">. במקרה של 'חיים' זהו גוף כמו אדם (או סוס). </w:t>
      </w:r>
      <w:r w:rsidR="0010297C">
        <w:rPr>
          <w:rFonts w:hint="cs"/>
          <w:rtl/>
        </w:rPr>
        <w:t>הצורה היא סיבה למציאות גוף</w:t>
      </w:r>
      <w:r w:rsidR="00815AC6">
        <w:rPr>
          <w:rFonts w:hint="cs"/>
          <w:rtl/>
        </w:rPr>
        <w:t xml:space="preserve"> ו</w:t>
      </w:r>
      <w:r w:rsidR="00503B4F">
        <w:rPr>
          <w:rFonts w:hint="cs"/>
          <w:rtl/>
        </w:rPr>
        <w:t xml:space="preserve">לכן היא </w:t>
      </w:r>
      <w:r w:rsidR="00815AC6">
        <w:rPr>
          <w:rFonts w:hint="cs"/>
          <w:rtl/>
        </w:rPr>
        <w:t xml:space="preserve">כבר מצומצמת מכדי להיקרא התחלה. </w:t>
      </w:r>
      <w:r w:rsidR="00D040AA">
        <w:rPr>
          <w:rFonts w:hint="cs"/>
          <w:rtl/>
        </w:rPr>
        <w:t>מה ש'התחלה' שהיא גילוי של עצמות הבורא המופשט, נעשית סיבה צורנית של עצם חומרי</w:t>
      </w:r>
      <w:r w:rsidR="00503B4F">
        <w:rPr>
          <w:rFonts w:hint="cs"/>
          <w:rtl/>
        </w:rPr>
        <w:t>,</w:t>
      </w:r>
      <w:r w:rsidR="00B62EB3">
        <w:rPr>
          <w:rFonts w:hint="cs"/>
          <w:rtl/>
        </w:rPr>
        <w:t xml:space="preserve"> הצד שנגזר מההתחלה ומתחבר עם החומר, אותו חיבור עם החומר</w:t>
      </w:r>
      <w:r w:rsidR="00503B4F">
        <w:rPr>
          <w:rFonts w:hint="cs"/>
          <w:rtl/>
        </w:rPr>
        <w:t xml:space="preserve"> זה עצם נקודת הצמצום</w:t>
      </w:r>
      <w:r w:rsidR="009B53A3">
        <w:rPr>
          <w:rFonts w:hint="cs"/>
          <w:rtl/>
        </w:rPr>
        <w:t xml:space="preserve"> של בריאת העולם הטבעי</w:t>
      </w:r>
      <w:r w:rsidR="00C165CF">
        <w:rPr>
          <w:rFonts w:hint="cs"/>
          <w:rtl/>
        </w:rPr>
        <w:t>.</w:t>
      </w:r>
    </w:p>
    <w:p w14:paraId="501FA371" w14:textId="0167A351" w:rsidR="009F4EF5" w:rsidRDefault="00AC04B0" w:rsidP="009F4EF5">
      <w:pPr>
        <w:pStyle w:val="FootnoteText"/>
      </w:pPr>
      <w:r>
        <w:rPr>
          <w:rFonts w:hint="cs"/>
          <w:rtl/>
        </w:rPr>
        <w:t>(</w:t>
      </w:r>
      <w:r w:rsidR="008B4CA0">
        <w:rPr>
          <w:rFonts w:hint="cs"/>
          <w:rtl/>
        </w:rPr>
        <w:t xml:space="preserve">החומר </w:t>
      </w:r>
      <w:r w:rsidR="00F81E7A">
        <w:rPr>
          <w:rFonts w:hint="cs"/>
          <w:rtl/>
        </w:rPr>
        <w:t xml:space="preserve">גורם למציאות הצורה בכח, למשל גוש השיש, שהוא החומר, גורם שיש אפשרות לגלף את הפסל דוד של מיכלאנג'לו. הגילוף </w:t>
      </w:r>
      <w:r w:rsidR="00E83926">
        <w:rPr>
          <w:rFonts w:hint="cs"/>
          <w:rtl/>
        </w:rPr>
        <w:t xml:space="preserve">של האופן </w:t>
      </w:r>
      <w:r w:rsidR="00F81E7A">
        <w:rPr>
          <w:rFonts w:hint="cs"/>
          <w:rtl/>
        </w:rPr>
        <w:t xml:space="preserve">הוא </w:t>
      </w:r>
      <w:r w:rsidR="00E83926">
        <w:rPr>
          <w:rFonts w:hint="cs"/>
          <w:rtl/>
        </w:rPr>
        <w:t>הסרת השיש המיותר, שזה מצייר את גבולות צורת הפסל, והצורה גורמת שהפסל קיים בפועל.</w:t>
      </w:r>
      <w:r>
        <w:rPr>
          <w:rFonts w:hint="cs"/>
          <w:rtl/>
        </w:rPr>
        <w:t>)</w:t>
      </w:r>
      <w:r w:rsidR="00E83926">
        <w:rPr>
          <w:rFonts w:hint="cs"/>
          <w:rtl/>
        </w:rPr>
        <w:t xml:space="preserve">  </w:t>
      </w:r>
      <w:r w:rsidR="00F81E7A">
        <w:rPr>
          <w:rFonts w:hint="cs"/>
          <w:rtl/>
        </w:rPr>
        <w:t xml:space="preserve"> </w:t>
      </w:r>
      <w:r w:rsidR="0098150D">
        <w:rPr>
          <w:rFonts w:hint="cs"/>
          <w:rtl/>
        </w:rPr>
        <w:t xml:space="preserve"> </w:t>
      </w:r>
    </w:p>
  </w:footnote>
  <w:footnote w:id="752">
    <w:p w14:paraId="04296F2F" w14:textId="24291E39" w:rsidR="0098150D" w:rsidRPr="001474DA" w:rsidRDefault="0098150D">
      <w:pPr>
        <w:pStyle w:val="FootnoteText"/>
        <w:rPr>
          <w:rtl/>
        </w:rPr>
      </w:pPr>
      <w:r>
        <w:rPr>
          <w:rStyle w:val="FootnoteReference"/>
        </w:rPr>
        <w:footnoteRef/>
      </w:r>
      <w:r>
        <w:rPr>
          <w:rtl/>
        </w:rPr>
        <w:t xml:space="preserve"> </w:t>
      </w:r>
      <w:r w:rsidR="001474DA">
        <w:rPr>
          <w:rFonts w:hint="cs"/>
          <w:rtl/>
        </w:rPr>
        <w:t>ב</w:t>
      </w:r>
      <w:r w:rsidR="0085238C">
        <w:rPr>
          <w:rFonts w:hint="cs"/>
          <w:rtl/>
        </w:rPr>
        <w:t>לקסיקון</w:t>
      </w:r>
      <w:r w:rsidR="001474DA">
        <w:rPr>
          <w:rFonts w:hint="cs"/>
          <w:rtl/>
        </w:rPr>
        <w:t xml:space="preserve"> של האתר</w:t>
      </w:r>
      <w:r w:rsidR="0085238C">
        <w:rPr>
          <w:rFonts w:hint="cs"/>
          <w:rtl/>
        </w:rPr>
        <w:t xml:space="preserve"> </w:t>
      </w:r>
      <w:hyperlink r:id="rId146" w:history="1">
        <w:r w:rsidR="0085238C" w:rsidRPr="003D3013">
          <w:rPr>
            <w:rStyle w:val="Hyperlink"/>
          </w:rPr>
          <w:t>www.muslimphilosophy.com</w:t>
        </w:r>
      </w:hyperlink>
      <w:r w:rsidR="0085238C">
        <w:rPr>
          <w:rFonts w:hint="cs"/>
          <w:rtl/>
        </w:rPr>
        <w:t xml:space="preserve"> </w:t>
      </w:r>
      <w:r w:rsidR="001474DA">
        <w:rPr>
          <w:rFonts w:hint="cs"/>
          <w:rtl/>
        </w:rPr>
        <w:t>כתוב על הערך</w:t>
      </w:r>
      <w:r w:rsidR="001474DA" w:rsidRPr="001474DA">
        <w:rPr>
          <w:rtl/>
        </w:rPr>
        <w:t xml:space="preserve"> </w:t>
      </w:r>
      <w:r w:rsidR="001474DA" w:rsidRPr="001474DA">
        <w:rPr>
          <w:rFonts w:ascii="Arial" w:hAnsi="Arial" w:cs="Arial" w:hint="cs"/>
          <w:rtl/>
          <w:lang w:bidi="ar-SA"/>
        </w:rPr>
        <w:t>هو</w:t>
      </w:r>
      <w:r w:rsidR="001474DA" w:rsidRPr="001474DA">
        <w:rPr>
          <w:rtl/>
          <w:lang w:bidi="ar-SA"/>
        </w:rPr>
        <w:t xml:space="preserve"> </w:t>
      </w:r>
      <w:r w:rsidR="001474DA" w:rsidRPr="001474DA">
        <w:rPr>
          <w:rFonts w:ascii="Arial" w:hAnsi="Arial" w:cs="Arial" w:hint="cs"/>
          <w:rtl/>
          <w:lang w:bidi="ar-SA"/>
        </w:rPr>
        <w:t>هو</w:t>
      </w:r>
      <w:r w:rsidR="001474DA" w:rsidRPr="001474DA">
        <w:rPr>
          <w:rtl/>
        </w:rPr>
        <w:t xml:space="preserve"> (הוא הוא):</w:t>
      </w:r>
    </w:p>
    <w:p w14:paraId="533CDACA" w14:textId="47431316" w:rsidR="001474DA" w:rsidRDefault="001474DA" w:rsidP="001474DA">
      <w:pPr>
        <w:pStyle w:val="FootnoteText"/>
        <w:bidi w:val="0"/>
        <w:rPr>
          <w:rtl/>
        </w:rPr>
      </w:pPr>
      <w:r>
        <w:rPr>
          <w:rFonts w:hint="cs"/>
          <w:rtl/>
        </w:rPr>
        <w:t>"</w:t>
      </w:r>
      <w:r w:rsidRPr="001474DA">
        <w:t>Lit. "he is he" or "it is it"; in logic it means that everything is identical with itself or that everything is what it is and not anything else: A is A and not B. In tasawwuf (Islamic mysticism) it represents that spiritual state of the mystic which testifies to the presence of God to everything and thus establishes the manifestation of divine unity in the world</w:t>
      </w:r>
      <w:r w:rsidRPr="001474DA">
        <w:rPr>
          <w:rtl/>
        </w:rPr>
        <w:t>.</w:t>
      </w:r>
      <w:r>
        <w:rPr>
          <w:rFonts w:hint="cs"/>
          <w:rtl/>
        </w:rPr>
        <w:t>"</w:t>
      </w:r>
    </w:p>
    <w:p w14:paraId="734012AC" w14:textId="0B0D292D" w:rsidR="000E0C52" w:rsidRDefault="00773742" w:rsidP="00773742">
      <w:pPr>
        <w:pStyle w:val="FootnoteText"/>
      </w:pPr>
      <w:r>
        <w:rPr>
          <w:rFonts w:hint="cs"/>
          <w:rtl/>
        </w:rPr>
        <w:t>ב</w:t>
      </w:r>
      <w:r w:rsidR="000E0C52">
        <w:rPr>
          <w:rFonts w:hint="cs"/>
          <w:rtl/>
        </w:rPr>
        <w:t xml:space="preserve">מורה נבוכים א' א' </w:t>
      </w:r>
      <w:r>
        <w:rPr>
          <w:rFonts w:hint="cs"/>
          <w:rtl/>
        </w:rPr>
        <w:t xml:space="preserve">כתב: </w:t>
      </w:r>
      <w:r w:rsidRPr="00773742">
        <w:rPr>
          <w:rtl/>
        </w:rPr>
        <w:t>הצורה הטבעית</w:t>
      </w:r>
      <w:r>
        <w:rPr>
          <w:rFonts w:hint="cs"/>
          <w:rtl/>
        </w:rPr>
        <w:t xml:space="preserve"> -</w:t>
      </w:r>
      <w:r w:rsidRPr="00773742">
        <w:rPr>
          <w:rtl/>
        </w:rPr>
        <w:t xml:space="preserve"> ר</w:t>
      </w:r>
      <w:r>
        <w:rPr>
          <w:rFonts w:hint="cs"/>
          <w:rtl/>
        </w:rPr>
        <w:t>וצה לומר</w:t>
      </w:r>
      <w:r w:rsidRPr="00773742">
        <w:rPr>
          <w:rtl/>
        </w:rPr>
        <w:t xml:space="preserve"> העניין אשר בו נתעצם הדבר והיה מה שהוא, והוא אמ</w:t>
      </w:r>
      <w:r>
        <w:rPr>
          <w:rFonts w:hint="cs"/>
          <w:rtl/>
        </w:rPr>
        <w:t>י</w:t>
      </w:r>
      <w:r w:rsidRPr="00773742">
        <w:rPr>
          <w:rtl/>
        </w:rPr>
        <w:t>תתו מאשר הוא הנמצא ההוא</w:t>
      </w:r>
      <w:r>
        <w:rPr>
          <w:rFonts w:hint="cs"/>
          <w:rtl/>
        </w:rPr>
        <w:t xml:space="preserve">. </w:t>
      </w:r>
    </w:p>
  </w:footnote>
  <w:footnote w:id="753">
    <w:p w14:paraId="08CFAAF4" w14:textId="77777777" w:rsidR="000D3D2E" w:rsidRDefault="00DA2C53">
      <w:pPr>
        <w:pStyle w:val="FootnoteText"/>
        <w:rPr>
          <w:rtl/>
        </w:rPr>
      </w:pPr>
      <w:r>
        <w:rPr>
          <w:rStyle w:val="FootnoteReference"/>
        </w:rPr>
        <w:footnoteRef/>
      </w:r>
      <w:r>
        <w:rPr>
          <w:rtl/>
        </w:rPr>
        <w:t xml:space="preserve"> </w:t>
      </w:r>
      <w:r w:rsidR="00E5640D">
        <w:rPr>
          <w:rFonts w:hint="cs"/>
          <w:rtl/>
        </w:rPr>
        <w:t xml:space="preserve">יש ארבעה מיני סיבות </w:t>
      </w:r>
      <w:r w:rsidR="00286C94">
        <w:rPr>
          <w:rFonts w:hint="cs"/>
          <w:rtl/>
        </w:rPr>
        <w:t>לקיום העצם החומרי: הצורה והחומר, ה</w:t>
      </w:r>
      <w:r w:rsidR="00E440E8" w:rsidRPr="00E440E8">
        <w:rPr>
          <w:rtl/>
        </w:rPr>
        <w:t>פּוֹעֵל</w:t>
      </w:r>
      <w:r w:rsidR="00286C94">
        <w:rPr>
          <w:rFonts w:hint="cs"/>
          <w:rtl/>
        </w:rPr>
        <w:t xml:space="preserve"> והתכלית. </w:t>
      </w:r>
      <w:r w:rsidR="00E440E8">
        <w:rPr>
          <w:rFonts w:hint="cs"/>
          <w:rtl/>
        </w:rPr>
        <w:t>הצורה והחומר הם סיבות למהות העצם, והפועל והתכלית הם סיבות למציאותו (עיין במורה נבוכים א' נ"ז ש</w:t>
      </w:r>
      <w:r w:rsidR="00A24CCE">
        <w:rPr>
          <w:rFonts w:hint="cs"/>
          <w:rtl/>
        </w:rPr>
        <w:t>המהות אין לה מציאות מכח עצמה אלא מציאותה באה לה מבחוץ לה ולכן היא מקרה לה. לענייננו חשובה ההבחנה שמהות ומציאות הם שני עניינים, וכא</w:t>
      </w:r>
      <w:r w:rsidR="00C26CB2">
        <w:rPr>
          <w:rFonts w:hint="cs"/>
          <w:rtl/>
        </w:rPr>
        <w:t>ן אין עניין המציאות שייך לדיון</w:t>
      </w:r>
      <w:r w:rsidR="00A24CCE">
        <w:rPr>
          <w:rFonts w:hint="cs"/>
          <w:rtl/>
        </w:rPr>
        <w:t>)</w:t>
      </w:r>
      <w:r w:rsidR="00C26CB2">
        <w:rPr>
          <w:rFonts w:hint="cs"/>
          <w:rtl/>
        </w:rPr>
        <w:t xml:space="preserve">. </w:t>
      </w:r>
      <w:r w:rsidR="004507F5">
        <w:rPr>
          <w:rFonts w:hint="cs"/>
          <w:rtl/>
        </w:rPr>
        <w:t>לכן כשאבן סינא כותב כאן שהצורה שמקיימת את החומר היא מעל מין אחר, והכוונה מין אחר של סיבה, כוונתו שהצורה היא מעל החומר, שגם החומר נחשב סיבה למציאות העצם.</w:t>
      </w:r>
    </w:p>
    <w:p w14:paraId="54586B6A" w14:textId="174095E5" w:rsidR="00DA2C53" w:rsidRDefault="000D3D2E">
      <w:pPr>
        <w:pStyle w:val="FootnoteText"/>
      </w:pPr>
      <w:r>
        <w:rPr>
          <w:rFonts w:hint="cs"/>
          <w:rtl/>
        </w:rPr>
        <w:t>החומר הוא סיבה למציאותה עצם והוא גם סיבה למציאותה צורה, כי בלי החומר הצורה</w:t>
      </w:r>
      <w:r w:rsidR="005118BB">
        <w:rPr>
          <w:rFonts w:hint="cs"/>
          <w:rtl/>
        </w:rPr>
        <w:t xml:space="preserve"> </w:t>
      </w:r>
      <w:r>
        <w:rPr>
          <w:rFonts w:hint="cs"/>
          <w:rtl/>
        </w:rPr>
        <w:t>לא יכולה להתקיים בפועל בעולם הטבעי ש</w:t>
      </w:r>
      <w:r w:rsidR="00CF5544">
        <w:rPr>
          <w:rFonts w:hint="cs"/>
          <w:rtl/>
        </w:rPr>
        <w:t xml:space="preserve">בו מציאות מוגדרת כצורה שהיא בחומר (העצם הטבעי) ולא כצורה מופשטת. </w:t>
      </w:r>
      <w:r w:rsidR="005118BB">
        <w:rPr>
          <w:rFonts w:hint="cs"/>
          <w:rtl/>
        </w:rPr>
        <w:t>כלומר צורת סוס בלי חומר אין לה מציאות בעולם הטבעי, ומכח החומר יש לה מציאות בעולם הטבעי</w:t>
      </w:r>
      <w:r w:rsidR="004A21FE">
        <w:rPr>
          <w:rFonts w:hint="cs"/>
          <w:rtl/>
        </w:rPr>
        <w:t>, ומבחינה זו החומר מקיים את הצורה. מצד שני מה שאין בו צורה אין לו מציאות</w:t>
      </w:r>
      <w:r w:rsidR="00D31EFD">
        <w:rPr>
          <w:rFonts w:hint="cs"/>
          <w:rtl/>
        </w:rPr>
        <w:t>, כי אין לו מהות, אין כאן מה שיהיה נמצא, כי חומר לחוד אינו משהו מסוים מוגדר,</w:t>
      </w:r>
      <w:r w:rsidR="004A21FE">
        <w:rPr>
          <w:rFonts w:hint="cs"/>
          <w:rtl/>
        </w:rPr>
        <w:t xml:space="preserve"> ו</w:t>
      </w:r>
      <w:r w:rsidR="00D31EFD">
        <w:rPr>
          <w:rFonts w:hint="cs"/>
          <w:rtl/>
        </w:rPr>
        <w:t xml:space="preserve">לכן </w:t>
      </w:r>
      <w:r w:rsidR="004A21FE">
        <w:rPr>
          <w:rFonts w:hint="cs"/>
          <w:rtl/>
        </w:rPr>
        <w:t xml:space="preserve">הצורה מקיימת את החומר. </w:t>
      </w:r>
      <w:r w:rsidR="001E6C5D">
        <w:rPr>
          <w:rFonts w:hint="cs"/>
          <w:rtl/>
        </w:rPr>
        <w:t>אף על פי כן אין שוויון בין הצורה לחומר, אלא הצד שהצורה מקיימת את החומר הוא מעל הצד שהחומר מקיים את הצורה. עניין זה התבאר יותר בהתחלות הנמצאות מאת אלפראבי</w:t>
      </w:r>
      <w:r w:rsidR="002E151A">
        <w:rPr>
          <w:rFonts w:hint="cs"/>
          <w:rtl/>
        </w:rPr>
        <w:t xml:space="preserve">, </w:t>
      </w:r>
      <w:hyperlink r:id="rId147" w:history="1">
        <w:r w:rsidR="002E151A" w:rsidRPr="002E151A">
          <w:rPr>
            <w:rStyle w:val="Hyperlink"/>
            <w:rFonts w:hint="cs"/>
            <w:rtl/>
          </w:rPr>
          <w:t>כאן</w:t>
        </w:r>
      </w:hyperlink>
      <w:r w:rsidR="002E151A">
        <w:rPr>
          <w:rFonts w:hint="cs"/>
          <w:rtl/>
        </w:rPr>
        <w:t xml:space="preserve"> הנוסח וקצת ביאור עליו</w:t>
      </w:r>
      <w:r w:rsidR="001E6C5D">
        <w:rPr>
          <w:rFonts w:hint="cs"/>
          <w:rtl/>
        </w:rPr>
        <w:t xml:space="preserve">. </w:t>
      </w:r>
      <w:r w:rsidR="005118BB">
        <w:rPr>
          <w:rFonts w:hint="cs"/>
          <w:rtl/>
        </w:rPr>
        <w:t xml:space="preserve"> </w:t>
      </w:r>
      <w:r w:rsidR="004507F5">
        <w:rPr>
          <w:rFonts w:hint="cs"/>
          <w:rtl/>
        </w:rPr>
        <w:t xml:space="preserve"> </w:t>
      </w:r>
    </w:p>
  </w:footnote>
  <w:footnote w:id="754">
    <w:p w14:paraId="5D0B8692" w14:textId="77777777" w:rsidR="000B12A1" w:rsidRDefault="00570EBC">
      <w:pPr>
        <w:pStyle w:val="FootnoteText"/>
        <w:rPr>
          <w:rtl/>
        </w:rPr>
      </w:pPr>
      <w:r>
        <w:rPr>
          <w:rStyle w:val="FootnoteReference"/>
        </w:rPr>
        <w:footnoteRef/>
      </w:r>
      <w:r>
        <w:rPr>
          <w:rFonts w:hint="cs"/>
          <w:rtl/>
        </w:rPr>
        <w:t xml:space="preserve"> זה לפי מה שהתבאר לעיל בסמוך שהמקרים, כלומר תשע הקטגוריות מלבד קטגוריית העצם, נחשבים גם הם צורה.</w:t>
      </w:r>
    </w:p>
    <w:p w14:paraId="36EB9567" w14:textId="72170254" w:rsidR="00570EBC" w:rsidRDefault="000B12A1">
      <w:pPr>
        <w:pStyle w:val="FootnoteText"/>
      </w:pPr>
      <w:r>
        <w:rPr>
          <w:rFonts w:hint="cs"/>
          <w:rtl/>
        </w:rPr>
        <w:t xml:space="preserve">"ענף" כאן הכוונה לכל הדברים הלבנים. </w:t>
      </w:r>
      <w:r w:rsidR="00570EBC">
        <w:rPr>
          <w:rFonts w:hint="cs"/>
          <w:rtl/>
        </w:rPr>
        <w:t xml:space="preserve"> </w:t>
      </w:r>
      <w:r w:rsidR="00570EBC">
        <w:rPr>
          <w:rtl/>
        </w:rPr>
        <w:t xml:space="preserve"> </w:t>
      </w:r>
    </w:p>
  </w:footnote>
  <w:footnote w:id="755">
    <w:p w14:paraId="63808C7C" w14:textId="4AFD15ED" w:rsidR="002E0E56" w:rsidRDefault="009C0A53">
      <w:pPr>
        <w:pStyle w:val="FootnoteText"/>
        <w:rPr>
          <w:rtl/>
        </w:rPr>
      </w:pPr>
      <w:r>
        <w:rPr>
          <w:rStyle w:val="FootnoteReference"/>
        </w:rPr>
        <w:footnoteRef/>
      </w:r>
      <w:r>
        <w:rPr>
          <w:rtl/>
        </w:rPr>
        <w:t xml:space="preserve"> </w:t>
      </w:r>
      <w:r>
        <w:rPr>
          <w:rFonts w:hint="cs"/>
          <w:rtl/>
        </w:rPr>
        <w:t>הצורה היא כח פועל שקובע באופן פעיל את מהות העצם, כמו שנפש קובעת את מהות הגוף בהיותה יסוד פעיל בגוף החי. וכך גם הסיבה הפועלת היא כח פועל ש</w:t>
      </w:r>
      <w:r w:rsidR="003D542B">
        <w:rPr>
          <w:rFonts w:hint="cs"/>
          <w:rtl/>
        </w:rPr>
        <w:t>יוצר את מציאות העצם. החומר גם הוא כח פועל בדרכו, הוא פועל שתהיה קיימת האפשרות שהגוף יתקיים בטבע</w:t>
      </w:r>
      <w:r w:rsidR="00770E69">
        <w:rPr>
          <w:rFonts w:hint="cs"/>
          <w:rtl/>
        </w:rPr>
        <w:t>, זו פעולה סבילה ועדיין היא אופן של פעולה</w:t>
      </w:r>
      <w:r w:rsidR="003D542B">
        <w:rPr>
          <w:rFonts w:hint="cs"/>
          <w:rtl/>
        </w:rPr>
        <w:t>.</w:t>
      </w:r>
      <w:r w:rsidR="00770E69">
        <w:rPr>
          <w:rFonts w:hint="cs"/>
          <w:rtl/>
        </w:rPr>
        <w:t xml:space="preserve"> </w:t>
      </w:r>
      <w:r w:rsidR="004D7131">
        <w:rPr>
          <w:rFonts w:hint="cs"/>
          <w:rtl/>
        </w:rPr>
        <w:t>התכלית אינה</w:t>
      </w:r>
      <w:r w:rsidR="000321B3">
        <w:rPr>
          <w:rFonts w:hint="cs"/>
          <w:rtl/>
        </w:rPr>
        <w:t xml:space="preserve"> </w:t>
      </w:r>
      <w:r w:rsidR="004D7131">
        <w:rPr>
          <w:rFonts w:hint="cs"/>
          <w:rtl/>
        </w:rPr>
        <w:t xml:space="preserve">פעולה בשום מובן, היא רק מחשבה, </w:t>
      </w:r>
      <w:r w:rsidR="000321B3">
        <w:rPr>
          <w:rFonts w:hint="cs"/>
          <w:rtl/>
        </w:rPr>
        <w:t>המחשבה על התכלית מפעיל</w:t>
      </w:r>
      <w:r w:rsidR="00CC70B5">
        <w:rPr>
          <w:rFonts w:hint="cs"/>
          <w:rtl/>
        </w:rPr>
        <w:t>ה</w:t>
      </w:r>
      <w:r w:rsidR="000321B3">
        <w:rPr>
          <w:rFonts w:hint="cs"/>
          <w:rtl/>
        </w:rPr>
        <w:t xml:space="preserve"> את ה</w:t>
      </w:r>
      <w:r w:rsidR="00434801">
        <w:rPr>
          <w:rFonts w:hint="cs"/>
          <w:rtl/>
        </w:rPr>
        <w:t>סיבה ה</w:t>
      </w:r>
      <w:r w:rsidR="000321B3">
        <w:rPr>
          <w:rFonts w:hint="cs"/>
          <w:rtl/>
        </w:rPr>
        <w:t>פועל</w:t>
      </w:r>
      <w:r w:rsidR="00434801">
        <w:rPr>
          <w:rFonts w:hint="cs"/>
          <w:rtl/>
        </w:rPr>
        <w:t>ת</w:t>
      </w:r>
      <w:r w:rsidR="000321B3">
        <w:rPr>
          <w:rFonts w:hint="cs"/>
          <w:rtl/>
        </w:rPr>
        <w:t xml:space="preserve"> ל</w:t>
      </w:r>
      <w:r w:rsidR="00CC70B5">
        <w:rPr>
          <w:rFonts w:hint="cs"/>
          <w:rtl/>
        </w:rPr>
        <w:t>פעול את המציאות של הדבר</w:t>
      </w:r>
      <w:r w:rsidR="00E060CA">
        <w:rPr>
          <w:rFonts w:hint="cs"/>
          <w:rtl/>
        </w:rPr>
        <w:t xml:space="preserve"> שמביא לתכלית</w:t>
      </w:r>
      <w:r w:rsidR="00CC70B5">
        <w:rPr>
          <w:rFonts w:hint="cs"/>
          <w:rtl/>
        </w:rPr>
        <w:t xml:space="preserve">. </w:t>
      </w:r>
      <w:r w:rsidR="00E060CA">
        <w:rPr>
          <w:rFonts w:hint="cs"/>
          <w:rtl/>
        </w:rPr>
        <w:t xml:space="preserve">למשל המחשבה שצריך </w:t>
      </w:r>
      <w:r w:rsidR="00CC1AC9">
        <w:rPr>
          <w:rFonts w:hint="cs"/>
          <w:rtl/>
        </w:rPr>
        <w:t xml:space="preserve">משהו נוח לישון עליו גורמת </w:t>
      </w:r>
      <w:r w:rsidR="003367BB">
        <w:rPr>
          <w:rFonts w:hint="cs"/>
          <w:rtl/>
        </w:rPr>
        <w:t>ל</w:t>
      </w:r>
      <w:r w:rsidR="003367BB" w:rsidRPr="003367BB">
        <w:rPr>
          <w:rtl/>
        </w:rPr>
        <w:t>פּוֹעֵ</w:t>
      </w:r>
      <w:r w:rsidR="00CC1AC9">
        <w:rPr>
          <w:rFonts w:hint="cs"/>
          <w:rtl/>
        </w:rPr>
        <w:t xml:space="preserve">ל, הנגר, לעשות מיטה. המחשבה לחוד לא גורמת למציאות המיטה באופן ישיר. </w:t>
      </w:r>
      <w:r w:rsidR="00CC70B5">
        <w:rPr>
          <w:rFonts w:hint="cs"/>
          <w:rtl/>
        </w:rPr>
        <w:t>לכן</w:t>
      </w:r>
      <w:r w:rsidR="006E06C1">
        <w:rPr>
          <w:rFonts w:hint="cs"/>
          <w:rtl/>
        </w:rPr>
        <w:t xml:space="preserve"> כתב</w:t>
      </w:r>
      <w:r w:rsidR="00CC70B5">
        <w:rPr>
          <w:rFonts w:hint="cs"/>
          <w:rtl/>
        </w:rPr>
        <w:t xml:space="preserve"> כאן אבן סינא</w:t>
      </w:r>
      <w:r w:rsidR="00CC1AC9">
        <w:rPr>
          <w:rFonts w:hint="cs"/>
          <w:rtl/>
        </w:rPr>
        <w:t xml:space="preserve"> שהתכלית היא "מובן". </w:t>
      </w:r>
      <w:r w:rsidR="006E06C1">
        <w:rPr>
          <w:rFonts w:hint="cs"/>
          <w:rtl/>
        </w:rPr>
        <w:t xml:space="preserve">אולי היה צריך לתרגם </w:t>
      </w:r>
      <w:r w:rsidR="002E0E56">
        <w:rPr>
          <w:rFonts w:hint="cs"/>
          <w:rtl/>
        </w:rPr>
        <w:t>כאן '</w:t>
      </w:r>
      <w:r w:rsidR="006E06C1">
        <w:rPr>
          <w:rFonts w:hint="cs"/>
          <w:rtl/>
        </w:rPr>
        <w:t>מחשבה</w:t>
      </w:r>
      <w:r w:rsidR="002E0E56">
        <w:rPr>
          <w:rFonts w:hint="cs"/>
          <w:rtl/>
        </w:rPr>
        <w:t>'</w:t>
      </w:r>
      <w:r w:rsidR="006E06C1">
        <w:rPr>
          <w:rFonts w:hint="cs"/>
          <w:rtl/>
        </w:rPr>
        <w:t xml:space="preserve"> במקום </w:t>
      </w:r>
      <w:r w:rsidR="002E0E56">
        <w:rPr>
          <w:rFonts w:hint="cs"/>
          <w:rtl/>
        </w:rPr>
        <w:t>"</w:t>
      </w:r>
      <w:r w:rsidR="006E06C1">
        <w:rPr>
          <w:rFonts w:hint="cs"/>
          <w:rtl/>
        </w:rPr>
        <w:t>מובן</w:t>
      </w:r>
      <w:r w:rsidR="002E0E56">
        <w:rPr>
          <w:rFonts w:hint="cs"/>
          <w:rtl/>
        </w:rPr>
        <w:t>"</w:t>
      </w:r>
      <w:r w:rsidR="006E06C1">
        <w:rPr>
          <w:rFonts w:hint="cs"/>
          <w:rtl/>
        </w:rPr>
        <w:t>.</w:t>
      </w:r>
    </w:p>
    <w:p w14:paraId="0863AAF8" w14:textId="7CFDAEF2" w:rsidR="009C0A53" w:rsidRDefault="002E0E56" w:rsidP="0071569F">
      <w:pPr>
        <w:pStyle w:val="FootnoteText"/>
      </w:pPr>
      <w:r>
        <w:rPr>
          <w:rFonts w:hint="cs"/>
          <w:rtl/>
        </w:rPr>
        <w:t xml:space="preserve">מונח כאן סוד הצמצום, הבורא הוא המניע של כל המציאות. הוא מניע שאינו מתנועע בעצמו, </w:t>
      </w:r>
      <w:r w:rsidR="00FB69C7">
        <w:rPr>
          <w:rFonts w:hint="cs"/>
          <w:rtl/>
        </w:rPr>
        <w:t xml:space="preserve">כלומר </w:t>
      </w:r>
      <w:r w:rsidR="001F5FA3">
        <w:rPr>
          <w:rFonts w:hint="cs"/>
          <w:rtl/>
        </w:rPr>
        <w:t xml:space="preserve">הוא מניע כסיבה תכליתית </w:t>
      </w:r>
      <w:r w:rsidR="005A127E">
        <w:rPr>
          <w:rFonts w:hint="cs"/>
          <w:rtl/>
        </w:rPr>
        <w:t>(</w:t>
      </w:r>
      <w:r w:rsidR="001F5FA3">
        <w:rPr>
          <w:rFonts w:hint="cs"/>
          <w:rtl/>
        </w:rPr>
        <w:t>כמו שביאר אריסטו במטאפיזיקה</w:t>
      </w:r>
      <w:r w:rsidR="005A127E">
        <w:rPr>
          <w:rFonts w:hint="cs"/>
          <w:rtl/>
        </w:rPr>
        <w:t xml:space="preserve"> </w:t>
      </w:r>
      <w:r w:rsidR="001F5FA3">
        <w:rPr>
          <w:rFonts w:hint="cs"/>
          <w:rtl/>
        </w:rPr>
        <w:t>למבדא</w:t>
      </w:r>
      <w:r w:rsidR="005B24B2">
        <w:rPr>
          <w:rFonts w:hint="cs"/>
          <w:rtl/>
        </w:rPr>
        <w:t xml:space="preserve"> פרק</w:t>
      </w:r>
      <w:r w:rsidR="00746F71">
        <w:rPr>
          <w:rFonts w:hint="cs"/>
          <w:rtl/>
        </w:rPr>
        <w:t>ים</w:t>
      </w:r>
      <w:r w:rsidR="005B24B2">
        <w:rPr>
          <w:rFonts w:hint="cs"/>
          <w:rtl/>
        </w:rPr>
        <w:t xml:space="preserve"> ו'</w:t>
      </w:r>
      <w:r w:rsidR="00746F71">
        <w:rPr>
          <w:rFonts w:hint="cs"/>
          <w:rtl/>
        </w:rPr>
        <w:t>-ז'</w:t>
      </w:r>
      <w:r w:rsidR="005A127E">
        <w:rPr>
          <w:rFonts w:hint="cs"/>
          <w:rtl/>
        </w:rPr>
        <w:t>)</w:t>
      </w:r>
      <w:r w:rsidR="001F5FA3">
        <w:rPr>
          <w:rFonts w:hint="cs"/>
          <w:rtl/>
        </w:rPr>
        <w:t xml:space="preserve">. </w:t>
      </w:r>
      <w:r w:rsidR="00FB69C7">
        <w:rPr>
          <w:rFonts w:hint="cs"/>
          <w:rtl/>
        </w:rPr>
        <w:t xml:space="preserve">סיבה תכליתית יכולה להיות מופשטת לחלוטין, </w:t>
      </w:r>
      <w:r w:rsidR="0091179A">
        <w:rPr>
          <w:rFonts w:hint="cs"/>
          <w:rtl/>
        </w:rPr>
        <w:t xml:space="preserve">מי שמשיג אותה חושק בה ומזה </w:t>
      </w:r>
      <w:r w:rsidR="00EA4D12">
        <w:rPr>
          <w:rFonts w:hint="cs"/>
          <w:rtl/>
        </w:rPr>
        <w:t>נוצרת</w:t>
      </w:r>
      <w:r w:rsidR="0091179A">
        <w:rPr>
          <w:rFonts w:hint="cs"/>
          <w:rtl/>
        </w:rPr>
        <w:t xml:space="preserve"> סיבה פועלת ש</w:t>
      </w:r>
      <w:r w:rsidR="00B73A39">
        <w:rPr>
          <w:rFonts w:hint="cs"/>
          <w:rtl/>
        </w:rPr>
        <w:t xml:space="preserve">גורמת </w:t>
      </w:r>
      <w:r w:rsidR="00EA4D12">
        <w:rPr>
          <w:rFonts w:hint="cs"/>
          <w:rtl/>
        </w:rPr>
        <w:t xml:space="preserve">לתנועה, </w:t>
      </w:r>
      <w:r w:rsidR="00B73A39">
        <w:rPr>
          <w:rFonts w:hint="cs"/>
          <w:rtl/>
        </w:rPr>
        <w:t>שי</w:t>
      </w:r>
      <w:r w:rsidR="00BB3BEC">
        <w:rPr>
          <w:rFonts w:hint="cs"/>
          <w:rtl/>
        </w:rPr>
        <w:t>פעל לנסות</w:t>
      </w:r>
      <w:r w:rsidR="00B73A39">
        <w:rPr>
          <w:rFonts w:hint="cs"/>
          <w:rtl/>
        </w:rPr>
        <w:t xml:space="preserve"> לדבוק בה </w:t>
      </w:r>
      <w:r w:rsidR="00EA4D12">
        <w:rPr>
          <w:rFonts w:hint="cs"/>
          <w:rtl/>
        </w:rPr>
        <w:t>(</w:t>
      </w:r>
      <w:r w:rsidR="00B73A39">
        <w:rPr>
          <w:rFonts w:hint="cs"/>
          <w:rtl/>
        </w:rPr>
        <w:t>כמו שכתב במורה נבוכים ב' ד'</w:t>
      </w:r>
      <w:r w:rsidR="00BB3BEC">
        <w:rPr>
          <w:rFonts w:hint="cs"/>
          <w:rtl/>
        </w:rPr>
        <w:t xml:space="preserve"> על הגלגלים</w:t>
      </w:r>
      <w:r w:rsidR="00EA4D12">
        <w:rPr>
          <w:rFonts w:hint="cs"/>
          <w:rtl/>
        </w:rPr>
        <w:t>)</w:t>
      </w:r>
      <w:r w:rsidR="00B73A39">
        <w:rPr>
          <w:rFonts w:hint="cs"/>
          <w:rtl/>
        </w:rPr>
        <w:t xml:space="preserve">. </w:t>
      </w:r>
      <w:r w:rsidR="00EA4D12">
        <w:rPr>
          <w:rFonts w:hint="cs"/>
          <w:rtl/>
        </w:rPr>
        <w:t xml:space="preserve">המעבר מסיבה לתכליתית לסיבה פועלת הוא המעבר מהאין סוף למוגבל, שזה עניין מעשה מרכבה וצמצום. </w:t>
      </w:r>
    </w:p>
  </w:footnote>
  <w:footnote w:id="756">
    <w:p w14:paraId="5CBBB7FD" w14:textId="101FB775" w:rsidR="00071756" w:rsidRDefault="000D1661">
      <w:pPr>
        <w:pStyle w:val="FootnoteText"/>
        <w:rPr>
          <w:rtl/>
        </w:rPr>
      </w:pPr>
      <w:r>
        <w:rPr>
          <w:rStyle w:val="FootnoteReference"/>
        </w:rPr>
        <w:footnoteRef/>
      </w:r>
      <w:r>
        <w:rPr>
          <w:rtl/>
        </w:rPr>
        <w:t xml:space="preserve"> </w:t>
      </w:r>
      <w:r w:rsidR="00AA2CC4">
        <w:rPr>
          <w:rFonts w:hint="cs"/>
          <w:rtl/>
        </w:rPr>
        <w:t xml:space="preserve">במטאפיזיקה למבדא פרק ז', </w:t>
      </w:r>
      <w:r w:rsidR="00B9521C">
        <w:rPr>
          <w:rFonts w:hint="cs"/>
          <w:rtl/>
        </w:rPr>
        <w:t xml:space="preserve">דף </w:t>
      </w:r>
      <w:r w:rsidR="00B9521C">
        <w:rPr>
          <w:rFonts w:hint="cs"/>
          <w:rtl/>
        </w:rPr>
        <w:t xml:space="preserve">1072א (סעיף 3 במהדורת ח"י רות), </w:t>
      </w:r>
      <w:r w:rsidR="00071756">
        <w:rPr>
          <w:rFonts w:hint="cs"/>
          <w:rtl/>
        </w:rPr>
        <w:t>כתב על הסיבה התכליתית (שהיא הטוב שלמענו הסיבה הפועלת פועלת את מה שהיא פועלת):</w:t>
      </w:r>
    </w:p>
    <w:p w14:paraId="2904D2E4" w14:textId="72F5EFAA" w:rsidR="000D1661" w:rsidRDefault="00071756">
      <w:pPr>
        <w:pStyle w:val="FootnoteText"/>
        <w:rPr>
          <w:rtl/>
        </w:rPr>
      </w:pPr>
      <w:r w:rsidRPr="00071756">
        <w:rPr>
          <w:rtl/>
        </w:rPr>
        <w:t>"כי אף אם נשוא התשוקה הוא מה שנראה כטוב, נשוא הרצון הראשון הוא הטוב באמת. כי כוספים אנו לאיזה דבר מפני שנראה לנו כטוב, ואינו נראה לנו כטוב מפני שכוספים אנו אליו, שהרי המחשבה היא התחלה."</w:t>
      </w:r>
      <w:r w:rsidR="00B9521C">
        <w:rPr>
          <w:rFonts w:hint="cs"/>
          <w:rtl/>
        </w:rPr>
        <w:t xml:space="preserve"> </w:t>
      </w:r>
    </w:p>
    <w:p w14:paraId="5FF84C95" w14:textId="4BD4930B" w:rsidR="00071756" w:rsidRDefault="00071756">
      <w:pPr>
        <w:pStyle w:val="FootnoteText"/>
      </w:pPr>
      <w:r>
        <w:rPr>
          <w:rFonts w:hint="cs"/>
          <w:rtl/>
        </w:rPr>
        <w:t>ב</w:t>
      </w:r>
      <w:hyperlink r:id="rId148" w:history="1">
        <w:r w:rsidRPr="005A7C77">
          <w:rPr>
            <w:rStyle w:val="Hyperlink"/>
            <w:rFonts w:hint="cs"/>
            <w:rtl/>
          </w:rPr>
          <w:t>שיעורים על מורה נבוכים</w:t>
        </w:r>
      </w:hyperlink>
      <w:r>
        <w:rPr>
          <w:rFonts w:hint="cs"/>
          <w:rtl/>
        </w:rPr>
        <w:t xml:space="preserve"> </w:t>
      </w:r>
      <w:r w:rsidR="00E83E2F">
        <w:rPr>
          <w:rFonts w:hint="cs"/>
          <w:rtl/>
        </w:rPr>
        <w:t>(בעיקר ב</w:t>
      </w:r>
      <w:r>
        <w:rPr>
          <w:rFonts w:hint="cs"/>
          <w:rtl/>
        </w:rPr>
        <w:t>שיעורים 63 עד 73</w:t>
      </w:r>
      <w:r w:rsidR="00E83E2F">
        <w:rPr>
          <w:rFonts w:hint="cs"/>
          <w:rtl/>
        </w:rPr>
        <w:t>)</w:t>
      </w:r>
      <w:r>
        <w:rPr>
          <w:rFonts w:hint="cs"/>
          <w:rtl/>
        </w:rPr>
        <w:t xml:space="preserve"> למדנו על הרצון הראשון</w:t>
      </w:r>
      <w:r w:rsidR="005C0EF4">
        <w:rPr>
          <w:rFonts w:hint="cs"/>
          <w:rtl/>
        </w:rPr>
        <w:t>, ועל היותו</w:t>
      </w:r>
      <w:r>
        <w:rPr>
          <w:rFonts w:hint="cs"/>
          <w:rtl/>
        </w:rPr>
        <w:t xml:space="preserve"> כח שיכול להשיג מציאות</w:t>
      </w:r>
      <w:r w:rsidR="00F942BF">
        <w:rPr>
          <w:rFonts w:hint="cs"/>
          <w:rtl/>
        </w:rPr>
        <w:t>,</w:t>
      </w:r>
      <w:r>
        <w:rPr>
          <w:rFonts w:hint="cs"/>
          <w:rtl/>
        </w:rPr>
        <w:t xml:space="preserve"> והוא משיג את האמת תמיד</w:t>
      </w:r>
      <w:r w:rsidR="00F942BF">
        <w:rPr>
          <w:rFonts w:hint="cs"/>
          <w:rtl/>
        </w:rPr>
        <w:t>, באופן הכרחי.</w:t>
      </w:r>
      <w:r w:rsidR="00E83E2F">
        <w:rPr>
          <w:rFonts w:hint="cs"/>
          <w:rtl/>
        </w:rPr>
        <w:t xml:space="preserve"> כתבתי על זה בעוד מקומות, ועיין גם באדם חי </w:t>
      </w:r>
      <w:hyperlink r:id="rId149" w:history="1">
        <w:r w:rsidR="00E83E2F" w:rsidRPr="00E83E2F">
          <w:rPr>
            <w:rStyle w:val="Hyperlink"/>
            <w:rFonts w:hint="cs"/>
            <w:rtl/>
          </w:rPr>
          <w:t>רשימה 188</w:t>
        </w:r>
      </w:hyperlink>
      <w:r w:rsidR="0001024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0BFC" w14:textId="0CD314EB" w:rsidR="004F1139" w:rsidRPr="005622EE" w:rsidRDefault="004F1139" w:rsidP="006F39D0">
    <w:pPr>
      <w:pStyle w:val="Header"/>
      <w:rPr>
        <w:b w:val="0"/>
        <w:bCs w:val="0"/>
        <w:sz w:val="24"/>
        <w:szCs w:val="24"/>
      </w:rPr>
    </w:pPr>
    <w:r w:rsidRPr="005622EE">
      <w:rPr>
        <w:b w:val="0"/>
        <w:bCs w:val="0"/>
        <w:sz w:val="24"/>
        <w:szCs w:val="24"/>
        <w:rtl/>
      </w:rPr>
      <w:t xml:space="preserve">ספר הריפוי </w:t>
    </w:r>
    <w:r w:rsidRPr="005622EE">
      <w:rPr>
        <w:rFonts w:hint="cs"/>
        <w:b w:val="0"/>
        <w:bCs w:val="0"/>
        <w:sz w:val="24"/>
        <w:szCs w:val="24"/>
        <w:rtl/>
      </w:rPr>
      <w:t>-</w:t>
    </w:r>
    <w:r w:rsidRPr="005622EE">
      <w:rPr>
        <w:b w:val="0"/>
        <w:bCs w:val="0"/>
        <w:sz w:val="24"/>
        <w:szCs w:val="24"/>
        <w:rtl/>
      </w:rPr>
      <w:t xml:space="preserve"> </w:t>
    </w:r>
    <w:r w:rsidR="0024053D" w:rsidRPr="005622EE">
      <w:rPr>
        <w:b w:val="0"/>
        <w:bCs w:val="0"/>
        <w:sz w:val="24"/>
        <w:szCs w:val="24"/>
        <w:rtl/>
      </w:rPr>
      <w:t>הַשֶּׁמַע</w:t>
    </w:r>
    <w:r w:rsidRPr="005622EE">
      <w:rPr>
        <w:rFonts w:hint="cs"/>
        <w:b w:val="0"/>
        <w:bCs w:val="0"/>
        <w:sz w:val="24"/>
        <w:szCs w:val="24"/>
        <w:rtl/>
      </w:rPr>
      <w:t xml:space="preserve"> הטבע</w:t>
    </w:r>
    <w:r w:rsidR="0024053D" w:rsidRPr="005622EE">
      <w:rPr>
        <w:rFonts w:hint="cs"/>
        <w:b w:val="0"/>
        <w:bCs w:val="0"/>
        <w:sz w:val="24"/>
        <w:szCs w:val="24"/>
        <w:rtl/>
      </w:rPr>
      <w:t>י</w:t>
    </w:r>
    <w:r w:rsidRPr="005622EE">
      <w:rPr>
        <w:b w:val="0"/>
        <w:bCs w:val="0"/>
        <w:sz w:val="24"/>
        <w:szCs w:val="24"/>
        <w:rtl/>
      </w:rPr>
      <w:t xml:space="preserve"> </w:t>
    </w:r>
    <w:r w:rsidR="00535716">
      <w:rPr>
        <w:rFonts w:hint="cs"/>
        <w:b w:val="0"/>
        <w:bCs w:val="0"/>
        <w:sz w:val="24"/>
        <w:szCs w:val="24"/>
        <w:rtl/>
      </w:rPr>
      <w:t>(פיזיקה)</w:t>
    </w:r>
    <w:r w:rsidRPr="005622EE">
      <w:rPr>
        <w:b w:val="0"/>
        <w:bCs w:val="0"/>
        <w:sz w:val="24"/>
        <w:szCs w:val="24"/>
        <w:rtl/>
      </w:rPr>
      <w:t xml:space="preserve"> </w:t>
    </w:r>
    <w:r w:rsidR="00535716">
      <w:rPr>
        <w:rFonts w:hint="cs"/>
        <w:b w:val="0"/>
        <w:bCs w:val="0"/>
        <w:sz w:val="24"/>
        <w:szCs w:val="24"/>
        <w:rtl/>
      </w:rPr>
      <w:t xml:space="preserve">ספר </w:t>
    </w:r>
    <w:r w:rsidRPr="005622EE">
      <w:rPr>
        <w:b w:val="0"/>
        <w:bCs w:val="0"/>
        <w:sz w:val="24"/>
        <w:szCs w:val="24"/>
        <w:rtl/>
      </w:rPr>
      <w:t>א'</w:t>
    </w:r>
    <w:r w:rsidR="003E5182" w:rsidRPr="005622EE">
      <w:rPr>
        <w:rFonts w:hint="cs"/>
        <w:b w:val="0"/>
        <w:bCs w:val="0"/>
        <w:sz w:val="24"/>
        <w:szCs w:val="24"/>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B6777"/>
    <w:multiLevelType w:val="multilevel"/>
    <w:tmpl w:val="1B06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63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embedTrueTypeFonts/>
  <w:embedSystemFonts/>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A1A"/>
    <w:rsid w:val="00000280"/>
    <w:rsid w:val="000003B2"/>
    <w:rsid w:val="0000041B"/>
    <w:rsid w:val="00000653"/>
    <w:rsid w:val="00000679"/>
    <w:rsid w:val="00000821"/>
    <w:rsid w:val="000009AB"/>
    <w:rsid w:val="00000B03"/>
    <w:rsid w:val="0000119A"/>
    <w:rsid w:val="000016AD"/>
    <w:rsid w:val="00001895"/>
    <w:rsid w:val="00001963"/>
    <w:rsid w:val="000019C3"/>
    <w:rsid w:val="000019DF"/>
    <w:rsid w:val="00001B4F"/>
    <w:rsid w:val="00001E6D"/>
    <w:rsid w:val="00001F93"/>
    <w:rsid w:val="00001FDB"/>
    <w:rsid w:val="000020DE"/>
    <w:rsid w:val="000020E5"/>
    <w:rsid w:val="0000237E"/>
    <w:rsid w:val="00002438"/>
    <w:rsid w:val="000025C6"/>
    <w:rsid w:val="000025F1"/>
    <w:rsid w:val="0000268F"/>
    <w:rsid w:val="0000276E"/>
    <w:rsid w:val="000027B2"/>
    <w:rsid w:val="000027D3"/>
    <w:rsid w:val="00002DAA"/>
    <w:rsid w:val="00002DDE"/>
    <w:rsid w:val="00002E6E"/>
    <w:rsid w:val="00002F6B"/>
    <w:rsid w:val="000035FE"/>
    <w:rsid w:val="00003C9C"/>
    <w:rsid w:val="000041C9"/>
    <w:rsid w:val="000042A3"/>
    <w:rsid w:val="00004554"/>
    <w:rsid w:val="0000457C"/>
    <w:rsid w:val="000046B7"/>
    <w:rsid w:val="000047F3"/>
    <w:rsid w:val="00004B31"/>
    <w:rsid w:val="00004BEC"/>
    <w:rsid w:val="00004EFA"/>
    <w:rsid w:val="00005237"/>
    <w:rsid w:val="00005501"/>
    <w:rsid w:val="000055D6"/>
    <w:rsid w:val="0000572F"/>
    <w:rsid w:val="00005B34"/>
    <w:rsid w:val="00005C02"/>
    <w:rsid w:val="00005C63"/>
    <w:rsid w:val="0000603D"/>
    <w:rsid w:val="00006095"/>
    <w:rsid w:val="000062C2"/>
    <w:rsid w:val="0000632F"/>
    <w:rsid w:val="00006555"/>
    <w:rsid w:val="000066D3"/>
    <w:rsid w:val="000066F0"/>
    <w:rsid w:val="00006A39"/>
    <w:rsid w:val="00006E9C"/>
    <w:rsid w:val="00006F07"/>
    <w:rsid w:val="00006F2F"/>
    <w:rsid w:val="0000709C"/>
    <w:rsid w:val="000070D6"/>
    <w:rsid w:val="00007141"/>
    <w:rsid w:val="0000734F"/>
    <w:rsid w:val="00007470"/>
    <w:rsid w:val="000074F0"/>
    <w:rsid w:val="00007547"/>
    <w:rsid w:val="000075C2"/>
    <w:rsid w:val="000076CC"/>
    <w:rsid w:val="00007748"/>
    <w:rsid w:val="00007974"/>
    <w:rsid w:val="00007996"/>
    <w:rsid w:val="00007A25"/>
    <w:rsid w:val="00007A81"/>
    <w:rsid w:val="00007C86"/>
    <w:rsid w:val="00007D2A"/>
    <w:rsid w:val="00007D8F"/>
    <w:rsid w:val="00007E00"/>
    <w:rsid w:val="00007EFD"/>
    <w:rsid w:val="00010073"/>
    <w:rsid w:val="0001024B"/>
    <w:rsid w:val="00010282"/>
    <w:rsid w:val="0001028A"/>
    <w:rsid w:val="000104CA"/>
    <w:rsid w:val="0001052A"/>
    <w:rsid w:val="0001063F"/>
    <w:rsid w:val="00010742"/>
    <w:rsid w:val="000108FE"/>
    <w:rsid w:val="000109A4"/>
    <w:rsid w:val="000112E0"/>
    <w:rsid w:val="000114D2"/>
    <w:rsid w:val="00011598"/>
    <w:rsid w:val="000115FB"/>
    <w:rsid w:val="0001187C"/>
    <w:rsid w:val="00011934"/>
    <w:rsid w:val="00011A3E"/>
    <w:rsid w:val="00011CE8"/>
    <w:rsid w:val="00012069"/>
    <w:rsid w:val="00012277"/>
    <w:rsid w:val="0001237A"/>
    <w:rsid w:val="00012401"/>
    <w:rsid w:val="00012550"/>
    <w:rsid w:val="000125A3"/>
    <w:rsid w:val="00012B47"/>
    <w:rsid w:val="00012B9B"/>
    <w:rsid w:val="00012C3C"/>
    <w:rsid w:val="00012D9B"/>
    <w:rsid w:val="00012F7A"/>
    <w:rsid w:val="00013123"/>
    <w:rsid w:val="000132ED"/>
    <w:rsid w:val="00013506"/>
    <w:rsid w:val="00013646"/>
    <w:rsid w:val="0001367D"/>
    <w:rsid w:val="00013915"/>
    <w:rsid w:val="000139BF"/>
    <w:rsid w:val="00013A11"/>
    <w:rsid w:val="00013AAE"/>
    <w:rsid w:val="00013AE8"/>
    <w:rsid w:val="00013B40"/>
    <w:rsid w:val="00013C3A"/>
    <w:rsid w:val="00013D36"/>
    <w:rsid w:val="00013E73"/>
    <w:rsid w:val="00013FD9"/>
    <w:rsid w:val="00014392"/>
    <w:rsid w:val="00014428"/>
    <w:rsid w:val="0001450A"/>
    <w:rsid w:val="000145BE"/>
    <w:rsid w:val="00014A9F"/>
    <w:rsid w:val="00014CA8"/>
    <w:rsid w:val="00014CFF"/>
    <w:rsid w:val="00014EFB"/>
    <w:rsid w:val="00015022"/>
    <w:rsid w:val="00015155"/>
    <w:rsid w:val="00015674"/>
    <w:rsid w:val="00015731"/>
    <w:rsid w:val="00015D23"/>
    <w:rsid w:val="00015E55"/>
    <w:rsid w:val="00015F20"/>
    <w:rsid w:val="000160B4"/>
    <w:rsid w:val="00016268"/>
    <w:rsid w:val="000163E5"/>
    <w:rsid w:val="0001661D"/>
    <w:rsid w:val="00016760"/>
    <w:rsid w:val="0001685C"/>
    <w:rsid w:val="000169AA"/>
    <w:rsid w:val="00016DAD"/>
    <w:rsid w:val="00016DCB"/>
    <w:rsid w:val="00016F7C"/>
    <w:rsid w:val="0001754A"/>
    <w:rsid w:val="0001771B"/>
    <w:rsid w:val="00017919"/>
    <w:rsid w:val="0001794A"/>
    <w:rsid w:val="0001797C"/>
    <w:rsid w:val="00017CAB"/>
    <w:rsid w:val="00017DBE"/>
    <w:rsid w:val="0002006A"/>
    <w:rsid w:val="000200BC"/>
    <w:rsid w:val="0002013E"/>
    <w:rsid w:val="00020223"/>
    <w:rsid w:val="00020282"/>
    <w:rsid w:val="000203DA"/>
    <w:rsid w:val="00020476"/>
    <w:rsid w:val="000205FA"/>
    <w:rsid w:val="000207CB"/>
    <w:rsid w:val="00020895"/>
    <w:rsid w:val="000209A1"/>
    <w:rsid w:val="000209F8"/>
    <w:rsid w:val="00020C4D"/>
    <w:rsid w:val="00020C6B"/>
    <w:rsid w:val="00020F79"/>
    <w:rsid w:val="00021188"/>
    <w:rsid w:val="000211BD"/>
    <w:rsid w:val="0002120E"/>
    <w:rsid w:val="0002135F"/>
    <w:rsid w:val="0002141C"/>
    <w:rsid w:val="0002151C"/>
    <w:rsid w:val="00021732"/>
    <w:rsid w:val="00021929"/>
    <w:rsid w:val="00021981"/>
    <w:rsid w:val="00021CE4"/>
    <w:rsid w:val="00021DF1"/>
    <w:rsid w:val="00021FE7"/>
    <w:rsid w:val="00022299"/>
    <w:rsid w:val="000223D1"/>
    <w:rsid w:val="000227AD"/>
    <w:rsid w:val="0002296A"/>
    <w:rsid w:val="00023064"/>
    <w:rsid w:val="000231AF"/>
    <w:rsid w:val="00023409"/>
    <w:rsid w:val="00023516"/>
    <w:rsid w:val="00023669"/>
    <w:rsid w:val="0002366E"/>
    <w:rsid w:val="000236F2"/>
    <w:rsid w:val="000239DD"/>
    <w:rsid w:val="000239F6"/>
    <w:rsid w:val="00023AB2"/>
    <w:rsid w:val="00023EBE"/>
    <w:rsid w:val="00023F0A"/>
    <w:rsid w:val="00023F22"/>
    <w:rsid w:val="00024235"/>
    <w:rsid w:val="0002456D"/>
    <w:rsid w:val="000245E4"/>
    <w:rsid w:val="00024707"/>
    <w:rsid w:val="000248D5"/>
    <w:rsid w:val="00024CE7"/>
    <w:rsid w:val="00024CF2"/>
    <w:rsid w:val="00024D4D"/>
    <w:rsid w:val="000252B9"/>
    <w:rsid w:val="0002542B"/>
    <w:rsid w:val="00025523"/>
    <w:rsid w:val="00025628"/>
    <w:rsid w:val="00025844"/>
    <w:rsid w:val="00025A72"/>
    <w:rsid w:val="00025BF9"/>
    <w:rsid w:val="00025D34"/>
    <w:rsid w:val="00025F5D"/>
    <w:rsid w:val="00025FE3"/>
    <w:rsid w:val="000262B8"/>
    <w:rsid w:val="0002639A"/>
    <w:rsid w:val="00026E32"/>
    <w:rsid w:val="00026EB2"/>
    <w:rsid w:val="00026EFB"/>
    <w:rsid w:val="00026FC9"/>
    <w:rsid w:val="00026FEF"/>
    <w:rsid w:val="00027301"/>
    <w:rsid w:val="000274E6"/>
    <w:rsid w:val="000276B8"/>
    <w:rsid w:val="000276BB"/>
    <w:rsid w:val="000278C1"/>
    <w:rsid w:val="00027A63"/>
    <w:rsid w:val="00027D02"/>
    <w:rsid w:val="00030078"/>
    <w:rsid w:val="000300C3"/>
    <w:rsid w:val="000300EC"/>
    <w:rsid w:val="0003015E"/>
    <w:rsid w:val="0003024F"/>
    <w:rsid w:val="00030426"/>
    <w:rsid w:val="0003049D"/>
    <w:rsid w:val="00030749"/>
    <w:rsid w:val="00030988"/>
    <w:rsid w:val="000309B6"/>
    <w:rsid w:val="00030BC9"/>
    <w:rsid w:val="00030CA5"/>
    <w:rsid w:val="00030D7E"/>
    <w:rsid w:val="00030E74"/>
    <w:rsid w:val="00030FA4"/>
    <w:rsid w:val="00031194"/>
    <w:rsid w:val="000311FF"/>
    <w:rsid w:val="0003128F"/>
    <w:rsid w:val="0003152A"/>
    <w:rsid w:val="000317C0"/>
    <w:rsid w:val="00031CAB"/>
    <w:rsid w:val="00031D43"/>
    <w:rsid w:val="00031E93"/>
    <w:rsid w:val="00032026"/>
    <w:rsid w:val="00032058"/>
    <w:rsid w:val="000321B3"/>
    <w:rsid w:val="00032280"/>
    <w:rsid w:val="00032339"/>
    <w:rsid w:val="000328F8"/>
    <w:rsid w:val="000329F1"/>
    <w:rsid w:val="00032A04"/>
    <w:rsid w:val="00032A46"/>
    <w:rsid w:val="00032B64"/>
    <w:rsid w:val="00032D56"/>
    <w:rsid w:val="00032FB6"/>
    <w:rsid w:val="0003300A"/>
    <w:rsid w:val="00033040"/>
    <w:rsid w:val="00033677"/>
    <w:rsid w:val="000336C0"/>
    <w:rsid w:val="00033BB0"/>
    <w:rsid w:val="00033D58"/>
    <w:rsid w:val="00033DE4"/>
    <w:rsid w:val="00033FD4"/>
    <w:rsid w:val="00034033"/>
    <w:rsid w:val="00034614"/>
    <w:rsid w:val="00034AD0"/>
    <w:rsid w:val="000350F4"/>
    <w:rsid w:val="00035193"/>
    <w:rsid w:val="000351DE"/>
    <w:rsid w:val="000355D8"/>
    <w:rsid w:val="000356F4"/>
    <w:rsid w:val="0003590F"/>
    <w:rsid w:val="00035A21"/>
    <w:rsid w:val="00035FC8"/>
    <w:rsid w:val="0003601D"/>
    <w:rsid w:val="00036660"/>
    <w:rsid w:val="000367B2"/>
    <w:rsid w:val="000367BD"/>
    <w:rsid w:val="0003695A"/>
    <w:rsid w:val="00036B32"/>
    <w:rsid w:val="00036BE4"/>
    <w:rsid w:val="00036DE6"/>
    <w:rsid w:val="00036EF5"/>
    <w:rsid w:val="00037E7C"/>
    <w:rsid w:val="000403AE"/>
    <w:rsid w:val="000404B2"/>
    <w:rsid w:val="000404B9"/>
    <w:rsid w:val="00040703"/>
    <w:rsid w:val="0004083C"/>
    <w:rsid w:val="00040898"/>
    <w:rsid w:val="00040984"/>
    <w:rsid w:val="000409A6"/>
    <w:rsid w:val="00040B94"/>
    <w:rsid w:val="00040D66"/>
    <w:rsid w:val="00040FA6"/>
    <w:rsid w:val="00041060"/>
    <w:rsid w:val="000410F5"/>
    <w:rsid w:val="00041115"/>
    <w:rsid w:val="000412D6"/>
    <w:rsid w:val="0004142A"/>
    <w:rsid w:val="00041682"/>
    <w:rsid w:val="0004173D"/>
    <w:rsid w:val="00041847"/>
    <w:rsid w:val="000418A2"/>
    <w:rsid w:val="000418CA"/>
    <w:rsid w:val="00041A30"/>
    <w:rsid w:val="00041F19"/>
    <w:rsid w:val="00042041"/>
    <w:rsid w:val="0004227C"/>
    <w:rsid w:val="00042843"/>
    <w:rsid w:val="000428F6"/>
    <w:rsid w:val="0004292F"/>
    <w:rsid w:val="00042B5A"/>
    <w:rsid w:val="00042CA5"/>
    <w:rsid w:val="00042D9B"/>
    <w:rsid w:val="00043170"/>
    <w:rsid w:val="000433F3"/>
    <w:rsid w:val="0004341A"/>
    <w:rsid w:val="000434D7"/>
    <w:rsid w:val="0004353F"/>
    <w:rsid w:val="00043665"/>
    <w:rsid w:val="00043885"/>
    <w:rsid w:val="000438FD"/>
    <w:rsid w:val="00043AC0"/>
    <w:rsid w:val="00043AE2"/>
    <w:rsid w:val="00043B6B"/>
    <w:rsid w:val="00043C7F"/>
    <w:rsid w:val="00043E59"/>
    <w:rsid w:val="00043FAD"/>
    <w:rsid w:val="0004404B"/>
    <w:rsid w:val="000441A2"/>
    <w:rsid w:val="00044232"/>
    <w:rsid w:val="000443B2"/>
    <w:rsid w:val="000447E9"/>
    <w:rsid w:val="00044A79"/>
    <w:rsid w:val="00044A80"/>
    <w:rsid w:val="00044BEC"/>
    <w:rsid w:val="00044E9F"/>
    <w:rsid w:val="00044F5E"/>
    <w:rsid w:val="00044FAB"/>
    <w:rsid w:val="000450A2"/>
    <w:rsid w:val="00045130"/>
    <w:rsid w:val="000451FC"/>
    <w:rsid w:val="000452C0"/>
    <w:rsid w:val="00045436"/>
    <w:rsid w:val="000455E8"/>
    <w:rsid w:val="00045715"/>
    <w:rsid w:val="00045755"/>
    <w:rsid w:val="000457DA"/>
    <w:rsid w:val="00045839"/>
    <w:rsid w:val="0004599F"/>
    <w:rsid w:val="00045A1F"/>
    <w:rsid w:val="00045AA3"/>
    <w:rsid w:val="00045CF2"/>
    <w:rsid w:val="00045D8D"/>
    <w:rsid w:val="00045F19"/>
    <w:rsid w:val="000460C6"/>
    <w:rsid w:val="000461FE"/>
    <w:rsid w:val="00046270"/>
    <w:rsid w:val="00046780"/>
    <w:rsid w:val="0004694E"/>
    <w:rsid w:val="00046A4B"/>
    <w:rsid w:val="00046B53"/>
    <w:rsid w:val="00046B69"/>
    <w:rsid w:val="00046B96"/>
    <w:rsid w:val="00046EBE"/>
    <w:rsid w:val="000470CF"/>
    <w:rsid w:val="000471EB"/>
    <w:rsid w:val="00047429"/>
    <w:rsid w:val="00047645"/>
    <w:rsid w:val="00047BCB"/>
    <w:rsid w:val="00047F40"/>
    <w:rsid w:val="00047F6A"/>
    <w:rsid w:val="00047FB3"/>
    <w:rsid w:val="00050075"/>
    <w:rsid w:val="0005034E"/>
    <w:rsid w:val="0005044A"/>
    <w:rsid w:val="000507AC"/>
    <w:rsid w:val="0005083C"/>
    <w:rsid w:val="000509E5"/>
    <w:rsid w:val="00050A28"/>
    <w:rsid w:val="00050A8C"/>
    <w:rsid w:val="00050E62"/>
    <w:rsid w:val="00050EA9"/>
    <w:rsid w:val="00051077"/>
    <w:rsid w:val="0005117C"/>
    <w:rsid w:val="000512B8"/>
    <w:rsid w:val="00051366"/>
    <w:rsid w:val="0005147D"/>
    <w:rsid w:val="0005160C"/>
    <w:rsid w:val="000516D3"/>
    <w:rsid w:val="0005180F"/>
    <w:rsid w:val="000518D6"/>
    <w:rsid w:val="00051A50"/>
    <w:rsid w:val="00051D23"/>
    <w:rsid w:val="00051EEB"/>
    <w:rsid w:val="000521B9"/>
    <w:rsid w:val="00052219"/>
    <w:rsid w:val="00052228"/>
    <w:rsid w:val="00052268"/>
    <w:rsid w:val="000522AD"/>
    <w:rsid w:val="00052300"/>
    <w:rsid w:val="000524BF"/>
    <w:rsid w:val="00052504"/>
    <w:rsid w:val="0005259D"/>
    <w:rsid w:val="000525A8"/>
    <w:rsid w:val="0005291C"/>
    <w:rsid w:val="00052C70"/>
    <w:rsid w:val="00052C7F"/>
    <w:rsid w:val="00052FFD"/>
    <w:rsid w:val="0005329E"/>
    <w:rsid w:val="00053465"/>
    <w:rsid w:val="00053481"/>
    <w:rsid w:val="0005351D"/>
    <w:rsid w:val="000537E6"/>
    <w:rsid w:val="0005387F"/>
    <w:rsid w:val="00053D00"/>
    <w:rsid w:val="00053F10"/>
    <w:rsid w:val="000540DC"/>
    <w:rsid w:val="000542EF"/>
    <w:rsid w:val="00054367"/>
    <w:rsid w:val="0005456F"/>
    <w:rsid w:val="0005474F"/>
    <w:rsid w:val="000547B3"/>
    <w:rsid w:val="000547F5"/>
    <w:rsid w:val="0005483E"/>
    <w:rsid w:val="00054886"/>
    <w:rsid w:val="00054B53"/>
    <w:rsid w:val="00054CDA"/>
    <w:rsid w:val="000552A9"/>
    <w:rsid w:val="000552B8"/>
    <w:rsid w:val="000555F4"/>
    <w:rsid w:val="000556E0"/>
    <w:rsid w:val="000557B4"/>
    <w:rsid w:val="000560CA"/>
    <w:rsid w:val="000561F4"/>
    <w:rsid w:val="000562A8"/>
    <w:rsid w:val="0005637D"/>
    <w:rsid w:val="00056488"/>
    <w:rsid w:val="000564AE"/>
    <w:rsid w:val="00056688"/>
    <w:rsid w:val="00056828"/>
    <w:rsid w:val="00056973"/>
    <w:rsid w:val="00056BA7"/>
    <w:rsid w:val="00056CD2"/>
    <w:rsid w:val="00056D25"/>
    <w:rsid w:val="00056D94"/>
    <w:rsid w:val="0005705F"/>
    <w:rsid w:val="00057195"/>
    <w:rsid w:val="000576D0"/>
    <w:rsid w:val="000577AE"/>
    <w:rsid w:val="0005790C"/>
    <w:rsid w:val="00057AAC"/>
    <w:rsid w:val="00057ACA"/>
    <w:rsid w:val="00057AFD"/>
    <w:rsid w:val="00057B3B"/>
    <w:rsid w:val="00057BE8"/>
    <w:rsid w:val="00057D76"/>
    <w:rsid w:val="00057E5D"/>
    <w:rsid w:val="00060219"/>
    <w:rsid w:val="000608E2"/>
    <w:rsid w:val="00060A88"/>
    <w:rsid w:val="00060AD4"/>
    <w:rsid w:val="00060D74"/>
    <w:rsid w:val="00060F0A"/>
    <w:rsid w:val="00061349"/>
    <w:rsid w:val="0006170C"/>
    <w:rsid w:val="000619A0"/>
    <w:rsid w:val="0006222C"/>
    <w:rsid w:val="00062315"/>
    <w:rsid w:val="00062372"/>
    <w:rsid w:val="000623CD"/>
    <w:rsid w:val="00062656"/>
    <w:rsid w:val="000626C5"/>
    <w:rsid w:val="000626ED"/>
    <w:rsid w:val="000626F8"/>
    <w:rsid w:val="00062723"/>
    <w:rsid w:val="00062923"/>
    <w:rsid w:val="00062B20"/>
    <w:rsid w:val="00062F9D"/>
    <w:rsid w:val="00062FD0"/>
    <w:rsid w:val="00063230"/>
    <w:rsid w:val="00063286"/>
    <w:rsid w:val="00063334"/>
    <w:rsid w:val="00063550"/>
    <w:rsid w:val="000635D8"/>
    <w:rsid w:val="000635FC"/>
    <w:rsid w:val="00063795"/>
    <w:rsid w:val="0006390D"/>
    <w:rsid w:val="000639CB"/>
    <w:rsid w:val="00064024"/>
    <w:rsid w:val="00064201"/>
    <w:rsid w:val="00064310"/>
    <w:rsid w:val="000643EE"/>
    <w:rsid w:val="000645BA"/>
    <w:rsid w:val="000646AC"/>
    <w:rsid w:val="00064742"/>
    <w:rsid w:val="00064818"/>
    <w:rsid w:val="00064885"/>
    <w:rsid w:val="00064B17"/>
    <w:rsid w:val="00064C40"/>
    <w:rsid w:val="00064C54"/>
    <w:rsid w:val="0006515F"/>
    <w:rsid w:val="00065173"/>
    <w:rsid w:val="000651C6"/>
    <w:rsid w:val="0006528E"/>
    <w:rsid w:val="000652B8"/>
    <w:rsid w:val="0006546D"/>
    <w:rsid w:val="000654B8"/>
    <w:rsid w:val="00065590"/>
    <w:rsid w:val="00065612"/>
    <w:rsid w:val="00065637"/>
    <w:rsid w:val="00065693"/>
    <w:rsid w:val="0006573C"/>
    <w:rsid w:val="00065767"/>
    <w:rsid w:val="00065870"/>
    <w:rsid w:val="00065D1B"/>
    <w:rsid w:val="0006607C"/>
    <w:rsid w:val="00066491"/>
    <w:rsid w:val="000665BD"/>
    <w:rsid w:val="00066640"/>
    <w:rsid w:val="00066680"/>
    <w:rsid w:val="00066712"/>
    <w:rsid w:val="000667D8"/>
    <w:rsid w:val="00066C9B"/>
    <w:rsid w:val="00066E67"/>
    <w:rsid w:val="00066EC1"/>
    <w:rsid w:val="00066F9D"/>
    <w:rsid w:val="0006725C"/>
    <w:rsid w:val="00067430"/>
    <w:rsid w:val="00067563"/>
    <w:rsid w:val="000675D9"/>
    <w:rsid w:val="00067AC3"/>
    <w:rsid w:val="00067ADE"/>
    <w:rsid w:val="00067D22"/>
    <w:rsid w:val="00067DF2"/>
    <w:rsid w:val="00067FB5"/>
    <w:rsid w:val="000700CF"/>
    <w:rsid w:val="00070398"/>
    <w:rsid w:val="000705A1"/>
    <w:rsid w:val="0007082B"/>
    <w:rsid w:val="00070A4D"/>
    <w:rsid w:val="00070A73"/>
    <w:rsid w:val="00070AB5"/>
    <w:rsid w:val="00070E5D"/>
    <w:rsid w:val="00071176"/>
    <w:rsid w:val="0007123B"/>
    <w:rsid w:val="00071272"/>
    <w:rsid w:val="0007141C"/>
    <w:rsid w:val="000714AC"/>
    <w:rsid w:val="0007159C"/>
    <w:rsid w:val="00071756"/>
    <w:rsid w:val="0007179B"/>
    <w:rsid w:val="00071B67"/>
    <w:rsid w:val="00071F6D"/>
    <w:rsid w:val="000720A5"/>
    <w:rsid w:val="0007234D"/>
    <w:rsid w:val="0007235C"/>
    <w:rsid w:val="0007291D"/>
    <w:rsid w:val="00072A84"/>
    <w:rsid w:val="00072ADE"/>
    <w:rsid w:val="00072BAF"/>
    <w:rsid w:val="00072C62"/>
    <w:rsid w:val="00072CE9"/>
    <w:rsid w:val="00073066"/>
    <w:rsid w:val="000734C5"/>
    <w:rsid w:val="000734ED"/>
    <w:rsid w:val="0007385F"/>
    <w:rsid w:val="00073926"/>
    <w:rsid w:val="00073C5C"/>
    <w:rsid w:val="000741A9"/>
    <w:rsid w:val="000743D4"/>
    <w:rsid w:val="0007462C"/>
    <w:rsid w:val="00074741"/>
    <w:rsid w:val="00074793"/>
    <w:rsid w:val="00074A48"/>
    <w:rsid w:val="00074A64"/>
    <w:rsid w:val="00074ED7"/>
    <w:rsid w:val="00074FAF"/>
    <w:rsid w:val="0007502E"/>
    <w:rsid w:val="00075054"/>
    <w:rsid w:val="000751BC"/>
    <w:rsid w:val="000753E7"/>
    <w:rsid w:val="00075511"/>
    <w:rsid w:val="00075C68"/>
    <w:rsid w:val="00075DB8"/>
    <w:rsid w:val="00075FF9"/>
    <w:rsid w:val="000764B7"/>
    <w:rsid w:val="00076531"/>
    <w:rsid w:val="0007658E"/>
    <w:rsid w:val="00076824"/>
    <w:rsid w:val="00076869"/>
    <w:rsid w:val="00076934"/>
    <w:rsid w:val="00076A52"/>
    <w:rsid w:val="00076BB5"/>
    <w:rsid w:val="00076BCB"/>
    <w:rsid w:val="00076EA7"/>
    <w:rsid w:val="000771CA"/>
    <w:rsid w:val="000773A8"/>
    <w:rsid w:val="000773BE"/>
    <w:rsid w:val="0007743F"/>
    <w:rsid w:val="0007762E"/>
    <w:rsid w:val="000778A7"/>
    <w:rsid w:val="00077974"/>
    <w:rsid w:val="00077976"/>
    <w:rsid w:val="000779CB"/>
    <w:rsid w:val="00077A7B"/>
    <w:rsid w:val="00077CBD"/>
    <w:rsid w:val="00077E4A"/>
    <w:rsid w:val="00077E6B"/>
    <w:rsid w:val="00077F93"/>
    <w:rsid w:val="0008009B"/>
    <w:rsid w:val="000802D9"/>
    <w:rsid w:val="000805DE"/>
    <w:rsid w:val="000806B6"/>
    <w:rsid w:val="00080BC7"/>
    <w:rsid w:val="00080E0C"/>
    <w:rsid w:val="00080FD4"/>
    <w:rsid w:val="00081224"/>
    <w:rsid w:val="00081555"/>
    <w:rsid w:val="00081CD7"/>
    <w:rsid w:val="00081DC4"/>
    <w:rsid w:val="000820CD"/>
    <w:rsid w:val="00082153"/>
    <w:rsid w:val="000821C9"/>
    <w:rsid w:val="00082288"/>
    <w:rsid w:val="000823AD"/>
    <w:rsid w:val="0008253E"/>
    <w:rsid w:val="000827CE"/>
    <w:rsid w:val="00082C6F"/>
    <w:rsid w:val="00082D4D"/>
    <w:rsid w:val="00082E8D"/>
    <w:rsid w:val="00083205"/>
    <w:rsid w:val="0008323C"/>
    <w:rsid w:val="00083671"/>
    <w:rsid w:val="000836BF"/>
    <w:rsid w:val="00083A8B"/>
    <w:rsid w:val="00083C08"/>
    <w:rsid w:val="00083D04"/>
    <w:rsid w:val="0008400E"/>
    <w:rsid w:val="00084016"/>
    <w:rsid w:val="0008406A"/>
    <w:rsid w:val="000843B1"/>
    <w:rsid w:val="00084434"/>
    <w:rsid w:val="00084679"/>
    <w:rsid w:val="000846C4"/>
    <w:rsid w:val="00084702"/>
    <w:rsid w:val="00084812"/>
    <w:rsid w:val="00084A6E"/>
    <w:rsid w:val="00084AAD"/>
    <w:rsid w:val="00084BB0"/>
    <w:rsid w:val="00084BBB"/>
    <w:rsid w:val="0008509A"/>
    <w:rsid w:val="000851CC"/>
    <w:rsid w:val="000851D4"/>
    <w:rsid w:val="0008545B"/>
    <w:rsid w:val="000855E7"/>
    <w:rsid w:val="000857CB"/>
    <w:rsid w:val="000859D5"/>
    <w:rsid w:val="00085EA6"/>
    <w:rsid w:val="00085ECB"/>
    <w:rsid w:val="00086331"/>
    <w:rsid w:val="00086333"/>
    <w:rsid w:val="0008643C"/>
    <w:rsid w:val="0008650B"/>
    <w:rsid w:val="0008651C"/>
    <w:rsid w:val="000865DB"/>
    <w:rsid w:val="00086794"/>
    <w:rsid w:val="000867E6"/>
    <w:rsid w:val="000869CA"/>
    <w:rsid w:val="00086C6D"/>
    <w:rsid w:val="00086FB7"/>
    <w:rsid w:val="00086FDF"/>
    <w:rsid w:val="00086FF4"/>
    <w:rsid w:val="000870C9"/>
    <w:rsid w:val="00087142"/>
    <w:rsid w:val="00087286"/>
    <w:rsid w:val="000872E1"/>
    <w:rsid w:val="00087320"/>
    <w:rsid w:val="00087493"/>
    <w:rsid w:val="000874F7"/>
    <w:rsid w:val="0008782B"/>
    <w:rsid w:val="0008791F"/>
    <w:rsid w:val="00087A8D"/>
    <w:rsid w:val="00087B6F"/>
    <w:rsid w:val="00087B7D"/>
    <w:rsid w:val="00087BBD"/>
    <w:rsid w:val="00087C19"/>
    <w:rsid w:val="00087CB8"/>
    <w:rsid w:val="00087DD5"/>
    <w:rsid w:val="00087FC7"/>
    <w:rsid w:val="00090060"/>
    <w:rsid w:val="0009030F"/>
    <w:rsid w:val="00090460"/>
    <w:rsid w:val="0009057A"/>
    <w:rsid w:val="0009098A"/>
    <w:rsid w:val="0009098C"/>
    <w:rsid w:val="00090AAC"/>
    <w:rsid w:val="00090C5E"/>
    <w:rsid w:val="00090EF6"/>
    <w:rsid w:val="00090FDC"/>
    <w:rsid w:val="00090FE8"/>
    <w:rsid w:val="000911B7"/>
    <w:rsid w:val="0009173B"/>
    <w:rsid w:val="00091795"/>
    <w:rsid w:val="000917F4"/>
    <w:rsid w:val="00091A08"/>
    <w:rsid w:val="00091F04"/>
    <w:rsid w:val="00092193"/>
    <w:rsid w:val="000921BA"/>
    <w:rsid w:val="000921FA"/>
    <w:rsid w:val="00092415"/>
    <w:rsid w:val="000925BF"/>
    <w:rsid w:val="000928BD"/>
    <w:rsid w:val="00092919"/>
    <w:rsid w:val="00092C41"/>
    <w:rsid w:val="00092C5D"/>
    <w:rsid w:val="00092E17"/>
    <w:rsid w:val="00092E46"/>
    <w:rsid w:val="00092F32"/>
    <w:rsid w:val="000932B9"/>
    <w:rsid w:val="00093428"/>
    <w:rsid w:val="000934D9"/>
    <w:rsid w:val="00093647"/>
    <w:rsid w:val="00093751"/>
    <w:rsid w:val="00093E25"/>
    <w:rsid w:val="000940A4"/>
    <w:rsid w:val="0009415D"/>
    <w:rsid w:val="000941C6"/>
    <w:rsid w:val="000942D5"/>
    <w:rsid w:val="0009430B"/>
    <w:rsid w:val="00094367"/>
    <w:rsid w:val="0009452E"/>
    <w:rsid w:val="0009461A"/>
    <w:rsid w:val="00094641"/>
    <w:rsid w:val="00094722"/>
    <w:rsid w:val="00094815"/>
    <w:rsid w:val="0009487D"/>
    <w:rsid w:val="00094985"/>
    <w:rsid w:val="00094A8A"/>
    <w:rsid w:val="00094ABD"/>
    <w:rsid w:val="00094CD6"/>
    <w:rsid w:val="00094D61"/>
    <w:rsid w:val="00094DAC"/>
    <w:rsid w:val="00094EDB"/>
    <w:rsid w:val="000955D1"/>
    <w:rsid w:val="00095611"/>
    <w:rsid w:val="00095868"/>
    <w:rsid w:val="00095958"/>
    <w:rsid w:val="00095A20"/>
    <w:rsid w:val="00095B26"/>
    <w:rsid w:val="00095E6F"/>
    <w:rsid w:val="00095E89"/>
    <w:rsid w:val="0009614B"/>
    <w:rsid w:val="000963C3"/>
    <w:rsid w:val="0009651B"/>
    <w:rsid w:val="0009652F"/>
    <w:rsid w:val="00096533"/>
    <w:rsid w:val="000965D8"/>
    <w:rsid w:val="000966B6"/>
    <w:rsid w:val="000967D6"/>
    <w:rsid w:val="000968A4"/>
    <w:rsid w:val="00096AFD"/>
    <w:rsid w:val="00096B19"/>
    <w:rsid w:val="00096B67"/>
    <w:rsid w:val="00096D01"/>
    <w:rsid w:val="00096F34"/>
    <w:rsid w:val="00096F7B"/>
    <w:rsid w:val="000971D6"/>
    <w:rsid w:val="00097391"/>
    <w:rsid w:val="000975B6"/>
    <w:rsid w:val="000976A1"/>
    <w:rsid w:val="0009773A"/>
    <w:rsid w:val="00097978"/>
    <w:rsid w:val="0009797A"/>
    <w:rsid w:val="000979B0"/>
    <w:rsid w:val="00097DC8"/>
    <w:rsid w:val="00097EF6"/>
    <w:rsid w:val="00097FF9"/>
    <w:rsid w:val="000A02F9"/>
    <w:rsid w:val="000A056D"/>
    <w:rsid w:val="000A0760"/>
    <w:rsid w:val="000A0A69"/>
    <w:rsid w:val="000A0C02"/>
    <w:rsid w:val="000A0D80"/>
    <w:rsid w:val="000A0DE9"/>
    <w:rsid w:val="000A0FEB"/>
    <w:rsid w:val="000A11E0"/>
    <w:rsid w:val="000A1227"/>
    <w:rsid w:val="000A15EE"/>
    <w:rsid w:val="000A163F"/>
    <w:rsid w:val="000A19BF"/>
    <w:rsid w:val="000A1A34"/>
    <w:rsid w:val="000A1FB5"/>
    <w:rsid w:val="000A2043"/>
    <w:rsid w:val="000A2078"/>
    <w:rsid w:val="000A2123"/>
    <w:rsid w:val="000A22FE"/>
    <w:rsid w:val="000A2307"/>
    <w:rsid w:val="000A2322"/>
    <w:rsid w:val="000A2A0C"/>
    <w:rsid w:val="000A2A7B"/>
    <w:rsid w:val="000A2C42"/>
    <w:rsid w:val="000A2DE5"/>
    <w:rsid w:val="000A2F14"/>
    <w:rsid w:val="000A3237"/>
    <w:rsid w:val="000A33C3"/>
    <w:rsid w:val="000A3953"/>
    <w:rsid w:val="000A397E"/>
    <w:rsid w:val="000A3A97"/>
    <w:rsid w:val="000A3B70"/>
    <w:rsid w:val="000A45C8"/>
    <w:rsid w:val="000A4615"/>
    <w:rsid w:val="000A463B"/>
    <w:rsid w:val="000A46FB"/>
    <w:rsid w:val="000A4832"/>
    <w:rsid w:val="000A500B"/>
    <w:rsid w:val="000A5037"/>
    <w:rsid w:val="000A5462"/>
    <w:rsid w:val="000A5509"/>
    <w:rsid w:val="000A5580"/>
    <w:rsid w:val="000A5635"/>
    <w:rsid w:val="000A56DC"/>
    <w:rsid w:val="000A57F1"/>
    <w:rsid w:val="000A5A47"/>
    <w:rsid w:val="000A5ABF"/>
    <w:rsid w:val="000A5B6E"/>
    <w:rsid w:val="000A5DF2"/>
    <w:rsid w:val="000A6194"/>
    <w:rsid w:val="000A6454"/>
    <w:rsid w:val="000A66C9"/>
    <w:rsid w:val="000A674F"/>
    <w:rsid w:val="000A696E"/>
    <w:rsid w:val="000A6A3C"/>
    <w:rsid w:val="000A6A81"/>
    <w:rsid w:val="000A6C1C"/>
    <w:rsid w:val="000A6CE3"/>
    <w:rsid w:val="000A6D37"/>
    <w:rsid w:val="000A6E7A"/>
    <w:rsid w:val="000A6F4F"/>
    <w:rsid w:val="000A7077"/>
    <w:rsid w:val="000A72DD"/>
    <w:rsid w:val="000A7411"/>
    <w:rsid w:val="000A74B9"/>
    <w:rsid w:val="000A799A"/>
    <w:rsid w:val="000A79B4"/>
    <w:rsid w:val="000A7CA1"/>
    <w:rsid w:val="000A7CFF"/>
    <w:rsid w:val="000A7EEA"/>
    <w:rsid w:val="000A7F48"/>
    <w:rsid w:val="000A7F75"/>
    <w:rsid w:val="000B017E"/>
    <w:rsid w:val="000B020C"/>
    <w:rsid w:val="000B030B"/>
    <w:rsid w:val="000B0700"/>
    <w:rsid w:val="000B07B6"/>
    <w:rsid w:val="000B09F7"/>
    <w:rsid w:val="000B0BB5"/>
    <w:rsid w:val="000B0C3E"/>
    <w:rsid w:val="000B0D68"/>
    <w:rsid w:val="000B0E1D"/>
    <w:rsid w:val="000B0F4E"/>
    <w:rsid w:val="000B0F92"/>
    <w:rsid w:val="000B1086"/>
    <w:rsid w:val="000B11A9"/>
    <w:rsid w:val="000B12A1"/>
    <w:rsid w:val="000B137E"/>
    <w:rsid w:val="000B1602"/>
    <w:rsid w:val="000B1A63"/>
    <w:rsid w:val="000B1A6D"/>
    <w:rsid w:val="000B1A6E"/>
    <w:rsid w:val="000B1B36"/>
    <w:rsid w:val="000B1C1E"/>
    <w:rsid w:val="000B1C46"/>
    <w:rsid w:val="000B1D5B"/>
    <w:rsid w:val="000B1F91"/>
    <w:rsid w:val="000B2016"/>
    <w:rsid w:val="000B24BB"/>
    <w:rsid w:val="000B28A4"/>
    <w:rsid w:val="000B293D"/>
    <w:rsid w:val="000B2D73"/>
    <w:rsid w:val="000B2DCB"/>
    <w:rsid w:val="000B2E10"/>
    <w:rsid w:val="000B3019"/>
    <w:rsid w:val="000B321A"/>
    <w:rsid w:val="000B325B"/>
    <w:rsid w:val="000B325C"/>
    <w:rsid w:val="000B3278"/>
    <w:rsid w:val="000B32B9"/>
    <w:rsid w:val="000B370E"/>
    <w:rsid w:val="000B3860"/>
    <w:rsid w:val="000B39A0"/>
    <w:rsid w:val="000B3C61"/>
    <w:rsid w:val="000B3D54"/>
    <w:rsid w:val="000B3F71"/>
    <w:rsid w:val="000B404A"/>
    <w:rsid w:val="000B40E1"/>
    <w:rsid w:val="000B424B"/>
    <w:rsid w:val="000B43B5"/>
    <w:rsid w:val="000B4B28"/>
    <w:rsid w:val="000B4BF5"/>
    <w:rsid w:val="000B4CE6"/>
    <w:rsid w:val="000B53B8"/>
    <w:rsid w:val="000B543D"/>
    <w:rsid w:val="000B55A4"/>
    <w:rsid w:val="000B570D"/>
    <w:rsid w:val="000B57B8"/>
    <w:rsid w:val="000B5A82"/>
    <w:rsid w:val="000B5C55"/>
    <w:rsid w:val="000B5C8A"/>
    <w:rsid w:val="000B5EFF"/>
    <w:rsid w:val="000B6153"/>
    <w:rsid w:val="000B61F4"/>
    <w:rsid w:val="000B62F5"/>
    <w:rsid w:val="000B681D"/>
    <w:rsid w:val="000B6827"/>
    <w:rsid w:val="000B69AF"/>
    <w:rsid w:val="000B6A92"/>
    <w:rsid w:val="000B6BD7"/>
    <w:rsid w:val="000B6BFA"/>
    <w:rsid w:val="000B6C78"/>
    <w:rsid w:val="000B6D86"/>
    <w:rsid w:val="000B72BD"/>
    <w:rsid w:val="000B73EC"/>
    <w:rsid w:val="000B73FF"/>
    <w:rsid w:val="000B77EC"/>
    <w:rsid w:val="000B788B"/>
    <w:rsid w:val="000B7DE1"/>
    <w:rsid w:val="000B7DFB"/>
    <w:rsid w:val="000B7F12"/>
    <w:rsid w:val="000B7F8F"/>
    <w:rsid w:val="000B7FD3"/>
    <w:rsid w:val="000C0449"/>
    <w:rsid w:val="000C0506"/>
    <w:rsid w:val="000C08DE"/>
    <w:rsid w:val="000C1144"/>
    <w:rsid w:val="000C135A"/>
    <w:rsid w:val="000C137B"/>
    <w:rsid w:val="000C1824"/>
    <w:rsid w:val="000C1AAF"/>
    <w:rsid w:val="000C1B78"/>
    <w:rsid w:val="000C1BB5"/>
    <w:rsid w:val="000C1CC9"/>
    <w:rsid w:val="000C21B6"/>
    <w:rsid w:val="000C21C9"/>
    <w:rsid w:val="000C23B2"/>
    <w:rsid w:val="000C23D0"/>
    <w:rsid w:val="000C24DE"/>
    <w:rsid w:val="000C25E1"/>
    <w:rsid w:val="000C269A"/>
    <w:rsid w:val="000C2762"/>
    <w:rsid w:val="000C2976"/>
    <w:rsid w:val="000C2977"/>
    <w:rsid w:val="000C2A42"/>
    <w:rsid w:val="000C2A95"/>
    <w:rsid w:val="000C2C96"/>
    <w:rsid w:val="000C2C9B"/>
    <w:rsid w:val="000C2DDC"/>
    <w:rsid w:val="000C2FA5"/>
    <w:rsid w:val="000C35E7"/>
    <w:rsid w:val="000C3719"/>
    <w:rsid w:val="000C373B"/>
    <w:rsid w:val="000C38EA"/>
    <w:rsid w:val="000C39E0"/>
    <w:rsid w:val="000C3A33"/>
    <w:rsid w:val="000C3C5C"/>
    <w:rsid w:val="000C4015"/>
    <w:rsid w:val="000C4114"/>
    <w:rsid w:val="000C41CF"/>
    <w:rsid w:val="000C42BD"/>
    <w:rsid w:val="000C4466"/>
    <w:rsid w:val="000C465D"/>
    <w:rsid w:val="000C4B63"/>
    <w:rsid w:val="000C4CD4"/>
    <w:rsid w:val="000C4F7C"/>
    <w:rsid w:val="000C50C0"/>
    <w:rsid w:val="000C5207"/>
    <w:rsid w:val="000C5211"/>
    <w:rsid w:val="000C5240"/>
    <w:rsid w:val="000C539E"/>
    <w:rsid w:val="000C5473"/>
    <w:rsid w:val="000C587C"/>
    <w:rsid w:val="000C5A63"/>
    <w:rsid w:val="000C5FC9"/>
    <w:rsid w:val="000C6083"/>
    <w:rsid w:val="000C6335"/>
    <w:rsid w:val="000C64B4"/>
    <w:rsid w:val="000C64C4"/>
    <w:rsid w:val="000C64D2"/>
    <w:rsid w:val="000C6847"/>
    <w:rsid w:val="000C73DB"/>
    <w:rsid w:val="000C7693"/>
    <w:rsid w:val="000C76A4"/>
    <w:rsid w:val="000C76DB"/>
    <w:rsid w:val="000C790A"/>
    <w:rsid w:val="000C7D34"/>
    <w:rsid w:val="000C7D43"/>
    <w:rsid w:val="000C7E52"/>
    <w:rsid w:val="000D0183"/>
    <w:rsid w:val="000D0225"/>
    <w:rsid w:val="000D0B7F"/>
    <w:rsid w:val="000D0ECC"/>
    <w:rsid w:val="000D0F88"/>
    <w:rsid w:val="000D1081"/>
    <w:rsid w:val="000D115D"/>
    <w:rsid w:val="000D11D7"/>
    <w:rsid w:val="000D1332"/>
    <w:rsid w:val="000D153E"/>
    <w:rsid w:val="000D1543"/>
    <w:rsid w:val="000D15DA"/>
    <w:rsid w:val="000D1661"/>
    <w:rsid w:val="000D16DB"/>
    <w:rsid w:val="000D1837"/>
    <w:rsid w:val="000D1873"/>
    <w:rsid w:val="000D1991"/>
    <w:rsid w:val="000D1B63"/>
    <w:rsid w:val="000D1DAF"/>
    <w:rsid w:val="000D1EB5"/>
    <w:rsid w:val="000D1F37"/>
    <w:rsid w:val="000D27F7"/>
    <w:rsid w:val="000D2AD9"/>
    <w:rsid w:val="000D2B72"/>
    <w:rsid w:val="000D2C6F"/>
    <w:rsid w:val="000D2C7C"/>
    <w:rsid w:val="000D2E1D"/>
    <w:rsid w:val="000D32DC"/>
    <w:rsid w:val="000D3439"/>
    <w:rsid w:val="000D3706"/>
    <w:rsid w:val="000D3D2E"/>
    <w:rsid w:val="000D3E2D"/>
    <w:rsid w:val="000D3F86"/>
    <w:rsid w:val="000D4092"/>
    <w:rsid w:val="000D4192"/>
    <w:rsid w:val="000D41FA"/>
    <w:rsid w:val="000D4253"/>
    <w:rsid w:val="000D4346"/>
    <w:rsid w:val="000D43F3"/>
    <w:rsid w:val="000D47EF"/>
    <w:rsid w:val="000D4881"/>
    <w:rsid w:val="000D4B12"/>
    <w:rsid w:val="000D4B74"/>
    <w:rsid w:val="000D4F47"/>
    <w:rsid w:val="000D50A7"/>
    <w:rsid w:val="000D59E0"/>
    <w:rsid w:val="000D604D"/>
    <w:rsid w:val="000D63AC"/>
    <w:rsid w:val="000D63EE"/>
    <w:rsid w:val="000D6727"/>
    <w:rsid w:val="000D68E1"/>
    <w:rsid w:val="000D69D4"/>
    <w:rsid w:val="000D6C7B"/>
    <w:rsid w:val="000D712E"/>
    <w:rsid w:val="000D7180"/>
    <w:rsid w:val="000D71BC"/>
    <w:rsid w:val="000D7246"/>
    <w:rsid w:val="000D72ED"/>
    <w:rsid w:val="000D733C"/>
    <w:rsid w:val="000D741D"/>
    <w:rsid w:val="000D75E9"/>
    <w:rsid w:val="000D7930"/>
    <w:rsid w:val="000D7977"/>
    <w:rsid w:val="000D7C49"/>
    <w:rsid w:val="000D7C9D"/>
    <w:rsid w:val="000D7E48"/>
    <w:rsid w:val="000E01A1"/>
    <w:rsid w:val="000E0380"/>
    <w:rsid w:val="000E0393"/>
    <w:rsid w:val="000E05EE"/>
    <w:rsid w:val="000E05F8"/>
    <w:rsid w:val="000E08D3"/>
    <w:rsid w:val="000E0A0D"/>
    <w:rsid w:val="000E0A42"/>
    <w:rsid w:val="000E0B7B"/>
    <w:rsid w:val="000E0C35"/>
    <w:rsid w:val="000E0C52"/>
    <w:rsid w:val="000E0CFB"/>
    <w:rsid w:val="000E0D28"/>
    <w:rsid w:val="000E0FFE"/>
    <w:rsid w:val="000E1032"/>
    <w:rsid w:val="000E10E6"/>
    <w:rsid w:val="000E115D"/>
    <w:rsid w:val="000E117C"/>
    <w:rsid w:val="000E13A9"/>
    <w:rsid w:val="000E13B6"/>
    <w:rsid w:val="000E1564"/>
    <w:rsid w:val="000E191D"/>
    <w:rsid w:val="000E1A3A"/>
    <w:rsid w:val="000E1B80"/>
    <w:rsid w:val="000E1C09"/>
    <w:rsid w:val="000E1C59"/>
    <w:rsid w:val="000E1F03"/>
    <w:rsid w:val="000E1F60"/>
    <w:rsid w:val="000E205D"/>
    <w:rsid w:val="000E2096"/>
    <w:rsid w:val="000E2736"/>
    <w:rsid w:val="000E27C0"/>
    <w:rsid w:val="000E28E6"/>
    <w:rsid w:val="000E2E80"/>
    <w:rsid w:val="000E2EB5"/>
    <w:rsid w:val="000E2F4C"/>
    <w:rsid w:val="000E33E8"/>
    <w:rsid w:val="000E37DB"/>
    <w:rsid w:val="000E38BE"/>
    <w:rsid w:val="000E3B21"/>
    <w:rsid w:val="000E3C7F"/>
    <w:rsid w:val="000E3E93"/>
    <w:rsid w:val="000E40E4"/>
    <w:rsid w:val="000E4409"/>
    <w:rsid w:val="000E440F"/>
    <w:rsid w:val="000E45D0"/>
    <w:rsid w:val="000E472A"/>
    <w:rsid w:val="000E472B"/>
    <w:rsid w:val="000E4B49"/>
    <w:rsid w:val="000E4CAC"/>
    <w:rsid w:val="000E4F30"/>
    <w:rsid w:val="000E4F5F"/>
    <w:rsid w:val="000E4FA8"/>
    <w:rsid w:val="000E506B"/>
    <w:rsid w:val="000E50E6"/>
    <w:rsid w:val="000E519A"/>
    <w:rsid w:val="000E51EF"/>
    <w:rsid w:val="000E5276"/>
    <w:rsid w:val="000E560F"/>
    <w:rsid w:val="000E5649"/>
    <w:rsid w:val="000E56A7"/>
    <w:rsid w:val="000E5985"/>
    <w:rsid w:val="000E5A2A"/>
    <w:rsid w:val="000E5D3B"/>
    <w:rsid w:val="000E5EDB"/>
    <w:rsid w:val="000E6194"/>
    <w:rsid w:val="000E621E"/>
    <w:rsid w:val="000E6404"/>
    <w:rsid w:val="000E6C28"/>
    <w:rsid w:val="000E6D99"/>
    <w:rsid w:val="000E6FE2"/>
    <w:rsid w:val="000E7307"/>
    <w:rsid w:val="000E730E"/>
    <w:rsid w:val="000E7492"/>
    <w:rsid w:val="000E74E1"/>
    <w:rsid w:val="000E75B9"/>
    <w:rsid w:val="000E7840"/>
    <w:rsid w:val="000E7C18"/>
    <w:rsid w:val="000E7C64"/>
    <w:rsid w:val="000E7D52"/>
    <w:rsid w:val="000E7E91"/>
    <w:rsid w:val="000F006D"/>
    <w:rsid w:val="000F0196"/>
    <w:rsid w:val="000F04F8"/>
    <w:rsid w:val="000F05B0"/>
    <w:rsid w:val="000F0833"/>
    <w:rsid w:val="000F0C54"/>
    <w:rsid w:val="000F0DE4"/>
    <w:rsid w:val="000F0E55"/>
    <w:rsid w:val="000F0EEF"/>
    <w:rsid w:val="000F14EF"/>
    <w:rsid w:val="000F165E"/>
    <w:rsid w:val="000F16FC"/>
    <w:rsid w:val="000F1712"/>
    <w:rsid w:val="000F1767"/>
    <w:rsid w:val="000F176A"/>
    <w:rsid w:val="000F182A"/>
    <w:rsid w:val="000F1E09"/>
    <w:rsid w:val="000F1E9C"/>
    <w:rsid w:val="000F208E"/>
    <w:rsid w:val="000F2217"/>
    <w:rsid w:val="000F230B"/>
    <w:rsid w:val="000F265B"/>
    <w:rsid w:val="000F26CA"/>
    <w:rsid w:val="000F26E1"/>
    <w:rsid w:val="000F278B"/>
    <w:rsid w:val="000F2927"/>
    <w:rsid w:val="000F29CB"/>
    <w:rsid w:val="000F29EA"/>
    <w:rsid w:val="000F2A4D"/>
    <w:rsid w:val="000F2B63"/>
    <w:rsid w:val="000F2BF9"/>
    <w:rsid w:val="000F2CB1"/>
    <w:rsid w:val="000F2E09"/>
    <w:rsid w:val="000F34BE"/>
    <w:rsid w:val="000F36B2"/>
    <w:rsid w:val="000F3823"/>
    <w:rsid w:val="000F3852"/>
    <w:rsid w:val="000F3A02"/>
    <w:rsid w:val="000F3ABC"/>
    <w:rsid w:val="000F3B9A"/>
    <w:rsid w:val="000F3BEE"/>
    <w:rsid w:val="000F3DA3"/>
    <w:rsid w:val="000F40A8"/>
    <w:rsid w:val="000F40CA"/>
    <w:rsid w:val="000F4326"/>
    <w:rsid w:val="000F435B"/>
    <w:rsid w:val="000F449B"/>
    <w:rsid w:val="000F4647"/>
    <w:rsid w:val="000F4A13"/>
    <w:rsid w:val="000F4A39"/>
    <w:rsid w:val="000F4A98"/>
    <w:rsid w:val="000F4E68"/>
    <w:rsid w:val="000F4F64"/>
    <w:rsid w:val="000F50B4"/>
    <w:rsid w:val="000F5177"/>
    <w:rsid w:val="000F5305"/>
    <w:rsid w:val="000F5365"/>
    <w:rsid w:val="000F5527"/>
    <w:rsid w:val="000F59E4"/>
    <w:rsid w:val="000F5BE1"/>
    <w:rsid w:val="000F5C00"/>
    <w:rsid w:val="000F5C9E"/>
    <w:rsid w:val="000F5D17"/>
    <w:rsid w:val="000F6342"/>
    <w:rsid w:val="000F640A"/>
    <w:rsid w:val="000F672C"/>
    <w:rsid w:val="000F6D03"/>
    <w:rsid w:val="000F6E35"/>
    <w:rsid w:val="000F6F8C"/>
    <w:rsid w:val="000F6F9A"/>
    <w:rsid w:val="000F7023"/>
    <w:rsid w:val="000F71A3"/>
    <w:rsid w:val="000F7430"/>
    <w:rsid w:val="000F771E"/>
    <w:rsid w:val="000F777F"/>
    <w:rsid w:val="000F7A20"/>
    <w:rsid w:val="000F7A40"/>
    <w:rsid w:val="000F7B3A"/>
    <w:rsid w:val="000F7D7C"/>
    <w:rsid w:val="0010014F"/>
    <w:rsid w:val="00100161"/>
    <w:rsid w:val="00100186"/>
    <w:rsid w:val="001003F4"/>
    <w:rsid w:val="0010044F"/>
    <w:rsid w:val="001008CB"/>
    <w:rsid w:val="00100922"/>
    <w:rsid w:val="00100A65"/>
    <w:rsid w:val="00100E7B"/>
    <w:rsid w:val="00100F94"/>
    <w:rsid w:val="0010116E"/>
    <w:rsid w:val="001011CE"/>
    <w:rsid w:val="0010151C"/>
    <w:rsid w:val="00101862"/>
    <w:rsid w:val="00101949"/>
    <w:rsid w:val="001019FB"/>
    <w:rsid w:val="00101A9B"/>
    <w:rsid w:val="00101E28"/>
    <w:rsid w:val="00102009"/>
    <w:rsid w:val="00102140"/>
    <w:rsid w:val="0010222B"/>
    <w:rsid w:val="001025A2"/>
    <w:rsid w:val="001025BB"/>
    <w:rsid w:val="00102767"/>
    <w:rsid w:val="0010279A"/>
    <w:rsid w:val="001027F4"/>
    <w:rsid w:val="00102943"/>
    <w:rsid w:val="0010297C"/>
    <w:rsid w:val="00102B2D"/>
    <w:rsid w:val="00102B69"/>
    <w:rsid w:val="00102C74"/>
    <w:rsid w:val="00102DFF"/>
    <w:rsid w:val="00102F09"/>
    <w:rsid w:val="00102FF5"/>
    <w:rsid w:val="001031DA"/>
    <w:rsid w:val="001032C7"/>
    <w:rsid w:val="0010351F"/>
    <w:rsid w:val="00103986"/>
    <w:rsid w:val="00103AAC"/>
    <w:rsid w:val="00103CFB"/>
    <w:rsid w:val="00103D1C"/>
    <w:rsid w:val="00104133"/>
    <w:rsid w:val="001041A9"/>
    <w:rsid w:val="0010439E"/>
    <w:rsid w:val="001045A6"/>
    <w:rsid w:val="001045A7"/>
    <w:rsid w:val="001045E9"/>
    <w:rsid w:val="001047F8"/>
    <w:rsid w:val="00104A91"/>
    <w:rsid w:val="00104B0A"/>
    <w:rsid w:val="00104C4D"/>
    <w:rsid w:val="00104E8F"/>
    <w:rsid w:val="00104E9F"/>
    <w:rsid w:val="00104EA4"/>
    <w:rsid w:val="00104ED5"/>
    <w:rsid w:val="00104FFB"/>
    <w:rsid w:val="00105037"/>
    <w:rsid w:val="00105045"/>
    <w:rsid w:val="0010528B"/>
    <w:rsid w:val="001054AD"/>
    <w:rsid w:val="001055B2"/>
    <w:rsid w:val="001055C9"/>
    <w:rsid w:val="001056B2"/>
    <w:rsid w:val="00105851"/>
    <w:rsid w:val="0010603D"/>
    <w:rsid w:val="001061A8"/>
    <w:rsid w:val="001061D8"/>
    <w:rsid w:val="001061FA"/>
    <w:rsid w:val="001062BE"/>
    <w:rsid w:val="00106383"/>
    <w:rsid w:val="001065B5"/>
    <w:rsid w:val="00106657"/>
    <w:rsid w:val="00106811"/>
    <w:rsid w:val="00106A33"/>
    <w:rsid w:val="00106C30"/>
    <w:rsid w:val="00106CAE"/>
    <w:rsid w:val="00106CB6"/>
    <w:rsid w:val="00106D07"/>
    <w:rsid w:val="00106E0B"/>
    <w:rsid w:val="00106EDD"/>
    <w:rsid w:val="001077F6"/>
    <w:rsid w:val="00107914"/>
    <w:rsid w:val="00107954"/>
    <w:rsid w:val="00107B99"/>
    <w:rsid w:val="00107C0A"/>
    <w:rsid w:val="00107D5C"/>
    <w:rsid w:val="00107FF4"/>
    <w:rsid w:val="00110158"/>
    <w:rsid w:val="00110287"/>
    <w:rsid w:val="001102CA"/>
    <w:rsid w:val="001103B0"/>
    <w:rsid w:val="00110655"/>
    <w:rsid w:val="00110924"/>
    <w:rsid w:val="00110AE6"/>
    <w:rsid w:val="00111076"/>
    <w:rsid w:val="0011157A"/>
    <w:rsid w:val="0011157C"/>
    <w:rsid w:val="001117B4"/>
    <w:rsid w:val="00111882"/>
    <w:rsid w:val="00111988"/>
    <w:rsid w:val="00111C4E"/>
    <w:rsid w:val="00111ECC"/>
    <w:rsid w:val="00112146"/>
    <w:rsid w:val="00112177"/>
    <w:rsid w:val="00112256"/>
    <w:rsid w:val="001122DB"/>
    <w:rsid w:val="0011253E"/>
    <w:rsid w:val="001125A8"/>
    <w:rsid w:val="00112A93"/>
    <w:rsid w:val="00112E1B"/>
    <w:rsid w:val="00113166"/>
    <w:rsid w:val="00113216"/>
    <w:rsid w:val="0011335A"/>
    <w:rsid w:val="00113426"/>
    <w:rsid w:val="0011353B"/>
    <w:rsid w:val="00113854"/>
    <w:rsid w:val="001139CB"/>
    <w:rsid w:val="00113C99"/>
    <w:rsid w:val="00113DDC"/>
    <w:rsid w:val="00113E71"/>
    <w:rsid w:val="001142F0"/>
    <w:rsid w:val="001143BE"/>
    <w:rsid w:val="00114707"/>
    <w:rsid w:val="00114822"/>
    <w:rsid w:val="001149D1"/>
    <w:rsid w:val="00114C76"/>
    <w:rsid w:val="00114CD6"/>
    <w:rsid w:val="0011502A"/>
    <w:rsid w:val="0011528D"/>
    <w:rsid w:val="001154F8"/>
    <w:rsid w:val="00115547"/>
    <w:rsid w:val="001155C2"/>
    <w:rsid w:val="001155E5"/>
    <w:rsid w:val="00115667"/>
    <w:rsid w:val="00115890"/>
    <w:rsid w:val="00115ABD"/>
    <w:rsid w:val="00115B1F"/>
    <w:rsid w:val="00115E8A"/>
    <w:rsid w:val="00116156"/>
    <w:rsid w:val="001161EB"/>
    <w:rsid w:val="001162CA"/>
    <w:rsid w:val="001162F0"/>
    <w:rsid w:val="00116779"/>
    <w:rsid w:val="001167DE"/>
    <w:rsid w:val="00116C60"/>
    <w:rsid w:val="00116D02"/>
    <w:rsid w:val="00116E28"/>
    <w:rsid w:val="00117016"/>
    <w:rsid w:val="0011705B"/>
    <w:rsid w:val="00117104"/>
    <w:rsid w:val="001173D2"/>
    <w:rsid w:val="00117532"/>
    <w:rsid w:val="00117886"/>
    <w:rsid w:val="0011792D"/>
    <w:rsid w:val="00117A72"/>
    <w:rsid w:val="00117AA6"/>
    <w:rsid w:val="00117BD6"/>
    <w:rsid w:val="00117D23"/>
    <w:rsid w:val="00117D91"/>
    <w:rsid w:val="00117FB6"/>
    <w:rsid w:val="001200D4"/>
    <w:rsid w:val="00120104"/>
    <w:rsid w:val="00120328"/>
    <w:rsid w:val="00120588"/>
    <w:rsid w:val="001206AE"/>
    <w:rsid w:val="00120811"/>
    <w:rsid w:val="001208BB"/>
    <w:rsid w:val="001209F5"/>
    <w:rsid w:val="00120A9B"/>
    <w:rsid w:val="00120BDF"/>
    <w:rsid w:val="00120DEC"/>
    <w:rsid w:val="00120F72"/>
    <w:rsid w:val="001211BE"/>
    <w:rsid w:val="00121263"/>
    <w:rsid w:val="001213DF"/>
    <w:rsid w:val="001214E8"/>
    <w:rsid w:val="001215E5"/>
    <w:rsid w:val="00121846"/>
    <w:rsid w:val="00121A08"/>
    <w:rsid w:val="00121A45"/>
    <w:rsid w:val="00121AE6"/>
    <w:rsid w:val="00121C76"/>
    <w:rsid w:val="00121CDB"/>
    <w:rsid w:val="00122047"/>
    <w:rsid w:val="001220FC"/>
    <w:rsid w:val="00122324"/>
    <w:rsid w:val="001225FF"/>
    <w:rsid w:val="0012271B"/>
    <w:rsid w:val="0012286C"/>
    <w:rsid w:val="001228EB"/>
    <w:rsid w:val="0012299B"/>
    <w:rsid w:val="00122A6E"/>
    <w:rsid w:val="00122B19"/>
    <w:rsid w:val="00122C23"/>
    <w:rsid w:val="00122CE0"/>
    <w:rsid w:val="00122D4C"/>
    <w:rsid w:val="00122EBC"/>
    <w:rsid w:val="001235B8"/>
    <w:rsid w:val="0012363F"/>
    <w:rsid w:val="001236CD"/>
    <w:rsid w:val="00123720"/>
    <w:rsid w:val="001237F5"/>
    <w:rsid w:val="001237FB"/>
    <w:rsid w:val="0012389B"/>
    <w:rsid w:val="00123AAC"/>
    <w:rsid w:val="00123AC2"/>
    <w:rsid w:val="00123E1A"/>
    <w:rsid w:val="00123F14"/>
    <w:rsid w:val="0012416D"/>
    <w:rsid w:val="00124307"/>
    <w:rsid w:val="001244E5"/>
    <w:rsid w:val="00124602"/>
    <w:rsid w:val="00124665"/>
    <w:rsid w:val="0012469D"/>
    <w:rsid w:val="00124763"/>
    <w:rsid w:val="001247B2"/>
    <w:rsid w:val="00124B43"/>
    <w:rsid w:val="00124C30"/>
    <w:rsid w:val="00124DC3"/>
    <w:rsid w:val="00124E8C"/>
    <w:rsid w:val="00124F0D"/>
    <w:rsid w:val="001250C5"/>
    <w:rsid w:val="00125190"/>
    <w:rsid w:val="00125390"/>
    <w:rsid w:val="00125462"/>
    <w:rsid w:val="0012548D"/>
    <w:rsid w:val="00125510"/>
    <w:rsid w:val="00125829"/>
    <w:rsid w:val="00125843"/>
    <w:rsid w:val="00125B1C"/>
    <w:rsid w:val="00125B21"/>
    <w:rsid w:val="00125B4A"/>
    <w:rsid w:val="00125B53"/>
    <w:rsid w:val="00126397"/>
    <w:rsid w:val="00126405"/>
    <w:rsid w:val="001264C0"/>
    <w:rsid w:val="0012677C"/>
    <w:rsid w:val="00126AC2"/>
    <w:rsid w:val="00126AE5"/>
    <w:rsid w:val="00126C40"/>
    <w:rsid w:val="00126CF9"/>
    <w:rsid w:val="00126E6D"/>
    <w:rsid w:val="00126EF2"/>
    <w:rsid w:val="00127312"/>
    <w:rsid w:val="00127597"/>
    <w:rsid w:val="001276B3"/>
    <w:rsid w:val="001277A1"/>
    <w:rsid w:val="00127844"/>
    <w:rsid w:val="00127FFB"/>
    <w:rsid w:val="00130050"/>
    <w:rsid w:val="0013014C"/>
    <w:rsid w:val="00130161"/>
    <w:rsid w:val="001303AB"/>
    <w:rsid w:val="0013062B"/>
    <w:rsid w:val="001306D1"/>
    <w:rsid w:val="00130749"/>
    <w:rsid w:val="00130779"/>
    <w:rsid w:val="00130A7C"/>
    <w:rsid w:val="00130A8D"/>
    <w:rsid w:val="00130ABC"/>
    <w:rsid w:val="00130B14"/>
    <w:rsid w:val="00130B88"/>
    <w:rsid w:val="00130B8A"/>
    <w:rsid w:val="00130C11"/>
    <w:rsid w:val="00130DDA"/>
    <w:rsid w:val="00130F0D"/>
    <w:rsid w:val="00130FC8"/>
    <w:rsid w:val="00131233"/>
    <w:rsid w:val="00131366"/>
    <w:rsid w:val="001314AE"/>
    <w:rsid w:val="001319E6"/>
    <w:rsid w:val="00131B92"/>
    <w:rsid w:val="0013201C"/>
    <w:rsid w:val="00132055"/>
    <w:rsid w:val="00132057"/>
    <w:rsid w:val="001320EA"/>
    <w:rsid w:val="001321FE"/>
    <w:rsid w:val="001322F6"/>
    <w:rsid w:val="001328AF"/>
    <w:rsid w:val="00132955"/>
    <w:rsid w:val="0013299B"/>
    <w:rsid w:val="00132B05"/>
    <w:rsid w:val="00132C3B"/>
    <w:rsid w:val="00132C82"/>
    <w:rsid w:val="00132EC0"/>
    <w:rsid w:val="00133233"/>
    <w:rsid w:val="0013369A"/>
    <w:rsid w:val="001338FB"/>
    <w:rsid w:val="00133B5C"/>
    <w:rsid w:val="00133FCA"/>
    <w:rsid w:val="001340F6"/>
    <w:rsid w:val="00134260"/>
    <w:rsid w:val="00134272"/>
    <w:rsid w:val="0013432D"/>
    <w:rsid w:val="001343FB"/>
    <w:rsid w:val="00134788"/>
    <w:rsid w:val="00134C13"/>
    <w:rsid w:val="00134E1B"/>
    <w:rsid w:val="00134E6E"/>
    <w:rsid w:val="0013510F"/>
    <w:rsid w:val="001352A0"/>
    <w:rsid w:val="0013556B"/>
    <w:rsid w:val="00135AFD"/>
    <w:rsid w:val="00135DD0"/>
    <w:rsid w:val="00135F04"/>
    <w:rsid w:val="00135FC5"/>
    <w:rsid w:val="00136232"/>
    <w:rsid w:val="00136327"/>
    <w:rsid w:val="001363B0"/>
    <w:rsid w:val="0013647E"/>
    <w:rsid w:val="00136590"/>
    <w:rsid w:val="001365B4"/>
    <w:rsid w:val="00136660"/>
    <w:rsid w:val="00136843"/>
    <w:rsid w:val="00136EAD"/>
    <w:rsid w:val="0013701C"/>
    <w:rsid w:val="001370E9"/>
    <w:rsid w:val="001375AB"/>
    <w:rsid w:val="0013782C"/>
    <w:rsid w:val="001379D4"/>
    <w:rsid w:val="00137BB9"/>
    <w:rsid w:val="00137D4E"/>
    <w:rsid w:val="00137D95"/>
    <w:rsid w:val="00137DDE"/>
    <w:rsid w:val="00140177"/>
    <w:rsid w:val="001402D2"/>
    <w:rsid w:val="001405E0"/>
    <w:rsid w:val="001405FF"/>
    <w:rsid w:val="00140759"/>
    <w:rsid w:val="00140841"/>
    <w:rsid w:val="001408C3"/>
    <w:rsid w:val="00140A83"/>
    <w:rsid w:val="00141091"/>
    <w:rsid w:val="0014112F"/>
    <w:rsid w:val="0014135D"/>
    <w:rsid w:val="001413DB"/>
    <w:rsid w:val="00141518"/>
    <w:rsid w:val="001419AC"/>
    <w:rsid w:val="00141A4A"/>
    <w:rsid w:val="00141D3C"/>
    <w:rsid w:val="00141DE6"/>
    <w:rsid w:val="0014207F"/>
    <w:rsid w:val="001420EE"/>
    <w:rsid w:val="00142202"/>
    <w:rsid w:val="00142295"/>
    <w:rsid w:val="0014231D"/>
    <w:rsid w:val="00142333"/>
    <w:rsid w:val="0014249E"/>
    <w:rsid w:val="001425B6"/>
    <w:rsid w:val="001429FC"/>
    <w:rsid w:val="00142AA8"/>
    <w:rsid w:val="00142D0B"/>
    <w:rsid w:val="00142DF4"/>
    <w:rsid w:val="00142EB2"/>
    <w:rsid w:val="00143122"/>
    <w:rsid w:val="001431D6"/>
    <w:rsid w:val="0014322F"/>
    <w:rsid w:val="00143404"/>
    <w:rsid w:val="001435E3"/>
    <w:rsid w:val="0014364F"/>
    <w:rsid w:val="0014365E"/>
    <w:rsid w:val="00143756"/>
    <w:rsid w:val="00143A27"/>
    <w:rsid w:val="00143E81"/>
    <w:rsid w:val="00143EAE"/>
    <w:rsid w:val="00144129"/>
    <w:rsid w:val="0014419A"/>
    <w:rsid w:val="00144266"/>
    <w:rsid w:val="00144A75"/>
    <w:rsid w:val="00144A78"/>
    <w:rsid w:val="00144AEB"/>
    <w:rsid w:val="001454C1"/>
    <w:rsid w:val="0014566C"/>
    <w:rsid w:val="0014595D"/>
    <w:rsid w:val="00145BFF"/>
    <w:rsid w:val="00145C9E"/>
    <w:rsid w:val="00145E8A"/>
    <w:rsid w:val="00145FB6"/>
    <w:rsid w:val="00146267"/>
    <w:rsid w:val="0014640D"/>
    <w:rsid w:val="00146924"/>
    <w:rsid w:val="001469F0"/>
    <w:rsid w:val="00146A55"/>
    <w:rsid w:val="00146A74"/>
    <w:rsid w:val="00146BBE"/>
    <w:rsid w:val="00146EC9"/>
    <w:rsid w:val="00146F3A"/>
    <w:rsid w:val="00146F6D"/>
    <w:rsid w:val="00147095"/>
    <w:rsid w:val="001474DA"/>
    <w:rsid w:val="00147614"/>
    <w:rsid w:val="0014796C"/>
    <w:rsid w:val="00147A53"/>
    <w:rsid w:val="00147ADD"/>
    <w:rsid w:val="00147B5C"/>
    <w:rsid w:val="00147BD3"/>
    <w:rsid w:val="00147D42"/>
    <w:rsid w:val="00150205"/>
    <w:rsid w:val="001505F2"/>
    <w:rsid w:val="00150A5C"/>
    <w:rsid w:val="00150C00"/>
    <w:rsid w:val="001510AC"/>
    <w:rsid w:val="001511E7"/>
    <w:rsid w:val="00151364"/>
    <w:rsid w:val="001514D7"/>
    <w:rsid w:val="001515F5"/>
    <w:rsid w:val="0015185A"/>
    <w:rsid w:val="00151ADA"/>
    <w:rsid w:val="0015235C"/>
    <w:rsid w:val="0015259F"/>
    <w:rsid w:val="001525F1"/>
    <w:rsid w:val="001529C4"/>
    <w:rsid w:val="00152B56"/>
    <w:rsid w:val="001530E6"/>
    <w:rsid w:val="00153432"/>
    <w:rsid w:val="0015349E"/>
    <w:rsid w:val="001537F5"/>
    <w:rsid w:val="00153881"/>
    <w:rsid w:val="00153927"/>
    <w:rsid w:val="00153DC5"/>
    <w:rsid w:val="00153E44"/>
    <w:rsid w:val="00153E47"/>
    <w:rsid w:val="00153F3D"/>
    <w:rsid w:val="00154032"/>
    <w:rsid w:val="0015405A"/>
    <w:rsid w:val="0015412F"/>
    <w:rsid w:val="00154202"/>
    <w:rsid w:val="00154219"/>
    <w:rsid w:val="001543DC"/>
    <w:rsid w:val="00154649"/>
    <w:rsid w:val="0015467E"/>
    <w:rsid w:val="001546DE"/>
    <w:rsid w:val="00154799"/>
    <w:rsid w:val="00154FA1"/>
    <w:rsid w:val="0015523D"/>
    <w:rsid w:val="001554DC"/>
    <w:rsid w:val="0015559C"/>
    <w:rsid w:val="001555FF"/>
    <w:rsid w:val="00155855"/>
    <w:rsid w:val="00155944"/>
    <w:rsid w:val="00155A19"/>
    <w:rsid w:val="00155B2C"/>
    <w:rsid w:val="00155B82"/>
    <w:rsid w:val="00155E6C"/>
    <w:rsid w:val="00156113"/>
    <w:rsid w:val="0015619E"/>
    <w:rsid w:val="001562A7"/>
    <w:rsid w:val="00156326"/>
    <w:rsid w:val="00156358"/>
    <w:rsid w:val="001566EF"/>
    <w:rsid w:val="00156704"/>
    <w:rsid w:val="00156721"/>
    <w:rsid w:val="00156B3B"/>
    <w:rsid w:val="00156BAF"/>
    <w:rsid w:val="00156C56"/>
    <w:rsid w:val="00156CE9"/>
    <w:rsid w:val="00156CED"/>
    <w:rsid w:val="001576CE"/>
    <w:rsid w:val="001578DB"/>
    <w:rsid w:val="001579BE"/>
    <w:rsid w:val="00157B6F"/>
    <w:rsid w:val="001601F9"/>
    <w:rsid w:val="00160665"/>
    <w:rsid w:val="00160A3F"/>
    <w:rsid w:val="00160A69"/>
    <w:rsid w:val="00160AA2"/>
    <w:rsid w:val="00160DD8"/>
    <w:rsid w:val="00161076"/>
    <w:rsid w:val="0016131A"/>
    <w:rsid w:val="00161460"/>
    <w:rsid w:val="0016147C"/>
    <w:rsid w:val="001614BE"/>
    <w:rsid w:val="0016162C"/>
    <w:rsid w:val="0016166E"/>
    <w:rsid w:val="00161A16"/>
    <w:rsid w:val="00161A7E"/>
    <w:rsid w:val="00161B9E"/>
    <w:rsid w:val="00161C10"/>
    <w:rsid w:val="00161D58"/>
    <w:rsid w:val="00161E4B"/>
    <w:rsid w:val="00161E90"/>
    <w:rsid w:val="001621E3"/>
    <w:rsid w:val="00162254"/>
    <w:rsid w:val="001622D5"/>
    <w:rsid w:val="00162325"/>
    <w:rsid w:val="001625F0"/>
    <w:rsid w:val="001626DB"/>
    <w:rsid w:val="0016286D"/>
    <w:rsid w:val="0016288D"/>
    <w:rsid w:val="001629D8"/>
    <w:rsid w:val="001629E0"/>
    <w:rsid w:val="00162B8E"/>
    <w:rsid w:val="00162BFE"/>
    <w:rsid w:val="00162D66"/>
    <w:rsid w:val="00162D68"/>
    <w:rsid w:val="00162D78"/>
    <w:rsid w:val="00162DC1"/>
    <w:rsid w:val="00162F62"/>
    <w:rsid w:val="00162F90"/>
    <w:rsid w:val="001631A9"/>
    <w:rsid w:val="001631E4"/>
    <w:rsid w:val="00163207"/>
    <w:rsid w:val="0016328A"/>
    <w:rsid w:val="00163464"/>
    <w:rsid w:val="001636F2"/>
    <w:rsid w:val="00163874"/>
    <w:rsid w:val="001638F7"/>
    <w:rsid w:val="00163A8E"/>
    <w:rsid w:val="00163B2A"/>
    <w:rsid w:val="00163BD5"/>
    <w:rsid w:val="00163EC2"/>
    <w:rsid w:val="00164001"/>
    <w:rsid w:val="00164013"/>
    <w:rsid w:val="0016428A"/>
    <w:rsid w:val="00164365"/>
    <w:rsid w:val="0016448C"/>
    <w:rsid w:val="00164490"/>
    <w:rsid w:val="001644A5"/>
    <w:rsid w:val="0016465A"/>
    <w:rsid w:val="001646A1"/>
    <w:rsid w:val="001646B1"/>
    <w:rsid w:val="00164893"/>
    <w:rsid w:val="00164E31"/>
    <w:rsid w:val="00164EA4"/>
    <w:rsid w:val="00164F73"/>
    <w:rsid w:val="0016533B"/>
    <w:rsid w:val="0016542E"/>
    <w:rsid w:val="001654CC"/>
    <w:rsid w:val="0016559F"/>
    <w:rsid w:val="00165727"/>
    <w:rsid w:val="0016588B"/>
    <w:rsid w:val="00165A6A"/>
    <w:rsid w:val="00165B04"/>
    <w:rsid w:val="00165CD9"/>
    <w:rsid w:val="00165CEA"/>
    <w:rsid w:val="00165D8A"/>
    <w:rsid w:val="00165DF9"/>
    <w:rsid w:val="00165E2A"/>
    <w:rsid w:val="00165FAA"/>
    <w:rsid w:val="0016604D"/>
    <w:rsid w:val="001663A0"/>
    <w:rsid w:val="00166555"/>
    <w:rsid w:val="001665FE"/>
    <w:rsid w:val="00166827"/>
    <w:rsid w:val="00166838"/>
    <w:rsid w:val="00166840"/>
    <w:rsid w:val="00166A85"/>
    <w:rsid w:val="00166ABC"/>
    <w:rsid w:val="00166B79"/>
    <w:rsid w:val="00166BB4"/>
    <w:rsid w:val="00167142"/>
    <w:rsid w:val="001672F0"/>
    <w:rsid w:val="001675AA"/>
    <w:rsid w:val="001678F6"/>
    <w:rsid w:val="00167B6C"/>
    <w:rsid w:val="00167D02"/>
    <w:rsid w:val="00167F35"/>
    <w:rsid w:val="0017029F"/>
    <w:rsid w:val="00170323"/>
    <w:rsid w:val="001705B6"/>
    <w:rsid w:val="001707C2"/>
    <w:rsid w:val="00170859"/>
    <w:rsid w:val="001708C4"/>
    <w:rsid w:val="00170991"/>
    <w:rsid w:val="00170993"/>
    <w:rsid w:val="00170AA9"/>
    <w:rsid w:val="00170B0C"/>
    <w:rsid w:val="00170B4F"/>
    <w:rsid w:val="00170D76"/>
    <w:rsid w:val="001710CE"/>
    <w:rsid w:val="00171354"/>
    <w:rsid w:val="0017168F"/>
    <w:rsid w:val="001716FC"/>
    <w:rsid w:val="001719B4"/>
    <w:rsid w:val="00171A41"/>
    <w:rsid w:val="00171B4A"/>
    <w:rsid w:val="00171B72"/>
    <w:rsid w:val="00171C0C"/>
    <w:rsid w:val="00171D41"/>
    <w:rsid w:val="00171DEC"/>
    <w:rsid w:val="00172054"/>
    <w:rsid w:val="00172333"/>
    <w:rsid w:val="001723FD"/>
    <w:rsid w:val="001724AE"/>
    <w:rsid w:val="001728C2"/>
    <w:rsid w:val="00172AEF"/>
    <w:rsid w:val="00172C76"/>
    <w:rsid w:val="00172DFA"/>
    <w:rsid w:val="0017312E"/>
    <w:rsid w:val="001734B9"/>
    <w:rsid w:val="00173540"/>
    <w:rsid w:val="00173572"/>
    <w:rsid w:val="00173E3B"/>
    <w:rsid w:val="00173E8F"/>
    <w:rsid w:val="00173F2E"/>
    <w:rsid w:val="00173FC2"/>
    <w:rsid w:val="00174068"/>
    <w:rsid w:val="00174212"/>
    <w:rsid w:val="00174523"/>
    <w:rsid w:val="0017473C"/>
    <w:rsid w:val="001747D8"/>
    <w:rsid w:val="001749E5"/>
    <w:rsid w:val="00174E61"/>
    <w:rsid w:val="00174FE3"/>
    <w:rsid w:val="0017548D"/>
    <w:rsid w:val="00175516"/>
    <w:rsid w:val="001757B7"/>
    <w:rsid w:val="001758D4"/>
    <w:rsid w:val="001758F3"/>
    <w:rsid w:val="00175BB1"/>
    <w:rsid w:val="00175D38"/>
    <w:rsid w:val="001761B1"/>
    <w:rsid w:val="00176238"/>
    <w:rsid w:val="001763FC"/>
    <w:rsid w:val="00176779"/>
    <w:rsid w:val="00176A9B"/>
    <w:rsid w:val="00176BEB"/>
    <w:rsid w:val="00176D66"/>
    <w:rsid w:val="00176D7D"/>
    <w:rsid w:val="00176D8F"/>
    <w:rsid w:val="00176F61"/>
    <w:rsid w:val="00177378"/>
    <w:rsid w:val="0017785D"/>
    <w:rsid w:val="001779DE"/>
    <w:rsid w:val="00177EE1"/>
    <w:rsid w:val="00177FCB"/>
    <w:rsid w:val="0018006B"/>
    <w:rsid w:val="00180082"/>
    <w:rsid w:val="001804C3"/>
    <w:rsid w:val="001807CC"/>
    <w:rsid w:val="001808BC"/>
    <w:rsid w:val="00180938"/>
    <w:rsid w:val="001809B4"/>
    <w:rsid w:val="00180A9E"/>
    <w:rsid w:val="00180CA2"/>
    <w:rsid w:val="00180E2E"/>
    <w:rsid w:val="00180EF3"/>
    <w:rsid w:val="00180FA5"/>
    <w:rsid w:val="00181257"/>
    <w:rsid w:val="00181535"/>
    <w:rsid w:val="00181759"/>
    <w:rsid w:val="001817C6"/>
    <w:rsid w:val="00181863"/>
    <w:rsid w:val="001818A5"/>
    <w:rsid w:val="0018192A"/>
    <w:rsid w:val="00181D1C"/>
    <w:rsid w:val="00181E18"/>
    <w:rsid w:val="00181E5E"/>
    <w:rsid w:val="0018218A"/>
    <w:rsid w:val="001823EB"/>
    <w:rsid w:val="00182451"/>
    <w:rsid w:val="00182750"/>
    <w:rsid w:val="001827B3"/>
    <w:rsid w:val="001827E5"/>
    <w:rsid w:val="00182B23"/>
    <w:rsid w:val="00182C8C"/>
    <w:rsid w:val="00182EB5"/>
    <w:rsid w:val="00182F4D"/>
    <w:rsid w:val="001835EF"/>
    <w:rsid w:val="001836C2"/>
    <w:rsid w:val="00183898"/>
    <w:rsid w:val="00183959"/>
    <w:rsid w:val="00183D3E"/>
    <w:rsid w:val="00183DE2"/>
    <w:rsid w:val="00183E6F"/>
    <w:rsid w:val="00184282"/>
    <w:rsid w:val="0018434B"/>
    <w:rsid w:val="0018461B"/>
    <w:rsid w:val="00184686"/>
    <w:rsid w:val="00184692"/>
    <w:rsid w:val="0018475B"/>
    <w:rsid w:val="001847A9"/>
    <w:rsid w:val="00184B18"/>
    <w:rsid w:val="00184F8C"/>
    <w:rsid w:val="00184FC6"/>
    <w:rsid w:val="00185012"/>
    <w:rsid w:val="00185160"/>
    <w:rsid w:val="0018550B"/>
    <w:rsid w:val="00185567"/>
    <w:rsid w:val="00185E30"/>
    <w:rsid w:val="00185E7F"/>
    <w:rsid w:val="00185E8D"/>
    <w:rsid w:val="001860B5"/>
    <w:rsid w:val="001860F5"/>
    <w:rsid w:val="001863D9"/>
    <w:rsid w:val="00186536"/>
    <w:rsid w:val="001865B3"/>
    <w:rsid w:val="001865BB"/>
    <w:rsid w:val="00186734"/>
    <w:rsid w:val="00186851"/>
    <w:rsid w:val="00186857"/>
    <w:rsid w:val="001869AE"/>
    <w:rsid w:val="00186BEA"/>
    <w:rsid w:val="00186F18"/>
    <w:rsid w:val="00186F6D"/>
    <w:rsid w:val="00187174"/>
    <w:rsid w:val="0018722E"/>
    <w:rsid w:val="001872FD"/>
    <w:rsid w:val="00187495"/>
    <w:rsid w:val="00187676"/>
    <w:rsid w:val="001878EA"/>
    <w:rsid w:val="0018796E"/>
    <w:rsid w:val="0018798A"/>
    <w:rsid w:val="00187EC1"/>
    <w:rsid w:val="00187F0F"/>
    <w:rsid w:val="0019022A"/>
    <w:rsid w:val="00190262"/>
    <w:rsid w:val="00190289"/>
    <w:rsid w:val="001902D3"/>
    <w:rsid w:val="001903D1"/>
    <w:rsid w:val="0019045D"/>
    <w:rsid w:val="00190476"/>
    <w:rsid w:val="00190712"/>
    <w:rsid w:val="001908D8"/>
    <w:rsid w:val="0019097A"/>
    <w:rsid w:val="00190AF0"/>
    <w:rsid w:val="00190B18"/>
    <w:rsid w:val="00190B6A"/>
    <w:rsid w:val="00190F85"/>
    <w:rsid w:val="00190FAE"/>
    <w:rsid w:val="00191250"/>
    <w:rsid w:val="001915EB"/>
    <w:rsid w:val="00191781"/>
    <w:rsid w:val="0019178D"/>
    <w:rsid w:val="00191882"/>
    <w:rsid w:val="00191F82"/>
    <w:rsid w:val="00192220"/>
    <w:rsid w:val="0019223D"/>
    <w:rsid w:val="001924CD"/>
    <w:rsid w:val="001928F3"/>
    <w:rsid w:val="00192989"/>
    <w:rsid w:val="001929C1"/>
    <w:rsid w:val="00192A1C"/>
    <w:rsid w:val="00192A38"/>
    <w:rsid w:val="00192A48"/>
    <w:rsid w:val="00192E52"/>
    <w:rsid w:val="00192F67"/>
    <w:rsid w:val="001931BC"/>
    <w:rsid w:val="001931BE"/>
    <w:rsid w:val="00193483"/>
    <w:rsid w:val="00193990"/>
    <w:rsid w:val="00193A9D"/>
    <w:rsid w:val="00193FB4"/>
    <w:rsid w:val="0019406D"/>
    <w:rsid w:val="00194397"/>
    <w:rsid w:val="001944BE"/>
    <w:rsid w:val="00194533"/>
    <w:rsid w:val="001945B3"/>
    <w:rsid w:val="00194957"/>
    <w:rsid w:val="00194D03"/>
    <w:rsid w:val="00194E80"/>
    <w:rsid w:val="001952C1"/>
    <w:rsid w:val="001955E3"/>
    <w:rsid w:val="001957FE"/>
    <w:rsid w:val="001958E0"/>
    <w:rsid w:val="001959DA"/>
    <w:rsid w:val="00195C34"/>
    <w:rsid w:val="00195D16"/>
    <w:rsid w:val="00195DF2"/>
    <w:rsid w:val="00195F1F"/>
    <w:rsid w:val="00196157"/>
    <w:rsid w:val="001961AC"/>
    <w:rsid w:val="00196208"/>
    <w:rsid w:val="001963BB"/>
    <w:rsid w:val="00196791"/>
    <w:rsid w:val="001967BF"/>
    <w:rsid w:val="0019686E"/>
    <w:rsid w:val="001968C0"/>
    <w:rsid w:val="0019699F"/>
    <w:rsid w:val="00196BE0"/>
    <w:rsid w:val="00196C60"/>
    <w:rsid w:val="00196E89"/>
    <w:rsid w:val="001975C7"/>
    <w:rsid w:val="00197733"/>
    <w:rsid w:val="00197855"/>
    <w:rsid w:val="00197883"/>
    <w:rsid w:val="001978BA"/>
    <w:rsid w:val="001978C5"/>
    <w:rsid w:val="001978F2"/>
    <w:rsid w:val="00197A55"/>
    <w:rsid w:val="00197F00"/>
    <w:rsid w:val="00197FBE"/>
    <w:rsid w:val="00197FF6"/>
    <w:rsid w:val="001A01CE"/>
    <w:rsid w:val="001A04A2"/>
    <w:rsid w:val="001A04C0"/>
    <w:rsid w:val="001A0635"/>
    <w:rsid w:val="001A069A"/>
    <w:rsid w:val="001A0CFB"/>
    <w:rsid w:val="001A11C3"/>
    <w:rsid w:val="001A15AA"/>
    <w:rsid w:val="001A15C7"/>
    <w:rsid w:val="001A1B25"/>
    <w:rsid w:val="001A1CDC"/>
    <w:rsid w:val="001A1E3C"/>
    <w:rsid w:val="001A2016"/>
    <w:rsid w:val="001A206D"/>
    <w:rsid w:val="001A23C6"/>
    <w:rsid w:val="001A2AE9"/>
    <w:rsid w:val="001A2AFF"/>
    <w:rsid w:val="001A2B73"/>
    <w:rsid w:val="001A2CEC"/>
    <w:rsid w:val="001A3207"/>
    <w:rsid w:val="001A3318"/>
    <w:rsid w:val="001A3837"/>
    <w:rsid w:val="001A3A3E"/>
    <w:rsid w:val="001A3ADE"/>
    <w:rsid w:val="001A3BDB"/>
    <w:rsid w:val="001A3D89"/>
    <w:rsid w:val="001A3E4A"/>
    <w:rsid w:val="001A3E57"/>
    <w:rsid w:val="001A4153"/>
    <w:rsid w:val="001A45AB"/>
    <w:rsid w:val="001A45C4"/>
    <w:rsid w:val="001A495E"/>
    <w:rsid w:val="001A4A88"/>
    <w:rsid w:val="001A4E45"/>
    <w:rsid w:val="001A5020"/>
    <w:rsid w:val="001A5294"/>
    <w:rsid w:val="001A55E9"/>
    <w:rsid w:val="001A5615"/>
    <w:rsid w:val="001A5A2D"/>
    <w:rsid w:val="001A5A8A"/>
    <w:rsid w:val="001A5E1D"/>
    <w:rsid w:val="001A5F34"/>
    <w:rsid w:val="001A5FC0"/>
    <w:rsid w:val="001A6012"/>
    <w:rsid w:val="001A612A"/>
    <w:rsid w:val="001A6657"/>
    <w:rsid w:val="001A6722"/>
    <w:rsid w:val="001A6730"/>
    <w:rsid w:val="001A67D1"/>
    <w:rsid w:val="001A69FB"/>
    <w:rsid w:val="001A6AC3"/>
    <w:rsid w:val="001A6CFD"/>
    <w:rsid w:val="001A6D16"/>
    <w:rsid w:val="001A6F48"/>
    <w:rsid w:val="001A6FCB"/>
    <w:rsid w:val="001A6FF2"/>
    <w:rsid w:val="001A700A"/>
    <w:rsid w:val="001A7180"/>
    <w:rsid w:val="001A72BB"/>
    <w:rsid w:val="001A73EE"/>
    <w:rsid w:val="001A7563"/>
    <w:rsid w:val="001A76D6"/>
    <w:rsid w:val="001A777E"/>
    <w:rsid w:val="001A79D2"/>
    <w:rsid w:val="001A7D5F"/>
    <w:rsid w:val="001A7F7A"/>
    <w:rsid w:val="001A7F9C"/>
    <w:rsid w:val="001B00CF"/>
    <w:rsid w:val="001B01FD"/>
    <w:rsid w:val="001B0340"/>
    <w:rsid w:val="001B0372"/>
    <w:rsid w:val="001B0989"/>
    <w:rsid w:val="001B0BEB"/>
    <w:rsid w:val="001B0C1F"/>
    <w:rsid w:val="001B0DFD"/>
    <w:rsid w:val="001B0E1B"/>
    <w:rsid w:val="001B164C"/>
    <w:rsid w:val="001B1979"/>
    <w:rsid w:val="001B1C88"/>
    <w:rsid w:val="001B1D1C"/>
    <w:rsid w:val="001B1D2D"/>
    <w:rsid w:val="001B1EDD"/>
    <w:rsid w:val="001B2094"/>
    <w:rsid w:val="001B2239"/>
    <w:rsid w:val="001B22A2"/>
    <w:rsid w:val="001B2471"/>
    <w:rsid w:val="001B2805"/>
    <w:rsid w:val="001B2830"/>
    <w:rsid w:val="001B2891"/>
    <w:rsid w:val="001B28CB"/>
    <w:rsid w:val="001B2985"/>
    <w:rsid w:val="001B2AC5"/>
    <w:rsid w:val="001B2C32"/>
    <w:rsid w:val="001B319F"/>
    <w:rsid w:val="001B3310"/>
    <w:rsid w:val="001B34DD"/>
    <w:rsid w:val="001B3EE2"/>
    <w:rsid w:val="001B4086"/>
    <w:rsid w:val="001B41FA"/>
    <w:rsid w:val="001B43FD"/>
    <w:rsid w:val="001B441C"/>
    <w:rsid w:val="001B44F2"/>
    <w:rsid w:val="001B4619"/>
    <w:rsid w:val="001B49DD"/>
    <w:rsid w:val="001B4B04"/>
    <w:rsid w:val="001B4E8E"/>
    <w:rsid w:val="001B4EB4"/>
    <w:rsid w:val="001B4EF1"/>
    <w:rsid w:val="001B4F29"/>
    <w:rsid w:val="001B53AA"/>
    <w:rsid w:val="001B5430"/>
    <w:rsid w:val="001B5654"/>
    <w:rsid w:val="001B572A"/>
    <w:rsid w:val="001B5CCE"/>
    <w:rsid w:val="001B5F47"/>
    <w:rsid w:val="001B65B7"/>
    <w:rsid w:val="001B6883"/>
    <w:rsid w:val="001B6AFC"/>
    <w:rsid w:val="001B6BCE"/>
    <w:rsid w:val="001B6F42"/>
    <w:rsid w:val="001B70A4"/>
    <w:rsid w:val="001B7100"/>
    <w:rsid w:val="001B71E1"/>
    <w:rsid w:val="001B7206"/>
    <w:rsid w:val="001B7346"/>
    <w:rsid w:val="001B74EF"/>
    <w:rsid w:val="001B7603"/>
    <w:rsid w:val="001B772F"/>
    <w:rsid w:val="001B773C"/>
    <w:rsid w:val="001B7915"/>
    <w:rsid w:val="001B792B"/>
    <w:rsid w:val="001B79EF"/>
    <w:rsid w:val="001B7B44"/>
    <w:rsid w:val="001B7C76"/>
    <w:rsid w:val="001B7CF0"/>
    <w:rsid w:val="001B7E83"/>
    <w:rsid w:val="001B7EF5"/>
    <w:rsid w:val="001B7F5F"/>
    <w:rsid w:val="001C0060"/>
    <w:rsid w:val="001C0292"/>
    <w:rsid w:val="001C0578"/>
    <w:rsid w:val="001C0815"/>
    <w:rsid w:val="001C088C"/>
    <w:rsid w:val="001C0B37"/>
    <w:rsid w:val="001C0CD8"/>
    <w:rsid w:val="001C0E62"/>
    <w:rsid w:val="001C0E73"/>
    <w:rsid w:val="001C0F76"/>
    <w:rsid w:val="001C0F7A"/>
    <w:rsid w:val="001C1048"/>
    <w:rsid w:val="001C1088"/>
    <w:rsid w:val="001C15DC"/>
    <w:rsid w:val="001C163C"/>
    <w:rsid w:val="001C1CAB"/>
    <w:rsid w:val="001C1EF7"/>
    <w:rsid w:val="001C1F48"/>
    <w:rsid w:val="001C20EF"/>
    <w:rsid w:val="001C2344"/>
    <w:rsid w:val="001C24B5"/>
    <w:rsid w:val="001C2577"/>
    <w:rsid w:val="001C25E2"/>
    <w:rsid w:val="001C2647"/>
    <w:rsid w:val="001C28B9"/>
    <w:rsid w:val="001C2B0B"/>
    <w:rsid w:val="001C2B4A"/>
    <w:rsid w:val="001C2DD5"/>
    <w:rsid w:val="001C2E40"/>
    <w:rsid w:val="001C30C9"/>
    <w:rsid w:val="001C3389"/>
    <w:rsid w:val="001C3912"/>
    <w:rsid w:val="001C39D1"/>
    <w:rsid w:val="001C39F0"/>
    <w:rsid w:val="001C3C18"/>
    <w:rsid w:val="001C3E09"/>
    <w:rsid w:val="001C3FF7"/>
    <w:rsid w:val="001C401C"/>
    <w:rsid w:val="001C4410"/>
    <w:rsid w:val="001C4430"/>
    <w:rsid w:val="001C4486"/>
    <w:rsid w:val="001C4622"/>
    <w:rsid w:val="001C4706"/>
    <w:rsid w:val="001C47C2"/>
    <w:rsid w:val="001C4A14"/>
    <w:rsid w:val="001C4D53"/>
    <w:rsid w:val="001C4DBF"/>
    <w:rsid w:val="001C4F13"/>
    <w:rsid w:val="001C5086"/>
    <w:rsid w:val="001C528E"/>
    <w:rsid w:val="001C53F2"/>
    <w:rsid w:val="001C542B"/>
    <w:rsid w:val="001C54C5"/>
    <w:rsid w:val="001C54E7"/>
    <w:rsid w:val="001C5573"/>
    <w:rsid w:val="001C55D7"/>
    <w:rsid w:val="001C55E6"/>
    <w:rsid w:val="001C581A"/>
    <w:rsid w:val="001C58C0"/>
    <w:rsid w:val="001C5A37"/>
    <w:rsid w:val="001C610E"/>
    <w:rsid w:val="001C611C"/>
    <w:rsid w:val="001C6433"/>
    <w:rsid w:val="001C6477"/>
    <w:rsid w:val="001C64D5"/>
    <w:rsid w:val="001C6500"/>
    <w:rsid w:val="001C6745"/>
    <w:rsid w:val="001C679B"/>
    <w:rsid w:val="001C6B48"/>
    <w:rsid w:val="001C6B75"/>
    <w:rsid w:val="001C6C5B"/>
    <w:rsid w:val="001C6C68"/>
    <w:rsid w:val="001C6E00"/>
    <w:rsid w:val="001C709D"/>
    <w:rsid w:val="001C7215"/>
    <w:rsid w:val="001C736B"/>
    <w:rsid w:val="001C753A"/>
    <w:rsid w:val="001C7548"/>
    <w:rsid w:val="001C75FA"/>
    <w:rsid w:val="001C7667"/>
    <w:rsid w:val="001C77A8"/>
    <w:rsid w:val="001C7A8F"/>
    <w:rsid w:val="001C7B02"/>
    <w:rsid w:val="001C7B92"/>
    <w:rsid w:val="001C7E23"/>
    <w:rsid w:val="001C7E24"/>
    <w:rsid w:val="001C7E2C"/>
    <w:rsid w:val="001C7E31"/>
    <w:rsid w:val="001C7EB3"/>
    <w:rsid w:val="001D0280"/>
    <w:rsid w:val="001D045C"/>
    <w:rsid w:val="001D07C3"/>
    <w:rsid w:val="001D0BC0"/>
    <w:rsid w:val="001D0CAB"/>
    <w:rsid w:val="001D0E9C"/>
    <w:rsid w:val="001D1074"/>
    <w:rsid w:val="001D1274"/>
    <w:rsid w:val="001D149B"/>
    <w:rsid w:val="001D14EA"/>
    <w:rsid w:val="001D15CA"/>
    <w:rsid w:val="001D1A2E"/>
    <w:rsid w:val="001D1F68"/>
    <w:rsid w:val="001D2000"/>
    <w:rsid w:val="001D207C"/>
    <w:rsid w:val="001D23D5"/>
    <w:rsid w:val="001D2A39"/>
    <w:rsid w:val="001D2F1A"/>
    <w:rsid w:val="001D3010"/>
    <w:rsid w:val="001D33BE"/>
    <w:rsid w:val="001D34CD"/>
    <w:rsid w:val="001D37ED"/>
    <w:rsid w:val="001D3838"/>
    <w:rsid w:val="001D3989"/>
    <w:rsid w:val="001D3BD4"/>
    <w:rsid w:val="001D3D16"/>
    <w:rsid w:val="001D3E53"/>
    <w:rsid w:val="001D3E67"/>
    <w:rsid w:val="001D3E9E"/>
    <w:rsid w:val="001D474A"/>
    <w:rsid w:val="001D48B8"/>
    <w:rsid w:val="001D4E84"/>
    <w:rsid w:val="001D5126"/>
    <w:rsid w:val="001D5236"/>
    <w:rsid w:val="001D54DF"/>
    <w:rsid w:val="001D58C0"/>
    <w:rsid w:val="001D5992"/>
    <w:rsid w:val="001D59F7"/>
    <w:rsid w:val="001D5A7F"/>
    <w:rsid w:val="001D5C74"/>
    <w:rsid w:val="001D5CF7"/>
    <w:rsid w:val="001D5DDE"/>
    <w:rsid w:val="001D5EE8"/>
    <w:rsid w:val="001D61AE"/>
    <w:rsid w:val="001D63E0"/>
    <w:rsid w:val="001D644F"/>
    <w:rsid w:val="001D6532"/>
    <w:rsid w:val="001D6647"/>
    <w:rsid w:val="001D673F"/>
    <w:rsid w:val="001D67B5"/>
    <w:rsid w:val="001D6816"/>
    <w:rsid w:val="001D6877"/>
    <w:rsid w:val="001D6D96"/>
    <w:rsid w:val="001D7055"/>
    <w:rsid w:val="001D7142"/>
    <w:rsid w:val="001D715B"/>
    <w:rsid w:val="001D71B8"/>
    <w:rsid w:val="001D7460"/>
    <w:rsid w:val="001D7843"/>
    <w:rsid w:val="001D790D"/>
    <w:rsid w:val="001D7A55"/>
    <w:rsid w:val="001D7E38"/>
    <w:rsid w:val="001D7F07"/>
    <w:rsid w:val="001E03AB"/>
    <w:rsid w:val="001E044B"/>
    <w:rsid w:val="001E054E"/>
    <w:rsid w:val="001E08D5"/>
    <w:rsid w:val="001E0B2C"/>
    <w:rsid w:val="001E0EDA"/>
    <w:rsid w:val="001E0F26"/>
    <w:rsid w:val="001E1265"/>
    <w:rsid w:val="001E128C"/>
    <w:rsid w:val="001E1A1B"/>
    <w:rsid w:val="001E1EE5"/>
    <w:rsid w:val="001E264A"/>
    <w:rsid w:val="001E2787"/>
    <w:rsid w:val="001E2AE3"/>
    <w:rsid w:val="001E2B76"/>
    <w:rsid w:val="001E2BD0"/>
    <w:rsid w:val="001E2CCA"/>
    <w:rsid w:val="001E3568"/>
    <w:rsid w:val="001E3589"/>
    <w:rsid w:val="001E3611"/>
    <w:rsid w:val="001E38DB"/>
    <w:rsid w:val="001E392D"/>
    <w:rsid w:val="001E3A3A"/>
    <w:rsid w:val="001E3E3B"/>
    <w:rsid w:val="001E3ECA"/>
    <w:rsid w:val="001E400E"/>
    <w:rsid w:val="001E4069"/>
    <w:rsid w:val="001E40FE"/>
    <w:rsid w:val="001E42E3"/>
    <w:rsid w:val="001E4570"/>
    <w:rsid w:val="001E4601"/>
    <w:rsid w:val="001E4689"/>
    <w:rsid w:val="001E4791"/>
    <w:rsid w:val="001E4A80"/>
    <w:rsid w:val="001E4D20"/>
    <w:rsid w:val="001E4F4B"/>
    <w:rsid w:val="001E5245"/>
    <w:rsid w:val="001E53C6"/>
    <w:rsid w:val="001E53CF"/>
    <w:rsid w:val="001E560C"/>
    <w:rsid w:val="001E5819"/>
    <w:rsid w:val="001E5824"/>
    <w:rsid w:val="001E5850"/>
    <w:rsid w:val="001E596F"/>
    <w:rsid w:val="001E5AC7"/>
    <w:rsid w:val="001E659C"/>
    <w:rsid w:val="001E65E6"/>
    <w:rsid w:val="001E6636"/>
    <w:rsid w:val="001E66D0"/>
    <w:rsid w:val="001E6760"/>
    <w:rsid w:val="001E693F"/>
    <w:rsid w:val="001E6AF7"/>
    <w:rsid w:val="001E6C5D"/>
    <w:rsid w:val="001E6C7D"/>
    <w:rsid w:val="001E704F"/>
    <w:rsid w:val="001E70C3"/>
    <w:rsid w:val="001E7350"/>
    <w:rsid w:val="001E7366"/>
    <w:rsid w:val="001E7395"/>
    <w:rsid w:val="001E748D"/>
    <w:rsid w:val="001E74E8"/>
    <w:rsid w:val="001E7716"/>
    <w:rsid w:val="001E77DF"/>
    <w:rsid w:val="001E7C7E"/>
    <w:rsid w:val="001E7D54"/>
    <w:rsid w:val="001E7EE1"/>
    <w:rsid w:val="001F04D3"/>
    <w:rsid w:val="001F0742"/>
    <w:rsid w:val="001F0796"/>
    <w:rsid w:val="001F07F7"/>
    <w:rsid w:val="001F0806"/>
    <w:rsid w:val="001F0B8D"/>
    <w:rsid w:val="001F0D6A"/>
    <w:rsid w:val="001F0D8E"/>
    <w:rsid w:val="001F0E0A"/>
    <w:rsid w:val="001F0F1D"/>
    <w:rsid w:val="001F0F86"/>
    <w:rsid w:val="001F0FF5"/>
    <w:rsid w:val="001F112C"/>
    <w:rsid w:val="001F11AC"/>
    <w:rsid w:val="001F12AB"/>
    <w:rsid w:val="001F1335"/>
    <w:rsid w:val="001F144D"/>
    <w:rsid w:val="001F14E4"/>
    <w:rsid w:val="001F169C"/>
    <w:rsid w:val="001F1A25"/>
    <w:rsid w:val="001F1A72"/>
    <w:rsid w:val="001F1AE4"/>
    <w:rsid w:val="001F1D67"/>
    <w:rsid w:val="001F1E2B"/>
    <w:rsid w:val="001F1E4B"/>
    <w:rsid w:val="001F1F39"/>
    <w:rsid w:val="001F2105"/>
    <w:rsid w:val="001F227B"/>
    <w:rsid w:val="001F2365"/>
    <w:rsid w:val="001F2509"/>
    <w:rsid w:val="001F2520"/>
    <w:rsid w:val="001F2564"/>
    <w:rsid w:val="001F25AE"/>
    <w:rsid w:val="001F2C09"/>
    <w:rsid w:val="001F2F78"/>
    <w:rsid w:val="001F30A8"/>
    <w:rsid w:val="001F32A3"/>
    <w:rsid w:val="001F3363"/>
    <w:rsid w:val="001F3387"/>
    <w:rsid w:val="001F338E"/>
    <w:rsid w:val="001F3459"/>
    <w:rsid w:val="001F345D"/>
    <w:rsid w:val="001F3496"/>
    <w:rsid w:val="001F355E"/>
    <w:rsid w:val="001F3686"/>
    <w:rsid w:val="001F397C"/>
    <w:rsid w:val="001F39D6"/>
    <w:rsid w:val="001F3A99"/>
    <w:rsid w:val="001F3CA6"/>
    <w:rsid w:val="001F3D7E"/>
    <w:rsid w:val="001F3E8A"/>
    <w:rsid w:val="001F3FE8"/>
    <w:rsid w:val="001F409F"/>
    <w:rsid w:val="001F40B7"/>
    <w:rsid w:val="001F42DC"/>
    <w:rsid w:val="001F4530"/>
    <w:rsid w:val="001F456A"/>
    <w:rsid w:val="001F45C4"/>
    <w:rsid w:val="001F494B"/>
    <w:rsid w:val="001F4A90"/>
    <w:rsid w:val="001F4AB0"/>
    <w:rsid w:val="001F4F45"/>
    <w:rsid w:val="001F530F"/>
    <w:rsid w:val="001F5AE3"/>
    <w:rsid w:val="001F5E30"/>
    <w:rsid w:val="001F5F1F"/>
    <w:rsid w:val="001F5F55"/>
    <w:rsid w:val="001F5F90"/>
    <w:rsid w:val="001F5FA3"/>
    <w:rsid w:val="001F605C"/>
    <w:rsid w:val="001F6351"/>
    <w:rsid w:val="001F6573"/>
    <w:rsid w:val="001F66DC"/>
    <w:rsid w:val="001F68E1"/>
    <w:rsid w:val="001F6A51"/>
    <w:rsid w:val="001F6C41"/>
    <w:rsid w:val="001F6D36"/>
    <w:rsid w:val="001F6D44"/>
    <w:rsid w:val="001F6FD4"/>
    <w:rsid w:val="001F73A1"/>
    <w:rsid w:val="001F787A"/>
    <w:rsid w:val="001F78F9"/>
    <w:rsid w:val="001F7AF6"/>
    <w:rsid w:val="001F7EC0"/>
    <w:rsid w:val="002000FB"/>
    <w:rsid w:val="002001C4"/>
    <w:rsid w:val="0020021C"/>
    <w:rsid w:val="00200333"/>
    <w:rsid w:val="00200566"/>
    <w:rsid w:val="0020063B"/>
    <w:rsid w:val="002006D1"/>
    <w:rsid w:val="0020087E"/>
    <w:rsid w:val="00200AB0"/>
    <w:rsid w:val="00200ADB"/>
    <w:rsid w:val="00200BD5"/>
    <w:rsid w:val="00200C38"/>
    <w:rsid w:val="00200DA3"/>
    <w:rsid w:val="00200EC5"/>
    <w:rsid w:val="00201399"/>
    <w:rsid w:val="00201425"/>
    <w:rsid w:val="002014FC"/>
    <w:rsid w:val="002016A6"/>
    <w:rsid w:val="0020173E"/>
    <w:rsid w:val="002019FF"/>
    <w:rsid w:val="00201ADD"/>
    <w:rsid w:val="00201E76"/>
    <w:rsid w:val="00202096"/>
    <w:rsid w:val="002020CF"/>
    <w:rsid w:val="00202239"/>
    <w:rsid w:val="00202245"/>
    <w:rsid w:val="002022F2"/>
    <w:rsid w:val="002026AC"/>
    <w:rsid w:val="002028FB"/>
    <w:rsid w:val="00202A63"/>
    <w:rsid w:val="00202B85"/>
    <w:rsid w:val="00202CD4"/>
    <w:rsid w:val="00202D34"/>
    <w:rsid w:val="00202D50"/>
    <w:rsid w:val="00202E4F"/>
    <w:rsid w:val="00202E65"/>
    <w:rsid w:val="00203083"/>
    <w:rsid w:val="00203205"/>
    <w:rsid w:val="002033F8"/>
    <w:rsid w:val="0020369E"/>
    <w:rsid w:val="002037F8"/>
    <w:rsid w:val="00203A69"/>
    <w:rsid w:val="00203B92"/>
    <w:rsid w:val="00203E6E"/>
    <w:rsid w:val="00203F0A"/>
    <w:rsid w:val="002042BC"/>
    <w:rsid w:val="00204394"/>
    <w:rsid w:val="002043B2"/>
    <w:rsid w:val="00204468"/>
    <w:rsid w:val="002046DD"/>
    <w:rsid w:val="002048B8"/>
    <w:rsid w:val="002049D8"/>
    <w:rsid w:val="00204A3D"/>
    <w:rsid w:val="00204A7A"/>
    <w:rsid w:val="00204B13"/>
    <w:rsid w:val="00204BFD"/>
    <w:rsid w:val="00204C6B"/>
    <w:rsid w:val="00204DB1"/>
    <w:rsid w:val="00204FAF"/>
    <w:rsid w:val="0020527D"/>
    <w:rsid w:val="00205431"/>
    <w:rsid w:val="0020547C"/>
    <w:rsid w:val="002054B6"/>
    <w:rsid w:val="002055EA"/>
    <w:rsid w:val="002058D9"/>
    <w:rsid w:val="002059FE"/>
    <w:rsid w:val="00206225"/>
    <w:rsid w:val="00206245"/>
    <w:rsid w:val="0020637D"/>
    <w:rsid w:val="0020647E"/>
    <w:rsid w:val="002065FC"/>
    <w:rsid w:val="002068A5"/>
    <w:rsid w:val="00206B71"/>
    <w:rsid w:val="00206B8D"/>
    <w:rsid w:val="00206C47"/>
    <w:rsid w:val="00206ED6"/>
    <w:rsid w:val="00206EE3"/>
    <w:rsid w:val="002073A5"/>
    <w:rsid w:val="00207648"/>
    <w:rsid w:val="002076BC"/>
    <w:rsid w:val="00207850"/>
    <w:rsid w:val="002078D5"/>
    <w:rsid w:val="00207988"/>
    <w:rsid w:val="00207A80"/>
    <w:rsid w:val="00207B77"/>
    <w:rsid w:val="00207C89"/>
    <w:rsid w:val="00210343"/>
    <w:rsid w:val="00210357"/>
    <w:rsid w:val="002104CA"/>
    <w:rsid w:val="002107D6"/>
    <w:rsid w:val="002111DE"/>
    <w:rsid w:val="00211719"/>
    <w:rsid w:val="00211851"/>
    <w:rsid w:val="00211AD8"/>
    <w:rsid w:val="00211AF2"/>
    <w:rsid w:val="00211B87"/>
    <w:rsid w:val="00211C19"/>
    <w:rsid w:val="00211D8D"/>
    <w:rsid w:val="002122B3"/>
    <w:rsid w:val="00212315"/>
    <w:rsid w:val="002127D5"/>
    <w:rsid w:val="00212B00"/>
    <w:rsid w:val="00212BBA"/>
    <w:rsid w:val="00212DE6"/>
    <w:rsid w:val="00212EC1"/>
    <w:rsid w:val="002130C0"/>
    <w:rsid w:val="0021315D"/>
    <w:rsid w:val="0021330F"/>
    <w:rsid w:val="00213419"/>
    <w:rsid w:val="002134DE"/>
    <w:rsid w:val="0021364E"/>
    <w:rsid w:val="00213809"/>
    <w:rsid w:val="00213D6C"/>
    <w:rsid w:val="002141C2"/>
    <w:rsid w:val="002144DB"/>
    <w:rsid w:val="002144EA"/>
    <w:rsid w:val="00214611"/>
    <w:rsid w:val="002149E3"/>
    <w:rsid w:val="00214A01"/>
    <w:rsid w:val="00214C02"/>
    <w:rsid w:val="00214C2C"/>
    <w:rsid w:val="00214CA7"/>
    <w:rsid w:val="00214CC6"/>
    <w:rsid w:val="00214E17"/>
    <w:rsid w:val="00215002"/>
    <w:rsid w:val="002150DC"/>
    <w:rsid w:val="00215281"/>
    <w:rsid w:val="0021541F"/>
    <w:rsid w:val="002154C6"/>
    <w:rsid w:val="002155E5"/>
    <w:rsid w:val="002157AD"/>
    <w:rsid w:val="00215CFE"/>
    <w:rsid w:val="00215F01"/>
    <w:rsid w:val="00215F4F"/>
    <w:rsid w:val="0021653A"/>
    <w:rsid w:val="002167AF"/>
    <w:rsid w:val="0021687A"/>
    <w:rsid w:val="00216B32"/>
    <w:rsid w:val="00216F50"/>
    <w:rsid w:val="00217154"/>
    <w:rsid w:val="0021738C"/>
    <w:rsid w:val="0021775D"/>
    <w:rsid w:val="0021786C"/>
    <w:rsid w:val="002179EC"/>
    <w:rsid w:val="00217A8C"/>
    <w:rsid w:val="00217BB9"/>
    <w:rsid w:val="00217ECB"/>
    <w:rsid w:val="00217EED"/>
    <w:rsid w:val="00220087"/>
    <w:rsid w:val="00220279"/>
    <w:rsid w:val="002202F1"/>
    <w:rsid w:val="0022046C"/>
    <w:rsid w:val="0022056E"/>
    <w:rsid w:val="002207D7"/>
    <w:rsid w:val="00220926"/>
    <w:rsid w:val="00220945"/>
    <w:rsid w:val="00220C0F"/>
    <w:rsid w:val="00220F03"/>
    <w:rsid w:val="002210CB"/>
    <w:rsid w:val="0022135B"/>
    <w:rsid w:val="00221378"/>
    <w:rsid w:val="0022148E"/>
    <w:rsid w:val="0022155E"/>
    <w:rsid w:val="00221689"/>
    <w:rsid w:val="00221B12"/>
    <w:rsid w:val="00221B45"/>
    <w:rsid w:val="00221C92"/>
    <w:rsid w:val="00221CC6"/>
    <w:rsid w:val="00221E15"/>
    <w:rsid w:val="00221EB3"/>
    <w:rsid w:val="00221EC4"/>
    <w:rsid w:val="00221F4B"/>
    <w:rsid w:val="002222CD"/>
    <w:rsid w:val="00222344"/>
    <w:rsid w:val="002223E4"/>
    <w:rsid w:val="0022269B"/>
    <w:rsid w:val="0022275F"/>
    <w:rsid w:val="002227A0"/>
    <w:rsid w:val="00222933"/>
    <w:rsid w:val="00222935"/>
    <w:rsid w:val="00222BD4"/>
    <w:rsid w:val="00222E01"/>
    <w:rsid w:val="00222E2A"/>
    <w:rsid w:val="00222EA6"/>
    <w:rsid w:val="00222F30"/>
    <w:rsid w:val="00222F97"/>
    <w:rsid w:val="00223250"/>
    <w:rsid w:val="00223286"/>
    <w:rsid w:val="00223755"/>
    <w:rsid w:val="00223929"/>
    <w:rsid w:val="00223A50"/>
    <w:rsid w:val="00223A58"/>
    <w:rsid w:val="00223C01"/>
    <w:rsid w:val="00223C38"/>
    <w:rsid w:val="00224067"/>
    <w:rsid w:val="00224352"/>
    <w:rsid w:val="00224454"/>
    <w:rsid w:val="00224546"/>
    <w:rsid w:val="00224609"/>
    <w:rsid w:val="002246E1"/>
    <w:rsid w:val="0022472D"/>
    <w:rsid w:val="00224758"/>
    <w:rsid w:val="002248AD"/>
    <w:rsid w:val="00224A0B"/>
    <w:rsid w:val="00224A18"/>
    <w:rsid w:val="00224B9E"/>
    <w:rsid w:val="00224DFC"/>
    <w:rsid w:val="002251DC"/>
    <w:rsid w:val="0022524C"/>
    <w:rsid w:val="00225425"/>
    <w:rsid w:val="00225567"/>
    <w:rsid w:val="002256D1"/>
    <w:rsid w:val="0022587F"/>
    <w:rsid w:val="002258F5"/>
    <w:rsid w:val="0022599B"/>
    <w:rsid w:val="00225AA4"/>
    <w:rsid w:val="00225C85"/>
    <w:rsid w:val="00225D75"/>
    <w:rsid w:val="00225E28"/>
    <w:rsid w:val="00225F60"/>
    <w:rsid w:val="0022616F"/>
    <w:rsid w:val="00226C3E"/>
    <w:rsid w:val="00226E2B"/>
    <w:rsid w:val="00226FB9"/>
    <w:rsid w:val="00227579"/>
    <w:rsid w:val="002276F0"/>
    <w:rsid w:val="002277DF"/>
    <w:rsid w:val="00227879"/>
    <w:rsid w:val="00227924"/>
    <w:rsid w:val="00227AD6"/>
    <w:rsid w:val="00227C8D"/>
    <w:rsid w:val="00230564"/>
    <w:rsid w:val="00230586"/>
    <w:rsid w:val="0023066D"/>
    <w:rsid w:val="00230760"/>
    <w:rsid w:val="00230F1F"/>
    <w:rsid w:val="00230FCE"/>
    <w:rsid w:val="00231000"/>
    <w:rsid w:val="00231266"/>
    <w:rsid w:val="0023138D"/>
    <w:rsid w:val="002314E1"/>
    <w:rsid w:val="00231721"/>
    <w:rsid w:val="00231864"/>
    <w:rsid w:val="0023186B"/>
    <w:rsid w:val="0023187A"/>
    <w:rsid w:val="00231C14"/>
    <w:rsid w:val="00231FB0"/>
    <w:rsid w:val="002320F9"/>
    <w:rsid w:val="00232341"/>
    <w:rsid w:val="002323B0"/>
    <w:rsid w:val="002324B2"/>
    <w:rsid w:val="002324CD"/>
    <w:rsid w:val="00232564"/>
    <w:rsid w:val="002325B9"/>
    <w:rsid w:val="00232683"/>
    <w:rsid w:val="002329FA"/>
    <w:rsid w:val="00232AAB"/>
    <w:rsid w:val="00232AC8"/>
    <w:rsid w:val="00232AFF"/>
    <w:rsid w:val="00232BC0"/>
    <w:rsid w:val="00233008"/>
    <w:rsid w:val="002330F1"/>
    <w:rsid w:val="0023337C"/>
    <w:rsid w:val="002333A4"/>
    <w:rsid w:val="0023358C"/>
    <w:rsid w:val="00233706"/>
    <w:rsid w:val="00233992"/>
    <w:rsid w:val="00233A38"/>
    <w:rsid w:val="00233A60"/>
    <w:rsid w:val="00233BAB"/>
    <w:rsid w:val="00233FF4"/>
    <w:rsid w:val="002341FC"/>
    <w:rsid w:val="002343BD"/>
    <w:rsid w:val="002344C0"/>
    <w:rsid w:val="00234666"/>
    <w:rsid w:val="002346FD"/>
    <w:rsid w:val="00234B93"/>
    <w:rsid w:val="00234F3F"/>
    <w:rsid w:val="002350FE"/>
    <w:rsid w:val="00235109"/>
    <w:rsid w:val="0023510E"/>
    <w:rsid w:val="002356CE"/>
    <w:rsid w:val="002357D1"/>
    <w:rsid w:val="00235841"/>
    <w:rsid w:val="00235948"/>
    <w:rsid w:val="00235C91"/>
    <w:rsid w:val="00236392"/>
    <w:rsid w:val="0023656C"/>
    <w:rsid w:val="00236757"/>
    <w:rsid w:val="00236922"/>
    <w:rsid w:val="00236933"/>
    <w:rsid w:val="0023695C"/>
    <w:rsid w:val="00236987"/>
    <w:rsid w:val="00236DF6"/>
    <w:rsid w:val="00237139"/>
    <w:rsid w:val="0023713A"/>
    <w:rsid w:val="00237216"/>
    <w:rsid w:val="0023749E"/>
    <w:rsid w:val="002374B9"/>
    <w:rsid w:val="002375F1"/>
    <w:rsid w:val="00237E47"/>
    <w:rsid w:val="00237EEB"/>
    <w:rsid w:val="00237EF5"/>
    <w:rsid w:val="00237F2F"/>
    <w:rsid w:val="00237FB7"/>
    <w:rsid w:val="00237FCF"/>
    <w:rsid w:val="00240321"/>
    <w:rsid w:val="00240431"/>
    <w:rsid w:val="0024047F"/>
    <w:rsid w:val="0024053D"/>
    <w:rsid w:val="00240549"/>
    <w:rsid w:val="00240AE9"/>
    <w:rsid w:val="00240BB6"/>
    <w:rsid w:val="00240D64"/>
    <w:rsid w:val="00240DAA"/>
    <w:rsid w:val="00240F18"/>
    <w:rsid w:val="00240F5F"/>
    <w:rsid w:val="0024105D"/>
    <w:rsid w:val="00241286"/>
    <w:rsid w:val="0024144C"/>
    <w:rsid w:val="002415B5"/>
    <w:rsid w:val="0024164F"/>
    <w:rsid w:val="00241771"/>
    <w:rsid w:val="0024178E"/>
    <w:rsid w:val="00241830"/>
    <w:rsid w:val="0024194D"/>
    <w:rsid w:val="00241999"/>
    <w:rsid w:val="00241B56"/>
    <w:rsid w:val="00241C38"/>
    <w:rsid w:val="00241CAA"/>
    <w:rsid w:val="002420E3"/>
    <w:rsid w:val="002429B1"/>
    <w:rsid w:val="00242A13"/>
    <w:rsid w:val="00242E07"/>
    <w:rsid w:val="00242E48"/>
    <w:rsid w:val="0024347B"/>
    <w:rsid w:val="0024372B"/>
    <w:rsid w:val="002437F0"/>
    <w:rsid w:val="002439B6"/>
    <w:rsid w:val="00243B0D"/>
    <w:rsid w:val="00243BC0"/>
    <w:rsid w:val="00243CAE"/>
    <w:rsid w:val="00243D33"/>
    <w:rsid w:val="002441A4"/>
    <w:rsid w:val="00244414"/>
    <w:rsid w:val="002448D6"/>
    <w:rsid w:val="00244C94"/>
    <w:rsid w:val="0024512C"/>
    <w:rsid w:val="002451B1"/>
    <w:rsid w:val="0024540F"/>
    <w:rsid w:val="00245501"/>
    <w:rsid w:val="0024557A"/>
    <w:rsid w:val="002458C1"/>
    <w:rsid w:val="00245CB1"/>
    <w:rsid w:val="00245F90"/>
    <w:rsid w:val="00246355"/>
    <w:rsid w:val="002463FC"/>
    <w:rsid w:val="002467FE"/>
    <w:rsid w:val="00246825"/>
    <w:rsid w:val="00246856"/>
    <w:rsid w:val="00246C64"/>
    <w:rsid w:val="00247343"/>
    <w:rsid w:val="002473DD"/>
    <w:rsid w:val="00247527"/>
    <w:rsid w:val="00247770"/>
    <w:rsid w:val="0024781C"/>
    <w:rsid w:val="00247B61"/>
    <w:rsid w:val="00247FAB"/>
    <w:rsid w:val="00250324"/>
    <w:rsid w:val="002504C8"/>
    <w:rsid w:val="002508E0"/>
    <w:rsid w:val="00250986"/>
    <w:rsid w:val="00250A2A"/>
    <w:rsid w:val="00250B3B"/>
    <w:rsid w:val="00250BB0"/>
    <w:rsid w:val="00250BB9"/>
    <w:rsid w:val="00250BC8"/>
    <w:rsid w:val="00250EB3"/>
    <w:rsid w:val="00251258"/>
    <w:rsid w:val="00251288"/>
    <w:rsid w:val="00251C78"/>
    <w:rsid w:val="0025213A"/>
    <w:rsid w:val="00252326"/>
    <w:rsid w:val="00252628"/>
    <w:rsid w:val="00252807"/>
    <w:rsid w:val="00252AAE"/>
    <w:rsid w:val="00252B2A"/>
    <w:rsid w:val="00252CAA"/>
    <w:rsid w:val="00252D13"/>
    <w:rsid w:val="00252D54"/>
    <w:rsid w:val="00252F18"/>
    <w:rsid w:val="00252F4B"/>
    <w:rsid w:val="00253211"/>
    <w:rsid w:val="0025326F"/>
    <w:rsid w:val="0025355E"/>
    <w:rsid w:val="00253C48"/>
    <w:rsid w:val="00253D78"/>
    <w:rsid w:val="00253E19"/>
    <w:rsid w:val="00253EC9"/>
    <w:rsid w:val="00254066"/>
    <w:rsid w:val="00254388"/>
    <w:rsid w:val="002544E1"/>
    <w:rsid w:val="002547F8"/>
    <w:rsid w:val="00254A08"/>
    <w:rsid w:val="002550E7"/>
    <w:rsid w:val="00255115"/>
    <w:rsid w:val="0025515F"/>
    <w:rsid w:val="00255234"/>
    <w:rsid w:val="00255430"/>
    <w:rsid w:val="002556DB"/>
    <w:rsid w:val="002558C7"/>
    <w:rsid w:val="00255A6A"/>
    <w:rsid w:val="00255C03"/>
    <w:rsid w:val="00256081"/>
    <w:rsid w:val="00256082"/>
    <w:rsid w:val="00256089"/>
    <w:rsid w:val="002560C7"/>
    <w:rsid w:val="0025671E"/>
    <w:rsid w:val="00256816"/>
    <w:rsid w:val="00256CC9"/>
    <w:rsid w:val="00256E28"/>
    <w:rsid w:val="00256FB1"/>
    <w:rsid w:val="0025704C"/>
    <w:rsid w:val="0025706C"/>
    <w:rsid w:val="002570C1"/>
    <w:rsid w:val="002570E4"/>
    <w:rsid w:val="00257251"/>
    <w:rsid w:val="002575F9"/>
    <w:rsid w:val="00257742"/>
    <w:rsid w:val="002577EC"/>
    <w:rsid w:val="00257823"/>
    <w:rsid w:val="00257B28"/>
    <w:rsid w:val="00257B3D"/>
    <w:rsid w:val="00257BD0"/>
    <w:rsid w:val="00257C26"/>
    <w:rsid w:val="00257F39"/>
    <w:rsid w:val="00257F4F"/>
    <w:rsid w:val="00257FE4"/>
    <w:rsid w:val="00260074"/>
    <w:rsid w:val="002601B1"/>
    <w:rsid w:val="00260621"/>
    <w:rsid w:val="0026070E"/>
    <w:rsid w:val="0026085B"/>
    <w:rsid w:val="002609A8"/>
    <w:rsid w:val="002609E9"/>
    <w:rsid w:val="00260D39"/>
    <w:rsid w:val="00260D90"/>
    <w:rsid w:val="00260FCD"/>
    <w:rsid w:val="00261087"/>
    <w:rsid w:val="002611E3"/>
    <w:rsid w:val="0026123B"/>
    <w:rsid w:val="00261473"/>
    <w:rsid w:val="002619D5"/>
    <w:rsid w:val="00261A70"/>
    <w:rsid w:val="00261B49"/>
    <w:rsid w:val="00261D25"/>
    <w:rsid w:val="002621D8"/>
    <w:rsid w:val="00262244"/>
    <w:rsid w:val="0026226F"/>
    <w:rsid w:val="00262478"/>
    <w:rsid w:val="00262501"/>
    <w:rsid w:val="0026287B"/>
    <w:rsid w:val="00262974"/>
    <w:rsid w:val="00262B5D"/>
    <w:rsid w:val="00262B62"/>
    <w:rsid w:val="00262CD6"/>
    <w:rsid w:val="00262DE5"/>
    <w:rsid w:val="00262F2F"/>
    <w:rsid w:val="00262FFF"/>
    <w:rsid w:val="002630D8"/>
    <w:rsid w:val="00263223"/>
    <w:rsid w:val="0026325E"/>
    <w:rsid w:val="002637B3"/>
    <w:rsid w:val="00263A85"/>
    <w:rsid w:val="00263AF4"/>
    <w:rsid w:val="00263C16"/>
    <w:rsid w:val="00263EFB"/>
    <w:rsid w:val="00264276"/>
    <w:rsid w:val="00264339"/>
    <w:rsid w:val="00264545"/>
    <w:rsid w:val="00264579"/>
    <w:rsid w:val="00264716"/>
    <w:rsid w:val="0026478F"/>
    <w:rsid w:val="00264B24"/>
    <w:rsid w:val="00264CB5"/>
    <w:rsid w:val="00264CF2"/>
    <w:rsid w:val="00264D2A"/>
    <w:rsid w:val="00264D4B"/>
    <w:rsid w:val="0026501C"/>
    <w:rsid w:val="0026502C"/>
    <w:rsid w:val="002651CA"/>
    <w:rsid w:val="002652AA"/>
    <w:rsid w:val="00265312"/>
    <w:rsid w:val="0026532D"/>
    <w:rsid w:val="002655C1"/>
    <w:rsid w:val="00265696"/>
    <w:rsid w:val="002657DE"/>
    <w:rsid w:val="002658AD"/>
    <w:rsid w:val="00265999"/>
    <w:rsid w:val="00265B9D"/>
    <w:rsid w:val="00265EC3"/>
    <w:rsid w:val="00266042"/>
    <w:rsid w:val="002660C6"/>
    <w:rsid w:val="002660E9"/>
    <w:rsid w:val="0026614F"/>
    <w:rsid w:val="00266293"/>
    <w:rsid w:val="002662D2"/>
    <w:rsid w:val="00266547"/>
    <w:rsid w:val="00266632"/>
    <w:rsid w:val="002667AD"/>
    <w:rsid w:val="002668D6"/>
    <w:rsid w:val="00266ABC"/>
    <w:rsid w:val="00266B04"/>
    <w:rsid w:val="00266B08"/>
    <w:rsid w:val="00266B94"/>
    <w:rsid w:val="00266C32"/>
    <w:rsid w:val="00266C46"/>
    <w:rsid w:val="00266C5D"/>
    <w:rsid w:val="00266CAE"/>
    <w:rsid w:val="00266E73"/>
    <w:rsid w:val="00266E95"/>
    <w:rsid w:val="00266FBC"/>
    <w:rsid w:val="002671EB"/>
    <w:rsid w:val="002675EC"/>
    <w:rsid w:val="00267667"/>
    <w:rsid w:val="00267863"/>
    <w:rsid w:val="0026791A"/>
    <w:rsid w:val="00267982"/>
    <w:rsid w:val="00267AB0"/>
    <w:rsid w:val="00267ABF"/>
    <w:rsid w:val="00267B84"/>
    <w:rsid w:val="00267F0D"/>
    <w:rsid w:val="00270028"/>
    <w:rsid w:val="00270488"/>
    <w:rsid w:val="00270522"/>
    <w:rsid w:val="002706E6"/>
    <w:rsid w:val="0027080C"/>
    <w:rsid w:val="0027085C"/>
    <w:rsid w:val="00270B94"/>
    <w:rsid w:val="00270BEA"/>
    <w:rsid w:val="00270D1B"/>
    <w:rsid w:val="00270D31"/>
    <w:rsid w:val="00270E05"/>
    <w:rsid w:val="002711D5"/>
    <w:rsid w:val="002711F0"/>
    <w:rsid w:val="0027136B"/>
    <w:rsid w:val="002714F2"/>
    <w:rsid w:val="002715EC"/>
    <w:rsid w:val="002716A3"/>
    <w:rsid w:val="0027175D"/>
    <w:rsid w:val="00271A09"/>
    <w:rsid w:val="00271C28"/>
    <w:rsid w:val="0027202B"/>
    <w:rsid w:val="002722B4"/>
    <w:rsid w:val="002723C9"/>
    <w:rsid w:val="00272534"/>
    <w:rsid w:val="002725A5"/>
    <w:rsid w:val="0027284C"/>
    <w:rsid w:val="00272BE8"/>
    <w:rsid w:val="00272C66"/>
    <w:rsid w:val="002731C9"/>
    <w:rsid w:val="0027342F"/>
    <w:rsid w:val="00273522"/>
    <w:rsid w:val="002736DB"/>
    <w:rsid w:val="00273783"/>
    <w:rsid w:val="002737A3"/>
    <w:rsid w:val="002738A9"/>
    <w:rsid w:val="00273CB2"/>
    <w:rsid w:val="00273D19"/>
    <w:rsid w:val="00273E1C"/>
    <w:rsid w:val="00273EBB"/>
    <w:rsid w:val="00274010"/>
    <w:rsid w:val="00274383"/>
    <w:rsid w:val="002743F7"/>
    <w:rsid w:val="00274533"/>
    <w:rsid w:val="0027469E"/>
    <w:rsid w:val="00274C33"/>
    <w:rsid w:val="00274CCA"/>
    <w:rsid w:val="00274DEE"/>
    <w:rsid w:val="00274E4F"/>
    <w:rsid w:val="00274FA0"/>
    <w:rsid w:val="00274FAB"/>
    <w:rsid w:val="00275021"/>
    <w:rsid w:val="0027517B"/>
    <w:rsid w:val="002751D1"/>
    <w:rsid w:val="0027528D"/>
    <w:rsid w:val="00275326"/>
    <w:rsid w:val="0027532A"/>
    <w:rsid w:val="0027549C"/>
    <w:rsid w:val="002755DB"/>
    <w:rsid w:val="00275ABA"/>
    <w:rsid w:val="00275B61"/>
    <w:rsid w:val="00275F64"/>
    <w:rsid w:val="00275F78"/>
    <w:rsid w:val="00275FBF"/>
    <w:rsid w:val="00276024"/>
    <w:rsid w:val="00276145"/>
    <w:rsid w:val="0027639D"/>
    <w:rsid w:val="00276445"/>
    <w:rsid w:val="00276690"/>
    <w:rsid w:val="00276714"/>
    <w:rsid w:val="00276822"/>
    <w:rsid w:val="0027684A"/>
    <w:rsid w:val="0027694B"/>
    <w:rsid w:val="002769C3"/>
    <w:rsid w:val="00276AFA"/>
    <w:rsid w:val="00276B93"/>
    <w:rsid w:val="00276D13"/>
    <w:rsid w:val="00276F4D"/>
    <w:rsid w:val="00276FF3"/>
    <w:rsid w:val="00277000"/>
    <w:rsid w:val="00277047"/>
    <w:rsid w:val="00277383"/>
    <w:rsid w:val="00277534"/>
    <w:rsid w:val="00277548"/>
    <w:rsid w:val="00277888"/>
    <w:rsid w:val="00277A24"/>
    <w:rsid w:val="00277B1A"/>
    <w:rsid w:val="00277D1D"/>
    <w:rsid w:val="00277F3F"/>
    <w:rsid w:val="00277F91"/>
    <w:rsid w:val="002800A7"/>
    <w:rsid w:val="002800BC"/>
    <w:rsid w:val="00280156"/>
    <w:rsid w:val="00280163"/>
    <w:rsid w:val="00280351"/>
    <w:rsid w:val="0028041E"/>
    <w:rsid w:val="0028048C"/>
    <w:rsid w:val="002804FF"/>
    <w:rsid w:val="002806E8"/>
    <w:rsid w:val="00280A65"/>
    <w:rsid w:val="00280D5B"/>
    <w:rsid w:val="00280FE4"/>
    <w:rsid w:val="0028104B"/>
    <w:rsid w:val="00281258"/>
    <w:rsid w:val="0028159F"/>
    <w:rsid w:val="00281637"/>
    <w:rsid w:val="0028170D"/>
    <w:rsid w:val="002818C3"/>
    <w:rsid w:val="002819C4"/>
    <w:rsid w:val="00281A53"/>
    <w:rsid w:val="00281B70"/>
    <w:rsid w:val="00281D62"/>
    <w:rsid w:val="00281F9A"/>
    <w:rsid w:val="00282060"/>
    <w:rsid w:val="0028209B"/>
    <w:rsid w:val="002820E5"/>
    <w:rsid w:val="00282104"/>
    <w:rsid w:val="0028213E"/>
    <w:rsid w:val="0028282C"/>
    <w:rsid w:val="00282A3A"/>
    <w:rsid w:val="00282DB2"/>
    <w:rsid w:val="00282E1F"/>
    <w:rsid w:val="0028303B"/>
    <w:rsid w:val="00283372"/>
    <w:rsid w:val="002834AF"/>
    <w:rsid w:val="00283737"/>
    <w:rsid w:val="00283868"/>
    <w:rsid w:val="00283A48"/>
    <w:rsid w:val="00283B0A"/>
    <w:rsid w:val="00283B5B"/>
    <w:rsid w:val="00283D0F"/>
    <w:rsid w:val="00283E49"/>
    <w:rsid w:val="00283E64"/>
    <w:rsid w:val="002841DF"/>
    <w:rsid w:val="00284399"/>
    <w:rsid w:val="002843F5"/>
    <w:rsid w:val="00284540"/>
    <w:rsid w:val="002845F7"/>
    <w:rsid w:val="00284B39"/>
    <w:rsid w:val="00284C86"/>
    <w:rsid w:val="00285178"/>
    <w:rsid w:val="002851C0"/>
    <w:rsid w:val="0028562F"/>
    <w:rsid w:val="002856DF"/>
    <w:rsid w:val="0028581F"/>
    <w:rsid w:val="00285900"/>
    <w:rsid w:val="00285B0B"/>
    <w:rsid w:val="00285BB5"/>
    <w:rsid w:val="00285DC4"/>
    <w:rsid w:val="00285DFF"/>
    <w:rsid w:val="00286187"/>
    <w:rsid w:val="0028623C"/>
    <w:rsid w:val="00286344"/>
    <w:rsid w:val="002864A6"/>
    <w:rsid w:val="0028666C"/>
    <w:rsid w:val="00286677"/>
    <w:rsid w:val="0028673F"/>
    <w:rsid w:val="0028695A"/>
    <w:rsid w:val="00286C94"/>
    <w:rsid w:val="00286DDD"/>
    <w:rsid w:val="00286E1B"/>
    <w:rsid w:val="00287122"/>
    <w:rsid w:val="00287221"/>
    <w:rsid w:val="00287324"/>
    <w:rsid w:val="00287466"/>
    <w:rsid w:val="0028781E"/>
    <w:rsid w:val="00287AFC"/>
    <w:rsid w:val="00287B06"/>
    <w:rsid w:val="00287B19"/>
    <w:rsid w:val="00287D44"/>
    <w:rsid w:val="00287D6C"/>
    <w:rsid w:val="00287D84"/>
    <w:rsid w:val="00287E5F"/>
    <w:rsid w:val="00287FED"/>
    <w:rsid w:val="002900E2"/>
    <w:rsid w:val="002900F5"/>
    <w:rsid w:val="00290144"/>
    <w:rsid w:val="002901DE"/>
    <w:rsid w:val="00290425"/>
    <w:rsid w:val="00290B4C"/>
    <w:rsid w:val="00290F31"/>
    <w:rsid w:val="00290F49"/>
    <w:rsid w:val="00291363"/>
    <w:rsid w:val="00291381"/>
    <w:rsid w:val="0029163C"/>
    <w:rsid w:val="002916F0"/>
    <w:rsid w:val="002918B9"/>
    <w:rsid w:val="00291B78"/>
    <w:rsid w:val="00291D62"/>
    <w:rsid w:val="00291DE2"/>
    <w:rsid w:val="00291F46"/>
    <w:rsid w:val="00292037"/>
    <w:rsid w:val="002920D7"/>
    <w:rsid w:val="00292160"/>
    <w:rsid w:val="00292231"/>
    <w:rsid w:val="00292308"/>
    <w:rsid w:val="0029258B"/>
    <w:rsid w:val="0029299B"/>
    <w:rsid w:val="00292FD8"/>
    <w:rsid w:val="002931A1"/>
    <w:rsid w:val="00293386"/>
    <w:rsid w:val="002935ED"/>
    <w:rsid w:val="00293649"/>
    <w:rsid w:val="0029379F"/>
    <w:rsid w:val="00293E72"/>
    <w:rsid w:val="00293F42"/>
    <w:rsid w:val="002940B7"/>
    <w:rsid w:val="002945EA"/>
    <w:rsid w:val="0029463F"/>
    <w:rsid w:val="00294710"/>
    <w:rsid w:val="00294723"/>
    <w:rsid w:val="002948E8"/>
    <w:rsid w:val="00294B16"/>
    <w:rsid w:val="00295443"/>
    <w:rsid w:val="00295582"/>
    <w:rsid w:val="002957F4"/>
    <w:rsid w:val="002958DF"/>
    <w:rsid w:val="002958F7"/>
    <w:rsid w:val="00295B13"/>
    <w:rsid w:val="0029615D"/>
    <w:rsid w:val="00296370"/>
    <w:rsid w:val="002963FB"/>
    <w:rsid w:val="0029650C"/>
    <w:rsid w:val="00296738"/>
    <w:rsid w:val="00296750"/>
    <w:rsid w:val="00296784"/>
    <w:rsid w:val="0029680C"/>
    <w:rsid w:val="0029693B"/>
    <w:rsid w:val="0029697F"/>
    <w:rsid w:val="00296D30"/>
    <w:rsid w:val="00297121"/>
    <w:rsid w:val="00297270"/>
    <w:rsid w:val="002974A6"/>
    <w:rsid w:val="002974E4"/>
    <w:rsid w:val="00297735"/>
    <w:rsid w:val="00297B6F"/>
    <w:rsid w:val="00297BBA"/>
    <w:rsid w:val="00297C22"/>
    <w:rsid w:val="00297C9F"/>
    <w:rsid w:val="00297D05"/>
    <w:rsid w:val="00297DB4"/>
    <w:rsid w:val="00297FF9"/>
    <w:rsid w:val="002A02A8"/>
    <w:rsid w:val="002A030E"/>
    <w:rsid w:val="002A064D"/>
    <w:rsid w:val="002A08F7"/>
    <w:rsid w:val="002A0C10"/>
    <w:rsid w:val="002A0C94"/>
    <w:rsid w:val="002A0D54"/>
    <w:rsid w:val="002A0DAB"/>
    <w:rsid w:val="002A0E01"/>
    <w:rsid w:val="002A0E6C"/>
    <w:rsid w:val="002A0F71"/>
    <w:rsid w:val="002A1046"/>
    <w:rsid w:val="002A10B6"/>
    <w:rsid w:val="002A110B"/>
    <w:rsid w:val="002A13B7"/>
    <w:rsid w:val="002A1418"/>
    <w:rsid w:val="002A1467"/>
    <w:rsid w:val="002A14AE"/>
    <w:rsid w:val="002A14C0"/>
    <w:rsid w:val="002A199E"/>
    <w:rsid w:val="002A1A92"/>
    <w:rsid w:val="002A1C7B"/>
    <w:rsid w:val="002A1DC0"/>
    <w:rsid w:val="002A1F07"/>
    <w:rsid w:val="002A2091"/>
    <w:rsid w:val="002A20C5"/>
    <w:rsid w:val="002A252C"/>
    <w:rsid w:val="002A253E"/>
    <w:rsid w:val="002A258D"/>
    <w:rsid w:val="002A27DA"/>
    <w:rsid w:val="002A27E3"/>
    <w:rsid w:val="002A28AC"/>
    <w:rsid w:val="002A29B1"/>
    <w:rsid w:val="002A2A3F"/>
    <w:rsid w:val="002A2ADF"/>
    <w:rsid w:val="002A2BF3"/>
    <w:rsid w:val="002A2C59"/>
    <w:rsid w:val="002A2D1F"/>
    <w:rsid w:val="002A2D4C"/>
    <w:rsid w:val="002A2EC2"/>
    <w:rsid w:val="002A2F12"/>
    <w:rsid w:val="002A2F7C"/>
    <w:rsid w:val="002A31A7"/>
    <w:rsid w:val="002A32F1"/>
    <w:rsid w:val="002A36B4"/>
    <w:rsid w:val="002A448A"/>
    <w:rsid w:val="002A4528"/>
    <w:rsid w:val="002A46CA"/>
    <w:rsid w:val="002A472B"/>
    <w:rsid w:val="002A483D"/>
    <w:rsid w:val="002A4840"/>
    <w:rsid w:val="002A4917"/>
    <w:rsid w:val="002A4A76"/>
    <w:rsid w:val="002A4AAD"/>
    <w:rsid w:val="002A4BA6"/>
    <w:rsid w:val="002A4C62"/>
    <w:rsid w:val="002A4E4C"/>
    <w:rsid w:val="002A4ED7"/>
    <w:rsid w:val="002A4F0B"/>
    <w:rsid w:val="002A5025"/>
    <w:rsid w:val="002A5038"/>
    <w:rsid w:val="002A507D"/>
    <w:rsid w:val="002A5188"/>
    <w:rsid w:val="002A53CF"/>
    <w:rsid w:val="002A56E6"/>
    <w:rsid w:val="002A57A8"/>
    <w:rsid w:val="002A5A9F"/>
    <w:rsid w:val="002A5B14"/>
    <w:rsid w:val="002A5B15"/>
    <w:rsid w:val="002A5CDA"/>
    <w:rsid w:val="002A5D01"/>
    <w:rsid w:val="002A5E06"/>
    <w:rsid w:val="002A5FBA"/>
    <w:rsid w:val="002A5FBC"/>
    <w:rsid w:val="002A620C"/>
    <w:rsid w:val="002A62DB"/>
    <w:rsid w:val="002A68E2"/>
    <w:rsid w:val="002A6A70"/>
    <w:rsid w:val="002A6B46"/>
    <w:rsid w:val="002A6CC3"/>
    <w:rsid w:val="002A7433"/>
    <w:rsid w:val="002A759F"/>
    <w:rsid w:val="002A7647"/>
    <w:rsid w:val="002A7880"/>
    <w:rsid w:val="002A78AD"/>
    <w:rsid w:val="002A7912"/>
    <w:rsid w:val="002A799F"/>
    <w:rsid w:val="002A79FA"/>
    <w:rsid w:val="002A7A58"/>
    <w:rsid w:val="002A7A78"/>
    <w:rsid w:val="002A7B05"/>
    <w:rsid w:val="002A7B2F"/>
    <w:rsid w:val="002A7C2A"/>
    <w:rsid w:val="002A7D87"/>
    <w:rsid w:val="002A7D97"/>
    <w:rsid w:val="002B0100"/>
    <w:rsid w:val="002B03A9"/>
    <w:rsid w:val="002B03B4"/>
    <w:rsid w:val="002B0786"/>
    <w:rsid w:val="002B0A00"/>
    <w:rsid w:val="002B0B5E"/>
    <w:rsid w:val="002B0B6D"/>
    <w:rsid w:val="002B0D3A"/>
    <w:rsid w:val="002B0F02"/>
    <w:rsid w:val="002B101A"/>
    <w:rsid w:val="002B10ED"/>
    <w:rsid w:val="002B11B2"/>
    <w:rsid w:val="002B137A"/>
    <w:rsid w:val="002B141C"/>
    <w:rsid w:val="002B171A"/>
    <w:rsid w:val="002B1740"/>
    <w:rsid w:val="002B18D3"/>
    <w:rsid w:val="002B1CA4"/>
    <w:rsid w:val="002B1F64"/>
    <w:rsid w:val="002B1FB7"/>
    <w:rsid w:val="002B20FB"/>
    <w:rsid w:val="002B23E6"/>
    <w:rsid w:val="002B2637"/>
    <w:rsid w:val="002B267F"/>
    <w:rsid w:val="002B2797"/>
    <w:rsid w:val="002B2813"/>
    <w:rsid w:val="002B2984"/>
    <w:rsid w:val="002B2994"/>
    <w:rsid w:val="002B29A3"/>
    <w:rsid w:val="002B2A14"/>
    <w:rsid w:val="002B2B09"/>
    <w:rsid w:val="002B2CBE"/>
    <w:rsid w:val="002B2E20"/>
    <w:rsid w:val="002B2E8A"/>
    <w:rsid w:val="002B2EAB"/>
    <w:rsid w:val="002B31A3"/>
    <w:rsid w:val="002B331A"/>
    <w:rsid w:val="002B3701"/>
    <w:rsid w:val="002B3AFE"/>
    <w:rsid w:val="002B3E3F"/>
    <w:rsid w:val="002B3E82"/>
    <w:rsid w:val="002B42B8"/>
    <w:rsid w:val="002B447D"/>
    <w:rsid w:val="002B4B4B"/>
    <w:rsid w:val="002B4F6D"/>
    <w:rsid w:val="002B5331"/>
    <w:rsid w:val="002B54E2"/>
    <w:rsid w:val="002B564D"/>
    <w:rsid w:val="002B579F"/>
    <w:rsid w:val="002B59E6"/>
    <w:rsid w:val="002B5A46"/>
    <w:rsid w:val="002B5AC2"/>
    <w:rsid w:val="002B5B30"/>
    <w:rsid w:val="002B5B41"/>
    <w:rsid w:val="002B5C5F"/>
    <w:rsid w:val="002B5EAD"/>
    <w:rsid w:val="002B610D"/>
    <w:rsid w:val="002B61A1"/>
    <w:rsid w:val="002B6268"/>
    <w:rsid w:val="002B62EA"/>
    <w:rsid w:val="002B65F7"/>
    <w:rsid w:val="002B6A0B"/>
    <w:rsid w:val="002B6DFD"/>
    <w:rsid w:val="002B6E82"/>
    <w:rsid w:val="002B6EA7"/>
    <w:rsid w:val="002B6FEF"/>
    <w:rsid w:val="002B70F8"/>
    <w:rsid w:val="002B73D5"/>
    <w:rsid w:val="002B77C8"/>
    <w:rsid w:val="002B7822"/>
    <w:rsid w:val="002B7A41"/>
    <w:rsid w:val="002B7CBE"/>
    <w:rsid w:val="002C014A"/>
    <w:rsid w:val="002C0259"/>
    <w:rsid w:val="002C031C"/>
    <w:rsid w:val="002C049A"/>
    <w:rsid w:val="002C0592"/>
    <w:rsid w:val="002C0595"/>
    <w:rsid w:val="002C05CA"/>
    <w:rsid w:val="002C0A0D"/>
    <w:rsid w:val="002C0A56"/>
    <w:rsid w:val="002C0B99"/>
    <w:rsid w:val="002C0E91"/>
    <w:rsid w:val="002C104F"/>
    <w:rsid w:val="002C11BB"/>
    <w:rsid w:val="002C1410"/>
    <w:rsid w:val="002C1757"/>
    <w:rsid w:val="002C1846"/>
    <w:rsid w:val="002C18CA"/>
    <w:rsid w:val="002C19B6"/>
    <w:rsid w:val="002C1A60"/>
    <w:rsid w:val="002C2257"/>
    <w:rsid w:val="002C2271"/>
    <w:rsid w:val="002C229A"/>
    <w:rsid w:val="002C2475"/>
    <w:rsid w:val="002C292A"/>
    <w:rsid w:val="002C2973"/>
    <w:rsid w:val="002C2B76"/>
    <w:rsid w:val="002C2D86"/>
    <w:rsid w:val="002C2FA0"/>
    <w:rsid w:val="002C303D"/>
    <w:rsid w:val="002C346E"/>
    <w:rsid w:val="002C35B5"/>
    <w:rsid w:val="002C38B7"/>
    <w:rsid w:val="002C3961"/>
    <w:rsid w:val="002C3B8A"/>
    <w:rsid w:val="002C3BA9"/>
    <w:rsid w:val="002C3BBC"/>
    <w:rsid w:val="002C3D76"/>
    <w:rsid w:val="002C3D80"/>
    <w:rsid w:val="002C3E71"/>
    <w:rsid w:val="002C4002"/>
    <w:rsid w:val="002C4289"/>
    <w:rsid w:val="002C43D6"/>
    <w:rsid w:val="002C43FF"/>
    <w:rsid w:val="002C44D6"/>
    <w:rsid w:val="002C45CB"/>
    <w:rsid w:val="002C45E4"/>
    <w:rsid w:val="002C469C"/>
    <w:rsid w:val="002C472B"/>
    <w:rsid w:val="002C4781"/>
    <w:rsid w:val="002C4862"/>
    <w:rsid w:val="002C486A"/>
    <w:rsid w:val="002C4944"/>
    <w:rsid w:val="002C4974"/>
    <w:rsid w:val="002C49E2"/>
    <w:rsid w:val="002C49EA"/>
    <w:rsid w:val="002C4C33"/>
    <w:rsid w:val="002C4DE8"/>
    <w:rsid w:val="002C4F89"/>
    <w:rsid w:val="002C5497"/>
    <w:rsid w:val="002C5705"/>
    <w:rsid w:val="002C599D"/>
    <w:rsid w:val="002C5AB3"/>
    <w:rsid w:val="002C5BFA"/>
    <w:rsid w:val="002C5F99"/>
    <w:rsid w:val="002C614A"/>
    <w:rsid w:val="002C695D"/>
    <w:rsid w:val="002C699C"/>
    <w:rsid w:val="002C69B7"/>
    <w:rsid w:val="002C6C14"/>
    <w:rsid w:val="002C6D5C"/>
    <w:rsid w:val="002C6DD4"/>
    <w:rsid w:val="002C7118"/>
    <w:rsid w:val="002C73EB"/>
    <w:rsid w:val="002C754F"/>
    <w:rsid w:val="002C789D"/>
    <w:rsid w:val="002C79EE"/>
    <w:rsid w:val="002C7A42"/>
    <w:rsid w:val="002C7A7B"/>
    <w:rsid w:val="002C7E72"/>
    <w:rsid w:val="002C7F48"/>
    <w:rsid w:val="002D01FE"/>
    <w:rsid w:val="002D0315"/>
    <w:rsid w:val="002D03CB"/>
    <w:rsid w:val="002D0524"/>
    <w:rsid w:val="002D063E"/>
    <w:rsid w:val="002D07CD"/>
    <w:rsid w:val="002D0FCE"/>
    <w:rsid w:val="002D1154"/>
    <w:rsid w:val="002D158E"/>
    <w:rsid w:val="002D16E0"/>
    <w:rsid w:val="002D1725"/>
    <w:rsid w:val="002D194B"/>
    <w:rsid w:val="002D1AB0"/>
    <w:rsid w:val="002D1AD9"/>
    <w:rsid w:val="002D1B1B"/>
    <w:rsid w:val="002D1B87"/>
    <w:rsid w:val="002D1C53"/>
    <w:rsid w:val="002D2049"/>
    <w:rsid w:val="002D2305"/>
    <w:rsid w:val="002D2326"/>
    <w:rsid w:val="002D2593"/>
    <w:rsid w:val="002D289A"/>
    <w:rsid w:val="002D29A0"/>
    <w:rsid w:val="002D2A84"/>
    <w:rsid w:val="002D2CFA"/>
    <w:rsid w:val="002D2D10"/>
    <w:rsid w:val="002D326F"/>
    <w:rsid w:val="002D3371"/>
    <w:rsid w:val="002D338F"/>
    <w:rsid w:val="002D3883"/>
    <w:rsid w:val="002D3ABC"/>
    <w:rsid w:val="002D3AE3"/>
    <w:rsid w:val="002D3CAA"/>
    <w:rsid w:val="002D413B"/>
    <w:rsid w:val="002D42FD"/>
    <w:rsid w:val="002D4370"/>
    <w:rsid w:val="002D46EE"/>
    <w:rsid w:val="002D476A"/>
    <w:rsid w:val="002D47C9"/>
    <w:rsid w:val="002D486A"/>
    <w:rsid w:val="002D4B7C"/>
    <w:rsid w:val="002D4CE9"/>
    <w:rsid w:val="002D4E55"/>
    <w:rsid w:val="002D4EEA"/>
    <w:rsid w:val="002D502B"/>
    <w:rsid w:val="002D5193"/>
    <w:rsid w:val="002D51FB"/>
    <w:rsid w:val="002D529B"/>
    <w:rsid w:val="002D572A"/>
    <w:rsid w:val="002D5911"/>
    <w:rsid w:val="002D59D2"/>
    <w:rsid w:val="002D5CC1"/>
    <w:rsid w:val="002D5D9D"/>
    <w:rsid w:val="002D5F6C"/>
    <w:rsid w:val="002D601E"/>
    <w:rsid w:val="002D6092"/>
    <w:rsid w:val="002D60C4"/>
    <w:rsid w:val="002D60F8"/>
    <w:rsid w:val="002D6135"/>
    <w:rsid w:val="002D63FF"/>
    <w:rsid w:val="002D646D"/>
    <w:rsid w:val="002D6488"/>
    <w:rsid w:val="002D6490"/>
    <w:rsid w:val="002D64C1"/>
    <w:rsid w:val="002D67C7"/>
    <w:rsid w:val="002D6950"/>
    <w:rsid w:val="002D6A01"/>
    <w:rsid w:val="002D6A7C"/>
    <w:rsid w:val="002D6BBD"/>
    <w:rsid w:val="002D6C6A"/>
    <w:rsid w:val="002D6D07"/>
    <w:rsid w:val="002D6E4D"/>
    <w:rsid w:val="002D72F7"/>
    <w:rsid w:val="002D7530"/>
    <w:rsid w:val="002D7591"/>
    <w:rsid w:val="002D75C4"/>
    <w:rsid w:val="002D7FB9"/>
    <w:rsid w:val="002E0165"/>
    <w:rsid w:val="002E02A6"/>
    <w:rsid w:val="002E0487"/>
    <w:rsid w:val="002E07B1"/>
    <w:rsid w:val="002E0819"/>
    <w:rsid w:val="002E0939"/>
    <w:rsid w:val="002E0C11"/>
    <w:rsid w:val="002E0CF6"/>
    <w:rsid w:val="002E0DF7"/>
    <w:rsid w:val="002E0E56"/>
    <w:rsid w:val="002E109F"/>
    <w:rsid w:val="002E121F"/>
    <w:rsid w:val="002E1235"/>
    <w:rsid w:val="002E1288"/>
    <w:rsid w:val="002E1381"/>
    <w:rsid w:val="002E151A"/>
    <w:rsid w:val="002E175A"/>
    <w:rsid w:val="002E189D"/>
    <w:rsid w:val="002E1AE5"/>
    <w:rsid w:val="002E1C18"/>
    <w:rsid w:val="002E1CE2"/>
    <w:rsid w:val="002E2085"/>
    <w:rsid w:val="002E2302"/>
    <w:rsid w:val="002E24FF"/>
    <w:rsid w:val="002E2543"/>
    <w:rsid w:val="002E25F0"/>
    <w:rsid w:val="002E272E"/>
    <w:rsid w:val="002E2733"/>
    <w:rsid w:val="002E2853"/>
    <w:rsid w:val="002E285A"/>
    <w:rsid w:val="002E29A8"/>
    <w:rsid w:val="002E29B1"/>
    <w:rsid w:val="002E2F52"/>
    <w:rsid w:val="002E313D"/>
    <w:rsid w:val="002E3309"/>
    <w:rsid w:val="002E37E1"/>
    <w:rsid w:val="002E38BB"/>
    <w:rsid w:val="002E39F6"/>
    <w:rsid w:val="002E3BE2"/>
    <w:rsid w:val="002E3DF9"/>
    <w:rsid w:val="002E3F55"/>
    <w:rsid w:val="002E4054"/>
    <w:rsid w:val="002E4160"/>
    <w:rsid w:val="002E42C0"/>
    <w:rsid w:val="002E450A"/>
    <w:rsid w:val="002E45AD"/>
    <w:rsid w:val="002E460D"/>
    <w:rsid w:val="002E4706"/>
    <w:rsid w:val="002E4797"/>
    <w:rsid w:val="002E4A39"/>
    <w:rsid w:val="002E4CB6"/>
    <w:rsid w:val="002E5228"/>
    <w:rsid w:val="002E550D"/>
    <w:rsid w:val="002E56DF"/>
    <w:rsid w:val="002E57DC"/>
    <w:rsid w:val="002E5883"/>
    <w:rsid w:val="002E598F"/>
    <w:rsid w:val="002E59CC"/>
    <w:rsid w:val="002E5A6E"/>
    <w:rsid w:val="002E5B40"/>
    <w:rsid w:val="002E5FEA"/>
    <w:rsid w:val="002E607D"/>
    <w:rsid w:val="002E61BC"/>
    <w:rsid w:val="002E62C5"/>
    <w:rsid w:val="002E66D9"/>
    <w:rsid w:val="002E6775"/>
    <w:rsid w:val="002E693B"/>
    <w:rsid w:val="002E7119"/>
    <w:rsid w:val="002E71F4"/>
    <w:rsid w:val="002E732A"/>
    <w:rsid w:val="002E769F"/>
    <w:rsid w:val="002E76FE"/>
    <w:rsid w:val="002E7BE1"/>
    <w:rsid w:val="002E7CBF"/>
    <w:rsid w:val="002F00E5"/>
    <w:rsid w:val="002F01C9"/>
    <w:rsid w:val="002F02DE"/>
    <w:rsid w:val="002F06A8"/>
    <w:rsid w:val="002F09E8"/>
    <w:rsid w:val="002F0C31"/>
    <w:rsid w:val="002F0D41"/>
    <w:rsid w:val="002F153C"/>
    <w:rsid w:val="002F1837"/>
    <w:rsid w:val="002F1AAD"/>
    <w:rsid w:val="002F1ADE"/>
    <w:rsid w:val="002F1B2E"/>
    <w:rsid w:val="002F1B7C"/>
    <w:rsid w:val="002F1BB1"/>
    <w:rsid w:val="002F1F16"/>
    <w:rsid w:val="002F21D1"/>
    <w:rsid w:val="002F225D"/>
    <w:rsid w:val="002F22FB"/>
    <w:rsid w:val="002F24AF"/>
    <w:rsid w:val="002F26E7"/>
    <w:rsid w:val="002F28B2"/>
    <w:rsid w:val="002F2A38"/>
    <w:rsid w:val="002F2A7D"/>
    <w:rsid w:val="002F2D1D"/>
    <w:rsid w:val="002F3289"/>
    <w:rsid w:val="002F36D4"/>
    <w:rsid w:val="002F3728"/>
    <w:rsid w:val="002F3AE4"/>
    <w:rsid w:val="002F3B4F"/>
    <w:rsid w:val="002F3BC0"/>
    <w:rsid w:val="002F3C07"/>
    <w:rsid w:val="002F3E7A"/>
    <w:rsid w:val="002F418A"/>
    <w:rsid w:val="002F42AE"/>
    <w:rsid w:val="002F43B7"/>
    <w:rsid w:val="002F43CF"/>
    <w:rsid w:val="002F45D9"/>
    <w:rsid w:val="002F4BA5"/>
    <w:rsid w:val="002F4DD0"/>
    <w:rsid w:val="002F4F64"/>
    <w:rsid w:val="002F53F9"/>
    <w:rsid w:val="002F5420"/>
    <w:rsid w:val="002F54EE"/>
    <w:rsid w:val="002F553C"/>
    <w:rsid w:val="002F5636"/>
    <w:rsid w:val="002F574B"/>
    <w:rsid w:val="002F57CE"/>
    <w:rsid w:val="002F5888"/>
    <w:rsid w:val="002F5A94"/>
    <w:rsid w:val="002F5BBD"/>
    <w:rsid w:val="002F5DB8"/>
    <w:rsid w:val="002F5F54"/>
    <w:rsid w:val="002F607B"/>
    <w:rsid w:val="002F60EA"/>
    <w:rsid w:val="002F638A"/>
    <w:rsid w:val="002F63D7"/>
    <w:rsid w:val="002F65FF"/>
    <w:rsid w:val="002F6632"/>
    <w:rsid w:val="002F675D"/>
    <w:rsid w:val="002F6791"/>
    <w:rsid w:val="002F68BF"/>
    <w:rsid w:val="002F6B26"/>
    <w:rsid w:val="002F6CF8"/>
    <w:rsid w:val="002F6D30"/>
    <w:rsid w:val="002F70B5"/>
    <w:rsid w:val="002F720B"/>
    <w:rsid w:val="002F7245"/>
    <w:rsid w:val="002F754D"/>
    <w:rsid w:val="002F787C"/>
    <w:rsid w:val="002F78A1"/>
    <w:rsid w:val="002F7DBE"/>
    <w:rsid w:val="002F7F13"/>
    <w:rsid w:val="003000BA"/>
    <w:rsid w:val="00300171"/>
    <w:rsid w:val="003001A5"/>
    <w:rsid w:val="0030032F"/>
    <w:rsid w:val="003003AD"/>
    <w:rsid w:val="00300672"/>
    <w:rsid w:val="00300787"/>
    <w:rsid w:val="00300CA3"/>
    <w:rsid w:val="0030105C"/>
    <w:rsid w:val="003010E0"/>
    <w:rsid w:val="0030127D"/>
    <w:rsid w:val="0030134C"/>
    <w:rsid w:val="003018E6"/>
    <w:rsid w:val="00301B3E"/>
    <w:rsid w:val="00301BB1"/>
    <w:rsid w:val="00301BCD"/>
    <w:rsid w:val="00301D81"/>
    <w:rsid w:val="00301D8B"/>
    <w:rsid w:val="00301D9F"/>
    <w:rsid w:val="0030206A"/>
    <w:rsid w:val="003021D6"/>
    <w:rsid w:val="00302294"/>
    <w:rsid w:val="00302429"/>
    <w:rsid w:val="0030246A"/>
    <w:rsid w:val="0030295E"/>
    <w:rsid w:val="00302C12"/>
    <w:rsid w:val="00302C51"/>
    <w:rsid w:val="00302D8B"/>
    <w:rsid w:val="00302EBB"/>
    <w:rsid w:val="00302F4D"/>
    <w:rsid w:val="00303075"/>
    <w:rsid w:val="00303326"/>
    <w:rsid w:val="003034AF"/>
    <w:rsid w:val="003035C7"/>
    <w:rsid w:val="00303613"/>
    <w:rsid w:val="0030366B"/>
    <w:rsid w:val="003036D4"/>
    <w:rsid w:val="003036FF"/>
    <w:rsid w:val="00303B17"/>
    <w:rsid w:val="00303DB2"/>
    <w:rsid w:val="00303E6D"/>
    <w:rsid w:val="00303F77"/>
    <w:rsid w:val="003040A1"/>
    <w:rsid w:val="003041B6"/>
    <w:rsid w:val="00304484"/>
    <w:rsid w:val="00304619"/>
    <w:rsid w:val="00304708"/>
    <w:rsid w:val="00304809"/>
    <w:rsid w:val="00304857"/>
    <w:rsid w:val="003048B1"/>
    <w:rsid w:val="00304BEF"/>
    <w:rsid w:val="00304C44"/>
    <w:rsid w:val="00305193"/>
    <w:rsid w:val="003053C4"/>
    <w:rsid w:val="0030544B"/>
    <w:rsid w:val="0030551E"/>
    <w:rsid w:val="0030559C"/>
    <w:rsid w:val="003055E4"/>
    <w:rsid w:val="0030574C"/>
    <w:rsid w:val="00305770"/>
    <w:rsid w:val="003057E4"/>
    <w:rsid w:val="00305928"/>
    <w:rsid w:val="00305A6A"/>
    <w:rsid w:val="00305D22"/>
    <w:rsid w:val="00305EA8"/>
    <w:rsid w:val="00305F19"/>
    <w:rsid w:val="0030601F"/>
    <w:rsid w:val="003062BE"/>
    <w:rsid w:val="003063D5"/>
    <w:rsid w:val="003063D7"/>
    <w:rsid w:val="00306424"/>
    <w:rsid w:val="00306535"/>
    <w:rsid w:val="003065EA"/>
    <w:rsid w:val="00306682"/>
    <w:rsid w:val="00306739"/>
    <w:rsid w:val="00306793"/>
    <w:rsid w:val="003069AA"/>
    <w:rsid w:val="003069BF"/>
    <w:rsid w:val="00306A8F"/>
    <w:rsid w:val="00306B04"/>
    <w:rsid w:val="00306D32"/>
    <w:rsid w:val="00306E09"/>
    <w:rsid w:val="00306E17"/>
    <w:rsid w:val="00307265"/>
    <w:rsid w:val="0030784B"/>
    <w:rsid w:val="00307882"/>
    <w:rsid w:val="00307947"/>
    <w:rsid w:val="00307B27"/>
    <w:rsid w:val="00307EA3"/>
    <w:rsid w:val="003103CB"/>
    <w:rsid w:val="00310569"/>
    <w:rsid w:val="00310588"/>
    <w:rsid w:val="0031065C"/>
    <w:rsid w:val="003107EB"/>
    <w:rsid w:val="00310B48"/>
    <w:rsid w:val="00310BE4"/>
    <w:rsid w:val="00310E4C"/>
    <w:rsid w:val="00311030"/>
    <w:rsid w:val="00311547"/>
    <w:rsid w:val="0031160B"/>
    <w:rsid w:val="003117C8"/>
    <w:rsid w:val="003119B5"/>
    <w:rsid w:val="003119D1"/>
    <w:rsid w:val="00311A51"/>
    <w:rsid w:val="00311B78"/>
    <w:rsid w:val="00311DC9"/>
    <w:rsid w:val="00311E33"/>
    <w:rsid w:val="00312082"/>
    <w:rsid w:val="00312097"/>
    <w:rsid w:val="0031212B"/>
    <w:rsid w:val="0031227D"/>
    <w:rsid w:val="0031238C"/>
    <w:rsid w:val="00312414"/>
    <w:rsid w:val="00312451"/>
    <w:rsid w:val="00312519"/>
    <w:rsid w:val="00312537"/>
    <w:rsid w:val="003125FB"/>
    <w:rsid w:val="00312C2B"/>
    <w:rsid w:val="00312C4A"/>
    <w:rsid w:val="00312C54"/>
    <w:rsid w:val="00312CF0"/>
    <w:rsid w:val="00312D62"/>
    <w:rsid w:val="00312E3C"/>
    <w:rsid w:val="0031300E"/>
    <w:rsid w:val="00313428"/>
    <w:rsid w:val="003134DF"/>
    <w:rsid w:val="00313530"/>
    <w:rsid w:val="00313661"/>
    <w:rsid w:val="00313687"/>
    <w:rsid w:val="0031370E"/>
    <w:rsid w:val="00313739"/>
    <w:rsid w:val="00313801"/>
    <w:rsid w:val="00313992"/>
    <w:rsid w:val="00313D0D"/>
    <w:rsid w:val="00313D8E"/>
    <w:rsid w:val="00313E93"/>
    <w:rsid w:val="00313EC0"/>
    <w:rsid w:val="003140E5"/>
    <w:rsid w:val="00314468"/>
    <w:rsid w:val="00314505"/>
    <w:rsid w:val="003145F6"/>
    <w:rsid w:val="003148E6"/>
    <w:rsid w:val="003148F4"/>
    <w:rsid w:val="00314BAB"/>
    <w:rsid w:val="00314C98"/>
    <w:rsid w:val="00314D2F"/>
    <w:rsid w:val="00314D3C"/>
    <w:rsid w:val="00314DAE"/>
    <w:rsid w:val="00314DEC"/>
    <w:rsid w:val="00314FF3"/>
    <w:rsid w:val="003152C8"/>
    <w:rsid w:val="003152F8"/>
    <w:rsid w:val="003155DF"/>
    <w:rsid w:val="003158CA"/>
    <w:rsid w:val="00315C19"/>
    <w:rsid w:val="00315FEA"/>
    <w:rsid w:val="00316123"/>
    <w:rsid w:val="00316266"/>
    <w:rsid w:val="003162A0"/>
    <w:rsid w:val="003163AB"/>
    <w:rsid w:val="003163E8"/>
    <w:rsid w:val="00316788"/>
    <w:rsid w:val="003169E4"/>
    <w:rsid w:val="00316D1F"/>
    <w:rsid w:val="00316D60"/>
    <w:rsid w:val="00317005"/>
    <w:rsid w:val="00317494"/>
    <w:rsid w:val="0031753E"/>
    <w:rsid w:val="0031763B"/>
    <w:rsid w:val="00317735"/>
    <w:rsid w:val="003178AE"/>
    <w:rsid w:val="00317910"/>
    <w:rsid w:val="00317C66"/>
    <w:rsid w:val="00317C99"/>
    <w:rsid w:val="00317D6C"/>
    <w:rsid w:val="00317F41"/>
    <w:rsid w:val="00320015"/>
    <w:rsid w:val="00320024"/>
    <w:rsid w:val="00320025"/>
    <w:rsid w:val="00320253"/>
    <w:rsid w:val="0032033C"/>
    <w:rsid w:val="00320641"/>
    <w:rsid w:val="00320659"/>
    <w:rsid w:val="00320940"/>
    <w:rsid w:val="00320950"/>
    <w:rsid w:val="00320B03"/>
    <w:rsid w:val="00320E48"/>
    <w:rsid w:val="0032105A"/>
    <w:rsid w:val="0032115E"/>
    <w:rsid w:val="003211B7"/>
    <w:rsid w:val="00321231"/>
    <w:rsid w:val="00321345"/>
    <w:rsid w:val="00321359"/>
    <w:rsid w:val="0032153F"/>
    <w:rsid w:val="0032154F"/>
    <w:rsid w:val="003215BD"/>
    <w:rsid w:val="003215CE"/>
    <w:rsid w:val="00321674"/>
    <w:rsid w:val="003216B2"/>
    <w:rsid w:val="00321893"/>
    <w:rsid w:val="003218E6"/>
    <w:rsid w:val="00321940"/>
    <w:rsid w:val="00321B00"/>
    <w:rsid w:val="00321B79"/>
    <w:rsid w:val="00321D80"/>
    <w:rsid w:val="00321EE9"/>
    <w:rsid w:val="00321F61"/>
    <w:rsid w:val="00322258"/>
    <w:rsid w:val="0032231C"/>
    <w:rsid w:val="003224E9"/>
    <w:rsid w:val="00322B63"/>
    <w:rsid w:val="00322C4D"/>
    <w:rsid w:val="00322DA1"/>
    <w:rsid w:val="0032301C"/>
    <w:rsid w:val="00323377"/>
    <w:rsid w:val="003235DA"/>
    <w:rsid w:val="00323604"/>
    <w:rsid w:val="00323866"/>
    <w:rsid w:val="00323911"/>
    <w:rsid w:val="00323D92"/>
    <w:rsid w:val="00324344"/>
    <w:rsid w:val="0032463A"/>
    <w:rsid w:val="0032495A"/>
    <w:rsid w:val="003249E4"/>
    <w:rsid w:val="00324A51"/>
    <w:rsid w:val="00324DEF"/>
    <w:rsid w:val="00324E87"/>
    <w:rsid w:val="00324F13"/>
    <w:rsid w:val="00324F1E"/>
    <w:rsid w:val="00324F92"/>
    <w:rsid w:val="003251D1"/>
    <w:rsid w:val="0032520B"/>
    <w:rsid w:val="003253EE"/>
    <w:rsid w:val="00325551"/>
    <w:rsid w:val="003255F0"/>
    <w:rsid w:val="00325831"/>
    <w:rsid w:val="00325AF0"/>
    <w:rsid w:val="00325B08"/>
    <w:rsid w:val="00325DB8"/>
    <w:rsid w:val="00325E3D"/>
    <w:rsid w:val="00325FC1"/>
    <w:rsid w:val="003262B6"/>
    <w:rsid w:val="00326372"/>
    <w:rsid w:val="003266A1"/>
    <w:rsid w:val="00326711"/>
    <w:rsid w:val="0032680A"/>
    <w:rsid w:val="003268AD"/>
    <w:rsid w:val="00326936"/>
    <w:rsid w:val="003269DB"/>
    <w:rsid w:val="0032724D"/>
    <w:rsid w:val="00327543"/>
    <w:rsid w:val="0032776C"/>
    <w:rsid w:val="003277E5"/>
    <w:rsid w:val="00327A4A"/>
    <w:rsid w:val="00327AFA"/>
    <w:rsid w:val="00327B82"/>
    <w:rsid w:val="00327C09"/>
    <w:rsid w:val="00327E65"/>
    <w:rsid w:val="003300A0"/>
    <w:rsid w:val="00330485"/>
    <w:rsid w:val="0033056A"/>
    <w:rsid w:val="003309F1"/>
    <w:rsid w:val="00330D18"/>
    <w:rsid w:val="00330E4C"/>
    <w:rsid w:val="003310F6"/>
    <w:rsid w:val="003313F4"/>
    <w:rsid w:val="003313F7"/>
    <w:rsid w:val="00331878"/>
    <w:rsid w:val="00331AE1"/>
    <w:rsid w:val="00331DD3"/>
    <w:rsid w:val="00331E23"/>
    <w:rsid w:val="00331F59"/>
    <w:rsid w:val="003320C7"/>
    <w:rsid w:val="00332179"/>
    <w:rsid w:val="0033279F"/>
    <w:rsid w:val="00332851"/>
    <w:rsid w:val="003329F5"/>
    <w:rsid w:val="00332E6B"/>
    <w:rsid w:val="00333013"/>
    <w:rsid w:val="00333016"/>
    <w:rsid w:val="003331DA"/>
    <w:rsid w:val="00333233"/>
    <w:rsid w:val="00333853"/>
    <w:rsid w:val="00333C42"/>
    <w:rsid w:val="00333E1E"/>
    <w:rsid w:val="00333E71"/>
    <w:rsid w:val="00333E75"/>
    <w:rsid w:val="00333FC8"/>
    <w:rsid w:val="00334200"/>
    <w:rsid w:val="00334409"/>
    <w:rsid w:val="00334440"/>
    <w:rsid w:val="0033451E"/>
    <w:rsid w:val="00334543"/>
    <w:rsid w:val="003345A2"/>
    <w:rsid w:val="003345EC"/>
    <w:rsid w:val="003348C0"/>
    <w:rsid w:val="0033497C"/>
    <w:rsid w:val="003349B3"/>
    <w:rsid w:val="00334ADE"/>
    <w:rsid w:val="00334C55"/>
    <w:rsid w:val="00334D0E"/>
    <w:rsid w:val="00334D6A"/>
    <w:rsid w:val="00334E36"/>
    <w:rsid w:val="00334F1C"/>
    <w:rsid w:val="00335097"/>
    <w:rsid w:val="00335292"/>
    <w:rsid w:val="00335318"/>
    <w:rsid w:val="0033535C"/>
    <w:rsid w:val="003355BF"/>
    <w:rsid w:val="003355C7"/>
    <w:rsid w:val="00335699"/>
    <w:rsid w:val="00335757"/>
    <w:rsid w:val="00335984"/>
    <w:rsid w:val="00335990"/>
    <w:rsid w:val="00335C91"/>
    <w:rsid w:val="00335D4E"/>
    <w:rsid w:val="00335F69"/>
    <w:rsid w:val="00335F76"/>
    <w:rsid w:val="00335FAE"/>
    <w:rsid w:val="00336306"/>
    <w:rsid w:val="0033648F"/>
    <w:rsid w:val="0033675E"/>
    <w:rsid w:val="003367AF"/>
    <w:rsid w:val="003367BB"/>
    <w:rsid w:val="00336851"/>
    <w:rsid w:val="00336B99"/>
    <w:rsid w:val="00336D4B"/>
    <w:rsid w:val="00336D82"/>
    <w:rsid w:val="00336DA4"/>
    <w:rsid w:val="00336DBB"/>
    <w:rsid w:val="00336E57"/>
    <w:rsid w:val="00336F33"/>
    <w:rsid w:val="00336F44"/>
    <w:rsid w:val="00336F8A"/>
    <w:rsid w:val="00337010"/>
    <w:rsid w:val="0033715B"/>
    <w:rsid w:val="00337727"/>
    <w:rsid w:val="003377D8"/>
    <w:rsid w:val="0033789B"/>
    <w:rsid w:val="00337B18"/>
    <w:rsid w:val="00337C1A"/>
    <w:rsid w:val="00337CCF"/>
    <w:rsid w:val="00337CF2"/>
    <w:rsid w:val="00337EBA"/>
    <w:rsid w:val="00337F8B"/>
    <w:rsid w:val="00340038"/>
    <w:rsid w:val="003406B8"/>
    <w:rsid w:val="003406C9"/>
    <w:rsid w:val="003407FD"/>
    <w:rsid w:val="00340994"/>
    <w:rsid w:val="003409DE"/>
    <w:rsid w:val="00340A1D"/>
    <w:rsid w:val="00340C48"/>
    <w:rsid w:val="00340D48"/>
    <w:rsid w:val="00340D64"/>
    <w:rsid w:val="00340D9B"/>
    <w:rsid w:val="00340E9B"/>
    <w:rsid w:val="00340EA6"/>
    <w:rsid w:val="00340F20"/>
    <w:rsid w:val="00340F3A"/>
    <w:rsid w:val="0034115C"/>
    <w:rsid w:val="0034119E"/>
    <w:rsid w:val="003412C5"/>
    <w:rsid w:val="00341336"/>
    <w:rsid w:val="003417FC"/>
    <w:rsid w:val="00341811"/>
    <w:rsid w:val="00341941"/>
    <w:rsid w:val="00341A0B"/>
    <w:rsid w:val="00341B14"/>
    <w:rsid w:val="00341B33"/>
    <w:rsid w:val="00341EC9"/>
    <w:rsid w:val="0034247D"/>
    <w:rsid w:val="00342B82"/>
    <w:rsid w:val="00342D1A"/>
    <w:rsid w:val="00342E80"/>
    <w:rsid w:val="00342F63"/>
    <w:rsid w:val="00342FC2"/>
    <w:rsid w:val="0034306D"/>
    <w:rsid w:val="00343448"/>
    <w:rsid w:val="00343B44"/>
    <w:rsid w:val="00343D35"/>
    <w:rsid w:val="00344257"/>
    <w:rsid w:val="0034426D"/>
    <w:rsid w:val="003442A5"/>
    <w:rsid w:val="003446CC"/>
    <w:rsid w:val="003448ED"/>
    <w:rsid w:val="00344A24"/>
    <w:rsid w:val="00344A8F"/>
    <w:rsid w:val="00344B3A"/>
    <w:rsid w:val="00344B8C"/>
    <w:rsid w:val="00344D13"/>
    <w:rsid w:val="00344FE0"/>
    <w:rsid w:val="003450A5"/>
    <w:rsid w:val="003454E4"/>
    <w:rsid w:val="00345828"/>
    <w:rsid w:val="0034587A"/>
    <w:rsid w:val="003459AB"/>
    <w:rsid w:val="00345B27"/>
    <w:rsid w:val="00346075"/>
    <w:rsid w:val="003463C6"/>
    <w:rsid w:val="0034656F"/>
    <w:rsid w:val="00346670"/>
    <w:rsid w:val="003466F7"/>
    <w:rsid w:val="00346792"/>
    <w:rsid w:val="003467CD"/>
    <w:rsid w:val="00346826"/>
    <w:rsid w:val="00346956"/>
    <w:rsid w:val="00346DAC"/>
    <w:rsid w:val="00346F1B"/>
    <w:rsid w:val="003473ED"/>
    <w:rsid w:val="00347465"/>
    <w:rsid w:val="00347711"/>
    <w:rsid w:val="00347DC3"/>
    <w:rsid w:val="00347FD7"/>
    <w:rsid w:val="0035003C"/>
    <w:rsid w:val="003503A6"/>
    <w:rsid w:val="00350509"/>
    <w:rsid w:val="00350520"/>
    <w:rsid w:val="00350550"/>
    <w:rsid w:val="0035058F"/>
    <w:rsid w:val="0035062A"/>
    <w:rsid w:val="00350669"/>
    <w:rsid w:val="0035086E"/>
    <w:rsid w:val="00350A44"/>
    <w:rsid w:val="00350A84"/>
    <w:rsid w:val="00350C1A"/>
    <w:rsid w:val="00350F8F"/>
    <w:rsid w:val="00351063"/>
    <w:rsid w:val="003513FA"/>
    <w:rsid w:val="00351485"/>
    <w:rsid w:val="00351496"/>
    <w:rsid w:val="003516B5"/>
    <w:rsid w:val="00351D42"/>
    <w:rsid w:val="00351DAA"/>
    <w:rsid w:val="00351E3F"/>
    <w:rsid w:val="00352153"/>
    <w:rsid w:val="0035225E"/>
    <w:rsid w:val="00352619"/>
    <w:rsid w:val="00352A30"/>
    <w:rsid w:val="00352C1E"/>
    <w:rsid w:val="00353094"/>
    <w:rsid w:val="0035330B"/>
    <w:rsid w:val="003533CA"/>
    <w:rsid w:val="003537A6"/>
    <w:rsid w:val="00353922"/>
    <w:rsid w:val="003539DA"/>
    <w:rsid w:val="00353BB8"/>
    <w:rsid w:val="00353EDD"/>
    <w:rsid w:val="00353FDB"/>
    <w:rsid w:val="0035411D"/>
    <w:rsid w:val="00354178"/>
    <w:rsid w:val="0035421E"/>
    <w:rsid w:val="0035427C"/>
    <w:rsid w:val="003549EC"/>
    <w:rsid w:val="00354DFF"/>
    <w:rsid w:val="00354F41"/>
    <w:rsid w:val="00354F4E"/>
    <w:rsid w:val="003550CD"/>
    <w:rsid w:val="0035516F"/>
    <w:rsid w:val="00355278"/>
    <w:rsid w:val="00355596"/>
    <w:rsid w:val="0035579C"/>
    <w:rsid w:val="003559E3"/>
    <w:rsid w:val="00355ADD"/>
    <w:rsid w:val="00356001"/>
    <w:rsid w:val="0035627D"/>
    <w:rsid w:val="003562A8"/>
    <w:rsid w:val="00356626"/>
    <w:rsid w:val="003567DE"/>
    <w:rsid w:val="00356B52"/>
    <w:rsid w:val="00356B9A"/>
    <w:rsid w:val="00356D2A"/>
    <w:rsid w:val="00356D7D"/>
    <w:rsid w:val="00356DB2"/>
    <w:rsid w:val="0035706E"/>
    <w:rsid w:val="00357145"/>
    <w:rsid w:val="0035752C"/>
    <w:rsid w:val="00357560"/>
    <w:rsid w:val="00357ADE"/>
    <w:rsid w:val="00357B6F"/>
    <w:rsid w:val="00357C2E"/>
    <w:rsid w:val="00357E9B"/>
    <w:rsid w:val="0036028F"/>
    <w:rsid w:val="003602EC"/>
    <w:rsid w:val="0036064F"/>
    <w:rsid w:val="003606F3"/>
    <w:rsid w:val="00360738"/>
    <w:rsid w:val="0036085E"/>
    <w:rsid w:val="0036088B"/>
    <w:rsid w:val="00360937"/>
    <w:rsid w:val="00360AD0"/>
    <w:rsid w:val="00360C2D"/>
    <w:rsid w:val="00360CF1"/>
    <w:rsid w:val="00360F70"/>
    <w:rsid w:val="00360FC0"/>
    <w:rsid w:val="003612D4"/>
    <w:rsid w:val="003613F0"/>
    <w:rsid w:val="003614FC"/>
    <w:rsid w:val="00361712"/>
    <w:rsid w:val="0036182B"/>
    <w:rsid w:val="0036191C"/>
    <w:rsid w:val="00361C88"/>
    <w:rsid w:val="00361DD6"/>
    <w:rsid w:val="00361F3E"/>
    <w:rsid w:val="00361F82"/>
    <w:rsid w:val="00362076"/>
    <w:rsid w:val="003621B3"/>
    <w:rsid w:val="00362294"/>
    <w:rsid w:val="003623E2"/>
    <w:rsid w:val="00362814"/>
    <w:rsid w:val="0036286A"/>
    <w:rsid w:val="00362B2F"/>
    <w:rsid w:val="00362CDB"/>
    <w:rsid w:val="00362CE3"/>
    <w:rsid w:val="003630D3"/>
    <w:rsid w:val="003632AC"/>
    <w:rsid w:val="00363302"/>
    <w:rsid w:val="0036330A"/>
    <w:rsid w:val="003635B2"/>
    <w:rsid w:val="003635D2"/>
    <w:rsid w:val="003636B3"/>
    <w:rsid w:val="00363866"/>
    <w:rsid w:val="003639C0"/>
    <w:rsid w:val="003639F7"/>
    <w:rsid w:val="00364179"/>
    <w:rsid w:val="0036425E"/>
    <w:rsid w:val="00364518"/>
    <w:rsid w:val="00364530"/>
    <w:rsid w:val="00364628"/>
    <w:rsid w:val="003647C4"/>
    <w:rsid w:val="003647FE"/>
    <w:rsid w:val="00364A01"/>
    <w:rsid w:val="00364B1F"/>
    <w:rsid w:val="00364E2A"/>
    <w:rsid w:val="00364FDB"/>
    <w:rsid w:val="00365062"/>
    <w:rsid w:val="00365171"/>
    <w:rsid w:val="0036546D"/>
    <w:rsid w:val="003654DB"/>
    <w:rsid w:val="003657A2"/>
    <w:rsid w:val="00365A9F"/>
    <w:rsid w:val="00365FB8"/>
    <w:rsid w:val="0036602B"/>
    <w:rsid w:val="003667A2"/>
    <w:rsid w:val="00366897"/>
    <w:rsid w:val="0036692F"/>
    <w:rsid w:val="00366A9B"/>
    <w:rsid w:val="00366ED6"/>
    <w:rsid w:val="00366F60"/>
    <w:rsid w:val="0036709C"/>
    <w:rsid w:val="003670B1"/>
    <w:rsid w:val="00367163"/>
    <w:rsid w:val="00367209"/>
    <w:rsid w:val="003675EC"/>
    <w:rsid w:val="00367793"/>
    <w:rsid w:val="0036799D"/>
    <w:rsid w:val="00367EDE"/>
    <w:rsid w:val="00367EF2"/>
    <w:rsid w:val="00367EF4"/>
    <w:rsid w:val="0037027B"/>
    <w:rsid w:val="00370386"/>
    <w:rsid w:val="003704BD"/>
    <w:rsid w:val="0037056D"/>
    <w:rsid w:val="00370827"/>
    <w:rsid w:val="00370A8B"/>
    <w:rsid w:val="00370B3C"/>
    <w:rsid w:val="00370E54"/>
    <w:rsid w:val="00370E83"/>
    <w:rsid w:val="00370F6A"/>
    <w:rsid w:val="00370FDF"/>
    <w:rsid w:val="00370FEA"/>
    <w:rsid w:val="0037111F"/>
    <w:rsid w:val="003711EF"/>
    <w:rsid w:val="00371551"/>
    <w:rsid w:val="00371779"/>
    <w:rsid w:val="0037177A"/>
    <w:rsid w:val="00371870"/>
    <w:rsid w:val="00371966"/>
    <w:rsid w:val="00371CC2"/>
    <w:rsid w:val="003721EC"/>
    <w:rsid w:val="003723FB"/>
    <w:rsid w:val="003724B2"/>
    <w:rsid w:val="003727FF"/>
    <w:rsid w:val="00372BF3"/>
    <w:rsid w:val="00372D67"/>
    <w:rsid w:val="00372E19"/>
    <w:rsid w:val="0037320B"/>
    <w:rsid w:val="00373456"/>
    <w:rsid w:val="003734E4"/>
    <w:rsid w:val="003735F3"/>
    <w:rsid w:val="0037362D"/>
    <w:rsid w:val="0037364B"/>
    <w:rsid w:val="0037372E"/>
    <w:rsid w:val="00373764"/>
    <w:rsid w:val="00373774"/>
    <w:rsid w:val="00373922"/>
    <w:rsid w:val="003745A1"/>
    <w:rsid w:val="0037466F"/>
    <w:rsid w:val="00374938"/>
    <w:rsid w:val="003749FC"/>
    <w:rsid w:val="00374A9D"/>
    <w:rsid w:val="00374AB4"/>
    <w:rsid w:val="003750F5"/>
    <w:rsid w:val="00375465"/>
    <w:rsid w:val="003754C6"/>
    <w:rsid w:val="00375713"/>
    <w:rsid w:val="00375CA1"/>
    <w:rsid w:val="00375CCE"/>
    <w:rsid w:val="0037627D"/>
    <w:rsid w:val="003762F9"/>
    <w:rsid w:val="0037639B"/>
    <w:rsid w:val="003763AE"/>
    <w:rsid w:val="00376859"/>
    <w:rsid w:val="003769BE"/>
    <w:rsid w:val="00376A2B"/>
    <w:rsid w:val="00376A80"/>
    <w:rsid w:val="00376CA0"/>
    <w:rsid w:val="00376DAB"/>
    <w:rsid w:val="00376DE7"/>
    <w:rsid w:val="00376F4F"/>
    <w:rsid w:val="00377200"/>
    <w:rsid w:val="0037755A"/>
    <w:rsid w:val="00377623"/>
    <w:rsid w:val="003778A4"/>
    <w:rsid w:val="00377A07"/>
    <w:rsid w:val="00377A51"/>
    <w:rsid w:val="00377BEA"/>
    <w:rsid w:val="00377E3D"/>
    <w:rsid w:val="00377EDB"/>
    <w:rsid w:val="00380033"/>
    <w:rsid w:val="00380082"/>
    <w:rsid w:val="003802FF"/>
    <w:rsid w:val="00380476"/>
    <w:rsid w:val="003804EE"/>
    <w:rsid w:val="0038051E"/>
    <w:rsid w:val="00380623"/>
    <w:rsid w:val="003806A9"/>
    <w:rsid w:val="00380754"/>
    <w:rsid w:val="00380808"/>
    <w:rsid w:val="00380A9F"/>
    <w:rsid w:val="00380B44"/>
    <w:rsid w:val="00380E69"/>
    <w:rsid w:val="00381029"/>
    <w:rsid w:val="00381198"/>
    <w:rsid w:val="0038138D"/>
    <w:rsid w:val="00381640"/>
    <w:rsid w:val="0038170F"/>
    <w:rsid w:val="003817B4"/>
    <w:rsid w:val="00381A3B"/>
    <w:rsid w:val="00381ADE"/>
    <w:rsid w:val="00381C6B"/>
    <w:rsid w:val="00381D74"/>
    <w:rsid w:val="00381F0D"/>
    <w:rsid w:val="003820C2"/>
    <w:rsid w:val="00382232"/>
    <w:rsid w:val="003822FC"/>
    <w:rsid w:val="0038232A"/>
    <w:rsid w:val="003823B7"/>
    <w:rsid w:val="00382456"/>
    <w:rsid w:val="003824F1"/>
    <w:rsid w:val="003825F0"/>
    <w:rsid w:val="0038263E"/>
    <w:rsid w:val="003826D5"/>
    <w:rsid w:val="003829A6"/>
    <w:rsid w:val="00382A3B"/>
    <w:rsid w:val="00382C5D"/>
    <w:rsid w:val="00383022"/>
    <w:rsid w:val="00383369"/>
    <w:rsid w:val="0038367A"/>
    <w:rsid w:val="003837D6"/>
    <w:rsid w:val="003837F3"/>
    <w:rsid w:val="00383AB6"/>
    <w:rsid w:val="00383E40"/>
    <w:rsid w:val="0038434C"/>
    <w:rsid w:val="00384874"/>
    <w:rsid w:val="00384C1D"/>
    <w:rsid w:val="0038507D"/>
    <w:rsid w:val="0038563C"/>
    <w:rsid w:val="003856EF"/>
    <w:rsid w:val="00385993"/>
    <w:rsid w:val="003859E7"/>
    <w:rsid w:val="00385AB0"/>
    <w:rsid w:val="00385BC5"/>
    <w:rsid w:val="00385C13"/>
    <w:rsid w:val="00385EF1"/>
    <w:rsid w:val="00386053"/>
    <w:rsid w:val="00386352"/>
    <w:rsid w:val="003865C1"/>
    <w:rsid w:val="0038665A"/>
    <w:rsid w:val="003868E3"/>
    <w:rsid w:val="00386AE5"/>
    <w:rsid w:val="00386B84"/>
    <w:rsid w:val="00386CE4"/>
    <w:rsid w:val="00386FF0"/>
    <w:rsid w:val="003875F7"/>
    <w:rsid w:val="00387674"/>
    <w:rsid w:val="00387CFA"/>
    <w:rsid w:val="00387EC5"/>
    <w:rsid w:val="00390059"/>
    <w:rsid w:val="003902AB"/>
    <w:rsid w:val="003902F9"/>
    <w:rsid w:val="00390420"/>
    <w:rsid w:val="003904BB"/>
    <w:rsid w:val="003904E3"/>
    <w:rsid w:val="0039073B"/>
    <w:rsid w:val="0039074D"/>
    <w:rsid w:val="0039093A"/>
    <w:rsid w:val="00390AE3"/>
    <w:rsid w:val="00390B86"/>
    <w:rsid w:val="00390B95"/>
    <w:rsid w:val="00390C7C"/>
    <w:rsid w:val="00390DDF"/>
    <w:rsid w:val="00390EC4"/>
    <w:rsid w:val="00391580"/>
    <w:rsid w:val="0039163C"/>
    <w:rsid w:val="00391961"/>
    <w:rsid w:val="00391994"/>
    <w:rsid w:val="003919E8"/>
    <w:rsid w:val="00391BD8"/>
    <w:rsid w:val="00391C59"/>
    <w:rsid w:val="00391E9C"/>
    <w:rsid w:val="00391F49"/>
    <w:rsid w:val="00391FA1"/>
    <w:rsid w:val="00392280"/>
    <w:rsid w:val="00392281"/>
    <w:rsid w:val="003924A7"/>
    <w:rsid w:val="0039262E"/>
    <w:rsid w:val="00392797"/>
    <w:rsid w:val="00392824"/>
    <w:rsid w:val="003928E8"/>
    <w:rsid w:val="003928EA"/>
    <w:rsid w:val="003928EC"/>
    <w:rsid w:val="00392B30"/>
    <w:rsid w:val="0039302F"/>
    <w:rsid w:val="00393044"/>
    <w:rsid w:val="00393153"/>
    <w:rsid w:val="003931F8"/>
    <w:rsid w:val="00393251"/>
    <w:rsid w:val="003933C4"/>
    <w:rsid w:val="003934CE"/>
    <w:rsid w:val="00393553"/>
    <w:rsid w:val="00393695"/>
    <w:rsid w:val="003936E1"/>
    <w:rsid w:val="0039372C"/>
    <w:rsid w:val="00393BD4"/>
    <w:rsid w:val="00393F66"/>
    <w:rsid w:val="00393F68"/>
    <w:rsid w:val="003941A5"/>
    <w:rsid w:val="0039429F"/>
    <w:rsid w:val="003942E6"/>
    <w:rsid w:val="0039433B"/>
    <w:rsid w:val="00394446"/>
    <w:rsid w:val="003945AF"/>
    <w:rsid w:val="00394691"/>
    <w:rsid w:val="0039469D"/>
    <w:rsid w:val="003947DC"/>
    <w:rsid w:val="00394A6B"/>
    <w:rsid w:val="00394DA3"/>
    <w:rsid w:val="00394EC8"/>
    <w:rsid w:val="00394F91"/>
    <w:rsid w:val="00395180"/>
    <w:rsid w:val="003951CE"/>
    <w:rsid w:val="0039522A"/>
    <w:rsid w:val="00395339"/>
    <w:rsid w:val="0039545C"/>
    <w:rsid w:val="0039552F"/>
    <w:rsid w:val="0039562C"/>
    <w:rsid w:val="00395666"/>
    <w:rsid w:val="00395795"/>
    <w:rsid w:val="003957B2"/>
    <w:rsid w:val="003957BC"/>
    <w:rsid w:val="003959D0"/>
    <w:rsid w:val="00395ED5"/>
    <w:rsid w:val="00395EE7"/>
    <w:rsid w:val="003962CC"/>
    <w:rsid w:val="00396484"/>
    <w:rsid w:val="003964F6"/>
    <w:rsid w:val="00396CCA"/>
    <w:rsid w:val="0039731E"/>
    <w:rsid w:val="003973AE"/>
    <w:rsid w:val="003975A6"/>
    <w:rsid w:val="003977E3"/>
    <w:rsid w:val="00397871"/>
    <w:rsid w:val="00397973"/>
    <w:rsid w:val="00397987"/>
    <w:rsid w:val="003A0245"/>
    <w:rsid w:val="003A0267"/>
    <w:rsid w:val="003A047D"/>
    <w:rsid w:val="003A0712"/>
    <w:rsid w:val="003A0738"/>
    <w:rsid w:val="003A0809"/>
    <w:rsid w:val="003A09E9"/>
    <w:rsid w:val="003A0CA7"/>
    <w:rsid w:val="003A107E"/>
    <w:rsid w:val="003A129D"/>
    <w:rsid w:val="003A1543"/>
    <w:rsid w:val="003A1662"/>
    <w:rsid w:val="003A1747"/>
    <w:rsid w:val="003A18DE"/>
    <w:rsid w:val="003A19DB"/>
    <w:rsid w:val="003A1C52"/>
    <w:rsid w:val="003A1D7B"/>
    <w:rsid w:val="003A1D93"/>
    <w:rsid w:val="003A1E1F"/>
    <w:rsid w:val="003A1F4E"/>
    <w:rsid w:val="003A1F56"/>
    <w:rsid w:val="003A1FC4"/>
    <w:rsid w:val="003A1FE8"/>
    <w:rsid w:val="003A2125"/>
    <w:rsid w:val="003A24A8"/>
    <w:rsid w:val="003A2548"/>
    <w:rsid w:val="003A260B"/>
    <w:rsid w:val="003A2686"/>
    <w:rsid w:val="003A268D"/>
    <w:rsid w:val="003A26B5"/>
    <w:rsid w:val="003A2766"/>
    <w:rsid w:val="003A29B8"/>
    <w:rsid w:val="003A29FB"/>
    <w:rsid w:val="003A2A3C"/>
    <w:rsid w:val="003A2BD1"/>
    <w:rsid w:val="003A2DF5"/>
    <w:rsid w:val="003A2F64"/>
    <w:rsid w:val="003A3269"/>
    <w:rsid w:val="003A3394"/>
    <w:rsid w:val="003A3A01"/>
    <w:rsid w:val="003A3A8F"/>
    <w:rsid w:val="003A3AE9"/>
    <w:rsid w:val="003A3B73"/>
    <w:rsid w:val="003A3BD9"/>
    <w:rsid w:val="003A3C10"/>
    <w:rsid w:val="003A4004"/>
    <w:rsid w:val="003A4064"/>
    <w:rsid w:val="003A40DC"/>
    <w:rsid w:val="003A4316"/>
    <w:rsid w:val="003A439A"/>
    <w:rsid w:val="003A44F5"/>
    <w:rsid w:val="003A4525"/>
    <w:rsid w:val="003A4594"/>
    <w:rsid w:val="003A46C4"/>
    <w:rsid w:val="003A4831"/>
    <w:rsid w:val="003A4E27"/>
    <w:rsid w:val="003A5186"/>
    <w:rsid w:val="003A51CD"/>
    <w:rsid w:val="003A5245"/>
    <w:rsid w:val="003A52A3"/>
    <w:rsid w:val="003A535C"/>
    <w:rsid w:val="003A53E7"/>
    <w:rsid w:val="003A56BB"/>
    <w:rsid w:val="003A57B0"/>
    <w:rsid w:val="003A5882"/>
    <w:rsid w:val="003A5B4E"/>
    <w:rsid w:val="003A5C56"/>
    <w:rsid w:val="003A5CCF"/>
    <w:rsid w:val="003A5D08"/>
    <w:rsid w:val="003A5E6E"/>
    <w:rsid w:val="003A6228"/>
    <w:rsid w:val="003A6626"/>
    <w:rsid w:val="003A6634"/>
    <w:rsid w:val="003A66D9"/>
    <w:rsid w:val="003A674A"/>
    <w:rsid w:val="003A6925"/>
    <w:rsid w:val="003A6ACA"/>
    <w:rsid w:val="003A6B39"/>
    <w:rsid w:val="003A6B95"/>
    <w:rsid w:val="003A6C35"/>
    <w:rsid w:val="003A6C99"/>
    <w:rsid w:val="003A7323"/>
    <w:rsid w:val="003A7646"/>
    <w:rsid w:val="003A7655"/>
    <w:rsid w:val="003A76BD"/>
    <w:rsid w:val="003A7857"/>
    <w:rsid w:val="003A78D5"/>
    <w:rsid w:val="003A79CD"/>
    <w:rsid w:val="003A79E0"/>
    <w:rsid w:val="003A7A20"/>
    <w:rsid w:val="003A7A60"/>
    <w:rsid w:val="003A7A77"/>
    <w:rsid w:val="003A7D40"/>
    <w:rsid w:val="003B0206"/>
    <w:rsid w:val="003B0235"/>
    <w:rsid w:val="003B02BD"/>
    <w:rsid w:val="003B04E8"/>
    <w:rsid w:val="003B050D"/>
    <w:rsid w:val="003B0887"/>
    <w:rsid w:val="003B0A2F"/>
    <w:rsid w:val="003B0B40"/>
    <w:rsid w:val="003B0C22"/>
    <w:rsid w:val="003B0C48"/>
    <w:rsid w:val="003B0D7D"/>
    <w:rsid w:val="003B0DB5"/>
    <w:rsid w:val="003B0EDA"/>
    <w:rsid w:val="003B1026"/>
    <w:rsid w:val="003B107B"/>
    <w:rsid w:val="003B1127"/>
    <w:rsid w:val="003B11D5"/>
    <w:rsid w:val="003B1203"/>
    <w:rsid w:val="003B15BE"/>
    <w:rsid w:val="003B15D3"/>
    <w:rsid w:val="003B16BB"/>
    <w:rsid w:val="003B1821"/>
    <w:rsid w:val="003B1984"/>
    <w:rsid w:val="003B1E97"/>
    <w:rsid w:val="003B1FA5"/>
    <w:rsid w:val="003B1FFD"/>
    <w:rsid w:val="003B2135"/>
    <w:rsid w:val="003B2546"/>
    <w:rsid w:val="003B26DF"/>
    <w:rsid w:val="003B278C"/>
    <w:rsid w:val="003B290C"/>
    <w:rsid w:val="003B2944"/>
    <w:rsid w:val="003B2A0B"/>
    <w:rsid w:val="003B2AF9"/>
    <w:rsid w:val="003B2B44"/>
    <w:rsid w:val="003B2C35"/>
    <w:rsid w:val="003B2E3A"/>
    <w:rsid w:val="003B2EFA"/>
    <w:rsid w:val="003B3B8D"/>
    <w:rsid w:val="003B3BBA"/>
    <w:rsid w:val="003B3DED"/>
    <w:rsid w:val="003B3DF9"/>
    <w:rsid w:val="003B3EE2"/>
    <w:rsid w:val="003B409E"/>
    <w:rsid w:val="003B42A1"/>
    <w:rsid w:val="003B4331"/>
    <w:rsid w:val="003B442D"/>
    <w:rsid w:val="003B443F"/>
    <w:rsid w:val="003B45D4"/>
    <w:rsid w:val="003B49D6"/>
    <w:rsid w:val="003B4A09"/>
    <w:rsid w:val="003B4D1D"/>
    <w:rsid w:val="003B4E0B"/>
    <w:rsid w:val="003B4F55"/>
    <w:rsid w:val="003B5020"/>
    <w:rsid w:val="003B5067"/>
    <w:rsid w:val="003B53A1"/>
    <w:rsid w:val="003B53C6"/>
    <w:rsid w:val="003B5621"/>
    <w:rsid w:val="003B56CE"/>
    <w:rsid w:val="003B57B3"/>
    <w:rsid w:val="003B586D"/>
    <w:rsid w:val="003B59A6"/>
    <w:rsid w:val="003B5B8E"/>
    <w:rsid w:val="003B5BD4"/>
    <w:rsid w:val="003B5D7F"/>
    <w:rsid w:val="003B5DBF"/>
    <w:rsid w:val="003B614E"/>
    <w:rsid w:val="003B6266"/>
    <w:rsid w:val="003B64DB"/>
    <w:rsid w:val="003B6A80"/>
    <w:rsid w:val="003B6F28"/>
    <w:rsid w:val="003B72EC"/>
    <w:rsid w:val="003B7337"/>
    <w:rsid w:val="003B7381"/>
    <w:rsid w:val="003B74E6"/>
    <w:rsid w:val="003B7549"/>
    <w:rsid w:val="003B7575"/>
    <w:rsid w:val="003B7911"/>
    <w:rsid w:val="003B795B"/>
    <w:rsid w:val="003B7A4E"/>
    <w:rsid w:val="003B7C9E"/>
    <w:rsid w:val="003B7CBA"/>
    <w:rsid w:val="003B7DB0"/>
    <w:rsid w:val="003C0041"/>
    <w:rsid w:val="003C004E"/>
    <w:rsid w:val="003C0086"/>
    <w:rsid w:val="003C00F2"/>
    <w:rsid w:val="003C061B"/>
    <w:rsid w:val="003C0886"/>
    <w:rsid w:val="003C08D2"/>
    <w:rsid w:val="003C0A1A"/>
    <w:rsid w:val="003C0BD6"/>
    <w:rsid w:val="003C0C11"/>
    <w:rsid w:val="003C0D61"/>
    <w:rsid w:val="003C1016"/>
    <w:rsid w:val="003C119D"/>
    <w:rsid w:val="003C1481"/>
    <w:rsid w:val="003C16E7"/>
    <w:rsid w:val="003C190B"/>
    <w:rsid w:val="003C1B71"/>
    <w:rsid w:val="003C1CA5"/>
    <w:rsid w:val="003C1D63"/>
    <w:rsid w:val="003C1DB6"/>
    <w:rsid w:val="003C2199"/>
    <w:rsid w:val="003C21AE"/>
    <w:rsid w:val="003C21ED"/>
    <w:rsid w:val="003C22B0"/>
    <w:rsid w:val="003C23AB"/>
    <w:rsid w:val="003C2434"/>
    <w:rsid w:val="003C243A"/>
    <w:rsid w:val="003C2544"/>
    <w:rsid w:val="003C2583"/>
    <w:rsid w:val="003C2673"/>
    <w:rsid w:val="003C2835"/>
    <w:rsid w:val="003C283D"/>
    <w:rsid w:val="003C28E8"/>
    <w:rsid w:val="003C2B2C"/>
    <w:rsid w:val="003C2C2D"/>
    <w:rsid w:val="003C2CBB"/>
    <w:rsid w:val="003C3047"/>
    <w:rsid w:val="003C32A6"/>
    <w:rsid w:val="003C34D4"/>
    <w:rsid w:val="003C3585"/>
    <w:rsid w:val="003C373F"/>
    <w:rsid w:val="003C37B7"/>
    <w:rsid w:val="003C37F6"/>
    <w:rsid w:val="003C3B24"/>
    <w:rsid w:val="003C3C00"/>
    <w:rsid w:val="003C3CED"/>
    <w:rsid w:val="003C4434"/>
    <w:rsid w:val="003C452E"/>
    <w:rsid w:val="003C45A3"/>
    <w:rsid w:val="003C46D1"/>
    <w:rsid w:val="003C471C"/>
    <w:rsid w:val="003C47B8"/>
    <w:rsid w:val="003C48D1"/>
    <w:rsid w:val="003C4930"/>
    <w:rsid w:val="003C4B37"/>
    <w:rsid w:val="003C4D9D"/>
    <w:rsid w:val="003C4DC3"/>
    <w:rsid w:val="003C50BC"/>
    <w:rsid w:val="003C51B2"/>
    <w:rsid w:val="003C51CE"/>
    <w:rsid w:val="003C5382"/>
    <w:rsid w:val="003C554F"/>
    <w:rsid w:val="003C55A4"/>
    <w:rsid w:val="003C5684"/>
    <w:rsid w:val="003C583D"/>
    <w:rsid w:val="003C5885"/>
    <w:rsid w:val="003C5B28"/>
    <w:rsid w:val="003C5D60"/>
    <w:rsid w:val="003C5E94"/>
    <w:rsid w:val="003C5F9C"/>
    <w:rsid w:val="003C62DE"/>
    <w:rsid w:val="003C6382"/>
    <w:rsid w:val="003C63E6"/>
    <w:rsid w:val="003C646A"/>
    <w:rsid w:val="003C67FD"/>
    <w:rsid w:val="003C6A08"/>
    <w:rsid w:val="003C6AB0"/>
    <w:rsid w:val="003C6B9C"/>
    <w:rsid w:val="003C6C49"/>
    <w:rsid w:val="003C6C4B"/>
    <w:rsid w:val="003C6CFF"/>
    <w:rsid w:val="003C6D13"/>
    <w:rsid w:val="003C71BF"/>
    <w:rsid w:val="003C726F"/>
    <w:rsid w:val="003C73AB"/>
    <w:rsid w:val="003C7656"/>
    <w:rsid w:val="003C7BE3"/>
    <w:rsid w:val="003C7CA4"/>
    <w:rsid w:val="003D032D"/>
    <w:rsid w:val="003D0508"/>
    <w:rsid w:val="003D0551"/>
    <w:rsid w:val="003D0C89"/>
    <w:rsid w:val="003D0E0D"/>
    <w:rsid w:val="003D1191"/>
    <w:rsid w:val="003D11A8"/>
    <w:rsid w:val="003D11C6"/>
    <w:rsid w:val="003D13EE"/>
    <w:rsid w:val="003D14B0"/>
    <w:rsid w:val="003D16CE"/>
    <w:rsid w:val="003D1790"/>
    <w:rsid w:val="003D199F"/>
    <w:rsid w:val="003D1A9B"/>
    <w:rsid w:val="003D1AE7"/>
    <w:rsid w:val="003D1E4B"/>
    <w:rsid w:val="003D2196"/>
    <w:rsid w:val="003D21E0"/>
    <w:rsid w:val="003D2209"/>
    <w:rsid w:val="003D22B7"/>
    <w:rsid w:val="003D235D"/>
    <w:rsid w:val="003D23D9"/>
    <w:rsid w:val="003D24B3"/>
    <w:rsid w:val="003D2894"/>
    <w:rsid w:val="003D2B0D"/>
    <w:rsid w:val="003D2D35"/>
    <w:rsid w:val="003D2FA9"/>
    <w:rsid w:val="003D2FC9"/>
    <w:rsid w:val="003D3200"/>
    <w:rsid w:val="003D3391"/>
    <w:rsid w:val="003D3423"/>
    <w:rsid w:val="003D345F"/>
    <w:rsid w:val="003D389C"/>
    <w:rsid w:val="003D3914"/>
    <w:rsid w:val="003D3F21"/>
    <w:rsid w:val="003D3F65"/>
    <w:rsid w:val="003D3F96"/>
    <w:rsid w:val="003D41C1"/>
    <w:rsid w:val="003D42FD"/>
    <w:rsid w:val="003D438B"/>
    <w:rsid w:val="003D4791"/>
    <w:rsid w:val="003D47A5"/>
    <w:rsid w:val="003D486C"/>
    <w:rsid w:val="003D4999"/>
    <w:rsid w:val="003D4ABC"/>
    <w:rsid w:val="003D4BA0"/>
    <w:rsid w:val="003D501B"/>
    <w:rsid w:val="003D50D0"/>
    <w:rsid w:val="003D51A5"/>
    <w:rsid w:val="003D53C4"/>
    <w:rsid w:val="003D542B"/>
    <w:rsid w:val="003D545F"/>
    <w:rsid w:val="003D5516"/>
    <w:rsid w:val="003D5D1A"/>
    <w:rsid w:val="003D5D70"/>
    <w:rsid w:val="003D5D9D"/>
    <w:rsid w:val="003D5EA3"/>
    <w:rsid w:val="003D5EAE"/>
    <w:rsid w:val="003D6139"/>
    <w:rsid w:val="003D6315"/>
    <w:rsid w:val="003D639A"/>
    <w:rsid w:val="003D64FD"/>
    <w:rsid w:val="003D66B3"/>
    <w:rsid w:val="003D69A9"/>
    <w:rsid w:val="003D6BD3"/>
    <w:rsid w:val="003D6D90"/>
    <w:rsid w:val="003D6E7A"/>
    <w:rsid w:val="003D70D7"/>
    <w:rsid w:val="003D712E"/>
    <w:rsid w:val="003D73C8"/>
    <w:rsid w:val="003D741F"/>
    <w:rsid w:val="003D762A"/>
    <w:rsid w:val="003D77CA"/>
    <w:rsid w:val="003D77E2"/>
    <w:rsid w:val="003D7B4A"/>
    <w:rsid w:val="003D7C8A"/>
    <w:rsid w:val="003D7E0B"/>
    <w:rsid w:val="003D7E3A"/>
    <w:rsid w:val="003D7FC7"/>
    <w:rsid w:val="003E02A7"/>
    <w:rsid w:val="003E0371"/>
    <w:rsid w:val="003E0599"/>
    <w:rsid w:val="003E0647"/>
    <w:rsid w:val="003E06BC"/>
    <w:rsid w:val="003E0782"/>
    <w:rsid w:val="003E0794"/>
    <w:rsid w:val="003E07C5"/>
    <w:rsid w:val="003E0B85"/>
    <w:rsid w:val="003E0DB0"/>
    <w:rsid w:val="003E0F45"/>
    <w:rsid w:val="003E0F67"/>
    <w:rsid w:val="003E1011"/>
    <w:rsid w:val="003E11A3"/>
    <w:rsid w:val="003E15E3"/>
    <w:rsid w:val="003E16E5"/>
    <w:rsid w:val="003E182A"/>
    <w:rsid w:val="003E1C76"/>
    <w:rsid w:val="003E1CE2"/>
    <w:rsid w:val="003E1DB3"/>
    <w:rsid w:val="003E1E91"/>
    <w:rsid w:val="003E1EF2"/>
    <w:rsid w:val="003E1F15"/>
    <w:rsid w:val="003E2290"/>
    <w:rsid w:val="003E234A"/>
    <w:rsid w:val="003E2450"/>
    <w:rsid w:val="003E2498"/>
    <w:rsid w:val="003E25F8"/>
    <w:rsid w:val="003E2768"/>
    <w:rsid w:val="003E2777"/>
    <w:rsid w:val="003E28F0"/>
    <w:rsid w:val="003E2B30"/>
    <w:rsid w:val="003E2BF0"/>
    <w:rsid w:val="003E2F1F"/>
    <w:rsid w:val="003E3120"/>
    <w:rsid w:val="003E31B1"/>
    <w:rsid w:val="003E3257"/>
    <w:rsid w:val="003E32EC"/>
    <w:rsid w:val="003E33D0"/>
    <w:rsid w:val="003E356B"/>
    <w:rsid w:val="003E35D3"/>
    <w:rsid w:val="003E3DC0"/>
    <w:rsid w:val="003E3E9D"/>
    <w:rsid w:val="003E40F0"/>
    <w:rsid w:val="003E4179"/>
    <w:rsid w:val="003E4291"/>
    <w:rsid w:val="003E42CD"/>
    <w:rsid w:val="003E43D4"/>
    <w:rsid w:val="003E44BD"/>
    <w:rsid w:val="003E4563"/>
    <w:rsid w:val="003E45E8"/>
    <w:rsid w:val="003E4857"/>
    <w:rsid w:val="003E4C23"/>
    <w:rsid w:val="003E4E76"/>
    <w:rsid w:val="003E5182"/>
    <w:rsid w:val="003E5277"/>
    <w:rsid w:val="003E53A6"/>
    <w:rsid w:val="003E53C8"/>
    <w:rsid w:val="003E5826"/>
    <w:rsid w:val="003E58E7"/>
    <w:rsid w:val="003E5A0D"/>
    <w:rsid w:val="003E5B4A"/>
    <w:rsid w:val="003E5BE7"/>
    <w:rsid w:val="003E5E52"/>
    <w:rsid w:val="003E5E8D"/>
    <w:rsid w:val="003E5F1E"/>
    <w:rsid w:val="003E5FC2"/>
    <w:rsid w:val="003E6041"/>
    <w:rsid w:val="003E6182"/>
    <w:rsid w:val="003E6197"/>
    <w:rsid w:val="003E625D"/>
    <w:rsid w:val="003E64BF"/>
    <w:rsid w:val="003E65E1"/>
    <w:rsid w:val="003E68F8"/>
    <w:rsid w:val="003E6914"/>
    <w:rsid w:val="003E6AD5"/>
    <w:rsid w:val="003E6B2C"/>
    <w:rsid w:val="003E6D22"/>
    <w:rsid w:val="003E6F18"/>
    <w:rsid w:val="003E70BA"/>
    <w:rsid w:val="003E7144"/>
    <w:rsid w:val="003E71C9"/>
    <w:rsid w:val="003E7583"/>
    <w:rsid w:val="003E7671"/>
    <w:rsid w:val="003E779A"/>
    <w:rsid w:val="003E79CA"/>
    <w:rsid w:val="003E7B48"/>
    <w:rsid w:val="003E7B54"/>
    <w:rsid w:val="003E7BBC"/>
    <w:rsid w:val="003F0335"/>
    <w:rsid w:val="003F0370"/>
    <w:rsid w:val="003F057F"/>
    <w:rsid w:val="003F0778"/>
    <w:rsid w:val="003F09A4"/>
    <w:rsid w:val="003F09C6"/>
    <w:rsid w:val="003F0A00"/>
    <w:rsid w:val="003F0A4E"/>
    <w:rsid w:val="003F0B16"/>
    <w:rsid w:val="003F0B66"/>
    <w:rsid w:val="003F0F6D"/>
    <w:rsid w:val="003F0FC7"/>
    <w:rsid w:val="003F118C"/>
    <w:rsid w:val="003F123A"/>
    <w:rsid w:val="003F12C0"/>
    <w:rsid w:val="003F13F3"/>
    <w:rsid w:val="003F14A8"/>
    <w:rsid w:val="003F1635"/>
    <w:rsid w:val="003F168E"/>
    <w:rsid w:val="003F17E8"/>
    <w:rsid w:val="003F18DA"/>
    <w:rsid w:val="003F18DD"/>
    <w:rsid w:val="003F1A0A"/>
    <w:rsid w:val="003F1BA5"/>
    <w:rsid w:val="003F1C0E"/>
    <w:rsid w:val="003F1C6F"/>
    <w:rsid w:val="003F24FA"/>
    <w:rsid w:val="003F2502"/>
    <w:rsid w:val="003F254F"/>
    <w:rsid w:val="003F2577"/>
    <w:rsid w:val="003F26C9"/>
    <w:rsid w:val="003F26D1"/>
    <w:rsid w:val="003F26E7"/>
    <w:rsid w:val="003F283B"/>
    <w:rsid w:val="003F29CB"/>
    <w:rsid w:val="003F2B86"/>
    <w:rsid w:val="003F2B9E"/>
    <w:rsid w:val="003F2CE8"/>
    <w:rsid w:val="003F2D31"/>
    <w:rsid w:val="003F2DB5"/>
    <w:rsid w:val="003F2EA9"/>
    <w:rsid w:val="003F329D"/>
    <w:rsid w:val="003F3566"/>
    <w:rsid w:val="003F37F7"/>
    <w:rsid w:val="003F3C46"/>
    <w:rsid w:val="003F3C75"/>
    <w:rsid w:val="003F3D1A"/>
    <w:rsid w:val="003F3D8F"/>
    <w:rsid w:val="003F3EB2"/>
    <w:rsid w:val="003F3F9A"/>
    <w:rsid w:val="003F415A"/>
    <w:rsid w:val="003F417C"/>
    <w:rsid w:val="003F4375"/>
    <w:rsid w:val="003F47C4"/>
    <w:rsid w:val="003F4C08"/>
    <w:rsid w:val="003F4D18"/>
    <w:rsid w:val="003F4E29"/>
    <w:rsid w:val="003F4E78"/>
    <w:rsid w:val="003F554E"/>
    <w:rsid w:val="003F57B1"/>
    <w:rsid w:val="003F5877"/>
    <w:rsid w:val="003F58EE"/>
    <w:rsid w:val="003F5A41"/>
    <w:rsid w:val="003F5A74"/>
    <w:rsid w:val="003F5AFB"/>
    <w:rsid w:val="003F5BE5"/>
    <w:rsid w:val="003F5C97"/>
    <w:rsid w:val="003F5D4C"/>
    <w:rsid w:val="003F5F4A"/>
    <w:rsid w:val="003F636E"/>
    <w:rsid w:val="003F63CF"/>
    <w:rsid w:val="003F659D"/>
    <w:rsid w:val="003F68A3"/>
    <w:rsid w:val="003F6952"/>
    <w:rsid w:val="003F6B0A"/>
    <w:rsid w:val="003F7339"/>
    <w:rsid w:val="003F7422"/>
    <w:rsid w:val="003F74C2"/>
    <w:rsid w:val="003F7513"/>
    <w:rsid w:val="003F773B"/>
    <w:rsid w:val="003F77FB"/>
    <w:rsid w:val="003F78DE"/>
    <w:rsid w:val="003F7975"/>
    <w:rsid w:val="003F79AE"/>
    <w:rsid w:val="003F7A99"/>
    <w:rsid w:val="003F7AD0"/>
    <w:rsid w:val="003F7B6A"/>
    <w:rsid w:val="003F7C58"/>
    <w:rsid w:val="003F7E04"/>
    <w:rsid w:val="00400032"/>
    <w:rsid w:val="0040032A"/>
    <w:rsid w:val="004005B2"/>
    <w:rsid w:val="004005EE"/>
    <w:rsid w:val="00400801"/>
    <w:rsid w:val="004008C6"/>
    <w:rsid w:val="00400B73"/>
    <w:rsid w:val="00400C8F"/>
    <w:rsid w:val="00400D30"/>
    <w:rsid w:val="00400E24"/>
    <w:rsid w:val="004011AE"/>
    <w:rsid w:val="004011D9"/>
    <w:rsid w:val="004013B9"/>
    <w:rsid w:val="004014E5"/>
    <w:rsid w:val="00401782"/>
    <w:rsid w:val="00401960"/>
    <w:rsid w:val="00402099"/>
    <w:rsid w:val="0040250B"/>
    <w:rsid w:val="0040254D"/>
    <w:rsid w:val="00402731"/>
    <w:rsid w:val="00402918"/>
    <w:rsid w:val="00402DD8"/>
    <w:rsid w:val="00402E89"/>
    <w:rsid w:val="00402FE2"/>
    <w:rsid w:val="00403071"/>
    <w:rsid w:val="004032C7"/>
    <w:rsid w:val="004033A6"/>
    <w:rsid w:val="00403416"/>
    <w:rsid w:val="00403417"/>
    <w:rsid w:val="0040357C"/>
    <w:rsid w:val="00403685"/>
    <w:rsid w:val="00403705"/>
    <w:rsid w:val="00403763"/>
    <w:rsid w:val="004039B3"/>
    <w:rsid w:val="00403CB6"/>
    <w:rsid w:val="00403D90"/>
    <w:rsid w:val="004046A4"/>
    <w:rsid w:val="00404B21"/>
    <w:rsid w:val="00404CAE"/>
    <w:rsid w:val="0040500D"/>
    <w:rsid w:val="004056A9"/>
    <w:rsid w:val="0040597A"/>
    <w:rsid w:val="00405BBE"/>
    <w:rsid w:val="0040619C"/>
    <w:rsid w:val="0040620A"/>
    <w:rsid w:val="00406223"/>
    <w:rsid w:val="00406499"/>
    <w:rsid w:val="004065A6"/>
    <w:rsid w:val="004067BB"/>
    <w:rsid w:val="00406971"/>
    <w:rsid w:val="00406986"/>
    <w:rsid w:val="00406A0C"/>
    <w:rsid w:val="00406B89"/>
    <w:rsid w:val="00406E04"/>
    <w:rsid w:val="00406FD1"/>
    <w:rsid w:val="0040725B"/>
    <w:rsid w:val="0040740F"/>
    <w:rsid w:val="004075B2"/>
    <w:rsid w:val="00407999"/>
    <w:rsid w:val="00407D84"/>
    <w:rsid w:val="004101C5"/>
    <w:rsid w:val="0041025C"/>
    <w:rsid w:val="004102DB"/>
    <w:rsid w:val="004106C9"/>
    <w:rsid w:val="004109C9"/>
    <w:rsid w:val="00410A82"/>
    <w:rsid w:val="00410AD3"/>
    <w:rsid w:val="00410AF3"/>
    <w:rsid w:val="00410E50"/>
    <w:rsid w:val="00411152"/>
    <w:rsid w:val="0041116C"/>
    <w:rsid w:val="00411273"/>
    <w:rsid w:val="0041134A"/>
    <w:rsid w:val="00411368"/>
    <w:rsid w:val="004114EC"/>
    <w:rsid w:val="00411707"/>
    <w:rsid w:val="00411879"/>
    <w:rsid w:val="004118C5"/>
    <w:rsid w:val="00411A33"/>
    <w:rsid w:val="00411B2A"/>
    <w:rsid w:val="00411C02"/>
    <w:rsid w:val="00412164"/>
    <w:rsid w:val="0041218D"/>
    <w:rsid w:val="00412295"/>
    <w:rsid w:val="004124F2"/>
    <w:rsid w:val="00412520"/>
    <w:rsid w:val="00412526"/>
    <w:rsid w:val="00412735"/>
    <w:rsid w:val="004129CF"/>
    <w:rsid w:val="00412A41"/>
    <w:rsid w:val="00412B3F"/>
    <w:rsid w:val="00412D00"/>
    <w:rsid w:val="00412D30"/>
    <w:rsid w:val="00412D38"/>
    <w:rsid w:val="00412D87"/>
    <w:rsid w:val="00412E83"/>
    <w:rsid w:val="00412EF5"/>
    <w:rsid w:val="00412F4C"/>
    <w:rsid w:val="00412FC8"/>
    <w:rsid w:val="00413029"/>
    <w:rsid w:val="004131E8"/>
    <w:rsid w:val="0041331E"/>
    <w:rsid w:val="00413567"/>
    <w:rsid w:val="00413615"/>
    <w:rsid w:val="00413656"/>
    <w:rsid w:val="004136AF"/>
    <w:rsid w:val="00413743"/>
    <w:rsid w:val="00413775"/>
    <w:rsid w:val="004139ED"/>
    <w:rsid w:val="00413A92"/>
    <w:rsid w:val="00413AE0"/>
    <w:rsid w:val="00413B2A"/>
    <w:rsid w:val="00413C15"/>
    <w:rsid w:val="00413F12"/>
    <w:rsid w:val="00414200"/>
    <w:rsid w:val="0041452E"/>
    <w:rsid w:val="0041461F"/>
    <w:rsid w:val="00414B0C"/>
    <w:rsid w:val="00414C95"/>
    <w:rsid w:val="00414D13"/>
    <w:rsid w:val="00414D79"/>
    <w:rsid w:val="00414DDF"/>
    <w:rsid w:val="004151B9"/>
    <w:rsid w:val="0041537F"/>
    <w:rsid w:val="0041577F"/>
    <w:rsid w:val="004157A5"/>
    <w:rsid w:val="00415AD0"/>
    <w:rsid w:val="00415D69"/>
    <w:rsid w:val="00415F68"/>
    <w:rsid w:val="00416931"/>
    <w:rsid w:val="00416BD6"/>
    <w:rsid w:val="00416CC4"/>
    <w:rsid w:val="00416DF1"/>
    <w:rsid w:val="00416E09"/>
    <w:rsid w:val="00416E19"/>
    <w:rsid w:val="00416E4D"/>
    <w:rsid w:val="00417325"/>
    <w:rsid w:val="00417580"/>
    <w:rsid w:val="00417592"/>
    <w:rsid w:val="00417732"/>
    <w:rsid w:val="004178DB"/>
    <w:rsid w:val="004179F3"/>
    <w:rsid w:val="00417BF5"/>
    <w:rsid w:val="00417C8D"/>
    <w:rsid w:val="00417C91"/>
    <w:rsid w:val="00417E36"/>
    <w:rsid w:val="004200A3"/>
    <w:rsid w:val="004203B9"/>
    <w:rsid w:val="004204CB"/>
    <w:rsid w:val="00420557"/>
    <w:rsid w:val="00420576"/>
    <w:rsid w:val="00420710"/>
    <w:rsid w:val="00420917"/>
    <w:rsid w:val="004209E0"/>
    <w:rsid w:val="00420B3E"/>
    <w:rsid w:val="00420D83"/>
    <w:rsid w:val="00420D9B"/>
    <w:rsid w:val="00420DA8"/>
    <w:rsid w:val="00420E98"/>
    <w:rsid w:val="00420F61"/>
    <w:rsid w:val="0042106F"/>
    <w:rsid w:val="00421122"/>
    <w:rsid w:val="00421126"/>
    <w:rsid w:val="004219BB"/>
    <w:rsid w:val="00422007"/>
    <w:rsid w:val="004220E6"/>
    <w:rsid w:val="00422102"/>
    <w:rsid w:val="0042229F"/>
    <w:rsid w:val="00422312"/>
    <w:rsid w:val="004223A7"/>
    <w:rsid w:val="004224E4"/>
    <w:rsid w:val="004225DA"/>
    <w:rsid w:val="00422730"/>
    <w:rsid w:val="00422790"/>
    <w:rsid w:val="00422B1F"/>
    <w:rsid w:val="00422B61"/>
    <w:rsid w:val="00422BB1"/>
    <w:rsid w:val="00422C8C"/>
    <w:rsid w:val="00422D16"/>
    <w:rsid w:val="004230BB"/>
    <w:rsid w:val="0042311C"/>
    <w:rsid w:val="004231D1"/>
    <w:rsid w:val="00423303"/>
    <w:rsid w:val="004237A2"/>
    <w:rsid w:val="00423B61"/>
    <w:rsid w:val="00423BF4"/>
    <w:rsid w:val="00423E71"/>
    <w:rsid w:val="00423F63"/>
    <w:rsid w:val="00424017"/>
    <w:rsid w:val="00424024"/>
    <w:rsid w:val="0042437E"/>
    <w:rsid w:val="004243C8"/>
    <w:rsid w:val="00424424"/>
    <w:rsid w:val="004244ED"/>
    <w:rsid w:val="004246A3"/>
    <w:rsid w:val="00424804"/>
    <w:rsid w:val="00424984"/>
    <w:rsid w:val="00424B87"/>
    <w:rsid w:val="00424FFA"/>
    <w:rsid w:val="00425172"/>
    <w:rsid w:val="00425254"/>
    <w:rsid w:val="00425400"/>
    <w:rsid w:val="0042541C"/>
    <w:rsid w:val="0042592E"/>
    <w:rsid w:val="00425D6E"/>
    <w:rsid w:val="00426164"/>
    <w:rsid w:val="0042619C"/>
    <w:rsid w:val="00426212"/>
    <w:rsid w:val="004263EA"/>
    <w:rsid w:val="00426489"/>
    <w:rsid w:val="004264D6"/>
    <w:rsid w:val="0042668A"/>
    <w:rsid w:val="0042682D"/>
    <w:rsid w:val="00426983"/>
    <w:rsid w:val="004269B8"/>
    <w:rsid w:val="00426B98"/>
    <w:rsid w:val="00426C3C"/>
    <w:rsid w:val="00426D2E"/>
    <w:rsid w:val="00426D87"/>
    <w:rsid w:val="00426E8E"/>
    <w:rsid w:val="00427025"/>
    <w:rsid w:val="0042760F"/>
    <w:rsid w:val="00427666"/>
    <w:rsid w:val="004276CF"/>
    <w:rsid w:val="00427A57"/>
    <w:rsid w:val="00427B9F"/>
    <w:rsid w:val="00427C63"/>
    <w:rsid w:val="00430133"/>
    <w:rsid w:val="004303CF"/>
    <w:rsid w:val="004305A7"/>
    <w:rsid w:val="00430744"/>
    <w:rsid w:val="0043081B"/>
    <w:rsid w:val="004308C3"/>
    <w:rsid w:val="004309B5"/>
    <w:rsid w:val="00430A15"/>
    <w:rsid w:val="00430AC0"/>
    <w:rsid w:val="00430C6E"/>
    <w:rsid w:val="00430F37"/>
    <w:rsid w:val="00430F5B"/>
    <w:rsid w:val="00430FB9"/>
    <w:rsid w:val="004311AB"/>
    <w:rsid w:val="00431381"/>
    <w:rsid w:val="00431435"/>
    <w:rsid w:val="0043155B"/>
    <w:rsid w:val="00431562"/>
    <w:rsid w:val="00431644"/>
    <w:rsid w:val="00431647"/>
    <w:rsid w:val="004316B1"/>
    <w:rsid w:val="00431735"/>
    <w:rsid w:val="0043183A"/>
    <w:rsid w:val="00431B7D"/>
    <w:rsid w:val="00431C09"/>
    <w:rsid w:val="00431D67"/>
    <w:rsid w:val="00431DF7"/>
    <w:rsid w:val="00431EFA"/>
    <w:rsid w:val="0043212E"/>
    <w:rsid w:val="00432341"/>
    <w:rsid w:val="00432450"/>
    <w:rsid w:val="00432509"/>
    <w:rsid w:val="00432700"/>
    <w:rsid w:val="004327B1"/>
    <w:rsid w:val="004327E3"/>
    <w:rsid w:val="00432C0E"/>
    <w:rsid w:val="00432C9F"/>
    <w:rsid w:val="00432D39"/>
    <w:rsid w:val="00432E5C"/>
    <w:rsid w:val="00432EE5"/>
    <w:rsid w:val="00432FAC"/>
    <w:rsid w:val="004330EE"/>
    <w:rsid w:val="0043323C"/>
    <w:rsid w:val="0043326F"/>
    <w:rsid w:val="00433367"/>
    <w:rsid w:val="00433434"/>
    <w:rsid w:val="004336CA"/>
    <w:rsid w:val="0043375C"/>
    <w:rsid w:val="004338D1"/>
    <w:rsid w:val="0043392A"/>
    <w:rsid w:val="00433A76"/>
    <w:rsid w:val="00433A99"/>
    <w:rsid w:val="00433D00"/>
    <w:rsid w:val="00433F81"/>
    <w:rsid w:val="00434151"/>
    <w:rsid w:val="0043420A"/>
    <w:rsid w:val="004344AD"/>
    <w:rsid w:val="004345AA"/>
    <w:rsid w:val="004345D0"/>
    <w:rsid w:val="00434662"/>
    <w:rsid w:val="00434676"/>
    <w:rsid w:val="004346D1"/>
    <w:rsid w:val="00434766"/>
    <w:rsid w:val="00434801"/>
    <w:rsid w:val="004348F9"/>
    <w:rsid w:val="00434A30"/>
    <w:rsid w:val="00434A5F"/>
    <w:rsid w:val="00434B16"/>
    <w:rsid w:val="00434BC3"/>
    <w:rsid w:val="00434DA9"/>
    <w:rsid w:val="00434E02"/>
    <w:rsid w:val="00435046"/>
    <w:rsid w:val="004355A5"/>
    <w:rsid w:val="004357F9"/>
    <w:rsid w:val="00435AE0"/>
    <w:rsid w:val="00435B78"/>
    <w:rsid w:val="00435E8E"/>
    <w:rsid w:val="00436044"/>
    <w:rsid w:val="00436418"/>
    <w:rsid w:val="00436449"/>
    <w:rsid w:val="0043664A"/>
    <w:rsid w:val="0043665E"/>
    <w:rsid w:val="00436711"/>
    <w:rsid w:val="00436923"/>
    <w:rsid w:val="00436F6F"/>
    <w:rsid w:val="004371F4"/>
    <w:rsid w:val="00437274"/>
    <w:rsid w:val="00437382"/>
    <w:rsid w:val="0043743D"/>
    <w:rsid w:val="004374F9"/>
    <w:rsid w:val="0043795C"/>
    <w:rsid w:val="00437984"/>
    <w:rsid w:val="004379C8"/>
    <w:rsid w:val="00437DA1"/>
    <w:rsid w:val="00437FCA"/>
    <w:rsid w:val="00440069"/>
    <w:rsid w:val="0044076C"/>
    <w:rsid w:val="00440773"/>
    <w:rsid w:val="004407F7"/>
    <w:rsid w:val="00440A2C"/>
    <w:rsid w:val="00440B79"/>
    <w:rsid w:val="00440C7A"/>
    <w:rsid w:val="00440CAE"/>
    <w:rsid w:val="004412DF"/>
    <w:rsid w:val="00441742"/>
    <w:rsid w:val="0044193C"/>
    <w:rsid w:val="00441A86"/>
    <w:rsid w:val="00441C62"/>
    <w:rsid w:val="00441D32"/>
    <w:rsid w:val="00441F42"/>
    <w:rsid w:val="00441FDF"/>
    <w:rsid w:val="0044204F"/>
    <w:rsid w:val="0044252A"/>
    <w:rsid w:val="004426AB"/>
    <w:rsid w:val="004426CE"/>
    <w:rsid w:val="00442890"/>
    <w:rsid w:val="0044291E"/>
    <w:rsid w:val="00442991"/>
    <w:rsid w:val="004429DA"/>
    <w:rsid w:val="00442CE7"/>
    <w:rsid w:val="00442DA9"/>
    <w:rsid w:val="00442F11"/>
    <w:rsid w:val="0044302D"/>
    <w:rsid w:val="004430FB"/>
    <w:rsid w:val="004433CF"/>
    <w:rsid w:val="00443478"/>
    <w:rsid w:val="004434AB"/>
    <w:rsid w:val="004434B4"/>
    <w:rsid w:val="00443AD3"/>
    <w:rsid w:val="00443CEE"/>
    <w:rsid w:val="00443F49"/>
    <w:rsid w:val="00444152"/>
    <w:rsid w:val="004442DB"/>
    <w:rsid w:val="004447E4"/>
    <w:rsid w:val="004449AA"/>
    <w:rsid w:val="004449B1"/>
    <w:rsid w:val="004449D3"/>
    <w:rsid w:val="00444D4F"/>
    <w:rsid w:val="00444F1A"/>
    <w:rsid w:val="00445125"/>
    <w:rsid w:val="00445167"/>
    <w:rsid w:val="0044527F"/>
    <w:rsid w:val="004454D5"/>
    <w:rsid w:val="004456BB"/>
    <w:rsid w:val="004457E0"/>
    <w:rsid w:val="00445837"/>
    <w:rsid w:val="00445972"/>
    <w:rsid w:val="00445BB6"/>
    <w:rsid w:val="00445EE5"/>
    <w:rsid w:val="0044642D"/>
    <w:rsid w:val="00446455"/>
    <w:rsid w:val="00446501"/>
    <w:rsid w:val="00446615"/>
    <w:rsid w:val="004466FE"/>
    <w:rsid w:val="00446806"/>
    <w:rsid w:val="00446DA4"/>
    <w:rsid w:val="00446FA3"/>
    <w:rsid w:val="004470C6"/>
    <w:rsid w:val="004472C9"/>
    <w:rsid w:val="004474A3"/>
    <w:rsid w:val="00447585"/>
    <w:rsid w:val="004475F3"/>
    <w:rsid w:val="00447653"/>
    <w:rsid w:val="004476A0"/>
    <w:rsid w:val="00447A7C"/>
    <w:rsid w:val="00447B6B"/>
    <w:rsid w:val="00447C0A"/>
    <w:rsid w:val="00447CDA"/>
    <w:rsid w:val="00447DCF"/>
    <w:rsid w:val="00447E43"/>
    <w:rsid w:val="0045002B"/>
    <w:rsid w:val="004502CC"/>
    <w:rsid w:val="004502F0"/>
    <w:rsid w:val="004503A5"/>
    <w:rsid w:val="004503A7"/>
    <w:rsid w:val="004506B4"/>
    <w:rsid w:val="004507F5"/>
    <w:rsid w:val="00450A1D"/>
    <w:rsid w:val="00450B8D"/>
    <w:rsid w:val="00450BF0"/>
    <w:rsid w:val="00450E4A"/>
    <w:rsid w:val="00451133"/>
    <w:rsid w:val="004512D0"/>
    <w:rsid w:val="004516F0"/>
    <w:rsid w:val="00451820"/>
    <w:rsid w:val="004518D0"/>
    <w:rsid w:val="00451A17"/>
    <w:rsid w:val="00451C08"/>
    <w:rsid w:val="00452354"/>
    <w:rsid w:val="00452461"/>
    <w:rsid w:val="00452478"/>
    <w:rsid w:val="004527C8"/>
    <w:rsid w:val="0045286E"/>
    <w:rsid w:val="00452E80"/>
    <w:rsid w:val="00452F79"/>
    <w:rsid w:val="00452FCF"/>
    <w:rsid w:val="00453547"/>
    <w:rsid w:val="004536AB"/>
    <w:rsid w:val="00453786"/>
    <w:rsid w:val="00453C77"/>
    <w:rsid w:val="00453D92"/>
    <w:rsid w:val="00453E14"/>
    <w:rsid w:val="0045410A"/>
    <w:rsid w:val="00454164"/>
    <w:rsid w:val="004548EF"/>
    <w:rsid w:val="00454A77"/>
    <w:rsid w:val="00454C72"/>
    <w:rsid w:val="00455488"/>
    <w:rsid w:val="00455569"/>
    <w:rsid w:val="004556FF"/>
    <w:rsid w:val="004557D3"/>
    <w:rsid w:val="004557E1"/>
    <w:rsid w:val="00455815"/>
    <w:rsid w:val="004558B7"/>
    <w:rsid w:val="0045599F"/>
    <w:rsid w:val="00455B84"/>
    <w:rsid w:val="00455D3E"/>
    <w:rsid w:val="00455D7A"/>
    <w:rsid w:val="00455E15"/>
    <w:rsid w:val="00455E83"/>
    <w:rsid w:val="00455F51"/>
    <w:rsid w:val="00456263"/>
    <w:rsid w:val="0045641C"/>
    <w:rsid w:val="004564B5"/>
    <w:rsid w:val="004565A8"/>
    <w:rsid w:val="00456661"/>
    <w:rsid w:val="00456889"/>
    <w:rsid w:val="00456BE8"/>
    <w:rsid w:val="00456C8B"/>
    <w:rsid w:val="00457A71"/>
    <w:rsid w:val="00457C4C"/>
    <w:rsid w:val="00457C75"/>
    <w:rsid w:val="00457E71"/>
    <w:rsid w:val="004606D7"/>
    <w:rsid w:val="004607EA"/>
    <w:rsid w:val="004609FA"/>
    <w:rsid w:val="00460BA6"/>
    <w:rsid w:val="00460C98"/>
    <w:rsid w:val="00460CAD"/>
    <w:rsid w:val="00460F99"/>
    <w:rsid w:val="0046128D"/>
    <w:rsid w:val="00461297"/>
    <w:rsid w:val="004612D0"/>
    <w:rsid w:val="004615BC"/>
    <w:rsid w:val="004615C2"/>
    <w:rsid w:val="0046199A"/>
    <w:rsid w:val="004619A1"/>
    <w:rsid w:val="00461BB9"/>
    <w:rsid w:val="00461BD5"/>
    <w:rsid w:val="00461D26"/>
    <w:rsid w:val="00461D60"/>
    <w:rsid w:val="0046204F"/>
    <w:rsid w:val="0046212C"/>
    <w:rsid w:val="00462AB4"/>
    <w:rsid w:val="00462BD0"/>
    <w:rsid w:val="00462BFB"/>
    <w:rsid w:val="00462DB3"/>
    <w:rsid w:val="00462EA6"/>
    <w:rsid w:val="00462FF6"/>
    <w:rsid w:val="00463070"/>
    <w:rsid w:val="004630A0"/>
    <w:rsid w:val="0046327B"/>
    <w:rsid w:val="00463316"/>
    <w:rsid w:val="0046365B"/>
    <w:rsid w:val="0046395F"/>
    <w:rsid w:val="00463A15"/>
    <w:rsid w:val="00463B5A"/>
    <w:rsid w:val="00463CAC"/>
    <w:rsid w:val="00463DC6"/>
    <w:rsid w:val="00463DC7"/>
    <w:rsid w:val="004640AC"/>
    <w:rsid w:val="00464139"/>
    <w:rsid w:val="00464554"/>
    <w:rsid w:val="00464712"/>
    <w:rsid w:val="004647C7"/>
    <w:rsid w:val="00464805"/>
    <w:rsid w:val="00464828"/>
    <w:rsid w:val="00464831"/>
    <w:rsid w:val="004649BB"/>
    <w:rsid w:val="00464DDC"/>
    <w:rsid w:val="00464FCF"/>
    <w:rsid w:val="00465136"/>
    <w:rsid w:val="00465544"/>
    <w:rsid w:val="004655D1"/>
    <w:rsid w:val="004657B3"/>
    <w:rsid w:val="004658ED"/>
    <w:rsid w:val="00465A57"/>
    <w:rsid w:val="00465B37"/>
    <w:rsid w:val="00465BE1"/>
    <w:rsid w:val="00465C38"/>
    <w:rsid w:val="00465FB6"/>
    <w:rsid w:val="00466398"/>
    <w:rsid w:val="004663F3"/>
    <w:rsid w:val="00466723"/>
    <w:rsid w:val="004667EF"/>
    <w:rsid w:val="004668AD"/>
    <w:rsid w:val="00466B30"/>
    <w:rsid w:val="00466D1D"/>
    <w:rsid w:val="00466E7B"/>
    <w:rsid w:val="00466E96"/>
    <w:rsid w:val="0046702C"/>
    <w:rsid w:val="0046707D"/>
    <w:rsid w:val="00467DD5"/>
    <w:rsid w:val="00467F63"/>
    <w:rsid w:val="00470051"/>
    <w:rsid w:val="004700A4"/>
    <w:rsid w:val="0047029A"/>
    <w:rsid w:val="004702EB"/>
    <w:rsid w:val="00470385"/>
    <w:rsid w:val="0047049C"/>
    <w:rsid w:val="00470881"/>
    <w:rsid w:val="004709D1"/>
    <w:rsid w:val="00470C19"/>
    <w:rsid w:val="00470F85"/>
    <w:rsid w:val="0047122C"/>
    <w:rsid w:val="004714A4"/>
    <w:rsid w:val="0047160A"/>
    <w:rsid w:val="0047168A"/>
    <w:rsid w:val="00471A05"/>
    <w:rsid w:val="00471A56"/>
    <w:rsid w:val="00471D0E"/>
    <w:rsid w:val="00471F3E"/>
    <w:rsid w:val="00471F52"/>
    <w:rsid w:val="00472039"/>
    <w:rsid w:val="0047212A"/>
    <w:rsid w:val="0047215A"/>
    <w:rsid w:val="004724B7"/>
    <w:rsid w:val="0047250C"/>
    <w:rsid w:val="004727B2"/>
    <w:rsid w:val="00472933"/>
    <w:rsid w:val="00472CAA"/>
    <w:rsid w:val="00472E8D"/>
    <w:rsid w:val="00473446"/>
    <w:rsid w:val="004734E8"/>
    <w:rsid w:val="004737CF"/>
    <w:rsid w:val="004737F6"/>
    <w:rsid w:val="00473ADC"/>
    <w:rsid w:val="00473BA2"/>
    <w:rsid w:val="00473C01"/>
    <w:rsid w:val="00473C64"/>
    <w:rsid w:val="00473C67"/>
    <w:rsid w:val="00473C91"/>
    <w:rsid w:val="00473D4B"/>
    <w:rsid w:val="00473EE1"/>
    <w:rsid w:val="004741DB"/>
    <w:rsid w:val="004742F8"/>
    <w:rsid w:val="004746FC"/>
    <w:rsid w:val="00474B48"/>
    <w:rsid w:val="00474B75"/>
    <w:rsid w:val="00474C2D"/>
    <w:rsid w:val="00474DCD"/>
    <w:rsid w:val="00474E14"/>
    <w:rsid w:val="00475132"/>
    <w:rsid w:val="00475261"/>
    <w:rsid w:val="004753D2"/>
    <w:rsid w:val="00475A65"/>
    <w:rsid w:val="00475B8C"/>
    <w:rsid w:val="00475D2C"/>
    <w:rsid w:val="00475DF7"/>
    <w:rsid w:val="00475EC3"/>
    <w:rsid w:val="00475F94"/>
    <w:rsid w:val="00476028"/>
    <w:rsid w:val="00476034"/>
    <w:rsid w:val="0047613E"/>
    <w:rsid w:val="004761AE"/>
    <w:rsid w:val="004761F4"/>
    <w:rsid w:val="00476355"/>
    <w:rsid w:val="00476640"/>
    <w:rsid w:val="00476BC0"/>
    <w:rsid w:val="00476BC1"/>
    <w:rsid w:val="00476C98"/>
    <w:rsid w:val="00476D5F"/>
    <w:rsid w:val="004771C8"/>
    <w:rsid w:val="0047724A"/>
    <w:rsid w:val="00477254"/>
    <w:rsid w:val="0047727C"/>
    <w:rsid w:val="004773BD"/>
    <w:rsid w:val="0047765D"/>
    <w:rsid w:val="00477831"/>
    <w:rsid w:val="004779B4"/>
    <w:rsid w:val="00477AA6"/>
    <w:rsid w:val="00477B64"/>
    <w:rsid w:val="00477C51"/>
    <w:rsid w:val="00477E8A"/>
    <w:rsid w:val="00477FB7"/>
    <w:rsid w:val="00480156"/>
    <w:rsid w:val="004803E8"/>
    <w:rsid w:val="00480529"/>
    <w:rsid w:val="0048054F"/>
    <w:rsid w:val="004805D6"/>
    <w:rsid w:val="004808F8"/>
    <w:rsid w:val="00480A04"/>
    <w:rsid w:val="00480CEB"/>
    <w:rsid w:val="00480DCC"/>
    <w:rsid w:val="00480E9D"/>
    <w:rsid w:val="00481161"/>
    <w:rsid w:val="00481198"/>
    <w:rsid w:val="004811F7"/>
    <w:rsid w:val="00481397"/>
    <w:rsid w:val="0048154E"/>
    <w:rsid w:val="00481579"/>
    <w:rsid w:val="0048195A"/>
    <w:rsid w:val="004819DA"/>
    <w:rsid w:val="00481AF8"/>
    <w:rsid w:val="00481F21"/>
    <w:rsid w:val="00481FD4"/>
    <w:rsid w:val="00482553"/>
    <w:rsid w:val="004826D1"/>
    <w:rsid w:val="00482858"/>
    <w:rsid w:val="00482C7A"/>
    <w:rsid w:val="00482DB0"/>
    <w:rsid w:val="0048338A"/>
    <w:rsid w:val="004833B5"/>
    <w:rsid w:val="0048341B"/>
    <w:rsid w:val="00483769"/>
    <w:rsid w:val="00483A10"/>
    <w:rsid w:val="00483E2C"/>
    <w:rsid w:val="00483E39"/>
    <w:rsid w:val="00483E74"/>
    <w:rsid w:val="00484102"/>
    <w:rsid w:val="00484104"/>
    <w:rsid w:val="00484161"/>
    <w:rsid w:val="00484238"/>
    <w:rsid w:val="00484278"/>
    <w:rsid w:val="004842DC"/>
    <w:rsid w:val="00484637"/>
    <w:rsid w:val="004846B1"/>
    <w:rsid w:val="0048480E"/>
    <w:rsid w:val="00484AA7"/>
    <w:rsid w:val="00484C45"/>
    <w:rsid w:val="00484C73"/>
    <w:rsid w:val="00484E27"/>
    <w:rsid w:val="00484FDE"/>
    <w:rsid w:val="00485053"/>
    <w:rsid w:val="0048522A"/>
    <w:rsid w:val="00485337"/>
    <w:rsid w:val="004856B3"/>
    <w:rsid w:val="004857ED"/>
    <w:rsid w:val="00485C46"/>
    <w:rsid w:val="00485C75"/>
    <w:rsid w:val="00485F98"/>
    <w:rsid w:val="00485FDA"/>
    <w:rsid w:val="00486057"/>
    <w:rsid w:val="00486124"/>
    <w:rsid w:val="0048679D"/>
    <w:rsid w:val="00486808"/>
    <w:rsid w:val="0048684E"/>
    <w:rsid w:val="0048686E"/>
    <w:rsid w:val="00486874"/>
    <w:rsid w:val="00486983"/>
    <w:rsid w:val="004869EF"/>
    <w:rsid w:val="00486E12"/>
    <w:rsid w:val="00486E87"/>
    <w:rsid w:val="00487109"/>
    <w:rsid w:val="0048715C"/>
    <w:rsid w:val="004871A7"/>
    <w:rsid w:val="00487700"/>
    <w:rsid w:val="004877B9"/>
    <w:rsid w:val="004877D3"/>
    <w:rsid w:val="004878CB"/>
    <w:rsid w:val="004878D8"/>
    <w:rsid w:val="004878E8"/>
    <w:rsid w:val="00487AEB"/>
    <w:rsid w:val="00487DE3"/>
    <w:rsid w:val="00487FC6"/>
    <w:rsid w:val="00487FDD"/>
    <w:rsid w:val="00490293"/>
    <w:rsid w:val="00490498"/>
    <w:rsid w:val="004904B2"/>
    <w:rsid w:val="004905B7"/>
    <w:rsid w:val="00490607"/>
    <w:rsid w:val="004906D2"/>
    <w:rsid w:val="00490922"/>
    <w:rsid w:val="00490AC1"/>
    <w:rsid w:val="00490CFD"/>
    <w:rsid w:val="00490D27"/>
    <w:rsid w:val="004910F3"/>
    <w:rsid w:val="0049124F"/>
    <w:rsid w:val="004914F1"/>
    <w:rsid w:val="00491590"/>
    <w:rsid w:val="004915D4"/>
    <w:rsid w:val="004916C5"/>
    <w:rsid w:val="00491817"/>
    <w:rsid w:val="004919C1"/>
    <w:rsid w:val="00491DB5"/>
    <w:rsid w:val="00491EF7"/>
    <w:rsid w:val="00491FA9"/>
    <w:rsid w:val="00492118"/>
    <w:rsid w:val="00492179"/>
    <w:rsid w:val="004921EF"/>
    <w:rsid w:val="00492336"/>
    <w:rsid w:val="00492485"/>
    <w:rsid w:val="004926F5"/>
    <w:rsid w:val="0049287C"/>
    <w:rsid w:val="00492CB7"/>
    <w:rsid w:val="00492D1D"/>
    <w:rsid w:val="00492E67"/>
    <w:rsid w:val="004936C7"/>
    <w:rsid w:val="00493D6B"/>
    <w:rsid w:val="00493E14"/>
    <w:rsid w:val="004942F8"/>
    <w:rsid w:val="00494355"/>
    <w:rsid w:val="004943D2"/>
    <w:rsid w:val="0049445E"/>
    <w:rsid w:val="0049448C"/>
    <w:rsid w:val="00494627"/>
    <w:rsid w:val="004947F1"/>
    <w:rsid w:val="0049483B"/>
    <w:rsid w:val="00494865"/>
    <w:rsid w:val="004949EA"/>
    <w:rsid w:val="00494A25"/>
    <w:rsid w:val="00494E46"/>
    <w:rsid w:val="0049510E"/>
    <w:rsid w:val="00495343"/>
    <w:rsid w:val="004953DD"/>
    <w:rsid w:val="00495449"/>
    <w:rsid w:val="0049570A"/>
    <w:rsid w:val="0049574C"/>
    <w:rsid w:val="0049575A"/>
    <w:rsid w:val="0049583D"/>
    <w:rsid w:val="0049594B"/>
    <w:rsid w:val="00495958"/>
    <w:rsid w:val="00495FD9"/>
    <w:rsid w:val="0049620A"/>
    <w:rsid w:val="00496376"/>
    <w:rsid w:val="0049658F"/>
    <w:rsid w:val="004965A1"/>
    <w:rsid w:val="004969B3"/>
    <w:rsid w:val="00496A4A"/>
    <w:rsid w:val="00496A5F"/>
    <w:rsid w:val="00496AFD"/>
    <w:rsid w:val="00496D6E"/>
    <w:rsid w:val="00496DA6"/>
    <w:rsid w:val="00496F07"/>
    <w:rsid w:val="0049706B"/>
    <w:rsid w:val="004973A6"/>
    <w:rsid w:val="00497443"/>
    <w:rsid w:val="00497689"/>
    <w:rsid w:val="00497698"/>
    <w:rsid w:val="00497751"/>
    <w:rsid w:val="0049791E"/>
    <w:rsid w:val="00497925"/>
    <w:rsid w:val="0049799C"/>
    <w:rsid w:val="00497B76"/>
    <w:rsid w:val="00497DC4"/>
    <w:rsid w:val="004A0042"/>
    <w:rsid w:val="004A00B8"/>
    <w:rsid w:val="004A00F3"/>
    <w:rsid w:val="004A01C6"/>
    <w:rsid w:val="004A03C9"/>
    <w:rsid w:val="004A06C5"/>
    <w:rsid w:val="004A06CC"/>
    <w:rsid w:val="004A0719"/>
    <w:rsid w:val="004A0C19"/>
    <w:rsid w:val="004A0E61"/>
    <w:rsid w:val="004A140B"/>
    <w:rsid w:val="004A160B"/>
    <w:rsid w:val="004A1AFF"/>
    <w:rsid w:val="004A1D1B"/>
    <w:rsid w:val="004A1D26"/>
    <w:rsid w:val="004A1D9D"/>
    <w:rsid w:val="004A1DBA"/>
    <w:rsid w:val="004A1E0C"/>
    <w:rsid w:val="004A1E82"/>
    <w:rsid w:val="004A20D3"/>
    <w:rsid w:val="004A2114"/>
    <w:rsid w:val="004A21BF"/>
    <w:rsid w:val="004A21FE"/>
    <w:rsid w:val="004A224B"/>
    <w:rsid w:val="004A22E5"/>
    <w:rsid w:val="004A24AA"/>
    <w:rsid w:val="004A2698"/>
    <w:rsid w:val="004A26E1"/>
    <w:rsid w:val="004A27B6"/>
    <w:rsid w:val="004A28BB"/>
    <w:rsid w:val="004A28E0"/>
    <w:rsid w:val="004A2961"/>
    <w:rsid w:val="004A29BC"/>
    <w:rsid w:val="004A2B5B"/>
    <w:rsid w:val="004A2C38"/>
    <w:rsid w:val="004A2E34"/>
    <w:rsid w:val="004A2F85"/>
    <w:rsid w:val="004A301E"/>
    <w:rsid w:val="004A322D"/>
    <w:rsid w:val="004A34FF"/>
    <w:rsid w:val="004A3614"/>
    <w:rsid w:val="004A3928"/>
    <w:rsid w:val="004A3A3D"/>
    <w:rsid w:val="004A3AE2"/>
    <w:rsid w:val="004A3B02"/>
    <w:rsid w:val="004A3B58"/>
    <w:rsid w:val="004A3BE1"/>
    <w:rsid w:val="004A3C8B"/>
    <w:rsid w:val="004A3CBF"/>
    <w:rsid w:val="004A3E7D"/>
    <w:rsid w:val="004A3F50"/>
    <w:rsid w:val="004A3F68"/>
    <w:rsid w:val="004A3F79"/>
    <w:rsid w:val="004A4023"/>
    <w:rsid w:val="004A4280"/>
    <w:rsid w:val="004A4794"/>
    <w:rsid w:val="004A4A87"/>
    <w:rsid w:val="004A5070"/>
    <w:rsid w:val="004A51A0"/>
    <w:rsid w:val="004A5260"/>
    <w:rsid w:val="004A5438"/>
    <w:rsid w:val="004A5534"/>
    <w:rsid w:val="004A57C3"/>
    <w:rsid w:val="004A5A63"/>
    <w:rsid w:val="004A5BA4"/>
    <w:rsid w:val="004A6196"/>
    <w:rsid w:val="004A626E"/>
    <w:rsid w:val="004A64E6"/>
    <w:rsid w:val="004A6564"/>
    <w:rsid w:val="004A662E"/>
    <w:rsid w:val="004A673B"/>
    <w:rsid w:val="004A69C6"/>
    <w:rsid w:val="004A6AC0"/>
    <w:rsid w:val="004A6B1E"/>
    <w:rsid w:val="004A7043"/>
    <w:rsid w:val="004A73A3"/>
    <w:rsid w:val="004A75FF"/>
    <w:rsid w:val="004A76DD"/>
    <w:rsid w:val="004A7BA1"/>
    <w:rsid w:val="004A7CDF"/>
    <w:rsid w:val="004A7D92"/>
    <w:rsid w:val="004B02BD"/>
    <w:rsid w:val="004B03B9"/>
    <w:rsid w:val="004B0462"/>
    <w:rsid w:val="004B052B"/>
    <w:rsid w:val="004B06C6"/>
    <w:rsid w:val="004B07F9"/>
    <w:rsid w:val="004B0806"/>
    <w:rsid w:val="004B0825"/>
    <w:rsid w:val="004B0A39"/>
    <w:rsid w:val="004B0B72"/>
    <w:rsid w:val="004B0C5A"/>
    <w:rsid w:val="004B0C5C"/>
    <w:rsid w:val="004B0D9A"/>
    <w:rsid w:val="004B0DC4"/>
    <w:rsid w:val="004B0F00"/>
    <w:rsid w:val="004B1121"/>
    <w:rsid w:val="004B117B"/>
    <w:rsid w:val="004B18A7"/>
    <w:rsid w:val="004B1990"/>
    <w:rsid w:val="004B1FD7"/>
    <w:rsid w:val="004B241C"/>
    <w:rsid w:val="004B2493"/>
    <w:rsid w:val="004B2542"/>
    <w:rsid w:val="004B25F7"/>
    <w:rsid w:val="004B27CC"/>
    <w:rsid w:val="004B2B63"/>
    <w:rsid w:val="004B2B67"/>
    <w:rsid w:val="004B36D3"/>
    <w:rsid w:val="004B377D"/>
    <w:rsid w:val="004B3A70"/>
    <w:rsid w:val="004B3B5B"/>
    <w:rsid w:val="004B3D59"/>
    <w:rsid w:val="004B3E43"/>
    <w:rsid w:val="004B3FBD"/>
    <w:rsid w:val="004B43EE"/>
    <w:rsid w:val="004B449A"/>
    <w:rsid w:val="004B49A0"/>
    <w:rsid w:val="004B4CE8"/>
    <w:rsid w:val="004B4D47"/>
    <w:rsid w:val="004B4EA3"/>
    <w:rsid w:val="004B4EEF"/>
    <w:rsid w:val="004B4F92"/>
    <w:rsid w:val="004B50A0"/>
    <w:rsid w:val="004B5193"/>
    <w:rsid w:val="004B519C"/>
    <w:rsid w:val="004B540C"/>
    <w:rsid w:val="004B54B5"/>
    <w:rsid w:val="004B56BC"/>
    <w:rsid w:val="004B58BF"/>
    <w:rsid w:val="004B5907"/>
    <w:rsid w:val="004B59FA"/>
    <w:rsid w:val="004B5B34"/>
    <w:rsid w:val="004B5F74"/>
    <w:rsid w:val="004B6043"/>
    <w:rsid w:val="004B641F"/>
    <w:rsid w:val="004B6547"/>
    <w:rsid w:val="004B68D4"/>
    <w:rsid w:val="004B699A"/>
    <w:rsid w:val="004B6B06"/>
    <w:rsid w:val="004B6BD0"/>
    <w:rsid w:val="004B6D35"/>
    <w:rsid w:val="004B6ED5"/>
    <w:rsid w:val="004B70C3"/>
    <w:rsid w:val="004B7268"/>
    <w:rsid w:val="004B76B5"/>
    <w:rsid w:val="004B76FA"/>
    <w:rsid w:val="004B7783"/>
    <w:rsid w:val="004B78BC"/>
    <w:rsid w:val="004B7AF6"/>
    <w:rsid w:val="004B7DF5"/>
    <w:rsid w:val="004B7E46"/>
    <w:rsid w:val="004B7FCD"/>
    <w:rsid w:val="004C0072"/>
    <w:rsid w:val="004C02E9"/>
    <w:rsid w:val="004C0446"/>
    <w:rsid w:val="004C0608"/>
    <w:rsid w:val="004C0716"/>
    <w:rsid w:val="004C0822"/>
    <w:rsid w:val="004C10B9"/>
    <w:rsid w:val="004C11C3"/>
    <w:rsid w:val="004C17E8"/>
    <w:rsid w:val="004C1881"/>
    <w:rsid w:val="004C1939"/>
    <w:rsid w:val="004C19B2"/>
    <w:rsid w:val="004C1A41"/>
    <w:rsid w:val="004C1EA4"/>
    <w:rsid w:val="004C201D"/>
    <w:rsid w:val="004C2149"/>
    <w:rsid w:val="004C21B9"/>
    <w:rsid w:val="004C264D"/>
    <w:rsid w:val="004C27A6"/>
    <w:rsid w:val="004C27E8"/>
    <w:rsid w:val="004C2A4B"/>
    <w:rsid w:val="004C2E23"/>
    <w:rsid w:val="004C2F49"/>
    <w:rsid w:val="004C336B"/>
    <w:rsid w:val="004C33F9"/>
    <w:rsid w:val="004C35D4"/>
    <w:rsid w:val="004C368B"/>
    <w:rsid w:val="004C39EE"/>
    <w:rsid w:val="004C3BEA"/>
    <w:rsid w:val="004C3D21"/>
    <w:rsid w:val="004C3F79"/>
    <w:rsid w:val="004C416A"/>
    <w:rsid w:val="004C4259"/>
    <w:rsid w:val="004C4320"/>
    <w:rsid w:val="004C43CF"/>
    <w:rsid w:val="004C4413"/>
    <w:rsid w:val="004C453C"/>
    <w:rsid w:val="004C45F9"/>
    <w:rsid w:val="004C47BB"/>
    <w:rsid w:val="004C4979"/>
    <w:rsid w:val="004C529D"/>
    <w:rsid w:val="004C5438"/>
    <w:rsid w:val="004C547E"/>
    <w:rsid w:val="004C5548"/>
    <w:rsid w:val="004C5744"/>
    <w:rsid w:val="004C5794"/>
    <w:rsid w:val="004C58EB"/>
    <w:rsid w:val="004C5A73"/>
    <w:rsid w:val="004C5B48"/>
    <w:rsid w:val="004C5BA4"/>
    <w:rsid w:val="004C5C1C"/>
    <w:rsid w:val="004C5DC7"/>
    <w:rsid w:val="004C6000"/>
    <w:rsid w:val="004C607B"/>
    <w:rsid w:val="004C61B0"/>
    <w:rsid w:val="004C61DD"/>
    <w:rsid w:val="004C6284"/>
    <w:rsid w:val="004C62F3"/>
    <w:rsid w:val="004C63E0"/>
    <w:rsid w:val="004C6552"/>
    <w:rsid w:val="004C67A4"/>
    <w:rsid w:val="004C680F"/>
    <w:rsid w:val="004C6856"/>
    <w:rsid w:val="004C6903"/>
    <w:rsid w:val="004C6949"/>
    <w:rsid w:val="004C6B07"/>
    <w:rsid w:val="004C6BD1"/>
    <w:rsid w:val="004C6D0D"/>
    <w:rsid w:val="004C7058"/>
    <w:rsid w:val="004C707B"/>
    <w:rsid w:val="004C728C"/>
    <w:rsid w:val="004C751E"/>
    <w:rsid w:val="004C7582"/>
    <w:rsid w:val="004C7592"/>
    <w:rsid w:val="004C7644"/>
    <w:rsid w:val="004C7763"/>
    <w:rsid w:val="004C79AE"/>
    <w:rsid w:val="004C7ACC"/>
    <w:rsid w:val="004C7AE4"/>
    <w:rsid w:val="004C7CEE"/>
    <w:rsid w:val="004C7FE6"/>
    <w:rsid w:val="004D013D"/>
    <w:rsid w:val="004D0146"/>
    <w:rsid w:val="004D0294"/>
    <w:rsid w:val="004D0395"/>
    <w:rsid w:val="004D03AD"/>
    <w:rsid w:val="004D0497"/>
    <w:rsid w:val="004D04CE"/>
    <w:rsid w:val="004D0539"/>
    <w:rsid w:val="004D062D"/>
    <w:rsid w:val="004D0638"/>
    <w:rsid w:val="004D07C1"/>
    <w:rsid w:val="004D0914"/>
    <w:rsid w:val="004D0916"/>
    <w:rsid w:val="004D0B0B"/>
    <w:rsid w:val="004D0FC2"/>
    <w:rsid w:val="004D1149"/>
    <w:rsid w:val="004D115C"/>
    <w:rsid w:val="004D1853"/>
    <w:rsid w:val="004D1897"/>
    <w:rsid w:val="004D1A91"/>
    <w:rsid w:val="004D1F04"/>
    <w:rsid w:val="004D20DD"/>
    <w:rsid w:val="004D21A3"/>
    <w:rsid w:val="004D25BE"/>
    <w:rsid w:val="004D25C3"/>
    <w:rsid w:val="004D2635"/>
    <w:rsid w:val="004D2BC2"/>
    <w:rsid w:val="004D2C27"/>
    <w:rsid w:val="004D2CCF"/>
    <w:rsid w:val="004D2E64"/>
    <w:rsid w:val="004D300A"/>
    <w:rsid w:val="004D313D"/>
    <w:rsid w:val="004D3158"/>
    <w:rsid w:val="004D3261"/>
    <w:rsid w:val="004D33E6"/>
    <w:rsid w:val="004D351D"/>
    <w:rsid w:val="004D4010"/>
    <w:rsid w:val="004D4331"/>
    <w:rsid w:val="004D436D"/>
    <w:rsid w:val="004D4383"/>
    <w:rsid w:val="004D4A67"/>
    <w:rsid w:val="004D4D9E"/>
    <w:rsid w:val="004D4E6A"/>
    <w:rsid w:val="004D51B7"/>
    <w:rsid w:val="004D55A0"/>
    <w:rsid w:val="004D566B"/>
    <w:rsid w:val="004D57A5"/>
    <w:rsid w:val="004D58D1"/>
    <w:rsid w:val="004D5B52"/>
    <w:rsid w:val="004D5B95"/>
    <w:rsid w:val="004D5D51"/>
    <w:rsid w:val="004D5D8C"/>
    <w:rsid w:val="004D5E6D"/>
    <w:rsid w:val="004D5EFF"/>
    <w:rsid w:val="004D5FA6"/>
    <w:rsid w:val="004D5FF3"/>
    <w:rsid w:val="004D6195"/>
    <w:rsid w:val="004D6267"/>
    <w:rsid w:val="004D6350"/>
    <w:rsid w:val="004D667E"/>
    <w:rsid w:val="004D6AB5"/>
    <w:rsid w:val="004D6B0A"/>
    <w:rsid w:val="004D6C88"/>
    <w:rsid w:val="004D6CE5"/>
    <w:rsid w:val="004D6E5D"/>
    <w:rsid w:val="004D6F01"/>
    <w:rsid w:val="004D6F90"/>
    <w:rsid w:val="004D7131"/>
    <w:rsid w:val="004D773E"/>
    <w:rsid w:val="004D78EA"/>
    <w:rsid w:val="004D7B14"/>
    <w:rsid w:val="004D7BC0"/>
    <w:rsid w:val="004D7D20"/>
    <w:rsid w:val="004D7D41"/>
    <w:rsid w:val="004D7D6E"/>
    <w:rsid w:val="004D7F79"/>
    <w:rsid w:val="004D7FCF"/>
    <w:rsid w:val="004E0256"/>
    <w:rsid w:val="004E035E"/>
    <w:rsid w:val="004E050C"/>
    <w:rsid w:val="004E06A5"/>
    <w:rsid w:val="004E06DE"/>
    <w:rsid w:val="004E0732"/>
    <w:rsid w:val="004E0764"/>
    <w:rsid w:val="004E087A"/>
    <w:rsid w:val="004E0E08"/>
    <w:rsid w:val="004E0EC1"/>
    <w:rsid w:val="004E0F60"/>
    <w:rsid w:val="004E0FA3"/>
    <w:rsid w:val="004E1034"/>
    <w:rsid w:val="004E1089"/>
    <w:rsid w:val="004E1197"/>
    <w:rsid w:val="004E11F7"/>
    <w:rsid w:val="004E12FF"/>
    <w:rsid w:val="004E141D"/>
    <w:rsid w:val="004E14DB"/>
    <w:rsid w:val="004E15BE"/>
    <w:rsid w:val="004E15D9"/>
    <w:rsid w:val="004E16AD"/>
    <w:rsid w:val="004E182D"/>
    <w:rsid w:val="004E1841"/>
    <w:rsid w:val="004E184C"/>
    <w:rsid w:val="004E1AB4"/>
    <w:rsid w:val="004E1AB6"/>
    <w:rsid w:val="004E1D23"/>
    <w:rsid w:val="004E1E7C"/>
    <w:rsid w:val="004E20A1"/>
    <w:rsid w:val="004E20DA"/>
    <w:rsid w:val="004E212D"/>
    <w:rsid w:val="004E2577"/>
    <w:rsid w:val="004E26DB"/>
    <w:rsid w:val="004E28ED"/>
    <w:rsid w:val="004E2CA8"/>
    <w:rsid w:val="004E2D35"/>
    <w:rsid w:val="004E2D89"/>
    <w:rsid w:val="004E2E04"/>
    <w:rsid w:val="004E2ECA"/>
    <w:rsid w:val="004E3005"/>
    <w:rsid w:val="004E3390"/>
    <w:rsid w:val="004E37B5"/>
    <w:rsid w:val="004E3845"/>
    <w:rsid w:val="004E3C61"/>
    <w:rsid w:val="004E3DC8"/>
    <w:rsid w:val="004E3F58"/>
    <w:rsid w:val="004E5127"/>
    <w:rsid w:val="004E519A"/>
    <w:rsid w:val="004E5328"/>
    <w:rsid w:val="004E5433"/>
    <w:rsid w:val="004E548B"/>
    <w:rsid w:val="004E5543"/>
    <w:rsid w:val="004E56EF"/>
    <w:rsid w:val="004E5735"/>
    <w:rsid w:val="004E5793"/>
    <w:rsid w:val="004E5F10"/>
    <w:rsid w:val="004E61E7"/>
    <w:rsid w:val="004E634A"/>
    <w:rsid w:val="004E6385"/>
    <w:rsid w:val="004E6450"/>
    <w:rsid w:val="004E6738"/>
    <w:rsid w:val="004E6770"/>
    <w:rsid w:val="004E6D08"/>
    <w:rsid w:val="004E6E3C"/>
    <w:rsid w:val="004E6F51"/>
    <w:rsid w:val="004E6F92"/>
    <w:rsid w:val="004E70AE"/>
    <w:rsid w:val="004E72B9"/>
    <w:rsid w:val="004E737F"/>
    <w:rsid w:val="004E7415"/>
    <w:rsid w:val="004E7426"/>
    <w:rsid w:val="004E74FC"/>
    <w:rsid w:val="004E75A0"/>
    <w:rsid w:val="004E75A7"/>
    <w:rsid w:val="004E782D"/>
    <w:rsid w:val="004E7985"/>
    <w:rsid w:val="004E79B5"/>
    <w:rsid w:val="004E7A92"/>
    <w:rsid w:val="004E7CF0"/>
    <w:rsid w:val="004E7F10"/>
    <w:rsid w:val="004E7F2B"/>
    <w:rsid w:val="004F0028"/>
    <w:rsid w:val="004F0110"/>
    <w:rsid w:val="004F0184"/>
    <w:rsid w:val="004F027E"/>
    <w:rsid w:val="004F0396"/>
    <w:rsid w:val="004F03ED"/>
    <w:rsid w:val="004F0485"/>
    <w:rsid w:val="004F08FD"/>
    <w:rsid w:val="004F0960"/>
    <w:rsid w:val="004F0A1A"/>
    <w:rsid w:val="004F0ADE"/>
    <w:rsid w:val="004F0EA6"/>
    <w:rsid w:val="004F1048"/>
    <w:rsid w:val="004F1139"/>
    <w:rsid w:val="004F146D"/>
    <w:rsid w:val="004F1650"/>
    <w:rsid w:val="004F1775"/>
    <w:rsid w:val="004F19B5"/>
    <w:rsid w:val="004F1D1F"/>
    <w:rsid w:val="004F1D90"/>
    <w:rsid w:val="004F1DBF"/>
    <w:rsid w:val="004F1E27"/>
    <w:rsid w:val="004F1F00"/>
    <w:rsid w:val="004F1FA2"/>
    <w:rsid w:val="004F1FA6"/>
    <w:rsid w:val="004F2023"/>
    <w:rsid w:val="004F207D"/>
    <w:rsid w:val="004F26AB"/>
    <w:rsid w:val="004F26DC"/>
    <w:rsid w:val="004F27CE"/>
    <w:rsid w:val="004F2AD5"/>
    <w:rsid w:val="004F2B55"/>
    <w:rsid w:val="004F2BC5"/>
    <w:rsid w:val="004F2CA7"/>
    <w:rsid w:val="004F3171"/>
    <w:rsid w:val="004F34D1"/>
    <w:rsid w:val="004F357D"/>
    <w:rsid w:val="004F3805"/>
    <w:rsid w:val="004F3CBB"/>
    <w:rsid w:val="004F3E3D"/>
    <w:rsid w:val="004F4073"/>
    <w:rsid w:val="004F40DB"/>
    <w:rsid w:val="004F43A8"/>
    <w:rsid w:val="004F44E8"/>
    <w:rsid w:val="004F49B7"/>
    <w:rsid w:val="004F4A2A"/>
    <w:rsid w:val="004F4BA8"/>
    <w:rsid w:val="004F4BD9"/>
    <w:rsid w:val="004F4F05"/>
    <w:rsid w:val="004F51E7"/>
    <w:rsid w:val="004F529E"/>
    <w:rsid w:val="004F531C"/>
    <w:rsid w:val="004F5342"/>
    <w:rsid w:val="004F54B4"/>
    <w:rsid w:val="004F59F4"/>
    <w:rsid w:val="004F5A8C"/>
    <w:rsid w:val="004F5B86"/>
    <w:rsid w:val="004F5FA4"/>
    <w:rsid w:val="004F6737"/>
    <w:rsid w:val="004F67A2"/>
    <w:rsid w:val="004F683C"/>
    <w:rsid w:val="004F69BD"/>
    <w:rsid w:val="004F69F3"/>
    <w:rsid w:val="004F6A35"/>
    <w:rsid w:val="004F6A57"/>
    <w:rsid w:val="004F6C8C"/>
    <w:rsid w:val="004F6CC5"/>
    <w:rsid w:val="004F6F48"/>
    <w:rsid w:val="004F71CE"/>
    <w:rsid w:val="004F7858"/>
    <w:rsid w:val="004F7A28"/>
    <w:rsid w:val="004F7BD9"/>
    <w:rsid w:val="004F7D7B"/>
    <w:rsid w:val="005001B0"/>
    <w:rsid w:val="0050020E"/>
    <w:rsid w:val="005004F0"/>
    <w:rsid w:val="00500641"/>
    <w:rsid w:val="005011F1"/>
    <w:rsid w:val="005014D6"/>
    <w:rsid w:val="00501607"/>
    <w:rsid w:val="00501728"/>
    <w:rsid w:val="00501958"/>
    <w:rsid w:val="00501991"/>
    <w:rsid w:val="005019B9"/>
    <w:rsid w:val="00501B11"/>
    <w:rsid w:val="00501C5A"/>
    <w:rsid w:val="00501CBC"/>
    <w:rsid w:val="00502134"/>
    <w:rsid w:val="00502350"/>
    <w:rsid w:val="005024D6"/>
    <w:rsid w:val="0050250E"/>
    <w:rsid w:val="0050261D"/>
    <w:rsid w:val="00502869"/>
    <w:rsid w:val="00502878"/>
    <w:rsid w:val="00502A5D"/>
    <w:rsid w:val="00502A92"/>
    <w:rsid w:val="00502BC4"/>
    <w:rsid w:val="00502D1C"/>
    <w:rsid w:val="00502DD6"/>
    <w:rsid w:val="0050350B"/>
    <w:rsid w:val="00503863"/>
    <w:rsid w:val="0050389B"/>
    <w:rsid w:val="0050395B"/>
    <w:rsid w:val="005039F1"/>
    <w:rsid w:val="00503A06"/>
    <w:rsid w:val="00503B4F"/>
    <w:rsid w:val="00503DED"/>
    <w:rsid w:val="00503E51"/>
    <w:rsid w:val="00503F8B"/>
    <w:rsid w:val="00503FC1"/>
    <w:rsid w:val="00503FE1"/>
    <w:rsid w:val="005040BB"/>
    <w:rsid w:val="005042EC"/>
    <w:rsid w:val="00504311"/>
    <w:rsid w:val="005043C9"/>
    <w:rsid w:val="0050441C"/>
    <w:rsid w:val="0050450E"/>
    <w:rsid w:val="005046F1"/>
    <w:rsid w:val="005046F5"/>
    <w:rsid w:val="0050470E"/>
    <w:rsid w:val="00504790"/>
    <w:rsid w:val="00504B67"/>
    <w:rsid w:val="00504C43"/>
    <w:rsid w:val="00504D27"/>
    <w:rsid w:val="00504E11"/>
    <w:rsid w:val="00504F96"/>
    <w:rsid w:val="00504FF7"/>
    <w:rsid w:val="0050508F"/>
    <w:rsid w:val="00505395"/>
    <w:rsid w:val="00505697"/>
    <w:rsid w:val="0050569B"/>
    <w:rsid w:val="00505B54"/>
    <w:rsid w:val="00505BAF"/>
    <w:rsid w:val="00505EAD"/>
    <w:rsid w:val="00505EFE"/>
    <w:rsid w:val="00505F68"/>
    <w:rsid w:val="005060A3"/>
    <w:rsid w:val="005065FB"/>
    <w:rsid w:val="0050671B"/>
    <w:rsid w:val="00506C10"/>
    <w:rsid w:val="00506C82"/>
    <w:rsid w:val="00506D19"/>
    <w:rsid w:val="00506D90"/>
    <w:rsid w:val="0050745A"/>
    <w:rsid w:val="00507516"/>
    <w:rsid w:val="00507743"/>
    <w:rsid w:val="005077BD"/>
    <w:rsid w:val="005078DF"/>
    <w:rsid w:val="00507A0B"/>
    <w:rsid w:val="00507A8B"/>
    <w:rsid w:val="00507C4F"/>
    <w:rsid w:val="00507C51"/>
    <w:rsid w:val="00507FC5"/>
    <w:rsid w:val="00510038"/>
    <w:rsid w:val="005100C1"/>
    <w:rsid w:val="0051014E"/>
    <w:rsid w:val="005102DA"/>
    <w:rsid w:val="00510308"/>
    <w:rsid w:val="0051043A"/>
    <w:rsid w:val="005106D0"/>
    <w:rsid w:val="0051072A"/>
    <w:rsid w:val="00510918"/>
    <w:rsid w:val="00510A88"/>
    <w:rsid w:val="00510AB8"/>
    <w:rsid w:val="00510B18"/>
    <w:rsid w:val="00510BEC"/>
    <w:rsid w:val="00510C99"/>
    <w:rsid w:val="00510CCC"/>
    <w:rsid w:val="00511012"/>
    <w:rsid w:val="0051102C"/>
    <w:rsid w:val="00511121"/>
    <w:rsid w:val="005111B6"/>
    <w:rsid w:val="00511306"/>
    <w:rsid w:val="005114A7"/>
    <w:rsid w:val="00511538"/>
    <w:rsid w:val="005115B6"/>
    <w:rsid w:val="00511760"/>
    <w:rsid w:val="0051186B"/>
    <w:rsid w:val="005118BB"/>
    <w:rsid w:val="0051196F"/>
    <w:rsid w:val="005119DE"/>
    <w:rsid w:val="00511BBD"/>
    <w:rsid w:val="00511CDF"/>
    <w:rsid w:val="00511E41"/>
    <w:rsid w:val="00511F23"/>
    <w:rsid w:val="00512114"/>
    <w:rsid w:val="0051235C"/>
    <w:rsid w:val="0051237C"/>
    <w:rsid w:val="005123A6"/>
    <w:rsid w:val="0051263D"/>
    <w:rsid w:val="00512AB9"/>
    <w:rsid w:val="00512E7F"/>
    <w:rsid w:val="00512E84"/>
    <w:rsid w:val="00512F79"/>
    <w:rsid w:val="00512FEA"/>
    <w:rsid w:val="005133FB"/>
    <w:rsid w:val="00513484"/>
    <w:rsid w:val="005135B4"/>
    <w:rsid w:val="005137CD"/>
    <w:rsid w:val="00513873"/>
    <w:rsid w:val="005138E3"/>
    <w:rsid w:val="005139E3"/>
    <w:rsid w:val="00513AD6"/>
    <w:rsid w:val="00513C89"/>
    <w:rsid w:val="00514066"/>
    <w:rsid w:val="00514131"/>
    <w:rsid w:val="00514396"/>
    <w:rsid w:val="00514397"/>
    <w:rsid w:val="005143AA"/>
    <w:rsid w:val="005143B6"/>
    <w:rsid w:val="005143D0"/>
    <w:rsid w:val="0051464D"/>
    <w:rsid w:val="005146D7"/>
    <w:rsid w:val="0051489A"/>
    <w:rsid w:val="00514E0D"/>
    <w:rsid w:val="00514E59"/>
    <w:rsid w:val="00514F45"/>
    <w:rsid w:val="00514FC1"/>
    <w:rsid w:val="00515009"/>
    <w:rsid w:val="005150B0"/>
    <w:rsid w:val="0051525A"/>
    <w:rsid w:val="005152B0"/>
    <w:rsid w:val="005153B5"/>
    <w:rsid w:val="0051568E"/>
    <w:rsid w:val="005156DB"/>
    <w:rsid w:val="0051579E"/>
    <w:rsid w:val="00515894"/>
    <w:rsid w:val="00515E3B"/>
    <w:rsid w:val="00515E99"/>
    <w:rsid w:val="0051632F"/>
    <w:rsid w:val="005164CA"/>
    <w:rsid w:val="005164F8"/>
    <w:rsid w:val="0051651F"/>
    <w:rsid w:val="00516530"/>
    <w:rsid w:val="005167C8"/>
    <w:rsid w:val="0051680D"/>
    <w:rsid w:val="0051688C"/>
    <w:rsid w:val="005168AB"/>
    <w:rsid w:val="00516B63"/>
    <w:rsid w:val="00516B87"/>
    <w:rsid w:val="00516D87"/>
    <w:rsid w:val="00516E2A"/>
    <w:rsid w:val="00516E4A"/>
    <w:rsid w:val="0051708C"/>
    <w:rsid w:val="005170CD"/>
    <w:rsid w:val="005173ED"/>
    <w:rsid w:val="005175AC"/>
    <w:rsid w:val="0051761F"/>
    <w:rsid w:val="00517627"/>
    <w:rsid w:val="005177B8"/>
    <w:rsid w:val="005177E5"/>
    <w:rsid w:val="0051785F"/>
    <w:rsid w:val="005178CB"/>
    <w:rsid w:val="005178E7"/>
    <w:rsid w:val="00517935"/>
    <w:rsid w:val="00517D11"/>
    <w:rsid w:val="00517DA7"/>
    <w:rsid w:val="00517E8A"/>
    <w:rsid w:val="00517EA4"/>
    <w:rsid w:val="00517EC8"/>
    <w:rsid w:val="00517FE3"/>
    <w:rsid w:val="00520003"/>
    <w:rsid w:val="00520064"/>
    <w:rsid w:val="00520076"/>
    <w:rsid w:val="005200BC"/>
    <w:rsid w:val="0052057B"/>
    <w:rsid w:val="00520683"/>
    <w:rsid w:val="005206BA"/>
    <w:rsid w:val="00520C6F"/>
    <w:rsid w:val="00520CFD"/>
    <w:rsid w:val="0052121A"/>
    <w:rsid w:val="005212A8"/>
    <w:rsid w:val="0052161E"/>
    <w:rsid w:val="005216CB"/>
    <w:rsid w:val="00521751"/>
    <w:rsid w:val="005218E4"/>
    <w:rsid w:val="0052191B"/>
    <w:rsid w:val="0052198D"/>
    <w:rsid w:val="00521A6C"/>
    <w:rsid w:val="00521C75"/>
    <w:rsid w:val="00521CDA"/>
    <w:rsid w:val="00521CF9"/>
    <w:rsid w:val="00521DA8"/>
    <w:rsid w:val="00521EE9"/>
    <w:rsid w:val="00521F24"/>
    <w:rsid w:val="00522061"/>
    <w:rsid w:val="00522103"/>
    <w:rsid w:val="0052211D"/>
    <w:rsid w:val="00522125"/>
    <w:rsid w:val="005221EE"/>
    <w:rsid w:val="0052247C"/>
    <w:rsid w:val="00522514"/>
    <w:rsid w:val="00522683"/>
    <w:rsid w:val="00522710"/>
    <w:rsid w:val="0052273C"/>
    <w:rsid w:val="005227CB"/>
    <w:rsid w:val="005228B5"/>
    <w:rsid w:val="00522975"/>
    <w:rsid w:val="005229E7"/>
    <w:rsid w:val="00522CF8"/>
    <w:rsid w:val="00522EB7"/>
    <w:rsid w:val="00522F3D"/>
    <w:rsid w:val="00522F96"/>
    <w:rsid w:val="0052347E"/>
    <w:rsid w:val="0052369B"/>
    <w:rsid w:val="0052373B"/>
    <w:rsid w:val="0052385F"/>
    <w:rsid w:val="0052396F"/>
    <w:rsid w:val="00523B24"/>
    <w:rsid w:val="00523C08"/>
    <w:rsid w:val="00523CB9"/>
    <w:rsid w:val="00523D59"/>
    <w:rsid w:val="00523E98"/>
    <w:rsid w:val="00523F61"/>
    <w:rsid w:val="00524A8D"/>
    <w:rsid w:val="00524B90"/>
    <w:rsid w:val="00524D7A"/>
    <w:rsid w:val="00524E9D"/>
    <w:rsid w:val="00525005"/>
    <w:rsid w:val="005252BA"/>
    <w:rsid w:val="005252E2"/>
    <w:rsid w:val="005252ED"/>
    <w:rsid w:val="00525318"/>
    <w:rsid w:val="00525366"/>
    <w:rsid w:val="0052572D"/>
    <w:rsid w:val="0052586D"/>
    <w:rsid w:val="00525919"/>
    <w:rsid w:val="0052628A"/>
    <w:rsid w:val="0052641D"/>
    <w:rsid w:val="00526525"/>
    <w:rsid w:val="00526535"/>
    <w:rsid w:val="005265A7"/>
    <w:rsid w:val="0052676E"/>
    <w:rsid w:val="005268C2"/>
    <w:rsid w:val="0052695C"/>
    <w:rsid w:val="005269D8"/>
    <w:rsid w:val="00526C51"/>
    <w:rsid w:val="00526D0A"/>
    <w:rsid w:val="00526D0E"/>
    <w:rsid w:val="00526EE9"/>
    <w:rsid w:val="00526EEC"/>
    <w:rsid w:val="00527182"/>
    <w:rsid w:val="005273A4"/>
    <w:rsid w:val="00527595"/>
    <w:rsid w:val="0052770E"/>
    <w:rsid w:val="005279DF"/>
    <w:rsid w:val="00527B9C"/>
    <w:rsid w:val="00527C98"/>
    <w:rsid w:val="00527C9F"/>
    <w:rsid w:val="00527D27"/>
    <w:rsid w:val="00527EFA"/>
    <w:rsid w:val="005300D8"/>
    <w:rsid w:val="0053027F"/>
    <w:rsid w:val="00530425"/>
    <w:rsid w:val="005305BD"/>
    <w:rsid w:val="00530B02"/>
    <w:rsid w:val="00530B74"/>
    <w:rsid w:val="00530B92"/>
    <w:rsid w:val="00530BA0"/>
    <w:rsid w:val="00531425"/>
    <w:rsid w:val="005315B6"/>
    <w:rsid w:val="0053191C"/>
    <w:rsid w:val="00531BEA"/>
    <w:rsid w:val="00531E21"/>
    <w:rsid w:val="005320EA"/>
    <w:rsid w:val="005321CD"/>
    <w:rsid w:val="005321D9"/>
    <w:rsid w:val="005322D0"/>
    <w:rsid w:val="005324B0"/>
    <w:rsid w:val="005325E8"/>
    <w:rsid w:val="00532625"/>
    <w:rsid w:val="00532B63"/>
    <w:rsid w:val="00532CD1"/>
    <w:rsid w:val="00532DB9"/>
    <w:rsid w:val="00532F68"/>
    <w:rsid w:val="00533052"/>
    <w:rsid w:val="005331EF"/>
    <w:rsid w:val="00533485"/>
    <w:rsid w:val="0053363B"/>
    <w:rsid w:val="005336F8"/>
    <w:rsid w:val="005338F9"/>
    <w:rsid w:val="005339B6"/>
    <w:rsid w:val="00533DA4"/>
    <w:rsid w:val="00533FE1"/>
    <w:rsid w:val="00534006"/>
    <w:rsid w:val="005342B6"/>
    <w:rsid w:val="00534423"/>
    <w:rsid w:val="00534427"/>
    <w:rsid w:val="00534445"/>
    <w:rsid w:val="005344DE"/>
    <w:rsid w:val="0053454E"/>
    <w:rsid w:val="0053465F"/>
    <w:rsid w:val="00534BA9"/>
    <w:rsid w:val="00534BE0"/>
    <w:rsid w:val="00534F2E"/>
    <w:rsid w:val="00534F7A"/>
    <w:rsid w:val="0053503A"/>
    <w:rsid w:val="0053520A"/>
    <w:rsid w:val="005352E4"/>
    <w:rsid w:val="00535312"/>
    <w:rsid w:val="005353C2"/>
    <w:rsid w:val="0053549C"/>
    <w:rsid w:val="005355FC"/>
    <w:rsid w:val="00535650"/>
    <w:rsid w:val="00535716"/>
    <w:rsid w:val="00535829"/>
    <w:rsid w:val="005359BA"/>
    <w:rsid w:val="00535DE1"/>
    <w:rsid w:val="00535FC1"/>
    <w:rsid w:val="00536059"/>
    <w:rsid w:val="005361FE"/>
    <w:rsid w:val="00536480"/>
    <w:rsid w:val="0053659B"/>
    <w:rsid w:val="00536656"/>
    <w:rsid w:val="00536703"/>
    <w:rsid w:val="005367B2"/>
    <w:rsid w:val="0053694F"/>
    <w:rsid w:val="005369FB"/>
    <w:rsid w:val="00536B15"/>
    <w:rsid w:val="00536DDD"/>
    <w:rsid w:val="005370E8"/>
    <w:rsid w:val="0053716A"/>
    <w:rsid w:val="005374A1"/>
    <w:rsid w:val="00537638"/>
    <w:rsid w:val="005378EA"/>
    <w:rsid w:val="005379FA"/>
    <w:rsid w:val="00537A52"/>
    <w:rsid w:val="00537E59"/>
    <w:rsid w:val="00537E75"/>
    <w:rsid w:val="005400D6"/>
    <w:rsid w:val="00540219"/>
    <w:rsid w:val="005403B7"/>
    <w:rsid w:val="005406F4"/>
    <w:rsid w:val="00540758"/>
    <w:rsid w:val="0054077A"/>
    <w:rsid w:val="00540867"/>
    <w:rsid w:val="00540A32"/>
    <w:rsid w:val="00540B21"/>
    <w:rsid w:val="00540C99"/>
    <w:rsid w:val="00540F04"/>
    <w:rsid w:val="00541552"/>
    <w:rsid w:val="005417BB"/>
    <w:rsid w:val="00541929"/>
    <w:rsid w:val="00541AB2"/>
    <w:rsid w:val="00541BFB"/>
    <w:rsid w:val="00541CF1"/>
    <w:rsid w:val="00541CFA"/>
    <w:rsid w:val="00541DC6"/>
    <w:rsid w:val="00541E5D"/>
    <w:rsid w:val="00541F43"/>
    <w:rsid w:val="00541FC9"/>
    <w:rsid w:val="00542199"/>
    <w:rsid w:val="005421DC"/>
    <w:rsid w:val="005423DA"/>
    <w:rsid w:val="00542552"/>
    <w:rsid w:val="005425CF"/>
    <w:rsid w:val="00542684"/>
    <w:rsid w:val="00542968"/>
    <w:rsid w:val="00542CA9"/>
    <w:rsid w:val="00543374"/>
    <w:rsid w:val="005434CB"/>
    <w:rsid w:val="00543560"/>
    <w:rsid w:val="005436C7"/>
    <w:rsid w:val="00543B22"/>
    <w:rsid w:val="00543C83"/>
    <w:rsid w:val="0054406A"/>
    <w:rsid w:val="005440C0"/>
    <w:rsid w:val="00544225"/>
    <w:rsid w:val="00544554"/>
    <w:rsid w:val="005445D6"/>
    <w:rsid w:val="00544693"/>
    <w:rsid w:val="00544845"/>
    <w:rsid w:val="005449CD"/>
    <w:rsid w:val="005449D6"/>
    <w:rsid w:val="00544B46"/>
    <w:rsid w:val="00544EDE"/>
    <w:rsid w:val="00544F51"/>
    <w:rsid w:val="00544F9D"/>
    <w:rsid w:val="00544FBA"/>
    <w:rsid w:val="00545448"/>
    <w:rsid w:val="00545604"/>
    <w:rsid w:val="0054570C"/>
    <w:rsid w:val="00545719"/>
    <w:rsid w:val="005459D2"/>
    <w:rsid w:val="00545B41"/>
    <w:rsid w:val="00545C05"/>
    <w:rsid w:val="00545C5F"/>
    <w:rsid w:val="00545D16"/>
    <w:rsid w:val="00545D87"/>
    <w:rsid w:val="00545E26"/>
    <w:rsid w:val="00545F09"/>
    <w:rsid w:val="00545FA0"/>
    <w:rsid w:val="00546247"/>
    <w:rsid w:val="0054646D"/>
    <w:rsid w:val="0054649F"/>
    <w:rsid w:val="005465A0"/>
    <w:rsid w:val="005465F1"/>
    <w:rsid w:val="005469FD"/>
    <w:rsid w:val="00546BC9"/>
    <w:rsid w:val="00546D0A"/>
    <w:rsid w:val="00546D2A"/>
    <w:rsid w:val="00547004"/>
    <w:rsid w:val="00547045"/>
    <w:rsid w:val="00547841"/>
    <w:rsid w:val="005479EB"/>
    <w:rsid w:val="00547A7C"/>
    <w:rsid w:val="00547AD7"/>
    <w:rsid w:val="00547B82"/>
    <w:rsid w:val="00547D0F"/>
    <w:rsid w:val="00547E09"/>
    <w:rsid w:val="00547F9D"/>
    <w:rsid w:val="005500A0"/>
    <w:rsid w:val="0055021B"/>
    <w:rsid w:val="00550618"/>
    <w:rsid w:val="00550DA1"/>
    <w:rsid w:val="00550DBD"/>
    <w:rsid w:val="00550E31"/>
    <w:rsid w:val="00550E63"/>
    <w:rsid w:val="00550F31"/>
    <w:rsid w:val="00551017"/>
    <w:rsid w:val="0055121E"/>
    <w:rsid w:val="00551354"/>
    <w:rsid w:val="00551702"/>
    <w:rsid w:val="00551898"/>
    <w:rsid w:val="005518CA"/>
    <w:rsid w:val="00551E37"/>
    <w:rsid w:val="00552672"/>
    <w:rsid w:val="005526F3"/>
    <w:rsid w:val="005527A7"/>
    <w:rsid w:val="005529B6"/>
    <w:rsid w:val="00552B9D"/>
    <w:rsid w:val="00552C02"/>
    <w:rsid w:val="00552D8F"/>
    <w:rsid w:val="00552DA9"/>
    <w:rsid w:val="00553378"/>
    <w:rsid w:val="0055354C"/>
    <w:rsid w:val="00553678"/>
    <w:rsid w:val="005538B0"/>
    <w:rsid w:val="005538CF"/>
    <w:rsid w:val="00553D7A"/>
    <w:rsid w:val="00553EE4"/>
    <w:rsid w:val="00554097"/>
    <w:rsid w:val="005541C6"/>
    <w:rsid w:val="005543EB"/>
    <w:rsid w:val="00554426"/>
    <w:rsid w:val="0055444E"/>
    <w:rsid w:val="0055451A"/>
    <w:rsid w:val="00554579"/>
    <w:rsid w:val="005545F6"/>
    <w:rsid w:val="005546A7"/>
    <w:rsid w:val="00554720"/>
    <w:rsid w:val="00554779"/>
    <w:rsid w:val="00554945"/>
    <w:rsid w:val="00554948"/>
    <w:rsid w:val="00554A46"/>
    <w:rsid w:val="00554BF8"/>
    <w:rsid w:val="00554DC6"/>
    <w:rsid w:val="0055514C"/>
    <w:rsid w:val="0055525C"/>
    <w:rsid w:val="00555549"/>
    <w:rsid w:val="005555E0"/>
    <w:rsid w:val="005557E8"/>
    <w:rsid w:val="00555932"/>
    <w:rsid w:val="00555954"/>
    <w:rsid w:val="00555C63"/>
    <w:rsid w:val="00555D2D"/>
    <w:rsid w:val="00555E03"/>
    <w:rsid w:val="00555E4F"/>
    <w:rsid w:val="00555EF5"/>
    <w:rsid w:val="00555F9A"/>
    <w:rsid w:val="005560EF"/>
    <w:rsid w:val="00556461"/>
    <w:rsid w:val="0055649A"/>
    <w:rsid w:val="00556628"/>
    <w:rsid w:val="005569E3"/>
    <w:rsid w:val="00556B1B"/>
    <w:rsid w:val="00556B23"/>
    <w:rsid w:val="00556B27"/>
    <w:rsid w:val="00556B7A"/>
    <w:rsid w:val="00556E35"/>
    <w:rsid w:val="00557538"/>
    <w:rsid w:val="00557566"/>
    <w:rsid w:val="0055758A"/>
    <w:rsid w:val="00557647"/>
    <w:rsid w:val="00557AAE"/>
    <w:rsid w:val="00557C4E"/>
    <w:rsid w:val="00557E71"/>
    <w:rsid w:val="005603D9"/>
    <w:rsid w:val="00560405"/>
    <w:rsid w:val="00560652"/>
    <w:rsid w:val="005609D0"/>
    <w:rsid w:val="00560C05"/>
    <w:rsid w:val="00560D99"/>
    <w:rsid w:val="00560E5E"/>
    <w:rsid w:val="00560EFE"/>
    <w:rsid w:val="0056119B"/>
    <w:rsid w:val="00561202"/>
    <w:rsid w:val="005612F1"/>
    <w:rsid w:val="005614A9"/>
    <w:rsid w:val="00561619"/>
    <w:rsid w:val="0056175F"/>
    <w:rsid w:val="005619DE"/>
    <w:rsid w:val="00561BEA"/>
    <w:rsid w:val="00561E0C"/>
    <w:rsid w:val="00562120"/>
    <w:rsid w:val="00562236"/>
    <w:rsid w:val="005622EE"/>
    <w:rsid w:val="00562592"/>
    <w:rsid w:val="00562707"/>
    <w:rsid w:val="0056295B"/>
    <w:rsid w:val="005631C1"/>
    <w:rsid w:val="005632A2"/>
    <w:rsid w:val="005634EA"/>
    <w:rsid w:val="00563733"/>
    <w:rsid w:val="0056373F"/>
    <w:rsid w:val="00563AE8"/>
    <w:rsid w:val="00563D48"/>
    <w:rsid w:val="00563D56"/>
    <w:rsid w:val="00563E77"/>
    <w:rsid w:val="00563F96"/>
    <w:rsid w:val="0056404A"/>
    <w:rsid w:val="0056433A"/>
    <w:rsid w:val="005644D5"/>
    <w:rsid w:val="005645AD"/>
    <w:rsid w:val="005648C4"/>
    <w:rsid w:val="0056497F"/>
    <w:rsid w:val="00564AC5"/>
    <w:rsid w:val="00564B28"/>
    <w:rsid w:val="00564E70"/>
    <w:rsid w:val="00564F21"/>
    <w:rsid w:val="00565047"/>
    <w:rsid w:val="0056506A"/>
    <w:rsid w:val="005650CC"/>
    <w:rsid w:val="00565291"/>
    <w:rsid w:val="005654B6"/>
    <w:rsid w:val="005655E0"/>
    <w:rsid w:val="005657D9"/>
    <w:rsid w:val="00565813"/>
    <w:rsid w:val="005658A0"/>
    <w:rsid w:val="00565B34"/>
    <w:rsid w:val="00565B62"/>
    <w:rsid w:val="00565D86"/>
    <w:rsid w:val="00565DF7"/>
    <w:rsid w:val="005660A4"/>
    <w:rsid w:val="005660BF"/>
    <w:rsid w:val="0056642B"/>
    <w:rsid w:val="005665FB"/>
    <w:rsid w:val="00567062"/>
    <w:rsid w:val="00567150"/>
    <w:rsid w:val="005673FE"/>
    <w:rsid w:val="00567598"/>
    <w:rsid w:val="005675E3"/>
    <w:rsid w:val="00567743"/>
    <w:rsid w:val="005677CF"/>
    <w:rsid w:val="0056780D"/>
    <w:rsid w:val="00567900"/>
    <w:rsid w:val="00567A6A"/>
    <w:rsid w:val="00567AE3"/>
    <w:rsid w:val="00567DBC"/>
    <w:rsid w:val="00567F13"/>
    <w:rsid w:val="00570341"/>
    <w:rsid w:val="0057039F"/>
    <w:rsid w:val="005704F6"/>
    <w:rsid w:val="00570602"/>
    <w:rsid w:val="00570739"/>
    <w:rsid w:val="005707D7"/>
    <w:rsid w:val="005708CA"/>
    <w:rsid w:val="005709E8"/>
    <w:rsid w:val="00570BAD"/>
    <w:rsid w:val="00570BD9"/>
    <w:rsid w:val="00570C22"/>
    <w:rsid w:val="00570CA4"/>
    <w:rsid w:val="00570EBC"/>
    <w:rsid w:val="00570EC6"/>
    <w:rsid w:val="0057109D"/>
    <w:rsid w:val="005713AB"/>
    <w:rsid w:val="00571532"/>
    <w:rsid w:val="005715D2"/>
    <w:rsid w:val="005716C8"/>
    <w:rsid w:val="0057170A"/>
    <w:rsid w:val="00571856"/>
    <w:rsid w:val="00571A62"/>
    <w:rsid w:val="00571C7E"/>
    <w:rsid w:val="00571D72"/>
    <w:rsid w:val="00571DDE"/>
    <w:rsid w:val="00571FE0"/>
    <w:rsid w:val="00572079"/>
    <w:rsid w:val="005723E6"/>
    <w:rsid w:val="00572551"/>
    <w:rsid w:val="00572611"/>
    <w:rsid w:val="00572685"/>
    <w:rsid w:val="00572808"/>
    <w:rsid w:val="005728EE"/>
    <w:rsid w:val="00572950"/>
    <w:rsid w:val="00572A11"/>
    <w:rsid w:val="00572B39"/>
    <w:rsid w:val="00572BDA"/>
    <w:rsid w:val="00572C7D"/>
    <w:rsid w:val="00572CCB"/>
    <w:rsid w:val="00572F2B"/>
    <w:rsid w:val="00572F67"/>
    <w:rsid w:val="005730E3"/>
    <w:rsid w:val="00573209"/>
    <w:rsid w:val="00573249"/>
    <w:rsid w:val="005732A2"/>
    <w:rsid w:val="0057348D"/>
    <w:rsid w:val="0057367F"/>
    <w:rsid w:val="0057379E"/>
    <w:rsid w:val="005737B2"/>
    <w:rsid w:val="0057380F"/>
    <w:rsid w:val="00573826"/>
    <w:rsid w:val="005739A6"/>
    <w:rsid w:val="00573AB5"/>
    <w:rsid w:val="00573AC4"/>
    <w:rsid w:val="00573AD8"/>
    <w:rsid w:val="00573C20"/>
    <w:rsid w:val="00573CD9"/>
    <w:rsid w:val="00573FD5"/>
    <w:rsid w:val="005740A6"/>
    <w:rsid w:val="00574122"/>
    <w:rsid w:val="0057431B"/>
    <w:rsid w:val="0057467B"/>
    <w:rsid w:val="0057472B"/>
    <w:rsid w:val="00574779"/>
    <w:rsid w:val="00574810"/>
    <w:rsid w:val="0057487F"/>
    <w:rsid w:val="00574A23"/>
    <w:rsid w:val="00574A46"/>
    <w:rsid w:val="00574BF1"/>
    <w:rsid w:val="00574C07"/>
    <w:rsid w:val="00574C17"/>
    <w:rsid w:val="00574E4B"/>
    <w:rsid w:val="00574FA9"/>
    <w:rsid w:val="00575011"/>
    <w:rsid w:val="005750F7"/>
    <w:rsid w:val="005753FE"/>
    <w:rsid w:val="00575679"/>
    <w:rsid w:val="0057573D"/>
    <w:rsid w:val="005759AE"/>
    <w:rsid w:val="00575A29"/>
    <w:rsid w:val="00575A43"/>
    <w:rsid w:val="00576171"/>
    <w:rsid w:val="005762BD"/>
    <w:rsid w:val="00576392"/>
    <w:rsid w:val="005764D9"/>
    <w:rsid w:val="00576525"/>
    <w:rsid w:val="005769AA"/>
    <w:rsid w:val="00576D03"/>
    <w:rsid w:val="00577117"/>
    <w:rsid w:val="005771DD"/>
    <w:rsid w:val="005772BA"/>
    <w:rsid w:val="005775AE"/>
    <w:rsid w:val="00577924"/>
    <w:rsid w:val="00577939"/>
    <w:rsid w:val="00577952"/>
    <w:rsid w:val="005803AE"/>
    <w:rsid w:val="00580403"/>
    <w:rsid w:val="00580534"/>
    <w:rsid w:val="00580720"/>
    <w:rsid w:val="00580867"/>
    <w:rsid w:val="00580880"/>
    <w:rsid w:val="005809A5"/>
    <w:rsid w:val="00580C1A"/>
    <w:rsid w:val="00580C53"/>
    <w:rsid w:val="00580DBE"/>
    <w:rsid w:val="00580DDD"/>
    <w:rsid w:val="0058105A"/>
    <w:rsid w:val="00581073"/>
    <w:rsid w:val="005811DC"/>
    <w:rsid w:val="00581232"/>
    <w:rsid w:val="00581293"/>
    <w:rsid w:val="0058130B"/>
    <w:rsid w:val="00581376"/>
    <w:rsid w:val="00581447"/>
    <w:rsid w:val="0058152E"/>
    <w:rsid w:val="0058179E"/>
    <w:rsid w:val="00581834"/>
    <w:rsid w:val="00581CB9"/>
    <w:rsid w:val="00581E8F"/>
    <w:rsid w:val="00582088"/>
    <w:rsid w:val="005824B9"/>
    <w:rsid w:val="00582676"/>
    <w:rsid w:val="00582A66"/>
    <w:rsid w:val="00582B91"/>
    <w:rsid w:val="00582BA1"/>
    <w:rsid w:val="00582DE5"/>
    <w:rsid w:val="00582FF3"/>
    <w:rsid w:val="005830F0"/>
    <w:rsid w:val="005830F1"/>
    <w:rsid w:val="0058329B"/>
    <w:rsid w:val="00583438"/>
    <w:rsid w:val="0058345A"/>
    <w:rsid w:val="00583528"/>
    <w:rsid w:val="00583577"/>
    <w:rsid w:val="00583595"/>
    <w:rsid w:val="005835F7"/>
    <w:rsid w:val="005839F0"/>
    <w:rsid w:val="00583BC6"/>
    <w:rsid w:val="00583D0D"/>
    <w:rsid w:val="00583D48"/>
    <w:rsid w:val="005841B1"/>
    <w:rsid w:val="005841E1"/>
    <w:rsid w:val="00584481"/>
    <w:rsid w:val="005844D4"/>
    <w:rsid w:val="005844F7"/>
    <w:rsid w:val="0058457B"/>
    <w:rsid w:val="00584911"/>
    <w:rsid w:val="00584DB2"/>
    <w:rsid w:val="00584E59"/>
    <w:rsid w:val="00584FD7"/>
    <w:rsid w:val="005852F0"/>
    <w:rsid w:val="0058534B"/>
    <w:rsid w:val="005854C2"/>
    <w:rsid w:val="0058578F"/>
    <w:rsid w:val="0058588F"/>
    <w:rsid w:val="005858E4"/>
    <w:rsid w:val="0058590C"/>
    <w:rsid w:val="005859B2"/>
    <w:rsid w:val="00585B12"/>
    <w:rsid w:val="00585B2C"/>
    <w:rsid w:val="00585CBE"/>
    <w:rsid w:val="00585F0D"/>
    <w:rsid w:val="0058608A"/>
    <w:rsid w:val="005860DC"/>
    <w:rsid w:val="0058632D"/>
    <w:rsid w:val="005863C1"/>
    <w:rsid w:val="005863C3"/>
    <w:rsid w:val="005864AC"/>
    <w:rsid w:val="005868BB"/>
    <w:rsid w:val="00586BD7"/>
    <w:rsid w:val="00586CB6"/>
    <w:rsid w:val="00586F5D"/>
    <w:rsid w:val="00586FB0"/>
    <w:rsid w:val="005871FE"/>
    <w:rsid w:val="005872D9"/>
    <w:rsid w:val="005874B9"/>
    <w:rsid w:val="00587747"/>
    <w:rsid w:val="005877F6"/>
    <w:rsid w:val="0058783E"/>
    <w:rsid w:val="005878E1"/>
    <w:rsid w:val="005879C0"/>
    <w:rsid w:val="00587B8D"/>
    <w:rsid w:val="00587E25"/>
    <w:rsid w:val="00587EE7"/>
    <w:rsid w:val="00590126"/>
    <w:rsid w:val="00590296"/>
    <w:rsid w:val="005903AE"/>
    <w:rsid w:val="005905DB"/>
    <w:rsid w:val="00590682"/>
    <w:rsid w:val="00590812"/>
    <w:rsid w:val="00590880"/>
    <w:rsid w:val="00590C48"/>
    <w:rsid w:val="00590D2E"/>
    <w:rsid w:val="00590DC0"/>
    <w:rsid w:val="00591022"/>
    <w:rsid w:val="00591145"/>
    <w:rsid w:val="0059126A"/>
    <w:rsid w:val="00591295"/>
    <w:rsid w:val="005912F2"/>
    <w:rsid w:val="0059172F"/>
    <w:rsid w:val="00591991"/>
    <w:rsid w:val="005919D8"/>
    <w:rsid w:val="00591B61"/>
    <w:rsid w:val="00591DB4"/>
    <w:rsid w:val="005920E3"/>
    <w:rsid w:val="005927DC"/>
    <w:rsid w:val="00592960"/>
    <w:rsid w:val="00592B91"/>
    <w:rsid w:val="00592DFB"/>
    <w:rsid w:val="00592E69"/>
    <w:rsid w:val="0059308F"/>
    <w:rsid w:val="0059321F"/>
    <w:rsid w:val="005936B8"/>
    <w:rsid w:val="00593779"/>
    <w:rsid w:val="005938DF"/>
    <w:rsid w:val="005939C1"/>
    <w:rsid w:val="00593A4A"/>
    <w:rsid w:val="00593A74"/>
    <w:rsid w:val="00593BB6"/>
    <w:rsid w:val="00593E76"/>
    <w:rsid w:val="00593EC5"/>
    <w:rsid w:val="00593EF0"/>
    <w:rsid w:val="00593EF2"/>
    <w:rsid w:val="00593F18"/>
    <w:rsid w:val="005940E9"/>
    <w:rsid w:val="00594121"/>
    <w:rsid w:val="0059453F"/>
    <w:rsid w:val="00594916"/>
    <w:rsid w:val="00594B6D"/>
    <w:rsid w:val="00594F63"/>
    <w:rsid w:val="00595012"/>
    <w:rsid w:val="00595A56"/>
    <w:rsid w:val="00595A5E"/>
    <w:rsid w:val="00595A66"/>
    <w:rsid w:val="00595B84"/>
    <w:rsid w:val="00595CA1"/>
    <w:rsid w:val="00596052"/>
    <w:rsid w:val="00596324"/>
    <w:rsid w:val="00596490"/>
    <w:rsid w:val="00596691"/>
    <w:rsid w:val="005967DC"/>
    <w:rsid w:val="00596937"/>
    <w:rsid w:val="00596A34"/>
    <w:rsid w:val="00596BFE"/>
    <w:rsid w:val="00596D90"/>
    <w:rsid w:val="0059743B"/>
    <w:rsid w:val="0059763A"/>
    <w:rsid w:val="00597663"/>
    <w:rsid w:val="0059766F"/>
    <w:rsid w:val="005979B0"/>
    <w:rsid w:val="00597A29"/>
    <w:rsid w:val="00597AE7"/>
    <w:rsid w:val="00597BE6"/>
    <w:rsid w:val="00597E57"/>
    <w:rsid w:val="00597F03"/>
    <w:rsid w:val="00597F5C"/>
    <w:rsid w:val="005A0525"/>
    <w:rsid w:val="005A0604"/>
    <w:rsid w:val="005A06C8"/>
    <w:rsid w:val="005A0AA3"/>
    <w:rsid w:val="005A0B86"/>
    <w:rsid w:val="005A0BD8"/>
    <w:rsid w:val="005A0BE1"/>
    <w:rsid w:val="005A0C34"/>
    <w:rsid w:val="005A0D2D"/>
    <w:rsid w:val="005A103B"/>
    <w:rsid w:val="005A10E6"/>
    <w:rsid w:val="005A119F"/>
    <w:rsid w:val="005A11BE"/>
    <w:rsid w:val="005A127E"/>
    <w:rsid w:val="005A140C"/>
    <w:rsid w:val="005A14C9"/>
    <w:rsid w:val="005A189A"/>
    <w:rsid w:val="005A19CF"/>
    <w:rsid w:val="005A1AB4"/>
    <w:rsid w:val="005A1DB3"/>
    <w:rsid w:val="005A1F3D"/>
    <w:rsid w:val="005A20D2"/>
    <w:rsid w:val="005A2134"/>
    <w:rsid w:val="005A2142"/>
    <w:rsid w:val="005A2771"/>
    <w:rsid w:val="005A28C7"/>
    <w:rsid w:val="005A295A"/>
    <w:rsid w:val="005A2C9D"/>
    <w:rsid w:val="005A2FC9"/>
    <w:rsid w:val="005A2FE3"/>
    <w:rsid w:val="005A30F5"/>
    <w:rsid w:val="005A3456"/>
    <w:rsid w:val="005A3474"/>
    <w:rsid w:val="005A36CB"/>
    <w:rsid w:val="005A392B"/>
    <w:rsid w:val="005A3C99"/>
    <w:rsid w:val="005A3D5C"/>
    <w:rsid w:val="005A3DBD"/>
    <w:rsid w:val="005A3F0A"/>
    <w:rsid w:val="005A3F21"/>
    <w:rsid w:val="005A3FEC"/>
    <w:rsid w:val="005A404A"/>
    <w:rsid w:val="005A4491"/>
    <w:rsid w:val="005A45F1"/>
    <w:rsid w:val="005A4738"/>
    <w:rsid w:val="005A4743"/>
    <w:rsid w:val="005A4A72"/>
    <w:rsid w:val="005A4CB5"/>
    <w:rsid w:val="005A4D7F"/>
    <w:rsid w:val="005A545F"/>
    <w:rsid w:val="005A5566"/>
    <w:rsid w:val="005A5588"/>
    <w:rsid w:val="005A567F"/>
    <w:rsid w:val="005A56C2"/>
    <w:rsid w:val="005A57F4"/>
    <w:rsid w:val="005A58B4"/>
    <w:rsid w:val="005A5950"/>
    <w:rsid w:val="005A5BE3"/>
    <w:rsid w:val="005A5CFE"/>
    <w:rsid w:val="005A5DC6"/>
    <w:rsid w:val="005A5DD0"/>
    <w:rsid w:val="005A5F57"/>
    <w:rsid w:val="005A5F6E"/>
    <w:rsid w:val="005A5FB0"/>
    <w:rsid w:val="005A60EB"/>
    <w:rsid w:val="005A6361"/>
    <w:rsid w:val="005A6424"/>
    <w:rsid w:val="005A64AE"/>
    <w:rsid w:val="005A6531"/>
    <w:rsid w:val="005A65AC"/>
    <w:rsid w:val="005A65E4"/>
    <w:rsid w:val="005A6703"/>
    <w:rsid w:val="005A67F0"/>
    <w:rsid w:val="005A68B4"/>
    <w:rsid w:val="005A6A36"/>
    <w:rsid w:val="005A6A95"/>
    <w:rsid w:val="005A6D54"/>
    <w:rsid w:val="005A6F65"/>
    <w:rsid w:val="005A7184"/>
    <w:rsid w:val="005A7454"/>
    <w:rsid w:val="005A7486"/>
    <w:rsid w:val="005A78CD"/>
    <w:rsid w:val="005A7C77"/>
    <w:rsid w:val="005A7D9B"/>
    <w:rsid w:val="005A7E72"/>
    <w:rsid w:val="005A7F8E"/>
    <w:rsid w:val="005B0126"/>
    <w:rsid w:val="005B088A"/>
    <w:rsid w:val="005B0935"/>
    <w:rsid w:val="005B0AF3"/>
    <w:rsid w:val="005B0D0B"/>
    <w:rsid w:val="005B0EAC"/>
    <w:rsid w:val="005B0F54"/>
    <w:rsid w:val="005B0F90"/>
    <w:rsid w:val="005B100B"/>
    <w:rsid w:val="005B112D"/>
    <w:rsid w:val="005B15DC"/>
    <w:rsid w:val="005B15F7"/>
    <w:rsid w:val="005B1600"/>
    <w:rsid w:val="005B1722"/>
    <w:rsid w:val="005B1895"/>
    <w:rsid w:val="005B1EB4"/>
    <w:rsid w:val="005B1FA3"/>
    <w:rsid w:val="005B2161"/>
    <w:rsid w:val="005B21D2"/>
    <w:rsid w:val="005B24B2"/>
    <w:rsid w:val="005B2615"/>
    <w:rsid w:val="005B2708"/>
    <w:rsid w:val="005B284C"/>
    <w:rsid w:val="005B2A7A"/>
    <w:rsid w:val="005B2B20"/>
    <w:rsid w:val="005B33D7"/>
    <w:rsid w:val="005B3442"/>
    <w:rsid w:val="005B34F3"/>
    <w:rsid w:val="005B36B6"/>
    <w:rsid w:val="005B382F"/>
    <w:rsid w:val="005B388B"/>
    <w:rsid w:val="005B3C54"/>
    <w:rsid w:val="005B3DAB"/>
    <w:rsid w:val="005B3EBF"/>
    <w:rsid w:val="005B4788"/>
    <w:rsid w:val="005B48FD"/>
    <w:rsid w:val="005B4CF5"/>
    <w:rsid w:val="005B4D88"/>
    <w:rsid w:val="005B4DDF"/>
    <w:rsid w:val="005B4E7E"/>
    <w:rsid w:val="005B4F3B"/>
    <w:rsid w:val="005B4F66"/>
    <w:rsid w:val="005B4F94"/>
    <w:rsid w:val="005B5209"/>
    <w:rsid w:val="005B5224"/>
    <w:rsid w:val="005B557E"/>
    <w:rsid w:val="005B5809"/>
    <w:rsid w:val="005B5F00"/>
    <w:rsid w:val="005B6162"/>
    <w:rsid w:val="005B623A"/>
    <w:rsid w:val="005B6287"/>
    <w:rsid w:val="005B63D2"/>
    <w:rsid w:val="005B66F3"/>
    <w:rsid w:val="005B682A"/>
    <w:rsid w:val="005B688E"/>
    <w:rsid w:val="005B6BB2"/>
    <w:rsid w:val="005B6E3C"/>
    <w:rsid w:val="005B7420"/>
    <w:rsid w:val="005B745E"/>
    <w:rsid w:val="005B74F2"/>
    <w:rsid w:val="005B7600"/>
    <w:rsid w:val="005B76BB"/>
    <w:rsid w:val="005B7744"/>
    <w:rsid w:val="005B7A7A"/>
    <w:rsid w:val="005B7BB3"/>
    <w:rsid w:val="005B7CF4"/>
    <w:rsid w:val="005B7D6E"/>
    <w:rsid w:val="005B7E45"/>
    <w:rsid w:val="005B7EA4"/>
    <w:rsid w:val="005B7EA6"/>
    <w:rsid w:val="005C0271"/>
    <w:rsid w:val="005C072A"/>
    <w:rsid w:val="005C07BA"/>
    <w:rsid w:val="005C07E8"/>
    <w:rsid w:val="005C085D"/>
    <w:rsid w:val="005C09D4"/>
    <w:rsid w:val="005C09DE"/>
    <w:rsid w:val="005C0C30"/>
    <w:rsid w:val="005C0D3B"/>
    <w:rsid w:val="005C0E66"/>
    <w:rsid w:val="005C0ECC"/>
    <w:rsid w:val="005C0EF4"/>
    <w:rsid w:val="005C1256"/>
    <w:rsid w:val="005C1409"/>
    <w:rsid w:val="005C1453"/>
    <w:rsid w:val="005C1781"/>
    <w:rsid w:val="005C1B7D"/>
    <w:rsid w:val="005C1DE9"/>
    <w:rsid w:val="005C1E56"/>
    <w:rsid w:val="005C2338"/>
    <w:rsid w:val="005C23F3"/>
    <w:rsid w:val="005C263A"/>
    <w:rsid w:val="005C2B53"/>
    <w:rsid w:val="005C2C91"/>
    <w:rsid w:val="005C2E49"/>
    <w:rsid w:val="005C33C2"/>
    <w:rsid w:val="005C35F3"/>
    <w:rsid w:val="005C377E"/>
    <w:rsid w:val="005C3864"/>
    <w:rsid w:val="005C3933"/>
    <w:rsid w:val="005C3AB7"/>
    <w:rsid w:val="005C3CED"/>
    <w:rsid w:val="005C3D68"/>
    <w:rsid w:val="005C3F5C"/>
    <w:rsid w:val="005C3FBC"/>
    <w:rsid w:val="005C4110"/>
    <w:rsid w:val="005C44D4"/>
    <w:rsid w:val="005C4698"/>
    <w:rsid w:val="005C4758"/>
    <w:rsid w:val="005C4AA4"/>
    <w:rsid w:val="005C4B7B"/>
    <w:rsid w:val="005C4B8B"/>
    <w:rsid w:val="005C4C26"/>
    <w:rsid w:val="005C4D17"/>
    <w:rsid w:val="005C4DD6"/>
    <w:rsid w:val="005C4DEF"/>
    <w:rsid w:val="005C4ED5"/>
    <w:rsid w:val="005C5328"/>
    <w:rsid w:val="005C53CB"/>
    <w:rsid w:val="005C53CE"/>
    <w:rsid w:val="005C56AB"/>
    <w:rsid w:val="005C5B71"/>
    <w:rsid w:val="005C5CF3"/>
    <w:rsid w:val="005C60CB"/>
    <w:rsid w:val="005C6281"/>
    <w:rsid w:val="005C6487"/>
    <w:rsid w:val="005C64FF"/>
    <w:rsid w:val="005C6527"/>
    <w:rsid w:val="005C6598"/>
    <w:rsid w:val="005C65C2"/>
    <w:rsid w:val="005C667C"/>
    <w:rsid w:val="005C6765"/>
    <w:rsid w:val="005C6B27"/>
    <w:rsid w:val="005C6B78"/>
    <w:rsid w:val="005C6F80"/>
    <w:rsid w:val="005C71DE"/>
    <w:rsid w:val="005C737A"/>
    <w:rsid w:val="005C73B1"/>
    <w:rsid w:val="005C745E"/>
    <w:rsid w:val="005C764D"/>
    <w:rsid w:val="005C7929"/>
    <w:rsid w:val="005C79D3"/>
    <w:rsid w:val="005C7DFE"/>
    <w:rsid w:val="005C7E37"/>
    <w:rsid w:val="005C7FD5"/>
    <w:rsid w:val="005D006A"/>
    <w:rsid w:val="005D0147"/>
    <w:rsid w:val="005D0232"/>
    <w:rsid w:val="005D032F"/>
    <w:rsid w:val="005D04B2"/>
    <w:rsid w:val="005D06ED"/>
    <w:rsid w:val="005D07AD"/>
    <w:rsid w:val="005D07E7"/>
    <w:rsid w:val="005D0CFA"/>
    <w:rsid w:val="005D1030"/>
    <w:rsid w:val="005D108D"/>
    <w:rsid w:val="005D12B2"/>
    <w:rsid w:val="005D15A5"/>
    <w:rsid w:val="005D1AEE"/>
    <w:rsid w:val="005D1E6D"/>
    <w:rsid w:val="005D20B3"/>
    <w:rsid w:val="005D2492"/>
    <w:rsid w:val="005D24D2"/>
    <w:rsid w:val="005D2886"/>
    <w:rsid w:val="005D2D3C"/>
    <w:rsid w:val="005D2DD9"/>
    <w:rsid w:val="005D2F00"/>
    <w:rsid w:val="005D2F0A"/>
    <w:rsid w:val="005D2FD8"/>
    <w:rsid w:val="005D309E"/>
    <w:rsid w:val="005D315C"/>
    <w:rsid w:val="005D315F"/>
    <w:rsid w:val="005D326B"/>
    <w:rsid w:val="005D336C"/>
    <w:rsid w:val="005D36D3"/>
    <w:rsid w:val="005D38C4"/>
    <w:rsid w:val="005D3ADB"/>
    <w:rsid w:val="005D3C43"/>
    <w:rsid w:val="005D3D66"/>
    <w:rsid w:val="005D3F10"/>
    <w:rsid w:val="005D4264"/>
    <w:rsid w:val="005D4459"/>
    <w:rsid w:val="005D4666"/>
    <w:rsid w:val="005D4760"/>
    <w:rsid w:val="005D495F"/>
    <w:rsid w:val="005D49DA"/>
    <w:rsid w:val="005D4B7E"/>
    <w:rsid w:val="005D4EC9"/>
    <w:rsid w:val="005D5168"/>
    <w:rsid w:val="005D5407"/>
    <w:rsid w:val="005D598C"/>
    <w:rsid w:val="005D59D8"/>
    <w:rsid w:val="005D5DBE"/>
    <w:rsid w:val="005D615B"/>
    <w:rsid w:val="005D61BB"/>
    <w:rsid w:val="005D6336"/>
    <w:rsid w:val="005D65D1"/>
    <w:rsid w:val="005D65D6"/>
    <w:rsid w:val="005D665C"/>
    <w:rsid w:val="005D6818"/>
    <w:rsid w:val="005D6B6B"/>
    <w:rsid w:val="005D70A0"/>
    <w:rsid w:val="005D70E9"/>
    <w:rsid w:val="005D7256"/>
    <w:rsid w:val="005D740B"/>
    <w:rsid w:val="005D74C6"/>
    <w:rsid w:val="005D7AB9"/>
    <w:rsid w:val="005D7C6A"/>
    <w:rsid w:val="005D7C7D"/>
    <w:rsid w:val="005D7DBA"/>
    <w:rsid w:val="005E0347"/>
    <w:rsid w:val="005E039C"/>
    <w:rsid w:val="005E0713"/>
    <w:rsid w:val="005E095B"/>
    <w:rsid w:val="005E0B13"/>
    <w:rsid w:val="005E0CA1"/>
    <w:rsid w:val="005E0D5D"/>
    <w:rsid w:val="005E10A4"/>
    <w:rsid w:val="005E10F1"/>
    <w:rsid w:val="005E1365"/>
    <w:rsid w:val="005E1671"/>
    <w:rsid w:val="005E1786"/>
    <w:rsid w:val="005E1A1E"/>
    <w:rsid w:val="005E1B17"/>
    <w:rsid w:val="005E1C10"/>
    <w:rsid w:val="005E1FEB"/>
    <w:rsid w:val="005E20EB"/>
    <w:rsid w:val="005E2107"/>
    <w:rsid w:val="005E2182"/>
    <w:rsid w:val="005E21F0"/>
    <w:rsid w:val="005E24B4"/>
    <w:rsid w:val="005E266D"/>
    <w:rsid w:val="005E2A44"/>
    <w:rsid w:val="005E2C13"/>
    <w:rsid w:val="005E2C3C"/>
    <w:rsid w:val="005E2E28"/>
    <w:rsid w:val="005E2E4C"/>
    <w:rsid w:val="005E30E0"/>
    <w:rsid w:val="005E3134"/>
    <w:rsid w:val="005E32E6"/>
    <w:rsid w:val="005E35BA"/>
    <w:rsid w:val="005E379F"/>
    <w:rsid w:val="005E3D18"/>
    <w:rsid w:val="005E402A"/>
    <w:rsid w:val="005E40A2"/>
    <w:rsid w:val="005E42EE"/>
    <w:rsid w:val="005E4478"/>
    <w:rsid w:val="005E44FE"/>
    <w:rsid w:val="005E45C2"/>
    <w:rsid w:val="005E4678"/>
    <w:rsid w:val="005E4B0A"/>
    <w:rsid w:val="005E4B4C"/>
    <w:rsid w:val="005E4CC3"/>
    <w:rsid w:val="005E4D21"/>
    <w:rsid w:val="005E4D35"/>
    <w:rsid w:val="005E5422"/>
    <w:rsid w:val="005E543D"/>
    <w:rsid w:val="005E562A"/>
    <w:rsid w:val="005E5A0B"/>
    <w:rsid w:val="005E5A1B"/>
    <w:rsid w:val="005E5B55"/>
    <w:rsid w:val="005E5D4D"/>
    <w:rsid w:val="005E6055"/>
    <w:rsid w:val="005E612F"/>
    <w:rsid w:val="005E64A5"/>
    <w:rsid w:val="005E679D"/>
    <w:rsid w:val="005E681D"/>
    <w:rsid w:val="005E69F2"/>
    <w:rsid w:val="005E6AC6"/>
    <w:rsid w:val="005E6BCE"/>
    <w:rsid w:val="005E6D23"/>
    <w:rsid w:val="005E73D8"/>
    <w:rsid w:val="005E73FA"/>
    <w:rsid w:val="005E74CD"/>
    <w:rsid w:val="005E74D9"/>
    <w:rsid w:val="005E78C1"/>
    <w:rsid w:val="005E7B8F"/>
    <w:rsid w:val="005E7D3D"/>
    <w:rsid w:val="005E7E34"/>
    <w:rsid w:val="005F001C"/>
    <w:rsid w:val="005F0298"/>
    <w:rsid w:val="005F03EB"/>
    <w:rsid w:val="005F04DB"/>
    <w:rsid w:val="005F07CC"/>
    <w:rsid w:val="005F08F5"/>
    <w:rsid w:val="005F0A29"/>
    <w:rsid w:val="005F0AC6"/>
    <w:rsid w:val="005F0B4D"/>
    <w:rsid w:val="005F0D73"/>
    <w:rsid w:val="005F0FBF"/>
    <w:rsid w:val="005F0FC8"/>
    <w:rsid w:val="005F10B5"/>
    <w:rsid w:val="005F1399"/>
    <w:rsid w:val="005F1496"/>
    <w:rsid w:val="005F16C4"/>
    <w:rsid w:val="005F18F2"/>
    <w:rsid w:val="005F1B57"/>
    <w:rsid w:val="005F1CAD"/>
    <w:rsid w:val="005F1D10"/>
    <w:rsid w:val="005F1D3C"/>
    <w:rsid w:val="005F1E08"/>
    <w:rsid w:val="005F1E22"/>
    <w:rsid w:val="005F1F6A"/>
    <w:rsid w:val="005F23D0"/>
    <w:rsid w:val="005F2421"/>
    <w:rsid w:val="005F2481"/>
    <w:rsid w:val="005F2568"/>
    <w:rsid w:val="005F2630"/>
    <w:rsid w:val="005F26EC"/>
    <w:rsid w:val="005F294E"/>
    <w:rsid w:val="005F29B7"/>
    <w:rsid w:val="005F2DF3"/>
    <w:rsid w:val="005F2F17"/>
    <w:rsid w:val="005F2F42"/>
    <w:rsid w:val="005F31B6"/>
    <w:rsid w:val="005F3206"/>
    <w:rsid w:val="005F3243"/>
    <w:rsid w:val="005F35B6"/>
    <w:rsid w:val="005F3641"/>
    <w:rsid w:val="005F36E7"/>
    <w:rsid w:val="005F3C8D"/>
    <w:rsid w:val="005F3EEB"/>
    <w:rsid w:val="005F4075"/>
    <w:rsid w:val="005F40FF"/>
    <w:rsid w:val="005F4221"/>
    <w:rsid w:val="005F42C7"/>
    <w:rsid w:val="005F46D1"/>
    <w:rsid w:val="005F47CC"/>
    <w:rsid w:val="005F48A8"/>
    <w:rsid w:val="005F4A8A"/>
    <w:rsid w:val="005F4B87"/>
    <w:rsid w:val="005F4F26"/>
    <w:rsid w:val="005F5098"/>
    <w:rsid w:val="005F525F"/>
    <w:rsid w:val="005F5285"/>
    <w:rsid w:val="005F5439"/>
    <w:rsid w:val="005F5654"/>
    <w:rsid w:val="005F56FA"/>
    <w:rsid w:val="005F57E6"/>
    <w:rsid w:val="005F5831"/>
    <w:rsid w:val="005F5866"/>
    <w:rsid w:val="005F58F1"/>
    <w:rsid w:val="005F5B98"/>
    <w:rsid w:val="005F5D59"/>
    <w:rsid w:val="005F6244"/>
    <w:rsid w:val="005F63A1"/>
    <w:rsid w:val="005F63ED"/>
    <w:rsid w:val="005F66EA"/>
    <w:rsid w:val="005F69A5"/>
    <w:rsid w:val="005F6BD6"/>
    <w:rsid w:val="005F6D84"/>
    <w:rsid w:val="005F6DC7"/>
    <w:rsid w:val="005F6DFF"/>
    <w:rsid w:val="005F6FCC"/>
    <w:rsid w:val="005F73DF"/>
    <w:rsid w:val="005F7729"/>
    <w:rsid w:val="005F77BC"/>
    <w:rsid w:val="005F7C69"/>
    <w:rsid w:val="005F7D8E"/>
    <w:rsid w:val="00600043"/>
    <w:rsid w:val="0060011D"/>
    <w:rsid w:val="00600734"/>
    <w:rsid w:val="00600748"/>
    <w:rsid w:val="006007B5"/>
    <w:rsid w:val="00600909"/>
    <w:rsid w:val="00600AE3"/>
    <w:rsid w:val="00600B54"/>
    <w:rsid w:val="00600CE5"/>
    <w:rsid w:val="00600E26"/>
    <w:rsid w:val="006014A0"/>
    <w:rsid w:val="00601785"/>
    <w:rsid w:val="006019E5"/>
    <w:rsid w:val="00601A53"/>
    <w:rsid w:val="00601C32"/>
    <w:rsid w:val="00601D91"/>
    <w:rsid w:val="00601E04"/>
    <w:rsid w:val="00601E18"/>
    <w:rsid w:val="00601E64"/>
    <w:rsid w:val="00601FF6"/>
    <w:rsid w:val="0060245D"/>
    <w:rsid w:val="00602827"/>
    <w:rsid w:val="00602A65"/>
    <w:rsid w:val="00602F09"/>
    <w:rsid w:val="00602FBB"/>
    <w:rsid w:val="0060315D"/>
    <w:rsid w:val="00603170"/>
    <w:rsid w:val="006031E6"/>
    <w:rsid w:val="00603281"/>
    <w:rsid w:val="00603A22"/>
    <w:rsid w:val="00603A93"/>
    <w:rsid w:val="00603ABC"/>
    <w:rsid w:val="00603CC2"/>
    <w:rsid w:val="00603D8C"/>
    <w:rsid w:val="00604016"/>
    <w:rsid w:val="00604282"/>
    <w:rsid w:val="006043F4"/>
    <w:rsid w:val="0060484E"/>
    <w:rsid w:val="00604A3B"/>
    <w:rsid w:val="00604A3C"/>
    <w:rsid w:val="00604A81"/>
    <w:rsid w:val="00604A8E"/>
    <w:rsid w:val="00604D7C"/>
    <w:rsid w:val="00604FF7"/>
    <w:rsid w:val="00604FFA"/>
    <w:rsid w:val="0060522C"/>
    <w:rsid w:val="00605418"/>
    <w:rsid w:val="00605463"/>
    <w:rsid w:val="006054FC"/>
    <w:rsid w:val="0060550A"/>
    <w:rsid w:val="0060563A"/>
    <w:rsid w:val="00605867"/>
    <w:rsid w:val="00605A1F"/>
    <w:rsid w:val="00605C0F"/>
    <w:rsid w:val="00605ED3"/>
    <w:rsid w:val="00605EDF"/>
    <w:rsid w:val="00606179"/>
    <w:rsid w:val="00606350"/>
    <w:rsid w:val="00606417"/>
    <w:rsid w:val="006065E1"/>
    <w:rsid w:val="00606611"/>
    <w:rsid w:val="00606AEB"/>
    <w:rsid w:val="00606CD7"/>
    <w:rsid w:val="00606D77"/>
    <w:rsid w:val="00607102"/>
    <w:rsid w:val="006071F0"/>
    <w:rsid w:val="00607395"/>
    <w:rsid w:val="006073B1"/>
    <w:rsid w:val="006078C4"/>
    <w:rsid w:val="00607DAE"/>
    <w:rsid w:val="00607EBB"/>
    <w:rsid w:val="00607F32"/>
    <w:rsid w:val="00607F4F"/>
    <w:rsid w:val="0061020E"/>
    <w:rsid w:val="0061032C"/>
    <w:rsid w:val="006103C0"/>
    <w:rsid w:val="0061041C"/>
    <w:rsid w:val="00610470"/>
    <w:rsid w:val="006105B0"/>
    <w:rsid w:val="0061060C"/>
    <w:rsid w:val="00610848"/>
    <w:rsid w:val="00610AFE"/>
    <w:rsid w:val="00610B20"/>
    <w:rsid w:val="00610FDD"/>
    <w:rsid w:val="0061152C"/>
    <w:rsid w:val="006116FD"/>
    <w:rsid w:val="006118B4"/>
    <w:rsid w:val="00611C45"/>
    <w:rsid w:val="00611CCF"/>
    <w:rsid w:val="00611DB1"/>
    <w:rsid w:val="00611E76"/>
    <w:rsid w:val="00611F8C"/>
    <w:rsid w:val="006121CC"/>
    <w:rsid w:val="00612260"/>
    <w:rsid w:val="00612268"/>
    <w:rsid w:val="00612545"/>
    <w:rsid w:val="0061275D"/>
    <w:rsid w:val="006129EF"/>
    <w:rsid w:val="00612B75"/>
    <w:rsid w:val="00612BE9"/>
    <w:rsid w:val="00612CC1"/>
    <w:rsid w:val="00612CD4"/>
    <w:rsid w:val="00612F30"/>
    <w:rsid w:val="00613208"/>
    <w:rsid w:val="0061331E"/>
    <w:rsid w:val="0061351F"/>
    <w:rsid w:val="00613686"/>
    <w:rsid w:val="0061370C"/>
    <w:rsid w:val="00613871"/>
    <w:rsid w:val="00613C98"/>
    <w:rsid w:val="00613CDF"/>
    <w:rsid w:val="00613D05"/>
    <w:rsid w:val="00613DF5"/>
    <w:rsid w:val="00613EF3"/>
    <w:rsid w:val="00614015"/>
    <w:rsid w:val="006140AF"/>
    <w:rsid w:val="00614420"/>
    <w:rsid w:val="00614856"/>
    <w:rsid w:val="00614924"/>
    <w:rsid w:val="00614937"/>
    <w:rsid w:val="0061496E"/>
    <w:rsid w:val="00614B8C"/>
    <w:rsid w:val="00614C82"/>
    <w:rsid w:val="00614CDB"/>
    <w:rsid w:val="00614DAD"/>
    <w:rsid w:val="00614F32"/>
    <w:rsid w:val="0061521F"/>
    <w:rsid w:val="0061523E"/>
    <w:rsid w:val="00615270"/>
    <w:rsid w:val="0061579C"/>
    <w:rsid w:val="00615846"/>
    <w:rsid w:val="00615A06"/>
    <w:rsid w:val="00615A8E"/>
    <w:rsid w:val="00615B81"/>
    <w:rsid w:val="00615D97"/>
    <w:rsid w:val="0061604B"/>
    <w:rsid w:val="00616062"/>
    <w:rsid w:val="0061625F"/>
    <w:rsid w:val="0061628B"/>
    <w:rsid w:val="00616330"/>
    <w:rsid w:val="0061635F"/>
    <w:rsid w:val="00616666"/>
    <w:rsid w:val="006169C1"/>
    <w:rsid w:val="00616FB4"/>
    <w:rsid w:val="006177CF"/>
    <w:rsid w:val="00617826"/>
    <w:rsid w:val="00617858"/>
    <w:rsid w:val="006178BB"/>
    <w:rsid w:val="00617BEB"/>
    <w:rsid w:val="00617C38"/>
    <w:rsid w:val="00617CE4"/>
    <w:rsid w:val="00617ED0"/>
    <w:rsid w:val="00620107"/>
    <w:rsid w:val="006201E6"/>
    <w:rsid w:val="0062022C"/>
    <w:rsid w:val="006202FE"/>
    <w:rsid w:val="006203EE"/>
    <w:rsid w:val="00620A74"/>
    <w:rsid w:val="00620C8E"/>
    <w:rsid w:val="00620F41"/>
    <w:rsid w:val="0062109C"/>
    <w:rsid w:val="006210F1"/>
    <w:rsid w:val="00621171"/>
    <w:rsid w:val="0062117B"/>
    <w:rsid w:val="00621541"/>
    <w:rsid w:val="0062154E"/>
    <w:rsid w:val="006215AB"/>
    <w:rsid w:val="006215C7"/>
    <w:rsid w:val="00621694"/>
    <w:rsid w:val="0062180B"/>
    <w:rsid w:val="006218B4"/>
    <w:rsid w:val="00621E0D"/>
    <w:rsid w:val="00622008"/>
    <w:rsid w:val="00622394"/>
    <w:rsid w:val="00622568"/>
    <w:rsid w:val="006229B6"/>
    <w:rsid w:val="00622A54"/>
    <w:rsid w:val="00622C4A"/>
    <w:rsid w:val="00622C84"/>
    <w:rsid w:val="00622D66"/>
    <w:rsid w:val="00622E81"/>
    <w:rsid w:val="0062307F"/>
    <w:rsid w:val="006231CF"/>
    <w:rsid w:val="00623BFB"/>
    <w:rsid w:val="00623D30"/>
    <w:rsid w:val="00623DA2"/>
    <w:rsid w:val="00623FA1"/>
    <w:rsid w:val="0062419E"/>
    <w:rsid w:val="006245C2"/>
    <w:rsid w:val="00624707"/>
    <w:rsid w:val="00624830"/>
    <w:rsid w:val="00624867"/>
    <w:rsid w:val="00624B0A"/>
    <w:rsid w:val="00624E0A"/>
    <w:rsid w:val="00624E83"/>
    <w:rsid w:val="00624EA7"/>
    <w:rsid w:val="0062534F"/>
    <w:rsid w:val="0062538E"/>
    <w:rsid w:val="006253FF"/>
    <w:rsid w:val="0062577F"/>
    <w:rsid w:val="00625886"/>
    <w:rsid w:val="00625BA3"/>
    <w:rsid w:val="00625C48"/>
    <w:rsid w:val="00625DC5"/>
    <w:rsid w:val="00625ECB"/>
    <w:rsid w:val="00626108"/>
    <w:rsid w:val="0062620F"/>
    <w:rsid w:val="00626317"/>
    <w:rsid w:val="0062632F"/>
    <w:rsid w:val="006267CF"/>
    <w:rsid w:val="00626FE6"/>
    <w:rsid w:val="00627176"/>
    <w:rsid w:val="006272EF"/>
    <w:rsid w:val="0062730C"/>
    <w:rsid w:val="006273D7"/>
    <w:rsid w:val="0062748A"/>
    <w:rsid w:val="00627557"/>
    <w:rsid w:val="0062787B"/>
    <w:rsid w:val="00627A59"/>
    <w:rsid w:val="006300B8"/>
    <w:rsid w:val="00630378"/>
    <w:rsid w:val="00630642"/>
    <w:rsid w:val="0063070D"/>
    <w:rsid w:val="00630965"/>
    <w:rsid w:val="00630CF2"/>
    <w:rsid w:val="00630E00"/>
    <w:rsid w:val="0063151A"/>
    <w:rsid w:val="006315A1"/>
    <w:rsid w:val="00631699"/>
    <w:rsid w:val="006317F5"/>
    <w:rsid w:val="00631981"/>
    <w:rsid w:val="00631ABB"/>
    <w:rsid w:val="00631ECA"/>
    <w:rsid w:val="00631EE2"/>
    <w:rsid w:val="00632104"/>
    <w:rsid w:val="006321D5"/>
    <w:rsid w:val="0063224F"/>
    <w:rsid w:val="0063253D"/>
    <w:rsid w:val="00632627"/>
    <w:rsid w:val="0063272E"/>
    <w:rsid w:val="00632752"/>
    <w:rsid w:val="00632792"/>
    <w:rsid w:val="00632945"/>
    <w:rsid w:val="00632DE4"/>
    <w:rsid w:val="006330AF"/>
    <w:rsid w:val="00633283"/>
    <w:rsid w:val="00633494"/>
    <w:rsid w:val="00633591"/>
    <w:rsid w:val="0063378C"/>
    <w:rsid w:val="00633959"/>
    <w:rsid w:val="00633A3F"/>
    <w:rsid w:val="00633B94"/>
    <w:rsid w:val="00633E26"/>
    <w:rsid w:val="00633F3C"/>
    <w:rsid w:val="006340E4"/>
    <w:rsid w:val="006342C6"/>
    <w:rsid w:val="006343E2"/>
    <w:rsid w:val="006343E5"/>
    <w:rsid w:val="00634565"/>
    <w:rsid w:val="00634629"/>
    <w:rsid w:val="00634674"/>
    <w:rsid w:val="006346F7"/>
    <w:rsid w:val="006348DD"/>
    <w:rsid w:val="006349C8"/>
    <w:rsid w:val="00634A52"/>
    <w:rsid w:val="00634BA8"/>
    <w:rsid w:val="00634CD1"/>
    <w:rsid w:val="00634E5C"/>
    <w:rsid w:val="0063514D"/>
    <w:rsid w:val="006351C2"/>
    <w:rsid w:val="006351EF"/>
    <w:rsid w:val="006353CA"/>
    <w:rsid w:val="006355BE"/>
    <w:rsid w:val="00635781"/>
    <w:rsid w:val="00635C73"/>
    <w:rsid w:val="00635CF4"/>
    <w:rsid w:val="00635D2D"/>
    <w:rsid w:val="00635E26"/>
    <w:rsid w:val="00635EBE"/>
    <w:rsid w:val="006363AC"/>
    <w:rsid w:val="00636467"/>
    <w:rsid w:val="00636472"/>
    <w:rsid w:val="0063654A"/>
    <w:rsid w:val="0063667A"/>
    <w:rsid w:val="0063672A"/>
    <w:rsid w:val="006368A5"/>
    <w:rsid w:val="006368CC"/>
    <w:rsid w:val="00636C6A"/>
    <w:rsid w:val="00636CE1"/>
    <w:rsid w:val="00636D5A"/>
    <w:rsid w:val="00636DE8"/>
    <w:rsid w:val="00637143"/>
    <w:rsid w:val="0063715D"/>
    <w:rsid w:val="0063756D"/>
    <w:rsid w:val="00637629"/>
    <w:rsid w:val="006377D4"/>
    <w:rsid w:val="00637830"/>
    <w:rsid w:val="006378B3"/>
    <w:rsid w:val="006378F6"/>
    <w:rsid w:val="00637A79"/>
    <w:rsid w:val="00637BB0"/>
    <w:rsid w:val="00637C15"/>
    <w:rsid w:val="00637E8D"/>
    <w:rsid w:val="00637EA6"/>
    <w:rsid w:val="00637FD3"/>
    <w:rsid w:val="0064000D"/>
    <w:rsid w:val="0064013D"/>
    <w:rsid w:val="0064061D"/>
    <w:rsid w:val="0064074B"/>
    <w:rsid w:val="00640A2F"/>
    <w:rsid w:val="00640C52"/>
    <w:rsid w:val="00640DD0"/>
    <w:rsid w:val="00641095"/>
    <w:rsid w:val="00641388"/>
    <w:rsid w:val="0064139C"/>
    <w:rsid w:val="006413AA"/>
    <w:rsid w:val="006413B7"/>
    <w:rsid w:val="0064169B"/>
    <w:rsid w:val="006418E0"/>
    <w:rsid w:val="00641AF0"/>
    <w:rsid w:val="00641B69"/>
    <w:rsid w:val="00641E28"/>
    <w:rsid w:val="00642111"/>
    <w:rsid w:val="00642262"/>
    <w:rsid w:val="00642460"/>
    <w:rsid w:val="00642530"/>
    <w:rsid w:val="00642856"/>
    <w:rsid w:val="006428EC"/>
    <w:rsid w:val="00642F07"/>
    <w:rsid w:val="0064310B"/>
    <w:rsid w:val="00643405"/>
    <w:rsid w:val="0064350C"/>
    <w:rsid w:val="0064362A"/>
    <w:rsid w:val="00643732"/>
    <w:rsid w:val="00643792"/>
    <w:rsid w:val="00643A5B"/>
    <w:rsid w:val="00643A8C"/>
    <w:rsid w:val="00643B85"/>
    <w:rsid w:val="00643F02"/>
    <w:rsid w:val="006441D9"/>
    <w:rsid w:val="00644217"/>
    <w:rsid w:val="0064425A"/>
    <w:rsid w:val="006442FF"/>
    <w:rsid w:val="006449E1"/>
    <w:rsid w:val="00644E40"/>
    <w:rsid w:val="00645229"/>
    <w:rsid w:val="00645323"/>
    <w:rsid w:val="00645517"/>
    <w:rsid w:val="00645570"/>
    <w:rsid w:val="006456E3"/>
    <w:rsid w:val="00645711"/>
    <w:rsid w:val="006457E9"/>
    <w:rsid w:val="00645A65"/>
    <w:rsid w:val="00645AB9"/>
    <w:rsid w:val="00645B40"/>
    <w:rsid w:val="00646368"/>
    <w:rsid w:val="00646794"/>
    <w:rsid w:val="006467A7"/>
    <w:rsid w:val="006467B7"/>
    <w:rsid w:val="0064697C"/>
    <w:rsid w:val="00646C9E"/>
    <w:rsid w:val="00646D7C"/>
    <w:rsid w:val="00647124"/>
    <w:rsid w:val="00647196"/>
    <w:rsid w:val="0064737B"/>
    <w:rsid w:val="006474CD"/>
    <w:rsid w:val="006474FD"/>
    <w:rsid w:val="0064774D"/>
    <w:rsid w:val="00647847"/>
    <w:rsid w:val="00647929"/>
    <w:rsid w:val="0064794A"/>
    <w:rsid w:val="00647A73"/>
    <w:rsid w:val="00647AF6"/>
    <w:rsid w:val="00647EA2"/>
    <w:rsid w:val="00647F12"/>
    <w:rsid w:val="00647F76"/>
    <w:rsid w:val="00647FE3"/>
    <w:rsid w:val="00650094"/>
    <w:rsid w:val="00650127"/>
    <w:rsid w:val="006502B2"/>
    <w:rsid w:val="006502DF"/>
    <w:rsid w:val="006502FD"/>
    <w:rsid w:val="0065034E"/>
    <w:rsid w:val="0065037D"/>
    <w:rsid w:val="00650784"/>
    <w:rsid w:val="00650839"/>
    <w:rsid w:val="006510DC"/>
    <w:rsid w:val="00651180"/>
    <w:rsid w:val="006511BF"/>
    <w:rsid w:val="00651247"/>
    <w:rsid w:val="0065131D"/>
    <w:rsid w:val="006513F9"/>
    <w:rsid w:val="0065150F"/>
    <w:rsid w:val="00651604"/>
    <w:rsid w:val="006516EA"/>
    <w:rsid w:val="006517C8"/>
    <w:rsid w:val="006518B8"/>
    <w:rsid w:val="00651B94"/>
    <w:rsid w:val="00651D5D"/>
    <w:rsid w:val="00651DD7"/>
    <w:rsid w:val="00651FBD"/>
    <w:rsid w:val="00651FC1"/>
    <w:rsid w:val="00652137"/>
    <w:rsid w:val="006522AA"/>
    <w:rsid w:val="006523BF"/>
    <w:rsid w:val="00652435"/>
    <w:rsid w:val="0065246F"/>
    <w:rsid w:val="00652477"/>
    <w:rsid w:val="0065265B"/>
    <w:rsid w:val="006526BC"/>
    <w:rsid w:val="00652721"/>
    <w:rsid w:val="00652B94"/>
    <w:rsid w:val="00652DB5"/>
    <w:rsid w:val="00652EAC"/>
    <w:rsid w:val="006531AE"/>
    <w:rsid w:val="006536B4"/>
    <w:rsid w:val="00653A7C"/>
    <w:rsid w:val="00653A88"/>
    <w:rsid w:val="00653B82"/>
    <w:rsid w:val="00653C2C"/>
    <w:rsid w:val="00653C5B"/>
    <w:rsid w:val="00653DD8"/>
    <w:rsid w:val="00653FC3"/>
    <w:rsid w:val="00654104"/>
    <w:rsid w:val="0065422E"/>
    <w:rsid w:val="00654277"/>
    <w:rsid w:val="006542C9"/>
    <w:rsid w:val="006542E4"/>
    <w:rsid w:val="006542F0"/>
    <w:rsid w:val="0065431B"/>
    <w:rsid w:val="00654325"/>
    <w:rsid w:val="006543F4"/>
    <w:rsid w:val="0065446E"/>
    <w:rsid w:val="006547BE"/>
    <w:rsid w:val="00654A80"/>
    <w:rsid w:val="00654ACF"/>
    <w:rsid w:val="00654C83"/>
    <w:rsid w:val="00654D95"/>
    <w:rsid w:val="0065521E"/>
    <w:rsid w:val="006554D4"/>
    <w:rsid w:val="00655768"/>
    <w:rsid w:val="00655940"/>
    <w:rsid w:val="006559F3"/>
    <w:rsid w:val="006559FD"/>
    <w:rsid w:val="00655A1E"/>
    <w:rsid w:val="00655B73"/>
    <w:rsid w:val="00655BD9"/>
    <w:rsid w:val="00655CFB"/>
    <w:rsid w:val="00655D64"/>
    <w:rsid w:val="00655F2D"/>
    <w:rsid w:val="00655F34"/>
    <w:rsid w:val="00655F50"/>
    <w:rsid w:val="00655FD2"/>
    <w:rsid w:val="00656280"/>
    <w:rsid w:val="00656418"/>
    <w:rsid w:val="006564B5"/>
    <w:rsid w:val="00656549"/>
    <w:rsid w:val="006565A4"/>
    <w:rsid w:val="00656949"/>
    <w:rsid w:val="006569A9"/>
    <w:rsid w:val="00656A48"/>
    <w:rsid w:val="00656A72"/>
    <w:rsid w:val="00656C5B"/>
    <w:rsid w:val="00656EC3"/>
    <w:rsid w:val="00656EE0"/>
    <w:rsid w:val="00656EE8"/>
    <w:rsid w:val="006576C6"/>
    <w:rsid w:val="0065775A"/>
    <w:rsid w:val="0066027A"/>
    <w:rsid w:val="00660598"/>
    <w:rsid w:val="006605A0"/>
    <w:rsid w:val="0066069B"/>
    <w:rsid w:val="00660733"/>
    <w:rsid w:val="00660780"/>
    <w:rsid w:val="006608CA"/>
    <w:rsid w:val="00660B64"/>
    <w:rsid w:val="006614D9"/>
    <w:rsid w:val="006615D0"/>
    <w:rsid w:val="0066164F"/>
    <w:rsid w:val="006617A9"/>
    <w:rsid w:val="006619A2"/>
    <w:rsid w:val="006619F4"/>
    <w:rsid w:val="00661B2A"/>
    <w:rsid w:val="00661B94"/>
    <w:rsid w:val="00661E5C"/>
    <w:rsid w:val="00661F11"/>
    <w:rsid w:val="00661F57"/>
    <w:rsid w:val="00661FF0"/>
    <w:rsid w:val="00662057"/>
    <w:rsid w:val="00662134"/>
    <w:rsid w:val="00662495"/>
    <w:rsid w:val="00662518"/>
    <w:rsid w:val="0066256B"/>
    <w:rsid w:val="006625A5"/>
    <w:rsid w:val="006627AD"/>
    <w:rsid w:val="006628E1"/>
    <w:rsid w:val="00662951"/>
    <w:rsid w:val="006629D7"/>
    <w:rsid w:val="00662A40"/>
    <w:rsid w:val="00662A5A"/>
    <w:rsid w:val="00662A70"/>
    <w:rsid w:val="00662C16"/>
    <w:rsid w:val="00662C77"/>
    <w:rsid w:val="00662DC3"/>
    <w:rsid w:val="00662ED3"/>
    <w:rsid w:val="00662F09"/>
    <w:rsid w:val="006632B7"/>
    <w:rsid w:val="006633FD"/>
    <w:rsid w:val="006634A6"/>
    <w:rsid w:val="0066354E"/>
    <w:rsid w:val="0066376F"/>
    <w:rsid w:val="00663A17"/>
    <w:rsid w:val="00663A54"/>
    <w:rsid w:val="00663A76"/>
    <w:rsid w:val="00663DBF"/>
    <w:rsid w:val="00663DDC"/>
    <w:rsid w:val="00663DFB"/>
    <w:rsid w:val="00663EEA"/>
    <w:rsid w:val="0066407A"/>
    <w:rsid w:val="00664087"/>
    <w:rsid w:val="0066409C"/>
    <w:rsid w:val="006640BE"/>
    <w:rsid w:val="00664224"/>
    <w:rsid w:val="00664274"/>
    <w:rsid w:val="0066431E"/>
    <w:rsid w:val="006643B2"/>
    <w:rsid w:val="0066440C"/>
    <w:rsid w:val="0066443F"/>
    <w:rsid w:val="006645B6"/>
    <w:rsid w:val="0066473D"/>
    <w:rsid w:val="00664DD8"/>
    <w:rsid w:val="00664F63"/>
    <w:rsid w:val="00664FA0"/>
    <w:rsid w:val="00665207"/>
    <w:rsid w:val="0066564A"/>
    <w:rsid w:val="00665686"/>
    <w:rsid w:val="00665814"/>
    <w:rsid w:val="006659EE"/>
    <w:rsid w:val="00665B29"/>
    <w:rsid w:val="00665B46"/>
    <w:rsid w:val="00665BAC"/>
    <w:rsid w:val="00665BFF"/>
    <w:rsid w:val="00665C0B"/>
    <w:rsid w:val="00665C36"/>
    <w:rsid w:val="00665D0A"/>
    <w:rsid w:val="00665E88"/>
    <w:rsid w:val="0066616B"/>
    <w:rsid w:val="00666398"/>
    <w:rsid w:val="0066667C"/>
    <w:rsid w:val="006668B4"/>
    <w:rsid w:val="006669B5"/>
    <w:rsid w:val="00666A19"/>
    <w:rsid w:val="00666A23"/>
    <w:rsid w:val="00666B46"/>
    <w:rsid w:val="00666D08"/>
    <w:rsid w:val="00666EDF"/>
    <w:rsid w:val="00666F20"/>
    <w:rsid w:val="00666F5C"/>
    <w:rsid w:val="006673B9"/>
    <w:rsid w:val="00667451"/>
    <w:rsid w:val="006676C1"/>
    <w:rsid w:val="0066778C"/>
    <w:rsid w:val="0066786F"/>
    <w:rsid w:val="00667A2D"/>
    <w:rsid w:val="00667A76"/>
    <w:rsid w:val="00667ACB"/>
    <w:rsid w:val="00667B7F"/>
    <w:rsid w:val="00667BB8"/>
    <w:rsid w:val="00667DA8"/>
    <w:rsid w:val="00667FE1"/>
    <w:rsid w:val="0067005A"/>
    <w:rsid w:val="00670093"/>
    <w:rsid w:val="006700C9"/>
    <w:rsid w:val="0067027A"/>
    <w:rsid w:val="00670596"/>
    <w:rsid w:val="00670A69"/>
    <w:rsid w:val="00670BC3"/>
    <w:rsid w:val="00670C6C"/>
    <w:rsid w:val="00670C8B"/>
    <w:rsid w:val="00671179"/>
    <w:rsid w:val="0067128E"/>
    <w:rsid w:val="00671505"/>
    <w:rsid w:val="00671725"/>
    <w:rsid w:val="00671780"/>
    <w:rsid w:val="00671B1E"/>
    <w:rsid w:val="00671DFA"/>
    <w:rsid w:val="0067227C"/>
    <w:rsid w:val="0067229B"/>
    <w:rsid w:val="00672751"/>
    <w:rsid w:val="006729BB"/>
    <w:rsid w:val="00672E46"/>
    <w:rsid w:val="00672E85"/>
    <w:rsid w:val="00672ED9"/>
    <w:rsid w:val="00672FE5"/>
    <w:rsid w:val="0067351E"/>
    <w:rsid w:val="006736CB"/>
    <w:rsid w:val="00673896"/>
    <w:rsid w:val="00673C3B"/>
    <w:rsid w:val="00673F09"/>
    <w:rsid w:val="00673FBC"/>
    <w:rsid w:val="006741F0"/>
    <w:rsid w:val="006742A0"/>
    <w:rsid w:val="00674484"/>
    <w:rsid w:val="00674646"/>
    <w:rsid w:val="00674647"/>
    <w:rsid w:val="00674729"/>
    <w:rsid w:val="00674773"/>
    <w:rsid w:val="00674875"/>
    <w:rsid w:val="00674B44"/>
    <w:rsid w:val="00674DA3"/>
    <w:rsid w:val="006751A0"/>
    <w:rsid w:val="0067525B"/>
    <w:rsid w:val="00675B8C"/>
    <w:rsid w:val="00675C0E"/>
    <w:rsid w:val="006761B8"/>
    <w:rsid w:val="006761C0"/>
    <w:rsid w:val="006762A9"/>
    <w:rsid w:val="006762FF"/>
    <w:rsid w:val="006764EB"/>
    <w:rsid w:val="00676639"/>
    <w:rsid w:val="00676650"/>
    <w:rsid w:val="0067672A"/>
    <w:rsid w:val="00676885"/>
    <w:rsid w:val="006768B4"/>
    <w:rsid w:val="006768BD"/>
    <w:rsid w:val="00676E90"/>
    <w:rsid w:val="00676F6D"/>
    <w:rsid w:val="0067704B"/>
    <w:rsid w:val="006770DA"/>
    <w:rsid w:val="006772BD"/>
    <w:rsid w:val="0067732D"/>
    <w:rsid w:val="006774A0"/>
    <w:rsid w:val="0067750D"/>
    <w:rsid w:val="00677610"/>
    <w:rsid w:val="0067762A"/>
    <w:rsid w:val="00677748"/>
    <w:rsid w:val="0067786E"/>
    <w:rsid w:val="00677911"/>
    <w:rsid w:val="00677A8D"/>
    <w:rsid w:val="00677D7D"/>
    <w:rsid w:val="006800EF"/>
    <w:rsid w:val="00680169"/>
    <w:rsid w:val="006803D4"/>
    <w:rsid w:val="006805B3"/>
    <w:rsid w:val="00680614"/>
    <w:rsid w:val="00680638"/>
    <w:rsid w:val="006808E7"/>
    <w:rsid w:val="006809EB"/>
    <w:rsid w:val="00680AE4"/>
    <w:rsid w:val="00680B90"/>
    <w:rsid w:val="00680C44"/>
    <w:rsid w:val="00680D3C"/>
    <w:rsid w:val="00680D48"/>
    <w:rsid w:val="006810AD"/>
    <w:rsid w:val="0068134F"/>
    <w:rsid w:val="0068147E"/>
    <w:rsid w:val="00681913"/>
    <w:rsid w:val="00681C43"/>
    <w:rsid w:val="00681D98"/>
    <w:rsid w:val="00681F22"/>
    <w:rsid w:val="006820DF"/>
    <w:rsid w:val="0068233B"/>
    <w:rsid w:val="00682423"/>
    <w:rsid w:val="0068262B"/>
    <w:rsid w:val="00682667"/>
    <w:rsid w:val="00682816"/>
    <w:rsid w:val="00682AB6"/>
    <w:rsid w:val="00682CB3"/>
    <w:rsid w:val="00682DC1"/>
    <w:rsid w:val="00683036"/>
    <w:rsid w:val="006831CC"/>
    <w:rsid w:val="00683293"/>
    <w:rsid w:val="0068336B"/>
    <w:rsid w:val="00683622"/>
    <w:rsid w:val="00683684"/>
    <w:rsid w:val="006837BD"/>
    <w:rsid w:val="0068380D"/>
    <w:rsid w:val="0068386C"/>
    <w:rsid w:val="0068390C"/>
    <w:rsid w:val="0068399A"/>
    <w:rsid w:val="006839A9"/>
    <w:rsid w:val="00683B6A"/>
    <w:rsid w:val="00683BB6"/>
    <w:rsid w:val="00683DAF"/>
    <w:rsid w:val="00683F04"/>
    <w:rsid w:val="00683F33"/>
    <w:rsid w:val="00684222"/>
    <w:rsid w:val="00684283"/>
    <w:rsid w:val="0068445F"/>
    <w:rsid w:val="006848A5"/>
    <w:rsid w:val="006848DC"/>
    <w:rsid w:val="006849B5"/>
    <w:rsid w:val="006849D2"/>
    <w:rsid w:val="00684AF1"/>
    <w:rsid w:val="00684E4A"/>
    <w:rsid w:val="006852BC"/>
    <w:rsid w:val="00685301"/>
    <w:rsid w:val="00685373"/>
    <w:rsid w:val="0068540F"/>
    <w:rsid w:val="0068541B"/>
    <w:rsid w:val="0068557A"/>
    <w:rsid w:val="0068563C"/>
    <w:rsid w:val="0068591C"/>
    <w:rsid w:val="00685A03"/>
    <w:rsid w:val="00685E99"/>
    <w:rsid w:val="00686120"/>
    <w:rsid w:val="0068619C"/>
    <w:rsid w:val="00686252"/>
    <w:rsid w:val="006862FA"/>
    <w:rsid w:val="006863E8"/>
    <w:rsid w:val="00686430"/>
    <w:rsid w:val="0068648F"/>
    <w:rsid w:val="00686512"/>
    <w:rsid w:val="00686A75"/>
    <w:rsid w:val="00686AC1"/>
    <w:rsid w:val="00686AE6"/>
    <w:rsid w:val="00686C61"/>
    <w:rsid w:val="00686D0C"/>
    <w:rsid w:val="00686D1C"/>
    <w:rsid w:val="00686E0C"/>
    <w:rsid w:val="006873E8"/>
    <w:rsid w:val="006873F7"/>
    <w:rsid w:val="0068740F"/>
    <w:rsid w:val="0068745F"/>
    <w:rsid w:val="00687590"/>
    <w:rsid w:val="006875B7"/>
    <w:rsid w:val="00687700"/>
    <w:rsid w:val="00687A37"/>
    <w:rsid w:val="00687C3F"/>
    <w:rsid w:val="00687CBD"/>
    <w:rsid w:val="00687DDC"/>
    <w:rsid w:val="0069020D"/>
    <w:rsid w:val="006902F9"/>
    <w:rsid w:val="006906BC"/>
    <w:rsid w:val="00690AAF"/>
    <w:rsid w:val="00690ACB"/>
    <w:rsid w:val="00690B29"/>
    <w:rsid w:val="00690E18"/>
    <w:rsid w:val="00690E26"/>
    <w:rsid w:val="00690EDB"/>
    <w:rsid w:val="00690F40"/>
    <w:rsid w:val="006911A0"/>
    <w:rsid w:val="006915D2"/>
    <w:rsid w:val="00691636"/>
    <w:rsid w:val="00691702"/>
    <w:rsid w:val="006917AC"/>
    <w:rsid w:val="006917D1"/>
    <w:rsid w:val="00691C9B"/>
    <w:rsid w:val="00691CDE"/>
    <w:rsid w:val="00692141"/>
    <w:rsid w:val="0069229E"/>
    <w:rsid w:val="006924FF"/>
    <w:rsid w:val="0069278D"/>
    <w:rsid w:val="006927AF"/>
    <w:rsid w:val="00692854"/>
    <w:rsid w:val="006928F1"/>
    <w:rsid w:val="00692C23"/>
    <w:rsid w:val="00692C2E"/>
    <w:rsid w:val="00692C67"/>
    <w:rsid w:val="00692FFD"/>
    <w:rsid w:val="0069301A"/>
    <w:rsid w:val="00693159"/>
    <w:rsid w:val="006932E6"/>
    <w:rsid w:val="00693345"/>
    <w:rsid w:val="006935A5"/>
    <w:rsid w:val="0069379C"/>
    <w:rsid w:val="006937A3"/>
    <w:rsid w:val="00693C74"/>
    <w:rsid w:val="00693CE3"/>
    <w:rsid w:val="00694049"/>
    <w:rsid w:val="006943E5"/>
    <w:rsid w:val="0069444E"/>
    <w:rsid w:val="00694714"/>
    <w:rsid w:val="006948B8"/>
    <w:rsid w:val="00694993"/>
    <w:rsid w:val="00694FC3"/>
    <w:rsid w:val="00694FF0"/>
    <w:rsid w:val="006951C4"/>
    <w:rsid w:val="0069528E"/>
    <w:rsid w:val="0069543A"/>
    <w:rsid w:val="00695B27"/>
    <w:rsid w:val="00695E96"/>
    <w:rsid w:val="00696471"/>
    <w:rsid w:val="006964C8"/>
    <w:rsid w:val="00696DDD"/>
    <w:rsid w:val="00696F93"/>
    <w:rsid w:val="00697013"/>
    <w:rsid w:val="00697097"/>
    <w:rsid w:val="0069724E"/>
    <w:rsid w:val="0069727D"/>
    <w:rsid w:val="006973F5"/>
    <w:rsid w:val="006975D3"/>
    <w:rsid w:val="00697794"/>
    <w:rsid w:val="006978F6"/>
    <w:rsid w:val="00697B39"/>
    <w:rsid w:val="00697F3C"/>
    <w:rsid w:val="00697F77"/>
    <w:rsid w:val="00697FEA"/>
    <w:rsid w:val="006A0006"/>
    <w:rsid w:val="006A0204"/>
    <w:rsid w:val="006A024F"/>
    <w:rsid w:val="006A0359"/>
    <w:rsid w:val="006A03E3"/>
    <w:rsid w:val="006A096C"/>
    <w:rsid w:val="006A0B6E"/>
    <w:rsid w:val="006A0CA2"/>
    <w:rsid w:val="006A0CAB"/>
    <w:rsid w:val="006A0D94"/>
    <w:rsid w:val="006A0EBF"/>
    <w:rsid w:val="006A110D"/>
    <w:rsid w:val="006A16BD"/>
    <w:rsid w:val="006A18C6"/>
    <w:rsid w:val="006A19FF"/>
    <w:rsid w:val="006A1A4E"/>
    <w:rsid w:val="006A1B79"/>
    <w:rsid w:val="006A1C5B"/>
    <w:rsid w:val="006A1C67"/>
    <w:rsid w:val="006A1D8E"/>
    <w:rsid w:val="006A1DBE"/>
    <w:rsid w:val="006A2346"/>
    <w:rsid w:val="006A286E"/>
    <w:rsid w:val="006A28C1"/>
    <w:rsid w:val="006A292D"/>
    <w:rsid w:val="006A2C01"/>
    <w:rsid w:val="006A2D6B"/>
    <w:rsid w:val="006A312C"/>
    <w:rsid w:val="006A3267"/>
    <w:rsid w:val="006A340D"/>
    <w:rsid w:val="006A3605"/>
    <w:rsid w:val="006A3848"/>
    <w:rsid w:val="006A3C6D"/>
    <w:rsid w:val="006A3D46"/>
    <w:rsid w:val="006A3EDC"/>
    <w:rsid w:val="006A4039"/>
    <w:rsid w:val="006A4206"/>
    <w:rsid w:val="006A4581"/>
    <w:rsid w:val="006A47D6"/>
    <w:rsid w:val="006A4842"/>
    <w:rsid w:val="006A4C51"/>
    <w:rsid w:val="006A4D98"/>
    <w:rsid w:val="006A4F0E"/>
    <w:rsid w:val="006A505A"/>
    <w:rsid w:val="006A50AE"/>
    <w:rsid w:val="006A544B"/>
    <w:rsid w:val="006A54EA"/>
    <w:rsid w:val="006A5613"/>
    <w:rsid w:val="006A569F"/>
    <w:rsid w:val="006A56AB"/>
    <w:rsid w:val="006A572E"/>
    <w:rsid w:val="006A5935"/>
    <w:rsid w:val="006A5DCE"/>
    <w:rsid w:val="006A5F1F"/>
    <w:rsid w:val="006A61D6"/>
    <w:rsid w:val="006A661A"/>
    <w:rsid w:val="006A6650"/>
    <w:rsid w:val="006A68E5"/>
    <w:rsid w:val="006A6A52"/>
    <w:rsid w:val="006A6C3A"/>
    <w:rsid w:val="006A6C80"/>
    <w:rsid w:val="006A6FD3"/>
    <w:rsid w:val="006A71BE"/>
    <w:rsid w:val="006A72DB"/>
    <w:rsid w:val="006A74D0"/>
    <w:rsid w:val="006A74DB"/>
    <w:rsid w:val="006A7603"/>
    <w:rsid w:val="006A7887"/>
    <w:rsid w:val="006A7BA9"/>
    <w:rsid w:val="006A7CB0"/>
    <w:rsid w:val="006A7CE3"/>
    <w:rsid w:val="006A7D3F"/>
    <w:rsid w:val="006A7DCC"/>
    <w:rsid w:val="006A7E78"/>
    <w:rsid w:val="006B0122"/>
    <w:rsid w:val="006B047E"/>
    <w:rsid w:val="006B0504"/>
    <w:rsid w:val="006B05E5"/>
    <w:rsid w:val="006B094D"/>
    <w:rsid w:val="006B0AED"/>
    <w:rsid w:val="006B0C2D"/>
    <w:rsid w:val="006B0C33"/>
    <w:rsid w:val="006B11A9"/>
    <w:rsid w:val="006B12CE"/>
    <w:rsid w:val="006B13F2"/>
    <w:rsid w:val="006B150D"/>
    <w:rsid w:val="006B17DF"/>
    <w:rsid w:val="006B1936"/>
    <w:rsid w:val="006B1958"/>
    <w:rsid w:val="006B1B68"/>
    <w:rsid w:val="006B1D02"/>
    <w:rsid w:val="006B1ECA"/>
    <w:rsid w:val="006B1EF7"/>
    <w:rsid w:val="006B1F30"/>
    <w:rsid w:val="006B21FE"/>
    <w:rsid w:val="006B2394"/>
    <w:rsid w:val="006B23D2"/>
    <w:rsid w:val="006B2551"/>
    <w:rsid w:val="006B25C9"/>
    <w:rsid w:val="006B2637"/>
    <w:rsid w:val="006B26A5"/>
    <w:rsid w:val="006B2AAB"/>
    <w:rsid w:val="006B2AE9"/>
    <w:rsid w:val="006B33FD"/>
    <w:rsid w:val="006B35E9"/>
    <w:rsid w:val="006B3750"/>
    <w:rsid w:val="006B375D"/>
    <w:rsid w:val="006B3985"/>
    <w:rsid w:val="006B3E24"/>
    <w:rsid w:val="006B3E27"/>
    <w:rsid w:val="006B3E5C"/>
    <w:rsid w:val="006B3E5E"/>
    <w:rsid w:val="006B3F3E"/>
    <w:rsid w:val="006B4049"/>
    <w:rsid w:val="006B4059"/>
    <w:rsid w:val="006B417F"/>
    <w:rsid w:val="006B4284"/>
    <w:rsid w:val="006B4416"/>
    <w:rsid w:val="006B4512"/>
    <w:rsid w:val="006B453D"/>
    <w:rsid w:val="006B47BE"/>
    <w:rsid w:val="006B481E"/>
    <w:rsid w:val="006B4941"/>
    <w:rsid w:val="006B494F"/>
    <w:rsid w:val="006B49A0"/>
    <w:rsid w:val="006B4AC9"/>
    <w:rsid w:val="006B4BAD"/>
    <w:rsid w:val="006B4C4C"/>
    <w:rsid w:val="006B4D3E"/>
    <w:rsid w:val="006B4F12"/>
    <w:rsid w:val="006B4F96"/>
    <w:rsid w:val="006B515B"/>
    <w:rsid w:val="006B518E"/>
    <w:rsid w:val="006B52AE"/>
    <w:rsid w:val="006B5406"/>
    <w:rsid w:val="006B5411"/>
    <w:rsid w:val="006B5B91"/>
    <w:rsid w:val="006B5F93"/>
    <w:rsid w:val="006B63F0"/>
    <w:rsid w:val="006B6855"/>
    <w:rsid w:val="006B685F"/>
    <w:rsid w:val="006B6931"/>
    <w:rsid w:val="006B693D"/>
    <w:rsid w:val="006B697B"/>
    <w:rsid w:val="006B6AEF"/>
    <w:rsid w:val="006B6BF2"/>
    <w:rsid w:val="006B6CA7"/>
    <w:rsid w:val="006B6E1E"/>
    <w:rsid w:val="006B6EF4"/>
    <w:rsid w:val="006B736F"/>
    <w:rsid w:val="006B7906"/>
    <w:rsid w:val="006B79B8"/>
    <w:rsid w:val="006B7B10"/>
    <w:rsid w:val="006B7D46"/>
    <w:rsid w:val="006B7FDF"/>
    <w:rsid w:val="006C02D7"/>
    <w:rsid w:val="006C04B1"/>
    <w:rsid w:val="006C0503"/>
    <w:rsid w:val="006C0630"/>
    <w:rsid w:val="006C07B9"/>
    <w:rsid w:val="006C0805"/>
    <w:rsid w:val="006C0B43"/>
    <w:rsid w:val="006C11E6"/>
    <w:rsid w:val="006C153D"/>
    <w:rsid w:val="006C1681"/>
    <w:rsid w:val="006C1826"/>
    <w:rsid w:val="006C1A03"/>
    <w:rsid w:val="006C1CB8"/>
    <w:rsid w:val="006C1D05"/>
    <w:rsid w:val="006C20E0"/>
    <w:rsid w:val="006C2114"/>
    <w:rsid w:val="006C216A"/>
    <w:rsid w:val="006C23FF"/>
    <w:rsid w:val="006C251B"/>
    <w:rsid w:val="006C25B9"/>
    <w:rsid w:val="006C2A23"/>
    <w:rsid w:val="006C2A9C"/>
    <w:rsid w:val="006C2B88"/>
    <w:rsid w:val="006C2E01"/>
    <w:rsid w:val="006C310C"/>
    <w:rsid w:val="006C310E"/>
    <w:rsid w:val="006C3209"/>
    <w:rsid w:val="006C32EA"/>
    <w:rsid w:val="006C358E"/>
    <w:rsid w:val="006C3615"/>
    <w:rsid w:val="006C39C2"/>
    <w:rsid w:val="006C3A09"/>
    <w:rsid w:val="006C3B92"/>
    <w:rsid w:val="006C42CA"/>
    <w:rsid w:val="006C45C1"/>
    <w:rsid w:val="006C4862"/>
    <w:rsid w:val="006C48A0"/>
    <w:rsid w:val="006C494F"/>
    <w:rsid w:val="006C4A43"/>
    <w:rsid w:val="006C4C15"/>
    <w:rsid w:val="006C4DD2"/>
    <w:rsid w:val="006C4DDD"/>
    <w:rsid w:val="006C5061"/>
    <w:rsid w:val="006C5162"/>
    <w:rsid w:val="006C52A4"/>
    <w:rsid w:val="006C539B"/>
    <w:rsid w:val="006C5661"/>
    <w:rsid w:val="006C56A4"/>
    <w:rsid w:val="006C57DC"/>
    <w:rsid w:val="006C59E9"/>
    <w:rsid w:val="006C5BAD"/>
    <w:rsid w:val="006C5BEF"/>
    <w:rsid w:val="006C5DB5"/>
    <w:rsid w:val="006C5FB3"/>
    <w:rsid w:val="006C606C"/>
    <w:rsid w:val="006C68E9"/>
    <w:rsid w:val="006C69F5"/>
    <w:rsid w:val="006C6C1E"/>
    <w:rsid w:val="006C728D"/>
    <w:rsid w:val="006C7382"/>
    <w:rsid w:val="006C7607"/>
    <w:rsid w:val="006C778C"/>
    <w:rsid w:val="006C78BB"/>
    <w:rsid w:val="006C7BB3"/>
    <w:rsid w:val="006C7BC3"/>
    <w:rsid w:val="006C7C51"/>
    <w:rsid w:val="006C7D39"/>
    <w:rsid w:val="006C7EA5"/>
    <w:rsid w:val="006D0026"/>
    <w:rsid w:val="006D025C"/>
    <w:rsid w:val="006D02A4"/>
    <w:rsid w:val="006D09A3"/>
    <w:rsid w:val="006D0A3E"/>
    <w:rsid w:val="006D0F17"/>
    <w:rsid w:val="006D0FF9"/>
    <w:rsid w:val="006D1097"/>
    <w:rsid w:val="006D10A8"/>
    <w:rsid w:val="006D15C1"/>
    <w:rsid w:val="006D16D0"/>
    <w:rsid w:val="006D16DE"/>
    <w:rsid w:val="006D1A26"/>
    <w:rsid w:val="006D1A39"/>
    <w:rsid w:val="006D1E61"/>
    <w:rsid w:val="006D1EBF"/>
    <w:rsid w:val="006D21A0"/>
    <w:rsid w:val="006D228A"/>
    <w:rsid w:val="006D28A3"/>
    <w:rsid w:val="006D292B"/>
    <w:rsid w:val="006D2CD8"/>
    <w:rsid w:val="006D2FB9"/>
    <w:rsid w:val="006D329D"/>
    <w:rsid w:val="006D3735"/>
    <w:rsid w:val="006D3947"/>
    <w:rsid w:val="006D395A"/>
    <w:rsid w:val="006D39E6"/>
    <w:rsid w:val="006D3B6E"/>
    <w:rsid w:val="006D3C0C"/>
    <w:rsid w:val="006D3C31"/>
    <w:rsid w:val="006D3D6E"/>
    <w:rsid w:val="006D3E2F"/>
    <w:rsid w:val="006D3E6B"/>
    <w:rsid w:val="006D3EC5"/>
    <w:rsid w:val="006D3F81"/>
    <w:rsid w:val="006D40C2"/>
    <w:rsid w:val="006D41E5"/>
    <w:rsid w:val="006D4219"/>
    <w:rsid w:val="006D44D0"/>
    <w:rsid w:val="006D4756"/>
    <w:rsid w:val="006D492A"/>
    <w:rsid w:val="006D49AA"/>
    <w:rsid w:val="006D4AB1"/>
    <w:rsid w:val="006D4D31"/>
    <w:rsid w:val="006D4EA9"/>
    <w:rsid w:val="006D4EAB"/>
    <w:rsid w:val="006D4FD7"/>
    <w:rsid w:val="006D50B1"/>
    <w:rsid w:val="006D511B"/>
    <w:rsid w:val="006D52D8"/>
    <w:rsid w:val="006D5331"/>
    <w:rsid w:val="006D5500"/>
    <w:rsid w:val="006D55F3"/>
    <w:rsid w:val="006D5639"/>
    <w:rsid w:val="006D569C"/>
    <w:rsid w:val="006D5A4D"/>
    <w:rsid w:val="006D5C1F"/>
    <w:rsid w:val="006D5C6E"/>
    <w:rsid w:val="006D5CD3"/>
    <w:rsid w:val="006D5DB6"/>
    <w:rsid w:val="006D5DE5"/>
    <w:rsid w:val="006D5E30"/>
    <w:rsid w:val="006D602A"/>
    <w:rsid w:val="006D6037"/>
    <w:rsid w:val="006D6147"/>
    <w:rsid w:val="006D653B"/>
    <w:rsid w:val="006D673A"/>
    <w:rsid w:val="006D6762"/>
    <w:rsid w:val="006D6910"/>
    <w:rsid w:val="006D6B42"/>
    <w:rsid w:val="006D6C7F"/>
    <w:rsid w:val="006D6F0B"/>
    <w:rsid w:val="006D712B"/>
    <w:rsid w:val="006D717A"/>
    <w:rsid w:val="006D7195"/>
    <w:rsid w:val="006D71F2"/>
    <w:rsid w:val="006D73F4"/>
    <w:rsid w:val="006D7436"/>
    <w:rsid w:val="006D75F0"/>
    <w:rsid w:val="006D7872"/>
    <w:rsid w:val="006D7C57"/>
    <w:rsid w:val="006D7FB0"/>
    <w:rsid w:val="006D7FDC"/>
    <w:rsid w:val="006E018E"/>
    <w:rsid w:val="006E04E7"/>
    <w:rsid w:val="006E0580"/>
    <w:rsid w:val="006E05C5"/>
    <w:rsid w:val="006E06C1"/>
    <w:rsid w:val="006E083F"/>
    <w:rsid w:val="006E0B25"/>
    <w:rsid w:val="006E0C5F"/>
    <w:rsid w:val="006E0E46"/>
    <w:rsid w:val="006E0F08"/>
    <w:rsid w:val="006E0FD9"/>
    <w:rsid w:val="006E1084"/>
    <w:rsid w:val="006E10EB"/>
    <w:rsid w:val="006E10F6"/>
    <w:rsid w:val="006E165F"/>
    <w:rsid w:val="006E1770"/>
    <w:rsid w:val="006E19DE"/>
    <w:rsid w:val="006E1A1B"/>
    <w:rsid w:val="006E1DC1"/>
    <w:rsid w:val="006E1E5D"/>
    <w:rsid w:val="006E1EEB"/>
    <w:rsid w:val="006E238C"/>
    <w:rsid w:val="006E2595"/>
    <w:rsid w:val="006E2789"/>
    <w:rsid w:val="006E2A44"/>
    <w:rsid w:val="006E2C18"/>
    <w:rsid w:val="006E2C7D"/>
    <w:rsid w:val="006E2D24"/>
    <w:rsid w:val="006E2DD0"/>
    <w:rsid w:val="006E2F44"/>
    <w:rsid w:val="006E3284"/>
    <w:rsid w:val="006E3287"/>
    <w:rsid w:val="006E3906"/>
    <w:rsid w:val="006E399E"/>
    <w:rsid w:val="006E3BB0"/>
    <w:rsid w:val="006E3E62"/>
    <w:rsid w:val="006E4052"/>
    <w:rsid w:val="006E435B"/>
    <w:rsid w:val="006E4646"/>
    <w:rsid w:val="006E476A"/>
    <w:rsid w:val="006E48DE"/>
    <w:rsid w:val="006E5000"/>
    <w:rsid w:val="006E521F"/>
    <w:rsid w:val="006E5521"/>
    <w:rsid w:val="006E571D"/>
    <w:rsid w:val="006E59A9"/>
    <w:rsid w:val="006E59C9"/>
    <w:rsid w:val="006E59FA"/>
    <w:rsid w:val="006E5B71"/>
    <w:rsid w:val="006E5BDE"/>
    <w:rsid w:val="006E5E3A"/>
    <w:rsid w:val="006E6058"/>
    <w:rsid w:val="006E60BF"/>
    <w:rsid w:val="006E6263"/>
    <w:rsid w:val="006E6755"/>
    <w:rsid w:val="006E677E"/>
    <w:rsid w:val="006E680C"/>
    <w:rsid w:val="006E69B0"/>
    <w:rsid w:val="006E6B4F"/>
    <w:rsid w:val="006E6D93"/>
    <w:rsid w:val="006E6E28"/>
    <w:rsid w:val="006E6F8C"/>
    <w:rsid w:val="006E7456"/>
    <w:rsid w:val="006E7839"/>
    <w:rsid w:val="006E787C"/>
    <w:rsid w:val="006E7904"/>
    <w:rsid w:val="006E7961"/>
    <w:rsid w:val="006E7A46"/>
    <w:rsid w:val="006E7C2C"/>
    <w:rsid w:val="006E7C38"/>
    <w:rsid w:val="006E7C4E"/>
    <w:rsid w:val="006E7C94"/>
    <w:rsid w:val="006F0096"/>
    <w:rsid w:val="006F01F1"/>
    <w:rsid w:val="006F0323"/>
    <w:rsid w:val="006F0333"/>
    <w:rsid w:val="006F0336"/>
    <w:rsid w:val="006F0544"/>
    <w:rsid w:val="006F064F"/>
    <w:rsid w:val="006F090B"/>
    <w:rsid w:val="006F0B8D"/>
    <w:rsid w:val="006F0BA0"/>
    <w:rsid w:val="006F0D18"/>
    <w:rsid w:val="006F0E28"/>
    <w:rsid w:val="006F0F62"/>
    <w:rsid w:val="006F1246"/>
    <w:rsid w:val="006F1567"/>
    <w:rsid w:val="006F1A3D"/>
    <w:rsid w:val="006F1D29"/>
    <w:rsid w:val="006F1E3E"/>
    <w:rsid w:val="006F202D"/>
    <w:rsid w:val="006F220C"/>
    <w:rsid w:val="006F232C"/>
    <w:rsid w:val="006F23EB"/>
    <w:rsid w:val="006F271D"/>
    <w:rsid w:val="006F29F9"/>
    <w:rsid w:val="006F2B53"/>
    <w:rsid w:val="006F2B89"/>
    <w:rsid w:val="006F3193"/>
    <w:rsid w:val="006F32E3"/>
    <w:rsid w:val="006F3416"/>
    <w:rsid w:val="006F36EA"/>
    <w:rsid w:val="006F37BD"/>
    <w:rsid w:val="006F39D0"/>
    <w:rsid w:val="006F3A57"/>
    <w:rsid w:val="006F3C38"/>
    <w:rsid w:val="006F3C52"/>
    <w:rsid w:val="006F3C67"/>
    <w:rsid w:val="006F40F0"/>
    <w:rsid w:val="006F4227"/>
    <w:rsid w:val="006F437C"/>
    <w:rsid w:val="006F43BE"/>
    <w:rsid w:val="006F44A1"/>
    <w:rsid w:val="006F451E"/>
    <w:rsid w:val="006F4533"/>
    <w:rsid w:val="006F4625"/>
    <w:rsid w:val="006F4784"/>
    <w:rsid w:val="006F4A46"/>
    <w:rsid w:val="006F4C3D"/>
    <w:rsid w:val="006F4D37"/>
    <w:rsid w:val="006F4F27"/>
    <w:rsid w:val="006F502E"/>
    <w:rsid w:val="006F55F8"/>
    <w:rsid w:val="006F5C77"/>
    <w:rsid w:val="006F5C88"/>
    <w:rsid w:val="006F5D0F"/>
    <w:rsid w:val="006F5EB9"/>
    <w:rsid w:val="006F5FD5"/>
    <w:rsid w:val="006F601B"/>
    <w:rsid w:val="006F647E"/>
    <w:rsid w:val="006F65DB"/>
    <w:rsid w:val="006F65E7"/>
    <w:rsid w:val="006F66E2"/>
    <w:rsid w:val="006F6885"/>
    <w:rsid w:val="006F68C5"/>
    <w:rsid w:val="006F6925"/>
    <w:rsid w:val="006F6C2A"/>
    <w:rsid w:val="006F6DD3"/>
    <w:rsid w:val="006F6DF2"/>
    <w:rsid w:val="006F6E05"/>
    <w:rsid w:val="006F6E43"/>
    <w:rsid w:val="006F6E99"/>
    <w:rsid w:val="006F6F82"/>
    <w:rsid w:val="006F7183"/>
    <w:rsid w:val="006F73A5"/>
    <w:rsid w:val="006F74D8"/>
    <w:rsid w:val="006F7668"/>
    <w:rsid w:val="006F76C3"/>
    <w:rsid w:val="006F77C3"/>
    <w:rsid w:val="006F7A1C"/>
    <w:rsid w:val="006F7D29"/>
    <w:rsid w:val="006F7E44"/>
    <w:rsid w:val="006F7F9E"/>
    <w:rsid w:val="00700174"/>
    <w:rsid w:val="007001EC"/>
    <w:rsid w:val="007002AF"/>
    <w:rsid w:val="00700382"/>
    <w:rsid w:val="007003DD"/>
    <w:rsid w:val="00700491"/>
    <w:rsid w:val="0070077B"/>
    <w:rsid w:val="00700834"/>
    <w:rsid w:val="007008F0"/>
    <w:rsid w:val="007009B8"/>
    <w:rsid w:val="007009C5"/>
    <w:rsid w:val="007009D4"/>
    <w:rsid w:val="00700D3B"/>
    <w:rsid w:val="00700DA2"/>
    <w:rsid w:val="00700DA3"/>
    <w:rsid w:val="00700F1F"/>
    <w:rsid w:val="00701194"/>
    <w:rsid w:val="00701530"/>
    <w:rsid w:val="0070171E"/>
    <w:rsid w:val="00701725"/>
    <w:rsid w:val="00701B94"/>
    <w:rsid w:val="00701D31"/>
    <w:rsid w:val="00701DEF"/>
    <w:rsid w:val="00702386"/>
    <w:rsid w:val="0070243F"/>
    <w:rsid w:val="00702455"/>
    <w:rsid w:val="0070272B"/>
    <w:rsid w:val="00702A5F"/>
    <w:rsid w:val="00702AE5"/>
    <w:rsid w:val="00702F54"/>
    <w:rsid w:val="0070327F"/>
    <w:rsid w:val="007034C2"/>
    <w:rsid w:val="00703519"/>
    <w:rsid w:val="0070377C"/>
    <w:rsid w:val="00703842"/>
    <w:rsid w:val="00703936"/>
    <w:rsid w:val="00703AB8"/>
    <w:rsid w:val="00703AD9"/>
    <w:rsid w:val="00703AF0"/>
    <w:rsid w:val="00703EBA"/>
    <w:rsid w:val="0070436B"/>
    <w:rsid w:val="00704424"/>
    <w:rsid w:val="0070461D"/>
    <w:rsid w:val="0070486F"/>
    <w:rsid w:val="007048CA"/>
    <w:rsid w:val="00704916"/>
    <w:rsid w:val="007049BA"/>
    <w:rsid w:val="00704AE6"/>
    <w:rsid w:val="00704B02"/>
    <w:rsid w:val="00704EA2"/>
    <w:rsid w:val="00704F43"/>
    <w:rsid w:val="00705024"/>
    <w:rsid w:val="007050D0"/>
    <w:rsid w:val="00705170"/>
    <w:rsid w:val="00705305"/>
    <w:rsid w:val="00705543"/>
    <w:rsid w:val="0070576A"/>
    <w:rsid w:val="00705B11"/>
    <w:rsid w:val="00705BAA"/>
    <w:rsid w:val="00705E20"/>
    <w:rsid w:val="00705F81"/>
    <w:rsid w:val="0070602A"/>
    <w:rsid w:val="0070607D"/>
    <w:rsid w:val="007061C9"/>
    <w:rsid w:val="007063D3"/>
    <w:rsid w:val="00706432"/>
    <w:rsid w:val="007065E2"/>
    <w:rsid w:val="0070672B"/>
    <w:rsid w:val="007067BD"/>
    <w:rsid w:val="007068A6"/>
    <w:rsid w:val="0070699B"/>
    <w:rsid w:val="00706A16"/>
    <w:rsid w:val="00706B30"/>
    <w:rsid w:val="00706E15"/>
    <w:rsid w:val="00706E3A"/>
    <w:rsid w:val="0070700A"/>
    <w:rsid w:val="0070715F"/>
    <w:rsid w:val="007071DB"/>
    <w:rsid w:val="00707268"/>
    <w:rsid w:val="0070760B"/>
    <w:rsid w:val="0070770F"/>
    <w:rsid w:val="007078B0"/>
    <w:rsid w:val="007079C8"/>
    <w:rsid w:val="00707A61"/>
    <w:rsid w:val="00707BB4"/>
    <w:rsid w:val="00707CEB"/>
    <w:rsid w:val="00707DF8"/>
    <w:rsid w:val="00707F48"/>
    <w:rsid w:val="00710126"/>
    <w:rsid w:val="00710494"/>
    <w:rsid w:val="00710560"/>
    <w:rsid w:val="0071058F"/>
    <w:rsid w:val="007109A5"/>
    <w:rsid w:val="00710CB0"/>
    <w:rsid w:val="00710D9B"/>
    <w:rsid w:val="00710E65"/>
    <w:rsid w:val="00711078"/>
    <w:rsid w:val="0071122B"/>
    <w:rsid w:val="00711482"/>
    <w:rsid w:val="0071161E"/>
    <w:rsid w:val="00711971"/>
    <w:rsid w:val="0071199F"/>
    <w:rsid w:val="00711A6F"/>
    <w:rsid w:val="00711C51"/>
    <w:rsid w:val="00711C81"/>
    <w:rsid w:val="007120EC"/>
    <w:rsid w:val="00712102"/>
    <w:rsid w:val="00712298"/>
    <w:rsid w:val="00712433"/>
    <w:rsid w:val="00712894"/>
    <w:rsid w:val="007128AF"/>
    <w:rsid w:val="007128F4"/>
    <w:rsid w:val="00712970"/>
    <w:rsid w:val="00712A1F"/>
    <w:rsid w:val="00712DB3"/>
    <w:rsid w:val="00712E2D"/>
    <w:rsid w:val="00712FD8"/>
    <w:rsid w:val="0071328C"/>
    <w:rsid w:val="007132D5"/>
    <w:rsid w:val="007135F2"/>
    <w:rsid w:val="00713966"/>
    <w:rsid w:val="007139A6"/>
    <w:rsid w:val="007139FC"/>
    <w:rsid w:val="00713ACE"/>
    <w:rsid w:val="00713CA4"/>
    <w:rsid w:val="00713F98"/>
    <w:rsid w:val="00714454"/>
    <w:rsid w:val="0071475F"/>
    <w:rsid w:val="00714813"/>
    <w:rsid w:val="00714A57"/>
    <w:rsid w:val="00714BB1"/>
    <w:rsid w:val="00714BCB"/>
    <w:rsid w:val="00714EA8"/>
    <w:rsid w:val="00715051"/>
    <w:rsid w:val="0071531A"/>
    <w:rsid w:val="007155F6"/>
    <w:rsid w:val="00715691"/>
    <w:rsid w:val="0071569F"/>
    <w:rsid w:val="00715AAF"/>
    <w:rsid w:val="00715B34"/>
    <w:rsid w:val="00715BC2"/>
    <w:rsid w:val="00715DE8"/>
    <w:rsid w:val="00715E17"/>
    <w:rsid w:val="00716347"/>
    <w:rsid w:val="0071666D"/>
    <w:rsid w:val="0071666E"/>
    <w:rsid w:val="00716796"/>
    <w:rsid w:val="0071686F"/>
    <w:rsid w:val="0071689D"/>
    <w:rsid w:val="00716970"/>
    <w:rsid w:val="00716A4E"/>
    <w:rsid w:val="00716D23"/>
    <w:rsid w:val="00716D36"/>
    <w:rsid w:val="00717001"/>
    <w:rsid w:val="0071748F"/>
    <w:rsid w:val="00717741"/>
    <w:rsid w:val="007178E5"/>
    <w:rsid w:val="00717BF6"/>
    <w:rsid w:val="00717D64"/>
    <w:rsid w:val="00717F2E"/>
    <w:rsid w:val="00717F61"/>
    <w:rsid w:val="00717F82"/>
    <w:rsid w:val="0072001E"/>
    <w:rsid w:val="0072022B"/>
    <w:rsid w:val="0072022C"/>
    <w:rsid w:val="007203CB"/>
    <w:rsid w:val="00720469"/>
    <w:rsid w:val="0072050A"/>
    <w:rsid w:val="0072096B"/>
    <w:rsid w:val="00720BBA"/>
    <w:rsid w:val="00720BCD"/>
    <w:rsid w:val="00720C9F"/>
    <w:rsid w:val="00720D52"/>
    <w:rsid w:val="00720D72"/>
    <w:rsid w:val="00720D94"/>
    <w:rsid w:val="00720E43"/>
    <w:rsid w:val="00720EE6"/>
    <w:rsid w:val="00720F1A"/>
    <w:rsid w:val="007212CD"/>
    <w:rsid w:val="00721342"/>
    <w:rsid w:val="007213FD"/>
    <w:rsid w:val="00721595"/>
    <w:rsid w:val="007215D3"/>
    <w:rsid w:val="00721728"/>
    <w:rsid w:val="007217EA"/>
    <w:rsid w:val="00721ABB"/>
    <w:rsid w:val="00721CD1"/>
    <w:rsid w:val="00721D45"/>
    <w:rsid w:val="0072201C"/>
    <w:rsid w:val="007223F1"/>
    <w:rsid w:val="00722548"/>
    <w:rsid w:val="007227E5"/>
    <w:rsid w:val="0072285C"/>
    <w:rsid w:val="00722867"/>
    <w:rsid w:val="007228CA"/>
    <w:rsid w:val="0072291E"/>
    <w:rsid w:val="00722934"/>
    <w:rsid w:val="00722B1A"/>
    <w:rsid w:val="00722B94"/>
    <w:rsid w:val="00722CD2"/>
    <w:rsid w:val="00722E6E"/>
    <w:rsid w:val="007231A0"/>
    <w:rsid w:val="007232C8"/>
    <w:rsid w:val="00723322"/>
    <w:rsid w:val="00723454"/>
    <w:rsid w:val="00723597"/>
    <w:rsid w:val="00723C16"/>
    <w:rsid w:val="00723C3E"/>
    <w:rsid w:val="00723C93"/>
    <w:rsid w:val="00723CC2"/>
    <w:rsid w:val="00723D21"/>
    <w:rsid w:val="00723E16"/>
    <w:rsid w:val="00724052"/>
    <w:rsid w:val="007240CF"/>
    <w:rsid w:val="007241BE"/>
    <w:rsid w:val="007242F1"/>
    <w:rsid w:val="00724414"/>
    <w:rsid w:val="00724417"/>
    <w:rsid w:val="00724493"/>
    <w:rsid w:val="00724AC6"/>
    <w:rsid w:val="00724BBF"/>
    <w:rsid w:val="00725065"/>
    <w:rsid w:val="00725157"/>
    <w:rsid w:val="007252F8"/>
    <w:rsid w:val="0072537D"/>
    <w:rsid w:val="0072549C"/>
    <w:rsid w:val="007254BE"/>
    <w:rsid w:val="0072555E"/>
    <w:rsid w:val="00725AB2"/>
    <w:rsid w:val="00725AD7"/>
    <w:rsid w:val="00725B0B"/>
    <w:rsid w:val="00725B7B"/>
    <w:rsid w:val="00725BD0"/>
    <w:rsid w:val="00725CC9"/>
    <w:rsid w:val="00725E19"/>
    <w:rsid w:val="00725E38"/>
    <w:rsid w:val="00725EB7"/>
    <w:rsid w:val="00725FE5"/>
    <w:rsid w:val="00726622"/>
    <w:rsid w:val="00726755"/>
    <w:rsid w:val="00726894"/>
    <w:rsid w:val="0072699C"/>
    <w:rsid w:val="007269C2"/>
    <w:rsid w:val="00726BF5"/>
    <w:rsid w:val="00726EB0"/>
    <w:rsid w:val="00726F35"/>
    <w:rsid w:val="00726F47"/>
    <w:rsid w:val="007271B8"/>
    <w:rsid w:val="007272BD"/>
    <w:rsid w:val="0072758A"/>
    <w:rsid w:val="00727744"/>
    <w:rsid w:val="00727B41"/>
    <w:rsid w:val="00727CCD"/>
    <w:rsid w:val="00727D86"/>
    <w:rsid w:val="007300C6"/>
    <w:rsid w:val="007301F0"/>
    <w:rsid w:val="007303BD"/>
    <w:rsid w:val="007303E9"/>
    <w:rsid w:val="0073058B"/>
    <w:rsid w:val="0073063D"/>
    <w:rsid w:val="0073070B"/>
    <w:rsid w:val="0073077B"/>
    <w:rsid w:val="00730A3A"/>
    <w:rsid w:val="00730C5C"/>
    <w:rsid w:val="00730CDD"/>
    <w:rsid w:val="00730E8E"/>
    <w:rsid w:val="00731030"/>
    <w:rsid w:val="00731274"/>
    <w:rsid w:val="0073131E"/>
    <w:rsid w:val="00731343"/>
    <w:rsid w:val="007313F8"/>
    <w:rsid w:val="0073176F"/>
    <w:rsid w:val="007318A0"/>
    <w:rsid w:val="007318A1"/>
    <w:rsid w:val="00731995"/>
    <w:rsid w:val="00731BEF"/>
    <w:rsid w:val="00731F9A"/>
    <w:rsid w:val="0073233E"/>
    <w:rsid w:val="0073234B"/>
    <w:rsid w:val="00732394"/>
    <w:rsid w:val="007324A1"/>
    <w:rsid w:val="00732832"/>
    <w:rsid w:val="00732848"/>
    <w:rsid w:val="007329CF"/>
    <w:rsid w:val="00732C58"/>
    <w:rsid w:val="00732DDE"/>
    <w:rsid w:val="007332BE"/>
    <w:rsid w:val="0073338A"/>
    <w:rsid w:val="007333A0"/>
    <w:rsid w:val="007335BE"/>
    <w:rsid w:val="0073388E"/>
    <w:rsid w:val="00733964"/>
    <w:rsid w:val="00733A3C"/>
    <w:rsid w:val="00733BB7"/>
    <w:rsid w:val="00733CCD"/>
    <w:rsid w:val="00733E9A"/>
    <w:rsid w:val="00734000"/>
    <w:rsid w:val="0073405F"/>
    <w:rsid w:val="00734060"/>
    <w:rsid w:val="007340B4"/>
    <w:rsid w:val="00734141"/>
    <w:rsid w:val="007343F6"/>
    <w:rsid w:val="00734482"/>
    <w:rsid w:val="007348F7"/>
    <w:rsid w:val="00734B9C"/>
    <w:rsid w:val="00734BB7"/>
    <w:rsid w:val="00734C44"/>
    <w:rsid w:val="00734D12"/>
    <w:rsid w:val="00734E7E"/>
    <w:rsid w:val="00734F09"/>
    <w:rsid w:val="00734F42"/>
    <w:rsid w:val="00734FF7"/>
    <w:rsid w:val="0073517F"/>
    <w:rsid w:val="007352BD"/>
    <w:rsid w:val="0073560B"/>
    <w:rsid w:val="0073578B"/>
    <w:rsid w:val="0073591E"/>
    <w:rsid w:val="00735A4F"/>
    <w:rsid w:val="00735A64"/>
    <w:rsid w:val="00735CDA"/>
    <w:rsid w:val="00735D34"/>
    <w:rsid w:val="00735EB1"/>
    <w:rsid w:val="00736156"/>
    <w:rsid w:val="00736295"/>
    <w:rsid w:val="007363EA"/>
    <w:rsid w:val="007366AA"/>
    <w:rsid w:val="007366C7"/>
    <w:rsid w:val="00736897"/>
    <w:rsid w:val="00736B92"/>
    <w:rsid w:val="00736C9E"/>
    <w:rsid w:val="00736CB1"/>
    <w:rsid w:val="00736D65"/>
    <w:rsid w:val="0073712B"/>
    <w:rsid w:val="007376A6"/>
    <w:rsid w:val="00737904"/>
    <w:rsid w:val="00740207"/>
    <w:rsid w:val="00740285"/>
    <w:rsid w:val="007402CC"/>
    <w:rsid w:val="007404DB"/>
    <w:rsid w:val="00740535"/>
    <w:rsid w:val="007405DC"/>
    <w:rsid w:val="0074066E"/>
    <w:rsid w:val="007406B3"/>
    <w:rsid w:val="007406F6"/>
    <w:rsid w:val="0074079A"/>
    <w:rsid w:val="007408F3"/>
    <w:rsid w:val="00740A9B"/>
    <w:rsid w:val="00740C4F"/>
    <w:rsid w:val="00740EEC"/>
    <w:rsid w:val="00740F2C"/>
    <w:rsid w:val="00741166"/>
    <w:rsid w:val="00741183"/>
    <w:rsid w:val="00741274"/>
    <w:rsid w:val="007412D8"/>
    <w:rsid w:val="007412DC"/>
    <w:rsid w:val="007419B0"/>
    <w:rsid w:val="00741B6F"/>
    <w:rsid w:val="00741CA8"/>
    <w:rsid w:val="00741E72"/>
    <w:rsid w:val="007426A8"/>
    <w:rsid w:val="007426D7"/>
    <w:rsid w:val="007426FF"/>
    <w:rsid w:val="007427D4"/>
    <w:rsid w:val="00742F50"/>
    <w:rsid w:val="007430F6"/>
    <w:rsid w:val="007436A2"/>
    <w:rsid w:val="00743808"/>
    <w:rsid w:val="00743920"/>
    <w:rsid w:val="00743A4F"/>
    <w:rsid w:val="00743A55"/>
    <w:rsid w:val="00743B70"/>
    <w:rsid w:val="00743B74"/>
    <w:rsid w:val="00743C4A"/>
    <w:rsid w:val="00743F7B"/>
    <w:rsid w:val="00744095"/>
    <w:rsid w:val="00744316"/>
    <w:rsid w:val="007444F6"/>
    <w:rsid w:val="007449B7"/>
    <w:rsid w:val="00744C6B"/>
    <w:rsid w:val="00744EE1"/>
    <w:rsid w:val="00745244"/>
    <w:rsid w:val="00745353"/>
    <w:rsid w:val="0074554E"/>
    <w:rsid w:val="0074556C"/>
    <w:rsid w:val="007455B8"/>
    <w:rsid w:val="00745643"/>
    <w:rsid w:val="007456FC"/>
    <w:rsid w:val="0074577A"/>
    <w:rsid w:val="00745812"/>
    <w:rsid w:val="00745940"/>
    <w:rsid w:val="00745A86"/>
    <w:rsid w:val="00745A98"/>
    <w:rsid w:val="00745D89"/>
    <w:rsid w:val="00745F87"/>
    <w:rsid w:val="0074603C"/>
    <w:rsid w:val="007460E8"/>
    <w:rsid w:val="00746393"/>
    <w:rsid w:val="00746443"/>
    <w:rsid w:val="007465E3"/>
    <w:rsid w:val="00746661"/>
    <w:rsid w:val="00746C5E"/>
    <w:rsid w:val="00746CBB"/>
    <w:rsid w:val="00746D04"/>
    <w:rsid w:val="00746E7D"/>
    <w:rsid w:val="00746E92"/>
    <w:rsid w:val="00746EDB"/>
    <w:rsid w:val="00746F71"/>
    <w:rsid w:val="00747019"/>
    <w:rsid w:val="00747037"/>
    <w:rsid w:val="007470A8"/>
    <w:rsid w:val="0074732E"/>
    <w:rsid w:val="00747434"/>
    <w:rsid w:val="00747436"/>
    <w:rsid w:val="0074751F"/>
    <w:rsid w:val="007475F0"/>
    <w:rsid w:val="007477E9"/>
    <w:rsid w:val="00747963"/>
    <w:rsid w:val="007479E2"/>
    <w:rsid w:val="00747B0D"/>
    <w:rsid w:val="00747B6F"/>
    <w:rsid w:val="00747DEC"/>
    <w:rsid w:val="00747EC7"/>
    <w:rsid w:val="00750207"/>
    <w:rsid w:val="007504BF"/>
    <w:rsid w:val="0075073F"/>
    <w:rsid w:val="007507D3"/>
    <w:rsid w:val="00750ADB"/>
    <w:rsid w:val="00750B66"/>
    <w:rsid w:val="00750C53"/>
    <w:rsid w:val="00750E1D"/>
    <w:rsid w:val="00750E76"/>
    <w:rsid w:val="00750F19"/>
    <w:rsid w:val="007511B0"/>
    <w:rsid w:val="007511B3"/>
    <w:rsid w:val="0075125D"/>
    <w:rsid w:val="0075127C"/>
    <w:rsid w:val="007512FD"/>
    <w:rsid w:val="0075130B"/>
    <w:rsid w:val="0075132A"/>
    <w:rsid w:val="0075135F"/>
    <w:rsid w:val="00751504"/>
    <w:rsid w:val="007516AF"/>
    <w:rsid w:val="007516E8"/>
    <w:rsid w:val="007517FA"/>
    <w:rsid w:val="00751968"/>
    <w:rsid w:val="007519B2"/>
    <w:rsid w:val="007519CB"/>
    <w:rsid w:val="007519E8"/>
    <w:rsid w:val="00751BB5"/>
    <w:rsid w:val="00751CB1"/>
    <w:rsid w:val="00751E11"/>
    <w:rsid w:val="00751E79"/>
    <w:rsid w:val="00751F81"/>
    <w:rsid w:val="00751F92"/>
    <w:rsid w:val="00752031"/>
    <w:rsid w:val="0075242E"/>
    <w:rsid w:val="007526C4"/>
    <w:rsid w:val="00752811"/>
    <w:rsid w:val="00752828"/>
    <w:rsid w:val="00752893"/>
    <w:rsid w:val="007528E3"/>
    <w:rsid w:val="007529E7"/>
    <w:rsid w:val="007529FA"/>
    <w:rsid w:val="00752AF3"/>
    <w:rsid w:val="00752CF1"/>
    <w:rsid w:val="00752D61"/>
    <w:rsid w:val="00752D74"/>
    <w:rsid w:val="00752DEA"/>
    <w:rsid w:val="00752E12"/>
    <w:rsid w:val="00752F0A"/>
    <w:rsid w:val="00752F22"/>
    <w:rsid w:val="0075305B"/>
    <w:rsid w:val="007531B3"/>
    <w:rsid w:val="0075328D"/>
    <w:rsid w:val="007532AE"/>
    <w:rsid w:val="007534FF"/>
    <w:rsid w:val="0075359C"/>
    <w:rsid w:val="00753725"/>
    <w:rsid w:val="00753DC3"/>
    <w:rsid w:val="00754251"/>
    <w:rsid w:val="0075444E"/>
    <w:rsid w:val="007546D7"/>
    <w:rsid w:val="00754753"/>
    <w:rsid w:val="00754A37"/>
    <w:rsid w:val="00754A39"/>
    <w:rsid w:val="00754CF1"/>
    <w:rsid w:val="00754D0F"/>
    <w:rsid w:val="00755048"/>
    <w:rsid w:val="0075506A"/>
    <w:rsid w:val="00755354"/>
    <w:rsid w:val="007556CA"/>
    <w:rsid w:val="007557FE"/>
    <w:rsid w:val="007559C7"/>
    <w:rsid w:val="00756035"/>
    <w:rsid w:val="00756087"/>
    <w:rsid w:val="00756678"/>
    <w:rsid w:val="0075678E"/>
    <w:rsid w:val="00756860"/>
    <w:rsid w:val="00756CDA"/>
    <w:rsid w:val="00756FE9"/>
    <w:rsid w:val="0075709C"/>
    <w:rsid w:val="007570BC"/>
    <w:rsid w:val="007571DB"/>
    <w:rsid w:val="00757320"/>
    <w:rsid w:val="007574A8"/>
    <w:rsid w:val="00757527"/>
    <w:rsid w:val="00757560"/>
    <w:rsid w:val="0075760C"/>
    <w:rsid w:val="00757830"/>
    <w:rsid w:val="00757836"/>
    <w:rsid w:val="00757A73"/>
    <w:rsid w:val="00757C41"/>
    <w:rsid w:val="00757C70"/>
    <w:rsid w:val="00757D08"/>
    <w:rsid w:val="00757F52"/>
    <w:rsid w:val="00757FDB"/>
    <w:rsid w:val="007602DC"/>
    <w:rsid w:val="0076038F"/>
    <w:rsid w:val="00760436"/>
    <w:rsid w:val="007606C4"/>
    <w:rsid w:val="007606FA"/>
    <w:rsid w:val="00760C24"/>
    <w:rsid w:val="00760C53"/>
    <w:rsid w:val="00761147"/>
    <w:rsid w:val="00761314"/>
    <w:rsid w:val="0076149D"/>
    <w:rsid w:val="00761766"/>
    <w:rsid w:val="00761AB5"/>
    <w:rsid w:val="00761D33"/>
    <w:rsid w:val="00761D94"/>
    <w:rsid w:val="007620F0"/>
    <w:rsid w:val="00762112"/>
    <w:rsid w:val="00762471"/>
    <w:rsid w:val="0076282F"/>
    <w:rsid w:val="00762C06"/>
    <w:rsid w:val="00762E8B"/>
    <w:rsid w:val="00763031"/>
    <w:rsid w:val="0076369D"/>
    <w:rsid w:val="0076373C"/>
    <w:rsid w:val="0076383F"/>
    <w:rsid w:val="00763A8D"/>
    <w:rsid w:val="00763D9A"/>
    <w:rsid w:val="00763E5A"/>
    <w:rsid w:val="0076400A"/>
    <w:rsid w:val="0076431E"/>
    <w:rsid w:val="00764450"/>
    <w:rsid w:val="0076451C"/>
    <w:rsid w:val="007647D4"/>
    <w:rsid w:val="0076486D"/>
    <w:rsid w:val="00764B4A"/>
    <w:rsid w:val="00764D18"/>
    <w:rsid w:val="0076554F"/>
    <w:rsid w:val="0076565A"/>
    <w:rsid w:val="0076568F"/>
    <w:rsid w:val="00765979"/>
    <w:rsid w:val="00765C73"/>
    <w:rsid w:val="00765C87"/>
    <w:rsid w:val="00765E25"/>
    <w:rsid w:val="00765E2C"/>
    <w:rsid w:val="00765F16"/>
    <w:rsid w:val="00765F54"/>
    <w:rsid w:val="00766822"/>
    <w:rsid w:val="00766826"/>
    <w:rsid w:val="0076685C"/>
    <w:rsid w:val="00766C1B"/>
    <w:rsid w:val="00766CFA"/>
    <w:rsid w:val="00766F69"/>
    <w:rsid w:val="00766FED"/>
    <w:rsid w:val="00766FF7"/>
    <w:rsid w:val="007670A5"/>
    <w:rsid w:val="007671E3"/>
    <w:rsid w:val="00767843"/>
    <w:rsid w:val="00767A37"/>
    <w:rsid w:val="00767B1D"/>
    <w:rsid w:val="00767F81"/>
    <w:rsid w:val="00770045"/>
    <w:rsid w:val="007701EF"/>
    <w:rsid w:val="007702EE"/>
    <w:rsid w:val="00770455"/>
    <w:rsid w:val="007706CF"/>
    <w:rsid w:val="007708A6"/>
    <w:rsid w:val="00770A2E"/>
    <w:rsid w:val="00770A58"/>
    <w:rsid w:val="00770B56"/>
    <w:rsid w:val="00770BB4"/>
    <w:rsid w:val="00770C40"/>
    <w:rsid w:val="00770E69"/>
    <w:rsid w:val="007711F2"/>
    <w:rsid w:val="007711FA"/>
    <w:rsid w:val="0077162B"/>
    <w:rsid w:val="007716E6"/>
    <w:rsid w:val="00771860"/>
    <w:rsid w:val="007719B2"/>
    <w:rsid w:val="00771C41"/>
    <w:rsid w:val="00771E4C"/>
    <w:rsid w:val="00771F9F"/>
    <w:rsid w:val="0077209A"/>
    <w:rsid w:val="007721B0"/>
    <w:rsid w:val="00772433"/>
    <w:rsid w:val="007728F4"/>
    <w:rsid w:val="00772A3A"/>
    <w:rsid w:val="00772B98"/>
    <w:rsid w:val="00772D1C"/>
    <w:rsid w:val="00772E80"/>
    <w:rsid w:val="00772F8A"/>
    <w:rsid w:val="0077326C"/>
    <w:rsid w:val="007733CF"/>
    <w:rsid w:val="007734BD"/>
    <w:rsid w:val="007735E2"/>
    <w:rsid w:val="007736E7"/>
    <w:rsid w:val="00773742"/>
    <w:rsid w:val="007738DC"/>
    <w:rsid w:val="00773D9D"/>
    <w:rsid w:val="00773FD9"/>
    <w:rsid w:val="007744BB"/>
    <w:rsid w:val="0077488D"/>
    <w:rsid w:val="007749A7"/>
    <w:rsid w:val="00774EBB"/>
    <w:rsid w:val="00774EFE"/>
    <w:rsid w:val="00774FD5"/>
    <w:rsid w:val="007750CE"/>
    <w:rsid w:val="00775910"/>
    <w:rsid w:val="00775D94"/>
    <w:rsid w:val="0077600C"/>
    <w:rsid w:val="0077680A"/>
    <w:rsid w:val="00776AEE"/>
    <w:rsid w:val="00776BCA"/>
    <w:rsid w:val="00776BEA"/>
    <w:rsid w:val="00776C87"/>
    <w:rsid w:val="00776EE8"/>
    <w:rsid w:val="00776F71"/>
    <w:rsid w:val="00776F86"/>
    <w:rsid w:val="0077711D"/>
    <w:rsid w:val="0077748D"/>
    <w:rsid w:val="0077776E"/>
    <w:rsid w:val="007778BB"/>
    <w:rsid w:val="00777BD6"/>
    <w:rsid w:val="00777C6E"/>
    <w:rsid w:val="00777E7A"/>
    <w:rsid w:val="007802FC"/>
    <w:rsid w:val="0078034D"/>
    <w:rsid w:val="00780618"/>
    <w:rsid w:val="0078081F"/>
    <w:rsid w:val="00780A35"/>
    <w:rsid w:val="00780A6A"/>
    <w:rsid w:val="00780AA3"/>
    <w:rsid w:val="00780BA2"/>
    <w:rsid w:val="00780CB4"/>
    <w:rsid w:val="00780E72"/>
    <w:rsid w:val="00780EA7"/>
    <w:rsid w:val="007813A5"/>
    <w:rsid w:val="0078161F"/>
    <w:rsid w:val="00781783"/>
    <w:rsid w:val="00781978"/>
    <w:rsid w:val="00781997"/>
    <w:rsid w:val="007819CF"/>
    <w:rsid w:val="00781A5B"/>
    <w:rsid w:val="00781B4E"/>
    <w:rsid w:val="00781BC0"/>
    <w:rsid w:val="00781C32"/>
    <w:rsid w:val="00781DBC"/>
    <w:rsid w:val="0078202D"/>
    <w:rsid w:val="00782237"/>
    <w:rsid w:val="00782366"/>
    <w:rsid w:val="0078237E"/>
    <w:rsid w:val="00782621"/>
    <w:rsid w:val="00782661"/>
    <w:rsid w:val="007826C4"/>
    <w:rsid w:val="00782755"/>
    <w:rsid w:val="007829A2"/>
    <w:rsid w:val="00782B1E"/>
    <w:rsid w:val="00782C66"/>
    <w:rsid w:val="00782C8A"/>
    <w:rsid w:val="00782D1E"/>
    <w:rsid w:val="007830D8"/>
    <w:rsid w:val="00783207"/>
    <w:rsid w:val="00783487"/>
    <w:rsid w:val="0078351A"/>
    <w:rsid w:val="0078357B"/>
    <w:rsid w:val="007835B6"/>
    <w:rsid w:val="00783801"/>
    <w:rsid w:val="00783837"/>
    <w:rsid w:val="00783D8F"/>
    <w:rsid w:val="00783D93"/>
    <w:rsid w:val="00783FCC"/>
    <w:rsid w:val="00784169"/>
    <w:rsid w:val="007844E3"/>
    <w:rsid w:val="0078466C"/>
    <w:rsid w:val="007846A6"/>
    <w:rsid w:val="00784711"/>
    <w:rsid w:val="00784CC8"/>
    <w:rsid w:val="00784E48"/>
    <w:rsid w:val="0078516C"/>
    <w:rsid w:val="007851C1"/>
    <w:rsid w:val="0078521E"/>
    <w:rsid w:val="007852F4"/>
    <w:rsid w:val="0078535D"/>
    <w:rsid w:val="0078543F"/>
    <w:rsid w:val="007854B4"/>
    <w:rsid w:val="00785790"/>
    <w:rsid w:val="00785A6A"/>
    <w:rsid w:val="00785D13"/>
    <w:rsid w:val="00785D23"/>
    <w:rsid w:val="00785DE7"/>
    <w:rsid w:val="00785F2D"/>
    <w:rsid w:val="007860AE"/>
    <w:rsid w:val="0078660F"/>
    <w:rsid w:val="0078685A"/>
    <w:rsid w:val="00786907"/>
    <w:rsid w:val="00786A69"/>
    <w:rsid w:val="00786BF1"/>
    <w:rsid w:val="00786CEE"/>
    <w:rsid w:val="00786EEE"/>
    <w:rsid w:val="0078702A"/>
    <w:rsid w:val="00787396"/>
    <w:rsid w:val="0078754B"/>
    <w:rsid w:val="00787594"/>
    <w:rsid w:val="00787761"/>
    <w:rsid w:val="00787A3B"/>
    <w:rsid w:val="00787B4E"/>
    <w:rsid w:val="00787D63"/>
    <w:rsid w:val="00787F5E"/>
    <w:rsid w:val="00787F99"/>
    <w:rsid w:val="0079002B"/>
    <w:rsid w:val="00790543"/>
    <w:rsid w:val="00790582"/>
    <w:rsid w:val="007905AB"/>
    <w:rsid w:val="007907D7"/>
    <w:rsid w:val="007909DD"/>
    <w:rsid w:val="00790C70"/>
    <w:rsid w:val="00790E4B"/>
    <w:rsid w:val="00790E60"/>
    <w:rsid w:val="00790F18"/>
    <w:rsid w:val="00790FCD"/>
    <w:rsid w:val="00790FF9"/>
    <w:rsid w:val="0079126D"/>
    <w:rsid w:val="00791299"/>
    <w:rsid w:val="0079148E"/>
    <w:rsid w:val="007919C3"/>
    <w:rsid w:val="00791D59"/>
    <w:rsid w:val="00792039"/>
    <w:rsid w:val="007925D0"/>
    <w:rsid w:val="00792619"/>
    <w:rsid w:val="0079288E"/>
    <w:rsid w:val="00792A54"/>
    <w:rsid w:val="00792A9A"/>
    <w:rsid w:val="00792A9C"/>
    <w:rsid w:val="00792AA7"/>
    <w:rsid w:val="00792C63"/>
    <w:rsid w:val="00792DFC"/>
    <w:rsid w:val="00792E36"/>
    <w:rsid w:val="0079302B"/>
    <w:rsid w:val="007930C9"/>
    <w:rsid w:val="0079314B"/>
    <w:rsid w:val="00793176"/>
    <w:rsid w:val="00793195"/>
    <w:rsid w:val="007935E2"/>
    <w:rsid w:val="00793640"/>
    <w:rsid w:val="00793878"/>
    <w:rsid w:val="0079388D"/>
    <w:rsid w:val="00793E2C"/>
    <w:rsid w:val="00793E88"/>
    <w:rsid w:val="00793F48"/>
    <w:rsid w:val="00794055"/>
    <w:rsid w:val="0079424E"/>
    <w:rsid w:val="00794352"/>
    <w:rsid w:val="007946CD"/>
    <w:rsid w:val="00794B86"/>
    <w:rsid w:val="00794FF9"/>
    <w:rsid w:val="007954D6"/>
    <w:rsid w:val="007959F9"/>
    <w:rsid w:val="00795B15"/>
    <w:rsid w:val="00795B43"/>
    <w:rsid w:val="00795EDE"/>
    <w:rsid w:val="00795FDB"/>
    <w:rsid w:val="00796255"/>
    <w:rsid w:val="007966C3"/>
    <w:rsid w:val="00796E75"/>
    <w:rsid w:val="00797263"/>
    <w:rsid w:val="00797291"/>
    <w:rsid w:val="00797364"/>
    <w:rsid w:val="0079742B"/>
    <w:rsid w:val="00797898"/>
    <w:rsid w:val="00797B5A"/>
    <w:rsid w:val="00797CBE"/>
    <w:rsid w:val="00797E14"/>
    <w:rsid w:val="007A0133"/>
    <w:rsid w:val="007A01DC"/>
    <w:rsid w:val="007A0284"/>
    <w:rsid w:val="007A03AB"/>
    <w:rsid w:val="007A054F"/>
    <w:rsid w:val="007A07B6"/>
    <w:rsid w:val="007A0A1A"/>
    <w:rsid w:val="007A0B0C"/>
    <w:rsid w:val="007A1122"/>
    <w:rsid w:val="007A127A"/>
    <w:rsid w:val="007A133E"/>
    <w:rsid w:val="007A1484"/>
    <w:rsid w:val="007A15C2"/>
    <w:rsid w:val="007A15E4"/>
    <w:rsid w:val="007A1AB2"/>
    <w:rsid w:val="007A1ABE"/>
    <w:rsid w:val="007A1ED1"/>
    <w:rsid w:val="007A25EF"/>
    <w:rsid w:val="007A2767"/>
    <w:rsid w:val="007A317B"/>
    <w:rsid w:val="007A329C"/>
    <w:rsid w:val="007A36E8"/>
    <w:rsid w:val="007A3700"/>
    <w:rsid w:val="007A3A8B"/>
    <w:rsid w:val="007A3FF9"/>
    <w:rsid w:val="007A4050"/>
    <w:rsid w:val="007A4122"/>
    <w:rsid w:val="007A419C"/>
    <w:rsid w:val="007A434A"/>
    <w:rsid w:val="007A44EF"/>
    <w:rsid w:val="007A45BF"/>
    <w:rsid w:val="007A4861"/>
    <w:rsid w:val="007A4B61"/>
    <w:rsid w:val="007A4D2F"/>
    <w:rsid w:val="007A504A"/>
    <w:rsid w:val="007A506C"/>
    <w:rsid w:val="007A5340"/>
    <w:rsid w:val="007A54F1"/>
    <w:rsid w:val="007A5609"/>
    <w:rsid w:val="007A56A6"/>
    <w:rsid w:val="007A58E3"/>
    <w:rsid w:val="007A5DB4"/>
    <w:rsid w:val="007A5DBA"/>
    <w:rsid w:val="007A5DBF"/>
    <w:rsid w:val="007A60F6"/>
    <w:rsid w:val="007A6227"/>
    <w:rsid w:val="007A6832"/>
    <w:rsid w:val="007A693F"/>
    <w:rsid w:val="007A6B08"/>
    <w:rsid w:val="007A6E20"/>
    <w:rsid w:val="007A74CE"/>
    <w:rsid w:val="007A762F"/>
    <w:rsid w:val="007A766A"/>
    <w:rsid w:val="007A7779"/>
    <w:rsid w:val="007A77BC"/>
    <w:rsid w:val="007A78DE"/>
    <w:rsid w:val="007A7926"/>
    <w:rsid w:val="007A7B16"/>
    <w:rsid w:val="007A7DBA"/>
    <w:rsid w:val="007A7DCD"/>
    <w:rsid w:val="007A7EBB"/>
    <w:rsid w:val="007A7F98"/>
    <w:rsid w:val="007B00B5"/>
    <w:rsid w:val="007B010F"/>
    <w:rsid w:val="007B0174"/>
    <w:rsid w:val="007B01FD"/>
    <w:rsid w:val="007B0363"/>
    <w:rsid w:val="007B03ED"/>
    <w:rsid w:val="007B04AC"/>
    <w:rsid w:val="007B0571"/>
    <w:rsid w:val="007B059F"/>
    <w:rsid w:val="007B0688"/>
    <w:rsid w:val="007B075A"/>
    <w:rsid w:val="007B086D"/>
    <w:rsid w:val="007B0873"/>
    <w:rsid w:val="007B0962"/>
    <w:rsid w:val="007B0A90"/>
    <w:rsid w:val="007B0E4E"/>
    <w:rsid w:val="007B0F58"/>
    <w:rsid w:val="007B0F89"/>
    <w:rsid w:val="007B1117"/>
    <w:rsid w:val="007B173B"/>
    <w:rsid w:val="007B1C3F"/>
    <w:rsid w:val="007B1D0A"/>
    <w:rsid w:val="007B1F83"/>
    <w:rsid w:val="007B2170"/>
    <w:rsid w:val="007B22FC"/>
    <w:rsid w:val="007B234E"/>
    <w:rsid w:val="007B2371"/>
    <w:rsid w:val="007B2383"/>
    <w:rsid w:val="007B283D"/>
    <w:rsid w:val="007B2965"/>
    <w:rsid w:val="007B2A58"/>
    <w:rsid w:val="007B2C23"/>
    <w:rsid w:val="007B2CA0"/>
    <w:rsid w:val="007B2D4D"/>
    <w:rsid w:val="007B2E1A"/>
    <w:rsid w:val="007B30A8"/>
    <w:rsid w:val="007B31D9"/>
    <w:rsid w:val="007B320B"/>
    <w:rsid w:val="007B3307"/>
    <w:rsid w:val="007B33EF"/>
    <w:rsid w:val="007B3604"/>
    <w:rsid w:val="007B3697"/>
    <w:rsid w:val="007B383B"/>
    <w:rsid w:val="007B3A00"/>
    <w:rsid w:val="007B3BB3"/>
    <w:rsid w:val="007B3BE2"/>
    <w:rsid w:val="007B40E2"/>
    <w:rsid w:val="007B446C"/>
    <w:rsid w:val="007B446E"/>
    <w:rsid w:val="007B44C1"/>
    <w:rsid w:val="007B4997"/>
    <w:rsid w:val="007B4BE5"/>
    <w:rsid w:val="007B4D27"/>
    <w:rsid w:val="007B4EEF"/>
    <w:rsid w:val="007B4FDC"/>
    <w:rsid w:val="007B5162"/>
    <w:rsid w:val="007B537B"/>
    <w:rsid w:val="007B540D"/>
    <w:rsid w:val="007B54DD"/>
    <w:rsid w:val="007B55AC"/>
    <w:rsid w:val="007B5615"/>
    <w:rsid w:val="007B59A9"/>
    <w:rsid w:val="007B5E95"/>
    <w:rsid w:val="007B6045"/>
    <w:rsid w:val="007B61F7"/>
    <w:rsid w:val="007B62DC"/>
    <w:rsid w:val="007B6337"/>
    <w:rsid w:val="007B64A3"/>
    <w:rsid w:val="007B6537"/>
    <w:rsid w:val="007B66F4"/>
    <w:rsid w:val="007B6758"/>
    <w:rsid w:val="007B680F"/>
    <w:rsid w:val="007B68E9"/>
    <w:rsid w:val="007B6A3E"/>
    <w:rsid w:val="007B6A65"/>
    <w:rsid w:val="007B6B26"/>
    <w:rsid w:val="007B6EE8"/>
    <w:rsid w:val="007B6FA7"/>
    <w:rsid w:val="007B72D3"/>
    <w:rsid w:val="007B74F2"/>
    <w:rsid w:val="007B797F"/>
    <w:rsid w:val="007B79FF"/>
    <w:rsid w:val="007B7A96"/>
    <w:rsid w:val="007B7BAE"/>
    <w:rsid w:val="007B7CB9"/>
    <w:rsid w:val="007B7FD6"/>
    <w:rsid w:val="007C0062"/>
    <w:rsid w:val="007C0098"/>
    <w:rsid w:val="007C0386"/>
    <w:rsid w:val="007C039A"/>
    <w:rsid w:val="007C0417"/>
    <w:rsid w:val="007C0428"/>
    <w:rsid w:val="007C0465"/>
    <w:rsid w:val="007C0679"/>
    <w:rsid w:val="007C09D0"/>
    <w:rsid w:val="007C0C37"/>
    <w:rsid w:val="007C0E1F"/>
    <w:rsid w:val="007C1192"/>
    <w:rsid w:val="007C1293"/>
    <w:rsid w:val="007C13F7"/>
    <w:rsid w:val="007C14BF"/>
    <w:rsid w:val="007C1755"/>
    <w:rsid w:val="007C1933"/>
    <w:rsid w:val="007C1A3C"/>
    <w:rsid w:val="007C1B26"/>
    <w:rsid w:val="007C1BA3"/>
    <w:rsid w:val="007C1BFF"/>
    <w:rsid w:val="007C1D4F"/>
    <w:rsid w:val="007C226B"/>
    <w:rsid w:val="007C233B"/>
    <w:rsid w:val="007C24C4"/>
    <w:rsid w:val="007C252B"/>
    <w:rsid w:val="007C2ACF"/>
    <w:rsid w:val="007C2BDF"/>
    <w:rsid w:val="007C2C51"/>
    <w:rsid w:val="007C3039"/>
    <w:rsid w:val="007C31E6"/>
    <w:rsid w:val="007C342D"/>
    <w:rsid w:val="007C3582"/>
    <w:rsid w:val="007C35D0"/>
    <w:rsid w:val="007C36CA"/>
    <w:rsid w:val="007C391F"/>
    <w:rsid w:val="007C3A89"/>
    <w:rsid w:val="007C3D5D"/>
    <w:rsid w:val="007C3DD6"/>
    <w:rsid w:val="007C3E4D"/>
    <w:rsid w:val="007C3EA2"/>
    <w:rsid w:val="007C4383"/>
    <w:rsid w:val="007C43ED"/>
    <w:rsid w:val="007C44D9"/>
    <w:rsid w:val="007C45A4"/>
    <w:rsid w:val="007C45BB"/>
    <w:rsid w:val="007C483D"/>
    <w:rsid w:val="007C49E5"/>
    <w:rsid w:val="007C4C68"/>
    <w:rsid w:val="007C4DBF"/>
    <w:rsid w:val="007C4E6D"/>
    <w:rsid w:val="007C5118"/>
    <w:rsid w:val="007C5254"/>
    <w:rsid w:val="007C525E"/>
    <w:rsid w:val="007C54DD"/>
    <w:rsid w:val="007C5551"/>
    <w:rsid w:val="007C5694"/>
    <w:rsid w:val="007C59C3"/>
    <w:rsid w:val="007C5C39"/>
    <w:rsid w:val="007C6265"/>
    <w:rsid w:val="007C62C0"/>
    <w:rsid w:val="007C6476"/>
    <w:rsid w:val="007C6572"/>
    <w:rsid w:val="007C67AC"/>
    <w:rsid w:val="007C6895"/>
    <w:rsid w:val="007C69EA"/>
    <w:rsid w:val="007C6A6D"/>
    <w:rsid w:val="007C6B7E"/>
    <w:rsid w:val="007C6C0F"/>
    <w:rsid w:val="007C6C83"/>
    <w:rsid w:val="007C6EFD"/>
    <w:rsid w:val="007C6FBB"/>
    <w:rsid w:val="007C710C"/>
    <w:rsid w:val="007C7209"/>
    <w:rsid w:val="007C74B5"/>
    <w:rsid w:val="007C74C3"/>
    <w:rsid w:val="007C75C9"/>
    <w:rsid w:val="007C785B"/>
    <w:rsid w:val="007C78A0"/>
    <w:rsid w:val="007C7A42"/>
    <w:rsid w:val="007C7A4B"/>
    <w:rsid w:val="007C7AC5"/>
    <w:rsid w:val="007C7AED"/>
    <w:rsid w:val="007C7BBB"/>
    <w:rsid w:val="007C7F68"/>
    <w:rsid w:val="007C7F79"/>
    <w:rsid w:val="007C7FE1"/>
    <w:rsid w:val="007D0038"/>
    <w:rsid w:val="007D0139"/>
    <w:rsid w:val="007D0211"/>
    <w:rsid w:val="007D0218"/>
    <w:rsid w:val="007D02AF"/>
    <w:rsid w:val="007D05C5"/>
    <w:rsid w:val="007D05D3"/>
    <w:rsid w:val="007D066E"/>
    <w:rsid w:val="007D0C60"/>
    <w:rsid w:val="007D0FF1"/>
    <w:rsid w:val="007D107F"/>
    <w:rsid w:val="007D126A"/>
    <w:rsid w:val="007D15C1"/>
    <w:rsid w:val="007D1758"/>
    <w:rsid w:val="007D17EE"/>
    <w:rsid w:val="007D1922"/>
    <w:rsid w:val="007D1A11"/>
    <w:rsid w:val="007D1C12"/>
    <w:rsid w:val="007D1D43"/>
    <w:rsid w:val="007D1DCB"/>
    <w:rsid w:val="007D21A9"/>
    <w:rsid w:val="007D2205"/>
    <w:rsid w:val="007D24F0"/>
    <w:rsid w:val="007D2737"/>
    <w:rsid w:val="007D2AAE"/>
    <w:rsid w:val="007D2CE4"/>
    <w:rsid w:val="007D2F48"/>
    <w:rsid w:val="007D2FDD"/>
    <w:rsid w:val="007D3035"/>
    <w:rsid w:val="007D3128"/>
    <w:rsid w:val="007D3296"/>
    <w:rsid w:val="007D32F8"/>
    <w:rsid w:val="007D334A"/>
    <w:rsid w:val="007D33C4"/>
    <w:rsid w:val="007D34AF"/>
    <w:rsid w:val="007D3512"/>
    <w:rsid w:val="007D36FE"/>
    <w:rsid w:val="007D38EC"/>
    <w:rsid w:val="007D3C8B"/>
    <w:rsid w:val="007D3DF1"/>
    <w:rsid w:val="007D3EDF"/>
    <w:rsid w:val="007D40AC"/>
    <w:rsid w:val="007D4188"/>
    <w:rsid w:val="007D41FF"/>
    <w:rsid w:val="007D4291"/>
    <w:rsid w:val="007D42D9"/>
    <w:rsid w:val="007D46B8"/>
    <w:rsid w:val="007D46E2"/>
    <w:rsid w:val="007D486C"/>
    <w:rsid w:val="007D4A3C"/>
    <w:rsid w:val="007D5046"/>
    <w:rsid w:val="007D51F2"/>
    <w:rsid w:val="007D57A1"/>
    <w:rsid w:val="007D58F3"/>
    <w:rsid w:val="007D5C5C"/>
    <w:rsid w:val="007D5D48"/>
    <w:rsid w:val="007D61C2"/>
    <w:rsid w:val="007D63BD"/>
    <w:rsid w:val="007D66AE"/>
    <w:rsid w:val="007D671D"/>
    <w:rsid w:val="007D67BD"/>
    <w:rsid w:val="007D69B1"/>
    <w:rsid w:val="007D6A20"/>
    <w:rsid w:val="007D6AB9"/>
    <w:rsid w:val="007D6B05"/>
    <w:rsid w:val="007D6B42"/>
    <w:rsid w:val="007D6DCA"/>
    <w:rsid w:val="007D6E3A"/>
    <w:rsid w:val="007D709B"/>
    <w:rsid w:val="007D70E0"/>
    <w:rsid w:val="007D7103"/>
    <w:rsid w:val="007D766F"/>
    <w:rsid w:val="007D77CA"/>
    <w:rsid w:val="007D7932"/>
    <w:rsid w:val="007D795D"/>
    <w:rsid w:val="007D7A2E"/>
    <w:rsid w:val="007D7BC0"/>
    <w:rsid w:val="007D7C2F"/>
    <w:rsid w:val="007D7FC6"/>
    <w:rsid w:val="007E017E"/>
    <w:rsid w:val="007E0280"/>
    <w:rsid w:val="007E0464"/>
    <w:rsid w:val="007E0C24"/>
    <w:rsid w:val="007E12CB"/>
    <w:rsid w:val="007E12F0"/>
    <w:rsid w:val="007E1548"/>
    <w:rsid w:val="007E1554"/>
    <w:rsid w:val="007E192B"/>
    <w:rsid w:val="007E1CDA"/>
    <w:rsid w:val="007E1DAC"/>
    <w:rsid w:val="007E1DCB"/>
    <w:rsid w:val="007E237D"/>
    <w:rsid w:val="007E2761"/>
    <w:rsid w:val="007E2C05"/>
    <w:rsid w:val="007E2C81"/>
    <w:rsid w:val="007E2D05"/>
    <w:rsid w:val="007E32C5"/>
    <w:rsid w:val="007E349E"/>
    <w:rsid w:val="007E34E7"/>
    <w:rsid w:val="007E355F"/>
    <w:rsid w:val="007E37D7"/>
    <w:rsid w:val="007E39BF"/>
    <w:rsid w:val="007E3A68"/>
    <w:rsid w:val="007E3B70"/>
    <w:rsid w:val="007E3C7F"/>
    <w:rsid w:val="007E3D75"/>
    <w:rsid w:val="007E41A0"/>
    <w:rsid w:val="007E428D"/>
    <w:rsid w:val="007E431D"/>
    <w:rsid w:val="007E470C"/>
    <w:rsid w:val="007E48B7"/>
    <w:rsid w:val="007E4B24"/>
    <w:rsid w:val="007E4FA8"/>
    <w:rsid w:val="007E4FC9"/>
    <w:rsid w:val="007E508D"/>
    <w:rsid w:val="007E5101"/>
    <w:rsid w:val="007E525A"/>
    <w:rsid w:val="007E53D2"/>
    <w:rsid w:val="007E54AC"/>
    <w:rsid w:val="007E551C"/>
    <w:rsid w:val="007E5824"/>
    <w:rsid w:val="007E5890"/>
    <w:rsid w:val="007E5909"/>
    <w:rsid w:val="007E5C0E"/>
    <w:rsid w:val="007E5EDB"/>
    <w:rsid w:val="007E600C"/>
    <w:rsid w:val="007E6011"/>
    <w:rsid w:val="007E6288"/>
    <w:rsid w:val="007E62A9"/>
    <w:rsid w:val="007E62EE"/>
    <w:rsid w:val="007E62F7"/>
    <w:rsid w:val="007E6485"/>
    <w:rsid w:val="007E67D4"/>
    <w:rsid w:val="007E6935"/>
    <w:rsid w:val="007E6C8E"/>
    <w:rsid w:val="007E6CA2"/>
    <w:rsid w:val="007E6E44"/>
    <w:rsid w:val="007E6E6D"/>
    <w:rsid w:val="007E6EBB"/>
    <w:rsid w:val="007E6F6A"/>
    <w:rsid w:val="007E75D6"/>
    <w:rsid w:val="007E772B"/>
    <w:rsid w:val="007E7743"/>
    <w:rsid w:val="007E7C36"/>
    <w:rsid w:val="007E7E30"/>
    <w:rsid w:val="007E7FE2"/>
    <w:rsid w:val="007F0124"/>
    <w:rsid w:val="007F0150"/>
    <w:rsid w:val="007F017D"/>
    <w:rsid w:val="007F0276"/>
    <w:rsid w:val="007F04A9"/>
    <w:rsid w:val="007F05B2"/>
    <w:rsid w:val="007F06B1"/>
    <w:rsid w:val="007F07DD"/>
    <w:rsid w:val="007F09E0"/>
    <w:rsid w:val="007F0BE1"/>
    <w:rsid w:val="007F0DE2"/>
    <w:rsid w:val="007F1056"/>
    <w:rsid w:val="007F12D8"/>
    <w:rsid w:val="007F12D9"/>
    <w:rsid w:val="007F167E"/>
    <w:rsid w:val="007F17E4"/>
    <w:rsid w:val="007F1B7D"/>
    <w:rsid w:val="007F1CEC"/>
    <w:rsid w:val="007F1EEC"/>
    <w:rsid w:val="007F1F14"/>
    <w:rsid w:val="007F250F"/>
    <w:rsid w:val="007F258B"/>
    <w:rsid w:val="007F25D8"/>
    <w:rsid w:val="007F28E7"/>
    <w:rsid w:val="007F2FF0"/>
    <w:rsid w:val="007F31BB"/>
    <w:rsid w:val="007F3488"/>
    <w:rsid w:val="007F36C8"/>
    <w:rsid w:val="007F3C22"/>
    <w:rsid w:val="007F3DBF"/>
    <w:rsid w:val="007F3F30"/>
    <w:rsid w:val="007F41B1"/>
    <w:rsid w:val="007F4269"/>
    <w:rsid w:val="007F4C50"/>
    <w:rsid w:val="007F4CB6"/>
    <w:rsid w:val="007F4CC8"/>
    <w:rsid w:val="007F4CF7"/>
    <w:rsid w:val="007F4D80"/>
    <w:rsid w:val="007F4E66"/>
    <w:rsid w:val="007F4ED7"/>
    <w:rsid w:val="007F4F41"/>
    <w:rsid w:val="007F50AB"/>
    <w:rsid w:val="007F50CA"/>
    <w:rsid w:val="007F5318"/>
    <w:rsid w:val="007F53C2"/>
    <w:rsid w:val="007F54BB"/>
    <w:rsid w:val="007F5532"/>
    <w:rsid w:val="007F5732"/>
    <w:rsid w:val="007F5862"/>
    <w:rsid w:val="007F59DD"/>
    <w:rsid w:val="007F5E25"/>
    <w:rsid w:val="007F61C4"/>
    <w:rsid w:val="007F63C4"/>
    <w:rsid w:val="007F647C"/>
    <w:rsid w:val="007F647E"/>
    <w:rsid w:val="007F675A"/>
    <w:rsid w:val="007F680C"/>
    <w:rsid w:val="007F684B"/>
    <w:rsid w:val="007F6A65"/>
    <w:rsid w:val="007F6ACD"/>
    <w:rsid w:val="007F6DDA"/>
    <w:rsid w:val="007F7117"/>
    <w:rsid w:val="007F7263"/>
    <w:rsid w:val="007F72AC"/>
    <w:rsid w:val="007F76DC"/>
    <w:rsid w:val="007F7825"/>
    <w:rsid w:val="007F794B"/>
    <w:rsid w:val="007F79C0"/>
    <w:rsid w:val="007F7ACF"/>
    <w:rsid w:val="007F7B7D"/>
    <w:rsid w:val="007F7C44"/>
    <w:rsid w:val="007F7E80"/>
    <w:rsid w:val="00800006"/>
    <w:rsid w:val="008005D3"/>
    <w:rsid w:val="00800652"/>
    <w:rsid w:val="008006B4"/>
    <w:rsid w:val="00800770"/>
    <w:rsid w:val="0080088E"/>
    <w:rsid w:val="00800890"/>
    <w:rsid w:val="00800ADE"/>
    <w:rsid w:val="00800AF4"/>
    <w:rsid w:val="00800D4D"/>
    <w:rsid w:val="00800E61"/>
    <w:rsid w:val="0080116D"/>
    <w:rsid w:val="008011E8"/>
    <w:rsid w:val="008012EB"/>
    <w:rsid w:val="00801560"/>
    <w:rsid w:val="00801592"/>
    <w:rsid w:val="00801964"/>
    <w:rsid w:val="00801A9A"/>
    <w:rsid w:val="00802178"/>
    <w:rsid w:val="00802213"/>
    <w:rsid w:val="00802273"/>
    <w:rsid w:val="00802290"/>
    <w:rsid w:val="008022D3"/>
    <w:rsid w:val="008026A3"/>
    <w:rsid w:val="00802780"/>
    <w:rsid w:val="008029EC"/>
    <w:rsid w:val="008029F5"/>
    <w:rsid w:val="0080301A"/>
    <w:rsid w:val="0080305D"/>
    <w:rsid w:val="00803066"/>
    <w:rsid w:val="00803A6D"/>
    <w:rsid w:val="00803A8F"/>
    <w:rsid w:val="00803AE5"/>
    <w:rsid w:val="00803D40"/>
    <w:rsid w:val="00803D5E"/>
    <w:rsid w:val="00803FAE"/>
    <w:rsid w:val="008042B3"/>
    <w:rsid w:val="00804332"/>
    <w:rsid w:val="00804379"/>
    <w:rsid w:val="0080446C"/>
    <w:rsid w:val="0080451B"/>
    <w:rsid w:val="00804682"/>
    <w:rsid w:val="008048D7"/>
    <w:rsid w:val="00804A74"/>
    <w:rsid w:val="00804ABC"/>
    <w:rsid w:val="00804B66"/>
    <w:rsid w:val="00804CEF"/>
    <w:rsid w:val="00804D4D"/>
    <w:rsid w:val="00804D9E"/>
    <w:rsid w:val="00804E5A"/>
    <w:rsid w:val="0080506D"/>
    <w:rsid w:val="00805121"/>
    <w:rsid w:val="00805138"/>
    <w:rsid w:val="00805559"/>
    <w:rsid w:val="0080571C"/>
    <w:rsid w:val="00805797"/>
    <w:rsid w:val="008059B7"/>
    <w:rsid w:val="008059DA"/>
    <w:rsid w:val="00805A72"/>
    <w:rsid w:val="00805B55"/>
    <w:rsid w:val="00805B9B"/>
    <w:rsid w:val="00805D1D"/>
    <w:rsid w:val="00805E3C"/>
    <w:rsid w:val="00805E5B"/>
    <w:rsid w:val="00805FCB"/>
    <w:rsid w:val="0080612C"/>
    <w:rsid w:val="00806232"/>
    <w:rsid w:val="00806247"/>
    <w:rsid w:val="0080695F"/>
    <w:rsid w:val="00806AEF"/>
    <w:rsid w:val="00806E6F"/>
    <w:rsid w:val="00806E83"/>
    <w:rsid w:val="00806EA3"/>
    <w:rsid w:val="008071AD"/>
    <w:rsid w:val="00807213"/>
    <w:rsid w:val="00807347"/>
    <w:rsid w:val="00807362"/>
    <w:rsid w:val="00807425"/>
    <w:rsid w:val="00807427"/>
    <w:rsid w:val="0080769A"/>
    <w:rsid w:val="008078A2"/>
    <w:rsid w:val="008079AE"/>
    <w:rsid w:val="00807A62"/>
    <w:rsid w:val="0081023A"/>
    <w:rsid w:val="00810367"/>
    <w:rsid w:val="008103E4"/>
    <w:rsid w:val="00810919"/>
    <w:rsid w:val="0081096B"/>
    <w:rsid w:val="00810AB8"/>
    <w:rsid w:val="00810AC7"/>
    <w:rsid w:val="00810EA3"/>
    <w:rsid w:val="008113D5"/>
    <w:rsid w:val="0081188B"/>
    <w:rsid w:val="008118EE"/>
    <w:rsid w:val="00811B47"/>
    <w:rsid w:val="00811EBF"/>
    <w:rsid w:val="00812027"/>
    <w:rsid w:val="00812106"/>
    <w:rsid w:val="00812118"/>
    <w:rsid w:val="008122C5"/>
    <w:rsid w:val="00812429"/>
    <w:rsid w:val="008124A6"/>
    <w:rsid w:val="0081293D"/>
    <w:rsid w:val="00812A52"/>
    <w:rsid w:val="00812C29"/>
    <w:rsid w:val="00812CA0"/>
    <w:rsid w:val="00812EAF"/>
    <w:rsid w:val="00812F7E"/>
    <w:rsid w:val="0081319E"/>
    <w:rsid w:val="00813269"/>
    <w:rsid w:val="00813413"/>
    <w:rsid w:val="008137BC"/>
    <w:rsid w:val="00813839"/>
    <w:rsid w:val="00813CDD"/>
    <w:rsid w:val="00813D69"/>
    <w:rsid w:val="00813F45"/>
    <w:rsid w:val="00814124"/>
    <w:rsid w:val="0081448C"/>
    <w:rsid w:val="008146AA"/>
    <w:rsid w:val="00814A02"/>
    <w:rsid w:val="00814A57"/>
    <w:rsid w:val="00814B2F"/>
    <w:rsid w:val="00814DAD"/>
    <w:rsid w:val="00814F67"/>
    <w:rsid w:val="0081518B"/>
    <w:rsid w:val="008152F9"/>
    <w:rsid w:val="00815604"/>
    <w:rsid w:val="00815672"/>
    <w:rsid w:val="00815789"/>
    <w:rsid w:val="00815885"/>
    <w:rsid w:val="0081591E"/>
    <w:rsid w:val="008159C2"/>
    <w:rsid w:val="00815AC6"/>
    <w:rsid w:val="00815F6E"/>
    <w:rsid w:val="008162E6"/>
    <w:rsid w:val="0081642F"/>
    <w:rsid w:val="008164FD"/>
    <w:rsid w:val="00816502"/>
    <w:rsid w:val="008166A1"/>
    <w:rsid w:val="00816707"/>
    <w:rsid w:val="0081687B"/>
    <w:rsid w:val="00816B36"/>
    <w:rsid w:val="00816CF8"/>
    <w:rsid w:val="00816EF9"/>
    <w:rsid w:val="00817131"/>
    <w:rsid w:val="00817369"/>
    <w:rsid w:val="008173EC"/>
    <w:rsid w:val="008176C2"/>
    <w:rsid w:val="00817715"/>
    <w:rsid w:val="0081788C"/>
    <w:rsid w:val="00817A27"/>
    <w:rsid w:val="00817B6B"/>
    <w:rsid w:val="00817D5B"/>
    <w:rsid w:val="00817D99"/>
    <w:rsid w:val="00817E3A"/>
    <w:rsid w:val="008200D7"/>
    <w:rsid w:val="008201EA"/>
    <w:rsid w:val="008205C2"/>
    <w:rsid w:val="008206EE"/>
    <w:rsid w:val="0082079E"/>
    <w:rsid w:val="0082098E"/>
    <w:rsid w:val="00820A45"/>
    <w:rsid w:val="00820BAD"/>
    <w:rsid w:val="0082141C"/>
    <w:rsid w:val="008214EF"/>
    <w:rsid w:val="0082166E"/>
    <w:rsid w:val="00821971"/>
    <w:rsid w:val="00821AB1"/>
    <w:rsid w:val="00821B1F"/>
    <w:rsid w:val="00821C60"/>
    <w:rsid w:val="00821DB1"/>
    <w:rsid w:val="00821E46"/>
    <w:rsid w:val="00821EB9"/>
    <w:rsid w:val="008220BA"/>
    <w:rsid w:val="00822111"/>
    <w:rsid w:val="0082269C"/>
    <w:rsid w:val="00822D35"/>
    <w:rsid w:val="00822F19"/>
    <w:rsid w:val="00823102"/>
    <w:rsid w:val="00823112"/>
    <w:rsid w:val="008232E3"/>
    <w:rsid w:val="00823406"/>
    <w:rsid w:val="008235AF"/>
    <w:rsid w:val="00823A06"/>
    <w:rsid w:val="00823BB5"/>
    <w:rsid w:val="00823CB9"/>
    <w:rsid w:val="00823CBA"/>
    <w:rsid w:val="00823CBE"/>
    <w:rsid w:val="00823DF6"/>
    <w:rsid w:val="00823EBB"/>
    <w:rsid w:val="00823EBD"/>
    <w:rsid w:val="00823F39"/>
    <w:rsid w:val="0082401E"/>
    <w:rsid w:val="00824025"/>
    <w:rsid w:val="00824185"/>
    <w:rsid w:val="008245D8"/>
    <w:rsid w:val="00824621"/>
    <w:rsid w:val="00824703"/>
    <w:rsid w:val="00824743"/>
    <w:rsid w:val="00824794"/>
    <w:rsid w:val="00824902"/>
    <w:rsid w:val="00824D90"/>
    <w:rsid w:val="00824E20"/>
    <w:rsid w:val="00824E66"/>
    <w:rsid w:val="0082520E"/>
    <w:rsid w:val="008252C6"/>
    <w:rsid w:val="008254C3"/>
    <w:rsid w:val="00825644"/>
    <w:rsid w:val="00825705"/>
    <w:rsid w:val="008258A6"/>
    <w:rsid w:val="008258D3"/>
    <w:rsid w:val="008259FD"/>
    <w:rsid w:val="00825C37"/>
    <w:rsid w:val="00825CA1"/>
    <w:rsid w:val="00825E51"/>
    <w:rsid w:val="00825FFA"/>
    <w:rsid w:val="00826546"/>
    <w:rsid w:val="0082659D"/>
    <w:rsid w:val="008266CD"/>
    <w:rsid w:val="00826A8A"/>
    <w:rsid w:val="00826B26"/>
    <w:rsid w:val="00826D78"/>
    <w:rsid w:val="00826DB2"/>
    <w:rsid w:val="00826E9E"/>
    <w:rsid w:val="008270A7"/>
    <w:rsid w:val="008271E6"/>
    <w:rsid w:val="008272A1"/>
    <w:rsid w:val="008277B4"/>
    <w:rsid w:val="00827812"/>
    <w:rsid w:val="00827D36"/>
    <w:rsid w:val="00827F40"/>
    <w:rsid w:val="008300C8"/>
    <w:rsid w:val="0083028B"/>
    <w:rsid w:val="0083044E"/>
    <w:rsid w:val="008305A4"/>
    <w:rsid w:val="008306F4"/>
    <w:rsid w:val="008307C5"/>
    <w:rsid w:val="00830802"/>
    <w:rsid w:val="00830992"/>
    <w:rsid w:val="00830996"/>
    <w:rsid w:val="00830E7A"/>
    <w:rsid w:val="0083108A"/>
    <w:rsid w:val="0083129A"/>
    <w:rsid w:val="008315A7"/>
    <w:rsid w:val="00831674"/>
    <w:rsid w:val="008318CB"/>
    <w:rsid w:val="0083191D"/>
    <w:rsid w:val="00831AA8"/>
    <w:rsid w:val="00831E11"/>
    <w:rsid w:val="00831F8E"/>
    <w:rsid w:val="00831FFA"/>
    <w:rsid w:val="00832019"/>
    <w:rsid w:val="0083218E"/>
    <w:rsid w:val="00832800"/>
    <w:rsid w:val="00832806"/>
    <w:rsid w:val="00832825"/>
    <w:rsid w:val="00832891"/>
    <w:rsid w:val="0083289C"/>
    <w:rsid w:val="00832B6B"/>
    <w:rsid w:val="00832CA0"/>
    <w:rsid w:val="00832FCA"/>
    <w:rsid w:val="008330E1"/>
    <w:rsid w:val="00833274"/>
    <w:rsid w:val="00833466"/>
    <w:rsid w:val="008338D0"/>
    <w:rsid w:val="008339DE"/>
    <w:rsid w:val="00833A33"/>
    <w:rsid w:val="00833A51"/>
    <w:rsid w:val="00833AD1"/>
    <w:rsid w:val="00833B7C"/>
    <w:rsid w:val="00833E1E"/>
    <w:rsid w:val="00833EE5"/>
    <w:rsid w:val="00833F03"/>
    <w:rsid w:val="00833F79"/>
    <w:rsid w:val="0083401A"/>
    <w:rsid w:val="00834146"/>
    <w:rsid w:val="0083462E"/>
    <w:rsid w:val="008346BD"/>
    <w:rsid w:val="00834711"/>
    <w:rsid w:val="00834A0F"/>
    <w:rsid w:val="00834D66"/>
    <w:rsid w:val="00835027"/>
    <w:rsid w:val="008350D0"/>
    <w:rsid w:val="00835151"/>
    <w:rsid w:val="008351D3"/>
    <w:rsid w:val="0083538E"/>
    <w:rsid w:val="0083554D"/>
    <w:rsid w:val="00835693"/>
    <w:rsid w:val="00835AE2"/>
    <w:rsid w:val="00835B34"/>
    <w:rsid w:val="00835B88"/>
    <w:rsid w:val="00835C5F"/>
    <w:rsid w:val="00836281"/>
    <w:rsid w:val="008364F6"/>
    <w:rsid w:val="00836801"/>
    <w:rsid w:val="00836E19"/>
    <w:rsid w:val="00836F7A"/>
    <w:rsid w:val="00837047"/>
    <w:rsid w:val="00837111"/>
    <w:rsid w:val="00837229"/>
    <w:rsid w:val="008372A8"/>
    <w:rsid w:val="008372F9"/>
    <w:rsid w:val="00837434"/>
    <w:rsid w:val="00837454"/>
    <w:rsid w:val="00837531"/>
    <w:rsid w:val="008375B1"/>
    <w:rsid w:val="008377C8"/>
    <w:rsid w:val="00837A00"/>
    <w:rsid w:val="00837A40"/>
    <w:rsid w:val="00837BC1"/>
    <w:rsid w:val="00837D5F"/>
    <w:rsid w:val="00837FC0"/>
    <w:rsid w:val="00840123"/>
    <w:rsid w:val="00840387"/>
    <w:rsid w:val="00840611"/>
    <w:rsid w:val="00840637"/>
    <w:rsid w:val="00840770"/>
    <w:rsid w:val="00840791"/>
    <w:rsid w:val="00840970"/>
    <w:rsid w:val="008409E0"/>
    <w:rsid w:val="0084106A"/>
    <w:rsid w:val="008413D5"/>
    <w:rsid w:val="0084140C"/>
    <w:rsid w:val="00841454"/>
    <w:rsid w:val="008414AC"/>
    <w:rsid w:val="008416E0"/>
    <w:rsid w:val="0084174A"/>
    <w:rsid w:val="00841A12"/>
    <w:rsid w:val="00841E13"/>
    <w:rsid w:val="00841FF3"/>
    <w:rsid w:val="00841FFA"/>
    <w:rsid w:val="00842338"/>
    <w:rsid w:val="00842354"/>
    <w:rsid w:val="008423F0"/>
    <w:rsid w:val="0084288D"/>
    <w:rsid w:val="00842A2B"/>
    <w:rsid w:val="00842C5E"/>
    <w:rsid w:val="00842D89"/>
    <w:rsid w:val="00843202"/>
    <w:rsid w:val="00843309"/>
    <w:rsid w:val="00843497"/>
    <w:rsid w:val="00843540"/>
    <w:rsid w:val="0084355B"/>
    <w:rsid w:val="008435FE"/>
    <w:rsid w:val="00843707"/>
    <w:rsid w:val="0084382B"/>
    <w:rsid w:val="00843867"/>
    <w:rsid w:val="0084386D"/>
    <w:rsid w:val="00843978"/>
    <w:rsid w:val="00843A02"/>
    <w:rsid w:val="00843B34"/>
    <w:rsid w:val="00843C6C"/>
    <w:rsid w:val="00843C7E"/>
    <w:rsid w:val="00843F3F"/>
    <w:rsid w:val="00844241"/>
    <w:rsid w:val="0084435D"/>
    <w:rsid w:val="008446B5"/>
    <w:rsid w:val="00844941"/>
    <w:rsid w:val="00844C9D"/>
    <w:rsid w:val="00844EE0"/>
    <w:rsid w:val="00845087"/>
    <w:rsid w:val="00845307"/>
    <w:rsid w:val="00845478"/>
    <w:rsid w:val="00845501"/>
    <w:rsid w:val="008455C5"/>
    <w:rsid w:val="008456CA"/>
    <w:rsid w:val="00845722"/>
    <w:rsid w:val="00845812"/>
    <w:rsid w:val="008459D5"/>
    <w:rsid w:val="00845BE7"/>
    <w:rsid w:val="00845C27"/>
    <w:rsid w:val="0084613B"/>
    <w:rsid w:val="00846178"/>
    <w:rsid w:val="0084634E"/>
    <w:rsid w:val="0084641E"/>
    <w:rsid w:val="00846622"/>
    <w:rsid w:val="0084669B"/>
    <w:rsid w:val="0084693F"/>
    <w:rsid w:val="0084695C"/>
    <w:rsid w:val="00846BA1"/>
    <w:rsid w:val="00846CBD"/>
    <w:rsid w:val="00846D54"/>
    <w:rsid w:val="00846D90"/>
    <w:rsid w:val="00847149"/>
    <w:rsid w:val="00847314"/>
    <w:rsid w:val="0084742E"/>
    <w:rsid w:val="00847465"/>
    <w:rsid w:val="0084752E"/>
    <w:rsid w:val="00847706"/>
    <w:rsid w:val="008477D2"/>
    <w:rsid w:val="008479FB"/>
    <w:rsid w:val="00847B19"/>
    <w:rsid w:val="00847CF9"/>
    <w:rsid w:val="00847E5B"/>
    <w:rsid w:val="0085021B"/>
    <w:rsid w:val="00850328"/>
    <w:rsid w:val="0085048F"/>
    <w:rsid w:val="008505A7"/>
    <w:rsid w:val="00850756"/>
    <w:rsid w:val="00850BC9"/>
    <w:rsid w:val="00850C07"/>
    <w:rsid w:val="00850C20"/>
    <w:rsid w:val="00850EC9"/>
    <w:rsid w:val="0085148A"/>
    <w:rsid w:val="00851516"/>
    <w:rsid w:val="00851671"/>
    <w:rsid w:val="0085167D"/>
    <w:rsid w:val="008516F1"/>
    <w:rsid w:val="008518EC"/>
    <w:rsid w:val="00851931"/>
    <w:rsid w:val="00851A09"/>
    <w:rsid w:val="00851A52"/>
    <w:rsid w:val="00851DF5"/>
    <w:rsid w:val="00851E66"/>
    <w:rsid w:val="00851F26"/>
    <w:rsid w:val="00851F3C"/>
    <w:rsid w:val="0085214F"/>
    <w:rsid w:val="0085226E"/>
    <w:rsid w:val="008522CE"/>
    <w:rsid w:val="0085233A"/>
    <w:rsid w:val="0085238C"/>
    <w:rsid w:val="00852392"/>
    <w:rsid w:val="008526C9"/>
    <w:rsid w:val="0085280F"/>
    <w:rsid w:val="00852A36"/>
    <w:rsid w:val="00852B79"/>
    <w:rsid w:val="00852FB4"/>
    <w:rsid w:val="00853067"/>
    <w:rsid w:val="00853085"/>
    <w:rsid w:val="0085327E"/>
    <w:rsid w:val="00853392"/>
    <w:rsid w:val="008533DF"/>
    <w:rsid w:val="008535A7"/>
    <w:rsid w:val="00853788"/>
    <w:rsid w:val="00853A4B"/>
    <w:rsid w:val="00853ABE"/>
    <w:rsid w:val="00853AFE"/>
    <w:rsid w:val="00853CC8"/>
    <w:rsid w:val="00853F78"/>
    <w:rsid w:val="0085466C"/>
    <w:rsid w:val="00854859"/>
    <w:rsid w:val="00854A5E"/>
    <w:rsid w:val="00854B82"/>
    <w:rsid w:val="00854D16"/>
    <w:rsid w:val="00854E0E"/>
    <w:rsid w:val="0085507F"/>
    <w:rsid w:val="00855819"/>
    <w:rsid w:val="008559C9"/>
    <w:rsid w:val="00855A24"/>
    <w:rsid w:val="00855D09"/>
    <w:rsid w:val="00855D60"/>
    <w:rsid w:val="00855DA6"/>
    <w:rsid w:val="00855DCE"/>
    <w:rsid w:val="00856074"/>
    <w:rsid w:val="0085616F"/>
    <w:rsid w:val="0085621A"/>
    <w:rsid w:val="00856528"/>
    <w:rsid w:val="008567CF"/>
    <w:rsid w:val="00856A16"/>
    <w:rsid w:val="00856BAD"/>
    <w:rsid w:val="00856C13"/>
    <w:rsid w:val="00856CF4"/>
    <w:rsid w:val="00856D6D"/>
    <w:rsid w:val="00856F5E"/>
    <w:rsid w:val="008577B6"/>
    <w:rsid w:val="00857B67"/>
    <w:rsid w:val="00857CE2"/>
    <w:rsid w:val="00857DF8"/>
    <w:rsid w:val="00860048"/>
    <w:rsid w:val="008601C8"/>
    <w:rsid w:val="008602CA"/>
    <w:rsid w:val="008602D3"/>
    <w:rsid w:val="00860358"/>
    <w:rsid w:val="00860372"/>
    <w:rsid w:val="008603D9"/>
    <w:rsid w:val="008607A8"/>
    <w:rsid w:val="00860A5D"/>
    <w:rsid w:val="00860ACD"/>
    <w:rsid w:val="00860AD4"/>
    <w:rsid w:val="00860CB6"/>
    <w:rsid w:val="00860FC7"/>
    <w:rsid w:val="0086101B"/>
    <w:rsid w:val="00861048"/>
    <w:rsid w:val="00861095"/>
    <w:rsid w:val="0086122E"/>
    <w:rsid w:val="008612E8"/>
    <w:rsid w:val="0086131D"/>
    <w:rsid w:val="008613F5"/>
    <w:rsid w:val="008614D8"/>
    <w:rsid w:val="0086164C"/>
    <w:rsid w:val="0086172E"/>
    <w:rsid w:val="00861792"/>
    <w:rsid w:val="00861928"/>
    <w:rsid w:val="00861ABC"/>
    <w:rsid w:val="00861AED"/>
    <w:rsid w:val="00861C99"/>
    <w:rsid w:val="00861EA2"/>
    <w:rsid w:val="00861F67"/>
    <w:rsid w:val="00861F75"/>
    <w:rsid w:val="00861FBB"/>
    <w:rsid w:val="008620EE"/>
    <w:rsid w:val="008620F7"/>
    <w:rsid w:val="00862300"/>
    <w:rsid w:val="008624A8"/>
    <w:rsid w:val="00862561"/>
    <w:rsid w:val="00862668"/>
    <w:rsid w:val="008627D0"/>
    <w:rsid w:val="008627DA"/>
    <w:rsid w:val="00862841"/>
    <w:rsid w:val="0086299B"/>
    <w:rsid w:val="008629F9"/>
    <w:rsid w:val="0086312C"/>
    <w:rsid w:val="008632B0"/>
    <w:rsid w:val="008632E5"/>
    <w:rsid w:val="008633A9"/>
    <w:rsid w:val="00863407"/>
    <w:rsid w:val="00863443"/>
    <w:rsid w:val="0086349C"/>
    <w:rsid w:val="00863598"/>
    <w:rsid w:val="008637EA"/>
    <w:rsid w:val="00863954"/>
    <w:rsid w:val="00863B21"/>
    <w:rsid w:val="00863B38"/>
    <w:rsid w:val="00863BB2"/>
    <w:rsid w:val="00863D67"/>
    <w:rsid w:val="00864176"/>
    <w:rsid w:val="00864375"/>
    <w:rsid w:val="008647C2"/>
    <w:rsid w:val="008648DE"/>
    <w:rsid w:val="00864A94"/>
    <w:rsid w:val="00864AEA"/>
    <w:rsid w:val="00864AEF"/>
    <w:rsid w:val="00864B20"/>
    <w:rsid w:val="00864B79"/>
    <w:rsid w:val="00864D74"/>
    <w:rsid w:val="00865389"/>
    <w:rsid w:val="0086548F"/>
    <w:rsid w:val="008654AA"/>
    <w:rsid w:val="0086557E"/>
    <w:rsid w:val="008658D6"/>
    <w:rsid w:val="008659DD"/>
    <w:rsid w:val="00865B87"/>
    <w:rsid w:val="00865B9A"/>
    <w:rsid w:val="00865E27"/>
    <w:rsid w:val="00865E9E"/>
    <w:rsid w:val="0086605E"/>
    <w:rsid w:val="00866224"/>
    <w:rsid w:val="008662E6"/>
    <w:rsid w:val="008663B1"/>
    <w:rsid w:val="008664D8"/>
    <w:rsid w:val="00866508"/>
    <w:rsid w:val="00866554"/>
    <w:rsid w:val="00866745"/>
    <w:rsid w:val="0086689D"/>
    <w:rsid w:val="008668D7"/>
    <w:rsid w:val="00866DE4"/>
    <w:rsid w:val="00866FFC"/>
    <w:rsid w:val="0086709A"/>
    <w:rsid w:val="00867246"/>
    <w:rsid w:val="008676A6"/>
    <w:rsid w:val="008677F7"/>
    <w:rsid w:val="0086787B"/>
    <w:rsid w:val="00867892"/>
    <w:rsid w:val="0086799F"/>
    <w:rsid w:val="00867A49"/>
    <w:rsid w:val="00867B38"/>
    <w:rsid w:val="00867BA9"/>
    <w:rsid w:val="00867D15"/>
    <w:rsid w:val="00867D9D"/>
    <w:rsid w:val="00867DFA"/>
    <w:rsid w:val="00867E59"/>
    <w:rsid w:val="00870038"/>
    <w:rsid w:val="008701AB"/>
    <w:rsid w:val="0087052B"/>
    <w:rsid w:val="008709F3"/>
    <w:rsid w:val="00870A11"/>
    <w:rsid w:val="00870B7E"/>
    <w:rsid w:val="00870D29"/>
    <w:rsid w:val="00870D8C"/>
    <w:rsid w:val="00870DF0"/>
    <w:rsid w:val="00870E33"/>
    <w:rsid w:val="00871185"/>
    <w:rsid w:val="00871205"/>
    <w:rsid w:val="008712FE"/>
    <w:rsid w:val="00871352"/>
    <w:rsid w:val="0087171D"/>
    <w:rsid w:val="008717BB"/>
    <w:rsid w:val="00871933"/>
    <w:rsid w:val="008719AA"/>
    <w:rsid w:val="00871C9B"/>
    <w:rsid w:val="00871CDB"/>
    <w:rsid w:val="00871D2C"/>
    <w:rsid w:val="00871D38"/>
    <w:rsid w:val="00871DDE"/>
    <w:rsid w:val="00871F45"/>
    <w:rsid w:val="0087203F"/>
    <w:rsid w:val="0087204E"/>
    <w:rsid w:val="00872122"/>
    <w:rsid w:val="0087225B"/>
    <w:rsid w:val="00872944"/>
    <w:rsid w:val="00872DE8"/>
    <w:rsid w:val="00872FC2"/>
    <w:rsid w:val="008731BB"/>
    <w:rsid w:val="0087337C"/>
    <w:rsid w:val="008734AE"/>
    <w:rsid w:val="008735B9"/>
    <w:rsid w:val="00873623"/>
    <w:rsid w:val="0087362C"/>
    <w:rsid w:val="0087386D"/>
    <w:rsid w:val="00873995"/>
    <w:rsid w:val="00873A33"/>
    <w:rsid w:val="00873B76"/>
    <w:rsid w:val="00873BC3"/>
    <w:rsid w:val="00873FC9"/>
    <w:rsid w:val="00873FF2"/>
    <w:rsid w:val="00874022"/>
    <w:rsid w:val="0087402F"/>
    <w:rsid w:val="008740C9"/>
    <w:rsid w:val="0087419E"/>
    <w:rsid w:val="00874222"/>
    <w:rsid w:val="0087437B"/>
    <w:rsid w:val="00874490"/>
    <w:rsid w:val="00874520"/>
    <w:rsid w:val="0087464B"/>
    <w:rsid w:val="0087465C"/>
    <w:rsid w:val="00874676"/>
    <w:rsid w:val="008746F2"/>
    <w:rsid w:val="0087478E"/>
    <w:rsid w:val="008747F3"/>
    <w:rsid w:val="00874AB4"/>
    <w:rsid w:val="00874B13"/>
    <w:rsid w:val="00874D25"/>
    <w:rsid w:val="00874D2F"/>
    <w:rsid w:val="00874DE2"/>
    <w:rsid w:val="00874EA7"/>
    <w:rsid w:val="00874FB6"/>
    <w:rsid w:val="0087501F"/>
    <w:rsid w:val="00875507"/>
    <w:rsid w:val="00875545"/>
    <w:rsid w:val="0087570D"/>
    <w:rsid w:val="0087580F"/>
    <w:rsid w:val="00875A0F"/>
    <w:rsid w:val="00875C3F"/>
    <w:rsid w:val="00875C79"/>
    <w:rsid w:val="00875CD3"/>
    <w:rsid w:val="00875D7C"/>
    <w:rsid w:val="00875DEE"/>
    <w:rsid w:val="00875EE6"/>
    <w:rsid w:val="00875F2C"/>
    <w:rsid w:val="00876027"/>
    <w:rsid w:val="00876143"/>
    <w:rsid w:val="00876154"/>
    <w:rsid w:val="008761B6"/>
    <w:rsid w:val="00876542"/>
    <w:rsid w:val="00876B17"/>
    <w:rsid w:val="00876C38"/>
    <w:rsid w:val="00876E5C"/>
    <w:rsid w:val="00876F1C"/>
    <w:rsid w:val="00877177"/>
    <w:rsid w:val="0087738F"/>
    <w:rsid w:val="0087759A"/>
    <w:rsid w:val="00877BD8"/>
    <w:rsid w:val="00877C60"/>
    <w:rsid w:val="00877C65"/>
    <w:rsid w:val="00877ECB"/>
    <w:rsid w:val="008803C1"/>
    <w:rsid w:val="00880570"/>
    <w:rsid w:val="008809CE"/>
    <w:rsid w:val="00880A4B"/>
    <w:rsid w:val="00880B80"/>
    <w:rsid w:val="00880C07"/>
    <w:rsid w:val="00880C0A"/>
    <w:rsid w:val="00880DDA"/>
    <w:rsid w:val="00880E81"/>
    <w:rsid w:val="00880E8F"/>
    <w:rsid w:val="00881018"/>
    <w:rsid w:val="00881134"/>
    <w:rsid w:val="008813B3"/>
    <w:rsid w:val="0088154D"/>
    <w:rsid w:val="008816D9"/>
    <w:rsid w:val="008819D9"/>
    <w:rsid w:val="00881A17"/>
    <w:rsid w:val="00881AF0"/>
    <w:rsid w:val="00881BED"/>
    <w:rsid w:val="00881D81"/>
    <w:rsid w:val="00881EAB"/>
    <w:rsid w:val="0088204F"/>
    <w:rsid w:val="00882181"/>
    <w:rsid w:val="008821F0"/>
    <w:rsid w:val="00882246"/>
    <w:rsid w:val="008822B8"/>
    <w:rsid w:val="008824B5"/>
    <w:rsid w:val="008824B7"/>
    <w:rsid w:val="0088250F"/>
    <w:rsid w:val="008826DA"/>
    <w:rsid w:val="00882893"/>
    <w:rsid w:val="0088295C"/>
    <w:rsid w:val="00882A9B"/>
    <w:rsid w:val="00882DBA"/>
    <w:rsid w:val="00882FBD"/>
    <w:rsid w:val="00883143"/>
    <w:rsid w:val="0088386F"/>
    <w:rsid w:val="00883904"/>
    <w:rsid w:val="00883A11"/>
    <w:rsid w:val="00883D03"/>
    <w:rsid w:val="00883E29"/>
    <w:rsid w:val="00883EA0"/>
    <w:rsid w:val="00883F0A"/>
    <w:rsid w:val="00884066"/>
    <w:rsid w:val="008843A7"/>
    <w:rsid w:val="008843BF"/>
    <w:rsid w:val="008843F4"/>
    <w:rsid w:val="00884A0B"/>
    <w:rsid w:val="00884A59"/>
    <w:rsid w:val="00884C68"/>
    <w:rsid w:val="00884D7A"/>
    <w:rsid w:val="00884ED8"/>
    <w:rsid w:val="00884FDA"/>
    <w:rsid w:val="00885241"/>
    <w:rsid w:val="0088547C"/>
    <w:rsid w:val="008854FC"/>
    <w:rsid w:val="0088557B"/>
    <w:rsid w:val="00885980"/>
    <w:rsid w:val="00885DA4"/>
    <w:rsid w:val="00885ED8"/>
    <w:rsid w:val="0088608B"/>
    <w:rsid w:val="008860B3"/>
    <w:rsid w:val="0088624B"/>
    <w:rsid w:val="008862DF"/>
    <w:rsid w:val="008864D5"/>
    <w:rsid w:val="00886706"/>
    <w:rsid w:val="0088689D"/>
    <w:rsid w:val="00886C15"/>
    <w:rsid w:val="00886CB8"/>
    <w:rsid w:val="00886F9B"/>
    <w:rsid w:val="00886FCD"/>
    <w:rsid w:val="00886FEA"/>
    <w:rsid w:val="00887444"/>
    <w:rsid w:val="00887DC4"/>
    <w:rsid w:val="00887EDD"/>
    <w:rsid w:val="00887F3A"/>
    <w:rsid w:val="00890168"/>
    <w:rsid w:val="00890244"/>
    <w:rsid w:val="0089025E"/>
    <w:rsid w:val="00890287"/>
    <w:rsid w:val="00890294"/>
    <w:rsid w:val="00890492"/>
    <w:rsid w:val="008904B4"/>
    <w:rsid w:val="00890604"/>
    <w:rsid w:val="008908C4"/>
    <w:rsid w:val="008909F1"/>
    <w:rsid w:val="00890B2F"/>
    <w:rsid w:val="00890B3A"/>
    <w:rsid w:val="00890D83"/>
    <w:rsid w:val="00890DD1"/>
    <w:rsid w:val="00890E63"/>
    <w:rsid w:val="0089117A"/>
    <w:rsid w:val="00891372"/>
    <w:rsid w:val="00891426"/>
    <w:rsid w:val="008917A6"/>
    <w:rsid w:val="00891B96"/>
    <w:rsid w:val="00891C3C"/>
    <w:rsid w:val="00891DA9"/>
    <w:rsid w:val="00891DE0"/>
    <w:rsid w:val="00891FD6"/>
    <w:rsid w:val="008920EA"/>
    <w:rsid w:val="00892193"/>
    <w:rsid w:val="008924D7"/>
    <w:rsid w:val="00892A7E"/>
    <w:rsid w:val="00892B69"/>
    <w:rsid w:val="00892CB8"/>
    <w:rsid w:val="00892CD8"/>
    <w:rsid w:val="00892CDD"/>
    <w:rsid w:val="00892ED7"/>
    <w:rsid w:val="00892F3D"/>
    <w:rsid w:val="00892FAB"/>
    <w:rsid w:val="00893065"/>
    <w:rsid w:val="0089355B"/>
    <w:rsid w:val="008935EF"/>
    <w:rsid w:val="008936DA"/>
    <w:rsid w:val="00893879"/>
    <w:rsid w:val="00893919"/>
    <w:rsid w:val="00893991"/>
    <w:rsid w:val="00893B4A"/>
    <w:rsid w:val="00893CE8"/>
    <w:rsid w:val="00893F1F"/>
    <w:rsid w:val="0089419B"/>
    <w:rsid w:val="00894E1B"/>
    <w:rsid w:val="00894F0A"/>
    <w:rsid w:val="008950E0"/>
    <w:rsid w:val="0089537A"/>
    <w:rsid w:val="0089557A"/>
    <w:rsid w:val="00895A70"/>
    <w:rsid w:val="00895B77"/>
    <w:rsid w:val="00896021"/>
    <w:rsid w:val="008960B1"/>
    <w:rsid w:val="0089624B"/>
    <w:rsid w:val="0089659C"/>
    <w:rsid w:val="00896B15"/>
    <w:rsid w:val="00896BE4"/>
    <w:rsid w:val="00896CF4"/>
    <w:rsid w:val="00897176"/>
    <w:rsid w:val="00897762"/>
    <w:rsid w:val="00897A4E"/>
    <w:rsid w:val="00897CFF"/>
    <w:rsid w:val="00897D00"/>
    <w:rsid w:val="008A00DC"/>
    <w:rsid w:val="008A01BD"/>
    <w:rsid w:val="008A02CE"/>
    <w:rsid w:val="008A04DC"/>
    <w:rsid w:val="008A0A5F"/>
    <w:rsid w:val="008A0B68"/>
    <w:rsid w:val="008A0BA6"/>
    <w:rsid w:val="008A0E02"/>
    <w:rsid w:val="008A11ED"/>
    <w:rsid w:val="008A1340"/>
    <w:rsid w:val="008A1720"/>
    <w:rsid w:val="008A1962"/>
    <w:rsid w:val="008A1B76"/>
    <w:rsid w:val="008A1D0A"/>
    <w:rsid w:val="008A1D32"/>
    <w:rsid w:val="008A1F6C"/>
    <w:rsid w:val="008A2066"/>
    <w:rsid w:val="008A2123"/>
    <w:rsid w:val="008A226D"/>
    <w:rsid w:val="008A234F"/>
    <w:rsid w:val="008A25E3"/>
    <w:rsid w:val="008A2935"/>
    <w:rsid w:val="008A2953"/>
    <w:rsid w:val="008A2B48"/>
    <w:rsid w:val="008A2D4B"/>
    <w:rsid w:val="008A34A2"/>
    <w:rsid w:val="008A35E2"/>
    <w:rsid w:val="008A370C"/>
    <w:rsid w:val="008A3740"/>
    <w:rsid w:val="008A382C"/>
    <w:rsid w:val="008A3960"/>
    <w:rsid w:val="008A3A57"/>
    <w:rsid w:val="008A3AC5"/>
    <w:rsid w:val="008A3B29"/>
    <w:rsid w:val="008A3C0A"/>
    <w:rsid w:val="008A3D2E"/>
    <w:rsid w:val="008A3D4E"/>
    <w:rsid w:val="008A4000"/>
    <w:rsid w:val="008A420D"/>
    <w:rsid w:val="008A4313"/>
    <w:rsid w:val="008A47A9"/>
    <w:rsid w:val="008A4815"/>
    <w:rsid w:val="008A483B"/>
    <w:rsid w:val="008A4970"/>
    <w:rsid w:val="008A4A75"/>
    <w:rsid w:val="008A4A83"/>
    <w:rsid w:val="008A4D4E"/>
    <w:rsid w:val="008A4E4F"/>
    <w:rsid w:val="008A4EFE"/>
    <w:rsid w:val="008A505C"/>
    <w:rsid w:val="008A54D3"/>
    <w:rsid w:val="008A558B"/>
    <w:rsid w:val="008A56DD"/>
    <w:rsid w:val="008A57F2"/>
    <w:rsid w:val="008A5808"/>
    <w:rsid w:val="008A5864"/>
    <w:rsid w:val="008A593C"/>
    <w:rsid w:val="008A5A22"/>
    <w:rsid w:val="008A5D08"/>
    <w:rsid w:val="008A5D8E"/>
    <w:rsid w:val="008A6044"/>
    <w:rsid w:val="008A6071"/>
    <w:rsid w:val="008A631A"/>
    <w:rsid w:val="008A6526"/>
    <w:rsid w:val="008A654D"/>
    <w:rsid w:val="008A659E"/>
    <w:rsid w:val="008A6A42"/>
    <w:rsid w:val="008A6B4B"/>
    <w:rsid w:val="008A7401"/>
    <w:rsid w:val="008A743E"/>
    <w:rsid w:val="008A7641"/>
    <w:rsid w:val="008A76F8"/>
    <w:rsid w:val="008A7B4B"/>
    <w:rsid w:val="008A7B53"/>
    <w:rsid w:val="008A7E71"/>
    <w:rsid w:val="008B0199"/>
    <w:rsid w:val="008B0411"/>
    <w:rsid w:val="008B0530"/>
    <w:rsid w:val="008B05C9"/>
    <w:rsid w:val="008B080C"/>
    <w:rsid w:val="008B0BBF"/>
    <w:rsid w:val="008B117F"/>
    <w:rsid w:val="008B11C9"/>
    <w:rsid w:val="008B12D6"/>
    <w:rsid w:val="008B15DE"/>
    <w:rsid w:val="008B17BF"/>
    <w:rsid w:val="008B1A1C"/>
    <w:rsid w:val="008B1C4E"/>
    <w:rsid w:val="008B1C8B"/>
    <w:rsid w:val="008B20FE"/>
    <w:rsid w:val="008B210E"/>
    <w:rsid w:val="008B2642"/>
    <w:rsid w:val="008B26EB"/>
    <w:rsid w:val="008B2C27"/>
    <w:rsid w:val="008B2FAF"/>
    <w:rsid w:val="008B3227"/>
    <w:rsid w:val="008B3240"/>
    <w:rsid w:val="008B3462"/>
    <w:rsid w:val="008B3480"/>
    <w:rsid w:val="008B34AC"/>
    <w:rsid w:val="008B36E8"/>
    <w:rsid w:val="008B371E"/>
    <w:rsid w:val="008B3999"/>
    <w:rsid w:val="008B3F38"/>
    <w:rsid w:val="008B4319"/>
    <w:rsid w:val="008B4532"/>
    <w:rsid w:val="008B4633"/>
    <w:rsid w:val="008B467F"/>
    <w:rsid w:val="008B4865"/>
    <w:rsid w:val="008B48D7"/>
    <w:rsid w:val="008B4A11"/>
    <w:rsid w:val="008B4A3F"/>
    <w:rsid w:val="008B4C43"/>
    <w:rsid w:val="008B4CA0"/>
    <w:rsid w:val="008B5236"/>
    <w:rsid w:val="008B5574"/>
    <w:rsid w:val="008B565F"/>
    <w:rsid w:val="008B5829"/>
    <w:rsid w:val="008B5A14"/>
    <w:rsid w:val="008B5C3B"/>
    <w:rsid w:val="008B6019"/>
    <w:rsid w:val="008B61DF"/>
    <w:rsid w:val="008B6296"/>
    <w:rsid w:val="008B647F"/>
    <w:rsid w:val="008B64D8"/>
    <w:rsid w:val="008B6505"/>
    <w:rsid w:val="008B6638"/>
    <w:rsid w:val="008B66A8"/>
    <w:rsid w:val="008B6795"/>
    <w:rsid w:val="008B6927"/>
    <w:rsid w:val="008B6B8F"/>
    <w:rsid w:val="008B6C5E"/>
    <w:rsid w:val="008B703A"/>
    <w:rsid w:val="008B7174"/>
    <w:rsid w:val="008B7242"/>
    <w:rsid w:val="008B72D6"/>
    <w:rsid w:val="008B74DF"/>
    <w:rsid w:val="008B77D8"/>
    <w:rsid w:val="008B7A00"/>
    <w:rsid w:val="008B7D33"/>
    <w:rsid w:val="008B7DDA"/>
    <w:rsid w:val="008B7F3F"/>
    <w:rsid w:val="008B7F47"/>
    <w:rsid w:val="008B7F98"/>
    <w:rsid w:val="008C01F1"/>
    <w:rsid w:val="008C0245"/>
    <w:rsid w:val="008C02FB"/>
    <w:rsid w:val="008C052D"/>
    <w:rsid w:val="008C09BF"/>
    <w:rsid w:val="008C0D27"/>
    <w:rsid w:val="008C0D3A"/>
    <w:rsid w:val="008C0FEC"/>
    <w:rsid w:val="008C10DC"/>
    <w:rsid w:val="008C11BA"/>
    <w:rsid w:val="008C11EC"/>
    <w:rsid w:val="008C1384"/>
    <w:rsid w:val="008C1974"/>
    <w:rsid w:val="008C1BC0"/>
    <w:rsid w:val="008C1D21"/>
    <w:rsid w:val="008C1F2E"/>
    <w:rsid w:val="008C2245"/>
    <w:rsid w:val="008C2502"/>
    <w:rsid w:val="008C2519"/>
    <w:rsid w:val="008C2598"/>
    <w:rsid w:val="008C261C"/>
    <w:rsid w:val="008C2724"/>
    <w:rsid w:val="008C2A3A"/>
    <w:rsid w:val="008C2ACD"/>
    <w:rsid w:val="008C2DE0"/>
    <w:rsid w:val="008C2E60"/>
    <w:rsid w:val="008C31C1"/>
    <w:rsid w:val="008C3237"/>
    <w:rsid w:val="008C3318"/>
    <w:rsid w:val="008C3334"/>
    <w:rsid w:val="008C335F"/>
    <w:rsid w:val="008C3606"/>
    <w:rsid w:val="008C37B5"/>
    <w:rsid w:val="008C3A80"/>
    <w:rsid w:val="008C3CEF"/>
    <w:rsid w:val="008C3E61"/>
    <w:rsid w:val="008C4266"/>
    <w:rsid w:val="008C42D2"/>
    <w:rsid w:val="008C4449"/>
    <w:rsid w:val="008C44DA"/>
    <w:rsid w:val="008C4763"/>
    <w:rsid w:val="008C4A55"/>
    <w:rsid w:val="008C4A9A"/>
    <w:rsid w:val="008C4BDC"/>
    <w:rsid w:val="008C4D4D"/>
    <w:rsid w:val="008C4D93"/>
    <w:rsid w:val="008C4E1E"/>
    <w:rsid w:val="008C4E58"/>
    <w:rsid w:val="008C4ED0"/>
    <w:rsid w:val="008C513B"/>
    <w:rsid w:val="008C5219"/>
    <w:rsid w:val="008C5357"/>
    <w:rsid w:val="008C5489"/>
    <w:rsid w:val="008C557A"/>
    <w:rsid w:val="008C575C"/>
    <w:rsid w:val="008C5874"/>
    <w:rsid w:val="008C590C"/>
    <w:rsid w:val="008C5A3B"/>
    <w:rsid w:val="008C5B6C"/>
    <w:rsid w:val="008C5CE6"/>
    <w:rsid w:val="008C5F76"/>
    <w:rsid w:val="008C606F"/>
    <w:rsid w:val="008C60D9"/>
    <w:rsid w:val="008C6104"/>
    <w:rsid w:val="008C6122"/>
    <w:rsid w:val="008C66AF"/>
    <w:rsid w:val="008C67D6"/>
    <w:rsid w:val="008C6810"/>
    <w:rsid w:val="008C68A9"/>
    <w:rsid w:val="008C6A80"/>
    <w:rsid w:val="008C6ABC"/>
    <w:rsid w:val="008C6CFD"/>
    <w:rsid w:val="008C6F12"/>
    <w:rsid w:val="008C7534"/>
    <w:rsid w:val="008C766D"/>
    <w:rsid w:val="008C780F"/>
    <w:rsid w:val="008C7D3F"/>
    <w:rsid w:val="008C7E3D"/>
    <w:rsid w:val="008C7E74"/>
    <w:rsid w:val="008C7EA9"/>
    <w:rsid w:val="008C7F31"/>
    <w:rsid w:val="008D0009"/>
    <w:rsid w:val="008D0164"/>
    <w:rsid w:val="008D02D7"/>
    <w:rsid w:val="008D0351"/>
    <w:rsid w:val="008D0380"/>
    <w:rsid w:val="008D0392"/>
    <w:rsid w:val="008D07F5"/>
    <w:rsid w:val="008D0AB0"/>
    <w:rsid w:val="008D0AD2"/>
    <w:rsid w:val="008D0BC6"/>
    <w:rsid w:val="008D0ED8"/>
    <w:rsid w:val="008D0F2C"/>
    <w:rsid w:val="008D10A8"/>
    <w:rsid w:val="008D10E9"/>
    <w:rsid w:val="008D1253"/>
    <w:rsid w:val="008D13B8"/>
    <w:rsid w:val="008D13E8"/>
    <w:rsid w:val="008D17FB"/>
    <w:rsid w:val="008D1974"/>
    <w:rsid w:val="008D1A70"/>
    <w:rsid w:val="008D1C87"/>
    <w:rsid w:val="008D1EB7"/>
    <w:rsid w:val="008D2096"/>
    <w:rsid w:val="008D23B1"/>
    <w:rsid w:val="008D252F"/>
    <w:rsid w:val="008D27AD"/>
    <w:rsid w:val="008D2818"/>
    <w:rsid w:val="008D2859"/>
    <w:rsid w:val="008D28A2"/>
    <w:rsid w:val="008D28AA"/>
    <w:rsid w:val="008D2AE5"/>
    <w:rsid w:val="008D2BEB"/>
    <w:rsid w:val="008D2C40"/>
    <w:rsid w:val="008D2E15"/>
    <w:rsid w:val="008D3012"/>
    <w:rsid w:val="008D328D"/>
    <w:rsid w:val="008D3291"/>
    <w:rsid w:val="008D3320"/>
    <w:rsid w:val="008D348F"/>
    <w:rsid w:val="008D34F2"/>
    <w:rsid w:val="008D35B3"/>
    <w:rsid w:val="008D38E6"/>
    <w:rsid w:val="008D39EB"/>
    <w:rsid w:val="008D4050"/>
    <w:rsid w:val="008D4211"/>
    <w:rsid w:val="008D426E"/>
    <w:rsid w:val="008D435E"/>
    <w:rsid w:val="008D48E1"/>
    <w:rsid w:val="008D492F"/>
    <w:rsid w:val="008D4941"/>
    <w:rsid w:val="008D4B31"/>
    <w:rsid w:val="008D4BEA"/>
    <w:rsid w:val="008D4C55"/>
    <w:rsid w:val="008D4C67"/>
    <w:rsid w:val="008D4E16"/>
    <w:rsid w:val="008D5201"/>
    <w:rsid w:val="008D5316"/>
    <w:rsid w:val="008D5364"/>
    <w:rsid w:val="008D53B6"/>
    <w:rsid w:val="008D53C2"/>
    <w:rsid w:val="008D5501"/>
    <w:rsid w:val="008D5534"/>
    <w:rsid w:val="008D5738"/>
    <w:rsid w:val="008D57F3"/>
    <w:rsid w:val="008D59DD"/>
    <w:rsid w:val="008D5A2A"/>
    <w:rsid w:val="008D5B8A"/>
    <w:rsid w:val="008D5D35"/>
    <w:rsid w:val="008D5FE6"/>
    <w:rsid w:val="008D60E4"/>
    <w:rsid w:val="008D6170"/>
    <w:rsid w:val="008D6284"/>
    <w:rsid w:val="008D63BB"/>
    <w:rsid w:val="008D6429"/>
    <w:rsid w:val="008D663C"/>
    <w:rsid w:val="008D6688"/>
    <w:rsid w:val="008D6966"/>
    <w:rsid w:val="008D6C05"/>
    <w:rsid w:val="008D6DFC"/>
    <w:rsid w:val="008D6E3E"/>
    <w:rsid w:val="008D6E86"/>
    <w:rsid w:val="008D6EAF"/>
    <w:rsid w:val="008D7010"/>
    <w:rsid w:val="008D7077"/>
    <w:rsid w:val="008D7668"/>
    <w:rsid w:val="008D7837"/>
    <w:rsid w:val="008D7996"/>
    <w:rsid w:val="008D79A4"/>
    <w:rsid w:val="008D7B10"/>
    <w:rsid w:val="008D7D8D"/>
    <w:rsid w:val="008D7E60"/>
    <w:rsid w:val="008D7F1F"/>
    <w:rsid w:val="008E0007"/>
    <w:rsid w:val="008E0048"/>
    <w:rsid w:val="008E096D"/>
    <w:rsid w:val="008E0C1E"/>
    <w:rsid w:val="008E0C8E"/>
    <w:rsid w:val="008E0F5E"/>
    <w:rsid w:val="008E11EC"/>
    <w:rsid w:val="008E1397"/>
    <w:rsid w:val="008E14B7"/>
    <w:rsid w:val="008E1885"/>
    <w:rsid w:val="008E18D1"/>
    <w:rsid w:val="008E18E0"/>
    <w:rsid w:val="008E192D"/>
    <w:rsid w:val="008E1BE6"/>
    <w:rsid w:val="008E1DE0"/>
    <w:rsid w:val="008E2464"/>
    <w:rsid w:val="008E2824"/>
    <w:rsid w:val="008E284C"/>
    <w:rsid w:val="008E287E"/>
    <w:rsid w:val="008E2B77"/>
    <w:rsid w:val="008E2DD7"/>
    <w:rsid w:val="008E2F2E"/>
    <w:rsid w:val="008E2FD8"/>
    <w:rsid w:val="008E305B"/>
    <w:rsid w:val="008E3349"/>
    <w:rsid w:val="008E34BA"/>
    <w:rsid w:val="008E369A"/>
    <w:rsid w:val="008E3A36"/>
    <w:rsid w:val="008E3B1A"/>
    <w:rsid w:val="008E3D51"/>
    <w:rsid w:val="008E3FFF"/>
    <w:rsid w:val="008E40CC"/>
    <w:rsid w:val="008E41E9"/>
    <w:rsid w:val="008E43EE"/>
    <w:rsid w:val="008E4401"/>
    <w:rsid w:val="008E44BC"/>
    <w:rsid w:val="008E472B"/>
    <w:rsid w:val="008E49AA"/>
    <w:rsid w:val="008E4CB4"/>
    <w:rsid w:val="008E4E67"/>
    <w:rsid w:val="008E4F88"/>
    <w:rsid w:val="008E51AE"/>
    <w:rsid w:val="008E5239"/>
    <w:rsid w:val="008E5748"/>
    <w:rsid w:val="008E578B"/>
    <w:rsid w:val="008E59BA"/>
    <w:rsid w:val="008E5A5B"/>
    <w:rsid w:val="008E5D42"/>
    <w:rsid w:val="008E5D8A"/>
    <w:rsid w:val="008E60CE"/>
    <w:rsid w:val="008E61D4"/>
    <w:rsid w:val="008E6427"/>
    <w:rsid w:val="008E64DC"/>
    <w:rsid w:val="008E6501"/>
    <w:rsid w:val="008E6595"/>
    <w:rsid w:val="008E65D2"/>
    <w:rsid w:val="008E673A"/>
    <w:rsid w:val="008E687F"/>
    <w:rsid w:val="008E6B3F"/>
    <w:rsid w:val="008E6B62"/>
    <w:rsid w:val="008E708A"/>
    <w:rsid w:val="008E70FB"/>
    <w:rsid w:val="008E71E0"/>
    <w:rsid w:val="008E765F"/>
    <w:rsid w:val="008E7720"/>
    <w:rsid w:val="008E77BA"/>
    <w:rsid w:val="008E7B6F"/>
    <w:rsid w:val="008E7D63"/>
    <w:rsid w:val="008E7D93"/>
    <w:rsid w:val="008E7E78"/>
    <w:rsid w:val="008F0089"/>
    <w:rsid w:val="008F058A"/>
    <w:rsid w:val="008F06F1"/>
    <w:rsid w:val="008F0861"/>
    <w:rsid w:val="008F0B44"/>
    <w:rsid w:val="008F0CBE"/>
    <w:rsid w:val="008F0E66"/>
    <w:rsid w:val="008F11AE"/>
    <w:rsid w:val="008F12B1"/>
    <w:rsid w:val="008F138C"/>
    <w:rsid w:val="008F174D"/>
    <w:rsid w:val="008F17DA"/>
    <w:rsid w:val="008F18F1"/>
    <w:rsid w:val="008F195D"/>
    <w:rsid w:val="008F1B18"/>
    <w:rsid w:val="008F1DDA"/>
    <w:rsid w:val="008F1DE5"/>
    <w:rsid w:val="008F1FD6"/>
    <w:rsid w:val="008F20B4"/>
    <w:rsid w:val="008F24B1"/>
    <w:rsid w:val="008F284A"/>
    <w:rsid w:val="008F28CA"/>
    <w:rsid w:val="008F29AD"/>
    <w:rsid w:val="008F2ABA"/>
    <w:rsid w:val="008F2B6B"/>
    <w:rsid w:val="008F2EA0"/>
    <w:rsid w:val="008F2F15"/>
    <w:rsid w:val="008F325B"/>
    <w:rsid w:val="008F360A"/>
    <w:rsid w:val="008F3861"/>
    <w:rsid w:val="008F42A5"/>
    <w:rsid w:val="008F435E"/>
    <w:rsid w:val="008F4533"/>
    <w:rsid w:val="008F4679"/>
    <w:rsid w:val="008F4DD9"/>
    <w:rsid w:val="008F520F"/>
    <w:rsid w:val="008F534B"/>
    <w:rsid w:val="008F5A46"/>
    <w:rsid w:val="008F5B5A"/>
    <w:rsid w:val="008F5D88"/>
    <w:rsid w:val="008F61AA"/>
    <w:rsid w:val="008F625D"/>
    <w:rsid w:val="008F63C5"/>
    <w:rsid w:val="008F65E5"/>
    <w:rsid w:val="008F6676"/>
    <w:rsid w:val="008F6ACC"/>
    <w:rsid w:val="008F6B27"/>
    <w:rsid w:val="008F6DDB"/>
    <w:rsid w:val="008F6E0F"/>
    <w:rsid w:val="008F6E9D"/>
    <w:rsid w:val="008F7349"/>
    <w:rsid w:val="008F73E7"/>
    <w:rsid w:val="008F74B7"/>
    <w:rsid w:val="008F74C3"/>
    <w:rsid w:val="008F778F"/>
    <w:rsid w:val="008F7964"/>
    <w:rsid w:val="008F7D23"/>
    <w:rsid w:val="008F7DA5"/>
    <w:rsid w:val="008F7E4F"/>
    <w:rsid w:val="008F7EBF"/>
    <w:rsid w:val="0090040E"/>
    <w:rsid w:val="00900694"/>
    <w:rsid w:val="00900E7A"/>
    <w:rsid w:val="00900E94"/>
    <w:rsid w:val="00900FA0"/>
    <w:rsid w:val="00900FB0"/>
    <w:rsid w:val="00901638"/>
    <w:rsid w:val="00901674"/>
    <w:rsid w:val="00901923"/>
    <w:rsid w:val="009019CF"/>
    <w:rsid w:val="00901AD8"/>
    <w:rsid w:val="00901C27"/>
    <w:rsid w:val="00901D93"/>
    <w:rsid w:val="00902115"/>
    <w:rsid w:val="009021A9"/>
    <w:rsid w:val="0090229A"/>
    <w:rsid w:val="00902382"/>
    <w:rsid w:val="009023DA"/>
    <w:rsid w:val="00902421"/>
    <w:rsid w:val="00902455"/>
    <w:rsid w:val="009024F6"/>
    <w:rsid w:val="00902616"/>
    <w:rsid w:val="009027F8"/>
    <w:rsid w:val="0090290B"/>
    <w:rsid w:val="00902AD2"/>
    <w:rsid w:val="00902DB4"/>
    <w:rsid w:val="00902DF7"/>
    <w:rsid w:val="00903015"/>
    <w:rsid w:val="009035E4"/>
    <w:rsid w:val="00903820"/>
    <w:rsid w:val="00903886"/>
    <w:rsid w:val="009039D0"/>
    <w:rsid w:val="00903E9B"/>
    <w:rsid w:val="009041FC"/>
    <w:rsid w:val="00904782"/>
    <w:rsid w:val="0090497D"/>
    <w:rsid w:val="009049FF"/>
    <w:rsid w:val="00904CC1"/>
    <w:rsid w:val="00904FF7"/>
    <w:rsid w:val="009051D2"/>
    <w:rsid w:val="00905201"/>
    <w:rsid w:val="009054F3"/>
    <w:rsid w:val="0090552A"/>
    <w:rsid w:val="00905559"/>
    <w:rsid w:val="00905A3E"/>
    <w:rsid w:val="00905AF1"/>
    <w:rsid w:val="00905D9B"/>
    <w:rsid w:val="00905F06"/>
    <w:rsid w:val="0090605B"/>
    <w:rsid w:val="00906151"/>
    <w:rsid w:val="0090658C"/>
    <w:rsid w:val="009065F7"/>
    <w:rsid w:val="00906C2D"/>
    <w:rsid w:val="00906F39"/>
    <w:rsid w:val="009075CC"/>
    <w:rsid w:val="00907652"/>
    <w:rsid w:val="0090796E"/>
    <w:rsid w:val="00907F74"/>
    <w:rsid w:val="0091016E"/>
    <w:rsid w:val="0091027B"/>
    <w:rsid w:val="00910358"/>
    <w:rsid w:val="00910603"/>
    <w:rsid w:val="00910880"/>
    <w:rsid w:val="00910999"/>
    <w:rsid w:val="00910E53"/>
    <w:rsid w:val="00910EE3"/>
    <w:rsid w:val="00911143"/>
    <w:rsid w:val="009112F6"/>
    <w:rsid w:val="009115D5"/>
    <w:rsid w:val="009116B8"/>
    <w:rsid w:val="009116D3"/>
    <w:rsid w:val="0091179A"/>
    <w:rsid w:val="00911812"/>
    <w:rsid w:val="00911C31"/>
    <w:rsid w:val="00911D7C"/>
    <w:rsid w:val="00911EBE"/>
    <w:rsid w:val="00911EE9"/>
    <w:rsid w:val="00912054"/>
    <w:rsid w:val="00912218"/>
    <w:rsid w:val="0091227F"/>
    <w:rsid w:val="00912333"/>
    <w:rsid w:val="009124B9"/>
    <w:rsid w:val="009126EB"/>
    <w:rsid w:val="009127E4"/>
    <w:rsid w:val="00912933"/>
    <w:rsid w:val="00912AAD"/>
    <w:rsid w:val="00912CB2"/>
    <w:rsid w:val="00912D8A"/>
    <w:rsid w:val="00912E04"/>
    <w:rsid w:val="00912E48"/>
    <w:rsid w:val="00913089"/>
    <w:rsid w:val="009130D0"/>
    <w:rsid w:val="009130F9"/>
    <w:rsid w:val="0091340D"/>
    <w:rsid w:val="0091382A"/>
    <w:rsid w:val="00913930"/>
    <w:rsid w:val="00913B6A"/>
    <w:rsid w:val="00913C2E"/>
    <w:rsid w:val="00913CFF"/>
    <w:rsid w:val="00913F2E"/>
    <w:rsid w:val="009144C6"/>
    <w:rsid w:val="009145BD"/>
    <w:rsid w:val="00914B2C"/>
    <w:rsid w:val="00914BF2"/>
    <w:rsid w:val="0091504E"/>
    <w:rsid w:val="0091535D"/>
    <w:rsid w:val="00915387"/>
    <w:rsid w:val="009153C6"/>
    <w:rsid w:val="0091566F"/>
    <w:rsid w:val="0091598F"/>
    <w:rsid w:val="00915A45"/>
    <w:rsid w:val="00915B1F"/>
    <w:rsid w:val="00915BB8"/>
    <w:rsid w:val="00915C4F"/>
    <w:rsid w:val="00916504"/>
    <w:rsid w:val="00916735"/>
    <w:rsid w:val="00916970"/>
    <w:rsid w:val="00916988"/>
    <w:rsid w:val="009169AA"/>
    <w:rsid w:val="00916A02"/>
    <w:rsid w:val="00916A3E"/>
    <w:rsid w:val="00916A53"/>
    <w:rsid w:val="00916B26"/>
    <w:rsid w:val="00916CA6"/>
    <w:rsid w:val="00916D70"/>
    <w:rsid w:val="00916F7C"/>
    <w:rsid w:val="00916FC2"/>
    <w:rsid w:val="00917086"/>
    <w:rsid w:val="00917154"/>
    <w:rsid w:val="00917789"/>
    <w:rsid w:val="009178A8"/>
    <w:rsid w:val="00917A50"/>
    <w:rsid w:val="00917ABE"/>
    <w:rsid w:val="00917C01"/>
    <w:rsid w:val="00917CC4"/>
    <w:rsid w:val="00917D63"/>
    <w:rsid w:val="00917FA0"/>
    <w:rsid w:val="0092000D"/>
    <w:rsid w:val="009200F0"/>
    <w:rsid w:val="0092015D"/>
    <w:rsid w:val="009202AF"/>
    <w:rsid w:val="009202BA"/>
    <w:rsid w:val="009202E3"/>
    <w:rsid w:val="0092040D"/>
    <w:rsid w:val="0092051E"/>
    <w:rsid w:val="0092080B"/>
    <w:rsid w:val="00920C54"/>
    <w:rsid w:val="00920DFD"/>
    <w:rsid w:val="00920E3D"/>
    <w:rsid w:val="00920E6D"/>
    <w:rsid w:val="00920E94"/>
    <w:rsid w:val="00921357"/>
    <w:rsid w:val="00921463"/>
    <w:rsid w:val="0092148C"/>
    <w:rsid w:val="00921618"/>
    <w:rsid w:val="00921943"/>
    <w:rsid w:val="00921CC0"/>
    <w:rsid w:val="00921CCF"/>
    <w:rsid w:val="00921E8D"/>
    <w:rsid w:val="00921ED4"/>
    <w:rsid w:val="00922004"/>
    <w:rsid w:val="00922197"/>
    <w:rsid w:val="0092220B"/>
    <w:rsid w:val="009222E6"/>
    <w:rsid w:val="00922317"/>
    <w:rsid w:val="0092244A"/>
    <w:rsid w:val="009226F2"/>
    <w:rsid w:val="009227B7"/>
    <w:rsid w:val="00922DF0"/>
    <w:rsid w:val="009231F1"/>
    <w:rsid w:val="009234DD"/>
    <w:rsid w:val="009238EB"/>
    <w:rsid w:val="0092396E"/>
    <w:rsid w:val="00923A91"/>
    <w:rsid w:val="00923C2B"/>
    <w:rsid w:val="009244FA"/>
    <w:rsid w:val="00924730"/>
    <w:rsid w:val="00924933"/>
    <w:rsid w:val="00924C41"/>
    <w:rsid w:val="00924D21"/>
    <w:rsid w:val="00924E11"/>
    <w:rsid w:val="00924E99"/>
    <w:rsid w:val="00924EAF"/>
    <w:rsid w:val="00924EED"/>
    <w:rsid w:val="00924F4D"/>
    <w:rsid w:val="00924F6D"/>
    <w:rsid w:val="00924F75"/>
    <w:rsid w:val="009253A4"/>
    <w:rsid w:val="00925790"/>
    <w:rsid w:val="009257E1"/>
    <w:rsid w:val="00925916"/>
    <w:rsid w:val="00925A6E"/>
    <w:rsid w:val="00925C23"/>
    <w:rsid w:val="00925D04"/>
    <w:rsid w:val="009260D6"/>
    <w:rsid w:val="00926385"/>
    <w:rsid w:val="00926396"/>
    <w:rsid w:val="0092654B"/>
    <w:rsid w:val="00926B50"/>
    <w:rsid w:val="00926C98"/>
    <w:rsid w:val="00926CBC"/>
    <w:rsid w:val="00926D50"/>
    <w:rsid w:val="00926E6B"/>
    <w:rsid w:val="00926E93"/>
    <w:rsid w:val="00926EDE"/>
    <w:rsid w:val="009270CB"/>
    <w:rsid w:val="00927137"/>
    <w:rsid w:val="009271ED"/>
    <w:rsid w:val="0092762E"/>
    <w:rsid w:val="009276C3"/>
    <w:rsid w:val="00927840"/>
    <w:rsid w:val="0092790E"/>
    <w:rsid w:val="00927946"/>
    <w:rsid w:val="00927D82"/>
    <w:rsid w:val="00927DB4"/>
    <w:rsid w:val="00927DEF"/>
    <w:rsid w:val="00927E8C"/>
    <w:rsid w:val="00930256"/>
    <w:rsid w:val="009302BA"/>
    <w:rsid w:val="009303C0"/>
    <w:rsid w:val="009303D0"/>
    <w:rsid w:val="009305C8"/>
    <w:rsid w:val="00930711"/>
    <w:rsid w:val="00930761"/>
    <w:rsid w:val="00930B1B"/>
    <w:rsid w:val="00930B48"/>
    <w:rsid w:val="00930B6E"/>
    <w:rsid w:val="00930CC7"/>
    <w:rsid w:val="00930F06"/>
    <w:rsid w:val="009313D7"/>
    <w:rsid w:val="00931498"/>
    <w:rsid w:val="009315F2"/>
    <w:rsid w:val="009316DD"/>
    <w:rsid w:val="00931776"/>
    <w:rsid w:val="00931A78"/>
    <w:rsid w:val="00931B55"/>
    <w:rsid w:val="00931C7F"/>
    <w:rsid w:val="00931E6B"/>
    <w:rsid w:val="00932114"/>
    <w:rsid w:val="00932174"/>
    <w:rsid w:val="009323B3"/>
    <w:rsid w:val="009324B6"/>
    <w:rsid w:val="00932581"/>
    <w:rsid w:val="009325A9"/>
    <w:rsid w:val="00932884"/>
    <w:rsid w:val="009329AF"/>
    <w:rsid w:val="00932A31"/>
    <w:rsid w:val="00932AB3"/>
    <w:rsid w:val="00932AF4"/>
    <w:rsid w:val="00932C47"/>
    <w:rsid w:val="00932EC6"/>
    <w:rsid w:val="00933037"/>
    <w:rsid w:val="00933106"/>
    <w:rsid w:val="00933286"/>
    <w:rsid w:val="009335A1"/>
    <w:rsid w:val="0093370B"/>
    <w:rsid w:val="00933BFC"/>
    <w:rsid w:val="00933C67"/>
    <w:rsid w:val="00933D3B"/>
    <w:rsid w:val="00933FC4"/>
    <w:rsid w:val="0093413D"/>
    <w:rsid w:val="009343D6"/>
    <w:rsid w:val="009343EF"/>
    <w:rsid w:val="00934763"/>
    <w:rsid w:val="009347AC"/>
    <w:rsid w:val="00934C4C"/>
    <w:rsid w:val="00934DFB"/>
    <w:rsid w:val="00934EF6"/>
    <w:rsid w:val="00935021"/>
    <w:rsid w:val="00935025"/>
    <w:rsid w:val="0093543D"/>
    <w:rsid w:val="0093576F"/>
    <w:rsid w:val="009357C2"/>
    <w:rsid w:val="009359D3"/>
    <w:rsid w:val="00935B97"/>
    <w:rsid w:val="00935DF7"/>
    <w:rsid w:val="009360F2"/>
    <w:rsid w:val="0093628A"/>
    <w:rsid w:val="0093635E"/>
    <w:rsid w:val="00936772"/>
    <w:rsid w:val="00936924"/>
    <w:rsid w:val="009369E6"/>
    <w:rsid w:val="00936A05"/>
    <w:rsid w:val="00936A78"/>
    <w:rsid w:val="00936DA5"/>
    <w:rsid w:val="00937193"/>
    <w:rsid w:val="00937596"/>
    <w:rsid w:val="00937696"/>
    <w:rsid w:val="00937DD7"/>
    <w:rsid w:val="00937F98"/>
    <w:rsid w:val="009404C9"/>
    <w:rsid w:val="0094050C"/>
    <w:rsid w:val="00940527"/>
    <w:rsid w:val="009406BF"/>
    <w:rsid w:val="00940D48"/>
    <w:rsid w:val="00941031"/>
    <w:rsid w:val="0094116F"/>
    <w:rsid w:val="00941336"/>
    <w:rsid w:val="009414F8"/>
    <w:rsid w:val="009415D0"/>
    <w:rsid w:val="0094168C"/>
    <w:rsid w:val="00941770"/>
    <w:rsid w:val="009417A4"/>
    <w:rsid w:val="0094187B"/>
    <w:rsid w:val="009418C2"/>
    <w:rsid w:val="00941A6D"/>
    <w:rsid w:val="00941CD2"/>
    <w:rsid w:val="00941F85"/>
    <w:rsid w:val="0094218F"/>
    <w:rsid w:val="00942238"/>
    <w:rsid w:val="009423F1"/>
    <w:rsid w:val="0094240A"/>
    <w:rsid w:val="00942504"/>
    <w:rsid w:val="00942812"/>
    <w:rsid w:val="009428E9"/>
    <w:rsid w:val="00942980"/>
    <w:rsid w:val="00942A06"/>
    <w:rsid w:val="00942BE5"/>
    <w:rsid w:val="00942E59"/>
    <w:rsid w:val="00942F23"/>
    <w:rsid w:val="00942FB4"/>
    <w:rsid w:val="009435CF"/>
    <w:rsid w:val="00943721"/>
    <w:rsid w:val="00943970"/>
    <w:rsid w:val="00943AFC"/>
    <w:rsid w:val="00943FBF"/>
    <w:rsid w:val="009440BC"/>
    <w:rsid w:val="009440ED"/>
    <w:rsid w:val="009442C8"/>
    <w:rsid w:val="009443EA"/>
    <w:rsid w:val="00944872"/>
    <w:rsid w:val="00944AE4"/>
    <w:rsid w:val="00944E8F"/>
    <w:rsid w:val="00944F00"/>
    <w:rsid w:val="00944FF7"/>
    <w:rsid w:val="00945638"/>
    <w:rsid w:val="009456E2"/>
    <w:rsid w:val="00945861"/>
    <w:rsid w:val="009458A3"/>
    <w:rsid w:val="009458F8"/>
    <w:rsid w:val="00945984"/>
    <w:rsid w:val="009459F8"/>
    <w:rsid w:val="00945A7C"/>
    <w:rsid w:val="00945BB2"/>
    <w:rsid w:val="00945F04"/>
    <w:rsid w:val="00946157"/>
    <w:rsid w:val="009461A8"/>
    <w:rsid w:val="0094638E"/>
    <w:rsid w:val="009465E1"/>
    <w:rsid w:val="00946B5F"/>
    <w:rsid w:val="00946D71"/>
    <w:rsid w:val="009470DF"/>
    <w:rsid w:val="009471D3"/>
    <w:rsid w:val="00947453"/>
    <w:rsid w:val="00947657"/>
    <w:rsid w:val="0094779D"/>
    <w:rsid w:val="00947910"/>
    <w:rsid w:val="00947B65"/>
    <w:rsid w:val="00947CDE"/>
    <w:rsid w:val="00947E34"/>
    <w:rsid w:val="00947F7A"/>
    <w:rsid w:val="00950008"/>
    <w:rsid w:val="009501D7"/>
    <w:rsid w:val="00950366"/>
    <w:rsid w:val="00950798"/>
    <w:rsid w:val="00950889"/>
    <w:rsid w:val="00950AC1"/>
    <w:rsid w:val="00950B02"/>
    <w:rsid w:val="00950C8E"/>
    <w:rsid w:val="00950CAA"/>
    <w:rsid w:val="00950F25"/>
    <w:rsid w:val="00951180"/>
    <w:rsid w:val="009512DE"/>
    <w:rsid w:val="00951394"/>
    <w:rsid w:val="009514FF"/>
    <w:rsid w:val="009515BF"/>
    <w:rsid w:val="00951648"/>
    <w:rsid w:val="00951BAA"/>
    <w:rsid w:val="00951BEC"/>
    <w:rsid w:val="00951C66"/>
    <w:rsid w:val="00951EA8"/>
    <w:rsid w:val="00951EF1"/>
    <w:rsid w:val="00951FF0"/>
    <w:rsid w:val="00952038"/>
    <w:rsid w:val="009524C9"/>
    <w:rsid w:val="0095250F"/>
    <w:rsid w:val="00952AFB"/>
    <w:rsid w:val="00952B53"/>
    <w:rsid w:val="00952B73"/>
    <w:rsid w:val="00952BD9"/>
    <w:rsid w:val="00953196"/>
    <w:rsid w:val="00953295"/>
    <w:rsid w:val="0095340F"/>
    <w:rsid w:val="00953454"/>
    <w:rsid w:val="00953773"/>
    <w:rsid w:val="00953944"/>
    <w:rsid w:val="00953B3A"/>
    <w:rsid w:val="009540EA"/>
    <w:rsid w:val="00954188"/>
    <w:rsid w:val="00954298"/>
    <w:rsid w:val="0095430D"/>
    <w:rsid w:val="00954478"/>
    <w:rsid w:val="00954486"/>
    <w:rsid w:val="0095459B"/>
    <w:rsid w:val="009545AD"/>
    <w:rsid w:val="009546CD"/>
    <w:rsid w:val="00954840"/>
    <w:rsid w:val="00954852"/>
    <w:rsid w:val="0095490B"/>
    <w:rsid w:val="00954BB1"/>
    <w:rsid w:val="00954D33"/>
    <w:rsid w:val="00955132"/>
    <w:rsid w:val="0095525E"/>
    <w:rsid w:val="009552EE"/>
    <w:rsid w:val="00955305"/>
    <w:rsid w:val="00955329"/>
    <w:rsid w:val="0095545B"/>
    <w:rsid w:val="009554F0"/>
    <w:rsid w:val="00955AE3"/>
    <w:rsid w:val="00955D02"/>
    <w:rsid w:val="00955DED"/>
    <w:rsid w:val="00955EBF"/>
    <w:rsid w:val="00956085"/>
    <w:rsid w:val="00956100"/>
    <w:rsid w:val="00956166"/>
    <w:rsid w:val="00956698"/>
    <w:rsid w:val="009568F4"/>
    <w:rsid w:val="00956A68"/>
    <w:rsid w:val="00956A8A"/>
    <w:rsid w:val="00956B84"/>
    <w:rsid w:val="00956CD6"/>
    <w:rsid w:val="009570DB"/>
    <w:rsid w:val="0095726A"/>
    <w:rsid w:val="00957381"/>
    <w:rsid w:val="00957975"/>
    <w:rsid w:val="0095798B"/>
    <w:rsid w:val="00957D06"/>
    <w:rsid w:val="0096003C"/>
    <w:rsid w:val="009601E3"/>
    <w:rsid w:val="009601E5"/>
    <w:rsid w:val="009605C3"/>
    <w:rsid w:val="00960997"/>
    <w:rsid w:val="00960BC5"/>
    <w:rsid w:val="00960E87"/>
    <w:rsid w:val="00960F32"/>
    <w:rsid w:val="00960FDF"/>
    <w:rsid w:val="009610BA"/>
    <w:rsid w:val="00961192"/>
    <w:rsid w:val="00961292"/>
    <w:rsid w:val="009612AE"/>
    <w:rsid w:val="00961341"/>
    <w:rsid w:val="009613B8"/>
    <w:rsid w:val="00961409"/>
    <w:rsid w:val="00961565"/>
    <w:rsid w:val="00961763"/>
    <w:rsid w:val="00961818"/>
    <w:rsid w:val="0096198B"/>
    <w:rsid w:val="00961A8D"/>
    <w:rsid w:val="00961D26"/>
    <w:rsid w:val="00961D94"/>
    <w:rsid w:val="00961F42"/>
    <w:rsid w:val="00961FAE"/>
    <w:rsid w:val="009620D4"/>
    <w:rsid w:val="00962194"/>
    <w:rsid w:val="00962202"/>
    <w:rsid w:val="00962225"/>
    <w:rsid w:val="00962294"/>
    <w:rsid w:val="009624C1"/>
    <w:rsid w:val="009625B2"/>
    <w:rsid w:val="009628FB"/>
    <w:rsid w:val="00962925"/>
    <w:rsid w:val="00962A3E"/>
    <w:rsid w:val="00962A74"/>
    <w:rsid w:val="00962AF7"/>
    <w:rsid w:val="00962B6C"/>
    <w:rsid w:val="00962D04"/>
    <w:rsid w:val="00962D43"/>
    <w:rsid w:val="00962DFD"/>
    <w:rsid w:val="00962EAD"/>
    <w:rsid w:val="00963204"/>
    <w:rsid w:val="00963478"/>
    <w:rsid w:val="009636D9"/>
    <w:rsid w:val="00963879"/>
    <w:rsid w:val="00963913"/>
    <w:rsid w:val="00963A29"/>
    <w:rsid w:val="00963B5F"/>
    <w:rsid w:val="00963E7F"/>
    <w:rsid w:val="0096409D"/>
    <w:rsid w:val="0096418C"/>
    <w:rsid w:val="009641B8"/>
    <w:rsid w:val="009643A0"/>
    <w:rsid w:val="00964549"/>
    <w:rsid w:val="009645AB"/>
    <w:rsid w:val="009645DD"/>
    <w:rsid w:val="00964624"/>
    <w:rsid w:val="00964829"/>
    <w:rsid w:val="00964D0A"/>
    <w:rsid w:val="00964FBB"/>
    <w:rsid w:val="009650B6"/>
    <w:rsid w:val="0096530C"/>
    <w:rsid w:val="00965568"/>
    <w:rsid w:val="009657C6"/>
    <w:rsid w:val="00965905"/>
    <w:rsid w:val="00965EC1"/>
    <w:rsid w:val="00965F66"/>
    <w:rsid w:val="00966574"/>
    <w:rsid w:val="009665D3"/>
    <w:rsid w:val="00966798"/>
    <w:rsid w:val="00966832"/>
    <w:rsid w:val="00966E29"/>
    <w:rsid w:val="009670E5"/>
    <w:rsid w:val="0096727A"/>
    <w:rsid w:val="00967459"/>
    <w:rsid w:val="009676BE"/>
    <w:rsid w:val="009677A1"/>
    <w:rsid w:val="009678D8"/>
    <w:rsid w:val="00967ACD"/>
    <w:rsid w:val="00967B79"/>
    <w:rsid w:val="00967D0E"/>
    <w:rsid w:val="00967F5A"/>
    <w:rsid w:val="0097000D"/>
    <w:rsid w:val="00970553"/>
    <w:rsid w:val="0097069D"/>
    <w:rsid w:val="00970E5D"/>
    <w:rsid w:val="0097108D"/>
    <w:rsid w:val="00971434"/>
    <w:rsid w:val="00971528"/>
    <w:rsid w:val="009715EA"/>
    <w:rsid w:val="0097160E"/>
    <w:rsid w:val="009716CC"/>
    <w:rsid w:val="0097171C"/>
    <w:rsid w:val="0097179C"/>
    <w:rsid w:val="0097187D"/>
    <w:rsid w:val="00971CF6"/>
    <w:rsid w:val="00971FB8"/>
    <w:rsid w:val="00972040"/>
    <w:rsid w:val="009721D5"/>
    <w:rsid w:val="00972A62"/>
    <w:rsid w:val="00972B4A"/>
    <w:rsid w:val="00972CEC"/>
    <w:rsid w:val="00972E14"/>
    <w:rsid w:val="00972FE8"/>
    <w:rsid w:val="00972FED"/>
    <w:rsid w:val="00973056"/>
    <w:rsid w:val="00973219"/>
    <w:rsid w:val="009734E6"/>
    <w:rsid w:val="0097356C"/>
    <w:rsid w:val="00973674"/>
    <w:rsid w:val="00973691"/>
    <w:rsid w:val="0097378A"/>
    <w:rsid w:val="009737F8"/>
    <w:rsid w:val="00973A90"/>
    <w:rsid w:val="00973B01"/>
    <w:rsid w:val="00973B5C"/>
    <w:rsid w:val="00973EE7"/>
    <w:rsid w:val="00973FDF"/>
    <w:rsid w:val="009741AC"/>
    <w:rsid w:val="00974293"/>
    <w:rsid w:val="00974544"/>
    <w:rsid w:val="009747C1"/>
    <w:rsid w:val="009749E9"/>
    <w:rsid w:val="009749F1"/>
    <w:rsid w:val="00974B84"/>
    <w:rsid w:val="00974CF1"/>
    <w:rsid w:val="00974D28"/>
    <w:rsid w:val="00974D75"/>
    <w:rsid w:val="00974E77"/>
    <w:rsid w:val="00974EBB"/>
    <w:rsid w:val="009750D0"/>
    <w:rsid w:val="00975745"/>
    <w:rsid w:val="00975924"/>
    <w:rsid w:val="00975A38"/>
    <w:rsid w:val="00975B83"/>
    <w:rsid w:val="00976230"/>
    <w:rsid w:val="009762BC"/>
    <w:rsid w:val="009763DD"/>
    <w:rsid w:val="00976716"/>
    <w:rsid w:val="00976796"/>
    <w:rsid w:val="00976ABC"/>
    <w:rsid w:val="00976BDA"/>
    <w:rsid w:val="00976E67"/>
    <w:rsid w:val="00977449"/>
    <w:rsid w:val="00977454"/>
    <w:rsid w:val="00977829"/>
    <w:rsid w:val="00977887"/>
    <w:rsid w:val="00977DA5"/>
    <w:rsid w:val="0098016E"/>
    <w:rsid w:val="009802BB"/>
    <w:rsid w:val="009803AB"/>
    <w:rsid w:val="00980665"/>
    <w:rsid w:val="00980746"/>
    <w:rsid w:val="009807E4"/>
    <w:rsid w:val="00980D5B"/>
    <w:rsid w:val="00980F12"/>
    <w:rsid w:val="00981159"/>
    <w:rsid w:val="009811CC"/>
    <w:rsid w:val="0098122B"/>
    <w:rsid w:val="009812D9"/>
    <w:rsid w:val="00981338"/>
    <w:rsid w:val="00981397"/>
    <w:rsid w:val="009814F9"/>
    <w:rsid w:val="0098150D"/>
    <w:rsid w:val="009815F9"/>
    <w:rsid w:val="00981B50"/>
    <w:rsid w:val="00981BC4"/>
    <w:rsid w:val="00981C6E"/>
    <w:rsid w:val="00981E11"/>
    <w:rsid w:val="00981EEC"/>
    <w:rsid w:val="00981EFE"/>
    <w:rsid w:val="00981F0E"/>
    <w:rsid w:val="00981F7B"/>
    <w:rsid w:val="00982314"/>
    <w:rsid w:val="00982670"/>
    <w:rsid w:val="009828E2"/>
    <w:rsid w:val="00982AB5"/>
    <w:rsid w:val="00982C0D"/>
    <w:rsid w:val="00982C83"/>
    <w:rsid w:val="00982F48"/>
    <w:rsid w:val="00983231"/>
    <w:rsid w:val="0098343B"/>
    <w:rsid w:val="00983458"/>
    <w:rsid w:val="00983575"/>
    <w:rsid w:val="00983735"/>
    <w:rsid w:val="00983806"/>
    <w:rsid w:val="0098380F"/>
    <w:rsid w:val="00983863"/>
    <w:rsid w:val="00983926"/>
    <w:rsid w:val="00983AD0"/>
    <w:rsid w:val="00983DD0"/>
    <w:rsid w:val="00983FC9"/>
    <w:rsid w:val="00984110"/>
    <w:rsid w:val="009842FD"/>
    <w:rsid w:val="00984453"/>
    <w:rsid w:val="0098460A"/>
    <w:rsid w:val="00984C87"/>
    <w:rsid w:val="00984C90"/>
    <w:rsid w:val="00984CD3"/>
    <w:rsid w:val="00984F2D"/>
    <w:rsid w:val="00985093"/>
    <w:rsid w:val="00985478"/>
    <w:rsid w:val="0098550D"/>
    <w:rsid w:val="009856A7"/>
    <w:rsid w:val="009858CA"/>
    <w:rsid w:val="00985B66"/>
    <w:rsid w:val="00985CBB"/>
    <w:rsid w:val="00985D24"/>
    <w:rsid w:val="00985DF2"/>
    <w:rsid w:val="00985F50"/>
    <w:rsid w:val="00986ED9"/>
    <w:rsid w:val="00986F61"/>
    <w:rsid w:val="00986FE2"/>
    <w:rsid w:val="00987027"/>
    <w:rsid w:val="0098702D"/>
    <w:rsid w:val="009872C6"/>
    <w:rsid w:val="00987417"/>
    <w:rsid w:val="00987536"/>
    <w:rsid w:val="0098753C"/>
    <w:rsid w:val="0098757E"/>
    <w:rsid w:val="009876CB"/>
    <w:rsid w:val="0098775D"/>
    <w:rsid w:val="009877D4"/>
    <w:rsid w:val="00987E81"/>
    <w:rsid w:val="00987EC0"/>
    <w:rsid w:val="00990197"/>
    <w:rsid w:val="00990343"/>
    <w:rsid w:val="009904E0"/>
    <w:rsid w:val="009907F3"/>
    <w:rsid w:val="00990A6E"/>
    <w:rsid w:val="00990C64"/>
    <w:rsid w:val="009911C8"/>
    <w:rsid w:val="009912E7"/>
    <w:rsid w:val="00991353"/>
    <w:rsid w:val="009917F6"/>
    <w:rsid w:val="00991A0E"/>
    <w:rsid w:val="00991A55"/>
    <w:rsid w:val="00991DF4"/>
    <w:rsid w:val="00991FC9"/>
    <w:rsid w:val="009921C6"/>
    <w:rsid w:val="009923F9"/>
    <w:rsid w:val="00992843"/>
    <w:rsid w:val="0099287C"/>
    <w:rsid w:val="00992914"/>
    <w:rsid w:val="00992B42"/>
    <w:rsid w:val="00992C0F"/>
    <w:rsid w:val="00992F8C"/>
    <w:rsid w:val="00993048"/>
    <w:rsid w:val="009932E5"/>
    <w:rsid w:val="0099336E"/>
    <w:rsid w:val="00993853"/>
    <w:rsid w:val="009938EF"/>
    <w:rsid w:val="009939FB"/>
    <w:rsid w:val="00993D26"/>
    <w:rsid w:val="00993D8F"/>
    <w:rsid w:val="00993E56"/>
    <w:rsid w:val="00993E62"/>
    <w:rsid w:val="00994229"/>
    <w:rsid w:val="00994288"/>
    <w:rsid w:val="009945C0"/>
    <w:rsid w:val="009946C5"/>
    <w:rsid w:val="009947AF"/>
    <w:rsid w:val="00994827"/>
    <w:rsid w:val="009949B9"/>
    <w:rsid w:val="00994B2F"/>
    <w:rsid w:val="00994C00"/>
    <w:rsid w:val="00994C40"/>
    <w:rsid w:val="00994D3C"/>
    <w:rsid w:val="009951AB"/>
    <w:rsid w:val="009952A5"/>
    <w:rsid w:val="009953B7"/>
    <w:rsid w:val="00995512"/>
    <w:rsid w:val="00995594"/>
    <w:rsid w:val="009955B7"/>
    <w:rsid w:val="009956E2"/>
    <w:rsid w:val="00995756"/>
    <w:rsid w:val="0099587E"/>
    <w:rsid w:val="00995A11"/>
    <w:rsid w:val="00995C42"/>
    <w:rsid w:val="00995E43"/>
    <w:rsid w:val="00995EE4"/>
    <w:rsid w:val="009961BF"/>
    <w:rsid w:val="009963A7"/>
    <w:rsid w:val="0099644D"/>
    <w:rsid w:val="0099675C"/>
    <w:rsid w:val="00996A35"/>
    <w:rsid w:val="00996D8B"/>
    <w:rsid w:val="00996EB9"/>
    <w:rsid w:val="00997019"/>
    <w:rsid w:val="00997172"/>
    <w:rsid w:val="009971FF"/>
    <w:rsid w:val="00997307"/>
    <w:rsid w:val="00997351"/>
    <w:rsid w:val="009973DB"/>
    <w:rsid w:val="0099744F"/>
    <w:rsid w:val="009976BF"/>
    <w:rsid w:val="00997908"/>
    <w:rsid w:val="00997A58"/>
    <w:rsid w:val="00997A98"/>
    <w:rsid w:val="00997A9B"/>
    <w:rsid w:val="00997C8E"/>
    <w:rsid w:val="00997FF5"/>
    <w:rsid w:val="009A0161"/>
    <w:rsid w:val="009A0361"/>
    <w:rsid w:val="009A0417"/>
    <w:rsid w:val="009A0450"/>
    <w:rsid w:val="009A06EA"/>
    <w:rsid w:val="009A080F"/>
    <w:rsid w:val="009A091F"/>
    <w:rsid w:val="009A0A3F"/>
    <w:rsid w:val="009A0A5A"/>
    <w:rsid w:val="009A0A7F"/>
    <w:rsid w:val="009A0C30"/>
    <w:rsid w:val="009A0E52"/>
    <w:rsid w:val="009A0F8B"/>
    <w:rsid w:val="009A10B9"/>
    <w:rsid w:val="009A128A"/>
    <w:rsid w:val="009A12A5"/>
    <w:rsid w:val="009A12D7"/>
    <w:rsid w:val="009A1843"/>
    <w:rsid w:val="009A1949"/>
    <w:rsid w:val="009A198B"/>
    <w:rsid w:val="009A1A80"/>
    <w:rsid w:val="009A1B62"/>
    <w:rsid w:val="009A1DD8"/>
    <w:rsid w:val="009A203E"/>
    <w:rsid w:val="009A2154"/>
    <w:rsid w:val="009A2175"/>
    <w:rsid w:val="009A2321"/>
    <w:rsid w:val="009A23AB"/>
    <w:rsid w:val="009A23DA"/>
    <w:rsid w:val="009A2613"/>
    <w:rsid w:val="009A2A1D"/>
    <w:rsid w:val="009A304A"/>
    <w:rsid w:val="009A321D"/>
    <w:rsid w:val="009A326E"/>
    <w:rsid w:val="009A3272"/>
    <w:rsid w:val="009A3606"/>
    <w:rsid w:val="009A36C7"/>
    <w:rsid w:val="009A3965"/>
    <w:rsid w:val="009A397E"/>
    <w:rsid w:val="009A3B6A"/>
    <w:rsid w:val="009A403E"/>
    <w:rsid w:val="009A4338"/>
    <w:rsid w:val="009A43EA"/>
    <w:rsid w:val="009A4693"/>
    <w:rsid w:val="009A4729"/>
    <w:rsid w:val="009A487A"/>
    <w:rsid w:val="009A488B"/>
    <w:rsid w:val="009A4ECD"/>
    <w:rsid w:val="009A4FCA"/>
    <w:rsid w:val="009A5007"/>
    <w:rsid w:val="009A520C"/>
    <w:rsid w:val="009A5260"/>
    <w:rsid w:val="009A5331"/>
    <w:rsid w:val="009A5412"/>
    <w:rsid w:val="009A5591"/>
    <w:rsid w:val="009A59D7"/>
    <w:rsid w:val="009A5E5B"/>
    <w:rsid w:val="009A5EE0"/>
    <w:rsid w:val="009A5F47"/>
    <w:rsid w:val="009A5FE2"/>
    <w:rsid w:val="009A6311"/>
    <w:rsid w:val="009A6465"/>
    <w:rsid w:val="009A6986"/>
    <w:rsid w:val="009A69F6"/>
    <w:rsid w:val="009A6C88"/>
    <w:rsid w:val="009A729B"/>
    <w:rsid w:val="009A7523"/>
    <w:rsid w:val="009A7B5F"/>
    <w:rsid w:val="009A7C1F"/>
    <w:rsid w:val="009A7D20"/>
    <w:rsid w:val="009A7D2E"/>
    <w:rsid w:val="009A7F47"/>
    <w:rsid w:val="009A7F58"/>
    <w:rsid w:val="009B0024"/>
    <w:rsid w:val="009B026C"/>
    <w:rsid w:val="009B0938"/>
    <w:rsid w:val="009B0A5C"/>
    <w:rsid w:val="009B0B05"/>
    <w:rsid w:val="009B0B98"/>
    <w:rsid w:val="009B0CE7"/>
    <w:rsid w:val="009B0E65"/>
    <w:rsid w:val="009B0E73"/>
    <w:rsid w:val="009B1261"/>
    <w:rsid w:val="009B1335"/>
    <w:rsid w:val="009B1441"/>
    <w:rsid w:val="009B16D9"/>
    <w:rsid w:val="009B1821"/>
    <w:rsid w:val="009B18FC"/>
    <w:rsid w:val="009B1A93"/>
    <w:rsid w:val="009B22A6"/>
    <w:rsid w:val="009B22EB"/>
    <w:rsid w:val="009B24AF"/>
    <w:rsid w:val="009B260F"/>
    <w:rsid w:val="009B2707"/>
    <w:rsid w:val="009B2CF8"/>
    <w:rsid w:val="009B2EC1"/>
    <w:rsid w:val="009B31DB"/>
    <w:rsid w:val="009B33B6"/>
    <w:rsid w:val="009B3485"/>
    <w:rsid w:val="009B37AC"/>
    <w:rsid w:val="009B38F3"/>
    <w:rsid w:val="009B3E4F"/>
    <w:rsid w:val="009B3ED1"/>
    <w:rsid w:val="009B3F1C"/>
    <w:rsid w:val="009B45EF"/>
    <w:rsid w:val="009B479D"/>
    <w:rsid w:val="009B48A4"/>
    <w:rsid w:val="009B49B7"/>
    <w:rsid w:val="009B4B15"/>
    <w:rsid w:val="009B4B63"/>
    <w:rsid w:val="009B4C0F"/>
    <w:rsid w:val="009B4DBE"/>
    <w:rsid w:val="009B4EBD"/>
    <w:rsid w:val="009B4FE1"/>
    <w:rsid w:val="009B5032"/>
    <w:rsid w:val="009B52E6"/>
    <w:rsid w:val="009B53A3"/>
    <w:rsid w:val="009B59E0"/>
    <w:rsid w:val="009B5A0F"/>
    <w:rsid w:val="009B5A9F"/>
    <w:rsid w:val="009B5ABE"/>
    <w:rsid w:val="009B5EA4"/>
    <w:rsid w:val="009B6276"/>
    <w:rsid w:val="009B6565"/>
    <w:rsid w:val="009B6699"/>
    <w:rsid w:val="009B669E"/>
    <w:rsid w:val="009B68DC"/>
    <w:rsid w:val="009B6CB5"/>
    <w:rsid w:val="009B72BB"/>
    <w:rsid w:val="009B7603"/>
    <w:rsid w:val="009B772D"/>
    <w:rsid w:val="009B7874"/>
    <w:rsid w:val="009B7BE7"/>
    <w:rsid w:val="009B7C63"/>
    <w:rsid w:val="009B7E33"/>
    <w:rsid w:val="009C0032"/>
    <w:rsid w:val="009C0158"/>
    <w:rsid w:val="009C01CE"/>
    <w:rsid w:val="009C020E"/>
    <w:rsid w:val="009C0408"/>
    <w:rsid w:val="009C07BB"/>
    <w:rsid w:val="009C0883"/>
    <w:rsid w:val="009C0917"/>
    <w:rsid w:val="009C099B"/>
    <w:rsid w:val="009C0A53"/>
    <w:rsid w:val="009C0BBA"/>
    <w:rsid w:val="009C0CCB"/>
    <w:rsid w:val="009C0FB5"/>
    <w:rsid w:val="009C1030"/>
    <w:rsid w:val="009C1214"/>
    <w:rsid w:val="009C138B"/>
    <w:rsid w:val="009C15BB"/>
    <w:rsid w:val="009C1670"/>
    <w:rsid w:val="009C1872"/>
    <w:rsid w:val="009C19AD"/>
    <w:rsid w:val="009C19CD"/>
    <w:rsid w:val="009C19F0"/>
    <w:rsid w:val="009C1C5F"/>
    <w:rsid w:val="009C1D8F"/>
    <w:rsid w:val="009C1D99"/>
    <w:rsid w:val="009C1DE7"/>
    <w:rsid w:val="009C1E21"/>
    <w:rsid w:val="009C1E36"/>
    <w:rsid w:val="009C1EFA"/>
    <w:rsid w:val="009C2138"/>
    <w:rsid w:val="009C215D"/>
    <w:rsid w:val="009C21BD"/>
    <w:rsid w:val="009C225C"/>
    <w:rsid w:val="009C239E"/>
    <w:rsid w:val="009C27EA"/>
    <w:rsid w:val="009C29FF"/>
    <w:rsid w:val="009C2F05"/>
    <w:rsid w:val="009C2FAC"/>
    <w:rsid w:val="009C3064"/>
    <w:rsid w:val="009C316F"/>
    <w:rsid w:val="009C325F"/>
    <w:rsid w:val="009C3934"/>
    <w:rsid w:val="009C39D4"/>
    <w:rsid w:val="009C3AF7"/>
    <w:rsid w:val="009C3C56"/>
    <w:rsid w:val="009C3CAC"/>
    <w:rsid w:val="009C3E32"/>
    <w:rsid w:val="009C423E"/>
    <w:rsid w:val="009C463A"/>
    <w:rsid w:val="009C47BD"/>
    <w:rsid w:val="009C4823"/>
    <w:rsid w:val="009C4A03"/>
    <w:rsid w:val="009C4A09"/>
    <w:rsid w:val="009C4C06"/>
    <w:rsid w:val="009C4C89"/>
    <w:rsid w:val="009C4E2A"/>
    <w:rsid w:val="009C4EBD"/>
    <w:rsid w:val="009C534B"/>
    <w:rsid w:val="009C54FE"/>
    <w:rsid w:val="009C560C"/>
    <w:rsid w:val="009C57C6"/>
    <w:rsid w:val="009C5970"/>
    <w:rsid w:val="009C5B34"/>
    <w:rsid w:val="009C5E14"/>
    <w:rsid w:val="009C5FF6"/>
    <w:rsid w:val="009C6063"/>
    <w:rsid w:val="009C6233"/>
    <w:rsid w:val="009C628A"/>
    <w:rsid w:val="009C6298"/>
    <w:rsid w:val="009C62BD"/>
    <w:rsid w:val="009C6305"/>
    <w:rsid w:val="009C65CA"/>
    <w:rsid w:val="009C69F2"/>
    <w:rsid w:val="009C6AFF"/>
    <w:rsid w:val="009C6C93"/>
    <w:rsid w:val="009C6D87"/>
    <w:rsid w:val="009C713B"/>
    <w:rsid w:val="009C717D"/>
    <w:rsid w:val="009C73AF"/>
    <w:rsid w:val="009C7938"/>
    <w:rsid w:val="009C79C1"/>
    <w:rsid w:val="009C7B48"/>
    <w:rsid w:val="009C7BE2"/>
    <w:rsid w:val="009C7CB4"/>
    <w:rsid w:val="009C7D73"/>
    <w:rsid w:val="009C7E60"/>
    <w:rsid w:val="009C7F60"/>
    <w:rsid w:val="009C7F69"/>
    <w:rsid w:val="009D00B2"/>
    <w:rsid w:val="009D00CF"/>
    <w:rsid w:val="009D0248"/>
    <w:rsid w:val="009D026A"/>
    <w:rsid w:val="009D032A"/>
    <w:rsid w:val="009D03C4"/>
    <w:rsid w:val="009D085F"/>
    <w:rsid w:val="009D11AB"/>
    <w:rsid w:val="009D11AF"/>
    <w:rsid w:val="009D14BC"/>
    <w:rsid w:val="009D16B5"/>
    <w:rsid w:val="009D182D"/>
    <w:rsid w:val="009D184A"/>
    <w:rsid w:val="009D1989"/>
    <w:rsid w:val="009D19C9"/>
    <w:rsid w:val="009D1B47"/>
    <w:rsid w:val="009D1BEE"/>
    <w:rsid w:val="009D1D06"/>
    <w:rsid w:val="009D1EE3"/>
    <w:rsid w:val="009D2446"/>
    <w:rsid w:val="009D2652"/>
    <w:rsid w:val="009D280B"/>
    <w:rsid w:val="009D2A0E"/>
    <w:rsid w:val="009D2A7D"/>
    <w:rsid w:val="009D2BDC"/>
    <w:rsid w:val="009D2D06"/>
    <w:rsid w:val="009D30BD"/>
    <w:rsid w:val="009D310A"/>
    <w:rsid w:val="009D34BD"/>
    <w:rsid w:val="009D35F0"/>
    <w:rsid w:val="009D3651"/>
    <w:rsid w:val="009D3880"/>
    <w:rsid w:val="009D38A2"/>
    <w:rsid w:val="009D38B7"/>
    <w:rsid w:val="009D38D8"/>
    <w:rsid w:val="009D39B6"/>
    <w:rsid w:val="009D3A22"/>
    <w:rsid w:val="009D3CB1"/>
    <w:rsid w:val="009D3CF3"/>
    <w:rsid w:val="009D409D"/>
    <w:rsid w:val="009D40CC"/>
    <w:rsid w:val="009D411C"/>
    <w:rsid w:val="009D4150"/>
    <w:rsid w:val="009D4162"/>
    <w:rsid w:val="009D4229"/>
    <w:rsid w:val="009D42FE"/>
    <w:rsid w:val="009D437C"/>
    <w:rsid w:val="009D439C"/>
    <w:rsid w:val="009D49CE"/>
    <w:rsid w:val="009D4A52"/>
    <w:rsid w:val="009D4BD3"/>
    <w:rsid w:val="009D4C38"/>
    <w:rsid w:val="009D507B"/>
    <w:rsid w:val="009D5219"/>
    <w:rsid w:val="009D523F"/>
    <w:rsid w:val="009D52E3"/>
    <w:rsid w:val="009D53C9"/>
    <w:rsid w:val="009D5585"/>
    <w:rsid w:val="009D5595"/>
    <w:rsid w:val="009D5709"/>
    <w:rsid w:val="009D5AD2"/>
    <w:rsid w:val="009D5B66"/>
    <w:rsid w:val="009D5CC0"/>
    <w:rsid w:val="009D5EB7"/>
    <w:rsid w:val="009D60C3"/>
    <w:rsid w:val="009D624D"/>
    <w:rsid w:val="009D67B7"/>
    <w:rsid w:val="009D692F"/>
    <w:rsid w:val="009D6984"/>
    <w:rsid w:val="009D6A44"/>
    <w:rsid w:val="009D6AFD"/>
    <w:rsid w:val="009D6C00"/>
    <w:rsid w:val="009D6D90"/>
    <w:rsid w:val="009D72AB"/>
    <w:rsid w:val="009D736A"/>
    <w:rsid w:val="009D7590"/>
    <w:rsid w:val="009D75FD"/>
    <w:rsid w:val="009D76B6"/>
    <w:rsid w:val="009D7744"/>
    <w:rsid w:val="009D77E9"/>
    <w:rsid w:val="009D7889"/>
    <w:rsid w:val="009D7986"/>
    <w:rsid w:val="009E0139"/>
    <w:rsid w:val="009E01D8"/>
    <w:rsid w:val="009E04D3"/>
    <w:rsid w:val="009E0542"/>
    <w:rsid w:val="009E0565"/>
    <w:rsid w:val="009E0610"/>
    <w:rsid w:val="009E06C2"/>
    <w:rsid w:val="009E071C"/>
    <w:rsid w:val="009E08A0"/>
    <w:rsid w:val="009E0B1C"/>
    <w:rsid w:val="009E0C05"/>
    <w:rsid w:val="009E0E04"/>
    <w:rsid w:val="009E1173"/>
    <w:rsid w:val="009E1323"/>
    <w:rsid w:val="009E1674"/>
    <w:rsid w:val="009E1983"/>
    <w:rsid w:val="009E1AB5"/>
    <w:rsid w:val="009E1B7E"/>
    <w:rsid w:val="009E1BA1"/>
    <w:rsid w:val="009E1DE4"/>
    <w:rsid w:val="009E2072"/>
    <w:rsid w:val="009E213B"/>
    <w:rsid w:val="009E228E"/>
    <w:rsid w:val="009E2973"/>
    <w:rsid w:val="009E2AB5"/>
    <w:rsid w:val="009E2B43"/>
    <w:rsid w:val="009E2C94"/>
    <w:rsid w:val="009E2D47"/>
    <w:rsid w:val="009E31AD"/>
    <w:rsid w:val="009E3287"/>
    <w:rsid w:val="009E3360"/>
    <w:rsid w:val="009E3683"/>
    <w:rsid w:val="009E3755"/>
    <w:rsid w:val="009E382B"/>
    <w:rsid w:val="009E382C"/>
    <w:rsid w:val="009E382D"/>
    <w:rsid w:val="009E38F3"/>
    <w:rsid w:val="009E3B46"/>
    <w:rsid w:val="009E3B84"/>
    <w:rsid w:val="009E3B85"/>
    <w:rsid w:val="009E3EA4"/>
    <w:rsid w:val="009E3F2B"/>
    <w:rsid w:val="009E3F96"/>
    <w:rsid w:val="009E4111"/>
    <w:rsid w:val="009E413D"/>
    <w:rsid w:val="009E4330"/>
    <w:rsid w:val="009E4557"/>
    <w:rsid w:val="009E4A98"/>
    <w:rsid w:val="009E4B96"/>
    <w:rsid w:val="009E4ECD"/>
    <w:rsid w:val="009E5123"/>
    <w:rsid w:val="009E537C"/>
    <w:rsid w:val="009E537F"/>
    <w:rsid w:val="009E54EC"/>
    <w:rsid w:val="009E57F5"/>
    <w:rsid w:val="009E593B"/>
    <w:rsid w:val="009E5A3F"/>
    <w:rsid w:val="009E5B8C"/>
    <w:rsid w:val="009E5D2E"/>
    <w:rsid w:val="009E5EAF"/>
    <w:rsid w:val="009E5FC6"/>
    <w:rsid w:val="009E6008"/>
    <w:rsid w:val="009E6424"/>
    <w:rsid w:val="009E65A6"/>
    <w:rsid w:val="009E6614"/>
    <w:rsid w:val="009E671A"/>
    <w:rsid w:val="009E67ED"/>
    <w:rsid w:val="009E6A97"/>
    <w:rsid w:val="009E6ABC"/>
    <w:rsid w:val="009E6C60"/>
    <w:rsid w:val="009E6EDC"/>
    <w:rsid w:val="009E6F12"/>
    <w:rsid w:val="009E721D"/>
    <w:rsid w:val="009E7252"/>
    <w:rsid w:val="009E7AC7"/>
    <w:rsid w:val="009E7AFD"/>
    <w:rsid w:val="009E7B9B"/>
    <w:rsid w:val="009E7BB6"/>
    <w:rsid w:val="009F004C"/>
    <w:rsid w:val="009F0070"/>
    <w:rsid w:val="009F01B4"/>
    <w:rsid w:val="009F0237"/>
    <w:rsid w:val="009F033F"/>
    <w:rsid w:val="009F035E"/>
    <w:rsid w:val="009F0482"/>
    <w:rsid w:val="009F0619"/>
    <w:rsid w:val="009F0688"/>
    <w:rsid w:val="009F06B4"/>
    <w:rsid w:val="009F07C2"/>
    <w:rsid w:val="009F09D6"/>
    <w:rsid w:val="009F0CF6"/>
    <w:rsid w:val="009F10F0"/>
    <w:rsid w:val="009F1439"/>
    <w:rsid w:val="009F1522"/>
    <w:rsid w:val="009F189E"/>
    <w:rsid w:val="009F1971"/>
    <w:rsid w:val="009F1E73"/>
    <w:rsid w:val="009F208C"/>
    <w:rsid w:val="009F2314"/>
    <w:rsid w:val="009F2491"/>
    <w:rsid w:val="009F2699"/>
    <w:rsid w:val="009F26B0"/>
    <w:rsid w:val="009F2702"/>
    <w:rsid w:val="009F2DBD"/>
    <w:rsid w:val="009F2DCA"/>
    <w:rsid w:val="009F3270"/>
    <w:rsid w:val="009F3571"/>
    <w:rsid w:val="009F35F7"/>
    <w:rsid w:val="009F3672"/>
    <w:rsid w:val="009F3692"/>
    <w:rsid w:val="009F37A1"/>
    <w:rsid w:val="009F3B6D"/>
    <w:rsid w:val="009F3C46"/>
    <w:rsid w:val="009F3D6C"/>
    <w:rsid w:val="009F4073"/>
    <w:rsid w:val="009F42C7"/>
    <w:rsid w:val="009F4347"/>
    <w:rsid w:val="009F4663"/>
    <w:rsid w:val="009F475D"/>
    <w:rsid w:val="009F48F2"/>
    <w:rsid w:val="009F492D"/>
    <w:rsid w:val="009F4B85"/>
    <w:rsid w:val="009F4C5F"/>
    <w:rsid w:val="009F4DA7"/>
    <w:rsid w:val="009F4DB4"/>
    <w:rsid w:val="009F4EF5"/>
    <w:rsid w:val="009F4FDF"/>
    <w:rsid w:val="009F51DD"/>
    <w:rsid w:val="009F52AE"/>
    <w:rsid w:val="009F534A"/>
    <w:rsid w:val="009F536B"/>
    <w:rsid w:val="009F5887"/>
    <w:rsid w:val="009F5A7F"/>
    <w:rsid w:val="009F5F68"/>
    <w:rsid w:val="009F5FA1"/>
    <w:rsid w:val="009F5FE6"/>
    <w:rsid w:val="009F6550"/>
    <w:rsid w:val="009F6581"/>
    <w:rsid w:val="009F6642"/>
    <w:rsid w:val="009F6697"/>
    <w:rsid w:val="009F672A"/>
    <w:rsid w:val="009F6839"/>
    <w:rsid w:val="009F6C1E"/>
    <w:rsid w:val="009F6DB4"/>
    <w:rsid w:val="009F6E5B"/>
    <w:rsid w:val="009F7135"/>
    <w:rsid w:val="009F71CF"/>
    <w:rsid w:val="009F72FD"/>
    <w:rsid w:val="009F741A"/>
    <w:rsid w:val="009F76A8"/>
    <w:rsid w:val="009F76B8"/>
    <w:rsid w:val="009F7E87"/>
    <w:rsid w:val="009F7F83"/>
    <w:rsid w:val="00A000D7"/>
    <w:rsid w:val="00A00148"/>
    <w:rsid w:val="00A00197"/>
    <w:rsid w:val="00A002A9"/>
    <w:rsid w:val="00A00656"/>
    <w:rsid w:val="00A00749"/>
    <w:rsid w:val="00A007A6"/>
    <w:rsid w:val="00A00CED"/>
    <w:rsid w:val="00A00EE1"/>
    <w:rsid w:val="00A00F3D"/>
    <w:rsid w:val="00A010C3"/>
    <w:rsid w:val="00A0134A"/>
    <w:rsid w:val="00A01414"/>
    <w:rsid w:val="00A0141B"/>
    <w:rsid w:val="00A014D4"/>
    <w:rsid w:val="00A01841"/>
    <w:rsid w:val="00A0187E"/>
    <w:rsid w:val="00A018D1"/>
    <w:rsid w:val="00A018F5"/>
    <w:rsid w:val="00A019BB"/>
    <w:rsid w:val="00A01BFD"/>
    <w:rsid w:val="00A01F2A"/>
    <w:rsid w:val="00A02142"/>
    <w:rsid w:val="00A0214F"/>
    <w:rsid w:val="00A0230C"/>
    <w:rsid w:val="00A025A1"/>
    <w:rsid w:val="00A02732"/>
    <w:rsid w:val="00A02963"/>
    <w:rsid w:val="00A02A80"/>
    <w:rsid w:val="00A02DF2"/>
    <w:rsid w:val="00A03108"/>
    <w:rsid w:val="00A03179"/>
    <w:rsid w:val="00A03270"/>
    <w:rsid w:val="00A0336D"/>
    <w:rsid w:val="00A0366D"/>
    <w:rsid w:val="00A03737"/>
    <w:rsid w:val="00A038A7"/>
    <w:rsid w:val="00A03A7B"/>
    <w:rsid w:val="00A03AB1"/>
    <w:rsid w:val="00A03DF7"/>
    <w:rsid w:val="00A04221"/>
    <w:rsid w:val="00A042E4"/>
    <w:rsid w:val="00A0433B"/>
    <w:rsid w:val="00A046C9"/>
    <w:rsid w:val="00A047A4"/>
    <w:rsid w:val="00A048AE"/>
    <w:rsid w:val="00A04983"/>
    <w:rsid w:val="00A04B5F"/>
    <w:rsid w:val="00A04B6A"/>
    <w:rsid w:val="00A04F82"/>
    <w:rsid w:val="00A05059"/>
    <w:rsid w:val="00A0506B"/>
    <w:rsid w:val="00A05079"/>
    <w:rsid w:val="00A0508D"/>
    <w:rsid w:val="00A050C3"/>
    <w:rsid w:val="00A0519F"/>
    <w:rsid w:val="00A051A5"/>
    <w:rsid w:val="00A054DB"/>
    <w:rsid w:val="00A0553D"/>
    <w:rsid w:val="00A056B1"/>
    <w:rsid w:val="00A05711"/>
    <w:rsid w:val="00A0574E"/>
    <w:rsid w:val="00A0593F"/>
    <w:rsid w:val="00A059CB"/>
    <w:rsid w:val="00A05C9C"/>
    <w:rsid w:val="00A05C9D"/>
    <w:rsid w:val="00A05CB8"/>
    <w:rsid w:val="00A05F3F"/>
    <w:rsid w:val="00A05FE0"/>
    <w:rsid w:val="00A0653B"/>
    <w:rsid w:val="00A06771"/>
    <w:rsid w:val="00A067AF"/>
    <w:rsid w:val="00A0682C"/>
    <w:rsid w:val="00A069E1"/>
    <w:rsid w:val="00A06D0A"/>
    <w:rsid w:val="00A06D1C"/>
    <w:rsid w:val="00A06F1D"/>
    <w:rsid w:val="00A06F29"/>
    <w:rsid w:val="00A070D4"/>
    <w:rsid w:val="00A071AE"/>
    <w:rsid w:val="00A072C0"/>
    <w:rsid w:val="00A073FF"/>
    <w:rsid w:val="00A07560"/>
    <w:rsid w:val="00A07640"/>
    <w:rsid w:val="00A076AC"/>
    <w:rsid w:val="00A07812"/>
    <w:rsid w:val="00A07B23"/>
    <w:rsid w:val="00A07E13"/>
    <w:rsid w:val="00A101FB"/>
    <w:rsid w:val="00A1023C"/>
    <w:rsid w:val="00A106E7"/>
    <w:rsid w:val="00A10844"/>
    <w:rsid w:val="00A10873"/>
    <w:rsid w:val="00A10979"/>
    <w:rsid w:val="00A10A4E"/>
    <w:rsid w:val="00A10B71"/>
    <w:rsid w:val="00A10C81"/>
    <w:rsid w:val="00A10CE6"/>
    <w:rsid w:val="00A1142E"/>
    <w:rsid w:val="00A11707"/>
    <w:rsid w:val="00A11713"/>
    <w:rsid w:val="00A11A4A"/>
    <w:rsid w:val="00A11CDC"/>
    <w:rsid w:val="00A11DA5"/>
    <w:rsid w:val="00A1276A"/>
    <w:rsid w:val="00A12899"/>
    <w:rsid w:val="00A128FB"/>
    <w:rsid w:val="00A12D87"/>
    <w:rsid w:val="00A13005"/>
    <w:rsid w:val="00A1310D"/>
    <w:rsid w:val="00A13272"/>
    <w:rsid w:val="00A134BB"/>
    <w:rsid w:val="00A13685"/>
    <w:rsid w:val="00A138D5"/>
    <w:rsid w:val="00A139F0"/>
    <w:rsid w:val="00A13B02"/>
    <w:rsid w:val="00A13B76"/>
    <w:rsid w:val="00A14097"/>
    <w:rsid w:val="00A140B4"/>
    <w:rsid w:val="00A140F9"/>
    <w:rsid w:val="00A14101"/>
    <w:rsid w:val="00A1411B"/>
    <w:rsid w:val="00A1414F"/>
    <w:rsid w:val="00A1441F"/>
    <w:rsid w:val="00A144F2"/>
    <w:rsid w:val="00A1474E"/>
    <w:rsid w:val="00A148B7"/>
    <w:rsid w:val="00A1491A"/>
    <w:rsid w:val="00A14A27"/>
    <w:rsid w:val="00A14A6E"/>
    <w:rsid w:val="00A14EA0"/>
    <w:rsid w:val="00A15256"/>
    <w:rsid w:val="00A15387"/>
    <w:rsid w:val="00A158EC"/>
    <w:rsid w:val="00A15C34"/>
    <w:rsid w:val="00A15D08"/>
    <w:rsid w:val="00A16861"/>
    <w:rsid w:val="00A16A8D"/>
    <w:rsid w:val="00A16B9D"/>
    <w:rsid w:val="00A16BDC"/>
    <w:rsid w:val="00A16F63"/>
    <w:rsid w:val="00A17243"/>
    <w:rsid w:val="00A1726D"/>
    <w:rsid w:val="00A17578"/>
    <w:rsid w:val="00A177CB"/>
    <w:rsid w:val="00A179E5"/>
    <w:rsid w:val="00A17A51"/>
    <w:rsid w:val="00A17C0B"/>
    <w:rsid w:val="00A2043A"/>
    <w:rsid w:val="00A204D1"/>
    <w:rsid w:val="00A204F1"/>
    <w:rsid w:val="00A2052E"/>
    <w:rsid w:val="00A20666"/>
    <w:rsid w:val="00A20B2A"/>
    <w:rsid w:val="00A20BBF"/>
    <w:rsid w:val="00A20FD6"/>
    <w:rsid w:val="00A2120D"/>
    <w:rsid w:val="00A2135A"/>
    <w:rsid w:val="00A21478"/>
    <w:rsid w:val="00A2151C"/>
    <w:rsid w:val="00A21542"/>
    <w:rsid w:val="00A2181C"/>
    <w:rsid w:val="00A2197D"/>
    <w:rsid w:val="00A21A00"/>
    <w:rsid w:val="00A21B3B"/>
    <w:rsid w:val="00A21C1C"/>
    <w:rsid w:val="00A21CB2"/>
    <w:rsid w:val="00A21E52"/>
    <w:rsid w:val="00A22353"/>
    <w:rsid w:val="00A22631"/>
    <w:rsid w:val="00A2271B"/>
    <w:rsid w:val="00A22833"/>
    <w:rsid w:val="00A228E3"/>
    <w:rsid w:val="00A22AC6"/>
    <w:rsid w:val="00A232C7"/>
    <w:rsid w:val="00A23315"/>
    <w:rsid w:val="00A233D9"/>
    <w:rsid w:val="00A23453"/>
    <w:rsid w:val="00A2358C"/>
    <w:rsid w:val="00A2361F"/>
    <w:rsid w:val="00A23940"/>
    <w:rsid w:val="00A23B6F"/>
    <w:rsid w:val="00A23D18"/>
    <w:rsid w:val="00A23D66"/>
    <w:rsid w:val="00A2400C"/>
    <w:rsid w:val="00A2404F"/>
    <w:rsid w:val="00A240B6"/>
    <w:rsid w:val="00A2427B"/>
    <w:rsid w:val="00A244B0"/>
    <w:rsid w:val="00A2450C"/>
    <w:rsid w:val="00A248F3"/>
    <w:rsid w:val="00A2498E"/>
    <w:rsid w:val="00A24A01"/>
    <w:rsid w:val="00A24CCE"/>
    <w:rsid w:val="00A24E1F"/>
    <w:rsid w:val="00A24E73"/>
    <w:rsid w:val="00A25101"/>
    <w:rsid w:val="00A2545C"/>
    <w:rsid w:val="00A255FD"/>
    <w:rsid w:val="00A256A0"/>
    <w:rsid w:val="00A256FE"/>
    <w:rsid w:val="00A25B58"/>
    <w:rsid w:val="00A25F48"/>
    <w:rsid w:val="00A25F89"/>
    <w:rsid w:val="00A262FB"/>
    <w:rsid w:val="00A2642E"/>
    <w:rsid w:val="00A264BE"/>
    <w:rsid w:val="00A2653D"/>
    <w:rsid w:val="00A2661E"/>
    <w:rsid w:val="00A2664B"/>
    <w:rsid w:val="00A26B00"/>
    <w:rsid w:val="00A26BD2"/>
    <w:rsid w:val="00A26D45"/>
    <w:rsid w:val="00A26E1A"/>
    <w:rsid w:val="00A26E89"/>
    <w:rsid w:val="00A2779E"/>
    <w:rsid w:val="00A277B5"/>
    <w:rsid w:val="00A27865"/>
    <w:rsid w:val="00A2792B"/>
    <w:rsid w:val="00A27A35"/>
    <w:rsid w:val="00A27AA9"/>
    <w:rsid w:val="00A27D11"/>
    <w:rsid w:val="00A27F13"/>
    <w:rsid w:val="00A3000B"/>
    <w:rsid w:val="00A305F4"/>
    <w:rsid w:val="00A30931"/>
    <w:rsid w:val="00A30A4B"/>
    <w:rsid w:val="00A30B99"/>
    <w:rsid w:val="00A30C3D"/>
    <w:rsid w:val="00A30C41"/>
    <w:rsid w:val="00A30F8E"/>
    <w:rsid w:val="00A3154E"/>
    <w:rsid w:val="00A31B88"/>
    <w:rsid w:val="00A31DBB"/>
    <w:rsid w:val="00A31FF9"/>
    <w:rsid w:val="00A325C7"/>
    <w:rsid w:val="00A325F7"/>
    <w:rsid w:val="00A326E4"/>
    <w:rsid w:val="00A32DA4"/>
    <w:rsid w:val="00A32E79"/>
    <w:rsid w:val="00A32EDB"/>
    <w:rsid w:val="00A33289"/>
    <w:rsid w:val="00A33451"/>
    <w:rsid w:val="00A33473"/>
    <w:rsid w:val="00A3363D"/>
    <w:rsid w:val="00A336BD"/>
    <w:rsid w:val="00A33A95"/>
    <w:rsid w:val="00A33B0B"/>
    <w:rsid w:val="00A33C06"/>
    <w:rsid w:val="00A33D69"/>
    <w:rsid w:val="00A34072"/>
    <w:rsid w:val="00A34421"/>
    <w:rsid w:val="00A3460F"/>
    <w:rsid w:val="00A3461B"/>
    <w:rsid w:val="00A34654"/>
    <w:rsid w:val="00A34763"/>
    <w:rsid w:val="00A347AD"/>
    <w:rsid w:val="00A3497E"/>
    <w:rsid w:val="00A34C55"/>
    <w:rsid w:val="00A34E2D"/>
    <w:rsid w:val="00A34E67"/>
    <w:rsid w:val="00A34F23"/>
    <w:rsid w:val="00A34FD6"/>
    <w:rsid w:val="00A3503A"/>
    <w:rsid w:val="00A35089"/>
    <w:rsid w:val="00A352FB"/>
    <w:rsid w:val="00A3532A"/>
    <w:rsid w:val="00A35428"/>
    <w:rsid w:val="00A354C4"/>
    <w:rsid w:val="00A35A47"/>
    <w:rsid w:val="00A35C96"/>
    <w:rsid w:val="00A35E05"/>
    <w:rsid w:val="00A35E5F"/>
    <w:rsid w:val="00A35F71"/>
    <w:rsid w:val="00A35FCE"/>
    <w:rsid w:val="00A360AB"/>
    <w:rsid w:val="00A361A3"/>
    <w:rsid w:val="00A36329"/>
    <w:rsid w:val="00A363B4"/>
    <w:rsid w:val="00A36440"/>
    <w:rsid w:val="00A3657C"/>
    <w:rsid w:val="00A36653"/>
    <w:rsid w:val="00A36798"/>
    <w:rsid w:val="00A36809"/>
    <w:rsid w:val="00A3682E"/>
    <w:rsid w:val="00A36A24"/>
    <w:rsid w:val="00A36D19"/>
    <w:rsid w:val="00A36DA6"/>
    <w:rsid w:val="00A36EE3"/>
    <w:rsid w:val="00A3708A"/>
    <w:rsid w:val="00A370D3"/>
    <w:rsid w:val="00A3729B"/>
    <w:rsid w:val="00A375ED"/>
    <w:rsid w:val="00A37A9B"/>
    <w:rsid w:val="00A37C09"/>
    <w:rsid w:val="00A37DA0"/>
    <w:rsid w:val="00A401B8"/>
    <w:rsid w:val="00A40376"/>
    <w:rsid w:val="00A403E2"/>
    <w:rsid w:val="00A404D1"/>
    <w:rsid w:val="00A405CA"/>
    <w:rsid w:val="00A4062F"/>
    <w:rsid w:val="00A40662"/>
    <w:rsid w:val="00A40897"/>
    <w:rsid w:val="00A40ADE"/>
    <w:rsid w:val="00A40B18"/>
    <w:rsid w:val="00A40B29"/>
    <w:rsid w:val="00A40B42"/>
    <w:rsid w:val="00A40CD6"/>
    <w:rsid w:val="00A40E36"/>
    <w:rsid w:val="00A40E8C"/>
    <w:rsid w:val="00A410E6"/>
    <w:rsid w:val="00A4117E"/>
    <w:rsid w:val="00A419F9"/>
    <w:rsid w:val="00A41AFC"/>
    <w:rsid w:val="00A41C29"/>
    <w:rsid w:val="00A41F9A"/>
    <w:rsid w:val="00A421D4"/>
    <w:rsid w:val="00A42254"/>
    <w:rsid w:val="00A42535"/>
    <w:rsid w:val="00A425DE"/>
    <w:rsid w:val="00A425F3"/>
    <w:rsid w:val="00A42828"/>
    <w:rsid w:val="00A428CC"/>
    <w:rsid w:val="00A42B1F"/>
    <w:rsid w:val="00A42CF5"/>
    <w:rsid w:val="00A42CF9"/>
    <w:rsid w:val="00A42E1E"/>
    <w:rsid w:val="00A42E36"/>
    <w:rsid w:val="00A42F43"/>
    <w:rsid w:val="00A43175"/>
    <w:rsid w:val="00A431CF"/>
    <w:rsid w:val="00A4331F"/>
    <w:rsid w:val="00A43B26"/>
    <w:rsid w:val="00A43C9C"/>
    <w:rsid w:val="00A43F09"/>
    <w:rsid w:val="00A43F7D"/>
    <w:rsid w:val="00A43F98"/>
    <w:rsid w:val="00A44113"/>
    <w:rsid w:val="00A44179"/>
    <w:rsid w:val="00A4462B"/>
    <w:rsid w:val="00A446D9"/>
    <w:rsid w:val="00A4471F"/>
    <w:rsid w:val="00A44A10"/>
    <w:rsid w:val="00A44AA6"/>
    <w:rsid w:val="00A44CCD"/>
    <w:rsid w:val="00A44E70"/>
    <w:rsid w:val="00A451B4"/>
    <w:rsid w:val="00A45438"/>
    <w:rsid w:val="00A45A01"/>
    <w:rsid w:val="00A45CCD"/>
    <w:rsid w:val="00A45EC5"/>
    <w:rsid w:val="00A46082"/>
    <w:rsid w:val="00A460B1"/>
    <w:rsid w:val="00A46322"/>
    <w:rsid w:val="00A46593"/>
    <w:rsid w:val="00A46680"/>
    <w:rsid w:val="00A46975"/>
    <w:rsid w:val="00A469CD"/>
    <w:rsid w:val="00A46C49"/>
    <w:rsid w:val="00A46F40"/>
    <w:rsid w:val="00A471DB"/>
    <w:rsid w:val="00A4724C"/>
    <w:rsid w:val="00A475A7"/>
    <w:rsid w:val="00A4775B"/>
    <w:rsid w:val="00A47AF7"/>
    <w:rsid w:val="00A47B6F"/>
    <w:rsid w:val="00A47CC9"/>
    <w:rsid w:val="00A47CD9"/>
    <w:rsid w:val="00A50331"/>
    <w:rsid w:val="00A5085C"/>
    <w:rsid w:val="00A50A3F"/>
    <w:rsid w:val="00A50B48"/>
    <w:rsid w:val="00A50C0E"/>
    <w:rsid w:val="00A50D30"/>
    <w:rsid w:val="00A50D37"/>
    <w:rsid w:val="00A50D3B"/>
    <w:rsid w:val="00A5102E"/>
    <w:rsid w:val="00A51160"/>
    <w:rsid w:val="00A5145A"/>
    <w:rsid w:val="00A514CE"/>
    <w:rsid w:val="00A51867"/>
    <w:rsid w:val="00A51A19"/>
    <w:rsid w:val="00A51B17"/>
    <w:rsid w:val="00A51B2C"/>
    <w:rsid w:val="00A51B90"/>
    <w:rsid w:val="00A51CAC"/>
    <w:rsid w:val="00A51DD2"/>
    <w:rsid w:val="00A51E31"/>
    <w:rsid w:val="00A51F1C"/>
    <w:rsid w:val="00A51F25"/>
    <w:rsid w:val="00A51F6E"/>
    <w:rsid w:val="00A52119"/>
    <w:rsid w:val="00A5219D"/>
    <w:rsid w:val="00A5259A"/>
    <w:rsid w:val="00A52617"/>
    <w:rsid w:val="00A5294A"/>
    <w:rsid w:val="00A52C9D"/>
    <w:rsid w:val="00A52CB7"/>
    <w:rsid w:val="00A52D94"/>
    <w:rsid w:val="00A531B1"/>
    <w:rsid w:val="00A53261"/>
    <w:rsid w:val="00A53298"/>
    <w:rsid w:val="00A532DA"/>
    <w:rsid w:val="00A536F9"/>
    <w:rsid w:val="00A5384E"/>
    <w:rsid w:val="00A53D58"/>
    <w:rsid w:val="00A54098"/>
    <w:rsid w:val="00A540EC"/>
    <w:rsid w:val="00A541AD"/>
    <w:rsid w:val="00A54404"/>
    <w:rsid w:val="00A54543"/>
    <w:rsid w:val="00A5457F"/>
    <w:rsid w:val="00A547E2"/>
    <w:rsid w:val="00A54B85"/>
    <w:rsid w:val="00A54BDC"/>
    <w:rsid w:val="00A54C66"/>
    <w:rsid w:val="00A54DE7"/>
    <w:rsid w:val="00A550E7"/>
    <w:rsid w:val="00A551C3"/>
    <w:rsid w:val="00A554BC"/>
    <w:rsid w:val="00A554EE"/>
    <w:rsid w:val="00A55B01"/>
    <w:rsid w:val="00A55C6B"/>
    <w:rsid w:val="00A56045"/>
    <w:rsid w:val="00A5613C"/>
    <w:rsid w:val="00A56283"/>
    <w:rsid w:val="00A562D0"/>
    <w:rsid w:val="00A56427"/>
    <w:rsid w:val="00A56676"/>
    <w:rsid w:val="00A56992"/>
    <w:rsid w:val="00A56A54"/>
    <w:rsid w:val="00A56AFD"/>
    <w:rsid w:val="00A56B48"/>
    <w:rsid w:val="00A56B5C"/>
    <w:rsid w:val="00A56C20"/>
    <w:rsid w:val="00A56C58"/>
    <w:rsid w:val="00A56C8A"/>
    <w:rsid w:val="00A56D66"/>
    <w:rsid w:val="00A56E64"/>
    <w:rsid w:val="00A56FF9"/>
    <w:rsid w:val="00A5720D"/>
    <w:rsid w:val="00A572D4"/>
    <w:rsid w:val="00A57375"/>
    <w:rsid w:val="00A574BC"/>
    <w:rsid w:val="00A57BD4"/>
    <w:rsid w:val="00A57C6A"/>
    <w:rsid w:val="00A57E3A"/>
    <w:rsid w:val="00A57E5C"/>
    <w:rsid w:val="00A57E96"/>
    <w:rsid w:val="00A600CB"/>
    <w:rsid w:val="00A6020C"/>
    <w:rsid w:val="00A60216"/>
    <w:rsid w:val="00A6025D"/>
    <w:rsid w:val="00A60472"/>
    <w:rsid w:val="00A60555"/>
    <w:rsid w:val="00A605A0"/>
    <w:rsid w:val="00A606AD"/>
    <w:rsid w:val="00A609A4"/>
    <w:rsid w:val="00A60C13"/>
    <w:rsid w:val="00A60D1F"/>
    <w:rsid w:val="00A6103D"/>
    <w:rsid w:val="00A61099"/>
    <w:rsid w:val="00A611A4"/>
    <w:rsid w:val="00A6123A"/>
    <w:rsid w:val="00A61358"/>
    <w:rsid w:val="00A614BC"/>
    <w:rsid w:val="00A61561"/>
    <w:rsid w:val="00A61926"/>
    <w:rsid w:val="00A61B9F"/>
    <w:rsid w:val="00A61BCB"/>
    <w:rsid w:val="00A61E3C"/>
    <w:rsid w:val="00A6210F"/>
    <w:rsid w:val="00A6213C"/>
    <w:rsid w:val="00A6214E"/>
    <w:rsid w:val="00A621AF"/>
    <w:rsid w:val="00A62739"/>
    <w:rsid w:val="00A62BF2"/>
    <w:rsid w:val="00A62C15"/>
    <w:rsid w:val="00A62D18"/>
    <w:rsid w:val="00A62DB3"/>
    <w:rsid w:val="00A62E2B"/>
    <w:rsid w:val="00A62FD5"/>
    <w:rsid w:val="00A62FF5"/>
    <w:rsid w:val="00A6308D"/>
    <w:rsid w:val="00A634E3"/>
    <w:rsid w:val="00A63608"/>
    <w:rsid w:val="00A636C1"/>
    <w:rsid w:val="00A6380C"/>
    <w:rsid w:val="00A638E0"/>
    <w:rsid w:val="00A63FD6"/>
    <w:rsid w:val="00A64090"/>
    <w:rsid w:val="00A64198"/>
    <w:rsid w:val="00A6419E"/>
    <w:rsid w:val="00A6428A"/>
    <w:rsid w:val="00A642E1"/>
    <w:rsid w:val="00A642E5"/>
    <w:rsid w:val="00A642E6"/>
    <w:rsid w:val="00A64559"/>
    <w:rsid w:val="00A6468D"/>
    <w:rsid w:val="00A64787"/>
    <w:rsid w:val="00A647F6"/>
    <w:rsid w:val="00A6480A"/>
    <w:rsid w:val="00A649EE"/>
    <w:rsid w:val="00A64A65"/>
    <w:rsid w:val="00A64D88"/>
    <w:rsid w:val="00A64EDC"/>
    <w:rsid w:val="00A65127"/>
    <w:rsid w:val="00A65366"/>
    <w:rsid w:val="00A65483"/>
    <w:rsid w:val="00A65487"/>
    <w:rsid w:val="00A654BA"/>
    <w:rsid w:val="00A65886"/>
    <w:rsid w:val="00A6588F"/>
    <w:rsid w:val="00A65948"/>
    <w:rsid w:val="00A6595F"/>
    <w:rsid w:val="00A65BB8"/>
    <w:rsid w:val="00A65BF9"/>
    <w:rsid w:val="00A65DE2"/>
    <w:rsid w:val="00A65F95"/>
    <w:rsid w:val="00A66216"/>
    <w:rsid w:val="00A665CD"/>
    <w:rsid w:val="00A66668"/>
    <w:rsid w:val="00A66864"/>
    <w:rsid w:val="00A66996"/>
    <w:rsid w:val="00A669D3"/>
    <w:rsid w:val="00A66A1B"/>
    <w:rsid w:val="00A66ABB"/>
    <w:rsid w:val="00A66F89"/>
    <w:rsid w:val="00A671E1"/>
    <w:rsid w:val="00A671FB"/>
    <w:rsid w:val="00A6728E"/>
    <w:rsid w:val="00A67344"/>
    <w:rsid w:val="00A6741E"/>
    <w:rsid w:val="00A674EA"/>
    <w:rsid w:val="00A675CB"/>
    <w:rsid w:val="00A6769A"/>
    <w:rsid w:val="00A6770E"/>
    <w:rsid w:val="00A678B0"/>
    <w:rsid w:val="00A67DEE"/>
    <w:rsid w:val="00A67E19"/>
    <w:rsid w:val="00A703CF"/>
    <w:rsid w:val="00A706DB"/>
    <w:rsid w:val="00A70948"/>
    <w:rsid w:val="00A70993"/>
    <w:rsid w:val="00A709D2"/>
    <w:rsid w:val="00A70A5D"/>
    <w:rsid w:val="00A70D88"/>
    <w:rsid w:val="00A70E0C"/>
    <w:rsid w:val="00A70E56"/>
    <w:rsid w:val="00A71559"/>
    <w:rsid w:val="00A716BE"/>
    <w:rsid w:val="00A718D7"/>
    <w:rsid w:val="00A718F6"/>
    <w:rsid w:val="00A71DBA"/>
    <w:rsid w:val="00A71DFF"/>
    <w:rsid w:val="00A71E5A"/>
    <w:rsid w:val="00A720F4"/>
    <w:rsid w:val="00A72153"/>
    <w:rsid w:val="00A7222D"/>
    <w:rsid w:val="00A7226C"/>
    <w:rsid w:val="00A72289"/>
    <w:rsid w:val="00A7250B"/>
    <w:rsid w:val="00A72585"/>
    <w:rsid w:val="00A72647"/>
    <w:rsid w:val="00A727DE"/>
    <w:rsid w:val="00A728CC"/>
    <w:rsid w:val="00A729AC"/>
    <w:rsid w:val="00A72A29"/>
    <w:rsid w:val="00A72A83"/>
    <w:rsid w:val="00A72EF0"/>
    <w:rsid w:val="00A733EF"/>
    <w:rsid w:val="00A73452"/>
    <w:rsid w:val="00A73909"/>
    <w:rsid w:val="00A73B75"/>
    <w:rsid w:val="00A73B88"/>
    <w:rsid w:val="00A73F8A"/>
    <w:rsid w:val="00A7409B"/>
    <w:rsid w:val="00A740DA"/>
    <w:rsid w:val="00A743EE"/>
    <w:rsid w:val="00A74705"/>
    <w:rsid w:val="00A748B2"/>
    <w:rsid w:val="00A74CD7"/>
    <w:rsid w:val="00A74D69"/>
    <w:rsid w:val="00A74D6C"/>
    <w:rsid w:val="00A75211"/>
    <w:rsid w:val="00A753D5"/>
    <w:rsid w:val="00A75629"/>
    <w:rsid w:val="00A759E5"/>
    <w:rsid w:val="00A75ABB"/>
    <w:rsid w:val="00A75AC8"/>
    <w:rsid w:val="00A75B9E"/>
    <w:rsid w:val="00A762E1"/>
    <w:rsid w:val="00A76328"/>
    <w:rsid w:val="00A765D1"/>
    <w:rsid w:val="00A76733"/>
    <w:rsid w:val="00A7687A"/>
    <w:rsid w:val="00A76A28"/>
    <w:rsid w:val="00A76B31"/>
    <w:rsid w:val="00A76BF4"/>
    <w:rsid w:val="00A76E20"/>
    <w:rsid w:val="00A76F0A"/>
    <w:rsid w:val="00A770B0"/>
    <w:rsid w:val="00A770F0"/>
    <w:rsid w:val="00A7769E"/>
    <w:rsid w:val="00A779A0"/>
    <w:rsid w:val="00A77ACD"/>
    <w:rsid w:val="00A77B67"/>
    <w:rsid w:val="00A77E3C"/>
    <w:rsid w:val="00A77EB7"/>
    <w:rsid w:val="00A8018D"/>
    <w:rsid w:val="00A80820"/>
    <w:rsid w:val="00A809BD"/>
    <w:rsid w:val="00A80CE5"/>
    <w:rsid w:val="00A80EA9"/>
    <w:rsid w:val="00A81056"/>
    <w:rsid w:val="00A81081"/>
    <w:rsid w:val="00A81191"/>
    <w:rsid w:val="00A811E5"/>
    <w:rsid w:val="00A81232"/>
    <w:rsid w:val="00A81284"/>
    <w:rsid w:val="00A812EC"/>
    <w:rsid w:val="00A81344"/>
    <w:rsid w:val="00A81688"/>
    <w:rsid w:val="00A816A0"/>
    <w:rsid w:val="00A816C1"/>
    <w:rsid w:val="00A81A25"/>
    <w:rsid w:val="00A81B0C"/>
    <w:rsid w:val="00A81D6B"/>
    <w:rsid w:val="00A81E64"/>
    <w:rsid w:val="00A81EEB"/>
    <w:rsid w:val="00A821F3"/>
    <w:rsid w:val="00A82238"/>
    <w:rsid w:val="00A82278"/>
    <w:rsid w:val="00A8231E"/>
    <w:rsid w:val="00A824AA"/>
    <w:rsid w:val="00A825E9"/>
    <w:rsid w:val="00A82782"/>
    <w:rsid w:val="00A8286E"/>
    <w:rsid w:val="00A82AE8"/>
    <w:rsid w:val="00A82D1A"/>
    <w:rsid w:val="00A82D98"/>
    <w:rsid w:val="00A82EDF"/>
    <w:rsid w:val="00A830DB"/>
    <w:rsid w:val="00A8314E"/>
    <w:rsid w:val="00A832A8"/>
    <w:rsid w:val="00A8342A"/>
    <w:rsid w:val="00A83610"/>
    <w:rsid w:val="00A836DB"/>
    <w:rsid w:val="00A836EE"/>
    <w:rsid w:val="00A83A0F"/>
    <w:rsid w:val="00A8407A"/>
    <w:rsid w:val="00A84091"/>
    <w:rsid w:val="00A842B7"/>
    <w:rsid w:val="00A8431D"/>
    <w:rsid w:val="00A84359"/>
    <w:rsid w:val="00A845B5"/>
    <w:rsid w:val="00A845CB"/>
    <w:rsid w:val="00A84932"/>
    <w:rsid w:val="00A84AB4"/>
    <w:rsid w:val="00A84B6F"/>
    <w:rsid w:val="00A84B74"/>
    <w:rsid w:val="00A84C43"/>
    <w:rsid w:val="00A84C52"/>
    <w:rsid w:val="00A84CA6"/>
    <w:rsid w:val="00A85021"/>
    <w:rsid w:val="00A851E5"/>
    <w:rsid w:val="00A8537F"/>
    <w:rsid w:val="00A85564"/>
    <w:rsid w:val="00A8562C"/>
    <w:rsid w:val="00A856CE"/>
    <w:rsid w:val="00A8579F"/>
    <w:rsid w:val="00A85B74"/>
    <w:rsid w:val="00A85BCA"/>
    <w:rsid w:val="00A85C2E"/>
    <w:rsid w:val="00A85D26"/>
    <w:rsid w:val="00A85D32"/>
    <w:rsid w:val="00A86011"/>
    <w:rsid w:val="00A86122"/>
    <w:rsid w:val="00A8628F"/>
    <w:rsid w:val="00A86346"/>
    <w:rsid w:val="00A8638E"/>
    <w:rsid w:val="00A86663"/>
    <w:rsid w:val="00A86909"/>
    <w:rsid w:val="00A869E4"/>
    <w:rsid w:val="00A86A7D"/>
    <w:rsid w:val="00A86CB8"/>
    <w:rsid w:val="00A86E5C"/>
    <w:rsid w:val="00A86F06"/>
    <w:rsid w:val="00A86F1E"/>
    <w:rsid w:val="00A87627"/>
    <w:rsid w:val="00A876FE"/>
    <w:rsid w:val="00A876FF"/>
    <w:rsid w:val="00A8774E"/>
    <w:rsid w:val="00A8785F"/>
    <w:rsid w:val="00A87A42"/>
    <w:rsid w:val="00A900F6"/>
    <w:rsid w:val="00A902B9"/>
    <w:rsid w:val="00A90360"/>
    <w:rsid w:val="00A90465"/>
    <w:rsid w:val="00A9056E"/>
    <w:rsid w:val="00A906FC"/>
    <w:rsid w:val="00A90844"/>
    <w:rsid w:val="00A90919"/>
    <w:rsid w:val="00A9092C"/>
    <w:rsid w:val="00A90BA1"/>
    <w:rsid w:val="00A90BC9"/>
    <w:rsid w:val="00A90E15"/>
    <w:rsid w:val="00A90F54"/>
    <w:rsid w:val="00A91101"/>
    <w:rsid w:val="00A9141E"/>
    <w:rsid w:val="00A9146C"/>
    <w:rsid w:val="00A9167B"/>
    <w:rsid w:val="00A91B6D"/>
    <w:rsid w:val="00A91BB6"/>
    <w:rsid w:val="00A91C81"/>
    <w:rsid w:val="00A91E1A"/>
    <w:rsid w:val="00A9212D"/>
    <w:rsid w:val="00A921FD"/>
    <w:rsid w:val="00A924AB"/>
    <w:rsid w:val="00A924F6"/>
    <w:rsid w:val="00A92590"/>
    <w:rsid w:val="00A925DE"/>
    <w:rsid w:val="00A92602"/>
    <w:rsid w:val="00A92632"/>
    <w:rsid w:val="00A926FC"/>
    <w:rsid w:val="00A92D8F"/>
    <w:rsid w:val="00A92D98"/>
    <w:rsid w:val="00A93345"/>
    <w:rsid w:val="00A935B9"/>
    <w:rsid w:val="00A935DB"/>
    <w:rsid w:val="00A93900"/>
    <w:rsid w:val="00A93BB6"/>
    <w:rsid w:val="00A93F89"/>
    <w:rsid w:val="00A941CF"/>
    <w:rsid w:val="00A94309"/>
    <w:rsid w:val="00A944D7"/>
    <w:rsid w:val="00A945D6"/>
    <w:rsid w:val="00A9478E"/>
    <w:rsid w:val="00A947F5"/>
    <w:rsid w:val="00A94A20"/>
    <w:rsid w:val="00A94B10"/>
    <w:rsid w:val="00A94BCA"/>
    <w:rsid w:val="00A94C4E"/>
    <w:rsid w:val="00A94D98"/>
    <w:rsid w:val="00A94E02"/>
    <w:rsid w:val="00A9519D"/>
    <w:rsid w:val="00A956D4"/>
    <w:rsid w:val="00A956D7"/>
    <w:rsid w:val="00A95846"/>
    <w:rsid w:val="00A95894"/>
    <w:rsid w:val="00A95C31"/>
    <w:rsid w:val="00A95C72"/>
    <w:rsid w:val="00A95CD1"/>
    <w:rsid w:val="00A95EF8"/>
    <w:rsid w:val="00A961E6"/>
    <w:rsid w:val="00A96408"/>
    <w:rsid w:val="00A964A3"/>
    <w:rsid w:val="00A96752"/>
    <w:rsid w:val="00A967FC"/>
    <w:rsid w:val="00A96B40"/>
    <w:rsid w:val="00A9724D"/>
    <w:rsid w:val="00A973BA"/>
    <w:rsid w:val="00A97559"/>
    <w:rsid w:val="00A9763E"/>
    <w:rsid w:val="00A9773F"/>
    <w:rsid w:val="00A978CA"/>
    <w:rsid w:val="00A979A4"/>
    <w:rsid w:val="00A97DEB"/>
    <w:rsid w:val="00A97E6A"/>
    <w:rsid w:val="00A97F45"/>
    <w:rsid w:val="00A97F67"/>
    <w:rsid w:val="00AA01E5"/>
    <w:rsid w:val="00AA02E0"/>
    <w:rsid w:val="00AA04E1"/>
    <w:rsid w:val="00AA0786"/>
    <w:rsid w:val="00AA07A4"/>
    <w:rsid w:val="00AA0A7A"/>
    <w:rsid w:val="00AA0ACF"/>
    <w:rsid w:val="00AA0C81"/>
    <w:rsid w:val="00AA0EFF"/>
    <w:rsid w:val="00AA12CD"/>
    <w:rsid w:val="00AA1436"/>
    <w:rsid w:val="00AA1490"/>
    <w:rsid w:val="00AA15FA"/>
    <w:rsid w:val="00AA160A"/>
    <w:rsid w:val="00AA16C5"/>
    <w:rsid w:val="00AA1782"/>
    <w:rsid w:val="00AA184D"/>
    <w:rsid w:val="00AA1ACE"/>
    <w:rsid w:val="00AA1D9F"/>
    <w:rsid w:val="00AA2081"/>
    <w:rsid w:val="00AA234F"/>
    <w:rsid w:val="00AA240E"/>
    <w:rsid w:val="00AA245D"/>
    <w:rsid w:val="00AA253A"/>
    <w:rsid w:val="00AA269A"/>
    <w:rsid w:val="00AA2852"/>
    <w:rsid w:val="00AA28F7"/>
    <w:rsid w:val="00AA2985"/>
    <w:rsid w:val="00AA2B64"/>
    <w:rsid w:val="00AA2CC4"/>
    <w:rsid w:val="00AA2DCF"/>
    <w:rsid w:val="00AA2DF9"/>
    <w:rsid w:val="00AA2FCB"/>
    <w:rsid w:val="00AA3279"/>
    <w:rsid w:val="00AA36A4"/>
    <w:rsid w:val="00AA387B"/>
    <w:rsid w:val="00AA389A"/>
    <w:rsid w:val="00AA3A54"/>
    <w:rsid w:val="00AA3A86"/>
    <w:rsid w:val="00AA3C77"/>
    <w:rsid w:val="00AA4028"/>
    <w:rsid w:val="00AA40F0"/>
    <w:rsid w:val="00AA412C"/>
    <w:rsid w:val="00AA41E0"/>
    <w:rsid w:val="00AA42C2"/>
    <w:rsid w:val="00AA4330"/>
    <w:rsid w:val="00AA43A1"/>
    <w:rsid w:val="00AA44AB"/>
    <w:rsid w:val="00AA4505"/>
    <w:rsid w:val="00AA4819"/>
    <w:rsid w:val="00AA4B68"/>
    <w:rsid w:val="00AA4DC4"/>
    <w:rsid w:val="00AA50C2"/>
    <w:rsid w:val="00AA53E5"/>
    <w:rsid w:val="00AA57B0"/>
    <w:rsid w:val="00AA580B"/>
    <w:rsid w:val="00AA5A2E"/>
    <w:rsid w:val="00AA5A50"/>
    <w:rsid w:val="00AA5A51"/>
    <w:rsid w:val="00AA5AF3"/>
    <w:rsid w:val="00AA5BCC"/>
    <w:rsid w:val="00AA5C84"/>
    <w:rsid w:val="00AA5E3B"/>
    <w:rsid w:val="00AA5F31"/>
    <w:rsid w:val="00AA5F47"/>
    <w:rsid w:val="00AA6140"/>
    <w:rsid w:val="00AA6195"/>
    <w:rsid w:val="00AA6249"/>
    <w:rsid w:val="00AA62B6"/>
    <w:rsid w:val="00AA63FC"/>
    <w:rsid w:val="00AA67BC"/>
    <w:rsid w:val="00AA696C"/>
    <w:rsid w:val="00AA6A0D"/>
    <w:rsid w:val="00AA6A91"/>
    <w:rsid w:val="00AA6AC8"/>
    <w:rsid w:val="00AA6E78"/>
    <w:rsid w:val="00AA6E83"/>
    <w:rsid w:val="00AA6FC3"/>
    <w:rsid w:val="00AA70D1"/>
    <w:rsid w:val="00AA7374"/>
    <w:rsid w:val="00AA73E6"/>
    <w:rsid w:val="00AA742D"/>
    <w:rsid w:val="00AA75F0"/>
    <w:rsid w:val="00AA774E"/>
    <w:rsid w:val="00AA783C"/>
    <w:rsid w:val="00AA78E7"/>
    <w:rsid w:val="00AA7929"/>
    <w:rsid w:val="00AA7A45"/>
    <w:rsid w:val="00AA7BC7"/>
    <w:rsid w:val="00AA7C7E"/>
    <w:rsid w:val="00AA7C9E"/>
    <w:rsid w:val="00AA7CB6"/>
    <w:rsid w:val="00AA7F81"/>
    <w:rsid w:val="00AB0101"/>
    <w:rsid w:val="00AB017F"/>
    <w:rsid w:val="00AB021F"/>
    <w:rsid w:val="00AB0439"/>
    <w:rsid w:val="00AB0752"/>
    <w:rsid w:val="00AB0802"/>
    <w:rsid w:val="00AB0984"/>
    <w:rsid w:val="00AB09F3"/>
    <w:rsid w:val="00AB0AC7"/>
    <w:rsid w:val="00AB0BC0"/>
    <w:rsid w:val="00AB0CA5"/>
    <w:rsid w:val="00AB0E6D"/>
    <w:rsid w:val="00AB117B"/>
    <w:rsid w:val="00AB11B9"/>
    <w:rsid w:val="00AB12C7"/>
    <w:rsid w:val="00AB14F5"/>
    <w:rsid w:val="00AB156C"/>
    <w:rsid w:val="00AB1571"/>
    <w:rsid w:val="00AB158F"/>
    <w:rsid w:val="00AB169D"/>
    <w:rsid w:val="00AB1765"/>
    <w:rsid w:val="00AB17DF"/>
    <w:rsid w:val="00AB19B4"/>
    <w:rsid w:val="00AB1A5E"/>
    <w:rsid w:val="00AB1DAC"/>
    <w:rsid w:val="00AB1FFB"/>
    <w:rsid w:val="00AB221D"/>
    <w:rsid w:val="00AB2501"/>
    <w:rsid w:val="00AB25C6"/>
    <w:rsid w:val="00AB29AD"/>
    <w:rsid w:val="00AB2AD2"/>
    <w:rsid w:val="00AB2FB6"/>
    <w:rsid w:val="00AB30FA"/>
    <w:rsid w:val="00AB31BB"/>
    <w:rsid w:val="00AB3252"/>
    <w:rsid w:val="00AB3305"/>
    <w:rsid w:val="00AB36A7"/>
    <w:rsid w:val="00AB37D4"/>
    <w:rsid w:val="00AB37E5"/>
    <w:rsid w:val="00AB3A08"/>
    <w:rsid w:val="00AB3BB2"/>
    <w:rsid w:val="00AB3C30"/>
    <w:rsid w:val="00AB3D2C"/>
    <w:rsid w:val="00AB3DB2"/>
    <w:rsid w:val="00AB408F"/>
    <w:rsid w:val="00AB4411"/>
    <w:rsid w:val="00AB4558"/>
    <w:rsid w:val="00AB4573"/>
    <w:rsid w:val="00AB459B"/>
    <w:rsid w:val="00AB459F"/>
    <w:rsid w:val="00AB47E3"/>
    <w:rsid w:val="00AB4952"/>
    <w:rsid w:val="00AB49A1"/>
    <w:rsid w:val="00AB4D0C"/>
    <w:rsid w:val="00AB4EDF"/>
    <w:rsid w:val="00AB4EFB"/>
    <w:rsid w:val="00AB5212"/>
    <w:rsid w:val="00AB5351"/>
    <w:rsid w:val="00AB5764"/>
    <w:rsid w:val="00AB5B3C"/>
    <w:rsid w:val="00AB5BE1"/>
    <w:rsid w:val="00AB5E4E"/>
    <w:rsid w:val="00AB6064"/>
    <w:rsid w:val="00AB60B9"/>
    <w:rsid w:val="00AB624D"/>
    <w:rsid w:val="00AB62A5"/>
    <w:rsid w:val="00AB62CA"/>
    <w:rsid w:val="00AB6435"/>
    <w:rsid w:val="00AB6436"/>
    <w:rsid w:val="00AB64F7"/>
    <w:rsid w:val="00AB656A"/>
    <w:rsid w:val="00AB682E"/>
    <w:rsid w:val="00AB691C"/>
    <w:rsid w:val="00AB6CF2"/>
    <w:rsid w:val="00AB6F89"/>
    <w:rsid w:val="00AB6FA5"/>
    <w:rsid w:val="00AB710C"/>
    <w:rsid w:val="00AB7233"/>
    <w:rsid w:val="00AB7385"/>
    <w:rsid w:val="00AB7715"/>
    <w:rsid w:val="00AB7747"/>
    <w:rsid w:val="00AB7780"/>
    <w:rsid w:val="00AB7A5A"/>
    <w:rsid w:val="00AB7A7A"/>
    <w:rsid w:val="00AB7F19"/>
    <w:rsid w:val="00AC0107"/>
    <w:rsid w:val="00AC018B"/>
    <w:rsid w:val="00AC01DD"/>
    <w:rsid w:val="00AC0203"/>
    <w:rsid w:val="00AC025C"/>
    <w:rsid w:val="00AC043A"/>
    <w:rsid w:val="00AC0475"/>
    <w:rsid w:val="00AC04B0"/>
    <w:rsid w:val="00AC059C"/>
    <w:rsid w:val="00AC05DF"/>
    <w:rsid w:val="00AC070E"/>
    <w:rsid w:val="00AC075B"/>
    <w:rsid w:val="00AC0B81"/>
    <w:rsid w:val="00AC0CC2"/>
    <w:rsid w:val="00AC1366"/>
    <w:rsid w:val="00AC13DE"/>
    <w:rsid w:val="00AC177A"/>
    <w:rsid w:val="00AC194C"/>
    <w:rsid w:val="00AC1A64"/>
    <w:rsid w:val="00AC1D00"/>
    <w:rsid w:val="00AC1E39"/>
    <w:rsid w:val="00AC2005"/>
    <w:rsid w:val="00AC23B3"/>
    <w:rsid w:val="00AC2462"/>
    <w:rsid w:val="00AC2782"/>
    <w:rsid w:val="00AC2880"/>
    <w:rsid w:val="00AC28C8"/>
    <w:rsid w:val="00AC2ABE"/>
    <w:rsid w:val="00AC2AE5"/>
    <w:rsid w:val="00AC2B2E"/>
    <w:rsid w:val="00AC2F59"/>
    <w:rsid w:val="00AC2F60"/>
    <w:rsid w:val="00AC3026"/>
    <w:rsid w:val="00AC326A"/>
    <w:rsid w:val="00AC32DE"/>
    <w:rsid w:val="00AC354B"/>
    <w:rsid w:val="00AC37A9"/>
    <w:rsid w:val="00AC398D"/>
    <w:rsid w:val="00AC3A9C"/>
    <w:rsid w:val="00AC3B7B"/>
    <w:rsid w:val="00AC3EF7"/>
    <w:rsid w:val="00AC41E3"/>
    <w:rsid w:val="00AC4243"/>
    <w:rsid w:val="00AC4331"/>
    <w:rsid w:val="00AC43D2"/>
    <w:rsid w:val="00AC45A0"/>
    <w:rsid w:val="00AC45DF"/>
    <w:rsid w:val="00AC467C"/>
    <w:rsid w:val="00AC47CA"/>
    <w:rsid w:val="00AC484E"/>
    <w:rsid w:val="00AC495A"/>
    <w:rsid w:val="00AC4B14"/>
    <w:rsid w:val="00AC4E90"/>
    <w:rsid w:val="00AC534C"/>
    <w:rsid w:val="00AC539D"/>
    <w:rsid w:val="00AC5493"/>
    <w:rsid w:val="00AC5533"/>
    <w:rsid w:val="00AC557C"/>
    <w:rsid w:val="00AC57C9"/>
    <w:rsid w:val="00AC57F7"/>
    <w:rsid w:val="00AC5A72"/>
    <w:rsid w:val="00AC5D31"/>
    <w:rsid w:val="00AC5E06"/>
    <w:rsid w:val="00AC6243"/>
    <w:rsid w:val="00AC626A"/>
    <w:rsid w:val="00AC631A"/>
    <w:rsid w:val="00AC6324"/>
    <w:rsid w:val="00AC6327"/>
    <w:rsid w:val="00AC635A"/>
    <w:rsid w:val="00AC64A8"/>
    <w:rsid w:val="00AC6561"/>
    <w:rsid w:val="00AC66C8"/>
    <w:rsid w:val="00AC6C60"/>
    <w:rsid w:val="00AC6CAB"/>
    <w:rsid w:val="00AC6D34"/>
    <w:rsid w:val="00AC6F00"/>
    <w:rsid w:val="00AC6F17"/>
    <w:rsid w:val="00AC705E"/>
    <w:rsid w:val="00AC7250"/>
    <w:rsid w:val="00AC7288"/>
    <w:rsid w:val="00AC739A"/>
    <w:rsid w:val="00AC739B"/>
    <w:rsid w:val="00AC7401"/>
    <w:rsid w:val="00AC7487"/>
    <w:rsid w:val="00AC7616"/>
    <w:rsid w:val="00AC77E3"/>
    <w:rsid w:val="00AC77F4"/>
    <w:rsid w:val="00AC7AA7"/>
    <w:rsid w:val="00AC7C09"/>
    <w:rsid w:val="00AC7CB1"/>
    <w:rsid w:val="00AC7CC5"/>
    <w:rsid w:val="00AC7DF2"/>
    <w:rsid w:val="00AC7F0E"/>
    <w:rsid w:val="00AC7FE1"/>
    <w:rsid w:val="00AD018D"/>
    <w:rsid w:val="00AD0685"/>
    <w:rsid w:val="00AD071E"/>
    <w:rsid w:val="00AD090A"/>
    <w:rsid w:val="00AD092D"/>
    <w:rsid w:val="00AD0DA4"/>
    <w:rsid w:val="00AD0DCE"/>
    <w:rsid w:val="00AD0E3D"/>
    <w:rsid w:val="00AD0F37"/>
    <w:rsid w:val="00AD15A4"/>
    <w:rsid w:val="00AD1DB8"/>
    <w:rsid w:val="00AD2056"/>
    <w:rsid w:val="00AD2200"/>
    <w:rsid w:val="00AD223A"/>
    <w:rsid w:val="00AD2294"/>
    <w:rsid w:val="00AD235F"/>
    <w:rsid w:val="00AD23BC"/>
    <w:rsid w:val="00AD265B"/>
    <w:rsid w:val="00AD269F"/>
    <w:rsid w:val="00AD26F8"/>
    <w:rsid w:val="00AD29A2"/>
    <w:rsid w:val="00AD29DC"/>
    <w:rsid w:val="00AD2B8F"/>
    <w:rsid w:val="00AD2BCE"/>
    <w:rsid w:val="00AD2C39"/>
    <w:rsid w:val="00AD2F8C"/>
    <w:rsid w:val="00AD2FB2"/>
    <w:rsid w:val="00AD3016"/>
    <w:rsid w:val="00AD31D6"/>
    <w:rsid w:val="00AD3435"/>
    <w:rsid w:val="00AD3471"/>
    <w:rsid w:val="00AD3CA5"/>
    <w:rsid w:val="00AD3D45"/>
    <w:rsid w:val="00AD3E72"/>
    <w:rsid w:val="00AD41C2"/>
    <w:rsid w:val="00AD4387"/>
    <w:rsid w:val="00AD4419"/>
    <w:rsid w:val="00AD447D"/>
    <w:rsid w:val="00AD4713"/>
    <w:rsid w:val="00AD4795"/>
    <w:rsid w:val="00AD4A5D"/>
    <w:rsid w:val="00AD4B72"/>
    <w:rsid w:val="00AD4DED"/>
    <w:rsid w:val="00AD4F3A"/>
    <w:rsid w:val="00AD50B8"/>
    <w:rsid w:val="00AD520F"/>
    <w:rsid w:val="00AD536E"/>
    <w:rsid w:val="00AD5517"/>
    <w:rsid w:val="00AD569E"/>
    <w:rsid w:val="00AD5705"/>
    <w:rsid w:val="00AD5728"/>
    <w:rsid w:val="00AD5811"/>
    <w:rsid w:val="00AD5DF8"/>
    <w:rsid w:val="00AD5E4C"/>
    <w:rsid w:val="00AD5F4D"/>
    <w:rsid w:val="00AD609E"/>
    <w:rsid w:val="00AD613C"/>
    <w:rsid w:val="00AD626A"/>
    <w:rsid w:val="00AD6325"/>
    <w:rsid w:val="00AD63B5"/>
    <w:rsid w:val="00AD6479"/>
    <w:rsid w:val="00AD6DD3"/>
    <w:rsid w:val="00AD6E5F"/>
    <w:rsid w:val="00AD7085"/>
    <w:rsid w:val="00AD73F8"/>
    <w:rsid w:val="00AD7522"/>
    <w:rsid w:val="00AD78CD"/>
    <w:rsid w:val="00AD7953"/>
    <w:rsid w:val="00AD79A8"/>
    <w:rsid w:val="00AD7A4F"/>
    <w:rsid w:val="00AD7A5D"/>
    <w:rsid w:val="00AD7A8B"/>
    <w:rsid w:val="00AD7A95"/>
    <w:rsid w:val="00AD7C66"/>
    <w:rsid w:val="00AD7C7C"/>
    <w:rsid w:val="00AD7E01"/>
    <w:rsid w:val="00AD7F9B"/>
    <w:rsid w:val="00AE0075"/>
    <w:rsid w:val="00AE00C6"/>
    <w:rsid w:val="00AE057F"/>
    <w:rsid w:val="00AE06E9"/>
    <w:rsid w:val="00AE06FA"/>
    <w:rsid w:val="00AE0833"/>
    <w:rsid w:val="00AE093D"/>
    <w:rsid w:val="00AE0A19"/>
    <w:rsid w:val="00AE0FC1"/>
    <w:rsid w:val="00AE1258"/>
    <w:rsid w:val="00AE1349"/>
    <w:rsid w:val="00AE1468"/>
    <w:rsid w:val="00AE158F"/>
    <w:rsid w:val="00AE18C7"/>
    <w:rsid w:val="00AE1D08"/>
    <w:rsid w:val="00AE1D98"/>
    <w:rsid w:val="00AE1E7D"/>
    <w:rsid w:val="00AE200C"/>
    <w:rsid w:val="00AE244F"/>
    <w:rsid w:val="00AE263E"/>
    <w:rsid w:val="00AE26CA"/>
    <w:rsid w:val="00AE27E1"/>
    <w:rsid w:val="00AE2820"/>
    <w:rsid w:val="00AE28A3"/>
    <w:rsid w:val="00AE2CDD"/>
    <w:rsid w:val="00AE2D15"/>
    <w:rsid w:val="00AE2DC7"/>
    <w:rsid w:val="00AE2F6A"/>
    <w:rsid w:val="00AE32BD"/>
    <w:rsid w:val="00AE330C"/>
    <w:rsid w:val="00AE3506"/>
    <w:rsid w:val="00AE35FD"/>
    <w:rsid w:val="00AE3760"/>
    <w:rsid w:val="00AE3957"/>
    <w:rsid w:val="00AE39FA"/>
    <w:rsid w:val="00AE3AC9"/>
    <w:rsid w:val="00AE3D87"/>
    <w:rsid w:val="00AE3E85"/>
    <w:rsid w:val="00AE3F65"/>
    <w:rsid w:val="00AE408C"/>
    <w:rsid w:val="00AE4118"/>
    <w:rsid w:val="00AE41B0"/>
    <w:rsid w:val="00AE41DF"/>
    <w:rsid w:val="00AE42A2"/>
    <w:rsid w:val="00AE44F9"/>
    <w:rsid w:val="00AE454E"/>
    <w:rsid w:val="00AE457E"/>
    <w:rsid w:val="00AE463A"/>
    <w:rsid w:val="00AE47CD"/>
    <w:rsid w:val="00AE4846"/>
    <w:rsid w:val="00AE4877"/>
    <w:rsid w:val="00AE4883"/>
    <w:rsid w:val="00AE490D"/>
    <w:rsid w:val="00AE4BB8"/>
    <w:rsid w:val="00AE4D18"/>
    <w:rsid w:val="00AE4E16"/>
    <w:rsid w:val="00AE4E5A"/>
    <w:rsid w:val="00AE4EE7"/>
    <w:rsid w:val="00AE4F71"/>
    <w:rsid w:val="00AE50D8"/>
    <w:rsid w:val="00AE537C"/>
    <w:rsid w:val="00AE54D2"/>
    <w:rsid w:val="00AE56E9"/>
    <w:rsid w:val="00AE5B42"/>
    <w:rsid w:val="00AE5B9A"/>
    <w:rsid w:val="00AE5D18"/>
    <w:rsid w:val="00AE5DE3"/>
    <w:rsid w:val="00AE5E20"/>
    <w:rsid w:val="00AE60AA"/>
    <w:rsid w:val="00AE60CF"/>
    <w:rsid w:val="00AE6221"/>
    <w:rsid w:val="00AE6263"/>
    <w:rsid w:val="00AE629E"/>
    <w:rsid w:val="00AE652F"/>
    <w:rsid w:val="00AE6B30"/>
    <w:rsid w:val="00AE6F19"/>
    <w:rsid w:val="00AE7188"/>
    <w:rsid w:val="00AE71BF"/>
    <w:rsid w:val="00AE72A1"/>
    <w:rsid w:val="00AE741F"/>
    <w:rsid w:val="00AE7486"/>
    <w:rsid w:val="00AE751B"/>
    <w:rsid w:val="00AE768C"/>
    <w:rsid w:val="00AE7968"/>
    <w:rsid w:val="00AE7A75"/>
    <w:rsid w:val="00AE7CC8"/>
    <w:rsid w:val="00AE7FC4"/>
    <w:rsid w:val="00AF0113"/>
    <w:rsid w:val="00AF01E4"/>
    <w:rsid w:val="00AF030B"/>
    <w:rsid w:val="00AF03B2"/>
    <w:rsid w:val="00AF03CE"/>
    <w:rsid w:val="00AF0473"/>
    <w:rsid w:val="00AF061E"/>
    <w:rsid w:val="00AF065C"/>
    <w:rsid w:val="00AF0670"/>
    <w:rsid w:val="00AF0B9F"/>
    <w:rsid w:val="00AF0CB3"/>
    <w:rsid w:val="00AF0D2A"/>
    <w:rsid w:val="00AF0E67"/>
    <w:rsid w:val="00AF0E8E"/>
    <w:rsid w:val="00AF0EDE"/>
    <w:rsid w:val="00AF1054"/>
    <w:rsid w:val="00AF1374"/>
    <w:rsid w:val="00AF15B1"/>
    <w:rsid w:val="00AF169B"/>
    <w:rsid w:val="00AF175E"/>
    <w:rsid w:val="00AF17C0"/>
    <w:rsid w:val="00AF1819"/>
    <w:rsid w:val="00AF184E"/>
    <w:rsid w:val="00AF18E8"/>
    <w:rsid w:val="00AF1B3D"/>
    <w:rsid w:val="00AF1BDB"/>
    <w:rsid w:val="00AF1E5F"/>
    <w:rsid w:val="00AF1F87"/>
    <w:rsid w:val="00AF1FAC"/>
    <w:rsid w:val="00AF1FC9"/>
    <w:rsid w:val="00AF21CF"/>
    <w:rsid w:val="00AF22F5"/>
    <w:rsid w:val="00AF23C5"/>
    <w:rsid w:val="00AF2590"/>
    <w:rsid w:val="00AF25CF"/>
    <w:rsid w:val="00AF2726"/>
    <w:rsid w:val="00AF2735"/>
    <w:rsid w:val="00AF28E0"/>
    <w:rsid w:val="00AF28E1"/>
    <w:rsid w:val="00AF29C1"/>
    <w:rsid w:val="00AF2B03"/>
    <w:rsid w:val="00AF2FA0"/>
    <w:rsid w:val="00AF2FAD"/>
    <w:rsid w:val="00AF3225"/>
    <w:rsid w:val="00AF35A8"/>
    <w:rsid w:val="00AF3865"/>
    <w:rsid w:val="00AF38B9"/>
    <w:rsid w:val="00AF38BA"/>
    <w:rsid w:val="00AF38D9"/>
    <w:rsid w:val="00AF3A17"/>
    <w:rsid w:val="00AF3A32"/>
    <w:rsid w:val="00AF3CE8"/>
    <w:rsid w:val="00AF3D0C"/>
    <w:rsid w:val="00AF3D37"/>
    <w:rsid w:val="00AF3F63"/>
    <w:rsid w:val="00AF411B"/>
    <w:rsid w:val="00AF4336"/>
    <w:rsid w:val="00AF4377"/>
    <w:rsid w:val="00AF44E5"/>
    <w:rsid w:val="00AF478B"/>
    <w:rsid w:val="00AF48C3"/>
    <w:rsid w:val="00AF48D3"/>
    <w:rsid w:val="00AF4AD2"/>
    <w:rsid w:val="00AF5447"/>
    <w:rsid w:val="00AF55E1"/>
    <w:rsid w:val="00AF582B"/>
    <w:rsid w:val="00AF5A0E"/>
    <w:rsid w:val="00AF5BC5"/>
    <w:rsid w:val="00AF5C8C"/>
    <w:rsid w:val="00AF5DE1"/>
    <w:rsid w:val="00AF5DF5"/>
    <w:rsid w:val="00AF6393"/>
    <w:rsid w:val="00AF63E4"/>
    <w:rsid w:val="00AF6404"/>
    <w:rsid w:val="00AF6589"/>
    <w:rsid w:val="00AF6A0E"/>
    <w:rsid w:val="00AF6CF0"/>
    <w:rsid w:val="00AF6DEC"/>
    <w:rsid w:val="00AF6E6B"/>
    <w:rsid w:val="00AF6EAD"/>
    <w:rsid w:val="00AF7406"/>
    <w:rsid w:val="00AF7453"/>
    <w:rsid w:val="00AF7559"/>
    <w:rsid w:val="00AF7826"/>
    <w:rsid w:val="00AF7853"/>
    <w:rsid w:val="00AF78E3"/>
    <w:rsid w:val="00AF797F"/>
    <w:rsid w:val="00AF7A10"/>
    <w:rsid w:val="00AF7C8B"/>
    <w:rsid w:val="00AF7CF0"/>
    <w:rsid w:val="00AF7D56"/>
    <w:rsid w:val="00AF7EC5"/>
    <w:rsid w:val="00AF7F98"/>
    <w:rsid w:val="00AF7FAC"/>
    <w:rsid w:val="00B0009F"/>
    <w:rsid w:val="00B00366"/>
    <w:rsid w:val="00B004BC"/>
    <w:rsid w:val="00B00712"/>
    <w:rsid w:val="00B00929"/>
    <w:rsid w:val="00B0096E"/>
    <w:rsid w:val="00B00C39"/>
    <w:rsid w:val="00B00E53"/>
    <w:rsid w:val="00B00E88"/>
    <w:rsid w:val="00B00E95"/>
    <w:rsid w:val="00B00EEA"/>
    <w:rsid w:val="00B00F20"/>
    <w:rsid w:val="00B00F24"/>
    <w:rsid w:val="00B00F67"/>
    <w:rsid w:val="00B00FB5"/>
    <w:rsid w:val="00B01157"/>
    <w:rsid w:val="00B0117B"/>
    <w:rsid w:val="00B0128F"/>
    <w:rsid w:val="00B01420"/>
    <w:rsid w:val="00B0174D"/>
    <w:rsid w:val="00B01764"/>
    <w:rsid w:val="00B01946"/>
    <w:rsid w:val="00B01A5B"/>
    <w:rsid w:val="00B01B17"/>
    <w:rsid w:val="00B01D79"/>
    <w:rsid w:val="00B01EB6"/>
    <w:rsid w:val="00B01EC0"/>
    <w:rsid w:val="00B021CB"/>
    <w:rsid w:val="00B02221"/>
    <w:rsid w:val="00B0224E"/>
    <w:rsid w:val="00B024D7"/>
    <w:rsid w:val="00B0258B"/>
    <w:rsid w:val="00B02C9B"/>
    <w:rsid w:val="00B03026"/>
    <w:rsid w:val="00B03091"/>
    <w:rsid w:val="00B03388"/>
    <w:rsid w:val="00B033AA"/>
    <w:rsid w:val="00B0347C"/>
    <w:rsid w:val="00B03641"/>
    <w:rsid w:val="00B03AAF"/>
    <w:rsid w:val="00B03C1F"/>
    <w:rsid w:val="00B03ECF"/>
    <w:rsid w:val="00B04039"/>
    <w:rsid w:val="00B04047"/>
    <w:rsid w:val="00B04156"/>
    <w:rsid w:val="00B04266"/>
    <w:rsid w:val="00B04595"/>
    <w:rsid w:val="00B048DE"/>
    <w:rsid w:val="00B04AA1"/>
    <w:rsid w:val="00B04D07"/>
    <w:rsid w:val="00B04E97"/>
    <w:rsid w:val="00B0504E"/>
    <w:rsid w:val="00B053FA"/>
    <w:rsid w:val="00B05653"/>
    <w:rsid w:val="00B05771"/>
    <w:rsid w:val="00B057E7"/>
    <w:rsid w:val="00B05AF6"/>
    <w:rsid w:val="00B05C9C"/>
    <w:rsid w:val="00B060B4"/>
    <w:rsid w:val="00B06398"/>
    <w:rsid w:val="00B06616"/>
    <w:rsid w:val="00B06721"/>
    <w:rsid w:val="00B0675E"/>
    <w:rsid w:val="00B067EC"/>
    <w:rsid w:val="00B06817"/>
    <w:rsid w:val="00B068B7"/>
    <w:rsid w:val="00B06913"/>
    <w:rsid w:val="00B06B91"/>
    <w:rsid w:val="00B06BD0"/>
    <w:rsid w:val="00B06D6E"/>
    <w:rsid w:val="00B06E0A"/>
    <w:rsid w:val="00B06E6D"/>
    <w:rsid w:val="00B06E7B"/>
    <w:rsid w:val="00B06FBB"/>
    <w:rsid w:val="00B071DF"/>
    <w:rsid w:val="00B072F2"/>
    <w:rsid w:val="00B07537"/>
    <w:rsid w:val="00B075D1"/>
    <w:rsid w:val="00B075DA"/>
    <w:rsid w:val="00B0770C"/>
    <w:rsid w:val="00B0772C"/>
    <w:rsid w:val="00B077E1"/>
    <w:rsid w:val="00B078F9"/>
    <w:rsid w:val="00B07B0A"/>
    <w:rsid w:val="00B07CB4"/>
    <w:rsid w:val="00B07CC5"/>
    <w:rsid w:val="00B07CEE"/>
    <w:rsid w:val="00B07DD6"/>
    <w:rsid w:val="00B07FB3"/>
    <w:rsid w:val="00B10097"/>
    <w:rsid w:val="00B100E8"/>
    <w:rsid w:val="00B103CA"/>
    <w:rsid w:val="00B107D3"/>
    <w:rsid w:val="00B10855"/>
    <w:rsid w:val="00B10871"/>
    <w:rsid w:val="00B108CE"/>
    <w:rsid w:val="00B10CC4"/>
    <w:rsid w:val="00B10F16"/>
    <w:rsid w:val="00B10FE5"/>
    <w:rsid w:val="00B116D2"/>
    <w:rsid w:val="00B11869"/>
    <w:rsid w:val="00B11896"/>
    <w:rsid w:val="00B11A07"/>
    <w:rsid w:val="00B11A2E"/>
    <w:rsid w:val="00B11A88"/>
    <w:rsid w:val="00B11E84"/>
    <w:rsid w:val="00B120E8"/>
    <w:rsid w:val="00B120FD"/>
    <w:rsid w:val="00B12641"/>
    <w:rsid w:val="00B129B4"/>
    <w:rsid w:val="00B129D8"/>
    <w:rsid w:val="00B12A18"/>
    <w:rsid w:val="00B12CF2"/>
    <w:rsid w:val="00B12CFD"/>
    <w:rsid w:val="00B12E7E"/>
    <w:rsid w:val="00B13107"/>
    <w:rsid w:val="00B1321C"/>
    <w:rsid w:val="00B132F7"/>
    <w:rsid w:val="00B135B3"/>
    <w:rsid w:val="00B13658"/>
    <w:rsid w:val="00B139FF"/>
    <w:rsid w:val="00B13B7E"/>
    <w:rsid w:val="00B13D5C"/>
    <w:rsid w:val="00B13FF5"/>
    <w:rsid w:val="00B140E0"/>
    <w:rsid w:val="00B1413E"/>
    <w:rsid w:val="00B144B0"/>
    <w:rsid w:val="00B14650"/>
    <w:rsid w:val="00B14732"/>
    <w:rsid w:val="00B147A2"/>
    <w:rsid w:val="00B149AB"/>
    <w:rsid w:val="00B14C20"/>
    <w:rsid w:val="00B14E55"/>
    <w:rsid w:val="00B1506B"/>
    <w:rsid w:val="00B1531E"/>
    <w:rsid w:val="00B15454"/>
    <w:rsid w:val="00B155E1"/>
    <w:rsid w:val="00B1593B"/>
    <w:rsid w:val="00B1593E"/>
    <w:rsid w:val="00B15983"/>
    <w:rsid w:val="00B159C3"/>
    <w:rsid w:val="00B15A1B"/>
    <w:rsid w:val="00B15F1F"/>
    <w:rsid w:val="00B16018"/>
    <w:rsid w:val="00B1601D"/>
    <w:rsid w:val="00B16221"/>
    <w:rsid w:val="00B16322"/>
    <w:rsid w:val="00B163BD"/>
    <w:rsid w:val="00B16496"/>
    <w:rsid w:val="00B169C3"/>
    <w:rsid w:val="00B16A1D"/>
    <w:rsid w:val="00B17059"/>
    <w:rsid w:val="00B17358"/>
    <w:rsid w:val="00B175CD"/>
    <w:rsid w:val="00B175CF"/>
    <w:rsid w:val="00B1773D"/>
    <w:rsid w:val="00B17745"/>
    <w:rsid w:val="00B17797"/>
    <w:rsid w:val="00B178A9"/>
    <w:rsid w:val="00B17BAA"/>
    <w:rsid w:val="00B17D93"/>
    <w:rsid w:val="00B17EE2"/>
    <w:rsid w:val="00B17FB6"/>
    <w:rsid w:val="00B200F3"/>
    <w:rsid w:val="00B20126"/>
    <w:rsid w:val="00B20160"/>
    <w:rsid w:val="00B20177"/>
    <w:rsid w:val="00B201B0"/>
    <w:rsid w:val="00B201C6"/>
    <w:rsid w:val="00B20508"/>
    <w:rsid w:val="00B205CF"/>
    <w:rsid w:val="00B20737"/>
    <w:rsid w:val="00B2077F"/>
    <w:rsid w:val="00B207D6"/>
    <w:rsid w:val="00B20A07"/>
    <w:rsid w:val="00B20A8C"/>
    <w:rsid w:val="00B21327"/>
    <w:rsid w:val="00B2133C"/>
    <w:rsid w:val="00B21EB4"/>
    <w:rsid w:val="00B21FB7"/>
    <w:rsid w:val="00B21FD9"/>
    <w:rsid w:val="00B220AC"/>
    <w:rsid w:val="00B220B2"/>
    <w:rsid w:val="00B2219C"/>
    <w:rsid w:val="00B22464"/>
    <w:rsid w:val="00B224BA"/>
    <w:rsid w:val="00B22616"/>
    <w:rsid w:val="00B2272C"/>
    <w:rsid w:val="00B22746"/>
    <w:rsid w:val="00B22AC5"/>
    <w:rsid w:val="00B22B45"/>
    <w:rsid w:val="00B22DE1"/>
    <w:rsid w:val="00B22E26"/>
    <w:rsid w:val="00B22FB8"/>
    <w:rsid w:val="00B2306E"/>
    <w:rsid w:val="00B232C7"/>
    <w:rsid w:val="00B232CF"/>
    <w:rsid w:val="00B2338C"/>
    <w:rsid w:val="00B23422"/>
    <w:rsid w:val="00B236BB"/>
    <w:rsid w:val="00B237FF"/>
    <w:rsid w:val="00B23AE1"/>
    <w:rsid w:val="00B23AEA"/>
    <w:rsid w:val="00B23F31"/>
    <w:rsid w:val="00B2436E"/>
    <w:rsid w:val="00B24489"/>
    <w:rsid w:val="00B244F3"/>
    <w:rsid w:val="00B246FB"/>
    <w:rsid w:val="00B24725"/>
    <w:rsid w:val="00B248D5"/>
    <w:rsid w:val="00B24992"/>
    <w:rsid w:val="00B24B0B"/>
    <w:rsid w:val="00B24DCA"/>
    <w:rsid w:val="00B253D2"/>
    <w:rsid w:val="00B25438"/>
    <w:rsid w:val="00B25764"/>
    <w:rsid w:val="00B258A3"/>
    <w:rsid w:val="00B258D9"/>
    <w:rsid w:val="00B25CB5"/>
    <w:rsid w:val="00B26317"/>
    <w:rsid w:val="00B264EE"/>
    <w:rsid w:val="00B265AE"/>
    <w:rsid w:val="00B266D6"/>
    <w:rsid w:val="00B266FF"/>
    <w:rsid w:val="00B2696E"/>
    <w:rsid w:val="00B26983"/>
    <w:rsid w:val="00B269DE"/>
    <w:rsid w:val="00B269E6"/>
    <w:rsid w:val="00B26A8B"/>
    <w:rsid w:val="00B26C96"/>
    <w:rsid w:val="00B26E44"/>
    <w:rsid w:val="00B26E9D"/>
    <w:rsid w:val="00B27394"/>
    <w:rsid w:val="00B27573"/>
    <w:rsid w:val="00B27693"/>
    <w:rsid w:val="00B277B4"/>
    <w:rsid w:val="00B278D9"/>
    <w:rsid w:val="00B279B7"/>
    <w:rsid w:val="00B27EA4"/>
    <w:rsid w:val="00B3036D"/>
    <w:rsid w:val="00B30522"/>
    <w:rsid w:val="00B3071F"/>
    <w:rsid w:val="00B30A4E"/>
    <w:rsid w:val="00B30A64"/>
    <w:rsid w:val="00B30B58"/>
    <w:rsid w:val="00B30C02"/>
    <w:rsid w:val="00B30D9B"/>
    <w:rsid w:val="00B30EF4"/>
    <w:rsid w:val="00B31089"/>
    <w:rsid w:val="00B31290"/>
    <w:rsid w:val="00B312FE"/>
    <w:rsid w:val="00B319AD"/>
    <w:rsid w:val="00B319B8"/>
    <w:rsid w:val="00B31A15"/>
    <w:rsid w:val="00B31A6C"/>
    <w:rsid w:val="00B31C5D"/>
    <w:rsid w:val="00B31CF1"/>
    <w:rsid w:val="00B321A5"/>
    <w:rsid w:val="00B3221F"/>
    <w:rsid w:val="00B322FB"/>
    <w:rsid w:val="00B32406"/>
    <w:rsid w:val="00B3299A"/>
    <w:rsid w:val="00B32A1D"/>
    <w:rsid w:val="00B32C2C"/>
    <w:rsid w:val="00B32D7E"/>
    <w:rsid w:val="00B32FC7"/>
    <w:rsid w:val="00B33044"/>
    <w:rsid w:val="00B330A0"/>
    <w:rsid w:val="00B33172"/>
    <w:rsid w:val="00B331E3"/>
    <w:rsid w:val="00B33466"/>
    <w:rsid w:val="00B33773"/>
    <w:rsid w:val="00B3387C"/>
    <w:rsid w:val="00B33A42"/>
    <w:rsid w:val="00B33BE2"/>
    <w:rsid w:val="00B33BFF"/>
    <w:rsid w:val="00B33C33"/>
    <w:rsid w:val="00B33F3C"/>
    <w:rsid w:val="00B340CF"/>
    <w:rsid w:val="00B34236"/>
    <w:rsid w:val="00B3425A"/>
    <w:rsid w:val="00B34534"/>
    <w:rsid w:val="00B3455C"/>
    <w:rsid w:val="00B34A67"/>
    <w:rsid w:val="00B34AAE"/>
    <w:rsid w:val="00B34D0C"/>
    <w:rsid w:val="00B34E4E"/>
    <w:rsid w:val="00B34FEA"/>
    <w:rsid w:val="00B35029"/>
    <w:rsid w:val="00B3510C"/>
    <w:rsid w:val="00B3525E"/>
    <w:rsid w:val="00B352BC"/>
    <w:rsid w:val="00B353D5"/>
    <w:rsid w:val="00B3541B"/>
    <w:rsid w:val="00B35529"/>
    <w:rsid w:val="00B35706"/>
    <w:rsid w:val="00B35873"/>
    <w:rsid w:val="00B359DC"/>
    <w:rsid w:val="00B35CD7"/>
    <w:rsid w:val="00B35D4E"/>
    <w:rsid w:val="00B35D87"/>
    <w:rsid w:val="00B35E0A"/>
    <w:rsid w:val="00B36027"/>
    <w:rsid w:val="00B36116"/>
    <w:rsid w:val="00B3624A"/>
    <w:rsid w:val="00B3647F"/>
    <w:rsid w:val="00B36A3D"/>
    <w:rsid w:val="00B36A56"/>
    <w:rsid w:val="00B36A81"/>
    <w:rsid w:val="00B36BCD"/>
    <w:rsid w:val="00B36E55"/>
    <w:rsid w:val="00B37097"/>
    <w:rsid w:val="00B370A0"/>
    <w:rsid w:val="00B370B7"/>
    <w:rsid w:val="00B37122"/>
    <w:rsid w:val="00B371ED"/>
    <w:rsid w:val="00B37291"/>
    <w:rsid w:val="00B37F2C"/>
    <w:rsid w:val="00B37F63"/>
    <w:rsid w:val="00B37F6A"/>
    <w:rsid w:val="00B4006F"/>
    <w:rsid w:val="00B4012B"/>
    <w:rsid w:val="00B406DC"/>
    <w:rsid w:val="00B407EE"/>
    <w:rsid w:val="00B40888"/>
    <w:rsid w:val="00B40923"/>
    <w:rsid w:val="00B40AE3"/>
    <w:rsid w:val="00B40B23"/>
    <w:rsid w:val="00B40B69"/>
    <w:rsid w:val="00B4125B"/>
    <w:rsid w:val="00B41577"/>
    <w:rsid w:val="00B415EF"/>
    <w:rsid w:val="00B41719"/>
    <w:rsid w:val="00B4172D"/>
    <w:rsid w:val="00B4178B"/>
    <w:rsid w:val="00B4195A"/>
    <w:rsid w:val="00B41962"/>
    <w:rsid w:val="00B41A6C"/>
    <w:rsid w:val="00B41BA1"/>
    <w:rsid w:val="00B42104"/>
    <w:rsid w:val="00B421A1"/>
    <w:rsid w:val="00B4221C"/>
    <w:rsid w:val="00B4240C"/>
    <w:rsid w:val="00B4255A"/>
    <w:rsid w:val="00B42591"/>
    <w:rsid w:val="00B427D8"/>
    <w:rsid w:val="00B427E6"/>
    <w:rsid w:val="00B42C57"/>
    <w:rsid w:val="00B42E38"/>
    <w:rsid w:val="00B42F90"/>
    <w:rsid w:val="00B42FD3"/>
    <w:rsid w:val="00B43505"/>
    <w:rsid w:val="00B4359E"/>
    <w:rsid w:val="00B435A1"/>
    <w:rsid w:val="00B4364A"/>
    <w:rsid w:val="00B43759"/>
    <w:rsid w:val="00B43887"/>
    <w:rsid w:val="00B438B3"/>
    <w:rsid w:val="00B439A4"/>
    <w:rsid w:val="00B43C52"/>
    <w:rsid w:val="00B43D48"/>
    <w:rsid w:val="00B4416C"/>
    <w:rsid w:val="00B441EE"/>
    <w:rsid w:val="00B442F2"/>
    <w:rsid w:val="00B4437B"/>
    <w:rsid w:val="00B443AA"/>
    <w:rsid w:val="00B443AD"/>
    <w:rsid w:val="00B44652"/>
    <w:rsid w:val="00B448D0"/>
    <w:rsid w:val="00B44B7E"/>
    <w:rsid w:val="00B44B8D"/>
    <w:rsid w:val="00B45410"/>
    <w:rsid w:val="00B454D6"/>
    <w:rsid w:val="00B455D1"/>
    <w:rsid w:val="00B45619"/>
    <w:rsid w:val="00B458D3"/>
    <w:rsid w:val="00B45CAE"/>
    <w:rsid w:val="00B45E46"/>
    <w:rsid w:val="00B45E9A"/>
    <w:rsid w:val="00B461E4"/>
    <w:rsid w:val="00B465AA"/>
    <w:rsid w:val="00B466BC"/>
    <w:rsid w:val="00B468BA"/>
    <w:rsid w:val="00B46907"/>
    <w:rsid w:val="00B469A0"/>
    <w:rsid w:val="00B46BB5"/>
    <w:rsid w:val="00B46DAF"/>
    <w:rsid w:val="00B46F7F"/>
    <w:rsid w:val="00B47289"/>
    <w:rsid w:val="00B472D6"/>
    <w:rsid w:val="00B4773C"/>
    <w:rsid w:val="00B4790B"/>
    <w:rsid w:val="00B47957"/>
    <w:rsid w:val="00B4796A"/>
    <w:rsid w:val="00B4799B"/>
    <w:rsid w:val="00B47BC3"/>
    <w:rsid w:val="00B47F8C"/>
    <w:rsid w:val="00B5032C"/>
    <w:rsid w:val="00B50470"/>
    <w:rsid w:val="00B507AB"/>
    <w:rsid w:val="00B50C28"/>
    <w:rsid w:val="00B50C3F"/>
    <w:rsid w:val="00B50D11"/>
    <w:rsid w:val="00B50D42"/>
    <w:rsid w:val="00B512AB"/>
    <w:rsid w:val="00B51843"/>
    <w:rsid w:val="00B51969"/>
    <w:rsid w:val="00B51C98"/>
    <w:rsid w:val="00B51CEA"/>
    <w:rsid w:val="00B51D7E"/>
    <w:rsid w:val="00B52068"/>
    <w:rsid w:val="00B521CE"/>
    <w:rsid w:val="00B5232F"/>
    <w:rsid w:val="00B52438"/>
    <w:rsid w:val="00B524A5"/>
    <w:rsid w:val="00B525BA"/>
    <w:rsid w:val="00B5261B"/>
    <w:rsid w:val="00B5273E"/>
    <w:rsid w:val="00B5292A"/>
    <w:rsid w:val="00B52C77"/>
    <w:rsid w:val="00B53268"/>
    <w:rsid w:val="00B5345A"/>
    <w:rsid w:val="00B5352B"/>
    <w:rsid w:val="00B5382A"/>
    <w:rsid w:val="00B538BE"/>
    <w:rsid w:val="00B53CF3"/>
    <w:rsid w:val="00B53D10"/>
    <w:rsid w:val="00B53D3A"/>
    <w:rsid w:val="00B53D89"/>
    <w:rsid w:val="00B540F4"/>
    <w:rsid w:val="00B54106"/>
    <w:rsid w:val="00B54168"/>
    <w:rsid w:val="00B541BF"/>
    <w:rsid w:val="00B5423B"/>
    <w:rsid w:val="00B54249"/>
    <w:rsid w:val="00B54277"/>
    <w:rsid w:val="00B54569"/>
    <w:rsid w:val="00B54668"/>
    <w:rsid w:val="00B547AF"/>
    <w:rsid w:val="00B547E5"/>
    <w:rsid w:val="00B548B8"/>
    <w:rsid w:val="00B5492E"/>
    <w:rsid w:val="00B54970"/>
    <w:rsid w:val="00B54B41"/>
    <w:rsid w:val="00B54B4D"/>
    <w:rsid w:val="00B54EE8"/>
    <w:rsid w:val="00B550D7"/>
    <w:rsid w:val="00B55456"/>
    <w:rsid w:val="00B5559B"/>
    <w:rsid w:val="00B555D5"/>
    <w:rsid w:val="00B555DB"/>
    <w:rsid w:val="00B557EF"/>
    <w:rsid w:val="00B561E1"/>
    <w:rsid w:val="00B56AC3"/>
    <w:rsid w:val="00B56B9E"/>
    <w:rsid w:val="00B56C30"/>
    <w:rsid w:val="00B56DE5"/>
    <w:rsid w:val="00B5703A"/>
    <w:rsid w:val="00B5704E"/>
    <w:rsid w:val="00B571AA"/>
    <w:rsid w:val="00B57237"/>
    <w:rsid w:val="00B573FF"/>
    <w:rsid w:val="00B57604"/>
    <w:rsid w:val="00B57810"/>
    <w:rsid w:val="00B5785D"/>
    <w:rsid w:val="00B57870"/>
    <w:rsid w:val="00B57A91"/>
    <w:rsid w:val="00B57B07"/>
    <w:rsid w:val="00B57BCA"/>
    <w:rsid w:val="00B57C48"/>
    <w:rsid w:val="00B57D80"/>
    <w:rsid w:val="00B57FA6"/>
    <w:rsid w:val="00B600B3"/>
    <w:rsid w:val="00B60196"/>
    <w:rsid w:val="00B603FA"/>
    <w:rsid w:val="00B605C9"/>
    <w:rsid w:val="00B60648"/>
    <w:rsid w:val="00B606E5"/>
    <w:rsid w:val="00B6087B"/>
    <w:rsid w:val="00B608EE"/>
    <w:rsid w:val="00B608FE"/>
    <w:rsid w:val="00B60972"/>
    <w:rsid w:val="00B60AE6"/>
    <w:rsid w:val="00B60B00"/>
    <w:rsid w:val="00B60B05"/>
    <w:rsid w:val="00B60B09"/>
    <w:rsid w:val="00B60E1D"/>
    <w:rsid w:val="00B60E6B"/>
    <w:rsid w:val="00B6128A"/>
    <w:rsid w:val="00B61618"/>
    <w:rsid w:val="00B617EB"/>
    <w:rsid w:val="00B61B3D"/>
    <w:rsid w:val="00B61CCA"/>
    <w:rsid w:val="00B61D3F"/>
    <w:rsid w:val="00B61DD7"/>
    <w:rsid w:val="00B62145"/>
    <w:rsid w:val="00B621D2"/>
    <w:rsid w:val="00B6220C"/>
    <w:rsid w:val="00B6234C"/>
    <w:rsid w:val="00B62517"/>
    <w:rsid w:val="00B628A5"/>
    <w:rsid w:val="00B62A2F"/>
    <w:rsid w:val="00B62A52"/>
    <w:rsid w:val="00B62B37"/>
    <w:rsid w:val="00B62DFF"/>
    <w:rsid w:val="00B62E08"/>
    <w:rsid w:val="00B62E61"/>
    <w:rsid w:val="00B62EB3"/>
    <w:rsid w:val="00B63042"/>
    <w:rsid w:val="00B6317A"/>
    <w:rsid w:val="00B63267"/>
    <w:rsid w:val="00B6357D"/>
    <w:rsid w:val="00B6394F"/>
    <w:rsid w:val="00B639B0"/>
    <w:rsid w:val="00B63B15"/>
    <w:rsid w:val="00B63B6A"/>
    <w:rsid w:val="00B63BBE"/>
    <w:rsid w:val="00B63D1F"/>
    <w:rsid w:val="00B63F0C"/>
    <w:rsid w:val="00B64126"/>
    <w:rsid w:val="00B642A7"/>
    <w:rsid w:val="00B642C5"/>
    <w:rsid w:val="00B6443C"/>
    <w:rsid w:val="00B647F9"/>
    <w:rsid w:val="00B64C21"/>
    <w:rsid w:val="00B64D29"/>
    <w:rsid w:val="00B65268"/>
    <w:rsid w:val="00B652B7"/>
    <w:rsid w:val="00B6573E"/>
    <w:rsid w:val="00B65833"/>
    <w:rsid w:val="00B6590B"/>
    <w:rsid w:val="00B6597D"/>
    <w:rsid w:val="00B65DAA"/>
    <w:rsid w:val="00B65EF3"/>
    <w:rsid w:val="00B661E4"/>
    <w:rsid w:val="00B661E5"/>
    <w:rsid w:val="00B662C2"/>
    <w:rsid w:val="00B66338"/>
    <w:rsid w:val="00B66448"/>
    <w:rsid w:val="00B6649D"/>
    <w:rsid w:val="00B664F7"/>
    <w:rsid w:val="00B66515"/>
    <w:rsid w:val="00B6671F"/>
    <w:rsid w:val="00B66752"/>
    <w:rsid w:val="00B669CA"/>
    <w:rsid w:val="00B66A4E"/>
    <w:rsid w:val="00B66AB1"/>
    <w:rsid w:val="00B66ACD"/>
    <w:rsid w:val="00B66BAC"/>
    <w:rsid w:val="00B66BB7"/>
    <w:rsid w:val="00B66C2F"/>
    <w:rsid w:val="00B66E75"/>
    <w:rsid w:val="00B66F9C"/>
    <w:rsid w:val="00B67059"/>
    <w:rsid w:val="00B670A1"/>
    <w:rsid w:val="00B67108"/>
    <w:rsid w:val="00B67702"/>
    <w:rsid w:val="00B67D67"/>
    <w:rsid w:val="00B67DD9"/>
    <w:rsid w:val="00B67E2E"/>
    <w:rsid w:val="00B67ED0"/>
    <w:rsid w:val="00B70018"/>
    <w:rsid w:val="00B70134"/>
    <w:rsid w:val="00B7041F"/>
    <w:rsid w:val="00B70422"/>
    <w:rsid w:val="00B7069D"/>
    <w:rsid w:val="00B70713"/>
    <w:rsid w:val="00B708FF"/>
    <w:rsid w:val="00B70A13"/>
    <w:rsid w:val="00B70A54"/>
    <w:rsid w:val="00B70B39"/>
    <w:rsid w:val="00B70C35"/>
    <w:rsid w:val="00B70CD2"/>
    <w:rsid w:val="00B70F43"/>
    <w:rsid w:val="00B711D8"/>
    <w:rsid w:val="00B7143E"/>
    <w:rsid w:val="00B7144B"/>
    <w:rsid w:val="00B7155A"/>
    <w:rsid w:val="00B717CE"/>
    <w:rsid w:val="00B71950"/>
    <w:rsid w:val="00B71A4B"/>
    <w:rsid w:val="00B71B9C"/>
    <w:rsid w:val="00B71D1B"/>
    <w:rsid w:val="00B71DC8"/>
    <w:rsid w:val="00B71EA2"/>
    <w:rsid w:val="00B71EC2"/>
    <w:rsid w:val="00B71F1D"/>
    <w:rsid w:val="00B721EB"/>
    <w:rsid w:val="00B72237"/>
    <w:rsid w:val="00B7238D"/>
    <w:rsid w:val="00B72C11"/>
    <w:rsid w:val="00B72C5D"/>
    <w:rsid w:val="00B72FE7"/>
    <w:rsid w:val="00B7342E"/>
    <w:rsid w:val="00B73585"/>
    <w:rsid w:val="00B73632"/>
    <w:rsid w:val="00B73732"/>
    <w:rsid w:val="00B73858"/>
    <w:rsid w:val="00B73A39"/>
    <w:rsid w:val="00B73AF7"/>
    <w:rsid w:val="00B73CA4"/>
    <w:rsid w:val="00B73E59"/>
    <w:rsid w:val="00B73E6B"/>
    <w:rsid w:val="00B7426D"/>
    <w:rsid w:val="00B7446C"/>
    <w:rsid w:val="00B74572"/>
    <w:rsid w:val="00B7467D"/>
    <w:rsid w:val="00B74A46"/>
    <w:rsid w:val="00B74C5E"/>
    <w:rsid w:val="00B74C63"/>
    <w:rsid w:val="00B75141"/>
    <w:rsid w:val="00B7531F"/>
    <w:rsid w:val="00B75425"/>
    <w:rsid w:val="00B7546E"/>
    <w:rsid w:val="00B759AE"/>
    <w:rsid w:val="00B75A72"/>
    <w:rsid w:val="00B75D12"/>
    <w:rsid w:val="00B75D23"/>
    <w:rsid w:val="00B75ED6"/>
    <w:rsid w:val="00B765D5"/>
    <w:rsid w:val="00B76610"/>
    <w:rsid w:val="00B76637"/>
    <w:rsid w:val="00B76747"/>
    <w:rsid w:val="00B7688B"/>
    <w:rsid w:val="00B768DA"/>
    <w:rsid w:val="00B76A9E"/>
    <w:rsid w:val="00B76F16"/>
    <w:rsid w:val="00B77279"/>
    <w:rsid w:val="00B7733B"/>
    <w:rsid w:val="00B7743D"/>
    <w:rsid w:val="00B7751D"/>
    <w:rsid w:val="00B7789B"/>
    <w:rsid w:val="00B779A0"/>
    <w:rsid w:val="00B77B1C"/>
    <w:rsid w:val="00B77C74"/>
    <w:rsid w:val="00B77DD1"/>
    <w:rsid w:val="00B80011"/>
    <w:rsid w:val="00B80030"/>
    <w:rsid w:val="00B800DE"/>
    <w:rsid w:val="00B80103"/>
    <w:rsid w:val="00B8011C"/>
    <w:rsid w:val="00B80404"/>
    <w:rsid w:val="00B804E0"/>
    <w:rsid w:val="00B805EF"/>
    <w:rsid w:val="00B80678"/>
    <w:rsid w:val="00B806AF"/>
    <w:rsid w:val="00B80838"/>
    <w:rsid w:val="00B809CD"/>
    <w:rsid w:val="00B80AAE"/>
    <w:rsid w:val="00B80AEA"/>
    <w:rsid w:val="00B80B16"/>
    <w:rsid w:val="00B80B34"/>
    <w:rsid w:val="00B80CBD"/>
    <w:rsid w:val="00B80CC6"/>
    <w:rsid w:val="00B80DD2"/>
    <w:rsid w:val="00B80E8F"/>
    <w:rsid w:val="00B80F08"/>
    <w:rsid w:val="00B80FC0"/>
    <w:rsid w:val="00B811B2"/>
    <w:rsid w:val="00B8130C"/>
    <w:rsid w:val="00B815FB"/>
    <w:rsid w:val="00B81628"/>
    <w:rsid w:val="00B81650"/>
    <w:rsid w:val="00B8166E"/>
    <w:rsid w:val="00B81703"/>
    <w:rsid w:val="00B8177A"/>
    <w:rsid w:val="00B8198E"/>
    <w:rsid w:val="00B81C28"/>
    <w:rsid w:val="00B82112"/>
    <w:rsid w:val="00B8230F"/>
    <w:rsid w:val="00B823F2"/>
    <w:rsid w:val="00B82711"/>
    <w:rsid w:val="00B828C0"/>
    <w:rsid w:val="00B828D5"/>
    <w:rsid w:val="00B82978"/>
    <w:rsid w:val="00B82A23"/>
    <w:rsid w:val="00B82C52"/>
    <w:rsid w:val="00B82DB2"/>
    <w:rsid w:val="00B82DCF"/>
    <w:rsid w:val="00B8339B"/>
    <w:rsid w:val="00B83529"/>
    <w:rsid w:val="00B836C4"/>
    <w:rsid w:val="00B83A2B"/>
    <w:rsid w:val="00B83D17"/>
    <w:rsid w:val="00B83DB4"/>
    <w:rsid w:val="00B83F79"/>
    <w:rsid w:val="00B83FEA"/>
    <w:rsid w:val="00B84043"/>
    <w:rsid w:val="00B84051"/>
    <w:rsid w:val="00B848D5"/>
    <w:rsid w:val="00B84949"/>
    <w:rsid w:val="00B849E7"/>
    <w:rsid w:val="00B84BE2"/>
    <w:rsid w:val="00B84EE5"/>
    <w:rsid w:val="00B8509D"/>
    <w:rsid w:val="00B850DC"/>
    <w:rsid w:val="00B85138"/>
    <w:rsid w:val="00B85145"/>
    <w:rsid w:val="00B851D1"/>
    <w:rsid w:val="00B8537E"/>
    <w:rsid w:val="00B8569A"/>
    <w:rsid w:val="00B8581E"/>
    <w:rsid w:val="00B85960"/>
    <w:rsid w:val="00B859D9"/>
    <w:rsid w:val="00B85AFD"/>
    <w:rsid w:val="00B85B8D"/>
    <w:rsid w:val="00B85F78"/>
    <w:rsid w:val="00B8640E"/>
    <w:rsid w:val="00B86421"/>
    <w:rsid w:val="00B8672C"/>
    <w:rsid w:val="00B86AE8"/>
    <w:rsid w:val="00B86DA4"/>
    <w:rsid w:val="00B8717E"/>
    <w:rsid w:val="00B871FB"/>
    <w:rsid w:val="00B87241"/>
    <w:rsid w:val="00B87489"/>
    <w:rsid w:val="00B87541"/>
    <w:rsid w:val="00B87546"/>
    <w:rsid w:val="00B876A7"/>
    <w:rsid w:val="00B876DE"/>
    <w:rsid w:val="00B87A98"/>
    <w:rsid w:val="00B87CC3"/>
    <w:rsid w:val="00B87E8D"/>
    <w:rsid w:val="00B87EFC"/>
    <w:rsid w:val="00B902EB"/>
    <w:rsid w:val="00B9043B"/>
    <w:rsid w:val="00B905A2"/>
    <w:rsid w:val="00B905BC"/>
    <w:rsid w:val="00B905EA"/>
    <w:rsid w:val="00B90772"/>
    <w:rsid w:val="00B90941"/>
    <w:rsid w:val="00B90C08"/>
    <w:rsid w:val="00B90E2D"/>
    <w:rsid w:val="00B90E99"/>
    <w:rsid w:val="00B90EC9"/>
    <w:rsid w:val="00B91694"/>
    <w:rsid w:val="00B917E8"/>
    <w:rsid w:val="00B91886"/>
    <w:rsid w:val="00B918D2"/>
    <w:rsid w:val="00B91B74"/>
    <w:rsid w:val="00B91B90"/>
    <w:rsid w:val="00B91D93"/>
    <w:rsid w:val="00B91EE6"/>
    <w:rsid w:val="00B921CF"/>
    <w:rsid w:val="00B9225A"/>
    <w:rsid w:val="00B924AD"/>
    <w:rsid w:val="00B92536"/>
    <w:rsid w:val="00B92741"/>
    <w:rsid w:val="00B92963"/>
    <w:rsid w:val="00B92AA9"/>
    <w:rsid w:val="00B92CEE"/>
    <w:rsid w:val="00B92CF6"/>
    <w:rsid w:val="00B92D78"/>
    <w:rsid w:val="00B92DEB"/>
    <w:rsid w:val="00B92EE6"/>
    <w:rsid w:val="00B9315C"/>
    <w:rsid w:val="00B9345D"/>
    <w:rsid w:val="00B93E62"/>
    <w:rsid w:val="00B9406F"/>
    <w:rsid w:val="00B94162"/>
    <w:rsid w:val="00B941A3"/>
    <w:rsid w:val="00B94280"/>
    <w:rsid w:val="00B943C1"/>
    <w:rsid w:val="00B94585"/>
    <w:rsid w:val="00B94814"/>
    <w:rsid w:val="00B94960"/>
    <w:rsid w:val="00B94A26"/>
    <w:rsid w:val="00B94ABC"/>
    <w:rsid w:val="00B94D1B"/>
    <w:rsid w:val="00B9501D"/>
    <w:rsid w:val="00B950E2"/>
    <w:rsid w:val="00B9521C"/>
    <w:rsid w:val="00B9531A"/>
    <w:rsid w:val="00B953F6"/>
    <w:rsid w:val="00B9543D"/>
    <w:rsid w:val="00B956E0"/>
    <w:rsid w:val="00B95764"/>
    <w:rsid w:val="00B958B0"/>
    <w:rsid w:val="00B95D9C"/>
    <w:rsid w:val="00B960CC"/>
    <w:rsid w:val="00B96273"/>
    <w:rsid w:val="00B962E6"/>
    <w:rsid w:val="00B965DE"/>
    <w:rsid w:val="00B966CE"/>
    <w:rsid w:val="00B967B3"/>
    <w:rsid w:val="00B96A0F"/>
    <w:rsid w:val="00B96A77"/>
    <w:rsid w:val="00B96E47"/>
    <w:rsid w:val="00B97260"/>
    <w:rsid w:val="00B973B0"/>
    <w:rsid w:val="00B973FA"/>
    <w:rsid w:val="00B975FB"/>
    <w:rsid w:val="00B9782F"/>
    <w:rsid w:val="00B9788E"/>
    <w:rsid w:val="00B978C8"/>
    <w:rsid w:val="00B978F2"/>
    <w:rsid w:val="00B97974"/>
    <w:rsid w:val="00B97B2E"/>
    <w:rsid w:val="00B97B58"/>
    <w:rsid w:val="00B97BEA"/>
    <w:rsid w:val="00B97C06"/>
    <w:rsid w:val="00B97EEB"/>
    <w:rsid w:val="00BA013A"/>
    <w:rsid w:val="00BA01F7"/>
    <w:rsid w:val="00BA0292"/>
    <w:rsid w:val="00BA02BB"/>
    <w:rsid w:val="00BA057E"/>
    <w:rsid w:val="00BA09E8"/>
    <w:rsid w:val="00BA0A4E"/>
    <w:rsid w:val="00BA0B99"/>
    <w:rsid w:val="00BA0BDE"/>
    <w:rsid w:val="00BA0CD4"/>
    <w:rsid w:val="00BA0F7C"/>
    <w:rsid w:val="00BA101E"/>
    <w:rsid w:val="00BA1125"/>
    <w:rsid w:val="00BA142B"/>
    <w:rsid w:val="00BA1733"/>
    <w:rsid w:val="00BA1750"/>
    <w:rsid w:val="00BA1840"/>
    <w:rsid w:val="00BA1B8A"/>
    <w:rsid w:val="00BA1B96"/>
    <w:rsid w:val="00BA2199"/>
    <w:rsid w:val="00BA2238"/>
    <w:rsid w:val="00BA2393"/>
    <w:rsid w:val="00BA23D3"/>
    <w:rsid w:val="00BA2438"/>
    <w:rsid w:val="00BA255D"/>
    <w:rsid w:val="00BA27B7"/>
    <w:rsid w:val="00BA2987"/>
    <w:rsid w:val="00BA29FB"/>
    <w:rsid w:val="00BA2B15"/>
    <w:rsid w:val="00BA2B83"/>
    <w:rsid w:val="00BA2BB1"/>
    <w:rsid w:val="00BA2D18"/>
    <w:rsid w:val="00BA2E3C"/>
    <w:rsid w:val="00BA30E4"/>
    <w:rsid w:val="00BA323C"/>
    <w:rsid w:val="00BA33D7"/>
    <w:rsid w:val="00BA33FE"/>
    <w:rsid w:val="00BA3652"/>
    <w:rsid w:val="00BA36BE"/>
    <w:rsid w:val="00BA37D1"/>
    <w:rsid w:val="00BA389B"/>
    <w:rsid w:val="00BA3937"/>
    <w:rsid w:val="00BA3A02"/>
    <w:rsid w:val="00BA3A5A"/>
    <w:rsid w:val="00BA3B89"/>
    <w:rsid w:val="00BA3C2E"/>
    <w:rsid w:val="00BA3D20"/>
    <w:rsid w:val="00BA3D5A"/>
    <w:rsid w:val="00BA3DFB"/>
    <w:rsid w:val="00BA3EC0"/>
    <w:rsid w:val="00BA401E"/>
    <w:rsid w:val="00BA4216"/>
    <w:rsid w:val="00BA4239"/>
    <w:rsid w:val="00BA433E"/>
    <w:rsid w:val="00BA43BC"/>
    <w:rsid w:val="00BA43BD"/>
    <w:rsid w:val="00BA4436"/>
    <w:rsid w:val="00BA44BC"/>
    <w:rsid w:val="00BA4782"/>
    <w:rsid w:val="00BA4915"/>
    <w:rsid w:val="00BA49D2"/>
    <w:rsid w:val="00BA4EAD"/>
    <w:rsid w:val="00BA4ED4"/>
    <w:rsid w:val="00BA4EEB"/>
    <w:rsid w:val="00BA53FE"/>
    <w:rsid w:val="00BA5473"/>
    <w:rsid w:val="00BA54B3"/>
    <w:rsid w:val="00BA54E3"/>
    <w:rsid w:val="00BA554F"/>
    <w:rsid w:val="00BA55D0"/>
    <w:rsid w:val="00BA5653"/>
    <w:rsid w:val="00BA56B8"/>
    <w:rsid w:val="00BA57EB"/>
    <w:rsid w:val="00BA585A"/>
    <w:rsid w:val="00BA58A6"/>
    <w:rsid w:val="00BA5A14"/>
    <w:rsid w:val="00BA5B46"/>
    <w:rsid w:val="00BA5EF5"/>
    <w:rsid w:val="00BA5EF7"/>
    <w:rsid w:val="00BA609B"/>
    <w:rsid w:val="00BA60C1"/>
    <w:rsid w:val="00BA62F8"/>
    <w:rsid w:val="00BA65A6"/>
    <w:rsid w:val="00BA6AC4"/>
    <w:rsid w:val="00BA6AE0"/>
    <w:rsid w:val="00BA6B2A"/>
    <w:rsid w:val="00BA6EF1"/>
    <w:rsid w:val="00BA70FA"/>
    <w:rsid w:val="00BA71EB"/>
    <w:rsid w:val="00BA768B"/>
    <w:rsid w:val="00BA7BA4"/>
    <w:rsid w:val="00BA7D64"/>
    <w:rsid w:val="00BA7D8C"/>
    <w:rsid w:val="00BB0001"/>
    <w:rsid w:val="00BB017D"/>
    <w:rsid w:val="00BB02CA"/>
    <w:rsid w:val="00BB043E"/>
    <w:rsid w:val="00BB04A0"/>
    <w:rsid w:val="00BB058A"/>
    <w:rsid w:val="00BB06FA"/>
    <w:rsid w:val="00BB0867"/>
    <w:rsid w:val="00BB0BD9"/>
    <w:rsid w:val="00BB0C25"/>
    <w:rsid w:val="00BB0CA2"/>
    <w:rsid w:val="00BB0DDB"/>
    <w:rsid w:val="00BB0E58"/>
    <w:rsid w:val="00BB100A"/>
    <w:rsid w:val="00BB1276"/>
    <w:rsid w:val="00BB1367"/>
    <w:rsid w:val="00BB1582"/>
    <w:rsid w:val="00BB15C4"/>
    <w:rsid w:val="00BB1606"/>
    <w:rsid w:val="00BB1633"/>
    <w:rsid w:val="00BB1749"/>
    <w:rsid w:val="00BB198D"/>
    <w:rsid w:val="00BB1A0B"/>
    <w:rsid w:val="00BB1B5D"/>
    <w:rsid w:val="00BB1B99"/>
    <w:rsid w:val="00BB1E0A"/>
    <w:rsid w:val="00BB1E87"/>
    <w:rsid w:val="00BB1F66"/>
    <w:rsid w:val="00BB1FB5"/>
    <w:rsid w:val="00BB1FEF"/>
    <w:rsid w:val="00BB2157"/>
    <w:rsid w:val="00BB21AA"/>
    <w:rsid w:val="00BB222A"/>
    <w:rsid w:val="00BB251C"/>
    <w:rsid w:val="00BB26B7"/>
    <w:rsid w:val="00BB26BC"/>
    <w:rsid w:val="00BB27B7"/>
    <w:rsid w:val="00BB27E0"/>
    <w:rsid w:val="00BB28B8"/>
    <w:rsid w:val="00BB293F"/>
    <w:rsid w:val="00BB2EDF"/>
    <w:rsid w:val="00BB2EE4"/>
    <w:rsid w:val="00BB3300"/>
    <w:rsid w:val="00BB33AC"/>
    <w:rsid w:val="00BB3842"/>
    <w:rsid w:val="00BB39F3"/>
    <w:rsid w:val="00BB3B81"/>
    <w:rsid w:val="00BB3BAB"/>
    <w:rsid w:val="00BB3BB1"/>
    <w:rsid w:val="00BB3BEC"/>
    <w:rsid w:val="00BB3C8D"/>
    <w:rsid w:val="00BB3CBB"/>
    <w:rsid w:val="00BB4083"/>
    <w:rsid w:val="00BB4340"/>
    <w:rsid w:val="00BB4540"/>
    <w:rsid w:val="00BB46DA"/>
    <w:rsid w:val="00BB4892"/>
    <w:rsid w:val="00BB48A0"/>
    <w:rsid w:val="00BB4C23"/>
    <w:rsid w:val="00BB4D18"/>
    <w:rsid w:val="00BB4E7B"/>
    <w:rsid w:val="00BB4FFA"/>
    <w:rsid w:val="00BB5494"/>
    <w:rsid w:val="00BB555C"/>
    <w:rsid w:val="00BB5572"/>
    <w:rsid w:val="00BB56FE"/>
    <w:rsid w:val="00BB58AE"/>
    <w:rsid w:val="00BB5971"/>
    <w:rsid w:val="00BB5B7B"/>
    <w:rsid w:val="00BB6165"/>
    <w:rsid w:val="00BB617E"/>
    <w:rsid w:val="00BB61C6"/>
    <w:rsid w:val="00BB61EF"/>
    <w:rsid w:val="00BB6372"/>
    <w:rsid w:val="00BB667B"/>
    <w:rsid w:val="00BB6794"/>
    <w:rsid w:val="00BB69CC"/>
    <w:rsid w:val="00BB6F1E"/>
    <w:rsid w:val="00BB6F49"/>
    <w:rsid w:val="00BB7017"/>
    <w:rsid w:val="00BB714A"/>
    <w:rsid w:val="00BB71EB"/>
    <w:rsid w:val="00BB729C"/>
    <w:rsid w:val="00BB7426"/>
    <w:rsid w:val="00BB74F4"/>
    <w:rsid w:val="00BB771A"/>
    <w:rsid w:val="00BB7786"/>
    <w:rsid w:val="00BB780E"/>
    <w:rsid w:val="00BB78AC"/>
    <w:rsid w:val="00BB79AF"/>
    <w:rsid w:val="00BB7A74"/>
    <w:rsid w:val="00BB7C79"/>
    <w:rsid w:val="00BB7D60"/>
    <w:rsid w:val="00BB7DB1"/>
    <w:rsid w:val="00BC0125"/>
    <w:rsid w:val="00BC017B"/>
    <w:rsid w:val="00BC0389"/>
    <w:rsid w:val="00BC04EC"/>
    <w:rsid w:val="00BC0597"/>
    <w:rsid w:val="00BC07BB"/>
    <w:rsid w:val="00BC0A91"/>
    <w:rsid w:val="00BC0B22"/>
    <w:rsid w:val="00BC106C"/>
    <w:rsid w:val="00BC146B"/>
    <w:rsid w:val="00BC1636"/>
    <w:rsid w:val="00BC16C1"/>
    <w:rsid w:val="00BC1936"/>
    <w:rsid w:val="00BC1A7B"/>
    <w:rsid w:val="00BC1C37"/>
    <w:rsid w:val="00BC1C43"/>
    <w:rsid w:val="00BC1C49"/>
    <w:rsid w:val="00BC1E4E"/>
    <w:rsid w:val="00BC1EF4"/>
    <w:rsid w:val="00BC2076"/>
    <w:rsid w:val="00BC247B"/>
    <w:rsid w:val="00BC24CA"/>
    <w:rsid w:val="00BC2541"/>
    <w:rsid w:val="00BC2772"/>
    <w:rsid w:val="00BC27BB"/>
    <w:rsid w:val="00BC2829"/>
    <w:rsid w:val="00BC2860"/>
    <w:rsid w:val="00BC2A23"/>
    <w:rsid w:val="00BC2B13"/>
    <w:rsid w:val="00BC2CD3"/>
    <w:rsid w:val="00BC2D0D"/>
    <w:rsid w:val="00BC2D78"/>
    <w:rsid w:val="00BC300B"/>
    <w:rsid w:val="00BC30A0"/>
    <w:rsid w:val="00BC3154"/>
    <w:rsid w:val="00BC3370"/>
    <w:rsid w:val="00BC3436"/>
    <w:rsid w:val="00BC38FA"/>
    <w:rsid w:val="00BC3A69"/>
    <w:rsid w:val="00BC3ABA"/>
    <w:rsid w:val="00BC3CF3"/>
    <w:rsid w:val="00BC4157"/>
    <w:rsid w:val="00BC419E"/>
    <w:rsid w:val="00BC4433"/>
    <w:rsid w:val="00BC450B"/>
    <w:rsid w:val="00BC452D"/>
    <w:rsid w:val="00BC45FB"/>
    <w:rsid w:val="00BC48B7"/>
    <w:rsid w:val="00BC4976"/>
    <w:rsid w:val="00BC4DC7"/>
    <w:rsid w:val="00BC4F4B"/>
    <w:rsid w:val="00BC5059"/>
    <w:rsid w:val="00BC5223"/>
    <w:rsid w:val="00BC52A1"/>
    <w:rsid w:val="00BC5368"/>
    <w:rsid w:val="00BC5A04"/>
    <w:rsid w:val="00BC5AA6"/>
    <w:rsid w:val="00BC5B15"/>
    <w:rsid w:val="00BC5CA8"/>
    <w:rsid w:val="00BC5E9E"/>
    <w:rsid w:val="00BC60A2"/>
    <w:rsid w:val="00BC630D"/>
    <w:rsid w:val="00BC6364"/>
    <w:rsid w:val="00BC6466"/>
    <w:rsid w:val="00BC66EF"/>
    <w:rsid w:val="00BC6CB2"/>
    <w:rsid w:val="00BC6D63"/>
    <w:rsid w:val="00BC6E51"/>
    <w:rsid w:val="00BC7128"/>
    <w:rsid w:val="00BC7155"/>
    <w:rsid w:val="00BC7233"/>
    <w:rsid w:val="00BC746E"/>
    <w:rsid w:val="00BC789D"/>
    <w:rsid w:val="00BC796E"/>
    <w:rsid w:val="00BC7BC0"/>
    <w:rsid w:val="00BC7D0B"/>
    <w:rsid w:val="00BC7D11"/>
    <w:rsid w:val="00BC7D6B"/>
    <w:rsid w:val="00BC7E67"/>
    <w:rsid w:val="00BC7E70"/>
    <w:rsid w:val="00BC7FD2"/>
    <w:rsid w:val="00BD0561"/>
    <w:rsid w:val="00BD07D9"/>
    <w:rsid w:val="00BD0A0B"/>
    <w:rsid w:val="00BD0A1D"/>
    <w:rsid w:val="00BD0AB4"/>
    <w:rsid w:val="00BD0B0E"/>
    <w:rsid w:val="00BD0BCF"/>
    <w:rsid w:val="00BD0DE3"/>
    <w:rsid w:val="00BD0F11"/>
    <w:rsid w:val="00BD0F20"/>
    <w:rsid w:val="00BD0F9B"/>
    <w:rsid w:val="00BD108C"/>
    <w:rsid w:val="00BD140E"/>
    <w:rsid w:val="00BD148A"/>
    <w:rsid w:val="00BD1512"/>
    <w:rsid w:val="00BD163C"/>
    <w:rsid w:val="00BD17D5"/>
    <w:rsid w:val="00BD1A5A"/>
    <w:rsid w:val="00BD1A79"/>
    <w:rsid w:val="00BD1D4F"/>
    <w:rsid w:val="00BD1D67"/>
    <w:rsid w:val="00BD2423"/>
    <w:rsid w:val="00BD2629"/>
    <w:rsid w:val="00BD275E"/>
    <w:rsid w:val="00BD2A0B"/>
    <w:rsid w:val="00BD2B54"/>
    <w:rsid w:val="00BD2B9C"/>
    <w:rsid w:val="00BD305E"/>
    <w:rsid w:val="00BD30BF"/>
    <w:rsid w:val="00BD30CF"/>
    <w:rsid w:val="00BD3129"/>
    <w:rsid w:val="00BD3656"/>
    <w:rsid w:val="00BD36DC"/>
    <w:rsid w:val="00BD3753"/>
    <w:rsid w:val="00BD3922"/>
    <w:rsid w:val="00BD3A6A"/>
    <w:rsid w:val="00BD3ADC"/>
    <w:rsid w:val="00BD3B51"/>
    <w:rsid w:val="00BD40DA"/>
    <w:rsid w:val="00BD423D"/>
    <w:rsid w:val="00BD4301"/>
    <w:rsid w:val="00BD43A8"/>
    <w:rsid w:val="00BD43D7"/>
    <w:rsid w:val="00BD46BF"/>
    <w:rsid w:val="00BD4788"/>
    <w:rsid w:val="00BD4E04"/>
    <w:rsid w:val="00BD4E9B"/>
    <w:rsid w:val="00BD50CB"/>
    <w:rsid w:val="00BD5104"/>
    <w:rsid w:val="00BD5133"/>
    <w:rsid w:val="00BD5171"/>
    <w:rsid w:val="00BD5D50"/>
    <w:rsid w:val="00BD5DFF"/>
    <w:rsid w:val="00BD5F8F"/>
    <w:rsid w:val="00BD5FC1"/>
    <w:rsid w:val="00BD5FF4"/>
    <w:rsid w:val="00BD6142"/>
    <w:rsid w:val="00BD6492"/>
    <w:rsid w:val="00BD6684"/>
    <w:rsid w:val="00BD669A"/>
    <w:rsid w:val="00BD6817"/>
    <w:rsid w:val="00BD68FF"/>
    <w:rsid w:val="00BD6A10"/>
    <w:rsid w:val="00BD6A8C"/>
    <w:rsid w:val="00BD6BA1"/>
    <w:rsid w:val="00BD6BDD"/>
    <w:rsid w:val="00BD6BF2"/>
    <w:rsid w:val="00BD6BFA"/>
    <w:rsid w:val="00BD6D1C"/>
    <w:rsid w:val="00BD6F34"/>
    <w:rsid w:val="00BD71DE"/>
    <w:rsid w:val="00BD7297"/>
    <w:rsid w:val="00BD73C0"/>
    <w:rsid w:val="00BD7520"/>
    <w:rsid w:val="00BD7601"/>
    <w:rsid w:val="00BD76A4"/>
    <w:rsid w:val="00BD76B7"/>
    <w:rsid w:val="00BD78C2"/>
    <w:rsid w:val="00BD79B5"/>
    <w:rsid w:val="00BD7C15"/>
    <w:rsid w:val="00BD7E0C"/>
    <w:rsid w:val="00BD7E48"/>
    <w:rsid w:val="00BD7E53"/>
    <w:rsid w:val="00BD7EE3"/>
    <w:rsid w:val="00BD7F06"/>
    <w:rsid w:val="00BD7F33"/>
    <w:rsid w:val="00BE07B6"/>
    <w:rsid w:val="00BE0BB3"/>
    <w:rsid w:val="00BE0C27"/>
    <w:rsid w:val="00BE0CB5"/>
    <w:rsid w:val="00BE0DC2"/>
    <w:rsid w:val="00BE1401"/>
    <w:rsid w:val="00BE15C8"/>
    <w:rsid w:val="00BE1996"/>
    <w:rsid w:val="00BE1AFE"/>
    <w:rsid w:val="00BE1EA4"/>
    <w:rsid w:val="00BE20C7"/>
    <w:rsid w:val="00BE20D3"/>
    <w:rsid w:val="00BE2169"/>
    <w:rsid w:val="00BE246B"/>
    <w:rsid w:val="00BE24F0"/>
    <w:rsid w:val="00BE281D"/>
    <w:rsid w:val="00BE2D77"/>
    <w:rsid w:val="00BE2EE0"/>
    <w:rsid w:val="00BE2FA6"/>
    <w:rsid w:val="00BE300B"/>
    <w:rsid w:val="00BE321D"/>
    <w:rsid w:val="00BE32DA"/>
    <w:rsid w:val="00BE33DC"/>
    <w:rsid w:val="00BE344A"/>
    <w:rsid w:val="00BE34F2"/>
    <w:rsid w:val="00BE359C"/>
    <w:rsid w:val="00BE38DE"/>
    <w:rsid w:val="00BE3A38"/>
    <w:rsid w:val="00BE3B18"/>
    <w:rsid w:val="00BE3B9C"/>
    <w:rsid w:val="00BE3BCF"/>
    <w:rsid w:val="00BE3BFC"/>
    <w:rsid w:val="00BE3CE6"/>
    <w:rsid w:val="00BE3CF1"/>
    <w:rsid w:val="00BE3D58"/>
    <w:rsid w:val="00BE3E4C"/>
    <w:rsid w:val="00BE4063"/>
    <w:rsid w:val="00BE40D8"/>
    <w:rsid w:val="00BE4407"/>
    <w:rsid w:val="00BE472E"/>
    <w:rsid w:val="00BE4794"/>
    <w:rsid w:val="00BE51D7"/>
    <w:rsid w:val="00BE5433"/>
    <w:rsid w:val="00BE54EF"/>
    <w:rsid w:val="00BE555D"/>
    <w:rsid w:val="00BE5658"/>
    <w:rsid w:val="00BE5670"/>
    <w:rsid w:val="00BE5DAE"/>
    <w:rsid w:val="00BE5E10"/>
    <w:rsid w:val="00BE5F0C"/>
    <w:rsid w:val="00BE6020"/>
    <w:rsid w:val="00BE64DB"/>
    <w:rsid w:val="00BE6981"/>
    <w:rsid w:val="00BE69C9"/>
    <w:rsid w:val="00BE6AC8"/>
    <w:rsid w:val="00BE6D57"/>
    <w:rsid w:val="00BE6D71"/>
    <w:rsid w:val="00BE718B"/>
    <w:rsid w:val="00BE71C3"/>
    <w:rsid w:val="00BE73A8"/>
    <w:rsid w:val="00BE74DB"/>
    <w:rsid w:val="00BE75AB"/>
    <w:rsid w:val="00BE7640"/>
    <w:rsid w:val="00BE7646"/>
    <w:rsid w:val="00BE76D7"/>
    <w:rsid w:val="00BE7732"/>
    <w:rsid w:val="00BE78AE"/>
    <w:rsid w:val="00BE7B50"/>
    <w:rsid w:val="00BE7BAE"/>
    <w:rsid w:val="00BF011E"/>
    <w:rsid w:val="00BF01A6"/>
    <w:rsid w:val="00BF0564"/>
    <w:rsid w:val="00BF096B"/>
    <w:rsid w:val="00BF09BA"/>
    <w:rsid w:val="00BF0AEA"/>
    <w:rsid w:val="00BF0CA5"/>
    <w:rsid w:val="00BF0DB7"/>
    <w:rsid w:val="00BF0E9A"/>
    <w:rsid w:val="00BF0F9A"/>
    <w:rsid w:val="00BF0FBF"/>
    <w:rsid w:val="00BF13AD"/>
    <w:rsid w:val="00BF14AF"/>
    <w:rsid w:val="00BF173E"/>
    <w:rsid w:val="00BF177A"/>
    <w:rsid w:val="00BF1834"/>
    <w:rsid w:val="00BF1950"/>
    <w:rsid w:val="00BF1A3C"/>
    <w:rsid w:val="00BF1BA5"/>
    <w:rsid w:val="00BF1E2C"/>
    <w:rsid w:val="00BF1F0F"/>
    <w:rsid w:val="00BF207E"/>
    <w:rsid w:val="00BF21F6"/>
    <w:rsid w:val="00BF2237"/>
    <w:rsid w:val="00BF238E"/>
    <w:rsid w:val="00BF283A"/>
    <w:rsid w:val="00BF2848"/>
    <w:rsid w:val="00BF2A67"/>
    <w:rsid w:val="00BF2D79"/>
    <w:rsid w:val="00BF2F75"/>
    <w:rsid w:val="00BF305D"/>
    <w:rsid w:val="00BF3112"/>
    <w:rsid w:val="00BF3301"/>
    <w:rsid w:val="00BF357F"/>
    <w:rsid w:val="00BF37F8"/>
    <w:rsid w:val="00BF38C1"/>
    <w:rsid w:val="00BF38F4"/>
    <w:rsid w:val="00BF3958"/>
    <w:rsid w:val="00BF3AA8"/>
    <w:rsid w:val="00BF3BBC"/>
    <w:rsid w:val="00BF3D00"/>
    <w:rsid w:val="00BF3E9F"/>
    <w:rsid w:val="00BF4052"/>
    <w:rsid w:val="00BF41D9"/>
    <w:rsid w:val="00BF42A8"/>
    <w:rsid w:val="00BF463A"/>
    <w:rsid w:val="00BF468C"/>
    <w:rsid w:val="00BF4769"/>
    <w:rsid w:val="00BF4801"/>
    <w:rsid w:val="00BF4A52"/>
    <w:rsid w:val="00BF4AC6"/>
    <w:rsid w:val="00BF4C42"/>
    <w:rsid w:val="00BF4F46"/>
    <w:rsid w:val="00BF5121"/>
    <w:rsid w:val="00BF515D"/>
    <w:rsid w:val="00BF5178"/>
    <w:rsid w:val="00BF53CC"/>
    <w:rsid w:val="00BF56B3"/>
    <w:rsid w:val="00BF5810"/>
    <w:rsid w:val="00BF5813"/>
    <w:rsid w:val="00BF581E"/>
    <w:rsid w:val="00BF5825"/>
    <w:rsid w:val="00BF5B41"/>
    <w:rsid w:val="00BF5C29"/>
    <w:rsid w:val="00BF5EB9"/>
    <w:rsid w:val="00BF6186"/>
    <w:rsid w:val="00BF61F4"/>
    <w:rsid w:val="00BF65FA"/>
    <w:rsid w:val="00BF67F2"/>
    <w:rsid w:val="00BF6AD3"/>
    <w:rsid w:val="00BF6BE5"/>
    <w:rsid w:val="00BF6C71"/>
    <w:rsid w:val="00BF6F99"/>
    <w:rsid w:val="00BF740D"/>
    <w:rsid w:val="00BF74B3"/>
    <w:rsid w:val="00BF7579"/>
    <w:rsid w:val="00BF75EE"/>
    <w:rsid w:val="00BF765D"/>
    <w:rsid w:val="00BF7680"/>
    <w:rsid w:val="00BF77E2"/>
    <w:rsid w:val="00BF7B86"/>
    <w:rsid w:val="00BF7DE3"/>
    <w:rsid w:val="00BF7E95"/>
    <w:rsid w:val="00BF7F30"/>
    <w:rsid w:val="00C000E4"/>
    <w:rsid w:val="00C002FF"/>
    <w:rsid w:val="00C004A7"/>
    <w:rsid w:val="00C005AA"/>
    <w:rsid w:val="00C005DB"/>
    <w:rsid w:val="00C00604"/>
    <w:rsid w:val="00C009B2"/>
    <w:rsid w:val="00C009F5"/>
    <w:rsid w:val="00C00A2E"/>
    <w:rsid w:val="00C00AA7"/>
    <w:rsid w:val="00C00BE2"/>
    <w:rsid w:val="00C00D83"/>
    <w:rsid w:val="00C00E8D"/>
    <w:rsid w:val="00C00F79"/>
    <w:rsid w:val="00C0112A"/>
    <w:rsid w:val="00C012B4"/>
    <w:rsid w:val="00C01861"/>
    <w:rsid w:val="00C01BBF"/>
    <w:rsid w:val="00C01C39"/>
    <w:rsid w:val="00C01C7B"/>
    <w:rsid w:val="00C01DAD"/>
    <w:rsid w:val="00C01EBE"/>
    <w:rsid w:val="00C01F85"/>
    <w:rsid w:val="00C02076"/>
    <w:rsid w:val="00C020C7"/>
    <w:rsid w:val="00C0234D"/>
    <w:rsid w:val="00C025C5"/>
    <w:rsid w:val="00C0282A"/>
    <w:rsid w:val="00C0296E"/>
    <w:rsid w:val="00C02B3C"/>
    <w:rsid w:val="00C02CF1"/>
    <w:rsid w:val="00C03193"/>
    <w:rsid w:val="00C032E5"/>
    <w:rsid w:val="00C03357"/>
    <w:rsid w:val="00C034E6"/>
    <w:rsid w:val="00C03692"/>
    <w:rsid w:val="00C036CF"/>
    <w:rsid w:val="00C0374D"/>
    <w:rsid w:val="00C039DB"/>
    <w:rsid w:val="00C03BE3"/>
    <w:rsid w:val="00C03D28"/>
    <w:rsid w:val="00C03DE6"/>
    <w:rsid w:val="00C03F22"/>
    <w:rsid w:val="00C04012"/>
    <w:rsid w:val="00C040E4"/>
    <w:rsid w:val="00C0439E"/>
    <w:rsid w:val="00C046B7"/>
    <w:rsid w:val="00C047BB"/>
    <w:rsid w:val="00C04C25"/>
    <w:rsid w:val="00C04D62"/>
    <w:rsid w:val="00C04E87"/>
    <w:rsid w:val="00C04ED4"/>
    <w:rsid w:val="00C04F04"/>
    <w:rsid w:val="00C04F07"/>
    <w:rsid w:val="00C050F5"/>
    <w:rsid w:val="00C05108"/>
    <w:rsid w:val="00C0510E"/>
    <w:rsid w:val="00C051D0"/>
    <w:rsid w:val="00C051DA"/>
    <w:rsid w:val="00C054D9"/>
    <w:rsid w:val="00C05633"/>
    <w:rsid w:val="00C058DE"/>
    <w:rsid w:val="00C059D9"/>
    <w:rsid w:val="00C05CD0"/>
    <w:rsid w:val="00C05DC1"/>
    <w:rsid w:val="00C05F85"/>
    <w:rsid w:val="00C063BF"/>
    <w:rsid w:val="00C06492"/>
    <w:rsid w:val="00C0664A"/>
    <w:rsid w:val="00C066D0"/>
    <w:rsid w:val="00C06797"/>
    <w:rsid w:val="00C06935"/>
    <w:rsid w:val="00C06A38"/>
    <w:rsid w:val="00C06A6C"/>
    <w:rsid w:val="00C06CAB"/>
    <w:rsid w:val="00C06DFD"/>
    <w:rsid w:val="00C06F4E"/>
    <w:rsid w:val="00C07073"/>
    <w:rsid w:val="00C07182"/>
    <w:rsid w:val="00C07358"/>
    <w:rsid w:val="00C074A8"/>
    <w:rsid w:val="00C07636"/>
    <w:rsid w:val="00C07986"/>
    <w:rsid w:val="00C079F0"/>
    <w:rsid w:val="00C07AAC"/>
    <w:rsid w:val="00C07B10"/>
    <w:rsid w:val="00C07C82"/>
    <w:rsid w:val="00C07DD1"/>
    <w:rsid w:val="00C07F6E"/>
    <w:rsid w:val="00C10206"/>
    <w:rsid w:val="00C104F8"/>
    <w:rsid w:val="00C10715"/>
    <w:rsid w:val="00C1081B"/>
    <w:rsid w:val="00C10832"/>
    <w:rsid w:val="00C109A8"/>
    <w:rsid w:val="00C10CBA"/>
    <w:rsid w:val="00C10F00"/>
    <w:rsid w:val="00C10F1E"/>
    <w:rsid w:val="00C115DC"/>
    <w:rsid w:val="00C117AB"/>
    <w:rsid w:val="00C1184E"/>
    <w:rsid w:val="00C11850"/>
    <w:rsid w:val="00C1191C"/>
    <w:rsid w:val="00C11A54"/>
    <w:rsid w:val="00C11BA1"/>
    <w:rsid w:val="00C12669"/>
    <w:rsid w:val="00C12BCC"/>
    <w:rsid w:val="00C12BF8"/>
    <w:rsid w:val="00C12CE8"/>
    <w:rsid w:val="00C12E2E"/>
    <w:rsid w:val="00C12F8D"/>
    <w:rsid w:val="00C13171"/>
    <w:rsid w:val="00C13257"/>
    <w:rsid w:val="00C13349"/>
    <w:rsid w:val="00C1358C"/>
    <w:rsid w:val="00C1375A"/>
    <w:rsid w:val="00C137C1"/>
    <w:rsid w:val="00C13990"/>
    <w:rsid w:val="00C13A2D"/>
    <w:rsid w:val="00C13F1A"/>
    <w:rsid w:val="00C14048"/>
    <w:rsid w:val="00C141D8"/>
    <w:rsid w:val="00C1437D"/>
    <w:rsid w:val="00C14788"/>
    <w:rsid w:val="00C148B6"/>
    <w:rsid w:val="00C1494F"/>
    <w:rsid w:val="00C14C59"/>
    <w:rsid w:val="00C14D17"/>
    <w:rsid w:val="00C14E08"/>
    <w:rsid w:val="00C14E90"/>
    <w:rsid w:val="00C150AD"/>
    <w:rsid w:val="00C15399"/>
    <w:rsid w:val="00C15600"/>
    <w:rsid w:val="00C157DC"/>
    <w:rsid w:val="00C15A07"/>
    <w:rsid w:val="00C15A08"/>
    <w:rsid w:val="00C15A0E"/>
    <w:rsid w:val="00C15A40"/>
    <w:rsid w:val="00C15F70"/>
    <w:rsid w:val="00C15FFB"/>
    <w:rsid w:val="00C1656F"/>
    <w:rsid w:val="00C165CF"/>
    <w:rsid w:val="00C16709"/>
    <w:rsid w:val="00C167B6"/>
    <w:rsid w:val="00C16CA5"/>
    <w:rsid w:val="00C16DEC"/>
    <w:rsid w:val="00C16FDA"/>
    <w:rsid w:val="00C1723F"/>
    <w:rsid w:val="00C17409"/>
    <w:rsid w:val="00C1741B"/>
    <w:rsid w:val="00C175E4"/>
    <w:rsid w:val="00C175F0"/>
    <w:rsid w:val="00C17775"/>
    <w:rsid w:val="00C17810"/>
    <w:rsid w:val="00C17888"/>
    <w:rsid w:val="00C17BDB"/>
    <w:rsid w:val="00C17C83"/>
    <w:rsid w:val="00C17D1A"/>
    <w:rsid w:val="00C17DC4"/>
    <w:rsid w:val="00C17DDF"/>
    <w:rsid w:val="00C17EB0"/>
    <w:rsid w:val="00C17F6F"/>
    <w:rsid w:val="00C17FD5"/>
    <w:rsid w:val="00C200D0"/>
    <w:rsid w:val="00C20101"/>
    <w:rsid w:val="00C2012C"/>
    <w:rsid w:val="00C2022C"/>
    <w:rsid w:val="00C2033E"/>
    <w:rsid w:val="00C205D2"/>
    <w:rsid w:val="00C20663"/>
    <w:rsid w:val="00C206CB"/>
    <w:rsid w:val="00C20805"/>
    <w:rsid w:val="00C20F2A"/>
    <w:rsid w:val="00C20F61"/>
    <w:rsid w:val="00C21028"/>
    <w:rsid w:val="00C21236"/>
    <w:rsid w:val="00C214E7"/>
    <w:rsid w:val="00C21673"/>
    <w:rsid w:val="00C2172E"/>
    <w:rsid w:val="00C217B0"/>
    <w:rsid w:val="00C218B1"/>
    <w:rsid w:val="00C218D6"/>
    <w:rsid w:val="00C2194E"/>
    <w:rsid w:val="00C21A32"/>
    <w:rsid w:val="00C21A48"/>
    <w:rsid w:val="00C21C19"/>
    <w:rsid w:val="00C21CD4"/>
    <w:rsid w:val="00C21D85"/>
    <w:rsid w:val="00C21E5B"/>
    <w:rsid w:val="00C21E8D"/>
    <w:rsid w:val="00C21EDA"/>
    <w:rsid w:val="00C2226A"/>
    <w:rsid w:val="00C223BF"/>
    <w:rsid w:val="00C22A10"/>
    <w:rsid w:val="00C22A7E"/>
    <w:rsid w:val="00C22B11"/>
    <w:rsid w:val="00C22C26"/>
    <w:rsid w:val="00C233EE"/>
    <w:rsid w:val="00C23493"/>
    <w:rsid w:val="00C23766"/>
    <w:rsid w:val="00C23965"/>
    <w:rsid w:val="00C23E91"/>
    <w:rsid w:val="00C2405C"/>
    <w:rsid w:val="00C240A7"/>
    <w:rsid w:val="00C24106"/>
    <w:rsid w:val="00C24122"/>
    <w:rsid w:val="00C2456B"/>
    <w:rsid w:val="00C245B8"/>
    <w:rsid w:val="00C24715"/>
    <w:rsid w:val="00C24754"/>
    <w:rsid w:val="00C24755"/>
    <w:rsid w:val="00C247D4"/>
    <w:rsid w:val="00C24845"/>
    <w:rsid w:val="00C24A05"/>
    <w:rsid w:val="00C24AC3"/>
    <w:rsid w:val="00C24ACA"/>
    <w:rsid w:val="00C24D3C"/>
    <w:rsid w:val="00C253DA"/>
    <w:rsid w:val="00C255CF"/>
    <w:rsid w:val="00C25A51"/>
    <w:rsid w:val="00C25B4A"/>
    <w:rsid w:val="00C25C7A"/>
    <w:rsid w:val="00C25E4C"/>
    <w:rsid w:val="00C25EAC"/>
    <w:rsid w:val="00C25FEF"/>
    <w:rsid w:val="00C25FF1"/>
    <w:rsid w:val="00C26000"/>
    <w:rsid w:val="00C2602A"/>
    <w:rsid w:val="00C260F9"/>
    <w:rsid w:val="00C26340"/>
    <w:rsid w:val="00C26421"/>
    <w:rsid w:val="00C26789"/>
    <w:rsid w:val="00C26830"/>
    <w:rsid w:val="00C26996"/>
    <w:rsid w:val="00C269EA"/>
    <w:rsid w:val="00C26AA3"/>
    <w:rsid w:val="00C26ACD"/>
    <w:rsid w:val="00C26AD9"/>
    <w:rsid w:val="00C26B59"/>
    <w:rsid w:val="00C26CB2"/>
    <w:rsid w:val="00C26CCF"/>
    <w:rsid w:val="00C26E44"/>
    <w:rsid w:val="00C26E66"/>
    <w:rsid w:val="00C2715B"/>
    <w:rsid w:val="00C271FE"/>
    <w:rsid w:val="00C272CC"/>
    <w:rsid w:val="00C2745A"/>
    <w:rsid w:val="00C27519"/>
    <w:rsid w:val="00C27800"/>
    <w:rsid w:val="00C27912"/>
    <w:rsid w:val="00C27931"/>
    <w:rsid w:val="00C279A3"/>
    <w:rsid w:val="00C27B93"/>
    <w:rsid w:val="00C27D9C"/>
    <w:rsid w:val="00C27E5B"/>
    <w:rsid w:val="00C27E86"/>
    <w:rsid w:val="00C30170"/>
    <w:rsid w:val="00C30416"/>
    <w:rsid w:val="00C309B6"/>
    <w:rsid w:val="00C30B7E"/>
    <w:rsid w:val="00C30CD6"/>
    <w:rsid w:val="00C31205"/>
    <w:rsid w:val="00C31251"/>
    <w:rsid w:val="00C31260"/>
    <w:rsid w:val="00C31306"/>
    <w:rsid w:val="00C316D3"/>
    <w:rsid w:val="00C31797"/>
    <w:rsid w:val="00C317CB"/>
    <w:rsid w:val="00C317FA"/>
    <w:rsid w:val="00C3191A"/>
    <w:rsid w:val="00C31BC5"/>
    <w:rsid w:val="00C31C82"/>
    <w:rsid w:val="00C31CBD"/>
    <w:rsid w:val="00C31F25"/>
    <w:rsid w:val="00C31F41"/>
    <w:rsid w:val="00C3214E"/>
    <w:rsid w:val="00C322A2"/>
    <w:rsid w:val="00C322C1"/>
    <w:rsid w:val="00C32313"/>
    <w:rsid w:val="00C32395"/>
    <w:rsid w:val="00C3284B"/>
    <w:rsid w:val="00C32A79"/>
    <w:rsid w:val="00C32A9B"/>
    <w:rsid w:val="00C32D4B"/>
    <w:rsid w:val="00C331C3"/>
    <w:rsid w:val="00C3320C"/>
    <w:rsid w:val="00C332CA"/>
    <w:rsid w:val="00C332E8"/>
    <w:rsid w:val="00C332EA"/>
    <w:rsid w:val="00C332EF"/>
    <w:rsid w:val="00C33460"/>
    <w:rsid w:val="00C33753"/>
    <w:rsid w:val="00C337C7"/>
    <w:rsid w:val="00C337D2"/>
    <w:rsid w:val="00C33820"/>
    <w:rsid w:val="00C3383F"/>
    <w:rsid w:val="00C33868"/>
    <w:rsid w:val="00C33877"/>
    <w:rsid w:val="00C33CC5"/>
    <w:rsid w:val="00C33EB1"/>
    <w:rsid w:val="00C340E0"/>
    <w:rsid w:val="00C342BA"/>
    <w:rsid w:val="00C34460"/>
    <w:rsid w:val="00C3472A"/>
    <w:rsid w:val="00C34803"/>
    <w:rsid w:val="00C3481C"/>
    <w:rsid w:val="00C3487B"/>
    <w:rsid w:val="00C34B16"/>
    <w:rsid w:val="00C34DC0"/>
    <w:rsid w:val="00C3514B"/>
    <w:rsid w:val="00C351A9"/>
    <w:rsid w:val="00C35442"/>
    <w:rsid w:val="00C356F5"/>
    <w:rsid w:val="00C35784"/>
    <w:rsid w:val="00C35C7D"/>
    <w:rsid w:val="00C35CA5"/>
    <w:rsid w:val="00C35D3F"/>
    <w:rsid w:val="00C35E2B"/>
    <w:rsid w:val="00C35F8A"/>
    <w:rsid w:val="00C3651D"/>
    <w:rsid w:val="00C366D4"/>
    <w:rsid w:val="00C36776"/>
    <w:rsid w:val="00C36EBC"/>
    <w:rsid w:val="00C37174"/>
    <w:rsid w:val="00C372FC"/>
    <w:rsid w:val="00C37A63"/>
    <w:rsid w:val="00C37AD9"/>
    <w:rsid w:val="00C37B0F"/>
    <w:rsid w:val="00C37D38"/>
    <w:rsid w:val="00C37E8F"/>
    <w:rsid w:val="00C37F54"/>
    <w:rsid w:val="00C37F6F"/>
    <w:rsid w:val="00C401E2"/>
    <w:rsid w:val="00C40211"/>
    <w:rsid w:val="00C40341"/>
    <w:rsid w:val="00C4084E"/>
    <w:rsid w:val="00C4087C"/>
    <w:rsid w:val="00C40971"/>
    <w:rsid w:val="00C40A8E"/>
    <w:rsid w:val="00C40B0F"/>
    <w:rsid w:val="00C40C2F"/>
    <w:rsid w:val="00C40C71"/>
    <w:rsid w:val="00C40D37"/>
    <w:rsid w:val="00C40D49"/>
    <w:rsid w:val="00C40D98"/>
    <w:rsid w:val="00C40F8A"/>
    <w:rsid w:val="00C41157"/>
    <w:rsid w:val="00C411B8"/>
    <w:rsid w:val="00C41356"/>
    <w:rsid w:val="00C4140D"/>
    <w:rsid w:val="00C417C1"/>
    <w:rsid w:val="00C41AA1"/>
    <w:rsid w:val="00C41AC7"/>
    <w:rsid w:val="00C41D04"/>
    <w:rsid w:val="00C41F4B"/>
    <w:rsid w:val="00C420F5"/>
    <w:rsid w:val="00C424C1"/>
    <w:rsid w:val="00C42509"/>
    <w:rsid w:val="00C4293F"/>
    <w:rsid w:val="00C4296B"/>
    <w:rsid w:val="00C4299F"/>
    <w:rsid w:val="00C429F2"/>
    <w:rsid w:val="00C42BC5"/>
    <w:rsid w:val="00C4343F"/>
    <w:rsid w:val="00C435E2"/>
    <w:rsid w:val="00C43955"/>
    <w:rsid w:val="00C43988"/>
    <w:rsid w:val="00C43A5A"/>
    <w:rsid w:val="00C43B5F"/>
    <w:rsid w:val="00C43BE0"/>
    <w:rsid w:val="00C44286"/>
    <w:rsid w:val="00C44336"/>
    <w:rsid w:val="00C4435D"/>
    <w:rsid w:val="00C443AC"/>
    <w:rsid w:val="00C4480C"/>
    <w:rsid w:val="00C44BF6"/>
    <w:rsid w:val="00C44CFA"/>
    <w:rsid w:val="00C44D84"/>
    <w:rsid w:val="00C44E00"/>
    <w:rsid w:val="00C44FA2"/>
    <w:rsid w:val="00C4502D"/>
    <w:rsid w:val="00C45258"/>
    <w:rsid w:val="00C45427"/>
    <w:rsid w:val="00C457F9"/>
    <w:rsid w:val="00C457FA"/>
    <w:rsid w:val="00C45886"/>
    <w:rsid w:val="00C459EE"/>
    <w:rsid w:val="00C45AC6"/>
    <w:rsid w:val="00C45C35"/>
    <w:rsid w:val="00C45C61"/>
    <w:rsid w:val="00C45EA9"/>
    <w:rsid w:val="00C45FDC"/>
    <w:rsid w:val="00C45FF4"/>
    <w:rsid w:val="00C4614A"/>
    <w:rsid w:val="00C461B8"/>
    <w:rsid w:val="00C4622C"/>
    <w:rsid w:val="00C462D4"/>
    <w:rsid w:val="00C4650D"/>
    <w:rsid w:val="00C465F7"/>
    <w:rsid w:val="00C46B86"/>
    <w:rsid w:val="00C471E4"/>
    <w:rsid w:val="00C475A2"/>
    <w:rsid w:val="00C4774B"/>
    <w:rsid w:val="00C4789F"/>
    <w:rsid w:val="00C478CA"/>
    <w:rsid w:val="00C47A7C"/>
    <w:rsid w:val="00C47C4B"/>
    <w:rsid w:val="00C47F5E"/>
    <w:rsid w:val="00C47FB2"/>
    <w:rsid w:val="00C502D6"/>
    <w:rsid w:val="00C50484"/>
    <w:rsid w:val="00C504BC"/>
    <w:rsid w:val="00C504D1"/>
    <w:rsid w:val="00C5050A"/>
    <w:rsid w:val="00C50586"/>
    <w:rsid w:val="00C506C0"/>
    <w:rsid w:val="00C50743"/>
    <w:rsid w:val="00C50B0B"/>
    <w:rsid w:val="00C50DDB"/>
    <w:rsid w:val="00C50E62"/>
    <w:rsid w:val="00C510BD"/>
    <w:rsid w:val="00C5120E"/>
    <w:rsid w:val="00C51213"/>
    <w:rsid w:val="00C51325"/>
    <w:rsid w:val="00C5133A"/>
    <w:rsid w:val="00C515D0"/>
    <w:rsid w:val="00C518C9"/>
    <w:rsid w:val="00C51EF7"/>
    <w:rsid w:val="00C521FB"/>
    <w:rsid w:val="00C523C0"/>
    <w:rsid w:val="00C524BA"/>
    <w:rsid w:val="00C5257F"/>
    <w:rsid w:val="00C526F1"/>
    <w:rsid w:val="00C52C89"/>
    <w:rsid w:val="00C52D09"/>
    <w:rsid w:val="00C52D23"/>
    <w:rsid w:val="00C52D5F"/>
    <w:rsid w:val="00C53099"/>
    <w:rsid w:val="00C530B2"/>
    <w:rsid w:val="00C530DB"/>
    <w:rsid w:val="00C53248"/>
    <w:rsid w:val="00C53304"/>
    <w:rsid w:val="00C53340"/>
    <w:rsid w:val="00C53563"/>
    <w:rsid w:val="00C535CF"/>
    <w:rsid w:val="00C53710"/>
    <w:rsid w:val="00C5384E"/>
    <w:rsid w:val="00C53AB3"/>
    <w:rsid w:val="00C53B76"/>
    <w:rsid w:val="00C53BC8"/>
    <w:rsid w:val="00C53C35"/>
    <w:rsid w:val="00C53C48"/>
    <w:rsid w:val="00C53C57"/>
    <w:rsid w:val="00C53CA3"/>
    <w:rsid w:val="00C53D35"/>
    <w:rsid w:val="00C5404E"/>
    <w:rsid w:val="00C54392"/>
    <w:rsid w:val="00C547A3"/>
    <w:rsid w:val="00C5492D"/>
    <w:rsid w:val="00C54BA0"/>
    <w:rsid w:val="00C54D16"/>
    <w:rsid w:val="00C54D48"/>
    <w:rsid w:val="00C54DF5"/>
    <w:rsid w:val="00C550FF"/>
    <w:rsid w:val="00C5511A"/>
    <w:rsid w:val="00C55586"/>
    <w:rsid w:val="00C55D8F"/>
    <w:rsid w:val="00C55DE6"/>
    <w:rsid w:val="00C55FFF"/>
    <w:rsid w:val="00C56291"/>
    <w:rsid w:val="00C5645E"/>
    <w:rsid w:val="00C56667"/>
    <w:rsid w:val="00C567B6"/>
    <w:rsid w:val="00C56912"/>
    <w:rsid w:val="00C56AA1"/>
    <w:rsid w:val="00C56AE0"/>
    <w:rsid w:val="00C56B99"/>
    <w:rsid w:val="00C56BF0"/>
    <w:rsid w:val="00C56E89"/>
    <w:rsid w:val="00C56ED1"/>
    <w:rsid w:val="00C56F83"/>
    <w:rsid w:val="00C56F87"/>
    <w:rsid w:val="00C573C6"/>
    <w:rsid w:val="00C5740D"/>
    <w:rsid w:val="00C575E7"/>
    <w:rsid w:val="00C5772E"/>
    <w:rsid w:val="00C57751"/>
    <w:rsid w:val="00C57764"/>
    <w:rsid w:val="00C57E60"/>
    <w:rsid w:val="00C57EC2"/>
    <w:rsid w:val="00C6006A"/>
    <w:rsid w:val="00C60097"/>
    <w:rsid w:val="00C601D3"/>
    <w:rsid w:val="00C60216"/>
    <w:rsid w:val="00C603FA"/>
    <w:rsid w:val="00C60443"/>
    <w:rsid w:val="00C6050B"/>
    <w:rsid w:val="00C605C8"/>
    <w:rsid w:val="00C6070A"/>
    <w:rsid w:val="00C6090C"/>
    <w:rsid w:val="00C60C5F"/>
    <w:rsid w:val="00C60F3C"/>
    <w:rsid w:val="00C61002"/>
    <w:rsid w:val="00C610F8"/>
    <w:rsid w:val="00C6129D"/>
    <w:rsid w:val="00C612A7"/>
    <w:rsid w:val="00C613DC"/>
    <w:rsid w:val="00C614A4"/>
    <w:rsid w:val="00C614C5"/>
    <w:rsid w:val="00C615C5"/>
    <w:rsid w:val="00C61668"/>
    <w:rsid w:val="00C6199D"/>
    <w:rsid w:val="00C61A83"/>
    <w:rsid w:val="00C61B65"/>
    <w:rsid w:val="00C61C12"/>
    <w:rsid w:val="00C61C5D"/>
    <w:rsid w:val="00C61E34"/>
    <w:rsid w:val="00C61E6D"/>
    <w:rsid w:val="00C61E71"/>
    <w:rsid w:val="00C620FD"/>
    <w:rsid w:val="00C62422"/>
    <w:rsid w:val="00C62D0B"/>
    <w:rsid w:val="00C62E9C"/>
    <w:rsid w:val="00C62F47"/>
    <w:rsid w:val="00C638A6"/>
    <w:rsid w:val="00C6393F"/>
    <w:rsid w:val="00C63A8C"/>
    <w:rsid w:val="00C63B11"/>
    <w:rsid w:val="00C63B8D"/>
    <w:rsid w:val="00C63BB8"/>
    <w:rsid w:val="00C63C5D"/>
    <w:rsid w:val="00C6482B"/>
    <w:rsid w:val="00C6483F"/>
    <w:rsid w:val="00C64878"/>
    <w:rsid w:val="00C64A2E"/>
    <w:rsid w:val="00C64BC2"/>
    <w:rsid w:val="00C64D49"/>
    <w:rsid w:val="00C64E92"/>
    <w:rsid w:val="00C6527B"/>
    <w:rsid w:val="00C65334"/>
    <w:rsid w:val="00C6543A"/>
    <w:rsid w:val="00C65489"/>
    <w:rsid w:val="00C655C6"/>
    <w:rsid w:val="00C65757"/>
    <w:rsid w:val="00C65A77"/>
    <w:rsid w:val="00C65FFB"/>
    <w:rsid w:val="00C66039"/>
    <w:rsid w:val="00C66117"/>
    <w:rsid w:val="00C66476"/>
    <w:rsid w:val="00C66634"/>
    <w:rsid w:val="00C66727"/>
    <w:rsid w:val="00C66A60"/>
    <w:rsid w:val="00C66A79"/>
    <w:rsid w:val="00C66B8C"/>
    <w:rsid w:val="00C66CB2"/>
    <w:rsid w:val="00C670E4"/>
    <w:rsid w:val="00C67231"/>
    <w:rsid w:val="00C6742C"/>
    <w:rsid w:val="00C6769B"/>
    <w:rsid w:val="00C6772F"/>
    <w:rsid w:val="00C677BD"/>
    <w:rsid w:val="00C67989"/>
    <w:rsid w:val="00C67A07"/>
    <w:rsid w:val="00C67A30"/>
    <w:rsid w:val="00C67A4D"/>
    <w:rsid w:val="00C67A76"/>
    <w:rsid w:val="00C67B92"/>
    <w:rsid w:val="00C67BC7"/>
    <w:rsid w:val="00C67F3C"/>
    <w:rsid w:val="00C67F62"/>
    <w:rsid w:val="00C70071"/>
    <w:rsid w:val="00C7008D"/>
    <w:rsid w:val="00C70133"/>
    <w:rsid w:val="00C705F3"/>
    <w:rsid w:val="00C70728"/>
    <w:rsid w:val="00C707C9"/>
    <w:rsid w:val="00C70805"/>
    <w:rsid w:val="00C708D1"/>
    <w:rsid w:val="00C70B29"/>
    <w:rsid w:val="00C70BC3"/>
    <w:rsid w:val="00C70D64"/>
    <w:rsid w:val="00C7102C"/>
    <w:rsid w:val="00C7116D"/>
    <w:rsid w:val="00C7130B"/>
    <w:rsid w:val="00C7137E"/>
    <w:rsid w:val="00C71797"/>
    <w:rsid w:val="00C71888"/>
    <w:rsid w:val="00C71AEE"/>
    <w:rsid w:val="00C71CCE"/>
    <w:rsid w:val="00C71D75"/>
    <w:rsid w:val="00C71DDB"/>
    <w:rsid w:val="00C72138"/>
    <w:rsid w:val="00C72376"/>
    <w:rsid w:val="00C726A5"/>
    <w:rsid w:val="00C726BE"/>
    <w:rsid w:val="00C72969"/>
    <w:rsid w:val="00C72C12"/>
    <w:rsid w:val="00C72D94"/>
    <w:rsid w:val="00C72EF5"/>
    <w:rsid w:val="00C72F19"/>
    <w:rsid w:val="00C7377F"/>
    <w:rsid w:val="00C73865"/>
    <w:rsid w:val="00C73958"/>
    <w:rsid w:val="00C739DA"/>
    <w:rsid w:val="00C7441D"/>
    <w:rsid w:val="00C7465C"/>
    <w:rsid w:val="00C74664"/>
    <w:rsid w:val="00C747AE"/>
    <w:rsid w:val="00C747CD"/>
    <w:rsid w:val="00C74977"/>
    <w:rsid w:val="00C74CD2"/>
    <w:rsid w:val="00C74DEF"/>
    <w:rsid w:val="00C74EBB"/>
    <w:rsid w:val="00C74F56"/>
    <w:rsid w:val="00C7512B"/>
    <w:rsid w:val="00C75130"/>
    <w:rsid w:val="00C7547B"/>
    <w:rsid w:val="00C7557F"/>
    <w:rsid w:val="00C756F2"/>
    <w:rsid w:val="00C7575E"/>
    <w:rsid w:val="00C75EB3"/>
    <w:rsid w:val="00C75F87"/>
    <w:rsid w:val="00C75FC3"/>
    <w:rsid w:val="00C76126"/>
    <w:rsid w:val="00C76221"/>
    <w:rsid w:val="00C762EE"/>
    <w:rsid w:val="00C763A8"/>
    <w:rsid w:val="00C764B6"/>
    <w:rsid w:val="00C76736"/>
    <w:rsid w:val="00C768F5"/>
    <w:rsid w:val="00C76B1C"/>
    <w:rsid w:val="00C7702E"/>
    <w:rsid w:val="00C771B1"/>
    <w:rsid w:val="00C77379"/>
    <w:rsid w:val="00C773A0"/>
    <w:rsid w:val="00C77802"/>
    <w:rsid w:val="00C77B5B"/>
    <w:rsid w:val="00C77B91"/>
    <w:rsid w:val="00C77E17"/>
    <w:rsid w:val="00C77E82"/>
    <w:rsid w:val="00C80192"/>
    <w:rsid w:val="00C802D0"/>
    <w:rsid w:val="00C805CA"/>
    <w:rsid w:val="00C80B42"/>
    <w:rsid w:val="00C80C1C"/>
    <w:rsid w:val="00C80CAB"/>
    <w:rsid w:val="00C80EB4"/>
    <w:rsid w:val="00C810CB"/>
    <w:rsid w:val="00C811F3"/>
    <w:rsid w:val="00C813A3"/>
    <w:rsid w:val="00C81669"/>
    <w:rsid w:val="00C818A0"/>
    <w:rsid w:val="00C818EB"/>
    <w:rsid w:val="00C81A68"/>
    <w:rsid w:val="00C8202C"/>
    <w:rsid w:val="00C82277"/>
    <w:rsid w:val="00C822EA"/>
    <w:rsid w:val="00C82321"/>
    <w:rsid w:val="00C82486"/>
    <w:rsid w:val="00C82811"/>
    <w:rsid w:val="00C829F6"/>
    <w:rsid w:val="00C82A5B"/>
    <w:rsid w:val="00C82BCE"/>
    <w:rsid w:val="00C82C47"/>
    <w:rsid w:val="00C82CC0"/>
    <w:rsid w:val="00C82D4F"/>
    <w:rsid w:val="00C8315E"/>
    <w:rsid w:val="00C834F2"/>
    <w:rsid w:val="00C8351F"/>
    <w:rsid w:val="00C83729"/>
    <w:rsid w:val="00C8392F"/>
    <w:rsid w:val="00C8393F"/>
    <w:rsid w:val="00C83983"/>
    <w:rsid w:val="00C83B6B"/>
    <w:rsid w:val="00C83C1E"/>
    <w:rsid w:val="00C83D06"/>
    <w:rsid w:val="00C83E74"/>
    <w:rsid w:val="00C83EB9"/>
    <w:rsid w:val="00C84000"/>
    <w:rsid w:val="00C84180"/>
    <w:rsid w:val="00C843F6"/>
    <w:rsid w:val="00C845CE"/>
    <w:rsid w:val="00C8466B"/>
    <w:rsid w:val="00C84A66"/>
    <w:rsid w:val="00C84D9D"/>
    <w:rsid w:val="00C84F51"/>
    <w:rsid w:val="00C84FC3"/>
    <w:rsid w:val="00C8523A"/>
    <w:rsid w:val="00C852BA"/>
    <w:rsid w:val="00C855D7"/>
    <w:rsid w:val="00C8571A"/>
    <w:rsid w:val="00C857E3"/>
    <w:rsid w:val="00C85A1F"/>
    <w:rsid w:val="00C85A95"/>
    <w:rsid w:val="00C85BBA"/>
    <w:rsid w:val="00C85DCE"/>
    <w:rsid w:val="00C85F52"/>
    <w:rsid w:val="00C85F6D"/>
    <w:rsid w:val="00C860D4"/>
    <w:rsid w:val="00C861FA"/>
    <w:rsid w:val="00C8660D"/>
    <w:rsid w:val="00C86718"/>
    <w:rsid w:val="00C86760"/>
    <w:rsid w:val="00C868F3"/>
    <w:rsid w:val="00C86A91"/>
    <w:rsid w:val="00C86C9D"/>
    <w:rsid w:val="00C876B8"/>
    <w:rsid w:val="00C87710"/>
    <w:rsid w:val="00C87FC4"/>
    <w:rsid w:val="00C9006D"/>
    <w:rsid w:val="00C90081"/>
    <w:rsid w:val="00C90151"/>
    <w:rsid w:val="00C9025D"/>
    <w:rsid w:val="00C90383"/>
    <w:rsid w:val="00C90433"/>
    <w:rsid w:val="00C90558"/>
    <w:rsid w:val="00C9064D"/>
    <w:rsid w:val="00C9068F"/>
    <w:rsid w:val="00C907EA"/>
    <w:rsid w:val="00C909D2"/>
    <w:rsid w:val="00C90AA1"/>
    <w:rsid w:val="00C90BDA"/>
    <w:rsid w:val="00C90CA3"/>
    <w:rsid w:val="00C90EF4"/>
    <w:rsid w:val="00C91153"/>
    <w:rsid w:val="00C9115A"/>
    <w:rsid w:val="00C91258"/>
    <w:rsid w:val="00C914B7"/>
    <w:rsid w:val="00C9173B"/>
    <w:rsid w:val="00C9191D"/>
    <w:rsid w:val="00C91960"/>
    <w:rsid w:val="00C919B2"/>
    <w:rsid w:val="00C919D5"/>
    <w:rsid w:val="00C91D8A"/>
    <w:rsid w:val="00C920DF"/>
    <w:rsid w:val="00C9223F"/>
    <w:rsid w:val="00C9237F"/>
    <w:rsid w:val="00C925A1"/>
    <w:rsid w:val="00C92BB0"/>
    <w:rsid w:val="00C92BD3"/>
    <w:rsid w:val="00C92BDF"/>
    <w:rsid w:val="00C92CBF"/>
    <w:rsid w:val="00C92F47"/>
    <w:rsid w:val="00C9303D"/>
    <w:rsid w:val="00C930D8"/>
    <w:rsid w:val="00C9323E"/>
    <w:rsid w:val="00C9347D"/>
    <w:rsid w:val="00C934D4"/>
    <w:rsid w:val="00C936D5"/>
    <w:rsid w:val="00C9370B"/>
    <w:rsid w:val="00C93A5F"/>
    <w:rsid w:val="00C93BBC"/>
    <w:rsid w:val="00C93CDF"/>
    <w:rsid w:val="00C944D3"/>
    <w:rsid w:val="00C94916"/>
    <w:rsid w:val="00C94AE7"/>
    <w:rsid w:val="00C94C1C"/>
    <w:rsid w:val="00C94D3C"/>
    <w:rsid w:val="00C953AD"/>
    <w:rsid w:val="00C9571E"/>
    <w:rsid w:val="00C95A01"/>
    <w:rsid w:val="00C95A6F"/>
    <w:rsid w:val="00C95AB9"/>
    <w:rsid w:val="00C95BAA"/>
    <w:rsid w:val="00C95DBD"/>
    <w:rsid w:val="00C95F79"/>
    <w:rsid w:val="00C961CB"/>
    <w:rsid w:val="00C96227"/>
    <w:rsid w:val="00C9631F"/>
    <w:rsid w:val="00C964FF"/>
    <w:rsid w:val="00C96597"/>
    <w:rsid w:val="00C96BD4"/>
    <w:rsid w:val="00C96E07"/>
    <w:rsid w:val="00C96FD4"/>
    <w:rsid w:val="00C97129"/>
    <w:rsid w:val="00C976F8"/>
    <w:rsid w:val="00C97849"/>
    <w:rsid w:val="00C978B2"/>
    <w:rsid w:val="00C97C24"/>
    <w:rsid w:val="00C97D3E"/>
    <w:rsid w:val="00C97DB7"/>
    <w:rsid w:val="00C97DEE"/>
    <w:rsid w:val="00C97F33"/>
    <w:rsid w:val="00CA01B9"/>
    <w:rsid w:val="00CA03E3"/>
    <w:rsid w:val="00CA0410"/>
    <w:rsid w:val="00CA0422"/>
    <w:rsid w:val="00CA04E3"/>
    <w:rsid w:val="00CA0554"/>
    <w:rsid w:val="00CA06E3"/>
    <w:rsid w:val="00CA0CE5"/>
    <w:rsid w:val="00CA1034"/>
    <w:rsid w:val="00CA11B3"/>
    <w:rsid w:val="00CA137E"/>
    <w:rsid w:val="00CA1381"/>
    <w:rsid w:val="00CA1AC9"/>
    <w:rsid w:val="00CA1C48"/>
    <w:rsid w:val="00CA1D68"/>
    <w:rsid w:val="00CA1E6D"/>
    <w:rsid w:val="00CA1FA3"/>
    <w:rsid w:val="00CA203A"/>
    <w:rsid w:val="00CA2109"/>
    <w:rsid w:val="00CA2120"/>
    <w:rsid w:val="00CA21B9"/>
    <w:rsid w:val="00CA277A"/>
    <w:rsid w:val="00CA2A4A"/>
    <w:rsid w:val="00CA2AB7"/>
    <w:rsid w:val="00CA2CB0"/>
    <w:rsid w:val="00CA2CFE"/>
    <w:rsid w:val="00CA2E05"/>
    <w:rsid w:val="00CA2EB5"/>
    <w:rsid w:val="00CA325C"/>
    <w:rsid w:val="00CA3394"/>
    <w:rsid w:val="00CA3B45"/>
    <w:rsid w:val="00CA40AB"/>
    <w:rsid w:val="00CA41A1"/>
    <w:rsid w:val="00CA4233"/>
    <w:rsid w:val="00CA43AE"/>
    <w:rsid w:val="00CA4420"/>
    <w:rsid w:val="00CA4478"/>
    <w:rsid w:val="00CA45CB"/>
    <w:rsid w:val="00CA46C1"/>
    <w:rsid w:val="00CA478F"/>
    <w:rsid w:val="00CA491E"/>
    <w:rsid w:val="00CA4936"/>
    <w:rsid w:val="00CA4DFC"/>
    <w:rsid w:val="00CA4EB9"/>
    <w:rsid w:val="00CA4EED"/>
    <w:rsid w:val="00CA4F16"/>
    <w:rsid w:val="00CA528E"/>
    <w:rsid w:val="00CA52B2"/>
    <w:rsid w:val="00CA541D"/>
    <w:rsid w:val="00CA56AC"/>
    <w:rsid w:val="00CA5885"/>
    <w:rsid w:val="00CA5BE0"/>
    <w:rsid w:val="00CA5EF0"/>
    <w:rsid w:val="00CA6119"/>
    <w:rsid w:val="00CA6193"/>
    <w:rsid w:val="00CA6350"/>
    <w:rsid w:val="00CA669E"/>
    <w:rsid w:val="00CA66C7"/>
    <w:rsid w:val="00CA6932"/>
    <w:rsid w:val="00CA6AC7"/>
    <w:rsid w:val="00CA6E9D"/>
    <w:rsid w:val="00CA718F"/>
    <w:rsid w:val="00CA7504"/>
    <w:rsid w:val="00CA7538"/>
    <w:rsid w:val="00CA7539"/>
    <w:rsid w:val="00CA791C"/>
    <w:rsid w:val="00CA79D0"/>
    <w:rsid w:val="00CA7B00"/>
    <w:rsid w:val="00CA7D09"/>
    <w:rsid w:val="00CA7D6E"/>
    <w:rsid w:val="00CA7EC2"/>
    <w:rsid w:val="00CA7F98"/>
    <w:rsid w:val="00CB0391"/>
    <w:rsid w:val="00CB03F5"/>
    <w:rsid w:val="00CB0493"/>
    <w:rsid w:val="00CB0541"/>
    <w:rsid w:val="00CB05A5"/>
    <w:rsid w:val="00CB062B"/>
    <w:rsid w:val="00CB07CF"/>
    <w:rsid w:val="00CB0B29"/>
    <w:rsid w:val="00CB0E5E"/>
    <w:rsid w:val="00CB103C"/>
    <w:rsid w:val="00CB1143"/>
    <w:rsid w:val="00CB115E"/>
    <w:rsid w:val="00CB1320"/>
    <w:rsid w:val="00CB1416"/>
    <w:rsid w:val="00CB187A"/>
    <w:rsid w:val="00CB1993"/>
    <w:rsid w:val="00CB1D70"/>
    <w:rsid w:val="00CB1E94"/>
    <w:rsid w:val="00CB1F91"/>
    <w:rsid w:val="00CB1FCD"/>
    <w:rsid w:val="00CB24C6"/>
    <w:rsid w:val="00CB2881"/>
    <w:rsid w:val="00CB293A"/>
    <w:rsid w:val="00CB299B"/>
    <w:rsid w:val="00CB2A00"/>
    <w:rsid w:val="00CB2BE5"/>
    <w:rsid w:val="00CB2C6A"/>
    <w:rsid w:val="00CB2D94"/>
    <w:rsid w:val="00CB3431"/>
    <w:rsid w:val="00CB3482"/>
    <w:rsid w:val="00CB3580"/>
    <w:rsid w:val="00CB3654"/>
    <w:rsid w:val="00CB36D3"/>
    <w:rsid w:val="00CB376A"/>
    <w:rsid w:val="00CB38B8"/>
    <w:rsid w:val="00CB3D6E"/>
    <w:rsid w:val="00CB3F34"/>
    <w:rsid w:val="00CB4177"/>
    <w:rsid w:val="00CB4507"/>
    <w:rsid w:val="00CB48E6"/>
    <w:rsid w:val="00CB4911"/>
    <w:rsid w:val="00CB4C9D"/>
    <w:rsid w:val="00CB4EEA"/>
    <w:rsid w:val="00CB4FAA"/>
    <w:rsid w:val="00CB501B"/>
    <w:rsid w:val="00CB5258"/>
    <w:rsid w:val="00CB52F1"/>
    <w:rsid w:val="00CB5449"/>
    <w:rsid w:val="00CB5567"/>
    <w:rsid w:val="00CB55AF"/>
    <w:rsid w:val="00CB5768"/>
    <w:rsid w:val="00CB5783"/>
    <w:rsid w:val="00CB57BD"/>
    <w:rsid w:val="00CB587D"/>
    <w:rsid w:val="00CB5954"/>
    <w:rsid w:val="00CB5AEF"/>
    <w:rsid w:val="00CB5C88"/>
    <w:rsid w:val="00CB665A"/>
    <w:rsid w:val="00CB6952"/>
    <w:rsid w:val="00CB69D9"/>
    <w:rsid w:val="00CB6A85"/>
    <w:rsid w:val="00CB6AFD"/>
    <w:rsid w:val="00CB6B31"/>
    <w:rsid w:val="00CB6D1B"/>
    <w:rsid w:val="00CB6D4C"/>
    <w:rsid w:val="00CB6D52"/>
    <w:rsid w:val="00CB6DF0"/>
    <w:rsid w:val="00CB6E03"/>
    <w:rsid w:val="00CB6ED0"/>
    <w:rsid w:val="00CB70E5"/>
    <w:rsid w:val="00CB74CF"/>
    <w:rsid w:val="00CB7507"/>
    <w:rsid w:val="00CB7669"/>
    <w:rsid w:val="00CB783B"/>
    <w:rsid w:val="00CB7D59"/>
    <w:rsid w:val="00CC0119"/>
    <w:rsid w:val="00CC0147"/>
    <w:rsid w:val="00CC0424"/>
    <w:rsid w:val="00CC043E"/>
    <w:rsid w:val="00CC05CB"/>
    <w:rsid w:val="00CC05FC"/>
    <w:rsid w:val="00CC0617"/>
    <w:rsid w:val="00CC064B"/>
    <w:rsid w:val="00CC07E9"/>
    <w:rsid w:val="00CC086D"/>
    <w:rsid w:val="00CC0967"/>
    <w:rsid w:val="00CC0996"/>
    <w:rsid w:val="00CC0BD2"/>
    <w:rsid w:val="00CC0DC7"/>
    <w:rsid w:val="00CC0E67"/>
    <w:rsid w:val="00CC0E8C"/>
    <w:rsid w:val="00CC1215"/>
    <w:rsid w:val="00CC14A0"/>
    <w:rsid w:val="00CC16A1"/>
    <w:rsid w:val="00CC172A"/>
    <w:rsid w:val="00CC1A57"/>
    <w:rsid w:val="00CC1A8E"/>
    <w:rsid w:val="00CC1AC9"/>
    <w:rsid w:val="00CC1D50"/>
    <w:rsid w:val="00CC1F96"/>
    <w:rsid w:val="00CC1F9D"/>
    <w:rsid w:val="00CC2461"/>
    <w:rsid w:val="00CC24EE"/>
    <w:rsid w:val="00CC2508"/>
    <w:rsid w:val="00CC26EE"/>
    <w:rsid w:val="00CC28E2"/>
    <w:rsid w:val="00CC298B"/>
    <w:rsid w:val="00CC2F31"/>
    <w:rsid w:val="00CC30FA"/>
    <w:rsid w:val="00CC3238"/>
    <w:rsid w:val="00CC3303"/>
    <w:rsid w:val="00CC33AF"/>
    <w:rsid w:val="00CC3422"/>
    <w:rsid w:val="00CC34BF"/>
    <w:rsid w:val="00CC35A0"/>
    <w:rsid w:val="00CC3685"/>
    <w:rsid w:val="00CC370F"/>
    <w:rsid w:val="00CC3A18"/>
    <w:rsid w:val="00CC3C5B"/>
    <w:rsid w:val="00CC3D29"/>
    <w:rsid w:val="00CC3DFD"/>
    <w:rsid w:val="00CC3EC6"/>
    <w:rsid w:val="00CC3EE7"/>
    <w:rsid w:val="00CC4170"/>
    <w:rsid w:val="00CC4447"/>
    <w:rsid w:val="00CC4588"/>
    <w:rsid w:val="00CC4688"/>
    <w:rsid w:val="00CC473E"/>
    <w:rsid w:val="00CC4833"/>
    <w:rsid w:val="00CC4CBA"/>
    <w:rsid w:val="00CC4E12"/>
    <w:rsid w:val="00CC4E2B"/>
    <w:rsid w:val="00CC5134"/>
    <w:rsid w:val="00CC54D4"/>
    <w:rsid w:val="00CC55BA"/>
    <w:rsid w:val="00CC58F4"/>
    <w:rsid w:val="00CC59C4"/>
    <w:rsid w:val="00CC5A7A"/>
    <w:rsid w:val="00CC5B5B"/>
    <w:rsid w:val="00CC5C66"/>
    <w:rsid w:val="00CC5ED0"/>
    <w:rsid w:val="00CC5FF2"/>
    <w:rsid w:val="00CC603D"/>
    <w:rsid w:val="00CC606D"/>
    <w:rsid w:val="00CC61F9"/>
    <w:rsid w:val="00CC63DF"/>
    <w:rsid w:val="00CC66E2"/>
    <w:rsid w:val="00CC67F8"/>
    <w:rsid w:val="00CC6EB1"/>
    <w:rsid w:val="00CC70B5"/>
    <w:rsid w:val="00CC756F"/>
    <w:rsid w:val="00CC7795"/>
    <w:rsid w:val="00CC7A97"/>
    <w:rsid w:val="00CC7ACC"/>
    <w:rsid w:val="00CC7AF3"/>
    <w:rsid w:val="00CC7C8E"/>
    <w:rsid w:val="00CC7CEE"/>
    <w:rsid w:val="00CC7DB1"/>
    <w:rsid w:val="00CC7DBD"/>
    <w:rsid w:val="00CC7EE3"/>
    <w:rsid w:val="00CC7F23"/>
    <w:rsid w:val="00CC7F71"/>
    <w:rsid w:val="00CD00B3"/>
    <w:rsid w:val="00CD02CE"/>
    <w:rsid w:val="00CD045C"/>
    <w:rsid w:val="00CD0491"/>
    <w:rsid w:val="00CD049C"/>
    <w:rsid w:val="00CD056A"/>
    <w:rsid w:val="00CD0854"/>
    <w:rsid w:val="00CD09E4"/>
    <w:rsid w:val="00CD0AE9"/>
    <w:rsid w:val="00CD0B8E"/>
    <w:rsid w:val="00CD0F04"/>
    <w:rsid w:val="00CD0F32"/>
    <w:rsid w:val="00CD0FEC"/>
    <w:rsid w:val="00CD12B1"/>
    <w:rsid w:val="00CD1422"/>
    <w:rsid w:val="00CD1931"/>
    <w:rsid w:val="00CD19CB"/>
    <w:rsid w:val="00CD1A76"/>
    <w:rsid w:val="00CD1FE8"/>
    <w:rsid w:val="00CD2130"/>
    <w:rsid w:val="00CD227B"/>
    <w:rsid w:val="00CD243E"/>
    <w:rsid w:val="00CD250F"/>
    <w:rsid w:val="00CD256A"/>
    <w:rsid w:val="00CD2B8C"/>
    <w:rsid w:val="00CD305D"/>
    <w:rsid w:val="00CD32D7"/>
    <w:rsid w:val="00CD32D9"/>
    <w:rsid w:val="00CD32FB"/>
    <w:rsid w:val="00CD34D2"/>
    <w:rsid w:val="00CD3529"/>
    <w:rsid w:val="00CD3595"/>
    <w:rsid w:val="00CD3B5F"/>
    <w:rsid w:val="00CD3F18"/>
    <w:rsid w:val="00CD3F59"/>
    <w:rsid w:val="00CD41D5"/>
    <w:rsid w:val="00CD4400"/>
    <w:rsid w:val="00CD4916"/>
    <w:rsid w:val="00CD4ABB"/>
    <w:rsid w:val="00CD4B1D"/>
    <w:rsid w:val="00CD4D59"/>
    <w:rsid w:val="00CD5357"/>
    <w:rsid w:val="00CD5451"/>
    <w:rsid w:val="00CD5605"/>
    <w:rsid w:val="00CD5782"/>
    <w:rsid w:val="00CD57EF"/>
    <w:rsid w:val="00CD5A86"/>
    <w:rsid w:val="00CD5AF6"/>
    <w:rsid w:val="00CD5B50"/>
    <w:rsid w:val="00CD5B55"/>
    <w:rsid w:val="00CD5D64"/>
    <w:rsid w:val="00CD63C6"/>
    <w:rsid w:val="00CD6447"/>
    <w:rsid w:val="00CD663A"/>
    <w:rsid w:val="00CD66CD"/>
    <w:rsid w:val="00CD68B8"/>
    <w:rsid w:val="00CD68BA"/>
    <w:rsid w:val="00CD6B51"/>
    <w:rsid w:val="00CD6EE0"/>
    <w:rsid w:val="00CD6F46"/>
    <w:rsid w:val="00CD71E6"/>
    <w:rsid w:val="00CD729D"/>
    <w:rsid w:val="00CD75FD"/>
    <w:rsid w:val="00CD7788"/>
    <w:rsid w:val="00CD79E0"/>
    <w:rsid w:val="00CD7A85"/>
    <w:rsid w:val="00CD7B6C"/>
    <w:rsid w:val="00CD7BF4"/>
    <w:rsid w:val="00CD7BF6"/>
    <w:rsid w:val="00CD7D84"/>
    <w:rsid w:val="00CE0292"/>
    <w:rsid w:val="00CE095F"/>
    <w:rsid w:val="00CE0C5F"/>
    <w:rsid w:val="00CE0E7E"/>
    <w:rsid w:val="00CE0F50"/>
    <w:rsid w:val="00CE1104"/>
    <w:rsid w:val="00CE123E"/>
    <w:rsid w:val="00CE131F"/>
    <w:rsid w:val="00CE1356"/>
    <w:rsid w:val="00CE1874"/>
    <w:rsid w:val="00CE1916"/>
    <w:rsid w:val="00CE1A14"/>
    <w:rsid w:val="00CE1A18"/>
    <w:rsid w:val="00CE1A29"/>
    <w:rsid w:val="00CE1A96"/>
    <w:rsid w:val="00CE1ABC"/>
    <w:rsid w:val="00CE1BDB"/>
    <w:rsid w:val="00CE1DC2"/>
    <w:rsid w:val="00CE210F"/>
    <w:rsid w:val="00CE2212"/>
    <w:rsid w:val="00CE24B6"/>
    <w:rsid w:val="00CE2843"/>
    <w:rsid w:val="00CE2B10"/>
    <w:rsid w:val="00CE2DAA"/>
    <w:rsid w:val="00CE3071"/>
    <w:rsid w:val="00CE32F0"/>
    <w:rsid w:val="00CE3386"/>
    <w:rsid w:val="00CE33C0"/>
    <w:rsid w:val="00CE3679"/>
    <w:rsid w:val="00CE388F"/>
    <w:rsid w:val="00CE38C5"/>
    <w:rsid w:val="00CE3CC9"/>
    <w:rsid w:val="00CE4071"/>
    <w:rsid w:val="00CE427B"/>
    <w:rsid w:val="00CE4538"/>
    <w:rsid w:val="00CE465F"/>
    <w:rsid w:val="00CE476C"/>
    <w:rsid w:val="00CE481B"/>
    <w:rsid w:val="00CE48AE"/>
    <w:rsid w:val="00CE4914"/>
    <w:rsid w:val="00CE4A3F"/>
    <w:rsid w:val="00CE4B72"/>
    <w:rsid w:val="00CE4D09"/>
    <w:rsid w:val="00CE4D46"/>
    <w:rsid w:val="00CE501D"/>
    <w:rsid w:val="00CE5093"/>
    <w:rsid w:val="00CE5234"/>
    <w:rsid w:val="00CE53F9"/>
    <w:rsid w:val="00CE55DE"/>
    <w:rsid w:val="00CE56DC"/>
    <w:rsid w:val="00CE5986"/>
    <w:rsid w:val="00CE5BEE"/>
    <w:rsid w:val="00CE5C20"/>
    <w:rsid w:val="00CE5FE4"/>
    <w:rsid w:val="00CE605B"/>
    <w:rsid w:val="00CE6112"/>
    <w:rsid w:val="00CE629A"/>
    <w:rsid w:val="00CE639D"/>
    <w:rsid w:val="00CE63D4"/>
    <w:rsid w:val="00CE65BC"/>
    <w:rsid w:val="00CE6A0C"/>
    <w:rsid w:val="00CE6B70"/>
    <w:rsid w:val="00CE6EB6"/>
    <w:rsid w:val="00CE6F8F"/>
    <w:rsid w:val="00CE7289"/>
    <w:rsid w:val="00CE77AA"/>
    <w:rsid w:val="00CE7834"/>
    <w:rsid w:val="00CE7D14"/>
    <w:rsid w:val="00CE7E70"/>
    <w:rsid w:val="00CE7F13"/>
    <w:rsid w:val="00CE7F6A"/>
    <w:rsid w:val="00CF008B"/>
    <w:rsid w:val="00CF00AB"/>
    <w:rsid w:val="00CF0139"/>
    <w:rsid w:val="00CF01B1"/>
    <w:rsid w:val="00CF0208"/>
    <w:rsid w:val="00CF0464"/>
    <w:rsid w:val="00CF06C9"/>
    <w:rsid w:val="00CF0AEF"/>
    <w:rsid w:val="00CF0B5F"/>
    <w:rsid w:val="00CF0C46"/>
    <w:rsid w:val="00CF0CCA"/>
    <w:rsid w:val="00CF0DF1"/>
    <w:rsid w:val="00CF0F2A"/>
    <w:rsid w:val="00CF1001"/>
    <w:rsid w:val="00CF1031"/>
    <w:rsid w:val="00CF10D1"/>
    <w:rsid w:val="00CF12CA"/>
    <w:rsid w:val="00CF12F9"/>
    <w:rsid w:val="00CF12FF"/>
    <w:rsid w:val="00CF1B57"/>
    <w:rsid w:val="00CF1CCB"/>
    <w:rsid w:val="00CF1D65"/>
    <w:rsid w:val="00CF1E75"/>
    <w:rsid w:val="00CF20AF"/>
    <w:rsid w:val="00CF2187"/>
    <w:rsid w:val="00CF22BA"/>
    <w:rsid w:val="00CF22E0"/>
    <w:rsid w:val="00CF23F5"/>
    <w:rsid w:val="00CF23FC"/>
    <w:rsid w:val="00CF25C1"/>
    <w:rsid w:val="00CF2659"/>
    <w:rsid w:val="00CF2698"/>
    <w:rsid w:val="00CF2776"/>
    <w:rsid w:val="00CF2864"/>
    <w:rsid w:val="00CF2A0E"/>
    <w:rsid w:val="00CF2A9B"/>
    <w:rsid w:val="00CF2FE5"/>
    <w:rsid w:val="00CF30D4"/>
    <w:rsid w:val="00CF32F2"/>
    <w:rsid w:val="00CF338A"/>
    <w:rsid w:val="00CF34B3"/>
    <w:rsid w:val="00CF3793"/>
    <w:rsid w:val="00CF3AD5"/>
    <w:rsid w:val="00CF3E30"/>
    <w:rsid w:val="00CF3F1B"/>
    <w:rsid w:val="00CF4087"/>
    <w:rsid w:val="00CF41AD"/>
    <w:rsid w:val="00CF4250"/>
    <w:rsid w:val="00CF4354"/>
    <w:rsid w:val="00CF449D"/>
    <w:rsid w:val="00CF47D8"/>
    <w:rsid w:val="00CF49F8"/>
    <w:rsid w:val="00CF4A23"/>
    <w:rsid w:val="00CF4D42"/>
    <w:rsid w:val="00CF4EA6"/>
    <w:rsid w:val="00CF50D0"/>
    <w:rsid w:val="00CF50DE"/>
    <w:rsid w:val="00CF52FE"/>
    <w:rsid w:val="00CF53BF"/>
    <w:rsid w:val="00CF54EA"/>
    <w:rsid w:val="00CF5544"/>
    <w:rsid w:val="00CF56D0"/>
    <w:rsid w:val="00CF577D"/>
    <w:rsid w:val="00CF61EC"/>
    <w:rsid w:val="00CF642F"/>
    <w:rsid w:val="00CF6576"/>
    <w:rsid w:val="00CF66F2"/>
    <w:rsid w:val="00CF68A0"/>
    <w:rsid w:val="00CF6942"/>
    <w:rsid w:val="00CF6B99"/>
    <w:rsid w:val="00CF6DD1"/>
    <w:rsid w:val="00CF6DD3"/>
    <w:rsid w:val="00CF7285"/>
    <w:rsid w:val="00CF72E7"/>
    <w:rsid w:val="00CF735F"/>
    <w:rsid w:val="00CF745A"/>
    <w:rsid w:val="00CF76CD"/>
    <w:rsid w:val="00CF76F8"/>
    <w:rsid w:val="00CF7943"/>
    <w:rsid w:val="00CF7944"/>
    <w:rsid w:val="00CF7AAC"/>
    <w:rsid w:val="00CF7B66"/>
    <w:rsid w:val="00CF7D97"/>
    <w:rsid w:val="00CF7F60"/>
    <w:rsid w:val="00D00313"/>
    <w:rsid w:val="00D00336"/>
    <w:rsid w:val="00D0036A"/>
    <w:rsid w:val="00D008E9"/>
    <w:rsid w:val="00D009FA"/>
    <w:rsid w:val="00D00A8D"/>
    <w:rsid w:val="00D00ABF"/>
    <w:rsid w:val="00D00AF8"/>
    <w:rsid w:val="00D00F36"/>
    <w:rsid w:val="00D01135"/>
    <w:rsid w:val="00D01406"/>
    <w:rsid w:val="00D0141A"/>
    <w:rsid w:val="00D015E1"/>
    <w:rsid w:val="00D016DE"/>
    <w:rsid w:val="00D01A09"/>
    <w:rsid w:val="00D02000"/>
    <w:rsid w:val="00D0210B"/>
    <w:rsid w:val="00D02453"/>
    <w:rsid w:val="00D0263C"/>
    <w:rsid w:val="00D0263F"/>
    <w:rsid w:val="00D02AE2"/>
    <w:rsid w:val="00D02C0A"/>
    <w:rsid w:val="00D02E2A"/>
    <w:rsid w:val="00D0301F"/>
    <w:rsid w:val="00D037F0"/>
    <w:rsid w:val="00D03A3F"/>
    <w:rsid w:val="00D03A8B"/>
    <w:rsid w:val="00D03AD9"/>
    <w:rsid w:val="00D03B67"/>
    <w:rsid w:val="00D03B8F"/>
    <w:rsid w:val="00D03BAC"/>
    <w:rsid w:val="00D03D9F"/>
    <w:rsid w:val="00D03E4E"/>
    <w:rsid w:val="00D040AA"/>
    <w:rsid w:val="00D040E5"/>
    <w:rsid w:val="00D042D5"/>
    <w:rsid w:val="00D04823"/>
    <w:rsid w:val="00D04D27"/>
    <w:rsid w:val="00D0508E"/>
    <w:rsid w:val="00D05189"/>
    <w:rsid w:val="00D051D8"/>
    <w:rsid w:val="00D052F5"/>
    <w:rsid w:val="00D053A4"/>
    <w:rsid w:val="00D053CD"/>
    <w:rsid w:val="00D05511"/>
    <w:rsid w:val="00D05572"/>
    <w:rsid w:val="00D059EC"/>
    <w:rsid w:val="00D05A40"/>
    <w:rsid w:val="00D05EDE"/>
    <w:rsid w:val="00D05F7F"/>
    <w:rsid w:val="00D060E2"/>
    <w:rsid w:val="00D061A4"/>
    <w:rsid w:val="00D06442"/>
    <w:rsid w:val="00D06639"/>
    <w:rsid w:val="00D06810"/>
    <w:rsid w:val="00D06819"/>
    <w:rsid w:val="00D0692A"/>
    <w:rsid w:val="00D06975"/>
    <w:rsid w:val="00D06AC8"/>
    <w:rsid w:val="00D06B13"/>
    <w:rsid w:val="00D06C55"/>
    <w:rsid w:val="00D06E79"/>
    <w:rsid w:val="00D07071"/>
    <w:rsid w:val="00D0707F"/>
    <w:rsid w:val="00D07327"/>
    <w:rsid w:val="00D07341"/>
    <w:rsid w:val="00D075B4"/>
    <w:rsid w:val="00D07B07"/>
    <w:rsid w:val="00D10441"/>
    <w:rsid w:val="00D10731"/>
    <w:rsid w:val="00D10A3D"/>
    <w:rsid w:val="00D10A95"/>
    <w:rsid w:val="00D10B44"/>
    <w:rsid w:val="00D10E1F"/>
    <w:rsid w:val="00D11013"/>
    <w:rsid w:val="00D1127E"/>
    <w:rsid w:val="00D11347"/>
    <w:rsid w:val="00D11371"/>
    <w:rsid w:val="00D11449"/>
    <w:rsid w:val="00D115CF"/>
    <w:rsid w:val="00D11665"/>
    <w:rsid w:val="00D11702"/>
    <w:rsid w:val="00D11A59"/>
    <w:rsid w:val="00D11A5A"/>
    <w:rsid w:val="00D11B2E"/>
    <w:rsid w:val="00D11BCC"/>
    <w:rsid w:val="00D11F68"/>
    <w:rsid w:val="00D12145"/>
    <w:rsid w:val="00D123AD"/>
    <w:rsid w:val="00D1244D"/>
    <w:rsid w:val="00D125B9"/>
    <w:rsid w:val="00D12603"/>
    <w:rsid w:val="00D12C37"/>
    <w:rsid w:val="00D12F36"/>
    <w:rsid w:val="00D13177"/>
    <w:rsid w:val="00D131D8"/>
    <w:rsid w:val="00D132B4"/>
    <w:rsid w:val="00D135A0"/>
    <w:rsid w:val="00D1369E"/>
    <w:rsid w:val="00D1381A"/>
    <w:rsid w:val="00D13ADA"/>
    <w:rsid w:val="00D13B89"/>
    <w:rsid w:val="00D13BDB"/>
    <w:rsid w:val="00D13C36"/>
    <w:rsid w:val="00D13C40"/>
    <w:rsid w:val="00D13C9C"/>
    <w:rsid w:val="00D13CD5"/>
    <w:rsid w:val="00D13CEC"/>
    <w:rsid w:val="00D13F0C"/>
    <w:rsid w:val="00D13F0F"/>
    <w:rsid w:val="00D14190"/>
    <w:rsid w:val="00D1457E"/>
    <w:rsid w:val="00D145C0"/>
    <w:rsid w:val="00D145F0"/>
    <w:rsid w:val="00D14654"/>
    <w:rsid w:val="00D14774"/>
    <w:rsid w:val="00D1486C"/>
    <w:rsid w:val="00D1492A"/>
    <w:rsid w:val="00D14ADB"/>
    <w:rsid w:val="00D14BB1"/>
    <w:rsid w:val="00D14C69"/>
    <w:rsid w:val="00D14CE9"/>
    <w:rsid w:val="00D14F81"/>
    <w:rsid w:val="00D14FE4"/>
    <w:rsid w:val="00D1550F"/>
    <w:rsid w:val="00D159F8"/>
    <w:rsid w:val="00D159FB"/>
    <w:rsid w:val="00D15B81"/>
    <w:rsid w:val="00D15CDB"/>
    <w:rsid w:val="00D160C1"/>
    <w:rsid w:val="00D161AA"/>
    <w:rsid w:val="00D161E3"/>
    <w:rsid w:val="00D1626E"/>
    <w:rsid w:val="00D162BE"/>
    <w:rsid w:val="00D163E2"/>
    <w:rsid w:val="00D16720"/>
    <w:rsid w:val="00D1689E"/>
    <w:rsid w:val="00D16979"/>
    <w:rsid w:val="00D16E12"/>
    <w:rsid w:val="00D17008"/>
    <w:rsid w:val="00D170D5"/>
    <w:rsid w:val="00D171CD"/>
    <w:rsid w:val="00D171DC"/>
    <w:rsid w:val="00D17207"/>
    <w:rsid w:val="00D17278"/>
    <w:rsid w:val="00D1734B"/>
    <w:rsid w:val="00D17628"/>
    <w:rsid w:val="00D1771D"/>
    <w:rsid w:val="00D17727"/>
    <w:rsid w:val="00D177C3"/>
    <w:rsid w:val="00D1786B"/>
    <w:rsid w:val="00D17A1B"/>
    <w:rsid w:val="00D17A47"/>
    <w:rsid w:val="00D17A64"/>
    <w:rsid w:val="00D17CDD"/>
    <w:rsid w:val="00D17F0A"/>
    <w:rsid w:val="00D202C1"/>
    <w:rsid w:val="00D2043F"/>
    <w:rsid w:val="00D2072B"/>
    <w:rsid w:val="00D2078F"/>
    <w:rsid w:val="00D211BC"/>
    <w:rsid w:val="00D214BD"/>
    <w:rsid w:val="00D21556"/>
    <w:rsid w:val="00D215CA"/>
    <w:rsid w:val="00D21672"/>
    <w:rsid w:val="00D2169B"/>
    <w:rsid w:val="00D216D4"/>
    <w:rsid w:val="00D2177E"/>
    <w:rsid w:val="00D21DA7"/>
    <w:rsid w:val="00D21E9B"/>
    <w:rsid w:val="00D21EF0"/>
    <w:rsid w:val="00D2204C"/>
    <w:rsid w:val="00D2215C"/>
    <w:rsid w:val="00D222AF"/>
    <w:rsid w:val="00D22534"/>
    <w:rsid w:val="00D225B3"/>
    <w:rsid w:val="00D225B7"/>
    <w:rsid w:val="00D22602"/>
    <w:rsid w:val="00D22748"/>
    <w:rsid w:val="00D22894"/>
    <w:rsid w:val="00D23310"/>
    <w:rsid w:val="00D23980"/>
    <w:rsid w:val="00D23AF4"/>
    <w:rsid w:val="00D23BDE"/>
    <w:rsid w:val="00D23F08"/>
    <w:rsid w:val="00D23F5C"/>
    <w:rsid w:val="00D23FA7"/>
    <w:rsid w:val="00D24251"/>
    <w:rsid w:val="00D24279"/>
    <w:rsid w:val="00D242DC"/>
    <w:rsid w:val="00D242E0"/>
    <w:rsid w:val="00D24377"/>
    <w:rsid w:val="00D243E1"/>
    <w:rsid w:val="00D2442B"/>
    <w:rsid w:val="00D24529"/>
    <w:rsid w:val="00D2457B"/>
    <w:rsid w:val="00D245A3"/>
    <w:rsid w:val="00D245D2"/>
    <w:rsid w:val="00D246D3"/>
    <w:rsid w:val="00D249D4"/>
    <w:rsid w:val="00D24F73"/>
    <w:rsid w:val="00D25201"/>
    <w:rsid w:val="00D25704"/>
    <w:rsid w:val="00D25914"/>
    <w:rsid w:val="00D25986"/>
    <w:rsid w:val="00D25EC0"/>
    <w:rsid w:val="00D25EC6"/>
    <w:rsid w:val="00D25F10"/>
    <w:rsid w:val="00D25FD1"/>
    <w:rsid w:val="00D261EF"/>
    <w:rsid w:val="00D26260"/>
    <w:rsid w:val="00D263AE"/>
    <w:rsid w:val="00D265EA"/>
    <w:rsid w:val="00D26621"/>
    <w:rsid w:val="00D26686"/>
    <w:rsid w:val="00D26757"/>
    <w:rsid w:val="00D268E2"/>
    <w:rsid w:val="00D26A43"/>
    <w:rsid w:val="00D26B0D"/>
    <w:rsid w:val="00D26BA5"/>
    <w:rsid w:val="00D26D40"/>
    <w:rsid w:val="00D26D41"/>
    <w:rsid w:val="00D26EB7"/>
    <w:rsid w:val="00D26FE3"/>
    <w:rsid w:val="00D26FE9"/>
    <w:rsid w:val="00D27065"/>
    <w:rsid w:val="00D27077"/>
    <w:rsid w:val="00D27139"/>
    <w:rsid w:val="00D27241"/>
    <w:rsid w:val="00D27323"/>
    <w:rsid w:val="00D27577"/>
    <w:rsid w:val="00D275CC"/>
    <w:rsid w:val="00D2798C"/>
    <w:rsid w:val="00D27AB9"/>
    <w:rsid w:val="00D27AF0"/>
    <w:rsid w:val="00D27D72"/>
    <w:rsid w:val="00D27F5C"/>
    <w:rsid w:val="00D300A8"/>
    <w:rsid w:val="00D301BE"/>
    <w:rsid w:val="00D30447"/>
    <w:rsid w:val="00D305C5"/>
    <w:rsid w:val="00D305C7"/>
    <w:rsid w:val="00D3090C"/>
    <w:rsid w:val="00D30958"/>
    <w:rsid w:val="00D30B51"/>
    <w:rsid w:val="00D30C84"/>
    <w:rsid w:val="00D30CD9"/>
    <w:rsid w:val="00D30EFB"/>
    <w:rsid w:val="00D30F87"/>
    <w:rsid w:val="00D311E2"/>
    <w:rsid w:val="00D31865"/>
    <w:rsid w:val="00D318AC"/>
    <w:rsid w:val="00D319EB"/>
    <w:rsid w:val="00D31ADF"/>
    <w:rsid w:val="00D31B8A"/>
    <w:rsid w:val="00D31B9D"/>
    <w:rsid w:val="00D31D2D"/>
    <w:rsid w:val="00D31DCE"/>
    <w:rsid w:val="00D31ED2"/>
    <w:rsid w:val="00D31EFD"/>
    <w:rsid w:val="00D32120"/>
    <w:rsid w:val="00D321B5"/>
    <w:rsid w:val="00D321FE"/>
    <w:rsid w:val="00D3221B"/>
    <w:rsid w:val="00D3226E"/>
    <w:rsid w:val="00D3227C"/>
    <w:rsid w:val="00D323D5"/>
    <w:rsid w:val="00D324E6"/>
    <w:rsid w:val="00D3265E"/>
    <w:rsid w:val="00D326D8"/>
    <w:rsid w:val="00D32A7F"/>
    <w:rsid w:val="00D32B2F"/>
    <w:rsid w:val="00D32BEC"/>
    <w:rsid w:val="00D32C0B"/>
    <w:rsid w:val="00D32F6B"/>
    <w:rsid w:val="00D32F70"/>
    <w:rsid w:val="00D32FF8"/>
    <w:rsid w:val="00D33083"/>
    <w:rsid w:val="00D33160"/>
    <w:rsid w:val="00D333AF"/>
    <w:rsid w:val="00D334AF"/>
    <w:rsid w:val="00D336F8"/>
    <w:rsid w:val="00D3370A"/>
    <w:rsid w:val="00D338B9"/>
    <w:rsid w:val="00D33B29"/>
    <w:rsid w:val="00D33EE7"/>
    <w:rsid w:val="00D3415A"/>
    <w:rsid w:val="00D34212"/>
    <w:rsid w:val="00D34244"/>
    <w:rsid w:val="00D3432E"/>
    <w:rsid w:val="00D346D2"/>
    <w:rsid w:val="00D34CFC"/>
    <w:rsid w:val="00D34D0B"/>
    <w:rsid w:val="00D35499"/>
    <w:rsid w:val="00D35BCF"/>
    <w:rsid w:val="00D35E4C"/>
    <w:rsid w:val="00D35EA0"/>
    <w:rsid w:val="00D35F22"/>
    <w:rsid w:val="00D3618C"/>
    <w:rsid w:val="00D36541"/>
    <w:rsid w:val="00D367B3"/>
    <w:rsid w:val="00D369B2"/>
    <w:rsid w:val="00D36B51"/>
    <w:rsid w:val="00D36BE1"/>
    <w:rsid w:val="00D36D92"/>
    <w:rsid w:val="00D36E73"/>
    <w:rsid w:val="00D36FC2"/>
    <w:rsid w:val="00D3760F"/>
    <w:rsid w:val="00D3769D"/>
    <w:rsid w:val="00D376A6"/>
    <w:rsid w:val="00D376A8"/>
    <w:rsid w:val="00D37822"/>
    <w:rsid w:val="00D37ECF"/>
    <w:rsid w:val="00D37F62"/>
    <w:rsid w:val="00D37F71"/>
    <w:rsid w:val="00D40049"/>
    <w:rsid w:val="00D40180"/>
    <w:rsid w:val="00D402DD"/>
    <w:rsid w:val="00D4032C"/>
    <w:rsid w:val="00D40393"/>
    <w:rsid w:val="00D405A3"/>
    <w:rsid w:val="00D40775"/>
    <w:rsid w:val="00D40864"/>
    <w:rsid w:val="00D4091E"/>
    <w:rsid w:val="00D4095D"/>
    <w:rsid w:val="00D40A56"/>
    <w:rsid w:val="00D40BE0"/>
    <w:rsid w:val="00D40BFF"/>
    <w:rsid w:val="00D411F1"/>
    <w:rsid w:val="00D4144B"/>
    <w:rsid w:val="00D414F6"/>
    <w:rsid w:val="00D41624"/>
    <w:rsid w:val="00D416DB"/>
    <w:rsid w:val="00D416E7"/>
    <w:rsid w:val="00D41836"/>
    <w:rsid w:val="00D4187A"/>
    <w:rsid w:val="00D41978"/>
    <w:rsid w:val="00D41E95"/>
    <w:rsid w:val="00D42157"/>
    <w:rsid w:val="00D4218E"/>
    <w:rsid w:val="00D422AF"/>
    <w:rsid w:val="00D423D1"/>
    <w:rsid w:val="00D424FE"/>
    <w:rsid w:val="00D426A5"/>
    <w:rsid w:val="00D4293E"/>
    <w:rsid w:val="00D42A2D"/>
    <w:rsid w:val="00D42B5B"/>
    <w:rsid w:val="00D42C65"/>
    <w:rsid w:val="00D430C6"/>
    <w:rsid w:val="00D43258"/>
    <w:rsid w:val="00D43873"/>
    <w:rsid w:val="00D43894"/>
    <w:rsid w:val="00D43918"/>
    <w:rsid w:val="00D43AA5"/>
    <w:rsid w:val="00D43E4F"/>
    <w:rsid w:val="00D43E98"/>
    <w:rsid w:val="00D4402D"/>
    <w:rsid w:val="00D44059"/>
    <w:rsid w:val="00D440D1"/>
    <w:rsid w:val="00D4436B"/>
    <w:rsid w:val="00D44464"/>
    <w:rsid w:val="00D444D0"/>
    <w:rsid w:val="00D4457F"/>
    <w:rsid w:val="00D44947"/>
    <w:rsid w:val="00D44954"/>
    <w:rsid w:val="00D44BC6"/>
    <w:rsid w:val="00D44C6D"/>
    <w:rsid w:val="00D44D37"/>
    <w:rsid w:val="00D44DC5"/>
    <w:rsid w:val="00D44E64"/>
    <w:rsid w:val="00D4502B"/>
    <w:rsid w:val="00D450EF"/>
    <w:rsid w:val="00D4542C"/>
    <w:rsid w:val="00D4575B"/>
    <w:rsid w:val="00D457C0"/>
    <w:rsid w:val="00D457FC"/>
    <w:rsid w:val="00D45AB8"/>
    <w:rsid w:val="00D45E4D"/>
    <w:rsid w:val="00D45E82"/>
    <w:rsid w:val="00D460A9"/>
    <w:rsid w:val="00D460B1"/>
    <w:rsid w:val="00D46165"/>
    <w:rsid w:val="00D46170"/>
    <w:rsid w:val="00D463CC"/>
    <w:rsid w:val="00D464F6"/>
    <w:rsid w:val="00D46962"/>
    <w:rsid w:val="00D46BD6"/>
    <w:rsid w:val="00D46EF7"/>
    <w:rsid w:val="00D46F4A"/>
    <w:rsid w:val="00D47092"/>
    <w:rsid w:val="00D4733E"/>
    <w:rsid w:val="00D47460"/>
    <w:rsid w:val="00D47A42"/>
    <w:rsid w:val="00D47C2C"/>
    <w:rsid w:val="00D47C5A"/>
    <w:rsid w:val="00D47C93"/>
    <w:rsid w:val="00D47D99"/>
    <w:rsid w:val="00D47DCA"/>
    <w:rsid w:val="00D47DDE"/>
    <w:rsid w:val="00D47E79"/>
    <w:rsid w:val="00D47FD0"/>
    <w:rsid w:val="00D500A7"/>
    <w:rsid w:val="00D50173"/>
    <w:rsid w:val="00D50194"/>
    <w:rsid w:val="00D5030B"/>
    <w:rsid w:val="00D50443"/>
    <w:rsid w:val="00D5061F"/>
    <w:rsid w:val="00D50648"/>
    <w:rsid w:val="00D5066A"/>
    <w:rsid w:val="00D509BA"/>
    <w:rsid w:val="00D50B10"/>
    <w:rsid w:val="00D50C42"/>
    <w:rsid w:val="00D50D7D"/>
    <w:rsid w:val="00D50DA7"/>
    <w:rsid w:val="00D50DF8"/>
    <w:rsid w:val="00D5100B"/>
    <w:rsid w:val="00D511A8"/>
    <w:rsid w:val="00D511E7"/>
    <w:rsid w:val="00D51237"/>
    <w:rsid w:val="00D514B3"/>
    <w:rsid w:val="00D515A2"/>
    <w:rsid w:val="00D5181E"/>
    <w:rsid w:val="00D51897"/>
    <w:rsid w:val="00D51A5E"/>
    <w:rsid w:val="00D51AE2"/>
    <w:rsid w:val="00D51C7A"/>
    <w:rsid w:val="00D51D50"/>
    <w:rsid w:val="00D51D67"/>
    <w:rsid w:val="00D51D7A"/>
    <w:rsid w:val="00D51DD2"/>
    <w:rsid w:val="00D51F49"/>
    <w:rsid w:val="00D51FF2"/>
    <w:rsid w:val="00D5218A"/>
    <w:rsid w:val="00D52514"/>
    <w:rsid w:val="00D52532"/>
    <w:rsid w:val="00D5273E"/>
    <w:rsid w:val="00D5288C"/>
    <w:rsid w:val="00D528A9"/>
    <w:rsid w:val="00D52A27"/>
    <w:rsid w:val="00D52BD3"/>
    <w:rsid w:val="00D52BDA"/>
    <w:rsid w:val="00D52C7B"/>
    <w:rsid w:val="00D52CA6"/>
    <w:rsid w:val="00D52D24"/>
    <w:rsid w:val="00D530F2"/>
    <w:rsid w:val="00D53127"/>
    <w:rsid w:val="00D5321F"/>
    <w:rsid w:val="00D5364B"/>
    <w:rsid w:val="00D53715"/>
    <w:rsid w:val="00D53816"/>
    <w:rsid w:val="00D53A64"/>
    <w:rsid w:val="00D53BBE"/>
    <w:rsid w:val="00D53E0E"/>
    <w:rsid w:val="00D541A5"/>
    <w:rsid w:val="00D5427C"/>
    <w:rsid w:val="00D553F3"/>
    <w:rsid w:val="00D554DF"/>
    <w:rsid w:val="00D556F8"/>
    <w:rsid w:val="00D558A8"/>
    <w:rsid w:val="00D558F1"/>
    <w:rsid w:val="00D558FF"/>
    <w:rsid w:val="00D55935"/>
    <w:rsid w:val="00D55983"/>
    <w:rsid w:val="00D559CE"/>
    <w:rsid w:val="00D55A3F"/>
    <w:rsid w:val="00D55A88"/>
    <w:rsid w:val="00D55C67"/>
    <w:rsid w:val="00D55D57"/>
    <w:rsid w:val="00D55FA4"/>
    <w:rsid w:val="00D5606F"/>
    <w:rsid w:val="00D560B4"/>
    <w:rsid w:val="00D56458"/>
    <w:rsid w:val="00D5646B"/>
    <w:rsid w:val="00D56790"/>
    <w:rsid w:val="00D568B4"/>
    <w:rsid w:val="00D56919"/>
    <w:rsid w:val="00D56A9F"/>
    <w:rsid w:val="00D56E03"/>
    <w:rsid w:val="00D56F8B"/>
    <w:rsid w:val="00D56FAC"/>
    <w:rsid w:val="00D57030"/>
    <w:rsid w:val="00D574D2"/>
    <w:rsid w:val="00D57604"/>
    <w:rsid w:val="00D57883"/>
    <w:rsid w:val="00D578DC"/>
    <w:rsid w:val="00D57B48"/>
    <w:rsid w:val="00D57B4A"/>
    <w:rsid w:val="00D57CD0"/>
    <w:rsid w:val="00D57DA8"/>
    <w:rsid w:val="00D57E6B"/>
    <w:rsid w:val="00D60239"/>
    <w:rsid w:val="00D60345"/>
    <w:rsid w:val="00D604ED"/>
    <w:rsid w:val="00D6065F"/>
    <w:rsid w:val="00D607EF"/>
    <w:rsid w:val="00D60912"/>
    <w:rsid w:val="00D60930"/>
    <w:rsid w:val="00D60A9F"/>
    <w:rsid w:val="00D60D3F"/>
    <w:rsid w:val="00D60E5E"/>
    <w:rsid w:val="00D60FA3"/>
    <w:rsid w:val="00D6106B"/>
    <w:rsid w:val="00D610C5"/>
    <w:rsid w:val="00D611C3"/>
    <w:rsid w:val="00D61473"/>
    <w:rsid w:val="00D61AE8"/>
    <w:rsid w:val="00D61E89"/>
    <w:rsid w:val="00D62380"/>
    <w:rsid w:val="00D62421"/>
    <w:rsid w:val="00D62443"/>
    <w:rsid w:val="00D6247D"/>
    <w:rsid w:val="00D624FA"/>
    <w:rsid w:val="00D62513"/>
    <w:rsid w:val="00D62591"/>
    <w:rsid w:val="00D62787"/>
    <w:rsid w:val="00D62805"/>
    <w:rsid w:val="00D62939"/>
    <w:rsid w:val="00D62E69"/>
    <w:rsid w:val="00D62F5C"/>
    <w:rsid w:val="00D6353B"/>
    <w:rsid w:val="00D63696"/>
    <w:rsid w:val="00D63738"/>
    <w:rsid w:val="00D6374D"/>
    <w:rsid w:val="00D6377E"/>
    <w:rsid w:val="00D63FD0"/>
    <w:rsid w:val="00D64177"/>
    <w:rsid w:val="00D6443B"/>
    <w:rsid w:val="00D64553"/>
    <w:rsid w:val="00D646ED"/>
    <w:rsid w:val="00D64705"/>
    <w:rsid w:val="00D64802"/>
    <w:rsid w:val="00D64A91"/>
    <w:rsid w:val="00D64B06"/>
    <w:rsid w:val="00D64F6E"/>
    <w:rsid w:val="00D64FE9"/>
    <w:rsid w:val="00D651BB"/>
    <w:rsid w:val="00D653B3"/>
    <w:rsid w:val="00D65785"/>
    <w:rsid w:val="00D65A26"/>
    <w:rsid w:val="00D65BF5"/>
    <w:rsid w:val="00D65C55"/>
    <w:rsid w:val="00D6631D"/>
    <w:rsid w:val="00D666AB"/>
    <w:rsid w:val="00D666CE"/>
    <w:rsid w:val="00D6673B"/>
    <w:rsid w:val="00D667BE"/>
    <w:rsid w:val="00D669C9"/>
    <w:rsid w:val="00D67016"/>
    <w:rsid w:val="00D671A2"/>
    <w:rsid w:val="00D671F3"/>
    <w:rsid w:val="00D674E6"/>
    <w:rsid w:val="00D67501"/>
    <w:rsid w:val="00D6751B"/>
    <w:rsid w:val="00D675CA"/>
    <w:rsid w:val="00D677A2"/>
    <w:rsid w:val="00D677D7"/>
    <w:rsid w:val="00D67A95"/>
    <w:rsid w:val="00D67B50"/>
    <w:rsid w:val="00D67BC7"/>
    <w:rsid w:val="00D67DB5"/>
    <w:rsid w:val="00D67F23"/>
    <w:rsid w:val="00D67F9F"/>
    <w:rsid w:val="00D70093"/>
    <w:rsid w:val="00D70329"/>
    <w:rsid w:val="00D704E9"/>
    <w:rsid w:val="00D70A7F"/>
    <w:rsid w:val="00D70D49"/>
    <w:rsid w:val="00D70E0A"/>
    <w:rsid w:val="00D70EE4"/>
    <w:rsid w:val="00D70F1F"/>
    <w:rsid w:val="00D70FD6"/>
    <w:rsid w:val="00D7130D"/>
    <w:rsid w:val="00D715EC"/>
    <w:rsid w:val="00D717AC"/>
    <w:rsid w:val="00D71950"/>
    <w:rsid w:val="00D71A1D"/>
    <w:rsid w:val="00D71A7B"/>
    <w:rsid w:val="00D71DFE"/>
    <w:rsid w:val="00D71EFF"/>
    <w:rsid w:val="00D7219A"/>
    <w:rsid w:val="00D722D9"/>
    <w:rsid w:val="00D723DA"/>
    <w:rsid w:val="00D724AD"/>
    <w:rsid w:val="00D725E8"/>
    <w:rsid w:val="00D729E3"/>
    <w:rsid w:val="00D72C6D"/>
    <w:rsid w:val="00D72E1A"/>
    <w:rsid w:val="00D72EED"/>
    <w:rsid w:val="00D72F2A"/>
    <w:rsid w:val="00D73129"/>
    <w:rsid w:val="00D73157"/>
    <w:rsid w:val="00D73268"/>
    <w:rsid w:val="00D732FC"/>
    <w:rsid w:val="00D73313"/>
    <w:rsid w:val="00D7347C"/>
    <w:rsid w:val="00D734B0"/>
    <w:rsid w:val="00D737E0"/>
    <w:rsid w:val="00D739E4"/>
    <w:rsid w:val="00D73B54"/>
    <w:rsid w:val="00D73C32"/>
    <w:rsid w:val="00D73D4F"/>
    <w:rsid w:val="00D73D81"/>
    <w:rsid w:val="00D73E22"/>
    <w:rsid w:val="00D73EFA"/>
    <w:rsid w:val="00D74503"/>
    <w:rsid w:val="00D74511"/>
    <w:rsid w:val="00D746B9"/>
    <w:rsid w:val="00D746C6"/>
    <w:rsid w:val="00D74763"/>
    <w:rsid w:val="00D748BB"/>
    <w:rsid w:val="00D74ACF"/>
    <w:rsid w:val="00D74D8E"/>
    <w:rsid w:val="00D74E08"/>
    <w:rsid w:val="00D74ED6"/>
    <w:rsid w:val="00D750AD"/>
    <w:rsid w:val="00D751DF"/>
    <w:rsid w:val="00D7522E"/>
    <w:rsid w:val="00D755F2"/>
    <w:rsid w:val="00D756D5"/>
    <w:rsid w:val="00D7579D"/>
    <w:rsid w:val="00D75863"/>
    <w:rsid w:val="00D75A37"/>
    <w:rsid w:val="00D75AFD"/>
    <w:rsid w:val="00D75BF6"/>
    <w:rsid w:val="00D75EDB"/>
    <w:rsid w:val="00D762B5"/>
    <w:rsid w:val="00D76547"/>
    <w:rsid w:val="00D76558"/>
    <w:rsid w:val="00D76967"/>
    <w:rsid w:val="00D76A0E"/>
    <w:rsid w:val="00D76F4A"/>
    <w:rsid w:val="00D76FA2"/>
    <w:rsid w:val="00D7707C"/>
    <w:rsid w:val="00D774A1"/>
    <w:rsid w:val="00D77613"/>
    <w:rsid w:val="00D77744"/>
    <w:rsid w:val="00D77760"/>
    <w:rsid w:val="00D779C8"/>
    <w:rsid w:val="00D77DAA"/>
    <w:rsid w:val="00D8030E"/>
    <w:rsid w:val="00D8049B"/>
    <w:rsid w:val="00D805AF"/>
    <w:rsid w:val="00D806FA"/>
    <w:rsid w:val="00D80881"/>
    <w:rsid w:val="00D808DA"/>
    <w:rsid w:val="00D80A1C"/>
    <w:rsid w:val="00D80B23"/>
    <w:rsid w:val="00D80BFF"/>
    <w:rsid w:val="00D80C11"/>
    <w:rsid w:val="00D80C9C"/>
    <w:rsid w:val="00D80CC3"/>
    <w:rsid w:val="00D81149"/>
    <w:rsid w:val="00D81159"/>
    <w:rsid w:val="00D81331"/>
    <w:rsid w:val="00D813A3"/>
    <w:rsid w:val="00D815D7"/>
    <w:rsid w:val="00D81719"/>
    <w:rsid w:val="00D81848"/>
    <w:rsid w:val="00D818A7"/>
    <w:rsid w:val="00D81A26"/>
    <w:rsid w:val="00D81AB3"/>
    <w:rsid w:val="00D81E32"/>
    <w:rsid w:val="00D82262"/>
    <w:rsid w:val="00D82344"/>
    <w:rsid w:val="00D82393"/>
    <w:rsid w:val="00D823A9"/>
    <w:rsid w:val="00D82633"/>
    <w:rsid w:val="00D829AB"/>
    <w:rsid w:val="00D82A7E"/>
    <w:rsid w:val="00D82AE8"/>
    <w:rsid w:val="00D82E69"/>
    <w:rsid w:val="00D82EC8"/>
    <w:rsid w:val="00D82F7F"/>
    <w:rsid w:val="00D830B9"/>
    <w:rsid w:val="00D830D2"/>
    <w:rsid w:val="00D83138"/>
    <w:rsid w:val="00D833A5"/>
    <w:rsid w:val="00D837A9"/>
    <w:rsid w:val="00D83806"/>
    <w:rsid w:val="00D8380C"/>
    <w:rsid w:val="00D83ECF"/>
    <w:rsid w:val="00D84221"/>
    <w:rsid w:val="00D84265"/>
    <w:rsid w:val="00D84444"/>
    <w:rsid w:val="00D84579"/>
    <w:rsid w:val="00D845CF"/>
    <w:rsid w:val="00D846F6"/>
    <w:rsid w:val="00D8492A"/>
    <w:rsid w:val="00D84A69"/>
    <w:rsid w:val="00D84AC9"/>
    <w:rsid w:val="00D84B96"/>
    <w:rsid w:val="00D84BDB"/>
    <w:rsid w:val="00D84CC8"/>
    <w:rsid w:val="00D84D30"/>
    <w:rsid w:val="00D84E58"/>
    <w:rsid w:val="00D84EEF"/>
    <w:rsid w:val="00D85039"/>
    <w:rsid w:val="00D85101"/>
    <w:rsid w:val="00D85352"/>
    <w:rsid w:val="00D85444"/>
    <w:rsid w:val="00D85480"/>
    <w:rsid w:val="00D859BA"/>
    <w:rsid w:val="00D85DF5"/>
    <w:rsid w:val="00D85EDA"/>
    <w:rsid w:val="00D86000"/>
    <w:rsid w:val="00D860FF"/>
    <w:rsid w:val="00D86362"/>
    <w:rsid w:val="00D8648A"/>
    <w:rsid w:val="00D86522"/>
    <w:rsid w:val="00D867A0"/>
    <w:rsid w:val="00D8687C"/>
    <w:rsid w:val="00D8698E"/>
    <w:rsid w:val="00D86B6B"/>
    <w:rsid w:val="00D86DC8"/>
    <w:rsid w:val="00D86E2F"/>
    <w:rsid w:val="00D86EAF"/>
    <w:rsid w:val="00D871A4"/>
    <w:rsid w:val="00D873F7"/>
    <w:rsid w:val="00D877DB"/>
    <w:rsid w:val="00D87A28"/>
    <w:rsid w:val="00D87A4E"/>
    <w:rsid w:val="00D87B6D"/>
    <w:rsid w:val="00D87CDD"/>
    <w:rsid w:val="00D87E1F"/>
    <w:rsid w:val="00D87F11"/>
    <w:rsid w:val="00D87FCC"/>
    <w:rsid w:val="00D902D2"/>
    <w:rsid w:val="00D9039C"/>
    <w:rsid w:val="00D904D0"/>
    <w:rsid w:val="00D904F5"/>
    <w:rsid w:val="00D90508"/>
    <w:rsid w:val="00D90C2E"/>
    <w:rsid w:val="00D90CB3"/>
    <w:rsid w:val="00D912EC"/>
    <w:rsid w:val="00D912F7"/>
    <w:rsid w:val="00D9134E"/>
    <w:rsid w:val="00D91653"/>
    <w:rsid w:val="00D916C3"/>
    <w:rsid w:val="00D91710"/>
    <w:rsid w:val="00D91914"/>
    <w:rsid w:val="00D9198A"/>
    <w:rsid w:val="00D91A38"/>
    <w:rsid w:val="00D91A66"/>
    <w:rsid w:val="00D91AF5"/>
    <w:rsid w:val="00D91D62"/>
    <w:rsid w:val="00D91F78"/>
    <w:rsid w:val="00D920A3"/>
    <w:rsid w:val="00D921C9"/>
    <w:rsid w:val="00D92276"/>
    <w:rsid w:val="00D9235E"/>
    <w:rsid w:val="00D9237E"/>
    <w:rsid w:val="00D92741"/>
    <w:rsid w:val="00D92A94"/>
    <w:rsid w:val="00D92B63"/>
    <w:rsid w:val="00D93164"/>
    <w:rsid w:val="00D93473"/>
    <w:rsid w:val="00D93560"/>
    <w:rsid w:val="00D935E9"/>
    <w:rsid w:val="00D93988"/>
    <w:rsid w:val="00D939BD"/>
    <w:rsid w:val="00D93AE9"/>
    <w:rsid w:val="00D93E0B"/>
    <w:rsid w:val="00D93E43"/>
    <w:rsid w:val="00D93EAB"/>
    <w:rsid w:val="00D93EDA"/>
    <w:rsid w:val="00D93FC5"/>
    <w:rsid w:val="00D94031"/>
    <w:rsid w:val="00D940DF"/>
    <w:rsid w:val="00D94283"/>
    <w:rsid w:val="00D943C6"/>
    <w:rsid w:val="00D94577"/>
    <w:rsid w:val="00D945D7"/>
    <w:rsid w:val="00D94AB6"/>
    <w:rsid w:val="00D94CC8"/>
    <w:rsid w:val="00D94D77"/>
    <w:rsid w:val="00D94E44"/>
    <w:rsid w:val="00D9534E"/>
    <w:rsid w:val="00D95398"/>
    <w:rsid w:val="00D953BC"/>
    <w:rsid w:val="00D955BD"/>
    <w:rsid w:val="00D956D5"/>
    <w:rsid w:val="00D95A8F"/>
    <w:rsid w:val="00D95C09"/>
    <w:rsid w:val="00D95C3D"/>
    <w:rsid w:val="00D95E20"/>
    <w:rsid w:val="00D95ED1"/>
    <w:rsid w:val="00D95F50"/>
    <w:rsid w:val="00D967C0"/>
    <w:rsid w:val="00D9684B"/>
    <w:rsid w:val="00D96A73"/>
    <w:rsid w:val="00D96C0F"/>
    <w:rsid w:val="00D96ED6"/>
    <w:rsid w:val="00D96F75"/>
    <w:rsid w:val="00D9700B"/>
    <w:rsid w:val="00D97223"/>
    <w:rsid w:val="00D973A4"/>
    <w:rsid w:val="00D97968"/>
    <w:rsid w:val="00D97AE7"/>
    <w:rsid w:val="00D97B93"/>
    <w:rsid w:val="00D97BE1"/>
    <w:rsid w:val="00D97C56"/>
    <w:rsid w:val="00D97D4A"/>
    <w:rsid w:val="00D97F6A"/>
    <w:rsid w:val="00D97FAB"/>
    <w:rsid w:val="00DA0037"/>
    <w:rsid w:val="00DA00BE"/>
    <w:rsid w:val="00DA00C8"/>
    <w:rsid w:val="00DA0166"/>
    <w:rsid w:val="00DA01C7"/>
    <w:rsid w:val="00DA023E"/>
    <w:rsid w:val="00DA024E"/>
    <w:rsid w:val="00DA032A"/>
    <w:rsid w:val="00DA0B5D"/>
    <w:rsid w:val="00DA0BD2"/>
    <w:rsid w:val="00DA0C01"/>
    <w:rsid w:val="00DA0C04"/>
    <w:rsid w:val="00DA0CF2"/>
    <w:rsid w:val="00DA0D45"/>
    <w:rsid w:val="00DA0D71"/>
    <w:rsid w:val="00DA1022"/>
    <w:rsid w:val="00DA10B6"/>
    <w:rsid w:val="00DA1141"/>
    <w:rsid w:val="00DA11E1"/>
    <w:rsid w:val="00DA1AED"/>
    <w:rsid w:val="00DA1D07"/>
    <w:rsid w:val="00DA201F"/>
    <w:rsid w:val="00DA2083"/>
    <w:rsid w:val="00DA2113"/>
    <w:rsid w:val="00DA2282"/>
    <w:rsid w:val="00DA22DA"/>
    <w:rsid w:val="00DA23E6"/>
    <w:rsid w:val="00DA2504"/>
    <w:rsid w:val="00DA25F3"/>
    <w:rsid w:val="00DA273C"/>
    <w:rsid w:val="00DA2741"/>
    <w:rsid w:val="00DA2807"/>
    <w:rsid w:val="00DA286C"/>
    <w:rsid w:val="00DA28C7"/>
    <w:rsid w:val="00DA2A21"/>
    <w:rsid w:val="00DA2C53"/>
    <w:rsid w:val="00DA2C69"/>
    <w:rsid w:val="00DA2CB6"/>
    <w:rsid w:val="00DA2CEA"/>
    <w:rsid w:val="00DA2DAE"/>
    <w:rsid w:val="00DA2E0C"/>
    <w:rsid w:val="00DA2FB8"/>
    <w:rsid w:val="00DA3090"/>
    <w:rsid w:val="00DA33B0"/>
    <w:rsid w:val="00DA33D0"/>
    <w:rsid w:val="00DA34DF"/>
    <w:rsid w:val="00DA3517"/>
    <w:rsid w:val="00DA35E7"/>
    <w:rsid w:val="00DA373C"/>
    <w:rsid w:val="00DA387E"/>
    <w:rsid w:val="00DA3A35"/>
    <w:rsid w:val="00DA3C49"/>
    <w:rsid w:val="00DA440D"/>
    <w:rsid w:val="00DA44D0"/>
    <w:rsid w:val="00DA45DE"/>
    <w:rsid w:val="00DA45FD"/>
    <w:rsid w:val="00DA46D5"/>
    <w:rsid w:val="00DA4A38"/>
    <w:rsid w:val="00DA4B6F"/>
    <w:rsid w:val="00DA4DE4"/>
    <w:rsid w:val="00DA4EBC"/>
    <w:rsid w:val="00DA4ED2"/>
    <w:rsid w:val="00DA507C"/>
    <w:rsid w:val="00DA5387"/>
    <w:rsid w:val="00DA54F0"/>
    <w:rsid w:val="00DA564E"/>
    <w:rsid w:val="00DA56AE"/>
    <w:rsid w:val="00DA5769"/>
    <w:rsid w:val="00DA58C3"/>
    <w:rsid w:val="00DA5AAB"/>
    <w:rsid w:val="00DA5D38"/>
    <w:rsid w:val="00DA600D"/>
    <w:rsid w:val="00DA6149"/>
    <w:rsid w:val="00DA62BB"/>
    <w:rsid w:val="00DA6545"/>
    <w:rsid w:val="00DA655E"/>
    <w:rsid w:val="00DA659B"/>
    <w:rsid w:val="00DA6727"/>
    <w:rsid w:val="00DA6ABA"/>
    <w:rsid w:val="00DA6B7D"/>
    <w:rsid w:val="00DA6C02"/>
    <w:rsid w:val="00DA6CCD"/>
    <w:rsid w:val="00DA70D1"/>
    <w:rsid w:val="00DA7238"/>
    <w:rsid w:val="00DA723E"/>
    <w:rsid w:val="00DA72E7"/>
    <w:rsid w:val="00DA75A2"/>
    <w:rsid w:val="00DA76A0"/>
    <w:rsid w:val="00DA79E5"/>
    <w:rsid w:val="00DA7CB7"/>
    <w:rsid w:val="00DA7CBF"/>
    <w:rsid w:val="00DA7D7F"/>
    <w:rsid w:val="00DA7DE1"/>
    <w:rsid w:val="00DA7E72"/>
    <w:rsid w:val="00DB008A"/>
    <w:rsid w:val="00DB00D7"/>
    <w:rsid w:val="00DB01AB"/>
    <w:rsid w:val="00DB05E2"/>
    <w:rsid w:val="00DB071C"/>
    <w:rsid w:val="00DB077A"/>
    <w:rsid w:val="00DB0B1E"/>
    <w:rsid w:val="00DB0D80"/>
    <w:rsid w:val="00DB10F0"/>
    <w:rsid w:val="00DB113A"/>
    <w:rsid w:val="00DB116B"/>
    <w:rsid w:val="00DB128D"/>
    <w:rsid w:val="00DB181A"/>
    <w:rsid w:val="00DB186E"/>
    <w:rsid w:val="00DB1AAB"/>
    <w:rsid w:val="00DB1C75"/>
    <w:rsid w:val="00DB1D2B"/>
    <w:rsid w:val="00DB1D94"/>
    <w:rsid w:val="00DB1F70"/>
    <w:rsid w:val="00DB1F7E"/>
    <w:rsid w:val="00DB2519"/>
    <w:rsid w:val="00DB27B6"/>
    <w:rsid w:val="00DB27FA"/>
    <w:rsid w:val="00DB2880"/>
    <w:rsid w:val="00DB28C4"/>
    <w:rsid w:val="00DB2BF9"/>
    <w:rsid w:val="00DB2C54"/>
    <w:rsid w:val="00DB2D8E"/>
    <w:rsid w:val="00DB2E9F"/>
    <w:rsid w:val="00DB2F70"/>
    <w:rsid w:val="00DB30B3"/>
    <w:rsid w:val="00DB3B12"/>
    <w:rsid w:val="00DB3B40"/>
    <w:rsid w:val="00DB3BE9"/>
    <w:rsid w:val="00DB3C99"/>
    <w:rsid w:val="00DB4147"/>
    <w:rsid w:val="00DB4289"/>
    <w:rsid w:val="00DB4594"/>
    <w:rsid w:val="00DB4712"/>
    <w:rsid w:val="00DB4846"/>
    <w:rsid w:val="00DB4918"/>
    <w:rsid w:val="00DB4AAF"/>
    <w:rsid w:val="00DB5134"/>
    <w:rsid w:val="00DB5317"/>
    <w:rsid w:val="00DB5484"/>
    <w:rsid w:val="00DB54B6"/>
    <w:rsid w:val="00DB557C"/>
    <w:rsid w:val="00DB56DA"/>
    <w:rsid w:val="00DB58CC"/>
    <w:rsid w:val="00DB5C45"/>
    <w:rsid w:val="00DB5F45"/>
    <w:rsid w:val="00DB5FAC"/>
    <w:rsid w:val="00DB60D4"/>
    <w:rsid w:val="00DB62B6"/>
    <w:rsid w:val="00DB6683"/>
    <w:rsid w:val="00DB678A"/>
    <w:rsid w:val="00DB6797"/>
    <w:rsid w:val="00DB698C"/>
    <w:rsid w:val="00DB69D1"/>
    <w:rsid w:val="00DB6A4E"/>
    <w:rsid w:val="00DB6BAB"/>
    <w:rsid w:val="00DB6CDD"/>
    <w:rsid w:val="00DB6D95"/>
    <w:rsid w:val="00DB717D"/>
    <w:rsid w:val="00DB71E5"/>
    <w:rsid w:val="00DB7510"/>
    <w:rsid w:val="00DB77E3"/>
    <w:rsid w:val="00DB7882"/>
    <w:rsid w:val="00DB7B13"/>
    <w:rsid w:val="00DB7B49"/>
    <w:rsid w:val="00DB7CD5"/>
    <w:rsid w:val="00DB7D29"/>
    <w:rsid w:val="00DB7DA4"/>
    <w:rsid w:val="00DC0018"/>
    <w:rsid w:val="00DC0628"/>
    <w:rsid w:val="00DC06F4"/>
    <w:rsid w:val="00DC0768"/>
    <w:rsid w:val="00DC08E4"/>
    <w:rsid w:val="00DC08EB"/>
    <w:rsid w:val="00DC0AB6"/>
    <w:rsid w:val="00DC0B9E"/>
    <w:rsid w:val="00DC0C87"/>
    <w:rsid w:val="00DC0CEF"/>
    <w:rsid w:val="00DC1005"/>
    <w:rsid w:val="00DC1226"/>
    <w:rsid w:val="00DC1413"/>
    <w:rsid w:val="00DC174E"/>
    <w:rsid w:val="00DC17D8"/>
    <w:rsid w:val="00DC197F"/>
    <w:rsid w:val="00DC1AC2"/>
    <w:rsid w:val="00DC1B54"/>
    <w:rsid w:val="00DC1B64"/>
    <w:rsid w:val="00DC1BB4"/>
    <w:rsid w:val="00DC1DD4"/>
    <w:rsid w:val="00DC1F19"/>
    <w:rsid w:val="00DC2234"/>
    <w:rsid w:val="00DC2265"/>
    <w:rsid w:val="00DC23A3"/>
    <w:rsid w:val="00DC2984"/>
    <w:rsid w:val="00DC2CD5"/>
    <w:rsid w:val="00DC2FD0"/>
    <w:rsid w:val="00DC31FC"/>
    <w:rsid w:val="00DC3227"/>
    <w:rsid w:val="00DC342A"/>
    <w:rsid w:val="00DC38E0"/>
    <w:rsid w:val="00DC3A0F"/>
    <w:rsid w:val="00DC3ACA"/>
    <w:rsid w:val="00DC3C01"/>
    <w:rsid w:val="00DC3DDD"/>
    <w:rsid w:val="00DC3FA9"/>
    <w:rsid w:val="00DC40A2"/>
    <w:rsid w:val="00DC40A4"/>
    <w:rsid w:val="00DC40C0"/>
    <w:rsid w:val="00DC419B"/>
    <w:rsid w:val="00DC425F"/>
    <w:rsid w:val="00DC4709"/>
    <w:rsid w:val="00DC4A63"/>
    <w:rsid w:val="00DC4D99"/>
    <w:rsid w:val="00DC4EFF"/>
    <w:rsid w:val="00DC4F06"/>
    <w:rsid w:val="00DC5239"/>
    <w:rsid w:val="00DC528A"/>
    <w:rsid w:val="00DC52B4"/>
    <w:rsid w:val="00DC55B2"/>
    <w:rsid w:val="00DC560D"/>
    <w:rsid w:val="00DC56AE"/>
    <w:rsid w:val="00DC5794"/>
    <w:rsid w:val="00DC588E"/>
    <w:rsid w:val="00DC58CE"/>
    <w:rsid w:val="00DC5929"/>
    <w:rsid w:val="00DC5B4B"/>
    <w:rsid w:val="00DC5E0C"/>
    <w:rsid w:val="00DC5F17"/>
    <w:rsid w:val="00DC6042"/>
    <w:rsid w:val="00DC607E"/>
    <w:rsid w:val="00DC62D8"/>
    <w:rsid w:val="00DC647D"/>
    <w:rsid w:val="00DC65CC"/>
    <w:rsid w:val="00DC65EA"/>
    <w:rsid w:val="00DC6633"/>
    <w:rsid w:val="00DC692B"/>
    <w:rsid w:val="00DC6AED"/>
    <w:rsid w:val="00DC6E09"/>
    <w:rsid w:val="00DC6E78"/>
    <w:rsid w:val="00DC6EAD"/>
    <w:rsid w:val="00DC72B3"/>
    <w:rsid w:val="00DC764E"/>
    <w:rsid w:val="00DC76B3"/>
    <w:rsid w:val="00DC78DA"/>
    <w:rsid w:val="00DC79AB"/>
    <w:rsid w:val="00DC7CF2"/>
    <w:rsid w:val="00DC7D89"/>
    <w:rsid w:val="00DC7DE8"/>
    <w:rsid w:val="00DC7E9C"/>
    <w:rsid w:val="00DC7EB0"/>
    <w:rsid w:val="00DC7FE8"/>
    <w:rsid w:val="00DD0178"/>
    <w:rsid w:val="00DD0543"/>
    <w:rsid w:val="00DD06E9"/>
    <w:rsid w:val="00DD08B1"/>
    <w:rsid w:val="00DD0989"/>
    <w:rsid w:val="00DD0BCB"/>
    <w:rsid w:val="00DD0D99"/>
    <w:rsid w:val="00DD0EE7"/>
    <w:rsid w:val="00DD1238"/>
    <w:rsid w:val="00DD13B0"/>
    <w:rsid w:val="00DD13D9"/>
    <w:rsid w:val="00DD141E"/>
    <w:rsid w:val="00DD1438"/>
    <w:rsid w:val="00DD179C"/>
    <w:rsid w:val="00DD1B58"/>
    <w:rsid w:val="00DD1C0F"/>
    <w:rsid w:val="00DD1FB2"/>
    <w:rsid w:val="00DD2021"/>
    <w:rsid w:val="00DD204A"/>
    <w:rsid w:val="00DD2883"/>
    <w:rsid w:val="00DD29EB"/>
    <w:rsid w:val="00DD2AA4"/>
    <w:rsid w:val="00DD2B5D"/>
    <w:rsid w:val="00DD2CD6"/>
    <w:rsid w:val="00DD2D21"/>
    <w:rsid w:val="00DD2E02"/>
    <w:rsid w:val="00DD2F8D"/>
    <w:rsid w:val="00DD31EA"/>
    <w:rsid w:val="00DD3811"/>
    <w:rsid w:val="00DD3895"/>
    <w:rsid w:val="00DD39DA"/>
    <w:rsid w:val="00DD39E3"/>
    <w:rsid w:val="00DD3DDD"/>
    <w:rsid w:val="00DD4096"/>
    <w:rsid w:val="00DD4392"/>
    <w:rsid w:val="00DD44AE"/>
    <w:rsid w:val="00DD44D0"/>
    <w:rsid w:val="00DD456D"/>
    <w:rsid w:val="00DD479A"/>
    <w:rsid w:val="00DD47F6"/>
    <w:rsid w:val="00DD4865"/>
    <w:rsid w:val="00DD498A"/>
    <w:rsid w:val="00DD4F83"/>
    <w:rsid w:val="00DD5056"/>
    <w:rsid w:val="00DD5156"/>
    <w:rsid w:val="00DD5594"/>
    <w:rsid w:val="00DD55D3"/>
    <w:rsid w:val="00DD5681"/>
    <w:rsid w:val="00DD56EB"/>
    <w:rsid w:val="00DD57E5"/>
    <w:rsid w:val="00DD58E1"/>
    <w:rsid w:val="00DD591D"/>
    <w:rsid w:val="00DD599A"/>
    <w:rsid w:val="00DD5CDF"/>
    <w:rsid w:val="00DD5E13"/>
    <w:rsid w:val="00DD5E14"/>
    <w:rsid w:val="00DD5E46"/>
    <w:rsid w:val="00DD5F93"/>
    <w:rsid w:val="00DD5FF5"/>
    <w:rsid w:val="00DD624E"/>
    <w:rsid w:val="00DD680C"/>
    <w:rsid w:val="00DD690B"/>
    <w:rsid w:val="00DD6A3B"/>
    <w:rsid w:val="00DD6C91"/>
    <w:rsid w:val="00DD7254"/>
    <w:rsid w:val="00DD7A1C"/>
    <w:rsid w:val="00DD7A9E"/>
    <w:rsid w:val="00DD7DCA"/>
    <w:rsid w:val="00DD7E28"/>
    <w:rsid w:val="00DE0059"/>
    <w:rsid w:val="00DE01F9"/>
    <w:rsid w:val="00DE0373"/>
    <w:rsid w:val="00DE0458"/>
    <w:rsid w:val="00DE0559"/>
    <w:rsid w:val="00DE07D0"/>
    <w:rsid w:val="00DE08C1"/>
    <w:rsid w:val="00DE0A30"/>
    <w:rsid w:val="00DE102C"/>
    <w:rsid w:val="00DE11A0"/>
    <w:rsid w:val="00DE12F8"/>
    <w:rsid w:val="00DE144A"/>
    <w:rsid w:val="00DE1C17"/>
    <w:rsid w:val="00DE1F72"/>
    <w:rsid w:val="00DE200B"/>
    <w:rsid w:val="00DE21F1"/>
    <w:rsid w:val="00DE227D"/>
    <w:rsid w:val="00DE2359"/>
    <w:rsid w:val="00DE261E"/>
    <w:rsid w:val="00DE2986"/>
    <w:rsid w:val="00DE29F8"/>
    <w:rsid w:val="00DE2D01"/>
    <w:rsid w:val="00DE2D3F"/>
    <w:rsid w:val="00DE2DEB"/>
    <w:rsid w:val="00DE2F26"/>
    <w:rsid w:val="00DE2F93"/>
    <w:rsid w:val="00DE309A"/>
    <w:rsid w:val="00DE3222"/>
    <w:rsid w:val="00DE32E3"/>
    <w:rsid w:val="00DE3405"/>
    <w:rsid w:val="00DE3685"/>
    <w:rsid w:val="00DE37C4"/>
    <w:rsid w:val="00DE3985"/>
    <w:rsid w:val="00DE39BC"/>
    <w:rsid w:val="00DE3D19"/>
    <w:rsid w:val="00DE3F2F"/>
    <w:rsid w:val="00DE3F49"/>
    <w:rsid w:val="00DE3F85"/>
    <w:rsid w:val="00DE3FD3"/>
    <w:rsid w:val="00DE4010"/>
    <w:rsid w:val="00DE4043"/>
    <w:rsid w:val="00DE4090"/>
    <w:rsid w:val="00DE4428"/>
    <w:rsid w:val="00DE46A8"/>
    <w:rsid w:val="00DE46E9"/>
    <w:rsid w:val="00DE4753"/>
    <w:rsid w:val="00DE4760"/>
    <w:rsid w:val="00DE47C3"/>
    <w:rsid w:val="00DE47E4"/>
    <w:rsid w:val="00DE4A15"/>
    <w:rsid w:val="00DE4C4E"/>
    <w:rsid w:val="00DE4DCA"/>
    <w:rsid w:val="00DE5045"/>
    <w:rsid w:val="00DE5196"/>
    <w:rsid w:val="00DE5244"/>
    <w:rsid w:val="00DE5284"/>
    <w:rsid w:val="00DE530C"/>
    <w:rsid w:val="00DE550A"/>
    <w:rsid w:val="00DE5691"/>
    <w:rsid w:val="00DE56D9"/>
    <w:rsid w:val="00DE583B"/>
    <w:rsid w:val="00DE5943"/>
    <w:rsid w:val="00DE5ADB"/>
    <w:rsid w:val="00DE5C69"/>
    <w:rsid w:val="00DE5D03"/>
    <w:rsid w:val="00DE5E90"/>
    <w:rsid w:val="00DE6150"/>
    <w:rsid w:val="00DE6178"/>
    <w:rsid w:val="00DE624C"/>
    <w:rsid w:val="00DE637E"/>
    <w:rsid w:val="00DE6557"/>
    <w:rsid w:val="00DE6699"/>
    <w:rsid w:val="00DE675A"/>
    <w:rsid w:val="00DE6C96"/>
    <w:rsid w:val="00DE6D50"/>
    <w:rsid w:val="00DE6E09"/>
    <w:rsid w:val="00DE6EE4"/>
    <w:rsid w:val="00DE7284"/>
    <w:rsid w:val="00DE72D1"/>
    <w:rsid w:val="00DE7ADC"/>
    <w:rsid w:val="00DE7B08"/>
    <w:rsid w:val="00DE7D12"/>
    <w:rsid w:val="00DF0048"/>
    <w:rsid w:val="00DF00AB"/>
    <w:rsid w:val="00DF029E"/>
    <w:rsid w:val="00DF032B"/>
    <w:rsid w:val="00DF03B3"/>
    <w:rsid w:val="00DF0411"/>
    <w:rsid w:val="00DF046A"/>
    <w:rsid w:val="00DF046C"/>
    <w:rsid w:val="00DF05E8"/>
    <w:rsid w:val="00DF0805"/>
    <w:rsid w:val="00DF09C6"/>
    <w:rsid w:val="00DF0BF8"/>
    <w:rsid w:val="00DF12F9"/>
    <w:rsid w:val="00DF13D3"/>
    <w:rsid w:val="00DF15BA"/>
    <w:rsid w:val="00DF18DC"/>
    <w:rsid w:val="00DF197C"/>
    <w:rsid w:val="00DF198B"/>
    <w:rsid w:val="00DF1BDD"/>
    <w:rsid w:val="00DF1E27"/>
    <w:rsid w:val="00DF1F78"/>
    <w:rsid w:val="00DF2240"/>
    <w:rsid w:val="00DF23B7"/>
    <w:rsid w:val="00DF2859"/>
    <w:rsid w:val="00DF28CD"/>
    <w:rsid w:val="00DF28E5"/>
    <w:rsid w:val="00DF292D"/>
    <w:rsid w:val="00DF2E34"/>
    <w:rsid w:val="00DF2F8E"/>
    <w:rsid w:val="00DF30C6"/>
    <w:rsid w:val="00DF3288"/>
    <w:rsid w:val="00DF33F0"/>
    <w:rsid w:val="00DF3540"/>
    <w:rsid w:val="00DF3877"/>
    <w:rsid w:val="00DF38CC"/>
    <w:rsid w:val="00DF3A93"/>
    <w:rsid w:val="00DF3FFB"/>
    <w:rsid w:val="00DF4268"/>
    <w:rsid w:val="00DF443D"/>
    <w:rsid w:val="00DF475E"/>
    <w:rsid w:val="00DF4792"/>
    <w:rsid w:val="00DF48DC"/>
    <w:rsid w:val="00DF494D"/>
    <w:rsid w:val="00DF49B4"/>
    <w:rsid w:val="00DF49CB"/>
    <w:rsid w:val="00DF5022"/>
    <w:rsid w:val="00DF514D"/>
    <w:rsid w:val="00DF51BF"/>
    <w:rsid w:val="00DF571D"/>
    <w:rsid w:val="00DF5A7D"/>
    <w:rsid w:val="00DF5B96"/>
    <w:rsid w:val="00DF6560"/>
    <w:rsid w:val="00DF66C5"/>
    <w:rsid w:val="00DF66CB"/>
    <w:rsid w:val="00DF66EF"/>
    <w:rsid w:val="00DF691E"/>
    <w:rsid w:val="00DF6B4F"/>
    <w:rsid w:val="00DF6EF8"/>
    <w:rsid w:val="00DF7003"/>
    <w:rsid w:val="00DF711F"/>
    <w:rsid w:val="00DF71D8"/>
    <w:rsid w:val="00DF7392"/>
    <w:rsid w:val="00DF7477"/>
    <w:rsid w:val="00DF75CF"/>
    <w:rsid w:val="00DF7671"/>
    <w:rsid w:val="00DF76F6"/>
    <w:rsid w:val="00DF7AF0"/>
    <w:rsid w:val="00DF7B84"/>
    <w:rsid w:val="00DF7CBD"/>
    <w:rsid w:val="00DF7CEF"/>
    <w:rsid w:val="00DF7ED4"/>
    <w:rsid w:val="00E00341"/>
    <w:rsid w:val="00E003AA"/>
    <w:rsid w:val="00E004B1"/>
    <w:rsid w:val="00E0093E"/>
    <w:rsid w:val="00E0094A"/>
    <w:rsid w:val="00E00AAA"/>
    <w:rsid w:val="00E00FF2"/>
    <w:rsid w:val="00E010E8"/>
    <w:rsid w:val="00E01209"/>
    <w:rsid w:val="00E016D0"/>
    <w:rsid w:val="00E01822"/>
    <w:rsid w:val="00E01E87"/>
    <w:rsid w:val="00E01F86"/>
    <w:rsid w:val="00E01FAE"/>
    <w:rsid w:val="00E0214F"/>
    <w:rsid w:val="00E021B2"/>
    <w:rsid w:val="00E0223D"/>
    <w:rsid w:val="00E0238E"/>
    <w:rsid w:val="00E02923"/>
    <w:rsid w:val="00E02BDC"/>
    <w:rsid w:val="00E02C5E"/>
    <w:rsid w:val="00E02EE1"/>
    <w:rsid w:val="00E02F05"/>
    <w:rsid w:val="00E02F74"/>
    <w:rsid w:val="00E02FF1"/>
    <w:rsid w:val="00E030DB"/>
    <w:rsid w:val="00E032C2"/>
    <w:rsid w:val="00E03AF2"/>
    <w:rsid w:val="00E03D3B"/>
    <w:rsid w:val="00E03E6C"/>
    <w:rsid w:val="00E04255"/>
    <w:rsid w:val="00E043BE"/>
    <w:rsid w:val="00E04444"/>
    <w:rsid w:val="00E0447D"/>
    <w:rsid w:val="00E04587"/>
    <w:rsid w:val="00E046D5"/>
    <w:rsid w:val="00E04743"/>
    <w:rsid w:val="00E04889"/>
    <w:rsid w:val="00E04BE8"/>
    <w:rsid w:val="00E04E34"/>
    <w:rsid w:val="00E04ED4"/>
    <w:rsid w:val="00E050AE"/>
    <w:rsid w:val="00E052E5"/>
    <w:rsid w:val="00E05A22"/>
    <w:rsid w:val="00E05A45"/>
    <w:rsid w:val="00E06039"/>
    <w:rsid w:val="00E060A0"/>
    <w:rsid w:val="00E060CA"/>
    <w:rsid w:val="00E0622C"/>
    <w:rsid w:val="00E063CA"/>
    <w:rsid w:val="00E0642D"/>
    <w:rsid w:val="00E06BFF"/>
    <w:rsid w:val="00E076F8"/>
    <w:rsid w:val="00E07993"/>
    <w:rsid w:val="00E0799E"/>
    <w:rsid w:val="00E07CDB"/>
    <w:rsid w:val="00E07D0D"/>
    <w:rsid w:val="00E07D0E"/>
    <w:rsid w:val="00E07FE1"/>
    <w:rsid w:val="00E10034"/>
    <w:rsid w:val="00E10112"/>
    <w:rsid w:val="00E1016D"/>
    <w:rsid w:val="00E102EC"/>
    <w:rsid w:val="00E10300"/>
    <w:rsid w:val="00E1072E"/>
    <w:rsid w:val="00E1087D"/>
    <w:rsid w:val="00E108B0"/>
    <w:rsid w:val="00E10D88"/>
    <w:rsid w:val="00E10FD3"/>
    <w:rsid w:val="00E11076"/>
    <w:rsid w:val="00E1108E"/>
    <w:rsid w:val="00E11322"/>
    <w:rsid w:val="00E113CB"/>
    <w:rsid w:val="00E11679"/>
    <w:rsid w:val="00E11B2E"/>
    <w:rsid w:val="00E11CC3"/>
    <w:rsid w:val="00E11E74"/>
    <w:rsid w:val="00E121A6"/>
    <w:rsid w:val="00E121C7"/>
    <w:rsid w:val="00E12262"/>
    <w:rsid w:val="00E1227D"/>
    <w:rsid w:val="00E12294"/>
    <w:rsid w:val="00E122D0"/>
    <w:rsid w:val="00E12487"/>
    <w:rsid w:val="00E12537"/>
    <w:rsid w:val="00E12586"/>
    <w:rsid w:val="00E12713"/>
    <w:rsid w:val="00E1277A"/>
    <w:rsid w:val="00E127AE"/>
    <w:rsid w:val="00E127C6"/>
    <w:rsid w:val="00E129C9"/>
    <w:rsid w:val="00E129D8"/>
    <w:rsid w:val="00E12C55"/>
    <w:rsid w:val="00E12EAD"/>
    <w:rsid w:val="00E130AE"/>
    <w:rsid w:val="00E1352B"/>
    <w:rsid w:val="00E13620"/>
    <w:rsid w:val="00E1386C"/>
    <w:rsid w:val="00E13881"/>
    <w:rsid w:val="00E138F8"/>
    <w:rsid w:val="00E13A88"/>
    <w:rsid w:val="00E13CFA"/>
    <w:rsid w:val="00E13D1A"/>
    <w:rsid w:val="00E14088"/>
    <w:rsid w:val="00E1408E"/>
    <w:rsid w:val="00E14109"/>
    <w:rsid w:val="00E14219"/>
    <w:rsid w:val="00E14461"/>
    <w:rsid w:val="00E1479E"/>
    <w:rsid w:val="00E14829"/>
    <w:rsid w:val="00E14C12"/>
    <w:rsid w:val="00E14E27"/>
    <w:rsid w:val="00E1516C"/>
    <w:rsid w:val="00E15237"/>
    <w:rsid w:val="00E157BD"/>
    <w:rsid w:val="00E15A1B"/>
    <w:rsid w:val="00E15A58"/>
    <w:rsid w:val="00E15AA3"/>
    <w:rsid w:val="00E15AB4"/>
    <w:rsid w:val="00E15B3F"/>
    <w:rsid w:val="00E15BA6"/>
    <w:rsid w:val="00E15BCE"/>
    <w:rsid w:val="00E15CC8"/>
    <w:rsid w:val="00E1601B"/>
    <w:rsid w:val="00E1615C"/>
    <w:rsid w:val="00E1634A"/>
    <w:rsid w:val="00E165F2"/>
    <w:rsid w:val="00E16821"/>
    <w:rsid w:val="00E16AD0"/>
    <w:rsid w:val="00E16BE1"/>
    <w:rsid w:val="00E16E29"/>
    <w:rsid w:val="00E16F4D"/>
    <w:rsid w:val="00E17098"/>
    <w:rsid w:val="00E170A3"/>
    <w:rsid w:val="00E170AB"/>
    <w:rsid w:val="00E172FF"/>
    <w:rsid w:val="00E17306"/>
    <w:rsid w:val="00E1769D"/>
    <w:rsid w:val="00E17735"/>
    <w:rsid w:val="00E17798"/>
    <w:rsid w:val="00E178E6"/>
    <w:rsid w:val="00E17928"/>
    <w:rsid w:val="00E17AC2"/>
    <w:rsid w:val="00E17D1C"/>
    <w:rsid w:val="00E17E44"/>
    <w:rsid w:val="00E20110"/>
    <w:rsid w:val="00E20825"/>
    <w:rsid w:val="00E208CA"/>
    <w:rsid w:val="00E208D3"/>
    <w:rsid w:val="00E20937"/>
    <w:rsid w:val="00E209CA"/>
    <w:rsid w:val="00E20AE8"/>
    <w:rsid w:val="00E20B47"/>
    <w:rsid w:val="00E20C0F"/>
    <w:rsid w:val="00E20D21"/>
    <w:rsid w:val="00E20FA3"/>
    <w:rsid w:val="00E2102F"/>
    <w:rsid w:val="00E211FB"/>
    <w:rsid w:val="00E2134C"/>
    <w:rsid w:val="00E2143B"/>
    <w:rsid w:val="00E214F1"/>
    <w:rsid w:val="00E21503"/>
    <w:rsid w:val="00E215ED"/>
    <w:rsid w:val="00E2170B"/>
    <w:rsid w:val="00E21B90"/>
    <w:rsid w:val="00E21DF4"/>
    <w:rsid w:val="00E21E6C"/>
    <w:rsid w:val="00E221B0"/>
    <w:rsid w:val="00E222F4"/>
    <w:rsid w:val="00E22519"/>
    <w:rsid w:val="00E22578"/>
    <w:rsid w:val="00E226C2"/>
    <w:rsid w:val="00E22738"/>
    <w:rsid w:val="00E227C3"/>
    <w:rsid w:val="00E228BE"/>
    <w:rsid w:val="00E22928"/>
    <w:rsid w:val="00E22966"/>
    <w:rsid w:val="00E22B3B"/>
    <w:rsid w:val="00E22E11"/>
    <w:rsid w:val="00E22E2D"/>
    <w:rsid w:val="00E23385"/>
    <w:rsid w:val="00E23944"/>
    <w:rsid w:val="00E239F0"/>
    <w:rsid w:val="00E23A3F"/>
    <w:rsid w:val="00E23C1E"/>
    <w:rsid w:val="00E23CE7"/>
    <w:rsid w:val="00E23CF4"/>
    <w:rsid w:val="00E23D00"/>
    <w:rsid w:val="00E23DF6"/>
    <w:rsid w:val="00E23E54"/>
    <w:rsid w:val="00E24113"/>
    <w:rsid w:val="00E247C3"/>
    <w:rsid w:val="00E247F1"/>
    <w:rsid w:val="00E24990"/>
    <w:rsid w:val="00E24C0B"/>
    <w:rsid w:val="00E24DCF"/>
    <w:rsid w:val="00E24E80"/>
    <w:rsid w:val="00E25019"/>
    <w:rsid w:val="00E25049"/>
    <w:rsid w:val="00E2543A"/>
    <w:rsid w:val="00E25565"/>
    <w:rsid w:val="00E256AC"/>
    <w:rsid w:val="00E25BA7"/>
    <w:rsid w:val="00E25BF2"/>
    <w:rsid w:val="00E25D03"/>
    <w:rsid w:val="00E25D41"/>
    <w:rsid w:val="00E25E8E"/>
    <w:rsid w:val="00E25ECF"/>
    <w:rsid w:val="00E25FC4"/>
    <w:rsid w:val="00E260BA"/>
    <w:rsid w:val="00E26581"/>
    <w:rsid w:val="00E26810"/>
    <w:rsid w:val="00E26D41"/>
    <w:rsid w:val="00E26D49"/>
    <w:rsid w:val="00E26DCD"/>
    <w:rsid w:val="00E26EDC"/>
    <w:rsid w:val="00E27120"/>
    <w:rsid w:val="00E27157"/>
    <w:rsid w:val="00E27574"/>
    <w:rsid w:val="00E277AD"/>
    <w:rsid w:val="00E27AD4"/>
    <w:rsid w:val="00E27B36"/>
    <w:rsid w:val="00E27BF7"/>
    <w:rsid w:val="00E27D30"/>
    <w:rsid w:val="00E27EF5"/>
    <w:rsid w:val="00E30159"/>
    <w:rsid w:val="00E3017F"/>
    <w:rsid w:val="00E307B9"/>
    <w:rsid w:val="00E30A47"/>
    <w:rsid w:val="00E30AC5"/>
    <w:rsid w:val="00E30BEE"/>
    <w:rsid w:val="00E30D2A"/>
    <w:rsid w:val="00E30DF9"/>
    <w:rsid w:val="00E31130"/>
    <w:rsid w:val="00E31171"/>
    <w:rsid w:val="00E311F7"/>
    <w:rsid w:val="00E3126F"/>
    <w:rsid w:val="00E312FC"/>
    <w:rsid w:val="00E31733"/>
    <w:rsid w:val="00E31747"/>
    <w:rsid w:val="00E319B8"/>
    <w:rsid w:val="00E31CFD"/>
    <w:rsid w:val="00E31EDD"/>
    <w:rsid w:val="00E31EFF"/>
    <w:rsid w:val="00E31F73"/>
    <w:rsid w:val="00E321D4"/>
    <w:rsid w:val="00E323AD"/>
    <w:rsid w:val="00E3243D"/>
    <w:rsid w:val="00E3260E"/>
    <w:rsid w:val="00E32779"/>
    <w:rsid w:val="00E32836"/>
    <w:rsid w:val="00E328A6"/>
    <w:rsid w:val="00E32960"/>
    <w:rsid w:val="00E329E5"/>
    <w:rsid w:val="00E32B01"/>
    <w:rsid w:val="00E32D89"/>
    <w:rsid w:val="00E330BA"/>
    <w:rsid w:val="00E330DE"/>
    <w:rsid w:val="00E331F8"/>
    <w:rsid w:val="00E33250"/>
    <w:rsid w:val="00E3331F"/>
    <w:rsid w:val="00E33761"/>
    <w:rsid w:val="00E33765"/>
    <w:rsid w:val="00E337F7"/>
    <w:rsid w:val="00E338DB"/>
    <w:rsid w:val="00E339AB"/>
    <w:rsid w:val="00E33A59"/>
    <w:rsid w:val="00E33B4B"/>
    <w:rsid w:val="00E33BD3"/>
    <w:rsid w:val="00E33C77"/>
    <w:rsid w:val="00E33CC8"/>
    <w:rsid w:val="00E33F61"/>
    <w:rsid w:val="00E340E5"/>
    <w:rsid w:val="00E341B2"/>
    <w:rsid w:val="00E34428"/>
    <w:rsid w:val="00E34900"/>
    <w:rsid w:val="00E350D0"/>
    <w:rsid w:val="00E350EB"/>
    <w:rsid w:val="00E352A1"/>
    <w:rsid w:val="00E3533D"/>
    <w:rsid w:val="00E353D3"/>
    <w:rsid w:val="00E35463"/>
    <w:rsid w:val="00E3554C"/>
    <w:rsid w:val="00E35645"/>
    <w:rsid w:val="00E35654"/>
    <w:rsid w:val="00E3568D"/>
    <w:rsid w:val="00E356A6"/>
    <w:rsid w:val="00E357B6"/>
    <w:rsid w:val="00E35B6E"/>
    <w:rsid w:val="00E35EFE"/>
    <w:rsid w:val="00E35F25"/>
    <w:rsid w:val="00E36329"/>
    <w:rsid w:val="00E364EB"/>
    <w:rsid w:val="00E369A5"/>
    <w:rsid w:val="00E369E8"/>
    <w:rsid w:val="00E36C02"/>
    <w:rsid w:val="00E36D96"/>
    <w:rsid w:val="00E36DC1"/>
    <w:rsid w:val="00E370C2"/>
    <w:rsid w:val="00E374D0"/>
    <w:rsid w:val="00E37587"/>
    <w:rsid w:val="00E3765B"/>
    <w:rsid w:val="00E3778D"/>
    <w:rsid w:val="00E37880"/>
    <w:rsid w:val="00E378CF"/>
    <w:rsid w:val="00E37962"/>
    <w:rsid w:val="00E37AC6"/>
    <w:rsid w:val="00E37BAE"/>
    <w:rsid w:val="00E40094"/>
    <w:rsid w:val="00E401AA"/>
    <w:rsid w:val="00E40715"/>
    <w:rsid w:val="00E40836"/>
    <w:rsid w:val="00E408BE"/>
    <w:rsid w:val="00E40A2C"/>
    <w:rsid w:val="00E40A51"/>
    <w:rsid w:val="00E40A6F"/>
    <w:rsid w:val="00E40AB1"/>
    <w:rsid w:val="00E40BE6"/>
    <w:rsid w:val="00E40DFD"/>
    <w:rsid w:val="00E40E1F"/>
    <w:rsid w:val="00E40F2A"/>
    <w:rsid w:val="00E410D5"/>
    <w:rsid w:val="00E41166"/>
    <w:rsid w:val="00E4123D"/>
    <w:rsid w:val="00E41276"/>
    <w:rsid w:val="00E41295"/>
    <w:rsid w:val="00E41567"/>
    <w:rsid w:val="00E415BA"/>
    <w:rsid w:val="00E41985"/>
    <w:rsid w:val="00E419D9"/>
    <w:rsid w:val="00E41B2A"/>
    <w:rsid w:val="00E41BC5"/>
    <w:rsid w:val="00E41C0A"/>
    <w:rsid w:val="00E41C26"/>
    <w:rsid w:val="00E41D3F"/>
    <w:rsid w:val="00E41DC4"/>
    <w:rsid w:val="00E42189"/>
    <w:rsid w:val="00E4219C"/>
    <w:rsid w:val="00E42344"/>
    <w:rsid w:val="00E424C9"/>
    <w:rsid w:val="00E42525"/>
    <w:rsid w:val="00E425F6"/>
    <w:rsid w:val="00E428AF"/>
    <w:rsid w:val="00E42AEA"/>
    <w:rsid w:val="00E42DCC"/>
    <w:rsid w:val="00E42EAE"/>
    <w:rsid w:val="00E42F18"/>
    <w:rsid w:val="00E43012"/>
    <w:rsid w:val="00E43237"/>
    <w:rsid w:val="00E433FF"/>
    <w:rsid w:val="00E43489"/>
    <w:rsid w:val="00E4352F"/>
    <w:rsid w:val="00E435E8"/>
    <w:rsid w:val="00E436A9"/>
    <w:rsid w:val="00E43817"/>
    <w:rsid w:val="00E43B6A"/>
    <w:rsid w:val="00E43C29"/>
    <w:rsid w:val="00E43C4B"/>
    <w:rsid w:val="00E43DD9"/>
    <w:rsid w:val="00E440E8"/>
    <w:rsid w:val="00E441D1"/>
    <w:rsid w:val="00E44212"/>
    <w:rsid w:val="00E44556"/>
    <w:rsid w:val="00E4456A"/>
    <w:rsid w:val="00E44614"/>
    <w:rsid w:val="00E44668"/>
    <w:rsid w:val="00E447E5"/>
    <w:rsid w:val="00E448B8"/>
    <w:rsid w:val="00E44AA7"/>
    <w:rsid w:val="00E44CFD"/>
    <w:rsid w:val="00E45188"/>
    <w:rsid w:val="00E4528D"/>
    <w:rsid w:val="00E4537E"/>
    <w:rsid w:val="00E4548D"/>
    <w:rsid w:val="00E454D9"/>
    <w:rsid w:val="00E455C4"/>
    <w:rsid w:val="00E4560C"/>
    <w:rsid w:val="00E45784"/>
    <w:rsid w:val="00E459E5"/>
    <w:rsid w:val="00E45A27"/>
    <w:rsid w:val="00E45DAA"/>
    <w:rsid w:val="00E45DAC"/>
    <w:rsid w:val="00E460A5"/>
    <w:rsid w:val="00E46212"/>
    <w:rsid w:val="00E462E2"/>
    <w:rsid w:val="00E46348"/>
    <w:rsid w:val="00E464EF"/>
    <w:rsid w:val="00E46709"/>
    <w:rsid w:val="00E467A1"/>
    <w:rsid w:val="00E468B1"/>
    <w:rsid w:val="00E46919"/>
    <w:rsid w:val="00E46953"/>
    <w:rsid w:val="00E469D5"/>
    <w:rsid w:val="00E46DD0"/>
    <w:rsid w:val="00E470E7"/>
    <w:rsid w:val="00E470EE"/>
    <w:rsid w:val="00E474ED"/>
    <w:rsid w:val="00E47651"/>
    <w:rsid w:val="00E4794E"/>
    <w:rsid w:val="00E500B6"/>
    <w:rsid w:val="00E500E5"/>
    <w:rsid w:val="00E50193"/>
    <w:rsid w:val="00E50262"/>
    <w:rsid w:val="00E50574"/>
    <w:rsid w:val="00E506A3"/>
    <w:rsid w:val="00E5078D"/>
    <w:rsid w:val="00E507C5"/>
    <w:rsid w:val="00E50D71"/>
    <w:rsid w:val="00E50DA8"/>
    <w:rsid w:val="00E50E12"/>
    <w:rsid w:val="00E50FE3"/>
    <w:rsid w:val="00E512FF"/>
    <w:rsid w:val="00E51353"/>
    <w:rsid w:val="00E51494"/>
    <w:rsid w:val="00E51676"/>
    <w:rsid w:val="00E5173C"/>
    <w:rsid w:val="00E5179E"/>
    <w:rsid w:val="00E51877"/>
    <w:rsid w:val="00E5192C"/>
    <w:rsid w:val="00E51AB5"/>
    <w:rsid w:val="00E51DB5"/>
    <w:rsid w:val="00E521F4"/>
    <w:rsid w:val="00E5242D"/>
    <w:rsid w:val="00E52797"/>
    <w:rsid w:val="00E52979"/>
    <w:rsid w:val="00E52AA0"/>
    <w:rsid w:val="00E52CD5"/>
    <w:rsid w:val="00E52CE6"/>
    <w:rsid w:val="00E52DAC"/>
    <w:rsid w:val="00E52EBD"/>
    <w:rsid w:val="00E52F08"/>
    <w:rsid w:val="00E53552"/>
    <w:rsid w:val="00E5361E"/>
    <w:rsid w:val="00E53662"/>
    <w:rsid w:val="00E538A0"/>
    <w:rsid w:val="00E53ACC"/>
    <w:rsid w:val="00E53EF6"/>
    <w:rsid w:val="00E53F0A"/>
    <w:rsid w:val="00E54139"/>
    <w:rsid w:val="00E54157"/>
    <w:rsid w:val="00E54232"/>
    <w:rsid w:val="00E54349"/>
    <w:rsid w:val="00E545EF"/>
    <w:rsid w:val="00E54CFF"/>
    <w:rsid w:val="00E54DD6"/>
    <w:rsid w:val="00E54EBC"/>
    <w:rsid w:val="00E55389"/>
    <w:rsid w:val="00E5552E"/>
    <w:rsid w:val="00E5556F"/>
    <w:rsid w:val="00E55682"/>
    <w:rsid w:val="00E55AD3"/>
    <w:rsid w:val="00E55AFD"/>
    <w:rsid w:val="00E55D64"/>
    <w:rsid w:val="00E55E38"/>
    <w:rsid w:val="00E55E98"/>
    <w:rsid w:val="00E55EE9"/>
    <w:rsid w:val="00E5640D"/>
    <w:rsid w:val="00E5645C"/>
    <w:rsid w:val="00E56466"/>
    <w:rsid w:val="00E564C6"/>
    <w:rsid w:val="00E564F1"/>
    <w:rsid w:val="00E56514"/>
    <w:rsid w:val="00E56534"/>
    <w:rsid w:val="00E565F7"/>
    <w:rsid w:val="00E568AB"/>
    <w:rsid w:val="00E56929"/>
    <w:rsid w:val="00E56938"/>
    <w:rsid w:val="00E569F3"/>
    <w:rsid w:val="00E56A7E"/>
    <w:rsid w:val="00E56D17"/>
    <w:rsid w:val="00E56E6F"/>
    <w:rsid w:val="00E573D7"/>
    <w:rsid w:val="00E573FB"/>
    <w:rsid w:val="00E5744D"/>
    <w:rsid w:val="00E57690"/>
    <w:rsid w:val="00E577AC"/>
    <w:rsid w:val="00E57839"/>
    <w:rsid w:val="00E57DEE"/>
    <w:rsid w:val="00E60371"/>
    <w:rsid w:val="00E6045F"/>
    <w:rsid w:val="00E6048A"/>
    <w:rsid w:val="00E604EF"/>
    <w:rsid w:val="00E6096B"/>
    <w:rsid w:val="00E60AC7"/>
    <w:rsid w:val="00E60B0E"/>
    <w:rsid w:val="00E60B62"/>
    <w:rsid w:val="00E612F5"/>
    <w:rsid w:val="00E61335"/>
    <w:rsid w:val="00E61378"/>
    <w:rsid w:val="00E61470"/>
    <w:rsid w:val="00E619F9"/>
    <w:rsid w:val="00E61AB4"/>
    <w:rsid w:val="00E61AB8"/>
    <w:rsid w:val="00E61B5F"/>
    <w:rsid w:val="00E61E71"/>
    <w:rsid w:val="00E62127"/>
    <w:rsid w:val="00E62417"/>
    <w:rsid w:val="00E625C4"/>
    <w:rsid w:val="00E6288F"/>
    <w:rsid w:val="00E62C96"/>
    <w:rsid w:val="00E630B5"/>
    <w:rsid w:val="00E631A8"/>
    <w:rsid w:val="00E63261"/>
    <w:rsid w:val="00E6353D"/>
    <w:rsid w:val="00E63797"/>
    <w:rsid w:val="00E6382A"/>
    <w:rsid w:val="00E63CED"/>
    <w:rsid w:val="00E64062"/>
    <w:rsid w:val="00E6416F"/>
    <w:rsid w:val="00E64247"/>
    <w:rsid w:val="00E64439"/>
    <w:rsid w:val="00E64482"/>
    <w:rsid w:val="00E64591"/>
    <w:rsid w:val="00E649DD"/>
    <w:rsid w:val="00E64A7B"/>
    <w:rsid w:val="00E64A92"/>
    <w:rsid w:val="00E64B13"/>
    <w:rsid w:val="00E64BFA"/>
    <w:rsid w:val="00E64F25"/>
    <w:rsid w:val="00E64F45"/>
    <w:rsid w:val="00E6505F"/>
    <w:rsid w:val="00E65200"/>
    <w:rsid w:val="00E654A7"/>
    <w:rsid w:val="00E65887"/>
    <w:rsid w:val="00E65B23"/>
    <w:rsid w:val="00E65CB4"/>
    <w:rsid w:val="00E65E44"/>
    <w:rsid w:val="00E66042"/>
    <w:rsid w:val="00E66267"/>
    <w:rsid w:val="00E66386"/>
    <w:rsid w:val="00E664CB"/>
    <w:rsid w:val="00E66514"/>
    <w:rsid w:val="00E666BE"/>
    <w:rsid w:val="00E668B4"/>
    <w:rsid w:val="00E66BC9"/>
    <w:rsid w:val="00E66C9E"/>
    <w:rsid w:val="00E66E12"/>
    <w:rsid w:val="00E67008"/>
    <w:rsid w:val="00E67140"/>
    <w:rsid w:val="00E67151"/>
    <w:rsid w:val="00E67388"/>
    <w:rsid w:val="00E6750E"/>
    <w:rsid w:val="00E6759B"/>
    <w:rsid w:val="00E67705"/>
    <w:rsid w:val="00E6781D"/>
    <w:rsid w:val="00E678F9"/>
    <w:rsid w:val="00E6794D"/>
    <w:rsid w:val="00E679F7"/>
    <w:rsid w:val="00E67A76"/>
    <w:rsid w:val="00E67ADF"/>
    <w:rsid w:val="00E67C11"/>
    <w:rsid w:val="00E67D94"/>
    <w:rsid w:val="00E67E7D"/>
    <w:rsid w:val="00E67E98"/>
    <w:rsid w:val="00E7005D"/>
    <w:rsid w:val="00E700ED"/>
    <w:rsid w:val="00E701CF"/>
    <w:rsid w:val="00E70280"/>
    <w:rsid w:val="00E70545"/>
    <w:rsid w:val="00E70561"/>
    <w:rsid w:val="00E70A4F"/>
    <w:rsid w:val="00E70AE6"/>
    <w:rsid w:val="00E70CF9"/>
    <w:rsid w:val="00E70EEA"/>
    <w:rsid w:val="00E7117E"/>
    <w:rsid w:val="00E714BF"/>
    <w:rsid w:val="00E715DF"/>
    <w:rsid w:val="00E71959"/>
    <w:rsid w:val="00E719D1"/>
    <w:rsid w:val="00E71A00"/>
    <w:rsid w:val="00E71A35"/>
    <w:rsid w:val="00E71B49"/>
    <w:rsid w:val="00E71B72"/>
    <w:rsid w:val="00E71E94"/>
    <w:rsid w:val="00E72047"/>
    <w:rsid w:val="00E720FC"/>
    <w:rsid w:val="00E726E7"/>
    <w:rsid w:val="00E727F1"/>
    <w:rsid w:val="00E72AF1"/>
    <w:rsid w:val="00E72BCC"/>
    <w:rsid w:val="00E72C6D"/>
    <w:rsid w:val="00E73064"/>
    <w:rsid w:val="00E73365"/>
    <w:rsid w:val="00E734B2"/>
    <w:rsid w:val="00E73647"/>
    <w:rsid w:val="00E73C62"/>
    <w:rsid w:val="00E73E06"/>
    <w:rsid w:val="00E73E85"/>
    <w:rsid w:val="00E73E9B"/>
    <w:rsid w:val="00E74015"/>
    <w:rsid w:val="00E740CC"/>
    <w:rsid w:val="00E74363"/>
    <w:rsid w:val="00E7445E"/>
    <w:rsid w:val="00E744C5"/>
    <w:rsid w:val="00E745FC"/>
    <w:rsid w:val="00E7462D"/>
    <w:rsid w:val="00E7469F"/>
    <w:rsid w:val="00E748C5"/>
    <w:rsid w:val="00E749CD"/>
    <w:rsid w:val="00E74A4C"/>
    <w:rsid w:val="00E74ACB"/>
    <w:rsid w:val="00E74BF6"/>
    <w:rsid w:val="00E74C0C"/>
    <w:rsid w:val="00E74C9A"/>
    <w:rsid w:val="00E74CB2"/>
    <w:rsid w:val="00E74D36"/>
    <w:rsid w:val="00E750E3"/>
    <w:rsid w:val="00E7510C"/>
    <w:rsid w:val="00E7520C"/>
    <w:rsid w:val="00E75215"/>
    <w:rsid w:val="00E753D6"/>
    <w:rsid w:val="00E7543A"/>
    <w:rsid w:val="00E75648"/>
    <w:rsid w:val="00E758C0"/>
    <w:rsid w:val="00E75A03"/>
    <w:rsid w:val="00E76353"/>
    <w:rsid w:val="00E765A4"/>
    <w:rsid w:val="00E76B9B"/>
    <w:rsid w:val="00E76C68"/>
    <w:rsid w:val="00E76D98"/>
    <w:rsid w:val="00E76EAB"/>
    <w:rsid w:val="00E76FC8"/>
    <w:rsid w:val="00E77341"/>
    <w:rsid w:val="00E77440"/>
    <w:rsid w:val="00E7763F"/>
    <w:rsid w:val="00E77DB7"/>
    <w:rsid w:val="00E77FCA"/>
    <w:rsid w:val="00E77FF0"/>
    <w:rsid w:val="00E77FF5"/>
    <w:rsid w:val="00E801FE"/>
    <w:rsid w:val="00E80304"/>
    <w:rsid w:val="00E806F4"/>
    <w:rsid w:val="00E80842"/>
    <w:rsid w:val="00E808F6"/>
    <w:rsid w:val="00E80925"/>
    <w:rsid w:val="00E80BC9"/>
    <w:rsid w:val="00E80CA5"/>
    <w:rsid w:val="00E80D76"/>
    <w:rsid w:val="00E80DD4"/>
    <w:rsid w:val="00E80F44"/>
    <w:rsid w:val="00E81049"/>
    <w:rsid w:val="00E81227"/>
    <w:rsid w:val="00E812B5"/>
    <w:rsid w:val="00E812C2"/>
    <w:rsid w:val="00E8152C"/>
    <w:rsid w:val="00E81653"/>
    <w:rsid w:val="00E81840"/>
    <w:rsid w:val="00E8184D"/>
    <w:rsid w:val="00E8199F"/>
    <w:rsid w:val="00E81A6B"/>
    <w:rsid w:val="00E81BB9"/>
    <w:rsid w:val="00E81ED7"/>
    <w:rsid w:val="00E81F37"/>
    <w:rsid w:val="00E81F5D"/>
    <w:rsid w:val="00E82040"/>
    <w:rsid w:val="00E82257"/>
    <w:rsid w:val="00E82576"/>
    <w:rsid w:val="00E8276A"/>
    <w:rsid w:val="00E82806"/>
    <w:rsid w:val="00E828BB"/>
    <w:rsid w:val="00E8295D"/>
    <w:rsid w:val="00E82A56"/>
    <w:rsid w:val="00E82CF4"/>
    <w:rsid w:val="00E82D5C"/>
    <w:rsid w:val="00E8339F"/>
    <w:rsid w:val="00E83404"/>
    <w:rsid w:val="00E83812"/>
    <w:rsid w:val="00E83926"/>
    <w:rsid w:val="00E83967"/>
    <w:rsid w:val="00E83982"/>
    <w:rsid w:val="00E83A9E"/>
    <w:rsid w:val="00E83E2F"/>
    <w:rsid w:val="00E83E73"/>
    <w:rsid w:val="00E83F2A"/>
    <w:rsid w:val="00E840DB"/>
    <w:rsid w:val="00E84476"/>
    <w:rsid w:val="00E84818"/>
    <w:rsid w:val="00E848F1"/>
    <w:rsid w:val="00E849DF"/>
    <w:rsid w:val="00E84B1C"/>
    <w:rsid w:val="00E84CD9"/>
    <w:rsid w:val="00E85132"/>
    <w:rsid w:val="00E851B3"/>
    <w:rsid w:val="00E85317"/>
    <w:rsid w:val="00E8557D"/>
    <w:rsid w:val="00E85684"/>
    <w:rsid w:val="00E85735"/>
    <w:rsid w:val="00E857D0"/>
    <w:rsid w:val="00E85E8A"/>
    <w:rsid w:val="00E8604F"/>
    <w:rsid w:val="00E86273"/>
    <w:rsid w:val="00E8665E"/>
    <w:rsid w:val="00E866EF"/>
    <w:rsid w:val="00E86AE0"/>
    <w:rsid w:val="00E86C09"/>
    <w:rsid w:val="00E86C3E"/>
    <w:rsid w:val="00E87023"/>
    <w:rsid w:val="00E8733D"/>
    <w:rsid w:val="00E875D9"/>
    <w:rsid w:val="00E877F6"/>
    <w:rsid w:val="00E87B24"/>
    <w:rsid w:val="00E87B95"/>
    <w:rsid w:val="00E87BDB"/>
    <w:rsid w:val="00E87CDA"/>
    <w:rsid w:val="00E87D5F"/>
    <w:rsid w:val="00E87DFA"/>
    <w:rsid w:val="00E87FBC"/>
    <w:rsid w:val="00E900E4"/>
    <w:rsid w:val="00E9013B"/>
    <w:rsid w:val="00E901A9"/>
    <w:rsid w:val="00E90325"/>
    <w:rsid w:val="00E904C2"/>
    <w:rsid w:val="00E9061C"/>
    <w:rsid w:val="00E906B5"/>
    <w:rsid w:val="00E90738"/>
    <w:rsid w:val="00E907DE"/>
    <w:rsid w:val="00E90836"/>
    <w:rsid w:val="00E908AC"/>
    <w:rsid w:val="00E90A33"/>
    <w:rsid w:val="00E90AB9"/>
    <w:rsid w:val="00E90FF8"/>
    <w:rsid w:val="00E9104D"/>
    <w:rsid w:val="00E91062"/>
    <w:rsid w:val="00E9158C"/>
    <w:rsid w:val="00E915DA"/>
    <w:rsid w:val="00E91690"/>
    <w:rsid w:val="00E916AF"/>
    <w:rsid w:val="00E91767"/>
    <w:rsid w:val="00E91A19"/>
    <w:rsid w:val="00E91A67"/>
    <w:rsid w:val="00E91AB0"/>
    <w:rsid w:val="00E91E52"/>
    <w:rsid w:val="00E92319"/>
    <w:rsid w:val="00E92369"/>
    <w:rsid w:val="00E9258F"/>
    <w:rsid w:val="00E92802"/>
    <w:rsid w:val="00E92997"/>
    <w:rsid w:val="00E92BE1"/>
    <w:rsid w:val="00E9308F"/>
    <w:rsid w:val="00E9320E"/>
    <w:rsid w:val="00E935BF"/>
    <w:rsid w:val="00E936BE"/>
    <w:rsid w:val="00E93726"/>
    <w:rsid w:val="00E93B9C"/>
    <w:rsid w:val="00E93BA9"/>
    <w:rsid w:val="00E93E47"/>
    <w:rsid w:val="00E94194"/>
    <w:rsid w:val="00E941F5"/>
    <w:rsid w:val="00E9429B"/>
    <w:rsid w:val="00E946E0"/>
    <w:rsid w:val="00E94B0C"/>
    <w:rsid w:val="00E95152"/>
    <w:rsid w:val="00E954D8"/>
    <w:rsid w:val="00E957FF"/>
    <w:rsid w:val="00E95839"/>
    <w:rsid w:val="00E9594C"/>
    <w:rsid w:val="00E95AB5"/>
    <w:rsid w:val="00E95B65"/>
    <w:rsid w:val="00E95F4E"/>
    <w:rsid w:val="00E960ED"/>
    <w:rsid w:val="00E96113"/>
    <w:rsid w:val="00E9633D"/>
    <w:rsid w:val="00E967A5"/>
    <w:rsid w:val="00E968C0"/>
    <w:rsid w:val="00E96B50"/>
    <w:rsid w:val="00E96C3D"/>
    <w:rsid w:val="00E96E64"/>
    <w:rsid w:val="00E96F8A"/>
    <w:rsid w:val="00E97446"/>
    <w:rsid w:val="00E9765F"/>
    <w:rsid w:val="00E976C9"/>
    <w:rsid w:val="00E97735"/>
    <w:rsid w:val="00E97796"/>
    <w:rsid w:val="00E97D91"/>
    <w:rsid w:val="00E97EB9"/>
    <w:rsid w:val="00E97EF5"/>
    <w:rsid w:val="00E97EF6"/>
    <w:rsid w:val="00EA03AA"/>
    <w:rsid w:val="00EA07D8"/>
    <w:rsid w:val="00EA07FD"/>
    <w:rsid w:val="00EA080B"/>
    <w:rsid w:val="00EA08F2"/>
    <w:rsid w:val="00EA0980"/>
    <w:rsid w:val="00EA09B6"/>
    <w:rsid w:val="00EA0ACA"/>
    <w:rsid w:val="00EA0B25"/>
    <w:rsid w:val="00EA0D6D"/>
    <w:rsid w:val="00EA0DAF"/>
    <w:rsid w:val="00EA0F2B"/>
    <w:rsid w:val="00EA155C"/>
    <w:rsid w:val="00EA1A45"/>
    <w:rsid w:val="00EA1B39"/>
    <w:rsid w:val="00EA1B4C"/>
    <w:rsid w:val="00EA1BCE"/>
    <w:rsid w:val="00EA1BDF"/>
    <w:rsid w:val="00EA1F57"/>
    <w:rsid w:val="00EA1F8A"/>
    <w:rsid w:val="00EA1FD9"/>
    <w:rsid w:val="00EA213C"/>
    <w:rsid w:val="00EA220B"/>
    <w:rsid w:val="00EA223D"/>
    <w:rsid w:val="00EA22F0"/>
    <w:rsid w:val="00EA2631"/>
    <w:rsid w:val="00EA263E"/>
    <w:rsid w:val="00EA2648"/>
    <w:rsid w:val="00EA2869"/>
    <w:rsid w:val="00EA28D5"/>
    <w:rsid w:val="00EA28DB"/>
    <w:rsid w:val="00EA2901"/>
    <w:rsid w:val="00EA2AFE"/>
    <w:rsid w:val="00EA2CD9"/>
    <w:rsid w:val="00EA2CEB"/>
    <w:rsid w:val="00EA2D08"/>
    <w:rsid w:val="00EA2E49"/>
    <w:rsid w:val="00EA3043"/>
    <w:rsid w:val="00EA318A"/>
    <w:rsid w:val="00EA34F1"/>
    <w:rsid w:val="00EA3515"/>
    <w:rsid w:val="00EA357F"/>
    <w:rsid w:val="00EA3667"/>
    <w:rsid w:val="00EA36D2"/>
    <w:rsid w:val="00EA3709"/>
    <w:rsid w:val="00EA375B"/>
    <w:rsid w:val="00EA3B87"/>
    <w:rsid w:val="00EA3E62"/>
    <w:rsid w:val="00EA3F12"/>
    <w:rsid w:val="00EA3F8B"/>
    <w:rsid w:val="00EA4254"/>
    <w:rsid w:val="00EA4303"/>
    <w:rsid w:val="00EA4555"/>
    <w:rsid w:val="00EA458A"/>
    <w:rsid w:val="00EA4614"/>
    <w:rsid w:val="00EA4816"/>
    <w:rsid w:val="00EA4888"/>
    <w:rsid w:val="00EA4A18"/>
    <w:rsid w:val="00EA4AE5"/>
    <w:rsid w:val="00EA4D12"/>
    <w:rsid w:val="00EA50B0"/>
    <w:rsid w:val="00EA51CD"/>
    <w:rsid w:val="00EA5315"/>
    <w:rsid w:val="00EA5434"/>
    <w:rsid w:val="00EA5486"/>
    <w:rsid w:val="00EA54B5"/>
    <w:rsid w:val="00EA5671"/>
    <w:rsid w:val="00EA579D"/>
    <w:rsid w:val="00EA5903"/>
    <w:rsid w:val="00EA5A1A"/>
    <w:rsid w:val="00EA6019"/>
    <w:rsid w:val="00EA640D"/>
    <w:rsid w:val="00EA6745"/>
    <w:rsid w:val="00EA67D6"/>
    <w:rsid w:val="00EA68EC"/>
    <w:rsid w:val="00EA6B39"/>
    <w:rsid w:val="00EA6B84"/>
    <w:rsid w:val="00EA6CA8"/>
    <w:rsid w:val="00EA6E0B"/>
    <w:rsid w:val="00EA70E4"/>
    <w:rsid w:val="00EA718D"/>
    <w:rsid w:val="00EA72ED"/>
    <w:rsid w:val="00EA7B28"/>
    <w:rsid w:val="00EA7B55"/>
    <w:rsid w:val="00EA7B60"/>
    <w:rsid w:val="00EA7C68"/>
    <w:rsid w:val="00EA7E11"/>
    <w:rsid w:val="00EA7E5D"/>
    <w:rsid w:val="00EB007B"/>
    <w:rsid w:val="00EB0128"/>
    <w:rsid w:val="00EB0203"/>
    <w:rsid w:val="00EB0637"/>
    <w:rsid w:val="00EB0AD5"/>
    <w:rsid w:val="00EB0B2A"/>
    <w:rsid w:val="00EB1008"/>
    <w:rsid w:val="00EB1033"/>
    <w:rsid w:val="00EB1054"/>
    <w:rsid w:val="00EB1164"/>
    <w:rsid w:val="00EB116B"/>
    <w:rsid w:val="00EB13FC"/>
    <w:rsid w:val="00EB19BF"/>
    <w:rsid w:val="00EB19C4"/>
    <w:rsid w:val="00EB1B76"/>
    <w:rsid w:val="00EB1F94"/>
    <w:rsid w:val="00EB247F"/>
    <w:rsid w:val="00EB257E"/>
    <w:rsid w:val="00EB266C"/>
    <w:rsid w:val="00EB26F5"/>
    <w:rsid w:val="00EB2BDD"/>
    <w:rsid w:val="00EB2BFD"/>
    <w:rsid w:val="00EB2CD2"/>
    <w:rsid w:val="00EB2F3D"/>
    <w:rsid w:val="00EB3021"/>
    <w:rsid w:val="00EB3246"/>
    <w:rsid w:val="00EB333F"/>
    <w:rsid w:val="00EB33AD"/>
    <w:rsid w:val="00EB3414"/>
    <w:rsid w:val="00EB35E0"/>
    <w:rsid w:val="00EB36E6"/>
    <w:rsid w:val="00EB374B"/>
    <w:rsid w:val="00EB3871"/>
    <w:rsid w:val="00EB3AAA"/>
    <w:rsid w:val="00EB3C91"/>
    <w:rsid w:val="00EB3DF3"/>
    <w:rsid w:val="00EB3F6A"/>
    <w:rsid w:val="00EB3FDB"/>
    <w:rsid w:val="00EB43A5"/>
    <w:rsid w:val="00EB45E8"/>
    <w:rsid w:val="00EB46C0"/>
    <w:rsid w:val="00EB487C"/>
    <w:rsid w:val="00EB4AC5"/>
    <w:rsid w:val="00EB4C8A"/>
    <w:rsid w:val="00EB4E9E"/>
    <w:rsid w:val="00EB5173"/>
    <w:rsid w:val="00EB524D"/>
    <w:rsid w:val="00EB5257"/>
    <w:rsid w:val="00EB526D"/>
    <w:rsid w:val="00EB5287"/>
    <w:rsid w:val="00EB5307"/>
    <w:rsid w:val="00EB545D"/>
    <w:rsid w:val="00EB54FF"/>
    <w:rsid w:val="00EB56EB"/>
    <w:rsid w:val="00EB5BFA"/>
    <w:rsid w:val="00EB5F5C"/>
    <w:rsid w:val="00EB616D"/>
    <w:rsid w:val="00EB6195"/>
    <w:rsid w:val="00EB61EB"/>
    <w:rsid w:val="00EB63AE"/>
    <w:rsid w:val="00EB64CA"/>
    <w:rsid w:val="00EB664A"/>
    <w:rsid w:val="00EB6728"/>
    <w:rsid w:val="00EB6E1C"/>
    <w:rsid w:val="00EB6FCD"/>
    <w:rsid w:val="00EB7082"/>
    <w:rsid w:val="00EB70B0"/>
    <w:rsid w:val="00EB71BB"/>
    <w:rsid w:val="00EB7370"/>
    <w:rsid w:val="00EB75DC"/>
    <w:rsid w:val="00EB7822"/>
    <w:rsid w:val="00EB78E7"/>
    <w:rsid w:val="00EB7C3E"/>
    <w:rsid w:val="00EB7E48"/>
    <w:rsid w:val="00EB7E94"/>
    <w:rsid w:val="00EB7FF2"/>
    <w:rsid w:val="00EC0095"/>
    <w:rsid w:val="00EC019F"/>
    <w:rsid w:val="00EC065B"/>
    <w:rsid w:val="00EC09E4"/>
    <w:rsid w:val="00EC09F8"/>
    <w:rsid w:val="00EC0BF0"/>
    <w:rsid w:val="00EC0CE1"/>
    <w:rsid w:val="00EC0DB9"/>
    <w:rsid w:val="00EC0F02"/>
    <w:rsid w:val="00EC1137"/>
    <w:rsid w:val="00EC118F"/>
    <w:rsid w:val="00EC11D7"/>
    <w:rsid w:val="00EC12D9"/>
    <w:rsid w:val="00EC1553"/>
    <w:rsid w:val="00EC1693"/>
    <w:rsid w:val="00EC16DF"/>
    <w:rsid w:val="00EC1940"/>
    <w:rsid w:val="00EC196D"/>
    <w:rsid w:val="00EC1B00"/>
    <w:rsid w:val="00EC1BC9"/>
    <w:rsid w:val="00EC1C6E"/>
    <w:rsid w:val="00EC1C84"/>
    <w:rsid w:val="00EC1DD3"/>
    <w:rsid w:val="00EC1E29"/>
    <w:rsid w:val="00EC21B0"/>
    <w:rsid w:val="00EC2432"/>
    <w:rsid w:val="00EC25A7"/>
    <w:rsid w:val="00EC261C"/>
    <w:rsid w:val="00EC2701"/>
    <w:rsid w:val="00EC2CEF"/>
    <w:rsid w:val="00EC334D"/>
    <w:rsid w:val="00EC342B"/>
    <w:rsid w:val="00EC354F"/>
    <w:rsid w:val="00EC3638"/>
    <w:rsid w:val="00EC3692"/>
    <w:rsid w:val="00EC3A01"/>
    <w:rsid w:val="00EC455E"/>
    <w:rsid w:val="00EC4609"/>
    <w:rsid w:val="00EC4832"/>
    <w:rsid w:val="00EC48DA"/>
    <w:rsid w:val="00EC4CDD"/>
    <w:rsid w:val="00EC4DEC"/>
    <w:rsid w:val="00EC4F88"/>
    <w:rsid w:val="00EC5389"/>
    <w:rsid w:val="00EC5462"/>
    <w:rsid w:val="00EC559F"/>
    <w:rsid w:val="00EC5804"/>
    <w:rsid w:val="00EC5868"/>
    <w:rsid w:val="00EC5C68"/>
    <w:rsid w:val="00EC637C"/>
    <w:rsid w:val="00EC6469"/>
    <w:rsid w:val="00EC669A"/>
    <w:rsid w:val="00EC694A"/>
    <w:rsid w:val="00EC6BEB"/>
    <w:rsid w:val="00EC6C94"/>
    <w:rsid w:val="00EC7041"/>
    <w:rsid w:val="00EC7165"/>
    <w:rsid w:val="00EC72C7"/>
    <w:rsid w:val="00EC7647"/>
    <w:rsid w:val="00EC78CB"/>
    <w:rsid w:val="00EC78F2"/>
    <w:rsid w:val="00EC79D0"/>
    <w:rsid w:val="00EC7CCD"/>
    <w:rsid w:val="00ED03D3"/>
    <w:rsid w:val="00ED055A"/>
    <w:rsid w:val="00ED05D6"/>
    <w:rsid w:val="00ED05EA"/>
    <w:rsid w:val="00ED0625"/>
    <w:rsid w:val="00ED0907"/>
    <w:rsid w:val="00ED095C"/>
    <w:rsid w:val="00ED0ACA"/>
    <w:rsid w:val="00ED0DA8"/>
    <w:rsid w:val="00ED0F01"/>
    <w:rsid w:val="00ED10CD"/>
    <w:rsid w:val="00ED113F"/>
    <w:rsid w:val="00ED116B"/>
    <w:rsid w:val="00ED12BB"/>
    <w:rsid w:val="00ED1459"/>
    <w:rsid w:val="00ED14B4"/>
    <w:rsid w:val="00ED1612"/>
    <w:rsid w:val="00ED198F"/>
    <w:rsid w:val="00ED1AAF"/>
    <w:rsid w:val="00ED1B0D"/>
    <w:rsid w:val="00ED1B7A"/>
    <w:rsid w:val="00ED1C53"/>
    <w:rsid w:val="00ED1C84"/>
    <w:rsid w:val="00ED1F62"/>
    <w:rsid w:val="00ED20E9"/>
    <w:rsid w:val="00ED21AD"/>
    <w:rsid w:val="00ED230A"/>
    <w:rsid w:val="00ED2755"/>
    <w:rsid w:val="00ED2777"/>
    <w:rsid w:val="00ED2813"/>
    <w:rsid w:val="00ED29F0"/>
    <w:rsid w:val="00ED2D04"/>
    <w:rsid w:val="00ED2DE7"/>
    <w:rsid w:val="00ED34D2"/>
    <w:rsid w:val="00ED35F1"/>
    <w:rsid w:val="00ED3652"/>
    <w:rsid w:val="00ED3842"/>
    <w:rsid w:val="00ED3A18"/>
    <w:rsid w:val="00ED3AEF"/>
    <w:rsid w:val="00ED3D7B"/>
    <w:rsid w:val="00ED4024"/>
    <w:rsid w:val="00ED41F4"/>
    <w:rsid w:val="00ED4232"/>
    <w:rsid w:val="00ED4340"/>
    <w:rsid w:val="00ED437C"/>
    <w:rsid w:val="00ED45C2"/>
    <w:rsid w:val="00ED4AF2"/>
    <w:rsid w:val="00ED4BBB"/>
    <w:rsid w:val="00ED4CD3"/>
    <w:rsid w:val="00ED4CE0"/>
    <w:rsid w:val="00ED4D31"/>
    <w:rsid w:val="00ED4DA6"/>
    <w:rsid w:val="00ED4F89"/>
    <w:rsid w:val="00ED5005"/>
    <w:rsid w:val="00ED5152"/>
    <w:rsid w:val="00ED51F5"/>
    <w:rsid w:val="00ED5288"/>
    <w:rsid w:val="00ED5347"/>
    <w:rsid w:val="00ED53D5"/>
    <w:rsid w:val="00ED54A0"/>
    <w:rsid w:val="00ED5763"/>
    <w:rsid w:val="00ED57ED"/>
    <w:rsid w:val="00ED587F"/>
    <w:rsid w:val="00ED5935"/>
    <w:rsid w:val="00ED5DAE"/>
    <w:rsid w:val="00ED6047"/>
    <w:rsid w:val="00ED6097"/>
    <w:rsid w:val="00ED6501"/>
    <w:rsid w:val="00ED655B"/>
    <w:rsid w:val="00ED6576"/>
    <w:rsid w:val="00ED674E"/>
    <w:rsid w:val="00ED67E1"/>
    <w:rsid w:val="00ED69DC"/>
    <w:rsid w:val="00ED6CAA"/>
    <w:rsid w:val="00ED6D59"/>
    <w:rsid w:val="00ED6D5C"/>
    <w:rsid w:val="00ED6E66"/>
    <w:rsid w:val="00ED724C"/>
    <w:rsid w:val="00ED73FB"/>
    <w:rsid w:val="00ED74E2"/>
    <w:rsid w:val="00ED7957"/>
    <w:rsid w:val="00ED7E7C"/>
    <w:rsid w:val="00ED7F25"/>
    <w:rsid w:val="00ED7F31"/>
    <w:rsid w:val="00EE0065"/>
    <w:rsid w:val="00EE027E"/>
    <w:rsid w:val="00EE04E9"/>
    <w:rsid w:val="00EE05A1"/>
    <w:rsid w:val="00EE05D4"/>
    <w:rsid w:val="00EE067A"/>
    <w:rsid w:val="00EE068F"/>
    <w:rsid w:val="00EE06A8"/>
    <w:rsid w:val="00EE0A1F"/>
    <w:rsid w:val="00EE0AEB"/>
    <w:rsid w:val="00EE0B0C"/>
    <w:rsid w:val="00EE0D87"/>
    <w:rsid w:val="00EE0E0F"/>
    <w:rsid w:val="00EE0E1D"/>
    <w:rsid w:val="00EE0E28"/>
    <w:rsid w:val="00EE0F22"/>
    <w:rsid w:val="00EE109C"/>
    <w:rsid w:val="00EE1498"/>
    <w:rsid w:val="00EE14CE"/>
    <w:rsid w:val="00EE1500"/>
    <w:rsid w:val="00EE17D8"/>
    <w:rsid w:val="00EE1835"/>
    <w:rsid w:val="00EE18A5"/>
    <w:rsid w:val="00EE19E2"/>
    <w:rsid w:val="00EE1ABB"/>
    <w:rsid w:val="00EE1D06"/>
    <w:rsid w:val="00EE1F48"/>
    <w:rsid w:val="00EE2121"/>
    <w:rsid w:val="00EE21D4"/>
    <w:rsid w:val="00EE21E4"/>
    <w:rsid w:val="00EE2231"/>
    <w:rsid w:val="00EE27AD"/>
    <w:rsid w:val="00EE28E1"/>
    <w:rsid w:val="00EE291D"/>
    <w:rsid w:val="00EE2958"/>
    <w:rsid w:val="00EE2C1B"/>
    <w:rsid w:val="00EE2C67"/>
    <w:rsid w:val="00EE30C1"/>
    <w:rsid w:val="00EE3116"/>
    <w:rsid w:val="00EE32B9"/>
    <w:rsid w:val="00EE3548"/>
    <w:rsid w:val="00EE35ED"/>
    <w:rsid w:val="00EE36D4"/>
    <w:rsid w:val="00EE36F7"/>
    <w:rsid w:val="00EE3DAC"/>
    <w:rsid w:val="00EE3E1A"/>
    <w:rsid w:val="00EE3FBF"/>
    <w:rsid w:val="00EE3FED"/>
    <w:rsid w:val="00EE4253"/>
    <w:rsid w:val="00EE451E"/>
    <w:rsid w:val="00EE4563"/>
    <w:rsid w:val="00EE4D0C"/>
    <w:rsid w:val="00EE4E80"/>
    <w:rsid w:val="00EE50D6"/>
    <w:rsid w:val="00EE5380"/>
    <w:rsid w:val="00EE5610"/>
    <w:rsid w:val="00EE5874"/>
    <w:rsid w:val="00EE598F"/>
    <w:rsid w:val="00EE5B62"/>
    <w:rsid w:val="00EE5E65"/>
    <w:rsid w:val="00EE5E7C"/>
    <w:rsid w:val="00EE5EA5"/>
    <w:rsid w:val="00EE6048"/>
    <w:rsid w:val="00EE62F7"/>
    <w:rsid w:val="00EE6396"/>
    <w:rsid w:val="00EE6729"/>
    <w:rsid w:val="00EE6836"/>
    <w:rsid w:val="00EE683B"/>
    <w:rsid w:val="00EE6932"/>
    <w:rsid w:val="00EE6A50"/>
    <w:rsid w:val="00EE6AAA"/>
    <w:rsid w:val="00EE6B44"/>
    <w:rsid w:val="00EE6BE0"/>
    <w:rsid w:val="00EE6D03"/>
    <w:rsid w:val="00EE6F32"/>
    <w:rsid w:val="00EE6F73"/>
    <w:rsid w:val="00EE6FBF"/>
    <w:rsid w:val="00EE71DE"/>
    <w:rsid w:val="00EE745D"/>
    <w:rsid w:val="00EE74E0"/>
    <w:rsid w:val="00EE7723"/>
    <w:rsid w:val="00EE7728"/>
    <w:rsid w:val="00EE78DB"/>
    <w:rsid w:val="00EE7987"/>
    <w:rsid w:val="00EE7B3C"/>
    <w:rsid w:val="00EE7B6C"/>
    <w:rsid w:val="00EE7FE7"/>
    <w:rsid w:val="00EF00E6"/>
    <w:rsid w:val="00EF00F0"/>
    <w:rsid w:val="00EF02A8"/>
    <w:rsid w:val="00EF03EA"/>
    <w:rsid w:val="00EF0733"/>
    <w:rsid w:val="00EF075E"/>
    <w:rsid w:val="00EF0AC5"/>
    <w:rsid w:val="00EF0D6F"/>
    <w:rsid w:val="00EF0EA3"/>
    <w:rsid w:val="00EF0F46"/>
    <w:rsid w:val="00EF10A8"/>
    <w:rsid w:val="00EF1364"/>
    <w:rsid w:val="00EF13A7"/>
    <w:rsid w:val="00EF1448"/>
    <w:rsid w:val="00EF1670"/>
    <w:rsid w:val="00EF17BD"/>
    <w:rsid w:val="00EF182D"/>
    <w:rsid w:val="00EF1843"/>
    <w:rsid w:val="00EF191C"/>
    <w:rsid w:val="00EF1A33"/>
    <w:rsid w:val="00EF1B67"/>
    <w:rsid w:val="00EF1CAF"/>
    <w:rsid w:val="00EF1DFD"/>
    <w:rsid w:val="00EF1E59"/>
    <w:rsid w:val="00EF1F6F"/>
    <w:rsid w:val="00EF268B"/>
    <w:rsid w:val="00EF28BD"/>
    <w:rsid w:val="00EF294E"/>
    <w:rsid w:val="00EF29E5"/>
    <w:rsid w:val="00EF2A1B"/>
    <w:rsid w:val="00EF2A86"/>
    <w:rsid w:val="00EF2E5C"/>
    <w:rsid w:val="00EF2FC8"/>
    <w:rsid w:val="00EF31D0"/>
    <w:rsid w:val="00EF3539"/>
    <w:rsid w:val="00EF36D5"/>
    <w:rsid w:val="00EF3874"/>
    <w:rsid w:val="00EF38F0"/>
    <w:rsid w:val="00EF399B"/>
    <w:rsid w:val="00EF3DDA"/>
    <w:rsid w:val="00EF3E63"/>
    <w:rsid w:val="00EF421C"/>
    <w:rsid w:val="00EF4391"/>
    <w:rsid w:val="00EF44A2"/>
    <w:rsid w:val="00EF45C8"/>
    <w:rsid w:val="00EF45E8"/>
    <w:rsid w:val="00EF47DE"/>
    <w:rsid w:val="00EF48E9"/>
    <w:rsid w:val="00EF4997"/>
    <w:rsid w:val="00EF4B62"/>
    <w:rsid w:val="00EF4B8B"/>
    <w:rsid w:val="00EF4D79"/>
    <w:rsid w:val="00EF4FA7"/>
    <w:rsid w:val="00EF5072"/>
    <w:rsid w:val="00EF5402"/>
    <w:rsid w:val="00EF5619"/>
    <w:rsid w:val="00EF5E5A"/>
    <w:rsid w:val="00EF5E8F"/>
    <w:rsid w:val="00EF5F6E"/>
    <w:rsid w:val="00EF655C"/>
    <w:rsid w:val="00EF65C4"/>
    <w:rsid w:val="00EF6B6E"/>
    <w:rsid w:val="00EF6CD2"/>
    <w:rsid w:val="00EF6E7F"/>
    <w:rsid w:val="00EF7507"/>
    <w:rsid w:val="00EF7592"/>
    <w:rsid w:val="00EF7626"/>
    <w:rsid w:val="00EF7866"/>
    <w:rsid w:val="00EF790F"/>
    <w:rsid w:val="00EF7B40"/>
    <w:rsid w:val="00EF7C09"/>
    <w:rsid w:val="00EF7D78"/>
    <w:rsid w:val="00EF7EC7"/>
    <w:rsid w:val="00EF7FA7"/>
    <w:rsid w:val="00EF7FB2"/>
    <w:rsid w:val="00F00021"/>
    <w:rsid w:val="00F0004A"/>
    <w:rsid w:val="00F00179"/>
    <w:rsid w:val="00F001C4"/>
    <w:rsid w:val="00F004DE"/>
    <w:rsid w:val="00F004DF"/>
    <w:rsid w:val="00F00573"/>
    <w:rsid w:val="00F0063D"/>
    <w:rsid w:val="00F00B17"/>
    <w:rsid w:val="00F00B7D"/>
    <w:rsid w:val="00F00C87"/>
    <w:rsid w:val="00F00C8C"/>
    <w:rsid w:val="00F00F97"/>
    <w:rsid w:val="00F00FED"/>
    <w:rsid w:val="00F01089"/>
    <w:rsid w:val="00F0136B"/>
    <w:rsid w:val="00F01385"/>
    <w:rsid w:val="00F013C6"/>
    <w:rsid w:val="00F01494"/>
    <w:rsid w:val="00F0159C"/>
    <w:rsid w:val="00F016D2"/>
    <w:rsid w:val="00F01F78"/>
    <w:rsid w:val="00F02052"/>
    <w:rsid w:val="00F0209B"/>
    <w:rsid w:val="00F020E3"/>
    <w:rsid w:val="00F02305"/>
    <w:rsid w:val="00F0236B"/>
    <w:rsid w:val="00F02B96"/>
    <w:rsid w:val="00F02C13"/>
    <w:rsid w:val="00F02C61"/>
    <w:rsid w:val="00F02D06"/>
    <w:rsid w:val="00F02D31"/>
    <w:rsid w:val="00F03050"/>
    <w:rsid w:val="00F0338F"/>
    <w:rsid w:val="00F03551"/>
    <w:rsid w:val="00F038E8"/>
    <w:rsid w:val="00F039B4"/>
    <w:rsid w:val="00F03CD1"/>
    <w:rsid w:val="00F03EF3"/>
    <w:rsid w:val="00F03F17"/>
    <w:rsid w:val="00F041B4"/>
    <w:rsid w:val="00F0451C"/>
    <w:rsid w:val="00F04596"/>
    <w:rsid w:val="00F048B7"/>
    <w:rsid w:val="00F04D45"/>
    <w:rsid w:val="00F04F57"/>
    <w:rsid w:val="00F05068"/>
    <w:rsid w:val="00F051BD"/>
    <w:rsid w:val="00F054F6"/>
    <w:rsid w:val="00F055C8"/>
    <w:rsid w:val="00F05679"/>
    <w:rsid w:val="00F05945"/>
    <w:rsid w:val="00F05BD4"/>
    <w:rsid w:val="00F05C48"/>
    <w:rsid w:val="00F05D3C"/>
    <w:rsid w:val="00F05D43"/>
    <w:rsid w:val="00F05E3F"/>
    <w:rsid w:val="00F0606B"/>
    <w:rsid w:val="00F06208"/>
    <w:rsid w:val="00F0650B"/>
    <w:rsid w:val="00F066C5"/>
    <w:rsid w:val="00F06854"/>
    <w:rsid w:val="00F06EE6"/>
    <w:rsid w:val="00F07140"/>
    <w:rsid w:val="00F07149"/>
    <w:rsid w:val="00F071E6"/>
    <w:rsid w:val="00F072D3"/>
    <w:rsid w:val="00F07395"/>
    <w:rsid w:val="00F073DF"/>
    <w:rsid w:val="00F07510"/>
    <w:rsid w:val="00F0757F"/>
    <w:rsid w:val="00F07775"/>
    <w:rsid w:val="00F07E55"/>
    <w:rsid w:val="00F07F7E"/>
    <w:rsid w:val="00F102A8"/>
    <w:rsid w:val="00F1035D"/>
    <w:rsid w:val="00F109BE"/>
    <w:rsid w:val="00F10C6D"/>
    <w:rsid w:val="00F10EE7"/>
    <w:rsid w:val="00F11212"/>
    <w:rsid w:val="00F113AB"/>
    <w:rsid w:val="00F114B1"/>
    <w:rsid w:val="00F1161C"/>
    <w:rsid w:val="00F11663"/>
    <w:rsid w:val="00F116F4"/>
    <w:rsid w:val="00F11788"/>
    <w:rsid w:val="00F11A13"/>
    <w:rsid w:val="00F11AC2"/>
    <w:rsid w:val="00F11B9A"/>
    <w:rsid w:val="00F11BFD"/>
    <w:rsid w:val="00F11C2C"/>
    <w:rsid w:val="00F11D57"/>
    <w:rsid w:val="00F11F3D"/>
    <w:rsid w:val="00F11F61"/>
    <w:rsid w:val="00F12220"/>
    <w:rsid w:val="00F12236"/>
    <w:rsid w:val="00F12544"/>
    <w:rsid w:val="00F12545"/>
    <w:rsid w:val="00F12601"/>
    <w:rsid w:val="00F128FE"/>
    <w:rsid w:val="00F12969"/>
    <w:rsid w:val="00F129B4"/>
    <w:rsid w:val="00F12B37"/>
    <w:rsid w:val="00F12B86"/>
    <w:rsid w:val="00F12D01"/>
    <w:rsid w:val="00F12F7C"/>
    <w:rsid w:val="00F12F90"/>
    <w:rsid w:val="00F13307"/>
    <w:rsid w:val="00F13348"/>
    <w:rsid w:val="00F133D5"/>
    <w:rsid w:val="00F1374B"/>
    <w:rsid w:val="00F137F2"/>
    <w:rsid w:val="00F13827"/>
    <w:rsid w:val="00F13BD7"/>
    <w:rsid w:val="00F13D1E"/>
    <w:rsid w:val="00F13D2C"/>
    <w:rsid w:val="00F13FB7"/>
    <w:rsid w:val="00F13FC2"/>
    <w:rsid w:val="00F14385"/>
    <w:rsid w:val="00F1481D"/>
    <w:rsid w:val="00F148D7"/>
    <w:rsid w:val="00F14AE1"/>
    <w:rsid w:val="00F14BCC"/>
    <w:rsid w:val="00F14DEC"/>
    <w:rsid w:val="00F14E12"/>
    <w:rsid w:val="00F14ED5"/>
    <w:rsid w:val="00F154BE"/>
    <w:rsid w:val="00F1550E"/>
    <w:rsid w:val="00F157C8"/>
    <w:rsid w:val="00F1584A"/>
    <w:rsid w:val="00F159E3"/>
    <w:rsid w:val="00F15C02"/>
    <w:rsid w:val="00F15CE7"/>
    <w:rsid w:val="00F15DF6"/>
    <w:rsid w:val="00F15E5E"/>
    <w:rsid w:val="00F15FB2"/>
    <w:rsid w:val="00F165A2"/>
    <w:rsid w:val="00F165AE"/>
    <w:rsid w:val="00F16785"/>
    <w:rsid w:val="00F16825"/>
    <w:rsid w:val="00F1698A"/>
    <w:rsid w:val="00F16B04"/>
    <w:rsid w:val="00F16B2F"/>
    <w:rsid w:val="00F16C5A"/>
    <w:rsid w:val="00F16C6E"/>
    <w:rsid w:val="00F16CAD"/>
    <w:rsid w:val="00F16CEC"/>
    <w:rsid w:val="00F16D2C"/>
    <w:rsid w:val="00F16DD2"/>
    <w:rsid w:val="00F16E92"/>
    <w:rsid w:val="00F16F4D"/>
    <w:rsid w:val="00F1731C"/>
    <w:rsid w:val="00F173FE"/>
    <w:rsid w:val="00F17883"/>
    <w:rsid w:val="00F17A96"/>
    <w:rsid w:val="00F17B3E"/>
    <w:rsid w:val="00F17BBE"/>
    <w:rsid w:val="00F17F97"/>
    <w:rsid w:val="00F200E2"/>
    <w:rsid w:val="00F20268"/>
    <w:rsid w:val="00F20455"/>
    <w:rsid w:val="00F205AC"/>
    <w:rsid w:val="00F205DB"/>
    <w:rsid w:val="00F2061B"/>
    <w:rsid w:val="00F20657"/>
    <w:rsid w:val="00F20778"/>
    <w:rsid w:val="00F20CC3"/>
    <w:rsid w:val="00F20FFA"/>
    <w:rsid w:val="00F21063"/>
    <w:rsid w:val="00F21098"/>
    <w:rsid w:val="00F219C5"/>
    <w:rsid w:val="00F21C6E"/>
    <w:rsid w:val="00F21FA0"/>
    <w:rsid w:val="00F2216D"/>
    <w:rsid w:val="00F2222B"/>
    <w:rsid w:val="00F22253"/>
    <w:rsid w:val="00F2237D"/>
    <w:rsid w:val="00F228D4"/>
    <w:rsid w:val="00F2295F"/>
    <w:rsid w:val="00F22DDF"/>
    <w:rsid w:val="00F22E32"/>
    <w:rsid w:val="00F22ED6"/>
    <w:rsid w:val="00F22EDF"/>
    <w:rsid w:val="00F22F9B"/>
    <w:rsid w:val="00F23047"/>
    <w:rsid w:val="00F230E6"/>
    <w:rsid w:val="00F230EB"/>
    <w:rsid w:val="00F2313A"/>
    <w:rsid w:val="00F231EB"/>
    <w:rsid w:val="00F23663"/>
    <w:rsid w:val="00F2381F"/>
    <w:rsid w:val="00F23A40"/>
    <w:rsid w:val="00F23DE1"/>
    <w:rsid w:val="00F23E14"/>
    <w:rsid w:val="00F241C1"/>
    <w:rsid w:val="00F2427C"/>
    <w:rsid w:val="00F246C2"/>
    <w:rsid w:val="00F246CA"/>
    <w:rsid w:val="00F247B9"/>
    <w:rsid w:val="00F2489A"/>
    <w:rsid w:val="00F248D2"/>
    <w:rsid w:val="00F24932"/>
    <w:rsid w:val="00F24B5E"/>
    <w:rsid w:val="00F24C1A"/>
    <w:rsid w:val="00F24C8F"/>
    <w:rsid w:val="00F24DFD"/>
    <w:rsid w:val="00F24E1A"/>
    <w:rsid w:val="00F24ED6"/>
    <w:rsid w:val="00F2526E"/>
    <w:rsid w:val="00F25278"/>
    <w:rsid w:val="00F252CE"/>
    <w:rsid w:val="00F253F9"/>
    <w:rsid w:val="00F25823"/>
    <w:rsid w:val="00F25A2F"/>
    <w:rsid w:val="00F25A6D"/>
    <w:rsid w:val="00F25A76"/>
    <w:rsid w:val="00F25AE4"/>
    <w:rsid w:val="00F25C73"/>
    <w:rsid w:val="00F25D5C"/>
    <w:rsid w:val="00F25F8C"/>
    <w:rsid w:val="00F26154"/>
    <w:rsid w:val="00F26643"/>
    <w:rsid w:val="00F26673"/>
    <w:rsid w:val="00F267B2"/>
    <w:rsid w:val="00F26A41"/>
    <w:rsid w:val="00F26A56"/>
    <w:rsid w:val="00F26DF5"/>
    <w:rsid w:val="00F26F31"/>
    <w:rsid w:val="00F26F7D"/>
    <w:rsid w:val="00F27095"/>
    <w:rsid w:val="00F2743E"/>
    <w:rsid w:val="00F2744D"/>
    <w:rsid w:val="00F2758B"/>
    <w:rsid w:val="00F2788B"/>
    <w:rsid w:val="00F278E2"/>
    <w:rsid w:val="00F278FE"/>
    <w:rsid w:val="00F279B0"/>
    <w:rsid w:val="00F27C0D"/>
    <w:rsid w:val="00F27DFA"/>
    <w:rsid w:val="00F27E3B"/>
    <w:rsid w:val="00F3014D"/>
    <w:rsid w:val="00F3028B"/>
    <w:rsid w:val="00F3056A"/>
    <w:rsid w:val="00F306A1"/>
    <w:rsid w:val="00F307A5"/>
    <w:rsid w:val="00F308CE"/>
    <w:rsid w:val="00F30918"/>
    <w:rsid w:val="00F30A41"/>
    <w:rsid w:val="00F30A61"/>
    <w:rsid w:val="00F30C94"/>
    <w:rsid w:val="00F30DF6"/>
    <w:rsid w:val="00F311F4"/>
    <w:rsid w:val="00F31284"/>
    <w:rsid w:val="00F312FD"/>
    <w:rsid w:val="00F314D3"/>
    <w:rsid w:val="00F314EB"/>
    <w:rsid w:val="00F3164F"/>
    <w:rsid w:val="00F31708"/>
    <w:rsid w:val="00F31786"/>
    <w:rsid w:val="00F317A6"/>
    <w:rsid w:val="00F31874"/>
    <w:rsid w:val="00F31F32"/>
    <w:rsid w:val="00F32050"/>
    <w:rsid w:val="00F3209B"/>
    <w:rsid w:val="00F32181"/>
    <w:rsid w:val="00F32194"/>
    <w:rsid w:val="00F324CF"/>
    <w:rsid w:val="00F3255A"/>
    <w:rsid w:val="00F326CC"/>
    <w:rsid w:val="00F32722"/>
    <w:rsid w:val="00F32984"/>
    <w:rsid w:val="00F32988"/>
    <w:rsid w:val="00F32A02"/>
    <w:rsid w:val="00F32C08"/>
    <w:rsid w:val="00F32D92"/>
    <w:rsid w:val="00F32E8E"/>
    <w:rsid w:val="00F32E9F"/>
    <w:rsid w:val="00F32FAA"/>
    <w:rsid w:val="00F3308A"/>
    <w:rsid w:val="00F33200"/>
    <w:rsid w:val="00F332D5"/>
    <w:rsid w:val="00F333CC"/>
    <w:rsid w:val="00F333DD"/>
    <w:rsid w:val="00F3363D"/>
    <w:rsid w:val="00F33702"/>
    <w:rsid w:val="00F33706"/>
    <w:rsid w:val="00F338ED"/>
    <w:rsid w:val="00F33AAD"/>
    <w:rsid w:val="00F33B4A"/>
    <w:rsid w:val="00F33C81"/>
    <w:rsid w:val="00F33FD6"/>
    <w:rsid w:val="00F344FF"/>
    <w:rsid w:val="00F34548"/>
    <w:rsid w:val="00F34581"/>
    <w:rsid w:val="00F345E5"/>
    <w:rsid w:val="00F34812"/>
    <w:rsid w:val="00F34971"/>
    <w:rsid w:val="00F34AA4"/>
    <w:rsid w:val="00F34BC4"/>
    <w:rsid w:val="00F34DD2"/>
    <w:rsid w:val="00F34F19"/>
    <w:rsid w:val="00F350F7"/>
    <w:rsid w:val="00F35218"/>
    <w:rsid w:val="00F35447"/>
    <w:rsid w:val="00F356C8"/>
    <w:rsid w:val="00F35704"/>
    <w:rsid w:val="00F35C60"/>
    <w:rsid w:val="00F35CA7"/>
    <w:rsid w:val="00F35E0D"/>
    <w:rsid w:val="00F35F19"/>
    <w:rsid w:val="00F35F49"/>
    <w:rsid w:val="00F36164"/>
    <w:rsid w:val="00F361CA"/>
    <w:rsid w:val="00F36288"/>
    <w:rsid w:val="00F3652E"/>
    <w:rsid w:val="00F3653D"/>
    <w:rsid w:val="00F3681D"/>
    <w:rsid w:val="00F36845"/>
    <w:rsid w:val="00F36ABD"/>
    <w:rsid w:val="00F36B94"/>
    <w:rsid w:val="00F36BE4"/>
    <w:rsid w:val="00F3711C"/>
    <w:rsid w:val="00F37261"/>
    <w:rsid w:val="00F37475"/>
    <w:rsid w:val="00F37685"/>
    <w:rsid w:val="00F37723"/>
    <w:rsid w:val="00F37861"/>
    <w:rsid w:val="00F378AF"/>
    <w:rsid w:val="00F379CF"/>
    <w:rsid w:val="00F37A87"/>
    <w:rsid w:val="00F37E63"/>
    <w:rsid w:val="00F37E9B"/>
    <w:rsid w:val="00F37F13"/>
    <w:rsid w:val="00F37F2C"/>
    <w:rsid w:val="00F37FDE"/>
    <w:rsid w:val="00F4004D"/>
    <w:rsid w:val="00F40337"/>
    <w:rsid w:val="00F4057E"/>
    <w:rsid w:val="00F405FC"/>
    <w:rsid w:val="00F4066B"/>
    <w:rsid w:val="00F4087C"/>
    <w:rsid w:val="00F408A9"/>
    <w:rsid w:val="00F40911"/>
    <w:rsid w:val="00F40996"/>
    <w:rsid w:val="00F40AF5"/>
    <w:rsid w:val="00F40CC3"/>
    <w:rsid w:val="00F410FA"/>
    <w:rsid w:val="00F4120C"/>
    <w:rsid w:val="00F412C4"/>
    <w:rsid w:val="00F413B1"/>
    <w:rsid w:val="00F4145F"/>
    <w:rsid w:val="00F41467"/>
    <w:rsid w:val="00F4146D"/>
    <w:rsid w:val="00F41727"/>
    <w:rsid w:val="00F418A9"/>
    <w:rsid w:val="00F41956"/>
    <w:rsid w:val="00F41A1F"/>
    <w:rsid w:val="00F41B1E"/>
    <w:rsid w:val="00F41BE5"/>
    <w:rsid w:val="00F41DFD"/>
    <w:rsid w:val="00F41F8A"/>
    <w:rsid w:val="00F41FCC"/>
    <w:rsid w:val="00F42514"/>
    <w:rsid w:val="00F42815"/>
    <w:rsid w:val="00F42B28"/>
    <w:rsid w:val="00F42C0A"/>
    <w:rsid w:val="00F42D7D"/>
    <w:rsid w:val="00F42DF9"/>
    <w:rsid w:val="00F42E5D"/>
    <w:rsid w:val="00F42E9E"/>
    <w:rsid w:val="00F42EE9"/>
    <w:rsid w:val="00F4328A"/>
    <w:rsid w:val="00F432EA"/>
    <w:rsid w:val="00F43532"/>
    <w:rsid w:val="00F437A8"/>
    <w:rsid w:val="00F438D1"/>
    <w:rsid w:val="00F4392A"/>
    <w:rsid w:val="00F43C2F"/>
    <w:rsid w:val="00F43E34"/>
    <w:rsid w:val="00F43F02"/>
    <w:rsid w:val="00F44096"/>
    <w:rsid w:val="00F448A2"/>
    <w:rsid w:val="00F44B4C"/>
    <w:rsid w:val="00F44B7D"/>
    <w:rsid w:val="00F44BC3"/>
    <w:rsid w:val="00F44E02"/>
    <w:rsid w:val="00F44E1E"/>
    <w:rsid w:val="00F44EF3"/>
    <w:rsid w:val="00F45020"/>
    <w:rsid w:val="00F450AC"/>
    <w:rsid w:val="00F452B2"/>
    <w:rsid w:val="00F45444"/>
    <w:rsid w:val="00F45524"/>
    <w:rsid w:val="00F45648"/>
    <w:rsid w:val="00F458AF"/>
    <w:rsid w:val="00F458D2"/>
    <w:rsid w:val="00F45A8D"/>
    <w:rsid w:val="00F45B0A"/>
    <w:rsid w:val="00F45D89"/>
    <w:rsid w:val="00F46367"/>
    <w:rsid w:val="00F468B4"/>
    <w:rsid w:val="00F46A35"/>
    <w:rsid w:val="00F46AA7"/>
    <w:rsid w:val="00F46AAB"/>
    <w:rsid w:val="00F46B99"/>
    <w:rsid w:val="00F46D08"/>
    <w:rsid w:val="00F46E7F"/>
    <w:rsid w:val="00F47012"/>
    <w:rsid w:val="00F4762E"/>
    <w:rsid w:val="00F4765A"/>
    <w:rsid w:val="00F4780D"/>
    <w:rsid w:val="00F479EC"/>
    <w:rsid w:val="00F47CED"/>
    <w:rsid w:val="00F47D9D"/>
    <w:rsid w:val="00F47F6E"/>
    <w:rsid w:val="00F47FDA"/>
    <w:rsid w:val="00F5007B"/>
    <w:rsid w:val="00F502C3"/>
    <w:rsid w:val="00F50467"/>
    <w:rsid w:val="00F50767"/>
    <w:rsid w:val="00F50779"/>
    <w:rsid w:val="00F50782"/>
    <w:rsid w:val="00F507ED"/>
    <w:rsid w:val="00F509C7"/>
    <w:rsid w:val="00F50A4D"/>
    <w:rsid w:val="00F50C37"/>
    <w:rsid w:val="00F50CCC"/>
    <w:rsid w:val="00F510E9"/>
    <w:rsid w:val="00F511CB"/>
    <w:rsid w:val="00F5146E"/>
    <w:rsid w:val="00F5158D"/>
    <w:rsid w:val="00F51648"/>
    <w:rsid w:val="00F51706"/>
    <w:rsid w:val="00F51797"/>
    <w:rsid w:val="00F51A1D"/>
    <w:rsid w:val="00F51BB3"/>
    <w:rsid w:val="00F520D6"/>
    <w:rsid w:val="00F521B7"/>
    <w:rsid w:val="00F5239C"/>
    <w:rsid w:val="00F52743"/>
    <w:rsid w:val="00F527B8"/>
    <w:rsid w:val="00F52A4E"/>
    <w:rsid w:val="00F52DFF"/>
    <w:rsid w:val="00F5332C"/>
    <w:rsid w:val="00F5365C"/>
    <w:rsid w:val="00F537A9"/>
    <w:rsid w:val="00F539D5"/>
    <w:rsid w:val="00F53B97"/>
    <w:rsid w:val="00F53C21"/>
    <w:rsid w:val="00F53C35"/>
    <w:rsid w:val="00F53DC8"/>
    <w:rsid w:val="00F53E65"/>
    <w:rsid w:val="00F540E1"/>
    <w:rsid w:val="00F54129"/>
    <w:rsid w:val="00F5422B"/>
    <w:rsid w:val="00F54356"/>
    <w:rsid w:val="00F546F0"/>
    <w:rsid w:val="00F547BD"/>
    <w:rsid w:val="00F548AD"/>
    <w:rsid w:val="00F549E4"/>
    <w:rsid w:val="00F54B4B"/>
    <w:rsid w:val="00F54CDD"/>
    <w:rsid w:val="00F54CF2"/>
    <w:rsid w:val="00F551EB"/>
    <w:rsid w:val="00F55496"/>
    <w:rsid w:val="00F554BD"/>
    <w:rsid w:val="00F55515"/>
    <w:rsid w:val="00F5557A"/>
    <w:rsid w:val="00F555D8"/>
    <w:rsid w:val="00F557F7"/>
    <w:rsid w:val="00F55A75"/>
    <w:rsid w:val="00F55E75"/>
    <w:rsid w:val="00F56075"/>
    <w:rsid w:val="00F56157"/>
    <w:rsid w:val="00F562DC"/>
    <w:rsid w:val="00F563FC"/>
    <w:rsid w:val="00F56445"/>
    <w:rsid w:val="00F56481"/>
    <w:rsid w:val="00F5652F"/>
    <w:rsid w:val="00F56859"/>
    <w:rsid w:val="00F5687A"/>
    <w:rsid w:val="00F568F5"/>
    <w:rsid w:val="00F56967"/>
    <w:rsid w:val="00F56AC6"/>
    <w:rsid w:val="00F56EAD"/>
    <w:rsid w:val="00F570CD"/>
    <w:rsid w:val="00F57258"/>
    <w:rsid w:val="00F57855"/>
    <w:rsid w:val="00F57E3D"/>
    <w:rsid w:val="00F600D4"/>
    <w:rsid w:val="00F60213"/>
    <w:rsid w:val="00F60252"/>
    <w:rsid w:val="00F60262"/>
    <w:rsid w:val="00F60361"/>
    <w:rsid w:val="00F603CF"/>
    <w:rsid w:val="00F60677"/>
    <w:rsid w:val="00F607A9"/>
    <w:rsid w:val="00F60897"/>
    <w:rsid w:val="00F608CD"/>
    <w:rsid w:val="00F60C79"/>
    <w:rsid w:val="00F60CE7"/>
    <w:rsid w:val="00F61622"/>
    <w:rsid w:val="00F6177C"/>
    <w:rsid w:val="00F619D2"/>
    <w:rsid w:val="00F619F7"/>
    <w:rsid w:val="00F61BC8"/>
    <w:rsid w:val="00F61C8C"/>
    <w:rsid w:val="00F61CB8"/>
    <w:rsid w:val="00F62083"/>
    <w:rsid w:val="00F623A8"/>
    <w:rsid w:val="00F62643"/>
    <w:rsid w:val="00F62A59"/>
    <w:rsid w:val="00F62AE7"/>
    <w:rsid w:val="00F62D02"/>
    <w:rsid w:val="00F62EB6"/>
    <w:rsid w:val="00F62F0E"/>
    <w:rsid w:val="00F62F2E"/>
    <w:rsid w:val="00F62F53"/>
    <w:rsid w:val="00F630FD"/>
    <w:rsid w:val="00F6319E"/>
    <w:rsid w:val="00F63448"/>
    <w:rsid w:val="00F634BE"/>
    <w:rsid w:val="00F63566"/>
    <w:rsid w:val="00F6361B"/>
    <w:rsid w:val="00F636A4"/>
    <w:rsid w:val="00F637B7"/>
    <w:rsid w:val="00F63AC5"/>
    <w:rsid w:val="00F63DE7"/>
    <w:rsid w:val="00F63E20"/>
    <w:rsid w:val="00F63E5E"/>
    <w:rsid w:val="00F6420A"/>
    <w:rsid w:val="00F64317"/>
    <w:rsid w:val="00F6442D"/>
    <w:rsid w:val="00F64496"/>
    <w:rsid w:val="00F6449D"/>
    <w:rsid w:val="00F645B5"/>
    <w:rsid w:val="00F6470F"/>
    <w:rsid w:val="00F64732"/>
    <w:rsid w:val="00F649DC"/>
    <w:rsid w:val="00F64A08"/>
    <w:rsid w:val="00F6525B"/>
    <w:rsid w:val="00F6534D"/>
    <w:rsid w:val="00F65498"/>
    <w:rsid w:val="00F654CB"/>
    <w:rsid w:val="00F655DF"/>
    <w:rsid w:val="00F655FC"/>
    <w:rsid w:val="00F6564E"/>
    <w:rsid w:val="00F6566A"/>
    <w:rsid w:val="00F6576B"/>
    <w:rsid w:val="00F658BC"/>
    <w:rsid w:val="00F65BB9"/>
    <w:rsid w:val="00F65FFA"/>
    <w:rsid w:val="00F66090"/>
    <w:rsid w:val="00F66144"/>
    <w:rsid w:val="00F661E2"/>
    <w:rsid w:val="00F66468"/>
    <w:rsid w:val="00F66C58"/>
    <w:rsid w:val="00F66E37"/>
    <w:rsid w:val="00F66EB4"/>
    <w:rsid w:val="00F66ECF"/>
    <w:rsid w:val="00F66F47"/>
    <w:rsid w:val="00F67214"/>
    <w:rsid w:val="00F673B1"/>
    <w:rsid w:val="00F673D0"/>
    <w:rsid w:val="00F67872"/>
    <w:rsid w:val="00F678A2"/>
    <w:rsid w:val="00F67A09"/>
    <w:rsid w:val="00F67A2E"/>
    <w:rsid w:val="00F67D5B"/>
    <w:rsid w:val="00F67F56"/>
    <w:rsid w:val="00F70081"/>
    <w:rsid w:val="00F70177"/>
    <w:rsid w:val="00F701F9"/>
    <w:rsid w:val="00F704A3"/>
    <w:rsid w:val="00F70869"/>
    <w:rsid w:val="00F70B7E"/>
    <w:rsid w:val="00F70CF0"/>
    <w:rsid w:val="00F70D1B"/>
    <w:rsid w:val="00F70FE5"/>
    <w:rsid w:val="00F7126C"/>
    <w:rsid w:val="00F7135C"/>
    <w:rsid w:val="00F71518"/>
    <w:rsid w:val="00F71567"/>
    <w:rsid w:val="00F716E1"/>
    <w:rsid w:val="00F71931"/>
    <w:rsid w:val="00F71D96"/>
    <w:rsid w:val="00F71ED0"/>
    <w:rsid w:val="00F71EDB"/>
    <w:rsid w:val="00F7223C"/>
    <w:rsid w:val="00F724CE"/>
    <w:rsid w:val="00F72A29"/>
    <w:rsid w:val="00F72B41"/>
    <w:rsid w:val="00F73349"/>
    <w:rsid w:val="00F733AD"/>
    <w:rsid w:val="00F73827"/>
    <w:rsid w:val="00F738EA"/>
    <w:rsid w:val="00F739F6"/>
    <w:rsid w:val="00F73AC5"/>
    <w:rsid w:val="00F73AC7"/>
    <w:rsid w:val="00F73DCB"/>
    <w:rsid w:val="00F73EEE"/>
    <w:rsid w:val="00F74389"/>
    <w:rsid w:val="00F74409"/>
    <w:rsid w:val="00F74518"/>
    <w:rsid w:val="00F74559"/>
    <w:rsid w:val="00F7461C"/>
    <w:rsid w:val="00F746BA"/>
    <w:rsid w:val="00F749CC"/>
    <w:rsid w:val="00F74CC6"/>
    <w:rsid w:val="00F74D99"/>
    <w:rsid w:val="00F74FE3"/>
    <w:rsid w:val="00F75160"/>
    <w:rsid w:val="00F753B6"/>
    <w:rsid w:val="00F7563E"/>
    <w:rsid w:val="00F756C7"/>
    <w:rsid w:val="00F75D8F"/>
    <w:rsid w:val="00F7632B"/>
    <w:rsid w:val="00F76349"/>
    <w:rsid w:val="00F7634B"/>
    <w:rsid w:val="00F765AC"/>
    <w:rsid w:val="00F7673F"/>
    <w:rsid w:val="00F76834"/>
    <w:rsid w:val="00F76838"/>
    <w:rsid w:val="00F76A55"/>
    <w:rsid w:val="00F76B32"/>
    <w:rsid w:val="00F76F81"/>
    <w:rsid w:val="00F770CC"/>
    <w:rsid w:val="00F77611"/>
    <w:rsid w:val="00F77867"/>
    <w:rsid w:val="00F7786C"/>
    <w:rsid w:val="00F779B6"/>
    <w:rsid w:val="00F77A63"/>
    <w:rsid w:val="00F77BE5"/>
    <w:rsid w:val="00F77E0A"/>
    <w:rsid w:val="00F77E5F"/>
    <w:rsid w:val="00F800D0"/>
    <w:rsid w:val="00F80312"/>
    <w:rsid w:val="00F80380"/>
    <w:rsid w:val="00F803EF"/>
    <w:rsid w:val="00F80492"/>
    <w:rsid w:val="00F805EA"/>
    <w:rsid w:val="00F80682"/>
    <w:rsid w:val="00F807DE"/>
    <w:rsid w:val="00F80BCC"/>
    <w:rsid w:val="00F81022"/>
    <w:rsid w:val="00F8105B"/>
    <w:rsid w:val="00F811D1"/>
    <w:rsid w:val="00F81212"/>
    <w:rsid w:val="00F81231"/>
    <w:rsid w:val="00F81233"/>
    <w:rsid w:val="00F812E0"/>
    <w:rsid w:val="00F81313"/>
    <w:rsid w:val="00F8135E"/>
    <w:rsid w:val="00F8149F"/>
    <w:rsid w:val="00F81C77"/>
    <w:rsid w:val="00F81E19"/>
    <w:rsid w:val="00F81E7A"/>
    <w:rsid w:val="00F81E7E"/>
    <w:rsid w:val="00F81F54"/>
    <w:rsid w:val="00F81F6F"/>
    <w:rsid w:val="00F82216"/>
    <w:rsid w:val="00F824E4"/>
    <w:rsid w:val="00F82615"/>
    <w:rsid w:val="00F82629"/>
    <w:rsid w:val="00F8267C"/>
    <w:rsid w:val="00F82882"/>
    <w:rsid w:val="00F82D8B"/>
    <w:rsid w:val="00F82D9A"/>
    <w:rsid w:val="00F82F69"/>
    <w:rsid w:val="00F83120"/>
    <w:rsid w:val="00F831E9"/>
    <w:rsid w:val="00F834D4"/>
    <w:rsid w:val="00F83730"/>
    <w:rsid w:val="00F83C24"/>
    <w:rsid w:val="00F84224"/>
    <w:rsid w:val="00F8425C"/>
    <w:rsid w:val="00F8464E"/>
    <w:rsid w:val="00F846BE"/>
    <w:rsid w:val="00F84A21"/>
    <w:rsid w:val="00F84C66"/>
    <w:rsid w:val="00F84D0B"/>
    <w:rsid w:val="00F84D5A"/>
    <w:rsid w:val="00F851E1"/>
    <w:rsid w:val="00F851F0"/>
    <w:rsid w:val="00F8526F"/>
    <w:rsid w:val="00F8532C"/>
    <w:rsid w:val="00F85357"/>
    <w:rsid w:val="00F85796"/>
    <w:rsid w:val="00F8582A"/>
    <w:rsid w:val="00F858A1"/>
    <w:rsid w:val="00F8594F"/>
    <w:rsid w:val="00F85A3F"/>
    <w:rsid w:val="00F85AED"/>
    <w:rsid w:val="00F85B7A"/>
    <w:rsid w:val="00F85DC5"/>
    <w:rsid w:val="00F85FAA"/>
    <w:rsid w:val="00F86220"/>
    <w:rsid w:val="00F863A9"/>
    <w:rsid w:val="00F8646D"/>
    <w:rsid w:val="00F866EA"/>
    <w:rsid w:val="00F86886"/>
    <w:rsid w:val="00F86A63"/>
    <w:rsid w:val="00F86EE8"/>
    <w:rsid w:val="00F872C1"/>
    <w:rsid w:val="00F87423"/>
    <w:rsid w:val="00F874CD"/>
    <w:rsid w:val="00F8752D"/>
    <w:rsid w:val="00F877BC"/>
    <w:rsid w:val="00F877F1"/>
    <w:rsid w:val="00F87833"/>
    <w:rsid w:val="00F8784E"/>
    <w:rsid w:val="00F8787B"/>
    <w:rsid w:val="00F87988"/>
    <w:rsid w:val="00F87AD0"/>
    <w:rsid w:val="00F87C06"/>
    <w:rsid w:val="00F87F46"/>
    <w:rsid w:val="00F90130"/>
    <w:rsid w:val="00F90253"/>
    <w:rsid w:val="00F902DB"/>
    <w:rsid w:val="00F90368"/>
    <w:rsid w:val="00F903AF"/>
    <w:rsid w:val="00F903EC"/>
    <w:rsid w:val="00F9065F"/>
    <w:rsid w:val="00F90800"/>
    <w:rsid w:val="00F90A9C"/>
    <w:rsid w:val="00F90BA9"/>
    <w:rsid w:val="00F90F5E"/>
    <w:rsid w:val="00F91745"/>
    <w:rsid w:val="00F91754"/>
    <w:rsid w:val="00F91757"/>
    <w:rsid w:val="00F91AD1"/>
    <w:rsid w:val="00F9239C"/>
    <w:rsid w:val="00F92481"/>
    <w:rsid w:val="00F92AC6"/>
    <w:rsid w:val="00F92B94"/>
    <w:rsid w:val="00F92BBE"/>
    <w:rsid w:val="00F92E32"/>
    <w:rsid w:val="00F92FEF"/>
    <w:rsid w:val="00F93126"/>
    <w:rsid w:val="00F93656"/>
    <w:rsid w:val="00F9397D"/>
    <w:rsid w:val="00F93B09"/>
    <w:rsid w:val="00F93DCC"/>
    <w:rsid w:val="00F93E71"/>
    <w:rsid w:val="00F94027"/>
    <w:rsid w:val="00F941A8"/>
    <w:rsid w:val="00F942BF"/>
    <w:rsid w:val="00F94338"/>
    <w:rsid w:val="00F94379"/>
    <w:rsid w:val="00F9443A"/>
    <w:rsid w:val="00F94481"/>
    <w:rsid w:val="00F944B5"/>
    <w:rsid w:val="00F94977"/>
    <w:rsid w:val="00F94BD6"/>
    <w:rsid w:val="00F94D85"/>
    <w:rsid w:val="00F95122"/>
    <w:rsid w:val="00F9528C"/>
    <w:rsid w:val="00F952CA"/>
    <w:rsid w:val="00F952DC"/>
    <w:rsid w:val="00F95489"/>
    <w:rsid w:val="00F954D6"/>
    <w:rsid w:val="00F957AF"/>
    <w:rsid w:val="00F959B5"/>
    <w:rsid w:val="00F95A9B"/>
    <w:rsid w:val="00F95B67"/>
    <w:rsid w:val="00F95C7F"/>
    <w:rsid w:val="00F95CFB"/>
    <w:rsid w:val="00F95E6F"/>
    <w:rsid w:val="00F95EB5"/>
    <w:rsid w:val="00F96038"/>
    <w:rsid w:val="00F9623F"/>
    <w:rsid w:val="00F964E0"/>
    <w:rsid w:val="00F965C2"/>
    <w:rsid w:val="00F966A8"/>
    <w:rsid w:val="00F96C0C"/>
    <w:rsid w:val="00F96CC2"/>
    <w:rsid w:val="00F97136"/>
    <w:rsid w:val="00F972D3"/>
    <w:rsid w:val="00F975D0"/>
    <w:rsid w:val="00F976BD"/>
    <w:rsid w:val="00F97971"/>
    <w:rsid w:val="00F9798A"/>
    <w:rsid w:val="00F979F1"/>
    <w:rsid w:val="00F97BF7"/>
    <w:rsid w:val="00F97CF2"/>
    <w:rsid w:val="00F97E0A"/>
    <w:rsid w:val="00F97EDB"/>
    <w:rsid w:val="00FA0158"/>
    <w:rsid w:val="00FA0605"/>
    <w:rsid w:val="00FA0796"/>
    <w:rsid w:val="00FA0928"/>
    <w:rsid w:val="00FA0931"/>
    <w:rsid w:val="00FA0977"/>
    <w:rsid w:val="00FA0AD0"/>
    <w:rsid w:val="00FA0BF0"/>
    <w:rsid w:val="00FA0D47"/>
    <w:rsid w:val="00FA0E19"/>
    <w:rsid w:val="00FA0E6F"/>
    <w:rsid w:val="00FA0F1C"/>
    <w:rsid w:val="00FA10A2"/>
    <w:rsid w:val="00FA1357"/>
    <w:rsid w:val="00FA140D"/>
    <w:rsid w:val="00FA1537"/>
    <w:rsid w:val="00FA16C3"/>
    <w:rsid w:val="00FA16D0"/>
    <w:rsid w:val="00FA182B"/>
    <w:rsid w:val="00FA1A5F"/>
    <w:rsid w:val="00FA1B7A"/>
    <w:rsid w:val="00FA1C9C"/>
    <w:rsid w:val="00FA1D96"/>
    <w:rsid w:val="00FA2017"/>
    <w:rsid w:val="00FA2620"/>
    <w:rsid w:val="00FA2649"/>
    <w:rsid w:val="00FA267D"/>
    <w:rsid w:val="00FA26AA"/>
    <w:rsid w:val="00FA27E6"/>
    <w:rsid w:val="00FA283C"/>
    <w:rsid w:val="00FA2DBA"/>
    <w:rsid w:val="00FA2E4F"/>
    <w:rsid w:val="00FA2E53"/>
    <w:rsid w:val="00FA2E91"/>
    <w:rsid w:val="00FA300B"/>
    <w:rsid w:val="00FA307F"/>
    <w:rsid w:val="00FA3329"/>
    <w:rsid w:val="00FA36DD"/>
    <w:rsid w:val="00FA38BE"/>
    <w:rsid w:val="00FA3909"/>
    <w:rsid w:val="00FA3ACB"/>
    <w:rsid w:val="00FA3BD5"/>
    <w:rsid w:val="00FA3C75"/>
    <w:rsid w:val="00FA3DE1"/>
    <w:rsid w:val="00FA3E40"/>
    <w:rsid w:val="00FA3F1D"/>
    <w:rsid w:val="00FA407F"/>
    <w:rsid w:val="00FA40B4"/>
    <w:rsid w:val="00FA41E4"/>
    <w:rsid w:val="00FA4297"/>
    <w:rsid w:val="00FA42CB"/>
    <w:rsid w:val="00FA439B"/>
    <w:rsid w:val="00FA4619"/>
    <w:rsid w:val="00FA46D5"/>
    <w:rsid w:val="00FA4994"/>
    <w:rsid w:val="00FA4A23"/>
    <w:rsid w:val="00FA4AB7"/>
    <w:rsid w:val="00FA4DCC"/>
    <w:rsid w:val="00FA50E5"/>
    <w:rsid w:val="00FA5177"/>
    <w:rsid w:val="00FA51BA"/>
    <w:rsid w:val="00FA57EA"/>
    <w:rsid w:val="00FA58BB"/>
    <w:rsid w:val="00FA5C22"/>
    <w:rsid w:val="00FA5C59"/>
    <w:rsid w:val="00FA6407"/>
    <w:rsid w:val="00FA64BF"/>
    <w:rsid w:val="00FA65D0"/>
    <w:rsid w:val="00FA671F"/>
    <w:rsid w:val="00FA6928"/>
    <w:rsid w:val="00FA6A4B"/>
    <w:rsid w:val="00FA6BB0"/>
    <w:rsid w:val="00FA6D91"/>
    <w:rsid w:val="00FA6F71"/>
    <w:rsid w:val="00FA713D"/>
    <w:rsid w:val="00FA721E"/>
    <w:rsid w:val="00FA73E5"/>
    <w:rsid w:val="00FA7474"/>
    <w:rsid w:val="00FA7541"/>
    <w:rsid w:val="00FA7711"/>
    <w:rsid w:val="00FA7955"/>
    <w:rsid w:val="00FA79EF"/>
    <w:rsid w:val="00FA7A5B"/>
    <w:rsid w:val="00FA7A9B"/>
    <w:rsid w:val="00FA7D07"/>
    <w:rsid w:val="00FA7D82"/>
    <w:rsid w:val="00FA7EC0"/>
    <w:rsid w:val="00FB0353"/>
    <w:rsid w:val="00FB03F9"/>
    <w:rsid w:val="00FB0466"/>
    <w:rsid w:val="00FB0505"/>
    <w:rsid w:val="00FB07F2"/>
    <w:rsid w:val="00FB0D6A"/>
    <w:rsid w:val="00FB1095"/>
    <w:rsid w:val="00FB120D"/>
    <w:rsid w:val="00FB138F"/>
    <w:rsid w:val="00FB1602"/>
    <w:rsid w:val="00FB1744"/>
    <w:rsid w:val="00FB18C2"/>
    <w:rsid w:val="00FB1970"/>
    <w:rsid w:val="00FB19EF"/>
    <w:rsid w:val="00FB1A93"/>
    <w:rsid w:val="00FB1BE4"/>
    <w:rsid w:val="00FB1C8D"/>
    <w:rsid w:val="00FB1D75"/>
    <w:rsid w:val="00FB1F93"/>
    <w:rsid w:val="00FB1FDA"/>
    <w:rsid w:val="00FB20F1"/>
    <w:rsid w:val="00FB22DF"/>
    <w:rsid w:val="00FB23A4"/>
    <w:rsid w:val="00FB2549"/>
    <w:rsid w:val="00FB2577"/>
    <w:rsid w:val="00FB263C"/>
    <w:rsid w:val="00FB2725"/>
    <w:rsid w:val="00FB301C"/>
    <w:rsid w:val="00FB30D4"/>
    <w:rsid w:val="00FB380A"/>
    <w:rsid w:val="00FB3AAA"/>
    <w:rsid w:val="00FB3AD0"/>
    <w:rsid w:val="00FB3DDF"/>
    <w:rsid w:val="00FB3EE7"/>
    <w:rsid w:val="00FB3FFD"/>
    <w:rsid w:val="00FB424B"/>
    <w:rsid w:val="00FB44EF"/>
    <w:rsid w:val="00FB4712"/>
    <w:rsid w:val="00FB48DB"/>
    <w:rsid w:val="00FB497B"/>
    <w:rsid w:val="00FB4AE7"/>
    <w:rsid w:val="00FB4AEB"/>
    <w:rsid w:val="00FB4B45"/>
    <w:rsid w:val="00FB4BAD"/>
    <w:rsid w:val="00FB4C44"/>
    <w:rsid w:val="00FB4E43"/>
    <w:rsid w:val="00FB4EB3"/>
    <w:rsid w:val="00FB5018"/>
    <w:rsid w:val="00FB5037"/>
    <w:rsid w:val="00FB5289"/>
    <w:rsid w:val="00FB5483"/>
    <w:rsid w:val="00FB5521"/>
    <w:rsid w:val="00FB5660"/>
    <w:rsid w:val="00FB571C"/>
    <w:rsid w:val="00FB5B4E"/>
    <w:rsid w:val="00FB5CE3"/>
    <w:rsid w:val="00FB5D76"/>
    <w:rsid w:val="00FB5E1E"/>
    <w:rsid w:val="00FB5E9C"/>
    <w:rsid w:val="00FB5EBB"/>
    <w:rsid w:val="00FB66D3"/>
    <w:rsid w:val="00FB67BF"/>
    <w:rsid w:val="00FB689B"/>
    <w:rsid w:val="00FB69C7"/>
    <w:rsid w:val="00FB6EC1"/>
    <w:rsid w:val="00FB71DB"/>
    <w:rsid w:val="00FB7309"/>
    <w:rsid w:val="00FB7337"/>
    <w:rsid w:val="00FB736C"/>
    <w:rsid w:val="00FB7385"/>
    <w:rsid w:val="00FB743E"/>
    <w:rsid w:val="00FB7598"/>
    <w:rsid w:val="00FB797B"/>
    <w:rsid w:val="00FB7DEE"/>
    <w:rsid w:val="00FB7E0D"/>
    <w:rsid w:val="00FC006C"/>
    <w:rsid w:val="00FC0085"/>
    <w:rsid w:val="00FC00BE"/>
    <w:rsid w:val="00FC016C"/>
    <w:rsid w:val="00FC0217"/>
    <w:rsid w:val="00FC0304"/>
    <w:rsid w:val="00FC0677"/>
    <w:rsid w:val="00FC073A"/>
    <w:rsid w:val="00FC07D5"/>
    <w:rsid w:val="00FC0A49"/>
    <w:rsid w:val="00FC0B81"/>
    <w:rsid w:val="00FC0B9E"/>
    <w:rsid w:val="00FC0BE1"/>
    <w:rsid w:val="00FC0CF8"/>
    <w:rsid w:val="00FC0E5A"/>
    <w:rsid w:val="00FC1346"/>
    <w:rsid w:val="00FC137D"/>
    <w:rsid w:val="00FC13AE"/>
    <w:rsid w:val="00FC140D"/>
    <w:rsid w:val="00FC1437"/>
    <w:rsid w:val="00FC198B"/>
    <w:rsid w:val="00FC1E47"/>
    <w:rsid w:val="00FC1EC2"/>
    <w:rsid w:val="00FC2010"/>
    <w:rsid w:val="00FC2013"/>
    <w:rsid w:val="00FC22EF"/>
    <w:rsid w:val="00FC2571"/>
    <w:rsid w:val="00FC286E"/>
    <w:rsid w:val="00FC2974"/>
    <w:rsid w:val="00FC2B77"/>
    <w:rsid w:val="00FC2C29"/>
    <w:rsid w:val="00FC2CAD"/>
    <w:rsid w:val="00FC2F1F"/>
    <w:rsid w:val="00FC2FD1"/>
    <w:rsid w:val="00FC3055"/>
    <w:rsid w:val="00FC31EC"/>
    <w:rsid w:val="00FC3220"/>
    <w:rsid w:val="00FC32E2"/>
    <w:rsid w:val="00FC3463"/>
    <w:rsid w:val="00FC34B7"/>
    <w:rsid w:val="00FC35F1"/>
    <w:rsid w:val="00FC36D5"/>
    <w:rsid w:val="00FC393E"/>
    <w:rsid w:val="00FC3C5C"/>
    <w:rsid w:val="00FC3CAB"/>
    <w:rsid w:val="00FC3D1C"/>
    <w:rsid w:val="00FC3D7E"/>
    <w:rsid w:val="00FC41A1"/>
    <w:rsid w:val="00FC4479"/>
    <w:rsid w:val="00FC45B2"/>
    <w:rsid w:val="00FC4CC5"/>
    <w:rsid w:val="00FC4EDF"/>
    <w:rsid w:val="00FC549F"/>
    <w:rsid w:val="00FC5741"/>
    <w:rsid w:val="00FC5858"/>
    <w:rsid w:val="00FC59B2"/>
    <w:rsid w:val="00FC5B37"/>
    <w:rsid w:val="00FC5C5B"/>
    <w:rsid w:val="00FC5CB1"/>
    <w:rsid w:val="00FC5D52"/>
    <w:rsid w:val="00FC5ECE"/>
    <w:rsid w:val="00FC5F6B"/>
    <w:rsid w:val="00FC5FA6"/>
    <w:rsid w:val="00FC637E"/>
    <w:rsid w:val="00FC6418"/>
    <w:rsid w:val="00FC6560"/>
    <w:rsid w:val="00FC6694"/>
    <w:rsid w:val="00FC67A1"/>
    <w:rsid w:val="00FC68D6"/>
    <w:rsid w:val="00FC690F"/>
    <w:rsid w:val="00FC69BF"/>
    <w:rsid w:val="00FC6A2F"/>
    <w:rsid w:val="00FC6CD3"/>
    <w:rsid w:val="00FC6D5F"/>
    <w:rsid w:val="00FC6FC6"/>
    <w:rsid w:val="00FC7215"/>
    <w:rsid w:val="00FC723E"/>
    <w:rsid w:val="00FC752C"/>
    <w:rsid w:val="00FC7543"/>
    <w:rsid w:val="00FC7744"/>
    <w:rsid w:val="00FC779A"/>
    <w:rsid w:val="00FC788B"/>
    <w:rsid w:val="00FC7919"/>
    <w:rsid w:val="00FC796C"/>
    <w:rsid w:val="00FC79E2"/>
    <w:rsid w:val="00FC7A7D"/>
    <w:rsid w:val="00FC7C79"/>
    <w:rsid w:val="00FD00BF"/>
    <w:rsid w:val="00FD023F"/>
    <w:rsid w:val="00FD0397"/>
    <w:rsid w:val="00FD03C2"/>
    <w:rsid w:val="00FD052D"/>
    <w:rsid w:val="00FD05BF"/>
    <w:rsid w:val="00FD06E3"/>
    <w:rsid w:val="00FD06FF"/>
    <w:rsid w:val="00FD08AE"/>
    <w:rsid w:val="00FD0D32"/>
    <w:rsid w:val="00FD0D9D"/>
    <w:rsid w:val="00FD0E3E"/>
    <w:rsid w:val="00FD0F13"/>
    <w:rsid w:val="00FD0FC5"/>
    <w:rsid w:val="00FD127B"/>
    <w:rsid w:val="00FD1559"/>
    <w:rsid w:val="00FD15BB"/>
    <w:rsid w:val="00FD1CC0"/>
    <w:rsid w:val="00FD1F0D"/>
    <w:rsid w:val="00FD1FD4"/>
    <w:rsid w:val="00FD2069"/>
    <w:rsid w:val="00FD2073"/>
    <w:rsid w:val="00FD20EB"/>
    <w:rsid w:val="00FD20F3"/>
    <w:rsid w:val="00FD2310"/>
    <w:rsid w:val="00FD257B"/>
    <w:rsid w:val="00FD27B7"/>
    <w:rsid w:val="00FD29B5"/>
    <w:rsid w:val="00FD2AF3"/>
    <w:rsid w:val="00FD2C7B"/>
    <w:rsid w:val="00FD2CBD"/>
    <w:rsid w:val="00FD2DDE"/>
    <w:rsid w:val="00FD2E65"/>
    <w:rsid w:val="00FD305D"/>
    <w:rsid w:val="00FD31DE"/>
    <w:rsid w:val="00FD32BE"/>
    <w:rsid w:val="00FD358A"/>
    <w:rsid w:val="00FD36C5"/>
    <w:rsid w:val="00FD37CE"/>
    <w:rsid w:val="00FD381F"/>
    <w:rsid w:val="00FD38FD"/>
    <w:rsid w:val="00FD3947"/>
    <w:rsid w:val="00FD3985"/>
    <w:rsid w:val="00FD3A28"/>
    <w:rsid w:val="00FD3AFA"/>
    <w:rsid w:val="00FD3B8A"/>
    <w:rsid w:val="00FD3FEA"/>
    <w:rsid w:val="00FD403F"/>
    <w:rsid w:val="00FD4625"/>
    <w:rsid w:val="00FD46C3"/>
    <w:rsid w:val="00FD4993"/>
    <w:rsid w:val="00FD4C2C"/>
    <w:rsid w:val="00FD4CBB"/>
    <w:rsid w:val="00FD4D1D"/>
    <w:rsid w:val="00FD4E8C"/>
    <w:rsid w:val="00FD4F8A"/>
    <w:rsid w:val="00FD523A"/>
    <w:rsid w:val="00FD528A"/>
    <w:rsid w:val="00FD55C0"/>
    <w:rsid w:val="00FD5665"/>
    <w:rsid w:val="00FD56C9"/>
    <w:rsid w:val="00FD56E2"/>
    <w:rsid w:val="00FD576A"/>
    <w:rsid w:val="00FD5785"/>
    <w:rsid w:val="00FD590A"/>
    <w:rsid w:val="00FD5CC6"/>
    <w:rsid w:val="00FD5CFF"/>
    <w:rsid w:val="00FD61F9"/>
    <w:rsid w:val="00FD649E"/>
    <w:rsid w:val="00FD6824"/>
    <w:rsid w:val="00FD6845"/>
    <w:rsid w:val="00FD6978"/>
    <w:rsid w:val="00FD6A4C"/>
    <w:rsid w:val="00FD6B79"/>
    <w:rsid w:val="00FD6BE2"/>
    <w:rsid w:val="00FD6CC9"/>
    <w:rsid w:val="00FD6D19"/>
    <w:rsid w:val="00FD709E"/>
    <w:rsid w:val="00FD70EC"/>
    <w:rsid w:val="00FD720E"/>
    <w:rsid w:val="00FD747A"/>
    <w:rsid w:val="00FD7755"/>
    <w:rsid w:val="00FD796E"/>
    <w:rsid w:val="00FD79B1"/>
    <w:rsid w:val="00FD7A4F"/>
    <w:rsid w:val="00FD7BE8"/>
    <w:rsid w:val="00FD7FC1"/>
    <w:rsid w:val="00FE007D"/>
    <w:rsid w:val="00FE02E1"/>
    <w:rsid w:val="00FE0306"/>
    <w:rsid w:val="00FE03A2"/>
    <w:rsid w:val="00FE0493"/>
    <w:rsid w:val="00FE0561"/>
    <w:rsid w:val="00FE05A4"/>
    <w:rsid w:val="00FE081F"/>
    <w:rsid w:val="00FE08F2"/>
    <w:rsid w:val="00FE0A37"/>
    <w:rsid w:val="00FE0A3A"/>
    <w:rsid w:val="00FE0C00"/>
    <w:rsid w:val="00FE0C4C"/>
    <w:rsid w:val="00FE0D86"/>
    <w:rsid w:val="00FE0EB0"/>
    <w:rsid w:val="00FE0F96"/>
    <w:rsid w:val="00FE11D4"/>
    <w:rsid w:val="00FE146C"/>
    <w:rsid w:val="00FE1971"/>
    <w:rsid w:val="00FE1AB6"/>
    <w:rsid w:val="00FE1D3F"/>
    <w:rsid w:val="00FE1D96"/>
    <w:rsid w:val="00FE1F64"/>
    <w:rsid w:val="00FE2016"/>
    <w:rsid w:val="00FE201A"/>
    <w:rsid w:val="00FE20C7"/>
    <w:rsid w:val="00FE21C7"/>
    <w:rsid w:val="00FE22F8"/>
    <w:rsid w:val="00FE24C5"/>
    <w:rsid w:val="00FE2604"/>
    <w:rsid w:val="00FE27EF"/>
    <w:rsid w:val="00FE29BE"/>
    <w:rsid w:val="00FE2DE7"/>
    <w:rsid w:val="00FE30A5"/>
    <w:rsid w:val="00FE31D6"/>
    <w:rsid w:val="00FE3415"/>
    <w:rsid w:val="00FE3A64"/>
    <w:rsid w:val="00FE3AC4"/>
    <w:rsid w:val="00FE3AE1"/>
    <w:rsid w:val="00FE3C42"/>
    <w:rsid w:val="00FE3CEB"/>
    <w:rsid w:val="00FE3E6F"/>
    <w:rsid w:val="00FE416E"/>
    <w:rsid w:val="00FE43EB"/>
    <w:rsid w:val="00FE48DF"/>
    <w:rsid w:val="00FE4E30"/>
    <w:rsid w:val="00FE52F5"/>
    <w:rsid w:val="00FE52FF"/>
    <w:rsid w:val="00FE567C"/>
    <w:rsid w:val="00FE5703"/>
    <w:rsid w:val="00FE5C21"/>
    <w:rsid w:val="00FE5CB0"/>
    <w:rsid w:val="00FE5D13"/>
    <w:rsid w:val="00FE60DC"/>
    <w:rsid w:val="00FE617D"/>
    <w:rsid w:val="00FE632D"/>
    <w:rsid w:val="00FE66AE"/>
    <w:rsid w:val="00FE6779"/>
    <w:rsid w:val="00FE6B2B"/>
    <w:rsid w:val="00FE6BE3"/>
    <w:rsid w:val="00FE6BF6"/>
    <w:rsid w:val="00FE6C2C"/>
    <w:rsid w:val="00FE6C47"/>
    <w:rsid w:val="00FE6EF3"/>
    <w:rsid w:val="00FE6F9A"/>
    <w:rsid w:val="00FE71A8"/>
    <w:rsid w:val="00FE71C2"/>
    <w:rsid w:val="00FE73B9"/>
    <w:rsid w:val="00FE73D6"/>
    <w:rsid w:val="00FE786C"/>
    <w:rsid w:val="00FE78C7"/>
    <w:rsid w:val="00FE78F6"/>
    <w:rsid w:val="00FE7912"/>
    <w:rsid w:val="00FE7A35"/>
    <w:rsid w:val="00FE7AB7"/>
    <w:rsid w:val="00FE7DAE"/>
    <w:rsid w:val="00FF0298"/>
    <w:rsid w:val="00FF0493"/>
    <w:rsid w:val="00FF054F"/>
    <w:rsid w:val="00FF05DB"/>
    <w:rsid w:val="00FF05EB"/>
    <w:rsid w:val="00FF08E7"/>
    <w:rsid w:val="00FF0A1B"/>
    <w:rsid w:val="00FF0D4A"/>
    <w:rsid w:val="00FF0F4D"/>
    <w:rsid w:val="00FF1031"/>
    <w:rsid w:val="00FF15FB"/>
    <w:rsid w:val="00FF1A35"/>
    <w:rsid w:val="00FF1B2E"/>
    <w:rsid w:val="00FF1C5B"/>
    <w:rsid w:val="00FF1DA5"/>
    <w:rsid w:val="00FF1E80"/>
    <w:rsid w:val="00FF2471"/>
    <w:rsid w:val="00FF25C7"/>
    <w:rsid w:val="00FF2609"/>
    <w:rsid w:val="00FF2645"/>
    <w:rsid w:val="00FF27A9"/>
    <w:rsid w:val="00FF2A04"/>
    <w:rsid w:val="00FF2B2F"/>
    <w:rsid w:val="00FF2C44"/>
    <w:rsid w:val="00FF2C5F"/>
    <w:rsid w:val="00FF2EE8"/>
    <w:rsid w:val="00FF2F30"/>
    <w:rsid w:val="00FF3031"/>
    <w:rsid w:val="00FF3222"/>
    <w:rsid w:val="00FF336A"/>
    <w:rsid w:val="00FF35AD"/>
    <w:rsid w:val="00FF35EB"/>
    <w:rsid w:val="00FF3739"/>
    <w:rsid w:val="00FF37F9"/>
    <w:rsid w:val="00FF3B48"/>
    <w:rsid w:val="00FF3B88"/>
    <w:rsid w:val="00FF3BEC"/>
    <w:rsid w:val="00FF3DDF"/>
    <w:rsid w:val="00FF41ED"/>
    <w:rsid w:val="00FF4422"/>
    <w:rsid w:val="00FF4850"/>
    <w:rsid w:val="00FF49EB"/>
    <w:rsid w:val="00FF4A6F"/>
    <w:rsid w:val="00FF4C63"/>
    <w:rsid w:val="00FF4CD6"/>
    <w:rsid w:val="00FF4CF0"/>
    <w:rsid w:val="00FF4F22"/>
    <w:rsid w:val="00FF4FF0"/>
    <w:rsid w:val="00FF50A8"/>
    <w:rsid w:val="00FF51B6"/>
    <w:rsid w:val="00FF537C"/>
    <w:rsid w:val="00FF55F0"/>
    <w:rsid w:val="00FF57CA"/>
    <w:rsid w:val="00FF584D"/>
    <w:rsid w:val="00FF59D2"/>
    <w:rsid w:val="00FF5C8E"/>
    <w:rsid w:val="00FF6101"/>
    <w:rsid w:val="00FF634A"/>
    <w:rsid w:val="00FF63AC"/>
    <w:rsid w:val="00FF648D"/>
    <w:rsid w:val="00FF64B2"/>
    <w:rsid w:val="00FF6676"/>
    <w:rsid w:val="00FF6677"/>
    <w:rsid w:val="00FF6B64"/>
    <w:rsid w:val="00FF6BD8"/>
    <w:rsid w:val="00FF6BDF"/>
    <w:rsid w:val="00FF6DC2"/>
    <w:rsid w:val="00FF7157"/>
    <w:rsid w:val="00FF71C5"/>
    <w:rsid w:val="00FF737F"/>
    <w:rsid w:val="00FF7468"/>
    <w:rsid w:val="00FF77C4"/>
    <w:rsid w:val="00FF799B"/>
    <w:rsid w:val="00FF7C1C"/>
    <w:rsid w:val="00FF7D88"/>
    <w:rsid w:val="0350C9B4"/>
    <w:rsid w:val="036676C6"/>
    <w:rsid w:val="072C1D20"/>
    <w:rsid w:val="0769C319"/>
    <w:rsid w:val="07F67E16"/>
    <w:rsid w:val="09ED1A3F"/>
    <w:rsid w:val="0B1D15D7"/>
    <w:rsid w:val="0D9AA506"/>
    <w:rsid w:val="0DFC0DA6"/>
    <w:rsid w:val="0EDD0648"/>
    <w:rsid w:val="10A74FBF"/>
    <w:rsid w:val="10BD4733"/>
    <w:rsid w:val="130F4577"/>
    <w:rsid w:val="1329AC9E"/>
    <w:rsid w:val="141D2CE6"/>
    <w:rsid w:val="1512C457"/>
    <w:rsid w:val="168D6F86"/>
    <w:rsid w:val="16ED20BE"/>
    <w:rsid w:val="18157BD5"/>
    <w:rsid w:val="19E6946F"/>
    <w:rsid w:val="1AA3D05F"/>
    <w:rsid w:val="1ABE73F4"/>
    <w:rsid w:val="1B9473AB"/>
    <w:rsid w:val="1BF6582C"/>
    <w:rsid w:val="1CE8325F"/>
    <w:rsid w:val="1D18EE2B"/>
    <w:rsid w:val="1D1BABF6"/>
    <w:rsid w:val="1EBF9BB3"/>
    <w:rsid w:val="1FCA9785"/>
    <w:rsid w:val="1FEE4218"/>
    <w:rsid w:val="2264AF6D"/>
    <w:rsid w:val="22A6C2E8"/>
    <w:rsid w:val="2621558F"/>
    <w:rsid w:val="26AA3540"/>
    <w:rsid w:val="272BED97"/>
    <w:rsid w:val="29A6C97A"/>
    <w:rsid w:val="2B09D55F"/>
    <w:rsid w:val="2B308BFB"/>
    <w:rsid w:val="2B3F3ADD"/>
    <w:rsid w:val="2BA71810"/>
    <w:rsid w:val="2F472631"/>
    <w:rsid w:val="30355DE1"/>
    <w:rsid w:val="306CA0CC"/>
    <w:rsid w:val="307D2C17"/>
    <w:rsid w:val="30A42CB6"/>
    <w:rsid w:val="33804773"/>
    <w:rsid w:val="3436A200"/>
    <w:rsid w:val="3476E002"/>
    <w:rsid w:val="379A2957"/>
    <w:rsid w:val="37E782A9"/>
    <w:rsid w:val="39F5B9CB"/>
    <w:rsid w:val="3A3AA4E9"/>
    <w:rsid w:val="3AEE40E2"/>
    <w:rsid w:val="3B47ABE4"/>
    <w:rsid w:val="3BA1E950"/>
    <w:rsid w:val="3BB3E799"/>
    <w:rsid w:val="3C8CDB14"/>
    <w:rsid w:val="3CBA56B6"/>
    <w:rsid w:val="3D0F1806"/>
    <w:rsid w:val="3EEFBF62"/>
    <w:rsid w:val="3F3E95A8"/>
    <w:rsid w:val="41372542"/>
    <w:rsid w:val="42FCF96A"/>
    <w:rsid w:val="44580C54"/>
    <w:rsid w:val="44778F7D"/>
    <w:rsid w:val="44BB783F"/>
    <w:rsid w:val="44EF03E4"/>
    <w:rsid w:val="45C818BB"/>
    <w:rsid w:val="48B41CF6"/>
    <w:rsid w:val="497C2B2A"/>
    <w:rsid w:val="4A73B933"/>
    <w:rsid w:val="4A8B5F0C"/>
    <w:rsid w:val="4AEFE601"/>
    <w:rsid w:val="4C58E7B4"/>
    <w:rsid w:val="4EE08D82"/>
    <w:rsid w:val="52262642"/>
    <w:rsid w:val="524BB78B"/>
    <w:rsid w:val="5366A6AA"/>
    <w:rsid w:val="56FBAC49"/>
    <w:rsid w:val="586EC553"/>
    <w:rsid w:val="58A32160"/>
    <w:rsid w:val="5974A93B"/>
    <w:rsid w:val="59BC1AB0"/>
    <w:rsid w:val="5A192D4B"/>
    <w:rsid w:val="5C1C426C"/>
    <w:rsid w:val="5D944EA5"/>
    <w:rsid w:val="5F4D413E"/>
    <w:rsid w:val="5F6ADA87"/>
    <w:rsid w:val="6048F1B7"/>
    <w:rsid w:val="6363A217"/>
    <w:rsid w:val="63FEB9E3"/>
    <w:rsid w:val="66C7D103"/>
    <w:rsid w:val="6A2EFDDD"/>
    <w:rsid w:val="6CF8A542"/>
    <w:rsid w:val="6DCF32B6"/>
    <w:rsid w:val="6E6F703F"/>
    <w:rsid w:val="6E8F3574"/>
    <w:rsid w:val="71CDDEE8"/>
    <w:rsid w:val="726FE4DB"/>
    <w:rsid w:val="72D32E2B"/>
    <w:rsid w:val="76829903"/>
    <w:rsid w:val="76D42EAC"/>
    <w:rsid w:val="7784660E"/>
    <w:rsid w:val="77FA4601"/>
    <w:rsid w:val="78ABAA0E"/>
    <w:rsid w:val="794A2F07"/>
    <w:rsid w:val="7ACBBE46"/>
    <w:rsid w:val="7AF03025"/>
    <w:rsid w:val="7BF1F5D8"/>
    <w:rsid w:val="7CCDB724"/>
    <w:rsid w:val="7CEF6BD7"/>
    <w:rsid w:val="7DE437C6"/>
    <w:rsid w:val="7E1982B9"/>
    <w:rsid w:val="7EBEF4F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BC8C7"/>
  <w15:docId w15:val="{20073DB5-8E54-4FBC-A03A-FB227FCD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Ruehl" w:eastAsiaTheme="minorHAnsi" w:hAnsi="FrankRuehl" w:cs="FrankRuehl"/>
        <w:b/>
        <w:bCs/>
        <w:sz w:val="28"/>
        <w:szCs w:val="28"/>
        <w:lang w:val="en-US" w:eastAsia="en-US" w:bidi="he-IL"/>
      </w:rPr>
    </w:rPrDefault>
    <w:pPrDefault>
      <w:pPr>
        <w:bidi/>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E2"/>
  </w:style>
  <w:style w:type="paragraph" w:styleId="Heading1">
    <w:name w:val="heading 1"/>
    <w:basedOn w:val="Normal"/>
    <w:next w:val="Normal"/>
    <w:link w:val="Heading1Char"/>
    <w:uiPriority w:val="9"/>
    <w:qFormat/>
    <w:rsid w:val="00556628"/>
    <w:pPr>
      <w:keepNext/>
      <w:keepLines/>
      <w:spacing w:before="240" w:after="0"/>
      <w:jc w:val="center"/>
      <w:outlineLvl w:val="0"/>
    </w:pPr>
    <w:rPr>
      <w:rFonts w:eastAsiaTheme="majorEastAsia"/>
      <w:sz w:val="56"/>
      <w:szCs w:val="56"/>
    </w:rPr>
  </w:style>
  <w:style w:type="paragraph" w:styleId="Heading2">
    <w:name w:val="heading 2"/>
    <w:basedOn w:val="Normal"/>
    <w:next w:val="Normal"/>
    <w:link w:val="Heading2Char"/>
    <w:uiPriority w:val="9"/>
    <w:unhideWhenUsed/>
    <w:qFormat/>
    <w:rsid w:val="00C25A51"/>
    <w:pPr>
      <w:keepNext/>
      <w:keepLines/>
      <w:shd w:val="clear" w:color="auto" w:fill="FCFFF6"/>
      <w:spacing w:before="480" w:after="240" w:line="360" w:lineRule="auto"/>
      <w:ind w:firstLine="442"/>
      <w:jc w:val="center"/>
      <w:outlineLvl w:val="1"/>
    </w:pPr>
    <w:rPr>
      <w:rFonts w:eastAsia="Arial"/>
      <w:sz w:val="40"/>
      <w:szCs w:val="40"/>
      <w:lang w:val="he"/>
    </w:rPr>
  </w:style>
  <w:style w:type="paragraph" w:styleId="Heading3">
    <w:name w:val="heading 3"/>
    <w:basedOn w:val="Normal"/>
    <w:next w:val="Normal"/>
    <w:link w:val="Heading3Char"/>
    <w:uiPriority w:val="9"/>
    <w:unhideWhenUsed/>
    <w:qFormat/>
    <w:rsid w:val="002033F8"/>
    <w:pPr>
      <w:jc w:val="center"/>
      <w:outlineLvl w:val="2"/>
    </w:pPr>
    <w:rPr>
      <w:sz w:val="36"/>
      <w:szCs w:val="36"/>
    </w:rPr>
  </w:style>
  <w:style w:type="paragraph" w:styleId="Heading4">
    <w:name w:val="heading 4"/>
    <w:basedOn w:val="Normal"/>
    <w:next w:val="FootnoteText"/>
    <w:link w:val="Heading4Char"/>
    <w:uiPriority w:val="9"/>
    <w:qFormat/>
    <w:rsid w:val="003266A1"/>
    <w:pPr>
      <w:outlineLvl w:val="3"/>
    </w:pPr>
    <w:rPr>
      <w:sz w:val="26"/>
      <w:szCs w:val="26"/>
    </w:rPr>
  </w:style>
  <w:style w:type="paragraph" w:styleId="Heading5">
    <w:name w:val="heading 5"/>
    <w:basedOn w:val="Heading4"/>
    <w:next w:val="Normal"/>
    <w:link w:val="Heading5Char"/>
    <w:uiPriority w:val="9"/>
    <w:unhideWhenUsed/>
    <w:qFormat/>
    <w:rsid w:val="003B6A80"/>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5A51"/>
    <w:rPr>
      <w:rFonts w:eastAsia="Arial"/>
      <w:sz w:val="40"/>
      <w:szCs w:val="40"/>
      <w:shd w:val="clear" w:color="auto" w:fill="FCFFF6"/>
      <w:lang w:val="he"/>
    </w:rPr>
  </w:style>
  <w:style w:type="character" w:customStyle="1" w:styleId="Heading3Char">
    <w:name w:val="Heading 3 Char"/>
    <w:basedOn w:val="DefaultParagraphFont"/>
    <w:link w:val="Heading3"/>
    <w:uiPriority w:val="9"/>
    <w:rsid w:val="002033F8"/>
    <w:rPr>
      <w:sz w:val="36"/>
      <w:szCs w:val="36"/>
    </w:rPr>
  </w:style>
  <w:style w:type="character" w:customStyle="1" w:styleId="Heading5Char">
    <w:name w:val="Heading 5 Char"/>
    <w:basedOn w:val="DefaultParagraphFont"/>
    <w:link w:val="Heading5"/>
    <w:uiPriority w:val="9"/>
    <w:rsid w:val="003B6A80"/>
    <w:rPr>
      <w:sz w:val="26"/>
      <w:szCs w:val="26"/>
    </w:rPr>
  </w:style>
  <w:style w:type="character" w:styleId="Hyperlink">
    <w:name w:val="Hyperlink"/>
    <w:basedOn w:val="DefaultParagraphFont"/>
    <w:uiPriority w:val="99"/>
    <w:unhideWhenUsed/>
    <w:rsid w:val="00325B08"/>
    <w:rPr>
      <w:color w:val="0000FF"/>
      <w:u w:val="single"/>
    </w:rPr>
  </w:style>
  <w:style w:type="paragraph" w:styleId="Header">
    <w:name w:val="header"/>
    <w:basedOn w:val="Normal"/>
    <w:link w:val="HeaderChar"/>
    <w:uiPriority w:val="99"/>
    <w:unhideWhenUsed/>
    <w:rsid w:val="00E415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1567"/>
  </w:style>
  <w:style w:type="paragraph" w:styleId="Footer">
    <w:name w:val="footer"/>
    <w:basedOn w:val="Normal"/>
    <w:link w:val="FooterChar"/>
    <w:uiPriority w:val="99"/>
    <w:unhideWhenUsed/>
    <w:rsid w:val="00E415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1567"/>
  </w:style>
  <w:style w:type="character" w:customStyle="1" w:styleId="Heading1Char">
    <w:name w:val="Heading 1 Char"/>
    <w:basedOn w:val="DefaultParagraphFont"/>
    <w:link w:val="Heading1"/>
    <w:uiPriority w:val="9"/>
    <w:rsid w:val="00556628"/>
    <w:rPr>
      <w:rFonts w:eastAsiaTheme="majorEastAsia"/>
      <w:sz w:val="56"/>
      <w:szCs w:val="56"/>
    </w:rPr>
  </w:style>
  <w:style w:type="paragraph" w:styleId="ListParagraph">
    <w:name w:val="List Paragraph"/>
    <w:basedOn w:val="Normal"/>
    <w:uiPriority w:val="34"/>
    <w:unhideWhenUsed/>
    <w:rsid w:val="00F563FC"/>
    <w:pPr>
      <w:ind w:left="720"/>
      <w:contextualSpacing/>
    </w:pPr>
  </w:style>
  <w:style w:type="paragraph" w:styleId="FootnoteText">
    <w:name w:val="footnote text"/>
    <w:basedOn w:val="Normal"/>
    <w:link w:val="FootnoteTextChar"/>
    <w:uiPriority w:val="99"/>
    <w:unhideWhenUsed/>
    <w:qFormat/>
    <w:rsid w:val="00A3461B"/>
    <w:rPr>
      <w:b w:val="0"/>
      <w:bCs w:val="0"/>
      <w:sz w:val="26"/>
      <w:szCs w:val="26"/>
    </w:rPr>
  </w:style>
  <w:style w:type="character" w:customStyle="1" w:styleId="FootnoteTextChar">
    <w:name w:val="Footnote Text Char"/>
    <w:basedOn w:val="DefaultParagraphFont"/>
    <w:link w:val="FootnoteText"/>
    <w:uiPriority w:val="99"/>
    <w:rsid w:val="00A3461B"/>
    <w:rPr>
      <w:b w:val="0"/>
      <w:bCs w:val="0"/>
      <w:sz w:val="26"/>
      <w:szCs w:val="26"/>
    </w:rPr>
  </w:style>
  <w:style w:type="character" w:styleId="FootnoteReference">
    <w:name w:val="footnote reference"/>
    <w:basedOn w:val="DefaultParagraphFont"/>
    <w:uiPriority w:val="99"/>
    <w:semiHidden/>
    <w:unhideWhenUsed/>
    <w:rsid w:val="00E20FA3"/>
    <w:rPr>
      <w:vertAlign w:val="superscript"/>
    </w:rPr>
  </w:style>
  <w:style w:type="paragraph" w:customStyle="1" w:styleId="a">
    <w:name w:val="הערת שולים ניר"/>
    <w:basedOn w:val="FootnoteText"/>
    <w:link w:val="a0"/>
    <w:rsid w:val="00001F93"/>
    <w:rPr>
      <w:b/>
      <w:bCs/>
    </w:rPr>
  </w:style>
  <w:style w:type="character" w:styleId="UnresolvedMention">
    <w:name w:val="Unresolved Mention"/>
    <w:basedOn w:val="DefaultParagraphFont"/>
    <w:uiPriority w:val="99"/>
    <w:semiHidden/>
    <w:unhideWhenUsed/>
    <w:rsid w:val="008701AB"/>
    <w:rPr>
      <w:color w:val="605E5C"/>
      <w:shd w:val="clear" w:color="auto" w:fill="E1DFDD"/>
    </w:rPr>
  </w:style>
  <w:style w:type="character" w:customStyle="1" w:styleId="a0">
    <w:name w:val="הערת שולים ניר תו"/>
    <w:basedOn w:val="FootnoteTextChar"/>
    <w:link w:val="a"/>
    <w:rsid w:val="00001F93"/>
    <w:rPr>
      <w:rFonts w:ascii="FrankRuehl" w:hAnsi="FrankRuehl"/>
      <w:b w:val="0"/>
      <w:bCs w:val="0"/>
      <w:sz w:val="26"/>
      <w:szCs w:val="26"/>
    </w:rPr>
  </w:style>
  <w:style w:type="character" w:styleId="FollowedHyperlink">
    <w:name w:val="FollowedHyperlink"/>
    <w:basedOn w:val="DefaultParagraphFont"/>
    <w:uiPriority w:val="99"/>
    <w:semiHidden/>
    <w:unhideWhenUsed/>
    <w:rsid w:val="008701AB"/>
    <w:rPr>
      <w:color w:val="954F72" w:themeColor="followedHyperlink"/>
      <w:u w:val="single"/>
    </w:rPr>
  </w:style>
  <w:style w:type="character" w:customStyle="1" w:styleId="Heading4Char">
    <w:name w:val="Heading 4 Char"/>
    <w:basedOn w:val="DefaultParagraphFont"/>
    <w:link w:val="Heading4"/>
    <w:uiPriority w:val="9"/>
    <w:rsid w:val="003266A1"/>
    <w:rPr>
      <w:sz w:val="26"/>
      <w:szCs w:val="26"/>
    </w:rPr>
  </w:style>
  <w:style w:type="paragraph" w:styleId="EndnoteText">
    <w:name w:val="endnote text"/>
    <w:basedOn w:val="Normal"/>
    <w:link w:val="EndnoteTextChar"/>
    <w:uiPriority w:val="99"/>
    <w:semiHidden/>
    <w:unhideWhenUsed/>
    <w:rsid w:val="007306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063D"/>
    <w:rPr>
      <w:sz w:val="20"/>
      <w:szCs w:val="20"/>
    </w:rPr>
  </w:style>
  <w:style w:type="character" w:styleId="EndnoteReference">
    <w:name w:val="endnote reference"/>
    <w:basedOn w:val="DefaultParagraphFont"/>
    <w:uiPriority w:val="99"/>
    <w:semiHidden/>
    <w:unhideWhenUsed/>
    <w:rsid w:val="0073063D"/>
    <w:rPr>
      <w:vertAlign w:val="superscript"/>
    </w:rPr>
  </w:style>
  <w:style w:type="paragraph" w:styleId="TOCHeading">
    <w:name w:val="TOC Heading"/>
    <w:basedOn w:val="Heading1"/>
    <w:next w:val="Normal"/>
    <w:uiPriority w:val="39"/>
    <w:unhideWhenUsed/>
    <w:qFormat/>
    <w:rsid w:val="00A21CB2"/>
    <w:pPr>
      <w:spacing w:line="259" w:lineRule="auto"/>
      <w:jc w:val="left"/>
      <w:outlineLvl w:val="9"/>
    </w:pPr>
    <w:rPr>
      <w:rFonts w:asciiTheme="majorHAnsi" w:hAnsiTheme="majorHAnsi" w:cstheme="majorBidi"/>
      <w:b w:val="0"/>
      <w:bCs w:val="0"/>
      <w:color w:val="2F5496" w:themeColor="accent1" w:themeShade="BF"/>
      <w:sz w:val="32"/>
      <w:szCs w:val="32"/>
      <w:rtl/>
      <w:cs/>
    </w:rPr>
  </w:style>
  <w:style w:type="paragraph" w:styleId="TOC1">
    <w:name w:val="toc 1"/>
    <w:basedOn w:val="Normal"/>
    <w:next w:val="Normal"/>
    <w:autoRedefine/>
    <w:uiPriority w:val="39"/>
    <w:unhideWhenUsed/>
    <w:rsid w:val="00A21CB2"/>
    <w:pPr>
      <w:spacing w:after="100"/>
    </w:pPr>
  </w:style>
  <w:style w:type="paragraph" w:styleId="TOC2">
    <w:name w:val="toc 2"/>
    <w:basedOn w:val="Normal"/>
    <w:next w:val="Normal"/>
    <w:autoRedefine/>
    <w:uiPriority w:val="39"/>
    <w:unhideWhenUsed/>
    <w:rsid w:val="00A21CB2"/>
    <w:pPr>
      <w:spacing w:after="100"/>
      <w:ind w:left="280"/>
    </w:pPr>
  </w:style>
  <w:style w:type="paragraph" w:styleId="TOC3">
    <w:name w:val="toc 3"/>
    <w:basedOn w:val="Normal"/>
    <w:next w:val="Normal"/>
    <w:autoRedefine/>
    <w:uiPriority w:val="39"/>
    <w:unhideWhenUsed/>
    <w:rsid w:val="00A21CB2"/>
    <w:pPr>
      <w:spacing w:after="100"/>
      <w:ind w:left="560"/>
    </w:pPr>
  </w:style>
  <w:style w:type="paragraph" w:styleId="TOC4">
    <w:name w:val="toc 4"/>
    <w:basedOn w:val="Normal"/>
    <w:next w:val="Normal"/>
    <w:autoRedefine/>
    <w:uiPriority w:val="39"/>
    <w:unhideWhenUsed/>
    <w:rsid w:val="00A21CB2"/>
    <w:pPr>
      <w:spacing w:after="100"/>
      <w:ind w:left="840"/>
    </w:pPr>
  </w:style>
  <w:style w:type="paragraph" w:styleId="Index1">
    <w:name w:val="index 1"/>
    <w:basedOn w:val="Normal"/>
    <w:next w:val="Normal"/>
    <w:autoRedefine/>
    <w:uiPriority w:val="99"/>
    <w:unhideWhenUsed/>
    <w:rsid w:val="0086172E"/>
    <w:pPr>
      <w:tabs>
        <w:tab w:val="right" w:leader="dot" w:pos="6964"/>
      </w:tabs>
      <w:spacing w:after="0" w:line="240" w:lineRule="auto"/>
      <w:ind w:left="280" w:hanging="280"/>
    </w:pPr>
    <w:rPr>
      <w:b w:val="0"/>
      <w:bCs w:val="0"/>
      <w:noProof/>
      <w:sz w:val="26"/>
      <w:szCs w:val="26"/>
    </w:rPr>
  </w:style>
  <w:style w:type="paragraph" w:styleId="Index2">
    <w:name w:val="index 2"/>
    <w:basedOn w:val="Normal"/>
    <w:next w:val="Normal"/>
    <w:autoRedefine/>
    <w:uiPriority w:val="99"/>
    <w:semiHidden/>
    <w:unhideWhenUsed/>
    <w:rsid w:val="00E256AC"/>
    <w:pPr>
      <w:spacing w:after="0" w:line="240" w:lineRule="auto"/>
      <w:ind w:left="560" w:hanging="280"/>
    </w:pPr>
  </w:style>
  <w:style w:type="character" w:styleId="PlaceholderText">
    <w:name w:val="Placeholder Text"/>
    <w:basedOn w:val="DefaultParagraphFont"/>
    <w:uiPriority w:val="99"/>
    <w:unhideWhenUsed/>
    <w:rsid w:val="003E5182"/>
    <w:rPr>
      <w:color w:val="808080"/>
    </w:rPr>
  </w:style>
  <w:style w:type="paragraph" w:styleId="Revision">
    <w:name w:val="Revision"/>
    <w:hidden/>
    <w:uiPriority w:val="99"/>
    <w:semiHidden/>
    <w:rsid w:val="00F02C13"/>
    <w:pPr>
      <w:bidi w:val="0"/>
      <w:spacing w:after="0" w:line="240" w:lineRule="auto"/>
      <w:jc w:val="left"/>
    </w:pPr>
  </w:style>
  <w:style w:type="paragraph" w:styleId="TOC5">
    <w:name w:val="toc 5"/>
    <w:basedOn w:val="Normal"/>
    <w:next w:val="Normal"/>
    <w:autoRedefine/>
    <w:uiPriority w:val="39"/>
    <w:unhideWhenUsed/>
    <w:rsid w:val="00BD71DE"/>
    <w:pPr>
      <w:spacing w:after="100" w:line="259" w:lineRule="auto"/>
      <w:ind w:left="880"/>
      <w:jc w:val="left"/>
    </w:pPr>
    <w:rPr>
      <w:rFonts w:asciiTheme="minorHAnsi" w:eastAsiaTheme="minorEastAsia" w:hAnsiTheme="minorHAnsi" w:cstheme="minorBidi"/>
      <w:b w:val="0"/>
      <w:bCs w:val="0"/>
      <w:sz w:val="22"/>
      <w:szCs w:val="22"/>
    </w:rPr>
  </w:style>
  <w:style w:type="paragraph" w:styleId="TOC6">
    <w:name w:val="toc 6"/>
    <w:basedOn w:val="Normal"/>
    <w:next w:val="Normal"/>
    <w:autoRedefine/>
    <w:uiPriority w:val="39"/>
    <w:unhideWhenUsed/>
    <w:rsid w:val="00BD71DE"/>
    <w:pPr>
      <w:spacing w:after="100" w:line="259" w:lineRule="auto"/>
      <w:ind w:left="1100"/>
      <w:jc w:val="left"/>
    </w:pPr>
    <w:rPr>
      <w:rFonts w:asciiTheme="minorHAnsi" w:eastAsiaTheme="minorEastAsia" w:hAnsiTheme="minorHAnsi" w:cstheme="minorBidi"/>
      <w:b w:val="0"/>
      <w:bCs w:val="0"/>
      <w:sz w:val="22"/>
      <w:szCs w:val="22"/>
    </w:rPr>
  </w:style>
  <w:style w:type="paragraph" w:styleId="TOC7">
    <w:name w:val="toc 7"/>
    <w:basedOn w:val="Normal"/>
    <w:next w:val="Normal"/>
    <w:autoRedefine/>
    <w:uiPriority w:val="39"/>
    <w:unhideWhenUsed/>
    <w:rsid w:val="00BD71DE"/>
    <w:pPr>
      <w:spacing w:after="100" w:line="259" w:lineRule="auto"/>
      <w:ind w:left="1320"/>
      <w:jc w:val="left"/>
    </w:pPr>
    <w:rPr>
      <w:rFonts w:asciiTheme="minorHAnsi" w:eastAsiaTheme="minorEastAsia" w:hAnsiTheme="minorHAnsi" w:cstheme="minorBidi"/>
      <w:b w:val="0"/>
      <w:bCs w:val="0"/>
      <w:sz w:val="22"/>
      <w:szCs w:val="22"/>
    </w:rPr>
  </w:style>
  <w:style w:type="paragraph" w:styleId="TOC8">
    <w:name w:val="toc 8"/>
    <w:basedOn w:val="Normal"/>
    <w:next w:val="Normal"/>
    <w:autoRedefine/>
    <w:uiPriority w:val="39"/>
    <w:unhideWhenUsed/>
    <w:rsid w:val="00BD71DE"/>
    <w:pPr>
      <w:spacing w:after="100" w:line="259" w:lineRule="auto"/>
      <w:ind w:left="1540"/>
      <w:jc w:val="left"/>
    </w:pPr>
    <w:rPr>
      <w:rFonts w:asciiTheme="minorHAnsi" w:eastAsiaTheme="minorEastAsia" w:hAnsiTheme="minorHAnsi" w:cstheme="minorBidi"/>
      <w:b w:val="0"/>
      <w:bCs w:val="0"/>
      <w:sz w:val="22"/>
      <w:szCs w:val="22"/>
    </w:rPr>
  </w:style>
  <w:style w:type="paragraph" w:styleId="TOC9">
    <w:name w:val="toc 9"/>
    <w:basedOn w:val="Normal"/>
    <w:next w:val="Normal"/>
    <w:autoRedefine/>
    <w:uiPriority w:val="39"/>
    <w:unhideWhenUsed/>
    <w:rsid w:val="00BD71DE"/>
    <w:pPr>
      <w:spacing w:after="100" w:line="259" w:lineRule="auto"/>
      <w:ind w:left="1760"/>
      <w:jc w:val="left"/>
    </w:pPr>
    <w:rPr>
      <w:rFonts w:asciiTheme="minorHAnsi" w:eastAsiaTheme="minorEastAsia" w:hAnsiTheme="minorHAnsi" w:cstheme="minorBidi"/>
      <w:b w:val="0"/>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0022">
      <w:bodyDiv w:val="1"/>
      <w:marLeft w:val="0"/>
      <w:marRight w:val="0"/>
      <w:marTop w:val="0"/>
      <w:marBottom w:val="0"/>
      <w:divBdr>
        <w:top w:val="none" w:sz="0" w:space="0" w:color="auto"/>
        <w:left w:val="none" w:sz="0" w:space="0" w:color="auto"/>
        <w:bottom w:val="none" w:sz="0" w:space="0" w:color="auto"/>
        <w:right w:val="none" w:sz="0" w:space="0" w:color="auto"/>
      </w:divBdr>
    </w:div>
    <w:div w:id="35661092">
      <w:bodyDiv w:val="1"/>
      <w:marLeft w:val="0"/>
      <w:marRight w:val="0"/>
      <w:marTop w:val="0"/>
      <w:marBottom w:val="0"/>
      <w:divBdr>
        <w:top w:val="none" w:sz="0" w:space="0" w:color="auto"/>
        <w:left w:val="none" w:sz="0" w:space="0" w:color="auto"/>
        <w:bottom w:val="none" w:sz="0" w:space="0" w:color="auto"/>
        <w:right w:val="none" w:sz="0" w:space="0" w:color="auto"/>
      </w:divBdr>
      <w:divsChild>
        <w:div w:id="1885172495">
          <w:marLeft w:val="0"/>
          <w:marRight w:val="0"/>
          <w:marTop w:val="0"/>
          <w:marBottom w:val="0"/>
          <w:divBdr>
            <w:top w:val="none" w:sz="0" w:space="0" w:color="auto"/>
            <w:left w:val="none" w:sz="0" w:space="0" w:color="auto"/>
            <w:bottom w:val="none" w:sz="0" w:space="0" w:color="auto"/>
            <w:right w:val="none" w:sz="0" w:space="0" w:color="auto"/>
          </w:divBdr>
        </w:div>
        <w:div w:id="785390056">
          <w:marLeft w:val="0"/>
          <w:marRight w:val="0"/>
          <w:marTop w:val="0"/>
          <w:marBottom w:val="0"/>
          <w:divBdr>
            <w:top w:val="none" w:sz="0" w:space="0" w:color="auto"/>
            <w:left w:val="none" w:sz="0" w:space="0" w:color="auto"/>
            <w:bottom w:val="none" w:sz="0" w:space="0" w:color="auto"/>
            <w:right w:val="none" w:sz="0" w:space="0" w:color="auto"/>
          </w:divBdr>
        </w:div>
        <w:div w:id="1696343767">
          <w:marLeft w:val="0"/>
          <w:marRight w:val="0"/>
          <w:marTop w:val="0"/>
          <w:marBottom w:val="0"/>
          <w:divBdr>
            <w:top w:val="none" w:sz="0" w:space="0" w:color="auto"/>
            <w:left w:val="none" w:sz="0" w:space="0" w:color="auto"/>
            <w:bottom w:val="none" w:sz="0" w:space="0" w:color="auto"/>
            <w:right w:val="none" w:sz="0" w:space="0" w:color="auto"/>
          </w:divBdr>
        </w:div>
        <w:div w:id="307983214">
          <w:marLeft w:val="0"/>
          <w:marRight w:val="0"/>
          <w:marTop w:val="0"/>
          <w:marBottom w:val="0"/>
          <w:divBdr>
            <w:top w:val="none" w:sz="0" w:space="0" w:color="auto"/>
            <w:left w:val="none" w:sz="0" w:space="0" w:color="auto"/>
            <w:bottom w:val="none" w:sz="0" w:space="0" w:color="auto"/>
            <w:right w:val="none" w:sz="0" w:space="0" w:color="auto"/>
          </w:divBdr>
        </w:div>
        <w:div w:id="2114590148">
          <w:marLeft w:val="0"/>
          <w:marRight w:val="0"/>
          <w:marTop w:val="0"/>
          <w:marBottom w:val="0"/>
          <w:divBdr>
            <w:top w:val="none" w:sz="0" w:space="0" w:color="auto"/>
            <w:left w:val="none" w:sz="0" w:space="0" w:color="auto"/>
            <w:bottom w:val="none" w:sz="0" w:space="0" w:color="auto"/>
            <w:right w:val="none" w:sz="0" w:space="0" w:color="auto"/>
          </w:divBdr>
        </w:div>
        <w:div w:id="402332491">
          <w:marLeft w:val="0"/>
          <w:marRight w:val="0"/>
          <w:marTop w:val="0"/>
          <w:marBottom w:val="0"/>
          <w:divBdr>
            <w:top w:val="none" w:sz="0" w:space="0" w:color="auto"/>
            <w:left w:val="none" w:sz="0" w:space="0" w:color="auto"/>
            <w:bottom w:val="none" w:sz="0" w:space="0" w:color="auto"/>
            <w:right w:val="none" w:sz="0" w:space="0" w:color="auto"/>
          </w:divBdr>
        </w:div>
        <w:div w:id="745762985">
          <w:marLeft w:val="0"/>
          <w:marRight w:val="0"/>
          <w:marTop w:val="0"/>
          <w:marBottom w:val="0"/>
          <w:divBdr>
            <w:top w:val="none" w:sz="0" w:space="0" w:color="auto"/>
            <w:left w:val="none" w:sz="0" w:space="0" w:color="auto"/>
            <w:bottom w:val="none" w:sz="0" w:space="0" w:color="auto"/>
            <w:right w:val="none" w:sz="0" w:space="0" w:color="auto"/>
          </w:divBdr>
        </w:div>
        <w:div w:id="467557343">
          <w:marLeft w:val="0"/>
          <w:marRight w:val="0"/>
          <w:marTop w:val="0"/>
          <w:marBottom w:val="0"/>
          <w:divBdr>
            <w:top w:val="none" w:sz="0" w:space="0" w:color="auto"/>
            <w:left w:val="none" w:sz="0" w:space="0" w:color="auto"/>
            <w:bottom w:val="none" w:sz="0" w:space="0" w:color="auto"/>
            <w:right w:val="none" w:sz="0" w:space="0" w:color="auto"/>
          </w:divBdr>
        </w:div>
        <w:div w:id="184632930">
          <w:marLeft w:val="0"/>
          <w:marRight w:val="0"/>
          <w:marTop w:val="0"/>
          <w:marBottom w:val="0"/>
          <w:divBdr>
            <w:top w:val="none" w:sz="0" w:space="0" w:color="auto"/>
            <w:left w:val="none" w:sz="0" w:space="0" w:color="auto"/>
            <w:bottom w:val="none" w:sz="0" w:space="0" w:color="auto"/>
            <w:right w:val="none" w:sz="0" w:space="0" w:color="auto"/>
          </w:divBdr>
        </w:div>
        <w:div w:id="890769332">
          <w:marLeft w:val="0"/>
          <w:marRight w:val="0"/>
          <w:marTop w:val="0"/>
          <w:marBottom w:val="0"/>
          <w:divBdr>
            <w:top w:val="none" w:sz="0" w:space="0" w:color="auto"/>
            <w:left w:val="none" w:sz="0" w:space="0" w:color="auto"/>
            <w:bottom w:val="none" w:sz="0" w:space="0" w:color="auto"/>
            <w:right w:val="none" w:sz="0" w:space="0" w:color="auto"/>
          </w:divBdr>
        </w:div>
        <w:div w:id="2052072023">
          <w:marLeft w:val="0"/>
          <w:marRight w:val="0"/>
          <w:marTop w:val="0"/>
          <w:marBottom w:val="0"/>
          <w:divBdr>
            <w:top w:val="none" w:sz="0" w:space="0" w:color="auto"/>
            <w:left w:val="none" w:sz="0" w:space="0" w:color="auto"/>
            <w:bottom w:val="none" w:sz="0" w:space="0" w:color="auto"/>
            <w:right w:val="none" w:sz="0" w:space="0" w:color="auto"/>
          </w:divBdr>
        </w:div>
        <w:div w:id="1982272789">
          <w:marLeft w:val="0"/>
          <w:marRight w:val="0"/>
          <w:marTop w:val="0"/>
          <w:marBottom w:val="0"/>
          <w:divBdr>
            <w:top w:val="none" w:sz="0" w:space="0" w:color="auto"/>
            <w:left w:val="none" w:sz="0" w:space="0" w:color="auto"/>
            <w:bottom w:val="none" w:sz="0" w:space="0" w:color="auto"/>
            <w:right w:val="none" w:sz="0" w:space="0" w:color="auto"/>
          </w:divBdr>
        </w:div>
        <w:div w:id="1189219488">
          <w:marLeft w:val="0"/>
          <w:marRight w:val="0"/>
          <w:marTop w:val="0"/>
          <w:marBottom w:val="0"/>
          <w:divBdr>
            <w:top w:val="none" w:sz="0" w:space="0" w:color="auto"/>
            <w:left w:val="none" w:sz="0" w:space="0" w:color="auto"/>
            <w:bottom w:val="none" w:sz="0" w:space="0" w:color="auto"/>
            <w:right w:val="none" w:sz="0" w:space="0" w:color="auto"/>
          </w:divBdr>
        </w:div>
        <w:div w:id="1419208759">
          <w:marLeft w:val="0"/>
          <w:marRight w:val="0"/>
          <w:marTop w:val="0"/>
          <w:marBottom w:val="0"/>
          <w:divBdr>
            <w:top w:val="none" w:sz="0" w:space="0" w:color="auto"/>
            <w:left w:val="none" w:sz="0" w:space="0" w:color="auto"/>
            <w:bottom w:val="none" w:sz="0" w:space="0" w:color="auto"/>
            <w:right w:val="none" w:sz="0" w:space="0" w:color="auto"/>
          </w:divBdr>
        </w:div>
        <w:div w:id="800654650">
          <w:marLeft w:val="0"/>
          <w:marRight w:val="0"/>
          <w:marTop w:val="0"/>
          <w:marBottom w:val="0"/>
          <w:divBdr>
            <w:top w:val="none" w:sz="0" w:space="0" w:color="auto"/>
            <w:left w:val="none" w:sz="0" w:space="0" w:color="auto"/>
            <w:bottom w:val="none" w:sz="0" w:space="0" w:color="auto"/>
            <w:right w:val="none" w:sz="0" w:space="0" w:color="auto"/>
          </w:divBdr>
        </w:div>
      </w:divsChild>
    </w:div>
    <w:div w:id="70665547">
      <w:bodyDiv w:val="1"/>
      <w:marLeft w:val="0"/>
      <w:marRight w:val="0"/>
      <w:marTop w:val="0"/>
      <w:marBottom w:val="0"/>
      <w:divBdr>
        <w:top w:val="none" w:sz="0" w:space="0" w:color="auto"/>
        <w:left w:val="none" w:sz="0" w:space="0" w:color="auto"/>
        <w:bottom w:val="none" w:sz="0" w:space="0" w:color="auto"/>
        <w:right w:val="none" w:sz="0" w:space="0" w:color="auto"/>
      </w:divBdr>
    </w:div>
    <w:div w:id="81144139">
      <w:bodyDiv w:val="1"/>
      <w:marLeft w:val="0"/>
      <w:marRight w:val="0"/>
      <w:marTop w:val="0"/>
      <w:marBottom w:val="0"/>
      <w:divBdr>
        <w:top w:val="none" w:sz="0" w:space="0" w:color="auto"/>
        <w:left w:val="none" w:sz="0" w:space="0" w:color="auto"/>
        <w:bottom w:val="none" w:sz="0" w:space="0" w:color="auto"/>
        <w:right w:val="none" w:sz="0" w:space="0" w:color="auto"/>
      </w:divBdr>
    </w:div>
    <w:div w:id="131024685">
      <w:bodyDiv w:val="1"/>
      <w:marLeft w:val="0"/>
      <w:marRight w:val="0"/>
      <w:marTop w:val="0"/>
      <w:marBottom w:val="0"/>
      <w:divBdr>
        <w:top w:val="none" w:sz="0" w:space="0" w:color="auto"/>
        <w:left w:val="none" w:sz="0" w:space="0" w:color="auto"/>
        <w:bottom w:val="none" w:sz="0" w:space="0" w:color="auto"/>
        <w:right w:val="none" w:sz="0" w:space="0" w:color="auto"/>
      </w:divBdr>
    </w:div>
    <w:div w:id="156189217">
      <w:bodyDiv w:val="1"/>
      <w:marLeft w:val="0"/>
      <w:marRight w:val="0"/>
      <w:marTop w:val="0"/>
      <w:marBottom w:val="0"/>
      <w:divBdr>
        <w:top w:val="none" w:sz="0" w:space="0" w:color="auto"/>
        <w:left w:val="none" w:sz="0" w:space="0" w:color="auto"/>
        <w:bottom w:val="none" w:sz="0" w:space="0" w:color="auto"/>
        <w:right w:val="none" w:sz="0" w:space="0" w:color="auto"/>
      </w:divBdr>
    </w:div>
    <w:div w:id="161316439">
      <w:bodyDiv w:val="1"/>
      <w:marLeft w:val="0"/>
      <w:marRight w:val="0"/>
      <w:marTop w:val="0"/>
      <w:marBottom w:val="0"/>
      <w:divBdr>
        <w:top w:val="none" w:sz="0" w:space="0" w:color="auto"/>
        <w:left w:val="none" w:sz="0" w:space="0" w:color="auto"/>
        <w:bottom w:val="none" w:sz="0" w:space="0" w:color="auto"/>
        <w:right w:val="none" w:sz="0" w:space="0" w:color="auto"/>
      </w:divBdr>
    </w:div>
    <w:div w:id="180971386">
      <w:bodyDiv w:val="1"/>
      <w:marLeft w:val="0"/>
      <w:marRight w:val="0"/>
      <w:marTop w:val="0"/>
      <w:marBottom w:val="0"/>
      <w:divBdr>
        <w:top w:val="none" w:sz="0" w:space="0" w:color="auto"/>
        <w:left w:val="none" w:sz="0" w:space="0" w:color="auto"/>
        <w:bottom w:val="none" w:sz="0" w:space="0" w:color="auto"/>
        <w:right w:val="none" w:sz="0" w:space="0" w:color="auto"/>
      </w:divBdr>
    </w:div>
    <w:div w:id="221794086">
      <w:bodyDiv w:val="1"/>
      <w:marLeft w:val="0"/>
      <w:marRight w:val="0"/>
      <w:marTop w:val="0"/>
      <w:marBottom w:val="0"/>
      <w:divBdr>
        <w:top w:val="none" w:sz="0" w:space="0" w:color="auto"/>
        <w:left w:val="none" w:sz="0" w:space="0" w:color="auto"/>
        <w:bottom w:val="none" w:sz="0" w:space="0" w:color="auto"/>
        <w:right w:val="none" w:sz="0" w:space="0" w:color="auto"/>
      </w:divBdr>
    </w:div>
    <w:div w:id="236979333">
      <w:bodyDiv w:val="1"/>
      <w:marLeft w:val="0"/>
      <w:marRight w:val="0"/>
      <w:marTop w:val="0"/>
      <w:marBottom w:val="0"/>
      <w:divBdr>
        <w:top w:val="none" w:sz="0" w:space="0" w:color="auto"/>
        <w:left w:val="none" w:sz="0" w:space="0" w:color="auto"/>
        <w:bottom w:val="none" w:sz="0" w:space="0" w:color="auto"/>
        <w:right w:val="none" w:sz="0" w:space="0" w:color="auto"/>
      </w:divBdr>
    </w:div>
    <w:div w:id="262760662">
      <w:bodyDiv w:val="1"/>
      <w:marLeft w:val="0"/>
      <w:marRight w:val="0"/>
      <w:marTop w:val="0"/>
      <w:marBottom w:val="0"/>
      <w:divBdr>
        <w:top w:val="none" w:sz="0" w:space="0" w:color="auto"/>
        <w:left w:val="none" w:sz="0" w:space="0" w:color="auto"/>
        <w:bottom w:val="none" w:sz="0" w:space="0" w:color="auto"/>
        <w:right w:val="none" w:sz="0" w:space="0" w:color="auto"/>
      </w:divBdr>
    </w:div>
    <w:div w:id="292903346">
      <w:bodyDiv w:val="1"/>
      <w:marLeft w:val="0"/>
      <w:marRight w:val="0"/>
      <w:marTop w:val="0"/>
      <w:marBottom w:val="0"/>
      <w:divBdr>
        <w:top w:val="none" w:sz="0" w:space="0" w:color="auto"/>
        <w:left w:val="none" w:sz="0" w:space="0" w:color="auto"/>
        <w:bottom w:val="none" w:sz="0" w:space="0" w:color="auto"/>
        <w:right w:val="none" w:sz="0" w:space="0" w:color="auto"/>
      </w:divBdr>
    </w:div>
    <w:div w:id="314842975">
      <w:bodyDiv w:val="1"/>
      <w:marLeft w:val="0"/>
      <w:marRight w:val="0"/>
      <w:marTop w:val="0"/>
      <w:marBottom w:val="0"/>
      <w:divBdr>
        <w:top w:val="none" w:sz="0" w:space="0" w:color="auto"/>
        <w:left w:val="none" w:sz="0" w:space="0" w:color="auto"/>
        <w:bottom w:val="none" w:sz="0" w:space="0" w:color="auto"/>
        <w:right w:val="none" w:sz="0" w:space="0" w:color="auto"/>
      </w:divBdr>
    </w:div>
    <w:div w:id="335767082">
      <w:bodyDiv w:val="1"/>
      <w:marLeft w:val="0"/>
      <w:marRight w:val="0"/>
      <w:marTop w:val="0"/>
      <w:marBottom w:val="0"/>
      <w:divBdr>
        <w:top w:val="none" w:sz="0" w:space="0" w:color="auto"/>
        <w:left w:val="none" w:sz="0" w:space="0" w:color="auto"/>
        <w:bottom w:val="none" w:sz="0" w:space="0" w:color="auto"/>
        <w:right w:val="none" w:sz="0" w:space="0" w:color="auto"/>
      </w:divBdr>
      <w:divsChild>
        <w:div w:id="1691567921">
          <w:marLeft w:val="1020"/>
          <w:marRight w:val="0"/>
          <w:marTop w:val="0"/>
          <w:marBottom w:val="0"/>
          <w:divBdr>
            <w:top w:val="none" w:sz="0" w:space="0" w:color="auto"/>
            <w:left w:val="none" w:sz="0" w:space="0" w:color="auto"/>
            <w:bottom w:val="none" w:sz="0" w:space="0" w:color="auto"/>
            <w:right w:val="none" w:sz="0" w:space="0" w:color="auto"/>
          </w:divBdr>
        </w:div>
      </w:divsChild>
    </w:div>
    <w:div w:id="375935746">
      <w:bodyDiv w:val="1"/>
      <w:marLeft w:val="0"/>
      <w:marRight w:val="0"/>
      <w:marTop w:val="0"/>
      <w:marBottom w:val="0"/>
      <w:divBdr>
        <w:top w:val="none" w:sz="0" w:space="0" w:color="auto"/>
        <w:left w:val="none" w:sz="0" w:space="0" w:color="auto"/>
        <w:bottom w:val="none" w:sz="0" w:space="0" w:color="auto"/>
        <w:right w:val="none" w:sz="0" w:space="0" w:color="auto"/>
      </w:divBdr>
    </w:div>
    <w:div w:id="399914120">
      <w:bodyDiv w:val="1"/>
      <w:marLeft w:val="0"/>
      <w:marRight w:val="0"/>
      <w:marTop w:val="0"/>
      <w:marBottom w:val="0"/>
      <w:divBdr>
        <w:top w:val="none" w:sz="0" w:space="0" w:color="auto"/>
        <w:left w:val="none" w:sz="0" w:space="0" w:color="auto"/>
        <w:bottom w:val="none" w:sz="0" w:space="0" w:color="auto"/>
        <w:right w:val="none" w:sz="0" w:space="0" w:color="auto"/>
      </w:divBdr>
    </w:div>
    <w:div w:id="410393297">
      <w:bodyDiv w:val="1"/>
      <w:marLeft w:val="0"/>
      <w:marRight w:val="0"/>
      <w:marTop w:val="0"/>
      <w:marBottom w:val="0"/>
      <w:divBdr>
        <w:top w:val="none" w:sz="0" w:space="0" w:color="auto"/>
        <w:left w:val="none" w:sz="0" w:space="0" w:color="auto"/>
        <w:bottom w:val="none" w:sz="0" w:space="0" w:color="auto"/>
        <w:right w:val="none" w:sz="0" w:space="0" w:color="auto"/>
      </w:divBdr>
    </w:div>
    <w:div w:id="413085963">
      <w:bodyDiv w:val="1"/>
      <w:marLeft w:val="0"/>
      <w:marRight w:val="0"/>
      <w:marTop w:val="0"/>
      <w:marBottom w:val="0"/>
      <w:divBdr>
        <w:top w:val="none" w:sz="0" w:space="0" w:color="auto"/>
        <w:left w:val="none" w:sz="0" w:space="0" w:color="auto"/>
        <w:bottom w:val="none" w:sz="0" w:space="0" w:color="auto"/>
        <w:right w:val="none" w:sz="0" w:space="0" w:color="auto"/>
      </w:divBdr>
    </w:div>
    <w:div w:id="418526866">
      <w:bodyDiv w:val="1"/>
      <w:marLeft w:val="0"/>
      <w:marRight w:val="0"/>
      <w:marTop w:val="0"/>
      <w:marBottom w:val="0"/>
      <w:divBdr>
        <w:top w:val="none" w:sz="0" w:space="0" w:color="auto"/>
        <w:left w:val="none" w:sz="0" w:space="0" w:color="auto"/>
        <w:bottom w:val="none" w:sz="0" w:space="0" w:color="auto"/>
        <w:right w:val="none" w:sz="0" w:space="0" w:color="auto"/>
      </w:divBdr>
    </w:div>
    <w:div w:id="468547854">
      <w:bodyDiv w:val="1"/>
      <w:marLeft w:val="0"/>
      <w:marRight w:val="0"/>
      <w:marTop w:val="0"/>
      <w:marBottom w:val="0"/>
      <w:divBdr>
        <w:top w:val="none" w:sz="0" w:space="0" w:color="auto"/>
        <w:left w:val="none" w:sz="0" w:space="0" w:color="auto"/>
        <w:bottom w:val="none" w:sz="0" w:space="0" w:color="auto"/>
        <w:right w:val="none" w:sz="0" w:space="0" w:color="auto"/>
      </w:divBdr>
    </w:div>
    <w:div w:id="573273966">
      <w:bodyDiv w:val="1"/>
      <w:marLeft w:val="0"/>
      <w:marRight w:val="0"/>
      <w:marTop w:val="0"/>
      <w:marBottom w:val="0"/>
      <w:divBdr>
        <w:top w:val="none" w:sz="0" w:space="0" w:color="auto"/>
        <w:left w:val="none" w:sz="0" w:space="0" w:color="auto"/>
        <w:bottom w:val="none" w:sz="0" w:space="0" w:color="auto"/>
        <w:right w:val="none" w:sz="0" w:space="0" w:color="auto"/>
      </w:divBdr>
    </w:div>
    <w:div w:id="624165258">
      <w:bodyDiv w:val="1"/>
      <w:marLeft w:val="0"/>
      <w:marRight w:val="0"/>
      <w:marTop w:val="0"/>
      <w:marBottom w:val="0"/>
      <w:divBdr>
        <w:top w:val="none" w:sz="0" w:space="0" w:color="auto"/>
        <w:left w:val="none" w:sz="0" w:space="0" w:color="auto"/>
        <w:bottom w:val="none" w:sz="0" w:space="0" w:color="auto"/>
        <w:right w:val="none" w:sz="0" w:space="0" w:color="auto"/>
      </w:divBdr>
    </w:div>
    <w:div w:id="626206838">
      <w:bodyDiv w:val="1"/>
      <w:marLeft w:val="0"/>
      <w:marRight w:val="0"/>
      <w:marTop w:val="0"/>
      <w:marBottom w:val="0"/>
      <w:divBdr>
        <w:top w:val="none" w:sz="0" w:space="0" w:color="auto"/>
        <w:left w:val="none" w:sz="0" w:space="0" w:color="auto"/>
        <w:bottom w:val="none" w:sz="0" w:space="0" w:color="auto"/>
        <w:right w:val="none" w:sz="0" w:space="0" w:color="auto"/>
      </w:divBdr>
    </w:div>
    <w:div w:id="642273905">
      <w:bodyDiv w:val="1"/>
      <w:marLeft w:val="0"/>
      <w:marRight w:val="0"/>
      <w:marTop w:val="0"/>
      <w:marBottom w:val="0"/>
      <w:divBdr>
        <w:top w:val="none" w:sz="0" w:space="0" w:color="auto"/>
        <w:left w:val="none" w:sz="0" w:space="0" w:color="auto"/>
        <w:bottom w:val="none" w:sz="0" w:space="0" w:color="auto"/>
        <w:right w:val="none" w:sz="0" w:space="0" w:color="auto"/>
      </w:divBdr>
    </w:div>
    <w:div w:id="706638639">
      <w:bodyDiv w:val="1"/>
      <w:marLeft w:val="0"/>
      <w:marRight w:val="0"/>
      <w:marTop w:val="0"/>
      <w:marBottom w:val="0"/>
      <w:divBdr>
        <w:top w:val="none" w:sz="0" w:space="0" w:color="auto"/>
        <w:left w:val="none" w:sz="0" w:space="0" w:color="auto"/>
        <w:bottom w:val="none" w:sz="0" w:space="0" w:color="auto"/>
        <w:right w:val="none" w:sz="0" w:space="0" w:color="auto"/>
      </w:divBdr>
    </w:div>
    <w:div w:id="716203021">
      <w:bodyDiv w:val="1"/>
      <w:marLeft w:val="0"/>
      <w:marRight w:val="0"/>
      <w:marTop w:val="0"/>
      <w:marBottom w:val="0"/>
      <w:divBdr>
        <w:top w:val="none" w:sz="0" w:space="0" w:color="auto"/>
        <w:left w:val="none" w:sz="0" w:space="0" w:color="auto"/>
        <w:bottom w:val="none" w:sz="0" w:space="0" w:color="auto"/>
        <w:right w:val="none" w:sz="0" w:space="0" w:color="auto"/>
      </w:divBdr>
    </w:div>
    <w:div w:id="721102949">
      <w:bodyDiv w:val="1"/>
      <w:marLeft w:val="0"/>
      <w:marRight w:val="0"/>
      <w:marTop w:val="0"/>
      <w:marBottom w:val="0"/>
      <w:divBdr>
        <w:top w:val="none" w:sz="0" w:space="0" w:color="auto"/>
        <w:left w:val="none" w:sz="0" w:space="0" w:color="auto"/>
        <w:bottom w:val="none" w:sz="0" w:space="0" w:color="auto"/>
        <w:right w:val="none" w:sz="0" w:space="0" w:color="auto"/>
      </w:divBdr>
    </w:div>
    <w:div w:id="736439682">
      <w:bodyDiv w:val="1"/>
      <w:marLeft w:val="0"/>
      <w:marRight w:val="0"/>
      <w:marTop w:val="0"/>
      <w:marBottom w:val="0"/>
      <w:divBdr>
        <w:top w:val="none" w:sz="0" w:space="0" w:color="auto"/>
        <w:left w:val="none" w:sz="0" w:space="0" w:color="auto"/>
        <w:bottom w:val="none" w:sz="0" w:space="0" w:color="auto"/>
        <w:right w:val="none" w:sz="0" w:space="0" w:color="auto"/>
      </w:divBdr>
      <w:divsChild>
        <w:div w:id="1903835070">
          <w:marLeft w:val="0"/>
          <w:marRight w:val="0"/>
          <w:marTop w:val="0"/>
          <w:marBottom w:val="0"/>
          <w:divBdr>
            <w:top w:val="none" w:sz="0" w:space="0" w:color="auto"/>
            <w:left w:val="none" w:sz="0" w:space="0" w:color="auto"/>
            <w:bottom w:val="none" w:sz="0" w:space="0" w:color="auto"/>
            <w:right w:val="none" w:sz="0" w:space="0" w:color="auto"/>
          </w:divBdr>
        </w:div>
        <w:div w:id="361134212">
          <w:marLeft w:val="0"/>
          <w:marRight w:val="0"/>
          <w:marTop w:val="0"/>
          <w:marBottom w:val="0"/>
          <w:divBdr>
            <w:top w:val="none" w:sz="0" w:space="0" w:color="auto"/>
            <w:left w:val="none" w:sz="0" w:space="0" w:color="auto"/>
            <w:bottom w:val="none" w:sz="0" w:space="0" w:color="auto"/>
            <w:right w:val="none" w:sz="0" w:space="0" w:color="auto"/>
          </w:divBdr>
        </w:div>
        <w:div w:id="369645034">
          <w:marLeft w:val="0"/>
          <w:marRight w:val="0"/>
          <w:marTop w:val="0"/>
          <w:marBottom w:val="0"/>
          <w:divBdr>
            <w:top w:val="none" w:sz="0" w:space="0" w:color="auto"/>
            <w:left w:val="none" w:sz="0" w:space="0" w:color="auto"/>
            <w:bottom w:val="none" w:sz="0" w:space="0" w:color="auto"/>
            <w:right w:val="none" w:sz="0" w:space="0" w:color="auto"/>
          </w:divBdr>
        </w:div>
        <w:div w:id="382289409">
          <w:marLeft w:val="0"/>
          <w:marRight w:val="0"/>
          <w:marTop w:val="0"/>
          <w:marBottom w:val="0"/>
          <w:divBdr>
            <w:top w:val="none" w:sz="0" w:space="0" w:color="auto"/>
            <w:left w:val="none" w:sz="0" w:space="0" w:color="auto"/>
            <w:bottom w:val="none" w:sz="0" w:space="0" w:color="auto"/>
            <w:right w:val="none" w:sz="0" w:space="0" w:color="auto"/>
          </w:divBdr>
        </w:div>
        <w:div w:id="559025374">
          <w:marLeft w:val="0"/>
          <w:marRight w:val="0"/>
          <w:marTop w:val="0"/>
          <w:marBottom w:val="0"/>
          <w:divBdr>
            <w:top w:val="none" w:sz="0" w:space="0" w:color="auto"/>
            <w:left w:val="none" w:sz="0" w:space="0" w:color="auto"/>
            <w:bottom w:val="none" w:sz="0" w:space="0" w:color="auto"/>
            <w:right w:val="none" w:sz="0" w:space="0" w:color="auto"/>
          </w:divBdr>
        </w:div>
        <w:div w:id="482352331">
          <w:marLeft w:val="0"/>
          <w:marRight w:val="0"/>
          <w:marTop w:val="0"/>
          <w:marBottom w:val="0"/>
          <w:divBdr>
            <w:top w:val="none" w:sz="0" w:space="0" w:color="auto"/>
            <w:left w:val="none" w:sz="0" w:space="0" w:color="auto"/>
            <w:bottom w:val="none" w:sz="0" w:space="0" w:color="auto"/>
            <w:right w:val="none" w:sz="0" w:space="0" w:color="auto"/>
          </w:divBdr>
        </w:div>
        <w:div w:id="742335009">
          <w:marLeft w:val="0"/>
          <w:marRight w:val="0"/>
          <w:marTop w:val="0"/>
          <w:marBottom w:val="0"/>
          <w:divBdr>
            <w:top w:val="none" w:sz="0" w:space="0" w:color="auto"/>
            <w:left w:val="none" w:sz="0" w:space="0" w:color="auto"/>
            <w:bottom w:val="none" w:sz="0" w:space="0" w:color="auto"/>
            <w:right w:val="none" w:sz="0" w:space="0" w:color="auto"/>
          </w:divBdr>
        </w:div>
        <w:div w:id="1441415233">
          <w:marLeft w:val="0"/>
          <w:marRight w:val="0"/>
          <w:marTop w:val="0"/>
          <w:marBottom w:val="0"/>
          <w:divBdr>
            <w:top w:val="none" w:sz="0" w:space="0" w:color="auto"/>
            <w:left w:val="none" w:sz="0" w:space="0" w:color="auto"/>
            <w:bottom w:val="none" w:sz="0" w:space="0" w:color="auto"/>
            <w:right w:val="none" w:sz="0" w:space="0" w:color="auto"/>
          </w:divBdr>
        </w:div>
        <w:div w:id="1994992304">
          <w:marLeft w:val="0"/>
          <w:marRight w:val="0"/>
          <w:marTop w:val="0"/>
          <w:marBottom w:val="0"/>
          <w:divBdr>
            <w:top w:val="none" w:sz="0" w:space="0" w:color="auto"/>
            <w:left w:val="none" w:sz="0" w:space="0" w:color="auto"/>
            <w:bottom w:val="none" w:sz="0" w:space="0" w:color="auto"/>
            <w:right w:val="none" w:sz="0" w:space="0" w:color="auto"/>
          </w:divBdr>
          <w:divsChild>
            <w:div w:id="702092790">
              <w:marLeft w:val="0"/>
              <w:marRight w:val="0"/>
              <w:marTop w:val="0"/>
              <w:marBottom w:val="0"/>
              <w:divBdr>
                <w:top w:val="none" w:sz="0" w:space="0" w:color="auto"/>
                <w:left w:val="none" w:sz="0" w:space="0" w:color="auto"/>
                <w:bottom w:val="none" w:sz="0" w:space="0" w:color="auto"/>
                <w:right w:val="none" w:sz="0" w:space="0" w:color="auto"/>
              </w:divBdr>
            </w:div>
            <w:div w:id="2133749545">
              <w:marLeft w:val="0"/>
              <w:marRight w:val="0"/>
              <w:marTop w:val="0"/>
              <w:marBottom w:val="0"/>
              <w:divBdr>
                <w:top w:val="none" w:sz="0" w:space="0" w:color="auto"/>
                <w:left w:val="none" w:sz="0" w:space="0" w:color="auto"/>
                <w:bottom w:val="none" w:sz="0" w:space="0" w:color="auto"/>
                <w:right w:val="none" w:sz="0" w:space="0" w:color="auto"/>
              </w:divBdr>
            </w:div>
            <w:div w:id="6789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2266">
      <w:bodyDiv w:val="1"/>
      <w:marLeft w:val="0"/>
      <w:marRight w:val="0"/>
      <w:marTop w:val="0"/>
      <w:marBottom w:val="0"/>
      <w:divBdr>
        <w:top w:val="none" w:sz="0" w:space="0" w:color="auto"/>
        <w:left w:val="none" w:sz="0" w:space="0" w:color="auto"/>
        <w:bottom w:val="none" w:sz="0" w:space="0" w:color="auto"/>
        <w:right w:val="none" w:sz="0" w:space="0" w:color="auto"/>
      </w:divBdr>
      <w:divsChild>
        <w:div w:id="676036248">
          <w:marLeft w:val="0"/>
          <w:marRight w:val="0"/>
          <w:marTop w:val="0"/>
          <w:marBottom w:val="0"/>
          <w:divBdr>
            <w:top w:val="none" w:sz="0" w:space="0" w:color="auto"/>
            <w:left w:val="none" w:sz="0" w:space="0" w:color="auto"/>
            <w:bottom w:val="none" w:sz="0" w:space="0" w:color="auto"/>
            <w:right w:val="none" w:sz="0" w:space="0" w:color="auto"/>
          </w:divBdr>
        </w:div>
      </w:divsChild>
    </w:div>
    <w:div w:id="748506394">
      <w:bodyDiv w:val="1"/>
      <w:marLeft w:val="0"/>
      <w:marRight w:val="0"/>
      <w:marTop w:val="0"/>
      <w:marBottom w:val="0"/>
      <w:divBdr>
        <w:top w:val="none" w:sz="0" w:space="0" w:color="auto"/>
        <w:left w:val="none" w:sz="0" w:space="0" w:color="auto"/>
        <w:bottom w:val="none" w:sz="0" w:space="0" w:color="auto"/>
        <w:right w:val="none" w:sz="0" w:space="0" w:color="auto"/>
      </w:divBdr>
    </w:div>
    <w:div w:id="761494013">
      <w:bodyDiv w:val="1"/>
      <w:marLeft w:val="0"/>
      <w:marRight w:val="0"/>
      <w:marTop w:val="0"/>
      <w:marBottom w:val="0"/>
      <w:divBdr>
        <w:top w:val="none" w:sz="0" w:space="0" w:color="auto"/>
        <w:left w:val="none" w:sz="0" w:space="0" w:color="auto"/>
        <w:bottom w:val="none" w:sz="0" w:space="0" w:color="auto"/>
        <w:right w:val="none" w:sz="0" w:space="0" w:color="auto"/>
      </w:divBdr>
    </w:div>
    <w:div w:id="795022041">
      <w:bodyDiv w:val="1"/>
      <w:marLeft w:val="0"/>
      <w:marRight w:val="0"/>
      <w:marTop w:val="0"/>
      <w:marBottom w:val="0"/>
      <w:divBdr>
        <w:top w:val="none" w:sz="0" w:space="0" w:color="auto"/>
        <w:left w:val="none" w:sz="0" w:space="0" w:color="auto"/>
        <w:bottom w:val="none" w:sz="0" w:space="0" w:color="auto"/>
        <w:right w:val="none" w:sz="0" w:space="0" w:color="auto"/>
      </w:divBdr>
    </w:div>
    <w:div w:id="801269469">
      <w:bodyDiv w:val="1"/>
      <w:marLeft w:val="0"/>
      <w:marRight w:val="0"/>
      <w:marTop w:val="0"/>
      <w:marBottom w:val="0"/>
      <w:divBdr>
        <w:top w:val="none" w:sz="0" w:space="0" w:color="auto"/>
        <w:left w:val="none" w:sz="0" w:space="0" w:color="auto"/>
        <w:bottom w:val="none" w:sz="0" w:space="0" w:color="auto"/>
        <w:right w:val="none" w:sz="0" w:space="0" w:color="auto"/>
      </w:divBdr>
      <w:divsChild>
        <w:div w:id="1664358351">
          <w:marLeft w:val="0"/>
          <w:marRight w:val="0"/>
          <w:marTop w:val="0"/>
          <w:marBottom w:val="0"/>
          <w:divBdr>
            <w:top w:val="none" w:sz="0" w:space="0" w:color="auto"/>
            <w:left w:val="none" w:sz="0" w:space="0" w:color="auto"/>
            <w:bottom w:val="none" w:sz="0" w:space="0" w:color="auto"/>
            <w:right w:val="none" w:sz="0" w:space="0" w:color="auto"/>
          </w:divBdr>
          <w:divsChild>
            <w:div w:id="970473522">
              <w:marLeft w:val="0"/>
              <w:marRight w:val="0"/>
              <w:marTop w:val="0"/>
              <w:marBottom w:val="0"/>
              <w:divBdr>
                <w:top w:val="none" w:sz="0" w:space="0" w:color="auto"/>
                <w:left w:val="none" w:sz="0" w:space="0" w:color="auto"/>
                <w:bottom w:val="none" w:sz="0" w:space="0" w:color="auto"/>
                <w:right w:val="none" w:sz="0" w:space="0" w:color="auto"/>
              </w:divBdr>
            </w:div>
          </w:divsChild>
        </w:div>
        <w:div w:id="1887139591">
          <w:marLeft w:val="0"/>
          <w:marRight w:val="0"/>
          <w:marTop w:val="0"/>
          <w:marBottom w:val="0"/>
          <w:divBdr>
            <w:top w:val="none" w:sz="0" w:space="0" w:color="auto"/>
            <w:left w:val="none" w:sz="0" w:space="0" w:color="auto"/>
            <w:bottom w:val="none" w:sz="0" w:space="0" w:color="auto"/>
            <w:right w:val="none" w:sz="0" w:space="0" w:color="auto"/>
          </w:divBdr>
        </w:div>
      </w:divsChild>
    </w:div>
    <w:div w:id="833647634">
      <w:bodyDiv w:val="1"/>
      <w:marLeft w:val="0"/>
      <w:marRight w:val="0"/>
      <w:marTop w:val="0"/>
      <w:marBottom w:val="0"/>
      <w:divBdr>
        <w:top w:val="none" w:sz="0" w:space="0" w:color="auto"/>
        <w:left w:val="none" w:sz="0" w:space="0" w:color="auto"/>
        <w:bottom w:val="none" w:sz="0" w:space="0" w:color="auto"/>
        <w:right w:val="none" w:sz="0" w:space="0" w:color="auto"/>
      </w:divBdr>
    </w:div>
    <w:div w:id="834997276">
      <w:bodyDiv w:val="1"/>
      <w:marLeft w:val="0"/>
      <w:marRight w:val="0"/>
      <w:marTop w:val="0"/>
      <w:marBottom w:val="0"/>
      <w:divBdr>
        <w:top w:val="none" w:sz="0" w:space="0" w:color="auto"/>
        <w:left w:val="none" w:sz="0" w:space="0" w:color="auto"/>
        <w:bottom w:val="none" w:sz="0" w:space="0" w:color="auto"/>
        <w:right w:val="none" w:sz="0" w:space="0" w:color="auto"/>
      </w:divBdr>
    </w:div>
    <w:div w:id="840436670">
      <w:bodyDiv w:val="1"/>
      <w:marLeft w:val="0"/>
      <w:marRight w:val="0"/>
      <w:marTop w:val="0"/>
      <w:marBottom w:val="0"/>
      <w:divBdr>
        <w:top w:val="none" w:sz="0" w:space="0" w:color="auto"/>
        <w:left w:val="none" w:sz="0" w:space="0" w:color="auto"/>
        <w:bottom w:val="none" w:sz="0" w:space="0" w:color="auto"/>
        <w:right w:val="none" w:sz="0" w:space="0" w:color="auto"/>
      </w:divBdr>
    </w:div>
    <w:div w:id="853231265">
      <w:bodyDiv w:val="1"/>
      <w:marLeft w:val="0"/>
      <w:marRight w:val="0"/>
      <w:marTop w:val="0"/>
      <w:marBottom w:val="0"/>
      <w:divBdr>
        <w:top w:val="none" w:sz="0" w:space="0" w:color="auto"/>
        <w:left w:val="none" w:sz="0" w:space="0" w:color="auto"/>
        <w:bottom w:val="none" w:sz="0" w:space="0" w:color="auto"/>
        <w:right w:val="none" w:sz="0" w:space="0" w:color="auto"/>
      </w:divBdr>
    </w:div>
    <w:div w:id="870991553">
      <w:bodyDiv w:val="1"/>
      <w:marLeft w:val="0"/>
      <w:marRight w:val="0"/>
      <w:marTop w:val="0"/>
      <w:marBottom w:val="0"/>
      <w:divBdr>
        <w:top w:val="none" w:sz="0" w:space="0" w:color="auto"/>
        <w:left w:val="none" w:sz="0" w:space="0" w:color="auto"/>
        <w:bottom w:val="none" w:sz="0" w:space="0" w:color="auto"/>
        <w:right w:val="none" w:sz="0" w:space="0" w:color="auto"/>
      </w:divBdr>
    </w:div>
    <w:div w:id="903954567">
      <w:bodyDiv w:val="1"/>
      <w:marLeft w:val="0"/>
      <w:marRight w:val="0"/>
      <w:marTop w:val="0"/>
      <w:marBottom w:val="0"/>
      <w:divBdr>
        <w:top w:val="none" w:sz="0" w:space="0" w:color="auto"/>
        <w:left w:val="none" w:sz="0" w:space="0" w:color="auto"/>
        <w:bottom w:val="none" w:sz="0" w:space="0" w:color="auto"/>
        <w:right w:val="none" w:sz="0" w:space="0" w:color="auto"/>
      </w:divBdr>
    </w:div>
    <w:div w:id="948203502">
      <w:bodyDiv w:val="1"/>
      <w:marLeft w:val="0"/>
      <w:marRight w:val="0"/>
      <w:marTop w:val="0"/>
      <w:marBottom w:val="0"/>
      <w:divBdr>
        <w:top w:val="none" w:sz="0" w:space="0" w:color="auto"/>
        <w:left w:val="none" w:sz="0" w:space="0" w:color="auto"/>
        <w:bottom w:val="none" w:sz="0" w:space="0" w:color="auto"/>
        <w:right w:val="none" w:sz="0" w:space="0" w:color="auto"/>
      </w:divBdr>
    </w:div>
    <w:div w:id="979186419">
      <w:bodyDiv w:val="1"/>
      <w:marLeft w:val="0"/>
      <w:marRight w:val="0"/>
      <w:marTop w:val="0"/>
      <w:marBottom w:val="0"/>
      <w:divBdr>
        <w:top w:val="none" w:sz="0" w:space="0" w:color="auto"/>
        <w:left w:val="none" w:sz="0" w:space="0" w:color="auto"/>
        <w:bottom w:val="none" w:sz="0" w:space="0" w:color="auto"/>
        <w:right w:val="none" w:sz="0" w:space="0" w:color="auto"/>
      </w:divBdr>
    </w:div>
    <w:div w:id="1007172996">
      <w:bodyDiv w:val="1"/>
      <w:marLeft w:val="0"/>
      <w:marRight w:val="0"/>
      <w:marTop w:val="0"/>
      <w:marBottom w:val="0"/>
      <w:divBdr>
        <w:top w:val="none" w:sz="0" w:space="0" w:color="auto"/>
        <w:left w:val="none" w:sz="0" w:space="0" w:color="auto"/>
        <w:bottom w:val="none" w:sz="0" w:space="0" w:color="auto"/>
        <w:right w:val="none" w:sz="0" w:space="0" w:color="auto"/>
      </w:divBdr>
    </w:div>
    <w:div w:id="1013071116">
      <w:bodyDiv w:val="1"/>
      <w:marLeft w:val="0"/>
      <w:marRight w:val="0"/>
      <w:marTop w:val="0"/>
      <w:marBottom w:val="0"/>
      <w:divBdr>
        <w:top w:val="none" w:sz="0" w:space="0" w:color="auto"/>
        <w:left w:val="none" w:sz="0" w:space="0" w:color="auto"/>
        <w:bottom w:val="none" w:sz="0" w:space="0" w:color="auto"/>
        <w:right w:val="none" w:sz="0" w:space="0" w:color="auto"/>
      </w:divBdr>
    </w:div>
    <w:div w:id="1027635194">
      <w:bodyDiv w:val="1"/>
      <w:marLeft w:val="0"/>
      <w:marRight w:val="0"/>
      <w:marTop w:val="0"/>
      <w:marBottom w:val="0"/>
      <w:divBdr>
        <w:top w:val="none" w:sz="0" w:space="0" w:color="auto"/>
        <w:left w:val="none" w:sz="0" w:space="0" w:color="auto"/>
        <w:bottom w:val="none" w:sz="0" w:space="0" w:color="auto"/>
        <w:right w:val="none" w:sz="0" w:space="0" w:color="auto"/>
      </w:divBdr>
    </w:div>
    <w:div w:id="1052577798">
      <w:bodyDiv w:val="1"/>
      <w:marLeft w:val="0"/>
      <w:marRight w:val="0"/>
      <w:marTop w:val="0"/>
      <w:marBottom w:val="0"/>
      <w:divBdr>
        <w:top w:val="none" w:sz="0" w:space="0" w:color="auto"/>
        <w:left w:val="none" w:sz="0" w:space="0" w:color="auto"/>
        <w:bottom w:val="none" w:sz="0" w:space="0" w:color="auto"/>
        <w:right w:val="none" w:sz="0" w:space="0" w:color="auto"/>
      </w:divBdr>
    </w:div>
    <w:div w:id="1105466632">
      <w:bodyDiv w:val="1"/>
      <w:marLeft w:val="0"/>
      <w:marRight w:val="0"/>
      <w:marTop w:val="0"/>
      <w:marBottom w:val="0"/>
      <w:divBdr>
        <w:top w:val="none" w:sz="0" w:space="0" w:color="auto"/>
        <w:left w:val="none" w:sz="0" w:space="0" w:color="auto"/>
        <w:bottom w:val="none" w:sz="0" w:space="0" w:color="auto"/>
        <w:right w:val="none" w:sz="0" w:space="0" w:color="auto"/>
      </w:divBdr>
    </w:div>
    <w:div w:id="1114911014">
      <w:bodyDiv w:val="1"/>
      <w:marLeft w:val="0"/>
      <w:marRight w:val="0"/>
      <w:marTop w:val="0"/>
      <w:marBottom w:val="0"/>
      <w:divBdr>
        <w:top w:val="none" w:sz="0" w:space="0" w:color="auto"/>
        <w:left w:val="none" w:sz="0" w:space="0" w:color="auto"/>
        <w:bottom w:val="none" w:sz="0" w:space="0" w:color="auto"/>
        <w:right w:val="none" w:sz="0" w:space="0" w:color="auto"/>
      </w:divBdr>
    </w:div>
    <w:div w:id="1139419208">
      <w:bodyDiv w:val="1"/>
      <w:marLeft w:val="0"/>
      <w:marRight w:val="0"/>
      <w:marTop w:val="0"/>
      <w:marBottom w:val="0"/>
      <w:divBdr>
        <w:top w:val="none" w:sz="0" w:space="0" w:color="auto"/>
        <w:left w:val="none" w:sz="0" w:space="0" w:color="auto"/>
        <w:bottom w:val="none" w:sz="0" w:space="0" w:color="auto"/>
        <w:right w:val="none" w:sz="0" w:space="0" w:color="auto"/>
      </w:divBdr>
    </w:div>
    <w:div w:id="1176771649">
      <w:bodyDiv w:val="1"/>
      <w:marLeft w:val="0"/>
      <w:marRight w:val="0"/>
      <w:marTop w:val="0"/>
      <w:marBottom w:val="0"/>
      <w:divBdr>
        <w:top w:val="none" w:sz="0" w:space="0" w:color="auto"/>
        <w:left w:val="none" w:sz="0" w:space="0" w:color="auto"/>
        <w:bottom w:val="none" w:sz="0" w:space="0" w:color="auto"/>
        <w:right w:val="none" w:sz="0" w:space="0" w:color="auto"/>
      </w:divBdr>
    </w:div>
    <w:div w:id="1206676996">
      <w:bodyDiv w:val="1"/>
      <w:marLeft w:val="0"/>
      <w:marRight w:val="0"/>
      <w:marTop w:val="0"/>
      <w:marBottom w:val="0"/>
      <w:divBdr>
        <w:top w:val="none" w:sz="0" w:space="0" w:color="auto"/>
        <w:left w:val="none" w:sz="0" w:space="0" w:color="auto"/>
        <w:bottom w:val="none" w:sz="0" w:space="0" w:color="auto"/>
        <w:right w:val="none" w:sz="0" w:space="0" w:color="auto"/>
      </w:divBdr>
    </w:div>
    <w:div w:id="1255699654">
      <w:bodyDiv w:val="1"/>
      <w:marLeft w:val="0"/>
      <w:marRight w:val="0"/>
      <w:marTop w:val="0"/>
      <w:marBottom w:val="0"/>
      <w:divBdr>
        <w:top w:val="none" w:sz="0" w:space="0" w:color="auto"/>
        <w:left w:val="none" w:sz="0" w:space="0" w:color="auto"/>
        <w:bottom w:val="none" w:sz="0" w:space="0" w:color="auto"/>
        <w:right w:val="none" w:sz="0" w:space="0" w:color="auto"/>
      </w:divBdr>
      <w:divsChild>
        <w:div w:id="1633367429">
          <w:marLeft w:val="0"/>
          <w:marRight w:val="0"/>
          <w:marTop w:val="100"/>
          <w:marBottom w:val="100"/>
          <w:divBdr>
            <w:top w:val="none" w:sz="0" w:space="0" w:color="auto"/>
            <w:left w:val="none" w:sz="0" w:space="0" w:color="auto"/>
            <w:bottom w:val="none" w:sz="0" w:space="0" w:color="auto"/>
            <w:right w:val="none" w:sz="0" w:space="0" w:color="auto"/>
          </w:divBdr>
        </w:div>
      </w:divsChild>
    </w:div>
    <w:div w:id="1277323253">
      <w:bodyDiv w:val="1"/>
      <w:marLeft w:val="0"/>
      <w:marRight w:val="0"/>
      <w:marTop w:val="0"/>
      <w:marBottom w:val="0"/>
      <w:divBdr>
        <w:top w:val="none" w:sz="0" w:space="0" w:color="auto"/>
        <w:left w:val="none" w:sz="0" w:space="0" w:color="auto"/>
        <w:bottom w:val="none" w:sz="0" w:space="0" w:color="auto"/>
        <w:right w:val="none" w:sz="0" w:space="0" w:color="auto"/>
      </w:divBdr>
      <w:divsChild>
        <w:div w:id="271671593">
          <w:marLeft w:val="0"/>
          <w:marRight w:val="0"/>
          <w:marTop w:val="0"/>
          <w:marBottom w:val="0"/>
          <w:divBdr>
            <w:top w:val="none" w:sz="0" w:space="0" w:color="auto"/>
            <w:left w:val="none" w:sz="0" w:space="0" w:color="auto"/>
            <w:bottom w:val="none" w:sz="0" w:space="0" w:color="auto"/>
            <w:right w:val="none" w:sz="0" w:space="0" w:color="auto"/>
          </w:divBdr>
        </w:div>
        <w:div w:id="528490203">
          <w:marLeft w:val="0"/>
          <w:marRight w:val="0"/>
          <w:marTop w:val="0"/>
          <w:marBottom w:val="0"/>
          <w:divBdr>
            <w:top w:val="none" w:sz="0" w:space="0" w:color="auto"/>
            <w:left w:val="none" w:sz="0" w:space="0" w:color="auto"/>
            <w:bottom w:val="none" w:sz="0" w:space="0" w:color="auto"/>
            <w:right w:val="none" w:sz="0" w:space="0" w:color="auto"/>
          </w:divBdr>
        </w:div>
        <w:div w:id="1095319700">
          <w:marLeft w:val="0"/>
          <w:marRight w:val="0"/>
          <w:marTop w:val="0"/>
          <w:marBottom w:val="0"/>
          <w:divBdr>
            <w:top w:val="none" w:sz="0" w:space="0" w:color="auto"/>
            <w:left w:val="none" w:sz="0" w:space="0" w:color="auto"/>
            <w:bottom w:val="none" w:sz="0" w:space="0" w:color="auto"/>
            <w:right w:val="none" w:sz="0" w:space="0" w:color="auto"/>
          </w:divBdr>
        </w:div>
        <w:div w:id="1268926210">
          <w:marLeft w:val="0"/>
          <w:marRight w:val="0"/>
          <w:marTop w:val="0"/>
          <w:marBottom w:val="0"/>
          <w:divBdr>
            <w:top w:val="none" w:sz="0" w:space="0" w:color="auto"/>
            <w:left w:val="none" w:sz="0" w:space="0" w:color="auto"/>
            <w:bottom w:val="none" w:sz="0" w:space="0" w:color="auto"/>
            <w:right w:val="none" w:sz="0" w:space="0" w:color="auto"/>
          </w:divBdr>
        </w:div>
        <w:div w:id="1439986990">
          <w:marLeft w:val="0"/>
          <w:marRight w:val="0"/>
          <w:marTop w:val="0"/>
          <w:marBottom w:val="0"/>
          <w:divBdr>
            <w:top w:val="none" w:sz="0" w:space="0" w:color="auto"/>
            <w:left w:val="none" w:sz="0" w:space="0" w:color="auto"/>
            <w:bottom w:val="none" w:sz="0" w:space="0" w:color="auto"/>
            <w:right w:val="none" w:sz="0" w:space="0" w:color="auto"/>
          </w:divBdr>
        </w:div>
        <w:div w:id="1450007042">
          <w:marLeft w:val="0"/>
          <w:marRight w:val="0"/>
          <w:marTop w:val="0"/>
          <w:marBottom w:val="0"/>
          <w:divBdr>
            <w:top w:val="none" w:sz="0" w:space="0" w:color="auto"/>
            <w:left w:val="none" w:sz="0" w:space="0" w:color="auto"/>
            <w:bottom w:val="none" w:sz="0" w:space="0" w:color="auto"/>
            <w:right w:val="none" w:sz="0" w:space="0" w:color="auto"/>
          </w:divBdr>
        </w:div>
        <w:div w:id="1759248566">
          <w:marLeft w:val="0"/>
          <w:marRight w:val="0"/>
          <w:marTop w:val="0"/>
          <w:marBottom w:val="0"/>
          <w:divBdr>
            <w:top w:val="none" w:sz="0" w:space="0" w:color="auto"/>
            <w:left w:val="none" w:sz="0" w:space="0" w:color="auto"/>
            <w:bottom w:val="none" w:sz="0" w:space="0" w:color="auto"/>
            <w:right w:val="none" w:sz="0" w:space="0" w:color="auto"/>
          </w:divBdr>
        </w:div>
        <w:div w:id="2012878305">
          <w:marLeft w:val="0"/>
          <w:marRight w:val="0"/>
          <w:marTop w:val="0"/>
          <w:marBottom w:val="0"/>
          <w:divBdr>
            <w:top w:val="none" w:sz="0" w:space="0" w:color="auto"/>
            <w:left w:val="none" w:sz="0" w:space="0" w:color="auto"/>
            <w:bottom w:val="none" w:sz="0" w:space="0" w:color="auto"/>
            <w:right w:val="none" w:sz="0" w:space="0" w:color="auto"/>
          </w:divBdr>
        </w:div>
        <w:div w:id="2139953340">
          <w:marLeft w:val="0"/>
          <w:marRight w:val="0"/>
          <w:marTop w:val="0"/>
          <w:marBottom w:val="0"/>
          <w:divBdr>
            <w:top w:val="none" w:sz="0" w:space="0" w:color="auto"/>
            <w:left w:val="none" w:sz="0" w:space="0" w:color="auto"/>
            <w:bottom w:val="none" w:sz="0" w:space="0" w:color="auto"/>
            <w:right w:val="none" w:sz="0" w:space="0" w:color="auto"/>
          </w:divBdr>
        </w:div>
      </w:divsChild>
    </w:div>
    <w:div w:id="1289240218">
      <w:bodyDiv w:val="1"/>
      <w:marLeft w:val="0"/>
      <w:marRight w:val="0"/>
      <w:marTop w:val="0"/>
      <w:marBottom w:val="0"/>
      <w:divBdr>
        <w:top w:val="none" w:sz="0" w:space="0" w:color="auto"/>
        <w:left w:val="none" w:sz="0" w:space="0" w:color="auto"/>
        <w:bottom w:val="none" w:sz="0" w:space="0" w:color="auto"/>
        <w:right w:val="none" w:sz="0" w:space="0" w:color="auto"/>
      </w:divBdr>
    </w:div>
    <w:div w:id="1300458594">
      <w:bodyDiv w:val="1"/>
      <w:marLeft w:val="0"/>
      <w:marRight w:val="0"/>
      <w:marTop w:val="0"/>
      <w:marBottom w:val="0"/>
      <w:divBdr>
        <w:top w:val="none" w:sz="0" w:space="0" w:color="auto"/>
        <w:left w:val="none" w:sz="0" w:space="0" w:color="auto"/>
        <w:bottom w:val="none" w:sz="0" w:space="0" w:color="auto"/>
        <w:right w:val="none" w:sz="0" w:space="0" w:color="auto"/>
      </w:divBdr>
    </w:div>
    <w:div w:id="1306281623">
      <w:bodyDiv w:val="1"/>
      <w:marLeft w:val="0"/>
      <w:marRight w:val="0"/>
      <w:marTop w:val="0"/>
      <w:marBottom w:val="0"/>
      <w:divBdr>
        <w:top w:val="none" w:sz="0" w:space="0" w:color="auto"/>
        <w:left w:val="none" w:sz="0" w:space="0" w:color="auto"/>
        <w:bottom w:val="none" w:sz="0" w:space="0" w:color="auto"/>
        <w:right w:val="none" w:sz="0" w:space="0" w:color="auto"/>
      </w:divBdr>
    </w:div>
    <w:div w:id="1324115781">
      <w:bodyDiv w:val="1"/>
      <w:marLeft w:val="0"/>
      <w:marRight w:val="0"/>
      <w:marTop w:val="0"/>
      <w:marBottom w:val="0"/>
      <w:divBdr>
        <w:top w:val="none" w:sz="0" w:space="0" w:color="auto"/>
        <w:left w:val="none" w:sz="0" w:space="0" w:color="auto"/>
        <w:bottom w:val="none" w:sz="0" w:space="0" w:color="auto"/>
        <w:right w:val="none" w:sz="0" w:space="0" w:color="auto"/>
      </w:divBdr>
    </w:div>
    <w:div w:id="1385524992">
      <w:bodyDiv w:val="1"/>
      <w:marLeft w:val="0"/>
      <w:marRight w:val="0"/>
      <w:marTop w:val="0"/>
      <w:marBottom w:val="0"/>
      <w:divBdr>
        <w:top w:val="none" w:sz="0" w:space="0" w:color="auto"/>
        <w:left w:val="none" w:sz="0" w:space="0" w:color="auto"/>
        <w:bottom w:val="none" w:sz="0" w:space="0" w:color="auto"/>
        <w:right w:val="none" w:sz="0" w:space="0" w:color="auto"/>
      </w:divBdr>
    </w:div>
    <w:div w:id="1399942153">
      <w:bodyDiv w:val="1"/>
      <w:marLeft w:val="0"/>
      <w:marRight w:val="0"/>
      <w:marTop w:val="0"/>
      <w:marBottom w:val="0"/>
      <w:divBdr>
        <w:top w:val="none" w:sz="0" w:space="0" w:color="auto"/>
        <w:left w:val="none" w:sz="0" w:space="0" w:color="auto"/>
        <w:bottom w:val="none" w:sz="0" w:space="0" w:color="auto"/>
        <w:right w:val="none" w:sz="0" w:space="0" w:color="auto"/>
      </w:divBdr>
      <w:divsChild>
        <w:div w:id="1566332823">
          <w:marLeft w:val="0"/>
          <w:marRight w:val="0"/>
          <w:marTop w:val="0"/>
          <w:marBottom w:val="0"/>
          <w:divBdr>
            <w:top w:val="none" w:sz="0" w:space="0" w:color="auto"/>
            <w:left w:val="none" w:sz="0" w:space="0" w:color="auto"/>
            <w:bottom w:val="none" w:sz="0" w:space="0" w:color="auto"/>
            <w:right w:val="none" w:sz="0" w:space="0" w:color="auto"/>
          </w:divBdr>
        </w:div>
        <w:div w:id="1588462220">
          <w:marLeft w:val="0"/>
          <w:marRight w:val="0"/>
          <w:marTop w:val="0"/>
          <w:marBottom w:val="0"/>
          <w:divBdr>
            <w:top w:val="none" w:sz="0" w:space="0" w:color="auto"/>
            <w:left w:val="none" w:sz="0" w:space="0" w:color="auto"/>
            <w:bottom w:val="none" w:sz="0" w:space="0" w:color="auto"/>
            <w:right w:val="none" w:sz="0" w:space="0" w:color="auto"/>
          </w:divBdr>
        </w:div>
        <w:div w:id="1050887616">
          <w:marLeft w:val="0"/>
          <w:marRight w:val="0"/>
          <w:marTop w:val="0"/>
          <w:marBottom w:val="0"/>
          <w:divBdr>
            <w:top w:val="none" w:sz="0" w:space="0" w:color="auto"/>
            <w:left w:val="none" w:sz="0" w:space="0" w:color="auto"/>
            <w:bottom w:val="none" w:sz="0" w:space="0" w:color="auto"/>
            <w:right w:val="none" w:sz="0" w:space="0" w:color="auto"/>
          </w:divBdr>
        </w:div>
        <w:div w:id="1888495148">
          <w:marLeft w:val="0"/>
          <w:marRight w:val="0"/>
          <w:marTop w:val="0"/>
          <w:marBottom w:val="0"/>
          <w:divBdr>
            <w:top w:val="none" w:sz="0" w:space="0" w:color="auto"/>
            <w:left w:val="none" w:sz="0" w:space="0" w:color="auto"/>
            <w:bottom w:val="none" w:sz="0" w:space="0" w:color="auto"/>
            <w:right w:val="none" w:sz="0" w:space="0" w:color="auto"/>
          </w:divBdr>
        </w:div>
        <w:div w:id="1806121126">
          <w:marLeft w:val="0"/>
          <w:marRight w:val="0"/>
          <w:marTop w:val="0"/>
          <w:marBottom w:val="0"/>
          <w:divBdr>
            <w:top w:val="none" w:sz="0" w:space="0" w:color="auto"/>
            <w:left w:val="none" w:sz="0" w:space="0" w:color="auto"/>
            <w:bottom w:val="none" w:sz="0" w:space="0" w:color="auto"/>
            <w:right w:val="none" w:sz="0" w:space="0" w:color="auto"/>
          </w:divBdr>
        </w:div>
        <w:div w:id="1202093700">
          <w:marLeft w:val="0"/>
          <w:marRight w:val="0"/>
          <w:marTop w:val="0"/>
          <w:marBottom w:val="0"/>
          <w:divBdr>
            <w:top w:val="none" w:sz="0" w:space="0" w:color="auto"/>
            <w:left w:val="none" w:sz="0" w:space="0" w:color="auto"/>
            <w:bottom w:val="none" w:sz="0" w:space="0" w:color="auto"/>
            <w:right w:val="none" w:sz="0" w:space="0" w:color="auto"/>
          </w:divBdr>
        </w:div>
        <w:div w:id="1263298133">
          <w:marLeft w:val="0"/>
          <w:marRight w:val="0"/>
          <w:marTop w:val="0"/>
          <w:marBottom w:val="0"/>
          <w:divBdr>
            <w:top w:val="none" w:sz="0" w:space="0" w:color="auto"/>
            <w:left w:val="none" w:sz="0" w:space="0" w:color="auto"/>
            <w:bottom w:val="none" w:sz="0" w:space="0" w:color="auto"/>
            <w:right w:val="none" w:sz="0" w:space="0" w:color="auto"/>
          </w:divBdr>
        </w:div>
        <w:div w:id="1723141246">
          <w:marLeft w:val="0"/>
          <w:marRight w:val="0"/>
          <w:marTop w:val="0"/>
          <w:marBottom w:val="0"/>
          <w:divBdr>
            <w:top w:val="none" w:sz="0" w:space="0" w:color="auto"/>
            <w:left w:val="none" w:sz="0" w:space="0" w:color="auto"/>
            <w:bottom w:val="none" w:sz="0" w:space="0" w:color="auto"/>
            <w:right w:val="none" w:sz="0" w:space="0" w:color="auto"/>
          </w:divBdr>
        </w:div>
        <w:div w:id="1277518320">
          <w:marLeft w:val="0"/>
          <w:marRight w:val="0"/>
          <w:marTop w:val="0"/>
          <w:marBottom w:val="0"/>
          <w:divBdr>
            <w:top w:val="none" w:sz="0" w:space="0" w:color="auto"/>
            <w:left w:val="none" w:sz="0" w:space="0" w:color="auto"/>
            <w:bottom w:val="none" w:sz="0" w:space="0" w:color="auto"/>
            <w:right w:val="none" w:sz="0" w:space="0" w:color="auto"/>
          </w:divBdr>
          <w:divsChild>
            <w:div w:id="1470518388">
              <w:marLeft w:val="0"/>
              <w:marRight w:val="0"/>
              <w:marTop w:val="0"/>
              <w:marBottom w:val="0"/>
              <w:divBdr>
                <w:top w:val="none" w:sz="0" w:space="0" w:color="auto"/>
                <w:left w:val="none" w:sz="0" w:space="0" w:color="auto"/>
                <w:bottom w:val="none" w:sz="0" w:space="0" w:color="auto"/>
                <w:right w:val="none" w:sz="0" w:space="0" w:color="auto"/>
              </w:divBdr>
            </w:div>
            <w:div w:id="2147234380">
              <w:marLeft w:val="0"/>
              <w:marRight w:val="0"/>
              <w:marTop w:val="0"/>
              <w:marBottom w:val="0"/>
              <w:divBdr>
                <w:top w:val="none" w:sz="0" w:space="0" w:color="auto"/>
                <w:left w:val="none" w:sz="0" w:space="0" w:color="auto"/>
                <w:bottom w:val="none" w:sz="0" w:space="0" w:color="auto"/>
                <w:right w:val="none" w:sz="0" w:space="0" w:color="auto"/>
              </w:divBdr>
            </w:div>
            <w:div w:id="7654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4409">
      <w:bodyDiv w:val="1"/>
      <w:marLeft w:val="0"/>
      <w:marRight w:val="0"/>
      <w:marTop w:val="0"/>
      <w:marBottom w:val="0"/>
      <w:divBdr>
        <w:top w:val="none" w:sz="0" w:space="0" w:color="auto"/>
        <w:left w:val="none" w:sz="0" w:space="0" w:color="auto"/>
        <w:bottom w:val="none" w:sz="0" w:space="0" w:color="auto"/>
        <w:right w:val="none" w:sz="0" w:space="0" w:color="auto"/>
      </w:divBdr>
    </w:div>
    <w:div w:id="1473400921">
      <w:bodyDiv w:val="1"/>
      <w:marLeft w:val="0"/>
      <w:marRight w:val="0"/>
      <w:marTop w:val="0"/>
      <w:marBottom w:val="0"/>
      <w:divBdr>
        <w:top w:val="none" w:sz="0" w:space="0" w:color="auto"/>
        <w:left w:val="none" w:sz="0" w:space="0" w:color="auto"/>
        <w:bottom w:val="none" w:sz="0" w:space="0" w:color="auto"/>
        <w:right w:val="none" w:sz="0" w:space="0" w:color="auto"/>
      </w:divBdr>
    </w:div>
    <w:div w:id="1476097943">
      <w:bodyDiv w:val="1"/>
      <w:marLeft w:val="0"/>
      <w:marRight w:val="0"/>
      <w:marTop w:val="0"/>
      <w:marBottom w:val="0"/>
      <w:divBdr>
        <w:top w:val="none" w:sz="0" w:space="0" w:color="auto"/>
        <w:left w:val="none" w:sz="0" w:space="0" w:color="auto"/>
        <w:bottom w:val="none" w:sz="0" w:space="0" w:color="auto"/>
        <w:right w:val="none" w:sz="0" w:space="0" w:color="auto"/>
      </w:divBdr>
    </w:div>
    <w:div w:id="1495338224">
      <w:bodyDiv w:val="1"/>
      <w:marLeft w:val="0"/>
      <w:marRight w:val="0"/>
      <w:marTop w:val="0"/>
      <w:marBottom w:val="0"/>
      <w:divBdr>
        <w:top w:val="none" w:sz="0" w:space="0" w:color="auto"/>
        <w:left w:val="none" w:sz="0" w:space="0" w:color="auto"/>
        <w:bottom w:val="none" w:sz="0" w:space="0" w:color="auto"/>
        <w:right w:val="none" w:sz="0" w:space="0" w:color="auto"/>
      </w:divBdr>
    </w:div>
    <w:div w:id="1495417379">
      <w:bodyDiv w:val="1"/>
      <w:marLeft w:val="0"/>
      <w:marRight w:val="0"/>
      <w:marTop w:val="0"/>
      <w:marBottom w:val="0"/>
      <w:divBdr>
        <w:top w:val="none" w:sz="0" w:space="0" w:color="auto"/>
        <w:left w:val="none" w:sz="0" w:space="0" w:color="auto"/>
        <w:bottom w:val="none" w:sz="0" w:space="0" w:color="auto"/>
        <w:right w:val="none" w:sz="0" w:space="0" w:color="auto"/>
      </w:divBdr>
    </w:div>
    <w:div w:id="1504933279">
      <w:bodyDiv w:val="1"/>
      <w:marLeft w:val="0"/>
      <w:marRight w:val="0"/>
      <w:marTop w:val="0"/>
      <w:marBottom w:val="0"/>
      <w:divBdr>
        <w:top w:val="none" w:sz="0" w:space="0" w:color="auto"/>
        <w:left w:val="none" w:sz="0" w:space="0" w:color="auto"/>
        <w:bottom w:val="none" w:sz="0" w:space="0" w:color="auto"/>
        <w:right w:val="none" w:sz="0" w:space="0" w:color="auto"/>
      </w:divBdr>
    </w:div>
    <w:div w:id="1529828513">
      <w:bodyDiv w:val="1"/>
      <w:marLeft w:val="0"/>
      <w:marRight w:val="0"/>
      <w:marTop w:val="0"/>
      <w:marBottom w:val="0"/>
      <w:divBdr>
        <w:top w:val="none" w:sz="0" w:space="0" w:color="auto"/>
        <w:left w:val="none" w:sz="0" w:space="0" w:color="auto"/>
        <w:bottom w:val="none" w:sz="0" w:space="0" w:color="auto"/>
        <w:right w:val="none" w:sz="0" w:space="0" w:color="auto"/>
      </w:divBdr>
    </w:div>
    <w:div w:id="1531604453">
      <w:bodyDiv w:val="1"/>
      <w:marLeft w:val="0"/>
      <w:marRight w:val="0"/>
      <w:marTop w:val="0"/>
      <w:marBottom w:val="0"/>
      <w:divBdr>
        <w:top w:val="none" w:sz="0" w:space="0" w:color="auto"/>
        <w:left w:val="none" w:sz="0" w:space="0" w:color="auto"/>
        <w:bottom w:val="none" w:sz="0" w:space="0" w:color="auto"/>
        <w:right w:val="none" w:sz="0" w:space="0" w:color="auto"/>
      </w:divBdr>
    </w:div>
    <w:div w:id="1566451327">
      <w:bodyDiv w:val="1"/>
      <w:marLeft w:val="0"/>
      <w:marRight w:val="0"/>
      <w:marTop w:val="0"/>
      <w:marBottom w:val="0"/>
      <w:divBdr>
        <w:top w:val="none" w:sz="0" w:space="0" w:color="auto"/>
        <w:left w:val="none" w:sz="0" w:space="0" w:color="auto"/>
        <w:bottom w:val="none" w:sz="0" w:space="0" w:color="auto"/>
        <w:right w:val="none" w:sz="0" w:space="0" w:color="auto"/>
      </w:divBdr>
    </w:div>
    <w:div w:id="1598560742">
      <w:bodyDiv w:val="1"/>
      <w:marLeft w:val="0"/>
      <w:marRight w:val="0"/>
      <w:marTop w:val="0"/>
      <w:marBottom w:val="0"/>
      <w:divBdr>
        <w:top w:val="none" w:sz="0" w:space="0" w:color="auto"/>
        <w:left w:val="none" w:sz="0" w:space="0" w:color="auto"/>
        <w:bottom w:val="none" w:sz="0" w:space="0" w:color="auto"/>
        <w:right w:val="none" w:sz="0" w:space="0" w:color="auto"/>
      </w:divBdr>
    </w:div>
    <w:div w:id="1628395137">
      <w:bodyDiv w:val="1"/>
      <w:marLeft w:val="0"/>
      <w:marRight w:val="0"/>
      <w:marTop w:val="0"/>
      <w:marBottom w:val="0"/>
      <w:divBdr>
        <w:top w:val="none" w:sz="0" w:space="0" w:color="auto"/>
        <w:left w:val="none" w:sz="0" w:space="0" w:color="auto"/>
        <w:bottom w:val="none" w:sz="0" w:space="0" w:color="auto"/>
        <w:right w:val="none" w:sz="0" w:space="0" w:color="auto"/>
      </w:divBdr>
    </w:div>
    <w:div w:id="1633368804">
      <w:bodyDiv w:val="1"/>
      <w:marLeft w:val="0"/>
      <w:marRight w:val="0"/>
      <w:marTop w:val="0"/>
      <w:marBottom w:val="0"/>
      <w:divBdr>
        <w:top w:val="none" w:sz="0" w:space="0" w:color="auto"/>
        <w:left w:val="none" w:sz="0" w:space="0" w:color="auto"/>
        <w:bottom w:val="none" w:sz="0" w:space="0" w:color="auto"/>
        <w:right w:val="none" w:sz="0" w:space="0" w:color="auto"/>
      </w:divBdr>
      <w:divsChild>
        <w:div w:id="202251883">
          <w:marLeft w:val="0"/>
          <w:marRight w:val="0"/>
          <w:marTop w:val="0"/>
          <w:marBottom w:val="0"/>
          <w:divBdr>
            <w:top w:val="none" w:sz="0" w:space="0" w:color="auto"/>
            <w:left w:val="none" w:sz="0" w:space="0" w:color="auto"/>
            <w:bottom w:val="none" w:sz="0" w:space="0" w:color="auto"/>
            <w:right w:val="none" w:sz="0" w:space="0" w:color="auto"/>
          </w:divBdr>
        </w:div>
        <w:div w:id="277756501">
          <w:marLeft w:val="0"/>
          <w:marRight w:val="0"/>
          <w:marTop w:val="0"/>
          <w:marBottom w:val="0"/>
          <w:divBdr>
            <w:top w:val="none" w:sz="0" w:space="0" w:color="auto"/>
            <w:left w:val="none" w:sz="0" w:space="0" w:color="auto"/>
            <w:bottom w:val="none" w:sz="0" w:space="0" w:color="auto"/>
            <w:right w:val="none" w:sz="0" w:space="0" w:color="auto"/>
          </w:divBdr>
        </w:div>
      </w:divsChild>
    </w:div>
    <w:div w:id="1637103463">
      <w:bodyDiv w:val="1"/>
      <w:marLeft w:val="0"/>
      <w:marRight w:val="0"/>
      <w:marTop w:val="0"/>
      <w:marBottom w:val="0"/>
      <w:divBdr>
        <w:top w:val="none" w:sz="0" w:space="0" w:color="auto"/>
        <w:left w:val="none" w:sz="0" w:space="0" w:color="auto"/>
        <w:bottom w:val="none" w:sz="0" w:space="0" w:color="auto"/>
        <w:right w:val="none" w:sz="0" w:space="0" w:color="auto"/>
      </w:divBdr>
    </w:div>
    <w:div w:id="1637755622">
      <w:bodyDiv w:val="1"/>
      <w:marLeft w:val="0"/>
      <w:marRight w:val="0"/>
      <w:marTop w:val="0"/>
      <w:marBottom w:val="0"/>
      <w:divBdr>
        <w:top w:val="none" w:sz="0" w:space="0" w:color="auto"/>
        <w:left w:val="none" w:sz="0" w:space="0" w:color="auto"/>
        <w:bottom w:val="none" w:sz="0" w:space="0" w:color="auto"/>
        <w:right w:val="none" w:sz="0" w:space="0" w:color="auto"/>
      </w:divBdr>
    </w:div>
    <w:div w:id="1678191542">
      <w:bodyDiv w:val="1"/>
      <w:marLeft w:val="0"/>
      <w:marRight w:val="0"/>
      <w:marTop w:val="0"/>
      <w:marBottom w:val="0"/>
      <w:divBdr>
        <w:top w:val="none" w:sz="0" w:space="0" w:color="auto"/>
        <w:left w:val="none" w:sz="0" w:space="0" w:color="auto"/>
        <w:bottom w:val="none" w:sz="0" w:space="0" w:color="auto"/>
        <w:right w:val="none" w:sz="0" w:space="0" w:color="auto"/>
      </w:divBdr>
    </w:div>
    <w:div w:id="1700009513">
      <w:bodyDiv w:val="1"/>
      <w:marLeft w:val="0"/>
      <w:marRight w:val="0"/>
      <w:marTop w:val="0"/>
      <w:marBottom w:val="0"/>
      <w:divBdr>
        <w:top w:val="none" w:sz="0" w:space="0" w:color="auto"/>
        <w:left w:val="none" w:sz="0" w:space="0" w:color="auto"/>
        <w:bottom w:val="none" w:sz="0" w:space="0" w:color="auto"/>
        <w:right w:val="none" w:sz="0" w:space="0" w:color="auto"/>
      </w:divBdr>
    </w:div>
    <w:div w:id="1705136568">
      <w:bodyDiv w:val="1"/>
      <w:marLeft w:val="0"/>
      <w:marRight w:val="0"/>
      <w:marTop w:val="0"/>
      <w:marBottom w:val="0"/>
      <w:divBdr>
        <w:top w:val="none" w:sz="0" w:space="0" w:color="auto"/>
        <w:left w:val="none" w:sz="0" w:space="0" w:color="auto"/>
        <w:bottom w:val="none" w:sz="0" w:space="0" w:color="auto"/>
        <w:right w:val="none" w:sz="0" w:space="0" w:color="auto"/>
      </w:divBdr>
    </w:div>
    <w:div w:id="1831409966">
      <w:bodyDiv w:val="1"/>
      <w:marLeft w:val="0"/>
      <w:marRight w:val="0"/>
      <w:marTop w:val="0"/>
      <w:marBottom w:val="0"/>
      <w:divBdr>
        <w:top w:val="none" w:sz="0" w:space="0" w:color="auto"/>
        <w:left w:val="none" w:sz="0" w:space="0" w:color="auto"/>
        <w:bottom w:val="none" w:sz="0" w:space="0" w:color="auto"/>
        <w:right w:val="none" w:sz="0" w:space="0" w:color="auto"/>
      </w:divBdr>
    </w:div>
    <w:div w:id="1866017497">
      <w:bodyDiv w:val="1"/>
      <w:marLeft w:val="0"/>
      <w:marRight w:val="0"/>
      <w:marTop w:val="0"/>
      <w:marBottom w:val="0"/>
      <w:divBdr>
        <w:top w:val="none" w:sz="0" w:space="0" w:color="auto"/>
        <w:left w:val="none" w:sz="0" w:space="0" w:color="auto"/>
        <w:bottom w:val="none" w:sz="0" w:space="0" w:color="auto"/>
        <w:right w:val="none" w:sz="0" w:space="0" w:color="auto"/>
      </w:divBdr>
    </w:div>
    <w:div w:id="1908490602">
      <w:bodyDiv w:val="1"/>
      <w:marLeft w:val="0"/>
      <w:marRight w:val="0"/>
      <w:marTop w:val="0"/>
      <w:marBottom w:val="0"/>
      <w:divBdr>
        <w:top w:val="none" w:sz="0" w:space="0" w:color="auto"/>
        <w:left w:val="none" w:sz="0" w:space="0" w:color="auto"/>
        <w:bottom w:val="none" w:sz="0" w:space="0" w:color="auto"/>
        <w:right w:val="none" w:sz="0" w:space="0" w:color="auto"/>
      </w:divBdr>
    </w:div>
    <w:div w:id="1923679192">
      <w:bodyDiv w:val="1"/>
      <w:marLeft w:val="0"/>
      <w:marRight w:val="0"/>
      <w:marTop w:val="0"/>
      <w:marBottom w:val="0"/>
      <w:divBdr>
        <w:top w:val="none" w:sz="0" w:space="0" w:color="auto"/>
        <w:left w:val="none" w:sz="0" w:space="0" w:color="auto"/>
        <w:bottom w:val="none" w:sz="0" w:space="0" w:color="auto"/>
        <w:right w:val="none" w:sz="0" w:space="0" w:color="auto"/>
      </w:divBdr>
    </w:div>
    <w:div w:id="1968394717">
      <w:bodyDiv w:val="1"/>
      <w:marLeft w:val="0"/>
      <w:marRight w:val="0"/>
      <w:marTop w:val="0"/>
      <w:marBottom w:val="0"/>
      <w:divBdr>
        <w:top w:val="none" w:sz="0" w:space="0" w:color="auto"/>
        <w:left w:val="none" w:sz="0" w:space="0" w:color="auto"/>
        <w:bottom w:val="none" w:sz="0" w:space="0" w:color="auto"/>
        <w:right w:val="none" w:sz="0" w:space="0" w:color="auto"/>
      </w:divBdr>
    </w:div>
    <w:div w:id="2042123915">
      <w:bodyDiv w:val="1"/>
      <w:marLeft w:val="0"/>
      <w:marRight w:val="0"/>
      <w:marTop w:val="0"/>
      <w:marBottom w:val="0"/>
      <w:divBdr>
        <w:top w:val="none" w:sz="0" w:space="0" w:color="auto"/>
        <w:left w:val="none" w:sz="0" w:space="0" w:color="auto"/>
        <w:bottom w:val="none" w:sz="0" w:space="0" w:color="auto"/>
        <w:right w:val="none" w:sz="0" w:space="0" w:color="auto"/>
      </w:divBdr>
    </w:div>
    <w:div w:id="2082170466">
      <w:bodyDiv w:val="1"/>
      <w:marLeft w:val="0"/>
      <w:marRight w:val="0"/>
      <w:marTop w:val="0"/>
      <w:marBottom w:val="0"/>
      <w:divBdr>
        <w:top w:val="none" w:sz="0" w:space="0" w:color="auto"/>
        <w:left w:val="none" w:sz="0" w:space="0" w:color="auto"/>
        <w:bottom w:val="none" w:sz="0" w:space="0" w:color="auto"/>
        <w:right w:val="none" w:sz="0" w:space="0" w:color="auto"/>
      </w:divBdr>
    </w:div>
    <w:div w:id="2104255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17" Type="http://schemas.openxmlformats.org/officeDocument/2006/relationships/hyperlink" Target="https://en.wikipedia.org/wiki/Plato%27s_unwritten_doctrines" TargetMode="External"/><Relationship Id="rId21" Type="http://schemas.openxmlformats.org/officeDocument/2006/relationships/hyperlink" Target="https://nirstern.files.wordpress.com/2021/01/d794d7a8d79ed799d796d795d7aa-d795d794d794d7a2d7a8d795d7aa-.pdf" TargetMode="External"/><Relationship Id="rId42" Type="http://schemas.openxmlformats.org/officeDocument/2006/relationships/hyperlink" Target="https://nirstern.wordpress.com/2022/02/08/249-%d7%91%d7%94%d7%a9%d7%92%d7%aa-%d7%94%d7%90%d7%99%d7%9f-%d7%a1%d7%95%d7%a3-%d7%a9%d7%94%d7%99%d7%90-%d7%a2%d7%9c-%d7%99%d7%93%d7%99-%d7%94%d7%aa%d7%91%d7%98%d7%9c%d7%95%d7%aa-%d7%95%d7%94/" TargetMode="External"/><Relationship Id="rId63" Type="http://schemas.openxmlformats.org/officeDocument/2006/relationships/hyperlink" Target="http://www.taupress.co.il/product/%D7%90%D7%A0%D7%AA%D7%95%D7%9C%D7%95%D7%92%D7%99%D7%94-%D7%9C%D7%9B%D7%AA%D7%91%D7%99-%D7%90%D7%91%D7%9F-%D7%A1%D7%99%D7%A0%D7%90/" TargetMode="External"/><Relationship Id="rId84" Type="http://schemas.openxmlformats.org/officeDocument/2006/relationships/hyperlink" Target="https://lib.eshia.ir/71473/1/334" TargetMode="External"/><Relationship Id="rId138" Type="http://schemas.openxmlformats.org/officeDocument/2006/relationships/hyperlink" Target="https://nirstern.wordpress.com/2022/10/16/299-%d7%91%d7%99%d7%a1%d7%95%d7%93-%d7%a2%d7%a0%d7%99%d7%99%d7%9f-%d7%97%d7%95%d7%9e%d7%a8-%d7%95%d7%a6%d7%95%d7%a8%d7%94/" TargetMode="External"/><Relationship Id="rId107" Type="http://schemas.openxmlformats.org/officeDocument/2006/relationships/hyperlink" Target="https://ia601609.us.archive.org/14/items/JonMcGinnisDavidC.ReismanClassicalArabicPhilosophyAnAnthologyOfSourcesHackettPubCoInc2007/Jon%20McGinnis%2C%20David%20C.%20Reisman-Classical%20Arabic%20Philosophy_%20An%20Anthology%20of%20Sources-Hackett%20Pub%20Co%20Inc%20%282007%29.pdf" TargetMode="External"/><Relationship Id="rId11" Type="http://schemas.openxmlformats.org/officeDocument/2006/relationships/hyperlink" Target="https://nirstern.wordpress.com/2016/03/16/%d7%97%d7%9c%d7%a7-%d7%a9%d7%9c%d7%99%d7%a9%d7%99-%d7%a9%d7%9c-%d7%94%d7%a1%d7%a4%d7%a8-%d7%90%d7%93%d7%9d-%d7%97%d7%99/" TargetMode="External"/><Relationship Id="rId32" Type="http://schemas.openxmlformats.org/officeDocument/2006/relationships/hyperlink" Target="https://nirsternaristotle.wordpress.com/2018/04/21/50-%d7%94%d7%a2%d7%a8%d7%95%d7%aa-%d7%a2%d7%9c-%d7%94%d7%9e%d7%98%d7%90%d7%a4%d7%99%d7%96%d7%99%d7%a7%d7%94-%d7%a9%d7%9c-%d7%90%d7%a8%d7%99%d7%a1%d7%98%d7%95-%d7%a1%d7%a4%d7%a8-%d7%93%d7%9c/" TargetMode="External"/><Relationship Id="rId53" Type="http://schemas.openxmlformats.org/officeDocument/2006/relationships/hyperlink" Target="https://nirstern.files.wordpress.com/2021/01/d794d7a8d79ed799d796d795d7aa-d795d794d794d7a2d7a8d795d7aa-.pdf" TargetMode="External"/><Relationship Id="rId74" Type="http://schemas.openxmlformats.org/officeDocument/2006/relationships/hyperlink" Target="https://www.scribd.com/document/96294504/The-Possibility-of-the-Universe-in-Farabi-Ibn-Sina-and-Maimonides" TargetMode="External"/><Relationship Id="rId128" Type="http://schemas.openxmlformats.org/officeDocument/2006/relationships/hyperlink" Target="https://nirsternaristotle.wordpress.com" TargetMode="External"/><Relationship Id="rId149" Type="http://schemas.openxmlformats.org/officeDocument/2006/relationships/hyperlink" Target="https://nirstern.wordpress.com/2021/01/06/188-%D7%A2%D7%9C-%D7%AA%D7%99%D7%A7%D7%95%D7%9F-%D7%94%D7%9E%D7%99%D7%93%D7%95%D7%AA-%D7%95%D7%A2%D7%9C-%D7%A2%D7%91%D7%95%D7%93%D7%94-%D7%9C%D7%A9%D7%9E%D7%94/" TargetMode="External"/><Relationship Id="rId5" Type="http://schemas.openxmlformats.org/officeDocument/2006/relationships/hyperlink" Target="file:///P:\Public%20Folder\&#1505;&#1508;&#1512;%20&#1492;&#1512;&#1497;&#1508;&#1493;&#1497;%20&#1502;&#1488;&#1514;%20&#1488;&#1489;&#1503;%20&#1505;&#1497;&#1504;&#1488;\nirsternaristotle.wordpress.com" TargetMode="External"/><Relationship Id="rId95" Type="http://schemas.openxmlformats.org/officeDocument/2006/relationships/hyperlink" Target="https://ia800205.us.archive.org/26/items/commentariainar12alexgoog/commentariainar12alexgoog.pdf" TargetMode="External"/><Relationship Id="rId22" Type="http://schemas.openxmlformats.org/officeDocument/2006/relationships/hyperlink" Target="https://zoharnirstern.wordpress.com/2021/07/16/0019-%d7%9e%d7%90%d7%9e%d7%a8-%d7%94%d7%a9%d7%95%d7%a9%d7%a0%d7%94-%d7%94%d7%a4%d7%a8%d7%a7-%d7%94%d7%a8%d7%90%d7%a9%d7%95%d7%9f-%d7%a9%d7%9c-%d7%a2%d7%9c-%d7%94%d7%a9%d7%9e%d7%99%d7%9d-%d7%9e/" TargetMode="External"/><Relationship Id="rId27" Type="http://schemas.openxmlformats.org/officeDocument/2006/relationships/hyperlink" Target="https://nirsternaristotle.wordpress.com/2017/10/31/35-%d7%9e%d7%a2%d7%98-%d7%94%d7%a2%d7%a8%d7%95%d7%aa-%d7%a2%d7%9c-%d7%94%d7%97%d7%95%d7%a7%d7%99%d7%9d-%d7%9e%d7%90%d7%aa-%d7%90%d7%a4%d7%9c%d7%98%d7%95%d7%9f/" TargetMode="External"/><Relationship Id="rId43" Type="http://schemas.openxmlformats.org/officeDocument/2006/relationships/hyperlink" Target="https://nirstern.wordpress.com/2021/03/26/197-%d7%aa%d7%90%d7%a8%d7%99-%d7%94%d7%90%d7%9c-%d7%94%d7%97%d7%99%d7%95%d7%91%d7%99%d7%99%d7%9d-%d7%9c%d7%a4%d7%99-%d7%94%d7%a8%d7%9e%d7%91%d7%9d/" TargetMode="External"/><Relationship Id="rId48" Type="http://schemas.openxmlformats.org/officeDocument/2006/relationships/hyperlink" Target="https://nirsternaristotle.wordpress.com/2018/10/23/62-%d7%94%d7%a2%d7%a8%d7%95%d7%aa-%d7%a2%d7%9c-%d7%94%d7%9e%d7%98%d7%90%d7%a4%d7%99%d7%96%d7%99%d7%a7%d7%94-%d7%a9%d7%9c-%d7%90%d7%a8%d7%99%d7%a1%d7%98%d7%95-%d7%a1%d7%a4%d7%a8-%d7%aa%d7%98/" TargetMode="External"/><Relationship Id="rId64" Type="http://schemas.openxmlformats.org/officeDocument/2006/relationships/hyperlink" Target="https://nirstern.files.wordpress.com/2021/01/d794d7a8d79ed799d796d795d7aa-d795d794d794d7a2d7a8d795d7aa-.pdf" TargetMode="External"/><Relationship Id="rId69" Type="http://schemas.openxmlformats.org/officeDocument/2006/relationships/hyperlink" Target="https://nirstern.files.wordpress.com/2021/01/d794d7a8d79ed799d796d795d7aa-d795d794d794d7a2d7a8d795d7aa-.pdf" TargetMode="External"/><Relationship Id="rId113" Type="http://schemas.openxmlformats.org/officeDocument/2006/relationships/hyperlink" Target="https://nirsternaristotle.wordpress.com/2018/08/31/55-%d7%94%d7%a2%d7%a8%d7%95%d7%aa-%d7%a2%d7%9c-%d7%94%d7%9e%d7%98%d7%90%d7%a4%d7%99%d7%96%d7%99%d7%a7%d7%94-%d7%a9%d7%9c-%d7%90%d7%a8%d7%99%d7%a1%d7%98%d7%95-%d7%a1%d7%a4%d7%a8-%d7%96%d7%aa/" TargetMode="External"/><Relationship Id="rId118" Type="http://schemas.openxmlformats.org/officeDocument/2006/relationships/hyperlink" Target="http://onlinebooks.library.upenn.edu/webbin/book/lookupname?key=Taylor%2C%20Thomas%2C%201758-1835" TargetMode="External"/><Relationship Id="rId134" Type="http://schemas.openxmlformats.org/officeDocument/2006/relationships/hyperlink" Target="https://nirstern.wordpress.com/2016/03/16/%d7%97%d7%9c%d7%a7-%d7%a9%d7%9c%d7%99%d7%a9%d7%99-%d7%a9%d7%9c-%d7%94%d7%a1%d7%a4%d7%a8-%d7%90%d7%93%d7%9d-%d7%97%d7%99/" TargetMode="External"/><Relationship Id="rId139" Type="http://schemas.openxmlformats.org/officeDocument/2006/relationships/hyperlink" Target="https://drive.google.com/file/d/1V9Qb-y2lK3LAhtZpkgBo3Z2KKQgHFOde/view" TargetMode="External"/><Relationship Id="rId80" Type="http://schemas.openxmlformats.org/officeDocument/2006/relationships/hyperlink" Target="https://nirsternaristotle.wordpress.com/2018/02/14/43-%d7%94%d7%a2%d7%a8%d7%95%d7%aa-%d7%a2%d7%9c-%d7%a2%d7%9c-%d7%94%d7%a9%d7%9e%d7%99%d7%99%d7%9d-%d7%9e%d7%90%d7%aa-%d7%90%d7%a8%d7%99%d7%a1%d7%98%d7%95-%d7%a1%d7%a4%d7%a8%d7%99%d7%9d-%d7%90-2/" TargetMode="External"/><Relationship Id="rId85" Type="http://schemas.openxmlformats.org/officeDocument/2006/relationships/hyperlink" Target="https://nirstern.files.wordpress.com/2021/01/d794d7a8d79ed799d796d795d7aa-d795d794d794d7a2d7a8d795d7aa-.pdf" TargetMode="External"/><Relationship Id="rId12" Type="http://schemas.openxmlformats.org/officeDocument/2006/relationships/hyperlink" Target="https://nirsternaristotle.wordpress.com/" TargetMode="External"/><Relationship Id="rId17" Type="http://schemas.openxmlformats.org/officeDocument/2006/relationships/hyperlink" Target="https://filedn.eu/l0r9Ikz4tyDXcVEcfDyYTuF/%D7%94%D7%A8%D7%9E%D7%99%D7%96%D7%95%D7%AA%20%D7%95%D7%94%D7%94%D7%A2%D7%A8%D7%95%D7%AA%20%D7%9E%D7%90%D7%AA%20%D7%90%D7%91%D7%9F%20%D7%A1%D7%99%D7%A0%D7%90/%D7%94%D7%A8%D7%9E%D7%99%D7%96%D7%95%D7%AA%20%D7%95%D7%94%D7%94%D7%A2%D7%A8%D7%95%D7%AA%20.pdf" TargetMode="External"/><Relationship Id="rId33" Type="http://schemas.openxmlformats.org/officeDocument/2006/relationships/hyperlink" Target="https://drive.google.com/file/d/1wGDisFk4zA2PoDA-VdvsEsK82uAEpe4t/view?usp=sharing" TargetMode="External"/><Relationship Id="rId38" Type="http://schemas.openxmlformats.org/officeDocument/2006/relationships/hyperlink" Target="https://nirstern.wordpress.com/2018/08/27/26-%d7%94%d7%a9%d7%9b%d7%9c-%d7%94%d7%a4%d7%95%d7%a2%d7%9c-%d7%90%d7%99%d7%93%d7%99%d7%90%d7%aa-%d7%94%d7%98%d7%95%d7%91-%d7%a1%d7%a4%d7%99%d7%a8%d7%aa-%d7%9e%d7%9c%d7%9b%d7%95%d7%aa/" TargetMode="External"/><Relationship Id="rId59" Type="http://schemas.openxmlformats.org/officeDocument/2006/relationships/hyperlink" Target="https://view.officeapps.live.com/op/view.aspx?src=http%3A%2F%2Fmuslimphilosophy.com%2Fbooks%2Fnajat.doc&amp;wdOrigin=BROWSELINK" TargetMode="External"/><Relationship Id="rId103" Type="http://schemas.openxmlformats.org/officeDocument/2006/relationships/hyperlink" Target="https://nirsternaristotle.wordpress.com/2018/01/27/41-%d7%94%d7%a2%d7%a8%d7%95%d7%aa-%d7%a2%d7%9c-%d7%94%d7%a4%d7%99%d7%96%d7%99%d7%a7%d7%94-%d7%a9%d7%9c-%d7%90%d7%a8%d7%99%d7%a1%d7%98%d7%95-%d7%a1%d7%a4%d7%a8-%d7%94/" TargetMode="External"/><Relationship Id="rId108" Type="http://schemas.openxmlformats.org/officeDocument/2006/relationships/hyperlink" Target="https://algloss.de.dariah.eu/?arabic=%D8%AD%D8%B5%D9%88%D9%84&amp;english=&amp;root=&amp;nav=%CA%BE&amp;var=ae&amp;src=ala&amp;src=ali&amp;src=alc&amp;src=abs&amp;src=acb&amp;src=ahc&amp;src=aho&amp;src=apt&amp;src=anr&amp;src=arg&amp;src=are&amp;src=ari&amp;src=arj&amp;src=avl&amp;src=ava&amp;src=avm&amp;src=avg&amp;src=avq&amp;src=ar2&amp;src=ar3&amp;src=arp&amp;src=fai&amp;src=faf&amp;src=fas&amp;src=gzo&amp;src=itu&amp;src=kgr&amp;src=kig&amp;src=kso&amp;src=kid&amp;src=maa&amp;src=mab&amp;src=nip&amp;src=pra&amp;src=pta&amp;src=raa&amp;src=rab&amp;src=tan&amp;src=tfh&amp;src=tfg&amp;src=tfa&amp;src=tal" TargetMode="External"/><Relationship Id="rId124" Type="http://schemas.openxmlformats.org/officeDocument/2006/relationships/hyperlink" Target="https://he.wiktionary.org/wiki/%D7%A1%D7%94%D7%A8" TargetMode="External"/><Relationship Id="rId129" Type="http://schemas.openxmlformats.org/officeDocument/2006/relationships/hyperlink" Target="https://morehnevochim.wordpress.com" TargetMode="External"/><Relationship Id="rId54" Type="http://schemas.openxmlformats.org/officeDocument/2006/relationships/hyperlink" Target="https://shiurmorehnevochim.wordpress.com/2021/07/19/0026-%d7%9e%d7%95%d7%a8%d7%94-%d7%a0%d7%91%d7%95%d7%9b%d7%99%d7%9d-%d7%90-%d7%91-%d7%90%d7%a0%d7%99-%d7%9e%d7%91%d7%99%d7%90-%d7%9b%d7%90%d7%9f-%d7%9e%d7%a7%d7%95%d7%a8%d7%95%d7%aa-%d7%a2%d7%95/" TargetMode="External"/><Relationship Id="rId70" Type="http://schemas.openxmlformats.org/officeDocument/2006/relationships/hyperlink" Target="https://shiurmorehnevochim.wordpress.com/2022/03/07/0046-%d7%9e%d7%95%d7%a8%d7%94-%d7%a0%d7%91%d7%95%d7%9b%d7%99%d7%9d-%d7%90-%d7%94-%d7%94%d7%9b%d7%99%d7%a1%d7%95%d7%a4%d7%99%d7%9d-%d7%9c%d7%90%d7%99%d7%9f-%d7%a1%d7%95%d7%a3-%d7%94%d7%94%d7%a2/" TargetMode="External"/><Relationship Id="rId75" Type="http://schemas.openxmlformats.org/officeDocument/2006/relationships/hyperlink" Target="https://shiurmorehnevochim.wordpress.com/2022/06/06/0058-%d7%9e%d7%95%d7%a8%d7%94-%d7%a0%d7%91%d7%95%d7%9b%d7%99%d7%9d-%d7%90-%d7%98/" TargetMode="External"/><Relationship Id="rId91" Type="http://schemas.openxmlformats.org/officeDocument/2006/relationships/hyperlink" Target="https://drive.google.com/drive/folders/11Vc4jnaP-0fUZSCOI9H6qAZmnMUP0MZA?usp=sharing" TargetMode="External"/><Relationship Id="rId96" Type="http://schemas.openxmlformats.org/officeDocument/2006/relationships/hyperlink" Target="https://books.google.co.il/books?id=JJKdCgAAQBAJ&amp;pg=PA197&amp;lpg=PA197&amp;dq=%22%CE%AD%CF%83%CF%84%CE%AF%CE%BD+%CE%AE+%CF%86%CF%85%CF%83%CE%B9%CF%82+%CE%B6%CF%89%CE%AE+%CE%AE%CF%84%CE%BF%CE%B9+%CE%B4%CF%8D%CE%BD%CE%B1%CE%BC%CE%B9%CF%82%22&amp;source=bl&amp;ots=Fa-6fVf5zt&amp;sig=ACfU3U2_ZxCLvou3fKoknVa2UXlQCSV-rQ&amp;hl=iw&amp;sa=X&amp;ved=2ahUKEwixsPa6g833AhWchP0HHehACPsQ6AF6BAgCEAM" TargetMode="External"/><Relationship Id="rId140" Type="http://schemas.openxmlformats.org/officeDocument/2006/relationships/hyperlink" Target="https://shiurmorehnevochim.wordpress.com/" TargetMode="External"/><Relationship Id="rId145" Type="http://schemas.openxmlformats.org/officeDocument/2006/relationships/hyperlink" Target="https://nirstern.wordpress.com/2022/11/17/314-%d7%91%d7%a1%d7%95%d7%93-%d7%94%d7%a6%d7%9e%d7%a6%d7%95%d7%9d-%d7%91%d7%99%d7%90%d7%95%d7%a8-%d7%94%d7%aa%d7%90%d7%a8%d7%99%d7%9d-%d7%94%d7%a2%d7%a6%d7%9e%d7%99%d7%99%d7%9d-%d7%a9%d7%94%d7%9d/" TargetMode="External"/><Relationship Id="rId1" Type="http://schemas.openxmlformats.org/officeDocument/2006/relationships/hyperlink" Target="https://www.hebrewbooks.org/22632" TargetMode="External"/><Relationship Id="rId6" Type="http://schemas.openxmlformats.org/officeDocument/2006/relationships/hyperlink" Target="https://nirsternaristotle.wordpress.com/2018/01/16/40-%d7%94%d7%a2%d7%a8%d7%95%d7%aa-%d7%a2%d7%9c-%d7%94%d7%a4%d7%99%d7%96%d7%99%d7%a7%d7%94-%d7%a9%d7%9c-%d7%90%d7%a8%d7%99%d7%a1%d7%98%d7%95-%d7%a1%d7%a4%d7%a8-%d7%93/" TargetMode="External"/><Relationship Id="rId23" Type="http://schemas.openxmlformats.org/officeDocument/2006/relationships/hyperlink" Target="https://nirsternaristotle.wordpress.com/2017/10/31/35-%d7%9e%d7%a2%d7%98-%d7%94%d7%a2%d7%a8%d7%95%d7%aa-%d7%a2%d7%9c-%d7%94%d7%97%d7%95%d7%a7%d7%99%d7%9d-%d7%9e%d7%90%d7%aa-%d7%90%d7%a4%d7%9c%d7%98%d7%95%d7%9f/" TargetMode="External"/><Relationship Id="rId28" Type="http://schemas.openxmlformats.org/officeDocument/2006/relationships/hyperlink" Target="https://shiurmorehnevochim.wordpress.com/2021/06/08/0020-%d7%9e%d7%95%d7%a8%d7%94-%d7%a0%d7%91%d7%95%d7%9b%d7%99%d7%9d-%d7%90-%d7%90-%d7%91%d7%9e%d7%95%d7%a8%d7%94-%d7%a0%d7%91%d7%95%d7%9b%d7%99%d7%9d-%d7%90-%d7%9e%d7%95-%d7%92%d7%93%d7%95%d7%9c/" TargetMode="External"/><Relationship Id="rId49" Type="http://schemas.openxmlformats.org/officeDocument/2006/relationships/hyperlink" Target="https://nirsternaristotle.wordpress.com/2017/06/10/%d7%9e%d7%95%d7%9b%d7%a8%d7%97-%d7%94%d7%9e%d7%a6%d7%99%d7%90%d7%95%d7%aa-%d7%95%d7%90%d7%a4%d7%a9%d7%a8%d7%99-%d7%94%d7%9e%d7%a6%d7%99%d7%90%d7%95%d7%aa-%d7%91%d7%9e%d7%95%d7%a8%d7%94-%d7%a0%d7%91/" TargetMode="External"/><Relationship Id="rId114" Type="http://schemas.openxmlformats.org/officeDocument/2006/relationships/hyperlink" Target="https://nirsternaristotle.wordpress.com/2017/10/31/35-%d7%9e%d7%a2%d7%98-%d7%94%d7%a2%d7%a8%d7%95%d7%aa-%d7%a2%d7%9c-%d7%94%d7%97%d7%95%d7%a7%d7%99%d7%9d-%d7%9e%d7%90%d7%aa-%d7%90%d7%a4%d7%9c%d7%98%d7%95%d7%9f/" TargetMode="External"/><Relationship Id="rId119" Type="http://schemas.openxmlformats.org/officeDocument/2006/relationships/hyperlink" Target="https://en.wikipedia.org/wiki/Broadway_Boogie_Woogie" TargetMode="External"/><Relationship Id="rId44" Type="http://schemas.openxmlformats.org/officeDocument/2006/relationships/hyperlink" Target="https://nirstern.wordpress.com/2019/03/04/76-%D7%91%D7%99%D7%90%D7%95%D7%A8-%D7%A2%D7%9E%D7%95%D7%A7-%D7%91%D7%A2%D7%A0%D7%99%D7%99%D7%9F-%D7%AA%D7%90%D7%A8%D7%99-%D7%94%D7%A4%D7%A2%D7%95%D7%9C%D7%94/" TargetMode="External"/><Relationship Id="rId60" Type="http://schemas.openxmlformats.org/officeDocument/2006/relationships/hyperlink" Target="https://view.officeapps.live.com/op/view.aspx?src=http%3A%2F%2Fmuslimphilosophy.com%2Fbooks%2Filhyat.doc&amp;wdOrigin=BROWSELINK" TargetMode="External"/><Relationship Id="rId65" Type="http://schemas.openxmlformats.org/officeDocument/2006/relationships/hyperlink" Target="https://drive.google.com/file/d/1V9Qb-y2lK3LAhtZpkgBo3Z2KKQgHFOde/view" TargetMode="External"/><Relationship Id="rId81" Type="http://schemas.openxmlformats.org/officeDocument/2006/relationships/hyperlink" Target="https://nirsternaristotle.wordpress.com/2018/08/31/55-%d7%94%d7%a2%d7%a8%d7%95%d7%aa-%d7%a2%d7%9c-%d7%94%d7%9e%d7%98%d7%90%d7%a4%d7%99%d7%96%d7%99%d7%a7%d7%94-%d7%a9%d7%9c-%d7%90%d7%a8%d7%99%d7%a1%d7%98%d7%95-%d7%a1%d7%a4%d7%a8-%d7%96%d7%aa/" TargetMode="External"/><Relationship Id="rId86" Type="http://schemas.openxmlformats.org/officeDocument/2006/relationships/hyperlink" Target="https://en.wikipedia.org/wiki/Plato%27s_unwritten_doctrines" TargetMode="External"/><Relationship Id="rId130" Type="http://schemas.openxmlformats.org/officeDocument/2006/relationships/hyperlink" Target="https://nirstern.files.wordpress.com/2021/01/d794d7a8d79ed799d796d795d7aa-d795d794d794d7a2d7a8d795d7aa-.pdf" TargetMode="External"/><Relationship Id="rId135" Type="http://schemas.openxmlformats.org/officeDocument/2006/relationships/hyperlink" Target="https://drive.google.com/file/d/1V9Qb-y2lK3LAhtZpkgBo3Z2KKQgHFOde/view" TargetMode="External"/><Relationship Id="rId13" Type="http://schemas.openxmlformats.org/officeDocument/2006/relationships/hyperlink" Target="https://nirsternaristotle.wordpress.com/2017/06/11/5-%d7%90%d7%a0%d7%a9%d7%99-%d7%94%d7%a2%d7%99%d7%a8-%d7%94%d7%9e%d7%a2%d7%95%d7%9c%d7%94-%d7%a4%d7%a8%d7%a7-%d7%99%d7%96-%d7%94%d7%90%d7%a6%d7%9c%d7%94-%d7%90%d7%a4%d7%9c%d7%98%d7%95%d7%a0%d7%99/" TargetMode="External"/><Relationship Id="rId18" Type="http://schemas.openxmlformats.org/officeDocument/2006/relationships/hyperlink" Target="https://nirstern.wordpress.com/2021/01/15/%d7%99%d7%a6%d7%90-%d7%9c%d7%90%d7%95%d7%a8-%d7%a1%d7%a4%d7%a8%d7%99-%d7%a2%d7%9c-%d7%94%d7%a8%d7%9e%d7%99%d7%96%d7%95%d7%aa-%d7%95%d7%94%d7%94%d7%a2%d7%a8%d7%95%d7%aa-%d7%a9%d7%9c-%d7%90%d7%91/" TargetMode="External"/><Relationship Id="rId39" Type="http://schemas.openxmlformats.org/officeDocument/2006/relationships/hyperlink" Target="https://nirstern.files.wordpress.com/2021/01/d794d7a8d79ed799d796d795d7aa-d795d794d794d7a2d7a8d795d7aa-.pdf" TargetMode="External"/><Relationship Id="rId109" Type="http://schemas.openxmlformats.org/officeDocument/2006/relationships/hyperlink" Target="https://morehnevochim.files.wordpress.com/2022/05/d79ed795d7a8d794-d7a0d791d795d79bd799d79d-d791d7a2d7a8d791d799d7aa-d7a2d79d-d797d799d7a4d795d7a9.pdf" TargetMode="External"/><Relationship Id="rId34" Type="http://schemas.openxmlformats.org/officeDocument/2006/relationships/hyperlink" Target="https://nirsternaristotle.files.wordpress.com/2017/06/d794d7aad797d79cd795d7aa-d794d7a0d79ed7a6d790d795d7aa-d790d79cd7a4d7a8d790d791d799.pdf" TargetMode="External"/><Relationship Id="rId50" Type="http://schemas.openxmlformats.org/officeDocument/2006/relationships/hyperlink" Target="https://nirsternaristotle.wordpress.com/2017/10/31/35-%d7%9e%d7%a2%d7%98-%d7%94%d7%a2%d7%a8%d7%95%d7%aa-%d7%a2%d7%9c-%d7%94%d7%97%d7%95%d7%a7%d7%99%d7%9d-%d7%9e%d7%90%d7%aa-%d7%90%d7%a4%d7%9c%d7%98%d7%95%d7%9f/" TargetMode="External"/><Relationship Id="rId55" Type="http://schemas.openxmlformats.org/officeDocument/2006/relationships/hyperlink" Target="https://nirstern.wordpress.com/2021/01/15/%d7%99%d7%a6%d7%90-%d7%9c%d7%90%d7%95%d7%a8-%d7%a1%d7%a4%d7%a8%d7%99-%d7%a2%d7%9c-%d7%94%d7%a8%d7%9e%d7%99%d7%96%d7%95%d7%aa-%d7%95%d7%94%d7%94%d7%a2%d7%a8%d7%95%d7%aa-%d7%a9%d7%9c-%d7%90%d7%91/" TargetMode="External"/><Relationship Id="rId76" Type="http://schemas.openxmlformats.org/officeDocument/2006/relationships/hyperlink" Target="https://nirsternaristotle.wordpress.com/2018/04/21/50-%d7%94%d7%a2%d7%a8%d7%95%d7%aa-%d7%a2%d7%9c-%d7%94%d7%9e%d7%98%d7%90%d7%a4%d7%99%d7%96%d7%99%d7%a7%d7%94-%d7%a9%d7%9c-%d7%90%d7%a8%d7%99%d7%a1%d7%98%d7%95-%d7%a1%d7%a4%d7%a8-%d7%93%d7%9c/" TargetMode="External"/><Relationship Id="rId97" Type="http://schemas.openxmlformats.org/officeDocument/2006/relationships/hyperlink" Target="https://books.google.co.il/books?redir_esc=y&amp;id=fPNCYW3b-a8C&amp;q=philoponus" TargetMode="External"/><Relationship Id="rId104" Type="http://schemas.openxmlformats.org/officeDocument/2006/relationships/hyperlink" Target="https://en.wikipedia.org/wiki/Kit%C4%81b_al-Hayaw%C4%81n" TargetMode="External"/><Relationship Id="rId120" Type="http://schemas.openxmlformats.org/officeDocument/2006/relationships/hyperlink" Target="https://morehnevochim.wordpress.com/2017/11/25/%d7%91%d7%99%d7%90%d7%95%d7%a8-%d7%a2%d7%9c-%d7%a1%d7%93%d7%a8-%d7%94%d7%a1%d7%a4%d7%a8-%d7%94%d7%a7%d7%93%d7%9e%d7%95%d7%aa-%d7%9c%d7%97%d7%9c%d7%a7-%d7%91-%d7%94%d7%a7%d7%93%d7%9e%d7%94-%d7%9b-2/" TargetMode="External"/><Relationship Id="rId125" Type="http://schemas.openxmlformats.org/officeDocument/2006/relationships/hyperlink" Target="https://en.wikipedia.org/wiki/Plato%27s_unwritten_doctrines" TargetMode="External"/><Relationship Id="rId141"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146" Type="http://schemas.openxmlformats.org/officeDocument/2006/relationships/hyperlink" Target="http://www.muslimphilosophy.com" TargetMode="External"/><Relationship Id="rId7" Type="http://schemas.openxmlformats.org/officeDocument/2006/relationships/hyperlink" Target="https://nirsternaristotle.wordpress.com/2018/04/21/50-%d7%94%d7%a2%d7%a8%d7%95%d7%aa-%d7%a2%d7%9c-%d7%94%d7%9e%d7%98%d7%90%d7%a4%d7%99%d7%96%d7%99%d7%a7%d7%94-%d7%a9%d7%9c-%d7%90%d7%a8%d7%99%d7%a1%d7%98%d7%95-%d7%a1%d7%a4%d7%a8-%d7%93%d7%9c/" TargetMode="External"/><Relationship Id="rId71" Type="http://schemas.openxmlformats.org/officeDocument/2006/relationships/hyperlink" Target="https://shiurmorehnevochim.wordpress.com/2022/03/15/0047-%d7%9e%d7%95%d7%a8%d7%94-%d7%a0%d7%91%d7%95%d7%9b%d7%99%d7%9d-%d7%90-%d7%94-%d7%94%d7%9e%d7%a7%d7%95%d7%9d-%d7%a9%d7%9c-%d7%94%d7%94%d7%a2%d7%93%d7%a8-%d7%91%d7%a2%d7%91%d7%95%d7%93%d7%aa/" TargetMode="External"/><Relationship Id="rId92" Type="http://schemas.openxmlformats.org/officeDocument/2006/relationships/hyperlink" Target="https://hebrewbooks.org/7563" TargetMode="External"/><Relationship Id="rId2" Type="http://schemas.openxmlformats.org/officeDocument/2006/relationships/hyperlink" Target="https://nirstern.files.wordpress.com/2021/01/d794d7a8d79ed799d796d795d7aa-d795d794d794d7a2d7a8d795d7aa-.pdf" TargetMode="External"/><Relationship Id="rId29" Type="http://schemas.openxmlformats.org/officeDocument/2006/relationships/hyperlink" Target="https://zoharnirstern.wordpress.com/2021/07/16/0019-%d7%9e%d7%90%d7%9e%d7%a8-%d7%94%d7%a9%d7%95%d7%a9%d7%a0%d7%94-%d7%94%d7%a4%d7%a8%d7%a7-%d7%94%d7%a8%d7%90%d7%a9%d7%95%d7%9f-%d7%a9%d7%9c-%d7%a2%d7%9c-%d7%94%d7%a9%d7%9e%d7%99%d7%9d-%d7%9e/" TargetMode="External"/><Relationship Id="rId24"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40" Type="http://schemas.openxmlformats.org/officeDocument/2006/relationships/hyperlink" Target="https://philolog.us/lsj/%E1%BC%80%CF%81%CF%87%CE%AE" TargetMode="External"/><Relationship Id="rId45" Type="http://schemas.openxmlformats.org/officeDocument/2006/relationships/hyperlink" Target="https://nirsternaristotle.wordpress.com/2018/01/27/41-%d7%94%d7%a2%d7%a8%d7%95%d7%aa-%d7%a2%d7%9c-%d7%94%d7%a4%d7%99%d7%96%d7%99%d7%a7%d7%94-%d7%a9%d7%9c-%d7%90%d7%a8%d7%99%d7%a1%d7%98%d7%95-%d7%a1%d7%a4%d7%a8-%d7%94/" TargetMode="External"/><Relationship Id="rId66" Type="http://schemas.openxmlformats.org/officeDocument/2006/relationships/hyperlink" Target="https://en.wikipedia.org/wiki/Plato%27s_unwritten_doctrines" TargetMode="External"/><Relationship Id="rId87" Type="http://schemas.openxmlformats.org/officeDocument/2006/relationships/hyperlink" Target="https://hebrewbooks.org/23920" TargetMode="External"/><Relationship Id="rId110" Type="http://schemas.openxmlformats.org/officeDocument/2006/relationships/hyperlink" Target="http://lib.eshia.ir/search/%D9%8A%D8%B5%D8%AF%D8%B1?http://lib.eshia.ir/73020/1/0" TargetMode="External"/><Relationship Id="rId115" Type="http://schemas.openxmlformats.org/officeDocument/2006/relationships/hyperlink" Target="https://nirsternaristotle.wordpress.com/2017/10/31/35-%d7%9e%d7%a2%d7%98-%d7%94%d7%a2%d7%a8%d7%95%d7%aa-%d7%a2%d7%9c-%d7%94%d7%97%d7%95%d7%a7%d7%99%d7%9d-%d7%9e%d7%90%d7%aa-%d7%90%d7%a4%d7%9c%d7%98%d7%95%d7%9f/" TargetMode="External"/><Relationship Id="rId131" Type="http://schemas.openxmlformats.org/officeDocument/2006/relationships/hyperlink" Target="https://cris.bgu.ac.il/en/publications/%D7%9E%D7%95%D7%91%D7%A0%D7%9F-%D7%A9%D7%9C-%D7%94%D7%9E%D7%99%D7%9C%D7%99%D7%9D-%D7%A4%D7%9B%D7%A8-%D7%95%D7%95%D7%94%D7%9D-%D7%91%D7%A2%D7%A8%D7%91%D7%99%D7%AA-%D7%99%D7%94%D7%95%D7%93%D7%99%D7%AA-%D7%95%D7%91%D7%A2%D7%99%D7%99%D7%AA-%D7%AA%D7%A8%D7%92%D7%95%D7%9E%D7%9F-%D7%9C%D7%A2%D7%91%D7%A8%D7%99%D7%AA-%D7%91%D7%99%D7%9E%D7%99" TargetMode="External"/><Relationship Id="rId136"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61" Type="http://schemas.openxmlformats.org/officeDocument/2006/relationships/hyperlink" Target="https://he.wikipedia.org/wiki/%D7%A1%D7%95%D7%A4%D7%99%D7%95%D7%AA" TargetMode="External"/><Relationship Id="rId82" Type="http://schemas.openxmlformats.org/officeDocument/2006/relationships/hyperlink" Target="https://he.wikisource.org/wiki/%D7%9E%D7%99%D7%9C%D7%95%D7%AA_%D7%94%D7%92%D7%99%D7%95%D7%9F/%D7%A9%D7%A2%D7%A8_%D7%99%D7%92" TargetMode="External"/><Relationship Id="rId19" Type="http://schemas.openxmlformats.org/officeDocument/2006/relationships/hyperlink" Target="https://nirstern.wordpress.com/2021/01/15/%d7%99%d7%a6%d7%90-%d7%9c%d7%90%d7%95%d7%a8-%d7%a1%d7%a4%d7%a8%d7%99-%d7%a2%d7%9c-%d7%94%d7%a8%d7%9e%d7%99%d7%96%d7%95%d7%aa-%d7%95%d7%94%d7%94%d7%a2%d7%a8%d7%95%d7%aa-%d7%a9%d7%9c-%d7%90%d7%91/" TargetMode="External"/><Relationship Id="rId14" Type="http://schemas.openxmlformats.org/officeDocument/2006/relationships/hyperlink" Target="https://nirstern.files.wordpress.com/2021/01/d794d7a8d79ed799d796d795d7aa-d795d794d794d7a2d7a8d795d7aa-.pdf" TargetMode="External"/><Relationship Id="rId30" Type="http://schemas.openxmlformats.org/officeDocument/2006/relationships/hyperlink" Target="https://nirsternaristotle.wordpress.com/2017/10/31/35-%d7%9e%d7%a2%d7%98-%d7%94%d7%a2%d7%a8%d7%95%d7%aa-%d7%a2%d7%9c-%d7%94%d7%97%d7%95%d7%a7%d7%99%d7%9d-%d7%9e%d7%90%d7%aa-%d7%90%d7%a4%d7%9c%d7%98%d7%95%d7%9f/" TargetMode="External"/><Relationship Id="rId35" Type="http://schemas.openxmlformats.org/officeDocument/2006/relationships/hyperlink" Target="https://www.almaany.com/en/dict/ar-en/%D8%B7%D9%8A%D9%86%D8%A9/" TargetMode="External"/><Relationship Id="rId56" Type="http://schemas.openxmlformats.org/officeDocument/2006/relationships/hyperlink" Target="https://nirsternaristotle.wordpress.com/2018/04/21/50-%d7%94%d7%a2%d7%a8%d7%95%d7%aa-%d7%a2%d7%9c-%d7%94%d7%9e%d7%98%d7%90%d7%a4%d7%99%d7%96%d7%99%d7%a7%d7%94-%d7%a9%d7%9c-%d7%90%d7%a8%d7%99%d7%a1%d7%98%d7%95-%d7%a1%d7%a4%d7%a8-%d7%93%d7%9c/" TargetMode="External"/><Relationship Id="rId77" Type="http://schemas.openxmlformats.org/officeDocument/2006/relationships/hyperlink" Target="https://nirstern.wordpress.com/2022/06/08/271-%d7%91%d7%a2%d7%a0%d7%99%d7%99%d7%9f-%d7%9e%d7%94-%d7%94%d7%99%d7%90-%d7%94%d7%a7%d7%91%d7%9c%d7%94-%d7%90%d7%99%d7%a9-%d7%9e%d7%a4%d7%99-%d7%90%d7%99%d7%a9-%d7%91%d7%97%d7%9b%d7%9e%d7%aa-%d7%94/" TargetMode="External"/><Relationship Id="rId100" Type="http://schemas.openxmlformats.org/officeDocument/2006/relationships/hyperlink" Target="https://en.wikipedia.org/wiki/Commentaria_in_Aristotelem_Graeca" TargetMode="External"/><Relationship Id="rId105" Type="http://schemas.openxmlformats.org/officeDocument/2006/relationships/hyperlink" Target="https://www.researchgate.net/publication/307980281_Ibn_Sina_on_Animals_between_the_First_Teacher_and_the_Physician" TargetMode="External"/><Relationship Id="rId126" Type="http://schemas.openxmlformats.org/officeDocument/2006/relationships/hyperlink" Target="http://www.muslimphilosophy.com" TargetMode="External"/><Relationship Id="rId147" Type="http://schemas.openxmlformats.org/officeDocument/2006/relationships/hyperlink" Target="https://nirsternaristotle.wordpress.com/2020/03/01/68-%d7%90%d7%9c%d7%a4%d7%a8%d7%90%d7%91%d7%99-%d7%94%d7%aa%d7%97%d7%9c%d7%95%d7%aa-%d7%94%d7%a0%d7%9e%d7%a6%d7%90%d7%95%d7%aa-%d7%90/" TargetMode="External"/><Relationship Id="rId8" Type="http://schemas.openxmlformats.org/officeDocument/2006/relationships/hyperlink" Target="https://nirsternaristotle.wordpress.com/2017/10/31/35-%d7%9e%d7%a2%d7%98-%d7%94%d7%a2%d7%a8%d7%95%d7%aa-%d7%a2%d7%9c-%d7%94%d7%97%d7%95%d7%a7%d7%99%d7%9d-%d7%9e%d7%90%d7%aa-%d7%90%d7%a4%d7%9c%d7%98%d7%95%d7%9f/" TargetMode="External"/><Relationship Id="rId51" Type="http://schemas.openxmlformats.org/officeDocument/2006/relationships/hyperlink" Target="https://nirstern.wordpress.com/2021/03/26/197-%D7%AA%D7%90%D7%A8%D7%99-%D7%94%D7%90%D7%9C-%D7%94%D7%97%D7%99%D7%95%D7%91%D7%99%D7%99%D7%9D-%D7%9C%D7%A4%D7%99-%D7%94%D7%A8%D7%9E%D7%91%D7%9D/" TargetMode="External"/><Relationship Id="rId72" Type="http://schemas.openxmlformats.org/officeDocument/2006/relationships/hyperlink" Target="https://nirsternaristotle.wordpress.com/2018/08/31/55-%d7%94%d7%a2%d7%a8%d7%95%d7%aa-%d7%a2%d7%9c-%d7%94%d7%9e%d7%98%d7%90%d7%a4%d7%99%d7%96%d7%99%d7%a7%d7%94-%d7%a9%d7%9c-%d7%90%d7%a8%d7%99%d7%a1%d7%98%d7%95-%d7%a1%d7%a4%d7%a8-%d7%96%d7%aa/" TargetMode="External"/><Relationship Id="rId93" Type="http://schemas.openxmlformats.org/officeDocument/2006/relationships/hyperlink" Target="https://hebrewbooks.org/rambam.aspx?mfid=22510&amp;rid=1" TargetMode="External"/><Relationship Id="rId98" Type="http://schemas.openxmlformats.org/officeDocument/2006/relationships/hyperlink" Target="https://books.google.co.il/books?id=PTfp0n5sdtIC&amp;pg=PA290&amp;lpg=PA290&amp;dq=%CE%BA%CE%B1%CF%84%CE%B1%CE%B4%CE%B5%CE%B4%CF%85%CE%BA%CF%85%CE%AF%CE%B1&amp;source=bl&amp;ots=z78YsJ7VoM&amp;sig=ACfU3U0FAavvOrnZQPERVzttBM6xPoT-7Q&amp;hl=iw&amp;sa=X&amp;ved=2ahUKEwjrh_2ql833AhWH7rsIHXZcBq4Q6AF6BAgMEAM" TargetMode="External"/><Relationship Id="rId121" Type="http://schemas.openxmlformats.org/officeDocument/2006/relationships/hyperlink" Target="https://nirstern.wordpress.com/2022/06/24/274-%d7%a2%d7%9c-%d7%90%d7%91%d7%93%d7%9f-%d7%a0%d7%a4%d7%a9%d7%95%d7%aa-%d7%94%d7%a8%d7%a9%d7%a2%d7%99%d7%9d-%d7%90%d7%97%d7%a8%d7%99-%d7%94%d7%9e%d7%95%d7%95%d7%aa/" TargetMode="External"/><Relationship Id="rId142" Type="http://schemas.openxmlformats.org/officeDocument/2006/relationships/hyperlink" Target="https://nirsternaristotle.files.wordpress.com/2017/06/d794d7aad797d79cd795d7aa-d794d7a0d79ed7a6d790d795d7aa-d790d79cd7a4d7a8d790d791d799.pdf" TargetMode="External"/><Relationship Id="rId3" Type="http://schemas.openxmlformats.org/officeDocument/2006/relationships/hyperlink" Target="https://nirstern.wordpress.com/2022/05/31/%d7%91%d7%99%d7%90%d7%95%d7%a8%d7%99%d7%9d-%d7%95%d7%9e%d7%9b%d7%aa%d7%91%d7%99%d7%9d-%d7%a2%d7%9c-%d7%94%d7%a8%d7%9e%d7%99%d7%96%d7%95%d7%aa-%d7%95%d7%94%d7%a2%d7%a8%d7%95%d7%aa-%d7%9e%d7%90%d7%aa/" TargetMode="External"/><Relationship Id="rId25" Type="http://schemas.openxmlformats.org/officeDocument/2006/relationships/hyperlink" Target="https://he.wikisource.org/wiki/%D7%96%D7%94%D7%A8_%D7%97%D7%9C%D7%A7_%D7%92_%D7%93_%D7%90" TargetMode="External"/><Relationship Id="rId46" Type="http://schemas.openxmlformats.org/officeDocument/2006/relationships/hyperlink" Target="https://nirsterntalmud.wordpress.com/" TargetMode="External"/><Relationship Id="rId67"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116" Type="http://schemas.openxmlformats.org/officeDocument/2006/relationships/hyperlink" Target="https://nirstern.wordpress.com/2020/08/28/163-%d7%90%d7%99%d7%9a-%d7%a8%d7%95%d7%90%d7%99%d7%9d-%d7%91%d7%a4%d7%a9%d7%98%d7%95%d7%aa-%d7%95%d7%91%d7%9c%d7%99-%d7%a1%d7%a4%d7%a7-%d7%a9%d7%94%d7%9e%d7%a6%d7%99%d7%90%d7%95%d7%aa-%d7%94%d7%99/" TargetMode="External"/><Relationship Id="rId137" Type="http://schemas.openxmlformats.org/officeDocument/2006/relationships/hyperlink" Target="https://nirstern.wordpress.com/2022/10/20/300-%d7%91%d7%99%d7%90%d7%95%d7%a8-%d7%91%d7%a2%d7%a0%d7%99%d7%99%d7%9f-%d7%a9%d7%9c-%d7%91%d7%9b%d7%97-%d7%95%d7%91%d7%a4%d7%95%d7%a2%d7%9c-%d7%91%d7%9e%d7%95%d7%a8%d7%94-%d7%a0%d7%91%d7%95%d7%9b/" TargetMode="External"/><Relationship Id="rId20" Type="http://schemas.openxmlformats.org/officeDocument/2006/relationships/hyperlink" Target="https://nirstern.wordpress.com/2021/01/15/%d7%99%d7%a6%d7%90-%d7%9c%d7%90%d7%95%d7%a8-%d7%a1%d7%a4%d7%a8%d7%99-%d7%a2%d7%9c-%d7%94%d7%a8%d7%9e%d7%99%d7%96%d7%95%d7%aa-%d7%95%d7%94%d7%94%d7%a2%d7%a8%d7%95%d7%aa-%d7%a9%d7%9c-%d7%90%d7%91/" TargetMode="External"/><Relationship Id="rId41" Type="http://schemas.openxmlformats.org/officeDocument/2006/relationships/hyperlink" Target="https://morehnevochim.wordpress.com/2017/11/25/%d7%91%d7%99%d7%90%d7%95%d7%a8-%d7%a2%d7%9c-%d7%a1%d7%93%d7%a8-%d7%94%d7%a1%d7%a4%d7%a8-%d7%94%d7%a7%d7%93%d7%9e%d7%95%d7%aa-%d7%9c%d7%97%d7%9c%d7%a7-%d7%91-%d7%94%d7%a7%d7%93%d7%9e%d7%94-%d7%9b-2/" TargetMode="External"/><Relationship Id="rId62" Type="http://schemas.openxmlformats.org/officeDocument/2006/relationships/hyperlink" Target="http://muslimphilosophy.com/books/inati2.pdf" TargetMode="External"/><Relationship Id="rId83" Type="http://schemas.openxmlformats.org/officeDocument/2006/relationships/hyperlink" Target="https://nirsternaristotle.wordpress.com/2017/10/31/35-%d7%9e%d7%a2%d7%98-%d7%94%d7%a2%d7%a8%d7%95%d7%aa-%d7%a2%d7%9c-%d7%94%d7%97%d7%95%d7%a7%d7%99%d7%9d-%d7%9e%d7%90%d7%aa-%d7%90%d7%a4%d7%9c%d7%98%d7%95%d7%9f/" TargetMode="External"/><Relationship Id="rId88" Type="http://schemas.openxmlformats.org/officeDocument/2006/relationships/hyperlink" Target="https://www.magnespress.co.il/book/%D7%9E%D7%95%D7%A8%D7%94_%D7%94%D7%9E%D7%95%D7%A8%D7%94-1692" TargetMode="External"/><Relationship Id="rId111" Type="http://schemas.openxmlformats.org/officeDocument/2006/relationships/hyperlink" Target="http://dictionary.sensagent.com/%D9%8A%D8%B5%D8%AF%D8%B1/en-en/" TargetMode="External"/><Relationship Id="rId132" Type="http://schemas.openxmlformats.org/officeDocument/2006/relationships/hyperlink" Target="https://nirstern.wordpress.com/2022/08/24/291-%d7%9e%d7%94-%d7%94%d7%99%d7%90-%d7%90%d7%9e%d7%99%d7%aa%d7%aa-%d7%a2%d7%a9%d7%a8-%d7%94%d7%a1%d7%a4%d7%99%d7%a8%d7%95%d7%aa-%d7%91%d7%90%d7%9e%d7%aa-%d7%90%d7%99%d7%9f-%d7%a1%d7%a4%d7%99%d7%a8/" TargetMode="External"/><Relationship Id="rId15" Type="http://schemas.openxmlformats.org/officeDocument/2006/relationships/hyperlink" Target="https://nirstern.wordpress.com/2016/03/16/%d7%97%d7%9c%d7%a7-%d7%a9%d7%9c%d7%99%d7%a9%d7%99-%d7%a9%d7%9c-%d7%94%d7%a1%d7%a4%d7%a8-%d7%90%d7%93%d7%9d-%d7%97%d7%99/" TargetMode="External"/><Relationship Id="rId36" Type="http://schemas.openxmlformats.org/officeDocument/2006/relationships/hyperlink" Target="https://nirstern.wordpress.com/2016/03/16/%d7%97%d7%9c%d7%a7-%d7%a9%d7%9c%d7%99%d7%a9%d7%99-%d7%a9%d7%9c-%d7%94%d7%a1%d7%a4%d7%a8-%d7%90%d7%93%d7%9d-%d7%97%d7%99/" TargetMode="External"/><Relationship Id="rId57" Type="http://schemas.openxmlformats.org/officeDocument/2006/relationships/hyperlink" Target="https://nirstern.wordpress.com/2016/06/01/%d7%91%d7%a2%d7%a0%d7%99%d7%99%d7%9f-%d7%94%d7%a0%d7%a9%d7%92%d7%91-%d7%a9%d7%9c-%d7%a1%d7%99%d7%91%d7%94-%d7%95%d7%9e%d7%a1%d7%95%d7%91%d7%91-%d7%9c%d7%a4%d7%99-%d7%94%d7%a8%d7%9e%d7%91%d7%9d/" TargetMode="External"/><Relationship Id="rId106"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127" Type="http://schemas.openxmlformats.org/officeDocument/2006/relationships/hyperlink" Target="https://nirstern.files.wordpress.com/2021/01/d794d7a8d79ed799d796d795d7aa-d795d794d794d7a2d7a8d795d7aa-.pdf" TargetMode="External"/><Relationship Id="rId10" Type="http://schemas.openxmlformats.org/officeDocument/2006/relationships/hyperlink" Target="https://nirstern.files.wordpress.com/2021/01/d794d7a8d79ed799d796d795d7aa-d795d794d794d7a2d7a8d795d7aa-.pdf" TargetMode="External"/><Relationship Id="rId31" Type="http://schemas.openxmlformats.org/officeDocument/2006/relationships/hyperlink" Target="https://nirsternaristotle.files.wordpress.com/2017/06/d794d7aad797d79cd795d7aa-d794d7a0d79ed7a6d790d795d7aa-d790d79cd7a4d7a8d790d791d799.pdf" TargetMode="External"/><Relationship Id="rId52" Type="http://schemas.openxmlformats.org/officeDocument/2006/relationships/hyperlink" Target="https://nirstern.wordpress.com/2019/03/04/76-%D7%91%D7%99%D7%90%D7%95%D7%A8-%D7%A2%D7%9E%D7%95%D7%A7-%D7%91%D7%A2%D7%A0%D7%99%D7%99%D7%9F-%D7%AA%D7%90%D7%A8%D7%99-%D7%94%D7%A4%D7%A2%D7%95%D7%9C%D7%94/" TargetMode="External"/><Relationship Id="rId73" Type="http://schemas.openxmlformats.org/officeDocument/2006/relationships/hyperlink" Target="https://nirstern.files.wordpress.com/2021/01/d794d7a8d79ed799d796d795d7aa-d795d794d794d7a2d7a8d795d7aa-.pdf" TargetMode="External"/><Relationship Id="rId78" Type="http://schemas.openxmlformats.org/officeDocument/2006/relationships/hyperlink" Target="https://nirsternaristotle.wordpress.com/2018/04/21/50-%d7%94%d7%a2%d7%a8%d7%95%d7%aa-%d7%a2%d7%9c-%d7%94%d7%9e%d7%98%d7%90%d7%a4%d7%99%d7%96%d7%99%d7%a7%d7%94-%d7%a9%d7%9c-%d7%90%d7%a8%d7%99%d7%a1%d7%98%d7%95-%d7%a1%d7%a4%d7%a8-%d7%93%d7%9c/" TargetMode="External"/><Relationship Id="rId94" Type="http://schemas.openxmlformats.org/officeDocument/2006/relationships/hyperlink" Target="https://morehnevochim.wordpress.com/2019/04/17/33-%d7%94%d7%a2%d7%a8%d7%95%d7%aa-%d7%a7%d7%a6%d7%a8%d7%95%d7%aa-%d7%a2%d7%9c-%d7%94%d7%a4%d7%a9%d7%98-%d7%a9%d7%9c-%d7%9e%d7%95%d7%a8%d7%94-%d7%a0%d7%91%d7%95%d7%9b%d7%99%d7%9d-%d7%9c%d7%a4%d7%99/" TargetMode="External"/><Relationship Id="rId99" Type="http://schemas.openxmlformats.org/officeDocument/2006/relationships/hyperlink" Target="https://books.google.co.il/books?id=PTfp0n5sdtIC&amp;pg=PA290&amp;lpg=PA290&amp;dq=%CE%BA%CE%B1%CF%84%CE%B1%CE%B4%CE%B5%CE%B4%CF%85%CE%BA%CF%85%CE%AF%CE%B1&amp;source=bl&amp;ots=z78YsJ7VoM&amp;sig=ACfU3U0FAavvOrnZQPERVzttBM6xPoT-7Q&amp;hl=iw&amp;sa=X&amp;ved=2ahUKEwjrh_2ql833AhWH7rsIHXZcBq4Q6AF6BAgMEAM" TargetMode="External"/><Relationship Id="rId101" Type="http://schemas.openxmlformats.org/officeDocument/2006/relationships/hyperlink" Target="https://morehnevochim.wordpress.com/2017/11/25/%d7%91%d7%99%d7%90%d7%95%d7%a8-%d7%a2%d7%9c-%d7%a1%d7%93%d7%a8-%d7%94%d7%a1%d7%a4%d7%a8-%d7%94%d7%a7%d7%93%d7%9e%d7%95%d7%aa-%d7%9c%d7%97%d7%9c%d7%a7-%d7%91-%d7%94%d7%a7%d7%93%d7%9e%d7%94-%d7%9b-2/" TargetMode="External"/><Relationship Id="rId122" Type="http://schemas.openxmlformats.org/officeDocument/2006/relationships/hyperlink" Target="https://nirstern.files.wordpress.com/2021/01/d794d7a8d79ed799d796d795d7aa-d795d794d794d7a2d7a8d795d7aa-.pdf" TargetMode="External"/><Relationship Id="rId143" Type="http://schemas.openxmlformats.org/officeDocument/2006/relationships/hyperlink" Target="https://nirsternaristotle.wordpress.com/2020/03/01/68-%d7%90%d7%9c%d7%a4%d7%a8%d7%90%d7%91%d7%99-%d7%94%d7%aa%d7%97%d7%9c%d7%95%d7%aa-%d7%94%d7%a0%d7%9e%d7%a6%d7%90%d7%95%d7%aa-%d7%90/" TargetMode="External"/><Relationship Id="rId148" Type="http://schemas.openxmlformats.org/officeDocument/2006/relationships/hyperlink" Target="https://shiurmorehnevochim.wordpress.com/" TargetMode="External"/><Relationship Id="rId4" Type="http://schemas.openxmlformats.org/officeDocument/2006/relationships/hyperlink" Target="https://morehnevochim.wordpress.com/2017/11/25/%d7%91%d7%99%d7%90%d7%95%d7%a8-%d7%a2%d7%9c-%d7%a1%d7%93%d7%a8-%d7%94%d7%a1%d7%a4%d7%a8-%d7%94%d7%a7%d7%93%d7%9e%d7%95%d7%aa-%d7%9c%d7%97%d7%9c%d7%a7-%d7%91-%d7%94%d7%a7%d7%93%d7%9e%d7%94-%d7%9b-2/" TargetMode="External"/><Relationship Id="rId9" Type="http://schemas.openxmlformats.org/officeDocument/2006/relationships/hyperlink" Target="https://shiurmorehnevochim.wordpress.com/2021/04/28/0015-%d7%9e%d7%95%d7%a8%d7%94-%d7%a0%d7%91%d7%95%d7%9b%d7%99%d7%9d-%d7%90-%d7%90/" TargetMode="External"/><Relationship Id="rId26" Type="http://schemas.openxmlformats.org/officeDocument/2006/relationships/hyperlink" Target="https://he.wikisource.org/wiki/%D7%96%D7%94%D7%A8_%D7%97%D7%9C%D7%A7_%D7%91_%D7%A0%D7%95_%D7%90" TargetMode="External"/><Relationship Id="rId47" Type="http://schemas.openxmlformats.org/officeDocument/2006/relationships/hyperlink" Target="https://nirsternaristotle.wordpress.com/2018/01/27/41-%D7%94%D7%A2%D7%A8%D7%95%D7%AA-%D7%A2%D7%9C-%D7%94%D7%A4%D7%99%D7%96%D7%99%D7%A7%D7%94-%D7%A9%D7%9C-%D7%90%D7%A8%D7%99%D7%A1%D7%98%D7%95-%D7%A1%D7%A4%D7%A8-%D7%94/" TargetMode="External"/><Relationship Id="rId68" Type="http://schemas.openxmlformats.org/officeDocument/2006/relationships/hyperlink" Target="https://nirstern.wordpress.com/category/81-%d7%90%d7%99%d7%a4%d7%94-%d7%9b%d7%aa%d7%95%d7%91-%d7%91%d7%90%d7%a8%d7%99%d7%a1%d7%98%d7%95-%d7%a9%d7%99%d7%a9-%d7%92%d7%99%d7%9c%d7%95%d7%99-%d7%a9%d7%9c-%d7%a8%d7%a6%d7%95%d7%9f-%d7%97%d7%95/" TargetMode="External"/><Relationship Id="rId89" Type="http://schemas.openxmlformats.org/officeDocument/2006/relationships/hyperlink" Target="https://nirsternaristotle.wordpress.com/2018/01/31/42-%d7%94%d7%a2%d7%a8%d7%95%d7%aa-%d7%a2%d7%9c-%d7%94%d7%a4%d7%99%d7%96%d7%99%d7%a7%d7%94-%d7%a9%d7%9c-%d7%90%d7%a8%d7%99%d7%a1%d7%98%d7%95-%d7%a1%d7%a4%d7%a8-%d7%95/" TargetMode="External"/><Relationship Id="rId112" Type="http://schemas.openxmlformats.org/officeDocument/2006/relationships/hyperlink" Target="http://arabiclexicon.hawramani.com/search/%D9%8A%D8%B5%D8%AF%D8%B1+" TargetMode="External"/><Relationship Id="rId133" Type="http://schemas.openxmlformats.org/officeDocument/2006/relationships/hyperlink" Target="https://nirstern.wordpress.com/2020/08/28/163-%d7%90%d7%99%d7%9a-%d7%a8%d7%95%d7%90%d7%99%d7%9d-%d7%91%d7%a4%d7%a9%d7%98%d7%95%d7%aa-%d7%95%d7%91%d7%9c%d7%99-%d7%a1%d7%a4%d7%a7-%d7%a9%d7%94%d7%9e%d7%a6%d7%99%d7%90%d7%95%d7%aa-%d7%94%d7%99/" TargetMode="External"/><Relationship Id="rId16" Type="http://schemas.openxmlformats.org/officeDocument/2006/relationships/hyperlink" Target="https://shiurmorehnevochim.wordpress.com/2021/05/11/0017-%d7%9e%d7%95%d7%a8%d7%94-%d7%a0%d7%91%d7%95%d7%9b%d7%99%d7%9d-%d7%90-%d7%90/" TargetMode="External"/><Relationship Id="rId37" Type="http://schemas.openxmlformats.org/officeDocument/2006/relationships/hyperlink" Target="https://nirstern.wordpress.com/2020/08/28/163-%d7%90%d7%99%d7%9a-%d7%a8%d7%95%d7%90%d7%99%d7%9d-%d7%91%d7%a4%d7%a9%d7%98%d7%95%d7%aa-%d7%95%d7%91%d7%9c%d7%99-%d7%a1%d7%a4%d7%a7-%d7%a9%d7%94%d7%9e%d7%a6%d7%99%d7%90%d7%95%d7%aa-%d7%94%d7%99/" TargetMode="External"/><Relationship Id="rId58" Type="http://schemas.openxmlformats.org/officeDocument/2006/relationships/hyperlink" Target="https://nirstern.files.wordpress.com/2021/01/d794d7a8d79ed799d796d795d7aa-d795d794d794d7a2d7a8d795d7aa-.pdf" TargetMode="External"/><Relationship Id="rId79" Type="http://schemas.openxmlformats.org/officeDocument/2006/relationships/hyperlink" Target="https://gmaramikra.files.wordpress.com/2022/04/d7a9d799d7a2d795d7a8-d7a7d795d79ed794-d79ed794d7a8d79ed7a7.pdf" TargetMode="External"/><Relationship Id="rId102" Type="http://schemas.openxmlformats.org/officeDocument/2006/relationships/hyperlink" Target="https://morehnevochim.wordpress.com/2017/11/25/%d7%91%d7%99%d7%90%d7%95%d7%a8-%d7%a2%d7%9c-%d7%a1%d7%93%d7%a8-%d7%94%d7%a1%d7%a4%d7%a8-%d7%94%d7%a7%d7%93%d7%9e%d7%95%d7%aa-%d7%9c%d7%97%d7%9c%d7%a7-%d7%91-%d7%94%d7%a7%d7%93%d7%9e%d7%94-%d7%9b-2/" TargetMode="External"/><Relationship Id="rId123" Type="http://schemas.openxmlformats.org/officeDocument/2006/relationships/hyperlink" Target="https://he.wikipedia.org/wiki/%D7%A1%D7%94%D7%A8" TargetMode="External"/><Relationship Id="rId144" Type="http://schemas.openxmlformats.org/officeDocument/2006/relationships/hyperlink" Target="https://nirsternaristotle.wordpress.com/2017/10/31/35-%D7%9E%D7%A2%D7%98-%D7%94%D7%A2%D7%A8%D7%95%D7%AA-%D7%A2%D7%9C-%D7%94%D7%97%D7%95%D7%A7%D7%99%D7%9D-%D7%9E%D7%90%D7%AA-%D7%90%D7%A4%D7%9C%D7%98%D7%95%D7%9F/" TargetMode="External"/><Relationship Id="rId90" Type="http://schemas.openxmlformats.org/officeDocument/2006/relationships/hyperlink" Target="https://morehnevochim.wordpress.co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3446C51A4D8E45842DFA428FBB0348" ma:contentTypeVersion="4" ma:contentTypeDescription="Create a new document." ma:contentTypeScope="" ma:versionID="f162d1b74fab432f0e7c796afc5367ff">
  <xsd:schema xmlns:xsd="http://www.w3.org/2001/XMLSchema" xmlns:xs="http://www.w3.org/2001/XMLSchema" xmlns:p="http://schemas.microsoft.com/office/2006/metadata/properties" xmlns:ns3="774647ce-1b83-4949-a265-d17013994998" targetNamespace="http://schemas.microsoft.com/office/2006/metadata/properties" ma:root="true" ma:fieldsID="f6e7cba4518b5b3877c1aab8994a4b92" ns3:_="">
    <xsd:import namespace="774647ce-1b83-4949-a265-d170139949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647ce-1b83-4949-a265-d17013994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AE7833-238C-4672-A595-F236FE36871D}">
  <ds:schemaRefs>
    <ds:schemaRef ds:uri="http://schemas.microsoft.com/sharepoint/v3/contenttype/forms"/>
  </ds:schemaRefs>
</ds:datastoreItem>
</file>

<file path=customXml/itemProps2.xml><?xml version="1.0" encoding="utf-8"?>
<ds:datastoreItem xmlns:ds="http://schemas.openxmlformats.org/officeDocument/2006/customXml" ds:itemID="{FEADA106-44F0-45F3-9006-9FCED78D9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647ce-1b83-4949-a265-d17013994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4E0CA-8ED5-4918-8B06-8D1531CFAAE3}">
  <ds:schemaRefs>
    <ds:schemaRef ds:uri="http://schemas.openxmlformats.org/officeDocument/2006/bibliography"/>
  </ds:schemaRefs>
</ds:datastoreItem>
</file>

<file path=customXml/itemProps4.xml><?xml version="1.0" encoding="utf-8"?>
<ds:datastoreItem xmlns:ds="http://schemas.openxmlformats.org/officeDocument/2006/customXml" ds:itemID="{C2134727-FAEE-49BD-BEA1-07F9F7B129F7}">
  <ds:schemaRefs>
    <ds:schemaRef ds:uri="http://schemas.microsoft.com/office/2006/documentManagement/types"/>
    <ds:schemaRef ds:uri="http://purl.org/dc/elements/1.1/"/>
    <ds:schemaRef ds:uri="774647ce-1b83-4949-a265-d17013994998"/>
    <ds:schemaRef ds:uri="http://schemas.microsoft.com/office/infopath/2007/PartnerControl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15625</Words>
  <Characters>78129</Characters>
  <Application>Microsoft Office Word</Application>
  <DocSecurity>0</DocSecurity>
  <Lines>651</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 Stern</dc:creator>
  <cp:keywords/>
  <dc:description/>
  <cp:lastModifiedBy>Nir Stern</cp:lastModifiedBy>
  <cp:revision>2</cp:revision>
  <dcterms:created xsi:type="dcterms:W3CDTF">2022-11-19T22:17:00Z</dcterms:created>
  <dcterms:modified xsi:type="dcterms:W3CDTF">2022-11-19T22:17:00Z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0x010100593446C51A4D8E45842DFA428FBB0348</vt:lpwstr>
  </property>
</Properties>
</file>